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8D63E" w14:textId="77777777" w:rsidR="00382CF2" w:rsidRPr="00891780" w:rsidRDefault="00054989" w:rsidP="000B677E">
      <w:pPr>
        <w:spacing w:before="120" w:after="120" w:line="276" w:lineRule="auto"/>
        <w:jc w:val="both"/>
        <w:rPr>
          <w:rFonts w:ascii="Calibri" w:eastAsia="SimSun" w:hAnsi="Calibri" w:cs="Calibri"/>
          <w:b/>
          <w:sz w:val="22"/>
          <w:szCs w:val="22"/>
          <w:lang w:val="en-GB"/>
        </w:rPr>
      </w:pPr>
      <w:bookmarkStart w:id="0" w:name="_Hlk128143323"/>
      <w:bookmarkStart w:id="1" w:name="_Hlk98995389"/>
      <w:bookmarkEnd w:id="0"/>
      <w:r w:rsidRPr="00891780">
        <w:rPr>
          <w:rFonts w:ascii="Calibri" w:eastAsia="SimSun" w:hAnsi="Calibri" w:cs="Calibri"/>
          <w:b/>
          <w:sz w:val="22"/>
          <w:szCs w:val="22"/>
          <w:lang w:val="en-GB"/>
        </w:rPr>
        <w:t xml:space="preserve">                                                                                                                                                                                                                                                                                                                                                                                                                                                                                                                                                                                                                                                                                                                                                                                                                                                                                                                                                                                                                                                                                                                                                                                                                                                                                                                                                                                                                                                                                                                                                                                                                                                                                                                                                                                                                                                                                                                                                                                                                                                                                                                                                                                                                                                                                                                                                                                                                                                                                                                                                                                                                                                                                                                                                                                                                                                                                                                                                                                                                                                                                                                                                                                                                                                                                                                                                                                                                                                                                                                                                                                                                                                                                                                                                                                                                                                                                                                                                                                                                                                                                                                                                                                                                                                                                                                                                                                                                                                                                                                                                                                                                                                                                                                                                                                                                                                                                                                                                                                                                                                                                                                                                                                                                                                                                                                                                                                                                                                                                                                                                                                                                                                                                                                                                                                                                                                                                                                                                                                                                                                                                                                                                                                                                                                                                                                                                                                                                                                                                                                                                                                                                                                                                                                                                                                                                                                                                                                                                                                                                                                                                                                                                                                                                                                                                                                                                                                                                                                                                                                                                                                                                                                                                                                                                                                                                                                                                                                                                                                                                                                                                                                                                                                                                                                                                                                                                                                                                                                                                                                                                                                                                                                                                                                                                                                                                                                                                                                                                                                                                                                                                                                                                                                                                                                                                                                                                                                                                                                                                                                                                                                                                                                                                                                                                                                                                                                                                                                                                                                                                                                                                                                                                                                                                                                                                                                                                                                                                                                                                                                                                                                                                                                                                                                                                                                                                                                                                                                                                                                                                                                                                                                                                                                                                                                                                                                                                                                                                                                                                                                                                                                                                                                                                                                                                                                                                                                                                                                                                                                                                                                                                                                                                                                                                                                                                                                                                                                                                                                                                                                                                                                                                                                                                                                                                                                                                                                                                                                                                                                                                                                                                                                                                                                                                                                                                                                                                                                                                                                                                                                                                                                                                                                                                                                                                                                                                                                                                                                                                                                                                                                                                                                                                                                                                                                                                                                                                                                                                                                                                                                                                                                                                                                                                                                                                                                                                                                                                                                                                                                                                                                                                                                                                                                                                                                                                                                                                                                                                                                                                                                                                                                                                                                                                                                                                                                                                                                                                                                                                                                                                                                                                                                                                                                                                                                                                                                                                                                                                                                                                                                                                                                                                                                                                                                                                                                                                                                                                                                                                                                                                                                                                                                                                                                                                                                                                                                                                                                                                                                                                                                                                                                                                                                                                                                                                                                                                                                                                                                                                                                                                                                                                                                                                                                                                                                                                                                                                                                                                                                                                                                                                                                                                                                                                                                                                                                                                                                                                                                                                                                                                                                                                                                                                                                                                                                                                                                                                                                                                                                                                                                                                                                                                                                                                                                                                                                                                                                                                                                                                                                                                                                                                                                                                                                                                                                                                                                                                                                                                                                                                                                                                                                                                                                                                                                                                                                                                                                                                                                                                                                                                                                                                                                                                                                                                                                                                                                                                                                                                                                                                                                                                                                                                                                                                                                                                                                                                                                                                                                                                                                                                                                                                                                                                                                                                                                                                                                                                                                                                                                                                                                                                                                                                                                                                                                                                                                                                                                                                                                                                                                                                                                                                                                                                                                                                                                                                                                                                                                                                                                                                                                                                                                                                                                                                                                                                                                                                                                                                                                                                                                                                                                                                                                                                                                                                                                                                                                                                                                                                                                                                                                                                                                                                                                                                                                                                                                                                                                                                                                                                                                                                                                                                                                                                                                                                                                                                                                                                                                                                                                                                                                                                                                                                                                                                                                                                                                                                                                                                                                                                                                                                                                                                              </w:t>
      </w:r>
    </w:p>
    <w:p w14:paraId="1748D63F" w14:textId="0254C32F" w:rsidR="00382CF2" w:rsidRPr="00891780" w:rsidRDefault="00054989" w:rsidP="000B677E">
      <w:pPr>
        <w:spacing w:before="120" w:after="120" w:line="276" w:lineRule="auto"/>
        <w:jc w:val="both"/>
        <w:rPr>
          <w:lang w:val="en-GB"/>
        </w:rPr>
      </w:pPr>
      <w:r w:rsidRPr="00891780">
        <w:rPr>
          <w:rStyle w:val="Zadanifontodlomka1"/>
          <w:rFonts w:ascii="Calibri" w:eastAsia="SimSun" w:hAnsi="Calibri" w:cs="Calibri"/>
          <w:noProof/>
          <w:sz w:val="22"/>
          <w:szCs w:val="22"/>
          <w:lang w:val="en-GB"/>
        </w:rPr>
        <w:drawing>
          <wp:inline distT="0" distB="0" distL="0" distR="0" wp14:anchorId="0920DA8D" wp14:editId="1748D63F">
            <wp:extent cx="2447921" cy="1563953"/>
            <wp:effectExtent l="0" t="0" r="0" b="0"/>
            <wp:docPr id="3" name="Picture 2"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47921" cy="1563953"/>
                    </a:xfrm>
                    <a:prstGeom prst="rect">
                      <a:avLst/>
                    </a:prstGeom>
                    <a:noFill/>
                    <a:ln>
                      <a:noFill/>
                      <a:prstDash/>
                    </a:ln>
                  </pic:spPr>
                </pic:pic>
              </a:graphicData>
            </a:graphic>
          </wp:inline>
        </w:drawing>
      </w:r>
    </w:p>
    <w:p w14:paraId="1748D640" w14:textId="77777777" w:rsidR="00382CF2" w:rsidRPr="00891780" w:rsidRDefault="00382CF2" w:rsidP="000B677E">
      <w:pPr>
        <w:spacing w:before="120" w:after="120" w:line="276" w:lineRule="auto"/>
        <w:jc w:val="both"/>
        <w:rPr>
          <w:rFonts w:ascii="Calibri" w:eastAsia="SimSun" w:hAnsi="Calibri" w:cs="Calibri"/>
          <w:b/>
          <w:sz w:val="22"/>
          <w:szCs w:val="22"/>
          <w:lang w:val="en-GB"/>
        </w:rPr>
      </w:pPr>
    </w:p>
    <w:p w14:paraId="1748D641" w14:textId="77777777" w:rsidR="00382CF2" w:rsidRPr="00891780" w:rsidRDefault="00382CF2" w:rsidP="000B677E">
      <w:pPr>
        <w:spacing w:before="120" w:after="120" w:line="276" w:lineRule="auto"/>
        <w:jc w:val="both"/>
        <w:rPr>
          <w:rFonts w:ascii="Calibri" w:eastAsia="SimSun" w:hAnsi="Calibri" w:cs="Calibri"/>
          <w:b/>
          <w:sz w:val="22"/>
          <w:szCs w:val="22"/>
          <w:lang w:val="en-GB"/>
        </w:rPr>
      </w:pPr>
    </w:p>
    <w:p w14:paraId="1748D642" w14:textId="77777777" w:rsidR="00382CF2" w:rsidRPr="00891780" w:rsidRDefault="00382CF2" w:rsidP="000B677E">
      <w:pPr>
        <w:spacing w:before="120" w:after="120" w:line="276" w:lineRule="auto"/>
        <w:jc w:val="both"/>
        <w:rPr>
          <w:rFonts w:ascii="Calibri" w:eastAsia="SimSun" w:hAnsi="Calibri" w:cs="Calibri"/>
          <w:b/>
          <w:sz w:val="22"/>
          <w:szCs w:val="22"/>
          <w:lang w:val="en-GB"/>
        </w:rPr>
      </w:pPr>
    </w:p>
    <w:p w14:paraId="1748D643" w14:textId="77777777" w:rsidR="00382CF2" w:rsidRPr="00891780" w:rsidRDefault="00382CF2" w:rsidP="000B677E">
      <w:pPr>
        <w:spacing w:before="120" w:after="120" w:line="276" w:lineRule="auto"/>
        <w:jc w:val="both"/>
        <w:rPr>
          <w:rFonts w:ascii="Calibri" w:eastAsia="SimSun" w:hAnsi="Calibri" w:cs="Calibri"/>
          <w:b/>
          <w:sz w:val="22"/>
          <w:szCs w:val="22"/>
          <w:lang w:val="en-GB"/>
        </w:rPr>
      </w:pPr>
    </w:p>
    <w:p w14:paraId="1748D644" w14:textId="77777777" w:rsidR="00382CF2" w:rsidRPr="00891780" w:rsidRDefault="00382CF2" w:rsidP="000B677E">
      <w:pPr>
        <w:spacing w:before="120" w:after="120" w:line="276" w:lineRule="auto"/>
        <w:jc w:val="both"/>
        <w:rPr>
          <w:rFonts w:ascii="Calibri" w:eastAsia="SimSun" w:hAnsi="Calibri" w:cs="Calibri"/>
          <w:b/>
          <w:sz w:val="22"/>
          <w:szCs w:val="22"/>
          <w:lang w:val="en-GB"/>
        </w:rPr>
      </w:pPr>
    </w:p>
    <w:p w14:paraId="1748D645" w14:textId="77777777" w:rsidR="00382CF2" w:rsidRPr="00891780" w:rsidRDefault="00382CF2" w:rsidP="000B677E">
      <w:pPr>
        <w:spacing w:before="120" w:after="120" w:line="276" w:lineRule="auto"/>
        <w:jc w:val="both"/>
        <w:rPr>
          <w:rFonts w:ascii="Calibri" w:eastAsia="SimSun" w:hAnsi="Calibri" w:cs="Calibri"/>
          <w:b/>
          <w:sz w:val="22"/>
          <w:szCs w:val="22"/>
          <w:lang w:val="en-GB"/>
        </w:rPr>
      </w:pPr>
    </w:p>
    <w:p w14:paraId="1748D646" w14:textId="77777777" w:rsidR="00382CF2" w:rsidRPr="00891780" w:rsidRDefault="00382CF2" w:rsidP="000B677E">
      <w:pPr>
        <w:spacing w:before="120" w:after="120" w:line="276" w:lineRule="auto"/>
        <w:jc w:val="both"/>
        <w:rPr>
          <w:rFonts w:ascii="Calibri" w:eastAsia="SimSun" w:hAnsi="Calibri" w:cs="Calibri"/>
          <w:b/>
          <w:sz w:val="22"/>
          <w:szCs w:val="22"/>
          <w:lang w:val="en-GB"/>
        </w:rPr>
      </w:pPr>
    </w:p>
    <w:p w14:paraId="1748D647" w14:textId="77777777" w:rsidR="00382CF2" w:rsidRPr="00891780" w:rsidRDefault="00382CF2" w:rsidP="000B677E">
      <w:pPr>
        <w:spacing w:before="120" w:after="120" w:line="276" w:lineRule="auto"/>
        <w:jc w:val="both"/>
        <w:rPr>
          <w:rFonts w:ascii="Calibri" w:eastAsia="SimSun" w:hAnsi="Calibri" w:cs="Calibri"/>
          <w:b/>
          <w:sz w:val="28"/>
          <w:szCs w:val="28"/>
          <w:lang w:val="en-GB"/>
        </w:rPr>
      </w:pPr>
    </w:p>
    <w:p w14:paraId="1748D648" w14:textId="5712959E" w:rsidR="00382CF2" w:rsidRPr="00891780" w:rsidRDefault="00A606A7" w:rsidP="000B677E">
      <w:pPr>
        <w:spacing w:before="120" w:after="120" w:line="276" w:lineRule="auto"/>
        <w:jc w:val="both"/>
        <w:rPr>
          <w:rFonts w:ascii="Calibri" w:eastAsia="SimSun" w:hAnsi="Calibri" w:cs="Calibri"/>
          <w:b/>
          <w:sz w:val="28"/>
          <w:szCs w:val="28"/>
          <w:lang w:val="en-GB"/>
        </w:rPr>
      </w:pPr>
      <w:r w:rsidRPr="00891780">
        <w:rPr>
          <w:rFonts w:ascii="Calibri" w:eastAsia="SimSun" w:hAnsi="Calibri" w:cs="Calibri"/>
          <w:b/>
          <w:sz w:val="28"/>
          <w:szCs w:val="28"/>
          <w:lang w:val="en-GB"/>
        </w:rPr>
        <w:t>ANNUAL REPORT</w:t>
      </w:r>
    </w:p>
    <w:p w14:paraId="1748D649" w14:textId="12F8B57F" w:rsidR="00382CF2" w:rsidRPr="00891780" w:rsidRDefault="00C14DD6" w:rsidP="000B677E">
      <w:pPr>
        <w:spacing w:before="120" w:after="120" w:line="276" w:lineRule="auto"/>
        <w:jc w:val="both"/>
        <w:rPr>
          <w:rFonts w:ascii="Calibri" w:eastAsia="SimSun" w:hAnsi="Calibri" w:cs="Calibri"/>
          <w:b/>
          <w:sz w:val="28"/>
          <w:szCs w:val="28"/>
          <w:lang w:val="en-GB"/>
        </w:rPr>
      </w:pPr>
      <w:r w:rsidRPr="00891780">
        <w:rPr>
          <w:rFonts w:ascii="Calibri" w:eastAsia="SimSun" w:hAnsi="Calibri" w:cs="Calibri"/>
          <w:b/>
          <w:sz w:val="28"/>
          <w:szCs w:val="28"/>
          <w:lang w:val="en-GB"/>
        </w:rPr>
        <w:t>OF</w:t>
      </w:r>
      <w:r w:rsidR="00054989" w:rsidRPr="00891780">
        <w:rPr>
          <w:rFonts w:ascii="Calibri" w:eastAsia="SimSun" w:hAnsi="Calibri" w:cs="Calibri"/>
          <w:b/>
          <w:sz w:val="28"/>
          <w:szCs w:val="28"/>
          <w:lang w:val="en-GB"/>
        </w:rPr>
        <w:t xml:space="preserve"> </w:t>
      </w:r>
      <w:r w:rsidR="00840274" w:rsidRPr="00891780">
        <w:rPr>
          <w:rFonts w:ascii="Calibri" w:eastAsia="SimSun" w:hAnsi="Calibri" w:cs="Calibri"/>
          <w:b/>
          <w:sz w:val="28"/>
          <w:szCs w:val="28"/>
          <w:lang w:val="en-GB"/>
        </w:rPr>
        <w:t>THE CROATIAN BANK FOR RECONSTRUCTION AND DEVELOPMENT</w:t>
      </w:r>
      <w:r w:rsidRPr="00891780">
        <w:rPr>
          <w:rFonts w:ascii="Calibri" w:eastAsia="SimSun" w:hAnsi="Calibri" w:cs="Calibri"/>
          <w:b/>
          <w:sz w:val="28"/>
          <w:szCs w:val="28"/>
          <w:lang w:val="en-GB"/>
        </w:rPr>
        <w:t xml:space="preserve"> GROUP</w:t>
      </w:r>
    </w:p>
    <w:p w14:paraId="1748D64A" w14:textId="791914AF" w:rsidR="00382CF2" w:rsidRPr="00891780" w:rsidRDefault="00C14DD6" w:rsidP="000B677E">
      <w:pPr>
        <w:spacing w:before="120" w:after="120" w:line="276" w:lineRule="auto"/>
        <w:jc w:val="both"/>
        <w:rPr>
          <w:rFonts w:ascii="Calibri" w:eastAsia="SimSun" w:hAnsi="Calibri" w:cs="Calibri"/>
          <w:b/>
          <w:sz w:val="28"/>
          <w:szCs w:val="28"/>
          <w:lang w:val="en-GB"/>
        </w:rPr>
      </w:pPr>
      <w:r w:rsidRPr="00891780">
        <w:rPr>
          <w:rFonts w:ascii="Calibri" w:eastAsia="SimSun" w:hAnsi="Calibri" w:cs="Calibri"/>
          <w:b/>
          <w:sz w:val="28"/>
          <w:szCs w:val="28"/>
          <w:lang w:val="en-GB"/>
        </w:rPr>
        <w:t>FOR</w:t>
      </w:r>
      <w:r w:rsidR="00054989" w:rsidRPr="00891780">
        <w:rPr>
          <w:rFonts w:ascii="Calibri" w:eastAsia="SimSun" w:hAnsi="Calibri" w:cs="Calibri"/>
          <w:b/>
          <w:sz w:val="28"/>
          <w:szCs w:val="28"/>
          <w:lang w:val="en-GB"/>
        </w:rPr>
        <w:t xml:space="preserve"> 2022</w:t>
      </w:r>
    </w:p>
    <w:p w14:paraId="1748D64B" w14:textId="77777777" w:rsidR="00382CF2" w:rsidRPr="00891780" w:rsidRDefault="00382CF2" w:rsidP="000B677E">
      <w:pPr>
        <w:spacing w:before="120" w:after="120" w:line="276" w:lineRule="auto"/>
        <w:jc w:val="both"/>
        <w:rPr>
          <w:rFonts w:ascii="Calibri" w:eastAsia="SimSun" w:hAnsi="Calibri" w:cs="Calibri"/>
          <w:b/>
          <w:sz w:val="22"/>
          <w:szCs w:val="22"/>
          <w:lang w:val="en-GB"/>
        </w:rPr>
      </w:pPr>
    </w:p>
    <w:p w14:paraId="1748D64C" w14:textId="77777777" w:rsidR="00382CF2" w:rsidRPr="00891780" w:rsidRDefault="00382CF2" w:rsidP="000B677E">
      <w:pPr>
        <w:spacing w:before="120" w:after="120" w:line="276" w:lineRule="auto"/>
        <w:jc w:val="both"/>
        <w:rPr>
          <w:rFonts w:ascii="Calibri" w:eastAsia="SimSun" w:hAnsi="Calibri" w:cs="Calibri"/>
          <w:b/>
          <w:sz w:val="22"/>
          <w:szCs w:val="22"/>
          <w:lang w:val="en-GB"/>
        </w:rPr>
      </w:pPr>
    </w:p>
    <w:p w14:paraId="1748D64D" w14:textId="77777777" w:rsidR="00382CF2" w:rsidRPr="00891780" w:rsidRDefault="00382CF2" w:rsidP="000B677E">
      <w:pPr>
        <w:spacing w:before="120" w:after="120" w:line="276" w:lineRule="auto"/>
        <w:jc w:val="both"/>
        <w:rPr>
          <w:rFonts w:ascii="Calibri" w:eastAsia="SimSun" w:hAnsi="Calibri" w:cs="Calibri"/>
          <w:b/>
          <w:sz w:val="22"/>
          <w:szCs w:val="22"/>
          <w:lang w:val="en-GB"/>
        </w:rPr>
      </w:pPr>
    </w:p>
    <w:p w14:paraId="1748D64E" w14:textId="77777777" w:rsidR="00382CF2" w:rsidRPr="00891780" w:rsidRDefault="00382CF2" w:rsidP="000B677E">
      <w:pPr>
        <w:spacing w:before="120" w:after="120" w:line="276" w:lineRule="auto"/>
        <w:jc w:val="both"/>
        <w:rPr>
          <w:rFonts w:ascii="Calibri" w:eastAsia="SimSun" w:hAnsi="Calibri" w:cs="Calibri"/>
          <w:b/>
          <w:sz w:val="22"/>
          <w:szCs w:val="22"/>
          <w:lang w:val="en-GB"/>
        </w:rPr>
      </w:pPr>
    </w:p>
    <w:p w14:paraId="1748D64F" w14:textId="77777777" w:rsidR="00382CF2" w:rsidRPr="00891780" w:rsidRDefault="00382CF2" w:rsidP="000B677E">
      <w:pPr>
        <w:spacing w:before="120" w:after="120" w:line="276" w:lineRule="auto"/>
        <w:jc w:val="both"/>
        <w:rPr>
          <w:rFonts w:ascii="Calibri" w:eastAsia="SimSun" w:hAnsi="Calibri" w:cs="Calibri"/>
          <w:b/>
          <w:sz w:val="22"/>
          <w:szCs w:val="22"/>
          <w:lang w:val="en-GB"/>
        </w:rPr>
      </w:pPr>
    </w:p>
    <w:p w14:paraId="1748D650" w14:textId="77777777" w:rsidR="00382CF2" w:rsidRPr="00891780" w:rsidRDefault="00382CF2" w:rsidP="000B677E">
      <w:pPr>
        <w:spacing w:before="120" w:after="120" w:line="276" w:lineRule="auto"/>
        <w:jc w:val="both"/>
        <w:rPr>
          <w:rFonts w:ascii="Calibri" w:eastAsia="SimSun" w:hAnsi="Calibri" w:cs="Calibri"/>
          <w:b/>
          <w:sz w:val="22"/>
          <w:szCs w:val="22"/>
          <w:lang w:val="en-GB"/>
        </w:rPr>
      </w:pPr>
    </w:p>
    <w:p w14:paraId="1748D651" w14:textId="77777777" w:rsidR="00382CF2" w:rsidRPr="00891780" w:rsidRDefault="00382CF2" w:rsidP="000B677E">
      <w:pPr>
        <w:spacing w:before="120" w:after="120" w:line="276" w:lineRule="auto"/>
        <w:jc w:val="both"/>
        <w:rPr>
          <w:rFonts w:ascii="Calibri" w:eastAsia="SimSun" w:hAnsi="Calibri" w:cs="Calibri"/>
          <w:b/>
          <w:sz w:val="22"/>
          <w:szCs w:val="22"/>
          <w:lang w:val="en-GB"/>
        </w:rPr>
      </w:pPr>
    </w:p>
    <w:p w14:paraId="1748D652" w14:textId="77777777" w:rsidR="00382CF2" w:rsidRPr="00891780" w:rsidRDefault="00382CF2" w:rsidP="000B677E">
      <w:pPr>
        <w:spacing w:before="120" w:after="120" w:line="276" w:lineRule="auto"/>
        <w:jc w:val="both"/>
        <w:rPr>
          <w:rFonts w:ascii="Calibri" w:eastAsia="SimSun" w:hAnsi="Calibri" w:cs="Calibri"/>
          <w:b/>
          <w:sz w:val="22"/>
          <w:szCs w:val="22"/>
          <w:lang w:val="en-GB"/>
        </w:rPr>
      </w:pPr>
    </w:p>
    <w:p w14:paraId="1748D653" w14:textId="77777777" w:rsidR="00382CF2" w:rsidRPr="00891780" w:rsidRDefault="00382CF2" w:rsidP="000B677E">
      <w:pPr>
        <w:spacing w:before="120" w:after="120" w:line="276" w:lineRule="auto"/>
        <w:jc w:val="both"/>
        <w:rPr>
          <w:rFonts w:ascii="Calibri" w:eastAsia="SimSun" w:hAnsi="Calibri" w:cs="Calibri"/>
          <w:b/>
          <w:sz w:val="22"/>
          <w:szCs w:val="22"/>
          <w:lang w:val="en-GB"/>
        </w:rPr>
      </w:pPr>
    </w:p>
    <w:p w14:paraId="1748D654" w14:textId="77777777" w:rsidR="00382CF2" w:rsidRPr="00891780" w:rsidRDefault="00382CF2" w:rsidP="000B677E">
      <w:pPr>
        <w:spacing w:before="120" w:after="120" w:line="276" w:lineRule="auto"/>
        <w:jc w:val="both"/>
        <w:rPr>
          <w:rFonts w:ascii="Calibri" w:eastAsia="SimSun" w:hAnsi="Calibri" w:cs="Calibri"/>
          <w:b/>
          <w:sz w:val="22"/>
          <w:szCs w:val="22"/>
          <w:lang w:val="en-GB"/>
        </w:rPr>
      </w:pPr>
    </w:p>
    <w:p w14:paraId="1748D655" w14:textId="77777777" w:rsidR="00382CF2" w:rsidRPr="00891780" w:rsidRDefault="00382CF2" w:rsidP="000B677E">
      <w:pPr>
        <w:spacing w:before="120" w:after="120" w:line="276" w:lineRule="auto"/>
        <w:jc w:val="both"/>
        <w:rPr>
          <w:rFonts w:ascii="Calibri" w:eastAsia="SimSun" w:hAnsi="Calibri" w:cs="Calibri"/>
          <w:b/>
          <w:sz w:val="22"/>
          <w:szCs w:val="22"/>
          <w:lang w:val="en-GB"/>
        </w:rPr>
      </w:pPr>
    </w:p>
    <w:p w14:paraId="1748D656" w14:textId="01158D72" w:rsidR="00382CF2" w:rsidRPr="00891780" w:rsidRDefault="00054989"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Zagreb, </w:t>
      </w:r>
      <w:r w:rsidR="00E35E39">
        <w:rPr>
          <w:rFonts w:ascii="Calibri" w:eastAsia="SimSun" w:hAnsi="Calibri" w:cs="Calibri"/>
          <w:sz w:val="22"/>
          <w:szCs w:val="22"/>
          <w:lang w:val="en-GB"/>
        </w:rPr>
        <w:t>March</w:t>
      </w:r>
      <w:r w:rsidRPr="00891780">
        <w:rPr>
          <w:rFonts w:ascii="Calibri" w:eastAsia="SimSun" w:hAnsi="Calibri" w:cs="Calibri"/>
          <w:sz w:val="22"/>
          <w:szCs w:val="22"/>
          <w:lang w:val="en-GB"/>
        </w:rPr>
        <w:t xml:space="preserve"> 2023</w:t>
      </w:r>
    </w:p>
    <w:p w14:paraId="2D89DA8E" w14:textId="77777777" w:rsidR="001F1E10" w:rsidRPr="00891780" w:rsidRDefault="001F1E10" w:rsidP="000B677E">
      <w:pPr>
        <w:rPr>
          <w:rFonts w:ascii="Calibri" w:eastAsia="SimSun" w:hAnsi="Calibri" w:cs="Calibri"/>
          <w:b/>
          <w:sz w:val="22"/>
          <w:szCs w:val="22"/>
          <w:lang w:val="en-GB"/>
        </w:rPr>
      </w:pPr>
      <w:r w:rsidRPr="00891780">
        <w:rPr>
          <w:rFonts w:ascii="Calibri" w:eastAsia="SimSun" w:hAnsi="Calibri" w:cs="Calibri"/>
          <w:b/>
          <w:sz w:val="22"/>
          <w:szCs w:val="22"/>
          <w:lang w:val="en-GB"/>
        </w:rPr>
        <w:br w:type="page"/>
      </w:r>
    </w:p>
    <w:p w14:paraId="1748D658" w14:textId="3C444AE5" w:rsidR="00382CF2" w:rsidRPr="00891780" w:rsidRDefault="00C14DD6" w:rsidP="000B677E">
      <w:pPr>
        <w:spacing w:before="120" w:after="120" w:line="360" w:lineRule="auto"/>
        <w:jc w:val="both"/>
        <w:rPr>
          <w:rFonts w:ascii="Calibri" w:eastAsia="SimSun" w:hAnsi="Calibri" w:cs="Calibri"/>
          <w:b/>
          <w:sz w:val="22"/>
          <w:szCs w:val="22"/>
          <w:lang w:val="en-GB"/>
        </w:rPr>
      </w:pPr>
      <w:r w:rsidRPr="00891780">
        <w:rPr>
          <w:rFonts w:ascii="Calibri" w:eastAsia="SimSun" w:hAnsi="Calibri" w:cs="Calibri"/>
          <w:b/>
          <w:sz w:val="22"/>
          <w:szCs w:val="22"/>
          <w:lang w:val="en-GB"/>
        </w:rPr>
        <w:lastRenderedPageBreak/>
        <w:t>CONTENTS</w:t>
      </w:r>
    </w:p>
    <w:bookmarkStart w:id="2" w:name="_Toc3249199"/>
    <w:bookmarkStart w:id="3" w:name="_Hlk127190481"/>
    <w:p w14:paraId="61C498A3" w14:textId="3F74457B" w:rsidR="005D0B33" w:rsidRDefault="00E45A39">
      <w:pPr>
        <w:pStyle w:val="TOC1"/>
        <w:rPr>
          <w:rFonts w:eastAsiaTheme="minorEastAsia" w:cstheme="minorBidi"/>
          <w:noProof/>
          <w:szCs w:val="22"/>
          <w:lang w:val="hr-HR" w:eastAsia="hr-HR"/>
        </w:rPr>
      </w:pPr>
      <w:r w:rsidRPr="00891780">
        <w:rPr>
          <w:lang w:val="en-GB"/>
        </w:rPr>
        <w:fldChar w:fldCharType="begin"/>
      </w:r>
      <w:r w:rsidRPr="00891780">
        <w:rPr>
          <w:lang w:val="en-GB"/>
        </w:rPr>
        <w:instrText xml:space="preserve"> TOC \o "1-3" \h \z \u </w:instrText>
      </w:r>
      <w:r w:rsidRPr="00891780">
        <w:rPr>
          <w:lang w:val="en-GB"/>
        </w:rPr>
        <w:fldChar w:fldCharType="separate"/>
      </w:r>
      <w:hyperlink w:anchor="_Toc129176332" w:history="1">
        <w:r w:rsidR="005D0B33" w:rsidRPr="003C32DA">
          <w:rPr>
            <w:rStyle w:val="Hyperlink"/>
            <w:rFonts w:ascii="Calibri" w:eastAsia="SimHei" w:hAnsi="Calibri" w:cs="Calibri"/>
            <w:b/>
            <w:bCs/>
            <w:noProof/>
            <w:lang w:val="en-GB"/>
          </w:rPr>
          <w:t>STATEMENT OF PERSONS RESPONSIBLE FOR THE PREPARATION OF THE ANNUAL REPORT</w:t>
        </w:r>
        <w:r w:rsidR="005D0B33">
          <w:rPr>
            <w:noProof/>
            <w:webHidden/>
          </w:rPr>
          <w:tab/>
        </w:r>
        <w:r w:rsidR="005D0B33">
          <w:rPr>
            <w:noProof/>
            <w:webHidden/>
          </w:rPr>
          <w:fldChar w:fldCharType="begin"/>
        </w:r>
        <w:r w:rsidR="005D0B33">
          <w:rPr>
            <w:noProof/>
            <w:webHidden/>
          </w:rPr>
          <w:instrText xml:space="preserve"> PAGEREF _Toc129176332 \h </w:instrText>
        </w:r>
        <w:r w:rsidR="005D0B33">
          <w:rPr>
            <w:noProof/>
            <w:webHidden/>
          </w:rPr>
        </w:r>
        <w:r w:rsidR="005D0B33">
          <w:rPr>
            <w:noProof/>
            <w:webHidden/>
          </w:rPr>
          <w:fldChar w:fldCharType="separate"/>
        </w:r>
        <w:r w:rsidR="004977B1">
          <w:rPr>
            <w:noProof/>
            <w:webHidden/>
          </w:rPr>
          <w:t>3</w:t>
        </w:r>
        <w:r w:rsidR="005D0B33">
          <w:rPr>
            <w:noProof/>
            <w:webHidden/>
          </w:rPr>
          <w:fldChar w:fldCharType="end"/>
        </w:r>
      </w:hyperlink>
    </w:p>
    <w:p w14:paraId="4E208772" w14:textId="7B0F5837" w:rsidR="005D0B33" w:rsidRDefault="00000000">
      <w:pPr>
        <w:pStyle w:val="TOC1"/>
        <w:rPr>
          <w:rFonts w:eastAsiaTheme="minorEastAsia" w:cstheme="minorBidi"/>
          <w:noProof/>
          <w:szCs w:val="22"/>
          <w:lang w:val="hr-HR" w:eastAsia="hr-HR"/>
        </w:rPr>
      </w:pPr>
      <w:hyperlink w:anchor="_Toc129176333" w:history="1">
        <w:r w:rsidR="005D0B33" w:rsidRPr="003C32DA">
          <w:rPr>
            <w:rStyle w:val="Hyperlink"/>
            <w:rFonts w:cstheme="minorHAnsi"/>
            <w:b/>
            <w:bCs/>
            <w:noProof/>
            <w:lang w:val="en-GB"/>
          </w:rPr>
          <w:t xml:space="preserve">MANAGEMENT REPORT FOR </w:t>
        </w:r>
        <w:r w:rsidR="005D0B33" w:rsidRPr="003C32DA">
          <w:rPr>
            <w:rStyle w:val="Hyperlink"/>
            <w:rFonts w:ascii="Calibri" w:eastAsia="SimHei" w:hAnsi="Calibri" w:cs="Calibri"/>
            <w:b/>
            <w:bCs/>
            <w:noProof/>
            <w:lang w:val="en-GB"/>
          </w:rPr>
          <w:t>2022</w:t>
        </w:r>
        <w:r w:rsidR="005D0B33">
          <w:rPr>
            <w:noProof/>
            <w:webHidden/>
          </w:rPr>
          <w:tab/>
        </w:r>
        <w:r w:rsidR="005D0B33">
          <w:rPr>
            <w:noProof/>
            <w:webHidden/>
          </w:rPr>
          <w:fldChar w:fldCharType="begin"/>
        </w:r>
        <w:r w:rsidR="005D0B33">
          <w:rPr>
            <w:noProof/>
            <w:webHidden/>
          </w:rPr>
          <w:instrText xml:space="preserve"> PAGEREF _Toc129176333 \h </w:instrText>
        </w:r>
        <w:r w:rsidR="005D0B33">
          <w:rPr>
            <w:noProof/>
            <w:webHidden/>
          </w:rPr>
        </w:r>
        <w:r w:rsidR="005D0B33">
          <w:rPr>
            <w:noProof/>
            <w:webHidden/>
          </w:rPr>
          <w:fldChar w:fldCharType="separate"/>
        </w:r>
        <w:r w:rsidR="004977B1">
          <w:rPr>
            <w:noProof/>
            <w:webHidden/>
          </w:rPr>
          <w:t>4</w:t>
        </w:r>
        <w:r w:rsidR="005D0B33">
          <w:rPr>
            <w:noProof/>
            <w:webHidden/>
          </w:rPr>
          <w:fldChar w:fldCharType="end"/>
        </w:r>
      </w:hyperlink>
    </w:p>
    <w:p w14:paraId="50F8FF46" w14:textId="3550EBD2" w:rsidR="005D0B33" w:rsidRDefault="00000000">
      <w:pPr>
        <w:pStyle w:val="TOC1"/>
        <w:rPr>
          <w:rFonts w:eastAsiaTheme="minorEastAsia" w:cstheme="minorBidi"/>
          <w:noProof/>
          <w:szCs w:val="22"/>
          <w:lang w:val="hr-HR" w:eastAsia="hr-HR"/>
        </w:rPr>
      </w:pPr>
      <w:hyperlink w:anchor="_Toc129176334" w:history="1">
        <w:r w:rsidR="005D0B33" w:rsidRPr="003C32DA">
          <w:rPr>
            <w:rStyle w:val="Hyperlink"/>
            <w:rFonts w:ascii="Calibri" w:eastAsia="SimHei" w:hAnsi="Calibri" w:cs="Calibri"/>
            <w:b/>
            <w:bCs/>
            <w:noProof/>
            <w:lang w:val="en-GB"/>
          </w:rPr>
          <w:t>STATEMENT ON THE CODE OF CORPORATE GOVERNANCE APPLICATION</w:t>
        </w:r>
        <w:r w:rsidR="005D0B33">
          <w:rPr>
            <w:noProof/>
            <w:webHidden/>
          </w:rPr>
          <w:tab/>
        </w:r>
        <w:r w:rsidR="005D0B33">
          <w:rPr>
            <w:noProof/>
            <w:webHidden/>
          </w:rPr>
          <w:fldChar w:fldCharType="begin"/>
        </w:r>
        <w:r w:rsidR="005D0B33">
          <w:rPr>
            <w:noProof/>
            <w:webHidden/>
          </w:rPr>
          <w:instrText xml:space="preserve"> PAGEREF _Toc129176334 \h </w:instrText>
        </w:r>
        <w:r w:rsidR="005D0B33">
          <w:rPr>
            <w:noProof/>
            <w:webHidden/>
          </w:rPr>
        </w:r>
        <w:r w:rsidR="005D0B33">
          <w:rPr>
            <w:noProof/>
            <w:webHidden/>
          </w:rPr>
          <w:fldChar w:fldCharType="separate"/>
        </w:r>
        <w:r w:rsidR="004977B1">
          <w:rPr>
            <w:noProof/>
            <w:webHidden/>
          </w:rPr>
          <w:t>6</w:t>
        </w:r>
        <w:r w:rsidR="005D0B33">
          <w:rPr>
            <w:noProof/>
            <w:webHidden/>
          </w:rPr>
          <w:fldChar w:fldCharType="end"/>
        </w:r>
      </w:hyperlink>
    </w:p>
    <w:p w14:paraId="7B65F89E" w14:textId="7BB2C3ED" w:rsidR="005D0B33" w:rsidRDefault="00000000">
      <w:pPr>
        <w:pStyle w:val="TOC1"/>
        <w:rPr>
          <w:rFonts w:eastAsiaTheme="minorEastAsia" w:cstheme="minorBidi"/>
          <w:noProof/>
          <w:szCs w:val="22"/>
          <w:lang w:val="hr-HR" w:eastAsia="hr-HR"/>
        </w:rPr>
      </w:pPr>
      <w:hyperlink w:anchor="_Toc129176335" w:history="1">
        <w:r w:rsidR="005D0B33" w:rsidRPr="003C32DA">
          <w:rPr>
            <w:rStyle w:val="Hyperlink"/>
            <w:rFonts w:ascii="Calibri" w:eastAsia="SimHei" w:hAnsi="Calibri" w:cs="Calibri"/>
            <w:b/>
            <w:bCs/>
            <w:noProof/>
            <w:lang w:val="en-GB"/>
          </w:rPr>
          <w:t>30 YEARS OF HBOR</w:t>
        </w:r>
        <w:r w:rsidR="005D0B33">
          <w:rPr>
            <w:noProof/>
            <w:webHidden/>
          </w:rPr>
          <w:tab/>
        </w:r>
        <w:r w:rsidR="005D0B33">
          <w:rPr>
            <w:noProof/>
            <w:webHidden/>
          </w:rPr>
          <w:fldChar w:fldCharType="begin"/>
        </w:r>
        <w:r w:rsidR="005D0B33">
          <w:rPr>
            <w:noProof/>
            <w:webHidden/>
          </w:rPr>
          <w:instrText xml:space="preserve"> PAGEREF _Toc129176335 \h </w:instrText>
        </w:r>
        <w:r w:rsidR="005D0B33">
          <w:rPr>
            <w:noProof/>
            <w:webHidden/>
          </w:rPr>
        </w:r>
        <w:r w:rsidR="005D0B33">
          <w:rPr>
            <w:noProof/>
            <w:webHidden/>
          </w:rPr>
          <w:fldChar w:fldCharType="separate"/>
        </w:r>
        <w:r w:rsidR="004977B1">
          <w:rPr>
            <w:noProof/>
            <w:webHidden/>
          </w:rPr>
          <w:t>10</w:t>
        </w:r>
        <w:r w:rsidR="005D0B33">
          <w:rPr>
            <w:noProof/>
            <w:webHidden/>
          </w:rPr>
          <w:fldChar w:fldCharType="end"/>
        </w:r>
      </w:hyperlink>
    </w:p>
    <w:p w14:paraId="11FFBD96" w14:textId="459CAAFA" w:rsidR="005D0B33" w:rsidRDefault="00000000">
      <w:pPr>
        <w:pStyle w:val="TOC1"/>
        <w:rPr>
          <w:rFonts w:eastAsiaTheme="minorEastAsia" w:cstheme="minorBidi"/>
          <w:noProof/>
          <w:szCs w:val="22"/>
          <w:lang w:val="hr-HR" w:eastAsia="hr-HR"/>
        </w:rPr>
      </w:pPr>
      <w:hyperlink w:anchor="_Toc129176336" w:history="1">
        <w:r w:rsidR="005D0B33" w:rsidRPr="003C32DA">
          <w:rPr>
            <w:rStyle w:val="Hyperlink"/>
            <w:rFonts w:cstheme="minorHAnsi"/>
            <w:b/>
            <w:bCs/>
            <w:noProof/>
            <w:lang w:val="en-GB"/>
          </w:rPr>
          <w:t xml:space="preserve">DESCRIPTION OF OPERATIONS OF HBOR GROUP IN </w:t>
        </w:r>
        <w:r w:rsidR="005D0B33" w:rsidRPr="003C32DA">
          <w:rPr>
            <w:rStyle w:val="Hyperlink"/>
            <w:rFonts w:ascii="Calibri" w:eastAsia="SimHei" w:hAnsi="Calibri" w:cs="Calibri"/>
            <w:b/>
            <w:bCs/>
            <w:noProof/>
            <w:lang w:val="en-GB"/>
          </w:rPr>
          <w:t>2022</w:t>
        </w:r>
        <w:r w:rsidR="005D0B33">
          <w:rPr>
            <w:noProof/>
            <w:webHidden/>
          </w:rPr>
          <w:tab/>
        </w:r>
        <w:r w:rsidR="005D0B33">
          <w:rPr>
            <w:noProof/>
            <w:webHidden/>
          </w:rPr>
          <w:fldChar w:fldCharType="begin"/>
        </w:r>
        <w:r w:rsidR="005D0B33">
          <w:rPr>
            <w:noProof/>
            <w:webHidden/>
          </w:rPr>
          <w:instrText xml:space="preserve"> PAGEREF _Toc129176336 \h </w:instrText>
        </w:r>
        <w:r w:rsidR="005D0B33">
          <w:rPr>
            <w:noProof/>
            <w:webHidden/>
          </w:rPr>
        </w:r>
        <w:r w:rsidR="005D0B33">
          <w:rPr>
            <w:noProof/>
            <w:webHidden/>
          </w:rPr>
          <w:fldChar w:fldCharType="separate"/>
        </w:r>
        <w:r w:rsidR="004977B1">
          <w:rPr>
            <w:noProof/>
            <w:webHidden/>
          </w:rPr>
          <w:t>11</w:t>
        </w:r>
        <w:r w:rsidR="005D0B33">
          <w:rPr>
            <w:noProof/>
            <w:webHidden/>
          </w:rPr>
          <w:fldChar w:fldCharType="end"/>
        </w:r>
      </w:hyperlink>
    </w:p>
    <w:p w14:paraId="1B18E475" w14:textId="1E06F597" w:rsidR="005D0B33" w:rsidRDefault="00000000">
      <w:pPr>
        <w:pStyle w:val="TOC1"/>
        <w:rPr>
          <w:rFonts w:eastAsiaTheme="minorEastAsia" w:cstheme="minorBidi"/>
          <w:noProof/>
          <w:szCs w:val="22"/>
          <w:lang w:val="hr-HR" w:eastAsia="hr-HR"/>
        </w:rPr>
      </w:pPr>
      <w:hyperlink w:anchor="_Toc129176337" w:history="1">
        <w:r w:rsidR="005D0B33" w:rsidRPr="003C32DA">
          <w:rPr>
            <w:rStyle w:val="Hyperlink"/>
            <w:rFonts w:ascii="Calibri" w:eastAsia="SimHei" w:hAnsi="Calibri" w:cs="Calibri"/>
            <w:b/>
            <w:bCs/>
            <w:noProof/>
            <w:lang w:val="en-GB"/>
          </w:rPr>
          <w:t>OPERATIONS OF CROATIAN BANK FOR RECONSTRUCTION AND DEVELOPMENT</w:t>
        </w:r>
        <w:r w:rsidR="005D0B33">
          <w:rPr>
            <w:noProof/>
            <w:webHidden/>
          </w:rPr>
          <w:tab/>
        </w:r>
        <w:r w:rsidR="005D0B33">
          <w:rPr>
            <w:noProof/>
            <w:webHidden/>
          </w:rPr>
          <w:fldChar w:fldCharType="begin"/>
        </w:r>
        <w:r w:rsidR="005D0B33">
          <w:rPr>
            <w:noProof/>
            <w:webHidden/>
          </w:rPr>
          <w:instrText xml:space="preserve"> PAGEREF _Toc129176337 \h </w:instrText>
        </w:r>
        <w:r w:rsidR="005D0B33">
          <w:rPr>
            <w:noProof/>
            <w:webHidden/>
          </w:rPr>
        </w:r>
        <w:r w:rsidR="005D0B33">
          <w:rPr>
            <w:noProof/>
            <w:webHidden/>
          </w:rPr>
          <w:fldChar w:fldCharType="separate"/>
        </w:r>
        <w:r w:rsidR="004977B1">
          <w:rPr>
            <w:noProof/>
            <w:webHidden/>
          </w:rPr>
          <w:t>11</w:t>
        </w:r>
        <w:r w:rsidR="005D0B33">
          <w:rPr>
            <w:noProof/>
            <w:webHidden/>
          </w:rPr>
          <w:fldChar w:fldCharType="end"/>
        </w:r>
      </w:hyperlink>
    </w:p>
    <w:p w14:paraId="2501227D" w14:textId="3B7E58D9" w:rsidR="005D0B33" w:rsidRDefault="00000000">
      <w:pPr>
        <w:pStyle w:val="TOC1"/>
        <w:rPr>
          <w:rFonts w:eastAsiaTheme="minorEastAsia" w:cstheme="minorBidi"/>
          <w:noProof/>
          <w:szCs w:val="22"/>
          <w:lang w:val="hr-HR" w:eastAsia="hr-HR"/>
        </w:rPr>
      </w:pPr>
      <w:hyperlink w:anchor="_Toc129176338" w:history="1">
        <w:r w:rsidR="005D0B33" w:rsidRPr="003C32DA">
          <w:rPr>
            <w:rStyle w:val="Hyperlink"/>
            <w:rFonts w:ascii="Calibri" w:eastAsia="SimHei" w:hAnsi="Calibri" w:cs="Calibri"/>
            <w:b/>
            <w:bCs/>
            <w:noProof/>
            <w:lang w:val="en-GB"/>
          </w:rPr>
          <w:t>NEW MEASURES AND PRODUCTS INTRODUCED</w:t>
        </w:r>
        <w:r w:rsidR="005D0B33">
          <w:rPr>
            <w:noProof/>
            <w:webHidden/>
          </w:rPr>
          <w:tab/>
        </w:r>
        <w:r w:rsidR="005D0B33">
          <w:rPr>
            <w:noProof/>
            <w:webHidden/>
          </w:rPr>
          <w:fldChar w:fldCharType="begin"/>
        </w:r>
        <w:r w:rsidR="005D0B33">
          <w:rPr>
            <w:noProof/>
            <w:webHidden/>
          </w:rPr>
          <w:instrText xml:space="preserve"> PAGEREF _Toc129176338 \h </w:instrText>
        </w:r>
        <w:r w:rsidR="005D0B33">
          <w:rPr>
            <w:noProof/>
            <w:webHidden/>
          </w:rPr>
        </w:r>
        <w:r w:rsidR="005D0B33">
          <w:rPr>
            <w:noProof/>
            <w:webHidden/>
          </w:rPr>
          <w:fldChar w:fldCharType="separate"/>
        </w:r>
        <w:r w:rsidR="004977B1">
          <w:rPr>
            <w:noProof/>
            <w:webHidden/>
          </w:rPr>
          <w:t>14</w:t>
        </w:r>
        <w:r w:rsidR="005D0B33">
          <w:rPr>
            <w:noProof/>
            <w:webHidden/>
          </w:rPr>
          <w:fldChar w:fldCharType="end"/>
        </w:r>
      </w:hyperlink>
    </w:p>
    <w:p w14:paraId="3794E1EA" w14:textId="5928D407" w:rsidR="005D0B33" w:rsidRDefault="00000000">
      <w:pPr>
        <w:pStyle w:val="TOC2"/>
        <w:rPr>
          <w:rFonts w:eastAsiaTheme="minorEastAsia" w:cstheme="minorBidi"/>
          <w:noProof/>
          <w:sz w:val="22"/>
          <w:szCs w:val="22"/>
          <w:lang w:val="hr-HR" w:eastAsia="hr-HR"/>
        </w:rPr>
      </w:pPr>
      <w:hyperlink w:anchor="_Toc129176339" w:history="1">
        <w:r w:rsidR="005D0B33" w:rsidRPr="003C32DA">
          <w:rPr>
            <w:rStyle w:val="Hyperlink"/>
            <w:rFonts w:ascii="Calibri" w:eastAsia="SimSun" w:hAnsi="Calibri" w:cs="Calibri"/>
            <w:b/>
            <w:bCs/>
            <w:noProof/>
            <w:lang w:val="en-GB"/>
          </w:rPr>
          <w:t>MEASURES TO HELP THE ECONOMY FOLLOWING THE RUSSIAN AGGRESSION AGAINST UKRAINE</w:t>
        </w:r>
        <w:r w:rsidR="005D0B33">
          <w:rPr>
            <w:noProof/>
            <w:webHidden/>
          </w:rPr>
          <w:tab/>
        </w:r>
        <w:r w:rsidR="005D0B33">
          <w:rPr>
            <w:noProof/>
            <w:webHidden/>
          </w:rPr>
          <w:fldChar w:fldCharType="begin"/>
        </w:r>
        <w:r w:rsidR="005D0B33">
          <w:rPr>
            <w:noProof/>
            <w:webHidden/>
          </w:rPr>
          <w:instrText xml:space="preserve"> PAGEREF _Toc129176339 \h </w:instrText>
        </w:r>
        <w:r w:rsidR="005D0B33">
          <w:rPr>
            <w:noProof/>
            <w:webHidden/>
          </w:rPr>
        </w:r>
        <w:r w:rsidR="005D0B33">
          <w:rPr>
            <w:noProof/>
            <w:webHidden/>
          </w:rPr>
          <w:fldChar w:fldCharType="separate"/>
        </w:r>
        <w:r w:rsidR="004977B1">
          <w:rPr>
            <w:noProof/>
            <w:webHidden/>
          </w:rPr>
          <w:t>14</w:t>
        </w:r>
        <w:r w:rsidR="005D0B33">
          <w:rPr>
            <w:noProof/>
            <w:webHidden/>
          </w:rPr>
          <w:fldChar w:fldCharType="end"/>
        </w:r>
      </w:hyperlink>
    </w:p>
    <w:p w14:paraId="65AB92F1" w14:textId="557ECDFD" w:rsidR="005D0B33" w:rsidRDefault="00000000">
      <w:pPr>
        <w:pStyle w:val="TOC2"/>
        <w:rPr>
          <w:rFonts w:eastAsiaTheme="minorEastAsia" w:cstheme="minorBidi"/>
          <w:noProof/>
          <w:sz w:val="22"/>
          <w:szCs w:val="22"/>
          <w:lang w:val="hr-HR" w:eastAsia="hr-HR"/>
        </w:rPr>
      </w:pPr>
      <w:hyperlink w:anchor="_Toc129176340" w:history="1">
        <w:r w:rsidR="005D0B33" w:rsidRPr="003C32DA">
          <w:rPr>
            <w:rStyle w:val="Hyperlink"/>
            <w:rFonts w:ascii="Calibri" w:eastAsia="SimSun" w:hAnsi="Calibri" w:cs="Calibri"/>
            <w:b/>
            <w:bCs/>
            <w:noProof/>
            <w:lang w:val="en-GB"/>
          </w:rPr>
          <w:t>NATIONAL RECOVERY AND RESILIENCE PLAN</w:t>
        </w:r>
        <w:r w:rsidR="005D0B33">
          <w:rPr>
            <w:noProof/>
            <w:webHidden/>
          </w:rPr>
          <w:tab/>
        </w:r>
        <w:r w:rsidR="005D0B33">
          <w:rPr>
            <w:noProof/>
            <w:webHidden/>
          </w:rPr>
          <w:fldChar w:fldCharType="begin"/>
        </w:r>
        <w:r w:rsidR="005D0B33">
          <w:rPr>
            <w:noProof/>
            <w:webHidden/>
          </w:rPr>
          <w:instrText xml:space="preserve"> PAGEREF _Toc129176340 \h </w:instrText>
        </w:r>
        <w:r w:rsidR="005D0B33">
          <w:rPr>
            <w:noProof/>
            <w:webHidden/>
          </w:rPr>
        </w:r>
        <w:r w:rsidR="005D0B33">
          <w:rPr>
            <w:noProof/>
            <w:webHidden/>
          </w:rPr>
          <w:fldChar w:fldCharType="separate"/>
        </w:r>
        <w:r w:rsidR="004977B1">
          <w:rPr>
            <w:noProof/>
            <w:webHidden/>
          </w:rPr>
          <w:t>15</w:t>
        </w:r>
        <w:r w:rsidR="005D0B33">
          <w:rPr>
            <w:noProof/>
            <w:webHidden/>
          </w:rPr>
          <w:fldChar w:fldCharType="end"/>
        </w:r>
      </w:hyperlink>
    </w:p>
    <w:p w14:paraId="02310597" w14:textId="3AA7730E" w:rsidR="005D0B33" w:rsidRDefault="00000000">
      <w:pPr>
        <w:pStyle w:val="TOC1"/>
        <w:rPr>
          <w:rFonts w:eastAsiaTheme="minorEastAsia" w:cstheme="minorBidi"/>
          <w:noProof/>
          <w:szCs w:val="22"/>
          <w:lang w:val="hr-HR" w:eastAsia="hr-HR"/>
        </w:rPr>
      </w:pPr>
      <w:hyperlink w:anchor="_Toc129176341" w:history="1">
        <w:r w:rsidR="005D0B33" w:rsidRPr="003C32DA">
          <w:rPr>
            <w:rStyle w:val="Hyperlink"/>
            <w:rFonts w:ascii="Calibri" w:eastAsia="SimHei" w:hAnsi="Calibri" w:cs="Calibri"/>
            <w:b/>
            <w:bCs/>
            <w:noProof/>
            <w:lang w:val="en-GB"/>
          </w:rPr>
          <w:t>IMPLEMENTATION OF COVID-19 MEASURES</w:t>
        </w:r>
        <w:r w:rsidR="005D0B33">
          <w:rPr>
            <w:noProof/>
            <w:webHidden/>
          </w:rPr>
          <w:tab/>
        </w:r>
        <w:r w:rsidR="005D0B33">
          <w:rPr>
            <w:noProof/>
            <w:webHidden/>
          </w:rPr>
          <w:fldChar w:fldCharType="begin"/>
        </w:r>
        <w:r w:rsidR="005D0B33">
          <w:rPr>
            <w:noProof/>
            <w:webHidden/>
          </w:rPr>
          <w:instrText xml:space="preserve"> PAGEREF _Toc129176341 \h </w:instrText>
        </w:r>
        <w:r w:rsidR="005D0B33">
          <w:rPr>
            <w:noProof/>
            <w:webHidden/>
          </w:rPr>
        </w:r>
        <w:r w:rsidR="005D0B33">
          <w:rPr>
            <w:noProof/>
            <w:webHidden/>
          </w:rPr>
          <w:fldChar w:fldCharType="separate"/>
        </w:r>
        <w:r w:rsidR="004977B1">
          <w:rPr>
            <w:noProof/>
            <w:webHidden/>
          </w:rPr>
          <w:t>18</w:t>
        </w:r>
        <w:r w:rsidR="005D0B33">
          <w:rPr>
            <w:noProof/>
            <w:webHidden/>
          </w:rPr>
          <w:fldChar w:fldCharType="end"/>
        </w:r>
      </w:hyperlink>
    </w:p>
    <w:p w14:paraId="2DB023C2" w14:textId="20D69730" w:rsidR="005D0B33" w:rsidRDefault="00000000">
      <w:pPr>
        <w:pStyle w:val="TOC1"/>
        <w:rPr>
          <w:rFonts w:eastAsiaTheme="minorEastAsia" w:cstheme="minorBidi"/>
          <w:noProof/>
          <w:szCs w:val="22"/>
          <w:lang w:val="hr-HR" w:eastAsia="hr-HR"/>
        </w:rPr>
      </w:pPr>
      <w:hyperlink w:anchor="_Toc129176342" w:history="1">
        <w:r w:rsidR="005D0B33" w:rsidRPr="003C32DA">
          <w:rPr>
            <w:rStyle w:val="Hyperlink"/>
            <w:rFonts w:ascii="Calibri" w:eastAsia="SimHei" w:hAnsi="Calibri" w:cs="Calibri"/>
            <w:b/>
            <w:bCs/>
            <w:noProof/>
            <w:lang w:val="en-GB"/>
          </w:rPr>
          <w:t>CONTINUED COOPERATION WITH LRGUs AND HAMAG-BICRO</w:t>
        </w:r>
        <w:r w:rsidR="005D0B33">
          <w:rPr>
            <w:noProof/>
            <w:webHidden/>
          </w:rPr>
          <w:tab/>
        </w:r>
        <w:r w:rsidR="005D0B33">
          <w:rPr>
            <w:noProof/>
            <w:webHidden/>
          </w:rPr>
          <w:fldChar w:fldCharType="begin"/>
        </w:r>
        <w:r w:rsidR="005D0B33">
          <w:rPr>
            <w:noProof/>
            <w:webHidden/>
          </w:rPr>
          <w:instrText xml:space="preserve"> PAGEREF _Toc129176342 \h </w:instrText>
        </w:r>
        <w:r w:rsidR="005D0B33">
          <w:rPr>
            <w:noProof/>
            <w:webHidden/>
          </w:rPr>
        </w:r>
        <w:r w:rsidR="005D0B33">
          <w:rPr>
            <w:noProof/>
            <w:webHidden/>
          </w:rPr>
          <w:fldChar w:fldCharType="separate"/>
        </w:r>
        <w:r w:rsidR="004977B1">
          <w:rPr>
            <w:noProof/>
            <w:webHidden/>
          </w:rPr>
          <w:t>20</w:t>
        </w:r>
        <w:r w:rsidR="005D0B33">
          <w:rPr>
            <w:noProof/>
            <w:webHidden/>
          </w:rPr>
          <w:fldChar w:fldCharType="end"/>
        </w:r>
      </w:hyperlink>
    </w:p>
    <w:p w14:paraId="5958A245" w14:textId="45F3F1C3" w:rsidR="005D0B33" w:rsidRDefault="00000000">
      <w:pPr>
        <w:pStyle w:val="TOC2"/>
        <w:rPr>
          <w:rFonts w:eastAsiaTheme="minorEastAsia" w:cstheme="minorBidi"/>
          <w:noProof/>
          <w:sz w:val="22"/>
          <w:szCs w:val="22"/>
          <w:lang w:val="hr-HR" w:eastAsia="hr-HR"/>
        </w:rPr>
      </w:pPr>
      <w:hyperlink w:anchor="_Toc129176343" w:history="1">
        <w:r w:rsidR="005D0B33" w:rsidRPr="003C32DA">
          <w:rPr>
            <w:rStyle w:val="Hyperlink"/>
            <w:rFonts w:cstheme="minorHAnsi"/>
            <w:b/>
            <w:bCs/>
            <w:noProof/>
            <w:lang w:val="en-GB"/>
          </w:rPr>
          <w:t>INTEREST RATE SUBSIDY IN INDIVIDUAL COUNTIES, MUNICIPALITIES AND CITIES</w:t>
        </w:r>
        <w:r w:rsidR="005D0B33">
          <w:rPr>
            <w:noProof/>
            <w:webHidden/>
          </w:rPr>
          <w:tab/>
        </w:r>
        <w:r w:rsidR="005D0B33">
          <w:rPr>
            <w:noProof/>
            <w:webHidden/>
          </w:rPr>
          <w:fldChar w:fldCharType="begin"/>
        </w:r>
        <w:r w:rsidR="005D0B33">
          <w:rPr>
            <w:noProof/>
            <w:webHidden/>
          </w:rPr>
          <w:instrText xml:space="preserve"> PAGEREF _Toc129176343 \h </w:instrText>
        </w:r>
        <w:r w:rsidR="005D0B33">
          <w:rPr>
            <w:noProof/>
            <w:webHidden/>
          </w:rPr>
        </w:r>
        <w:r w:rsidR="005D0B33">
          <w:rPr>
            <w:noProof/>
            <w:webHidden/>
          </w:rPr>
          <w:fldChar w:fldCharType="separate"/>
        </w:r>
        <w:r w:rsidR="004977B1">
          <w:rPr>
            <w:noProof/>
            <w:webHidden/>
          </w:rPr>
          <w:t>20</w:t>
        </w:r>
        <w:r w:rsidR="005D0B33">
          <w:rPr>
            <w:noProof/>
            <w:webHidden/>
          </w:rPr>
          <w:fldChar w:fldCharType="end"/>
        </w:r>
      </w:hyperlink>
    </w:p>
    <w:p w14:paraId="385604E9" w14:textId="0F200A66" w:rsidR="005D0B33" w:rsidRDefault="00000000">
      <w:pPr>
        <w:pStyle w:val="TOC2"/>
        <w:rPr>
          <w:rFonts w:eastAsiaTheme="minorEastAsia" w:cstheme="minorBidi"/>
          <w:noProof/>
          <w:sz w:val="22"/>
          <w:szCs w:val="22"/>
          <w:lang w:val="hr-HR" w:eastAsia="hr-HR"/>
        </w:rPr>
      </w:pPr>
      <w:hyperlink w:anchor="_Toc129176344" w:history="1">
        <w:r w:rsidR="005D0B33" w:rsidRPr="003C32DA">
          <w:rPr>
            <w:rStyle w:val="Hyperlink"/>
            <w:rFonts w:ascii="Calibri" w:eastAsia="SimSun" w:hAnsi="Calibri" w:cs="Calibri"/>
            <w:b/>
            <w:bCs/>
            <w:noProof/>
            <w:lang w:val="en-GB"/>
          </w:rPr>
          <w:t>CO-OPERATION WITH HAMAG-BICRO</w:t>
        </w:r>
        <w:r w:rsidR="005D0B33">
          <w:rPr>
            <w:noProof/>
            <w:webHidden/>
          </w:rPr>
          <w:tab/>
        </w:r>
        <w:r w:rsidR="005D0B33">
          <w:rPr>
            <w:noProof/>
            <w:webHidden/>
          </w:rPr>
          <w:fldChar w:fldCharType="begin"/>
        </w:r>
        <w:r w:rsidR="005D0B33">
          <w:rPr>
            <w:noProof/>
            <w:webHidden/>
          </w:rPr>
          <w:instrText xml:space="preserve"> PAGEREF _Toc129176344 \h </w:instrText>
        </w:r>
        <w:r w:rsidR="005D0B33">
          <w:rPr>
            <w:noProof/>
            <w:webHidden/>
          </w:rPr>
        </w:r>
        <w:r w:rsidR="005D0B33">
          <w:rPr>
            <w:noProof/>
            <w:webHidden/>
          </w:rPr>
          <w:fldChar w:fldCharType="separate"/>
        </w:r>
        <w:r w:rsidR="004977B1">
          <w:rPr>
            <w:noProof/>
            <w:webHidden/>
          </w:rPr>
          <w:t>20</w:t>
        </w:r>
        <w:r w:rsidR="005D0B33">
          <w:rPr>
            <w:noProof/>
            <w:webHidden/>
          </w:rPr>
          <w:fldChar w:fldCharType="end"/>
        </w:r>
      </w:hyperlink>
    </w:p>
    <w:p w14:paraId="5707424C" w14:textId="1C17B83B" w:rsidR="005D0B33" w:rsidRDefault="00000000">
      <w:pPr>
        <w:pStyle w:val="TOC1"/>
        <w:rPr>
          <w:rFonts w:eastAsiaTheme="minorEastAsia" w:cstheme="minorBidi"/>
          <w:noProof/>
          <w:szCs w:val="22"/>
          <w:lang w:val="hr-HR" w:eastAsia="hr-HR"/>
        </w:rPr>
      </w:pPr>
      <w:hyperlink w:anchor="_Toc129176345" w:history="1">
        <w:r w:rsidR="005D0B33" w:rsidRPr="003C32DA">
          <w:rPr>
            <w:rStyle w:val="Hyperlink"/>
            <w:rFonts w:ascii="Calibri" w:eastAsia="SimHei" w:hAnsi="Calibri" w:cs="Calibri"/>
            <w:b/>
            <w:bCs/>
            <w:noProof/>
            <w:lang w:val="en-GB"/>
          </w:rPr>
          <w:t>EU PROGRAMMES AND INITIATIVES</w:t>
        </w:r>
        <w:r w:rsidR="005D0B33">
          <w:rPr>
            <w:noProof/>
            <w:webHidden/>
          </w:rPr>
          <w:tab/>
        </w:r>
        <w:r w:rsidR="005D0B33">
          <w:rPr>
            <w:noProof/>
            <w:webHidden/>
          </w:rPr>
          <w:fldChar w:fldCharType="begin"/>
        </w:r>
        <w:r w:rsidR="005D0B33">
          <w:rPr>
            <w:noProof/>
            <w:webHidden/>
          </w:rPr>
          <w:instrText xml:space="preserve"> PAGEREF _Toc129176345 \h </w:instrText>
        </w:r>
        <w:r w:rsidR="005D0B33">
          <w:rPr>
            <w:noProof/>
            <w:webHidden/>
          </w:rPr>
        </w:r>
        <w:r w:rsidR="005D0B33">
          <w:rPr>
            <w:noProof/>
            <w:webHidden/>
          </w:rPr>
          <w:fldChar w:fldCharType="separate"/>
        </w:r>
        <w:r w:rsidR="004977B1">
          <w:rPr>
            <w:noProof/>
            <w:webHidden/>
          </w:rPr>
          <w:t>21</w:t>
        </w:r>
        <w:r w:rsidR="005D0B33">
          <w:rPr>
            <w:noProof/>
            <w:webHidden/>
          </w:rPr>
          <w:fldChar w:fldCharType="end"/>
        </w:r>
      </w:hyperlink>
    </w:p>
    <w:p w14:paraId="4C874DC7" w14:textId="020127C3" w:rsidR="005D0B33" w:rsidRDefault="00000000">
      <w:pPr>
        <w:pStyle w:val="TOC2"/>
        <w:rPr>
          <w:rFonts w:eastAsiaTheme="minorEastAsia" w:cstheme="minorBidi"/>
          <w:noProof/>
          <w:sz w:val="22"/>
          <w:szCs w:val="22"/>
          <w:lang w:val="hr-HR" w:eastAsia="hr-HR"/>
        </w:rPr>
      </w:pPr>
      <w:hyperlink w:anchor="_Toc129176346" w:history="1">
        <w:r w:rsidR="005D0B33" w:rsidRPr="003C32DA">
          <w:rPr>
            <w:rStyle w:val="Hyperlink"/>
            <w:rFonts w:ascii="Calibri" w:eastAsia="SimSun" w:hAnsi="Calibri" w:cs="Calibri"/>
            <w:b/>
            <w:bCs/>
            <w:noProof/>
            <w:lang w:val="en-GB"/>
          </w:rPr>
          <w:t>FINANCIAL INSTRUMENTS</w:t>
        </w:r>
        <w:r w:rsidR="005D0B33">
          <w:rPr>
            <w:noProof/>
            <w:webHidden/>
          </w:rPr>
          <w:tab/>
        </w:r>
        <w:r w:rsidR="005D0B33">
          <w:rPr>
            <w:noProof/>
            <w:webHidden/>
          </w:rPr>
          <w:fldChar w:fldCharType="begin"/>
        </w:r>
        <w:r w:rsidR="005D0B33">
          <w:rPr>
            <w:noProof/>
            <w:webHidden/>
          </w:rPr>
          <w:instrText xml:space="preserve"> PAGEREF _Toc129176346 \h </w:instrText>
        </w:r>
        <w:r w:rsidR="005D0B33">
          <w:rPr>
            <w:noProof/>
            <w:webHidden/>
          </w:rPr>
        </w:r>
        <w:r w:rsidR="005D0B33">
          <w:rPr>
            <w:noProof/>
            <w:webHidden/>
          </w:rPr>
          <w:fldChar w:fldCharType="separate"/>
        </w:r>
        <w:r w:rsidR="004977B1">
          <w:rPr>
            <w:noProof/>
            <w:webHidden/>
          </w:rPr>
          <w:t>21</w:t>
        </w:r>
        <w:r w:rsidR="005D0B33">
          <w:rPr>
            <w:noProof/>
            <w:webHidden/>
          </w:rPr>
          <w:fldChar w:fldCharType="end"/>
        </w:r>
      </w:hyperlink>
    </w:p>
    <w:p w14:paraId="7DBFA1E8" w14:textId="39DFFB26" w:rsidR="005D0B33" w:rsidRDefault="00000000">
      <w:pPr>
        <w:pStyle w:val="TOC3"/>
        <w:tabs>
          <w:tab w:val="right" w:leader="dot" w:pos="9345"/>
        </w:tabs>
        <w:rPr>
          <w:rFonts w:eastAsiaTheme="minorEastAsia" w:cstheme="minorBidi"/>
          <w:noProof/>
          <w:sz w:val="22"/>
          <w:szCs w:val="22"/>
          <w:lang w:val="hr-HR" w:eastAsia="hr-HR"/>
        </w:rPr>
      </w:pPr>
      <w:hyperlink w:anchor="_Toc129176347" w:history="1">
        <w:r w:rsidR="005D0B33" w:rsidRPr="003C32DA">
          <w:rPr>
            <w:rStyle w:val="Hyperlink"/>
            <w:rFonts w:cstheme="minorHAnsi"/>
            <w:b/>
            <w:bCs/>
            <w:noProof/>
            <w:lang w:val="en-GB"/>
          </w:rPr>
          <w:t>GUARANTEES UNDER PAN-EUROPEAN GUARANTEE FUND (EGF) – GRANTING LOANS ON FAVOURABLE TERMS AND CONDITIONS TO MITIGATE THE CONSEQUENCES OF THE COVID-19 PANDEMIC</w:t>
        </w:r>
        <w:r w:rsidR="005D0B33">
          <w:rPr>
            <w:noProof/>
            <w:webHidden/>
          </w:rPr>
          <w:tab/>
        </w:r>
        <w:r w:rsidR="005D0B33">
          <w:rPr>
            <w:noProof/>
            <w:webHidden/>
          </w:rPr>
          <w:fldChar w:fldCharType="begin"/>
        </w:r>
        <w:r w:rsidR="005D0B33">
          <w:rPr>
            <w:noProof/>
            <w:webHidden/>
          </w:rPr>
          <w:instrText xml:space="preserve"> PAGEREF _Toc129176347 \h </w:instrText>
        </w:r>
        <w:r w:rsidR="005D0B33">
          <w:rPr>
            <w:noProof/>
            <w:webHidden/>
          </w:rPr>
        </w:r>
        <w:r w:rsidR="005D0B33">
          <w:rPr>
            <w:noProof/>
            <w:webHidden/>
          </w:rPr>
          <w:fldChar w:fldCharType="separate"/>
        </w:r>
        <w:r w:rsidR="004977B1">
          <w:rPr>
            <w:noProof/>
            <w:webHidden/>
          </w:rPr>
          <w:t>21</w:t>
        </w:r>
        <w:r w:rsidR="005D0B33">
          <w:rPr>
            <w:noProof/>
            <w:webHidden/>
          </w:rPr>
          <w:fldChar w:fldCharType="end"/>
        </w:r>
      </w:hyperlink>
    </w:p>
    <w:p w14:paraId="3BB34096" w14:textId="44BFF7DB" w:rsidR="005D0B33" w:rsidRDefault="00000000">
      <w:pPr>
        <w:pStyle w:val="TOC3"/>
        <w:tabs>
          <w:tab w:val="right" w:leader="dot" w:pos="9345"/>
        </w:tabs>
        <w:rPr>
          <w:rFonts w:eastAsiaTheme="minorEastAsia" w:cstheme="minorBidi"/>
          <w:noProof/>
          <w:sz w:val="22"/>
          <w:szCs w:val="22"/>
          <w:lang w:val="hr-HR" w:eastAsia="hr-HR"/>
        </w:rPr>
      </w:pPr>
      <w:hyperlink w:anchor="_Toc129176348" w:history="1">
        <w:r w:rsidR="005D0B33" w:rsidRPr="003C32DA">
          <w:rPr>
            <w:rStyle w:val="Hyperlink"/>
            <w:rFonts w:ascii="Calibri" w:eastAsia="SimSun" w:hAnsi="Calibri" w:cs="Calibri"/>
            <w:b/>
            <w:bCs/>
            <w:noProof/>
            <w:lang w:val="en-GB"/>
          </w:rPr>
          <w:t xml:space="preserve">NATURAL CAPITAL FINANCING FACILITY (NCFF) - </w:t>
        </w:r>
        <w:r w:rsidR="005D0B33" w:rsidRPr="003C32DA">
          <w:rPr>
            <w:rStyle w:val="Hyperlink"/>
            <w:rFonts w:cstheme="minorHAnsi"/>
            <w:b/>
            <w:bCs/>
            <w:noProof/>
            <w:lang w:val="en-GB"/>
          </w:rPr>
          <w:t>CREDIT LINE FOR THE FINANCING OF NATURAL CAPITAL</w:t>
        </w:r>
        <w:r w:rsidR="005D0B33">
          <w:rPr>
            <w:noProof/>
            <w:webHidden/>
          </w:rPr>
          <w:tab/>
        </w:r>
        <w:r w:rsidR="005D0B33">
          <w:rPr>
            <w:noProof/>
            <w:webHidden/>
          </w:rPr>
          <w:fldChar w:fldCharType="begin"/>
        </w:r>
        <w:r w:rsidR="005D0B33">
          <w:rPr>
            <w:noProof/>
            <w:webHidden/>
          </w:rPr>
          <w:instrText xml:space="preserve"> PAGEREF _Toc129176348 \h </w:instrText>
        </w:r>
        <w:r w:rsidR="005D0B33">
          <w:rPr>
            <w:noProof/>
            <w:webHidden/>
          </w:rPr>
        </w:r>
        <w:r w:rsidR="005D0B33">
          <w:rPr>
            <w:noProof/>
            <w:webHidden/>
          </w:rPr>
          <w:fldChar w:fldCharType="separate"/>
        </w:r>
        <w:r w:rsidR="004977B1">
          <w:rPr>
            <w:noProof/>
            <w:webHidden/>
          </w:rPr>
          <w:t>21</w:t>
        </w:r>
        <w:r w:rsidR="005D0B33">
          <w:rPr>
            <w:noProof/>
            <w:webHidden/>
          </w:rPr>
          <w:fldChar w:fldCharType="end"/>
        </w:r>
      </w:hyperlink>
    </w:p>
    <w:p w14:paraId="66C18558" w14:textId="41D549F2" w:rsidR="005D0B33" w:rsidRDefault="00000000">
      <w:pPr>
        <w:pStyle w:val="TOC3"/>
        <w:tabs>
          <w:tab w:val="right" w:leader="dot" w:pos="9345"/>
        </w:tabs>
        <w:rPr>
          <w:rFonts w:eastAsiaTheme="minorEastAsia" w:cstheme="minorBidi"/>
          <w:noProof/>
          <w:sz w:val="22"/>
          <w:szCs w:val="22"/>
          <w:lang w:val="hr-HR" w:eastAsia="hr-HR"/>
        </w:rPr>
      </w:pPr>
      <w:hyperlink w:anchor="_Toc129176349" w:history="1">
        <w:r w:rsidR="005D0B33" w:rsidRPr="003C32DA">
          <w:rPr>
            <w:rStyle w:val="Hyperlink"/>
            <w:rFonts w:cstheme="minorHAnsi"/>
            <w:b/>
            <w:bCs/>
            <w:noProof/>
            <w:lang w:val="en-GB"/>
          </w:rPr>
          <w:t>ADVISORY SERVICES TO THE PUBLIC SECTOR THROUGH THE EUROPEAN INVESTMENT ADVISORY HUB - EIAH</w:t>
        </w:r>
        <w:r w:rsidR="005D0B33">
          <w:rPr>
            <w:noProof/>
            <w:webHidden/>
          </w:rPr>
          <w:tab/>
        </w:r>
        <w:r w:rsidR="005D0B33">
          <w:rPr>
            <w:noProof/>
            <w:webHidden/>
          </w:rPr>
          <w:fldChar w:fldCharType="begin"/>
        </w:r>
        <w:r w:rsidR="005D0B33">
          <w:rPr>
            <w:noProof/>
            <w:webHidden/>
          </w:rPr>
          <w:instrText xml:space="preserve"> PAGEREF _Toc129176349 \h </w:instrText>
        </w:r>
        <w:r w:rsidR="005D0B33">
          <w:rPr>
            <w:noProof/>
            <w:webHidden/>
          </w:rPr>
        </w:r>
        <w:r w:rsidR="005D0B33">
          <w:rPr>
            <w:noProof/>
            <w:webHidden/>
          </w:rPr>
          <w:fldChar w:fldCharType="separate"/>
        </w:r>
        <w:r w:rsidR="004977B1">
          <w:rPr>
            <w:noProof/>
            <w:webHidden/>
          </w:rPr>
          <w:t>22</w:t>
        </w:r>
        <w:r w:rsidR="005D0B33">
          <w:rPr>
            <w:noProof/>
            <w:webHidden/>
          </w:rPr>
          <w:fldChar w:fldCharType="end"/>
        </w:r>
      </w:hyperlink>
    </w:p>
    <w:p w14:paraId="29256C6B" w14:textId="67177BD9" w:rsidR="005D0B33" w:rsidRDefault="00000000">
      <w:pPr>
        <w:pStyle w:val="TOC3"/>
        <w:tabs>
          <w:tab w:val="right" w:leader="dot" w:pos="9345"/>
        </w:tabs>
        <w:rPr>
          <w:rFonts w:eastAsiaTheme="minorEastAsia" w:cstheme="minorBidi"/>
          <w:noProof/>
          <w:sz w:val="22"/>
          <w:szCs w:val="22"/>
          <w:lang w:val="hr-HR" w:eastAsia="hr-HR"/>
        </w:rPr>
      </w:pPr>
      <w:hyperlink w:anchor="_Toc129176350" w:history="1">
        <w:r w:rsidR="005D0B33" w:rsidRPr="003C32DA">
          <w:rPr>
            <w:rStyle w:val="Hyperlink"/>
            <w:rFonts w:cstheme="minorHAnsi"/>
            <w:b/>
            <w:bCs/>
            <w:noProof/>
            <w:lang w:val="en-GB"/>
          </w:rPr>
          <w:t>HBOR'S SUSTAINABLE FINANCING PROJECT – SHIFT IN HBOR's ACTIVITIES TOWARDS SUSTAINABLE FINANCING AND GREEN TRANSITION</w:t>
        </w:r>
        <w:r w:rsidR="005D0B33">
          <w:rPr>
            <w:noProof/>
            <w:webHidden/>
          </w:rPr>
          <w:tab/>
        </w:r>
        <w:r w:rsidR="005D0B33">
          <w:rPr>
            <w:noProof/>
            <w:webHidden/>
          </w:rPr>
          <w:fldChar w:fldCharType="begin"/>
        </w:r>
        <w:r w:rsidR="005D0B33">
          <w:rPr>
            <w:noProof/>
            <w:webHidden/>
          </w:rPr>
          <w:instrText xml:space="preserve"> PAGEREF _Toc129176350 \h </w:instrText>
        </w:r>
        <w:r w:rsidR="005D0B33">
          <w:rPr>
            <w:noProof/>
            <w:webHidden/>
          </w:rPr>
        </w:r>
        <w:r w:rsidR="005D0B33">
          <w:rPr>
            <w:noProof/>
            <w:webHidden/>
          </w:rPr>
          <w:fldChar w:fldCharType="separate"/>
        </w:r>
        <w:r w:rsidR="004977B1">
          <w:rPr>
            <w:noProof/>
            <w:webHidden/>
          </w:rPr>
          <w:t>23</w:t>
        </w:r>
        <w:r w:rsidR="005D0B33">
          <w:rPr>
            <w:noProof/>
            <w:webHidden/>
          </w:rPr>
          <w:fldChar w:fldCharType="end"/>
        </w:r>
      </w:hyperlink>
    </w:p>
    <w:p w14:paraId="1BBD0A7B" w14:textId="4757DD2B" w:rsidR="005D0B33" w:rsidRDefault="00000000">
      <w:pPr>
        <w:pStyle w:val="TOC1"/>
        <w:rPr>
          <w:rFonts w:eastAsiaTheme="minorEastAsia" w:cstheme="minorBidi"/>
          <w:noProof/>
          <w:szCs w:val="22"/>
          <w:lang w:val="hr-HR" w:eastAsia="hr-HR"/>
        </w:rPr>
      </w:pPr>
      <w:hyperlink w:anchor="_Toc129176351" w:history="1">
        <w:r w:rsidR="005D0B33" w:rsidRPr="003C32DA">
          <w:rPr>
            <w:rStyle w:val="Hyperlink"/>
            <w:rFonts w:ascii="Calibri" w:eastAsia="SimHei" w:hAnsi="Calibri" w:cs="Calibri"/>
            <w:b/>
            <w:bCs/>
            <w:noProof/>
            <w:lang w:val="en-GB"/>
          </w:rPr>
          <w:t>DEVELOPMENT OF VENTURE CAPITAL AND PRIVATE EQUITY MARKET</w:t>
        </w:r>
        <w:r w:rsidR="005D0B33">
          <w:rPr>
            <w:noProof/>
            <w:webHidden/>
          </w:rPr>
          <w:tab/>
        </w:r>
        <w:r w:rsidR="005D0B33">
          <w:rPr>
            <w:noProof/>
            <w:webHidden/>
          </w:rPr>
          <w:fldChar w:fldCharType="begin"/>
        </w:r>
        <w:r w:rsidR="005D0B33">
          <w:rPr>
            <w:noProof/>
            <w:webHidden/>
          </w:rPr>
          <w:instrText xml:space="preserve"> PAGEREF _Toc129176351 \h </w:instrText>
        </w:r>
        <w:r w:rsidR="005D0B33">
          <w:rPr>
            <w:noProof/>
            <w:webHidden/>
          </w:rPr>
        </w:r>
        <w:r w:rsidR="005D0B33">
          <w:rPr>
            <w:noProof/>
            <w:webHidden/>
          </w:rPr>
          <w:fldChar w:fldCharType="separate"/>
        </w:r>
        <w:r w:rsidR="004977B1">
          <w:rPr>
            <w:noProof/>
            <w:webHidden/>
          </w:rPr>
          <w:t>24</w:t>
        </w:r>
        <w:r w:rsidR="005D0B33">
          <w:rPr>
            <w:noProof/>
            <w:webHidden/>
          </w:rPr>
          <w:fldChar w:fldCharType="end"/>
        </w:r>
      </w:hyperlink>
    </w:p>
    <w:p w14:paraId="3E47E0B5" w14:textId="1248D17A" w:rsidR="005D0B33" w:rsidRDefault="00000000">
      <w:pPr>
        <w:pStyle w:val="TOC1"/>
        <w:rPr>
          <w:rFonts w:eastAsiaTheme="minorEastAsia" w:cstheme="minorBidi"/>
          <w:noProof/>
          <w:szCs w:val="22"/>
          <w:lang w:val="hr-HR" w:eastAsia="hr-HR"/>
        </w:rPr>
      </w:pPr>
      <w:hyperlink w:anchor="_Toc129176352" w:history="1">
        <w:r w:rsidR="005D0B33" w:rsidRPr="003C32DA">
          <w:rPr>
            <w:rStyle w:val="Hyperlink"/>
            <w:rFonts w:ascii="Calibri" w:eastAsia="SimHei" w:hAnsi="Calibri" w:cs="Calibri"/>
            <w:b/>
            <w:bCs/>
            <w:noProof/>
            <w:lang w:val="en-GB"/>
          </w:rPr>
          <w:t>EXPORT CREDIT INSURANCE</w:t>
        </w:r>
        <w:r w:rsidR="005D0B33">
          <w:rPr>
            <w:noProof/>
            <w:webHidden/>
          </w:rPr>
          <w:tab/>
        </w:r>
        <w:r w:rsidR="005D0B33">
          <w:rPr>
            <w:noProof/>
            <w:webHidden/>
          </w:rPr>
          <w:fldChar w:fldCharType="begin"/>
        </w:r>
        <w:r w:rsidR="005D0B33">
          <w:rPr>
            <w:noProof/>
            <w:webHidden/>
          </w:rPr>
          <w:instrText xml:space="preserve"> PAGEREF _Toc129176352 \h </w:instrText>
        </w:r>
        <w:r w:rsidR="005D0B33">
          <w:rPr>
            <w:noProof/>
            <w:webHidden/>
          </w:rPr>
        </w:r>
        <w:r w:rsidR="005D0B33">
          <w:rPr>
            <w:noProof/>
            <w:webHidden/>
          </w:rPr>
          <w:fldChar w:fldCharType="separate"/>
        </w:r>
        <w:r w:rsidR="004977B1">
          <w:rPr>
            <w:noProof/>
            <w:webHidden/>
          </w:rPr>
          <w:t>28</w:t>
        </w:r>
        <w:r w:rsidR="005D0B33">
          <w:rPr>
            <w:noProof/>
            <w:webHidden/>
          </w:rPr>
          <w:fldChar w:fldCharType="end"/>
        </w:r>
      </w:hyperlink>
    </w:p>
    <w:p w14:paraId="6684594B" w14:textId="199AFDA1" w:rsidR="005D0B33" w:rsidRDefault="00000000">
      <w:pPr>
        <w:pStyle w:val="TOC1"/>
        <w:rPr>
          <w:rFonts w:eastAsiaTheme="minorEastAsia" w:cstheme="minorBidi"/>
          <w:noProof/>
          <w:szCs w:val="22"/>
          <w:lang w:val="hr-HR" w:eastAsia="hr-HR"/>
        </w:rPr>
      </w:pPr>
      <w:hyperlink w:anchor="_Toc129176353" w:history="1">
        <w:r w:rsidR="005D0B33" w:rsidRPr="003C32DA">
          <w:rPr>
            <w:rStyle w:val="Hyperlink"/>
            <w:rFonts w:ascii="Calibri" w:eastAsia="SimHei" w:hAnsi="Calibri" w:cs="Calibri"/>
            <w:b/>
            <w:bCs/>
            <w:noProof/>
            <w:lang w:val="en-GB"/>
          </w:rPr>
          <w:t>RISK MANAGEMENT</w:t>
        </w:r>
        <w:r w:rsidR="005D0B33">
          <w:rPr>
            <w:noProof/>
            <w:webHidden/>
          </w:rPr>
          <w:tab/>
        </w:r>
        <w:r w:rsidR="005D0B33">
          <w:rPr>
            <w:noProof/>
            <w:webHidden/>
          </w:rPr>
          <w:fldChar w:fldCharType="begin"/>
        </w:r>
        <w:r w:rsidR="005D0B33">
          <w:rPr>
            <w:noProof/>
            <w:webHidden/>
          </w:rPr>
          <w:instrText xml:space="preserve"> PAGEREF _Toc129176353 \h </w:instrText>
        </w:r>
        <w:r w:rsidR="005D0B33">
          <w:rPr>
            <w:noProof/>
            <w:webHidden/>
          </w:rPr>
        </w:r>
        <w:r w:rsidR="005D0B33">
          <w:rPr>
            <w:noProof/>
            <w:webHidden/>
          </w:rPr>
          <w:fldChar w:fldCharType="separate"/>
        </w:r>
        <w:r w:rsidR="004977B1">
          <w:rPr>
            <w:noProof/>
            <w:webHidden/>
          </w:rPr>
          <w:t>32</w:t>
        </w:r>
        <w:r w:rsidR="005D0B33">
          <w:rPr>
            <w:noProof/>
            <w:webHidden/>
          </w:rPr>
          <w:fldChar w:fldCharType="end"/>
        </w:r>
      </w:hyperlink>
    </w:p>
    <w:p w14:paraId="7E626E68" w14:textId="3E09EB9A" w:rsidR="005D0B33" w:rsidRDefault="00000000">
      <w:pPr>
        <w:pStyle w:val="TOC1"/>
        <w:rPr>
          <w:rFonts w:eastAsiaTheme="minorEastAsia" w:cstheme="minorBidi"/>
          <w:noProof/>
          <w:szCs w:val="22"/>
          <w:lang w:val="hr-HR" w:eastAsia="hr-HR"/>
        </w:rPr>
      </w:pPr>
      <w:hyperlink w:anchor="_Toc129176354" w:history="1">
        <w:r w:rsidR="005D0B33" w:rsidRPr="003C32DA">
          <w:rPr>
            <w:rStyle w:val="Hyperlink"/>
            <w:rFonts w:ascii="Calibri" w:eastAsia="SimHei" w:hAnsi="Calibri" w:cs="Calibri"/>
            <w:b/>
            <w:bCs/>
            <w:noProof/>
            <w:lang w:val="en-GB"/>
          </w:rPr>
          <w:t>INTERNAL AUDIT</w:t>
        </w:r>
        <w:r w:rsidR="005D0B33">
          <w:rPr>
            <w:noProof/>
            <w:webHidden/>
          </w:rPr>
          <w:tab/>
        </w:r>
        <w:r w:rsidR="005D0B33">
          <w:rPr>
            <w:noProof/>
            <w:webHidden/>
          </w:rPr>
          <w:fldChar w:fldCharType="begin"/>
        </w:r>
        <w:r w:rsidR="005D0B33">
          <w:rPr>
            <w:noProof/>
            <w:webHidden/>
          </w:rPr>
          <w:instrText xml:space="preserve"> PAGEREF _Toc129176354 \h </w:instrText>
        </w:r>
        <w:r w:rsidR="005D0B33">
          <w:rPr>
            <w:noProof/>
            <w:webHidden/>
          </w:rPr>
        </w:r>
        <w:r w:rsidR="005D0B33">
          <w:rPr>
            <w:noProof/>
            <w:webHidden/>
          </w:rPr>
          <w:fldChar w:fldCharType="separate"/>
        </w:r>
        <w:r w:rsidR="004977B1">
          <w:rPr>
            <w:noProof/>
            <w:webHidden/>
          </w:rPr>
          <w:t>37</w:t>
        </w:r>
        <w:r w:rsidR="005D0B33">
          <w:rPr>
            <w:noProof/>
            <w:webHidden/>
          </w:rPr>
          <w:fldChar w:fldCharType="end"/>
        </w:r>
      </w:hyperlink>
    </w:p>
    <w:p w14:paraId="213275A8" w14:textId="2B6938C7" w:rsidR="005D0B33" w:rsidRDefault="00000000">
      <w:pPr>
        <w:pStyle w:val="TOC1"/>
        <w:rPr>
          <w:rFonts w:eastAsiaTheme="minorEastAsia" w:cstheme="minorBidi"/>
          <w:noProof/>
          <w:szCs w:val="22"/>
          <w:lang w:val="hr-HR" w:eastAsia="hr-HR"/>
        </w:rPr>
      </w:pPr>
      <w:hyperlink w:anchor="_Toc129176355" w:history="1">
        <w:r w:rsidR="005D0B33" w:rsidRPr="003C32DA">
          <w:rPr>
            <w:rStyle w:val="Hyperlink"/>
            <w:rFonts w:ascii="Calibri" w:eastAsia="SimHei" w:hAnsi="Calibri" w:cs="Calibri"/>
            <w:b/>
            <w:bCs/>
            <w:noProof/>
            <w:lang w:val="en-GB"/>
          </w:rPr>
          <w:t>COMPLIANCE MONITORING FUNCTION</w:t>
        </w:r>
        <w:r w:rsidR="005D0B33">
          <w:rPr>
            <w:noProof/>
            <w:webHidden/>
          </w:rPr>
          <w:tab/>
        </w:r>
        <w:r w:rsidR="005D0B33">
          <w:rPr>
            <w:noProof/>
            <w:webHidden/>
          </w:rPr>
          <w:fldChar w:fldCharType="begin"/>
        </w:r>
        <w:r w:rsidR="005D0B33">
          <w:rPr>
            <w:noProof/>
            <w:webHidden/>
          </w:rPr>
          <w:instrText xml:space="preserve"> PAGEREF _Toc129176355 \h </w:instrText>
        </w:r>
        <w:r w:rsidR="005D0B33">
          <w:rPr>
            <w:noProof/>
            <w:webHidden/>
          </w:rPr>
        </w:r>
        <w:r w:rsidR="005D0B33">
          <w:rPr>
            <w:noProof/>
            <w:webHidden/>
          </w:rPr>
          <w:fldChar w:fldCharType="separate"/>
        </w:r>
        <w:r w:rsidR="004977B1">
          <w:rPr>
            <w:noProof/>
            <w:webHidden/>
          </w:rPr>
          <w:t>37</w:t>
        </w:r>
        <w:r w:rsidR="005D0B33">
          <w:rPr>
            <w:noProof/>
            <w:webHidden/>
          </w:rPr>
          <w:fldChar w:fldCharType="end"/>
        </w:r>
      </w:hyperlink>
    </w:p>
    <w:p w14:paraId="27D87AD6" w14:textId="57DF02C0" w:rsidR="005D0B33" w:rsidRDefault="00000000">
      <w:pPr>
        <w:pStyle w:val="TOC1"/>
        <w:rPr>
          <w:rFonts w:eastAsiaTheme="minorEastAsia" w:cstheme="minorBidi"/>
          <w:noProof/>
          <w:szCs w:val="22"/>
          <w:lang w:val="hr-HR" w:eastAsia="hr-HR"/>
        </w:rPr>
      </w:pPr>
      <w:hyperlink w:anchor="_Toc129176356" w:history="1">
        <w:r w:rsidR="005D0B33" w:rsidRPr="003C32DA">
          <w:rPr>
            <w:rStyle w:val="Hyperlink"/>
            <w:rFonts w:ascii="Calibri" w:eastAsia="Calibri" w:hAnsi="Calibri" w:cs="Calibri"/>
            <w:b/>
            <w:bCs/>
            <w:noProof/>
            <w:lang w:val="en-GB"/>
          </w:rPr>
          <w:t>HUMAN RESOURCES</w:t>
        </w:r>
        <w:r w:rsidR="005D0B33">
          <w:rPr>
            <w:noProof/>
            <w:webHidden/>
          </w:rPr>
          <w:tab/>
        </w:r>
        <w:r w:rsidR="005D0B33">
          <w:rPr>
            <w:noProof/>
            <w:webHidden/>
          </w:rPr>
          <w:fldChar w:fldCharType="begin"/>
        </w:r>
        <w:r w:rsidR="005D0B33">
          <w:rPr>
            <w:noProof/>
            <w:webHidden/>
          </w:rPr>
          <w:instrText xml:space="preserve"> PAGEREF _Toc129176356 \h </w:instrText>
        </w:r>
        <w:r w:rsidR="005D0B33">
          <w:rPr>
            <w:noProof/>
            <w:webHidden/>
          </w:rPr>
        </w:r>
        <w:r w:rsidR="005D0B33">
          <w:rPr>
            <w:noProof/>
            <w:webHidden/>
          </w:rPr>
          <w:fldChar w:fldCharType="separate"/>
        </w:r>
        <w:r w:rsidR="004977B1">
          <w:rPr>
            <w:noProof/>
            <w:webHidden/>
          </w:rPr>
          <w:t>38</w:t>
        </w:r>
        <w:r w:rsidR="005D0B33">
          <w:rPr>
            <w:noProof/>
            <w:webHidden/>
          </w:rPr>
          <w:fldChar w:fldCharType="end"/>
        </w:r>
      </w:hyperlink>
    </w:p>
    <w:p w14:paraId="36ED1E30" w14:textId="4A4EA66B" w:rsidR="005D0B33" w:rsidRDefault="00000000">
      <w:pPr>
        <w:pStyle w:val="TOC1"/>
        <w:rPr>
          <w:rFonts w:eastAsiaTheme="minorEastAsia" w:cstheme="minorBidi"/>
          <w:noProof/>
          <w:szCs w:val="22"/>
          <w:lang w:val="hr-HR" w:eastAsia="hr-HR"/>
        </w:rPr>
      </w:pPr>
      <w:hyperlink w:anchor="_Toc129176357" w:history="1">
        <w:r w:rsidR="005D0B33" w:rsidRPr="003C32DA">
          <w:rPr>
            <w:rStyle w:val="Hyperlink"/>
            <w:rFonts w:ascii="Calibri" w:eastAsia="SimHei" w:hAnsi="Calibri" w:cs="Calibri"/>
            <w:b/>
            <w:bCs/>
            <w:noProof/>
            <w:lang w:val="en-GB"/>
          </w:rPr>
          <w:t>OTHER ACTIVITIES</w:t>
        </w:r>
        <w:r w:rsidR="005D0B33">
          <w:rPr>
            <w:noProof/>
            <w:webHidden/>
          </w:rPr>
          <w:tab/>
        </w:r>
        <w:r w:rsidR="005D0B33">
          <w:rPr>
            <w:noProof/>
            <w:webHidden/>
          </w:rPr>
          <w:fldChar w:fldCharType="begin"/>
        </w:r>
        <w:r w:rsidR="005D0B33">
          <w:rPr>
            <w:noProof/>
            <w:webHidden/>
          </w:rPr>
          <w:instrText xml:space="preserve"> PAGEREF _Toc129176357 \h </w:instrText>
        </w:r>
        <w:r w:rsidR="005D0B33">
          <w:rPr>
            <w:noProof/>
            <w:webHidden/>
          </w:rPr>
        </w:r>
        <w:r w:rsidR="005D0B33">
          <w:rPr>
            <w:noProof/>
            <w:webHidden/>
          </w:rPr>
          <w:fldChar w:fldCharType="separate"/>
        </w:r>
        <w:r w:rsidR="004977B1">
          <w:rPr>
            <w:noProof/>
            <w:webHidden/>
          </w:rPr>
          <w:t>39</w:t>
        </w:r>
        <w:r w:rsidR="005D0B33">
          <w:rPr>
            <w:noProof/>
            <w:webHidden/>
          </w:rPr>
          <w:fldChar w:fldCharType="end"/>
        </w:r>
      </w:hyperlink>
    </w:p>
    <w:p w14:paraId="41ABE4FD" w14:textId="034F2776" w:rsidR="005D0B33" w:rsidRDefault="00000000">
      <w:pPr>
        <w:pStyle w:val="TOC1"/>
        <w:rPr>
          <w:rFonts w:eastAsiaTheme="minorEastAsia" w:cstheme="minorBidi"/>
          <w:noProof/>
          <w:szCs w:val="22"/>
          <w:lang w:val="hr-HR" w:eastAsia="hr-HR"/>
        </w:rPr>
      </w:pPr>
      <w:hyperlink w:anchor="_Toc129176358" w:history="1">
        <w:r w:rsidR="005D0B33" w:rsidRPr="003C32DA">
          <w:rPr>
            <w:rStyle w:val="Hyperlink"/>
            <w:rFonts w:ascii="Calibri" w:eastAsia="SimHei" w:hAnsi="Calibri" w:cs="Calibri"/>
            <w:b/>
            <w:bCs/>
            <w:noProof/>
            <w:lang w:val="en-GB"/>
          </w:rPr>
          <w:t>OPERATIONS OF HRVATSKO KREDITNO OSIGURANJE GROUP</w:t>
        </w:r>
        <w:r w:rsidR="005D0B33">
          <w:rPr>
            <w:noProof/>
            <w:webHidden/>
          </w:rPr>
          <w:tab/>
        </w:r>
        <w:r w:rsidR="005D0B33">
          <w:rPr>
            <w:noProof/>
            <w:webHidden/>
          </w:rPr>
          <w:fldChar w:fldCharType="begin"/>
        </w:r>
        <w:r w:rsidR="005D0B33">
          <w:rPr>
            <w:noProof/>
            <w:webHidden/>
          </w:rPr>
          <w:instrText xml:space="preserve"> PAGEREF _Toc129176358 \h </w:instrText>
        </w:r>
        <w:r w:rsidR="005D0B33">
          <w:rPr>
            <w:noProof/>
            <w:webHidden/>
          </w:rPr>
        </w:r>
        <w:r w:rsidR="005D0B33">
          <w:rPr>
            <w:noProof/>
            <w:webHidden/>
          </w:rPr>
          <w:fldChar w:fldCharType="separate"/>
        </w:r>
        <w:r w:rsidR="004977B1">
          <w:rPr>
            <w:noProof/>
            <w:webHidden/>
          </w:rPr>
          <w:t>43</w:t>
        </w:r>
        <w:r w:rsidR="005D0B33">
          <w:rPr>
            <w:noProof/>
            <w:webHidden/>
          </w:rPr>
          <w:fldChar w:fldCharType="end"/>
        </w:r>
      </w:hyperlink>
    </w:p>
    <w:p w14:paraId="7A7C97AC" w14:textId="1A63B1DA" w:rsidR="005D0B33" w:rsidRDefault="00000000">
      <w:pPr>
        <w:pStyle w:val="TOC1"/>
        <w:rPr>
          <w:rFonts w:eastAsiaTheme="minorEastAsia" w:cstheme="minorBidi"/>
          <w:noProof/>
          <w:szCs w:val="22"/>
          <w:lang w:val="hr-HR" w:eastAsia="hr-HR"/>
        </w:rPr>
      </w:pPr>
      <w:hyperlink w:anchor="_Toc129176359" w:history="1">
        <w:r w:rsidR="005D0B33" w:rsidRPr="003C32DA">
          <w:rPr>
            <w:rStyle w:val="Hyperlink"/>
            <w:rFonts w:ascii="Calibri" w:eastAsia="SimHei" w:hAnsi="Calibri" w:cs="Calibri"/>
            <w:b/>
            <w:bCs/>
            <w:noProof/>
            <w:lang w:val="en-GB"/>
          </w:rPr>
          <w:t>HRVATSKO KREDITNO OSIGURANJE D.D. AND POSLOVNI INFO SERVIS D.O.O.</w:t>
        </w:r>
        <w:r w:rsidR="005D0B33">
          <w:rPr>
            <w:noProof/>
            <w:webHidden/>
          </w:rPr>
          <w:tab/>
        </w:r>
        <w:r w:rsidR="005D0B33">
          <w:rPr>
            <w:noProof/>
            <w:webHidden/>
          </w:rPr>
          <w:fldChar w:fldCharType="begin"/>
        </w:r>
        <w:r w:rsidR="005D0B33">
          <w:rPr>
            <w:noProof/>
            <w:webHidden/>
          </w:rPr>
          <w:instrText xml:space="preserve"> PAGEREF _Toc129176359 \h </w:instrText>
        </w:r>
        <w:r w:rsidR="005D0B33">
          <w:rPr>
            <w:noProof/>
            <w:webHidden/>
          </w:rPr>
        </w:r>
        <w:r w:rsidR="005D0B33">
          <w:rPr>
            <w:noProof/>
            <w:webHidden/>
          </w:rPr>
          <w:fldChar w:fldCharType="separate"/>
        </w:r>
        <w:r w:rsidR="004977B1">
          <w:rPr>
            <w:noProof/>
            <w:webHidden/>
          </w:rPr>
          <w:t>43</w:t>
        </w:r>
        <w:r w:rsidR="005D0B33">
          <w:rPr>
            <w:noProof/>
            <w:webHidden/>
          </w:rPr>
          <w:fldChar w:fldCharType="end"/>
        </w:r>
      </w:hyperlink>
    </w:p>
    <w:p w14:paraId="18D3928E" w14:textId="19298468" w:rsidR="005D0B33" w:rsidRDefault="00000000">
      <w:pPr>
        <w:pStyle w:val="TOC1"/>
        <w:rPr>
          <w:rFonts w:eastAsiaTheme="minorEastAsia" w:cstheme="minorBidi"/>
          <w:noProof/>
          <w:szCs w:val="22"/>
          <w:lang w:val="hr-HR" w:eastAsia="hr-HR"/>
        </w:rPr>
      </w:pPr>
      <w:hyperlink w:anchor="_Toc129176360" w:history="1">
        <w:r w:rsidR="005D0B33" w:rsidRPr="003C32DA">
          <w:rPr>
            <w:rStyle w:val="Hyperlink"/>
            <w:rFonts w:ascii="Calibri" w:hAnsi="Calibri" w:cs="Calibri"/>
            <w:b/>
            <w:noProof/>
            <w:spacing w:val="-3"/>
            <w:lang w:val="en-GB"/>
          </w:rPr>
          <w:t>PRINCIPLES OF FINANCIAL REPORTING</w:t>
        </w:r>
        <w:r w:rsidR="005D0B33">
          <w:rPr>
            <w:noProof/>
            <w:webHidden/>
          </w:rPr>
          <w:tab/>
        </w:r>
        <w:r w:rsidR="005D0B33">
          <w:rPr>
            <w:noProof/>
            <w:webHidden/>
          </w:rPr>
          <w:fldChar w:fldCharType="begin"/>
        </w:r>
        <w:r w:rsidR="005D0B33">
          <w:rPr>
            <w:noProof/>
            <w:webHidden/>
          </w:rPr>
          <w:instrText xml:space="preserve"> PAGEREF _Toc129176360 \h </w:instrText>
        </w:r>
        <w:r w:rsidR="005D0B33">
          <w:rPr>
            <w:noProof/>
            <w:webHidden/>
          </w:rPr>
        </w:r>
        <w:r w:rsidR="005D0B33">
          <w:rPr>
            <w:noProof/>
            <w:webHidden/>
          </w:rPr>
          <w:fldChar w:fldCharType="separate"/>
        </w:r>
        <w:r w:rsidR="004977B1">
          <w:rPr>
            <w:noProof/>
            <w:webHidden/>
          </w:rPr>
          <w:t>47</w:t>
        </w:r>
        <w:r w:rsidR="005D0B33">
          <w:rPr>
            <w:noProof/>
            <w:webHidden/>
          </w:rPr>
          <w:fldChar w:fldCharType="end"/>
        </w:r>
      </w:hyperlink>
    </w:p>
    <w:p w14:paraId="07AA08D0" w14:textId="0DA1433C" w:rsidR="005D0B33" w:rsidRDefault="00000000">
      <w:pPr>
        <w:pStyle w:val="TOC1"/>
        <w:rPr>
          <w:rFonts w:eastAsiaTheme="minorEastAsia" w:cstheme="minorBidi"/>
          <w:noProof/>
          <w:szCs w:val="22"/>
          <w:lang w:val="hr-HR" w:eastAsia="hr-HR"/>
        </w:rPr>
      </w:pPr>
      <w:hyperlink w:anchor="_Toc129176361" w:history="1">
        <w:r w:rsidR="005D0B33" w:rsidRPr="003C32DA">
          <w:rPr>
            <w:rStyle w:val="Hyperlink"/>
            <w:rFonts w:ascii="Calibri" w:hAnsi="Calibri" w:cs="Calibri"/>
            <w:b/>
            <w:noProof/>
            <w:spacing w:val="-3"/>
            <w:lang w:val="en-GB"/>
          </w:rPr>
          <w:t>OVERVIEW OF FINANCIAL PERFORMANCE IN 2022</w:t>
        </w:r>
        <w:r w:rsidR="005D0B33">
          <w:rPr>
            <w:noProof/>
            <w:webHidden/>
          </w:rPr>
          <w:tab/>
        </w:r>
        <w:r w:rsidR="005D0B33">
          <w:rPr>
            <w:noProof/>
            <w:webHidden/>
          </w:rPr>
          <w:fldChar w:fldCharType="begin"/>
        </w:r>
        <w:r w:rsidR="005D0B33">
          <w:rPr>
            <w:noProof/>
            <w:webHidden/>
          </w:rPr>
          <w:instrText xml:space="preserve"> PAGEREF _Toc129176361 \h </w:instrText>
        </w:r>
        <w:r w:rsidR="005D0B33">
          <w:rPr>
            <w:noProof/>
            <w:webHidden/>
          </w:rPr>
        </w:r>
        <w:r w:rsidR="005D0B33">
          <w:rPr>
            <w:noProof/>
            <w:webHidden/>
          </w:rPr>
          <w:fldChar w:fldCharType="separate"/>
        </w:r>
        <w:r w:rsidR="004977B1">
          <w:rPr>
            <w:noProof/>
            <w:webHidden/>
          </w:rPr>
          <w:t>48</w:t>
        </w:r>
        <w:r w:rsidR="005D0B33">
          <w:rPr>
            <w:noProof/>
            <w:webHidden/>
          </w:rPr>
          <w:fldChar w:fldCharType="end"/>
        </w:r>
      </w:hyperlink>
    </w:p>
    <w:p w14:paraId="2120C205" w14:textId="6A8F68E0" w:rsidR="005D0B33" w:rsidRDefault="00000000">
      <w:pPr>
        <w:pStyle w:val="TOC2"/>
        <w:rPr>
          <w:rFonts w:eastAsiaTheme="minorEastAsia" w:cstheme="minorBidi"/>
          <w:noProof/>
          <w:sz w:val="22"/>
          <w:szCs w:val="22"/>
          <w:lang w:val="hr-HR" w:eastAsia="hr-HR"/>
        </w:rPr>
      </w:pPr>
      <w:hyperlink w:anchor="_Toc129176362" w:history="1">
        <w:r w:rsidR="005D0B33" w:rsidRPr="003C32DA">
          <w:rPr>
            <w:rStyle w:val="Hyperlink"/>
            <w:rFonts w:ascii="Calibri" w:eastAsia="SimSun" w:hAnsi="Calibri" w:cs="Calibri"/>
            <w:b/>
            <w:bCs/>
            <w:noProof/>
            <w:lang w:val="en-GB" w:eastAsia="x-none"/>
          </w:rPr>
          <w:t>OVERVIEW OF FINANCIAL OPERATIONS OF THE GROUP</w:t>
        </w:r>
        <w:r w:rsidR="005D0B33">
          <w:rPr>
            <w:noProof/>
            <w:webHidden/>
          </w:rPr>
          <w:tab/>
        </w:r>
        <w:r w:rsidR="005D0B33">
          <w:rPr>
            <w:noProof/>
            <w:webHidden/>
          </w:rPr>
          <w:fldChar w:fldCharType="begin"/>
        </w:r>
        <w:r w:rsidR="005D0B33">
          <w:rPr>
            <w:noProof/>
            <w:webHidden/>
          </w:rPr>
          <w:instrText xml:space="preserve"> PAGEREF _Toc129176362 \h </w:instrText>
        </w:r>
        <w:r w:rsidR="005D0B33">
          <w:rPr>
            <w:noProof/>
            <w:webHidden/>
          </w:rPr>
        </w:r>
        <w:r w:rsidR="005D0B33">
          <w:rPr>
            <w:noProof/>
            <w:webHidden/>
          </w:rPr>
          <w:fldChar w:fldCharType="separate"/>
        </w:r>
        <w:r w:rsidR="004977B1">
          <w:rPr>
            <w:noProof/>
            <w:webHidden/>
          </w:rPr>
          <w:t>48</w:t>
        </w:r>
        <w:r w:rsidR="005D0B33">
          <w:rPr>
            <w:noProof/>
            <w:webHidden/>
          </w:rPr>
          <w:fldChar w:fldCharType="end"/>
        </w:r>
      </w:hyperlink>
    </w:p>
    <w:p w14:paraId="00C004F9" w14:textId="02318B47" w:rsidR="005D0B33" w:rsidRDefault="00000000">
      <w:pPr>
        <w:pStyle w:val="TOC2"/>
        <w:rPr>
          <w:rFonts w:eastAsiaTheme="minorEastAsia" w:cstheme="minorBidi"/>
          <w:noProof/>
          <w:sz w:val="22"/>
          <w:szCs w:val="22"/>
          <w:lang w:val="hr-HR" w:eastAsia="hr-HR"/>
        </w:rPr>
      </w:pPr>
      <w:hyperlink w:anchor="_Toc129176363" w:history="1">
        <w:r w:rsidR="005D0B33" w:rsidRPr="003C32DA">
          <w:rPr>
            <w:rStyle w:val="Hyperlink"/>
            <w:rFonts w:ascii="Calibri" w:eastAsia="SimSun" w:hAnsi="Calibri" w:cs="Calibri"/>
            <w:b/>
            <w:bCs/>
            <w:noProof/>
            <w:lang w:val="en-GB" w:eastAsia="x-none"/>
          </w:rPr>
          <w:t>OVERVIEW OF FINANCIAL PERFORMANCE OF HBOR</w:t>
        </w:r>
        <w:r w:rsidR="005D0B33">
          <w:rPr>
            <w:noProof/>
            <w:webHidden/>
          </w:rPr>
          <w:tab/>
        </w:r>
        <w:r w:rsidR="005D0B33">
          <w:rPr>
            <w:noProof/>
            <w:webHidden/>
          </w:rPr>
          <w:fldChar w:fldCharType="begin"/>
        </w:r>
        <w:r w:rsidR="005D0B33">
          <w:rPr>
            <w:noProof/>
            <w:webHidden/>
          </w:rPr>
          <w:instrText xml:space="preserve"> PAGEREF _Toc129176363 \h </w:instrText>
        </w:r>
        <w:r w:rsidR="005D0B33">
          <w:rPr>
            <w:noProof/>
            <w:webHidden/>
          </w:rPr>
        </w:r>
        <w:r w:rsidR="005D0B33">
          <w:rPr>
            <w:noProof/>
            <w:webHidden/>
          </w:rPr>
          <w:fldChar w:fldCharType="separate"/>
        </w:r>
        <w:r w:rsidR="004977B1">
          <w:rPr>
            <w:noProof/>
            <w:webHidden/>
          </w:rPr>
          <w:t>52</w:t>
        </w:r>
        <w:r w:rsidR="005D0B33">
          <w:rPr>
            <w:noProof/>
            <w:webHidden/>
          </w:rPr>
          <w:fldChar w:fldCharType="end"/>
        </w:r>
      </w:hyperlink>
    </w:p>
    <w:p w14:paraId="4D442B51" w14:textId="618B7F0D" w:rsidR="001517D9" w:rsidRPr="00891780" w:rsidRDefault="00E45A39" w:rsidP="000B677E">
      <w:pPr>
        <w:keepNext/>
        <w:keepLines/>
        <w:pBdr>
          <w:bottom w:val="single" w:sz="4" w:space="2" w:color="B2B2B2"/>
        </w:pBdr>
        <w:spacing w:before="360" w:after="120"/>
        <w:jc w:val="both"/>
        <w:outlineLvl w:val="0"/>
        <w:rPr>
          <w:sz w:val="22"/>
          <w:lang w:val="en-GB"/>
        </w:rPr>
      </w:pPr>
      <w:r w:rsidRPr="00891780">
        <w:rPr>
          <w:sz w:val="22"/>
          <w:lang w:val="en-GB"/>
        </w:rPr>
        <w:fldChar w:fldCharType="end"/>
      </w:r>
      <w:r w:rsidR="001517D9" w:rsidRPr="00891780">
        <w:rPr>
          <w:sz w:val="22"/>
          <w:lang w:val="en-GB"/>
        </w:rPr>
        <w:br w:type="page"/>
      </w:r>
    </w:p>
    <w:p w14:paraId="1748D678" w14:textId="1EC02B27" w:rsidR="00382CF2" w:rsidRPr="00891780" w:rsidRDefault="00DA344C" w:rsidP="000B677E">
      <w:pPr>
        <w:keepNext/>
        <w:keepLines/>
        <w:pBdr>
          <w:bottom w:val="single" w:sz="4" w:space="2" w:color="B2B2B2"/>
        </w:pBdr>
        <w:spacing w:before="360" w:after="120"/>
        <w:jc w:val="both"/>
        <w:outlineLvl w:val="0"/>
        <w:rPr>
          <w:rFonts w:ascii="Calibri" w:eastAsia="SimHei" w:hAnsi="Calibri" w:cs="Calibri"/>
          <w:b/>
          <w:bCs/>
          <w:sz w:val="22"/>
          <w:szCs w:val="22"/>
          <w:lang w:val="en-GB"/>
        </w:rPr>
      </w:pPr>
      <w:bookmarkStart w:id="4" w:name="_Toc129176332"/>
      <w:bookmarkStart w:id="5" w:name="_Hlk130201565"/>
      <w:bookmarkStart w:id="6" w:name="_Hlk130202053"/>
      <w:r w:rsidRPr="00891780">
        <w:rPr>
          <w:rFonts w:ascii="Calibri" w:eastAsia="SimHei" w:hAnsi="Calibri" w:cs="Calibri"/>
          <w:b/>
          <w:bCs/>
          <w:sz w:val="22"/>
          <w:szCs w:val="22"/>
          <w:lang w:val="en-GB"/>
        </w:rPr>
        <w:lastRenderedPageBreak/>
        <w:t>STATEMENT OF PERSONS RESPONSIBLE FOR THE PREPARATION OF THE ANNUAL REPORT</w:t>
      </w:r>
      <w:bookmarkEnd w:id="2"/>
      <w:bookmarkEnd w:id="4"/>
    </w:p>
    <w:p w14:paraId="1748D67B" w14:textId="2FDA9D92" w:rsidR="00BF521E" w:rsidRPr="00891780" w:rsidRDefault="00BF521E" w:rsidP="000B677E">
      <w:pPr>
        <w:rPr>
          <w:rFonts w:ascii="Calibri" w:eastAsia="SimSun" w:hAnsi="Calibri" w:cs="Calibri"/>
          <w:sz w:val="22"/>
          <w:szCs w:val="22"/>
          <w:lang w:val="en-GB"/>
        </w:rPr>
      </w:pPr>
      <w:bookmarkStart w:id="7" w:name="_Hlk130201577"/>
      <w:bookmarkEnd w:id="3"/>
      <w:bookmarkEnd w:id="5"/>
    </w:p>
    <w:bookmarkEnd w:id="6"/>
    <w:p w14:paraId="1748D67C" w14:textId="734BD05D" w:rsidR="00382CF2" w:rsidRPr="00891780" w:rsidRDefault="00BC533C"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To the best of our knowledge</w:t>
      </w:r>
      <w:r w:rsidR="00F01F1B" w:rsidRPr="00891780">
        <w:rPr>
          <w:rFonts w:ascii="Calibri" w:eastAsia="SimSun" w:hAnsi="Calibri" w:cs="Calibri"/>
          <w:sz w:val="22"/>
          <w:szCs w:val="22"/>
          <w:lang w:val="en-GB"/>
        </w:rPr>
        <w:t>,</w:t>
      </w:r>
      <w:r w:rsidRPr="00891780">
        <w:rPr>
          <w:rFonts w:ascii="Calibri" w:eastAsia="SimSun" w:hAnsi="Calibri" w:cs="Calibri"/>
          <w:sz w:val="22"/>
          <w:szCs w:val="22"/>
          <w:lang w:val="en-GB"/>
        </w:rPr>
        <w:t xml:space="preserve"> the</w:t>
      </w:r>
      <w:r w:rsidR="00054989" w:rsidRPr="00891780">
        <w:rPr>
          <w:rFonts w:ascii="Calibri" w:eastAsia="SimSun" w:hAnsi="Calibri" w:cs="Calibri"/>
          <w:sz w:val="22"/>
          <w:szCs w:val="22"/>
          <w:lang w:val="en-GB"/>
        </w:rPr>
        <w:t xml:space="preserve"> 2022</w:t>
      </w:r>
      <w:r w:rsidRPr="00891780">
        <w:rPr>
          <w:rFonts w:ascii="Calibri" w:eastAsia="SimSun" w:hAnsi="Calibri" w:cs="Calibri"/>
          <w:sz w:val="22"/>
          <w:szCs w:val="22"/>
          <w:lang w:val="en-GB"/>
        </w:rPr>
        <w:t xml:space="preserve"> Annual Report</w:t>
      </w:r>
      <w:r w:rsidR="001E1BD1" w:rsidRPr="00891780">
        <w:rPr>
          <w:rFonts w:ascii="Calibri" w:eastAsia="SimSun" w:hAnsi="Calibri" w:cs="Calibri"/>
          <w:sz w:val="22"/>
          <w:szCs w:val="22"/>
          <w:lang w:val="en-GB"/>
        </w:rPr>
        <w:t xml:space="preserve"> </w:t>
      </w:r>
      <w:r w:rsidR="001E1BD1" w:rsidRPr="00891780">
        <w:rPr>
          <w:rFonts w:asciiTheme="minorHAnsi" w:hAnsiTheme="minorHAnsi" w:cstheme="minorHAnsi"/>
          <w:sz w:val="22"/>
          <w:szCs w:val="22"/>
          <w:lang w:val="en-GB"/>
        </w:rPr>
        <w:t>contains a truthful development of events and business results as well as the position of the Croatian Bank for Reconstruction and Development and the Group and the description of the most significant risks and contingencies the Croatian Bank for Reconstruction and Development and the Group are exposed to</w:t>
      </w:r>
      <w:r w:rsidR="00054989" w:rsidRPr="00891780">
        <w:rPr>
          <w:rFonts w:ascii="Calibri" w:eastAsia="SimSun" w:hAnsi="Calibri" w:cs="Calibri"/>
          <w:sz w:val="22"/>
          <w:szCs w:val="22"/>
          <w:lang w:val="en-GB"/>
        </w:rPr>
        <w:t>.</w:t>
      </w:r>
    </w:p>
    <w:p w14:paraId="1748D67D" w14:textId="77777777" w:rsidR="00382CF2" w:rsidRPr="00891780" w:rsidRDefault="00382CF2" w:rsidP="000B677E">
      <w:pPr>
        <w:spacing w:before="120" w:after="120" w:line="276" w:lineRule="auto"/>
        <w:jc w:val="both"/>
        <w:rPr>
          <w:rFonts w:ascii="Calibri" w:eastAsia="SimSun" w:hAnsi="Calibri" w:cs="Calibri"/>
          <w:sz w:val="22"/>
          <w:szCs w:val="22"/>
          <w:lang w:val="en-GB"/>
        </w:rPr>
      </w:pPr>
    </w:p>
    <w:p w14:paraId="1748D67E" w14:textId="77777777" w:rsidR="00382CF2" w:rsidRPr="00891780" w:rsidRDefault="00382CF2" w:rsidP="000B677E">
      <w:pPr>
        <w:spacing w:before="120" w:after="120" w:line="276" w:lineRule="auto"/>
        <w:jc w:val="both"/>
        <w:rPr>
          <w:rFonts w:ascii="Calibri" w:eastAsia="SimSun" w:hAnsi="Calibri" w:cs="Calibri"/>
          <w:sz w:val="22"/>
          <w:szCs w:val="22"/>
          <w:lang w:val="en-GB"/>
        </w:rPr>
      </w:pPr>
    </w:p>
    <w:p w14:paraId="1748D67F" w14:textId="77777777" w:rsidR="00382CF2" w:rsidRPr="00891780" w:rsidRDefault="00054989"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ab/>
      </w:r>
    </w:p>
    <w:p w14:paraId="5ED2190B" w14:textId="143D2873" w:rsidR="00B401D8" w:rsidRPr="00891780" w:rsidRDefault="00E76387" w:rsidP="000B677E">
      <w:pPr>
        <w:spacing w:before="120" w:after="120" w:line="276" w:lineRule="auto"/>
        <w:jc w:val="both"/>
        <w:rPr>
          <w:rFonts w:ascii="Calibri" w:eastAsia="SimSun" w:hAnsi="Calibri" w:cs="Calibri"/>
          <w:sz w:val="22"/>
          <w:szCs w:val="22"/>
          <w:lang w:val="en-GB"/>
        </w:rPr>
      </w:pPr>
      <w:r w:rsidRPr="00E76387">
        <w:rPr>
          <w:rFonts w:ascii="Calibri" w:eastAsia="SimSun" w:hAnsi="Calibri" w:cs="Calibri"/>
          <w:sz w:val="22"/>
          <w:szCs w:val="22"/>
          <w:lang w:val="en-GB"/>
        </w:rPr>
        <w:t xml:space="preserve">President of the </w:t>
      </w:r>
      <w:r w:rsidR="00B401D8" w:rsidRPr="00891780">
        <w:rPr>
          <w:rFonts w:ascii="Calibri" w:eastAsia="SimSun" w:hAnsi="Calibri" w:cs="Calibri"/>
          <w:sz w:val="22"/>
          <w:szCs w:val="22"/>
          <w:lang w:val="en-GB"/>
        </w:rPr>
        <w:tab/>
      </w:r>
      <w:r w:rsidR="00B401D8" w:rsidRPr="00891780">
        <w:rPr>
          <w:rFonts w:ascii="Calibri" w:eastAsia="SimSun" w:hAnsi="Calibri" w:cs="Calibri"/>
          <w:sz w:val="22"/>
          <w:szCs w:val="22"/>
          <w:lang w:val="en-GB"/>
        </w:rPr>
        <w:tab/>
      </w:r>
      <w:r w:rsidR="00B401D8" w:rsidRPr="00891780">
        <w:rPr>
          <w:rFonts w:ascii="Calibri" w:eastAsia="SimSun" w:hAnsi="Calibri" w:cs="Calibri"/>
          <w:sz w:val="22"/>
          <w:szCs w:val="22"/>
          <w:lang w:val="en-GB"/>
        </w:rPr>
        <w:tab/>
        <w:t>Member of the</w:t>
      </w:r>
      <w:r w:rsidR="00B401D8" w:rsidRPr="00891780">
        <w:rPr>
          <w:rFonts w:ascii="Calibri" w:eastAsia="SimSun" w:hAnsi="Calibri" w:cs="Calibri"/>
          <w:sz w:val="22"/>
          <w:szCs w:val="22"/>
          <w:lang w:val="en-GB"/>
        </w:rPr>
        <w:tab/>
      </w:r>
      <w:r w:rsidR="00B401D8" w:rsidRPr="00891780">
        <w:rPr>
          <w:rFonts w:ascii="Calibri" w:eastAsia="SimSun" w:hAnsi="Calibri" w:cs="Calibri"/>
          <w:sz w:val="22"/>
          <w:szCs w:val="22"/>
          <w:lang w:val="en-GB"/>
        </w:rPr>
        <w:tab/>
      </w:r>
      <w:r w:rsidR="00B401D8" w:rsidRPr="00891780">
        <w:rPr>
          <w:rFonts w:ascii="Calibri" w:eastAsia="SimSun" w:hAnsi="Calibri" w:cs="Calibri"/>
          <w:sz w:val="22"/>
          <w:szCs w:val="22"/>
          <w:lang w:val="en-GB"/>
        </w:rPr>
        <w:tab/>
      </w:r>
      <w:r w:rsidR="00B401D8" w:rsidRPr="00891780">
        <w:rPr>
          <w:rFonts w:ascii="Calibri" w:eastAsia="SimSun" w:hAnsi="Calibri" w:cs="Calibri"/>
          <w:sz w:val="22"/>
          <w:szCs w:val="22"/>
          <w:lang w:val="en-GB"/>
        </w:rPr>
        <w:tab/>
      </w:r>
      <w:r w:rsidRPr="00E76387">
        <w:rPr>
          <w:rFonts w:ascii="Calibri" w:eastAsia="SimSun" w:hAnsi="Calibri" w:cs="Calibri"/>
          <w:sz w:val="22"/>
          <w:szCs w:val="22"/>
          <w:lang w:val="en-GB"/>
        </w:rPr>
        <w:t>Member of the</w:t>
      </w:r>
    </w:p>
    <w:p w14:paraId="1748D680" w14:textId="3967E8A0" w:rsidR="00382CF2" w:rsidRPr="00891780" w:rsidRDefault="00B401D8"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Management Board</w:t>
      </w:r>
      <w:r w:rsidR="00054989" w:rsidRPr="00891780">
        <w:rPr>
          <w:rFonts w:ascii="Calibri" w:eastAsia="SimSun" w:hAnsi="Calibri" w:cs="Calibri"/>
          <w:sz w:val="22"/>
          <w:szCs w:val="22"/>
          <w:lang w:val="en-GB"/>
        </w:rPr>
        <w:tab/>
      </w:r>
      <w:r w:rsidR="00054989" w:rsidRPr="00891780">
        <w:rPr>
          <w:rFonts w:ascii="Calibri" w:eastAsia="SimSun" w:hAnsi="Calibri" w:cs="Calibri"/>
          <w:sz w:val="22"/>
          <w:szCs w:val="22"/>
          <w:lang w:val="en-GB"/>
        </w:rPr>
        <w:tab/>
      </w:r>
      <w:r w:rsidR="00054989" w:rsidRPr="00891780">
        <w:rPr>
          <w:rFonts w:ascii="Calibri" w:eastAsia="SimSun" w:hAnsi="Calibri" w:cs="Calibri"/>
          <w:sz w:val="22"/>
          <w:szCs w:val="22"/>
          <w:lang w:val="en-GB"/>
        </w:rPr>
        <w:tab/>
      </w:r>
      <w:r w:rsidRPr="00891780">
        <w:rPr>
          <w:rFonts w:ascii="Calibri" w:eastAsia="SimSun" w:hAnsi="Calibri" w:cs="Calibri"/>
          <w:sz w:val="22"/>
          <w:szCs w:val="22"/>
          <w:lang w:val="en-GB"/>
        </w:rPr>
        <w:t>Management Board</w:t>
      </w:r>
      <w:r w:rsidR="00054989" w:rsidRPr="00891780">
        <w:rPr>
          <w:rFonts w:ascii="Calibri" w:eastAsia="SimSun" w:hAnsi="Calibri" w:cs="Calibri"/>
          <w:sz w:val="22"/>
          <w:szCs w:val="22"/>
          <w:lang w:val="en-GB"/>
        </w:rPr>
        <w:tab/>
      </w:r>
      <w:r w:rsidR="00054989" w:rsidRPr="00891780">
        <w:rPr>
          <w:rFonts w:ascii="Calibri" w:eastAsia="SimSun" w:hAnsi="Calibri" w:cs="Calibri"/>
          <w:sz w:val="22"/>
          <w:szCs w:val="22"/>
          <w:lang w:val="en-GB"/>
        </w:rPr>
        <w:tab/>
      </w:r>
      <w:r w:rsidR="00054989" w:rsidRPr="00891780">
        <w:rPr>
          <w:rFonts w:ascii="Calibri" w:eastAsia="SimSun" w:hAnsi="Calibri" w:cs="Calibri"/>
          <w:sz w:val="22"/>
          <w:szCs w:val="22"/>
          <w:lang w:val="en-GB"/>
        </w:rPr>
        <w:tab/>
      </w:r>
      <w:r w:rsidR="00D64C72" w:rsidRPr="00891780">
        <w:rPr>
          <w:rFonts w:ascii="Calibri" w:eastAsia="SimSun" w:hAnsi="Calibri" w:cs="Calibri"/>
          <w:sz w:val="22"/>
          <w:szCs w:val="22"/>
          <w:lang w:val="en-GB"/>
        </w:rPr>
        <w:t>Management Board</w:t>
      </w:r>
    </w:p>
    <w:p w14:paraId="1748D681" w14:textId="77777777" w:rsidR="00382CF2" w:rsidRPr="00891780" w:rsidRDefault="00382CF2" w:rsidP="000B677E">
      <w:pPr>
        <w:spacing w:before="120" w:after="120" w:line="276" w:lineRule="auto"/>
        <w:jc w:val="both"/>
        <w:rPr>
          <w:rFonts w:ascii="Calibri" w:eastAsia="SimSun" w:hAnsi="Calibri" w:cs="Calibri"/>
          <w:sz w:val="22"/>
          <w:szCs w:val="22"/>
          <w:lang w:val="en-GB"/>
        </w:rPr>
      </w:pPr>
    </w:p>
    <w:p w14:paraId="1748D682" w14:textId="77777777" w:rsidR="00382CF2" w:rsidRPr="00891780" w:rsidRDefault="00382CF2" w:rsidP="000B677E">
      <w:pPr>
        <w:spacing w:before="120" w:after="120" w:line="276" w:lineRule="auto"/>
        <w:jc w:val="both"/>
        <w:rPr>
          <w:rFonts w:ascii="Calibri" w:eastAsia="SimSun" w:hAnsi="Calibri" w:cs="Calibri"/>
          <w:sz w:val="22"/>
          <w:szCs w:val="22"/>
          <w:lang w:val="en-GB"/>
        </w:rPr>
      </w:pPr>
    </w:p>
    <w:p w14:paraId="1748D683" w14:textId="4B75830F" w:rsidR="00382CF2" w:rsidRPr="00891780" w:rsidRDefault="00E76387"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Hrvoje Čuvalo, MSc</w:t>
      </w:r>
      <w:r w:rsidR="00D2261D" w:rsidRPr="00891780">
        <w:rPr>
          <w:rFonts w:ascii="Calibri" w:eastAsia="SimSun" w:hAnsi="Calibri" w:cs="Calibri"/>
          <w:sz w:val="22"/>
          <w:szCs w:val="22"/>
          <w:lang w:val="en-GB"/>
        </w:rPr>
        <w:tab/>
      </w:r>
      <w:r w:rsidR="00D2261D" w:rsidRPr="00891780">
        <w:rPr>
          <w:rFonts w:ascii="Calibri" w:eastAsia="SimSun" w:hAnsi="Calibri" w:cs="Calibri"/>
          <w:sz w:val="22"/>
          <w:szCs w:val="22"/>
          <w:lang w:val="en-GB"/>
        </w:rPr>
        <w:tab/>
      </w:r>
      <w:r w:rsidR="00D2261D" w:rsidRPr="00891780">
        <w:rPr>
          <w:rFonts w:ascii="Calibri" w:eastAsia="SimSun" w:hAnsi="Calibri" w:cs="Calibri"/>
          <w:sz w:val="22"/>
          <w:szCs w:val="22"/>
          <w:lang w:val="en-GB"/>
        </w:rPr>
        <w:tab/>
      </w:r>
      <w:r w:rsidR="00054989" w:rsidRPr="00891780">
        <w:rPr>
          <w:rFonts w:ascii="Calibri" w:eastAsia="SimSun" w:hAnsi="Calibri" w:cs="Calibri"/>
          <w:sz w:val="22"/>
          <w:szCs w:val="22"/>
          <w:lang w:val="en-GB"/>
        </w:rPr>
        <w:t>Alan Herjavec</w:t>
      </w:r>
      <w:r w:rsidR="00D64C72" w:rsidRPr="00891780">
        <w:rPr>
          <w:rFonts w:ascii="Calibri" w:eastAsia="SimSun" w:hAnsi="Calibri" w:cs="Calibri"/>
          <w:sz w:val="22"/>
          <w:szCs w:val="22"/>
          <w:lang w:val="en-GB"/>
        </w:rPr>
        <w:t>, MSc</w:t>
      </w:r>
      <w:r w:rsidR="00054989" w:rsidRPr="00891780">
        <w:rPr>
          <w:rFonts w:ascii="Calibri" w:eastAsia="SimSun" w:hAnsi="Calibri" w:cs="Calibri"/>
          <w:sz w:val="22"/>
          <w:szCs w:val="22"/>
          <w:lang w:val="en-GB"/>
        </w:rPr>
        <w:tab/>
      </w:r>
      <w:r w:rsidR="00054989" w:rsidRPr="00891780">
        <w:rPr>
          <w:rFonts w:ascii="Calibri" w:eastAsia="SimSun" w:hAnsi="Calibri" w:cs="Calibri"/>
          <w:sz w:val="22"/>
          <w:szCs w:val="22"/>
          <w:lang w:val="en-GB"/>
        </w:rPr>
        <w:tab/>
      </w:r>
      <w:r w:rsidR="00054989" w:rsidRPr="00891780">
        <w:rPr>
          <w:rFonts w:ascii="Calibri" w:eastAsia="SimSun" w:hAnsi="Calibri" w:cs="Calibri"/>
          <w:sz w:val="22"/>
          <w:szCs w:val="22"/>
          <w:lang w:val="en-GB"/>
        </w:rPr>
        <w:tab/>
      </w:r>
      <w:r w:rsidRPr="00E76387">
        <w:rPr>
          <w:rFonts w:ascii="Calibri" w:eastAsia="SimSun" w:hAnsi="Calibri" w:cs="Calibri"/>
          <w:sz w:val="22"/>
          <w:szCs w:val="22"/>
          <w:lang w:val="en-GB"/>
        </w:rPr>
        <w:t>Josip Pavković</w:t>
      </w:r>
    </w:p>
    <w:p w14:paraId="1748D684" w14:textId="20D60E16" w:rsidR="00382CF2" w:rsidRPr="00891780" w:rsidRDefault="00382CF2" w:rsidP="000B677E">
      <w:pPr>
        <w:spacing w:before="120" w:after="120" w:line="276" w:lineRule="auto"/>
        <w:jc w:val="both"/>
        <w:rPr>
          <w:rFonts w:ascii="Calibri" w:eastAsia="SimSun" w:hAnsi="Calibri" w:cs="Calibri"/>
          <w:sz w:val="22"/>
          <w:szCs w:val="22"/>
          <w:lang w:val="en-GB"/>
        </w:rPr>
      </w:pPr>
    </w:p>
    <w:p w14:paraId="1748D685" w14:textId="20D60E16" w:rsidR="00382CF2" w:rsidRPr="00891780" w:rsidRDefault="00382CF2" w:rsidP="000B677E">
      <w:pPr>
        <w:spacing w:before="120" w:after="120" w:line="276" w:lineRule="auto"/>
        <w:jc w:val="both"/>
        <w:rPr>
          <w:rFonts w:ascii="Calibri" w:eastAsia="SimSun" w:hAnsi="Calibri" w:cs="Calibri"/>
          <w:sz w:val="22"/>
          <w:szCs w:val="22"/>
          <w:lang w:val="en-GB"/>
        </w:rPr>
      </w:pPr>
    </w:p>
    <w:p w14:paraId="1748D686" w14:textId="20D60E16" w:rsidR="00382CF2" w:rsidRPr="00891780" w:rsidRDefault="00382CF2" w:rsidP="000B677E">
      <w:pPr>
        <w:spacing w:before="120" w:after="120" w:line="276" w:lineRule="auto"/>
        <w:jc w:val="both"/>
        <w:rPr>
          <w:rFonts w:ascii="Calibri" w:eastAsia="SimSun" w:hAnsi="Calibri" w:cs="Calibri"/>
          <w:sz w:val="22"/>
          <w:szCs w:val="22"/>
          <w:lang w:val="en-GB"/>
        </w:rPr>
      </w:pPr>
    </w:p>
    <w:p w14:paraId="1748D687" w14:textId="09D453C1" w:rsidR="00382CF2" w:rsidRPr="00891780" w:rsidRDefault="00382CF2" w:rsidP="000B677E">
      <w:pPr>
        <w:pStyle w:val="Tekstkomentara1"/>
        <w:spacing w:before="120" w:after="120" w:line="276" w:lineRule="auto"/>
        <w:rPr>
          <w:rFonts w:eastAsia="SimSun"/>
          <w:lang w:val="en-GB"/>
        </w:rPr>
      </w:pPr>
    </w:p>
    <w:p w14:paraId="3B891EE3" w14:textId="2E83252A" w:rsidR="007C7F0B" w:rsidRPr="00891780" w:rsidRDefault="00054989" w:rsidP="000B677E">
      <w:pPr>
        <w:pStyle w:val="CommentText"/>
        <w:spacing w:before="120" w:after="120" w:line="276" w:lineRule="auto"/>
        <w:rPr>
          <w:rFonts w:ascii="Calibri" w:eastAsia="SimHei" w:hAnsi="Calibri" w:cs="Calibri"/>
          <w:b/>
          <w:bCs/>
          <w:sz w:val="22"/>
          <w:szCs w:val="22"/>
          <w:lang w:val="en-GB"/>
        </w:rPr>
      </w:pPr>
      <w:r w:rsidRPr="00891780">
        <w:rPr>
          <w:rFonts w:ascii="Calibri" w:eastAsia="SimSun" w:hAnsi="Calibri" w:cs="Calibri"/>
          <w:sz w:val="22"/>
          <w:szCs w:val="22"/>
          <w:lang w:val="en-GB"/>
        </w:rPr>
        <w:t>Zagreb</w:t>
      </w:r>
      <w:r w:rsidR="00B401D8" w:rsidRPr="00891780">
        <w:rPr>
          <w:rFonts w:ascii="Calibri" w:eastAsia="SimSun" w:hAnsi="Calibri" w:cs="Calibri"/>
          <w:sz w:val="22"/>
          <w:szCs w:val="22"/>
          <w:lang w:val="en-GB"/>
        </w:rPr>
        <w:t>,</w:t>
      </w:r>
      <w:r w:rsidR="00145042" w:rsidRPr="00891780">
        <w:rPr>
          <w:rFonts w:ascii="Calibri" w:eastAsia="SimSun" w:hAnsi="Calibri" w:cs="Calibri"/>
          <w:sz w:val="22"/>
          <w:szCs w:val="22"/>
          <w:lang w:val="en-GB"/>
        </w:rPr>
        <w:t xml:space="preserve"> </w:t>
      </w:r>
      <w:r w:rsidR="00685E1E">
        <w:rPr>
          <w:rFonts w:ascii="Calibri" w:eastAsia="SimSun" w:hAnsi="Calibri" w:cs="Calibri"/>
          <w:sz w:val="22"/>
          <w:szCs w:val="22"/>
          <w:lang w:val="en-GB"/>
        </w:rPr>
        <w:t>2</w:t>
      </w:r>
      <w:r w:rsidR="00E35E39">
        <w:rPr>
          <w:rFonts w:ascii="Calibri" w:eastAsia="SimSun" w:hAnsi="Calibri" w:cs="Calibri"/>
          <w:sz w:val="22"/>
          <w:szCs w:val="22"/>
          <w:lang w:val="en-GB"/>
        </w:rPr>
        <w:t>3</w:t>
      </w:r>
      <w:r w:rsidR="00B401D8" w:rsidRPr="00891780">
        <w:rPr>
          <w:rFonts w:ascii="Calibri" w:eastAsia="SimSun" w:hAnsi="Calibri" w:cs="Calibri"/>
          <w:sz w:val="22"/>
          <w:szCs w:val="22"/>
          <w:lang w:val="en-GB"/>
        </w:rPr>
        <w:t xml:space="preserve"> </w:t>
      </w:r>
      <w:r w:rsidR="00685E1E">
        <w:rPr>
          <w:rFonts w:ascii="Calibri" w:eastAsia="SimSun" w:hAnsi="Calibri" w:cs="Calibri"/>
          <w:sz w:val="22"/>
          <w:szCs w:val="22"/>
          <w:lang w:val="en-GB"/>
        </w:rPr>
        <w:t>March</w:t>
      </w:r>
      <w:r w:rsidRPr="00891780">
        <w:rPr>
          <w:rFonts w:ascii="Calibri" w:eastAsia="SimSun" w:hAnsi="Calibri" w:cs="Calibri"/>
          <w:sz w:val="22"/>
          <w:szCs w:val="22"/>
          <w:lang w:val="en-GB"/>
        </w:rPr>
        <w:t xml:space="preserve"> 2023</w:t>
      </w:r>
      <w:r w:rsidR="007C7F0B" w:rsidRPr="00891780">
        <w:rPr>
          <w:rFonts w:ascii="Calibri" w:eastAsia="SimSun" w:hAnsi="Calibri" w:cs="Calibri"/>
          <w:sz w:val="22"/>
          <w:szCs w:val="22"/>
          <w:lang w:val="en-GB"/>
        </w:rPr>
        <w:br/>
      </w:r>
      <w:bookmarkStart w:id="8" w:name="_Toc3249200"/>
      <w:bookmarkStart w:id="9" w:name="_Toc255898363"/>
      <w:bookmarkStart w:id="10" w:name="_Hlk3972812"/>
    </w:p>
    <w:p w14:paraId="4D9F41F6" w14:textId="230F6F29" w:rsidR="007C7F0B" w:rsidRPr="00891780" w:rsidRDefault="007C7F0B" w:rsidP="00E76387">
      <w:pPr>
        <w:spacing w:before="120" w:after="120" w:line="276" w:lineRule="auto"/>
        <w:jc w:val="both"/>
        <w:rPr>
          <w:rFonts w:ascii="Calibri" w:eastAsia="SimHei" w:hAnsi="Calibri" w:cs="Calibri"/>
          <w:b/>
          <w:bCs/>
          <w:sz w:val="22"/>
          <w:szCs w:val="22"/>
          <w:lang w:val="en-GB"/>
        </w:rPr>
      </w:pPr>
      <w:r w:rsidRPr="00891780">
        <w:rPr>
          <w:rFonts w:ascii="Calibri" w:eastAsia="SimHei" w:hAnsi="Calibri" w:cs="Calibri"/>
          <w:b/>
          <w:bCs/>
          <w:sz w:val="22"/>
          <w:szCs w:val="22"/>
          <w:lang w:val="en-GB"/>
        </w:rPr>
        <w:br w:type="page"/>
      </w:r>
    </w:p>
    <w:p w14:paraId="1748D689" w14:textId="7E6DEA8B" w:rsidR="00382CF2" w:rsidRPr="00891780" w:rsidRDefault="0083019E" w:rsidP="000B677E">
      <w:pPr>
        <w:keepNext/>
        <w:keepLines/>
        <w:pBdr>
          <w:bottom w:val="single" w:sz="4" w:space="2" w:color="B2B2B2"/>
        </w:pBdr>
        <w:spacing w:before="360" w:after="120"/>
        <w:jc w:val="both"/>
        <w:outlineLvl w:val="0"/>
        <w:rPr>
          <w:rFonts w:ascii="Calibri" w:eastAsia="SimHei" w:hAnsi="Calibri" w:cs="Calibri"/>
          <w:b/>
          <w:bCs/>
          <w:sz w:val="22"/>
          <w:szCs w:val="22"/>
          <w:lang w:val="en-GB"/>
        </w:rPr>
      </w:pPr>
      <w:bookmarkStart w:id="11" w:name="_Toc129176333"/>
      <w:bookmarkEnd w:id="7"/>
      <w:r w:rsidRPr="00891780">
        <w:rPr>
          <w:rFonts w:asciiTheme="minorHAnsi" w:hAnsiTheme="minorHAnsi" w:cstheme="minorHAnsi"/>
          <w:b/>
          <w:bCs/>
          <w:sz w:val="22"/>
          <w:szCs w:val="22"/>
          <w:lang w:val="en-GB"/>
        </w:rPr>
        <w:lastRenderedPageBreak/>
        <w:t xml:space="preserve">MANAGEMENT REPORT FOR </w:t>
      </w:r>
      <w:r w:rsidR="00054989" w:rsidRPr="00891780">
        <w:rPr>
          <w:rFonts w:ascii="Calibri" w:eastAsia="SimHei" w:hAnsi="Calibri" w:cs="Calibri"/>
          <w:b/>
          <w:bCs/>
          <w:sz w:val="22"/>
          <w:szCs w:val="22"/>
          <w:lang w:val="en-GB"/>
        </w:rPr>
        <w:t>2022</w:t>
      </w:r>
      <w:bookmarkEnd w:id="8"/>
      <w:bookmarkEnd w:id="11"/>
    </w:p>
    <w:p w14:paraId="1748D68A" w14:textId="09D453C1" w:rsidR="00382CF2" w:rsidRPr="00891780" w:rsidRDefault="00382CF2" w:rsidP="000B677E">
      <w:pPr>
        <w:spacing w:before="120" w:after="120" w:line="276" w:lineRule="auto"/>
        <w:jc w:val="both"/>
        <w:rPr>
          <w:rFonts w:ascii="Calibri" w:eastAsia="SimSun" w:hAnsi="Calibri" w:cs="Calibri"/>
          <w:b/>
          <w:spacing w:val="-3"/>
          <w:sz w:val="22"/>
          <w:szCs w:val="22"/>
          <w:lang w:val="en-GB"/>
        </w:rPr>
      </w:pPr>
    </w:p>
    <w:bookmarkEnd w:id="9"/>
    <w:p w14:paraId="1748D68B" w14:textId="0D1DB3A1" w:rsidR="00382CF2" w:rsidRPr="00891780" w:rsidRDefault="00BD379D"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The Annual Report includes the summary of financial information, description of operations and audited Annual Financial Statements with the Independent auditor’s report for the year ended 31 December</w:t>
      </w:r>
      <w:r w:rsidRPr="00891780">
        <w:rPr>
          <w:rFonts w:asciiTheme="minorHAnsi" w:eastAsia="SimSun" w:hAnsiTheme="minorHAnsi" w:cstheme="minorHAnsi"/>
          <w:sz w:val="22"/>
          <w:szCs w:val="22"/>
          <w:lang w:val="en-GB"/>
        </w:rPr>
        <w:t xml:space="preserve"> </w:t>
      </w:r>
      <w:r w:rsidR="00054989" w:rsidRPr="00891780">
        <w:rPr>
          <w:rFonts w:asciiTheme="minorHAnsi" w:eastAsia="SimSun" w:hAnsiTheme="minorHAnsi" w:cstheme="minorHAnsi"/>
          <w:sz w:val="22"/>
          <w:szCs w:val="22"/>
          <w:lang w:val="en-GB"/>
        </w:rPr>
        <w:t xml:space="preserve">2022. </w:t>
      </w:r>
      <w:r w:rsidR="00585991" w:rsidRPr="00891780">
        <w:rPr>
          <w:rFonts w:asciiTheme="minorHAnsi" w:hAnsiTheme="minorHAnsi" w:cstheme="minorHAnsi"/>
          <w:sz w:val="22"/>
          <w:szCs w:val="22"/>
          <w:lang w:val="en-GB"/>
        </w:rPr>
        <w:t>Audited Financial Statements are shown for the Croatian Bank for Reconstruction and Development Group and the Croatian Bank for Reconstruction and Development</w:t>
      </w:r>
      <w:r w:rsidR="00054989" w:rsidRPr="00891780">
        <w:rPr>
          <w:rFonts w:asciiTheme="minorHAnsi" w:eastAsia="SimSun" w:hAnsiTheme="minorHAnsi" w:cstheme="minorHAnsi"/>
          <w:sz w:val="22"/>
          <w:szCs w:val="22"/>
          <w:lang w:val="en-GB"/>
        </w:rPr>
        <w:t>.</w:t>
      </w:r>
    </w:p>
    <w:p w14:paraId="1748D68C" w14:textId="77777777" w:rsidR="00382CF2" w:rsidRPr="00891780" w:rsidRDefault="00382CF2" w:rsidP="000B677E">
      <w:pPr>
        <w:spacing w:before="120" w:after="120" w:line="276" w:lineRule="auto"/>
        <w:jc w:val="both"/>
        <w:rPr>
          <w:rFonts w:ascii="Calibri" w:eastAsia="SimSun" w:hAnsi="Calibri" w:cs="Calibri"/>
          <w:sz w:val="22"/>
          <w:szCs w:val="22"/>
          <w:lang w:val="en-GB"/>
        </w:rPr>
      </w:pPr>
    </w:p>
    <w:p w14:paraId="24DE16FC" w14:textId="77777777" w:rsidR="00352465" w:rsidRPr="00891780" w:rsidRDefault="00352465" w:rsidP="000B677E">
      <w:pPr>
        <w:spacing w:before="240" w:after="120"/>
        <w:rPr>
          <w:rFonts w:asciiTheme="minorHAnsi" w:hAnsiTheme="minorHAnsi" w:cstheme="minorHAnsi"/>
          <w:b/>
          <w:sz w:val="22"/>
          <w:szCs w:val="22"/>
          <w:lang w:val="en-GB"/>
        </w:rPr>
      </w:pPr>
      <w:bookmarkStart w:id="12" w:name="_Hlk3975557"/>
      <w:r w:rsidRPr="00891780">
        <w:rPr>
          <w:rFonts w:asciiTheme="minorHAnsi" w:hAnsiTheme="minorHAnsi" w:cstheme="minorHAnsi"/>
          <w:b/>
          <w:sz w:val="22"/>
          <w:szCs w:val="22"/>
          <w:lang w:val="en-GB"/>
        </w:rPr>
        <w:t>Legal status</w:t>
      </w:r>
    </w:p>
    <w:p w14:paraId="1748D68E" w14:textId="77247B9D" w:rsidR="00382CF2" w:rsidRPr="00891780" w:rsidRDefault="00352465"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The Annual Report includes the annual financial statements prepared in accordance with the International Financial Reporting Standards and the Accounting Act and audited in accordance with the International Standards on Auditing. The compliance of the Annual Report with the Annual Financial Statements has been confirmed by auditors through the implementation of procedure required by the Accounting Act</w:t>
      </w:r>
      <w:r w:rsidR="00054989" w:rsidRPr="00891780">
        <w:rPr>
          <w:rFonts w:asciiTheme="minorHAnsi" w:eastAsia="SimSun" w:hAnsiTheme="minorHAnsi" w:cstheme="minorHAnsi"/>
          <w:sz w:val="22"/>
          <w:szCs w:val="22"/>
          <w:lang w:val="en-GB"/>
        </w:rPr>
        <w:t>.</w:t>
      </w:r>
    </w:p>
    <w:p w14:paraId="1748D68F" w14:textId="77777777" w:rsidR="00382CF2" w:rsidRPr="00891780" w:rsidRDefault="00382CF2" w:rsidP="000B677E">
      <w:pPr>
        <w:spacing w:before="120" w:after="120" w:line="276" w:lineRule="auto"/>
        <w:jc w:val="both"/>
        <w:rPr>
          <w:rFonts w:ascii="Calibri" w:eastAsia="SimSun" w:hAnsi="Calibri" w:cs="Calibri"/>
          <w:sz w:val="22"/>
          <w:szCs w:val="22"/>
          <w:lang w:val="en-GB"/>
        </w:rPr>
      </w:pPr>
    </w:p>
    <w:bookmarkEnd w:id="10"/>
    <w:bookmarkEnd w:id="12"/>
    <w:p w14:paraId="0F4F259A" w14:textId="77777777" w:rsidR="000B330D" w:rsidRPr="00891780" w:rsidRDefault="000B330D" w:rsidP="000B677E">
      <w:pPr>
        <w:spacing w:before="120" w:after="120"/>
        <w:jc w:val="both"/>
        <w:rPr>
          <w:rFonts w:asciiTheme="minorHAnsi" w:hAnsiTheme="minorHAnsi" w:cstheme="minorHAnsi"/>
          <w:b/>
          <w:sz w:val="22"/>
          <w:szCs w:val="22"/>
          <w:lang w:val="en-GB"/>
        </w:rPr>
      </w:pPr>
      <w:r w:rsidRPr="00891780">
        <w:rPr>
          <w:rFonts w:asciiTheme="minorHAnsi" w:hAnsiTheme="minorHAnsi" w:cstheme="minorHAnsi"/>
          <w:b/>
          <w:sz w:val="22"/>
          <w:szCs w:val="22"/>
          <w:lang w:val="en-GB"/>
        </w:rPr>
        <w:t>Establishment</w:t>
      </w:r>
    </w:p>
    <w:p w14:paraId="1748D691" w14:textId="38371280" w:rsidR="00382CF2" w:rsidRPr="00891780" w:rsidRDefault="00CA20D2" w:rsidP="000B677E">
      <w:pPr>
        <w:spacing w:before="120" w:after="120" w:line="276" w:lineRule="auto"/>
        <w:jc w:val="both"/>
        <w:rPr>
          <w:rFonts w:asciiTheme="minorHAnsi" w:eastAsia="SimSun" w:hAnsiTheme="minorHAnsi" w:cstheme="minorHAnsi"/>
          <w:sz w:val="22"/>
          <w:szCs w:val="22"/>
          <w:lang w:val="en-GB"/>
        </w:rPr>
      </w:pPr>
      <w:r>
        <w:rPr>
          <w:rFonts w:asciiTheme="minorHAnsi" w:hAnsiTheme="minorHAnsi" w:cstheme="minorHAnsi"/>
          <w:sz w:val="22"/>
          <w:szCs w:val="22"/>
          <w:lang w:val="en-GB"/>
        </w:rPr>
        <w:t xml:space="preserve">The </w:t>
      </w:r>
      <w:r w:rsidR="00C50339" w:rsidRPr="00891780">
        <w:rPr>
          <w:rFonts w:asciiTheme="minorHAnsi" w:hAnsiTheme="minorHAnsi" w:cstheme="minorHAnsi"/>
          <w:sz w:val="22"/>
          <w:szCs w:val="22"/>
          <w:lang w:val="en-GB"/>
        </w:rPr>
        <w:t xml:space="preserve">Croatian Bank for Reconstruction and Development was established on 12 June 1992 by the Act on Hrvatska </w:t>
      </w:r>
      <w:proofErr w:type="spellStart"/>
      <w:r w:rsidR="00C50339" w:rsidRPr="00891780">
        <w:rPr>
          <w:rFonts w:asciiTheme="minorHAnsi" w:hAnsiTheme="minorHAnsi" w:cstheme="minorHAnsi"/>
          <w:sz w:val="22"/>
          <w:szCs w:val="22"/>
          <w:lang w:val="en-GB"/>
        </w:rPr>
        <w:t>kreditna</w:t>
      </w:r>
      <w:proofErr w:type="spellEnd"/>
      <w:r w:rsidR="00C50339" w:rsidRPr="00891780">
        <w:rPr>
          <w:rFonts w:asciiTheme="minorHAnsi" w:hAnsiTheme="minorHAnsi" w:cstheme="minorHAnsi"/>
          <w:sz w:val="22"/>
          <w:szCs w:val="22"/>
          <w:lang w:val="en-GB"/>
        </w:rPr>
        <w:t xml:space="preserve"> banka za </w:t>
      </w:r>
      <w:proofErr w:type="spellStart"/>
      <w:r w:rsidR="00C50339" w:rsidRPr="00891780">
        <w:rPr>
          <w:rFonts w:asciiTheme="minorHAnsi" w:hAnsiTheme="minorHAnsi" w:cstheme="minorHAnsi"/>
          <w:sz w:val="22"/>
          <w:szCs w:val="22"/>
          <w:lang w:val="en-GB"/>
        </w:rPr>
        <w:t>obnovu</w:t>
      </w:r>
      <w:proofErr w:type="spellEnd"/>
      <w:r w:rsidR="00C50339" w:rsidRPr="00891780">
        <w:rPr>
          <w:rFonts w:asciiTheme="minorHAnsi" w:hAnsiTheme="minorHAnsi" w:cstheme="minorHAnsi"/>
          <w:sz w:val="22"/>
          <w:szCs w:val="22"/>
          <w:lang w:val="en-GB"/>
        </w:rPr>
        <w:t xml:space="preserve"> (HKBO). The Bank was renamed Hrvatska banka za </w:t>
      </w:r>
      <w:proofErr w:type="spellStart"/>
      <w:r w:rsidR="00C50339" w:rsidRPr="00891780">
        <w:rPr>
          <w:rFonts w:asciiTheme="minorHAnsi" w:hAnsiTheme="minorHAnsi" w:cstheme="minorHAnsi"/>
          <w:sz w:val="22"/>
          <w:szCs w:val="22"/>
          <w:lang w:val="en-GB"/>
        </w:rPr>
        <w:t>obnovu</w:t>
      </w:r>
      <w:proofErr w:type="spellEnd"/>
      <w:r w:rsidR="00C50339" w:rsidRPr="00891780">
        <w:rPr>
          <w:rFonts w:asciiTheme="minorHAnsi" w:hAnsiTheme="minorHAnsi" w:cstheme="minorHAnsi"/>
          <w:sz w:val="22"/>
          <w:szCs w:val="22"/>
          <w:lang w:val="en-GB"/>
        </w:rPr>
        <w:t xml:space="preserve"> i </w:t>
      </w:r>
      <w:proofErr w:type="spellStart"/>
      <w:r w:rsidR="00C50339" w:rsidRPr="00891780">
        <w:rPr>
          <w:rFonts w:asciiTheme="minorHAnsi" w:hAnsiTheme="minorHAnsi" w:cstheme="minorHAnsi"/>
          <w:sz w:val="22"/>
          <w:szCs w:val="22"/>
          <w:lang w:val="en-GB"/>
        </w:rPr>
        <w:t>razvitak</w:t>
      </w:r>
      <w:proofErr w:type="spellEnd"/>
      <w:r w:rsidR="00C50339" w:rsidRPr="00891780">
        <w:rPr>
          <w:rFonts w:asciiTheme="minorHAnsi" w:hAnsiTheme="minorHAnsi" w:cstheme="minorHAnsi"/>
          <w:sz w:val="22"/>
          <w:szCs w:val="22"/>
          <w:lang w:val="en-GB"/>
        </w:rPr>
        <w:t xml:space="preserve"> (Croatian Bank for Reconstruction and Development) by changes and amendments to the above Act in December 1995. In December 2006, the Croatian Parliament passed a new Act on HBOR, which came into force on 28 December 2006. On 15 February 2013, the Croatian Parliament passed the Act on Amendments to the HBOR Act, whereby the Supervisory Board of HBOR was amended and increased by one member – the Minister of Regional Development and EU Funds, and now consists of ten members</w:t>
      </w:r>
      <w:r w:rsidR="00054989" w:rsidRPr="00891780">
        <w:rPr>
          <w:rFonts w:asciiTheme="minorHAnsi" w:eastAsia="SimSun" w:hAnsiTheme="minorHAnsi" w:cstheme="minorHAnsi"/>
          <w:sz w:val="22"/>
          <w:szCs w:val="22"/>
          <w:lang w:val="en-GB"/>
        </w:rPr>
        <w:t xml:space="preserve">. </w:t>
      </w:r>
    </w:p>
    <w:p w14:paraId="1748D692" w14:textId="77777777" w:rsidR="00382CF2" w:rsidRPr="00891780" w:rsidRDefault="00382CF2" w:rsidP="000B677E">
      <w:pPr>
        <w:spacing w:before="120" w:after="120" w:line="276" w:lineRule="auto"/>
        <w:jc w:val="both"/>
        <w:rPr>
          <w:rFonts w:ascii="Calibri" w:eastAsia="SimSun" w:hAnsi="Calibri" w:cs="Calibri"/>
          <w:sz w:val="22"/>
          <w:szCs w:val="22"/>
          <w:lang w:val="en-GB"/>
        </w:rPr>
      </w:pPr>
    </w:p>
    <w:p w14:paraId="1748D693" w14:textId="04230452" w:rsidR="00382CF2" w:rsidRPr="00891780" w:rsidRDefault="007A5B74" w:rsidP="000B677E">
      <w:pPr>
        <w:spacing w:before="120" w:after="120" w:line="276" w:lineRule="auto"/>
        <w:jc w:val="both"/>
        <w:rPr>
          <w:rFonts w:ascii="Calibri" w:eastAsia="Arial Unicode MS" w:hAnsi="Calibri" w:cs="Calibri"/>
          <w:b/>
          <w:sz w:val="22"/>
          <w:szCs w:val="22"/>
          <w:lang w:val="en-GB"/>
        </w:rPr>
      </w:pPr>
      <w:r w:rsidRPr="00891780">
        <w:rPr>
          <w:rFonts w:ascii="Calibri" w:eastAsia="Arial Unicode MS" w:hAnsi="Calibri" w:cs="Calibri"/>
          <w:b/>
          <w:sz w:val="22"/>
          <w:szCs w:val="22"/>
          <w:lang w:val="en-GB"/>
        </w:rPr>
        <w:t xml:space="preserve">HBOR </w:t>
      </w:r>
      <w:r w:rsidR="00054989" w:rsidRPr="00891780">
        <w:rPr>
          <w:rFonts w:ascii="Calibri" w:eastAsia="Arial Unicode MS" w:hAnsi="Calibri" w:cs="Calibri"/>
          <w:b/>
          <w:sz w:val="22"/>
          <w:szCs w:val="22"/>
          <w:lang w:val="en-GB"/>
        </w:rPr>
        <w:t>Gr</w:t>
      </w:r>
      <w:r w:rsidRPr="00891780">
        <w:rPr>
          <w:rFonts w:ascii="Calibri" w:eastAsia="Arial Unicode MS" w:hAnsi="Calibri" w:cs="Calibri"/>
          <w:b/>
          <w:sz w:val="22"/>
          <w:szCs w:val="22"/>
          <w:lang w:val="en-GB"/>
        </w:rPr>
        <w:t>oup</w:t>
      </w:r>
    </w:p>
    <w:p w14:paraId="1748D694" w14:textId="136A5787" w:rsidR="00382CF2" w:rsidRPr="00891780" w:rsidRDefault="00AE5F56" w:rsidP="000B677E">
      <w:pPr>
        <w:spacing w:before="120" w:after="120" w:line="276" w:lineRule="auto"/>
        <w:jc w:val="both"/>
        <w:rPr>
          <w:rFonts w:asciiTheme="minorHAnsi" w:eastAsia="SimSun" w:hAnsiTheme="minorHAnsi" w:cstheme="minorHAnsi"/>
          <w:sz w:val="22"/>
          <w:szCs w:val="22"/>
          <w:lang w:val="en-GB"/>
        </w:rPr>
      </w:pPr>
      <w:r>
        <w:rPr>
          <w:rFonts w:asciiTheme="minorHAnsi" w:hAnsiTheme="minorHAnsi" w:cstheme="minorHAnsi"/>
          <w:sz w:val="22"/>
          <w:szCs w:val="22"/>
          <w:lang w:val="en-GB"/>
        </w:rPr>
        <w:t xml:space="preserve">The </w:t>
      </w:r>
      <w:r w:rsidR="00C02841" w:rsidRPr="00891780">
        <w:rPr>
          <w:rFonts w:asciiTheme="minorHAnsi" w:hAnsiTheme="minorHAnsi" w:cstheme="minorHAnsi"/>
          <w:sz w:val="22"/>
          <w:szCs w:val="22"/>
          <w:lang w:val="en-GB"/>
        </w:rPr>
        <w:t xml:space="preserve">Croatian Bank for Reconstruction and Development (HBOR or the Bank) is the parent company of the HBOR </w:t>
      </w:r>
      <w:r w:rsidR="004526DB" w:rsidRPr="00891780">
        <w:rPr>
          <w:rFonts w:asciiTheme="minorHAnsi" w:hAnsiTheme="minorHAnsi" w:cstheme="minorHAnsi"/>
          <w:sz w:val="22"/>
          <w:szCs w:val="22"/>
          <w:lang w:val="en-GB"/>
        </w:rPr>
        <w:t>G</w:t>
      </w:r>
      <w:r w:rsidR="00C02841" w:rsidRPr="00891780">
        <w:rPr>
          <w:rFonts w:asciiTheme="minorHAnsi" w:hAnsiTheme="minorHAnsi" w:cstheme="minorHAnsi"/>
          <w:sz w:val="22"/>
          <w:szCs w:val="22"/>
          <w:lang w:val="en-GB"/>
        </w:rPr>
        <w:t xml:space="preserve">roup that was formed in 2010. The HBOR Group consists of the parent company, </w:t>
      </w:r>
      <w:proofErr w:type="spellStart"/>
      <w:r w:rsidR="00C02841" w:rsidRPr="00891780">
        <w:rPr>
          <w:rFonts w:asciiTheme="minorHAnsi" w:hAnsiTheme="minorHAnsi" w:cstheme="minorHAnsi"/>
          <w:sz w:val="22"/>
          <w:szCs w:val="22"/>
          <w:lang w:val="en-GB"/>
        </w:rPr>
        <w:t>Hrvatsko</w:t>
      </w:r>
      <w:proofErr w:type="spellEnd"/>
      <w:r w:rsidR="00C02841" w:rsidRPr="00891780">
        <w:rPr>
          <w:rFonts w:asciiTheme="minorHAnsi" w:hAnsiTheme="minorHAnsi" w:cstheme="minorHAnsi"/>
          <w:sz w:val="22"/>
          <w:szCs w:val="22"/>
          <w:lang w:val="en-GB"/>
        </w:rPr>
        <w:t xml:space="preserve"> </w:t>
      </w:r>
      <w:proofErr w:type="spellStart"/>
      <w:r w:rsidR="00C02841" w:rsidRPr="00891780">
        <w:rPr>
          <w:rFonts w:asciiTheme="minorHAnsi" w:hAnsiTheme="minorHAnsi" w:cstheme="minorHAnsi"/>
          <w:sz w:val="22"/>
          <w:szCs w:val="22"/>
          <w:lang w:val="en-GB"/>
        </w:rPr>
        <w:t>kreditno</w:t>
      </w:r>
      <w:proofErr w:type="spellEnd"/>
      <w:r w:rsidR="00C02841" w:rsidRPr="00891780">
        <w:rPr>
          <w:rFonts w:asciiTheme="minorHAnsi" w:hAnsiTheme="minorHAnsi" w:cstheme="minorHAnsi"/>
          <w:sz w:val="22"/>
          <w:szCs w:val="22"/>
          <w:lang w:val="en-GB"/>
        </w:rPr>
        <w:t xml:space="preserve"> </w:t>
      </w:r>
      <w:proofErr w:type="spellStart"/>
      <w:r w:rsidR="00C02841" w:rsidRPr="00891780">
        <w:rPr>
          <w:rFonts w:asciiTheme="minorHAnsi" w:hAnsiTheme="minorHAnsi" w:cstheme="minorHAnsi"/>
          <w:sz w:val="22"/>
          <w:szCs w:val="22"/>
          <w:lang w:val="en-GB"/>
        </w:rPr>
        <w:t>osiguranje</w:t>
      </w:r>
      <w:proofErr w:type="spellEnd"/>
      <w:r w:rsidR="00C02841" w:rsidRPr="00891780">
        <w:rPr>
          <w:rFonts w:asciiTheme="minorHAnsi" w:hAnsiTheme="minorHAnsi" w:cstheme="minorHAnsi"/>
          <w:sz w:val="22"/>
          <w:szCs w:val="22"/>
          <w:lang w:val="en-GB"/>
        </w:rPr>
        <w:t xml:space="preserve"> </w:t>
      </w:r>
      <w:proofErr w:type="spellStart"/>
      <w:r w:rsidR="00C02841" w:rsidRPr="00891780">
        <w:rPr>
          <w:rFonts w:asciiTheme="minorHAnsi" w:hAnsiTheme="minorHAnsi" w:cstheme="minorHAnsi"/>
          <w:sz w:val="22"/>
          <w:szCs w:val="22"/>
          <w:lang w:val="en-GB"/>
        </w:rPr>
        <w:t>d.d.</w:t>
      </w:r>
      <w:proofErr w:type="spellEnd"/>
      <w:r w:rsidR="00C02841" w:rsidRPr="00891780">
        <w:rPr>
          <w:rFonts w:asciiTheme="minorHAnsi" w:hAnsiTheme="minorHAnsi" w:cstheme="minorHAnsi"/>
          <w:sz w:val="22"/>
          <w:szCs w:val="22"/>
          <w:lang w:val="en-GB"/>
        </w:rPr>
        <w:t xml:space="preserve"> (HKO) and </w:t>
      </w:r>
      <w:proofErr w:type="spellStart"/>
      <w:r w:rsidR="00C02841" w:rsidRPr="00891780">
        <w:rPr>
          <w:rFonts w:asciiTheme="minorHAnsi" w:hAnsiTheme="minorHAnsi" w:cstheme="minorHAnsi"/>
          <w:sz w:val="22"/>
          <w:szCs w:val="22"/>
          <w:lang w:val="en-GB"/>
        </w:rPr>
        <w:t>Poslovni</w:t>
      </w:r>
      <w:proofErr w:type="spellEnd"/>
      <w:r w:rsidR="00C02841" w:rsidRPr="00891780">
        <w:rPr>
          <w:rFonts w:asciiTheme="minorHAnsi" w:hAnsiTheme="minorHAnsi" w:cstheme="minorHAnsi"/>
          <w:sz w:val="22"/>
          <w:szCs w:val="22"/>
          <w:lang w:val="en-GB"/>
        </w:rPr>
        <w:t xml:space="preserve"> info </w:t>
      </w:r>
      <w:proofErr w:type="spellStart"/>
      <w:r w:rsidR="00C02841" w:rsidRPr="00891780">
        <w:rPr>
          <w:rFonts w:asciiTheme="minorHAnsi" w:hAnsiTheme="minorHAnsi" w:cstheme="minorHAnsi"/>
          <w:sz w:val="22"/>
          <w:szCs w:val="22"/>
          <w:lang w:val="en-GB"/>
        </w:rPr>
        <w:t>servis</w:t>
      </w:r>
      <w:proofErr w:type="spellEnd"/>
      <w:r w:rsidR="00C02841" w:rsidRPr="00891780">
        <w:rPr>
          <w:rFonts w:asciiTheme="minorHAnsi" w:hAnsiTheme="minorHAnsi" w:cstheme="minorHAnsi"/>
          <w:sz w:val="22"/>
          <w:szCs w:val="22"/>
          <w:lang w:val="en-GB"/>
        </w:rPr>
        <w:t xml:space="preserve"> d.o.o. </w:t>
      </w:r>
      <w:r w:rsidR="00054989" w:rsidRPr="00891780">
        <w:rPr>
          <w:rFonts w:asciiTheme="minorHAnsi" w:eastAsia="SimSun" w:hAnsiTheme="minorHAnsi" w:cstheme="minorHAnsi"/>
          <w:sz w:val="22"/>
          <w:szCs w:val="22"/>
          <w:lang w:val="en-GB"/>
        </w:rPr>
        <w:t xml:space="preserve">(PIS). </w:t>
      </w:r>
    </w:p>
    <w:tbl>
      <w:tblPr>
        <w:tblW w:w="5000" w:type="pct"/>
        <w:tblCellMar>
          <w:left w:w="10" w:type="dxa"/>
          <w:right w:w="10" w:type="dxa"/>
        </w:tblCellMar>
        <w:tblLook w:val="04A0" w:firstRow="1" w:lastRow="0" w:firstColumn="1" w:lastColumn="0" w:noHBand="0" w:noVBand="1"/>
      </w:tblPr>
      <w:tblGrid>
        <w:gridCol w:w="1896"/>
        <w:gridCol w:w="2049"/>
        <w:gridCol w:w="1674"/>
        <w:gridCol w:w="3952"/>
      </w:tblGrid>
      <w:tr w:rsidR="004B2E0D" w:rsidRPr="00891780" w14:paraId="1748D699" w14:textId="77777777" w:rsidTr="00DD69E7">
        <w:trPr>
          <w:trHeight w:val="832"/>
        </w:trPr>
        <w:tc>
          <w:tcPr>
            <w:tcW w:w="1864" w:type="dxa"/>
            <w:tcBorders>
              <w:top w:val="single" w:sz="4" w:space="0" w:color="666666"/>
              <w:left w:val="single" w:sz="4" w:space="0" w:color="666666"/>
              <w:bottom w:val="single" w:sz="4" w:space="0" w:color="666666"/>
            </w:tcBorders>
            <w:shd w:val="clear" w:color="auto" w:fill="auto"/>
            <w:tcMar>
              <w:top w:w="0" w:type="dxa"/>
              <w:left w:w="108" w:type="dxa"/>
              <w:bottom w:w="0" w:type="dxa"/>
              <w:right w:w="108" w:type="dxa"/>
            </w:tcMar>
          </w:tcPr>
          <w:p w14:paraId="1748D695" w14:textId="43179B05" w:rsidR="004B2E0D" w:rsidRPr="00891780" w:rsidRDefault="004B2E0D" w:rsidP="000B677E">
            <w:pPr>
              <w:spacing w:before="240" w:after="120" w:line="276" w:lineRule="auto"/>
              <w:jc w:val="both"/>
              <w:rPr>
                <w:rFonts w:asciiTheme="minorHAnsi" w:eastAsia="SimSun" w:hAnsiTheme="minorHAnsi" w:cstheme="minorHAnsi"/>
                <w:b/>
                <w:bCs/>
                <w:color w:val="FFFFFF"/>
                <w:sz w:val="22"/>
                <w:szCs w:val="22"/>
                <w:lang w:val="en-GB"/>
              </w:rPr>
            </w:pPr>
            <w:r w:rsidRPr="00891780">
              <w:rPr>
                <w:rFonts w:asciiTheme="minorHAnsi" w:hAnsiTheme="minorHAnsi" w:cstheme="minorHAnsi"/>
                <w:b/>
                <w:bCs/>
                <w:sz w:val="22"/>
                <w:szCs w:val="22"/>
                <w:lang w:val="en-GB"/>
              </w:rPr>
              <w:t>NA</w:t>
            </w:r>
            <w:r w:rsidR="000D1D79" w:rsidRPr="00891780">
              <w:rPr>
                <w:rFonts w:asciiTheme="minorHAnsi" w:hAnsiTheme="minorHAnsi" w:cstheme="minorHAnsi"/>
                <w:b/>
                <w:bCs/>
                <w:sz w:val="22"/>
                <w:szCs w:val="22"/>
                <w:lang w:val="en-GB"/>
              </w:rPr>
              <w:t>ME</w:t>
            </w:r>
          </w:p>
        </w:tc>
        <w:tc>
          <w:tcPr>
            <w:tcW w:w="2014" w:type="dxa"/>
            <w:tcBorders>
              <w:top w:val="single" w:sz="4" w:space="0" w:color="666666"/>
              <w:bottom w:val="single" w:sz="4" w:space="0" w:color="666666"/>
            </w:tcBorders>
            <w:shd w:val="clear" w:color="auto" w:fill="auto"/>
            <w:tcMar>
              <w:top w:w="0" w:type="dxa"/>
              <w:left w:w="108" w:type="dxa"/>
              <w:bottom w:w="0" w:type="dxa"/>
              <w:right w:w="108" w:type="dxa"/>
            </w:tcMar>
          </w:tcPr>
          <w:p w14:paraId="1748D696" w14:textId="5CDF1B90" w:rsidR="004B2E0D" w:rsidRPr="00891780" w:rsidRDefault="000D1D79" w:rsidP="000B677E">
            <w:pPr>
              <w:spacing w:before="120" w:after="120" w:line="276" w:lineRule="auto"/>
              <w:jc w:val="center"/>
              <w:rPr>
                <w:rFonts w:asciiTheme="minorHAnsi" w:eastAsia="SimSun" w:hAnsiTheme="minorHAnsi" w:cstheme="minorHAnsi"/>
                <w:b/>
                <w:bCs/>
                <w:color w:val="FFFFFF"/>
                <w:sz w:val="22"/>
                <w:szCs w:val="22"/>
                <w:lang w:val="en-GB"/>
              </w:rPr>
            </w:pPr>
            <w:r w:rsidRPr="00891780">
              <w:rPr>
                <w:rFonts w:asciiTheme="minorHAnsi" w:hAnsiTheme="minorHAnsi" w:cstheme="minorHAnsi"/>
                <w:b/>
                <w:bCs/>
                <w:sz w:val="22"/>
                <w:szCs w:val="22"/>
                <w:lang w:val="en-GB"/>
              </w:rPr>
              <w:t>ROLE WITHIN THE GROUP</w:t>
            </w:r>
          </w:p>
        </w:tc>
        <w:tc>
          <w:tcPr>
            <w:tcW w:w="1583" w:type="dxa"/>
            <w:tcBorders>
              <w:top w:val="single" w:sz="4" w:space="0" w:color="666666"/>
              <w:bottom w:val="single" w:sz="4" w:space="0" w:color="666666"/>
            </w:tcBorders>
            <w:shd w:val="clear" w:color="auto" w:fill="auto"/>
            <w:tcMar>
              <w:top w:w="0" w:type="dxa"/>
              <w:left w:w="108" w:type="dxa"/>
              <w:bottom w:w="0" w:type="dxa"/>
              <w:right w:w="108" w:type="dxa"/>
            </w:tcMar>
          </w:tcPr>
          <w:p w14:paraId="1748D697" w14:textId="2FC69DAA" w:rsidR="004B2E0D" w:rsidRPr="00891780" w:rsidRDefault="004B2E0D" w:rsidP="000B677E">
            <w:pPr>
              <w:spacing w:before="120" w:after="120" w:line="276" w:lineRule="auto"/>
              <w:jc w:val="center"/>
              <w:rPr>
                <w:rFonts w:asciiTheme="minorHAnsi" w:eastAsia="SimSun" w:hAnsiTheme="minorHAnsi" w:cstheme="minorHAnsi"/>
                <w:b/>
                <w:bCs/>
                <w:color w:val="FFFFFF"/>
                <w:sz w:val="22"/>
                <w:szCs w:val="22"/>
                <w:lang w:val="en-GB"/>
              </w:rPr>
            </w:pPr>
            <w:r w:rsidRPr="00891780">
              <w:rPr>
                <w:rFonts w:asciiTheme="minorHAnsi" w:hAnsiTheme="minorHAnsi" w:cstheme="minorHAnsi"/>
                <w:b/>
                <w:bCs/>
                <w:sz w:val="22"/>
                <w:szCs w:val="22"/>
                <w:lang w:val="en-GB"/>
              </w:rPr>
              <w:t xml:space="preserve">% </w:t>
            </w:r>
            <w:r w:rsidR="000D1D79" w:rsidRPr="00891780">
              <w:rPr>
                <w:rFonts w:asciiTheme="minorHAnsi" w:hAnsiTheme="minorHAnsi" w:cstheme="minorHAnsi"/>
                <w:b/>
                <w:bCs/>
                <w:sz w:val="22"/>
                <w:szCs w:val="22"/>
                <w:lang w:val="en-GB"/>
              </w:rPr>
              <w:t>OF PARTICIPATION</w:t>
            </w:r>
          </w:p>
        </w:tc>
        <w:tc>
          <w:tcPr>
            <w:tcW w:w="3884" w:type="dxa"/>
            <w:tcBorders>
              <w:top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748D698" w14:textId="0456594C" w:rsidR="004B2E0D" w:rsidRPr="00891780" w:rsidRDefault="0045248A" w:rsidP="000B677E">
            <w:pPr>
              <w:spacing w:before="240" w:after="120" w:line="276" w:lineRule="auto"/>
              <w:jc w:val="center"/>
              <w:rPr>
                <w:rFonts w:asciiTheme="minorHAnsi" w:eastAsia="SimSun" w:hAnsiTheme="minorHAnsi" w:cstheme="minorHAnsi"/>
                <w:b/>
                <w:bCs/>
                <w:color w:val="FFFFFF"/>
                <w:sz w:val="22"/>
                <w:szCs w:val="22"/>
                <w:lang w:val="en-GB"/>
              </w:rPr>
            </w:pPr>
            <w:r w:rsidRPr="00891780">
              <w:rPr>
                <w:rFonts w:asciiTheme="minorHAnsi" w:hAnsiTheme="minorHAnsi" w:cstheme="minorHAnsi"/>
                <w:b/>
                <w:bCs/>
                <w:sz w:val="22"/>
                <w:szCs w:val="22"/>
                <w:lang w:val="en-GB"/>
              </w:rPr>
              <w:t>BUSINESS ACTIVITIES</w:t>
            </w:r>
          </w:p>
        </w:tc>
      </w:tr>
      <w:tr w:rsidR="00382CF2" w:rsidRPr="00891780" w14:paraId="1748D69E" w14:textId="77777777">
        <w:trPr>
          <w:trHeight w:val="1274"/>
        </w:trPr>
        <w:tc>
          <w:tcPr>
            <w:tcW w:w="1864" w:type="dxa"/>
            <w:tcBorders>
              <w:top w:val="single" w:sz="4" w:space="0" w:color="666666"/>
              <w:left w:val="single" w:sz="4" w:space="0" w:color="666666"/>
              <w:bottom w:val="single" w:sz="4" w:space="0" w:color="666666"/>
            </w:tcBorders>
            <w:shd w:val="clear" w:color="auto" w:fill="auto"/>
            <w:tcMar>
              <w:top w:w="0" w:type="dxa"/>
              <w:left w:w="108" w:type="dxa"/>
              <w:bottom w:w="0" w:type="dxa"/>
              <w:right w:w="108" w:type="dxa"/>
            </w:tcMar>
            <w:vAlign w:val="center"/>
          </w:tcPr>
          <w:p w14:paraId="1748D69A" w14:textId="77777777" w:rsidR="00382CF2" w:rsidRPr="00891780" w:rsidRDefault="00000000" w:rsidP="000B677E">
            <w:pPr>
              <w:rPr>
                <w:lang w:val="en-GB"/>
              </w:rPr>
            </w:pPr>
            <w:hyperlink r:id="rId12" w:history="1">
              <w:proofErr w:type="spellStart"/>
              <w:r w:rsidR="00054989" w:rsidRPr="00891780">
                <w:rPr>
                  <w:rStyle w:val="Zadanifontodlomka1"/>
                  <w:rFonts w:ascii="Calibri" w:eastAsia="Calibri" w:hAnsi="Calibri" w:cs="Calibri"/>
                  <w:b/>
                  <w:bCs/>
                  <w:sz w:val="22"/>
                  <w:szCs w:val="22"/>
                  <w:lang w:val="en-GB"/>
                </w:rPr>
                <w:t>Hrvatsko</w:t>
              </w:r>
              <w:proofErr w:type="spellEnd"/>
              <w:r w:rsidR="00054989" w:rsidRPr="00891780">
                <w:rPr>
                  <w:rStyle w:val="Zadanifontodlomka1"/>
                  <w:rFonts w:ascii="Calibri" w:eastAsia="Calibri" w:hAnsi="Calibri" w:cs="Calibri"/>
                  <w:b/>
                  <w:bCs/>
                  <w:sz w:val="22"/>
                  <w:szCs w:val="22"/>
                  <w:lang w:val="en-GB"/>
                </w:rPr>
                <w:t xml:space="preserve"> </w:t>
              </w:r>
              <w:proofErr w:type="spellStart"/>
              <w:r w:rsidR="00054989" w:rsidRPr="00891780">
                <w:rPr>
                  <w:rStyle w:val="Zadanifontodlomka1"/>
                  <w:rFonts w:ascii="Calibri" w:eastAsia="Calibri" w:hAnsi="Calibri" w:cs="Calibri"/>
                  <w:b/>
                  <w:bCs/>
                  <w:sz w:val="22"/>
                  <w:szCs w:val="22"/>
                  <w:lang w:val="en-GB"/>
                </w:rPr>
                <w:t>kreditno</w:t>
              </w:r>
              <w:proofErr w:type="spellEnd"/>
              <w:r w:rsidR="00054989" w:rsidRPr="00891780">
                <w:rPr>
                  <w:rStyle w:val="Zadanifontodlomka1"/>
                  <w:rFonts w:ascii="Calibri" w:eastAsia="Calibri" w:hAnsi="Calibri" w:cs="Calibri"/>
                  <w:b/>
                  <w:bCs/>
                  <w:sz w:val="22"/>
                  <w:szCs w:val="22"/>
                  <w:lang w:val="en-GB"/>
                </w:rPr>
                <w:t xml:space="preserve"> </w:t>
              </w:r>
              <w:proofErr w:type="spellStart"/>
              <w:r w:rsidR="00054989" w:rsidRPr="00891780">
                <w:rPr>
                  <w:rStyle w:val="Zadanifontodlomka1"/>
                  <w:rFonts w:ascii="Calibri" w:eastAsia="Calibri" w:hAnsi="Calibri" w:cs="Calibri"/>
                  <w:b/>
                  <w:bCs/>
                  <w:sz w:val="22"/>
                  <w:szCs w:val="22"/>
                  <w:lang w:val="en-GB"/>
                </w:rPr>
                <w:t>osiguranje</w:t>
              </w:r>
              <w:proofErr w:type="spellEnd"/>
              <w:r w:rsidR="00054989" w:rsidRPr="00891780">
                <w:rPr>
                  <w:rStyle w:val="Zadanifontodlomka1"/>
                  <w:rFonts w:ascii="Calibri" w:eastAsia="Calibri" w:hAnsi="Calibri" w:cs="Calibri"/>
                  <w:b/>
                  <w:bCs/>
                  <w:sz w:val="22"/>
                  <w:szCs w:val="22"/>
                  <w:lang w:val="en-GB"/>
                </w:rPr>
                <w:t xml:space="preserve"> </w:t>
              </w:r>
              <w:proofErr w:type="spellStart"/>
              <w:r w:rsidR="00054989" w:rsidRPr="00891780">
                <w:rPr>
                  <w:rStyle w:val="Zadanifontodlomka1"/>
                  <w:rFonts w:ascii="Calibri" w:eastAsia="Calibri" w:hAnsi="Calibri" w:cs="Calibri"/>
                  <w:b/>
                  <w:bCs/>
                  <w:sz w:val="22"/>
                  <w:szCs w:val="22"/>
                  <w:lang w:val="en-GB"/>
                </w:rPr>
                <w:t>d.d.</w:t>
              </w:r>
              <w:proofErr w:type="spellEnd"/>
            </w:hyperlink>
          </w:p>
        </w:tc>
        <w:tc>
          <w:tcPr>
            <w:tcW w:w="2014"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1748D69B" w14:textId="3574ABD9" w:rsidR="00382CF2" w:rsidRPr="00891780" w:rsidRDefault="004B7383" w:rsidP="000B677E">
            <w:pPr>
              <w:rPr>
                <w:rFonts w:asciiTheme="minorHAnsi" w:eastAsia="Calibri" w:hAnsiTheme="minorHAnsi" w:cstheme="minorHAnsi"/>
                <w:sz w:val="22"/>
                <w:szCs w:val="22"/>
                <w:lang w:val="en-GB"/>
              </w:rPr>
            </w:pPr>
            <w:r w:rsidRPr="00891780">
              <w:rPr>
                <w:rFonts w:asciiTheme="minorHAnsi" w:eastAsia="Calibri" w:hAnsiTheme="minorHAnsi" w:cstheme="minorHAnsi"/>
                <w:sz w:val="22"/>
                <w:szCs w:val="22"/>
                <w:lang w:val="en-GB"/>
              </w:rPr>
              <w:t>Subsidiary company, direct equity participation</w:t>
            </w:r>
          </w:p>
        </w:tc>
        <w:tc>
          <w:tcPr>
            <w:tcW w:w="1583"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1748D69C" w14:textId="706D4B58" w:rsidR="00382CF2" w:rsidRPr="00891780" w:rsidRDefault="00054989" w:rsidP="000B677E">
            <w:pPr>
              <w:jc w:val="both"/>
              <w:rPr>
                <w:rFonts w:ascii="Calibri" w:eastAsia="Calibri" w:hAnsi="Calibri" w:cs="Calibri"/>
                <w:sz w:val="22"/>
                <w:szCs w:val="22"/>
                <w:lang w:val="en-GB"/>
              </w:rPr>
            </w:pPr>
            <w:r w:rsidRPr="00891780">
              <w:rPr>
                <w:rFonts w:ascii="Calibri" w:eastAsia="Calibri" w:hAnsi="Calibri" w:cs="Calibri"/>
                <w:sz w:val="22"/>
                <w:szCs w:val="22"/>
                <w:lang w:val="en-GB"/>
              </w:rPr>
              <w:t>100% HBOR</w:t>
            </w:r>
          </w:p>
        </w:tc>
        <w:tc>
          <w:tcPr>
            <w:tcW w:w="3884" w:type="dxa"/>
            <w:tcBorders>
              <w:top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48D69D" w14:textId="65751255" w:rsidR="00382CF2" w:rsidRPr="00891780" w:rsidRDefault="009B4E96" w:rsidP="000B677E">
            <w:pPr>
              <w:rPr>
                <w:rFonts w:asciiTheme="minorHAnsi" w:eastAsia="Calibri" w:hAnsiTheme="minorHAnsi" w:cstheme="minorHAnsi"/>
                <w:sz w:val="22"/>
                <w:szCs w:val="22"/>
                <w:lang w:val="en-GB"/>
              </w:rPr>
            </w:pPr>
            <w:r w:rsidRPr="00891780">
              <w:rPr>
                <w:rFonts w:asciiTheme="minorHAnsi" w:eastAsia="Calibri" w:hAnsiTheme="minorHAnsi" w:cstheme="minorHAnsi"/>
                <w:color w:val="000000"/>
                <w:sz w:val="22"/>
                <w:szCs w:val="22"/>
                <w:lang w:val="en-GB"/>
              </w:rPr>
              <w:t>Insurance for foreign and domestic short-term receivables regarding shipments of goods and services</w:t>
            </w:r>
          </w:p>
        </w:tc>
      </w:tr>
      <w:tr w:rsidR="00382CF2" w:rsidRPr="00891780" w14:paraId="1748D6A3" w14:textId="77777777">
        <w:trPr>
          <w:trHeight w:val="1275"/>
        </w:trPr>
        <w:tc>
          <w:tcPr>
            <w:tcW w:w="1864" w:type="dxa"/>
            <w:tcBorders>
              <w:top w:val="single" w:sz="4" w:space="0" w:color="666666"/>
              <w:left w:val="single" w:sz="4" w:space="0" w:color="666666"/>
              <w:bottom w:val="single" w:sz="4" w:space="0" w:color="666666"/>
            </w:tcBorders>
            <w:shd w:val="clear" w:color="auto" w:fill="auto"/>
            <w:tcMar>
              <w:top w:w="0" w:type="dxa"/>
              <w:left w:w="108" w:type="dxa"/>
              <w:bottom w:w="0" w:type="dxa"/>
              <w:right w:w="108" w:type="dxa"/>
            </w:tcMar>
            <w:vAlign w:val="center"/>
          </w:tcPr>
          <w:p w14:paraId="1748D69F" w14:textId="57F6CC1F" w:rsidR="00382CF2" w:rsidRPr="00891780" w:rsidRDefault="00054989" w:rsidP="000B677E">
            <w:pPr>
              <w:rPr>
                <w:rFonts w:ascii="Calibri" w:eastAsia="Calibri" w:hAnsi="Calibri" w:cs="Calibri"/>
                <w:b/>
                <w:bCs/>
                <w:sz w:val="22"/>
                <w:szCs w:val="22"/>
                <w:lang w:val="en-GB"/>
              </w:rPr>
            </w:pPr>
            <w:proofErr w:type="spellStart"/>
            <w:r w:rsidRPr="00891780">
              <w:rPr>
                <w:rFonts w:ascii="Calibri" w:eastAsia="Calibri" w:hAnsi="Calibri" w:cs="Calibri"/>
                <w:b/>
                <w:bCs/>
                <w:sz w:val="22"/>
                <w:szCs w:val="22"/>
                <w:lang w:val="en-GB"/>
              </w:rPr>
              <w:t>Poslovni</w:t>
            </w:r>
            <w:proofErr w:type="spellEnd"/>
            <w:r w:rsidRPr="00891780">
              <w:rPr>
                <w:rFonts w:ascii="Calibri" w:eastAsia="Calibri" w:hAnsi="Calibri" w:cs="Calibri"/>
                <w:b/>
                <w:bCs/>
                <w:sz w:val="22"/>
                <w:szCs w:val="22"/>
                <w:lang w:val="en-GB"/>
              </w:rPr>
              <w:t xml:space="preserve"> info </w:t>
            </w:r>
            <w:proofErr w:type="spellStart"/>
            <w:r w:rsidRPr="00891780">
              <w:rPr>
                <w:rFonts w:ascii="Calibri" w:eastAsia="Calibri" w:hAnsi="Calibri" w:cs="Calibri"/>
                <w:b/>
                <w:bCs/>
                <w:sz w:val="22"/>
                <w:szCs w:val="22"/>
                <w:lang w:val="en-GB"/>
              </w:rPr>
              <w:t>servis</w:t>
            </w:r>
            <w:proofErr w:type="spellEnd"/>
            <w:r w:rsidRPr="00891780">
              <w:rPr>
                <w:rFonts w:ascii="Calibri" w:eastAsia="Calibri" w:hAnsi="Calibri" w:cs="Calibri"/>
                <w:b/>
                <w:bCs/>
                <w:sz w:val="22"/>
                <w:szCs w:val="22"/>
                <w:lang w:val="en-GB"/>
              </w:rPr>
              <w:t xml:space="preserve"> d.o.o.</w:t>
            </w:r>
          </w:p>
        </w:tc>
        <w:tc>
          <w:tcPr>
            <w:tcW w:w="2014"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1748D6A0" w14:textId="3DF99904" w:rsidR="00382CF2" w:rsidRPr="00891780" w:rsidRDefault="00507D3E" w:rsidP="000B677E">
            <w:pPr>
              <w:rPr>
                <w:rFonts w:asciiTheme="minorHAnsi" w:eastAsia="Calibri" w:hAnsiTheme="minorHAnsi" w:cstheme="minorHAnsi"/>
                <w:sz w:val="22"/>
                <w:szCs w:val="22"/>
                <w:lang w:val="en-GB"/>
              </w:rPr>
            </w:pPr>
            <w:r w:rsidRPr="00891780">
              <w:rPr>
                <w:rFonts w:asciiTheme="minorHAnsi" w:eastAsia="Calibri" w:hAnsiTheme="minorHAnsi" w:cstheme="minorHAnsi"/>
                <w:sz w:val="22"/>
                <w:szCs w:val="22"/>
                <w:lang w:val="en-GB"/>
              </w:rPr>
              <w:t>Subsidiary company, indirect equity participation</w:t>
            </w:r>
          </w:p>
        </w:tc>
        <w:tc>
          <w:tcPr>
            <w:tcW w:w="1583"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1748D6A1" w14:textId="3F30FBF9" w:rsidR="00382CF2" w:rsidRPr="00891780" w:rsidRDefault="00054989" w:rsidP="000B677E">
            <w:pPr>
              <w:jc w:val="both"/>
              <w:rPr>
                <w:rFonts w:ascii="Calibri" w:eastAsia="Calibri" w:hAnsi="Calibri" w:cs="Calibri"/>
                <w:sz w:val="22"/>
                <w:szCs w:val="22"/>
                <w:lang w:val="en-GB"/>
              </w:rPr>
            </w:pPr>
            <w:r w:rsidRPr="00891780">
              <w:rPr>
                <w:rFonts w:ascii="Calibri" w:eastAsia="Calibri" w:hAnsi="Calibri" w:cs="Calibri"/>
                <w:sz w:val="22"/>
                <w:szCs w:val="22"/>
                <w:lang w:val="en-GB"/>
              </w:rPr>
              <w:t>100% HKO</w:t>
            </w:r>
          </w:p>
        </w:tc>
        <w:tc>
          <w:tcPr>
            <w:tcW w:w="3884" w:type="dxa"/>
            <w:tcBorders>
              <w:top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48D6A2" w14:textId="56A454AE" w:rsidR="00382CF2" w:rsidRPr="00891780" w:rsidRDefault="00AD2727" w:rsidP="000B677E">
            <w:pPr>
              <w:rPr>
                <w:rFonts w:asciiTheme="minorHAnsi" w:eastAsia="Calibri" w:hAnsiTheme="minorHAnsi" w:cstheme="minorHAnsi"/>
                <w:sz w:val="22"/>
                <w:szCs w:val="22"/>
                <w:lang w:val="en-GB"/>
              </w:rPr>
            </w:pPr>
            <w:r w:rsidRPr="00891780">
              <w:rPr>
                <w:rFonts w:asciiTheme="minorHAnsi" w:eastAsia="Calibri" w:hAnsiTheme="minorHAnsi" w:cstheme="minorHAnsi"/>
                <w:color w:val="000000"/>
                <w:sz w:val="22"/>
                <w:szCs w:val="22"/>
                <w:lang w:val="en-GB"/>
              </w:rPr>
              <w:t xml:space="preserve">Providing analysis, credit risk assessment and information on </w:t>
            </w:r>
            <w:r w:rsidRPr="00891780">
              <w:rPr>
                <w:rFonts w:asciiTheme="minorHAnsi" w:eastAsia="Calibri" w:hAnsiTheme="minorHAnsi" w:cstheme="minorHAnsi"/>
                <w:sz w:val="22"/>
                <w:szCs w:val="22"/>
                <w:lang w:val="en-GB"/>
              </w:rPr>
              <w:t>creditworthiness</w:t>
            </w:r>
          </w:p>
        </w:tc>
      </w:tr>
    </w:tbl>
    <w:p w14:paraId="6B1EB1BE" w14:textId="77777777" w:rsidR="00A23DDB" w:rsidRPr="00891780" w:rsidRDefault="00A23DDB" w:rsidP="000B677E">
      <w:pPr>
        <w:spacing w:before="120" w:after="120" w:line="276" w:lineRule="auto"/>
        <w:jc w:val="both"/>
        <w:rPr>
          <w:rFonts w:ascii="Calibri" w:eastAsia="SimSun" w:hAnsi="Calibri" w:cs="Calibri"/>
          <w:b/>
          <w:sz w:val="22"/>
          <w:szCs w:val="22"/>
          <w:lang w:val="en-GB"/>
        </w:rPr>
      </w:pPr>
    </w:p>
    <w:p w14:paraId="715E8DC9" w14:textId="77777777" w:rsidR="00A23DDB" w:rsidRPr="00891780" w:rsidRDefault="00A23DDB" w:rsidP="000B677E">
      <w:pPr>
        <w:rPr>
          <w:rFonts w:ascii="Calibri" w:eastAsia="SimSun" w:hAnsi="Calibri" w:cs="Calibri"/>
          <w:b/>
          <w:sz w:val="22"/>
          <w:szCs w:val="22"/>
          <w:lang w:val="en-GB"/>
        </w:rPr>
      </w:pPr>
      <w:r w:rsidRPr="00891780">
        <w:rPr>
          <w:rFonts w:ascii="Calibri" w:eastAsia="SimSun" w:hAnsi="Calibri" w:cs="Calibri"/>
          <w:b/>
          <w:sz w:val="22"/>
          <w:szCs w:val="22"/>
          <w:lang w:val="en-GB"/>
        </w:rPr>
        <w:br w:type="page"/>
      </w:r>
    </w:p>
    <w:p w14:paraId="62CEB972" w14:textId="77777777" w:rsidR="00CD2B8C" w:rsidRPr="00891780" w:rsidRDefault="00CD2B8C" w:rsidP="000B677E">
      <w:pPr>
        <w:spacing w:before="120" w:after="120"/>
        <w:jc w:val="both"/>
        <w:rPr>
          <w:rFonts w:asciiTheme="minorHAnsi" w:eastAsia="SimSun" w:hAnsiTheme="minorHAnsi" w:cstheme="minorHAnsi"/>
          <w:b/>
          <w:sz w:val="22"/>
          <w:szCs w:val="22"/>
          <w:lang w:val="en-GB"/>
        </w:rPr>
      </w:pPr>
      <w:r w:rsidRPr="00891780">
        <w:rPr>
          <w:rFonts w:asciiTheme="minorHAnsi" w:hAnsiTheme="minorHAnsi" w:cstheme="minorHAnsi"/>
          <w:b/>
          <w:sz w:val="22"/>
          <w:szCs w:val="22"/>
          <w:lang w:val="en-GB"/>
        </w:rPr>
        <w:lastRenderedPageBreak/>
        <w:t>Breakdown of the most significant financial information for</w:t>
      </w:r>
      <w:r w:rsidRPr="00891780" w:rsidDel="00776C06">
        <w:rPr>
          <w:rFonts w:asciiTheme="minorHAnsi" w:hAnsiTheme="minorHAnsi" w:cstheme="minorHAnsi"/>
          <w:b/>
          <w:sz w:val="22"/>
          <w:szCs w:val="22"/>
          <w:lang w:val="en-GB"/>
        </w:rPr>
        <w:t xml:space="preserve"> HBOR</w:t>
      </w:r>
      <w:r w:rsidRPr="00891780">
        <w:rPr>
          <w:rFonts w:asciiTheme="minorHAnsi" w:hAnsiTheme="minorHAnsi" w:cstheme="minorHAnsi"/>
          <w:b/>
          <w:sz w:val="22"/>
          <w:szCs w:val="22"/>
          <w:lang w:val="en-GB"/>
        </w:rPr>
        <w:t>, in HRK million</w:t>
      </w:r>
    </w:p>
    <w:tbl>
      <w:tblPr>
        <w:tblW w:w="9126" w:type="dxa"/>
        <w:tblCellMar>
          <w:left w:w="10" w:type="dxa"/>
          <w:right w:w="10" w:type="dxa"/>
        </w:tblCellMar>
        <w:tblLook w:val="04A0" w:firstRow="1" w:lastRow="0" w:firstColumn="1" w:lastColumn="0" w:noHBand="0" w:noVBand="1"/>
      </w:tblPr>
      <w:tblGrid>
        <w:gridCol w:w="3855"/>
        <w:gridCol w:w="1757"/>
        <w:gridCol w:w="1757"/>
        <w:gridCol w:w="1757"/>
      </w:tblGrid>
      <w:tr w:rsidR="007F297C" w:rsidRPr="00891780" w14:paraId="1748D6AB" w14:textId="77777777" w:rsidTr="00DD69E7">
        <w:trPr>
          <w:trHeight w:val="454"/>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48D6A7" w14:textId="57F6CC1F" w:rsidR="007F297C" w:rsidRPr="00891780" w:rsidRDefault="007F297C" w:rsidP="000B677E">
            <w:pPr>
              <w:rPr>
                <w:rFonts w:ascii="Calibri" w:hAnsi="Calibri" w:cs="Calibri"/>
                <w:b/>
                <w:bCs/>
                <w:sz w:val="22"/>
                <w:szCs w:val="22"/>
                <w:lang w:val="en-GB"/>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48D6A8" w14:textId="694CB3A9" w:rsidR="007F297C" w:rsidRPr="00891780" w:rsidRDefault="007F297C" w:rsidP="000B677E">
            <w:pPr>
              <w:spacing w:before="120"/>
              <w:jc w:val="right"/>
              <w:rPr>
                <w:rFonts w:asciiTheme="minorHAnsi" w:hAnsiTheme="minorHAnsi" w:cstheme="minorHAnsi"/>
                <w:b/>
                <w:bCs/>
                <w:color w:val="FFFFFF"/>
                <w:sz w:val="22"/>
                <w:szCs w:val="22"/>
                <w:lang w:val="en-GB"/>
              </w:rPr>
            </w:pPr>
            <w:r w:rsidRPr="00891780">
              <w:rPr>
                <w:rFonts w:asciiTheme="minorHAnsi" w:hAnsiTheme="minorHAnsi" w:cstheme="minorHAnsi"/>
                <w:b/>
                <w:bCs/>
                <w:sz w:val="22"/>
                <w:szCs w:val="22"/>
                <w:lang w:val="en-GB"/>
              </w:rPr>
              <w:t>2020</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48D6A9" w14:textId="3E953C8D" w:rsidR="007F297C" w:rsidRPr="00891780" w:rsidRDefault="007F297C" w:rsidP="000B677E">
            <w:pPr>
              <w:spacing w:before="120"/>
              <w:jc w:val="right"/>
              <w:rPr>
                <w:rFonts w:asciiTheme="minorHAnsi" w:hAnsiTheme="minorHAnsi" w:cstheme="minorHAnsi"/>
                <w:b/>
                <w:bCs/>
                <w:color w:val="FFFFFF"/>
                <w:sz w:val="22"/>
                <w:szCs w:val="22"/>
                <w:lang w:val="en-GB"/>
              </w:rPr>
            </w:pPr>
            <w:r w:rsidRPr="00891780">
              <w:rPr>
                <w:rFonts w:asciiTheme="minorHAnsi" w:hAnsiTheme="minorHAnsi" w:cstheme="minorHAnsi"/>
                <w:b/>
                <w:bCs/>
                <w:sz w:val="22"/>
                <w:szCs w:val="22"/>
                <w:lang w:val="en-GB"/>
              </w:rPr>
              <w:t>2021</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48D6AA" w14:textId="7E40C51C" w:rsidR="007F297C" w:rsidRPr="00891780" w:rsidRDefault="007F297C" w:rsidP="000B677E">
            <w:pPr>
              <w:spacing w:before="120"/>
              <w:jc w:val="right"/>
              <w:rPr>
                <w:rFonts w:asciiTheme="minorHAnsi" w:hAnsiTheme="minorHAnsi" w:cstheme="minorHAnsi"/>
                <w:b/>
                <w:bCs/>
                <w:color w:val="FFFFFF"/>
                <w:sz w:val="22"/>
                <w:szCs w:val="22"/>
                <w:lang w:val="en-GB"/>
              </w:rPr>
            </w:pPr>
            <w:r w:rsidRPr="00891780">
              <w:rPr>
                <w:rFonts w:asciiTheme="minorHAnsi" w:hAnsiTheme="minorHAnsi" w:cstheme="minorHAnsi"/>
                <w:b/>
                <w:bCs/>
                <w:sz w:val="22"/>
                <w:szCs w:val="22"/>
                <w:lang w:val="en-GB"/>
              </w:rPr>
              <w:t>2022</w:t>
            </w:r>
          </w:p>
        </w:tc>
      </w:tr>
      <w:tr w:rsidR="00382CF2" w:rsidRPr="00891780" w14:paraId="1748D6B0" w14:textId="77777777" w:rsidTr="4AF032DA">
        <w:trPr>
          <w:trHeight w:val="454"/>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AC" w14:textId="02E99A05" w:rsidR="00382CF2" w:rsidRPr="00891780" w:rsidRDefault="00BB18D1" w:rsidP="000B677E">
            <w:pPr>
              <w:rPr>
                <w:rFonts w:ascii="Calibri" w:hAnsi="Calibri" w:cs="Calibri"/>
                <w:b/>
                <w:bCs/>
                <w:sz w:val="22"/>
                <w:szCs w:val="22"/>
                <w:lang w:val="en-GB"/>
              </w:rPr>
            </w:pPr>
            <w:r w:rsidRPr="00891780">
              <w:rPr>
                <w:rFonts w:ascii="Calibri" w:hAnsi="Calibri" w:cs="Calibri"/>
                <w:b/>
                <w:bCs/>
                <w:sz w:val="22"/>
                <w:szCs w:val="22"/>
                <w:lang w:val="en-GB"/>
              </w:rPr>
              <w:t>Total assets</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AD" w14:textId="333A9F91"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28</w:t>
            </w:r>
            <w:r w:rsidR="00196E85" w:rsidRPr="00891780">
              <w:rPr>
                <w:rFonts w:ascii="Calibri" w:hAnsi="Calibri" w:cs="Calibri"/>
                <w:sz w:val="22"/>
                <w:szCs w:val="22"/>
                <w:lang w:val="en-GB"/>
              </w:rPr>
              <w:t>,</w:t>
            </w:r>
            <w:r w:rsidRPr="00891780">
              <w:rPr>
                <w:rFonts w:ascii="Calibri" w:hAnsi="Calibri" w:cs="Calibri"/>
                <w:sz w:val="22"/>
                <w:szCs w:val="22"/>
                <w:lang w:val="en-GB"/>
              </w:rPr>
              <w:t>680</w:t>
            </w:r>
            <w:r w:rsidR="00196E85" w:rsidRPr="00891780">
              <w:rPr>
                <w:rFonts w:ascii="Calibri" w:hAnsi="Calibri" w:cs="Calibri"/>
                <w:sz w:val="22"/>
                <w:szCs w:val="22"/>
                <w:lang w:val="en-GB"/>
              </w:rPr>
              <w:t>.</w:t>
            </w:r>
            <w:r w:rsidRPr="00891780">
              <w:rPr>
                <w:rFonts w:ascii="Calibri" w:hAnsi="Calibri" w:cs="Calibri"/>
                <w:sz w:val="22"/>
                <w:szCs w:val="22"/>
                <w:lang w:val="en-GB"/>
              </w:rPr>
              <w:t>36</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AE" w14:textId="260B3F35"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28</w:t>
            </w:r>
            <w:r w:rsidR="008F0F68" w:rsidRPr="00891780">
              <w:rPr>
                <w:rFonts w:ascii="Calibri" w:hAnsi="Calibri" w:cs="Calibri"/>
                <w:sz w:val="22"/>
                <w:szCs w:val="22"/>
                <w:lang w:val="en-GB"/>
              </w:rPr>
              <w:t>,</w:t>
            </w:r>
            <w:r w:rsidRPr="00891780">
              <w:rPr>
                <w:rFonts w:ascii="Calibri" w:hAnsi="Calibri" w:cs="Calibri"/>
                <w:sz w:val="22"/>
                <w:szCs w:val="22"/>
                <w:lang w:val="en-GB"/>
              </w:rPr>
              <w:t>249</w:t>
            </w:r>
            <w:r w:rsidR="008F0F68" w:rsidRPr="00891780">
              <w:rPr>
                <w:rFonts w:ascii="Calibri" w:hAnsi="Calibri" w:cs="Calibri"/>
                <w:sz w:val="22"/>
                <w:szCs w:val="22"/>
                <w:lang w:val="en-GB"/>
              </w:rPr>
              <w:t>.</w:t>
            </w:r>
            <w:r w:rsidRPr="00891780">
              <w:rPr>
                <w:rFonts w:ascii="Calibri" w:hAnsi="Calibri" w:cs="Calibri"/>
                <w:sz w:val="22"/>
                <w:szCs w:val="22"/>
                <w:lang w:val="en-GB"/>
              </w:rPr>
              <w:t>99</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AF" w14:textId="71BB4AD1"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29</w:t>
            </w:r>
            <w:r w:rsidR="008F0F68" w:rsidRPr="00891780">
              <w:rPr>
                <w:rFonts w:ascii="Calibri" w:hAnsi="Calibri" w:cs="Calibri"/>
                <w:sz w:val="22"/>
                <w:szCs w:val="22"/>
                <w:lang w:val="en-GB"/>
              </w:rPr>
              <w:t>,</w:t>
            </w:r>
            <w:r w:rsidRPr="00891780">
              <w:rPr>
                <w:rFonts w:ascii="Calibri" w:hAnsi="Calibri" w:cs="Calibri"/>
                <w:sz w:val="22"/>
                <w:szCs w:val="22"/>
                <w:lang w:val="en-GB"/>
              </w:rPr>
              <w:t>032</w:t>
            </w:r>
            <w:r w:rsidR="008F0F68" w:rsidRPr="00891780">
              <w:rPr>
                <w:rFonts w:ascii="Calibri" w:hAnsi="Calibri" w:cs="Calibri"/>
                <w:sz w:val="22"/>
                <w:szCs w:val="22"/>
                <w:lang w:val="en-GB"/>
              </w:rPr>
              <w:t>.</w:t>
            </w:r>
            <w:r w:rsidRPr="00891780">
              <w:rPr>
                <w:rFonts w:ascii="Calibri" w:hAnsi="Calibri" w:cs="Calibri"/>
                <w:sz w:val="22"/>
                <w:szCs w:val="22"/>
                <w:lang w:val="en-GB"/>
              </w:rPr>
              <w:t>31</w:t>
            </w:r>
          </w:p>
        </w:tc>
      </w:tr>
      <w:tr w:rsidR="00382CF2" w:rsidRPr="00891780" w14:paraId="1748D6B5" w14:textId="77777777" w:rsidTr="4AF032DA">
        <w:trPr>
          <w:trHeight w:val="454"/>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1" w14:textId="79378959" w:rsidR="00382CF2" w:rsidRPr="00891780" w:rsidRDefault="00BB18D1" w:rsidP="000B677E">
            <w:pPr>
              <w:rPr>
                <w:rFonts w:ascii="Calibri" w:hAnsi="Calibri" w:cs="Calibri"/>
                <w:b/>
                <w:bCs/>
                <w:sz w:val="22"/>
                <w:szCs w:val="22"/>
                <w:lang w:val="en-GB"/>
              </w:rPr>
            </w:pPr>
            <w:r w:rsidRPr="00891780">
              <w:rPr>
                <w:rFonts w:ascii="Calibri" w:hAnsi="Calibri" w:cs="Calibri"/>
                <w:b/>
                <w:bCs/>
                <w:sz w:val="22"/>
                <w:szCs w:val="22"/>
                <w:lang w:val="en-GB"/>
              </w:rPr>
              <w:t>Gross loans</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2" w14:textId="1FE09699"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27</w:t>
            </w:r>
            <w:r w:rsidR="00196E85" w:rsidRPr="00891780">
              <w:rPr>
                <w:rFonts w:ascii="Calibri" w:hAnsi="Calibri" w:cs="Calibri"/>
                <w:sz w:val="22"/>
                <w:szCs w:val="22"/>
                <w:lang w:val="en-GB"/>
              </w:rPr>
              <w:t>,</w:t>
            </w:r>
            <w:r w:rsidRPr="00891780">
              <w:rPr>
                <w:rFonts w:ascii="Calibri" w:hAnsi="Calibri" w:cs="Calibri"/>
                <w:sz w:val="22"/>
                <w:szCs w:val="22"/>
                <w:lang w:val="en-GB"/>
              </w:rPr>
              <w:t>197</w:t>
            </w:r>
            <w:r w:rsidR="00196E85" w:rsidRPr="00891780">
              <w:rPr>
                <w:rFonts w:ascii="Calibri" w:hAnsi="Calibri" w:cs="Calibri"/>
                <w:sz w:val="22"/>
                <w:szCs w:val="22"/>
                <w:lang w:val="en-GB"/>
              </w:rPr>
              <w:t>.</w:t>
            </w:r>
            <w:r w:rsidRPr="00891780">
              <w:rPr>
                <w:rFonts w:ascii="Calibri" w:hAnsi="Calibri" w:cs="Calibri"/>
                <w:sz w:val="22"/>
                <w:szCs w:val="22"/>
                <w:lang w:val="en-GB"/>
              </w:rPr>
              <w:t>29</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3" w14:textId="206D1E7B"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26</w:t>
            </w:r>
            <w:r w:rsidR="008F0F68" w:rsidRPr="00891780">
              <w:rPr>
                <w:rFonts w:ascii="Calibri" w:hAnsi="Calibri" w:cs="Calibri"/>
                <w:sz w:val="22"/>
                <w:szCs w:val="22"/>
                <w:lang w:val="en-GB"/>
              </w:rPr>
              <w:t>,</w:t>
            </w:r>
            <w:r w:rsidRPr="00891780">
              <w:rPr>
                <w:rFonts w:ascii="Calibri" w:hAnsi="Calibri" w:cs="Calibri"/>
                <w:sz w:val="22"/>
                <w:szCs w:val="22"/>
                <w:lang w:val="en-GB"/>
              </w:rPr>
              <w:t>329</w:t>
            </w:r>
            <w:r w:rsidR="008F0F68" w:rsidRPr="00891780">
              <w:rPr>
                <w:rFonts w:ascii="Calibri" w:hAnsi="Calibri" w:cs="Calibri"/>
                <w:sz w:val="22"/>
                <w:szCs w:val="22"/>
                <w:lang w:val="en-GB"/>
              </w:rPr>
              <w:t>.</w:t>
            </w:r>
            <w:r w:rsidRPr="00891780">
              <w:rPr>
                <w:rFonts w:ascii="Calibri" w:hAnsi="Calibri" w:cs="Calibri"/>
                <w:sz w:val="22"/>
                <w:szCs w:val="22"/>
                <w:lang w:val="en-GB"/>
              </w:rPr>
              <w:t>34</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4" w14:textId="62183AB7"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27</w:t>
            </w:r>
            <w:r w:rsidR="008F0F68" w:rsidRPr="00891780">
              <w:rPr>
                <w:rFonts w:ascii="Calibri" w:hAnsi="Calibri" w:cs="Calibri"/>
                <w:sz w:val="22"/>
                <w:szCs w:val="22"/>
                <w:lang w:val="en-GB"/>
              </w:rPr>
              <w:t>,</w:t>
            </w:r>
            <w:r w:rsidRPr="00891780">
              <w:rPr>
                <w:rFonts w:ascii="Calibri" w:hAnsi="Calibri" w:cs="Calibri"/>
                <w:sz w:val="22"/>
                <w:szCs w:val="22"/>
                <w:lang w:val="en-GB"/>
              </w:rPr>
              <w:t>903</w:t>
            </w:r>
            <w:r w:rsidR="008F0F68" w:rsidRPr="00891780">
              <w:rPr>
                <w:rFonts w:ascii="Calibri" w:hAnsi="Calibri" w:cs="Calibri"/>
                <w:sz w:val="22"/>
                <w:szCs w:val="22"/>
                <w:lang w:val="en-GB"/>
              </w:rPr>
              <w:t>.</w:t>
            </w:r>
            <w:r w:rsidRPr="00891780">
              <w:rPr>
                <w:rFonts w:ascii="Calibri" w:hAnsi="Calibri" w:cs="Calibri"/>
                <w:sz w:val="22"/>
                <w:szCs w:val="22"/>
                <w:lang w:val="en-GB"/>
              </w:rPr>
              <w:t>26</w:t>
            </w:r>
          </w:p>
        </w:tc>
      </w:tr>
      <w:tr w:rsidR="00382CF2" w:rsidRPr="00891780" w14:paraId="1748D6BA" w14:textId="77777777" w:rsidTr="4AF032DA">
        <w:trPr>
          <w:trHeight w:val="454"/>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6" w14:textId="1CB1A5BD" w:rsidR="00382CF2" w:rsidRPr="00891780" w:rsidRDefault="00196E85" w:rsidP="000B677E">
            <w:pPr>
              <w:rPr>
                <w:rFonts w:ascii="Calibri" w:hAnsi="Calibri" w:cs="Calibri"/>
                <w:b/>
                <w:bCs/>
                <w:sz w:val="22"/>
                <w:szCs w:val="22"/>
                <w:lang w:val="en-GB"/>
              </w:rPr>
            </w:pPr>
            <w:r w:rsidRPr="00891780">
              <w:rPr>
                <w:rFonts w:ascii="Calibri" w:hAnsi="Calibri" w:cs="Calibri"/>
                <w:b/>
                <w:bCs/>
                <w:sz w:val="22"/>
                <w:szCs w:val="22"/>
                <w:lang w:val="en-GB"/>
              </w:rPr>
              <w:t>Total equity</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7" w14:textId="37F4D1CF"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10</w:t>
            </w:r>
            <w:r w:rsidR="008F0F68" w:rsidRPr="00891780">
              <w:rPr>
                <w:rFonts w:ascii="Calibri" w:hAnsi="Calibri" w:cs="Calibri"/>
                <w:sz w:val="22"/>
                <w:szCs w:val="22"/>
                <w:lang w:val="en-GB"/>
              </w:rPr>
              <w:t>,</w:t>
            </w:r>
            <w:r w:rsidRPr="00891780">
              <w:rPr>
                <w:rFonts w:ascii="Calibri" w:hAnsi="Calibri" w:cs="Calibri"/>
                <w:sz w:val="22"/>
                <w:szCs w:val="22"/>
                <w:lang w:val="en-GB"/>
              </w:rPr>
              <w:t>354</w:t>
            </w:r>
            <w:r w:rsidR="008F0F68" w:rsidRPr="00891780">
              <w:rPr>
                <w:rFonts w:ascii="Calibri" w:hAnsi="Calibri" w:cs="Calibri"/>
                <w:sz w:val="22"/>
                <w:szCs w:val="22"/>
                <w:lang w:val="en-GB"/>
              </w:rPr>
              <w:t>.</w:t>
            </w:r>
            <w:r w:rsidRPr="00891780">
              <w:rPr>
                <w:rFonts w:ascii="Calibri" w:hAnsi="Calibri" w:cs="Calibri"/>
                <w:sz w:val="22"/>
                <w:szCs w:val="22"/>
                <w:lang w:val="en-GB"/>
              </w:rPr>
              <w:t>62</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8" w14:textId="6A7F139F"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10</w:t>
            </w:r>
            <w:r w:rsidR="008F0F68" w:rsidRPr="00891780">
              <w:rPr>
                <w:rFonts w:ascii="Calibri" w:hAnsi="Calibri" w:cs="Calibri"/>
                <w:sz w:val="22"/>
                <w:szCs w:val="22"/>
                <w:lang w:val="en-GB"/>
              </w:rPr>
              <w:t>,</w:t>
            </w:r>
            <w:r w:rsidRPr="00891780">
              <w:rPr>
                <w:rFonts w:ascii="Calibri" w:hAnsi="Calibri" w:cs="Calibri"/>
                <w:sz w:val="22"/>
                <w:szCs w:val="22"/>
                <w:lang w:val="en-GB"/>
              </w:rPr>
              <w:t>567</w:t>
            </w:r>
            <w:r w:rsidR="008F0F68" w:rsidRPr="00891780">
              <w:rPr>
                <w:rFonts w:ascii="Calibri" w:hAnsi="Calibri" w:cs="Calibri"/>
                <w:sz w:val="22"/>
                <w:szCs w:val="22"/>
                <w:lang w:val="en-GB"/>
              </w:rPr>
              <w:t>.</w:t>
            </w:r>
            <w:r w:rsidRPr="00891780">
              <w:rPr>
                <w:rFonts w:ascii="Calibri" w:hAnsi="Calibri" w:cs="Calibri"/>
                <w:sz w:val="22"/>
                <w:szCs w:val="22"/>
                <w:lang w:val="en-GB"/>
              </w:rPr>
              <w:t>73</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9" w14:textId="45404542"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10</w:t>
            </w:r>
            <w:r w:rsidR="008F0F68" w:rsidRPr="00891780">
              <w:rPr>
                <w:rFonts w:ascii="Calibri" w:hAnsi="Calibri" w:cs="Calibri"/>
                <w:sz w:val="22"/>
                <w:szCs w:val="22"/>
                <w:lang w:val="en-GB"/>
              </w:rPr>
              <w:t>,</w:t>
            </w:r>
            <w:r w:rsidRPr="00891780">
              <w:rPr>
                <w:rFonts w:ascii="Calibri" w:hAnsi="Calibri" w:cs="Calibri"/>
                <w:sz w:val="22"/>
                <w:szCs w:val="22"/>
                <w:lang w:val="en-GB"/>
              </w:rPr>
              <w:t>710</w:t>
            </w:r>
            <w:r w:rsidR="008F0F68" w:rsidRPr="00891780">
              <w:rPr>
                <w:rFonts w:ascii="Calibri" w:hAnsi="Calibri" w:cs="Calibri"/>
                <w:sz w:val="22"/>
                <w:szCs w:val="22"/>
                <w:lang w:val="en-GB"/>
              </w:rPr>
              <w:t>.</w:t>
            </w:r>
            <w:r w:rsidRPr="00891780">
              <w:rPr>
                <w:rFonts w:ascii="Calibri" w:hAnsi="Calibri" w:cs="Calibri"/>
                <w:sz w:val="22"/>
                <w:szCs w:val="22"/>
                <w:lang w:val="en-GB"/>
              </w:rPr>
              <w:t>60</w:t>
            </w:r>
          </w:p>
        </w:tc>
      </w:tr>
      <w:tr w:rsidR="00382CF2" w:rsidRPr="00891780" w14:paraId="1748D6BF" w14:textId="77777777" w:rsidTr="4AF032DA">
        <w:trPr>
          <w:trHeight w:val="454"/>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B" w14:textId="138F1618" w:rsidR="00382CF2" w:rsidRPr="00891780" w:rsidRDefault="00196E85" w:rsidP="000B677E">
            <w:pPr>
              <w:rPr>
                <w:rFonts w:ascii="Calibri" w:hAnsi="Calibri" w:cs="Calibri"/>
                <w:b/>
                <w:bCs/>
                <w:sz w:val="22"/>
                <w:szCs w:val="22"/>
                <w:lang w:val="en-GB"/>
              </w:rPr>
            </w:pPr>
            <w:r w:rsidRPr="00891780">
              <w:rPr>
                <w:rFonts w:ascii="Calibri" w:hAnsi="Calibri" w:cs="Calibri"/>
                <w:b/>
                <w:bCs/>
                <w:sz w:val="22"/>
                <w:szCs w:val="22"/>
                <w:lang w:val="en-GB"/>
              </w:rPr>
              <w:t>Total income</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C" w14:textId="19A8ECCA"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657</w:t>
            </w:r>
            <w:r w:rsidR="008F0F68" w:rsidRPr="00891780">
              <w:rPr>
                <w:rFonts w:ascii="Calibri" w:hAnsi="Calibri" w:cs="Calibri"/>
                <w:sz w:val="22"/>
                <w:szCs w:val="22"/>
                <w:lang w:val="en-GB"/>
              </w:rPr>
              <w:t>.</w:t>
            </w:r>
            <w:r w:rsidRPr="00891780">
              <w:rPr>
                <w:rFonts w:ascii="Calibri" w:hAnsi="Calibri" w:cs="Calibri"/>
                <w:sz w:val="22"/>
                <w:szCs w:val="22"/>
                <w:lang w:val="en-GB"/>
              </w:rPr>
              <w:t>97</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D" w14:textId="592D825F"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728</w:t>
            </w:r>
            <w:r w:rsidR="008F0F68" w:rsidRPr="00891780">
              <w:rPr>
                <w:rFonts w:ascii="Calibri" w:hAnsi="Calibri" w:cs="Calibri"/>
                <w:sz w:val="22"/>
                <w:szCs w:val="22"/>
                <w:lang w:val="en-GB"/>
              </w:rPr>
              <w:t>.</w:t>
            </w:r>
            <w:r w:rsidRPr="00891780">
              <w:rPr>
                <w:rFonts w:ascii="Calibri" w:hAnsi="Calibri" w:cs="Calibri"/>
                <w:sz w:val="22"/>
                <w:szCs w:val="22"/>
                <w:lang w:val="en-GB"/>
              </w:rPr>
              <w:t>64</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BE" w14:textId="1F2EE1BF"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682</w:t>
            </w:r>
            <w:r w:rsidR="008F0F68" w:rsidRPr="00891780">
              <w:rPr>
                <w:rFonts w:ascii="Calibri" w:hAnsi="Calibri" w:cs="Calibri"/>
                <w:sz w:val="22"/>
                <w:szCs w:val="22"/>
                <w:lang w:val="en-GB"/>
              </w:rPr>
              <w:t>.</w:t>
            </w:r>
            <w:r w:rsidRPr="00891780">
              <w:rPr>
                <w:rFonts w:ascii="Calibri" w:hAnsi="Calibri" w:cs="Calibri"/>
                <w:sz w:val="22"/>
                <w:szCs w:val="22"/>
                <w:lang w:val="en-GB"/>
              </w:rPr>
              <w:t>07</w:t>
            </w:r>
          </w:p>
        </w:tc>
      </w:tr>
      <w:tr w:rsidR="00382CF2" w:rsidRPr="00891780" w14:paraId="1748D6C4" w14:textId="77777777" w:rsidTr="4AF032DA">
        <w:trPr>
          <w:trHeight w:val="454"/>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0" w14:textId="379E6DDD" w:rsidR="00382CF2" w:rsidRPr="00891780" w:rsidRDefault="00196E85" w:rsidP="000B677E">
            <w:pPr>
              <w:rPr>
                <w:rFonts w:ascii="Calibri" w:hAnsi="Calibri" w:cs="Calibri"/>
                <w:b/>
                <w:bCs/>
                <w:sz w:val="22"/>
                <w:szCs w:val="22"/>
                <w:lang w:val="en-GB"/>
              </w:rPr>
            </w:pPr>
            <w:r w:rsidRPr="00891780">
              <w:rPr>
                <w:rFonts w:ascii="Calibri" w:hAnsi="Calibri" w:cs="Calibri"/>
                <w:b/>
                <w:bCs/>
                <w:sz w:val="22"/>
                <w:szCs w:val="22"/>
                <w:lang w:val="en-GB"/>
              </w:rPr>
              <w:t>Total expense</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1" w14:textId="4DAD489B"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(578</w:t>
            </w:r>
            <w:r w:rsidR="008F0F68" w:rsidRPr="00891780">
              <w:rPr>
                <w:rFonts w:ascii="Calibri" w:hAnsi="Calibri" w:cs="Calibri"/>
                <w:sz w:val="22"/>
                <w:szCs w:val="22"/>
                <w:lang w:val="en-GB"/>
              </w:rPr>
              <w:t>.</w:t>
            </w:r>
            <w:r w:rsidRPr="00891780">
              <w:rPr>
                <w:rFonts w:ascii="Calibri" w:hAnsi="Calibri" w:cs="Calibri"/>
                <w:sz w:val="22"/>
                <w:szCs w:val="22"/>
                <w:lang w:val="en-GB"/>
              </w:rPr>
              <w:t>63)</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2" w14:textId="40182286"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(541</w:t>
            </w:r>
            <w:r w:rsidR="008F0F68" w:rsidRPr="00891780">
              <w:rPr>
                <w:rFonts w:ascii="Calibri" w:hAnsi="Calibri" w:cs="Calibri"/>
                <w:sz w:val="22"/>
                <w:szCs w:val="22"/>
                <w:lang w:val="en-GB"/>
              </w:rPr>
              <w:t>.</w:t>
            </w:r>
            <w:r w:rsidRPr="00891780">
              <w:rPr>
                <w:rFonts w:ascii="Calibri" w:hAnsi="Calibri" w:cs="Calibri"/>
                <w:sz w:val="22"/>
                <w:szCs w:val="22"/>
                <w:lang w:val="en-GB"/>
              </w:rPr>
              <w:t>56)</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3" w14:textId="16A0D0E9"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(495</w:t>
            </w:r>
            <w:r w:rsidR="008F0F68" w:rsidRPr="00891780">
              <w:rPr>
                <w:rFonts w:ascii="Calibri" w:hAnsi="Calibri" w:cs="Calibri"/>
                <w:sz w:val="22"/>
                <w:szCs w:val="22"/>
                <w:lang w:val="en-GB"/>
              </w:rPr>
              <w:t>.</w:t>
            </w:r>
            <w:r w:rsidRPr="00891780">
              <w:rPr>
                <w:rFonts w:ascii="Calibri" w:hAnsi="Calibri" w:cs="Calibri"/>
                <w:sz w:val="22"/>
                <w:szCs w:val="22"/>
                <w:lang w:val="en-GB"/>
              </w:rPr>
              <w:t>90)</w:t>
            </w:r>
          </w:p>
        </w:tc>
      </w:tr>
      <w:tr w:rsidR="00382CF2" w:rsidRPr="00891780" w14:paraId="1748D6C9" w14:textId="77777777" w:rsidTr="4AF032DA">
        <w:trPr>
          <w:trHeight w:val="454"/>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5" w14:textId="1A20E34E" w:rsidR="00382CF2" w:rsidRPr="00891780" w:rsidRDefault="00196E85" w:rsidP="000B677E">
            <w:pPr>
              <w:rPr>
                <w:rFonts w:ascii="Calibri" w:hAnsi="Calibri" w:cs="Calibri"/>
                <w:b/>
                <w:bCs/>
                <w:sz w:val="22"/>
                <w:szCs w:val="22"/>
                <w:lang w:val="en-GB"/>
              </w:rPr>
            </w:pPr>
            <w:r w:rsidRPr="00891780">
              <w:rPr>
                <w:rFonts w:ascii="Calibri" w:hAnsi="Calibri" w:cs="Calibri"/>
                <w:b/>
                <w:bCs/>
                <w:sz w:val="22"/>
                <w:szCs w:val="22"/>
                <w:lang w:val="en-GB"/>
              </w:rPr>
              <w:t>Profit</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6" w14:textId="76E24959"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79</w:t>
            </w:r>
            <w:r w:rsidR="008F0F68" w:rsidRPr="00891780">
              <w:rPr>
                <w:rFonts w:ascii="Calibri" w:hAnsi="Calibri" w:cs="Calibri"/>
                <w:sz w:val="22"/>
                <w:szCs w:val="22"/>
                <w:lang w:val="en-GB"/>
              </w:rPr>
              <w:t>.</w:t>
            </w:r>
            <w:r w:rsidRPr="00891780">
              <w:rPr>
                <w:rFonts w:ascii="Calibri" w:hAnsi="Calibri" w:cs="Calibri"/>
                <w:sz w:val="22"/>
                <w:szCs w:val="22"/>
                <w:lang w:val="en-GB"/>
              </w:rPr>
              <w:t>34</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7" w14:textId="19B4AFD5"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187</w:t>
            </w:r>
            <w:r w:rsidR="008F0F68" w:rsidRPr="00891780">
              <w:rPr>
                <w:rFonts w:ascii="Calibri" w:hAnsi="Calibri" w:cs="Calibri"/>
                <w:sz w:val="22"/>
                <w:szCs w:val="22"/>
                <w:lang w:val="en-GB"/>
              </w:rPr>
              <w:t>.</w:t>
            </w:r>
            <w:r w:rsidRPr="00891780">
              <w:rPr>
                <w:rFonts w:ascii="Calibri" w:hAnsi="Calibri" w:cs="Calibri"/>
                <w:sz w:val="22"/>
                <w:szCs w:val="22"/>
                <w:lang w:val="en-GB"/>
              </w:rPr>
              <w:t>08</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8" w14:textId="3D097163"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186</w:t>
            </w:r>
            <w:r w:rsidR="008F0F68" w:rsidRPr="00891780">
              <w:rPr>
                <w:rFonts w:ascii="Calibri" w:hAnsi="Calibri" w:cs="Calibri"/>
                <w:sz w:val="22"/>
                <w:szCs w:val="22"/>
                <w:lang w:val="en-GB"/>
              </w:rPr>
              <w:t>.</w:t>
            </w:r>
            <w:r w:rsidRPr="00891780">
              <w:rPr>
                <w:rFonts w:ascii="Calibri" w:hAnsi="Calibri" w:cs="Calibri"/>
                <w:sz w:val="22"/>
                <w:szCs w:val="22"/>
                <w:lang w:val="en-GB"/>
              </w:rPr>
              <w:t>17</w:t>
            </w:r>
          </w:p>
        </w:tc>
      </w:tr>
      <w:tr w:rsidR="00382CF2" w:rsidRPr="00891780" w14:paraId="1748D6CE" w14:textId="77777777" w:rsidTr="4AF032DA">
        <w:trPr>
          <w:trHeight w:val="454"/>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A" w14:textId="115486F8" w:rsidR="00382CF2" w:rsidRPr="00891780" w:rsidRDefault="00196E85" w:rsidP="000B677E">
            <w:pPr>
              <w:rPr>
                <w:rFonts w:ascii="Calibri" w:hAnsi="Calibri" w:cs="Calibri"/>
                <w:b/>
                <w:bCs/>
                <w:sz w:val="22"/>
                <w:szCs w:val="22"/>
                <w:lang w:val="en-GB"/>
              </w:rPr>
            </w:pPr>
            <w:r w:rsidRPr="00891780">
              <w:rPr>
                <w:rFonts w:ascii="Calibri" w:hAnsi="Calibri" w:cs="Calibri"/>
                <w:b/>
                <w:bCs/>
                <w:sz w:val="22"/>
                <w:szCs w:val="22"/>
                <w:lang w:val="en-GB"/>
              </w:rPr>
              <w:t>Interest income</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B" w14:textId="3C00FD57"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621</w:t>
            </w:r>
            <w:r w:rsidR="008F0F68" w:rsidRPr="00891780">
              <w:rPr>
                <w:rFonts w:ascii="Calibri" w:hAnsi="Calibri" w:cs="Calibri"/>
                <w:sz w:val="22"/>
                <w:szCs w:val="22"/>
                <w:lang w:val="en-GB"/>
              </w:rPr>
              <w:t>.</w:t>
            </w:r>
            <w:r w:rsidRPr="00891780">
              <w:rPr>
                <w:rFonts w:ascii="Calibri" w:hAnsi="Calibri" w:cs="Calibri"/>
                <w:sz w:val="22"/>
                <w:szCs w:val="22"/>
                <w:lang w:val="en-GB"/>
              </w:rPr>
              <w:t>34</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C" w14:textId="2024C04A"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676</w:t>
            </w:r>
            <w:r w:rsidR="008F0F68" w:rsidRPr="00891780">
              <w:rPr>
                <w:rFonts w:ascii="Calibri" w:hAnsi="Calibri" w:cs="Calibri"/>
                <w:sz w:val="22"/>
                <w:szCs w:val="22"/>
                <w:lang w:val="en-GB"/>
              </w:rPr>
              <w:t>.</w:t>
            </w:r>
            <w:r w:rsidRPr="00891780">
              <w:rPr>
                <w:rFonts w:ascii="Calibri" w:hAnsi="Calibri" w:cs="Calibri"/>
                <w:sz w:val="22"/>
                <w:szCs w:val="22"/>
                <w:lang w:val="en-GB"/>
              </w:rPr>
              <w:t>17</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D" w14:textId="44A91565"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627</w:t>
            </w:r>
            <w:r w:rsidR="008F0F68" w:rsidRPr="00891780">
              <w:rPr>
                <w:rFonts w:ascii="Calibri" w:hAnsi="Calibri" w:cs="Calibri"/>
                <w:sz w:val="22"/>
                <w:szCs w:val="22"/>
                <w:lang w:val="en-GB"/>
              </w:rPr>
              <w:t>.</w:t>
            </w:r>
            <w:r w:rsidRPr="00891780">
              <w:rPr>
                <w:rFonts w:ascii="Calibri" w:hAnsi="Calibri" w:cs="Calibri"/>
                <w:sz w:val="22"/>
                <w:szCs w:val="22"/>
                <w:lang w:val="en-GB"/>
              </w:rPr>
              <w:t>88</w:t>
            </w:r>
          </w:p>
        </w:tc>
      </w:tr>
      <w:tr w:rsidR="00382CF2" w:rsidRPr="00891780" w14:paraId="1748D6D3" w14:textId="77777777" w:rsidTr="4AF032DA">
        <w:trPr>
          <w:trHeight w:val="454"/>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CF" w14:textId="4E7A8C2E" w:rsidR="00382CF2" w:rsidRPr="00891780" w:rsidRDefault="00196E85" w:rsidP="000B677E">
            <w:pPr>
              <w:rPr>
                <w:rFonts w:ascii="Calibri" w:hAnsi="Calibri" w:cs="Calibri"/>
                <w:b/>
                <w:bCs/>
                <w:sz w:val="22"/>
                <w:szCs w:val="22"/>
                <w:lang w:val="en-GB"/>
              </w:rPr>
            </w:pPr>
            <w:r w:rsidRPr="00891780">
              <w:rPr>
                <w:rFonts w:ascii="Calibri" w:hAnsi="Calibri" w:cs="Calibri"/>
                <w:b/>
                <w:bCs/>
                <w:sz w:val="22"/>
                <w:szCs w:val="22"/>
                <w:lang w:val="en-GB"/>
              </w:rPr>
              <w:t>Interest expense</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D0" w14:textId="65CFA2B2"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(244</w:t>
            </w:r>
            <w:r w:rsidR="008F0F68" w:rsidRPr="00891780">
              <w:rPr>
                <w:rFonts w:ascii="Calibri" w:hAnsi="Calibri" w:cs="Calibri"/>
                <w:sz w:val="22"/>
                <w:szCs w:val="22"/>
                <w:lang w:val="en-GB"/>
              </w:rPr>
              <w:t>.</w:t>
            </w:r>
            <w:r w:rsidRPr="00891780">
              <w:rPr>
                <w:rFonts w:ascii="Calibri" w:hAnsi="Calibri" w:cs="Calibri"/>
                <w:sz w:val="22"/>
                <w:szCs w:val="22"/>
                <w:lang w:val="en-GB"/>
              </w:rPr>
              <w:t>19)</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D1" w14:textId="5012FB75"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(184</w:t>
            </w:r>
            <w:r w:rsidR="008F0F68" w:rsidRPr="00891780">
              <w:rPr>
                <w:rFonts w:ascii="Calibri" w:hAnsi="Calibri" w:cs="Calibri"/>
                <w:sz w:val="22"/>
                <w:szCs w:val="22"/>
                <w:lang w:val="en-GB"/>
              </w:rPr>
              <w:t>.</w:t>
            </w:r>
            <w:r w:rsidRPr="00891780">
              <w:rPr>
                <w:rFonts w:ascii="Calibri" w:hAnsi="Calibri" w:cs="Calibri"/>
                <w:sz w:val="22"/>
                <w:szCs w:val="22"/>
                <w:lang w:val="en-GB"/>
              </w:rPr>
              <w:t>61)</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D2" w14:textId="046C16C8"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(158</w:t>
            </w:r>
            <w:r w:rsidR="008F0F68" w:rsidRPr="00891780">
              <w:rPr>
                <w:rFonts w:ascii="Calibri" w:hAnsi="Calibri" w:cs="Calibri"/>
                <w:sz w:val="22"/>
                <w:szCs w:val="22"/>
                <w:lang w:val="en-GB"/>
              </w:rPr>
              <w:t>.</w:t>
            </w:r>
            <w:r w:rsidRPr="00891780">
              <w:rPr>
                <w:rFonts w:ascii="Calibri" w:hAnsi="Calibri" w:cs="Calibri"/>
                <w:sz w:val="22"/>
                <w:szCs w:val="22"/>
                <w:lang w:val="en-GB"/>
              </w:rPr>
              <w:t>41)</w:t>
            </w:r>
          </w:p>
        </w:tc>
      </w:tr>
      <w:tr w:rsidR="00382CF2" w:rsidRPr="00891780" w14:paraId="1748D6D8" w14:textId="77777777" w:rsidTr="4AF032DA">
        <w:trPr>
          <w:trHeight w:val="454"/>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D4" w14:textId="28B1181D" w:rsidR="00382CF2" w:rsidRPr="00891780" w:rsidRDefault="00054989" w:rsidP="000B677E">
            <w:pPr>
              <w:rPr>
                <w:rFonts w:ascii="Calibri" w:hAnsi="Calibri" w:cs="Calibri"/>
                <w:b/>
                <w:bCs/>
                <w:sz w:val="22"/>
                <w:szCs w:val="22"/>
                <w:lang w:val="en-GB"/>
              </w:rPr>
            </w:pPr>
            <w:r w:rsidRPr="00891780">
              <w:rPr>
                <w:rFonts w:ascii="Calibri" w:hAnsi="Calibri" w:cs="Calibri"/>
                <w:b/>
                <w:bCs/>
                <w:sz w:val="22"/>
                <w:szCs w:val="22"/>
                <w:lang w:val="en-GB"/>
              </w:rPr>
              <w:t>Net</w:t>
            </w:r>
            <w:r w:rsidR="00196E85" w:rsidRPr="00891780">
              <w:rPr>
                <w:rFonts w:ascii="Calibri" w:hAnsi="Calibri" w:cs="Calibri"/>
                <w:b/>
                <w:bCs/>
                <w:sz w:val="22"/>
                <w:szCs w:val="22"/>
                <w:lang w:val="en-GB"/>
              </w:rPr>
              <w:t xml:space="preserve"> interest income</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D5" w14:textId="72D43A6F"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377</w:t>
            </w:r>
            <w:r w:rsidR="008F0F68" w:rsidRPr="00891780">
              <w:rPr>
                <w:rFonts w:ascii="Calibri" w:hAnsi="Calibri" w:cs="Calibri"/>
                <w:sz w:val="22"/>
                <w:szCs w:val="22"/>
                <w:lang w:val="en-GB"/>
              </w:rPr>
              <w:t>.</w:t>
            </w:r>
            <w:r w:rsidRPr="00891780">
              <w:rPr>
                <w:rFonts w:ascii="Calibri" w:hAnsi="Calibri" w:cs="Calibri"/>
                <w:sz w:val="22"/>
                <w:szCs w:val="22"/>
                <w:lang w:val="en-GB"/>
              </w:rPr>
              <w:t>15</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D6" w14:textId="74B2BB69"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491</w:t>
            </w:r>
            <w:r w:rsidR="008F0F68" w:rsidRPr="00891780">
              <w:rPr>
                <w:rFonts w:ascii="Calibri" w:hAnsi="Calibri" w:cs="Calibri"/>
                <w:sz w:val="22"/>
                <w:szCs w:val="22"/>
                <w:lang w:val="en-GB"/>
              </w:rPr>
              <w:t>.</w:t>
            </w:r>
            <w:r w:rsidRPr="00891780">
              <w:rPr>
                <w:rFonts w:ascii="Calibri" w:hAnsi="Calibri" w:cs="Calibri"/>
                <w:sz w:val="22"/>
                <w:szCs w:val="22"/>
                <w:lang w:val="en-GB"/>
              </w:rPr>
              <w:t>56</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48D6D7" w14:textId="7BD16791" w:rsidR="00382CF2" w:rsidRPr="00891780" w:rsidRDefault="00054989" w:rsidP="000B677E">
            <w:pPr>
              <w:jc w:val="right"/>
              <w:rPr>
                <w:rFonts w:ascii="Calibri" w:hAnsi="Calibri" w:cs="Calibri"/>
                <w:sz w:val="22"/>
                <w:szCs w:val="22"/>
                <w:lang w:val="en-GB"/>
              </w:rPr>
            </w:pPr>
            <w:r w:rsidRPr="00891780">
              <w:rPr>
                <w:rFonts w:ascii="Calibri" w:hAnsi="Calibri" w:cs="Calibri"/>
                <w:sz w:val="22"/>
                <w:szCs w:val="22"/>
                <w:lang w:val="en-GB"/>
              </w:rPr>
              <w:t>469</w:t>
            </w:r>
            <w:r w:rsidR="008F0F68" w:rsidRPr="00891780">
              <w:rPr>
                <w:rFonts w:ascii="Calibri" w:hAnsi="Calibri" w:cs="Calibri"/>
                <w:sz w:val="22"/>
                <w:szCs w:val="22"/>
                <w:lang w:val="en-GB"/>
              </w:rPr>
              <w:t>.</w:t>
            </w:r>
            <w:r w:rsidRPr="00891780">
              <w:rPr>
                <w:rFonts w:ascii="Calibri" w:hAnsi="Calibri" w:cs="Calibri"/>
                <w:sz w:val="22"/>
                <w:szCs w:val="22"/>
                <w:lang w:val="en-GB"/>
              </w:rPr>
              <w:t>47</w:t>
            </w:r>
          </w:p>
        </w:tc>
      </w:tr>
    </w:tbl>
    <w:p w14:paraId="1748D6D9" w14:textId="77777777" w:rsidR="00382CF2" w:rsidRPr="00891780" w:rsidRDefault="00382CF2" w:rsidP="000B677E">
      <w:pPr>
        <w:spacing w:before="120" w:after="120" w:line="276" w:lineRule="auto"/>
        <w:jc w:val="both"/>
        <w:rPr>
          <w:rFonts w:ascii="Calibri" w:eastAsia="Calibri" w:hAnsi="Calibri" w:cs="Calibri"/>
          <w:sz w:val="22"/>
          <w:szCs w:val="22"/>
          <w:lang w:val="en-GB"/>
        </w:rPr>
      </w:pPr>
    </w:p>
    <w:p w14:paraId="1748D6DA" w14:textId="3B4361E1" w:rsidR="00382CF2" w:rsidRPr="00891780" w:rsidRDefault="00517339" w:rsidP="000B677E">
      <w:pPr>
        <w:spacing w:before="120" w:after="120" w:line="276" w:lineRule="auto"/>
        <w:jc w:val="both"/>
        <w:rPr>
          <w:rFonts w:ascii="Calibri" w:eastAsia="SimSun" w:hAnsi="Calibri" w:cs="Calibri"/>
          <w:b/>
          <w:bCs/>
          <w:sz w:val="22"/>
          <w:szCs w:val="22"/>
          <w:lang w:val="en-GB"/>
        </w:rPr>
      </w:pPr>
      <w:r w:rsidRPr="00891780">
        <w:rPr>
          <w:rFonts w:ascii="Calibri" w:eastAsia="SimSun" w:hAnsi="Calibri" w:cs="Calibri"/>
          <w:b/>
          <w:bCs/>
          <w:sz w:val="22"/>
          <w:szCs w:val="22"/>
          <w:lang w:val="en-GB"/>
        </w:rPr>
        <w:t xml:space="preserve">Credit rating as </w:t>
      </w:r>
      <w:proofErr w:type="gramStart"/>
      <w:r w:rsidRPr="00891780">
        <w:rPr>
          <w:rFonts w:ascii="Calibri" w:eastAsia="SimSun" w:hAnsi="Calibri" w:cs="Calibri"/>
          <w:b/>
          <w:bCs/>
          <w:sz w:val="22"/>
          <w:szCs w:val="22"/>
          <w:lang w:val="en-GB"/>
        </w:rPr>
        <w:t>at</w:t>
      </w:r>
      <w:proofErr w:type="gramEnd"/>
      <w:r w:rsidR="00054989" w:rsidRPr="00891780">
        <w:rPr>
          <w:rFonts w:ascii="Calibri" w:eastAsia="SimSun" w:hAnsi="Calibri" w:cs="Calibri"/>
          <w:b/>
          <w:bCs/>
          <w:sz w:val="22"/>
          <w:szCs w:val="22"/>
          <w:lang w:val="en-GB"/>
        </w:rPr>
        <w:t xml:space="preserve"> </w:t>
      </w:r>
      <w:bookmarkStart w:id="13" w:name="_Hlk63766908"/>
      <w:r w:rsidR="00054989" w:rsidRPr="00891780">
        <w:rPr>
          <w:rFonts w:ascii="Calibri" w:eastAsia="SimSun" w:hAnsi="Calibri" w:cs="Calibri"/>
          <w:b/>
          <w:bCs/>
          <w:sz w:val="22"/>
          <w:szCs w:val="22"/>
          <w:lang w:val="en-GB"/>
        </w:rPr>
        <w:t>31</w:t>
      </w:r>
      <w:r w:rsidRPr="00891780">
        <w:rPr>
          <w:rFonts w:ascii="Calibri" w:eastAsia="SimSun" w:hAnsi="Calibri" w:cs="Calibri"/>
          <w:b/>
          <w:bCs/>
          <w:sz w:val="22"/>
          <w:szCs w:val="22"/>
          <w:lang w:val="en-GB"/>
        </w:rPr>
        <w:t xml:space="preserve"> December</w:t>
      </w:r>
      <w:r w:rsidR="00054989" w:rsidRPr="00891780">
        <w:rPr>
          <w:rFonts w:ascii="Calibri" w:eastAsia="SimSun" w:hAnsi="Calibri" w:cs="Calibri"/>
          <w:b/>
          <w:bCs/>
          <w:sz w:val="22"/>
          <w:szCs w:val="22"/>
          <w:lang w:val="en-GB"/>
        </w:rPr>
        <w:t xml:space="preserve"> 2022 </w:t>
      </w:r>
    </w:p>
    <w:bookmarkEnd w:id="13"/>
    <w:p w14:paraId="1748D6DB" w14:textId="6A61FCEA" w:rsidR="00382CF2" w:rsidRPr="00891780" w:rsidRDefault="00054989"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BBB+/A-2 </w:t>
      </w:r>
      <w:r w:rsidR="00FB04E9" w:rsidRPr="00891780">
        <w:rPr>
          <w:rFonts w:ascii="Calibri" w:eastAsia="SimSun" w:hAnsi="Calibri" w:cs="Calibri"/>
          <w:sz w:val="22"/>
          <w:szCs w:val="22"/>
          <w:lang w:val="en-GB"/>
        </w:rPr>
        <w:t>by</w:t>
      </w:r>
      <w:r w:rsidRPr="00891780">
        <w:rPr>
          <w:rFonts w:ascii="Calibri" w:eastAsia="SimSun" w:hAnsi="Calibri" w:cs="Calibri"/>
          <w:sz w:val="22"/>
          <w:szCs w:val="22"/>
          <w:lang w:val="en-GB"/>
        </w:rPr>
        <w:t xml:space="preserve"> Standard &amp; Poor's</w:t>
      </w:r>
    </w:p>
    <w:p w14:paraId="1748D6DC" w14:textId="77777777" w:rsidR="00382CF2" w:rsidRPr="00891780" w:rsidRDefault="00382CF2" w:rsidP="000B677E">
      <w:pPr>
        <w:spacing w:before="120" w:after="120" w:line="276" w:lineRule="auto"/>
        <w:jc w:val="both"/>
        <w:rPr>
          <w:rFonts w:ascii="Calibri" w:eastAsia="SimSun" w:hAnsi="Calibri" w:cs="Calibri"/>
          <w:sz w:val="22"/>
          <w:szCs w:val="22"/>
          <w:lang w:val="en-GB"/>
        </w:rPr>
      </w:pPr>
    </w:p>
    <w:p w14:paraId="1748D6DD" w14:textId="72268703" w:rsidR="00382CF2" w:rsidRPr="00891780" w:rsidRDefault="00FB04E9" w:rsidP="000B677E">
      <w:pPr>
        <w:spacing w:before="120" w:after="120" w:line="276" w:lineRule="auto"/>
        <w:jc w:val="both"/>
        <w:rPr>
          <w:rFonts w:ascii="Calibri" w:eastAsia="SimSun" w:hAnsi="Calibri" w:cs="Calibri"/>
          <w:b/>
          <w:sz w:val="22"/>
          <w:szCs w:val="22"/>
          <w:lang w:val="en-GB"/>
        </w:rPr>
      </w:pPr>
      <w:r w:rsidRPr="00891780">
        <w:rPr>
          <w:rFonts w:ascii="Calibri" w:eastAsia="SimSun" w:hAnsi="Calibri" w:cs="Calibri"/>
          <w:b/>
          <w:sz w:val="22"/>
          <w:szCs w:val="22"/>
          <w:lang w:val="en-GB"/>
        </w:rPr>
        <w:t>Regional offices</w:t>
      </w:r>
    </w:p>
    <w:p w14:paraId="1748D6DE" w14:textId="5925D8D7" w:rsidR="00382CF2" w:rsidRPr="00891780" w:rsidRDefault="007E1F9D" w:rsidP="000B677E">
      <w:pPr>
        <w:spacing w:before="120" w:after="120" w:line="276" w:lineRule="auto"/>
        <w:contextualSpacing/>
        <w:jc w:val="both"/>
        <w:rPr>
          <w:rFonts w:ascii="Calibri" w:eastAsia="SimSun" w:hAnsi="Calibri" w:cs="Calibri"/>
          <w:sz w:val="22"/>
          <w:szCs w:val="22"/>
          <w:lang w:val="en-GB"/>
        </w:rPr>
      </w:pPr>
      <w:r w:rsidRPr="00891780">
        <w:rPr>
          <w:rFonts w:ascii="Calibri" w:eastAsia="SimSun" w:hAnsi="Calibri" w:cs="Calibri"/>
          <w:sz w:val="22"/>
          <w:szCs w:val="22"/>
          <w:lang w:val="en-GB"/>
        </w:rPr>
        <w:t>Regional office for Dalmatia</w:t>
      </w:r>
    </w:p>
    <w:p w14:paraId="1748D6DF" w14:textId="2AD6ACA1" w:rsidR="00382CF2" w:rsidRPr="00891780" w:rsidRDefault="007E1F9D" w:rsidP="000B677E">
      <w:pPr>
        <w:spacing w:before="120" w:after="120" w:line="276" w:lineRule="auto"/>
        <w:contextualSpacing/>
        <w:jc w:val="both"/>
        <w:rPr>
          <w:rFonts w:ascii="Calibri" w:eastAsia="SimSun" w:hAnsi="Calibri" w:cs="Calibri"/>
          <w:sz w:val="22"/>
          <w:szCs w:val="22"/>
          <w:lang w:val="en-GB"/>
        </w:rPr>
      </w:pPr>
      <w:r w:rsidRPr="00891780">
        <w:rPr>
          <w:rFonts w:ascii="Calibri" w:eastAsia="SimSun" w:hAnsi="Calibri" w:cs="Calibri"/>
          <w:sz w:val="22"/>
          <w:szCs w:val="22"/>
          <w:lang w:val="en-GB"/>
        </w:rPr>
        <w:t>Regional office for Istria</w:t>
      </w:r>
    </w:p>
    <w:p w14:paraId="1748D6E0" w14:textId="173EEBA9" w:rsidR="00382CF2" w:rsidRPr="00891780" w:rsidRDefault="007E1F9D" w:rsidP="000B677E">
      <w:pPr>
        <w:spacing w:before="120" w:after="120" w:line="276" w:lineRule="auto"/>
        <w:contextualSpacing/>
        <w:jc w:val="both"/>
        <w:rPr>
          <w:rFonts w:ascii="Calibri" w:eastAsia="SimSun" w:hAnsi="Calibri" w:cs="Calibri"/>
          <w:sz w:val="22"/>
          <w:szCs w:val="22"/>
          <w:lang w:val="en-GB"/>
        </w:rPr>
      </w:pPr>
      <w:r w:rsidRPr="00891780">
        <w:rPr>
          <w:rFonts w:ascii="Calibri" w:eastAsia="SimSun" w:hAnsi="Calibri" w:cs="Calibri"/>
          <w:sz w:val="22"/>
          <w:szCs w:val="22"/>
          <w:lang w:val="en-GB"/>
        </w:rPr>
        <w:t>Regional office for</w:t>
      </w:r>
      <w:r w:rsidR="00054989" w:rsidRPr="00891780">
        <w:rPr>
          <w:rFonts w:ascii="Calibri" w:eastAsia="SimSun" w:hAnsi="Calibri" w:cs="Calibri"/>
          <w:sz w:val="22"/>
          <w:szCs w:val="22"/>
          <w:lang w:val="en-GB"/>
        </w:rPr>
        <w:t xml:space="preserve"> Lik</w:t>
      </w:r>
      <w:r w:rsidRPr="00891780">
        <w:rPr>
          <w:rFonts w:ascii="Calibri" w:eastAsia="SimSun" w:hAnsi="Calibri" w:cs="Calibri"/>
          <w:sz w:val="22"/>
          <w:szCs w:val="22"/>
          <w:lang w:val="en-GB"/>
        </w:rPr>
        <w:t>a</w:t>
      </w:r>
    </w:p>
    <w:p w14:paraId="1748D6E1" w14:textId="16A260D3" w:rsidR="00382CF2" w:rsidRPr="00891780" w:rsidRDefault="007E1F9D" w:rsidP="000B677E">
      <w:pPr>
        <w:spacing w:before="120" w:after="120" w:line="276" w:lineRule="auto"/>
        <w:contextualSpacing/>
        <w:jc w:val="both"/>
        <w:rPr>
          <w:rFonts w:ascii="Calibri" w:eastAsia="SimSun" w:hAnsi="Calibri" w:cs="Calibri"/>
          <w:sz w:val="22"/>
          <w:szCs w:val="22"/>
          <w:lang w:val="en-GB"/>
        </w:rPr>
      </w:pPr>
      <w:r w:rsidRPr="00891780">
        <w:rPr>
          <w:rFonts w:ascii="Calibri" w:eastAsia="SimSun" w:hAnsi="Calibri" w:cs="Calibri"/>
          <w:sz w:val="22"/>
          <w:szCs w:val="22"/>
          <w:lang w:val="en-GB"/>
        </w:rPr>
        <w:t>Regional office for</w:t>
      </w:r>
      <w:r w:rsidR="00054989" w:rsidRPr="00891780">
        <w:rPr>
          <w:rFonts w:ascii="Calibri" w:eastAsia="SimSun" w:hAnsi="Calibri" w:cs="Calibri"/>
          <w:sz w:val="22"/>
          <w:szCs w:val="22"/>
          <w:lang w:val="en-GB"/>
        </w:rPr>
        <w:t xml:space="preserve"> </w:t>
      </w:r>
      <w:proofErr w:type="spellStart"/>
      <w:r w:rsidR="00054989" w:rsidRPr="00891780">
        <w:rPr>
          <w:rFonts w:ascii="Calibri" w:eastAsia="SimSun" w:hAnsi="Calibri" w:cs="Calibri"/>
          <w:sz w:val="22"/>
          <w:szCs w:val="22"/>
          <w:lang w:val="en-GB"/>
        </w:rPr>
        <w:t>Primorje</w:t>
      </w:r>
      <w:proofErr w:type="spellEnd"/>
      <w:r w:rsidR="00054989" w:rsidRPr="00891780">
        <w:rPr>
          <w:rFonts w:ascii="Calibri" w:eastAsia="SimSun" w:hAnsi="Calibri" w:cs="Calibri"/>
          <w:sz w:val="22"/>
          <w:szCs w:val="22"/>
          <w:lang w:val="en-GB"/>
        </w:rPr>
        <w:t xml:space="preserve"> </w:t>
      </w:r>
      <w:r w:rsidRPr="00891780">
        <w:rPr>
          <w:rFonts w:ascii="Calibri" w:eastAsia="SimSun" w:hAnsi="Calibri" w:cs="Calibri"/>
          <w:sz w:val="22"/>
          <w:szCs w:val="22"/>
          <w:lang w:val="en-GB"/>
        </w:rPr>
        <w:t>and</w:t>
      </w:r>
      <w:r w:rsidR="00054989" w:rsidRPr="00891780">
        <w:rPr>
          <w:rFonts w:ascii="Calibri" w:eastAsia="SimSun" w:hAnsi="Calibri" w:cs="Calibri"/>
          <w:sz w:val="22"/>
          <w:szCs w:val="22"/>
          <w:lang w:val="en-GB"/>
        </w:rPr>
        <w:t xml:space="preserve"> Gorski </w:t>
      </w:r>
      <w:proofErr w:type="spellStart"/>
      <w:r w:rsidR="00054989" w:rsidRPr="00891780">
        <w:rPr>
          <w:rFonts w:ascii="Calibri" w:eastAsia="SimSun" w:hAnsi="Calibri" w:cs="Calibri"/>
          <w:sz w:val="22"/>
          <w:szCs w:val="22"/>
          <w:lang w:val="en-GB"/>
        </w:rPr>
        <w:t>kotar</w:t>
      </w:r>
      <w:proofErr w:type="spellEnd"/>
    </w:p>
    <w:p w14:paraId="1748D6E2" w14:textId="2B3FE1F9" w:rsidR="00382CF2" w:rsidRPr="00891780" w:rsidRDefault="007E1F9D" w:rsidP="000B677E">
      <w:pPr>
        <w:spacing w:before="120" w:after="120" w:line="276" w:lineRule="auto"/>
        <w:contextualSpacing/>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Regional office for </w:t>
      </w:r>
      <w:proofErr w:type="spellStart"/>
      <w:r w:rsidR="00AA1BB8" w:rsidRPr="00891780">
        <w:rPr>
          <w:rFonts w:ascii="Calibri" w:eastAsia="SimSun" w:hAnsi="Calibri" w:cs="Calibri"/>
          <w:sz w:val="22"/>
          <w:szCs w:val="22"/>
          <w:lang w:val="en-GB"/>
        </w:rPr>
        <w:t>N</w:t>
      </w:r>
      <w:r w:rsidRPr="00891780">
        <w:rPr>
          <w:rFonts w:ascii="Calibri" w:eastAsia="SimSun" w:hAnsi="Calibri" w:cs="Calibri"/>
          <w:sz w:val="22"/>
          <w:szCs w:val="22"/>
          <w:lang w:val="en-GB"/>
        </w:rPr>
        <w:t>orthwestern</w:t>
      </w:r>
      <w:proofErr w:type="spellEnd"/>
      <w:r w:rsidR="00054989" w:rsidRPr="00891780">
        <w:rPr>
          <w:rFonts w:ascii="Calibri" w:eastAsia="SimSun" w:hAnsi="Calibri" w:cs="Calibri"/>
          <w:sz w:val="22"/>
          <w:szCs w:val="22"/>
          <w:lang w:val="en-GB"/>
        </w:rPr>
        <w:t xml:space="preserve"> </w:t>
      </w:r>
      <w:r w:rsidRPr="00891780">
        <w:rPr>
          <w:rFonts w:ascii="Calibri" w:eastAsia="SimSun" w:hAnsi="Calibri" w:cs="Calibri"/>
          <w:sz w:val="22"/>
          <w:szCs w:val="22"/>
          <w:lang w:val="en-GB"/>
        </w:rPr>
        <w:t>Croatia</w:t>
      </w:r>
    </w:p>
    <w:p w14:paraId="1748D6E3" w14:textId="511E8B32" w:rsidR="00382CF2" w:rsidRPr="00891780" w:rsidRDefault="007E1F9D" w:rsidP="000B677E">
      <w:pPr>
        <w:spacing w:before="120" w:after="120" w:line="276" w:lineRule="auto"/>
        <w:contextualSpacing/>
        <w:jc w:val="both"/>
        <w:rPr>
          <w:rFonts w:ascii="Calibri" w:eastAsia="SimSun" w:hAnsi="Calibri" w:cs="Calibri"/>
          <w:sz w:val="22"/>
          <w:szCs w:val="22"/>
          <w:lang w:val="en-GB"/>
        </w:rPr>
      </w:pPr>
      <w:r w:rsidRPr="00891780">
        <w:rPr>
          <w:rFonts w:ascii="Calibri" w:eastAsia="SimSun" w:hAnsi="Calibri" w:cs="Calibri"/>
          <w:sz w:val="22"/>
          <w:szCs w:val="22"/>
          <w:lang w:val="en-GB"/>
        </w:rPr>
        <w:t>Regional office for</w:t>
      </w:r>
      <w:r w:rsidR="00054989" w:rsidRPr="00891780">
        <w:rPr>
          <w:rFonts w:ascii="Calibri" w:eastAsia="SimSun" w:hAnsi="Calibri" w:cs="Calibri"/>
          <w:sz w:val="22"/>
          <w:szCs w:val="22"/>
          <w:lang w:val="en-GB"/>
        </w:rPr>
        <w:t xml:space="preserve"> </w:t>
      </w:r>
      <w:proofErr w:type="spellStart"/>
      <w:r w:rsidR="00054989" w:rsidRPr="00891780">
        <w:rPr>
          <w:rFonts w:ascii="Calibri" w:eastAsia="SimSun" w:hAnsi="Calibri" w:cs="Calibri"/>
          <w:sz w:val="22"/>
          <w:szCs w:val="22"/>
          <w:lang w:val="en-GB"/>
        </w:rPr>
        <w:t>Slavonij</w:t>
      </w:r>
      <w:r w:rsidRPr="00891780">
        <w:rPr>
          <w:rFonts w:ascii="Calibri" w:eastAsia="SimSun" w:hAnsi="Calibri" w:cs="Calibri"/>
          <w:sz w:val="22"/>
          <w:szCs w:val="22"/>
          <w:lang w:val="en-GB"/>
        </w:rPr>
        <w:t>a</w:t>
      </w:r>
      <w:proofErr w:type="spellEnd"/>
      <w:r w:rsidRPr="00891780">
        <w:rPr>
          <w:rFonts w:ascii="Calibri" w:eastAsia="SimSun" w:hAnsi="Calibri" w:cs="Calibri"/>
          <w:sz w:val="22"/>
          <w:szCs w:val="22"/>
          <w:lang w:val="en-GB"/>
        </w:rPr>
        <w:t xml:space="preserve"> and</w:t>
      </w:r>
      <w:r w:rsidR="00054989" w:rsidRPr="00891780">
        <w:rPr>
          <w:rFonts w:ascii="Calibri" w:eastAsia="SimSun" w:hAnsi="Calibri" w:cs="Calibri"/>
          <w:sz w:val="22"/>
          <w:szCs w:val="22"/>
          <w:lang w:val="en-GB"/>
        </w:rPr>
        <w:t xml:space="preserve"> </w:t>
      </w:r>
      <w:proofErr w:type="spellStart"/>
      <w:r w:rsidR="00054989" w:rsidRPr="00891780">
        <w:rPr>
          <w:rFonts w:ascii="Calibri" w:eastAsia="SimSun" w:hAnsi="Calibri" w:cs="Calibri"/>
          <w:sz w:val="22"/>
          <w:szCs w:val="22"/>
          <w:lang w:val="en-GB"/>
        </w:rPr>
        <w:t>Baranj</w:t>
      </w:r>
      <w:r w:rsidRPr="00891780">
        <w:rPr>
          <w:rFonts w:ascii="Calibri" w:eastAsia="SimSun" w:hAnsi="Calibri" w:cs="Calibri"/>
          <w:sz w:val="22"/>
          <w:szCs w:val="22"/>
          <w:lang w:val="en-GB"/>
        </w:rPr>
        <w:t>a</w:t>
      </w:r>
      <w:proofErr w:type="spellEnd"/>
    </w:p>
    <w:p w14:paraId="1748D6E4" w14:textId="77777777" w:rsidR="00382CF2" w:rsidRPr="00891780" w:rsidRDefault="00382CF2" w:rsidP="000B677E">
      <w:pPr>
        <w:spacing w:before="120" w:after="120" w:line="276" w:lineRule="auto"/>
        <w:jc w:val="both"/>
        <w:rPr>
          <w:rFonts w:ascii="Calibri" w:eastAsia="SimSun" w:hAnsi="Calibri" w:cs="Calibri"/>
          <w:sz w:val="22"/>
          <w:szCs w:val="22"/>
          <w:lang w:val="en-GB"/>
        </w:rPr>
      </w:pPr>
    </w:p>
    <w:p w14:paraId="1748D6E5" w14:textId="2AE2B495" w:rsidR="00382CF2" w:rsidRPr="00891780" w:rsidRDefault="007E1F9D" w:rsidP="000B677E">
      <w:pPr>
        <w:spacing w:before="120" w:after="120" w:line="276" w:lineRule="auto"/>
        <w:jc w:val="both"/>
        <w:rPr>
          <w:lang w:val="en-GB"/>
        </w:rPr>
      </w:pPr>
      <w:r w:rsidRPr="00891780">
        <w:rPr>
          <w:rStyle w:val="Zadanifontodlomka1"/>
          <w:rFonts w:ascii="Calibri" w:eastAsia="SimSun" w:hAnsi="Calibri" w:cs="Calibri"/>
          <w:b/>
          <w:sz w:val="22"/>
          <w:szCs w:val="22"/>
          <w:lang w:val="en-GB"/>
        </w:rPr>
        <w:t>Number of employees</w:t>
      </w:r>
    </w:p>
    <w:p w14:paraId="1748D6E6" w14:textId="1D0D2746" w:rsidR="00382CF2" w:rsidRPr="00891780" w:rsidRDefault="006E0889" w:rsidP="000B677E">
      <w:pPr>
        <w:spacing w:before="120" w:after="120" w:line="276" w:lineRule="auto"/>
        <w:contextualSpacing/>
        <w:jc w:val="both"/>
        <w:rPr>
          <w:rFonts w:ascii="Calibri" w:eastAsia="SimSun" w:hAnsi="Calibri" w:cs="Calibri"/>
          <w:sz w:val="22"/>
          <w:szCs w:val="22"/>
          <w:lang w:val="en-GB"/>
        </w:rPr>
      </w:pPr>
      <w:r w:rsidRPr="00891780">
        <w:rPr>
          <w:rFonts w:ascii="Calibri" w:eastAsia="SimSun" w:hAnsi="Calibri" w:cs="Calibri"/>
          <w:sz w:val="22"/>
          <w:szCs w:val="22"/>
          <w:lang w:val="en-GB"/>
        </w:rPr>
        <w:t>On</w:t>
      </w:r>
      <w:r w:rsidR="00054989" w:rsidRPr="00891780">
        <w:rPr>
          <w:rFonts w:ascii="Calibri" w:eastAsia="SimSun" w:hAnsi="Calibri" w:cs="Calibri"/>
          <w:sz w:val="22"/>
          <w:szCs w:val="22"/>
          <w:lang w:val="en-GB"/>
        </w:rPr>
        <w:t xml:space="preserve"> 31</w:t>
      </w:r>
      <w:r w:rsidRPr="00891780">
        <w:rPr>
          <w:rFonts w:ascii="Calibri" w:eastAsia="SimSun" w:hAnsi="Calibri" w:cs="Calibri"/>
          <w:sz w:val="22"/>
          <w:szCs w:val="22"/>
          <w:lang w:val="en-GB"/>
        </w:rPr>
        <w:t xml:space="preserve"> December</w:t>
      </w:r>
      <w:r w:rsidR="00875E80" w:rsidRPr="00891780">
        <w:rPr>
          <w:rFonts w:ascii="Calibri" w:eastAsia="SimSun" w:hAnsi="Calibri" w:cs="Calibri"/>
          <w:sz w:val="22"/>
          <w:szCs w:val="22"/>
          <w:lang w:val="en-GB"/>
        </w:rPr>
        <w:t xml:space="preserve"> </w:t>
      </w:r>
      <w:r w:rsidR="00054989" w:rsidRPr="00891780">
        <w:rPr>
          <w:rFonts w:ascii="Calibri" w:eastAsia="SimSun" w:hAnsi="Calibri" w:cs="Calibri"/>
          <w:sz w:val="22"/>
          <w:szCs w:val="22"/>
          <w:lang w:val="en-GB"/>
        </w:rPr>
        <w:t>2022</w:t>
      </w:r>
      <w:r w:rsidRPr="00891780">
        <w:rPr>
          <w:rFonts w:ascii="Calibri" w:eastAsia="SimSun" w:hAnsi="Calibri" w:cs="Calibri"/>
          <w:sz w:val="22"/>
          <w:szCs w:val="22"/>
          <w:lang w:val="en-GB"/>
        </w:rPr>
        <w:t>, there were 382 employees in</w:t>
      </w:r>
      <w:r w:rsidR="00054989" w:rsidRPr="00891780">
        <w:rPr>
          <w:rFonts w:ascii="Calibri" w:eastAsia="SimSun" w:hAnsi="Calibri" w:cs="Calibri"/>
          <w:sz w:val="22"/>
          <w:szCs w:val="22"/>
          <w:lang w:val="en-GB"/>
        </w:rPr>
        <w:t xml:space="preserve"> HBOR.</w:t>
      </w:r>
    </w:p>
    <w:p w14:paraId="1748D6E7" w14:textId="261006D7" w:rsidR="00382CF2" w:rsidRPr="00891780" w:rsidRDefault="006E0889" w:rsidP="000B677E">
      <w:pPr>
        <w:spacing w:before="120" w:after="120" w:line="276" w:lineRule="auto"/>
        <w:contextualSpacing/>
        <w:jc w:val="both"/>
        <w:rPr>
          <w:rFonts w:ascii="Calibri" w:eastAsia="SimSun" w:hAnsi="Calibri" w:cs="Calibri"/>
          <w:sz w:val="22"/>
          <w:szCs w:val="22"/>
          <w:lang w:val="en-GB"/>
        </w:rPr>
      </w:pPr>
      <w:r w:rsidRPr="00891780">
        <w:rPr>
          <w:rFonts w:ascii="Calibri" w:eastAsia="SimSun" w:hAnsi="Calibri" w:cs="Calibri"/>
          <w:sz w:val="22"/>
          <w:szCs w:val="22"/>
          <w:lang w:val="en-GB"/>
        </w:rPr>
        <w:t>On</w:t>
      </w:r>
      <w:r w:rsidR="00054989" w:rsidRPr="00891780">
        <w:rPr>
          <w:rFonts w:ascii="Calibri" w:eastAsia="SimSun" w:hAnsi="Calibri" w:cs="Calibri"/>
          <w:sz w:val="22"/>
          <w:szCs w:val="22"/>
          <w:lang w:val="en-GB"/>
        </w:rPr>
        <w:t xml:space="preserve"> </w:t>
      </w:r>
      <w:r w:rsidR="00875E80" w:rsidRPr="00891780">
        <w:rPr>
          <w:rFonts w:ascii="Calibri" w:eastAsia="SimSun" w:hAnsi="Calibri" w:cs="Calibri"/>
          <w:sz w:val="22"/>
          <w:szCs w:val="22"/>
          <w:lang w:val="en-GB"/>
        </w:rPr>
        <w:t>31</w:t>
      </w:r>
      <w:r w:rsidRPr="00891780">
        <w:rPr>
          <w:rFonts w:ascii="Calibri" w:eastAsia="SimSun" w:hAnsi="Calibri" w:cs="Calibri"/>
          <w:sz w:val="22"/>
          <w:szCs w:val="22"/>
          <w:lang w:val="en-GB"/>
        </w:rPr>
        <w:t xml:space="preserve"> December</w:t>
      </w:r>
      <w:r w:rsidR="00875E80" w:rsidRPr="00891780">
        <w:rPr>
          <w:rFonts w:ascii="Calibri" w:eastAsia="SimSun" w:hAnsi="Calibri" w:cs="Calibri"/>
          <w:sz w:val="22"/>
          <w:szCs w:val="22"/>
          <w:lang w:val="en-GB"/>
        </w:rPr>
        <w:t xml:space="preserve"> 2022</w:t>
      </w:r>
      <w:r w:rsidRPr="00891780">
        <w:rPr>
          <w:rFonts w:ascii="Calibri" w:eastAsia="SimSun" w:hAnsi="Calibri" w:cs="Calibri"/>
          <w:sz w:val="22"/>
          <w:szCs w:val="22"/>
          <w:lang w:val="en-GB"/>
        </w:rPr>
        <w:t>, there were 402</w:t>
      </w:r>
      <w:r w:rsidR="008A5EA5" w:rsidRPr="00891780">
        <w:rPr>
          <w:rFonts w:ascii="Calibri" w:eastAsia="SimSun" w:hAnsi="Calibri" w:cs="Calibri"/>
          <w:sz w:val="22"/>
          <w:szCs w:val="22"/>
          <w:lang w:val="en-GB"/>
        </w:rPr>
        <w:t xml:space="preserve"> employees in HBOR Group</w:t>
      </w:r>
      <w:r w:rsidR="00054989" w:rsidRPr="00891780">
        <w:rPr>
          <w:rFonts w:ascii="Calibri" w:eastAsia="SimSun" w:hAnsi="Calibri" w:cs="Calibri"/>
          <w:sz w:val="22"/>
          <w:szCs w:val="22"/>
          <w:lang w:val="en-GB"/>
        </w:rPr>
        <w:t>.</w:t>
      </w:r>
    </w:p>
    <w:p w14:paraId="1748D6E8" w14:textId="77777777" w:rsidR="00382CF2" w:rsidRPr="00891780" w:rsidRDefault="00382CF2" w:rsidP="000B677E">
      <w:pPr>
        <w:spacing w:before="120" w:after="120" w:line="276" w:lineRule="auto"/>
        <w:jc w:val="both"/>
        <w:rPr>
          <w:rFonts w:ascii="Calibri" w:eastAsia="SimSun" w:hAnsi="Calibri" w:cs="Calibri"/>
          <w:b/>
          <w:sz w:val="22"/>
          <w:szCs w:val="22"/>
          <w:lang w:val="en-GB"/>
        </w:rPr>
      </w:pPr>
    </w:p>
    <w:p w14:paraId="1748D6E9" w14:textId="465D70A8" w:rsidR="00382CF2" w:rsidRPr="00891780" w:rsidRDefault="008A5EA5" w:rsidP="000B677E">
      <w:pPr>
        <w:spacing w:before="120" w:after="120" w:line="276" w:lineRule="auto"/>
        <w:jc w:val="both"/>
        <w:rPr>
          <w:rFonts w:ascii="Calibri" w:eastAsia="SimSun" w:hAnsi="Calibri" w:cs="Calibri"/>
          <w:b/>
          <w:sz w:val="22"/>
          <w:szCs w:val="22"/>
          <w:lang w:val="en-GB"/>
        </w:rPr>
      </w:pPr>
      <w:r w:rsidRPr="00891780">
        <w:rPr>
          <w:rFonts w:ascii="Calibri" w:eastAsia="SimSun" w:hAnsi="Calibri" w:cs="Calibri"/>
          <w:b/>
          <w:sz w:val="22"/>
          <w:szCs w:val="22"/>
          <w:lang w:val="en-GB"/>
        </w:rPr>
        <w:t>Exchange rate</w:t>
      </w:r>
    </w:p>
    <w:p w14:paraId="1748D6EA" w14:textId="67F9C6BD" w:rsidR="00382CF2" w:rsidRPr="00891780" w:rsidRDefault="002635F7" w:rsidP="000B677E">
      <w:pPr>
        <w:spacing w:before="120" w:after="120" w:line="276" w:lineRule="auto"/>
        <w:jc w:val="both"/>
        <w:rPr>
          <w:rFonts w:asciiTheme="minorHAnsi" w:eastAsia="SimSun" w:hAnsiTheme="minorHAnsi" w:cstheme="minorHAnsi"/>
          <w:sz w:val="22"/>
          <w:szCs w:val="22"/>
          <w:lang w:val="en-GB"/>
        </w:rPr>
      </w:pPr>
      <w:proofErr w:type="gramStart"/>
      <w:r w:rsidRPr="00891780">
        <w:rPr>
          <w:rFonts w:asciiTheme="minorHAnsi" w:hAnsiTheme="minorHAnsi" w:cstheme="minorHAnsi"/>
          <w:sz w:val="22"/>
          <w:szCs w:val="22"/>
          <w:lang w:val="en-GB"/>
        </w:rPr>
        <w:t>For the purpose of</w:t>
      </w:r>
      <w:proofErr w:type="gramEnd"/>
      <w:r w:rsidRPr="00891780">
        <w:rPr>
          <w:rFonts w:asciiTheme="minorHAnsi" w:hAnsiTheme="minorHAnsi" w:cstheme="minorHAnsi"/>
          <w:sz w:val="22"/>
          <w:szCs w:val="22"/>
          <w:lang w:val="en-GB"/>
        </w:rPr>
        <w:t xml:space="preserve"> converting amounts in foreign currencies into HRK, the following middle exchange rates of the Croatian National Bank (HNB) have been applied</w:t>
      </w:r>
      <w:r w:rsidR="00054989" w:rsidRPr="00891780">
        <w:rPr>
          <w:rFonts w:asciiTheme="minorHAnsi" w:eastAsia="SimSun" w:hAnsiTheme="minorHAnsi" w:cstheme="minorHAnsi"/>
          <w:sz w:val="22"/>
          <w:szCs w:val="22"/>
          <w:lang w:val="en-GB"/>
        </w:rPr>
        <w:t>:</w:t>
      </w:r>
    </w:p>
    <w:tbl>
      <w:tblPr>
        <w:tblW w:w="5000" w:type="pct"/>
        <w:tblCellMar>
          <w:left w:w="10" w:type="dxa"/>
          <w:right w:w="10" w:type="dxa"/>
        </w:tblCellMar>
        <w:tblLook w:val="04A0" w:firstRow="1" w:lastRow="0" w:firstColumn="1" w:lastColumn="0" w:noHBand="0" w:noVBand="1"/>
      </w:tblPr>
      <w:tblGrid>
        <w:gridCol w:w="2804"/>
        <w:gridCol w:w="280"/>
        <w:gridCol w:w="3264"/>
        <w:gridCol w:w="241"/>
        <w:gridCol w:w="2982"/>
      </w:tblGrid>
      <w:tr w:rsidR="00382CF2" w:rsidRPr="00891780" w14:paraId="1748D6F0" w14:textId="77777777">
        <w:trPr>
          <w:trHeight w:val="392"/>
        </w:trPr>
        <w:tc>
          <w:tcPr>
            <w:tcW w:w="2740" w:type="dxa"/>
            <w:shd w:val="clear" w:color="auto" w:fill="auto"/>
            <w:tcMar>
              <w:top w:w="0" w:type="dxa"/>
              <w:left w:w="108" w:type="dxa"/>
              <w:bottom w:w="0" w:type="dxa"/>
              <w:right w:w="108" w:type="dxa"/>
            </w:tcMar>
            <w:vAlign w:val="center"/>
          </w:tcPr>
          <w:p w14:paraId="1748D6EB" w14:textId="1DAAF8F3" w:rsidR="00382CF2" w:rsidRPr="00891780" w:rsidRDefault="00054989"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31</w:t>
            </w:r>
            <w:r w:rsidR="002635F7" w:rsidRPr="00891780">
              <w:rPr>
                <w:rFonts w:ascii="Calibri" w:eastAsia="SimSun" w:hAnsi="Calibri" w:cs="Calibri"/>
                <w:sz w:val="22"/>
                <w:szCs w:val="22"/>
                <w:lang w:val="en-GB"/>
              </w:rPr>
              <w:t xml:space="preserve"> December</w:t>
            </w:r>
            <w:r w:rsidRPr="00891780">
              <w:rPr>
                <w:rFonts w:ascii="Calibri" w:eastAsia="SimSun" w:hAnsi="Calibri" w:cs="Calibri"/>
                <w:sz w:val="22"/>
                <w:szCs w:val="22"/>
                <w:lang w:val="en-GB"/>
              </w:rPr>
              <w:t xml:space="preserve"> 2022</w:t>
            </w:r>
          </w:p>
        </w:tc>
        <w:tc>
          <w:tcPr>
            <w:tcW w:w="274" w:type="dxa"/>
            <w:shd w:val="clear" w:color="auto" w:fill="auto"/>
            <w:tcMar>
              <w:top w:w="0" w:type="dxa"/>
              <w:left w:w="108" w:type="dxa"/>
              <w:bottom w:w="0" w:type="dxa"/>
              <w:right w:w="108" w:type="dxa"/>
            </w:tcMar>
            <w:vAlign w:val="center"/>
          </w:tcPr>
          <w:p w14:paraId="1748D6EC" w14:textId="77777777" w:rsidR="00382CF2" w:rsidRPr="00891780" w:rsidRDefault="00382CF2" w:rsidP="000B677E">
            <w:pPr>
              <w:spacing w:before="120" w:after="120" w:line="276" w:lineRule="auto"/>
              <w:jc w:val="both"/>
              <w:rPr>
                <w:rFonts w:ascii="Calibri" w:eastAsia="SimSun" w:hAnsi="Calibri" w:cs="Calibri"/>
                <w:sz w:val="22"/>
                <w:szCs w:val="22"/>
                <w:lang w:val="en-GB"/>
              </w:rPr>
            </w:pPr>
          </w:p>
        </w:tc>
        <w:tc>
          <w:tcPr>
            <w:tcW w:w="3190" w:type="dxa"/>
            <w:shd w:val="clear" w:color="auto" w:fill="auto"/>
            <w:tcMar>
              <w:top w:w="0" w:type="dxa"/>
              <w:left w:w="108" w:type="dxa"/>
              <w:bottom w:w="0" w:type="dxa"/>
              <w:right w:w="108" w:type="dxa"/>
            </w:tcMar>
            <w:vAlign w:val="center"/>
          </w:tcPr>
          <w:p w14:paraId="1748D6ED" w14:textId="518A5CA9" w:rsidR="00382CF2" w:rsidRPr="00891780" w:rsidRDefault="00126C5C" w:rsidP="000B677E">
            <w:pPr>
              <w:spacing w:before="120" w:after="120" w:line="276" w:lineRule="auto"/>
              <w:jc w:val="both"/>
              <w:rPr>
                <w:lang w:val="en-GB"/>
              </w:rPr>
            </w:pPr>
            <w:r w:rsidRPr="00891780">
              <w:rPr>
                <w:rStyle w:val="Zadanifontodlomka1"/>
                <w:rFonts w:ascii="Calibri" w:eastAsia="SimSun" w:hAnsi="Calibri" w:cs="Calibri"/>
                <w:sz w:val="22"/>
                <w:szCs w:val="22"/>
                <w:lang w:val="en-GB"/>
              </w:rPr>
              <w:t xml:space="preserve">EUR </w:t>
            </w:r>
            <w:r w:rsidR="00054989" w:rsidRPr="00891780">
              <w:rPr>
                <w:rStyle w:val="Zadanifontodlomka1"/>
                <w:rFonts w:ascii="Calibri" w:eastAsia="SimSun" w:hAnsi="Calibri" w:cs="Calibri"/>
                <w:sz w:val="22"/>
                <w:szCs w:val="22"/>
                <w:lang w:val="en-GB"/>
              </w:rPr>
              <w:t xml:space="preserve">1 = </w:t>
            </w:r>
            <w:r w:rsidRPr="00891780">
              <w:rPr>
                <w:rStyle w:val="Zadanifontodlomka1"/>
                <w:rFonts w:ascii="Calibri" w:eastAsia="SimSun" w:hAnsi="Calibri" w:cs="Calibri"/>
                <w:sz w:val="22"/>
                <w:szCs w:val="22"/>
                <w:lang w:val="en-GB"/>
              </w:rPr>
              <w:t xml:space="preserve">HRK </w:t>
            </w:r>
            <w:r w:rsidR="00054989" w:rsidRPr="00891780">
              <w:rPr>
                <w:rStyle w:val="Zadanifontodlomka1"/>
                <w:rFonts w:ascii="Calibri" w:eastAsia="SimSun" w:hAnsi="Calibri" w:cs="Calibri"/>
                <w:sz w:val="22"/>
                <w:szCs w:val="22"/>
                <w:lang w:val="en-GB"/>
              </w:rPr>
              <w:t>7</w:t>
            </w:r>
            <w:r w:rsidRPr="00891780">
              <w:rPr>
                <w:rStyle w:val="Zadanifontodlomka1"/>
                <w:rFonts w:ascii="Calibri" w:eastAsia="SimSun" w:hAnsi="Calibri" w:cs="Calibri"/>
                <w:sz w:val="22"/>
                <w:szCs w:val="22"/>
                <w:lang w:val="en-GB"/>
              </w:rPr>
              <w:t>.</w:t>
            </w:r>
            <w:r w:rsidR="00054989" w:rsidRPr="00891780">
              <w:rPr>
                <w:rStyle w:val="Zadanifontodlomka1"/>
                <w:rFonts w:ascii="Calibri" w:eastAsia="SimSun" w:hAnsi="Calibri" w:cs="Calibri"/>
                <w:sz w:val="22"/>
                <w:szCs w:val="22"/>
                <w:lang w:val="en-GB"/>
              </w:rPr>
              <w:t>534500</w:t>
            </w:r>
          </w:p>
        </w:tc>
        <w:tc>
          <w:tcPr>
            <w:tcW w:w="236" w:type="dxa"/>
            <w:shd w:val="clear" w:color="auto" w:fill="auto"/>
            <w:tcMar>
              <w:top w:w="0" w:type="dxa"/>
              <w:left w:w="108" w:type="dxa"/>
              <w:bottom w:w="0" w:type="dxa"/>
              <w:right w:w="108" w:type="dxa"/>
            </w:tcMar>
            <w:vAlign w:val="center"/>
          </w:tcPr>
          <w:p w14:paraId="1748D6EE" w14:textId="77777777" w:rsidR="00382CF2" w:rsidRPr="00891780" w:rsidRDefault="00382CF2" w:rsidP="000B677E">
            <w:pPr>
              <w:spacing w:before="120" w:after="120" w:line="276" w:lineRule="auto"/>
              <w:jc w:val="both"/>
              <w:rPr>
                <w:rFonts w:ascii="Calibri" w:eastAsia="SimSun" w:hAnsi="Calibri" w:cs="Calibri"/>
                <w:sz w:val="22"/>
                <w:szCs w:val="22"/>
                <w:lang w:val="en-GB"/>
              </w:rPr>
            </w:pPr>
          </w:p>
        </w:tc>
        <w:tc>
          <w:tcPr>
            <w:tcW w:w="2915" w:type="dxa"/>
            <w:shd w:val="clear" w:color="auto" w:fill="auto"/>
            <w:tcMar>
              <w:top w:w="0" w:type="dxa"/>
              <w:left w:w="108" w:type="dxa"/>
              <w:bottom w:w="0" w:type="dxa"/>
              <w:right w:w="108" w:type="dxa"/>
            </w:tcMar>
            <w:vAlign w:val="center"/>
          </w:tcPr>
          <w:p w14:paraId="1748D6EF" w14:textId="7775313B" w:rsidR="00382CF2" w:rsidRPr="00891780" w:rsidRDefault="00126C5C" w:rsidP="000B677E">
            <w:pPr>
              <w:spacing w:before="120" w:after="120" w:line="276" w:lineRule="auto"/>
              <w:jc w:val="both"/>
              <w:rPr>
                <w:lang w:val="en-GB"/>
              </w:rPr>
            </w:pPr>
            <w:r w:rsidRPr="00891780">
              <w:rPr>
                <w:rStyle w:val="Zadanifontodlomka1"/>
                <w:rFonts w:ascii="Calibri" w:eastAsia="SimSun" w:hAnsi="Calibri" w:cs="Calibri"/>
                <w:sz w:val="22"/>
                <w:szCs w:val="22"/>
                <w:lang w:val="en-GB"/>
              </w:rPr>
              <w:t>USD</w:t>
            </w:r>
            <w:r w:rsidRPr="00891780">
              <w:rPr>
                <w:rStyle w:val="Zadanifontodlomka1"/>
                <w:rFonts w:eastAsia="SimSun"/>
                <w:lang w:val="en-GB"/>
              </w:rPr>
              <w:t xml:space="preserve"> </w:t>
            </w:r>
            <w:r w:rsidR="00054989" w:rsidRPr="00891780">
              <w:rPr>
                <w:rStyle w:val="Zadanifontodlomka1"/>
                <w:rFonts w:ascii="Calibri" w:eastAsia="SimSun" w:hAnsi="Calibri" w:cs="Calibri"/>
                <w:sz w:val="22"/>
                <w:szCs w:val="22"/>
                <w:lang w:val="en-GB"/>
              </w:rPr>
              <w:t xml:space="preserve">1 = </w:t>
            </w:r>
            <w:r w:rsidRPr="00891780">
              <w:rPr>
                <w:rStyle w:val="Zadanifontodlomka1"/>
                <w:rFonts w:ascii="Calibri" w:eastAsia="SimSun" w:hAnsi="Calibri" w:cs="Calibri"/>
                <w:sz w:val="22"/>
                <w:szCs w:val="22"/>
                <w:lang w:val="en-GB"/>
              </w:rPr>
              <w:t xml:space="preserve">HRK </w:t>
            </w:r>
            <w:r w:rsidR="00054989" w:rsidRPr="00891780">
              <w:rPr>
                <w:rStyle w:val="Zadanifontodlomka1"/>
                <w:rFonts w:ascii="Calibri" w:eastAsia="SimSun" w:hAnsi="Calibri" w:cs="Calibri"/>
                <w:sz w:val="22"/>
                <w:szCs w:val="22"/>
                <w:lang w:val="en-GB"/>
              </w:rPr>
              <w:t>7</w:t>
            </w:r>
            <w:r w:rsidRPr="00891780">
              <w:rPr>
                <w:rStyle w:val="Zadanifontodlomka1"/>
                <w:rFonts w:ascii="Calibri" w:eastAsia="SimSun" w:hAnsi="Calibri" w:cs="Calibri"/>
                <w:sz w:val="22"/>
                <w:szCs w:val="22"/>
                <w:lang w:val="en-GB"/>
              </w:rPr>
              <w:t>.</w:t>
            </w:r>
            <w:r w:rsidR="00054989" w:rsidRPr="00891780">
              <w:rPr>
                <w:rStyle w:val="Zadanifontodlomka1"/>
                <w:rFonts w:ascii="Calibri" w:eastAsia="SimSun" w:hAnsi="Calibri" w:cs="Calibri"/>
                <w:sz w:val="22"/>
                <w:szCs w:val="22"/>
                <w:lang w:val="en-GB"/>
              </w:rPr>
              <w:t xml:space="preserve">064035 </w:t>
            </w:r>
          </w:p>
        </w:tc>
      </w:tr>
      <w:tr w:rsidR="00382CF2" w:rsidRPr="00891780" w14:paraId="1748D6F6" w14:textId="77777777">
        <w:trPr>
          <w:trHeight w:val="392"/>
        </w:trPr>
        <w:tc>
          <w:tcPr>
            <w:tcW w:w="2740" w:type="dxa"/>
            <w:shd w:val="clear" w:color="auto" w:fill="auto"/>
            <w:tcMar>
              <w:top w:w="0" w:type="dxa"/>
              <w:left w:w="108" w:type="dxa"/>
              <w:bottom w:w="0" w:type="dxa"/>
              <w:right w:w="108" w:type="dxa"/>
            </w:tcMar>
            <w:vAlign w:val="center"/>
          </w:tcPr>
          <w:p w14:paraId="1748D6F1" w14:textId="37B50E4B" w:rsidR="00382CF2" w:rsidRPr="00891780" w:rsidRDefault="00054989"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31</w:t>
            </w:r>
            <w:r w:rsidR="002635F7" w:rsidRPr="00891780">
              <w:rPr>
                <w:rFonts w:ascii="Calibri" w:eastAsia="SimSun" w:hAnsi="Calibri" w:cs="Calibri"/>
                <w:sz w:val="22"/>
                <w:szCs w:val="22"/>
                <w:lang w:val="en-GB"/>
              </w:rPr>
              <w:t xml:space="preserve"> December</w:t>
            </w:r>
            <w:r w:rsidRPr="00891780">
              <w:rPr>
                <w:rFonts w:ascii="Calibri" w:eastAsia="SimSun" w:hAnsi="Calibri" w:cs="Calibri"/>
                <w:sz w:val="22"/>
                <w:szCs w:val="22"/>
                <w:lang w:val="en-GB"/>
              </w:rPr>
              <w:t xml:space="preserve"> 2021</w:t>
            </w:r>
          </w:p>
        </w:tc>
        <w:tc>
          <w:tcPr>
            <w:tcW w:w="274" w:type="dxa"/>
            <w:shd w:val="clear" w:color="auto" w:fill="auto"/>
            <w:tcMar>
              <w:top w:w="0" w:type="dxa"/>
              <w:left w:w="108" w:type="dxa"/>
              <w:bottom w:w="0" w:type="dxa"/>
              <w:right w:w="108" w:type="dxa"/>
            </w:tcMar>
            <w:vAlign w:val="center"/>
          </w:tcPr>
          <w:p w14:paraId="1748D6F2" w14:textId="77777777" w:rsidR="00382CF2" w:rsidRPr="00891780" w:rsidRDefault="00382CF2" w:rsidP="000B677E">
            <w:pPr>
              <w:spacing w:before="120" w:after="120" w:line="276" w:lineRule="auto"/>
              <w:jc w:val="both"/>
              <w:rPr>
                <w:rFonts w:ascii="Calibri" w:eastAsia="SimSun" w:hAnsi="Calibri" w:cs="Calibri"/>
                <w:sz w:val="22"/>
                <w:szCs w:val="22"/>
                <w:lang w:val="en-GB"/>
              </w:rPr>
            </w:pPr>
          </w:p>
        </w:tc>
        <w:tc>
          <w:tcPr>
            <w:tcW w:w="3190" w:type="dxa"/>
            <w:shd w:val="clear" w:color="auto" w:fill="auto"/>
            <w:tcMar>
              <w:top w:w="0" w:type="dxa"/>
              <w:left w:w="108" w:type="dxa"/>
              <w:bottom w:w="0" w:type="dxa"/>
              <w:right w:w="108" w:type="dxa"/>
            </w:tcMar>
            <w:vAlign w:val="center"/>
          </w:tcPr>
          <w:p w14:paraId="1748D6F3" w14:textId="2D3A7B12" w:rsidR="00382CF2" w:rsidRPr="00891780" w:rsidRDefault="00126C5C"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EUR </w:t>
            </w:r>
            <w:r w:rsidR="00054989" w:rsidRPr="00891780">
              <w:rPr>
                <w:rFonts w:ascii="Calibri" w:eastAsia="SimSun" w:hAnsi="Calibri" w:cs="Calibri"/>
                <w:sz w:val="22"/>
                <w:szCs w:val="22"/>
                <w:lang w:val="en-GB"/>
              </w:rPr>
              <w:t xml:space="preserve">1 = </w:t>
            </w:r>
            <w:r w:rsidRPr="00891780">
              <w:rPr>
                <w:rFonts w:ascii="Calibri" w:eastAsia="SimSun" w:hAnsi="Calibri" w:cs="Calibri"/>
                <w:sz w:val="22"/>
                <w:szCs w:val="22"/>
                <w:lang w:val="en-GB"/>
              </w:rPr>
              <w:t xml:space="preserve">HRK </w:t>
            </w:r>
            <w:r w:rsidR="00054989" w:rsidRPr="00891780">
              <w:rPr>
                <w:rFonts w:ascii="Calibri" w:eastAsia="SimSun" w:hAnsi="Calibri" w:cs="Calibri"/>
                <w:sz w:val="22"/>
                <w:szCs w:val="22"/>
                <w:lang w:val="en-GB"/>
              </w:rPr>
              <w:t>7</w:t>
            </w:r>
            <w:r w:rsidRPr="00891780">
              <w:rPr>
                <w:rFonts w:ascii="Calibri" w:eastAsia="SimSun" w:hAnsi="Calibri" w:cs="Calibri"/>
                <w:sz w:val="22"/>
                <w:szCs w:val="22"/>
                <w:lang w:val="en-GB"/>
              </w:rPr>
              <w:t>.</w:t>
            </w:r>
            <w:r w:rsidR="00054989" w:rsidRPr="00891780">
              <w:rPr>
                <w:rFonts w:ascii="Calibri" w:eastAsia="SimSun" w:hAnsi="Calibri" w:cs="Calibri"/>
                <w:sz w:val="22"/>
                <w:szCs w:val="22"/>
                <w:lang w:val="en-GB"/>
              </w:rPr>
              <w:t xml:space="preserve">517174 </w:t>
            </w:r>
          </w:p>
        </w:tc>
        <w:tc>
          <w:tcPr>
            <w:tcW w:w="236" w:type="dxa"/>
            <w:shd w:val="clear" w:color="auto" w:fill="auto"/>
            <w:tcMar>
              <w:top w:w="0" w:type="dxa"/>
              <w:left w:w="108" w:type="dxa"/>
              <w:bottom w:w="0" w:type="dxa"/>
              <w:right w:w="108" w:type="dxa"/>
            </w:tcMar>
            <w:vAlign w:val="center"/>
          </w:tcPr>
          <w:p w14:paraId="1748D6F4" w14:textId="77777777" w:rsidR="00382CF2" w:rsidRPr="00891780" w:rsidRDefault="00382CF2" w:rsidP="000B677E">
            <w:pPr>
              <w:spacing w:before="120" w:after="120" w:line="276" w:lineRule="auto"/>
              <w:jc w:val="both"/>
              <w:rPr>
                <w:rFonts w:ascii="Calibri" w:eastAsia="SimSun" w:hAnsi="Calibri" w:cs="Calibri"/>
                <w:sz w:val="22"/>
                <w:szCs w:val="22"/>
                <w:lang w:val="en-GB"/>
              </w:rPr>
            </w:pPr>
          </w:p>
        </w:tc>
        <w:tc>
          <w:tcPr>
            <w:tcW w:w="2915" w:type="dxa"/>
            <w:shd w:val="clear" w:color="auto" w:fill="auto"/>
            <w:tcMar>
              <w:top w:w="0" w:type="dxa"/>
              <w:left w:w="108" w:type="dxa"/>
              <w:bottom w:w="0" w:type="dxa"/>
              <w:right w:w="108" w:type="dxa"/>
            </w:tcMar>
            <w:vAlign w:val="center"/>
          </w:tcPr>
          <w:p w14:paraId="1748D6F5" w14:textId="2E97DAE2" w:rsidR="00382CF2" w:rsidRPr="00891780" w:rsidRDefault="00126C5C"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USD </w:t>
            </w:r>
            <w:r w:rsidR="00054989" w:rsidRPr="00891780">
              <w:rPr>
                <w:rFonts w:ascii="Calibri" w:eastAsia="SimSun" w:hAnsi="Calibri" w:cs="Calibri"/>
                <w:sz w:val="22"/>
                <w:szCs w:val="22"/>
                <w:lang w:val="en-GB"/>
              </w:rPr>
              <w:t xml:space="preserve">1 = </w:t>
            </w:r>
            <w:r w:rsidRPr="00891780">
              <w:rPr>
                <w:rFonts w:ascii="Calibri" w:eastAsia="SimSun" w:hAnsi="Calibri" w:cs="Calibri"/>
                <w:sz w:val="22"/>
                <w:szCs w:val="22"/>
                <w:lang w:val="en-GB"/>
              </w:rPr>
              <w:t xml:space="preserve">HRK </w:t>
            </w:r>
            <w:r w:rsidR="00054989" w:rsidRPr="00891780">
              <w:rPr>
                <w:rFonts w:ascii="Calibri" w:eastAsia="SimSun" w:hAnsi="Calibri" w:cs="Calibri"/>
                <w:sz w:val="22"/>
                <w:szCs w:val="22"/>
                <w:lang w:val="en-GB"/>
              </w:rPr>
              <w:t>6</w:t>
            </w:r>
            <w:r w:rsidRPr="00891780">
              <w:rPr>
                <w:rFonts w:ascii="Calibri" w:eastAsia="SimSun" w:hAnsi="Calibri" w:cs="Calibri"/>
                <w:sz w:val="22"/>
                <w:szCs w:val="22"/>
                <w:lang w:val="en-GB"/>
              </w:rPr>
              <w:t>.</w:t>
            </w:r>
            <w:r w:rsidR="00054989" w:rsidRPr="00891780">
              <w:rPr>
                <w:rFonts w:ascii="Calibri" w:eastAsia="SimSun" w:hAnsi="Calibri" w:cs="Calibri"/>
                <w:sz w:val="22"/>
                <w:szCs w:val="22"/>
                <w:lang w:val="en-GB"/>
              </w:rPr>
              <w:t xml:space="preserve">643548 </w:t>
            </w:r>
          </w:p>
        </w:tc>
      </w:tr>
    </w:tbl>
    <w:p w14:paraId="1748D6F8" w14:textId="4CDC2C5B" w:rsidR="00382CF2" w:rsidRPr="00891780" w:rsidRDefault="002217EF" w:rsidP="000B677E">
      <w:pPr>
        <w:keepNext/>
        <w:keepLines/>
        <w:pBdr>
          <w:bottom w:val="single" w:sz="4" w:space="2" w:color="B2B2B2"/>
        </w:pBdr>
        <w:spacing w:before="360" w:after="120"/>
        <w:jc w:val="both"/>
        <w:outlineLvl w:val="0"/>
        <w:rPr>
          <w:rFonts w:ascii="Calibri" w:eastAsia="SimHei" w:hAnsi="Calibri" w:cs="Calibri"/>
          <w:b/>
          <w:bCs/>
          <w:sz w:val="22"/>
          <w:szCs w:val="22"/>
          <w:lang w:val="en-GB"/>
        </w:rPr>
      </w:pPr>
      <w:bookmarkStart w:id="14" w:name="_Toc3249201"/>
      <w:bookmarkStart w:id="15" w:name="_Toc129176334"/>
      <w:bookmarkStart w:id="16" w:name="_Hlk33695463"/>
      <w:r w:rsidRPr="00891780">
        <w:rPr>
          <w:rFonts w:ascii="Calibri" w:eastAsia="SimHei" w:hAnsi="Calibri" w:cs="Calibri"/>
          <w:b/>
          <w:bCs/>
          <w:sz w:val="22"/>
          <w:szCs w:val="22"/>
          <w:lang w:val="en-GB"/>
        </w:rPr>
        <w:lastRenderedPageBreak/>
        <w:t>STATEMENT ON THE CODE OF CORPORATE GOVERNANCE APPLICATION</w:t>
      </w:r>
      <w:bookmarkEnd w:id="14"/>
      <w:bookmarkEnd w:id="15"/>
    </w:p>
    <w:p w14:paraId="1748D6F9" w14:textId="6A43B12A" w:rsidR="00382CF2" w:rsidRPr="00891780" w:rsidRDefault="007D02E5" w:rsidP="000B677E">
      <w:pPr>
        <w:spacing w:before="120" w:after="120" w:line="276" w:lineRule="auto"/>
        <w:jc w:val="both"/>
        <w:rPr>
          <w:rFonts w:ascii="Calibri" w:eastAsia="Calibri" w:hAnsi="Calibri" w:cs="Calibri"/>
          <w:b/>
          <w:sz w:val="22"/>
          <w:szCs w:val="22"/>
          <w:lang w:val="en-GB"/>
        </w:rPr>
      </w:pPr>
      <w:r w:rsidRPr="00891780">
        <w:rPr>
          <w:rFonts w:ascii="Calibri" w:eastAsia="Calibri" w:hAnsi="Calibri" w:cs="Calibri"/>
          <w:b/>
          <w:sz w:val="22"/>
          <w:szCs w:val="22"/>
          <w:lang w:val="en-GB"/>
        </w:rPr>
        <w:t>Croatian Bank for Reconstruction and Development</w:t>
      </w:r>
      <w:r w:rsidR="00054989" w:rsidRPr="00891780">
        <w:rPr>
          <w:rFonts w:ascii="Calibri" w:eastAsia="Calibri" w:hAnsi="Calibri" w:cs="Calibri"/>
          <w:b/>
          <w:sz w:val="22"/>
          <w:szCs w:val="22"/>
          <w:lang w:val="en-GB"/>
        </w:rPr>
        <w:t xml:space="preserve"> (HBOR)</w:t>
      </w:r>
    </w:p>
    <w:p w14:paraId="1748D6FA" w14:textId="5D7DE291" w:rsidR="00382CF2" w:rsidRPr="00891780" w:rsidRDefault="004520BA" w:rsidP="000B677E">
      <w:pPr>
        <w:spacing w:before="120" w:after="120" w:line="276" w:lineRule="auto"/>
        <w:jc w:val="both"/>
        <w:rPr>
          <w:rFonts w:asciiTheme="minorHAnsi" w:eastAsia="Calibri" w:hAnsiTheme="minorHAnsi" w:cstheme="minorHAnsi"/>
          <w:sz w:val="22"/>
          <w:szCs w:val="22"/>
          <w:lang w:val="en-GB"/>
        </w:rPr>
      </w:pPr>
      <w:r w:rsidRPr="00891780">
        <w:rPr>
          <w:rFonts w:asciiTheme="minorHAnsi" w:eastAsia="Calibri" w:hAnsiTheme="minorHAnsi" w:cstheme="minorHAnsi"/>
          <w:sz w:val="22"/>
          <w:szCs w:val="22"/>
          <w:lang w:val="en-GB"/>
        </w:rPr>
        <w:t>HBOR applies HBOR’s Code of Corporate Governance (hereinafter: the Code) adopted by the Management Board and the Supervisory Board and published on HBOR's web pages</w:t>
      </w:r>
      <w:r w:rsidR="00054989" w:rsidRPr="00891780">
        <w:rPr>
          <w:rFonts w:asciiTheme="minorHAnsi" w:eastAsia="Calibri" w:hAnsiTheme="minorHAnsi" w:cstheme="minorHAnsi"/>
          <w:sz w:val="22"/>
          <w:szCs w:val="22"/>
          <w:lang w:val="en-GB"/>
        </w:rPr>
        <w:t>.</w:t>
      </w:r>
    </w:p>
    <w:p w14:paraId="1748D6FB" w14:textId="24874B91" w:rsidR="00382CF2" w:rsidRPr="00891780" w:rsidRDefault="00C778F4" w:rsidP="008526F0">
      <w:pPr>
        <w:spacing w:before="120" w:after="120"/>
        <w:jc w:val="both"/>
        <w:rPr>
          <w:rFonts w:asciiTheme="minorHAnsi" w:eastAsia="Calibri" w:hAnsiTheme="minorHAnsi" w:cstheme="minorHAnsi"/>
          <w:sz w:val="22"/>
          <w:szCs w:val="22"/>
          <w:lang w:val="en-GB"/>
        </w:rPr>
      </w:pPr>
      <w:r w:rsidRPr="00891780">
        <w:rPr>
          <w:rFonts w:asciiTheme="minorHAnsi" w:eastAsia="Calibri" w:hAnsiTheme="minorHAnsi" w:cstheme="minorHAnsi"/>
          <w:sz w:val="22"/>
          <w:szCs w:val="22"/>
          <w:lang w:val="en-GB"/>
        </w:rPr>
        <w:t xml:space="preserve">The Code contains the basic principles determined by the Decision on Passing the Code of Corporate Governance in Companies with Shares or Participations owned by the Republic of Croatia (Official Gazette of the Republic of Croatia No. 112/2010) (hereinafter: the Decision) and the principles determined in </w:t>
      </w:r>
      <w:r w:rsidR="008A23D7">
        <w:rPr>
          <w:rFonts w:asciiTheme="minorHAnsi" w:eastAsia="Calibri" w:hAnsiTheme="minorHAnsi" w:cstheme="minorHAnsi"/>
          <w:sz w:val="22"/>
          <w:szCs w:val="22"/>
          <w:lang w:val="en-GB"/>
        </w:rPr>
        <w:t>t</w:t>
      </w:r>
      <w:r w:rsidRPr="00891780">
        <w:rPr>
          <w:rFonts w:asciiTheme="minorHAnsi" w:eastAsia="Calibri" w:hAnsiTheme="minorHAnsi" w:cstheme="minorHAnsi"/>
          <w:sz w:val="22"/>
          <w:szCs w:val="22"/>
          <w:lang w:val="en-GB"/>
        </w:rPr>
        <w:t>he European Banking Authority Guidelines on Internal Governance GL 44, September/2011 (hereinafter: the Guidelines</w:t>
      </w:r>
      <w:r w:rsidR="00054989" w:rsidRPr="00891780">
        <w:rPr>
          <w:rFonts w:asciiTheme="minorHAnsi" w:eastAsia="Calibri" w:hAnsiTheme="minorHAnsi" w:cstheme="minorHAnsi"/>
          <w:sz w:val="22"/>
          <w:szCs w:val="22"/>
          <w:lang w:val="en-GB"/>
        </w:rPr>
        <w:t>).</w:t>
      </w:r>
    </w:p>
    <w:p w14:paraId="1748D6FC" w14:textId="279AA51E" w:rsidR="00382CF2" w:rsidRPr="00891780" w:rsidRDefault="00FF12DA" w:rsidP="008526F0">
      <w:pPr>
        <w:spacing w:before="120" w:after="120"/>
        <w:jc w:val="both"/>
        <w:rPr>
          <w:rFonts w:asciiTheme="minorHAnsi" w:eastAsia="Calibri" w:hAnsiTheme="minorHAnsi" w:cstheme="minorHAnsi"/>
          <w:sz w:val="22"/>
          <w:szCs w:val="22"/>
          <w:lang w:val="en-GB"/>
        </w:rPr>
      </w:pPr>
      <w:r w:rsidRPr="00891780">
        <w:rPr>
          <w:rFonts w:asciiTheme="minorHAnsi" w:eastAsia="Calibri" w:hAnsiTheme="minorHAnsi" w:cstheme="minorHAnsi"/>
          <w:sz w:val="22"/>
          <w:szCs w:val="22"/>
          <w:lang w:val="en-GB"/>
        </w:rPr>
        <w:t xml:space="preserve">The principles stated in the Guidelines are implemented by HBOR voluntarily to a degree to which they are applicable </w:t>
      </w:r>
      <w:proofErr w:type="gramStart"/>
      <w:r w:rsidRPr="00891780">
        <w:rPr>
          <w:rFonts w:asciiTheme="minorHAnsi" w:eastAsia="Calibri" w:hAnsiTheme="minorHAnsi" w:cstheme="minorHAnsi"/>
          <w:sz w:val="22"/>
          <w:szCs w:val="22"/>
          <w:lang w:val="en-GB"/>
        </w:rPr>
        <w:t>due to the fact that</w:t>
      </w:r>
      <w:proofErr w:type="gramEnd"/>
      <w:r w:rsidRPr="00891780">
        <w:rPr>
          <w:rFonts w:asciiTheme="minorHAnsi" w:eastAsia="Calibri" w:hAnsiTheme="minorHAnsi" w:cstheme="minorHAnsi"/>
          <w:sz w:val="22"/>
          <w:szCs w:val="22"/>
          <w:lang w:val="en-GB"/>
        </w:rPr>
        <w:t xml:space="preserve"> the Guidelines relate to credit institutions and are not fully applicable to HBOR as a special financial institution</w:t>
      </w:r>
      <w:r w:rsidR="00054989" w:rsidRPr="00891780">
        <w:rPr>
          <w:rFonts w:asciiTheme="minorHAnsi" w:eastAsia="Calibri" w:hAnsiTheme="minorHAnsi" w:cstheme="minorHAnsi"/>
          <w:sz w:val="22"/>
          <w:szCs w:val="22"/>
          <w:lang w:val="en-GB"/>
        </w:rPr>
        <w:t>.</w:t>
      </w:r>
    </w:p>
    <w:p w14:paraId="1748D6FD" w14:textId="403B9712" w:rsidR="00382CF2" w:rsidRPr="00891780" w:rsidRDefault="002C57C1" w:rsidP="008526F0">
      <w:pPr>
        <w:spacing w:before="120" w:after="120"/>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Compliance of operations with laws and regulations and adherence to internal rules are the basis of responsible corporate governance and a necessary condition for sustainable business success. HBOR continuously monitors legislation and best practices in the field of corporate governance and integrates corporate governance principles in its operations pursuant to sound banking practices</w:t>
      </w:r>
      <w:r w:rsidR="00054989" w:rsidRPr="00891780">
        <w:rPr>
          <w:rFonts w:asciiTheme="minorHAnsi" w:eastAsia="SimSun" w:hAnsiTheme="minorHAnsi" w:cstheme="minorHAnsi"/>
          <w:sz w:val="22"/>
          <w:szCs w:val="22"/>
          <w:lang w:val="en-GB"/>
        </w:rPr>
        <w:t>.</w:t>
      </w:r>
    </w:p>
    <w:p w14:paraId="1748D6FE" w14:textId="5468F27F" w:rsidR="00382CF2" w:rsidRPr="00891780" w:rsidRDefault="00386B2F" w:rsidP="008526F0">
      <w:pPr>
        <w:spacing w:before="120" w:after="120"/>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 xml:space="preserve">The Code of Corporate Governance establishes the standards of corporate governance and the transparency and upgrading of HBOR’s operations for effective and responsible management of public capital, as well as the activities of special social significance for the development of the Croatian economy. </w:t>
      </w:r>
      <w:proofErr w:type="gramStart"/>
      <w:r w:rsidRPr="00891780">
        <w:rPr>
          <w:rFonts w:asciiTheme="minorHAnsi" w:hAnsiTheme="minorHAnsi" w:cstheme="minorHAnsi"/>
          <w:sz w:val="22"/>
          <w:szCs w:val="22"/>
          <w:lang w:val="en-GB"/>
        </w:rPr>
        <w:t>In order to</w:t>
      </w:r>
      <w:proofErr w:type="gramEnd"/>
      <w:r w:rsidRPr="00891780">
        <w:rPr>
          <w:rFonts w:asciiTheme="minorHAnsi" w:hAnsiTheme="minorHAnsi" w:cstheme="minorHAnsi"/>
          <w:sz w:val="22"/>
          <w:szCs w:val="22"/>
          <w:lang w:val="en-GB"/>
        </w:rPr>
        <w:t xml:space="preserve"> achieve the standard of corporate governance, HBOR’s Code describes the relationships with governing bodies and stakeholders, as well as the adopted business principles aimed at mitigating the risks of operating in adverse market conditions</w:t>
      </w:r>
      <w:r w:rsidR="00054989" w:rsidRPr="00891780">
        <w:rPr>
          <w:rFonts w:asciiTheme="minorHAnsi" w:eastAsia="SimSun" w:hAnsiTheme="minorHAnsi" w:cstheme="minorHAnsi"/>
          <w:sz w:val="22"/>
          <w:szCs w:val="22"/>
          <w:lang w:val="en-GB"/>
        </w:rPr>
        <w:t>.</w:t>
      </w:r>
    </w:p>
    <w:p w14:paraId="1748D6FF" w14:textId="61DD82F1" w:rsidR="00382CF2" w:rsidRPr="00891780" w:rsidRDefault="005B346C" w:rsidP="008526F0">
      <w:pPr>
        <w:spacing w:before="120" w:after="120"/>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 xml:space="preserve">The Code of Conduct of HBOR prescribes specific values and rules for the prevention of corruption and assurance of professional </w:t>
      </w:r>
      <w:proofErr w:type="gramStart"/>
      <w:r w:rsidRPr="00891780">
        <w:rPr>
          <w:rFonts w:asciiTheme="minorHAnsi" w:hAnsiTheme="minorHAnsi" w:cstheme="minorHAnsi"/>
          <w:sz w:val="22"/>
          <w:szCs w:val="22"/>
          <w:lang w:val="en-GB"/>
        </w:rPr>
        <w:t>conduct, and</w:t>
      </w:r>
      <w:proofErr w:type="gramEnd"/>
      <w:r w:rsidRPr="00891780">
        <w:rPr>
          <w:rFonts w:asciiTheme="minorHAnsi" w:hAnsiTheme="minorHAnsi" w:cstheme="minorHAnsi"/>
          <w:sz w:val="22"/>
          <w:szCs w:val="22"/>
          <w:lang w:val="en-GB"/>
        </w:rPr>
        <w:t xml:space="preserve"> provides for the possibility of filing a report on the grounds of violation of the Code. The report form, the e-mail address for filing reports and the description of the filing are available on HBOR’s website. The person in charge of compliance monitoring reports annually on reports filed and proceedings initiated in respect of reports filed on the grounds of violation of the Code of Conduct</w:t>
      </w:r>
      <w:r w:rsidR="00054989" w:rsidRPr="00891780">
        <w:rPr>
          <w:rFonts w:asciiTheme="minorHAnsi" w:eastAsia="SimSun" w:hAnsiTheme="minorHAnsi" w:cstheme="minorHAnsi"/>
          <w:sz w:val="22"/>
          <w:szCs w:val="22"/>
          <w:lang w:val="en-GB"/>
        </w:rPr>
        <w:t>.</w:t>
      </w:r>
    </w:p>
    <w:p w14:paraId="1748D700" w14:textId="0E218357" w:rsidR="00382CF2" w:rsidRPr="00891780" w:rsidRDefault="00372E75" w:rsidP="008526F0">
      <w:pPr>
        <w:spacing w:before="120" w:after="120"/>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In accordance with the principles of public business, in the reporting period, the financial statements of the Bank and the Group were published on the websites of HBOR. HBOR’s annual financial statements on unconsolidated and consolidated basis are confirmed by the Supervisory Board and submitted to the Croatian Parliament for approval. The assessment of HBOR's rating was implemented by the international independent rating agency Standard &amp; Poor's. Pursuant to the Freedom of Information Act, HBOR submits a report on the implementation of this act to the Public Relations Commissioner</w:t>
      </w:r>
      <w:r w:rsidR="00054989" w:rsidRPr="00891780">
        <w:rPr>
          <w:rFonts w:asciiTheme="minorHAnsi" w:eastAsia="SimSun" w:hAnsiTheme="minorHAnsi" w:cstheme="minorHAnsi"/>
          <w:sz w:val="22"/>
          <w:szCs w:val="22"/>
          <w:lang w:val="en-GB"/>
        </w:rPr>
        <w:t>.</w:t>
      </w:r>
    </w:p>
    <w:p w14:paraId="1748D701" w14:textId="7CA386F9" w:rsidR="00382CF2" w:rsidRPr="00891780" w:rsidRDefault="0069376B" w:rsidP="008526F0">
      <w:pPr>
        <w:spacing w:before="120" w:after="120"/>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 xml:space="preserve">In the reporting period, the duties, </w:t>
      </w:r>
      <w:proofErr w:type="gramStart"/>
      <w:r w:rsidRPr="00891780">
        <w:rPr>
          <w:rFonts w:asciiTheme="minorHAnsi" w:hAnsiTheme="minorHAnsi" w:cstheme="minorHAnsi"/>
          <w:sz w:val="22"/>
          <w:szCs w:val="22"/>
          <w:lang w:val="en-GB"/>
        </w:rPr>
        <w:t>responsibilities</w:t>
      </w:r>
      <w:proofErr w:type="gramEnd"/>
      <w:r w:rsidRPr="00891780">
        <w:rPr>
          <w:rFonts w:asciiTheme="minorHAnsi" w:hAnsiTheme="minorHAnsi" w:cstheme="minorHAnsi"/>
          <w:sz w:val="22"/>
          <w:szCs w:val="22"/>
          <w:lang w:val="en-GB"/>
        </w:rPr>
        <w:t xml:space="preserve"> and powers of the members of the Management Board and the Supervisory Board were regulated by the Act on HBOR (Official Gazette of the Republic of Croatia, No. 138/06) and by the Act on Amendments to the Act on HBOR (Official Gazette of the Republic of Croatia, No. 25/13) and further elaborated in the By-laws of HBOR. The Management Board and the Supervisory Board successfully co-operate through open discussions; the timely submission of thorough written reports to the Supervisory Board represents the basis for this co-operation. The Act on HBOR, the By-laws of HBOR and decisions made by the Supervisory Board determine the activities that HBOR may perform only with the prior consent of the Supervisory Board</w:t>
      </w:r>
      <w:r w:rsidR="00054989" w:rsidRPr="00891780">
        <w:rPr>
          <w:rFonts w:asciiTheme="minorHAnsi" w:eastAsia="SimSun" w:hAnsiTheme="minorHAnsi" w:cstheme="minorHAnsi"/>
          <w:sz w:val="22"/>
          <w:szCs w:val="22"/>
          <w:lang w:val="en-GB"/>
        </w:rPr>
        <w:t>.</w:t>
      </w:r>
    </w:p>
    <w:p w14:paraId="1748D703" w14:textId="60BECD3E" w:rsidR="00382CF2" w:rsidRPr="00891780" w:rsidRDefault="00C82B28" w:rsidP="008526F0">
      <w:pPr>
        <w:spacing w:before="120" w:after="120"/>
        <w:jc w:val="both"/>
        <w:rPr>
          <w:rFonts w:asciiTheme="minorHAnsi" w:hAnsiTheme="minorHAnsi" w:cstheme="minorHAnsi"/>
          <w:lang w:val="en-GB"/>
        </w:rPr>
      </w:pPr>
      <w:r w:rsidRPr="00891780">
        <w:rPr>
          <w:rFonts w:asciiTheme="minorHAnsi" w:hAnsiTheme="minorHAnsi" w:cstheme="minorHAnsi"/>
          <w:sz w:val="22"/>
          <w:szCs w:val="22"/>
          <w:lang w:val="en-GB"/>
        </w:rPr>
        <w:t xml:space="preserve">The </w:t>
      </w:r>
      <w:r w:rsidRPr="00891780">
        <w:rPr>
          <w:rFonts w:asciiTheme="minorHAnsi" w:hAnsiTheme="minorHAnsi" w:cstheme="minorHAnsi"/>
          <w:b/>
          <w:sz w:val="22"/>
          <w:szCs w:val="22"/>
          <w:lang w:val="en-GB"/>
        </w:rPr>
        <w:t>Supervisory Board</w:t>
      </w:r>
      <w:r w:rsidRPr="00891780">
        <w:rPr>
          <w:rFonts w:asciiTheme="minorHAnsi" w:hAnsiTheme="minorHAnsi" w:cstheme="minorHAnsi"/>
          <w:sz w:val="22"/>
          <w:szCs w:val="22"/>
          <w:lang w:val="en-GB"/>
        </w:rPr>
        <w:t xml:space="preserve"> determines the principles of operating policy and strategy, supervises the business activities of the Bank, adopts HBOR’s lending policies, adopts the Annual Financial Statements, and examines the Internal Audit reports and reports drafted by external independent auditors and by the State Audit Office. The Supervisory Board also monitors and controls the legality of the business activities of the Management Board and appoints and dismisses the President and the members of the Management Board. According to the Act, the Supervisory Board consists of ten members: six ministers </w:t>
      </w:r>
      <w:r w:rsidRPr="00891780">
        <w:rPr>
          <w:rFonts w:asciiTheme="minorHAnsi" w:hAnsiTheme="minorHAnsi" w:cstheme="minorHAnsi"/>
          <w:sz w:val="22"/>
          <w:szCs w:val="22"/>
          <w:lang w:val="en-GB"/>
        </w:rPr>
        <w:lastRenderedPageBreak/>
        <w:t>in the Government of the Republic of Croatia, three Members of Parliament, and the President of the Croatian Chamber of Economy</w:t>
      </w:r>
      <w:r w:rsidR="00054989" w:rsidRPr="00891780">
        <w:rPr>
          <w:rStyle w:val="Zadanifontodlomka1"/>
          <w:rFonts w:asciiTheme="minorHAnsi" w:eastAsia="SimSun" w:hAnsiTheme="minorHAnsi" w:cstheme="minorHAnsi"/>
          <w:sz w:val="22"/>
          <w:szCs w:val="22"/>
          <w:lang w:val="en-GB"/>
        </w:rPr>
        <w:t>.</w:t>
      </w:r>
    </w:p>
    <w:p w14:paraId="1748D704" w14:textId="05595D3B" w:rsidR="00382CF2" w:rsidRPr="00891780" w:rsidRDefault="00C82B28"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In</w:t>
      </w:r>
      <w:r w:rsidR="00054989" w:rsidRPr="00891780">
        <w:rPr>
          <w:rFonts w:ascii="Calibri" w:eastAsia="SimSun" w:hAnsi="Calibri" w:cs="Calibri"/>
          <w:sz w:val="22"/>
          <w:szCs w:val="22"/>
          <w:lang w:val="en-GB"/>
        </w:rPr>
        <w:t xml:space="preserve"> 2022</w:t>
      </w:r>
      <w:r w:rsidR="00DD4398" w:rsidRPr="00891780">
        <w:rPr>
          <w:rFonts w:ascii="Calibri" w:eastAsia="SimSun" w:hAnsi="Calibri" w:cs="Calibri"/>
          <w:sz w:val="22"/>
          <w:szCs w:val="22"/>
          <w:lang w:val="en-GB"/>
        </w:rPr>
        <w:t>, the members of the Supervisory Board were as follows</w:t>
      </w:r>
      <w:r w:rsidR="00054989" w:rsidRPr="00891780">
        <w:rPr>
          <w:rFonts w:ascii="Calibri" w:eastAsia="SimSun" w:hAnsi="Calibri" w:cs="Calibri"/>
          <w:sz w:val="22"/>
          <w:szCs w:val="22"/>
          <w:lang w:val="en-GB"/>
        </w:rPr>
        <w:t>:</w:t>
      </w:r>
    </w:p>
    <w:p w14:paraId="1748D705" w14:textId="23A0E3DF" w:rsidR="00382CF2" w:rsidRPr="00891780" w:rsidRDefault="00054989" w:rsidP="008526F0">
      <w:pPr>
        <w:numPr>
          <w:ilvl w:val="0"/>
          <w:numId w:val="4"/>
        </w:numPr>
        <w:spacing w:before="120" w:after="120"/>
        <w:jc w:val="both"/>
        <w:rPr>
          <w:rFonts w:asciiTheme="minorHAnsi" w:eastAsia="SimSun" w:hAnsiTheme="minorHAnsi" w:cstheme="minorHAnsi"/>
          <w:sz w:val="22"/>
          <w:szCs w:val="22"/>
          <w:lang w:val="en-GB"/>
        </w:rPr>
      </w:pPr>
      <w:r w:rsidRPr="00891780">
        <w:rPr>
          <w:rFonts w:asciiTheme="minorHAnsi" w:eastAsia="SimSun" w:hAnsiTheme="minorHAnsi" w:cstheme="minorHAnsi"/>
          <w:sz w:val="22"/>
          <w:szCs w:val="22"/>
          <w:lang w:val="en-GB"/>
        </w:rPr>
        <w:t xml:space="preserve">Zdravko Marić, </w:t>
      </w:r>
      <w:r w:rsidR="00DD4398" w:rsidRPr="00891780">
        <w:rPr>
          <w:rFonts w:asciiTheme="minorHAnsi" w:eastAsia="SimSun" w:hAnsiTheme="minorHAnsi" w:cstheme="minorHAnsi"/>
          <w:sz w:val="22"/>
          <w:szCs w:val="22"/>
          <w:lang w:val="en-GB"/>
        </w:rPr>
        <w:t xml:space="preserve">DSc, </w:t>
      </w:r>
      <w:r w:rsidR="000047ED" w:rsidRPr="00891780">
        <w:rPr>
          <w:rFonts w:asciiTheme="minorHAnsi" w:hAnsiTheme="minorHAnsi" w:cstheme="minorHAnsi"/>
          <w:sz w:val="22"/>
          <w:szCs w:val="22"/>
          <w:lang w:val="en-GB"/>
        </w:rPr>
        <w:t>Minister of Finance and Deputy Prime Minister of the Republic of Croatia, President of the Supervisory Board</w:t>
      </w:r>
      <w:r w:rsidR="000047ED" w:rsidRPr="00891780">
        <w:rPr>
          <w:rFonts w:asciiTheme="minorHAnsi" w:eastAsia="SimSun" w:hAnsiTheme="minorHAnsi" w:cstheme="minorHAnsi"/>
          <w:sz w:val="22"/>
          <w:szCs w:val="22"/>
          <w:lang w:val="en-GB"/>
        </w:rPr>
        <w:t xml:space="preserve"> </w:t>
      </w:r>
      <w:r w:rsidRPr="00891780">
        <w:rPr>
          <w:rFonts w:asciiTheme="minorHAnsi" w:eastAsia="SimSun" w:hAnsiTheme="minorHAnsi" w:cstheme="minorHAnsi"/>
          <w:sz w:val="22"/>
          <w:szCs w:val="22"/>
          <w:lang w:val="en-GB"/>
        </w:rPr>
        <w:t>(</w:t>
      </w:r>
      <w:r w:rsidR="00F46496" w:rsidRPr="00891780">
        <w:rPr>
          <w:rFonts w:asciiTheme="minorHAnsi" w:eastAsia="SimSun" w:hAnsiTheme="minorHAnsi" w:cstheme="minorHAnsi"/>
          <w:sz w:val="22"/>
          <w:szCs w:val="22"/>
          <w:lang w:val="en-GB"/>
        </w:rPr>
        <w:t>in office until</w:t>
      </w:r>
      <w:r w:rsidRPr="00891780">
        <w:rPr>
          <w:rFonts w:asciiTheme="minorHAnsi" w:eastAsia="SimSun" w:hAnsiTheme="minorHAnsi" w:cstheme="minorHAnsi"/>
          <w:sz w:val="22"/>
          <w:szCs w:val="22"/>
          <w:lang w:val="en-GB"/>
        </w:rPr>
        <w:t xml:space="preserve"> 18</w:t>
      </w:r>
      <w:r w:rsidR="00F46496" w:rsidRPr="00891780">
        <w:rPr>
          <w:rFonts w:asciiTheme="minorHAnsi" w:eastAsia="SimSun" w:hAnsiTheme="minorHAnsi" w:cstheme="minorHAnsi"/>
          <w:sz w:val="22"/>
          <w:szCs w:val="22"/>
          <w:lang w:val="en-GB"/>
        </w:rPr>
        <w:t xml:space="preserve"> July</w:t>
      </w:r>
      <w:r w:rsidRPr="00891780">
        <w:rPr>
          <w:rFonts w:asciiTheme="minorHAnsi" w:eastAsia="SimSun" w:hAnsiTheme="minorHAnsi" w:cstheme="minorHAnsi"/>
          <w:sz w:val="22"/>
          <w:szCs w:val="22"/>
          <w:lang w:val="en-GB"/>
        </w:rPr>
        <w:t xml:space="preserve"> 2022),</w:t>
      </w:r>
    </w:p>
    <w:p w14:paraId="1748D706" w14:textId="6D8AD408" w:rsidR="00382CF2" w:rsidRPr="00891780" w:rsidRDefault="00054989" w:rsidP="008526F0">
      <w:pPr>
        <w:numPr>
          <w:ilvl w:val="0"/>
          <w:numId w:val="4"/>
        </w:numPr>
        <w:spacing w:before="120" w:after="120"/>
        <w:jc w:val="both"/>
        <w:rPr>
          <w:rFonts w:asciiTheme="minorHAnsi" w:eastAsia="SimSun" w:hAnsiTheme="minorHAnsi" w:cstheme="minorHAnsi"/>
          <w:sz w:val="22"/>
          <w:szCs w:val="22"/>
          <w:lang w:val="en-GB"/>
        </w:rPr>
      </w:pPr>
      <w:r w:rsidRPr="00891780">
        <w:rPr>
          <w:rFonts w:asciiTheme="minorHAnsi" w:eastAsia="SimSun" w:hAnsiTheme="minorHAnsi" w:cstheme="minorHAnsi"/>
          <w:sz w:val="22"/>
          <w:szCs w:val="22"/>
          <w:lang w:val="en-GB"/>
        </w:rPr>
        <w:t xml:space="preserve">Marko Primorac, </w:t>
      </w:r>
      <w:r w:rsidR="00F46496" w:rsidRPr="00891780">
        <w:rPr>
          <w:rFonts w:asciiTheme="minorHAnsi" w:eastAsia="SimSun" w:hAnsiTheme="minorHAnsi" w:cstheme="minorHAnsi"/>
          <w:sz w:val="22"/>
          <w:szCs w:val="22"/>
          <w:lang w:val="en-GB"/>
        </w:rPr>
        <w:t>DSc</w:t>
      </w:r>
      <w:r w:rsidR="00B069E5" w:rsidRPr="00891780">
        <w:rPr>
          <w:rFonts w:asciiTheme="minorHAnsi" w:eastAsia="SimSun" w:hAnsiTheme="minorHAnsi" w:cstheme="minorHAnsi"/>
          <w:sz w:val="22"/>
          <w:szCs w:val="22"/>
          <w:lang w:val="en-GB"/>
        </w:rPr>
        <w:t xml:space="preserve">, </w:t>
      </w:r>
      <w:r w:rsidR="00B069E5" w:rsidRPr="00891780">
        <w:rPr>
          <w:rFonts w:asciiTheme="minorHAnsi" w:hAnsiTheme="minorHAnsi" w:cstheme="minorHAnsi"/>
          <w:sz w:val="22"/>
          <w:szCs w:val="22"/>
          <w:lang w:val="en-GB"/>
        </w:rPr>
        <w:t>Minister of Finance and President of the Supervisory Board</w:t>
      </w:r>
      <w:r w:rsidRPr="00891780">
        <w:rPr>
          <w:rFonts w:asciiTheme="minorHAnsi" w:eastAsia="SimSun" w:hAnsiTheme="minorHAnsi" w:cstheme="minorHAnsi"/>
          <w:sz w:val="22"/>
          <w:szCs w:val="22"/>
          <w:lang w:val="en-GB"/>
        </w:rPr>
        <w:t xml:space="preserve"> (</w:t>
      </w:r>
      <w:r w:rsidR="00B069E5" w:rsidRPr="00891780">
        <w:rPr>
          <w:rFonts w:asciiTheme="minorHAnsi" w:eastAsia="SimSun" w:hAnsiTheme="minorHAnsi" w:cstheme="minorHAnsi"/>
          <w:sz w:val="22"/>
          <w:szCs w:val="22"/>
          <w:lang w:val="en-GB"/>
        </w:rPr>
        <w:t xml:space="preserve">in office </w:t>
      </w:r>
      <w:proofErr w:type="gramStart"/>
      <w:r w:rsidR="00C31DEB" w:rsidRPr="00891780">
        <w:rPr>
          <w:rFonts w:asciiTheme="minorHAnsi" w:eastAsia="SimSun" w:hAnsiTheme="minorHAnsi" w:cstheme="minorHAnsi"/>
          <w:sz w:val="22"/>
          <w:szCs w:val="22"/>
          <w:lang w:val="en-GB"/>
        </w:rPr>
        <w:t>since</w:t>
      </w:r>
      <w:r w:rsidRPr="00891780">
        <w:rPr>
          <w:rFonts w:asciiTheme="minorHAnsi" w:eastAsia="SimSun" w:hAnsiTheme="minorHAnsi" w:cstheme="minorHAnsi"/>
          <w:sz w:val="22"/>
          <w:szCs w:val="22"/>
          <w:lang w:val="en-GB"/>
        </w:rPr>
        <w:t xml:space="preserve">  18</w:t>
      </w:r>
      <w:proofErr w:type="gramEnd"/>
      <w:r w:rsidR="0035544D" w:rsidRPr="00891780">
        <w:rPr>
          <w:rFonts w:asciiTheme="minorHAnsi" w:eastAsia="SimSun" w:hAnsiTheme="minorHAnsi" w:cstheme="minorHAnsi"/>
          <w:sz w:val="22"/>
          <w:szCs w:val="22"/>
          <w:lang w:val="en-GB"/>
        </w:rPr>
        <w:t xml:space="preserve"> July</w:t>
      </w:r>
      <w:r w:rsidRPr="00891780">
        <w:rPr>
          <w:rFonts w:asciiTheme="minorHAnsi" w:eastAsia="SimSun" w:hAnsiTheme="minorHAnsi" w:cstheme="minorHAnsi"/>
          <w:sz w:val="22"/>
          <w:szCs w:val="22"/>
          <w:lang w:val="en-GB"/>
        </w:rPr>
        <w:t xml:space="preserve"> 2022),</w:t>
      </w:r>
    </w:p>
    <w:p w14:paraId="1748D707" w14:textId="20A48689" w:rsidR="00382CF2" w:rsidRPr="00891780" w:rsidRDefault="00054989" w:rsidP="008526F0">
      <w:pPr>
        <w:numPr>
          <w:ilvl w:val="0"/>
          <w:numId w:val="4"/>
        </w:numPr>
        <w:spacing w:before="120" w:after="120"/>
        <w:jc w:val="both"/>
        <w:rPr>
          <w:rFonts w:asciiTheme="minorHAnsi" w:eastAsia="SimSun" w:hAnsiTheme="minorHAnsi" w:cstheme="minorHAnsi"/>
          <w:sz w:val="22"/>
          <w:szCs w:val="22"/>
          <w:lang w:val="en-GB"/>
        </w:rPr>
      </w:pPr>
      <w:r w:rsidRPr="00891780">
        <w:rPr>
          <w:rFonts w:asciiTheme="minorHAnsi" w:eastAsia="SimSun" w:hAnsiTheme="minorHAnsi" w:cstheme="minorHAnsi"/>
          <w:sz w:val="22"/>
          <w:szCs w:val="22"/>
          <w:lang w:val="en-GB"/>
        </w:rPr>
        <w:t xml:space="preserve">Tomislav </w:t>
      </w:r>
      <w:proofErr w:type="spellStart"/>
      <w:r w:rsidRPr="00891780">
        <w:rPr>
          <w:rFonts w:asciiTheme="minorHAnsi" w:eastAsia="SimSun" w:hAnsiTheme="minorHAnsi" w:cstheme="minorHAnsi"/>
          <w:sz w:val="22"/>
          <w:szCs w:val="22"/>
          <w:lang w:val="en-GB"/>
        </w:rPr>
        <w:t>Ćorić</w:t>
      </w:r>
      <w:proofErr w:type="spellEnd"/>
      <w:r w:rsidRPr="00891780">
        <w:rPr>
          <w:rFonts w:asciiTheme="minorHAnsi" w:eastAsia="SimSun" w:hAnsiTheme="minorHAnsi" w:cstheme="minorHAnsi"/>
          <w:sz w:val="22"/>
          <w:szCs w:val="22"/>
          <w:lang w:val="en-GB"/>
        </w:rPr>
        <w:t xml:space="preserve">, </w:t>
      </w:r>
      <w:r w:rsidR="0035544D" w:rsidRPr="00891780">
        <w:rPr>
          <w:rFonts w:asciiTheme="minorHAnsi" w:eastAsia="SimSun" w:hAnsiTheme="minorHAnsi" w:cstheme="minorHAnsi"/>
          <w:sz w:val="22"/>
          <w:szCs w:val="22"/>
          <w:lang w:val="en-GB"/>
        </w:rPr>
        <w:t xml:space="preserve">DSc, </w:t>
      </w:r>
      <w:r w:rsidR="00E40009" w:rsidRPr="00891780">
        <w:rPr>
          <w:rFonts w:asciiTheme="minorHAnsi" w:hAnsiTheme="minorHAnsi" w:cstheme="minorHAnsi"/>
          <w:sz w:val="22"/>
          <w:szCs w:val="22"/>
          <w:lang w:val="en-GB"/>
        </w:rPr>
        <w:t>Minister of the Economy and Sustainable Development, Vice President of the Supervisory Board</w:t>
      </w:r>
      <w:r w:rsidR="00E40009" w:rsidRPr="00891780">
        <w:rPr>
          <w:rFonts w:asciiTheme="minorHAnsi" w:eastAsia="SimSun" w:hAnsiTheme="minorHAnsi" w:cstheme="minorHAnsi"/>
          <w:sz w:val="22"/>
          <w:szCs w:val="22"/>
          <w:lang w:val="en-GB"/>
        </w:rPr>
        <w:t xml:space="preserve"> </w:t>
      </w:r>
      <w:r w:rsidRPr="00891780">
        <w:rPr>
          <w:rFonts w:asciiTheme="minorHAnsi" w:eastAsia="SimSun" w:hAnsiTheme="minorHAnsi" w:cstheme="minorHAnsi"/>
          <w:sz w:val="22"/>
          <w:szCs w:val="22"/>
          <w:lang w:val="en-GB"/>
        </w:rPr>
        <w:t>(</w:t>
      </w:r>
      <w:r w:rsidR="00E40009" w:rsidRPr="00891780">
        <w:rPr>
          <w:rFonts w:asciiTheme="minorHAnsi" w:eastAsia="SimSun" w:hAnsiTheme="minorHAnsi" w:cstheme="minorHAnsi"/>
          <w:sz w:val="22"/>
          <w:szCs w:val="22"/>
          <w:lang w:val="en-GB"/>
        </w:rPr>
        <w:t>in office until</w:t>
      </w:r>
      <w:r w:rsidRPr="00891780">
        <w:rPr>
          <w:rFonts w:asciiTheme="minorHAnsi" w:eastAsia="SimSun" w:hAnsiTheme="minorHAnsi" w:cstheme="minorHAnsi"/>
          <w:sz w:val="22"/>
          <w:szCs w:val="22"/>
          <w:lang w:val="en-GB"/>
        </w:rPr>
        <w:t xml:space="preserve"> 6</w:t>
      </w:r>
      <w:r w:rsidR="00E40009" w:rsidRPr="00891780">
        <w:rPr>
          <w:rFonts w:asciiTheme="minorHAnsi" w:eastAsia="SimSun" w:hAnsiTheme="minorHAnsi" w:cstheme="minorHAnsi"/>
          <w:sz w:val="22"/>
          <w:szCs w:val="22"/>
          <w:lang w:val="en-GB"/>
        </w:rPr>
        <w:t xml:space="preserve"> May</w:t>
      </w:r>
      <w:r w:rsidRPr="00891780">
        <w:rPr>
          <w:rFonts w:asciiTheme="minorHAnsi" w:eastAsia="SimSun" w:hAnsiTheme="minorHAnsi" w:cstheme="minorHAnsi"/>
          <w:sz w:val="22"/>
          <w:szCs w:val="22"/>
          <w:lang w:val="en-GB"/>
        </w:rPr>
        <w:t xml:space="preserve"> 2022),</w:t>
      </w:r>
    </w:p>
    <w:p w14:paraId="1748D708" w14:textId="6359B622" w:rsidR="00382CF2" w:rsidRPr="00891780" w:rsidRDefault="00054989" w:rsidP="008526F0">
      <w:pPr>
        <w:numPr>
          <w:ilvl w:val="0"/>
          <w:numId w:val="5"/>
        </w:numPr>
        <w:spacing w:before="120" w:after="120"/>
        <w:jc w:val="both"/>
        <w:rPr>
          <w:rFonts w:asciiTheme="minorHAnsi" w:eastAsia="SimSun" w:hAnsiTheme="minorHAnsi" w:cstheme="minorHAnsi"/>
          <w:sz w:val="22"/>
          <w:szCs w:val="22"/>
          <w:lang w:val="en-GB"/>
        </w:rPr>
      </w:pPr>
      <w:r w:rsidRPr="00891780">
        <w:rPr>
          <w:rFonts w:asciiTheme="minorHAnsi" w:eastAsia="SimSun" w:hAnsiTheme="minorHAnsi" w:cstheme="minorHAnsi"/>
          <w:sz w:val="22"/>
          <w:szCs w:val="22"/>
          <w:lang w:val="en-GB"/>
        </w:rPr>
        <w:t xml:space="preserve">Davor </w:t>
      </w:r>
      <w:proofErr w:type="spellStart"/>
      <w:r w:rsidRPr="00891780">
        <w:rPr>
          <w:rFonts w:asciiTheme="minorHAnsi" w:eastAsia="SimSun" w:hAnsiTheme="minorHAnsi" w:cstheme="minorHAnsi"/>
          <w:sz w:val="22"/>
          <w:szCs w:val="22"/>
          <w:lang w:val="en-GB"/>
        </w:rPr>
        <w:t>Filipović</w:t>
      </w:r>
      <w:proofErr w:type="spellEnd"/>
      <w:r w:rsidRPr="00891780">
        <w:rPr>
          <w:rFonts w:asciiTheme="minorHAnsi" w:eastAsia="SimSun" w:hAnsiTheme="minorHAnsi" w:cstheme="minorHAnsi"/>
          <w:sz w:val="22"/>
          <w:szCs w:val="22"/>
          <w:lang w:val="en-GB"/>
        </w:rPr>
        <w:t xml:space="preserve">, </w:t>
      </w:r>
      <w:r w:rsidR="00E40009" w:rsidRPr="00891780">
        <w:rPr>
          <w:rFonts w:asciiTheme="minorHAnsi" w:eastAsia="SimSun" w:hAnsiTheme="minorHAnsi" w:cstheme="minorHAnsi"/>
          <w:sz w:val="22"/>
          <w:szCs w:val="22"/>
          <w:lang w:val="en-GB"/>
        </w:rPr>
        <w:t xml:space="preserve">DSc, </w:t>
      </w:r>
      <w:r w:rsidR="00E40009" w:rsidRPr="00891780">
        <w:rPr>
          <w:rFonts w:asciiTheme="minorHAnsi" w:hAnsiTheme="minorHAnsi" w:cstheme="minorHAnsi"/>
          <w:sz w:val="22"/>
          <w:szCs w:val="22"/>
          <w:lang w:val="en-GB"/>
        </w:rPr>
        <w:t>Minister of the Economy and Sustainable Development, Vice President of the Supervisory Board</w:t>
      </w:r>
      <w:r w:rsidR="00E40009" w:rsidRPr="00891780">
        <w:rPr>
          <w:rFonts w:asciiTheme="minorHAnsi" w:eastAsia="SimSun" w:hAnsiTheme="minorHAnsi" w:cstheme="minorHAnsi"/>
          <w:sz w:val="22"/>
          <w:szCs w:val="22"/>
          <w:lang w:val="en-GB"/>
        </w:rPr>
        <w:t xml:space="preserve"> </w:t>
      </w:r>
      <w:r w:rsidRPr="00891780">
        <w:rPr>
          <w:rFonts w:asciiTheme="minorHAnsi" w:eastAsia="SimSun" w:hAnsiTheme="minorHAnsi" w:cstheme="minorHAnsi"/>
          <w:sz w:val="22"/>
          <w:szCs w:val="22"/>
          <w:lang w:val="en-GB"/>
        </w:rPr>
        <w:t>(</w:t>
      </w:r>
      <w:r w:rsidR="00636C45" w:rsidRPr="00891780">
        <w:rPr>
          <w:rFonts w:asciiTheme="minorHAnsi" w:eastAsia="SimSun" w:hAnsiTheme="minorHAnsi" w:cstheme="minorHAnsi"/>
          <w:sz w:val="22"/>
          <w:szCs w:val="22"/>
          <w:lang w:val="en-GB"/>
        </w:rPr>
        <w:t xml:space="preserve">in office </w:t>
      </w:r>
      <w:r w:rsidR="00C31DEB" w:rsidRPr="00891780">
        <w:rPr>
          <w:rFonts w:asciiTheme="minorHAnsi" w:eastAsia="SimSun" w:hAnsiTheme="minorHAnsi" w:cstheme="minorHAnsi"/>
          <w:sz w:val="22"/>
          <w:szCs w:val="22"/>
          <w:lang w:val="en-GB"/>
        </w:rPr>
        <w:t>since</w:t>
      </w:r>
      <w:r w:rsidRPr="00891780">
        <w:rPr>
          <w:rFonts w:asciiTheme="minorHAnsi" w:eastAsia="SimSun" w:hAnsiTheme="minorHAnsi" w:cstheme="minorHAnsi"/>
          <w:sz w:val="22"/>
          <w:szCs w:val="22"/>
          <w:lang w:val="en-GB"/>
        </w:rPr>
        <w:t xml:space="preserve"> 6</w:t>
      </w:r>
      <w:r w:rsidR="00566088" w:rsidRPr="00891780">
        <w:rPr>
          <w:rFonts w:asciiTheme="minorHAnsi" w:eastAsia="SimSun" w:hAnsiTheme="minorHAnsi" w:cstheme="minorHAnsi"/>
          <w:sz w:val="22"/>
          <w:szCs w:val="22"/>
          <w:lang w:val="en-GB"/>
        </w:rPr>
        <w:t xml:space="preserve"> May</w:t>
      </w:r>
      <w:r w:rsidRPr="00891780">
        <w:rPr>
          <w:rFonts w:asciiTheme="minorHAnsi" w:eastAsia="SimSun" w:hAnsiTheme="minorHAnsi" w:cstheme="minorHAnsi"/>
          <w:sz w:val="22"/>
          <w:szCs w:val="22"/>
          <w:lang w:val="en-GB"/>
        </w:rPr>
        <w:t xml:space="preserve"> 2022),</w:t>
      </w:r>
    </w:p>
    <w:p w14:paraId="1748D709" w14:textId="16727B8B" w:rsidR="00382CF2" w:rsidRPr="00891780" w:rsidRDefault="00054989" w:rsidP="008526F0">
      <w:pPr>
        <w:numPr>
          <w:ilvl w:val="0"/>
          <w:numId w:val="5"/>
        </w:numPr>
        <w:spacing w:before="120" w:after="120"/>
        <w:jc w:val="both"/>
        <w:rPr>
          <w:rFonts w:asciiTheme="minorHAnsi" w:eastAsia="SimSun" w:hAnsiTheme="minorHAnsi" w:cstheme="minorHAnsi"/>
          <w:sz w:val="22"/>
          <w:szCs w:val="22"/>
          <w:lang w:val="en-GB"/>
        </w:rPr>
      </w:pPr>
      <w:r w:rsidRPr="00891780">
        <w:rPr>
          <w:rFonts w:asciiTheme="minorHAnsi" w:eastAsia="SimSun" w:hAnsiTheme="minorHAnsi" w:cstheme="minorHAnsi"/>
          <w:sz w:val="22"/>
          <w:szCs w:val="22"/>
          <w:lang w:val="en-GB"/>
        </w:rPr>
        <w:t xml:space="preserve">Nikolina </w:t>
      </w:r>
      <w:proofErr w:type="spellStart"/>
      <w:r w:rsidRPr="00891780">
        <w:rPr>
          <w:rFonts w:asciiTheme="minorHAnsi" w:eastAsia="SimSun" w:hAnsiTheme="minorHAnsi" w:cstheme="minorHAnsi"/>
          <w:sz w:val="22"/>
          <w:szCs w:val="22"/>
          <w:lang w:val="en-GB"/>
        </w:rPr>
        <w:t>Brnjac</w:t>
      </w:r>
      <w:proofErr w:type="spellEnd"/>
      <w:r w:rsidRPr="00891780">
        <w:rPr>
          <w:rFonts w:asciiTheme="minorHAnsi" w:eastAsia="SimSun" w:hAnsiTheme="minorHAnsi" w:cstheme="minorHAnsi"/>
          <w:sz w:val="22"/>
          <w:szCs w:val="22"/>
          <w:lang w:val="en-GB"/>
        </w:rPr>
        <w:t xml:space="preserve">, </w:t>
      </w:r>
      <w:r w:rsidR="00566088" w:rsidRPr="00891780">
        <w:rPr>
          <w:rFonts w:asciiTheme="minorHAnsi" w:eastAsia="SimSun" w:hAnsiTheme="minorHAnsi" w:cstheme="minorHAnsi"/>
          <w:sz w:val="22"/>
          <w:szCs w:val="22"/>
          <w:lang w:val="en-GB"/>
        </w:rPr>
        <w:t>DSc, Minister of Tourism and Sport</w:t>
      </w:r>
      <w:r w:rsidRPr="00891780">
        <w:rPr>
          <w:rFonts w:asciiTheme="minorHAnsi" w:eastAsia="SimSun" w:hAnsiTheme="minorHAnsi" w:cstheme="minorHAnsi"/>
          <w:sz w:val="22"/>
          <w:szCs w:val="22"/>
          <w:lang w:val="en-GB"/>
        </w:rPr>
        <w:t>,</w:t>
      </w:r>
    </w:p>
    <w:p w14:paraId="1748D70A" w14:textId="6B01B980" w:rsidR="00382CF2" w:rsidRPr="00891780" w:rsidRDefault="00054989" w:rsidP="008526F0">
      <w:pPr>
        <w:numPr>
          <w:ilvl w:val="0"/>
          <w:numId w:val="5"/>
        </w:numPr>
        <w:spacing w:before="120" w:after="120"/>
        <w:jc w:val="both"/>
        <w:rPr>
          <w:rFonts w:asciiTheme="minorHAnsi" w:eastAsia="SimSun" w:hAnsiTheme="minorHAnsi" w:cstheme="minorHAnsi"/>
          <w:sz w:val="22"/>
          <w:szCs w:val="22"/>
          <w:lang w:val="en-GB"/>
        </w:rPr>
      </w:pPr>
      <w:r w:rsidRPr="00891780">
        <w:rPr>
          <w:rFonts w:asciiTheme="minorHAnsi" w:eastAsia="SimSun" w:hAnsiTheme="minorHAnsi" w:cstheme="minorHAnsi"/>
          <w:sz w:val="22"/>
          <w:szCs w:val="22"/>
          <w:lang w:val="en-GB"/>
        </w:rPr>
        <w:t xml:space="preserve">Darko Horvat, </w:t>
      </w:r>
      <w:r w:rsidR="008843E7" w:rsidRPr="00891780">
        <w:rPr>
          <w:rFonts w:asciiTheme="minorHAnsi" w:hAnsiTheme="minorHAnsi" w:cstheme="minorHAnsi"/>
          <w:sz w:val="22"/>
          <w:szCs w:val="22"/>
          <w:lang w:val="en-GB"/>
        </w:rPr>
        <w:t>Minister of Physical Planning, Construction and State Assets</w:t>
      </w:r>
      <w:r w:rsidRPr="00891780">
        <w:rPr>
          <w:rFonts w:asciiTheme="minorHAnsi" w:eastAsia="SimSun" w:hAnsiTheme="minorHAnsi" w:cstheme="minorHAnsi"/>
          <w:sz w:val="22"/>
          <w:szCs w:val="22"/>
          <w:lang w:val="en-GB"/>
        </w:rPr>
        <w:t>, (</w:t>
      </w:r>
      <w:r w:rsidR="008843E7" w:rsidRPr="00891780">
        <w:rPr>
          <w:rFonts w:asciiTheme="minorHAnsi" w:eastAsia="SimSun" w:hAnsiTheme="minorHAnsi" w:cstheme="minorHAnsi"/>
          <w:sz w:val="22"/>
          <w:szCs w:val="22"/>
          <w:lang w:val="en-GB"/>
        </w:rPr>
        <w:t>in office until</w:t>
      </w:r>
      <w:r w:rsidRPr="00891780">
        <w:rPr>
          <w:rFonts w:asciiTheme="minorHAnsi" w:eastAsia="SimSun" w:hAnsiTheme="minorHAnsi" w:cstheme="minorHAnsi"/>
          <w:sz w:val="22"/>
          <w:szCs w:val="22"/>
          <w:lang w:val="en-GB"/>
        </w:rPr>
        <w:t xml:space="preserve"> 17</w:t>
      </w:r>
      <w:r w:rsidR="008843E7" w:rsidRPr="00891780">
        <w:rPr>
          <w:rFonts w:asciiTheme="minorHAnsi" w:eastAsia="SimSun" w:hAnsiTheme="minorHAnsi" w:cstheme="minorHAnsi"/>
          <w:sz w:val="22"/>
          <w:szCs w:val="22"/>
          <w:lang w:val="en-GB"/>
        </w:rPr>
        <w:t xml:space="preserve"> March</w:t>
      </w:r>
      <w:r w:rsidRPr="00891780">
        <w:rPr>
          <w:rFonts w:asciiTheme="minorHAnsi" w:eastAsia="SimSun" w:hAnsiTheme="minorHAnsi" w:cstheme="minorHAnsi"/>
          <w:sz w:val="22"/>
          <w:szCs w:val="22"/>
          <w:lang w:val="en-GB"/>
        </w:rPr>
        <w:t xml:space="preserve"> 2022),</w:t>
      </w:r>
    </w:p>
    <w:p w14:paraId="1748D70B" w14:textId="2D2F2065" w:rsidR="00382CF2" w:rsidRPr="00891780" w:rsidRDefault="00054989" w:rsidP="008526F0">
      <w:pPr>
        <w:numPr>
          <w:ilvl w:val="0"/>
          <w:numId w:val="5"/>
        </w:numPr>
        <w:spacing w:before="120" w:after="120"/>
        <w:jc w:val="both"/>
        <w:rPr>
          <w:rFonts w:asciiTheme="minorHAnsi" w:eastAsia="SimSun" w:hAnsiTheme="minorHAnsi" w:cstheme="minorHAnsi"/>
          <w:sz w:val="22"/>
          <w:szCs w:val="22"/>
          <w:lang w:val="en-GB"/>
        </w:rPr>
      </w:pPr>
      <w:r w:rsidRPr="00891780">
        <w:rPr>
          <w:rFonts w:asciiTheme="minorHAnsi" w:eastAsia="SimSun" w:hAnsiTheme="minorHAnsi" w:cstheme="minorHAnsi"/>
          <w:sz w:val="22"/>
          <w:szCs w:val="22"/>
          <w:lang w:val="en-GB"/>
        </w:rPr>
        <w:t xml:space="preserve">Ivan </w:t>
      </w:r>
      <w:proofErr w:type="spellStart"/>
      <w:r w:rsidRPr="00891780">
        <w:rPr>
          <w:rFonts w:asciiTheme="minorHAnsi" w:eastAsia="SimSun" w:hAnsiTheme="minorHAnsi" w:cstheme="minorHAnsi"/>
          <w:sz w:val="22"/>
          <w:szCs w:val="22"/>
          <w:lang w:val="en-GB"/>
        </w:rPr>
        <w:t>Paladina</w:t>
      </w:r>
      <w:proofErr w:type="spellEnd"/>
      <w:r w:rsidRPr="00891780">
        <w:rPr>
          <w:rFonts w:asciiTheme="minorHAnsi" w:eastAsia="SimSun" w:hAnsiTheme="minorHAnsi" w:cstheme="minorHAnsi"/>
          <w:sz w:val="22"/>
          <w:szCs w:val="22"/>
          <w:lang w:val="en-GB"/>
        </w:rPr>
        <w:t xml:space="preserve">, </w:t>
      </w:r>
      <w:r w:rsidR="008843E7" w:rsidRPr="00891780">
        <w:rPr>
          <w:rFonts w:asciiTheme="minorHAnsi" w:hAnsiTheme="minorHAnsi" w:cstheme="minorHAnsi"/>
          <w:sz w:val="22"/>
          <w:szCs w:val="22"/>
          <w:lang w:val="en-GB"/>
        </w:rPr>
        <w:t>Minister of Physical Planning, Construction and State Assets</w:t>
      </w:r>
      <w:r w:rsidRPr="00891780">
        <w:rPr>
          <w:rFonts w:asciiTheme="minorHAnsi" w:eastAsia="SimSun" w:hAnsiTheme="minorHAnsi" w:cstheme="minorHAnsi"/>
          <w:sz w:val="22"/>
          <w:szCs w:val="22"/>
          <w:lang w:val="en-GB"/>
        </w:rPr>
        <w:t>, (</w:t>
      </w:r>
      <w:r w:rsidR="008843E7" w:rsidRPr="00891780">
        <w:rPr>
          <w:rFonts w:asciiTheme="minorHAnsi" w:eastAsia="SimSun" w:hAnsiTheme="minorHAnsi" w:cstheme="minorHAnsi"/>
          <w:sz w:val="22"/>
          <w:szCs w:val="22"/>
          <w:lang w:val="en-GB"/>
        </w:rPr>
        <w:t xml:space="preserve">in office </w:t>
      </w:r>
      <w:r w:rsidR="00C31DEB" w:rsidRPr="00891780">
        <w:rPr>
          <w:rFonts w:asciiTheme="minorHAnsi" w:eastAsia="SimSun" w:hAnsiTheme="minorHAnsi" w:cstheme="minorHAnsi"/>
          <w:sz w:val="22"/>
          <w:szCs w:val="22"/>
          <w:lang w:val="en-GB"/>
        </w:rPr>
        <w:t>since</w:t>
      </w:r>
      <w:r w:rsidRPr="00891780">
        <w:rPr>
          <w:rFonts w:asciiTheme="minorHAnsi" w:eastAsia="SimSun" w:hAnsiTheme="minorHAnsi" w:cstheme="minorHAnsi"/>
          <w:sz w:val="22"/>
          <w:szCs w:val="22"/>
          <w:lang w:val="en-GB"/>
        </w:rPr>
        <w:t xml:space="preserve"> 17 </w:t>
      </w:r>
      <w:r w:rsidR="008843E7" w:rsidRPr="00891780">
        <w:rPr>
          <w:rFonts w:asciiTheme="minorHAnsi" w:eastAsia="SimSun" w:hAnsiTheme="minorHAnsi" w:cstheme="minorHAnsi"/>
          <w:sz w:val="22"/>
          <w:szCs w:val="22"/>
          <w:lang w:val="en-GB"/>
        </w:rPr>
        <w:t>March</w:t>
      </w:r>
      <w:r w:rsidRPr="00891780">
        <w:rPr>
          <w:rFonts w:asciiTheme="minorHAnsi" w:eastAsia="SimSun" w:hAnsiTheme="minorHAnsi" w:cstheme="minorHAnsi"/>
          <w:sz w:val="22"/>
          <w:szCs w:val="22"/>
          <w:lang w:val="en-GB"/>
        </w:rPr>
        <w:t xml:space="preserve"> 2022),</w:t>
      </w:r>
    </w:p>
    <w:p w14:paraId="1748D70C" w14:textId="699DC214" w:rsidR="00382CF2" w:rsidRPr="00891780" w:rsidRDefault="00054989" w:rsidP="008526F0">
      <w:pPr>
        <w:numPr>
          <w:ilvl w:val="0"/>
          <w:numId w:val="5"/>
        </w:numPr>
        <w:spacing w:before="120" w:after="120"/>
        <w:jc w:val="both"/>
        <w:rPr>
          <w:rFonts w:asciiTheme="minorHAnsi" w:eastAsia="SimSun" w:hAnsiTheme="minorHAnsi" w:cstheme="minorHAnsi"/>
          <w:sz w:val="22"/>
          <w:szCs w:val="22"/>
          <w:lang w:val="en-GB"/>
        </w:rPr>
      </w:pPr>
      <w:r w:rsidRPr="00891780">
        <w:rPr>
          <w:rFonts w:asciiTheme="minorHAnsi" w:eastAsia="SimSun" w:hAnsiTheme="minorHAnsi" w:cstheme="minorHAnsi"/>
          <w:sz w:val="22"/>
          <w:szCs w:val="22"/>
          <w:lang w:val="en-GB"/>
        </w:rPr>
        <w:t xml:space="preserve">Nataša </w:t>
      </w:r>
      <w:proofErr w:type="spellStart"/>
      <w:r w:rsidRPr="00891780">
        <w:rPr>
          <w:rFonts w:asciiTheme="minorHAnsi" w:eastAsia="SimSun" w:hAnsiTheme="minorHAnsi" w:cstheme="minorHAnsi"/>
          <w:sz w:val="22"/>
          <w:szCs w:val="22"/>
          <w:lang w:val="en-GB"/>
        </w:rPr>
        <w:t>Tramišak</w:t>
      </w:r>
      <w:proofErr w:type="spellEnd"/>
      <w:r w:rsidRPr="00891780">
        <w:rPr>
          <w:rFonts w:asciiTheme="minorHAnsi" w:eastAsia="SimSun" w:hAnsiTheme="minorHAnsi" w:cstheme="minorHAnsi"/>
          <w:sz w:val="22"/>
          <w:szCs w:val="22"/>
          <w:lang w:val="en-GB"/>
        </w:rPr>
        <w:t xml:space="preserve">, </w:t>
      </w:r>
      <w:r w:rsidR="00622F15" w:rsidRPr="00891780">
        <w:rPr>
          <w:rFonts w:asciiTheme="minorHAnsi" w:hAnsiTheme="minorHAnsi" w:cstheme="minorHAnsi"/>
          <w:sz w:val="22"/>
          <w:szCs w:val="22"/>
          <w:lang w:val="en-GB"/>
        </w:rPr>
        <w:t>Minister of Regional Development and EU Funds</w:t>
      </w:r>
      <w:r w:rsidRPr="00891780">
        <w:rPr>
          <w:rFonts w:asciiTheme="minorHAnsi" w:eastAsia="SimSun" w:hAnsiTheme="minorHAnsi" w:cstheme="minorHAnsi"/>
          <w:sz w:val="22"/>
          <w:szCs w:val="22"/>
          <w:lang w:val="en-GB"/>
        </w:rPr>
        <w:t>,</w:t>
      </w:r>
    </w:p>
    <w:p w14:paraId="1748D70D" w14:textId="399C6072" w:rsidR="00382CF2" w:rsidRPr="00891780" w:rsidRDefault="00054989" w:rsidP="008526F0">
      <w:pPr>
        <w:numPr>
          <w:ilvl w:val="0"/>
          <w:numId w:val="6"/>
        </w:numPr>
        <w:spacing w:before="120" w:after="120"/>
        <w:jc w:val="both"/>
        <w:rPr>
          <w:rFonts w:asciiTheme="minorHAnsi" w:eastAsia="SimSun" w:hAnsiTheme="minorHAnsi" w:cstheme="minorHAnsi"/>
          <w:sz w:val="22"/>
          <w:szCs w:val="22"/>
          <w:lang w:val="en-GB"/>
        </w:rPr>
      </w:pPr>
      <w:r w:rsidRPr="00891780">
        <w:rPr>
          <w:rFonts w:asciiTheme="minorHAnsi" w:eastAsia="SimSun" w:hAnsiTheme="minorHAnsi" w:cstheme="minorHAnsi"/>
          <w:sz w:val="22"/>
          <w:szCs w:val="22"/>
          <w:lang w:val="en-GB"/>
        </w:rPr>
        <w:t xml:space="preserve">Marija </w:t>
      </w:r>
      <w:proofErr w:type="spellStart"/>
      <w:r w:rsidRPr="00891780">
        <w:rPr>
          <w:rFonts w:asciiTheme="minorHAnsi" w:eastAsia="SimSun" w:hAnsiTheme="minorHAnsi" w:cstheme="minorHAnsi"/>
          <w:sz w:val="22"/>
          <w:szCs w:val="22"/>
          <w:lang w:val="en-GB"/>
        </w:rPr>
        <w:t>Vučković</w:t>
      </w:r>
      <w:proofErr w:type="spellEnd"/>
      <w:r w:rsidRPr="00891780">
        <w:rPr>
          <w:rFonts w:asciiTheme="minorHAnsi" w:eastAsia="SimSun" w:hAnsiTheme="minorHAnsi" w:cstheme="minorHAnsi"/>
          <w:sz w:val="22"/>
          <w:szCs w:val="22"/>
          <w:lang w:val="en-GB"/>
        </w:rPr>
        <w:t xml:space="preserve">, </w:t>
      </w:r>
      <w:r w:rsidR="00622F15" w:rsidRPr="00891780">
        <w:rPr>
          <w:rFonts w:asciiTheme="minorHAnsi" w:eastAsia="SimSun" w:hAnsiTheme="minorHAnsi" w:cstheme="minorHAnsi"/>
          <w:sz w:val="22"/>
          <w:szCs w:val="22"/>
          <w:lang w:val="en-GB"/>
        </w:rPr>
        <w:t xml:space="preserve">MSc, </w:t>
      </w:r>
      <w:r w:rsidR="0000425E" w:rsidRPr="00891780">
        <w:rPr>
          <w:rFonts w:asciiTheme="minorHAnsi" w:hAnsiTheme="minorHAnsi" w:cstheme="minorHAnsi"/>
          <w:sz w:val="22"/>
          <w:szCs w:val="22"/>
          <w:lang w:val="en-GB"/>
        </w:rPr>
        <w:t>Minister of Agriculture</w:t>
      </w:r>
      <w:r w:rsidRPr="00891780">
        <w:rPr>
          <w:rFonts w:asciiTheme="minorHAnsi" w:eastAsia="SimSun" w:hAnsiTheme="minorHAnsi" w:cstheme="minorHAnsi"/>
          <w:sz w:val="22"/>
          <w:szCs w:val="22"/>
          <w:lang w:val="en-GB"/>
        </w:rPr>
        <w:t>,</w:t>
      </w:r>
    </w:p>
    <w:p w14:paraId="1748D70E" w14:textId="382805FE" w:rsidR="00382CF2" w:rsidRPr="00891780" w:rsidRDefault="00B67964" w:rsidP="008526F0">
      <w:pPr>
        <w:numPr>
          <w:ilvl w:val="0"/>
          <w:numId w:val="6"/>
        </w:numPr>
        <w:spacing w:before="120" w:after="120"/>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 xml:space="preserve">Luka </w:t>
      </w:r>
      <w:proofErr w:type="spellStart"/>
      <w:r w:rsidRPr="00891780">
        <w:rPr>
          <w:rFonts w:asciiTheme="minorHAnsi" w:hAnsiTheme="minorHAnsi" w:cstheme="minorHAnsi"/>
          <w:sz w:val="22"/>
          <w:szCs w:val="22"/>
          <w:lang w:val="en-GB"/>
        </w:rPr>
        <w:t>Burilović</w:t>
      </w:r>
      <w:proofErr w:type="spellEnd"/>
      <w:r w:rsidRPr="00891780">
        <w:rPr>
          <w:rFonts w:asciiTheme="minorHAnsi" w:hAnsiTheme="minorHAnsi" w:cstheme="minorHAnsi"/>
          <w:sz w:val="22"/>
          <w:szCs w:val="22"/>
          <w:lang w:val="en-GB"/>
        </w:rPr>
        <w:t>, DSc, President of the Croatian Chamber of Economy</w:t>
      </w:r>
      <w:r w:rsidR="00054989" w:rsidRPr="00891780">
        <w:rPr>
          <w:rFonts w:asciiTheme="minorHAnsi" w:eastAsia="SimSun" w:hAnsiTheme="minorHAnsi" w:cstheme="minorHAnsi"/>
          <w:sz w:val="22"/>
          <w:szCs w:val="22"/>
          <w:lang w:val="en-GB"/>
        </w:rPr>
        <w:t>,</w:t>
      </w:r>
    </w:p>
    <w:p w14:paraId="1748D70F" w14:textId="69576373" w:rsidR="00382CF2" w:rsidRPr="00891780" w:rsidRDefault="00054989" w:rsidP="008526F0">
      <w:pPr>
        <w:numPr>
          <w:ilvl w:val="0"/>
          <w:numId w:val="6"/>
        </w:numPr>
        <w:spacing w:before="120" w:after="120"/>
        <w:jc w:val="both"/>
        <w:rPr>
          <w:rFonts w:asciiTheme="minorHAnsi" w:eastAsia="SimSun" w:hAnsiTheme="minorHAnsi" w:cstheme="minorHAnsi"/>
          <w:sz w:val="22"/>
          <w:szCs w:val="22"/>
          <w:lang w:val="en-GB"/>
        </w:rPr>
      </w:pPr>
      <w:proofErr w:type="spellStart"/>
      <w:r w:rsidRPr="00891780">
        <w:rPr>
          <w:rFonts w:asciiTheme="minorHAnsi" w:eastAsia="SimSun" w:hAnsiTheme="minorHAnsi" w:cstheme="minorHAnsi"/>
          <w:sz w:val="22"/>
          <w:szCs w:val="22"/>
          <w:lang w:val="en-GB"/>
        </w:rPr>
        <w:t>Žarko</w:t>
      </w:r>
      <w:proofErr w:type="spellEnd"/>
      <w:r w:rsidRPr="00891780">
        <w:rPr>
          <w:rFonts w:asciiTheme="minorHAnsi" w:eastAsia="SimSun" w:hAnsiTheme="minorHAnsi" w:cstheme="minorHAnsi"/>
          <w:sz w:val="22"/>
          <w:szCs w:val="22"/>
          <w:lang w:val="en-GB"/>
        </w:rPr>
        <w:t xml:space="preserve"> </w:t>
      </w:r>
      <w:proofErr w:type="spellStart"/>
      <w:r w:rsidRPr="00891780">
        <w:rPr>
          <w:rFonts w:asciiTheme="minorHAnsi" w:eastAsia="SimSun" w:hAnsiTheme="minorHAnsi" w:cstheme="minorHAnsi"/>
          <w:sz w:val="22"/>
          <w:szCs w:val="22"/>
          <w:lang w:val="en-GB"/>
        </w:rPr>
        <w:t>Tušek</w:t>
      </w:r>
      <w:proofErr w:type="spellEnd"/>
      <w:r w:rsidRPr="00891780">
        <w:rPr>
          <w:rFonts w:asciiTheme="minorHAnsi" w:eastAsia="SimSun" w:hAnsiTheme="minorHAnsi" w:cstheme="minorHAnsi"/>
          <w:sz w:val="22"/>
          <w:szCs w:val="22"/>
          <w:lang w:val="en-GB"/>
        </w:rPr>
        <w:t xml:space="preserve">, </w:t>
      </w:r>
      <w:r w:rsidR="004C2219" w:rsidRPr="00891780">
        <w:rPr>
          <w:rFonts w:asciiTheme="minorHAnsi" w:hAnsiTheme="minorHAnsi" w:cstheme="minorHAnsi"/>
          <w:sz w:val="22"/>
          <w:szCs w:val="22"/>
          <w:lang w:val="en-GB"/>
        </w:rPr>
        <w:t>Member of the Croatian Parliament</w:t>
      </w:r>
      <w:r w:rsidRPr="00891780">
        <w:rPr>
          <w:rFonts w:asciiTheme="minorHAnsi" w:eastAsia="SimSun" w:hAnsiTheme="minorHAnsi" w:cstheme="minorHAnsi"/>
          <w:sz w:val="22"/>
          <w:szCs w:val="22"/>
          <w:lang w:val="en-GB"/>
        </w:rPr>
        <w:t>,</w:t>
      </w:r>
    </w:p>
    <w:p w14:paraId="1748D710" w14:textId="4B67A3A0" w:rsidR="00382CF2" w:rsidRPr="00891780" w:rsidRDefault="00054989" w:rsidP="008526F0">
      <w:pPr>
        <w:numPr>
          <w:ilvl w:val="0"/>
          <w:numId w:val="6"/>
        </w:numPr>
        <w:spacing w:before="120" w:after="120"/>
        <w:jc w:val="both"/>
        <w:rPr>
          <w:rFonts w:asciiTheme="minorHAnsi" w:eastAsia="SimSun" w:hAnsiTheme="minorHAnsi" w:cstheme="minorHAnsi"/>
          <w:sz w:val="22"/>
          <w:szCs w:val="22"/>
          <w:lang w:val="en-GB"/>
        </w:rPr>
      </w:pPr>
      <w:r w:rsidRPr="00891780">
        <w:rPr>
          <w:rFonts w:asciiTheme="minorHAnsi" w:eastAsia="SimSun" w:hAnsiTheme="minorHAnsi" w:cstheme="minorHAnsi"/>
          <w:sz w:val="22"/>
          <w:szCs w:val="22"/>
          <w:lang w:val="en-GB"/>
        </w:rPr>
        <w:t xml:space="preserve">Predrag </w:t>
      </w:r>
      <w:proofErr w:type="spellStart"/>
      <w:r w:rsidRPr="00891780">
        <w:rPr>
          <w:rFonts w:asciiTheme="minorHAnsi" w:eastAsia="SimSun" w:hAnsiTheme="minorHAnsi" w:cstheme="minorHAnsi"/>
          <w:sz w:val="22"/>
          <w:szCs w:val="22"/>
          <w:lang w:val="en-GB"/>
        </w:rPr>
        <w:t>Štromar</w:t>
      </w:r>
      <w:proofErr w:type="spellEnd"/>
      <w:r w:rsidRPr="00891780">
        <w:rPr>
          <w:rFonts w:asciiTheme="minorHAnsi" w:eastAsia="SimSun" w:hAnsiTheme="minorHAnsi" w:cstheme="minorHAnsi"/>
          <w:sz w:val="22"/>
          <w:szCs w:val="22"/>
          <w:lang w:val="en-GB"/>
        </w:rPr>
        <w:t xml:space="preserve">, </w:t>
      </w:r>
      <w:r w:rsidR="007C79A3" w:rsidRPr="00891780">
        <w:rPr>
          <w:rFonts w:asciiTheme="minorHAnsi" w:hAnsiTheme="minorHAnsi" w:cstheme="minorHAnsi"/>
          <w:sz w:val="22"/>
          <w:szCs w:val="22"/>
          <w:lang w:val="en-GB"/>
        </w:rPr>
        <w:t>Member of the Croatian Parliament</w:t>
      </w:r>
      <w:r w:rsidRPr="00891780">
        <w:rPr>
          <w:rFonts w:asciiTheme="minorHAnsi" w:eastAsia="SimSun" w:hAnsiTheme="minorHAnsi" w:cstheme="minorHAnsi"/>
          <w:sz w:val="22"/>
          <w:szCs w:val="22"/>
          <w:lang w:val="en-GB"/>
        </w:rPr>
        <w:t>,</w:t>
      </w:r>
    </w:p>
    <w:p w14:paraId="1748D711" w14:textId="0E86A153" w:rsidR="00382CF2" w:rsidRPr="00891780" w:rsidRDefault="00226C3B" w:rsidP="008526F0">
      <w:pPr>
        <w:numPr>
          <w:ilvl w:val="0"/>
          <w:numId w:val="6"/>
        </w:numPr>
        <w:spacing w:before="120" w:after="120"/>
        <w:jc w:val="both"/>
        <w:rPr>
          <w:rFonts w:asciiTheme="minorHAnsi" w:eastAsia="SimSun" w:hAnsiTheme="minorHAnsi" w:cstheme="minorHAnsi"/>
          <w:sz w:val="22"/>
          <w:szCs w:val="22"/>
          <w:lang w:val="en-GB"/>
        </w:rPr>
      </w:pPr>
      <w:proofErr w:type="spellStart"/>
      <w:r w:rsidRPr="00891780">
        <w:rPr>
          <w:rFonts w:asciiTheme="minorHAnsi" w:hAnsiTheme="minorHAnsi" w:cstheme="minorHAnsi"/>
          <w:sz w:val="22"/>
          <w:szCs w:val="22"/>
          <w:lang w:val="en-GB"/>
        </w:rPr>
        <w:t>Siniša</w:t>
      </w:r>
      <w:proofErr w:type="spellEnd"/>
      <w:r w:rsidRPr="00891780">
        <w:rPr>
          <w:rFonts w:asciiTheme="minorHAnsi" w:hAnsiTheme="minorHAnsi" w:cstheme="minorHAnsi"/>
          <w:sz w:val="22"/>
          <w:szCs w:val="22"/>
          <w:lang w:val="en-GB"/>
        </w:rPr>
        <w:t xml:space="preserve"> </w:t>
      </w:r>
      <w:proofErr w:type="spellStart"/>
      <w:r w:rsidRPr="00891780">
        <w:rPr>
          <w:rFonts w:asciiTheme="minorHAnsi" w:hAnsiTheme="minorHAnsi" w:cstheme="minorHAnsi"/>
          <w:sz w:val="22"/>
          <w:szCs w:val="22"/>
          <w:lang w:val="en-GB"/>
        </w:rPr>
        <w:t>Hajdaš</w:t>
      </w:r>
      <w:proofErr w:type="spellEnd"/>
      <w:r w:rsidRPr="00891780">
        <w:rPr>
          <w:rFonts w:asciiTheme="minorHAnsi" w:hAnsiTheme="minorHAnsi" w:cstheme="minorHAnsi"/>
          <w:sz w:val="22"/>
          <w:szCs w:val="22"/>
          <w:lang w:val="en-GB"/>
        </w:rPr>
        <w:t xml:space="preserve"> </w:t>
      </w:r>
      <w:proofErr w:type="spellStart"/>
      <w:r w:rsidRPr="00891780">
        <w:rPr>
          <w:rFonts w:asciiTheme="minorHAnsi" w:hAnsiTheme="minorHAnsi" w:cstheme="minorHAnsi"/>
          <w:sz w:val="22"/>
          <w:szCs w:val="22"/>
          <w:lang w:val="en-GB"/>
        </w:rPr>
        <w:t>Dončić</w:t>
      </w:r>
      <w:proofErr w:type="spellEnd"/>
      <w:r w:rsidRPr="00891780">
        <w:rPr>
          <w:rFonts w:asciiTheme="minorHAnsi" w:hAnsiTheme="minorHAnsi" w:cstheme="minorHAnsi"/>
          <w:sz w:val="22"/>
          <w:szCs w:val="22"/>
          <w:lang w:val="en-GB"/>
        </w:rPr>
        <w:t>, DSc, Member of the Croatian Parliament</w:t>
      </w:r>
      <w:r w:rsidR="00054989" w:rsidRPr="00891780">
        <w:rPr>
          <w:rFonts w:asciiTheme="minorHAnsi" w:eastAsia="SimSun" w:hAnsiTheme="minorHAnsi" w:cstheme="minorHAnsi"/>
          <w:sz w:val="22"/>
          <w:szCs w:val="22"/>
          <w:lang w:val="en-GB"/>
        </w:rPr>
        <w:t>.</w:t>
      </w:r>
    </w:p>
    <w:p w14:paraId="1748D712" w14:textId="67302F4F" w:rsidR="00382CF2" w:rsidRPr="00891780" w:rsidRDefault="002E17DA" w:rsidP="000B677E">
      <w:pPr>
        <w:spacing w:before="120" w:after="120" w:line="276" w:lineRule="auto"/>
        <w:jc w:val="both"/>
        <w:rPr>
          <w:rFonts w:asciiTheme="minorHAnsi" w:hAnsiTheme="minorHAnsi" w:cstheme="minorHAnsi"/>
          <w:lang w:val="en-GB"/>
        </w:rPr>
      </w:pPr>
      <w:r w:rsidRPr="00891780">
        <w:rPr>
          <w:rFonts w:asciiTheme="minorHAnsi" w:hAnsiTheme="minorHAnsi" w:cstheme="minorHAnsi"/>
          <w:b/>
          <w:sz w:val="22"/>
          <w:szCs w:val="22"/>
          <w:lang w:val="en-GB"/>
        </w:rPr>
        <w:t>The Management Board</w:t>
      </w:r>
      <w:r w:rsidRPr="00891780">
        <w:rPr>
          <w:rFonts w:asciiTheme="minorHAnsi" w:hAnsiTheme="minorHAnsi" w:cstheme="minorHAnsi"/>
          <w:sz w:val="22"/>
          <w:szCs w:val="22"/>
          <w:lang w:val="en-GB"/>
        </w:rPr>
        <w:t xml:space="preserve"> represents HBOR, conducts HBOR’s business and administers its assets, and is obliged and authorised to undertake all actions and pass all resolutions it considers necessary for the legal and successful conduct of business. The powers of the Management Board also include adopting normative acts that determine the manner of operations and the internal organisation of HBOR, adopting loan programmes, making individual loan approval decisions and decisions on other financial transactions, making decisions on the appointment and dismissal of employees with special powers, making decisions on the rights and obligations of employees and reporting to the Supervisory Board</w:t>
      </w:r>
      <w:r w:rsidR="00054989" w:rsidRPr="00891780">
        <w:rPr>
          <w:rStyle w:val="Zadanifontodlomka1"/>
          <w:rFonts w:asciiTheme="minorHAnsi" w:eastAsia="SimSun" w:hAnsiTheme="minorHAnsi" w:cstheme="minorHAnsi"/>
          <w:sz w:val="22"/>
          <w:szCs w:val="22"/>
          <w:lang w:val="en-GB"/>
        </w:rPr>
        <w:t>.</w:t>
      </w:r>
    </w:p>
    <w:p w14:paraId="1748D713" w14:textId="4BD0359E" w:rsidR="00382CF2" w:rsidRPr="00891780" w:rsidRDefault="00225242"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 xml:space="preserve">Members of the Management Board of HBOR in </w:t>
      </w:r>
      <w:r w:rsidR="00054989" w:rsidRPr="00891780">
        <w:rPr>
          <w:rFonts w:asciiTheme="minorHAnsi" w:eastAsia="SimSun" w:hAnsiTheme="minorHAnsi" w:cstheme="minorHAnsi"/>
          <w:sz w:val="22"/>
          <w:szCs w:val="22"/>
          <w:lang w:val="en-GB"/>
        </w:rPr>
        <w:t>2022:</w:t>
      </w:r>
    </w:p>
    <w:p w14:paraId="1748D714" w14:textId="3F80B34F" w:rsidR="00382CF2" w:rsidRPr="00891780" w:rsidRDefault="00054989" w:rsidP="000B677E">
      <w:pPr>
        <w:numPr>
          <w:ilvl w:val="0"/>
          <w:numId w:val="7"/>
        </w:numPr>
        <w:spacing w:before="120" w:after="120" w:line="276" w:lineRule="auto"/>
        <w:jc w:val="both"/>
        <w:rPr>
          <w:rFonts w:asciiTheme="minorHAnsi" w:eastAsia="SimSun" w:hAnsiTheme="minorHAnsi" w:cstheme="minorHAnsi"/>
          <w:sz w:val="22"/>
          <w:szCs w:val="22"/>
          <w:lang w:val="en-GB"/>
        </w:rPr>
      </w:pPr>
      <w:r w:rsidRPr="00891780">
        <w:rPr>
          <w:rFonts w:asciiTheme="minorHAnsi" w:eastAsia="SimSun" w:hAnsiTheme="minorHAnsi" w:cstheme="minorHAnsi"/>
          <w:sz w:val="22"/>
          <w:szCs w:val="22"/>
          <w:lang w:val="en-GB"/>
        </w:rPr>
        <w:t xml:space="preserve">Tamara Perko, </w:t>
      </w:r>
      <w:r w:rsidR="00C3558E" w:rsidRPr="00891780">
        <w:rPr>
          <w:rFonts w:asciiTheme="minorHAnsi" w:eastAsia="SimSun" w:hAnsiTheme="minorHAnsi" w:cstheme="minorHAnsi"/>
          <w:sz w:val="22"/>
          <w:szCs w:val="22"/>
          <w:lang w:val="en-GB"/>
        </w:rPr>
        <w:t xml:space="preserve">MSc, </w:t>
      </w:r>
      <w:r w:rsidR="00B821A8" w:rsidRPr="00891780">
        <w:rPr>
          <w:rFonts w:asciiTheme="minorHAnsi" w:hAnsiTheme="minorHAnsi" w:cstheme="minorHAnsi"/>
          <w:sz w:val="22"/>
          <w:szCs w:val="22"/>
          <w:lang w:val="en-GB"/>
        </w:rPr>
        <w:t>President of the Management Board</w:t>
      </w:r>
      <w:r w:rsidRPr="00891780">
        <w:rPr>
          <w:rFonts w:asciiTheme="minorHAnsi" w:eastAsia="SimSun" w:hAnsiTheme="minorHAnsi" w:cstheme="minorHAnsi"/>
          <w:sz w:val="22"/>
          <w:szCs w:val="22"/>
          <w:lang w:val="en-GB"/>
        </w:rPr>
        <w:t>, (</w:t>
      </w:r>
      <w:r w:rsidR="00B056A2" w:rsidRPr="00891780">
        <w:rPr>
          <w:rFonts w:asciiTheme="minorHAnsi" w:eastAsia="SimSun" w:hAnsiTheme="minorHAnsi" w:cstheme="minorHAnsi"/>
          <w:sz w:val="22"/>
          <w:szCs w:val="22"/>
          <w:lang w:val="en-GB"/>
        </w:rPr>
        <w:t>in office until</w:t>
      </w:r>
      <w:r w:rsidRPr="00891780">
        <w:rPr>
          <w:rFonts w:asciiTheme="minorHAnsi" w:eastAsia="SimSun" w:hAnsiTheme="minorHAnsi" w:cstheme="minorHAnsi"/>
          <w:sz w:val="22"/>
          <w:szCs w:val="22"/>
          <w:lang w:val="en-GB"/>
        </w:rPr>
        <w:t xml:space="preserve"> 16</w:t>
      </w:r>
      <w:r w:rsidR="00B056A2" w:rsidRPr="00891780">
        <w:rPr>
          <w:rFonts w:asciiTheme="minorHAnsi" w:eastAsia="SimSun" w:hAnsiTheme="minorHAnsi" w:cstheme="minorHAnsi"/>
          <w:sz w:val="22"/>
          <w:szCs w:val="22"/>
          <w:lang w:val="en-GB"/>
        </w:rPr>
        <w:t xml:space="preserve"> October</w:t>
      </w:r>
      <w:r w:rsidRPr="00891780">
        <w:rPr>
          <w:rFonts w:asciiTheme="minorHAnsi" w:eastAsia="SimSun" w:hAnsiTheme="minorHAnsi" w:cstheme="minorHAnsi"/>
          <w:sz w:val="22"/>
          <w:szCs w:val="22"/>
          <w:lang w:val="en-GB"/>
        </w:rPr>
        <w:t xml:space="preserve"> 2022)</w:t>
      </w:r>
    </w:p>
    <w:p w14:paraId="1748D715" w14:textId="28E437E6" w:rsidR="00382CF2" w:rsidRPr="00891780" w:rsidRDefault="00054989" w:rsidP="000B677E">
      <w:pPr>
        <w:numPr>
          <w:ilvl w:val="0"/>
          <w:numId w:val="7"/>
        </w:numPr>
        <w:spacing w:before="120" w:after="120" w:line="276" w:lineRule="auto"/>
        <w:jc w:val="both"/>
        <w:rPr>
          <w:rFonts w:asciiTheme="minorHAnsi" w:eastAsia="SimSun" w:hAnsiTheme="minorHAnsi" w:cstheme="minorHAnsi"/>
          <w:sz w:val="22"/>
          <w:szCs w:val="22"/>
          <w:lang w:val="en-GB"/>
        </w:rPr>
      </w:pPr>
      <w:r w:rsidRPr="00891780">
        <w:rPr>
          <w:rFonts w:asciiTheme="minorHAnsi" w:eastAsia="SimSun" w:hAnsiTheme="minorHAnsi" w:cstheme="minorHAnsi"/>
          <w:sz w:val="22"/>
          <w:szCs w:val="22"/>
          <w:lang w:val="en-GB"/>
        </w:rPr>
        <w:t xml:space="preserve">Hrvoje Čuvalo, </w:t>
      </w:r>
      <w:r w:rsidR="00610CD6" w:rsidRPr="00891780">
        <w:rPr>
          <w:rFonts w:asciiTheme="minorHAnsi" w:eastAsia="SimSun" w:hAnsiTheme="minorHAnsi" w:cstheme="minorHAnsi"/>
          <w:sz w:val="22"/>
          <w:szCs w:val="22"/>
          <w:lang w:val="en-GB"/>
        </w:rPr>
        <w:t>MSc, Member of the Management Board</w:t>
      </w:r>
      <w:r w:rsidRPr="00891780">
        <w:rPr>
          <w:rFonts w:asciiTheme="minorHAnsi" w:eastAsia="SimSun" w:hAnsiTheme="minorHAnsi" w:cstheme="minorHAnsi"/>
          <w:sz w:val="22"/>
          <w:szCs w:val="22"/>
          <w:lang w:val="en-GB"/>
        </w:rPr>
        <w:t>, (</w:t>
      </w:r>
      <w:r w:rsidR="00610CD6" w:rsidRPr="00891780">
        <w:rPr>
          <w:rFonts w:asciiTheme="minorHAnsi" w:eastAsia="SimSun" w:hAnsiTheme="minorHAnsi" w:cstheme="minorHAnsi"/>
          <w:sz w:val="22"/>
          <w:szCs w:val="22"/>
          <w:lang w:val="en-GB"/>
        </w:rPr>
        <w:t>in office until</w:t>
      </w:r>
      <w:r w:rsidRPr="00891780">
        <w:rPr>
          <w:rFonts w:asciiTheme="minorHAnsi" w:eastAsia="SimSun" w:hAnsiTheme="minorHAnsi" w:cstheme="minorHAnsi"/>
          <w:sz w:val="22"/>
          <w:szCs w:val="22"/>
          <w:lang w:val="en-GB"/>
        </w:rPr>
        <w:t xml:space="preserve"> 16</w:t>
      </w:r>
      <w:r w:rsidR="00610CD6" w:rsidRPr="00891780">
        <w:rPr>
          <w:rFonts w:asciiTheme="minorHAnsi" w:eastAsia="SimSun" w:hAnsiTheme="minorHAnsi" w:cstheme="minorHAnsi"/>
          <w:sz w:val="22"/>
          <w:szCs w:val="22"/>
          <w:lang w:val="en-GB"/>
        </w:rPr>
        <w:t xml:space="preserve"> October</w:t>
      </w:r>
      <w:r w:rsidRPr="00891780">
        <w:rPr>
          <w:rFonts w:asciiTheme="minorHAnsi" w:eastAsia="SimSun" w:hAnsiTheme="minorHAnsi" w:cstheme="minorHAnsi"/>
          <w:sz w:val="22"/>
          <w:szCs w:val="22"/>
          <w:lang w:val="en-GB"/>
        </w:rPr>
        <w:t xml:space="preserve"> 2022)</w:t>
      </w:r>
    </w:p>
    <w:p w14:paraId="1748D716" w14:textId="3AFCFDB8" w:rsidR="00382CF2" w:rsidRPr="00891780" w:rsidRDefault="00054989" w:rsidP="000B677E">
      <w:pPr>
        <w:numPr>
          <w:ilvl w:val="0"/>
          <w:numId w:val="7"/>
        </w:numPr>
        <w:spacing w:before="120" w:after="120" w:line="276" w:lineRule="auto"/>
        <w:jc w:val="both"/>
        <w:rPr>
          <w:rFonts w:asciiTheme="minorHAnsi" w:eastAsia="SimSun" w:hAnsiTheme="minorHAnsi" w:cstheme="minorHAnsi"/>
          <w:sz w:val="22"/>
          <w:szCs w:val="22"/>
          <w:lang w:val="en-GB"/>
        </w:rPr>
      </w:pPr>
      <w:r w:rsidRPr="00891780">
        <w:rPr>
          <w:rFonts w:asciiTheme="minorHAnsi" w:eastAsia="SimSun" w:hAnsiTheme="minorHAnsi" w:cstheme="minorHAnsi"/>
          <w:sz w:val="22"/>
          <w:szCs w:val="22"/>
          <w:lang w:val="en-GB"/>
        </w:rPr>
        <w:t xml:space="preserve">Hrvoje Čuvalo, </w:t>
      </w:r>
      <w:r w:rsidR="00610CD6" w:rsidRPr="00891780">
        <w:rPr>
          <w:rFonts w:asciiTheme="minorHAnsi" w:eastAsia="SimSun" w:hAnsiTheme="minorHAnsi" w:cstheme="minorHAnsi"/>
          <w:sz w:val="22"/>
          <w:szCs w:val="22"/>
          <w:lang w:val="en-GB"/>
        </w:rPr>
        <w:t>MSc, President of the Manage</w:t>
      </w:r>
      <w:r w:rsidR="00BF5AEE" w:rsidRPr="00891780">
        <w:rPr>
          <w:rFonts w:asciiTheme="minorHAnsi" w:eastAsia="SimSun" w:hAnsiTheme="minorHAnsi" w:cstheme="minorHAnsi"/>
          <w:sz w:val="22"/>
          <w:szCs w:val="22"/>
          <w:lang w:val="en-GB"/>
        </w:rPr>
        <w:t>ment Board</w:t>
      </w:r>
      <w:r w:rsidRPr="00891780">
        <w:rPr>
          <w:rFonts w:asciiTheme="minorHAnsi" w:eastAsia="SimSun" w:hAnsiTheme="minorHAnsi" w:cstheme="minorHAnsi"/>
          <w:sz w:val="22"/>
          <w:szCs w:val="22"/>
          <w:lang w:val="en-GB"/>
        </w:rPr>
        <w:t>, (</w:t>
      </w:r>
      <w:r w:rsidR="00BF5AEE" w:rsidRPr="00891780">
        <w:rPr>
          <w:rFonts w:asciiTheme="minorHAnsi" w:eastAsia="SimSun" w:hAnsiTheme="minorHAnsi" w:cstheme="minorHAnsi"/>
          <w:sz w:val="22"/>
          <w:szCs w:val="22"/>
          <w:lang w:val="en-GB"/>
        </w:rPr>
        <w:t xml:space="preserve">in office </w:t>
      </w:r>
      <w:r w:rsidR="00C31DEB" w:rsidRPr="00891780">
        <w:rPr>
          <w:rFonts w:asciiTheme="minorHAnsi" w:eastAsia="SimSun" w:hAnsiTheme="minorHAnsi" w:cstheme="minorHAnsi"/>
          <w:sz w:val="22"/>
          <w:szCs w:val="22"/>
          <w:lang w:val="en-GB"/>
        </w:rPr>
        <w:t>since</w:t>
      </w:r>
      <w:r w:rsidRPr="00891780">
        <w:rPr>
          <w:rFonts w:asciiTheme="minorHAnsi" w:eastAsia="SimSun" w:hAnsiTheme="minorHAnsi" w:cstheme="minorHAnsi"/>
          <w:sz w:val="22"/>
          <w:szCs w:val="22"/>
          <w:lang w:val="en-GB"/>
        </w:rPr>
        <w:t xml:space="preserve"> 24</w:t>
      </w:r>
      <w:r w:rsidR="00BF5AEE" w:rsidRPr="00891780">
        <w:rPr>
          <w:rFonts w:asciiTheme="minorHAnsi" w:eastAsia="SimSun" w:hAnsiTheme="minorHAnsi" w:cstheme="minorHAnsi"/>
          <w:sz w:val="22"/>
          <w:szCs w:val="22"/>
          <w:lang w:val="en-GB"/>
        </w:rPr>
        <w:t xml:space="preserve"> October</w:t>
      </w:r>
      <w:r w:rsidRPr="00891780">
        <w:rPr>
          <w:rFonts w:asciiTheme="minorHAnsi" w:eastAsia="SimSun" w:hAnsiTheme="minorHAnsi" w:cstheme="minorHAnsi"/>
          <w:sz w:val="22"/>
          <w:szCs w:val="22"/>
          <w:lang w:val="en-GB"/>
        </w:rPr>
        <w:t xml:space="preserve"> 2022)</w:t>
      </w:r>
    </w:p>
    <w:p w14:paraId="1748D717" w14:textId="2F6FE564" w:rsidR="00382CF2" w:rsidRPr="00891780" w:rsidRDefault="00054989" w:rsidP="000B677E">
      <w:pPr>
        <w:numPr>
          <w:ilvl w:val="0"/>
          <w:numId w:val="8"/>
        </w:numPr>
        <w:spacing w:before="120" w:after="120" w:line="276" w:lineRule="auto"/>
        <w:jc w:val="both"/>
        <w:rPr>
          <w:rFonts w:asciiTheme="minorHAnsi" w:eastAsia="SimSun" w:hAnsiTheme="minorHAnsi" w:cstheme="minorHAnsi"/>
          <w:sz w:val="22"/>
          <w:szCs w:val="22"/>
          <w:lang w:val="en-GB"/>
        </w:rPr>
      </w:pPr>
      <w:r w:rsidRPr="00891780">
        <w:rPr>
          <w:rFonts w:asciiTheme="minorHAnsi" w:eastAsia="SimSun" w:hAnsiTheme="minorHAnsi" w:cstheme="minorHAnsi"/>
          <w:sz w:val="22"/>
          <w:szCs w:val="22"/>
          <w:lang w:val="en-GB"/>
        </w:rPr>
        <w:t xml:space="preserve">Alan Herjavec, </w:t>
      </w:r>
      <w:r w:rsidR="00C31DEB" w:rsidRPr="00891780">
        <w:rPr>
          <w:rFonts w:asciiTheme="minorHAnsi" w:eastAsia="SimSun" w:hAnsiTheme="minorHAnsi" w:cstheme="minorHAnsi"/>
          <w:sz w:val="22"/>
          <w:szCs w:val="22"/>
          <w:lang w:val="en-GB"/>
        </w:rPr>
        <w:t>MSc, Member of the Management Board</w:t>
      </w:r>
      <w:r w:rsidRPr="00891780">
        <w:rPr>
          <w:rFonts w:asciiTheme="minorHAnsi" w:eastAsia="SimSun" w:hAnsiTheme="minorHAnsi" w:cstheme="minorHAnsi"/>
          <w:sz w:val="22"/>
          <w:szCs w:val="22"/>
          <w:lang w:val="en-GB"/>
        </w:rPr>
        <w:t>, (</w:t>
      </w:r>
      <w:r w:rsidR="00C31DEB" w:rsidRPr="00891780">
        <w:rPr>
          <w:rFonts w:asciiTheme="minorHAnsi" w:eastAsia="SimSun" w:hAnsiTheme="minorHAnsi" w:cstheme="minorHAnsi"/>
          <w:sz w:val="22"/>
          <w:szCs w:val="22"/>
          <w:lang w:val="en-GB"/>
        </w:rPr>
        <w:t>in office since</w:t>
      </w:r>
      <w:r w:rsidRPr="00891780">
        <w:rPr>
          <w:rFonts w:asciiTheme="minorHAnsi" w:eastAsia="SimSun" w:hAnsiTheme="minorHAnsi" w:cstheme="minorHAnsi"/>
          <w:sz w:val="22"/>
          <w:szCs w:val="22"/>
          <w:lang w:val="en-GB"/>
        </w:rPr>
        <w:t xml:space="preserve"> 24</w:t>
      </w:r>
      <w:r w:rsidR="00C31DEB" w:rsidRPr="00891780">
        <w:rPr>
          <w:rFonts w:asciiTheme="minorHAnsi" w:eastAsia="SimSun" w:hAnsiTheme="minorHAnsi" w:cstheme="minorHAnsi"/>
          <w:sz w:val="22"/>
          <w:szCs w:val="22"/>
          <w:lang w:val="en-GB"/>
        </w:rPr>
        <w:t xml:space="preserve"> October</w:t>
      </w:r>
      <w:r w:rsidRPr="00891780">
        <w:rPr>
          <w:rFonts w:asciiTheme="minorHAnsi" w:eastAsia="SimSun" w:hAnsiTheme="minorHAnsi" w:cstheme="minorHAnsi"/>
          <w:sz w:val="22"/>
          <w:szCs w:val="22"/>
          <w:lang w:val="en-GB"/>
        </w:rPr>
        <w:t xml:space="preserve"> 2022)</w:t>
      </w:r>
    </w:p>
    <w:p w14:paraId="1748D718" w14:textId="3C3FCE68" w:rsidR="00382CF2" w:rsidRPr="00891780" w:rsidRDefault="00054989" w:rsidP="000B677E">
      <w:pPr>
        <w:numPr>
          <w:ilvl w:val="0"/>
          <w:numId w:val="8"/>
        </w:numPr>
        <w:spacing w:before="120" w:after="120" w:line="276" w:lineRule="auto"/>
        <w:jc w:val="both"/>
        <w:rPr>
          <w:rFonts w:asciiTheme="minorHAnsi" w:eastAsia="SimSun" w:hAnsiTheme="minorHAnsi" w:cstheme="minorHAnsi"/>
          <w:sz w:val="22"/>
          <w:szCs w:val="22"/>
          <w:lang w:val="en-GB"/>
        </w:rPr>
      </w:pPr>
      <w:r w:rsidRPr="00891780">
        <w:rPr>
          <w:rFonts w:asciiTheme="minorHAnsi" w:eastAsia="SimSun" w:hAnsiTheme="minorHAnsi" w:cstheme="minorHAnsi"/>
          <w:sz w:val="22"/>
          <w:szCs w:val="22"/>
          <w:lang w:val="en-GB"/>
        </w:rPr>
        <w:t xml:space="preserve">Josip Pavković, </w:t>
      </w:r>
      <w:r w:rsidR="00C31DEB" w:rsidRPr="00891780">
        <w:rPr>
          <w:rFonts w:asciiTheme="minorHAnsi" w:eastAsia="SimSun" w:hAnsiTheme="minorHAnsi" w:cstheme="minorHAnsi"/>
          <w:sz w:val="22"/>
          <w:szCs w:val="22"/>
          <w:lang w:val="en-GB"/>
        </w:rPr>
        <w:t>Member of the Management Board</w:t>
      </w:r>
      <w:r w:rsidRPr="00891780">
        <w:rPr>
          <w:rFonts w:asciiTheme="minorHAnsi" w:eastAsia="SimSun" w:hAnsiTheme="minorHAnsi" w:cstheme="minorHAnsi"/>
          <w:sz w:val="22"/>
          <w:szCs w:val="22"/>
          <w:lang w:val="en-GB"/>
        </w:rPr>
        <w:t>, (</w:t>
      </w:r>
      <w:r w:rsidR="00C31DEB" w:rsidRPr="00891780">
        <w:rPr>
          <w:rFonts w:asciiTheme="minorHAnsi" w:eastAsia="SimSun" w:hAnsiTheme="minorHAnsi" w:cstheme="minorHAnsi"/>
          <w:sz w:val="22"/>
          <w:szCs w:val="22"/>
          <w:lang w:val="en-GB"/>
        </w:rPr>
        <w:t>in office since</w:t>
      </w:r>
      <w:r w:rsidRPr="00891780">
        <w:rPr>
          <w:rFonts w:asciiTheme="minorHAnsi" w:eastAsia="SimSun" w:hAnsiTheme="minorHAnsi" w:cstheme="minorHAnsi"/>
          <w:sz w:val="22"/>
          <w:szCs w:val="22"/>
          <w:lang w:val="en-GB"/>
        </w:rPr>
        <w:t xml:space="preserve"> 24</w:t>
      </w:r>
      <w:r w:rsidR="00C31DEB" w:rsidRPr="00891780">
        <w:rPr>
          <w:rFonts w:asciiTheme="minorHAnsi" w:eastAsia="SimSun" w:hAnsiTheme="minorHAnsi" w:cstheme="minorHAnsi"/>
          <w:sz w:val="22"/>
          <w:szCs w:val="22"/>
          <w:lang w:val="en-GB"/>
        </w:rPr>
        <w:t xml:space="preserve"> October</w:t>
      </w:r>
      <w:r w:rsidRPr="00891780">
        <w:rPr>
          <w:rFonts w:asciiTheme="minorHAnsi" w:eastAsia="SimSun" w:hAnsiTheme="minorHAnsi" w:cstheme="minorHAnsi"/>
          <w:sz w:val="22"/>
          <w:szCs w:val="22"/>
          <w:lang w:val="en-GB"/>
        </w:rPr>
        <w:t xml:space="preserve"> 2022)</w:t>
      </w:r>
    </w:p>
    <w:p w14:paraId="1748D719" w14:textId="6EBB6DCB" w:rsidR="00382CF2" w:rsidRPr="00891780" w:rsidRDefault="00FE7581"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 xml:space="preserve">On the basis of HBOR’s Code of Corporate Governance and the Audit Act, the Audit Committee of HBOR has been established pursuant to a decision of the Supervisory Board. The Audit Committee is comprised of three members, one of whom is appointed from among the members of the Supervisory Board of HBOR and the other two, at least one of whom must be an independent member, are </w:t>
      </w:r>
      <w:r w:rsidRPr="00891780">
        <w:rPr>
          <w:rFonts w:asciiTheme="minorHAnsi" w:hAnsiTheme="minorHAnsi" w:cstheme="minorHAnsi"/>
          <w:sz w:val="22"/>
          <w:szCs w:val="22"/>
          <w:lang w:val="en-GB"/>
        </w:rPr>
        <w:lastRenderedPageBreak/>
        <w:t>appointed by the Supervisory Board. The President is appointed by the Supervisory Board from among the independent members of the Audit Committee</w:t>
      </w:r>
      <w:r w:rsidR="00054989" w:rsidRPr="00891780">
        <w:rPr>
          <w:rFonts w:asciiTheme="minorHAnsi" w:eastAsia="SimSun" w:hAnsiTheme="minorHAnsi" w:cstheme="minorHAnsi"/>
          <w:sz w:val="22"/>
          <w:szCs w:val="22"/>
          <w:lang w:val="en-GB"/>
        </w:rPr>
        <w:t>.</w:t>
      </w:r>
    </w:p>
    <w:p w14:paraId="1748D71A" w14:textId="740EB9E0" w:rsidR="00382CF2" w:rsidRPr="00891780" w:rsidRDefault="0076154F" w:rsidP="000B677E">
      <w:pPr>
        <w:spacing w:before="120" w:after="120" w:line="276" w:lineRule="auto"/>
        <w:jc w:val="both"/>
        <w:rPr>
          <w:rFonts w:asciiTheme="minorHAnsi" w:hAnsiTheme="minorHAnsi" w:cstheme="minorHAnsi"/>
          <w:lang w:val="en-GB"/>
        </w:rPr>
      </w:pPr>
      <w:r w:rsidRPr="00891780">
        <w:rPr>
          <w:rStyle w:val="Zadanifontodlomka1"/>
          <w:rFonts w:asciiTheme="minorHAnsi" w:eastAsia="SimSun" w:hAnsiTheme="minorHAnsi" w:cstheme="minorHAnsi"/>
          <w:sz w:val="22"/>
          <w:szCs w:val="22"/>
          <w:lang w:val="en-GB"/>
        </w:rPr>
        <w:t>In</w:t>
      </w:r>
      <w:r w:rsidR="00054989" w:rsidRPr="00891780">
        <w:rPr>
          <w:rStyle w:val="Zadanifontodlomka1"/>
          <w:rFonts w:asciiTheme="minorHAnsi" w:eastAsia="SimSun" w:hAnsiTheme="minorHAnsi" w:cstheme="minorHAnsi"/>
          <w:sz w:val="22"/>
          <w:szCs w:val="22"/>
          <w:lang w:val="en-GB"/>
        </w:rPr>
        <w:t xml:space="preserve"> 2022</w:t>
      </w:r>
      <w:r w:rsidRPr="00891780">
        <w:rPr>
          <w:rStyle w:val="Zadanifontodlomka1"/>
          <w:rFonts w:asciiTheme="minorHAnsi" w:eastAsia="SimSun" w:hAnsiTheme="minorHAnsi" w:cstheme="minorHAnsi"/>
          <w:sz w:val="22"/>
          <w:szCs w:val="22"/>
          <w:lang w:val="en-GB"/>
        </w:rPr>
        <w:t>,</w:t>
      </w:r>
      <w:r w:rsidR="00054989" w:rsidRPr="00891780">
        <w:rPr>
          <w:rStyle w:val="Zadanifontodlomka1"/>
          <w:rFonts w:asciiTheme="minorHAnsi" w:eastAsia="SimSun" w:hAnsiTheme="minorHAnsi" w:cstheme="minorHAnsi"/>
          <w:sz w:val="22"/>
          <w:szCs w:val="22"/>
          <w:lang w:val="en-GB"/>
        </w:rPr>
        <w:t xml:space="preserve"> </w:t>
      </w:r>
      <w:r w:rsidR="00915D85" w:rsidRPr="00891780">
        <w:rPr>
          <w:rFonts w:asciiTheme="minorHAnsi" w:hAnsiTheme="minorHAnsi" w:cstheme="minorHAnsi"/>
          <w:sz w:val="22"/>
          <w:szCs w:val="22"/>
          <w:lang w:val="en-GB"/>
        </w:rPr>
        <w:t xml:space="preserve">members of the </w:t>
      </w:r>
      <w:r w:rsidR="00915D85" w:rsidRPr="00891780">
        <w:rPr>
          <w:rFonts w:asciiTheme="minorHAnsi" w:hAnsiTheme="minorHAnsi" w:cstheme="minorHAnsi"/>
          <w:b/>
          <w:bCs/>
          <w:sz w:val="22"/>
          <w:szCs w:val="22"/>
          <w:lang w:val="en-GB"/>
        </w:rPr>
        <w:t>Audit Committee</w:t>
      </w:r>
      <w:r w:rsidR="00915D85" w:rsidRPr="00891780">
        <w:rPr>
          <w:rFonts w:asciiTheme="minorHAnsi" w:hAnsiTheme="minorHAnsi" w:cstheme="minorHAnsi"/>
          <w:sz w:val="22"/>
          <w:szCs w:val="22"/>
          <w:lang w:val="en-GB"/>
        </w:rPr>
        <w:t xml:space="preserve"> of HBOR were</w:t>
      </w:r>
      <w:r w:rsidR="00054989" w:rsidRPr="00891780">
        <w:rPr>
          <w:rStyle w:val="Zadanifontodlomka1"/>
          <w:rFonts w:asciiTheme="minorHAnsi" w:eastAsia="SimSun" w:hAnsiTheme="minorHAnsi" w:cstheme="minorHAnsi"/>
          <w:sz w:val="22"/>
          <w:szCs w:val="22"/>
          <w:lang w:val="en-GB"/>
        </w:rPr>
        <w:t>:</w:t>
      </w:r>
    </w:p>
    <w:p w14:paraId="1748D71B" w14:textId="7AD779C0" w:rsidR="00382CF2" w:rsidRPr="00891780" w:rsidRDefault="00915D85" w:rsidP="000B677E">
      <w:pPr>
        <w:numPr>
          <w:ilvl w:val="0"/>
          <w:numId w:val="9"/>
        </w:numPr>
        <w:spacing w:before="120" w:after="120" w:line="276" w:lineRule="auto"/>
        <w:jc w:val="both"/>
        <w:rPr>
          <w:rFonts w:asciiTheme="minorHAnsi" w:eastAsia="SimSun" w:hAnsiTheme="minorHAnsi" w:cstheme="minorHAnsi"/>
          <w:sz w:val="22"/>
          <w:szCs w:val="22"/>
          <w:lang w:val="en-GB"/>
        </w:rPr>
      </w:pPr>
      <w:proofErr w:type="spellStart"/>
      <w:r w:rsidRPr="00891780">
        <w:rPr>
          <w:rFonts w:asciiTheme="minorHAnsi" w:eastAsia="SimSun" w:hAnsiTheme="minorHAnsi" w:cstheme="minorHAnsi"/>
          <w:sz w:val="22"/>
          <w:szCs w:val="22"/>
          <w:lang w:val="en-GB"/>
        </w:rPr>
        <w:t>Prof</w:t>
      </w:r>
      <w:r w:rsidR="00054989" w:rsidRPr="00891780">
        <w:rPr>
          <w:rFonts w:asciiTheme="minorHAnsi" w:eastAsia="SimSun" w:hAnsiTheme="minorHAnsi" w:cstheme="minorHAnsi"/>
          <w:sz w:val="22"/>
          <w:szCs w:val="22"/>
          <w:lang w:val="en-GB"/>
        </w:rPr>
        <w:t>.</w:t>
      </w:r>
      <w:r w:rsidR="00D00857" w:rsidRPr="00891780">
        <w:rPr>
          <w:rFonts w:asciiTheme="minorHAnsi" w:eastAsia="SimSun" w:hAnsiTheme="minorHAnsi" w:cstheme="minorHAnsi"/>
          <w:sz w:val="22"/>
          <w:szCs w:val="22"/>
          <w:lang w:val="en-GB"/>
        </w:rPr>
        <w:t>DSc</w:t>
      </w:r>
      <w:proofErr w:type="spellEnd"/>
      <w:r w:rsidR="00054989" w:rsidRPr="00891780">
        <w:rPr>
          <w:rFonts w:asciiTheme="minorHAnsi" w:eastAsia="SimSun" w:hAnsiTheme="minorHAnsi" w:cstheme="minorHAnsi"/>
          <w:sz w:val="22"/>
          <w:szCs w:val="22"/>
          <w:lang w:val="en-GB"/>
        </w:rPr>
        <w:t xml:space="preserve">. </w:t>
      </w:r>
      <w:proofErr w:type="spellStart"/>
      <w:r w:rsidR="00D00857" w:rsidRPr="00891780">
        <w:rPr>
          <w:rFonts w:asciiTheme="minorHAnsi" w:eastAsia="SimSun" w:hAnsiTheme="minorHAnsi" w:cstheme="minorHAnsi"/>
          <w:sz w:val="22"/>
          <w:szCs w:val="22"/>
          <w:lang w:val="en-GB"/>
        </w:rPr>
        <w:t>L</w:t>
      </w:r>
      <w:r w:rsidR="00054989" w:rsidRPr="00891780">
        <w:rPr>
          <w:rFonts w:asciiTheme="minorHAnsi" w:eastAsia="SimSun" w:hAnsiTheme="minorHAnsi" w:cstheme="minorHAnsi"/>
          <w:sz w:val="22"/>
          <w:szCs w:val="22"/>
          <w:lang w:val="en-GB"/>
        </w:rPr>
        <w:t>ajoš</w:t>
      </w:r>
      <w:proofErr w:type="spellEnd"/>
      <w:r w:rsidR="00054989" w:rsidRPr="00891780">
        <w:rPr>
          <w:rFonts w:asciiTheme="minorHAnsi" w:eastAsia="SimSun" w:hAnsiTheme="minorHAnsi" w:cstheme="minorHAnsi"/>
          <w:sz w:val="22"/>
          <w:szCs w:val="22"/>
          <w:lang w:val="en-GB"/>
        </w:rPr>
        <w:t xml:space="preserve"> </w:t>
      </w:r>
      <w:proofErr w:type="spellStart"/>
      <w:r w:rsidR="00054989" w:rsidRPr="00891780">
        <w:rPr>
          <w:rFonts w:asciiTheme="minorHAnsi" w:eastAsia="SimSun" w:hAnsiTheme="minorHAnsi" w:cstheme="minorHAnsi"/>
          <w:sz w:val="22"/>
          <w:szCs w:val="22"/>
          <w:lang w:val="en-GB"/>
        </w:rPr>
        <w:t>Žager</w:t>
      </w:r>
      <w:proofErr w:type="spellEnd"/>
      <w:r w:rsidR="00054989" w:rsidRPr="00891780">
        <w:rPr>
          <w:rFonts w:asciiTheme="minorHAnsi" w:eastAsia="SimSun" w:hAnsiTheme="minorHAnsi" w:cstheme="minorHAnsi"/>
          <w:sz w:val="22"/>
          <w:szCs w:val="22"/>
          <w:lang w:val="en-GB"/>
        </w:rPr>
        <w:t xml:space="preserve">, </w:t>
      </w:r>
      <w:r w:rsidR="00A92D3A" w:rsidRPr="00891780">
        <w:rPr>
          <w:rFonts w:asciiTheme="minorHAnsi" w:hAnsiTheme="minorHAnsi" w:cstheme="minorHAnsi"/>
          <w:sz w:val="22"/>
          <w:szCs w:val="22"/>
          <w:lang w:val="en-GB"/>
        </w:rPr>
        <w:t>Full Professor, Department of Accounting, Faculty of Economics and Business of the University of Zagreb, Chairman of the Audit Committee</w:t>
      </w:r>
      <w:r w:rsidR="00054989" w:rsidRPr="00891780">
        <w:rPr>
          <w:rFonts w:asciiTheme="minorHAnsi" w:eastAsia="SimSun" w:hAnsiTheme="minorHAnsi" w:cstheme="minorHAnsi"/>
          <w:sz w:val="22"/>
          <w:szCs w:val="22"/>
          <w:lang w:val="en-GB"/>
        </w:rPr>
        <w:t>,</w:t>
      </w:r>
    </w:p>
    <w:p w14:paraId="1748D71C" w14:textId="54095DC0" w:rsidR="00382CF2" w:rsidRPr="00891780" w:rsidRDefault="00054989" w:rsidP="000B677E">
      <w:pPr>
        <w:numPr>
          <w:ilvl w:val="0"/>
          <w:numId w:val="10"/>
        </w:numPr>
        <w:spacing w:before="120" w:after="120" w:line="276" w:lineRule="auto"/>
        <w:jc w:val="both"/>
        <w:rPr>
          <w:rFonts w:asciiTheme="minorHAnsi" w:eastAsia="SimSun" w:hAnsiTheme="minorHAnsi" w:cstheme="minorHAnsi"/>
          <w:sz w:val="22"/>
          <w:szCs w:val="22"/>
          <w:lang w:val="en-GB"/>
        </w:rPr>
      </w:pPr>
      <w:r w:rsidRPr="00891780">
        <w:rPr>
          <w:rFonts w:ascii="Calibri" w:eastAsia="SimSun" w:hAnsi="Calibri" w:cs="Calibri"/>
          <w:sz w:val="22"/>
          <w:szCs w:val="22"/>
          <w:lang w:val="en-GB"/>
        </w:rPr>
        <w:t xml:space="preserve">Predrag </w:t>
      </w:r>
      <w:proofErr w:type="spellStart"/>
      <w:r w:rsidRPr="00891780">
        <w:rPr>
          <w:rFonts w:ascii="Calibri" w:eastAsia="SimSun" w:hAnsi="Calibri" w:cs="Calibri"/>
          <w:sz w:val="22"/>
          <w:szCs w:val="22"/>
          <w:lang w:val="en-GB"/>
        </w:rPr>
        <w:t>Štromar</w:t>
      </w:r>
      <w:proofErr w:type="spellEnd"/>
      <w:r w:rsidRPr="00891780">
        <w:rPr>
          <w:rFonts w:asciiTheme="minorHAnsi" w:eastAsia="SimSun" w:hAnsiTheme="minorHAnsi" w:cstheme="minorHAnsi"/>
          <w:sz w:val="22"/>
          <w:szCs w:val="22"/>
          <w:lang w:val="en-GB"/>
        </w:rPr>
        <w:t xml:space="preserve">, </w:t>
      </w:r>
      <w:r w:rsidR="00A4206D" w:rsidRPr="00891780">
        <w:rPr>
          <w:rFonts w:asciiTheme="minorHAnsi" w:hAnsiTheme="minorHAnsi" w:cstheme="minorHAnsi"/>
          <w:sz w:val="22"/>
          <w:szCs w:val="22"/>
          <w:lang w:val="en-GB"/>
        </w:rPr>
        <w:t>Chairman of the Physical Planning and Construction Committee of the Croatian Parliament, member of the Audit Committee</w:t>
      </w:r>
      <w:r w:rsidRPr="00891780">
        <w:rPr>
          <w:rFonts w:asciiTheme="minorHAnsi" w:eastAsia="SimSun" w:hAnsiTheme="minorHAnsi" w:cstheme="minorHAnsi"/>
          <w:sz w:val="22"/>
          <w:szCs w:val="22"/>
          <w:lang w:val="en-GB"/>
        </w:rPr>
        <w:t>, </w:t>
      </w:r>
    </w:p>
    <w:p w14:paraId="1748D71D" w14:textId="65FB757F" w:rsidR="00382CF2" w:rsidRPr="00891780" w:rsidRDefault="0072763C" w:rsidP="000B677E">
      <w:pPr>
        <w:numPr>
          <w:ilvl w:val="0"/>
          <w:numId w:val="10"/>
        </w:numPr>
        <w:spacing w:before="120" w:after="120" w:line="276" w:lineRule="auto"/>
        <w:jc w:val="both"/>
        <w:rPr>
          <w:rFonts w:ascii="Calibri" w:eastAsia="SimSun" w:hAnsi="Calibri" w:cs="Calibri"/>
          <w:sz w:val="22"/>
          <w:szCs w:val="22"/>
          <w:lang w:val="en-GB"/>
        </w:rPr>
      </w:pPr>
      <w:proofErr w:type="spellStart"/>
      <w:r w:rsidRPr="00891780">
        <w:rPr>
          <w:rFonts w:ascii="Calibri" w:eastAsia="SimSun" w:hAnsi="Calibri" w:cs="Calibri"/>
          <w:sz w:val="22"/>
          <w:szCs w:val="22"/>
          <w:lang w:val="en-GB"/>
        </w:rPr>
        <w:t>Prof.DSc</w:t>
      </w:r>
      <w:proofErr w:type="spellEnd"/>
      <w:r w:rsidR="00054989" w:rsidRPr="00891780">
        <w:rPr>
          <w:rFonts w:ascii="Calibri" w:eastAsia="SimSun" w:hAnsi="Calibri" w:cs="Calibri"/>
          <w:sz w:val="22"/>
          <w:szCs w:val="22"/>
          <w:lang w:val="en-GB"/>
        </w:rPr>
        <w:t xml:space="preserve">. Boris </w:t>
      </w:r>
      <w:proofErr w:type="spellStart"/>
      <w:r w:rsidR="00054989" w:rsidRPr="00891780">
        <w:rPr>
          <w:rFonts w:ascii="Calibri" w:eastAsia="SimSun" w:hAnsi="Calibri" w:cs="Calibri"/>
          <w:sz w:val="22"/>
          <w:szCs w:val="22"/>
          <w:lang w:val="en-GB"/>
        </w:rPr>
        <w:t>Tušek</w:t>
      </w:r>
      <w:proofErr w:type="spellEnd"/>
      <w:r w:rsidR="00054989" w:rsidRPr="00891780">
        <w:rPr>
          <w:rFonts w:ascii="Calibri" w:eastAsia="SimSun" w:hAnsi="Calibri" w:cs="Calibri"/>
          <w:sz w:val="22"/>
          <w:szCs w:val="22"/>
          <w:lang w:val="en-GB"/>
        </w:rPr>
        <w:t xml:space="preserve">, </w:t>
      </w:r>
      <w:r w:rsidR="00FC3D76" w:rsidRPr="00891780">
        <w:rPr>
          <w:rFonts w:ascii="Calibri" w:eastAsia="SimSun" w:hAnsi="Calibri" w:cs="Calibri"/>
          <w:sz w:val="22"/>
          <w:szCs w:val="22"/>
          <w:lang w:val="en-GB"/>
        </w:rPr>
        <w:t>Full Professor,</w:t>
      </w:r>
      <w:r w:rsidR="00054989" w:rsidRPr="00891780">
        <w:rPr>
          <w:rFonts w:ascii="Calibri" w:eastAsia="SimSun" w:hAnsi="Calibri" w:cs="Calibri"/>
          <w:sz w:val="22"/>
          <w:szCs w:val="22"/>
          <w:lang w:val="en-GB"/>
        </w:rPr>
        <w:t xml:space="preserve"> </w:t>
      </w:r>
      <w:r w:rsidR="00A71D3B" w:rsidRPr="00891780">
        <w:rPr>
          <w:rFonts w:ascii="Calibri" w:eastAsia="SimSun" w:hAnsi="Calibri" w:cs="Calibri"/>
          <w:sz w:val="22"/>
          <w:szCs w:val="22"/>
          <w:lang w:val="en-GB"/>
        </w:rPr>
        <w:t>Department of Accounting, Faculty of Economics and Business</w:t>
      </w:r>
      <w:r w:rsidR="0062516A" w:rsidRPr="00891780">
        <w:rPr>
          <w:rFonts w:ascii="Calibri" w:eastAsia="SimSun" w:hAnsi="Calibri" w:cs="Calibri"/>
          <w:sz w:val="22"/>
          <w:szCs w:val="22"/>
          <w:lang w:val="en-GB"/>
        </w:rPr>
        <w:t xml:space="preserve"> of the University of Zagreb</w:t>
      </w:r>
      <w:r w:rsidR="00054989" w:rsidRPr="00891780">
        <w:rPr>
          <w:rFonts w:ascii="Calibri" w:eastAsia="SimSun" w:hAnsi="Calibri" w:cs="Calibri"/>
          <w:sz w:val="22"/>
          <w:szCs w:val="22"/>
          <w:lang w:val="en-GB"/>
        </w:rPr>
        <w:t xml:space="preserve">, </w:t>
      </w:r>
      <w:r w:rsidR="00321ED5" w:rsidRPr="00891780">
        <w:rPr>
          <w:rFonts w:ascii="Calibri" w:eastAsia="SimSun" w:hAnsi="Calibri" w:cs="Calibri"/>
          <w:sz w:val="22"/>
          <w:szCs w:val="22"/>
          <w:lang w:val="en-GB"/>
        </w:rPr>
        <w:t>member and Deputy Chairman of the Audit Committee (in office</w:t>
      </w:r>
      <w:r w:rsidR="00366EDA" w:rsidRPr="00891780">
        <w:rPr>
          <w:rFonts w:ascii="Calibri" w:eastAsia="SimSun" w:hAnsi="Calibri" w:cs="Calibri"/>
          <w:sz w:val="22"/>
          <w:szCs w:val="22"/>
          <w:lang w:val="en-GB"/>
        </w:rPr>
        <w:t xml:space="preserve"> since</w:t>
      </w:r>
      <w:r w:rsidR="00054989" w:rsidRPr="00891780">
        <w:rPr>
          <w:rFonts w:ascii="Calibri" w:eastAsia="SimSun" w:hAnsi="Calibri" w:cs="Calibri"/>
          <w:sz w:val="22"/>
          <w:szCs w:val="22"/>
          <w:lang w:val="en-GB"/>
        </w:rPr>
        <w:t xml:space="preserve"> 27</w:t>
      </w:r>
      <w:r w:rsidR="00366EDA" w:rsidRPr="00891780">
        <w:rPr>
          <w:rFonts w:ascii="Calibri" w:eastAsia="SimSun" w:hAnsi="Calibri" w:cs="Calibri"/>
          <w:sz w:val="22"/>
          <w:szCs w:val="22"/>
          <w:lang w:val="en-GB"/>
        </w:rPr>
        <w:t xml:space="preserve"> September</w:t>
      </w:r>
      <w:r w:rsidR="00054989" w:rsidRPr="00891780">
        <w:rPr>
          <w:rFonts w:ascii="Calibri" w:eastAsia="SimSun" w:hAnsi="Calibri" w:cs="Calibri"/>
          <w:sz w:val="22"/>
          <w:szCs w:val="22"/>
          <w:lang w:val="en-GB"/>
        </w:rPr>
        <w:t xml:space="preserve"> 2022).</w:t>
      </w:r>
    </w:p>
    <w:p w14:paraId="1748D71E" w14:textId="068BE3A0" w:rsidR="00382CF2" w:rsidRPr="00891780" w:rsidRDefault="00ED429F"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In order to ensure as effective and as high-quality risk management as possible and reduce the risks to the lowest level possible, the following committees operate under the Management Board: the Asset and Liabilit</w:t>
      </w:r>
      <w:r w:rsidR="00DD34F3">
        <w:rPr>
          <w:rFonts w:asciiTheme="minorHAnsi" w:hAnsiTheme="minorHAnsi" w:cstheme="minorHAnsi"/>
          <w:sz w:val="22"/>
          <w:szCs w:val="22"/>
          <w:lang w:val="en-GB"/>
        </w:rPr>
        <w:t>y</w:t>
      </w:r>
      <w:r w:rsidRPr="00891780">
        <w:rPr>
          <w:rFonts w:asciiTheme="minorHAnsi" w:hAnsiTheme="minorHAnsi" w:cstheme="minorHAnsi"/>
          <w:sz w:val="22"/>
          <w:szCs w:val="22"/>
          <w:lang w:val="en-GB"/>
        </w:rPr>
        <w:t xml:space="preserve"> Management Committee, the Credit Risk </w:t>
      </w:r>
      <w:r w:rsidR="00DD34F3">
        <w:rPr>
          <w:rFonts w:asciiTheme="minorHAnsi" w:hAnsiTheme="minorHAnsi" w:cstheme="minorHAnsi"/>
          <w:sz w:val="22"/>
          <w:szCs w:val="22"/>
          <w:lang w:val="en-GB"/>
        </w:rPr>
        <w:t xml:space="preserve">Assessment </w:t>
      </w:r>
      <w:r w:rsidRPr="00891780">
        <w:rPr>
          <w:rFonts w:asciiTheme="minorHAnsi" w:hAnsiTheme="minorHAnsi" w:cstheme="minorHAnsi"/>
          <w:sz w:val="22"/>
          <w:szCs w:val="22"/>
          <w:lang w:val="en-GB"/>
        </w:rPr>
        <w:t>and Measurement Committee, the Information System Management Committee and the Business Change Management Committee</w:t>
      </w:r>
      <w:r w:rsidR="00054989" w:rsidRPr="00891780">
        <w:rPr>
          <w:rFonts w:asciiTheme="minorHAnsi" w:eastAsia="SimSun" w:hAnsiTheme="minorHAnsi" w:cstheme="minorHAnsi"/>
          <w:sz w:val="22"/>
          <w:szCs w:val="22"/>
          <w:lang w:val="en-GB"/>
        </w:rPr>
        <w:t>.</w:t>
      </w:r>
    </w:p>
    <w:p w14:paraId="1748D71F" w14:textId="68DBB256" w:rsidR="00382CF2" w:rsidRPr="00891780" w:rsidRDefault="0051605D"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The internal control system of HBOR is organised through independent organisational units as follows</w:t>
      </w:r>
      <w:r w:rsidR="00054989" w:rsidRPr="00891780">
        <w:rPr>
          <w:rFonts w:asciiTheme="minorHAnsi" w:eastAsia="SimSun" w:hAnsiTheme="minorHAnsi" w:cstheme="minorHAnsi"/>
          <w:sz w:val="22"/>
          <w:szCs w:val="22"/>
          <w:lang w:val="en-GB"/>
        </w:rPr>
        <w:t>:</w:t>
      </w:r>
    </w:p>
    <w:p w14:paraId="1748D720" w14:textId="46E69CED" w:rsidR="00382CF2" w:rsidRPr="00891780" w:rsidRDefault="008171EF" w:rsidP="000B677E">
      <w:pPr>
        <w:numPr>
          <w:ilvl w:val="0"/>
          <w:numId w:val="9"/>
        </w:numPr>
        <w:spacing w:before="120" w:after="120" w:line="276" w:lineRule="auto"/>
        <w:jc w:val="both"/>
        <w:rPr>
          <w:rFonts w:asciiTheme="minorHAnsi" w:eastAsia="SimSun" w:hAnsiTheme="minorHAnsi" w:cstheme="minorHAnsi"/>
          <w:sz w:val="22"/>
          <w:szCs w:val="22"/>
          <w:lang w:val="en-GB"/>
        </w:rPr>
      </w:pPr>
      <w:r w:rsidRPr="00891780">
        <w:rPr>
          <w:rFonts w:ascii="Calibri" w:eastAsia="SimSun" w:hAnsi="Calibri" w:cs="Calibri"/>
          <w:sz w:val="22"/>
          <w:szCs w:val="22"/>
          <w:lang w:val="en-GB"/>
        </w:rPr>
        <w:t>Risk Management Division</w:t>
      </w:r>
      <w:r w:rsidR="00054989" w:rsidRPr="00891780">
        <w:rPr>
          <w:rFonts w:ascii="Calibri" w:eastAsia="SimSun" w:hAnsi="Calibri" w:cs="Calibri"/>
          <w:sz w:val="22"/>
          <w:szCs w:val="22"/>
          <w:lang w:val="en-GB"/>
        </w:rPr>
        <w:t xml:space="preserve"> </w:t>
      </w:r>
      <w:r w:rsidR="007A7DEF" w:rsidRPr="00891780">
        <w:rPr>
          <w:rFonts w:asciiTheme="minorHAnsi" w:hAnsiTheme="minorHAnsi" w:cstheme="minorHAnsi"/>
          <w:sz w:val="22"/>
          <w:szCs w:val="22"/>
          <w:lang w:val="en-GB" w:eastAsia="x-none"/>
        </w:rPr>
        <w:t xml:space="preserve">conducts the identification, assessment, measurement, supervision and control of all risks that HBOR is exposed or may be exposed to within the framework of its </w:t>
      </w:r>
      <w:r w:rsidR="007A7DEF" w:rsidRPr="00891780">
        <w:rPr>
          <w:rFonts w:asciiTheme="minorHAnsi" w:hAnsiTheme="minorHAnsi" w:cstheme="minorHAnsi"/>
          <w:sz w:val="22"/>
          <w:szCs w:val="22"/>
          <w:lang w:val="en-GB"/>
        </w:rPr>
        <w:t>operations and reports on them to the bodies in charge</w:t>
      </w:r>
      <w:r w:rsidR="00054989" w:rsidRPr="00891780">
        <w:rPr>
          <w:rFonts w:asciiTheme="minorHAnsi" w:eastAsia="SimSun" w:hAnsiTheme="minorHAnsi" w:cstheme="minorHAnsi"/>
          <w:sz w:val="22"/>
          <w:szCs w:val="22"/>
          <w:lang w:val="en-GB"/>
        </w:rPr>
        <w:t>,</w:t>
      </w:r>
    </w:p>
    <w:p w14:paraId="1748D721" w14:textId="53073A87" w:rsidR="00382CF2" w:rsidRPr="00891780" w:rsidRDefault="001461B2" w:rsidP="000B677E">
      <w:pPr>
        <w:numPr>
          <w:ilvl w:val="0"/>
          <w:numId w:val="9"/>
        </w:num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 xml:space="preserve">Internal Audit verifies the </w:t>
      </w:r>
      <w:r w:rsidRPr="00891780">
        <w:rPr>
          <w:rFonts w:asciiTheme="minorHAnsi" w:hAnsiTheme="minorHAnsi" w:cstheme="minorHAnsi"/>
          <w:sz w:val="22"/>
          <w:szCs w:val="22"/>
          <w:lang w:val="en-GB" w:eastAsia="x-none"/>
        </w:rPr>
        <w:t>adequacy of the risk management procedures and the internal control system, including risk control function and compliance function</w:t>
      </w:r>
      <w:r w:rsidRPr="00891780">
        <w:rPr>
          <w:rFonts w:asciiTheme="minorHAnsi" w:hAnsiTheme="minorHAnsi" w:cstheme="minorHAnsi"/>
          <w:sz w:val="22"/>
          <w:szCs w:val="22"/>
          <w:lang w:val="en-GB"/>
        </w:rPr>
        <w:t xml:space="preserve">, the application of </w:t>
      </w:r>
      <w:r w:rsidRPr="00891780">
        <w:rPr>
          <w:rFonts w:asciiTheme="minorHAnsi" w:hAnsiTheme="minorHAnsi" w:cstheme="minorHAnsi"/>
          <w:sz w:val="22"/>
          <w:szCs w:val="22"/>
          <w:lang w:val="en-GB" w:eastAsia="x-none"/>
        </w:rPr>
        <w:t>internal policies and procedures,</w:t>
      </w:r>
      <w:r w:rsidRPr="00891780">
        <w:rPr>
          <w:rFonts w:asciiTheme="minorHAnsi" w:hAnsiTheme="minorHAnsi" w:cstheme="minorHAnsi"/>
          <w:sz w:val="22"/>
          <w:szCs w:val="22"/>
          <w:lang w:val="en-GB"/>
        </w:rPr>
        <w:t xml:space="preserve"> </w:t>
      </w:r>
      <w:r w:rsidRPr="00891780">
        <w:rPr>
          <w:rFonts w:asciiTheme="minorHAnsi" w:hAnsiTheme="minorHAnsi" w:cstheme="minorHAnsi"/>
          <w:sz w:val="22"/>
          <w:szCs w:val="22"/>
          <w:lang w:val="en-GB" w:eastAsia="x-none"/>
        </w:rPr>
        <w:t xml:space="preserve">as well as activities related to the prevention of money </w:t>
      </w:r>
      <w:r w:rsidRPr="00891780">
        <w:rPr>
          <w:rFonts w:asciiTheme="minorHAnsi" w:hAnsiTheme="minorHAnsi" w:cstheme="minorHAnsi"/>
          <w:sz w:val="22"/>
          <w:szCs w:val="22"/>
          <w:lang w:val="en-GB"/>
        </w:rPr>
        <w:t>laundering, and the subject matter of audit are also all other business processes that are determined based on risk assessment</w:t>
      </w:r>
      <w:r w:rsidR="00054989" w:rsidRPr="00891780">
        <w:rPr>
          <w:rFonts w:asciiTheme="minorHAnsi" w:eastAsia="SimSun" w:hAnsiTheme="minorHAnsi" w:cstheme="minorHAnsi"/>
          <w:sz w:val="22"/>
          <w:szCs w:val="22"/>
          <w:lang w:val="en-GB"/>
        </w:rPr>
        <w:t>,</w:t>
      </w:r>
    </w:p>
    <w:p w14:paraId="1748D722" w14:textId="4016365C" w:rsidR="00382CF2" w:rsidRPr="00891780" w:rsidRDefault="002E3B26" w:rsidP="000B677E">
      <w:pPr>
        <w:numPr>
          <w:ilvl w:val="0"/>
          <w:numId w:val="9"/>
        </w:numPr>
        <w:spacing w:before="120" w:after="120" w:line="276" w:lineRule="auto"/>
        <w:jc w:val="both"/>
        <w:rPr>
          <w:rFonts w:asciiTheme="minorHAnsi" w:eastAsia="SimSun" w:hAnsiTheme="minorHAnsi" w:cstheme="minorHAnsi"/>
          <w:sz w:val="22"/>
          <w:szCs w:val="22"/>
          <w:lang w:val="en-GB"/>
        </w:rPr>
      </w:pPr>
      <w:r w:rsidRPr="00891780">
        <w:rPr>
          <w:rFonts w:asciiTheme="minorHAnsi" w:eastAsia="SimSun" w:hAnsiTheme="minorHAnsi" w:cstheme="minorHAnsi"/>
          <w:sz w:val="22"/>
          <w:szCs w:val="22"/>
          <w:lang w:val="en-GB"/>
        </w:rPr>
        <w:t>Compliance</w:t>
      </w:r>
      <w:r w:rsidR="00054989" w:rsidRPr="00891780">
        <w:rPr>
          <w:rFonts w:asciiTheme="minorHAnsi" w:eastAsia="SimSun" w:hAnsiTheme="minorHAnsi" w:cstheme="minorHAnsi"/>
          <w:sz w:val="22"/>
          <w:szCs w:val="22"/>
          <w:lang w:val="en-GB"/>
        </w:rPr>
        <w:t xml:space="preserve"> </w:t>
      </w:r>
      <w:r w:rsidR="00127FAF" w:rsidRPr="00891780">
        <w:rPr>
          <w:rFonts w:asciiTheme="minorHAnsi" w:hAnsiTheme="minorHAnsi" w:cstheme="minorHAnsi"/>
          <w:sz w:val="22"/>
          <w:szCs w:val="22"/>
          <w:lang w:val="en-GB"/>
        </w:rPr>
        <w:t xml:space="preserve">function </w:t>
      </w:r>
      <w:r w:rsidR="00127FAF" w:rsidRPr="00891780">
        <w:rPr>
          <w:rFonts w:asciiTheme="minorHAnsi" w:hAnsiTheme="minorHAnsi" w:cstheme="minorHAnsi"/>
          <w:sz w:val="22"/>
          <w:szCs w:val="22"/>
          <w:lang w:val="en-GB" w:eastAsia="x-none"/>
        </w:rPr>
        <w:t xml:space="preserve">organizes, </w:t>
      </w:r>
      <w:proofErr w:type="gramStart"/>
      <w:r w:rsidR="00127FAF" w:rsidRPr="00891780">
        <w:rPr>
          <w:rFonts w:asciiTheme="minorHAnsi" w:hAnsiTheme="minorHAnsi" w:cstheme="minorHAnsi"/>
          <w:sz w:val="22"/>
          <w:szCs w:val="22"/>
          <w:lang w:val="en-GB" w:eastAsia="x-none"/>
        </w:rPr>
        <w:t>coordinates</w:t>
      </w:r>
      <w:proofErr w:type="gramEnd"/>
      <w:r w:rsidR="00127FAF" w:rsidRPr="00891780">
        <w:rPr>
          <w:rFonts w:asciiTheme="minorHAnsi" w:hAnsiTheme="minorHAnsi" w:cstheme="minorHAnsi"/>
          <w:sz w:val="22"/>
          <w:szCs w:val="22"/>
          <w:lang w:val="en-GB" w:eastAsia="x-none"/>
        </w:rPr>
        <w:t xml:space="preserve"> and directs the activities concerning compliance at the level of HBOR, advises on matters of compliance, controls measures taken to minimize compliance risk, incorporates information on compliance monitoring</w:t>
      </w:r>
      <w:r w:rsidR="00127FAF" w:rsidRPr="00891780">
        <w:rPr>
          <w:rFonts w:asciiTheme="minorHAnsi" w:hAnsiTheme="minorHAnsi" w:cstheme="minorHAnsi"/>
          <w:sz w:val="22"/>
          <w:szCs w:val="22"/>
          <w:lang w:val="en-GB"/>
        </w:rPr>
        <w:t xml:space="preserve">, </w:t>
      </w:r>
      <w:r w:rsidR="00127FAF" w:rsidRPr="00891780">
        <w:rPr>
          <w:rFonts w:asciiTheme="minorHAnsi" w:hAnsiTheme="minorHAnsi" w:cstheme="minorHAnsi"/>
          <w:sz w:val="22"/>
          <w:szCs w:val="22"/>
          <w:lang w:val="en-GB" w:eastAsia="x-none"/>
        </w:rPr>
        <w:t>identifies and assesses the risks of compliance and provides regular reports</w:t>
      </w:r>
      <w:r w:rsidR="00127FAF" w:rsidRPr="00891780">
        <w:rPr>
          <w:rFonts w:asciiTheme="minorHAnsi" w:hAnsiTheme="minorHAnsi" w:cstheme="minorHAnsi"/>
          <w:sz w:val="22"/>
          <w:szCs w:val="22"/>
          <w:lang w:val="en-GB"/>
        </w:rPr>
        <w:t xml:space="preserve">. </w:t>
      </w:r>
      <w:r w:rsidR="00127FAF" w:rsidRPr="00891780">
        <w:rPr>
          <w:rFonts w:asciiTheme="minorHAnsi" w:hAnsiTheme="minorHAnsi" w:cstheme="minorHAnsi"/>
          <w:sz w:val="22"/>
          <w:szCs w:val="22"/>
          <w:lang w:val="en-GB" w:eastAsia="x-none"/>
        </w:rPr>
        <w:t>The main tasks of the compliance function are to limit the non-compliance risk and its possible negative effects</w:t>
      </w:r>
      <w:r w:rsidR="00127FAF" w:rsidRPr="00891780">
        <w:rPr>
          <w:rFonts w:asciiTheme="minorHAnsi" w:hAnsiTheme="minorHAnsi" w:cstheme="minorHAnsi"/>
          <w:sz w:val="22"/>
          <w:szCs w:val="22"/>
          <w:lang w:val="en-GB"/>
        </w:rPr>
        <w:t>, ensure compliance</w:t>
      </w:r>
      <w:r w:rsidR="00127FAF" w:rsidRPr="00891780">
        <w:rPr>
          <w:rFonts w:asciiTheme="minorHAnsi" w:hAnsiTheme="minorHAnsi" w:cstheme="minorHAnsi"/>
          <w:sz w:val="22"/>
          <w:szCs w:val="22"/>
          <w:lang w:val="en-GB" w:eastAsia="x-none"/>
        </w:rPr>
        <w:t xml:space="preserve"> of all internal documents and business processes with the relevant regulations and promote the principles of ethical business</w:t>
      </w:r>
      <w:r w:rsidR="00054989" w:rsidRPr="00891780">
        <w:rPr>
          <w:rFonts w:asciiTheme="minorHAnsi" w:eastAsia="SimSun" w:hAnsiTheme="minorHAnsi" w:cstheme="minorHAnsi"/>
          <w:sz w:val="22"/>
          <w:szCs w:val="22"/>
          <w:lang w:val="en-GB"/>
        </w:rPr>
        <w:t>.</w:t>
      </w:r>
    </w:p>
    <w:p w14:paraId="1748D723" w14:textId="77777777" w:rsidR="00382CF2" w:rsidRPr="00891780" w:rsidRDefault="00382CF2" w:rsidP="000B677E">
      <w:pPr>
        <w:spacing w:before="120" w:after="120" w:line="276" w:lineRule="auto"/>
        <w:ind w:left="720"/>
        <w:jc w:val="both"/>
        <w:rPr>
          <w:rFonts w:ascii="Calibri" w:eastAsia="SimSun" w:hAnsi="Calibri" w:cs="Calibri"/>
          <w:sz w:val="22"/>
          <w:szCs w:val="22"/>
          <w:lang w:val="en-GB"/>
        </w:rPr>
      </w:pPr>
      <w:bookmarkStart w:id="17" w:name="_Hlk63769011"/>
    </w:p>
    <w:p w14:paraId="1748D724" w14:textId="0C7178F4" w:rsidR="00382CF2" w:rsidRPr="00891780" w:rsidRDefault="00054989" w:rsidP="000B677E">
      <w:pPr>
        <w:pageBreakBefore/>
        <w:spacing w:before="120" w:after="120" w:line="276" w:lineRule="auto"/>
        <w:jc w:val="both"/>
        <w:rPr>
          <w:lang w:val="en-GB"/>
        </w:rPr>
      </w:pPr>
      <w:proofErr w:type="spellStart"/>
      <w:r w:rsidRPr="00891780">
        <w:rPr>
          <w:rStyle w:val="Zadanifontodlomka1"/>
          <w:rFonts w:ascii="Calibri" w:eastAsia="SimSun" w:hAnsi="Calibri" w:cs="Calibri"/>
          <w:b/>
          <w:bCs/>
          <w:sz w:val="22"/>
          <w:szCs w:val="22"/>
          <w:lang w:val="en-GB"/>
        </w:rPr>
        <w:lastRenderedPageBreak/>
        <w:t>Hrvatsko</w:t>
      </w:r>
      <w:proofErr w:type="spellEnd"/>
      <w:r w:rsidRPr="00891780">
        <w:rPr>
          <w:rStyle w:val="Zadanifontodlomka1"/>
          <w:rFonts w:ascii="Calibri" w:eastAsia="SimSun" w:hAnsi="Calibri" w:cs="Calibri"/>
          <w:b/>
          <w:bCs/>
          <w:sz w:val="22"/>
          <w:szCs w:val="22"/>
          <w:lang w:val="en-GB"/>
        </w:rPr>
        <w:t xml:space="preserve"> </w:t>
      </w:r>
      <w:proofErr w:type="spellStart"/>
      <w:r w:rsidRPr="00891780">
        <w:rPr>
          <w:rStyle w:val="Zadanifontodlomka1"/>
          <w:rFonts w:ascii="Calibri" w:eastAsia="SimSun" w:hAnsi="Calibri" w:cs="Calibri"/>
          <w:b/>
          <w:bCs/>
          <w:sz w:val="22"/>
          <w:szCs w:val="22"/>
          <w:lang w:val="en-GB"/>
        </w:rPr>
        <w:t>kreditno</w:t>
      </w:r>
      <w:proofErr w:type="spellEnd"/>
      <w:r w:rsidRPr="00891780">
        <w:rPr>
          <w:rStyle w:val="Zadanifontodlomka1"/>
          <w:rFonts w:ascii="Calibri" w:eastAsia="SimSun" w:hAnsi="Calibri" w:cs="Calibri"/>
          <w:b/>
          <w:bCs/>
          <w:sz w:val="22"/>
          <w:szCs w:val="22"/>
          <w:lang w:val="en-GB"/>
        </w:rPr>
        <w:t xml:space="preserve"> </w:t>
      </w:r>
      <w:proofErr w:type="spellStart"/>
      <w:r w:rsidRPr="00891780">
        <w:rPr>
          <w:rStyle w:val="Zadanifontodlomka1"/>
          <w:rFonts w:ascii="Calibri" w:eastAsia="SimSun" w:hAnsi="Calibri" w:cs="Calibri"/>
          <w:b/>
          <w:bCs/>
          <w:sz w:val="22"/>
          <w:szCs w:val="22"/>
          <w:lang w:val="en-GB"/>
        </w:rPr>
        <w:t>osiguranje</w:t>
      </w:r>
      <w:proofErr w:type="spellEnd"/>
      <w:r w:rsidRPr="00891780">
        <w:rPr>
          <w:rStyle w:val="Zadanifontodlomka1"/>
          <w:rFonts w:ascii="Calibri" w:eastAsia="SimSun" w:hAnsi="Calibri" w:cs="Calibri"/>
          <w:b/>
          <w:bCs/>
          <w:sz w:val="22"/>
          <w:szCs w:val="22"/>
          <w:lang w:val="en-GB"/>
        </w:rPr>
        <w:t xml:space="preserve"> </w:t>
      </w:r>
      <w:proofErr w:type="spellStart"/>
      <w:r w:rsidRPr="00891780">
        <w:rPr>
          <w:rStyle w:val="Zadanifontodlomka1"/>
          <w:rFonts w:ascii="Calibri" w:eastAsia="SimSun" w:hAnsi="Calibri" w:cs="Calibri"/>
          <w:b/>
          <w:bCs/>
          <w:sz w:val="22"/>
          <w:szCs w:val="22"/>
          <w:lang w:val="en-GB"/>
        </w:rPr>
        <w:t>d.d.</w:t>
      </w:r>
      <w:proofErr w:type="spellEnd"/>
      <w:r w:rsidRPr="00891780">
        <w:rPr>
          <w:rStyle w:val="Zadanifontodlomka1"/>
          <w:rFonts w:ascii="Calibri" w:eastAsia="SimSun" w:hAnsi="Calibri" w:cs="Calibri"/>
          <w:b/>
          <w:bCs/>
          <w:sz w:val="22"/>
          <w:szCs w:val="22"/>
          <w:lang w:val="en-GB"/>
        </w:rPr>
        <w:t xml:space="preserve"> (HKO, </w:t>
      </w:r>
      <w:r w:rsidR="007B2103" w:rsidRPr="00891780">
        <w:rPr>
          <w:rStyle w:val="Zadanifontodlomka1"/>
          <w:rFonts w:ascii="Calibri" w:eastAsia="SimSun" w:hAnsi="Calibri" w:cs="Calibri"/>
          <w:b/>
          <w:bCs/>
          <w:sz w:val="22"/>
          <w:szCs w:val="22"/>
          <w:lang w:val="en-GB"/>
        </w:rPr>
        <w:t>the Company</w:t>
      </w:r>
      <w:r w:rsidRPr="00891780">
        <w:rPr>
          <w:rStyle w:val="Zadanifontodlomka1"/>
          <w:rFonts w:ascii="Calibri" w:eastAsia="SimSun" w:hAnsi="Calibri" w:cs="Calibri"/>
          <w:b/>
          <w:bCs/>
          <w:sz w:val="22"/>
          <w:szCs w:val="22"/>
          <w:lang w:val="en-GB"/>
        </w:rPr>
        <w:t>)</w:t>
      </w:r>
    </w:p>
    <w:p w14:paraId="1748D725" w14:textId="05435731" w:rsidR="00382CF2" w:rsidRPr="00891780" w:rsidRDefault="00DF102B" w:rsidP="000B677E">
      <w:pPr>
        <w:spacing w:before="120" w:after="120" w:line="276" w:lineRule="auto"/>
        <w:jc w:val="both"/>
        <w:rPr>
          <w:rFonts w:asciiTheme="minorHAnsi" w:hAnsiTheme="minorHAnsi" w:cstheme="minorHAnsi"/>
          <w:lang w:val="en-GB"/>
        </w:rPr>
      </w:pPr>
      <w:r w:rsidRPr="00891780">
        <w:rPr>
          <w:rFonts w:asciiTheme="minorHAnsi" w:hAnsiTheme="minorHAnsi" w:cstheme="minorHAnsi"/>
          <w:sz w:val="22"/>
          <w:szCs w:val="22"/>
          <w:lang w:val="en-GB" w:eastAsia="x-none"/>
        </w:rPr>
        <w:t xml:space="preserve">The internal control system of </w:t>
      </w:r>
      <w:proofErr w:type="spellStart"/>
      <w:r w:rsidRPr="00891780">
        <w:rPr>
          <w:rFonts w:asciiTheme="minorHAnsi" w:hAnsiTheme="minorHAnsi" w:cstheme="minorHAnsi"/>
          <w:sz w:val="22"/>
          <w:szCs w:val="22"/>
          <w:lang w:val="en-GB" w:eastAsia="x-none"/>
        </w:rPr>
        <w:t>Hrvatsko</w:t>
      </w:r>
      <w:proofErr w:type="spellEnd"/>
      <w:r w:rsidRPr="00891780">
        <w:rPr>
          <w:rFonts w:asciiTheme="minorHAnsi" w:hAnsiTheme="minorHAnsi" w:cstheme="minorHAnsi"/>
          <w:sz w:val="22"/>
          <w:szCs w:val="22"/>
          <w:lang w:val="en-GB" w:eastAsia="x-none"/>
        </w:rPr>
        <w:t xml:space="preserve"> </w:t>
      </w:r>
      <w:proofErr w:type="spellStart"/>
      <w:r w:rsidRPr="00891780">
        <w:rPr>
          <w:rFonts w:asciiTheme="minorHAnsi" w:hAnsiTheme="minorHAnsi" w:cstheme="minorHAnsi"/>
          <w:sz w:val="22"/>
          <w:szCs w:val="22"/>
          <w:lang w:val="en-GB" w:eastAsia="x-none"/>
        </w:rPr>
        <w:t>kreditno</w:t>
      </w:r>
      <w:proofErr w:type="spellEnd"/>
      <w:r w:rsidRPr="00891780">
        <w:rPr>
          <w:rFonts w:asciiTheme="minorHAnsi" w:hAnsiTheme="minorHAnsi" w:cstheme="minorHAnsi"/>
          <w:sz w:val="22"/>
          <w:szCs w:val="22"/>
          <w:lang w:val="en-GB" w:eastAsia="x-none"/>
        </w:rPr>
        <w:t xml:space="preserve"> </w:t>
      </w:r>
      <w:proofErr w:type="spellStart"/>
      <w:r w:rsidRPr="00891780">
        <w:rPr>
          <w:rFonts w:asciiTheme="minorHAnsi" w:hAnsiTheme="minorHAnsi" w:cstheme="minorHAnsi"/>
          <w:sz w:val="22"/>
          <w:szCs w:val="22"/>
          <w:lang w:val="en-GB" w:eastAsia="x-none"/>
        </w:rPr>
        <w:t>osiguranje</w:t>
      </w:r>
      <w:proofErr w:type="spellEnd"/>
      <w:r w:rsidRPr="00891780">
        <w:rPr>
          <w:rFonts w:asciiTheme="minorHAnsi" w:hAnsiTheme="minorHAnsi" w:cstheme="minorHAnsi"/>
          <w:sz w:val="22"/>
          <w:szCs w:val="22"/>
          <w:lang w:val="en-GB" w:eastAsia="x-none"/>
        </w:rPr>
        <w:t xml:space="preserve"> </w:t>
      </w:r>
      <w:proofErr w:type="spellStart"/>
      <w:r w:rsidRPr="00891780">
        <w:rPr>
          <w:rFonts w:asciiTheme="minorHAnsi" w:hAnsiTheme="minorHAnsi" w:cstheme="minorHAnsi"/>
          <w:sz w:val="22"/>
          <w:szCs w:val="22"/>
          <w:lang w:val="en-GB" w:eastAsia="x-none"/>
        </w:rPr>
        <w:t>d.d.</w:t>
      </w:r>
      <w:proofErr w:type="spellEnd"/>
      <w:r w:rsidRPr="00891780">
        <w:rPr>
          <w:rFonts w:asciiTheme="minorHAnsi" w:hAnsiTheme="minorHAnsi" w:cstheme="minorHAnsi"/>
          <w:sz w:val="22"/>
          <w:szCs w:val="22"/>
          <w:lang w:val="en-GB" w:eastAsia="x-none"/>
        </w:rPr>
        <w:t xml:space="preserve"> is organised through the following independent functions</w:t>
      </w:r>
      <w:r w:rsidR="00054989" w:rsidRPr="00891780">
        <w:rPr>
          <w:rStyle w:val="Zadanifontodlomka1"/>
          <w:rFonts w:asciiTheme="minorHAnsi" w:eastAsia="SimSun" w:hAnsiTheme="minorHAnsi" w:cstheme="minorHAnsi"/>
          <w:sz w:val="22"/>
          <w:szCs w:val="22"/>
          <w:lang w:val="en-GB"/>
        </w:rPr>
        <w:t>:</w:t>
      </w:r>
    </w:p>
    <w:p w14:paraId="1748D726" w14:textId="119E0AD5" w:rsidR="00382CF2" w:rsidRPr="00891780" w:rsidRDefault="001A28A8" w:rsidP="000B677E">
      <w:pPr>
        <w:numPr>
          <w:ilvl w:val="0"/>
          <w:numId w:val="11"/>
        </w:num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 xml:space="preserve">compliance </w:t>
      </w:r>
      <w:r w:rsidR="0053115B">
        <w:rPr>
          <w:rFonts w:asciiTheme="minorHAnsi" w:hAnsiTheme="minorHAnsi" w:cstheme="minorHAnsi"/>
          <w:sz w:val="22"/>
          <w:szCs w:val="22"/>
          <w:lang w:val="en-GB"/>
        </w:rPr>
        <w:t xml:space="preserve">monitoring </w:t>
      </w:r>
      <w:r w:rsidRPr="00891780">
        <w:rPr>
          <w:rFonts w:asciiTheme="minorHAnsi" w:hAnsiTheme="minorHAnsi" w:cstheme="minorHAnsi"/>
          <w:sz w:val="22"/>
          <w:szCs w:val="22"/>
          <w:lang w:val="en-GB"/>
        </w:rPr>
        <w:t>function</w:t>
      </w:r>
      <w:r w:rsidR="00054989" w:rsidRPr="00891780">
        <w:rPr>
          <w:rFonts w:asciiTheme="minorHAnsi" w:eastAsia="SimSun" w:hAnsiTheme="minorHAnsi" w:cstheme="minorHAnsi"/>
          <w:sz w:val="22"/>
          <w:szCs w:val="22"/>
          <w:lang w:val="en-GB"/>
        </w:rPr>
        <w:t>,</w:t>
      </w:r>
    </w:p>
    <w:p w14:paraId="1748D727" w14:textId="5428EC5B" w:rsidR="00382CF2" w:rsidRPr="00891780" w:rsidRDefault="00CE5162" w:rsidP="000B677E">
      <w:pPr>
        <w:numPr>
          <w:ilvl w:val="0"/>
          <w:numId w:val="11"/>
        </w:num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risk management function</w:t>
      </w:r>
      <w:r w:rsidR="00054989" w:rsidRPr="00891780">
        <w:rPr>
          <w:rFonts w:asciiTheme="minorHAnsi" w:eastAsia="SimSun" w:hAnsiTheme="minorHAnsi" w:cstheme="minorHAnsi"/>
          <w:sz w:val="22"/>
          <w:szCs w:val="22"/>
          <w:lang w:val="en-GB"/>
        </w:rPr>
        <w:t>,</w:t>
      </w:r>
    </w:p>
    <w:p w14:paraId="6B4A7177" w14:textId="77777777" w:rsidR="0033655D" w:rsidRPr="00891780" w:rsidRDefault="0033655D" w:rsidP="000B677E">
      <w:pPr>
        <w:pStyle w:val="ListParagraph"/>
        <w:numPr>
          <w:ilvl w:val="0"/>
          <w:numId w:val="11"/>
        </w:numPr>
        <w:autoSpaceDN/>
        <w:spacing w:before="120" w:after="120" w:line="276" w:lineRule="auto"/>
        <w:jc w:val="both"/>
        <w:rPr>
          <w:rFonts w:asciiTheme="minorHAnsi" w:hAnsiTheme="minorHAnsi" w:cstheme="minorHAnsi"/>
          <w:sz w:val="22"/>
          <w:szCs w:val="22"/>
          <w:lang w:val="en-GB"/>
        </w:rPr>
      </w:pPr>
      <w:r w:rsidRPr="00891780">
        <w:rPr>
          <w:rFonts w:asciiTheme="minorHAnsi" w:hAnsiTheme="minorHAnsi" w:cstheme="minorHAnsi"/>
          <w:sz w:val="22"/>
          <w:szCs w:val="22"/>
          <w:lang w:val="en-GB"/>
        </w:rPr>
        <w:t xml:space="preserve">internal audit function and </w:t>
      </w:r>
    </w:p>
    <w:p w14:paraId="1748D729" w14:textId="540ED887" w:rsidR="00382CF2" w:rsidRPr="00891780" w:rsidRDefault="00226C15" w:rsidP="000B677E">
      <w:pPr>
        <w:numPr>
          <w:ilvl w:val="0"/>
          <w:numId w:val="11"/>
        </w:num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actuarial function</w:t>
      </w:r>
      <w:r w:rsidR="00054989" w:rsidRPr="00891780">
        <w:rPr>
          <w:rFonts w:asciiTheme="minorHAnsi" w:eastAsia="SimSun" w:hAnsiTheme="minorHAnsi" w:cstheme="minorHAnsi"/>
          <w:sz w:val="22"/>
          <w:szCs w:val="22"/>
          <w:lang w:val="en-GB"/>
        </w:rPr>
        <w:t>.</w:t>
      </w:r>
    </w:p>
    <w:p w14:paraId="1748D72A" w14:textId="53706158" w:rsidR="00382CF2" w:rsidRPr="00891780" w:rsidRDefault="00A36D64" w:rsidP="000B677E">
      <w:pPr>
        <w:spacing w:before="120" w:after="120" w:line="276" w:lineRule="auto"/>
        <w:jc w:val="both"/>
        <w:rPr>
          <w:rFonts w:ascii="Calibri" w:eastAsia="SimSun" w:hAnsi="Calibri" w:cs="Calibri"/>
          <w:sz w:val="22"/>
          <w:szCs w:val="22"/>
          <w:lang w:val="en-GB"/>
        </w:rPr>
      </w:pPr>
      <w:r w:rsidRPr="00891780">
        <w:rPr>
          <w:rFonts w:ascii="Calibri" w:hAnsi="Calibri" w:cs="Calibri"/>
          <w:sz w:val="22"/>
          <w:szCs w:val="22"/>
          <w:lang w:val="en-GB" w:eastAsia="x-none"/>
        </w:rPr>
        <w:t>HKO has established an adequate internal control system on the basis of the internal regulation, the Ordinance on the Internal Control System, thus increasing the probability of timely detecting fraud and contributing to the reduction of unjustified costs, the reduction of abuse and error, the prevention of inappropriate acts and the reduction of risks related to compliance with the legislative framework. In proportion to its size, to the type, scope and complexity of operations and in accordance with its risk profile, the Company establishes permanent and effective controls that are independent from the business processes and activities in which risks arise and which they monitor and supervise</w:t>
      </w:r>
      <w:r w:rsidR="00054989" w:rsidRPr="00891780">
        <w:rPr>
          <w:rFonts w:ascii="Calibri" w:eastAsia="SimSun" w:hAnsi="Calibri" w:cs="Calibri"/>
          <w:sz w:val="22"/>
          <w:szCs w:val="22"/>
          <w:lang w:val="en-GB"/>
        </w:rPr>
        <w:t>.</w:t>
      </w:r>
    </w:p>
    <w:p w14:paraId="1748D72B" w14:textId="002D2E79" w:rsidR="00382CF2" w:rsidRPr="00891780" w:rsidRDefault="004A4D17"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eastAsia="x-none"/>
        </w:rPr>
        <w:t>Legal status, organisation and management of HKO as well as other issues important for the operations of the Company are determined by the Statutes of the Company pursuant to the provisions of the Companies Act and the Insurance Act</w:t>
      </w:r>
      <w:r w:rsidR="00054989" w:rsidRPr="00891780">
        <w:rPr>
          <w:rFonts w:asciiTheme="minorHAnsi" w:eastAsia="SimSun" w:hAnsiTheme="minorHAnsi" w:cstheme="minorHAnsi"/>
          <w:sz w:val="22"/>
          <w:szCs w:val="22"/>
          <w:lang w:val="en-GB"/>
        </w:rPr>
        <w:t>.</w:t>
      </w:r>
    </w:p>
    <w:p w14:paraId="1748D72C" w14:textId="5207DF5F" w:rsidR="00382CF2" w:rsidRPr="00891780" w:rsidRDefault="00C22A6C" w:rsidP="000B677E">
      <w:pPr>
        <w:spacing w:before="120" w:after="120" w:line="276" w:lineRule="auto"/>
        <w:jc w:val="both"/>
        <w:rPr>
          <w:rFonts w:ascii="Calibri" w:eastAsia="SimSun" w:hAnsi="Calibri" w:cs="Calibri"/>
          <w:sz w:val="22"/>
          <w:szCs w:val="22"/>
          <w:lang w:val="en-GB"/>
        </w:rPr>
      </w:pPr>
      <w:r w:rsidRPr="00891780">
        <w:rPr>
          <w:rFonts w:asciiTheme="minorHAnsi" w:hAnsiTheme="minorHAnsi" w:cstheme="minorHAnsi"/>
          <w:sz w:val="22"/>
          <w:szCs w:val="22"/>
          <w:lang w:val="en-GB" w:eastAsia="x-none"/>
        </w:rPr>
        <w:t>The Company management bodies are the Management Board, the Supervisory Board and the Shareholders’ Meeting. HKO is managed by the two-member Management Board that makes its decision in accordance with the Rules of Procedure for the Management Board. All decisions are made by following the “double check principle” (“four eyes principle”) supported by the suitable system of authorisation</w:t>
      </w:r>
      <w:r w:rsidR="00054989" w:rsidRPr="00891780">
        <w:rPr>
          <w:rFonts w:ascii="Calibri" w:eastAsia="SimSun" w:hAnsi="Calibri" w:cs="Calibri"/>
          <w:sz w:val="22"/>
          <w:szCs w:val="22"/>
          <w:lang w:val="en-GB"/>
        </w:rPr>
        <w:t>.</w:t>
      </w:r>
    </w:p>
    <w:p w14:paraId="1748D72D" w14:textId="55F3E291" w:rsidR="00382CF2" w:rsidRPr="00891780" w:rsidRDefault="0084194E"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 xml:space="preserve">In its operations, HKO </w:t>
      </w:r>
      <w:r w:rsidRPr="00891780">
        <w:rPr>
          <w:rFonts w:asciiTheme="minorHAnsi" w:hAnsiTheme="minorHAnsi" w:cstheme="minorHAnsi"/>
          <w:sz w:val="22"/>
          <w:szCs w:val="22"/>
          <w:lang w:val="en-GB" w:eastAsia="x-none"/>
        </w:rPr>
        <w:t xml:space="preserve">voluntarily applies the principles </w:t>
      </w:r>
      <w:r w:rsidRPr="00891780">
        <w:rPr>
          <w:rFonts w:asciiTheme="minorHAnsi" w:hAnsiTheme="minorHAnsi" w:cstheme="minorHAnsi"/>
          <w:sz w:val="22"/>
          <w:szCs w:val="22"/>
          <w:lang w:val="en-GB"/>
        </w:rPr>
        <w:t xml:space="preserve">of the </w:t>
      </w:r>
      <w:r w:rsidRPr="00891780">
        <w:rPr>
          <w:rFonts w:asciiTheme="minorHAnsi" w:hAnsiTheme="minorHAnsi" w:cstheme="minorHAnsi"/>
          <w:sz w:val="22"/>
          <w:szCs w:val="22"/>
          <w:lang w:val="en-GB" w:eastAsia="x-none"/>
        </w:rPr>
        <w:t xml:space="preserve">corporate governance code that have been prepared by the Croatian Financial Services Supervisory Agency (HANFA) and </w:t>
      </w:r>
      <w:proofErr w:type="spellStart"/>
      <w:r w:rsidRPr="00891780">
        <w:rPr>
          <w:rFonts w:asciiTheme="minorHAnsi" w:hAnsiTheme="minorHAnsi" w:cstheme="minorHAnsi"/>
          <w:sz w:val="22"/>
          <w:szCs w:val="22"/>
          <w:lang w:val="en-GB" w:eastAsia="x-none"/>
        </w:rPr>
        <w:t>Zagrebačka</w:t>
      </w:r>
      <w:proofErr w:type="spellEnd"/>
      <w:r w:rsidRPr="00891780">
        <w:rPr>
          <w:rFonts w:asciiTheme="minorHAnsi" w:hAnsiTheme="minorHAnsi" w:cstheme="minorHAnsi"/>
          <w:sz w:val="22"/>
          <w:szCs w:val="22"/>
          <w:lang w:val="en-GB" w:eastAsia="x-none"/>
        </w:rPr>
        <w:t xml:space="preserve"> </w:t>
      </w:r>
      <w:proofErr w:type="spellStart"/>
      <w:r w:rsidRPr="00891780">
        <w:rPr>
          <w:rFonts w:asciiTheme="minorHAnsi" w:hAnsiTheme="minorHAnsi" w:cstheme="minorHAnsi"/>
          <w:sz w:val="22"/>
          <w:szCs w:val="22"/>
          <w:lang w:val="en-GB" w:eastAsia="x-none"/>
        </w:rPr>
        <w:t>burza</w:t>
      </w:r>
      <w:proofErr w:type="spellEnd"/>
      <w:r w:rsidRPr="00891780">
        <w:rPr>
          <w:rFonts w:asciiTheme="minorHAnsi" w:hAnsiTheme="minorHAnsi" w:cstheme="minorHAnsi"/>
          <w:sz w:val="22"/>
          <w:szCs w:val="22"/>
          <w:lang w:val="en-GB" w:eastAsia="x-none"/>
        </w:rPr>
        <w:t xml:space="preserve"> </w:t>
      </w:r>
      <w:proofErr w:type="spellStart"/>
      <w:r w:rsidRPr="00891780">
        <w:rPr>
          <w:rFonts w:asciiTheme="minorHAnsi" w:hAnsiTheme="minorHAnsi" w:cstheme="minorHAnsi"/>
          <w:sz w:val="22"/>
          <w:szCs w:val="22"/>
          <w:lang w:val="en-GB" w:eastAsia="x-none"/>
        </w:rPr>
        <w:t>d.d.</w:t>
      </w:r>
      <w:proofErr w:type="spellEnd"/>
      <w:r w:rsidRPr="00891780">
        <w:rPr>
          <w:rFonts w:asciiTheme="minorHAnsi" w:hAnsiTheme="minorHAnsi" w:cstheme="minorHAnsi"/>
          <w:sz w:val="22"/>
          <w:szCs w:val="22"/>
          <w:lang w:val="en-GB" w:eastAsia="x-none"/>
        </w:rPr>
        <w:t xml:space="preserve"> (Zagreb Stock Exchange) to the extent adequate to the size and development status of the Company</w:t>
      </w:r>
      <w:r w:rsidR="00054989" w:rsidRPr="00891780">
        <w:rPr>
          <w:rFonts w:asciiTheme="minorHAnsi" w:eastAsia="SimSun" w:hAnsiTheme="minorHAnsi" w:cstheme="minorHAnsi"/>
          <w:sz w:val="22"/>
          <w:szCs w:val="22"/>
          <w:lang w:val="en-GB"/>
        </w:rPr>
        <w:t>.</w:t>
      </w:r>
    </w:p>
    <w:p w14:paraId="1748D72E" w14:textId="205DF578" w:rsidR="00382CF2" w:rsidRPr="00891780" w:rsidRDefault="00014420" w:rsidP="000B677E">
      <w:pPr>
        <w:spacing w:before="120" w:after="120" w:line="276" w:lineRule="auto"/>
        <w:jc w:val="both"/>
        <w:rPr>
          <w:rStyle w:val="Zadanifontodlomka1"/>
          <w:rFonts w:asciiTheme="minorHAnsi" w:eastAsia="SimSun" w:hAnsiTheme="minorHAnsi" w:cstheme="minorHAnsi"/>
          <w:sz w:val="22"/>
          <w:szCs w:val="22"/>
          <w:lang w:val="en-GB"/>
        </w:rPr>
      </w:pPr>
      <w:r w:rsidRPr="00891780">
        <w:rPr>
          <w:rFonts w:asciiTheme="minorHAnsi" w:hAnsiTheme="minorHAnsi" w:cstheme="minorHAnsi"/>
          <w:sz w:val="22"/>
          <w:szCs w:val="22"/>
          <w:lang w:val="en-GB"/>
        </w:rPr>
        <w:t>This Statement is considered to be part of the Annual Report of the HBOR Group for the period 1 January to 31 December</w:t>
      </w:r>
      <w:r w:rsidRPr="00891780">
        <w:rPr>
          <w:rFonts w:asciiTheme="minorHAnsi" w:hAnsiTheme="minorHAnsi" w:cstheme="minorHAnsi"/>
          <w:lang w:val="en-GB"/>
        </w:rPr>
        <w:t xml:space="preserve"> </w:t>
      </w:r>
      <w:r w:rsidR="00054989" w:rsidRPr="00891780">
        <w:rPr>
          <w:rStyle w:val="Zadanifontodlomka1"/>
          <w:rFonts w:asciiTheme="minorHAnsi" w:eastAsia="SimSun" w:hAnsiTheme="minorHAnsi" w:cstheme="minorHAnsi"/>
          <w:sz w:val="22"/>
          <w:szCs w:val="22"/>
          <w:lang w:val="en-GB"/>
        </w:rPr>
        <w:t>2022.</w:t>
      </w:r>
    </w:p>
    <w:p w14:paraId="4F9ED070" w14:textId="6464BACC" w:rsidR="00372833" w:rsidRPr="00891780" w:rsidRDefault="00372833" w:rsidP="000B677E">
      <w:pPr>
        <w:rPr>
          <w:rStyle w:val="Zadanifontodlomka1"/>
          <w:rFonts w:asciiTheme="minorHAnsi" w:eastAsia="SimSun" w:hAnsiTheme="minorHAnsi" w:cstheme="minorHAnsi"/>
          <w:sz w:val="22"/>
          <w:szCs w:val="22"/>
          <w:lang w:val="en-GB"/>
        </w:rPr>
      </w:pPr>
      <w:r w:rsidRPr="00891780">
        <w:rPr>
          <w:rStyle w:val="Zadanifontodlomka1"/>
          <w:rFonts w:asciiTheme="minorHAnsi" w:eastAsia="SimSun" w:hAnsiTheme="minorHAnsi" w:cstheme="minorHAnsi"/>
          <w:sz w:val="22"/>
          <w:szCs w:val="22"/>
          <w:lang w:val="en-GB"/>
        </w:rPr>
        <w:br w:type="page"/>
      </w:r>
    </w:p>
    <w:p w14:paraId="1748D730" w14:textId="499489FB" w:rsidR="00382CF2" w:rsidRPr="00891780" w:rsidRDefault="00054989" w:rsidP="000B677E">
      <w:pPr>
        <w:keepNext/>
        <w:keepLines/>
        <w:spacing w:before="360" w:after="120"/>
        <w:jc w:val="both"/>
        <w:outlineLvl w:val="0"/>
        <w:rPr>
          <w:rFonts w:ascii="Calibri" w:eastAsia="SimHei" w:hAnsi="Calibri" w:cs="Calibri"/>
          <w:b/>
          <w:bCs/>
          <w:sz w:val="22"/>
          <w:szCs w:val="22"/>
          <w:lang w:val="en-GB"/>
        </w:rPr>
      </w:pPr>
      <w:bookmarkStart w:id="18" w:name="_Toc129176335"/>
      <w:bookmarkStart w:id="19" w:name="_Toc506982558"/>
      <w:bookmarkStart w:id="20" w:name="_Toc3249202"/>
      <w:bookmarkEnd w:id="16"/>
      <w:bookmarkEnd w:id="17"/>
      <w:r w:rsidRPr="00891780">
        <w:rPr>
          <w:rFonts w:ascii="Calibri" w:eastAsia="SimHei" w:hAnsi="Calibri" w:cs="Calibri"/>
          <w:b/>
          <w:bCs/>
          <w:sz w:val="22"/>
          <w:szCs w:val="22"/>
          <w:lang w:val="en-GB"/>
        </w:rPr>
        <w:lastRenderedPageBreak/>
        <w:t xml:space="preserve">30 </w:t>
      </w:r>
      <w:r w:rsidR="00F832D1" w:rsidRPr="00891780">
        <w:rPr>
          <w:rFonts w:ascii="Calibri" w:eastAsia="SimHei" w:hAnsi="Calibri" w:cs="Calibri"/>
          <w:b/>
          <w:bCs/>
          <w:sz w:val="22"/>
          <w:szCs w:val="22"/>
          <w:lang w:val="en-GB"/>
        </w:rPr>
        <w:t>YEARS OF</w:t>
      </w:r>
      <w:r w:rsidRPr="00891780">
        <w:rPr>
          <w:rFonts w:ascii="Calibri" w:eastAsia="SimHei" w:hAnsi="Calibri" w:cs="Calibri"/>
          <w:b/>
          <w:bCs/>
          <w:sz w:val="22"/>
          <w:szCs w:val="22"/>
          <w:lang w:val="en-GB"/>
        </w:rPr>
        <w:t xml:space="preserve"> HBOR</w:t>
      </w:r>
      <w:bookmarkEnd w:id="18"/>
    </w:p>
    <w:p w14:paraId="1748D731" w14:textId="60A036E6" w:rsidR="00382CF2" w:rsidRPr="00891780" w:rsidRDefault="001718A9"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In 2022, </w:t>
      </w:r>
      <w:r w:rsidR="00054989" w:rsidRPr="00891780">
        <w:rPr>
          <w:rFonts w:ascii="Calibri" w:eastAsia="SimSun" w:hAnsi="Calibri" w:cs="Calibri"/>
          <w:sz w:val="22"/>
          <w:szCs w:val="22"/>
          <w:lang w:val="en-GB"/>
        </w:rPr>
        <w:t xml:space="preserve">HBOR </w:t>
      </w:r>
      <w:r w:rsidRPr="00891780">
        <w:rPr>
          <w:rFonts w:ascii="Calibri" w:eastAsia="SimSun" w:hAnsi="Calibri" w:cs="Calibri"/>
          <w:sz w:val="22"/>
          <w:szCs w:val="22"/>
          <w:lang w:val="en-GB"/>
        </w:rPr>
        <w:t>celebrated its</w:t>
      </w:r>
      <w:r w:rsidR="00054989" w:rsidRPr="00891780">
        <w:rPr>
          <w:rFonts w:ascii="Calibri" w:eastAsia="SimSun" w:hAnsi="Calibri" w:cs="Calibri"/>
          <w:sz w:val="22"/>
          <w:szCs w:val="22"/>
          <w:lang w:val="en-GB"/>
        </w:rPr>
        <w:t xml:space="preserve"> 30</w:t>
      </w:r>
      <w:r w:rsidRPr="00891780">
        <w:rPr>
          <w:rFonts w:ascii="Calibri" w:eastAsia="SimSun" w:hAnsi="Calibri" w:cs="Calibri"/>
          <w:sz w:val="22"/>
          <w:szCs w:val="22"/>
          <w:vertAlign w:val="superscript"/>
          <w:lang w:val="en-GB"/>
        </w:rPr>
        <w:t>th</w:t>
      </w:r>
      <w:r w:rsidR="00EF5F20" w:rsidRPr="00891780">
        <w:rPr>
          <w:rFonts w:ascii="Calibri" w:eastAsia="SimSun" w:hAnsi="Calibri" w:cs="Calibri"/>
          <w:sz w:val="22"/>
          <w:szCs w:val="22"/>
          <w:lang w:val="en-GB"/>
        </w:rPr>
        <w:t xml:space="preserve"> </w:t>
      </w:r>
      <w:r w:rsidRPr="00891780">
        <w:rPr>
          <w:rFonts w:ascii="Calibri" w:eastAsia="SimSun" w:hAnsi="Calibri" w:cs="Calibri"/>
          <w:sz w:val="22"/>
          <w:szCs w:val="22"/>
          <w:lang w:val="en-GB"/>
        </w:rPr>
        <w:t>anniversary</w:t>
      </w:r>
      <w:r w:rsidR="00054989" w:rsidRPr="00891780">
        <w:rPr>
          <w:rFonts w:ascii="Calibri" w:eastAsia="SimSun" w:hAnsi="Calibri" w:cs="Calibri"/>
          <w:sz w:val="22"/>
          <w:szCs w:val="22"/>
          <w:lang w:val="en-GB"/>
        </w:rPr>
        <w:t xml:space="preserve">. </w:t>
      </w:r>
      <w:r w:rsidR="00441DC6" w:rsidRPr="00891780">
        <w:rPr>
          <w:rFonts w:ascii="Calibri" w:eastAsia="SimSun" w:hAnsi="Calibri" w:cs="Calibri"/>
          <w:sz w:val="22"/>
          <w:szCs w:val="22"/>
          <w:lang w:val="en-GB"/>
        </w:rPr>
        <w:t>On 12 June 1992, less than a month after the admission of the Republic of Croatia to the United Nations, the history of the Croatian Bank for Reconstruction and Development began to be written.</w:t>
      </w:r>
      <w:r w:rsidR="00054989" w:rsidRPr="00891780">
        <w:rPr>
          <w:rFonts w:ascii="Calibri" w:eastAsia="SimSun" w:hAnsi="Calibri" w:cs="Calibri"/>
          <w:sz w:val="22"/>
          <w:szCs w:val="22"/>
          <w:lang w:val="en-GB"/>
        </w:rPr>
        <w:t xml:space="preserve"> </w:t>
      </w:r>
      <w:r w:rsidR="006870A5" w:rsidRPr="00891780">
        <w:rPr>
          <w:rFonts w:ascii="Calibri" w:eastAsia="SimSun" w:hAnsi="Calibri" w:cs="Calibri"/>
          <w:sz w:val="22"/>
          <w:szCs w:val="22"/>
          <w:lang w:val="en-GB"/>
        </w:rPr>
        <w:t xml:space="preserve">At that time, </w:t>
      </w:r>
      <w:r w:rsidR="00F93A11" w:rsidRPr="00891780">
        <w:rPr>
          <w:rFonts w:ascii="Calibri" w:eastAsia="SimSun" w:hAnsi="Calibri" w:cs="Calibri"/>
          <w:sz w:val="22"/>
          <w:szCs w:val="22"/>
          <w:lang w:val="en-GB"/>
        </w:rPr>
        <w:t>the Croatian Credit Bank for Reconstruction (</w:t>
      </w:r>
      <w:r w:rsidR="003A5D50" w:rsidRPr="00891780">
        <w:rPr>
          <w:rFonts w:ascii="Calibri" w:eastAsia="SimSun" w:hAnsi="Calibri" w:cs="Calibri"/>
          <w:sz w:val="22"/>
          <w:szCs w:val="22"/>
          <w:lang w:val="en-GB"/>
        </w:rPr>
        <w:t xml:space="preserve">Hrvatska </w:t>
      </w:r>
      <w:proofErr w:type="spellStart"/>
      <w:r w:rsidR="003A5D50" w:rsidRPr="00891780">
        <w:rPr>
          <w:rFonts w:ascii="Calibri" w:eastAsia="SimSun" w:hAnsi="Calibri" w:cs="Calibri"/>
          <w:sz w:val="22"/>
          <w:szCs w:val="22"/>
          <w:lang w:val="en-GB"/>
        </w:rPr>
        <w:t>kreditna</w:t>
      </w:r>
      <w:proofErr w:type="spellEnd"/>
      <w:r w:rsidR="003A5D50" w:rsidRPr="00891780">
        <w:rPr>
          <w:rFonts w:ascii="Calibri" w:eastAsia="SimSun" w:hAnsi="Calibri" w:cs="Calibri"/>
          <w:sz w:val="22"/>
          <w:szCs w:val="22"/>
          <w:lang w:val="en-GB"/>
        </w:rPr>
        <w:t xml:space="preserve"> banka za </w:t>
      </w:r>
      <w:proofErr w:type="spellStart"/>
      <w:r w:rsidR="003A5D50" w:rsidRPr="00891780">
        <w:rPr>
          <w:rFonts w:ascii="Calibri" w:eastAsia="SimSun" w:hAnsi="Calibri" w:cs="Calibri"/>
          <w:sz w:val="22"/>
          <w:szCs w:val="22"/>
          <w:lang w:val="en-GB"/>
        </w:rPr>
        <w:t>obnovu</w:t>
      </w:r>
      <w:proofErr w:type="spellEnd"/>
      <w:r w:rsidR="00F93A11" w:rsidRPr="00891780">
        <w:rPr>
          <w:rFonts w:ascii="Calibri" w:eastAsia="SimSun" w:hAnsi="Calibri" w:cs="Calibri"/>
          <w:sz w:val="22"/>
          <w:szCs w:val="22"/>
          <w:lang w:val="en-GB"/>
        </w:rPr>
        <w:t xml:space="preserve"> </w:t>
      </w:r>
      <w:r w:rsidR="003A5D50" w:rsidRPr="00891780">
        <w:rPr>
          <w:rFonts w:ascii="Calibri" w:eastAsia="SimSun" w:hAnsi="Calibri" w:cs="Calibri"/>
          <w:sz w:val="22"/>
          <w:szCs w:val="22"/>
          <w:lang w:val="en-GB"/>
        </w:rPr>
        <w:t>–</w:t>
      </w:r>
      <w:r w:rsidR="006870A5" w:rsidRPr="00891780">
        <w:rPr>
          <w:rFonts w:ascii="Calibri" w:eastAsia="SimSun" w:hAnsi="Calibri" w:cs="Calibri"/>
          <w:sz w:val="22"/>
          <w:szCs w:val="22"/>
          <w:lang w:val="en-GB"/>
        </w:rPr>
        <w:t xml:space="preserve"> HKBO</w:t>
      </w:r>
      <w:r w:rsidR="00F93A11" w:rsidRPr="00891780">
        <w:rPr>
          <w:rFonts w:ascii="Calibri" w:eastAsia="SimSun" w:hAnsi="Calibri" w:cs="Calibri"/>
          <w:sz w:val="22"/>
          <w:szCs w:val="22"/>
          <w:lang w:val="en-GB"/>
        </w:rPr>
        <w:t>)</w:t>
      </w:r>
      <w:r w:rsidR="006870A5" w:rsidRPr="00891780">
        <w:rPr>
          <w:rFonts w:ascii="Calibri" w:eastAsia="SimSun" w:hAnsi="Calibri" w:cs="Calibri"/>
          <w:sz w:val="22"/>
          <w:szCs w:val="22"/>
          <w:lang w:val="en-GB"/>
        </w:rPr>
        <w:t xml:space="preserve">, the </w:t>
      </w:r>
      <w:r w:rsidR="003E65E4" w:rsidRPr="00891780">
        <w:rPr>
          <w:rFonts w:ascii="Calibri" w:eastAsia="SimSun" w:hAnsi="Calibri" w:cs="Calibri"/>
          <w:sz w:val="22"/>
          <w:szCs w:val="22"/>
          <w:lang w:val="en-GB"/>
        </w:rPr>
        <w:t>predecessor to</w:t>
      </w:r>
      <w:r w:rsidR="006870A5" w:rsidRPr="00891780">
        <w:rPr>
          <w:rFonts w:ascii="Calibri" w:eastAsia="SimSun" w:hAnsi="Calibri" w:cs="Calibri"/>
          <w:sz w:val="22"/>
          <w:szCs w:val="22"/>
          <w:lang w:val="en-GB"/>
        </w:rPr>
        <w:t xml:space="preserve"> today's HBOR</w:t>
      </w:r>
      <w:r w:rsidR="00C629CA">
        <w:rPr>
          <w:rFonts w:ascii="Calibri" w:eastAsia="SimSun" w:hAnsi="Calibri" w:cs="Calibri"/>
          <w:sz w:val="22"/>
          <w:szCs w:val="22"/>
          <w:lang w:val="en-GB"/>
        </w:rPr>
        <w:t>,</w:t>
      </w:r>
      <w:r w:rsidR="00044F80" w:rsidRPr="00891780">
        <w:rPr>
          <w:rFonts w:ascii="Calibri" w:eastAsia="SimSun" w:hAnsi="Calibri" w:cs="Calibri"/>
          <w:sz w:val="22"/>
          <w:szCs w:val="22"/>
          <w:lang w:val="en-GB"/>
        </w:rPr>
        <w:t xml:space="preserve"> was established by a special act</w:t>
      </w:r>
      <w:r w:rsidR="006870A5" w:rsidRPr="00891780">
        <w:rPr>
          <w:rFonts w:ascii="Calibri" w:eastAsia="SimSun" w:hAnsi="Calibri" w:cs="Calibri"/>
          <w:sz w:val="22"/>
          <w:szCs w:val="22"/>
          <w:lang w:val="en-GB"/>
        </w:rPr>
        <w:t xml:space="preserve">. </w:t>
      </w:r>
      <w:r w:rsidR="00CE67A7" w:rsidRPr="00891780">
        <w:rPr>
          <w:rFonts w:ascii="Calibri" w:eastAsia="SimSun" w:hAnsi="Calibri" w:cs="Calibri"/>
          <w:sz w:val="22"/>
          <w:szCs w:val="22"/>
          <w:lang w:val="en-GB"/>
        </w:rPr>
        <w:t xml:space="preserve">HKBO took over the assets, rights, obligations and 50 people employed in </w:t>
      </w:r>
      <w:r w:rsidR="008D6A42" w:rsidRPr="00891780">
        <w:rPr>
          <w:rFonts w:ascii="Calibri" w:eastAsia="SimSun" w:hAnsi="Calibri" w:cs="Calibri"/>
          <w:sz w:val="22"/>
          <w:szCs w:val="22"/>
          <w:lang w:val="en-GB"/>
        </w:rPr>
        <w:t>the Croatian</w:t>
      </w:r>
      <w:r w:rsidR="000F0A52" w:rsidRPr="00891780">
        <w:rPr>
          <w:rFonts w:ascii="Calibri" w:eastAsia="SimSun" w:hAnsi="Calibri" w:cs="Calibri"/>
          <w:sz w:val="22"/>
          <w:szCs w:val="22"/>
          <w:lang w:val="en-GB"/>
        </w:rPr>
        <w:t xml:space="preserve"> Development and Export Bank </w:t>
      </w:r>
      <w:r w:rsidR="00C26DD4" w:rsidRPr="00891780">
        <w:rPr>
          <w:rFonts w:ascii="Calibri" w:eastAsia="SimSun" w:hAnsi="Calibri" w:cs="Calibri"/>
          <w:sz w:val="22"/>
          <w:szCs w:val="22"/>
          <w:lang w:val="en-GB"/>
        </w:rPr>
        <w:t>(</w:t>
      </w:r>
      <w:r w:rsidR="00CE67A7" w:rsidRPr="00891780">
        <w:rPr>
          <w:rFonts w:ascii="Calibri" w:eastAsia="SimSun" w:hAnsi="Calibri" w:cs="Calibri"/>
          <w:sz w:val="22"/>
          <w:szCs w:val="22"/>
          <w:lang w:val="en-GB"/>
        </w:rPr>
        <w:t xml:space="preserve">Hrvatska </w:t>
      </w:r>
      <w:proofErr w:type="spellStart"/>
      <w:r w:rsidR="00CE67A7" w:rsidRPr="00891780">
        <w:rPr>
          <w:rFonts w:ascii="Calibri" w:eastAsia="SimSun" w:hAnsi="Calibri" w:cs="Calibri"/>
          <w:sz w:val="22"/>
          <w:szCs w:val="22"/>
          <w:lang w:val="en-GB"/>
        </w:rPr>
        <w:t>razvojna</w:t>
      </w:r>
      <w:proofErr w:type="spellEnd"/>
      <w:r w:rsidR="00CE67A7" w:rsidRPr="00891780">
        <w:rPr>
          <w:rFonts w:ascii="Calibri" w:eastAsia="SimSun" w:hAnsi="Calibri" w:cs="Calibri"/>
          <w:sz w:val="22"/>
          <w:szCs w:val="22"/>
          <w:lang w:val="en-GB"/>
        </w:rPr>
        <w:t xml:space="preserve"> i </w:t>
      </w:r>
      <w:proofErr w:type="spellStart"/>
      <w:r w:rsidR="00CE67A7" w:rsidRPr="00891780">
        <w:rPr>
          <w:rFonts w:ascii="Calibri" w:eastAsia="SimSun" w:hAnsi="Calibri" w:cs="Calibri"/>
          <w:sz w:val="22"/>
          <w:szCs w:val="22"/>
          <w:lang w:val="en-GB"/>
        </w:rPr>
        <w:t>izvozna</w:t>
      </w:r>
      <w:proofErr w:type="spellEnd"/>
      <w:r w:rsidR="00CE67A7" w:rsidRPr="00891780">
        <w:rPr>
          <w:rFonts w:ascii="Calibri" w:eastAsia="SimSun" w:hAnsi="Calibri" w:cs="Calibri"/>
          <w:sz w:val="22"/>
          <w:szCs w:val="22"/>
          <w:lang w:val="en-GB"/>
        </w:rPr>
        <w:t xml:space="preserve"> banka </w:t>
      </w:r>
      <w:proofErr w:type="spellStart"/>
      <w:r w:rsidR="00CE67A7" w:rsidRPr="00891780">
        <w:rPr>
          <w:rFonts w:ascii="Calibri" w:eastAsia="SimSun" w:hAnsi="Calibri" w:cs="Calibri"/>
          <w:sz w:val="22"/>
          <w:szCs w:val="22"/>
          <w:lang w:val="en-GB"/>
        </w:rPr>
        <w:t>d.d.</w:t>
      </w:r>
      <w:proofErr w:type="spellEnd"/>
      <w:r w:rsidR="00CE67A7" w:rsidRPr="00891780">
        <w:rPr>
          <w:rFonts w:ascii="Calibri" w:eastAsia="SimSun" w:hAnsi="Calibri" w:cs="Calibri"/>
          <w:sz w:val="22"/>
          <w:szCs w:val="22"/>
          <w:lang w:val="en-GB"/>
        </w:rPr>
        <w:t xml:space="preserve"> </w:t>
      </w:r>
      <w:r w:rsidR="00C26DD4" w:rsidRPr="00891780">
        <w:rPr>
          <w:rFonts w:ascii="Calibri" w:eastAsia="SimSun" w:hAnsi="Calibri" w:cs="Calibri"/>
          <w:sz w:val="22"/>
          <w:szCs w:val="22"/>
          <w:lang w:val="en-GB"/>
        </w:rPr>
        <w:t xml:space="preserve">- </w:t>
      </w:r>
      <w:r w:rsidR="00054989" w:rsidRPr="00891780">
        <w:rPr>
          <w:rFonts w:ascii="Calibri" w:eastAsia="SimSun" w:hAnsi="Calibri" w:cs="Calibri"/>
          <w:sz w:val="22"/>
          <w:szCs w:val="22"/>
          <w:lang w:val="en-GB"/>
        </w:rPr>
        <w:t xml:space="preserve">HRIB). </w:t>
      </w:r>
      <w:proofErr w:type="gramStart"/>
      <w:r w:rsidR="00AA43E7" w:rsidRPr="00891780">
        <w:rPr>
          <w:rFonts w:ascii="Calibri" w:eastAsia="SimSun" w:hAnsi="Calibri" w:cs="Calibri"/>
          <w:sz w:val="22"/>
          <w:szCs w:val="22"/>
          <w:lang w:val="en-GB"/>
        </w:rPr>
        <w:t>On the basis of</w:t>
      </w:r>
      <w:proofErr w:type="gramEnd"/>
      <w:r w:rsidR="00AA43E7" w:rsidRPr="00891780">
        <w:rPr>
          <w:rFonts w:ascii="Calibri" w:eastAsia="SimSun" w:hAnsi="Calibri" w:cs="Calibri"/>
          <w:sz w:val="22"/>
          <w:szCs w:val="22"/>
          <w:lang w:val="en-GB"/>
        </w:rPr>
        <w:t xml:space="preserve"> the </w:t>
      </w:r>
      <w:r w:rsidR="00991B69" w:rsidRPr="00891780">
        <w:rPr>
          <w:rFonts w:ascii="Calibri" w:eastAsia="SimSun" w:hAnsi="Calibri" w:cs="Calibri"/>
          <w:sz w:val="22"/>
          <w:szCs w:val="22"/>
          <w:lang w:val="en-GB"/>
        </w:rPr>
        <w:t xml:space="preserve">Act on </w:t>
      </w:r>
      <w:r w:rsidR="00AA43E7" w:rsidRPr="00891780">
        <w:rPr>
          <w:rFonts w:ascii="Calibri" w:eastAsia="SimSun" w:hAnsi="Calibri" w:cs="Calibri"/>
          <w:sz w:val="22"/>
          <w:szCs w:val="22"/>
          <w:lang w:val="en-GB"/>
        </w:rPr>
        <w:t xml:space="preserve">Reconstruction Financing, which the Parliament voted </w:t>
      </w:r>
      <w:r w:rsidR="004855B0" w:rsidRPr="00891780">
        <w:rPr>
          <w:rFonts w:ascii="Calibri" w:eastAsia="SimSun" w:hAnsi="Calibri" w:cs="Calibri"/>
          <w:sz w:val="22"/>
          <w:szCs w:val="22"/>
          <w:lang w:val="en-GB"/>
        </w:rPr>
        <w:t xml:space="preserve">on </w:t>
      </w:r>
      <w:r w:rsidR="00AA43E7" w:rsidRPr="00891780">
        <w:rPr>
          <w:rFonts w:ascii="Calibri" w:eastAsia="SimSun" w:hAnsi="Calibri" w:cs="Calibri"/>
          <w:sz w:val="22"/>
          <w:szCs w:val="22"/>
          <w:lang w:val="en-GB"/>
        </w:rPr>
        <w:t xml:space="preserve">in June 1992, HKBO also </w:t>
      </w:r>
      <w:r w:rsidR="00AE557B" w:rsidRPr="00891780">
        <w:rPr>
          <w:rFonts w:ascii="Calibri" w:eastAsia="SimSun" w:hAnsi="Calibri" w:cs="Calibri"/>
          <w:sz w:val="22"/>
          <w:szCs w:val="22"/>
          <w:lang w:val="en-GB"/>
        </w:rPr>
        <w:t>took over</w:t>
      </w:r>
      <w:r w:rsidR="00AA43E7" w:rsidRPr="00891780">
        <w:rPr>
          <w:rFonts w:ascii="Calibri" w:eastAsia="SimSun" w:hAnsi="Calibri" w:cs="Calibri"/>
          <w:sz w:val="22"/>
          <w:szCs w:val="22"/>
          <w:lang w:val="en-GB"/>
        </w:rPr>
        <w:t xml:space="preserve"> the financial resources, rights and obligations of the Fund for the </w:t>
      </w:r>
      <w:r w:rsidR="004A702A" w:rsidRPr="00891780">
        <w:rPr>
          <w:rFonts w:ascii="Calibri" w:eastAsia="SimSun" w:hAnsi="Calibri" w:cs="Calibri"/>
          <w:sz w:val="22"/>
          <w:szCs w:val="22"/>
          <w:lang w:val="en-GB"/>
        </w:rPr>
        <w:t>c</w:t>
      </w:r>
      <w:r w:rsidR="00AE557B" w:rsidRPr="00891780">
        <w:rPr>
          <w:rFonts w:ascii="Calibri" w:eastAsia="SimSun" w:hAnsi="Calibri" w:cs="Calibri"/>
          <w:sz w:val="22"/>
          <w:szCs w:val="22"/>
          <w:lang w:val="en-GB"/>
        </w:rPr>
        <w:t>onstruction and</w:t>
      </w:r>
      <w:r w:rsidR="00AA43E7" w:rsidRPr="00891780">
        <w:rPr>
          <w:rFonts w:ascii="Calibri" w:eastAsia="SimSun" w:hAnsi="Calibri" w:cs="Calibri"/>
          <w:sz w:val="22"/>
          <w:szCs w:val="22"/>
          <w:lang w:val="en-GB"/>
        </w:rPr>
        <w:t xml:space="preserve"> </w:t>
      </w:r>
      <w:r w:rsidR="00465B8F" w:rsidRPr="00891780">
        <w:rPr>
          <w:rFonts w:ascii="Calibri" w:eastAsia="SimSun" w:hAnsi="Calibri" w:cs="Calibri"/>
          <w:sz w:val="22"/>
          <w:szCs w:val="22"/>
          <w:lang w:val="en-GB"/>
        </w:rPr>
        <w:t>renovation</w:t>
      </w:r>
      <w:r w:rsidR="00AA43E7" w:rsidRPr="00891780">
        <w:rPr>
          <w:rFonts w:ascii="Calibri" w:eastAsia="SimSun" w:hAnsi="Calibri" w:cs="Calibri"/>
          <w:sz w:val="22"/>
          <w:szCs w:val="22"/>
          <w:lang w:val="en-GB"/>
        </w:rPr>
        <w:t xml:space="preserve"> of </w:t>
      </w:r>
      <w:r w:rsidR="004A702A" w:rsidRPr="00891780">
        <w:rPr>
          <w:rFonts w:ascii="Calibri" w:eastAsia="SimSun" w:hAnsi="Calibri" w:cs="Calibri"/>
          <w:sz w:val="22"/>
          <w:szCs w:val="22"/>
          <w:lang w:val="en-GB"/>
        </w:rPr>
        <w:t>b</w:t>
      </w:r>
      <w:r w:rsidR="00AA43E7" w:rsidRPr="00891780">
        <w:rPr>
          <w:rFonts w:ascii="Calibri" w:eastAsia="SimSun" w:hAnsi="Calibri" w:cs="Calibri"/>
          <w:sz w:val="22"/>
          <w:szCs w:val="22"/>
          <w:lang w:val="en-GB"/>
        </w:rPr>
        <w:t>uildings destroyed in the war.</w:t>
      </w:r>
      <w:r w:rsidR="00054989" w:rsidRPr="00891780">
        <w:rPr>
          <w:rFonts w:ascii="Calibri" w:eastAsia="SimSun" w:hAnsi="Calibri" w:cs="Calibri"/>
          <w:sz w:val="22"/>
          <w:szCs w:val="22"/>
          <w:lang w:val="en-GB"/>
        </w:rPr>
        <w:t xml:space="preserve"> </w:t>
      </w:r>
      <w:r w:rsidR="00AE3659" w:rsidRPr="00891780">
        <w:rPr>
          <w:rFonts w:ascii="Calibri" w:eastAsia="SimSun" w:hAnsi="Calibri" w:cs="Calibri"/>
          <w:sz w:val="22"/>
          <w:szCs w:val="22"/>
          <w:lang w:val="en-GB"/>
        </w:rPr>
        <w:t>The establishment and operation of HKBO, which was model</w:t>
      </w:r>
      <w:r w:rsidR="004B21CA" w:rsidRPr="00891780">
        <w:rPr>
          <w:rFonts w:ascii="Calibri" w:eastAsia="SimSun" w:hAnsi="Calibri" w:cs="Calibri"/>
          <w:sz w:val="22"/>
          <w:szCs w:val="22"/>
          <w:lang w:val="en-GB"/>
        </w:rPr>
        <w:t>l</w:t>
      </w:r>
      <w:r w:rsidR="00AE3659" w:rsidRPr="00891780">
        <w:rPr>
          <w:rFonts w:ascii="Calibri" w:eastAsia="SimSun" w:hAnsi="Calibri" w:cs="Calibri"/>
          <w:sz w:val="22"/>
          <w:szCs w:val="22"/>
          <w:lang w:val="en-GB"/>
        </w:rPr>
        <w:t xml:space="preserve">ed on the German development bank </w:t>
      </w:r>
      <w:proofErr w:type="spellStart"/>
      <w:r w:rsidR="00AE3659" w:rsidRPr="00891780">
        <w:rPr>
          <w:rFonts w:ascii="Calibri" w:eastAsia="SimSun" w:hAnsi="Calibri" w:cs="Calibri"/>
          <w:sz w:val="22"/>
          <w:szCs w:val="22"/>
          <w:lang w:val="en-GB"/>
        </w:rPr>
        <w:t>Kreditanstalt</w:t>
      </w:r>
      <w:proofErr w:type="spellEnd"/>
      <w:r w:rsidR="00AE3659" w:rsidRPr="00891780">
        <w:rPr>
          <w:rFonts w:ascii="Calibri" w:eastAsia="SimSun" w:hAnsi="Calibri" w:cs="Calibri"/>
          <w:sz w:val="22"/>
          <w:szCs w:val="22"/>
          <w:lang w:val="en-GB"/>
        </w:rPr>
        <w:t xml:space="preserve"> </w:t>
      </w:r>
      <w:r w:rsidR="009006CE" w:rsidRPr="009006CE">
        <w:rPr>
          <w:rFonts w:ascii="Calibri" w:eastAsia="SimSun" w:hAnsi="Calibri" w:cs="Calibri"/>
          <w:sz w:val="22"/>
          <w:szCs w:val="22"/>
          <w:lang w:val="en-GB"/>
        </w:rPr>
        <w:t>fü</w:t>
      </w:r>
      <w:r w:rsidR="009006CE">
        <w:rPr>
          <w:rFonts w:ascii="Calibri" w:eastAsia="SimSun" w:hAnsi="Calibri" w:cs="Calibri"/>
          <w:sz w:val="22"/>
          <w:szCs w:val="22"/>
          <w:lang w:val="en-GB"/>
        </w:rPr>
        <w:t xml:space="preserve">r </w:t>
      </w:r>
      <w:proofErr w:type="spellStart"/>
      <w:r w:rsidR="00AE3659" w:rsidRPr="00891780">
        <w:rPr>
          <w:rFonts w:ascii="Calibri" w:eastAsia="SimSun" w:hAnsi="Calibri" w:cs="Calibri"/>
          <w:sz w:val="22"/>
          <w:szCs w:val="22"/>
          <w:lang w:val="en-GB"/>
        </w:rPr>
        <w:t>Wiederaufbau</w:t>
      </w:r>
      <w:proofErr w:type="spellEnd"/>
      <w:r w:rsidR="00AE3659" w:rsidRPr="00891780">
        <w:rPr>
          <w:rFonts w:ascii="Calibri" w:eastAsia="SimSun" w:hAnsi="Calibri" w:cs="Calibri"/>
          <w:sz w:val="22"/>
          <w:szCs w:val="22"/>
          <w:lang w:val="en-GB"/>
        </w:rPr>
        <w:t xml:space="preserve"> (</w:t>
      </w:r>
      <w:proofErr w:type="spellStart"/>
      <w:r w:rsidR="00AE3659" w:rsidRPr="00891780">
        <w:rPr>
          <w:rFonts w:ascii="Calibri" w:eastAsia="SimSun" w:hAnsi="Calibri" w:cs="Calibri"/>
          <w:sz w:val="22"/>
          <w:szCs w:val="22"/>
          <w:lang w:val="en-GB"/>
        </w:rPr>
        <w:t>KfW</w:t>
      </w:r>
      <w:proofErr w:type="spellEnd"/>
      <w:r w:rsidR="00AE3659" w:rsidRPr="00891780">
        <w:rPr>
          <w:rFonts w:ascii="Calibri" w:eastAsia="SimSun" w:hAnsi="Calibri" w:cs="Calibri"/>
          <w:sz w:val="22"/>
          <w:szCs w:val="22"/>
          <w:lang w:val="en-GB"/>
        </w:rPr>
        <w:t xml:space="preserve">), was preceded by the signing of an Agreement between the Government of the Republic of Croatia and the Government of the Republic of Germany, according to which </w:t>
      </w:r>
      <w:proofErr w:type="spellStart"/>
      <w:r w:rsidR="00AE3659" w:rsidRPr="00891780">
        <w:rPr>
          <w:rFonts w:ascii="Calibri" w:eastAsia="SimSun" w:hAnsi="Calibri" w:cs="Calibri"/>
          <w:sz w:val="22"/>
          <w:szCs w:val="22"/>
          <w:lang w:val="en-GB"/>
        </w:rPr>
        <w:t>KfW</w:t>
      </w:r>
      <w:proofErr w:type="spellEnd"/>
      <w:r w:rsidR="00AE3659" w:rsidRPr="00891780">
        <w:rPr>
          <w:rFonts w:ascii="Calibri" w:eastAsia="SimSun" w:hAnsi="Calibri" w:cs="Calibri"/>
          <w:sz w:val="22"/>
          <w:szCs w:val="22"/>
          <w:lang w:val="en-GB"/>
        </w:rPr>
        <w:t xml:space="preserve"> </w:t>
      </w:r>
      <w:proofErr w:type="gramStart"/>
      <w:r w:rsidR="00AE3659" w:rsidRPr="00891780">
        <w:rPr>
          <w:rFonts w:ascii="Calibri" w:eastAsia="SimSun" w:hAnsi="Calibri" w:cs="Calibri"/>
          <w:sz w:val="22"/>
          <w:szCs w:val="22"/>
          <w:lang w:val="en-GB"/>
        </w:rPr>
        <w:t>was in charge of</w:t>
      </w:r>
      <w:proofErr w:type="gramEnd"/>
      <w:r w:rsidR="00AE3659" w:rsidRPr="00891780">
        <w:rPr>
          <w:rFonts w:ascii="Calibri" w:eastAsia="SimSun" w:hAnsi="Calibri" w:cs="Calibri"/>
          <w:sz w:val="22"/>
          <w:szCs w:val="22"/>
          <w:lang w:val="en-GB"/>
        </w:rPr>
        <w:t xml:space="preserve"> technical, financial and advisory assistance</w:t>
      </w:r>
      <w:r w:rsidR="004B21CA" w:rsidRPr="00891780">
        <w:rPr>
          <w:rFonts w:ascii="Calibri" w:eastAsia="SimSun" w:hAnsi="Calibri" w:cs="Calibri"/>
          <w:sz w:val="22"/>
          <w:szCs w:val="22"/>
          <w:lang w:val="en-GB"/>
        </w:rPr>
        <w:t xml:space="preserve"> to</w:t>
      </w:r>
      <w:r w:rsidR="00054989" w:rsidRPr="00891780">
        <w:rPr>
          <w:rFonts w:ascii="Calibri" w:eastAsia="SimSun" w:hAnsi="Calibri" w:cs="Calibri"/>
          <w:sz w:val="22"/>
          <w:szCs w:val="22"/>
          <w:lang w:val="en-GB"/>
        </w:rPr>
        <w:t xml:space="preserve"> HKBO.</w:t>
      </w:r>
    </w:p>
    <w:p w14:paraId="344258D5" w14:textId="5A89220C" w:rsidR="00ED7478" w:rsidRPr="00891780" w:rsidRDefault="00465DEA"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Throughout</w:t>
      </w:r>
      <w:r w:rsidR="004D12A5" w:rsidRPr="00891780">
        <w:rPr>
          <w:rFonts w:ascii="Calibri" w:eastAsia="SimSun" w:hAnsi="Calibri" w:cs="Calibri"/>
          <w:sz w:val="22"/>
          <w:szCs w:val="22"/>
          <w:lang w:val="en-GB"/>
        </w:rPr>
        <w:t xml:space="preserve"> </w:t>
      </w:r>
      <w:r w:rsidRPr="00891780">
        <w:rPr>
          <w:rFonts w:ascii="Calibri" w:eastAsia="SimSun" w:hAnsi="Calibri" w:cs="Calibri"/>
          <w:sz w:val="22"/>
          <w:szCs w:val="22"/>
          <w:lang w:val="en-GB"/>
        </w:rPr>
        <w:t>its</w:t>
      </w:r>
      <w:r w:rsidR="004D12A5" w:rsidRPr="00891780">
        <w:rPr>
          <w:rFonts w:ascii="Calibri" w:eastAsia="SimSun" w:hAnsi="Calibri" w:cs="Calibri"/>
          <w:sz w:val="22"/>
          <w:szCs w:val="22"/>
          <w:lang w:val="en-GB"/>
        </w:rPr>
        <w:t xml:space="preserve"> history full of </w:t>
      </w:r>
      <w:r w:rsidR="00FD51A0" w:rsidRPr="00891780">
        <w:rPr>
          <w:rFonts w:ascii="Calibri" w:eastAsia="SimSun" w:hAnsi="Calibri" w:cs="Calibri"/>
          <w:sz w:val="22"/>
          <w:szCs w:val="22"/>
          <w:lang w:val="en-GB"/>
        </w:rPr>
        <w:t>milestones</w:t>
      </w:r>
      <w:r w:rsidR="004D12A5" w:rsidRPr="00891780">
        <w:rPr>
          <w:rFonts w:ascii="Calibri" w:eastAsia="SimSun" w:hAnsi="Calibri" w:cs="Calibri"/>
          <w:sz w:val="22"/>
          <w:szCs w:val="22"/>
          <w:lang w:val="en-GB"/>
        </w:rPr>
        <w:t xml:space="preserve">, HBOR successfully strengthened its market presence and </w:t>
      </w:r>
      <w:r w:rsidR="00AF48E7" w:rsidRPr="00891780">
        <w:rPr>
          <w:rFonts w:ascii="Calibri" w:eastAsia="SimSun" w:hAnsi="Calibri" w:cs="Calibri"/>
          <w:sz w:val="22"/>
          <w:szCs w:val="22"/>
          <w:lang w:val="en-GB"/>
        </w:rPr>
        <w:t>has evolved</w:t>
      </w:r>
      <w:r w:rsidR="004D12A5" w:rsidRPr="00891780">
        <w:rPr>
          <w:rFonts w:ascii="Calibri" w:eastAsia="SimSun" w:hAnsi="Calibri" w:cs="Calibri"/>
          <w:sz w:val="22"/>
          <w:szCs w:val="22"/>
          <w:lang w:val="en-GB"/>
        </w:rPr>
        <w:t xml:space="preserve"> from a bank for the reconstruction of war-</w:t>
      </w:r>
      <w:r w:rsidR="00512CCD" w:rsidRPr="00891780">
        <w:rPr>
          <w:rFonts w:ascii="Calibri" w:eastAsia="SimSun" w:hAnsi="Calibri" w:cs="Calibri"/>
          <w:sz w:val="22"/>
          <w:szCs w:val="22"/>
          <w:lang w:val="en-GB"/>
        </w:rPr>
        <w:t>destroyed</w:t>
      </w:r>
      <w:r w:rsidR="004D12A5" w:rsidRPr="00891780">
        <w:rPr>
          <w:rFonts w:ascii="Calibri" w:eastAsia="SimSun" w:hAnsi="Calibri" w:cs="Calibri"/>
          <w:sz w:val="22"/>
          <w:szCs w:val="22"/>
          <w:lang w:val="en-GB"/>
        </w:rPr>
        <w:t xml:space="preserve"> economy to a modern, internationally recogni</w:t>
      </w:r>
      <w:r w:rsidR="00ED7478" w:rsidRPr="00891780">
        <w:rPr>
          <w:rFonts w:ascii="Calibri" w:eastAsia="SimSun" w:hAnsi="Calibri" w:cs="Calibri"/>
          <w:sz w:val="22"/>
          <w:szCs w:val="22"/>
          <w:lang w:val="en-GB"/>
        </w:rPr>
        <w:t>s</w:t>
      </w:r>
      <w:r w:rsidR="004D12A5" w:rsidRPr="00891780">
        <w:rPr>
          <w:rFonts w:ascii="Calibri" w:eastAsia="SimSun" w:hAnsi="Calibri" w:cs="Calibri"/>
          <w:sz w:val="22"/>
          <w:szCs w:val="22"/>
          <w:lang w:val="en-GB"/>
        </w:rPr>
        <w:t>ed development and export bank and export credit agency.</w:t>
      </w:r>
      <w:r w:rsidR="00054989" w:rsidRPr="00891780">
        <w:rPr>
          <w:rFonts w:ascii="Calibri" w:eastAsia="SimSun" w:hAnsi="Calibri" w:cs="Calibri"/>
          <w:sz w:val="22"/>
          <w:szCs w:val="22"/>
          <w:lang w:val="en-GB"/>
        </w:rPr>
        <w:t xml:space="preserve"> </w:t>
      </w:r>
    </w:p>
    <w:p w14:paraId="1748D734" w14:textId="0EE2B0D8" w:rsidR="00382CF2" w:rsidRPr="00891780" w:rsidRDefault="00CF3E3A"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The strength and importance of HBOR are best confirmed by the figures - during thirty years of </w:t>
      </w:r>
      <w:r w:rsidR="00AA69C2" w:rsidRPr="00891780">
        <w:rPr>
          <w:rFonts w:ascii="Calibri" w:eastAsia="SimSun" w:hAnsi="Calibri" w:cs="Calibri"/>
          <w:sz w:val="22"/>
          <w:szCs w:val="22"/>
          <w:lang w:val="en-GB"/>
        </w:rPr>
        <w:t xml:space="preserve">its </w:t>
      </w:r>
      <w:r w:rsidRPr="00891780">
        <w:rPr>
          <w:rFonts w:ascii="Calibri" w:eastAsia="SimSun" w:hAnsi="Calibri" w:cs="Calibri"/>
          <w:sz w:val="22"/>
          <w:szCs w:val="22"/>
          <w:lang w:val="en-GB"/>
        </w:rPr>
        <w:t>operation, the Bank has supported almost 70 thousand projects with an amount of over HRK 203 billion.</w:t>
      </w:r>
      <w:r w:rsidR="00054989" w:rsidRPr="00891780">
        <w:rPr>
          <w:rFonts w:ascii="Calibri" w:eastAsia="SimSun" w:hAnsi="Calibri" w:cs="Calibri"/>
          <w:sz w:val="22"/>
          <w:szCs w:val="22"/>
          <w:lang w:val="en-GB"/>
        </w:rPr>
        <w:t xml:space="preserve"> </w:t>
      </w:r>
      <w:r w:rsidR="00E148FD" w:rsidRPr="00891780">
        <w:rPr>
          <w:rFonts w:ascii="Calibri" w:eastAsia="SimSun" w:hAnsi="Calibri" w:cs="Calibri"/>
          <w:sz w:val="22"/>
          <w:szCs w:val="22"/>
          <w:lang w:val="en-GB"/>
        </w:rPr>
        <w:t>The first business year ended with assets of HRK 335 million, and today, HBOR's total assets amount to HRK 29 billion.</w:t>
      </w:r>
    </w:p>
    <w:p w14:paraId="1748D736" w14:textId="2874C916" w:rsidR="00382CF2" w:rsidRPr="00891780" w:rsidRDefault="00295727"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The readiness for rapid changes and </w:t>
      </w:r>
      <w:r w:rsidR="002F2076" w:rsidRPr="00891780">
        <w:rPr>
          <w:rFonts w:ascii="Calibri" w:eastAsia="SimSun" w:hAnsi="Calibri" w:cs="Calibri"/>
          <w:sz w:val="22"/>
          <w:szCs w:val="22"/>
          <w:lang w:val="en-GB"/>
        </w:rPr>
        <w:t>ad</w:t>
      </w:r>
      <w:r w:rsidR="004D375D" w:rsidRPr="00891780">
        <w:rPr>
          <w:rFonts w:ascii="Calibri" w:eastAsia="SimSun" w:hAnsi="Calibri" w:cs="Calibri"/>
          <w:sz w:val="22"/>
          <w:szCs w:val="22"/>
          <w:lang w:val="en-GB"/>
        </w:rPr>
        <w:t>justment</w:t>
      </w:r>
      <w:r w:rsidRPr="00891780">
        <w:rPr>
          <w:rFonts w:ascii="Calibri" w:eastAsia="SimSun" w:hAnsi="Calibri" w:cs="Calibri"/>
          <w:sz w:val="22"/>
          <w:szCs w:val="22"/>
          <w:lang w:val="en-GB"/>
        </w:rPr>
        <w:t xml:space="preserve"> of operations to the needs of the Croatian economy are key factors </w:t>
      </w:r>
      <w:r w:rsidR="004D375D" w:rsidRPr="00891780">
        <w:rPr>
          <w:rFonts w:ascii="Calibri" w:eastAsia="SimSun" w:hAnsi="Calibri" w:cs="Calibri"/>
          <w:sz w:val="22"/>
          <w:szCs w:val="22"/>
          <w:lang w:val="en-GB"/>
        </w:rPr>
        <w:t>of</w:t>
      </w:r>
      <w:r w:rsidRPr="00891780">
        <w:rPr>
          <w:rFonts w:ascii="Calibri" w:eastAsia="SimSun" w:hAnsi="Calibri" w:cs="Calibri"/>
          <w:sz w:val="22"/>
          <w:szCs w:val="22"/>
          <w:lang w:val="en-GB"/>
        </w:rPr>
        <w:t xml:space="preserve"> HBOR's success.  </w:t>
      </w:r>
    </w:p>
    <w:p w14:paraId="1748D737" w14:textId="52F3BE36" w:rsidR="00163AF2" w:rsidRPr="00891780" w:rsidRDefault="00163AF2" w:rsidP="000B677E">
      <w:pPr>
        <w:rPr>
          <w:rFonts w:ascii="Calibri" w:eastAsia="SimSun" w:hAnsi="Calibri" w:cs="Calibri"/>
          <w:sz w:val="22"/>
          <w:szCs w:val="22"/>
          <w:lang w:val="en-GB"/>
        </w:rPr>
      </w:pPr>
      <w:r w:rsidRPr="00891780">
        <w:rPr>
          <w:rFonts w:ascii="Calibri" w:eastAsia="SimSun" w:hAnsi="Calibri" w:cs="Calibri"/>
          <w:sz w:val="22"/>
          <w:szCs w:val="22"/>
          <w:lang w:val="en-GB"/>
        </w:rPr>
        <w:br w:type="page"/>
      </w:r>
    </w:p>
    <w:p w14:paraId="618CD74F" w14:textId="5FBD5750" w:rsidR="00163AF2" w:rsidRPr="00891780" w:rsidRDefault="005B4973" w:rsidP="000B677E">
      <w:pPr>
        <w:keepNext/>
        <w:keepLines/>
        <w:pBdr>
          <w:bottom w:val="single" w:sz="4" w:space="2" w:color="B2B2B2"/>
        </w:pBdr>
        <w:jc w:val="both"/>
        <w:outlineLvl w:val="0"/>
        <w:rPr>
          <w:rFonts w:ascii="Calibri" w:eastAsia="SimHei" w:hAnsi="Calibri" w:cs="Calibri"/>
          <w:b/>
          <w:bCs/>
          <w:sz w:val="22"/>
          <w:szCs w:val="22"/>
          <w:lang w:val="en-GB"/>
        </w:rPr>
      </w:pPr>
      <w:bookmarkStart w:id="21" w:name="_Toc97908638"/>
      <w:bookmarkStart w:id="22" w:name="_Toc3249203"/>
      <w:bookmarkStart w:id="23" w:name="_Toc129176336"/>
      <w:bookmarkEnd w:id="19"/>
      <w:bookmarkEnd w:id="20"/>
      <w:r w:rsidRPr="00891780">
        <w:rPr>
          <w:rFonts w:asciiTheme="minorHAnsi" w:hAnsiTheme="minorHAnsi" w:cstheme="minorHAnsi"/>
          <w:b/>
          <w:bCs/>
          <w:sz w:val="22"/>
          <w:szCs w:val="22"/>
          <w:lang w:val="en-GB"/>
        </w:rPr>
        <w:lastRenderedPageBreak/>
        <w:t xml:space="preserve">DESCRIPTION OF OPERATIONS OF HBOR GROUP IN </w:t>
      </w:r>
      <w:r w:rsidR="00163AF2" w:rsidRPr="00891780">
        <w:rPr>
          <w:rFonts w:ascii="Calibri" w:eastAsia="SimHei" w:hAnsi="Calibri" w:cs="Calibri"/>
          <w:b/>
          <w:bCs/>
          <w:sz w:val="22"/>
          <w:szCs w:val="22"/>
          <w:lang w:val="en-GB"/>
        </w:rPr>
        <w:t>2022</w:t>
      </w:r>
      <w:bookmarkEnd w:id="21"/>
      <w:bookmarkEnd w:id="22"/>
      <w:bookmarkEnd w:id="23"/>
    </w:p>
    <w:p w14:paraId="732CEE27" w14:textId="77777777" w:rsidR="00163AF2" w:rsidRPr="00891780" w:rsidRDefault="00163AF2" w:rsidP="000B677E">
      <w:pPr>
        <w:jc w:val="both"/>
        <w:rPr>
          <w:rFonts w:ascii="Calibri" w:eastAsia="SimSun" w:hAnsi="Calibri" w:cs="Calibri"/>
          <w:sz w:val="22"/>
          <w:szCs w:val="22"/>
          <w:lang w:val="en-GB"/>
        </w:rPr>
      </w:pPr>
    </w:p>
    <w:p w14:paraId="1DB9430F" w14:textId="590DD76B" w:rsidR="00163AF2" w:rsidRPr="00891780" w:rsidRDefault="008F4B97" w:rsidP="000B677E">
      <w:pPr>
        <w:keepNext/>
        <w:keepLines/>
        <w:pBdr>
          <w:bottom w:val="single" w:sz="4" w:space="2" w:color="B2B2B2"/>
        </w:pBdr>
        <w:jc w:val="both"/>
        <w:outlineLvl w:val="0"/>
        <w:rPr>
          <w:rFonts w:ascii="Calibri" w:eastAsia="SimHei" w:hAnsi="Calibri" w:cs="Calibri"/>
          <w:b/>
          <w:bCs/>
          <w:sz w:val="22"/>
          <w:szCs w:val="22"/>
          <w:lang w:val="en-GB"/>
        </w:rPr>
      </w:pPr>
      <w:bookmarkStart w:id="24" w:name="_Toc3249204"/>
      <w:bookmarkStart w:id="25" w:name="_Toc97908639"/>
      <w:bookmarkStart w:id="26" w:name="_Toc129176337"/>
      <w:r w:rsidRPr="00891780">
        <w:rPr>
          <w:rFonts w:ascii="Calibri" w:eastAsia="SimHei" w:hAnsi="Calibri" w:cs="Calibri"/>
          <w:b/>
          <w:bCs/>
          <w:sz w:val="22"/>
          <w:szCs w:val="22"/>
          <w:lang w:val="en-GB"/>
        </w:rPr>
        <w:t>OPERATIONS OF CROATIAN BANK FOR RECONSTRUCTION AND DEVELOPMENT</w:t>
      </w:r>
      <w:bookmarkEnd w:id="24"/>
      <w:bookmarkEnd w:id="25"/>
      <w:bookmarkEnd w:id="26"/>
    </w:p>
    <w:p w14:paraId="19D846EF" w14:textId="77777777" w:rsidR="002F7EBA" w:rsidRPr="00891780" w:rsidRDefault="002F7EBA" w:rsidP="000B677E">
      <w:pPr>
        <w:spacing w:line="276" w:lineRule="auto"/>
        <w:jc w:val="both"/>
        <w:rPr>
          <w:rStyle w:val="Zadanifontodlomka1"/>
          <w:rFonts w:ascii="Calibri" w:eastAsia="SimSun" w:hAnsi="Calibri" w:cs="Calibri"/>
          <w:sz w:val="22"/>
          <w:szCs w:val="22"/>
          <w:lang w:val="en-GB"/>
        </w:rPr>
      </w:pPr>
    </w:p>
    <w:p w14:paraId="74AEF151" w14:textId="4A9E2D2D" w:rsidR="002F7EBA" w:rsidRPr="00891780" w:rsidRDefault="006721E0" w:rsidP="000B677E">
      <w:pPr>
        <w:spacing w:after="120" w:line="276" w:lineRule="auto"/>
        <w:jc w:val="both"/>
        <w:rPr>
          <w:rStyle w:val="Zadanifontodlomka1"/>
          <w:rFonts w:ascii="Calibri" w:eastAsia="SimSun" w:hAnsi="Calibri" w:cs="Calibri"/>
          <w:sz w:val="22"/>
          <w:szCs w:val="22"/>
          <w:lang w:val="en-GB"/>
        </w:rPr>
      </w:pPr>
      <w:bookmarkStart w:id="27" w:name="OLE_LINK4"/>
      <w:r w:rsidRPr="00891780">
        <w:rPr>
          <w:rStyle w:val="Zadanifontodlomka1"/>
          <w:rFonts w:ascii="Calibri" w:eastAsia="SimSun" w:hAnsi="Calibri" w:cs="Calibri"/>
          <w:sz w:val="22"/>
          <w:szCs w:val="22"/>
          <w:lang w:val="en-GB"/>
        </w:rPr>
        <w:t xml:space="preserve">The reporting 2022 was another challenging year for the financial and </w:t>
      </w:r>
      <w:r w:rsidR="00AD63E7" w:rsidRPr="00891780">
        <w:rPr>
          <w:rStyle w:val="Zadanifontodlomka1"/>
          <w:rFonts w:ascii="Calibri" w:eastAsia="SimSun" w:hAnsi="Calibri" w:cs="Calibri"/>
          <w:sz w:val="22"/>
          <w:szCs w:val="22"/>
          <w:lang w:val="en-GB"/>
        </w:rPr>
        <w:t>business</w:t>
      </w:r>
      <w:r w:rsidRPr="00891780">
        <w:rPr>
          <w:rStyle w:val="Zadanifontodlomka1"/>
          <w:rFonts w:ascii="Calibri" w:eastAsia="SimSun" w:hAnsi="Calibri" w:cs="Calibri"/>
          <w:sz w:val="22"/>
          <w:szCs w:val="22"/>
          <w:lang w:val="en-GB"/>
        </w:rPr>
        <w:t xml:space="preserve"> sector, both in Europe and in the Republic of Croatia.</w:t>
      </w:r>
      <w:r w:rsidR="002F7EBA" w:rsidRPr="00891780">
        <w:rPr>
          <w:rStyle w:val="Zadanifontodlomka1"/>
          <w:rFonts w:ascii="Calibri" w:eastAsia="SimSun" w:hAnsi="Calibri" w:cs="Calibri"/>
          <w:sz w:val="22"/>
          <w:szCs w:val="22"/>
          <w:lang w:val="en-GB"/>
        </w:rPr>
        <w:t xml:space="preserve"> </w:t>
      </w:r>
      <w:bookmarkStart w:id="28" w:name="OLE_LINK6"/>
      <w:r w:rsidR="006F0E9B" w:rsidRPr="00891780">
        <w:rPr>
          <w:rStyle w:val="Zadanifontodlomka1"/>
          <w:rFonts w:ascii="Calibri" w:eastAsia="SimSun" w:hAnsi="Calibri" w:cs="Calibri"/>
          <w:sz w:val="22"/>
          <w:szCs w:val="22"/>
          <w:lang w:val="en-GB"/>
        </w:rPr>
        <w:t xml:space="preserve">The economic recovery from the crisis caused by the pandemic, which began at the end of 2021, was abruptly </w:t>
      </w:r>
      <w:r w:rsidR="001F025D" w:rsidRPr="00891780">
        <w:rPr>
          <w:rStyle w:val="Zadanifontodlomka1"/>
          <w:rFonts w:ascii="Calibri" w:eastAsia="SimSun" w:hAnsi="Calibri" w:cs="Calibri"/>
          <w:sz w:val="22"/>
          <w:szCs w:val="22"/>
          <w:lang w:val="en-GB"/>
        </w:rPr>
        <w:t>halted</w:t>
      </w:r>
      <w:r w:rsidR="006F0E9B" w:rsidRPr="00891780">
        <w:rPr>
          <w:rStyle w:val="Zadanifontodlomka1"/>
          <w:rFonts w:ascii="Calibri" w:eastAsia="SimSun" w:hAnsi="Calibri" w:cs="Calibri"/>
          <w:sz w:val="22"/>
          <w:szCs w:val="22"/>
          <w:lang w:val="en-GB"/>
        </w:rPr>
        <w:t xml:space="preserve"> by a new crisis caused by the war in Ukraine.</w:t>
      </w:r>
      <w:r w:rsidR="002F7EBA" w:rsidRPr="00891780">
        <w:rPr>
          <w:rStyle w:val="Zadanifontodlomka1"/>
          <w:rFonts w:ascii="Calibri" w:eastAsia="SimSun" w:hAnsi="Calibri" w:cs="Calibri"/>
          <w:sz w:val="22"/>
          <w:szCs w:val="22"/>
          <w:lang w:val="en-GB"/>
        </w:rPr>
        <w:t xml:space="preserve"> </w:t>
      </w:r>
      <w:r w:rsidR="00BC0679" w:rsidRPr="00891780">
        <w:rPr>
          <w:rStyle w:val="Zadanifontodlomka1"/>
          <w:rFonts w:ascii="Calibri" w:eastAsia="SimSun" w:hAnsi="Calibri" w:cs="Calibri"/>
          <w:sz w:val="22"/>
          <w:szCs w:val="22"/>
          <w:lang w:val="en-GB"/>
        </w:rPr>
        <w:t xml:space="preserve">Disruptions in supply chains, increases in energy prices and high inflationary pressures had a negative impact on the Croatian economy, </w:t>
      </w:r>
      <w:r w:rsidR="007E0F93" w:rsidRPr="00891780">
        <w:rPr>
          <w:rStyle w:val="Zadanifontodlomka1"/>
          <w:rFonts w:ascii="Calibri" w:eastAsia="SimSun" w:hAnsi="Calibri" w:cs="Calibri"/>
          <w:sz w:val="22"/>
          <w:szCs w:val="22"/>
          <w:lang w:val="en-GB"/>
        </w:rPr>
        <w:t>and reduced</w:t>
      </w:r>
      <w:r w:rsidR="00BC0679" w:rsidRPr="00891780">
        <w:rPr>
          <w:rStyle w:val="Zadanifontodlomka1"/>
          <w:rFonts w:ascii="Calibri" w:eastAsia="SimSun" w:hAnsi="Calibri" w:cs="Calibri"/>
          <w:sz w:val="22"/>
          <w:szCs w:val="22"/>
          <w:lang w:val="en-GB"/>
        </w:rPr>
        <w:t xml:space="preserve"> the willingness and capacity of Croatian businessmen for new investments.</w:t>
      </w:r>
      <w:r w:rsidR="002F7EBA" w:rsidRPr="00891780">
        <w:rPr>
          <w:rStyle w:val="Zadanifontodlomka1"/>
          <w:rFonts w:ascii="Calibri" w:eastAsia="SimSun" w:hAnsi="Calibri" w:cs="Calibri"/>
          <w:sz w:val="22"/>
          <w:szCs w:val="22"/>
          <w:lang w:val="en-GB"/>
        </w:rPr>
        <w:t xml:space="preserve"> </w:t>
      </w:r>
      <w:proofErr w:type="gramStart"/>
      <w:r w:rsidR="00DB3D83" w:rsidRPr="00891780">
        <w:rPr>
          <w:rStyle w:val="Zadanifontodlomka1"/>
          <w:rFonts w:ascii="Calibri" w:eastAsia="SimSun" w:hAnsi="Calibri" w:cs="Calibri"/>
          <w:sz w:val="22"/>
          <w:szCs w:val="22"/>
          <w:lang w:val="en-GB"/>
        </w:rPr>
        <w:t>In order to</w:t>
      </w:r>
      <w:proofErr w:type="gramEnd"/>
      <w:r w:rsidR="00DB3D83" w:rsidRPr="00891780">
        <w:rPr>
          <w:rStyle w:val="Zadanifontodlomka1"/>
          <w:rFonts w:ascii="Calibri" w:eastAsia="SimSun" w:hAnsi="Calibri" w:cs="Calibri"/>
          <w:sz w:val="22"/>
          <w:szCs w:val="22"/>
          <w:lang w:val="en-GB"/>
        </w:rPr>
        <w:t xml:space="preserve"> support economic activities and thus mitigate the consequences of an unfavourable economic environment, </w:t>
      </w:r>
      <w:r w:rsidR="00794A9D">
        <w:rPr>
          <w:rStyle w:val="Zadanifontodlomka1"/>
          <w:rFonts w:ascii="Calibri" w:eastAsia="SimSun" w:hAnsi="Calibri" w:cs="Calibri"/>
          <w:sz w:val="22"/>
          <w:szCs w:val="22"/>
          <w:lang w:val="en-GB"/>
        </w:rPr>
        <w:t xml:space="preserve">just like </w:t>
      </w:r>
      <w:r w:rsidR="00DB3D83" w:rsidRPr="00891780">
        <w:rPr>
          <w:rStyle w:val="Zadanifontodlomka1"/>
          <w:rFonts w:ascii="Calibri" w:eastAsia="SimSun" w:hAnsi="Calibri" w:cs="Calibri"/>
          <w:sz w:val="22"/>
          <w:szCs w:val="22"/>
          <w:lang w:val="en-GB"/>
        </w:rPr>
        <w:t>during the COVID</w:t>
      </w:r>
      <w:r w:rsidR="00C7012A">
        <w:rPr>
          <w:rStyle w:val="Zadanifontodlomka1"/>
          <w:rFonts w:ascii="Calibri" w:eastAsia="SimSun" w:hAnsi="Calibri" w:cs="Calibri"/>
          <w:sz w:val="22"/>
          <w:szCs w:val="22"/>
          <w:lang w:val="en-GB"/>
        </w:rPr>
        <w:t>-19 pandemic</w:t>
      </w:r>
      <w:r w:rsidR="00DB3D83" w:rsidRPr="00891780">
        <w:rPr>
          <w:rStyle w:val="Zadanifontodlomka1"/>
          <w:rFonts w:ascii="Calibri" w:eastAsia="SimSun" w:hAnsi="Calibri" w:cs="Calibri"/>
          <w:sz w:val="22"/>
          <w:szCs w:val="22"/>
          <w:lang w:val="en-GB"/>
        </w:rPr>
        <w:t>, HBOR reacted promptly by introducing new measures.</w:t>
      </w:r>
      <w:bookmarkEnd w:id="28"/>
    </w:p>
    <w:p w14:paraId="766C9D38" w14:textId="0DCC212F" w:rsidR="002F7EBA" w:rsidRPr="00891780" w:rsidRDefault="00215B94" w:rsidP="000B677E">
      <w:pPr>
        <w:spacing w:after="120" w:line="276" w:lineRule="auto"/>
        <w:jc w:val="both"/>
        <w:rPr>
          <w:rStyle w:val="Zadanifontodlomka1"/>
          <w:rFonts w:ascii="Calibri" w:eastAsia="SimSun" w:hAnsi="Calibri" w:cs="Calibri"/>
          <w:sz w:val="22"/>
          <w:szCs w:val="22"/>
          <w:lang w:val="en-GB"/>
        </w:rPr>
      </w:pPr>
      <w:bookmarkStart w:id="29" w:name="OLE_LINK7"/>
      <w:bookmarkEnd w:id="27"/>
      <w:r w:rsidRPr="00891780">
        <w:rPr>
          <w:rStyle w:val="Zadanifontodlomka1"/>
          <w:rFonts w:ascii="Calibri" w:eastAsia="SimSun" w:hAnsi="Calibri" w:cs="Calibri"/>
          <w:sz w:val="22"/>
          <w:szCs w:val="22"/>
          <w:lang w:val="en-GB"/>
        </w:rPr>
        <w:t xml:space="preserve">Along with the implementation of crisis measures related to </w:t>
      </w:r>
      <w:r w:rsidR="00765E08">
        <w:rPr>
          <w:rStyle w:val="Zadanifontodlomka1"/>
          <w:rFonts w:ascii="Calibri" w:eastAsia="SimSun" w:hAnsi="Calibri" w:cs="Calibri"/>
          <w:sz w:val="22"/>
          <w:szCs w:val="22"/>
          <w:lang w:val="en-GB"/>
        </w:rPr>
        <w:t xml:space="preserve">the difficulties caused by </w:t>
      </w:r>
      <w:r w:rsidR="00B52A55">
        <w:rPr>
          <w:rStyle w:val="Zadanifontodlomka1"/>
          <w:rFonts w:ascii="Calibri" w:eastAsia="SimSun" w:hAnsi="Calibri" w:cs="Calibri"/>
          <w:sz w:val="22"/>
          <w:szCs w:val="22"/>
          <w:lang w:val="en-GB"/>
        </w:rPr>
        <w:t xml:space="preserve">the </w:t>
      </w:r>
      <w:r w:rsidRPr="00891780">
        <w:rPr>
          <w:rStyle w:val="Zadanifontodlomka1"/>
          <w:rFonts w:ascii="Calibri" w:eastAsia="SimSun" w:hAnsi="Calibri" w:cs="Calibri"/>
          <w:sz w:val="22"/>
          <w:szCs w:val="22"/>
          <w:lang w:val="en-GB"/>
        </w:rPr>
        <w:t>COVID</w:t>
      </w:r>
      <w:r w:rsidR="00B52A55">
        <w:rPr>
          <w:rStyle w:val="Zadanifontodlomka1"/>
          <w:rFonts w:ascii="Calibri" w:eastAsia="SimSun" w:hAnsi="Calibri" w:cs="Calibri"/>
          <w:sz w:val="22"/>
          <w:szCs w:val="22"/>
          <w:lang w:val="en-GB"/>
        </w:rPr>
        <w:t>-19 pandemic and the war in</w:t>
      </w:r>
      <w:r w:rsidRPr="00891780">
        <w:rPr>
          <w:rStyle w:val="Zadanifontodlomka1"/>
          <w:rFonts w:ascii="Calibri" w:eastAsia="SimSun" w:hAnsi="Calibri" w:cs="Calibri"/>
          <w:sz w:val="22"/>
          <w:szCs w:val="22"/>
          <w:lang w:val="en-GB"/>
        </w:rPr>
        <w:t xml:space="preserve"> Ukraine, the implementation of financial instruments within the National Recovery and Resilience Plan (NRRP) </w:t>
      </w:r>
      <w:r w:rsidR="00985920" w:rsidRPr="00891780">
        <w:rPr>
          <w:rStyle w:val="Zadanifontodlomka1"/>
          <w:rFonts w:ascii="Calibri" w:eastAsia="SimSun" w:hAnsi="Calibri" w:cs="Calibri"/>
          <w:sz w:val="22"/>
          <w:szCs w:val="22"/>
          <w:lang w:val="en-GB"/>
        </w:rPr>
        <w:t>began</w:t>
      </w:r>
      <w:r w:rsidRPr="00891780">
        <w:rPr>
          <w:rStyle w:val="Zadanifontodlomka1"/>
          <w:rFonts w:ascii="Calibri" w:eastAsia="SimSun" w:hAnsi="Calibri" w:cs="Calibri"/>
          <w:sz w:val="22"/>
          <w:szCs w:val="22"/>
          <w:lang w:val="en-GB"/>
        </w:rPr>
        <w:t xml:space="preserve"> during the reporting year.</w:t>
      </w:r>
      <w:r w:rsidR="002F7EBA" w:rsidRPr="00891780">
        <w:rPr>
          <w:rStyle w:val="Zadanifontodlomka1"/>
          <w:rFonts w:ascii="Calibri" w:eastAsia="SimSun" w:hAnsi="Calibri" w:cs="Calibri"/>
          <w:sz w:val="22"/>
          <w:szCs w:val="22"/>
          <w:lang w:val="en-GB"/>
        </w:rPr>
        <w:t xml:space="preserve"> </w:t>
      </w:r>
      <w:r w:rsidR="002A51C2" w:rsidRPr="00891780">
        <w:rPr>
          <w:rStyle w:val="Zadanifontodlomka1"/>
          <w:rFonts w:ascii="Calibri" w:eastAsia="SimSun" w:hAnsi="Calibri" w:cs="Calibri"/>
          <w:sz w:val="22"/>
          <w:szCs w:val="22"/>
          <w:lang w:val="en-GB"/>
        </w:rPr>
        <w:t>Within the framework of the NRRP, HBOR was entrusted</w:t>
      </w:r>
      <w:r w:rsidR="002F7EBA" w:rsidRPr="00891780">
        <w:rPr>
          <w:rStyle w:val="Zadanifontodlomka1"/>
          <w:rFonts w:ascii="Calibri" w:eastAsia="SimSun" w:hAnsi="Calibri" w:cs="Calibri"/>
          <w:sz w:val="22"/>
          <w:szCs w:val="22"/>
          <w:lang w:val="en-GB"/>
        </w:rPr>
        <w:t xml:space="preserve"> </w:t>
      </w:r>
      <w:r w:rsidR="002B07D2" w:rsidRPr="00891780">
        <w:rPr>
          <w:rStyle w:val="Zadanifontodlomka1"/>
          <w:rFonts w:ascii="Calibri" w:eastAsia="SimSun" w:hAnsi="Calibri" w:cs="Calibri"/>
          <w:sz w:val="22"/>
          <w:szCs w:val="22"/>
          <w:lang w:val="en-GB"/>
        </w:rPr>
        <w:t xml:space="preserve">with the implementation of financial instruments worth HRK 1.925 billion (EUR 255.5 million) with the aim of further strengthening investment activity in the domestic economy, strengthening the competitiveness and resilience of economic entities, and encouraging the transition towards green and digital technologies </w:t>
      </w:r>
      <w:r w:rsidR="00675CAA" w:rsidRPr="00891780">
        <w:rPr>
          <w:rStyle w:val="Zadanifontodlomka1"/>
          <w:rFonts w:ascii="Calibri" w:eastAsia="SimSun" w:hAnsi="Calibri" w:cs="Calibri"/>
          <w:sz w:val="22"/>
          <w:szCs w:val="22"/>
          <w:lang w:val="en-GB"/>
        </w:rPr>
        <w:t>as the basis of future sustainability and competitiveness</w:t>
      </w:r>
      <w:bookmarkEnd w:id="29"/>
      <w:r w:rsidR="002F7EBA" w:rsidRPr="00891780">
        <w:rPr>
          <w:rStyle w:val="Zadanifontodlomka1"/>
          <w:rFonts w:ascii="Calibri" w:eastAsia="SimSun" w:hAnsi="Calibri" w:cs="Calibri"/>
          <w:sz w:val="22"/>
          <w:szCs w:val="22"/>
          <w:lang w:val="en-GB"/>
        </w:rPr>
        <w:t>.</w:t>
      </w:r>
    </w:p>
    <w:p w14:paraId="3FD863A8" w14:textId="4BE4090C" w:rsidR="002F7EBA" w:rsidRPr="00891780" w:rsidRDefault="001B38DF" w:rsidP="000B677E">
      <w:pPr>
        <w:spacing w:after="120" w:line="276" w:lineRule="auto"/>
        <w:jc w:val="both"/>
        <w:rPr>
          <w:rStyle w:val="Zadanifontodlomka1"/>
          <w:rFonts w:ascii="Calibri" w:eastAsia="SimSun" w:hAnsi="Calibri" w:cs="Calibri"/>
          <w:sz w:val="22"/>
          <w:szCs w:val="22"/>
          <w:lang w:val="en-GB"/>
        </w:rPr>
      </w:pPr>
      <w:bookmarkStart w:id="30" w:name="OLE_LINK8"/>
      <w:r w:rsidRPr="00891780">
        <w:rPr>
          <w:rStyle w:val="Zadanifontodlomka1"/>
          <w:rFonts w:ascii="Calibri" w:eastAsia="SimSun" w:hAnsi="Calibri" w:cs="Calibri"/>
          <w:sz w:val="22"/>
          <w:szCs w:val="22"/>
          <w:lang w:val="en-GB"/>
        </w:rPr>
        <w:t>Along with the introduction of new measures and financial instruments, during 2022</w:t>
      </w:r>
      <w:r w:rsidR="001552AD" w:rsidRPr="00891780">
        <w:rPr>
          <w:rStyle w:val="Zadanifontodlomka1"/>
          <w:rFonts w:ascii="Calibri" w:eastAsia="SimSun" w:hAnsi="Calibri" w:cs="Calibri"/>
          <w:sz w:val="22"/>
          <w:szCs w:val="22"/>
          <w:lang w:val="en-GB"/>
        </w:rPr>
        <w:t>,</w:t>
      </w:r>
      <w:r w:rsidRPr="00891780">
        <w:rPr>
          <w:rStyle w:val="Zadanifontodlomka1"/>
          <w:rFonts w:ascii="Calibri" w:eastAsia="SimSun" w:hAnsi="Calibri" w:cs="Calibri"/>
          <w:sz w:val="22"/>
          <w:szCs w:val="22"/>
          <w:lang w:val="en-GB"/>
        </w:rPr>
        <w:t xml:space="preserve"> HBOR continued the implementation of its </w:t>
      </w:r>
      <w:r w:rsidR="00343DA5" w:rsidRPr="00891780">
        <w:rPr>
          <w:rStyle w:val="Zadanifontodlomka1"/>
          <w:rFonts w:ascii="Calibri" w:eastAsia="SimSun" w:hAnsi="Calibri" w:cs="Calibri"/>
          <w:sz w:val="22"/>
          <w:szCs w:val="22"/>
          <w:lang w:val="en-GB"/>
        </w:rPr>
        <w:t>current</w:t>
      </w:r>
      <w:r w:rsidRPr="00891780">
        <w:rPr>
          <w:rStyle w:val="Zadanifontodlomka1"/>
          <w:rFonts w:ascii="Calibri" w:eastAsia="SimSun" w:hAnsi="Calibri" w:cs="Calibri"/>
          <w:sz w:val="22"/>
          <w:szCs w:val="22"/>
          <w:lang w:val="en-GB"/>
        </w:rPr>
        <w:t xml:space="preserve"> investment and working capital loan programmes, guarantee </w:t>
      </w:r>
      <w:r w:rsidR="005C18D1" w:rsidRPr="00891780">
        <w:rPr>
          <w:rStyle w:val="Zadanifontodlomka1"/>
          <w:rFonts w:ascii="Calibri" w:eastAsia="SimSun" w:hAnsi="Calibri" w:cs="Calibri"/>
          <w:sz w:val="22"/>
          <w:szCs w:val="22"/>
          <w:lang w:val="en-GB"/>
        </w:rPr>
        <w:t>activities</w:t>
      </w:r>
      <w:r w:rsidRPr="00891780">
        <w:rPr>
          <w:rStyle w:val="Zadanifontodlomka1"/>
          <w:rFonts w:ascii="Calibri" w:eastAsia="SimSun" w:hAnsi="Calibri" w:cs="Calibri"/>
          <w:sz w:val="22"/>
          <w:szCs w:val="22"/>
          <w:lang w:val="en-GB"/>
        </w:rPr>
        <w:t>, export credit insurance program</w:t>
      </w:r>
      <w:r w:rsidR="005C18D1" w:rsidRPr="00891780">
        <w:rPr>
          <w:rStyle w:val="Zadanifontodlomka1"/>
          <w:rFonts w:ascii="Calibri" w:eastAsia="SimSun" w:hAnsi="Calibri" w:cs="Calibri"/>
          <w:sz w:val="22"/>
          <w:szCs w:val="22"/>
          <w:lang w:val="en-GB"/>
        </w:rPr>
        <w:t>mes</w:t>
      </w:r>
      <w:r w:rsidR="00CB3B6C" w:rsidRPr="00891780">
        <w:rPr>
          <w:rStyle w:val="Zadanifontodlomka1"/>
          <w:rFonts w:ascii="Calibri" w:eastAsia="SimSun" w:hAnsi="Calibri" w:cs="Calibri"/>
          <w:sz w:val="22"/>
          <w:szCs w:val="22"/>
          <w:lang w:val="en-GB"/>
        </w:rPr>
        <w:t>,</w:t>
      </w:r>
      <w:r w:rsidRPr="00891780">
        <w:rPr>
          <w:rStyle w:val="Zadanifontodlomka1"/>
          <w:rFonts w:ascii="Calibri" w:eastAsia="SimSun" w:hAnsi="Calibri" w:cs="Calibri"/>
          <w:sz w:val="22"/>
          <w:szCs w:val="22"/>
          <w:lang w:val="en-GB"/>
        </w:rPr>
        <w:t xml:space="preserve"> encouraging the development of the risk capital market</w:t>
      </w:r>
      <w:r w:rsidR="001648EF" w:rsidRPr="00891780">
        <w:rPr>
          <w:rStyle w:val="Zadanifontodlomka1"/>
          <w:rFonts w:ascii="Calibri" w:eastAsia="SimSun" w:hAnsi="Calibri" w:cs="Calibri"/>
          <w:sz w:val="22"/>
          <w:szCs w:val="22"/>
          <w:lang w:val="en-GB"/>
        </w:rPr>
        <w:t>,</w:t>
      </w:r>
      <w:r w:rsidRPr="00891780">
        <w:rPr>
          <w:rStyle w:val="Zadanifontodlomka1"/>
          <w:rFonts w:ascii="Calibri" w:eastAsia="SimSun" w:hAnsi="Calibri" w:cs="Calibri"/>
          <w:sz w:val="22"/>
          <w:szCs w:val="22"/>
          <w:lang w:val="en-GB"/>
        </w:rPr>
        <w:t xml:space="preserve"> as well as other activities, all in accordance</w:t>
      </w:r>
      <w:r w:rsidR="00A34FE7" w:rsidRPr="00891780">
        <w:rPr>
          <w:rStyle w:val="Zadanifontodlomka1"/>
          <w:rFonts w:ascii="Calibri" w:eastAsia="SimSun" w:hAnsi="Calibri" w:cs="Calibri"/>
          <w:sz w:val="22"/>
          <w:szCs w:val="22"/>
          <w:lang w:val="en-GB"/>
        </w:rPr>
        <w:t xml:space="preserve"> with </w:t>
      </w:r>
      <w:r w:rsidR="00A34FE7" w:rsidRPr="00891780">
        <w:rPr>
          <w:rFonts w:asciiTheme="minorHAnsi" w:hAnsiTheme="minorHAnsi" w:cstheme="minorHAnsi"/>
          <w:sz w:val="22"/>
          <w:szCs w:val="22"/>
          <w:lang w:val="en-GB"/>
        </w:rPr>
        <w:t>the 2020 – 2024</w:t>
      </w:r>
      <w:bookmarkEnd w:id="30"/>
      <w:r w:rsidR="00AC1B60" w:rsidRPr="00891780">
        <w:rPr>
          <w:rFonts w:asciiTheme="minorHAnsi" w:hAnsiTheme="minorHAnsi" w:cstheme="minorHAnsi"/>
          <w:sz w:val="22"/>
          <w:szCs w:val="22"/>
          <w:lang w:val="en-GB"/>
        </w:rPr>
        <w:t xml:space="preserve"> Business Strategy of HBOR</w:t>
      </w:r>
      <w:r w:rsidR="002F7EBA" w:rsidRPr="00891780">
        <w:rPr>
          <w:rStyle w:val="Zadanifontodlomka1"/>
          <w:rFonts w:ascii="Calibri" w:eastAsia="SimSun" w:hAnsi="Calibri" w:cs="Calibri"/>
          <w:sz w:val="22"/>
          <w:szCs w:val="22"/>
          <w:lang w:val="en-GB"/>
        </w:rPr>
        <w:t>.</w:t>
      </w:r>
    </w:p>
    <w:p w14:paraId="6B73F6AD" w14:textId="14AB00F2" w:rsidR="002F7EBA" w:rsidRPr="00891780" w:rsidRDefault="009C4FB4" w:rsidP="000B677E">
      <w:pPr>
        <w:spacing w:after="120" w:line="276" w:lineRule="auto"/>
        <w:jc w:val="both"/>
        <w:rPr>
          <w:rStyle w:val="Zadanifontodlomka1"/>
          <w:rFonts w:ascii="Calibri" w:eastAsia="SimSun" w:hAnsi="Calibri" w:cs="Calibri"/>
          <w:sz w:val="22"/>
          <w:szCs w:val="22"/>
          <w:lang w:val="en-GB"/>
        </w:rPr>
      </w:pPr>
      <w:r w:rsidRPr="00891780">
        <w:rPr>
          <w:rFonts w:asciiTheme="minorHAnsi" w:hAnsiTheme="minorHAnsi" w:cstheme="minorHAnsi"/>
          <w:sz w:val="22"/>
          <w:szCs w:val="22"/>
          <w:lang w:val="en-GB"/>
        </w:rPr>
        <w:t>The following strategic goals of HBOR have been defined</w:t>
      </w:r>
      <w:r w:rsidRPr="00891780">
        <w:rPr>
          <w:rStyle w:val="Zadanifontodlomka1"/>
          <w:rFonts w:ascii="Calibri" w:eastAsia="SimSun" w:hAnsi="Calibri" w:cs="Calibri"/>
          <w:sz w:val="22"/>
          <w:szCs w:val="22"/>
          <w:lang w:val="en-GB"/>
        </w:rPr>
        <w:t xml:space="preserve"> by the Business Strategy</w:t>
      </w:r>
      <w:r w:rsidR="002F7EBA" w:rsidRPr="00891780">
        <w:rPr>
          <w:rStyle w:val="Zadanifontodlomka1"/>
          <w:rFonts w:ascii="Calibri" w:eastAsia="SimSun" w:hAnsi="Calibri" w:cs="Calibri"/>
          <w:sz w:val="22"/>
          <w:szCs w:val="22"/>
          <w:lang w:val="en-GB"/>
        </w:rPr>
        <w:t>:</w:t>
      </w:r>
    </w:p>
    <w:p w14:paraId="1A39F6D4" w14:textId="77777777" w:rsidR="00853AC3" w:rsidRPr="00891780" w:rsidRDefault="00853AC3" w:rsidP="000B677E">
      <w:pPr>
        <w:numPr>
          <w:ilvl w:val="0"/>
          <w:numId w:val="12"/>
        </w:numPr>
        <w:spacing w:before="120" w:after="120" w:line="276" w:lineRule="auto"/>
        <w:contextualSpacing/>
        <w:jc w:val="both"/>
        <w:rPr>
          <w:rFonts w:asciiTheme="minorHAnsi" w:hAnsiTheme="minorHAnsi" w:cstheme="minorHAnsi"/>
          <w:lang w:val="en-GB"/>
        </w:rPr>
      </w:pPr>
      <w:r w:rsidRPr="00891780">
        <w:rPr>
          <w:rFonts w:asciiTheme="minorHAnsi" w:eastAsia="Calibri" w:hAnsiTheme="minorHAnsi" w:cstheme="minorHAnsi"/>
          <w:sz w:val="22"/>
          <w:szCs w:val="22"/>
          <w:lang w:val="en-GB"/>
        </w:rPr>
        <w:t>Promoting development of equity and quasi-equity market in the Republic of Croatia</w:t>
      </w:r>
      <w:r w:rsidRPr="00891780">
        <w:rPr>
          <w:rStyle w:val="Zadanifontodlomka1"/>
          <w:rFonts w:asciiTheme="minorHAnsi" w:eastAsia="Calibri" w:hAnsiTheme="minorHAnsi" w:cstheme="minorHAnsi"/>
          <w:sz w:val="22"/>
          <w:szCs w:val="22"/>
          <w:lang w:val="en-GB"/>
        </w:rPr>
        <w:t>,</w:t>
      </w:r>
    </w:p>
    <w:p w14:paraId="3CBED79E" w14:textId="77777777" w:rsidR="00853AC3" w:rsidRPr="00891780" w:rsidRDefault="00853AC3" w:rsidP="000B677E">
      <w:pPr>
        <w:numPr>
          <w:ilvl w:val="0"/>
          <w:numId w:val="12"/>
        </w:numPr>
        <w:spacing w:before="120" w:after="120" w:line="276" w:lineRule="auto"/>
        <w:contextualSpacing/>
        <w:jc w:val="both"/>
        <w:rPr>
          <w:rFonts w:asciiTheme="minorHAnsi" w:hAnsiTheme="minorHAnsi" w:cstheme="minorHAnsi"/>
          <w:lang w:val="en-GB"/>
        </w:rPr>
      </w:pPr>
      <w:r w:rsidRPr="00891780">
        <w:rPr>
          <w:rFonts w:asciiTheme="minorHAnsi" w:eastAsia="Calibri" w:hAnsiTheme="minorHAnsi" w:cstheme="minorHAnsi"/>
          <w:sz w:val="22"/>
          <w:szCs w:val="22"/>
          <w:lang w:val="en-GB"/>
        </w:rPr>
        <w:t>Promoting balanced and sustainable economic and social regional, rural and urban development of the Republic of Croatia</w:t>
      </w:r>
      <w:r w:rsidRPr="00891780">
        <w:rPr>
          <w:rStyle w:val="Zadanifontodlomka1"/>
          <w:rFonts w:asciiTheme="minorHAnsi" w:eastAsia="Calibri" w:hAnsiTheme="minorHAnsi" w:cstheme="minorHAnsi"/>
          <w:sz w:val="22"/>
          <w:szCs w:val="22"/>
          <w:lang w:val="en-GB"/>
        </w:rPr>
        <w:t>,</w:t>
      </w:r>
    </w:p>
    <w:p w14:paraId="00628F82" w14:textId="77777777" w:rsidR="00853AC3" w:rsidRPr="00891780" w:rsidRDefault="00853AC3" w:rsidP="000B677E">
      <w:pPr>
        <w:numPr>
          <w:ilvl w:val="0"/>
          <w:numId w:val="12"/>
        </w:numPr>
        <w:spacing w:before="120" w:after="120" w:line="276" w:lineRule="auto"/>
        <w:contextualSpacing/>
        <w:jc w:val="both"/>
        <w:rPr>
          <w:rFonts w:asciiTheme="minorHAnsi" w:hAnsiTheme="minorHAnsi" w:cstheme="minorHAnsi"/>
          <w:lang w:val="en-GB"/>
        </w:rPr>
      </w:pPr>
      <w:r w:rsidRPr="00891780">
        <w:rPr>
          <w:rFonts w:asciiTheme="minorHAnsi" w:eastAsia="Calibri" w:hAnsiTheme="minorHAnsi" w:cstheme="minorHAnsi"/>
          <w:sz w:val="22"/>
          <w:szCs w:val="22"/>
          <w:lang w:val="en-GB"/>
        </w:rPr>
        <w:t>Promoting the Croatian economy internationalisation and globalisation</w:t>
      </w:r>
      <w:r w:rsidRPr="00891780">
        <w:rPr>
          <w:rStyle w:val="Zadanifontodlomka1"/>
          <w:rFonts w:asciiTheme="minorHAnsi" w:eastAsia="Calibri" w:hAnsiTheme="minorHAnsi" w:cstheme="minorHAnsi"/>
          <w:sz w:val="22"/>
          <w:szCs w:val="22"/>
          <w:lang w:val="en-GB"/>
        </w:rPr>
        <w:t>,</w:t>
      </w:r>
    </w:p>
    <w:p w14:paraId="60283029" w14:textId="33712CAD" w:rsidR="00853AC3" w:rsidRPr="00891780" w:rsidRDefault="00853AC3" w:rsidP="000B677E">
      <w:pPr>
        <w:numPr>
          <w:ilvl w:val="0"/>
          <w:numId w:val="12"/>
        </w:numPr>
        <w:spacing w:after="160" w:line="276" w:lineRule="auto"/>
        <w:contextualSpacing/>
        <w:jc w:val="both"/>
        <w:rPr>
          <w:rFonts w:asciiTheme="minorHAnsi" w:hAnsiTheme="minorHAnsi" w:cstheme="minorHAnsi"/>
          <w:lang w:val="en-GB"/>
        </w:rPr>
      </w:pPr>
      <w:r w:rsidRPr="00891780">
        <w:rPr>
          <w:rFonts w:asciiTheme="minorHAnsi" w:eastAsia="Calibri" w:hAnsiTheme="minorHAnsi" w:cstheme="minorHAnsi"/>
          <w:sz w:val="22"/>
          <w:szCs w:val="22"/>
          <w:lang w:val="en-GB"/>
        </w:rPr>
        <w:t xml:space="preserve">Promoting economic recovery from the COVID-19 </w:t>
      </w:r>
      <w:r w:rsidR="00B52A55">
        <w:rPr>
          <w:rFonts w:asciiTheme="minorHAnsi" w:eastAsia="Calibri" w:hAnsiTheme="minorHAnsi" w:cstheme="minorHAnsi"/>
          <w:sz w:val="22"/>
          <w:szCs w:val="22"/>
          <w:lang w:val="en-GB"/>
        </w:rPr>
        <w:t>pandemic</w:t>
      </w:r>
      <w:r w:rsidRPr="00891780">
        <w:rPr>
          <w:rFonts w:asciiTheme="minorHAnsi" w:eastAsia="Calibri" w:hAnsiTheme="minorHAnsi" w:cstheme="minorHAnsi"/>
          <w:sz w:val="22"/>
          <w:szCs w:val="22"/>
          <w:lang w:val="en-GB"/>
        </w:rPr>
        <w:t xml:space="preserve"> and competitiveness by emphasising RDI, digital transformation and Industry</w:t>
      </w:r>
      <w:r w:rsidRPr="00891780">
        <w:rPr>
          <w:rStyle w:val="Zadanifontodlomka1"/>
          <w:rFonts w:asciiTheme="minorHAnsi" w:eastAsia="Calibri" w:hAnsiTheme="minorHAnsi" w:cstheme="minorHAnsi"/>
          <w:sz w:val="22"/>
          <w:szCs w:val="22"/>
          <w:lang w:val="en-GB"/>
        </w:rPr>
        <w:t xml:space="preserve"> 4.0,</w:t>
      </w:r>
    </w:p>
    <w:p w14:paraId="00CC8F1C" w14:textId="77777777" w:rsidR="00853AC3" w:rsidRPr="00891780" w:rsidRDefault="00853AC3" w:rsidP="000B677E">
      <w:pPr>
        <w:numPr>
          <w:ilvl w:val="0"/>
          <w:numId w:val="12"/>
        </w:numPr>
        <w:spacing w:after="160" w:line="276" w:lineRule="auto"/>
        <w:contextualSpacing/>
        <w:jc w:val="both"/>
        <w:rPr>
          <w:rFonts w:asciiTheme="minorHAnsi" w:hAnsiTheme="minorHAnsi" w:cstheme="minorHAnsi"/>
          <w:lang w:val="en-GB"/>
        </w:rPr>
      </w:pPr>
      <w:r w:rsidRPr="00891780">
        <w:rPr>
          <w:rFonts w:asciiTheme="minorHAnsi" w:eastAsia="Calibri" w:hAnsiTheme="minorHAnsi" w:cstheme="minorHAnsi"/>
          <w:sz w:val="22"/>
          <w:szCs w:val="22"/>
          <w:lang w:val="en-GB"/>
        </w:rPr>
        <w:t>Promoting climate and energy neutral economy through energy efficiency, renewable energy sources and environmental protection</w:t>
      </w:r>
      <w:r w:rsidRPr="00891780">
        <w:rPr>
          <w:rStyle w:val="Zadanifontodlomka1"/>
          <w:rFonts w:asciiTheme="minorHAnsi" w:eastAsia="Calibri" w:hAnsiTheme="minorHAnsi" w:cstheme="minorHAnsi"/>
          <w:sz w:val="22"/>
          <w:szCs w:val="22"/>
          <w:lang w:val="en-GB"/>
        </w:rPr>
        <w:t>.</w:t>
      </w:r>
      <w:r w:rsidRPr="00891780">
        <w:rPr>
          <w:rStyle w:val="Zadanifontodlomka1"/>
          <w:rFonts w:asciiTheme="minorHAnsi" w:eastAsia="SimSun" w:hAnsiTheme="minorHAnsi" w:cstheme="minorHAnsi"/>
          <w:sz w:val="22"/>
          <w:szCs w:val="22"/>
          <w:lang w:val="en-GB"/>
        </w:rPr>
        <w:t xml:space="preserve"> </w:t>
      </w:r>
    </w:p>
    <w:p w14:paraId="60967C97" w14:textId="362D08C5" w:rsidR="0067588C" w:rsidRPr="00891780" w:rsidRDefault="0067588C" w:rsidP="000B677E">
      <w:pPr>
        <w:rPr>
          <w:rStyle w:val="Zadanifontodlomka1"/>
          <w:rFonts w:asciiTheme="minorHAnsi" w:eastAsia="SimSun" w:hAnsiTheme="minorHAnsi" w:cstheme="minorHAnsi"/>
          <w:sz w:val="22"/>
          <w:szCs w:val="22"/>
          <w:lang w:val="en-GB"/>
        </w:rPr>
      </w:pPr>
      <w:r w:rsidRPr="00891780">
        <w:rPr>
          <w:rStyle w:val="Zadanifontodlomka1"/>
          <w:rFonts w:asciiTheme="minorHAnsi" w:eastAsia="SimSun" w:hAnsiTheme="minorHAnsi" w:cstheme="minorHAnsi"/>
          <w:sz w:val="22"/>
          <w:szCs w:val="22"/>
          <w:lang w:val="en-GB"/>
        </w:rPr>
        <w:br w:type="page"/>
      </w:r>
    </w:p>
    <w:p w14:paraId="78B6460E" w14:textId="77777777" w:rsidR="002F7EBA" w:rsidRPr="00891780" w:rsidRDefault="002F7EBA" w:rsidP="000B677E">
      <w:pPr>
        <w:spacing w:line="276" w:lineRule="auto"/>
        <w:jc w:val="both"/>
        <w:rPr>
          <w:rStyle w:val="Zadanifontodlomka1"/>
          <w:rFonts w:asciiTheme="minorHAnsi" w:eastAsia="SimSun" w:hAnsiTheme="minorHAnsi" w:cstheme="minorHAnsi"/>
          <w:sz w:val="22"/>
          <w:szCs w:val="22"/>
          <w:lang w:val="en-GB"/>
        </w:rPr>
      </w:pPr>
    </w:p>
    <w:p w14:paraId="225D4A50" w14:textId="473619A1" w:rsidR="00FF022C" w:rsidRDefault="005705E3" w:rsidP="000B677E">
      <w:pPr>
        <w:spacing w:line="276" w:lineRule="auto"/>
        <w:jc w:val="both"/>
        <w:rPr>
          <w:rStyle w:val="Zadanifontodlomka2"/>
          <w:rFonts w:ascii="Calibri" w:eastAsia="SimSun" w:hAnsi="Calibri" w:cs="Calibri"/>
          <w:sz w:val="22"/>
          <w:szCs w:val="22"/>
          <w:lang w:val="en-GB"/>
        </w:rPr>
      </w:pPr>
      <w:bookmarkStart w:id="31" w:name="OLE_LINK11"/>
      <w:r w:rsidRPr="00891780">
        <w:rPr>
          <w:rStyle w:val="Zadanifontodlomka1"/>
          <w:rFonts w:ascii="Calibri" w:eastAsia="SimSun" w:hAnsi="Calibri" w:cs="Calibri"/>
          <w:sz w:val="22"/>
          <w:szCs w:val="22"/>
          <w:lang w:val="en-GB"/>
        </w:rPr>
        <w:t>New measures and activities resulted in an increase in the interest of private business and public entities in HBOR's funds, and during 2022, HBOR approved 2,831 placements in the amount of more than HRK 9.5 billion</w:t>
      </w:r>
      <w:bookmarkEnd w:id="31"/>
      <w:r w:rsidR="00FF022C" w:rsidRPr="00891780">
        <w:rPr>
          <w:rStyle w:val="Zadanifontodlomka2"/>
          <w:rFonts w:ascii="Calibri" w:eastAsia="SimSun" w:hAnsi="Calibri" w:cs="Calibri"/>
          <w:sz w:val="22"/>
          <w:szCs w:val="22"/>
          <w:lang w:val="en-GB"/>
        </w:rPr>
        <w:t>.</w:t>
      </w:r>
    </w:p>
    <w:p w14:paraId="01820E5B" w14:textId="610D2124" w:rsidR="00F30708" w:rsidRDefault="00F30708" w:rsidP="000B677E">
      <w:pPr>
        <w:spacing w:line="276" w:lineRule="auto"/>
        <w:jc w:val="both"/>
        <w:rPr>
          <w:rStyle w:val="Zadanifontodlomka2"/>
          <w:rFonts w:ascii="Calibri" w:eastAsia="SimSun" w:hAnsi="Calibri" w:cs="Calibri"/>
          <w:sz w:val="22"/>
          <w:szCs w:val="22"/>
          <w:lang w:val="en-GB"/>
        </w:rPr>
      </w:pPr>
    </w:p>
    <w:p w14:paraId="6C5116D4" w14:textId="567F9A9C" w:rsidR="00CC61B5" w:rsidRPr="00891780" w:rsidRDefault="00362F07" w:rsidP="000B677E">
      <w:pPr>
        <w:spacing w:line="276" w:lineRule="auto"/>
        <w:jc w:val="both"/>
        <w:rPr>
          <w:rStyle w:val="Zadanifontodlomka2"/>
          <w:rFonts w:ascii="Calibri" w:eastAsia="SimSun" w:hAnsi="Calibri" w:cs="Calibri"/>
          <w:sz w:val="22"/>
          <w:szCs w:val="22"/>
          <w:lang w:val="en-GB"/>
        </w:rPr>
      </w:pPr>
      <w:r>
        <w:rPr>
          <w:rStyle w:val="Zadanifontodlomka2"/>
          <w:rFonts w:ascii="Calibri" w:eastAsia="SimSun" w:hAnsi="Calibri" w:cs="Calibri"/>
          <w:noProof/>
          <w:sz w:val="22"/>
          <w:szCs w:val="22"/>
          <w:lang w:val="en-GB"/>
        </w:rPr>
        <w:drawing>
          <wp:inline distT="0" distB="0" distL="0" distR="0" wp14:anchorId="5EB8F86B" wp14:editId="741D11B3">
            <wp:extent cx="5773420" cy="2603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3420" cy="2603500"/>
                    </a:xfrm>
                    <a:prstGeom prst="rect">
                      <a:avLst/>
                    </a:prstGeom>
                    <a:noFill/>
                  </pic:spPr>
                </pic:pic>
              </a:graphicData>
            </a:graphic>
          </wp:inline>
        </w:drawing>
      </w:r>
    </w:p>
    <w:p w14:paraId="6FF8ACC3" w14:textId="77777777" w:rsidR="00FF022C" w:rsidRPr="00891780" w:rsidRDefault="00FF022C" w:rsidP="000B677E">
      <w:pPr>
        <w:spacing w:line="276" w:lineRule="auto"/>
        <w:jc w:val="both"/>
        <w:rPr>
          <w:rStyle w:val="Zadanifontodlomka2"/>
          <w:rFonts w:ascii="Calibri" w:eastAsia="SimSun" w:hAnsi="Calibri" w:cs="Calibri"/>
          <w:sz w:val="22"/>
          <w:szCs w:val="22"/>
          <w:lang w:val="en-GB"/>
        </w:rPr>
      </w:pPr>
    </w:p>
    <w:p w14:paraId="700948B5" w14:textId="3D2281D3" w:rsidR="006D6856" w:rsidRPr="00891780" w:rsidRDefault="002A0273" w:rsidP="000B677E">
      <w:pPr>
        <w:spacing w:line="276" w:lineRule="auto"/>
        <w:jc w:val="both"/>
        <w:rPr>
          <w:rFonts w:ascii="Calibri" w:eastAsia="SimSun" w:hAnsi="Calibri" w:cs="Calibri"/>
          <w:sz w:val="22"/>
          <w:szCs w:val="22"/>
          <w:lang w:val="en-GB"/>
        </w:rPr>
      </w:pPr>
      <w:proofErr w:type="gramStart"/>
      <w:r w:rsidRPr="00891780">
        <w:rPr>
          <w:rFonts w:asciiTheme="minorHAnsi" w:hAnsiTheme="minorHAnsi" w:cstheme="minorHAnsi"/>
          <w:sz w:val="22"/>
          <w:szCs w:val="22"/>
          <w:lang w:val="en-GB"/>
        </w:rPr>
        <w:t>The</w:t>
      </w:r>
      <w:proofErr w:type="gramEnd"/>
      <w:r w:rsidRPr="00891780">
        <w:rPr>
          <w:rFonts w:asciiTheme="minorHAnsi" w:hAnsiTheme="minorHAnsi" w:cstheme="minorHAnsi"/>
          <w:sz w:val="22"/>
          <w:szCs w:val="22"/>
          <w:lang w:val="en-GB"/>
        </w:rPr>
        <w:t xml:space="preserve"> </w:t>
      </w:r>
      <w:r w:rsidR="00D638BE" w:rsidRPr="00891780">
        <w:rPr>
          <w:rFonts w:asciiTheme="minorHAnsi" w:hAnsiTheme="minorHAnsi" w:cstheme="minorHAnsi"/>
          <w:sz w:val="22"/>
          <w:szCs w:val="22"/>
          <w:lang w:val="en-GB"/>
        </w:rPr>
        <w:t xml:space="preserve">major part of the business activity </w:t>
      </w:r>
      <w:r w:rsidR="001F7263" w:rsidRPr="00891780">
        <w:rPr>
          <w:rFonts w:asciiTheme="minorHAnsi" w:hAnsiTheme="minorHAnsi" w:cstheme="minorHAnsi"/>
          <w:sz w:val="22"/>
          <w:szCs w:val="22"/>
          <w:lang w:val="en-GB"/>
        </w:rPr>
        <w:t>relate</w:t>
      </w:r>
      <w:r w:rsidR="00245978" w:rsidRPr="00891780">
        <w:rPr>
          <w:rFonts w:asciiTheme="minorHAnsi" w:hAnsiTheme="minorHAnsi" w:cstheme="minorHAnsi"/>
          <w:sz w:val="22"/>
          <w:szCs w:val="22"/>
          <w:lang w:val="en-GB"/>
        </w:rPr>
        <w:t>d</w:t>
      </w:r>
      <w:r w:rsidR="001F7263" w:rsidRPr="00891780">
        <w:rPr>
          <w:rFonts w:asciiTheme="minorHAnsi" w:hAnsiTheme="minorHAnsi" w:cstheme="minorHAnsi"/>
          <w:sz w:val="22"/>
          <w:szCs w:val="22"/>
          <w:lang w:val="en-GB"/>
        </w:rPr>
        <w:t xml:space="preserve"> to the</w:t>
      </w:r>
      <w:r w:rsidR="00D638BE" w:rsidRPr="00891780">
        <w:rPr>
          <w:rFonts w:asciiTheme="minorHAnsi" w:hAnsiTheme="minorHAnsi" w:cstheme="minorHAnsi"/>
          <w:sz w:val="22"/>
          <w:szCs w:val="22"/>
          <w:lang w:val="en-GB"/>
        </w:rPr>
        <w:t xml:space="preserve"> lending </w:t>
      </w:r>
      <w:r w:rsidR="001F7263" w:rsidRPr="00891780">
        <w:rPr>
          <w:rFonts w:asciiTheme="minorHAnsi" w:hAnsiTheme="minorHAnsi" w:cstheme="minorHAnsi"/>
          <w:sz w:val="22"/>
          <w:szCs w:val="22"/>
          <w:lang w:val="en-GB"/>
        </w:rPr>
        <w:t>activity</w:t>
      </w:r>
      <w:r w:rsidR="00A830B4" w:rsidRPr="00891780">
        <w:rPr>
          <w:rFonts w:asciiTheme="minorHAnsi" w:hAnsiTheme="minorHAnsi" w:cstheme="minorHAnsi"/>
          <w:sz w:val="22"/>
          <w:szCs w:val="22"/>
          <w:lang w:val="en-GB"/>
        </w:rPr>
        <w:t>:</w:t>
      </w:r>
      <w:r w:rsidR="00D638BE" w:rsidRPr="00891780">
        <w:rPr>
          <w:rFonts w:asciiTheme="minorHAnsi" w:hAnsiTheme="minorHAnsi" w:cstheme="minorHAnsi"/>
          <w:sz w:val="22"/>
          <w:szCs w:val="22"/>
          <w:lang w:val="en-GB"/>
        </w:rPr>
        <w:t xml:space="preserve"> in the reporting year, 2,343 loans were approved </w:t>
      </w:r>
      <w:r w:rsidR="00597563" w:rsidRPr="00891780">
        <w:rPr>
          <w:rFonts w:asciiTheme="minorHAnsi" w:hAnsiTheme="minorHAnsi" w:cstheme="minorHAnsi"/>
          <w:sz w:val="22"/>
          <w:szCs w:val="22"/>
          <w:lang w:val="en-GB"/>
        </w:rPr>
        <w:t>totalling more</w:t>
      </w:r>
      <w:r w:rsidR="00D638BE" w:rsidRPr="00891780">
        <w:rPr>
          <w:rFonts w:asciiTheme="minorHAnsi" w:hAnsiTheme="minorHAnsi" w:cstheme="minorHAnsi"/>
          <w:sz w:val="22"/>
          <w:szCs w:val="22"/>
          <w:lang w:val="en-GB"/>
        </w:rPr>
        <w:t xml:space="preserve"> than HRK 6.4 billion.</w:t>
      </w:r>
    </w:p>
    <w:p w14:paraId="7AC200A0" w14:textId="77777777" w:rsidR="00A730BD" w:rsidRPr="00891780" w:rsidRDefault="00A730BD" w:rsidP="000B677E">
      <w:pPr>
        <w:spacing w:before="120" w:after="120" w:line="276" w:lineRule="auto"/>
        <w:jc w:val="both"/>
        <w:rPr>
          <w:rFonts w:asciiTheme="minorHAnsi" w:hAnsiTheme="minorHAnsi" w:cstheme="minorHAnsi"/>
          <w:sz w:val="22"/>
          <w:szCs w:val="22"/>
          <w:lang w:val="en-GB"/>
        </w:rPr>
      </w:pPr>
    </w:p>
    <w:p w14:paraId="09D8AE6F" w14:textId="4503F57F" w:rsidR="00D20515" w:rsidRPr="00891780" w:rsidRDefault="00A730BD" w:rsidP="000B677E">
      <w:pPr>
        <w:spacing w:before="120" w:after="120" w:line="276" w:lineRule="auto"/>
        <w:jc w:val="both"/>
        <w:rPr>
          <w:rFonts w:asciiTheme="minorHAnsi" w:hAnsiTheme="minorHAnsi" w:cstheme="minorHAnsi"/>
          <w:sz w:val="22"/>
          <w:szCs w:val="22"/>
          <w:lang w:val="en-GB"/>
        </w:rPr>
      </w:pPr>
      <w:r w:rsidRPr="00891780">
        <w:rPr>
          <w:noProof/>
          <w:lang w:val="en-GB"/>
        </w:rPr>
        <w:drawing>
          <wp:inline distT="0" distB="0" distL="0" distR="0" wp14:anchorId="43EDEFCA" wp14:editId="5649D9F0">
            <wp:extent cx="5760720" cy="2843530"/>
            <wp:effectExtent l="0" t="0" r="11430" b="13970"/>
            <wp:docPr id="66" name="Grafikon 66">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0FE2F1" w14:textId="77777777" w:rsidR="0019703A" w:rsidRPr="00891780" w:rsidRDefault="0019703A" w:rsidP="000B677E">
      <w:pPr>
        <w:spacing w:before="120" w:after="120" w:line="276" w:lineRule="auto"/>
        <w:jc w:val="both"/>
        <w:rPr>
          <w:rFonts w:asciiTheme="minorHAnsi" w:hAnsiTheme="minorHAnsi" w:cstheme="minorHAnsi"/>
          <w:sz w:val="22"/>
          <w:szCs w:val="22"/>
          <w:lang w:val="en-GB"/>
        </w:rPr>
      </w:pPr>
    </w:p>
    <w:p w14:paraId="1748D753" w14:textId="2169B206" w:rsidR="00382CF2" w:rsidRPr="00891780" w:rsidRDefault="00F620C9"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I</w:t>
      </w:r>
      <w:r w:rsidR="00726B48" w:rsidRPr="00891780">
        <w:rPr>
          <w:rFonts w:ascii="Calibri" w:eastAsia="SimSun" w:hAnsi="Calibri" w:cs="Calibri"/>
          <w:sz w:val="22"/>
          <w:szCs w:val="22"/>
          <w:lang w:val="en-GB"/>
        </w:rPr>
        <w:t xml:space="preserve">n 2022, the trend of </w:t>
      </w:r>
      <w:r w:rsidR="001E2369" w:rsidRPr="00891780">
        <w:rPr>
          <w:rFonts w:ascii="Calibri" w:eastAsia="SimSun" w:hAnsi="Calibri" w:cs="Calibri"/>
          <w:sz w:val="22"/>
          <w:szCs w:val="22"/>
          <w:lang w:val="en-GB"/>
        </w:rPr>
        <w:t>lower</w:t>
      </w:r>
      <w:r w:rsidR="00726B48" w:rsidRPr="00891780">
        <w:rPr>
          <w:rFonts w:ascii="Calibri" w:eastAsia="SimSun" w:hAnsi="Calibri" w:cs="Calibri"/>
          <w:sz w:val="22"/>
          <w:szCs w:val="22"/>
          <w:lang w:val="en-GB"/>
        </w:rPr>
        <w:t xml:space="preserve"> </w:t>
      </w:r>
      <w:r w:rsidR="001E2369" w:rsidRPr="00891780">
        <w:rPr>
          <w:rFonts w:ascii="Calibri" w:eastAsia="SimSun" w:hAnsi="Calibri" w:cs="Calibri"/>
          <w:sz w:val="22"/>
          <w:szCs w:val="22"/>
          <w:lang w:val="en-GB"/>
        </w:rPr>
        <w:t>propensity</w:t>
      </w:r>
      <w:r w:rsidR="00726B48" w:rsidRPr="00891780">
        <w:rPr>
          <w:rFonts w:ascii="Calibri" w:eastAsia="SimSun" w:hAnsi="Calibri" w:cs="Calibri"/>
          <w:sz w:val="22"/>
          <w:szCs w:val="22"/>
          <w:lang w:val="en-GB"/>
        </w:rPr>
        <w:t xml:space="preserve"> of entrepreneurs </w:t>
      </w:r>
      <w:r w:rsidR="00A25521" w:rsidRPr="00891780">
        <w:rPr>
          <w:rFonts w:ascii="Calibri" w:eastAsia="SimSun" w:hAnsi="Calibri" w:cs="Calibri"/>
          <w:sz w:val="22"/>
          <w:szCs w:val="22"/>
          <w:lang w:val="en-GB"/>
        </w:rPr>
        <w:t>for</w:t>
      </w:r>
      <w:r w:rsidR="00726B48" w:rsidRPr="00891780">
        <w:rPr>
          <w:rFonts w:ascii="Calibri" w:eastAsia="SimSun" w:hAnsi="Calibri" w:cs="Calibri"/>
          <w:sz w:val="22"/>
          <w:szCs w:val="22"/>
          <w:lang w:val="en-GB"/>
        </w:rPr>
        <w:t xml:space="preserve"> investments </w:t>
      </w:r>
      <w:r w:rsidR="00A25521" w:rsidRPr="00891780">
        <w:rPr>
          <w:rFonts w:ascii="Calibri" w:eastAsia="SimSun" w:hAnsi="Calibri" w:cs="Calibri"/>
          <w:sz w:val="22"/>
          <w:szCs w:val="22"/>
          <w:lang w:val="en-GB"/>
        </w:rPr>
        <w:t xml:space="preserve">was </w:t>
      </w:r>
      <w:r w:rsidR="00726B48" w:rsidRPr="00891780">
        <w:rPr>
          <w:rFonts w:ascii="Calibri" w:eastAsia="SimSun" w:hAnsi="Calibri" w:cs="Calibri"/>
          <w:sz w:val="22"/>
          <w:szCs w:val="22"/>
          <w:lang w:val="en-GB"/>
        </w:rPr>
        <w:t>continued, and the year was marked by the</w:t>
      </w:r>
      <w:r w:rsidR="005D5526">
        <w:rPr>
          <w:rFonts w:ascii="Calibri" w:eastAsia="SimSun" w:hAnsi="Calibri" w:cs="Calibri"/>
          <w:sz w:val="22"/>
          <w:szCs w:val="22"/>
          <w:lang w:val="en-GB"/>
        </w:rPr>
        <w:t xml:space="preserve"> increased</w:t>
      </w:r>
      <w:r w:rsidR="00726B48" w:rsidRPr="00891780">
        <w:rPr>
          <w:rFonts w:ascii="Calibri" w:eastAsia="SimSun" w:hAnsi="Calibri" w:cs="Calibri"/>
          <w:sz w:val="22"/>
          <w:szCs w:val="22"/>
          <w:lang w:val="en-GB"/>
        </w:rPr>
        <w:t xml:space="preserve"> use of loans to maintain liquidity.</w:t>
      </w:r>
      <w:r w:rsidR="00054989" w:rsidRPr="00891780">
        <w:rPr>
          <w:rFonts w:ascii="Calibri" w:eastAsia="SimSun" w:hAnsi="Calibri" w:cs="Calibri"/>
          <w:sz w:val="22"/>
          <w:szCs w:val="22"/>
          <w:lang w:val="en-GB"/>
        </w:rPr>
        <w:t xml:space="preserve"> </w:t>
      </w:r>
      <w:r w:rsidR="000118E3" w:rsidRPr="00891780">
        <w:rPr>
          <w:rFonts w:ascii="Calibri" w:hAnsi="Calibri" w:cs="Calibri"/>
          <w:sz w:val="22"/>
          <w:szCs w:val="22"/>
          <w:lang w:val="en-GB" w:eastAsia="x-none"/>
        </w:rPr>
        <w:t xml:space="preserve">However, </w:t>
      </w:r>
      <w:proofErr w:type="gramStart"/>
      <w:r w:rsidR="000118E3" w:rsidRPr="00891780">
        <w:rPr>
          <w:rFonts w:ascii="Calibri" w:hAnsi="Calibri" w:cs="Calibri"/>
          <w:sz w:val="22"/>
          <w:szCs w:val="22"/>
          <w:lang w:val="en-GB" w:eastAsia="x-none"/>
        </w:rPr>
        <w:t xml:space="preserve">in </w:t>
      </w:r>
      <w:r w:rsidR="00F32686">
        <w:rPr>
          <w:rFonts w:ascii="Calibri" w:hAnsi="Calibri" w:cs="Calibri"/>
          <w:sz w:val="22"/>
          <w:szCs w:val="22"/>
          <w:lang w:val="en-GB" w:eastAsia="x-none"/>
        </w:rPr>
        <w:t>spite of</w:t>
      </w:r>
      <w:proofErr w:type="gramEnd"/>
      <w:r w:rsidR="00F32686">
        <w:rPr>
          <w:rFonts w:ascii="Calibri" w:hAnsi="Calibri" w:cs="Calibri"/>
          <w:sz w:val="22"/>
          <w:szCs w:val="22"/>
          <w:lang w:val="en-GB" w:eastAsia="x-none"/>
        </w:rPr>
        <w:t xml:space="preserve"> </w:t>
      </w:r>
      <w:r w:rsidR="000118E3" w:rsidRPr="00891780">
        <w:rPr>
          <w:rFonts w:ascii="Calibri" w:hAnsi="Calibri" w:cs="Calibri"/>
          <w:sz w:val="22"/>
          <w:szCs w:val="22"/>
          <w:lang w:val="en-GB" w:eastAsia="x-none"/>
        </w:rPr>
        <w:t>these circumstances</w:t>
      </w:r>
      <w:r w:rsidR="00054989" w:rsidRPr="00891780">
        <w:rPr>
          <w:rFonts w:ascii="Calibri" w:eastAsia="SimSun" w:hAnsi="Calibri" w:cs="Calibri"/>
          <w:sz w:val="22"/>
          <w:szCs w:val="22"/>
          <w:lang w:val="en-GB"/>
        </w:rPr>
        <w:t xml:space="preserve">, </w:t>
      </w:r>
      <w:r w:rsidR="00F82DA8" w:rsidRPr="00891780">
        <w:rPr>
          <w:rFonts w:ascii="Calibri" w:eastAsia="SimSun" w:hAnsi="Calibri" w:cs="Calibri"/>
          <w:sz w:val="22"/>
          <w:szCs w:val="22"/>
          <w:lang w:val="en-GB"/>
        </w:rPr>
        <w:t xml:space="preserve">slightly less than half of the total amount of approved loans was approved </w:t>
      </w:r>
      <w:r w:rsidR="00F32686">
        <w:rPr>
          <w:rFonts w:ascii="Calibri" w:eastAsia="SimSun" w:hAnsi="Calibri" w:cs="Calibri"/>
          <w:sz w:val="22"/>
          <w:szCs w:val="22"/>
          <w:lang w:val="en-GB"/>
        </w:rPr>
        <w:t xml:space="preserve">by HBOR </w:t>
      </w:r>
      <w:r w:rsidR="00F82DA8" w:rsidRPr="00891780">
        <w:rPr>
          <w:rFonts w:ascii="Calibri" w:eastAsia="SimSun" w:hAnsi="Calibri" w:cs="Calibri"/>
          <w:sz w:val="22"/>
          <w:szCs w:val="22"/>
          <w:lang w:val="en-GB"/>
        </w:rPr>
        <w:t>for investment</w:t>
      </w:r>
      <w:r w:rsidR="00A94CBD">
        <w:rPr>
          <w:rFonts w:ascii="Calibri" w:eastAsia="SimSun" w:hAnsi="Calibri" w:cs="Calibri"/>
          <w:sz w:val="22"/>
          <w:szCs w:val="22"/>
          <w:lang w:val="en-GB"/>
        </w:rPr>
        <w:t xml:space="preserve"> project</w:t>
      </w:r>
      <w:r w:rsidR="00F82DA8" w:rsidRPr="00891780">
        <w:rPr>
          <w:rFonts w:ascii="Calibri" w:eastAsia="SimSun" w:hAnsi="Calibri" w:cs="Calibri"/>
          <w:sz w:val="22"/>
          <w:szCs w:val="22"/>
          <w:lang w:val="en-GB"/>
        </w:rPr>
        <w:t xml:space="preserve">s. </w:t>
      </w:r>
      <w:r w:rsidR="004A7652" w:rsidRPr="00891780">
        <w:rPr>
          <w:rFonts w:ascii="Calibri" w:hAnsi="Calibri" w:cs="Calibri"/>
          <w:sz w:val="22"/>
          <w:szCs w:val="22"/>
          <w:lang w:val="en-GB"/>
        </w:rPr>
        <w:t xml:space="preserve">The approved investment loans are particularly important because </w:t>
      </w:r>
      <w:r w:rsidR="004A7652" w:rsidRPr="00891780">
        <w:rPr>
          <w:rFonts w:ascii="Calibri" w:hAnsi="Calibri" w:cs="Calibri"/>
          <w:sz w:val="22"/>
          <w:szCs w:val="22"/>
          <w:lang w:val="en-GB" w:eastAsia="x-none"/>
        </w:rPr>
        <w:t xml:space="preserve">these investments are focused on the </w:t>
      </w:r>
      <w:r w:rsidR="00F85533">
        <w:rPr>
          <w:rFonts w:ascii="Calibri" w:hAnsi="Calibri" w:cs="Calibri"/>
          <w:sz w:val="22"/>
          <w:szCs w:val="22"/>
          <w:lang w:val="en-GB" w:eastAsia="x-none"/>
        </w:rPr>
        <w:t xml:space="preserve">balanced economic </w:t>
      </w:r>
      <w:r w:rsidR="004A7652" w:rsidRPr="00891780">
        <w:rPr>
          <w:rFonts w:ascii="Calibri" w:hAnsi="Calibri" w:cs="Calibri"/>
          <w:sz w:val="22"/>
          <w:szCs w:val="22"/>
          <w:lang w:val="en-GB" w:eastAsia="x-none"/>
        </w:rPr>
        <w:t>development, increase in entrepreneurs' competitiveness, investments in new technologies and production as well as new employment</w:t>
      </w:r>
      <w:r w:rsidR="00054989" w:rsidRPr="00891780">
        <w:rPr>
          <w:rFonts w:ascii="Calibri" w:eastAsia="SimSun" w:hAnsi="Calibri" w:cs="Calibri"/>
          <w:sz w:val="22"/>
          <w:szCs w:val="22"/>
          <w:lang w:val="en-GB"/>
        </w:rPr>
        <w:t xml:space="preserve">. </w:t>
      </w:r>
    </w:p>
    <w:p w14:paraId="1748D754" w14:textId="77777777" w:rsidR="00382CF2" w:rsidRPr="00891780" w:rsidRDefault="00382CF2" w:rsidP="000B677E">
      <w:pPr>
        <w:spacing w:before="120" w:after="120" w:line="276" w:lineRule="auto"/>
        <w:jc w:val="both"/>
        <w:rPr>
          <w:rFonts w:ascii="Calibri" w:eastAsia="SimSun" w:hAnsi="Calibri" w:cs="Calibri"/>
          <w:sz w:val="22"/>
          <w:szCs w:val="22"/>
          <w:lang w:val="en-GB"/>
        </w:rPr>
      </w:pPr>
    </w:p>
    <w:p w14:paraId="1748D755" w14:textId="39619DE7" w:rsidR="00382CF2" w:rsidRPr="00891780" w:rsidRDefault="00DD7CDA" w:rsidP="000B677E">
      <w:pPr>
        <w:spacing w:before="120" w:after="120" w:line="276" w:lineRule="auto"/>
        <w:jc w:val="both"/>
        <w:rPr>
          <w:lang w:val="en-GB"/>
        </w:rPr>
      </w:pPr>
      <w:r w:rsidRPr="00891780">
        <w:rPr>
          <w:rFonts w:ascii="Calibri" w:eastAsia="SimSun" w:hAnsi="Calibri" w:cs="Calibri"/>
          <w:noProof/>
          <w:sz w:val="22"/>
          <w:szCs w:val="22"/>
          <w:shd w:val="clear" w:color="auto" w:fill="E6E6E6"/>
          <w:lang w:val="en-GB"/>
        </w:rPr>
        <w:drawing>
          <wp:inline distT="0" distB="0" distL="0" distR="0" wp14:anchorId="1E9AA5D0" wp14:editId="48840EE5">
            <wp:extent cx="5760720" cy="2706370"/>
            <wp:effectExtent l="0" t="0" r="11430" b="17780"/>
            <wp:docPr id="58" name="Chart 58">
              <a:extLst xmlns:a="http://schemas.openxmlformats.org/drawingml/2006/main">
                <a:ext uri="{FF2B5EF4-FFF2-40B4-BE49-F238E27FC236}">
                  <a16:creationId xmlns:a16="http://schemas.microsoft.com/office/drawing/2014/main" id="{938B1263-8970-427A-81D1-C5F408BE8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48D756" w14:textId="24E6A8D9" w:rsidR="00382CF2" w:rsidRPr="00891780" w:rsidRDefault="00C63424"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eastAsia="x-none"/>
        </w:rPr>
        <w:t xml:space="preserve">Most of HBOR's borrowers in </w:t>
      </w:r>
      <w:r w:rsidRPr="00891780">
        <w:rPr>
          <w:rFonts w:asciiTheme="minorHAnsi" w:hAnsiTheme="minorHAnsi" w:cstheme="minorHAnsi"/>
          <w:sz w:val="22"/>
          <w:szCs w:val="22"/>
          <w:lang w:val="en-GB"/>
        </w:rPr>
        <w:t xml:space="preserve">2022 were </w:t>
      </w:r>
      <w:r w:rsidRPr="00891780">
        <w:rPr>
          <w:rFonts w:asciiTheme="minorHAnsi" w:hAnsiTheme="minorHAnsi" w:cstheme="minorHAnsi"/>
          <w:sz w:val="22"/>
          <w:szCs w:val="22"/>
          <w:lang w:val="en-GB" w:eastAsia="x-none"/>
        </w:rPr>
        <w:t xml:space="preserve">small and medium-sized enterprises, to which </w:t>
      </w:r>
      <w:r w:rsidR="00054989" w:rsidRPr="00891780">
        <w:rPr>
          <w:rFonts w:asciiTheme="minorHAnsi" w:eastAsia="SimSun" w:hAnsiTheme="minorHAnsi" w:cstheme="minorHAnsi"/>
          <w:sz w:val="22"/>
          <w:szCs w:val="22"/>
          <w:lang w:val="en-GB"/>
        </w:rPr>
        <w:t>1</w:t>
      </w:r>
      <w:r w:rsidRPr="00891780">
        <w:rPr>
          <w:rFonts w:asciiTheme="minorHAnsi" w:eastAsia="SimSun" w:hAnsiTheme="minorHAnsi" w:cstheme="minorHAnsi"/>
          <w:sz w:val="22"/>
          <w:szCs w:val="22"/>
          <w:lang w:val="en-GB"/>
        </w:rPr>
        <w:t>,</w:t>
      </w:r>
      <w:r w:rsidR="00054989" w:rsidRPr="00891780">
        <w:rPr>
          <w:rFonts w:asciiTheme="minorHAnsi" w:eastAsia="SimSun" w:hAnsiTheme="minorHAnsi" w:cstheme="minorHAnsi"/>
          <w:sz w:val="22"/>
          <w:szCs w:val="22"/>
          <w:lang w:val="en-GB"/>
        </w:rPr>
        <w:t xml:space="preserve">983 </w:t>
      </w:r>
      <w:r w:rsidR="00352B80" w:rsidRPr="00891780">
        <w:rPr>
          <w:rFonts w:asciiTheme="minorHAnsi" w:hAnsiTheme="minorHAnsi" w:cstheme="minorHAnsi"/>
          <w:sz w:val="22"/>
          <w:szCs w:val="22"/>
          <w:lang w:val="en-GB"/>
        </w:rPr>
        <w:t xml:space="preserve">loans were approved, </w:t>
      </w:r>
      <w:proofErr w:type="gramStart"/>
      <w:r w:rsidR="00352B80" w:rsidRPr="00891780">
        <w:rPr>
          <w:rFonts w:asciiTheme="minorHAnsi" w:hAnsiTheme="minorHAnsi" w:cstheme="minorHAnsi"/>
          <w:sz w:val="22"/>
          <w:szCs w:val="22"/>
          <w:lang w:val="en-GB"/>
        </w:rPr>
        <w:t>i.e.</w:t>
      </w:r>
      <w:proofErr w:type="gramEnd"/>
      <w:r w:rsidR="00054989" w:rsidRPr="00891780">
        <w:rPr>
          <w:rFonts w:asciiTheme="minorHAnsi" w:eastAsia="SimSun" w:hAnsiTheme="minorHAnsi" w:cstheme="minorHAnsi"/>
          <w:sz w:val="22"/>
          <w:szCs w:val="22"/>
          <w:lang w:val="en-GB"/>
        </w:rPr>
        <w:t xml:space="preserve"> 89 </w:t>
      </w:r>
      <w:r w:rsidR="00B57C88" w:rsidRPr="00891780">
        <w:rPr>
          <w:rFonts w:asciiTheme="minorHAnsi" w:hAnsiTheme="minorHAnsi" w:cstheme="minorHAnsi"/>
          <w:sz w:val="22"/>
          <w:szCs w:val="22"/>
          <w:lang w:val="en-GB"/>
        </w:rPr>
        <w:t>percent of the total number of approved loans</w:t>
      </w:r>
      <w:r w:rsidR="00054989" w:rsidRPr="00891780">
        <w:rPr>
          <w:rFonts w:asciiTheme="minorHAnsi" w:eastAsia="SimSun" w:hAnsiTheme="minorHAnsi" w:cstheme="minorHAnsi"/>
          <w:sz w:val="22"/>
          <w:szCs w:val="22"/>
          <w:lang w:val="en-GB"/>
        </w:rPr>
        <w:t>.</w:t>
      </w:r>
    </w:p>
    <w:p w14:paraId="72E79C69" w14:textId="6E9C9CDA" w:rsidR="002D11F1" w:rsidRPr="00891780" w:rsidRDefault="004B782E" w:rsidP="000B677E">
      <w:pPr>
        <w:spacing w:before="120" w:after="120" w:line="276" w:lineRule="auto"/>
        <w:jc w:val="both"/>
        <w:rPr>
          <w:rFonts w:ascii="Calibri" w:eastAsia="SimSun" w:hAnsi="Calibri" w:cs="Calibri"/>
          <w:sz w:val="22"/>
          <w:szCs w:val="22"/>
          <w:lang w:val="en-GB"/>
        </w:rPr>
      </w:pPr>
      <w:bookmarkStart w:id="32" w:name="OLE_LINK13"/>
      <w:r w:rsidRPr="00891780">
        <w:rPr>
          <w:rFonts w:ascii="Calibri" w:eastAsia="SimSun" w:hAnsi="Calibri" w:cs="Calibri"/>
          <w:sz w:val="22"/>
          <w:szCs w:val="22"/>
          <w:lang w:val="en-GB"/>
        </w:rPr>
        <w:t>Public sector entities were also active beneficiaries of HBOR's funds during the reporting year</w:t>
      </w:r>
      <w:r w:rsidR="00EA176B" w:rsidRPr="00891780">
        <w:rPr>
          <w:rFonts w:ascii="Calibri" w:eastAsia="SimSun" w:hAnsi="Calibri" w:cs="Calibri"/>
          <w:sz w:val="22"/>
          <w:szCs w:val="22"/>
          <w:lang w:val="en-GB"/>
        </w:rPr>
        <w:t>. I</w:t>
      </w:r>
      <w:r w:rsidRPr="00891780">
        <w:rPr>
          <w:rFonts w:ascii="Calibri" w:eastAsia="SimSun" w:hAnsi="Calibri" w:cs="Calibri"/>
          <w:sz w:val="22"/>
          <w:szCs w:val="22"/>
          <w:lang w:val="en-GB"/>
        </w:rPr>
        <w:t>n 2022</w:t>
      </w:r>
      <w:r w:rsidR="00EA176B" w:rsidRPr="00891780">
        <w:rPr>
          <w:rFonts w:ascii="Calibri" w:eastAsia="SimSun" w:hAnsi="Calibri" w:cs="Calibri"/>
          <w:sz w:val="22"/>
          <w:szCs w:val="22"/>
          <w:lang w:val="en-GB"/>
        </w:rPr>
        <w:t>,</w:t>
      </w:r>
      <w:r w:rsidRPr="00891780">
        <w:rPr>
          <w:rFonts w:ascii="Calibri" w:eastAsia="SimSun" w:hAnsi="Calibri" w:cs="Calibri"/>
          <w:sz w:val="22"/>
          <w:szCs w:val="22"/>
          <w:lang w:val="en-GB"/>
        </w:rPr>
        <w:t xml:space="preserve"> they were granted almost one billion </w:t>
      </w:r>
      <w:proofErr w:type="spellStart"/>
      <w:r w:rsidR="00B52B48">
        <w:rPr>
          <w:rFonts w:ascii="Calibri" w:eastAsia="SimSun" w:hAnsi="Calibri" w:cs="Calibri"/>
          <w:sz w:val="22"/>
          <w:szCs w:val="22"/>
          <w:lang w:val="en-GB"/>
        </w:rPr>
        <w:t>k</w:t>
      </w:r>
      <w:r w:rsidR="00444E5C" w:rsidRPr="00891780">
        <w:rPr>
          <w:rFonts w:ascii="Calibri" w:eastAsia="SimSun" w:hAnsi="Calibri" w:cs="Calibri"/>
          <w:sz w:val="22"/>
          <w:szCs w:val="22"/>
          <w:lang w:val="en-GB"/>
        </w:rPr>
        <w:t>una</w:t>
      </w:r>
      <w:proofErr w:type="spellEnd"/>
      <w:r w:rsidRPr="00891780">
        <w:rPr>
          <w:rFonts w:ascii="Calibri" w:eastAsia="SimSun" w:hAnsi="Calibri" w:cs="Calibri"/>
          <w:sz w:val="22"/>
          <w:szCs w:val="22"/>
          <w:lang w:val="en-GB"/>
        </w:rPr>
        <w:t xml:space="preserve"> in loans.</w:t>
      </w:r>
      <w:r w:rsidR="002D11F1" w:rsidRPr="00891780">
        <w:rPr>
          <w:rFonts w:ascii="Calibri" w:eastAsia="SimSun" w:hAnsi="Calibri" w:cs="Calibri"/>
          <w:sz w:val="22"/>
          <w:szCs w:val="22"/>
          <w:lang w:val="en-GB"/>
        </w:rPr>
        <w:t xml:space="preserve"> </w:t>
      </w:r>
      <w:r w:rsidR="00444E5C" w:rsidRPr="00891780">
        <w:rPr>
          <w:rFonts w:ascii="Calibri" w:eastAsia="SimSun" w:hAnsi="Calibri" w:cs="Calibri"/>
          <w:sz w:val="22"/>
          <w:szCs w:val="22"/>
          <w:lang w:val="en-GB"/>
        </w:rPr>
        <w:t>Local and regional government units (LRGUs) have expressed great interest in the loan programme "ESIF Loans for Public Lighting".</w:t>
      </w:r>
    </w:p>
    <w:bookmarkEnd w:id="32"/>
    <w:p w14:paraId="1748D757" w14:textId="3E97C2E6" w:rsidR="00382CF2" w:rsidRPr="00891780" w:rsidRDefault="00B57C88" w:rsidP="000B677E">
      <w:pPr>
        <w:spacing w:before="120" w:after="120" w:line="276" w:lineRule="auto"/>
        <w:jc w:val="both"/>
        <w:rPr>
          <w:rFonts w:asciiTheme="minorHAnsi" w:eastAsia="SimSun" w:hAnsiTheme="minorHAnsi" w:cstheme="minorHAnsi"/>
          <w:color w:val="000000"/>
          <w:sz w:val="22"/>
          <w:szCs w:val="22"/>
          <w:lang w:val="en-GB"/>
        </w:rPr>
      </w:pPr>
      <w:r w:rsidRPr="00891780">
        <w:rPr>
          <w:rFonts w:asciiTheme="minorHAnsi" w:eastAsia="SimSun" w:hAnsiTheme="minorHAnsi" w:cstheme="minorHAnsi"/>
          <w:color w:val="000000"/>
          <w:sz w:val="22"/>
          <w:szCs w:val="22"/>
          <w:lang w:val="en-GB"/>
        </w:rPr>
        <w:t xml:space="preserve">In 2022, </w:t>
      </w:r>
      <w:r w:rsidR="0092232C" w:rsidRPr="00891780">
        <w:rPr>
          <w:rFonts w:asciiTheme="minorHAnsi" w:hAnsiTheme="minorHAnsi" w:cstheme="minorHAnsi"/>
          <w:sz w:val="22"/>
          <w:szCs w:val="22"/>
          <w:lang w:val="en-GB"/>
        </w:rPr>
        <w:t xml:space="preserve">Croatian exporters were backed by HBOR in more than </w:t>
      </w:r>
      <w:r w:rsidR="00054989" w:rsidRPr="00891780">
        <w:rPr>
          <w:rFonts w:asciiTheme="minorHAnsi" w:eastAsia="SimSun" w:hAnsiTheme="minorHAnsi" w:cstheme="minorHAnsi"/>
          <w:color w:val="000000"/>
          <w:sz w:val="22"/>
          <w:szCs w:val="22"/>
          <w:lang w:val="en-GB"/>
        </w:rPr>
        <w:t xml:space="preserve">630 </w:t>
      </w:r>
      <w:r w:rsidR="0092232C" w:rsidRPr="00891780">
        <w:rPr>
          <w:rFonts w:asciiTheme="minorHAnsi" w:eastAsia="SimSun" w:hAnsiTheme="minorHAnsi" w:cstheme="minorHAnsi"/>
          <w:color w:val="000000"/>
          <w:sz w:val="22"/>
          <w:szCs w:val="22"/>
          <w:lang w:val="en-GB"/>
        </w:rPr>
        <w:t>projects</w:t>
      </w:r>
      <w:r w:rsidR="00054989" w:rsidRPr="00891780">
        <w:rPr>
          <w:rFonts w:asciiTheme="minorHAnsi" w:eastAsia="SimSun" w:hAnsiTheme="minorHAnsi" w:cstheme="minorHAnsi"/>
          <w:color w:val="000000"/>
          <w:sz w:val="22"/>
          <w:szCs w:val="22"/>
          <w:lang w:val="en-GB"/>
        </w:rPr>
        <w:t xml:space="preserve"> </w:t>
      </w:r>
      <w:r w:rsidR="008738AB" w:rsidRPr="00891780">
        <w:rPr>
          <w:rFonts w:asciiTheme="minorHAnsi" w:hAnsiTheme="minorHAnsi" w:cstheme="minorHAnsi"/>
          <w:sz w:val="22"/>
          <w:szCs w:val="22"/>
          <w:lang w:val="en-GB"/>
        </w:rPr>
        <w:t xml:space="preserve">with the total amount of more than HRK </w:t>
      </w:r>
      <w:r w:rsidR="00054989" w:rsidRPr="00891780">
        <w:rPr>
          <w:rFonts w:asciiTheme="minorHAnsi" w:eastAsia="SimSun" w:hAnsiTheme="minorHAnsi" w:cstheme="minorHAnsi"/>
          <w:color w:val="000000"/>
          <w:sz w:val="22"/>
          <w:szCs w:val="22"/>
          <w:lang w:val="en-GB"/>
        </w:rPr>
        <w:t>3</w:t>
      </w:r>
      <w:r w:rsidR="008738AB" w:rsidRPr="00891780">
        <w:rPr>
          <w:rFonts w:asciiTheme="minorHAnsi" w:eastAsia="SimSun" w:hAnsiTheme="minorHAnsi" w:cstheme="minorHAnsi"/>
          <w:color w:val="000000"/>
          <w:sz w:val="22"/>
          <w:szCs w:val="22"/>
          <w:lang w:val="en-GB"/>
        </w:rPr>
        <w:t>.</w:t>
      </w:r>
      <w:r w:rsidR="00054989" w:rsidRPr="00891780">
        <w:rPr>
          <w:rFonts w:asciiTheme="minorHAnsi" w:eastAsia="SimSun" w:hAnsiTheme="minorHAnsi" w:cstheme="minorHAnsi"/>
          <w:color w:val="000000"/>
          <w:sz w:val="22"/>
          <w:szCs w:val="22"/>
          <w:lang w:val="en-GB"/>
        </w:rPr>
        <w:t xml:space="preserve">2 </w:t>
      </w:r>
      <w:r w:rsidR="008738AB" w:rsidRPr="00891780">
        <w:rPr>
          <w:rFonts w:asciiTheme="minorHAnsi" w:eastAsia="SimSun" w:hAnsiTheme="minorHAnsi" w:cstheme="minorHAnsi"/>
          <w:color w:val="000000"/>
          <w:sz w:val="22"/>
          <w:szCs w:val="22"/>
          <w:lang w:val="en-GB"/>
        </w:rPr>
        <w:t>billion</w:t>
      </w:r>
      <w:r w:rsidR="00054989" w:rsidRPr="00891780">
        <w:rPr>
          <w:rFonts w:asciiTheme="minorHAnsi" w:eastAsia="SimSun" w:hAnsiTheme="minorHAnsi" w:cstheme="minorHAnsi"/>
          <w:color w:val="000000"/>
          <w:sz w:val="22"/>
          <w:szCs w:val="22"/>
          <w:lang w:val="en-GB"/>
        </w:rPr>
        <w:t>.</w:t>
      </w:r>
    </w:p>
    <w:p w14:paraId="1748D76C" w14:textId="57D26E47" w:rsidR="00382CF2" w:rsidRPr="00891780" w:rsidRDefault="00507838" w:rsidP="000B677E">
      <w:pPr>
        <w:keepNext/>
        <w:keepLines/>
        <w:pageBreakBefore/>
        <w:pBdr>
          <w:bottom w:val="single" w:sz="4" w:space="2" w:color="B2B2B2"/>
        </w:pBdr>
        <w:spacing w:before="360" w:after="120"/>
        <w:outlineLvl w:val="0"/>
        <w:rPr>
          <w:lang w:val="en-GB"/>
        </w:rPr>
      </w:pPr>
      <w:bookmarkStart w:id="33" w:name="_Toc129176338"/>
      <w:bookmarkStart w:id="34" w:name="_Toc97908644"/>
      <w:bookmarkStart w:id="35" w:name="_Hlk97052479"/>
      <w:r w:rsidRPr="00891780">
        <w:rPr>
          <w:rStyle w:val="Zadanifontodlomka1"/>
          <w:rFonts w:ascii="Calibri" w:eastAsia="SimHei" w:hAnsi="Calibri" w:cs="Calibri"/>
          <w:b/>
          <w:bCs/>
          <w:sz w:val="22"/>
          <w:szCs w:val="22"/>
          <w:lang w:val="en-GB"/>
        </w:rPr>
        <w:lastRenderedPageBreak/>
        <w:t>NEW MEASURES AND PRODUCTS INTRODUCED</w:t>
      </w:r>
      <w:bookmarkEnd w:id="33"/>
    </w:p>
    <w:p w14:paraId="1748D76D" w14:textId="6C660828" w:rsidR="00382CF2" w:rsidRPr="00891780" w:rsidRDefault="00FB4D69" w:rsidP="008526F0">
      <w:pPr>
        <w:keepNext/>
        <w:outlineLvl w:val="1"/>
        <w:rPr>
          <w:rFonts w:ascii="Calibri" w:eastAsia="SimSun" w:hAnsi="Calibri" w:cs="Calibri"/>
          <w:b/>
          <w:bCs/>
          <w:sz w:val="22"/>
          <w:szCs w:val="22"/>
          <w:lang w:val="en-GB"/>
        </w:rPr>
      </w:pPr>
      <w:bookmarkStart w:id="36" w:name="_Toc129176339"/>
      <w:bookmarkEnd w:id="34"/>
      <w:r w:rsidRPr="00891780">
        <w:rPr>
          <w:rFonts w:ascii="Calibri" w:eastAsia="SimSun" w:hAnsi="Calibri" w:cs="Calibri"/>
          <w:b/>
          <w:bCs/>
          <w:sz w:val="22"/>
          <w:szCs w:val="22"/>
          <w:lang w:val="en-GB"/>
        </w:rPr>
        <w:t>MEASURES TO</w:t>
      </w:r>
      <w:r w:rsidR="00054989" w:rsidRPr="00891780">
        <w:rPr>
          <w:rFonts w:ascii="Calibri" w:eastAsia="SimSun" w:hAnsi="Calibri" w:cs="Calibri"/>
          <w:b/>
          <w:bCs/>
          <w:sz w:val="22"/>
          <w:szCs w:val="22"/>
          <w:lang w:val="en-GB"/>
        </w:rPr>
        <w:t xml:space="preserve"> </w:t>
      </w:r>
      <w:r w:rsidR="005F3769" w:rsidRPr="00891780">
        <w:rPr>
          <w:rFonts w:ascii="Calibri" w:eastAsia="SimSun" w:hAnsi="Calibri" w:cs="Calibri"/>
          <w:b/>
          <w:bCs/>
          <w:sz w:val="22"/>
          <w:szCs w:val="22"/>
          <w:lang w:val="en-GB"/>
        </w:rPr>
        <w:t>HELP THE ECONOMY</w:t>
      </w:r>
      <w:r w:rsidR="00D52B84" w:rsidRPr="00891780">
        <w:rPr>
          <w:rFonts w:ascii="Calibri" w:eastAsia="SimSun" w:hAnsi="Calibri" w:cs="Calibri"/>
          <w:b/>
          <w:bCs/>
          <w:sz w:val="22"/>
          <w:szCs w:val="22"/>
          <w:lang w:val="en-GB"/>
        </w:rPr>
        <w:t xml:space="preserve"> FOLLOWING THE RUSSIAN AGGRESSION AGAINST UKRAINE</w:t>
      </w:r>
      <w:bookmarkEnd w:id="36"/>
    </w:p>
    <w:p w14:paraId="4FDE19DE" w14:textId="77777777" w:rsidR="008526F0" w:rsidRPr="008526F0" w:rsidRDefault="008526F0" w:rsidP="000B677E">
      <w:pPr>
        <w:spacing w:line="276" w:lineRule="auto"/>
        <w:jc w:val="both"/>
        <w:textAlignment w:val="baseline"/>
        <w:rPr>
          <w:rFonts w:ascii="Calibri" w:hAnsi="Calibri" w:cs="Calibri"/>
          <w:sz w:val="8"/>
          <w:szCs w:val="8"/>
          <w:lang w:val="en-GB"/>
        </w:rPr>
      </w:pPr>
    </w:p>
    <w:p w14:paraId="1748D76F" w14:textId="6473F72B" w:rsidR="00382CF2" w:rsidRPr="00891780" w:rsidRDefault="00796612" w:rsidP="000B677E">
      <w:pPr>
        <w:spacing w:line="276" w:lineRule="auto"/>
        <w:jc w:val="both"/>
        <w:textAlignment w:val="baseline"/>
        <w:rPr>
          <w:rFonts w:ascii="Calibri" w:eastAsia="SimSun" w:hAnsi="Calibri" w:cs="Calibri"/>
          <w:sz w:val="22"/>
          <w:szCs w:val="22"/>
          <w:lang w:val="en-GB"/>
        </w:rPr>
      </w:pPr>
      <w:r w:rsidRPr="00891780">
        <w:rPr>
          <w:rFonts w:ascii="Calibri" w:eastAsia="SimSun" w:hAnsi="Calibri" w:cs="Calibri"/>
          <w:sz w:val="22"/>
          <w:szCs w:val="22"/>
          <w:lang w:val="en-GB"/>
        </w:rPr>
        <w:t>Due to the market disruptions caused by the Russian aggression against Ukraine, in the third quarter of 2022, HBOR successfully notified and received the approval of the European Commission for the implementation of measures to help the economy based on the Temporary Crisis Framework, which include favo</w:t>
      </w:r>
      <w:r w:rsidR="006B2049" w:rsidRPr="00891780">
        <w:rPr>
          <w:rFonts w:ascii="Calibri" w:eastAsia="SimSun" w:hAnsi="Calibri" w:cs="Calibri"/>
          <w:sz w:val="22"/>
          <w:szCs w:val="22"/>
          <w:lang w:val="en-GB"/>
        </w:rPr>
        <w:t>u</w:t>
      </w:r>
      <w:r w:rsidRPr="00891780">
        <w:rPr>
          <w:rFonts w:ascii="Calibri" w:eastAsia="SimSun" w:hAnsi="Calibri" w:cs="Calibri"/>
          <w:sz w:val="22"/>
          <w:szCs w:val="22"/>
          <w:lang w:val="en-GB"/>
        </w:rPr>
        <w:t xml:space="preserve">rable loans for liquidity through the Working </w:t>
      </w:r>
      <w:r w:rsidR="00125D47" w:rsidRPr="00891780">
        <w:rPr>
          <w:rFonts w:ascii="Calibri" w:eastAsia="SimSun" w:hAnsi="Calibri" w:cs="Calibri"/>
          <w:sz w:val="22"/>
          <w:szCs w:val="22"/>
          <w:lang w:val="en-GB"/>
        </w:rPr>
        <w:t>C</w:t>
      </w:r>
      <w:r w:rsidRPr="00891780">
        <w:rPr>
          <w:rFonts w:ascii="Calibri" w:eastAsia="SimSun" w:hAnsi="Calibri" w:cs="Calibri"/>
          <w:sz w:val="22"/>
          <w:szCs w:val="22"/>
          <w:lang w:val="en-GB"/>
        </w:rPr>
        <w:t>apital CRISIS 2022</w:t>
      </w:r>
      <w:r w:rsidR="00125D47" w:rsidRPr="00891780">
        <w:rPr>
          <w:rFonts w:ascii="Calibri" w:eastAsia="SimSun" w:hAnsi="Calibri" w:cs="Calibri"/>
          <w:sz w:val="22"/>
          <w:szCs w:val="22"/>
          <w:lang w:val="en-GB"/>
        </w:rPr>
        <w:t xml:space="preserve"> temporary measure</w:t>
      </w:r>
      <w:r w:rsidRPr="00891780">
        <w:rPr>
          <w:rFonts w:ascii="Calibri" w:eastAsia="SimSun" w:hAnsi="Calibri" w:cs="Calibri"/>
          <w:sz w:val="22"/>
          <w:szCs w:val="22"/>
          <w:lang w:val="en-GB"/>
        </w:rPr>
        <w:t xml:space="preserve"> and insurance policies as collateral with</w:t>
      </w:r>
      <w:r w:rsidR="00054989" w:rsidRPr="00891780">
        <w:rPr>
          <w:rFonts w:ascii="Calibri" w:eastAsia="SimSun" w:hAnsi="Calibri" w:cs="Calibri"/>
          <w:sz w:val="22"/>
          <w:szCs w:val="22"/>
          <w:lang w:val="en-GB"/>
        </w:rPr>
        <w:t xml:space="preserve"> </w:t>
      </w:r>
      <w:r w:rsidR="00125D47" w:rsidRPr="00891780">
        <w:rPr>
          <w:rFonts w:ascii="Calibri" w:eastAsia="SimSun" w:hAnsi="Calibri" w:cs="Calibri"/>
          <w:sz w:val="22"/>
          <w:szCs w:val="22"/>
          <w:lang w:val="en-GB"/>
        </w:rPr>
        <w:t>the possibility of subsidising the insurance premium (</w:t>
      </w:r>
      <w:r w:rsidR="00070CFA" w:rsidRPr="00891780">
        <w:rPr>
          <w:rFonts w:ascii="Calibri" w:eastAsia="SimSun" w:hAnsi="Calibri" w:cs="Calibri"/>
          <w:sz w:val="22"/>
          <w:szCs w:val="22"/>
          <w:lang w:val="en-GB"/>
        </w:rPr>
        <w:t xml:space="preserve">Programme for the Portfolio Insurance </w:t>
      </w:r>
      <w:r w:rsidR="00F45087" w:rsidRPr="00891780">
        <w:rPr>
          <w:rFonts w:ascii="Calibri" w:eastAsia="SimSun" w:hAnsi="Calibri" w:cs="Calibri"/>
          <w:sz w:val="22"/>
          <w:szCs w:val="22"/>
          <w:lang w:val="en-GB"/>
        </w:rPr>
        <w:t>of Liquidity Loans for Exporters</w:t>
      </w:r>
      <w:r w:rsidR="00125D47" w:rsidRPr="00891780">
        <w:rPr>
          <w:rFonts w:ascii="Calibri" w:eastAsia="SimSun" w:hAnsi="Calibri" w:cs="Calibri"/>
          <w:sz w:val="22"/>
          <w:szCs w:val="22"/>
          <w:lang w:val="en-GB"/>
        </w:rPr>
        <w:t xml:space="preserve">, </w:t>
      </w:r>
      <w:r w:rsidR="00E91449" w:rsidRPr="00891780">
        <w:rPr>
          <w:rFonts w:ascii="Calibri" w:eastAsia="SimSun" w:hAnsi="Calibri" w:cs="Calibri"/>
          <w:sz w:val="22"/>
          <w:szCs w:val="22"/>
          <w:lang w:val="en-GB"/>
        </w:rPr>
        <w:t>Programme for Individual Insurance</w:t>
      </w:r>
      <w:r w:rsidR="00125D47" w:rsidRPr="00891780">
        <w:rPr>
          <w:rFonts w:ascii="Calibri" w:eastAsia="SimSun" w:hAnsi="Calibri" w:cs="Calibri"/>
          <w:sz w:val="22"/>
          <w:szCs w:val="22"/>
          <w:lang w:val="en-GB"/>
        </w:rPr>
        <w:t xml:space="preserve"> </w:t>
      </w:r>
      <w:r w:rsidR="00E91449" w:rsidRPr="00891780">
        <w:rPr>
          <w:rFonts w:ascii="Calibri" w:eastAsia="SimSun" w:hAnsi="Calibri" w:cs="Calibri"/>
          <w:sz w:val="22"/>
          <w:szCs w:val="22"/>
          <w:lang w:val="en-GB"/>
        </w:rPr>
        <w:t>of Liquidity Loans for Exporters</w:t>
      </w:r>
      <w:r w:rsidR="00BF46EB">
        <w:rPr>
          <w:rFonts w:ascii="Calibri" w:eastAsia="SimSun" w:hAnsi="Calibri" w:cs="Calibri"/>
          <w:sz w:val="22"/>
          <w:szCs w:val="22"/>
          <w:lang w:val="en-GB"/>
        </w:rPr>
        <w:t xml:space="preserve"> and</w:t>
      </w:r>
      <w:r w:rsidR="00125D47" w:rsidRPr="00891780">
        <w:rPr>
          <w:rFonts w:ascii="Calibri" w:eastAsia="SimSun" w:hAnsi="Calibri" w:cs="Calibri"/>
          <w:sz w:val="22"/>
          <w:szCs w:val="22"/>
          <w:lang w:val="en-GB"/>
        </w:rPr>
        <w:t xml:space="preserve"> </w:t>
      </w:r>
      <w:r w:rsidR="00104DF9" w:rsidRPr="00891780">
        <w:rPr>
          <w:rFonts w:ascii="Calibri" w:eastAsia="SimSun" w:hAnsi="Calibri" w:cs="Calibri"/>
          <w:sz w:val="22"/>
          <w:szCs w:val="22"/>
          <w:lang w:val="en-GB"/>
        </w:rPr>
        <w:t>Programme for Subsidising the Insurance Premium</w:t>
      </w:r>
      <w:r w:rsidR="00125D47" w:rsidRPr="00891780">
        <w:rPr>
          <w:rFonts w:ascii="Calibri" w:eastAsia="SimSun" w:hAnsi="Calibri" w:cs="Calibri"/>
          <w:sz w:val="22"/>
          <w:szCs w:val="22"/>
          <w:lang w:val="en-GB"/>
        </w:rPr>
        <w:t>).</w:t>
      </w:r>
      <w:r w:rsidR="00F45087" w:rsidRPr="00891780">
        <w:rPr>
          <w:rFonts w:ascii="Calibri" w:eastAsia="SimSun" w:hAnsi="Calibri" w:cs="Calibri"/>
          <w:sz w:val="22"/>
          <w:szCs w:val="22"/>
          <w:lang w:val="en-GB"/>
        </w:rPr>
        <w:t xml:space="preserve"> </w:t>
      </w:r>
      <w:r w:rsidR="00054989" w:rsidRPr="00891780">
        <w:rPr>
          <w:rFonts w:ascii="Calibri" w:eastAsia="SimSun" w:hAnsi="Calibri" w:cs="Calibri"/>
          <w:sz w:val="22"/>
          <w:szCs w:val="22"/>
          <w:lang w:val="en-GB"/>
        </w:rPr>
        <w:t xml:space="preserve"> </w:t>
      </w:r>
    </w:p>
    <w:p w14:paraId="1748D771" w14:textId="013F1715" w:rsidR="00382CF2" w:rsidRPr="00891780" w:rsidRDefault="00410D70" w:rsidP="002E1A01">
      <w:pPr>
        <w:spacing w:before="120"/>
        <w:jc w:val="both"/>
        <w:rPr>
          <w:lang w:val="en-GB"/>
        </w:rPr>
      </w:pPr>
      <w:r w:rsidRPr="00891780">
        <w:rPr>
          <w:rStyle w:val="Zadanifontodlomka1"/>
          <w:rFonts w:ascii="Calibri" w:hAnsi="Calibri" w:cs="Calibri"/>
          <w:b/>
          <w:bCs/>
          <w:sz w:val="22"/>
          <w:szCs w:val="22"/>
          <w:lang w:val="en-GB" w:eastAsia="hr-HR"/>
        </w:rPr>
        <w:t xml:space="preserve">Temporary measure </w:t>
      </w:r>
      <w:r w:rsidR="00412110" w:rsidRPr="00891780">
        <w:rPr>
          <w:rStyle w:val="Zadanifontodlomka1"/>
          <w:rFonts w:ascii="Calibri" w:hAnsi="Calibri" w:cs="Calibri"/>
          <w:b/>
          <w:bCs/>
          <w:sz w:val="22"/>
          <w:szCs w:val="22"/>
          <w:lang w:val="en-GB" w:eastAsia="hr-HR"/>
        </w:rPr>
        <w:t>under the loan programme for working capital</w:t>
      </w:r>
      <w:r w:rsidR="00054989" w:rsidRPr="00891780">
        <w:rPr>
          <w:rStyle w:val="Zadanifontodlomka1"/>
          <w:rFonts w:ascii="Calibri" w:eastAsia="SimSun" w:hAnsi="Calibri" w:cs="Calibri"/>
          <w:b/>
          <w:bCs/>
          <w:sz w:val="22"/>
          <w:szCs w:val="22"/>
          <w:lang w:val="en-GB"/>
        </w:rPr>
        <w:t xml:space="preserve"> – </w:t>
      </w:r>
      <w:r w:rsidR="00412110" w:rsidRPr="00891780">
        <w:rPr>
          <w:rStyle w:val="Zadanifontodlomka1"/>
          <w:rFonts w:ascii="Calibri" w:eastAsia="SimSun" w:hAnsi="Calibri" w:cs="Calibri"/>
          <w:b/>
          <w:bCs/>
          <w:sz w:val="22"/>
          <w:szCs w:val="22"/>
          <w:lang w:val="en-GB"/>
        </w:rPr>
        <w:t>Working Capital</w:t>
      </w:r>
      <w:r w:rsidR="00054989" w:rsidRPr="00891780">
        <w:rPr>
          <w:rStyle w:val="Zadanifontodlomka1"/>
          <w:rFonts w:ascii="Calibri" w:eastAsia="SimSun" w:hAnsi="Calibri" w:cs="Calibri"/>
          <w:b/>
          <w:bCs/>
          <w:sz w:val="22"/>
          <w:szCs w:val="22"/>
          <w:lang w:val="en-GB"/>
        </w:rPr>
        <w:t xml:space="preserve"> </w:t>
      </w:r>
      <w:r w:rsidR="00412110" w:rsidRPr="00891780">
        <w:rPr>
          <w:rStyle w:val="Zadanifontodlomka1"/>
          <w:rFonts w:ascii="Calibri" w:eastAsia="SimSun" w:hAnsi="Calibri" w:cs="Calibri"/>
          <w:b/>
          <w:bCs/>
          <w:sz w:val="22"/>
          <w:szCs w:val="22"/>
          <w:lang w:val="en-GB"/>
        </w:rPr>
        <w:t>CRISIS</w:t>
      </w:r>
      <w:r w:rsidR="00054989" w:rsidRPr="00891780">
        <w:rPr>
          <w:rStyle w:val="Zadanifontodlomka1"/>
          <w:rFonts w:ascii="Calibri" w:eastAsia="SimSun" w:hAnsi="Calibri" w:cs="Calibri"/>
          <w:b/>
          <w:bCs/>
          <w:sz w:val="22"/>
          <w:szCs w:val="22"/>
          <w:lang w:val="en-GB"/>
        </w:rPr>
        <w:t xml:space="preserve"> 2022</w:t>
      </w:r>
    </w:p>
    <w:p w14:paraId="1748D772" w14:textId="0808C7AB" w:rsidR="00382CF2" w:rsidRPr="00891780" w:rsidRDefault="002017C0" w:rsidP="000B677E">
      <w:pPr>
        <w:spacing w:before="120" w:after="120" w:line="276" w:lineRule="auto"/>
        <w:jc w:val="both"/>
        <w:rPr>
          <w:lang w:val="en-GB"/>
        </w:rPr>
      </w:pPr>
      <w:r w:rsidRPr="00891780">
        <w:rPr>
          <w:rStyle w:val="Zadanifontodlomka1"/>
          <w:rFonts w:ascii="Calibri" w:eastAsia="SimSun" w:hAnsi="Calibri" w:cs="Calibri"/>
          <w:sz w:val="22"/>
          <w:szCs w:val="22"/>
          <w:lang w:val="en-GB"/>
        </w:rPr>
        <w:t xml:space="preserve">With favourable loans for liquidity through the Working </w:t>
      </w:r>
      <w:r w:rsidR="00D26A6A" w:rsidRPr="00891780">
        <w:rPr>
          <w:rStyle w:val="Zadanifontodlomka1"/>
          <w:rFonts w:ascii="Calibri" w:eastAsia="SimSun" w:hAnsi="Calibri" w:cs="Calibri"/>
          <w:sz w:val="22"/>
          <w:szCs w:val="22"/>
          <w:lang w:val="en-GB"/>
        </w:rPr>
        <w:t>C</w:t>
      </w:r>
      <w:r w:rsidRPr="00891780">
        <w:rPr>
          <w:rStyle w:val="Zadanifontodlomka1"/>
          <w:rFonts w:ascii="Calibri" w:eastAsia="SimSun" w:hAnsi="Calibri" w:cs="Calibri"/>
          <w:sz w:val="22"/>
          <w:szCs w:val="22"/>
          <w:lang w:val="en-GB"/>
        </w:rPr>
        <w:t>apital CRISIS 2022</w:t>
      </w:r>
      <w:r w:rsidR="00D26A6A" w:rsidRPr="00891780">
        <w:rPr>
          <w:rStyle w:val="Zadanifontodlomka1"/>
          <w:rFonts w:ascii="Calibri" w:eastAsia="SimSun" w:hAnsi="Calibri" w:cs="Calibri"/>
          <w:sz w:val="22"/>
          <w:szCs w:val="22"/>
          <w:lang w:val="en-GB"/>
        </w:rPr>
        <w:t xml:space="preserve"> temporary measure, </w:t>
      </w:r>
      <w:r w:rsidRPr="00891780">
        <w:rPr>
          <w:rStyle w:val="Zadanifontodlomka1"/>
          <w:rFonts w:ascii="Calibri" w:eastAsia="SimSun" w:hAnsi="Calibri" w:cs="Calibri"/>
          <w:sz w:val="22"/>
          <w:szCs w:val="22"/>
          <w:lang w:val="en-GB"/>
        </w:rPr>
        <w:t xml:space="preserve">HBOR made it easier for entrepreneurs to deal with the economic consequences of the Russian-Ukrainian crisis, such as decrease in demand, termination of existing contracts and projects with the </w:t>
      </w:r>
      <w:r w:rsidR="00F27E4D" w:rsidRPr="00891780">
        <w:rPr>
          <w:rStyle w:val="Zadanifontodlomka1"/>
          <w:rFonts w:ascii="Calibri" w:eastAsia="SimSun" w:hAnsi="Calibri" w:cs="Calibri"/>
          <w:sz w:val="22"/>
          <w:szCs w:val="22"/>
          <w:lang w:val="en-GB"/>
        </w:rPr>
        <w:t>resulting</w:t>
      </w:r>
      <w:r w:rsidRPr="00891780">
        <w:rPr>
          <w:rStyle w:val="Zadanifontodlomka1"/>
          <w:rFonts w:ascii="Calibri" w:eastAsia="SimSun" w:hAnsi="Calibri" w:cs="Calibri"/>
          <w:sz w:val="22"/>
          <w:szCs w:val="22"/>
          <w:lang w:val="en-GB"/>
        </w:rPr>
        <w:t xml:space="preserve"> loss of </w:t>
      </w:r>
      <w:r w:rsidR="00DE6A8D" w:rsidRPr="00891780">
        <w:rPr>
          <w:rStyle w:val="Zadanifontodlomka1"/>
          <w:rFonts w:ascii="Calibri" w:eastAsia="SimSun" w:hAnsi="Calibri" w:cs="Calibri"/>
          <w:sz w:val="22"/>
          <w:szCs w:val="22"/>
          <w:lang w:val="en-GB"/>
        </w:rPr>
        <w:t>turnover</w:t>
      </w:r>
      <w:r w:rsidRPr="00891780">
        <w:rPr>
          <w:rStyle w:val="Zadanifontodlomka1"/>
          <w:rFonts w:ascii="Calibri" w:eastAsia="SimSun" w:hAnsi="Calibri" w:cs="Calibri"/>
          <w:sz w:val="22"/>
          <w:szCs w:val="22"/>
          <w:lang w:val="en-GB"/>
        </w:rPr>
        <w:t>, disruptions in supply chains, especially raw materials and semi-finished products, or other</w:t>
      </w:r>
      <w:r w:rsidR="00054989" w:rsidRPr="00891780">
        <w:rPr>
          <w:rStyle w:val="Zadanifontodlomka1"/>
          <w:rFonts w:ascii="Calibri" w:eastAsia="SimSun" w:hAnsi="Calibri" w:cs="Calibri"/>
          <w:sz w:val="22"/>
          <w:szCs w:val="22"/>
          <w:lang w:val="en-GB"/>
        </w:rPr>
        <w:t xml:space="preserve"> </w:t>
      </w:r>
      <w:r w:rsidR="00F27E4D" w:rsidRPr="00891780">
        <w:rPr>
          <w:rStyle w:val="Zadanifontodlomka1"/>
          <w:rFonts w:ascii="Calibri" w:eastAsia="SimSun" w:hAnsi="Calibri" w:cs="Calibri"/>
          <w:sz w:val="22"/>
          <w:szCs w:val="22"/>
          <w:lang w:val="en-GB"/>
        </w:rPr>
        <w:t xml:space="preserve">input materials that are no longer available or are not </w:t>
      </w:r>
      <w:r w:rsidR="00E13DEA" w:rsidRPr="00891780">
        <w:rPr>
          <w:rStyle w:val="Zadanifontodlomka1"/>
          <w:rFonts w:ascii="Calibri" w:eastAsia="SimSun" w:hAnsi="Calibri" w:cs="Calibri"/>
          <w:sz w:val="22"/>
          <w:szCs w:val="22"/>
          <w:lang w:val="en-GB"/>
        </w:rPr>
        <w:t>cost-effective</w:t>
      </w:r>
      <w:r w:rsidR="00F27E4D" w:rsidRPr="00891780">
        <w:rPr>
          <w:rStyle w:val="Zadanifontodlomka1"/>
          <w:rFonts w:ascii="Calibri" w:eastAsia="SimSun" w:hAnsi="Calibri" w:cs="Calibri"/>
          <w:sz w:val="22"/>
          <w:szCs w:val="22"/>
          <w:lang w:val="en-GB"/>
        </w:rPr>
        <w:t>.</w:t>
      </w:r>
    </w:p>
    <w:p w14:paraId="1748D773" w14:textId="58DAF97B" w:rsidR="00382CF2" w:rsidRPr="00891780" w:rsidRDefault="002F63C5" w:rsidP="000B677E">
      <w:pPr>
        <w:spacing w:before="120" w:after="120" w:line="276" w:lineRule="auto"/>
        <w:jc w:val="both"/>
        <w:rPr>
          <w:rFonts w:ascii="Calibri" w:hAnsi="Calibri" w:cs="Calibri"/>
          <w:sz w:val="22"/>
          <w:szCs w:val="22"/>
          <w:lang w:val="en-GB" w:eastAsia="hr-HR"/>
        </w:rPr>
      </w:pPr>
      <w:r w:rsidRPr="00891780">
        <w:rPr>
          <w:rFonts w:ascii="Calibri" w:hAnsi="Calibri" w:cs="Calibri"/>
          <w:sz w:val="22"/>
          <w:szCs w:val="22"/>
          <w:lang w:val="en-GB" w:eastAsia="hr-HR"/>
        </w:rPr>
        <w:t xml:space="preserve">Loans are approved directly and in cooperation with commercial banks according to the risk-sharing model for a period of up to 5 years, including a 1-year grace period, without </w:t>
      </w:r>
      <w:r w:rsidR="00227C15" w:rsidRPr="00891780">
        <w:rPr>
          <w:rFonts w:ascii="Calibri" w:hAnsi="Calibri" w:cs="Calibri"/>
          <w:sz w:val="22"/>
          <w:szCs w:val="22"/>
          <w:lang w:val="en-GB" w:eastAsia="hr-HR"/>
        </w:rPr>
        <w:t xml:space="preserve">loan application </w:t>
      </w:r>
      <w:r w:rsidR="003C1A06" w:rsidRPr="00891780">
        <w:rPr>
          <w:rFonts w:ascii="Calibri" w:hAnsi="Calibri" w:cs="Calibri"/>
          <w:sz w:val="22"/>
          <w:szCs w:val="22"/>
          <w:lang w:val="en-GB" w:eastAsia="hr-HR"/>
        </w:rPr>
        <w:t>fee and the commitment fee</w:t>
      </w:r>
      <w:r w:rsidR="00054989" w:rsidRPr="00891780">
        <w:rPr>
          <w:rFonts w:ascii="Calibri" w:hAnsi="Calibri" w:cs="Calibri"/>
          <w:sz w:val="22"/>
          <w:szCs w:val="22"/>
          <w:lang w:val="en-GB" w:eastAsia="hr-HR"/>
        </w:rPr>
        <w:t xml:space="preserve">. </w:t>
      </w:r>
      <w:r w:rsidR="00BC7279" w:rsidRPr="00891780">
        <w:rPr>
          <w:rFonts w:ascii="Calibri" w:hAnsi="Calibri" w:cs="Calibri"/>
          <w:sz w:val="22"/>
          <w:szCs w:val="22"/>
          <w:lang w:val="en-GB" w:eastAsia="hr-HR"/>
        </w:rPr>
        <w:t>The interest rate on loans in 2022 already ranged from 0.5 percent for the disbursement period and the first three years of repayment, and from 2 percent for the fourth and fifth year of repayment</w:t>
      </w:r>
      <w:r w:rsidR="00A70229" w:rsidRPr="00891780">
        <w:rPr>
          <w:rFonts w:ascii="Calibri" w:hAnsi="Calibri" w:cs="Calibri"/>
          <w:sz w:val="22"/>
          <w:szCs w:val="22"/>
          <w:lang w:val="en-GB" w:eastAsia="hr-HR"/>
        </w:rPr>
        <w:t>. In the conditions of</w:t>
      </w:r>
      <w:r w:rsidR="00BC7279" w:rsidRPr="00891780">
        <w:rPr>
          <w:rFonts w:ascii="Calibri" w:hAnsi="Calibri" w:cs="Calibri"/>
          <w:sz w:val="22"/>
          <w:szCs w:val="22"/>
          <w:lang w:val="en-GB" w:eastAsia="hr-HR"/>
        </w:rPr>
        <w:t xml:space="preserve"> </w:t>
      </w:r>
      <w:r w:rsidR="002576C7">
        <w:rPr>
          <w:rFonts w:ascii="Calibri" w:hAnsi="Calibri" w:cs="Calibri"/>
          <w:sz w:val="22"/>
          <w:szCs w:val="22"/>
          <w:lang w:val="en-GB" w:eastAsia="hr-HR"/>
        </w:rPr>
        <w:t xml:space="preserve">changing </w:t>
      </w:r>
      <w:r w:rsidR="00BC7279" w:rsidRPr="00891780">
        <w:rPr>
          <w:rFonts w:ascii="Calibri" w:hAnsi="Calibri" w:cs="Calibri"/>
          <w:sz w:val="22"/>
          <w:szCs w:val="22"/>
          <w:lang w:val="en-GB" w:eastAsia="hr-HR"/>
        </w:rPr>
        <w:t xml:space="preserve">interest </w:t>
      </w:r>
      <w:r w:rsidR="00416C07" w:rsidRPr="00891780">
        <w:rPr>
          <w:rFonts w:ascii="Calibri" w:hAnsi="Calibri" w:cs="Calibri"/>
          <w:sz w:val="22"/>
          <w:szCs w:val="22"/>
          <w:lang w:val="en-GB" w:eastAsia="hr-HR"/>
        </w:rPr>
        <w:t xml:space="preserve">rate </w:t>
      </w:r>
      <w:r w:rsidR="00BC7279" w:rsidRPr="00891780">
        <w:rPr>
          <w:rFonts w:ascii="Calibri" w:hAnsi="Calibri" w:cs="Calibri"/>
          <w:sz w:val="22"/>
          <w:szCs w:val="22"/>
          <w:lang w:val="en-GB" w:eastAsia="hr-HR"/>
        </w:rPr>
        <w:t>polic</w:t>
      </w:r>
      <w:r w:rsidR="00E6697A">
        <w:rPr>
          <w:rFonts w:ascii="Calibri" w:hAnsi="Calibri" w:cs="Calibri"/>
          <w:sz w:val="22"/>
          <w:szCs w:val="22"/>
          <w:lang w:val="en-GB" w:eastAsia="hr-HR"/>
        </w:rPr>
        <w:t>ies</w:t>
      </w:r>
      <w:r w:rsidR="00BC7279" w:rsidRPr="00891780">
        <w:rPr>
          <w:rFonts w:ascii="Calibri" w:hAnsi="Calibri" w:cs="Calibri"/>
          <w:sz w:val="22"/>
          <w:szCs w:val="22"/>
          <w:lang w:val="en-GB" w:eastAsia="hr-HR"/>
        </w:rPr>
        <w:t xml:space="preserve"> of commercial banks</w:t>
      </w:r>
      <w:r w:rsidR="00E6697A">
        <w:rPr>
          <w:rFonts w:ascii="Calibri" w:hAnsi="Calibri" w:cs="Calibri"/>
          <w:sz w:val="22"/>
          <w:szCs w:val="22"/>
          <w:lang w:val="en-GB" w:eastAsia="hr-HR"/>
        </w:rPr>
        <w:t xml:space="preserve"> reflected in rising interest rates</w:t>
      </w:r>
      <w:r w:rsidR="00557AA1" w:rsidRPr="00891780">
        <w:rPr>
          <w:rFonts w:ascii="Calibri" w:hAnsi="Calibri" w:cs="Calibri"/>
          <w:sz w:val="22"/>
          <w:szCs w:val="22"/>
          <w:lang w:val="en-GB" w:eastAsia="hr-HR"/>
        </w:rPr>
        <w:t>, this</w:t>
      </w:r>
      <w:r w:rsidR="00BC7279" w:rsidRPr="00891780">
        <w:rPr>
          <w:rFonts w:ascii="Calibri" w:hAnsi="Calibri" w:cs="Calibri"/>
          <w:sz w:val="22"/>
          <w:szCs w:val="22"/>
          <w:lang w:val="en-GB" w:eastAsia="hr-HR"/>
        </w:rPr>
        <w:t xml:space="preserve"> aroused </w:t>
      </w:r>
      <w:r w:rsidR="009706D2" w:rsidRPr="00891780">
        <w:rPr>
          <w:rFonts w:ascii="Calibri" w:hAnsi="Calibri" w:cs="Calibri"/>
          <w:sz w:val="22"/>
          <w:szCs w:val="22"/>
          <w:lang w:val="en-GB" w:eastAsia="hr-HR"/>
        </w:rPr>
        <w:t xml:space="preserve">a </w:t>
      </w:r>
      <w:r w:rsidR="00BC7279" w:rsidRPr="00891780">
        <w:rPr>
          <w:rFonts w:ascii="Calibri" w:hAnsi="Calibri" w:cs="Calibri"/>
          <w:sz w:val="22"/>
          <w:szCs w:val="22"/>
          <w:lang w:val="en-GB" w:eastAsia="hr-HR"/>
        </w:rPr>
        <w:t>significant interest of entrepreneurs.</w:t>
      </w:r>
      <w:r w:rsidR="00054989" w:rsidRPr="00891780">
        <w:rPr>
          <w:rFonts w:ascii="Calibri" w:hAnsi="Calibri" w:cs="Calibri"/>
          <w:sz w:val="22"/>
          <w:szCs w:val="22"/>
          <w:lang w:val="en-GB" w:eastAsia="hr-HR"/>
        </w:rPr>
        <w:t xml:space="preserve"> </w:t>
      </w:r>
    </w:p>
    <w:p w14:paraId="1748D774" w14:textId="510A1348" w:rsidR="00382CF2" w:rsidRPr="00891780" w:rsidRDefault="00031687" w:rsidP="000B677E">
      <w:pPr>
        <w:spacing w:line="276" w:lineRule="auto"/>
        <w:jc w:val="both"/>
        <w:textAlignment w:val="baseline"/>
        <w:rPr>
          <w:rStyle w:val="Zadanifontodlomka1"/>
          <w:rFonts w:ascii="Calibri" w:hAnsi="Calibri" w:cs="Calibri"/>
          <w:sz w:val="22"/>
          <w:szCs w:val="22"/>
          <w:lang w:val="en-GB" w:eastAsia="hr-HR"/>
        </w:rPr>
      </w:pPr>
      <w:r w:rsidRPr="00891780">
        <w:rPr>
          <w:rStyle w:val="Zadanifontodlomka1"/>
          <w:rFonts w:ascii="Calibri" w:hAnsi="Calibri" w:cs="Calibri"/>
          <w:sz w:val="22"/>
          <w:szCs w:val="22"/>
          <w:lang w:val="en-GB" w:eastAsia="hr-HR"/>
        </w:rPr>
        <w:t>From 1 September 2022, when the Measure was introduced, until 31 December 2022, 31 loans were approved in the total amount of HRK 282 million.</w:t>
      </w:r>
      <w:r w:rsidR="00054989" w:rsidRPr="00891780">
        <w:rPr>
          <w:rStyle w:val="Zadanifontodlomka1"/>
          <w:rFonts w:ascii="Calibri" w:hAnsi="Calibri" w:cs="Calibri"/>
          <w:sz w:val="22"/>
          <w:szCs w:val="22"/>
          <w:lang w:val="en-GB" w:eastAsia="hr-HR"/>
        </w:rPr>
        <w:t xml:space="preserve"> </w:t>
      </w:r>
      <w:r w:rsidRPr="00891780">
        <w:rPr>
          <w:rStyle w:val="Zadanifontodlomka1"/>
          <w:rFonts w:ascii="Calibri" w:hAnsi="Calibri" w:cs="Calibri"/>
          <w:sz w:val="22"/>
          <w:szCs w:val="22"/>
          <w:lang w:val="en-GB" w:eastAsia="hr-HR"/>
        </w:rPr>
        <w:t>The implementation of this Measure</w:t>
      </w:r>
      <w:r w:rsidR="002F313B" w:rsidRPr="00891780">
        <w:rPr>
          <w:rStyle w:val="Zadanifontodlomka1"/>
          <w:rFonts w:ascii="Calibri" w:hAnsi="Calibri" w:cs="Calibri"/>
          <w:sz w:val="22"/>
          <w:szCs w:val="22"/>
          <w:lang w:val="en-GB" w:eastAsia="hr-HR"/>
        </w:rPr>
        <w:t xml:space="preserve"> will continue in 2023</w:t>
      </w:r>
      <w:r w:rsidR="00054989" w:rsidRPr="00891780">
        <w:rPr>
          <w:rStyle w:val="Zadanifontodlomka1"/>
          <w:rFonts w:ascii="Calibri" w:eastAsia="SimSun" w:hAnsi="Calibri" w:cs="Calibri"/>
          <w:sz w:val="22"/>
          <w:szCs w:val="22"/>
          <w:lang w:val="en-GB"/>
        </w:rPr>
        <w:t>.</w:t>
      </w:r>
    </w:p>
    <w:p w14:paraId="11B56B43" w14:textId="77777777" w:rsidR="00025A48" w:rsidRPr="008526F0" w:rsidRDefault="00025A48" w:rsidP="000B677E">
      <w:pPr>
        <w:spacing w:line="276" w:lineRule="auto"/>
        <w:jc w:val="both"/>
        <w:textAlignment w:val="baseline"/>
        <w:rPr>
          <w:rStyle w:val="Zadanifontodlomka1"/>
          <w:rFonts w:ascii="Calibri" w:eastAsia="SimSun" w:hAnsi="Calibri" w:cs="Calibri"/>
          <w:b/>
          <w:bCs/>
          <w:sz w:val="6"/>
          <w:szCs w:val="6"/>
          <w:lang w:val="en-GB"/>
        </w:rPr>
      </w:pPr>
    </w:p>
    <w:p w14:paraId="1748D776" w14:textId="2210B9D4" w:rsidR="00382CF2" w:rsidRPr="00891780" w:rsidRDefault="00054989" w:rsidP="000B677E">
      <w:pPr>
        <w:spacing w:line="276" w:lineRule="auto"/>
        <w:jc w:val="both"/>
        <w:textAlignment w:val="baseline"/>
        <w:rPr>
          <w:lang w:val="en-GB"/>
        </w:rPr>
      </w:pPr>
      <w:r w:rsidRPr="00891780">
        <w:rPr>
          <w:rStyle w:val="Zadanifontodlomka1"/>
          <w:rFonts w:ascii="Calibri" w:eastAsia="SimSun" w:hAnsi="Calibri" w:cs="Calibri"/>
          <w:b/>
          <w:bCs/>
          <w:sz w:val="22"/>
          <w:szCs w:val="22"/>
          <w:lang w:val="en-GB"/>
        </w:rPr>
        <w:t>Program</w:t>
      </w:r>
      <w:r w:rsidR="00883D8D" w:rsidRPr="00891780">
        <w:rPr>
          <w:rStyle w:val="Zadanifontodlomka1"/>
          <w:rFonts w:ascii="Calibri" w:eastAsia="SimSun" w:hAnsi="Calibri" w:cs="Calibri"/>
          <w:b/>
          <w:bCs/>
          <w:sz w:val="22"/>
          <w:szCs w:val="22"/>
          <w:lang w:val="en-GB"/>
        </w:rPr>
        <w:t>mes for</w:t>
      </w:r>
      <w:r w:rsidR="00C67C36" w:rsidRPr="00891780">
        <w:rPr>
          <w:rStyle w:val="Zadanifontodlomka1"/>
          <w:rFonts w:ascii="Calibri" w:eastAsia="SimSun" w:hAnsi="Calibri" w:cs="Calibri"/>
          <w:b/>
          <w:bCs/>
          <w:sz w:val="22"/>
          <w:szCs w:val="22"/>
          <w:lang w:val="en-GB"/>
        </w:rPr>
        <w:t xml:space="preserve"> portfolio </w:t>
      </w:r>
      <w:r w:rsidR="00EC0BC7" w:rsidRPr="00891780">
        <w:rPr>
          <w:rStyle w:val="Zadanifontodlomka1"/>
          <w:rFonts w:ascii="Calibri" w:eastAsia="SimSun" w:hAnsi="Calibri" w:cs="Calibri"/>
          <w:b/>
          <w:bCs/>
          <w:sz w:val="22"/>
          <w:szCs w:val="22"/>
          <w:lang w:val="en-GB"/>
        </w:rPr>
        <w:t xml:space="preserve">and individual </w:t>
      </w:r>
      <w:r w:rsidR="00C67C36" w:rsidRPr="00891780">
        <w:rPr>
          <w:rStyle w:val="Zadanifontodlomka1"/>
          <w:rFonts w:ascii="Calibri" w:eastAsia="SimSun" w:hAnsi="Calibri" w:cs="Calibri"/>
          <w:b/>
          <w:bCs/>
          <w:sz w:val="22"/>
          <w:szCs w:val="22"/>
          <w:lang w:val="en-GB"/>
        </w:rPr>
        <w:t xml:space="preserve">insurance of liquidity loans for exporters </w:t>
      </w:r>
      <w:r w:rsidRPr="00891780">
        <w:rPr>
          <w:rStyle w:val="Zadanifontodlomka1"/>
          <w:rFonts w:ascii="Calibri" w:hAnsi="Calibri" w:cs="Calibri"/>
          <w:b/>
          <w:bCs/>
          <w:sz w:val="22"/>
          <w:szCs w:val="22"/>
          <w:lang w:val="en-GB" w:eastAsia="hr-HR"/>
        </w:rPr>
        <w:t xml:space="preserve">– </w:t>
      </w:r>
      <w:r w:rsidR="00EC0BC7" w:rsidRPr="00891780">
        <w:rPr>
          <w:rStyle w:val="Zadanifontodlomka1"/>
          <w:rFonts w:ascii="Calibri" w:hAnsi="Calibri" w:cs="Calibri"/>
          <w:b/>
          <w:bCs/>
          <w:sz w:val="22"/>
          <w:szCs w:val="22"/>
          <w:lang w:val="en-GB" w:eastAsia="hr-HR"/>
        </w:rPr>
        <w:t xml:space="preserve">measures to help the economy of the Republic of Croatia following the Russian aggression </w:t>
      </w:r>
      <w:r w:rsidR="006F3154" w:rsidRPr="00891780">
        <w:rPr>
          <w:rStyle w:val="Zadanifontodlomka1"/>
          <w:rFonts w:ascii="Calibri" w:hAnsi="Calibri" w:cs="Calibri"/>
          <w:b/>
          <w:bCs/>
          <w:sz w:val="22"/>
          <w:szCs w:val="22"/>
          <w:lang w:val="en-GB" w:eastAsia="hr-HR"/>
        </w:rPr>
        <w:t>against Ukraine</w:t>
      </w:r>
    </w:p>
    <w:p w14:paraId="1748D777" w14:textId="05CF03DB" w:rsidR="00382CF2" w:rsidRPr="00891780" w:rsidRDefault="00054989" w:rsidP="000B677E">
      <w:pPr>
        <w:spacing w:before="120" w:after="120" w:line="276" w:lineRule="auto"/>
        <w:jc w:val="both"/>
        <w:rPr>
          <w:rStyle w:val="Zadanifontodlomka1"/>
          <w:rFonts w:ascii="Calibri" w:hAnsi="Calibri" w:cs="Calibri"/>
          <w:sz w:val="22"/>
          <w:szCs w:val="22"/>
          <w:lang w:val="en-GB" w:eastAsia="hr-HR"/>
        </w:rPr>
      </w:pPr>
      <w:r w:rsidRPr="00891780">
        <w:rPr>
          <w:rStyle w:val="Zadanifontodlomka1"/>
          <w:rFonts w:ascii="Calibri" w:eastAsia="SimSun" w:hAnsi="Calibri" w:cs="Calibri"/>
          <w:sz w:val="22"/>
          <w:szCs w:val="22"/>
          <w:lang w:val="en-GB"/>
        </w:rPr>
        <w:t>Program</w:t>
      </w:r>
      <w:r w:rsidR="009641B7" w:rsidRPr="00891780">
        <w:rPr>
          <w:rStyle w:val="Zadanifontodlomka1"/>
          <w:rFonts w:ascii="Calibri" w:eastAsia="SimSun" w:hAnsi="Calibri" w:cs="Calibri"/>
          <w:sz w:val="22"/>
          <w:szCs w:val="22"/>
          <w:lang w:val="en-GB"/>
        </w:rPr>
        <w:t>mes for portfolio</w:t>
      </w:r>
      <w:r w:rsidR="00D039DA" w:rsidRPr="00891780">
        <w:rPr>
          <w:rStyle w:val="Zadanifontodlomka1"/>
          <w:rFonts w:ascii="Calibri" w:eastAsia="SimSun" w:hAnsi="Calibri" w:cs="Calibri"/>
          <w:sz w:val="22"/>
          <w:szCs w:val="22"/>
          <w:lang w:val="en-GB"/>
        </w:rPr>
        <w:t xml:space="preserve"> and individual insurance of liquidity loans for exporters</w:t>
      </w:r>
      <w:r w:rsidRPr="00891780">
        <w:rPr>
          <w:rStyle w:val="Zadanifontodlomka1"/>
          <w:rFonts w:ascii="Calibri" w:hAnsi="Calibri" w:cs="Calibri"/>
          <w:sz w:val="22"/>
          <w:szCs w:val="22"/>
          <w:lang w:val="en-GB" w:eastAsia="hr-HR"/>
        </w:rPr>
        <w:t xml:space="preserve"> – </w:t>
      </w:r>
      <w:r w:rsidR="00D039DA" w:rsidRPr="00891780">
        <w:rPr>
          <w:rStyle w:val="Zadanifontodlomka1"/>
          <w:rFonts w:ascii="Calibri" w:hAnsi="Calibri" w:cs="Calibri"/>
          <w:sz w:val="22"/>
          <w:szCs w:val="22"/>
          <w:lang w:val="en-GB" w:eastAsia="hr-HR"/>
        </w:rPr>
        <w:t>measures to help the economy of the Republic of Croatia following the Russian aggression against Ukraine</w:t>
      </w:r>
      <w:r w:rsidRPr="00891780">
        <w:rPr>
          <w:rStyle w:val="Zadanifontodlomka1"/>
          <w:rFonts w:ascii="Calibri" w:hAnsi="Calibri" w:cs="Calibri"/>
          <w:sz w:val="22"/>
          <w:szCs w:val="22"/>
          <w:lang w:val="en-GB" w:eastAsia="hr-HR"/>
        </w:rPr>
        <w:t xml:space="preserve">, </w:t>
      </w:r>
      <w:r w:rsidR="005F2EA2" w:rsidRPr="00891780">
        <w:rPr>
          <w:rStyle w:val="Zadanifontodlomka1"/>
          <w:rFonts w:ascii="Calibri" w:hAnsi="Calibri" w:cs="Calibri"/>
          <w:sz w:val="22"/>
          <w:szCs w:val="22"/>
          <w:lang w:val="en-GB" w:eastAsia="hr-HR"/>
        </w:rPr>
        <w:t>enable exporters and their suppliers</w:t>
      </w:r>
      <w:r w:rsidRPr="00891780">
        <w:rPr>
          <w:rStyle w:val="Zadanifontodlomka1"/>
          <w:rFonts w:ascii="Calibri" w:hAnsi="Calibri" w:cs="Calibri"/>
          <w:sz w:val="22"/>
          <w:szCs w:val="22"/>
          <w:lang w:val="en-GB" w:eastAsia="hr-HR"/>
        </w:rPr>
        <w:t xml:space="preserve"> (</w:t>
      </w:r>
      <w:r w:rsidR="00235B25" w:rsidRPr="00891780">
        <w:rPr>
          <w:rStyle w:val="Zadanifontodlomka1"/>
          <w:rFonts w:ascii="Calibri" w:hAnsi="Calibri" w:cs="Calibri"/>
          <w:sz w:val="22"/>
          <w:szCs w:val="22"/>
          <w:lang w:val="en-GB" w:eastAsia="hr-HR"/>
        </w:rPr>
        <w:t>intermediate exporters</w:t>
      </w:r>
      <w:r w:rsidRPr="00891780">
        <w:rPr>
          <w:rStyle w:val="Zadanifontodlomka1"/>
          <w:rFonts w:ascii="Calibri" w:hAnsi="Calibri" w:cs="Calibri"/>
          <w:sz w:val="22"/>
          <w:szCs w:val="22"/>
          <w:lang w:val="en-GB" w:eastAsia="hr-HR"/>
        </w:rPr>
        <w:t>)</w:t>
      </w:r>
      <w:r w:rsidR="00F91A52" w:rsidRPr="00891780">
        <w:rPr>
          <w:rStyle w:val="Zadanifontodlomka1"/>
          <w:rFonts w:ascii="Calibri" w:hAnsi="Calibri" w:cs="Calibri"/>
          <w:sz w:val="22"/>
          <w:szCs w:val="22"/>
          <w:lang w:val="en-GB" w:eastAsia="hr-HR"/>
        </w:rPr>
        <w:t xml:space="preserve"> which</w:t>
      </w:r>
      <w:r w:rsidR="00235B25" w:rsidRPr="00891780">
        <w:rPr>
          <w:rStyle w:val="Zadanifontodlomka1"/>
          <w:rFonts w:ascii="Calibri" w:hAnsi="Calibri" w:cs="Calibri"/>
          <w:sz w:val="22"/>
          <w:szCs w:val="22"/>
          <w:lang w:val="en-GB" w:eastAsia="hr-HR"/>
        </w:rPr>
        <w:t xml:space="preserve"> encountered difficulties</w:t>
      </w:r>
      <w:r w:rsidRPr="00891780">
        <w:rPr>
          <w:rStyle w:val="Zadanifontodlomka1"/>
          <w:rFonts w:ascii="Calibri" w:hAnsi="Calibri" w:cs="Calibri"/>
          <w:sz w:val="22"/>
          <w:szCs w:val="22"/>
          <w:lang w:val="en-GB" w:eastAsia="hr-HR"/>
        </w:rPr>
        <w:t xml:space="preserve"> </w:t>
      </w:r>
      <w:r w:rsidR="00E83F27" w:rsidRPr="00891780">
        <w:rPr>
          <w:rStyle w:val="Zadanifontodlomka1"/>
          <w:rFonts w:ascii="Calibri" w:hAnsi="Calibri" w:cs="Calibri"/>
          <w:sz w:val="22"/>
          <w:szCs w:val="22"/>
          <w:lang w:val="en-GB" w:eastAsia="hr-HR"/>
        </w:rPr>
        <w:t>in their operation caused by the crisis that</w:t>
      </w:r>
      <w:r w:rsidRPr="00891780">
        <w:rPr>
          <w:rStyle w:val="Zadanifontodlomka1"/>
          <w:rFonts w:ascii="Calibri" w:hAnsi="Calibri" w:cs="Calibri"/>
          <w:sz w:val="22"/>
          <w:szCs w:val="22"/>
          <w:lang w:val="en-GB" w:eastAsia="hr-HR"/>
        </w:rPr>
        <w:t xml:space="preserve"> </w:t>
      </w:r>
      <w:r w:rsidR="00BB2BC4" w:rsidRPr="00891780">
        <w:rPr>
          <w:rStyle w:val="Zadanifontodlomka1"/>
          <w:rFonts w:ascii="Calibri" w:hAnsi="Calibri" w:cs="Calibri"/>
          <w:sz w:val="22"/>
          <w:szCs w:val="22"/>
          <w:lang w:val="en-GB" w:eastAsia="hr-HR"/>
        </w:rPr>
        <w:t>occurred as a result of the Russian aggression against Ukraine</w:t>
      </w:r>
      <w:r w:rsidR="00F91A52" w:rsidRPr="00891780">
        <w:rPr>
          <w:rStyle w:val="Zadanifontodlomka1"/>
          <w:rFonts w:ascii="Calibri" w:hAnsi="Calibri" w:cs="Calibri"/>
          <w:sz w:val="22"/>
          <w:szCs w:val="22"/>
          <w:lang w:val="en-GB" w:eastAsia="hr-HR"/>
        </w:rPr>
        <w:t xml:space="preserve"> and </w:t>
      </w:r>
      <w:r w:rsidR="00D61A93" w:rsidRPr="00891780">
        <w:rPr>
          <w:rStyle w:val="Zadanifontodlomka1"/>
          <w:rFonts w:ascii="Calibri" w:hAnsi="Calibri" w:cs="Calibri"/>
          <w:sz w:val="22"/>
          <w:szCs w:val="22"/>
          <w:lang w:val="en-GB" w:eastAsia="hr-HR"/>
        </w:rPr>
        <w:t>which meet the eligibility criteria</w:t>
      </w:r>
      <w:r w:rsidRPr="00891780">
        <w:rPr>
          <w:rStyle w:val="Zadanifontodlomka1"/>
          <w:rFonts w:ascii="Calibri" w:hAnsi="Calibri" w:cs="Calibri"/>
          <w:sz w:val="22"/>
          <w:szCs w:val="22"/>
          <w:lang w:val="en-GB" w:eastAsia="hr-HR"/>
        </w:rPr>
        <w:t xml:space="preserve"> </w:t>
      </w:r>
      <w:r w:rsidR="00D61A93" w:rsidRPr="00891780">
        <w:rPr>
          <w:rStyle w:val="Zadanifontodlomka1"/>
          <w:rFonts w:ascii="Calibri" w:hAnsi="Calibri" w:cs="Calibri"/>
          <w:sz w:val="22"/>
          <w:szCs w:val="22"/>
          <w:lang w:val="en-GB" w:eastAsia="hr-HR"/>
        </w:rPr>
        <w:t>established by those programmes</w:t>
      </w:r>
      <w:r w:rsidR="005A6DDD" w:rsidRPr="00891780">
        <w:rPr>
          <w:rStyle w:val="Zadanifontodlomka1"/>
          <w:rFonts w:ascii="Calibri" w:hAnsi="Calibri" w:cs="Calibri"/>
          <w:sz w:val="22"/>
          <w:szCs w:val="22"/>
          <w:lang w:val="en-GB" w:eastAsia="hr-HR"/>
        </w:rPr>
        <w:t xml:space="preserve"> to obtain collaterals that banks as lenders can use to</w:t>
      </w:r>
      <w:r w:rsidRPr="00891780">
        <w:rPr>
          <w:rStyle w:val="Zadanifontodlomka1"/>
          <w:rFonts w:ascii="Calibri" w:hAnsi="Calibri" w:cs="Calibri"/>
          <w:sz w:val="22"/>
          <w:szCs w:val="22"/>
          <w:lang w:val="en-GB" w:eastAsia="hr-HR"/>
        </w:rPr>
        <w:t xml:space="preserve"> </w:t>
      </w:r>
      <w:r w:rsidR="005A6DDD" w:rsidRPr="00891780">
        <w:rPr>
          <w:rStyle w:val="Zadanifontodlomka1"/>
          <w:rFonts w:ascii="Calibri" w:hAnsi="Calibri" w:cs="Calibri"/>
          <w:sz w:val="22"/>
          <w:szCs w:val="22"/>
          <w:lang w:val="en-GB" w:eastAsia="hr-HR"/>
        </w:rPr>
        <w:t>approve new</w:t>
      </w:r>
      <w:r w:rsidR="00D154EE" w:rsidRPr="00891780">
        <w:rPr>
          <w:rStyle w:val="Zadanifontodlomka1"/>
          <w:rFonts w:ascii="Calibri" w:hAnsi="Calibri" w:cs="Calibri"/>
          <w:sz w:val="22"/>
          <w:szCs w:val="22"/>
          <w:lang w:val="en-GB" w:eastAsia="hr-HR"/>
        </w:rPr>
        <w:t xml:space="preserve"> loans for liquidity</w:t>
      </w:r>
      <w:r w:rsidRPr="00891780">
        <w:rPr>
          <w:rStyle w:val="Zadanifontodlomka1"/>
          <w:rFonts w:ascii="Calibri" w:hAnsi="Calibri" w:cs="Calibri"/>
          <w:sz w:val="22"/>
          <w:szCs w:val="22"/>
          <w:lang w:val="en-GB" w:eastAsia="hr-HR"/>
        </w:rPr>
        <w:t xml:space="preserve">. </w:t>
      </w:r>
      <w:r w:rsidR="00D154EE" w:rsidRPr="00891780">
        <w:rPr>
          <w:rStyle w:val="Zadanifontodlomka1"/>
          <w:rFonts w:ascii="Calibri" w:hAnsi="Calibri" w:cs="Calibri"/>
          <w:sz w:val="22"/>
          <w:szCs w:val="22"/>
          <w:lang w:val="en-GB" w:eastAsia="hr-HR"/>
        </w:rPr>
        <w:t xml:space="preserve">The respective programmes are implemented </w:t>
      </w:r>
      <w:proofErr w:type="gramStart"/>
      <w:r w:rsidR="00D154EE" w:rsidRPr="00891780">
        <w:rPr>
          <w:rStyle w:val="Zadanifontodlomka1"/>
          <w:rFonts w:ascii="Calibri" w:hAnsi="Calibri" w:cs="Calibri"/>
          <w:sz w:val="22"/>
          <w:szCs w:val="22"/>
          <w:lang w:val="en-GB" w:eastAsia="hr-HR"/>
        </w:rPr>
        <w:t>on the basis of</w:t>
      </w:r>
      <w:proofErr w:type="gramEnd"/>
      <w:r w:rsidR="00D154EE" w:rsidRPr="00891780">
        <w:rPr>
          <w:rStyle w:val="Zadanifontodlomka1"/>
          <w:rFonts w:ascii="Calibri" w:hAnsi="Calibri" w:cs="Calibri"/>
          <w:sz w:val="22"/>
          <w:szCs w:val="22"/>
          <w:lang w:val="en-GB" w:eastAsia="hr-HR"/>
        </w:rPr>
        <w:t xml:space="preserve"> chapter</w:t>
      </w:r>
      <w:r w:rsidRPr="00891780">
        <w:rPr>
          <w:rStyle w:val="Zadanifontodlomka1"/>
          <w:rFonts w:ascii="Calibri" w:hAnsi="Calibri" w:cs="Calibri"/>
          <w:sz w:val="22"/>
          <w:szCs w:val="22"/>
          <w:lang w:val="en-GB" w:eastAsia="hr-HR"/>
        </w:rPr>
        <w:t xml:space="preserve"> 2.2. </w:t>
      </w:r>
      <w:r w:rsidR="00D154EE" w:rsidRPr="00891780">
        <w:rPr>
          <w:rStyle w:val="Zadanifontodlomka1"/>
          <w:rFonts w:ascii="Calibri" w:hAnsi="Calibri" w:cs="Calibri"/>
          <w:sz w:val="22"/>
          <w:szCs w:val="22"/>
          <w:lang w:val="en-GB" w:eastAsia="hr-HR"/>
        </w:rPr>
        <w:t xml:space="preserve">of the Temporary </w:t>
      </w:r>
      <w:r w:rsidR="00C5723F">
        <w:rPr>
          <w:rStyle w:val="Zadanifontodlomka1"/>
          <w:rFonts w:ascii="Calibri" w:hAnsi="Calibri" w:cs="Calibri"/>
          <w:sz w:val="22"/>
          <w:szCs w:val="22"/>
          <w:lang w:val="en-GB" w:eastAsia="hr-HR"/>
        </w:rPr>
        <w:t>C</w:t>
      </w:r>
      <w:r w:rsidR="00D154EE" w:rsidRPr="00891780">
        <w:rPr>
          <w:rStyle w:val="Zadanifontodlomka1"/>
          <w:rFonts w:ascii="Calibri" w:hAnsi="Calibri" w:cs="Calibri"/>
          <w:sz w:val="22"/>
          <w:szCs w:val="22"/>
          <w:lang w:val="en-GB" w:eastAsia="hr-HR"/>
        </w:rPr>
        <w:t xml:space="preserve">risis </w:t>
      </w:r>
      <w:r w:rsidR="00C5723F">
        <w:rPr>
          <w:rStyle w:val="Zadanifontodlomka1"/>
          <w:rFonts w:ascii="Calibri" w:hAnsi="Calibri" w:cs="Calibri"/>
          <w:sz w:val="22"/>
          <w:szCs w:val="22"/>
          <w:lang w:val="en-GB" w:eastAsia="hr-HR"/>
        </w:rPr>
        <w:t>F</w:t>
      </w:r>
      <w:r w:rsidR="00D154EE" w:rsidRPr="00891780">
        <w:rPr>
          <w:rStyle w:val="Zadanifontodlomka1"/>
          <w:rFonts w:ascii="Calibri" w:hAnsi="Calibri" w:cs="Calibri"/>
          <w:sz w:val="22"/>
          <w:szCs w:val="22"/>
          <w:lang w:val="en-GB" w:eastAsia="hr-HR"/>
        </w:rPr>
        <w:t>ramework of the European Commission</w:t>
      </w:r>
      <w:r w:rsidRPr="00891780">
        <w:rPr>
          <w:rStyle w:val="Zadanifontodlomka1"/>
          <w:rFonts w:ascii="Calibri" w:hAnsi="Calibri" w:cs="Calibri"/>
          <w:sz w:val="22"/>
          <w:szCs w:val="22"/>
          <w:lang w:val="en-GB" w:eastAsia="hr-HR"/>
        </w:rPr>
        <w:t>.</w:t>
      </w:r>
    </w:p>
    <w:p w14:paraId="22D4E0B2" w14:textId="5BBCC5E8" w:rsidR="008526F0" w:rsidRDefault="0089188E" w:rsidP="008526F0">
      <w:pPr>
        <w:spacing w:line="276" w:lineRule="auto"/>
        <w:jc w:val="both"/>
        <w:textAlignment w:val="baseline"/>
        <w:rPr>
          <w:rFonts w:ascii="Calibri" w:hAnsi="Calibri" w:cs="Calibri"/>
          <w:sz w:val="22"/>
          <w:szCs w:val="22"/>
          <w:lang w:val="en-GB" w:eastAsia="hr-HR"/>
        </w:rPr>
      </w:pPr>
      <w:r w:rsidRPr="00891780">
        <w:rPr>
          <w:rFonts w:ascii="Calibri" w:hAnsi="Calibri" w:cs="Calibri"/>
          <w:sz w:val="22"/>
          <w:szCs w:val="22"/>
          <w:lang w:val="en-GB" w:eastAsia="hr-HR"/>
        </w:rPr>
        <w:t xml:space="preserve">The intention of the </w:t>
      </w:r>
      <w:r w:rsidR="00D81521" w:rsidRPr="00891780">
        <w:rPr>
          <w:rFonts w:ascii="Calibri" w:hAnsi="Calibri" w:cs="Calibri"/>
          <w:sz w:val="22"/>
          <w:szCs w:val="22"/>
          <w:lang w:val="en-GB" w:eastAsia="hr-HR"/>
        </w:rPr>
        <w:t xml:space="preserve">Programme for the </w:t>
      </w:r>
      <w:r w:rsidR="00D74D7F" w:rsidRPr="00891780">
        <w:rPr>
          <w:rFonts w:ascii="Calibri" w:hAnsi="Calibri" w:cs="Calibri"/>
          <w:sz w:val="22"/>
          <w:szCs w:val="22"/>
          <w:lang w:val="en-GB" w:eastAsia="hr-HR"/>
        </w:rPr>
        <w:t>p</w:t>
      </w:r>
      <w:r w:rsidR="00D81521" w:rsidRPr="00891780">
        <w:rPr>
          <w:rFonts w:ascii="Calibri" w:hAnsi="Calibri" w:cs="Calibri"/>
          <w:sz w:val="22"/>
          <w:szCs w:val="22"/>
          <w:lang w:val="en-GB" w:eastAsia="hr-HR"/>
        </w:rPr>
        <w:t xml:space="preserve">ortfolio </w:t>
      </w:r>
      <w:r w:rsidR="00D74D7F" w:rsidRPr="00891780">
        <w:rPr>
          <w:rFonts w:ascii="Calibri" w:hAnsi="Calibri" w:cs="Calibri"/>
          <w:sz w:val="22"/>
          <w:szCs w:val="22"/>
          <w:lang w:val="en-GB" w:eastAsia="hr-HR"/>
        </w:rPr>
        <w:t>i</w:t>
      </w:r>
      <w:r w:rsidR="00D81521" w:rsidRPr="00891780">
        <w:rPr>
          <w:rFonts w:ascii="Calibri" w:hAnsi="Calibri" w:cs="Calibri"/>
          <w:sz w:val="22"/>
          <w:szCs w:val="22"/>
          <w:lang w:val="en-GB" w:eastAsia="hr-HR"/>
        </w:rPr>
        <w:t xml:space="preserve">nsurance </w:t>
      </w:r>
      <w:r w:rsidR="00D74D7F" w:rsidRPr="00891780">
        <w:rPr>
          <w:rFonts w:ascii="Calibri" w:hAnsi="Calibri" w:cs="Calibri"/>
          <w:sz w:val="22"/>
          <w:szCs w:val="22"/>
          <w:lang w:val="en-GB" w:eastAsia="hr-HR"/>
        </w:rPr>
        <w:t xml:space="preserve">is to encourage banks </w:t>
      </w:r>
      <w:r w:rsidR="008D51E5" w:rsidRPr="00891780">
        <w:rPr>
          <w:rFonts w:ascii="Calibri" w:hAnsi="Calibri" w:cs="Calibri"/>
          <w:sz w:val="22"/>
          <w:szCs w:val="22"/>
          <w:lang w:val="en-GB" w:eastAsia="hr-HR"/>
        </w:rPr>
        <w:t xml:space="preserve">to approve new funds faster and easier </w:t>
      </w:r>
      <w:r w:rsidR="00CA01BE" w:rsidRPr="00891780">
        <w:rPr>
          <w:rFonts w:ascii="Calibri" w:hAnsi="Calibri" w:cs="Calibri"/>
          <w:sz w:val="22"/>
          <w:szCs w:val="22"/>
          <w:lang w:val="en-GB" w:eastAsia="hr-HR"/>
        </w:rPr>
        <w:t xml:space="preserve">in order </w:t>
      </w:r>
      <w:r w:rsidR="008D51E5" w:rsidRPr="00891780">
        <w:rPr>
          <w:rFonts w:ascii="Calibri" w:hAnsi="Calibri" w:cs="Calibri"/>
          <w:sz w:val="22"/>
          <w:szCs w:val="22"/>
          <w:lang w:val="en-GB" w:eastAsia="hr-HR"/>
        </w:rPr>
        <w:t>to preserve the liquidity of exporters from all sectors</w:t>
      </w:r>
      <w:r w:rsidR="00BB434F" w:rsidRPr="00891780">
        <w:rPr>
          <w:rFonts w:ascii="Calibri" w:hAnsi="Calibri" w:cs="Calibri"/>
          <w:sz w:val="22"/>
          <w:szCs w:val="22"/>
          <w:lang w:val="en-GB" w:eastAsia="hr-HR"/>
        </w:rPr>
        <w:t xml:space="preserve"> of the economy</w:t>
      </w:r>
      <w:r w:rsidR="001C3639" w:rsidRPr="00891780">
        <w:rPr>
          <w:rFonts w:ascii="Calibri" w:hAnsi="Calibri" w:cs="Calibri"/>
          <w:sz w:val="22"/>
          <w:szCs w:val="22"/>
          <w:lang w:val="en-GB" w:eastAsia="hr-HR"/>
        </w:rPr>
        <w:t>.</w:t>
      </w:r>
      <w:r w:rsidR="008D51E5" w:rsidRPr="00891780">
        <w:rPr>
          <w:rFonts w:ascii="Calibri" w:hAnsi="Calibri" w:cs="Calibri"/>
          <w:sz w:val="22"/>
          <w:szCs w:val="22"/>
          <w:lang w:val="en-GB" w:eastAsia="hr-HR"/>
        </w:rPr>
        <w:t xml:space="preserve"> </w:t>
      </w:r>
      <w:r w:rsidR="001C3639" w:rsidRPr="00891780">
        <w:rPr>
          <w:rFonts w:ascii="Calibri" w:hAnsi="Calibri" w:cs="Calibri"/>
          <w:sz w:val="22"/>
          <w:szCs w:val="22"/>
          <w:lang w:val="en-GB" w:eastAsia="hr-HR"/>
        </w:rPr>
        <w:t>E</w:t>
      </w:r>
      <w:r w:rsidR="008D51E5" w:rsidRPr="00891780">
        <w:rPr>
          <w:rFonts w:ascii="Calibri" w:hAnsi="Calibri" w:cs="Calibri"/>
          <w:sz w:val="22"/>
          <w:szCs w:val="22"/>
          <w:lang w:val="en-GB" w:eastAsia="hr-HR"/>
        </w:rPr>
        <w:t xml:space="preserve">xporters are considered to be entrepreneurs who </w:t>
      </w:r>
      <w:r w:rsidR="004F5B2B" w:rsidRPr="00891780">
        <w:rPr>
          <w:rFonts w:ascii="Calibri" w:hAnsi="Calibri" w:cs="Calibri"/>
          <w:sz w:val="22"/>
          <w:szCs w:val="22"/>
          <w:lang w:val="en-GB" w:eastAsia="hr-HR"/>
        </w:rPr>
        <w:t xml:space="preserve">have </w:t>
      </w:r>
      <w:r w:rsidR="008D51E5" w:rsidRPr="00891780">
        <w:rPr>
          <w:rFonts w:ascii="Calibri" w:hAnsi="Calibri" w:cs="Calibri"/>
          <w:sz w:val="22"/>
          <w:szCs w:val="22"/>
          <w:lang w:val="en-GB" w:eastAsia="hr-HR"/>
        </w:rPr>
        <w:t>generate</w:t>
      </w:r>
      <w:r w:rsidR="004F5B2B" w:rsidRPr="00891780">
        <w:rPr>
          <w:rFonts w:ascii="Calibri" w:hAnsi="Calibri" w:cs="Calibri"/>
          <w:sz w:val="22"/>
          <w:szCs w:val="22"/>
          <w:lang w:val="en-GB" w:eastAsia="hr-HR"/>
        </w:rPr>
        <w:t>d</w:t>
      </w:r>
      <w:r w:rsidR="008D51E5" w:rsidRPr="00891780">
        <w:rPr>
          <w:rFonts w:ascii="Calibri" w:hAnsi="Calibri" w:cs="Calibri"/>
          <w:sz w:val="22"/>
          <w:szCs w:val="22"/>
          <w:lang w:val="en-GB" w:eastAsia="hr-HR"/>
        </w:rPr>
        <w:t xml:space="preserve"> at least 10 percent of </w:t>
      </w:r>
      <w:r w:rsidR="004F5B2B" w:rsidRPr="00891780">
        <w:rPr>
          <w:rFonts w:ascii="Calibri" w:hAnsi="Calibri" w:cs="Calibri"/>
          <w:sz w:val="22"/>
          <w:szCs w:val="22"/>
          <w:lang w:val="en-GB" w:eastAsia="hr-HR"/>
        </w:rPr>
        <w:t>their operating income from export revenues</w:t>
      </w:r>
      <w:r w:rsidR="00B66015" w:rsidRPr="00891780">
        <w:rPr>
          <w:rFonts w:ascii="Calibri" w:hAnsi="Calibri" w:cs="Calibri"/>
          <w:sz w:val="22"/>
          <w:szCs w:val="22"/>
          <w:lang w:val="en-GB" w:eastAsia="hr-HR"/>
        </w:rPr>
        <w:t xml:space="preserve"> in the</w:t>
      </w:r>
      <w:r w:rsidR="008D51E5" w:rsidRPr="00891780">
        <w:rPr>
          <w:rFonts w:ascii="Calibri" w:hAnsi="Calibri" w:cs="Calibri"/>
          <w:sz w:val="22"/>
          <w:szCs w:val="22"/>
          <w:lang w:val="en-GB" w:eastAsia="hr-HR"/>
        </w:rPr>
        <w:t xml:space="preserve"> </w:t>
      </w:r>
      <w:r w:rsidR="0074206C" w:rsidRPr="00891780">
        <w:rPr>
          <w:rFonts w:ascii="Calibri" w:hAnsi="Calibri" w:cs="Calibri"/>
          <w:sz w:val="22"/>
          <w:szCs w:val="22"/>
          <w:lang w:val="en-GB" w:eastAsia="hr-HR"/>
        </w:rPr>
        <w:t>latest</w:t>
      </w:r>
      <w:r w:rsidR="008D51E5" w:rsidRPr="00891780">
        <w:rPr>
          <w:rFonts w:ascii="Calibri" w:hAnsi="Calibri" w:cs="Calibri"/>
          <w:sz w:val="22"/>
          <w:szCs w:val="22"/>
          <w:lang w:val="en-GB" w:eastAsia="hr-HR"/>
        </w:rPr>
        <w:t xml:space="preserve"> financial year, as well as their suppliers who </w:t>
      </w:r>
      <w:r w:rsidR="0074206C" w:rsidRPr="00891780">
        <w:rPr>
          <w:rFonts w:ascii="Calibri" w:hAnsi="Calibri" w:cs="Calibri"/>
          <w:sz w:val="22"/>
          <w:szCs w:val="22"/>
          <w:lang w:val="en-GB" w:eastAsia="hr-HR"/>
        </w:rPr>
        <w:t xml:space="preserve">have </w:t>
      </w:r>
      <w:r w:rsidR="008D51E5" w:rsidRPr="00891780">
        <w:rPr>
          <w:rFonts w:ascii="Calibri" w:hAnsi="Calibri" w:cs="Calibri"/>
          <w:sz w:val="22"/>
          <w:szCs w:val="22"/>
          <w:lang w:val="en-GB" w:eastAsia="hr-HR"/>
        </w:rPr>
        <w:t>generate</w:t>
      </w:r>
      <w:r w:rsidR="0074206C" w:rsidRPr="00891780">
        <w:rPr>
          <w:rFonts w:ascii="Calibri" w:hAnsi="Calibri" w:cs="Calibri"/>
          <w:sz w:val="22"/>
          <w:szCs w:val="22"/>
          <w:lang w:val="en-GB" w:eastAsia="hr-HR"/>
        </w:rPr>
        <w:t>d</w:t>
      </w:r>
      <w:r w:rsidR="008D51E5" w:rsidRPr="00891780">
        <w:rPr>
          <w:rFonts w:ascii="Calibri" w:hAnsi="Calibri" w:cs="Calibri"/>
          <w:sz w:val="22"/>
          <w:szCs w:val="22"/>
          <w:lang w:val="en-GB" w:eastAsia="hr-HR"/>
        </w:rPr>
        <w:t xml:space="preserve"> at least 20</w:t>
      </w:r>
      <w:r w:rsidR="0074206C" w:rsidRPr="00891780">
        <w:rPr>
          <w:rFonts w:ascii="Calibri" w:hAnsi="Calibri" w:cs="Calibri"/>
          <w:sz w:val="22"/>
          <w:szCs w:val="22"/>
          <w:lang w:val="en-GB" w:eastAsia="hr-HR"/>
        </w:rPr>
        <w:t xml:space="preserve"> percent</w:t>
      </w:r>
      <w:r w:rsidR="00643A63" w:rsidRPr="00891780">
        <w:rPr>
          <w:rFonts w:ascii="Calibri" w:hAnsi="Calibri" w:cs="Calibri"/>
          <w:sz w:val="22"/>
          <w:szCs w:val="22"/>
          <w:lang w:val="en-GB" w:eastAsia="hr-HR"/>
        </w:rPr>
        <w:t xml:space="preserve"> of their income from sale to exporters </w:t>
      </w:r>
      <w:r w:rsidR="00D65085" w:rsidRPr="00891780">
        <w:rPr>
          <w:rFonts w:ascii="Calibri" w:hAnsi="Calibri" w:cs="Calibri"/>
          <w:sz w:val="22"/>
          <w:szCs w:val="22"/>
          <w:lang w:val="en-GB" w:eastAsia="hr-HR"/>
        </w:rPr>
        <w:t xml:space="preserve">and their suppliers. </w:t>
      </w:r>
      <w:r w:rsidR="00465D53" w:rsidRPr="00891780">
        <w:rPr>
          <w:rFonts w:ascii="Calibri" w:hAnsi="Calibri" w:cs="Calibri"/>
          <w:sz w:val="22"/>
          <w:szCs w:val="22"/>
          <w:lang w:val="en-GB" w:eastAsia="hr-HR"/>
        </w:rPr>
        <w:t>Banks involved in cooperation under th</w:t>
      </w:r>
      <w:r w:rsidR="00BB0B08">
        <w:rPr>
          <w:rFonts w:ascii="Calibri" w:hAnsi="Calibri" w:cs="Calibri"/>
          <w:sz w:val="22"/>
          <w:szCs w:val="22"/>
          <w:lang w:val="en-GB" w:eastAsia="hr-HR"/>
        </w:rPr>
        <w:t>e</w:t>
      </w:r>
      <w:r w:rsidR="00465D53" w:rsidRPr="00891780">
        <w:rPr>
          <w:rFonts w:ascii="Calibri" w:hAnsi="Calibri" w:cs="Calibri"/>
          <w:sz w:val="22"/>
          <w:szCs w:val="22"/>
          <w:lang w:val="en-GB" w:eastAsia="hr-HR"/>
        </w:rPr>
        <w:t xml:space="preserve"> portfolio insurance programme include loans </w:t>
      </w:r>
      <w:r w:rsidR="004C31E3" w:rsidRPr="00891780">
        <w:rPr>
          <w:rFonts w:ascii="Calibri" w:hAnsi="Calibri" w:cs="Calibri"/>
          <w:sz w:val="22"/>
          <w:szCs w:val="22"/>
          <w:lang w:val="en-GB" w:eastAsia="hr-HR"/>
        </w:rPr>
        <w:t>according to</w:t>
      </w:r>
      <w:r w:rsidR="00727532" w:rsidRPr="00891780">
        <w:rPr>
          <w:rFonts w:ascii="Calibri" w:hAnsi="Calibri" w:cs="Calibri"/>
          <w:sz w:val="22"/>
          <w:szCs w:val="22"/>
          <w:lang w:val="en-GB" w:eastAsia="hr-HR"/>
        </w:rPr>
        <w:t xml:space="preserve"> the</w:t>
      </w:r>
      <w:r w:rsidR="00465D53" w:rsidRPr="00891780">
        <w:rPr>
          <w:rFonts w:ascii="Calibri" w:hAnsi="Calibri" w:cs="Calibri"/>
          <w:sz w:val="22"/>
          <w:szCs w:val="22"/>
          <w:lang w:val="en-GB" w:eastAsia="hr-HR"/>
        </w:rPr>
        <w:t xml:space="preserve"> previously agreed criteria in the insured portfolio</w:t>
      </w:r>
      <w:r w:rsidR="004C31E3" w:rsidRPr="00891780">
        <w:rPr>
          <w:rFonts w:ascii="Calibri" w:hAnsi="Calibri" w:cs="Calibri"/>
          <w:sz w:val="22"/>
          <w:szCs w:val="22"/>
          <w:lang w:val="en-GB" w:eastAsia="hr-HR"/>
        </w:rPr>
        <w:t>,</w:t>
      </w:r>
      <w:r w:rsidR="00465D53" w:rsidRPr="00891780">
        <w:rPr>
          <w:rFonts w:ascii="Calibri" w:hAnsi="Calibri" w:cs="Calibri"/>
          <w:sz w:val="22"/>
          <w:szCs w:val="22"/>
          <w:lang w:val="en-GB" w:eastAsia="hr-HR"/>
        </w:rPr>
        <w:t xml:space="preserve"> for which HBOR assumes up to 90 percent of the </w:t>
      </w:r>
      <w:r w:rsidR="00392B4B" w:rsidRPr="00891780">
        <w:rPr>
          <w:rFonts w:ascii="Calibri" w:hAnsi="Calibri" w:cs="Calibri"/>
          <w:sz w:val="22"/>
          <w:szCs w:val="22"/>
          <w:lang w:val="en-GB" w:eastAsia="hr-HR"/>
        </w:rPr>
        <w:t>recovery</w:t>
      </w:r>
      <w:r w:rsidR="00465D53" w:rsidRPr="00891780">
        <w:rPr>
          <w:rFonts w:ascii="Calibri" w:hAnsi="Calibri" w:cs="Calibri"/>
          <w:sz w:val="22"/>
          <w:szCs w:val="22"/>
          <w:lang w:val="en-GB" w:eastAsia="hr-HR"/>
        </w:rPr>
        <w:t xml:space="preserve"> risk. </w:t>
      </w:r>
    </w:p>
    <w:p w14:paraId="46FBD9C7" w14:textId="606BCE44" w:rsidR="008526F0" w:rsidRPr="00891780" w:rsidRDefault="008526F0" w:rsidP="008526F0">
      <w:pPr>
        <w:spacing w:line="276" w:lineRule="auto"/>
        <w:jc w:val="both"/>
        <w:textAlignment w:val="baseline"/>
        <w:rPr>
          <w:rFonts w:ascii="Calibri" w:hAnsi="Calibri" w:cs="Calibri"/>
          <w:sz w:val="22"/>
          <w:szCs w:val="22"/>
          <w:lang w:val="en-GB" w:eastAsia="hr-HR"/>
        </w:rPr>
      </w:pPr>
      <w:r w:rsidRPr="00891780">
        <w:rPr>
          <w:rFonts w:ascii="Calibri" w:hAnsi="Calibri" w:cs="Calibri"/>
          <w:sz w:val="22"/>
          <w:szCs w:val="22"/>
          <w:lang w:val="en-GB" w:eastAsia="hr-HR"/>
        </w:rPr>
        <w:lastRenderedPageBreak/>
        <w:t>Programme for individual insurance was introduced for the purpose of insuring loans that do not completely fit into the eligibility criteria for the inclusion of loans in the portfolio under the portfolio insurance programme, and which the insurer, after an analysis, assesses as acceptable for insurance.</w:t>
      </w:r>
    </w:p>
    <w:p w14:paraId="1748D77B" w14:textId="2DC99B24" w:rsidR="00382CF2" w:rsidRPr="00891780" w:rsidRDefault="00054989" w:rsidP="000B677E">
      <w:pPr>
        <w:spacing w:line="276" w:lineRule="auto"/>
        <w:jc w:val="both"/>
        <w:textAlignment w:val="baseline"/>
        <w:rPr>
          <w:rFonts w:ascii="Calibri" w:eastAsia="SimSun" w:hAnsi="Calibri" w:cs="Calibri"/>
          <w:b/>
          <w:bCs/>
          <w:sz w:val="22"/>
          <w:szCs w:val="22"/>
          <w:lang w:val="en-GB"/>
        </w:rPr>
      </w:pPr>
      <w:r w:rsidRPr="00891780">
        <w:rPr>
          <w:rFonts w:ascii="Calibri" w:eastAsia="SimSun" w:hAnsi="Calibri" w:cs="Calibri"/>
          <w:b/>
          <w:bCs/>
          <w:sz w:val="22"/>
          <w:szCs w:val="22"/>
          <w:lang w:val="en-GB"/>
        </w:rPr>
        <w:t>Program</w:t>
      </w:r>
      <w:r w:rsidR="00727AAF" w:rsidRPr="00891780">
        <w:rPr>
          <w:rFonts w:ascii="Calibri" w:eastAsia="SimSun" w:hAnsi="Calibri" w:cs="Calibri"/>
          <w:b/>
          <w:bCs/>
          <w:sz w:val="22"/>
          <w:szCs w:val="22"/>
          <w:lang w:val="en-GB"/>
        </w:rPr>
        <w:t xml:space="preserve">me for Subsidising the </w:t>
      </w:r>
      <w:r w:rsidR="006A2131" w:rsidRPr="00891780">
        <w:rPr>
          <w:rFonts w:ascii="Calibri" w:eastAsia="SimSun" w:hAnsi="Calibri" w:cs="Calibri"/>
          <w:b/>
          <w:bCs/>
          <w:sz w:val="22"/>
          <w:szCs w:val="22"/>
          <w:lang w:val="en-GB"/>
        </w:rPr>
        <w:t xml:space="preserve">Insurance Premium </w:t>
      </w:r>
      <w:r w:rsidRPr="00891780">
        <w:rPr>
          <w:rFonts w:ascii="Calibri" w:eastAsia="SimSun" w:hAnsi="Calibri" w:cs="Calibri"/>
          <w:b/>
          <w:bCs/>
          <w:sz w:val="22"/>
          <w:szCs w:val="22"/>
          <w:lang w:val="en-GB"/>
        </w:rPr>
        <w:t xml:space="preserve">– </w:t>
      </w:r>
      <w:r w:rsidR="00A931D9" w:rsidRPr="00891780">
        <w:rPr>
          <w:rFonts w:ascii="Calibri" w:eastAsia="SimSun" w:hAnsi="Calibri" w:cs="Calibri"/>
          <w:b/>
          <w:bCs/>
          <w:sz w:val="22"/>
          <w:szCs w:val="22"/>
          <w:lang w:val="en-GB"/>
        </w:rPr>
        <w:t>measure to help the economy following the Russian aggression against Ukraine</w:t>
      </w:r>
    </w:p>
    <w:p w14:paraId="3F39B2A5" w14:textId="18FBAE0B" w:rsidR="00025A48" w:rsidRPr="00891780" w:rsidRDefault="00054989" w:rsidP="000B677E">
      <w:pPr>
        <w:spacing w:after="120" w:line="276" w:lineRule="auto"/>
        <w:jc w:val="both"/>
        <w:textAlignment w:val="baseline"/>
        <w:rPr>
          <w:rFonts w:ascii="Calibri" w:hAnsi="Calibri" w:cs="Calibri"/>
          <w:sz w:val="22"/>
          <w:szCs w:val="22"/>
          <w:lang w:val="en-GB" w:eastAsia="hr-HR"/>
        </w:rPr>
      </w:pPr>
      <w:r w:rsidRPr="00891780">
        <w:rPr>
          <w:rStyle w:val="Zadanifontodlomka1"/>
          <w:rFonts w:ascii="Calibri" w:eastAsia="SimSun" w:hAnsi="Calibri" w:cs="Calibri"/>
          <w:sz w:val="22"/>
          <w:szCs w:val="22"/>
          <w:lang w:val="en-GB"/>
        </w:rPr>
        <w:t>Program</w:t>
      </w:r>
      <w:r w:rsidR="00A931D9" w:rsidRPr="00891780">
        <w:rPr>
          <w:rStyle w:val="Zadanifontodlomka1"/>
          <w:rFonts w:ascii="Calibri" w:eastAsia="SimSun" w:hAnsi="Calibri" w:cs="Calibri"/>
          <w:sz w:val="22"/>
          <w:szCs w:val="22"/>
          <w:lang w:val="en-GB"/>
        </w:rPr>
        <w:t>me for Subsidising the Insurance Premium</w:t>
      </w:r>
      <w:r w:rsidRPr="00891780">
        <w:rPr>
          <w:rStyle w:val="Zadanifontodlomka1"/>
          <w:rFonts w:ascii="Calibri" w:eastAsia="SimSun" w:hAnsi="Calibri" w:cs="Calibri"/>
          <w:sz w:val="22"/>
          <w:szCs w:val="22"/>
          <w:lang w:val="en-GB"/>
        </w:rPr>
        <w:t xml:space="preserve"> – m</w:t>
      </w:r>
      <w:r w:rsidR="00A931D9" w:rsidRPr="00891780">
        <w:rPr>
          <w:rStyle w:val="Zadanifontodlomka1"/>
          <w:rFonts w:ascii="Calibri" w:eastAsia="SimSun" w:hAnsi="Calibri" w:cs="Calibri"/>
          <w:sz w:val="22"/>
          <w:szCs w:val="22"/>
          <w:lang w:val="en-GB"/>
        </w:rPr>
        <w:t>easure to help the economy following</w:t>
      </w:r>
      <w:r w:rsidR="009E5BB3" w:rsidRPr="00891780">
        <w:rPr>
          <w:rStyle w:val="Zadanifontodlomka1"/>
          <w:rFonts w:ascii="Calibri" w:eastAsia="SimSun" w:hAnsi="Calibri" w:cs="Calibri"/>
          <w:sz w:val="22"/>
          <w:szCs w:val="22"/>
          <w:lang w:val="en-GB"/>
        </w:rPr>
        <w:t xml:space="preserve"> </w:t>
      </w:r>
      <w:r w:rsidR="00A931D9" w:rsidRPr="00891780">
        <w:rPr>
          <w:rStyle w:val="Zadanifontodlomka1"/>
          <w:rFonts w:ascii="Calibri" w:eastAsia="SimSun" w:hAnsi="Calibri" w:cs="Calibri"/>
          <w:sz w:val="22"/>
          <w:szCs w:val="22"/>
          <w:lang w:val="en-GB"/>
        </w:rPr>
        <w:t>the Russian aggression against Ukraine</w:t>
      </w:r>
      <w:r w:rsidRPr="00891780">
        <w:rPr>
          <w:rStyle w:val="Zadanifontodlomka1"/>
          <w:rFonts w:ascii="Calibri" w:eastAsia="SimSun" w:hAnsi="Calibri" w:cs="Calibri"/>
          <w:sz w:val="22"/>
          <w:szCs w:val="22"/>
          <w:lang w:val="en-GB"/>
        </w:rPr>
        <w:t xml:space="preserve"> </w:t>
      </w:r>
      <w:r w:rsidR="009E5BB3" w:rsidRPr="00891780">
        <w:rPr>
          <w:rStyle w:val="Zadanifontodlomka1"/>
          <w:rFonts w:ascii="Calibri" w:eastAsia="SimSun" w:hAnsi="Calibri" w:cs="Calibri"/>
          <w:sz w:val="22"/>
          <w:szCs w:val="22"/>
          <w:lang w:val="en-GB"/>
        </w:rPr>
        <w:t xml:space="preserve">is implemented </w:t>
      </w:r>
      <w:proofErr w:type="gramStart"/>
      <w:r w:rsidR="009E5BB3" w:rsidRPr="00891780">
        <w:rPr>
          <w:rStyle w:val="Zadanifontodlomka1"/>
          <w:rFonts w:ascii="Calibri" w:eastAsia="SimSun" w:hAnsi="Calibri" w:cs="Calibri"/>
          <w:sz w:val="22"/>
          <w:szCs w:val="22"/>
          <w:lang w:val="en-GB"/>
        </w:rPr>
        <w:t>on the basis of</w:t>
      </w:r>
      <w:proofErr w:type="gramEnd"/>
      <w:r w:rsidR="009E5BB3" w:rsidRPr="00891780">
        <w:rPr>
          <w:rStyle w:val="Zadanifontodlomka1"/>
          <w:rFonts w:ascii="Calibri" w:eastAsia="SimSun" w:hAnsi="Calibri" w:cs="Calibri"/>
          <w:sz w:val="22"/>
          <w:szCs w:val="22"/>
          <w:lang w:val="en-GB"/>
        </w:rPr>
        <w:t xml:space="preserve"> chapter</w:t>
      </w:r>
      <w:r w:rsidRPr="00891780">
        <w:rPr>
          <w:rStyle w:val="Zadanifontodlomka1"/>
          <w:rFonts w:ascii="Calibri" w:hAnsi="Calibri" w:cs="Calibri"/>
          <w:sz w:val="22"/>
          <w:szCs w:val="22"/>
          <w:lang w:val="en-GB" w:eastAsia="hr-HR"/>
        </w:rPr>
        <w:t xml:space="preserve"> 2.1. </w:t>
      </w:r>
      <w:r w:rsidR="009E5BB3" w:rsidRPr="00891780">
        <w:rPr>
          <w:rStyle w:val="Zadanifontodlomka1"/>
          <w:rFonts w:ascii="Calibri" w:hAnsi="Calibri" w:cs="Calibri"/>
          <w:sz w:val="22"/>
          <w:szCs w:val="22"/>
          <w:lang w:val="en-GB" w:eastAsia="hr-HR"/>
        </w:rPr>
        <w:t xml:space="preserve">of the Temporary </w:t>
      </w:r>
      <w:r w:rsidR="00BB0B08">
        <w:rPr>
          <w:rStyle w:val="Zadanifontodlomka1"/>
          <w:rFonts w:ascii="Calibri" w:hAnsi="Calibri" w:cs="Calibri"/>
          <w:sz w:val="22"/>
          <w:szCs w:val="22"/>
          <w:lang w:val="en-GB" w:eastAsia="hr-HR"/>
        </w:rPr>
        <w:t>C</w:t>
      </w:r>
      <w:r w:rsidR="009E5BB3" w:rsidRPr="00891780">
        <w:rPr>
          <w:rStyle w:val="Zadanifontodlomka1"/>
          <w:rFonts w:ascii="Calibri" w:hAnsi="Calibri" w:cs="Calibri"/>
          <w:sz w:val="22"/>
          <w:szCs w:val="22"/>
          <w:lang w:val="en-GB" w:eastAsia="hr-HR"/>
        </w:rPr>
        <w:t xml:space="preserve">risis </w:t>
      </w:r>
      <w:r w:rsidR="00BB0B08">
        <w:rPr>
          <w:rStyle w:val="Zadanifontodlomka1"/>
          <w:rFonts w:ascii="Calibri" w:hAnsi="Calibri" w:cs="Calibri"/>
          <w:sz w:val="22"/>
          <w:szCs w:val="22"/>
          <w:lang w:val="en-GB" w:eastAsia="hr-HR"/>
        </w:rPr>
        <w:t>F</w:t>
      </w:r>
      <w:r w:rsidR="009E5BB3" w:rsidRPr="00891780">
        <w:rPr>
          <w:rStyle w:val="Zadanifontodlomka1"/>
          <w:rFonts w:ascii="Calibri" w:hAnsi="Calibri" w:cs="Calibri"/>
          <w:sz w:val="22"/>
          <w:szCs w:val="22"/>
          <w:lang w:val="en-GB" w:eastAsia="hr-HR"/>
        </w:rPr>
        <w:t>ramework of the European Commission</w:t>
      </w:r>
      <w:r w:rsidRPr="00891780">
        <w:rPr>
          <w:rStyle w:val="Zadanifontodlomka1"/>
          <w:rFonts w:ascii="Calibri" w:hAnsi="Calibri" w:cs="Calibri"/>
          <w:sz w:val="22"/>
          <w:szCs w:val="22"/>
          <w:lang w:val="en-GB" w:eastAsia="hr-HR"/>
        </w:rPr>
        <w:t>.</w:t>
      </w:r>
    </w:p>
    <w:p w14:paraId="1748D77D" w14:textId="78CD0F69" w:rsidR="00382CF2" w:rsidRPr="00891780" w:rsidRDefault="0003408D" w:rsidP="000B677E">
      <w:pPr>
        <w:spacing w:line="276" w:lineRule="auto"/>
        <w:jc w:val="both"/>
        <w:textAlignment w:val="baseline"/>
        <w:rPr>
          <w:rFonts w:ascii="Calibri" w:hAnsi="Calibri" w:cs="Calibri"/>
          <w:sz w:val="22"/>
          <w:szCs w:val="22"/>
          <w:lang w:val="en-GB" w:eastAsia="hr-HR"/>
        </w:rPr>
      </w:pPr>
      <w:r w:rsidRPr="00891780">
        <w:rPr>
          <w:rFonts w:ascii="Calibri" w:hAnsi="Calibri" w:cs="Calibri"/>
          <w:sz w:val="22"/>
          <w:szCs w:val="22"/>
          <w:lang w:val="en-GB" w:eastAsia="hr-HR"/>
        </w:rPr>
        <w:t xml:space="preserve">This programme </w:t>
      </w:r>
      <w:r w:rsidR="00956437" w:rsidRPr="00891780">
        <w:rPr>
          <w:rFonts w:ascii="Calibri" w:hAnsi="Calibri" w:cs="Calibri"/>
          <w:sz w:val="22"/>
          <w:szCs w:val="22"/>
          <w:lang w:val="en-GB" w:eastAsia="hr-HR"/>
        </w:rPr>
        <w:t>enables exporters, as beneficiaries of liquidity loans insured under the</w:t>
      </w:r>
      <w:r w:rsidR="00F65829" w:rsidRPr="00891780">
        <w:rPr>
          <w:rFonts w:ascii="Calibri" w:hAnsi="Calibri" w:cs="Calibri"/>
          <w:sz w:val="22"/>
          <w:szCs w:val="22"/>
          <w:lang w:val="en-GB" w:eastAsia="hr-HR"/>
        </w:rPr>
        <w:t xml:space="preserve"> </w:t>
      </w:r>
      <w:r w:rsidR="00664651" w:rsidRPr="00891780">
        <w:rPr>
          <w:rFonts w:ascii="Calibri" w:hAnsi="Calibri" w:cs="Calibri"/>
          <w:sz w:val="22"/>
          <w:szCs w:val="22"/>
          <w:lang w:val="en-GB" w:eastAsia="hr-HR"/>
        </w:rPr>
        <w:t xml:space="preserve">programmes for </w:t>
      </w:r>
      <w:r w:rsidR="00F65829" w:rsidRPr="00891780">
        <w:rPr>
          <w:rFonts w:ascii="Calibri" w:hAnsi="Calibri" w:cs="Calibri"/>
          <w:sz w:val="22"/>
          <w:szCs w:val="22"/>
          <w:lang w:val="en-GB" w:eastAsia="hr-HR"/>
        </w:rPr>
        <w:t xml:space="preserve">portfolio insurance or individual insurance of </w:t>
      </w:r>
      <w:r w:rsidR="008D6B24" w:rsidRPr="00891780">
        <w:rPr>
          <w:rFonts w:ascii="Calibri" w:hAnsi="Calibri" w:cs="Calibri"/>
          <w:sz w:val="22"/>
          <w:szCs w:val="22"/>
          <w:lang w:val="en-GB" w:eastAsia="hr-HR"/>
        </w:rPr>
        <w:t>liquidity loans for exporters</w:t>
      </w:r>
      <w:r w:rsidR="00935546" w:rsidRPr="00891780">
        <w:rPr>
          <w:rFonts w:ascii="Calibri" w:hAnsi="Calibri" w:cs="Calibri"/>
          <w:sz w:val="22"/>
          <w:szCs w:val="22"/>
          <w:lang w:val="en-GB" w:eastAsia="hr-HR"/>
        </w:rPr>
        <w:t xml:space="preserve"> implemented by</w:t>
      </w:r>
      <w:r w:rsidR="00054989" w:rsidRPr="00891780">
        <w:rPr>
          <w:rFonts w:ascii="Calibri" w:hAnsi="Calibri" w:cs="Calibri"/>
          <w:sz w:val="22"/>
          <w:szCs w:val="22"/>
          <w:lang w:val="en-GB" w:eastAsia="hr-HR"/>
        </w:rPr>
        <w:t xml:space="preserve"> HBOR </w:t>
      </w:r>
      <w:r w:rsidR="00935546" w:rsidRPr="00891780">
        <w:rPr>
          <w:rFonts w:ascii="Calibri" w:hAnsi="Calibri" w:cs="Calibri"/>
          <w:sz w:val="22"/>
          <w:szCs w:val="22"/>
          <w:lang w:val="en-GB" w:eastAsia="hr-HR"/>
        </w:rPr>
        <w:t>as measures to help the economy of the Republic of Croatia following the Russian aggression against Ukraine</w:t>
      </w:r>
      <w:r w:rsidR="00054989" w:rsidRPr="00891780">
        <w:rPr>
          <w:rFonts w:ascii="Calibri" w:hAnsi="Calibri" w:cs="Calibri"/>
          <w:sz w:val="22"/>
          <w:szCs w:val="22"/>
          <w:lang w:val="en-GB" w:eastAsia="hr-HR"/>
        </w:rPr>
        <w:t xml:space="preserve">, </w:t>
      </w:r>
      <w:r w:rsidR="00C8550E" w:rsidRPr="00891780">
        <w:rPr>
          <w:rFonts w:ascii="Calibri" w:hAnsi="Calibri" w:cs="Calibri"/>
          <w:sz w:val="22"/>
          <w:szCs w:val="22"/>
          <w:lang w:val="en-GB" w:eastAsia="hr-HR"/>
        </w:rPr>
        <w:t>to partially reduce or not to have the costs of insurance premium if they meet the conditions for subsidising the premium</w:t>
      </w:r>
      <w:r w:rsidR="00054989" w:rsidRPr="00891780">
        <w:rPr>
          <w:rFonts w:ascii="Calibri" w:hAnsi="Calibri" w:cs="Calibri"/>
          <w:sz w:val="22"/>
          <w:szCs w:val="22"/>
          <w:lang w:val="en-GB" w:eastAsia="hr-HR"/>
        </w:rPr>
        <w:t xml:space="preserve">. </w:t>
      </w:r>
      <w:r w:rsidR="00812F9C" w:rsidRPr="00891780">
        <w:rPr>
          <w:rFonts w:ascii="Calibri" w:hAnsi="Calibri" w:cs="Calibri"/>
          <w:sz w:val="22"/>
          <w:szCs w:val="22"/>
          <w:lang w:val="en-GB" w:eastAsia="hr-HR"/>
        </w:rPr>
        <w:t xml:space="preserve">In this way, the insurance of loans granted to exporters is made as favourable as possible </w:t>
      </w:r>
      <w:r w:rsidR="00EA2EF1" w:rsidRPr="00891780">
        <w:rPr>
          <w:rFonts w:ascii="Calibri" w:hAnsi="Calibri" w:cs="Calibri"/>
          <w:sz w:val="22"/>
          <w:szCs w:val="22"/>
          <w:lang w:val="en-GB" w:eastAsia="hr-HR"/>
        </w:rPr>
        <w:t xml:space="preserve">in order to avoid a </w:t>
      </w:r>
      <w:r w:rsidR="000F314E" w:rsidRPr="00891780">
        <w:rPr>
          <w:rFonts w:ascii="Calibri" w:hAnsi="Calibri" w:cs="Calibri"/>
          <w:sz w:val="22"/>
          <w:szCs w:val="22"/>
          <w:lang w:val="en-GB" w:eastAsia="hr-HR"/>
        </w:rPr>
        <w:t xml:space="preserve">significant increase in financial costs of exporters </w:t>
      </w:r>
      <w:r w:rsidR="00E94830" w:rsidRPr="00891780">
        <w:rPr>
          <w:rFonts w:ascii="Calibri" w:hAnsi="Calibri" w:cs="Calibri"/>
          <w:sz w:val="22"/>
          <w:szCs w:val="22"/>
          <w:lang w:val="en-GB" w:eastAsia="hr-HR"/>
        </w:rPr>
        <w:t xml:space="preserve">and further </w:t>
      </w:r>
      <w:r w:rsidR="00D11ED7" w:rsidRPr="00891780">
        <w:rPr>
          <w:rFonts w:ascii="Calibri" w:hAnsi="Calibri" w:cs="Calibri"/>
          <w:sz w:val="22"/>
          <w:szCs w:val="22"/>
          <w:lang w:val="en-GB" w:eastAsia="hr-HR"/>
        </w:rPr>
        <w:t>disruption of their liquidity</w:t>
      </w:r>
      <w:r w:rsidR="00054989" w:rsidRPr="00891780">
        <w:rPr>
          <w:rFonts w:ascii="Calibri" w:hAnsi="Calibri" w:cs="Calibri"/>
          <w:sz w:val="22"/>
          <w:szCs w:val="22"/>
          <w:lang w:val="en-GB" w:eastAsia="hr-HR"/>
        </w:rPr>
        <w:t>.</w:t>
      </w:r>
      <w:bookmarkStart w:id="37" w:name="_Hlk126930842"/>
    </w:p>
    <w:p w14:paraId="1748D77E" w14:textId="77777777" w:rsidR="00382CF2" w:rsidRPr="002E1A01" w:rsidRDefault="00382CF2" w:rsidP="000B677E">
      <w:pPr>
        <w:spacing w:before="120" w:after="120" w:line="276" w:lineRule="auto"/>
        <w:jc w:val="both"/>
        <w:rPr>
          <w:rFonts w:ascii="Calibri" w:hAnsi="Calibri" w:cs="Calibri"/>
          <w:b/>
          <w:bCs/>
          <w:sz w:val="4"/>
          <w:szCs w:val="4"/>
          <w:lang w:val="en-GB"/>
        </w:rPr>
      </w:pPr>
    </w:p>
    <w:p w14:paraId="1748D77F" w14:textId="31250220" w:rsidR="00382CF2" w:rsidRPr="00891780" w:rsidRDefault="004F0440" w:rsidP="000B677E">
      <w:pPr>
        <w:keepNext/>
        <w:spacing w:after="120"/>
        <w:outlineLvl w:val="1"/>
        <w:rPr>
          <w:rFonts w:ascii="Calibri" w:eastAsia="SimSun" w:hAnsi="Calibri" w:cs="Calibri"/>
          <w:b/>
          <w:bCs/>
          <w:sz w:val="22"/>
          <w:szCs w:val="22"/>
          <w:lang w:val="en-GB"/>
        </w:rPr>
      </w:pPr>
      <w:bookmarkStart w:id="38" w:name="_Toc129176340"/>
      <w:r w:rsidRPr="00891780">
        <w:rPr>
          <w:rFonts w:ascii="Calibri" w:eastAsia="SimSun" w:hAnsi="Calibri" w:cs="Calibri"/>
          <w:b/>
          <w:bCs/>
          <w:sz w:val="22"/>
          <w:szCs w:val="22"/>
          <w:lang w:val="en-GB"/>
        </w:rPr>
        <w:t>NATIONAL RECOVERY AND RESILIENCE PLAN</w:t>
      </w:r>
      <w:bookmarkEnd w:id="38"/>
    </w:p>
    <w:p w14:paraId="58E15C4F" w14:textId="6ECA7ED6" w:rsidR="00B20B98" w:rsidRPr="00891780" w:rsidRDefault="002547EE" w:rsidP="000B677E">
      <w:pPr>
        <w:spacing w:before="120" w:after="120" w:line="276" w:lineRule="auto"/>
        <w:jc w:val="both"/>
        <w:rPr>
          <w:rFonts w:asciiTheme="minorHAnsi" w:hAnsiTheme="minorHAnsi" w:cstheme="minorHAnsi"/>
          <w:sz w:val="22"/>
          <w:szCs w:val="22"/>
          <w:lang w:val="en-GB" w:eastAsia="hr-HR"/>
        </w:rPr>
      </w:pPr>
      <w:r w:rsidRPr="00891780">
        <w:rPr>
          <w:rFonts w:asciiTheme="minorHAnsi" w:hAnsiTheme="minorHAnsi" w:cstheme="minorHAnsi"/>
          <w:sz w:val="22"/>
          <w:szCs w:val="22"/>
          <w:lang w:val="en-GB"/>
        </w:rPr>
        <w:t>In cooperation with competent ministries and bodies of the Republic of Croatia, in 2021, HBOR was an active participant in the development of the National Recovery and Resilience Plan (</w:t>
      </w:r>
      <w:r w:rsidR="00E05B0C">
        <w:rPr>
          <w:rFonts w:asciiTheme="minorHAnsi" w:hAnsiTheme="minorHAnsi" w:cstheme="minorHAnsi"/>
          <w:sz w:val="22"/>
          <w:szCs w:val="22"/>
          <w:lang w:val="en-GB"/>
        </w:rPr>
        <w:t>under</w:t>
      </w:r>
      <w:r w:rsidRPr="00891780">
        <w:rPr>
          <w:rFonts w:asciiTheme="minorHAnsi" w:hAnsiTheme="minorHAnsi" w:cstheme="minorHAnsi"/>
          <w:sz w:val="22"/>
          <w:szCs w:val="22"/>
          <w:lang w:val="en-GB"/>
        </w:rPr>
        <w:t xml:space="preserve"> the Recovery and Resilience Facility, RRF</w:t>
      </w:r>
      <w:r w:rsidR="00054989" w:rsidRPr="00891780">
        <w:rPr>
          <w:rFonts w:asciiTheme="minorHAnsi" w:hAnsiTheme="minorHAnsi" w:cstheme="minorHAnsi"/>
          <w:sz w:val="22"/>
          <w:szCs w:val="22"/>
          <w:lang w:val="en-GB" w:eastAsia="hr-HR"/>
        </w:rPr>
        <w:t xml:space="preserve">). </w:t>
      </w:r>
    </w:p>
    <w:p w14:paraId="1748D781" w14:textId="2FE5AE79" w:rsidR="00382CF2" w:rsidRPr="00891780" w:rsidRDefault="00B20B98" w:rsidP="000B677E">
      <w:pPr>
        <w:spacing w:before="120" w:after="120" w:line="276" w:lineRule="auto"/>
        <w:jc w:val="both"/>
        <w:rPr>
          <w:rFonts w:asciiTheme="minorHAnsi" w:hAnsiTheme="minorHAnsi" w:cstheme="minorHAnsi"/>
          <w:sz w:val="22"/>
          <w:szCs w:val="22"/>
          <w:lang w:val="en-GB" w:eastAsia="hr-HR"/>
        </w:rPr>
      </w:pPr>
      <w:r w:rsidRPr="00891780">
        <w:rPr>
          <w:rFonts w:ascii="Calibri" w:hAnsi="Calibri" w:cs="Calibri"/>
          <w:sz w:val="22"/>
          <w:szCs w:val="22"/>
          <w:lang w:val="en-GB" w:eastAsia="hr-HR"/>
        </w:rPr>
        <w:t xml:space="preserve">During the development </w:t>
      </w:r>
      <w:r w:rsidR="00917BB2" w:rsidRPr="00891780">
        <w:rPr>
          <w:rFonts w:ascii="Calibri" w:hAnsi="Calibri" w:cs="Calibri"/>
          <w:sz w:val="22"/>
          <w:szCs w:val="22"/>
          <w:lang w:val="en-GB" w:eastAsia="hr-HR"/>
        </w:rPr>
        <w:t xml:space="preserve">of </w:t>
      </w:r>
      <w:r w:rsidR="00B27CC0" w:rsidRPr="00891780">
        <w:rPr>
          <w:rFonts w:ascii="Calibri" w:hAnsi="Calibri" w:cs="Calibri"/>
          <w:sz w:val="22"/>
          <w:szCs w:val="22"/>
          <w:lang w:val="en-GB" w:eastAsia="hr-HR"/>
        </w:rPr>
        <w:t>financial instruments</w:t>
      </w:r>
      <w:r w:rsidR="00054989" w:rsidRPr="00891780">
        <w:rPr>
          <w:rFonts w:ascii="Calibri" w:hAnsi="Calibri" w:cs="Calibri"/>
          <w:sz w:val="22"/>
          <w:szCs w:val="22"/>
          <w:lang w:val="en-GB" w:eastAsia="hr-HR"/>
        </w:rPr>
        <w:t xml:space="preserve">, </w:t>
      </w:r>
      <w:r w:rsidR="00C968C7" w:rsidRPr="00891780">
        <w:rPr>
          <w:rFonts w:ascii="Calibri" w:hAnsi="Calibri" w:cs="Calibri"/>
          <w:sz w:val="22"/>
          <w:szCs w:val="22"/>
          <w:lang w:val="en-GB" w:eastAsia="hr-HR"/>
        </w:rPr>
        <w:t>with the exception of the goals of</w:t>
      </w:r>
      <w:r w:rsidR="00E04BD8" w:rsidRPr="00891780">
        <w:rPr>
          <w:rFonts w:ascii="Calibri" w:hAnsi="Calibri" w:cs="Calibri"/>
          <w:sz w:val="22"/>
          <w:szCs w:val="22"/>
          <w:lang w:val="en-GB" w:eastAsia="hr-HR"/>
        </w:rPr>
        <w:t xml:space="preserve"> the</w:t>
      </w:r>
      <w:r w:rsidR="00054989" w:rsidRPr="00891780">
        <w:rPr>
          <w:rFonts w:ascii="Calibri" w:hAnsi="Calibri" w:cs="Calibri"/>
          <w:sz w:val="22"/>
          <w:szCs w:val="22"/>
          <w:lang w:val="en-GB" w:eastAsia="hr-HR"/>
        </w:rPr>
        <w:t xml:space="preserve"> RRF, </w:t>
      </w:r>
      <w:r w:rsidR="00E04BD8" w:rsidRPr="00891780">
        <w:rPr>
          <w:rFonts w:ascii="Calibri" w:hAnsi="Calibri" w:cs="Calibri"/>
          <w:sz w:val="22"/>
          <w:szCs w:val="22"/>
          <w:lang w:val="en-GB" w:eastAsia="hr-HR"/>
        </w:rPr>
        <w:t xml:space="preserve">the goals of </w:t>
      </w:r>
      <w:r w:rsidR="00054989" w:rsidRPr="00891780">
        <w:rPr>
          <w:rFonts w:ascii="Calibri" w:hAnsi="Calibri" w:cs="Calibri"/>
          <w:sz w:val="22"/>
          <w:szCs w:val="22"/>
          <w:lang w:val="en-GB" w:eastAsia="hr-HR"/>
        </w:rPr>
        <w:t>HBOR</w:t>
      </w:r>
      <w:r w:rsidR="00E04BD8" w:rsidRPr="00891780">
        <w:rPr>
          <w:rFonts w:ascii="Calibri" w:hAnsi="Calibri" w:cs="Calibri"/>
          <w:sz w:val="22"/>
          <w:szCs w:val="22"/>
          <w:lang w:val="en-GB" w:eastAsia="hr-HR"/>
        </w:rPr>
        <w:t xml:space="preserve"> defined in </w:t>
      </w:r>
      <w:r w:rsidR="008A243F" w:rsidRPr="00891780">
        <w:rPr>
          <w:rFonts w:ascii="Calibri" w:hAnsi="Calibri" w:cs="Calibri"/>
          <w:sz w:val="22"/>
          <w:szCs w:val="22"/>
          <w:lang w:val="en-GB"/>
        </w:rPr>
        <w:t>HBOR’s 2020 – 2024 Business Strategy</w:t>
      </w:r>
      <w:r w:rsidR="008A243F" w:rsidRPr="00891780">
        <w:rPr>
          <w:rFonts w:ascii="Calibri" w:hAnsi="Calibri" w:cs="Calibri"/>
          <w:sz w:val="22"/>
          <w:szCs w:val="22"/>
          <w:lang w:val="en-GB" w:eastAsia="hr-HR"/>
        </w:rPr>
        <w:t xml:space="preserve"> </w:t>
      </w:r>
      <w:r w:rsidR="006316D6" w:rsidRPr="00891780">
        <w:rPr>
          <w:rFonts w:ascii="Calibri" w:hAnsi="Calibri" w:cs="Calibri"/>
          <w:sz w:val="22"/>
          <w:szCs w:val="22"/>
          <w:lang w:val="en-GB" w:eastAsia="hr-HR"/>
        </w:rPr>
        <w:t>were taken into account</w:t>
      </w:r>
      <w:r w:rsidR="00054989" w:rsidRPr="00891780">
        <w:rPr>
          <w:rFonts w:ascii="Calibri" w:hAnsi="Calibri" w:cs="Calibri"/>
          <w:sz w:val="22"/>
          <w:szCs w:val="22"/>
          <w:lang w:val="en-GB" w:eastAsia="hr-HR"/>
        </w:rPr>
        <w:t xml:space="preserve">. </w:t>
      </w:r>
      <w:r w:rsidR="001E5051" w:rsidRPr="00891780">
        <w:rPr>
          <w:rFonts w:ascii="Calibri" w:hAnsi="Calibri" w:cs="Calibri"/>
          <w:sz w:val="22"/>
          <w:szCs w:val="22"/>
          <w:lang w:val="en-GB" w:eastAsia="hr-HR"/>
        </w:rPr>
        <w:t>The implementation of financial instruments enabled favo</w:t>
      </w:r>
      <w:r w:rsidR="00C47B95" w:rsidRPr="00891780">
        <w:rPr>
          <w:rFonts w:ascii="Calibri" w:hAnsi="Calibri" w:cs="Calibri"/>
          <w:sz w:val="22"/>
          <w:szCs w:val="22"/>
          <w:lang w:val="en-GB" w:eastAsia="hr-HR"/>
        </w:rPr>
        <w:t>u</w:t>
      </w:r>
      <w:r w:rsidR="001E5051" w:rsidRPr="00891780">
        <w:rPr>
          <w:rFonts w:ascii="Calibri" w:hAnsi="Calibri" w:cs="Calibri"/>
          <w:sz w:val="22"/>
          <w:szCs w:val="22"/>
          <w:lang w:val="en-GB" w:eastAsia="hr-HR"/>
        </w:rPr>
        <w:t>rable financing of new private and public sector investments aimed at strengthening the competitiveness and resilience of the economy, as well as the transition towards a green and digital economy, as the basis of the competitiveness of economic entities in the future period</w:t>
      </w:r>
      <w:r w:rsidR="00054989" w:rsidRPr="00891780">
        <w:rPr>
          <w:rFonts w:ascii="Calibri" w:hAnsi="Calibri" w:cs="Calibri"/>
          <w:sz w:val="22"/>
          <w:szCs w:val="22"/>
          <w:lang w:val="en-GB" w:eastAsia="hr-HR"/>
        </w:rPr>
        <w:t>.</w:t>
      </w:r>
    </w:p>
    <w:p w14:paraId="6ADD3EA7" w14:textId="19631DB8" w:rsidR="00FC6427" w:rsidRPr="002E1A01" w:rsidRDefault="002E1A01" w:rsidP="000B677E">
      <w:pPr>
        <w:spacing w:before="120" w:after="120" w:line="276" w:lineRule="auto"/>
        <w:jc w:val="both"/>
        <w:rPr>
          <w:rFonts w:ascii="Calibri" w:hAnsi="Calibri" w:cs="Calibri"/>
          <w:sz w:val="16"/>
          <w:szCs w:val="16"/>
          <w:lang w:val="en-GB" w:eastAsia="hr-HR"/>
        </w:rPr>
      </w:pPr>
      <w:r w:rsidRPr="00891780">
        <w:rPr>
          <w:rStyle w:val="Zadanifontodlomka1"/>
          <w:rFonts w:ascii="Calibri" w:eastAsia="SimSun" w:hAnsi="Calibri" w:cs="Calibri"/>
          <w:noProof/>
          <w:sz w:val="22"/>
          <w:szCs w:val="22"/>
          <w:shd w:val="clear" w:color="auto" w:fill="E6E6E6"/>
          <w:lang w:val="en-GB"/>
        </w:rPr>
        <w:drawing>
          <wp:anchor distT="0" distB="0" distL="114300" distR="114300" simplePos="0" relativeHeight="251658240" behindDoc="0" locked="0" layoutInCell="1" allowOverlap="1" wp14:anchorId="6CDAEBB9" wp14:editId="5C874F6B">
            <wp:simplePos x="0" y="0"/>
            <wp:positionH relativeFrom="column">
              <wp:posOffset>252095</wp:posOffset>
            </wp:positionH>
            <wp:positionV relativeFrom="paragraph">
              <wp:posOffset>29210</wp:posOffset>
            </wp:positionV>
            <wp:extent cx="5200650" cy="2971800"/>
            <wp:effectExtent l="0" t="0" r="0" b="9525"/>
            <wp:wrapSquare wrapText="bothSides"/>
            <wp:docPr id="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3C042A4E" w14:textId="77777777" w:rsidR="002E1A01" w:rsidRDefault="002E1A01" w:rsidP="000B677E">
      <w:pPr>
        <w:spacing w:before="120" w:after="120" w:line="276" w:lineRule="auto"/>
        <w:jc w:val="both"/>
        <w:rPr>
          <w:rStyle w:val="Zadanifontodlomka1"/>
          <w:rFonts w:ascii="Calibri" w:hAnsi="Calibri" w:cs="Calibri"/>
          <w:sz w:val="22"/>
          <w:szCs w:val="22"/>
          <w:lang w:val="en-GB" w:eastAsia="hr-HR"/>
        </w:rPr>
      </w:pPr>
    </w:p>
    <w:p w14:paraId="1F816EDE" w14:textId="77777777" w:rsidR="002E1A01" w:rsidRDefault="002E1A01" w:rsidP="000B677E">
      <w:pPr>
        <w:spacing w:before="120" w:after="120" w:line="276" w:lineRule="auto"/>
        <w:jc w:val="both"/>
        <w:rPr>
          <w:rStyle w:val="Zadanifontodlomka1"/>
          <w:rFonts w:ascii="Calibri" w:hAnsi="Calibri" w:cs="Calibri"/>
          <w:sz w:val="22"/>
          <w:szCs w:val="22"/>
          <w:lang w:val="en-GB" w:eastAsia="hr-HR"/>
        </w:rPr>
      </w:pPr>
    </w:p>
    <w:p w14:paraId="2C6F7C05" w14:textId="77777777" w:rsidR="002E1A01" w:rsidRDefault="002E1A01" w:rsidP="000B677E">
      <w:pPr>
        <w:spacing w:before="120" w:after="120" w:line="276" w:lineRule="auto"/>
        <w:jc w:val="both"/>
        <w:rPr>
          <w:rStyle w:val="Zadanifontodlomka1"/>
          <w:rFonts w:ascii="Calibri" w:hAnsi="Calibri" w:cs="Calibri"/>
          <w:sz w:val="22"/>
          <w:szCs w:val="22"/>
          <w:lang w:val="en-GB" w:eastAsia="hr-HR"/>
        </w:rPr>
      </w:pPr>
    </w:p>
    <w:p w14:paraId="27E146BA" w14:textId="0863053F" w:rsidR="002E1A01" w:rsidRDefault="002E1A01" w:rsidP="000B677E">
      <w:pPr>
        <w:spacing w:before="120" w:after="120" w:line="276" w:lineRule="auto"/>
        <w:jc w:val="both"/>
        <w:rPr>
          <w:rStyle w:val="Zadanifontodlomka1"/>
          <w:rFonts w:ascii="Calibri" w:hAnsi="Calibri" w:cs="Calibri"/>
          <w:sz w:val="22"/>
          <w:szCs w:val="22"/>
          <w:lang w:val="en-GB" w:eastAsia="hr-HR"/>
        </w:rPr>
      </w:pPr>
    </w:p>
    <w:p w14:paraId="59CCF3CA" w14:textId="26B1652D" w:rsidR="002E1A01" w:rsidRDefault="002E1A01" w:rsidP="000B677E">
      <w:pPr>
        <w:spacing w:before="120" w:after="120" w:line="276" w:lineRule="auto"/>
        <w:jc w:val="both"/>
        <w:rPr>
          <w:rStyle w:val="Zadanifontodlomka1"/>
          <w:rFonts w:ascii="Calibri" w:hAnsi="Calibri" w:cs="Calibri"/>
          <w:sz w:val="22"/>
          <w:szCs w:val="22"/>
          <w:lang w:val="en-GB" w:eastAsia="hr-HR"/>
        </w:rPr>
      </w:pPr>
    </w:p>
    <w:p w14:paraId="7E832C30" w14:textId="09431A2A" w:rsidR="002E1A01" w:rsidRDefault="002E1A01" w:rsidP="000B677E">
      <w:pPr>
        <w:spacing w:before="120" w:after="120" w:line="276" w:lineRule="auto"/>
        <w:jc w:val="both"/>
        <w:rPr>
          <w:rStyle w:val="Zadanifontodlomka1"/>
          <w:rFonts w:ascii="Calibri" w:hAnsi="Calibri" w:cs="Calibri"/>
          <w:sz w:val="22"/>
          <w:szCs w:val="22"/>
          <w:lang w:val="en-GB" w:eastAsia="hr-HR"/>
        </w:rPr>
      </w:pPr>
    </w:p>
    <w:p w14:paraId="6E4F5FF2" w14:textId="7620CAEF" w:rsidR="002E1A01" w:rsidRDefault="002E1A01" w:rsidP="000B677E">
      <w:pPr>
        <w:spacing w:before="120" w:after="120" w:line="276" w:lineRule="auto"/>
        <w:jc w:val="both"/>
        <w:rPr>
          <w:rStyle w:val="Zadanifontodlomka1"/>
          <w:rFonts w:ascii="Calibri" w:hAnsi="Calibri" w:cs="Calibri"/>
          <w:sz w:val="22"/>
          <w:szCs w:val="22"/>
          <w:lang w:val="en-GB" w:eastAsia="hr-HR"/>
        </w:rPr>
      </w:pPr>
    </w:p>
    <w:p w14:paraId="6316351F" w14:textId="6600E1AB" w:rsidR="002E1A01" w:rsidRDefault="002E1A01" w:rsidP="000B677E">
      <w:pPr>
        <w:spacing w:before="120" w:after="120" w:line="276" w:lineRule="auto"/>
        <w:jc w:val="both"/>
        <w:rPr>
          <w:rStyle w:val="Zadanifontodlomka1"/>
          <w:rFonts w:ascii="Calibri" w:hAnsi="Calibri" w:cs="Calibri"/>
          <w:sz w:val="22"/>
          <w:szCs w:val="22"/>
          <w:lang w:val="en-GB" w:eastAsia="hr-HR"/>
        </w:rPr>
      </w:pPr>
    </w:p>
    <w:p w14:paraId="4ADE3D2E" w14:textId="4ADDE24E" w:rsidR="002E1A01" w:rsidRDefault="002E1A01" w:rsidP="000B677E">
      <w:pPr>
        <w:spacing w:before="120" w:after="120" w:line="276" w:lineRule="auto"/>
        <w:jc w:val="both"/>
        <w:rPr>
          <w:rStyle w:val="Zadanifontodlomka1"/>
          <w:rFonts w:ascii="Calibri" w:hAnsi="Calibri" w:cs="Calibri"/>
          <w:sz w:val="22"/>
          <w:szCs w:val="22"/>
          <w:lang w:val="en-GB" w:eastAsia="hr-HR"/>
        </w:rPr>
      </w:pPr>
    </w:p>
    <w:p w14:paraId="3D3FA6F3" w14:textId="4DF47F3C" w:rsidR="002E1A01" w:rsidRDefault="002E1A01" w:rsidP="000B677E">
      <w:pPr>
        <w:spacing w:before="120" w:after="120" w:line="276" w:lineRule="auto"/>
        <w:jc w:val="both"/>
        <w:rPr>
          <w:rStyle w:val="Zadanifontodlomka1"/>
          <w:rFonts w:ascii="Calibri" w:hAnsi="Calibri" w:cs="Calibri"/>
          <w:sz w:val="22"/>
          <w:szCs w:val="22"/>
          <w:lang w:val="en-GB" w:eastAsia="hr-HR"/>
        </w:rPr>
      </w:pPr>
    </w:p>
    <w:p w14:paraId="37C1FB29" w14:textId="77777777" w:rsidR="002E1A01" w:rsidRDefault="002E1A01" w:rsidP="000B677E">
      <w:pPr>
        <w:spacing w:before="120" w:after="120" w:line="276" w:lineRule="auto"/>
        <w:jc w:val="both"/>
        <w:rPr>
          <w:rStyle w:val="Zadanifontodlomka1"/>
          <w:rFonts w:ascii="Calibri" w:hAnsi="Calibri" w:cs="Calibri"/>
          <w:sz w:val="22"/>
          <w:szCs w:val="22"/>
          <w:lang w:val="en-GB" w:eastAsia="hr-HR"/>
        </w:rPr>
      </w:pPr>
    </w:p>
    <w:p w14:paraId="1748D782" w14:textId="4BF59851" w:rsidR="00382CF2" w:rsidRPr="00891780" w:rsidRDefault="006527F1" w:rsidP="000B677E">
      <w:pPr>
        <w:spacing w:before="120" w:after="120" w:line="276" w:lineRule="auto"/>
        <w:jc w:val="both"/>
        <w:rPr>
          <w:lang w:val="en-GB"/>
        </w:rPr>
      </w:pPr>
      <w:r w:rsidRPr="00891780">
        <w:rPr>
          <w:rStyle w:val="Zadanifontodlomka1"/>
          <w:rFonts w:ascii="Calibri" w:hAnsi="Calibri" w:cs="Calibri"/>
          <w:sz w:val="22"/>
          <w:szCs w:val="22"/>
          <w:lang w:val="en-GB" w:eastAsia="hr-HR"/>
        </w:rPr>
        <w:t xml:space="preserve">Within the framework of the NRRP, HBOR was entrusted with the implementation of </w:t>
      </w:r>
      <w:r w:rsidR="00DD5510">
        <w:rPr>
          <w:rStyle w:val="Zadanifontodlomka1"/>
          <w:rFonts w:ascii="Calibri" w:hAnsi="Calibri" w:cs="Calibri"/>
          <w:sz w:val="22"/>
          <w:szCs w:val="22"/>
          <w:lang w:val="en-GB" w:eastAsia="hr-HR"/>
        </w:rPr>
        <w:t>six</w:t>
      </w:r>
      <w:r w:rsidRPr="00891780">
        <w:rPr>
          <w:rStyle w:val="Zadanifontodlomka1"/>
          <w:rFonts w:ascii="Calibri" w:hAnsi="Calibri" w:cs="Calibri"/>
          <w:sz w:val="22"/>
          <w:szCs w:val="22"/>
          <w:lang w:val="en-GB" w:eastAsia="hr-HR"/>
        </w:rPr>
        <w:t xml:space="preserve"> financial instruments with a total value of EUR 256 million.</w:t>
      </w:r>
    </w:p>
    <w:p w14:paraId="1748D784" w14:textId="4F5A56CE" w:rsidR="00382CF2" w:rsidRPr="00891780" w:rsidRDefault="006527F1" w:rsidP="000B677E">
      <w:pPr>
        <w:spacing w:before="120" w:after="120" w:line="276" w:lineRule="auto"/>
        <w:jc w:val="both"/>
        <w:rPr>
          <w:rFonts w:ascii="Calibri" w:hAnsi="Calibri" w:cs="Calibri"/>
          <w:sz w:val="22"/>
          <w:szCs w:val="22"/>
          <w:lang w:val="en-GB" w:eastAsia="hr-HR"/>
        </w:rPr>
      </w:pPr>
      <w:r w:rsidRPr="00891780">
        <w:rPr>
          <w:rFonts w:ascii="Calibri" w:hAnsi="Calibri" w:cs="Calibri"/>
          <w:sz w:val="22"/>
          <w:szCs w:val="22"/>
          <w:lang w:val="en-GB" w:eastAsia="hr-HR"/>
        </w:rPr>
        <w:lastRenderedPageBreak/>
        <w:t xml:space="preserve">During 2022, Agreements were signed with the Ministry of Finance and the Ministry of the Economy and Sustainable Development, based on which HBOR was </w:t>
      </w:r>
      <w:r w:rsidR="008C11C1">
        <w:rPr>
          <w:rFonts w:ascii="Calibri" w:hAnsi="Calibri" w:cs="Calibri"/>
          <w:sz w:val="22"/>
          <w:szCs w:val="22"/>
          <w:lang w:val="en-GB" w:eastAsia="hr-HR"/>
        </w:rPr>
        <w:t>entrusted with</w:t>
      </w:r>
      <w:r w:rsidRPr="00891780">
        <w:rPr>
          <w:rFonts w:ascii="Calibri" w:hAnsi="Calibri" w:cs="Calibri"/>
          <w:sz w:val="22"/>
          <w:szCs w:val="22"/>
          <w:lang w:val="en-GB" w:eastAsia="hr-HR"/>
        </w:rPr>
        <w:t xml:space="preserve"> the implementation of all </w:t>
      </w:r>
      <w:r w:rsidR="008C11C1">
        <w:rPr>
          <w:rFonts w:ascii="Calibri" w:hAnsi="Calibri" w:cs="Calibri"/>
          <w:sz w:val="22"/>
          <w:szCs w:val="22"/>
          <w:lang w:val="en-GB" w:eastAsia="hr-HR"/>
        </w:rPr>
        <w:t>six</w:t>
      </w:r>
      <w:r w:rsidRPr="00891780">
        <w:rPr>
          <w:rFonts w:ascii="Calibri" w:hAnsi="Calibri" w:cs="Calibri"/>
          <w:sz w:val="22"/>
          <w:szCs w:val="22"/>
          <w:lang w:val="en-GB" w:eastAsia="hr-HR"/>
        </w:rPr>
        <w:t xml:space="preserve"> financial instruments</w:t>
      </w:r>
      <w:r w:rsidR="0037677E" w:rsidRPr="00891780">
        <w:rPr>
          <w:rFonts w:ascii="Calibri" w:hAnsi="Calibri" w:cs="Calibri"/>
          <w:sz w:val="22"/>
          <w:szCs w:val="22"/>
          <w:lang w:val="en-GB" w:eastAsia="hr-HR"/>
        </w:rPr>
        <w:t>. A</w:t>
      </w:r>
      <w:r w:rsidRPr="00891780">
        <w:rPr>
          <w:rFonts w:ascii="Calibri" w:hAnsi="Calibri" w:cs="Calibri"/>
          <w:sz w:val="22"/>
          <w:szCs w:val="22"/>
          <w:lang w:val="en-GB" w:eastAsia="hr-HR"/>
        </w:rPr>
        <w:t>s a result</w:t>
      </w:r>
      <w:r w:rsidR="0037677E" w:rsidRPr="00891780">
        <w:rPr>
          <w:rFonts w:ascii="Calibri" w:hAnsi="Calibri" w:cs="Calibri"/>
          <w:sz w:val="22"/>
          <w:szCs w:val="22"/>
          <w:lang w:val="en-GB" w:eastAsia="hr-HR"/>
        </w:rPr>
        <w:t>, th</w:t>
      </w:r>
      <w:r w:rsidRPr="00891780">
        <w:rPr>
          <w:rFonts w:ascii="Calibri" w:hAnsi="Calibri" w:cs="Calibri"/>
          <w:sz w:val="22"/>
          <w:szCs w:val="22"/>
          <w:lang w:val="en-GB" w:eastAsia="hr-HR"/>
        </w:rPr>
        <w:t xml:space="preserve">e implementation of four financial instruments began in 2022, while the implementation of the remaining two instruments is planned </w:t>
      </w:r>
      <w:r w:rsidR="00A80DF2" w:rsidRPr="00891780">
        <w:rPr>
          <w:rFonts w:ascii="Calibri" w:hAnsi="Calibri" w:cs="Calibri"/>
          <w:sz w:val="22"/>
          <w:szCs w:val="22"/>
          <w:lang w:val="en-GB" w:eastAsia="hr-HR"/>
        </w:rPr>
        <w:t>in 2023 and 2024</w:t>
      </w:r>
      <w:r w:rsidR="00054989" w:rsidRPr="00891780">
        <w:rPr>
          <w:rFonts w:ascii="Calibri" w:hAnsi="Calibri" w:cs="Calibri"/>
          <w:sz w:val="22"/>
          <w:szCs w:val="22"/>
          <w:lang w:val="en-GB" w:eastAsia="hr-HR"/>
        </w:rPr>
        <w:t>.</w:t>
      </w:r>
    </w:p>
    <w:p w14:paraId="1748D786" w14:textId="0BABEE3F" w:rsidR="00382CF2" w:rsidRPr="00891780" w:rsidRDefault="00EF07FD" w:rsidP="000B677E">
      <w:pPr>
        <w:spacing w:before="120" w:after="120" w:line="276" w:lineRule="auto"/>
        <w:jc w:val="both"/>
        <w:rPr>
          <w:rFonts w:ascii="Calibri" w:hAnsi="Calibri" w:cs="Calibri"/>
          <w:sz w:val="22"/>
          <w:szCs w:val="22"/>
          <w:lang w:val="en-GB" w:eastAsia="hr-HR"/>
        </w:rPr>
      </w:pPr>
      <w:r w:rsidRPr="00891780">
        <w:rPr>
          <w:rFonts w:ascii="Calibri" w:hAnsi="Calibri" w:cs="Calibri"/>
          <w:sz w:val="22"/>
          <w:szCs w:val="22"/>
          <w:lang w:val="en-GB" w:eastAsia="hr-HR"/>
        </w:rPr>
        <w:t>Description of NRRP financial instruments</w:t>
      </w:r>
      <w:r w:rsidR="00054989" w:rsidRPr="00891780">
        <w:rPr>
          <w:rFonts w:ascii="Calibri" w:hAnsi="Calibri" w:cs="Calibri"/>
          <w:sz w:val="22"/>
          <w:szCs w:val="22"/>
          <w:lang w:val="en-GB" w:eastAsia="hr-HR"/>
        </w:rPr>
        <w:t>:</w:t>
      </w:r>
    </w:p>
    <w:p w14:paraId="191EA1A8" w14:textId="6FAC564B" w:rsidR="0024604E" w:rsidRPr="00891780" w:rsidRDefault="00634803" w:rsidP="000B677E">
      <w:pPr>
        <w:spacing w:before="120" w:after="120" w:line="276" w:lineRule="auto"/>
        <w:jc w:val="both"/>
        <w:rPr>
          <w:rFonts w:ascii="Calibri" w:hAnsi="Calibri" w:cs="Calibri"/>
          <w:sz w:val="22"/>
          <w:szCs w:val="22"/>
          <w:lang w:val="en-GB" w:eastAsia="hr-HR"/>
        </w:rPr>
      </w:pPr>
      <w:r w:rsidRPr="00891780">
        <w:rPr>
          <w:rStyle w:val="Zadanifontodlomka1"/>
          <w:rFonts w:ascii="Calibri" w:hAnsi="Calibri" w:cs="Calibri"/>
          <w:b/>
          <w:bCs/>
          <w:sz w:val="22"/>
          <w:szCs w:val="22"/>
          <w:lang w:val="en-GB" w:eastAsia="hr-HR"/>
        </w:rPr>
        <w:t>Direct loans through the</w:t>
      </w:r>
      <w:r w:rsidR="00054989" w:rsidRPr="00891780">
        <w:rPr>
          <w:rStyle w:val="Zadanifontodlomka1"/>
          <w:rFonts w:ascii="Calibri" w:hAnsi="Calibri" w:cs="Calibri"/>
          <w:b/>
          <w:bCs/>
          <w:sz w:val="22"/>
          <w:szCs w:val="22"/>
          <w:lang w:val="en-GB" w:eastAsia="hr-HR"/>
        </w:rPr>
        <w:t xml:space="preserve"> </w:t>
      </w:r>
      <w:r w:rsidR="00193DD1" w:rsidRPr="00891780">
        <w:rPr>
          <w:rStyle w:val="Zadanifontodlomka1"/>
          <w:rFonts w:ascii="Calibri" w:hAnsi="Calibri" w:cs="Calibri"/>
          <w:b/>
          <w:bCs/>
          <w:sz w:val="22"/>
          <w:szCs w:val="22"/>
          <w:lang w:val="en-GB" w:eastAsia="hr-HR"/>
        </w:rPr>
        <w:t xml:space="preserve">programme </w:t>
      </w:r>
      <w:r w:rsidR="006D064F" w:rsidRPr="00891780">
        <w:rPr>
          <w:rStyle w:val="Zadanifontodlomka1"/>
          <w:rFonts w:ascii="Calibri" w:hAnsi="Calibri" w:cs="Calibri"/>
          <w:b/>
          <w:bCs/>
          <w:sz w:val="22"/>
          <w:szCs w:val="22"/>
          <w:lang w:val="en-GB" w:eastAsia="hr-HR"/>
        </w:rPr>
        <w:t>Special SME Segments Investment under the NRRP</w:t>
      </w:r>
    </w:p>
    <w:p w14:paraId="1748D788" w14:textId="2ED8FCB2" w:rsidR="00382CF2" w:rsidRPr="00891780" w:rsidRDefault="00667808" w:rsidP="000B677E">
      <w:pPr>
        <w:spacing w:before="120" w:after="120" w:line="276" w:lineRule="auto"/>
        <w:jc w:val="both"/>
        <w:rPr>
          <w:rFonts w:asciiTheme="minorHAnsi" w:hAnsiTheme="minorHAnsi" w:cstheme="minorHAnsi"/>
          <w:sz w:val="22"/>
          <w:szCs w:val="22"/>
          <w:lang w:val="en-GB" w:eastAsia="hr-HR"/>
        </w:rPr>
      </w:pPr>
      <w:r w:rsidRPr="00891780">
        <w:rPr>
          <w:rFonts w:asciiTheme="minorHAnsi" w:hAnsiTheme="minorHAnsi" w:cstheme="minorHAnsi"/>
          <w:sz w:val="22"/>
          <w:szCs w:val="22"/>
          <w:lang w:val="en-GB" w:eastAsia="hr-HR"/>
        </w:rPr>
        <w:t>The financial instrument is aimed at entrepreneurs and sectors that usually have difficult access to financing</w:t>
      </w:r>
      <w:r w:rsidR="00054989" w:rsidRPr="00891780">
        <w:rPr>
          <w:rFonts w:asciiTheme="minorHAnsi" w:hAnsiTheme="minorHAnsi" w:cstheme="minorHAnsi"/>
          <w:sz w:val="22"/>
          <w:szCs w:val="22"/>
          <w:lang w:val="en-GB" w:eastAsia="hr-HR"/>
        </w:rPr>
        <w:t xml:space="preserve">: </w:t>
      </w:r>
      <w:r w:rsidR="008778E8" w:rsidRPr="00891780">
        <w:rPr>
          <w:rFonts w:asciiTheme="minorHAnsi" w:hAnsiTheme="minorHAnsi" w:cstheme="minorHAnsi"/>
          <w:sz w:val="22"/>
          <w:szCs w:val="22"/>
          <w:lang w:val="en-GB"/>
        </w:rPr>
        <w:t xml:space="preserve">start-ups, young entrepreneurs, </w:t>
      </w:r>
      <w:r w:rsidR="00C871D1" w:rsidRPr="00891780">
        <w:rPr>
          <w:rFonts w:asciiTheme="minorHAnsi" w:hAnsiTheme="minorHAnsi" w:cstheme="minorHAnsi"/>
          <w:sz w:val="22"/>
          <w:szCs w:val="22"/>
          <w:lang w:val="en-GB"/>
        </w:rPr>
        <w:t>female</w:t>
      </w:r>
      <w:r w:rsidR="008778E8" w:rsidRPr="00891780">
        <w:rPr>
          <w:rFonts w:asciiTheme="minorHAnsi" w:hAnsiTheme="minorHAnsi" w:cstheme="minorHAnsi"/>
          <w:sz w:val="22"/>
          <w:szCs w:val="22"/>
          <w:lang w:val="en-GB"/>
        </w:rPr>
        <w:t xml:space="preserve"> entrepreneurs and investments in less developed areas</w:t>
      </w:r>
      <w:r w:rsidR="00815B24" w:rsidRPr="00891780">
        <w:rPr>
          <w:rFonts w:asciiTheme="minorHAnsi" w:hAnsiTheme="minorHAnsi" w:cstheme="minorHAnsi"/>
          <w:sz w:val="22"/>
          <w:szCs w:val="22"/>
          <w:lang w:val="en-GB"/>
        </w:rPr>
        <w:t>,</w:t>
      </w:r>
      <w:r w:rsidR="008778E8" w:rsidRPr="00891780">
        <w:rPr>
          <w:rFonts w:asciiTheme="minorHAnsi" w:hAnsiTheme="minorHAnsi" w:cstheme="minorHAnsi"/>
          <w:sz w:val="22"/>
          <w:szCs w:val="22"/>
          <w:lang w:val="en-GB"/>
        </w:rPr>
        <w:t xml:space="preserve"> as well as research and development</w:t>
      </w:r>
      <w:r w:rsidR="00054989" w:rsidRPr="00891780">
        <w:rPr>
          <w:rFonts w:asciiTheme="minorHAnsi" w:hAnsiTheme="minorHAnsi" w:cstheme="minorHAnsi"/>
          <w:sz w:val="22"/>
          <w:szCs w:val="22"/>
          <w:lang w:val="en-GB" w:eastAsia="hr-HR"/>
        </w:rPr>
        <w:t xml:space="preserve">. </w:t>
      </w:r>
    </w:p>
    <w:p w14:paraId="1748D789" w14:textId="330511B6" w:rsidR="00382CF2" w:rsidRPr="00891780" w:rsidRDefault="0031179F" w:rsidP="000B677E">
      <w:pPr>
        <w:spacing w:line="276" w:lineRule="auto"/>
        <w:jc w:val="both"/>
        <w:textAlignment w:val="baseline"/>
        <w:rPr>
          <w:rFonts w:ascii="Calibri" w:hAnsi="Calibri" w:cs="Calibri"/>
          <w:sz w:val="22"/>
          <w:szCs w:val="22"/>
          <w:lang w:val="en-GB" w:eastAsia="hr-HR"/>
        </w:rPr>
      </w:pPr>
      <w:r w:rsidRPr="00891780">
        <w:rPr>
          <w:rFonts w:ascii="Calibri" w:hAnsi="Calibri" w:cs="Calibri"/>
          <w:sz w:val="22"/>
          <w:szCs w:val="22"/>
          <w:lang w:val="en-GB" w:eastAsia="hr-HR"/>
        </w:rPr>
        <w:t xml:space="preserve">By implementing the respective financial instrument, with the support of </w:t>
      </w:r>
      <w:r w:rsidR="00107BAB" w:rsidRPr="00891780">
        <w:rPr>
          <w:rFonts w:ascii="Calibri" w:hAnsi="Calibri" w:cs="Calibri"/>
          <w:sz w:val="22"/>
          <w:szCs w:val="22"/>
          <w:lang w:val="en-GB" w:eastAsia="hr-HR"/>
        </w:rPr>
        <w:t xml:space="preserve">the </w:t>
      </w:r>
      <w:r w:rsidRPr="00891780">
        <w:rPr>
          <w:rFonts w:ascii="Calibri" w:hAnsi="Calibri" w:cs="Calibri"/>
          <w:sz w:val="22"/>
          <w:szCs w:val="22"/>
          <w:lang w:val="en-GB" w:eastAsia="hr-HR"/>
        </w:rPr>
        <w:t xml:space="preserve">RRF funds, HBOR approves direct investment loans in the amount of EUR 100 thousand to EUR 1 million </w:t>
      </w:r>
      <w:r w:rsidR="00894B4A">
        <w:rPr>
          <w:rFonts w:ascii="Calibri" w:hAnsi="Calibri" w:cs="Calibri"/>
          <w:sz w:val="22"/>
          <w:szCs w:val="22"/>
          <w:lang w:val="en-GB" w:eastAsia="hr-HR"/>
        </w:rPr>
        <w:t>at</w:t>
      </w:r>
      <w:r w:rsidRPr="00891780">
        <w:rPr>
          <w:rFonts w:ascii="Calibri" w:hAnsi="Calibri" w:cs="Calibri"/>
          <w:sz w:val="22"/>
          <w:szCs w:val="22"/>
          <w:lang w:val="en-GB" w:eastAsia="hr-HR"/>
        </w:rPr>
        <w:t xml:space="preserve"> interest rates of 0.4 percent and 0.8 percent.</w:t>
      </w:r>
      <w:r w:rsidR="00054989" w:rsidRPr="00891780">
        <w:rPr>
          <w:rFonts w:ascii="Calibri" w:hAnsi="Calibri" w:cs="Calibri"/>
          <w:sz w:val="22"/>
          <w:szCs w:val="22"/>
          <w:lang w:val="en-GB" w:eastAsia="hr-HR"/>
        </w:rPr>
        <w:t xml:space="preserve"> </w:t>
      </w:r>
      <w:r w:rsidR="0019213D" w:rsidRPr="00891780">
        <w:rPr>
          <w:rFonts w:ascii="Calibri" w:hAnsi="Calibri" w:cs="Calibri"/>
          <w:sz w:val="22"/>
          <w:szCs w:val="22"/>
          <w:lang w:val="en-GB" w:eastAsia="hr-HR"/>
        </w:rPr>
        <w:t>The implementation of the financial instrument began in June 2022</w:t>
      </w:r>
      <w:r w:rsidR="00054989" w:rsidRPr="00891780">
        <w:rPr>
          <w:rFonts w:ascii="Calibri" w:hAnsi="Calibri" w:cs="Calibri"/>
          <w:sz w:val="22"/>
          <w:szCs w:val="22"/>
          <w:lang w:val="en-GB" w:eastAsia="hr-HR"/>
        </w:rPr>
        <w:t>.</w:t>
      </w:r>
    </w:p>
    <w:p w14:paraId="1748D78A" w14:textId="77777777" w:rsidR="00382CF2" w:rsidRPr="00891780" w:rsidRDefault="00382CF2" w:rsidP="000B677E">
      <w:pPr>
        <w:spacing w:line="276" w:lineRule="auto"/>
        <w:jc w:val="both"/>
        <w:textAlignment w:val="baseline"/>
        <w:rPr>
          <w:rFonts w:ascii="Calibri" w:hAnsi="Calibri" w:cs="Calibri"/>
          <w:b/>
          <w:bCs/>
          <w:sz w:val="22"/>
          <w:szCs w:val="22"/>
          <w:lang w:val="en-GB" w:eastAsia="hr-HR"/>
        </w:rPr>
      </w:pPr>
    </w:p>
    <w:p w14:paraId="1748D78B" w14:textId="268DA8E8" w:rsidR="00382CF2" w:rsidRPr="00891780" w:rsidRDefault="004E0A1E" w:rsidP="000B677E">
      <w:pPr>
        <w:spacing w:before="120" w:after="120" w:line="276" w:lineRule="auto"/>
        <w:jc w:val="both"/>
        <w:rPr>
          <w:rFonts w:ascii="Calibri" w:hAnsi="Calibri" w:cs="Calibri"/>
          <w:b/>
          <w:bCs/>
          <w:sz w:val="22"/>
          <w:szCs w:val="22"/>
          <w:lang w:val="en-GB" w:eastAsia="hr-HR"/>
        </w:rPr>
      </w:pPr>
      <w:r w:rsidRPr="00891780">
        <w:rPr>
          <w:rFonts w:ascii="Calibri" w:hAnsi="Calibri" w:cs="Calibri"/>
          <w:b/>
          <w:bCs/>
          <w:sz w:val="22"/>
          <w:szCs w:val="22"/>
          <w:lang w:val="en-GB" w:eastAsia="hr-HR"/>
        </w:rPr>
        <w:t>Financial instruments of interest subsidies for the private and public sectors</w:t>
      </w:r>
    </w:p>
    <w:p w14:paraId="1748D78C" w14:textId="52AA9911" w:rsidR="00382CF2" w:rsidRPr="00891780" w:rsidRDefault="005E37E3" w:rsidP="000B677E">
      <w:pPr>
        <w:spacing w:before="120" w:after="120" w:line="276" w:lineRule="auto"/>
        <w:jc w:val="both"/>
        <w:rPr>
          <w:rFonts w:ascii="Calibri" w:hAnsi="Calibri" w:cs="Calibri"/>
          <w:sz w:val="22"/>
          <w:szCs w:val="22"/>
          <w:lang w:val="en-GB" w:eastAsia="hr-HR"/>
        </w:rPr>
      </w:pPr>
      <w:r w:rsidRPr="00891780">
        <w:rPr>
          <w:rFonts w:ascii="Calibri" w:hAnsi="Calibri" w:cs="Calibri"/>
          <w:sz w:val="22"/>
          <w:szCs w:val="22"/>
          <w:lang w:val="en-GB" w:eastAsia="hr-HR"/>
        </w:rPr>
        <w:t>T</w:t>
      </w:r>
      <w:r w:rsidR="007C22AD" w:rsidRPr="00891780">
        <w:rPr>
          <w:rFonts w:ascii="Calibri" w:hAnsi="Calibri" w:cs="Calibri"/>
          <w:sz w:val="22"/>
          <w:szCs w:val="22"/>
          <w:lang w:val="en-GB" w:eastAsia="hr-HR"/>
        </w:rPr>
        <w:t>he</w:t>
      </w:r>
      <w:r>
        <w:rPr>
          <w:rFonts w:ascii="Calibri" w:hAnsi="Calibri" w:cs="Calibri"/>
          <w:sz w:val="22"/>
          <w:szCs w:val="22"/>
          <w:lang w:val="en-GB" w:eastAsia="hr-HR"/>
        </w:rPr>
        <w:t xml:space="preserve"> </w:t>
      </w:r>
      <w:r w:rsidR="007C22AD" w:rsidRPr="00891780">
        <w:rPr>
          <w:rFonts w:ascii="Calibri" w:hAnsi="Calibri" w:cs="Calibri"/>
          <w:sz w:val="22"/>
          <w:szCs w:val="22"/>
          <w:lang w:val="en-GB" w:eastAsia="hr-HR"/>
        </w:rPr>
        <w:t>implementation of three financial instruments of interest subsidies</w:t>
      </w:r>
      <w:r>
        <w:rPr>
          <w:rFonts w:ascii="Calibri" w:hAnsi="Calibri" w:cs="Calibri"/>
          <w:sz w:val="22"/>
          <w:szCs w:val="22"/>
          <w:lang w:val="en-GB" w:eastAsia="hr-HR"/>
        </w:rPr>
        <w:t xml:space="preserve"> started in June 2022</w:t>
      </w:r>
      <w:r w:rsidR="00054989" w:rsidRPr="00891780">
        <w:rPr>
          <w:rFonts w:ascii="Calibri" w:hAnsi="Calibri" w:cs="Calibri"/>
          <w:sz w:val="22"/>
          <w:szCs w:val="22"/>
          <w:lang w:val="en-GB" w:eastAsia="hr-HR"/>
        </w:rPr>
        <w:t xml:space="preserve">. </w:t>
      </w:r>
      <w:r w:rsidR="00F768A0" w:rsidRPr="00891780">
        <w:rPr>
          <w:rFonts w:ascii="Calibri" w:hAnsi="Calibri" w:cs="Calibri"/>
          <w:sz w:val="22"/>
          <w:szCs w:val="22"/>
          <w:lang w:val="en-GB" w:eastAsia="hr-HR"/>
        </w:rPr>
        <w:t xml:space="preserve">Interest subsidies will enable more favourable terms and conditions </w:t>
      </w:r>
      <w:r w:rsidR="00F61B34">
        <w:rPr>
          <w:rFonts w:ascii="Calibri" w:hAnsi="Calibri" w:cs="Calibri"/>
          <w:sz w:val="22"/>
          <w:szCs w:val="22"/>
          <w:lang w:val="en-GB" w:eastAsia="hr-HR"/>
        </w:rPr>
        <w:t>for</w:t>
      </w:r>
      <w:r w:rsidR="00F768A0" w:rsidRPr="00891780">
        <w:rPr>
          <w:rFonts w:ascii="Calibri" w:hAnsi="Calibri" w:cs="Calibri"/>
          <w:sz w:val="22"/>
          <w:szCs w:val="22"/>
          <w:lang w:val="en-GB" w:eastAsia="hr-HR"/>
        </w:rPr>
        <w:t xml:space="preserve"> financing investments</w:t>
      </w:r>
      <w:r w:rsidR="00F61B34">
        <w:rPr>
          <w:rFonts w:ascii="Calibri" w:hAnsi="Calibri" w:cs="Calibri"/>
          <w:sz w:val="22"/>
          <w:szCs w:val="22"/>
          <w:lang w:val="en-GB" w:eastAsia="hr-HR"/>
        </w:rPr>
        <w:t xml:space="preserve"> of</w:t>
      </w:r>
      <w:r w:rsidR="00F768A0" w:rsidRPr="00891780">
        <w:rPr>
          <w:rFonts w:ascii="Calibri" w:hAnsi="Calibri" w:cs="Calibri"/>
          <w:sz w:val="22"/>
          <w:szCs w:val="22"/>
          <w:lang w:val="en-GB" w:eastAsia="hr-HR"/>
        </w:rPr>
        <w:t>:</w:t>
      </w:r>
    </w:p>
    <w:p w14:paraId="1748D78D" w14:textId="64C242A3" w:rsidR="00382CF2" w:rsidRPr="00891780" w:rsidRDefault="00F768A0" w:rsidP="003C2B74">
      <w:pPr>
        <w:pStyle w:val="Odlomakpopisa1"/>
        <w:numPr>
          <w:ilvl w:val="0"/>
          <w:numId w:val="13"/>
        </w:numPr>
        <w:jc w:val="both"/>
        <w:textAlignment w:val="baseline"/>
        <w:rPr>
          <w:rFonts w:ascii="Calibri" w:hAnsi="Calibri" w:cs="Calibri"/>
          <w:sz w:val="22"/>
          <w:szCs w:val="22"/>
          <w:lang w:val="en-GB" w:eastAsia="hr-HR"/>
        </w:rPr>
      </w:pPr>
      <w:r w:rsidRPr="00891780">
        <w:rPr>
          <w:rFonts w:ascii="Calibri" w:hAnsi="Calibri" w:cs="Calibri"/>
          <w:sz w:val="22"/>
          <w:szCs w:val="22"/>
          <w:lang w:val="en-GB" w:eastAsia="hr-HR"/>
        </w:rPr>
        <w:t>micro</w:t>
      </w:r>
      <w:r w:rsidR="00054989" w:rsidRPr="00891780">
        <w:rPr>
          <w:rFonts w:ascii="Calibri" w:hAnsi="Calibri" w:cs="Calibri"/>
          <w:sz w:val="22"/>
          <w:szCs w:val="22"/>
          <w:lang w:val="en-GB" w:eastAsia="hr-HR"/>
        </w:rPr>
        <w:t xml:space="preserve">, </w:t>
      </w:r>
      <w:r w:rsidRPr="00891780">
        <w:rPr>
          <w:rFonts w:ascii="Calibri" w:hAnsi="Calibri" w:cs="Calibri"/>
          <w:sz w:val="22"/>
          <w:szCs w:val="22"/>
          <w:lang w:val="en-GB" w:eastAsia="hr-HR"/>
        </w:rPr>
        <w:t>small and medium-sized business entities</w:t>
      </w:r>
      <w:r w:rsidR="00054989" w:rsidRPr="00891780">
        <w:rPr>
          <w:rFonts w:ascii="Calibri" w:hAnsi="Calibri" w:cs="Calibri"/>
          <w:sz w:val="22"/>
          <w:szCs w:val="22"/>
          <w:lang w:val="en-GB" w:eastAsia="hr-HR"/>
        </w:rPr>
        <w:t>,</w:t>
      </w:r>
    </w:p>
    <w:p w14:paraId="1748D78E" w14:textId="367BA6C9" w:rsidR="00382CF2" w:rsidRPr="00891780" w:rsidRDefault="00476F94" w:rsidP="003C2B74">
      <w:pPr>
        <w:pStyle w:val="Odlomakpopisa1"/>
        <w:numPr>
          <w:ilvl w:val="0"/>
          <w:numId w:val="13"/>
        </w:numPr>
        <w:jc w:val="both"/>
        <w:textAlignment w:val="baseline"/>
        <w:rPr>
          <w:rStyle w:val="Zadanifontodlomka1"/>
          <w:rFonts w:ascii="Calibri" w:hAnsi="Calibri" w:cs="Calibri"/>
          <w:sz w:val="22"/>
          <w:szCs w:val="22"/>
          <w:lang w:val="en-GB" w:eastAsia="hr-HR"/>
        </w:rPr>
      </w:pPr>
      <w:r w:rsidRPr="00891780">
        <w:rPr>
          <w:rStyle w:val="Zadanifontodlomka1"/>
          <w:rFonts w:ascii="Calibri" w:hAnsi="Calibri" w:cs="Calibri"/>
          <w:sz w:val="22"/>
          <w:szCs w:val="22"/>
          <w:lang w:val="en-GB" w:eastAsia="hr-HR"/>
        </w:rPr>
        <w:t>entities of medium market capitali</w:t>
      </w:r>
      <w:r w:rsidR="001970EB" w:rsidRPr="00891780">
        <w:rPr>
          <w:rStyle w:val="Zadanifontodlomka1"/>
          <w:rFonts w:ascii="Calibri" w:hAnsi="Calibri" w:cs="Calibri"/>
          <w:sz w:val="22"/>
          <w:szCs w:val="22"/>
          <w:lang w:val="en-GB" w:eastAsia="hr-HR"/>
        </w:rPr>
        <w:t>s</w:t>
      </w:r>
      <w:r w:rsidRPr="00891780">
        <w:rPr>
          <w:rStyle w:val="Zadanifontodlomka1"/>
          <w:rFonts w:ascii="Calibri" w:hAnsi="Calibri" w:cs="Calibri"/>
          <w:sz w:val="22"/>
          <w:szCs w:val="22"/>
          <w:lang w:val="en-GB" w:eastAsia="hr-HR"/>
        </w:rPr>
        <w:t>ation and large business entities,</w:t>
      </w:r>
    </w:p>
    <w:p w14:paraId="1748D78F" w14:textId="62EA0B4C" w:rsidR="00382CF2" w:rsidRPr="00891780" w:rsidRDefault="00476F94" w:rsidP="003C2B74">
      <w:pPr>
        <w:pStyle w:val="Odlomakpopisa1"/>
        <w:numPr>
          <w:ilvl w:val="0"/>
          <w:numId w:val="13"/>
        </w:numPr>
        <w:jc w:val="both"/>
        <w:textAlignment w:val="baseline"/>
        <w:rPr>
          <w:rFonts w:ascii="Calibri" w:hAnsi="Calibri" w:cs="Calibri"/>
          <w:sz w:val="22"/>
          <w:szCs w:val="22"/>
          <w:lang w:val="en-GB" w:eastAsia="hr-HR"/>
        </w:rPr>
      </w:pPr>
      <w:r w:rsidRPr="00891780">
        <w:rPr>
          <w:rFonts w:ascii="Calibri" w:hAnsi="Calibri" w:cs="Calibri"/>
          <w:sz w:val="22"/>
          <w:szCs w:val="22"/>
          <w:lang w:val="en-GB" w:eastAsia="hr-HR"/>
        </w:rPr>
        <w:t>public sector</w:t>
      </w:r>
      <w:r w:rsidR="00054989" w:rsidRPr="00891780">
        <w:rPr>
          <w:rFonts w:ascii="Calibri" w:hAnsi="Calibri" w:cs="Calibri"/>
          <w:sz w:val="22"/>
          <w:szCs w:val="22"/>
          <w:lang w:val="en-GB" w:eastAsia="hr-HR"/>
        </w:rPr>
        <w:t xml:space="preserve">. </w:t>
      </w:r>
    </w:p>
    <w:p w14:paraId="1748D790" w14:textId="38C37A96" w:rsidR="00382CF2" w:rsidRPr="00891780" w:rsidRDefault="00E45E2E" w:rsidP="000B677E">
      <w:pPr>
        <w:spacing w:before="120" w:after="120" w:line="276" w:lineRule="auto"/>
        <w:jc w:val="both"/>
        <w:rPr>
          <w:lang w:val="en-GB"/>
        </w:rPr>
      </w:pPr>
      <w:r w:rsidRPr="00891780">
        <w:rPr>
          <w:rStyle w:val="Zadanifontodlomka1"/>
          <w:rFonts w:ascii="Calibri" w:hAnsi="Calibri" w:cs="Calibri"/>
          <w:sz w:val="22"/>
          <w:szCs w:val="22"/>
          <w:lang w:val="en-GB" w:eastAsia="hr-HR"/>
        </w:rPr>
        <w:t>I</w:t>
      </w:r>
      <w:r w:rsidR="00D37474" w:rsidRPr="00891780">
        <w:rPr>
          <w:rStyle w:val="Zadanifontodlomka1"/>
          <w:rFonts w:ascii="Calibri" w:hAnsi="Calibri" w:cs="Calibri"/>
          <w:sz w:val="22"/>
          <w:szCs w:val="22"/>
          <w:lang w:val="en-GB" w:eastAsia="hr-HR"/>
        </w:rPr>
        <w:t xml:space="preserve">nterest subsidy can be granted for investment loans aimed at investments in strengthening competitiveness and resilience, and </w:t>
      </w:r>
      <w:r w:rsidR="00D169A5" w:rsidRPr="00891780">
        <w:rPr>
          <w:rStyle w:val="Zadanifontodlomka1"/>
          <w:rFonts w:ascii="Calibri" w:hAnsi="Calibri" w:cs="Calibri"/>
          <w:sz w:val="22"/>
          <w:szCs w:val="22"/>
          <w:lang w:val="en-GB" w:eastAsia="hr-HR"/>
        </w:rPr>
        <w:t xml:space="preserve">it </w:t>
      </w:r>
      <w:r w:rsidR="00676E1B">
        <w:rPr>
          <w:rStyle w:val="Zadanifontodlomka1"/>
          <w:rFonts w:ascii="Calibri" w:hAnsi="Calibri" w:cs="Calibri"/>
          <w:sz w:val="22"/>
          <w:szCs w:val="22"/>
          <w:lang w:val="en-GB" w:eastAsia="hr-HR"/>
        </w:rPr>
        <w:t>is</w:t>
      </w:r>
      <w:r w:rsidR="00D37474" w:rsidRPr="00891780">
        <w:rPr>
          <w:rStyle w:val="Zadanifontodlomka1"/>
          <w:rFonts w:ascii="Calibri" w:hAnsi="Calibri" w:cs="Calibri"/>
          <w:sz w:val="22"/>
          <w:szCs w:val="22"/>
          <w:lang w:val="en-GB" w:eastAsia="hr-HR"/>
        </w:rPr>
        <w:t xml:space="preserve"> </w:t>
      </w:r>
      <w:r w:rsidRPr="00891780">
        <w:rPr>
          <w:rStyle w:val="Zadanifontodlomka1"/>
          <w:rFonts w:ascii="Calibri" w:hAnsi="Calibri" w:cs="Calibri"/>
          <w:sz w:val="22"/>
          <w:szCs w:val="22"/>
          <w:lang w:val="en-GB" w:eastAsia="hr-HR"/>
        </w:rPr>
        <w:t xml:space="preserve">even </w:t>
      </w:r>
      <w:r w:rsidR="00D37474" w:rsidRPr="00891780">
        <w:rPr>
          <w:rStyle w:val="Zadanifontodlomka1"/>
          <w:rFonts w:ascii="Calibri" w:hAnsi="Calibri" w:cs="Calibri"/>
          <w:sz w:val="22"/>
          <w:szCs w:val="22"/>
          <w:lang w:val="en-GB" w:eastAsia="hr-HR"/>
        </w:rPr>
        <w:t xml:space="preserve">higher if it </w:t>
      </w:r>
      <w:r w:rsidR="00D169A5" w:rsidRPr="00891780">
        <w:rPr>
          <w:rStyle w:val="Zadanifontodlomka1"/>
          <w:rFonts w:ascii="Calibri" w:hAnsi="Calibri" w:cs="Calibri"/>
          <w:sz w:val="22"/>
          <w:szCs w:val="22"/>
          <w:lang w:val="en-GB" w:eastAsia="hr-HR"/>
        </w:rPr>
        <w:t>relates to</w:t>
      </w:r>
      <w:r w:rsidR="00D37474" w:rsidRPr="00891780">
        <w:rPr>
          <w:rStyle w:val="Zadanifontodlomka1"/>
          <w:rFonts w:ascii="Calibri" w:hAnsi="Calibri" w:cs="Calibri"/>
          <w:sz w:val="22"/>
          <w:szCs w:val="22"/>
          <w:lang w:val="en-GB" w:eastAsia="hr-HR"/>
        </w:rPr>
        <w:t xml:space="preserve"> investments in green and digital technologies necessary for the long-term sustainable development of the public and private sectors in the Republic of Croatia</w:t>
      </w:r>
      <w:r w:rsidR="00054989" w:rsidRPr="00891780">
        <w:rPr>
          <w:rStyle w:val="Zadanifontodlomka1"/>
          <w:rFonts w:ascii="Calibri" w:hAnsi="Calibri" w:cs="Calibri"/>
          <w:sz w:val="22"/>
          <w:szCs w:val="22"/>
          <w:lang w:val="en-GB" w:eastAsia="hr-HR"/>
        </w:rPr>
        <w:t xml:space="preserve">. </w:t>
      </w:r>
    </w:p>
    <w:p w14:paraId="1748D791" w14:textId="13C043BB" w:rsidR="00382CF2" w:rsidRPr="00891780" w:rsidRDefault="00506E29" w:rsidP="000B677E">
      <w:pPr>
        <w:spacing w:before="120" w:after="120" w:line="276" w:lineRule="auto"/>
        <w:jc w:val="both"/>
        <w:rPr>
          <w:rFonts w:ascii="Calibri" w:hAnsi="Calibri" w:cs="Calibri"/>
          <w:sz w:val="22"/>
          <w:szCs w:val="22"/>
          <w:lang w:val="en-GB" w:eastAsia="hr-HR"/>
        </w:rPr>
      </w:pPr>
      <w:r w:rsidRPr="00891780">
        <w:rPr>
          <w:rFonts w:ascii="Calibri" w:hAnsi="Calibri" w:cs="Calibri"/>
          <w:sz w:val="22"/>
          <w:szCs w:val="22"/>
          <w:lang w:val="en-GB" w:eastAsia="hr-HR"/>
        </w:rPr>
        <w:t xml:space="preserve">The </w:t>
      </w:r>
      <w:r w:rsidR="00A34AD5">
        <w:rPr>
          <w:rFonts w:ascii="Calibri" w:hAnsi="Calibri" w:cs="Calibri"/>
          <w:sz w:val="22"/>
          <w:szCs w:val="22"/>
          <w:lang w:val="en-GB" w:eastAsia="hr-HR"/>
        </w:rPr>
        <w:t xml:space="preserve">interest </w:t>
      </w:r>
      <w:r w:rsidRPr="00891780">
        <w:rPr>
          <w:rFonts w:ascii="Calibri" w:hAnsi="Calibri" w:cs="Calibri"/>
          <w:sz w:val="22"/>
          <w:szCs w:val="22"/>
          <w:lang w:val="en-GB" w:eastAsia="hr-HR"/>
        </w:rPr>
        <w:t>subsidy amount per individual loan is limited to EUR 500</w:t>
      </w:r>
      <w:r w:rsidR="00BC06F2">
        <w:rPr>
          <w:rFonts w:ascii="Calibri" w:hAnsi="Calibri" w:cs="Calibri"/>
          <w:sz w:val="22"/>
          <w:szCs w:val="22"/>
          <w:lang w:val="en-GB" w:eastAsia="hr-HR"/>
        </w:rPr>
        <w:t xml:space="preserve"> thousand</w:t>
      </w:r>
      <w:r w:rsidRPr="00891780">
        <w:rPr>
          <w:rFonts w:ascii="Calibri" w:hAnsi="Calibri" w:cs="Calibri"/>
          <w:sz w:val="22"/>
          <w:szCs w:val="22"/>
          <w:lang w:val="en-GB" w:eastAsia="hr-HR"/>
        </w:rPr>
        <w:t xml:space="preserve"> for small and medium-sized enterprises, </w:t>
      </w:r>
      <w:r w:rsidR="00B134A8" w:rsidRPr="00891780">
        <w:rPr>
          <w:rFonts w:ascii="Calibri" w:hAnsi="Calibri" w:cs="Calibri"/>
          <w:sz w:val="22"/>
          <w:szCs w:val="22"/>
          <w:lang w:val="en-GB" w:eastAsia="hr-HR"/>
        </w:rPr>
        <w:t>and</w:t>
      </w:r>
      <w:r w:rsidRPr="00891780">
        <w:rPr>
          <w:rFonts w:ascii="Calibri" w:hAnsi="Calibri" w:cs="Calibri"/>
          <w:sz w:val="22"/>
          <w:szCs w:val="22"/>
          <w:lang w:val="en-GB" w:eastAsia="hr-HR"/>
        </w:rPr>
        <w:t xml:space="preserve"> EUR 1 million for other entities, so that the largest </w:t>
      </w:r>
      <w:r w:rsidR="005732AA" w:rsidRPr="00891780">
        <w:rPr>
          <w:rFonts w:ascii="Calibri" w:hAnsi="Calibri" w:cs="Calibri"/>
          <w:sz w:val="22"/>
          <w:szCs w:val="22"/>
          <w:lang w:val="en-GB" w:eastAsia="hr-HR"/>
        </w:rPr>
        <w:t xml:space="preserve">possible </w:t>
      </w:r>
      <w:r w:rsidRPr="00891780">
        <w:rPr>
          <w:rFonts w:ascii="Calibri" w:hAnsi="Calibri" w:cs="Calibri"/>
          <w:sz w:val="22"/>
          <w:szCs w:val="22"/>
          <w:lang w:val="en-GB" w:eastAsia="hr-HR"/>
        </w:rPr>
        <w:t xml:space="preserve">number of borrowers can benefit from </w:t>
      </w:r>
      <w:r w:rsidR="004A5865" w:rsidRPr="00891780">
        <w:rPr>
          <w:rFonts w:ascii="Calibri" w:hAnsi="Calibri" w:cs="Calibri"/>
          <w:sz w:val="22"/>
          <w:szCs w:val="22"/>
          <w:lang w:val="en-GB" w:eastAsia="hr-HR"/>
        </w:rPr>
        <w:t xml:space="preserve">such </w:t>
      </w:r>
      <w:r w:rsidRPr="00891780">
        <w:rPr>
          <w:rFonts w:ascii="Calibri" w:hAnsi="Calibri" w:cs="Calibri"/>
          <w:sz w:val="22"/>
          <w:szCs w:val="22"/>
          <w:lang w:val="en-GB" w:eastAsia="hr-HR"/>
        </w:rPr>
        <w:t xml:space="preserve">favourable </w:t>
      </w:r>
      <w:r w:rsidR="004A5865" w:rsidRPr="00891780">
        <w:rPr>
          <w:rFonts w:ascii="Calibri" w:hAnsi="Calibri" w:cs="Calibri"/>
          <w:sz w:val="22"/>
          <w:szCs w:val="22"/>
          <w:lang w:val="en-GB" w:eastAsia="hr-HR"/>
        </w:rPr>
        <w:t xml:space="preserve">terms and </w:t>
      </w:r>
      <w:r w:rsidRPr="00891780">
        <w:rPr>
          <w:rFonts w:ascii="Calibri" w:hAnsi="Calibri" w:cs="Calibri"/>
          <w:sz w:val="22"/>
          <w:szCs w:val="22"/>
          <w:lang w:val="en-GB" w:eastAsia="hr-HR"/>
        </w:rPr>
        <w:t xml:space="preserve">conditions. </w:t>
      </w:r>
      <w:r w:rsidR="0014649F" w:rsidRPr="00891780">
        <w:rPr>
          <w:rFonts w:ascii="Calibri" w:hAnsi="Calibri" w:cs="Calibri"/>
          <w:sz w:val="22"/>
          <w:szCs w:val="22"/>
          <w:lang w:val="en-GB" w:eastAsia="hr-HR"/>
        </w:rPr>
        <w:t>A subsidy of up to 3 percentage points is granted depending on the purpose and type of investment, and it can be up to 75 percent of the interest rate for green and digital transition, up to 65 percent of the interest rate for investments in special areas of the Republic of Croatia or in research, development and innovation, and for investments</w:t>
      </w:r>
      <w:r w:rsidR="00551696" w:rsidRPr="00891780">
        <w:rPr>
          <w:rFonts w:ascii="Calibri" w:hAnsi="Calibri" w:cs="Calibri"/>
          <w:sz w:val="22"/>
          <w:szCs w:val="22"/>
          <w:lang w:val="en-GB" w:eastAsia="hr-HR"/>
        </w:rPr>
        <w:t xml:space="preserve"> of the public sector to mitigate the consequences of the earthquake</w:t>
      </w:r>
      <w:r w:rsidR="00054989" w:rsidRPr="00891780">
        <w:rPr>
          <w:rFonts w:ascii="Calibri" w:hAnsi="Calibri" w:cs="Calibri"/>
          <w:sz w:val="22"/>
          <w:szCs w:val="22"/>
          <w:lang w:val="en-GB" w:eastAsia="hr-HR"/>
        </w:rPr>
        <w:t>,</w:t>
      </w:r>
      <w:r w:rsidR="00551696" w:rsidRPr="00891780">
        <w:rPr>
          <w:rFonts w:ascii="Calibri" w:hAnsi="Calibri" w:cs="Calibri"/>
          <w:sz w:val="22"/>
          <w:szCs w:val="22"/>
          <w:lang w:val="en-GB" w:eastAsia="hr-HR"/>
        </w:rPr>
        <w:t xml:space="preserve"> or up to</w:t>
      </w:r>
      <w:r w:rsidR="00054989" w:rsidRPr="00891780">
        <w:rPr>
          <w:rFonts w:ascii="Calibri" w:hAnsi="Calibri" w:cs="Calibri"/>
          <w:sz w:val="22"/>
          <w:szCs w:val="22"/>
          <w:lang w:val="en-GB" w:eastAsia="hr-HR"/>
        </w:rPr>
        <w:t xml:space="preserve"> 50 p</w:t>
      </w:r>
      <w:r w:rsidR="00551696" w:rsidRPr="00891780">
        <w:rPr>
          <w:rFonts w:ascii="Calibri" w:hAnsi="Calibri" w:cs="Calibri"/>
          <w:sz w:val="22"/>
          <w:szCs w:val="22"/>
          <w:lang w:val="en-GB" w:eastAsia="hr-HR"/>
        </w:rPr>
        <w:t xml:space="preserve">ercent </w:t>
      </w:r>
      <w:r w:rsidR="0015633D" w:rsidRPr="00891780">
        <w:rPr>
          <w:rFonts w:ascii="Calibri" w:hAnsi="Calibri" w:cs="Calibri"/>
          <w:sz w:val="22"/>
          <w:szCs w:val="22"/>
          <w:lang w:val="en-GB" w:eastAsia="hr-HR"/>
        </w:rPr>
        <w:t xml:space="preserve">for other investments in </w:t>
      </w:r>
      <w:r w:rsidR="00596563" w:rsidRPr="00891780">
        <w:rPr>
          <w:rFonts w:ascii="Calibri" w:hAnsi="Calibri" w:cs="Calibri"/>
          <w:sz w:val="22"/>
          <w:szCs w:val="22"/>
          <w:lang w:val="en-GB" w:eastAsia="hr-HR"/>
        </w:rPr>
        <w:t xml:space="preserve">competitiveness and </w:t>
      </w:r>
      <w:r w:rsidR="0015633D" w:rsidRPr="00891780">
        <w:rPr>
          <w:rFonts w:ascii="Calibri" w:hAnsi="Calibri" w:cs="Calibri"/>
          <w:sz w:val="22"/>
          <w:szCs w:val="22"/>
          <w:lang w:val="en-GB" w:eastAsia="hr-HR"/>
        </w:rPr>
        <w:t>resilience</w:t>
      </w:r>
      <w:r w:rsidR="00054989" w:rsidRPr="00891780">
        <w:rPr>
          <w:rFonts w:ascii="Calibri" w:hAnsi="Calibri" w:cs="Calibri"/>
          <w:sz w:val="22"/>
          <w:szCs w:val="22"/>
          <w:lang w:val="en-GB" w:eastAsia="hr-HR"/>
        </w:rPr>
        <w:t xml:space="preserve">. </w:t>
      </w:r>
    </w:p>
    <w:p w14:paraId="1748D792" w14:textId="0D5A8CA8" w:rsidR="00382CF2" w:rsidRPr="00891780" w:rsidRDefault="00FE48A5" w:rsidP="000B677E">
      <w:pPr>
        <w:spacing w:line="276" w:lineRule="auto"/>
        <w:jc w:val="both"/>
        <w:textAlignment w:val="baseline"/>
        <w:rPr>
          <w:rFonts w:ascii="Calibri" w:hAnsi="Calibri" w:cs="Calibri"/>
          <w:sz w:val="22"/>
          <w:szCs w:val="22"/>
          <w:lang w:val="en-GB" w:eastAsia="hr-HR"/>
        </w:rPr>
      </w:pPr>
      <w:r w:rsidRPr="00891780">
        <w:rPr>
          <w:rFonts w:ascii="Calibri" w:hAnsi="Calibri" w:cs="Calibri"/>
          <w:sz w:val="22"/>
          <w:szCs w:val="22"/>
          <w:lang w:val="en-GB" w:eastAsia="hr-HR"/>
        </w:rPr>
        <w:t xml:space="preserve">Interest subsidies </w:t>
      </w:r>
      <w:r w:rsidR="005C7D2E" w:rsidRPr="00891780">
        <w:rPr>
          <w:rFonts w:ascii="Calibri" w:hAnsi="Calibri" w:cs="Calibri"/>
          <w:sz w:val="22"/>
          <w:szCs w:val="22"/>
          <w:lang w:val="en-GB" w:eastAsia="hr-HR"/>
        </w:rPr>
        <w:t>have been</w:t>
      </w:r>
      <w:r w:rsidRPr="00891780">
        <w:rPr>
          <w:rFonts w:ascii="Calibri" w:hAnsi="Calibri" w:cs="Calibri"/>
          <w:sz w:val="22"/>
          <w:szCs w:val="22"/>
          <w:lang w:val="en-GB" w:eastAsia="hr-HR"/>
        </w:rPr>
        <w:t xml:space="preserve"> approved </w:t>
      </w:r>
      <w:r w:rsidR="005C7D2E" w:rsidRPr="00891780">
        <w:rPr>
          <w:rFonts w:ascii="Calibri" w:hAnsi="Calibri" w:cs="Calibri"/>
          <w:sz w:val="22"/>
          <w:szCs w:val="22"/>
          <w:lang w:val="en-GB" w:eastAsia="hr-HR"/>
        </w:rPr>
        <w:t>via</w:t>
      </w:r>
      <w:r w:rsidRPr="00891780">
        <w:rPr>
          <w:rFonts w:ascii="Calibri" w:hAnsi="Calibri" w:cs="Calibri"/>
          <w:sz w:val="22"/>
          <w:szCs w:val="22"/>
          <w:lang w:val="en-GB" w:eastAsia="hr-HR"/>
        </w:rPr>
        <w:t xml:space="preserve"> HBOR loan programmes through direct lending from June 2022, and from January 2023 </w:t>
      </w:r>
      <w:r w:rsidR="00307503" w:rsidRPr="00891780">
        <w:rPr>
          <w:rFonts w:ascii="Calibri" w:hAnsi="Calibri" w:cs="Calibri"/>
          <w:sz w:val="22"/>
          <w:szCs w:val="22"/>
          <w:lang w:val="en-GB" w:eastAsia="hr-HR"/>
        </w:rPr>
        <w:t xml:space="preserve">also </w:t>
      </w:r>
      <w:r w:rsidRPr="00891780">
        <w:rPr>
          <w:rFonts w:ascii="Calibri" w:hAnsi="Calibri" w:cs="Calibri"/>
          <w:sz w:val="22"/>
          <w:szCs w:val="22"/>
          <w:lang w:val="en-GB" w:eastAsia="hr-HR"/>
        </w:rPr>
        <w:t>in cooperation with 15 commercial banks</w:t>
      </w:r>
      <w:r w:rsidR="00054989" w:rsidRPr="00891780">
        <w:rPr>
          <w:rFonts w:ascii="Calibri" w:hAnsi="Calibri" w:cs="Calibri"/>
          <w:sz w:val="22"/>
          <w:szCs w:val="22"/>
          <w:lang w:val="en-GB" w:eastAsia="hr-HR"/>
        </w:rPr>
        <w:t>.</w:t>
      </w:r>
    </w:p>
    <w:p w14:paraId="1748D793" w14:textId="77777777" w:rsidR="00382CF2" w:rsidRPr="00891780" w:rsidRDefault="00382CF2" w:rsidP="000B677E">
      <w:pPr>
        <w:spacing w:after="120" w:line="276" w:lineRule="auto"/>
        <w:jc w:val="both"/>
        <w:textAlignment w:val="baseline"/>
        <w:rPr>
          <w:rFonts w:ascii="Calibri" w:hAnsi="Calibri" w:cs="Calibri"/>
          <w:sz w:val="22"/>
          <w:szCs w:val="22"/>
          <w:lang w:val="en-GB" w:eastAsia="hr-HR"/>
        </w:rPr>
      </w:pPr>
    </w:p>
    <w:p w14:paraId="1748D794" w14:textId="333E2EE7" w:rsidR="00382CF2" w:rsidRPr="00891780" w:rsidRDefault="001160EC" w:rsidP="000B677E">
      <w:pPr>
        <w:spacing w:after="120" w:line="276" w:lineRule="auto"/>
        <w:jc w:val="both"/>
        <w:textAlignment w:val="baseline"/>
        <w:rPr>
          <w:rFonts w:ascii="Calibri" w:hAnsi="Calibri" w:cs="Calibri"/>
          <w:b/>
          <w:bCs/>
          <w:sz w:val="22"/>
          <w:szCs w:val="22"/>
          <w:lang w:val="en-GB" w:eastAsia="hr-HR"/>
        </w:rPr>
      </w:pPr>
      <w:r w:rsidRPr="00891780">
        <w:rPr>
          <w:rFonts w:ascii="Calibri" w:hAnsi="Calibri" w:cs="Calibri"/>
          <w:b/>
          <w:bCs/>
          <w:sz w:val="22"/>
          <w:szCs w:val="22"/>
          <w:lang w:val="en-GB" w:eastAsia="hr-HR"/>
        </w:rPr>
        <w:t xml:space="preserve">Guarantee Fund financial instrument </w:t>
      </w:r>
      <w:r w:rsidR="00071151" w:rsidRPr="00891780">
        <w:rPr>
          <w:rFonts w:ascii="Calibri" w:hAnsi="Calibri" w:cs="Calibri"/>
          <w:b/>
          <w:bCs/>
          <w:sz w:val="22"/>
          <w:szCs w:val="22"/>
          <w:lang w:val="en-GB" w:eastAsia="hr-HR"/>
        </w:rPr>
        <w:t>for loans to mid-cap</w:t>
      </w:r>
      <w:r w:rsidR="0077009A" w:rsidRPr="00891780">
        <w:rPr>
          <w:rFonts w:ascii="Calibri" w:hAnsi="Calibri" w:cs="Calibri"/>
          <w:b/>
          <w:bCs/>
          <w:sz w:val="22"/>
          <w:szCs w:val="22"/>
          <w:lang w:val="en-GB" w:eastAsia="hr-HR"/>
        </w:rPr>
        <w:t xml:space="preserve"> companies</w:t>
      </w:r>
      <w:r w:rsidR="00071151" w:rsidRPr="00891780">
        <w:rPr>
          <w:rFonts w:ascii="Calibri" w:hAnsi="Calibri" w:cs="Calibri"/>
          <w:b/>
          <w:bCs/>
          <w:sz w:val="22"/>
          <w:szCs w:val="22"/>
          <w:lang w:val="en-GB" w:eastAsia="hr-HR"/>
        </w:rPr>
        <w:t xml:space="preserve"> and large </w:t>
      </w:r>
      <w:r w:rsidR="00E645AA" w:rsidRPr="00891780">
        <w:rPr>
          <w:rFonts w:ascii="Calibri" w:hAnsi="Calibri" w:cs="Calibri"/>
          <w:b/>
          <w:bCs/>
          <w:sz w:val="22"/>
          <w:szCs w:val="22"/>
          <w:lang w:val="en-GB" w:eastAsia="hr-HR"/>
        </w:rPr>
        <w:t>companies</w:t>
      </w:r>
    </w:p>
    <w:p w14:paraId="1748D796" w14:textId="3885B7F6" w:rsidR="00382CF2" w:rsidRPr="00891780" w:rsidRDefault="00271BF5" w:rsidP="000B677E">
      <w:pPr>
        <w:spacing w:line="276" w:lineRule="auto"/>
        <w:jc w:val="both"/>
        <w:textAlignment w:val="baseline"/>
        <w:rPr>
          <w:rFonts w:asciiTheme="minorHAnsi" w:hAnsiTheme="minorHAnsi" w:cstheme="minorHAnsi"/>
          <w:sz w:val="22"/>
          <w:szCs w:val="22"/>
          <w:lang w:val="en-GB" w:eastAsia="hr-HR"/>
        </w:rPr>
      </w:pPr>
      <w:r w:rsidRPr="00891780">
        <w:rPr>
          <w:rFonts w:asciiTheme="minorHAnsi" w:hAnsiTheme="minorHAnsi" w:cstheme="minorHAnsi"/>
          <w:sz w:val="22"/>
          <w:szCs w:val="22"/>
          <w:lang w:val="en-GB"/>
        </w:rPr>
        <w:t>In the Republic of Croatia, there have been for many years various guarantee schemes for investment support to micro, small and medium enterprises</w:t>
      </w:r>
      <w:r w:rsidR="00054989" w:rsidRPr="00891780">
        <w:rPr>
          <w:rFonts w:asciiTheme="minorHAnsi" w:hAnsiTheme="minorHAnsi" w:cstheme="minorHAnsi"/>
          <w:sz w:val="22"/>
          <w:szCs w:val="22"/>
          <w:lang w:val="en-GB" w:eastAsia="hr-HR"/>
        </w:rPr>
        <w:t xml:space="preserve">. </w:t>
      </w:r>
      <w:r w:rsidR="00EC74BA" w:rsidRPr="00891780">
        <w:rPr>
          <w:rFonts w:asciiTheme="minorHAnsi" w:hAnsiTheme="minorHAnsi" w:cstheme="minorHAnsi"/>
          <w:sz w:val="22"/>
          <w:szCs w:val="22"/>
          <w:lang w:val="en-GB" w:eastAsia="hr-HR"/>
        </w:rPr>
        <w:t xml:space="preserve">In order to provide similar support to </w:t>
      </w:r>
      <w:r w:rsidR="00C410ED" w:rsidRPr="00891780">
        <w:rPr>
          <w:rFonts w:asciiTheme="minorHAnsi" w:hAnsiTheme="minorHAnsi" w:cstheme="minorHAnsi"/>
          <w:sz w:val="22"/>
          <w:szCs w:val="22"/>
          <w:lang w:val="en-GB" w:eastAsia="hr-HR"/>
        </w:rPr>
        <w:t>mid-caps</w:t>
      </w:r>
      <w:r w:rsidR="00EC74BA" w:rsidRPr="00891780">
        <w:rPr>
          <w:rFonts w:asciiTheme="minorHAnsi" w:hAnsiTheme="minorHAnsi" w:cstheme="minorHAnsi"/>
          <w:sz w:val="22"/>
          <w:szCs w:val="22"/>
          <w:lang w:val="en-GB" w:eastAsia="hr-HR"/>
        </w:rPr>
        <w:t xml:space="preserve"> and large business entities, the National Recovery and Resilience Plan envisages the establishment of a new model of guarantees for investment loans of </w:t>
      </w:r>
      <w:r w:rsidR="001160EC" w:rsidRPr="00891780">
        <w:rPr>
          <w:rFonts w:asciiTheme="minorHAnsi" w:hAnsiTheme="minorHAnsi" w:cstheme="minorHAnsi"/>
          <w:sz w:val="22"/>
          <w:szCs w:val="22"/>
          <w:lang w:val="en-GB" w:eastAsia="hr-HR"/>
        </w:rPr>
        <w:t>mid-caps</w:t>
      </w:r>
      <w:r w:rsidR="00EC74BA" w:rsidRPr="00891780">
        <w:rPr>
          <w:rFonts w:asciiTheme="minorHAnsi" w:hAnsiTheme="minorHAnsi" w:cstheme="minorHAnsi"/>
          <w:sz w:val="22"/>
          <w:szCs w:val="22"/>
          <w:lang w:val="en-GB" w:eastAsia="hr-HR"/>
        </w:rPr>
        <w:t xml:space="preserve"> and large business entities.</w:t>
      </w:r>
      <w:r w:rsidR="00C64E7B" w:rsidRPr="00891780">
        <w:rPr>
          <w:rFonts w:asciiTheme="minorHAnsi" w:hAnsiTheme="minorHAnsi" w:cstheme="minorHAnsi"/>
          <w:sz w:val="22"/>
          <w:szCs w:val="22"/>
          <w:lang w:val="en-GB" w:eastAsia="hr-HR"/>
        </w:rPr>
        <w:t xml:space="preserve"> </w:t>
      </w:r>
      <w:r w:rsidR="00AE5ED3" w:rsidRPr="00891780">
        <w:rPr>
          <w:rFonts w:asciiTheme="minorHAnsi" w:hAnsiTheme="minorHAnsi" w:cstheme="minorHAnsi"/>
          <w:sz w:val="22"/>
          <w:szCs w:val="22"/>
          <w:lang w:val="en-GB" w:eastAsia="hr-HR"/>
        </w:rPr>
        <w:t>As previously mentioned, during 2022, the Agreement was signed between HBOR and the relevant ministries, which enabled the implementation of this instrument.</w:t>
      </w:r>
      <w:r w:rsidR="00054989" w:rsidRPr="00891780">
        <w:rPr>
          <w:rFonts w:asciiTheme="minorHAnsi" w:hAnsiTheme="minorHAnsi" w:cstheme="minorHAnsi"/>
          <w:sz w:val="22"/>
          <w:szCs w:val="22"/>
          <w:lang w:val="en-GB" w:eastAsia="hr-HR"/>
        </w:rPr>
        <w:t xml:space="preserve"> </w:t>
      </w:r>
      <w:r w:rsidR="00AE5ED3" w:rsidRPr="00891780">
        <w:rPr>
          <w:rFonts w:asciiTheme="minorHAnsi" w:hAnsiTheme="minorHAnsi" w:cstheme="minorHAnsi"/>
          <w:sz w:val="22"/>
          <w:szCs w:val="22"/>
          <w:lang w:val="en-GB" w:eastAsia="hr-HR"/>
        </w:rPr>
        <w:t>The implementation of the instrument will begin in 2023</w:t>
      </w:r>
      <w:r w:rsidR="00671D1F" w:rsidRPr="00891780">
        <w:rPr>
          <w:rFonts w:asciiTheme="minorHAnsi" w:hAnsiTheme="minorHAnsi" w:cstheme="minorHAnsi"/>
          <w:sz w:val="22"/>
          <w:szCs w:val="22"/>
          <w:lang w:val="en-GB" w:eastAsia="hr-HR"/>
        </w:rPr>
        <w:t>. It will enable</w:t>
      </w:r>
      <w:r w:rsidR="00AE5ED3" w:rsidRPr="00891780">
        <w:rPr>
          <w:rFonts w:asciiTheme="minorHAnsi" w:hAnsiTheme="minorHAnsi" w:cstheme="minorHAnsi"/>
          <w:sz w:val="22"/>
          <w:szCs w:val="22"/>
          <w:lang w:val="en-GB" w:eastAsia="hr-HR"/>
        </w:rPr>
        <w:t xml:space="preserve"> the issuance of guarantees for investment loans to entities of medium market </w:t>
      </w:r>
      <w:r w:rsidR="00AE5ED3" w:rsidRPr="00891780">
        <w:rPr>
          <w:rFonts w:asciiTheme="minorHAnsi" w:hAnsiTheme="minorHAnsi" w:cstheme="minorHAnsi"/>
          <w:sz w:val="22"/>
          <w:szCs w:val="22"/>
          <w:lang w:val="en-GB" w:eastAsia="hr-HR"/>
        </w:rPr>
        <w:lastRenderedPageBreak/>
        <w:t>capitali</w:t>
      </w:r>
      <w:r w:rsidR="00671D1F" w:rsidRPr="00891780">
        <w:rPr>
          <w:rFonts w:asciiTheme="minorHAnsi" w:hAnsiTheme="minorHAnsi" w:cstheme="minorHAnsi"/>
          <w:sz w:val="22"/>
          <w:szCs w:val="22"/>
          <w:lang w:val="en-GB" w:eastAsia="hr-HR"/>
        </w:rPr>
        <w:t>s</w:t>
      </w:r>
      <w:r w:rsidR="00AE5ED3" w:rsidRPr="00891780">
        <w:rPr>
          <w:rFonts w:asciiTheme="minorHAnsi" w:hAnsiTheme="minorHAnsi" w:cstheme="minorHAnsi"/>
          <w:sz w:val="22"/>
          <w:szCs w:val="22"/>
          <w:lang w:val="en-GB" w:eastAsia="hr-HR"/>
        </w:rPr>
        <w:t>ation and large business entities with</w:t>
      </w:r>
      <w:r w:rsidR="0005323E">
        <w:rPr>
          <w:rFonts w:asciiTheme="minorHAnsi" w:hAnsiTheme="minorHAnsi" w:cstheme="minorHAnsi"/>
          <w:sz w:val="22"/>
          <w:szCs w:val="22"/>
          <w:lang w:val="en-GB" w:eastAsia="hr-HR"/>
        </w:rPr>
        <w:t xml:space="preserve"> a</w:t>
      </w:r>
      <w:r w:rsidR="00AE5ED3" w:rsidRPr="00891780">
        <w:rPr>
          <w:rFonts w:asciiTheme="minorHAnsi" w:hAnsiTheme="minorHAnsi" w:cstheme="minorHAnsi"/>
          <w:sz w:val="22"/>
          <w:szCs w:val="22"/>
          <w:lang w:val="en-GB" w:eastAsia="hr-HR"/>
        </w:rPr>
        <w:t xml:space="preserve"> coverage of up to 80 percent of </w:t>
      </w:r>
      <w:r w:rsidR="00671D1F" w:rsidRPr="00891780">
        <w:rPr>
          <w:rFonts w:asciiTheme="minorHAnsi" w:hAnsiTheme="minorHAnsi" w:cstheme="minorHAnsi"/>
          <w:sz w:val="22"/>
          <w:szCs w:val="22"/>
          <w:lang w:val="en-GB" w:eastAsia="hr-HR"/>
        </w:rPr>
        <w:t>overdue</w:t>
      </w:r>
      <w:r w:rsidR="00AE5ED3" w:rsidRPr="00891780">
        <w:rPr>
          <w:rFonts w:asciiTheme="minorHAnsi" w:hAnsiTheme="minorHAnsi" w:cstheme="minorHAnsi"/>
          <w:sz w:val="22"/>
          <w:szCs w:val="22"/>
          <w:lang w:val="en-GB" w:eastAsia="hr-HR"/>
        </w:rPr>
        <w:t xml:space="preserve"> loan principal and subsidi</w:t>
      </w:r>
      <w:r w:rsidR="00671D1F" w:rsidRPr="00891780">
        <w:rPr>
          <w:rFonts w:asciiTheme="minorHAnsi" w:hAnsiTheme="minorHAnsi" w:cstheme="minorHAnsi"/>
          <w:sz w:val="22"/>
          <w:szCs w:val="22"/>
          <w:lang w:val="en-GB" w:eastAsia="hr-HR"/>
        </w:rPr>
        <w:t>s</w:t>
      </w:r>
      <w:r w:rsidR="00AE5ED3" w:rsidRPr="00891780">
        <w:rPr>
          <w:rFonts w:asciiTheme="minorHAnsi" w:hAnsiTheme="minorHAnsi" w:cstheme="minorHAnsi"/>
          <w:sz w:val="22"/>
          <w:szCs w:val="22"/>
          <w:lang w:val="en-GB" w:eastAsia="hr-HR"/>
        </w:rPr>
        <w:t xml:space="preserve">ation of up to 100 percent of the amount of the </w:t>
      </w:r>
      <w:proofErr w:type="gramStart"/>
      <w:r w:rsidR="00AE5ED3" w:rsidRPr="00891780">
        <w:rPr>
          <w:rFonts w:asciiTheme="minorHAnsi" w:hAnsiTheme="minorHAnsi" w:cstheme="minorHAnsi"/>
          <w:sz w:val="22"/>
          <w:szCs w:val="22"/>
          <w:lang w:val="en-GB" w:eastAsia="hr-HR"/>
        </w:rPr>
        <w:t>guarantee</w:t>
      </w:r>
      <w:proofErr w:type="gramEnd"/>
      <w:r w:rsidR="00AE5ED3" w:rsidRPr="00891780">
        <w:rPr>
          <w:rFonts w:asciiTheme="minorHAnsi" w:hAnsiTheme="minorHAnsi" w:cstheme="minorHAnsi"/>
          <w:sz w:val="22"/>
          <w:szCs w:val="22"/>
          <w:lang w:val="en-GB" w:eastAsia="hr-HR"/>
        </w:rPr>
        <w:t xml:space="preserve"> fee, depending on the </w:t>
      </w:r>
      <w:r w:rsidR="00370287" w:rsidRPr="00891780">
        <w:rPr>
          <w:rFonts w:asciiTheme="minorHAnsi" w:hAnsiTheme="minorHAnsi" w:cstheme="minorHAnsi"/>
          <w:sz w:val="22"/>
          <w:szCs w:val="22"/>
          <w:lang w:val="en-GB" w:eastAsia="hr-HR"/>
        </w:rPr>
        <w:t xml:space="preserve">state aid </w:t>
      </w:r>
      <w:r w:rsidR="00AE5ED3" w:rsidRPr="00891780">
        <w:rPr>
          <w:rFonts w:asciiTheme="minorHAnsi" w:hAnsiTheme="minorHAnsi" w:cstheme="minorHAnsi"/>
          <w:sz w:val="22"/>
          <w:szCs w:val="22"/>
          <w:lang w:val="en-GB" w:eastAsia="hr-HR"/>
        </w:rPr>
        <w:t>rules</w:t>
      </w:r>
      <w:r w:rsidR="00054989" w:rsidRPr="00891780">
        <w:rPr>
          <w:rFonts w:asciiTheme="minorHAnsi" w:hAnsiTheme="minorHAnsi" w:cstheme="minorHAnsi"/>
          <w:sz w:val="22"/>
          <w:szCs w:val="22"/>
          <w:lang w:val="en-GB" w:eastAsia="hr-HR"/>
        </w:rPr>
        <w:t>.</w:t>
      </w:r>
      <w:bookmarkEnd w:id="35"/>
      <w:bookmarkEnd w:id="37"/>
    </w:p>
    <w:p w14:paraId="4961302D" w14:textId="19E3F443" w:rsidR="003B561B" w:rsidRPr="00891780" w:rsidRDefault="003B561B" w:rsidP="000B677E">
      <w:pPr>
        <w:rPr>
          <w:rFonts w:ascii="Calibri" w:eastAsia="SimSun" w:hAnsi="Calibri" w:cs="Calibri"/>
          <w:b/>
          <w:bCs/>
          <w:sz w:val="22"/>
          <w:szCs w:val="22"/>
          <w:lang w:val="en-GB"/>
        </w:rPr>
      </w:pPr>
    </w:p>
    <w:p w14:paraId="05B69318" w14:textId="77777777" w:rsidR="002E1A01" w:rsidRDefault="002E1A01" w:rsidP="000B677E">
      <w:pPr>
        <w:jc w:val="both"/>
        <w:rPr>
          <w:rFonts w:asciiTheme="minorHAnsi" w:hAnsiTheme="minorHAnsi" w:cstheme="minorHAnsi"/>
          <w:b/>
          <w:bCs/>
          <w:sz w:val="22"/>
          <w:szCs w:val="22"/>
          <w:lang w:val="en-GB"/>
        </w:rPr>
      </w:pPr>
    </w:p>
    <w:p w14:paraId="362DCF09" w14:textId="27CD2FFC" w:rsidR="00A650DE" w:rsidRPr="00891780" w:rsidRDefault="00A650DE" w:rsidP="000B677E">
      <w:pPr>
        <w:jc w:val="both"/>
        <w:rPr>
          <w:rFonts w:asciiTheme="minorHAnsi" w:hAnsiTheme="minorHAnsi" w:cstheme="minorHAnsi"/>
          <w:b/>
          <w:bCs/>
          <w:sz w:val="22"/>
          <w:szCs w:val="22"/>
          <w:lang w:val="en-GB"/>
        </w:rPr>
      </w:pPr>
      <w:r w:rsidRPr="00891780">
        <w:rPr>
          <w:rFonts w:asciiTheme="minorHAnsi" w:hAnsiTheme="minorHAnsi" w:cstheme="minorHAnsi"/>
          <w:b/>
          <w:bCs/>
          <w:sz w:val="22"/>
          <w:szCs w:val="22"/>
          <w:lang w:val="en-GB"/>
        </w:rPr>
        <w:t>Promoting the development of new venture capital funds</w:t>
      </w:r>
    </w:p>
    <w:p w14:paraId="09498D7C" w14:textId="77777777" w:rsidR="00A650DE" w:rsidRPr="00891780" w:rsidRDefault="00A650DE" w:rsidP="000B677E">
      <w:pPr>
        <w:spacing w:line="276" w:lineRule="auto"/>
        <w:jc w:val="both"/>
        <w:textAlignment w:val="baseline"/>
        <w:rPr>
          <w:rStyle w:val="Zadanifontodlomka1"/>
          <w:rFonts w:ascii="Calibri" w:eastAsia="SimSun" w:hAnsi="Calibri" w:cs="Calibri"/>
          <w:sz w:val="22"/>
          <w:szCs w:val="22"/>
          <w:lang w:val="en-GB"/>
        </w:rPr>
      </w:pPr>
    </w:p>
    <w:p w14:paraId="3D63B2B4" w14:textId="3F3EA9B2" w:rsidR="0024604E" w:rsidRPr="00891780" w:rsidRDefault="004427DB" w:rsidP="000B677E">
      <w:pPr>
        <w:spacing w:line="276" w:lineRule="auto"/>
        <w:jc w:val="both"/>
        <w:textAlignment w:val="baseline"/>
        <w:rPr>
          <w:rStyle w:val="Zadanifontodlomka1"/>
          <w:rFonts w:ascii="Calibri" w:eastAsia="Calibri" w:hAnsi="Calibri" w:cs="Calibri"/>
          <w:sz w:val="22"/>
          <w:szCs w:val="22"/>
          <w:lang w:val="en-GB"/>
        </w:rPr>
      </w:pPr>
      <w:r w:rsidRPr="00891780">
        <w:rPr>
          <w:rFonts w:asciiTheme="minorHAnsi" w:hAnsiTheme="minorHAnsi" w:cstheme="minorHAnsi"/>
          <w:sz w:val="22"/>
          <w:szCs w:val="22"/>
          <w:lang w:val="en-GB"/>
        </w:rPr>
        <w:t>Traditional sources cannot always adequately respond to the financial needs of fast-growing, but high-risk companies</w:t>
      </w:r>
      <w:r w:rsidR="00054989" w:rsidRPr="00891780">
        <w:rPr>
          <w:rStyle w:val="Zadanifontodlomka1"/>
          <w:rFonts w:asciiTheme="minorHAnsi" w:eastAsia="SimSun" w:hAnsiTheme="minorHAnsi" w:cstheme="minorHAnsi"/>
          <w:sz w:val="22"/>
          <w:szCs w:val="22"/>
          <w:lang w:val="en-GB"/>
        </w:rPr>
        <w:t>.</w:t>
      </w:r>
      <w:r w:rsidR="00054989" w:rsidRPr="00891780">
        <w:rPr>
          <w:rStyle w:val="Zadanifontodlomka1"/>
          <w:rFonts w:ascii="Calibri" w:eastAsia="SimSun" w:hAnsi="Calibri" w:cs="Calibri"/>
          <w:sz w:val="22"/>
          <w:szCs w:val="22"/>
          <w:lang w:val="en-GB"/>
        </w:rPr>
        <w:t xml:space="preserve"> </w:t>
      </w:r>
      <w:r w:rsidR="002D1D9A" w:rsidRPr="00891780">
        <w:rPr>
          <w:rFonts w:asciiTheme="minorHAnsi" w:hAnsiTheme="minorHAnsi" w:cstheme="minorHAnsi"/>
          <w:sz w:val="22"/>
          <w:szCs w:val="22"/>
          <w:lang w:val="en-GB"/>
        </w:rPr>
        <w:t>For this reason, within the NRPP, funds are provided for further strengthening of</w:t>
      </w:r>
      <w:r w:rsidR="002D1D9A" w:rsidRPr="00891780">
        <w:rPr>
          <w:rFonts w:asciiTheme="minorHAnsi" w:eastAsia="Calibri" w:hAnsiTheme="minorHAnsi" w:cstheme="minorHAnsi"/>
          <w:sz w:val="22"/>
          <w:szCs w:val="22"/>
          <w:lang w:val="en-GB"/>
        </w:rPr>
        <w:t xml:space="preserve"> small and medium-sized enterprises through investments in equity and quasi-equity capital with the aim of continuing the development of their business ideas in the Republic of Croatia</w:t>
      </w:r>
      <w:r w:rsidR="00054989" w:rsidRPr="00891780">
        <w:rPr>
          <w:rStyle w:val="Zadanifontodlomka1"/>
          <w:rFonts w:asciiTheme="minorHAnsi" w:eastAsia="Calibri" w:hAnsiTheme="minorHAnsi" w:cstheme="minorHAnsi"/>
          <w:sz w:val="22"/>
          <w:szCs w:val="22"/>
          <w:lang w:val="en-GB"/>
        </w:rPr>
        <w:t>.</w:t>
      </w:r>
      <w:r w:rsidR="00054989" w:rsidRPr="00891780">
        <w:rPr>
          <w:rStyle w:val="Zadanifontodlomka1"/>
          <w:rFonts w:ascii="Calibri" w:eastAsia="Calibri" w:hAnsi="Calibri" w:cs="Calibri"/>
          <w:sz w:val="22"/>
          <w:szCs w:val="22"/>
          <w:lang w:val="en-GB"/>
        </w:rPr>
        <w:t xml:space="preserve"> </w:t>
      </w:r>
      <w:bookmarkStart w:id="39" w:name="OLE_LINK1"/>
      <w:r w:rsidR="00F670C3" w:rsidRPr="00891780">
        <w:rPr>
          <w:rStyle w:val="Zadanifontodlomka1"/>
          <w:rFonts w:ascii="Calibri" w:eastAsia="Calibri" w:hAnsi="Calibri" w:cs="Calibri"/>
          <w:sz w:val="22"/>
          <w:szCs w:val="22"/>
          <w:lang w:val="en-GB"/>
        </w:rPr>
        <w:t>Apart from the signing of the Agreement with the relevant ministries entrusted with the implementation of the financial instrument, HBOR began cooperation with the European Investment Fund in 2022 with the aim of developing a new instrument, the implementation of which is planned for 2024.</w:t>
      </w:r>
    </w:p>
    <w:bookmarkEnd w:id="39"/>
    <w:p w14:paraId="3962094B" w14:textId="77777777" w:rsidR="0024604E" w:rsidRPr="00891780" w:rsidRDefault="0024604E" w:rsidP="000B677E">
      <w:pPr>
        <w:spacing w:line="276" w:lineRule="auto"/>
        <w:jc w:val="both"/>
        <w:textAlignment w:val="baseline"/>
        <w:rPr>
          <w:rStyle w:val="Zadanifontodlomka1"/>
          <w:rFonts w:ascii="Calibri" w:eastAsia="Calibri" w:hAnsi="Calibri" w:cs="Calibri"/>
          <w:sz w:val="22"/>
          <w:szCs w:val="22"/>
          <w:lang w:val="en-GB"/>
        </w:rPr>
      </w:pPr>
    </w:p>
    <w:p w14:paraId="7AE9501A" w14:textId="0450351A" w:rsidR="0024604E" w:rsidRPr="00891780" w:rsidRDefault="00054989" w:rsidP="000B677E">
      <w:pPr>
        <w:spacing w:after="120" w:line="276" w:lineRule="auto"/>
        <w:jc w:val="both"/>
        <w:rPr>
          <w:rFonts w:ascii="Calibri" w:eastAsia="SimSun" w:hAnsi="Calibri" w:cs="Calibri"/>
          <w:b/>
          <w:bCs/>
          <w:sz w:val="22"/>
          <w:szCs w:val="22"/>
          <w:lang w:val="en-GB"/>
        </w:rPr>
      </w:pPr>
      <w:r w:rsidRPr="00891780">
        <w:rPr>
          <w:rFonts w:ascii="Calibri" w:eastAsia="SimSun" w:hAnsi="Calibri" w:cs="Calibri"/>
          <w:b/>
          <w:bCs/>
          <w:sz w:val="22"/>
          <w:szCs w:val="22"/>
          <w:lang w:val="en-GB"/>
        </w:rPr>
        <w:t xml:space="preserve">Do </w:t>
      </w:r>
      <w:r w:rsidR="00311AED">
        <w:rPr>
          <w:rFonts w:ascii="Calibri" w:eastAsia="SimSun" w:hAnsi="Calibri" w:cs="Calibri"/>
          <w:b/>
          <w:bCs/>
          <w:sz w:val="22"/>
          <w:szCs w:val="22"/>
          <w:lang w:val="en-GB"/>
        </w:rPr>
        <w:t>N</w:t>
      </w:r>
      <w:r w:rsidRPr="00891780">
        <w:rPr>
          <w:rFonts w:ascii="Calibri" w:eastAsia="SimSun" w:hAnsi="Calibri" w:cs="Calibri"/>
          <w:b/>
          <w:bCs/>
          <w:sz w:val="22"/>
          <w:szCs w:val="22"/>
          <w:lang w:val="en-GB"/>
        </w:rPr>
        <w:t xml:space="preserve">o </w:t>
      </w:r>
      <w:r w:rsidR="00311AED">
        <w:rPr>
          <w:rFonts w:ascii="Calibri" w:eastAsia="SimSun" w:hAnsi="Calibri" w:cs="Calibri"/>
          <w:b/>
          <w:bCs/>
          <w:sz w:val="22"/>
          <w:szCs w:val="22"/>
          <w:lang w:val="en-GB"/>
        </w:rPr>
        <w:t>S</w:t>
      </w:r>
      <w:r w:rsidRPr="00891780">
        <w:rPr>
          <w:rFonts w:ascii="Calibri" w:eastAsia="SimSun" w:hAnsi="Calibri" w:cs="Calibri"/>
          <w:b/>
          <w:bCs/>
          <w:sz w:val="22"/>
          <w:szCs w:val="22"/>
          <w:lang w:val="en-GB"/>
        </w:rPr>
        <w:t xml:space="preserve">ignificant </w:t>
      </w:r>
      <w:r w:rsidR="00311AED">
        <w:rPr>
          <w:rFonts w:ascii="Calibri" w:eastAsia="SimSun" w:hAnsi="Calibri" w:cs="Calibri"/>
          <w:b/>
          <w:bCs/>
          <w:sz w:val="22"/>
          <w:szCs w:val="22"/>
          <w:lang w:val="en-GB"/>
        </w:rPr>
        <w:t>H</w:t>
      </w:r>
      <w:r w:rsidRPr="00891780">
        <w:rPr>
          <w:rFonts w:ascii="Calibri" w:eastAsia="SimSun" w:hAnsi="Calibri" w:cs="Calibri"/>
          <w:b/>
          <w:bCs/>
          <w:sz w:val="22"/>
          <w:szCs w:val="22"/>
          <w:lang w:val="en-GB"/>
        </w:rPr>
        <w:t xml:space="preserve">arm </w:t>
      </w:r>
      <w:r w:rsidR="00F4156A" w:rsidRPr="00891780">
        <w:rPr>
          <w:rFonts w:ascii="Calibri" w:eastAsia="SimSun" w:hAnsi="Calibri" w:cs="Calibri"/>
          <w:b/>
          <w:bCs/>
          <w:sz w:val="22"/>
          <w:szCs w:val="22"/>
          <w:lang w:val="en-GB"/>
        </w:rPr>
        <w:t>principle</w:t>
      </w:r>
      <w:r w:rsidRPr="00891780">
        <w:rPr>
          <w:rFonts w:ascii="Calibri" w:eastAsia="SimSun" w:hAnsi="Calibri" w:cs="Calibri"/>
          <w:b/>
          <w:bCs/>
          <w:sz w:val="22"/>
          <w:szCs w:val="22"/>
          <w:lang w:val="en-GB"/>
        </w:rPr>
        <w:t xml:space="preserve"> </w:t>
      </w:r>
    </w:p>
    <w:p w14:paraId="1748D79B" w14:textId="656D0F23" w:rsidR="008E4AC3" w:rsidRPr="00891780" w:rsidRDefault="001A2FF1" w:rsidP="000B677E">
      <w:pPr>
        <w:spacing w:after="160" w:line="276" w:lineRule="auto"/>
        <w:jc w:val="both"/>
        <w:rPr>
          <w:rStyle w:val="Zadanifontodlomka1"/>
          <w:rFonts w:ascii="Calibri" w:hAnsi="Calibri" w:cs="Calibri"/>
          <w:sz w:val="22"/>
          <w:szCs w:val="22"/>
          <w:lang w:val="en-GB" w:eastAsia="hr-HR"/>
        </w:rPr>
      </w:pPr>
      <w:bookmarkStart w:id="40" w:name="OLE_LINK3"/>
      <w:r w:rsidRPr="00891780">
        <w:rPr>
          <w:rStyle w:val="Zadanifontodlomka1"/>
          <w:rFonts w:ascii="Calibri" w:eastAsia="Calibri" w:hAnsi="Calibri" w:cs="Calibri"/>
          <w:sz w:val="22"/>
          <w:szCs w:val="22"/>
          <w:lang w:val="en-GB"/>
        </w:rPr>
        <w:t>It is important to mention</w:t>
      </w:r>
      <w:r w:rsidR="0031256A" w:rsidRPr="00891780">
        <w:rPr>
          <w:rStyle w:val="Zadanifontodlomka1"/>
          <w:rFonts w:ascii="Calibri" w:eastAsia="Calibri" w:hAnsi="Calibri" w:cs="Calibri"/>
          <w:sz w:val="22"/>
          <w:szCs w:val="22"/>
          <w:lang w:val="en-GB"/>
        </w:rPr>
        <w:t xml:space="preserve"> </w:t>
      </w:r>
      <w:r w:rsidR="005C6038" w:rsidRPr="00891780">
        <w:rPr>
          <w:rStyle w:val="Zadanifontodlomka1"/>
          <w:rFonts w:ascii="Calibri" w:eastAsia="Calibri" w:hAnsi="Calibri" w:cs="Calibri"/>
          <w:sz w:val="22"/>
          <w:szCs w:val="22"/>
          <w:lang w:val="en-GB"/>
        </w:rPr>
        <w:t xml:space="preserve">that the implementation of all previously described </w:t>
      </w:r>
      <w:r w:rsidR="006574CB" w:rsidRPr="00891780">
        <w:rPr>
          <w:rStyle w:val="Zadanifontodlomka1"/>
          <w:rFonts w:ascii="Calibri" w:eastAsia="Calibri" w:hAnsi="Calibri" w:cs="Calibri"/>
          <w:sz w:val="22"/>
          <w:szCs w:val="22"/>
          <w:lang w:val="en-GB"/>
        </w:rPr>
        <w:t>NRRP</w:t>
      </w:r>
      <w:r w:rsidR="005C6038" w:rsidRPr="00891780">
        <w:rPr>
          <w:rStyle w:val="Zadanifontodlomka1"/>
          <w:rFonts w:ascii="Calibri" w:eastAsia="Calibri" w:hAnsi="Calibri" w:cs="Calibri"/>
          <w:sz w:val="22"/>
          <w:szCs w:val="22"/>
          <w:lang w:val="en-GB"/>
        </w:rPr>
        <w:t xml:space="preserve"> financial instruments is aligned with the </w:t>
      </w:r>
      <w:r w:rsidR="00054989" w:rsidRPr="00891780">
        <w:rPr>
          <w:rStyle w:val="Zadanifontodlomka1"/>
          <w:rFonts w:ascii="Calibri" w:eastAsia="Calibri" w:hAnsi="Calibri" w:cs="Calibri"/>
          <w:sz w:val="22"/>
          <w:szCs w:val="22"/>
          <w:lang w:val="en-GB"/>
        </w:rPr>
        <w:t xml:space="preserve">Do </w:t>
      </w:r>
      <w:r w:rsidR="00492E09">
        <w:rPr>
          <w:rStyle w:val="Zadanifontodlomka1"/>
          <w:rFonts w:ascii="Calibri" w:eastAsia="Calibri" w:hAnsi="Calibri" w:cs="Calibri"/>
          <w:sz w:val="22"/>
          <w:szCs w:val="22"/>
          <w:lang w:val="en-GB"/>
        </w:rPr>
        <w:t>N</w:t>
      </w:r>
      <w:r w:rsidR="00054989" w:rsidRPr="00891780">
        <w:rPr>
          <w:rStyle w:val="Zadanifontodlomka1"/>
          <w:rFonts w:ascii="Calibri" w:eastAsia="Calibri" w:hAnsi="Calibri" w:cs="Calibri"/>
          <w:sz w:val="22"/>
          <w:szCs w:val="22"/>
          <w:lang w:val="en-GB"/>
        </w:rPr>
        <w:t xml:space="preserve">o </w:t>
      </w:r>
      <w:r w:rsidR="00492E09">
        <w:rPr>
          <w:rStyle w:val="Zadanifontodlomka1"/>
          <w:rFonts w:ascii="Calibri" w:eastAsia="Calibri" w:hAnsi="Calibri" w:cs="Calibri"/>
          <w:sz w:val="22"/>
          <w:szCs w:val="22"/>
          <w:lang w:val="en-GB"/>
        </w:rPr>
        <w:t>S</w:t>
      </w:r>
      <w:r w:rsidR="00054989" w:rsidRPr="00891780">
        <w:rPr>
          <w:rStyle w:val="Zadanifontodlomka1"/>
          <w:rFonts w:ascii="Calibri" w:eastAsia="Calibri" w:hAnsi="Calibri" w:cs="Calibri"/>
          <w:sz w:val="22"/>
          <w:szCs w:val="22"/>
          <w:lang w:val="en-GB"/>
        </w:rPr>
        <w:t xml:space="preserve">ignificant </w:t>
      </w:r>
      <w:r w:rsidR="00492E09">
        <w:rPr>
          <w:rStyle w:val="Zadanifontodlomka1"/>
          <w:rFonts w:ascii="Calibri" w:eastAsia="Calibri" w:hAnsi="Calibri" w:cs="Calibri"/>
          <w:sz w:val="22"/>
          <w:szCs w:val="22"/>
          <w:lang w:val="en-GB"/>
        </w:rPr>
        <w:t>H</w:t>
      </w:r>
      <w:r w:rsidR="00054989" w:rsidRPr="00891780">
        <w:rPr>
          <w:rStyle w:val="Zadanifontodlomka1"/>
          <w:rFonts w:ascii="Calibri" w:eastAsia="Calibri" w:hAnsi="Calibri" w:cs="Calibri"/>
          <w:sz w:val="22"/>
          <w:szCs w:val="22"/>
          <w:lang w:val="en-GB"/>
        </w:rPr>
        <w:t>arm</w:t>
      </w:r>
      <w:r w:rsidR="006574CB" w:rsidRPr="00891780">
        <w:rPr>
          <w:rStyle w:val="Zadanifontodlomka1"/>
          <w:rFonts w:ascii="Calibri" w:eastAsia="Calibri" w:hAnsi="Calibri" w:cs="Calibri"/>
          <w:sz w:val="22"/>
          <w:szCs w:val="22"/>
          <w:lang w:val="en-GB"/>
        </w:rPr>
        <w:t xml:space="preserve"> principle</w:t>
      </w:r>
      <w:r w:rsidR="00054989" w:rsidRPr="00891780">
        <w:rPr>
          <w:rStyle w:val="Zadanifontodlomka1"/>
          <w:rFonts w:ascii="Calibri" w:eastAsia="Calibri" w:hAnsi="Calibri" w:cs="Calibri"/>
          <w:sz w:val="22"/>
          <w:szCs w:val="22"/>
          <w:lang w:val="en-GB"/>
        </w:rPr>
        <w:t xml:space="preserve">. </w:t>
      </w:r>
      <w:bookmarkEnd w:id="40"/>
      <w:r w:rsidR="00C55C9B" w:rsidRPr="00891780">
        <w:rPr>
          <w:rFonts w:ascii="Calibri" w:hAnsi="Calibri" w:cs="Calibri"/>
          <w:sz w:val="22"/>
          <w:szCs w:val="22"/>
          <w:lang w:val="en-GB"/>
        </w:rPr>
        <w:t xml:space="preserve">This principle refers to the requirement that no investment financed should have significant negative impacts on climate, environment, natural ecosystem, </w:t>
      </w:r>
      <w:proofErr w:type="gramStart"/>
      <w:r w:rsidR="00C55C9B" w:rsidRPr="00891780">
        <w:rPr>
          <w:rFonts w:ascii="Calibri" w:hAnsi="Calibri" w:cs="Calibri"/>
          <w:sz w:val="22"/>
          <w:szCs w:val="22"/>
          <w:lang w:val="en-GB"/>
        </w:rPr>
        <w:t>water</w:t>
      </w:r>
      <w:proofErr w:type="gramEnd"/>
      <w:r w:rsidR="00C55C9B" w:rsidRPr="00891780">
        <w:rPr>
          <w:rFonts w:ascii="Calibri" w:hAnsi="Calibri" w:cs="Calibri"/>
          <w:sz w:val="22"/>
          <w:szCs w:val="22"/>
          <w:lang w:val="en-GB"/>
        </w:rPr>
        <w:t xml:space="preserve"> and other objectives</w:t>
      </w:r>
      <w:r w:rsidR="00C55C9B" w:rsidRPr="00891780">
        <w:rPr>
          <w:rStyle w:val="Zadanifontodlomka1"/>
          <w:rFonts w:ascii="Calibri" w:eastAsia="Calibri" w:hAnsi="Calibri" w:cs="Calibri"/>
          <w:sz w:val="22"/>
          <w:szCs w:val="22"/>
          <w:lang w:val="en-GB"/>
        </w:rPr>
        <w:t xml:space="preserve"> </w:t>
      </w:r>
      <w:r w:rsidR="00726FA7" w:rsidRPr="00891780">
        <w:rPr>
          <w:rStyle w:val="Zadanifontodlomka1"/>
          <w:rFonts w:ascii="Calibri" w:eastAsia="Calibri" w:hAnsi="Calibri" w:cs="Calibri"/>
          <w:sz w:val="22"/>
          <w:szCs w:val="22"/>
          <w:lang w:val="en-GB"/>
        </w:rPr>
        <w:t xml:space="preserve">defined by the </w:t>
      </w:r>
      <w:r w:rsidR="00054989" w:rsidRPr="00891780">
        <w:rPr>
          <w:rStyle w:val="Zadanifontodlomka1"/>
          <w:rFonts w:ascii="Calibri" w:eastAsia="Calibri" w:hAnsi="Calibri" w:cs="Calibri"/>
          <w:sz w:val="22"/>
          <w:szCs w:val="22"/>
          <w:lang w:val="en-GB"/>
        </w:rPr>
        <w:t xml:space="preserve">EU </w:t>
      </w:r>
      <w:r w:rsidR="00726FA7" w:rsidRPr="00891780">
        <w:rPr>
          <w:rStyle w:val="Zadanifontodlomka1"/>
          <w:rFonts w:ascii="Calibri" w:eastAsia="Calibri" w:hAnsi="Calibri" w:cs="Calibri"/>
          <w:sz w:val="22"/>
          <w:szCs w:val="22"/>
          <w:lang w:val="en-GB"/>
        </w:rPr>
        <w:t>Taxonomy</w:t>
      </w:r>
      <w:r w:rsidR="00D26704" w:rsidRPr="00891780">
        <w:rPr>
          <w:rStyle w:val="Zadanifontodlomka1"/>
          <w:rFonts w:ascii="Calibri" w:eastAsia="Calibri" w:hAnsi="Calibri" w:cs="Calibri"/>
          <w:sz w:val="22"/>
          <w:szCs w:val="22"/>
          <w:lang w:val="en-GB"/>
        </w:rPr>
        <w:t xml:space="preserve">, </w:t>
      </w:r>
      <w:r w:rsidR="00F92B14" w:rsidRPr="00891780">
        <w:rPr>
          <w:rStyle w:val="Zadanifontodlomka1"/>
          <w:rFonts w:ascii="Calibri" w:eastAsia="Calibri" w:hAnsi="Calibri" w:cs="Calibri"/>
          <w:sz w:val="22"/>
          <w:szCs w:val="22"/>
          <w:lang w:val="en-GB"/>
        </w:rPr>
        <w:t xml:space="preserve">and </w:t>
      </w:r>
      <w:r w:rsidR="00D26704" w:rsidRPr="00891780">
        <w:rPr>
          <w:rStyle w:val="Zadanifontodlomka1"/>
          <w:rFonts w:ascii="Calibri" w:eastAsia="Calibri" w:hAnsi="Calibri" w:cs="Calibri"/>
          <w:sz w:val="22"/>
          <w:szCs w:val="22"/>
          <w:lang w:val="en-GB"/>
        </w:rPr>
        <w:t>by which</w:t>
      </w:r>
      <w:r w:rsidR="00054989" w:rsidRPr="00891780">
        <w:rPr>
          <w:rStyle w:val="Zadanifontodlomka1"/>
          <w:rFonts w:ascii="Calibri" w:eastAsia="Calibri" w:hAnsi="Calibri" w:cs="Calibri"/>
          <w:sz w:val="22"/>
          <w:szCs w:val="22"/>
          <w:lang w:val="en-GB"/>
        </w:rPr>
        <w:t xml:space="preserve"> HBOR </w:t>
      </w:r>
      <w:r w:rsidR="00D26704" w:rsidRPr="00891780">
        <w:rPr>
          <w:rStyle w:val="Zadanifontodlomka1"/>
          <w:rFonts w:ascii="Calibri" w:eastAsia="Calibri" w:hAnsi="Calibri" w:cs="Calibri"/>
          <w:sz w:val="22"/>
          <w:szCs w:val="22"/>
          <w:lang w:val="en-GB"/>
        </w:rPr>
        <w:t>contributes directly to the development of climate and environmentally more sustainable</w:t>
      </w:r>
      <w:r w:rsidR="00054989" w:rsidRPr="00891780">
        <w:rPr>
          <w:rStyle w:val="Zadanifontodlomka1"/>
          <w:rFonts w:ascii="Calibri" w:eastAsia="SimSun" w:hAnsi="Calibri" w:cs="Calibri"/>
          <w:sz w:val="22"/>
          <w:szCs w:val="22"/>
          <w:lang w:val="en-GB"/>
        </w:rPr>
        <w:t xml:space="preserve"> </w:t>
      </w:r>
      <w:r w:rsidR="00D26704" w:rsidRPr="00891780">
        <w:rPr>
          <w:rStyle w:val="Zadanifontodlomka1"/>
          <w:rFonts w:ascii="Calibri" w:eastAsia="SimSun" w:hAnsi="Calibri" w:cs="Calibri"/>
          <w:sz w:val="22"/>
          <w:szCs w:val="22"/>
          <w:lang w:val="en-GB"/>
        </w:rPr>
        <w:t xml:space="preserve">economy of the Republic of Croatia. In this way, </w:t>
      </w:r>
      <w:bookmarkStart w:id="41" w:name="OLE_LINK2"/>
      <w:r w:rsidR="006E0AAB" w:rsidRPr="00891780">
        <w:rPr>
          <w:rStyle w:val="Zadanifontodlomka1"/>
          <w:rFonts w:ascii="Calibri" w:eastAsia="SimSun" w:hAnsi="Calibri" w:cs="Calibri"/>
          <w:sz w:val="22"/>
          <w:szCs w:val="22"/>
          <w:lang w:val="en-GB"/>
        </w:rPr>
        <w:t>the Croatian economy and society are encouraged to become more resi</w:t>
      </w:r>
      <w:r w:rsidR="00DE2924">
        <w:rPr>
          <w:rStyle w:val="Zadanifontodlomka1"/>
          <w:rFonts w:ascii="Calibri" w:eastAsia="SimSun" w:hAnsi="Calibri" w:cs="Calibri"/>
          <w:sz w:val="22"/>
          <w:szCs w:val="22"/>
          <w:lang w:val="en-GB"/>
        </w:rPr>
        <w:t xml:space="preserve">lient </w:t>
      </w:r>
      <w:r w:rsidR="006E0AAB" w:rsidRPr="00891780">
        <w:rPr>
          <w:rStyle w:val="Zadanifontodlomka1"/>
          <w:rFonts w:ascii="Calibri" w:eastAsia="SimSun" w:hAnsi="Calibri" w:cs="Calibri"/>
          <w:sz w:val="22"/>
          <w:szCs w:val="22"/>
          <w:lang w:val="en-GB"/>
        </w:rPr>
        <w:t>to future market disturbances, abut also</w:t>
      </w:r>
      <w:r w:rsidR="00942BF1" w:rsidRPr="00891780">
        <w:rPr>
          <w:rStyle w:val="Zadanifontodlomka1"/>
          <w:rFonts w:ascii="Calibri" w:eastAsia="SimSun" w:hAnsi="Calibri" w:cs="Calibri"/>
          <w:sz w:val="22"/>
          <w:szCs w:val="22"/>
          <w:lang w:val="en-GB"/>
        </w:rPr>
        <w:t xml:space="preserve"> more sustainable in terms of climate and environment</w:t>
      </w:r>
      <w:r w:rsidR="00054989" w:rsidRPr="00891780">
        <w:rPr>
          <w:rStyle w:val="Zadanifontodlomka1"/>
          <w:rFonts w:ascii="Calibri" w:hAnsi="Calibri" w:cs="Calibri"/>
          <w:sz w:val="22"/>
          <w:szCs w:val="22"/>
          <w:lang w:val="en-GB" w:eastAsia="hr-HR"/>
        </w:rPr>
        <w:t>.</w:t>
      </w:r>
    </w:p>
    <w:bookmarkEnd w:id="41"/>
    <w:p w14:paraId="33A7BA25" w14:textId="77777777" w:rsidR="008E4AC3" w:rsidRPr="00891780" w:rsidRDefault="008E4AC3" w:rsidP="000B677E">
      <w:pPr>
        <w:rPr>
          <w:rStyle w:val="Zadanifontodlomka1"/>
          <w:rFonts w:ascii="Calibri" w:hAnsi="Calibri" w:cs="Calibri"/>
          <w:sz w:val="22"/>
          <w:szCs w:val="22"/>
          <w:lang w:val="en-GB" w:eastAsia="hr-HR"/>
        </w:rPr>
      </w:pPr>
      <w:r w:rsidRPr="00891780">
        <w:rPr>
          <w:rStyle w:val="Zadanifontodlomka1"/>
          <w:rFonts w:ascii="Calibri" w:hAnsi="Calibri" w:cs="Calibri"/>
          <w:sz w:val="22"/>
          <w:szCs w:val="22"/>
          <w:lang w:val="en-GB" w:eastAsia="hr-HR"/>
        </w:rPr>
        <w:br w:type="page"/>
      </w:r>
    </w:p>
    <w:p w14:paraId="64316922" w14:textId="47733BCC" w:rsidR="008E4AC3" w:rsidRPr="00891780" w:rsidRDefault="00014685" w:rsidP="000B677E">
      <w:pPr>
        <w:keepNext/>
        <w:keepLines/>
        <w:pBdr>
          <w:bottom w:val="single" w:sz="4" w:space="2" w:color="B2B2B2"/>
        </w:pBdr>
        <w:spacing w:before="360" w:after="120"/>
        <w:outlineLvl w:val="0"/>
        <w:rPr>
          <w:rFonts w:ascii="Calibri" w:eastAsia="SimHei" w:hAnsi="Calibri" w:cs="Calibri"/>
          <w:b/>
          <w:bCs/>
          <w:sz w:val="22"/>
          <w:szCs w:val="22"/>
          <w:lang w:val="en-GB"/>
        </w:rPr>
      </w:pPr>
      <w:bookmarkStart w:id="42" w:name="_Toc129176341"/>
      <w:r w:rsidRPr="00891780">
        <w:rPr>
          <w:rFonts w:ascii="Calibri" w:eastAsia="SimHei" w:hAnsi="Calibri" w:cs="Calibri"/>
          <w:b/>
          <w:bCs/>
          <w:sz w:val="22"/>
          <w:szCs w:val="22"/>
          <w:lang w:val="en-GB"/>
        </w:rPr>
        <w:lastRenderedPageBreak/>
        <w:t>IMPLEMENTATION OF</w:t>
      </w:r>
      <w:r w:rsidR="008E4AC3" w:rsidRPr="00891780">
        <w:rPr>
          <w:rFonts w:ascii="Calibri" w:eastAsia="SimHei" w:hAnsi="Calibri" w:cs="Calibri"/>
          <w:b/>
          <w:bCs/>
          <w:sz w:val="22"/>
          <w:szCs w:val="22"/>
          <w:lang w:val="en-GB"/>
        </w:rPr>
        <w:t xml:space="preserve"> COVID-19</w:t>
      </w:r>
      <w:r w:rsidRPr="00891780">
        <w:rPr>
          <w:rFonts w:ascii="Calibri" w:eastAsia="SimHei" w:hAnsi="Calibri" w:cs="Calibri"/>
          <w:b/>
          <w:bCs/>
          <w:sz w:val="22"/>
          <w:szCs w:val="22"/>
          <w:lang w:val="en-GB"/>
        </w:rPr>
        <w:t xml:space="preserve"> MEASURES</w:t>
      </w:r>
      <w:bookmarkEnd w:id="42"/>
    </w:p>
    <w:p w14:paraId="569B3C6E" w14:textId="58171250" w:rsidR="008E4AC3" w:rsidRPr="00891780" w:rsidRDefault="00014685" w:rsidP="000B677E">
      <w:pPr>
        <w:spacing w:before="120" w:after="120" w:line="276" w:lineRule="auto"/>
        <w:jc w:val="both"/>
        <w:rPr>
          <w:rFonts w:ascii="Calibri" w:eastAsia="SimSun" w:hAnsi="Calibri" w:cs="Calibri"/>
          <w:b/>
          <w:bCs/>
          <w:sz w:val="22"/>
          <w:szCs w:val="22"/>
          <w:lang w:val="en-GB"/>
        </w:rPr>
      </w:pPr>
      <w:r w:rsidRPr="00891780">
        <w:rPr>
          <w:rFonts w:ascii="Calibri" w:eastAsia="SimSun" w:hAnsi="Calibri" w:cs="Calibri"/>
          <w:b/>
          <w:bCs/>
          <w:sz w:val="22"/>
          <w:szCs w:val="22"/>
          <w:lang w:val="en-GB"/>
        </w:rPr>
        <w:t>WORKING CAPITAL</w:t>
      </w:r>
      <w:r w:rsidR="008E4AC3" w:rsidRPr="00891780">
        <w:rPr>
          <w:rFonts w:ascii="Calibri" w:eastAsia="SimSun" w:hAnsi="Calibri" w:cs="Calibri"/>
          <w:b/>
          <w:bCs/>
          <w:sz w:val="22"/>
          <w:szCs w:val="22"/>
          <w:lang w:val="en-GB"/>
        </w:rPr>
        <w:t xml:space="preserve"> COVID</w:t>
      </w:r>
      <w:r w:rsidR="002B63FF">
        <w:rPr>
          <w:rFonts w:ascii="Calibri" w:eastAsia="SimSun" w:hAnsi="Calibri" w:cs="Calibri"/>
          <w:b/>
          <w:bCs/>
          <w:sz w:val="22"/>
          <w:szCs w:val="22"/>
          <w:lang w:val="en-GB"/>
        </w:rPr>
        <w:t>-</w:t>
      </w:r>
      <w:r w:rsidR="008E4AC3" w:rsidRPr="00891780">
        <w:rPr>
          <w:rFonts w:ascii="Calibri" w:eastAsia="SimSun" w:hAnsi="Calibri" w:cs="Calibri"/>
          <w:b/>
          <w:bCs/>
          <w:sz w:val="22"/>
          <w:szCs w:val="22"/>
          <w:lang w:val="en-GB"/>
        </w:rPr>
        <w:t>19</w:t>
      </w:r>
      <w:r w:rsidRPr="00891780">
        <w:rPr>
          <w:rFonts w:ascii="Calibri" w:eastAsia="SimSun" w:hAnsi="Calibri" w:cs="Calibri"/>
          <w:b/>
          <w:bCs/>
          <w:sz w:val="22"/>
          <w:szCs w:val="22"/>
          <w:lang w:val="en-GB"/>
        </w:rPr>
        <w:t xml:space="preserve"> MEASURE</w:t>
      </w:r>
    </w:p>
    <w:p w14:paraId="1C6A2433" w14:textId="10FE844F" w:rsidR="008E4AC3" w:rsidRPr="00891780" w:rsidRDefault="00B46E26"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The measure included</w:t>
      </w:r>
      <w:r w:rsidR="008E4AC3" w:rsidRPr="00891780">
        <w:rPr>
          <w:rFonts w:ascii="Calibri" w:eastAsia="SimSun" w:hAnsi="Calibri" w:cs="Calibri"/>
          <w:sz w:val="22"/>
          <w:szCs w:val="22"/>
          <w:lang w:val="en-GB"/>
        </w:rPr>
        <w:t xml:space="preserve"> </w:t>
      </w:r>
      <w:r w:rsidRPr="00891780">
        <w:rPr>
          <w:rFonts w:ascii="Calibri" w:eastAsia="SimSun" w:hAnsi="Calibri" w:cs="Calibri"/>
          <w:sz w:val="22"/>
          <w:szCs w:val="22"/>
          <w:lang w:val="en-GB"/>
        </w:rPr>
        <w:t>lending under</w:t>
      </w:r>
      <w:r w:rsidR="008E4AC3" w:rsidRPr="00891780">
        <w:rPr>
          <w:rFonts w:ascii="Calibri" w:eastAsia="SimSun" w:hAnsi="Calibri" w:cs="Calibri"/>
          <w:sz w:val="22"/>
          <w:szCs w:val="22"/>
          <w:lang w:val="en-GB"/>
        </w:rPr>
        <w:t xml:space="preserve"> </w:t>
      </w:r>
      <w:r w:rsidR="001153A2" w:rsidRPr="00891780">
        <w:rPr>
          <w:rFonts w:ascii="Calibri" w:hAnsi="Calibri" w:cs="Calibri"/>
          <w:sz w:val="22"/>
          <w:szCs w:val="22"/>
          <w:lang w:val="en-GB" w:eastAsia="x-none"/>
        </w:rPr>
        <w:t>the risk-sharing model with commercial banks or directly for loan amounts</w:t>
      </w:r>
      <w:r w:rsidR="00B6724A" w:rsidRPr="00891780">
        <w:rPr>
          <w:rFonts w:ascii="Calibri" w:hAnsi="Calibri" w:cs="Calibri"/>
          <w:sz w:val="22"/>
          <w:szCs w:val="22"/>
          <w:lang w:val="en-GB" w:eastAsia="x-none"/>
        </w:rPr>
        <w:t xml:space="preserve"> </w:t>
      </w:r>
      <w:r w:rsidR="00B6724A" w:rsidRPr="00891780">
        <w:rPr>
          <w:rFonts w:ascii="Calibri" w:eastAsia="SimSun" w:hAnsi="Calibri" w:cs="Calibri"/>
          <w:sz w:val="22"/>
          <w:szCs w:val="22"/>
          <w:lang w:val="en-GB"/>
        </w:rPr>
        <w:t>above HRK 1.5 million to exporters or the tourism</w:t>
      </w:r>
      <w:r w:rsidR="00635F00" w:rsidRPr="00891780">
        <w:rPr>
          <w:rFonts w:ascii="Calibri" w:eastAsia="SimSun" w:hAnsi="Calibri" w:cs="Calibri"/>
          <w:sz w:val="22"/>
          <w:szCs w:val="22"/>
          <w:lang w:val="en-GB"/>
        </w:rPr>
        <w:t xml:space="preserve"> sector</w:t>
      </w:r>
      <w:r w:rsidR="00B6724A" w:rsidRPr="00891780">
        <w:rPr>
          <w:rFonts w:ascii="Calibri" w:eastAsia="SimSun" w:hAnsi="Calibri" w:cs="Calibri"/>
          <w:sz w:val="22"/>
          <w:szCs w:val="22"/>
          <w:lang w:val="en-GB"/>
        </w:rPr>
        <w:t xml:space="preserve">, </w:t>
      </w:r>
      <w:proofErr w:type="gramStart"/>
      <w:r w:rsidR="00635F00" w:rsidRPr="00891780">
        <w:rPr>
          <w:rFonts w:ascii="Calibri" w:eastAsia="SimSun" w:hAnsi="Calibri" w:cs="Calibri"/>
          <w:sz w:val="22"/>
          <w:szCs w:val="22"/>
          <w:lang w:val="en-GB"/>
        </w:rPr>
        <w:t>i.e.</w:t>
      </w:r>
      <w:proofErr w:type="gramEnd"/>
      <w:r w:rsidR="00635F00" w:rsidRPr="00891780">
        <w:rPr>
          <w:rFonts w:ascii="Calibri" w:eastAsia="SimSun" w:hAnsi="Calibri" w:cs="Calibri"/>
          <w:sz w:val="22"/>
          <w:szCs w:val="22"/>
          <w:lang w:val="en-GB"/>
        </w:rPr>
        <w:t xml:space="preserve"> above HRK</w:t>
      </w:r>
      <w:r w:rsidR="00B6724A" w:rsidRPr="00891780">
        <w:rPr>
          <w:rFonts w:ascii="Calibri" w:eastAsia="SimSun" w:hAnsi="Calibri" w:cs="Calibri"/>
          <w:sz w:val="22"/>
          <w:szCs w:val="22"/>
          <w:lang w:val="en-GB"/>
        </w:rPr>
        <w:t xml:space="preserve"> 37 mil</w:t>
      </w:r>
      <w:r w:rsidR="00635F00" w:rsidRPr="00891780">
        <w:rPr>
          <w:rFonts w:ascii="Calibri" w:eastAsia="SimSun" w:hAnsi="Calibri" w:cs="Calibri"/>
          <w:sz w:val="22"/>
          <w:szCs w:val="22"/>
          <w:lang w:val="en-GB"/>
        </w:rPr>
        <w:t>lion to other entities</w:t>
      </w:r>
      <w:r w:rsidR="008E4AC3" w:rsidRPr="00891780">
        <w:rPr>
          <w:rFonts w:ascii="Calibri" w:eastAsia="SimSun" w:hAnsi="Calibri" w:cs="Calibri"/>
          <w:sz w:val="22"/>
          <w:szCs w:val="22"/>
          <w:lang w:val="en-GB"/>
        </w:rPr>
        <w:t xml:space="preserve">. </w:t>
      </w:r>
      <w:r w:rsidR="001153A2" w:rsidRPr="00891780">
        <w:rPr>
          <w:rFonts w:ascii="Calibri" w:eastAsia="SimSun" w:hAnsi="Calibri" w:cs="Calibri"/>
          <w:sz w:val="22"/>
          <w:szCs w:val="22"/>
          <w:lang w:val="en-GB"/>
        </w:rPr>
        <w:t>Loans were approved</w:t>
      </w:r>
      <w:r w:rsidR="008E4AC3" w:rsidRPr="00891780">
        <w:rPr>
          <w:rFonts w:ascii="Calibri" w:eastAsia="SimSun" w:hAnsi="Calibri" w:cs="Calibri"/>
          <w:sz w:val="22"/>
          <w:szCs w:val="22"/>
          <w:lang w:val="en-GB"/>
        </w:rPr>
        <w:t xml:space="preserve"> </w:t>
      </w:r>
      <w:r w:rsidR="00002F76" w:rsidRPr="00891780">
        <w:rPr>
          <w:rFonts w:ascii="Calibri" w:hAnsi="Calibri" w:cs="Calibri"/>
          <w:sz w:val="22"/>
          <w:szCs w:val="22"/>
          <w:lang w:val="en-GB" w:eastAsia="x-none"/>
        </w:rPr>
        <w:t xml:space="preserve">with a repayment period of up to 5 years, including the possibility of a grace period of up to 1 year, at an interest rate from 0 percent on HBOR's share in the loan </w:t>
      </w:r>
      <w:r w:rsidR="00002F76" w:rsidRPr="00891780">
        <w:rPr>
          <w:rFonts w:ascii="Calibri" w:hAnsi="Calibri" w:cs="Calibri"/>
          <w:sz w:val="22"/>
          <w:szCs w:val="22"/>
          <w:lang w:val="en-GB"/>
        </w:rPr>
        <w:t>for the first three years of loan repayment</w:t>
      </w:r>
      <w:r w:rsidR="008E4AC3" w:rsidRPr="00891780">
        <w:rPr>
          <w:rFonts w:ascii="Calibri" w:eastAsia="SimSun" w:hAnsi="Calibri" w:cs="Calibri"/>
          <w:sz w:val="22"/>
          <w:szCs w:val="22"/>
          <w:lang w:val="en-GB"/>
        </w:rPr>
        <w:t xml:space="preserve">. </w:t>
      </w:r>
      <w:r w:rsidR="00183986" w:rsidRPr="00891780">
        <w:rPr>
          <w:rFonts w:ascii="Calibri" w:eastAsia="SimSun" w:hAnsi="Calibri" w:cs="Calibri"/>
          <w:sz w:val="22"/>
          <w:szCs w:val="22"/>
          <w:lang w:val="en-GB"/>
        </w:rPr>
        <w:t>During</w:t>
      </w:r>
      <w:r w:rsidR="008E4AC3" w:rsidRPr="00891780">
        <w:rPr>
          <w:rFonts w:ascii="Calibri" w:eastAsia="SimSun" w:hAnsi="Calibri" w:cs="Calibri"/>
          <w:sz w:val="22"/>
          <w:szCs w:val="22"/>
          <w:lang w:val="en-GB"/>
        </w:rPr>
        <w:t xml:space="preserve"> 2022</w:t>
      </w:r>
      <w:r w:rsidR="00183986" w:rsidRPr="00891780">
        <w:rPr>
          <w:rFonts w:ascii="Calibri" w:eastAsia="SimSun" w:hAnsi="Calibri" w:cs="Calibri"/>
          <w:sz w:val="22"/>
          <w:szCs w:val="22"/>
          <w:lang w:val="en-GB"/>
        </w:rPr>
        <w:t>,</w:t>
      </w:r>
      <w:r w:rsidR="008E4AC3" w:rsidRPr="00891780">
        <w:rPr>
          <w:rFonts w:ascii="Calibri" w:eastAsia="SimSun" w:hAnsi="Calibri" w:cs="Calibri"/>
          <w:sz w:val="22"/>
          <w:szCs w:val="22"/>
          <w:lang w:val="en-GB"/>
        </w:rPr>
        <w:t xml:space="preserve"> </w:t>
      </w:r>
      <w:r w:rsidR="00D92BD6" w:rsidRPr="00891780">
        <w:rPr>
          <w:rFonts w:ascii="Calibri" w:hAnsi="Calibri" w:cs="Calibri"/>
          <w:sz w:val="22"/>
          <w:szCs w:val="22"/>
          <w:lang w:val="en-GB"/>
        </w:rPr>
        <w:t>the programme was implemented through 15 banks, and directly for loan amounts of more than HRK 1.5 million for entrepreneurs in tourism activities and those generating at least 10% of income from exports or indirect exports, and for loan amounts exceeding HRK 37 million for other entrepreneurs</w:t>
      </w:r>
      <w:r w:rsidR="008E4AC3" w:rsidRPr="00891780">
        <w:rPr>
          <w:rFonts w:ascii="Calibri" w:eastAsia="SimSun" w:hAnsi="Calibri" w:cs="Calibri"/>
          <w:sz w:val="22"/>
          <w:szCs w:val="22"/>
          <w:lang w:val="en-GB"/>
        </w:rPr>
        <w:t xml:space="preserve">. </w:t>
      </w:r>
      <w:r w:rsidRPr="00891780">
        <w:rPr>
          <w:rFonts w:ascii="Calibri" w:eastAsia="SimSun" w:hAnsi="Calibri" w:cs="Calibri"/>
          <w:sz w:val="22"/>
          <w:szCs w:val="22"/>
          <w:lang w:val="en-GB"/>
        </w:rPr>
        <w:t>The measure was implemented until</w:t>
      </w:r>
      <w:r w:rsidR="008E4AC3" w:rsidRPr="00891780">
        <w:rPr>
          <w:rFonts w:ascii="Calibri" w:eastAsia="SimSun" w:hAnsi="Calibri" w:cs="Calibri"/>
          <w:sz w:val="22"/>
          <w:szCs w:val="22"/>
          <w:lang w:val="en-GB"/>
        </w:rPr>
        <w:t xml:space="preserve"> 30</w:t>
      </w:r>
      <w:r w:rsidRPr="00891780">
        <w:rPr>
          <w:rFonts w:ascii="Calibri" w:eastAsia="SimSun" w:hAnsi="Calibri" w:cs="Calibri"/>
          <w:sz w:val="22"/>
          <w:szCs w:val="22"/>
          <w:lang w:val="en-GB"/>
        </w:rPr>
        <w:t xml:space="preserve"> June</w:t>
      </w:r>
      <w:r w:rsidR="008E4AC3" w:rsidRPr="00891780">
        <w:rPr>
          <w:rFonts w:ascii="Calibri" w:eastAsia="SimSun" w:hAnsi="Calibri" w:cs="Calibri"/>
          <w:sz w:val="22"/>
          <w:szCs w:val="22"/>
          <w:lang w:val="en-GB"/>
        </w:rPr>
        <w:t xml:space="preserve"> 2022.</w:t>
      </w:r>
    </w:p>
    <w:p w14:paraId="2EFB8302" w14:textId="77777777" w:rsidR="008E4AC3" w:rsidRPr="002E1A01" w:rsidRDefault="008E4AC3" w:rsidP="000B677E">
      <w:pPr>
        <w:spacing w:after="160" w:line="276" w:lineRule="auto"/>
        <w:contextualSpacing/>
        <w:jc w:val="both"/>
        <w:rPr>
          <w:rFonts w:ascii="Calibri" w:eastAsia="SimSun" w:hAnsi="Calibri" w:cs="Calibri"/>
          <w:sz w:val="16"/>
          <w:szCs w:val="16"/>
          <w:lang w:val="en-GB"/>
        </w:rPr>
      </w:pPr>
    </w:p>
    <w:p w14:paraId="01DDAC56" w14:textId="66D364A7" w:rsidR="008E4AC3" w:rsidRPr="00891780" w:rsidRDefault="00CE070C" w:rsidP="000B677E">
      <w:pPr>
        <w:spacing w:before="120" w:after="120" w:line="276" w:lineRule="auto"/>
        <w:jc w:val="both"/>
        <w:rPr>
          <w:rFonts w:ascii="Calibri" w:eastAsia="SimSun" w:hAnsi="Calibri" w:cs="Calibri"/>
          <w:b/>
          <w:bCs/>
          <w:sz w:val="22"/>
          <w:szCs w:val="22"/>
          <w:lang w:val="en-GB"/>
        </w:rPr>
      </w:pPr>
      <w:r w:rsidRPr="00891780">
        <w:rPr>
          <w:rFonts w:ascii="Calibri" w:eastAsia="SimSun" w:hAnsi="Calibri" w:cs="Calibri"/>
          <w:b/>
          <w:bCs/>
          <w:sz w:val="22"/>
          <w:szCs w:val="22"/>
          <w:lang w:val="en-GB"/>
        </w:rPr>
        <w:t>WORKING CAPITAL FOR RURAL DEVELOPMENT</w:t>
      </w:r>
    </w:p>
    <w:p w14:paraId="30291318" w14:textId="61374312" w:rsidR="008E4AC3" w:rsidRPr="00891780" w:rsidRDefault="00355EF1" w:rsidP="000B677E">
      <w:pPr>
        <w:spacing w:before="120" w:line="276" w:lineRule="auto"/>
        <w:jc w:val="both"/>
        <w:rPr>
          <w:rFonts w:asciiTheme="minorHAnsi" w:eastAsia="SimSun" w:hAnsiTheme="minorHAnsi" w:cstheme="minorHAnsi"/>
          <w:sz w:val="22"/>
          <w:szCs w:val="22"/>
          <w:lang w:val="en-GB"/>
        </w:rPr>
      </w:pPr>
      <w:r w:rsidRPr="00891780">
        <w:rPr>
          <w:rFonts w:asciiTheme="minorHAnsi" w:eastAsia="SimSun" w:hAnsiTheme="minorHAnsi" w:cstheme="minorHAnsi"/>
          <w:sz w:val="22"/>
          <w:szCs w:val="22"/>
          <w:lang w:val="en-GB"/>
        </w:rPr>
        <w:t>Loans under this programme are approved by HBOR</w:t>
      </w:r>
      <w:r w:rsidR="008E4AC3" w:rsidRPr="00891780">
        <w:rPr>
          <w:rFonts w:asciiTheme="minorHAnsi" w:eastAsia="SimSun" w:hAnsiTheme="minorHAnsi" w:cstheme="minorHAnsi"/>
          <w:sz w:val="22"/>
          <w:szCs w:val="22"/>
          <w:lang w:val="en-GB"/>
        </w:rPr>
        <w:t xml:space="preserve"> </w:t>
      </w:r>
      <w:r w:rsidR="005F5B6E" w:rsidRPr="00891780">
        <w:rPr>
          <w:rFonts w:asciiTheme="minorHAnsi" w:hAnsiTheme="minorHAnsi" w:cstheme="minorHAnsi"/>
          <w:sz w:val="22"/>
          <w:szCs w:val="22"/>
          <w:lang w:val="en-GB"/>
        </w:rPr>
        <w:t xml:space="preserve">directly to eligible beneficiaries:  farmers and entities doing business in the agricultural products processing industry </w:t>
      </w:r>
      <w:r w:rsidR="00B9079C">
        <w:rPr>
          <w:rFonts w:asciiTheme="minorHAnsi" w:hAnsiTheme="minorHAnsi" w:cstheme="minorHAnsi"/>
          <w:sz w:val="22"/>
          <w:szCs w:val="22"/>
          <w:lang w:val="en-GB"/>
        </w:rPr>
        <w:t>or</w:t>
      </w:r>
      <w:r w:rsidR="005F5B6E" w:rsidRPr="00891780">
        <w:rPr>
          <w:rFonts w:asciiTheme="minorHAnsi" w:hAnsiTheme="minorHAnsi" w:cstheme="minorHAnsi"/>
          <w:sz w:val="22"/>
          <w:szCs w:val="22"/>
          <w:lang w:val="en-GB"/>
        </w:rPr>
        <w:t xml:space="preserve"> entities doing business in the forestry sector. Funds are approved without usual banking fees charged, at an interest rate of 0.5 percent, with only bills of exchange and debentures as collateral and the repayment period of up to 5 years. The programme was introduced by the reallocation of part of funds of the Investment Loans for Rural Development financial instrument and is fully financed from the Programme contribution of the Rural Development Programme of the Republic of Croatia for the period 2014-2020. The measure is available to beneficiaries until the end of the eligibility period, </w:t>
      </w:r>
      <w:proofErr w:type="gramStart"/>
      <w:r w:rsidR="005F5B6E" w:rsidRPr="00891780">
        <w:rPr>
          <w:rFonts w:asciiTheme="minorHAnsi" w:hAnsiTheme="minorHAnsi" w:cstheme="minorHAnsi"/>
          <w:sz w:val="22"/>
          <w:szCs w:val="22"/>
          <w:lang w:val="en-GB"/>
        </w:rPr>
        <w:t>i.e.</w:t>
      </w:r>
      <w:proofErr w:type="gramEnd"/>
      <w:r w:rsidR="005F5B6E" w:rsidRPr="00891780">
        <w:rPr>
          <w:rFonts w:asciiTheme="minorHAnsi" w:hAnsiTheme="minorHAnsi" w:cstheme="minorHAnsi"/>
          <w:sz w:val="22"/>
          <w:szCs w:val="22"/>
          <w:lang w:val="en-GB"/>
        </w:rPr>
        <w:t xml:space="preserve"> as long as there is a need due to the </w:t>
      </w:r>
      <w:r w:rsidR="00C7191B">
        <w:rPr>
          <w:rFonts w:asciiTheme="minorHAnsi" w:hAnsiTheme="minorHAnsi" w:cstheme="minorHAnsi"/>
          <w:sz w:val="22"/>
          <w:szCs w:val="22"/>
          <w:lang w:val="en-GB"/>
        </w:rPr>
        <w:t xml:space="preserve">negative impacts of the </w:t>
      </w:r>
      <w:r w:rsidR="005F5B6E" w:rsidRPr="00891780">
        <w:rPr>
          <w:rFonts w:asciiTheme="minorHAnsi" w:hAnsiTheme="minorHAnsi" w:cstheme="minorHAnsi"/>
          <w:sz w:val="22"/>
          <w:szCs w:val="22"/>
          <w:lang w:val="en-GB"/>
        </w:rPr>
        <w:t>COVID-19 pandemic, and no later than 31 December 2023</w:t>
      </w:r>
      <w:r w:rsidR="008E4AC3" w:rsidRPr="00891780">
        <w:rPr>
          <w:rFonts w:asciiTheme="minorHAnsi" w:eastAsia="SimSun" w:hAnsiTheme="minorHAnsi" w:cstheme="minorHAnsi"/>
          <w:sz w:val="22"/>
          <w:szCs w:val="22"/>
          <w:lang w:val="en-GB"/>
        </w:rPr>
        <w:t>.</w:t>
      </w:r>
    </w:p>
    <w:p w14:paraId="70774693" w14:textId="77777777" w:rsidR="00872A90" w:rsidRPr="002E1A01" w:rsidRDefault="00872A90" w:rsidP="000B677E">
      <w:pPr>
        <w:spacing w:after="120" w:line="276" w:lineRule="auto"/>
        <w:jc w:val="both"/>
        <w:rPr>
          <w:rFonts w:ascii="Calibri" w:eastAsia="SimSun" w:hAnsi="Calibri" w:cs="Calibri"/>
          <w:sz w:val="16"/>
          <w:szCs w:val="16"/>
          <w:lang w:val="en-GB"/>
        </w:rPr>
      </w:pPr>
    </w:p>
    <w:p w14:paraId="2F8E3FCD" w14:textId="5787C391" w:rsidR="008E4AC3" w:rsidRPr="00891780" w:rsidRDefault="008E4AC3" w:rsidP="000B677E">
      <w:pPr>
        <w:spacing w:before="120" w:after="120" w:line="276" w:lineRule="auto"/>
        <w:jc w:val="both"/>
        <w:rPr>
          <w:rFonts w:asciiTheme="minorHAnsi" w:eastAsia="SimSun" w:hAnsiTheme="minorHAnsi" w:cstheme="minorHAnsi"/>
          <w:b/>
          <w:bCs/>
          <w:sz w:val="22"/>
          <w:szCs w:val="22"/>
          <w:lang w:val="en-GB"/>
        </w:rPr>
      </w:pPr>
      <w:r w:rsidRPr="00891780">
        <w:rPr>
          <w:rFonts w:asciiTheme="minorHAnsi" w:eastAsia="SimSun" w:hAnsiTheme="minorHAnsi" w:cstheme="minorHAnsi"/>
          <w:b/>
          <w:bCs/>
          <w:sz w:val="22"/>
          <w:szCs w:val="22"/>
          <w:lang w:val="en-GB"/>
        </w:rPr>
        <w:t>Re</w:t>
      </w:r>
      <w:r w:rsidR="005F5B6E" w:rsidRPr="00891780">
        <w:rPr>
          <w:rFonts w:asciiTheme="minorHAnsi" w:eastAsia="SimSun" w:hAnsiTheme="minorHAnsi" w:cstheme="minorHAnsi"/>
          <w:b/>
          <w:bCs/>
          <w:sz w:val="22"/>
          <w:szCs w:val="22"/>
          <w:lang w:val="en-GB"/>
        </w:rPr>
        <w:t>sults</w:t>
      </w:r>
      <w:r w:rsidRPr="00891780">
        <w:rPr>
          <w:rFonts w:asciiTheme="minorHAnsi" w:eastAsia="SimSun" w:hAnsiTheme="minorHAnsi" w:cstheme="minorHAnsi"/>
          <w:b/>
          <w:bCs/>
          <w:sz w:val="22"/>
          <w:szCs w:val="22"/>
          <w:lang w:val="en-GB"/>
        </w:rPr>
        <w:t xml:space="preserve"> – </w:t>
      </w:r>
      <w:r w:rsidR="005F5B6E" w:rsidRPr="00891780">
        <w:rPr>
          <w:rFonts w:asciiTheme="minorHAnsi" w:eastAsia="SimSun" w:hAnsiTheme="minorHAnsi" w:cstheme="minorHAnsi"/>
          <w:b/>
          <w:bCs/>
          <w:sz w:val="22"/>
          <w:szCs w:val="22"/>
          <w:lang w:val="en-GB"/>
        </w:rPr>
        <w:t>approved loans</w:t>
      </w:r>
      <w:r w:rsidRPr="00891780">
        <w:rPr>
          <w:rFonts w:asciiTheme="minorHAnsi" w:eastAsia="SimSun" w:hAnsiTheme="minorHAnsi" w:cstheme="minorHAnsi"/>
          <w:b/>
          <w:bCs/>
          <w:sz w:val="22"/>
          <w:szCs w:val="22"/>
          <w:lang w:val="en-GB"/>
        </w:rPr>
        <w:t>:</w:t>
      </w:r>
    </w:p>
    <w:p w14:paraId="7F326280" w14:textId="25494A35" w:rsidR="008E4AC3" w:rsidRPr="00891780" w:rsidRDefault="00B07AF3"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eastAsia="SimSun" w:hAnsiTheme="minorHAnsi" w:cstheme="minorHAnsi"/>
          <w:sz w:val="22"/>
          <w:szCs w:val="22"/>
          <w:lang w:val="en-GB"/>
        </w:rPr>
        <w:t>In 2022, within the framework of</w:t>
      </w:r>
      <w:r w:rsidR="008E4AC3" w:rsidRPr="00891780">
        <w:rPr>
          <w:rFonts w:asciiTheme="minorHAnsi" w:eastAsia="SimSun" w:hAnsiTheme="minorHAnsi" w:cstheme="minorHAnsi"/>
          <w:sz w:val="22"/>
          <w:szCs w:val="22"/>
          <w:lang w:val="en-GB"/>
        </w:rPr>
        <w:t xml:space="preserve"> COVID-19 </w:t>
      </w:r>
      <w:r w:rsidRPr="00891780">
        <w:rPr>
          <w:rFonts w:asciiTheme="minorHAnsi" w:eastAsia="SimSun" w:hAnsiTheme="minorHAnsi" w:cstheme="minorHAnsi"/>
          <w:sz w:val="22"/>
          <w:szCs w:val="22"/>
          <w:lang w:val="en-GB"/>
        </w:rPr>
        <w:t>measures, HBOR</w:t>
      </w:r>
      <w:r w:rsidR="000D2EB0" w:rsidRPr="00891780">
        <w:rPr>
          <w:rFonts w:asciiTheme="minorHAnsi" w:eastAsia="SimSun" w:hAnsiTheme="minorHAnsi" w:cstheme="minorHAnsi"/>
          <w:sz w:val="22"/>
          <w:szCs w:val="22"/>
          <w:lang w:val="en-GB"/>
        </w:rPr>
        <w:t xml:space="preserve"> </w:t>
      </w:r>
      <w:proofErr w:type="gramStart"/>
      <w:r w:rsidR="000D2EB0" w:rsidRPr="00891780">
        <w:rPr>
          <w:rFonts w:asciiTheme="minorHAnsi" w:eastAsia="SimSun" w:hAnsiTheme="minorHAnsi" w:cstheme="minorHAnsi"/>
          <w:sz w:val="22"/>
          <w:szCs w:val="22"/>
          <w:lang w:val="en-GB"/>
        </w:rPr>
        <w:t>approved directly</w:t>
      </w:r>
      <w:proofErr w:type="gramEnd"/>
      <w:r w:rsidR="000D2EB0" w:rsidRPr="00891780">
        <w:rPr>
          <w:rFonts w:asciiTheme="minorHAnsi" w:eastAsia="SimSun" w:hAnsiTheme="minorHAnsi" w:cstheme="minorHAnsi"/>
          <w:sz w:val="22"/>
          <w:szCs w:val="22"/>
          <w:lang w:val="en-GB"/>
        </w:rPr>
        <w:t xml:space="preserve"> </w:t>
      </w:r>
      <w:r w:rsidR="008E4AC3" w:rsidRPr="00891780">
        <w:rPr>
          <w:rFonts w:asciiTheme="minorHAnsi" w:eastAsia="SimSun" w:hAnsiTheme="minorHAnsi" w:cstheme="minorHAnsi"/>
          <w:sz w:val="22"/>
          <w:szCs w:val="22"/>
          <w:lang w:val="en-GB"/>
        </w:rPr>
        <w:t xml:space="preserve">152 </w:t>
      </w:r>
      <w:r w:rsidR="000D2EB0" w:rsidRPr="00891780">
        <w:rPr>
          <w:rFonts w:asciiTheme="minorHAnsi" w:eastAsia="SimSun" w:hAnsiTheme="minorHAnsi" w:cstheme="minorHAnsi"/>
          <w:sz w:val="22"/>
          <w:szCs w:val="22"/>
          <w:lang w:val="en-GB"/>
        </w:rPr>
        <w:t>loans in the total amount of almost HRK</w:t>
      </w:r>
      <w:r w:rsidR="008E4AC3" w:rsidRPr="00891780">
        <w:rPr>
          <w:rFonts w:asciiTheme="minorHAnsi" w:eastAsia="SimSun" w:hAnsiTheme="minorHAnsi" w:cstheme="minorHAnsi"/>
          <w:sz w:val="22"/>
          <w:szCs w:val="22"/>
          <w:lang w:val="en-GB"/>
        </w:rPr>
        <w:t xml:space="preserve"> 1</w:t>
      </w:r>
      <w:r w:rsidR="000D2EB0" w:rsidRPr="00891780">
        <w:rPr>
          <w:rFonts w:asciiTheme="minorHAnsi" w:eastAsia="SimSun" w:hAnsiTheme="minorHAnsi" w:cstheme="minorHAnsi"/>
          <w:sz w:val="22"/>
          <w:szCs w:val="22"/>
          <w:lang w:val="en-GB"/>
        </w:rPr>
        <w:t>.</w:t>
      </w:r>
      <w:r w:rsidR="008E4AC3" w:rsidRPr="00891780">
        <w:rPr>
          <w:rFonts w:asciiTheme="minorHAnsi" w:eastAsia="SimSun" w:hAnsiTheme="minorHAnsi" w:cstheme="minorHAnsi"/>
          <w:sz w:val="22"/>
          <w:szCs w:val="22"/>
          <w:lang w:val="en-GB"/>
        </w:rPr>
        <w:t xml:space="preserve">4 </w:t>
      </w:r>
      <w:r w:rsidR="000D2EB0" w:rsidRPr="00891780">
        <w:rPr>
          <w:rFonts w:asciiTheme="minorHAnsi" w:eastAsia="SimSun" w:hAnsiTheme="minorHAnsi" w:cstheme="minorHAnsi"/>
          <w:sz w:val="22"/>
          <w:szCs w:val="22"/>
          <w:lang w:val="en-GB"/>
        </w:rPr>
        <w:t>billion</w:t>
      </w:r>
      <w:r w:rsidR="008E4AC3" w:rsidRPr="00891780">
        <w:rPr>
          <w:rFonts w:asciiTheme="minorHAnsi" w:eastAsia="SimSun" w:hAnsiTheme="minorHAnsi" w:cstheme="minorHAnsi"/>
          <w:sz w:val="22"/>
          <w:szCs w:val="22"/>
          <w:lang w:val="en-GB"/>
        </w:rPr>
        <w:t>.</w:t>
      </w:r>
    </w:p>
    <w:p w14:paraId="145B369E" w14:textId="77777777" w:rsidR="00E77981" w:rsidRDefault="00FE4DA7" w:rsidP="000B677E">
      <w:pPr>
        <w:spacing w:before="120" w:line="276" w:lineRule="auto"/>
        <w:jc w:val="both"/>
        <w:rPr>
          <w:rStyle w:val="Zadanifontodlomka1"/>
          <w:rFonts w:asciiTheme="minorHAnsi" w:eastAsia="SimSun" w:hAnsiTheme="minorHAnsi" w:cstheme="minorHAnsi"/>
          <w:color w:val="000000"/>
          <w:sz w:val="22"/>
          <w:szCs w:val="22"/>
          <w:lang w:val="en-GB"/>
        </w:rPr>
      </w:pPr>
      <w:r w:rsidRPr="00891780">
        <w:rPr>
          <w:rFonts w:asciiTheme="minorHAnsi" w:hAnsiTheme="minorHAnsi" w:cstheme="minorHAnsi"/>
          <w:sz w:val="22"/>
          <w:szCs w:val="22"/>
          <w:lang w:val="en-GB"/>
        </w:rPr>
        <w:t xml:space="preserve">From the beginning of implementation of the COVID-19 Measures until the end of </w:t>
      </w:r>
      <w:r w:rsidR="008E4AC3" w:rsidRPr="00891780">
        <w:rPr>
          <w:rStyle w:val="Zadanifontodlomka1"/>
          <w:rFonts w:asciiTheme="minorHAnsi" w:eastAsia="SimSun" w:hAnsiTheme="minorHAnsi" w:cstheme="minorHAnsi"/>
          <w:sz w:val="22"/>
          <w:szCs w:val="22"/>
          <w:lang w:val="en-GB"/>
        </w:rPr>
        <w:t>2022</w:t>
      </w:r>
      <w:r w:rsidRPr="00891780">
        <w:rPr>
          <w:rStyle w:val="Zadanifontodlomka1"/>
          <w:rFonts w:asciiTheme="minorHAnsi" w:eastAsia="SimSun" w:hAnsiTheme="minorHAnsi" w:cstheme="minorHAnsi"/>
          <w:sz w:val="22"/>
          <w:szCs w:val="22"/>
          <w:lang w:val="en-GB"/>
        </w:rPr>
        <w:t xml:space="preserve">, under loan programmes </w:t>
      </w:r>
      <w:r w:rsidR="00D44131" w:rsidRPr="00891780">
        <w:rPr>
          <w:rFonts w:asciiTheme="minorHAnsi" w:hAnsiTheme="minorHAnsi" w:cstheme="minorHAnsi"/>
          <w:sz w:val="22"/>
          <w:szCs w:val="22"/>
          <w:lang w:val="en-GB" w:eastAsia="x-none"/>
        </w:rPr>
        <w:t>within the framework of COVID-19 Measures,</w:t>
      </w:r>
      <w:r w:rsidR="00D44131" w:rsidRPr="00891780">
        <w:rPr>
          <w:rFonts w:asciiTheme="minorHAnsi" w:hAnsiTheme="minorHAnsi" w:cstheme="minorHAnsi"/>
          <w:sz w:val="22"/>
          <w:szCs w:val="22"/>
          <w:lang w:val="en-GB"/>
        </w:rPr>
        <w:t xml:space="preserve"> HBOR approved </w:t>
      </w:r>
      <w:r w:rsidR="008E4AC3" w:rsidRPr="00891780">
        <w:rPr>
          <w:rStyle w:val="Zadanifontodlomka1"/>
          <w:rFonts w:asciiTheme="minorHAnsi" w:eastAsia="SimSun" w:hAnsiTheme="minorHAnsi" w:cstheme="minorHAnsi"/>
          <w:sz w:val="22"/>
          <w:szCs w:val="22"/>
          <w:lang w:val="en-GB"/>
        </w:rPr>
        <w:t xml:space="preserve">656 </w:t>
      </w:r>
      <w:r w:rsidR="00D44131" w:rsidRPr="00891780">
        <w:rPr>
          <w:rStyle w:val="Zadanifontodlomka1"/>
          <w:rFonts w:asciiTheme="minorHAnsi" w:eastAsia="SimSun" w:hAnsiTheme="minorHAnsi" w:cstheme="minorHAnsi"/>
          <w:sz w:val="22"/>
          <w:szCs w:val="22"/>
          <w:lang w:val="en-GB"/>
        </w:rPr>
        <w:t>loans in the amount exceeding HRK</w:t>
      </w:r>
      <w:r w:rsidR="008E4AC3" w:rsidRPr="00891780">
        <w:rPr>
          <w:rStyle w:val="Zadanifontodlomka1"/>
          <w:rFonts w:asciiTheme="minorHAnsi" w:eastAsia="SimSun" w:hAnsiTheme="minorHAnsi" w:cstheme="minorHAnsi"/>
          <w:color w:val="000000"/>
          <w:sz w:val="22"/>
          <w:szCs w:val="22"/>
          <w:lang w:val="en-GB"/>
        </w:rPr>
        <w:t xml:space="preserve"> 3</w:t>
      </w:r>
      <w:r w:rsidR="00D44131" w:rsidRPr="00891780">
        <w:rPr>
          <w:rStyle w:val="Zadanifontodlomka1"/>
          <w:rFonts w:asciiTheme="minorHAnsi" w:eastAsia="SimSun" w:hAnsiTheme="minorHAnsi" w:cstheme="minorHAnsi"/>
          <w:color w:val="000000"/>
          <w:sz w:val="22"/>
          <w:szCs w:val="22"/>
          <w:lang w:val="en-GB"/>
        </w:rPr>
        <w:t>.</w:t>
      </w:r>
      <w:r w:rsidR="008E4AC3" w:rsidRPr="00891780">
        <w:rPr>
          <w:rStyle w:val="Zadanifontodlomka1"/>
          <w:rFonts w:asciiTheme="minorHAnsi" w:eastAsia="SimSun" w:hAnsiTheme="minorHAnsi" w:cstheme="minorHAnsi"/>
          <w:color w:val="000000"/>
          <w:sz w:val="22"/>
          <w:szCs w:val="22"/>
          <w:lang w:val="en-GB"/>
        </w:rPr>
        <w:t xml:space="preserve">5 </w:t>
      </w:r>
      <w:r w:rsidR="00D44131" w:rsidRPr="00891780">
        <w:rPr>
          <w:rStyle w:val="Zadanifontodlomka1"/>
          <w:rFonts w:asciiTheme="minorHAnsi" w:eastAsia="SimSun" w:hAnsiTheme="minorHAnsi" w:cstheme="minorHAnsi"/>
          <w:color w:val="000000"/>
          <w:sz w:val="22"/>
          <w:szCs w:val="22"/>
          <w:lang w:val="en-GB"/>
        </w:rPr>
        <w:t>billion</w:t>
      </w:r>
      <w:r w:rsidR="00E77981" w:rsidRPr="00E77981">
        <w:rPr>
          <w:rStyle w:val="Zadanifontodlomka1"/>
          <w:rFonts w:asciiTheme="minorHAnsi" w:eastAsia="SimSun" w:hAnsiTheme="minorHAnsi" w:cstheme="minorHAnsi"/>
          <w:color w:val="000000"/>
          <w:sz w:val="22"/>
          <w:szCs w:val="22"/>
          <w:lang w:val="en-GB"/>
        </w:rPr>
        <w:t>.</w:t>
      </w:r>
    </w:p>
    <w:p w14:paraId="643EF1C9" w14:textId="77777777" w:rsidR="00E77981" w:rsidRPr="002E1A01" w:rsidRDefault="00E77981" w:rsidP="00E77981">
      <w:pPr>
        <w:spacing w:after="120" w:line="276" w:lineRule="auto"/>
        <w:jc w:val="both"/>
        <w:rPr>
          <w:rFonts w:ascii="Calibri" w:hAnsi="Calibri" w:cs="Calibri"/>
          <w:sz w:val="16"/>
          <w:szCs w:val="16"/>
          <w:lang w:val="en-GB" w:eastAsia="hr-HR"/>
        </w:rPr>
      </w:pPr>
    </w:p>
    <w:p w14:paraId="5DCE9598" w14:textId="77777777" w:rsidR="00E77981" w:rsidRPr="00891780" w:rsidRDefault="00E77981" w:rsidP="00E77981">
      <w:pPr>
        <w:jc w:val="both"/>
        <w:textAlignment w:val="baseline"/>
        <w:rPr>
          <w:lang w:val="en-GB"/>
        </w:rPr>
      </w:pPr>
      <w:r w:rsidRPr="00891780">
        <w:rPr>
          <w:rStyle w:val="Zadanifontodlomka1"/>
          <w:rFonts w:ascii="Calibri" w:hAnsi="Calibri" w:cs="Calibri"/>
          <w:b/>
          <w:bCs/>
          <w:sz w:val="22"/>
          <w:szCs w:val="22"/>
          <w:lang w:val="en-GB" w:eastAsia="hr-HR"/>
        </w:rPr>
        <w:t>PROGRAMMES FOR THE PORTFOLIO INSURANCE AND INDIVIDUAL INSURANCE OF LIQUIDITY LOANS FOR EXPORTERS – COVID-19 MEASURES</w:t>
      </w:r>
    </w:p>
    <w:p w14:paraId="69A7FCFE" w14:textId="650FC6D9" w:rsidR="00E77981" w:rsidRDefault="00E77981" w:rsidP="000B677E">
      <w:pPr>
        <w:spacing w:before="120" w:line="276" w:lineRule="auto"/>
        <w:jc w:val="both"/>
        <w:rPr>
          <w:rStyle w:val="Zadanifontodlomka1"/>
          <w:rFonts w:asciiTheme="minorHAnsi" w:eastAsia="SimSun" w:hAnsiTheme="minorHAnsi" w:cstheme="minorHAnsi"/>
          <w:color w:val="000000"/>
          <w:sz w:val="22"/>
          <w:szCs w:val="22"/>
          <w:lang w:val="en-GB"/>
        </w:rPr>
      </w:pPr>
      <w:r w:rsidRPr="00E77981">
        <w:rPr>
          <w:rStyle w:val="Zadanifontodlomka1"/>
          <w:rFonts w:asciiTheme="minorHAnsi" w:eastAsia="SimSun" w:hAnsiTheme="minorHAnsi" w:cstheme="minorHAnsi"/>
          <w:color w:val="000000"/>
          <w:sz w:val="22"/>
          <w:szCs w:val="22"/>
          <w:lang w:val="en-GB"/>
        </w:rPr>
        <w:t xml:space="preserve">The aim of the respective programmes that were implemented until 30 June 2022 pursuant to the Temporary </w:t>
      </w:r>
      <w:r w:rsidR="00706C6C">
        <w:rPr>
          <w:rStyle w:val="Zadanifontodlomka1"/>
          <w:rFonts w:asciiTheme="minorHAnsi" w:eastAsia="SimSun" w:hAnsiTheme="minorHAnsi" w:cstheme="minorHAnsi"/>
          <w:color w:val="000000"/>
          <w:sz w:val="22"/>
          <w:szCs w:val="22"/>
          <w:lang w:val="en-GB"/>
        </w:rPr>
        <w:t>F</w:t>
      </w:r>
      <w:r w:rsidRPr="00E77981">
        <w:rPr>
          <w:rStyle w:val="Zadanifontodlomka1"/>
          <w:rFonts w:asciiTheme="minorHAnsi" w:eastAsia="SimSun" w:hAnsiTheme="minorHAnsi" w:cstheme="minorHAnsi"/>
          <w:color w:val="000000"/>
          <w:sz w:val="22"/>
          <w:szCs w:val="22"/>
          <w:lang w:val="en-GB"/>
        </w:rPr>
        <w:t xml:space="preserve">ramework of the European Commission was to encourage banks to approve funds more quickly and easily </w:t>
      </w:r>
      <w:proofErr w:type="gramStart"/>
      <w:r w:rsidRPr="00E77981">
        <w:rPr>
          <w:rStyle w:val="Zadanifontodlomka1"/>
          <w:rFonts w:asciiTheme="minorHAnsi" w:eastAsia="SimSun" w:hAnsiTheme="minorHAnsi" w:cstheme="minorHAnsi"/>
          <w:color w:val="000000"/>
          <w:sz w:val="22"/>
          <w:szCs w:val="22"/>
          <w:lang w:val="en-GB"/>
        </w:rPr>
        <w:t>in order to</w:t>
      </w:r>
      <w:proofErr w:type="gramEnd"/>
      <w:r w:rsidRPr="00E77981">
        <w:rPr>
          <w:rStyle w:val="Zadanifontodlomka1"/>
          <w:rFonts w:asciiTheme="minorHAnsi" w:eastAsia="SimSun" w:hAnsiTheme="minorHAnsi" w:cstheme="minorHAnsi"/>
          <w:color w:val="000000"/>
          <w:sz w:val="22"/>
          <w:szCs w:val="22"/>
          <w:lang w:val="en-GB"/>
        </w:rPr>
        <w:t xml:space="preserve"> preserve the liquidity of exporters and indirect exporters from all sectors of the economy. Banks involved in cooperation under the programmes included loans granted for exporters' liquidity according to the previously agreed criteria in the insured portfolio, for which HBOR assumed up to 90 percent of the loan principal amount. From the introduction of the programme in 2020 until 30 June 2022, 369 loans were insured in the total amount of HRK 4.2 billion</w:t>
      </w:r>
      <w:r w:rsidR="00E11754">
        <w:rPr>
          <w:rStyle w:val="Zadanifontodlomka1"/>
          <w:rFonts w:asciiTheme="minorHAnsi" w:eastAsia="SimSun" w:hAnsiTheme="minorHAnsi" w:cstheme="minorHAnsi"/>
          <w:color w:val="000000"/>
          <w:sz w:val="22"/>
          <w:szCs w:val="22"/>
          <w:lang w:val="en-GB"/>
        </w:rPr>
        <w:t>.</w:t>
      </w:r>
    </w:p>
    <w:p w14:paraId="294C6001" w14:textId="0B470383" w:rsidR="00E11754" w:rsidRPr="002E1A01" w:rsidRDefault="00E11754" w:rsidP="000B677E">
      <w:pPr>
        <w:spacing w:before="120" w:line="276" w:lineRule="auto"/>
        <w:jc w:val="both"/>
        <w:rPr>
          <w:rStyle w:val="Zadanifontodlomka1"/>
          <w:rFonts w:asciiTheme="minorHAnsi" w:eastAsia="SimSun" w:hAnsiTheme="minorHAnsi" w:cstheme="minorHAnsi"/>
          <w:color w:val="000000"/>
          <w:sz w:val="14"/>
          <w:szCs w:val="14"/>
          <w:lang w:val="en-GB"/>
        </w:rPr>
      </w:pPr>
    </w:p>
    <w:p w14:paraId="194E4FFB" w14:textId="67BE3A13" w:rsidR="00F64184" w:rsidRPr="00891780" w:rsidRDefault="008E4AC3" w:rsidP="000B677E">
      <w:pPr>
        <w:autoSpaceDE w:val="0"/>
        <w:spacing w:before="120" w:after="120" w:line="276" w:lineRule="auto"/>
        <w:jc w:val="both"/>
        <w:rPr>
          <w:rStyle w:val="normaltextrun"/>
          <w:rFonts w:asciiTheme="minorHAnsi" w:hAnsiTheme="minorHAnsi" w:cstheme="minorHAnsi"/>
          <w:b/>
          <w:bCs/>
          <w:color w:val="000000"/>
          <w:sz w:val="22"/>
          <w:szCs w:val="22"/>
          <w:shd w:val="clear" w:color="auto" w:fill="FFFFFF"/>
          <w:lang w:val="en-GB"/>
        </w:rPr>
      </w:pPr>
      <w:r w:rsidRPr="00891780">
        <w:rPr>
          <w:rStyle w:val="Zadanifontodlomka1"/>
          <w:rFonts w:asciiTheme="minorHAnsi" w:eastAsia="Calibri" w:hAnsiTheme="minorHAnsi" w:cstheme="minorHAnsi"/>
          <w:b/>
          <w:bCs/>
          <w:sz w:val="22"/>
          <w:szCs w:val="22"/>
          <w:lang w:val="en-GB"/>
        </w:rPr>
        <w:t>PROGRA</w:t>
      </w:r>
      <w:r w:rsidR="00C60D06" w:rsidRPr="00891780">
        <w:rPr>
          <w:rStyle w:val="Zadanifontodlomka1"/>
          <w:rFonts w:asciiTheme="minorHAnsi" w:eastAsia="Calibri" w:hAnsiTheme="minorHAnsi" w:cstheme="minorHAnsi"/>
          <w:b/>
          <w:bCs/>
          <w:sz w:val="22"/>
          <w:szCs w:val="22"/>
          <w:lang w:val="en-GB"/>
        </w:rPr>
        <w:t>MME</w:t>
      </w:r>
      <w:r w:rsidRPr="00891780">
        <w:rPr>
          <w:rStyle w:val="Zadanifontodlomka1"/>
          <w:rFonts w:asciiTheme="minorHAnsi" w:eastAsia="Calibri" w:hAnsiTheme="minorHAnsi" w:cstheme="minorHAnsi"/>
          <w:b/>
          <w:bCs/>
          <w:sz w:val="22"/>
          <w:szCs w:val="22"/>
          <w:lang w:val="en-GB"/>
        </w:rPr>
        <w:t xml:space="preserve"> </w:t>
      </w:r>
      <w:r w:rsidR="00077FF6" w:rsidRPr="00891780">
        <w:rPr>
          <w:rFonts w:asciiTheme="minorHAnsi" w:eastAsia="Calibri" w:hAnsiTheme="minorHAnsi" w:cstheme="minorHAnsi"/>
          <w:b/>
          <w:bCs/>
          <w:sz w:val="22"/>
          <w:szCs w:val="22"/>
          <w:lang w:val="en-GB"/>
        </w:rPr>
        <w:t>OF SUBSIDISING THE INSURANCE PREMIUM – COVID-19 MEASURE</w:t>
      </w:r>
    </w:p>
    <w:p w14:paraId="4FD78B76" w14:textId="486C34D5" w:rsidR="008E4AC3" w:rsidRPr="00891780" w:rsidRDefault="00077FF6" w:rsidP="000B677E">
      <w:pPr>
        <w:autoSpaceDE w:val="0"/>
        <w:spacing w:before="120" w:after="120" w:line="276" w:lineRule="auto"/>
        <w:jc w:val="both"/>
        <w:rPr>
          <w:rFonts w:ascii="Calibri" w:eastAsia="SimSun" w:hAnsi="Calibri" w:cs="Calibri"/>
          <w:sz w:val="22"/>
          <w:szCs w:val="22"/>
          <w:lang w:val="en-GB"/>
        </w:rPr>
      </w:pPr>
      <w:r w:rsidRPr="00891780">
        <w:rPr>
          <w:rStyle w:val="normaltextrun"/>
          <w:rFonts w:ascii="Calibri" w:hAnsi="Calibri" w:cs="Calibri"/>
          <w:color w:val="000000"/>
          <w:sz w:val="22"/>
          <w:szCs w:val="22"/>
          <w:shd w:val="clear" w:color="auto" w:fill="FFFFFF"/>
          <w:lang w:val="en-GB"/>
        </w:rPr>
        <w:t>The respective programme was implemented until</w:t>
      </w:r>
      <w:r w:rsidR="008E4AC3" w:rsidRPr="00891780">
        <w:rPr>
          <w:rStyle w:val="normaltextrun"/>
          <w:rFonts w:ascii="Calibri" w:hAnsi="Calibri" w:cs="Calibri"/>
          <w:color w:val="000000"/>
          <w:sz w:val="22"/>
          <w:szCs w:val="22"/>
          <w:shd w:val="clear" w:color="auto" w:fill="FFFFFF"/>
          <w:lang w:val="en-GB"/>
        </w:rPr>
        <w:t xml:space="preserve"> 30</w:t>
      </w:r>
      <w:r w:rsidRPr="00891780">
        <w:rPr>
          <w:rStyle w:val="normaltextrun"/>
          <w:rFonts w:ascii="Calibri" w:hAnsi="Calibri" w:cs="Calibri"/>
          <w:color w:val="000000"/>
          <w:sz w:val="22"/>
          <w:szCs w:val="22"/>
          <w:shd w:val="clear" w:color="auto" w:fill="FFFFFF"/>
          <w:lang w:val="en-GB"/>
        </w:rPr>
        <w:t xml:space="preserve"> June</w:t>
      </w:r>
      <w:r w:rsidR="008E4AC3" w:rsidRPr="00891780">
        <w:rPr>
          <w:rStyle w:val="normaltextrun"/>
          <w:rFonts w:ascii="Calibri" w:hAnsi="Calibri" w:cs="Calibri"/>
          <w:color w:val="000000"/>
          <w:sz w:val="22"/>
          <w:szCs w:val="22"/>
          <w:shd w:val="clear" w:color="auto" w:fill="FFFFFF"/>
          <w:lang w:val="en-GB"/>
        </w:rPr>
        <w:t xml:space="preserve"> 2022</w:t>
      </w:r>
      <w:r w:rsidR="0045489D" w:rsidRPr="00891780">
        <w:rPr>
          <w:rStyle w:val="normaltextrun"/>
          <w:rFonts w:ascii="Calibri" w:hAnsi="Calibri" w:cs="Calibri"/>
          <w:color w:val="000000"/>
          <w:sz w:val="22"/>
          <w:szCs w:val="22"/>
          <w:shd w:val="clear" w:color="auto" w:fill="FFFFFF"/>
          <w:lang w:val="en-GB"/>
        </w:rPr>
        <w:t xml:space="preserve"> </w:t>
      </w:r>
      <w:r w:rsidR="0008098E" w:rsidRPr="00891780">
        <w:rPr>
          <w:rStyle w:val="normaltextrun"/>
          <w:rFonts w:ascii="Calibri" w:hAnsi="Calibri" w:cs="Calibri"/>
          <w:color w:val="000000"/>
          <w:sz w:val="22"/>
          <w:szCs w:val="22"/>
          <w:shd w:val="clear" w:color="auto" w:fill="FFFFFF"/>
          <w:lang w:val="en-GB"/>
        </w:rPr>
        <w:t>pursuant to the Temporar</w:t>
      </w:r>
      <w:r w:rsidR="00B16B00">
        <w:rPr>
          <w:rStyle w:val="normaltextrun"/>
          <w:rFonts w:ascii="Calibri" w:hAnsi="Calibri" w:cs="Calibri"/>
          <w:color w:val="000000"/>
          <w:sz w:val="22"/>
          <w:szCs w:val="22"/>
          <w:shd w:val="clear" w:color="auto" w:fill="FFFFFF"/>
          <w:lang w:val="en-GB"/>
        </w:rPr>
        <w:t xml:space="preserve">y Framework </w:t>
      </w:r>
      <w:r w:rsidR="0008098E" w:rsidRPr="00891780">
        <w:rPr>
          <w:rStyle w:val="normaltextrun"/>
          <w:rFonts w:ascii="Calibri" w:hAnsi="Calibri" w:cs="Calibri"/>
          <w:color w:val="000000"/>
          <w:sz w:val="22"/>
          <w:szCs w:val="22"/>
          <w:shd w:val="clear" w:color="auto" w:fill="FFFFFF"/>
          <w:lang w:val="en-GB"/>
        </w:rPr>
        <w:t>of the European Commission</w:t>
      </w:r>
      <w:r w:rsidR="008E4AC3" w:rsidRPr="00891780">
        <w:rPr>
          <w:rStyle w:val="normaltextrun"/>
          <w:rFonts w:ascii="Calibri" w:hAnsi="Calibri" w:cs="Calibri"/>
          <w:color w:val="000000"/>
          <w:sz w:val="22"/>
          <w:szCs w:val="22"/>
          <w:shd w:val="clear" w:color="auto" w:fill="FFFFFF"/>
          <w:lang w:val="en-GB"/>
        </w:rPr>
        <w:t xml:space="preserve">. </w:t>
      </w:r>
      <w:r w:rsidR="008B25E5" w:rsidRPr="00891780">
        <w:rPr>
          <w:rStyle w:val="normaltextrun"/>
          <w:rFonts w:ascii="Calibri" w:hAnsi="Calibri" w:cs="Calibri"/>
          <w:color w:val="000000"/>
          <w:sz w:val="22"/>
          <w:szCs w:val="22"/>
          <w:shd w:val="clear" w:color="auto" w:fill="FFFFFF"/>
          <w:lang w:val="en-GB"/>
        </w:rPr>
        <w:t xml:space="preserve">It </w:t>
      </w:r>
      <w:r w:rsidR="008B0F0D" w:rsidRPr="00891780">
        <w:rPr>
          <w:rStyle w:val="normaltextrun"/>
          <w:rFonts w:ascii="Calibri" w:hAnsi="Calibri" w:cs="Calibri"/>
          <w:color w:val="000000"/>
          <w:sz w:val="22"/>
          <w:szCs w:val="22"/>
          <w:shd w:val="clear" w:color="auto" w:fill="FFFFFF"/>
          <w:lang w:val="en-GB"/>
        </w:rPr>
        <w:t>enabled</w:t>
      </w:r>
      <w:r w:rsidR="00F7212F" w:rsidRPr="00891780">
        <w:rPr>
          <w:rStyle w:val="normaltextrun"/>
          <w:rFonts w:ascii="Calibri" w:hAnsi="Calibri" w:cs="Calibri"/>
          <w:color w:val="000000"/>
          <w:sz w:val="22"/>
          <w:szCs w:val="22"/>
          <w:shd w:val="clear" w:color="auto" w:fill="FFFFFF"/>
          <w:lang w:val="en-GB"/>
        </w:rPr>
        <w:t xml:space="preserve"> the </w:t>
      </w:r>
      <w:r w:rsidR="008B25E5" w:rsidRPr="00891780">
        <w:rPr>
          <w:rStyle w:val="normaltextrun"/>
          <w:rFonts w:ascii="Calibri" w:hAnsi="Calibri" w:cs="Calibri"/>
          <w:color w:val="000000"/>
          <w:sz w:val="22"/>
          <w:szCs w:val="22"/>
          <w:shd w:val="clear" w:color="auto" w:fill="FFFFFF"/>
          <w:lang w:val="en-GB"/>
        </w:rPr>
        <w:t>exporters</w:t>
      </w:r>
      <w:r w:rsidR="00C31586" w:rsidRPr="00891780">
        <w:rPr>
          <w:rStyle w:val="normaltextrun"/>
          <w:rFonts w:ascii="Calibri" w:hAnsi="Calibri" w:cs="Calibri"/>
          <w:color w:val="000000"/>
          <w:sz w:val="22"/>
          <w:szCs w:val="22"/>
          <w:shd w:val="clear" w:color="auto" w:fill="FFFFFF"/>
          <w:lang w:val="en-GB"/>
        </w:rPr>
        <w:t xml:space="preserve"> </w:t>
      </w:r>
      <w:r w:rsidR="00DD51CA">
        <w:rPr>
          <w:rStyle w:val="normaltextrun"/>
          <w:rFonts w:ascii="Calibri" w:hAnsi="Calibri" w:cs="Calibri"/>
          <w:color w:val="000000"/>
          <w:sz w:val="22"/>
          <w:szCs w:val="22"/>
          <w:shd w:val="clear" w:color="auto" w:fill="FFFFFF"/>
          <w:lang w:val="en-GB"/>
        </w:rPr>
        <w:t xml:space="preserve">to </w:t>
      </w:r>
      <w:r w:rsidR="00C31586" w:rsidRPr="00891780">
        <w:rPr>
          <w:rStyle w:val="normaltextrun"/>
          <w:rFonts w:ascii="Calibri" w:hAnsi="Calibri" w:cs="Calibri"/>
          <w:color w:val="000000"/>
          <w:sz w:val="22"/>
          <w:szCs w:val="22"/>
          <w:shd w:val="clear" w:color="auto" w:fill="FFFFFF"/>
          <w:lang w:val="en-GB"/>
        </w:rPr>
        <w:t>meet the terms and conditions of the programme</w:t>
      </w:r>
      <w:r w:rsidR="008E4AC3" w:rsidRPr="00891780">
        <w:rPr>
          <w:rStyle w:val="normaltextrun"/>
          <w:rFonts w:ascii="Calibri" w:hAnsi="Calibri" w:cs="Calibri"/>
          <w:color w:val="000000"/>
          <w:sz w:val="22"/>
          <w:szCs w:val="22"/>
          <w:shd w:val="clear" w:color="auto" w:fill="FFFFFF"/>
          <w:lang w:val="en-GB"/>
        </w:rPr>
        <w:t xml:space="preserve"> </w:t>
      </w:r>
      <w:r w:rsidR="00F7212F" w:rsidRPr="00891780">
        <w:rPr>
          <w:rStyle w:val="normaltextrun"/>
          <w:rFonts w:ascii="Calibri" w:hAnsi="Calibri" w:cs="Calibri"/>
          <w:color w:val="000000"/>
          <w:sz w:val="22"/>
          <w:szCs w:val="22"/>
          <w:shd w:val="clear" w:color="auto" w:fill="FFFFFF"/>
          <w:lang w:val="en-GB"/>
        </w:rPr>
        <w:t>to receive a subsidy</w:t>
      </w:r>
      <w:r w:rsidR="008E4AC3" w:rsidRPr="00891780">
        <w:rPr>
          <w:rStyle w:val="normaltextrun"/>
          <w:rFonts w:ascii="Calibri" w:hAnsi="Calibri" w:cs="Calibri"/>
          <w:color w:val="000000"/>
          <w:sz w:val="22"/>
          <w:szCs w:val="22"/>
          <w:shd w:val="clear" w:color="auto" w:fill="FFFFFF"/>
          <w:lang w:val="en-GB"/>
        </w:rPr>
        <w:t xml:space="preserve"> </w:t>
      </w:r>
      <w:r w:rsidR="00F7212F" w:rsidRPr="00891780">
        <w:rPr>
          <w:rStyle w:val="normaltextrun"/>
          <w:rFonts w:ascii="Calibri" w:hAnsi="Calibri" w:cs="Calibri"/>
          <w:color w:val="000000"/>
          <w:sz w:val="22"/>
          <w:szCs w:val="22"/>
          <w:shd w:val="clear" w:color="auto" w:fill="FFFFFF"/>
          <w:lang w:val="en-GB"/>
        </w:rPr>
        <w:t xml:space="preserve">for the entire </w:t>
      </w:r>
      <w:r w:rsidR="00F653E9" w:rsidRPr="00891780">
        <w:rPr>
          <w:rStyle w:val="normaltextrun"/>
          <w:rFonts w:ascii="Calibri" w:hAnsi="Calibri" w:cs="Calibri"/>
          <w:color w:val="000000"/>
          <w:sz w:val="22"/>
          <w:szCs w:val="22"/>
          <w:shd w:val="clear" w:color="auto" w:fill="FFFFFF"/>
          <w:lang w:val="en-GB"/>
        </w:rPr>
        <w:t>or a part</w:t>
      </w:r>
      <w:r w:rsidR="00581DC2" w:rsidRPr="00891780">
        <w:rPr>
          <w:rStyle w:val="normaltextrun"/>
          <w:rFonts w:ascii="Calibri" w:hAnsi="Calibri" w:cs="Calibri"/>
          <w:color w:val="000000"/>
          <w:sz w:val="22"/>
          <w:szCs w:val="22"/>
          <w:shd w:val="clear" w:color="auto" w:fill="FFFFFF"/>
          <w:lang w:val="en-GB"/>
        </w:rPr>
        <w:t xml:space="preserve"> </w:t>
      </w:r>
      <w:r w:rsidR="00F653E9" w:rsidRPr="00891780">
        <w:rPr>
          <w:rStyle w:val="normaltextrun"/>
          <w:rFonts w:ascii="Calibri" w:hAnsi="Calibri" w:cs="Calibri"/>
          <w:color w:val="000000"/>
          <w:sz w:val="22"/>
          <w:szCs w:val="22"/>
          <w:shd w:val="clear" w:color="auto" w:fill="FFFFFF"/>
          <w:lang w:val="en-GB"/>
        </w:rPr>
        <w:t xml:space="preserve">of the </w:t>
      </w:r>
      <w:r w:rsidR="00581DC2" w:rsidRPr="00891780">
        <w:rPr>
          <w:rStyle w:val="normaltextrun"/>
          <w:rFonts w:ascii="Calibri" w:hAnsi="Calibri" w:cs="Calibri"/>
          <w:color w:val="000000"/>
          <w:sz w:val="22"/>
          <w:szCs w:val="22"/>
          <w:shd w:val="clear" w:color="auto" w:fill="FFFFFF"/>
          <w:lang w:val="en-GB"/>
        </w:rPr>
        <w:t>cost of the insurance premium</w:t>
      </w:r>
      <w:r w:rsidR="008E4AC3" w:rsidRPr="00891780">
        <w:rPr>
          <w:rStyle w:val="normaltextrun"/>
          <w:rFonts w:ascii="Calibri" w:hAnsi="Calibri" w:cs="Calibri"/>
          <w:color w:val="000000"/>
          <w:sz w:val="22"/>
          <w:szCs w:val="22"/>
          <w:shd w:val="clear" w:color="auto" w:fill="FFFFFF"/>
          <w:lang w:val="en-GB"/>
        </w:rPr>
        <w:t xml:space="preserve"> </w:t>
      </w:r>
      <w:r w:rsidR="00692F1B" w:rsidRPr="00891780">
        <w:rPr>
          <w:rStyle w:val="normaltextrun"/>
          <w:rFonts w:ascii="Calibri" w:hAnsi="Calibri" w:cs="Calibri"/>
          <w:color w:val="000000"/>
          <w:sz w:val="22"/>
          <w:szCs w:val="22"/>
          <w:shd w:val="clear" w:color="auto" w:fill="FFFFFF"/>
          <w:lang w:val="en-GB"/>
        </w:rPr>
        <w:t xml:space="preserve">for </w:t>
      </w:r>
      <w:r w:rsidR="00692F1B" w:rsidRPr="00891780">
        <w:rPr>
          <w:rStyle w:val="normaltextrun"/>
          <w:rFonts w:ascii="Calibri" w:hAnsi="Calibri" w:cs="Calibri"/>
          <w:color w:val="000000"/>
          <w:sz w:val="22"/>
          <w:szCs w:val="22"/>
          <w:shd w:val="clear" w:color="auto" w:fill="FFFFFF"/>
          <w:lang w:val="en-GB"/>
        </w:rPr>
        <w:lastRenderedPageBreak/>
        <w:t>exporters' liquidity loans</w:t>
      </w:r>
      <w:r w:rsidR="008E4AC3" w:rsidRPr="00891780">
        <w:rPr>
          <w:rStyle w:val="normaltextrun"/>
          <w:rFonts w:ascii="Calibri" w:hAnsi="Calibri" w:cs="Calibri"/>
          <w:color w:val="000000"/>
          <w:sz w:val="22"/>
          <w:szCs w:val="22"/>
          <w:shd w:val="clear" w:color="auto" w:fill="FFFFFF"/>
          <w:lang w:val="en-GB"/>
        </w:rPr>
        <w:t xml:space="preserve"> – COVID-19 </w:t>
      </w:r>
      <w:r w:rsidR="00692F1B" w:rsidRPr="00891780">
        <w:rPr>
          <w:rStyle w:val="normaltextrun"/>
          <w:rFonts w:ascii="Calibri" w:hAnsi="Calibri" w:cs="Calibri"/>
          <w:color w:val="000000"/>
          <w:sz w:val="22"/>
          <w:szCs w:val="22"/>
          <w:shd w:val="clear" w:color="auto" w:fill="FFFFFF"/>
          <w:lang w:val="en-GB"/>
        </w:rPr>
        <w:t>measure</w:t>
      </w:r>
      <w:r w:rsidR="008E4AC3" w:rsidRPr="00891780">
        <w:rPr>
          <w:rStyle w:val="normaltextrun"/>
          <w:rFonts w:ascii="Calibri" w:hAnsi="Calibri" w:cs="Calibri"/>
          <w:color w:val="000000"/>
          <w:sz w:val="22"/>
          <w:szCs w:val="22"/>
          <w:shd w:val="clear" w:color="auto" w:fill="FFFFFF"/>
          <w:lang w:val="en-GB"/>
        </w:rPr>
        <w:t xml:space="preserve">. </w:t>
      </w:r>
      <w:bookmarkStart w:id="43" w:name="OLE_LINK5"/>
      <w:r w:rsidR="00D75078" w:rsidRPr="00891780">
        <w:rPr>
          <w:rStyle w:val="normaltextrun"/>
          <w:rFonts w:ascii="Calibri" w:hAnsi="Calibri" w:cs="Calibri"/>
          <w:color w:val="000000"/>
          <w:sz w:val="22"/>
          <w:szCs w:val="22"/>
          <w:shd w:val="clear" w:color="auto" w:fill="FFFFFF"/>
          <w:lang w:val="en-GB"/>
        </w:rPr>
        <w:t>The programme was introduced in November 2020, and during its implementation, 299 subsidies in the amount of more than HRK 76 million were approved.</w:t>
      </w:r>
    </w:p>
    <w:bookmarkEnd w:id="43"/>
    <w:p w14:paraId="51B97905" w14:textId="77777777" w:rsidR="008629AF" w:rsidRPr="00891780" w:rsidRDefault="008629AF" w:rsidP="000B677E">
      <w:pPr>
        <w:autoSpaceDE w:val="0"/>
        <w:spacing w:before="120" w:after="120" w:line="276" w:lineRule="auto"/>
        <w:jc w:val="both"/>
        <w:rPr>
          <w:rFonts w:ascii="Calibri" w:eastAsia="SimSun" w:hAnsi="Calibri" w:cs="Calibri"/>
          <w:sz w:val="22"/>
          <w:szCs w:val="22"/>
          <w:lang w:val="en-GB"/>
        </w:rPr>
      </w:pPr>
    </w:p>
    <w:p w14:paraId="1B0E06E2" w14:textId="4218D4C0" w:rsidR="008E4AC3" w:rsidRPr="00891780" w:rsidRDefault="008E4AC3" w:rsidP="000B677E">
      <w:pPr>
        <w:spacing w:before="120" w:after="120" w:line="276" w:lineRule="auto"/>
        <w:jc w:val="both"/>
        <w:rPr>
          <w:rFonts w:asciiTheme="minorHAnsi" w:eastAsia="SimSun" w:hAnsiTheme="minorHAnsi" w:cstheme="minorHAnsi"/>
          <w:b/>
          <w:bCs/>
          <w:sz w:val="22"/>
          <w:szCs w:val="22"/>
          <w:lang w:val="en-GB"/>
        </w:rPr>
      </w:pPr>
      <w:r w:rsidRPr="00891780">
        <w:rPr>
          <w:rFonts w:asciiTheme="minorHAnsi" w:eastAsia="SimSun" w:hAnsiTheme="minorHAnsi" w:cstheme="minorHAnsi"/>
          <w:b/>
          <w:bCs/>
          <w:sz w:val="22"/>
          <w:szCs w:val="22"/>
          <w:lang w:val="en-GB"/>
        </w:rPr>
        <w:t>Re</w:t>
      </w:r>
      <w:r w:rsidR="00D75078" w:rsidRPr="00891780">
        <w:rPr>
          <w:rFonts w:asciiTheme="minorHAnsi" w:eastAsia="SimSun" w:hAnsiTheme="minorHAnsi" w:cstheme="minorHAnsi"/>
          <w:b/>
          <w:bCs/>
          <w:sz w:val="22"/>
          <w:szCs w:val="22"/>
          <w:lang w:val="en-GB"/>
        </w:rPr>
        <w:t>sults</w:t>
      </w:r>
      <w:r w:rsidRPr="00891780">
        <w:rPr>
          <w:rFonts w:asciiTheme="minorHAnsi" w:eastAsia="SimSun" w:hAnsiTheme="minorHAnsi" w:cstheme="minorHAnsi"/>
          <w:b/>
          <w:bCs/>
          <w:sz w:val="22"/>
          <w:szCs w:val="22"/>
          <w:lang w:val="en-GB"/>
        </w:rPr>
        <w:t xml:space="preserve"> – </w:t>
      </w:r>
      <w:r w:rsidR="00D75078" w:rsidRPr="00891780">
        <w:rPr>
          <w:rFonts w:asciiTheme="minorHAnsi" w:eastAsia="SimSun" w:hAnsiTheme="minorHAnsi" w:cstheme="minorHAnsi"/>
          <w:b/>
          <w:bCs/>
          <w:sz w:val="22"/>
          <w:szCs w:val="22"/>
          <w:lang w:val="en-GB"/>
        </w:rPr>
        <w:t>guarantees and</w:t>
      </w:r>
      <w:r w:rsidR="00E21658" w:rsidRPr="00891780">
        <w:rPr>
          <w:rFonts w:asciiTheme="minorHAnsi" w:eastAsia="SimSun" w:hAnsiTheme="minorHAnsi" w:cstheme="minorHAnsi"/>
          <w:b/>
          <w:bCs/>
          <w:sz w:val="22"/>
          <w:szCs w:val="22"/>
          <w:lang w:val="en-GB"/>
        </w:rPr>
        <w:t xml:space="preserve"> credit insurance</w:t>
      </w:r>
      <w:r w:rsidRPr="00891780">
        <w:rPr>
          <w:rFonts w:asciiTheme="minorHAnsi" w:eastAsia="SimSun" w:hAnsiTheme="minorHAnsi" w:cstheme="minorHAnsi"/>
          <w:b/>
          <w:bCs/>
          <w:sz w:val="22"/>
          <w:szCs w:val="22"/>
          <w:lang w:val="en-GB"/>
        </w:rPr>
        <w:t>:</w:t>
      </w:r>
    </w:p>
    <w:p w14:paraId="5DE233C8" w14:textId="58ECF675" w:rsidR="00271ACA" w:rsidRPr="00891780" w:rsidRDefault="00C64273" w:rsidP="000B677E">
      <w:pPr>
        <w:spacing w:before="120" w:after="120" w:line="276" w:lineRule="auto"/>
        <w:jc w:val="both"/>
        <w:rPr>
          <w:rFonts w:ascii="Calibri" w:hAnsi="Calibri" w:cs="Calibri"/>
          <w:color w:val="000000"/>
          <w:sz w:val="22"/>
          <w:szCs w:val="22"/>
          <w:shd w:val="clear" w:color="auto" w:fill="FFFFFF"/>
          <w:lang w:val="en-GB"/>
        </w:rPr>
      </w:pPr>
      <w:bookmarkStart w:id="44" w:name="OLE_LINK14"/>
      <w:r w:rsidRPr="00891780">
        <w:rPr>
          <w:rFonts w:ascii="Calibri" w:hAnsi="Calibri" w:cs="Calibri"/>
          <w:sz w:val="22"/>
          <w:szCs w:val="22"/>
          <w:lang w:val="en-GB" w:eastAsia="hr-HR"/>
        </w:rPr>
        <w:t>In 2022, HBOR insured 84 loans in the total amount of HRK 1,385.2 million and approved 84 subsidies in the amount of more than HRK 24 million.</w:t>
      </w:r>
    </w:p>
    <w:bookmarkEnd w:id="44"/>
    <w:p w14:paraId="318EB216" w14:textId="2DC8A762" w:rsidR="00A914CD" w:rsidRPr="00891780" w:rsidRDefault="00900D3A" w:rsidP="000B677E">
      <w:pPr>
        <w:spacing w:before="120" w:after="120" w:line="276" w:lineRule="auto"/>
        <w:jc w:val="both"/>
        <w:rPr>
          <w:rStyle w:val="normaltextrun"/>
          <w:rFonts w:asciiTheme="minorHAnsi" w:hAnsiTheme="minorHAnsi" w:cstheme="minorHAnsi"/>
          <w:color w:val="000000"/>
          <w:sz w:val="22"/>
          <w:szCs w:val="22"/>
          <w:shd w:val="clear" w:color="auto" w:fill="FFFFFF"/>
          <w:lang w:val="en-GB"/>
        </w:rPr>
      </w:pPr>
      <w:r w:rsidRPr="00891780">
        <w:rPr>
          <w:rFonts w:asciiTheme="minorHAnsi" w:hAnsiTheme="minorHAnsi" w:cstheme="minorHAnsi"/>
          <w:sz w:val="22"/>
          <w:szCs w:val="22"/>
          <w:lang w:val="en-GB"/>
        </w:rPr>
        <w:t>Through the mentioned programmes of insurance and issuing of guarantees, loans approved both by HBOR and commercial banks were insured</w:t>
      </w:r>
      <w:r w:rsidR="008E4AC3" w:rsidRPr="00891780">
        <w:rPr>
          <w:rStyle w:val="normaltextrun"/>
          <w:rFonts w:asciiTheme="minorHAnsi" w:hAnsiTheme="minorHAnsi" w:cstheme="minorHAnsi"/>
          <w:color w:val="000000"/>
          <w:sz w:val="22"/>
          <w:szCs w:val="22"/>
          <w:shd w:val="clear" w:color="auto" w:fill="FFFFFF"/>
          <w:lang w:val="en-GB"/>
        </w:rPr>
        <w:t xml:space="preserve">. </w:t>
      </w:r>
      <w:r w:rsidR="00AC1157" w:rsidRPr="00891780">
        <w:rPr>
          <w:rStyle w:val="normaltextrun"/>
          <w:rFonts w:asciiTheme="minorHAnsi" w:hAnsiTheme="minorHAnsi" w:cstheme="minorHAnsi"/>
          <w:color w:val="000000"/>
          <w:sz w:val="22"/>
          <w:szCs w:val="22"/>
          <w:shd w:val="clear" w:color="auto" w:fill="FFFFFF"/>
          <w:lang w:val="en-GB"/>
        </w:rPr>
        <w:t>From the beginning of implementation of the</w:t>
      </w:r>
      <w:r w:rsidR="008E4AC3" w:rsidRPr="00891780">
        <w:rPr>
          <w:rStyle w:val="normaltextrun"/>
          <w:rFonts w:asciiTheme="minorHAnsi" w:hAnsiTheme="minorHAnsi" w:cstheme="minorHAnsi"/>
          <w:color w:val="000000"/>
          <w:sz w:val="22"/>
          <w:szCs w:val="22"/>
          <w:shd w:val="clear" w:color="auto" w:fill="FFFFFF"/>
          <w:lang w:val="en-GB"/>
        </w:rPr>
        <w:t xml:space="preserve"> COVID-19 </w:t>
      </w:r>
      <w:r w:rsidR="00AC1157" w:rsidRPr="00891780">
        <w:rPr>
          <w:rStyle w:val="normaltextrun"/>
          <w:rFonts w:asciiTheme="minorHAnsi" w:hAnsiTheme="minorHAnsi" w:cstheme="minorHAnsi"/>
          <w:color w:val="000000"/>
          <w:sz w:val="22"/>
          <w:szCs w:val="22"/>
          <w:shd w:val="clear" w:color="auto" w:fill="FFFFFF"/>
          <w:lang w:val="en-GB"/>
        </w:rPr>
        <w:t>Measures until their end</w:t>
      </w:r>
      <w:r w:rsidR="009F3180" w:rsidRPr="00891780">
        <w:rPr>
          <w:rStyle w:val="normaltextrun"/>
          <w:rFonts w:asciiTheme="minorHAnsi" w:hAnsiTheme="minorHAnsi" w:cstheme="minorHAnsi"/>
          <w:color w:val="000000"/>
          <w:sz w:val="22"/>
          <w:szCs w:val="22"/>
          <w:shd w:val="clear" w:color="auto" w:fill="FFFFFF"/>
          <w:lang w:val="en-GB"/>
        </w:rPr>
        <w:t xml:space="preserve">, </w:t>
      </w:r>
      <w:r w:rsidR="001A79CF" w:rsidRPr="00891780">
        <w:rPr>
          <w:rStyle w:val="normaltextrun"/>
          <w:rFonts w:asciiTheme="minorHAnsi" w:hAnsiTheme="minorHAnsi" w:cstheme="minorHAnsi"/>
          <w:color w:val="000000"/>
          <w:sz w:val="22"/>
          <w:szCs w:val="22"/>
          <w:shd w:val="clear" w:color="auto" w:fill="FFFFFF"/>
          <w:lang w:val="en-GB"/>
        </w:rPr>
        <w:t>under all</w:t>
      </w:r>
      <w:r w:rsidR="008E4AC3" w:rsidRPr="00891780">
        <w:rPr>
          <w:rStyle w:val="normaltextrun"/>
          <w:rFonts w:asciiTheme="minorHAnsi" w:hAnsiTheme="minorHAnsi" w:cstheme="minorHAnsi"/>
          <w:color w:val="000000"/>
          <w:sz w:val="22"/>
          <w:szCs w:val="22"/>
          <w:shd w:val="clear" w:color="auto" w:fill="FFFFFF"/>
          <w:lang w:val="en-GB"/>
        </w:rPr>
        <w:t xml:space="preserve"> HBOR</w:t>
      </w:r>
      <w:r w:rsidR="009F3180" w:rsidRPr="00891780">
        <w:rPr>
          <w:rStyle w:val="normaltextrun"/>
          <w:rFonts w:asciiTheme="minorHAnsi" w:hAnsiTheme="minorHAnsi" w:cstheme="minorHAnsi"/>
          <w:color w:val="000000"/>
          <w:sz w:val="22"/>
          <w:szCs w:val="22"/>
          <w:shd w:val="clear" w:color="auto" w:fill="FFFFFF"/>
          <w:lang w:val="en-GB"/>
        </w:rPr>
        <w:t xml:space="preserve">'s insurance and guarantee </w:t>
      </w:r>
      <w:r w:rsidR="00D7200A" w:rsidRPr="00891780">
        <w:rPr>
          <w:rStyle w:val="normaltextrun"/>
          <w:rFonts w:asciiTheme="minorHAnsi" w:hAnsiTheme="minorHAnsi" w:cstheme="minorHAnsi"/>
          <w:color w:val="000000"/>
          <w:sz w:val="22"/>
          <w:szCs w:val="22"/>
          <w:shd w:val="clear" w:color="auto" w:fill="FFFFFF"/>
          <w:lang w:val="en-GB"/>
        </w:rPr>
        <w:t xml:space="preserve">issuance </w:t>
      </w:r>
      <w:r w:rsidR="009F3180" w:rsidRPr="00891780">
        <w:rPr>
          <w:rStyle w:val="normaltextrun"/>
          <w:rFonts w:asciiTheme="minorHAnsi" w:hAnsiTheme="minorHAnsi" w:cstheme="minorHAnsi"/>
          <w:color w:val="000000"/>
          <w:sz w:val="22"/>
          <w:szCs w:val="22"/>
          <w:shd w:val="clear" w:color="auto" w:fill="FFFFFF"/>
          <w:lang w:val="en-GB"/>
        </w:rPr>
        <w:t xml:space="preserve">programmes </w:t>
      </w:r>
      <w:r w:rsidR="00D7200A" w:rsidRPr="00891780">
        <w:rPr>
          <w:rStyle w:val="normaltextrun"/>
          <w:rFonts w:asciiTheme="minorHAnsi" w:hAnsiTheme="minorHAnsi" w:cstheme="minorHAnsi"/>
          <w:color w:val="000000"/>
          <w:sz w:val="22"/>
          <w:szCs w:val="22"/>
          <w:shd w:val="clear" w:color="auto" w:fill="FFFFFF"/>
          <w:lang w:val="en-GB"/>
        </w:rPr>
        <w:t>within the framework of the</w:t>
      </w:r>
      <w:r w:rsidR="009F3180" w:rsidRPr="00891780">
        <w:rPr>
          <w:rStyle w:val="normaltextrun"/>
          <w:rFonts w:asciiTheme="minorHAnsi" w:hAnsiTheme="minorHAnsi" w:cstheme="minorHAnsi"/>
          <w:color w:val="000000"/>
          <w:sz w:val="22"/>
          <w:szCs w:val="22"/>
          <w:shd w:val="clear" w:color="auto" w:fill="FFFFFF"/>
          <w:lang w:val="en-GB"/>
        </w:rPr>
        <w:t xml:space="preserve"> </w:t>
      </w:r>
      <w:r w:rsidR="008E4AC3" w:rsidRPr="00891780">
        <w:rPr>
          <w:rStyle w:val="normaltextrun"/>
          <w:rFonts w:asciiTheme="minorHAnsi" w:hAnsiTheme="minorHAnsi" w:cstheme="minorHAnsi"/>
          <w:color w:val="000000"/>
          <w:sz w:val="22"/>
          <w:szCs w:val="22"/>
          <w:shd w:val="clear" w:color="auto" w:fill="FFFFFF"/>
          <w:lang w:val="en-GB"/>
        </w:rPr>
        <w:t xml:space="preserve">COVID-19 </w:t>
      </w:r>
      <w:r w:rsidR="009F3180" w:rsidRPr="00891780">
        <w:rPr>
          <w:rStyle w:val="normaltextrun"/>
          <w:rFonts w:asciiTheme="minorHAnsi" w:hAnsiTheme="minorHAnsi" w:cstheme="minorHAnsi"/>
          <w:color w:val="000000"/>
          <w:sz w:val="22"/>
          <w:szCs w:val="22"/>
          <w:shd w:val="clear" w:color="auto" w:fill="FFFFFF"/>
          <w:lang w:val="en-GB"/>
        </w:rPr>
        <w:t>Measures, more than HRK</w:t>
      </w:r>
      <w:r w:rsidR="008E4AC3" w:rsidRPr="00891780">
        <w:rPr>
          <w:rStyle w:val="normaltextrun"/>
          <w:rFonts w:asciiTheme="minorHAnsi" w:hAnsiTheme="minorHAnsi" w:cstheme="minorHAnsi"/>
          <w:color w:val="000000"/>
          <w:sz w:val="22"/>
          <w:szCs w:val="22"/>
          <w:shd w:val="clear" w:color="auto" w:fill="FFFFFF"/>
          <w:lang w:val="en-GB"/>
        </w:rPr>
        <w:t xml:space="preserve"> 4</w:t>
      </w:r>
      <w:r w:rsidR="009F3180" w:rsidRPr="00891780">
        <w:rPr>
          <w:rStyle w:val="normaltextrun"/>
          <w:rFonts w:asciiTheme="minorHAnsi" w:hAnsiTheme="minorHAnsi" w:cstheme="minorHAnsi"/>
          <w:color w:val="000000"/>
          <w:sz w:val="22"/>
          <w:szCs w:val="22"/>
          <w:shd w:val="clear" w:color="auto" w:fill="FFFFFF"/>
          <w:lang w:val="en-GB"/>
        </w:rPr>
        <w:t>.</w:t>
      </w:r>
      <w:r w:rsidR="008E4AC3" w:rsidRPr="00891780">
        <w:rPr>
          <w:rStyle w:val="normaltextrun"/>
          <w:rFonts w:asciiTheme="minorHAnsi" w:hAnsiTheme="minorHAnsi" w:cstheme="minorHAnsi"/>
          <w:color w:val="000000"/>
          <w:sz w:val="22"/>
          <w:szCs w:val="22"/>
          <w:shd w:val="clear" w:color="auto" w:fill="FFFFFF"/>
          <w:lang w:val="en-GB"/>
        </w:rPr>
        <w:t xml:space="preserve">4 </w:t>
      </w:r>
      <w:r w:rsidR="009F3180" w:rsidRPr="00891780">
        <w:rPr>
          <w:rStyle w:val="normaltextrun"/>
          <w:rFonts w:asciiTheme="minorHAnsi" w:hAnsiTheme="minorHAnsi" w:cstheme="minorHAnsi"/>
          <w:color w:val="000000"/>
          <w:sz w:val="22"/>
          <w:szCs w:val="22"/>
          <w:shd w:val="clear" w:color="auto" w:fill="FFFFFF"/>
          <w:lang w:val="en-GB"/>
        </w:rPr>
        <w:t xml:space="preserve">billion in liquidity loans </w:t>
      </w:r>
      <w:r w:rsidR="00953F6C" w:rsidRPr="00891780">
        <w:rPr>
          <w:rStyle w:val="normaltextrun"/>
          <w:rFonts w:asciiTheme="minorHAnsi" w:hAnsiTheme="minorHAnsi" w:cstheme="minorHAnsi"/>
          <w:color w:val="000000"/>
          <w:sz w:val="22"/>
          <w:szCs w:val="22"/>
          <w:shd w:val="clear" w:color="auto" w:fill="FFFFFF"/>
          <w:lang w:val="en-GB"/>
        </w:rPr>
        <w:t>were provided to entrepreneurs</w:t>
      </w:r>
      <w:r w:rsidR="008E4AC3" w:rsidRPr="00891780">
        <w:rPr>
          <w:rStyle w:val="normaltextrun"/>
          <w:rFonts w:asciiTheme="minorHAnsi" w:hAnsiTheme="minorHAnsi" w:cstheme="minorHAnsi"/>
          <w:color w:val="000000"/>
          <w:sz w:val="22"/>
          <w:szCs w:val="22"/>
          <w:shd w:val="clear" w:color="auto" w:fill="FFFFFF"/>
          <w:lang w:val="en-GB"/>
        </w:rPr>
        <w:t>. O</w:t>
      </w:r>
      <w:r w:rsidR="00B439DB" w:rsidRPr="00891780">
        <w:rPr>
          <w:rStyle w:val="normaltextrun"/>
          <w:rFonts w:asciiTheme="minorHAnsi" w:hAnsiTheme="minorHAnsi" w:cstheme="minorHAnsi"/>
          <w:color w:val="000000"/>
          <w:sz w:val="22"/>
          <w:szCs w:val="22"/>
          <w:shd w:val="clear" w:color="auto" w:fill="FFFFFF"/>
          <w:lang w:val="en-GB"/>
        </w:rPr>
        <w:t>f the approved amount</w:t>
      </w:r>
      <w:r w:rsidR="00015332" w:rsidRPr="00891780">
        <w:rPr>
          <w:rStyle w:val="normaltextrun"/>
          <w:rFonts w:asciiTheme="minorHAnsi" w:hAnsiTheme="minorHAnsi" w:cstheme="minorHAnsi"/>
          <w:color w:val="000000"/>
          <w:sz w:val="22"/>
          <w:szCs w:val="22"/>
          <w:shd w:val="clear" w:color="auto" w:fill="FFFFFF"/>
          <w:lang w:val="en-GB"/>
        </w:rPr>
        <w:t xml:space="preserve"> of insurance</w:t>
      </w:r>
      <w:r w:rsidR="00B439DB" w:rsidRPr="00891780">
        <w:rPr>
          <w:rStyle w:val="normaltextrun"/>
          <w:rFonts w:asciiTheme="minorHAnsi" w:hAnsiTheme="minorHAnsi" w:cstheme="minorHAnsi"/>
          <w:color w:val="000000"/>
          <w:sz w:val="22"/>
          <w:szCs w:val="22"/>
          <w:shd w:val="clear" w:color="auto" w:fill="FFFFFF"/>
          <w:lang w:val="en-GB"/>
        </w:rPr>
        <w:t>, HRK</w:t>
      </w:r>
      <w:r w:rsidR="00015332" w:rsidRPr="00891780">
        <w:rPr>
          <w:rStyle w:val="normaltextrun"/>
          <w:rFonts w:asciiTheme="minorHAnsi" w:hAnsiTheme="minorHAnsi" w:cstheme="minorHAnsi"/>
          <w:color w:val="000000"/>
          <w:sz w:val="22"/>
          <w:szCs w:val="22"/>
          <w:shd w:val="clear" w:color="auto" w:fill="FFFFFF"/>
          <w:lang w:val="en-GB"/>
        </w:rPr>
        <w:t xml:space="preserve"> </w:t>
      </w:r>
      <w:r w:rsidR="008E4AC3" w:rsidRPr="00891780">
        <w:rPr>
          <w:rStyle w:val="normaltextrun"/>
          <w:rFonts w:asciiTheme="minorHAnsi" w:hAnsiTheme="minorHAnsi" w:cstheme="minorHAnsi"/>
          <w:color w:val="000000"/>
          <w:sz w:val="22"/>
          <w:szCs w:val="22"/>
          <w:shd w:val="clear" w:color="auto" w:fill="FFFFFF"/>
          <w:lang w:val="en-GB"/>
        </w:rPr>
        <w:t>2</w:t>
      </w:r>
      <w:r w:rsidR="00015332" w:rsidRPr="00891780">
        <w:rPr>
          <w:rStyle w:val="normaltextrun"/>
          <w:rFonts w:asciiTheme="minorHAnsi" w:hAnsiTheme="minorHAnsi" w:cstheme="minorHAnsi"/>
          <w:color w:val="000000"/>
          <w:sz w:val="22"/>
          <w:szCs w:val="22"/>
          <w:shd w:val="clear" w:color="auto" w:fill="FFFFFF"/>
          <w:lang w:val="en-GB"/>
        </w:rPr>
        <w:t>.</w:t>
      </w:r>
      <w:r w:rsidR="008E4AC3" w:rsidRPr="00891780">
        <w:rPr>
          <w:rStyle w:val="normaltextrun"/>
          <w:rFonts w:asciiTheme="minorHAnsi" w:hAnsiTheme="minorHAnsi" w:cstheme="minorHAnsi"/>
          <w:color w:val="000000"/>
          <w:sz w:val="22"/>
          <w:szCs w:val="22"/>
          <w:shd w:val="clear" w:color="auto" w:fill="FFFFFF"/>
          <w:lang w:val="en-GB"/>
        </w:rPr>
        <w:t xml:space="preserve">7 </w:t>
      </w:r>
      <w:r w:rsidR="00015332" w:rsidRPr="00891780">
        <w:rPr>
          <w:rStyle w:val="normaltextrun"/>
          <w:rFonts w:asciiTheme="minorHAnsi" w:hAnsiTheme="minorHAnsi" w:cstheme="minorHAnsi"/>
          <w:color w:val="000000"/>
          <w:sz w:val="22"/>
          <w:szCs w:val="22"/>
          <w:shd w:val="clear" w:color="auto" w:fill="FFFFFF"/>
          <w:lang w:val="en-GB"/>
        </w:rPr>
        <w:t xml:space="preserve">billion </w:t>
      </w:r>
      <w:r w:rsidR="00E01924" w:rsidRPr="00891780">
        <w:rPr>
          <w:rStyle w:val="normaltextrun"/>
          <w:rFonts w:asciiTheme="minorHAnsi" w:hAnsiTheme="minorHAnsi" w:cstheme="minorHAnsi"/>
          <w:color w:val="000000"/>
          <w:sz w:val="22"/>
          <w:szCs w:val="22"/>
          <w:shd w:val="clear" w:color="auto" w:fill="FFFFFF"/>
          <w:lang w:val="en-GB"/>
        </w:rPr>
        <w:t>related to loans approved to entrepreneurs by commercial banks</w:t>
      </w:r>
      <w:r w:rsidR="008E4AC3" w:rsidRPr="00891780">
        <w:rPr>
          <w:rStyle w:val="normaltextrun"/>
          <w:rFonts w:asciiTheme="minorHAnsi" w:hAnsiTheme="minorHAnsi" w:cstheme="minorHAnsi"/>
          <w:color w:val="000000"/>
          <w:sz w:val="22"/>
          <w:szCs w:val="22"/>
          <w:shd w:val="clear" w:color="auto" w:fill="FFFFFF"/>
          <w:lang w:val="en-GB"/>
        </w:rPr>
        <w:t>.</w:t>
      </w:r>
    </w:p>
    <w:p w14:paraId="5397C5DC" w14:textId="6E609A1D" w:rsidR="009B3F08" w:rsidRPr="00891780" w:rsidRDefault="009B3F08" w:rsidP="000B677E">
      <w:pPr>
        <w:spacing w:before="120" w:after="120" w:line="276" w:lineRule="auto"/>
        <w:jc w:val="both"/>
        <w:rPr>
          <w:rStyle w:val="normaltextrun"/>
          <w:rFonts w:ascii="Calibri" w:hAnsi="Calibri" w:cs="Calibri"/>
          <w:color w:val="000000"/>
          <w:sz w:val="22"/>
          <w:szCs w:val="22"/>
          <w:shd w:val="clear" w:color="auto" w:fill="FFFFFF"/>
          <w:lang w:val="en-GB"/>
        </w:rPr>
      </w:pPr>
      <w:r w:rsidRPr="00891780">
        <w:rPr>
          <w:rStyle w:val="normaltextrun"/>
          <w:rFonts w:ascii="Calibri" w:hAnsi="Calibri" w:cs="Calibri"/>
          <w:color w:val="000000" w:themeColor="text1"/>
          <w:sz w:val="22"/>
          <w:szCs w:val="22"/>
          <w:lang w:val="en-GB"/>
        </w:rPr>
        <w:br w:type="page"/>
      </w:r>
    </w:p>
    <w:p w14:paraId="1748D79D" w14:textId="2005E159" w:rsidR="00382CF2" w:rsidRPr="00891780" w:rsidRDefault="00AF114E" w:rsidP="000B677E">
      <w:pPr>
        <w:keepNext/>
        <w:keepLines/>
        <w:pBdr>
          <w:bottom w:val="single" w:sz="4" w:space="2" w:color="B2B2B2"/>
        </w:pBdr>
        <w:spacing w:before="360" w:after="120"/>
        <w:outlineLvl w:val="0"/>
        <w:rPr>
          <w:rFonts w:ascii="Calibri" w:eastAsia="SimHei" w:hAnsi="Calibri" w:cs="Calibri"/>
          <w:b/>
          <w:bCs/>
          <w:sz w:val="22"/>
          <w:szCs w:val="22"/>
          <w:lang w:val="en-GB"/>
        </w:rPr>
      </w:pPr>
      <w:bookmarkStart w:id="45" w:name="_Toc129176342"/>
      <w:r w:rsidRPr="00891780">
        <w:rPr>
          <w:rFonts w:ascii="Calibri" w:eastAsia="SimHei" w:hAnsi="Calibri" w:cs="Calibri"/>
          <w:b/>
          <w:bCs/>
          <w:sz w:val="22"/>
          <w:szCs w:val="22"/>
          <w:lang w:val="en-GB"/>
        </w:rPr>
        <w:lastRenderedPageBreak/>
        <w:t xml:space="preserve">CONTINUED COOPERATION </w:t>
      </w:r>
      <w:r w:rsidR="006454F8" w:rsidRPr="00891780">
        <w:rPr>
          <w:rFonts w:ascii="Calibri" w:eastAsia="SimHei" w:hAnsi="Calibri" w:cs="Calibri"/>
          <w:b/>
          <w:bCs/>
          <w:sz w:val="22"/>
          <w:szCs w:val="22"/>
          <w:lang w:val="en-GB"/>
        </w:rPr>
        <w:t>WITH</w:t>
      </w:r>
      <w:r w:rsidR="008925F4" w:rsidRPr="00891780">
        <w:rPr>
          <w:rFonts w:ascii="Calibri" w:eastAsia="SimHei" w:hAnsi="Calibri" w:cs="Calibri"/>
          <w:b/>
          <w:bCs/>
          <w:sz w:val="22"/>
          <w:szCs w:val="22"/>
          <w:lang w:val="en-GB"/>
        </w:rPr>
        <w:t xml:space="preserve"> LRGUs AND </w:t>
      </w:r>
      <w:r w:rsidR="00054989" w:rsidRPr="00891780">
        <w:rPr>
          <w:rFonts w:ascii="Calibri" w:eastAsia="SimHei" w:hAnsi="Calibri" w:cs="Calibri"/>
          <w:b/>
          <w:bCs/>
          <w:sz w:val="22"/>
          <w:szCs w:val="22"/>
          <w:lang w:val="en-GB"/>
        </w:rPr>
        <w:t>HAMAG</w:t>
      </w:r>
      <w:r w:rsidR="00B456A5" w:rsidRPr="00891780">
        <w:rPr>
          <w:rFonts w:ascii="Calibri" w:eastAsia="SimHei" w:hAnsi="Calibri" w:cs="Calibri"/>
          <w:b/>
          <w:bCs/>
          <w:sz w:val="22"/>
          <w:szCs w:val="22"/>
          <w:lang w:val="en-GB"/>
        </w:rPr>
        <w:t>-</w:t>
      </w:r>
      <w:r w:rsidR="00054989" w:rsidRPr="00891780">
        <w:rPr>
          <w:rFonts w:ascii="Calibri" w:eastAsia="SimHei" w:hAnsi="Calibri" w:cs="Calibri"/>
          <w:b/>
          <w:bCs/>
          <w:sz w:val="22"/>
          <w:szCs w:val="22"/>
          <w:lang w:val="en-GB"/>
        </w:rPr>
        <w:t>BICRO</w:t>
      </w:r>
      <w:bookmarkEnd w:id="45"/>
    </w:p>
    <w:p w14:paraId="523768CE" w14:textId="77777777" w:rsidR="009621D1" w:rsidRPr="00891780" w:rsidRDefault="009621D1" w:rsidP="000B677E">
      <w:pPr>
        <w:pStyle w:val="Heading2"/>
        <w:rPr>
          <w:rFonts w:asciiTheme="minorHAnsi" w:eastAsia="Calibri" w:hAnsiTheme="minorHAnsi" w:cstheme="minorHAnsi"/>
          <w:b/>
          <w:bCs/>
          <w:color w:val="auto"/>
          <w:sz w:val="22"/>
          <w:szCs w:val="22"/>
          <w:lang w:val="en-GB"/>
        </w:rPr>
      </w:pPr>
      <w:bookmarkStart w:id="46" w:name="_Toc97908649"/>
      <w:bookmarkStart w:id="47" w:name="_Toc129176343"/>
      <w:r w:rsidRPr="00891780">
        <w:rPr>
          <w:rFonts w:asciiTheme="minorHAnsi" w:hAnsiTheme="minorHAnsi" w:cstheme="minorHAnsi"/>
          <w:b/>
          <w:bCs/>
          <w:color w:val="auto"/>
          <w:sz w:val="22"/>
          <w:szCs w:val="22"/>
          <w:lang w:val="en-GB"/>
        </w:rPr>
        <w:t>INTEREST RATE SUBSIDY IN INDIVIDUAL COUNTIES, MUNICIPALITIES AND CITIES</w:t>
      </w:r>
      <w:bookmarkEnd w:id="46"/>
      <w:bookmarkEnd w:id="47"/>
      <w:r w:rsidRPr="00891780">
        <w:rPr>
          <w:rFonts w:asciiTheme="minorHAnsi" w:hAnsiTheme="minorHAnsi" w:cstheme="minorHAnsi"/>
          <w:b/>
          <w:bCs/>
          <w:color w:val="auto"/>
          <w:sz w:val="22"/>
          <w:szCs w:val="22"/>
          <w:lang w:val="en-GB"/>
        </w:rPr>
        <w:t xml:space="preserve"> </w:t>
      </w:r>
    </w:p>
    <w:p w14:paraId="09B97BC2" w14:textId="70EA3B86" w:rsidR="00F42F47" w:rsidRPr="00891780" w:rsidRDefault="009621D1" w:rsidP="000B677E">
      <w:pPr>
        <w:spacing w:before="120" w:line="276" w:lineRule="auto"/>
        <w:jc w:val="both"/>
        <w:rPr>
          <w:rFonts w:asciiTheme="minorHAnsi" w:eastAsia="SimSun" w:hAnsiTheme="minorHAnsi" w:cstheme="minorHAnsi"/>
          <w:sz w:val="22"/>
          <w:szCs w:val="22"/>
          <w:lang w:val="en-GB"/>
        </w:rPr>
      </w:pPr>
      <w:r w:rsidRPr="00891780">
        <w:rPr>
          <w:rStyle w:val="Zadanifontodlomka1"/>
          <w:rFonts w:asciiTheme="minorHAnsi" w:hAnsiTheme="minorHAnsi" w:cstheme="minorHAnsi"/>
          <w:sz w:val="22"/>
          <w:szCs w:val="22"/>
          <w:lang w:val="en-GB" w:eastAsia="hr-HR"/>
        </w:rPr>
        <w:t xml:space="preserve">In 2022, </w:t>
      </w:r>
      <w:r w:rsidR="00054989" w:rsidRPr="00891780">
        <w:rPr>
          <w:rStyle w:val="Zadanifontodlomka1"/>
          <w:rFonts w:asciiTheme="minorHAnsi" w:hAnsiTheme="minorHAnsi" w:cstheme="minorHAnsi"/>
          <w:sz w:val="22"/>
          <w:szCs w:val="22"/>
          <w:lang w:val="en-GB" w:eastAsia="hr-HR"/>
        </w:rPr>
        <w:t xml:space="preserve">HBOR </w:t>
      </w:r>
      <w:r w:rsidR="002E5FBD" w:rsidRPr="00891780">
        <w:rPr>
          <w:rFonts w:asciiTheme="minorHAnsi" w:hAnsiTheme="minorHAnsi" w:cstheme="minorHAnsi"/>
          <w:sz w:val="22"/>
          <w:szCs w:val="22"/>
          <w:lang w:val="en-GB"/>
        </w:rPr>
        <w:t xml:space="preserve">continued to contribute to the achievement of balanced regional development through cooperation with individual counties, </w:t>
      </w:r>
      <w:proofErr w:type="gramStart"/>
      <w:r w:rsidR="002E5FBD" w:rsidRPr="00891780">
        <w:rPr>
          <w:rFonts w:asciiTheme="minorHAnsi" w:hAnsiTheme="minorHAnsi" w:cstheme="minorHAnsi"/>
          <w:sz w:val="22"/>
          <w:szCs w:val="22"/>
          <w:lang w:val="en-GB"/>
        </w:rPr>
        <w:t>municipalities</w:t>
      </w:r>
      <w:proofErr w:type="gramEnd"/>
      <w:r w:rsidR="002E5FBD" w:rsidRPr="00891780">
        <w:rPr>
          <w:rFonts w:asciiTheme="minorHAnsi" w:hAnsiTheme="minorHAnsi" w:cstheme="minorHAnsi"/>
          <w:sz w:val="22"/>
          <w:szCs w:val="22"/>
          <w:lang w:val="en-GB"/>
        </w:rPr>
        <w:t xml:space="preserve"> and cities. Pursuant to business cooperation agreements concluded between HBOR and counties, municipalities and cities, entrepreneurs can count on interest rate subsidies, on HBOR’s loans, awarded by a county, </w:t>
      </w:r>
      <w:proofErr w:type="gramStart"/>
      <w:r w:rsidR="002E5FBD" w:rsidRPr="00891780">
        <w:rPr>
          <w:rFonts w:asciiTheme="minorHAnsi" w:hAnsiTheme="minorHAnsi" w:cstheme="minorHAnsi"/>
          <w:sz w:val="22"/>
          <w:szCs w:val="22"/>
          <w:lang w:val="en-GB"/>
        </w:rPr>
        <w:t>municipality</w:t>
      </w:r>
      <w:proofErr w:type="gramEnd"/>
      <w:r w:rsidR="002E5FBD" w:rsidRPr="00891780">
        <w:rPr>
          <w:rFonts w:asciiTheme="minorHAnsi" w:hAnsiTheme="minorHAnsi" w:cstheme="minorHAnsi"/>
          <w:sz w:val="22"/>
          <w:szCs w:val="22"/>
          <w:lang w:val="en-GB"/>
        </w:rPr>
        <w:t xml:space="preserve"> or city. In certain areas, the agreements introduced a possibility of lending to entrepreneurs at an interest rate from 0 percent. During</w:t>
      </w:r>
      <w:r w:rsidR="00054989" w:rsidRPr="00891780">
        <w:rPr>
          <w:rStyle w:val="Zadanifontodlomka1"/>
          <w:rFonts w:asciiTheme="minorHAnsi" w:eastAsia="SimSun" w:hAnsiTheme="minorHAnsi" w:cstheme="minorHAnsi"/>
          <w:sz w:val="22"/>
          <w:szCs w:val="22"/>
          <w:lang w:val="en-GB"/>
        </w:rPr>
        <w:t xml:space="preserve"> 2022</w:t>
      </w:r>
      <w:r w:rsidR="002E5FBD" w:rsidRPr="00891780">
        <w:rPr>
          <w:rStyle w:val="Zadanifontodlomka1"/>
          <w:rFonts w:asciiTheme="minorHAnsi" w:eastAsia="SimSun" w:hAnsiTheme="minorHAnsi" w:cstheme="minorHAnsi"/>
          <w:sz w:val="22"/>
          <w:szCs w:val="22"/>
          <w:lang w:val="en-GB"/>
        </w:rPr>
        <w:t>,</w:t>
      </w:r>
      <w:r w:rsidR="00054989" w:rsidRPr="00891780">
        <w:rPr>
          <w:rStyle w:val="Zadanifontodlomka1"/>
          <w:rFonts w:asciiTheme="minorHAnsi" w:eastAsia="SimSun" w:hAnsiTheme="minorHAnsi" w:cstheme="minorHAnsi"/>
          <w:sz w:val="22"/>
          <w:szCs w:val="22"/>
          <w:lang w:val="en-GB"/>
        </w:rPr>
        <w:t xml:space="preserve"> </w:t>
      </w:r>
      <w:r w:rsidR="00403A51">
        <w:rPr>
          <w:rStyle w:val="Zadanifontodlomka1"/>
          <w:rFonts w:asciiTheme="minorHAnsi" w:eastAsia="SimSun" w:hAnsiTheme="minorHAnsi" w:cstheme="minorHAnsi"/>
          <w:sz w:val="22"/>
          <w:szCs w:val="22"/>
          <w:lang w:val="en-GB"/>
        </w:rPr>
        <w:t xml:space="preserve">valid agreements were signed </w:t>
      </w:r>
      <w:r w:rsidR="004512E2">
        <w:rPr>
          <w:rStyle w:val="Zadanifontodlomka1"/>
          <w:rFonts w:asciiTheme="minorHAnsi" w:eastAsia="SimSun" w:hAnsiTheme="minorHAnsi" w:cstheme="minorHAnsi"/>
          <w:sz w:val="22"/>
          <w:szCs w:val="22"/>
          <w:lang w:val="en-GB"/>
        </w:rPr>
        <w:t xml:space="preserve">and </w:t>
      </w:r>
      <w:r w:rsidR="00A2667F">
        <w:rPr>
          <w:rStyle w:val="Zadanifontodlomka1"/>
          <w:rFonts w:asciiTheme="minorHAnsi" w:eastAsia="SimSun" w:hAnsiTheme="minorHAnsi" w:cstheme="minorHAnsi"/>
          <w:sz w:val="22"/>
          <w:szCs w:val="22"/>
          <w:lang w:val="en-GB"/>
        </w:rPr>
        <w:t xml:space="preserve">were </w:t>
      </w:r>
      <w:r w:rsidR="004512E2">
        <w:rPr>
          <w:rStyle w:val="Zadanifontodlomka1"/>
          <w:rFonts w:asciiTheme="minorHAnsi" w:eastAsia="SimSun" w:hAnsiTheme="minorHAnsi" w:cstheme="minorHAnsi"/>
          <w:sz w:val="22"/>
          <w:szCs w:val="22"/>
          <w:lang w:val="en-GB"/>
        </w:rPr>
        <w:t xml:space="preserve">in effect </w:t>
      </w:r>
      <w:r w:rsidR="00403A51">
        <w:rPr>
          <w:rStyle w:val="Zadanifontodlomka1"/>
          <w:rFonts w:asciiTheme="minorHAnsi" w:eastAsia="SimSun" w:hAnsiTheme="minorHAnsi" w:cstheme="minorHAnsi"/>
          <w:sz w:val="22"/>
          <w:szCs w:val="22"/>
          <w:lang w:val="en-GB"/>
        </w:rPr>
        <w:t xml:space="preserve">with </w:t>
      </w:r>
      <w:r w:rsidR="00F27125" w:rsidRPr="00891780">
        <w:rPr>
          <w:rFonts w:asciiTheme="minorHAnsi" w:hAnsiTheme="minorHAnsi" w:cstheme="minorHAnsi"/>
          <w:sz w:val="22"/>
          <w:szCs w:val="22"/>
          <w:lang w:val="en-GB"/>
        </w:rPr>
        <w:t>42 units of local and regional government - LRGUs</w:t>
      </w:r>
      <w:r w:rsidR="00054989" w:rsidRPr="00891780">
        <w:rPr>
          <w:rStyle w:val="Zadanifontodlomka1"/>
          <w:rFonts w:asciiTheme="minorHAnsi" w:eastAsia="SimSun" w:hAnsiTheme="minorHAnsi" w:cstheme="minorHAnsi"/>
          <w:sz w:val="22"/>
          <w:szCs w:val="22"/>
          <w:lang w:val="en-GB"/>
        </w:rPr>
        <w:t>.</w:t>
      </w:r>
    </w:p>
    <w:p w14:paraId="0F555C52" w14:textId="77777777" w:rsidR="00312BB4" w:rsidRPr="00891780" w:rsidRDefault="00312BB4" w:rsidP="000B677E">
      <w:pPr>
        <w:spacing w:after="120" w:line="276" w:lineRule="auto"/>
        <w:jc w:val="both"/>
        <w:rPr>
          <w:rFonts w:ascii="Calibri" w:eastAsia="SimSun" w:hAnsi="Calibri" w:cs="Calibri"/>
          <w:sz w:val="22"/>
          <w:szCs w:val="22"/>
          <w:lang w:val="en-GB"/>
        </w:rPr>
      </w:pPr>
    </w:p>
    <w:p w14:paraId="1748D7A1" w14:textId="7D218E3A" w:rsidR="00382CF2" w:rsidRPr="00891780" w:rsidRDefault="00B456A5" w:rsidP="000B677E">
      <w:pPr>
        <w:keepNext/>
        <w:outlineLvl w:val="1"/>
        <w:rPr>
          <w:rFonts w:ascii="Calibri" w:eastAsia="SimSun" w:hAnsi="Calibri" w:cs="Calibri"/>
          <w:b/>
          <w:bCs/>
          <w:sz w:val="22"/>
          <w:szCs w:val="22"/>
          <w:lang w:val="en-GB"/>
        </w:rPr>
      </w:pPr>
      <w:bookmarkStart w:id="48" w:name="_Toc129176344"/>
      <w:r w:rsidRPr="00891780">
        <w:rPr>
          <w:rFonts w:ascii="Calibri" w:eastAsia="SimSun" w:hAnsi="Calibri" w:cs="Calibri"/>
          <w:b/>
          <w:bCs/>
          <w:sz w:val="22"/>
          <w:szCs w:val="22"/>
          <w:lang w:val="en-GB"/>
        </w:rPr>
        <w:t>CO-OPERATION WITH HAMAG-BICRO</w:t>
      </w:r>
      <w:bookmarkEnd w:id="48"/>
      <w:r w:rsidR="00054989" w:rsidRPr="00891780">
        <w:rPr>
          <w:rFonts w:ascii="Calibri" w:eastAsia="SimSun" w:hAnsi="Calibri" w:cs="Calibri"/>
          <w:b/>
          <w:bCs/>
          <w:sz w:val="22"/>
          <w:szCs w:val="22"/>
          <w:lang w:val="en-GB"/>
        </w:rPr>
        <w:t xml:space="preserve"> </w:t>
      </w:r>
    </w:p>
    <w:p w14:paraId="1748D7A2" w14:textId="3940A95E" w:rsidR="00382CF2" w:rsidRPr="00891780" w:rsidRDefault="0009526F" w:rsidP="000B677E">
      <w:pPr>
        <w:spacing w:before="120"/>
        <w:jc w:val="both"/>
        <w:textAlignment w:val="baseline"/>
        <w:rPr>
          <w:rFonts w:asciiTheme="minorHAnsi" w:hAnsiTheme="minorHAnsi" w:cstheme="minorHAnsi"/>
          <w:sz w:val="22"/>
          <w:szCs w:val="22"/>
          <w:lang w:val="en-GB" w:eastAsia="hr-HR"/>
        </w:rPr>
      </w:pPr>
      <w:r w:rsidRPr="00891780">
        <w:rPr>
          <w:rFonts w:asciiTheme="minorHAnsi" w:hAnsiTheme="minorHAnsi" w:cstheme="minorHAnsi"/>
          <w:sz w:val="22"/>
          <w:szCs w:val="22"/>
          <w:lang w:val="en-GB" w:eastAsia="hr-HR"/>
        </w:rPr>
        <w:t>In 2022,</w:t>
      </w:r>
      <w:r w:rsidR="00054989" w:rsidRPr="00891780">
        <w:rPr>
          <w:rFonts w:asciiTheme="minorHAnsi" w:hAnsiTheme="minorHAnsi" w:cstheme="minorHAnsi"/>
          <w:sz w:val="22"/>
          <w:szCs w:val="22"/>
          <w:lang w:val="en-GB" w:eastAsia="hr-HR"/>
        </w:rPr>
        <w:t xml:space="preserve"> </w:t>
      </w:r>
      <w:r w:rsidR="00253E1E" w:rsidRPr="00891780">
        <w:rPr>
          <w:rFonts w:asciiTheme="minorHAnsi" w:hAnsiTheme="minorHAnsi" w:cstheme="minorHAnsi"/>
          <w:sz w:val="22"/>
          <w:szCs w:val="22"/>
          <w:lang w:val="en-GB"/>
        </w:rPr>
        <w:t xml:space="preserve">business cooperation with HAMAG-BICRO was continued under </w:t>
      </w:r>
      <w:proofErr w:type="gramStart"/>
      <w:r w:rsidR="00253E1E" w:rsidRPr="00891780">
        <w:rPr>
          <w:rFonts w:asciiTheme="minorHAnsi" w:hAnsiTheme="minorHAnsi" w:cstheme="minorHAnsi"/>
          <w:sz w:val="22"/>
          <w:szCs w:val="22"/>
          <w:lang w:val="en-GB"/>
        </w:rPr>
        <w:t>guarantee</w:t>
      </w:r>
      <w:proofErr w:type="gramEnd"/>
      <w:r w:rsidR="00253E1E" w:rsidRPr="00891780">
        <w:rPr>
          <w:rFonts w:asciiTheme="minorHAnsi" w:hAnsiTheme="minorHAnsi" w:cstheme="minorHAnsi"/>
          <w:sz w:val="22"/>
          <w:szCs w:val="22"/>
          <w:lang w:val="en-GB"/>
        </w:rPr>
        <w:t xml:space="preserve"> programmes</w:t>
      </w:r>
      <w:r w:rsidR="00054989" w:rsidRPr="00891780">
        <w:rPr>
          <w:rFonts w:asciiTheme="minorHAnsi" w:hAnsiTheme="minorHAnsi" w:cstheme="minorHAnsi"/>
          <w:sz w:val="22"/>
          <w:szCs w:val="22"/>
          <w:lang w:val="en-GB" w:eastAsia="hr-HR"/>
        </w:rPr>
        <w:t>:</w:t>
      </w:r>
    </w:p>
    <w:p w14:paraId="465A10C5" w14:textId="3B7A5458" w:rsidR="0061136B" w:rsidRPr="00891780" w:rsidRDefault="00054989" w:rsidP="000B677E">
      <w:pPr>
        <w:pStyle w:val="Odlomakpopisa1"/>
        <w:numPr>
          <w:ilvl w:val="0"/>
          <w:numId w:val="13"/>
        </w:numPr>
        <w:spacing w:line="276" w:lineRule="auto"/>
        <w:jc w:val="both"/>
        <w:textAlignment w:val="baseline"/>
        <w:rPr>
          <w:rFonts w:ascii="Calibri" w:hAnsi="Calibri" w:cs="Calibri"/>
          <w:sz w:val="22"/>
          <w:szCs w:val="22"/>
          <w:lang w:val="en-GB" w:eastAsia="hr-HR"/>
        </w:rPr>
      </w:pPr>
      <w:r w:rsidRPr="00891780">
        <w:rPr>
          <w:rStyle w:val="Zadanifontodlomka1"/>
          <w:rFonts w:ascii="Calibri" w:hAnsi="Calibri" w:cs="Calibri"/>
          <w:sz w:val="22"/>
          <w:szCs w:val="22"/>
          <w:lang w:val="en-GB" w:eastAsia="hr-HR"/>
        </w:rPr>
        <w:t xml:space="preserve">ESIF </w:t>
      </w:r>
      <w:r w:rsidR="00291DEC" w:rsidRPr="00891780">
        <w:rPr>
          <w:rStyle w:val="Zadanifontodlomka1"/>
          <w:rFonts w:ascii="Calibri" w:hAnsi="Calibri" w:cs="Calibri"/>
          <w:sz w:val="22"/>
          <w:szCs w:val="22"/>
          <w:lang w:val="en-GB" w:eastAsia="hr-HR"/>
        </w:rPr>
        <w:t>individual guarantees for investment loans and</w:t>
      </w:r>
      <w:r w:rsidR="0055328D" w:rsidRPr="00891780">
        <w:rPr>
          <w:rStyle w:val="Zadanifontodlomka1"/>
          <w:rFonts w:ascii="Calibri" w:hAnsi="Calibri" w:cs="Calibri"/>
          <w:sz w:val="22"/>
          <w:szCs w:val="22"/>
          <w:lang w:val="en-GB" w:eastAsia="hr-HR"/>
        </w:rPr>
        <w:t xml:space="preserve"> working capital loans intended </w:t>
      </w:r>
      <w:r w:rsidR="000C2C9F" w:rsidRPr="00891780">
        <w:rPr>
          <w:rStyle w:val="Zadanifontodlomka1"/>
          <w:rFonts w:ascii="Calibri" w:hAnsi="Calibri" w:cs="Calibri"/>
          <w:sz w:val="22"/>
          <w:szCs w:val="22"/>
          <w:lang w:val="en-GB" w:eastAsia="hr-HR"/>
        </w:rPr>
        <w:t>to</w:t>
      </w:r>
      <w:r w:rsidRPr="00891780">
        <w:rPr>
          <w:rStyle w:val="Zadanifontodlomka1"/>
          <w:rFonts w:ascii="Calibri" w:hAnsi="Calibri" w:cs="Calibri"/>
          <w:sz w:val="22"/>
          <w:szCs w:val="22"/>
          <w:lang w:val="en-GB" w:eastAsia="hr-HR"/>
        </w:rPr>
        <w:t xml:space="preserve"> </w:t>
      </w:r>
      <w:r w:rsidR="00FD4590" w:rsidRPr="00891780">
        <w:rPr>
          <w:rStyle w:val="Zadanifontodlomka1"/>
          <w:rFonts w:ascii="Calibri" w:hAnsi="Calibri" w:cs="Calibri"/>
          <w:sz w:val="22"/>
          <w:szCs w:val="22"/>
          <w:lang w:val="en-GB" w:eastAsia="hr-HR"/>
        </w:rPr>
        <w:t>small business entities</w:t>
      </w:r>
      <w:r w:rsidRPr="00891780">
        <w:rPr>
          <w:rStyle w:val="Zadanifontodlomka1"/>
          <w:rFonts w:ascii="Calibri" w:hAnsi="Calibri" w:cs="Calibri"/>
          <w:sz w:val="22"/>
          <w:szCs w:val="22"/>
          <w:lang w:val="en-GB" w:eastAsia="hr-HR"/>
        </w:rPr>
        <w:t xml:space="preserve"> (</w:t>
      </w:r>
      <w:r w:rsidR="00CD608F" w:rsidRPr="00891780">
        <w:rPr>
          <w:rStyle w:val="Zadanifontodlomka1"/>
          <w:rFonts w:ascii="Calibri" w:hAnsi="Calibri" w:cs="Calibri"/>
          <w:sz w:val="22"/>
          <w:szCs w:val="22"/>
          <w:lang w:val="en-GB" w:eastAsia="hr-HR"/>
        </w:rPr>
        <w:t>except for agriculture and fishery</w:t>
      </w:r>
      <w:r w:rsidRPr="00891780">
        <w:rPr>
          <w:rStyle w:val="Zadanifontodlomka1"/>
          <w:rFonts w:ascii="Calibri" w:hAnsi="Calibri" w:cs="Calibri"/>
          <w:sz w:val="22"/>
          <w:szCs w:val="22"/>
          <w:lang w:val="en-GB" w:eastAsia="hr-HR"/>
        </w:rPr>
        <w:t xml:space="preserve">, </w:t>
      </w:r>
      <w:r w:rsidR="00554087" w:rsidRPr="00891780">
        <w:rPr>
          <w:rStyle w:val="Zadanifontodlomka1"/>
          <w:rFonts w:ascii="Calibri" w:hAnsi="Calibri" w:cs="Calibri"/>
          <w:sz w:val="22"/>
          <w:szCs w:val="22"/>
          <w:lang w:val="en-GB" w:eastAsia="hr-HR"/>
        </w:rPr>
        <w:t>trade activities etc.</w:t>
      </w:r>
      <w:r w:rsidRPr="00891780">
        <w:rPr>
          <w:rStyle w:val="Zadanifontodlomka1"/>
          <w:rFonts w:ascii="Calibri" w:hAnsi="Calibri" w:cs="Calibri"/>
          <w:sz w:val="22"/>
          <w:szCs w:val="22"/>
          <w:lang w:val="en-GB" w:eastAsia="hr-HR"/>
        </w:rPr>
        <w:t>),</w:t>
      </w:r>
    </w:p>
    <w:p w14:paraId="653D37B9" w14:textId="094E7EFE" w:rsidR="00A920B1" w:rsidRPr="00891780" w:rsidRDefault="00054989" w:rsidP="000B677E">
      <w:pPr>
        <w:pStyle w:val="Odlomakpopisa1"/>
        <w:numPr>
          <w:ilvl w:val="0"/>
          <w:numId w:val="13"/>
        </w:numPr>
        <w:spacing w:line="276" w:lineRule="auto"/>
        <w:jc w:val="both"/>
        <w:textAlignment w:val="baseline"/>
        <w:rPr>
          <w:rFonts w:ascii="Calibri" w:hAnsi="Calibri" w:cs="Calibri"/>
          <w:sz w:val="22"/>
          <w:szCs w:val="22"/>
          <w:lang w:val="en-GB" w:eastAsia="hr-HR"/>
        </w:rPr>
      </w:pPr>
      <w:r w:rsidRPr="00891780">
        <w:rPr>
          <w:rFonts w:ascii="Calibri" w:hAnsi="Calibri" w:cs="Calibri"/>
          <w:sz w:val="22"/>
          <w:szCs w:val="22"/>
          <w:lang w:val="en-GB" w:eastAsia="hr-HR"/>
        </w:rPr>
        <w:t xml:space="preserve">ESIF </w:t>
      </w:r>
      <w:r w:rsidR="00554087" w:rsidRPr="00891780">
        <w:rPr>
          <w:rFonts w:ascii="Calibri" w:hAnsi="Calibri" w:cs="Calibri"/>
          <w:sz w:val="22"/>
          <w:szCs w:val="22"/>
          <w:lang w:val="en-GB" w:eastAsia="hr-HR"/>
        </w:rPr>
        <w:t xml:space="preserve">individual guarantees for rural development </w:t>
      </w:r>
      <w:r w:rsidR="00C137BE" w:rsidRPr="00891780">
        <w:rPr>
          <w:rFonts w:ascii="Calibri" w:hAnsi="Calibri" w:cs="Calibri"/>
          <w:sz w:val="22"/>
          <w:szCs w:val="22"/>
          <w:lang w:val="en-GB" w:eastAsia="hr-HR"/>
        </w:rPr>
        <w:t xml:space="preserve">intended for easier access </w:t>
      </w:r>
      <w:r w:rsidR="002A5650" w:rsidRPr="00891780">
        <w:rPr>
          <w:rFonts w:ascii="Calibri" w:hAnsi="Calibri" w:cs="Calibri"/>
          <w:sz w:val="22"/>
          <w:szCs w:val="22"/>
          <w:lang w:val="en-GB" w:eastAsia="hr-HR"/>
        </w:rPr>
        <w:t xml:space="preserve">to financing </w:t>
      </w:r>
      <w:r w:rsidR="00E01963" w:rsidRPr="00891780">
        <w:rPr>
          <w:rFonts w:ascii="Calibri" w:hAnsi="Calibri" w:cs="Calibri"/>
          <w:sz w:val="22"/>
          <w:szCs w:val="22"/>
          <w:lang w:val="en-GB" w:eastAsia="hr-HR"/>
        </w:rPr>
        <w:t>of micro, small and medium</w:t>
      </w:r>
      <w:r w:rsidR="006C2A5D" w:rsidRPr="00891780">
        <w:rPr>
          <w:rFonts w:ascii="Calibri" w:hAnsi="Calibri" w:cs="Calibri"/>
          <w:sz w:val="22"/>
          <w:szCs w:val="22"/>
          <w:lang w:val="en-GB" w:eastAsia="hr-HR"/>
        </w:rPr>
        <w:t xml:space="preserve"> entities of small businesses</w:t>
      </w:r>
      <w:r w:rsidR="00100919" w:rsidRPr="00891780">
        <w:rPr>
          <w:rFonts w:ascii="Calibri" w:hAnsi="Calibri" w:cs="Calibri"/>
          <w:sz w:val="22"/>
          <w:szCs w:val="22"/>
          <w:lang w:val="en-GB" w:eastAsia="hr-HR"/>
        </w:rPr>
        <w:t xml:space="preserve"> in the agricultural, processing and forestry sectors</w:t>
      </w:r>
      <w:r w:rsidRPr="00891780">
        <w:rPr>
          <w:rFonts w:ascii="Calibri" w:hAnsi="Calibri" w:cs="Calibri"/>
          <w:sz w:val="22"/>
          <w:szCs w:val="22"/>
          <w:lang w:val="en-GB" w:eastAsia="hr-HR"/>
        </w:rPr>
        <w:t>,</w:t>
      </w:r>
    </w:p>
    <w:p w14:paraId="1748D7A5" w14:textId="1F91F509" w:rsidR="00173300" w:rsidRPr="00891780" w:rsidRDefault="00054989" w:rsidP="000B677E">
      <w:pPr>
        <w:pStyle w:val="Odlomakpopisa1"/>
        <w:numPr>
          <w:ilvl w:val="0"/>
          <w:numId w:val="13"/>
        </w:numPr>
        <w:spacing w:line="276" w:lineRule="auto"/>
        <w:jc w:val="both"/>
        <w:textAlignment w:val="baseline"/>
        <w:rPr>
          <w:rStyle w:val="Zadanifontodlomka1"/>
          <w:rFonts w:ascii="Calibri" w:hAnsi="Calibri" w:cs="Calibri"/>
          <w:sz w:val="22"/>
          <w:szCs w:val="22"/>
          <w:lang w:val="en-GB" w:eastAsia="hr-HR"/>
        </w:rPr>
      </w:pPr>
      <w:r w:rsidRPr="00891780">
        <w:rPr>
          <w:rStyle w:val="Zadanifontodlomka1"/>
          <w:rFonts w:ascii="Calibri" w:hAnsi="Calibri" w:cs="Calibri"/>
          <w:sz w:val="22"/>
          <w:szCs w:val="22"/>
          <w:lang w:val="en-GB" w:eastAsia="hr-HR"/>
        </w:rPr>
        <w:t xml:space="preserve">ESIF </w:t>
      </w:r>
      <w:r w:rsidR="0088530B" w:rsidRPr="00891780">
        <w:rPr>
          <w:rStyle w:val="Zadanifontodlomka1"/>
          <w:rFonts w:ascii="Calibri" w:hAnsi="Calibri" w:cs="Calibri"/>
          <w:sz w:val="22"/>
          <w:szCs w:val="22"/>
          <w:lang w:val="en-GB" w:eastAsia="hr-HR"/>
        </w:rPr>
        <w:t>limited portfolio guarantee intended for easier access to financing of micro, small</w:t>
      </w:r>
      <w:r w:rsidR="006C2A5D" w:rsidRPr="00891780">
        <w:rPr>
          <w:rStyle w:val="Zadanifontodlomka1"/>
          <w:rFonts w:ascii="Calibri" w:hAnsi="Calibri" w:cs="Calibri"/>
          <w:sz w:val="22"/>
          <w:szCs w:val="22"/>
          <w:lang w:val="en-GB" w:eastAsia="hr-HR"/>
        </w:rPr>
        <w:t xml:space="preserve"> and medium entities of small businesses</w:t>
      </w:r>
      <w:r w:rsidRPr="00891780">
        <w:rPr>
          <w:rStyle w:val="Zadanifontodlomka1"/>
          <w:rFonts w:ascii="Calibri" w:hAnsi="Calibri" w:cs="Calibri"/>
          <w:sz w:val="22"/>
          <w:szCs w:val="22"/>
          <w:lang w:val="en-GB" w:eastAsia="hr-HR"/>
        </w:rPr>
        <w:t>.</w:t>
      </w:r>
    </w:p>
    <w:p w14:paraId="10ADF0C8" w14:textId="77777777" w:rsidR="00173300" w:rsidRPr="00891780" w:rsidRDefault="00173300" w:rsidP="000B677E">
      <w:pPr>
        <w:rPr>
          <w:rFonts w:ascii="Calibri" w:hAnsi="Calibri" w:cs="Calibri"/>
          <w:sz w:val="22"/>
          <w:szCs w:val="22"/>
          <w:lang w:val="en-GB" w:eastAsia="hr-HR"/>
        </w:rPr>
      </w:pPr>
      <w:r w:rsidRPr="00891780">
        <w:rPr>
          <w:rFonts w:ascii="Calibri" w:hAnsi="Calibri" w:cs="Calibri"/>
          <w:sz w:val="22"/>
          <w:szCs w:val="22"/>
          <w:lang w:val="en-GB" w:eastAsia="hr-HR"/>
        </w:rPr>
        <w:br w:type="page"/>
      </w:r>
    </w:p>
    <w:p w14:paraId="1748D7A7" w14:textId="288D5F90" w:rsidR="00382CF2" w:rsidRPr="00891780" w:rsidRDefault="00054989" w:rsidP="000B677E">
      <w:pPr>
        <w:keepNext/>
        <w:keepLines/>
        <w:pBdr>
          <w:bottom w:val="single" w:sz="4" w:space="2" w:color="B2B2B2"/>
        </w:pBdr>
        <w:spacing w:before="360" w:after="120"/>
        <w:outlineLvl w:val="0"/>
        <w:rPr>
          <w:rFonts w:ascii="Calibri" w:eastAsia="SimHei" w:hAnsi="Calibri" w:cs="Calibri"/>
          <w:b/>
          <w:bCs/>
          <w:sz w:val="22"/>
          <w:szCs w:val="22"/>
          <w:lang w:val="en-GB"/>
        </w:rPr>
      </w:pPr>
      <w:bookmarkStart w:id="49" w:name="_Toc129176345"/>
      <w:r w:rsidRPr="00891780">
        <w:rPr>
          <w:rFonts w:ascii="Calibri" w:eastAsia="SimHei" w:hAnsi="Calibri" w:cs="Calibri"/>
          <w:b/>
          <w:bCs/>
          <w:sz w:val="22"/>
          <w:szCs w:val="22"/>
          <w:lang w:val="en-GB"/>
        </w:rPr>
        <w:lastRenderedPageBreak/>
        <w:t>EU PROGRAM</w:t>
      </w:r>
      <w:r w:rsidR="00FD4590" w:rsidRPr="00891780">
        <w:rPr>
          <w:rFonts w:ascii="Calibri" w:eastAsia="SimHei" w:hAnsi="Calibri" w:cs="Calibri"/>
          <w:b/>
          <w:bCs/>
          <w:sz w:val="22"/>
          <w:szCs w:val="22"/>
          <w:lang w:val="en-GB"/>
        </w:rPr>
        <w:t>MES AND INITIATIVES</w:t>
      </w:r>
      <w:bookmarkStart w:id="50" w:name="_Hlk126930912"/>
      <w:bookmarkEnd w:id="49"/>
    </w:p>
    <w:p w14:paraId="1748D7A8" w14:textId="0694F277" w:rsidR="00382CF2" w:rsidRPr="00891780" w:rsidRDefault="00054989" w:rsidP="000B677E">
      <w:pPr>
        <w:keepNext/>
        <w:outlineLvl w:val="1"/>
        <w:rPr>
          <w:rFonts w:ascii="Calibri" w:eastAsia="SimSun" w:hAnsi="Calibri" w:cs="Calibri"/>
          <w:b/>
          <w:bCs/>
          <w:sz w:val="22"/>
          <w:szCs w:val="22"/>
          <w:lang w:val="en-GB"/>
        </w:rPr>
      </w:pPr>
      <w:bookmarkStart w:id="51" w:name="_Toc129176346"/>
      <w:bookmarkEnd w:id="50"/>
      <w:r w:rsidRPr="00891780">
        <w:rPr>
          <w:rFonts w:ascii="Calibri" w:eastAsia="SimSun" w:hAnsi="Calibri" w:cs="Calibri"/>
          <w:b/>
          <w:bCs/>
          <w:sz w:val="22"/>
          <w:szCs w:val="22"/>
          <w:lang w:val="en-GB"/>
        </w:rPr>
        <w:t>FINANCI</w:t>
      </w:r>
      <w:r w:rsidR="00FD4590" w:rsidRPr="00891780">
        <w:rPr>
          <w:rFonts w:ascii="Calibri" w:eastAsia="SimSun" w:hAnsi="Calibri" w:cs="Calibri"/>
          <w:b/>
          <w:bCs/>
          <w:sz w:val="22"/>
          <w:szCs w:val="22"/>
          <w:lang w:val="en-GB"/>
        </w:rPr>
        <w:t>AL INSTRUMENTS</w:t>
      </w:r>
      <w:bookmarkEnd w:id="51"/>
      <w:r w:rsidRPr="00891780">
        <w:rPr>
          <w:rFonts w:ascii="Calibri" w:eastAsia="SimSun" w:hAnsi="Calibri" w:cs="Calibri"/>
          <w:b/>
          <w:bCs/>
          <w:sz w:val="22"/>
          <w:szCs w:val="22"/>
          <w:lang w:val="en-GB"/>
        </w:rPr>
        <w:t xml:space="preserve"> </w:t>
      </w:r>
    </w:p>
    <w:p w14:paraId="1748D7A9" w14:textId="3AB4C24C" w:rsidR="00382CF2" w:rsidRPr="00891780" w:rsidRDefault="00FD4590" w:rsidP="000B677E">
      <w:pPr>
        <w:spacing w:before="120" w:after="120" w:line="276" w:lineRule="auto"/>
        <w:jc w:val="both"/>
        <w:rPr>
          <w:rFonts w:asciiTheme="minorHAnsi" w:eastAsia="Calibri" w:hAnsiTheme="minorHAnsi" w:cstheme="minorHAnsi"/>
          <w:sz w:val="22"/>
          <w:szCs w:val="22"/>
          <w:lang w:val="en-GB"/>
        </w:rPr>
      </w:pPr>
      <w:r w:rsidRPr="00891780">
        <w:rPr>
          <w:rFonts w:asciiTheme="minorHAnsi" w:eastAsia="Calibri" w:hAnsiTheme="minorHAnsi" w:cstheme="minorHAnsi"/>
          <w:sz w:val="22"/>
          <w:szCs w:val="22"/>
          <w:lang w:val="en-GB"/>
        </w:rPr>
        <w:t xml:space="preserve">In 2022, </w:t>
      </w:r>
      <w:r w:rsidR="00054989" w:rsidRPr="00891780">
        <w:rPr>
          <w:rFonts w:asciiTheme="minorHAnsi" w:eastAsia="Calibri" w:hAnsiTheme="minorHAnsi" w:cstheme="minorHAnsi"/>
          <w:sz w:val="22"/>
          <w:szCs w:val="22"/>
          <w:lang w:val="en-GB"/>
        </w:rPr>
        <w:t xml:space="preserve">HBOR </w:t>
      </w:r>
      <w:r w:rsidR="006F5DA0" w:rsidRPr="00891780">
        <w:rPr>
          <w:rFonts w:asciiTheme="minorHAnsi" w:eastAsia="Calibri" w:hAnsiTheme="minorHAnsi" w:cstheme="minorHAnsi"/>
          <w:sz w:val="22"/>
          <w:szCs w:val="22"/>
          <w:lang w:val="en-GB"/>
        </w:rPr>
        <w:t xml:space="preserve">continued to implement the current Financial </w:t>
      </w:r>
      <w:r w:rsidR="00D86628">
        <w:rPr>
          <w:rFonts w:asciiTheme="minorHAnsi" w:eastAsia="Calibri" w:hAnsiTheme="minorHAnsi" w:cstheme="minorHAnsi"/>
          <w:sz w:val="22"/>
          <w:szCs w:val="22"/>
          <w:lang w:val="en-GB"/>
        </w:rPr>
        <w:t>I</w:t>
      </w:r>
      <w:r w:rsidR="006F5DA0" w:rsidRPr="00891780">
        <w:rPr>
          <w:rFonts w:asciiTheme="minorHAnsi" w:eastAsia="Calibri" w:hAnsiTheme="minorHAnsi" w:cstheme="minorHAnsi"/>
          <w:sz w:val="22"/>
          <w:szCs w:val="22"/>
          <w:lang w:val="en-GB"/>
        </w:rPr>
        <w:t>nstruments intended for the private sector: “ESIF Growth and Expansion Loans” and “Working Capital for Rural Development</w:t>
      </w:r>
      <w:r w:rsidR="00054989" w:rsidRPr="00891780">
        <w:rPr>
          <w:rFonts w:asciiTheme="minorHAnsi" w:eastAsia="Calibri" w:hAnsiTheme="minorHAnsi" w:cstheme="minorHAnsi"/>
          <w:sz w:val="22"/>
          <w:szCs w:val="22"/>
          <w:lang w:val="en-GB"/>
        </w:rPr>
        <w:t>”</w:t>
      </w:r>
      <w:r w:rsidR="006F5DA0" w:rsidRPr="00891780">
        <w:rPr>
          <w:rFonts w:asciiTheme="minorHAnsi" w:eastAsia="Calibri" w:hAnsiTheme="minorHAnsi" w:cstheme="minorHAnsi"/>
          <w:sz w:val="22"/>
          <w:szCs w:val="22"/>
          <w:lang w:val="en-GB"/>
        </w:rPr>
        <w:t>, but also the financial instrument</w:t>
      </w:r>
      <w:r w:rsidR="00F377F8" w:rsidRPr="00891780">
        <w:rPr>
          <w:rFonts w:asciiTheme="minorHAnsi" w:eastAsia="Calibri" w:hAnsiTheme="minorHAnsi" w:cstheme="minorHAnsi"/>
          <w:sz w:val="22"/>
          <w:szCs w:val="22"/>
          <w:lang w:val="en-GB"/>
        </w:rPr>
        <w:t xml:space="preserve"> intended to the public sector</w:t>
      </w:r>
      <w:r w:rsidR="00054989" w:rsidRPr="00891780">
        <w:rPr>
          <w:rFonts w:asciiTheme="minorHAnsi" w:eastAsia="Calibri" w:hAnsiTheme="minorHAnsi" w:cstheme="minorHAnsi"/>
          <w:sz w:val="22"/>
          <w:szCs w:val="22"/>
          <w:lang w:val="en-GB"/>
        </w:rPr>
        <w:t xml:space="preserve">: </w:t>
      </w:r>
      <w:r w:rsidR="00207CDE">
        <w:rPr>
          <w:rFonts w:asciiTheme="minorHAnsi" w:eastAsia="Calibri" w:hAnsiTheme="minorHAnsi" w:cstheme="minorHAnsi"/>
          <w:sz w:val="22"/>
          <w:szCs w:val="22"/>
          <w:lang w:val="en-GB"/>
        </w:rPr>
        <w:t>“</w:t>
      </w:r>
      <w:r w:rsidR="00054989" w:rsidRPr="00891780">
        <w:rPr>
          <w:rFonts w:asciiTheme="minorHAnsi" w:eastAsia="Calibri" w:hAnsiTheme="minorHAnsi" w:cstheme="minorHAnsi"/>
          <w:sz w:val="22"/>
          <w:szCs w:val="22"/>
          <w:lang w:val="en-GB"/>
        </w:rPr>
        <w:t xml:space="preserve">ESIF </w:t>
      </w:r>
      <w:r w:rsidR="00966F2D" w:rsidRPr="00891780">
        <w:rPr>
          <w:rFonts w:asciiTheme="minorHAnsi" w:hAnsiTheme="minorHAnsi" w:cstheme="minorHAnsi"/>
          <w:sz w:val="22"/>
          <w:szCs w:val="22"/>
          <w:lang w:val="en-GB"/>
        </w:rPr>
        <w:t>Loans for Public Lighting</w:t>
      </w:r>
      <w:r w:rsidR="00207CDE">
        <w:rPr>
          <w:rFonts w:asciiTheme="minorHAnsi" w:hAnsiTheme="minorHAnsi" w:cstheme="minorHAnsi"/>
          <w:sz w:val="22"/>
          <w:szCs w:val="22"/>
          <w:lang w:val="en-GB"/>
        </w:rPr>
        <w:t>”</w:t>
      </w:r>
      <w:r w:rsidR="00054989" w:rsidRPr="00891780">
        <w:rPr>
          <w:rFonts w:asciiTheme="minorHAnsi" w:eastAsia="Calibri" w:hAnsiTheme="minorHAnsi" w:cstheme="minorHAnsi"/>
          <w:sz w:val="22"/>
          <w:szCs w:val="22"/>
          <w:lang w:val="en-GB"/>
        </w:rPr>
        <w:t xml:space="preserve">. </w:t>
      </w:r>
      <w:r w:rsidR="00AE623A" w:rsidRPr="00891780">
        <w:rPr>
          <w:rFonts w:asciiTheme="minorHAnsi" w:eastAsia="Calibri" w:hAnsiTheme="minorHAnsi" w:cstheme="minorHAnsi"/>
          <w:sz w:val="22"/>
          <w:szCs w:val="22"/>
          <w:lang w:val="en-GB"/>
        </w:rPr>
        <w:t>At the same time, the adjustment of existing financial instruments to the needs of the market continued through changes in their terms and conditions.</w:t>
      </w:r>
    </w:p>
    <w:p w14:paraId="1748D7AA" w14:textId="478704B3" w:rsidR="00382CF2" w:rsidRPr="00891780" w:rsidRDefault="00494321" w:rsidP="000B677E">
      <w:pPr>
        <w:spacing w:before="120" w:after="120" w:line="276" w:lineRule="auto"/>
        <w:jc w:val="both"/>
        <w:rPr>
          <w:rFonts w:asciiTheme="minorHAnsi" w:eastAsia="Calibri" w:hAnsiTheme="minorHAnsi" w:cstheme="minorHAnsi"/>
          <w:sz w:val="22"/>
          <w:szCs w:val="22"/>
          <w:lang w:val="en-GB"/>
        </w:rPr>
      </w:pPr>
      <w:r w:rsidRPr="00891780">
        <w:rPr>
          <w:rFonts w:asciiTheme="minorHAnsi" w:eastAsia="Calibri" w:hAnsiTheme="minorHAnsi" w:cstheme="minorHAnsi"/>
          <w:sz w:val="22"/>
          <w:szCs w:val="22"/>
          <w:lang w:val="en-GB"/>
        </w:rPr>
        <w:t>In addition to the implementation of existing financial instruments, HBOR actively participated through working groups in the process of programming the use of EU funds for the new financial period 2021-2027.</w:t>
      </w:r>
      <w:r w:rsidR="00054989" w:rsidRPr="00891780">
        <w:rPr>
          <w:rFonts w:asciiTheme="minorHAnsi" w:eastAsia="Calibri" w:hAnsiTheme="minorHAnsi" w:cstheme="minorHAnsi"/>
          <w:sz w:val="22"/>
          <w:szCs w:val="22"/>
          <w:lang w:val="en-GB"/>
        </w:rPr>
        <w:t xml:space="preserve"> </w:t>
      </w:r>
      <w:r w:rsidR="003A6483" w:rsidRPr="00891780">
        <w:rPr>
          <w:rFonts w:asciiTheme="minorHAnsi" w:eastAsia="Calibri" w:hAnsiTheme="minorHAnsi" w:cstheme="minorHAnsi"/>
          <w:sz w:val="22"/>
          <w:szCs w:val="22"/>
          <w:lang w:val="en-GB"/>
        </w:rPr>
        <w:t>The programming process, coordinated by the Ministry of Regional Development and EU Funds, ended in December 2022, and resulted in the adoption of key Program</w:t>
      </w:r>
      <w:r w:rsidR="004C52C5" w:rsidRPr="00891780">
        <w:rPr>
          <w:rFonts w:asciiTheme="minorHAnsi" w:eastAsia="Calibri" w:hAnsiTheme="minorHAnsi" w:cstheme="minorHAnsi"/>
          <w:sz w:val="22"/>
          <w:szCs w:val="22"/>
          <w:lang w:val="en-GB"/>
        </w:rPr>
        <w:t>me</w:t>
      </w:r>
      <w:r w:rsidR="003A6483" w:rsidRPr="00891780">
        <w:rPr>
          <w:rFonts w:asciiTheme="minorHAnsi" w:eastAsia="Calibri" w:hAnsiTheme="minorHAnsi" w:cstheme="minorHAnsi"/>
          <w:sz w:val="22"/>
          <w:szCs w:val="22"/>
          <w:lang w:val="en-GB"/>
        </w:rPr>
        <w:t xml:space="preserve"> documents (Partnership Agreement, Operational Program</w:t>
      </w:r>
      <w:r w:rsidR="004C52C5" w:rsidRPr="00891780">
        <w:rPr>
          <w:rFonts w:asciiTheme="minorHAnsi" w:eastAsia="Calibri" w:hAnsiTheme="minorHAnsi" w:cstheme="minorHAnsi"/>
          <w:sz w:val="22"/>
          <w:szCs w:val="22"/>
          <w:lang w:val="en-GB"/>
        </w:rPr>
        <w:t>me</w:t>
      </w:r>
      <w:r w:rsidR="003A6483" w:rsidRPr="00891780">
        <w:rPr>
          <w:rFonts w:asciiTheme="minorHAnsi" w:eastAsia="Calibri" w:hAnsiTheme="minorHAnsi" w:cstheme="minorHAnsi"/>
          <w:sz w:val="22"/>
          <w:szCs w:val="22"/>
          <w:lang w:val="en-GB"/>
        </w:rPr>
        <w:t xml:space="preserve"> Competitiveness and Cohesion 2021-2027 (</w:t>
      </w:r>
      <w:r w:rsidR="00E94F8A" w:rsidRPr="00891780">
        <w:rPr>
          <w:rFonts w:asciiTheme="minorHAnsi" w:eastAsia="Calibri" w:hAnsiTheme="minorHAnsi" w:cstheme="minorHAnsi"/>
          <w:sz w:val="22"/>
          <w:szCs w:val="22"/>
          <w:lang w:val="en-GB"/>
        </w:rPr>
        <w:t>OPCC</w:t>
      </w:r>
      <w:r w:rsidR="003A6483" w:rsidRPr="00891780">
        <w:rPr>
          <w:rFonts w:asciiTheme="minorHAnsi" w:eastAsia="Calibri" w:hAnsiTheme="minorHAnsi" w:cstheme="minorHAnsi"/>
          <w:sz w:val="22"/>
          <w:szCs w:val="22"/>
          <w:lang w:val="en-GB"/>
        </w:rPr>
        <w:t>)</w:t>
      </w:r>
      <w:r w:rsidR="00054989" w:rsidRPr="00891780">
        <w:rPr>
          <w:rFonts w:asciiTheme="minorHAnsi" w:eastAsia="Calibri" w:hAnsiTheme="minorHAnsi" w:cstheme="minorHAnsi"/>
          <w:sz w:val="22"/>
          <w:szCs w:val="22"/>
          <w:lang w:val="en-GB"/>
        </w:rPr>
        <w:t>, Integr</w:t>
      </w:r>
      <w:r w:rsidR="00E94F8A" w:rsidRPr="00891780">
        <w:rPr>
          <w:rFonts w:asciiTheme="minorHAnsi" w:eastAsia="Calibri" w:hAnsiTheme="minorHAnsi" w:cstheme="minorHAnsi"/>
          <w:sz w:val="22"/>
          <w:szCs w:val="22"/>
          <w:lang w:val="en-GB"/>
        </w:rPr>
        <w:t>ated Territorial Programme</w:t>
      </w:r>
      <w:r w:rsidR="00054989" w:rsidRPr="00891780">
        <w:rPr>
          <w:rFonts w:asciiTheme="minorHAnsi" w:eastAsia="Calibri" w:hAnsiTheme="minorHAnsi" w:cstheme="minorHAnsi"/>
          <w:sz w:val="22"/>
          <w:szCs w:val="22"/>
          <w:lang w:val="en-GB"/>
        </w:rPr>
        <w:t xml:space="preserve"> 2021</w:t>
      </w:r>
      <w:r w:rsidR="00324ADA">
        <w:rPr>
          <w:rFonts w:asciiTheme="minorHAnsi" w:eastAsia="Calibri" w:hAnsiTheme="minorHAnsi" w:cstheme="minorHAnsi"/>
          <w:sz w:val="22"/>
          <w:szCs w:val="22"/>
          <w:lang w:val="en-GB"/>
        </w:rPr>
        <w:t>-</w:t>
      </w:r>
      <w:r w:rsidR="00054989" w:rsidRPr="00891780">
        <w:rPr>
          <w:rFonts w:asciiTheme="minorHAnsi" w:eastAsia="Calibri" w:hAnsiTheme="minorHAnsi" w:cstheme="minorHAnsi"/>
          <w:sz w:val="22"/>
          <w:szCs w:val="22"/>
          <w:lang w:val="en-GB"/>
        </w:rPr>
        <w:t>2027 (ITP), Operati</w:t>
      </w:r>
      <w:r w:rsidR="00E94F8A" w:rsidRPr="00891780">
        <w:rPr>
          <w:rFonts w:asciiTheme="minorHAnsi" w:eastAsia="Calibri" w:hAnsiTheme="minorHAnsi" w:cstheme="minorHAnsi"/>
          <w:sz w:val="22"/>
          <w:szCs w:val="22"/>
          <w:lang w:val="en-GB"/>
        </w:rPr>
        <w:t xml:space="preserve">onal Programme </w:t>
      </w:r>
      <w:r w:rsidR="006D5185" w:rsidRPr="00891780">
        <w:rPr>
          <w:rFonts w:asciiTheme="minorHAnsi" w:eastAsia="Calibri" w:hAnsiTheme="minorHAnsi" w:cstheme="minorHAnsi"/>
          <w:sz w:val="22"/>
          <w:szCs w:val="22"/>
          <w:lang w:val="en-GB"/>
        </w:rPr>
        <w:t>Effective Human Resources</w:t>
      </w:r>
      <w:r w:rsidR="00054989" w:rsidRPr="00891780">
        <w:rPr>
          <w:rFonts w:asciiTheme="minorHAnsi" w:eastAsia="Calibri" w:hAnsiTheme="minorHAnsi" w:cstheme="minorHAnsi"/>
          <w:sz w:val="22"/>
          <w:szCs w:val="22"/>
          <w:lang w:val="en-GB"/>
        </w:rPr>
        <w:t xml:space="preserve"> 2021-2027 (</w:t>
      </w:r>
      <w:r w:rsidR="006D5185" w:rsidRPr="00891780">
        <w:rPr>
          <w:rFonts w:asciiTheme="minorHAnsi" w:eastAsia="Calibri" w:hAnsiTheme="minorHAnsi" w:cstheme="minorHAnsi"/>
          <w:sz w:val="22"/>
          <w:szCs w:val="22"/>
          <w:lang w:val="en-GB"/>
        </w:rPr>
        <w:t>EHR</w:t>
      </w:r>
      <w:r w:rsidR="00054989" w:rsidRPr="00891780">
        <w:rPr>
          <w:rFonts w:asciiTheme="minorHAnsi" w:eastAsia="Calibri" w:hAnsiTheme="minorHAnsi" w:cstheme="minorHAnsi"/>
          <w:sz w:val="22"/>
          <w:szCs w:val="22"/>
          <w:lang w:val="en-GB"/>
        </w:rPr>
        <w:t xml:space="preserve">), </w:t>
      </w:r>
      <w:r w:rsidR="004D6FCC" w:rsidRPr="00891780">
        <w:rPr>
          <w:rFonts w:asciiTheme="minorHAnsi" w:eastAsia="Calibri" w:hAnsiTheme="minorHAnsi" w:cstheme="minorHAnsi"/>
          <w:sz w:val="22"/>
          <w:szCs w:val="22"/>
          <w:lang w:val="en-GB"/>
        </w:rPr>
        <w:t xml:space="preserve">Fisheries and Aquaculture Programme </w:t>
      </w:r>
      <w:r w:rsidR="00054989" w:rsidRPr="00891780">
        <w:rPr>
          <w:rFonts w:asciiTheme="minorHAnsi" w:eastAsia="Calibri" w:hAnsiTheme="minorHAnsi" w:cstheme="minorHAnsi"/>
          <w:sz w:val="22"/>
          <w:szCs w:val="22"/>
          <w:lang w:val="en-GB"/>
        </w:rPr>
        <w:t>2021-2027 (</w:t>
      </w:r>
      <w:r w:rsidR="00A70C16" w:rsidRPr="00891780">
        <w:rPr>
          <w:rFonts w:asciiTheme="minorHAnsi" w:eastAsia="Calibri" w:hAnsiTheme="minorHAnsi" w:cstheme="minorHAnsi"/>
          <w:sz w:val="22"/>
          <w:szCs w:val="22"/>
          <w:lang w:val="en-GB"/>
        </w:rPr>
        <w:t>FAP</w:t>
      </w:r>
      <w:r w:rsidR="00054989" w:rsidRPr="00891780">
        <w:rPr>
          <w:rFonts w:asciiTheme="minorHAnsi" w:eastAsia="Calibri" w:hAnsiTheme="minorHAnsi" w:cstheme="minorHAnsi"/>
          <w:sz w:val="22"/>
          <w:szCs w:val="22"/>
          <w:lang w:val="en-GB"/>
        </w:rPr>
        <w:t>))</w:t>
      </w:r>
      <w:r w:rsidR="007D3E0C" w:rsidRPr="00891780">
        <w:rPr>
          <w:rFonts w:asciiTheme="minorHAnsi" w:eastAsia="Calibri" w:hAnsiTheme="minorHAnsi" w:cstheme="minorHAnsi"/>
          <w:sz w:val="22"/>
          <w:szCs w:val="22"/>
          <w:lang w:val="en-GB"/>
        </w:rPr>
        <w:t xml:space="preserve"> by the European Commission</w:t>
      </w:r>
      <w:r w:rsidR="00054989" w:rsidRPr="00891780">
        <w:rPr>
          <w:rFonts w:asciiTheme="minorHAnsi" w:eastAsia="Calibri" w:hAnsiTheme="minorHAnsi" w:cstheme="minorHAnsi"/>
          <w:sz w:val="22"/>
          <w:szCs w:val="22"/>
          <w:lang w:val="en-GB"/>
        </w:rPr>
        <w:t>.</w:t>
      </w:r>
    </w:p>
    <w:p w14:paraId="7594AA1A" w14:textId="120071C6" w:rsidR="00DD4B19" w:rsidRPr="00891780" w:rsidRDefault="00F5463C" w:rsidP="000B677E">
      <w:pPr>
        <w:spacing w:before="120" w:after="120" w:line="276" w:lineRule="auto"/>
        <w:jc w:val="both"/>
        <w:rPr>
          <w:rFonts w:asciiTheme="minorHAnsi" w:eastAsia="Calibri" w:hAnsiTheme="minorHAnsi" w:cstheme="minorHAnsi"/>
          <w:sz w:val="22"/>
          <w:szCs w:val="22"/>
          <w:lang w:val="en-GB"/>
        </w:rPr>
      </w:pPr>
      <w:r w:rsidRPr="00891780">
        <w:rPr>
          <w:rFonts w:asciiTheme="minorHAnsi" w:eastAsia="Calibri" w:hAnsiTheme="minorHAnsi" w:cstheme="minorHAnsi"/>
          <w:sz w:val="22"/>
          <w:szCs w:val="22"/>
          <w:lang w:val="en-GB"/>
        </w:rPr>
        <w:t>In 2022, through work in informal working groups coordinated by the Ministry of Regional Development and E</w:t>
      </w:r>
      <w:r w:rsidR="00745304" w:rsidRPr="00891780">
        <w:rPr>
          <w:rFonts w:asciiTheme="minorHAnsi" w:eastAsia="Calibri" w:hAnsiTheme="minorHAnsi" w:cstheme="minorHAnsi"/>
          <w:sz w:val="22"/>
          <w:szCs w:val="22"/>
          <w:lang w:val="en-GB"/>
        </w:rPr>
        <w:t>U</w:t>
      </w:r>
      <w:r w:rsidRPr="00891780">
        <w:rPr>
          <w:rFonts w:asciiTheme="minorHAnsi" w:eastAsia="Calibri" w:hAnsiTheme="minorHAnsi" w:cstheme="minorHAnsi"/>
          <w:sz w:val="22"/>
          <w:szCs w:val="22"/>
          <w:lang w:val="en-GB"/>
        </w:rPr>
        <w:t xml:space="preserve"> Funds, and in cooperation with </w:t>
      </w:r>
      <w:r w:rsidR="00891437" w:rsidRPr="00891780">
        <w:rPr>
          <w:rFonts w:asciiTheme="minorHAnsi" w:eastAsia="Calibri" w:hAnsiTheme="minorHAnsi" w:cstheme="minorHAnsi"/>
          <w:sz w:val="22"/>
          <w:szCs w:val="22"/>
          <w:lang w:val="en-GB"/>
        </w:rPr>
        <w:t>the</w:t>
      </w:r>
      <w:r w:rsidRPr="00891780">
        <w:rPr>
          <w:rFonts w:asciiTheme="minorHAnsi" w:eastAsia="Calibri" w:hAnsiTheme="minorHAnsi" w:cstheme="minorHAnsi"/>
          <w:sz w:val="22"/>
          <w:szCs w:val="22"/>
          <w:lang w:val="en-GB"/>
        </w:rPr>
        <w:t xml:space="preserve"> ministries</w:t>
      </w:r>
      <w:r w:rsidR="00891437" w:rsidRPr="00891780">
        <w:rPr>
          <w:rFonts w:asciiTheme="minorHAnsi" w:eastAsia="Calibri" w:hAnsiTheme="minorHAnsi" w:cstheme="minorHAnsi"/>
          <w:sz w:val="22"/>
          <w:szCs w:val="22"/>
          <w:lang w:val="en-GB"/>
        </w:rPr>
        <w:t xml:space="preserve"> in charge</w:t>
      </w:r>
      <w:r w:rsidRPr="00891780">
        <w:rPr>
          <w:rFonts w:asciiTheme="minorHAnsi" w:eastAsia="Calibri" w:hAnsiTheme="minorHAnsi" w:cstheme="minorHAnsi"/>
          <w:sz w:val="22"/>
          <w:szCs w:val="22"/>
          <w:lang w:val="en-GB"/>
        </w:rPr>
        <w:t>, HBOR began the process of developing new financial instruments, the implementation of which is expected in 2024.</w:t>
      </w:r>
    </w:p>
    <w:p w14:paraId="26D90C72" w14:textId="77777777" w:rsidR="00ED0A0F" w:rsidRPr="00891780" w:rsidRDefault="00ED0A0F" w:rsidP="000B677E">
      <w:pPr>
        <w:spacing w:before="120" w:after="120" w:line="276" w:lineRule="auto"/>
        <w:jc w:val="both"/>
        <w:rPr>
          <w:rFonts w:ascii="Calibri" w:eastAsia="Calibri" w:hAnsi="Calibri" w:cs="Calibri"/>
          <w:sz w:val="22"/>
          <w:szCs w:val="22"/>
          <w:lang w:val="en-GB"/>
        </w:rPr>
      </w:pPr>
    </w:p>
    <w:p w14:paraId="0FA841D9" w14:textId="77777777" w:rsidR="00F90292" w:rsidRPr="00891780" w:rsidRDefault="00F90292" w:rsidP="000B677E">
      <w:pPr>
        <w:pStyle w:val="Heading3"/>
        <w:jc w:val="both"/>
        <w:rPr>
          <w:rFonts w:asciiTheme="minorHAnsi" w:hAnsiTheme="minorHAnsi" w:cstheme="minorHAnsi"/>
          <w:b/>
          <w:bCs/>
          <w:color w:val="auto"/>
          <w:sz w:val="22"/>
          <w:szCs w:val="22"/>
          <w:lang w:val="en-GB"/>
        </w:rPr>
      </w:pPr>
      <w:bookmarkStart w:id="52" w:name="_Toc97908654"/>
      <w:bookmarkStart w:id="53" w:name="_Toc129176347"/>
      <w:r w:rsidRPr="00891780">
        <w:rPr>
          <w:rFonts w:asciiTheme="minorHAnsi" w:hAnsiTheme="minorHAnsi" w:cstheme="minorHAnsi"/>
          <w:b/>
          <w:bCs/>
          <w:color w:val="auto"/>
          <w:sz w:val="22"/>
          <w:szCs w:val="22"/>
          <w:lang w:val="en-GB"/>
        </w:rPr>
        <w:t>GUARANTEES UNDER PAN-EUROPEAN GUARANTEE FUND (EGF) – GRANTING LOANS ON FAVOURABLE TERMS AND CONDITIONS TO MITIGATE THE CONSEQUENCES OF THE COVID-19</w:t>
      </w:r>
      <w:bookmarkEnd w:id="52"/>
      <w:r w:rsidRPr="00891780">
        <w:rPr>
          <w:rFonts w:asciiTheme="minorHAnsi" w:hAnsiTheme="minorHAnsi" w:cstheme="minorHAnsi"/>
          <w:b/>
          <w:bCs/>
          <w:color w:val="auto"/>
          <w:sz w:val="22"/>
          <w:szCs w:val="22"/>
          <w:lang w:val="en-GB"/>
        </w:rPr>
        <w:t xml:space="preserve"> PANDEMIC</w:t>
      </w:r>
      <w:bookmarkEnd w:id="53"/>
    </w:p>
    <w:p w14:paraId="1748D7AE" w14:textId="0A8E37E9" w:rsidR="00382CF2" w:rsidRPr="00891780" w:rsidRDefault="00B80B0C" w:rsidP="000B677E">
      <w:pPr>
        <w:spacing w:before="120" w:after="120" w:line="276" w:lineRule="auto"/>
        <w:jc w:val="both"/>
        <w:rPr>
          <w:rFonts w:asciiTheme="minorHAnsi" w:hAnsiTheme="minorHAnsi" w:cstheme="minorHAnsi"/>
          <w:sz w:val="22"/>
          <w:szCs w:val="22"/>
          <w:lang w:val="en-GB"/>
        </w:rPr>
      </w:pPr>
      <w:r w:rsidRPr="00891780">
        <w:rPr>
          <w:rFonts w:asciiTheme="minorHAnsi" w:hAnsiTheme="minorHAnsi" w:cstheme="minorHAnsi"/>
          <w:sz w:val="22"/>
          <w:szCs w:val="22"/>
          <w:lang w:val="en-GB"/>
        </w:rPr>
        <w:t>The Pan-European Guarantee Fund was set up by the EIB Group in 2020 to accelerate the recovery of the European economy following the COVID-19 pandemic</w:t>
      </w:r>
      <w:r w:rsidR="006B13CF">
        <w:rPr>
          <w:rFonts w:asciiTheme="minorHAnsi" w:hAnsiTheme="minorHAnsi" w:cstheme="minorHAnsi"/>
          <w:sz w:val="22"/>
          <w:szCs w:val="22"/>
          <w:lang w:val="en-GB"/>
        </w:rPr>
        <w:t xml:space="preserve"> with an objective of </w:t>
      </w:r>
      <w:r w:rsidRPr="00891780">
        <w:rPr>
          <w:rFonts w:asciiTheme="minorHAnsi" w:hAnsiTheme="minorHAnsi" w:cstheme="minorHAnsi"/>
          <w:sz w:val="22"/>
          <w:szCs w:val="22"/>
          <w:lang w:val="en-GB"/>
        </w:rPr>
        <w:t>preserv</w:t>
      </w:r>
      <w:r w:rsidR="006B13CF">
        <w:rPr>
          <w:rFonts w:asciiTheme="minorHAnsi" w:hAnsiTheme="minorHAnsi" w:cstheme="minorHAnsi"/>
          <w:sz w:val="22"/>
          <w:szCs w:val="22"/>
          <w:lang w:val="en-GB"/>
        </w:rPr>
        <w:t>ing</w:t>
      </w:r>
      <w:r w:rsidRPr="00891780">
        <w:rPr>
          <w:rFonts w:asciiTheme="minorHAnsi" w:hAnsiTheme="minorHAnsi" w:cstheme="minorHAnsi"/>
          <w:sz w:val="22"/>
          <w:szCs w:val="22"/>
          <w:lang w:val="en-GB"/>
        </w:rPr>
        <w:t xml:space="preserve"> jobs and provid</w:t>
      </w:r>
      <w:r w:rsidR="006B13CF">
        <w:rPr>
          <w:rFonts w:asciiTheme="minorHAnsi" w:hAnsiTheme="minorHAnsi" w:cstheme="minorHAnsi"/>
          <w:sz w:val="22"/>
          <w:szCs w:val="22"/>
          <w:lang w:val="en-GB"/>
        </w:rPr>
        <w:t>ing</w:t>
      </w:r>
      <w:r w:rsidRPr="00891780">
        <w:rPr>
          <w:rFonts w:asciiTheme="minorHAnsi" w:hAnsiTheme="minorHAnsi" w:cstheme="minorHAnsi"/>
          <w:sz w:val="22"/>
          <w:szCs w:val="22"/>
          <w:lang w:val="en-GB"/>
        </w:rPr>
        <w:t xml:space="preserve"> liquidity. Within the framework of the Pan-European Guarantee Fund, </w:t>
      </w:r>
      <w:r w:rsidR="00DE270B" w:rsidRPr="00891780">
        <w:rPr>
          <w:rFonts w:asciiTheme="minorHAnsi" w:hAnsiTheme="minorHAnsi" w:cstheme="minorHAnsi"/>
          <w:sz w:val="22"/>
          <w:szCs w:val="22"/>
          <w:lang w:val="en-GB"/>
        </w:rPr>
        <w:t xml:space="preserve">in 2021, </w:t>
      </w:r>
      <w:r w:rsidRPr="00891780">
        <w:rPr>
          <w:rFonts w:asciiTheme="minorHAnsi" w:hAnsiTheme="minorHAnsi" w:cstheme="minorHAnsi"/>
          <w:sz w:val="22"/>
          <w:szCs w:val="22"/>
          <w:lang w:val="en-GB"/>
        </w:rPr>
        <w:t xml:space="preserve">HBOR entered into </w:t>
      </w:r>
      <w:r w:rsidR="00DE270B" w:rsidRPr="00891780">
        <w:rPr>
          <w:rFonts w:asciiTheme="minorHAnsi" w:hAnsiTheme="minorHAnsi" w:cstheme="minorHAnsi"/>
          <w:sz w:val="22"/>
          <w:szCs w:val="22"/>
          <w:lang w:val="en-GB"/>
        </w:rPr>
        <w:t xml:space="preserve">a </w:t>
      </w:r>
      <w:r w:rsidR="00D22436">
        <w:rPr>
          <w:rFonts w:asciiTheme="minorHAnsi" w:hAnsiTheme="minorHAnsi" w:cstheme="minorHAnsi"/>
          <w:sz w:val="22"/>
          <w:szCs w:val="22"/>
          <w:lang w:val="en-GB"/>
        </w:rPr>
        <w:t>G</w:t>
      </w:r>
      <w:r w:rsidR="00DE270B" w:rsidRPr="00891780">
        <w:rPr>
          <w:rFonts w:asciiTheme="minorHAnsi" w:hAnsiTheme="minorHAnsi" w:cstheme="minorHAnsi"/>
          <w:sz w:val="22"/>
          <w:szCs w:val="22"/>
          <w:lang w:val="en-GB"/>
        </w:rPr>
        <w:t xml:space="preserve">uarantee </w:t>
      </w:r>
      <w:r w:rsidR="00D22436">
        <w:rPr>
          <w:rFonts w:asciiTheme="minorHAnsi" w:hAnsiTheme="minorHAnsi" w:cstheme="minorHAnsi"/>
          <w:sz w:val="22"/>
          <w:szCs w:val="22"/>
          <w:lang w:val="en-GB"/>
        </w:rPr>
        <w:t>A</w:t>
      </w:r>
      <w:r w:rsidR="00DE270B" w:rsidRPr="00891780">
        <w:rPr>
          <w:rFonts w:asciiTheme="minorHAnsi" w:hAnsiTheme="minorHAnsi" w:cstheme="minorHAnsi"/>
          <w:sz w:val="22"/>
          <w:szCs w:val="22"/>
          <w:lang w:val="en-GB"/>
        </w:rPr>
        <w:t>greement with the</w:t>
      </w:r>
      <w:r w:rsidR="00054989" w:rsidRPr="00891780">
        <w:rPr>
          <w:rFonts w:asciiTheme="minorHAnsi" w:hAnsiTheme="minorHAnsi" w:cstheme="minorHAnsi"/>
          <w:sz w:val="22"/>
          <w:szCs w:val="22"/>
          <w:lang w:val="en-GB"/>
        </w:rPr>
        <w:t xml:space="preserve"> Europ</w:t>
      </w:r>
      <w:r w:rsidR="00DE270B" w:rsidRPr="00891780">
        <w:rPr>
          <w:rFonts w:asciiTheme="minorHAnsi" w:hAnsiTheme="minorHAnsi" w:cstheme="minorHAnsi"/>
          <w:sz w:val="22"/>
          <w:szCs w:val="22"/>
          <w:lang w:val="en-GB"/>
        </w:rPr>
        <w:t>ean Investment Fund</w:t>
      </w:r>
      <w:r w:rsidR="00054989" w:rsidRPr="00891780">
        <w:rPr>
          <w:rFonts w:asciiTheme="minorHAnsi" w:hAnsiTheme="minorHAnsi" w:cstheme="minorHAnsi"/>
          <w:sz w:val="22"/>
          <w:szCs w:val="22"/>
          <w:lang w:val="en-GB"/>
        </w:rPr>
        <w:t xml:space="preserve"> (EIF). </w:t>
      </w:r>
    </w:p>
    <w:p w14:paraId="1748D7AF" w14:textId="437A2337" w:rsidR="00382CF2" w:rsidRPr="00891780" w:rsidRDefault="00E02D3F" w:rsidP="000B677E">
      <w:pPr>
        <w:spacing w:before="120" w:after="120" w:line="276" w:lineRule="auto"/>
        <w:jc w:val="both"/>
        <w:rPr>
          <w:rFonts w:asciiTheme="minorHAnsi" w:eastAsia="Calibri" w:hAnsiTheme="minorHAnsi" w:cstheme="minorHAnsi"/>
          <w:sz w:val="22"/>
          <w:szCs w:val="22"/>
          <w:lang w:val="en-GB"/>
        </w:rPr>
      </w:pPr>
      <w:r w:rsidRPr="00891780">
        <w:rPr>
          <w:rFonts w:asciiTheme="minorHAnsi" w:hAnsiTheme="minorHAnsi" w:cstheme="minorHAnsi"/>
          <w:sz w:val="22"/>
          <w:szCs w:val="22"/>
          <w:lang w:val="en-GB"/>
        </w:rPr>
        <w:t xml:space="preserve">By conclusion of the agreement with the </w:t>
      </w:r>
      <w:r w:rsidR="00054989" w:rsidRPr="00891780">
        <w:rPr>
          <w:rFonts w:asciiTheme="minorHAnsi" w:eastAsia="Calibri" w:hAnsiTheme="minorHAnsi" w:cstheme="minorHAnsi"/>
          <w:sz w:val="22"/>
          <w:szCs w:val="22"/>
          <w:lang w:val="en-GB"/>
        </w:rPr>
        <w:t>EIF</w:t>
      </w:r>
      <w:r w:rsidRPr="00891780">
        <w:rPr>
          <w:rFonts w:asciiTheme="minorHAnsi" w:eastAsia="Calibri" w:hAnsiTheme="minorHAnsi" w:cstheme="minorHAnsi"/>
          <w:sz w:val="22"/>
          <w:szCs w:val="22"/>
          <w:lang w:val="en-GB"/>
        </w:rPr>
        <w:t>,</w:t>
      </w:r>
      <w:r w:rsidR="00054989" w:rsidRPr="00891780">
        <w:rPr>
          <w:rFonts w:asciiTheme="minorHAnsi" w:eastAsia="Calibri" w:hAnsiTheme="minorHAnsi" w:cstheme="minorHAnsi"/>
          <w:sz w:val="22"/>
          <w:szCs w:val="22"/>
          <w:lang w:val="en-GB"/>
        </w:rPr>
        <w:t xml:space="preserve"> </w:t>
      </w:r>
      <w:r w:rsidR="007C6382" w:rsidRPr="00891780">
        <w:rPr>
          <w:rFonts w:asciiTheme="minorHAnsi" w:hAnsiTheme="minorHAnsi" w:cstheme="minorHAnsi"/>
          <w:sz w:val="22"/>
          <w:szCs w:val="22"/>
          <w:lang w:val="en-GB"/>
        </w:rPr>
        <w:t>HBOR was enabled to use guarantees for the loan portfolio granted to small and medium enterprises and mid-caps in the total amount of up to EUR 50 million</w:t>
      </w:r>
      <w:r w:rsidR="00054989" w:rsidRPr="00891780">
        <w:rPr>
          <w:rFonts w:asciiTheme="minorHAnsi" w:eastAsia="Calibri" w:hAnsiTheme="minorHAnsi" w:cstheme="minorHAnsi"/>
          <w:sz w:val="22"/>
          <w:szCs w:val="22"/>
          <w:lang w:val="en-GB"/>
        </w:rPr>
        <w:t xml:space="preserve">. </w:t>
      </w:r>
    </w:p>
    <w:p w14:paraId="1748D7B0" w14:textId="5B7451A3" w:rsidR="00382CF2" w:rsidRPr="00891780" w:rsidRDefault="003223AE" w:rsidP="000B677E">
      <w:pPr>
        <w:spacing w:before="120" w:after="120" w:line="276" w:lineRule="auto"/>
        <w:jc w:val="both"/>
        <w:rPr>
          <w:rFonts w:asciiTheme="minorHAnsi" w:eastAsia="Calibri" w:hAnsiTheme="minorHAnsi" w:cstheme="minorHAnsi"/>
          <w:sz w:val="22"/>
          <w:szCs w:val="22"/>
          <w:lang w:val="en-GB"/>
        </w:rPr>
      </w:pPr>
      <w:r w:rsidRPr="00891780">
        <w:rPr>
          <w:rFonts w:asciiTheme="minorHAnsi" w:eastAsia="Calibri" w:hAnsiTheme="minorHAnsi" w:cstheme="minorHAnsi"/>
          <w:sz w:val="22"/>
          <w:szCs w:val="22"/>
          <w:lang w:val="en-GB"/>
        </w:rPr>
        <w:t>These guarantees were used</w:t>
      </w:r>
      <w:r w:rsidR="00054989" w:rsidRPr="00891780">
        <w:rPr>
          <w:rFonts w:asciiTheme="minorHAnsi" w:eastAsia="Calibri" w:hAnsiTheme="minorHAnsi" w:cstheme="minorHAnsi"/>
          <w:sz w:val="22"/>
          <w:szCs w:val="22"/>
          <w:lang w:val="en-GB"/>
        </w:rPr>
        <w:t xml:space="preserve"> </w:t>
      </w:r>
      <w:r w:rsidR="003737ED" w:rsidRPr="00891780">
        <w:rPr>
          <w:rFonts w:asciiTheme="minorHAnsi" w:hAnsiTheme="minorHAnsi" w:cstheme="minorHAnsi"/>
          <w:sz w:val="22"/>
          <w:szCs w:val="22"/>
          <w:lang w:val="en-GB"/>
        </w:rPr>
        <w:t>for directly approved loans under existing loan programmes in order to obtain more favourable terms and conditions: loan approval at interest rates reduced by 0.403 percentage points compared to regular or lower requirements for collateral, or loan approval with bills of exchange and promissory notes only</w:t>
      </w:r>
      <w:r w:rsidR="00054989" w:rsidRPr="00891780">
        <w:rPr>
          <w:rFonts w:asciiTheme="minorHAnsi" w:eastAsia="Calibri" w:hAnsiTheme="minorHAnsi" w:cstheme="minorHAnsi"/>
          <w:sz w:val="22"/>
          <w:szCs w:val="22"/>
          <w:lang w:val="en-GB"/>
        </w:rPr>
        <w:t xml:space="preserve">. </w:t>
      </w:r>
      <w:r w:rsidR="00FC3FB5" w:rsidRPr="00891780">
        <w:rPr>
          <w:rFonts w:asciiTheme="minorHAnsi" w:eastAsia="Calibri" w:hAnsiTheme="minorHAnsi" w:cstheme="minorHAnsi"/>
          <w:sz w:val="22"/>
          <w:szCs w:val="22"/>
          <w:lang w:val="en-GB"/>
        </w:rPr>
        <w:t>Entrepreneurs could use t</w:t>
      </w:r>
      <w:r w:rsidR="00FC3FB5" w:rsidRPr="00891780">
        <w:rPr>
          <w:rFonts w:asciiTheme="minorHAnsi" w:hAnsiTheme="minorHAnsi" w:cstheme="minorHAnsi"/>
          <w:sz w:val="22"/>
          <w:szCs w:val="22"/>
          <w:lang w:val="en-GB"/>
        </w:rPr>
        <w:t xml:space="preserve">hese benefits </w:t>
      </w:r>
      <w:r w:rsidR="00DB14CC" w:rsidRPr="00891780">
        <w:rPr>
          <w:rFonts w:asciiTheme="minorHAnsi" w:hAnsiTheme="minorHAnsi" w:cstheme="minorHAnsi"/>
          <w:sz w:val="22"/>
          <w:szCs w:val="22"/>
          <w:lang w:val="en-GB"/>
        </w:rPr>
        <w:t xml:space="preserve">for working capital and </w:t>
      </w:r>
      <w:r w:rsidR="00D22436">
        <w:rPr>
          <w:rFonts w:asciiTheme="minorHAnsi" w:hAnsiTheme="minorHAnsi" w:cstheme="minorHAnsi"/>
          <w:sz w:val="22"/>
          <w:szCs w:val="22"/>
          <w:lang w:val="en-GB"/>
        </w:rPr>
        <w:t xml:space="preserve">capital </w:t>
      </w:r>
      <w:r w:rsidR="00DB14CC" w:rsidRPr="00891780">
        <w:rPr>
          <w:rFonts w:asciiTheme="minorHAnsi" w:hAnsiTheme="minorHAnsi" w:cstheme="minorHAnsi"/>
          <w:sz w:val="22"/>
          <w:szCs w:val="22"/>
          <w:lang w:val="en-GB"/>
        </w:rPr>
        <w:t>investment loans</w:t>
      </w:r>
      <w:r w:rsidR="00054989" w:rsidRPr="00891780">
        <w:rPr>
          <w:rFonts w:asciiTheme="minorHAnsi" w:eastAsia="Calibri" w:hAnsiTheme="minorHAnsi" w:cstheme="minorHAnsi"/>
          <w:sz w:val="22"/>
          <w:szCs w:val="22"/>
          <w:lang w:val="en-GB"/>
        </w:rPr>
        <w:t xml:space="preserve">. </w:t>
      </w:r>
    </w:p>
    <w:p w14:paraId="1748D7B1" w14:textId="1D0CA05A" w:rsidR="00382CF2" w:rsidRPr="00891780" w:rsidRDefault="00C644EA" w:rsidP="000B677E">
      <w:pPr>
        <w:spacing w:before="120" w:after="120" w:line="276" w:lineRule="auto"/>
        <w:jc w:val="both"/>
        <w:rPr>
          <w:rFonts w:asciiTheme="minorHAnsi" w:eastAsia="Calibri" w:hAnsiTheme="minorHAnsi" w:cstheme="minorHAnsi"/>
          <w:sz w:val="22"/>
          <w:szCs w:val="22"/>
          <w:lang w:val="en-GB"/>
        </w:rPr>
      </w:pPr>
      <w:r w:rsidRPr="00891780">
        <w:rPr>
          <w:rFonts w:asciiTheme="minorHAnsi" w:eastAsia="Calibri" w:hAnsiTheme="minorHAnsi" w:cstheme="minorHAnsi"/>
          <w:sz w:val="22"/>
          <w:szCs w:val="22"/>
          <w:lang w:val="en-GB"/>
        </w:rPr>
        <w:t>This product was implemented throughout 2022, at its implementation ended at the</w:t>
      </w:r>
      <w:r w:rsidR="003135E7" w:rsidRPr="00891780">
        <w:rPr>
          <w:rFonts w:asciiTheme="minorHAnsi" w:eastAsia="Calibri" w:hAnsiTheme="minorHAnsi" w:cstheme="minorHAnsi"/>
          <w:sz w:val="22"/>
          <w:szCs w:val="22"/>
          <w:lang w:val="en-GB"/>
        </w:rPr>
        <w:t xml:space="preserve"> end of the year</w:t>
      </w:r>
      <w:r w:rsidR="00054989" w:rsidRPr="00891780">
        <w:rPr>
          <w:rFonts w:asciiTheme="minorHAnsi" w:eastAsia="Calibri" w:hAnsiTheme="minorHAnsi" w:cstheme="minorHAnsi"/>
          <w:sz w:val="22"/>
          <w:szCs w:val="22"/>
          <w:lang w:val="en-GB"/>
        </w:rPr>
        <w:t xml:space="preserve">. </w:t>
      </w:r>
      <w:r w:rsidR="003135E7" w:rsidRPr="00891780">
        <w:rPr>
          <w:rFonts w:asciiTheme="minorHAnsi" w:eastAsia="Calibri" w:hAnsiTheme="minorHAnsi" w:cstheme="minorHAnsi"/>
          <w:sz w:val="22"/>
          <w:szCs w:val="22"/>
          <w:lang w:val="en-GB"/>
        </w:rPr>
        <w:t>Under the product,</w:t>
      </w:r>
      <w:r w:rsidR="00A90043" w:rsidRPr="00891780">
        <w:rPr>
          <w:rFonts w:asciiTheme="minorHAnsi" w:eastAsia="Calibri" w:hAnsiTheme="minorHAnsi" w:cstheme="minorHAnsi"/>
          <w:sz w:val="22"/>
          <w:szCs w:val="22"/>
          <w:lang w:val="en-GB"/>
        </w:rPr>
        <w:t xml:space="preserve"> HBOR utilised the planned portfolio of EUR 50 million of approved loans</w:t>
      </w:r>
      <w:r w:rsidR="00B904E5">
        <w:rPr>
          <w:rFonts w:asciiTheme="minorHAnsi" w:eastAsia="Calibri" w:hAnsiTheme="minorHAnsi" w:cstheme="minorHAnsi"/>
          <w:sz w:val="22"/>
          <w:szCs w:val="22"/>
          <w:lang w:val="en-GB"/>
        </w:rPr>
        <w:t xml:space="preserve"> in full</w:t>
      </w:r>
      <w:r w:rsidR="00A90043" w:rsidRPr="00891780">
        <w:rPr>
          <w:rFonts w:asciiTheme="minorHAnsi" w:eastAsia="Calibri" w:hAnsiTheme="minorHAnsi" w:cstheme="minorHAnsi"/>
          <w:sz w:val="22"/>
          <w:szCs w:val="22"/>
          <w:lang w:val="en-GB"/>
        </w:rPr>
        <w:t>.</w:t>
      </w:r>
      <w:r w:rsidR="00054989" w:rsidRPr="00891780">
        <w:rPr>
          <w:rFonts w:asciiTheme="minorHAnsi" w:eastAsia="Calibri" w:hAnsiTheme="minorHAnsi" w:cstheme="minorHAnsi"/>
          <w:sz w:val="22"/>
          <w:szCs w:val="22"/>
          <w:lang w:val="en-GB"/>
        </w:rPr>
        <w:t xml:space="preserve"> </w:t>
      </w:r>
    </w:p>
    <w:p w14:paraId="1748D7B2" w14:textId="77777777" w:rsidR="00382CF2" w:rsidRPr="00891780" w:rsidRDefault="00382CF2" w:rsidP="000B677E">
      <w:pPr>
        <w:spacing w:before="120" w:after="120" w:line="276" w:lineRule="auto"/>
        <w:jc w:val="both"/>
        <w:rPr>
          <w:rFonts w:ascii="Calibri" w:eastAsia="Calibri" w:hAnsi="Calibri" w:cs="Calibri"/>
          <w:sz w:val="22"/>
          <w:szCs w:val="22"/>
          <w:lang w:val="en-GB"/>
        </w:rPr>
      </w:pPr>
    </w:p>
    <w:p w14:paraId="10852905" w14:textId="79C9E856" w:rsidR="00097F3D" w:rsidRPr="00891780" w:rsidRDefault="00043086" w:rsidP="000B677E">
      <w:pPr>
        <w:pStyle w:val="Heading3"/>
        <w:jc w:val="both"/>
        <w:rPr>
          <w:rFonts w:asciiTheme="minorHAnsi" w:hAnsiTheme="minorHAnsi" w:cstheme="minorHAnsi"/>
          <w:b/>
          <w:bCs/>
          <w:color w:val="auto"/>
          <w:sz w:val="22"/>
          <w:szCs w:val="22"/>
          <w:lang w:val="en-GB"/>
        </w:rPr>
      </w:pPr>
      <w:bookmarkStart w:id="54" w:name="_Toc129176348"/>
      <w:r w:rsidRPr="00891780">
        <w:rPr>
          <w:rFonts w:ascii="Calibri" w:eastAsia="SimSun" w:hAnsi="Calibri" w:cs="Calibri"/>
          <w:b/>
          <w:bCs/>
          <w:color w:val="auto"/>
          <w:sz w:val="22"/>
          <w:szCs w:val="22"/>
          <w:lang w:val="en-GB"/>
        </w:rPr>
        <w:t xml:space="preserve">NATURAL CAPITAL FINANCING FACILITY (NCFF) </w:t>
      </w:r>
      <w:r w:rsidR="00054989" w:rsidRPr="00891780">
        <w:rPr>
          <w:rFonts w:ascii="Calibri" w:eastAsia="SimSun" w:hAnsi="Calibri" w:cs="Calibri"/>
          <w:b/>
          <w:bCs/>
          <w:sz w:val="22"/>
          <w:szCs w:val="22"/>
          <w:lang w:val="en-GB"/>
        </w:rPr>
        <w:t xml:space="preserve">- </w:t>
      </w:r>
      <w:r w:rsidR="00097F3D" w:rsidRPr="00891780">
        <w:rPr>
          <w:rFonts w:asciiTheme="minorHAnsi" w:hAnsiTheme="minorHAnsi" w:cstheme="minorHAnsi"/>
          <w:b/>
          <w:bCs/>
          <w:color w:val="auto"/>
          <w:sz w:val="22"/>
          <w:szCs w:val="22"/>
          <w:lang w:val="en-GB"/>
        </w:rPr>
        <w:t>CREDIT LINE FOR THE FINANCING OF NATURAL CAPITAL</w:t>
      </w:r>
      <w:bookmarkEnd w:id="54"/>
      <w:r w:rsidR="00097F3D" w:rsidRPr="00891780">
        <w:rPr>
          <w:rFonts w:asciiTheme="minorHAnsi" w:hAnsiTheme="minorHAnsi" w:cstheme="minorHAnsi"/>
          <w:b/>
          <w:bCs/>
          <w:color w:val="auto"/>
          <w:sz w:val="22"/>
          <w:szCs w:val="22"/>
          <w:lang w:val="en-GB"/>
        </w:rPr>
        <w:t xml:space="preserve"> </w:t>
      </w:r>
    </w:p>
    <w:p w14:paraId="1748D7B3" w14:textId="22C2691E" w:rsidR="00382CF2" w:rsidRPr="00891780" w:rsidRDefault="00382CF2" w:rsidP="000B677E">
      <w:pPr>
        <w:keepNext/>
        <w:jc w:val="both"/>
        <w:outlineLvl w:val="1"/>
        <w:rPr>
          <w:rFonts w:ascii="Calibri" w:eastAsia="SimSun" w:hAnsi="Calibri" w:cs="Calibri"/>
          <w:b/>
          <w:bCs/>
          <w:sz w:val="22"/>
          <w:szCs w:val="22"/>
          <w:lang w:val="en-GB"/>
        </w:rPr>
      </w:pPr>
    </w:p>
    <w:p w14:paraId="1748D7B4" w14:textId="676D96E9" w:rsidR="00382CF2" w:rsidRPr="00891780" w:rsidRDefault="003B4807" w:rsidP="000B677E">
      <w:pPr>
        <w:spacing w:before="120" w:after="120" w:line="276" w:lineRule="auto"/>
        <w:jc w:val="both"/>
        <w:rPr>
          <w:rFonts w:asciiTheme="minorHAnsi" w:eastAsia="Calibri" w:hAnsiTheme="minorHAnsi" w:cstheme="minorHAnsi"/>
          <w:sz w:val="22"/>
          <w:szCs w:val="22"/>
          <w:lang w:val="en-GB"/>
        </w:rPr>
      </w:pPr>
      <w:r w:rsidRPr="00891780">
        <w:rPr>
          <w:rFonts w:asciiTheme="minorHAnsi" w:eastAsia="Calibri" w:hAnsiTheme="minorHAnsi" w:cstheme="minorHAnsi"/>
          <w:sz w:val="22"/>
          <w:szCs w:val="22"/>
          <w:lang w:val="en-GB"/>
        </w:rPr>
        <w:t>Until the end of September 2022, HBOR implemented the NCFF credit line, which resulted from the cooperation with the EIB and the concluded Financ</w:t>
      </w:r>
      <w:r w:rsidR="00DF107A">
        <w:rPr>
          <w:rFonts w:asciiTheme="minorHAnsi" w:eastAsia="Calibri" w:hAnsiTheme="minorHAnsi" w:cstheme="minorHAnsi"/>
          <w:sz w:val="22"/>
          <w:szCs w:val="22"/>
          <w:lang w:val="en-GB"/>
        </w:rPr>
        <w:t xml:space="preserve">e Contract </w:t>
      </w:r>
      <w:r w:rsidRPr="00891780">
        <w:rPr>
          <w:rFonts w:asciiTheme="minorHAnsi" w:eastAsia="Calibri" w:hAnsiTheme="minorHAnsi" w:cstheme="minorHAnsi"/>
          <w:sz w:val="22"/>
          <w:szCs w:val="22"/>
          <w:lang w:val="en-GB"/>
        </w:rPr>
        <w:t xml:space="preserve">in the amount of </w:t>
      </w:r>
      <w:r w:rsidR="00437375" w:rsidRPr="00891780">
        <w:rPr>
          <w:rFonts w:asciiTheme="minorHAnsi" w:eastAsia="Calibri" w:hAnsiTheme="minorHAnsi" w:cstheme="minorHAnsi"/>
          <w:sz w:val="22"/>
          <w:szCs w:val="22"/>
          <w:lang w:val="en-GB"/>
        </w:rPr>
        <w:t xml:space="preserve">EUR </w:t>
      </w:r>
      <w:r w:rsidRPr="00891780">
        <w:rPr>
          <w:rFonts w:asciiTheme="minorHAnsi" w:eastAsia="Calibri" w:hAnsiTheme="minorHAnsi" w:cstheme="minorHAnsi"/>
          <w:sz w:val="22"/>
          <w:szCs w:val="22"/>
          <w:lang w:val="en-GB"/>
        </w:rPr>
        <w:t xml:space="preserve">15 million, the funds of which were intended for financing the </w:t>
      </w:r>
      <w:r w:rsidR="00B37F9D" w:rsidRPr="00891780">
        <w:rPr>
          <w:rFonts w:asciiTheme="minorHAnsi" w:eastAsia="Calibri" w:hAnsiTheme="minorHAnsi" w:cstheme="minorHAnsi"/>
          <w:sz w:val="22"/>
          <w:szCs w:val="22"/>
          <w:lang w:val="en-GB"/>
        </w:rPr>
        <w:t>conservation</w:t>
      </w:r>
      <w:r w:rsidRPr="00891780">
        <w:rPr>
          <w:rFonts w:asciiTheme="minorHAnsi" w:eastAsia="Calibri" w:hAnsiTheme="minorHAnsi" w:cstheme="minorHAnsi"/>
          <w:sz w:val="22"/>
          <w:szCs w:val="22"/>
          <w:lang w:val="en-GB"/>
        </w:rPr>
        <w:t xml:space="preserve"> and sustainable use of biodiversity through green entrepreneurship and </w:t>
      </w:r>
      <w:r w:rsidR="0076679B" w:rsidRPr="00891780">
        <w:rPr>
          <w:rFonts w:asciiTheme="minorHAnsi" w:hAnsiTheme="minorHAnsi" w:cstheme="minorHAnsi"/>
          <w:sz w:val="22"/>
          <w:szCs w:val="22"/>
          <w:lang w:val="en-GB" w:eastAsia="x-none"/>
        </w:rPr>
        <w:t>climate change adaptation by using natural solutions</w:t>
      </w:r>
      <w:r w:rsidR="00054989" w:rsidRPr="00891780">
        <w:rPr>
          <w:rFonts w:asciiTheme="minorHAnsi" w:eastAsia="Calibri" w:hAnsiTheme="minorHAnsi" w:cstheme="minorHAnsi"/>
          <w:sz w:val="22"/>
          <w:szCs w:val="22"/>
          <w:lang w:val="en-GB"/>
        </w:rPr>
        <w:t>.</w:t>
      </w:r>
    </w:p>
    <w:p w14:paraId="1748D7B5" w14:textId="4B9FC30A" w:rsidR="00382CF2" w:rsidRPr="00891780" w:rsidRDefault="002F6F99" w:rsidP="004A0A4A">
      <w:pPr>
        <w:spacing w:before="120" w:after="120" w:line="264" w:lineRule="auto"/>
        <w:jc w:val="both"/>
        <w:rPr>
          <w:rFonts w:ascii="Calibri" w:eastAsia="Calibri" w:hAnsi="Calibri" w:cs="Calibri"/>
          <w:sz w:val="22"/>
          <w:szCs w:val="22"/>
          <w:lang w:val="en-GB"/>
        </w:rPr>
      </w:pPr>
      <w:r w:rsidRPr="00891780">
        <w:rPr>
          <w:rFonts w:ascii="Calibri" w:eastAsia="Calibri" w:hAnsi="Calibri" w:cs="Calibri"/>
          <w:sz w:val="22"/>
          <w:szCs w:val="22"/>
          <w:lang w:val="en-GB"/>
        </w:rPr>
        <w:lastRenderedPageBreak/>
        <w:t xml:space="preserve">NCFF is a financial instrument that combines EIB funds and LIFE programme funds, an instrument of the European Union intended to finance activities in the field of </w:t>
      </w:r>
      <w:r w:rsidR="00316232" w:rsidRPr="00891780">
        <w:rPr>
          <w:rFonts w:ascii="Calibri" w:eastAsia="Calibri" w:hAnsi="Calibri" w:cs="Calibri"/>
          <w:sz w:val="22"/>
          <w:szCs w:val="22"/>
          <w:lang w:val="en-GB"/>
        </w:rPr>
        <w:t>environment</w:t>
      </w:r>
      <w:r w:rsidRPr="00891780">
        <w:rPr>
          <w:rFonts w:ascii="Calibri" w:eastAsia="Calibri" w:hAnsi="Calibri" w:cs="Calibri"/>
          <w:sz w:val="22"/>
          <w:szCs w:val="22"/>
          <w:lang w:val="en-GB"/>
        </w:rPr>
        <w:t>, nature and climate protection.</w:t>
      </w:r>
    </w:p>
    <w:p w14:paraId="1748D7B6" w14:textId="4978D50C" w:rsidR="00382CF2" w:rsidRPr="00891780" w:rsidRDefault="00D31AD7" w:rsidP="004A0A4A">
      <w:pPr>
        <w:spacing w:before="120" w:after="120" w:line="264" w:lineRule="auto"/>
        <w:jc w:val="both"/>
        <w:rPr>
          <w:rFonts w:ascii="Calibri" w:eastAsia="Calibri" w:hAnsi="Calibri" w:cs="Calibri"/>
          <w:sz w:val="22"/>
          <w:szCs w:val="22"/>
          <w:lang w:val="en-GB"/>
        </w:rPr>
      </w:pPr>
      <w:r w:rsidRPr="00891780">
        <w:rPr>
          <w:rFonts w:ascii="Calibri" w:eastAsia="Calibri" w:hAnsi="Calibri" w:cs="Calibri"/>
          <w:sz w:val="22"/>
          <w:szCs w:val="22"/>
          <w:lang w:val="en-GB"/>
        </w:rPr>
        <w:t>In addition to favourable lending terms and conditions</w:t>
      </w:r>
      <w:r w:rsidR="00054989" w:rsidRPr="00891780">
        <w:rPr>
          <w:rFonts w:ascii="Calibri" w:eastAsia="Calibri" w:hAnsi="Calibri" w:cs="Calibri"/>
          <w:sz w:val="22"/>
          <w:szCs w:val="22"/>
          <w:lang w:val="en-GB"/>
        </w:rPr>
        <w:t xml:space="preserve">, </w:t>
      </w:r>
      <w:r w:rsidR="00764DB1" w:rsidRPr="00891780">
        <w:rPr>
          <w:rFonts w:ascii="Calibri" w:hAnsi="Calibri" w:cs="Calibri"/>
          <w:sz w:val="22"/>
          <w:szCs w:val="22"/>
          <w:lang w:val="en-GB" w:eastAsia="x-none"/>
        </w:rPr>
        <w:t xml:space="preserve">entrepreneurs and public sector entities were provided with free technical assistance in the form of advisory services – establishment whether the NCFF criteria are met, assistance in identifying </w:t>
      </w:r>
      <w:r w:rsidR="00924F94" w:rsidRPr="00891780">
        <w:rPr>
          <w:rFonts w:ascii="Calibri" w:hAnsi="Calibri" w:cs="Calibri"/>
          <w:sz w:val="22"/>
          <w:szCs w:val="22"/>
          <w:lang w:val="en-GB" w:eastAsia="x-none"/>
        </w:rPr>
        <w:t>and preparation of projects</w:t>
      </w:r>
      <w:r w:rsidR="00764DB1" w:rsidRPr="00891780">
        <w:rPr>
          <w:rFonts w:ascii="Calibri" w:hAnsi="Calibri" w:cs="Calibri"/>
          <w:sz w:val="22"/>
          <w:szCs w:val="22"/>
          <w:lang w:val="en-GB" w:eastAsia="x-none"/>
        </w:rPr>
        <w:t xml:space="preserve">, technical </w:t>
      </w:r>
      <w:r w:rsidR="00924F94" w:rsidRPr="00891780">
        <w:rPr>
          <w:rFonts w:ascii="Calibri" w:hAnsi="Calibri" w:cs="Calibri"/>
          <w:sz w:val="22"/>
          <w:szCs w:val="22"/>
          <w:lang w:val="en-GB" w:eastAsia="x-none"/>
        </w:rPr>
        <w:t xml:space="preserve">and financial </w:t>
      </w:r>
      <w:r w:rsidR="00764DB1" w:rsidRPr="00891780">
        <w:rPr>
          <w:rFonts w:ascii="Calibri" w:hAnsi="Calibri" w:cs="Calibri"/>
          <w:sz w:val="22"/>
          <w:szCs w:val="22"/>
          <w:lang w:val="en-GB" w:eastAsia="x-none"/>
        </w:rPr>
        <w:t xml:space="preserve">advice, assistance relating to marketing strategy, reporting on project status and </w:t>
      </w:r>
      <w:r w:rsidR="00E141F8" w:rsidRPr="00891780">
        <w:rPr>
          <w:rFonts w:ascii="Calibri" w:hAnsi="Calibri" w:cs="Calibri"/>
          <w:sz w:val="22"/>
          <w:szCs w:val="22"/>
          <w:lang w:val="en-GB" w:eastAsia="x-none"/>
        </w:rPr>
        <w:t>project results</w:t>
      </w:r>
      <w:r w:rsidR="00764DB1" w:rsidRPr="00891780">
        <w:rPr>
          <w:rFonts w:ascii="Calibri" w:hAnsi="Calibri" w:cs="Calibri"/>
          <w:sz w:val="22"/>
          <w:szCs w:val="22"/>
          <w:lang w:val="en-GB" w:eastAsia="x-none"/>
        </w:rPr>
        <w:t xml:space="preserve">, etc. </w:t>
      </w:r>
    </w:p>
    <w:p w14:paraId="1748D7B7" w14:textId="77777777" w:rsidR="00382CF2" w:rsidRPr="004A0A4A" w:rsidRDefault="00382CF2" w:rsidP="000B677E">
      <w:pPr>
        <w:spacing w:before="120" w:after="120" w:line="276" w:lineRule="auto"/>
        <w:jc w:val="both"/>
        <w:rPr>
          <w:rFonts w:ascii="Calibri" w:eastAsia="Calibri" w:hAnsi="Calibri" w:cs="Calibri"/>
          <w:sz w:val="4"/>
          <w:szCs w:val="4"/>
          <w:lang w:val="en-GB"/>
        </w:rPr>
      </w:pPr>
    </w:p>
    <w:p w14:paraId="668541C9" w14:textId="77777777" w:rsidR="004036FE" w:rsidRPr="00891780" w:rsidRDefault="004036FE" w:rsidP="000B677E">
      <w:pPr>
        <w:pStyle w:val="Heading3"/>
        <w:jc w:val="both"/>
        <w:rPr>
          <w:rFonts w:asciiTheme="minorHAnsi" w:hAnsiTheme="minorHAnsi" w:cstheme="minorHAnsi"/>
          <w:b/>
          <w:bCs/>
          <w:color w:val="auto"/>
          <w:sz w:val="22"/>
          <w:szCs w:val="22"/>
          <w:lang w:val="en-GB"/>
        </w:rPr>
      </w:pPr>
      <w:bookmarkStart w:id="55" w:name="_Toc97908656"/>
      <w:bookmarkStart w:id="56" w:name="_Toc129176349"/>
      <w:r w:rsidRPr="00891780">
        <w:rPr>
          <w:rFonts w:asciiTheme="minorHAnsi" w:hAnsiTheme="minorHAnsi" w:cstheme="minorHAnsi"/>
          <w:b/>
          <w:bCs/>
          <w:color w:val="auto"/>
          <w:sz w:val="22"/>
          <w:szCs w:val="22"/>
          <w:lang w:val="en-GB"/>
        </w:rPr>
        <w:t>ADVISORY SERVICES TO THE PUBLIC SECTOR THROUGH THE EUROPEAN INVESTMENT ADVISORY HUB - EIAH</w:t>
      </w:r>
      <w:bookmarkEnd w:id="55"/>
      <w:bookmarkEnd w:id="56"/>
      <w:r w:rsidRPr="00891780">
        <w:rPr>
          <w:rFonts w:asciiTheme="minorHAnsi" w:hAnsiTheme="minorHAnsi" w:cstheme="minorHAnsi"/>
          <w:b/>
          <w:bCs/>
          <w:color w:val="auto"/>
          <w:sz w:val="22"/>
          <w:szCs w:val="22"/>
          <w:lang w:val="en-GB"/>
        </w:rPr>
        <w:t xml:space="preserve"> </w:t>
      </w:r>
    </w:p>
    <w:p w14:paraId="1748D7B9" w14:textId="258FA4B7" w:rsidR="00382CF2" w:rsidRDefault="002D6C32" w:rsidP="004A0A4A">
      <w:pPr>
        <w:spacing w:before="120" w:after="120"/>
        <w:jc w:val="both"/>
        <w:rPr>
          <w:rFonts w:asciiTheme="minorHAnsi" w:eastAsia="Calibri" w:hAnsiTheme="minorHAnsi" w:cstheme="minorHAnsi"/>
          <w:sz w:val="22"/>
          <w:szCs w:val="22"/>
          <w:lang w:val="en-GB"/>
        </w:rPr>
      </w:pPr>
      <w:r>
        <w:rPr>
          <w:rFonts w:asciiTheme="minorHAnsi" w:hAnsiTheme="minorHAnsi" w:cstheme="minorHAnsi"/>
          <w:sz w:val="22"/>
          <w:szCs w:val="22"/>
          <w:lang w:val="en-GB"/>
        </w:rPr>
        <w:t>“</w:t>
      </w:r>
      <w:r w:rsidR="002526DD" w:rsidRPr="00891780">
        <w:rPr>
          <w:rFonts w:asciiTheme="minorHAnsi" w:hAnsiTheme="minorHAnsi" w:cstheme="minorHAnsi"/>
          <w:sz w:val="22"/>
          <w:szCs w:val="22"/>
          <w:lang w:val="en-GB"/>
        </w:rPr>
        <w:t xml:space="preserve">Advisory </w:t>
      </w:r>
      <w:r w:rsidR="002526DD" w:rsidRPr="00434733">
        <w:rPr>
          <w:rFonts w:ascii="Calibri" w:eastAsia="Calibri" w:hAnsi="Calibri" w:cs="Calibri"/>
          <w:sz w:val="22"/>
          <w:szCs w:val="22"/>
          <w:lang w:val="hr-HR"/>
        </w:rPr>
        <w:t>Services</w:t>
      </w:r>
      <w:r w:rsidR="002526DD" w:rsidRPr="00891780">
        <w:rPr>
          <w:rFonts w:asciiTheme="minorHAnsi" w:hAnsiTheme="minorHAnsi" w:cstheme="minorHAnsi"/>
          <w:sz w:val="22"/>
          <w:szCs w:val="22"/>
          <w:lang w:val="en-GB"/>
        </w:rPr>
        <w:t xml:space="preserve"> for the Public Sector</w:t>
      </w:r>
      <w:r>
        <w:rPr>
          <w:rFonts w:asciiTheme="minorHAnsi" w:hAnsiTheme="minorHAnsi" w:cstheme="minorHAnsi"/>
          <w:sz w:val="22"/>
          <w:szCs w:val="22"/>
          <w:lang w:val="en-GB"/>
        </w:rPr>
        <w:t>”</w:t>
      </w:r>
      <w:r w:rsidR="002526DD" w:rsidRPr="00891780">
        <w:rPr>
          <w:rFonts w:asciiTheme="minorHAnsi" w:hAnsiTheme="minorHAnsi" w:cstheme="minorHAnsi"/>
          <w:sz w:val="22"/>
          <w:szCs w:val="22"/>
          <w:lang w:val="en-GB"/>
        </w:rPr>
        <w:t xml:space="preserve"> project was implemented with the European Union funding through the European Investment Advisory Hub (EIAH) under the </w:t>
      </w:r>
      <w:r w:rsidR="00920C8B">
        <w:rPr>
          <w:rFonts w:asciiTheme="minorHAnsi" w:hAnsiTheme="minorHAnsi" w:cstheme="minorHAnsi"/>
          <w:sz w:val="22"/>
          <w:szCs w:val="22"/>
          <w:lang w:val="en-GB"/>
        </w:rPr>
        <w:t>a</w:t>
      </w:r>
      <w:r w:rsidR="002526DD" w:rsidRPr="00891780">
        <w:rPr>
          <w:rFonts w:asciiTheme="minorHAnsi" w:hAnsiTheme="minorHAnsi" w:cstheme="minorHAnsi"/>
          <w:sz w:val="22"/>
          <w:szCs w:val="22"/>
          <w:lang w:val="en-GB"/>
        </w:rPr>
        <w:t>greement on financing the development and implementation of advisory services for investments concluded between the EIB and HBOR at the beginning of 2021</w:t>
      </w:r>
      <w:r w:rsidR="00054989" w:rsidRPr="00891780">
        <w:rPr>
          <w:rFonts w:asciiTheme="minorHAnsi" w:eastAsia="Calibri" w:hAnsiTheme="minorHAnsi" w:cstheme="minorHAnsi"/>
          <w:sz w:val="22"/>
          <w:szCs w:val="22"/>
          <w:lang w:val="en-GB"/>
        </w:rPr>
        <w:t>.</w:t>
      </w:r>
    </w:p>
    <w:p w14:paraId="12AEB874" w14:textId="77777777" w:rsidR="004A0A4A" w:rsidRPr="004A0A4A" w:rsidRDefault="004A0A4A" w:rsidP="004A0A4A">
      <w:pPr>
        <w:jc w:val="both"/>
        <w:rPr>
          <w:rFonts w:asciiTheme="minorHAnsi" w:eastAsia="Calibri" w:hAnsiTheme="minorHAnsi" w:cstheme="minorHAnsi"/>
          <w:sz w:val="8"/>
          <w:szCs w:val="8"/>
          <w:lang w:val="en-GB"/>
        </w:rPr>
      </w:pPr>
    </w:p>
    <w:p w14:paraId="1748D7BA" w14:textId="53E707EA" w:rsidR="00382CF2" w:rsidRDefault="001C11A4" w:rsidP="004A0A4A">
      <w:pPr>
        <w:spacing w:before="120" w:after="120"/>
        <w:jc w:val="both"/>
        <w:rPr>
          <w:rFonts w:asciiTheme="minorHAnsi" w:eastAsia="Calibri" w:hAnsiTheme="minorHAnsi" w:cstheme="minorHAnsi"/>
          <w:sz w:val="22"/>
          <w:szCs w:val="22"/>
          <w:lang w:val="en-GB"/>
        </w:rPr>
      </w:pPr>
      <w:r w:rsidRPr="00891780">
        <w:rPr>
          <w:rFonts w:asciiTheme="minorHAnsi" w:hAnsiTheme="minorHAnsi" w:cstheme="minorHAnsi"/>
          <w:sz w:val="22"/>
          <w:szCs w:val="22"/>
          <w:lang w:val="en-GB"/>
        </w:rPr>
        <w:t xml:space="preserve">The objectives of the project are to increase the quality and volume of public sector investment in the Republic of Croatia in order to balance local and regional development and improve the absorption of European structural and investment funds in the </w:t>
      </w:r>
      <w:r w:rsidRPr="00891780">
        <w:rPr>
          <w:rFonts w:asciiTheme="minorHAnsi" w:hAnsiTheme="minorHAnsi" w:cstheme="minorHAnsi"/>
          <w:sz w:val="22"/>
          <w:szCs w:val="22"/>
          <w:lang w:val="en-GB" w:eastAsia="hr-HR"/>
        </w:rPr>
        <w:t xml:space="preserve">2021-2027 </w:t>
      </w:r>
      <w:r w:rsidRPr="00891780">
        <w:rPr>
          <w:rFonts w:asciiTheme="minorHAnsi" w:hAnsiTheme="minorHAnsi" w:cstheme="minorHAnsi"/>
          <w:sz w:val="22"/>
          <w:szCs w:val="22"/>
          <w:lang w:val="en-GB"/>
        </w:rPr>
        <w:t>Multiannual Financial Framework through advisory assistance in structuring sustainable cost-effective public sector projects, primarily those of local and regional government units</w:t>
      </w:r>
      <w:r w:rsidRPr="00891780">
        <w:rPr>
          <w:rFonts w:asciiTheme="minorHAnsi" w:hAnsiTheme="minorHAnsi" w:cstheme="minorHAnsi"/>
          <w:sz w:val="22"/>
          <w:szCs w:val="22"/>
          <w:lang w:val="en-GB" w:eastAsia="hr-HR"/>
        </w:rPr>
        <w:t xml:space="preserve"> - LRGUs</w:t>
      </w:r>
      <w:r w:rsidR="00054989" w:rsidRPr="00891780">
        <w:rPr>
          <w:rFonts w:asciiTheme="minorHAnsi" w:eastAsia="Calibri" w:hAnsiTheme="minorHAnsi" w:cstheme="minorHAnsi"/>
          <w:sz w:val="22"/>
          <w:szCs w:val="22"/>
          <w:lang w:val="en-GB"/>
        </w:rPr>
        <w:t>.</w:t>
      </w:r>
    </w:p>
    <w:p w14:paraId="61278AAD" w14:textId="77777777" w:rsidR="004A0A4A" w:rsidRPr="004A0A4A" w:rsidRDefault="004A0A4A" w:rsidP="004A0A4A">
      <w:pPr>
        <w:jc w:val="both"/>
        <w:rPr>
          <w:rFonts w:asciiTheme="minorHAnsi" w:eastAsia="Calibri" w:hAnsiTheme="minorHAnsi" w:cstheme="minorHAnsi"/>
          <w:sz w:val="8"/>
          <w:szCs w:val="8"/>
          <w:lang w:val="en-GB"/>
        </w:rPr>
      </w:pPr>
    </w:p>
    <w:p w14:paraId="1748D7BB" w14:textId="44FFF38D" w:rsidR="00382CF2" w:rsidRDefault="002563F8" w:rsidP="004A0A4A">
      <w:pPr>
        <w:spacing w:before="120" w:after="120"/>
        <w:jc w:val="both"/>
        <w:rPr>
          <w:rFonts w:asciiTheme="minorHAnsi" w:eastAsia="Calibri" w:hAnsiTheme="minorHAnsi" w:cstheme="minorHAnsi"/>
          <w:sz w:val="22"/>
          <w:szCs w:val="22"/>
          <w:lang w:val="en-GB"/>
        </w:rPr>
      </w:pPr>
      <w:r w:rsidRPr="00891780">
        <w:rPr>
          <w:rFonts w:asciiTheme="minorHAnsi" w:hAnsiTheme="minorHAnsi" w:cstheme="minorHAnsi"/>
          <w:sz w:val="22"/>
          <w:szCs w:val="22"/>
          <w:lang w:val="en-GB"/>
        </w:rPr>
        <w:t>The total value of the Project is EUR 670,125.00, of which the EIAH will finance up to a maximum of 75 percent of Project costs, i.e. up to a maximum of EUR 500,000.00. The difference of up to 100 percent of the Project costs</w:t>
      </w:r>
      <w:r w:rsidR="00054989" w:rsidRPr="00891780">
        <w:rPr>
          <w:rFonts w:asciiTheme="minorHAnsi" w:eastAsia="Calibri" w:hAnsiTheme="minorHAnsi" w:cstheme="minorHAnsi"/>
          <w:sz w:val="22"/>
          <w:szCs w:val="22"/>
          <w:lang w:val="en-GB"/>
        </w:rPr>
        <w:t xml:space="preserve"> </w:t>
      </w:r>
      <w:r w:rsidR="004A064E" w:rsidRPr="00891780">
        <w:rPr>
          <w:rFonts w:asciiTheme="minorHAnsi" w:eastAsia="Calibri" w:hAnsiTheme="minorHAnsi" w:cstheme="minorHAnsi"/>
          <w:sz w:val="22"/>
          <w:szCs w:val="22"/>
          <w:lang w:val="en-GB"/>
        </w:rPr>
        <w:t>is</w:t>
      </w:r>
      <w:r w:rsidR="00054989" w:rsidRPr="00891780">
        <w:rPr>
          <w:rFonts w:asciiTheme="minorHAnsi" w:eastAsia="Calibri" w:hAnsiTheme="minorHAnsi" w:cstheme="minorHAnsi"/>
          <w:sz w:val="22"/>
          <w:szCs w:val="22"/>
          <w:lang w:val="en-GB"/>
        </w:rPr>
        <w:t xml:space="preserve"> </w:t>
      </w:r>
      <w:r w:rsidR="004A064E" w:rsidRPr="00891780">
        <w:rPr>
          <w:rFonts w:asciiTheme="minorHAnsi" w:hAnsiTheme="minorHAnsi" w:cstheme="minorHAnsi"/>
          <w:sz w:val="22"/>
          <w:szCs w:val="22"/>
          <w:lang w:val="en-GB"/>
        </w:rPr>
        <w:t>financed by HBOR from own funds</w:t>
      </w:r>
      <w:r w:rsidR="00054989" w:rsidRPr="00891780">
        <w:rPr>
          <w:rFonts w:asciiTheme="minorHAnsi" w:eastAsia="Calibri" w:hAnsiTheme="minorHAnsi" w:cstheme="minorHAnsi"/>
          <w:sz w:val="22"/>
          <w:szCs w:val="22"/>
          <w:lang w:val="en-GB"/>
        </w:rPr>
        <w:t>.</w:t>
      </w:r>
    </w:p>
    <w:p w14:paraId="2A2F46DC" w14:textId="77777777" w:rsidR="004A0A4A" w:rsidRPr="004A0A4A" w:rsidRDefault="004A0A4A" w:rsidP="004A0A4A">
      <w:pPr>
        <w:jc w:val="both"/>
        <w:rPr>
          <w:rFonts w:asciiTheme="minorHAnsi" w:eastAsia="Calibri" w:hAnsiTheme="minorHAnsi" w:cstheme="minorHAnsi"/>
          <w:sz w:val="8"/>
          <w:szCs w:val="8"/>
          <w:lang w:val="en-GB"/>
        </w:rPr>
      </w:pPr>
    </w:p>
    <w:p w14:paraId="1748D7BC" w14:textId="72BE2934" w:rsidR="00382CF2" w:rsidRDefault="004A064E" w:rsidP="004A0A4A">
      <w:pPr>
        <w:spacing w:before="120" w:after="120"/>
        <w:jc w:val="both"/>
        <w:rPr>
          <w:rFonts w:asciiTheme="minorHAnsi" w:hAnsiTheme="minorHAnsi" w:cstheme="minorHAnsi"/>
          <w:sz w:val="22"/>
          <w:szCs w:val="22"/>
          <w:lang w:val="en-GB"/>
        </w:rPr>
      </w:pPr>
      <w:r w:rsidRPr="00891780">
        <w:rPr>
          <w:rFonts w:asciiTheme="minorHAnsi" w:eastAsia="Calibri" w:hAnsiTheme="minorHAnsi" w:cstheme="minorHAnsi"/>
          <w:sz w:val="22"/>
          <w:szCs w:val="22"/>
          <w:lang w:val="en-GB"/>
        </w:rPr>
        <w:t>The Project was implemented</w:t>
      </w:r>
      <w:r w:rsidR="00054989" w:rsidRPr="00891780">
        <w:rPr>
          <w:rFonts w:asciiTheme="minorHAnsi" w:eastAsia="Calibri" w:hAnsiTheme="minorHAnsi" w:cstheme="minorHAnsi"/>
          <w:sz w:val="22"/>
          <w:szCs w:val="22"/>
          <w:lang w:val="en-GB"/>
        </w:rPr>
        <w:t xml:space="preserve"> </w:t>
      </w:r>
      <w:r w:rsidR="00471EDD" w:rsidRPr="00891780">
        <w:rPr>
          <w:rFonts w:asciiTheme="minorHAnsi" w:hAnsiTheme="minorHAnsi" w:cstheme="minorHAnsi"/>
          <w:sz w:val="22"/>
          <w:szCs w:val="22"/>
          <w:lang w:val="en-GB" w:eastAsia="hr-HR"/>
        </w:rPr>
        <w:t>in cooperation with two groups of external consultants (Consultants 1 and Consultants 2</w:t>
      </w:r>
      <w:r w:rsidR="00054989" w:rsidRPr="00891780">
        <w:rPr>
          <w:rFonts w:asciiTheme="minorHAnsi" w:eastAsia="Calibri" w:hAnsiTheme="minorHAnsi" w:cstheme="minorHAnsi"/>
          <w:sz w:val="22"/>
          <w:szCs w:val="22"/>
          <w:lang w:val="en-GB"/>
        </w:rPr>
        <w:t xml:space="preserve">). </w:t>
      </w:r>
      <w:r w:rsidR="001D06D5" w:rsidRPr="00891780">
        <w:rPr>
          <w:rFonts w:asciiTheme="minorHAnsi" w:eastAsia="Calibri" w:hAnsiTheme="minorHAnsi" w:cstheme="minorHAnsi"/>
          <w:sz w:val="22"/>
          <w:szCs w:val="22"/>
          <w:lang w:val="en-GB"/>
        </w:rPr>
        <w:t>D</w:t>
      </w:r>
      <w:r w:rsidR="001D06D5" w:rsidRPr="00891780">
        <w:rPr>
          <w:rFonts w:asciiTheme="minorHAnsi" w:hAnsiTheme="minorHAnsi" w:cstheme="minorHAnsi"/>
          <w:sz w:val="22"/>
          <w:szCs w:val="22"/>
          <w:lang w:val="en-GB" w:eastAsia="hr-HR"/>
        </w:rPr>
        <w:t>uring the term of the contract on consultancy services (May - December 2021), two key goals of the Project were</w:t>
      </w:r>
      <w:r w:rsidR="00107746" w:rsidRPr="00891780">
        <w:rPr>
          <w:rFonts w:asciiTheme="minorHAnsi" w:hAnsiTheme="minorHAnsi" w:cstheme="minorHAnsi"/>
          <w:sz w:val="22"/>
          <w:szCs w:val="22"/>
          <w:lang w:val="en-GB" w:eastAsia="hr-HR"/>
        </w:rPr>
        <w:t xml:space="preserve"> realised with </w:t>
      </w:r>
      <w:proofErr w:type="gramStart"/>
      <w:r w:rsidR="00107746" w:rsidRPr="00891780">
        <w:rPr>
          <w:rFonts w:asciiTheme="minorHAnsi" w:hAnsiTheme="minorHAnsi" w:cstheme="minorHAnsi"/>
          <w:sz w:val="22"/>
          <w:szCs w:val="22"/>
          <w:lang w:val="en-GB" w:eastAsia="hr-HR"/>
        </w:rPr>
        <w:t>Consultants</w:t>
      </w:r>
      <w:proofErr w:type="gramEnd"/>
      <w:r w:rsidR="00054989" w:rsidRPr="00891780">
        <w:rPr>
          <w:rFonts w:asciiTheme="minorHAnsi" w:eastAsia="Calibri" w:hAnsiTheme="minorHAnsi" w:cstheme="minorHAnsi"/>
          <w:sz w:val="22"/>
          <w:szCs w:val="22"/>
          <w:lang w:val="en-GB"/>
        </w:rPr>
        <w:t xml:space="preserve"> 1: </w:t>
      </w:r>
      <w:r w:rsidR="00196FA8" w:rsidRPr="00891780">
        <w:rPr>
          <w:rFonts w:asciiTheme="minorHAnsi" w:eastAsia="Calibri" w:hAnsiTheme="minorHAnsi" w:cstheme="minorHAnsi"/>
          <w:sz w:val="22"/>
          <w:szCs w:val="22"/>
          <w:lang w:val="en-GB"/>
        </w:rPr>
        <w:t>advisory services were provided to</w:t>
      </w:r>
      <w:r w:rsidR="00054989" w:rsidRPr="00891780">
        <w:rPr>
          <w:rFonts w:asciiTheme="minorHAnsi" w:eastAsia="Calibri" w:hAnsiTheme="minorHAnsi" w:cstheme="minorHAnsi"/>
          <w:sz w:val="22"/>
          <w:szCs w:val="22"/>
          <w:lang w:val="en-GB"/>
        </w:rPr>
        <w:t xml:space="preserve"> HBOR</w:t>
      </w:r>
      <w:r w:rsidR="00196FA8" w:rsidRPr="00891780">
        <w:rPr>
          <w:rFonts w:asciiTheme="minorHAnsi" w:eastAsia="Calibri" w:hAnsiTheme="minorHAnsi" w:cstheme="minorHAnsi"/>
          <w:sz w:val="22"/>
          <w:szCs w:val="22"/>
          <w:lang w:val="en-GB"/>
        </w:rPr>
        <w:t xml:space="preserve"> in order for</w:t>
      </w:r>
      <w:r w:rsidR="00054989" w:rsidRPr="00891780">
        <w:rPr>
          <w:rFonts w:asciiTheme="minorHAnsi" w:eastAsia="Calibri" w:hAnsiTheme="minorHAnsi" w:cstheme="minorHAnsi"/>
          <w:sz w:val="22"/>
          <w:szCs w:val="22"/>
          <w:lang w:val="en-GB"/>
        </w:rPr>
        <w:t xml:space="preserve"> HBOR </w:t>
      </w:r>
      <w:r w:rsidR="006769F5" w:rsidRPr="00891780">
        <w:rPr>
          <w:rFonts w:asciiTheme="minorHAnsi" w:hAnsiTheme="minorHAnsi" w:cstheme="minorHAnsi"/>
          <w:sz w:val="22"/>
          <w:szCs w:val="22"/>
          <w:lang w:val="en-GB" w:eastAsia="hr-HR"/>
        </w:rPr>
        <w:t>to develop the most appropriate model of providing technical assistance.</w:t>
      </w:r>
      <w:r w:rsidR="00054989" w:rsidRPr="00891780">
        <w:rPr>
          <w:rFonts w:asciiTheme="minorHAnsi" w:eastAsia="Calibri" w:hAnsiTheme="minorHAnsi" w:cstheme="minorHAnsi"/>
          <w:sz w:val="22"/>
          <w:szCs w:val="22"/>
          <w:lang w:val="en-GB"/>
        </w:rPr>
        <w:t xml:space="preserve"> </w:t>
      </w:r>
      <w:r w:rsidR="009A4B84" w:rsidRPr="00891780">
        <w:rPr>
          <w:rFonts w:asciiTheme="minorHAnsi" w:eastAsia="Calibri" w:hAnsiTheme="minorHAnsi" w:cstheme="minorHAnsi"/>
          <w:sz w:val="22"/>
          <w:szCs w:val="22"/>
          <w:lang w:val="en-GB"/>
        </w:rPr>
        <w:t>Also, a promotional campaign</w:t>
      </w:r>
      <w:r w:rsidR="00054989" w:rsidRPr="00891780">
        <w:rPr>
          <w:rFonts w:asciiTheme="minorHAnsi" w:eastAsia="Calibri" w:hAnsiTheme="minorHAnsi" w:cstheme="minorHAnsi"/>
          <w:sz w:val="22"/>
          <w:szCs w:val="22"/>
          <w:lang w:val="en-GB"/>
        </w:rPr>
        <w:t xml:space="preserve"> </w:t>
      </w:r>
      <w:r w:rsidR="00977452" w:rsidRPr="00891780">
        <w:rPr>
          <w:rFonts w:asciiTheme="minorHAnsi" w:eastAsia="Calibri" w:hAnsiTheme="minorHAnsi" w:cstheme="minorHAnsi"/>
          <w:sz w:val="22"/>
          <w:szCs w:val="22"/>
          <w:lang w:val="en-GB"/>
        </w:rPr>
        <w:t xml:space="preserve">was </w:t>
      </w:r>
      <w:r w:rsidR="006D76A4" w:rsidRPr="00891780">
        <w:rPr>
          <w:rFonts w:asciiTheme="minorHAnsi" w:eastAsia="Calibri" w:hAnsiTheme="minorHAnsi" w:cstheme="minorHAnsi"/>
          <w:sz w:val="22"/>
          <w:szCs w:val="22"/>
          <w:lang w:val="en-GB"/>
        </w:rPr>
        <w:t xml:space="preserve">organised </w:t>
      </w:r>
      <w:r w:rsidR="00262712" w:rsidRPr="00891780">
        <w:rPr>
          <w:rFonts w:asciiTheme="minorHAnsi" w:hAnsiTheme="minorHAnsi" w:cstheme="minorHAnsi"/>
          <w:sz w:val="22"/>
          <w:szCs w:val="22"/>
          <w:lang w:val="en-GB" w:eastAsia="hr-HR"/>
        </w:rPr>
        <w:t>to raise awareness of the available advisory support of</w:t>
      </w:r>
      <w:r w:rsidR="00262712" w:rsidRPr="00891780">
        <w:rPr>
          <w:rFonts w:asciiTheme="minorHAnsi" w:hAnsiTheme="minorHAnsi" w:cstheme="minorHAnsi"/>
          <w:sz w:val="22"/>
          <w:szCs w:val="22"/>
          <w:lang w:val="en-GB"/>
        </w:rPr>
        <w:t xml:space="preserve"> HBOR.</w:t>
      </w:r>
    </w:p>
    <w:p w14:paraId="043FB471" w14:textId="77777777" w:rsidR="004A0A4A" w:rsidRPr="004A0A4A" w:rsidRDefault="004A0A4A" w:rsidP="004A0A4A">
      <w:pPr>
        <w:jc w:val="both"/>
        <w:rPr>
          <w:rFonts w:asciiTheme="minorHAnsi" w:eastAsia="Calibri" w:hAnsiTheme="minorHAnsi" w:cstheme="minorHAnsi"/>
          <w:sz w:val="8"/>
          <w:szCs w:val="8"/>
          <w:lang w:val="en-GB"/>
        </w:rPr>
      </w:pPr>
    </w:p>
    <w:p w14:paraId="1748D7BD" w14:textId="1AFA12F8" w:rsidR="00382CF2" w:rsidRDefault="0068374B" w:rsidP="004A0A4A">
      <w:pPr>
        <w:spacing w:before="120" w:after="120"/>
        <w:jc w:val="both"/>
        <w:rPr>
          <w:rFonts w:asciiTheme="minorHAnsi" w:eastAsia="Calibri" w:hAnsiTheme="minorHAnsi" w:cstheme="minorHAnsi"/>
          <w:sz w:val="22"/>
          <w:szCs w:val="22"/>
          <w:lang w:val="en-GB"/>
        </w:rPr>
      </w:pPr>
      <w:r w:rsidRPr="00891780">
        <w:rPr>
          <w:rFonts w:asciiTheme="minorHAnsi" w:eastAsia="Calibri" w:hAnsiTheme="minorHAnsi" w:cstheme="minorHAnsi"/>
          <w:sz w:val="22"/>
          <w:szCs w:val="22"/>
          <w:lang w:val="en-GB"/>
        </w:rPr>
        <w:t xml:space="preserve">In the period from 1 January 2022 to </w:t>
      </w:r>
      <w:r w:rsidR="002301DE" w:rsidRPr="00891780">
        <w:rPr>
          <w:rFonts w:asciiTheme="minorHAnsi" w:eastAsia="Calibri" w:hAnsiTheme="minorHAnsi" w:cstheme="minorHAnsi"/>
          <w:sz w:val="22"/>
          <w:szCs w:val="22"/>
          <w:lang w:val="en-GB"/>
        </w:rPr>
        <w:t xml:space="preserve">30 </w:t>
      </w:r>
      <w:r w:rsidRPr="00891780">
        <w:rPr>
          <w:rFonts w:asciiTheme="minorHAnsi" w:eastAsia="Calibri" w:hAnsiTheme="minorHAnsi" w:cstheme="minorHAnsi"/>
          <w:sz w:val="22"/>
          <w:szCs w:val="22"/>
          <w:lang w:val="en-GB"/>
        </w:rPr>
        <w:t>June 2022, the second phase of the Project was implemented, in which the third key goal was reali</w:t>
      </w:r>
      <w:r w:rsidR="00293393" w:rsidRPr="00891780">
        <w:rPr>
          <w:rFonts w:asciiTheme="minorHAnsi" w:eastAsia="Calibri" w:hAnsiTheme="minorHAnsi" w:cstheme="minorHAnsi"/>
          <w:sz w:val="22"/>
          <w:szCs w:val="22"/>
          <w:lang w:val="en-GB"/>
        </w:rPr>
        <w:t>s</w:t>
      </w:r>
      <w:r w:rsidRPr="00891780">
        <w:rPr>
          <w:rFonts w:asciiTheme="minorHAnsi" w:eastAsia="Calibri" w:hAnsiTheme="minorHAnsi" w:cstheme="minorHAnsi"/>
          <w:sz w:val="22"/>
          <w:szCs w:val="22"/>
          <w:lang w:val="en-GB"/>
        </w:rPr>
        <w:t xml:space="preserve">ed: advisory services and technical assistance were provided to the </w:t>
      </w:r>
      <w:r w:rsidR="00E86EBF" w:rsidRPr="00891780">
        <w:rPr>
          <w:rFonts w:asciiTheme="minorHAnsi" w:eastAsia="Calibri" w:hAnsiTheme="minorHAnsi" w:cstheme="minorHAnsi"/>
          <w:sz w:val="22"/>
          <w:szCs w:val="22"/>
          <w:lang w:val="en-GB"/>
        </w:rPr>
        <w:t>final</w:t>
      </w:r>
      <w:r w:rsidRPr="00891780">
        <w:rPr>
          <w:rFonts w:asciiTheme="minorHAnsi" w:eastAsia="Calibri" w:hAnsiTheme="minorHAnsi" w:cstheme="minorHAnsi"/>
          <w:sz w:val="22"/>
          <w:szCs w:val="22"/>
          <w:lang w:val="en-GB"/>
        </w:rPr>
        <w:t xml:space="preserve"> </w:t>
      </w:r>
      <w:r w:rsidR="00E86EBF" w:rsidRPr="00891780">
        <w:rPr>
          <w:rFonts w:asciiTheme="minorHAnsi" w:eastAsia="Calibri" w:hAnsiTheme="minorHAnsi" w:cstheme="minorHAnsi"/>
          <w:sz w:val="22"/>
          <w:szCs w:val="22"/>
          <w:lang w:val="en-GB"/>
        </w:rPr>
        <w:t>beneficiaries</w:t>
      </w:r>
      <w:r w:rsidRPr="00891780">
        <w:rPr>
          <w:rFonts w:asciiTheme="minorHAnsi" w:eastAsia="Calibri" w:hAnsiTheme="minorHAnsi" w:cstheme="minorHAnsi"/>
          <w:sz w:val="22"/>
          <w:szCs w:val="22"/>
          <w:lang w:val="en-GB"/>
        </w:rPr>
        <w:t xml:space="preserve"> of the Project, i.e. </w:t>
      </w:r>
      <w:r w:rsidR="00E86EBF" w:rsidRPr="00891780">
        <w:rPr>
          <w:rFonts w:asciiTheme="minorHAnsi" w:eastAsia="Calibri" w:hAnsiTheme="minorHAnsi" w:cstheme="minorHAnsi"/>
          <w:sz w:val="22"/>
          <w:szCs w:val="22"/>
          <w:lang w:val="en-GB"/>
        </w:rPr>
        <w:t>LRGUs</w:t>
      </w:r>
      <w:r w:rsidRPr="00891780">
        <w:rPr>
          <w:rFonts w:asciiTheme="minorHAnsi" w:eastAsia="Calibri" w:hAnsiTheme="minorHAnsi" w:cstheme="minorHAnsi"/>
          <w:sz w:val="22"/>
          <w:szCs w:val="22"/>
          <w:lang w:val="en-GB"/>
        </w:rPr>
        <w:t>, which include advisory services related to</w:t>
      </w:r>
      <w:r w:rsidR="00E86EBF" w:rsidRPr="00891780">
        <w:rPr>
          <w:rFonts w:asciiTheme="minorHAnsi" w:eastAsia="Calibri" w:hAnsiTheme="minorHAnsi" w:cstheme="minorHAnsi"/>
          <w:sz w:val="22"/>
          <w:szCs w:val="22"/>
          <w:lang w:val="en-GB"/>
        </w:rPr>
        <w:t xml:space="preserve"> </w:t>
      </w:r>
      <w:r w:rsidR="00A43AED" w:rsidRPr="00891780">
        <w:rPr>
          <w:rFonts w:asciiTheme="minorHAnsi" w:eastAsia="Calibri" w:hAnsiTheme="minorHAnsi" w:cstheme="minorHAnsi"/>
          <w:sz w:val="22"/>
          <w:szCs w:val="22"/>
          <w:lang w:val="en-GB"/>
        </w:rPr>
        <w:t xml:space="preserve">revision/preparation of project technical documentation (analysis of the current situation, analysis of the </w:t>
      </w:r>
      <w:r w:rsidR="001A1B54" w:rsidRPr="00891780">
        <w:rPr>
          <w:rFonts w:asciiTheme="minorHAnsi" w:eastAsia="Calibri" w:hAnsiTheme="minorHAnsi" w:cstheme="minorHAnsi"/>
          <w:sz w:val="22"/>
          <w:szCs w:val="22"/>
          <w:lang w:val="en-GB"/>
        </w:rPr>
        <w:t>constructions</w:t>
      </w:r>
      <w:r w:rsidR="00A43AED" w:rsidRPr="00891780">
        <w:rPr>
          <w:rFonts w:asciiTheme="minorHAnsi" w:eastAsia="Calibri" w:hAnsiTheme="minorHAnsi" w:cstheme="minorHAnsi"/>
          <w:sz w:val="22"/>
          <w:szCs w:val="22"/>
          <w:lang w:val="en-GB"/>
        </w:rPr>
        <w:t xml:space="preserve"> removal project, preparation of a geodetic study, preparation of a </w:t>
      </w:r>
      <w:r w:rsidR="00E124A9" w:rsidRPr="00891780">
        <w:rPr>
          <w:rFonts w:asciiTheme="minorHAnsi" w:eastAsia="Calibri" w:hAnsiTheme="minorHAnsi" w:cstheme="minorHAnsi"/>
          <w:sz w:val="22"/>
          <w:szCs w:val="22"/>
          <w:lang w:val="en-GB"/>
        </w:rPr>
        <w:t>concept design</w:t>
      </w:r>
      <w:r w:rsidR="00A43AED" w:rsidRPr="00891780">
        <w:rPr>
          <w:rFonts w:asciiTheme="minorHAnsi" w:eastAsia="Calibri" w:hAnsiTheme="minorHAnsi" w:cstheme="minorHAnsi"/>
          <w:sz w:val="22"/>
          <w:szCs w:val="22"/>
          <w:lang w:val="en-GB"/>
        </w:rPr>
        <w:t xml:space="preserve">, </w:t>
      </w:r>
      <w:r w:rsidR="00824B51" w:rsidRPr="00891780">
        <w:rPr>
          <w:rFonts w:asciiTheme="minorHAnsi" w:eastAsia="Calibri" w:hAnsiTheme="minorHAnsi" w:cstheme="minorHAnsi"/>
          <w:sz w:val="22"/>
          <w:szCs w:val="22"/>
          <w:lang w:val="en-GB"/>
        </w:rPr>
        <w:t xml:space="preserve">execution of </w:t>
      </w:r>
      <w:r w:rsidR="00BB45D8" w:rsidRPr="00891780">
        <w:rPr>
          <w:rFonts w:asciiTheme="minorHAnsi" w:eastAsia="Calibri" w:hAnsiTheme="minorHAnsi" w:cstheme="minorHAnsi"/>
          <w:sz w:val="22"/>
          <w:szCs w:val="22"/>
          <w:lang w:val="en-GB"/>
        </w:rPr>
        <w:t>documents</w:t>
      </w:r>
      <w:r w:rsidR="00A43AED" w:rsidRPr="00891780">
        <w:rPr>
          <w:rFonts w:asciiTheme="minorHAnsi" w:eastAsia="Calibri" w:hAnsiTheme="minorHAnsi" w:cstheme="minorHAnsi"/>
          <w:sz w:val="22"/>
          <w:szCs w:val="22"/>
          <w:lang w:val="en-GB"/>
        </w:rPr>
        <w:t xml:space="preserve"> of public law bodies, preparation of the main </w:t>
      </w:r>
      <w:r w:rsidR="000476F7" w:rsidRPr="00891780">
        <w:rPr>
          <w:rFonts w:asciiTheme="minorHAnsi" w:eastAsia="Calibri" w:hAnsiTheme="minorHAnsi" w:cstheme="minorHAnsi"/>
          <w:sz w:val="22"/>
          <w:szCs w:val="22"/>
          <w:lang w:val="en-GB"/>
        </w:rPr>
        <w:t>design</w:t>
      </w:r>
      <w:r w:rsidR="00A43AED" w:rsidRPr="00891780">
        <w:rPr>
          <w:rFonts w:asciiTheme="minorHAnsi" w:eastAsia="Calibri" w:hAnsiTheme="minorHAnsi" w:cstheme="minorHAnsi"/>
          <w:sz w:val="22"/>
          <w:szCs w:val="22"/>
          <w:lang w:val="en-GB"/>
        </w:rPr>
        <w:t xml:space="preserve"> with a cost estimate, revision of the cost estimate), preparation of a feasibility study with an analysis of costs and benefits, financial</w:t>
      </w:r>
      <w:r w:rsidR="00E86EBF" w:rsidRPr="00891780">
        <w:rPr>
          <w:rFonts w:asciiTheme="minorHAnsi" w:eastAsia="Calibri" w:hAnsiTheme="minorHAnsi" w:cstheme="minorHAnsi"/>
          <w:sz w:val="22"/>
          <w:szCs w:val="22"/>
          <w:lang w:val="en-GB"/>
        </w:rPr>
        <w:t xml:space="preserve">  </w:t>
      </w:r>
      <w:r w:rsidR="002C514A" w:rsidRPr="00891780">
        <w:rPr>
          <w:rFonts w:asciiTheme="minorHAnsi" w:eastAsia="Calibri" w:hAnsiTheme="minorHAnsi" w:cstheme="minorHAnsi"/>
          <w:sz w:val="22"/>
          <w:szCs w:val="22"/>
          <w:lang w:val="en-GB"/>
        </w:rPr>
        <w:t>consulting</w:t>
      </w:r>
      <w:r w:rsidR="005D1653">
        <w:rPr>
          <w:rFonts w:asciiTheme="minorHAnsi" w:eastAsia="Calibri" w:hAnsiTheme="minorHAnsi" w:cstheme="minorHAnsi"/>
          <w:sz w:val="22"/>
          <w:szCs w:val="22"/>
          <w:lang w:val="en-GB"/>
        </w:rPr>
        <w:t xml:space="preserve">, i.e. </w:t>
      </w:r>
      <w:r w:rsidR="002C514A" w:rsidRPr="00891780">
        <w:rPr>
          <w:rFonts w:asciiTheme="minorHAnsi" w:eastAsia="Calibri" w:hAnsiTheme="minorHAnsi" w:cstheme="minorHAnsi"/>
          <w:sz w:val="22"/>
          <w:szCs w:val="22"/>
          <w:lang w:val="en-GB"/>
        </w:rPr>
        <w:t xml:space="preserve">analysis of possible funding sources, support in the preparation of a project proposal and </w:t>
      </w:r>
      <w:r w:rsidR="007D5D86" w:rsidRPr="00891780">
        <w:rPr>
          <w:rFonts w:asciiTheme="minorHAnsi" w:eastAsia="Calibri" w:hAnsiTheme="minorHAnsi" w:cstheme="minorHAnsi"/>
          <w:sz w:val="22"/>
          <w:szCs w:val="22"/>
          <w:lang w:val="en-GB"/>
        </w:rPr>
        <w:t>preparation</w:t>
      </w:r>
      <w:r w:rsidR="002C514A" w:rsidRPr="00891780">
        <w:rPr>
          <w:rFonts w:asciiTheme="minorHAnsi" w:eastAsia="Calibri" w:hAnsiTheme="minorHAnsi" w:cstheme="minorHAnsi"/>
          <w:sz w:val="22"/>
          <w:szCs w:val="22"/>
          <w:lang w:val="en-GB"/>
        </w:rPr>
        <w:t xml:space="preserve"> of the necessary documentation for </w:t>
      </w:r>
      <w:r w:rsidR="00621791" w:rsidRPr="00891780">
        <w:rPr>
          <w:rFonts w:asciiTheme="minorHAnsi" w:eastAsia="Calibri" w:hAnsiTheme="minorHAnsi" w:cstheme="minorHAnsi"/>
          <w:sz w:val="22"/>
          <w:szCs w:val="22"/>
          <w:lang w:val="en-GB"/>
        </w:rPr>
        <w:t xml:space="preserve">the </w:t>
      </w:r>
      <w:r w:rsidR="002C514A" w:rsidRPr="00891780">
        <w:rPr>
          <w:rFonts w:asciiTheme="minorHAnsi" w:eastAsia="Calibri" w:hAnsiTheme="minorHAnsi" w:cstheme="minorHAnsi"/>
          <w:sz w:val="22"/>
          <w:szCs w:val="22"/>
          <w:lang w:val="en-GB"/>
        </w:rPr>
        <w:t xml:space="preserve">application to available public </w:t>
      </w:r>
      <w:r w:rsidR="00752B04" w:rsidRPr="00891780">
        <w:rPr>
          <w:rFonts w:asciiTheme="minorHAnsi" w:eastAsia="Calibri" w:hAnsiTheme="minorHAnsi" w:cstheme="minorHAnsi"/>
          <w:sz w:val="22"/>
          <w:szCs w:val="22"/>
          <w:lang w:val="en-GB"/>
        </w:rPr>
        <w:t>calls</w:t>
      </w:r>
      <w:r w:rsidR="002C514A" w:rsidRPr="00891780">
        <w:rPr>
          <w:rFonts w:asciiTheme="minorHAnsi" w:eastAsia="Calibri" w:hAnsiTheme="minorHAnsi" w:cstheme="minorHAnsi"/>
          <w:sz w:val="22"/>
          <w:szCs w:val="22"/>
          <w:lang w:val="en-GB"/>
        </w:rPr>
        <w:t xml:space="preserve">, as well as advisory support in </w:t>
      </w:r>
      <w:r w:rsidR="00752B04" w:rsidRPr="00891780">
        <w:rPr>
          <w:rFonts w:asciiTheme="minorHAnsi" w:eastAsia="Calibri" w:hAnsiTheme="minorHAnsi" w:cstheme="minorHAnsi"/>
          <w:sz w:val="22"/>
          <w:szCs w:val="22"/>
          <w:lang w:val="en-GB"/>
        </w:rPr>
        <w:t xml:space="preserve">the </w:t>
      </w:r>
      <w:r w:rsidR="002C514A" w:rsidRPr="00891780">
        <w:rPr>
          <w:rFonts w:asciiTheme="minorHAnsi" w:eastAsia="Calibri" w:hAnsiTheme="minorHAnsi" w:cstheme="minorHAnsi"/>
          <w:sz w:val="22"/>
          <w:szCs w:val="22"/>
          <w:lang w:val="en-GB"/>
        </w:rPr>
        <w:t>public procurement and consulting services in the implementation of projects.</w:t>
      </w:r>
    </w:p>
    <w:p w14:paraId="06B66540" w14:textId="77777777" w:rsidR="004A0A4A" w:rsidRPr="004A0A4A" w:rsidRDefault="004A0A4A" w:rsidP="004A0A4A">
      <w:pPr>
        <w:jc w:val="both"/>
        <w:rPr>
          <w:rFonts w:asciiTheme="minorHAnsi" w:eastAsia="Calibri" w:hAnsiTheme="minorHAnsi" w:cstheme="minorHAnsi"/>
          <w:sz w:val="8"/>
          <w:szCs w:val="8"/>
          <w:lang w:val="en-GB"/>
        </w:rPr>
      </w:pPr>
    </w:p>
    <w:p w14:paraId="1748D7BE" w14:textId="5B06B8BC" w:rsidR="00382CF2" w:rsidRPr="00891780" w:rsidRDefault="002D2BF4" w:rsidP="004A0A4A">
      <w:pPr>
        <w:jc w:val="both"/>
        <w:rPr>
          <w:rFonts w:ascii="Calibri" w:eastAsia="Calibri" w:hAnsi="Calibri" w:cs="Calibri"/>
          <w:sz w:val="22"/>
          <w:szCs w:val="22"/>
          <w:lang w:val="en-GB"/>
        </w:rPr>
      </w:pPr>
      <w:r w:rsidRPr="00891780">
        <w:rPr>
          <w:rFonts w:ascii="Calibri" w:eastAsia="Calibri" w:hAnsi="Calibri" w:cs="Calibri"/>
          <w:sz w:val="22"/>
          <w:szCs w:val="22"/>
          <w:lang w:val="en-GB"/>
        </w:rPr>
        <w:t xml:space="preserve">In 2022, the final beneficiaries of advisory services were units of local and regional government, </w:t>
      </w:r>
      <w:proofErr w:type="gramStart"/>
      <w:r w:rsidRPr="00891780">
        <w:rPr>
          <w:rFonts w:ascii="Calibri" w:eastAsia="Calibri" w:hAnsi="Calibri" w:cs="Calibri"/>
          <w:sz w:val="22"/>
          <w:szCs w:val="22"/>
          <w:lang w:val="en-GB"/>
        </w:rPr>
        <w:t>i.e.</w:t>
      </w:r>
      <w:proofErr w:type="gramEnd"/>
      <w:r w:rsidRPr="00891780">
        <w:rPr>
          <w:rFonts w:ascii="Calibri" w:eastAsia="Calibri" w:hAnsi="Calibri" w:cs="Calibri"/>
          <w:sz w:val="22"/>
          <w:szCs w:val="22"/>
          <w:lang w:val="en-GB"/>
        </w:rPr>
        <w:t xml:space="preserve"> </w:t>
      </w:r>
      <w:r w:rsidR="00006071">
        <w:rPr>
          <w:rFonts w:ascii="Calibri" w:eastAsia="Calibri" w:hAnsi="Calibri" w:cs="Calibri"/>
          <w:sz w:val="22"/>
          <w:szCs w:val="22"/>
          <w:lang w:val="en-GB"/>
        </w:rPr>
        <w:t>three</w:t>
      </w:r>
      <w:r w:rsidRPr="00891780">
        <w:rPr>
          <w:rFonts w:ascii="Calibri" w:eastAsia="Calibri" w:hAnsi="Calibri" w:cs="Calibri"/>
          <w:sz w:val="22"/>
          <w:szCs w:val="22"/>
          <w:lang w:val="en-GB"/>
        </w:rPr>
        <w:t xml:space="preserve"> cities, </w:t>
      </w:r>
      <w:r w:rsidR="00006071">
        <w:rPr>
          <w:rFonts w:ascii="Calibri" w:eastAsia="Calibri" w:hAnsi="Calibri" w:cs="Calibri"/>
          <w:sz w:val="22"/>
          <w:szCs w:val="22"/>
          <w:lang w:val="en-GB"/>
        </w:rPr>
        <w:t>four</w:t>
      </w:r>
      <w:r w:rsidRPr="00891780">
        <w:rPr>
          <w:rFonts w:ascii="Calibri" w:eastAsia="Calibri" w:hAnsi="Calibri" w:cs="Calibri"/>
          <w:sz w:val="22"/>
          <w:szCs w:val="22"/>
          <w:lang w:val="en-GB"/>
        </w:rPr>
        <w:t xml:space="preserve"> municipalities and </w:t>
      </w:r>
      <w:r w:rsidR="00EB7A0A">
        <w:rPr>
          <w:rFonts w:ascii="Calibri" w:eastAsia="Calibri" w:hAnsi="Calibri" w:cs="Calibri"/>
          <w:sz w:val="22"/>
          <w:szCs w:val="22"/>
          <w:lang w:val="en-GB"/>
        </w:rPr>
        <w:t>one</w:t>
      </w:r>
      <w:r w:rsidRPr="00891780">
        <w:rPr>
          <w:rFonts w:ascii="Calibri" w:eastAsia="Calibri" w:hAnsi="Calibri" w:cs="Calibri"/>
          <w:sz w:val="22"/>
          <w:szCs w:val="22"/>
          <w:lang w:val="en-GB"/>
        </w:rPr>
        <w:t xml:space="preserve"> home for elderly persons owned by the county, and a total of </w:t>
      </w:r>
      <w:r w:rsidR="00EB7A0A">
        <w:rPr>
          <w:rFonts w:ascii="Calibri" w:eastAsia="Calibri" w:hAnsi="Calibri" w:cs="Calibri"/>
          <w:sz w:val="22"/>
          <w:szCs w:val="22"/>
          <w:lang w:val="en-GB"/>
        </w:rPr>
        <w:t>ten</w:t>
      </w:r>
      <w:r w:rsidRPr="00891780">
        <w:rPr>
          <w:rFonts w:ascii="Calibri" w:eastAsia="Calibri" w:hAnsi="Calibri" w:cs="Calibri"/>
          <w:sz w:val="22"/>
          <w:szCs w:val="22"/>
          <w:lang w:val="en-GB"/>
        </w:rPr>
        <w:t xml:space="preserve"> projects were implemented, </w:t>
      </w:r>
      <w:r w:rsidR="00EB7A0A">
        <w:rPr>
          <w:rFonts w:ascii="Calibri" w:eastAsia="Calibri" w:hAnsi="Calibri" w:cs="Calibri"/>
          <w:sz w:val="22"/>
          <w:szCs w:val="22"/>
          <w:lang w:val="en-GB"/>
        </w:rPr>
        <w:t>six</w:t>
      </w:r>
      <w:r w:rsidRPr="00891780">
        <w:rPr>
          <w:rFonts w:ascii="Calibri" w:eastAsia="Calibri" w:hAnsi="Calibri" w:cs="Calibri"/>
          <w:sz w:val="22"/>
          <w:szCs w:val="22"/>
          <w:lang w:val="en-GB"/>
        </w:rPr>
        <w:t xml:space="preserve"> of which were in less developed areas of the Republic of Croatia.</w:t>
      </w:r>
      <w:r w:rsidR="00054989" w:rsidRPr="00891780">
        <w:rPr>
          <w:rFonts w:ascii="Calibri" w:eastAsia="Calibri" w:hAnsi="Calibri" w:cs="Calibri"/>
          <w:sz w:val="22"/>
          <w:szCs w:val="22"/>
          <w:lang w:val="en-GB"/>
        </w:rPr>
        <w:t xml:space="preserve"> </w:t>
      </w:r>
      <w:r w:rsidR="00033130" w:rsidRPr="00891780">
        <w:rPr>
          <w:rFonts w:ascii="Calibri" w:eastAsia="Calibri" w:hAnsi="Calibri" w:cs="Calibri"/>
          <w:sz w:val="22"/>
          <w:szCs w:val="22"/>
          <w:lang w:val="en-GB"/>
        </w:rPr>
        <w:t xml:space="preserve">The selected projects are from the </w:t>
      </w:r>
      <w:r w:rsidR="00D74B0C" w:rsidRPr="00891780">
        <w:rPr>
          <w:rFonts w:ascii="Calibri" w:eastAsia="Calibri" w:hAnsi="Calibri" w:cs="Calibri"/>
          <w:sz w:val="22"/>
          <w:szCs w:val="22"/>
          <w:lang w:val="en-GB"/>
        </w:rPr>
        <w:t>area</w:t>
      </w:r>
      <w:r w:rsidR="00033130" w:rsidRPr="00891780">
        <w:rPr>
          <w:rFonts w:ascii="Calibri" w:eastAsia="Calibri" w:hAnsi="Calibri" w:cs="Calibri"/>
          <w:sz w:val="22"/>
          <w:szCs w:val="22"/>
          <w:lang w:val="en-GB"/>
        </w:rPr>
        <w:t xml:space="preserve"> of social infrastructure: construction of a kindergarten, construction/renovation of a home for the elderly and infirm persons, construction of a sports </w:t>
      </w:r>
      <w:r w:rsidR="00097782" w:rsidRPr="00891780">
        <w:rPr>
          <w:rFonts w:ascii="Calibri" w:eastAsia="Calibri" w:hAnsi="Calibri" w:cs="Calibri"/>
          <w:sz w:val="22"/>
          <w:szCs w:val="22"/>
          <w:lang w:val="en-GB"/>
        </w:rPr>
        <w:t>centre</w:t>
      </w:r>
      <w:r w:rsidR="00033130" w:rsidRPr="00891780">
        <w:rPr>
          <w:rFonts w:ascii="Calibri" w:eastAsia="Calibri" w:hAnsi="Calibri" w:cs="Calibri"/>
          <w:sz w:val="22"/>
          <w:szCs w:val="22"/>
          <w:lang w:val="en-GB"/>
        </w:rPr>
        <w:t xml:space="preserve">, extension of an elementary school, construction of a sports hall, reconstruction of a building for the purpose of opening a multifunctional </w:t>
      </w:r>
      <w:r w:rsidR="00634BDF" w:rsidRPr="00891780">
        <w:rPr>
          <w:rFonts w:ascii="Calibri" w:eastAsia="Calibri" w:hAnsi="Calibri" w:cs="Calibri"/>
          <w:sz w:val="22"/>
          <w:szCs w:val="22"/>
          <w:lang w:val="en-GB"/>
        </w:rPr>
        <w:t>centre</w:t>
      </w:r>
      <w:r w:rsidR="00033130" w:rsidRPr="00891780">
        <w:rPr>
          <w:rFonts w:ascii="Calibri" w:eastAsia="Calibri" w:hAnsi="Calibri" w:cs="Calibri"/>
          <w:sz w:val="22"/>
          <w:szCs w:val="22"/>
          <w:lang w:val="en-GB"/>
        </w:rPr>
        <w:t xml:space="preserve">, and projects in the area of environmental protection: </w:t>
      </w:r>
      <w:r w:rsidR="00033130" w:rsidRPr="00891780">
        <w:rPr>
          <w:rFonts w:ascii="Calibri" w:eastAsia="Calibri" w:hAnsi="Calibri" w:cs="Calibri"/>
          <w:sz w:val="22"/>
          <w:szCs w:val="22"/>
          <w:lang w:val="en-GB"/>
        </w:rPr>
        <w:lastRenderedPageBreak/>
        <w:t>disposal of waste</w:t>
      </w:r>
      <w:r w:rsidR="00D74B0C" w:rsidRPr="00891780">
        <w:rPr>
          <w:rFonts w:ascii="Calibri" w:eastAsia="Calibri" w:hAnsi="Calibri" w:cs="Calibri"/>
          <w:sz w:val="22"/>
          <w:szCs w:val="22"/>
          <w:lang w:val="en-GB"/>
        </w:rPr>
        <w:t>water</w:t>
      </w:r>
      <w:r w:rsidR="00EB7A0A">
        <w:rPr>
          <w:rFonts w:ascii="Calibri" w:eastAsia="Calibri" w:hAnsi="Calibri" w:cs="Calibri"/>
          <w:sz w:val="22"/>
          <w:szCs w:val="22"/>
          <w:lang w:val="en-GB"/>
        </w:rPr>
        <w:t>,</w:t>
      </w:r>
      <w:r w:rsidR="00054989" w:rsidRPr="00891780">
        <w:rPr>
          <w:rFonts w:ascii="Calibri" w:eastAsia="Calibri" w:hAnsi="Calibri" w:cs="Calibri"/>
          <w:sz w:val="22"/>
          <w:szCs w:val="22"/>
          <w:lang w:val="en-GB"/>
        </w:rPr>
        <w:t xml:space="preserve"> </w:t>
      </w:r>
      <w:r w:rsidR="00D74B0C" w:rsidRPr="00891780">
        <w:rPr>
          <w:rFonts w:ascii="Calibri" w:eastAsia="Calibri" w:hAnsi="Calibri" w:cs="Calibri"/>
          <w:sz w:val="22"/>
          <w:szCs w:val="22"/>
          <w:lang w:val="en-GB"/>
        </w:rPr>
        <w:t>sew</w:t>
      </w:r>
      <w:r w:rsidR="00634BDF" w:rsidRPr="00891780">
        <w:rPr>
          <w:rFonts w:ascii="Calibri" w:eastAsia="Calibri" w:hAnsi="Calibri" w:cs="Calibri"/>
          <w:sz w:val="22"/>
          <w:szCs w:val="22"/>
          <w:lang w:val="en-GB"/>
        </w:rPr>
        <w:t>a</w:t>
      </w:r>
      <w:r w:rsidR="00D74B0C" w:rsidRPr="00891780">
        <w:rPr>
          <w:rFonts w:ascii="Calibri" w:eastAsia="Calibri" w:hAnsi="Calibri" w:cs="Calibri"/>
          <w:sz w:val="22"/>
          <w:szCs w:val="22"/>
          <w:lang w:val="en-GB"/>
        </w:rPr>
        <w:t>ge network</w:t>
      </w:r>
      <w:r w:rsidR="00EB7A0A">
        <w:rPr>
          <w:rFonts w:ascii="Calibri" w:eastAsia="Calibri" w:hAnsi="Calibri" w:cs="Calibri"/>
          <w:sz w:val="22"/>
          <w:szCs w:val="22"/>
          <w:lang w:val="en-GB"/>
        </w:rPr>
        <w:t>,</w:t>
      </w:r>
      <w:r w:rsidR="00054989" w:rsidRPr="00891780">
        <w:rPr>
          <w:rFonts w:ascii="Calibri" w:eastAsia="Calibri" w:hAnsi="Calibri" w:cs="Calibri"/>
          <w:sz w:val="22"/>
          <w:szCs w:val="22"/>
          <w:lang w:val="en-GB"/>
        </w:rPr>
        <w:t xml:space="preserve"> </w:t>
      </w:r>
      <w:r w:rsidR="00D74B0C" w:rsidRPr="00891780">
        <w:rPr>
          <w:rFonts w:ascii="Calibri" w:eastAsia="Calibri" w:hAnsi="Calibri" w:cs="Calibri"/>
          <w:sz w:val="22"/>
          <w:szCs w:val="22"/>
          <w:lang w:val="en-GB"/>
        </w:rPr>
        <w:t xml:space="preserve">installation of </w:t>
      </w:r>
      <w:r w:rsidR="00B166C8" w:rsidRPr="00891780">
        <w:rPr>
          <w:rFonts w:ascii="Calibri" w:eastAsia="Calibri" w:hAnsi="Calibri" w:cs="Calibri"/>
          <w:sz w:val="22"/>
          <w:szCs w:val="22"/>
          <w:lang w:val="en-GB"/>
        </w:rPr>
        <w:t>sew</w:t>
      </w:r>
      <w:r w:rsidR="00634BDF" w:rsidRPr="00891780">
        <w:rPr>
          <w:rFonts w:ascii="Calibri" w:eastAsia="Calibri" w:hAnsi="Calibri" w:cs="Calibri"/>
          <w:sz w:val="22"/>
          <w:szCs w:val="22"/>
          <w:lang w:val="en-GB"/>
        </w:rPr>
        <w:t>a</w:t>
      </w:r>
      <w:r w:rsidR="00B166C8" w:rsidRPr="00891780">
        <w:rPr>
          <w:rFonts w:ascii="Calibri" w:eastAsia="Calibri" w:hAnsi="Calibri" w:cs="Calibri"/>
          <w:sz w:val="22"/>
          <w:szCs w:val="22"/>
          <w:lang w:val="en-GB"/>
        </w:rPr>
        <w:t>ge treatment</w:t>
      </w:r>
      <w:r w:rsidR="00D74B0C" w:rsidRPr="00891780">
        <w:rPr>
          <w:rFonts w:ascii="Calibri" w:eastAsia="Calibri" w:hAnsi="Calibri" w:cs="Calibri"/>
          <w:sz w:val="22"/>
          <w:szCs w:val="22"/>
          <w:lang w:val="en-GB"/>
        </w:rPr>
        <w:t xml:space="preserve"> plant</w:t>
      </w:r>
      <w:r w:rsidR="00B166C8" w:rsidRPr="00891780">
        <w:rPr>
          <w:rFonts w:ascii="Calibri" w:eastAsia="Calibri" w:hAnsi="Calibri" w:cs="Calibri"/>
          <w:sz w:val="22"/>
          <w:szCs w:val="22"/>
          <w:lang w:val="en-GB"/>
        </w:rPr>
        <w:t xml:space="preserve"> and</w:t>
      </w:r>
      <w:r w:rsidR="00054989" w:rsidRPr="00891780">
        <w:rPr>
          <w:rFonts w:ascii="Calibri" w:eastAsia="Calibri" w:hAnsi="Calibri" w:cs="Calibri"/>
          <w:sz w:val="22"/>
          <w:szCs w:val="22"/>
          <w:lang w:val="en-GB"/>
        </w:rPr>
        <w:t xml:space="preserve"> </w:t>
      </w:r>
      <w:r w:rsidR="00634BDF" w:rsidRPr="00891780">
        <w:rPr>
          <w:rFonts w:ascii="Calibri" w:eastAsia="Calibri" w:hAnsi="Calibri" w:cs="Calibri"/>
          <w:sz w:val="22"/>
          <w:szCs w:val="22"/>
          <w:lang w:val="en-GB"/>
        </w:rPr>
        <w:t xml:space="preserve">construction of </w:t>
      </w:r>
      <w:r w:rsidR="00097782" w:rsidRPr="00891780">
        <w:rPr>
          <w:rFonts w:ascii="Calibri" w:eastAsia="Calibri" w:hAnsi="Calibri" w:cs="Calibri"/>
          <w:sz w:val="22"/>
          <w:szCs w:val="22"/>
          <w:lang w:val="en-GB"/>
        </w:rPr>
        <w:t xml:space="preserve">a </w:t>
      </w:r>
      <w:r w:rsidR="005E050B" w:rsidRPr="00891780">
        <w:rPr>
          <w:rFonts w:ascii="Calibri" w:eastAsia="Calibri" w:hAnsi="Calibri" w:cs="Calibri"/>
          <w:sz w:val="22"/>
          <w:szCs w:val="22"/>
          <w:lang w:val="en-GB"/>
        </w:rPr>
        <w:t>civic amenity site</w:t>
      </w:r>
      <w:r w:rsidR="00553CD0" w:rsidRPr="00891780">
        <w:rPr>
          <w:rFonts w:ascii="Calibri" w:eastAsia="Calibri" w:hAnsi="Calibri" w:cs="Calibri"/>
          <w:sz w:val="22"/>
          <w:szCs w:val="22"/>
          <w:lang w:val="en-GB"/>
        </w:rPr>
        <w:t xml:space="preserve"> for construction waste</w:t>
      </w:r>
      <w:r w:rsidR="00054989" w:rsidRPr="00891780">
        <w:rPr>
          <w:rFonts w:ascii="Calibri" w:eastAsia="Calibri" w:hAnsi="Calibri" w:cs="Calibri"/>
          <w:sz w:val="22"/>
          <w:szCs w:val="22"/>
          <w:lang w:val="en-GB"/>
        </w:rPr>
        <w:t>.</w:t>
      </w:r>
    </w:p>
    <w:p w14:paraId="4F03E75F" w14:textId="77777777" w:rsidR="009E4F8C" w:rsidRPr="00891780" w:rsidRDefault="009E4F8C" w:rsidP="000B677E">
      <w:pPr>
        <w:pStyle w:val="Heading3"/>
        <w:jc w:val="both"/>
        <w:rPr>
          <w:rFonts w:asciiTheme="minorHAnsi" w:hAnsiTheme="minorHAnsi" w:cstheme="minorHAnsi"/>
          <w:b/>
          <w:bCs/>
          <w:color w:val="auto"/>
          <w:sz w:val="22"/>
          <w:szCs w:val="22"/>
          <w:lang w:val="en-GB"/>
        </w:rPr>
      </w:pPr>
      <w:bookmarkStart w:id="57" w:name="_Toc97908657"/>
      <w:bookmarkStart w:id="58" w:name="_Toc129176350"/>
      <w:bookmarkStart w:id="59" w:name="_Hlk126931003"/>
      <w:r w:rsidRPr="00891780">
        <w:rPr>
          <w:rFonts w:asciiTheme="minorHAnsi" w:hAnsiTheme="minorHAnsi" w:cstheme="minorHAnsi"/>
          <w:b/>
          <w:bCs/>
          <w:color w:val="auto"/>
          <w:sz w:val="22"/>
          <w:szCs w:val="22"/>
          <w:lang w:val="en-GB"/>
        </w:rPr>
        <w:t>HBOR'S SUSTAINABLE FINANCING PROJECT – SHIFT IN HBOR's ACTIVITIES TOWARDS SUSTAINABLE FINANCING AND GREEN TRANSITION</w:t>
      </w:r>
      <w:bookmarkEnd w:id="57"/>
      <w:bookmarkEnd w:id="58"/>
    </w:p>
    <w:p w14:paraId="61A1240B" w14:textId="7206553B" w:rsidR="00FA1535" w:rsidRPr="00891780" w:rsidRDefault="00370D27" w:rsidP="000B677E">
      <w:pPr>
        <w:spacing w:before="120" w:after="120" w:line="276" w:lineRule="auto"/>
        <w:jc w:val="both"/>
        <w:rPr>
          <w:rFonts w:ascii="Calibri" w:eastAsia="SimSun" w:hAnsi="Calibri" w:cs="Calibri"/>
          <w:sz w:val="22"/>
          <w:szCs w:val="22"/>
          <w:lang w:val="en-GB"/>
        </w:rPr>
      </w:pPr>
      <w:r w:rsidRPr="00891780">
        <w:rPr>
          <w:rStyle w:val="Zadanifontodlomka1"/>
          <w:rFonts w:ascii="Calibri" w:eastAsia="SimSun" w:hAnsi="Calibri" w:cs="Calibri"/>
          <w:sz w:val="22"/>
          <w:szCs w:val="22"/>
          <w:lang w:val="en-GB"/>
        </w:rPr>
        <w:t>The entire 2022 was strongly marked by the implementation activities of the comprehensive thematic sustainable financing project called "Reorient Croatian Development Bank's (HBOR) operations towards sustainable financing and green transition"</w:t>
      </w:r>
      <w:r w:rsidR="001714E1" w:rsidRPr="00891780">
        <w:rPr>
          <w:rStyle w:val="Zadanifontodlomka1"/>
          <w:rFonts w:ascii="Calibri" w:eastAsia="SimSun" w:hAnsi="Calibri" w:cs="Calibri"/>
          <w:sz w:val="22"/>
          <w:szCs w:val="22"/>
          <w:lang w:val="en-GB"/>
        </w:rPr>
        <w:t>, by which</w:t>
      </w:r>
      <w:r w:rsidR="00054989" w:rsidRPr="00891780">
        <w:rPr>
          <w:rStyle w:val="Zadanifontodlomka1"/>
          <w:rFonts w:ascii="Calibri" w:eastAsia="SimSun" w:hAnsi="Calibri" w:cs="Calibri"/>
          <w:sz w:val="22"/>
          <w:szCs w:val="22"/>
          <w:lang w:val="en-GB"/>
        </w:rPr>
        <w:t xml:space="preserve"> HBOR </w:t>
      </w:r>
      <w:r w:rsidR="001714E1" w:rsidRPr="00891780">
        <w:rPr>
          <w:rStyle w:val="Zadanifontodlomka1"/>
          <w:rFonts w:ascii="Calibri" w:eastAsia="SimSun" w:hAnsi="Calibri" w:cs="Calibri"/>
          <w:sz w:val="22"/>
          <w:szCs w:val="22"/>
          <w:lang w:val="en-GB"/>
        </w:rPr>
        <w:t>started a</w:t>
      </w:r>
      <w:r w:rsidR="00054989" w:rsidRPr="00891780">
        <w:rPr>
          <w:rStyle w:val="Zadanifontodlomka1"/>
          <w:rFonts w:ascii="Calibri" w:eastAsia="SimSun" w:hAnsi="Calibri" w:cs="Calibri"/>
          <w:sz w:val="22"/>
          <w:szCs w:val="22"/>
          <w:lang w:val="en-GB"/>
        </w:rPr>
        <w:t xml:space="preserve"> </w:t>
      </w:r>
      <w:r w:rsidR="00BE72F6" w:rsidRPr="00891780">
        <w:rPr>
          <w:rStyle w:val="Zadanifontodlomka1"/>
          <w:rFonts w:ascii="Calibri" w:eastAsia="SimSun" w:hAnsi="Calibri" w:cs="Calibri"/>
          <w:sz w:val="22"/>
          <w:szCs w:val="22"/>
          <w:lang w:val="en-GB"/>
        </w:rPr>
        <w:t>systematic adjustment to the requirements of regulations on sustainability and sustainable financing.</w:t>
      </w:r>
    </w:p>
    <w:p w14:paraId="1748D7C1" w14:textId="197A5E1F" w:rsidR="00382CF2" w:rsidRPr="00891780" w:rsidRDefault="005B6BE8"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This HBOR's project of sustainable finance was supported by</w:t>
      </w:r>
      <w:r w:rsidR="006855F9" w:rsidRPr="00891780">
        <w:rPr>
          <w:rFonts w:ascii="Calibri" w:eastAsia="SimSun" w:hAnsi="Calibri" w:cs="Calibri"/>
          <w:sz w:val="22"/>
          <w:szCs w:val="22"/>
          <w:lang w:val="en-GB"/>
        </w:rPr>
        <w:t xml:space="preserve"> the</w:t>
      </w:r>
      <w:r w:rsidR="00054989" w:rsidRPr="00891780">
        <w:rPr>
          <w:rFonts w:ascii="Calibri" w:eastAsia="SimSun" w:hAnsi="Calibri" w:cs="Calibri"/>
          <w:sz w:val="22"/>
          <w:szCs w:val="22"/>
          <w:lang w:val="en-GB"/>
        </w:rPr>
        <w:t xml:space="preserve"> Directorate-General for Structural Reform Support (DG REFORM)), </w:t>
      </w:r>
      <w:r w:rsidR="006855F9" w:rsidRPr="00891780">
        <w:rPr>
          <w:rFonts w:ascii="Calibri" w:eastAsia="SimSun" w:hAnsi="Calibri" w:cs="Calibri"/>
          <w:sz w:val="22"/>
          <w:szCs w:val="22"/>
          <w:lang w:val="en-GB"/>
        </w:rPr>
        <w:t>which helps member states</w:t>
      </w:r>
      <w:r w:rsidR="00225100" w:rsidRPr="00891780">
        <w:rPr>
          <w:rFonts w:ascii="Calibri" w:eastAsia="SimSun" w:hAnsi="Calibri" w:cs="Calibri"/>
          <w:sz w:val="22"/>
          <w:szCs w:val="22"/>
          <w:lang w:val="en-GB"/>
        </w:rPr>
        <w:t xml:space="preserve"> implement reforms to create jobs and promote sustainable growth</w:t>
      </w:r>
      <w:r w:rsidR="00054989" w:rsidRPr="00891780">
        <w:rPr>
          <w:rFonts w:ascii="Calibri" w:eastAsia="SimSun" w:hAnsi="Calibri" w:cs="Calibri"/>
          <w:sz w:val="22"/>
          <w:szCs w:val="22"/>
          <w:lang w:val="en-GB"/>
        </w:rPr>
        <w:t xml:space="preserve">. </w:t>
      </w:r>
      <w:r w:rsidR="002358EC" w:rsidRPr="00891780">
        <w:rPr>
          <w:rFonts w:ascii="Calibri" w:eastAsia="SimSun" w:hAnsi="Calibri" w:cs="Calibri"/>
          <w:sz w:val="22"/>
          <w:szCs w:val="22"/>
          <w:lang w:val="en-GB"/>
        </w:rPr>
        <w:t>The project activities were defined by HBOR and DG REFORM</w:t>
      </w:r>
      <w:r w:rsidR="008841C7">
        <w:rPr>
          <w:rFonts w:ascii="Calibri" w:eastAsia="SimSun" w:hAnsi="Calibri" w:cs="Calibri"/>
          <w:sz w:val="22"/>
          <w:szCs w:val="22"/>
          <w:lang w:val="en-GB"/>
        </w:rPr>
        <w:t xml:space="preserve"> jointly</w:t>
      </w:r>
      <w:r w:rsidR="002358EC" w:rsidRPr="00891780">
        <w:rPr>
          <w:rFonts w:ascii="Calibri" w:eastAsia="SimSun" w:hAnsi="Calibri" w:cs="Calibri"/>
          <w:sz w:val="22"/>
          <w:szCs w:val="22"/>
          <w:lang w:val="en-GB"/>
        </w:rPr>
        <w:t xml:space="preserve">, and support was </w:t>
      </w:r>
      <w:r w:rsidR="007C14B2">
        <w:rPr>
          <w:rFonts w:ascii="Calibri" w:eastAsia="SimSun" w:hAnsi="Calibri" w:cs="Calibri"/>
          <w:sz w:val="22"/>
          <w:szCs w:val="22"/>
          <w:lang w:val="en-GB"/>
        </w:rPr>
        <w:t xml:space="preserve">provided </w:t>
      </w:r>
      <w:r w:rsidR="002358EC" w:rsidRPr="00891780">
        <w:rPr>
          <w:rFonts w:ascii="Calibri" w:eastAsia="SimSun" w:hAnsi="Calibri" w:cs="Calibri"/>
          <w:sz w:val="22"/>
          <w:szCs w:val="22"/>
          <w:lang w:val="en-GB"/>
        </w:rPr>
        <w:t>through the technical support of experts from an international consortium, who have expert knowledge in various areas of sustainable financing.</w:t>
      </w:r>
    </w:p>
    <w:p w14:paraId="1748D7C2" w14:textId="19CF5D48" w:rsidR="00382CF2" w:rsidRPr="00891780" w:rsidRDefault="002358EC"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The goal of the project is to strengthen HBOR in understanding environmental, climate and social risks and their implications for business, and </w:t>
      </w:r>
      <w:r w:rsidR="00AA6D09">
        <w:rPr>
          <w:rFonts w:ascii="Calibri" w:eastAsia="SimSun" w:hAnsi="Calibri" w:cs="Calibri"/>
          <w:sz w:val="22"/>
          <w:szCs w:val="22"/>
          <w:lang w:val="en-GB"/>
        </w:rPr>
        <w:t xml:space="preserve">to ensure </w:t>
      </w:r>
      <w:r w:rsidRPr="00891780">
        <w:rPr>
          <w:rFonts w:ascii="Calibri" w:eastAsia="SimSun" w:hAnsi="Calibri" w:cs="Calibri"/>
          <w:sz w:val="22"/>
          <w:szCs w:val="22"/>
          <w:lang w:val="en-GB"/>
        </w:rPr>
        <w:t>develop</w:t>
      </w:r>
      <w:r w:rsidR="00AA6D09">
        <w:rPr>
          <w:rFonts w:ascii="Calibri" w:eastAsia="SimSun" w:hAnsi="Calibri" w:cs="Calibri"/>
          <w:sz w:val="22"/>
          <w:szCs w:val="22"/>
          <w:lang w:val="en-GB"/>
        </w:rPr>
        <w:t xml:space="preserve">ment and </w:t>
      </w:r>
      <w:r w:rsidRPr="00891780">
        <w:rPr>
          <w:rFonts w:ascii="Calibri" w:eastAsia="SimSun" w:hAnsi="Calibri" w:cs="Calibri"/>
          <w:sz w:val="22"/>
          <w:szCs w:val="22"/>
          <w:lang w:val="en-GB"/>
        </w:rPr>
        <w:t>implement</w:t>
      </w:r>
      <w:r w:rsidR="00AA6D09">
        <w:rPr>
          <w:rFonts w:ascii="Calibri" w:eastAsia="SimSun" w:hAnsi="Calibri" w:cs="Calibri"/>
          <w:sz w:val="22"/>
          <w:szCs w:val="22"/>
          <w:lang w:val="en-GB"/>
        </w:rPr>
        <w:t xml:space="preserve">ation of </w:t>
      </w:r>
      <w:r w:rsidRPr="00891780">
        <w:rPr>
          <w:rFonts w:ascii="Calibri" w:eastAsia="SimSun" w:hAnsi="Calibri" w:cs="Calibri"/>
          <w:sz w:val="22"/>
          <w:szCs w:val="22"/>
          <w:lang w:val="en-GB"/>
        </w:rPr>
        <w:t xml:space="preserve">a comprehensive set of sustainable financial policies, procedures, </w:t>
      </w:r>
      <w:proofErr w:type="gramStart"/>
      <w:r w:rsidRPr="00891780">
        <w:rPr>
          <w:rFonts w:ascii="Calibri" w:eastAsia="SimSun" w:hAnsi="Calibri" w:cs="Calibri"/>
          <w:sz w:val="22"/>
          <w:szCs w:val="22"/>
          <w:lang w:val="en-GB"/>
        </w:rPr>
        <w:t>tools</w:t>
      </w:r>
      <w:proofErr w:type="gramEnd"/>
      <w:r w:rsidRPr="00891780">
        <w:rPr>
          <w:rFonts w:ascii="Calibri" w:eastAsia="SimSun" w:hAnsi="Calibri" w:cs="Calibri"/>
          <w:sz w:val="22"/>
          <w:szCs w:val="22"/>
          <w:lang w:val="en-GB"/>
        </w:rPr>
        <w:t xml:space="preserve"> and benchmarks.</w:t>
      </w:r>
    </w:p>
    <w:p w14:paraId="1748D7C3" w14:textId="13D56929" w:rsidR="00382CF2" w:rsidRPr="00891780" w:rsidRDefault="009C14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Implementation activities began at the end of 2021, and project activities </w:t>
      </w:r>
      <w:proofErr w:type="gramStart"/>
      <w:r w:rsidRPr="00891780">
        <w:rPr>
          <w:rFonts w:ascii="Calibri" w:eastAsia="SimSun" w:hAnsi="Calibri" w:cs="Calibri"/>
          <w:sz w:val="22"/>
          <w:szCs w:val="22"/>
          <w:lang w:val="en-GB"/>
        </w:rPr>
        <w:t>include:</w:t>
      </w:r>
      <w:proofErr w:type="gramEnd"/>
      <w:r w:rsidRPr="00891780">
        <w:rPr>
          <w:rFonts w:ascii="Calibri" w:eastAsia="SimSun" w:hAnsi="Calibri" w:cs="Calibri"/>
          <w:sz w:val="22"/>
          <w:szCs w:val="22"/>
          <w:lang w:val="en-GB"/>
        </w:rPr>
        <w:t xml:space="preserve"> preparation of a diagnostic report, a methodology for managing ESG risks and impacts, organi</w:t>
      </w:r>
      <w:r w:rsidR="009E2BA6" w:rsidRPr="00891780">
        <w:rPr>
          <w:rFonts w:ascii="Calibri" w:eastAsia="SimSun" w:hAnsi="Calibri" w:cs="Calibri"/>
          <w:sz w:val="22"/>
          <w:szCs w:val="22"/>
          <w:lang w:val="en-GB"/>
        </w:rPr>
        <w:t>s</w:t>
      </w:r>
      <w:r w:rsidRPr="00891780">
        <w:rPr>
          <w:rFonts w:ascii="Calibri" w:eastAsia="SimSun" w:hAnsi="Calibri" w:cs="Calibri"/>
          <w:sz w:val="22"/>
          <w:szCs w:val="22"/>
          <w:lang w:val="en-GB"/>
        </w:rPr>
        <w:t>ational and communication activities, training and capacity building, and an action plan for sustainable financing.</w:t>
      </w:r>
    </w:p>
    <w:p w14:paraId="1748D7C4" w14:textId="699FE804" w:rsidR="00CD6310" w:rsidRPr="00891780" w:rsidRDefault="009E2BA6"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Most of the project activities took place in 2022, and the expected completion of this 18-month project is April 2023.</w:t>
      </w:r>
    </w:p>
    <w:p w14:paraId="02CD46CE" w14:textId="77777777" w:rsidR="00CD6310" w:rsidRPr="00891780" w:rsidRDefault="00CD6310" w:rsidP="000B677E">
      <w:pPr>
        <w:rPr>
          <w:rFonts w:ascii="Calibri" w:eastAsia="SimSun" w:hAnsi="Calibri" w:cs="Calibri"/>
          <w:sz w:val="22"/>
          <w:szCs w:val="22"/>
          <w:lang w:val="en-GB"/>
        </w:rPr>
      </w:pPr>
      <w:r w:rsidRPr="00891780">
        <w:rPr>
          <w:rFonts w:ascii="Calibri" w:eastAsia="SimSun" w:hAnsi="Calibri" w:cs="Calibri"/>
          <w:sz w:val="22"/>
          <w:szCs w:val="22"/>
          <w:lang w:val="en-GB"/>
        </w:rPr>
        <w:br w:type="page"/>
      </w:r>
    </w:p>
    <w:p w14:paraId="1748D7C6" w14:textId="160AFFE5" w:rsidR="00382CF2" w:rsidRPr="00891780" w:rsidRDefault="00C52300" w:rsidP="000B677E">
      <w:pPr>
        <w:keepNext/>
        <w:keepLines/>
        <w:pBdr>
          <w:bottom w:val="single" w:sz="4" w:space="2" w:color="B2B2B2"/>
        </w:pBdr>
        <w:spacing w:before="360" w:after="120"/>
        <w:outlineLvl w:val="0"/>
        <w:rPr>
          <w:rFonts w:ascii="Calibri" w:eastAsia="SimHei" w:hAnsi="Calibri" w:cs="Calibri"/>
          <w:b/>
          <w:bCs/>
          <w:sz w:val="22"/>
          <w:szCs w:val="22"/>
          <w:lang w:val="en-GB"/>
        </w:rPr>
      </w:pPr>
      <w:bookmarkStart w:id="60" w:name="_Toc129176351"/>
      <w:bookmarkEnd w:id="59"/>
      <w:r w:rsidRPr="00891780">
        <w:rPr>
          <w:rFonts w:ascii="Calibri" w:eastAsia="SimHei" w:hAnsi="Calibri" w:cs="Calibri"/>
          <w:b/>
          <w:bCs/>
          <w:sz w:val="22"/>
          <w:szCs w:val="22"/>
          <w:lang w:val="en-GB"/>
        </w:rPr>
        <w:lastRenderedPageBreak/>
        <w:t>DEVELOPMENT OF VENTURE CAPITAL AND PRIVATE EQUITY MARKET</w:t>
      </w:r>
      <w:bookmarkEnd w:id="60"/>
    </w:p>
    <w:p w14:paraId="1748D7C7" w14:textId="27F92589" w:rsidR="00382CF2" w:rsidRPr="00891780" w:rsidRDefault="003B1E3D" w:rsidP="000B677E">
      <w:pPr>
        <w:spacing w:before="120" w:after="120" w:line="276" w:lineRule="auto"/>
        <w:jc w:val="both"/>
        <w:rPr>
          <w:rFonts w:ascii="Calibri" w:eastAsia="SimSun" w:hAnsi="Calibri" w:cs="Calibri"/>
          <w:sz w:val="22"/>
          <w:szCs w:val="22"/>
          <w:lang w:val="en-GB"/>
        </w:rPr>
      </w:pPr>
      <w:r>
        <w:rPr>
          <w:rFonts w:ascii="Calibri" w:hAnsi="Calibri" w:cs="Calibri"/>
          <w:sz w:val="22"/>
          <w:szCs w:val="22"/>
          <w:lang w:val="en-GB"/>
        </w:rPr>
        <w:t>The results of previous a</w:t>
      </w:r>
      <w:r w:rsidR="000D63A8" w:rsidRPr="00891780">
        <w:rPr>
          <w:rFonts w:ascii="Calibri" w:hAnsi="Calibri" w:cs="Calibri"/>
          <w:sz w:val="22"/>
          <w:szCs w:val="22"/>
          <w:lang w:val="en-GB"/>
        </w:rPr>
        <w:t>nalyses show that Croatian micro, small, medium and mid-cap companies, particularly the innovative ones and those with a higher degree of risk (start-ups, fast-growing companies or companies in propulsive ICT industries) or those operating in sectors with lower rates of return, are faced with the challenge of finding adequate sources of finance due to poorly developed venture capital and private equity market as well as the domination of traditional sources of finance</w:t>
      </w:r>
      <w:r w:rsidR="00054989" w:rsidRPr="00891780">
        <w:rPr>
          <w:rFonts w:ascii="Calibri" w:eastAsia="SimSun" w:hAnsi="Calibri" w:cs="Calibri"/>
          <w:sz w:val="22"/>
          <w:szCs w:val="22"/>
          <w:lang w:val="en-GB"/>
        </w:rPr>
        <w:t>.</w:t>
      </w:r>
    </w:p>
    <w:p w14:paraId="1748D7C8" w14:textId="7CF17431" w:rsidR="00382CF2" w:rsidRPr="00891780" w:rsidRDefault="000D63A8"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The Republic of Croatia</w:t>
      </w:r>
      <w:r w:rsidR="00054989" w:rsidRPr="00891780">
        <w:rPr>
          <w:rFonts w:ascii="Calibri" w:eastAsia="SimSun" w:hAnsi="Calibri" w:cs="Calibri"/>
          <w:sz w:val="22"/>
          <w:szCs w:val="22"/>
          <w:lang w:val="en-GB"/>
        </w:rPr>
        <w:t xml:space="preserve">, </w:t>
      </w:r>
      <w:r w:rsidR="00177E02" w:rsidRPr="00891780">
        <w:rPr>
          <w:rFonts w:ascii="Calibri" w:hAnsi="Calibri" w:cs="Calibri"/>
          <w:sz w:val="22"/>
          <w:szCs w:val="22"/>
          <w:lang w:val="en-GB"/>
        </w:rPr>
        <w:t>as the youngest European Union member country, has a poorly developed venture capital and private equity market compared to other members. Due to the insufficient number of qualified investors focused on investments in venture capital and private equity funds active in the Republic of Croatia, the role of HBOR as an investor is of special importance</w:t>
      </w:r>
      <w:r w:rsidR="00054989" w:rsidRPr="00891780">
        <w:rPr>
          <w:rFonts w:ascii="Calibri" w:eastAsia="SimSun" w:hAnsi="Calibri" w:cs="Calibri"/>
          <w:sz w:val="22"/>
          <w:szCs w:val="22"/>
          <w:lang w:val="en-GB"/>
        </w:rPr>
        <w:t>.</w:t>
      </w:r>
    </w:p>
    <w:p w14:paraId="1748D7C9" w14:textId="1C21C2F3" w:rsidR="00382CF2" w:rsidRPr="00891780" w:rsidRDefault="004E0611"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 xml:space="preserve">In the past period, HBOR </w:t>
      </w:r>
      <w:r w:rsidRPr="00891780">
        <w:rPr>
          <w:rFonts w:asciiTheme="minorHAnsi" w:eastAsia="SimSun" w:hAnsiTheme="minorHAnsi" w:cstheme="minorHAnsi"/>
          <w:sz w:val="22"/>
          <w:szCs w:val="22"/>
          <w:lang w:val="en-GB"/>
        </w:rPr>
        <w:t>partic</w:t>
      </w:r>
      <w:r w:rsidR="00A02168" w:rsidRPr="00891780">
        <w:rPr>
          <w:rFonts w:asciiTheme="minorHAnsi" w:eastAsia="SimSun" w:hAnsiTheme="minorHAnsi" w:cstheme="minorHAnsi"/>
          <w:sz w:val="22"/>
          <w:szCs w:val="22"/>
          <w:lang w:val="en-GB"/>
        </w:rPr>
        <w:t>ipated</w:t>
      </w:r>
      <w:r w:rsidR="00054989" w:rsidRPr="00891780">
        <w:rPr>
          <w:rFonts w:asciiTheme="minorHAnsi" w:eastAsia="SimSun" w:hAnsiTheme="minorHAnsi" w:cstheme="minorHAnsi"/>
          <w:sz w:val="22"/>
          <w:szCs w:val="22"/>
          <w:lang w:val="en-GB"/>
        </w:rPr>
        <w:t xml:space="preserve"> </w:t>
      </w:r>
      <w:r w:rsidR="00D05EFD" w:rsidRPr="00891780">
        <w:rPr>
          <w:rFonts w:asciiTheme="minorHAnsi" w:eastAsia="SimSun" w:hAnsiTheme="minorHAnsi" w:cstheme="minorHAnsi"/>
          <w:sz w:val="22"/>
          <w:szCs w:val="22"/>
          <w:lang w:val="en-GB"/>
        </w:rPr>
        <w:t>in</w:t>
      </w:r>
      <w:r w:rsidR="00054989" w:rsidRPr="00891780">
        <w:rPr>
          <w:rFonts w:asciiTheme="minorHAnsi" w:eastAsia="SimSun" w:hAnsiTheme="minorHAnsi" w:cstheme="minorHAnsi"/>
          <w:sz w:val="22"/>
          <w:szCs w:val="22"/>
          <w:lang w:val="en-GB"/>
        </w:rPr>
        <w:t xml:space="preserve"> </w:t>
      </w:r>
      <w:proofErr w:type="gramStart"/>
      <w:r w:rsidR="00B53DB3" w:rsidRPr="00891780">
        <w:rPr>
          <w:rFonts w:asciiTheme="minorHAnsi" w:hAnsiTheme="minorHAnsi" w:cstheme="minorHAnsi"/>
          <w:sz w:val="22"/>
          <w:szCs w:val="22"/>
          <w:lang w:val="en-GB"/>
        </w:rPr>
        <w:t>a number of</w:t>
      </w:r>
      <w:proofErr w:type="gramEnd"/>
      <w:r w:rsidR="00B53DB3" w:rsidRPr="00891780">
        <w:rPr>
          <w:rFonts w:asciiTheme="minorHAnsi" w:hAnsiTheme="minorHAnsi" w:cstheme="minorHAnsi"/>
          <w:sz w:val="22"/>
          <w:szCs w:val="22"/>
          <w:lang w:val="en-GB"/>
        </w:rPr>
        <w:t xml:space="preserve"> initiatives to develop venture capital and private equity market in order to provide adequate resources to help the growth of entrepreneurial activities</w:t>
      </w:r>
      <w:r w:rsidR="00054989" w:rsidRPr="00891780">
        <w:rPr>
          <w:rFonts w:asciiTheme="minorHAnsi" w:eastAsia="SimSun" w:hAnsiTheme="minorHAnsi" w:cstheme="minorHAnsi"/>
          <w:sz w:val="22"/>
          <w:szCs w:val="22"/>
          <w:lang w:val="en-GB"/>
        </w:rPr>
        <w:t>.</w:t>
      </w:r>
    </w:p>
    <w:p w14:paraId="1748D7CA" w14:textId="42582412" w:rsidR="00382CF2" w:rsidRPr="00891780" w:rsidRDefault="00E068CE"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 xml:space="preserve">Through </w:t>
      </w:r>
      <w:r w:rsidR="00106BA5">
        <w:rPr>
          <w:rFonts w:asciiTheme="minorHAnsi" w:hAnsiTheme="minorHAnsi" w:cstheme="minorHAnsi"/>
          <w:sz w:val="22"/>
          <w:szCs w:val="22"/>
          <w:lang w:val="en-GB"/>
        </w:rPr>
        <w:t xml:space="preserve">the </w:t>
      </w:r>
      <w:r w:rsidRPr="00891780">
        <w:rPr>
          <w:rFonts w:asciiTheme="minorHAnsi" w:hAnsiTheme="minorHAnsi" w:cstheme="minorHAnsi"/>
          <w:sz w:val="22"/>
          <w:szCs w:val="22"/>
          <w:lang w:val="en-GB"/>
        </w:rPr>
        <w:t>venture capital fund</w:t>
      </w:r>
      <w:r w:rsidR="00C51279">
        <w:rPr>
          <w:rFonts w:asciiTheme="minorHAnsi" w:hAnsiTheme="minorHAnsi" w:cstheme="minorHAnsi"/>
          <w:sz w:val="22"/>
          <w:szCs w:val="22"/>
          <w:lang w:val="en-GB"/>
        </w:rPr>
        <w:t>, the</w:t>
      </w:r>
      <w:r w:rsidRPr="00891780">
        <w:rPr>
          <w:rFonts w:asciiTheme="minorHAnsi" w:hAnsiTheme="minorHAnsi" w:cstheme="minorHAnsi"/>
          <w:sz w:val="22"/>
          <w:szCs w:val="22"/>
          <w:lang w:val="en-GB"/>
        </w:rPr>
        <w:t xml:space="preserve"> </w:t>
      </w:r>
      <w:r w:rsidR="00106BA5">
        <w:rPr>
          <w:rFonts w:asciiTheme="minorHAnsi" w:hAnsiTheme="minorHAnsi" w:cstheme="minorHAnsi"/>
          <w:sz w:val="22"/>
          <w:szCs w:val="22"/>
          <w:lang w:val="en-GB"/>
        </w:rPr>
        <w:t xml:space="preserve">Venture Capital </w:t>
      </w:r>
      <w:r w:rsidR="00C51279">
        <w:rPr>
          <w:rFonts w:asciiTheme="minorHAnsi" w:hAnsiTheme="minorHAnsi" w:cstheme="minorHAnsi"/>
          <w:sz w:val="22"/>
          <w:szCs w:val="22"/>
          <w:lang w:val="en-GB"/>
        </w:rPr>
        <w:t xml:space="preserve">Fund </w:t>
      </w:r>
      <w:r w:rsidRPr="00891780">
        <w:rPr>
          <w:rFonts w:asciiTheme="minorHAnsi" w:hAnsiTheme="minorHAnsi" w:cstheme="minorHAnsi"/>
          <w:sz w:val="22"/>
          <w:szCs w:val="22"/>
          <w:lang w:val="en-GB"/>
        </w:rPr>
        <w:t xml:space="preserve">Fil Rouge Capital (FRC2 CROATIA PARTNERS SCSP), </w:t>
      </w:r>
      <w:r w:rsidR="005F7FED">
        <w:rPr>
          <w:rFonts w:asciiTheme="minorHAnsi" w:hAnsiTheme="minorHAnsi" w:cstheme="minorHAnsi"/>
          <w:sz w:val="22"/>
          <w:szCs w:val="22"/>
          <w:lang w:val="en-GB"/>
        </w:rPr>
        <w:t xml:space="preserve">which </w:t>
      </w:r>
      <w:r w:rsidR="00C51279">
        <w:rPr>
          <w:rFonts w:asciiTheme="minorHAnsi" w:hAnsiTheme="minorHAnsi" w:cstheme="minorHAnsi"/>
          <w:sz w:val="22"/>
          <w:szCs w:val="22"/>
          <w:lang w:val="en-GB"/>
        </w:rPr>
        <w:t xml:space="preserve">was </w:t>
      </w:r>
      <w:r w:rsidRPr="00891780">
        <w:rPr>
          <w:rFonts w:asciiTheme="minorHAnsi" w:hAnsiTheme="minorHAnsi" w:cstheme="minorHAnsi"/>
          <w:sz w:val="22"/>
          <w:szCs w:val="22"/>
          <w:lang w:val="en-GB"/>
        </w:rPr>
        <w:t xml:space="preserve">established in 2019 with HBOR’s support, more than </w:t>
      </w:r>
      <w:r w:rsidR="00054989" w:rsidRPr="00891780">
        <w:rPr>
          <w:rFonts w:asciiTheme="minorHAnsi" w:eastAsia="SimSun" w:hAnsiTheme="minorHAnsi" w:cstheme="minorHAnsi"/>
          <w:sz w:val="22"/>
          <w:szCs w:val="22"/>
          <w:lang w:val="en-GB"/>
        </w:rPr>
        <w:t xml:space="preserve">180 </w:t>
      </w:r>
      <w:r w:rsidR="005F7FED">
        <w:rPr>
          <w:rFonts w:asciiTheme="minorHAnsi" w:eastAsia="SimSun" w:hAnsiTheme="minorHAnsi" w:cstheme="minorHAnsi"/>
          <w:sz w:val="22"/>
          <w:szCs w:val="22"/>
          <w:lang w:val="en-GB"/>
        </w:rPr>
        <w:t xml:space="preserve">individual </w:t>
      </w:r>
      <w:r w:rsidR="000C2465" w:rsidRPr="00891780">
        <w:rPr>
          <w:rFonts w:asciiTheme="minorHAnsi" w:hAnsiTheme="minorHAnsi" w:cstheme="minorHAnsi"/>
          <w:sz w:val="22"/>
          <w:szCs w:val="22"/>
          <w:lang w:val="en-GB"/>
        </w:rPr>
        <w:t>investments were made</w:t>
      </w:r>
      <w:r w:rsidR="00054989" w:rsidRPr="00891780">
        <w:rPr>
          <w:rFonts w:asciiTheme="minorHAnsi" w:eastAsia="SimSun" w:hAnsiTheme="minorHAnsi" w:cstheme="minorHAnsi"/>
          <w:sz w:val="22"/>
          <w:szCs w:val="22"/>
          <w:lang w:val="en-GB"/>
        </w:rPr>
        <w:t xml:space="preserve">. </w:t>
      </w:r>
      <w:r w:rsidR="000C2465" w:rsidRPr="00891780">
        <w:rPr>
          <w:rFonts w:asciiTheme="minorHAnsi" w:eastAsia="SimSun" w:hAnsiTheme="minorHAnsi" w:cstheme="minorHAnsi"/>
          <w:sz w:val="22"/>
          <w:szCs w:val="22"/>
          <w:lang w:val="en-GB"/>
        </w:rPr>
        <w:t>During</w:t>
      </w:r>
      <w:r w:rsidR="00054989" w:rsidRPr="00891780">
        <w:rPr>
          <w:rFonts w:asciiTheme="minorHAnsi" w:eastAsia="SimSun" w:hAnsiTheme="minorHAnsi" w:cstheme="minorHAnsi"/>
          <w:sz w:val="22"/>
          <w:szCs w:val="22"/>
          <w:lang w:val="en-GB"/>
        </w:rPr>
        <w:t xml:space="preserve"> 2022</w:t>
      </w:r>
      <w:r w:rsidR="000C2465" w:rsidRPr="00891780">
        <w:rPr>
          <w:rFonts w:asciiTheme="minorHAnsi" w:eastAsia="SimSun" w:hAnsiTheme="minorHAnsi" w:cstheme="minorHAnsi"/>
          <w:sz w:val="22"/>
          <w:szCs w:val="22"/>
          <w:lang w:val="en-GB"/>
        </w:rPr>
        <w:t>, the third fund was established</w:t>
      </w:r>
      <w:r w:rsidR="00054989" w:rsidRPr="00891780">
        <w:rPr>
          <w:rFonts w:asciiTheme="minorHAnsi" w:eastAsia="SimSun" w:hAnsiTheme="minorHAnsi" w:cstheme="minorHAnsi"/>
          <w:sz w:val="22"/>
          <w:szCs w:val="22"/>
          <w:lang w:val="en-GB"/>
        </w:rPr>
        <w:t xml:space="preserve"> </w:t>
      </w:r>
      <w:r w:rsidR="002A12B1" w:rsidRPr="00891780">
        <w:rPr>
          <w:rFonts w:asciiTheme="minorHAnsi" w:hAnsiTheme="minorHAnsi" w:cstheme="minorHAnsi"/>
          <w:sz w:val="22"/>
          <w:szCs w:val="22"/>
          <w:lang w:val="en-GB"/>
        </w:rPr>
        <w:t>under the CROGIP programme (Croatian Growth Investment Programme)</w:t>
      </w:r>
      <w:r w:rsidR="002A46C6" w:rsidRPr="00891780">
        <w:rPr>
          <w:rFonts w:asciiTheme="minorHAnsi" w:hAnsiTheme="minorHAnsi" w:cstheme="minorHAnsi"/>
          <w:sz w:val="22"/>
          <w:szCs w:val="22"/>
          <w:lang w:val="en-GB"/>
        </w:rPr>
        <w:t xml:space="preserve">, started </w:t>
      </w:r>
      <w:r w:rsidR="00E86F97" w:rsidRPr="00891780">
        <w:rPr>
          <w:rFonts w:asciiTheme="minorHAnsi" w:hAnsiTheme="minorHAnsi" w:cstheme="minorHAnsi"/>
          <w:sz w:val="22"/>
          <w:szCs w:val="22"/>
          <w:lang w:val="en-GB"/>
        </w:rPr>
        <w:t xml:space="preserve">to </w:t>
      </w:r>
      <w:proofErr w:type="gramStart"/>
      <w:r w:rsidR="00E86F97" w:rsidRPr="00891780">
        <w:rPr>
          <w:rFonts w:asciiTheme="minorHAnsi" w:hAnsiTheme="minorHAnsi" w:cstheme="minorHAnsi"/>
          <w:sz w:val="22"/>
          <w:szCs w:val="22"/>
          <w:lang w:val="en-GB"/>
        </w:rPr>
        <w:t>operate</w:t>
      </w:r>
      <w:proofErr w:type="gramEnd"/>
      <w:r w:rsidR="002A46C6" w:rsidRPr="00891780">
        <w:rPr>
          <w:rFonts w:asciiTheme="minorHAnsi" w:hAnsiTheme="minorHAnsi" w:cstheme="minorHAnsi"/>
          <w:sz w:val="22"/>
          <w:szCs w:val="22"/>
          <w:lang w:val="en-GB"/>
        </w:rPr>
        <w:t xml:space="preserve"> and made its first investment</w:t>
      </w:r>
      <w:r w:rsidR="00054989" w:rsidRPr="00891780">
        <w:rPr>
          <w:rFonts w:asciiTheme="minorHAnsi" w:eastAsia="SimSun" w:hAnsiTheme="minorHAnsi" w:cstheme="minorHAnsi"/>
          <w:sz w:val="22"/>
          <w:szCs w:val="22"/>
          <w:lang w:val="en-GB"/>
        </w:rPr>
        <w:t xml:space="preserve">, </w:t>
      </w:r>
      <w:r w:rsidR="002A46C6" w:rsidRPr="00891780">
        <w:rPr>
          <w:rFonts w:asciiTheme="minorHAnsi" w:eastAsia="SimSun" w:hAnsiTheme="minorHAnsi" w:cstheme="minorHAnsi"/>
          <w:sz w:val="22"/>
          <w:szCs w:val="22"/>
          <w:lang w:val="en-GB"/>
        </w:rPr>
        <w:t>whereas other two funds</w:t>
      </w:r>
      <w:r w:rsidR="00000D5C" w:rsidRPr="00891780">
        <w:rPr>
          <w:rFonts w:asciiTheme="minorHAnsi" w:eastAsia="SimSun" w:hAnsiTheme="minorHAnsi" w:cstheme="minorHAnsi"/>
          <w:sz w:val="22"/>
          <w:szCs w:val="22"/>
          <w:lang w:val="en-GB"/>
        </w:rPr>
        <w:t xml:space="preserve"> invested intensively in companies</w:t>
      </w:r>
      <w:r w:rsidR="00054989" w:rsidRPr="00891780">
        <w:rPr>
          <w:rFonts w:asciiTheme="minorHAnsi" w:eastAsia="SimSun" w:hAnsiTheme="minorHAnsi" w:cstheme="minorHAnsi"/>
          <w:sz w:val="22"/>
          <w:szCs w:val="22"/>
          <w:lang w:val="en-GB"/>
        </w:rPr>
        <w:t xml:space="preserve"> </w:t>
      </w:r>
      <w:r w:rsidR="00000D5C" w:rsidRPr="00891780">
        <w:rPr>
          <w:rFonts w:asciiTheme="minorHAnsi" w:eastAsia="SimSun" w:hAnsiTheme="minorHAnsi" w:cstheme="minorHAnsi"/>
          <w:sz w:val="22"/>
          <w:szCs w:val="22"/>
          <w:lang w:val="en-GB"/>
        </w:rPr>
        <w:t>in the Republic of Croatia</w:t>
      </w:r>
      <w:r w:rsidR="00054989" w:rsidRPr="00891780">
        <w:rPr>
          <w:rFonts w:asciiTheme="minorHAnsi" w:eastAsia="SimSun" w:hAnsiTheme="minorHAnsi" w:cstheme="minorHAnsi"/>
          <w:sz w:val="22"/>
          <w:szCs w:val="22"/>
          <w:lang w:val="en-GB"/>
        </w:rPr>
        <w:t xml:space="preserve">. </w:t>
      </w:r>
      <w:r w:rsidR="00EC6F1E" w:rsidRPr="00891780">
        <w:rPr>
          <w:rFonts w:asciiTheme="minorHAnsi" w:eastAsia="SimSun" w:hAnsiTheme="minorHAnsi" w:cstheme="minorHAnsi"/>
          <w:sz w:val="22"/>
          <w:szCs w:val="22"/>
          <w:lang w:val="en-GB"/>
        </w:rPr>
        <w:t xml:space="preserve">The establishment of a technology transfer fund is in preparation, and the manager of the fund </w:t>
      </w:r>
      <w:r w:rsidR="006B1D76">
        <w:rPr>
          <w:rFonts w:asciiTheme="minorHAnsi" w:eastAsia="SimSun" w:hAnsiTheme="minorHAnsi" w:cstheme="minorHAnsi"/>
          <w:sz w:val="22"/>
          <w:szCs w:val="22"/>
          <w:lang w:val="en-GB"/>
        </w:rPr>
        <w:t xml:space="preserve">is planned to </w:t>
      </w:r>
      <w:r w:rsidR="00EC6F1E" w:rsidRPr="00891780">
        <w:rPr>
          <w:rFonts w:asciiTheme="minorHAnsi" w:eastAsia="SimSun" w:hAnsiTheme="minorHAnsi" w:cstheme="minorHAnsi"/>
          <w:sz w:val="22"/>
          <w:szCs w:val="22"/>
          <w:lang w:val="en-GB"/>
        </w:rPr>
        <w:t>be selected in 2023.</w:t>
      </w:r>
    </w:p>
    <w:p w14:paraId="1748D7CC" w14:textId="252BBBC9" w:rsidR="00382CF2" w:rsidRPr="00891780" w:rsidRDefault="00496A50" w:rsidP="000B677E">
      <w:pPr>
        <w:spacing w:line="276" w:lineRule="auto"/>
        <w:jc w:val="both"/>
        <w:rPr>
          <w:rFonts w:ascii="Calibri" w:eastAsia="SimSun" w:hAnsi="Calibri" w:cs="Calibri"/>
          <w:b/>
          <w:bCs/>
          <w:sz w:val="22"/>
          <w:szCs w:val="22"/>
          <w:lang w:val="en-GB"/>
        </w:rPr>
      </w:pPr>
      <w:r w:rsidRPr="00891780">
        <w:rPr>
          <w:rStyle w:val="Zadanifontodlomka1"/>
          <w:rFonts w:ascii="Calibri" w:eastAsia="SimSun" w:hAnsi="Calibri" w:cs="Calibri"/>
          <w:sz w:val="22"/>
          <w:szCs w:val="22"/>
          <w:lang w:val="en-GB"/>
        </w:rPr>
        <w:t>At the end of 2022, a prerequisite was created for the establishment of two more funds from the National Recovery and Resilience Plan (NRRP).</w:t>
      </w:r>
      <w:r w:rsidR="00054989" w:rsidRPr="00891780">
        <w:rPr>
          <w:rStyle w:val="Zadanifontodlomka1"/>
          <w:rFonts w:ascii="Calibri" w:eastAsia="SimSun" w:hAnsi="Calibri" w:cs="Calibri"/>
          <w:sz w:val="22"/>
          <w:szCs w:val="22"/>
          <w:lang w:val="en-GB"/>
        </w:rPr>
        <w:t xml:space="preserve"> </w:t>
      </w:r>
      <w:r w:rsidR="002B6C80" w:rsidRPr="00891780">
        <w:rPr>
          <w:rStyle w:val="Zadanifontodlomka1"/>
          <w:rFonts w:ascii="Calibri" w:eastAsia="SimSun" w:hAnsi="Calibri" w:cs="Calibri"/>
          <w:sz w:val="22"/>
          <w:szCs w:val="22"/>
          <w:lang w:val="en-GB"/>
        </w:rPr>
        <w:t>More information on this topic can be found in the National Recovery and Resilience Plan (NRRP)</w:t>
      </w:r>
      <w:r w:rsidR="00054989" w:rsidRPr="00891780">
        <w:rPr>
          <w:rStyle w:val="Zadanifontodlomka1"/>
          <w:rFonts w:ascii="Calibri" w:hAnsi="Calibri" w:cs="Calibri"/>
          <w:sz w:val="22"/>
          <w:szCs w:val="22"/>
          <w:lang w:val="en-GB" w:eastAsia="hr-HR"/>
        </w:rPr>
        <w:t>.</w:t>
      </w:r>
    </w:p>
    <w:p w14:paraId="7408B85B" w14:textId="77777777" w:rsidR="00BE1EC0" w:rsidRPr="00891780" w:rsidRDefault="00BE1EC0" w:rsidP="000B677E">
      <w:pPr>
        <w:spacing w:line="276" w:lineRule="auto"/>
        <w:jc w:val="both"/>
        <w:rPr>
          <w:rFonts w:ascii="Calibri" w:eastAsia="SimSun" w:hAnsi="Calibri" w:cs="Calibri"/>
          <w:b/>
          <w:bCs/>
          <w:sz w:val="22"/>
          <w:szCs w:val="22"/>
          <w:lang w:val="en-GB"/>
        </w:rPr>
      </w:pPr>
    </w:p>
    <w:p w14:paraId="1748D7CD" w14:textId="470C0FEC" w:rsidR="00382CF2" w:rsidRPr="00891780" w:rsidRDefault="00054989" w:rsidP="000B677E">
      <w:pPr>
        <w:spacing w:after="160" w:line="276" w:lineRule="auto"/>
        <w:jc w:val="both"/>
        <w:rPr>
          <w:rFonts w:ascii="Calibri" w:eastAsia="SimSun" w:hAnsi="Calibri" w:cs="Calibri"/>
          <w:b/>
          <w:bCs/>
          <w:sz w:val="22"/>
          <w:szCs w:val="22"/>
          <w:lang w:val="en-GB"/>
        </w:rPr>
      </w:pPr>
      <w:r w:rsidRPr="00891780">
        <w:rPr>
          <w:rFonts w:ascii="Calibri" w:eastAsia="SimSun" w:hAnsi="Calibri" w:cs="Calibri"/>
          <w:b/>
          <w:bCs/>
          <w:sz w:val="22"/>
          <w:szCs w:val="22"/>
          <w:lang w:val="en-GB"/>
        </w:rPr>
        <w:t xml:space="preserve">FRC2 CROATIA PARTNERS SCSP (ESIF </w:t>
      </w:r>
      <w:r w:rsidR="004B0DA2" w:rsidRPr="00891780">
        <w:rPr>
          <w:rFonts w:ascii="Calibri" w:eastAsia="SimSun" w:hAnsi="Calibri" w:cs="Calibri"/>
          <w:b/>
          <w:bCs/>
          <w:sz w:val="22"/>
          <w:szCs w:val="22"/>
          <w:lang w:val="en-GB"/>
        </w:rPr>
        <w:t>VENTURE CAPITAL FUND</w:t>
      </w:r>
      <w:r w:rsidRPr="00891780">
        <w:rPr>
          <w:rFonts w:ascii="Calibri" w:eastAsia="SimSun" w:hAnsi="Calibri" w:cs="Calibri"/>
          <w:b/>
          <w:bCs/>
          <w:sz w:val="22"/>
          <w:szCs w:val="22"/>
          <w:lang w:val="en-GB"/>
        </w:rPr>
        <w:t>)</w:t>
      </w:r>
    </w:p>
    <w:p w14:paraId="1748D7CE" w14:textId="3ECC094F" w:rsidR="00382CF2" w:rsidRPr="00891780" w:rsidRDefault="008F14D9"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 xml:space="preserve">FRC2 Croatia Partners </w:t>
      </w:r>
      <w:proofErr w:type="spellStart"/>
      <w:r w:rsidRPr="00891780">
        <w:rPr>
          <w:rFonts w:asciiTheme="minorHAnsi" w:hAnsiTheme="minorHAnsi" w:cstheme="minorHAnsi"/>
          <w:sz w:val="22"/>
          <w:szCs w:val="22"/>
          <w:lang w:val="en-GB"/>
        </w:rPr>
        <w:t>SCSp</w:t>
      </w:r>
      <w:proofErr w:type="spellEnd"/>
      <w:r w:rsidRPr="00891780">
        <w:rPr>
          <w:rFonts w:asciiTheme="minorHAnsi" w:hAnsiTheme="minorHAnsi" w:cstheme="minorHAnsi"/>
          <w:sz w:val="22"/>
          <w:szCs w:val="22"/>
          <w:lang w:val="en-GB"/>
        </w:rPr>
        <w:t xml:space="preserve"> is a venture capital fund financed partially from the proceeds of ESIF Financial </w:t>
      </w:r>
      <w:r w:rsidR="00F87CDC">
        <w:rPr>
          <w:rFonts w:asciiTheme="minorHAnsi" w:hAnsiTheme="minorHAnsi" w:cstheme="minorHAnsi"/>
          <w:sz w:val="22"/>
          <w:szCs w:val="22"/>
          <w:lang w:val="en-GB"/>
        </w:rPr>
        <w:t>I</w:t>
      </w:r>
      <w:r w:rsidRPr="00891780">
        <w:rPr>
          <w:rFonts w:asciiTheme="minorHAnsi" w:hAnsiTheme="minorHAnsi" w:cstheme="minorHAnsi"/>
          <w:sz w:val="22"/>
          <w:szCs w:val="22"/>
          <w:lang w:val="en-GB"/>
        </w:rPr>
        <w:t>nstruments through cooperation with the European Investment Fund (hereinafter: the EIF), and partially from the proceeds of private investors</w:t>
      </w:r>
      <w:r w:rsidR="00054989" w:rsidRPr="00891780">
        <w:rPr>
          <w:rFonts w:asciiTheme="minorHAnsi" w:eastAsia="SimSun" w:hAnsiTheme="minorHAnsi" w:cstheme="minorHAnsi"/>
          <w:sz w:val="22"/>
          <w:szCs w:val="22"/>
          <w:lang w:val="en-GB"/>
        </w:rPr>
        <w:t xml:space="preserve">. </w:t>
      </w:r>
      <w:r w:rsidR="00854940" w:rsidRPr="00891780">
        <w:rPr>
          <w:rFonts w:asciiTheme="minorHAnsi" w:hAnsiTheme="minorHAnsi" w:cstheme="minorHAnsi"/>
          <w:iCs/>
          <w:sz w:val="22"/>
          <w:szCs w:val="22"/>
          <w:lang w:val="en-GB"/>
        </w:rPr>
        <w:t xml:space="preserve">The company </w:t>
      </w:r>
      <w:r w:rsidR="00854940" w:rsidRPr="00891780">
        <w:rPr>
          <w:rFonts w:asciiTheme="minorHAnsi" w:hAnsiTheme="minorHAnsi" w:cstheme="minorHAnsi"/>
          <w:sz w:val="22"/>
          <w:szCs w:val="22"/>
          <w:lang w:val="en-GB"/>
        </w:rPr>
        <w:t xml:space="preserve">FRC2 GP </w:t>
      </w:r>
      <w:proofErr w:type="spellStart"/>
      <w:r w:rsidR="00854940" w:rsidRPr="00891780">
        <w:rPr>
          <w:rFonts w:asciiTheme="minorHAnsi" w:hAnsiTheme="minorHAnsi" w:cstheme="minorHAnsi"/>
          <w:sz w:val="22"/>
          <w:szCs w:val="22"/>
          <w:lang w:val="en-GB"/>
        </w:rPr>
        <w:t>S.à</w:t>
      </w:r>
      <w:proofErr w:type="spellEnd"/>
      <w:r w:rsidR="00854940" w:rsidRPr="00891780">
        <w:rPr>
          <w:rFonts w:asciiTheme="minorHAnsi" w:hAnsiTheme="minorHAnsi" w:cstheme="minorHAnsi"/>
          <w:sz w:val="22"/>
          <w:szCs w:val="22"/>
          <w:lang w:val="en-GB"/>
        </w:rPr>
        <w:t xml:space="preserve"> </w:t>
      </w:r>
      <w:proofErr w:type="spellStart"/>
      <w:r w:rsidR="00854940" w:rsidRPr="00891780">
        <w:rPr>
          <w:rFonts w:asciiTheme="minorHAnsi" w:hAnsiTheme="minorHAnsi" w:cstheme="minorHAnsi"/>
          <w:sz w:val="22"/>
          <w:szCs w:val="22"/>
          <w:lang w:val="en-GB"/>
        </w:rPr>
        <w:t>r.l</w:t>
      </w:r>
      <w:proofErr w:type="spellEnd"/>
      <w:r w:rsidR="00854940" w:rsidRPr="00891780">
        <w:rPr>
          <w:rFonts w:asciiTheme="minorHAnsi" w:hAnsiTheme="minorHAnsi" w:cstheme="minorHAnsi"/>
          <w:sz w:val="22"/>
          <w:szCs w:val="22"/>
          <w:lang w:val="en-GB"/>
        </w:rPr>
        <w:t xml:space="preserve">. was selected by the </w:t>
      </w:r>
      <w:r w:rsidR="00854940" w:rsidRPr="00891780">
        <w:rPr>
          <w:rFonts w:asciiTheme="minorHAnsi" w:hAnsiTheme="minorHAnsi" w:cstheme="minorHAnsi"/>
          <w:iCs/>
          <w:sz w:val="22"/>
          <w:szCs w:val="22"/>
          <w:lang w:val="en-GB"/>
        </w:rPr>
        <w:t>EIF as the fund management company and in 2019, the fund</w:t>
      </w:r>
      <w:r w:rsidR="00854940" w:rsidRPr="00891780">
        <w:rPr>
          <w:rFonts w:asciiTheme="minorHAnsi" w:hAnsiTheme="minorHAnsi" w:cstheme="minorHAnsi"/>
          <w:sz w:val="22"/>
          <w:szCs w:val="22"/>
          <w:lang w:val="en-GB"/>
        </w:rPr>
        <w:t xml:space="preserve"> </w:t>
      </w:r>
      <w:r w:rsidR="00854940" w:rsidRPr="00891780">
        <w:rPr>
          <w:rFonts w:asciiTheme="minorHAnsi" w:hAnsiTheme="minorHAnsi" w:cstheme="minorHAnsi"/>
          <w:iCs/>
          <w:sz w:val="22"/>
          <w:szCs w:val="22"/>
          <w:lang w:val="en-GB"/>
        </w:rPr>
        <w:t xml:space="preserve">FRC2 Croatia Partners </w:t>
      </w:r>
      <w:proofErr w:type="spellStart"/>
      <w:r w:rsidR="00854940" w:rsidRPr="00891780">
        <w:rPr>
          <w:rFonts w:asciiTheme="minorHAnsi" w:hAnsiTheme="minorHAnsi" w:cstheme="minorHAnsi"/>
          <w:iCs/>
          <w:sz w:val="22"/>
          <w:szCs w:val="22"/>
          <w:lang w:val="en-GB"/>
        </w:rPr>
        <w:t>SCSp</w:t>
      </w:r>
      <w:proofErr w:type="spellEnd"/>
      <w:r w:rsidR="00854940" w:rsidRPr="00891780">
        <w:rPr>
          <w:rFonts w:asciiTheme="minorHAnsi" w:hAnsiTheme="minorHAnsi" w:cstheme="minorHAnsi"/>
          <w:iCs/>
          <w:sz w:val="22"/>
          <w:szCs w:val="22"/>
          <w:lang w:val="en-GB"/>
        </w:rPr>
        <w:t xml:space="preserve"> (FRC2 Fund) was established</w:t>
      </w:r>
      <w:r w:rsidR="00054989" w:rsidRPr="00891780">
        <w:rPr>
          <w:rFonts w:asciiTheme="minorHAnsi" w:eastAsia="SimSun" w:hAnsiTheme="minorHAnsi" w:cstheme="minorHAnsi"/>
          <w:sz w:val="22"/>
          <w:szCs w:val="22"/>
          <w:lang w:val="en-GB"/>
        </w:rPr>
        <w:t>.</w:t>
      </w:r>
    </w:p>
    <w:p w14:paraId="1748D7CF" w14:textId="39871B71" w:rsidR="00382CF2" w:rsidRPr="00891780" w:rsidRDefault="002F3722"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eastAsia="SimSun" w:hAnsiTheme="minorHAnsi" w:cstheme="minorHAnsi"/>
          <w:sz w:val="22"/>
          <w:szCs w:val="22"/>
          <w:lang w:val="en-GB"/>
        </w:rPr>
        <w:t xml:space="preserve">In 2019, </w:t>
      </w:r>
      <w:r w:rsidR="00054989" w:rsidRPr="00891780">
        <w:rPr>
          <w:rFonts w:asciiTheme="minorHAnsi" w:eastAsia="SimSun" w:hAnsiTheme="minorHAnsi" w:cstheme="minorHAnsi"/>
          <w:sz w:val="22"/>
          <w:szCs w:val="22"/>
          <w:lang w:val="en-GB"/>
        </w:rPr>
        <w:t xml:space="preserve">HBOR </w:t>
      </w:r>
      <w:r w:rsidR="00E8264E" w:rsidRPr="00891780">
        <w:rPr>
          <w:rFonts w:asciiTheme="minorHAnsi" w:hAnsiTheme="minorHAnsi" w:cstheme="minorHAnsi"/>
          <w:sz w:val="22"/>
          <w:szCs w:val="22"/>
          <w:lang w:val="en-GB"/>
        </w:rPr>
        <w:t xml:space="preserve">became one of the investors in the FRC2 Fund, </w:t>
      </w:r>
      <w:r w:rsidR="00681253" w:rsidRPr="00681253">
        <w:rPr>
          <w:rFonts w:asciiTheme="minorHAnsi" w:hAnsiTheme="minorHAnsi" w:cstheme="minorHAnsi"/>
          <w:sz w:val="22"/>
          <w:szCs w:val="22"/>
          <w:lang w:val="en-GB"/>
        </w:rPr>
        <w:t>however, like other investors</w:t>
      </w:r>
      <w:r w:rsidR="00A25601">
        <w:rPr>
          <w:rFonts w:asciiTheme="minorHAnsi" w:hAnsiTheme="minorHAnsi" w:cstheme="minorHAnsi"/>
          <w:sz w:val="22"/>
          <w:szCs w:val="22"/>
          <w:lang w:val="en-GB"/>
        </w:rPr>
        <w:t xml:space="preserve"> in the Fund</w:t>
      </w:r>
      <w:r w:rsidR="00681253" w:rsidRPr="00681253">
        <w:rPr>
          <w:rFonts w:asciiTheme="minorHAnsi" w:hAnsiTheme="minorHAnsi" w:cstheme="minorHAnsi"/>
          <w:sz w:val="22"/>
          <w:szCs w:val="22"/>
          <w:lang w:val="en-GB"/>
        </w:rPr>
        <w:t xml:space="preserve">, it does not participate in the </w:t>
      </w:r>
      <w:r w:rsidR="00E8264E" w:rsidRPr="00891780">
        <w:rPr>
          <w:rFonts w:asciiTheme="minorHAnsi" w:hAnsiTheme="minorHAnsi" w:cstheme="minorHAnsi"/>
          <w:sz w:val="22"/>
          <w:szCs w:val="22"/>
          <w:lang w:val="en-GB"/>
        </w:rPr>
        <w:t xml:space="preserve">selection of business entities </w:t>
      </w:r>
      <w:r w:rsidR="00332DD4">
        <w:rPr>
          <w:rFonts w:asciiTheme="minorHAnsi" w:hAnsiTheme="minorHAnsi" w:cstheme="minorHAnsi"/>
          <w:sz w:val="22"/>
          <w:szCs w:val="22"/>
          <w:lang w:val="en-GB"/>
        </w:rPr>
        <w:t>that will participate in investing</w:t>
      </w:r>
      <w:r w:rsidR="00054989" w:rsidRPr="00891780">
        <w:rPr>
          <w:rFonts w:asciiTheme="minorHAnsi" w:eastAsia="SimSun" w:hAnsiTheme="minorHAnsi" w:cstheme="minorHAnsi"/>
          <w:sz w:val="22"/>
          <w:szCs w:val="22"/>
          <w:lang w:val="en-GB"/>
        </w:rPr>
        <w:t>.</w:t>
      </w:r>
    </w:p>
    <w:p w14:paraId="1748D7D0" w14:textId="690B141B" w:rsidR="00382CF2" w:rsidRPr="00891780" w:rsidRDefault="00F35DE3"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The FRC2 Fund invests in companies in the Republic of Croatia in the earliest stages of development that have necessary innovation and desire to succeed</w:t>
      </w:r>
      <w:r w:rsidR="00054989" w:rsidRPr="00891780">
        <w:rPr>
          <w:rFonts w:asciiTheme="minorHAnsi" w:eastAsia="SimSun" w:hAnsiTheme="minorHAnsi" w:cstheme="minorHAnsi"/>
          <w:sz w:val="22"/>
          <w:szCs w:val="22"/>
          <w:lang w:val="en-GB"/>
        </w:rPr>
        <w:t>.</w:t>
      </w:r>
    </w:p>
    <w:p w14:paraId="1748D7D1" w14:textId="75ECC5A5" w:rsidR="00382CF2" w:rsidRPr="00891780" w:rsidRDefault="00F35DE3"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eastAsia="SimSun" w:hAnsiTheme="minorHAnsi" w:cstheme="minorHAnsi"/>
          <w:sz w:val="22"/>
          <w:szCs w:val="22"/>
          <w:lang w:val="en-GB"/>
        </w:rPr>
        <w:t>The Fund</w:t>
      </w:r>
      <w:r w:rsidR="00054989" w:rsidRPr="00891780">
        <w:rPr>
          <w:rFonts w:asciiTheme="minorHAnsi" w:eastAsia="SimSun" w:hAnsiTheme="minorHAnsi" w:cstheme="minorHAnsi"/>
          <w:sz w:val="22"/>
          <w:szCs w:val="22"/>
          <w:lang w:val="en-GB"/>
        </w:rPr>
        <w:t xml:space="preserve"> </w:t>
      </w:r>
      <w:r w:rsidR="00A12CB4" w:rsidRPr="00891780">
        <w:rPr>
          <w:rFonts w:asciiTheme="minorHAnsi" w:hAnsiTheme="minorHAnsi" w:cstheme="minorHAnsi"/>
          <w:sz w:val="22"/>
          <w:szCs w:val="22"/>
          <w:lang w:val="en-GB"/>
        </w:rPr>
        <w:t>consists of two components</w:t>
      </w:r>
      <w:r w:rsidR="00054989" w:rsidRPr="00891780">
        <w:rPr>
          <w:rFonts w:asciiTheme="minorHAnsi" w:eastAsia="SimSun" w:hAnsiTheme="minorHAnsi" w:cstheme="minorHAnsi"/>
          <w:sz w:val="22"/>
          <w:szCs w:val="22"/>
          <w:lang w:val="en-GB"/>
        </w:rPr>
        <w:t>:</w:t>
      </w:r>
    </w:p>
    <w:p w14:paraId="39467D9B" w14:textId="741DC741" w:rsidR="00056F02" w:rsidRPr="00891780" w:rsidRDefault="00056F02" w:rsidP="000B677E">
      <w:pPr>
        <w:pStyle w:val="ListParagraph"/>
        <w:numPr>
          <w:ilvl w:val="0"/>
          <w:numId w:val="13"/>
        </w:numPr>
        <w:autoSpaceDN/>
        <w:spacing w:before="120" w:after="120" w:line="276" w:lineRule="auto"/>
        <w:jc w:val="both"/>
        <w:rPr>
          <w:rFonts w:asciiTheme="minorHAnsi" w:hAnsiTheme="minorHAnsi" w:cstheme="minorHAnsi"/>
          <w:sz w:val="22"/>
          <w:szCs w:val="22"/>
          <w:lang w:val="en-GB"/>
        </w:rPr>
      </w:pPr>
      <w:r w:rsidRPr="00891780">
        <w:rPr>
          <w:rFonts w:asciiTheme="minorHAnsi" w:hAnsiTheme="minorHAnsi" w:cstheme="minorHAnsi"/>
          <w:sz w:val="22"/>
          <w:szCs w:val="22"/>
          <w:lang w:val="en-GB"/>
        </w:rPr>
        <w:t>acceleration component intended to innovative start-ups that have only business ideas (Start-up school) or prototype (Accelerator)</w:t>
      </w:r>
      <w:r w:rsidR="002915D6">
        <w:rPr>
          <w:rFonts w:asciiTheme="minorHAnsi" w:hAnsiTheme="minorHAnsi" w:cstheme="minorHAnsi"/>
          <w:sz w:val="22"/>
          <w:szCs w:val="22"/>
          <w:lang w:val="en-GB"/>
        </w:rPr>
        <w:t>,</w:t>
      </w:r>
      <w:r w:rsidRPr="00891780">
        <w:rPr>
          <w:rFonts w:asciiTheme="minorHAnsi" w:hAnsiTheme="minorHAnsi" w:cstheme="minorHAnsi"/>
          <w:sz w:val="22"/>
          <w:szCs w:val="22"/>
          <w:lang w:val="en-GB"/>
        </w:rPr>
        <w:t xml:space="preserve"> and</w:t>
      </w:r>
    </w:p>
    <w:p w14:paraId="1748D7D3" w14:textId="3B2DD8EC" w:rsidR="00382CF2" w:rsidRPr="00891780" w:rsidRDefault="000C0768" w:rsidP="000B677E">
      <w:pPr>
        <w:pStyle w:val="Odlomakpopisa1"/>
        <w:numPr>
          <w:ilvl w:val="0"/>
          <w:numId w:val="13"/>
        </w:numPr>
        <w:spacing w:line="276" w:lineRule="auto"/>
        <w:jc w:val="both"/>
        <w:textAlignment w:val="baseline"/>
        <w:rPr>
          <w:rFonts w:asciiTheme="minorHAnsi" w:hAnsiTheme="minorHAnsi" w:cstheme="minorHAnsi"/>
          <w:sz w:val="22"/>
          <w:szCs w:val="22"/>
          <w:lang w:val="en-GB" w:eastAsia="hr-HR"/>
        </w:rPr>
      </w:pPr>
      <w:r w:rsidRPr="00891780">
        <w:rPr>
          <w:rFonts w:asciiTheme="minorHAnsi" w:hAnsiTheme="minorHAnsi" w:cstheme="minorHAnsi"/>
          <w:sz w:val="22"/>
          <w:szCs w:val="22"/>
          <w:lang w:val="en-GB"/>
        </w:rPr>
        <w:t>venture capital component intended to companies that already operate, have initial buyers and that have already passed the initial phase of development</w:t>
      </w:r>
      <w:r w:rsidR="00054989" w:rsidRPr="00891780">
        <w:rPr>
          <w:rFonts w:asciiTheme="minorHAnsi" w:hAnsiTheme="minorHAnsi" w:cstheme="minorHAnsi"/>
          <w:sz w:val="22"/>
          <w:szCs w:val="22"/>
          <w:lang w:val="en-GB" w:eastAsia="hr-HR"/>
        </w:rPr>
        <w:t>.</w:t>
      </w:r>
    </w:p>
    <w:p w14:paraId="1748D7D4" w14:textId="14FC80FE" w:rsidR="0025085D" w:rsidRDefault="0025085D" w:rsidP="000B677E">
      <w:pPr>
        <w:spacing w:after="120"/>
        <w:rPr>
          <w:rFonts w:ascii="Calibri" w:eastAsia="SimSun" w:hAnsi="Calibri" w:cs="Calibri"/>
          <w:b/>
          <w:bCs/>
          <w:sz w:val="22"/>
          <w:szCs w:val="22"/>
          <w:lang w:val="en-GB"/>
        </w:rPr>
      </w:pPr>
      <w:r>
        <w:rPr>
          <w:rFonts w:ascii="Calibri" w:eastAsia="SimSun" w:hAnsi="Calibri" w:cs="Calibri"/>
          <w:b/>
          <w:bCs/>
          <w:sz w:val="22"/>
          <w:szCs w:val="22"/>
          <w:lang w:val="en-GB"/>
        </w:rPr>
        <w:br w:type="page"/>
      </w:r>
    </w:p>
    <w:p w14:paraId="1748D7D5" w14:textId="77777777" w:rsidR="00382CF2" w:rsidRPr="00891780" w:rsidRDefault="00054989" w:rsidP="000B677E">
      <w:pPr>
        <w:spacing w:after="160" w:line="276" w:lineRule="auto"/>
        <w:jc w:val="both"/>
        <w:rPr>
          <w:lang w:val="en-GB"/>
        </w:rPr>
      </w:pPr>
      <w:r w:rsidRPr="00891780">
        <w:rPr>
          <w:rStyle w:val="Zadanifontodlomka1"/>
          <w:rFonts w:ascii="Calibri" w:eastAsia="SimSun" w:hAnsi="Calibri" w:cs="Calibri"/>
          <w:b/>
          <w:bCs/>
          <w:sz w:val="22"/>
          <w:szCs w:val="22"/>
          <w:lang w:val="en-GB"/>
        </w:rPr>
        <w:lastRenderedPageBreak/>
        <w:t>CROATIAN GROWTH INVESTMENT PROGRAMME (CROGIP)</w:t>
      </w:r>
    </w:p>
    <w:p w14:paraId="1748D7D6" w14:textId="488B3DDF" w:rsidR="00382CF2" w:rsidRPr="00891780" w:rsidRDefault="00655170" w:rsidP="000B677E">
      <w:pPr>
        <w:spacing w:after="160" w:line="276" w:lineRule="auto"/>
        <w:jc w:val="both"/>
        <w:rPr>
          <w:rFonts w:asciiTheme="minorHAnsi" w:hAnsiTheme="minorHAnsi" w:cstheme="minorHAnsi"/>
          <w:lang w:val="en-GB"/>
        </w:rPr>
      </w:pPr>
      <w:r w:rsidRPr="00891780">
        <w:rPr>
          <w:rFonts w:asciiTheme="minorHAnsi" w:hAnsiTheme="minorHAnsi" w:cstheme="minorHAnsi"/>
          <w:sz w:val="22"/>
          <w:szCs w:val="22"/>
          <w:lang w:val="en-GB"/>
        </w:rPr>
        <w:t>Within the framework of the EIF-NPI Equity Platform</w:t>
      </w:r>
      <w:r w:rsidR="00054989" w:rsidRPr="00891780">
        <w:rPr>
          <w:rStyle w:val="Zadanifontodlomka1"/>
          <w:rFonts w:asciiTheme="minorHAnsi" w:hAnsiTheme="minorHAnsi" w:cstheme="minorHAnsi"/>
          <w:sz w:val="22"/>
          <w:szCs w:val="22"/>
          <w:lang w:val="en-GB" w:eastAsia="hr-HR"/>
        </w:rPr>
        <w:t xml:space="preserve">, </w:t>
      </w:r>
      <w:r w:rsidRPr="00891780">
        <w:rPr>
          <w:rStyle w:val="Zadanifontodlomka1"/>
          <w:rFonts w:asciiTheme="minorHAnsi" w:hAnsiTheme="minorHAnsi" w:cstheme="minorHAnsi"/>
          <w:sz w:val="22"/>
          <w:szCs w:val="22"/>
          <w:lang w:val="en-GB" w:eastAsia="hr-HR"/>
        </w:rPr>
        <w:t xml:space="preserve">in 2019, </w:t>
      </w:r>
      <w:r w:rsidR="003B1F5F" w:rsidRPr="00891780">
        <w:rPr>
          <w:rFonts w:asciiTheme="minorHAnsi" w:hAnsiTheme="minorHAnsi" w:cstheme="minorHAnsi"/>
          <w:sz w:val="22"/>
          <w:szCs w:val="22"/>
          <w:lang w:val="en-GB"/>
        </w:rPr>
        <w:t>the EIF and HBOR signed the agreement, by which the CROGIP was launched. The CROGIP initiative aims to promote investments in small and medium-sized companies as well as mid-cap companies</w:t>
      </w:r>
      <w:r w:rsidR="00054989" w:rsidRPr="00891780">
        <w:rPr>
          <w:rStyle w:val="Zadanifontodlomka1"/>
          <w:rFonts w:asciiTheme="minorHAnsi" w:eastAsia="SimSun" w:hAnsiTheme="minorHAnsi" w:cstheme="minorHAnsi"/>
          <w:sz w:val="22"/>
          <w:szCs w:val="22"/>
          <w:lang w:val="en-GB"/>
        </w:rPr>
        <w:t>.</w:t>
      </w:r>
    </w:p>
    <w:p w14:paraId="1748D7D7" w14:textId="453910C5" w:rsidR="00382CF2" w:rsidRPr="00891780" w:rsidRDefault="00492FCA" w:rsidP="000B677E">
      <w:pPr>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The EIF and HBOR jointly invest (each committing EUR 50 million) into</w:t>
      </w:r>
      <w:r w:rsidR="00054989" w:rsidRPr="00891780">
        <w:rPr>
          <w:rFonts w:asciiTheme="minorHAnsi" w:eastAsia="SimSun" w:hAnsiTheme="minorHAnsi" w:cstheme="minorHAnsi"/>
          <w:sz w:val="22"/>
          <w:szCs w:val="22"/>
          <w:lang w:val="en-GB"/>
        </w:rPr>
        <w:t>:</w:t>
      </w:r>
    </w:p>
    <w:p w14:paraId="39453CF8" w14:textId="77777777" w:rsidR="00492FCA" w:rsidRPr="002E1A01" w:rsidRDefault="00492FCA" w:rsidP="000B677E">
      <w:pPr>
        <w:jc w:val="both"/>
        <w:rPr>
          <w:rFonts w:asciiTheme="minorHAnsi" w:hAnsiTheme="minorHAnsi" w:cstheme="minorHAnsi"/>
          <w:sz w:val="14"/>
          <w:szCs w:val="14"/>
          <w:lang w:val="en-GB"/>
        </w:rPr>
      </w:pPr>
    </w:p>
    <w:p w14:paraId="1748D7D8" w14:textId="36071D48" w:rsidR="00382CF2" w:rsidRPr="00891780" w:rsidRDefault="009B0EFE" w:rsidP="000B677E">
      <w:pPr>
        <w:pStyle w:val="Odlomakpopisa1"/>
        <w:numPr>
          <w:ilvl w:val="0"/>
          <w:numId w:val="13"/>
        </w:numPr>
        <w:spacing w:line="276" w:lineRule="auto"/>
        <w:jc w:val="both"/>
        <w:textAlignment w:val="baseline"/>
        <w:rPr>
          <w:rFonts w:asciiTheme="minorHAnsi" w:hAnsiTheme="minorHAnsi" w:cstheme="minorHAnsi"/>
          <w:sz w:val="22"/>
          <w:szCs w:val="22"/>
          <w:lang w:val="en-GB" w:eastAsia="hr-HR"/>
        </w:rPr>
      </w:pPr>
      <w:r w:rsidRPr="00891780">
        <w:rPr>
          <w:rFonts w:asciiTheme="minorHAnsi" w:hAnsiTheme="minorHAnsi" w:cstheme="minorHAnsi"/>
          <w:sz w:val="22"/>
          <w:szCs w:val="22"/>
          <w:lang w:val="en-GB"/>
        </w:rPr>
        <w:t>Private equity funds managed by the companies selected by the EIF, and</w:t>
      </w:r>
      <w:r w:rsidRPr="00891780">
        <w:rPr>
          <w:rFonts w:asciiTheme="minorHAnsi" w:hAnsiTheme="minorHAnsi" w:cstheme="minorHAnsi"/>
          <w:sz w:val="22"/>
          <w:szCs w:val="22"/>
          <w:lang w:val="en-GB" w:eastAsia="hr-HR"/>
        </w:rPr>
        <w:t xml:space="preserve"> </w:t>
      </w:r>
    </w:p>
    <w:p w14:paraId="1748D7D9" w14:textId="3FC1EB8E" w:rsidR="00382CF2" w:rsidRPr="00891780" w:rsidRDefault="00A1381F" w:rsidP="000B677E">
      <w:pPr>
        <w:pStyle w:val="Odlomakpopisa1"/>
        <w:numPr>
          <w:ilvl w:val="0"/>
          <w:numId w:val="13"/>
        </w:numPr>
        <w:spacing w:line="276" w:lineRule="auto"/>
        <w:jc w:val="both"/>
        <w:textAlignment w:val="baseline"/>
        <w:rPr>
          <w:rFonts w:asciiTheme="minorHAnsi" w:hAnsiTheme="minorHAnsi" w:cstheme="minorHAnsi"/>
          <w:sz w:val="22"/>
          <w:szCs w:val="22"/>
          <w:lang w:val="en-GB" w:eastAsia="hr-HR"/>
        </w:rPr>
      </w:pPr>
      <w:r w:rsidRPr="00891780">
        <w:rPr>
          <w:rFonts w:asciiTheme="minorHAnsi" w:hAnsiTheme="minorHAnsi" w:cstheme="minorHAnsi"/>
          <w:sz w:val="22"/>
          <w:szCs w:val="22"/>
          <w:lang w:val="en-GB"/>
        </w:rPr>
        <w:t>Co-investments with funds that already have an established co-operation with the EIF and that have positive references</w:t>
      </w:r>
      <w:r w:rsidR="00054989" w:rsidRPr="00891780">
        <w:rPr>
          <w:rFonts w:asciiTheme="minorHAnsi" w:hAnsiTheme="minorHAnsi" w:cstheme="minorHAnsi"/>
          <w:sz w:val="22"/>
          <w:szCs w:val="22"/>
          <w:lang w:val="en-GB" w:eastAsia="hr-HR"/>
        </w:rPr>
        <w:t>.</w:t>
      </w:r>
    </w:p>
    <w:p w14:paraId="1748D7DA" w14:textId="1422F668" w:rsidR="00382CF2" w:rsidRPr="00891780" w:rsidRDefault="007D56A1"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In addition to the overall objective of providing support to Croatian companies and creating new jobs through ensuring the availability of private equity, the aim of CROGIP is to develop the market and the institutional capacities for the financing through private equity in the Republic of Croatia by supporting fund management companies that direct a significant portion of their investments to Croatian companies</w:t>
      </w:r>
      <w:r w:rsidR="00054989" w:rsidRPr="00891780">
        <w:rPr>
          <w:rFonts w:asciiTheme="minorHAnsi" w:eastAsia="SimSun" w:hAnsiTheme="minorHAnsi" w:cstheme="minorHAnsi"/>
          <w:sz w:val="22"/>
          <w:szCs w:val="22"/>
          <w:lang w:val="en-GB"/>
        </w:rPr>
        <w:t>.</w:t>
      </w:r>
    </w:p>
    <w:p w14:paraId="1748D7DB" w14:textId="2A8D81CE" w:rsidR="00382CF2" w:rsidRPr="00891780" w:rsidRDefault="000A0A2C"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 xml:space="preserve">The EIF manages and implements the CROGIP through investments in private equity funds and co-investments with funds and private investors at market conditions. The programme is not restricted to any </w:t>
      </w:r>
      <w:proofErr w:type="gramStart"/>
      <w:r w:rsidRPr="00891780">
        <w:rPr>
          <w:rFonts w:asciiTheme="minorHAnsi" w:hAnsiTheme="minorHAnsi" w:cstheme="minorHAnsi"/>
          <w:sz w:val="22"/>
          <w:szCs w:val="22"/>
          <w:lang w:val="en-GB"/>
        </w:rPr>
        <w:t>particular sector</w:t>
      </w:r>
      <w:proofErr w:type="gramEnd"/>
      <w:r w:rsidR="00054989" w:rsidRPr="00891780">
        <w:rPr>
          <w:rFonts w:asciiTheme="minorHAnsi" w:eastAsia="SimSun" w:hAnsiTheme="minorHAnsi" w:cstheme="minorHAnsi"/>
          <w:sz w:val="22"/>
          <w:szCs w:val="22"/>
          <w:lang w:val="en-GB"/>
        </w:rPr>
        <w:t xml:space="preserve">. </w:t>
      </w:r>
      <w:r w:rsidR="00A45EAB" w:rsidRPr="00891780">
        <w:rPr>
          <w:rFonts w:asciiTheme="minorHAnsi" w:hAnsiTheme="minorHAnsi" w:cstheme="minorHAnsi"/>
          <w:sz w:val="22"/>
          <w:szCs w:val="22"/>
          <w:lang w:val="en-GB"/>
        </w:rPr>
        <w:t>The EIF enables investments in funds and co-investments with selected fund management companies with positive references in accordance with the criteria defined by HBOR in advance through CROGIP. In addition to the EIF's selection criteria, the funds must meet the following criterion in their investment strategy: at least 70 percent of total investments of a fund will be invested in companies that are established in the Republic of Croatia and perform the majority of their business operations in the Republic of Croatia and/or companies that will start their long-term operations in the Republic of Croatia and employ a significant number of local workers</w:t>
      </w:r>
      <w:r w:rsidR="00054989" w:rsidRPr="00891780">
        <w:rPr>
          <w:rFonts w:asciiTheme="minorHAnsi" w:eastAsia="SimSun" w:hAnsiTheme="minorHAnsi" w:cstheme="minorHAnsi"/>
          <w:sz w:val="22"/>
          <w:szCs w:val="22"/>
          <w:lang w:val="en-GB"/>
        </w:rPr>
        <w:t>.</w:t>
      </w:r>
    </w:p>
    <w:p w14:paraId="1748D7DC" w14:textId="233B4E4E" w:rsidR="00382CF2" w:rsidRPr="00891780" w:rsidRDefault="00F124F0"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 xml:space="preserve">In accordance with the terms of the CROGIP initiative and its internal procedures, the EIF has selected three funds in which the funds of the CROGIP initiative will be invested: the Adriatic Structured Equity Fund, the </w:t>
      </w:r>
      <w:proofErr w:type="spellStart"/>
      <w:r w:rsidRPr="00891780">
        <w:rPr>
          <w:rFonts w:asciiTheme="minorHAnsi" w:hAnsiTheme="minorHAnsi" w:cstheme="minorHAnsi"/>
          <w:sz w:val="22"/>
          <w:szCs w:val="22"/>
          <w:lang w:val="en-GB"/>
        </w:rPr>
        <w:t>Prosperus</w:t>
      </w:r>
      <w:proofErr w:type="spellEnd"/>
      <w:r w:rsidRPr="00891780">
        <w:rPr>
          <w:rFonts w:asciiTheme="minorHAnsi" w:hAnsiTheme="minorHAnsi" w:cstheme="minorHAnsi"/>
          <w:sz w:val="22"/>
          <w:szCs w:val="22"/>
          <w:lang w:val="en-GB"/>
        </w:rPr>
        <w:t xml:space="preserve"> Growth Fund and the Croatian Mezzanine Debt Fund</w:t>
      </w:r>
      <w:r w:rsidR="00054989" w:rsidRPr="00891780">
        <w:rPr>
          <w:rFonts w:asciiTheme="minorHAnsi" w:eastAsia="SimSun" w:hAnsiTheme="minorHAnsi" w:cstheme="minorHAnsi"/>
          <w:sz w:val="22"/>
          <w:szCs w:val="22"/>
          <w:lang w:val="en-GB"/>
        </w:rPr>
        <w:t>.</w:t>
      </w:r>
    </w:p>
    <w:p w14:paraId="1748D7DD" w14:textId="119DA9AD" w:rsidR="00382CF2" w:rsidRPr="00891780" w:rsidRDefault="0058230C" w:rsidP="000B677E">
      <w:pPr>
        <w:spacing w:before="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 xml:space="preserve">The Adriatic Structured Equity Fund and the </w:t>
      </w:r>
      <w:proofErr w:type="spellStart"/>
      <w:r w:rsidRPr="00891780">
        <w:rPr>
          <w:rFonts w:asciiTheme="minorHAnsi" w:hAnsiTheme="minorHAnsi" w:cstheme="minorHAnsi"/>
          <w:sz w:val="22"/>
          <w:szCs w:val="22"/>
          <w:lang w:val="en-GB"/>
        </w:rPr>
        <w:t>Prosperus</w:t>
      </w:r>
      <w:proofErr w:type="spellEnd"/>
      <w:r w:rsidRPr="00891780">
        <w:rPr>
          <w:rFonts w:asciiTheme="minorHAnsi" w:hAnsiTheme="minorHAnsi" w:cstheme="minorHAnsi"/>
          <w:sz w:val="22"/>
          <w:szCs w:val="22"/>
          <w:lang w:val="en-GB"/>
        </w:rPr>
        <w:t xml:space="preserve"> Growth Fund started operating at the end of 2020 and performed their first investments in Croatian companies in 2021</w:t>
      </w:r>
      <w:r w:rsidR="00054989" w:rsidRPr="00891780">
        <w:rPr>
          <w:rFonts w:asciiTheme="minorHAnsi" w:eastAsia="SimSun" w:hAnsiTheme="minorHAnsi" w:cstheme="minorHAnsi"/>
          <w:sz w:val="22"/>
          <w:szCs w:val="22"/>
          <w:lang w:val="en-GB"/>
        </w:rPr>
        <w:t xml:space="preserve">. </w:t>
      </w:r>
      <w:r w:rsidR="002021E9">
        <w:rPr>
          <w:rFonts w:asciiTheme="minorHAnsi" w:eastAsia="SimSun" w:hAnsiTheme="minorHAnsi" w:cstheme="minorHAnsi"/>
          <w:sz w:val="22"/>
          <w:szCs w:val="22"/>
          <w:lang w:val="en-GB"/>
        </w:rPr>
        <w:t xml:space="preserve">The </w:t>
      </w:r>
      <w:r w:rsidR="00054989" w:rsidRPr="00891780">
        <w:rPr>
          <w:rFonts w:asciiTheme="minorHAnsi" w:eastAsia="SimSun" w:hAnsiTheme="minorHAnsi" w:cstheme="minorHAnsi"/>
          <w:sz w:val="22"/>
          <w:szCs w:val="22"/>
          <w:lang w:val="en-GB"/>
        </w:rPr>
        <w:t xml:space="preserve">Croatian Mezzanine Debt Fund </w:t>
      </w:r>
      <w:r w:rsidR="00D44DF0" w:rsidRPr="00891780">
        <w:rPr>
          <w:rFonts w:asciiTheme="minorHAnsi" w:eastAsia="SimSun" w:hAnsiTheme="minorHAnsi" w:cstheme="minorHAnsi"/>
          <w:sz w:val="22"/>
          <w:szCs w:val="22"/>
          <w:lang w:val="en-GB"/>
        </w:rPr>
        <w:t>started to operate in</w:t>
      </w:r>
      <w:r w:rsidR="00054989" w:rsidRPr="00891780">
        <w:rPr>
          <w:rFonts w:asciiTheme="minorHAnsi" w:eastAsia="SimSun" w:hAnsiTheme="minorHAnsi" w:cstheme="minorHAnsi"/>
          <w:sz w:val="22"/>
          <w:szCs w:val="22"/>
          <w:lang w:val="en-GB"/>
        </w:rPr>
        <w:t xml:space="preserve"> 2022</w:t>
      </w:r>
      <w:r w:rsidR="006A734A" w:rsidRPr="00891780">
        <w:rPr>
          <w:rFonts w:asciiTheme="minorHAnsi" w:eastAsia="SimSun" w:hAnsiTheme="minorHAnsi" w:cstheme="minorHAnsi"/>
          <w:sz w:val="22"/>
          <w:szCs w:val="22"/>
          <w:lang w:val="en-GB"/>
        </w:rPr>
        <w:t xml:space="preserve"> and </w:t>
      </w:r>
      <w:r w:rsidR="00780624" w:rsidRPr="00891780">
        <w:rPr>
          <w:rFonts w:asciiTheme="minorHAnsi" w:eastAsia="SimSun" w:hAnsiTheme="minorHAnsi" w:cstheme="minorHAnsi"/>
          <w:sz w:val="22"/>
          <w:szCs w:val="22"/>
          <w:lang w:val="en-GB"/>
        </w:rPr>
        <w:t xml:space="preserve">also </w:t>
      </w:r>
      <w:r w:rsidR="006A734A" w:rsidRPr="00891780">
        <w:rPr>
          <w:rFonts w:asciiTheme="minorHAnsi" w:eastAsia="SimSun" w:hAnsiTheme="minorHAnsi" w:cstheme="minorHAnsi"/>
          <w:sz w:val="22"/>
          <w:szCs w:val="22"/>
          <w:lang w:val="en-GB"/>
        </w:rPr>
        <w:t>made its first investment</w:t>
      </w:r>
      <w:r w:rsidR="00054989" w:rsidRPr="00891780">
        <w:rPr>
          <w:rFonts w:asciiTheme="minorHAnsi" w:eastAsia="SimSun" w:hAnsiTheme="minorHAnsi" w:cstheme="minorHAnsi"/>
          <w:sz w:val="22"/>
          <w:szCs w:val="22"/>
          <w:lang w:val="en-GB"/>
        </w:rPr>
        <w:t>.</w:t>
      </w:r>
    </w:p>
    <w:p w14:paraId="1748D7DE" w14:textId="77777777" w:rsidR="00382CF2" w:rsidRPr="002E1A01" w:rsidRDefault="00382CF2" w:rsidP="000B677E">
      <w:pPr>
        <w:spacing w:after="160" w:line="276" w:lineRule="auto"/>
        <w:jc w:val="both"/>
        <w:rPr>
          <w:rFonts w:ascii="Calibri" w:eastAsia="SimSun" w:hAnsi="Calibri" w:cs="Calibri"/>
          <w:sz w:val="18"/>
          <w:szCs w:val="18"/>
          <w:lang w:val="en-GB"/>
        </w:rPr>
      </w:pPr>
    </w:p>
    <w:p w14:paraId="1748D7DF" w14:textId="32C8D554" w:rsidR="00382CF2" w:rsidRPr="00891780" w:rsidRDefault="00092198" w:rsidP="000B677E">
      <w:pPr>
        <w:spacing w:after="160" w:line="276" w:lineRule="auto"/>
        <w:jc w:val="both"/>
        <w:rPr>
          <w:lang w:val="en-GB"/>
        </w:rPr>
      </w:pPr>
      <w:r w:rsidRPr="00891780">
        <w:rPr>
          <w:rStyle w:val="Zadanifontodlomka1"/>
          <w:rFonts w:ascii="Calibri" w:eastAsia="SimSun" w:hAnsi="Calibri" w:cs="Calibri"/>
          <w:b/>
          <w:bCs/>
          <w:sz w:val="22"/>
          <w:szCs w:val="22"/>
          <w:lang w:val="en-GB"/>
        </w:rPr>
        <w:t>TECHNOLOGY TRANSFER FUND</w:t>
      </w:r>
    </w:p>
    <w:p w14:paraId="1748D7E0" w14:textId="1D3A7F38" w:rsidR="00382CF2" w:rsidRPr="00891780" w:rsidRDefault="004B3A06" w:rsidP="000B677E">
      <w:pPr>
        <w:spacing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In 2023, </w:t>
      </w:r>
      <w:r w:rsidR="00760501" w:rsidRPr="00891780">
        <w:rPr>
          <w:rFonts w:ascii="Calibri" w:eastAsia="SimSun" w:hAnsi="Calibri" w:cs="Calibri"/>
          <w:sz w:val="22"/>
          <w:szCs w:val="22"/>
          <w:lang w:val="en-GB"/>
        </w:rPr>
        <w:t>under the</w:t>
      </w:r>
      <w:r w:rsidR="00054989" w:rsidRPr="00891780">
        <w:rPr>
          <w:rFonts w:ascii="Calibri" w:eastAsia="SimSun" w:hAnsi="Calibri" w:cs="Calibri"/>
          <w:sz w:val="22"/>
          <w:szCs w:val="22"/>
          <w:lang w:val="en-GB"/>
        </w:rPr>
        <w:t xml:space="preserve"> CROGIP </w:t>
      </w:r>
      <w:r w:rsidR="00760501" w:rsidRPr="00891780">
        <w:rPr>
          <w:rFonts w:ascii="Calibri" w:eastAsia="SimSun" w:hAnsi="Calibri" w:cs="Calibri"/>
          <w:sz w:val="22"/>
          <w:szCs w:val="22"/>
          <w:lang w:val="en-GB"/>
        </w:rPr>
        <w:t>initiative</w:t>
      </w:r>
      <w:r w:rsidR="00054989" w:rsidRPr="00891780">
        <w:rPr>
          <w:rFonts w:ascii="Calibri" w:eastAsia="SimSun" w:hAnsi="Calibri" w:cs="Calibri"/>
          <w:sz w:val="22"/>
          <w:szCs w:val="22"/>
          <w:lang w:val="en-GB"/>
        </w:rPr>
        <w:t xml:space="preserve">, </w:t>
      </w:r>
      <w:r w:rsidR="00760501" w:rsidRPr="00891780">
        <w:rPr>
          <w:rFonts w:ascii="Calibri" w:eastAsia="SimSun" w:hAnsi="Calibri" w:cs="Calibri"/>
          <w:sz w:val="22"/>
          <w:szCs w:val="22"/>
          <w:lang w:val="en-GB"/>
        </w:rPr>
        <w:t>which</w:t>
      </w:r>
      <w:r w:rsidR="00054989" w:rsidRPr="00891780">
        <w:rPr>
          <w:rFonts w:ascii="Calibri" w:eastAsia="SimSun" w:hAnsi="Calibri" w:cs="Calibri"/>
          <w:sz w:val="22"/>
          <w:szCs w:val="22"/>
          <w:lang w:val="en-GB"/>
        </w:rPr>
        <w:t xml:space="preserve"> </w:t>
      </w:r>
      <w:r w:rsidR="0091227A" w:rsidRPr="00891780">
        <w:rPr>
          <w:rFonts w:ascii="Calibri" w:hAnsi="Calibri" w:cs="Calibri"/>
          <w:sz w:val="22"/>
          <w:szCs w:val="22"/>
          <w:lang w:val="en-GB"/>
        </w:rPr>
        <w:t xml:space="preserve">enabled </w:t>
      </w:r>
      <w:bookmarkStart w:id="61" w:name="_Hlk128573715"/>
      <w:r w:rsidR="0091227A" w:rsidRPr="00891780">
        <w:rPr>
          <w:rFonts w:ascii="Calibri" w:hAnsi="Calibri" w:cs="Calibri"/>
          <w:sz w:val="22"/>
          <w:szCs w:val="22"/>
          <w:lang w:val="en-GB"/>
        </w:rPr>
        <w:t>the establishment of the first regional platform for the launching of a fund to finance the commercialisation of innovative technological and scientific solutions of Croatian and Slovenian universities, research institutes and centres</w:t>
      </w:r>
      <w:bookmarkEnd w:id="61"/>
      <w:r w:rsidR="00054989" w:rsidRPr="00891780">
        <w:rPr>
          <w:rFonts w:ascii="Calibri" w:eastAsia="SimSun" w:hAnsi="Calibri" w:cs="Calibri"/>
          <w:sz w:val="22"/>
          <w:szCs w:val="22"/>
          <w:lang w:val="en-GB"/>
        </w:rPr>
        <w:t xml:space="preserve">, </w:t>
      </w:r>
      <w:r w:rsidR="0098178B" w:rsidRPr="00891780">
        <w:rPr>
          <w:rFonts w:ascii="Calibri" w:eastAsia="SimSun" w:hAnsi="Calibri" w:cs="Calibri"/>
          <w:sz w:val="22"/>
          <w:szCs w:val="22"/>
          <w:lang w:val="en-GB"/>
        </w:rPr>
        <w:t>launching of the first fund intended exclusively for the financing of projects related to technology transfer is expected</w:t>
      </w:r>
      <w:r w:rsidR="00054989" w:rsidRPr="00891780">
        <w:rPr>
          <w:rFonts w:ascii="Calibri" w:eastAsia="SimSun" w:hAnsi="Calibri" w:cs="Calibri"/>
          <w:sz w:val="22"/>
          <w:szCs w:val="22"/>
          <w:lang w:val="en-GB"/>
        </w:rPr>
        <w:t xml:space="preserve">. </w:t>
      </w:r>
      <w:r w:rsidR="00AC6A01" w:rsidRPr="00891780">
        <w:rPr>
          <w:rFonts w:ascii="Calibri" w:hAnsi="Calibri" w:cs="Calibri"/>
          <w:sz w:val="22"/>
          <w:szCs w:val="22"/>
          <w:lang w:val="en-GB"/>
        </w:rPr>
        <w:t xml:space="preserve">Besides the EIF, SID Bank </w:t>
      </w:r>
      <w:proofErr w:type="spellStart"/>
      <w:r w:rsidR="00AC6A01" w:rsidRPr="00891780">
        <w:rPr>
          <w:rFonts w:ascii="Calibri" w:hAnsi="Calibri" w:cs="Calibri"/>
          <w:sz w:val="22"/>
          <w:szCs w:val="22"/>
          <w:lang w:val="en-GB"/>
        </w:rPr>
        <w:t>d.d.</w:t>
      </w:r>
      <w:proofErr w:type="spellEnd"/>
      <w:r w:rsidR="00AC6A01" w:rsidRPr="00891780">
        <w:rPr>
          <w:rFonts w:ascii="Calibri" w:hAnsi="Calibri" w:cs="Calibri"/>
          <w:sz w:val="22"/>
          <w:szCs w:val="22"/>
          <w:lang w:val="en-GB"/>
        </w:rPr>
        <w:t xml:space="preserve"> (Slovenian Development Bank) is HBOR's partner in this project</w:t>
      </w:r>
      <w:r w:rsidR="00054989" w:rsidRPr="00891780">
        <w:rPr>
          <w:rFonts w:ascii="Calibri" w:eastAsia="SimSun" w:hAnsi="Calibri" w:cs="Calibri"/>
          <w:sz w:val="22"/>
          <w:szCs w:val="22"/>
          <w:lang w:val="en-GB"/>
        </w:rPr>
        <w:t xml:space="preserve">. </w:t>
      </w:r>
      <w:r w:rsidR="00470C34" w:rsidRPr="00891780">
        <w:rPr>
          <w:rFonts w:ascii="Calibri" w:hAnsi="Calibri" w:cs="Calibri"/>
          <w:sz w:val="22"/>
          <w:szCs w:val="22"/>
          <w:lang w:val="en-GB"/>
        </w:rPr>
        <w:t>The future technology transfer fund of a minimum size of EUR 40 million will have to ensure, among other conditions, that at least EUR 15 million is invested in projects or companies being developed at universities or research institutes and centres in the Republic of Croatia</w:t>
      </w:r>
      <w:r w:rsidR="00054989" w:rsidRPr="00891780">
        <w:rPr>
          <w:rFonts w:ascii="Calibri" w:eastAsia="SimSun" w:hAnsi="Calibri" w:cs="Calibri"/>
          <w:sz w:val="22"/>
          <w:szCs w:val="22"/>
          <w:lang w:val="en-GB"/>
        </w:rPr>
        <w:t>.</w:t>
      </w:r>
    </w:p>
    <w:p w14:paraId="1748D7E1" w14:textId="77777777" w:rsidR="00382CF2" w:rsidRPr="002E1A01" w:rsidRDefault="00382CF2" w:rsidP="000B677E">
      <w:pPr>
        <w:spacing w:after="160" w:line="276" w:lineRule="auto"/>
        <w:jc w:val="both"/>
        <w:rPr>
          <w:rFonts w:ascii="Calibri" w:eastAsia="SimSun" w:hAnsi="Calibri" w:cs="Calibri"/>
          <w:sz w:val="18"/>
          <w:szCs w:val="18"/>
          <w:lang w:val="en-GB"/>
        </w:rPr>
      </w:pPr>
    </w:p>
    <w:p w14:paraId="721D19BE" w14:textId="77777777" w:rsidR="00016313" w:rsidRDefault="00016313" w:rsidP="000B677E">
      <w:pPr>
        <w:spacing w:after="160" w:line="276" w:lineRule="auto"/>
        <w:jc w:val="both"/>
        <w:rPr>
          <w:rStyle w:val="Zadanifontodlomka1"/>
          <w:rFonts w:ascii="Calibri" w:eastAsia="SimSun" w:hAnsi="Calibri" w:cs="Calibri"/>
          <w:b/>
          <w:bCs/>
          <w:sz w:val="22"/>
          <w:szCs w:val="22"/>
          <w:lang w:val="en-GB"/>
        </w:rPr>
      </w:pPr>
    </w:p>
    <w:p w14:paraId="5C9DD67D" w14:textId="77777777" w:rsidR="00016313" w:rsidRDefault="00016313" w:rsidP="000B677E">
      <w:pPr>
        <w:spacing w:after="160" w:line="276" w:lineRule="auto"/>
        <w:jc w:val="both"/>
        <w:rPr>
          <w:rStyle w:val="Zadanifontodlomka1"/>
          <w:rFonts w:ascii="Calibri" w:eastAsia="SimSun" w:hAnsi="Calibri" w:cs="Calibri"/>
          <w:b/>
          <w:bCs/>
          <w:sz w:val="22"/>
          <w:szCs w:val="22"/>
          <w:lang w:val="en-GB"/>
        </w:rPr>
      </w:pPr>
    </w:p>
    <w:p w14:paraId="1748D7E2" w14:textId="61718F93" w:rsidR="00382CF2" w:rsidRPr="00891780" w:rsidRDefault="00EF3C4A" w:rsidP="000B677E">
      <w:pPr>
        <w:spacing w:after="160" w:line="276" w:lineRule="auto"/>
        <w:jc w:val="both"/>
        <w:rPr>
          <w:lang w:val="en-GB"/>
        </w:rPr>
      </w:pPr>
      <w:r w:rsidRPr="00891780">
        <w:rPr>
          <w:rStyle w:val="Zadanifontodlomka1"/>
          <w:rFonts w:ascii="Calibri" w:eastAsia="SimSun" w:hAnsi="Calibri" w:cs="Calibri"/>
          <w:b/>
          <w:bCs/>
          <w:sz w:val="22"/>
          <w:szCs w:val="22"/>
          <w:lang w:val="en-GB"/>
        </w:rPr>
        <w:lastRenderedPageBreak/>
        <w:t>THREE SEAS INITIATIVE INVESTMENT FUND</w:t>
      </w:r>
    </w:p>
    <w:p w14:paraId="1748D7E3" w14:textId="78864700" w:rsidR="00382CF2" w:rsidRPr="00891780" w:rsidRDefault="00680FFE"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The Three Seas Initiative, a platform for cooperation between 12 EU member states in the area of the three seas (the Adriatic, Baltic and Black Seas), was established to support joint cross-border strategic projects with an emphasis on energy, transport and digital connectivity in the region</w:t>
      </w:r>
      <w:r w:rsidR="00054989" w:rsidRPr="00891780">
        <w:rPr>
          <w:rFonts w:asciiTheme="minorHAnsi" w:eastAsia="SimSun" w:hAnsiTheme="minorHAnsi" w:cstheme="minorHAnsi"/>
          <w:sz w:val="22"/>
          <w:szCs w:val="22"/>
          <w:lang w:val="en-GB"/>
        </w:rPr>
        <w:t>.</w:t>
      </w:r>
    </w:p>
    <w:p w14:paraId="1748D7E4" w14:textId="3FB9656C" w:rsidR="00382CF2" w:rsidRPr="00891780" w:rsidRDefault="000817A9"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The Three Seas Initiative Investment Fund was created as a financial tool with the help of which capital is invested in the Initiative's projects (investments in private equity and quasi-equity</w:t>
      </w:r>
      <w:r w:rsidR="00054989" w:rsidRPr="00891780">
        <w:rPr>
          <w:rFonts w:asciiTheme="minorHAnsi" w:eastAsia="SimSun" w:hAnsiTheme="minorHAnsi" w:cstheme="minorHAnsi"/>
          <w:sz w:val="22"/>
          <w:szCs w:val="22"/>
          <w:lang w:val="en-GB"/>
        </w:rPr>
        <w:t xml:space="preserve">). </w:t>
      </w:r>
      <w:r w:rsidR="00C8559D" w:rsidRPr="00891780">
        <w:rPr>
          <w:rFonts w:asciiTheme="minorHAnsi" w:hAnsiTheme="minorHAnsi" w:cstheme="minorHAnsi"/>
          <w:sz w:val="22"/>
          <w:szCs w:val="22"/>
          <w:lang w:val="en-GB"/>
        </w:rPr>
        <w:t>The Fund's investment goal is to use available funds for investment in infrastructure projects that contribute to security and diversity of energy supply, reduction of emissions and transport costs, economic, social and digital connectivity of the EU member states as well as the integration by reducing differences in infrastructure quality</w:t>
      </w:r>
      <w:r w:rsidR="00054989" w:rsidRPr="00891780">
        <w:rPr>
          <w:rFonts w:asciiTheme="minorHAnsi" w:eastAsia="SimSun" w:hAnsiTheme="minorHAnsi" w:cstheme="minorHAnsi"/>
          <w:sz w:val="22"/>
          <w:szCs w:val="22"/>
          <w:lang w:val="en-GB"/>
        </w:rPr>
        <w:t>.</w:t>
      </w:r>
    </w:p>
    <w:p w14:paraId="1748D7E5" w14:textId="6E7A1239" w:rsidR="00382CF2" w:rsidRPr="00891780" w:rsidRDefault="003211F2"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 xml:space="preserve">At the end of 2020, the Government of the Republic of Croatia </w:t>
      </w:r>
      <w:proofErr w:type="gramStart"/>
      <w:r w:rsidRPr="00891780">
        <w:rPr>
          <w:rFonts w:asciiTheme="minorHAnsi" w:hAnsiTheme="minorHAnsi" w:cstheme="minorHAnsi"/>
          <w:sz w:val="22"/>
          <w:szCs w:val="22"/>
          <w:lang w:val="en-GB"/>
        </w:rPr>
        <w:t>made a decision</w:t>
      </w:r>
      <w:proofErr w:type="gramEnd"/>
      <w:r w:rsidRPr="00891780">
        <w:rPr>
          <w:rFonts w:asciiTheme="minorHAnsi" w:hAnsiTheme="minorHAnsi" w:cstheme="minorHAnsi"/>
          <w:sz w:val="22"/>
          <w:szCs w:val="22"/>
          <w:lang w:val="en-GB"/>
        </w:rPr>
        <w:t xml:space="preserve"> to invest in the Fund with the purpose of encouraging the realisation of joint projects in the area covered by the Initiative. By this Decision, HBOR is authorised to make an investment in the Fund in its own name and for the account of the Government of the Republic of Croatia in an amount of up to EUR 20 million, increased by fees and costs of joining and participating in the Fund. HBOR joined the Fund in the first quarter of 2021. As </w:t>
      </w:r>
      <w:proofErr w:type="gramStart"/>
      <w:r w:rsidRPr="00891780">
        <w:rPr>
          <w:rFonts w:asciiTheme="minorHAnsi" w:hAnsiTheme="minorHAnsi" w:cstheme="minorHAnsi"/>
          <w:sz w:val="22"/>
          <w:szCs w:val="22"/>
          <w:lang w:val="en-GB"/>
        </w:rPr>
        <w:t>at</w:t>
      </w:r>
      <w:proofErr w:type="gramEnd"/>
      <w:r w:rsidRPr="00891780">
        <w:rPr>
          <w:rFonts w:asciiTheme="minorHAnsi" w:hAnsiTheme="minorHAnsi" w:cstheme="minorHAnsi"/>
          <w:sz w:val="22"/>
          <w:szCs w:val="22"/>
          <w:lang w:val="en-GB"/>
        </w:rPr>
        <w:t xml:space="preserve"> 31 December </w:t>
      </w:r>
      <w:r w:rsidR="00054989" w:rsidRPr="00891780">
        <w:rPr>
          <w:rFonts w:asciiTheme="minorHAnsi" w:eastAsia="SimSun" w:hAnsiTheme="minorHAnsi" w:cstheme="minorHAnsi"/>
          <w:sz w:val="22"/>
          <w:szCs w:val="22"/>
          <w:lang w:val="en-GB"/>
        </w:rPr>
        <w:t>2022</w:t>
      </w:r>
      <w:r w:rsidRPr="00891780">
        <w:rPr>
          <w:rFonts w:asciiTheme="minorHAnsi" w:eastAsia="SimSun" w:hAnsiTheme="minorHAnsi" w:cstheme="minorHAnsi"/>
          <w:sz w:val="22"/>
          <w:szCs w:val="22"/>
          <w:lang w:val="en-GB"/>
        </w:rPr>
        <w:t>,</w:t>
      </w:r>
      <w:r w:rsidR="00054989" w:rsidRPr="00891780">
        <w:rPr>
          <w:rFonts w:asciiTheme="minorHAnsi" w:eastAsia="SimSun" w:hAnsiTheme="minorHAnsi" w:cstheme="minorHAnsi"/>
          <w:sz w:val="22"/>
          <w:szCs w:val="22"/>
          <w:lang w:val="en-GB"/>
        </w:rPr>
        <w:t xml:space="preserve"> </w:t>
      </w:r>
      <w:r w:rsidR="00A63382" w:rsidRPr="00891780">
        <w:rPr>
          <w:rFonts w:asciiTheme="minorHAnsi" w:hAnsiTheme="minorHAnsi" w:cstheme="minorHAnsi"/>
          <w:sz w:val="22"/>
          <w:szCs w:val="22"/>
          <w:lang w:val="en-GB"/>
        </w:rPr>
        <w:t xml:space="preserve">the size of the Fund equalled EUR </w:t>
      </w:r>
      <w:r w:rsidR="00054989" w:rsidRPr="00891780">
        <w:rPr>
          <w:rFonts w:asciiTheme="minorHAnsi" w:eastAsia="SimSun" w:hAnsiTheme="minorHAnsi" w:cstheme="minorHAnsi"/>
          <w:sz w:val="22"/>
          <w:szCs w:val="22"/>
          <w:lang w:val="en-GB"/>
        </w:rPr>
        <w:t>928</w:t>
      </w:r>
      <w:r w:rsidR="00A63382" w:rsidRPr="00891780">
        <w:rPr>
          <w:rFonts w:asciiTheme="minorHAnsi" w:eastAsia="SimSun" w:hAnsiTheme="minorHAnsi" w:cstheme="minorHAnsi"/>
          <w:sz w:val="22"/>
          <w:szCs w:val="22"/>
          <w:lang w:val="en-GB"/>
        </w:rPr>
        <w:t>.</w:t>
      </w:r>
      <w:r w:rsidR="00054989" w:rsidRPr="00891780">
        <w:rPr>
          <w:rFonts w:asciiTheme="minorHAnsi" w:eastAsia="SimSun" w:hAnsiTheme="minorHAnsi" w:cstheme="minorHAnsi"/>
          <w:sz w:val="22"/>
          <w:szCs w:val="22"/>
          <w:lang w:val="en-GB"/>
        </w:rPr>
        <w:t>1 mil</w:t>
      </w:r>
      <w:r w:rsidR="00A63382" w:rsidRPr="00891780">
        <w:rPr>
          <w:rFonts w:asciiTheme="minorHAnsi" w:eastAsia="SimSun" w:hAnsiTheme="minorHAnsi" w:cstheme="minorHAnsi"/>
          <w:sz w:val="22"/>
          <w:szCs w:val="22"/>
          <w:lang w:val="en-GB"/>
        </w:rPr>
        <w:t>lion</w:t>
      </w:r>
      <w:r w:rsidR="00054989" w:rsidRPr="00891780">
        <w:rPr>
          <w:rFonts w:asciiTheme="minorHAnsi" w:eastAsia="SimSun" w:hAnsiTheme="minorHAnsi" w:cstheme="minorHAnsi"/>
          <w:sz w:val="22"/>
          <w:szCs w:val="22"/>
          <w:lang w:val="en-GB"/>
        </w:rPr>
        <w:t>.</w:t>
      </w:r>
    </w:p>
    <w:p w14:paraId="1748D7E6" w14:textId="4BB2B621" w:rsidR="00382CF2" w:rsidRPr="00891780" w:rsidRDefault="00263721" w:rsidP="000B677E">
      <w:pPr>
        <w:spacing w:before="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HBOR does not make decisions on the selection of the Fund's investments; the projects are selected by investment advisor and the decision is made by the fund manager at the proposal of the independent investment committee</w:t>
      </w:r>
      <w:r w:rsidR="00054989" w:rsidRPr="00891780">
        <w:rPr>
          <w:rFonts w:asciiTheme="minorHAnsi" w:eastAsia="SimSun" w:hAnsiTheme="minorHAnsi" w:cstheme="minorHAnsi"/>
          <w:sz w:val="22"/>
          <w:szCs w:val="22"/>
          <w:lang w:val="en-GB"/>
        </w:rPr>
        <w:t>.</w:t>
      </w:r>
    </w:p>
    <w:p w14:paraId="1748D7E7" w14:textId="77777777" w:rsidR="00382CF2" w:rsidRPr="002E1A01" w:rsidRDefault="00382CF2" w:rsidP="000B677E">
      <w:pPr>
        <w:spacing w:after="160" w:line="276" w:lineRule="auto"/>
        <w:jc w:val="both"/>
        <w:rPr>
          <w:rFonts w:ascii="Calibri" w:eastAsia="SimSun" w:hAnsi="Calibri" w:cs="Calibri"/>
          <w:sz w:val="10"/>
          <w:szCs w:val="10"/>
          <w:lang w:val="en-GB"/>
        </w:rPr>
      </w:pPr>
    </w:p>
    <w:p w14:paraId="1748D7E8" w14:textId="6A7073F8" w:rsidR="00382CF2" w:rsidRPr="00891780" w:rsidRDefault="00054989" w:rsidP="000B677E">
      <w:pPr>
        <w:jc w:val="both"/>
        <w:textAlignment w:val="baseline"/>
        <w:rPr>
          <w:lang w:val="en-GB"/>
        </w:rPr>
      </w:pPr>
      <w:r w:rsidRPr="00891780">
        <w:rPr>
          <w:rStyle w:val="Zadanifontodlomka1"/>
          <w:rFonts w:ascii="Calibri" w:hAnsi="Calibri" w:cs="Calibri"/>
          <w:b/>
          <w:bCs/>
          <w:sz w:val="22"/>
          <w:szCs w:val="22"/>
          <w:lang w:val="en-GB" w:eastAsia="hr-HR"/>
        </w:rPr>
        <w:t>EIF-NPI EQUITY PLATFORM</w:t>
      </w:r>
      <w:r w:rsidR="00263721" w:rsidRPr="00891780">
        <w:rPr>
          <w:rStyle w:val="Zadanifontodlomka1"/>
          <w:rFonts w:ascii="Calibri" w:hAnsi="Calibri" w:cs="Calibri"/>
          <w:b/>
          <w:bCs/>
          <w:sz w:val="22"/>
          <w:szCs w:val="22"/>
          <w:lang w:val="en-GB" w:eastAsia="hr-HR"/>
        </w:rPr>
        <w:t xml:space="preserve"> AND OTHER MEMBERSHIPS</w:t>
      </w:r>
    </w:p>
    <w:p w14:paraId="1748D7E9" w14:textId="3FF74159" w:rsidR="00382CF2" w:rsidRPr="00891780" w:rsidRDefault="00F625B8" w:rsidP="000B677E">
      <w:pPr>
        <w:spacing w:before="120" w:after="120" w:line="276" w:lineRule="auto"/>
        <w:jc w:val="both"/>
        <w:rPr>
          <w:rFonts w:asciiTheme="minorHAnsi" w:hAnsiTheme="minorHAnsi" w:cstheme="minorHAnsi"/>
          <w:lang w:val="en-GB"/>
        </w:rPr>
      </w:pPr>
      <w:r w:rsidRPr="00891780">
        <w:rPr>
          <w:rFonts w:asciiTheme="minorHAnsi" w:hAnsiTheme="minorHAnsi" w:cstheme="minorHAnsi"/>
          <w:sz w:val="22"/>
          <w:szCs w:val="22"/>
          <w:lang w:val="en-GB"/>
        </w:rPr>
        <w:t>The European Commission, in co-operation with the EIF and the national promotional institutions (NPIs), launched the EIF-NPI Equity Platform for the purpose of developing the market of investments in private equity funds. As one of the founding institutions, in September 2016, HBOR joined the creation of this platform and has been participating in the work of two platform bodies since then – the General Forum and the Consultative Forum, the work of which is focused on the exchange of experiences and knowledge aimed at strengthening the private equity industry</w:t>
      </w:r>
      <w:r w:rsidR="00054989" w:rsidRPr="00891780">
        <w:rPr>
          <w:rStyle w:val="Zadanifontodlomka1"/>
          <w:rFonts w:asciiTheme="minorHAnsi" w:eastAsia="SimSun" w:hAnsiTheme="minorHAnsi" w:cstheme="minorHAnsi"/>
          <w:sz w:val="22"/>
          <w:szCs w:val="22"/>
          <w:lang w:val="en-GB"/>
        </w:rPr>
        <w:t>.</w:t>
      </w:r>
    </w:p>
    <w:p w14:paraId="1748D7EA" w14:textId="1C06C002" w:rsidR="00382CF2" w:rsidRPr="00891780" w:rsidRDefault="009F2D82" w:rsidP="000B677E">
      <w:pPr>
        <w:spacing w:before="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HBOR is an active member of the professional associations Invest Europe and the European Venture Fund Investors Network (EVFIN).</w:t>
      </w:r>
      <w:r w:rsidR="00054989" w:rsidRPr="00891780">
        <w:rPr>
          <w:rFonts w:ascii="Calibri" w:eastAsia="SimSun" w:hAnsi="Calibri" w:cs="Calibri"/>
          <w:sz w:val="22"/>
          <w:szCs w:val="22"/>
          <w:lang w:val="en-GB"/>
        </w:rPr>
        <w:t xml:space="preserve"> </w:t>
      </w:r>
      <w:r w:rsidR="00E205E0" w:rsidRPr="00891780">
        <w:rPr>
          <w:rFonts w:ascii="Calibri" w:eastAsia="SimSun" w:hAnsi="Calibri" w:cs="Calibri"/>
          <w:sz w:val="22"/>
          <w:szCs w:val="22"/>
          <w:lang w:val="en-GB"/>
        </w:rPr>
        <w:t>Invest Europe is a professional, non-profit association that brings together the sector of equity investors, venture capital funds and the investment sector and fund managers.</w:t>
      </w:r>
      <w:r w:rsidR="00054989" w:rsidRPr="00891780">
        <w:rPr>
          <w:rFonts w:ascii="Calibri" w:eastAsia="SimSun" w:hAnsi="Calibri" w:cs="Calibri"/>
          <w:sz w:val="22"/>
          <w:szCs w:val="22"/>
          <w:lang w:val="en-GB"/>
        </w:rPr>
        <w:t xml:space="preserve"> </w:t>
      </w:r>
      <w:r w:rsidR="00CC5F30" w:rsidRPr="00891780">
        <w:rPr>
          <w:rFonts w:ascii="Calibri" w:eastAsia="SimSun" w:hAnsi="Calibri" w:cs="Calibri"/>
          <w:sz w:val="22"/>
          <w:szCs w:val="22"/>
          <w:lang w:val="en-GB"/>
        </w:rPr>
        <w:t>It actively contributes to the creation of policies that have an impact on capital investment (directly and through funds) in Europe, and at the same time provides information on the impact of its members on the EU economy and publishes research on the trends and development of the venture capital industry.</w:t>
      </w:r>
      <w:r w:rsidR="00054989" w:rsidRPr="00891780">
        <w:rPr>
          <w:rFonts w:ascii="Calibri" w:eastAsia="SimSun" w:hAnsi="Calibri" w:cs="Calibri"/>
          <w:sz w:val="22"/>
          <w:szCs w:val="22"/>
          <w:lang w:val="en-GB"/>
        </w:rPr>
        <w:t xml:space="preserve"> </w:t>
      </w:r>
      <w:r w:rsidR="00F636A2" w:rsidRPr="00891780">
        <w:rPr>
          <w:rFonts w:ascii="Calibri" w:eastAsia="SimSun" w:hAnsi="Calibri" w:cs="Calibri"/>
          <w:sz w:val="22"/>
          <w:szCs w:val="22"/>
          <w:lang w:val="en-GB"/>
        </w:rPr>
        <w:t>EVFIN is an informal platform for dialogue and cooperation that brings together 21 public investors from 17 European countries.</w:t>
      </w:r>
      <w:r w:rsidR="00054989" w:rsidRPr="00891780">
        <w:rPr>
          <w:rFonts w:ascii="Calibri" w:eastAsia="SimSun" w:hAnsi="Calibri" w:cs="Calibri"/>
          <w:sz w:val="22"/>
          <w:szCs w:val="22"/>
          <w:lang w:val="en-GB"/>
        </w:rPr>
        <w:t xml:space="preserve"> </w:t>
      </w:r>
      <w:r w:rsidR="00846702" w:rsidRPr="00891780">
        <w:rPr>
          <w:rFonts w:ascii="Calibri" w:eastAsia="SimSun" w:hAnsi="Calibri" w:cs="Calibri"/>
          <w:sz w:val="22"/>
          <w:szCs w:val="22"/>
          <w:lang w:val="en-GB"/>
        </w:rPr>
        <w:t>The aim of the platform is to exchange information and best practices among members and to contribute to the public debate in the EU and to the research of measures to create more sustainable venture capital markets in the EU.</w:t>
      </w:r>
    </w:p>
    <w:p w14:paraId="1748D7EB" w14:textId="77777777" w:rsidR="00382CF2" w:rsidRPr="002E1A01" w:rsidRDefault="00382CF2" w:rsidP="000B677E">
      <w:pPr>
        <w:spacing w:after="160" w:line="276" w:lineRule="auto"/>
        <w:jc w:val="both"/>
        <w:rPr>
          <w:rFonts w:ascii="Calibri" w:eastAsia="SimSun" w:hAnsi="Calibri" w:cs="Calibri"/>
          <w:b/>
          <w:bCs/>
          <w:sz w:val="10"/>
          <w:szCs w:val="10"/>
          <w:lang w:val="en-GB"/>
        </w:rPr>
      </w:pPr>
    </w:p>
    <w:p w14:paraId="1748D7EC" w14:textId="64EDA38A" w:rsidR="00382CF2" w:rsidRPr="00891780" w:rsidRDefault="00972687" w:rsidP="000B677E">
      <w:pPr>
        <w:spacing w:after="160" w:line="276" w:lineRule="auto"/>
        <w:jc w:val="both"/>
        <w:rPr>
          <w:rFonts w:asciiTheme="minorHAnsi" w:eastAsia="SimSun" w:hAnsiTheme="minorHAnsi" w:cstheme="minorHAnsi"/>
          <w:b/>
          <w:bCs/>
          <w:sz w:val="22"/>
          <w:szCs w:val="22"/>
          <w:lang w:val="en-GB"/>
        </w:rPr>
      </w:pPr>
      <w:r w:rsidRPr="00891780">
        <w:rPr>
          <w:rFonts w:asciiTheme="minorHAnsi" w:eastAsia="SimSun" w:hAnsiTheme="minorHAnsi" w:cstheme="minorHAnsi"/>
          <w:b/>
          <w:bCs/>
          <w:sz w:val="22"/>
          <w:szCs w:val="22"/>
          <w:lang w:val="en-GB"/>
        </w:rPr>
        <w:t>STRENGTHENING OF INTERNAL CAPACITIES</w:t>
      </w:r>
      <w:r w:rsidR="00054989" w:rsidRPr="00891780">
        <w:rPr>
          <w:rFonts w:asciiTheme="minorHAnsi" w:eastAsia="SimSun" w:hAnsiTheme="minorHAnsi" w:cstheme="minorHAnsi"/>
          <w:b/>
          <w:bCs/>
          <w:sz w:val="22"/>
          <w:szCs w:val="22"/>
          <w:lang w:val="en-GB"/>
        </w:rPr>
        <w:t xml:space="preserve"> </w:t>
      </w:r>
    </w:p>
    <w:p w14:paraId="1748D7ED" w14:textId="7AE720B2" w:rsidR="00382CF2" w:rsidRPr="00891780" w:rsidRDefault="005E47E9" w:rsidP="000B677E">
      <w:pPr>
        <w:spacing w:before="120" w:after="120" w:line="276" w:lineRule="auto"/>
        <w:jc w:val="both"/>
        <w:rPr>
          <w:rFonts w:asciiTheme="minorHAnsi" w:eastAsia="SimSun" w:hAnsiTheme="minorHAnsi" w:cstheme="minorHAnsi"/>
          <w:sz w:val="22"/>
          <w:szCs w:val="22"/>
          <w:lang w:val="en-GB"/>
        </w:rPr>
      </w:pPr>
      <w:r w:rsidRPr="00891780">
        <w:rPr>
          <w:rFonts w:asciiTheme="minorHAnsi" w:hAnsiTheme="minorHAnsi" w:cstheme="minorHAnsi"/>
          <w:sz w:val="22"/>
          <w:szCs w:val="22"/>
          <w:lang w:val="en-GB"/>
        </w:rPr>
        <w:t xml:space="preserve">In 2021, HBOR concluded an agreement with the European Investment Bank </w:t>
      </w:r>
      <w:proofErr w:type="gramStart"/>
      <w:r w:rsidRPr="00891780">
        <w:rPr>
          <w:rFonts w:asciiTheme="minorHAnsi" w:hAnsiTheme="minorHAnsi" w:cstheme="minorHAnsi"/>
          <w:sz w:val="22"/>
          <w:szCs w:val="22"/>
          <w:lang w:val="en-GB"/>
        </w:rPr>
        <w:t>on the basis of</w:t>
      </w:r>
      <w:proofErr w:type="gramEnd"/>
      <w:r w:rsidRPr="00891780">
        <w:rPr>
          <w:rFonts w:asciiTheme="minorHAnsi" w:hAnsiTheme="minorHAnsi" w:cstheme="minorHAnsi"/>
          <w:sz w:val="22"/>
          <w:szCs w:val="22"/>
          <w:lang w:val="en-GB"/>
        </w:rPr>
        <w:t xml:space="preserve"> which the European Investment Advisory Hub (EIAH) would provide advisory services to HBOR in order to strengthen HBOR's internal capacities for establishing and monitoring investments in venture capital and private equity funds</w:t>
      </w:r>
      <w:r w:rsidR="00054989" w:rsidRPr="00891780">
        <w:rPr>
          <w:rFonts w:asciiTheme="minorHAnsi" w:eastAsia="SimSun" w:hAnsiTheme="minorHAnsi" w:cstheme="minorHAnsi"/>
          <w:sz w:val="22"/>
          <w:szCs w:val="22"/>
          <w:lang w:val="en-GB"/>
        </w:rPr>
        <w:t xml:space="preserve">. </w:t>
      </w:r>
      <w:r w:rsidR="003C39D2" w:rsidRPr="00891780">
        <w:rPr>
          <w:rFonts w:asciiTheme="minorHAnsi" w:hAnsiTheme="minorHAnsi" w:cstheme="minorHAnsi"/>
          <w:sz w:val="22"/>
          <w:szCs w:val="22"/>
          <w:lang w:val="en-GB"/>
        </w:rPr>
        <w:t xml:space="preserve">One of the activities under the agreement, which began in 2021, </w:t>
      </w:r>
      <w:r w:rsidR="001A58F5">
        <w:rPr>
          <w:rFonts w:asciiTheme="minorHAnsi" w:hAnsiTheme="minorHAnsi" w:cstheme="minorHAnsi"/>
          <w:sz w:val="22"/>
          <w:szCs w:val="22"/>
          <w:lang w:val="en-GB"/>
        </w:rPr>
        <w:t>wa</w:t>
      </w:r>
      <w:r w:rsidR="003C39D2" w:rsidRPr="00891780">
        <w:rPr>
          <w:rFonts w:asciiTheme="minorHAnsi" w:hAnsiTheme="minorHAnsi" w:cstheme="minorHAnsi"/>
          <w:sz w:val="22"/>
          <w:szCs w:val="22"/>
          <w:lang w:val="en-GB"/>
        </w:rPr>
        <w:t xml:space="preserve">s the </w:t>
      </w:r>
      <w:r w:rsidR="003C39D2" w:rsidRPr="00891780">
        <w:rPr>
          <w:rFonts w:asciiTheme="minorHAnsi" w:hAnsiTheme="minorHAnsi" w:cstheme="minorHAnsi"/>
          <w:sz w:val="22"/>
          <w:szCs w:val="22"/>
          <w:lang w:val="en-GB"/>
        </w:rPr>
        <w:lastRenderedPageBreak/>
        <w:t>preparation of a market gap analysis with respect to venture capital and private equity financing in the Republic of Croatia</w:t>
      </w:r>
      <w:r w:rsidR="00054989" w:rsidRPr="00891780">
        <w:rPr>
          <w:rFonts w:asciiTheme="minorHAnsi" w:eastAsia="SimSun" w:hAnsiTheme="minorHAnsi" w:cstheme="minorHAnsi"/>
          <w:sz w:val="22"/>
          <w:szCs w:val="22"/>
          <w:lang w:val="en-GB"/>
        </w:rPr>
        <w:t xml:space="preserve">. </w:t>
      </w:r>
      <w:r w:rsidR="002635D0" w:rsidRPr="00891780">
        <w:rPr>
          <w:rFonts w:asciiTheme="minorHAnsi" w:hAnsiTheme="minorHAnsi" w:cstheme="minorHAnsi"/>
          <w:sz w:val="22"/>
          <w:szCs w:val="22"/>
          <w:lang w:val="en-GB"/>
        </w:rPr>
        <w:t>The analysis will show the needs and opportunities in the market, including the identification of regulatory and administrative barriers</w:t>
      </w:r>
      <w:r w:rsidR="00054989" w:rsidRPr="00891780">
        <w:rPr>
          <w:rFonts w:asciiTheme="minorHAnsi" w:eastAsia="SimSun" w:hAnsiTheme="minorHAnsi" w:cstheme="minorHAnsi"/>
          <w:sz w:val="22"/>
          <w:szCs w:val="22"/>
          <w:lang w:val="en-GB"/>
        </w:rPr>
        <w:t>.</w:t>
      </w:r>
    </w:p>
    <w:p w14:paraId="1748D7EE" w14:textId="0918D2FA" w:rsidR="00382CF2" w:rsidRPr="00891780" w:rsidRDefault="00F77AE6"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Since</w:t>
      </w:r>
      <w:r w:rsidR="0093420A">
        <w:rPr>
          <w:rFonts w:ascii="Calibri" w:eastAsia="SimSun" w:hAnsi="Calibri" w:cs="Calibri"/>
          <w:sz w:val="22"/>
          <w:szCs w:val="22"/>
          <w:lang w:val="en-GB"/>
        </w:rPr>
        <w:t xml:space="preserve"> a technology transfer fund has existed</w:t>
      </w:r>
      <w:r w:rsidRPr="00891780">
        <w:rPr>
          <w:rFonts w:ascii="Calibri" w:eastAsia="SimSun" w:hAnsi="Calibri" w:cs="Calibri"/>
          <w:sz w:val="22"/>
          <w:szCs w:val="22"/>
          <w:lang w:val="en-GB"/>
        </w:rPr>
        <w:t xml:space="preserve"> neither in the Republic of Croatia nor in the Republic of Slovenia, with the aim of as high-quality preparation as possible of all stakeholders in the market, </w:t>
      </w:r>
      <w:r w:rsidR="00704C52" w:rsidRPr="00891780">
        <w:rPr>
          <w:rFonts w:ascii="Calibri" w:eastAsia="SimSun" w:hAnsi="Calibri" w:cs="Calibri"/>
          <w:sz w:val="22"/>
          <w:szCs w:val="22"/>
          <w:lang w:val="en-GB"/>
        </w:rPr>
        <w:t xml:space="preserve">in March 2022, </w:t>
      </w:r>
      <w:r w:rsidRPr="00891780">
        <w:rPr>
          <w:rFonts w:ascii="Calibri" w:eastAsia="SimSun" w:hAnsi="Calibri" w:cs="Calibri"/>
          <w:sz w:val="22"/>
          <w:szCs w:val="22"/>
          <w:lang w:val="en-GB"/>
        </w:rPr>
        <w:t xml:space="preserve">HBOR and SID banka </w:t>
      </w:r>
      <w:r w:rsidR="00A96A3D" w:rsidRPr="00891780">
        <w:rPr>
          <w:rFonts w:ascii="Calibri" w:eastAsia="SimSun" w:hAnsi="Calibri" w:cs="Calibri"/>
          <w:sz w:val="22"/>
          <w:szCs w:val="22"/>
          <w:lang w:val="en-GB"/>
        </w:rPr>
        <w:t>addressed</w:t>
      </w:r>
      <w:r w:rsidRPr="00891780">
        <w:rPr>
          <w:rFonts w:ascii="Calibri" w:eastAsia="SimSun" w:hAnsi="Calibri" w:cs="Calibri"/>
          <w:sz w:val="22"/>
          <w:szCs w:val="22"/>
          <w:lang w:val="en-GB"/>
        </w:rPr>
        <w:t xml:space="preserve"> the EIB with a</w:t>
      </w:r>
      <w:r w:rsidR="00F85F75" w:rsidRPr="00891780">
        <w:rPr>
          <w:rFonts w:ascii="Calibri" w:eastAsia="SimSun" w:hAnsi="Calibri" w:cs="Calibri"/>
          <w:sz w:val="22"/>
          <w:szCs w:val="22"/>
          <w:lang w:val="en-GB"/>
        </w:rPr>
        <w:t>n application</w:t>
      </w:r>
      <w:r w:rsidR="00A96A3D" w:rsidRPr="00891780">
        <w:rPr>
          <w:rFonts w:ascii="Calibri" w:eastAsia="SimSun" w:hAnsi="Calibri" w:cs="Calibri"/>
          <w:sz w:val="22"/>
          <w:szCs w:val="22"/>
          <w:lang w:val="en-GB"/>
        </w:rPr>
        <w:t xml:space="preserve"> for technical assistance</w:t>
      </w:r>
      <w:r w:rsidR="00054989" w:rsidRPr="00891780">
        <w:rPr>
          <w:rFonts w:ascii="Calibri" w:eastAsia="SimSun" w:hAnsi="Calibri" w:cs="Calibri"/>
          <w:sz w:val="22"/>
          <w:szCs w:val="22"/>
          <w:lang w:val="en-GB"/>
        </w:rPr>
        <w:t xml:space="preserve">. </w:t>
      </w:r>
      <w:r w:rsidR="008D5125" w:rsidRPr="00891780">
        <w:rPr>
          <w:rFonts w:ascii="Calibri" w:eastAsia="SimSun" w:hAnsi="Calibri" w:cs="Calibri"/>
          <w:sz w:val="22"/>
          <w:szCs w:val="22"/>
          <w:lang w:val="en-GB"/>
        </w:rPr>
        <w:t xml:space="preserve">The advisory support that will be provided under the </w:t>
      </w:r>
      <w:r w:rsidR="002A03B7">
        <w:rPr>
          <w:rFonts w:ascii="Calibri" w:eastAsia="SimSun" w:hAnsi="Calibri" w:cs="Calibri"/>
          <w:sz w:val="22"/>
          <w:szCs w:val="22"/>
          <w:lang w:val="en-GB"/>
        </w:rPr>
        <w:t>a</w:t>
      </w:r>
      <w:r w:rsidR="008D5125" w:rsidRPr="00891780">
        <w:rPr>
          <w:rFonts w:ascii="Calibri" w:eastAsia="SimSun" w:hAnsi="Calibri" w:cs="Calibri"/>
          <w:sz w:val="22"/>
          <w:szCs w:val="22"/>
          <w:lang w:val="en-GB"/>
        </w:rPr>
        <w:t>greement will be focused on the review of best practices and the organi</w:t>
      </w:r>
      <w:r w:rsidR="005702E4">
        <w:rPr>
          <w:rFonts w:ascii="Calibri" w:eastAsia="SimSun" w:hAnsi="Calibri" w:cs="Calibri"/>
          <w:sz w:val="22"/>
          <w:szCs w:val="22"/>
          <w:lang w:val="en-GB"/>
        </w:rPr>
        <w:t>s</w:t>
      </w:r>
      <w:r w:rsidR="008D5125" w:rsidRPr="00891780">
        <w:rPr>
          <w:rFonts w:ascii="Calibri" w:eastAsia="SimSun" w:hAnsi="Calibri" w:cs="Calibri"/>
          <w:sz w:val="22"/>
          <w:szCs w:val="22"/>
          <w:lang w:val="en-GB"/>
        </w:rPr>
        <w:t xml:space="preserve">ation of capacity building workshops for universities and research institutions, the technology transfer fund management </w:t>
      </w:r>
      <w:proofErr w:type="gramStart"/>
      <w:r w:rsidR="008D5125" w:rsidRPr="00891780">
        <w:rPr>
          <w:rFonts w:ascii="Calibri" w:eastAsia="SimSun" w:hAnsi="Calibri" w:cs="Calibri"/>
          <w:sz w:val="22"/>
          <w:szCs w:val="22"/>
          <w:lang w:val="en-GB"/>
        </w:rPr>
        <w:t>company</w:t>
      </w:r>
      <w:proofErr w:type="gramEnd"/>
      <w:r w:rsidR="008D5125" w:rsidRPr="00891780">
        <w:rPr>
          <w:rFonts w:ascii="Calibri" w:eastAsia="SimSun" w:hAnsi="Calibri" w:cs="Calibri"/>
          <w:sz w:val="22"/>
          <w:szCs w:val="22"/>
          <w:lang w:val="en-GB"/>
        </w:rPr>
        <w:t xml:space="preserve"> and potential investors in the fund.</w:t>
      </w:r>
    </w:p>
    <w:p w14:paraId="1748D7F2" w14:textId="4B0E91DF" w:rsidR="00382CF2" w:rsidRPr="00891780" w:rsidRDefault="00054989" w:rsidP="000B677E">
      <w:pPr>
        <w:spacing w:after="160" w:line="276" w:lineRule="auto"/>
        <w:jc w:val="both"/>
        <w:rPr>
          <w:lang w:val="en-GB"/>
        </w:rPr>
      </w:pPr>
      <w:r w:rsidRPr="00891780">
        <w:rPr>
          <w:rStyle w:val="Zadanifontodlomka1"/>
          <w:rFonts w:ascii="Calibri" w:hAnsi="Calibri" w:cs="Calibri"/>
          <w:b/>
          <w:bCs/>
          <w:sz w:val="22"/>
          <w:szCs w:val="22"/>
          <w:lang w:val="en-GB" w:eastAsia="hr-HR"/>
        </w:rPr>
        <w:t>NA</w:t>
      </w:r>
      <w:r w:rsidR="006E201D" w:rsidRPr="00891780">
        <w:rPr>
          <w:rStyle w:val="Zadanifontodlomka1"/>
          <w:rFonts w:ascii="Calibri" w:hAnsi="Calibri" w:cs="Calibri"/>
          <w:b/>
          <w:bCs/>
          <w:sz w:val="22"/>
          <w:szCs w:val="22"/>
          <w:lang w:val="en-GB" w:eastAsia="hr-HR"/>
        </w:rPr>
        <w:t>TIONAL RECOVERY AND RESILIENCE PLAN</w:t>
      </w:r>
      <w:r w:rsidRPr="00891780">
        <w:rPr>
          <w:rStyle w:val="Zadanifontodlomka1"/>
          <w:rFonts w:ascii="Calibri" w:eastAsia="SimSun" w:hAnsi="Calibri" w:cs="Calibri"/>
          <w:b/>
          <w:bCs/>
          <w:sz w:val="22"/>
          <w:szCs w:val="22"/>
          <w:lang w:val="en-GB"/>
        </w:rPr>
        <w:t xml:space="preserve"> (N</w:t>
      </w:r>
      <w:r w:rsidR="006E201D" w:rsidRPr="00891780">
        <w:rPr>
          <w:rStyle w:val="Zadanifontodlomka1"/>
          <w:rFonts w:ascii="Calibri" w:eastAsia="SimSun" w:hAnsi="Calibri" w:cs="Calibri"/>
          <w:b/>
          <w:bCs/>
          <w:sz w:val="22"/>
          <w:szCs w:val="22"/>
          <w:lang w:val="en-GB"/>
        </w:rPr>
        <w:t>RRP</w:t>
      </w:r>
      <w:r w:rsidRPr="00891780">
        <w:rPr>
          <w:rStyle w:val="Zadanifontodlomka1"/>
          <w:rFonts w:ascii="Calibri" w:eastAsia="SimSun" w:hAnsi="Calibri" w:cs="Calibri"/>
          <w:b/>
          <w:bCs/>
          <w:sz w:val="22"/>
          <w:szCs w:val="22"/>
          <w:lang w:val="en-GB"/>
        </w:rPr>
        <w:t>)</w:t>
      </w:r>
    </w:p>
    <w:p w14:paraId="1748D7F3" w14:textId="24F992AB" w:rsidR="00382CF2" w:rsidRPr="00891780" w:rsidRDefault="00E514FF"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In December 2022, The Ministry of Finance, the Ministry of the Economy and Sustainable Development </w:t>
      </w:r>
      <w:r w:rsidR="00084DD1" w:rsidRPr="00891780">
        <w:rPr>
          <w:rFonts w:ascii="Calibri" w:eastAsia="SimSun" w:hAnsi="Calibri" w:cs="Calibri"/>
          <w:sz w:val="22"/>
          <w:szCs w:val="22"/>
          <w:lang w:val="en-GB"/>
        </w:rPr>
        <w:t>and the Croatian Bank for Reconstruction and Development</w:t>
      </w:r>
      <w:r w:rsidR="00054989" w:rsidRPr="00891780">
        <w:rPr>
          <w:rFonts w:ascii="Calibri" w:eastAsia="SimSun" w:hAnsi="Calibri" w:cs="Calibri"/>
          <w:sz w:val="22"/>
          <w:szCs w:val="22"/>
          <w:lang w:val="en-GB"/>
        </w:rPr>
        <w:t xml:space="preserve"> (HBOR) </w:t>
      </w:r>
      <w:r w:rsidR="00084DD1" w:rsidRPr="00891780">
        <w:rPr>
          <w:rFonts w:ascii="Calibri" w:eastAsia="SimSun" w:hAnsi="Calibri" w:cs="Calibri"/>
          <w:sz w:val="22"/>
          <w:szCs w:val="22"/>
          <w:lang w:val="en-GB"/>
        </w:rPr>
        <w:t>signed the Agreement on Delegated Tasks</w:t>
      </w:r>
      <w:r w:rsidR="008109D2" w:rsidRPr="00891780">
        <w:rPr>
          <w:rFonts w:ascii="Calibri" w:eastAsia="SimSun" w:hAnsi="Calibri" w:cs="Calibri"/>
          <w:sz w:val="22"/>
          <w:szCs w:val="22"/>
          <w:lang w:val="en-GB"/>
        </w:rPr>
        <w:t xml:space="preserve"> under the National Recovery and Resilience Plan</w:t>
      </w:r>
      <w:r w:rsidR="00054989" w:rsidRPr="00891780">
        <w:rPr>
          <w:rFonts w:ascii="Calibri" w:eastAsia="SimSun" w:hAnsi="Calibri" w:cs="Calibri"/>
          <w:sz w:val="22"/>
          <w:szCs w:val="22"/>
          <w:lang w:val="en-GB"/>
        </w:rPr>
        <w:t xml:space="preserve"> (N</w:t>
      </w:r>
      <w:r w:rsidR="008109D2" w:rsidRPr="00891780">
        <w:rPr>
          <w:rFonts w:ascii="Calibri" w:eastAsia="SimSun" w:hAnsi="Calibri" w:cs="Calibri"/>
          <w:sz w:val="22"/>
          <w:szCs w:val="22"/>
          <w:lang w:val="en-GB"/>
        </w:rPr>
        <w:t>RRP</w:t>
      </w:r>
      <w:r w:rsidR="00054989" w:rsidRPr="00891780">
        <w:rPr>
          <w:rFonts w:ascii="Calibri" w:eastAsia="SimSun" w:hAnsi="Calibri" w:cs="Calibri"/>
          <w:sz w:val="22"/>
          <w:szCs w:val="22"/>
          <w:lang w:val="en-GB"/>
        </w:rPr>
        <w:t xml:space="preserve">) </w:t>
      </w:r>
      <w:r w:rsidR="008109D2" w:rsidRPr="00891780">
        <w:rPr>
          <w:rFonts w:ascii="Calibri" w:eastAsia="SimSun" w:hAnsi="Calibri" w:cs="Calibri"/>
          <w:sz w:val="22"/>
          <w:szCs w:val="22"/>
          <w:lang w:val="en-GB"/>
        </w:rPr>
        <w:t>worth a total of EUR</w:t>
      </w:r>
      <w:r w:rsidR="00054989" w:rsidRPr="00891780">
        <w:rPr>
          <w:rFonts w:ascii="Calibri" w:eastAsia="SimSun" w:hAnsi="Calibri" w:cs="Calibri"/>
          <w:sz w:val="22"/>
          <w:szCs w:val="22"/>
          <w:lang w:val="en-GB"/>
        </w:rPr>
        <w:t xml:space="preserve"> 29</w:t>
      </w:r>
      <w:r w:rsidR="008109D2" w:rsidRPr="00891780">
        <w:rPr>
          <w:rFonts w:ascii="Calibri" w:eastAsia="SimSun" w:hAnsi="Calibri" w:cs="Calibri"/>
          <w:sz w:val="22"/>
          <w:szCs w:val="22"/>
          <w:lang w:val="en-GB"/>
        </w:rPr>
        <w:t>.</w:t>
      </w:r>
      <w:r w:rsidR="00054989" w:rsidRPr="00891780">
        <w:rPr>
          <w:rFonts w:ascii="Calibri" w:eastAsia="SimSun" w:hAnsi="Calibri" w:cs="Calibri"/>
          <w:sz w:val="22"/>
          <w:szCs w:val="22"/>
          <w:lang w:val="en-GB"/>
        </w:rPr>
        <w:t>86 m</w:t>
      </w:r>
      <w:r w:rsidR="008109D2" w:rsidRPr="00891780">
        <w:rPr>
          <w:rFonts w:ascii="Calibri" w:eastAsia="SimSun" w:hAnsi="Calibri" w:cs="Calibri"/>
          <w:sz w:val="22"/>
          <w:szCs w:val="22"/>
          <w:lang w:val="en-GB"/>
        </w:rPr>
        <w:t>illion</w:t>
      </w:r>
      <w:r w:rsidR="00054989" w:rsidRPr="00891780">
        <w:rPr>
          <w:rFonts w:ascii="Calibri" w:eastAsia="SimSun" w:hAnsi="Calibri" w:cs="Calibri"/>
          <w:sz w:val="22"/>
          <w:szCs w:val="22"/>
          <w:lang w:val="en-GB"/>
        </w:rPr>
        <w:t>.</w:t>
      </w:r>
    </w:p>
    <w:p w14:paraId="1748D7F4" w14:textId="45922620" w:rsidR="00382CF2" w:rsidRPr="00891780" w:rsidRDefault="00B10670"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With the newly signed Agreement on Delegated Tasks under the NRRP, </w:t>
      </w:r>
      <w:r w:rsidR="00054989" w:rsidRPr="00891780">
        <w:rPr>
          <w:rFonts w:ascii="Calibri" w:eastAsia="SimSun" w:hAnsi="Calibri" w:cs="Calibri"/>
          <w:sz w:val="22"/>
          <w:szCs w:val="22"/>
          <w:lang w:val="en-GB"/>
        </w:rPr>
        <w:t>HBOR</w:t>
      </w:r>
      <w:r w:rsidRPr="00891780">
        <w:rPr>
          <w:rFonts w:ascii="Calibri" w:eastAsia="SimSun" w:hAnsi="Calibri" w:cs="Calibri"/>
          <w:sz w:val="22"/>
          <w:szCs w:val="22"/>
          <w:lang w:val="en-GB"/>
        </w:rPr>
        <w:t xml:space="preserve"> is entrusted with the implementation of another Financial </w:t>
      </w:r>
      <w:r w:rsidR="00C103F2">
        <w:rPr>
          <w:rFonts w:ascii="Calibri" w:eastAsia="SimSun" w:hAnsi="Calibri" w:cs="Calibri"/>
          <w:sz w:val="22"/>
          <w:szCs w:val="22"/>
          <w:lang w:val="en-GB"/>
        </w:rPr>
        <w:t>I</w:t>
      </w:r>
      <w:r w:rsidRPr="00891780">
        <w:rPr>
          <w:rFonts w:ascii="Calibri" w:eastAsia="SimSun" w:hAnsi="Calibri" w:cs="Calibri"/>
          <w:sz w:val="22"/>
          <w:szCs w:val="22"/>
          <w:lang w:val="en-GB"/>
        </w:rPr>
        <w:t>nstrument</w:t>
      </w:r>
      <w:r w:rsidR="00054989" w:rsidRPr="00891780">
        <w:rPr>
          <w:rFonts w:ascii="Calibri" w:eastAsia="SimSun" w:hAnsi="Calibri" w:cs="Calibri"/>
          <w:sz w:val="22"/>
          <w:szCs w:val="22"/>
          <w:lang w:val="en-GB"/>
        </w:rPr>
        <w:t xml:space="preserve"> </w:t>
      </w:r>
      <w:r w:rsidRPr="00891780">
        <w:rPr>
          <w:rFonts w:ascii="Calibri" w:eastAsia="SimSun" w:hAnsi="Calibri" w:cs="Calibri"/>
          <w:sz w:val="22"/>
          <w:szCs w:val="22"/>
          <w:lang w:val="en-GB"/>
        </w:rPr>
        <w:t>–</w:t>
      </w:r>
      <w:r w:rsidR="00054989" w:rsidRPr="00891780">
        <w:rPr>
          <w:rFonts w:ascii="Calibri" w:eastAsia="SimSun" w:hAnsi="Calibri" w:cs="Calibri"/>
          <w:sz w:val="22"/>
          <w:szCs w:val="22"/>
          <w:lang w:val="en-GB"/>
        </w:rPr>
        <w:t xml:space="preserve"> </w:t>
      </w:r>
      <w:r w:rsidRPr="00891780">
        <w:rPr>
          <w:rFonts w:ascii="Calibri" w:eastAsia="SimSun" w:hAnsi="Calibri" w:cs="Calibri"/>
          <w:sz w:val="22"/>
          <w:szCs w:val="22"/>
          <w:lang w:val="en-GB"/>
        </w:rPr>
        <w:t>Investment in Equity and Quasi-Equity</w:t>
      </w:r>
      <w:r w:rsidR="00110849" w:rsidRPr="00891780">
        <w:rPr>
          <w:rFonts w:ascii="Calibri" w:eastAsia="SimSun" w:hAnsi="Calibri" w:cs="Calibri"/>
          <w:sz w:val="22"/>
          <w:szCs w:val="22"/>
          <w:lang w:val="en-GB"/>
        </w:rPr>
        <w:t xml:space="preserve"> Finance Instruments for micro, small and medium-sized business </w:t>
      </w:r>
      <w:proofErr w:type="gramStart"/>
      <w:r w:rsidR="00110849" w:rsidRPr="00891780">
        <w:rPr>
          <w:rFonts w:ascii="Calibri" w:eastAsia="SimSun" w:hAnsi="Calibri" w:cs="Calibri"/>
          <w:sz w:val="22"/>
          <w:szCs w:val="22"/>
          <w:lang w:val="en-GB"/>
        </w:rPr>
        <w:t>entities</w:t>
      </w:r>
      <w:proofErr w:type="gramEnd"/>
      <w:r w:rsidR="00110849" w:rsidRPr="00891780">
        <w:rPr>
          <w:rFonts w:ascii="Calibri" w:eastAsia="SimSun" w:hAnsi="Calibri" w:cs="Calibri"/>
          <w:sz w:val="22"/>
          <w:szCs w:val="22"/>
          <w:lang w:val="en-GB"/>
        </w:rPr>
        <w:t xml:space="preserve"> and mid-cap business entities</w:t>
      </w:r>
      <w:r w:rsidR="00745692" w:rsidRPr="00891780">
        <w:rPr>
          <w:rFonts w:ascii="Calibri" w:eastAsia="SimSun" w:hAnsi="Calibri" w:cs="Calibri"/>
          <w:sz w:val="22"/>
          <w:szCs w:val="22"/>
          <w:lang w:val="en-GB"/>
        </w:rPr>
        <w:t xml:space="preserve"> in the total value of EUR</w:t>
      </w:r>
      <w:r w:rsidR="00054989" w:rsidRPr="00891780">
        <w:rPr>
          <w:rFonts w:ascii="Calibri" w:eastAsia="SimSun" w:hAnsi="Calibri" w:cs="Calibri"/>
          <w:sz w:val="22"/>
          <w:szCs w:val="22"/>
          <w:lang w:val="en-GB"/>
        </w:rPr>
        <w:t xml:space="preserve"> 29</w:t>
      </w:r>
      <w:r w:rsidR="00745692" w:rsidRPr="00891780">
        <w:rPr>
          <w:rFonts w:ascii="Calibri" w:eastAsia="SimSun" w:hAnsi="Calibri" w:cs="Calibri"/>
          <w:sz w:val="22"/>
          <w:szCs w:val="22"/>
          <w:lang w:val="en-GB"/>
        </w:rPr>
        <w:t>.</w:t>
      </w:r>
      <w:r w:rsidR="00054989" w:rsidRPr="00891780">
        <w:rPr>
          <w:rFonts w:ascii="Calibri" w:eastAsia="SimSun" w:hAnsi="Calibri" w:cs="Calibri"/>
          <w:sz w:val="22"/>
          <w:szCs w:val="22"/>
          <w:lang w:val="en-GB"/>
        </w:rPr>
        <w:t>86 mil</w:t>
      </w:r>
      <w:r w:rsidR="00745692" w:rsidRPr="00891780">
        <w:rPr>
          <w:rFonts w:ascii="Calibri" w:eastAsia="SimSun" w:hAnsi="Calibri" w:cs="Calibri"/>
          <w:sz w:val="22"/>
          <w:szCs w:val="22"/>
          <w:lang w:val="en-GB"/>
        </w:rPr>
        <w:t>lion</w:t>
      </w:r>
      <w:r w:rsidR="00054989" w:rsidRPr="00891780">
        <w:rPr>
          <w:rFonts w:ascii="Calibri" w:eastAsia="SimSun" w:hAnsi="Calibri" w:cs="Calibri"/>
          <w:sz w:val="22"/>
          <w:szCs w:val="22"/>
          <w:lang w:val="en-GB"/>
        </w:rPr>
        <w:t xml:space="preserve">. </w:t>
      </w:r>
      <w:r w:rsidR="00745692" w:rsidRPr="00891780">
        <w:rPr>
          <w:rFonts w:ascii="Calibri" w:eastAsia="SimSun" w:hAnsi="Calibri" w:cs="Calibri"/>
          <w:sz w:val="22"/>
          <w:szCs w:val="22"/>
          <w:lang w:val="en-GB"/>
        </w:rPr>
        <w:t>This is the last</w:t>
      </w:r>
      <w:r w:rsidR="00054989" w:rsidRPr="00891780">
        <w:rPr>
          <w:rFonts w:ascii="Calibri" w:eastAsia="SimSun" w:hAnsi="Calibri" w:cs="Calibri"/>
          <w:sz w:val="22"/>
          <w:szCs w:val="22"/>
          <w:lang w:val="en-GB"/>
        </w:rPr>
        <w:t xml:space="preserve">, </w:t>
      </w:r>
      <w:r w:rsidR="00745692" w:rsidRPr="00891780">
        <w:rPr>
          <w:rFonts w:ascii="Calibri" w:eastAsia="SimSun" w:hAnsi="Calibri" w:cs="Calibri"/>
          <w:sz w:val="22"/>
          <w:szCs w:val="22"/>
          <w:lang w:val="en-GB"/>
        </w:rPr>
        <w:t>the sixth financial instrument</w:t>
      </w:r>
      <w:r w:rsidR="00E4470E" w:rsidRPr="00891780">
        <w:rPr>
          <w:rFonts w:ascii="Calibri" w:eastAsia="SimSun" w:hAnsi="Calibri" w:cs="Calibri"/>
          <w:sz w:val="22"/>
          <w:szCs w:val="22"/>
          <w:lang w:val="en-GB"/>
        </w:rPr>
        <w:t xml:space="preserve"> to be implemented by</w:t>
      </w:r>
      <w:r w:rsidR="00054989" w:rsidRPr="00891780">
        <w:rPr>
          <w:rFonts w:ascii="Calibri" w:eastAsia="SimSun" w:hAnsi="Calibri" w:cs="Calibri"/>
          <w:sz w:val="22"/>
          <w:szCs w:val="22"/>
          <w:lang w:val="en-GB"/>
        </w:rPr>
        <w:t xml:space="preserve"> HBOR </w:t>
      </w:r>
      <w:r w:rsidR="00E4470E" w:rsidRPr="00891780">
        <w:rPr>
          <w:rFonts w:ascii="Calibri" w:eastAsia="SimSun" w:hAnsi="Calibri" w:cs="Calibri"/>
          <w:sz w:val="22"/>
          <w:szCs w:val="22"/>
          <w:lang w:val="en-GB"/>
        </w:rPr>
        <w:t>under the NRRP</w:t>
      </w:r>
      <w:r w:rsidR="00054989" w:rsidRPr="00891780">
        <w:rPr>
          <w:rFonts w:ascii="Calibri" w:eastAsia="SimSun" w:hAnsi="Calibri" w:cs="Calibri"/>
          <w:sz w:val="22"/>
          <w:szCs w:val="22"/>
          <w:lang w:val="en-GB"/>
        </w:rPr>
        <w:t xml:space="preserve">, </w:t>
      </w:r>
      <w:r w:rsidR="00E4470E" w:rsidRPr="00891780">
        <w:rPr>
          <w:rFonts w:ascii="Calibri" w:eastAsia="SimSun" w:hAnsi="Calibri" w:cs="Calibri"/>
          <w:sz w:val="22"/>
          <w:szCs w:val="22"/>
          <w:lang w:val="en-GB"/>
        </w:rPr>
        <w:t xml:space="preserve">and </w:t>
      </w:r>
      <w:r w:rsidR="0064615E">
        <w:rPr>
          <w:rFonts w:ascii="Calibri" w:eastAsia="SimSun" w:hAnsi="Calibri" w:cs="Calibri"/>
          <w:sz w:val="22"/>
          <w:szCs w:val="22"/>
          <w:lang w:val="en-GB"/>
        </w:rPr>
        <w:t xml:space="preserve">it will contribute to the </w:t>
      </w:r>
      <w:r w:rsidR="00E4470E" w:rsidRPr="00891780">
        <w:rPr>
          <w:rFonts w:ascii="Calibri" w:eastAsia="SimSun" w:hAnsi="Calibri" w:cs="Calibri"/>
          <w:sz w:val="22"/>
          <w:szCs w:val="22"/>
          <w:lang w:val="en-GB"/>
        </w:rPr>
        <w:t>total value of the tasks</w:t>
      </w:r>
      <w:r w:rsidR="00A52FF1" w:rsidRPr="00891780">
        <w:rPr>
          <w:rFonts w:ascii="Calibri" w:eastAsia="SimSun" w:hAnsi="Calibri" w:cs="Calibri"/>
          <w:sz w:val="22"/>
          <w:szCs w:val="22"/>
          <w:lang w:val="en-GB"/>
        </w:rPr>
        <w:t xml:space="preserve"> delegated to HBOR </w:t>
      </w:r>
      <w:r w:rsidR="00C468B7">
        <w:rPr>
          <w:rFonts w:ascii="Calibri" w:eastAsia="SimSun" w:hAnsi="Calibri" w:cs="Calibri"/>
          <w:sz w:val="22"/>
          <w:szCs w:val="22"/>
          <w:lang w:val="en-GB"/>
        </w:rPr>
        <w:t xml:space="preserve">equalling </w:t>
      </w:r>
      <w:proofErr w:type="gramStart"/>
      <w:r w:rsidR="00C468B7">
        <w:rPr>
          <w:rFonts w:ascii="Calibri" w:eastAsia="SimSun" w:hAnsi="Calibri" w:cs="Calibri"/>
          <w:sz w:val="22"/>
          <w:szCs w:val="22"/>
          <w:lang w:val="en-GB"/>
        </w:rPr>
        <w:t>at the moment</w:t>
      </w:r>
      <w:proofErr w:type="gramEnd"/>
      <w:r w:rsidR="00C468B7">
        <w:rPr>
          <w:rFonts w:ascii="Calibri" w:eastAsia="SimSun" w:hAnsi="Calibri" w:cs="Calibri"/>
          <w:sz w:val="22"/>
          <w:szCs w:val="22"/>
          <w:lang w:val="en-GB"/>
        </w:rPr>
        <w:t xml:space="preserve"> </w:t>
      </w:r>
      <w:r w:rsidR="00A52FF1" w:rsidRPr="00891780">
        <w:rPr>
          <w:rFonts w:ascii="Calibri" w:eastAsia="SimSun" w:hAnsi="Calibri" w:cs="Calibri"/>
          <w:sz w:val="22"/>
          <w:szCs w:val="22"/>
          <w:lang w:val="en-GB"/>
        </w:rPr>
        <w:t>EUR</w:t>
      </w:r>
      <w:r w:rsidR="00054989" w:rsidRPr="00891780">
        <w:rPr>
          <w:rFonts w:ascii="Calibri" w:eastAsia="SimSun" w:hAnsi="Calibri" w:cs="Calibri"/>
          <w:sz w:val="22"/>
          <w:szCs w:val="22"/>
          <w:lang w:val="en-GB"/>
        </w:rPr>
        <w:t xml:space="preserve"> 255</w:t>
      </w:r>
      <w:r w:rsidR="00A52FF1" w:rsidRPr="00891780">
        <w:rPr>
          <w:rFonts w:ascii="Calibri" w:eastAsia="SimSun" w:hAnsi="Calibri" w:cs="Calibri"/>
          <w:sz w:val="22"/>
          <w:szCs w:val="22"/>
          <w:lang w:val="en-GB"/>
        </w:rPr>
        <w:t>.</w:t>
      </w:r>
      <w:r w:rsidR="00054989" w:rsidRPr="00891780">
        <w:rPr>
          <w:rFonts w:ascii="Calibri" w:eastAsia="SimSun" w:hAnsi="Calibri" w:cs="Calibri"/>
          <w:sz w:val="22"/>
          <w:szCs w:val="22"/>
          <w:lang w:val="en-GB"/>
        </w:rPr>
        <w:t>5 mil</w:t>
      </w:r>
      <w:r w:rsidR="00A52FF1" w:rsidRPr="00891780">
        <w:rPr>
          <w:rFonts w:ascii="Calibri" w:eastAsia="SimSun" w:hAnsi="Calibri" w:cs="Calibri"/>
          <w:sz w:val="22"/>
          <w:szCs w:val="22"/>
          <w:lang w:val="en-GB"/>
        </w:rPr>
        <w:t>lion</w:t>
      </w:r>
      <w:r w:rsidR="00054989" w:rsidRPr="00891780">
        <w:rPr>
          <w:rFonts w:ascii="Calibri" w:eastAsia="SimSun" w:hAnsi="Calibri" w:cs="Calibri"/>
          <w:sz w:val="22"/>
          <w:szCs w:val="22"/>
          <w:lang w:val="en-GB"/>
        </w:rPr>
        <w:t>.</w:t>
      </w:r>
    </w:p>
    <w:p w14:paraId="1748D7F5" w14:textId="2DD45750" w:rsidR="00382CF2" w:rsidRPr="00891780" w:rsidRDefault="00CA7577"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The start of the implementation of the instrument for equity and quasi-equity finance is planned to take place in</w:t>
      </w:r>
      <w:r w:rsidR="00054989" w:rsidRPr="00891780">
        <w:rPr>
          <w:rFonts w:ascii="Calibri" w:eastAsia="SimSun" w:hAnsi="Calibri" w:cs="Calibri"/>
          <w:sz w:val="22"/>
          <w:szCs w:val="22"/>
          <w:lang w:val="en-GB"/>
        </w:rPr>
        <w:t xml:space="preserve"> 2023, a</w:t>
      </w:r>
      <w:r w:rsidR="00CB01F1" w:rsidRPr="00891780">
        <w:rPr>
          <w:rFonts w:ascii="Calibri" w:eastAsia="SimSun" w:hAnsi="Calibri" w:cs="Calibri"/>
          <w:sz w:val="22"/>
          <w:szCs w:val="22"/>
          <w:lang w:val="en-GB"/>
        </w:rPr>
        <w:t>nd like other financial instruments implemented by</w:t>
      </w:r>
      <w:r w:rsidR="00054989" w:rsidRPr="00891780">
        <w:rPr>
          <w:rFonts w:ascii="Calibri" w:eastAsia="SimSun" w:hAnsi="Calibri" w:cs="Calibri"/>
          <w:sz w:val="22"/>
          <w:szCs w:val="22"/>
          <w:lang w:val="en-GB"/>
        </w:rPr>
        <w:t xml:space="preserve"> HBOR </w:t>
      </w:r>
      <w:r w:rsidR="00CB01F1" w:rsidRPr="00891780">
        <w:rPr>
          <w:rFonts w:ascii="Calibri" w:eastAsia="SimSun" w:hAnsi="Calibri" w:cs="Calibri"/>
          <w:sz w:val="22"/>
          <w:szCs w:val="22"/>
          <w:lang w:val="en-GB"/>
        </w:rPr>
        <w:t>under the NRRP</w:t>
      </w:r>
      <w:r w:rsidR="00EB68F9" w:rsidRPr="00891780">
        <w:rPr>
          <w:rFonts w:ascii="Calibri" w:eastAsia="SimSun" w:hAnsi="Calibri" w:cs="Calibri"/>
          <w:sz w:val="22"/>
          <w:szCs w:val="22"/>
          <w:lang w:val="en-GB"/>
        </w:rPr>
        <w:t xml:space="preserve">, it will be intended </w:t>
      </w:r>
      <w:r w:rsidR="00897666" w:rsidRPr="00891780">
        <w:rPr>
          <w:rFonts w:ascii="Calibri" w:eastAsia="SimSun" w:hAnsi="Calibri" w:cs="Calibri"/>
          <w:sz w:val="22"/>
          <w:szCs w:val="22"/>
          <w:lang w:val="en-GB"/>
        </w:rPr>
        <w:t xml:space="preserve">for providing </w:t>
      </w:r>
      <w:r w:rsidR="00EB68F9" w:rsidRPr="00891780">
        <w:rPr>
          <w:rFonts w:ascii="Calibri" w:eastAsia="SimSun" w:hAnsi="Calibri" w:cs="Calibri"/>
          <w:sz w:val="22"/>
          <w:szCs w:val="22"/>
          <w:lang w:val="en-GB"/>
        </w:rPr>
        <w:t>favourable terms and conditions of financing</w:t>
      </w:r>
      <w:r w:rsidR="00054989" w:rsidRPr="00891780">
        <w:rPr>
          <w:rFonts w:ascii="Calibri" w:eastAsia="SimSun" w:hAnsi="Calibri" w:cs="Calibri"/>
          <w:sz w:val="22"/>
          <w:szCs w:val="22"/>
          <w:lang w:val="en-GB"/>
        </w:rPr>
        <w:t xml:space="preserve"> </w:t>
      </w:r>
      <w:r w:rsidR="00B77677" w:rsidRPr="00891780">
        <w:rPr>
          <w:rFonts w:ascii="Calibri" w:eastAsia="SimSun" w:hAnsi="Calibri" w:cs="Calibri"/>
          <w:sz w:val="22"/>
          <w:szCs w:val="22"/>
          <w:lang w:val="en-GB"/>
        </w:rPr>
        <w:t xml:space="preserve">with </w:t>
      </w:r>
      <w:r w:rsidR="002D50AF">
        <w:rPr>
          <w:rFonts w:ascii="Calibri" w:eastAsia="SimSun" w:hAnsi="Calibri" w:cs="Calibri"/>
          <w:sz w:val="22"/>
          <w:szCs w:val="22"/>
          <w:lang w:val="en-GB"/>
        </w:rPr>
        <w:t xml:space="preserve">the </w:t>
      </w:r>
      <w:r w:rsidR="00B77677" w:rsidRPr="00891780">
        <w:rPr>
          <w:rFonts w:ascii="Calibri" w:eastAsia="SimSun" w:hAnsi="Calibri" w:cs="Calibri"/>
          <w:sz w:val="22"/>
          <w:szCs w:val="22"/>
          <w:lang w:val="en-GB"/>
        </w:rPr>
        <w:t>aim of encouraging</w:t>
      </w:r>
      <w:r w:rsidR="00054989" w:rsidRPr="00891780">
        <w:rPr>
          <w:rFonts w:ascii="Calibri" w:eastAsia="SimSun" w:hAnsi="Calibri" w:cs="Calibri"/>
          <w:sz w:val="22"/>
          <w:szCs w:val="22"/>
          <w:lang w:val="en-GB"/>
        </w:rPr>
        <w:t xml:space="preserve"> </w:t>
      </w:r>
      <w:r w:rsidR="003C7519" w:rsidRPr="00891780">
        <w:rPr>
          <w:rFonts w:ascii="Calibri" w:eastAsia="SimSun" w:hAnsi="Calibri" w:cs="Calibri"/>
          <w:sz w:val="22"/>
          <w:szCs w:val="22"/>
          <w:lang w:val="en-GB"/>
        </w:rPr>
        <w:t>the strengthening of investment activity in the Croatian economy, strengthening the competitiveness of domestic economic entities, encouraging a successful transition towards green and digital technologies, which are the basis of the future sustainability and competitiveness of the Croatian economy.</w:t>
      </w:r>
    </w:p>
    <w:p w14:paraId="1748D7F6" w14:textId="20368C21" w:rsidR="00977700" w:rsidRPr="00891780" w:rsidRDefault="005809B8"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In accordance with the regulatory framework for the implementation and use of funds, all investments that will be financed with </w:t>
      </w:r>
      <w:r w:rsidR="00DB2579" w:rsidRPr="00891780">
        <w:rPr>
          <w:rFonts w:ascii="Calibri" w:eastAsia="SimSun" w:hAnsi="Calibri" w:cs="Calibri"/>
          <w:sz w:val="22"/>
          <w:szCs w:val="22"/>
          <w:lang w:val="en-GB"/>
        </w:rPr>
        <w:t>NRRP</w:t>
      </w:r>
      <w:r w:rsidRPr="00891780">
        <w:rPr>
          <w:rFonts w:ascii="Calibri" w:eastAsia="SimSun" w:hAnsi="Calibri" w:cs="Calibri"/>
          <w:sz w:val="22"/>
          <w:szCs w:val="22"/>
          <w:lang w:val="en-GB"/>
        </w:rPr>
        <w:t xml:space="preserve"> funds must meet the criteria of the Do No Significant Harm </w:t>
      </w:r>
      <w:r w:rsidR="00DB2579" w:rsidRPr="00891780">
        <w:rPr>
          <w:rFonts w:ascii="Calibri" w:eastAsia="SimSun" w:hAnsi="Calibri" w:cs="Calibri"/>
          <w:sz w:val="22"/>
          <w:szCs w:val="22"/>
          <w:lang w:val="en-GB"/>
        </w:rPr>
        <w:t>principle</w:t>
      </w:r>
      <w:r w:rsidR="00054989" w:rsidRPr="00891780">
        <w:rPr>
          <w:rFonts w:ascii="Calibri" w:eastAsia="SimSun" w:hAnsi="Calibri" w:cs="Calibri"/>
          <w:sz w:val="22"/>
          <w:szCs w:val="22"/>
          <w:lang w:val="en-GB"/>
        </w:rPr>
        <w:t>.</w:t>
      </w:r>
    </w:p>
    <w:p w14:paraId="0742AF6B" w14:textId="77777777" w:rsidR="00977700" w:rsidRPr="00891780" w:rsidRDefault="00977700" w:rsidP="000B677E">
      <w:pPr>
        <w:rPr>
          <w:rFonts w:ascii="Calibri" w:eastAsia="SimSun" w:hAnsi="Calibri" w:cs="Calibri"/>
          <w:sz w:val="22"/>
          <w:szCs w:val="22"/>
          <w:lang w:val="en-GB"/>
        </w:rPr>
      </w:pPr>
      <w:r w:rsidRPr="00891780">
        <w:rPr>
          <w:rFonts w:ascii="Calibri" w:eastAsia="SimSun" w:hAnsi="Calibri" w:cs="Calibri"/>
          <w:sz w:val="22"/>
          <w:szCs w:val="22"/>
          <w:lang w:val="en-GB"/>
        </w:rPr>
        <w:br w:type="page"/>
      </w:r>
    </w:p>
    <w:p w14:paraId="1748D7F8" w14:textId="4296D574" w:rsidR="00382CF2" w:rsidRPr="00891780" w:rsidRDefault="00481DD9" w:rsidP="000B677E">
      <w:pPr>
        <w:keepNext/>
        <w:keepLines/>
        <w:pBdr>
          <w:bottom w:val="single" w:sz="4" w:space="2" w:color="B2B2B2"/>
        </w:pBdr>
        <w:spacing w:before="360" w:after="120"/>
        <w:outlineLvl w:val="0"/>
        <w:rPr>
          <w:rFonts w:ascii="Calibri" w:eastAsia="SimHei" w:hAnsi="Calibri" w:cs="Calibri"/>
          <w:b/>
          <w:bCs/>
          <w:sz w:val="22"/>
          <w:szCs w:val="22"/>
          <w:lang w:val="en-GB"/>
        </w:rPr>
      </w:pPr>
      <w:bookmarkStart w:id="62" w:name="_Toc129176352"/>
      <w:bookmarkStart w:id="63" w:name="_Toc509582268"/>
      <w:bookmarkStart w:id="64" w:name="_Toc3249210"/>
      <w:bookmarkStart w:id="65" w:name="_Toc255898372"/>
      <w:r w:rsidRPr="00891780">
        <w:rPr>
          <w:rFonts w:ascii="Calibri" w:eastAsia="SimHei" w:hAnsi="Calibri" w:cs="Calibri"/>
          <w:b/>
          <w:bCs/>
          <w:sz w:val="22"/>
          <w:szCs w:val="22"/>
          <w:lang w:val="en-GB"/>
        </w:rPr>
        <w:lastRenderedPageBreak/>
        <w:t>EXPORT CREDIT INSURANCE</w:t>
      </w:r>
      <w:bookmarkEnd w:id="62"/>
      <w:r w:rsidR="00054989" w:rsidRPr="00891780">
        <w:rPr>
          <w:rFonts w:ascii="Calibri" w:eastAsia="SimHei" w:hAnsi="Calibri" w:cs="Calibri"/>
          <w:b/>
          <w:bCs/>
          <w:sz w:val="22"/>
          <w:szCs w:val="22"/>
          <w:lang w:val="en-GB"/>
        </w:rPr>
        <w:t xml:space="preserve"> </w:t>
      </w:r>
    </w:p>
    <w:p w14:paraId="7419D18A" w14:textId="1BF37064" w:rsidR="00B96183" w:rsidRPr="00891780" w:rsidRDefault="00054989"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HBOR </w:t>
      </w:r>
      <w:r w:rsidR="00B96183" w:rsidRPr="00891780">
        <w:rPr>
          <w:rFonts w:ascii="Calibri" w:eastAsia="SimSun" w:hAnsi="Calibri" w:cs="Calibri"/>
          <w:sz w:val="22"/>
          <w:szCs w:val="22"/>
          <w:lang w:val="en-GB"/>
        </w:rPr>
        <w:t xml:space="preserve">performs export credit insurance and reinsurance activities as mandate activities with an objective of encouraging exports, promoting internationalisation of </w:t>
      </w:r>
      <w:proofErr w:type="gramStart"/>
      <w:r w:rsidR="00B96183" w:rsidRPr="00891780">
        <w:rPr>
          <w:rFonts w:ascii="Calibri" w:eastAsia="SimSun" w:hAnsi="Calibri" w:cs="Calibri"/>
          <w:sz w:val="22"/>
          <w:szCs w:val="22"/>
          <w:lang w:val="en-GB"/>
        </w:rPr>
        <w:t>operations</w:t>
      </w:r>
      <w:proofErr w:type="gramEnd"/>
      <w:r w:rsidR="00B96183" w:rsidRPr="00891780">
        <w:rPr>
          <w:rFonts w:ascii="Calibri" w:eastAsia="SimSun" w:hAnsi="Calibri" w:cs="Calibri"/>
          <w:sz w:val="22"/>
          <w:szCs w:val="22"/>
          <w:lang w:val="en-GB"/>
        </w:rPr>
        <w:t xml:space="preserve"> and increasing competitiveness of Croatian exporters in foreign markets.</w:t>
      </w:r>
    </w:p>
    <w:p w14:paraId="1D8889A8" w14:textId="670B71F2" w:rsidR="00B96183" w:rsidRPr="00891780" w:rsidRDefault="001851E5"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In addition to the implementation of crisis measures related to the </w:t>
      </w:r>
      <w:r w:rsidR="005E4BEA" w:rsidRPr="00891780">
        <w:rPr>
          <w:rFonts w:ascii="Calibri" w:eastAsia="SimSun" w:hAnsi="Calibri" w:cs="Calibri"/>
          <w:sz w:val="22"/>
          <w:szCs w:val="22"/>
          <w:lang w:val="en-GB"/>
        </w:rPr>
        <w:t>COVID-19 pandemic, d</w:t>
      </w:r>
      <w:r w:rsidR="00B96183" w:rsidRPr="00891780">
        <w:rPr>
          <w:rFonts w:ascii="Calibri" w:eastAsia="SimSun" w:hAnsi="Calibri" w:cs="Calibri"/>
          <w:sz w:val="22"/>
          <w:szCs w:val="22"/>
          <w:lang w:val="en-GB"/>
        </w:rPr>
        <w:t>ue to the cris</w:t>
      </w:r>
      <w:r w:rsidR="005E4BEA" w:rsidRPr="00891780">
        <w:rPr>
          <w:rFonts w:ascii="Calibri" w:eastAsia="SimSun" w:hAnsi="Calibri" w:cs="Calibri"/>
          <w:sz w:val="22"/>
          <w:szCs w:val="22"/>
          <w:lang w:val="en-GB"/>
        </w:rPr>
        <w:t>i</w:t>
      </w:r>
      <w:r w:rsidR="00B96183" w:rsidRPr="00891780">
        <w:rPr>
          <w:rFonts w:ascii="Calibri" w:eastAsia="SimSun" w:hAnsi="Calibri" w:cs="Calibri"/>
          <w:sz w:val="22"/>
          <w:szCs w:val="22"/>
          <w:lang w:val="en-GB"/>
        </w:rPr>
        <w:t>s caused by the Russian aggression against Ukraine, HBOR has placed special emphasis on facilitating liquidity financing for exporters by introducing, under mandate export credit insurance activities, new programmes of insurance under the measure to support the economy of the Republic of Croatia.</w:t>
      </w:r>
    </w:p>
    <w:p w14:paraId="1701EE52" w14:textId="6B425265" w:rsidR="00B96183" w:rsidRPr="00891780" w:rsidRDefault="007B20A7"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U</w:t>
      </w:r>
      <w:r w:rsidR="00B96183" w:rsidRPr="00891780">
        <w:rPr>
          <w:rFonts w:ascii="Calibri" w:eastAsia="SimSun" w:hAnsi="Calibri" w:cs="Calibri"/>
          <w:sz w:val="22"/>
          <w:szCs w:val="22"/>
          <w:lang w:val="en-GB"/>
        </w:rPr>
        <w:t>nder</w:t>
      </w:r>
      <w:r w:rsidRPr="00891780">
        <w:rPr>
          <w:rFonts w:ascii="Calibri" w:eastAsia="SimSun" w:hAnsi="Calibri" w:cs="Calibri"/>
          <w:sz w:val="22"/>
          <w:szCs w:val="22"/>
          <w:lang w:val="en-GB"/>
        </w:rPr>
        <w:t xml:space="preserve"> </w:t>
      </w:r>
      <w:r w:rsidR="00B96183" w:rsidRPr="00891780">
        <w:rPr>
          <w:rFonts w:ascii="Calibri" w:eastAsia="SimSun" w:hAnsi="Calibri" w:cs="Calibri"/>
          <w:sz w:val="22"/>
          <w:szCs w:val="22"/>
          <w:lang w:val="en-GB"/>
        </w:rPr>
        <w:t xml:space="preserve">the Programme for the Insurance of Liquidity Loans for Exporters – Measure to Support the Economy of the Republic of Croatia Following the Russian Aggression Against Ukraine introduced in the second half of 2022 </w:t>
      </w:r>
      <w:proofErr w:type="gramStart"/>
      <w:r w:rsidR="00B96183" w:rsidRPr="00891780">
        <w:rPr>
          <w:rFonts w:ascii="Calibri" w:eastAsia="SimSun" w:hAnsi="Calibri" w:cs="Calibri"/>
          <w:sz w:val="22"/>
          <w:szCs w:val="22"/>
          <w:lang w:val="en-GB"/>
        </w:rPr>
        <w:t>on the basis of</w:t>
      </w:r>
      <w:proofErr w:type="gramEnd"/>
      <w:r w:rsidR="00B96183" w:rsidRPr="00891780">
        <w:rPr>
          <w:rFonts w:ascii="Calibri" w:eastAsia="SimSun" w:hAnsi="Calibri" w:cs="Calibri"/>
          <w:sz w:val="22"/>
          <w:szCs w:val="22"/>
          <w:lang w:val="en-GB"/>
        </w:rPr>
        <w:t xml:space="preserve"> the Temporary Crisis Framework of the European Commission, 25 loans for exporters' liquidity totalling HRK 376.1 million were insured by 31 December 2022. HBOR enabled exporters to eliminate or reduce the cost of insuring also these loans through the insurance premium subsidy programme that was introduced in the second half of 2022 as well. Under this programme, the amount of HRK 12 million was approved in subsidies by 31 December 2022. These insurance and premium subsidy programmes will be implemented in 2023, for which an additional amount of HRK 2.6 billion has been provided in the portfolio to be distributed to banks for the purposes of insuring new liquidity loans.</w:t>
      </w:r>
    </w:p>
    <w:p w14:paraId="40207F07"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During 2022, HBOR insured a turnover of HRK 2.8 billion, which is a record amount of insured turnover in one year since the start of performing export credit insurance activities mostly </w:t>
      </w:r>
      <w:proofErr w:type="gramStart"/>
      <w:r w:rsidRPr="00891780">
        <w:rPr>
          <w:rFonts w:ascii="Calibri" w:eastAsia="SimSun" w:hAnsi="Calibri" w:cs="Calibri"/>
          <w:sz w:val="22"/>
          <w:szCs w:val="22"/>
          <w:lang w:val="en-GB"/>
        </w:rPr>
        <w:t>as a result of</w:t>
      </w:r>
      <w:proofErr w:type="gramEnd"/>
      <w:r w:rsidRPr="00891780">
        <w:rPr>
          <w:rFonts w:ascii="Calibri" w:eastAsia="SimSun" w:hAnsi="Calibri" w:cs="Calibri"/>
          <w:sz w:val="22"/>
          <w:szCs w:val="22"/>
          <w:lang w:val="en-GB"/>
        </w:rPr>
        <w:t xml:space="preserve"> an increased use of insurance programmes introduced with an objective of providing support to the economy in crisis conditions caused by the COVID-19 pandemic and the Russian aggression against Ukraine. In 2022, through its export credit insurance programmes, HBOR supported exports of Croatian goods and services to 43 countries worldwide.</w:t>
      </w:r>
    </w:p>
    <w:p w14:paraId="39B61512" w14:textId="77777777" w:rsidR="00B96183" w:rsidRPr="00891780" w:rsidRDefault="00B96183" w:rsidP="000B677E">
      <w:pPr>
        <w:spacing w:before="120" w:after="120" w:line="276" w:lineRule="auto"/>
        <w:jc w:val="both"/>
        <w:rPr>
          <w:rFonts w:ascii="Calibri" w:eastAsia="SimSun" w:hAnsi="Calibri" w:cs="Calibri"/>
          <w:b/>
          <w:sz w:val="22"/>
          <w:szCs w:val="22"/>
          <w:lang w:val="en-GB"/>
        </w:rPr>
      </w:pPr>
      <w:r w:rsidRPr="00891780">
        <w:rPr>
          <w:rFonts w:ascii="Calibri" w:eastAsia="SimSun" w:hAnsi="Calibri" w:cs="Calibri"/>
          <w:b/>
          <w:sz w:val="22"/>
          <w:szCs w:val="22"/>
          <w:lang w:val="en-GB"/>
        </w:rPr>
        <w:t>Summary of results by export credit insurance activities, in HRK million</w:t>
      </w:r>
    </w:p>
    <w:tbl>
      <w:tblPr>
        <w:tblW w:w="4854" w:type="pct"/>
        <w:tblInd w:w="-5" w:type="dxa"/>
        <w:tblLayout w:type="fixed"/>
        <w:tblCellMar>
          <w:left w:w="10" w:type="dxa"/>
          <w:right w:w="10" w:type="dxa"/>
        </w:tblCellMar>
        <w:tblLook w:val="04A0" w:firstRow="1" w:lastRow="0" w:firstColumn="1" w:lastColumn="0" w:noHBand="0" w:noVBand="1"/>
      </w:tblPr>
      <w:tblGrid>
        <w:gridCol w:w="5228"/>
        <w:gridCol w:w="1307"/>
        <w:gridCol w:w="1306"/>
        <w:gridCol w:w="1451"/>
      </w:tblGrid>
      <w:tr w:rsidR="00B96183" w:rsidRPr="00891780" w14:paraId="5AB36222" w14:textId="77777777" w:rsidTr="00DD69E7">
        <w:trPr>
          <w:trHeight w:val="611"/>
        </w:trPr>
        <w:tc>
          <w:tcPr>
            <w:tcW w:w="5104" w:type="dxa"/>
            <w:tcBorders>
              <w:top w:val="single" w:sz="4" w:space="0" w:color="000000"/>
              <w:left w:val="single" w:sz="4" w:space="0" w:color="000000"/>
            </w:tcBorders>
            <w:shd w:val="clear" w:color="auto" w:fill="auto"/>
            <w:noWrap/>
            <w:tcMar>
              <w:top w:w="0" w:type="dxa"/>
              <w:left w:w="108" w:type="dxa"/>
              <w:bottom w:w="0" w:type="dxa"/>
              <w:right w:w="108" w:type="dxa"/>
            </w:tcMar>
          </w:tcPr>
          <w:p w14:paraId="1953321A" w14:textId="77777777" w:rsidR="00B96183" w:rsidRPr="00891780" w:rsidRDefault="00B96183" w:rsidP="000B677E">
            <w:pPr>
              <w:spacing w:before="120" w:after="120" w:line="276" w:lineRule="auto"/>
              <w:jc w:val="both"/>
              <w:rPr>
                <w:rFonts w:ascii="Calibri" w:eastAsia="SimSun" w:hAnsi="Calibri" w:cs="Calibri"/>
                <w:b/>
                <w:bCs/>
                <w:color w:val="000000" w:themeColor="text1"/>
                <w:sz w:val="22"/>
                <w:szCs w:val="22"/>
                <w:lang w:val="en-GB"/>
              </w:rPr>
            </w:pPr>
            <w:r w:rsidRPr="00891780">
              <w:rPr>
                <w:rFonts w:ascii="Calibri" w:eastAsia="SimSun" w:hAnsi="Calibri" w:cs="Calibri"/>
                <w:b/>
                <w:bCs/>
                <w:color w:val="000000" w:themeColor="text1"/>
                <w:sz w:val="22"/>
                <w:szCs w:val="22"/>
                <w:lang w:val="en-GB"/>
              </w:rPr>
              <w:t>Description</w:t>
            </w:r>
          </w:p>
        </w:tc>
        <w:tc>
          <w:tcPr>
            <w:tcW w:w="1276" w:type="dxa"/>
            <w:tcBorders>
              <w:top w:val="single" w:sz="4" w:space="0" w:color="000000"/>
            </w:tcBorders>
            <w:shd w:val="clear" w:color="auto" w:fill="auto"/>
            <w:noWrap/>
            <w:tcMar>
              <w:top w:w="0" w:type="dxa"/>
              <w:left w:w="108" w:type="dxa"/>
              <w:bottom w:w="0" w:type="dxa"/>
              <w:right w:w="108" w:type="dxa"/>
            </w:tcMar>
          </w:tcPr>
          <w:p w14:paraId="27B5CBC4" w14:textId="77777777" w:rsidR="00B96183" w:rsidRPr="00891780" w:rsidRDefault="00B96183" w:rsidP="000B677E">
            <w:pPr>
              <w:spacing w:before="120" w:after="120" w:line="276" w:lineRule="auto"/>
              <w:jc w:val="right"/>
              <w:rPr>
                <w:color w:val="000000" w:themeColor="text1"/>
                <w:lang w:val="en-GB"/>
              </w:rPr>
            </w:pPr>
            <w:r w:rsidRPr="00891780">
              <w:rPr>
                <w:rStyle w:val="Zadanifontodlomka2"/>
                <w:rFonts w:ascii="Calibri" w:eastAsia="SimSun" w:hAnsi="Calibri" w:cs="Calibri"/>
                <w:b/>
                <w:bCs/>
                <w:color w:val="000000" w:themeColor="text1"/>
                <w:sz w:val="22"/>
                <w:szCs w:val="22"/>
                <w:lang w:val="en-GB"/>
              </w:rPr>
              <w:t>2</w:t>
            </w:r>
            <w:r w:rsidRPr="00891780">
              <w:rPr>
                <w:rStyle w:val="Zadanifontodlomka2"/>
                <w:rFonts w:ascii="Calibri" w:eastAsia="SimSun" w:hAnsi="Calibri"/>
                <w:b/>
                <w:bCs/>
                <w:color w:val="000000" w:themeColor="text1"/>
                <w:sz w:val="22"/>
                <w:szCs w:val="22"/>
                <w:lang w:val="en-GB"/>
              </w:rPr>
              <w:t>020</w:t>
            </w:r>
          </w:p>
        </w:tc>
        <w:tc>
          <w:tcPr>
            <w:tcW w:w="1275" w:type="dxa"/>
            <w:tcBorders>
              <w:top w:val="single" w:sz="4" w:space="0" w:color="000000"/>
            </w:tcBorders>
            <w:shd w:val="clear" w:color="auto" w:fill="auto"/>
            <w:noWrap/>
            <w:tcMar>
              <w:top w:w="0" w:type="dxa"/>
              <w:left w:w="108" w:type="dxa"/>
              <w:bottom w:w="0" w:type="dxa"/>
              <w:right w:w="108" w:type="dxa"/>
            </w:tcMar>
          </w:tcPr>
          <w:p w14:paraId="0456DA26" w14:textId="77777777" w:rsidR="00B96183" w:rsidRPr="00891780" w:rsidRDefault="00B96183" w:rsidP="000B677E">
            <w:pPr>
              <w:spacing w:before="120" w:after="120" w:line="276" w:lineRule="auto"/>
              <w:jc w:val="right"/>
              <w:rPr>
                <w:color w:val="000000" w:themeColor="text1"/>
                <w:lang w:val="en-GB"/>
              </w:rPr>
            </w:pPr>
            <w:r w:rsidRPr="00891780">
              <w:rPr>
                <w:rStyle w:val="Zadanifontodlomka2"/>
                <w:rFonts w:ascii="Calibri" w:eastAsia="SimSun" w:hAnsi="Calibri" w:cs="Calibri"/>
                <w:b/>
                <w:bCs/>
                <w:color w:val="000000" w:themeColor="text1"/>
                <w:sz w:val="22"/>
                <w:szCs w:val="22"/>
                <w:lang w:val="en-GB"/>
              </w:rPr>
              <w:t>2</w:t>
            </w:r>
            <w:r w:rsidRPr="00891780">
              <w:rPr>
                <w:rStyle w:val="Zadanifontodlomka2"/>
                <w:rFonts w:ascii="Calibri" w:eastAsia="SimSun" w:hAnsi="Calibri"/>
                <w:b/>
                <w:bCs/>
                <w:color w:val="000000" w:themeColor="text1"/>
                <w:sz w:val="22"/>
                <w:szCs w:val="22"/>
                <w:lang w:val="en-GB"/>
              </w:rPr>
              <w:t>021</w:t>
            </w:r>
          </w:p>
        </w:tc>
        <w:tc>
          <w:tcPr>
            <w:tcW w:w="1417" w:type="dxa"/>
            <w:tcBorders>
              <w:top w:val="single" w:sz="4" w:space="0" w:color="000000"/>
              <w:right w:val="single" w:sz="4" w:space="0" w:color="000000"/>
            </w:tcBorders>
            <w:shd w:val="clear" w:color="auto" w:fill="auto"/>
            <w:tcMar>
              <w:top w:w="0" w:type="dxa"/>
              <w:left w:w="108" w:type="dxa"/>
              <w:bottom w:w="0" w:type="dxa"/>
              <w:right w:w="108" w:type="dxa"/>
            </w:tcMar>
          </w:tcPr>
          <w:p w14:paraId="12FBA346" w14:textId="77777777" w:rsidR="00B96183" w:rsidRPr="00891780" w:rsidRDefault="00B96183" w:rsidP="000B677E">
            <w:pPr>
              <w:spacing w:before="120" w:after="120" w:line="276" w:lineRule="auto"/>
              <w:jc w:val="right"/>
              <w:rPr>
                <w:color w:val="000000" w:themeColor="text1"/>
                <w:lang w:val="en-GB"/>
              </w:rPr>
            </w:pPr>
            <w:r w:rsidRPr="00891780">
              <w:rPr>
                <w:rStyle w:val="Zadanifontodlomka2"/>
                <w:rFonts w:ascii="Calibri" w:eastAsia="SimSun" w:hAnsi="Calibri" w:cs="Calibri"/>
                <w:b/>
                <w:bCs/>
                <w:color w:val="000000" w:themeColor="text1"/>
                <w:sz w:val="22"/>
                <w:szCs w:val="22"/>
                <w:lang w:val="en-GB"/>
              </w:rPr>
              <w:t>2</w:t>
            </w:r>
            <w:r w:rsidRPr="00891780">
              <w:rPr>
                <w:rStyle w:val="Zadanifontodlomka2"/>
                <w:rFonts w:ascii="Calibri" w:eastAsia="SimSun" w:hAnsi="Calibri"/>
                <w:b/>
                <w:bCs/>
                <w:color w:val="000000" w:themeColor="text1"/>
                <w:sz w:val="22"/>
                <w:szCs w:val="22"/>
                <w:lang w:val="en-GB"/>
              </w:rPr>
              <w:t>022</w:t>
            </w:r>
          </w:p>
        </w:tc>
      </w:tr>
      <w:tr w:rsidR="00B96183" w:rsidRPr="00891780" w14:paraId="56AF66FD" w14:textId="77777777" w:rsidTr="00DD69E7">
        <w:trPr>
          <w:trHeight w:val="315"/>
        </w:trPr>
        <w:tc>
          <w:tcPr>
            <w:tcW w:w="5104" w:type="dxa"/>
            <w:tcBorders>
              <w:left w:val="single" w:sz="4" w:space="0" w:color="000000"/>
            </w:tcBorders>
            <w:shd w:val="clear" w:color="auto" w:fill="auto"/>
            <w:noWrap/>
            <w:tcMar>
              <w:top w:w="0" w:type="dxa"/>
              <w:left w:w="108" w:type="dxa"/>
              <w:bottom w:w="0" w:type="dxa"/>
              <w:right w:w="108" w:type="dxa"/>
            </w:tcMar>
          </w:tcPr>
          <w:p w14:paraId="2EC8AAEA" w14:textId="77777777" w:rsidR="00B96183" w:rsidRPr="00891780" w:rsidRDefault="00B96183" w:rsidP="000B677E">
            <w:pPr>
              <w:spacing w:before="120" w:after="120" w:line="276" w:lineRule="auto"/>
              <w:jc w:val="both"/>
              <w:rPr>
                <w:rFonts w:ascii="Calibri" w:eastAsia="SimSun" w:hAnsi="Calibri" w:cs="Calibri"/>
                <w:b/>
                <w:bCs/>
                <w:sz w:val="22"/>
                <w:szCs w:val="22"/>
                <w:lang w:val="en-GB" w:eastAsia="hr-HR"/>
              </w:rPr>
            </w:pPr>
            <w:r w:rsidRPr="00891780">
              <w:rPr>
                <w:rFonts w:ascii="Calibri" w:eastAsia="SimSun" w:hAnsi="Calibri" w:cs="Calibri"/>
                <w:b/>
                <w:bCs/>
                <w:sz w:val="22"/>
                <w:szCs w:val="22"/>
                <w:lang w:val="en-GB" w:eastAsia="hr-HR"/>
              </w:rPr>
              <w:t xml:space="preserve">Insured turnover </w:t>
            </w:r>
          </w:p>
        </w:tc>
        <w:tc>
          <w:tcPr>
            <w:tcW w:w="1276" w:type="dxa"/>
            <w:shd w:val="clear" w:color="auto" w:fill="auto"/>
            <w:noWrap/>
            <w:tcMar>
              <w:top w:w="0" w:type="dxa"/>
              <w:left w:w="108" w:type="dxa"/>
              <w:bottom w:w="0" w:type="dxa"/>
              <w:right w:w="108" w:type="dxa"/>
            </w:tcMar>
          </w:tcPr>
          <w:p w14:paraId="63519072" w14:textId="77777777" w:rsidR="00B96183" w:rsidRPr="00891780" w:rsidRDefault="00B96183" w:rsidP="000B677E">
            <w:pPr>
              <w:spacing w:before="120" w:after="120" w:line="276" w:lineRule="auto"/>
              <w:jc w:val="right"/>
              <w:rPr>
                <w:lang w:val="en-GB"/>
              </w:rPr>
            </w:pPr>
            <w:r w:rsidRPr="00891780">
              <w:rPr>
                <w:rStyle w:val="Zadanifontodlomka2"/>
                <w:rFonts w:ascii="Calibri" w:eastAsia="SimSun" w:hAnsi="Calibri" w:cs="Calibri"/>
                <w:sz w:val="22"/>
                <w:szCs w:val="22"/>
                <w:lang w:val="en-GB" w:eastAsia="hr-HR"/>
              </w:rPr>
              <w:t>2,</w:t>
            </w:r>
            <w:r w:rsidRPr="00891780">
              <w:rPr>
                <w:rStyle w:val="Zadanifontodlomka2"/>
                <w:rFonts w:ascii="Calibri" w:eastAsia="SimSun" w:hAnsi="Calibri"/>
                <w:sz w:val="22"/>
                <w:szCs w:val="22"/>
                <w:lang w:val="en-GB" w:eastAsia="hr-HR"/>
              </w:rPr>
              <w:t>096.80</w:t>
            </w:r>
          </w:p>
        </w:tc>
        <w:tc>
          <w:tcPr>
            <w:tcW w:w="1275" w:type="dxa"/>
            <w:shd w:val="clear" w:color="auto" w:fill="auto"/>
            <w:noWrap/>
            <w:tcMar>
              <w:top w:w="0" w:type="dxa"/>
              <w:left w:w="108" w:type="dxa"/>
              <w:bottom w:w="0" w:type="dxa"/>
              <w:right w:w="108" w:type="dxa"/>
            </w:tcMar>
          </w:tcPr>
          <w:p w14:paraId="4B1F6385" w14:textId="77777777" w:rsidR="00B96183" w:rsidRPr="00891780" w:rsidRDefault="00B96183" w:rsidP="000B677E">
            <w:pPr>
              <w:spacing w:before="120" w:after="120" w:line="276" w:lineRule="auto"/>
              <w:jc w:val="right"/>
              <w:rPr>
                <w:lang w:val="en-GB"/>
              </w:rPr>
            </w:pPr>
            <w:r w:rsidRPr="00891780">
              <w:rPr>
                <w:rStyle w:val="Zadanifontodlomka2"/>
                <w:rFonts w:ascii="Calibri" w:eastAsia="SimSun" w:hAnsi="Calibri" w:cs="Calibri"/>
                <w:sz w:val="22"/>
                <w:szCs w:val="22"/>
                <w:lang w:val="en-GB"/>
              </w:rPr>
              <w:t>2,6</w:t>
            </w:r>
            <w:r w:rsidRPr="00891780">
              <w:rPr>
                <w:rStyle w:val="Zadanifontodlomka2"/>
                <w:rFonts w:ascii="Calibri" w:eastAsia="SimSun" w:hAnsi="Calibri"/>
                <w:sz w:val="22"/>
                <w:szCs w:val="22"/>
                <w:lang w:val="en-GB"/>
              </w:rPr>
              <w:t>26.04</w:t>
            </w:r>
          </w:p>
        </w:tc>
        <w:tc>
          <w:tcPr>
            <w:tcW w:w="1417" w:type="dxa"/>
            <w:tcBorders>
              <w:right w:val="single" w:sz="4" w:space="0" w:color="000000"/>
            </w:tcBorders>
            <w:shd w:val="clear" w:color="auto" w:fill="auto"/>
            <w:tcMar>
              <w:top w:w="0" w:type="dxa"/>
              <w:left w:w="108" w:type="dxa"/>
              <w:bottom w:w="0" w:type="dxa"/>
              <w:right w:w="108" w:type="dxa"/>
            </w:tcMar>
          </w:tcPr>
          <w:p w14:paraId="0E39B3B2" w14:textId="77777777" w:rsidR="00B96183" w:rsidRPr="00891780" w:rsidRDefault="00B96183" w:rsidP="000B677E">
            <w:pPr>
              <w:spacing w:before="120" w:after="120" w:line="276" w:lineRule="auto"/>
              <w:jc w:val="right"/>
              <w:rPr>
                <w:lang w:val="en-GB"/>
              </w:rPr>
            </w:pPr>
            <w:r w:rsidRPr="00891780">
              <w:rPr>
                <w:rStyle w:val="Zadanifontodlomka2"/>
                <w:rFonts w:ascii="Calibri" w:eastAsia="SimSun" w:hAnsi="Calibri" w:cs="Calibri"/>
                <w:sz w:val="22"/>
                <w:szCs w:val="22"/>
                <w:lang w:val="en-GB"/>
              </w:rPr>
              <w:t>2,</w:t>
            </w:r>
            <w:r w:rsidRPr="00891780">
              <w:rPr>
                <w:rStyle w:val="Zadanifontodlomka2"/>
                <w:rFonts w:ascii="Calibri" w:eastAsia="SimSun" w:hAnsi="Calibri"/>
                <w:sz w:val="22"/>
                <w:szCs w:val="22"/>
                <w:lang w:val="en-GB"/>
              </w:rPr>
              <w:t>834.48</w:t>
            </w:r>
          </w:p>
        </w:tc>
      </w:tr>
      <w:tr w:rsidR="00B96183" w:rsidRPr="00891780" w14:paraId="1B285B86" w14:textId="77777777" w:rsidTr="00DD69E7">
        <w:trPr>
          <w:trHeight w:val="315"/>
        </w:trPr>
        <w:tc>
          <w:tcPr>
            <w:tcW w:w="5104" w:type="dxa"/>
            <w:tcBorders>
              <w:left w:val="single" w:sz="4" w:space="0" w:color="000000"/>
            </w:tcBorders>
            <w:shd w:val="clear" w:color="auto" w:fill="auto"/>
            <w:noWrap/>
            <w:tcMar>
              <w:top w:w="0" w:type="dxa"/>
              <w:left w:w="108" w:type="dxa"/>
              <w:bottom w:w="0" w:type="dxa"/>
              <w:right w:w="108" w:type="dxa"/>
            </w:tcMar>
          </w:tcPr>
          <w:p w14:paraId="220EE203" w14:textId="77777777" w:rsidR="00B96183" w:rsidRPr="00891780" w:rsidRDefault="00B96183" w:rsidP="000B677E">
            <w:pPr>
              <w:spacing w:before="120" w:after="120" w:line="276" w:lineRule="auto"/>
              <w:jc w:val="both"/>
              <w:rPr>
                <w:rFonts w:ascii="Calibri" w:eastAsia="SimSun" w:hAnsi="Calibri" w:cs="Calibri"/>
                <w:b/>
                <w:bCs/>
                <w:sz w:val="22"/>
                <w:szCs w:val="22"/>
                <w:lang w:val="en-GB" w:eastAsia="hr-HR"/>
              </w:rPr>
            </w:pPr>
            <w:r w:rsidRPr="00891780">
              <w:rPr>
                <w:rFonts w:ascii="Calibri" w:eastAsia="SimSun" w:hAnsi="Calibri" w:cs="Calibri"/>
                <w:b/>
                <w:bCs/>
                <w:sz w:val="22"/>
                <w:szCs w:val="22"/>
                <w:lang w:val="en-GB" w:eastAsia="hr-HR"/>
              </w:rPr>
              <w:t xml:space="preserve">Gross exposure as </w:t>
            </w:r>
            <w:proofErr w:type="gramStart"/>
            <w:r w:rsidRPr="00891780">
              <w:rPr>
                <w:rFonts w:ascii="Calibri" w:eastAsia="SimSun" w:hAnsi="Calibri" w:cs="Calibri"/>
                <w:b/>
                <w:bCs/>
                <w:sz w:val="22"/>
                <w:szCs w:val="22"/>
                <w:lang w:val="en-GB" w:eastAsia="hr-HR"/>
              </w:rPr>
              <w:t>at</w:t>
            </w:r>
            <w:proofErr w:type="gramEnd"/>
            <w:r w:rsidRPr="00891780">
              <w:rPr>
                <w:rFonts w:ascii="Calibri" w:eastAsia="SimSun" w:hAnsi="Calibri" w:cs="Calibri"/>
                <w:b/>
                <w:bCs/>
                <w:sz w:val="22"/>
                <w:szCs w:val="22"/>
                <w:lang w:val="en-GB" w:eastAsia="hr-HR"/>
              </w:rPr>
              <w:t xml:space="preserve"> 31 December</w:t>
            </w:r>
          </w:p>
        </w:tc>
        <w:tc>
          <w:tcPr>
            <w:tcW w:w="1276" w:type="dxa"/>
            <w:shd w:val="clear" w:color="auto" w:fill="auto"/>
            <w:noWrap/>
            <w:tcMar>
              <w:top w:w="0" w:type="dxa"/>
              <w:left w:w="108" w:type="dxa"/>
              <w:bottom w:w="0" w:type="dxa"/>
              <w:right w:w="108" w:type="dxa"/>
            </w:tcMar>
          </w:tcPr>
          <w:p w14:paraId="3001485C" w14:textId="77777777" w:rsidR="00B96183" w:rsidRPr="00891780" w:rsidRDefault="00B96183" w:rsidP="000B677E">
            <w:pPr>
              <w:spacing w:before="120" w:after="120" w:line="276" w:lineRule="auto"/>
              <w:jc w:val="right"/>
              <w:rPr>
                <w:rFonts w:ascii="Calibri" w:eastAsia="SimSun" w:hAnsi="Calibri" w:cs="Calibri"/>
                <w:sz w:val="22"/>
                <w:szCs w:val="22"/>
                <w:lang w:val="en-GB" w:eastAsia="hr-HR"/>
              </w:rPr>
            </w:pPr>
            <w:r w:rsidRPr="00891780">
              <w:rPr>
                <w:rFonts w:ascii="Calibri" w:eastAsia="SimSun" w:hAnsi="Calibri" w:cs="Calibri"/>
                <w:sz w:val="22"/>
                <w:szCs w:val="22"/>
                <w:lang w:val="en-GB" w:eastAsia="hr-HR"/>
              </w:rPr>
              <w:t>3,142.28</w:t>
            </w:r>
          </w:p>
        </w:tc>
        <w:tc>
          <w:tcPr>
            <w:tcW w:w="1275" w:type="dxa"/>
            <w:shd w:val="clear" w:color="auto" w:fill="auto"/>
            <w:noWrap/>
            <w:tcMar>
              <w:top w:w="0" w:type="dxa"/>
              <w:left w:w="108" w:type="dxa"/>
              <w:bottom w:w="0" w:type="dxa"/>
              <w:right w:w="108" w:type="dxa"/>
            </w:tcMar>
          </w:tcPr>
          <w:p w14:paraId="3C41BEE6" w14:textId="77777777" w:rsidR="00B96183" w:rsidRPr="00891780" w:rsidRDefault="00B96183" w:rsidP="000B677E">
            <w:pPr>
              <w:spacing w:before="120" w:after="120" w:line="276" w:lineRule="auto"/>
              <w:jc w:val="right"/>
              <w:rPr>
                <w:lang w:val="en-GB"/>
              </w:rPr>
            </w:pPr>
            <w:r w:rsidRPr="00891780">
              <w:rPr>
                <w:rStyle w:val="Zadanifontodlomka2"/>
                <w:rFonts w:ascii="Calibri" w:eastAsia="SimSun" w:hAnsi="Calibri" w:cs="Calibri"/>
                <w:sz w:val="22"/>
                <w:szCs w:val="22"/>
                <w:lang w:val="en-GB"/>
              </w:rPr>
              <w:t>3,594.77</w:t>
            </w:r>
          </w:p>
        </w:tc>
        <w:tc>
          <w:tcPr>
            <w:tcW w:w="1417" w:type="dxa"/>
            <w:tcBorders>
              <w:right w:val="single" w:sz="4" w:space="0" w:color="000000"/>
            </w:tcBorders>
            <w:shd w:val="clear" w:color="auto" w:fill="auto"/>
            <w:tcMar>
              <w:top w:w="0" w:type="dxa"/>
              <w:left w:w="108" w:type="dxa"/>
              <w:bottom w:w="0" w:type="dxa"/>
              <w:right w:w="108" w:type="dxa"/>
            </w:tcMar>
          </w:tcPr>
          <w:p w14:paraId="4145505A" w14:textId="77777777" w:rsidR="00B96183" w:rsidRPr="00891780" w:rsidRDefault="00B96183" w:rsidP="000B677E">
            <w:pPr>
              <w:spacing w:before="120" w:after="120" w:line="276" w:lineRule="auto"/>
              <w:jc w:val="right"/>
              <w:rPr>
                <w:lang w:val="en-GB"/>
              </w:rPr>
            </w:pPr>
            <w:r w:rsidRPr="00891780">
              <w:rPr>
                <w:rStyle w:val="Zadanifontodlomka2"/>
                <w:rFonts w:ascii="Calibri" w:eastAsia="SimSun" w:hAnsi="Calibri" w:cs="Calibri"/>
                <w:sz w:val="22"/>
                <w:szCs w:val="22"/>
                <w:lang w:val="en-GB"/>
              </w:rPr>
              <w:t>5,246.67</w:t>
            </w:r>
          </w:p>
        </w:tc>
      </w:tr>
      <w:tr w:rsidR="00B96183" w:rsidRPr="00891780" w14:paraId="7101E685" w14:textId="77777777" w:rsidTr="00DD69E7">
        <w:trPr>
          <w:trHeight w:val="315"/>
        </w:trPr>
        <w:tc>
          <w:tcPr>
            <w:tcW w:w="5104" w:type="dxa"/>
            <w:tcBorders>
              <w:left w:val="single" w:sz="4" w:space="0" w:color="000000"/>
            </w:tcBorders>
            <w:shd w:val="clear" w:color="auto" w:fill="auto"/>
            <w:noWrap/>
            <w:tcMar>
              <w:top w:w="0" w:type="dxa"/>
              <w:left w:w="108" w:type="dxa"/>
              <w:bottom w:w="0" w:type="dxa"/>
              <w:right w:w="108" w:type="dxa"/>
            </w:tcMar>
          </w:tcPr>
          <w:p w14:paraId="764BDA73" w14:textId="77777777" w:rsidR="00B96183" w:rsidRPr="00891780" w:rsidRDefault="00B96183" w:rsidP="000B677E">
            <w:pPr>
              <w:spacing w:before="120" w:after="120" w:line="276" w:lineRule="auto"/>
              <w:jc w:val="both"/>
              <w:rPr>
                <w:rFonts w:ascii="Calibri" w:eastAsia="SimSun" w:hAnsi="Calibri" w:cs="Calibri"/>
                <w:b/>
                <w:bCs/>
                <w:sz w:val="22"/>
                <w:szCs w:val="22"/>
                <w:lang w:val="en-GB" w:eastAsia="hr-HR"/>
              </w:rPr>
            </w:pPr>
            <w:r w:rsidRPr="00891780">
              <w:rPr>
                <w:rFonts w:ascii="Calibri" w:eastAsia="SimSun" w:hAnsi="Calibri" w:cs="Calibri"/>
                <w:b/>
                <w:bCs/>
                <w:sz w:val="22"/>
                <w:szCs w:val="22"/>
                <w:lang w:val="en-GB" w:eastAsia="hr-HR"/>
              </w:rPr>
              <w:t>Insurance premium collected</w:t>
            </w:r>
          </w:p>
        </w:tc>
        <w:tc>
          <w:tcPr>
            <w:tcW w:w="1276" w:type="dxa"/>
            <w:shd w:val="clear" w:color="auto" w:fill="auto"/>
            <w:noWrap/>
            <w:tcMar>
              <w:top w:w="0" w:type="dxa"/>
              <w:left w:w="108" w:type="dxa"/>
              <w:bottom w:w="0" w:type="dxa"/>
              <w:right w:w="108" w:type="dxa"/>
            </w:tcMar>
          </w:tcPr>
          <w:p w14:paraId="57086583" w14:textId="77777777" w:rsidR="00B96183" w:rsidRPr="00891780" w:rsidRDefault="00B96183" w:rsidP="000B677E">
            <w:pPr>
              <w:spacing w:before="120" w:after="120" w:line="276" w:lineRule="auto"/>
              <w:jc w:val="right"/>
              <w:rPr>
                <w:rFonts w:ascii="Calibri" w:eastAsia="SimSun" w:hAnsi="Calibri" w:cs="Calibri"/>
                <w:sz w:val="22"/>
                <w:szCs w:val="22"/>
                <w:lang w:val="en-GB" w:eastAsia="hr-HR"/>
              </w:rPr>
            </w:pPr>
            <w:r w:rsidRPr="00891780">
              <w:rPr>
                <w:rFonts w:ascii="Calibri" w:eastAsia="SimSun" w:hAnsi="Calibri" w:cs="Calibri"/>
                <w:sz w:val="22"/>
                <w:szCs w:val="22"/>
                <w:lang w:val="en-GB" w:eastAsia="hr-HR"/>
              </w:rPr>
              <w:t>13.45</w:t>
            </w:r>
          </w:p>
        </w:tc>
        <w:tc>
          <w:tcPr>
            <w:tcW w:w="1275" w:type="dxa"/>
            <w:shd w:val="clear" w:color="auto" w:fill="auto"/>
            <w:noWrap/>
            <w:tcMar>
              <w:top w:w="0" w:type="dxa"/>
              <w:left w:w="108" w:type="dxa"/>
              <w:bottom w:w="0" w:type="dxa"/>
              <w:right w:w="108" w:type="dxa"/>
            </w:tcMar>
          </w:tcPr>
          <w:p w14:paraId="782B369E" w14:textId="77777777" w:rsidR="00B96183" w:rsidRPr="00891780" w:rsidRDefault="00B96183" w:rsidP="000B677E">
            <w:pPr>
              <w:spacing w:before="120" w:after="120" w:line="276" w:lineRule="auto"/>
              <w:jc w:val="right"/>
              <w:rPr>
                <w:lang w:val="en-GB"/>
              </w:rPr>
            </w:pPr>
            <w:r w:rsidRPr="00891780">
              <w:rPr>
                <w:rStyle w:val="Zadanifontodlomka2"/>
                <w:rFonts w:ascii="Calibri" w:eastAsia="SimSun" w:hAnsi="Calibri" w:cs="Calibri"/>
                <w:sz w:val="22"/>
                <w:szCs w:val="22"/>
                <w:lang w:val="en-GB"/>
              </w:rPr>
              <w:t>53.60</w:t>
            </w:r>
          </w:p>
        </w:tc>
        <w:tc>
          <w:tcPr>
            <w:tcW w:w="1417" w:type="dxa"/>
            <w:tcBorders>
              <w:right w:val="single" w:sz="4" w:space="0" w:color="000000"/>
            </w:tcBorders>
            <w:shd w:val="clear" w:color="auto" w:fill="auto"/>
            <w:tcMar>
              <w:top w:w="0" w:type="dxa"/>
              <w:left w:w="108" w:type="dxa"/>
              <w:bottom w:w="0" w:type="dxa"/>
              <w:right w:w="108" w:type="dxa"/>
            </w:tcMar>
          </w:tcPr>
          <w:p w14:paraId="2CDB380C" w14:textId="77777777" w:rsidR="00B96183" w:rsidRPr="00891780" w:rsidRDefault="00B96183" w:rsidP="000B677E">
            <w:pPr>
              <w:spacing w:before="120" w:after="120" w:line="276" w:lineRule="auto"/>
              <w:jc w:val="right"/>
              <w:rPr>
                <w:lang w:val="en-GB"/>
              </w:rPr>
            </w:pPr>
            <w:r w:rsidRPr="00891780">
              <w:rPr>
                <w:rStyle w:val="Zadanifontodlomka2"/>
                <w:rFonts w:ascii="Calibri" w:eastAsia="SimSun" w:hAnsi="Calibri" w:cs="Calibri"/>
                <w:sz w:val="22"/>
                <w:szCs w:val="22"/>
                <w:lang w:val="en-GB"/>
              </w:rPr>
              <w:t>8.13</w:t>
            </w:r>
          </w:p>
        </w:tc>
      </w:tr>
      <w:tr w:rsidR="00B96183" w:rsidRPr="00891780" w14:paraId="4330323B" w14:textId="77777777" w:rsidTr="00DD69E7">
        <w:trPr>
          <w:trHeight w:val="315"/>
        </w:trPr>
        <w:tc>
          <w:tcPr>
            <w:tcW w:w="5104" w:type="dxa"/>
            <w:tcBorders>
              <w:left w:val="single" w:sz="4" w:space="0" w:color="000000"/>
            </w:tcBorders>
            <w:shd w:val="clear" w:color="auto" w:fill="auto"/>
            <w:noWrap/>
            <w:tcMar>
              <w:top w:w="0" w:type="dxa"/>
              <w:left w:w="108" w:type="dxa"/>
              <w:bottom w:w="0" w:type="dxa"/>
              <w:right w:w="108" w:type="dxa"/>
            </w:tcMar>
          </w:tcPr>
          <w:p w14:paraId="70F56510" w14:textId="77777777" w:rsidR="00B96183" w:rsidRPr="00891780" w:rsidRDefault="00B96183" w:rsidP="000B677E">
            <w:pPr>
              <w:spacing w:before="120" w:after="120" w:line="276" w:lineRule="auto"/>
              <w:jc w:val="both"/>
              <w:rPr>
                <w:rFonts w:ascii="Calibri" w:eastAsia="SimSun" w:hAnsi="Calibri" w:cs="Calibri"/>
                <w:b/>
                <w:bCs/>
                <w:sz w:val="22"/>
                <w:szCs w:val="22"/>
                <w:lang w:val="en-GB" w:eastAsia="hr-HR"/>
              </w:rPr>
            </w:pPr>
            <w:r w:rsidRPr="00891780">
              <w:rPr>
                <w:rFonts w:ascii="Calibri" w:eastAsia="SimSun" w:hAnsi="Calibri" w:cs="Calibri"/>
                <w:b/>
                <w:bCs/>
                <w:sz w:val="22"/>
                <w:szCs w:val="22"/>
                <w:lang w:val="en-GB" w:eastAsia="hr-HR"/>
              </w:rPr>
              <w:t xml:space="preserve">Indemnities paid  </w:t>
            </w:r>
          </w:p>
        </w:tc>
        <w:tc>
          <w:tcPr>
            <w:tcW w:w="1276" w:type="dxa"/>
            <w:shd w:val="clear" w:color="auto" w:fill="auto"/>
            <w:noWrap/>
            <w:tcMar>
              <w:top w:w="0" w:type="dxa"/>
              <w:left w:w="108" w:type="dxa"/>
              <w:bottom w:w="0" w:type="dxa"/>
              <w:right w:w="108" w:type="dxa"/>
            </w:tcMar>
          </w:tcPr>
          <w:p w14:paraId="1133149F" w14:textId="77777777" w:rsidR="00B96183" w:rsidRPr="00891780" w:rsidRDefault="00B96183" w:rsidP="000B677E">
            <w:pPr>
              <w:spacing w:before="120" w:after="120" w:line="276" w:lineRule="auto"/>
              <w:jc w:val="right"/>
              <w:rPr>
                <w:rFonts w:ascii="Calibri" w:eastAsia="SimSun" w:hAnsi="Calibri" w:cs="Calibri"/>
                <w:sz w:val="22"/>
                <w:szCs w:val="22"/>
                <w:lang w:val="en-GB" w:eastAsia="hr-HR"/>
              </w:rPr>
            </w:pPr>
            <w:r w:rsidRPr="00891780">
              <w:rPr>
                <w:rFonts w:ascii="Calibri" w:eastAsia="SimSun" w:hAnsi="Calibri" w:cs="Calibri"/>
                <w:sz w:val="22"/>
                <w:szCs w:val="22"/>
                <w:lang w:val="en-GB" w:eastAsia="hr-HR"/>
              </w:rPr>
              <w:t>0.02</w:t>
            </w:r>
          </w:p>
        </w:tc>
        <w:tc>
          <w:tcPr>
            <w:tcW w:w="1275" w:type="dxa"/>
            <w:shd w:val="clear" w:color="auto" w:fill="auto"/>
            <w:noWrap/>
            <w:tcMar>
              <w:top w:w="0" w:type="dxa"/>
              <w:left w:w="108" w:type="dxa"/>
              <w:bottom w:w="0" w:type="dxa"/>
              <w:right w:w="108" w:type="dxa"/>
            </w:tcMar>
          </w:tcPr>
          <w:p w14:paraId="6FAACA56" w14:textId="77777777" w:rsidR="00B96183" w:rsidRPr="00891780" w:rsidRDefault="00B96183" w:rsidP="000B677E">
            <w:pPr>
              <w:spacing w:before="120" w:after="120" w:line="276" w:lineRule="auto"/>
              <w:jc w:val="right"/>
              <w:rPr>
                <w:lang w:val="en-GB"/>
              </w:rPr>
            </w:pPr>
            <w:r w:rsidRPr="00891780">
              <w:rPr>
                <w:rStyle w:val="Zadanifontodlomka2"/>
                <w:rFonts w:ascii="Calibri" w:eastAsia="SimSun" w:hAnsi="Calibri" w:cs="Calibri"/>
                <w:sz w:val="22"/>
                <w:szCs w:val="22"/>
                <w:lang w:val="en-GB"/>
              </w:rPr>
              <w:t>1.57</w:t>
            </w:r>
          </w:p>
        </w:tc>
        <w:tc>
          <w:tcPr>
            <w:tcW w:w="1417" w:type="dxa"/>
            <w:tcBorders>
              <w:right w:val="single" w:sz="4" w:space="0" w:color="000000"/>
            </w:tcBorders>
            <w:shd w:val="clear" w:color="auto" w:fill="auto"/>
            <w:tcMar>
              <w:top w:w="0" w:type="dxa"/>
              <w:left w:w="108" w:type="dxa"/>
              <w:bottom w:w="0" w:type="dxa"/>
              <w:right w:w="108" w:type="dxa"/>
            </w:tcMar>
          </w:tcPr>
          <w:p w14:paraId="06213663" w14:textId="77777777" w:rsidR="00B96183" w:rsidRPr="00891780" w:rsidRDefault="00B96183" w:rsidP="000B677E">
            <w:pPr>
              <w:spacing w:before="120" w:after="120" w:line="276" w:lineRule="auto"/>
              <w:jc w:val="right"/>
              <w:rPr>
                <w:lang w:val="en-GB"/>
              </w:rPr>
            </w:pPr>
            <w:r w:rsidRPr="00891780">
              <w:rPr>
                <w:rStyle w:val="Zadanifontodlomka2"/>
                <w:rFonts w:ascii="Calibri" w:eastAsia="SimSun" w:hAnsi="Calibri" w:cs="Calibri"/>
                <w:sz w:val="22"/>
                <w:szCs w:val="22"/>
                <w:lang w:val="en-GB"/>
              </w:rPr>
              <w:t>49.88</w:t>
            </w:r>
          </w:p>
        </w:tc>
      </w:tr>
      <w:tr w:rsidR="00B96183" w:rsidRPr="00891780" w14:paraId="273B1739" w14:textId="77777777" w:rsidTr="00DD69E7">
        <w:trPr>
          <w:trHeight w:val="315"/>
        </w:trPr>
        <w:tc>
          <w:tcPr>
            <w:tcW w:w="5104" w:type="dxa"/>
            <w:tcBorders>
              <w:left w:val="single" w:sz="4" w:space="0" w:color="000000"/>
            </w:tcBorders>
            <w:shd w:val="clear" w:color="auto" w:fill="auto"/>
            <w:noWrap/>
            <w:tcMar>
              <w:top w:w="0" w:type="dxa"/>
              <w:left w:w="108" w:type="dxa"/>
              <w:bottom w:w="0" w:type="dxa"/>
              <w:right w:w="108" w:type="dxa"/>
            </w:tcMar>
          </w:tcPr>
          <w:p w14:paraId="2B03D91A" w14:textId="77777777" w:rsidR="00B96183" w:rsidRPr="00891780" w:rsidRDefault="00B96183" w:rsidP="000B677E">
            <w:pPr>
              <w:spacing w:before="120" w:after="120" w:line="276" w:lineRule="auto"/>
              <w:jc w:val="both"/>
              <w:rPr>
                <w:rFonts w:ascii="Calibri" w:eastAsia="SimSun" w:hAnsi="Calibri" w:cs="Calibri"/>
                <w:b/>
                <w:bCs/>
                <w:sz w:val="22"/>
                <w:szCs w:val="22"/>
                <w:lang w:val="en-GB" w:eastAsia="hr-HR"/>
              </w:rPr>
            </w:pPr>
            <w:r w:rsidRPr="00891780">
              <w:rPr>
                <w:rFonts w:ascii="Calibri" w:eastAsia="SimSun" w:hAnsi="Calibri" w:cs="Calibri"/>
                <w:b/>
                <w:bCs/>
                <w:sz w:val="22"/>
                <w:szCs w:val="22"/>
                <w:lang w:val="en-GB" w:eastAsia="hr-HR"/>
              </w:rPr>
              <w:t>Recourse collection from debtors</w:t>
            </w:r>
          </w:p>
        </w:tc>
        <w:tc>
          <w:tcPr>
            <w:tcW w:w="1276" w:type="dxa"/>
            <w:shd w:val="clear" w:color="auto" w:fill="auto"/>
            <w:noWrap/>
            <w:tcMar>
              <w:top w:w="0" w:type="dxa"/>
              <w:left w:w="108" w:type="dxa"/>
              <w:bottom w:w="0" w:type="dxa"/>
              <w:right w:w="108" w:type="dxa"/>
            </w:tcMar>
          </w:tcPr>
          <w:p w14:paraId="4DAC81DA" w14:textId="77777777" w:rsidR="00B96183" w:rsidRPr="00891780" w:rsidRDefault="00B96183" w:rsidP="000B677E">
            <w:pPr>
              <w:spacing w:before="120" w:after="120" w:line="276" w:lineRule="auto"/>
              <w:jc w:val="right"/>
              <w:rPr>
                <w:rFonts w:ascii="Calibri" w:eastAsia="SimSun" w:hAnsi="Calibri" w:cs="Calibri"/>
                <w:sz w:val="22"/>
                <w:szCs w:val="22"/>
                <w:lang w:val="en-GB" w:eastAsia="hr-HR"/>
              </w:rPr>
            </w:pPr>
            <w:r w:rsidRPr="00891780">
              <w:rPr>
                <w:rFonts w:ascii="Calibri" w:eastAsia="SimSun" w:hAnsi="Calibri" w:cs="Calibri"/>
                <w:sz w:val="22"/>
                <w:szCs w:val="22"/>
                <w:lang w:val="en-GB" w:eastAsia="hr-HR"/>
              </w:rPr>
              <w:t>9.27</w:t>
            </w:r>
          </w:p>
        </w:tc>
        <w:tc>
          <w:tcPr>
            <w:tcW w:w="1275" w:type="dxa"/>
            <w:shd w:val="clear" w:color="auto" w:fill="auto"/>
            <w:noWrap/>
            <w:tcMar>
              <w:top w:w="0" w:type="dxa"/>
              <w:left w:w="108" w:type="dxa"/>
              <w:bottom w:w="0" w:type="dxa"/>
              <w:right w:w="108" w:type="dxa"/>
            </w:tcMar>
          </w:tcPr>
          <w:p w14:paraId="6DFE6601" w14:textId="77777777" w:rsidR="00B96183" w:rsidRPr="00891780" w:rsidRDefault="00B96183" w:rsidP="000B677E">
            <w:pPr>
              <w:spacing w:before="120" w:after="120" w:line="276" w:lineRule="auto"/>
              <w:jc w:val="right"/>
              <w:rPr>
                <w:lang w:val="en-GB"/>
              </w:rPr>
            </w:pPr>
            <w:r w:rsidRPr="00891780">
              <w:rPr>
                <w:rStyle w:val="Zadanifontodlomka2"/>
                <w:rFonts w:ascii="Calibri" w:eastAsia="SimSun" w:hAnsi="Calibri" w:cs="Calibri"/>
                <w:sz w:val="22"/>
                <w:szCs w:val="22"/>
                <w:lang w:val="en-GB"/>
              </w:rPr>
              <w:t>102.72</w:t>
            </w:r>
          </w:p>
        </w:tc>
        <w:tc>
          <w:tcPr>
            <w:tcW w:w="1417" w:type="dxa"/>
            <w:tcBorders>
              <w:right w:val="single" w:sz="4" w:space="0" w:color="000000"/>
            </w:tcBorders>
            <w:shd w:val="clear" w:color="auto" w:fill="auto"/>
            <w:tcMar>
              <w:top w:w="0" w:type="dxa"/>
              <w:left w:w="108" w:type="dxa"/>
              <w:bottom w:w="0" w:type="dxa"/>
              <w:right w:w="108" w:type="dxa"/>
            </w:tcMar>
          </w:tcPr>
          <w:p w14:paraId="539C1E16" w14:textId="77777777" w:rsidR="00B96183" w:rsidRPr="00891780" w:rsidRDefault="00B96183" w:rsidP="000B677E">
            <w:pPr>
              <w:spacing w:before="120" w:after="120" w:line="276" w:lineRule="auto"/>
              <w:jc w:val="right"/>
              <w:rPr>
                <w:lang w:val="en-GB"/>
              </w:rPr>
            </w:pPr>
            <w:r w:rsidRPr="00891780">
              <w:rPr>
                <w:rStyle w:val="Zadanifontodlomka2"/>
                <w:rFonts w:ascii="Calibri" w:eastAsia="SimSun" w:hAnsi="Calibri" w:cs="Calibri"/>
                <w:sz w:val="22"/>
                <w:szCs w:val="22"/>
                <w:lang w:val="en-GB"/>
              </w:rPr>
              <w:t>0.10</w:t>
            </w:r>
          </w:p>
        </w:tc>
      </w:tr>
      <w:tr w:rsidR="00B96183" w:rsidRPr="00891780" w14:paraId="28340F0D" w14:textId="77777777" w:rsidTr="00DD69E7">
        <w:trPr>
          <w:trHeight w:val="315"/>
        </w:trPr>
        <w:tc>
          <w:tcPr>
            <w:tcW w:w="5104" w:type="dxa"/>
            <w:tcBorders>
              <w:left w:val="single" w:sz="4" w:space="0" w:color="000000"/>
              <w:bottom w:val="single" w:sz="4" w:space="0" w:color="000000"/>
            </w:tcBorders>
            <w:shd w:val="clear" w:color="auto" w:fill="auto"/>
            <w:noWrap/>
            <w:tcMar>
              <w:top w:w="0" w:type="dxa"/>
              <w:left w:w="108" w:type="dxa"/>
              <w:bottom w:w="0" w:type="dxa"/>
              <w:right w:w="108" w:type="dxa"/>
            </w:tcMar>
          </w:tcPr>
          <w:p w14:paraId="20F6A865" w14:textId="77777777" w:rsidR="00B96183" w:rsidRPr="00891780" w:rsidRDefault="00B96183" w:rsidP="000B677E">
            <w:pPr>
              <w:spacing w:before="120" w:after="120" w:line="276" w:lineRule="auto"/>
              <w:jc w:val="both"/>
              <w:rPr>
                <w:rFonts w:ascii="Calibri" w:eastAsia="SimSun" w:hAnsi="Calibri" w:cs="Calibri"/>
                <w:b/>
                <w:bCs/>
                <w:sz w:val="22"/>
                <w:szCs w:val="22"/>
                <w:lang w:val="en-GB" w:eastAsia="hr-HR"/>
              </w:rPr>
            </w:pPr>
            <w:r w:rsidRPr="00891780">
              <w:rPr>
                <w:rFonts w:ascii="Calibri" w:eastAsia="SimSun" w:hAnsi="Calibri" w:cs="Calibri"/>
                <w:b/>
                <w:bCs/>
                <w:sz w:val="22"/>
                <w:szCs w:val="22"/>
                <w:lang w:val="en-GB" w:eastAsia="hr-HR"/>
              </w:rPr>
              <w:t xml:space="preserve">Guarantee Fund balance available as </w:t>
            </w:r>
            <w:proofErr w:type="gramStart"/>
            <w:r w:rsidRPr="00891780">
              <w:rPr>
                <w:rFonts w:ascii="Calibri" w:eastAsia="SimSun" w:hAnsi="Calibri" w:cs="Calibri"/>
                <w:b/>
                <w:bCs/>
                <w:sz w:val="22"/>
                <w:szCs w:val="22"/>
                <w:lang w:val="en-GB" w:eastAsia="hr-HR"/>
              </w:rPr>
              <w:t>at</w:t>
            </w:r>
            <w:proofErr w:type="gramEnd"/>
            <w:r w:rsidRPr="00891780">
              <w:rPr>
                <w:rFonts w:ascii="Calibri" w:eastAsia="SimSun" w:hAnsi="Calibri" w:cs="Calibri"/>
                <w:b/>
                <w:bCs/>
                <w:sz w:val="22"/>
                <w:szCs w:val="22"/>
                <w:lang w:val="en-GB" w:eastAsia="hr-HR"/>
              </w:rPr>
              <w:t xml:space="preserve"> 31 December </w:t>
            </w:r>
          </w:p>
        </w:tc>
        <w:tc>
          <w:tcPr>
            <w:tcW w:w="1276" w:type="dxa"/>
            <w:tcBorders>
              <w:bottom w:val="single" w:sz="4" w:space="0" w:color="000000"/>
            </w:tcBorders>
            <w:shd w:val="clear" w:color="auto" w:fill="auto"/>
            <w:noWrap/>
            <w:tcMar>
              <w:top w:w="0" w:type="dxa"/>
              <w:left w:w="108" w:type="dxa"/>
              <w:bottom w:w="0" w:type="dxa"/>
              <w:right w:w="108" w:type="dxa"/>
            </w:tcMar>
          </w:tcPr>
          <w:p w14:paraId="31A6F77E" w14:textId="77777777" w:rsidR="00B96183" w:rsidRPr="00891780" w:rsidRDefault="00B96183" w:rsidP="000B677E">
            <w:pPr>
              <w:spacing w:before="120" w:after="120" w:line="276" w:lineRule="auto"/>
              <w:jc w:val="right"/>
              <w:rPr>
                <w:rFonts w:ascii="Calibri" w:eastAsia="SimSun" w:hAnsi="Calibri" w:cs="Calibri"/>
                <w:sz w:val="22"/>
                <w:szCs w:val="22"/>
                <w:lang w:val="en-GB" w:eastAsia="hr-HR"/>
              </w:rPr>
            </w:pPr>
            <w:r w:rsidRPr="00891780">
              <w:rPr>
                <w:rFonts w:ascii="Calibri" w:eastAsia="SimSun" w:hAnsi="Calibri" w:cs="Calibri"/>
                <w:sz w:val="22"/>
                <w:szCs w:val="22"/>
                <w:lang w:val="en-GB" w:eastAsia="hr-HR"/>
              </w:rPr>
              <w:t>477.24</w:t>
            </w:r>
          </w:p>
        </w:tc>
        <w:tc>
          <w:tcPr>
            <w:tcW w:w="1275" w:type="dxa"/>
            <w:tcBorders>
              <w:bottom w:val="single" w:sz="4" w:space="0" w:color="000000"/>
            </w:tcBorders>
            <w:shd w:val="clear" w:color="auto" w:fill="auto"/>
            <w:noWrap/>
            <w:tcMar>
              <w:top w:w="0" w:type="dxa"/>
              <w:left w:w="108" w:type="dxa"/>
              <w:bottom w:w="0" w:type="dxa"/>
              <w:right w:w="108" w:type="dxa"/>
            </w:tcMar>
          </w:tcPr>
          <w:p w14:paraId="6D717D94" w14:textId="77777777" w:rsidR="00B96183" w:rsidRPr="00891780" w:rsidRDefault="00B96183" w:rsidP="000B677E">
            <w:pPr>
              <w:spacing w:before="120" w:after="120" w:line="276" w:lineRule="auto"/>
              <w:jc w:val="right"/>
              <w:rPr>
                <w:lang w:val="en-GB"/>
              </w:rPr>
            </w:pPr>
            <w:r w:rsidRPr="00891780">
              <w:rPr>
                <w:rStyle w:val="Zadanifontodlomka2"/>
                <w:rFonts w:ascii="Calibri" w:eastAsia="SimSun" w:hAnsi="Calibri" w:cs="Calibri"/>
                <w:sz w:val="22"/>
                <w:szCs w:val="22"/>
                <w:lang w:val="en-GB"/>
              </w:rPr>
              <w:t>621.78</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tcPr>
          <w:p w14:paraId="35EB8AAE" w14:textId="77777777" w:rsidR="00B96183" w:rsidRPr="00891780" w:rsidRDefault="00B96183" w:rsidP="000B677E">
            <w:pPr>
              <w:spacing w:before="120" w:after="120" w:line="276" w:lineRule="auto"/>
              <w:jc w:val="right"/>
              <w:rPr>
                <w:lang w:val="en-GB"/>
              </w:rPr>
            </w:pPr>
            <w:r w:rsidRPr="00891780">
              <w:rPr>
                <w:rStyle w:val="Zadanifontodlomka2"/>
                <w:rFonts w:ascii="Calibri" w:eastAsia="SimSun" w:hAnsi="Calibri" w:cs="Calibri"/>
                <w:sz w:val="22"/>
                <w:szCs w:val="22"/>
                <w:lang w:val="en-GB"/>
              </w:rPr>
              <w:t>741.97</w:t>
            </w:r>
          </w:p>
        </w:tc>
      </w:tr>
    </w:tbl>
    <w:p w14:paraId="70323764" w14:textId="5DD86097" w:rsidR="00B96183" w:rsidRPr="00891780" w:rsidRDefault="006549ED" w:rsidP="000B677E">
      <w:pPr>
        <w:spacing w:before="120" w:after="120" w:line="276" w:lineRule="auto"/>
        <w:jc w:val="center"/>
        <w:rPr>
          <w:rFonts w:ascii="Calibri" w:eastAsia="SimSun" w:hAnsi="Calibri" w:cs="Calibri"/>
          <w:b/>
          <w:sz w:val="8"/>
          <w:szCs w:val="8"/>
          <w:lang w:val="en-GB"/>
        </w:rPr>
      </w:pPr>
      <w:r>
        <w:rPr>
          <w:noProof/>
        </w:rPr>
        <w:lastRenderedPageBreak/>
        <w:drawing>
          <wp:inline distT="0" distB="0" distL="0" distR="0" wp14:anchorId="72476931" wp14:editId="5CC70A9C">
            <wp:extent cx="5848350" cy="3569970"/>
            <wp:effectExtent l="0" t="0" r="0" b="11430"/>
            <wp:docPr id="4" name="Chart 4">
              <a:extLst xmlns:a="http://schemas.openxmlformats.org/drawingml/2006/main">
                <a:ext uri="{FF2B5EF4-FFF2-40B4-BE49-F238E27FC236}">
                  <a16:creationId xmlns:a16="http://schemas.microsoft.com/office/drawing/2014/main" id="{2665AFA5-854E-4CCE-AB5A-0947CA41A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83F715" w14:textId="77777777" w:rsidR="00B96183" w:rsidRPr="00891780" w:rsidRDefault="00B96183" w:rsidP="000B677E">
      <w:pPr>
        <w:spacing w:after="120" w:line="276" w:lineRule="auto"/>
        <w:jc w:val="both"/>
        <w:rPr>
          <w:rFonts w:ascii="Calibri" w:eastAsia="SimSun" w:hAnsi="Calibri" w:cs="Calibri"/>
          <w:b/>
          <w:sz w:val="22"/>
          <w:szCs w:val="22"/>
          <w:lang w:val="en-GB"/>
        </w:rPr>
      </w:pPr>
      <w:r w:rsidRPr="00891780">
        <w:rPr>
          <w:rFonts w:ascii="Calibri" w:eastAsia="SimSun" w:hAnsi="Calibri" w:cs="Calibri"/>
          <w:b/>
          <w:sz w:val="22"/>
          <w:szCs w:val="22"/>
          <w:lang w:val="en-GB"/>
        </w:rPr>
        <w:t>GROSS EXPOSURE</w:t>
      </w:r>
    </w:p>
    <w:p w14:paraId="4EAAAEEE" w14:textId="77777777" w:rsidR="00B96183" w:rsidRPr="00891780" w:rsidRDefault="00B96183" w:rsidP="000B677E">
      <w:pPr>
        <w:spacing w:before="120" w:line="276" w:lineRule="auto"/>
        <w:jc w:val="both"/>
        <w:rPr>
          <w:rFonts w:ascii="Calibri" w:eastAsia="SimSun" w:hAnsi="Calibri" w:cs="Calibri"/>
          <w:b/>
          <w:sz w:val="22"/>
          <w:szCs w:val="22"/>
          <w:lang w:val="en-GB"/>
        </w:rPr>
      </w:pPr>
      <w:r w:rsidRPr="00891780">
        <w:rPr>
          <w:rStyle w:val="normaltextrun"/>
          <w:rFonts w:ascii="Calibri" w:hAnsi="Calibri" w:cs="Calibri"/>
          <w:color w:val="000000"/>
          <w:sz w:val="22"/>
          <w:szCs w:val="22"/>
          <w:shd w:val="clear" w:color="auto" w:fill="FFFFFF"/>
          <w:lang w:val="en-GB"/>
        </w:rPr>
        <w:t>As at 31 December 2022, gross exposure of HBOR under the export credit insurance activities stood at HRK 5.2 billion, an increase of 46 percent on the same date in 2021. This is the highest gross exposure of HBOR since the start of HBOR’s export credit insurance activities. This increase is a result of stronger activities under the insurance programmes introduced for the purpose of providing support to the economy due to the crises caused by the COVID-19 pandemic and the Russian aggression against Ukraine.</w:t>
      </w:r>
    </w:p>
    <w:p w14:paraId="0505B330" w14:textId="77777777" w:rsidR="00B96183" w:rsidRPr="00891780" w:rsidRDefault="00B96183" w:rsidP="000B677E">
      <w:pPr>
        <w:spacing w:line="276" w:lineRule="auto"/>
        <w:jc w:val="both"/>
        <w:rPr>
          <w:rFonts w:ascii="Calibri" w:eastAsia="SimSun" w:hAnsi="Calibri" w:cs="Calibri"/>
          <w:b/>
          <w:sz w:val="22"/>
          <w:szCs w:val="22"/>
          <w:lang w:val="en-GB"/>
        </w:rPr>
      </w:pPr>
    </w:p>
    <w:p w14:paraId="46B7D9EE" w14:textId="77777777" w:rsidR="00B96183" w:rsidRPr="00891780" w:rsidRDefault="00B96183" w:rsidP="000B677E">
      <w:pPr>
        <w:spacing w:before="120" w:after="120" w:line="276" w:lineRule="auto"/>
        <w:jc w:val="both"/>
        <w:rPr>
          <w:rFonts w:ascii="Calibri" w:eastAsia="SimSun" w:hAnsi="Calibri" w:cs="Calibri"/>
          <w:b/>
          <w:sz w:val="22"/>
          <w:szCs w:val="22"/>
          <w:lang w:val="en-GB"/>
        </w:rPr>
      </w:pPr>
      <w:r w:rsidRPr="00891780">
        <w:rPr>
          <w:rFonts w:ascii="Calibri" w:eastAsia="SimSun" w:hAnsi="Calibri" w:cs="Calibri"/>
          <w:b/>
          <w:sz w:val="22"/>
          <w:szCs w:val="22"/>
          <w:lang w:val="en-GB"/>
        </w:rPr>
        <w:t>INSURANCE OF SHORT-TERM EXPORT RECEIVABLES</w:t>
      </w:r>
    </w:p>
    <w:p w14:paraId="163060B9"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Under the programme for the insurance of short-term export receivables, HBOR provides cover for short-term receivables of exporters with contracted deferred payment of up to 2 years against non-marketable  and temporarily non-marketable risks.</w:t>
      </w:r>
    </w:p>
    <w:p w14:paraId="58FB43D7" w14:textId="19FF7469" w:rsidR="00B96183" w:rsidRPr="00891780" w:rsidRDefault="00B96183" w:rsidP="000B677E">
      <w:pPr>
        <w:spacing w:line="276" w:lineRule="auto"/>
        <w:jc w:val="both"/>
        <w:rPr>
          <w:rStyle w:val="Zadanifontodlomka2"/>
          <w:rFonts w:ascii="Calibri" w:eastAsia="SimSun" w:hAnsi="Calibri" w:cs="Calibri"/>
          <w:b/>
          <w:sz w:val="22"/>
          <w:szCs w:val="22"/>
          <w:lang w:val="en-GB"/>
        </w:rPr>
      </w:pPr>
      <w:r w:rsidRPr="00891780">
        <w:rPr>
          <w:rStyle w:val="Zadanifontodlomka2"/>
          <w:rFonts w:ascii="Calibri" w:eastAsia="SimSun" w:hAnsi="Calibri" w:cs="Calibri"/>
          <w:sz w:val="22"/>
          <w:szCs w:val="22"/>
          <w:lang w:val="en-GB"/>
        </w:rPr>
        <w:t>Under the above programme, in 2022, HBOR insured the turnover of HRK 480.5 million. Most of the support was provided to exporters engaged in the manufacture of pharmaceutical preparations, photovoltaic modules, wood products and electronic licences. The largest volume of insured export turnover was realised for buyers in Ukraine, France, Canada, Switzerland and Slovenia.</w:t>
      </w:r>
    </w:p>
    <w:p w14:paraId="3A667682" w14:textId="77777777" w:rsidR="00B96183" w:rsidRPr="00891780" w:rsidRDefault="00B96183" w:rsidP="000B677E">
      <w:pPr>
        <w:spacing w:line="276" w:lineRule="auto"/>
        <w:jc w:val="both"/>
        <w:rPr>
          <w:rStyle w:val="Zadanifontodlomka2"/>
          <w:rFonts w:ascii="Calibri" w:eastAsia="SimSun" w:hAnsi="Calibri" w:cs="Calibri"/>
          <w:b/>
          <w:sz w:val="22"/>
          <w:szCs w:val="22"/>
          <w:lang w:val="en-GB"/>
        </w:rPr>
      </w:pPr>
    </w:p>
    <w:p w14:paraId="07DD262F" w14:textId="77777777" w:rsidR="00B96183" w:rsidRPr="00891780" w:rsidRDefault="00B96183" w:rsidP="000B677E">
      <w:pPr>
        <w:spacing w:before="120" w:after="120" w:line="276" w:lineRule="auto"/>
        <w:jc w:val="both"/>
        <w:rPr>
          <w:lang w:val="en-GB"/>
        </w:rPr>
      </w:pPr>
      <w:r w:rsidRPr="00891780">
        <w:rPr>
          <w:rStyle w:val="Zadanifontodlomka2"/>
          <w:rFonts w:ascii="Calibri" w:eastAsia="SimSun" w:hAnsi="Calibri" w:cs="Calibri"/>
          <w:b/>
          <w:sz w:val="22"/>
          <w:szCs w:val="22"/>
          <w:lang w:val="en-GB"/>
        </w:rPr>
        <w:t>INSURANCE OF SHORT-TERM EXPORT RECEIVABLES FOR SMALL EXPORTERS</w:t>
      </w:r>
    </w:p>
    <w:p w14:paraId="4A0E7B17" w14:textId="77777777" w:rsidR="00B96183" w:rsidRPr="00891780" w:rsidRDefault="00B96183" w:rsidP="000B677E">
      <w:pPr>
        <w:spacing w:before="120" w:after="120" w:line="276" w:lineRule="auto"/>
        <w:jc w:val="both"/>
        <w:rPr>
          <w:rStyle w:val="Zadanifontodlomka2"/>
          <w:rFonts w:ascii="Calibri" w:hAnsi="Calibri" w:cs="Calibri"/>
          <w:sz w:val="22"/>
          <w:szCs w:val="22"/>
          <w:lang w:val="en-GB" w:eastAsia="hr-HR"/>
        </w:rPr>
      </w:pPr>
      <w:r w:rsidRPr="00891780">
        <w:rPr>
          <w:rStyle w:val="Zadanifontodlomka2"/>
          <w:rFonts w:ascii="Calibri" w:hAnsi="Calibri" w:cs="Calibri"/>
          <w:sz w:val="22"/>
          <w:szCs w:val="22"/>
          <w:lang w:val="en-GB" w:eastAsia="hr-HR"/>
        </w:rPr>
        <w:t>The programme for the insurance of collection of short-term export receivables of small exporters is intended for small and medium-sized enterprises with an annual export turnover of up to EUR 2 million and for those starting the sales of their products and services in the foreign markets. The insurance policies allow exporters to take out insurance in a shorter period of time and with reduced administrative obligations.</w:t>
      </w:r>
    </w:p>
    <w:p w14:paraId="28950D07" w14:textId="51995CB4" w:rsidR="00B96183" w:rsidRPr="00891780" w:rsidRDefault="00B96183" w:rsidP="000B677E">
      <w:pPr>
        <w:spacing w:before="120" w:after="120" w:line="276" w:lineRule="auto"/>
        <w:jc w:val="both"/>
        <w:rPr>
          <w:rFonts w:ascii="Calibri" w:hAnsi="Calibri" w:cs="Calibri"/>
          <w:sz w:val="22"/>
          <w:szCs w:val="22"/>
          <w:lang w:val="en-GB" w:eastAsia="hr-HR"/>
        </w:rPr>
      </w:pPr>
      <w:r w:rsidRPr="00891780">
        <w:rPr>
          <w:rStyle w:val="Zadanifontodlomka2"/>
          <w:rFonts w:ascii="Calibri" w:hAnsi="Calibri" w:cs="Calibri"/>
          <w:sz w:val="22"/>
          <w:szCs w:val="22"/>
          <w:lang w:val="en-GB" w:eastAsia="hr-HR"/>
        </w:rPr>
        <w:lastRenderedPageBreak/>
        <w:t xml:space="preserve">In 2022, for this category of exporters, the approved volume of insurance totalled HRK 6.6 million. Most of the support was provided to exporters engaged in the manufacture of consumer goods, in consulting services and in retail and wholesale trade. The largest volume of insured export turnover was realised for buyers in Italy, Bosnia and Herzegovina, Austria, </w:t>
      </w:r>
      <w:proofErr w:type="gramStart"/>
      <w:r w:rsidRPr="00891780">
        <w:rPr>
          <w:rStyle w:val="Zadanifontodlomka2"/>
          <w:rFonts w:ascii="Calibri" w:hAnsi="Calibri" w:cs="Calibri"/>
          <w:sz w:val="22"/>
          <w:szCs w:val="22"/>
          <w:lang w:val="en-GB" w:eastAsia="hr-HR"/>
        </w:rPr>
        <w:t>Montenegro</w:t>
      </w:r>
      <w:proofErr w:type="gramEnd"/>
      <w:r w:rsidRPr="00891780">
        <w:rPr>
          <w:rStyle w:val="Zadanifontodlomka2"/>
          <w:rFonts w:ascii="Calibri" w:hAnsi="Calibri" w:cs="Calibri"/>
          <w:sz w:val="22"/>
          <w:szCs w:val="22"/>
          <w:lang w:val="en-GB" w:eastAsia="hr-HR"/>
        </w:rPr>
        <w:t xml:space="preserve"> and France.</w:t>
      </w:r>
    </w:p>
    <w:p w14:paraId="7921A00E" w14:textId="77777777" w:rsidR="00B96183" w:rsidRPr="00891780" w:rsidRDefault="00B96183" w:rsidP="000B677E">
      <w:pPr>
        <w:spacing w:before="120" w:line="276" w:lineRule="auto"/>
        <w:jc w:val="both"/>
        <w:rPr>
          <w:rFonts w:ascii="Calibri" w:hAnsi="Calibri" w:cs="Calibri"/>
          <w:sz w:val="22"/>
          <w:szCs w:val="22"/>
          <w:lang w:val="en-GB" w:eastAsia="hr-HR"/>
        </w:rPr>
      </w:pPr>
    </w:p>
    <w:p w14:paraId="1A06231D" w14:textId="77777777" w:rsidR="00B96183" w:rsidRPr="00891780" w:rsidRDefault="00B96183" w:rsidP="000B677E">
      <w:pPr>
        <w:spacing w:before="120" w:after="120" w:line="276" w:lineRule="auto"/>
        <w:jc w:val="both"/>
        <w:rPr>
          <w:rFonts w:ascii="Calibri" w:eastAsia="SimSun" w:hAnsi="Calibri" w:cs="Calibri"/>
          <w:b/>
          <w:sz w:val="22"/>
          <w:szCs w:val="22"/>
          <w:lang w:val="en-GB"/>
        </w:rPr>
      </w:pPr>
      <w:r w:rsidRPr="00891780">
        <w:rPr>
          <w:rFonts w:ascii="Calibri" w:eastAsia="SimSun" w:hAnsi="Calibri" w:cs="Calibri"/>
          <w:b/>
          <w:sz w:val="22"/>
          <w:szCs w:val="22"/>
          <w:lang w:val="en-GB"/>
        </w:rPr>
        <w:t>REINSURANCE OF SHORT-TERM EXPORT RECEIVABLES</w:t>
      </w:r>
    </w:p>
    <w:p w14:paraId="787DC3E8"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The programme for the reinsurance of short-term export receivables is intended for insurance companies operating in the market of the Republic of Croatia that provide cover for export receivables of Croatian exporters.</w:t>
      </w:r>
    </w:p>
    <w:p w14:paraId="0BD19A37"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Under the programme for the reinsurance of short-term export receivables, in 2022, HBOR reinsured the export turnover in the amount of HRK 12.4 million. </w:t>
      </w:r>
      <w:proofErr w:type="gramStart"/>
      <w:r w:rsidRPr="00891780">
        <w:rPr>
          <w:rFonts w:ascii="Calibri" w:eastAsia="SimSun" w:hAnsi="Calibri" w:cs="Calibri"/>
          <w:sz w:val="22"/>
          <w:szCs w:val="22"/>
          <w:lang w:val="en-GB"/>
        </w:rPr>
        <w:t>The majority of</w:t>
      </w:r>
      <w:proofErr w:type="gramEnd"/>
      <w:r w:rsidRPr="00891780">
        <w:rPr>
          <w:rFonts w:ascii="Calibri" w:eastAsia="SimSun" w:hAnsi="Calibri" w:cs="Calibri"/>
          <w:sz w:val="22"/>
          <w:szCs w:val="22"/>
          <w:lang w:val="en-GB"/>
        </w:rPr>
        <w:t xml:space="preserve"> transactions covered related to the export of goods in the food and processing industries for buyers in Serbia, Ukraine, Kazakhstan, Bosnia and Herzegovina, Vietnam and Algeria.</w:t>
      </w:r>
    </w:p>
    <w:p w14:paraId="0315D812" w14:textId="77777777" w:rsidR="00B96183" w:rsidRPr="00891780" w:rsidRDefault="00B96183" w:rsidP="000B677E">
      <w:pPr>
        <w:spacing w:line="276" w:lineRule="auto"/>
        <w:jc w:val="both"/>
        <w:rPr>
          <w:rFonts w:ascii="Calibri" w:hAnsi="Calibri" w:cs="Calibri"/>
          <w:sz w:val="22"/>
          <w:szCs w:val="22"/>
          <w:lang w:val="en-GB" w:eastAsia="hr-HR"/>
        </w:rPr>
      </w:pPr>
    </w:p>
    <w:p w14:paraId="780EE4D5" w14:textId="77777777" w:rsidR="00B96183" w:rsidRPr="00891780" w:rsidRDefault="00B96183" w:rsidP="000B677E">
      <w:pPr>
        <w:spacing w:before="120" w:after="120" w:line="276" w:lineRule="auto"/>
        <w:jc w:val="both"/>
        <w:rPr>
          <w:rFonts w:ascii="Calibri" w:eastAsia="SimSun" w:hAnsi="Calibri" w:cs="Calibri"/>
          <w:b/>
          <w:sz w:val="22"/>
          <w:szCs w:val="22"/>
          <w:lang w:val="en-GB"/>
        </w:rPr>
      </w:pPr>
      <w:r w:rsidRPr="00891780">
        <w:rPr>
          <w:rFonts w:ascii="Calibri" w:eastAsia="SimSun" w:hAnsi="Calibri" w:cs="Calibri"/>
          <w:b/>
          <w:sz w:val="22"/>
          <w:szCs w:val="22"/>
          <w:lang w:val="en-GB"/>
        </w:rPr>
        <w:t>INSURANCE OF SUPPLIER CREDITS AND DAMAGE DURING PRODUCTION PROCESS</w:t>
      </w:r>
    </w:p>
    <w:p w14:paraId="6E6DA55B" w14:textId="386FFC2F" w:rsidR="00B96183" w:rsidRPr="00891780" w:rsidRDefault="00B96183" w:rsidP="000B677E">
      <w:pPr>
        <w:spacing w:before="120" w:line="276" w:lineRule="auto"/>
        <w:jc w:val="both"/>
        <w:rPr>
          <w:rFonts w:ascii="Calibri" w:hAnsi="Calibri" w:cs="Calibri"/>
          <w:sz w:val="22"/>
          <w:szCs w:val="22"/>
          <w:lang w:val="en-GB" w:eastAsia="hr-HR"/>
        </w:rPr>
      </w:pPr>
      <w:r w:rsidRPr="00891780">
        <w:rPr>
          <w:rFonts w:ascii="Calibri" w:hAnsi="Calibri" w:cs="Calibri"/>
          <w:sz w:val="22"/>
          <w:szCs w:val="22"/>
          <w:lang w:val="en-GB" w:eastAsia="hr-HR"/>
        </w:rPr>
        <w:t xml:space="preserve">Under these programmes, in 2022, HBOR insured the turnover in the amount of HRK 441.5 million and </w:t>
      </w:r>
      <w:r w:rsidR="006149B8">
        <w:rPr>
          <w:rFonts w:ascii="Calibri" w:hAnsi="Calibri" w:cs="Calibri"/>
          <w:sz w:val="22"/>
          <w:szCs w:val="22"/>
          <w:lang w:val="en-GB" w:eastAsia="hr-HR"/>
        </w:rPr>
        <w:t xml:space="preserve">thus </w:t>
      </w:r>
      <w:r w:rsidRPr="00891780">
        <w:rPr>
          <w:rFonts w:ascii="Calibri" w:hAnsi="Calibri" w:cs="Calibri"/>
          <w:sz w:val="22"/>
          <w:szCs w:val="22"/>
          <w:lang w:val="en-GB" w:eastAsia="hr-HR"/>
        </w:rPr>
        <w:t>supported the exports to the markets of Greece, Latvia, Austria, Hungary, the United Kingdom of Great Britain and Northern Ireland, the Czech Republic and Spain and, in terms of more distant export markets, HBOR supported exports to Iraq and Ghana. The insured export transactions related mostly to the export of goods and services in the energy and the machinery and equipment manufacturing sectors.</w:t>
      </w:r>
    </w:p>
    <w:p w14:paraId="7F6D8D10" w14:textId="77777777" w:rsidR="00B96183" w:rsidRPr="00891780" w:rsidRDefault="00B96183" w:rsidP="000B677E">
      <w:pPr>
        <w:spacing w:line="276" w:lineRule="auto"/>
        <w:jc w:val="both"/>
        <w:rPr>
          <w:rFonts w:ascii="Calibri" w:hAnsi="Calibri" w:cs="Calibri"/>
          <w:sz w:val="22"/>
          <w:szCs w:val="22"/>
          <w:lang w:val="en-GB" w:eastAsia="hr-HR"/>
        </w:rPr>
      </w:pPr>
    </w:p>
    <w:p w14:paraId="26934512" w14:textId="6F816BFE" w:rsidR="00B96183" w:rsidRPr="00891780" w:rsidRDefault="00B96183" w:rsidP="000B677E">
      <w:pPr>
        <w:spacing w:before="120" w:after="120" w:line="276" w:lineRule="auto"/>
        <w:jc w:val="both"/>
        <w:rPr>
          <w:rFonts w:ascii="Calibri" w:eastAsia="SimSun" w:hAnsi="Calibri" w:cs="Calibri"/>
          <w:b/>
          <w:sz w:val="22"/>
          <w:szCs w:val="22"/>
          <w:lang w:val="en-GB"/>
        </w:rPr>
      </w:pPr>
      <w:r w:rsidRPr="00891780">
        <w:rPr>
          <w:rStyle w:val="Zadanifontodlomka2"/>
          <w:rFonts w:ascii="Calibri" w:hAnsi="Calibri" w:cs="Calibri"/>
          <w:b/>
          <w:bCs/>
          <w:sz w:val="22"/>
          <w:szCs w:val="22"/>
          <w:lang w:val="en-GB" w:eastAsia="hr-HR"/>
        </w:rPr>
        <w:t xml:space="preserve">INSURANCE </w:t>
      </w:r>
      <w:r w:rsidRPr="00891780">
        <w:rPr>
          <w:rFonts w:ascii="Calibri" w:eastAsia="SimSun" w:hAnsi="Calibri" w:cs="Calibri"/>
          <w:b/>
          <w:sz w:val="22"/>
          <w:szCs w:val="22"/>
          <w:lang w:val="en-GB"/>
        </w:rPr>
        <w:t>OF PRE-EXPORT FINANCE LOANS</w:t>
      </w:r>
    </w:p>
    <w:p w14:paraId="7ACD7BA8"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The programme for the insurance of pre-export finance loans enables banks to finance working capital for exporters at the stage of export goods production and facilitates access to loans for exporters who would otherwise not be able to obtain loans due to insufficient collateral.</w:t>
      </w:r>
    </w:p>
    <w:p w14:paraId="380DDE1C" w14:textId="77777777" w:rsidR="00B96183" w:rsidRPr="00891780" w:rsidRDefault="00B96183" w:rsidP="000B677E">
      <w:pPr>
        <w:spacing w:before="120" w:after="120" w:line="276" w:lineRule="auto"/>
        <w:jc w:val="both"/>
        <w:rPr>
          <w:rFonts w:ascii="Calibri" w:hAnsi="Calibri" w:cs="Calibri"/>
          <w:sz w:val="22"/>
          <w:szCs w:val="22"/>
          <w:lang w:val="en-GB" w:eastAsia="hr-HR"/>
        </w:rPr>
      </w:pPr>
      <w:r w:rsidRPr="00891780">
        <w:rPr>
          <w:rFonts w:ascii="Calibri" w:eastAsia="SimSun" w:hAnsi="Calibri" w:cs="Calibri"/>
          <w:sz w:val="22"/>
          <w:szCs w:val="22"/>
          <w:lang w:val="en-GB"/>
        </w:rPr>
        <w:t>Under this programme, during 2022, the volume of insured loans totalled HRK 116.2 million for the financing of working capital of exporters in the processing industry</w:t>
      </w:r>
      <w:r w:rsidRPr="00891780">
        <w:rPr>
          <w:rStyle w:val="Zadanifontodlomka2"/>
          <w:rFonts w:ascii="Calibri" w:hAnsi="Calibri" w:cs="Calibri"/>
          <w:sz w:val="22"/>
          <w:szCs w:val="22"/>
          <w:lang w:val="en-GB" w:eastAsia="hr-HR"/>
        </w:rPr>
        <w:t>.</w:t>
      </w:r>
    </w:p>
    <w:p w14:paraId="070E983D" w14:textId="77777777" w:rsidR="00B96183" w:rsidRPr="00891780" w:rsidRDefault="00B96183" w:rsidP="000B677E">
      <w:pPr>
        <w:spacing w:line="276" w:lineRule="auto"/>
        <w:jc w:val="both"/>
        <w:rPr>
          <w:rFonts w:ascii="Calibri" w:hAnsi="Calibri" w:cs="Calibri"/>
          <w:sz w:val="22"/>
          <w:szCs w:val="22"/>
          <w:lang w:val="en-GB" w:eastAsia="hr-HR"/>
        </w:rPr>
      </w:pPr>
    </w:p>
    <w:p w14:paraId="55F31B40" w14:textId="77777777" w:rsidR="00B96183" w:rsidRPr="00891780" w:rsidRDefault="00B96183" w:rsidP="000B677E">
      <w:pPr>
        <w:spacing w:before="120" w:after="120" w:line="276" w:lineRule="auto"/>
        <w:jc w:val="both"/>
        <w:rPr>
          <w:rFonts w:ascii="Calibri" w:eastAsia="SimSun" w:hAnsi="Calibri" w:cs="Calibri"/>
          <w:b/>
          <w:sz w:val="22"/>
          <w:szCs w:val="22"/>
          <w:lang w:val="en-GB"/>
        </w:rPr>
      </w:pPr>
      <w:r w:rsidRPr="00891780">
        <w:rPr>
          <w:rFonts w:ascii="Calibri" w:eastAsia="SimSun" w:hAnsi="Calibri" w:cs="Calibri"/>
          <w:b/>
          <w:sz w:val="22"/>
          <w:szCs w:val="22"/>
          <w:lang w:val="en-GB"/>
        </w:rPr>
        <w:t>INSURANCE OF EXPORT PERFORMANCE-RELATED GUARANTEES</w:t>
      </w:r>
    </w:p>
    <w:p w14:paraId="6A693DD7" w14:textId="77777777" w:rsidR="00B96183" w:rsidRPr="00891780" w:rsidRDefault="00B96183" w:rsidP="000B677E">
      <w:pPr>
        <w:spacing w:before="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Under the programme, an insurance policy covering a bank guarantee was concluded in an amount of HRK 15 million that was issued in connection with the performance of an export contract of an exporter in the market of Saudi Arabia.</w:t>
      </w:r>
    </w:p>
    <w:p w14:paraId="627647E8" w14:textId="77777777" w:rsidR="00B96183" w:rsidRPr="00891780" w:rsidRDefault="00B96183" w:rsidP="000B677E">
      <w:pPr>
        <w:spacing w:line="276" w:lineRule="auto"/>
        <w:jc w:val="both"/>
        <w:rPr>
          <w:rFonts w:ascii="Calibri" w:eastAsia="SimSun" w:hAnsi="Calibri" w:cs="Calibri"/>
          <w:sz w:val="22"/>
          <w:szCs w:val="22"/>
          <w:lang w:val="en-GB"/>
        </w:rPr>
      </w:pPr>
    </w:p>
    <w:p w14:paraId="6EB17136" w14:textId="77777777" w:rsidR="00B96183" w:rsidRPr="00891780" w:rsidRDefault="00B96183" w:rsidP="000B677E">
      <w:pPr>
        <w:spacing w:before="120" w:after="120" w:line="276" w:lineRule="auto"/>
        <w:ind w:right="-285"/>
        <w:jc w:val="both"/>
        <w:rPr>
          <w:rFonts w:ascii="Calibri" w:eastAsia="SimSun" w:hAnsi="Calibri" w:cs="Calibri"/>
          <w:b/>
          <w:bCs/>
          <w:sz w:val="22"/>
          <w:szCs w:val="22"/>
          <w:lang w:val="en-GB"/>
        </w:rPr>
      </w:pPr>
      <w:r w:rsidRPr="00891780">
        <w:rPr>
          <w:rFonts w:ascii="Calibri" w:eastAsia="SimSun" w:hAnsi="Calibri" w:cs="Calibri"/>
          <w:b/>
          <w:bCs/>
          <w:sz w:val="22"/>
          <w:szCs w:val="22"/>
          <w:lang w:val="en-GB"/>
        </w:rPr>
        <w:t>INSURANCE OF WORKING CAPITAL LOAN PORTFOLIO FOR EXPORTERS</w:t>
      </w:r>
    </w:p>
    <w:p w14:paraId="28510DF8" w14:textId="77777777" w:rsidR="00B96183" w:rsidRPr="00891780" w:rsidRDefault="00B96183" w:rsidP="000B677E">
      <w:pPr>
        <w:spacing w:line="276" w:lineRule="auto"/>
        <w:jc w:val="both"/>
        <w:rPr>
          <w:rStyle w:val="Zadanifontodlomka2"/>
          <w:rFonts w:ascii="Calibri" w:hAnsi="Calibri" w:cs="Calibri"/>
          <w:sz w:val="22"/>
          <w:szCs w:val="22"/>
          <w:lang w:val="en-GB" w:eastAsia="hr-HR"/>
        </w:rPr>
      </w:pPr>
      <w:r w:rsidRPr="00891780">
        <w:rPr>
          <w:rStyle w:val="Zadanifontodlomka2"/>
          <w:rFonts w:ascii="Calibri" w:eastAsia="SimSun" w:hAnsi="Calibri" w:cs="Calibri"/>
          <w:sz w:val="22"/>
          <w:szCs w:val="22"/>
          <w:lang w:val="en-GB"/>
        </w:rPr>
        <w:t xml:space="preserve">This programme was adopted at the end of 2019 and is implemented in cooperation with banks </w:t>
      </w:r>
      <w:proofErr w:type="gramStart"/>
      <w:r w:rsidRPr="00891780">
        <w:rPr>
          <w:rStyle w:val="Zadanifontodlomka2"/>
          <w:rFonts w:ascii="Calibri" w:eastAsia="SimSun" w:hAnsi="Calibri" w:cs="Calibri"/>
          <w:sz w:val="22"/>
          <w:szCs w:val="22"/>
          <w:lang w:val="en-GB"/>
        </w:rPr>
        <w:t>in order to</w:t>
      </w:r>
      <w:proofErr w:type="gramEnd"/>
      <w:r w:rsidRPr="00891780">
        <w:rPr>
          <w:rStyle w:val="Zadanifontodlomka2"/>
          <w:rFonts w:ascii="Calibri" w:eastAsia="SimSun" w:hAnsi="Calibri" w:cs="Calibri"/>
          <w:sz w:val="22"/>
          <w:szCs w:val="22"/>
          <w:lang w:val="en-GB"/>
        </w:rPr>
        <w:t xml:space="preserve"> facilitate access to working capital financing for small and medium-sized enterprises and to encourage them to export and enter new export markets. Banks, in accordance with pre-defined programme terms and conditions and insurance costs, independently decide on loans to be included in </w:t>
      </w:r>
      <w:r w:rsidRPr="00891780">
        <w:rPr>
          <w:rStyle w:val="Zadanifontodlomka2"/>
          <w:rFonts w:ascii="Calibri" w:eastAsia="SimSun" w:hAnsi="Calibri" w:cs="Calibri"/>
          <w:sz w:val="22"/>
          <w:szCs w:val="22"/>
          <w:lang w:val="en-GB"/>
        </w:rPr>
        <w:lastRenderedPageBreak/>
        <w:t>the portfolio covered by HBOR with 80 percent coverage of the principal and regular interest for each loan. In 2022, loans were insured totalling HRK 1.1 million</w:t>
      </w:r>
      <w:r w:rsidRPr="00891780">
        <w:rPr>
          <w:rStyle w:val="Zadanifontodlomka2"/>
          <w:rFonts w:ascii="Calibri" w:hAnsi="Calibri" w:cs="Calibri"/>
          <w:sz w:val="22"/>
          <w:szCs w:val="22"/>
          <w:lang w:val="en-GB" w:eastAsia="hr-HR"/>
        </w:rPr>
        <w:t>.</w:t>
      </w:r>
    </w:p>
    <w:p w14:paraId="4891A58E" w14:textId="77777777" w:rsidR="00B96183" w:rsidRPr="00891780" w:rsidRDefault="00B96183" w:rsidP="000B677E">
      <w:pPr>
        <w:spacing w:line="276" w:lineRule="auto"/>
        <w:jc w:val="both"/>
        <w:rPr>
          <w:rFonts w:ascii="Calibri" w:hAnsi="Calibri" w:cs="Calibri"/>
          <w:sz w:val="22"/>
          <w:szCs w:val="22"/>
          <w:lang w:val="en-GB" w:eastAsia="hr-HR"/>
        </w:rPr>
      </w:pPr>
    </w:p>
    <w:p w14:paraId="0A9D6DD3" w14:textId="77777777" w:rsidR="00B96183" w:rsidRPr="00891780" w:rsidRDefault="00B96183" w:rsidP="000B677E">
      <w:pPr>
        <w:spacing w:after="120" w:line="276" w:lineRule="auto"/>
        <w:ind w:right="-1"/>
        <w:jc w:val="both"/>
        <w:rPr>
          <w:rStyle w:val="Zadanifontodlomka2"/>
          <w:rFonts w:ascii="Calibri" w:eastAsia="SimSun" w:hAnsi="Calibri" w:cs="Calibri"/>
          <w:b/>
          <w:bCs/>
          <w:sz w:val="22"/>
          <w:szCs w:val="22"/>
          <w:lang w:val="en-GB"/>
        </w:rPr>
      </w:pPr>
      <w:r w:rsidRPr="00891780">
        <w:rPr>
          <w:rStyle w:val="Zadanifontodlomka2"/>
          <w:rFonts w:ascii="Calibri" w:hAnsi="Calibri" w:cs="Calibri"/>
          <w:b/>
          <w:bCs/>
          <w:sz w:val="22"/>
          <w:szCs w:val="22"/>
          <w:lang w:val="en-GB" w:eastAsia="hr-HR"/>
        </w:rPr>
        <w:t>PORTFOLIO INSURANCE OF LIQUIDITY LOANS FOR EXPORTERS –</w:t>
      </w:r>
      <w:r w:rsidRPr="00891780">
        <w:rPr>
          <w:rStyle w:val="Zadanifontodlomka2"/>
          <w:lang w:val="en-GB" w:eastAsia="hr-HR"/>
        </w:rPr>
        <w:t xml:space="preserve"> </w:t>
      </w:r>
      <w:r w:rsidRPr="00891780">
        <w:rPr>
          <w:rStyle w:val="Zadanifontodlomka2"/>
          <w:rFonts w:ascii="Calibri" w:hAnsi="Calibri" w:cs="Calibri"/>
          <w:b/>
          <w:bCs/>
          <w:sz w:val="22"/>
          <w:szCs w:val="22"/>
          <w:lang w:val="en-GB" w:eastAsia="hr-HR"/>
        </w:rPr>
        <w:t>MEASURE TO SUPPORT THE ECONOMY OF THE REPUBLIC OF CROATIA FOLLOWING THE RUSSIAN AGGRESSION AGAINST UKRAINE</w:t>
      </w:r>
    </w:p>
    <w:p w14:paraId="548AE176" w14:textId="77777777" w:rsidR="00B96183" w:rsidRPr="00891780" w:rsidRDefault="00B96183" w:rsidP="000B677E">
      <w:pPr>
        <w:spacing w:line="276" w:lineRule="auto"/>
        <w:ind w:right="-1"/>
        <w:jc w:val="both"/>
        <w:rPr>
          <w:rStyle w:val="Zadanifontodlomka2"/>
          <w:rFonts w:ascii="Calibri" w:hAnsi="Calibri" w:cs="Calibri"/>
          <w:sz w:val="22"/>
          <w:szCs w:val="22"/>
          <w:lang w:val="en-GB" w:eastAsia="hr-HR"/>
        </w:rPr>
      </w:pPr>
      <w:r w:rsidRPr="00891780">
        <w:rPr>
          <w:rStyle w:val="Zadanifontodlomka2"/>
          <w:rFonts w:ascii="Calibri" w:eastAsia="SimSun" w:hAnsi="Calibri" w:cs="Calibri"/>
          <w:sz w:val="22"/>
          <w:szCs w:val="22"/>
          <w:lang w:val="en-GB"/>
        </w:rPr>
        <w:t>The p</w:t>
      </w:r>
      <w:r w:rsidRPr="00891780">
        <w:rPr>
          <w:rStyle w:val="Zadanifontodlomka2"/>
          <w:rFonts w:ascii="Calibri" w:hAnsi="Calibri" w:cs="Calibri"/>
          <w:sz w:val="22"/>
          <w:szCs w:val="22"/>
          <w:lang w:val="en-GB" w:eastAsia="hr-HR"/>
        </w:rPr>
        <w:t xml:space="preserve">rogramme was introduced in the second half of 2022 </w:t>
      </w:r>
      <w:proofErr w:type="gramStart"/>
      <w:r w:rsidRPr="00891780">
        <w:rPr>
          <w:rStyle w:val="Zadanifontodlomka2"/>
          <w:rFonts w:ascii="Calibri" w:hAnsi="Calibri" w:cs="Calibri"/>
          <w:sz w:val="22"/>
          <w:szCs w:val="22"/>
          <w:lang w:val="en-GB" w:eastAsia="hr-HR"/>
        </w:rPr>
        <w:t>on the basis of</w:t>
      </w:r>
      <w:proofErr w:type="gramEnd"/>
      <w:r w:rsidRPr="00891780">
        <w:rPr>
          <w:rStyle w:val="Zadanifontodlomka2"/>
          <w:rFonts w:ascii="Calibri" w:hAnsi="Calibri" w:cs="Calibri"/>
          <w:sz w:val="22"/>
          <w:szCs w:val="22"/>
          <w:lang w:val="en-GB" w:eastAsia="hr-HR"/>
        </w:rPr>
        <w:t xml:space="preserve"> the Temporary Crisis Framework of the European Commission. Until 31 December 2022, altogether 23 loans totalling HRK 334.7 million were insured under the programme.</w:t>
      </w:r>
    </w:p>
    <w:p w14:paraId="6EF85357" w14:textId="77777777" w:rsidR="00B96183" w:rsidRPr="00891780" w:rsidRDefault="00B96183" w:rsidP="000B677E">
      <w:pPr>
        <w:spacing w:line="276" w:lineRule="auto"/>
        <w:ind w:right="-1"/>
        <w:jc w:val="both"/>
        <w:rPr>
          <w:rFonts w:ascii="Calibri" w:hAnsi="Calibri" w:cs="Calibri"/>
          <w:sz w:val="22"/>
          <w:szCs w:val="22"/>
          <w:lang w:val="en-GB" w:eastAsia="hr-HR"/>
        </w:rPr>
      </w:pPr>
    </w:p>
    <w:p w14:paraId="47A22AE3" w14:textId="77777777" w:rsidR="00B96183" w:rsidRPr="00891780" w:rsidRDefault="00B96183" w:rsidP="000B677E">
      <w:pPr>
        <w:spacing w:line="276" w:lineRule="auto"/>
        <w:ind w:right="-1"/>
        <w:jc w:val="both"/>
        <w:rPr>
          <w:lang w:val="en-GB"/>
        </w:rPr>
      </w:pPr>
      <w:r w:rsidRPr="00891780">
        <w:rPr>
          <w:rStyle w:val="Zadanifontodlomka2"/>
          <w:rFonts w:ascii="Calibri" w:hAnsi="Calibri" w:cs="Calibri"/>
          <w:b/>
          <w:bCs/>
          <w:sz w:val="22"/>
          <w:szCs w:val="22"/>
          <w:lang w:val="en-GB" w:eastAsia="hr-HR"/>
        </w:rPr>
        <w:t>INDIVIDUAL INSURANCE OF LIQUIDITY LOANS FOR EXPORTERS – MEASURE TO SUPPORT THE ECONOMY OF THE REPUBLIC OF CROATIA FOLLOWING THE RUSSIAN AGGRESSION AGAINST UKRAINE</w:t>
      </w:r>
    </w:p>
    <w:p w14:paraId="33543117" w14:textId="77777777" w:rsidR="00B96183" w:rsidRPr="00891780" w:rsidRDefault="00B96183" w:rsidP="000B677E">
      <w:pPr>
        <w:spacing w:line="276" w:lineRule="auto"/>
        <w:ind w:right="-1"/>
        <w:jc w:val="both"/>
        <w:rPr>
          <w:rStyle w:val="Zadanifontodlomka2"/>
          <w:rFonts w:ascii="Calibri" w:hAnsi="Calibri" w:cs="Calibri"/>
          <w:sz w:val="22"/>
          <w:szCs w:val="22"/>
          <w:lang w:val="en-GB" w:eastAsia="hr-HR"/>
        </w:rPr>
      </w:pPr>
      <w:r w:rsidRPr="00891780">
        <w:rPr>
          <w:rStyle w:val="Zadanifontodlomka2"/>
          <w:rFonts w:ascii="Calibri" w:eastAsia="SimSun" w:hAnsi="Calibri" w:cs="Calibri"/>
          <w:sz w:val="22"/>
          <w:szCs w:val="22"/>
          <w:lang w:val="en-GB"/>
        </w:rPr>
        <w:t xml:space="preserve">The programme was introduced in the second half of 2022 </w:t>
      </w:r>
      <w:proofErr w:type="gramStart"/>
      <w:r w:rsidRPr="00891780">
        <w:rPr>
          <w:rStyle w:val="Zadanifontodlomka2"/>
          <w:rFonts w:ascii="Calibri" w:eastAsia="SimSun" w:hAnsi="Calibri" w:cs="Calibri"/>
          <w:sz w:val="22"/>
          <w:szCs w:val="22"/>
          <w:lang w:val="en-GB"/>
        </w:rPr>
        <w:t>on the basis of</w:t>
      </w:r>
      <w:proofErr w:type="gramEnd"/>
      <w:r w:rsidRPr="00891780">
        <w:rPr>
          <w:rStyle w:val="Zadanifontodlomka2"/>
          <w:rFonts w:ascii="Calibri" w:eastAsia="SimSun" w:hAnsi="Calibri" w:cs="Calibri"/>
          <w:sz w:val="22"/>
          <w:szCs w:val="22"/>
          <w:lang w:val="en-GB"/>
        </w:rPr>
        <w:t xml:space="preserve"> the Temporary Crisis Framework of the European Commission. Until 31 December 2022, altogether 2 loans totalling HRK 41.4 million were insured under the programme</w:t>
      </w:r>
      <w:r w:rsidRPr="00891780">
        <w:rPr>
          <w:rStyle w:val="Zadanifontodlomka2"/>
          <w:rFonts w:ascii="Calibri" w:hAnsi="Calibri" w:cs="Calibri"/>
          <w:sz w:val="22"/>
          <w:szCs w:val="22"/>
          <w:lang w:val="en-GB" w:eastAsia="hr-HR"/>
        </w:rPr>
        <w:t>.</w:t>
      </w:r>
    </w:p>
    <w:p w14:paraId="3FEC050A" w14:textId="77777777" w:rsidR="00B96183" w:rsidRPr="00891780" w:rsidRDefault="00B96183" w:rsidP="000B677E">
      <w:pPr>
        <w:spacing w:line="276" w:lineRule="auto"/>
        <w:ind w:right="-285"/>
        <w:jc w:val="both"/>
        <w:rPr>
          <w:rFonts w:ascii="Calibri" w:eastAsia="SimSun" w:hAnsi="Calibri" w:cs="Calibri"/>
          <w:sz w:val="22"/>
          <w:szCs w:val="22"/>
          <w:lang w:val="en-GB"/>
        </w:rPr>
      </w:pPr>
    </w:p>
    <w:p w14:paraId="5C8A27A0" w14:textId="77777777" w:rsidR="00B96183" w:rsidRPr="00891780" w:rsidRDefault="00B96183" w:rsidP="000B677E">
      <w:pPr>
        <w:spacing w:line="276" w:lineRule="auto"/>
        <w:jc w:val="both"/>
        <w:rPr>
          <w:rFonts w:ascii="Calibri" w:eastAsia="SimSun" w:hAnsi="Calibri" w:cs="Calibri"/>
          <w:b/>
          <w:sz w:val="22"/>
          <w:szCs w:val="22"/>
          <w:lang w:val="en-GB"/>
        </w:rPr>
      </w:pPr>
      <w:r w:rsidRPr="00891780">
        <w:rPr>
          <w:rFonts w:ascii="Calibri" w:eastAsia="SimSun" w:hAnsi="Calibri" w:cs="Calibri"/>
          <w:b/>
          <w:sz w:val="22"/>
          <w:szCs w:val="22"/>
          <w:lang w:val="en-GB"/>
        </w:rPr>
        <w:t xml:space="preserve">INDEMNITIES PAID  </w:t>
      </w:r>
    </w:p>
    <w:p w14:paraId="3B1EFA8B" w14:textId="3B55B458" w:rsidR="00B96183" w:rsidRPr="00891780" w:rsidRDefault="00B96183" w:rsidP="000B677E">
      <w:pPr>
        <w:spacing w:before="120" w:after="120" w:line="276" w:lineRule="auto"/>
        <w:jc w:val="both"/>
        <w:rPr>
          <w:lang w:val="en-GB"/>
        </w:rPr>
      </w:pPr>
      <w:r w:rsidRPr="00891780">
        <w:rPr>
          <w:rStyle w:val="Zadanifontodlomka2"/>
          <w:rFonts w:ascii="Calibri" w:hAnsi="Calibri" w:cs="Calibri"/>
          <w:sz w:val="22"/>
          <w:szCs w:val="22"/>
          <w:lang w:val="en-GB" w:eastAsia="hr-HR"/>
        </w:rPr>
        <w:t>During 2022,</w:t>
      </w:r>
      <w:r w:rsidR="008C3948">
        <w:rPr>
          <w:rStyle w:val="Zadanifontodlomka2"/>
          <w:rFonts w:ascii="Calibri" w:hAnsi="Calibri" w:cs="Calibri"/>
          <w:sz w:val="22"/>
          <w:szCs w:val="22"/>
          <w:lang w:val="en-GB" w:eastAsia="hr-HR"/>
        </w:rPr>
        <w:t xml:space="preserve"> eight </w:t>
      </w:r>
      <w:r w:rsidRPr="00891780">
        <w:rPr>
          <w:rStyle w:val="Zadanifontodlomka2"/>
          <w:rFonts w:ascii="Calibri" w:hAnsi="Calibri" w:cs="Calibri"/>
          <w:sz w:val="22"/>
          <w:szCs w:val="22"/>
          <w:lang w:val="en-GB" w:eastAsia="hr-HR"/>
        </w:rPr>
        <w:t xml:space="preserve">indemnities were paid totalling HRK 49.88 million, which was the third largest annual amount of indemnities paid since the beginning of export credit insurance activities. Of the number of paid indemnities, </w:t>
      </w:r>
      <w:r w:rsidR="006E64FC">
        <w:rPr>
          <w:rStyle w:val="Zadanifontodlomka2"/>
          <w:rFonts w:ascii="Calibri" w:hAnsi="Calibri" w:cs="Calibri"/>
          <w:sz w:val="22"/>
          <w:szCs w:val="22"/>
          <w:lang w:val="en-GB" w:eastAsia="hr-HR"/>
        </w:rPr>
        <w:t>five</w:t>
      </w:r>
      <w:r w:rsidRPr="00891780">
        <w:rPr>
          <w:rStyle w:val="Zadanifontodlomka2"/>
          <w:rFonts w:ascii="Calibri" w:hAnsi="Calibri" w:cs="Calibri"/>
          <w:sz w:val="22"/>
          <w:szCs w:val="22"/>
          <w:lang w:val="en-GB" w:eastAsia="hr-HR"/>
        </w:rPr>
        <w:t xml:space="preserve"> indemnities totalling HRK 49.14 million related to indemnities paid under the programme for portfolio insurance of liquidity loans for exporters – COVID-19, </w:t>
      </w:r>
      <w:r w:rsidR="006E64FC">
        <w:rPr>
          <w:rStyle w:val="Zadanifontodlomka2"/>
          <w:rFonts w:ascii="Calibri" w:hAnsi="Calibri" w:cs="Calibri"/>
          <w:sz w:val="22"/>
          <w:szCs w:val="22"/>
          <w:lang w:val="en-GB" w:eastAsia="hr-HR"/>
        </w:rPr>
        <w:t>one</w:t>
      </w:r>
      <w:r w:rsidRPr="00891780">
        <w:rPr>
          <w:rStyle w:val="Zadanifontodlomka2"/>
          <w:rFonts w:ascii="Calibri" w:hAnsi="Calibri" w:cs="Calibri"/>
          <w:sz w:val="22"/>
          <w:szCs w:val="22"/>
          <w:lang w:val="en-GB" w:eastAsia="hr-HR"/>
        </w:rPr>
        <w:t xml:space="preserve"> indemnity totalling HRK 301.45 thousand was paid under the programme for portfolio insurance of working capital loans for exporters, and the remaining </w:t>
      </w:r>
      <w:r w:rsidR="006E64FC">
        <w:rPr>
          <w:rStyle w:val="Zadanifontodlomka2"/>
          <w:rFonts w:ascii="Calibri" w:hAnsi="Calibri" w:cs="Calibri"/>
          <w:sz w:val="22"/>
          <w:szCs w:val="22"/>
          <w:lang w:val="en-GB" w:eastAsia="hr-HR"/>
        </w:rPr>
        <w:t>two</w:t>
      </w:r>
      <w:r w:rsidRPr="00891780">
        <w:rPr>
          <w:rStyle w:val="Zadanifontodlomka2"/>
          <w:rFonts w:ascii="Calibri" w:hAnsi="Calibri" w:cs="Calibri"/>
          <w:sz w:val="22"/>
          <w:szCs w:val="22"/>
          <w:lang w:val="en-GB" w:eastAsia="hr-HR"/>
        </w:rPr>
        <w:t xml:space="preserve"> indemnities totalling HRK 425.60 thousand related to indemnities paid under the programme for insurance of short-term export receivables</w:t>
      </w:r>
      <w:r w:rsidRPr="00891780">
        <w:rPr>
          <w:rStyle w:val="Zadanifontodlomka2"/>
          <w:rFonts w:ascii="Calibri" w:eastAsia="SimSun" w:hAnsi="Calibri" w:cs="Calibri"/>
          <w:sz w:val="22"/>
          <w:szCs w:val="22"/>
          <w:lang w:val="en-GB"/>
        </w:rPr>
        <w:t>. At the same time, under all insurance programmes, the amount of HRK 39.65 thousand was paid to the insured as compensation for costs incurred for the purpose of reducing possible damage or for the purpose of recoveries.</w:t>
      </w:r>
    </w:p>
    <w:p w14:paraId="2E7E8309" w14:textId="77777777" w:rsidR="00B96183" w:rsidRPr="00891780" w:rsidRDefault="00B96183" w:rsidP="000B677E">
      <w:pPr>
        <w:spacing w:line="276" w:lineRule="auto"/>
        <w:jc w:val="both"/>
        <w:rPr>
          <w:rStyle w:val="Zadanifontodlomka2"/>
          <w:rFonts w:ascii="Calibri" w:hAnsi="Calibri" w:cs="Calibri"/>
          <w:sz w:val="22"/>
          <w:szCs w:val="22"/>
          <w:lang w:val="en-GB" w:eastAsia="hr-HR"/>
        </w:rPr>
      </w:pPr>
      <w:r w:rsidRPr="00891780">
        <w:rPr>
          <w:rStyle w:val="Zadanifontodlomka2"/>
          <w:rFonts w:ascii="Calibri" w:eastAsia="SimSun" w:hAnsi="Calibri" w:cs="Calibri"/>
          <w:sz w:val="22"/>
          <w:szCs w:val="22"/>
          <w:lang w:val="en-GB"/>
        </w:rPr>
        <w:t>In 2022, 13 debtor non-payment notifications were received, 6 of which were related to the programme for portfolio insurance of liquidity loans for exporters – COVID-19, 5 were related to the programme for the insurance of short-term export receivables, 1 was related to the programme for the insurance of damage during production process and 1 to the programme for the insurance of supplier credits</w:t>
      </w:r>
      <w:r w:rsidRPr="00891780">
        <w:rPr>
          <w:rStyle w:val="Zadanifontodlomka2"/>
          <w:rFonts w:ascii="Calibri" w:hAnsi="Calibri" w:cs="Calibri"/>
          <w:sz w:val="22"/>
          <w:szCs w:val="22"/>
          <w:lang w:val="en-GB" w:eastAsia="hr-HR"/>
        </w:rPr>
        <w:t>.</w:t>
      </w:r>
    </w:p>
    <w:p w14:paraId="4675B042" w14:textId="77777777" w:rsidR="00B96183" w:rsidRPr="00891780" w:rsidRDefault="00B96183" w:rsidP="000B677E">
      <w:pPr>
        <w:spacing w:line="276" w:lineRule="auto"/>
        <w:jc w:val="both"/>
        <w:rPr>
          <w:rFonts w:ascii="Calibri" w:hAnsi="Calibri" w:cs="Calibri"/>
          <w:sz w:val="22"/>
          <w:szCs w:val="22"/>
          <w:lang w:val="en-GB" w:eastAsia="hr-HR"/>
        </w:rPr>
      </w:pPr>
    </w:p>
    <w:p w14:paraId="2BF7B276" w14:textId="77777777" w:rsidR="00B96183" w:rsidRPr="00891780" w:rsidRDefault="00B96183" w:rsidP="000B677E">
      <w:pPr>
        <w:spacing w:line="276" w:lineRule="auto"/>
        <w:jc w:val="both"/>
        <w:rPr>
          <w:rFonts w:ascii="Calibri" w:eastAsia="SimSun" w:hAnsi="Calibri" w:cs="Calibri"/>
          <w:b/>
          <w:sz w:val="22"/>
          <w:szCs w:val="22"/>
          <w:lang w:val="en-GB"/>
        </w:rPr>
      </w:pPr>
      <w:r w:rsidRPr="00891780">
        <w:rPr>
          <w:rFonts w:ascii="Calibri" w:eastAsia="SimSun" w:hAnsi="Calibri" w:cs="Calibri"/>
          <w:b/>
          <w:sz w:val="22"/>
          <w:szCs w:val="22"/>
          <w:lang w:val="en-GB"/>
        </w:rPr>
        <w:t xml:space="preserve">RECOVERIES FROM DEBTORS </w:t>
      </w:r>
    </w:p>
    <w:p w14:paraId="58863494" w14:textId="77777777" w:rsidR="00B96183" w:rsidRPr="00891780" w:rsidRDefault="00B96183" w:rsidP="000B677E">
      <w:pPr>
        <w:spacing w:after="160" w:line="276" w:lineRule="auto"/>
        <w:jc w:val="both"/>
        <w:rPr>
          <w:rStyle w:val="normaltextrun"/>
          <w:rFonts w:ascii="Calibri" w:hAnsi="Calibri" w:cs="Calibri"/>
          <w:color w:val="000000"/>
          <w:sz w:val="22"/>
          <w:szCs w:val="22"/>
          <w:shd w:val="clear" w:color="auto" w:fill="FFFFFF"/>
          <w:lang w:val="en-GB"/>
        </w:rPr>
      </w:pPr>
      <w:r w:rsidRPr="00891780">
        <w:rPr>
          <w:rStyle w:val="normaltextrun"/>
          <w:rFonts w:ascii="Calibri" w:hAnsi="Calibri" w:cs="Calibri"/>
          <w:color w:val="000000"/>
          <w:sz w:val="22"/>
          <w:szCs w:val="22"/>
          <w:shd w:val="clear" w:color="auto" w:fill="FFFFFF"/>
          <w:lang w:val="en-GB"/>
        </w:rPr>
        <w:t xml:space="preserve">In 2022, the </w:t>
      </w:r>
      <w:proofErr w:type="gramStart"/>
      <w:r w:rsidRPr="00891780">
        <w:rPr>
          <w:rStyle w:val="normaltextrun"/>
          <w:rFonts w:ascii="Calibri" w:hAnsi="Calibri" w:cs="Calibri"/>
          <w:color w:val="000000"/>
          <w:sz w:val="22"/>
          <w:szCs w:val="22"/>
          <w:shd w:val="clear" w:color="auto" w:fill="FFFFFF"/>
          <w:lang w:val="en-GB"/>
        </w:rPr>
        <w:t>amount</w:t>
      </w:r>
      <w:proofErr w:type="gramEnd"/>
      <w:r w:rsidRPr="00891780">
        <w:rPr>
          <w:rStyle w:val="normaltextrun"/>
          <w:rFonts w:ascii="Calibri" w:hAnsi="Calibri" w:cs="Calibri"/>
          <w:color w:val="000000"/>
          <w:sz w:val="22"/>
          <w:szCs w:val="22"/>
          <w:shd w:val="clear" w:color="auto" w:fill="FFFFFF"/>
          <w:lang w:val="en-GB"/>
        </w:rPr>
        <w:t xml:space="preserve"> of recoveries equalling HRK 103.27 thousand was collected from debtors. This amount of collected recoveries was significantly lower than the amount of recoveries collected in the previous year when it had equalled HRK 102.72 million because, in 2021, recoveries had been collected under several transactions of great value, including a record amount of recoveries collected under a </w:t>
      </w:r>
      <w:proofErr w:type="gramStart"/>
      <w:r w:rsidRPr="00891780">
        <w:rPr>
          <w:rStyle w:val="normaltextrun"/>
          <w:rFonts w:ascii="Calibri" w:hAnsi="Calibri" w:cs="Calibri"/>
          <w:color w:val="000000"/>
          <w:sz w:val="22"/>
          <w:szCs w:val="22"/>
          <w:shd w:val="clear" w:color="auto" w:fill="FFFFFF"/>
          <w:lang w:val="en-GB"/>
        </w:rPr>
        <w:t>single  transaction</w:t>
      </w:r>
      <w:proofErr w:type="gramEnd"/>
      <w:r w:rsidRPr="00891780">
        <w:rPr>
          <w:rStyle w:val="normaltextrun"/>
          <w:rFonts w:ascii="Calibri" w:hAnsi="Calibri" w:cs="Calibri"/>
          <w:color w:val="000000"/>
          <w:sz w:val="22"/>
          <w:szCs w:val="22"/>
          <w:shd w:val="clear" w:color="auto" w:fill="FFFFFF"/>
          <w:lang w:val="en-GB"/>
        </w:rPr>
        <w:t xml:space="preserve"> since the start of export credit insurance activities.</w:t>
      </w:r>
    </w:p>
    <w:p w14:paraId="2F9BF832" w14:textId="77777777" w:rsidR="00B96183" w:rsidRPr="00891780" w:rsidRDefault="00B96183" w:rsidP="000B677E">
      <w:pPr>
        <w:rPr>
          <w:rStyle w:val="normaltextrun"/>
          <w:rFonts w:ascii="Calibri" w:hAnsi="Calibri" w:cs="Calibri"/>
          <w:color w:val="000000"/>
          <w:sz w:val="22"/>
          <w:szCs w:val="22"/>
          <w:shd w:val="clear" w:color="auto" w:fill="FFFFFF"/>
          <w:lang w:val="en-GB"/>
        </w:rPr>
      </w:pPr>
      <w:r w:rsidRPr="00891780">
        <w:rPr>
          <w:rStyle w:val="normaltextrun"/>
          <w:rFonts w:ascii="Calibri" w:hAnsi="Calibri" w:cs="Calibri"/>
          <w:color w:val="000000"/>
          <w:sz w:val="22"/>
          <w:szCs w:val="22"/>
          <w:shd w:val="clear" w:color="auto" w:fill="FFFFFF"/>
          <w:lang w:val="en-GB"/>
        </w:rPr>
        <w:br w:type="page"/>
      </w:r>
    </w:p>
    <w:p w14:paraId="0D8D5542" w14:textId="77777777" w:rsidR="00B96183" w:rsidRPr="00891780" w:rsidRDefault="00B96183" w:rsidP="000B677E">
      <w:pPr>
        <w:keepNext/>
        <w:keepLines/>
        <w:pBdr>
          <w:bottom w:val="single" w:sz="4" w:space="2" w:color="B2B2B2"/>
        </w:pBdr>
        <w:spacing w:before="360" w:after="120"/>
        <w:outlineLvl w:val="0"/>
        <w:rPr>
          <w:rFonts w:ascii="Calibri" w:eastAsia="SimHei" w:hAnsi="Calibri" w:cs="Calibri"/>
          <w:b/>
          <w:bCs/>
          <w:sz w:val="22"/>
          <w:szCs w:val="22"/>
          <w:lang w:val="en-GB"/>
        </w:rPr>
      </w:pPr>
      <w:bookmarkStart w:id="66" w:name="_Toc129176353"/>
      <w:r w:rsidRPr="00891780">
        <w:rPr>
          <w:rFonts w:ascii="Calibri" w:eastAsia="SimHei" w:hAnsi="Calibri" w:cs="Calibri"/>
          <w:b/>
          <w:bCs/>
          <w:sz w:val="22"/>
          <w:szCs w:val="22"/>
          <w:lang w:val="en-GB"/>
        </w:rPr>
        <w:lastRenderedPageBreak/>
        <w:t>RISK MANAGEMENT</w:t>
      </w:r>
      <w:bookmarkEnd w:id="66"/>
    </w:p>
    <w:p w14:paraId="020C7635"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Pursuant to the Act on HBOR, the Bank is obliged to reduce risks in its operations to the lowest level possible by applying the principles of banking operations.</w:t>
      </w:r>
    </w:p>
    <w:p w14:paraId="331F8FB1"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In the risk management process, HBOR continuously identifies, assesses, measures, monitors, contains and controls risks it is or may be exposed to in its operations and reports thereupon to the relevant bodies. These procedures and adequate internal documents ensure a comprehensive and complete risk management system. The most significant risks HBOR is exposed to in its everyday operations are credit risk, liquidity risk, interest rate risk, currency risk, operational </w:t>
      </w:r>
      <w:proofErr w:type="gramStart"/>
      <w:r w:rsidRPr="00891780">
        <w:rPr>
          <w:rFonts w:ascii="Calibri" w:eastAsia="SimSun" w:hAnsi="Calibri" w:cs="Calibri"/>
          <w:sz w:val="22"/>
          <w:szCs w:val="22"/>
          <w:lang w:val="en-GB"/>
        </w:rPr>
        <w:t>risk</w:t>
      </w:r>
      <w:proofErr w:type="gramEnd"/>
      <w:r w:rsidRPr="00891780">
        <w:rPr>
          <w:rFonts w:ascii="Calibri" w:eastAsia="SimSun" w:hAnsi="Calibri" w:cs="Calibri"/>
          <w:sz w:val="22"/>
          <w:szCs w:val="22"/>
          <w:lang w:val="en-GB"/>
        </w:rPr>
        <w:t xml:space="preserve"> and outsourcing risk. These risks are managed in day-to-day operations through policies, ordinances, procedures, methodologies, limit instructions and systems, controls and decisions/conclusions of the Supervisory Board, the Management </w:t>
      </w:r>
      <w:proofErr w:type="gramStart"/>
      <w:r w:rsidRPr="00891780">
        <w:rPr>
          <w:rFonts w:ascii="Calibri" w:eastAsia="SimSun" w:hAnsi="Calibri" w:cs="Calibri"/>
          <w:sz w:val="22"/>
          <w:szCs w:val="22"/>
          <w:lang w:val="en-GB"/>
        </w:rPr>
        <w:t>Board</w:t>
      </w:r>
      <w:proofErr w:type="gramEnd"/>
      <w:r w:rsidRPr="00891780">
        <w:rPr>
          <w:rFonts w:ascii="Calibri" w:eastAsia="SimSun" w:hAnsi="Calibri" w:cs="Calibri"/>
          <w:sz w:val="22"/>
          <w:szCs w:val="22"/>
          <w:lang w:val="en-GB"/>
        </w:rPr>
        <w:t xml:space="preserve"> and the risk management committees.</w:t>
      </w:r>
    </w:p>
    <w:p w14:paraId="5CD85B3C"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HBOR has a functionally and organisationally separate and independent organisational unit for controlling business risks that is directly responsible to the Management Board. This organisational unit is responsible for the identification, assessment, measurement, </w:t>
      </w:r>
      <w:proofErr w:type="gramStart"/>
      <w:r w:rsidRPr="00891780">
        <w:rPr>
          <w:rFonts w:ascii="Calibri" w:eastAsia="SimSun" w:hAnsi="Calibri" w:cs="Calibri"/>
          <w:sz w:val="22"/>
          <w:szCs w:val="22"/>
          <w:lang w:val="en-GB"/>
        </w:rPr>
        <w:t>supervision</w:t>
      </w:r>
      <w:proofErr w:type="gramEnd"/>
      <w:r w:rsidRPr="00891780">
        <w:rPr>
          <w:rFonts w:ascii="Calibri" w:eastAsia="SimSun" w:hAnsi="Calibri" w:cs="Calibri"/>
          <w:sz w:val="22"/>
          <w:szCs w:val="22"/>
          <w:lang w:val="en-GB"/>
        </w:rPr>
        <w:t xml:space="preserve"> and control of risks the Bank is or may be exposed to in its operations. It performs its function by analysing, assessing, measuring risks, developing risk-management related policies, ordinances, </w:t>
      </w:r>
      <w:proofErr w:type="gramStart"/>
      <w:r w:rsidRPr="00891780">
        <w:rPr>
          <w:rFonts w:ascii="Calibri" w:eastAsia="SimSun" w:hAnsi="Calibri" w:cs="Calibri"/>
          <w:sz w:val="22"/>
          <w:szCs w:val="22"/>
          <w:lang w:val="en-GB"/>
        </w:rPr>
        <w:t>procedures</w:t>
      </w:r>
      <w:proofErr w:type="gramEnd"/>
      <w:r w:rsidRPr="00891780">
        <w:rPr>
          <w:rFonts w:ascii="Calibri" w:eastAsia="SimSun" w:hAnsi="Calibri" w:cs="Calibri"/>
          <w:sz w:val="22"/>
          <w:szCs w:val="22"/>
          <w:lang w:val="en-GB"/>
        </w:rPr>
        <w:t xml:space="preserve"> and methodologies, supervising and monitoring their implementation, recommending limits and monitoring the adherence to the adopted limits, giving recommendations and suggestions for adequate risk-management as well as reporting to the relevant bodies.</w:t>
      </w:r>
    </w:p>
    <w:p w14:paraId="7330E6C8" w14:textId="14ADED9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When assessing and measuring risks, HBOR </w:t>
      </w:r>
      <w:proofErr w:type="gramStart"/>
      <w:r w:rsidRPr="00891780">
        <w:rPr>
          <w:rFonts w:ascii="Calibri" w:eastAsia="SimSun" w:hAnsi="Calibri" w:cs="Calibri"/>
          <w:sz w:val="22"/>
          <w:szCs w:val="22"/>
          <w:lang w:val="en-GB"/>
        </w:rPr>
        <w:t>takes into account</w:t>
      </w:r>
      <w:proofErr w:type="gramEnd"/>
      <w:r w:rsidRPr="00891780">
        <w:rPr>
          <w:rFonts w:ascii="Calibri" w:eastAsia="SimSun" w:hAnsi="Calibri" w:cs="Calibri"/>
          <w:sz w:val="22"/>
          <w:szCs w:val="22"/>
          <w:lang w:val="en-GB"/>
        </w:rPr>
        <w:t xml:space="preserve"> historical data, business plans, current and expected market conditions and specific features of the Bank as a special financial institution. The results of measurements/assessments, of analyses and stress tests are reported at the meetings of the risk management committees, the Management </w:t>
      </w:r>
      <w:proofErr w:type="gramStart"/>
      <w:r w:rsidRPr="00891780">
        <w:rPr>
          <w:rFonts w:ascii="Calibri" w:eastAsia="SimSun" w:hAnsi="Calibri" w:cs="Calibri"/>
          <w:sz w:val="22"/>
          <w:szCs w:val="22"/>
          <w:lang w:val="en-GB"/>
        </w:rPr>
        <w:t>Board</w:t>
      </w:r>
      <w:proofErr w:type="gramEnd"/>
      <w:r w:rsidRPr="00891780">
        <w:rPr>
          <w:rFonts w:ascii="Calibri" w:eastAsia="SimSun" w:hAnsi="Calibri" w:cs="Calibri"/>
          <w:sz w:val="22"/>
          <w:szCs w:val="22"/>
          <w:lang w:val="en-GB"/>
        </w:rPr>
        <w:t xml:space="preserve"> and the Supervisory Board. </w:t>
      </w:r>
      <w:proofErr w:type="gramStart"/>
      <w:r w:rsidRPr="00891780">
        <w:rPr>
          <w:rFonts w:ascii="Calibri" w:eastAsia="SimSun" w:hAnsi="Calibri" w:cs="Calibri"/>
          <w:sz w:val="22"/>
          <w:szCs w:val="22"/>
          <w:lang w:val="en-GB"/>
        </w:rPr>
        <w:t>In order to</w:t>
      </w:r>
      <w:proofErr w:type="gramEnd"/>
      <w:r w:rsidRPr="00891780">
        <w:rPr>
          <w:rFonts w:ascii="Calibri" w:eastAsia="SimSun" w:hAnsi="Calibri" w:cs="Calibri"/>
          <w:sz w:val="22"/>
          <w:szCs w:val="22"/>
          <w:lang w:val="en-GB"/>
        </w:rPr>
        <w:t xml:space="preserve"> monitor and control the risks, the systems of limits have been established for the purpose of managing credit risk, liquidity risk, interest rate risk and currency risk. Reports are systematically submitted to relevant bodies on: credit portfolio quality, high exposure and maximum permitted exposure, regulatory capital adequacy, collection of receivables and risky placements, changes in commercial banks' internal ratings and actions taken in the event of their deterioration, a number of liquidity indicators (liquidity coverage ratio (LCR), net stable funding ratio (NSFR), survival horizon) as well as liquidity projections, open foreign currency position projections, risk values, impacts of fluctuations in foreign exchange rates and interest rates on business performance, interest gap, projections of average weighted interest rates on sources and placements, etc. The dynamics of reporting and the methodologies for measuring and assessing risks have been prescribed by the internal documents of the Bank.</w:t>
      </w:r>
    </w:p>
    <w:p w14:paraId="36128CA1"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The Bank performs sensitivity analyses and scenario analyses by assuming changes in one or more risk factors in regular circumstance and under stress, and it reports on the results of such analyses to HBOR’s bodies in charge. Systems of proactive risk management are continuously developed for the purpose of mitigating potential future risks.</w:t>
      </w:r>
    </w:p>
    <w:p w14:paraId="00A9CDA4"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The Management Board of HBOR is responsible for the implementation of the risk management strategy and for the establishment and implementation of an effective and reliable risk management system. For the purpose of accomplishing its function, the Management Board has delegated its powers to three risk management committees:</w:t>
      </w:r>
    </w:p>
    <w:p w14:paraId="0D42B531" w14:textId="77777777" w:rsidR="00B96183" w:rsidRPr="00891780" w:rsidRDefault="00B96183" w:rsidP="000B677E">
      <w:pPr>
        <w:pStyle w:val="Odlomakpopisa2"/>
        <w:numPr>
          <w:ilvl w:val="0"/>
          <w:numId w:val="13"/>
        </w:numPr>
        <w:spacing w:line="276" w:lineRule="auto"/>
        <w:jc w:val="both"/>
        <w:textAlignment w:val="baseline"/>
        <w:rPr>
          <w:rFonts w:ascii="Calibri" w:hAnsi="Calibri" w:cs="Calibri"/>
          <w:sz w:val="22"/>
          <w:szCs w:val="22"/>
          <w:lang w:val="en-GB" w:eastAsia="hr-HR"/>
        </w:rPr>
      </w:pPr>
      <w:r w:rsidRPr="00891780">
        <w:rPr>
          <w:rFonts w:ascii="Calibri" w:hAnsi="Calibri" w:cs="Calibri"/>
          <w:sz w:val="22"/>
          <w:szCs w:val="22"/>
          <w:lang w:val="en-GB" w:eastAsia="hr-HR"/>
        </w:rPr>
        <w:t xml:space="preserve">Asset and Liability Management Committee – manages liquidity risk, interest rate risk and currency risk through the prescribed policies, ordinances and procedures that regulate this area, </w:t>
      </w:r>
    </w:p>
    <w:p w14:paraId="532DDD83" w14:textId="77777777" w:rsidR="00B96183" w:rsidRPr="00891780" w:rsidRDefault="00B96183" w:rsidP="000B677E">
      <w:pPr>
        <w:pStyle w:val="Odlomakpopisa2"/>
        <w:numPr>
          <w:ilvl w:val="0"/>
          <w:numId w:val="13"/>
        </w:numPr>
        <w:spacing w:line="276" w:lineRule="auto"/>
        <w:jc w:val="both"/>
        <w:textAlignment w:val="baseline"/>
        <w:rPr>
          <w:rFonts w:ascii="Calibri" w:hAnsi="Calibri" w:cs="Calibri"/>
          <w:sz w:val="22"/>
          <w:szCs w:val="22"/>
          <w:lang w:val="en-GB" w:eastAsia="hr-HR"/>
        </w:rPr>
      </w:pPr>
      <w:r w:rsidRPr="00891780">
        <w:rPr>
          <w:rFonts w:ascii="Calibri" w:hAnsi="Calibri" w:cs="Calibri"/>
          <w:sz w:val="22"/>
          <w:szCs w:val="22"/>
          <w:lang w:val="en-GB" w:eastAsia="hr-HR"/>
        </w:rPr>
        <w:lastRenderedPageBreak/>
        <w:t>Credit Risk Assessment and Measurement Committee – manages credit risk through the prescribed policies, ordinances and other internal documents that are related to credit risk,</w:t>
      </w:r>
    </w:p>
    <w:p w14:paraId="2197BF39" w14:textId="77777777" w:rsidR="00B96183" w:rsidRPr="00891780" w:rsidRDefault="00B96183" w:rsidP="000B677E">
      <w:pPr>
        <w:pStyle w:val="Odlomakpopisa2"/>
        <w:numPr>
          <w:ilvl w:val="0"/>
          <w:numId w:val="13"/>
        </w:numPr>
        <w:spacing w:line="276" w:lineRule="auto"/>
        <w:jc w:val="both"/>
        <w:textAlignment w:val="baseline"/>
        <w:rPr>
          <w:rFonts w:ascii="Calibri" w:hAnsi="Calibri" w:cs="Calibri"/>
          <w:sz w:val="22"/>
          <w:szCs w:val="22"/>
          <w:lang w:val="en-GB" w:eastAsia="hr-HR"/>
        </w:rPr>
      </w:pPr>
      <w:r w:rsidRPr="00891780">
        <w:rPr>
          <w:rFonts w:ascii="Calibri" w:hAnsi="Calibri" w:cs="Calibri"/>
          <w:sz w:val="22"/>
          <w:szCs w:val="22"/>
          <w:lang w:val="en-GB" w:eastAsia="hr-HR"/>
        </w:rPr>
        <w:t>HBOR Information System Management Committee – manages the resources of the information system and adequately manages the risks that arise from the use of information technology.</w:t>
      </w:r>
    </w:p>
    <w:p w14:paraId="558FBA95"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The risk management strategy aims to achieve and maintain a good and efficient system of risk management and to further develop and improve the system in line with the banking regulations and the relevant recommendations and guidelines by taking into account the specific features of HBOR as a development and export bank and a special financial institution.</w:t>
      </w:r>
    </w:p>
    <w:p w14:paraId="05F5CDE9" w14:textId="77777777" w:rsidR="00B96183" w:rsidRPr="00891780" w:rsidRDefault="00B96183" w:rsidP="000B677E">
      <w:pPr>
        <w:spacing w:before="120" w:after="120" w:line="276" w:lineRule="auto"/>
        <w:jc w:val="both"/>
        <w:rPr>
          <w:rFonts w:ascii="Calibri" w:eastAsia="SimSun" w:hAnsi="Calibri" w:cs="Calibri"/>
          <w:bCs/>
          <w:spacing w:val="-3"/>
          <w:sz w:val="22"/>
          <w:szCs w:val="22"/>
          <w:lang w:val="en-GB"/>
        </w:rPr>
      </w:pPr>
    </w:p>
    <w:p w14:paraId="41E906B6" w14:textId="77777777" w:rsidR="00B96183" w:rsidRPr="00891780" w:rsidRDefault="00B96183" w:rsidP="000B677E">
      <w:pPr>
        <w:spacing w:before="120" w:after="120" w:line="276" w:lineRule="auto"/>
        <w:jc w:val="both"/>
        <w:rPr>
          <w:rFonts w:ascii="Calibri" w:eastAsia="SimSun" w:hAnsi="Calibri" w:cs="Calibri"/>
          <w:b/>
          <w:sz w:val="22"/>
          <w:szCs w:val="22"/>
          <w:lang w:val="en-GB"/>
        </w:rPr>
      </w:pPr>
      <w:r w:rsidRPr="00891780">
        <w:rPr>
          <w:rFonts w:ascii="Calibri" w:eastAsia="SimSun" w:hAnsi="Calibri" w:cs="Calibri"/>
          <w:b/>
          <w:sz w:val="22"/>
          <w:szCs w:val="22"/>
          <w:lang w:val="en-GB"/>
        </w:rPr>
        <w:t xml:space="preserve">Credit risk </w:t>
      </w:r>
    </w:p>
    <w:p w14:paraId="23B34E42"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The Bank controls credit risk through credit policies and credit risk management ordinances that determine the internal control systems with an objective to act preventively.</w:t>
      </w:r>
    </w:p>
    <w:p w14:paraId="30CE0129"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The credit risk management system is the most important part of HBOR’s business policy and an important factor of its business strategy. Therefore, this area is regulated by the Credit Risk Management Policy and the Credit Risk Management Ordinance that apply to all phases of the credit process (from the development of new banking products to loan applications, client monitoring and final loan repayments). </w:t>
      </w:r>
    </w:p>
    <w:p w14:paraId="6A0F4ACC"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Methodologies for the assessment of business operations of various client target groups have been adopted in addition to the Credit Risk Management Policy and the Credit Risk Management Ordinance.</w:t>
      </w:r>
    </w:p>
    <w:p w14:paraId="67B56A32"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In order to mitigate credit risk and reduce operating costs, the Bank, in accordance with the HBOR Act, on-lends part of its placements via financial institutions that assume the risk of collecting repayments from final borrowers. For the purpose of facilitating access to HBOR’s funds, the Bank on-lends part of its placements in cooperation with commercial banks through risk-sharing models, under which credit institutions and HBOR share the risk in accordance with pre-defined funding ratios. </w:t>
      </w:r>
    </w:p>
    <w:p w14:paraId="35B7E432"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Generally, all direct placements and placements through the risk-sharing models are secured by mortgages on immovable property, and, if possible, the Bank requires guarantees issued by HAMAG-BICRO </w:t>
      </w:r>
      <w:proofErr w:type="gramStart"/>
      <w:r w:rsidRPr="00891780">
        <w:rPr>
          <w:rFonts w:ascii="Calibri" w:eastAsia="SimSun" w:hAnsi="Calibri" w:cs="Calibri"/>
          <w:sz w:val="22"/>
          <w:szCs w:val="22"/>
          <w:lang w:val="en-GB"/>
        </w:rPr>
        <w:t>and also</w:t>
      </w:r>
      <w:proofErr w:type="gramEnd"/>
      <w:r w:rsidRPr="00891780">
        <w:rPr>
          <w:rFonts w:ascii="Calibri" w:eastAsia="SimSun" w:hAnsi="Calibri" w:cs="Calibri"/>
          <w:sz w:val="22"/>
          <w:szCs w:val="22"/>
          <w:lang w:val="en-GB"/>
        </w:rPr>
        <w:t xml:space="preserve"> other types of guarantees and warranties as collateral. The Bank has determined the required ratio between placement value and collateral value according to the type of collateral, the loan programme, the general terms and conditions of security and the decision of the body in charge. </w:t>
      </w:r>
    </w:p>
    <w:p w14:paraId="6ABA1872"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The Bank’s development loan programmes cover the entire territory of the Republic of Croatia with a focus on the supported areas. Credit risk is diversified by geographical regions, activities, </w:t>
      </w:r>
      <w:proofErr w:type="gramStart"/>
      <w:r w:rsidRPr="00891780">
        <w:rPr>
          <w:rFonts w:ascii="Calibri" w:eastAsia="SimSun" w:hAnsi="Calibri" w:cs="Calibri"/>
          <w:sz w:val="22"/>
          <w:szCs w:val="22"/>
          <w:lang w:val="en-GB"/>
        </w:rPr>
        <w:t>sectors</w:t>
      </w:r>
      <w:proofErr w:type="gramEnd"/>
      <w:r w:rsidRPr="00891780">
        <w:rPr>
          <w:rFonts w:ascii="Calibri" w:eastAsia="SimSun" w:hAnsi="Calibri" w:cs="Calibri"/>
          <w:sz w:val="22"/>
          <w:szCs w:val="22"/>
          <w:lang w:val="en-GB"/>
        </w:rPr>
        <w:t xml:space="preserve"> and loan programmes. The Bank aims to prevent the excessive concentration of credit risk and, by providing more favourable terms and conditions and creating new loan sub-programmes (products), to promote the development of less developed regions of the Republic of Croatia in accordance with HBOR's 2020-2024 Business Strategy and the government development strategy for individual activities</w:t>
      </w:r>
      <w:r w:rsidRPr="00891780">
        <w:rPr>
          <w:rStyle w:val="Zadanifontodlomka2"/>
          <w:rFonts w:ascii="Calibri" w:eastAsia="SimSun" w:hAnsi="Calibri" w:cs="Calibri"/>
          <w:bCs/>
          <w:spacing w:val="-3"/>
          <w:sz w:val="22"/>
          <w:szCs w:val="22"/>
          <w:lang w:val="en-GB"/>
        </w:rPr>
        <w:t>.</w:t>
      </w:r>
    </w:p>
    <w:p w14:paraId="0048B5CB" w14:textId="77777777" w:rsidR="00B96183" w:rsidRPr="00891780" w:rsidRDefault="00B96183" w:rsidP="000B677E">
      <w:pPr>
        <w:spacing w:before="120" w:after="120" w:line="276" w:lineRule="auto"/>
        <w:jc w:val="both"/>
        <w:rPr>
          <w:rFonts w:ascii="Calibri" w:eastAsia="SimSun" w:hAnsi="Calibri" w:cs="Calibri"/>
          <w:b/>
          <w:sz w:val="22"/>
          <w:szCs w:val="22"/>
          <w:lang w:val="en-GB"/>
        </w:rPr>
      </w:pPr>
    </w:p>
    <w:p w14:paraId="0072E133" w14:textId="77777777" w:rsidR="00B96183" w:rsidRPr="00891780" w:rsidRDefault="00B96183" w:rsidP="000B677E">
      <w:pPr>
        <w:spacing w:before="120" w:after="120" w:line="276" w:lineRule="auto"/>
        <w:jc w:val="both"/>
        <w:rPr>
          <w:rFonts w:ascii="Calibri" w:eastAsia="SimSun" w:hAnsi="Calibri" w:cs="Calibri"/>
          <w:b/>
          <w:sz w:val="22"/>
          <w:szCs w:val="22"/>
          <w:lang w:val="en-GB"/>
        </w:rPr>
      </w:pPr>
      <w:r w:rsidRPr="00891780">
        <w:rPr>
          <w:rFonts w:ascii="Calibri" w:eastAsia="SimSun" w:hAnsi="Calibri" w:cs="Calibri"/>
          <w:b/>
          <w:sz w:val="22"/>
          <w:szCs w:val="22"/>
          <w:lang w:val="en-GB"/>
        </w:rPr>
        <w:t>Liquidity risk, currency risk and interest rate risk in the banking book</w:t>
      </w:r>
    </w:p>
    <w:p w14:paraId="52361AB3"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The Bank ensures quality management of liquidity, currency and interest rate risks through the Asset and Liability Management Committee. The management of these risks implies a reduction of interest rate risk, currency risk and liquidity risk to the lowest possible level. </w:t>
      </w:r>
      <w:proofErr w:type="gramStart"/>
      <w:r w:rsidRPr="00891780">
        <w:rPr>
          <w:rFonts w:ascii="Calibri" w:eastAsia="SimSun" w:hAnsi="Calibri" w:cs="Calibri"/>
          <w:sz w:val="22"/>
          <w:szCs w:val="22"/>
          <w:lang w:val="en-GB"/>
        </w:rPr>
        <w:t>The majority of</w:t>
      </w:r>
      <w:proofErr w:type="gramEnd"/>
      <w:r w:rsidRPr="00891780">
        <w:rPr>
          <w:rFonts w:ascii="Calibri" w:eastAsia="SimSun" w:hAnsi="Calibri" w:cs="Calibri"/>
          <w:sz w:val="22"/>
          <w:szCs w:val="22"/>
          <w:lang w:val="en-GB"/>
        </w:rPr>
        <w:t xml:space="preserve"> the Bank’s organisational units are included, directly and indirectly, in the activities of the Asset and Liability </w:t>
      </w:r>
      <w:r w:rsidRPr="00891780">
        <w:rPr>
          <w:rFonts w:ascii="Calibri" w:eastAsia="SimSun" w:hAnsi="Calibri" w:cs="Calibri"/>
          <w:sz w:val="22"/>
          <w:szCs w:val="22"/>
          <w:lang w:val="en-GB"/>
        </w:rPr>
        <w:lastRenderedPageBreak/>
        <w:t>Management Committee in order to ensure a high-quality, integrated and comprehensive system for the management of these risks.</w:t>
      </w:r>
    </w:p>
    <w:p w14:paraId="3F9AA00A" w14:textId="07D93819" w:rsidR="00B96183" w:rsidRDefault="00B96183" w:rsidP="004A0A4A">
      <w:pPr>
        <w:spacing w:before="120" w:after="120"/>
        <w:jc w:val="both"/>
        <w:rPr>
          <w:rFonts w:ascii="Calibri" w:eastAsia="SimSun" w:hAnsi="Calibri" w:cs="Calibri"/>
          <w:b/>
          <w:sz w:val="22"/>
          <w:szCs w:val="22"/>
          <w:lang w:val="en-GB"/>
        </w:rPr>
      </w:pPr>
      <w:r w:rsidRPr="00891780">
        <w:rPr>
          <w:rFonts w:ascii="Calibri" w:eastAsia="SimSun" w:hAnsi="Calibri" w:cs="Calibri"/>
          <w:b/>
          <w:sz w:val="22"/>
          <w:szCs w:val="22"/>
          <w:lang w:val="en-GB"/>
        </w:rPr>
        <w:t>Liquidity risk</w:t>
      </w:r>
    </w:p>
    <w:p w14:paraId="29FA8158" w14:textId="77777777" w:rsidR="00B96183" w:rsidRPr="00891780" w:rsidRDefault="00B96183" w:rsidP="004A0A4A">
      <w:pPr>
        <w:spacing w:before="120" w:after="120" w:line="264"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The basic principles for managing HBOR’s liquidity risk are defined in internal documents as well as in the decisions and conclusions made by the Supervisory Board, the Management Board and the Asset and Liability Management Committee. </w:t>
      </w:r>
    </w:p>
    <w:p w14:paraId="0A40C684" w14:textId="77777777" w:rsidR="00B96183" w:rsidRPr="00891780" w:rsidRDefault="00B96183" w:rsidP="004A0A4A">
      <w:pPr>
        <w:spacing w:before="120" w:after="120" w:line="264" w:lineRule="auto"/>
        <w:jc w:val="both"/>
        <w:rPr>
          <w:rFonts w:ascii="Calibri" w:eastAsia="SimSun" w:hAnsi="Calibri" w:cs="Calibri"/>
          <w:sz w:val="22"/>
          <w:szCs w:val="22"/>
          <w:lang w:val="en-GB"/>
        </w:rPr>
      </w:pPr>
      <w:r w:rsidRPr="00891780">
        <w:rPr>
          <w:rFonts w:ascii="Calibri" w:eastAsia="SimSun" w:hAnsi="Calibri" w:cs="Calibri"/>
          <w:sz w:val="22"/>
          <w:szCs w:val="22"/>
          <w:lang w:val="en-GB"/>
        </w:rPr>
        <w:t>For the purposes of managing liquidity risk, the Bank has established a system of limits. The Bank monitors and verifies whether the limits are obeyed. It maintains the necessary level of liquidity reserves, continuously monitors the current and planned liquidity</w:t>
      </w:r>
      <w:r w:rsidRPr="00891780">
        <w:rPr>
          <w:lang w:val="en-GB"/>
        </w:rPr>
        <w:t xml:space="preserve"> </w:t>
      </w:r>
      <w:r w:rsidRPr="00891780">
        <w:rPr>
          <w:rFonts w:ascii="Calibri" w:eastAsia="SimSun" w:hAnsi="Calibri" w:cs="Calibri"/>
          <w:sz w:val="22"/>
          <w:szCs w:val="22"/>
          <w:lang w:val="en-GB"/>
        </w:rPr>
        <w:t xml:space="preserve">through limits, </w:t>
      </w:r>
      <w:proofErr w:type="gramStart"/>
      <w:r w:rsidRPr="00891780">
        <w:rPr>
          <w:rFonts w:ascii="Calibri" w:eastAsia="SimSun" w:hAnsi="Calibri" w:cs="Calibri"/>
          <w:sz w:val="22"/>
          <w:szCs w:val="22"/>
          <w:lang w:val="en-GB"/>
        </w:rPr>
        <w:t>indicators</w:t>
      </w:r>
      <w:proofErr w:type="gramEnd"/>
      <w:r w:rsidRPr="00891780">
        <w:rPr>
          <w:rFonts w:ascii="Calibri" w:eastAsia="SimSun" w:hAnsi="Calibri" w:cs="Calibri"/>
          <w:sz w:val="22"/>
          <w:szCs w:val="22"/>
          <w:lang w:val="en-GB"/>
        </w:rPr>
        <w:t xml:space="preserve"> and projections, and provides sufficient </w:t>
      </w:r>
      <w:proofErr w:type="spellStart"/>
      <w:r w:rsidRPr="00891780">
        <w:rPr>
          <w:rFonts w:ascii="Calibri" w:eastAsia="SimSun" w:hAnsi="Calibri" w:cs="Calibri"/>
          <w:sz w:val="22"/>
          <w:szCs w:val="22"/>
          <w:lang w:val="en-GB"/>
        </w:rPr>
        <w:t>kuna</w:t>
      </w:r>
      <w:proofErr w:type="spellEnd"/>
      <w:r w:rsidRPr="00891780">
        <w:rPr>
          <w:rFonts w:ascii="Calibri" w:eastAsia="SimSun" w:hAnsi="Calibri" w:cs="Calibri"/>
          <w:sz w:val="22"/>
          <w:szCs w:val="22"/>
          <w:lang w:val="en-GB"/>
        </w:rPr>
        <w:t xml:space="preserve"> and foreign currency funds necessary for the timely settlement of obligations and disbursements under committed loans and planned commitments. The Bank monitors and strives to achieve compatibility of the existing and planned placements and sources in terms of maturity. The Bank does not take deposits from citizens and is therefore not exposed to wide daily fluctuations in liquidity. The Bank monitors liquidity risk also through scenario analyses and sensitivity analyses both under regular business conditions and under stress. Early warning signals and procedures for liquidity crisis indication or occurrence are determined in the Liquidity Risk Management Ordinance. </w:t>
      </w:r>
    </w:p>
    <w:p w14:paraId="720C7C9C" w14:textId="77777777" w:rsidR="00B96183" w:rsidRPr="002E1A01" w:rsidRDefault="00B96183" w:rsidP="004A0A4A">
      <w:pPr>
        <w:spacing w:before="120" w:after="120"/>
        <w:jc w:val="both"/>
        <w:rPr>
          <w:rFonts w:ascii="Calibri" w:eastAsia="SimSun" w:hAnsi="Calibri" w:cs="Calibri"/>
          <w:sz w:val="2"/>
          <w:szCs w:val="2"/>
          <w:lang w:val="en-GB"/>
        </w:rPr>
      </w:pPr>
    </w:p>
    <w:p w14:paraId="64155186" w14:textId="310F2012" w:rsidR="00B96183" w:rsidRDefault="00B96183" w:rsidP="004A0A4A">
      <w:pPr>
        <w:spacing w:before="120" w:after="120"/>
        <w:jc w:val="both"/>
        <w:rPr>
          <w:rFonts w:ascii="Calibri" w:eastAsia="SimSun" w:hAnsi="Calibri" w:cs="Calibri"/>
          <w:b/>
          <w:sz w:val="22"/>
          <w:szCs w:val="22"/>
          <w:lang w:val="en-GB"/>
        </w:rPr>
      </w:pPr>
      <w:r w:rsidRPr="00891780">
        <w:rPr>
          <w:rFonts w:ascii="Calibri" w:eastAsia="SimSun" w:hAnsi="Calibri" w:cs="Calibri"/>
          <w:b/>
          <w:sz w:val="22"/>
          <w:szCs w:val="22"/>
          <w:lang w:val="en-GB"/>
        </w:rPr>
        <w:t xml:space="preserve">Interest rate risk </w:t>
      </w:r>
    </w:p>
    <w:p w14:paraId="20E56E67" w14:textId="77777777" w:rsidR="00B96183" w:rsidRPr="00891780" w:rsidRDefault="00B96183" w:rsidP="004A0A4A">
      <w:pPr>
        <w:spacing w:before="120" w:after="120" w:line="264"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The basic principles for managing the Bank’s interest rate risk are defined in internal documents and in the decisions and conclusions made by the Management Board and the Asset and Liability Management Committee. </w:t>
      </w:r>
      <w:proofErr w:type="gramStart"/>
      <w:r w:rsidRPr="00891780">
        <w:rPr>
          <w:rFonts w:ascii="Calibri" w:eastAsia="SimSun" w:hAnsi="Calibri" w:cs="Calibri"/>
          <w:sz w:val="22"/>
          <w:szCs w:val="22"/>
          <w:lang w:val="en-GB"/>
        </w:rPr>
        <w:t>For the purpose of</w:t>
      </w:r>
      <w:proofErr w:type="gramEnd"/>
      <w:r w:rsidRPr="00891780">
        <w:rPr>
          <w:rFonts w:ascii="Calibri" w:eastAsia="SimSun" w:hAnsi="Calibri" w:cs="Calibri"/>
          <w:sz w:val="22"/>
          <w:szCs w:val="22"/>
          <w:lang w:val="en-GB"/>
        </w:rPr>
        <w:t xml:space="preserve"> measuring and monitoring the interest rate risk, the Bank analyses the interest rate gap. The interest rate gap is analysed with respect to specific periods in terms of possible changes in interest rates and it illustrates the sensitivity of the Bank to such changes in interest rates both under regular business conditions and under stress. Interest rates are elaborated in detail per currency, type and level of interest rates, and projections of developments in average weighted interest rates on sources and placements are prepared. In addition to harmonisation of interest rates applied on sources and placements, current market conditions and development projections for basic market indicators are also monitored.</w:t>
      </w:r>
    </w:p>
    <w:p w14:paraId="6D05D5BF" w14:textId="4C4EAAD3" w:rsidR="00B96183" w:rsidRDefault="00B96183" w:rsidP="004A0A4A">
      <w:pPr>
        <w:spacing w:before="120" w:after="120"/>
        <w:jc w:val="both"/>
        <w:rPr>
          <w:rFonts w:ascii="Calibri" w:eastAsia="SimSun" w:hAnsi="Calibri" w:cs="Calibri"/>
          <w:b/>
          <w:sz w:val="22"/>
          <w:szCs w:val="22"/>
          <w:lang w:val="en-GB"/>
        </w:rPr>
      </w:pPr>
      <w:r w:rsidRPr="00891780">
        <w:rPr>
          <w:rFonts w:ascii="Calibri" w:eastAsia="SimSun" w:hAnsi="Calibri" w:cs="Calibri"/>
          <w:b/>
          <w:sz w:val="22"/>
          <w:szCs w:val="22"/>
          <w:lang w:val="en-GB"/>
        </w:rPr>
        <w:t>Currency risk</w:t>
      </w:r>
    </w:p>
    <w:p w14:paraId="13E5E04C" w14:textId="77777777" w:rsidR="00B96183" w:rsidRPr="00891780" w:rsidRDefault="00B96183" w:rsidP="004A0A4A">
      <w:pPr>
        <w:spacing w:before="120" w:after="120" w:line="264"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The basic principles for HBOR’s currency risk management are defined in internal documents as well as in the decisions and conclusions made by the Management Board and the Asset and Liability Management Committee. The methods for the measurement, assessment, monitoring and management of currency risk have been established, the limits and early warning signals as well as procedures in the case of crisis indication or occurrence have been determined, and the reports necessary for overall currency risk containment have been defined. </w:t>
      </w:r>
    </w:p>
    <w:p w14:paraId="74DA8A44" w14:textId="77777777" w:rsidR="00B96183" w:rsidRPr="00891780" w:rsidRDefault="00B96183" w:rsidP="004A0A4A">
      <w:pPr>
        <w:spacing w:before="120" w:after="120" w:line="264" w:lineRule="auto"/>
        <w:jc w:val="both"/>
        <w:rPr>
          <w:rFonts w:ascii="Calibri" w:eastAsia="SimSun" w:hAnsi="Calibri" w:cs="Calibri"/>
          <w:sz w:val="22"/>
          <w:szCs w:val="22"/>
          <w:lang w:val="en-GB"/>
        </w:rPr>
      </w:pPr>
      <w:r w:rsidRPr="00891780">
        <w:rPr>
          <w:rFonts w:ascii="Calibri" w:eastAsia="SimSun" w:hAnsi="Calibri" w:cs="Calibri"/>
          <w:sz w:val="22"/>
          <w:szCs w:val="22"/>
          <w:lang w:val="en-GB"/>
        </w:rPr>
        <w:t>For measuring the exposure to currency risk, the Bank monitors the open foreign currency position. In addition to the daily monitoring of the open foreign currency position and the preparing of its development projections, the Bank calculates risk values and regularly reports to relevant bodies on the highest possible losses by significant currencies for the purpose of assessing and measuring the currency risk. Sensitivity analyses are performed both under regular business conditions and under stress.</w:t>
      </w:r>
    </w:p>
    <w:p w14:paraId="7EF7378E" w14:textId="77777777" w:rsidR="00B96183" w:rsidRPr="002E1A01" w:rsidRDefault="00B96183" w:rsidP="004A0A4A">
      <w:pPr>
        <w:spacing w:before="120" w:after="120"/>
        <w:jc w:val="both"/>
        <w:rPr>
          <w:rFonts w:ascii="Calibri" w:eastAsia="SimSun" w:hAnsi="Calibri" w:cs="Calibri"/>
          <w:b/>
          <w:sz w:val="2"/>
          <w:szCs w:val="2"/>
          <w:lang w:val="en-GB"/>
        </w:rPr>
      </w:pPr>
    </w:p>
    <w:p w14:paraId="6D1B2F4E" w14:textId="6A6AA244" w:rsidR="00B96183" w:rsidRDefault="00B96183" w:rsidP="004A0A4A">
      <w:pPr>
        <w:spacing w:before="120" w:after="120"/>
        <w:jc w:val="both"/>
        <w:rPr>
          <w:rFonts w:ascii="Calibri" w:eastAsia="SimSun" w:hAnsi="Calibri" w:cs="Calibri"/>
          <w:b/>
          <w:sz w:val="22"/>
          <w:szCs w:val="22"/>
          <w:lang w:val="en-GB"/>
        </w:rPr>
      </w:pPr>
      <w:r w:rsidRPr="00891780">
        <w:rPr>
          <w:rFonts w:ascii="Calibri" w:eastAsia="SimSun" w:hAnsi="Calibri" w:cs="Calibri"/>
          <w:b/>
          <w:sz w:val="22"/>
          <w:szCs w:val="22"/>
          <w:lang w:val="en-GB"/>
        </w:rPr>
        <w:t xml:space="preserve">Operational risk </w:t>
      </w:r>
    </w:p>
    <w:p w14:paraId="46F2B2C1" w14:textId="77777777" w:rsidR="00B96183" w:rsidRPr="00891780" w:rsidRDefault="00B96183" w:rsidP="004A0A4A">
      <w:pPr>
        <w:spacing w:before="120" w:after="120" w:line="264"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The basic principles for operational risk management are determined in the umbrella document: the Operational Risk Management Policies. The system structure of management and responsibility has been set up, the approach to the calculation of capital requirements for operational risk has been </w:t>
      </w:r>
      <w:r w:rsidRPr="00891780">
        <w:rPr>
          <w:rFonts w:ascii="Calibri" w:eastAsia="SimSun" w:hAnsi="Calibri" w:cs="Calibri"/>
          <w:sz w:val="22"/>
          <w:szCs w:val="22"/>
          <w:lang w:val="en-GB"/>
        </w:rPr>
        <w:lastRenderedPageBreak/>
        <w:t xml:space="preserve">defined, and the reporting system and the manner of determining, </w:t>
      </w:r>
      <w:proofErr w:type="gramStart"/>
      <w:r w:rsidRPr="00891780">
        <w:rPr>
          <w:rFonts w:ascii="Calibri" w:eastAsia="SimSun" w:hAnsi="Calibri" w:cs="Calibri"/>
          <w:sz w:val="22"/>
          <w:szCs w:val="22"/>
          <w:lang w:val="en-GB"/>
        </w:rPr>
        <w:t>containing</w:t>
      </w:r>
      <w:proofErr w:type="gramEnd"/>
      <w:r w:rsidRPr="00891780">
        <w:rPr>
          <w:rFonts w:ascii="Calibri" w:eastAsia="SimSun" w:hAnsi="Calibri" w:cs="Calibri"/>
          <w:sz w:val="22"/>
          <w:szCs w:val="22"/>
          <w:lang w:val="en-GB"/>
        </w:rPr>
        <w:t xml:space="preserve"> and monitoring exposure to operational risk have been established.</w:t>
      </w:r>
    </w:p>
    <w:p w14:paraId="67C073D9"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The Information System Management Committee is responsible for the monitoring and supervising IT system performance. Its purpose is to manage the IT resources and to set up the appropriate level of efficiency and security of IT system </w:t>
      </w:r>
      <w:proofErr w:type="gramStart"/>
      <w:r w:rsidRPr="00891780">
        <w:rPr>
          <w:rFonts w:ascii="Calibri" w:eastAsia="SimSun" w:hAnsi="Calibri" w:cs="Calibri"/>
          <w:sz w:val="22"/>
          <w:szCs w:val="22"/>
          <w:lang w:val="en-GB"/>
        </w:rPr>
        <w:t>in order to</w:t>
      </w:r>
      <w:proofErr w:type="gramEnd"/>
      <w:r w:rsidRPr="00891780">
        <w:rPr>
          <w:rFonts w:ascii="Calibri" w:eastAsia="SimSun" w:hAnsi="Calibri" w:cs="Calibri"/>
          <w:sz w:val="22"/>
          <w:szCs w:val="22"/>
          <w:lang w:val="en-GB"/>
        </w:rPr>
        <w:t xml:space="preserve"> ensure, among other things, appropriate management of risks arising from IT technology utilisation. The supervision of the IT system security is covered by the Head of IT system security function. Within this function, a system for the management of HBOR’s business continuity has been set up.</w:t>
      </w:r>
    </w:p>
    <w:p w14:paraId="5D292E96"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Due to the consequences of the earthquake in Zagreb when the Bank’s main office building was damaged and due to the impact of the COVID-19 pandemic, work from home has been introduced for </w:t>
      </w:r>
      <w:proofErr w:type="gramStart"/>
      <w:r w:rsidRPr="00891780">
        <w:rPr>
          <w:rFonts w:ascii="Calibri" w:eastAsia="SimSun" w:hAnsi="Calibri" w:cs="Calibri"/>
          <w:sz w:val="22"/>
          <w:szCs w:val="22"/>
          <w:lang w:val="en-GB"/>
        </w:rPr>
        <w:t>a large number of</w:t>
      </w:r>
      <w:proofErr w:type="gramEnd"/>
      <w:r w:rsidRPr="00891780">
        <w:rPr>
          <w:rFonts w:ascii="Calibri" w:eastAsia="SimSun" w:hAnsi="Calibri" w:cs="Calibri"/>
          <w:sz w:val="22"/>
          <w:szCs w:val="22"/>
          <w:lang w:val="en-GB"/>
        </w:rPr>
        <w:t xml:space="preserve"> employees who have been provided with the resources necessary for the running of the business without interruption. Additional security controls have been established over employees' business activities and the operations of mobile devices (telephones and computers) </w:t>
      </w:r>
      <w:proofErr w:type="gramStart"/>
      <w:r w:rsidRPr="00891780">
        <w:rPr>
          <w:rFonts w:ascii="Calibri" w:eastAsia="SimSun" w:hAnsi="Calibri" w:cs="Calibri"/>
          <w:sz w:val="22"/>
          <w:szCs w:val="22"/>
          <w:lang w:val="en-GB"/>
        </w:rPr>
        <w:t>in order to</w:t>
      </w:r>
      <w:proofErr w:type="gramEnd"/>
      <w:r w:rsidRPr="00891780">
        <w:rPr>
          <w:rFonts w:ascii="Calibri" w:eastAsia="SimSun" w:hAnsi="Calibri" w:cs="Calibri"/>
          <w:sz w:val="22"/>
          <w:szCs w:val="22"/>
          <w:lang w:val="en-GB"/>
        </w:rPr>
        <w:t xml:space="preserve"> continue to operate under an appropriate level of protection.</w:t>
      </w:r>
    </w:p>
    <w:p w14:paraId="0FED19C5" w14:textId="77777777" w:rsidR="00B96183" w:rsidRPr="00891780" w:rsidRDefault="00B96183" w:rsidP="000B677E">
      <w:pPr>
        <w:spacing w:before="120" w:after="120" w:line="276" w:lineRule="auto"/>
        <w:jc w:val="both"/>
        <w:rPr>
          <w:rFonts w:ascii="Calibri" w:eastAsia="SimSun" w:hAnsi="Calibri" w:cs="Calibri"/>
          <w:sz w:val="22"/>
          <w:szCs w:val="22"/>
          <w:lang w:val="en-GB"/>
        </w:rPr>
      </w:pPr>
    </w:p>
    <w:p w14:paraId="160255EA" w14:textId="77777777" w:rsidR="00B96183" w:rsidRPr="00891780" w:rsidRDefault="00B96183" w:rsidP="000B677E">
      <w:pPr>
        <w:spacing w:before="120" w:after="120" w:line="276" w:lineRule="auto"/>
        <w:jc w:val="both"/>
        <w:rPr>
          <w:rFonts w:ascii="Calibri" w:eastAsia="Calibri" w:hAnsi="Calibri" w:cs="Calibri"/>
          <w:b/>
          <w:sz w:val="22"/>
          <w:szCs w:val="22"/>
          <w:lang w:val="en-GB" w:eastAsia="hr-HR"/>
        </w:rPr>
      </w:pPr>
      <w:r w:rsidRPr="00891780">
        <w:rPr>
          <w:rFonts w:ascii="Calibri" w:eastAsia="Calibri" w:hAnsi="Calibri" w:cs="Calibri"/>
          <w:b/>
          <w:sz w:val="22"/>
          <w:szCs w:val="22"/>
          <w:lang w:val="en-GB" w:eastAsia="hr-HR"/>
        </w:rPr>
        <w:t>Outsourcing risk</w:t>
      </w:r>
    </w:p>
    <w:p w14:paraId="72A6A016"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The Bank manages the outsourcing risk </w:t>
      </w:r>
      <w:proofErr w:type="gramStart"/>
      <w:r w:rsidRPr="00891780">
        <w:rPr>
          <w:rFonts w:ascii="Calibri" w:eastAsia="SimSun" w:hAnsi="Calibri" w:cs="Calibri"/>
          <w:sz w:val="22"/>
          <w:szCs w:val="22"/>
          <w:lang w:val="en-GB"/>
        </w:rPr>
        <w:t>on the basis of</w:t>
      </w:r>
      <w:proofErr w:type="gramEnd"/>
      <w:r w:rsidRPr="00891780">
        <w:rPr>
          <w:rFonts w:ascii="Calibri" w:eastAsia="SimSun" w:hAnsi="Calibri" w:cs="Calibri"/>
          <w:sz w:val="22"/>
          <w:szCs w:val="22"/>
          <w:lang w:val="en-GB"/>
        </w:rPr>
        <w:t xml:space="preserve"> internal documents that are in compliance with the regulations prescribed by the Croatian National Bank applicable to the Bank as a special financial institution. The internal documents that determine the management of this risk </w:t>
      </w:r>
      <w:proofErr w:type="gramStart"/>
      <w:r w:rsidRPr="00891780">
        <w:rPr>
          <w:rFonts w:ascii="Calibri" w:eastAsia="SimSun" w:hAnsi="Calibri" w:cs="Calibri"/>
          <w:sz w:val="22"/>
          <w:szCs w:val="22"/>
          <w:lang w:val="en-GB"/>
        </w:rPr>
        <w:t>determine also</w:t>
      </w:r>
      <w:proofErr w:type="gramEnd"/>
      <w:r w:rsidRPr="00891780">
        <w:rPr>
          <w:rFonts w:ascii="Calibri" w:eastAsia="SimSun" w:hAnsi="Calibri" w:cs="Calibri"/>
          <w:sz w:val="22"/>
          <w:szCs w:val="22"/>
          <w:lang w:val="en-GB"/>
        </w:rPr>
        <w:t xml:space="preserve"> the procedures for the outsourcing of activities, the rules for the management of relations with the service providers and the obligation to reduce the risk to the lowest level.</w:t>
      </w:r>
    </w:p>
    <w:p w14:paraId="7D586107"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The central records of outsourced activities have been established. Reports on materially significant outsourced activities are submitted to the Management Board and the Supervisory Board of the Bank on an annual basis.</w:t>
      </w:r>
    </w:p>
    <w:p w14:paraId="428F3F41" w14:textId="77777777" w:rsidR="00B96183" w:rsidRPr="00891780" w:rsidRDefault="00B96183" w:rsidP="000B677E">
      <w:pPr>
        <w:spacing w:before="120" w:after="120" w:line="276" w:lineRule="auto"/>
        <w:jc w:val="both"/>
        <w:rPr>
          <w:rFonts w:ascii="Calibri" w:eastAsia="SimSun" w:hAnsi="Calibri" w:cs="Calibri"/>
          <w:sz w:val="22"/>
          <w:szCs w:val="22"/>
          <w:lang w:val="en-GB"/>
        </w:rPr>
      </w:pPr>
    </w:p>
    <w:p w14:paraId="0C7A883E" w14:textId="77777777" w:rsidR="00B96183" w:rsidRPr="00891780" w:rsidRDefault="00B96183" w:rsidP="000B677E">
      <w:pPr>
        <w:spacing w:before="120" w:after="120" w:line="276" w:lineRule="auto"/>
        <w:jc w:val="both"/>
        <w:rPr>
          <w:rFonts w:ascii="Calibri" w:eastAsia="Calibri" w:hAnsi="Calibri" w:cs="Calibri"/>
          <w:b/>
          <w:sz w:val="22"/>
          <w:szCs w:val="22"/>
          <w:lang w:val="en-GB" w:eastAsia="hr-HR"/>
        </w:rPr>
      </w:pPr>
      <w:r w:rsidRPr="00891780">
        <w:rPr>
          <w:rFonts w:ascii="Calibri" w:eastAsia="Calibri" w:hAnsi="Calibri" w:cs="Calibri"/>
          <w:b/>
          <w:sz w:val="22"/>
          <w:szCs w:val="22"/>
          <w:lang w:val="en-GB" w:eastAsia="hr-HR"/>
        </w:rPr>
        <w:t>Asset quality of HBOR</w:t>
      </w:r>
    </w:p>
    <w:p w14:paraId="53C96E04"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Since 2018, HBOR has implemented the International Financial Reporting Standard 9 for the impairment of financial instruments.</w:t>
      </w:r>
    </w:p>
    <w:p w14:paraId="718E71D5"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As </w:t>
      </w:r>
      <w:proofErr w:type="gramStart"/>
      <w:r w:rsidRPr="00891780">
        <w:rPr>
          <w:rFonts w:ascii="Calibri" w:eastAsia="SimSun" w:hAnsi="Calibri" w:cs="Calibri"/>
          <w:sz w:val="22"/>
          <w:szCs w:val="22"/>
          <w:lang w:val="en-GB"/>
        </w:rPr>
        <w:t>at</w:t>
      </w:r>
      <w:proofErr w:type="gramEnd"/>
      <w:r w:rsidRPr="00891780">
        <w:rPr>
          <w:rFonts w:ascii="Calibri" w:eastAsia="SimSun" w:hAnsi="Calibri" w:cs="Calibri"/>
          <w:sz w:val="22"/>
          <w:szCs w:val="22"/>
          <w:lang w:val="en-GB"/>
        </w:rPr>
        <w:t xml:space="preserve"> 31 December 2022, HBOR’s total gross portfolio amounted to approximately HRK 35.5 billion. Of the total gross portfolio, 78.4 percent was allocated to Stage 1, whereas 7.4 percent was allocated to Stage 2 and 14.1 percent was allocated to Stage 3. </w:t>
      </w:r>
    </w:p>
    <w:p w14:paraId="00B1E52E"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Financial assets not classified to credit risk stages represent 0.1 percent of the total gross portfolio.  </w:t>
      </w:r>
    </w:p>
    <w:p w14:paraId="43B1BF4C" w14:textId="6F3F0402" w:rsidR="00B96183"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Of the total gross loan portfolio, 75.8 percent was allocated to Stage 1, whereas 8.5 percent was allocated to Stage 2 and 15.7 percent to Stage 3</w:t>
      </w:r>
      <w:r w:rsidR="00D7651D">
        <w:rPr>
          <w:rFonts w:ascii="Calibri" w:eastAsia="SimSun" w:hAnsi="Calibri" w:cs="Calibri"/>
          <w:sz w:val="22"/>
          <w:szCs w:val="22"/>
          <w:lang w:val="en-GB"/>
        </w:rPr>
        <w:t>, which is shown in the following graphs.</w:t>
      </w:r>
    </w:p>
    <w:p w14:paraId="5F89BE28" w14:textId="4250E111" w:rsidR="005E0A1B" w:rsidRDefault="005E0A1B" w:rsidP="000B677E">
      <w:pPr>
        <w:spacing w:before="120" w:after="120" w:line="276" w:lineRule="auto"/>
        <w:jc w:val="both"/>
        <w:rPr>
          <w:rFonts w:ascii="Calibri" w:eastAsia="SimSun" w:hAnsi="Calibri" w:cs="Calibri"/>
          <w:sz w:val="22"/>
          <w:szCs w:val="22"/>
          <w:lang w:val="en-GB"/>
        </w:rPr>
      </w:pPr>
    </w:p>
    <w:p w14:paraId="028412C2" w14:textId="1FD05C8B" w:rsidR="005E0A1B" w:rsidRDefault="005E0A1B" w:rsidP="000B677E">
      <w:pPr>
        <w:spacing w:before="120" w:after="120" w:line="276" w:lineRule="auto"/>
        <w:jc w:val="both"/>
        <w:rPr>
          <w:rFonts w:ascii="Calibri" w:eastAsia="SimSun" w:hAnsi="Calibri" w:cs="Calibri"/>
          <w:sz w:val="22"/>
          <w:szCs w:val="22"/>
          <w:lang w:val="en-GB"/>
        </w:rPr>
      </w:pPr>
    </w:p>
    <w:p w14:paraId="177AFF97" w14:textId="6EDB66D7" w:rsidR="005E0A1B" w:rsidRDefault="005B7B56" w:rsidP="000B677E">
      <w:pPr>
        <w:spacing w:before="120" w:after="120" w:line="276" w:lineRule="auto"/>
        <w:jc w:val="both"/>
        <w:rPr>
          <w:rFonts w:ascii="Calibri" w:eastAsia="SimSun" w:hAnsi="Calibri" w:cs="Calibri"/>
          <w:sz w:val="22"/>
          <w:szCs w:val="22"/>
          <w:lang w:val="en-GB"/>
        </w:rPr>
      </w:pPr>
      <w:r w:rsidRPr="00995886">
        <w:rPr>
          <w:rFonts w:ascii="Calibri" w:eastAsia="SimSun" w:hAnsi="Calibri" w:cs="Calibri"/>
          <w:noProof/>
          <w:shd w:val="clear" w:color="auto" w:fill="E6E6E6"/>
        </w:rPr>
        <w:lastRenderedPageBreak/>
        <w:drawing>
          <wp:inline distT="0" distB="0" distL="0" distR="0" wp14:anchorId="720543D5" wp14:editId="5B8628C9">
            <wp:extent cx="4849664" cy="3275635"/>
            <wp:effectExtent l="0" t="0" r="8255" b="1270"/>
            <wp:docPr id="9" name="Chart 7">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5885BA" w14:textId="5A0F1353" w:rsidR="005E0A1B" w:rsidRDefault="005E0A1B" w:rsidP="000B677E">
      <w:pPr>
        <w:spacing w:before="120" w:after="120" w:line="276" w:lineRule="auto"/>
        <w:jc w:val="both"/>
        <w:rPr>
          <w:rFonts w:ascii="Calibri" w:eastAsia="SimSun" w:hAnsi="Calibri" w:cs="Calibri"/>
          <w:sz w:val="22"/>
          <w:szCs w:val="22"/>
          <w:lang w:val="en-GB"/>
        </w:rPr>
      </w:pPr>
    </w:p>
    <w:p w14:paraId="0F65406E" w14:textId="4D9215FD" w:rsidR="005E0A1B" w:rsidRPr="00891780" w:rsidRDefault="005136B3" w:rsidP="000B677E">
      <w:pPr>
        <w:spacing w:before="120" w:after="120" w:line="276" w:lineRule="auto"/>
        <w:jc w:val="both"/>
        <w:rPr>
          <w:rFonts w:ascii="Calibri" w:eastAsia="SimSun" w:hAnsi="Calibri" w:cs="Calibri"/>
          <w:sz w:val="22"/>
          <w:szCs w:val="22"/>
          <w:lang w:val="en-GB"/>
        </w:rPr>
      </w:pPr>
      <w:r w:rsidRPr="00995886">
        <w:rPr>
          <w:rFonts w:ascii="Calibri" w:eastAsia="SimSun" w:hAnsi="Calibri" w:cs="Calibri"/>
          <w:noProof/>
          <w:shd w:val="clear" w:color="auto" w:fill="E6E6E6"/>
        </w:rPr>
        <w:drawing>
          <wp:inline distT="0" distB="0" distL="0" distR="0" wp14:anchorId="786279BA" wp14:editId="3F024C19">
            <wp:extent cx="4906645" cy="2924175"/>
            <wp:effectExtent l="0" t="0" r="8255" b="9525"/>
            <wp:docPr id="1" name="Chart 8">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04992F" w14:textId="35923153" w:rsidR="00B96183" w:rsidRPr="00891780" w:rsidRDefault="00B96183" w:rsidP="000B677E">
      <w:pPr>
        <w:spacing w:before="120" w:after="120" w:line="276" w:lineRule="auto"/>
        <w:jc w:val="both"/>
        <w:rPr>
          <w:lang w:val="en-GB"/>
        </w:rPr>
      </w:pPr>
    </w:p>
    <w:p w14:paraId="6C756575" w14:textId="77777777" w:rsidR="00B96183" w:rsidRPr="00891780" w:rsidRDefault="00B96183" w:rsidP="000B677E">
      <w:pPr>
        <w:spacing w:before="120" w:after="120" w:line="276" w:lineRule="auto"/>
        <w:jc w:val="both"/>
        <w:rPr>
          <w:rFonts w:ascii="Calibri" w:eastAsia="SimSun" w:hAnsi="Calibri" w:cs="Calibri"/>
          <w:sz w:val="22"/>
          <w:szCs w:val="22"/>
          <w:lang w:val="en-GB"/>
        </w:rPr>
      </w:pPr>
    </w:p>
    <w:p w14:paraId="6EC21AFC" w14:textId="35264F0C" w:rsidR="00B96183" w:rsidRPr="00891780" w:rsidRDefault="00B96183" w:rsidP="000B677E">
      <w:pPr>
        <w:spacing w:before="120" w:after="120" w:line="276" w:lineRule="auto"/>
        <w:jc w:val="both"/>
        <w:rPr>
          <w:lang w:val="en-GB"/>
        </w:rPr>
      </w:pPr>
    </w:p>
    <w:p w14:paraId="27921B87" w14:textId="77777777" w:rsidR="00B96183" w:rsidRPr="00891780" w:rsidRDefault="00B96183" w:rsidP="000B677E">
      <w:pPr>
        <w:spacing w:before="120" w:after="120" w:line="276" w:lineRule="auto"/>
        <w:jc w:val="both"/>
        <w:rPr>
          <w:rFonts w:ascii="Calibri" w:eastAsia="SimSun" w:hAnsi="Calibri" w:cs="Calibri"/>
          <w:sz w:val="22"/>
          <w:szCs w:val="22"/>
          <w:lang w:val="en-GB"/>
        </w:rPr>
      </w:pPr>
    </w:p>
    <w:p w14:paraId="2B36C5C3" w14:textId="77777777" w:rsidR="00B96183" w:rsidRPr="00891780" w:rsidRDefault="00B96183" w:rsidP="000B677E">
      <w:pPr>
        <w:rPr>
          <w:rFonts w:ascii="Calibri" w:eastAsia="SimHei" w:hAnsi="Calibri" w:cs="Calibri"/>
          <w:b/>
          <w:bCs/>
          <w:sz w:val="22"/>
          <w:szCs w:val="22"/>
          <w:lang w:val="en-GB"/>
        </w:rPr>
      </w:pPr>
      <w:r w:rsidRPr="00891780">
        <w:rPr>
          <w:rFonts w:ascii="Calibri" w:eastAsia="SimHei" w:hAnsi="Calibri" w:cs="Calibri"/>
          <w:b/>
          <w:bCs/>
          <w:sz w:val="22"/>
          <w:szCs w:val="22"/>
          <w:lang w:val="en-GB"/>
        </w:rPr>
        <w:br w:type="page"/>
      </w:r>
    </w:p>
    <w:p w14:paraId="6F4D9AC3" w14:textId="77777777" w:rsidR="00B96183" w:rsidRPr="00891780" w:rsidRDefault="00B96183" w:rsidP="000B677E">
      <w:pPr>
        <w:keepNext/>
        <w:keepLines/>
        <w:pBdr>
          <w:bottom w:val="single" w:sz="4" w:space="2" w:color="B2B2B2"/>
        </w:pBdr>
        <w:spacing w:before="360" w:after="120"/>
        <w:jc w:val="both"/>
        <w:outlineLvl w:val="0"/>
        <w:rPr>
          <w:rFonts w:ascii="Calibri" w:eastAsia="SimHei" w:hAnsi="Calibri" w:cs="Calibri"/>
          <w:b/>
          <w:bCs/>
          <w:sz w:val="22"/>
          <w:szCs w:val="22"/>
          <w:lang w:val="en-GB"/>
        </w:rPr>
      </w:pPr>
      <w:bookmarkStart w:id="67" w:name="_Toc129176354"/>
      <w:r w:rsidRPr="00891780">
        <w:rPr>
          <w:rFonts w:ascii="Calibri" w:eastAsia="SimHei" w:hAnsi="Calibri" w:cs="Calibri"/>
          <w:b/>
          <w:bCs/>
          <w:sz w:val="22"/>
          <w:szCs w:val="22"/>
          <w:lang w:val="en-GB"/>
        </w:rPr>
        <w:lastRenderedPageBreak/>
        <w:t>INTERNAL AUDIT</w:t>
      </w:r>
      <w:bookmarkEnd w:id="67"/>
    </w:p>
    <w:p w14:paraId="0F370B47"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The Internal Audit is part of HBOR’s supervision system. It </w:t>
      </w:r>
      <w:proofErr w:type="gramStart"/>
      <w:r w:rsidRPr="00891780">
        <w:rPr>
          <w:rFonts w:ascii="Calibri" w:eastAsia="SimSun" w:hAnsi="Calibri" w:cs="Calibri"/>
          <w:sz w:val="22"/>
          <w:szCs w:val="22"/>
          <w:lang w:val="en-GB"/>
        </w:rPr>
        <w:t>is in charge of</w:t>
      </w:r>
      <w:proofErr w:type="gramEnd"/>
      <w:r w:rsidRPr="00891780">
        <w:rPr>
          <w:rFonts w:ascii="Calibri" w:eastAsia="SimSun" w:hAnsi="Calibri" w:cs="Calibri"/>
          <w:sz w:val="22"/>
          <w:szCs w:val="22"/>
          <w:lang w:val="en-GB"/>
        </w:rPr>
        <w:t xml:space="preserve"> monitoring the overall operations on the basis of the principles of legality and HBOR’s internal documents by applying the internal audit standards. The Internal Audit is organisationally independent in carrying out its tasks and determines the manner of operating and reporting as well as preparing its findings, </w:t>
      </w:r>
      <w:proofErr w:type="gramStart"/>
      <w:r w:rsidRPr="00891780">
        <w:rPr>
          <w:rFonts w:ascii="Calibri" w:eastAsia="SimSun" w:hAnsi="Calibri" w:cs="Calibri"/>
          <w:sz w:val="22"/>
          <w:szCs w:val="22"/>
          <w:lang w:val="en-GB"/>
        </w:rPr>
        <w:t>opinions</w:t>
      </w:r>
      <w:proofErr w:type="gramEnd"/>
      <w:r w:rsidRPr="00891780">
        <w:rPr>
          <w:rFonts w:ascii="Calibri" w:eastAsia="SimSun" w:hAnsi="Calibri" w:cs="Calibri"/>
          <w:sz w:val="22"/>
          <w:szCs w:val="22"/>
          <w:lang w:val="en-GB"/>
        </w:rPr>
        <w:t xml:space="preserve"> and recommendations on its own. It is administratively responsible to the Management Board and functionally to the Audit Committee and the Supervisory Board of HBOR, to which reports are submitted semi-annually. Based on the audit report and according to the recommendations of the Internal Audit, the Management Board makes the necessary decisions to take corrective measures and activities.</w:t>
      </w:r>
    </w:p>
    <w:p w14:paraId="4DB84D94" w14:textId="77777777" w:rsidR="00B96183" w:rsidRPr="00891780" w:rsidRDefault="00B96183" w:rsidP="000B677E">
      <w:pPr>
        <w:keepNext/>
        <w:keepLines/>
        <w:pBdr>
          <w:bottom w:val="single" w:sz="4" w:space="2" w:color="B2B2B2"/>
        </w:pBdr>
        <w:spacing w:before="360" w:after="120"/>
        <w:jc w:val="both"/>
        <w:outlineLvl w:val="0"/>
        <w:rPr>
          <w:rFonts w:ascii="Calibri" w:eastAsia="SimHei" w:hAnsi="Calibri" w:cs="Calibri"/>
          <w:b/>
          <w:bCs/>
          <w:sz w:val="22"/>
          <w:szCs w:val="22"/>
          <w:lang w:val="en-GB"/>
        </w:rPr>
      </w:pPr>
      <w:bookmarkStart w:id="68" w:name="_Toc129176355"/>
      <w:r w:rsidRPr="00891780">
        <w:rPr>
          <w:rFonts w:ascii="Calibri" w:eastAsia="SimHei" w:hAnsi="Calibri" w:cs="Calibri"/>
          <w:b/>
          <w:bCs/>
          <w:sz w:val="22"/>
          <w:szCs w:val="22"/>
          <w:lang w:val="en-GB"/>
        </w:rPr>
        <w:t>COMPLIANCE MONITORING FUNCTION</w:t>
      </w:r>
      <w:bookmarkEnd w:id="68"/>
    </w:p>
    <w:p w14:paraId="3284F5BE"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The function of monitoring compliance has been established as an independent and permanent control function. Compliance monitoring activities include the identification and assessment of compliance risks to which HBOR is or might be exposed as well as the provision of advice to the Management Board and other responsible persons on the manner of applying relevant legislation, </w:t>
      </w:r>
      <w:proofErr w:type="gramStart"/>
      <w:r w:rsidRPr="00891780">
        <w:rPr>
          <w:rFonts w:ascii="Calibri" w:eastAsia="SimSun" w:hAnsi="Calibri" w:cs="Calibri"/>
          <w:sz w:val="22"/>
          <w:szCs w:val="22"/>
          <w:lang w:val="en-GB"/>
        </w:rPr>
        <w:t>standards</w:t>
      </w:r>
      <w:proofErr w:type="gramEnd"/>
      <w:r w:rsidRPr="00891780">
        <w:rPr>
          <w:rFonts w:ascii="Calibri" w:eastAsia="SimSun" w:hAnsi="Calibri" w:cs="Calibri"/>
          <w:sz w:val="22"/>
          <w:szCs w:val="22"/>
          <w:lang w:val="en-GB"/>
        </w:rPr>
        <w:t xml:space="preserve"> and rules, including the information on the latest news regarding these issues.</w:t>
      </w:r>
    </w:p>
    <w:p w14:paraId="31D43EBC"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The compliance monitoring function evaluates the impacts that new, and amendments to relevant, laws and other regulations will have on the operations of HBOR, assesses the compliance of new products or new procedures with the relevant laws and regulations and with the amendments to the regulations, provides advice during the preparation of compliance-related training programmes, provides advice and training relating to ethical behaviour, supervises the implementation and fulfilment of the provisions of the Code of Conduct. The compliance monitoring function submits periodical reports to the Management Board, the Audit </w:t>
      </w:r>
      <w:proofErr w:type="gramStart"/>
      <w:r w:rsidRPr="00891780">
        <w:rPr>
          <w:rFonts w:ascii="Calibri" w:eastAsia="SimSun" w:hAnsi="Calibri" w:cs="Calibri"/>
          <w:sz w:val="22"/>
          <w:szCs w:val="22"/>
          <w:lang w:val="en-GB"/>
        </w:rPr>
        <w:t>Committee</w:t>
      </w:r>
      <w:proofErr w:type="gramEnd"/>
      <w:r w:rsidRPr="00891780">
        <w:rPr>
          <w:rFonts w:ascii="Calibri" w:eastAsia="SimSun" w:hAnsi="Calibri" w:cs="Calibri"/>
          <w:sz w:val="22"/>
          <w:szCs w:val="22"/>
          <w:lang w:val="en-GB"/>
        </w:rPr>
        <w:t xml:space="preserve"> and the Supervisory Board of HBOR.</w:t>
      </w:r>
    </w:p>
    <w:p w14:paraId="36777B6E" w14:textId="77777777" w:rsidR="00B96183" w:rsidRPr="00891780" w:rsidRDefault="00B96183" w:rsidP="000B677E">
      <w:pPr>
        <w:rPr>
          <w:rStyle w:val="Zadanifontodlomka2"/>
          <w:rFonts w:ascii="Calibri" w:eastAsia="Calibri" w:hAnsi="Calibri" w:cs="Calibri"/>
          <w:b/>
          <w:bCs/>
          <w:sz w:val="22"/>
          <w:szCs w:val="22"/>
          <w:lang w:val="en-GB"/>
        </w:rPr>
      </w:pPr>
      <w:r w:rsidRPr="00891780">
        <w:rPr>
          <w:rStyle w:val="Zadanifontodlomka2"/>
          <w:rFonts w:ascii="Calibri" w:eastAsia="Calibri" w:hAnsi="Calibri" w:cs="Calibri"/>
          <w:b/>
          <w:bCs/>
          <w:sz w:val="22"/>
          <w:szCs w:val="22"/>
          <w:lang w:val="en-GB"/>
        </w:rPr>
        <w:br w:type="page"/>
      </w:r>
    </w:p>
    <w:p w14:paraId="20C6E93B" w14:textId="77777777" w:rsidR="00B96183" w:rsidRPr="00891780" w:rsidRDefault="00B96183" w:rsidP="000B677E">
      <w:pPr>
        <w:keepNext/>
        <w:keepLines/>
        <w:pBdr>
          <w:bottom w:val="single" w:sz="4" w:space="2" w:color="B2B2B2"/>
        </w:pBdr>
        <w:spacing w:before="360" w:after="120"/>
        <w:outlineLvl w:val="0"/>
        <w:rPr>
          <w:lang w:val="en-GB"/>
        </w:rPr>
      </w:pPr>
      <w:bookmarkStart w:id="69" w:name="_Toc129176356"/>
      <w:r w:rsidRPr="00891780">
        <w:rPr>
          <w:rStyle w:val="Zadanifontodlomka2"/>
          <w:rFonts w:ascii="Calibri" w:eastAsia="Calibri" w:hAnsi="Calibri" w:cs="Calibri"/>
          <w:b/>
          <w:bCs/>
          <w:sz w:val="22"/>
          <w:szCs w:val="22"/>
          <w:lang w:val="en-GB"/>
        </w:rPr>
        <w:lastRenderedPageBreak/>
        <w:t>HUMAN RESOURCES</w:t>
      </w:r>
      <w:bookmarkEnd w:id="69"/>
    </w:p>
    <w:p w14:paraId="09EE2DBD"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HBOR is a holder of the Employer Partner Certificate that is awarded by </w:t>
      </w:r>
      <w:proofErr w:type="spellStart"/>
      <w:r w:rsidRPr="00891780">
        <w:rPr>
          <w:rFonts w:ascii="Calibri" w:eastAsia="SimSun" w:hAnsi="Calibri" w:cs="Calibri"/>
          <w:sz w:val="22"/>
          <w:szCs w:val="22"/>
          <w:lang w:val="en-GB"/>
        </w:rPr>
        <w:t>Selectio</w:t>
      </w:r>
      <w:proofErr w:type="spellEnd"/>
      <w:r w:rsidRPr="00891780">
        <w:rPr>
          <w:rFonts w:ascii="Calibri" w:eastAsia="SimSun" w:hAnsi="Calibri" w:cs="Calibri"/>
          <w:sz w:val="22"/>
          <w:szCs w:val="22"/>
          <w:lang w:val="en-GB"/>
        </w:rPr>
        <w:t xml:space="preserve"> d.o.o. for excellence in human resource management. Since 2006, when HBOR joined the project, permanent growth and development have been observed in all aspects of human resource management.</w:t>
      </w:r>
    </w:p>
    <w:p w14:paraId="115D7312" w14:textId="3C86F649"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The goal of the human resource management process is to select quality employees and ensure their permanent upgrading and management as the </w:t>
      </w:r>
      <w:proofErr w:type="gramStart"/>
      <w:r w:rsidR="00EF0EF2">
        <w:rPr>
          <w:rFonts w:ascii="Calibri" w:eastAsia="SimSun" w:hAnsi="Calibri" w:cs="Calibri"/>
          <w:sz w:val="22"/>
          <w:szCs w:val="22"/>
          <w:lang w:val="en-GB"/>
        </w:rPr>
        <w:t>key</w:t>
      </w:r>
      <w:r w:rsidRPr="00891780">
        <w:rPr>
          <w:rFonts w:ascii="Calibri" w:eastAsia="SimSun" w:hAnsi="Calibri" w:cs="Calibri"/>
          <w:sz w:val="22"/>
          <w:szCs w:val="22"/>
          <w:lang w:val="en-GB"/>
        </w:rPr>
        <w:t xml:space="preserve"> way</w:t>
      </w:r>
      <w:proofErr w:type="gramEnd"/>
      <w:r w:rsidRPr="00891780">
        <w:rPr>
          <w:rFonts w:ascii="Calibri" w:eastAsia="SimSun" w:hAnsi="Calibri" w:cs="Calibri"/>
          <w:sz w:val="22"/>
          <w:szCs w:val="22"/>
          <w:lang w:val="en-GB"/>
        </w:rPr>
        <w:t xml:space="preserve"> to achieve excellence in </w:t>
      </w:r>
      <w:r w:rsidR="00196039">
        <w:rPr>
          <w:rFonts w:ascii="Calibri" w:eastAsia="SimSun" w:hAnsi="Calibri" w:cs="Calibri"/>
          <w:sz w:val="22"/>
          <w:szCs w:val="22"/>
          <w:lang w:val="en-GB"/>
        </w:rPr>
        <w:t>the operations of the Bank</w:t>
      </w:r>
      <w:r w:rsidRPr="00891780">
        <w:rPr>
          <w:rFonts w:ascii="Calibri" w:eastAsia="SimSun" w:hAnsi="Calibri" w:cs="Calibri"/>
          <w:sz w:val="22"/>
          <w:szCs w:val="22"/>
          <w:lang w:val="en-GB"/>
        </w:rPr>
        <w:t xml:space="preserve">. Regular processes and activities related to the management of human resources cover the entire career of an employee in the organisation and provide support to the management in the area of human resource management: selection and employment of candidates, management of employees’ goals and competences, remuneration as well as development of employees’ skills. After employment, that is carried out on the basis of transparent </w:t>
      </w:r>
      <w:r w:rsidR="003525EF">
        <w:rPr>
          <w:rFonts w:ascii="Calibri" w:eastAsia="SimSun" w:hAnsi="Calibri" w:cs="Calibri"/>
          <w:sz w:val="22"/>
          <w:szCs w:val="22"/>
          <w:lang w:val="en-GB"/>
        </w:rPr>
        <w:t xml:space="preserve">and determined </w:t>
      </w:r>
      <w:r w:rsidRPr="00891780">
        <w:rPr>
          <w:rFonts w:ascii="Calibri" w:eastAsia="SimSun" w:hAnsi="Calibri" w:cs="Calibri"/>
          <w:sz w:val="22"/>
          <w:szCs w:val="22"/>
          <w:lang w:val="en-GB"/>
        </w:rPr>
        <w:t>selection criteria, new employees are introduced to business through in-house training programmes. Success at work of all employees is monitored and documented on a quarterly basis, whereas individual interviews take place on an annual basis. Training and development of competences that are crucial in the activities performed by employees are organised through in-house workshops and through participation in individual external training programmes.</w:t>
      </w:r>
    </w:p>
    <w:p w14:paraId="491430FC"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Due to the pandemic and the damage to business premises by the earthquake that struck Zagreb in March 2020, HBOR organised its operations by enabling many of its employees to occasionally perform their duties by working from home. The entire operations of HBOR have been adjusted to the new circumstances, and work from home has been regulated with those employees, the nature of whose tasks and duties allows it. </w:t>
      </w:r>
    </w:p>
    <w:p w14:paraId="26A81D46" w14:textId="765E819A"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As </w:t>
      </w:r>
      <w:proofErr w:type="gramStart"/>
      <w:r w:rsidRPr="00891780">
        <w:rPr>
          <w:rFonts w:ascii="Calibri" w:eastAsia="SimSun" w:hAnsi="Calibri" w:cs="Calibri"/>
          <w:sz w:val="22"/>
          <w:szCs w:val="22"/>
          <w:lang w:val="en-GB"/>
        </w:rPr>
        <w:t>at</w:t>
      </w:r>
      <w:proofErr w:type="gramEnd"/>
      <w:r w:rsidRPr="00891780">
        <w:rPr>
          <w:rFonts w:ascii="Calibri" w:eastAsia="SimSun" w:hAnsi="Calibri" w:cs="Calibri"/>
          <w:sz w:val="22"/>
          <w:szCs w:val="22"/>
          <w:lang w:val="en-GB"/>
        </w:rPr>
        <w:t xml:space="preserve"> 31 December 2022, there were altogether 382 employees, of which 351, i.e. 92 percent, h</w:t>
      </w:r>
      <w:r w:rsidR="00F74C06">
        <w:rPr>
          <w:rFonts w:ascii="Calibri" w:eastAsia="SimSun" w:hAnsi="Calibri" w:cs="Calibri"/>
          <w:sz w:val="22"/>
          <w:szCs w:val="22"/>
          <w:lang w:val="en-GB"/>
        </w:rPr>
        <w:t>e</w:t>
      </w:r>
      <w:r w:rsidRPr="00891780">
        <w:rPr>
          <w:rFonts w:ascii="Calibri" w:eastAsia="SimSun" w:hAnsi="Calibri" w:cs="Calibri"/>
          <w:sz w:val="22"/>
          <w:szCs w:val="22"/>
          <w:lang w:val="en-GB"/>
        </w:rPr>
        <w:t>ld a university degree. The average age of employees was 45. The share of women in the total number of employees was 65 percent and the share of men 35 percent.</w:t>
      </w:r>
    </w:p>
    <w:p w14:paraId="1A77C539" w14:textId="77777777" w:rsidR="00B96183" w:rsidRPr="00891780" w:rsidRDefault="00B96183" w:rsidP="000B677E">
      <w:pPr>
        <w:spacing w:after="160" w:line="276" w:lineRule="auto"/>
        <w:jc w:val="both"/>
        <w:rPr>
          <w:rFonts w:ascii="Calibri" w:eastAsia="Calibri" w:hAnsi="Calibri" w:cs="Calibri"/>
          <w:b/>
          <w:bCs/>
          <w:sz w:val="22"/>
          <w:szCs w:val="22"/>
          <w:lang w:val="en-GB"/>
        </w:rPr>
      </w:pPr>
    </w:p>
    <w:p w14:paraId="7FD5D76C" w14:textId="09ED6CB5" w:rsidR="00B96183" w:rsidRDefault="00B96183" w:rsidP="000B677E">
      <w:pPr>
        <w:spacing w:after="160" w:line="276" w:lineRule="auto"/>
        <w:jc w:val="both"/>
        <w:rPr>
          <w:rStyle w:val="Zadanifontodlomka2"/>
          <w:rFonts w:ascii="Calibri" w:eastAsia="Calibri" w:hAnsi="Calibri" w:cs="Calibri"/>
          <w:b/>
          <w:bCs/>
          <w:sz w:val="22"/>
          <w:szCs w:val="22"/>
          <w:lang w:val="en-GB"/>
        </w:rPr>
      </w:pPr>
      <w:r w:rsidRPr="00891780">
        <w:rPr>
          <w:rStyle w:val="Zadanifontodlomka2"/>
          <w:rFonts w:ascii="Calibri" w:eastAsia="Calibri" w:hAnsi="Calibri" w:cs="Calibri"/>
          <w:b/>
          <w:bCs/>
          <w:sz w:val="22"/>
          <w:szCs w:val="22"/>
          <w:lang w:val="en-GB"/>
        </w:rPr>
        <w:t xml:space="preserve">Organisational structure of HBOR as </w:t>
      </w:r>
      <w:proofErr w:type="gramStart"/>
      <w:r w:rsidRPr="00891780">
        <w:rPr>
          <w:rStyle w:val="Zadanifontodlomka2"/>
          <w:rFonts w:ascii="Calibri" w:eastAsia="Calibri" w:hAnsi="Calibri" w:cs="Calibri"/>
          <w:b/>
          <w:bCs/>
          <w:sz w:val="22"/>
          <w:szCs w:val="22"/>
          <w:lang w:val="en-GB"/>
        </w:rPr>
        <w:t>at</w:t>
      </w:r>
      <w:proofErr w:type="gramEnd"/>
      <w:r w:rsidRPr="00891780">
        <w:rPr>
          <w:rStyle w:val="Zadanifontodlomka2"/>
          <w:rFonts w:ascii="Calibri" w:eastAsia="Calibri" w:hAnsi="Calibri" w:cs="Calibri"/>
          <w:b/>
          <w:bCs/>
          <w:sz w:val="22"/>
          <w:szCs w:val="22"/>
          <w:lang w:val="en-GB"/>
        </w:rPr>
        <w:t xml:space="preserve"> 31 December 2022 </w:t>
      </w:r>
    </w:p>
    <w:p w14:paraId="49B64185" w14:textId="77777777" w:rsidR="00B96183" w:rsidRPr="00891780" w:rsidRDefault="00B96183" w:rsidP="000B677E">
      <w:pPr>
        <w:spacing w:after="160" w:line="276" w:lineRule="auto"/>
        <w:jc w:val="center"/>
        <w:rPr>
          <w:lang w:val="en-GB"/>
        </w:rPr>
      </w:pPr>
      <w:r w:rsidRPr="00891780">
        <w:rPr>
          <w:noProof/>
          <w:lang w:val="en-GB"/>
        </w:rPr>
        <w:drawing>
          <wp:inline distT="0" distB="0" distL="0" distR="0" wp14:anchorId="675AF705" wp14:editId="27C35CAD">
            <wp:extent cx="5760720" cy="30206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020695"/>
                    </a:xfrm>
                    <a:prstGeom prst="rect">
                      <a:avLst/>
                    </a:prstGeom>
                  </pic:spPr>
                </pic:pic>
              </a:graphicData>
            </a:graphic>
          </wp:inline>
        </w:drawing>
      </w:r>
    </w:p>
    <w:p w14:paraId="6FFC6BBF" w14:textId="77777777" w:rsidR="00B96183" w:rsidRPr="00891780" w:rsidRDefault="00B96183" w:rsidP="000B677E">
      <w:pPr>
        <w:keepNext/>
        <w:keepLines/>
        <w:pageBreakBefore/>
        <w:pBdr>
          <w:bottom w:val="single" w:sz="4" w:space="2" w:color="B2B2B2"/>
        </w:pBdr>
        <w:spacing w:before="360" w:after="120"/>
        <w:outlineLvl w:val="0"/>
        <w:rPr>
          <w:rFonts w:ascii="Calibri" w:eastAsia="SimHei" w:hAnsi="Calibri" w:cs="Calibri"/>
          <w:b/>
          <w:bCs/>
          <w:sz w:val="22"/>
          <w:szCs w:val="22"/>
          <w:lang w:val="en-GB"/>
        </w:rPr>
      </w:pPr>
      <w:bookmarkStart w:id="70" w:name="_Toc129176357"/>
      <w:r w:rsidRPr="00891780">
        <w:rPr>
          <w:rFonts w:ascii="Calibri" w:eastAsia="SimHei" w:hAnsi="Calibri" w:cs="Calibri"/>
          <w:b/>
          <w:bCs/>
          <w:sz w:val="22"/>
          <w:szCs w:val="22"/>
          <w:lang w:val="en-GB"/>
        </w:rPr>
        <w:lastRenderedPageBreak/>
        <w:t>OTHER ACTIVITIES</w:t>
      </w:r>
      <w:bookmarkEnd w:id="70"/>
    </w:p>
    <w:p w14:paraId="42BAE7CF" w14:textId="77777777" w:rsidR="00B96183" w:rsidRPr="00891780" w:rsidRDefault="00B96183" w:rsidP="000B677E">
      <w:pPr>
        <w:spacing w:before="120" w:after="120" w:line="276" w:lineRule="auto"/>
        <w:jc w:val="both"/>
        <w:rPr>
          <w:rFonts w:ascii="Calibri" w:eastAsia="SimSun" w:hAnsi="Calibri" w:cs="Calibri"/>
          <w:b/>
          <w:sz w:val="22"/>
          <w:szCs w:val="22"/>
          <w:lang w:val="en-GB"/>
        </w:rPr>
      </w:pPr>
      <w:r w:rsidRPr="00891780">
        <w:rPr>
          <w:rFonts w:ascii="Calibri" w:eastAsia="SimSun" w:hAnsi="Calibri" w:cs="Calibri"/>
          <w:b/>
          <w:sz w:val="22"/>
          <w:szCs w:val="22"/>
          <w:lang w:val="en-GB"/>
        </w:rPr>
        <w:t>Introduction of the Euro as the official currency in the Republic of Croatia</w:t>
      </w:r>
    </w:p>
    <w:p w14:paraId="175BC6F8" w14:textId="77777777" w:rsidR="00B96183" w:rsidRPr="00891780" w:rsidRDefault="00B96183" w:rsidP="000B677E">
      <w:pPr>
        <w:spacing w:before="120" w:after="120" w:line="276" w:lineRule="auto"/>
        <w:jc w:val="both"/>
        <w:rPr>
          <w:rFonts w:ascii="Calibri" w:eastAsia="SimSun" w:hAnsi="Calibri" w:cs="Calibri"/>
          <w:spacing w:val="-1"/>
          <w:sz w:val="22"/>
          <w:szCs w:val="22"/>
          <w:lang w:val="en-GB"/>
        </w:rPr>
      </w:pPr>
      <w:r w:rsidRPr="00891780">
        <w:rPr>
          <w:rFonts w:ascii="Calibri" w:eastAsia="SimSun" w:hAnsi="Calibri" w:cs="Calibri"/>
          <w:spacing w:val="-1"/>
          <w:sz w:val="22"/>
          <w:szCs w:val="22"/>
          <w:lang w:val="en-GB"/>
        </w:rPr>
        <w:t xml:space="preserve">In parallel with the activities of the introduction of the euro at the national level, in early 2021, HBOR began to assess the impact of replacing the </w:t>
      </w:r>
      <w:proofErr w:type="spellStart"/>
      <w:r w:rsidRPr="00891780">
        <w:rPr>
          <w:rFonts w:ascii="Calibri" w:eastAsia="SimSun" w:hAnsi="Calibri" w:cs="Calibri"/>
          <w:spacing w:val="-1"/>
          <w:sz w:val="22"/>
          <w:szCs w:val="22"/>
          <w:lang w:val="en-GB"/>
        </w:rPr>
        <w:t>kuna</w:t>
      </w:r>
      <w:proofErr w:type="spellEnd"/>
      <w:r w:rsidRPr="00891780">
        <w:rPr>
          <w:rFonts w:ascii="Calibri" w:eastAsia="SimSun" w:hAnsi="Calibri" w:cs="Calibri"/>
          <w:spacing w:val="-1"/>
          <w:sz w:val="22"/>
          <w:szCs w:val="22"/>
          <w:lang w:val="en-GB"/>
        </w:rPr>
        <w:t xml:space="preserve"> with the euro in every aspect of business operations for the purpose of initiating the project of introducing the euro. Special focus was placed on the analysis of all HBOR’s business activities with the aim of timely harmonisation with the National Plan for the Changeover from the Croatian Kuna to the Euro, the Act on the Introduction of the Euro as the Official Currency in the Republic of </w:t>
      </w:r>
      <w:proofErr w:type="gramStart"/>
      <w:r w:rsidRPr="00891780">
        <w:rPr>
          <w:rFonts w:ascii="Calibri" w:eastAsia="SimSun" w:hAnsi="Calibri" w:cs="Calibri"/>
          <w:spacing w:val="-1"/>
          <w:sz w:val="22"/>
          <w:szCs w:val="22"/>
          <w:lang w:val="en-GB"/>
        </w:rPr>
        <w:t>Croatia</w:t>
      </w:r>
      <w:proofErr w:type="gramEnd"/>
      <w:r w:rsidRPr="00891780">
        <w:rPr>
          <w:rFonts w:ascii="Calibri" w:eastAsia="SimSun" w:hAnsi="Calibri" w:cs="Calibri"/>
          <w:spacing w:val="-1"/>
          <w:sz w:val="22"/>
          <w:szCs w:val="22"/>
          <w:lang w:val="en-GB"/>
        </w:rPr>
        <w:t xml:space="preserve"> and the amendments to the primary and secondary legislation in the area of payment system, tax system, capital market, financial system and commercial law. Under the two-year project of introducing the euro, HBOR complied in a timely manner with the obligations prescribed by the Act on the Introduction of the Euro as the Official Currency in the Republic of Croatia and successfully completed the project of introducing the euro in HBOR.</w:t>
      </w:r>
    </w:p>
    <w:p w14:paraId="36ECD89C" w14:textId="77777777" w:rsidR="00B96183" w:rsidRPr="002E1A01" w:rsidRDefault="00B96183" w:rsidP="000B677E">
      <w:pPr>
        <w:spacing w:before="120" w:after="120" w:line="276" w:lineRule="auto"/>
        <w:jc w:val="both"/>
        <w:rPr>
          <w:rFonts w:ascii="Calibri" w:eastAsia="SimSun" w:hAnsi="Calibri" w:cs="Calibri"/>
          <w:bCs/>
          <w:sz w:val="6"/>
          <w:szCs w:val="6"/>
          <w:lang w:val="en-GB"/>
        </w:rPr>
      </w:pPr>
    </w:p>
    <w:p w14:paraId="373E9B36" w14:textId="77777777" w:rsidR="00B96183" w:rsidRPr="00891780" w:rsidRDefault="00B96183" w:rsidP="000B677E">
      <w:pPr>
        <w:spacing w:before="120" w:after="120" w:line="276" w:lineRule="auto"/>
        <w:jc w:val="both"/>
        <w:rPr>
          <w:rStyle w:val="Zadanifontodlomka2"/>
          <w:rFonts w:ascii="Calibri" w:eastAsia="SimSun" w:hAnsi="Calibri" w:cs="Calibri"/>
          <w:sz w:val="22"/>
          <w:szCs w:val="22"/>
          <w:lang w:val="en-GB"/>
        </w:rPr>
      </w:pPr>
      <w:r w:rsidRPr="00891780">
        <w:rPr>
          <w:rStyle w:val="Zadanifontodlomka2"/>
          <w:rFonts w:ascii="Calibri" w:eastAsia="SimSun" w:hAnsi="Calibri" w:cs="Calibri"/>
          <w:b/>
          <w:bCs/>
          <w:sz w:val="22"/>
          <w:szCs w:val="22"/>
          <w:lang w:val="en-GB"/>
        </w:rPr>
        <w:t>Pillar Assessment</w:t>
      </w:r>
    </w:p>
    <w:p w14:paraId="77D5257B" w14:textId="2BF1B9E8" w:rsidR="00B96183" w:rsidRPr="00891780" w:rsidRDefault="00B96183" w:rsidP="000B677E">
      <w:pPr>
        <w:spacing w:before="120" w:after="120" w:line="276" w:lineRule="auto"/>
        <w:jc w:val="both"/>
        <w:rPr>
          <w:rStyle w:val="Zadanifontodlomka2"/>
          <w:rFonts w:ascii="Calibri" w:eastAsia="SimSun" w:hAnsi="Calibri" w:cs="Calibri"/>
          <w:sz w:val="22"/>
          <w:szCs w:val="22"/>
          <w:lang w:val="en-GB"/>
        </w:rPr>
      </w:pPr>
      <w:r w:rsidRPr="00891780">
        <w:rPr>
          <w:rStyle w:val="Zadanifontodlomka2"/>
          <w:rFonts w:ascii="Calibri" w:eastAsia="SimSun" w:hAnsi="Calibri" w:cs="Calibri"/>
          <w:sz w:val="22"/>
          <w:szCs w:val="22"/>
          <w:lang w:val="en-GB"/>
        </w:rPr>
        <w:t xml:space="preserve">As a prerequisite for participating in the indirect management of EU funds, HBOR </w:t>
      </w:r>
      <w:r w:rsidR="006F33DD">
        <w:rPr>
          <w:rStyle w:val="Zadanifontodlomka2"/>
          <w:rFonts w:ascii="Calibri" w:eastAsia="SimSun" w:hAnsi="Calibri" w:cs="Calibri"/>
          <w:sz w:val="22"/>
          <w:szCs w:val="22"/>
          <w:lang w:val="en-GB"/>
        </w:rPr>
        <w:t xml:space="preserve">carried out the </w:t>
      </w:r>
      <w:r w:rsidRPr="00891780">
        <w:rPr>
          <w:rStyle w:val="Zadanifontodlomka2"/>
          <w:rFonts w:ascii="Calibri" w:eastAsia="SimSun" w:hAnsi="Calibri" w:cs="Calibri"/>
          <w:sz w:val="22"/>
          <w:szCs w:val="22"/>
          <w:lang w:val="en-GB"/>
        </w:rPr>
        <w:t>Pillar Assessment as defined in Article 154 of the Financial Regulation applicable to the general budget of the European Commission and the European Development Fund. Based on the results of the Pillar Assessment, the European Commission (EC) decides whether to entrust the budget execution tasks to HBOR and conclude special agreements on contributions for indirect management.</w:t>
      </w:r>
    </w:p>
    <w:p w14:paraId="470BC8BC" w14:textId="77777777" w:rsidR="00B96183" w:rsidRPr="00891780" w:rsidRDefault="00B96183" w:rsidP="000B677E">
      <w:pPr>
        <w:spacing w:before="120" w:after="120" w:line="276" w:lineRule="auto"/>
        <w:jc w:val="both"/>
        <w:rPr>
          <w:rFonts w:ascii="Calibri" w:eastAsia="SimSun" w:hAnsi="Calibri" w:cs="Calibri"/>
          <w:bCs/>
          <w:sz w:val="22"/>
          <w:szCs w:val="22"/>
          <w:lang w:val="en-GB"/>
        </w:rPr>
      </w:pPr>
      <w:r w:rsidRPr="00891780">
        <w:rPr>
          <w:rStyle w:val="Zadanifontodlomka2"/>
          <w:rFonts w:ascii="Calibri" w:eastAsia="SimSun" w:hAnsi="Calibri" w:cs="Calibri"/>
          <w:sz w:val="22"/>
          <w:szCs w:val="22"/>
          <w:lang w:val="en-GB"/>
        </w:rPr>
        <w:t>Under the pillar-based assessment procedure, HBOR carried out the verification process of the following pillars</w:t>
      </w:r>
      <w:r w:rsidRPr="00891780">
        <w:rPr>
          <w:rFonts w:ascii="Calibri" w:eastAsia="SimSun" w:hAnsi="Calibri" w:cs="Calibri"/>
          <w:bCs/>
          <w:sz w:val="22"/>
          <w:szCs w:val="22"/>
          <w:lang w:val="en-GB"/>
        </w:rPr>
        <w:t>:</w:t>
      </w:r>
    </w:p>
    <w:p w14:paraId="2A20A140" w14:textId="77777777" w:rsidR="00B96183" w:rsidRPr="00891780" w:rsidRDefault="00B96183" w:rsidP="002E1A01">
      <w:pPr>
        <w:numPr>
          <w:ilvl w:val="0"/>
          <w:numId w:val="14"/>
        </w:numPr>
        <w:spacing w:before="120" w:after="120"/>
        <w:jc w:val="both"/>
        <w:rPr>
          <w:rFonts w:ascii="Calibri" w:eastAsia="SimSun" w:hAnsi="Calibri" w:cs="Calibri"/>
          <w:bCs/>
          <w:sz w:val="22"/>
          <w:szCs w:val="22"/>
          <w:lang w:val="en-GB"/>
        </w:rPr>
      </w:pPr>
      <w:r w:rsidRPr="00891780">
        <w:rPr>
          <w:rFonts w:ascii="Calibri" w:eastAsia="SimSun" w:hAnsi="Calibri" w:cs="Calibri"/>
          <w:bCs/>
          <w:sz w:val="22"/>
          <w:szCs w:val="22"/>
          <w:lang w:val="en-GB"/>
        </w:rPr>
        <w:t>Internal Control</w:t>
      </w:r>
    </w:p>
    <w:p w14:paraId="40D6DCA2" w14:textId="77777777" w:rsidR="00B96183" w:rsidRPr="00891780" w:rsidRDefault="00B96183" w:rsidP="002E1A01">
      <w:pPr>
        <w:numPr>
          <w:ilvl w:val="0"/>
          <w:numId w:val="15"/>
        </w:numPr>
        <w:spacing w:before="120" w:after="120"/>
        <w:jc w:val="both"/>
        <w:rPr>
          <w:rFonts w:ascii="Calibri" w:eastAsia="SimSun" w:hAnsi="Calibri" w:cs="Calibri"/>
          <w:bCs/>
          <w:sz w:val="22"/>
          <w:szCs w:val="22"/>
          <w:lang w:val="en-GB"/>
        </w:rPr>
      </w:pPr>
      <w:r w:rsidRPr="00891780">
        <w:rPr>
          <w:rFonts w:ascii="Calibri" w:eastAsia="SimSun" w:hAnsi="Calibri" w:cs="Calibri"/>
          <w:bCs/>
          <w:sz w:val="22"/>
          <w:szCs w:val="22"/>
          <w:lang w:val="en-GB"/>
        </w:rPr>
        <w:t>Accounting</w:t>
      </w:r>
    </w:p>
    <w:p w14:paraId="0DDAF82A" w14:textId="77777777" w:rsidR="00B96183" w:rsidRPr="00891780" w:rsidRDefault="00B96183" w:rsidP="002E1A01">
      <w:pPr>
        <w:numPr>
          <w:ilvl w:val="0"/>
          <w:numId w:val="16"/>
        </w:numPr>
        <w:spacing w:before="120" w:after="120"/>
        <w:jc w:val="both"/>
        <w:rPr>
          <w:rFonts w:ascii="Calibri" w:eastAsia="SimSun" w:hAnsi="Calibri" w:cs="Calibri"/>
          <w:bCs/>
          <w:sz w:val="22"/>
          <w:szCs w:val="22"/>
          <w:lang w:val="en-GB"/>
        </w:rPr>
      </w:pPr>
      <w:r w:rsidRPr="00891780">
        <w:rPr>
          <w:rFonts w:ascii="Calibri" w:eastAsia="SimSun" w:hAnsi="Calibri" w:cs="Calibri"/>
          <w:bCs/>
          <w:sz w:val="22"/>
          <w:szCs w:val="22"/>
          <w:lang w:val="en-GB"/>
        </w:rPr>
        <w:t xml:space="preserve">External Audit </w:t>
      </w:r>
    </w:p>
    <w:p w14:paraId="246F1769" w14:textId="77777777" w:rsidR="00B96183" w:rsidRPr="00891780" w:rsidRDefault="00B96183" w:rsidP="002E1A01">
      <w:pPr>
        <w:numPr>
          <w:ilvl w:val="0"/>
          <w:numId w:val="17"/>
        </w:numPr>
        <w:spacing w:before="120" w:after="120"/>
        <w:jc w:val="both"/>
        <w:rPr>
          <w:rFonts w:ascii="Calibri" w:eastAsia="SimSun" w:hAnsi="Calibri" w:cs="Calibri"/>
          <w:bCs/>
          <w:sz w:val="22"/>
          <w:szCs w:val="22"/>
          <w:lang w:val="en-GB"/>
        </w:rPr>
      </w:pPr>
      <w:r w:rsidRPr="00891780">
        <w:rPr>
          <w:rFonts w:ascii="Calibri" w:eastAsia="SimSun" w:hAnsi="Calibri" w:cs="Calibri"/>
          <w:bCs/>
          <w:sz w:val="22"/>
          <w:szCs w:val="22"/>
          <w:lang w:val="en-GB"/>
        </w:rPr>
        <w:t>Financial Instruments</w:t>
      </w:r>
    </w:p>
    <w:p w14:paraId="54E1DACE" w14:textId="77777777" w:rsidR="00B96183" w:rsidRPr="00891780" w:rsidRDefault="00B96183" w:rsidP="002E1A01">
      <w:pPr>
        <w:numPr>
          <w:ilvl w:val="0"/>
          <w:numId w:val="18"/>
        </w:numPr>
        <w:spacing w:before="120" w:after="120"/>
        <w:jc w:val="both"/>
        <w:rPr>
          <w:rFonts w:ascii="Calibri" w:eastAsia="SimSun" w:hAnsi="Calibri" w:cs="Calibri"/>
          <w:bCs/>
          <w:sz w:val="22"/>
          <w:szCs w:val="22"/>
          <w:lang w:val="en-GB"/>
        </w:rPr>
      </w:pPr>
      <w:r w:rsidRPr="00891780">
        <w:rPr>
          <w:rFonts w:ascii="Calibri" w:eastAsia="SimSun" w:hAnsi="Calibri" w:cs="Calibri"/>
          <w:bCs/>
          <w:sz w:val="22"/>
          <w:szCs w:val="22"/>
          <w:lang w:val="en-GB"/>
        </w:rPr>
        <w:t xml:space="preserve">Exclusion from Access to Finance </w:t>
      </w:r>
    </w:p>
    <w:p w14:paraId="7793EB7F" w14:textId="77777777" w:rsidR="00B96183" w:rsidRPr="00891780" w:rsidRDefault="00B96183" w:rsidP="002E1A01">
      <w:pPr>
        <w:numPr>
          <w:ilvl w:val="0"/>
          <w:numId w:val="19"/>
        </w:numPr>
        <w:spacing w:before="120" w:after="120"/>
        <w:jc w:val="both"/>
        <w:rPr>
          <w:rFonts w:ascii="Calibri" w:eastAsia="SimSun" w:hAnsi="Calibri" w:cs="Calibri"/>
          <w:bCs/>
          <w:sz w:val="22"/>
          <w:szCs w:val="22"/>
          <w:lang w:val="en-GB"/>
        </w:rPr>
      </w:pPr>
      <w:r w:rsidRPr="00891780">
        <w:rPr>
          <w:rFonts w:ascii="Calibri" w:eastAsia="SimSun" w:hAnsi="Calibri" w:cs="Calibri"/>
          <w:bCs/>
          <w:sz w:val="22"/>
          <w:szCs w:val="22"/>
          <w:lang w:val="en-GB"/>
        </w:rPr>
        <w:t xml:space="preserve">Personal Data Protection </w:t>
      </w:r>
    </w:p>
    <w:p w14:paraId="00BE5F1A"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The process of verifying and testing was completed in November 2022, when the Preliminary Final Report was submitted to the European Commission. The entire process is expected to be completed during 2023.</w:t>
      </w:r>
    </w:p>
    <w:p w14:paraId="22531495" w14:textId="77777777" w:rsidR="00B96183" w:rsidRPr="002E1A01" w:rsidRDefault="00B96183" w:rsidP="000B677E">
      <w:pPr>
        <w:spacing w:before="120" w:after="120" w:line="276" w:lineRule="auto"/>
        <w:jc w:val="both"/>
        <w:rPr>
          <w:rFonts w:ascii="Calibri" w:eastAsia="SimSun" w:hAnsi="Calibri" w:cs="Calibri"/>
          <w:bCs/>
          <w:sz w:val="4"/>
          <w:szCs w:val="4"/>
          <w:lang w:val="en-GB"/>
        </w:rPr>
      </w:pPr>
    </w:p>
    <w:p w14:paraId="68494B14" w14:textId="77777777" w:rsidR="00B96183" w:rsidRPr="00891780" w:rsidRDefault="00B96183" w:rsidP="000B677E">
      <w:pPr>
        <w:spacing w:before="120" w:after="120" w:line="276" w:lineRule="auto"/>
        <w:jc w:val="both"/>
        <w:rPr>
          <w:rFonts w:ascii="Calibri" w:eastAsia="SimSun" w:hAnsi="Calibri" w:cs="Calibri"/>
          <w:b/>
          <w:bCs/>
          <w:sz w:val="22"/>
          <w:szCs w:val="22"/>
          <w:lang w:val="en-GB"/>
        </w:rPr>
      </w:pPr>
      <w:r w:rsidRPr="00891780">
        <w:rPr>
          <w:rFonts w:ascii="Calibri" w:eastAsia="SimSun" w:hAnsi="Calibri" w:cs="Calibri"/>
          <w:b/>
          <w:bCs/>
          <w:sz w:val="22"/>
          <w:szCs w:val="22"/>
          <w:lang w:val="en-GB"/>
        </w:rPr>
        <w:t>Rating</w:t>
      </w:r>
    </w:p>
    <w:p w14:paraId="5ED23763"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After the Council of the EU confirmed the joining of the Republic of Croatia to the </w:t>
      </w:r>
      <w:proofErr w:type="gramStart"/>
      <w:r w:rsidRPr="00891780">
        <w:rPr>
          <w:rFonts w:ascii="Calibri" w:eastAsia="SimSun" w:hAnsi="Calibri" w:cs="Calibri"/>
          <w:sz w:val="22"/>
          <w:szCs w:val="22"/>
          <w:lang w:val="en-GB"/>
        </w:rPr>
        <w:t>Eurozone, and</w:t>
      </w:r>
      <w:proofErr w:type="gramEnd"/>
      <w:r w:rsidRPr="00891780">
        <w:rPr>
          <w:rFonts w:ascii="Calibri" w:eastAsia="SimSun" w:hAnsi="Calibri" w:cs="Calibri"/>
          <w:sz w:val="22"/>
          <w:szCs w:val="22"/>
          <w:lang w:val="en-GB"/>
        </w:rPr>
        <w:t xml:space="preserve"> taking into account the benefits of joining the Eurozone, monetary policy of the ECB, better access to capital markets as well as the projected growth of the economy, the rating agency Standard &amp; Poor's raised the rating of the Republic of Croatia at BBB+/A-2 with a stable outlook in July 2022. Consequently, HBOR's rating was also raised to BBB+/A-2 (from BBB-/A-3) with a stable outlook.</w:t>
      </w:r>
    </w:p>
    <w:p w14:paraId="41A3AF86" w14:textId="77777777" w:rsidR="00B96183" w:rsidRPr="002E1A01" w:rsidRDefault="00B96183" w:rsidP="000B677E">
      <w:pPr>
        <w:spacing w:before="120" w:after="120" w:line="276" w:lineRule="auto"/>
        <w:jc w:val="both"/>
        <w:rPr>
          <w:rFonts w:ascii="Calibri" w:eastAsia="SimSun" w:hAnsi="Calibri" w:cs="Calibri"/>
          <w:b/>
          <w:bCs/>
          <w:sz w:val="2"/>
          <w:szCs w:val="2"/>
          <w:lang w:val="en-GB"/>
        </w:rPr>
      </w:pPr>
    </w:p>
    <w:p w14:paraId="3F918A5C" w14:textId="77777777" w:rsidR="00B96183" w:rsidRPr="00891780" w:rsidRDefault="00B96183" w:rsidP="000B677E">
      <w:pPr>
        <w:shd w:val="clear" w:color="auto" w:fill="FFFFFF"/>
        <w:spacing w:after="160" w:line="276" w:lineRule="auto"/>
        <w:jc w:val="both"/>
        <w:rPr>
          <w:rStyle w:val="Zadanifontodlomka2"/>
          <w:rFonts w:ascii="Calibri" w:hAnsi="Calibri" w:cs="Calibri"/>
          <w:sz w:val="22"/>
          <w:szCs w:val="22"/>
          <w:lang w:val="en-GB"/>
        </w:rPr>
      </w:pPr>
      <w:r w:rsidRPr="00891780">
        <w:rPr>
          <w:rStyle w:val="Zadanifontodlomka2"/>
          <w:rFonts w:ascii="Calibri" w:hAnsi="Calibri" w:cs="Calibri"/>
          <w:b/>
          <w:bCs/>
          <w:sz w:val="22"/>
          <w:szCs w:val="22"/>
          <w:lang w:val="en-GB" w:eastAsia="hr-HR"/>
        </w:rPr>
        <w:t>Co-operation between EIB and HBOR on Pula General Hospital Project</w:t>
      </w:r>
    </w:p>
    <w:p w14:paraId="4D75CDBA" w14:textId="77777777" w:rsidR="00B96183" w:rsidRPr="00891780" w:rsidRDefault="00B96183" w:rsidP="000B677E">
      <w:pPr>
        <w:shd w:val="clear" w:color="auto" w:fill="FFFFFF"/>
        <w:spacing w:after="160" w:line="276" w:lineRule="auto"/>
        <w:jc w:val="both"/>
        <w:rPr>
          <w:rFonts w:ascii="Calibri" w:hAnsi="Calibri" w:cs="Calibri"/>
          <w:sz w:val="22"/>
          <w:szCs w:val="22"/>
          <w:lang w:val="en-GB" w:eastAsia="hr-HR"/>
        </w:rPr>
      </w:pPr>
      <w:r w:rsidRPr="00891780">
        <w:rPr>
          <w:rStyle w:val="Zadanifontodlomka2"/>
          <w:rFonts w:ascii="Calibri" w:hAnsi="Calibri" w:cs="Calibri"/>
          <w:sz w:val="22"/>
          <w:szCs w:val="22"/>
          <w:lang w:val="en-GB"/>
        </w:rPr>
        <w:t xml:space="preserve">The Pula General Hospital was officially opened on 28 October </w:t>
      </w:r>
      <w:r w:rsidRPr="00891780">
        <w:rPr>
          <w:rStyle w:val="Zadanifontodlomka2"/>
          <w:rFonts w:ascii="Calibri" w:eastAsia="SimSun" w:hAnsi="Calibri" w:cs="Calibri"/>
          <w:sz w:val="22"/>
          <w:szCs w:val="22"/>
          <w:lang w:val="en-GB"/>
        </w:rPr>
        <w:t xml:space="preserve">2022. The investment worth more than EUR 100 million was realised with, among others, loan funds approved by HBOR and EIB. The project </w:t>
      </w:r>
      <w:r w:rsidRPr="00891780">
        <w:rPr>
          <w:rStyle w:val="Zadanifontodlomka2"/>
          <w:rFonts w:ascii="Calibri" w:eastAsia="SimSun" w:hAnsi="Calibri" w:cs="Calibri"/>
          <w:sz w:val="22"/>
          <w:szCs w:val="22"/>
          <w:lang w:val="en-GB"/>
        </w:rPr>
        <w:lastRenderedPageBreak/>
        <w:t>included the construction, reconstruction and equipping of the hospital with the most modern medical equipment as well as the complete renovation of the old building. It was initiated with an objective of facilitating the provision of modern health-care services, which would improve the quality of life in Istria significantly.</w:t>
      </w:r>
    </w:p>
    <w:p w14:paraId="3B623E66" w14:textId="77777777" w:rsidR="00B96183" w:rsidRPr="003C2B74" w:rsidRDefault="00B96183" w:rsidP="000B677E">
      <w:pPr>
        <w:shd w:val="clear" w:color="auto" w:fill="FFFFFF"/>
        <w:spacing w:after="160" w:line="276" w:lineRule="auto"/>
        <w:jc w:val="both"/>
        <w:rPr>
          <w:rFonts w:ascii="Calibri" w:hAnsi="Calibri" w:cs="Calibri"/>
          <w:sz w:val="2"/>
          <w:szCs w:val="2"/>
          <w:lang w:val="en-GB" w:eastAsia="hr-HR"/>
        </w:rPr>
      </w:pPr>
    </w:p>
    <w:p w14:paraId="4300A320" w14:textId="77777777" w:rsidR="00B96183" w:rsidRPr="00891780" w:rsidRDefault="00B96183" w:rsidP="000B677E">
      <w:pPr>
        <w:shd w:val="clear" w:color="auto" w:fill="FFFFFF"/>
        <w:spacing w:after="160" w:line="276" w:lineRule="auto"/>
        <w:jc w:val="both"/>
        <w:rPr>
          <w:rFonts w:ascii="Calibri" w:hAnsi="Calibri" w:cs="Calibri"/>
          <w:b/>
          <w:bCs/>
          <w:sz w:val="22"/>
          <w:szCs w:val="22"/>
          <w:lang w:val="en-GB" w:eastAsia="hr-HR"/>
        </w:rPr>
      </w:pPr>
      <w:r w:rsidRPr="00891780">
        <w:rPr>
          <w:rFonts w:ascii="Calibri" w:hAnsi="Calibri" w:cs="Calibri"/>
          <w:b/>
          <w:bCs/>
          <w:sz w:val="22"/>
          <w:szCs w:val="22"/>
          <w:lang w:val="en-GB" w:eastAsia="hr-HR"/>
        </w:rPr>
        <w:t>Co-operation between CEB and HBOR</w:t>
      </w:r>
    </w:p>
    <w:p w14:paraId="0A7ED4D3" w14:textId="648D5B73" w:rsidR="00B96183" w:rsidRPr="00891780" w:rsidRDefault="00B96183" w:rsidP="000B677E">
      <w:pPr>
        <w:shd w:val="clear" w:color="auto" w:fill="FFFFFF"/>
        <w:spacing w:after="160" w:line="276" w:lineRule="auto"/>
        <w:jc w:val="both"/>
        <w:rPr>
          <w:rFonts w:ascii="Calibri" w:hAnsi="Calibri" w:cs="Calibri"/>
          <w:sz w:val="22"/>
          <w:szCs w:val="22"/>
          <w:lang w:val="en-GB"/>
        </w:rPr>
      </w:pPr>
      <w:r w:rsidRPr="00891780">
        <w:rPr>
          <w:rFonts w:ascii="Calibri" w:hAnsi="Calibri" w:cs="Calibri"/>
          <w:sz w:val="22"/>
          <w:szCs w:val="22"/>
          <w:lang w:val="en-GB"/>
        </w:rPr>
        <w:t>The Council of Europe Development Bank (CEB) and the Croatian Bank for Reconstruction and Development (HBOR) signed a EUR 200 million loan on 17 May 2022. The proceeds of the CEB’s loan would be channelled both directly and indirectly through commercial banks and leasing companies to final borrowers for the partial financing of the development and upgrade of local and regional infrastructure such as water supply, wastewater disposal and treatment networks, local roads, educational, cultural and other municipal facilities. CEB’s loan would make it possible to support small and medium-sized enterprises, to create new jobs and preserve the existing ones, and to finance the reconstruction of and equipment for the infrastructure, the improvement of living conditions in urban and rural areas, the assistance to national and local authorities through investment in the reconstruction of the areas affected by natural or ecological disasters, and the support for investments aimed at their prevention.</w:t>
      </w:r>
    </w:p>
    <w:p w14:paraId="3EB76018" w14:textId="77777777" w:rsidR="00B96183" w:rsidRPr="002E1A01" w:rsidRDefault="00B96183" w:rsidP="000B677E">
      <w:pPr>
        <w:shd w:val="clear" w:color="auto" w:fill="FFFFFF"/>
        <w:spacing w:after="160" w:line="276" w:lineRule="auto"/>
        <w:jc w:val="both"/>
        <w:rPr>
          <w:rFonts w:ascii="Calibri" w:hAnsi="Calibri" w:cs="Calibri"/>
          <w:b/>
          <w:bCs/>
          <w:sz w:val="2"/>
          <w:szCs w:val="2"/>
          <w:lang w:val="en-GB"/>
        </w:rPr>
      </w:pPr>
    </w:p>
    <w:p w14:paraId="1BEE5076" w14:textId="77777777" w:rsidR="00B96183" w:rsidRPr="00891780" w:rsidRDefault="00B96183" w:rsidP="000B677E">
      <w:pPr>
        <w:shd w:val="clear" w:color="auto" w:fill="FFFFFF"/>
        <w:spacing w:after="160" w:line="276" w:lineRule="auto"/>
        <w:jc w:val="both"/>
        <w:rPr>
          <w:rFonts w:ascii="Calibri" w:hAnsi="Calibri" w:cs="Calibri"/>
          <w:b/>
          <w:bCs/>
          <w:sz w:val="22"/>
          <w:szCs w:val="22"/>
          <w:lang w:val="en-GB" w:eastAsia="hr-HR"/>
        </w:rPr>
      </w:pPr>
      <w:r w:rsidRPr="00891780">
        <w:rPr>
          <w:rFonts w:ascii="Calibri" w:hAnsi="Calibri" w:cs="Calibri"/>
          <w:b/>
          <w:bCs/>
          <w:sz w:val="22"/>
          <w:szCs w:val="22"/>
          <w:lang w:val="en-GB" w:eastAsia="hr-HR"/>
        </w:rPr>
        <w:t>International cooperation and internationalisation</w:t>
      </w:r>
    </w:p>
    <w:p w14:paraId="20918D3F" w14:textId="56EA90C1" w:rsidR="00B96183" w:rsidRPr="00891780" w:rsidRDefault="004803D5" w:rsidP="000B677E">
      <w:pPr>
        <w:spacing w:before="120" w:after="120" w:line="276" w:lineRule="auto"/>
        <w:jc w:val="both"/>
        <w:rPr>
          <w:rFonts w:ascii="Calibri" w:hAnsi="Calibri" w:cs="Calibri"/>
          <w:sz w:val="22"/>
          <w:szCs w:val="22"/>
          <w:lang w:val="en-GB"/>
        </w:rPr>
      </w:pPr>
      <w:r>
        <w:rPr>
          <w:rFonts w:ascii="Calibri" w:hAnsi="Calibri" w:cs="Calibri"/>
          <w:sz w:val="22"/>
          <w:szCs w:val="22"/>
          <w:lang w:val="en-GB"/>
        </w:rPr>
        <w:t xml:space="preserve">During </w:t>
      </w:r>
      <w:r w:rsidR="00B96183" w:rsidRPr="00891780">
        <w:rPr>
          <w:rFonts w:ascii="Calibri" w:hAnsi="Calibri" w:cs="Calibri"/>
          <w:sz w:val="22"/>
          <w:szCs w:val="22"/>
          <w:lang w:val="en-GB"/>
        </w:rPr>
        <w:t>2022</w:t>
      </w:r>
      <w:r>
        <w:rPr>
          <w:rFonts w:ascii="Calibri" w:hAnsi="Calibri" w:cs="Calibri"/>
          <w:sz w:val="22"/>
          <w:szCs w:val="22"/>
          <w:lang w:val="en-GB"/>
        </w:rPr>
        <w:t xml:space="preserve">, </w:t>
      </w:r>
      <w:r w:rsidR="00B96183" w:rsidRPr="00891780">
        <w:rPr>
          <w:rFonts w:ascii="Calibri" w:hAnsi="Calibri" w:cs="Calibri"/>
          <w:sz w:val="22"/>
          <w:szCs w:val="22"/>
          <w:lang w:val="en-GB"/>
        </w:rPr>
        <w:t>numerous international events t</w:t>
      </w:r>
      <w:r w:rsidR="004D486F">
        <w:rPr>
          <w:rFonts w:ascii="Calibri" w:hAnsi="Calibri" w:cs="Calibri"/>
          <w:sz w:val="22"/>
          <w:szCs w:val="22"/>
          <w:lang w:val="en-GB"/>
        </w:rPr>
        <w:t xml:space="preserve">ook </w:t>
      </w:r>
      <w:r w:rsidR="00B96183" w:rsidRPr="00891780">
        <w:rPr>
          <w:rFonts w:ascii="Calibri" w:hAnsi="Calibri" w:cs="Calibri"/>
          <w:sz w:val="22"/>
          <w:szCs w:val="22"/>
          <w:lang w:val="en-GB"/>
        </w:rPr>
        <w:t>place mostly in hybrid form, and, as a result of simpler organisational requirements made possible by digitisation, HBOR's international cooperation was very dynamic on both multilateral and bilateral levels.</w:t>
      </w:r>
    </w:p>
    <w:p w14:paraId="0AE45D37" w14:textId="77777777" w:rsidR="00B96183" w:rsidRPr="00891780" w:rsidRDefault="00B96183" w:rsidP="000B677E">
      <w:pPr>
        <w:spacing w:before="120" w:after="120" w:line="276" w:lineRule="auto"/>
        <w:jc w:val="both"/>
        <w:rPr>
          <w:rFonts w:ascii="Calibri" w:hAnsi="Calibri" w:cs="Calibri"/>
          <w:sz w:val="22"/>
          <w:szCs w:val="22"/>
          <w:lang w:val="en-GB"/>
        </w:rPr>
      </w:pPr>
      <w:r w:rsidRPr="00891780">
        <w:rPr>
          <w:rFonts w:ascii="Calibri" w:hAnsi="Calibri" w:cs="Calibri"/>
          <w:sz w:val="22"/>
          <w:szCs w:val="22"/>
          <w:lang w:val="en-GB"/>
        </w:rPr>
        <w:t xml:space="preserve">HBOR pays special attention to the establishment and maintenance of successful relations with international financial institutions, development banks, export credit agencies, associations and clubs such as the European Association of Public Banks (EAPB), the European Long Term Investors Association (ELTI) of which HBOR is an establishing member, the International Development Finance Club (IDFC), the Banking Association for Central and Eastern Europe (BACEE), the Berne Union, the Network of European Financial Institutions for SMEs (NEFI), the United Nations Environment Programme Finance Initiative (UNEP FI), the UN Global Compact, and numerous bilateral trade chambers. </w:t>
      </w:r>
    </w:p>
    <w:p w14:paraId="75D8CAB6" w14:textId="5C911825"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hAnsi="Calibri" w:cs="Calibri"/>
          <w:sz w:val="22"/>
          <w:szCs w:val="22"/>
          <w:lang w:val="en-GB"/>
        </w:rPr>
        <w:t xml:space="preserve">Active participation in the activities of international associations enables HBOR to get a better insight into EU development policies and the activities of EU development banks, which results in the gaining of new knowledge useful for the development of new forms of support for Croatian entrepreneurs and the exchange of best practices and specific knowledge </w:t>
      </w:r>
      <w:r w:rsidR="00036D25">
        <w:rPr>
          <w:rFonts w:ascii="Calibri" w:hAnsi="Calibri" w:cs="Calibri"/>
          <w:sz w:val="22"/>
          <w:szCs w:val="22"/>
          <w:lang w:val="en-GB"/>
        </w:rPr>
        <w:t>among</w:t>
      </w:r>
      <w:r w:rsidRPr="00891780">
        <w:rPr>
          <w:rFonts w:ascii="Calibri" w:hAnsi="Calibri" w:cs="Calibri"/>
          <w:sz w:val="22"/>
          <w:szCs w:val="22"/>
          <w:lang w:val="en-GB"/>
        </w:rPr>
        <w:t xml:space="preserve"> members in different areas of business. Through its international activities, HBOR participates in the development of common positions and lobbying, thus influencing the creation of EU policies and regulations</w:t>
      </w:r>
      <w:r w:rsidRPr="00891780">
        <w:rPr>
          <w:rFonts w:ascii="Calibri" w:eastAsia="SimSun" w:hAnsi="Calibri" w:cs="Calibri"/>
          <w:sz w:val="22"/>
          <w:szCs w:val="22"/>
          <w:lang w:val="en-GB"/>
        </w:rPr>
        <w:t>.</w:t>
      </w:r>
    </w:p>
    <w:p w14:paraId="18E5B01D" w14:textId="6C1AC1BA"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HBOR plays a very active role in certain associations of development banks. </w:t>
      </w:r>
      <w:r w:rsidR="00AF4713">
        <w:rPr>
          <w:rFonts w:ascii="Calibri" w:eastAsia="SimSun" w:hAnsi="Calibri" w:cs="Calibri"/>
          <w:sz w:val="22"/>
          <w:szCs w:val="22"/>
          <w:lang w:val="en-GB"/>
        </w:rPr>
        <w:t xml:space="preserve">In </w:t>
      </w:r>
      <w:r w:rsidRPr="00891780">
        <w:rPr>
          <w:rFonts w:ascii="Calibri" w:eastAsia="SimSun" w:hAnsi="Calibri" w:cs="Calibri"/>
          <w:sz w:val="22"/>
          <w:szCs w:val="22"/>
          <w:lang w:val="en-GB"/>
        </w:rPr>
        <w:t>June</w:t>
      </w:r>
      <w:r w:rsidR="002E1FC8">
        <w:rPr>
          <w:rFonts w:ascii="Calibri" w:eastAsia="SimSun" w:hAnsi="Calibri" w:cs="Calibri"/>
          <w:sz w:val="22"/>
          <w:szCs w:val="22"/>
          <w:lang w:val="en-GB"/>
        </w:rPr>
        <w:t xml:space="preserve"> 2022</w:t>
      </w:r>
      <w:r w:rsidRPr="00891780">
        <w:rPr>
          <w:rFonts w:ascii="Calibri" w:eastAsia="SimSun" w:hAnsi="Calibri" w:cs="Calibri"/>
          <w:sz w:val="22"/>
          <w:szCs w:val="22"/>
          <w:lang w:val="en-GB"/>
        </w:rPr>
        <w:t xml:space="preserve">, Hrvoje Čuvalo, President of the Management Board of HBOR, was elected member of the EAPB Administrative Board for a </w:t>
      </w:r>
      <w:r w:rsidR="00612BEE">
        <w:rPr>
          <w:rFonts w:ascii="Calibri" w:eastAsia="SimSun" w:hAnsi="Calibri" w:cs="Calibri"/>
          <w:sz w:val="22"/>
          <w:szCs w:val="22"/>
          <w:lang w:val="en-GB"/>
        </w:rPr>
        <w:t>two</w:t>
      </w:r>
      <w:r w:rsidRPr="00891780">
        <w:rPr>
          <w:rFonts w:ascii="Calibri" w:eastAsia="SimSun" w:hAnsi="Calibri" w:cs="Calibri"/>
          <w:sz w:val="22"/>
          <w:szCs w:val="22"/>
          <w:lang w:val="en-GB"/>
        </w:rPr>
        <w:t>-year term of office. The new Administrative Board of EAPB intensified the activities of the Association, which started working on a new strategy and organisation as well as thematic guidelines for future activities.</w:t>
      </w:r>
    </w:p>
    <w:p w14:paraId="3EA21616" w14:textId="4BC5E663"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Furthermore, as one of the establishing members of the ELTI, HBOR retained its position in the Management Board for the coming </w:t>
      </w:r>
      <w:r w:rsidR="00C2544B">
        <w:rPr>
          <w:rFonts w:ascii="Calibri" w:eastAsia="SimSun" w:hAnsi="Calibri" w:cs="Calibri"/>
          <w:sz w:val="22"/>
          <w:szCs w:val="22"/>
          <w:lang w:val="en-GB"/>
        </w:rPr>
        <w:t>three</w:t>
      </w:r>
      <w:r w:rsidRPr="00891780">
        <w:rPr>
          <w:rFonts w:ascii="Calibri" w:eastAsia="SimSun" w:hAnsi="Calibri" w:cs="Calibri"/>
          <w:sz w:val="22"/>
          <w:szCs w:val="22"/>
          <w:lang w:val="en-GB"/>
        </w:rPr>
        <w:t xml:space="preserve">-year period, thus ensuring the representation of smaller </w:t>
      </w:r>
      <w:r w:rsidRPr="00891780">
        <w:rPr>
          <w:rFonts w:ascii="Calibri" w:eastAsia="SimSun" w:hAnsi="Calibri" w:cs="Calibri"/>
          <w:sz w:val="22"/>
          <w:szCs w:val="22"/>
          <w:lang w:val="en-GB"/>
        </w:rPr>
        <w:lastRenderedPageBreak/>
        <w:t>development banks in the management bodies of this Association and in lobbying for the interests of smaller development banks in the implementation of common European policies.</w:t>
      </w:r>
    </w:p>
    <w:p w14:paraId="6B3623C1" w14:textId="77777777" w:rsidR="00B96183" w:rsidRPr="00891780" w:rsidRDefault="00B96183" w:rsidP="003C2B74">
      <w:pPr>
        <w:spacing w:before="120" w:after="120"/>
        <w:jc w:val="both"/>
        <w:rPr>
          <w:rFonts w:ascii="Calibri" w:eastAsia="SimSun" w:hAnsi="Calibri" w:cs="Calibri"/>
          <w:sz w:val="22"/>
          <w:szCs w:val="22"/>
          <w:lang w:val="en-GB"/>
        </w:rPr>
      </w:pPr>
      <w:r w:rsidRPr="00891780">
        <w:rPr>
          <w:rFonts w:ascii="Calibri" w:eastAsia="SimSun" w:hAnsi="Calibri" w:cs="Calibri"/>
          <w:sz w:val="22"/>
          <w:szCs w:val="22"/>
          <w:lang w:val="en-GB"/>
        </w:rPr>
        <w:t>Through its membership in the IDFC, HBOR continued the implementation of the activities started in connection with the "Joint Declaration of Public Development Banks" and the "Declaration on Gender Equality and Empowerment of Women" signed at the first Summit of Public Development Banks held in Paris at the end of 2020.</w:t>
      </w:r>
    </w:p>
    <w:p w14:paraId="1706942F" w14:textId="210FD19A" w:rsidR="00B96183" w:rsidRPr="00891780" w:rsidRDefault="00B96183" w:rsidP="003C2B74">
      <w:pPr>
        <w:spacing w:before="120" w:after="120"/>
        <w:jc w:val="both"/>
        <w:rPr>
          <w:rFonts w:ascii="Calibri" w:eastAsia="SimSun" w:hAnsi="Calibri" w:cs="Calibri"/>
          <w:sz w:val="22"/>
          <w:szCs w:val="22"/>
          <w:lang w:val="en-GB"/>
        </w:rPr>
      </w:pPr>
      <w:r w:rsidRPr="00891780">
        <w:rPr>
          <w:rFonts w:ascii="Calibri" w:eastAsia="SimSun" w:hAnsi="Calibri" w:cs="Calibri"/>
          <w:sz w:val="22"/>
          <w:szCs w:val="22"/>
          <w:lang w:val="en-GB"/>
        </w:rPr>
        <w:t>Cooperation in the field of internationalisation continued with the Association of Croatian Exporters, at the general assembly of which Hrvoje Čuvalo,</w:t>
      </w:r>
      <w:r w:rsidRPr="00891780">
        <w:rPr>
          <w:lang w:val="en-GB"/>
        </w:rPr>
        <w:t xml:space="preserve"> </w:t>
      </w:r>
      <w:r w:rsidRPr="00891780">
        <w:rPr>
          <w:rFonts w:ascii="Calibri" w:eastAsia="SimSun" w:hAnsi="Calibri" w:cs="Calibri"/>
          <w:sz w:val="22"/>
          <w:szCs w:val="22"/>
          <w:lang w:val="en-GB"/>
        </w:rPr>
        <w:t xml:space="preserve">President of the Management Board of HBOR, was elected to the Presidency and the Board of Directors for a term of </w:t>
      </w:r>
      <w:r w:rsidR="00612BEE">
        <w:rPr>
          <w:rFonts w:ascii="Calibri" w:eastAsia="SimSun" w:hAnsi="Calibri" w:cs="Calibri"/>
          <w:sz w:val="22"/>
          <w:szCs w:val="22"/>
          <w:lang w:val="en-GB"/>
        </w:rPr>
        <w:t>four</w:t>
      </w:r>
      <w:r w:rsidRPr="00891780">
        <w:rPr>
          <w:rFonts w:ascii="Calibri" w:eastAsia="SimSun" w:hAnsi="Calibri" w:cs="Calibri"/>
          <w:sz w:val="22"/>
          <w:szCs w:val="22"/>
          <w:lang w:val="en-GB"/>
        </w:rPr>
        <w:t xml:space="preserve"> years. </w:t>
      </w:r>
    </w:p>
    <w:p w14:paraId="726F864B" w14:textId="77777777" w:rsidR="00B96183" w:rsidRPr="00891780" w:rsidRDefault="00B96183" w:rsidP="003C2B74">
      <w:pPr>
        <w:spacing w:before="120" w:after="120"/>
        <w:jc w:val="both"/>
        <w:rPr>
          <w:rStyle w:val="Zadanifontodlomka2"/>
          <w:rFonts w:ascii="Calibri" w:eastAsia="SimSun" w:hAnsi="Calibri" w:cs="Calibri"/>
          <w:sz w:val="22"/>
          <w:szCs w:val="22"/>
          <w:lang w:val="en-GB"/>
        </w:rPr>
      </w:pPr>
      <w:r w:rsidRPr="00891780">
        <w:rPr>
          <w:rFonts w:ascii="Calibri" w:eastAsia="SimSun" w:hAnsi="Calibri" w:cs="Calibri"/>
          <w:sz w:val="22"/>
          <w:szCs w:val="22"/>
          <w:lang w:val="en-GB"/>
        </w:rPr>
        <w:t>I</w:t>
      </w:r>
      <w:r w:rsidRPr="00891780">
        <w:rPr>
          <w:rStyle w:val="Zadanifontodlomka2"/>
          <w:rFonts w:ascii="Calibri" w:eastAsia="SimSun" w:hAnsi="Calibri" w:cs="Calibri"/>
          <w:sz w:val="22"/>
          <w:szCs w:val="22"/>
          <w:lang w:val="en-GB"/>
        </w:rPr>
        <w:t>nternationalisation of the economy was supported through the cooperation of HBOR's representatives with the Croatian Chamber of Economy, the Ministry of Foreign and European Affairs and through the cooperation with foreign chambers in the Republic of Croatia.</w:t>
      </w:r>
    </w:p>
    <w:p w14:paraId="3B7FE66E" w14:textId="4BB117A0" w:rsidR="00B96183" w:rsidRPr="00891780" w:rsidRDefault="00B96183" w:rsidP="003C2B74">
      <w:pPr>
        <w:spacing w:before="120" w:after="120"/>
        <w:jc w:val="both"/>
        <w:rPr>
          <w:rStyle w:val="Zadanifontodlomka2"/>
          <w:rFonts w:ascii="Calibri" w:eastAsia="SimSun" w:hAnsi="Calibri" w:cs="Calibri"/>
          <w:sz w:val="22"/>
          <w:szCs w:val="22"/>
          <w:lang w:val="en-GB"/>
        </w:rPr>
      </w:pPr>
      <w:r w:rsidRPr="00891780">
        <w:rPr>
          <w:rStyle w:val="Zadanifontodlomka2"/>
          <w:rFonts w:ascii="Calibri" w:eastAsia="SimSun" w:hAnsi="Calibri" w:cs="Calibri"/>
          <w:sz w:val="22"/>
          <w:szCs w:val="22"/>
          <w:lang w:val="en-GB"/>
        </w:rPr>
        <w:t>In 2022, HBOR signed a Memorandum of Understanding with the PJSC ECA Ukraine, the Ukrainian government agency that performs export credit insurance activities, and provided support to this institution in the difficult times caused by the war in Ukraine.</w:t>
      </w:r>
    </w:p>
    <w:p w14:paraId="34B7D51D" w14:textId="7CBCCEC5" w:rsidR="00B96183" w:rsidRPr="00891780" w:rsidRDefault="00B96183" w:rsidP="003C2B74">
      <w:pPr>
        <w:spacing w:before="120" w:after="120"/>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During 2022, HBOR actively participated in the meetings of the Export Credits Group of the Council of the European Union and in the meetings of the Participants to the OECD Arrangement, where it made a significant contribution as an expert member of the Croatian delegation. The activities of the ECG </w:t>
      </w:r>
      <w:r w:rsidR="000F03D0">
        <w:rPr>
          <w:rFonts w:ascii="Calibri" w:eastAsia="SimSun" w:hAnsi="Calibri" w:cs="Calibri"/>
          <w:sz w:val="22"/>
          <w:szCs w:val="22"/>
          <w:lang w:val="en-GB"/>
        </w:rPr>
        <w:t>ar</w:t>
      </w:r>
      <w:r w:rsidRPr="00891780">
        <w:rPr>
          <w:rFonts w:ascii="Calibri" w:eastAsia="SimSun" w:hAnsi="Calibri" w:cs="Calibri"/>
          <w:sz w:val="22"/>
          <w:szCs w:val="22"/>
          <w:lang w:val="en-GB"/>
        </w:rPr>
        <w:t>e very dynamic, especially relating to the negotiations on the modernisation of the OECD Arrangement on Officially Supported Export Credits, the activities aimed at the adoption of the European export finance strategy for the strengthening of competitiveness of the European entrepreneurs in the global markets as well as the activities related to the green transition through further gradual reduction in official support for coal-fired power plants.</w:t>
      </w:r>
    </w:p>
    <w:p w14:paraId="0B779A7F" w14:textId="77777777" w:rsidR="00B96183" w:rsidRPr="00891780" w:rsidRDefault="00B96183" w:rsidP="003C2B74">
      <w:pPr>
        <w:spacing w:before="120" w:after="120"/>
        <w:jc w:val="both"/>
        <w:rPr>
          <w:rFonts w:ascii="Calibri" w:eastAsia="SimSun" w:hAnsi="Calibri" w:cs="Calibri"/>
          <w:sz w:val="22"/>
          <w:szCs w:val="22"/>
          <w:lang w:val="en-GB"/>
        </w:rPr>
      </w:pPr>
      <w:r w:rsidRPr="00891780">
        <w:rPr>
          <w:rFonts w:ascii="Calibri" w:eastAsia="SimSun" w:hAnsi="Calibri" w:cs="Calibri"/>
          <w:sz w:val="22"/>
          <w:szCs w:val="22"/>
          <w:lang w:val="en-GB"/>
        </w:rPr>
        <w:t>In addition to the above, HBOR participated in the activities of the informal forum of export credit agencies (ECA) at the level of the European Union called EU Heads of ECA Forum. The goal of this forum, which primarily gathers the heads of export credit agencies, is to provide a high-level exchange platform covering the need for changes within the framework of ECA activities, to increase their visibility, to ensure better information to the public and governments about their role and contribution to the economies of the countries in which they operate, and to encourage exchange of knowledge and good practices they encounter in their business operations.</w:t>
      </w:r>
    </w:p>
    <w:p w14:paraId="066EAF44" w14:textId="01F90A3C" w:rsidR="00B96183" w:rsidRPr="00891780" w:rsidRDefault="00B96183" w:rsidP="003C2B74">
      <w:pPr>
        <w:spacing w:before="120" w:after="120"/>
        <w:jc w:val="both"/>
        <w:rPr>
          <w:rFonts w:ascii="Calibri" w:eastAsia="Calibri" w:hAnsi="Calibri" w:cs="Calibri"/>
          <w:sz w:val="22"/>
          <w:szCs w:val="22"/>
          <w:lang w:val="en-GB"/>
        </w:rPr>
      </w:pPr>
      <w:r w:rsidRPr="00891780">
        <w:rPr>
          <w:rStyle w:val="Zadanifontodlomka2"/>
          <w:rFonts w:ascii="Calibri" w:eastAsia="SimSun" w:hAnsi="Calibri" w:cs="Calibri"/>
          <w:sz w:val="22"/>
          <w:szCs w:val="22"/>
          <w:lang w:val="en-GB"/>
        </w:rPr>
        <w:t xml:space="preserve">During 2022, HBOR continued to be an active member of the Berne Union – the world's largest association of export credit insurers with 85 members from all over the world. HBOR is a member of one of the </w:t>
      </w:r>
      <w:r w:rsidR="003620F5">
        <w:rPr>
          <w:rStyle w:val="Zadanifontodlomka2"/>
          <w:rFonts w:ascii="Calibri" w:eastAsia="SimSun" w:hAnsi="Calibri" w:cs="Calibri"/>
          <w:sz w:val="22"/>
          <w:szCs w:val="22"/>
          <w:lang w:val="en-GB"/>
        </w:rPr>
        <w:t>four</w:t>
      </w:r>
      <w:r w:rsidRPr="00891780">
        <w:rPr>
          <w:rStyle w:val="Zadanifontodlomka2"/>
          <w:rFonts w:ascii="Calibri" w:eastAsia="SimSun" w:hAnsi="Calibri" w:cs="Calibri"/>
          <w:sz w:val="22"/>
          <w:szCs w:val="22"/>
          <w:lang w:val="en-GB"/>
        </w:rPr>
        <w:t xml:space="preserve"> operational committees of the Berne Union: the Prague Club Committee. In 2022, HBOR’s representatives actively participated in the Berne Union Spring Meeting that took place in Istanbul in May and in f</w:t>
      </w:r>
      <w:r w:rsidR="00000B67" w:rsidRPr="00891780">
        <w:rPr>
          <w:rStyle w:val="Zadanifontodlomka2"/>
          <w:rFonts w:ascii="Calibri" w:eastAsia="SimSun" w:hAnsi="Calibri" w:cs="Calibri"/>
          <w:sz w:val="22"/>
          <w:szCs w:val="22"/>
          <w:lang w:val="en-GB"/>
        </w:rPr>
        <w:t>ive</w:t>
      </w:r>
      <w:r w:rsidRPr="00891780">
        <w:rPr>
          <w:rStyle w:val="Zadanifontodlomka2"/>
          <w:rFonts w:ascii="Calibri" w:eastAsia="SimSun" w:hAnsi="Calibri" w:cs="Calibri"/>
          <w:sz w:val="22"/>
          <w:szCs w:val="22"/>
          <w:lang w:val="en-GB"/>
        </w:rPr>
        <w:t xml:space="preserve"> thematic specialist meetings (covering digitalisation, indemnities, recoveries</w:t>
      </w:r>
      <w:r w:rsidR="002169C2" w:rsidRPr="00891780">
        <w:rPr>
          <w:rStyle w:val="Zadanifontodlomka2"/>
          <w:rFonts w:ascii="Calibri" w:eastAsia="SimSun" w:hAnsi="Calibri" w:cs="Calibri"/>
          <w:sz w:val="22"/>
          <w:szCs w:val="22"/>
          <w:lang w:val="en-GB"/>
        </w:rPr>
        <w:t xml:space="preserve">, </w:t>
      </w:r>
      <w:r w:rsidRPr="00891780">
        <w:rPr>
          <w:rStyle w:val="Zadanifontodlomka2"/>
          <w:rFonts w:ascii="Calibri" w:eastAsia="SimSun" w:hAnsi="Calibri" w:cs="Calibri"/>
          <w:sz w:val="22"/>
          <w:szCs w:val="22"/>
          <w:lang w:val="en-GB"/>
        </w:rPr>
        <w:t xml:space="preserve">support to </w:t>
      </w:r>
      <w:r w:rsidR="000C2874">
        <w:rPr>
          <w:rStyle w:val="Zadanifontodlomka2"/>
          <w:rFonts w:ascii="Calibri" w:eastAsia="SimSun" w:hAnsi="Calibri" w:cs="Calibri"/>
          <w:sz w:val="22"/>
          <w:szCs w:val="22"/>
          <w:lang w:val="en-GB"/>
        </w:rPr>
        <w:t>small and medium-sized</w:t>
      </w:r>
      <w:r w:rsidRPr="00891780">
        <w:rPr>
          <w:rStyle w:val="Zadanifontodlomka2"/>
          <w:rFonts w:ascii="Calibri" w:eastAsia="SimSun" w:hAnsi="Calibri" w:cs="Calibri"/>
          <w:sz w:val="22"/>
          <w:szCs w:val="22"/>
          <w:lang w:val="en-GB"/>
        </w:rPr>
        <w:t xml:space="preserve"> exporters</w:t>
      </w:r>
      <w:r w:rsidR="002169C2" w:rsidRPr="00891780">
        <w:rPr>
          <w:rStyle w:val="Zadanifontodlomka2"/>
          <w:rFonts w:ascii="Calibri" w:eastAsia="SimSun" w:hAnsi="Calibri" w:cs="Calibri"/>
          <w:sz w:val="22"/>
          <w:szCs w:val="22"/>
          <w:lang w:val="en-GB"/>
        </w:rPr>
        <w:t xml:space="preserve">, premium </w:t>
      </w:r>
      <w:proofErr w:type="gramStart"/>
      <w:r w:rsidR="002169C2" w:rsidRPr="00891780">
        <w:rPr>
          <w:rStyle w:val="Zadanifontodlomka2"/>
          <w:rFonts w:ascii="Calibri" w:eastAsia="SimSun" w:hAnsi="Calibri" w:cs="Calibri"/>
          <w:sz w:val="22"/>
          <w:szCs w:val="22"/>
          <w:lang w:val="en-GB"/>
        </w:rPr>
        <w:t>rates</w:t>
      </w:r>
      <w:proofErr w:type="gramEnd"/>
      <w:r w:rsidR="00BF4330" w:rsidRPr="00891780">
        <w:rPr>
          <w:rStyle w:val="Zadanifontodlomka2"/>
          <w:rFonts w:ascii="Calibri" w:eastAsia="SimSun" w:hAnsi="Calibri" w:cs="Calibri"/>
          <w:sz w:val="22"/>
          <w:szCs w:val="22"/>
          <w:lang w:val="en-GB"/>
        </w:rPr>
        <w:t xml:space="preserve"> and ratings of clients in the context of medium-term to long-term </w:t>
      </w:r>
      <w:r w:rsidR="00AB74B4" w:rsidRPr="00891780">
        <w:rPr>
          <w:rStyle w:val="Zadanifontodlomka2"/>
          <w:rFonts w:ascii="Calibri" w:eastAsia="SimSun" w:hAnsi="Calibri" w:cs="Calibri"/>
          <w:sz w:val="22"/>
          <w:szCs w:val="22"/>
          <w:lang w:val="en-GB"/>
        </w:rPr>
        <w:t xml:space="preserve">insurance transactions </w:t>
      </w:r>
      <w:r w:rsidRPr="00891780">
        <w:rPr>
          <w:rStyle w:val="Zadanifontodlomka2"/>
          <w:rFonts w:ascii="Calibri" w:eastAsia="SimSun" w:hAnsi="Calibri" w:cs="Calibri"/>
          <w:sz w:val="22"/>
          <w:szCs w:val="22"/>
          <w:lang w:val="en-GB"/>
        </w:rPr>
        <w:t>as well as in the meeting for new employees</w:t>
      </w:r>
      <w:r w:rsidRPr="00891780">
        <w:rPr>
          <w:rStyle w:val="Zadanifontodlomka2"/>
          <w:rFonts w:ascii="Calibri" w:hAnsi="Calibri" w:cs="Calibri"/>
          <w:sz w:val="22"/>
          <w:szCs w:val="22"/>
          <w:lang w:val="en-GB"/>
        </w:rPr>
        <w:t>).</w:t>
      </w:r>
    </w:p>
    <w:p w14:paraId="5F466EDC" w14:textId="6B17F4E2" w:rsidR="00B96183" w:rsidRDefault="00B96183" w:rsidP="000B677E">
      <w:pPr>
        <w:spacing w:before="120" w:after="120" w:line="276" w:lineRule="auto"/>
        <w:jc w:val="both"/>
        <w:rPr>
          <w:rFonts w:ascii="Calibri" w:eastAsia="Calibri" w:hAnsi="Calibri" w:cs="Calibri"/>
          <w:sz w:val="2"/>
          <w:szCs w:val="2"/>
          <w:lang w:val="en-GB"/>
        </w:rPr>
      </w:pPr>
    </w:p>
    <w:p w14:paraId="111A739F" w14:textId="77777777" w:rsidR="003C2B74" w:rsidRPr="003C2B74" w:rsidRDefault="003C2B74" w:rsidP="000B677E">
      <w:pPr>
        <w:spacing w:before="120" w:after="120" w:line="276" w:lineRule="auto"/>
        <w:jc w:val="both"/>
        <w:rPr>
          <w:rFonts w:ascii="Calibri" w:eastAsia="Calibri" w:hAnsi="Calibri" w:cs="Calibri"/>
          <w:sz w:val="2"/>
          <w:szCs w:val="2"/>
          <w:lang w:val="en-GB"/>
        </w:rPr>
      </w:pPr>
    </w:p>
    <w:p w14:paraId="2C17DFBD" w14:textId="77777777" w:rsidR="00B96183" w:rsidRPr="00891780" w:rsidRDefault="00B96183" w:rsidP="003C2B74">
      <w:pPr>
        <w:spacing w:before="120" w:line="276" w:lineRule="auto"/>
        <w:jc w:val="both"/>
        <w:rPr>
          <w:rStyle w:val="Zadanifontodlomka2"/>
          <w:rFonts w:ascii="Calibri" w:eastAsia="SimSun" w:hAnsi="Calibri" w:cs="Calibri"/>
          <w:b/>
          <w:bCs/>
          <w:sz w:val="22"/>
          <w:szCs w:val="22"/>
          <w:lang w:val="en-GB"/>
        </w:rPr>
      </w:pPr>
      <w:r w:rsidRPr="00891780">
        <w:rPr>
          <w:rStyle w:val="Zadanifontodlomka2"/>
          <w:rFonts w:ascii="Calibri" w:hAnsi="Calibri" w:cs="Calibri"/>
          <w:b/>
          <w:bCs/>
          <w:sz w:val="22"/>
          <w:szCs w:val="22"/>
          <w:lang w:val="en-GB"/>
        </w:rPr>
        <w:t>Personal data protection</w:t>
      </w:r>
      <w:r w:rsidRPr="00891780">
        <w:rPr>
          <w:rStyle w:val="Zadanifontodlomka2"/>
          <w:rFonts w:ascii="Calibri" w:eastAsia="SimSun" w:hAnsi="Calibri" w:cs="Calibri"/>
          <w:b/>
          <w:bCs/>
          <w:sz w:val="22"/>
          <w:szCs w:val="22"/>
          <w:lang w:val="en-GB"/>
        </w:rPr>
        <w:t xml:space="preserve"> </w:t>
      </w:r>
    </w:p>
    <w:p w14:paraId="2AEF2C21" w14:textId="77777777" w:rsidR="00B96183" w:rsidRPr="00891780" w:rsidRDefault="00B96183" w:rsidP="003C2B74">
      <w:pPr>
        <w:spacing w:before="120" w:after="120"/>
        <w:jc w:val="both"/>
        <w:rPr>
          <w:rFonts w:ascii="Calibri" w:hAnsi="Calibri" w:cs="Calibri"/>
          <w:sz w:val="22"/>
          <w:szCs w:val="22"/>
          <w:lang w:val="en-GB"/>
        </w:rPr>
      </w:pPr>
      <w:r w:rsidRPr="00891780">
        <w:rPr>
          <w:rFonts w:ascii="Calibri" w:hAnsi="Calibri" w:cs="Calibri"/>
          <w:sz w:val="22"/>
          <w:szCs w:val="22"/>
          <w:lang w:val="en-GB"/>
        </w:rPr>
        <w:t xml:space="preserve">In 2022, HBOR continued with updating and supplementing the Register of Personal Data Processing Activities, adjusting business processes to the </w:t>
      </w:r>
      <w:proofErr w:type="gramStart"/>
      <w:r w:rsidRPr="00891780">
        <w:rPr>
          <w:rFonts w:ascii="Calibri" w:hAnsi="Calibri" w:cs="Calibri"/>
          <w:sz w:val="22"/>
          <w:szCs w:val="22"/>
          <w:lang w:val="en-GB"/>
        </w:rPr>
        <w:t>GDPR</w:t>
      </w:r>
      <w:proofErr w:type="gramEnd"/>
      <w:r w:rsidRPr="00891780">
        <w:rPr>
          <w:rFonts w:ascii="Calibri" w:hAnsi="Calibri" w:cs="Calibri"/>
          <w:sz w:val="22"/>
          <w:szCs w:val="22"/>
          <w:lang w:val="en-GB"/>
        </w:rPr>
        <w:t xml:space="preserve"> and reducing redundancy in data processing through harmonisation of business applications. Furthermore, HBOR conducted several internal employee trainings and several assessments of the impact on data protection in terms of riskier treatment. Changes in the manner of personal data processing for the purpose of harmonisation with the GDPR have additionally reduced the risks of processing personal data of HBOR’s employees and clients.</w:t>
      </w:r>
    </w:p>
    <w:p w14:paraId="347CB8FE" w14:textId="77777777" w:rsidR="00B96183" w:rsidRPr="003C2B74" w:rsidRDefault="00B96183" w:rsidP="000B677E">
      <w:pPr>
        <w:spacing w:before="120" w:after="120" w:line="276" w:lineRule="auto"/>
        <w:jc w:val="both"/>
        <w:rPr>
          <w:rFonts w:ascii="Calibri" w:eastAsia="Calibri" w:hAnsi="Calibri" w:cs="Calibri"/>
          <w:sz w:val="2"/>
          <w:szCs w:val="2"/>
          <w:lang w:val="en-GB"/>
        </w:rPr>
      </w:pPr>
    </w:p>
    <w:p w14:paraId="7A96378F" w14:textId="77777777" w:rsidR="00BB5943" w:rsidRDefault="00BB5943" w:rsidP="003C2B74">
      <w:pPr>
        <w:spacing w:before="120" w:line="276" w:lineRule="auto"/>
        <w:jc w:val="both"/>
        <w:rPr>
          <w:rFonts w:ascii="Calibri" w:eastAsia="Calibri" w:hAnsi="Calibri" w:cs="Calibri"/>
          <w:b/>
          <w:bCs/>
          <w:sz w:val="22"/>
          <w:szCs w:val="22"/>
          <w:lang w:val="en-GB"/>
        </w:rPr>
      </w:pPr>
    </w:p>
    <w:p w14:paraId="2FD1BB4C" w14:textId="28770F64" w:rsidR="00B96183" w:rsidRPr="00891780" w:rsidRDefault="00B96183" w:rsidP="003C2B74">
      <w:pPr>
        <w:spacing w:before="120" w:line="276" w:lineRule="auto"/>
        <w:jc w:val="both"/>
        <w:rPr>
          <w:rFonts w:ascii="Calibri" w:eastAsia="SimSun" w:hAnsi="Calibri" w:cs="Calibri"/>
          <w:b/>
          <w:sz w:val="22"/>
          <w:szCs w:val="22"/>
          <w:lang w:val="en-GB"/>
        </w:rPr>
      </w:pPr>
      <w:r w:rsidRPr="00891780">
        <w:rPr>
          <w:rFonts w:ascii="Calibri" w:eastAsia="Calibri" w:hAnsi="Calibri" w:cs="Calibri"/>
          <w:b/>
          <w:bCs/>
          <w:sz w:val="22"/>
          <w:szCs w:val="22"/>
          <w:lang w:val="en-GB"/>
        </w:rPr>
        <w:lastRenderedPageBreak/>
        <w:t>F</w:t>
      </w:r>
      <w:r w:rsidRPr="00891780">
        <w:rPr>
          <w:rFonts w:ascii="Calibri" w:eastAsia="SimSun" w:hAnsi="Calibri" w:cs="Calibri"/>
          <w:b/>
          <w:sz w:val="22"/>
          <w:szCs w:val="22"/>
          <w:lang w:val="en-GB"/>
        </w:rPr>
        <w:t>unction of preventing money laundering and terrorist financing</w:t>
      </w:r>
    </w:p>
    <w:p w14:paraId="1C0B0FFA" w14:textId="77777777" w:rsidR="00B96183" w:rsidRPr="00891780" w:rsidRDefault="00B96183" w:rsidP="003C2B74">
      <w:pPr>
        <w:spacing w:before="120" w:after="120"/>
        <w:jc w:val="both"/>
        <w:rPr>
          <w:rFonts w:ascii="Calibri" w:hAnsi="Calibri" w:cs="Calibri"/>
          <w:sz w:val="22"/>
          <w:szCs w:val="22"/>
          <w:lang w:val="en-GB"/>
        </w:rPr>
      </w:pPr>
      <w:r w:rsidRPr="00891780">
        <w:rPr>
          <w:rStyle w:val="Zadanifontodlomka2"/>
          <w:rFonts w:ascii="Calibri" w:eastAsia="SimSun" w:hAnsi="Calibri" w:cs="Calibri"/>
          <w:sz w:val="22"/>
          <w:szCs w:val="22"/>
          <w:lang w:val="en-GB"/>
        </w:rPr>
        <w:t>In its operations, HBOR implements the measures, actions and procedures aimed at the prevention of money laundering and terrorist financing in accordance with the provisions of the Anti-Money Laundering and Terrorist Financing Act, the regulations made on the basis of the Act and on the basis of the provisions of HBOR’s Anti-Money Laundering and Terrorist Financing Ordinance as well as HBOR’s Methodology for the Implementation of Anti-Money Laundering and Terrorist Financing Measures, Actions and Procedures</w:t>
      </w:r>
      <w:r w:rsidRPr="00891780">
        <w:rPr>
          <w:rStyle w:val="Zadanifontodlomka2"/>
          <w:rFonts w:ascii="Calibri" w:hAnsi="Calibri" w:cs="Calibri"/>
          <w:sz w:val="22"/>
          <w:szCs w:val="22"/>
          <w:lang w:val="en-GB"/>
        </w:rPr>
        <w:t>.</w:t>
      </w:r>
    </w:p>
    <w:p w14:paraId="6F70BA97" w14:textId="77777777" w:rsidR="00B96183" w:rsidRPr="00891780" w:rsidRDefault="00B96183" w:rsidP="000B677E">
      <w:pPr>
        <w:spacing w:before="120" w:after="120" w:line="276" w:lineRule="auto"/>
        <w:jc w:val="both"/>
        <w:rPr>
          <w:rFonts w:ascii="Calibri" w:hAnsi="Calibri" w:cs="Calibri"/>
          <w:sz w:val="16"/>
          <w:szCs w:val="16"/>
          <w:lang w:val="en-GB"/>
        </w:rPr>
      </w:pPr>
    </w:p>
    <w:p w14:paraId="52B32BB7" w14:textId="77777777" w:rsidR="00B96183" w:rsidRPr="00891780" w:rsidRDefault="00B96183" w:rsidP="000B677E">
      <w:pPr>
        <w:spacing w:before="120" w:after="120" w:line="276" w:lineRule="auto"/>
        <w:jc w:val="both"/>
        <w:rPr>
          <w:rStyle w:val="Zadanifontodlomka2"/>
          <w:rFonts w:ascii="Calibri" w:hAnsi="Calibri" w:cs="Calibri"/>
          <w:sz w:val="22"/>
          <w:szCs w:val="22"/>
          <w:lang w:val="en-GB" w:eastAsia="hr-HR"/>
        </w:rPr>
      </w:pPr>
      <w:r w:rsidRPr="00891780">
        <w:rPr>
          <w:rStyle w:val="Zadanifontodlomka2"/>
          <w:rFonts w:ascii="Calibri" w:hAnsi="Calibri" w:cs="Calibri"/>
          <w:b/>
          <w:bCs/>
          <w:sz w:val="22"/>
          <w:szCs w:val="22"/>
          <w:lang w:val="en-GB"/>
        </w:rPr>
        <w:t>Regional offices</w:t>
      </w:r>
    </w:p>
    <w:p w14:paraId="3EA0E4DF" w14:textId="77777777" w:rsidR="00B96183" w:rsidRPr="00891780" w:rsidRDefault="00B96183" w:rsidP="000B677E">
      <w:pPr>
        <w:spacing w:before="120" w:after="120" w:line="276" w:lineRule="auto"/>
        <w:jc w:val="both"/>
        <w:rPr>
          <w:rFonts w:ascii="Calibri" w:hAnsi="Calibri" w:cs="Calibri"/>
          <w:sz w:val="22"/>
          <w:szCs w:val="22"/>
          <w:lang w:val="en-GB"/>
        </w:rPr>
      </w:pPr>
      <w:r w:rsidRPr="00891780">
        <w:rPr>
          <w:rStyle w:val="Zadanifontodlomka2"/>
          <w:rFonts w:ascii="Calibri" w:hAnsi="Calibri" w:cs="Calibri"/>
          <w:sz w:val="22"/>
          <w:szCs w:val="22"/>
          <w:lang w:val="en-GB" w:eastAsia="hr-HR"/>
        </w:rPr>
        <w:t xml:space="preserve">During 2022, HBOR's Regional Offices (in </w:t>
      </w:r>
      <w:proofErr w:type="spellStart"/>
      <w:r w:rsidRPr="00891780">
        <w:rPr>
          <w:rStyle w:val="Zadanifontodlomka2"/>
          <w:rFonts w:ascii="Calibri" w:hAnsi="Calibri" w:cs="Calibri"/>
          <w:sz w:val="22"/>
          <w:szCs w:val="22"/>
          <w:lang w:val="en-GB" w:eastAsia="hr-HR"/>
        </w:rPr>
        <w:t>Gospić</w:t>
      </w:r>
      <w:proofErr w:type="spellEnd"/>
      <w:r w:rsidRPr="00891780">
        <w:rPr>
          <w:rStyle w:val="Zadanifontodlomka2"/>
          <w:rFonts w:ascii="Calibri" w:hAnsi="Calibri" w:cs="Calibri"/>
          <w:sz w:val="22"/>
          <w:szCs w:val="22"/>
          <w:lang w:val="en-GB" w:eastAsia="hr-HR"/>
        </w:rPr>
        <w:t xml:space="preserve">, Osijek, Pula, Rijeka, Split and </w:t>
      </w:r>
      <w:proofErr w:type="spellStart"/>
      <w:r w:rsidRPr="00891780">
        <w:rPr>
          <w:rStyle w:val="Zadanifontodlomka2"/>
          <w:rFonts w:ascii="Calibri" w:hAnsi="Calibri" w:cs="Calibri"/>
          <w:sz w:val="22"/>
          <w:szCs w:val="22"/>
          <w:lang w:val="en-GB" w:eastAsia="hr-HR"/>
        </w:rPr>
        <w:t>Varaždin</w:t>
      </w:r>
      <w:proofErr w:type="spellEnd"/>
      <w:r w:rsidRPr="00891780">
        <w:rPr>
          <w:rStyle w:val="Zadanifontodlomka2"/>
          <w:rFonts w:ascii="Calibri" w:hAnsi="Calibri" w:cs="Calibri"/>
          <w:sz w:val="22"/>
          <w:szCs w:val="22"/>
          <w:lang w:val="en-GB" w:eastAsia="hr-HR"/>
        </w:rPr>
        <w:t xml:space="preserve">) implemented the planned activities in the segments of contacts, </w:t>
      </w:r>
      <w:proofErr w:type="gramStart"/>
      <w:r w:rsidRPr="00891780">
        <w:rPr>
          <w:rStyle w:val="Zadanifontodlomka2"/>
          <w:rFonts w:ascii="Calibri" w:hAnsi="Calibri" w:cs="Calibri"/>
          <w:sz w:val="22"/>
          <w:szCs w:val="22"/>
          <w:lang w:val="en-GB" w:eastAsia="hr-HR"/>
        </w:rPr>
        <w:t>presentations</w:t>
      </w:r>
      <w:proofErr w:type="gramEnd"/>
      <w:r w:rsidRPr="00891780">
        <w:rPr>
          <w:rStyle w:val="Zadanifontodlomka2"/>
          <w:rFonts w:ascii="Calibri" w:hAnsi="Calibri" w:cs="Calibri"/>
          <w:sz w:val="22"/>
          <w:szCs w:val="22"/>
          <w:lang w:val="en-GB" w:eastAsia="hr-HR"/>
        </w:rPr>
        <w:t xml:space="preserve"> and education as well as initiation of lending activities proportional to the lending activities at the level of HBOR as a whole. In the performance of the planned activities, the Regional Offices continued to successfully cooperate with the offices for the economy of local government units, with the relevant chambers of commerce, chambers of trades and crafts, entrepreneurial centres, development agencies and local action groups. </w:t>
      </w:r>
      <w:proofErr w:type="gramStart"/>
      <w:r w:rsidRPr="00891780">
        <w:rPr>
          <w:rStyle w:val="Zadanifontodlomka2"/>
          <w:rFonts w:ascii="Calibri" w:hAnsi="Calibri" w:cs="Calibri"/>
          <w:sz w:val="22"/>
          <w:szCs w:val="22"/>
          <w:lang w:val="en-GB" w:eastAsia="hr-HR"/>
        </w:rPr>
        <w:t>The majority of</w:t>
      </w:r>
      <w:proofErr w:type="gramEnd"/>
      <w:r w:rsidRPr="00891780">
        <w:rPr>
          <w:rStyle w:val="Zadanifontodlomka2"/>
          <w:rFonts w:ascii="Calibri" w:hAnsi="Calibri" w:cs="Calibri"/>
          <w:sz w:val="22"/>
          <w:szCs w:val="22"/>
          <w:lang w:val="en-GB" w:eastAsia="hr-HR"/>
        </w:rPr>
        <w:t xml:space="preserve"> activities continued to focus on advising and informing entrepreneurs on the use of HBOR’s products as a source of finance for investments in business start-ups, growth and development. Regional Offices </w:t>
      </w:r>
      <w:proofErr w:type="gramStart"/>
      <w:r w:rsidRPr="00891780">
        <w:rPr>
          <w:rStyle w:val="Zadanifontodlomka2"/>
          <w:rFonts w:ascii="Calibri" w:hAnsi="Calibri" w:cs="Calibri"/>
          <w:sz w:val="22"/>
          <w:szCs w:val="22"/>
          <w:lang w:val="en-GB" w:eastAsia="hr-HR"/>
        </w:rPr>
        <w:t>are considered to be</w:t>
      </w:r>
      <w:proofErr w:type="gramEnd"/>
      <w:r w:rsidRPr="00891780">
        <w:rPr>
          <w:rStyle w:val="Zadanifontodlomka2"/>
          <w:rFonts w:ascii="Calibri" w:hAnsi="Calibri" w:cs="Calibri"/>
          <w:sz w:val="22"/>
          <w:szCs w:val="22"/>
          <w:lang w:val="en-GB" w:eastAsia="hr-HR"/>
        </w:rPr>
        <w:t xml:space="preserve"> an important distribution channel for HBOR's products, especially in the context of activities under the National Recovery and Resilience Plan, implementation activities of the Operational Programmes of HBOR's Business Strategy and the programmes under the Temporary Crisis Framework </w:t>
      </w:r>
      <w:r w:rsidRPr="00891780">
        <w:rPr>
          <w:rStyle w:val="Zadanifontodlomka2"/>
          <w:rFonts w:ascii="Calibri" w:hAnsi="Calibri" w:cs="Calibri"/>
          <w:sz w:val="22"/>
          <w:szCs w:val="22"/>
          <w:lang w:val="en-GB"/>
        </w:rPr>
        <w:t>(TCF).</w:t>
      </w:r>
    </w:p>
    <w:p w14:paraId="3D790D3D" w14:textId="77777777" w:rsidR="00B96183" w:rsidRPr="00891780" w:rsidRDefault="00B96183" w:rsidP="000B677E">
      <w:pPr>
        <w:spacing w:before="120" w:after="120" w:line="276" w:lineRule="auto"/>
        <w:jc w:val="both"/>
        <w:rPr>
          <w:rFonts w:ascii="Calibri" w:hAnsi="Calibri" w:cs="Calibri"/>
          <w:sz w:val="16"/>
          <w:szCs w:val="16"/>
          <w:lang w:val="en-GB"/>
        </w:rPr>
      </w:pPr>
    </w:p>
    <w:p w14:paraId="67FDA8E9" w14:textId="77777777" w:rsidR="00B96183" w:rsidRPr="00891780" w:rsidRDefault="00B96183" w:rsidP="000B677E">
      <w:pPr>
        <w:spacing w:before="120" w:after="120" w:line="276" w:lineRule="auto"/>
        <w:jc w:val="both"/>
        <w:rPr>
          <w:rFonts w:ascii="Calibri" w:hAnsi="Calibri" w:cs="Calibri"/>
          <w:b/>
          <w:bCs/>
          <w:sz w:val="22"/>
          <w:szCs w:val="22"/>
          <w:lang w:val="en-GB"/>
        </w:rPr>
      </w:pPr>
      <w:r w:rsidRPr="00891780">
        <w:rPr>
          <w:rFonts w:ascii="Calibri" w:hAnsi="Calibri" w:cs="Calibri"/>
          <w:b/>
          <w:bCs/>
          <w:sz w:val="22"/>
          <w:szCs w:val="22"/>
          <w:lang w:val="en-GB"/>
        </w:rPr>
        <w:t>Public disclosure of activities</w:t>
      </w:r>
    </w:p>
    <w:p w14:paraId="0945E4FD"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HBOR puts a special focus on providing information to the public about the goals of its operations and about the measures for their attainment as well as about the results of its activities by simultaneously following the principle of bank secrecy and its function. Therefore, through various forms of providing information, HBOR regularly informed the public about all its important activities in 2022. </w:t>
      </w:r>
    </w:p>
    <w:p w14:paraId="596E786E"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During the reporting period, 19 public procurement procedures were published in the Electronic Public Procurement Classifieds. Since 1 July 2017, simple procurement procedures have also been published on HBOR's websites, and since 1 January 2022, all simple procurement procedures with an estimated procurement value equal to or greater than HRK 20 thousand have been published in the Electronic Public Procurement Classifieds.</w:t>
      </w:r>
    </w:p>
    <w:p w14:paraId="7E0EE87A"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In 2022, altogether 13 requests for access to information pursuant to the Act on the Right of Access to Information were received.</w:t>
      </w:r>
    </w:p>
    <w:p w14:paraId="1CF98C54" w14:textId="77777777" w:rsidR="00B96183" w:rsidRPr="00891780" w:rsidRDefault="00B96183" w:rsidP="000B677E">
      <w:pPr>
        <w:rPr>
          <w:rFonts w:ascii="Calibri" w:eastAsia="SimHei" w:hAnsi="Calibri" w:cs="Calibri"/>
          <w:b/>
          <w:bCs/>
          <w:sz w:val="22"/>
          <w:szCs w:val="22"/>
          <w:lang w:val="en-GB"/>
        </w:rPr>
      </w:pPr>
      <w:r w:rsidRPr="00891780">
        <w:rPr>
          <w:rFonts w:ascii="Calibri" w:eastAsia="SimHei" w:hAnsi="Calibri" w:cs="Calibri"/>
          <w:b/>
          <w:bCs/>
          <w:sz w:val="22"/>
          <w:szCs w:val="22"/>
          <w:lang w:val="en-GB"/>
        </w:rPr>
        <w:br w:type="page"/>
      </w:r>
    </w:p>
    <w:p w14:paraId="2C893DAC" w14:textId="77777777" w:rsidR="00B96183" w:rsidRPr="00891780" w:rsidRDefault="00B96183" w:rsidP="000B677E">
      <w:pPr>
        <w:keepNext/>
        <w:keepLines/>
        <w:pBdr>
          <w:bottom w:val="single" w:sz="4" w:space="2" w:color="B2B2B2"/>
        </w:pBdr>
        <w:jc w:val="both"/>
        <w:outlineLvl w:val="0"/>
        <w:rPr>
          <w:rFonts w:ascii="Calibri" w:eastAsia="SimHei" w:hAnsi="Calibri" w:cs="Calibri"/>
          <w:b/>
          <w:bCs/>
          <w:sz w:val="22"/>
          <w:szCs w:val="22"/>
          <w:lang w:val="en-GB"/>
        </w:rPr>
      </w:pPr>
      <w:bookmarkStart w:id="71" w:name="_Toc129176358"/>
      <w:r w:rsidRPr="00891780">
        <w:rPr>
          <w:rFonts w:ascii="Calibri" w:eastAsia="SimHei" w:hAnsi="Calibri" w:cs="Calibri"/>
          <w:b/>
          <w:bCs/>
          <w:sz w:val="22"/>
          <w:szCs w:val="22"/>
          <w:lang w:val="en-GB"/>
        </w:rPr>
        <w:lastRenderedPageBreak/>
        <w:t>OPERATIONS OF HRVATSKO KREDITNO OSIGURANJE GROUP</w:t>
      </w:r>
      <w:bookmarkEnd w:id="71"/>
    </w:p>
    <w:p w14:paraId="280FAA15" w14:textId="77777777" w:rsidR="00B96183" w:rsidRPr="00891780" w:rsidRDefault="00B96183" w:rsidP="000B677E">
      <w:pPr>
        <w:jc w:val="both"/>
        <w:rPr>
          <w:rFonts w:ascii="Calibri" w:eastAsia="SimSun" w:hAnsi="Calibri" w:cs="Calibri"/>
          <w:sz w:val="22"/>
          <w:szCs w:val="22"/>
          <w:lang w:val="en-GB"/>
        </w:rPr>
      </w:pPr>
    </w:p>
    <w:p w14:paraId="7BFC9CC0" w14:textId="77777777" w:rsidR="00B96183" w:rsidRPr="00891780" w:rsidRDefault="00B96183" w:rsidP="000B677E">
      <w:pPr>
        <w:keepNext/>
        <w:keepLines/>
        <w:pBdr>
          <w:bottom w:val="single" w:sz="4" w:space="2" w:color="B2B2B2"/>
        </w:pBdr>
        <w:jc w:val="both"/>
        <w:outlineLvl w:val="0"/>
        <w:rPr>
          <w:rFonts w:ascii="Calibri" w:eastAsia="SimHei" w:hAnsi="Calibri" w:cs="Calibri"/>
          <w:b/>
          <w:bCs/>
          <w:sz w:val="22"/>
          <w:szCs w:val="22"/>
          <w:lang w:val="en-GB"/>
        </w:rPr>
      </w:pPr>
      <w:bookmarkStart w:id="72" w:name="_Toc129176359"/>
      <w:r w:rsidRPr="00891780">
        <w:rPr>
          <w:rFonts w:ascii="Calibri" w:eastAsia="SimHei" w:hAnsi="Calibri" w:cs="Calibri"/>
          <w:b/>
          <w:bCs/>
          <w:sz w:val="22"/>
          <w:szCs w:val="22"/>
          <w:lang w:val="en-GB"/>
        </w:rPr>
        <w:t>HRVATSKO KREDITNO OSIGURANJE D.D. AND POSLOVNI INFO SERVIS D.O.O.</w:t>
      </w:r>
      <w:bookmarkEnd w:id="72"/>
    </w:p>
    <w:p w14:paraId="251669A3" w14:textId="77777777" w:rsidR="00B96183" w:rsidRPr="00891780" w:rsidRDefault="00B96183" w:rsidP="000B677E">
      <w:pPr>
        <w:spacing w:before="120" w:after="120" w:line="276" w:lineRule="auto"/>
        <w:jc w:val="both"/>
        <w:rPr>
          <w:rFonts w:ascii="Calibri" w:eastAsia="SimSun" w:hAnsi="Calibri" w:cs="Calibri"/>
          <w:sz w:val="22"/>
          <w:szCs w:val="22"/>
          <w:lang w:val="en-GB"/>
        </w:rPr>
      </w:pPr>
      <w:proofErr w:type="spellStart"/>
      <w:r w:rsidRPr="00891780">
        <w:rPr>
          <w:rFonts w:ascii="Calibri" w:eastAsia="SimSun" w:hAnsi="Calibri" w:cs="Calibri"/>
          <w:sz w:val="22"/>
          <w:szCs w:val="22"/>
          <w:lang w:val="en-GB"/>
        </w:rPr>
        <w:t>Hrvatsko</w:t>
      </w:r>
      <w:proofErr w:type="spellEnd"/>
      <w:r w:rsidRPr="00891780">
        <w:rPr>
          <w:rFonts w:ascii="Calibri" w:eastAsia="SimSun" w:hAnsi="Calibri" w:cs="Calibri"/>
          <w:sz w:val="22"/>
          <w:szCs w:val="22"/>
          <w:lang w:val="en-GB"/>
        </w:rPr>
        <w:t xml:space="preserve"> </w:t>
      </w:r>
      <w:proofErr w:type="spellStart"/>
      <w:r w:rsidRPr="00891780">
        <w:rPr>
          <w:rFonts w:ascii="Calibri" w:eastAsia="SimSun" w:hAnsi="Calibri" w:cs="Calibri"/>
          <w:sz w:val="22"/>
          <w:szCs w:val="22"/>
          <w:lang w:val="en-GB"/>
        </w:rPr>
        <w:t>kreditno</w:t>
      </w:r>
      <w:proofErr w:type="spellEnd"/>
      <w:r w:rsidRPr="00891780">
        <w:rPr>
          <w:rFonts w:ascii="Calibri" w:eastAsia="SimSun" w:hAnsi="Calibri" w:cs="Calibri"/>
          <w:sz w:val="22"/>
          <w:szCs w:val="22"/>
          <w:lang w:val="en-GB"/>
        </w:rPr>
        <w:t xml:space="preserve"> </w:t>
      </w:r>
      <w:proofErr w:type="spellStart"/>
      <w:r w:rsidRPr="00891780">
        <w:rPr>
          <w:rFonts w:ascii="Calibri" w:eastAsia="SimSun" w:hAnsi="Calibri" w:cs="Calibri"/>
          <w:sz w:val="22"/>
          <w:szCs w:val="22"/>
          <w:lang w:val="en-GB"/>
        </w:rPr>
        <w:t>osiguranje</w:t>
      </w:r>
      <w:proofErr w:type="spellEnd"/>
      <w:r w:rsidRPr="00891780">
        <w:rPr>
          <w:rFonts w:ascii="Calibri" w:eastAsia="SimSun" w:hAnsi="Calibri" w:cs="Calibri"/>
          <w:sz w:val="22"/>
          <w:szCs w:val="22"/>
          <w:lang w:val="en-GB"/>
        </w:rPr>
        <w:t xml:space="preserve"> </w:t>
      </w:r>
      <w:proofErr w:type="spellStart"/>
      <w:r w:rsidRPr="00891780">
        <w:rPr>
          <w:rFonts w:ascii="Calibri" w:eastAsia="SimSun" w:hAnsi="Calibri" w:cs="Calibri"/>
          <w:sz w:val="22"/>
          <w:szCs w:val="22"/>
          <w:lang w:val="en-GB"/>
        </w:rPr>
        <w:t>d.d.</w:t>
      </w:r>
      <w:proofErr w:type="spellEnd"/>
      <w:r w:rsidRPr="00891780">
        <w:rPr>
          <w:rFonts w:ascii="Calibri" w:eastAsia="SimSun" w:hAnsi="Calibri" w:cs="Calibri"/>
          <w:sz w:val="22"/>
          <w:szCs w:val="22"/>
          <w:lang w:val="en-GB"/>
        </w:rPr>
        <w:t xml:space="preserve"> (HKO) is a joint-stock insurance company specialised in the insurance of short-term receivables (payment terms of up to 2 years) arisen from the sale of goods or services among business entities.</w:t>
      </w:r>
    </w:p>
    <w:p w14:paraId="67DF5DAA" w14:textId="62C09E2C"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In October 2010, HKO established the company called </w:t>
      </w:r>
      <w:proofErr w:type="spellStart"/>
      <w:r w:rsidRPr="00891780">
        <w:rPr>
          <w:rFonts w:ascii="Calibri" w:eastAsia="SimSun" w:hAnsi="Calibri" w:cs="Calibri"/>
          <w:sz w:val="22"/>
          <w:szCs w:val="22"/>
          <w:lang w:val="en-GB"/>
        </w:rPr>
        <w:t>Poslovni</w:t>
      </w:r>
      <w:proofErr w:type="spellEnd"/>
      <w:r w:rsidRPr="00891780">
        <w:rPr>
          <w:rFonts w:ascii="Calibri" w:eastAsia="SimSun" w:hAnsi="Calibri" w:cs="Calibri"/>
          <w:sz w:val="22"/>
          <w:szCs w:val="22"/>
          <w:lang w:val="en-GB"/>
        </w:rPr>
        <w:t xml:space="preserve"> info </w:t>
      </w:r>
      <w:proofErr w:type="spellStart"/>
      <w:r w:rsidRPr="00891780">
        <w:rPr>
          <w:rFonts w:ascii="Calibri" w:eastAsia="SimSun" w:hAnsi="Calibri" w:cs="Calibri"/>
          <w:sz w:val="22"/>
          <w:szCs w:val="22"/>
          <w:lang w:val="en-GB"/>
        </w:rPr>
        <w:t>servis</w:t>
      </w:r>
      <w:proofErr w:type="spellEnd"/>
      <w:r w:rsidRPr="00891780">
        <w:rPr>
          <w:rFonts w:ascii="Calibri" w:eastAsia="SimSun" w:hAnsi="Calibri" w:cs="Calibri"/>
          <w:sz w:val="22"/>
          <w:szCs w:val="22"/>
          <w:lang w:val="en-GB"/>
        </w:rPr>
        <w:t xml:space="preserve"> </w:t>
      </w:r>
      <w:r w:rsidR="004F6281">
        <w:rPr>
          <w:rFonts w:ascii="Calibri" w:eastAsia="SimSun" w:hAnsi="Calibri" w:cs="Calibri"/>
          <w:sz w:val="22"/>
          <w:szCs w:val="22"/>
          <w:lang w:val="en-GB"/>
        </w:rPr>
        <w:t>d.o</w:t>
      </w:r>
      <w:r w:rsidR="00FF4B68">
        <w:rPr>
          <w:rFonts w:ascii="Calibri" w:eastAsia="SimSun" w:hAnsi="Calibri" w:cs="Calibri"/>
          <w:sz w:val="22"/>
          <w:szCs w:val="22"/>
          <w:lang w:val="en-GB"/>
        </w:rPr>
        <w:t xml:space="preserve">.o. </w:t>
      </w:r>
      <w:r w:rsidRPr="00891780">
        <w:rPr>
          <w:rFonts w:ascii="Calibri" w:eastAsia="SimSun" w:hAnsi="Calibri" w:cs="Calibri"/>
          <w:sz w:val="22"/>
          <w:szCs w:val="22"/>
          <w:lang w:val="en-GB"/>
        </w:rPr>
        <w:t xml:space="preserve">and started to operate as the </w:t>
      </w:r>
      <w:proofErr w:type="spellStart"/>
      <w:r w:rsidRPr="00891780">
        <w:rPr>
          <w:rFonts w:ascii="Calibri" w:eastAsia="SimSun" w:hAnsi="Calibri" w:cs="Calibri"/>
          <w:sz w:val="22"/>
          <w:szCs w:val="22"/>
          <w:lang w:val="en-GB"/>
        </w:rPr>
        <w:t>Hrvatsko</w:t>
      </w:r>
      <w:proofErr w:type="spellEnd"/>
      <w:r w:rsidRPr="00891780">
        <w:rPr>
          <w:rFonts w:ascii="Calibri" w:eastAsia="SimSun" w:hAnsi="Calibri" w:cs="Calibri"/>
          <w:sz w:val="22"/>
          <w:szCs w:val="22"/>
          <w:lang w:val="en-GB"/>
        </w:rPr>
        <w:t xml:space="preserve"> </w:t>
      </w:r>
      <w:proofErr w:type="spellStart"/>
      <w:r w:rsidRPr="00891780">
        <w:rPr>
          <w:rFonts w:ascii="Calibri" w:eastAsia="SimSun" w:hAnsi="Calibri" w:cs="Calibri"/>
          <w:sz w:val="22"/>
          <w:szCs w:val="22"/>
          <w:lang w:val="en-GB"/>
        </w:rPr>
        <w:t>kreditno</w:t>
      </w:r>
      <w:proofErr w:type="spellEnd"/>
      <w:r w:rsidRPr="00891780">
        <w:rPr>
          <w:rFonts w:ascii="Calibri" w:eastAsia="SimSun" w:hAnsi="Calibri" w:cs="Calibri"/>
          <w:sz w:val="22"/>
          <w:szCs w:val="22"/>
          <w:lang w:val="en-GB"/>
        </w:rPr>
        <w:t xml:space="preserve"> </w:t>
      </w:r>
      <w:proofErr w:type="spellStart"/>
      <w:r w:rsidRPr="00891780">
        <w:rPr>
          <w:rFonts w:ascii="Calibri" w:eastAsia="SimSun" w:hAnsi="Calibri" w:cs="Calibri"/>
          <w:sz w:val="22"/>
          <w:szCs w:val="22"/>
          <w:lang w:val="en-GB"/>
        </w:rPr>
        <w:t>osiguranje</w:t>
      </w:r>
      <w:proofErr w:type="spellEnd"/>
      <w:r w:rsidRPr="00891780">
        <w:rPr>
          <w:rFonts w:ascii="Calibri" w:eastAsia="SimSun" w:hAnsi="Calibri" w:cs="Calibri"/>
          <w:sz w:val="22"/>
          <w:szCs w:val="22"/>
          <w:lang w:val="en-GB"/>
        </w:rPr>
        <w:t xml:space="preserve"> Group (HKO Group) and to prepare consolidated financials. Within the HKO Group, the company </w:t>
      </w:r>
      <w:proofErr w:type="spellStart"/>
      <w:r w:rsidRPr="00891780">
        <w:rPr>
          <w:rFonts w:ascii="Calibri" w:eastAsia="SimSun" w:hAnsi="Calibri" w:cs="Calibri"/>
          <w:sz w:val="22"/>
          <w:szCs w:val="22"/>
          <w:lang w:val="en-GB"/>
        </w:rPr>
        <w:t>Poslovni</w:t>
      </w:r>
      <w:proofErr w:type="spellEnd"/>
      <w:r w:rsidRPr="00891780">
        <w:rPr>
          <w:rFonts w:ascii="Calibri" w:eastAsia="SimSun" w:hAnsi="Calibri" w:cs="Calibri"/>
          <w:sz w:val="22"/>
          <w:szCs w:val="22"/>
          <w:lang w:val="en-GB"/>
        </w:rPr>
        <w:t xml:space="preserve"> info </w:t>
      </w:r>
      <w:proofErr w:type="spellStart"/>
      <w:r w:rsidRPr="00891780">
        <w:rPr>
          <w:rFonts w:ascii="Calibri" w:eastAsia="SimSun" w:hAnsi="Calibri" w:cs="Calibri"/>
          <w:sz w:val="22"/>
          <w:szCs w:val="22"/>
          <w:lang w:val="en-GB"/>
        </w:rPr>
        <w:t>servis</w:t>
      </w:r>
      <w:proofErr w:type="spellEnd"/>
      <w:r w:rsidRPr="00891780">
        <w:rPr>
          <w:rFonts w:ascii="Calibri" w:eastAsia="SimSun" w:hAnsi="Calibri" w:cs="Calibri"/>
          <w:sz w:val="22"/>
          <w:szCs w:val="22"/>
          <w:lang w:val="en-GB"/>
        </w:rPr>
        <w:t xml:space="preserve"> d.o.o. (PIS) </w:t>
      </w:r>
      <w:proofErr w:type="gramStart"/>
      <w:r w:rsidRPr="00891780">
        <w:rPr>
          <w:rFonts w:ascii="Calibri" w:eastAsia="SimSun" w:hAnsi="Calibri" w:cs="Calibri"/>
          <w:sz w:val="22"/>
          <w:szCs w:val="22"/>
          <w:lang w:val="en-GB"/>
        </w:rPr>
        <w:t>is in charge of</w:t>
      </w:r>
      <w:proofErr w:type="gramEnd"/>
      <w:r w:rsidRPr="00891780">
        <w:rPr>
          <w:rFonts w:ascii="Calibri" w:eastAsia="SimSun" w:hAnsi="Calibri" w:cs="Calibri"/>
          <w:sz w:val="22"/>
          <w:szCs w:val="22"/>
          <w:lang w:val="en-GB"/>
        </w:rPr>
        <w:t xml:space="preserve"> analysing and assessing credit risks relating to insurance transactions. </w:t>
      </w:r>
    </w:p>
    <w:p w14:paraId="7F193F96"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As </w:t>
      </w:r>
      <w:proofErr w:type="gramStart"/>
      <w:r w:rsidRPr="00891780">
        <w:rPr>
          <w:rFonts w:ascii="Calibri" w:eastAsia="SimSun" w:hAnsi="Calibri" w:cs="Calibri"/>
          <w:sz w:val="22"/>
          <w:szCs w:val="22"/>
          <w:lang w:val="en-GB"/>
        </w:rPr>
        <w:t>at</w:t>
      </w:r>
      <w:proofErr w:type="gramEnd"/>
      <w:r w:rsidRPr="00891780">
        <w:rPr>
          <w:rFonts w:ascii="Calibri" w:eastAsia="SimSun" w:hAnsi="Calibri" w:cs="Calibri"/>
          <w:sz w:val="22"/>
          <w:szCs w:val="22"/>
          <w:lang w:val="en-GB"/>
        </w:rPr>
        <w:t xml:space="preserve"> 31 December 2022, there were 20 employees at HKO Group, of which 14 were employed with </w:t>
      </w:r>
      <w:proofErr w:type="spellStart"/>
      <w:r w:rsidRPr="00891780">
        <w:rPr>
          <w:rFonts w:ascii="Calibri" w:eastAsia="SimSun" w:hAnsi="Calibri" w:cs="Calibri"/>
          <w:sz w:val="22"/>
          <w:szCs w:val="22"/>
          <w:lang w:val="en-GB"/>
        </w:rPr>
        <w:t>Hrvatsko</w:t>
      </w:r>
      <w:proofErr w:type="spellEnd"/>
      <w:r w:rsidRPr="00891780">
        <w:rPr>
          <w:rFonts w:ascii="Calibri" w:eastAsia="SimSun" w:hAnsi="Calibri" w:cs="Calibri"/>
          <w:sz w:val="22"/>
          <w:szCs w:val="22"/>
          <w:lang w:val="en-GB"/>
        </w:rPr>
        <w:t xml:space="preserve"> </w:t>
      </w:r>
      <w:proofErr w:type="spellStart"/>
      <w:r w:rsidRPr="00891780">
        <w:rPr>
          <w:rFonts w:ascii="Calibri" w:eastAsia="SimSun" w:hAnsi="Calibri" w:cs="Calibri"/>
          <w:sz w:val="22"/>
          <w:szCs w:val="22"/>
          <w:lang w:val="en-GB"/>
        </w:rPr>
        <w:t>kreditno</w:t>
      </w:r>
      <w:proofErr w:type="spellEnd"/>
      <w:r w:rsidRPr="00891780">
        <w:rPr>
          <w:rFonts w:ascii="Calibri" w:eastAsia="SimSun" w:hAnsi="Calibri" w:cs="Calibri"/>
          <w:sz w:val="22"/>
          <w:szCs w:val="22"/>
          <w:lang w:val="en-GB"/>
        </w:rPr>
        <w:t xml:space="preserve"> </w:t>
      </w:r>
      <w:proofErr w:type="spellStart"/>
      <w:r w:rsidRPr="00891780">
        <w:rPr>
          <w:rFonts w:ascii="Calibri" w:eastAsia="SimSun" w:hAnsi="Calibri" w:cs="Calibri"/>
          <w:sz w:val="22"/>
          <w:szCs w:val="22"/>
          <w:lang w:val="en-GB"/>
        </w:rPr>
        <w:t>osiguranje</w:t>
      </w:r>
      <w:proofErr w:type="spellEnd"/>
      <w:r w:rsidRPr="00891780">
        <w:rPr>
          <w:rFonts w:ascii="Calibri" w:eastAsia="SimSun" w:hAnsi="Calibri" w:cs="Calibri"/>
          <w:sz w:val="22"/>
          <w:szCs w:val="22"/>
          <w:lang w:val="en-GB"/>
        </w:rPr>
        <w:t xml:space="preserve"> </w:t>
      </w:r>
      <w:proofErr w:type="spellStart"/>
      <w:r w:rsidRPr="00891780">
        <w:rPr>
          <w:rFonts w:ascii="Calibri" w:eastAsia="SimSun" w:hAnsi="Calibri" w:cs="Calibri"/>
          <w:sz w:val="22"/>
          <w:szCs w:val="22"/>
          <w:lang w:val="en-GB"/>
        </w:rPr>
        <w:t>d.d.</w:t>
      </w:r>
      <w:proofErr w:type="spellEnd"/>
      <w:r w:rsidRPr="00891780">
        <w:rPr>
          <w:rFonts w:ascii="Calibri" w:eastAsia="SimSun" w:hAnsi="Calibri" w:cs="Calibri"/>
          <w:sz w:val="22"/>
          <w:szCs w:val="22"/>
          <w:lang w:val="en-GB"/>
        </w:rPr>
        <w:t xml:space="preserve"> and 6 with PIS. Eighteen employees had university degrees and two had secondary school education.</w:t>
      </w:r>
    </w:p>
    <w:p w14:paraId="06A94EDD" w14:textId="77777777" w:rsidR="00B96183" w:rsidRPr="00891780" w:rsidRDefault="00B96183" w:rsidP="000B677E">
      <w:pPr>
        <w:spacing w:before="120" w:after="120" w:line="23" w:lineRule="atLeast"/>
        <w:jc w:val="both"/>
        <w:rPr>
          <w:rFonts w:ascii="Calibri" w:eastAsia="SimSun" w:hAnsi="Calibri" w:cs="Calibri"/>
          <w:b/>
          <w:sz w:val="22"/>
          <w:szCs w:val="22"/>
          <w:lang w:val="en-GB"/>
        </w:rPr>
      </w:pPr>
    </w:p>
    <w:p w14:paraId="28432105" w14:textId="77777777" w:rsidR="00B96183" w:rsidRPr="00891780" w:rsidRDefault="00B96183" w:rsidP="000B677E">
      <w:pPr>
        <w:spacing w:before="120" w:after="120" w:line="23" w:lineRule="atLeast"/>
        <w:jc w:val="both"/>
        <w:rPr>
          <w:rFonts w:ascii="Calibri" w:eastAsia="SimSun" w:hAnsi="Calibri" w:cs="Calibri"/>
          <w:b/>
          <w:sz w:val="22"/>
          <w:szCs w:val="22"/>
          <w:lang w:val="en-GB"/>
        </w:rPr>
      </w:pPr>
      <w:r w:rsidRPr="00891780">
        <w:rPr>
          <w:rFonts w:ascii="Calibri" w:eastAsia="SimSun" w:hAnsi="Calibri" w:cs="Calibri"/>
          <w:b/>
          <w:sz w:val="22"/>
          <w:szCs w:val="22"/>
          <w:lang w:val="en-GB"/>
        </w:rPr>
        <w:t>Ownership structure</w:t>
      </w:r>
    </w:p>
    <w:p w14:paraId="32568127" w14:textId="77777777" w:rsidR="00B96183" w:rsidRPr="00891780" w:rsidRDefault="00B96183" w:rsidP="000B677E">
      <w:pPr>
        <w:spacing w:before="120" w:after="120" w:line="23" w:lineRule="atLeast"/>
        <w:jc w:val="both"/>
        <w:rPr>
          <w:rFonts w:ascii="Calibri" w:eastAsia="SimSun" w:hAnsi="Calibri" w:cs="Calibri"/>
          <w:sz w:val="22"/>
          <w:szCs w:val="22"/>
          <w:lang w:val="en-GB"/>
        </w:rPr>
      </w:pPr>
      <w:r w:rsidRPr="00891780">
        <w:rPr>
          <w:rFonts w:ascii="Calibri" w:eastAsia="SimSun" w:hAnsi="Calibri" w:cs="Calibri"/>
          <w:sz w:val="22"/>
          <w:szCs w:val="22"/>
          <w:lang w:val="en-GB"/>
        </w:rPr>
        <w:t>HKO is 100% owned by the Croatian Bank for Reconstruction and Development.</w:t>
      </w:r>
    </w:p>
    <w:p w14:paraId="3BA581D2" w14:textId="77777777" w:rsidR="00B96183" w:rsidRPr="00891780" w:rsidRDefault="00B96183" w:rsidP="000B677E">
      <w:pPr>
        <w:spacing w:before="120" w:after="120" w:line="23" w:lineRule="atLeast"/>
        <w:jc w:val="both"/>
        <w:rPr>
          <w:rFonts w:ascii="Calibri" w:eastAsia="SimSun" w:hAnsi="Calibri" w:cs="Calibri"/>
          <w:sz w:val="22"/>
          <w:szCs w:val="22"/>
          <w:lang w:val="en-GB"/>
        </w:rPr>
      </w:pPr>
    </w:p>
    <w:p w14:paraId="57722829" w14:textId="77777777" w:rsidR="00B96183" w:rsidRPr="00891780" w:rsidRDefault="00B96183" w:rsidP="000B677E">
      <w:pPr>
        <w:spacing w:before="120" w:after="120" w:line="23" w:lineRule="atLeast"/>
        <w:jc w:val="both"/>
        <w:rPr>
          <w:rFonts w:ascii="Calibri" w:eastAsia="SimSun" w:hAnsi="Calibri" w:cs="Calibri"/>
          <w:b/>
          <w:sz w:val="22"/>
          <w:szCs w:val="22"/>
          <w:lang w:val="en-GB"/>
        </w:rPr>
      </w:pPr>
      <w:r w:rsidRPr="00891780">
        <w:rPr>
          <w:rFonts w:ascii="Calibri" w:eastAsia="SimSun" w:hAnsi="Calibri" w:cs="Calibri"/>
          <w:b/>
          <w:sz w:val="22"/>
          <w:szCs w:val="22"/>
          <w:lang w:val="en-GB"/>
        </w:rPr>
        <w:t xml:space="preserve">Management </w:t>
      </w:r>
    </w:p>
    <w:p w14:paraId="517B82B0"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Legal status, organisation and management of the Company, other issues important for the operations of the Company and other harmonisation issues provided for in the Companies Act and the Insurance Act are determined by the Statutes of the Company. Company management bodies are Management Board, Supervisory Board and Shareholders’ Meeting.</w:t>
      </w:r>
    </w:p>
    <w:p w14:paraId="0A5172F5" w14:textId="77777777" w:rsidR="00B96183" w:rsidRPr="00891780" w:rsidRDefault="00B96183" w:rsidP="000B677E">
      <w:pPr>
        <w:spacing w:before="120" w:after="120" w:line="276" w:lineRule="auto"/>
        <w:jc w:val="both"/>
        <w:rPr>
          <w:rFonts w:ascii="Calibri" w:eastAsia="SimSun" w:hAnsi="Calibri" w:cs="Calibri"/>
          <w:sz w:val="22"/>
          <w:szCs w:val="22"/>
          <w:lang w:val="en-GB"/>
        </w:rPr>
      </w:pPr>
    </w:p>
    <w:p w14:paraId="71B3CC62" w14:textId="77777777" w:rsidR="00B96183" w:rsidRPr="00891780" w:rsidRDefault="00B96183" w:rsidP="000B677E">
      <w:pPr>
        <w:spacing w:before="120" w:after="120" w:line="23" w:lineRule="atLeast"/>
        <w:jc w:val="both"/>
        <w:rPr>
          <w:rFonts w:ascii="Calibri" w:eastAsia="PMingLiU" w:hAnsi="Calibri" w:cs="Calibri"/>
          <w:b/>
          <w:sz w:val="22"/>
          <w:szCs w:val="22"/>
          <w:lang w:val="en-GB"/>
        </w:rPr>
      </w:pPr>
      <w:r w:rsidRPr="00891780">
        <w:rPr>
          <w:rFonts w:ascii="Calibri" w:eastAsia="PMingLiU" w:hAnsi="Calibri" w:cs="Calibri"/>
          <w:b/>
          <w:sz w:val="22"/>
          <w:szCs w:val="22"/>
          <w:lang w:val="en-GB"/>
        </w:rPr>
        <w:t>People authorised to represent</w:t>
      </w:r>
    </w:p>
    <w:p w14:paraId="19B4D253" w14:textId="77777777" w:rsidR="00B96183" w:rsidRPr="00891780" w:rsidRDefault="00B96183" w:rsidP="000B677E">
      <w:pPr>
        <w:spacing w:before="120" w:after="120" w:line="23" w:lineRule="atLeast"/>
        <w:jc w:val="both"/>
        <w:rPr>
          <w:rFonts w:ascii="Calibri" w:eastAsia="PMingLiU" w:hAnsi="Calibri" w:cs="Calibri"/>
          <w:b/>
          <w:sz w:val="22"/>
          <w:szCs w:val="22"/>
          <w:lang w:val="en-GB"/>
        </w:rPr>
      </w:pPr>
      <w:r w:rsidRPr="00891780">
        <w:rPr>
          <w:rFonts w:ascii="Calibri" w:eastAsia="PMingLiU" w:hAnsi="Calibri" w:cs="Calibri"/>
          <w:b/>
          <w:sz w:val="22"/>
          <w:szCs w:val="22"/>
          <w:lang w:val="en-GB"/>
        </w:rPr>
        <w:t>Management Board in 2022:</w:t>
      </w:r>
    </w:p>
    <w:p w14:paraId="48F58468" w14:textId="77777777" w:rsidR="00B96183" w:rsidRPr="00891780" w:rsidRDefault="00B96183" w:rsidP="000B677E">
      <w:pPr>
        <w:numPr>
          <w:ilvl w:val="0"/>
          <w:numId w:val="20"/>
        </w:numPr>
        <w:tabs>
          <w:tab w:val="left" w:pos="3836"/>
        </w:tabs>
        <w:spacing w:before="120" w:after="120" w:line="23" w:lineRule="atLeast"/>
        <w:ind w:left="284" w:hanging="284"/>
        <w:jc w:val="both"/>
        <w:rPr>
          <w:rFonts w:ascii="Calibri" w:eastAsia="SimSun" w:hAnsi="Calibri" w:cs="Calibri"/>
          <w:sz w:val="22"/>
          <w:szCs w:val="22"/>
          <w:lang w:val="en-GB"/>
        </w:rPr>
      </w:pPr>
      <w:r w:rsidRPr="00891780">
        <w:rPr>
          <w:rFonts w:ascii="Calibri" w:eastAsia="SimSun" w:hAnsi="Calibri" w:cs="Calibri"/>
          <w:sz w:val="22"/>
          <w:szCs w:val="22"/>
          <w:lang w:val="en-GB"/>
        </w:rPr>
        <w:t>Zvonimir Samodol, Chairman of the Management Board</w:t>
      </w:r>
    </w:p>
    <w:p w14:paraId="0DE563D9" w14:textId="77777777" w:rsidR="00B96183" w:rsidRPr="00891780" w:rsidRDefault="00B96183" w:rsidP="000B677E">
      <w:pPr>
        <w:numPr>
          <w:ilvl w:val="0"/>
          <w:numId w:val="20"/>
        </w:numPr>
        <w:tabs>
          <w:tab w:val="left" w:pos="3836"/>
        </w:tabs>
        <w:spacing w:before="120" w:after="120" w:line="23" w:lineRule="atLeast"/>
        <w:ind w:left="284" w:hanging="284"/>
        <w:jc w:val="both"/>
        <w:rPr>
          <w:lang w:val="en-GB"/>
        </w:rPr>
      </w:pPr>
      <w:r w:rsidRPr="00891780">
        <w:rPr>
          <w:rStyle w:val="Zadanifontodlomka2"/>
          <w:rFonts w:ascii="Calibri" w:eastAsia="SimSun" w:hAnsi="Calibri" w:cs="Calibri"/>
          <w:sz w:val="22"/>
          <w:szCs w:val="22"/>
          <w:lang w:val="en-GB"/>
        </w:rPr>
        <w:t>Ružica Adamović, Member of the Management Board</w:t>
      </w:r>
    </w:p>
    <w:p w14:paraId="34343C0C" w14:textId="77777777" w:rsidR="00B96183" w:rsidRPr="00891780" w:rsidRDefault="00B96183" w:rsidP="000B677E">
      <w:pPr>
        <w:tabs>
          <w:tab w:val="left" w:pos="3836"/>
        </w:tabs>
        <w:spacing w:before="120" w:after="120" w:line="23" w:lineRule="atLeast"/>
        <w:ind w:left="284"/>
        <w:jc w:val="both"/>
        <w:rPr>
          <w:rFonts w:ascii="Calibri" w:eastAsia="PMingLiU" w:hAnsi="Calibri" w:cs="Calibri"/>
          <w:b/>
          <w:sz w:val="22"/>
          <w:szCs w:val="22"/>
          <w:lang w:val="en-GB"/>
        </w:rPr>
      </w:pPr>
    </w:p>
    <w:p w14:paraId="52F06563" w14:textId="77777777" w:rsidR="00B96183" w:rsidRPr="00891780" w:rsidRDefault="00B96183" w:rsidP="000B677E">
      <w:pPr>
        <w:spacing w:before="120" w:after="120" w:line="23" w:lineRule="atLeast"/>
        <w:jc w:val="both"/>
        <w:rPr>
          <w:rFonts w:ascii="Calibri" w:eastAsia="PMingLiU" w:hAnsi="Calibri" w:cs="Calibri"/>
          <w:b/>
          <w:sz w:val="22"/>
          <w:szCs w:val="22"/>
          <w:lang w:val="en-GB"/>
        </w:rPr>
      </w:pPr>
      <w:r w:rsidRPr="00891780">
        <w:rPr>
          <w:rFonts w:ascii="Calibri" w:eastAsia="PMingLiU" w:hAnsi="Calibri" w:cs="Calibri"/>
          <w:b/>
          <w:sz w:val="22"/>
          <w:szCs w:val="22"/>
          <w:lang w:val="en-GB"/>
        </w:rPr>
        <w:t>Supervisory Board of HKO</w:t>
      </w:r>
    </w:p>
    <w:p w14:paraId="6B6E5650" w14:textId="77777777" w:rsidR="00B96183" w:rsidRPr="00891780" w:rsidRDefault="00B96183" w:rsidP="000B677E">
      <w:pPr>
        <w:spacing w:before="120" w:after="120" w:line="23" w:lineRule="atLeast"/>
        <w:jc w:val="both"/>
        <w:rPr>
          <w:rFonts w:ascii="Calibri" w:eastAsia="PMingLiU" w:hAnsi="Calibri" w:cs="Calibri"/>
          <w:sz w:val="22"/>
          <w:szCs w:val="22"/>
          <w:lang w:val="en-GB"/>
        </w:rPr>
      </w:pPr>
      <w:r w:rsidRPr="00891780">
        <w:rPr>
          <w:rFonts w:ascii="Calibri" w:eastAsia="PMingLiU" w:hAnsi="Calibri" w:cs="Calibri"/>
          <w:sz w:val="22"/>
          <w:szCs w:val="22"/>
          <w:lang w:val="en-GB"/>
        </w:rPr>
        <w:t>In 2022, the Supervisory Board of HKO was comprised of the following members:</w:t>
      </w:r>
    </w:p>
    <w:p w14:paraId="02F2229E" w14:textId="77777777" w:rsidR="00B96183" w:rsidRPr="00891780" w:rsidRDefault="00B96183">
      <w:pPr>
        <w:numPr>
          <w:ilvl w:val="0"/>
          <w:numId w:val="21"/>
        </w:numPr>
        <w:tabs>
          <w:tab w:val="left" w:pos="3836"/>
        </w:tabs>
        <w:spacing w:before="120" w:after="120" w:line="23" w:lineRule="atLeast"/>
        <w:ind w:left="284" w:hanging="284"/>
        <w:jc w:val="both"/>
        <w:rPr>
          <w:rFonts w:ascii="Calibri" w:eastAsia="SimSun" w:hAnsi="Calibri" w:cs="Calibri"/>
          <w:sz w:val="22"/>
          <w:szCs w:val="22"/>
          <w:lang w:val="en-GB"/>
        </w:rPr>
      </w:pPr>
      <w:r w:rsidRPr="00891780">
        <w:rPr>
          <w:rFonts w:ascii="Calibri" w:eastAsia="SimSun" w:hAnsi="Calibri" w:cs="Calibri"/>
          <w:sz w:val="22"/>
          <w:szCs w:val="22"/>
          <w:lang w:val="en-GB"/>
        </w:rPr>
        <w:t>Vedran Jakšić, Chairman of the Supervisory Board, until 3 January 2023</w:t>
      </w:r>
    </w:p>
    <w:p w14:paraId="1E26BC13" w14:textId="77777777" w:rsidR="00B96183" w:rsidRPr="00891780" w:rsidRDefault="00B96183" w:rsidP="000B677E">
      <w:pPr>
        <w:numPr>
          <w:ilvl w:val="0"/>
          <w:numId w:val="20"/>
        </w:numPr>
        <w:tabs>
          <w:tab w:val="left" w:pos="3836"/>
        </w:tabs>
        <w:spacing w:before="120" w:after="120" w:line="23" w:lineRule="atLeast"/>
        <w:ind w:left="284" w:hanging="284"/>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Andreja Mergeduš, Deputy Chairman of the Supervisory Board </w:t>
      </w:r>
    </w:p>
    <w:p w14:paraId="4F09F2FB" w14:textId="77777777" w:rsidR="00B96183" w:rsidRPr="00891780" w:rsidRDefault="00B96183" w:rsidP="000B677E">
      <w:pPr>
        <w:numPr>
          <w:ilvl w:val="0"/>
          <w:numId w:val="20"/>
        </w:numPr>
        <w:tabs>
          <w:tab w:val="left" w:pos="3836"/>
        </w:tabs>
        <w:spacing w:before="120" w:after="120" w:line="23" w:lineRule="atLeast"/>
        <w:ind w:left="284" w:hanging="284"/>
        <w:jc w:val="both"/>
        <w:rPr>
          <w:rFonts w:ascii="Calibri" w:eastAsia="SimSun" w:hAnsi="Calibri" w:cs="Calibri"/>
          <w:sz w:val="22"/>
          <w:szCs w:val="22"/>
          <w:lang w:val="en-GB"/>
        </w:rPr>
      </w:pPr>
      <w:r w:rsidRPr="00891780">
        <w:rPr>
          <w:rFonts w:ascii="Calibri" w:eastAsia="SimSun" w:hAnsi="Calibri" w:cs="Calibri"/>
          <w:sz w:val="22"/>
          <w:szCs w:val="22"/>
          <w:lang w:val="en-GB"/>
        </w:rPr>
        <w:t>Ante Artuković, Member of the Supervisory Board</w:t>
      </w:r>
    </w:p>
    <w:p w14:paraId="4BBB5C01" w14:textId="77777777" w:rsidR="00B96183" w:rsidRPr="00891780" w:rsidRDefault="00B96183" w:rsidP="000B677E">
      <w:pPr>
        <w:numPr>
          <w:ilvl w:val="0"/>
          <w:numId w:val="20"/>
        </w:numPr>
        <w:tabs>
          <w:tab w:val="left" w:pos="3836"/>
        </w:tabs>
        <w:spacing w:before="120" w:after="120" w:line="23" w:lineRule="atLeast"/>
        <w:ind w:left="284" w:hanging="284"/>
        <w:jc w:val="both"/>
        <w:rPr>
          <w:rFonts w:ascii="Calibri" w:eastAsia="SimSun" w:hAnsi="Calibri" w:cs="Calibri"/>
          <w:color w:val="000000" w:themeColor="text1"/>
          <w:sz w:val="22"/>
          <w:szCs w:val="22"/>
          <w:lang w:val="en-GB"/>
        </w:rPr>
      </w:pPr>
      <w:r w:rsidRPr="00891780">
        <w:rPr>
          <w:rFonts w:ascii="Calibri" w:eastAsia="SimSun" w:hAnsi="Calibri" w:cs="Calibri"/>
          <w:color w:val="000000" w:themeColor="text1"/>
          <w:sz w:val="22"/>
          <w:szCs w:val="22"/>
          <w:lang w:val="en-GB"/>
        </w:rPr>
        <w:t xml:space="preserve">Gordan Kuvek, Member of the Supervisory Board </w:t>
      </w:r>
    </w:p>
    <w:p w14:paraId="6DC55D84" w14:textId="77777777" w:rsidR="00B96183" w:rsidRPr="00891780" w:rsidRDefault="00B96183" w:rsidP="000B677E">
      <w:pPr>
        <w:numPr>
          <w:ilvl w:val="0"/>
          <w:numId w:val="20"/>
        </w:numPr>
        <w:tabs>
          <w:tab w:val="left" w:pos="3836"/>
        </w:tabs>
        <w:spacing w:before="120" w:after="240" w:line="23" w:lineRule="atLeast"/>
        <w:ind w:left="284" w:hanging="284"/>
        <w:jc w:val="both"/>
        <w:rPr>
          <w:rFonts w:ascii="Calibri" w:eastAsia="SimSun" w:hAnsi="Calibri" w:cs="Calibri"/>
          <w:color w:val="000000" w:themeColor="text1"/>
          <w:sz w:val="22"/>
          <w:szCs w:val="22"/>
          <w:lang w:val="en-GB"/>
        </w:rPr>
      </w:pPr>
      <w:r w:rsidRPr="00891780">
        <w:rPr>
          <w:rFonts w:ascii="Calibri" w:eastAsia="SimSun" w:hAnsi="Calibri" w:cs="Calibri"/>
          <w:color w:val="000000" w:themeColor="text1"/>
          <w:sz w:val="22"/>
          <w:szCs w:val="22"/>
          <w:lang w:val="en-GB"/>
        </w:rPr>
        <w:t xml:space="preserve">Marija Jerkić, Member of the Supervisory Board </w:t>
      </w:r>
    </w:p>
    <w:p w14:paraId="47A171E9" w14:textId="15B7B8F7" w:rsidR="00B96183" w:rsidRPr="00891780" w:rsidRDefault="00B96183" w:rsidP="000B677E">
      <w:pPr>
        <w:tabs>
          <w:tab w:val="left" w:pos="3836"/>
        </w:tabs>
        <w:spacing w:before="120" w:after="120" w:line="23" w:lineRule="atLeast"/>
        <w:jc w:val="both"/>
        <w:rPr>
          <w:rFonts w:ascii="Calibri" w:eastAsia="PMingLiU" w:hAnsi="Calibri" w:cs="Calibri"/>
          <w:color w:val="000000" w:themeColor="text1"/>
          <w:sz w:val="22"/>
          <w:szCs w:val="22"/>
          <w:lang w:val="en-GB"/>
        </w:rPr>
      </w:pPr>
      <w:r w:rsidRPr="00891780">
        <w:rPr>
          <w:rFonts w:ascii="Calibri" w:eastAsia="SimSun" w:hAnsi="Calibri" w:cs="Calibri"/>
          <w:color w:val="000000" w:themeColor="text1"/>
          <w:sz w:val="22"/>
          <w:szCs w:val="22"/>
          <w:lang w:val="en-GB"/>
        </w:rPr>
        <w:t xml:space="preserve">On 3 February 2023, the Croatian Financial Services Supervisory Agency passed a resolution, by means of which an approval </w:t>
      </w:r>
      <w:r w:rsidR="00FF4B68">
        <w:rPr>
          <w:rFonts w:ascii="Calibri" w:eastAsia="SimSun" w:hAnsi="Calibri" w:cs="Calibri"/>
          <w:color w:val="000000" w:themeColor="text1"/>
          <w:sz w:val="22"/>
          <w:szCs w:val="22"/>
          <w:lang w:val="en-GB"/>
        </w:rPr>
        <w:t>was</w:t>
      </w:r>
      <w:r w:rsidRPr="00891780">
        <w:rPr>
          <w:rFonts w:ascii="Calibri" w:eastAsia="SimSun" w:hAnsi="Calibri" w:cs="Calibri"/>
          <w:color w:val="000000" w:themeColor="text1"/>
          <w:sz w:val="22"/>
          <w:szCs w:val="22"/>
          <w:lang w:val="en-GB"/>
        </w:rPr>
        <w:t xml:space="preserve"> issued for Marin Pranjić for performing the function of a member of the Supervisory Board.</w:t>
      </w:r>
    </w:p>
    <w:p w14:paraId="179BD349" w14:textId="77777777" w:rsidR="00B96183" w:rsidRPr="00891780" w:rsidRDefault="00B96183" w:rsidP="000B677E">
      <w:pPr>
        <w:rPr>
          <w:rFonts w:ascii="Calibri" w:eastAsia="PMingLiU" w:hAnsi="Calibri" w:cs="Calibri"/>
          <w:b/>
          <w:color w:val="000000" w:themeColor="text1"/>
          <w:sz w:val="22"/>
          <w:szCs w:val="22"/>
          <w:lang w:val="en-GB"/>
        </w:rPr>
      </w:pPr>
    </w:p>
    <w:p w14:paraId="503CB7E3" w14:textId="77777777" w:rsidR="00B96183" w:rsidRPr="00891780" w:rsidRDefault="00B96183" w:rsidP="000B677E">
      <w:pPr>
        <w:spacing w:before="120" w:after="120" w:line="23" w:lineRule="atLeast"/>
        <w:rPr>
          <w:rFonts w:ascii="Calibri" w:eastAsia="PMingLiU" w:hAnsi="Calibri" w:cs="Calibri"/>
          <w:b/>
          <w:sz w:val="22"/>
          <w:szCs w:val="22"/>
          <w:lang w:val="en-GB"/>
        </w:rPr>
      </w:pPr>
      <w:proofErr w:type="spellStart"/>
      <w:r w:rsidRPr="00891780">
        <w:rPr>
          <w:rFonts w:ascii="Calibri" w:eastAsia="PMingLiU" w:hAnsi="Calibri" w:cs="Calibri"/>
          <w:b/>
          <w:sz w:val="22"/>
          <w:szCs w:val="22"/>
          <w:lang w:val="en-GB"/>
        </w:rPr>
        <w:lastRenderedPageBreak/>
        <w:t>Poslovni</w:t>
      </w:r>
      <w:proofErr w:type="spellEnd"/>
      <w:r w:rsidRPr="00891780">
        <w:rPr>
          <w:rFonts w:ascii="Calibri" w:eastAsia="PMingLiU" w:hAnsi="Calibri" w:cs="Calibri"/>
          <w:b/>
          <w:sz w:val="22"/>
          <w:szCs w:val="22"/>
          <w:lang w:val="en-GB"/>
        </w:rPr>
        <w:t xml:space="preserve"> info </w:t>
      </w:r>
      <w:proofErr w:type="spellStart"/>
      <w:r w:rsidRPr="00891780">
        <w:rPr>
          <w:rFonts w:ascii="Calibri" w:eastAsia="PMingLiU" w:hAnsi="Calibri" w:cs="Calibri"/>
          <w:b/>
          <w:sz w:val="22"/>
          <w:szCs w:val="22"/>
          <w:lang w:val="en-GB"/>
        </w:rPr>
        <w:t>servis</w:t>
      </w:r>
      <w:proofErr w:type="spellEnd"/>
      <w:r w:rsidRPr="00891780">
        <w:rPr>
          <w:rFonts w:ascii="Calibri" w:eastAsia="PMingLiU" w:hAnsi="Calibri" w:cs="Calibri"/>
          <w:b/>
          <w:sz w:val="22"/>
          <w:szCs w:val="22"/>
          <w:lang w:val="en-GB"/>
        </w:rPr>
        <w:t xml:space="preserve"> d.o.o.</w:t>
      </w:r>
    </w:p>
    <w:p w14:paraId="446769CA" w14:textId="77777777" w:rsidR="00B96183" w:rsidRPr="00891780" w:rsidRDefault="00B96183" w:rsidP="000B677E">
      <w:pPr>
        <w:spacing w:before="120" w:after="120" w:line="23" w:lineRule="atLeast"/>
        <w:jc w:val="both"/>
        <w:rPr>
          <w:rFonts w:ascii="Calibri" w:eastAsia="PMingLiU" w:hAnsi="Calibri" w:cs="Calibri"/>
          <w:sz w:val="22"/>
          <w:szCs w:val="22"/>
          <w:lang w:val="en-GB"/>
        </w:rPr>
      </w:pPr>
      <w:r w:rsidRPr="00891780">
        <w:rPr>
          <w:rFonts w:ascii="Calibri" w:eastAsia="PMingLiU" w:hAnsi="Calibri" w:cs="Calibri"/>
          <w:sz w:val="22"/>
          <w:szCs w:val="22"/>
          <w:lang w:val="en-GB"/>
        </w:rPr>
        <w:t xml:space="preserve">Jelena </w:t>
      </w:r>
      <w:proofErr w:type="spellStart"/>
      <w:r w:rsidRPr="00891780">
        <w:rPr>
          <w:rFonts w:ascii="Calibri" w:eastAsia="PMingLiU" w:hAnsi="Calibri" w:cs="Calibri"/>
          <w:sz w:val="22"/>
          <w:szCs w:val="22"/>
          <w:lang w:val="en-GB"/>
        </w:rPr>
        <w:t>Boromisa</w:t>
      </w:r>
      <w:proofErr w:type="spellEnd"/>
      <w:r w:rsidRPr="00891780">
        <w:rPr>
          <w:rFonts w:ascii="Calibri" w:eastAsia="PMingLiU" w:hAnsi="Calibri" w:cs="Calibri"/>
          <w:sz w:val="22"/>
          <w:szCs w:val="22"/>
          <w:lang w:val="en-GB"/>
        </w:rPr>
        <w:t xml:space="preserve"> performed the function of the Manager of PIS.</w:t>
      </w:r>
    </w:p>
    <w:p w14:paraId="4E523A8E" w14:textId="77777777" w:rsidR="00B96183" w:rsidRPr="00891780" w:rsidRDefault="00B96183" w:rsidP="000B677E">
      <w:pPr>
        <w:spacing w:before="120" w:after="120" w:line="23" w:lineRule="atLeast"/>
        <w:jc w:val="both"/>
        <w:rPr>
          <w:rFonts w:ascii="Calibri" w:eastAsia="PMingLiU" w:hAnsi="Calibri" w:cs="Calibri"/>
          <w:sz w:val="22"/>
          <w:szCs w:val="22"/>
          <w:lang w:val="en-GB"/>
        </w:rPr>
      </w:pPr>
      <w:r w:rsidRPr="00891780">
        <w:rPr>
          <w:rFonts w:ascii="Calibri" w:eastAsia="PMingLiU" w:hAnsi="Calibri" w:cs="Calibri"/>
          <w:sz w:val="22"/>
          <w:szCs w:val="22"/>
          <w:lang w:val="en-GB"/>
        </w:rPr>
        <w:t>Ivana Paić was the authorised representative of the Company.</w:t>
      </w:r>
    </w:p>
    <w:p w14:paraId="439D4110" w14:textId="77777777" w:rsidR="00B96183" w:rsidRPr="00891780" w:rsidRDefault="00B96183" w:rsidP="000B677E">
      <w:pPr>
        <w:spacing w:before="120" w:after="120" w:line="23" w:lineRule="atLeast"/>
        <w:jc w:val="both"/>
        <w:rPr>
          <w:rFonts w:ascii="Calibri" w:eastAsia="PMingLiU" w:hAnsi="Calibri" w:cs="Calibri"/>
          <w:sz w:val="22"/>
          <w:szCs w:val="22"/>
          <w:lang w:val="en-GB"/>
        </w:rPr>
      </w:pPr>
    </w:p>
    <w:p w14:paraId="02D5D6BC" w14:textId="77777777" w:rsidR="00B96183" w:rsidRPr="00891780" w:rsidRDefault="00B96183" w:rsidP="000B677E">
      <w:pPr>
        <w:spacing w:before="120" w:after="120" w:line="23" w:lineRule="atLeast"/>
        <w:jc w:val="both"/>
        <w:rPr>
          <w:rFonts w:ascii="Calibri" w:eastAsia="PMingLiU" w:hAnsi="Calibri" w:cs="Calibri"/>
          <w:b/>
          <w:sz w:val="22"/>
          <w:szCs w:val="22"/>
          <w:lang w:val="en-GB"/>
        </w:rPr>
      </w:pPr>
      <w:r w:rsidRPr="00891780">
        <w:rPr>
          <w:rFonts w:ascii="Calibri" w:eastAsia="PMingLiU" w:hAnsi="Calibri" w:cs="Calibri"/>
          <w:b/>
          <w:sz w:val="22"/>
          <w:szCs w:val="22"/>
          <w:lang w:val="en-GB"/>
        </w:rPr>
        <w:t>Audit Committee of HKO</w:t>
      </w:r>
    </w:p>
    <w:p w14:paraId="609BAE8E" w14:textId="77777777" w:rsidR="00B96183" w:rsidRPr="00891780" w:rsidRDefault="00B96183" w:rsidP="000B677E">
      <w:pPr>
        <w:spacing w:before="120" w:after="120" w:line="23" w:lineRule="atLeast"/>
        <w:jc w:val="both"/>
        <w:rPr>
          <w:rFonts w:ascii="Calibri" w:eastAsia="PMingLiU" w:hAnsi="Calibri" w:cs="Calibri"/>
          <w:sz w:val="22"/>
          <w:szCs w:val="22"/>
          <w:lang w:val="en-GB"/>
        </w:rPr>
      </w:pPr>
      <w:r w:rsidRPr="00891780">
        <w:rPr>
          <w:rFonts w:ascii="Calibri" w:eastAsia="PMingLiU" w:hAnsi="Calibri" w:cs="Calibri"/>
          <w:sz w:val="22"/>
          <w:szCs w:val="22"/>
          <w:lang w:val="en-GB"/>
        </w:rPr>
        <w:t>In 2022, the Audit Committee of HKO was comprised of the following members:</w:t>
      </w:r>
    </w:p>
    <w:p w14:paraId="4F8469A2" w14:textId="77777777" w:rsidR="00B96183" w:rsidRPr="00891780" w:rsidRDefault="00B96183" w:rsidP="000B677E">
      <w:pPr>
        <w:numPr>
          <w:ilvl w:val="0"/>
          <w:numId w:val="20"/>
        </w:numPr>
        <w:tabs>
          <w:tab w:val="left" w:pos="3836"/>
        </w:tabs>
        <w:spacing w:before="120" w:after="120" w:line="23" w:lineRule="atLeast"/>
        <w:ind w:left="284" w:hanging="284"/>
        <w:jc w:val="both"/>
        <w:rPr>
          <w:rFonts w:ascii="Calibri" w:eastAsia="SimSun" w:hAnsi="Calibri" w:cs="Calibri"/>
          <w:sz w:val="22"/>
          <w:szCs w:val="22"/>
          <w:lang w:val="en-GB"/>
        </w:rPr>
      </w:pPr>
      <w:r w:rsidRPr="00891780">
        <w:rPr>
          <w:rFonts w:ascii="Calibri" w:eastAsia="SimSun" w:hAnsi="Calibri" w:cs="Calibri"/>
          <w:sz w:val="22"/>
          <w:szCs w:val="22"/>
          <w:lang w:val="en-GB"/>
        </w:rPr>
        <w:t>Ante Artuković, Chairman of the Audit Committee,</w:t>
      </w:r>
    </w:p>
    <w:p w14:paraId="25D559D9" w14:textId="77777777" w:rsidR="00B96183" w:rsidRPr="00891780" w:rsidRDefault="00B96183" w:rsidP="000B677E">
      <w:pPr>
        <w:numPr>
          <w:ilvl w:val="0"/>
          <w:numId w:val="20"/>
        </w:numPr>
        <w:tabs>
          <w:tab w:val="left" w:pos="3836"/>
        </w:tabs>
        <w:spacing w:before="120" w:after="120" w:line="23" w:lineRule="atLeast"/>
        <w:ind w:left="284" w:hanging="284"/>
        <w:jc w:val="both"/>
        <w:rPr>
          <w:rFonts w:ascii="Calibri" w:eastAsia="SimSun" w:hAnsi="Calibri" w:cs="Calibri"/>
          <w:sz w:val="22"/>
          <w:szCs w:val="22"/>
          <w:lang w:val="en-GB"/>
        </w:rPr>
      </w:pPr>
      <w:r w:rsidRPr="00891780">
        <w:rPr>
          <w:rFonts w:ascii="Calibri" w:eastAsia="SimSun" w:hAnsi="Calibri" w:cs="Calibri"/>
          <w:sz w:val="22"/>
          <w:szCs w:val="22"/>
          <w:lang w:val="en-GB"/>
        </w:rPr>
        <w:t>Vedran Jakšić, Deputy Chairman of the Audit Committee, until 19 December 2022,</w:t>
      </w:r>
    </w:p>
    <w:p w14:paraId="04E4A630" w14:textId="77777777" w:rsidR="00B96183" w:rsidRPr="00891780" w:rsidRDefault="00B96183" w:rsidP="000B677E">
      <w:pPr>
        <w:numPr>
          <w:ilvl w:val="0"/>
          <w:numId w:val="20"/>
        </w:numPr>
        <w:tabs>
          <w:tab w:val="left" w:pos="3836"/>
        </w:tabs>
        <w:spacing w:before="120" w:after="120" w:line="23" w:lineRule="atLeast"/>
        <w:ind w:left="284" w:hanging="284"/>
        <w:jc w:val="both"/>
        <w:rPr>
          <w:rFonts w:ascii="Calibri" w:eastAsia="SimSun" w:hAnsi="Calibri" w:cs="Calibri"/>
          <w:sz w:val="22"/>
          <w:szCs w:val="22"/>
          <w:lang w:val="en-GB"/>
        </w:rPr>
      </w:pPr>
      <w:r w:rsidRPr="00891780">
        <w:rPr>
          <w:rFonts w:ascii="Calibri" w:eastAsia="SimSun" w:hAnsi="Calibri" w:cs="Calibri"/>
          <w:sz w:val="22"/>
          <w:szCs w:val="22"/>
          <w:lang w:val="en-GB"/>
        </w:rPr>
        <w:t>Andreja Mergeduš, Deputy Chairman of the Audit Committee, from 19 December 2022,</w:t>
      </w:r>
    </w:p>
    <w:p w14:paraId="52C8366F" w14:textId="77777777" w:rsidR="00B96183" w:rsidRPr="00891780" w:rsidRDefault="00B96183" w:rsidP="000B677E">
      <w:pPr>
        <w:numPr>
          <w:ilvl w:val="0"/>
          <w:numId w:val="20"/>
        </w:numPr>
        <w:tabs>
          <w:tab w:val="left" w:pos="3836"/>
        </w:tabs>
        <w:spacing w:before="120" w:after="120" w:line="23" w:lineRule="atLeast"/>
        <w:ind w:left="284" w:hanging="284"/>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Andreja </w:t>
      </w:r>
      <w:proofErr w:type="spellStart"/>
      <w:r w:rsidRPr="00891780">
        <w:rPr>
          <w:rFonts w:ascii="Calibri" w:eastAsia="SimSun" w:hAnsi="Calibri" w:cs="Calibri"/>
          <w:sz w:val="22"/>
          <w:szCs w:val="22"/>
          <w:lang w:val="en-GB"/>
        </w:rPr>
        <w:t>Svečnjak</w:t>
      </w:r>
      <w:proofErr w:type="spellEnd"/>
      <w:r w:rsidRPr="00891780">
        <w:rPr>
          <w:rFonts w:ascii="Calibri" w:eastAsia="SimSun" w:hAnsi="Calibri" w:cs="Calibri"/>
          <w:sz w:val="22"/>
          <w:szCs w:val="22"/>
          <w:lang w:val="en-GB"/>
        </w:rPr>
        <w:t>, Member of the Audit Committee.</w:t>
      </w:r>
    </w:p>
    <w:p w14:paraId="65DD2699" w14:textId="77777777" w:rsidR="00B96183" w:rsidRPr="00891780" w:rsidRDefault="00B96183" w:rsidP="000B677E">
      <w:pPr>
        <w:tabs>
          <w:tab w:val="left" w:pos="3836"/>
        </w:tabs>
        <w:spacing w:before="120" w:after="120" w:line="23" w:lineRule="atLeast"/>
        <w:jc w:val="both"/>
        <w:rPr>
          <w:rFonts w:ascii="Calibri" w:eastAsia="PMingLiU" w:hAnsi="Calibri" w:cs="Calibri"/>
          <w:b/>
          <w:sz w:val="22"/>
          <w:szCs w:val="22"/>
          <w:lang w:val="en-GB"/>
        </w:rPr>
      </w:pPr>
    </w:p>
    <w:p w14:paraId="701EB975" w14:textId="77777777" w:rsidR="00B96183" w:rsidRPr="00891780" w:rsidRDefault="00B96183" w:rsidP="000B677E">
      <w:pPr>
        <w:spacing w:after="160" w:line="276" w:lineRule="auto"/>
        <w:rPr>
          <w:rFonts w:ascii="Calibri" w:eastAsia="PMingLiU" w:hAnsi="Calibri" w:cs="Calibri"/>
          <w:b/>
          <w:sz w:val="22"/>
          <w:szCs w:val="22"/>
          <w:lang w:val="en-GB"/>
        </w:rPr>
      </w:pPr>
      <w:r w:rsidRPr="00891780">
        <w:rPr>
          <w:rFonts w:ascii="Calibri" w:eastAsia="PMingLiU" w:hAnsi="Calibri" w:cs="Calibri"/>
          <w:b/>
          <w:sz w:val="22"/>
          <w:szCs w:val="22"/>
          <w:lang w:val="en-GB"/>
        </w:rPr>
        <w:t>Reporting to the supervisory bodies</w:t>
      </w:r>
    </w:p>
    <w:p w14:paraId="65BDC3B3" w14:textId="77777777" w:rsidR="00B96183" w:rsidRPr="00891780" w:rsidRDefault="00B96183" w:rsidP="000B677E">
      <w:pPr>
        <w:spacing w:before="120" w:after="120" w:line="276" w:lineRule="auto"/>
        <w:jc w:val="both"/>
        <w:rPr>
          <w:rFonts w:ascii="Calibri" w:eastAsia="SimSun" w:hAnsi="Calibri" w:cs="Calibri"/>
          <w:b/>
          <w:bCs/>
          <w:iCs/>
          <w:sz w:val="22"/>
          <w:szCs w:val="22"/>
          <w:lang w:val="en-GB"/>
        </w:rPr>
      </w:pPr>
      <w:r w:rsidRPr="00891780">
        <w:rPr>
          <w:rFonts w:ascii="Calibri" w:eastAsia="SimSun" w:hAnsi="Calibri" w:cs="Calibri"/>
          <w:sz w:val="22"/>
          <w:szCs w:val="22"/>
          <w:lang w:val="en-GB"/>
        </w:rPr>
        <w:t>In 2022, the Company provided regular reports to the supervisory bodies on all relevant facts and changes in the Company pursuant to the Insurance Act, the ordinances of the Croatian Financial Services Supervisory Agency and other regulations in force. The Company regularly met all requirements of the supervisory bodies in terms of control of operations and submission of the Company's data.</w:t>
      </w:r>
    </w:p>
    <w:p w14:paraId="3C099028" w14:textId="77777777" w:rsidR="00B96183" w:rsidRPr="00891780" w:rsidRDefault="00B96183" w:rsidP="000B677E">
      <w:pPr>
        <w:rPr>
          <w:rFonts w:ascii="Calibri" w:eastAsia="SimSun" w:hAnsi="Calibri" w:cs="Calibri"/>
          <w:b/>
          <w:bCs/>
          <w:iCs/>
          <w:sz w:val="22"/>
          <w:szCs w:val="22"/>
          <w:lang w:val="en-GB"/>
        </w:rPr>
      </w:pPr>
      <w:r w:rsidRPr="00891780">
        <w:rPr>
          <w:rFonts w:ascii="Calibri" w:eastAsia="SimSun" w:hAnsi="Calibri" w:cs="Calibri"/>
          <w:b/>
          <w:bCs/>
          <w:iCs/>
          <w:sz w:val="22"/>
          <w:szCs w:val="22"/>
          <w:lang w:val="en-GB"/>
        </w:rPr>
        <w:br w:type="page"/>
      </w:r>
    </w:p>
    <w:p w14:paraId="55EC181C" w14:textId="77777777" w:rsidR="00B96183" w:rsidRPr="00891780" w:rsidRDefault="00B96183" w:rsidP="000B677E">
      <w:pPr>
        <w:spacing w:before="120" w:after="120" w:line="276" w:lineRule="auto"/>
        <w:jc w:val="both"/>
        <w:rPr>
          <w:rFonts w:ascii="Calibri" w:eastAsia="SimSun" w:hAnsi="Calibri" w:cs="Calibri"/>
          <w:b/>
          <w:bCs/>
          <w:iCs/>
          <w:sz w:val="22"/>
          <w:szCs w:val="22"/>
          <w:lang w:val="en-GB"/>
        </w:rPr>
      </w:pPr>
      <w:r w:rsidRPr="00891780">
        <w:rPr>
          <w:rFonts w:ascii="Calibri" w:eastAsia="SimSun" w:hAnsi="Calibri" w:cs="Calibri"/>
          <w:b/>
          <w:bCs/>
          <w:iCs/>
          <w:sz w:val="22"/>
          <w:szCs w:val="22"/>
          <w:lang w:val="en-GB"/>
        </w:rPr>
        <w:lastRenderedPageBreak/>
        <w:t>OPERATIONS IN 2022</w:t>
      </w:r>
    </w:p>
    <w:p w14:paraId="5D65D23F" w14:textId="77777777" w:rsidR="00B96183" w:rsidRPr="00891780" w:rsidRDefault="00B96183" w:rsidP="000B677E">
      <w:pPr>
        <w:widowControl w:val="0"/>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In 2022, </w:t>
      </w:r>
      <w:proofErr w:type="spellStart"/>
      <w:r w:rsidRPr="00891780">
        <w:rPr>
          <w:rFonts w:ascii="Calibri" w:eastAsia="SimSun" w:hAnsi="Calibri" w:cs="Calibri"/>
          <w:sz w:val="22"/>
          <w:szCs w:val="22"/>
          <w:lang w:val="en-GB"/>
        </w:rPr>
        <w:t>Hrvatsko</w:t>
      </w:r>
      <w:proofErr w:type="spellEnd"/>
      <w:r w:rsidRPr="00891780">
        <w:rPr>
          <w:rFonts w:ascii="Calibri" w:eastAsia="SimSun" w:hAnsi="Calibri" w:cs="Calibri"/>
          <w:sz w:val="22"/>
          <w:szCs w:val="22"/>
          <w:lang w:val="en-GB"/>
        </w:rPr>
        <w:t xml:space="preserve"> </w:t>
      </w:r>
      <w:proofErr w:type="spellStart"/>
      <w:r w:rsidRPr="00891780">
        <w:rPr>
          <w:rFonts w:ascii="Calibri" w:eastAsia="SimSun" w:hAnsi="Calibri" w:cs="Calibri"/>
          <w:sz w:val="22"/>
          <w:szCs w:val="22"/>
          <w:lang w:val="en-GB"/>
        </w:rPr>
        <w:t>kreditno</w:t>
      </w:r>
      <w:proofErr w:type="spellEnd"/>
      <w:r w:rsidRPr="00891780">
        <w:rPr>
          <w:rFonts w:ascii="Calibri" w:eastAsia="SimSun" w:hAnsi="Calibri" w:cs="Calibri"/>
          <w:sz w:val="22"/>
          <w:szCs w:val="22"/>
          <w:lang w:val="en-GB"/>
        </w:rPr>
        <w:t xml:space="preserve"> </w:t>
      </w:r>
      <w:proofErr w:type="spellStart"/>
      <w:r w:rsidRPr="00891780">
        <w:rPr>
          <w:rFonts w:ascii="Calibri" w:eastAsia="SimSun" w:hAnsi="Calibri" w:cs="Calibri"/>
          <w:sz w:val="22"/>
          <w:szCs w:val="22"/>
          <w:lang w:val="en-GB"/>
        </w:rPr>
        <w:t>osiguranje</w:t>
      </w:r>
      <w:proofErr w:type="spellEnd"/>
      <w:r w:rsidRPr="00891780">
        <w:rPr>
          <w:rFonts w:ascii="Calibri" w:eastAsia="SimSun" w:hAnsi="Calibri" w:cs="Calibri"/>
          <w:sz w:val="22"/>
          <w:szCs w:val="22"/>
          <w:lang w:val="en-GB"/>
        </w:rPr>
        <w:t xml:space="preserve"> </w:t>
      </w:r>
      <w:proofErr w:type="spellStart"/>
      <w:r w:rsidRPr="00891780">
        <w:rPr>
          <w:rFonts w:ascii="Calibri" w:eastAsia="SimSun" w:hAnsi="Calibri" w:cs="Calibri"/>
          <w:sz w:val="22"/>
          <w:szCs w:val="22"/>
          <w:lang w:val="en-GB"/>
        </w:rPr>
        <w:t>d.d.</w:t>
      </w:r>
      <w:proofErr w:type="spellEnd"/>
      <w:r w:rsidRPr="00891780">
        <w:rPr>
          <w:rFonts w:ascii="Calibri" w:eastAsia="SimSun" w:hAnsi="Calibri" w:cs="Calibri"/>
          <w:sz w:val="22"/>
          <w:szCs w:val="22"/>
          <w:lang w:val="en-GB"/>
        </w:rPr>
        <w:t xml:space="preserve"> generated premium income of HRK 19.7 million, an increase of 11.91 percent on the previous year. Export receivables accounted for 53.7 percent of the total premium income. In 2022, the total reported insured turnover amounted to HRK 12.9 billion, an increase of 20.1 percent on the previous year.</w:t>
      </w:r>
    </w:p>
    <w:p w14:paraId="263FA031" w14:textId="77777777" w:rsidR="00B96183" w:rsidRPr="00891780" w:rsidRDefault="00B96183" w:rsidP="000B677E">
      <w:pPr>
        <w:widowControl w:val="0"/>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As </w:t>
      </w:r>
      <w:proofErr w:type="gramStart"/>
      <w:r w:rsidRPr="00891780">
        <w:rPr>
          <w:rFonts w:ascii="Calibri" w:eastAsia="SimSun" w:hAnsi="Calibri" w:cs="Calibri"/>
          <w:sz w:val="22"/>
          <w:szCs w:val="22"/>
          <w:lang w:val="en-GB"/>
        </w:rPr>
        <w:t>at</w:t>
      </w:r>
      <w:proofErr w:type="gramEnd"/>
      <w:r w:rsidRPr="00891780">
        <w:rPr>
          <w:rFonts w:ascii="Calibri" w:eastAsia="SimSun" w:hAnsi="Calibri" w:cs="Calibri"/>
          <w:sz w:val="22"/>
          <w:szCs w:val="22"/>
          <w:lang w:val="en-GB"/>
        </w:rPr>
        <w:t xml:space="preserve"> 31 December 2022, total exposure in accordance with the approved limits by buyers stood at HRK 5 billion, an increase of 15.98 percent compared with 31 December 2021.</w:t>
      </w:r>
    </w:p>
    <w:p w14:paraId="71F14174" w14:textId="77777777" w:rsidR="00B96183" w:rsidRPr="00891780" w:rsidRDefault="00B96183" w:rsidP="000B677E">
      <w:pPr>
        <w:widowControl w:val="0"/>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As </w:t>
      </w:r>
      <w:proofErr w:type="gramStart"/>
      <w:r w:rsidRPr="00891780">
        <w:rPr>
          <w:rFonts w:ascii="Calibri" w:eastAsia="SimSun" w:hAnsi="Calibri" w:cs="Calibri"/>
          <w:sz w:val="22"/>
          <w:szCs w:val="22"/>
          <w:lang w:val="en-GB"/>
        </w:rPr>
        <w:t>at</w:t>
      </w:r>
      <w:proofErr w:type="gramEnd"/>
      <w:r w:rsidRPr="00891780">
        <w:rPr>
          <w:rFonts w:ascii="Calibri" w:eastAsia="SimSun" w:hAnsi="Calibri" w:cs="Calibri"/>
          <w:sz w:val="22"/>
          <w:szCs w:val="22"/>
          <w:lang w:val="en-GB"/>
        </w:rPr>
        <w:t xml:space="preserve"> 31 December 2022, altogether 7,796 credit limits were covered by the insurance, an increase of 1.44 percent on the previous year. Within the total structure of limits, 4,929 credit limits were related to domestic receivables and 2,867 credit limits were related to export receivables towards 66 countries of the world.</w:t>
      </w:r>
    </w:p>
    <w:p w14:paraId="4F68EE2F" w14:textId="77777777" w:rsidR="00B96183" w:rsidRPr="008A35C4" w:rsidRDefault="00B96183" w:rsidP="000B677E">
      <w:pPr>
        <w:widowControl w:val="0"/>
        <w:spacing w:before="120" w:after="120" w:line="276" w:lineRule="auto"/>
        <w:jc w:val="both"/>
        <w:rPr>
          <w:rFonts w:ascii="Calibri" w:eastAsia="SimSun" w:hAnsi="Calibri" w:cs="Calibri"/>
          <w:sz w:val="22"/>
          <w:szCs w:val="22"/>
          <w:lang w:val="en-GB"/>
        </w:rPr>
      </w:pPr>
    </w:p>
    <w:p w14:paraId="07866269" w14:textId="5CEFAAD0" w:rsidR="00B96183" w:rsidRPr="00891780" w:rsidRDefault="00BE3695" w:rsidP="000B677E">
      <w:pPr>
        <w:widowControl w:val="0"/>
        <w:spacing w:before="120" w:after="120" w:line="276" w:lineRule="auto"/>
        <w:jc w:val="both"/>
        <w:rPr>
          <w:rStyle w:val="Zadanifontodlomka2"/>
          <w:rFonts w:ascii="Calibri" w:eastAsia="SimSun" w:hAnsi="Calibri" w:cs="Calibri"/>
          <w:sz w:val="22"/>
          <w:szCs w:val="22"/>
          <w:lang w:val="en-GB"/>
        </w:rPr>
      </w:pPr>
      <w:r>
        <w:rPr>
          <w:rStyle w:val="Zadanifontodlomka1"/>
          <w:rFonts w:ascii="Calibri" w:eastAsia="SimSun" w:hAnsi="Calibri" w:cs="Calibri"/>
          <w:noProof/>
          <w:sz w:val="22"/>
          <w:szCs w:val="22"/>
          <w:shd w:val="clear" w:color="auto" w:fill="E6E6E6"/>
          <w:lang w:val="hr-HR"/>
        </w:rPr>
        <w:drawing>
          <wp:inline distT="0" distB="0" distL="0" distR="0" wp14:anchorId="479E73A8" wp14:editId="3B9231E9">
            <wp:extent cx="5940425" cy="3995078"/>
            <wp:effectExtent l="0" t="0" r="3175" b="5715"/>
            <wp:docPr id="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7A07BF" w14:textId="77777777" w:rsidR="00B96183" w:rsidRPr="00891780" w:rsidRDefault="00B96183" w:rsidP="000B677E">
      <w:pPr>
        <w:widowControl w:val="0"/>
        <w:spacing w:before="120" w:after="120" w:line="276" w:lineRule="auto"/>
        <w:jc w:val="both"/>
        <w:rPr>
          <w:rFonts w:ascii="Calibri" w:eastAsia="SimSun" w:hAnsi="Calibri" w:cs="Calibri"/>
          <w:sz w:val="22"/>
          <w:szCs w:val="22"/>
          <w:lang w:val="en-GB"/>
        </w:rPr>
      </w:pPr>
    </w:p>
    <w:p w14:paraId="69880DAA" w14:textId="77777777" w:rsidR="00B96183" w:rsidRPr="00891780" w:rsidRDefault="00B96183" w:rsidP="000B677E">
      <w:pPr>
        <w:widowControl w:val="0"/>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In 2022, the Company paid indemnities and related cost coverage in the total amount of HRK 6.32 million, whereas the amount of paid indemnities in the previous year equalled HRK 2.29 million. The indemnities were paid for buyers in Croatia, Hungary, Bosnia and Herzegovina, Great Britain, </w:t>
      </w:r>
      <w:proofErr w:type="gramStart"/>
      <w:r w:rsidRPr="00891780">
        <w:rPr>
          <w:rFonts w:ascii="Calibri" w:eastAsia="SimSun" w:hAnsi="Calibri" w:cs="Calibri"/>
          <w:sz w:val="22"/>
          <w:szCs w:val="22"/>
          <w:lang w:val="en-GB"/>
        </w:rPr>
        <w:t>Slovenia</w:t>
      </w:r>
      <w:proofErr w:type="gramEnd"/>
      <w:r w:rsidRPr="00891780">
        <w:rPr>
          <w:rFonts w:ascii="Calibri" w:eastAsia="SimSun" w:hAnsi="Calibri" w:cs="Calibri"/>
          <w:sz w:val="22"/>
          <w:szCs w:val="22"/>
          <w:lang w:val="en-GB"/>
        </w:rPr>
        <w:t xml:space="preserve"> and the United States of America.</w:t>
      </w:r>
    </w:p>
    <w:p w14:paraId="23812673" w14:textId="77777777" w:rsidR="00B96183" w:rsidRPr="00891780" w:rsidRDefault="00B96183" w:rsidP="000B677E">
      <w:pPr>
        <w:rPr>
          <w:rFonts w:ascii="Calibri" w:eastAsia="SimSun" w:hAnsi="Calibri" w:cs="Calibri"/>
          <w:sz w:val="22"/>
          <w:szCs w:val="22"/>
          <w:lang w:val="en-GB"/>
        </w:rPr>
      </w:pPr>
      <w:r w:rsidRPr="00891780">
        <w:rPr>
          <w:rFonts w:ascii="Calibri" w:eastAsia="SimSun" w:hAnsi="Calibri" w:cs="Calibri"/>
          <w:sz w:val="22"/>
          <w:szCs w:val="22"/>
          <w:lang w:val="en-GB"/>
        </w:rPr>
        <w:br w:type="page"/>
      </w:r>
    </w:p>
    <w:p w14:paraId="2CACCEA3" w14:textId="77777777" w:rsidR="00B96183" w:rsidRPr="00891780" w:rsidRDefault="00B96183" w:rsidP="000B677E">
      <w:pPr>
        <w:widowControl w:val="0"/>
        <w:spacing w:before="120" w:after="120" w:line="23" w:lineRule="atLeast"/>
        <w:rPr>
          <w:lang w:val="en-GB"/>
        </w:rPr>
      </w:pPr>
      <w:r w:rsidRPr="00891780">
        <w:rPr>
          <w:rStyle w:val="Zadanifontodlomka2"/>
          <w:rFonts w:ascii="Calibri" w:eastAsia="SimSun" w:hAnsi="Calibri" w:cs="Calibri"/>
          <w:b/>
          <w:bCs/>
          <w:iCs/>
          <w:sz w:val="22"/>
          <w:szCs w:val="22"/>
          <w:lang w:val="en-GB"/>
        </w:rPr>
        <w:lastRenderedPageBreak/>
        <w:t xml:space="preserve">Insurance business indicators </w:t>
      </w:r>
    </w:p>
    <w:tbl>
      <w:tblPr>
        <w:tblW w:w="9062" w:type="dxa"/>
        <w:tblCellMar>
          <w:left w:w="10" w:type="dxa"/>
          <w:right w:w="10" w:type="dxa"/>
        </w:tblCellMar>
        <w:tblLook w:val="04A0" w:firstRow="1" w:lastRow="0" w:firstColumn="1" w:lastColumn="0" w:noHBand="0" w:noVBand="1"/>
      </w:tblPr>
      <w:tblGrid>
        <w:gridCol w:w="2932"/>
        <w:gridCol w:w="2041"/>
        <w:gridCol w:w="2041"/>
        <w:gridCol w:w="2048"/>
      </w:tblGrid>
      <w:tr w:rsidR="00B96183" w:rsidRPr="00891780" w14:paraId="4263F25E" w14:textId="77777777" w:rsidTr="00DD69E7">
        <w:trPr>
          <w:trHeight w:val="533"/>
        </w:trPr>
        <w:tc>
          <w:tcPr>
            <w:tcW w:w="2932" w:type="dxa"/>
            <w:tcBorders>
              <w:top w:val="single" w:sz="4" w:space="0" w:color="000000"/>
              <w:left w:val="single" w:sz="4" w:space="0" w:color="000000"/>
            </w:tcBorders>
            <w:shd w:val="clear" w:color="auto" w:fill="auto"/>
            <w:tcMar>
              <w:top w:w="0" w:type="dxa"/>
              <w:left w:w="108" w:type="dxa"/>
              <w:bottom w:w="0" w:type="dxa"/>
              <w:right w:w="108" w:type="dxa"/>
            </w:tcMar>
          </w:tcPr>
          <w:p w14:paraId="7C801A47" w14:textId="77777777" w:rsidR="00B96183" w:rsidRPr="00891780" w:rsidRDefault="00B96183" w:rsidP="000B677E">
            <w:pPr>
              <w:spacing w:before="120" w:after="120" w:line="23" w:lineRule="atLeast"/>
              <w:jc w:val="center"/>
              <w:rPr>
                <w:rFonts w:ascii="Calibri" w:eastAsia="SimSun" w:hAnsi="Calibri" w:cs="Calibri"/>
                <w:b/>
                <w:bCs/>
                <w:color w:val="000000" w:themeColor="text1"/>
                <w:sz w:val="22"/>
                <w:szCs w:val="22"/>
                <w:lang w:val="en-GB"/>
              </w:rPr>
            </w:pPr>
          </w:p>
        </w:tc>
        <w:tc>
          <w:tcPr>
            <w:tcW w:w="2041" w:type="dxa"/>
            <w:tcBorders>
              <w:top w:val="single" w:sz="4" w:space="0" w:color="000000"/>
            </w:tcBorders>
            <w:shd w:val="clear" w:color="auto" w:fill="auto"/>
            <w:tcMar>
              <w:top w:w="0" w:type="dxa"/>
              <w:left w:w="108" w:type="dxa"/>
              <w:bottom w:w="0" w:type="dxa"/>
              <w:right w:w="108" w:type="dxa"/>
            </w:tcMar>
          </w:tcPr>
          <w:p w14:paraId="597D188B" w14:textId="77777777" w:rsidR="00B96183" w:rsidRPr="00891780" w:rsidRDefault="00B96183" w:rsidP="000B677E">
            <w:pPr>
              <w:spacing w:before="120" w:after="120" w:line="23" w:lineRule="atLeast"/>
              <w:jc w:val="center"/>
              <w:rPr>
                <w:rFonts w:ascii="Calibri" w:eastAsia="SimSun" w:hAnsi="Calibri" w:cs="Calibri"/>
                <w:b/>
                <w:bCs/>
                <w:color w:val="000000" w:themeColor="text1"/>
                <w:sz w:val="22"/>
                <w:szCs w:val="22"/>
                <w:lang w:val="en-GB"/>
              </w:rPr>
            </w:pPr>
            <w:r w:rsidRPr="00891780">
              <w:rPr>
                <w:rFonts w:ascii="Calibri" w:eastAsia="SimSun" w:hAnsi="Calibri" w:cs="Calibri"/>
                <w:b/>
                <w:bCs/>
                <w:color w:val="000000" w:themeColor="text1"/>
                <w:sz w:val="22"/>
                <w:szCs w:val="22"/>
                <w:lang w:val="en-GB"/>
              </w:rPr>
              <w:t>2020</w:t>
            </w:r>
          </w:p>
        </w:tc>
        <w:tc>
          <w:tcPr>
            <w:tcW w:w="2041" w:type="dxa"/>
            <w:tcBorders>
              <w:top w:val="single" w:sz="4" w:space="0" w:color="000000"/>
            </w:tcBorders>
            <w:shd w:val="clear" w:color="auto" w:fill="auto"/>
            <w:tcMar>
              <w:top w:w="0" w:type="dxa"/>
              <w:left w:w="108" w:type="dxa"/>
              <w:bottom w:w="0" w:type="dxa"/>
              <w:right w:w="108" w:type="dxa"/>
            </w:tcMar>
          </w:tcPr>
          <w:p w14:paraId="2F2364FD" w14:textId="77777777" w:rsidR="00B96183" w:rsidRPr="00891780" w:rsidRDefault="00B96183" w:rsidP="000B677E">
            <w:pPr>
              <w:spacing w:before="120" w:after="120" w:line="23" w:lineRule="atLeast"/>
              <w:jc w:val="center"/>
              <w:rPr>
                <w:rFonts w:ascii="Calibri" w:eastAsia="SimSun" w:hAnsi="Calibri" w:cs="Calibri"/>
                <w:b/>
                <w:bCs/>
                <w:color w:val="000000" w:themeColor="text1"/>
                <w:sz w:val="22"/>
                <w:szCs w:val="22"/>
                <w:lang w:val="en-GB"/>
              </w:rPr>
            </w:pPr>
            <w:r w:rsidRPr="00891780">
              <w:rPr>
                <w:rFonts w:ascii="Calibri" w:eastAsia="SimSun" w:hAnsi="Calibri" w:cs="Calibri"/>
                <w:b/>
                <w:bCs/>
                <w:color w:val="000000" w:themeColor="text1"/>
                <w:sz w:val="22"/>
                <w:szCs w:val="22"/>
                <w:lang w:val="en-GB"/>
              </w:rPr>
              <w:t>2021</w:t>
            </w:r>
          </w:p>
        </w:tc>
        <w:tc>
          <w:tcPr>
            <w:tcW w:w="2048" w:type="dxa"/>
            <w:tcBorders>
              <w:top w:val="single" w:sz="4" w:space="0" w:color="000000"/>
              <w:right w:val="single" w:sz="4" w:space="0" w:color="000000"/>
            </w:tcBorders>
            <w:shd w:val="clear" w:color="auto" w:fill="auto"/>
            <w:tcMar>
              <w:top w:w="0" w:type="dxa"/>
              <w:left w:w="108" w:type="dxa"/>
              <w:bottom w:w="0" w:type="dxa"/>
              <w:right w:w="108" w:type="dxa"/>
            </w:tcMar>
          </w:tcPr>
          <w:p w14:paraId="7BE6053D" w14:textId="77777777" w:rsidR="00B96183" w:rsidRPr="00891780" w:rsidRDefault="00B96183" w:rsidP="000B677E">
            <w:pPr>
              <w:spacing w:before="120" w:after="120" w:line="23" w:lineRule="atLeast"/>
              <w:jc w:val="center"/>
              <w:rPr>
                <w:rFonts w:ascii="Calibri" w:eastAsia="SimSun" w:hAnsi="Calibri" w:cs="Calibri"/>
                <w:b/>
                <w:bCs/>
                <w:color w:val="000000" w:themeColor="text1"/>
                <w:sz w:val="22"/>
                <w:szCs w:val="22"/>
                <w:lang w:val="en-GB"/>
              </w:rPr>
            </w:pPr>
            <w:r w:rsidRPr="00891780">
              <w:rPr>
                <w:rFonts w:ascii="Calibri" w:eastAsia="SimSun" w:hAnsi="Calibri" w:cs="Calibri"/>
                <w:b/>
                <w:bCs/>
                <w:color w:val="000000" w:themeColor="text1"/>
                <w:sz w:val="22"/>
                <w:szCs w:val="22"/>
                <w:lang w:val="en-GB"/>
              </w:rPr>
              <w:t>2022</w:t>
            </w:r>
          </w:p>
        </w:tc>
      </w:tr>
      <w:tr w:rsidR="00B96183" w:rsidRPr="00891780" w14:paraId="54F2CB36" w14:textId="77777777" w:rsidTr="00DD69E7">
        <w:trPr>
          <w:trHeight w:val="669"/>
        </w:trPr>
        <w:tc>
          <w:tcPr>
            <w:tcW w:w="2932" w:type="dxa"/>
            <w:tcBorders>
              <w:left w:val="single" w:sz="4" w:space="0" w:color="000000"/>
            </w:tcBorders>
            <w:shd w:val="clear" w:color="auto" w:fill="auto"/>
            <w:tcMar>
              <w:top w:w="0" w:type="dxa"/>
              <w:left w:w="108" w:type="dxa"/>
              <w:bottom w:w="0" w:type="dxa"/>
              <w:right w:w="108" w:type="dxa"/>
            </w:tcMar>
          </w:tcPr>
          <w:p w14:paraId="0F55C7B5" w14:textId="77777777" w:rsidR="00B96183" w:rsidRPr="00891780" w:rsidRDefault="00B96183" w:rsidP="000B677E">
            <w:pPr>
              <w:spacing w:before="120" w:after="120" w:line="23" w:lineRule="atLeast"/>
              <w:rPr>
                <w:rFonts w:ascii="Calibri" w:eastAsia="SimSun" w:hAnsi="Calibri" w:cs="Calibri"/>
                <w:b/>
                <w:bCs/>
                <w:sz w:val="22"/>
                <w:szCs w:val="22"/>
                <w:lang w:val="en-GB"/>
              </w:rPr>
            </w:pPr>
            <w:r w:rsidRPr="00891780">
              <w:rPr>
                <w:rFonts w:ascii="Calibri" w:eastAsia="SimSun" w:hAnsi="Calibri" w:cs="Calibri"/>
                <w:b/>
                <w:bCs/>
                <w:sz w:val="22"/>
                <w:szCs w:val="22"/>
                <w:lang w:val="en-GB"/>
              </w:rPr>
              <w:t>Volume of insured receivables, in HRK million</w:t>
            </w:r>
          </w:p>
        </w:tc>
        <w:tc>
          <w:tcPr>
            <w:tcW w:w="2041" w:type="dxa"/>
            <w:shd w:val="clear" w:color="auto" w:fill="auto"/>
            <w:tcMar>
              <w:top w:w="0" w:type="dxa"/>
              <w:left w:w="108" w:type="dxa"/>
              <w:bottom w:w="0" w:type="dxa"/>
              <w:right w:w="108" w:type="dxa"/>
            </w:tcMar>
          </w:tcPr>
          <w:p w14:paraId="68DB3023" w14:textId="77777777" w:rsidR="00B96183" w:rsidRPr="00891780" w:rsidRDefault="00B96183" w:rsidP="000B677E">
            <w:pPr>
              <w:spacing w:before="120" w:after="120" w:line="23" w:lineRule="atLeast"/>
              <w:jc w:val="center"/>
              <w:rPr>
                <w:rFonts w:ascii="Calibri" w:eastAsia="SimSun" w:hAnsi="Calibri" w:cs="Calibri"/>
                <w:bCs/>
                <w:sz w:val="22"/>
                <w:szCs w:val="22"/>
                <w:lang w:val="en-GB"/>
              </w:rPr>
            </w:pPr>
            <w:r w:rsidRPr="00891780">
              <w:rPr>
                <w:rFonts w:ascii="Calibri" w:eastAsia="SimSun" w:hAnsi="Calibri" w:cs="Calibri"/>
                <w:bCs/>
                <w:sz w:val="22"/>
                <w:szCs w:val="22"/>
                <w:lang w:val="en-GB"/>
              </w:rPr>
              <w:t>7,290.66</w:t>
            </w:r>
          </w:p>
        </w:tc>
        <w:tc>
          <w:tcPr>
            <w:tcW w:w="2041" w:type="dxa"/>
            <w:shd w:val="clear" w:color="auto" w:fill="auto"/>
            <w:tcMar>
              <w:top w:w="0" w:type="dxa"/>
              <w:left w:w="108" w:type="dxa"/>
              <w:bottom w:w="0" w:type="dxa"/>
              <w:right w:w="108" w:type="dxa"/>
            </w:tcMar>
          </w:tcPr>
          <w:p w14:paraId="3BD29032" w14:textId="77777777" w:rsidR="00B96183" w:rsidRPr="00891780" w:rsidRDefault="00B96183" w:rsidP="000B677E">
            <w:pPr>
              <w:spacing w:before="120" w:after="120" w:line="23" w:lineRule="atLeast"/>
              <w:jc w:val="center"/>
              <w:rPr>
                <w:rFonts w:ascii="Calibri" w:eastAsia="SimSun" w:hAnsi="Calibri" w:cs="Calibri"/>
                <w:bCs/>
                <w:sz w:val="22"/>
                <w:szCs w:val="22"/>
                <w:lang w:val="en-GB"/>
              </w:rPr>
            </w:pPr>
            <w:r w:rsidRPr="00891780">
              <w:rPr>
                <w:rFonts w:ascii="Calibri" w:eastAsia="SimSun" w:hAnsi="Calibri" w:cs="Calibri"/>
                <w:bCs/>
                <w:sz w:val="22"/>
                <w:szCs w:val="22"/>
                <w:lang w:val="en-GB"/>
              </w:rPr>
              <w:t>10,711.02</w:t>
            </w:r>
          </w:p>
        </w:tc>
        <w:tc>
          <w:tcPr>
            <w:tcW w:w="2048" w:type="dxa"/>
            <w:tcBorders>
              <w:right w:val="single" w:sz="4" w:space="0" w:color="000000"/>
            </w:tcBorders>
            <w:shd w:val="clear" w:color="auto" w:fill="auto"/>
            <w:tcMar>
              <w:top w:w="0" w:type="dxa"/>
              <w:left w:w="108" w:type="dxa"/>
              <w:bottom w:w="0" w:type="dxa"/>
              <w:right w:w="108" w:type="dxa"/>
            </w:tcMar>
          </w:tcPr>
          <w:p w14:paraId="17F2B412" w14:textId="77777777" w:rsidR="00B96183" w:rsidRPr="00891780" w:rsidRDefault="00B96183" w:rsidP="000B677E">
            <w:pPr>
              <w:spacing w:before="120" w:after="120" w:line="23" w:lineRule="atLeast"/>
              <w:jc w:val="center"/>
              <w:rPr>
                <w:lang w:val="en-GB"/>
              </w:rPr>
            </w:pPr>
            <w:r w:rsidRPr="00891780">
              <w:rPr>
                <w:rStyle w:val="Zadanifontodlomka2"/>
                <w:rFonts w:ascii="Calibri" w:eastAsia="SimSun" w:hAnsi="Calibri" w:cs="Calibri"/>
                <w:bCs/>
                <w:sz w:val="22"/>
                <w:szCs w:val="22"/>
                <w:lang w:val="en-GB"/>
              </w:rPr>
              <w:t>12,865.34</w:t>
            </w:r>
          </w:p>
        </w:tc>
      </w:tr>
      <w:tr w:rsidR="00B96183" w:rsidRPr="00891780" w14:paraId="2952C54C" w14:textId="77777777" w:rsidTr="00DD69E7">
        <w:trPr>
          <w:trHeight w:val="722"/>
        </w:trPr>
        <w:tc>
          <w:tcPr>
            <w:tcW w:w="2932" w:type="dxa"/>
            <w:tcBorders>
              <w:left w:val="single" w:sz="4" w:space="0" w:color="000000"/>
            </w:tcBorders>
            <w:shd w:val="clear" w:color="auto" w:fill="auto"/>
            <w:tcMar>
              <w:top w:w="0" w:type="dxa"/>
              <w:left w:w="108" w:type="dxa"/>
              <w:bottom w:w="0" w:type="dxa"/>
              <w:right w:w="108" w:type="dxa"/>
            </w:tcMar>
          </w:tcPr>
          <w:p w14:paraId="016ACB0F" w14:textId="77777777" w:rsidR="00B96183" w:rsidRPr="00891780" w:rsidRDefault="00B96183" w:rsidP="000B677E">
            <w:pPr>
              <w:spacing w:before="120" w:after="120" w:line="23" w:lineRule="atLeast"/>
              <w:rPr>
                <w:rFonts w:ascii="Calibri" w:eastAsia="SimSun" w:hAnsi="Calibri" w:cs="Calibri"/>
                <w:b/>
                <w:bCs/>
                <w:sz w:val="22"/>
                <w:szCs w:val="22"/>
                <w:lang w:val="en-GB"/>
              </w:rPr>
            </w:pPr>
            <w:r w:rsidRPr="00891780">
              <w:rPr>
                <w:rFonts w:ascii="Calibri" w:eastAsia="SimSun" w:hAnsi="Calibri" w:cs="Calibri"/>
                <w:b/>
                <w:bCs/>
                <w:sz w:val="22"/>
                <w:szCs w:val="22"/>
                <w:lang w:val="en-GB"/>
              </w:rPr>
              <w:t xml:space="preserve">Exposure to buyers, as </w:t>
            </w:r>
            <w:proofErr w:type="gramStart"/>
            <w:r w:rsidRPr="00891780">
              <w:rPr>
                <w:rFonts w:ascii="Calibri" w:eastAsia="SimSun" w:hAnsi="Calibri" w:cs="Calibri"/>
                <w:b/>
                <w:bCs/>
                <w:sz w:val="22"/>
                <w:szCs w:val="22"/>
                <w:lang w:val="en-GB"/>
              </w:rPr>
              <w:t>at</w:t>
            </w:r>
            <w:proofErr w:type="gramEnd"/>
            <w:r w:rsidRPr="00891780">
              <w:rPr>
                <w:rFonts w:ascii="Calibri" w:eastAsia="SimSun" w:hAnsi="Calibri" w:cs="Calibri"/>
                <w:b/>
                <w:bCs/>
                <w:sz w:val="22"/>
                <w:szCs w:val="22"/>
                <w:lang w:val="en-GB"/>
              </w:rPr>
              <w:t xml:space="preserve"> 31 December, in HRK million </w:t>
            </w:r>
          </w:p>
        </w:tc>
        <w:tc>
          <w:tcPr>
            <w:tcW w:w="2041" w:type="dxa"/>
            <w:shd w:val="clear" w:color="auto" w:fill="auto"/>
            <w:tcMar>
              <w:top w:w="0" w:type="dxa"/>
              <w:left w:w="108" w:type="dxa"/>
              <w:bottom w:w="0" w:type="dxa"/>
              <w:right w:w="108" w:type="dxa"/>
            </w:tcMar>
          </w:tcPr>
          <w:p w14:paraId="78FCBC43" w14:textId="77777777" w:rsidR="00B96183" w:rsidRPr="00891780" w:rsidRDefault="00B96183" w:rsidP="000B677E">
            <w:pPr>
              <w:spacing w:before="120" w:after="120" w:line="23" w:lineRule="atLeast"/>
              <w:jc w:val="center"/>
              <w:rPr>
                <w:rFonts w:ascii="Calibri" w:eastAsia="SimSun" w:hAnsi="Calibri" w:cs="Calibri"/>
                <w:bCs/>
                <w:sz w:val="22"/>
                <w:szCs w:val="22"/>
                <w:lang w:val="en-GB"/>
              </w:rPr>
            </w:pPr>
            <w:r w:rsidRPr="00891780">
              <w:rPr>
                <w:rFonts w:ascii="Calibri" w:eastAsia="SimSun" w:hAnsi="Calibri" w:cs="Calibri"/>
                <w:bCs/>
                <w:sz w:val="22"/>
                <w:szCs w:val="22"/>
                <w:lang w:val="en-GB"/>
              </w:rPr>
              <w:t>3,574.09</w:t>
            </w:r>
          </w:p>
        </w:tc>
        <w:tc>
          <w:tcPr>
            <w:tcW w:w="2041" w:type="dxa"/>
            <w:shd w:val="clear" w:color="auto" w:fill="auto"/>
            <w:tcMar>
              <w:top w:w="0" w:type="dxa"/>
              <w:left w:w="108" w:type="dxa"/>
              <w:bottom w:w="0" w:type="dxa"/>
              <w:right w:w="108" w:type="dxa"/>
            </w:tcMar>
          </w:tcPr>
          <w:p w14:paraId="12CF50ED" w14:textId="77777777" w:rsidR="00B96183" w:rsidRPr="00891780" w:rsidRDefault="00B96183" w:rsidP="000B677E">
            <w:pPr>
              <w:spacing w:before="120" w:after="120" w:line="23" w:lineRule="atLeast"/>
              <w:jc w:val="center"/>
              <w:rPr>
                <w:rFonts w:ascii="Calibri" w:eastAsia="SimSun" w:hAnsi="Calibri" w:cs="Calibri"/>
                <w:bCs/>
                <w:sz w:val="22"/>
                <w:szCs w:val="22"/>
                <w:lang w:val="en-GB"/>
              </w:rPr>
            </w:pPr>
            <w:r w:rsidRPr="00891780">
              <w:rPr>
                <w:rFonts w:ascii="Calibri" w:eastAsia="SimSun" w:hAnsi="Calibri" w:cs="Calibri"/>
                <w:bCs/>
                <w:sz w:val="22"/>
                <w:szCs w:val="22"/>
                <w:lang w:val="en-GB"/>
              </w:rPr>
              <w:t>4,338.13</w:t>
            </w:r>
          </w:p>
        </w:tc>
        <w:tc>
          <w:tcPr>
            <w:tcW w:w="2048" w:type="dxa"/>
            <w:tcBorders>
              <w:right w:val="single" w:sz="4" w:space="0" w:color="000000"/>
            </w:tcBorders>
            <w:shd w:val="clear" w:color="auto" w:fill="auto"/>
            <w:tcMar>
              <w:top w:w="0" w:type="dxa"/>
              <w:left w:w="108" w:type="dxa"/>
              <w:bottom w:w="0" w:type="dxa"/>
              <w:right w:w="108" w:type="dxa"/>
            </w:tcMar>
          </w:tcPr>
          <w:p w14:paraId="36605968" w14:textId="77777777" w:rsidR="00B96183" w:rsidRPr="00891780" w:rsidRDefault="00B96183" w:rsidP="000B677E">
            <w:pPr>
              <w:spacing w:before="120" w:after="120" w:line="23" w:lineRule="atLeast"/>
              <w:jc w:val="center"/>
              <w:rPr>
                <w:lang w:val="en-GB"/>
              </w:rPr>
            </w:pPr>
            <w:r w:rsidRPr="00891780">
              <w:rPr>
                <w:rStyle w:val="Zadanifontodlomka2"/>
                <w:rFonts w:ascii="Calibri" w:eastAsia="SimSun" w:hAnsi="Calibri" w:cs="Calibri"/>
                <w:bCs/>
                <w:sz w:val="22"/>
                <w:szCs w:val="22"/>
                <w:lang w:val="en-GB"/>
              </w:rPr>
              <w:t>5,031.31</w:t>
            </w:r>
          </w:p>
        </w:tc>
      </w:tr>
      <w:tr w:rsidR="00B96183" w:rsidRPr="00891780" w14:paraId="760B1A5C" w14:textId="77777777" w:rsidTr="00DD69E7">
        <w:trPr>
          <w:trHeight w:val="720"/>
        </w:trPr>
        <w:tc>
          <w:tcPr>
            <w:tcW w:w="2932" w:type="dxa"/>
            <w:tcBorders>
              <w:left w:val="single" w:sz="4" w:space="0" w:color="000000"/>
            </w:tcBorders>
            <w:shd w:val="clear" w:color="auto" w:fill="auto"/>
            <w:tcMar>
              <w:top w:w="0" w:type="dxa"/>
              <w:left w:w="108" w:type="dxa"/>
              <w:bottom w:w="0" w:type="dxa"/>
              <w:right w:w="108" w:type="dxa"/>
            </w:tcMar>
          </w:tcPr>
          <w:p w14:paraId="6767B844" w14:textId="77777777" w:rsidR="00B96183" w:rsidRPr="00891780" w:rsidRDefault="00B96183" w:rsidP="000B677E">
            <w:pPr>
              <w:spacing w:before="120" w:after="120" w:line="23" w:lineRule="atLeast"/>
              <w:rPr>
                <w:rFonts w:ascii="Calibri" w:eastAsia="SimSun" w:hAnsi="Calibri" w:cs="Calibri"/>
                <w:b/>
                <w:bCs/>
                <w:sz w:val="22"/>
                <w:szCs w:val="22"/>
                <w:lang w:val="en-GB"/>
              </w:rPr>
            </w:pPr>
            <w:r w:rsidRPr="00891780">
              <w:rPr>
                <w:rFonts w:ascii="Calibri" w:eastAsia="SimSun" w:hAnsi="Calibri" w:cs="Calibri"/>
                <w:b/>
                <w:bCs/>
                <w:sz w:val="22"/>
                <w:szCs w:val="22"/>
                <w:lang w:val="en-GB"/>
              </w:rPr>
              <w:t xml:space="preserve">Gross premium charged, in HRK million </w:t>
            </w:r>
          </w:p>
        </w:tc>
        <w:tc>
          <w:tcPr>
            <w:tcW w:w="2041" w:type="dxa"/>
            <w:shd w:val="clear" w:color="auto" w:fill="auto"/>
            <w:tcMar>
              <w:top w:w="0" w:type="dxa"/>
              <w:left w:w="108" w:type="dxa"/>
              <w:bottom w:w="0" w:type="dxa"/>
              <w:right w:w="108" w:type="dxa"/>
            </w:tcMar>
          </w:tcPr>
          <w:p w14:paraId="111509BC" w14:textId="77777777" w:rsidR="00B96183" w:rsidRPr="00891780" w:rsidRDefault="00B96183" w:rsidP="000B677E">
            <w:pPr>
              <w:spacing w:before="120" w:after="120" w:line="23" w:lineRule="atLeast"/>
              <w:jc w:val="center"/>
              <w:rPr>
                <w:rFonts w:ascii="Calibri" w:eastAsia="SimSun" w:hAnsi="Calibri" w:cs="Calibri"/>
                <w:bCs/>
                <w:sz w:val="22"/>
                <w:szCs w:val="22"/>
                <w:lang w:val="en-GB"/>
              </w:rPr>
            </w:pPr>
            <w:r w:rsidRPr="00891780">
              <w:rPr>
                <w:rFonts w:ascii="Calibri" w:eastAsia="SimSun" w:hAnsi="Calibri" w:cs="Calibri"/>
                <w:bCs/>
                <w:sz w:val="22"/>
                <w:szCs w:val="22"/>
                <w:lang w:val="en-GB"/>
              </w:rPr>
              <w:t>13.08</w:t>
            </w:r>
          </w:p>
        </w:tc>
        <w:tc>
          <w:tcPr>
            <w:tcW w:w="2041" w:type="dxa"/>
            <w:shd w:val="clear" w:color="auto" w:fill="auto"/>
            <w:tcMar>
              <w:top w:w="0" w:type="dxa"/>
              <w:left w:w="108" w:type="dxa"/>
              <w:bottom w:w="0" w:type="dxa"/>
              <w:right w:w="108" w:type="dxa"/>
            </w:tcMar>
          </w:tcPr>
          <w:p w14:paraId="6F231C87" w14:textId="77777777" w:rsidR="00B96183" w:rsidRPr="00891780" w:rsidRDefault="00B96183" w:rsidP="000B677E">
            <w:pPr>
              <w:spacing w:before="120" w:after="120" w:line="23" w:lineRule="atLeast"/>
              <w:jc w:val="center"/>
              <w:rPr>
                <w:rFonts w:ascii="Calibri" w:eastAsia="SimSun" w:hAnsi="Calibri" w:cs="Calibri"/>
                <w:bCs/>
                <w:sz w:val="22"/>
                <w:szCs w:val="22"/>
                <w:lang w:val="en-GB"/>
              </w:rPr>
            </w:pPr>
            <w:r w:rsidRPr="00891780">
              <w:rPr>
                <w:rFonts w:ascii="Calibri" w:eastAsia="SimSun" w:hAnsi="Calibri" w:cs="Calibri"/>
                <w:bCs/>
                <w:sz w:val="22"/>
                <w:szCs w:val="22"/>
                <w:lang w:val="en-GB"/>
              </w:rPr>
              <w:t>17.61</w:t>
            </w:r>
          </w:p>
        </w:tc>
        <w:tc>
          <w:tcPr>
            <w:tcW w:w="2048" w:type="dxa"/>
            <w:tcBorders>
              <w:right w:val="single" w:sz="4" w:space="0" w:color="000000"/>
            </w:tcBorders>
            <w:shd w:val="clear" w:color="auto" w:fill="auto"/>
            <w:tcMar>
              <w:top w:w="0" w:type="dxa"/>
              <w:left w:w="108" w:type="dxa"/>
              <w:bottom w:w="0" w:type="dxa"/>
              <w:right w:w="108" w:type="dxa"/>
            </w:tcMar>
          </w:tcPr>
          <w:p w14:paraId="310A5FD4" w14:textId="77777777" w:rsidR="00B96183" w:rsidRPr="00891780" w:rsidRDefault="00B96183" w:rsidP="000B677E">
            <w:pPr>
              <w:spacing w:before="120" w:after="120" w:line="23" w:lineRule="atLeast"/>
              <w:jc w:val="center"/>
              <w:rPr>
                <w:lang w:val="en-GB"/>
              </w:rPr>
            </w:pPr>
            <w:r w:rsidRPr="00891780">
              <w:rPr>
                <w:rStyle w:val="Zadanifontodlomka2"/>
                <w:rFonts w:ascii="Calibri" w:eastAsia="SimSun" w:hAnsi="Calibri" w:cs="Calibri"/>
                <w:bCs/>
                <w:sz w:val="22"/>
                <w:szCs w:val="22"/>
                <w:lang w:val="en-GB"/>
              </w:rPr>
              <w:t>19.71</w:t>
            </w:r>
          </w:p>
        </w:tc>
      </w:tr>
      <w:tr w:rsidR="00B96183" w:rsidRPr="00891780" w14:paraId="2F079E83" w14:textId="77777777" w:rsidTr="00DD69E7">
        <w:trPr>
          <w:trHeight w:val="700"/>
        </w:trPr>
        <w:tc>
          <w:tcPr>
            <w:tcW w:w="2932" w:type="dxa"/>
            <w:tcBorders>
              <w:left w:val="single" w:sz="4" w:space="0" w:color="000000"/>
            </w:tcBorders>
            <w:shd w:val="clear" w:color="auto" w:fill="auto"/>
            <w:tcMar>
              <w:top w:w="0" w:type="dxa"/>
              <w:left w:w="108" w:type="dxa"/>
              <w:bottom w:w="0" w:type="dxa"/>
              <w:right w:w="108" w:type="dxa"/>
            </w:tcMar>
          </w:tcPr>
          <w:p w14:paraId="22FF2D2A" w14:textId="77777777" w:rsidR="00B96183" w:rsidRPr="00891780" w:rsidRDefault="00B96183" w:rsidP="000B677E">
            <w:pPr>
              <w:spacing w:before="120" w:after="120" w:line="23" w:lineRule="atLeast"/>
              <w:rPr>
                <w:rFonts w:ascii="Calibri" w:eastAsia="SimSun" w:hAnsi="Calibri" w:cs="Calibri"/>
                <w:b/>
                <w:bCs/>
                <w:sz w:val="22"/>
                <w:szCs w:val="22"/>
                <w:lang w:val="en-GB"/>
              </w:rPr>
            </w:pPr>
            <w:proofErr w:type="gramStart"/>
            <w:r w:rsidRPr="00891780">
              <w:rPr>
                <w:rFonts w:ascii="Calibri" w:eastAsia="SimSun" w:hAnsi="Calibri" w:cs="Calibri"/>
                <w:b/>
                <w:bCs/>
                <w:sz w:val="22"/>
                <w:szCs w:val="22"/>
                <w:lang w:val="en-GB"/>
              </w:rPr>
              <w:t>Amount</w:t>
            </w:r>
            <w:proofErr w:type="gramEnd"/>
            <w:r w:rsidRPr="00891780">
              <w:rPr>
                <w:rFonts w:ascii="Calibri" w:eastAsia="SimSun" w:hAnsi="Calibri" w:cs="Calibri"/>
                <w:b/>
                <w:bCs/>
                <w:sz w:val="22"/>
                <w:szCs w:val="22"/>
                <w:lang w:val="en-GB"/>
              </w:rPr>
              <w:t xml:space="preserve"> of indemnities paid, in HRK million </w:t>
            </w:r>
          </w:p>
        </w:tc>
        <w:tc>
          <w:tcPr>
            <w:tcW w:w="2041" w:type="dxa"/>
            <w:shd w:val="clear" w:color="auto" w:fill="auto"/>
            <w:tcMar>
              <w:top w:w="0" w:type="dxa"/>
              <w:left w:w="108" w:type="dxa"/>
              <w:bottom w:w="0" w:type="dxa"/>
              <w:right w:w="108" w:type="dxa"/>
            </w:tcMar>
          </w:tcPr>
          <w:p w14:paraId="327473E8" w14:textId="77777777" w:rsidR="00B96183" w:rsidRPr="00891780" w:rsidRDefault="00B96183" w:rsidP="000B677E">
            <w:pPr>
              <w:spacing w:before="120" w:after="120" w:line="23" w:lineRule="atLeast"/>
              <w:jc w:val="center"/>
              <w:rPr>
                <w:rFonts w:ascii="Calibri" w:eastAsia="SimSun" w:hAnsi="Calibri" w:cs="Calibri"/>
                <w:bCs/>
                <w:sz w:val="22"/>
                <w:szCs w:val="22"/>
                <w:lang w:val="en-GB"/>
              </w:rPr>
            </w:pPr>
            <w:r w:rsidRPr="00891780">
              <w:rPr>
                <w:rFonts w:ascii="Calibri" w:eastAsia="SimSun" w:hAnsi="Calibri" w:cs="Calibri"/>
                <w:bCs/>
                <w:sz w:val="22"/>
                <w:szCs w:val="22"/>
                <w:lang w:val="en-GB"/>
              </w:rPr>
              <w:t>0.97</w:t>
            </w:r>
          </w:p>
        </w:tc>
        <w:tc>
          <w:tcPr>
            <w:tcW w:w="2041" w:type="dxa"/>
            <w:shd w:val="clear" w:color="auto" w:fill="auto"/>
            <w:tcMar>
              <w:top w:w="0" w:type="dxa"/>
              <w:left w:w="108" w:type="dxa"/>
              <w:bottom w:w="0" w:type="dxa"/>
              <w:right w:w="108" w:type="dxa"/>
            </w:tcMar>
          </w:tcPr>
          <w:p w14:paraId="388F6858" w14:textId="77777777" w:rsidR="00B96183" w:rsidRPr="00891780" w:rsidRDefault="00B96183" w:rsidP="000B677E">
            <w:pPr>
              <w:spacing w:before="120" w:after="120" w:line="23" w:lineRule="atLeast"/>
              <w:jc w:val="center"/>
              <w:rPr>
                <w:rFonts w:ascii="Calibri" w:eastAsia="SimSun" w:hAnsi="Calibri" w:cs="Calibri"/>
                <w:bCs/>
                <w:sz w:val="22"/>
                <w:szCs w:val="22"/>
                <w:lang w:val="en-GB"/>
              </w:rPr>
            </w:pPr>
            <w:r w:rsidRPr="00891780">
              <w:rPr>
                <w:rFonts w:ascii="Calibri" w:eastAsia="SimSun" w:hAnsi="Calibri" w:cs="Calibri"/>
                <w:bCs/>
                <w:sz w:val="22"/>
                <w:szCs w:val="22"/>
                <w:lang w:val="en-GB"/>
              </w:rPr>
              <w:t>2.29</w:t>
            </w:r>
          </w:p>
        </w:tc>
        <w:tc>
          <w:tcPr>
            <w:tcW w:w="2048" w:type="dxa"/>
            <w:tcBorders>
              <w:right w:val="single" w:sz="4" w:space="0" w:color="000000"/>
            </w:tcBorders>
            <w:shd w:val="clear" w:color="auto" w:fill="auto"/>
            <w:tcMar>
              <w:top w:w="0" w:type="dxa"/>
              <w:left w:w="108" w:type="dxa"/>
              <w:bottom w:w="0" w:type="dxa"/>
              <w:right w:w="108" w:type="dxa"/>
            </w:tcMar>
          </w:tcPr>
          <w:p w14:paraId="70A2C25F" w14:textId="77777777" w:rsidR="00B96183" w:rsidRPr="00891780" w:rsidRDefault="00B96183" w:rsidP="000B677E">
            <w:pPr>
              <w:spacing w:before="120" w:after="120" w:line="23" w:lineRule="atLeast"/>
              <w:jc w:val="center"/>
              <w:rPr>
                <w:lang w:val="en-GB"/>
              </w:rPr>
            </w:pPr>
            <w:r w:rsidRPr="00891780">
              <w:rPr>
                <w:rStyle w:val="Zadanifontodlomka2"/>
                <w:rFonts w:ascii="Calibri" w:eastAsia="SimSun" w:hAnsi="Calibri" w:cs="Calibri"/>
                <w:bCs/>
                <w:sz w:val="22"/>
                <w:szCs w:val="22"/>
                <w:lang w:val="en-GB"/>
              </w:rPr>
              <w:t>6.32</w:t>
            </w:r>
          </w:p>
        </w:tc>
      </w:tr>
      <w:tr w:rsidR="00B96183" w:rsidRPr="00891780" w14:paraId="600A15A4" w14:textId="77777777" w:rsidTr="00DD69E7">
        <w:trPr>
          <w:trHeight w:val="714"/>
        </w:trPr>
        <w:tc>
          <w:tcPr>
            <w:tcW w:w="2932" w:type="dxa"/>
            <w:tcBorders>
              <w:left w:val="single" w:sz="4" w:space="0" w:color="000000"/>
              <w:bottom w:val="single" w:sz="4" w:space="0" w:color="000000"/>
            </w:tcBorders>
            <w:shd w:val="clear" w:color="auto" w:fill="auto"/>
            <w:tcMar>
              <w:top w:w="0" w:type="dxa"/>
              <w:left w:w="108" w:type="dxa"/>
              <w:bottom w:w="0" w:type="dxa"/>
              <w:right w:w="108" w:type="dxa"/>
            </w:tcMar>
          </w:tcPr>
          <w:p w14:paraId="5258E5EC" w14:textId="77777777" w:rsidR="00B96183" w:rsidRPr="00891780" w:rsidRDefault="00B96183" w:rsidP="000B677E">
            <w:pPr>
              <w:spacing w:before="120" w:after="120" w:line="23" w:lineRule="atLeast"/>
              <w:rPr>
                <w:rFonts w:ascii="Calibri" w:eastAsia="SimSun" w:hAnsi="Calibri" w:cs="Calibri"/>
                <w:b/>
                <w:bCs/>
                <w:sz w:val="22"/>
                <w:szCs w:val="22"/>
                <w:lang w:val="en-GB"/>
              </w:rPr>
            </w:pPr>
            <w:r w:rsidRPr="00891780">
              <w:rPr>
                <w:rFonts w:ascii="Calibri" w:eastAsia="SimSun" w:hAnsi="Calibri" w:cs="Calibri"/>
                <w:b/>
                <w:bCs/>
                <w:sz w:val="22"/>
                <w:szCs w:val="22"/>
                <w:lang w:val="en-GB"/>
              </w:rPr>
              <w:t xml:space="preserve">Number of active limits as </w:t>
            </w:r>
            <w:proofErr w:type="gramStart"/>
            <w:r w:rsidRPr="00891780">
              <w:rPr>
                <w:rFonts w:ascii="Calibri" w:eastAsia="SimSun" w:hAnsi="Calibri" w:cs="Calibri"/>
                <w:b/>
                <w:bCs/>
                <w:sz w:val="22"/>
                <w:szCs w:val="22"/>
                <w:lang w:val="en-GB"/>
              </w:rPr>
              <w:t>at</w:t>
            </w:r>
            <w:proofErr w:type="gramEnd"/>
            <w:r w:rsidRPr="00891780">
              <w:rPr>
                <w:rFonts w:ascii="Calibri" w:eastAsia="SimSun" w:hAnsi="Calibri" w:cs="Calibri"/>
                <w:b/>
                <w:bCs/>
                <w:sz w:val="22"/>
                <w:szCs w:val="22"/>
                <w:lang w:val="en-GB"/>
              </w:rPr>
              <w:t xml:space="preserve"> 31 December</w:t>
            </w:r>
          </w:p>
        </w:tc>
        <w:tc>
          <w:tcPr>
            <w:tcW w:w="2041" w:type="dxa"/>
            <w:tcBorders>
              <w:bottom w:val="single" w:sz="4" w:space="0" w:color="000000"/>
            </w:tcBorders>
            <w:shd w:val="clear" w:color="auto" w:fill="auto"/>
            <w:tcMar>
              <w:top w:w="0" w:type="dxa"/>
              <w:left w:w="108" w:type="dxa"/>
              <w:bottom w:w="0" w:type="dxa"/>
              <w:right w:w="108" w:type="dxa"/>
            </w:tcMar>
          </w:tcPr>
          <w:p w14:paraId="377982E0" w14:textId="77777777" w:rsidR="00B96183" w:rsidRPr="00891780" w:rsidRDefault="00B96183" w:rsidP="000B677E">
            <w:pPr>
              <w:spacing w:before="120" w:after="120" w:line="23" w:lineRule="atLeast"/>
              <w:jc w:val="center"/>
              <w:rPr>
                <w:lang w:val="en-GB"/>
              </w:rPr>
            </w:pPr>
            <w:r w:rsidRPr="00891780">
              <w:rPr>
                <w:rStyle w:val="Zadanifontodlomka2"/>
                <w:rFonts w:ascii="Calibri" w:eastAsia="SimSun" w:hAnsi="Calibri" w:cs="Calibri"/>
                <w:bCs/>
                <w:sz w:val="22"/>
                <w:szCs w:val="22"/>
                <w:lang w:val="en-GB"/>
              </w:rPr>
              <w:t>7,336</w:t>
            </w:r>
          </w:p>
        </w:tc>
        <w:tc>
          <w:tcPr>
            <w:tcW w:w="2041" w:type="dxa"/>
            <w:tcBorders>
              <w:bottom w:val="single" w:sz="4" w:space="0" w:color="000000"/>
            </w:tcBorders>
            <w:shd w:val="clear" w:color="auto" w:fill="auto"/>
            <w:tcMar>
              <w:top w:w="0" w:type="dxa"/>
              <w:left w:w="108" w:type="dxa"/>
              <w:bottom w:w="0" w:type="dxa"/>
              <w:right w:w="108" w:type="dxa"/>
            </w:tcMar>
          </w:tcPr>
          <w:p w14:paraId="4B9E93AE" w14:textId="77777777" w:rsidR="00B96183" w:rsidRPr="00891780" w:rsidRDefault="00B96183" w:rsidP="000B677E">
            <w:pPr>
              <w:spacing w:before="120" w:after="120" w:line="23" w:lineRule="atLeast"/>
              <w:jc w:val="center"/>
              <w:rPr>
                <w:lang w:val="en-GB"/>
              </w:rPr>
            </w:pPr>
            <w:r w:rsidRPr="00891780">
              <w:rPr>
                <w:rStyle w:val="Zadanifontodlomka2"/>
                <w:rFonts w:ascii="Calibri" w:eastAsia="SimSun" w:hAnsi="Calibri" w:cs="Calibri"/>
                <w:bCs/>
                <w:sz w:val="22"/>
                <w:szCs w:val="22"/>
                <w:lang w:val="en-GB"/>
              </w:rPr>
              <w:t>7,685</w:t>
            </w:r>
          </w:p>
        </w:tc>
        <w:tc>
          <w:tcPr>
            <w:tcW w:w="2048" w:type="dxa"/>
            <w:tcBorders>
              <w:bottom w:val="single" w:sz="4" w:space="0" w:color="000000"/>
              <w:right w:val="single" w:sz="4" w:space="0" w:color="000000"/>
            </w:tcBorders>
            <w:shd w:val="clear" w:color="auto" w:fill="auto"/>
            <w:tcMar>
              <w:top w:w="0" w:type="dxa"/>
              <w:left w:w="108" w:type="dxa"/>
              <w:bottom w:w="0" w:type="dxa"/>
              <w:right w:w="108" w:type="dxa"/>
            </w:tcMar>
          </w:tcPr>
          <w:p w14:paraId="1D945EEB" w14:textId="77777777" w:rsidR="00B96183" w:rsidRPr="00891780" w:rsidRDefault="00B96183" w:rsidP="000B677E">
            <w:pPr>
              <w:spacing w:before="120" w:after="120" w:line="23" w:lineRule="atLeast"/>
              <w:jc w:val="center"/>
              <w:rPr>
                <w:lang w:val="en-GB"/>
              </w:rPr>
            </w:pPr>
            <w:r w:rsidRPr="00891780">
              <w:rPr>
                <w:rStyle w:val="Zadanifontodlomka2"/>
                <w:rFonts w:ascii="Calibri" w:eastAsia="SimSun" w:hAnsi="Calibri" w:cs="Calibri"/>
                <w:bCs/>
                <w:sz w:val="22"/>
                <w:szCs w:val="22"/>
                <w:lang w:val="en-GB"/>
              </w:rPr>
              <w:t>7,796</w:t>
            </w:r>
          </w:p>
        </w:tc>
      </w:tr>
    </w:tbl>
    <w:p w14:paraId="7DED1E39" w14:textId="77777777" w:rsidR="00B96183" w:rsidRPr="00891780" w:rsidRDefault="00B96183" w:rsidP="000B677E">
      <w:pPr>
        <w:spacing w:before="120" w:after="120" w:line="23" w:lineRule="atLeast"/>
        <w:jc w:val="both"/>
        <w:rPr>
          <w:rFonts w:ascii="Calibri" w:eastAsia="SimSun" w:hAnsi="Calibri" w:cs="Calibri"/>
          <w:sz w:val="22"/>
          <w:szCs w:val="22"/>
          <w:lang w:val="en-GB"/>
        </w:rPr>
      </w:pPr>
    </w:p>
    <w:p w14:paraId="0CAD7542"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Acquisition costs, marketing costs, administration costs and other operating expenses of the HKO Group in 2022 amounted to HRK 8.73 million, whereas, at the Company level, they amounted to HRK 7.17 million.</w:t>
      </w:r>
    </w:p>
    <w:p w14:paraId="757824E3"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Risk assessment fee income stood at HRK 2.02 million, whereas they amounted to HRK 1.89 million in 2021.</w:t>
      </w:r>
    </w:p>
    <w:p w14:paraId="1D2C1659"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Net investment income in 2022 stood at HRK 1.34 million (1.21 million in 2021).</w:t>
      </w:r>
    </w:p>
    <w:p w14:paraId="3F620DCD"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At the end of the business year 2022, the HKO Group recorded profit before taxes for the year in the amount of HRK 1.34 million, whereas 2021</w:t>
      </w:r>
      <w:r w:rsidRPr="00891780">
        <w:rPr>
          <w:lang w:val="en-GB"/>
        </w:rPr>
        <w:t xml:space="preserve"> </w:t>
      </w:r>
      <w:r w:rsidRPr="00891780">
        <w:rPr>
          <w:rFonts w:ascii="Calibri" w:eastAsia="SimSun" w:hAnsi="Calibri" w:cs="Calibri"/>
          <w:sz w:val="22"/>
          <w:szCs w:val="22"/>
          <w:lang w:val="en-GB"/>
        </w:rPr>
        <w:t xml:space="preserve">was ended with a profit before taxes for the year of HRK 2.18 million. </w:t>
      </w:r>
    </w:p>
    <w:p w14:paraId="2FB85787" w14:textId="40014305"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As </w:t>
      </w:r>
      <w:proofErr w:type="gramStart"/>
      <w:r w:rsidRPr="00891780">
        <w:rPr>
          <w:rFonts w:ascii="Calibri" w:eastAsia="SimSun" w:hAnsi="Calibri" w:cs="Calibri"/>
          <w:sz w:val="22"/>
          <w:szCs w:val="22"/>
          <w:lang w:val="en-GB"/>
        </w:rPr>
        <w:t>at</w:t>
      </w:r>
      <w:proofErr w:type="gramEnd"/>
      <w:r w:rsidRPr="00891780">
        <w:rPr>
          <w:rFonts w:ascii="Calibri" w:eastAsia="SimSun" w:hAnsi="Calibri" w:cs="Calibri"/>
          <w:sz w:val="22"/>
          <w:szCs w:val="22"/>
          <w:lang w:val="en-GB"/>
        </w:rPr>
        <w:t xml:space="preserve"> 31 December 2022, the total assets of the HKO Group amounted to HRK 84.04 million, an increase of 30.26 percent on the previous year. The most important reason for the increase is the </w:t>
      </w:r>
      <w:r w:rsidR="006631AF">
        <w:rPr>
          <w:rFonts w:ascii="Calibri" w:eastAsia="SimSun" w:hAnsi="Calibri" w:cs="Calibri"/>
          <w:sz w:val="22"/>
          <w:szCs w:val="22"/>
          <w:lang w:val="en-GB"/>
        </w:rPr>
        <w:t>rise</w:t>
      </w:r>
      <w:r w:rsidRPr="00891780">
        <w:rPr>
          <w:rFonts w:ascii="Calibri" w:eastAsia="SimSun" w:hAnsi="Calibri" w:cs="Calibri"/>
          <w:sz w:val="22"/>
          <w:szCs w:val="22"/>
          <w:lang w:val="en-GB"/>
        </w:rPr>
        <w:t xml:space="preserve"> in capitalisation </w:t>
      </w:r>
      <w:r w:rsidR="002D4DD4">
        <w:rPr>
          <w:rFonts w:ascii="Calibri" w:eastAsia="SimSun" w:hAnsi="Calibri" w:cs="Calibri"/>
          <w:sz w:val="22"/>
          <w:szCs w:val="22"/>
          <w:lang w:val="en-GB"/>
        </w:rPr>
        <w:t>made</w:t>
      </w:r>
      <w:r w:rsidRPr="00891780">
        <w:rPr>
          <w:rFonts w:ascii="Calibri" w:eastAsia="SimSun" w:hAnsi="Calibri" w:cs="Calibri"/>
          <w:sz w:val="22"/>
          <w:szCs w:val="22"/>
          <w:lang w:val="en-GB"/>
        </w:rPr>
        <w:t xml:space="preserve"> by the owner, HBOR, in the amount of HRK 20 million.</w:t>
      </w:r>
    </w:p>
    <w:p w14:paraId="4E0298A7" w14:textId="77777777" w:rsidR="00B96183" w:rsidRPr="00891780" w:rsidRDefault="00B96183" w:rsidP="000B677E">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As </w:t>
      </w:r>
      <w:proofErr w:type="gramStart"/>
      <w:r w:rsidRPr="00891780">
        <w:rPr>
          <w:rFonts w:ascii="Calibri" w:eastAsia="SimSun" w:hAnsi="Calibri" w:cs="Calibri"/>
          <w:sz w:val="22"/>
          <w:szCs w:val="22"/>
          <w:lang w:val="en-GB"/>
        </w:rPr>
        <w:t>at</w:t>
      </w:r>
      <w:proofErr w:type="gramEnd"/>
      <w:r w:rsidRPr="00891780">
        <w:rPr>
          <w:rFonts w:ascii="Calibri" w:eastAsia="SimSun" w:hAnsi="Calibri" w:cs="Calibri"/>
          <w:sz w:val="22"/>
          <w:szCs w:val="22"/>
          <w:lang w:val="en-GB"/>
        </w:rPr>
        <w:t xml:space="preserve"> 31 December 2022, the total capital amounted to HRK 56.92 million and net technical reserves to HRK 16.61 million.</w:t>
      </w:r>
    </w:p>
    <w:p w14:paraId="54A72ADD" w14:textId="79897C4E" w:rsidR="00B96183" w:rsidRPr="00891780" w:rsidRDefault="00B96183" w:rsidP="000B677E">
      <w:pPr>
        <w:rPr>
          <w:rStyle w:val="Zadanifontodlomka2"/>
          <w:rFonts w:ascii="Calibri" w:hAnsi="Calibri" w:cs="Calibri"/>
          <w:b/>
          <w:bCs/>
          <w:spacing w:val="-3"/>
          <w:sz w:val="22"/>
          <w:szCs w:val="22"/>
          <w:lang w:val="en-GB"/>
        </w:rPr>
      </w:pPr>
      <w:r w:rsidRPr="00891780">
        <w:rPr>
          <w:rStyle w:val="Zadanifontodlomka2"/>
          <w:rFonts w:ascii="Calibri" w:hAnsi="Calibri" w:cs="Calibri"/>
          <w:b/>
          <w:bCs/>
          <w:spacing w:val="-3"/>
          <w:sz w:val="22"/>
          <w:szCs w:val="22"/>
          <w:lang w:val="en-GB"/>
        </w:rPr>
        <w:br w:type="page"/>
      </w:r>
    </w:p>
    <w:p w14:paraId="389CF0CE" w14:textId="77777777" w:rsidR="007A6404" w:rsidRPr="007A6404" w:rsidRDefault="007A6404" w:rsidP="000B677E">
      <w:pPr>
        <w:keepNext/>
        <w:keepLines/>
        <w:pBdr>
          <w:bottom w:val="single" w:sz="4" w:space="2" w:color="B2B2B2"/>
        </w:pBdr>
        <w:autoSpaceDN/>
        <w:spacing w:before="360" w:after="120"/>
        <w:outlineLvl w:val="0"/>
        <w:rPr>
          <w:rFonts w:ascii="Calibri" w:hAnsi="Calibri" w:cs="Calibri"/>
          <w:b/>
          <w:spacing w:val="-3"/>
          <w:sz w:val="22"/>
          <w:szCs w:val="22"/>
          <w:lang w:val="en-GB"/>
        </w:rPr>
      </w:pPr>
      <w:bookmarkStart w:id="73" w:name="_Toc97908667"/>
      <w:bookmarkStart w:id="74" w:name="_Toc129176360"/>
      <w:r w:rsidRPr="007A6404">
        <w:rPr>
          <w:rFonts w:ascii="Calibri" w:hAnsi="Calibri" w:cs="Calibri"/>
          <w:b/>
          <w:spacing w:val="-3"/>
          <w:sz w:val="22"/>
          <w:szCs w:val="22"/>
          <w:lang w:val="en-GB"/>
        </w:rPr>
        <w:lastRenderedPageBreak/>
        <w:t>PRINCIPLES OF FINANCIAL REPORTING</w:t>
      </w:r>
      <w:bookmarkEnd w:id="73"/>
      <w:bookmarkEnd w:id="74"/>
      <w:r w:rsidRPr="007A6404">
        <w:rPr>
          <w:rFonts w:ascii="Calibri" w:hAnsi="Calibri" w:cs="Calibri"/>
          <w:b/>
          <w:spacing w:val="-3"/>
          <w:sz w:val="22"/>
          <w:szCs w:val="22"/>
          <w:lang w:val="en-GB"/>
        </w:rPr>
        <w:tab/>
      </w:r>
    </w:p>
    <w:p w14:paraId="56C9D1A4" w14:textId="77777777" w:rsidR="007A6404" w:rsidRPr="007A6404" w:rsidRDefault="007A6404" w:rsidP="000B677E">
      <w:pPr>
        <w:autoSpaceDN/>
        <w:spacing w:line="276" w:lineRule="auto"/>
        <w:rPr>
          <w:rFonts w:ascii="Calibri" w:hAnsi="Calibri" w:cs="Calibri"/>
          <w:sz w:val="22"/>
          <w:szCs w:val="22"/>
          <w:lang w:val="en-GB"/>
        </w:rPr>
      </w:pPr>
      <w:r w:rsidRPr="007A6404">
        <w:rPr>
          <w:rFonts w:asciiTheme="minorHAnsi" w:hAnsiTheme="minorHAnsi" w:cstheme="minorHAnsi"/>
          <w:sz w:val="22"/>
          <w:szCs w:val="22"/>
          <w:lang w:val="en-GB"/>
        </w:rPr>
        <w:t>The HBOR Group prepares</w:t>
      </w:r>
      <w:r w:rsidRPr="007A6404">
        <w:rPr>
          <w:rFonts w:ascii="Calibri" w:hAnsi="Calibri" w:cs="Calibri"/>
          <w:sz w:val="22"/>
          <w:szCs w:val="22"/>
          <w:lang w:val="en-GB"/>
        </w:rPr>
        <w:t>:</w:t>
      </w:r>
    </w:p>
    <w:p w14:paraId="177C631D" w14:textId="0FD242BE" w:rsidR="007A6404" w:rsidRPr="007A6404" w:rsidRDefault="007A6404">
      <w:pPr>
        <w:numPr>
          <w:ilvl w:val="0"/>
          <w:numId w:val="22"/>
        </w:numPr>
        <w:autoSpaceDN/>
        <w:spacing w:line="276" w:lineRule="auto"/>
        <w:jc w:val="both"/>
        <w:textAlignment w:val="baseline"/>
        <w:rPr>
          <w:rFonts w:ascii="Calibri" w:hAnsi="Calibri" w:cs="Calibri"/>
          <w:sz w:val="22"/>
          <w:szCs w:val="22"/>
          <w:lang w:val="en-GB"/>
        </w:rPr>
      </w:pPr>
      <w:r w:rsidRPr="007A6404">
        <w:rPr>
          <w:rFonts w:ascii="Calibri" w:hAnsi="Calibri" w:cs="Calibri"/>
          <w:sz w:val="22"/>
          <w:szCs w:val="22"/>
          <w:lang w:val="en-GB"/>
        </w:rPr>
        <w:t xml:space="preserve">Separate financial statements of the company </w:t>
      </w:r>
      <w:r w:rsidR="000E2863">
        <w:rPr>
          <w:rFonts w:ascii="Calibri" w:hAnsi="Calibri" w:cs="Calibri"/>
          <w:sz w:val="22"/>
          <w:szCs w:val="22"/>
          <w:lang w:val="en-GB"/>
        </w:rPr>
        <w:t>–</w:t>
      </w:r>
      <w:r w:rsidRPr="007A6404">
        <w:rPr>
          <w:rFonts w:ascii="Calibri" w:hAnsi="Calibri" w:cs="Calibri"/>
          <w:sz w:val="22"/>
          <w:szCs w:val="22"/>
          <w:lang w:val="en-GB"/>
        </w:rPr>
        <w:t xml:space="preserve"> HBOR</w:t>
      </w:r>
      <w:r w:rsidR="000E2863">
        <w:rPr>
          <w:rFonts w:ascii="Calibri" w:hAnsi="Calibri" w:cs="Calibri"/>
          <w:sz w:val="22"/>
          <w:szCs w:val="22"/>
          <w:lang w:val="en-GB"/>
        </w:rPr>
        <w:t>, and</w:t>
      </w:r>
    </w:p>
    <w:p w14:paraId="19F2FD8B" w14:textId="40355780" w:rsidR="007A6404" w:rsidRPr="007A6404" w:rsidRDefault="007A6404">
      <w:pPr>
        <w:numPr>
          <w:ilvl w:val="0"/>
          <w:numId w:val="22"/>
        </w:numPr>
        <w:autoSpaceDN/>
        <w:spacing w:line="276" w:lineRule="auto"/>
        <w:ind w:left="714" w:hanging="357"/>
        <w:jc w:val="both"/>
        <w:textAlignment w:val="baseline"/>
        <w:rPr>
          <w:rFonts w:asciiTheme="minorHAnsi" w:hAnsiTheme="minorHAnsi" w:cstheme="minorHAnsi"/>
          <w:sz w:val="22"/>
          <w:szCs w:val="22"/>
          <w:lang w:val="en-GB"/>
        </w:rPr>
      </w:pPr>
      <w:r w:rsidRPr="007A6404">
        <w:rPr>
          <w:rFonts w:asciiTheme="minorHAnsi" w:hAnsiTheme="minorHAnsi" w:cstheme="minorHAnsi"/>
          <w:sz w:val="22"/>
          <w:szCs w:val="22"/>
          <w:lang w:val="en-GB"/>
        </w:rPr>
        <w:t>Consolidated financial statements that include HBOR and companies under its control</w:t>
      </w:r>
      <w:r w:rsidR="007918F7">
        <w:rPr>
          <w:rFonts w:asciiTheme="minorHAnsi" w:hAnsiTheme="minorHAnsi" w:cstheme="minorHAnsi"/>
          <w:sz w:val="22"/>
          <w:szCs w:val="22"/>
          <w:lang w:val="en-GB"/>
        </w:rPr>
        <w:t xml:space="preserve">, </w:t>
      </w:r>
      <w:proofErr w:type="gramStart"/>
      <w:r w:rsidR="007918F7">
        <w:rPr>
          <w:rFonts w:asciiTheme="minorHAnsi" w:hAnsiTheme="minorHAnsi" w:cstheme="minorHAnsi"/>
          <w:sz w:val="22"/>
          <w:szCs w:val="22"/>
          <w:lang w:val="en-GB"/>
        </w:rPr>
        <w:t>i.e.</w:t>
      </w:r>
      <w:proofErr w:type="gramEnd"/>
      <w:r w:rsidR="007918F7">
        <w:rPr>
          <w:rFonts w:asciiTheme="minorHAnsi" w:hAnsiTheme="minorHAnsi" w:cstheme="minorHAnsi"/>
          <w:sz w:val="22"/>
          <w:szCs w:val="22"/>
          <w:lang w:val="en-GB"/>
        </w:rPr>
        <w:t xml:space="preserve"> </w:t>
      </w:r>
      <w:r w:rsidRPr="007A6404">
        <w:rPr>
          <w:rFonts w:asciiTheme="minorHAnsi" w:hAnsiTheme="minorHAnsi" w:cstheme="minorHAnsi"/>
          <w:sz w:val="22"/>
          <w:szCs w:val="22"/>
          <w:lang w:val="en-GB"/>
        </w:rPr>
        <w:t xml:space="preserve">subsidiary companies. </w:t>
      </w:r>
    </w:p>
    <w:p w14:paraId="19F58535" w14:textId="77777777" w:rsidR="007A6404" w:rsidRPr="007A6404" w:rsidRDefault="007A6404" w:rsidP="000B677E">
      <w:pPr>
        <w:autoSpaceDN/>
        <w:spacing w:line="276" w:lineRule="auto"/>
        <w:jc w:val="both"/>
        <w:rPr>
          <w:rFonts w:asciiTheme="minorHAnsi" w:hAnsiTheme="minorHAnsi" w:cstheme="minorHAnsi"/>
          <w:sz w:val="22"/>
          <w:szCs w:val="22"/>
          <w:lang w:val="en-GB"/>
        </w:rPr>
      </w:pPr>
    </w:p>
    <w:p w14:paraId="7B03EF35" w14:textId="489900DF" w:rsidR="007A6404" w:rsidRPr="007A6404" w:rsidRDefault="007A6404" w:rsidP="000B677E">
      <w:pPr>
        <w:autoSpaceDN/>
        <w:spacing w:line="276" w:lineRule="auto"/>
        <w:jc w:val="both"/>
        <w:rPr>
          <w:rFonts w:asciiTheme="minorHAnsi" w:hAnsiTheme="minorHAnsi" w:cstheme="minorHAnsi"/>
          <w:sz w:val="22"/>
          <w:szCs w:val="22"/>
          <w:lang w:val="en-GB"/>
        </w:rPr>
      </w:pPr>
      <w:r w:rsidRPr="007A6404">
        <w:rPr>
          <w:rFonts w:asciiTheme="minorHAnsi" w:hAnsiTheme="minorHAnsi" w:cstheme="minorHAnsi"/>
          <w:sz w:val="22"/>
          <w:szCs w:val="22"/>
          <w:lang w:val="en-GB"/>
        </w:rPr>
        <w:t xml:space="preserve">When preparing and presenting its annual financial statements, the HBOR Group applies the International Financial Reporting Standards adopted by the European Union (“EU </w:t>
      </w:r>
      <w:proofErr w:type="gramStart"/>
      <w:r w:rsidRPr="007A6404">
        <w:rPr>
          <w:rFonts w:asciiTheme="minorHAnsi" w:hAnsiTheme="minorHAnsi" w:cstheme="minorHAnsi"/>
          <w:sz w:val="22"/>
          <w:szCs w:val="22"/>
          <w:lang w:val="en-GB"/>
        </w:rPr>
        <w:t>IFRS“</w:t>
      </w:r>
      <w:proofErr w:type="gramEnd"/>
      <w:r w:rsidRPr="007A6404">
        <w:rPr>
          <w:rFonts w:asciiTheme="minorHAnsi" w:hAnsiTheme="minorHAnsi" w:cstheme="minorHAnsi"/>
          <w:sz w:val="22"/>
          <w:szCs w:val="22"/>
          <w:lang w:val="en-GB"/>
        </w:rPr>
        <w:t>).</w:t>
      </w:r>
    </w:p>
    <w:p w14:paraId="60FCC3DB" w14:textId="77777777" w:rsidR="007A6404" w:rsidRPr="007A6404" w:rsidRDefault="007A6404" w:rsidP="000B677E">
      <w:pPr>
        <w:autoSpaceDN/>
        <w:spacing w:line="276" w:lineRule="auto"/>
        <w:jc w:val="both"/>
        <w:rPr>
          <w:rFonts w:asciiTheme="minorHAnsi" w:hAnsiTheme="minorHAnsi" w:cstheme="minorHAnsi"/>
          <w:sz w:val="22"/>
          <w:szCs w:val="22"/>
          <w:lang w:val="en-GB"/>
        </w:rPr>
      </w:pPr>
      <w:r w:rsidRPr="007A6404">
        <w:rPr>
          <w:rFonts w:asciiTheme="minorHAnsi" w:hAnsiTheme="minorHAnsi" w:cstheme="minorHAnsi"/>
          <w:sz w:val="22"/>
          <w:szCs w:val="22"/>
          <w:lang w:val="en-GB"/>
        </w:rPr>
        <w:t xml:space="preserve">Financial statements are prepared and presented </w:t>
      </w:r>
      <w:proofErr w:type="gramStart"/>
      <w:r w:rsidRPr="007A6404">
        <w:rPr>
          <w:rFonts w:asciiTheme="minorHAnsi" w:hAnsiTheme="minorHAnsi" w:cstheme="minorHAnsi"/>
          <w:sz w:val="22"/>
          <w:szCs w:val="22"/>
          <w:lang w:val="en-GB"/>
        </w:rPr>
        <w:t>in order to</w:t>
      </w:r>
      <w:proofErr w:type="gramEnd"/>
      <w:r w:rsidRPr="007A6404">
        <w:rPr>
          <w:rFonts w:asciiTheme="minorHAnsi" w:hAnsiTheme="minorHAnsi" w:cstheme="minorHAnsi"/>
          <w:sz w:val="22"/>
          <w:szCs w:val="22"/>
          <w:lang w:val="en-GB"/>
        </w:rPr>
        <w:t xml:space="preserve"> provide information on the financial position, success in operations and changes in the financial position of HBOR and the HBOR Group in order to enable their users to make appropriate economic decisions and in order to give financial information about how the strategy of the HBOR Group is carried out.</w:t>
      </w:r>
    </w:p>
    <w:p w14:paraId="5BF28F49" w14:textId="77777777" w:rsidR="007A6404" w:rsidRPr="007A6404" w:rsidRDefault="007A6404" w:rsidP="000B677E">
      <w:pPr>
        <w:autoSpaceDN/>
        <w:spacing w:line="276" w:lineRule="auto"/>
        <w:jc w:val="both"/>
        <w:rPr>
          <w:rFonts w:ascii="Calibri" w:hAnsi="Calibri" w:cs="Calibri"/>
          <w:sz w:val="22"/>
          <w:szCs w:val="22"/>
          <w:lang w:val="en-GB"/>
        </w:rPr>
      </w:pPr>
    </w:p>
    <w:p w14:paraId="036FBE7D" w14:textId="77777777" w:rsidR="007A6404" w:rsidRPr="007A6404" w:rsidRDefault="007A6404" w:rsidP="000B677E">
      <w:pPr>
        <w:autoSpaceDN/>
        <w:spacing w:line="276" w:lineRule="auto"/>
        <w:jc w:val="both"/>
        <w:rPr>
          <w:rFonts w:asciiTheme="minorHAnsi" w:hAnsiTheme="minorHAnsi" w:cstheme="minorHAnsi"/>
          <w:sz w:val="22"/>
          <w:szCs w:val="22"/>
          <w:lang w:val="en-GB"/>
        </w:rPr>
      </w:pPr>
      <w:proofErr w:type="gramStart"/>
      <w:r w:rsidRPr="007A6404">
        <w:rPr>
          <w:rFonts w:asciiTheme="minorHAnsi" w:hAnsiTheme="minorHAnsi" w:cstheme="minorHAnsi"/>
          <w:sz w:val="22"/>
          <w:szCs w:val="22"/>
          <w:lang w:val="en-GB"/>
        </w:rPr>
        <w:t>For the purpose of</w:t>
      </w:r>
      <w:proofErr w:type="gramEnd"/>
      <w:r w:rsidRPr="007A6404">
        <w:rPr>
          <w:rFonts w:asciiTheme="minorHAnsi" w:hAnsiTheme="minorHAnsi" w:cstheme="minorHAnsi"/>
          <w:sz w:val="22"/>
          <w:szCs w:val="22"/>
          <w:lang w:val="en-GB"/>
        </w:rPr>
        <w:t xml:space="preserve"> financial reporting and disclosures, the HBOR Group applies the following principles:</w:t>
      </w:r>
    </w:p>
    <w:p w14:paraId="70EB6227" w14:textId="77777777" w:rsidR="007A6404" w:rsidRPr="007A6404" w:rsidRDefault="007A6404">
      <w:pPr>
        <w:numPr>
          <w:ilvl w:val="0"/>
          <w:numId w:val="23"/>
        </w:numPr>
        <w:autoSpaceDN/>
        <w:spacing w:line="276" w:lineRule="auto"/>
        <w:jc w:val="both"/>
        <w:textAlignment w:val="baseline"/>
        <w:rPr>
          <w:rFonts w:asciiTheme="minorHAnsi" w:eastAsia="SimSun" w:hAnsiTheme="minorHAnsi" w:cstheme="minorHAnsi"/>
          <w:sz w:val="22"/>
          <w:szCs w:val="22"/>
          <w:lang w:val="en-GB"/>
        </w:rPr>
      </w:pPr>
      <w:r w:rsidRPr="007A6404">
        <w:rPr>
          <w:rFonts w:asciiTheme="minorHAnsi" w:hAnsiTheme="minorHAnsi" w:cstheme="minorHAnsi"/>
          <w:b/>
          <w:sz w:val="22"/>
          <w:szCs w:val="22"/>
          <w:lang w:val="en-GB"/>
        </w:rPr>
        <w:t xml:space="preserve">Transparency in presentation </w:t>
      </w:r>
      <w:proofErr w:type="gramStart"/>
      <w:r w:rsidRPr="007A6404">
        <w:rPr>
          <w:rFonts w:asciiTheme="minorHAnsi" w:hAnsiTheme="minorHAnsi" w:cstheme="minorHAnsi"/>
          <w:bCs/>
          <w:sz w:val="22"/>
          <w:szCs w:val="22"/>
          <w:lang w:val="en-GB"/>
        </w:rPr>
        <w:t>in order to</w:t>
      </w:r>
      <w:proofErr w:type="gramEnd"/>
      <w:r w:rsidRPr="007A6404">
        <w:rPr>
          <w:rFonts w:asciiTheme="minorHAnsi" w:hAnsiTheme="minorHAnsi" w:cstheme="minorHAnsi"/>
          <w:bCs/>
          <w:sz w:val="22"/>
          <w:szCs w:val="22"/>
          <w:lang w:val="en-GB"/>
        </w:rPr>
        <w:t xml:space="preserve"> enhance its users’ understanding of the presented information</w:t>
      </w:r>
      <w:r w:rsidRPr="007A6404">
        <w:rPr>
          <w:rFonts w:asciiTheme="minorHAnsi" w:hAnsiTheme="minorHAnsi" w:cstheme="minorHAnsi"/>
          <w:sz w:val="22"/>
          <w:szCs w:val="22"/>
          <w:lang w:val="en-GB"/>
        </w:rPr>
        <w:t>,</w:t>
      </w:r>
    </w:p>
    <w:p w14:paraId="11215A79" w14:textId="77777777" w:rsidR="007A6404" w:rsidRPr="007A6404" w:rsidRDefault="007A6404">
      <w:pPr>
        <w:numPr>
          <w:ilvl w:val="0"/>
          <w:numId w:val="23"/>
        </w:numPr>
        <w:autoSpaceDN/>
        <w:spacing w:line="276" w:lineRule="auto"/>
        <w:jc w:val="both"/>
        <w:textAlignment w:val="baseline"/>
        <w:rPr>
          <w:rFonts w:asciiTheme="minorHAnsi" w:eastAsia="SimSun" w:hAnsiTheme="minorHAnsi" w:cstheme="minorHAnsi"/>
          <w:sz w:val="22"/>
          <w:szCs w:val="22"/>
          <w:lang w:val="en-GB"/>
        </w:rPr>
      </w:pPr>
      <w:r w:rsidRPr="007A6404">
        <w:rPr>
          <w:rFonts w:asciiTheme="minorHAnsi" w:hAnsiTheme="minorHAnsi" w:cstheme="minorHAnsi"/>
          <w:b/>
          <w:sz w:val="22"/>
          <w:szCs w:val="22"/>
          <w:lang w:val="en-GB"/>
        </w:rPr>
        <w:t xml:space="preserve">Consistency in presentation </w:t>
      </w:r>
      <w:r w:rsidRPr="007A6404">
        <w:rPr>
          <w:rFonts w:asciiTheme="minorHAnsi" w:hAnsiTheme="minorHAnsi" w:cstheme="minorHAnsi"/>
          <w:bCs/>
          <w:sz w:val="22"/>
          <w:szCs w:val="22"/>
          <w:lang w:val="en-GB"/>
        </w:rPr>
        <w:t>within each reporting period and between reporting periods</w:t>
      </w:r>
      <w:r w:rsidRPr="007A6404">
        <w:rPr>
          <w:rFonts w:asciiTheme="minorHAnsi" w:hAnsiTheme="minorHAnsi" w:cstheme="minorHAnsi"/>
          <w:sz w:val="22"/>
          <w:szCs w:val="22"/>
          <w:lang w:val="en-GB"/>
        </w:rPr>
        <w:t>,</w:t>
      </w:r>
    </w:p>
    <w:p w14:paraId="47988170" w14:textId="77777777" w:rsidR="007A6404" w:rsidRPr="007A6404" w:rsidRDefault="007A6404">
      <w:pPr>
        <w:numPr>
          <w:ilvl w:val="0"/>
          <w:numId w:val="23"/>
        </w:numPr>
        <w:autoSpaceDN/>
        <w:spacing w:line="276" w:lineRule="auto"/>
        <w:jc w:val="both"/>
        <w:textAlignment w:val="baseline"/>
        <w:rPr>
          <w:rFonts w:asciiTheme="minorHAnsi" w:eastAsia="SimSun" w:hAnsiTheme="minorHAnsi" w:cstheme="minorHAnsi"/>
          <w:sz w:val="22"/>
          <w:szCs w:val="22"/>
          <w:lang w:val="en-GB"/>
        </w:rPr>
      </w:pPr>
      <w:r w:rsidRPr="007A6404">
        <w:rPr>
          <w:rFonts w:asciiTheme="minorHAnsi" w:hAnsiTheme="minorHAnsi" w:cstheme="minorHAnsi"/>
          <w:b/>
          <w:sz w:val="22"/>
          <w:szCs w:val="22"/>
          <w:lang w:val="en-GB"/>
        </w:rPr>
        <w:t xml:space="preserve">Simplicity in presentation </w:t>
      </w:r>
      <w:proofErr w:type="gramStart"/>
      <w:r w:rsidRPr="007A6404">
        <w:rPr>
          <w:rFonts w:asciiTheme="minorHAnsi" w:hAnsiTheme="minorHAnsi" w:cstheme="minorHAnsi"/>
          <w:bCs/>
          <w:sz w:val="22"/>
          <w:szCs w:val="22"/>
          <w:lang w:val="en-GB"/>
        </w:rPr>
        <w:t>in order to</w:t>
      </w:r>
      <w:proofErr w:type="gramEnd"/>
      <w:r w:rsidRPr="007A6404">
        <w:rPr>
          <w:rFonts w:asciiTheme="minorHAnsi" w:hAnsiTheme="minorHAnsi" w:cstheme="minorHAnsi"/>
          <w:bCs/>
          <w:sz w:val="22"/>
          <w:szCs w:val="22"/>
          <w:lang w:val="en-GB"/>
        </w:rPr>
        <w:t xml:space="preserve"> allow the users to gain an easier understanding of the financial position, business performance and changes in financial position, as well as to ease decision-making</w:t>
      </w:r>
      <w:r w:rsidRPr="007A6404">
        <w:rPr>
          <w:rFonts w:asciiTheme="minorHAnsi" w:hAnsiTheme="minorHAnsi" w:cstheme="minorHAnsi"/>
          <w:sz w:val="22"/>
          <w:szCs w:val="22"/>
          <w:lang w:val="en-GB"/>
        </w:rPr>
        <w:t xml:space="preserve">, </w:t>
      </w:r>
    </w:p>
    <w:p w14:paraId="40AA8958" w14:textId="77777777" w:rsidR="007A6404" w:rsidRPr="007A6404" w:rsidRDefault="007A6404">
      <w:pPr>
        <w:numPr>
          <w:ilvl w:val="0"/>
          <w:numId w:val="23"/>
        </w:numPr>
        <w:autoSpaceDN/>
        <w:spacing w:line="276" w:lineRule="auto"/>
        <w:jc w:val="both"/>
        <w:textAlignment w:val="baseline"/>
        <w:rPr>
          <w:rFonts w:asciiTheme="minorHAnsi" w:eastAsia="SimSun" w:hAnsiTheme="minorHAnsi" w:cstheme="minorHAnsi"/>
          <w:sz w:val="22"/>
          <w:szCs w:val="22"/>
          <w:lang w:val="en-GB"/>
        </w:rPr>
      </w:pPr>
      <w:r w:rsidRPr="007A6404">
        <w:rPr>
          <w:rFonts w:asciiTheme="minorHAnsi" w:hAnsiTheme="minorHAnsi" w:cstheme="minorHAnsi"/>
          <w:b/>
          <w:sz w:val="22"/>
          <w:szCs w:val="22"/>
          <w:lang w:val="en-GB"/>
        </w:rPr>
        <w:t xml:space="preserve">Focusing on legal requirements </w:t>
      </w:r>
      <w:proofErr w:type="gramStart"/>
      <w:r w:rsidRPr="007A6404">
        <w:rPr>
          <w:rFonts w:asciiTheme="minorHAnsi" w:hAnsiTheme="minorHAnsi" w:cstheme="minorHAnsi"/>
          <w:bCs/>
          <w:sz w:val="22"/>
          <w:szCs w:val="22"/>
          <w:lang w:val="en-GB"/>
        </w:rPr>
        <w:t>in order to</w:t>
      </w:r>
      <w:proofErr w:type="gramEnd"/>
      <w:r w:rsidRPr="007A6404">
        <w:rPr>
          <w:rFonts w:asciiTheme="minorHAnsi" w:hAnsiTheme="minorHAnsi" w:cstheme="minorHAnsi"/>
          <w:bCs/>
          <w:sz w:val="22"/>
          <w:szCs w:val="22"/>
          <w:lang w:val="en-GB"/>
        </w:rPr>
        <w:t xml:space="preserve"> ensure compliance</w:t>
      </w:r>
      <w:r w:rsidRPr="007A6404">
        <w:rPr>
          <w:rFonts w:asciiTheme="minorHAnsi" w:hAnsiTheme="minorHAnsi" w:cstheme="minorHAnsi"/>
          <w:sz w:val="22"/>
          <w:szCs w:val="22"/>
          <w:lang w:val="en-GB"/>
        </w:rPr>
        <w:t>,</w:t>
      </w:r>
    </w:p>
    <w:p w14:paraId="6963BEC5" w14:textId="77777777" w:rsidR="007A6404" w:rsidRPr="007A6404" w:rsidRDefault="007A6404">
      <w:pPr>
        <w:numPr>
          <w:ilvl w:val="0"/>
          <w:numId w:val="23"/>
        </w:numPr>
        <w:autoSpaceDN/>
        <w:spacing w:line="276" w:lineRule="auto"/>
        <w:jc w:val="both"/>
        <w:textAlignment w:val="baseline"/>
        <w:rPr>
          <w:rFonts w:asciiTheme="minorHAnsi" w:eastAsia="SimSun" w:hAnsiTheme="minorHAnsi" w:cstheme="minorHAnsi"/>
          <w:sz w:val="22"/>
          <w:szCs w:val="22"/>
          <w:lang w:val="en-GB"/>
        </w:rPr>
      </w:pPr>
      <w:r w:rsidRPr="007A6404">
        <w:rPr>
          <w:rFonts w:asciiTheme="minorHAnsi" w:hAnsiTheme="minorHAnsi" w:cstheme="minorHAnsi"/>
          <w:b/>
          <w:sz w:val="22"/>
          <w:szCs w:val="22"/>
          <w:lang w:val="en-GB"/>
        </w:rPr>
        <w:t xml:space="preserve">Application of the best presentation practices </w:t>
      </w:r>
      <w:r w:rsidRPr="007A6404">
        <w:rPr>
          <w:rFonts w:asciiTheme="minorHAnsi" w:hAnsiTheme="minorHAnsi" w:cstheme="minorHAnsi"/>
          <w:bCs/>
          <w:sz w:val="22"/>
          <w:szCs w:val="22"/>
          <w:lang w:val="en-GB"/>
        </w:rPr>
        <w:t>appropriate to the Group’s activities with respect to up-to-date international trends in financial reporting as well as market requirements</w:t>
      </w:r>
      <w:r w:rsidRPr="007A6404">
        <w:rPr>
          <w:rFonts w:asciiTheme="minorHAnsi" w:hAnsiTheme="minorHAnsi" w:cstheme="minorHAnsi"/>
          <w:sz w:val="22"/>
          <w:szCs w:val="22"/>
          <w:lang w:val="en-GB"/>
        </w:rPr>
        <w:t xml:space="preserve">. </w:t>
      </w:r>
    </w:p>
    <w:p w14:paraId="329A888C" w14:textId="77777777" w:rsidR="007A6404" w:rsidRPr="007A6404" w:rsidRDefault="007A6404" w:rsidP="000B677E">
      <w:pPr>
        <w:autoSpaceDN/>
        <w:spacing w:line="276" w:lineRule="auto"/>
        <w:ind w:left="720"/>
        <w:rPr>
          <w:rFonts w:ascii="Calibri" w:hAnsi="Calibri" w:cs="Calibri"/>
          <w:sz w:val="22"/>
          <w:szCs w:val="22"/>
          <w:lang w:val="en-GB"/>
        </w:rPr>
      </w:pPr>
    </w:p>
    <w:p w14:paraId="6D753BCC" w14:textId="77777777" w:rsidR="007A6404" w:rsidRPr="007A6404" w:rsidRDefault="007A6404" w:rsidP="000B677E">
      <w:pPr>
        <w:autoSpaceDN/>
        <w:rPr>
          <w:rFonts w:ascii="Calibri" w:hAnsi="Calibri" w:cs="Calibri"/>
          <w:b/>
          <w:spacing w:val="-3"/>
          <w:sz w:val="22"/>
          <w:szCs w:val="22"/>
          <w:lang w:val="en-GB"/>
        </w:rPr>
      </w:pPr>
      <w:bookmarkStart w:id="75" w:name="_Toc445193513"/>
      <w:r w:rsidRPr="007A6404">
        <w:rPr>
          <w:rFonts w:ascii="Calibri" w:hAnsi="Calibri" w:cs="Calibri"/>
          <w:b/>
          <w:spacing w:val="-3"/>
          <w:sz w:val="22"/>
          <w:szCs w:val="22"/>
          <w:lang w:val="en-GB"/>
        </w:rPr>
        <w:br w:type="page"/>
      </w:r>
    </w:p>
    <w:p w14:paraId="4583F240" w14:textId="77777777" w:rsidR="007A6404" w:rsidRPr="007A6404" w:rsidRDefault="007A6404" w:rsidP="000B677E">
      <w:pPr>
        <w:keepNext/>
        <w:keepLines/>
        <w:pBdr>
          <w:bottom w:val="single" w:sz="4" w:space="2" w:color="B2B2B2"/>
        </w:pBdr>
        <w:autoSpaceDN/>
        <w:spacing w:before="360" w:after="120"/>
        <w:outlineLvl w:val="0"/>
        <w:rPr>
          <w:rFonts w:ascii="Calibri" w:hAnsi="Calibri" w:cs="Calibri"/>
          <w:b/>
          <w:spacing w:val="-3"/>
          <w:sz w:val="22"/>
          <w:szCs w:val="22"/>
          <w:lang w:val="en-GB"/>
        </w:rPr>
      </w:pPr>
      <w:bookmarkStart w:id="76" w:name="_Toc129176361"/>
      <w:bookmarkStart w:id="77" w:name="_Hlk99034682"/>
      <w:r w:rsidRPr="007A6404">
        <w:rPr>
          <w:rFonts w:ascii="Calibri" w:hAnsi="Calibri" w:cs="Calibri"/>
          <w:b/>
          <w:spacing w:val="-3"/>
          <w:sz w:val="22"/>
          <w:szCs w:val="22"/>
          <w:lang w:val="en-GB"/>
        </w:rPr>
        <w:lastRenderedPageBreak/>
        <w:t>OVERVIEW OF FINANCIAL PERFORMANCE IN 2022</w:t>
      </w:r>
      <w:bookmarkEnd w:id="75"/>
      <w:bookmarkEnd w:id="76"/>
    </w:p>
    <w:bookmarkEnd w:id="77"/>
    <w:p w14:paraId="71F165E0" w14:textId="77777777" w:rsidR="007A6404" w:rsidRPr="007A6404" w:rsidRDefault="007A6404" w:rsidP="000B677E">
      <w:pPr>
        <w:keepNext/>
        <w:tabs>
          <w:tab w:val="left" w:pos="-720"/>
        </w:tabs>
        <w:autoSpaceDN/>
        <w:jc w:val="both"/>
        <w:rPr>
          <w:rFonts w:ascii="Calibri" w:hAnsi="Calibri" w:cs="Calibri"/>
          <w:b/>
          <w:spacing w:val="-3"/>
          <w:sz w:val="22"/>
          <w:szCs w:val="22"/>
          <w:lang w:val="en-GB"/>
        </w:rPr>
      </w:pPr>
    </w:p>
    <w:p w14:paraId="54DE4067" w14:textId="77777777" w:rsidR="007A6404" w:rsidRPr="007A6404" w:rsidRDefault="007A6404" w:rsidP="000B677E">
      <w:pPr>
        <w:tabs>
          <w:tab w:val="left" w:pos="-720"/>
        </w:tabs>
        <w:autoSpaceDN/>
        <w:jc w:val="both"/>
        <w:rPr>
          <w:rFonts w:asciiTheme="minorHAnsi" w:eastAsia="SimSun" w:hAnsiTheme="minorHAnsi" w:cstheme="minorHAnsi"/>
          <w:sz w:val="22"/>
          <w:szCs w:val="22"/>
          <w:lang w:val="en-GB"/>
        </w:rPr>
      </w:pPr>
      <w:r w:rsidRPr="007A6404">
        <w:rPr>
          <w:rFonts w:asciiTheme="minorHAnsi" w:hAnsiTheme="minorHAnsi" w:cstheme="minorHAnsi"/>
          <w:sz w:val="22"/>
          <w:szCs w:val="22"/>
          <w:lang w:val="en-GB"/>
        </w:rPr>
        <w:t>The financial statements include both separate financial statements of HBOR and consolidated financial statements of the HBOR Group</w:t>
      </w:r>
      <w:r w:rsidRPr="007A6404">
        <w:rPr>
          <w:rFonts w:asciiTheme="minorHAnsi" w:eastAsia="SimSun" w:hAnsiTheme="minorHAnsi" w:cstheme="minorHAnsi"/>
          <w:sz w:val="22"/>
          <w:szCs w:val="22"/>
          <w:lang w:val="en-GB"/>
        </w:rPr>
        <w:t xml:space="preserve">. </w:t>
      </w:r>
    </w:p>
    <w:p w14:paraId="6D599D56" w14:textId="77777777" w:rsidR="007A6404" w:rsidRPr="007A6404" w:rsidRDefault="007A6404" w:rsidP="000B677E">
      <w:pPr>
        <w:tabs>
          <w:tab w:val="left" w:pos="-720"/>
        </w:tabs>
        <w:autoSpaceDN/>
        <w:jc w:val="both"/>
        <w:rPr>
          <w:rFonts w:asciiTheme="minorHAnsi" w:eastAsia="SimSun" w:hAnsiTheme="minorHAnsi" w:cstheme="minorHAnsi"/>
          <w:sz w:val="22"/>
          <w:szCs w:val="22"/>
          <w:lang w:val="en-GB"/>
        </w:rPr>
      </w:pPr>
    </w:p>
    <w:p w14:paraId="21F5D7FE" w14:textId="77777777" w:rsidR="007A6404" w:rsidRPr="007A6404" w:rsidRDefault="007A6404" w:rsidP="000B677E">
      <w:pPr>
        <w:tabs>
          <w:tab w:val="left" w:pos="-720"/>
        </w:tabs>
        <w:autoSpaceDN/>
        <w:jc w:val="both"/>
        <w:rPr>
          <w:rFonts w:asciiTheme="minorHAnsi" w:eastAsia="SimSun" w:hAnsiTheme="minorHAnsi" w:cstheme="minorHAnsi"/>
          <w:sz w:val="22"/>
          <w:szCs w:val="22"/>
          <w:lang w:val="en-GB"/>
        </w:rPr>
      </w:pPr>
      <w:r w:rsidRPr="007A6404">
        <w:rPr>
          <w:rFonts w:asciiTheme="minorHAnsi" w:hAnsiTheme="minorHAnsi" w:cstheme="minorHAnsi"/>
          <w:sz w:val="22"/>
          <w:szCs w:val="22"/>
          <w:lang w:val="en-GB"/>
        </w:rPr>
        <w:t>In the text to follow, an overview of the financial performance and operations is given separately for the HBOR Group and HBOR, as the parent company and the entity subject to this report</w:t>
      </w:r>
      <w:r w:rsidRPr="007A6404">
        <w:rPr>
          <w:rFonts w:asciiTheme="minorHAnsi" w:eastAsia="SimSun" w:hAnsiTheme="minorHAnsi" w:cstheme="minorHAnsi"/>
          <w:sz w:val="22"/>
          <w:szCs w:val="22"/>
          <w:lang w:val="en-GB"/>
        </w:rPr>
        <w:t>.</w:t>
      </w:r>
    </w:p>
    <w:p w14:paraId="6F6BE68A" w14:textId="77777777" w:rsidR="007A6404" w:rsidRPr="007A6404" w:rsidRDefault="007A6404" w:rsidP="000B677E">
      <w:pPr>
        <w:tabs>
          <w:tab w:val="left" w:pos="-720"/>
        </w:tabs>
        <w:autoSpaceDN/>
        <w:jc w:val="both"/>
        <w:rPr>
          <w:rFonts w:asciiTheme="minorHAnsi" w:hAnsiTheme="minorHAnsi" w:cstheme="minorHAnsi"/>
          <w:b/>
          <w:spacing w:val="-3"/>
          <w:sz w:val="22"/>
          <w:szCs w:val="22"/>
          <w:u w:val="single"/>
          <w:lang w:val="en-GB" w:eastAsia="hr-HR"/>
        </w:rPr>
      </w:pPr>
    </w:p>
    <w:p w14:paraId="19782FFA" w14:textId="77777777" w:rsidR="007A6404" w:rsidRPr="007A6404" w:rsidRDefault="007A6404" w:rsidP="000B677E">
      <w:pPr>
        <w:tabs>
          <w:tab w:val="left" w:pos="-720"/>
        </w:tabs>
        <w:autoSpaceDN/>
        <w:jc w:val="both"/>
        <w:rPr>
          <w:rFonts w:asciiTheme="minorHAnsi" w:hAnsiTheme="minorHAnsi" w:cstheme="minorHAnsi"/>
          <w:sz w:val="22"/>
          <w:szCs w:val="22"/>
          <w:lang w:val="en-GB"/>
        </w:rPr>
      </w:pPr>
      <w:r w:rsidRPr="007A6404">
        <w:rPr>
          <w:rFonts w:asciiTheme="minorHAnsi" w:hAnsiTheme="minorHAnsi" w:cstheme="minorHAnsi"/>
          <w:sz w:val="22"/>
          <w:szCs w:val="22"/>
          <w:lang w:val="en-GB"/>
        </w:rPr>
        <w:t xml:space="preserve">The separate and consolidated Annual Financial Statements of HBOR for 2022, which can be found enclosed, have been audited by the audit companies BDO Croatia d.o.o. and PKF FACT </w:t>
      </w:r>
      <w:proofErr w:type="spellStart"/>
      <w:r w:rsidRPr="007A6404">
        <w:rPr>
          <w:rFonts w:asciiTheme="minorHAnsi" w:hAnsiTheme="minorHAnsi" w:cstheme="minorHAnsi"/>
          <w:sz w:val="22"/>
          <w:szCs w:val="22"/>
          <w:lang w:val="en-GB"/>
        </w:rPr>
        <w:t>Revizija</w:t>
      </w:r>
      <w:proofErr w:type="spellEnd"/>
      <w:r w:rsidRPr="007A6404">
        <w:rPr>
          <w:rFonts w:asciiTheme="minorHAnsi" w:hAnsiTheme="minorHAnsi" w:cstheme="minorHAnsi"/>
          <w:sz w:val="22"/>
          <w:szCs w:val="22"/>
          <w:lang w:val="en-GB"/>
        </w:rPr>
        <w:t xml:space="preserve"> d.o.o., that expressed an unqualified opinion in the common Independent Auditor's Report. </w:t>
      </w:r>
    </w:p>
    <w:p w14:paraId="32D53667" w14:textId="77777777" w:rsidR="007A6404" w:rsidRPr="007A6404" w:rsidRDefault="007A6404" w:rsidP="000B677E">
      <w:pPr>
        <w:tabs>
          <w:tab w:val="left" w:pos="-720"/>
        </w:tabs>
        <w:autoSpaceDN/>
        <w:rPr>
          <w:rFonts w:ascii="Calibri" w:hAnsi="Calibri" w:cs="Calibri"/>
          <w:b/>
          <w:sz w:val="22"/>
          <w:szCs w:val="22"/>
          <w:lang w:val="en-GB"/>
        </w:rPr>
      </w:pPr>
    </w:p>
    <w:p w14:paraId="3894EA2E" w14:textId="77777777" w:rsidR="007A6404" w:rsidRPr="007A6404" w:rsidRDefault="007A6404" w:rsidP="000B677E">
      <w:pPr>
        <w:tabs>
          <w:tab w:val="left" w:pos="-720"/>
        </w:tabs>
        <w:autoSpaceDN/>
        <w:rPr>
          <w:rFonts w:ascii="Calibri" w:hAnsi="Calibri" w:cs="Calibri"/>
          <w:b/>
          <w:sz w:val="22"/>
          <w:szCs w:val="22"/>
          <w:lang w:val="en-GB"/>
        </w:rPr>
      </w:pPr>
    </w:p>
    <w:p w14:paraId="43E8BB9B" w14:textId="77777777" w:rsidR="007A6404" w:rsidRPr="007A6404" w:rsidRDefault="007A6404" w:rsidP="000B677E">
      <w:pPr>
        <w:keepNext/>
        <w:autoSpaceDN/>
        <w:outlineLvl w:val="1"/>
        <w:rPr>
          <w:rFonts w:ascii="Calibri" w:eastAsia="SimSun" w:hAnsi="Calibri" w:cs="Calibri"/>
          <w:b/>
          <w:bCs/>
          <w:sz w:val="22"/>
          <w:szCs w:val="22"/>
          <w:lang w:val="en-GB" w:eastAsia="x-none"/>
        </w:rPr>
      </w:pPr>
      <w:bookmarkStart w:id="78" w:name="_Toc445193514"/>
      <w:bookmarkStart w:id="79" w:name="_Toc129176362"/>
      <w:r w:rsidRPr="007A6404">
        <w:rPr>
          <w:rFonts w:ascii="Calibri" w:eastAsia="SimSun" w:hAnsi="Calibri" w:cs="Calibri"/>
          <w:b/>
          <w:bCs/>
          <w:sz w:val="22"/>
          <w:szCs w:val="22"/>
          <w:lang w:val="en-GB" w:eastAsia="x-none"/>
        </w:rPr>
        <w:t>OVERVIEW OF FINANCIAL OPERATIONS OF THE GROUP</w:t>
      </w:r>
      <w:bookmarkEnd w:id="78"/>
      <w:bookmarkEnd w:id="79"/>
    </w:p>
    <w:p w14:paraId="5271FB6E" w14:textId="77777777" w:rsidR="007A6404" w:rsidRPr="007A6404" w:rsidRDefault="007A6404" w:rsidP="000B677E">
      <w:pPr>
        <w:tabs>
          <w:tab w:val="left" w:pos="-720"/>
        </w:tabs>
        <w:autoSpaceDN/>
        <w:jc w:val="both"/>
        <w:rPr>
          <w:rFonts w:ascii="Calibri" w:hAnsi="Calibri" w:cs="Calibri"/>
          <w:sz w:val="22"/>
          <w:szCs w:val="22"/>
          <w:lang w:val="en-GB"/>
        </w:rPr>
      </w:pPr>
    </w:p>
    <w:p w14:paraId="79C787CB" w14:textId="77777777" w:rsidR="007A6404" w:rsidRPr="007A6404" w:rsidRDefault="007A6404" w:rsidP="000B677E">
      <w:pPr>
        <w:tabs>
          <w:tab w:val="left" w:pos="-720"/>
        </w:tabs>
        <w:autoSpaceDN/>
        <w:jc w:val="both"/>
        <w:rPr>
          <w:rFonts w:asciiTheme="minorHAnsi" w:eastAsia="SimSun" w:hAnsiTheme="minorHAnsi" w:cstheme="minorHAnsi"/>
          <w:sz w:val="22"/>
          <w:szCs w:val="22"/>
          <w:lang w:val="en-GB"/>
        </w:rPr>
      </w:pPr>
      <w:r w:rsidRPr="007A6404">
        <w:rPr>
          <w:rFonts w:asciiTheme="minorHAnsi" w:hAnsiTheme="minorHAnsi" w:cstheme="minorHAnsi"/>
          <w:sz w:val="22"/>
          <w:szCs w:val="22"/>
          <w:lang w:val="en-GB"/>
        </w:rPr>
        <w:t xml:space="preserve">Having in mind the size of the subsidiary companies and the volume of their operations compared with the operations of the parent company, their financial data are not significant </w:t>
      </w:r>
      <w:proofErr w:type="gramStart"/>
      <w:r w:rsidRPr="007A6404">
        <w:rPr>
          <w:rFonts w:asciiTheme="minorHAnsi" w:hAnsiTheme="minorHAnsi" w:cstheme="minorHAnsi"/>
          <w:sz w:val="22"/>
          <w:szCs w:val="22"/>
          <w:lang w:val="en-GB"/>
        </w:rPr>
        <w:t>so as to</w:t>
      </w:r>
      <w:proofErr w:type="gramEnd"/>
      <w:r w:rsidRPr="007A6404">
        <w:rPr>
          <w:rFonts w:asciiTheme="minorHAnsi" w:hAnsiTheme="minorHAnsi" w:cstheme="minorHAnsi"/>
          <w:sz w:val="22"/>
          <w:szCs w:val="22"/>
          <w:lang w:val="en-GB"/>
        </w:rPr>
        <w:t xml:space="preserve"> be particularly highlighted within the framework of the consolidated financial statements. Consequently, they do not have a material effect on the consolidated financial statements in comparison with the separate statements of HBOR as the parent company. The HKO Group represents only 0.29 percent of the parent company's assets.</w:t>
      </w:r>
    </w:p>
    <w:p w14:paraId="76B178F8" w14:textId="77777777" w:rsidR="007A6404" w:rsidRPr="007A6404" w:rsidRDefault="007A6404" w:rsidP="000B677E">
      <w:pPr>
        <w:tabs>
          <w:tab w:val="left" w:pos="-720"/>
          <w:tab w:val="left" w:pos="426"/>
        </w:tabs>
        <w:autoSpaceDN/>
        <w:jc w:val="both"/>
        <w:rPr>
          <w:rFonts w:asciiTheme="minorHAnsi" w:hAnsiTheme="minorHAnsi" w:cstheme="minorHAnsi"/>
          <w:b/>
          <w:caps/>
          <w:spacing w:val="-3"/>
          <w:sz w:val="22"/>
          <w:szCs w:val="22"/>
          <w:lang w:val="en-GB" w:eastAsia="hr-HR"/>
        </w:rPr>
      </w:pPr>
    </w:p>
    <w:p w14:paraId="117AB69C" w14:textId="77777777" w:rsidR="007A6404" w:rsidRPr="007A6404" w:rsidRDefault="007A6404" w:rsidP="000B677E">
      <w:pPr>
        <w:tabs>
          <w:tab w:val="left" w:pos="-720"/>
          <w:tab w:val="left" w:pos="426"/>
        </w:tabs>
        <w:autoSpaceDN/>
        <w:jc w:val="both"/>
        <w:rPr>
          <w:rFonts w:ascii="Calibri" w:hAnsi="Calibri" w:cs="Calibri"/>
          <w:b/>
          <w:caps/>
          <w:spacing w:val="-3"/>
          <w:sz w:val="22"/>
          <w:szCs w:val="22"/>
          <w:lang w:val="en-GB" w:eastAsia="hr-HR"/>
        </w:rPr>
      </w:pPr>
    </w:p>
    <w:p w14:paraId="2BBC4388" w14:textId="77777777" w:rsidR="007A6404" w:rsidRPr="007A6404" w:rsidRDefault="007A6404" w:rsidP="000B677E">
      <w:pPr>
        <w:tabs>
          <w:tab w:val="left" w:pos="-720"/>
          <w:tab w:val="left" w:pos="426"/>
        </w:tabs>
        <w:autoSpaceDN/>
        <w:spacing w:before="120" w:after="120" w:line="276" w:lineRule="auto"/>
        <w:rPr>
          <w:rFonts w:ascii="Calibri" w:eastAsia="SimSun" w:hAnsi="Calibri" w:cs="Calibri"/>
          <w:b/>
          <w:sz w:val="22"/>
          <w:szCs w:val="22"/>
          <w:lang w:val="en-GB"/>
        </w:rPr>
      </w:pPr>
      <w:r w:rsidRPr="007A6404">
        <w:rPr>
          <w:rFonts w:ascii="Calibri" w:eastAsia="SimSun" w:hAnsi="Calibri" w:cs="Calibri"/>
          <w:b/>
          <w:sz w:val="22"/>
          <w:szCs w:val="22"/>
          <w:lang w:val="en-GB"/>
        </w:rPr>
        <w:t>Breakdown of the most significant financial information of HBOR Group, in HRK million</w:t>
      </w:r>
    </w:p>
    <w:tbl>
      <w:tblPr>
        <w:tblStyle w:val="TableGrid"/>
        <w:tblW w:w="8495" w:type="dxa"/>
        <w:tblBorders>
          <w:insideH w:val="none" w:sz="0" w:space="0" w:color="auto"/>
          <w:insideV w:val="none" w:sz="0" w:space="0" w:color="auto"/>
        </w:tblBorders>
        <w:tblLayout w:type="fixed"/>
        <w:tblLook w:val="0420" w:firstRow="1" w:lastRow="0" w:firstColumn="0" w:lastColumn="0" w:noHBand="0" w:noVBand="1"/>
      </w:tblPr>
      <w:tblGrid>
        <w:gridCol w:w="2123"/>
        <w:gridCol w:w="2124"/>
        <w:gridCol w:w="2124"/>
        <w:gridCol w:w="2124"/>
      </w:tblGrid>
      <w:tr w:rsidR="007A6404" w:rsidRPr="007A6404" w14:paraId="5631565E" w14:textId="77777777" w:rsidTr="00A66CB5">
        <w:trPr>
          <w:trHeight w:hRule="exact" w:val="437"/>
        </w:trPr>
        <w:tc>
          <w:tcPr>
            <w:tcW w:w="2123" w:type="dxa"/>
          </w:tcPr>
          <w:p w14:paraId="70778F78" w14:textId="77777777" w:rsidR="007A6404" w:rsidRPr="007A6404" w:rsidRDefault="007A6404" w:rsidP="000B677E">
            <w:pPr>
              <w:jc w:val="right"/>
              <w:rPr>
                <w:rFonts w:asciiTheme="minorHAnsi" w:hAnsiTheme="minorHAnsi" w:cstheme="minorHAnsi"/>
                <w:b/>
                <w:bCs/>
                <w:sz w:val="22"/>
                <w:szCs w:val="22"/>
                <w:lang w:val="en-GB" w:eastAsia="hr-HR"/>
              </w:rPr>
            </w:pPr>
            <w:r w:rsidRPr="007A6404">
              <w:rPr>
                <w:rFonts w:asciiTheme="minorHAnsi" w:hAnsiTheme="minorHAnsi" w:cstheme="minorHAnsi"/>
                <w:sz w:val="22"/>
                <w:szCs w:val="22"/>
                <w:lang w:val="en-GB" w:eastAsia="hr-HR"/>
              </w:rPr>
              <w:t> </w:t>
            </w:r>
          </w:p>
        </w:tc>
        <w:tc>
          <w:tcPr>
            <w:tcW w:w="2124" w:type="dxa"/>
          </w:tcPr>
          <w:p w14:paraId="35C7F158" w14:textId="77777777" w:rsidR="007A6404" w:rsidRPr="00A66CB5" w:rsidRDefault="007A6404" w:rsidP="000B677E">
            <w:pPr>
              <w:jc w:val="right"/>
              <w:rPr>
                <w:rFonts w:asciiTheme="minorHAnsi" w:hAnsiTheme="minorHAnsi" w:cstheme="minorHAnsi"/>
                <w:b/>
                <w:bCs/>
                <w:sz w:val="22"/>
                <w:szCs w:val="22"/>
                <w:lang w:val="en-GB" w:eastAsia="hr-HR"/>
              </w:rPr>
            </w:pPr>
            <w:r w:rsidRPr="00A66CB5">
              <w:rPr>
                <w:rFonts w:asciiTheme="minorHAnsi" w:hAnsiTheme="minorHAnsi" w:cstheme="minorHAnsi"/>
                <w:b/>
                <w:bCs/>
                <w:sz w:val="22"/>
                <w:szCs w:val="22"/>
                <w:lang w:val="en-GB" w:eastAsia="hr-HR"/>
              </w:rPr>
              <w:t>2020</w:t>
            </w:r>
          </w:p>
        </w:tc>
        <w:tc>
          <w:tcPr>
            <w:tcW w:w="2124" w:type="dxa"/>
          </w:tcPr>
          <w:p w14:paraId="52829575" w14:textId="77777777" w:rsidR="007A6404" w:rsidRPr="00A66CB5" w:rsidRDefault="007A6404" w:rsidP="000B677E">
            <w:pPr>
              <w:jc w:val="right"/>
              <w:rPr>
                <w:rFonts w:asciiTheme="minorHAnsi" w:hAnsiTheme="minorHAnsi" w:cstheme="minorHAnsi"/>
                <w:b/>
                <w:bCs/>
                <w:sz w:val="22"/>
                <w:szCs w:val="22"/>
                <w:lang w:val="en-GB" w:eastAsia="hr-HR"/>
              </w:rPr>
            </w:pPr>
            <w:r w:rsidRPr="00A66CB5">
              <w:rPr>
                <w:rFonts w:asciiTheme="minorHAnsi" w:hAnsiTheme="minorHAnsi" w:cstheme="minorHAnsi"/>
                <w:b/>
                <w:bCs/>
                <w:sz w:val="22"/>
                <w:szCs w:val="22"/>
                <w:lang w:val="en-GB" w:eastAsia="hr-HR"/>
              </w:rPr>
              <w:t>2021</w:t>
            </w:r>
          </w:p>
        </w:tc>
        <w:tc>
          <w:tcPr>
            <w:tcW w:w="2124" w:type="dxa"/>
          </w:tcPr>
          <w:p w14:paraId="76AC9732" w14:textId="77777777" w:rsidR="007A6404" w:rsidRPr="00A66CB5" w:rsidRDefault="007A6404" w:rsidP="000B677E">
            <w:pPr>
              <w:jc w:val="right"/>
              <w:rPr>
                <w:rFonts w:asciiTheme="minorHAnsi" w:hAnsiTheme="minorHAnsi" w:cstheme="minorHAnsi"/>
                <w:b/>
                <w:bCs/>
                <w:sz w:val="22"/>
                <w:szCs w:val="22"/>
                <w:lang w:val="en-GB" w:eastAsia="hr-HR"/>
              </w:rPr>
            </w:pPr>
            <w:r w:rsidRPr="00A66CB5">
              <w:rPr>
                <w:rFonts w:asciiTheme="minorHAnsi" w:hAnsiTheme="minorHAnsi" w:cstheme="minorHAnsi"/>
                <w:b/>
                <w:bCs/>
                <w:sz w:val="22"/>
                <w:szCs w:val="22"/>
                <w:lang w:val="en-GB" w:eastAsia="hr-HR"/>
              </w:rPr>
              <w:t>2022</w:t>
            </w:r>
          </w:p>
        </w:tc>
      </w:tr>
      <w:tr w:rsidR="007A6404" w:rsidRPr="007A6404" w14:paraId="39371C24" w14:textId="77777777" w:rsidTr="00A66CB5">
        <w:trPr>
          <w:trHeight w:hRule="exact" w:val="437"/>
        </w:trPr>
        <w:tc>
          <w:tcPr>
            <w:tcW w:w="2123" w:type="dxa"/>
          </w:tcPr>
          <w:p w14:paraId="3DCB4212" w14:textId="77777777" w:rsidR="007A6404" w:rsidRPr="007A6404" w:rsidRDefault="007A6404" w:rsidP="000B677E">
            <w:pPr>
              <w:rPr>
                <w:rFonts w:asciiTheme="minorHAnsi" w:hAnsiTheme="minorHAnsi" w:cstheme="minorHAnsi"/>
                <w:b/>
                <w:bCs/>
                <w:sz w:val="22"/>
                <w:szCs w:val="22"/>
                <w:lang w:val="en-GB" w:eastAsia="hr-HR"/>
              </w:rPr>
            </w:pPr>
            <w:r w:rsidRPr="007A6404">
              <w:rPr>
                <w:rFonts w:asciiTheme="minorHAnsi" w:hAnsiTheme="minorHAnsi" w:cstheme="minorHAnsi"/>
                <w:b/>
                <w:bCs/>
                <w:sz w:val="22"/>
                <w:szCs w:val="22"/>
                <w:lang w:val="en-GB" w:eastAsia="hr-HR"/>
              </w:rPr>
              <w:t>Total assets</w:t>
            </w:r>
          </w:p>
        </w:tc>
        <w:tc>
          <w:tcPr>
            <w:tcW w:w="2124" w:type="dxa"/>
          </w:tcPr>
          <w:p w14:paraId="39B271EC"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28,706.54</w:t>
            </w:r>
          </w:p>
        </w:tc>
        <w:tc>
          <w:tcPr>
            <w:tcW w:w="2124" w:type="dxa"/>
          </w:tcPr>
          <w:p w14:paraId="0DC94C38"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28,278.37</w:t>
            </w:r>
          </w:p>
        </w:tc>
        <w:tc>
          <w:tcPr>
            <w:tcW w:w="2124" w:type="dxa"/>
          </w:tcPr>
          <w:p w14:paraId="7E7DBFE1"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29,060.16</w:t>
            </w:r>
          </w:p>
        </w:tc>
      </w:tr>
      <w:tr w:rsidR="007A6404" w:rsidRPr="007A6404" w14:paraId="5AFBE7FD" w14:textId="77777777" w:rsidTr="00A66CB5">
        <w:trPr>
          <w:trHeight w:hRule="exact" w:val="437"/>
        </w:trPr>
        <w:tc>
          <w:tcPr>
            <w:tcW w:w="2123" w:type="dxa"/>
          </w:tcPr>
          <w:p w14:paraId="123F5F3B" w14:textId="77777777" w:rsidR="007A6404" w:rsidRPr="007A6404" w:rsidRDefault="007A6404" w:rsidP="000B677E">
            <w:pPr>
              <w:rPr>
                <w:rFonts w:asciiTheme="minorHAnsi" w:hAnsiTheme="minorHAnsi" w:cstheme="minorHAnsi"/>
                <w:b/>
                <w:bCs/>
                <w:sz w:val="22"/>
                <w:szCs w:val="22"/>
                <w:lang w:val="en-GB" w:eastAsia="hr-HR"/>
              </w:rPr>
            </w:pPr>
            <w:r w:rsidRPr="007A6404">
              <w:rPr>
                <w:rFonts w:asciiTheme="minorHAnsi" w:hAnsiTheme="minorHAnsi" w:cstheme="minorHAnsi"/>
                <w:b/>
                <w:bCs/>
                <w:sz w:val="22"/>
                <w:szCs w:val="22"/>
                <w:lang w:val="en-GB" w:eastAsia="hr-HR"/>
              </w:rPr>
              <w:t>Gross loans</w:t>
            </w:r>
          </w:p>
        </w:tc>
        <w:tc>
          <w:tcPr>
            <w:tcW w:w="2124" w:type="dxa"/>
          </w:tcPr>
          <w:p w14:paraId="24351F38"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27,197.29</w:t>
            </w:r>
          </w:p>
        </w:tc>
        <w:tc>
          <w:tcPr>
            <w:tcW w:w="2124" w:type="dxa"/>
          </w:tcPr>
          <w:p w14:paraId="24FB7772"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26,329.34</w:t>
            </w:r>
          </w:p>
        </w:tc>
        <w:tc>
          <w:tcPr>
            <w:tcW w:w="2124" w:type="dxa"/>
          </w:tcPr>
          <w:p w14:paraId="5E220A8F"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27,903.26</w:t>
            </w:r>
          </w:p>
        </w:tc>
      </w:tr>
      <w:tr w:rsidR="007A6404" w:rsidRPr="007A6404" w14:paraId="7FF97741" w14:textId="77777777" w:rsidTr="008727DF">
        <w:trPr>
          <w:trHeight w:hRule="exact" w:val="454"/>
        </w:trPr>
        <w:tc>
          <w:tcPr>
            <w:tcW w:w="2123" w:type="dxa"/>
          </w:tcPr>
          <w:p w14:paraId="0CFFBF29" w14:textId="77777777" w:rsidR="007A6404" w:rsidRPr="007A6404" w:rsidRDefault="007A6404" w:rsidP="000B677E">
            <w:pPr>
              <w:rPr>
                <w:rFonts w:asciiTheme="minorHAnsi" w:hAnsiTheme="minorHAnsi" w:cstheme="minorHAnsi"/>
                <w:b/>
                <w:bCs/>
                <w:sz w:val="22"/>
                <w:szCs w:val="22"/>
                <w:lang w:val="en-GB" w:eastAsia="hr-HR"/>
              </w:rPr>
            </w:pPr>
            <w:r w:rsidRPr="007A6404">
              <w:rPr>
                <w:rFonts w:asciiTheme="minorHAnsi" w:hAnsiTheme="minorHAnsi" w:cstheme="minorHAnsi"/>
                <w:b/>
                <w:bCs/>
                <w:sz w:val="22"/>
                <w:szCs w:val="22"/>
                <w:lang w:val="en-GB" w:eastAsia="hr-HR"/>
              </w:rPr>
              <w:t>Total equity</w:t>
            </w:r>
          </w:p>
        </w:tc>
        <w:tc>
          <w:tcPr>
            <w:tcW w:w="2124" w:type="dxa"/>
          </w:tcPr>
          <w:p w14:paraId="4A555119"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10,363.76</w:t>
            </w:r>
          </w:p>
        </w:tc>
        <w:tc>
          <w:tcPr>
            <w:tcW w:w="2124" w:type="dxa"/>
          </w:tcPr>
          <w:p w14:paraId="461517AE"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10,576.79</w:t>
            </w:r>
          </w:p>
        </w:tc>
        <w:tc>
          <w:tcPr>
            <w:tcW w:w="2124" w:type="dxa"/>
          </w:tcPr>
          <w:p w14:paraId="323A41C2"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10,715.03</w:t>
            </w:r>
          </w:p>
        </w:tc>
      </w:tr>
      <w:tr w:rsidR="007A6404" w:rsidRPr="007A6404" w14:paraId="594CE4BE" w14:textId="77777777" w:rsidTr="00A66CB5">
        <w:trPr>
          <w:trHeight w:hRule="exact" w:val="437"/>
        </w:trPr>
        <w:tc>
          <w:tcPr>
            <w:tcW w:w="2123" w:type="dxa"/>
          </w:tcPr>
          <w:p w14:paraId="2060F944" w14:textId="77777777" w:rsidR="007A6404" w:rsidRPr="007A6404" w:rsidRDefault="007A6404" w:rsidP="000B677E">
            <w:pPr>
              <w:rPr>
                <w:rFonts w:asciiTheme="minorHAnsi" w:hAnsiTheme="minorHAnsi" w:cstheme="minorHAnsi"/>
                <w:b/>
                <w:bCs/>
                <w:sz w:val="22"/>
                <w:szCs w:val="22"/>
                <w:lang w:val="en-GB" w:eastAsia="hr-HR"/>
              </w:rPr>
            </w:pPr>
            <w:r w:rsidRPr="007A6404">
              <w:rPr>
                <w:rFonts w:asciiTheme="minorHAnsi" w:hAnsiTheme="minorHAnsi" w:cstheme="minorHAnsi"/>
                <w:b/>
                <w:bCs/>
                <w:sz w:val="22"/>
                <w:szCs w:val="22"/>
                <w:lang w:val="en-GB" w:eastAsia="hr-HR"/>
              </w:rPr>
              <w:t>Total income</w:t>
            </w:r>
          </w:p>
        </w:tc>
        <w:tc>
          <w:tcPr>
            <w:tcW w:w="2124" w:type="dxa"/>
          </w:tcPr>
          <w:p w14:paraId="43477AE6"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669.38</w:t>
            </w:r>
          </w:p>
        </w:tc>
        <w:tc>
          <w:tcPr>
            <w:tcW w:w="2124" w:type="dxa"/>
          </w:tcPr>
          <w:p w14:paraId="28429130"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741.29</w:t>
            </w:r>
          </w:p>
        </w:tc>
        <w:tc>
          <w:tcPr>
            <w:tcW w:w="2124" w:type="dxa"/>
          </w:tcPr>
          <w:p w14:paraId="1CC8AACB"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698.30</w:t>
            </w:r>
          </w:p>
        </w:tc>
      </w:tr>
      <w:tr w:rsidR="007A6404" w:rsidRPr="007A6404" w14:paraId="57729B60" w14:textId="77777777" w:rsidTr="00A66CB5">
        <w:trPr>
          <w:trHeight w:hRule="exact" w:val="437"/>
        </w:trPr>
        <w:tc>
          <w:tcPr>
            <w:tcW w:w="2123" w:type="dxa"/>
          </w:tcPr>
          <w:p w14:paraId="75F0334C" w14:textId="77777777" w:rsidR="007A6404" w:rsidRPr="007A6404" w:rsidRDefault="007A6404" w:rsidP="000B677E">
            <w:pPr>
              <w:rPr>
                <w:rFonts w:asciiTheme="minorHAnsi" w:hAnsiTheme="minorHAnsi" w:cstheme="minorHAnsi"/>
                <w:b/>
                <w:bCs/>
                <w:sz w:val="22"/>
                <w:szCs w:val="22"/>
                <w:lang w:val="en-GB" w:eastAsia="hr-HR"/>
              </w:rPr>
            </w:pPr>
            <w:r w:rsidRPr="007A6404">
              <w:rPr>
                <w:rFonts w:asciiTheme="minorHAnsi" w:hAnsiTheme="minorHAnsi" w:cstheme="minorHAnsi"/>
                <w:b/>
                <w:bCs/>
                <w:sz w:val="22"/>
                <w:szCs w:val="22"/>
                <w:lang w:val="en-GB" w:eastAsia="hr-HR"/>
              </w:rPr>
              <w:t>Total expense</w:t>
            </w:r>
          </w:p>
        </w:tc>
        <w:tc>
          <w:tcPr>
            <w:tcW w:w="2124" w:type="dxa"/>
          </w:tcPr>
          <w:p w14:paraId="1AECE87E"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(587.85)</w:t>
            </w:r>
          </w:p>
        </w:tc>
        <w:tc>
          <w:tcPr>
            <w:tcW w:w="2124" w:type="dxa"/>
          </w:tcPr>
          <w:p w14:paraId="0D9FE33F"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(553.10)</w:t>
            </w:r>
          </w:p>
        </w:tc>
        <w:tc>
          <w:tcPr>
            <w:tcW w:w="2124" w:type="dxa"/>
          </w:tcPr>
          <w:p w14:paraId="49DDA793"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(508.84)</w:t>
            </w:r>
          </w:p>
        </w:tc>
      </w:tr>
      <w:tr w:rsidR="007A6404" w:rsidRPr="007A6404" w14:paraId="223FDD3F" w14:textId="77777777" w:rsidTr="00A66CB5">
        <w:trPr>
          <w:trHeight w:hRule="exact" w:val="437"/>
        </w:trPr>
        <w:tc>
          <w:tcPr>
            <w:tcW w:w="2123" w:type="dxa"/>
          </w:tcPr>
          <w:p w14:paraId="62BF9E12" w14:textId="77777777" w:rsidR="007A6404" w:rsidRPr="007A6404" w:rsidRDefault="007A6404" w:rsidP="000B677E">
            <w:pPr>
              <w:rPr>
                <w:rFonts w:asciiTheme="minorHAnsi" w:hAnsiTheme="minorHAnsi" w:cstheme="minorHAnsi"/>
                <w:b/>
                <w:bCs/>
                <w:sz w:val="22"/>
                <w:szCs w:val="22"/>
                <w:lang w:val="en-GB" w:eastAsia="hr-HR"/>
              </w:rPr>
            </w:pPr>
            <w:r w:rsidRPr="007A6404">
              <w:rPr>
                <w:rFonts w:asciiTheme="minorHAnsi" w:hAnsiTheme="minorHAnsi" w:cstheme="minorHAnsi"/>
                <w:b/>
                <w:bCs/>
                <w:sz w:val="22"/>
                <w:szCs w:val="22"/>
                <w:lang w:val="en-GB" w:eastAsia="hr-HR"/>
              </w:rPr>
              <w:t>Profit</w:t>
            </w:r>
          </w:p>
        </w:tc>
        <w:tc>
          <w:tcPr>
            <w:tcW w:w="2124" w:type="dxa"/>
          </w:tcPr>
          <w:p w14:paraId="6C1FFD77"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81.53</w:t>
            </w:r>
          </w:p>
        </w:tc>
        <w:tc>
          <w:tcPr>
            <w:tcW w:w="2124" w:type="dxa"/>
          </w:tcPr>
          <w:p w14:paraId="224BB1C6"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188.19</w:t>
            </w:r>
          </w:p>
        </w:tc>
        <w:tc>
          <w:tcPr>
            <w:tcW w:w="2124" w:type="dxa"/>
          </w:tcPr>
          <w:p w14:paraId="4CEFB000"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189.46</w:t>
            </w:r>
          </w:p>
        </w:tc>
      </w:tr>
      <w:tr w:rsidR="007A6404" w:rsidRPr="007A6404" w14:paraId="713B65D0" w14:textId="77777777" w:rsidTr="00A66CB5">
        <w:trPr>
          <w:trHeight w:hRule="exact" w:val="1228"/>
        </w:trPr>
        <w:tc>
          <w:tcPr>
            <w:tcW w:w="2123" w:type="dxa"/>
          </w:tcPr>
          <w:p w14:paraId="07178D49" w14:textId="77777777" w:rsidR="007A6404" w:rsidRPr="007A6404" w:rsidRDefault="007A6404" w:rsidP="000B677E">
            <w:pPr>
              <w:rPr>
                <w:rFonts w:asciiTheme="minorHAnsi" w:hAnsiTheme="minorHAnsi" w:cstheme="minorHAnsi"/>
                <w:b/>
                <w:bCs/>
                <w:sz w:val="22"/>
                <w:szCs w:val="22"/>
                <w:lang w:val="en-GB" w:eastAsia="hr-HR"/>
              </w:rPr>
            </w:pPr>
            <w:r w:rsidRPr="007A6404">
              <w:rPr>
                <w:rFonts w:asciiTheme="minorHAnsi" w:hAnsiTheme="minorHAnsi" w:cstheme="minorHAnsi"/>
                <w:b/>
                <w:bCs/>
                <w:sz w:val="22"/>
                <w:szCs w:val="22"/>
                <w:lang w:val="en-GB" w:eastAsia="hr-HR"/>
              </w:rPr>
              <w:t xml:space="preserve">Interest income calculated </w:t>
            </w:r>
            <w:proofErr w:type="gramStart"/>
            <w:r w:rsidRPr="007A6404">
              <w:rPr>
                <w:rFonts w:asciiTheme="minorHAnsi" w:hAnsiTheme="minorHAnsi" w:cstheme="minorHAnsi"/>
                <w:b/>
                <w:bCs/>
                <w:sz w:val="22"/>
                <w:szCs w:val="22"/>
                <w:lang w:val="en-GB" w:eastAsia="hr-HR"/>
              </w:rPr>
              <w:t>on the basis of</w:t>
            </w:r>
            <w:proofErr w:type="gramEnd"/>
            <w:r w:rsidRPr="007A6404">
              <w:rPr>
                <w:rFonts w:asciiTheme="minorHAnsi" w:hAnsiTheme="minorHAnsi" w:cstheme="minorHAnsi"/>
                <w:b/>
                <w:bCs/>
                <w:sz w:val="22"/>
                <w:szCs w:val="22"/>
                <w:lang w:val="en-GB" w:eastAsia="hr-HR"/>
              </w:rPr>
              <w:t xml:space="preserve"> effective interest rate method</w:t>
            </w:r>
          </w:p>
        </w:tc>
        <w:tc>
          <w:tcPr>
            <w:tcW w:w="2124" w:type="dxa"/>
          </w:tcPr>
          <w:p w14:paraId="2D93E35E"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622.48</w:t>
            </w:r>
          </w:p>
        </w:tc>
        <w:tc>
          <w:tcPr>
            <w:tcW w:w="2124" w:type="dxa"/>
          </w:tcPr>
          <w:p w14:paraId="1D864951"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677.44</w:t>
            </w:r>
          </w:p>
        </w:tc>
        <w:tc>
          <w:tcPr>
            <w:tcW w:w="2124" w:type="dxa"/>
          </w:tcPr>
          <w:p w14:paraId="43B77CCC"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629.19</w:t>
            </w:r>
          </w:p>
        </w:tc>
      </w:tr>
      <w:tr w:rsidR="007A6404" w:rsidRPr="007A6404" w14:paraId="26FF359D" w14:textId="77777777" w:rsidTr="00A66CB5">
        <w:trPr>
          <w:trHeight w:hRule="exact" w:val="437"/>
        </w:trPr>
        <w:tc>
          <w:tcPr>
            <w:tcW w:w="2123" w:type="dxa"/>
          </w:tcPr>
          <w:p w14:paraId="0EBDD640" w14:textId="77777777" w:rsidR="007A6404" w:rsidRPr="007A6404" w:rsidRDefault="007A6404" w:rsidP="000B677E">
            <w:pPr>
              <w:rPr>
                <w:rFonts w:asciiTheme="minorHAnsi" w:hAnsiTheme="minorHAnsi" w:cstheme="minorHAnsi"/>
                <w:b/>
                <w:bCs/>
                <w:sz w:val="22"/>
                <w:szCs w:val="22"/>
                <w:lang w:val="en-GB" w:eastAsia="hr-HR"/>
              </w:rPr>
            </w:pPr>
            <w:r w:rsidRPr="007A6404">
              <w:rPr>
                <w:rFonts w:asciiTheme="minorHAnsi" w:hAnsiTheme="minorHAnsi" w:cstheme="minorHAnsi"/>
                <w:b/>
                <w:bCs/>
                <w:sz w:val="22"/>
                <w:szCs w:val="22"/>
                <w:lang w:val="en-GB" w:eastAsia="hr-HR"/>
              </w:rPr>
              <w:t>Interest expense</w:t>
            </w:r>
          </w:p>
        </w:tc>
        <w:tc>
          <w:tcPr>
            <w:tcW w:w="2124" w:type="dxa"/>
          </w:tcPr>
          <w:p w14:paraId="23D10821"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(244.21)</w:t>
            </w:r>
          </w:p>
        </w:tc>
        <w:tc>
          <w:tcPr>
            <w:tcW w:w="2124" w:type="dxa"/>
          </w:tcPr>
          <w:p w14:paraId="25319A47"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(184.63)</w:t>
            </w:r>
          </w:p>
        </w:tc>
        <w:tc>
          <w:tcPr>
            <w:tcW w:w="2124" w:type="dxa"/>
          </w:tcPr>
          <w:p w14:paraId="7AF869C9"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(158.41)</w:t>
            </w:r>
          </w:p>
        </w:tc>
      </w:tr>
      <w:tr w:rsidR="007A6404" w:rsidRPr="007A6404" w14:paraId="1FA3E2E4" w14:textId="77777777" w:rsidTr="00A66CB5">
        <w:trPr>
          <w:trHeight w:hRule="exact" w:val="437"/>
        </w:trPr>
        <w:tc>
          <w:tcPr>
            <w:tcW w:w="2123" w:type="dxa"/>
          </w:tcPr>
          <w:p w14:paraId="27B88999" w14:textId="77777777" w:rsidR="007A6404" w:rsidRPr="007A6404" w:rsidRDefault="007A6404" w:rsidP="000B677E">
            <w:pPr>
              <w:rPr>
                <w:rFonts w:asciiTheme="minorHAnsi" w:hAnsiTheme="minorHAnsi" w:cstheme="minorHAnsi"/>
                <w:b/>
                <w:bCs/>
                <w:sz w:val="22"/>
                <w:szCs w:val="22"/>
                <w:lang w:val="en-GB" w:eastAsia="hr-HR"/>
              </w:rPr>
            </w:pPr>
            <w:r w:rsidRPr="007A6404">
              <w:rPr>
                <w:rFonts w:asciiTheme="minorHAnsi" w:hAnsiTheme="minorHAnsi" w:cstheme="minorHAnsi"/>
                <w:b/>
                <w:bCs/>
                <w:sz w:val="22"/>
                <w:szCs w:val="22"/>
                <w:lang w:val="en-GB" w:eastAsia="hr-HR"/>
              </w:rPr>
              <w:t>Net interest income</w:t>
            </w:r>
          </w:p>
        </w:tc>
        <w:tc>
          <w:tcPr>
            <w:tcW w:w="2124" w:type="dxa"/>
          </w:tcPr>
          <w:p w14:paraId="6D8389F2"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378.27</w:t>
            </w:r>
          </w:p>
        </w:tc>
        <w:tc>
          <w:tcPr>
            <w:tcW w:w="2124" w:type="dxa"/>
          </w:tcPr>
          <w:p w14:paraId="6A50012C"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492.81</w:t>
            </w:r>
          </w:p>
        </w:tc>
        <w:tc>
          <w:tcPr>
            <w:tcW w:w="2124" w:type="dxa"/>
          </w:tcPr>
          <w:p w14:paraId="1A49E35B" w14:textId="77777777" w:rsidR="007A6404" w:rsidRPr="007A6404" w:rsidRDefault="007A6404" w:rsidP="000B677E">
            <w:pPr>
              <w:jc w:val="right"/>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470.78</w:t>
            </w:r>
          </w:p>
        </w:tc>
      </w:tr>
    </w:tbl>
    <w:p w14:paraId="6D440D95" w14:textId="77777777" w:rsidR="007A6404" w:rsidRPr="007A6404" w:rsidRDefault="007A6404" w:rsidP="000B677E">
      <w:pPr>
        <w:tabs>
          <w:tab w:val="left" w:pos="-720"/>
          <w:tab w:val="left" w:pos="426"/>
        </w:tabs>
        <w:autoSpaceDN/>
        <w:jc w:val="both"/>
        <w:rPr>
          <w:rFonts w:ascii="Calibri" w:hAnsi="Calibri" w:cs="Calibri"/>
          <w:b/>
          <w:caps/>
          <w:spacing w:val="-3"/>
          <w:sz w:val="22"/>
          <w:szCs w:val="22"/>
          <w:lang w:val="en-GB" w:eastAsia="hr-HR"/>
        </w:rPr>
      </w:pPr>
    </w:p>
    <w:p w14:paraId="66C9F547" w14:textId="77777777" w:rsidR="007A6404" w:rsidRPr="007A6404" w:rsidRDefault="007A6404" w:rsidP="000B677E">
      <w:pPr>
        <w:autoSpaceDN/>
        <w:spacing w:after="160" w:line="276" w:lineRule="auto"/>
        <w:rPr>
          <w:rFonts w:ascii="Calibri" w:hAnsi="Calibri" w:cs="Calibri"/>
          <w:b/>
          <w:caps/>
          <w:spacing w:val="-3"/>
          <w:sz w:val="22"/>
          <w:szCs w:val="22"/>
          <w:lang w:val="en-GB" w:eastAsia="hr-HR"/>
        </w:rPr>
      </w:pPr>
      <w:r w:rsidRPr="007A6404">
        <w:rPr>
          <w:rFonts w:ascii="Calibri" w:hAnsi="Calibri" w:cs="Calibri"/>
          <w:b/>
          <w:caps/>
          <w:spacing w:val="-3"/>
          <w:sz w:val="22"/>
          <w:szCs w:val="22"/>
          <w:lang w:val="en-GB" w:eastAsia="hr-HR"/>
        </w:rPr>
        <w:br w:type="page"/>
      </w:r>
    </w:p>
    <w:p w14:paraId="6575291A" w14:textId="77777777" w:rsidR="007A6404" w:rsidRPr="007A6404" w:rsidRDefault="007A6404" w:rsidP="000B677E">
      <w:pPr>
        <w:autoSpaceDN/>
        <w:spacing w:after="160" w:line="276" w:lineRule="auto"/>
        <w:ind w:left="-284" w:right="-709"/>
        <w:rPr>
          <w:rFonts w:ascii="Calibri" w:eastAsia="SimSun" w:hAnsi="Calibri"/>
          <w:sz w:val="21"/>
          <w:szCs w:val="21"/>
          <w:lang w:val="en-GB"/>
        </w:rPr>
      </w:pPr>
      <w:r w:rsidRPr="007A6404">
        <w:rPr>
          <w:rFonts w:ascii="Calibri" w:eastAsia="SimSun" w:hAnsi="Calibri"/>
          <w:noProof/>
          <w:sz w:val="21"/>
          <w:szCs w:val="21"/>
          <w:lang w:val="en-GB"/>
        </w:rPr>
        <w:lastRenderedPageBreak/>
        <w:drawing>
          <wp:inline distT="0" distB="0" distL="0" distR="0" wp14:anchorId="5AFABE1B" wp14:editId="605BFE01">
            <wp:extent cx="3053080" cy="2146898"/>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1649" cy="2152924"/>
                    </a:xfrm>
                    <a:prstGeom prst="rect">
                      <a:avLst/>
                    </a:prstGeom>
                    <a:noFill/>
                  </pic:spPr>
                </pic:pic>
              </a:graphicData>
            </a:graphic>
          </wp:inline>
        </w:drawing>
      </w:r>
      <w:r w:rsidRPr="007A6404">
        <w:rPr>
          <w:rFonts w:ascii="Calibri" w:eastAsia="SimSun" w:hAnsi="Calibri"/>
          <w:sz w:val="21"/>
          <w:szCs w:val="21"/>
          <w:lang w:val="en-GB"/>
        </w:rPr>
        <w:t xml:space="preserve">     </w:t>
      </w:r>
      <w:r w:rsidRPr="007A6404">
        <w:rPr>
          <w:rFonts w:ascii="Calibri" w:eastAsia="SimSun" w:hAnsi="Calibri"/>
          <w:noProof/>
          <w:sz w:val="21"/>
          <w:szCs w:val="21"/>
          <w:lang w:val="en-GB"/>
        </w:rPr>
        <w:drawing>
          <wp:inline distT="0" distB="0" distL="0" distR="0" wp14:anchorId="442C514B" wp14:editId="7337776B">
            <wp:extent cx="2951425" cy="2145600"/>
            <wp:effectExtent l="0" t="0" r="190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1425" cy="2145600"/>
                    </a:xfrm>
                    <a:prstGeom prst="rect">
                      <a:avLst/>
                    </a:prstGeom>
                    <a:noFill/>
                  </pic:spPr>
                </pic:pic>
              </a:graphicData>
            </a:graphic>
          </wp:inline>
        </w:drawing>
      </w:r>
    </w:p>
    <w:p w14:paraId="5AB6B6CA" w14:textId="77777777" w:rsidR="007A6404" w:rsidRPr="007A6404" w:rsidRDefault="007A6404" w:rsidP="000B677E">
      <w:pPr>
        <w:tabs>
          <w:tab w:val="left" w:pos="-720"/>
          <w:tab w:val="left" w:pos="0"/>
          <w:tab w:val="left" w:pos="4820"/>
        </w:tabs>
        <w:autoSpaceDN/>
        <w:ind w:left="-284" w:right="-567"/>
        <w:jc w:val="both"/>
        <w:rPr>
          <w:rFonts w:ascii="Calibri" w:hAnsi="Calibri" w:cs="Calibri"/>
          <w:b/>
          <w:caps/>
          <w:spacing w:val="-3"/>
          <w:sz w:val="22"/>
          <w:szCs w:val="22"/>
          <w:lang w:val="en-GB" w:eastAsia="hr-HR"/>
        </w:rPr>
      </w:pPr>
    </w:p>
    <w:p w14:paraId="2E8F5640" w14:textId="77777777" w:rsidR="007A6404" w:rsidRPr="007A6404" w:rsidRDefault="007A6404" w:rsidP="000B677E">
      <w:pPr>
        <w:tabs>
          <w:tab w:val="left" w:pos="-720"/>
          <w:tab w:val="left" w:pos="0"/>
          <w:tab w:val="left" w:pos="4820"/>
        </w:tabs>
        <w:autoSpaceDN/>
        <w:ind w:left="-284" w:right="-567"/>
        <w:jc w:val="both"/>
        <w:rPr>
          <w:rFonts w:ascii="Calibri" w:hAnsi="Calibri" w:cs="Calibri"/>
          <w:b/>
          <w:caps/>
          <w:spacing w:val="-3"/>
          <w:sz w:val="22"/>
          <w:szCs w:val="22"/>
          <w:lang w:val="en-GB" w:eastAsia="hr-HR"/>
        </w:rPr>
      </w:pPr>
    </w:p>
    <w:p w14:paraId="4BEC9A2F" w14:textId="77777777" w:rsidR="007A6404" w:rsidRPr="007A6404" w:rsidRDefault="007A6404" w:rsidP="000B677E">
      <w:pPr>
        <w:tabs>
          <w:tab w:val="left" w:pos="-720"/>
          <w:tab w:val="left" w:pos="0"/>
          <w:tab w:val="left" w:pos="4820"/>
        </w:tabs>
        <w:autoSpaceDN/>
        <w:ind w:left="-284" w:right="-567"/>
        <w:jc w:val="both"/>
        <w:rPr>
          <w:rFonts w:ascii="Calibri" w:hAnsi="Calibri" w:cs="Calibri"/>
          <w:b/>
          <w:caps/>
          <w:spacing w:val="-3"/>
          <w:sz w:val="22"/>
          <w:szCs w:val="22"/>
          <w:lang w:val="en-GB" w:eastAsia="hr-HR"/>
        </w:rPr>
      </w:pPr>
      <w:r w:rsidRPr="007A6404">
        <w:rPr>
          <w:rFonts w:ascii="Calibri" w:hAnsi="Calibri" w:cs="Calibri"/>
          <w:b/>
          <w:caps/>
          <w:noProof/>
          <w:spacing w:val="-3"/>
          <w:sz w:val="22"/>
          <w:szCs w:val="22"/>
          <w:lang w:val="en-GB" w:eastAsia="hr-HR"/>
        </w:rPr>
        <w:drawing>
          <wp:inline distT="0" distB="0" distL="0" distR="0" wp14:anchorId="31ED4785" wp14:editId="76DD98B2">
            <wp:extent cx="3012699" cy="219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2699" cy="2196000"/>
                    </a:xfrm>
                    <a:prstGeom prst="rect">
                      <a:avLst/>
                    </a:prstGeom>
                    <a:noFill/>
                  </pic:spPr>
                </pic:pic>
              </a:graphicData>
            </a:graphic>
          </wp:inline>
        </w:drawing>
      </w:r>
      <w:r w:rsidRPr="007A6404">
        <w:rPr>
          <w:rFonts w:ascii="Calibri" w:hAnsi="Calibri" w:cs="Calibri"/>
          <w:b/>
          <w:caps/>
          <w:spacing w:val="-3"/>
          <w:sz w:val="22"/>
          <w:szCs w:val="22"/>
          <w:lang w:val="en-GB" w:eastAsia="hr-HR"/>
        </w:rPr>
        <w:t xml:space="preserve">  </w:t>
      </w:r>
      <w:r w:rsidRPr="007A6404">
        <w:rPr>
          <w:rFonts w:ascii="Calibri" w:hAnsi="Calibri" w:cs="Calibri"/>
          <w:b/>
          <w:caps/>
          <w:noProof/>
          <w:spacing w:val="-3"/>
          <w:sz w:val="22"/>
          <w:szCs w:val="22"/>
          <w:lang w:val="en-GB" w:eastAsia="hr-HR"/>
        </w:rPr>
        <w:drawing>
          <wp:inline distT="0" distB="0" distL="0" distR="0" wp14:anchorId="2E37EDA2" wp14:editId="32A43B31">
            <wp:extent cx="3151973" cy="219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1973" cy="2196000"/>
                    </a:xfrm>
                    <a:prstGeom prst="rect">
                      <a:avLst/>
                    </a:prstGeom>
                    <a:noFill/>
                  </pic:spPr>
                </pic:pic>
              </a:graphicData>
            </a:graphic>
          </wp:inline>
        </w:drawing>
      </w:r>
    </w:p>
    <w:p w14:paraId="4EE3DB1C" w14:textId="77777777" w:rsidR="007A6404" w:rsidRPr="007A6404" w:rsidRDefault="007A6404" w:rsidP="000B677E">
      <w:pPr>
        <w:tabs>
          <w:tab w:val="left" w:pos="-720"/>
          <w:tab w:val="left" w:pos="0"/>
          <w:tab w:val="left" w:pos="4820"/>
        </w:tabs>
        <w:autoSpaceDN/>
        <w:ind w:left="-284" w:right="-567"/>
        <w:jc w:val="both"/>
        <w:rPr>
          <w:rFonts w:ascii="Calibri" w:hAnsi="Calibri" w:cs="Calibri"/>
          <w:b/>
          <w:caps/>
          <w:spacing w:val="-3"/>
          <w:sz w:val="22"/>
          <w:szCs w:val="22"/>
          <w:lang w:val="en-GB" w:eastAsia="hr-HR"/>
        </w:rPr>
      </w:pPr>
      <w:r w:rsidRPr="007A6404">
        <w:rPr>
          <w:rFonts w:ascii="Calibri" w:hAnsi="Calibri" w:cs="Calibri"/>
          <w:b/>
          <w:caps/>
          <w:spacing w:val="-3"/>
          <w:sz w:val="22"/>
          <w:szCs w:val="22"/>
          <w:lang w:val="en-GB" w:eastAsia="hr-HR"/>
        </w:rPr>
        <w:t xml:space="preserve"> </w:t>
      </w:r>
    </w:p>
    <w:p w14:paraId="16599971" w14:textId="77777777" w:rsidR="007A6404" w:rsidRPr="007A6404" w:rsidRDefault="007A6404" w:rsidP="000B677E">
      <w:pPr>
        <w:autoSpaceDN/>
        <w:spacing w:after="160" w:line="276" w:lineRule="auto"/>
        <w:rPr>
          <w:rFonts w:ascii="Calibri" w:hAnsi="Calibri" w:cs="Calibri"/>
          <w:b/>
          <w:caps/>
          <w:spacing w:val="-3"/>
          <w:sz w:val="22"/>
          <w:szCs w:val="22"/>
          <w:lang w:val="en-GB" w:eastAsia="hr-HR"/>
        </w:rPr>
      </w:pPr>
      <w:r w:rsidRPr="007A6404">
        <w:rPr>
          <w:rFonts w:ascii="Calibri" w:hAnsi="Calibri" w:cs="Calibri"/>
          <w:b/>
          <w:caps/>
          <w:spacing w:val="-3"/>
          <w:sz w:val="22"/>
          <w:szCs w:val="22"/>
          <w:lang w:val="en-GB" w:eastAsia="hr-HR"/>
        </w:rPr>
        <w:br w:type="page"/>
      </w:r>
    </w:p>
    <w:p w14:paraId="693E0666" w14:textId="77777777" w:rsidR="007A6404" w:rsidRPr="007A6404" w:rsidRDefault="007A6404" w:rsidP="000B677E">
      <w:pPr>
        <w:autoSpaceDN/>
        <w:rPr>
          <w:rFonts w:ascii="Calibri" w:eastAsia="SimSun" w:hAnsi="Calibri" w:cs="Calibri"/>
          <w:b/>
          <w:sz w:val="22"/>
          <w:szCs w:val="22"/>
          <w:lang w:val="en-GB"/>
        </w:rPr>
      </w:pPr>
      <w:r w:rsidRPr="007A6404">
        <w:rPr>
          <w:rFonts w:ascii="Calibri" w:eastAsia="SimSun" w:hAnsi="Calibri" w:cs="Calibri"/>
          <w:b/>
          <w:sz w:val="22"/>
          <w:szCs w:val="22"/>
          <w:lang w:val="en-GB"/>
        </w:rPr>
        <w:lastRenderedPageBreak/>
        <w:t>Results of the Group</w:t>
      </w:r>
    </w:p>
    <w:p w14:paraId="0B886667" w14:textId="77777777" w:rsidR="007A6404" w:rsidRPr="007A6404" w:rsidRDefault="007A6404" w:rsidP="000B677E">
      <w:pPr>
        <w:autoSpaceDN/>
        <w:rPr>
          <w:rFonts w:ascii="Calibri" w:eastAsia="SimSun" w:hAnsi="Calibri" w:cs="Calibri"/>
          <w:b/>
          <w:sz w:val="22"/>
          <w:szCs w:val="22"/>
          <w:lang w:val="en-GB"/>
        </w:rPr>
      </w:pPr>
    </w:p>
    <w:p w14:paraId="0ACD2DC0" w14:textId="77777777" w:rsidR="007A6404" w:rsidRPr="007A6404" w:rsidRDefault="007A6404" w:rsidP="000B677E">
      <w:pPr>
        <w:autoSpaceDN/>
        <w:jc w:val="both"/>
        <w:rPr>
          <w:rFonts w:asciiTheme="minorHAnsi" w:eastAsia="SimSun" w:hAnsiTheme="minorHAnsi" w:cstheme="minorHAnsi"/>
          <w:sz w:val="22"/>
          <w:szCs w:val="22"/>
          <w:lang w:val="en-GB"/>
        </w:rPr>
      </w:pPr>
      <w:r w:rsidRPr="007A6404">
        <w:rPr>
          <w:rFonts w:asciiTheme="minorHAnsi" w:eastAsia="SimSun" w:hAnsiTheme="minorHAnsi" w:cstheme="minorHAnsi"/>
          <w:sz w:val="22"/>
          <w:szCs w:val="22"/>
          <w:lang w:val="en-GB"/>
        </w:rPr>
        <w:t xml:space="preserve">In 2022, the HBOR Group generated profit after tax in the amount of HRK 189.46 million. </w:t>
      </w:r>
      <w:r w:rsidRPr="007A6404">
        <w:rPr>
          <w:rFonts w:asciiTheme="minorHAnsi" w:hAnsiTheme="minorHAnsi" w:cstheme="minorHAnsi"/>
          <w:sz w:val="22"/>
          <w:szCs w:val="22"/>
          <w:lang w:val="en-GB"/>
        </w:rPr>
        <w:t xml:space="preserve">The recorded profit is by </w:t>
      </w:r>
      <w:r w:rsidRPr="007A6404">
        <w:rPr>
          <w:rFonts w:asciiTheme="minorHAnsi" w:eastAsia="SimSun" w:hAnsiTheme="minorHAnsi" w:cstheme="minorHAnsi"/>
          <w:sz w:val="22"/>
          <w:szCs w:val="22"/>
          <w:lang w:val="en-GB"/>
        </w:rPr>
        <w:t xml:space="preserve">0.67 percent higher as </w:t>
      </w:r>
      <w:r w:rsidRPr="007A6404">
        <w:rPr>
          <w:rFonts w:asciiTheme="minorHAnsi" w:hAnsiTheme="minorHAnsi" w:cstheme="minorHAnsi"/>
          <w:sz w:val="22"/>
          <w:szCs w:val="22"/>
          <w:lang w:val="en-GB"/>
        </w:rPr>
        <w:t>compared to the previous year, and the reasons are stated in the description of HBOR’s financial performance</w:t>
      </w:r>
      <w:r w:rsidRPr="007A6404">
        <w:rPr>
          <w:rFonts w:asciiTheme="minorHAnsi" w:eastAsia="SimSun" w:hAnsiTheme="minorHAnsi" w:cstheme="minorHAnsi"/>
          <w:sz w:val="22"/>
          <w:szCs w:val="22"/>
          <w:lang w:val="en-GB"/>
        </w:rPr>
        <w:t>.</w:t>
      </w:r>
    </w:p>
    <w:p w14:paraId="7C60D84B" w14:textId="77777777" w:rsidR="007A6404" w:rsidRPr="007A6404" w:rsidRDefault="007A6404" w:rsidP="000B677E">
      <w:pPr>
        <w:autoSpaceDN/>
        <w:jc w:val="both"/>
        <w:rPr>
          <w:rFonts w:asciiTheme="minorHAnsi" w:eastAsia="SimSun" w:hAnsiTheme="minorHAnsi" w:cstheme="minorHAnsi"/>
          <w:sz w:val="22"/>
          <w:szCs w:val="22"/>
          <w:lang w:val="en-GB"/>
        </w:rPr>
      </w:pPr>
    </w:p>
    <w:p w14:paraId="2A56A245" w14:textId="77777777" w:rsidR="007A6404" w:rsidRPr="007A6404" w:rsidRDefault="007A6404" w:rsidP="000B677E">
      <w:pPr>
        <w:autoSpaceDN/>
        <w:jc w:val="both"/>
        <w:rPr>
          <w:rFonts w:asciiTheme="minorHAnsi" w:eastAsia="SimSun" w:hAnsiTheme="minorHAnsi" w:cstheme="minorHAnsi"/>
          <w:sz w:val="22"/>
          <w:szCs w:val="22"/>
          <w:lang w:val="en-GB"/>
        </w:rPr>
      </w:pPr>
      <w:r w:rsidRPr="007A6404">
        <w:rPr>
          <w:rFonts w:asciiTheme="minorHAnsi" w:hAnsiTheme="minorHAnsi" w:cstheme="minorHAnsi"/>
          <w:sz w:val="22"/>
          <w:szCs w:val="22"/>
          <w:lang w:val="en-GB"/>
        </w:rPr>
        <w:t>Pursuant to the provisions of the Act on HBOR, the parent company is exempt from income tax and income tax liabilities arise exclusively from the activities of the other members of the Group</w:t>
      </w:r>
      <w:r w:rsidRPr="007A6404">
        <w:rPr>
          <w:rFonts w:asciiTheme="minorHAnsi" w:eastAsia="SimSun" w:hAnsiTheme="minorHAnsi" w:cstheme="minorHAnsi"/>
          <w:sz w:val="22"/>
          <w:szCs w:val="22"/>
          <w:lang w:val="en-GB"/>
        </w:rPr>
        <w:t>.</w:t>
      </w:r>
    </w:p>
    <w:p w14:paraId="589BEFA1" w14:textId="77777777" w:rsidR="007A6404" w:rsidRPr="007A6404" w:rsidRDefault="007A6404" w:rsidP="000B677E">
      <w:pPr>
        <w:autoSpaceDN/>
        <w:jc w:val="both"/>
        <w:rPr>
          <w:rFonts w:asciiTheme="minorHAnsi" w:eastAsia="SimSun" w:hAnsiTheme="minorHAnsi" w:cstheme="minorHAnsi"/>
          <w:sz w:val="22"/>
          <w:szCs w:val="22"/>
          <w:lang w:val="en-GB"/>
        </w:rPr>
      </w:pPr>
    </w:p>
    <w:p w14:paraId="7144E706" w14:textId="77777777" w:rsidR="007A6404" w:rsidRPr="007A6404" w:rsidRDefault="007A6404" w:rsidP="000B677E">
      <w:pPr>
        <w:autoSpaceDN/>
        <w:jc w:val="both"/>
        <w:rPr>
          <w:rFonts w:asciiTheme="minorHAnsi" w:eastAsia="SimSun" w:hAnsiTheme="minorHAnsi" w:cstheme="minorHAnsi"/>
          <w:sz w:val="22"/>
          <w:szCs w:val="22"/>
          <w:lang w:val="en-GB"/>
        </w:rPr>
      </w:pPr>
      <w:r w:rsidRPr="007A6404">
        <w:rPr>
          <w:rFonts w:asciiTheme="minorHAnsi" w:eastAsia="SimSun" w:hAnsiTheme="minorHAnsi" w:cstheme="minorHAnsi"/>
          <w:sz w:val="22"/>
          <w:szCs w:val="22"/>
          <w:lang w:val="en-GB"/>
        </w:rPr>
        <w:t xml:space="preserve">In 2022, </w:t>
      </w:r>
      <w:r w:rsidRPr="007A6404">
        <w:rPr>
          <w:rFonts w:asciiTheme="minorHAnsi" w:hAnsiTheme="minorHAnsi" w:cstheme="minorHAnsi"/>
          <w:sz w:val="22"/>
          <w:szCs w:val="22"/>
          <w:lang w:val="en-GB"/>
        </w:rPr>
        <w:t xml:space="preserve">total income on consolidated basis amounted to HRK </w:t>
      </w:r>
      <w:r w:rsidRPr="007A6404">
        <w:rPr>
          <w:rFonts w:asciiTheme="minorHAnsi" w:eastAsia="SimSun" w:hAnsiTheme="minorHAnsi" w:cstheme="minorHAnsi"/>
          <w:sz w:val="22"/>
          <w:szCs w:val="22"/>
          <w:lang w:val="en-GB"/>
        </w:rPr>
        <w:t xml:space="preserve">698.30 million, </w:t>
      </w:r>
      <w:r w:rsidRPr="007A6404">
        <w:rPr>
          <w:rFonts w:asciiTheme="minorHAnsi" w:hAnsiTheme="minorHAnsi" w:cstheme="minorHAnsi"/>
          <w:sz w:val="22"/>
          <w:szCs w:val="22"/>
          <w:lang w:val="en-GB"/>
        </w:rPr>
        <w:t xml:space="preserve">whereas total expenses amounted to HRK </w:t>
      </w:r>
      <w:r w:rsidRPr="007A6404">
        <w:rPr>
          <w:rFonts w:asciiTheme="minorHAnsi" w:eastAsia="SimSun" w:hAnsiTheme="minorHAnsi" w:cstheme="minorHAnsi"/>
          <w:sz w:val="22"/>
          <w:szCs w:val="22"/>
          <w:lang w:val="en-GB"/>
        </w:rPr>
        <w:t>508.84 million.</w:t>
      </w:r>
    </w:p>
    <w:p w14:paraId="7B5FD4D3" w14:textId="77777777" w:rsidR="007A6404" w:rsidRPr="007A6404" w:rsidRDefault="007A6404" w:rsidP="000B677E">
      <w:pPr>
        <w:autoSpaceDN/>
        <w:jc w:val="both"/>
        <w:rPr>
          <w:rFonts w:asciiTheme="minorHAnsi" w:eastAsia="SimSun" w:hAnsiTheme="minorHAnsi" w:cstheme="minorHAnsi"/>
          <w:sz w:val="22"/>
          <w:szCs w:val="22"/>
          <w:lang w:val="en-GB"/>
        </w:rPr>
      </w:pPr>
    </w:p>
    <w:p w14:paraId="2674A867" w14:textId="77777777" w:rsidR="007A6404" w:rsidRPr="007A6404" w:rsidRDefault="007A6404" w:rsidP="000B677E">
      <w:pPr>
        <w:autoSpaceDN/>
        <w:jc w:val="both"/>
        <w:rPr>
          <w:rFonts w:asciiTheme="minorHAnsi" w:eastAsia="SimSun" w:hAnsiTheme="minorHAnsi" w:cstheme="minorHAnsi"/>
          <w:sz w:val="22"/>
          <w:szCs w:val="22"/>
          <w:lang w:val="en-GB"/>
        </w:rPr>
      </w:pPr>
      <w:r w:rsidRPr="007A6404">
        <w:rPr>
          <w:rFonts w:asciiTheme="minorHAnsi" w:hAnsiTheme="minorHAnsi" w:cstheme="minorHAnsi"/>
          <w:sz w:val="22"/>
          <w:szCs w:val="22"/>
          <w:lang w:val="en-GB"/>
        </w:rPr>
        <w:t xml:space="preserve">In the structure of income of the HBOR Group, the largest portion, </w:t>
      </w:r>
      <w:proofErr w:type="gramStart"/>
      <w:r w:rsidRPr="007A6404">
        <w:rPr>
          <w:rFonts w:asciiTheme="minorHAnsi" w:hAnsiTheme="minorHAnsi" w:cstheme="minorHAnsi"/>
          <w:sz w:val="22"/>
          <w:szCs w:val="22"/>
          <w:lang w:val="en-GB"/>
        </w:rPr>
        <w:t>i.e.</w:t>
      </w:r>
      <w:proofErr w:type="gramEnd"/>
      <w:r w:rsidRPr="007A6404">
        <w:rPr>
          <w:rFonts w:asciiTheme="minorHAnsi" w:hAnsiTheme="minorHAnsi" w:cstheme="minorHAnsi"/>
          <w:sz w:val="22"/>
          <w:szCs w:val="22"/>
          <w:lang w:val="en-GB"/>
        </w:rPr>
        <w:t xml:space="preserve"> </w:t>
      </w:r>
      <w:r w:rsidRPr="007A6404">
        <w:rPr>
          <w:rFonts w:asciiTheme="minorHAnsi" w:eastAsia="SimSun" w:hAnsiTheme="minorHAnsi" w:cstheme="minorHAnsi"/>
          <w:sz w:val="22"/>
          <w:szCs w:val="22"/>
          <w:lang w:val="en-GB"/>
        </w:rPr>
        <w:t xml:space="preserve">90.10 percent, </w:t>
      </w:r>
      <w:r w:rsidRPr="007A6404">
        <w:rPr>
          <w:rFonts w:asciiTheme="minorHAnsi" w:hAnsiTheme="minorHAnsi" w:cstheme="minorHAnsi"/>
          <w:sz w:val="22"/>
          <w:szCs w:val="22"/>
          <w:lang w:val="en-GB"/>
        </w:rPr>
        <w:t>relates to interest income as a result of operation of the parent company</w:t>
      </w:r>
      <w:r w:rsidRPr="007A6404">
        <w:rPr>
          <w:rFonts w:asciiTheme="minorHAnsi" w:eastAsia="SimSun" w:hAnsiTheme="minorHAnsi" w:cstheme="minorHAnsi"/>
          <w:sz w:val="22"/>
          <w:szCs w:val="22"/>
          <w:lang w:val="en-GB"/>
        </w:rPr>
        <w:t>.</w:t>
      </w:r>
    </w:p>
    <w:p w14:paraId="646D33BC" w14:textId="77777777" w:rsidR="007A6404" w:rsidRPr="007A6404" w:rsidRDefault="007A6404" w:rsidP="000B677E">
      <w:pPr>
        <w:autoSpaceDN/>
        <w:jc w:val="both"/>
        <w:rPr>
          <w:rFonts w:asciiTheme="minorHAnsi" w:eastAsia="SimSun" w:hAnsiTheme="minorHAnsi" w:cstheme="minorHAnsi"/>
          <w:sz w:val="22"/>
          <w:szCs w:val="22"/>
          <w:lang w:val="en-GB"/>
        </w:rPr>
      </w:pPr>
    </w:p>
    <w:p w14:paraId="4C66959A" w14:textId="77777777" w:rsidR="007A6404" w:rsidRPr="007A6404" w:rsidRDefault="007A6404" w:rsidP="000B677E">
      <w:pPr>
        <w:autoSpaceDN/>
        <w:jc w:val="both"/>
        <w:rPr>
          <w:rFonts w:asciiTheme="minorHAnsi" w:eastAsia="SimSun" w:hAnsiTheme="minorHAnsi" w:cstheme="minorHAnsi"/>
          <w:sz w:val="22"/>
          <w:szCs w:val="22"/>
          <w:lang w:val="en-GB"/>
        </w:rPr>
      </w:pPr>
      <w:proofErr w:type="gramStart"/>
      <w:r w:rsidRPr="007A6404">
        <w:rPr>
          <w:rFonts w:asciiTheme="minorHAnsi" w:hAnsiTheme="minorHAnsi" w:cstheme="minorHAnsi"/>
          <w:sz w:val="22"/>
          <w:szCs w:val="22"/>
          <w:lang w:val="en-GB"/>
        </w:rPr>
        <w:t>The</w:t>
      </w:r>
      <w:proofErr w:type="gramEnd"/>
      <w:r w:rsidRPr="007A6404">
        <w:rPr>
          <w:rFonts w:asciiTheme="minorHAnsi" w:hAnsiTheme="minorHAnsi" w:cstheme="minorHAnsi"/>
          <w:sz w:val="22"/>
          <w:szCs w:val="22"/>
          <w:lang w:val="en-GB"/>
        </w:rPr>
        <w:t xml:space="preserve"> major part of total expenses relates to operating expenses of </w:t>
      </w:r>
      <w:r w:rsidRPr="007A6404">
        <w:rPr>
          <w:rFonts w:asciiTheme="minorHAnsi" w:eastAsia="SimSun" w:hAnsiTheme="minorHAnsi" w:cstheme="minorHAnsi"/>
          <w:sz w:val="22"/>
          <w:szCs w:val="22"/>
          <w:lang w:val="en-GB"/>
        </w:rPr>
        <w:t xml:space="preserve">39.61 percent and </w:t>
      </w:r>
      <w:r w:rsidRPr="007A6404">
        <w:rPr>
          <w:rFonts w:asciiTheme="minorHAnsi" w:hAnsiTheme="minorHAnsi" w:cstheme="minorHAnsi"/>
          <w:sz w:val="22"/>
          <w:szCs w:val="22"/>
          <w:lang w:val="en-GB"/>
        </w:rPr>
        <w:t>interest expenses of</w:t>
      </w:r>
      <w:r w:rsidRPr="007A6404">
        <w:rPr>
          <w:rFonts w:asciiTheme="minorHAnsi" w:eastAsia="SimSun" w:hAnsiTheme="minorHAnsi" w:cstheme="minorHAnsi"/>
          <w:sz w:val="22"/>
          <w:szCs w:val="22"/>
          <w:lang w:val="en-GB"/>
        </w:rPr>
        <w:t xml:space="preserve"> 31.13 percent as a result of operation of the parent company.</w:t>
      </w:r>
    </w:p>
    <w:p w14:paraId="16861AC7" w14:textId="77777777" w:rsidR="007A6404" w:rsidRPr="007A6404" w:rsidRDefault="007A6404" w:rsidP="000B677E">
      <w:pPr>
        <w:autoSpaceDN/>
        <w:jc w:val="both"/>
        <w:rPr>
          <w:rFonts w:asciiTheme="minorHAnsi" w:eastAsia="SimSun" w:hAnsiTheme="minorHAnsi" w:cstheme="minorHAnsi"/>
          <w:sz w:val="22"/>
          <w:szCs w:val="22"/>
          <w:lang w:val="en-GB"/>
        </w:rPr>
      </w:pPr>
    </w:p>
    <w:p w14:paraId="31BDF200" w14:textId="77777777" w:rsidR="007A6404" w:rsidRPr="007A6404" w:rsidRDefault="007A6404" w:rsidP="000B677E">
      <w:pPr>
        <w:autoSpaceDN/>
        <w:jc w:val="both"/>
        <w:rPr>
          <w:rFonts w:asciiTheme="minorHAnsi" w:eastAsia="SimSun" w:hAnsiTheme="minorHAnsi" w:cstheme="minorHAnsi"/>
          <w:sz w:val="22"/>
          <w:szCs w:val="22"/>
          <w:lang w:val="en-GB"/>
        </w:rPr>
      </w:pPr>
      <w:r w:rsidRPr="007A6404">
        <w:rPr>
          <w:rFonts w:asciiTheme="minorHAnsi" w:hAnsiTheme="minorHAnsi" w:cstheme="minorHAnsi"/>
          <w:sz w:val="22"/>
          <w:szCs w:val="22"/>
          <w:lang w:val="en-GB"/>
        </w:rPr>
        <w:t xml:space="preserve">The consolidated operating expenses in </w:t>
      </w:r>
      <w:r w:rsidRPr="007A6404">
        <w:rPr>
          <w:rFonts w:asciiTheme="minorHAnsi" w:eastAsia="SimSun" w:hAnsiTheme="minorHAnsi" w:cstheme="minorHAnsi"/>
          <w:sz w:val="22"/>
          <w:szCs w:val="22"/>
          <w:lang w:val="en-GB"/>
        </w:rPr>
        <w:t xml:space="preserve">2022 amounted to HRK 201.57 million and consisted of </w:t>
      </w:r>
      <w:r w:rsidRPr="007A6404">
        <w:rPr>
          <w:rFonts w:asciiTheme="minorHAnsi" w:hAnsiTheme="minorHAnsi" w:cstheme="minorHAnsi"/>
          <w:sz w:val="22"/>
          <w:szCs w:val="22"/>
          <w:lang w:val="en-GB"/>
        </w:rPr>
        <w:t>general and administrative expenses and other operating expenses</w:t>
      </w:r>
      <w:r w:rsidRPr="007A6404">
        <w:rPr>
          <w:rFonts w:asciiTheme="minorHAnsi" w:eastAsia="SimSun" w:hAnsiTheme="minorHAnsi" w:cstheme="minorHAnsi"/>
          <w:sz w:val="22"/>
          <w:szCs w:val="22"/>
          <w:lang w:val="en-GB"/>
        </w:rPr>
        <w:t>.</w:t>
      </w:r>
    </w:p>
    <w:p w14:paraId="5EF9BC32" w14:textId="77777777" w:rsidR="007A6404" w:rsidRPr="007A6404" w:rsidRDefault="007A6404" w:rsidP="000B677E">
      <w:pPr>
        <w:autoSpaceDN/>
        <w:jc w:val="both"/>
        <w:rPr>
          <w:rFonts w:asciiTheme="minorHAnsi" w:eastAsia="SimSun" w:hAnsiTheme="minorHAnsi" w:cstheme="minorHAnsi"/>
          <w:sz w:val="22"/>
          <w:szCs w:val="22"/>
          <w:lang w:val="en-GB"/>
        </w:rPr>
      </w:pPr>
    </w:p>
    <w:p w14:paraId="2DB5ADF8" w14:textId="77777777" w:rsidR="007A6404" w:rsidRPr="007A6404" w:rsidRDefault="007A6404" w:rsidP="000B677E">
      <w:pPr>
        <w:autoSpaceDN/>
        <w:jc w:val="both"/>
        <w:rPr>
          <w:rFonts w:asciiTheme="minorHAnsi" w:eastAsia="SimSun" w:hAnsiTheme="minorHAnsi" w:cstheme="minorHAnsi"/>
          <w:sz w:val="22"/>
          <w:szCs w:val="22"/>
          <w:lang w:val="en-GB"/>
        </w:rPr>
      </w:pPr>
      <w:r w:rsidRPr="007A6404">
        <w:rPr>
          <w:rFonts w:asciiTheme="minorHAnsi" w:eastAsia="SimSun" w:hAnsiTheme="minorHAnsi" w:cstheme="minorHAnsi"/>
          <w:sz w:val="22"/>
          <w:szCs w:val="22"/>
          <w:lang w:val="en-GB"/>
        </w:rPr>
        <w:t xml:space="preserve">There were 402 employees in the Group on 31 December 2022, </w:t>
      </w:r>
      <w:r w:rsidRPr="007A6404">
        <w:rPr>
          <w:rFonts w:asciiTheme="minorHAnsi" w:hAnsiTheme="minorHAnsi" w:cstheme="minorHAnsi"/>
          <w:sz w:val="22"/>
          <w:szCs w:val="22"/>
          <w:lang w:val="en-GB"/>
        </w:rPr>
        <w:t>whereas there had been 394 employees in the Group at the end of 2021</w:t>
      </w:r>
      <w:r w:rsidRPr="007A6404">
        <w:rPr>
          <w:rFonts w:asciiTheme="minorHAnsi" w:eastAsia="SimSun" w:hAnsiTheme="minorHAnsi" w:cstheme="minorHAnsi"/>
          <w:sz w:val="22"/>
          <w:szCs w:val="22"/>
          <w:lang w:val="en-GB"/>
        </w:rPr>
        <w:t>.</w:t>
      </w:r>
    </w:p>
    <w:p w14:paraId="2DDFDAD6" w14:textId="77777777" w:rsidR="007A6404" w:rsidRPr="007A6404" w:rsidRDefault="007A6404" w:rsidP="000B677E">
      <w:pPr>
        <w:autoSpaceDN/>
        <w:jc w:val="both"/>
        <w:rPr>
          <w:rFonts w:asciiTheme="minorHAnsi" w:eastAsia="SimSun" w:hAnsiTheme="minorHAnsi" w:cstheme="minorHAnsi"/>
          <w:sz w:val="22"/>
          <w:szCs w:val="22"/>
          <w:lang w:val="en-GB"/>
        </w:rPr>
      </w:pPr>
    </w:p>
    <w:p w14:paraId="7FDB121D" w14:textId="77777777" w:rsidR="007A6404" w:rsidRPr="007A6404" w:rsidRDefault="007A6404" w:rsidP="000B677E">
      <w:pPr>
        <w:autoSpaceDN/>
        <w:rPr>
          <w:rFonts w:asciiTheme="minorHAnsi" w:hAnsiTheme="minorHAnsi" w:cstheme="minorHAnsi"/>
          <w:b/>
          <w:sz w:val="22"/>
          <w:szCs w:val="22"/>
          <w:lang w:val="en-GB"/>
        </w:rPr>
      </w:pPr>
      <w:r w:rsidRPr="007A6404">
        <w:rPr>
          <w:rFonts w:asciiTheme="minorHAnsi" w:hAnsiTheme="minorHAnsi" w:cstheme="minorHAnsi"/>
          <w:b/>
          <w:sz w:val="22"/>
          <w:szCs w:val="22"/>
          <w:lang w:val="en-GB"/>
        </w:rPr>
        <w:t>Assets and liabilities of the Group</w:t>
      </w:r>
    </w:p>
    <w:p w14:paraId="1252E297" w14:textId="77777777" w:rsidR="007A6404" w:rsidRPr="007A6404" w:rsidRDefault="007A6404" w:rsidP="000B677E">
      <w:pPr>
        <w:autoSpaceDN/>
        <w:jc w:val="both"/>
        <w:rPr>
          <w:rFonts w:asciiTheme="minorHAnsi" w:eastAsia="SimSun" w:hAnsiTheme="minorHAnsi" w:cstheme="minorHAnsi"/>
          <w:sz w:val="22"/>
          <w:szCs w:val="22"/>
          <w:lang w:val="en-GB"/>
        </w:rPr>
      </w:pPr>
    </w:p>
    <w:p w14:paraId="10CB7EAB" w14:textId="77777777" w:rsidR="007A6404" w:rsidRPr="007A6404" w:rsidRDefault="007A6404" w:rsidP="000B677E">
      <w:pPr>
        <w:autoSpaceDN/>
        <w:jc w:val="both"/>
        <w:rPr>
          <w:rFonts w:asciiTheme="minorHAnsi" w:eastAsia="SimSun" w:hAnsiTheme="minorHAnsi" w:cstheme="minorHAnsi"/>
          <w:sz w:val="22"/>
          <w:szCs w:val="22"/>
          <w:lang w:val="en-GB"/>
        </w:rPr>
      </w:pPr>
      <w:r w:rsidRPr="007A6404">
        <w:rPr>
          <w:rFonts w:asciiTheme="minorHAnsi" w:hAnsiTheme="minorHAnsi" w:cstheme="minorHAnsi"/>
          <w:sz w:val="22"/>
          <w:szCs w:val="22"/>
          <w:lang w:val="en-GB"/>
        </w:rPr>
        <w:t xml:space="preserve">Total assets of the Group on consolidated basis amount to HRK </w:t>
      </w:r>
      <w:r w:rsidRPr="007A6404">
        <w:rPr>
          <w:rFonts w:asciiTheme="minorHAnsi" w:eastAsia="SimSun" w:hAnsiTheme="minorHAnsi" w:cstheme="minorHAnsi"/>
          <w:sz w:val="22"/>
          <w:szCs w:val="22"/>
          <w:lang w:val="en-GB"/>
        </w:rPr>
        <w:t xml:space="preserve">29,060.16 million, an increase of 2.76 percent compared </w:t>
      </w:r>
      <w:r w:rsidRPr="007A6404">
        <w:rPr>
          <w:rFonts w:asciiTheme="minorHAnsi" w:hAnsiTheme="minorHAnsi" w:cstheme="minorHAnsi"/>
          <w:sz w:val="22"/>
          <w:szCs w:val="22"/>
          <w:lang w:val="en-GB"/>
        </w:rPr>
        <w:t>with the beginning of the year</w:t>
      </w:r>
      <w:r w:rsidRPr="007A6404">
        <w:rPr>
          <w:rFonts w:asciiTheme="minorHAnsi" w:eastAsia="SimSun" w:hAnsiTheme="minorHAnsi" w:cstheme="minorHAnsi"/>
          <w:sz w:val="22"/>
          <w:szCs w:val="22"/>
          <w:lang w:val="en-GB"/>
        </w:rPr>
        <w:t xml:space="preserve">. </w:t>
      </w:r>
      <w:r w:rsidRPr="007A6404">
        <w:rPr>
          <w:rFonts w:asciiTheme="minorHAnsi" w:hAnsiTheme="minorHAnsi" w:cstheme="minorHAnsi"/>
          <w:sz w:val="22"/>
          <w:szCs w:val="22"/>
          <w:lang w:val="en-GB"/>
        </w:rPr>
        <w:t>The reasons for such tendency are given in the description of financial operations of HBOR</w:t>
      </w:r>
      <w:r w:rsidRPr="007A6404">
        <w:rPr>
          <w:rFonts w:asciiTheme="minorHAnsi" w:eastAsia="SimSun" w:hAnsiTheme="minorHAnsi" w:cstheme="minorHAnsi"/>
          <w:sz w:val="22"/>
          <w:szCs w:val="22"/>
          <w:lang w:val="en-GB"/>
        </w:rPr>
        <w:t>.</w:t>
      </w:r>
    </w:p>
    <w:p w14:paraId="69C7285B" w14:textId="77777777" w:rsidR="007A6404" w:rsidRPr="007A6404" w:rsidRDefault="007A6404" w:rsidP="000B677E">
      <w:pPr>
        <w:autoSpaceDN/>
        <w:jc w:val="both"/>
        <w:rPr>
          <w:rFonts w:asciiTheme="minorHAnsi" w:eastAsia="SimSun" w:hAnsiTheme="minorHAnsi" w:cstheme="minorHAnsi"/>
          <w:sz w:val="22"/>
          <w:szCs w:val="22"/>
          <w:lang w:val="en-GB"/>
        </w:rPr>
      </w:pPr>
    </w:p>
    <w:p w14:paraId="18641AC8" w14:textId="77777777" w:rsidR="007A6404" w:rsidRPr="007A6404" w:rsidRDefault="007A6404" w:rsidP="000B677E">
      <w:pPr>
        <w:autoSpaceDN/>
        <w:jc w:val="both"/>
        <w:rPr>
          <w:rFonts w:asciiTheme="minorHAnsi" w:eastAsia="SimSun" w:hAnsiTheme="minorHAnsi" w:cstheme="minorHAnsi"/>
          <w:sz w:val="22"/>
          <w:szCs w:val="22"/>
          <w:lang w:val="en-GB"/>
        </w:rPr>
      </w:pPr>
      <w:r w:rsidRPr="007A6404">
        <w:rPr>
          <w:rFonts w:asciiTheme="minorHAnsi" w:hAnsiTheme="minorHAnsi" w:cstheme="minorHAnsi"/>
          <w:sz w:val="22"/>
          <w:szCs w:val="22"/>
          <w:lang w:val="en-GB"/>
        </w:rPr>
        <w:t xml:space="preserve">In the structure of assets, the major portion relates to the lending activities of the parent company, </w:t>
      </w:r>
      <w:proofErr w:type="gramStart"/>
      <w:r w:rsidRPr="007A6404">
        <w:rPr>
          <w:rFonts w:asciiTheme="minorHAnsi" w:hAnsiTheme="minorHAnsi" w:cstheme="minorHAnsi"/>
          <w:sz w:val="22"/>
          <w:szCs w:val="22"/>
          <w:lang w:val="en-GB"/>
        </w:rPr>
        <w:t>i.e.</w:t>
      </w:r>
      <w:proofErr w:type="gramEnd"/>
      <w:r w:rsidRPr="007A6404">
        <w:rPr>
          <w:rFonts w:asciiTheme="minorHAnsi" w:hAnsiTheme="minorHAnsi" w:cstheme="minorHAnsi"/>
          <w:sz w:val="22"/>
          <w:szCs w:val="22"/>
          <w:lang w:val="en-GB"/>
        </w:rPr>
        <w:t xml:space="preserve"> net loans account for </w:t>
      </w:r>
      <w:r w:rsidRPr="007A6404">
        <w:rPr>
          <w:rFonts w:asciiTheme="minorHAnsi" w:eastAsia="SimSun" w:hAnsiTheme="minorHAnsi" w:cstheme="minorHAnsi"/>
          <w:sz w:val="22"/>
          <w:szCs w:val="22"/>
          <w:lang w:val="en-GB"/>
        </w:rPr>
        <w:t>83.92 percent of total assets.</w:t>
      </w:r>
    </w:p>
    <w:p w14:paraId="53641776" w14:textId="77777777" w:rsidR="007A6404" w:rsidRPr="007A6404" w:rsidRDefault="007A6404" w:rsidP="000B677E">
      <w:pPr>
        <w:autoSpaceDN/>
        <w:jc w:val="both"/>
        <w:rPr>
          <w:rFonts w:asciiTheme="minorHAnsi" w:hAnsiTheme="minorHAnsi" w:cstheme="minorHAnsi"/>
          <w:spacing w:val="-3"/>
          <w:sz w:val="22"/>
          <w:szCs w:val="22"/>
          <w:lang w:val="en-GB" w:eastAsia="hr-HR"/>
        </w:rPr>
      </w:pPr>
    </w:p>
    <w:p w14:paraId="41E4FB89" w14:textId="77777777" w:rsidR="007A6404" w:rsidRPr="007A6404" w:rsidRDefault="007A6404" w:rsidP="000B677E">
      <w:pPr>
        <w:autoSpaceDN/>
        <w:jc w:val="both"/>
        <w:rPr>
          <w:rFonts w:asciiTheme="minorHAnsi" w:eastAsia="SimSun" w:hAnsiTheme="minorHAnsi" w:cstheme="minorHAnsi"/>
          <w:sz w:val="22"/>
          <w:szCs w:val="22"/>
          <w:lang w:val="en-GB"/>
        </w:rPr>
      </w:pPr>
      <w:r w:rsidRPr="007A6404">
        <w:rPr>
          <w:rFonts w:asciiTheme="minorHAnsi" w:hAnsiTheme="minorHAnsi" w:cstheme="minorHAnsi"/>
          <w:sz w:val="22"/>
          <w:szCs w:val="22"/>
          <w:lang w:val="en-GB"/>
        </w:rPr>
        <w:t xml:space="preserve">Total liabilities and total equity as </w:t>
      </w:r>
      <w:proofErr w:type="gramStart"/>
      <w:r w:rsidRPr="007A6404">
        <w:rPr>
          <w:rFonts w:asciiTheme="minorHAnsi" w:hAnsiTheme="minorHAnsi" w:cstheme="minorHAnsi"/>
          <w:sz w:val="22"/>
          <w:szCs w:val="22"/>
          <w:lang w:val="en-GB"/>
        </w:rPr>
        <w:t>at</w:t>
      </w:r>
      <w:proofErr w:type="gramEnd"/>
      <w:r w:rsidRPr="007A6404">
        <w:rPr>
          <w:rFonts w:asciiTheme="minorHAnsi" w:hAnsiTheme="minorHAnsi" w:cstheme="minorHAnsi"/>
          <w:sz w:val="22"/>
          <w:szCs w:val="22"/>
          <w:lang w:val="en-GB"/>
        </w:rPr>
        <w:t xml:space="preserve"> 31 December </w:t>
      </w:r>
      <w:r w:rsidRPr="007A6404">
        <w:rPr>
          <w:rFonts w:asciiTheme="minorHAnsi" w:hAnsiTheme="minorHAnsi" w:cstheme="minorHAnsi"/>
          <w:spacing w:val="-3"/>
          <w:sz w:val="22"/>
          <w:szCs w:val="22"/>
          <w:lang w:val="en-GB" w:eastAsia="hr-HR"/>
        </w:rPr>
        <w:t xml:space="preserve">2022 amount to HRK 29,060.16 million and, out of this amount, </w:t>
      </w:r>
      <w:r w:rsidRPr="007A6404">
        <w:rPr>
          <w:rFonts w:asciiTheme="minorHAnsi" w:hAnsiTheme="minorHAnsi" w:cstheme="minorHAnsi"/>
          <w:sz w:val="22"/>
          <w:szCs w:val="22"/>
          <w:lang w:val="en-GB"/>
        </w:rPr>
        <w:t xml:space="preserve">total liabilities amount to HRK </w:t>
      </w:r>
      <w:r w:rsidRPr="007A6404">
        <w:rPr>
          <w:rFonts w:asciiTheme="minorHAnsi" w:hAnsiTheme="minorHAnsi" w:cstheme="minorHAnsi"/>
          <w:spacing w:val="-3"/>
          <w:sz w:val="22"/>
          <w:szCs w:val="22"/>
          <w:lang w:val="en-GB" w:eastAsia="hr-HR"/>
        </w:rPr>
        <w:t>18,345.13</w:t>
      </w:r>
      <w:r w:rsidRPr="007A6404">
        <w:rPr>
          <w:rFonts w:asciiTheme="minorHAnsi" w:hAnsiTheme="minorHAnsi" w:cstheme="minorHAnsi"/>
          <w:bCs/>
          <w:sz w:val="22"/>
          <w:szCs w:val="22"/>
          <w:lang w:val="en-GB" w:eastAsia="hr-HR"/>
        </w:rPr>
        <w:t xml:space="preserve"> </w:t>
      </w:r>
      <w:r w:rsidRPr="007A6404">
        <w:rPr>
          <w:rFonts w:asciiTheme="minorHAnsi" w:hAnsiTheme="minorHAnsi" w:cstheme="minorHAnsi"/>
          <w:spacing w:val="-3"/>
          <w:sz w:val="22"/>
          <w:szCs w:val="22"/>
          <w:lang w:val="en-GB" w:eastAsia="hr-HR"/>
        </w:rPr>
        <w:t>million, i.e. 63.13 percent.</w:t>
      </w:r>
    </w:p>
    <w:p w14:paraId="08927F4E" w14:textId="77777777" w:rsidR="007A6404" w:rsidRPr="007A6404" w:rsidRDefault="007A6404" w:rsidP="000B677E">
      <w:pPr>
        <w:autoSpaceDN/>
        <w:jc w:val="both"/>
        <w:rPr>
          <w:rFonts w:asciiTheme="minorHAnsi" w:eastAsia="SimSun" w:hAnsiTheme="minorHAnsi" w:cstheme="minorHAnsi"/>
          <w:sz w:val="22"/>
          <w:szCs w:val="22"/>
          <w:lang w:val="en-GB"/>
        </w:rPr>
      </w:pPr>
      <w:r w:rsidRPr="007A6404">
        <w:rPr>
          <w:rFonts w:asciiTheme="minorHAnsi" w:hAnsiTheme="minorHAnsi" w:cstheme="minorHAnsi"/>
          <w:sz w:val="22"/>
          <w:szCs w:val="22"/>
          <w:lang w:val="en-GB"/>
        </w:rPr>
        <w:t xml:space="preserve">In total liabilities and total equity of the Group, the major portion, </w:t>
      </w:r>
      <w:proofErr w:type="gramStart"/>
      <w:r w:rsidRPr="007A6404">
        <w:rPr>
          <w:rFonts w:asciiTheme="minorHAnsi" w:hAnsiTheme="minorHAnsi" w:cstheme="minorHAnsi"/>
          <w:sz w:val="22"/>
          <w:szCs w:val="22"/>
          <w:lang w:val="en-GB"/>
        </w:rPr>
        <w:t>i.e.</w:t>
      </w:r>
      <w:proofErr w:type="gramEnd"/>
      <w:r w:rsidRPr="007A6404">
        <w:rPr>
          <w:rFonts w:asciiTheme="minorHAnsi" w:hAnsiTheme="minorHAnsi" w:cstheme="minorHAnsi"/>
          <w:sz w:val="22"/>
          <w:szCs w:val="22"/>
          <w:lang w:val="en-GB"/>
        </w:rPr>
        <w:t xml:space="preserve"> </w:t>
      </w:r>
      <w:r w:rsidRPr="007A6404">
        <w:rPr>
          <w:rFonts w:asciiTheme="minorHAnsi" w:eastAsia="SimSun" w:hAnsiTheme="minorHAnsi" w:cstheme="minorHAnsi"/>
          <w:sz w:val="22"/>
          <w:szCs w:val="22"/>
          <w:lang w:val="en-GB"/>
        </w:rPr>
        <w:t>56.78 percent, consists of borrowings of the parent company.</w:t>
      </w:r>
    </w:p>
    <w:p w14:paraId="772A8037" w14:textId="77777777" w:rsidR="007A6404" w:rsidRPr="007A6404" w:rsidRDefault="007A6404" w:rsidP="000B677E">
      <w:pPr>
        <w:autoSpaceDN/>
        <w:jc w:val="both"/>
        <w:rPr>
          <w:rFonts w:asciiTheme="minorHAnsi" w:eastAsia="SimSun" w:hAnsiTheme="minorHAnsi" w:cstheme="minorHAnsi"/>
          <w:sz w:val="22"/>
          <w:szCs w:val="22"/>
          <w:lang w:val="en-GB"/>
        </w:rPr>
      </w:pPr>
    </w:p>
    <w:p w14:paraId="3485B69E" w14:textId="77777777" w:rsidR="007A6404" w:rsidRPr="007A6404" w:rsidRDefault="007A6404" w:rsidP="000B677E">
      <w:pPr>
        <w:autoSpaceDN/>
        <w:jc w:val="both"/>
        <w:rPr>
          <w:rFonts w:asciiTheme="minorHAnsi" w:eastAsia="SimSun" w:hAnsiTheme="minorHAnsi" w:cstheme="minorHAnsi"/>
          <w:sz w:val="22"/>
          <w:szCs w:val="22"/>
          <w:lang w:val="en-GB"/>
        </w:rPr>
      </w:pPr>
      <w:r w:rsidRPr="007A6404">
        <w:rPr>
          <w:rFonts w:asciiTheme="minorHAnsi" w:eastAsia="SimSun" w:hAnsiTheme="minorHAnsi" w:cstheme="minorHAnsi"/>
          <w:sz w:val="22"/>
          <w:szCs w:val="22"/>
          <w:lang w:val="en-GB"/>
        </w:rPr>
        <w:t>At the end of 2022, total equity on consolidated basis amounted to HRK 10,715.03 million and accounted for 36.87 percent of total liabilities and total equity of the Group.</w:t>
      </w:r>
    </w:p>
    <w:p w14:paraId="08BB8FF6" w14:textId="77777777" w:rsidR="007A6404" w:rsidRPr="007A6404" w:rsidRDefault="007A6404" w:rsidP="000B677E">
      <w:pPr>
        <w:tabs>
          <w:tab w:val="left" w:pos="1204"/>
        </w:tabs>
        <w:autoSpaceDN/>
        <w:spacing w:after="160" w:line="276" w:lineRule="auto"/>
        <w:rPr>
          <w:rFonts w:asciiTheme="minorHAnsi" w:eastAsia="SimSun" w:hAnsiTheme="minorHAnsi" w:cstheme="minorHAnsi"/>
          <w:sz w:val="22"/>
          <w:szCs w:val="22"/>
          <w:lang w:val="en-GB"/>
        </w:rPr>
      </w:pPr>
    </w:p>
    <w:p w14:paraId="1E8E8B90" w14:textId="77777777" w:rsidR="007A6404" w:rsidRPr="007A6404" w:rsidRDefault="007A6404" w:rsidP="000B677E">
      <w:pPr>
        <w:autoSpaceDN/>
        <w:spacing w:after="160" w:line="276" w:lineRule="auto"/>
        <w:rPr>
          <w:rFonts w:asciiTheme="minorHAnsi" w:eastAsia="SimSun" w:hAnsiTheme="minorHAnsi" w:cstheme="minorHAnsi"/>
          <w:sz w:val="22"/>
          <w:szCs w:val="22"/>
          <w:lang w:val="en-GB"/>
        </w:rPr>
      </w:pPr>
      <w:r w:rsidRPr="007A6404">
        <w:rPr>
          <w:rFonts w:asciiTheme="minorHAnsi" w:eastAsia="SimSun" w:hAnsiTheme="minorHAnsi" w:cstheme="minorHAnsi"/>
          <w:sz w:val="22"/>
          <w:szCs w:val="22"/>
          <w:lang w:val="en-GB"/>
        </w:rPr>
        <w:br w:type="page"/>
      </w:r>
    </w:p>
    <w:p w14:paraId="5D8CD9D2" w14:textId="77777777" w:rsidR="007A6404" w:rsidRPr="007A6404" w:rsidRDefault="007A6404" w:rsidP="000B677E">
      <w:pPr>
        <w:autoSpaceDN/>
        <w:ind w:left="-284" w:right="-285"/>
        <w:jc w:val="both"/>
        <w:rPr>
          <w:rFonts w:ascii="Calibri" w:eastAsia="SimSun" w:hAnsi="Calibri" w:cs="Calibri"/>
          <w:sz w:val="22"/>
          <w:szCs w:val="22"/>
          <w:lang w:val="en-GB"/>
        </w:rPr>
      </w:pPr>
    </w:p>
    <w:p w14:paraId="7F8D2434" w14:textId="77777777" w:rsidR="007A6404" w:rsidRPr="007A6404" w:rsidRDefault="007A6404" w:rsidP="000B677E">
      <w:pPr>
        <w:autoSpaceDN/>
        <w:ind w:left="-284" w:right="-285"/>
        <w:jc w:val="both"/>
        <w:rPr>
          <w:rFonts w:ascii="Calibri" w:hAnsi="Calibri" w:cs="Calibri"/>
          <w:b/>
          <w:spacing w:val="-3"/>
          <w:sz w:val="22"/>
          <w:szCs w:val="22"/>
          <w:lang w:val="en-GB" w:eastAsia="hr-HR"/>
        </w:rPr>
      </w:pPr>
      <w:r w:rsidRPr="007A6404">
        <w:rPr>
          <w:rFonts w:ascii="Calibri" w:eastAsia="SimSun" w:hAnsi="Calibri" w:cs="Calibri"/>
          <w:sz w:val="22"/>
          <w:szCs w:val="22"/>
          <w:lang w:val="en-GB"/>
        </w:rPr>
        <w:t xml:space="preserve">   </w:t>
      </w:r>
      <w:r w:rsidRPr="007A6404">
        <w:rPr>
          <w:rFonts w:ascii="Calibri" w:hAnsi="Calibri" w:cs="Calibri"/>
          <w:b/>
          <w:spacing w:val="-3"/>
          <w:sz w:val="22"/>
          <w:szCs w:val="22"/>
          <w:lang w:val="en-GB" w:eastAsia="hr-HR"/>
        </w:rPr>
        <w:t xml:space="preserve"> </w:t>
      </w:r>
      <w:r w:rsidRPr="007A6404">
        <w:rPr>
          <w:rFonts w:ascii="Calibri" w:hAnsi="Calibri" w:cs="Calibri"/>
          <w:b/>
          <w:noProof/>
          <w:spacing w:val="-3"/>
          <w:sz w:val="22"/>
          <w:szCs w:val="22"/>
          <w:lang w:val="en-GB" w:eastAsia="hr-HR"/>
        </w:rPr>
        <w:drawing>
          <wp:inline distT="0" distB="0" distL="0" distR="0" wp14:anchorId="617F8A62" wp14:editId="74ECCBA8">
            <wp:extent cx="2621284" cy="3060000"/>
            <wp:effectExtent l="0" t="0" r="762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1284" cy="3060000"/>
                    </a:xfrm>
                    <a:prstGeom prst="rect">
                      <a:avLst/>
                    </a:prstGeom>
                    <a:noFill/>
                  </pic:spPr>
                </pic:pic>
              </a:graphicData>
            </a:graphic>
          </wp:inline>
        </w:drawing>
      </w:r>
      <w:r w:rsidRPr="007A6404">
        <w:rPr>
          <w:rFonts w:ascii="Calibri" w:hAnsi="Calibri" w:cs="Calibri"/>
          <w:b/>
          <w:spacing w:val="-3"/>
          <w:sz w:val="22"/>
          <w:szCs w:val="22"/>
          <w:lang w:val="en-GB" w:eastAsia="hr-HR"/>
        </w:rPr>
        <w:t xml:space="preserve">      </w:t>
      </w:r>
      <w:r w:rsidRPr="007A6404">
        <w:rPr>
          <w:rFonts w:ascii="Calibri" w:hAnsi="Calibri" w:cs="Calibri"/>
          <w:b/>
          <w:noProof/>
          <w:spacing w:val="-3"/>
          <w:sz w:val="22"/>
          <w:szCs w:val="22"/>
          <w:lang w:val="en-GB" w:eastAsia="hr-HR"/>
        </w:rPr>
        <w:drawing>
          <wp:inline distT="0" distB="0" distL="0" distR="0" wp14:anchorId="3B4DE81D" wp14:editId="36CE7295">
            <wp:extent cx="2666413" cy="3060000"/>
            <wp:effectExtent l="0" t="0" r="63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6413" cy="3060000"/>
                    </a:xfrm>
                    <a:prstGeom prst="rect">
                      <a:avLst/>
                    </a:prstGeom>
                    <a:noFill/>
                  </pic:spPr>
                </pic:pic>
              </a:graphicData>
            </a:graphic>
          </wp:inline>
        </w:drawing>
      </w:r>
    </w:p>
    <w:p w14:paraId="64B2D3B4" w14:textId="77777777" w:rsidR="007A6404" w:rsidRPr="007A6404" w:rsidRDefault="007A6404" w:rsidP="000B677E">
      <w:pPr>
        <w:autoSpaceDN/>
        <w:ind w:left="-284" w:right="-425"/>
        <w:rPr>
          <w:rFonts w:ascii="Calibri" w:hAnsi="Calibri" w:cs="Calibri"/>
          <w:b/>
          <w:spacing w:val="-3"/>
          <w:sz w:val="22"/>
          <w:szCs w:val="22"/>
          <w:lang w:val="en-GB" w:eastAsia="hr-HR"/>
        </w:rPr>
      </w:pPr>
    </w:p>
    <w:p w14:paraId="3B708120" w14:textId="77777777" w:rsidR="007A6404" w:rsidRPr="007A6404" w:rsidRDefault="007A6404" w:rsidP="000B677E">
      <w:pPr>
        <w:autoSpaceDN/>
        <w:ind w:left="-284" w:right="-425"/>
        <w:rPr>
          <w:rFonts w:ascii="Calibri" w:hAnsi="Calibri" w:cs="Calibri"/>
          <w:b/>
          <w:spacing w:val="-3"/>
          <w:sz w:val="22"/>
          <w:szCs w:val="22"/>
          <w:lang w:val="en-GB" w:eastAsia="hr-HR"/>
        </w:rPr>
      </w:pPr>
      <w:r w:rsidRPr="007A6404">
        <w:rPr>
          <w:rFonts w:ascii="Calibri" w:eastAsia="SimSun" w:hAnsi="Calibri" w:cs="Calibri"/>
          <w:sz w:val="22"/>
          <w:szCs w:val="22"/>
          <w:lang w:val="en-GB"/>
        </w:rPr>
        <w:t xml:space="preserve">   </w:t>
      </w:r>
      <w:r w:rsidRPr="007A6404">
        <w:rPr>
          <w:rFonts w:ascii="Calibri" w:hAnsi="Calibri" w:cs="Calibri"/>
          <w:b/>
          <w:spacing w:val="-3"/>
          <w:sz w:val="22"/>
          <w:szCs w:val="22"/>
          <w:lang w:val="en-GB" w:eastAsia="hr-HR"/>
        </w:rPr>
        <w:t xml:space="preserve"> </w:t>
      </w:r>
      <w:r w:rsidRPr="007A6404">
        <w:rPr>
          <w:rFonts w:ascii="Calibri" w:eastAsia="SimSun" w:hAnsi="Calibri" w:cs="Calibri"/>
          <w:noProof/>
          <w:sz w:val="22"/>
          <w:szCs w:val="22"/>
          <w:lang w:val="en-GB"/>
        </w:rPr>
        <w:drawing>
          <wp:inline distT="0" distB="0" distL="0" distR="0" wp14:anchorId="290E9400" wp14:editId="2F507D9F">
            <wp:extent cx="2634720" cy="3312000"/>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4720" cy="3312000"/>
                    </a:xfrm>
                    <a:prstGeom prst="rect">
                      <a:avLst/>
                    </a:prstGeom>
                    <a:noFill/>
                  </pic:spPr>
                </pic:pic>
              </a:graphicData>
            </a:graphic>
          </wp:inline>
        </w:drawing>
      </w:r>
      <w:r w:rsidRPr="007A6404">
        <w:rPr>
          <w:rFonts w:ascii="Calibri" w:hAnsi="Calibri" w:cs="Calibri"/>
          <w:b/>
          <w:spacing w:val="-3"/>
          <w:sz w:val="22"/>
          <w:szCs w:val="22"/>
          <w:lang w:val="en-GB" w:eastAsia="hr-HR"/>
        </w:rPr>
        <w:t xml:space="preserve">      </w:t>
      </w:r>
      <w:r w:rsidRPr="007A6404">
        <w:rPr>
          <w:rFonts w:ascii="Calibri" w:eastAsia="SimSun" w:hAnsi="Calibri" w:cs="Calibri"/>
          <w:noProof/>
          <w:sz w:val="22"/>
          <w:szCs w:val="22"/>
          <w:lang w:val="en-GB"/>
        </w:rPr>
        <w:drawing>
          <wp:inline distT="0" distB="0" distL="0" distR="0" wp14:anchorId="3DF00A63" wp14:editId="3CCB58B3">
            <wp:extent cx="2658414" cy="3311525"/>
            <wp:effectExtent l="0" t="0" r="889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9403" cy="3312757"/>
                    </a:xfrm>
                    <a:prstGeom prst="rect">
                      <a:avLst/>
                    </a:prstGeom>
                    <a:noFill/>
                  </pic:spPr>
                </pic:pic>
              </a:graphicData>
            </a:graphic>
          </wp:inline>
        </w:drawing>
      </w:r>
      <w:r w:rsidRPr="007A6404">
        <w:rPr>
          <w:rFonts w:ascii="Calibri" w:eastAsia="SimSun" w:hAnsi="Calibri" w:cs="Calibri"/>
          <w:sz w:val="22"/>
          <w:szCs w:val="22"/>
          <w:lang w:val="en-GB"/>
        </w:rPr>
        <w:t xml:space="preserve">  </w:t>
      </w:r>
    </w:p>
    <w:p w14:paraId="66166F35" w14:textId="77777777" w:rsidR="007A6404" w:rsidRPr="007A6404" w:rsidRDefault="007A6404" w:rsidP="000B677E">
      <w:pPr>
        <w:autoSpaceDN/>
        <w:spacing w:before="240"/>
        <w:jc w:val="both"/>
        <w:rPr>
          <w:rFonts w:ascii="Calibri" w:hAnsi="Calibri" w:cs="Calibri"/>
          <w:b/>
          <w:spacing w:val="-3"/>
          <w:sz w:val="22"/>
          <w:szCs w:val="22"/>
          <w:u w:val="single"/>
          <w:lang w:val="en-GB" w:eastAsia="hr-HR"/>
        </w:rPr>
      </w:pPr>
      <w:r w:rsidRPr="007A6404">
        <w:rPr>
          <w:rFonts w:ascii="Calibri" w:hAnsi="Calibri" w:cs="Calibri"/>
          <w:spacing w:val="-3"/>
          <w:sz w:val="22"/>
          <w:szCs w:val="22"/>
          <w:lang w:val="en-GB" w:eastAsia="hr-HR"/>
        </w:rPr>
        <w:t xml:space="preserve">*Property, plant and equipment and intangible assets, Foreclosed assets and </w:t>
      </w:r>
      <w:proofErr w:type="gramStart"/>
      <w:r w:rsidRPr="007A6404">
        <w:rPr>
          <w:rFonts w:ascii="Calibri" w:hAnsi="Calibri" w:cs="Calibri"/>
          <w:spacing w:val="-3"/>
          <w:sz w:val="22"/>
          <w:szCs w:val="22"/>
          <w:lang w:val="en-GB" w:eastAsia="hr-HR"/>
        </w:rPr>
        <w:t>Other</w:t>
      </w:r>
      <w:proofErr w:type="gramEnd"/>
      <w:r w:rsidRPr="007A6404">
        <w:rPr>
          <w:rFonts w:ascii="Calibri" w:hAnsi="Calibri" w:cs="Calibri"/>
          <w:spacing w:val="-3"/>
          <w:sz w:val="22"/>
          <w:szCs w:val="22"/>
          <w:lang w:val="en-GB" w:eastAsia="hr-HR"/>
        </w:rPr>
        <w:t xml:space="preserve"> assets.</w:t>
      </w:r>
    </w:p>
    <w:p w14:paraId="05B52225" w14:textId="77777777" w:rsidR="007A6404" w:rsidRPr="007A6404" w:rsidRDefault="007A6404" w:rsidP="000B677E">
      <w:pPr>
        <w:autoSpaceDN/>
        <w:spacing w:before="240"/>
        <w:jc w:val="both"/>
        <w:rPr>
          <w:rFonts w:ascii="Calibri" w:hAnsi="Calibri" w:cs="Calibri"/>
          <w:spacing w:val="-3"/>
          <w:sz w:val="22"/>
          <w:szCs w:val="22"/>
          <w:lang w:val="en-GB" w:eastAsia="hr-HR"/>
        </w:rPr>
      </w:pPr>
      <w:r w:rsidRPr="007A6404">
        <w:rPr>
          <w:rFonts w:ascii="Calibri" w:hAnsi="Calibri" w:cs="Calibri"/>
          <w:spacing w:val="-3"/>
          <w:sz w:val="22"/>
          <w:szCs w:val="22"/>
          <w:lang w:val="en-GB" w:eastAsia="hr-HR"/>
        </w:rPr>
        <w:t>** Provisioning includes provisioning for guarantees, commitments and other liabilities.</w:t>
      </w:r>
    </w:p>
    <w:p w14:paraId="10EB8969" w14:textId="77777777" w:rsidR="007A6404" w:rsidRPr="007A6404" w:rsidRDefault="007A6404" w:rsidP="000B677E">
      <w:pPr>
        <w:autoSpaceDN/>
        <w:spacing w:after="160" w:line="276" w:lineRule="auto"/>
        <w:rPr>
          <w:rFonts w:ascii="Calibri" w:hAnsi="Calibri" w:cs="Calibri"/>
          <w:spacing w:val="-3"/>
          <w:sz w:val="22"/>
          <w:szCs w:val="22"/>
          <w:lang w:val="en-GB" w:eastAsia="hr-HR"/>
        </w:rPr>
      </w:pPr>
      <w:r w:rsidRPr="007A6404">
        <w:rPr>
          <w:rFonts w:ascii="Calibri" w:hAnsi="Calibri" w:cs="Calibri"/>
          <w:spacing w:val="-3"/>
          <w:sz w:val="22"/>
          <w:szCs w:val="22"/>
          <w:lang w:val="en-GB" w:eastAsia="hr-HR"/>
        </w:rPr>
        <w:br w:type="page"/>
      </w:r>
    </w:p>
    <w:p w14:paraId="1D3AF638" w14:textId="77777777" w:rsidR="007A6404" w:rsidRPr="007A6404" w:rsidRDefault="007A6404" w:rsidP="000B677E">
      <w:pPr>
        <w:keepNext/>
        <w:autoSpaceDN/>
        <w:outlineLvl w:val="1"/>
        <w:rPr>
          <w:rFonts w:ascii="Calibri" w:eastAsia="SimSun" w:hAnsi="Calibri" w:cs="Calibri"/>
          <w:b/>
          <w:bCs/>
          <w:sz w:val="22"/>
          <w:szCs w:val="22"/>
          <w:lang w:val="en-GB" w:eastAsia="x-none"/>
        </w:rPr>
      </w:pPr>
      <w:bookmarkStart w:id="80" w:name="_Toc477261950"/>
      <w:bookmarkStart w:id="81" w:name="_Toc97051758"/>
      <w:bookmarkStart w:id="82" w:name="_Toc97908669"/>
      <w:bookmarkStart w:id="83" w:name="_Toc129176363"/>
      <w:r w:rsidRPr="007A6404">
        <w:rPr>
          <w:rFonts w:ascii="Calibri" w:eastAsia="SimSun" w:hAnsi="Calibri" w:cs="Calibri"/>
          <w:b/>
          <w:bCs/>
          <w:sz w:val="22"/>
          <w:szCs w:val="22"/>
          <w:lang w:val="en-GB" w:eastAsia="x-none"/>
        </w:rPr>
        <w:lastRenderedPageBreak/>
        <w:t>OVERVIEW OF FINANCIAL PERFORMANCE OF HBOR</w:t>
      </w:r>
      <w:bookmarkEnd w:id="80"/>
      <w:bookmarkEnd w:id="81"/>
      <w:bookmarkEnd w:id="82"/>
      <w:bookmarkEnd w:id="83"/>
    </w:p>
    <w:p w14:paraId="7A048E2B" w14:textId="77777777" w:rsidR="007A6404" w:rsidRPr="007A6404" w:rsidRDefault="007A6404" w:rsidP="000B677E">
      <w:pPr>
        <w:keepNext/>
        <w:autoSpaceDN/>
        <w:jc w:val="center"/>
        <w:outlineLvl w:val="1"/>
        <w:rPr>
          <w:rFonts w:ascii="Calibri" w:eastAsia="SimSun" w:hAnsi="Calibri" w:cs="Calibri"/>
          <w:b/>
          <w:bCs/>
          <w:sz w:val="22"/>
          <w:szCs w:val="22"/>
          <w:lang w:val="en-GB" w:eastAsia="x-none"/>
        </w:rPr>
      </w:pPr>
    </w:p>
    <w:p w14:paraId="1BCF00EF" w14:textId="77777777" w:rsidR="007A6404" w:rsidRPr="007A6404" w:rsidRDefault="007A6404" w:rsidP="000B677E">
      <w:pPr>
        <w:autoSpaceDN/>
        <w:jc w:val="both"/>
        <w:rPr>
          <w:rFonts w:asciiTheme="minorHAnsi" w:eastAsia="SimSun" w:hAnsiTheme="minorHAnsi" w:cstheme="minorHAnsi"/>
          <w:sz w:val="22"/>
          <w:szCs w:val="22"/>
          <w:lang w:val="en-GB"/>
        </w:rPr>
      </w:pPr>
      <w:r w:rsidRPr="007A6404">
        <w:rPr>
          <w:rFonts w:asciiTheme="minorHAnsi" w:hAnsiTheme="minorHAnsi" w:cstheme="minorHAnsi"/>
          <w:sz w:val="22"/>
          <w:szCs w:val="22"/>
          <w:lang w:val="en-GB"/>
        </w:rPr>
        <w:t>The following text gives an overview and explanation of the significant changes in financial position and operating performance in the reporting year</w:t>
      </w:r>
      <w:r w:rsidRPr="007A6404">
        <w:rPr>
          <w:rFonts w:asciiTheme="minorHAnsi" w:eastAsia="SimSun" w:hAnsiTheme="minorHAnsi" w:cstheme="minorHAnsi"/>
          <w:sz w:val="22"/>
          <w:szCs w:val="22"/>
          <w:lang w:val="en-GB"/>
        </w:rPr>
        <w:t>.</w:t>
      </w:r>
    </w:p>
    <w:p w14:paraId="6F63874B" w14:textId="77777777" w:rsidR="007A6404" w:rsidRPr="007A6404" w:rsidRDefault="007A6404" w:rsidP="000B677E">
      <w:pPr>
        <w:tabs>
          <w:tab w:val="left" w:pos="-720"/>
        </w:tabs>
        <w:autoSpaceDN/>
        <w:jc w:val="both"/>
        <w:rPr>
          <w:rFonts w:asciiTheme="minorHAnsi" w:eastAsia="SimSun" w:hAnsiTheme="minorHAnsi" w:cstheme="minorHAnsi"/>
          <w:b/>
          <w:spacing w:val="-3"/>
          <w:sz w:val="22"/>
          <w:szCs w:val="22"/>
          <w:lang w:val="en-GB"/>
        </w:rPr>
      </w:pPr>
    </w:p>
    <w:p w14:paraId="584A4A78" w14:textId="77777777" w:rsidR="007A6404" w:rsidRPr="007A6404" w:rsidRDefault="007A6404" w:rsidP="000B677E">
      <w:pPr>
        <w:tabs>
          <w:tab w:val="left" w:pos="-720"/>
        </w:tabs>
        <w:autoSpaceDN/>
        <w:jc w:val="both"/>
        <w:rPr>
          <w:rFonts w:asciiTheme="minorHAnsi" w:eastAsia="SimSun" w:hAnsiTheme="minorHAnsi" w:cstheme="minorHAnsi"/>
          <w:b/>
          <w:spacing w:val="-3"/>
          <w:sz w:val="22"/>
          <w:szCs w:val="22"/>
          <w:lang w:val="en-GB"/>
        </w:rPr>
      </w:pPr>
      <w:r w:rsidRPr="007A6404">
        <w:rPr>
          <w:rFonts w:asciiTheme="minorHAnsi" w:eastAsia="SimSun" w:hAnsiTheme="minorHAnsi" w:cstheme="minorHAnsi"/>
          <w:b/>
          <w:spacing w:val="-3"/>
          <w:sz w:val="22"/>
          <w:szCs w:val="22"/>
          <w:lang w:val="en-GB"/>
        </w:rPr>
        <w:t xml:space="preserve">Financial performance </w:t>
      </w:r>
    </w:p>
    <w:p w14:paraId="3517D21C" w14:textId="77777777" w:rsidR="007A6404" w:rsidRPr="007A6404" w:rsidRDefault="007A6404" w:rsidP="000B677E">
      <w:pPr>
        <w:autoSpaceDN/>
        <w:ind w:right="-1"/>
        <w:jc w:val="both"/>
        <w:rPr>
          <w:rFonts w:asciiTheme="minorHAnsi" w:eastAsia="SimSun" w:hAnsiTheme="minorHAnsi" w:cstheme="minorHAnsi"/>
          <w:sz w:val="22"/>
          <w:szCs w:val="22"/>
          <w:lang w:val="en-GB"/>
        </w:rPr>
      </w:pPr>
    </w:p>
    <w:p w14:paraId="6DE440F4" w14:textId="77777777" w:rsidR="007A6404" w:rsidRPr="007A6404" w:rsidRDefault="007A6404" w:rsidP="000B677E">
      <w:pPr>
        <w:tabs>
          <w:tab w:val="left" w:pos="-720"/>
        </w:tabs>
        <w:autoSpaceDN/>
        <w:jc w:val="both"/>
        <w:rPr>
          <w:rFonts w:asciiTheme="minorHAnsi" w:eastAsia="SimSun" w:hAnsiTheme="minorHAnsi" w:cstheme="minorHAnsi"/>
          <w:spacing w:val="-3"/>
          <w:sz w:val="22"/>
          <w:szCs w:val="22"/>
          <w:lang w:val="en-GB"/>
        </w:rPr>
      </w:pPr>
      <w:r w:rsidRPr="007A6404">
        <w:rPr>
          <w:rFonts w:asciiTheme="minorHAnsi" w:eastAsia="SimSun" w:hAnsiTheme="minorHAnsi" w:cstheme="minorHAnsi"/>
          <w:spacing w:val="-3"/>
          <w:sz w:val="22"/>
          <w:szCs w:val="22"/>
          <w:lang w:val="en-GB"/>
        </w:rPr>
        <w:t xml:space="preserve">In 2022, HBOR </w:t>
      </w:r>
      <w:r w:rsidRPr="007A6404">
        <w:rPr>
          <w:rFonts w:asciiTheme="minorHAnsi" w:hAnsiTheme="minorHAnsi" w:cstheme="minorHAnsi"/>
          <w:spacing w:val="-3"/>
          <w:sz w:val="22"/>
          <w:szCs w:val="22"/>
          <w:lang w:val="en-GB"/>
        </w:rPr>
        <w:t xml:space="preserve">generated total income of HRK </w:t>
      </w:r>
      <w:r w:rsidRPr="007A6404">
        <w:rPr>
          <w:rFonts w:asciiTheme="minorHAnsi" w:eastAsia="SimSun" w:hAnsiTheme="minorHAnsi" w:cstheme="minorHAnsi"/>
          <w:spacing w:val="-3"/>
          <w:sz w:val="22"/>
          <w:szCs w:val="22"/>
          <w:lang w:val="en-GB"/>
        </w:rPr>
        <w:t xml:space="preserve">682.07 million, </w:t>
      </w:r>
      <w:r w:rsidRPr="007A6404">
        <w:rPr>
          <w:rFonts w:asciiTheme="minorHAnsi" w:hAnsiTheme="minorHAnsi" w:cstheme="minorHAnsi"/>
          <w:spacing w:val="-3"/>
          <w:sz w:val="22"/>
          <w:szCs w:val="22"/>
          <w:lang w:val="en-GB"/>
        </w:rPr>
        <w:t xml:space="preserve">expenses in the amount to HRK </w:t>
      </w:r>
      <w:r w:rsidRPr="007A6404">
        <w:rPr>
          <w:rFonts w:asciiTheme="minorHAnsi" w:eastAsia="SimSun" w:hAnsiTheme="minorHAnsi" w:cstheme="minorHAnsi"/>
          <w:spacing w:val="-3"/>
          <w:sz w:val="22"/>
          <w:szCs w:val="22"/>
          <w:lang w:val="en-GB"/>
        </w:rPr>
        <w:t xml:space="preserve">495.90 million and profit in the amount of HRK 186.17 million. </w:t>
      </w:r>
      <w:r w:rsidRPr="007A6404">
        <w:rPr>
          <w:rFonts w:asciiTheme="minorHAnsi" w:hAnsiTheme="minorHAnsi" w:cstheme="minorHAnsi"/>
          <w:spacing w:val="-3"/>
          <w:sz w:val="22"/>
          <w:szCs w:val="22"/>
          <w:lang w:val="en-GB"/>
        </w:rPr>
        <w:t xml:space="preserve">HBOR’s profit generated in </w:t>
      </w:r>
      <w:r w:rsidRPr="007A6404">
        <w:rPr>
          <w:rFonts w:asciiTheme="minorHAnsi" w:eastAsia="SimSun" w:hAnsiTheme="minorHAnsi" w:cstheme="minorHAnsi"/>
          <w:spacing w:val="-3"/>
          <w:sz w:val="22"/>
          <w:szCs w:val="22"/>
          <w:lang w:val="en-GB"/>
        </w:rPr>
        <w:t xml:space="preserve">2022 decreased by HRK 0.91 million compared with the profit generated in 2021, </w:t>
      </w:r>
      <w:proofErr w:type="gramStart"/>
      <w:r w:rsidRPr="007A6404">
        <w:rPr>
          <w:rFonts w:asciiTheme="minorHAnsi" w:eastAsia="SimSun" w:hAnsiTheme="minorHAnsi" w:cstheme="minorHAnsi"/>
          <w:spacing w:val="-3"/>
          <w:sz w:val="22"/>
          <w:szCs w:val="22"/>
          <w:lang w:val="en-GB"/>
        </w:rPr>
        <w:t>i.e.</w:t>
      </w:r>
      <w:proofErr w:type="gramEnd"/>
      <w:r w:rsidRPr="007A6404">
        <w:rPr>
          <w:rFonts w:asciiTheme="minorHAnsi" w:eastAsia="SimSun" w:hAnsiTheme="minorHAnsi" w:cstheme="minorHAnsi"/>
          <w:spacing w:val="-3"/>
          <w:sz w:val="22"/>
          <w:szCs w:val="22"/>
          <w:lang w:val="en-GB"/>
        </w:rPr>
        <w:t xml:space="preserve"> by 0.49 percent.</w:t>
      </w:r>
    </w:p>
    <w:p w14:paraId="689CC71A" w14:textId="77777777" w:rsidR="007A6404" w:rsidRPr="007A6404" w:rsidRDefault="007A6404" w:rsidP="000B677E">
      <w:pPr>
        <w:tabs>
          <w:tab w:val="left" w:pos="-720"/>
        </w:tabs>
        <w:autoSpaceDN/>
        <w:jc w:val="both"/>
        <w:rPr>
          <w:rFonts w:asciiTheme="minorHAnsi" w:eastAsia="SimSun" w:hAnsiTheme="minorHAnsi" w:cstheme="minorHAnsi"/>
          <w:spacing w:val="-3"/>
          <w:sz w:val="22"/>
          <w:szCs w:val="22"/>
          <w:lang w:val="en-GB"/>
        </w:rPr>
      </w:pPr>
    </w:p>
    <w:p w14:paraId="618F1107" w14:textId="77777777" w:rsidR="007A6404" w:rsidRPr="007A6404" w:rsidRDefault="007A6404" w:rsidP="000B677E">
      <w:pPr>
        <w:tabs>
          <w:tab w:val="left" w:pos="-720"/>
        </w:tabs>
        <w:autoSpaceDN/>
        <w:jc w:val="both"/>
        <w:rPr>
          <w:rFonts w:asciiTheme="minorHAnsi" w:eastAsia="SimSun" w:hAnsiTheme="minorHAnsi" w:cstheme="minorHAnsi"/>
          <w:spacing w:val="-3"/>
          <w:sz w:val="22"/>
          <w:szCs w:val="22"/>
          <w:lang w:val="en-GB"/>
        </w:rPr>
      </w:pPr>
      <w:r w:rsidRPr="007A6404">
        <w:rPr>
          <w:rFonts w:asciiTheme="minorHAnsi" w:hAnsiTheme="minorHAnsi" w:cstheme="minorHAnsi"/>
          <w:spacing w:val="-3"/>
          <w:sz w:val="22"/>
          <w:szCs w:val="22"/>
          <w:lang w:val="en-GB"/>
        </w:rPr>
        <w:t>The circumstances which resulted in the decreased profit generated in 2022 compared to the profit generated in 2021 are as follows</w:t>
      </w:r>
      <w:r w:rsidRPr="007A6404">
        <w:rPr>
          <w:rFonts w:asciiTheme="minorHAnsi" w:eastAsia="SimSun" w:hAnsiTheme="minorHAnsi" w:cstheme="minorHAnsi"/>
          <w:spacing w:val="-3"/>
          <w:sz w:val="22"/>
          <w:szCs w:val="22"/>
          <w:lang w:val="en-GB"/>
        </w:rPr>
        <w:t>:</w:t>
      </w:r>
    </w:p>
    <w:p w14:paraId="488D188D" w14:textId="77777777" w:rsidR="007A6404" w:rsidRPr="007A6404" w:rsidRDefault="007A6404" w:rsidP="000B677E">
      <w:pPr>
        <w:tabs>
          <w:tab w:val="left" w:pos="-720"/>
        </w:tabs>
        <w:autoSpaceDN/>
        <w:jc w:val="both"/>
        <w:rPr>
          <w:rFonts w:asciiTheme="minorHAnsi" w:eastAsia="SimSun" w:hAnsiTheme="minorHAnsi" w:cstheme="minorHAnsi"/>
          <w:spacing w:val="-3"/>
          <w:sz w:val="22"/>
          <w:szCs w:val="22"/>
          <w:lang w:val="en-GB"/>
        </w:rPr>
      </w:pPr>
    </w:p>
    <w:p w14:paraId="67F3BF59" w14:textId="77777777" w:rsidR="007A6404" w:rsidRPr="007A6404" w:rsidRDefault="007A6404">
      <w:pPr>
        <w:numPr>
          <w:ilvl w:val="0"/>
          <w:numId w:val="24"/>
        </w:numPr>
        <w:tabs>
          <w:tab w:val="left" w:pos="-720"/>
        </w:tabs>
        <w:autoSpaceDN/>
        <w:spacing w:after="160" w:line="276" w:lineRule="auto"/>
        <w:jc w:val="both"/>
        <w:textAlignment w:val="baseline"/>
        <w:rPr>
          <w:rFonts w:asciiTheme="minorHAnsi" w:eastAsia="SimSun" w:hAnsiTheme="minorHAnsi" w:cstheme="minorHAnsi"/>
          <w:sz w:val="22"/>
          <w:szCs w:val="22"/>
          <w:lang w:val="en-GB"/>
        </w:rPr>
      </w:pPr>
      <w:r w:rsidRPr="007A6404">
        <w:rPr>
          <w:rFonts w:asciiTheme="minorHAnsi" w:eastAsia="SimSun" w:hAnsiTheme="minorHAnsi" w:cstheme="minorHAnsi"/>
          <w:sz w:val="22"/>
          <w:szCs w:val="22"/>
          <w:lang w:val="en-GB"/>
        </w:rPr>
        <w:t>decrease in interest income of HRK 48.29 million,</w:t>
      </w:r>
    </w:p>
    <w:p w14:paraId="0D00A947" w14:textId="77777777" w:rsidR="007A6404" w:rsidRPr="007A6404" w:rsidRDefault="007A6404">
      <w:pPr>
        <w:numPr>
          <w:ilvl w:val="0"/>
          <w:numId w:val="24"/>
        </w:numPr>
        <w:tabs>
          <w:tab w:val="left" w:pos="-720"/>
        </w:tabs>
        <w:autoSpaceDN/>
        <w:spacing w:after="160" w:line="276" w:lineRule="auto"/>
        <w:jc w:val="both"/>
        <w:textAlignment w:val="baseline"/>
        <w:rPr>
          <w:rFonts w:asciiTheme="minorHAnsi" w:eastAsia="SimSun" w:hAnsiTheme="minorHAnsi" w:cstheme="minorHAnsi"/>
          <w:sz w:val="22"/>
          <w:szCs w:val="22"/>
          <w:lang w:val="en-GB"/>
        </w:rPr>
      </w:pPr>
      <w:r w:rsidRPr="007A6404">
        <w:rPr>
          <w:rFonts w:asciiTheme="minorHAnsi" w:eastAsia="SimSun" w:hAnsiTheme="minorHAnsi" w:cstheme="minorHAnsi"/>
          <w:bCs/>
          <w:spacing w:val="-3"/>
          <w:sz w:val="22"/>
          <w:szCs w:val="22"/>
          <w:lang w:val="en-GB"/>
        </w:rPr>
        <w:t xml:space="preserve">decrease in interest expenses of HRK 26.20 million, </w:t>
      </w:r>
    </w:p>
    <w:p w14:paraId="6D6ACA81" w14:textId="77777777" w:rsidR="007A6404" w:rsidRPr="007A6404" w:rsidRDefault="007A6404">
      <w:pPr>
        <w:numPr>
          <w:ilvl w:val="0"/>
          <w:numId w:val="24"/>
        </w:numPr>
        <w:tabs>
          <w:tab w:val="left" w:pos="-720"/>
        </w:tabs>
        <w:autoSpaceDN/>
        <w:spacing w:after="160" w:line="276" w:lineRule="auto"/>
        <w:jc w:val="both"/>
        <w:textAlignment w:val="baseline"/>
        <w:rPr>
          <w:rFonts w:asciiTheme="minorHAnsi" w:eastAsia="SimSun" w:hAnsiTheme="minorHAnsi" w:cstheme="minorHAnsi"/>
          <w:sz w:val="22"/>
          <w:szCs w:val="22"/>
          <w:lang w:val="en-GB"/>
        </w:rPr>
      </w:pPr>
      <w:r w:rsidRPr="007A6404">
        <w:rPr>
          <w:rFonts w:asciiTheme="minorHAnsi" w:eastAsia="SimSun" w:hAnsiTheme="minorHAnsi" w:cstheme="minorHAnsi"/>
          <w:bCs/>
          <w:spacing w:val="-3"/>
          <w:sz w:val="22"/>
          <w:szCs w:val="22"/>
          <w:lang w:val="en-GB"/>
        </w:rPr>
        <w:t>decrease in fee and commission net income of HRK 4.05 million,</w:t>
      </w:r>
    </w:p>
    <w:p w14:paraId="34E79C2B" w14:textId="77777777" w:rsidR="007A6404" w:rsidRPr="007A6404" w:rsidRDefault="007A6404">
      <w:pPr>
        <w:numPr>
          <w:ilvl w:val="0"/>
          <w:numId w:val="24"/>
        </w:numPr>
        <w:tabs>
          <w:tab w:val="left" w:pos="-720"/>
        </w:tabs>
        <w:autoSpaceDN/>
        <w:spacing w:after="160" w:line="276" w:lineRule="auto"/>
        <w:jc w:val="both"/>
        <w:textAlignment w:val="baseline"/>
        <w:rPr>
          <w:rFonts w:asciiTheme="minorHAnsi" w:eastAsia="SimSun" w:hAnsiTheme="minorHAnsi" w:cstheme="minorHAnsi"/>
          <w:sz w:val="22"/>
          <w:szCs w:val="22"/>
          <w:lang w:val="en-GB"/>
        </w:rPr>
      </w:pPr>
      <w:r w:rsidRPr="007A6404">
        <w:rPr>
          <w:rFonts w:asciiTheme="minorHAnsi" w:eastAsia="SimSun" w:hAnsiTheme="minorHAnsi" w:cstheme="minorHAnsi"/>
          <w:bCs/>
          <w:spacing w:val="-3"/>
          <w:sz w:val="22"/>
          <w:szCs w:val="22"/>
          <w:lang w:val="en-GB"/>
        </w:rPr>
        <w:t>increase in net gains on financial operations of HRK 28.57 million (in 2022, net gains on financial operations amounted to HRK 16.73 million, whereas in 2021, net losses on financial operations amounted to HRK 11.84 million),</w:t>
      </w:r>
    </w:p>
    <w:p w14:paraId="345EE747" w14:textId="77777777" w:rsidR="007A6404" w:rsidRPr="007A6404" w:rsidRDefault="007A6404">
      <w:pPr>
        <w:numPr>
          <w:ilvl w:val="0"/>
          <w:numId w:val="24"/>
        </w:numPr>
        <w:tabs>
          <w:tab w:val="left" w:pos="-720"/>
        </w:tabs>
        <w:autoSpaceDN/>
        <w:spacing w:after="160" w:line="276" w:lineRule="auto"/>
        <w:jc w:val="both"/>
        <w:textAlignment w:val="baseline"/>
        <w:rPr>
          <w:rFonts w:asciiTheme="minorHAnsi" w:eastAsia="SimSun" w:hAnsiTheme="minorHAnsi" w:cstheme="minorHAnsi"/>
          <w:sz w:val="22"/>
          <w:szCs w:val="22"/>
          <w:lang w:val="en-GB"/>
        </w:rPr>
      </w:pPr>
      <w:r w:rsidRPr="007A6404">
        <w:rPr>
          <w:rFonts w:asciiTheme="minorHAnsi" w:eastAsia="SimSun" w:hAnsiTheme="minorHAnsi" w:cstheme="minorHAnsi"/>
          <w:spacing w:val="-3"/>
          <w:sz w:val="22"/>
          <w:szCs w:val="22"/>
          <w:lang w:val="en-GB"/>
        </w:rPr>
        <w:t xml:space="preserve">increase in operating expenses of HRK 12.10 million, </w:t>
      </w:r>
    </w:p>
    <w:p w14:paraId="37DB5779" w14:textId="77777777" w:rsidR="007A6404" w:rsidRPr="007A6404" w:rsidRDefault="007A6404">
      <w:pPr>
        <w:numPr>
          <w:ilvl w:val="0"/>
          <w:numId w:val="24"/>
        </w:numPr>
        <w:autoSpaceDN/>
        <w:spacing w:after="160" w:line="276" w:lineRule="auto"/>
        <w:textAlignment w:val="baseline"/>
        <w:rPr>
          <w:rFonts w:asciiTheme="minorHAnsi" w:eastAsia="SimSun" w:hAnsiTheme="minorHAnsi" w:cstheme="minorHAnsi"/>
          <w:spacing w:val="-3"/>
          <w:sz w:val="22"/>
          <w:szCs w:val="22"/>
          <w:lang w:val="en-GB"/>
        </w:rPr>
      </w:pPr>
      <w:r w:rsidRPr="007A6404">
        <w:rPr>
          <w:rFonts w:asciiTheme="minorHAnsi" w:eastAsia="SimSun" w:hAnsiTheme="minorHAnsi" w:cstheme="minorHAnsi"/>
          <w:spacing w:val="-3"/>
          <w:sz w:val="22"/>
          <w:szCs w:val="22"/>
          <w:lang w:val="en-GB"/>
        </w:rPr>
        <w:t>decrease in losses from impairment and provisions of HRK 18.57 million in comparison with 2021,</w:t>
      </w:r>
    </w:p>
    <w:p w14:paraId="74B79E23" w14:textId="77777777" w:rsidR="007A6404" w:rsidRPr="007A6404" w:rsidRDefault="007A6404">
      <w:pPr>
        <w:numPr>
          <w:ilvl w:val="0"/>
          <w:numId w:val="24"/>
        </w:numPr>
        <w:autoSpaceDN/>
        <w:spacing w:after="160" w:line="276" w:lineRule="auto"/>
        <w:textAlignment w:val="baseline"/>
        <w:rPr>
          <w:rFonts w:asciiTheme="minorHAnsi" w:eastAsia="SimSun" w:hAnsiTheme="minorHAnsi" w:cstheme="minorHAnsi"/>
          <w:spacing w:val="-3"/>
          <w:sz w:val="22"/>
          <w:szCs w:val="22"/>
          <w:lang w:val="en-GB"/>
        </w:rPr>
      </w:pPr>
      <w:r w:rsidRPr="007A6404">
        <w:rPr>
          <w:rFonts w:asciiTheme="minorHAnsi" w:eastAsia="SimSun" w:hAnsiTheme="minorHAnsi" w:cstheme="minorHAnsi"/>
          <w:spacing w:val="-3"/>
          <w:sz w:val="22"/>
          <w:szCs w:val="22"/>
          <w:lang w:val="en-GB"/>
        </w:rPr>
        <w:t>decrease in other income of HRK 9.81 million.</w:t>
      </w:r>
    </w:p>
    <w:p w14:paraId="433A951B" w14:textId="77777777" w:rsidR="007A6404" w:rsidRPr="007A6404" w:rsidRDefault="007A6404" w:rsidP="000B677E">
      <w:pPr>
        <w:tabs>
          <w:tab w:val="left" w:pos="-720"/>
        </w:tabs>
        <w:autoSpaceDN/>
        <w:spacing w:after="160" w:line="276" w:lineRule="auto"/>
        <w:ind w:left="720"/>
        <w:contextualSpacing/>
        <w:jc w:val="both"/>
        <w:rPr>
          <w:rFonts w:asciiTheme="minorHAnsi" w:eastAsia="SimSun" w:hAnsiTheme="minorHAnsi" w:cstheme="minorHAnsi"/>
          <w:spacing w:val="-3"/>
          <w:sz w:val="22"/>
          <w:szCs w:val="22"/>
          <w:lang w:val="en-GB"/>
        </w:rPr>
      </w:pPr>
    </w:p>
    <w:p w14:paraId="39771855" w14:textId="48018234" w:rsidR="007A6404" w:rsidRPr="007A6404" w:rsidRDefault="007A6404" w:rsidP="000B677E">
      <w:pPr>
        <w:tabs>
          <w:tab w:val="left" w:pos="-720"/>
        </w:tabs>
        <w:autoSpaceDN/>
        <w:jc w:val="both"/>
        <w:rPr>
          <w:rFonts w:asciiTheme="minorHAnsi" w:eastAsia="SimSun" w:hAnsiTheme="minorHAnsi" w:cstheme="minorHAnsi"/>
          <w:spacing w:val="-3"/>
          <w:sz w:val="22"/>
          <w:szCs w:val="22"/>
          <w:lang w:val="en-GB"/>
        </w:rPr>
      </w:pPr>
      <w:r w:rsidRPr="007A6404">
        <w:rPr>
          <w:rFonts w:asciiTheme="minorHAnsi" w:hAnsiTheme="minorHAnsi" w:cstheme="minorHAnsi"/>
          <w:spacing w:val="-3"/>
          <w:sz w:val="22"/>
          <w:szCs w:val="22"/>
          <w:lang w:val="en-GB"/>
        </w:rPr>
        <w:t>A detailed description of trends is given for each category separately in the following</w:t>
      </w:r>
      <w:r w:rsidR="003834BB">
        <w:rPr>
          <w:rFonts w:asciiTheme="minorHAnsi" w:hAnsiTheme="minorHAnsi" w:cstheme="minorHAnsi"/>
          <w:spacing w:val="-3"/>
          <w:sz w:val="22"/>
          <w:szCs w:val="22"/>
          <w:lang w:val="en-GB"/>
        </w:rPr>
        <w:t xml:space="preserve"> graphs</w:t>
      </w:r>
      <w:r w:rsidRPr="007A6404">
        <w:rPr>
          <w:rFonts w:asciiTheme="minorHAnsi" w:eastAsia="SimSun" w:hAnsiTheme="minorHAnsi" w:cstheme="minorHAnsi"/>
          <w:spacing w:val="-3"/>
          <w:sz w:val="22"/>
          <w:szCs w:val="22"/>
          <w:lang w:val="en-GB"/>
        </w:rPr>
        <w:t>.</w:t>
      </w:r>
    </w:p>
    <w:p w14:paraId="28ED4175" w14:textId="77777777" w:rsidR="007A6404" w:rsidRPr="007A6404" w:rsidRDefault="007A6404" w:rsidP="000B677E">
      <w:pPr>
        <w:tabs>
          <w:tab w:val="left" w:pos="-720"/>
        </w:tabs>
        <w:autoSpaceDN/>
        <w:jc w:val="both"/>
        <w:rPr>
          <w:rFonts w:asciiTheme="minorHAnsi" w:eastAsia="SimSun" w:hAnsiTheme="minorHAnsi" w:cstheme="minorHAnsi"/>
          <w:spacing w:val="-3"/>
          <w:sz w:val="22"/>
          <w:szCs w:val="22"/>
          <w:lang w:val="en-GB"/>
        </w:rPr>
      </w:pPr>
    </w:p>
    <w:p w14:paraId="30F4F168" w14:textId="77777777" w:rsidR="007A6404" w:rsidRPr="007A6404" w:rsidRDefault="007A6404" w:rsidP="000B677E">
      <w:pPr>
        <w:tabs>
          <w:tab w:val="left" w:pos="-720"/>
        </w:tabs>
        <w:autoSpaceDN/>
        <w:jc w:val="both"/>
        <w:rPr>
          <w:rFonts w:ascii="Calibri" w:eastAsia="SimSun" w:hAnsi="Calibri" w:cs="Calibri"/>
          <w:spacing w:val="-3"/>
          <w:sz w:val="22"/>
          <w:szCs w:val="22"/>
          <w:lang w:val="en-GB"/>
        </w:rPr>
      </w:pPr>
    </w:p>
    <w:p w14:paraId="3FDDFCB2" w14:textId="77777777" w:rsidR="007A6404" w:rsidRPr="007A6404" w:rsidRDefault="007A6404" w:rsidP="000B677E">
      <w:pPr>
        <w:autoSpaceDN/>
        <w:spacing w:after="160" w:line="276" w:lineRule="auto"/>
        <w:rPr>
          <w:rFonts w:ascii="Calibri" w:hAnsi="Calibri" w:cs="Calibri"/>
          <w:b/>
          <w:i/>
          <w:spacing w:val="-3"/>
          <w:sz w:val="22"/>
          <w:szCs w:val="22"/>
          <w:lang w:val="en-GB" w:eastAsia="hr-HR"/>
        </w:rPr>
      </w:pPr>
      <w:r w:rsidRPr="007A6404">
        <w:rPr>
          <w:rFonts w:ascii="Calibri" w:hAnsi="Calibri" w:cs="Calibri"/>
          <w:b/>
          <w:i/>
          <w:spacing w:val="-3"/>
          <w:sz w:val="22"/>
          <w:szCs w:val="22"/>
          <w:lang w:val="en-GB" w:eastAsia="hr-HR"/>
        </w:rPr>
        <w:br w:type="page"/>
      </w:r>
    </w:p>
    <w:p w14:paraId="4234114E" w14:textId="77777777" w:rsidR="007A6404" w:rsidRPr="007A6404" w:rsidRDefault="007A6404" w:rsidP="000B677E">
      <w:pPr>
        <w:tabs>
          <w:tab w:val="left" w:pos="-720"/>
        </w:tabs>
        <w:autoSpaceDN/>
        <w:ind w:left="-284" w:right="-426"/>
        <w:rPr>
          <w:rFonts w:ascii="Calibri" w:eastAsia="SimSun" w:hAnsi="Calibri" w:cs="Calibri"/>
          <w:sz w:val="22"/>
          <w:szCs w:val="22"/>
          <w:lang w:val="en-GB"/>
        </w:rPr>
      </w:pPr>
      <w:r w:rsidRPr="007A6404">
        <w:rPr>
          <w:rFonts w:ascii="Calibri" w:eastAsia="SimSun" w:hAnsi="Calibri" w:cs="Calibri"/>
          <w:sz w:val="22"/>
          <w:szCs w:val="22"/>
          <w:lang w:val="en-GB"/>
        </w:rPr>
        <w:lastRenderedPageBreak/>
        <w:t xml:space="preserve">     </w:t>
      </w:r>
      <w:r w:rsidRPr="007A6404">
        <w:rPr>
          <w:rFonts w:ascii="Calibri" w:hAnsi="Calibri" w:cs="Calibri"/>
          <w:b/>
          <w:i/>
          <w:spacing w:val="-3"/>
          <w:sz w:val="22"/>
          <w:szCs w:val="22"/>
          <w:lang w:val="en-GB" w:eastAsia="hr-HR"/>
        </w:rPr>
        <w:t xml:space="preserve">   </w:t>
      </w:r>
    </w:p>
    <w:p w14:paraId="6288B29A" w14:textId="77777777" w:rsidR="007A6404" w:rsidRPr="007A6404" w:rsidRDefault="007A6404" w:rsidP="000B677E">
      <w:pPr>
        <w:tabs>
          <w:tab w:val="left" w:pos="-720"/>
        </w:tabs>
        <w:autoSpaceDN/>
        <w:ind w:left="-284" w:right="-426"/>
        <w:rPr>
          <w:rFonts w:ascii="Calibri" w:hAnsi="Calibri" w:cs="Calibri"/>
          <w:b/>
          <w:i/>
          <w:spacing w:val="-3"/>
          <w:sz w:val="22"/>
          <w:szCs w:val="22"/>
          <w:lang w:val="en-GB" w:eastAsia="hr-HR"/>
        </w:rPr>
      </w:pPr>
      <w:r w:rsidRPr="007A6404">
        <w:rPr>
          <w:rFonts w:ascii="Calibri" w:hAnsi="Calibri" w:cs="Calibri"/>
          <w:b/>
          <w:i/>
          <w:spacing w:val="-3"/>
          <w:sz w:val="22"/>
          <w:szCs w:val="22"/>
          <w:lang w:val="en-GB" w:eastAsia="hr-HR"/>
        </w:rPr>
        <w:t xml:space="preserve">          </w:t>
      </w:r>
      <w:r w:rsidRPr="007A6404">
        <w:rPr>
          <w:rFonts w:ascii="Calibri" w:hAnsi="Calibri" w:cs="Calibri"/>
          <w:b/>
          <w:i/>
          <w:noProof/>
          <w:spacing w:val="-3"/>
          <w:sz w:val="22"/>
          <w:szCs w:val="22"/>
          <w:lang w:val="en-GB" w:eastAsia="hr-HR"/>
        </w:rPr>
        <w:drawing>
          <wp:inline distT="0" distB="0" distL="0" distR="0" wp14:anchorId="6016919C" wp14:editId="5CDCEB8E">
            <wp:extent cx="2447017" cy="3204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7017" cy="3204000"/>
                    </a:xfrm>
                    <a:prstGeom prst="rect">
                      <a:avLst/>
                    </a:prstGeom>
                    <a:noFill/>
                  </pic:spPr>
                </pic:pic>
              </a:graphicData>
            </a:graphic>
          </wp:inline>
        </w:drawing>
      </w:r>
      <w:r w:rsidRPr="007A6404">
        <w:rPr>
          <w:rFonts w:ascii="Calibri" w:hAnsi="Calibri" w:cs="Calibri"/>
          <w:b/>
          <w:i/>
          <w:spacing w:val="-3"/>
          <w:sz w:val="22"/>
          <w:szCs w:val="22"/>
          <w:lang w:val="en-GB" w:eastAsia="hr-HR"/>
        </w:rPr>
        <w:t xml:space="preserve">     </w:t>
      </w:r>
      <w:r w:rsidRPr="007A6404">
        <w:rPr>
          <w:rFonts w:ascii="Calibri" w:hAnsi="Calibri" w:cs="Calibri"/>
          <w:b/>
          <w:i/>
          <w:noProof/>
          <w:spacing w:val="-3"/>
          <w:sz w:val="22"/>
          <w:szCs w:val="22"/>
          <w:lang w:val="en-GB" w:eastAsia="hr-HR"/>
        </w:rPr>
        <w:drawing>
          <wp:inline distT="0" distB="0" distL="0" distR="0" wp14:anchorId="22459748" wp14:editId="62C95FD3">
            <wp:extent cx="2456125" cy="3204000"/>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6125" cy="3204000"/>
                    </a:xfrm>
                    <a:prstGeom prst="rect">
                      <a:avLst/>
                    </a:prstGeom>
                    <a:noFill/>
                  </pic:spPr>
                </pic:pic>
              </a:graphicData>
            </a:graphic>
          </wp:inline>
        </w:drawing>
      </w:r>
    </w:p>
    <w:p w14:paraId="3138B2E9" w14:textId="77777777" w:rsidR="007A6404" w:rsidRPr="007A6404" w:rsidRDefault="007A6404" w:rsidP="000B677E">
      <w:pPr>
        <w:tabs>
          <w:tab w:val="left" w:pos="-720"/>
        </w:tabs>
        <w:autoSpaceDN/>
        <w:ind w:left="-284" w:right="-426"/>
        <w:rPr>
          <w:rFonts w:ascii="Calibri" w:hAnsi="Calibri" w:cs="Calibri"/>
          <w:b/>
          <w:i/>
          <w:spacing w:val="-3"/>
          <w:sz w:val="22"/>
          <w:szCs w:val="22"/>
          <w:lang w:val="en-GB" w:eastAsia="hr-HR"/>
        </w:rPr>
      </w:pPr>
      <w:r w:rsidRPr="007A6404">
        <w:rPr>
          <w:rFonts w:ascii="Calibri" w:hAnsi="Calibri" w:cs="Calibri"/>
          <w:b/>
          <w:i/>
          <w:spacing w:val="-3"/>
          <w:sz w:val="22"/>
          <w:szCs w:val="22"/>
          <w:lang w:val="en-GB" w:eastAsia="hr-HR"/>
        </w:rPr>
        <w:t xml:space="preserve">  </w:t>
      </w:r>
    </w:p>
    <w:p w14:paraId="67345CE0" w14:textId="77777777" w:rsidR="007A6404" w:rsidRPr="007A6404" w:rsidRDefault="007A6404" w:rsidP="000B677E">
      <w:pPr>
        <w:tabs>
          <w:tab w:val="left" w:pos="-720"/>
        </w:tabs>
        <w:autoSpaceDN/>
        <w:ind w:left="-284" w:right="-426"/>
        <w:rPr>
          <w:rFonts w:ascii="Calibri" w:eastAsia="SimSun" w:hAnsi="Calibri"/>
          <w:sz w:val="21"/>
          <w:szCs w:val="21"/>
          <w:lang w:val="en-GB"/>
        </w:rPr>
      </w:pPr>
      <w:r w:rsidRPr="007A6404">
        <w:rPr>
          <w:rFonts w:ascii="Calibri" w:hAnsi="Calibri" w:cs="Calibri"/>
          <w:b/>
          <w:i/>
          <w:spacing w:val="-3"/>
          <w:sz w:val="22"/>
          <w:szCs w:val="22"/>
          <w:lang w:val="en-GB" w:eastAsia="hr-HR"/>
        </w:rPr>
        <w:t xml:space="preserve">       </w:t>
      </w:r>
    </w:p>
    <w:p w14:paraId="5EDBDB1C" w14:textId="77777777" w:rsidR="007A6404" w:rsidRPr="007A6404" w:rsidRDefault="007A6404" w:rsidP="000B677E">
      <w:pPr>
        <w:tabs>
          <w:tab w:val="left" w:pos="-720"/>
        </w:tabs>
        <w:autoSpaceDN/>
        <w:ind w:left="-284" w:right="-426"/>
        <w:rPr>
          <w:rFonts w:ascii="Calibri" w:hAnsi="Calibri" w:cs="Calibri"/>
          <w:b/>
          <w:i/>
          <w:spacing w:val="-3"/>
          <w:sz w:val="22"/>
          <w:szCs w:val="22"/>
          <w:lang w:val="en-GB" w:eastAsia="hr-HR"/>
        </w:rPr>
      </w:pPr>
      <w:r w:rsidRPr="007A6404">
        <w:rPr>
          <w:rFonts w:ascii="Calibri" w:hAnsi="Calibri" w:cs="Calibri"/>
          <w:b/>
          <w:i/>
          <w:spacing w:val="-3"/>
          <w:sz w:val="22"/>
          <w:szCs w:val="22"/>
          <w:lang w:val="en-GB" w:eastAsia="hr-HR"/>
        </w:rPr>
        <w:t xml:space="preserve">            </w:t>
      </w:r>
    </w:p>
    <w:p w14:paraId="3371A3EE" w14:textId="77777777" w:rsidR="007A6404" w:rsidRPr="007A6404" w:rsidRDefault="007A6404" w:rsidP="000B677E">
      <w:pPr>
        <w:tabs>
          <w:tab w:val="left" w:pos="-720"/>
        </w:tabs>
        <w:autoSpaceDN/>
        <w:ind w:left="-284" w:right="-426"/>
        <w:rPr>
          <w:rFonts w:ascii="Calibri" w:hAnsi="Calibri" w:cs="Calibri"/>
          <w:b/>
          <w:i/>
          <w:spacing w:val="-3"/>
          <w:sz w:val="22"/>
          <w:szCs w:val="22"/>
          <w:lang w:val="en-GB" w:eastAsia="hr-HR"/>
        </w:rPr>
      </w:pPr>
      <w:r w:rsidRPr="007A6404">
        <w:rPr>
          <w:rFonts w:ascii="Calibri" w:hAnsi="Calibri" w:cs="Calibri"/>
          <w:b/>
          <w:i/>
          <w:spacing w:val="-3"/>
          <w:sz w:val="22"/>
          <w:szCs w:val="22"/>
          <w:lang w:val="en-GB" w:eastAsia="hr-HR"/>
        </w:rPr>
        <w:t xml:space="preserve">          </w:t>
      </w:r>
      <w:r w:rsidRPr="007A6404">
        <w:rPr>
          <w:rFonts w:ascii="Calibri" w:hAnsi="Calibri" w:cs="Calibri"/>
          <w:b/>
          <w:i/>
          <w:noProof/>
          <w:spacing w:val="-3"/>
          <w:sz w:val="22"/>
          <w:szCs w:val="22"/>
          <w:lang w:val="en-GB" w:eastAsia="hr-HR"/>
        </w:rPr>
        <w:drawing>
          <wp:inline distT="0" distB="0" distL="0" distR="0" wp14:anchorId="626E041B" wp14:editId="31A07393">
            <wp:extent cx="2454467" cy="3204000"/>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4467" cy="3204000"/>
                    </a:xfrm>
                    <a:prstGeom prst="rect">
                      <a:avLst/>
                    </a:prstGeom>
                    <a:noFill/>
                  </pic:spPr>
                </pic:pic>
              </a:graphicData>
            </a:graphic>
          </wp:inline>
        </w:drawing>
      </w:r>
      <w:r w:rsidRPr="007A6404">
        <w:rPr>
          <w:rFonts w:ascii="Calibri" w:hAnsi="Calibri" w:cs="Calibri"/>
          <w:b/>
          <w:i/>
          <w:spacing w:val="-3"/>
          <w:sz w:val="22"/>
          <w:szCs w:val="22"/>
          <w:lang w:val="en-GB" w:eastAsia="hr-HR"/>
        </w:rPr>
        <w:t xml:space="preserve">     </w:t>
      </w:r>
      <w:r w:rsidRPr="007A6404">
        <w:rPr>
          <w:rFonts w:ascii="Calibri" w:hAnsi="Calibri" w:cs="Calibri"/>
          <w:b/>
          <w:i/>
          <w:noProof/>
          <w:spacing w:val="-3"/>
          <w:sz w:val="22"/>
          <w:szCs w:val="22"/>
          <w:lang w:val="en-GB" w:eastAsia="hr-HR"/>
        </w:rPr>
        <w:drawing>
          <wp:inline distT="0" distB="0" distL="0" distR="0" wp14:anchorId="737E9A3A" wp14:editId="5AEF9C61">
            <wp:extent cx="2454467" cy="3204000"/>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4467" cy="3204000"/>
                    </a:xfrm>
                    <a:prstGeom prst="rect">
                      <a:avLst/>
                    </a:prstGeom>
                    <a:noFill/>
                  </pic:spPr>
                </pic:pic>
              </a:graphicData>
            </a:graphic>
          </wp:inline>
        </w:drawing>
      </w:r>
    </w:p>
    <w:p w14:paraId="29AAA460" w14:textId="77777777" w:rsidR="007A6404" w:rsidRPr="007A6404" w:rsidRDefault="007A6404" w:rsidP="000B677E">
      <w:pPr>
        <w:tabs>
          <w:tab w:val="left" w:pos="-720"/>
        </w:tabs>
        <w:autoSpaceDN/>
        <w:ind w:left="-426" w:right="-285"/>
        <w:jc w:val="both"/>
        <w:rPr>
          <w:rFonts w:ascii="Calibri" w:hAnsi="Calibri" w:cs="Calibri"/>
          <w:b/>
          <w:i/>
          <w:spacing w:val="-3"/>
          <w:sz w:val="22"/>
          <w:szCs w:val="22"/>
          <w:lang w:val="en-GB" w:eastAsia="hr-HR"/>
        </w:rPr>
      </w:pPr>
    </w:p>
    <w:p w14:paraId="1270B239" w14:textId="77777777" w:rsidR="007A6404" w:rsidRPr="007A6404" w:rsidRDefault="007A6404" w:rsidP="000B677E">
      <w:pPr>
        <w:tabs>
          <w:tab w:val="left" w:pos="-720"/>
        </w:tabs>
        <w:autoSpaceDN/>
        <w:ind w:left="-426" w:right="-285"/>
        <w:jc w:val="both"/>
        <w:rPr>
          <w:rFonts w:ascii="Calibri" w:hAnsi="Calibri" w:cs="Calibri"/>
          <w:b/>
          <w:i/>
          <w:spacing w:val="-3"/>
          <w:sz w:val="22"/>
          <w:szCs w:val="22"/>
          <w:lang w:val="en-GB" w:eastAsia="hr-HR"/>
        </w:rPr>
      </w:pPr>
    </w:p>
    <w:p w14:paraId="0871E2CB" w14:textId="77777777" w:rsidR="007A6404" w:rsidRPr="007A6404" w:rsidRDefault="007A6404" w:rsidP="000B677E">
      <w:pPr>
        <w:autoSpaceDN/>
        <w:spacing w:after="160" w:line="276" w:lineRule="auto"/>
        <w:rPr>
          <w:rFonts w:ascii="Calibri" w:hAnsi="Calibri" w:cs="Calibri"/>
          <w:b/>
          <w:i/>
          <w:spacing w:val="-3"/>
          <w:sz w:val="22"/>
          <w:szCs w:val="22"/>
          <w:lang w:val="en-GB" w:eastAsia="hr-HR"/>
        </w:rPr>
      </w:pPr>
      <w:r w:rsidRPr="007A6404">
        <w:rPr>
          <w:rFonts w:ascii="Calibri" w:hAnsi="Calibri" w:cs="Calibri"/>
          <w:b/>
          <w:i/>
          <w:spacing w:val="-3"/>
          <w:sz w:val="22"/>
          <w:szCs w:val="22"/>
          <w:lang w:val="en-GB" w:eastAsia="hr-HR"/>
        </w:rPr>
        <w:br w:type="page"/>
      </w:r>
    </w:p>
    <w:p w14:paraId="14162E0F" w14:textId="77777777" w:rsidR="007A6404" w:rsidRPr="007A6404" w:rsidRDefault="007A6404" w:rsidP="000B677E">
      <w:pPr>
        <w:tabs>
          <w:tab w:val="left" w:pos="-720"/>
        </w:tabs>
        <w:autoSpaceDN/>
        <w:jc w:val="both"/>
        <w:rPr>
          <w:rFonts w:ascii="Calibri" w:hAnsi="Calibri" w:cs="Calibri"/>
          <w:b/>
          <w:i/>
          <w:spacing w:val="-3"/>
          <w:sz w:val="22"/>
          <w:szCs w:val="22"/>
          <w:lang w:val="en-GB" w:eastAsia="hr-HR"/>
        </w:rPr>
      </w:pPr>
      <w:r w:rsidRPr="007A6404">
        <w:rPr>
          <w:rFonts w:ascii="Calibri" w:hAnsi="Calibri" w:cs="Calibri"/>
          <w:b/>
          <w:i/>
          <w:spacing w:val="-3"/>
          <w:sz w:val="22"/>
          <w:szCs w:val="22"/>
          <w:lang w:val="en-GB" w:eastAsia="hr-HR"/>
        </w:rPr>
        <w:lastRenderedPageBreak/>
        <w:t>Net interest income</w:t>
      </w:r>
    </w:p>
    <w:p w14:paraId="31F1C4A6" w14:textId="77777777" w:rsidR="007A6404" w:rsidRPr="007A6404" w:rsidRDefault="007A6404" w:rsidP="000B677E">
      <w:pPr>
        <w:tabs>
          <w:tab w:val="left" w:pos="-720"/>
        </w:tabs>
        <w:jc w:val="both"/>
        <w:textAlignment w:val="baseline"/>
        <w:rPr>
          <w:rFonts w:ascii="Calibri" w:hAnsi="Calibri" w:cs="Calibri"/>
          <w:b/>
          <w:i/>
          <w:spacing w:val="-3"/>
          <w:sz w:val="22"/>
          <w:szCs w:val="22"/>
          <w:lang w:val="en-GB" w:eastAsia="hr-HR"/>
        </w:rPr>
      </w:pPr>
    </w:p>
    <w:p w14:paraId="2311EDEC" w14:textId="77777777" w:rsidR="007A6404" w:rsidRPr="007A6404" w:rsidRDefault="007A6404" w:rsidP="000B677E">
      <w:pPr>
        <w:tabs>
          <w:tab w:val="left" w:pos="-720"/>
        </w:tabs>
        <w:jc w:val="both"/>
        <w:textAlignment w:val="baseline"/>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 xml:space="preserve">Net interest income amounted to HRK 469.47 million, a decrease of 4.49 percent on the same period of the previous reporting year due to a decrease in interest income of HRK 48.29 million and a decrease in interest expenses of HRK 26.20 million. </w:t>
      </w:r>
    </w:p>
    <w:p w14:paraId="01E13381" w14:textId="77777777" w:rsidR="007A6404" w:rsidRPr="008727DF" w:rsidRDefault="007A6404" w:rsidP="000B677E">
      <w:pPr>
        <w:jc w:val="both"/>
        <w:textAlignment w:val="baseline"/>
        <w:rPr>
          <w:rFonts w:ascii="Calibri" w:hAnsi="Calibri" w:cs="Calibri"/>
          <w:color w:val="000000" w:themeColor="text1"/>
          <w:sz w:val="22"/>
          <w:szCs w:val="22"/>
          <w:lang w:val="en-GB"/>
        </w:rPr>
      </w:pPr>
      <w:r w:rsidRPr="007A6404">
        <w:rPr>
          <w:rFonts w:ascii="Calibri" w:eastAsia="Calibri" w:hAnsi="Calibri" w:cs="Calibri"/>
          <w:spacing w:val="-3"/>
          <w:sz w:val="22"/>
          <w:szCs w:val="22"/>
          <w:lang w:val="en-GB"/>
        </w:rPr>
        <w:t xml:space="preserve">Interest income calculated </w:t>
      </w:r>
      <w:proofErr w:type="gramStart"/>
      <w:r w:rsidRPr="007A6404">
        <w:rPr>
          <w:rFonts w:ascii="Calibri" w:eastAsia="Calibri" w:hAnsi="Calibri" w:cs="Calibri"/>
          <w:spacing w:val="-3"/>
          <w:sz w:val="22"/>
          <w:szCs w:val="22"/>
          <w:lang w:val="en-GB"/>
        </w:rPr>
        <w:t>on the basis of</w:t>
      </w:r>
      <w:proofErr w:type="gramEnd"/>
      <w:r w:rsidRPr="007A6404">
        <w:rPr>
          <w:rFonts w:ascii="Calibri" w:eastAsia="Calibri" w:hAnsi="Calibri" w:cs="Calibri"/>
          <w:spacing w:val="-3"/>
          <w:sz w:val="22"/>
          <w:szCs w:val="22"/>
          <w:lang w:val="en-GB"/>
        </w:rPr>
        <w:t xml:space="preserve"> the effective interest rate method amounted to HRK 627.88 million, a decrease of 7.14 percent on the same reporting period last year, mostly due to a lower effective interest rate in 2022 as compared to that in 2021.</w:t>
      </w:r>
    </w:p>
    <w:p w14:paraId="37819B41" w14:textId="77777777" w:rsidR="007A6404" w:rsidRPr="008727DF" w:rsidRDefault="007A6404" w:rsidP="000B677E">
      <w:pPr>
        <w:tabs>
          <w:tab w:val="left" w:pos="-720"/>
        </w:tabs>
        <w:jc w:val="both"/>
        <w:textAlignment w:val="baseline"/>
        <w:rPr>
          <w:rFonts w:ascii="Calibri" w:eastAsia="Calibri" w:hAnsi="Calibri" w:cs="Calibri"/>
          <w:color w:val="000000" w:themeColor="text1"/>
          <w:spacing w:val="-3"/>
          <w:sz w:val="22"/>
          <w:szCs w:val="22"/>
          <w:lang w:val="en-GB"/>
        </w:rPr>
      </w:pPr>
    </w:p>
    <w:p w14:paraId="022DD9B9" w14:textId="77777777" w:rsidR="007A6404" w:rsidRPr="007A6404" w:rsidRDefault="007A6404" w:rsidP="000B677E">
      <w:pPr>
        <w:tabs>
          <w:tab w:val="left" w:pos="-720"/>
        </w:tabs>
        <w:jc w:val="both"/>
        <w:textAlignment w:val="baseline"/>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Interest expenses amounted to HRK 158.41 million, a decrease of 14.19 percent on the same reporting period last year, which was mostly affected by the repayment of borrowings.</w:t>
      </w:r>
    </w:p>
    <w:p w14:paraId="34062ECD" w14:textId="77777777" w:rsidR="007A6404" w:rsidRPr="007A6404" w:rsidRDefault="007A6404" w:rsidP="000B677E">
      <w:pPr>
        <w:tabs>
          <w:tab w:val="left" w:pos="-720"/>
        </w:tabs>
        <w:jc w:val="both"/>
        <w:textAlignment w:val="baseline"/>
        <w:rPr>
          <w:rFonts w:ascii="Calibri" w:eastAsia="Calibri" w:hAnsi="Calibri" w:cs="Calibri"/>
          <w:spacing w:val="-3"/>
          <w:sz w:val="22"/>
          <w:szCs w:val="22"/>
          <w:lang w:val="en-GB"/>
        </w:rPr>
      </w:pPr>
    </w:p>
    <w:p w14:paraId="6C3E48D6" w14:textId="77777777" w:rsidR="007A6404" w:rsidRPr="007A6404" w:rsidRDefault="007A6404" w:rsidP="000B677E">
      <w:pPr>
        <w:tabs>
          <w:tab w:val="left" w:pos="-720"/>
        </w:tabs>
        <w:jc w:val="both"/>
        <w:textAlignment w:val="baseline"/>
        <w:rPr>
          <w:rFonts w:ascii="Calibri" w:eastAsia="Calibri" w:hAnsi="Calibri" w:cs="Calibri"/>
          <w:sz w:val="22"/>
          <w:szCs w:val="22"/>
          <w:lang w:val="en-GB"/>
        </w:rPr>
      </w:pPr>
      <w:r w:rsidRPr="007A6404">
        <w:rPr>
          <w:rFonts w:ascii="Calibri" w:eastAsia="Calibri" w:hAnsi="Calibri" w:cs="Calibri"/>
          <w:spacing w:val="-3"/>
          <w:sz w:val="22"/>
          <w:szCs w:val="22"/>
          <w:lang w:val="en-GB"/>
        </w:rPr>
        <w:t>Having in mind the described trends in interest income and interest expenses, net interest margin decreased by 0.09 percentage points compared with the same reporting period last year and stood at 1.64 percent.</w:t>
      </w:r>
    </w:p>
    <w:p w14:paraId="2C7D2CD5" w14:textId="77777777" w:rsidR="007A6404" w:rsidRPr="007A6404" w:rsidRDefault="007A6404" w:rsidP="000B677E">
      <w:pPr>
        <w:tabs>
          <w:tab w:val="left" w:pos="-720"/>
        </w:tabs>
        <w:jc w:val="both"/>
        <w:textAlignment w:val="baseline"/>
        <w:rPr>
          <w:rFonts w:ascii="Calibri" w:hAnsi="Calibri" w:cs="Calibri"/>
          <w:b/>
          <w:i/>
          <w:spacing w:val="-3"/>
          <w:sz w:val="22"/>
          <w:szCs w:val="22"/>
          <w:lang w:val="en-GB" w:eastAsia="hr-HR"/>
        </w:rPr>
      </w:pPr>
    </w:p>
    <w:p w14:paraId="592DC137" w14:textId="77777777" w:rsidR="007A6404" w:rsidRPr="007A6404" w:rsidRDefault="007A6404" w:rsidP="000B677E">
      <w:pPr>
        <w:tabs>
          <w:tab w:val="left" w:pos="-720"/>
        </w:tabs>
        <w:jc w:val="both"/>
        <w:textAlignment w:val="baseline"/>
        <w:rPr>
          <w:rFonts w:ascii="Calibri" w:hAnsi="Calibri" w:cs="Calibri"/>
          <w:b/>
          <w:i/>
          <w:spacing w:val="-3"/>
          <w:sz w:val="22"/>
          <w:szCs w:val="22"/>
          <w:lang w:val="en-GB" w:eastAsia="hr-HR"/>
        </w:rPr>
      </w:pPr>
      <w:r w:rsidRPr="007A6404">
        <w:rPr>
          <w:rFonts w:ascii="Calibri" w:hAnsi="Calibri" w:cs="Calibri"/>
          <w:b/>
          <w:i/>
          <w:spacing w:val="-3"/>
          <w:sz w:val="22"/>
          <w:szCs w:val="22"/>
          <w:lang w:val="en-GB" w:eastAsia="hr-HR"/>
        </w:rPr>
        <w:t>Net fee and commission income</w:t>
      </w:r>
    </w:p>
    <w:p w14:paraId="4B5A5304" w14:textId="77777777" w:rsidR="007A6404" w:rsidRPr="007A6404" w:rsidRDefault="007A6404" w:rsidP="000B677E">
      <w:pPr>
        <w:tabs>
          <w:tab w:val="left" w:pos="-720"/>
        </w:tabs>
        <w:jc w:val="both"/>
        <w:textAlignment w:val="baseline"/>
        <w:rPr>
          <w:rFonts w:ascii="Calibri" w:hAnsi="Calibri" w:cs="Calibri"/>
          <w:b/>
          <w:i/>
          <w:spacing w:val="-3"/>
          <w:sz w:val="22"/>
          <w:szCs w:val="22"/>
          <w:lang w:val="en-GB" w:eastAsia="hr-HR"/>
        </w:rPr>
      </w:pPr>
    </w:p>
    <w:p w14:paraId="632F99D7" w14:textId="77777777" w:rsidR="007A6404" w:rsidRPr="007A6404" w:rsidRDefault="007A6404" w:rsidP="000B677E">
      <w:pPr>
        <w:autoSpaceDN/>
        <w:jc w:val="both"/>
        <w:rPr>
          <w:rFonts w:ascii="Calibri" w:eastAsia="SimSun" w:hAnsi="Calibri" w:cs="Calibri"/>
          <w:spacing w:val="-3"/>
          <w:sz w:val="22"/>
          <w:szCs w:val="22"/>
          <w:lang w:val="en-GB"/>
        </w:rPr>
      </w:pPr>
      <w:r w:rsidRPr="007A6404">
        <w:rPr>
          <w:rFonts w:ascii="Calibri" w:eastAsia="Calibri" w:hAnsi="Calibri" w:cs="Calibri"/>
          <w:spacing w:val="-3"/>
          <w:sz w:val="22"/>
          <w:szCs w:val="22"/>
          <w:lang w:val="en-GB"/>
        </w:rPr>
        <w:t>Net fee and commission income amounted to HRK 19.39 million, a decrease of 17.28 percent compared with the previous year due to a larger decrease in fee and commission income of HRK 5.20 million compared with the decrease in fee and commission expenses of HRK 1.15 million.</w:t>
      </w:r>
      <w:r w:rsidRPr="007A6404">
        <w:rPr>
          <w:rFonts w:ascii="Calibri" w:eastAsia="SimSun" w:hAnsi="Calibri" w:cs="Calibri"/>
          <w:spacing w:val="-3"/>
          <w:sz w:val="22"/>
          <w:szCs w:val="22"/>
          <w:lang w:val="en-GB"/>
        </w:rPr>
        <w:t xml:space="preserve"> The decrease in fee and commission income is a result of a decrease in fee income under agent transactions performed for and on behalf of principal.</w:t>
      </w:r>
    </w:p>
    <w:p w14:paraId="342DC1B2" w14:textId="77777777" w:rsidR="007A6404" w:rsidRPr="007A6404" w:rsidRDefault="007A6404" w:rsidP="000B677E">
      <w:pPr>
        <w:autoSpaceDN/>
        <w:jc w:val="both"/>
        <w:rPr>
          <w:rFonts w:ascii="Calibri" w:hAnsi="Calibri" w:cs="Calibri"/>
          <w:sz w:val="22"/>
          <w:szCs w:val="22"/>
          <w:lang w:val="en-GB" w:eastAsia="hr-HR"/>
        </w:rPr>
      </w:pPr>
      <w:r w:rsidRPr="007A6404">
        <w:rPr>
          <w:rFonts w:ascii="Calibri" w:hAnsi="Calibri" w:cs="Calibri"/>
          <w:sz w:val="22"/>
          <w:szCs w:val="22"/>
          <w:lang w:val="en-GB" w:eastAsia="hr-HR"/>
        </w:rPr>
        <w:t xml:space="preserve">Under the contract with the principal, HBOR recorded income </w:t>
      </w:r>
      <w:proofErr w:type="gramStart"/>
      <w:r w:rsidRPr="007A6404">
        <w:rPr>
          <w:rFonts w:ascii="Calibri" w:hAnsi="Calibri" w:cs="Calibri"/>
          <w:sz w:val="22"/>
          <w:szCs w:val="22"/>
          <w:lang w:val="en-GB" w:eastAsia="hr-HR"/>
        </w:rPr>
        <w:t>on the basis of</w:t>
      </w:r>
      <w:proofErr w:type="gramEnd"/>
      <w:r w:rsidRPr="007A6404">
        <w:rPr>
          <w:rFonts w:ascii="Calibri" w:hAnsi="Calibri" w:cs="Calibri"/>
          <w:sz w:val="22"/>
          <w:szCs w:val="22"/>
          <w:lang w:val="en-GB" w:eastAsia="hr-HR"/>
        </w:rPr>
        <w:t xml:space="preserve"> rights to management fees in 2020 and 2021. In 2022, the management fee was verified and HBOR could not completely justify the income by its internal costs and, therefore, recorded the unjustified part of the fee as an expense upon recalculation.</w:t>
      </w:r>
    </w:p>
    <w:p w14:paraId="5A6C956A" w14:textId="77777777" w:rsidR="007A6404" w:rsidRPr="007A6404" w:rsidRDefault="007A6404" w:rsidP="000B677E">
      <w:pPr>
        <w:autoSpaceDN/>
        <w:jc w:val="both"/>
        <w:rPr>
          <w:rFonts w:ascii="Calibri" w:eastAsia="SimSun" w:hAnsi="Calibri" w:cs="Calibri"/>
          <w:spacing w:val="-3"/>
          <w:sz w:val="22"/>
          <w:szCs w:val="22"/>
          <w:lang w:val="en-GB"/>
        </w:rPr>
      </w:pPr>
    </w:p>
    <w:p w14:paraId="12ACF5DA" w14:textId="77777777" w:rsidR="007A6404" w:rsidRPr="007A6404" w:rsidRDefault="007A6404" w:rsidP="000B677E">
      <w:pPr>
        <w:autoSpaceDN/>
        <w:spacing w:after="160" w:line="276" w:lineRule="auto"/>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br w:type="page"/>
      </w:r>
    </w:p>
    <w:p w14:paraId="106066B8" w14:textId="0BF2B7AD" w:rsidR="007A6404" w:rsidRPr="007A6404" w:rsidRDefault="007A6404" w:rsidP="000B677E">
      <w:pPr>
        <w:autoSpaceDN/>
        <w:jc w:val="both"/>
        <w:rPr>
          <w:rFonts w:ascii="Calibri" w:hAnsi="Calibri" w:cs="Calibri"/>
          <w:b/>
          <w:i/>
          <w:sz w:val="22"/>
          <w:szCs w:val="22"/>
          <w:lang w:val="en-GB" w:eastAsia="hr-HR"/>
        </w:rPr>
      </w:pPr>
      <w:r w:rsidRPr="007A6404">
        <w:rPr>
          <w:rFonts w:ascii="Calibri" w:hAnsi="Calibri" w:cs="Calibri"/>
          <w:b/>
          <w:i/>
          <w:sz w:val="22"/>
          <w:szCs w:val="22"/>
          <w:lang w:val="en-GB" w:eastAsia="hr-HR"/>
        </w:rPr>
        <w:lastRenderedPageBreak/>
        <w:t>Net</w:t>
      </w:r>
      <w:r w:rsidR="00DB181F">
        <w:rPr>
          <w:rFonts w:ascii="Calibri" w:hAnsi="Calibri" w:cs="Calibri"/>
          <w:b/>
          <w:i/>
          <w:sz w:val="22"/>
          <w:szCs w:val="22"/>
          <w:lang w:val="en-GB" w:eastAsia="hr-HR"/>
        </w:rPr>
        <w:t xml:space="preserve"> </w:t>
      </w:r>
      <w:r w:rsidRPr="007A6404">
        <w:rPr>
          <w:rFonts w:ascii="Calibri" w:hAnsi="Calibri" w:cs="Calibri"/>
          <w:b/>
          <w:i/>
          <w:sz w:val="22"/>
          <w:szCs w:val="22"/>
          <w:lang w:val="en-GB" w:eastAsia="hr-HR"/>
        </w:rPr>
        <w:t>gains/(losses) on financial operations</w:t>
      </w:r>
    </w:p>
    <w:p w14:paraId="5D514F00" w14:textId="77777777" w:rsidR="007A6404" w:rsidRPr="007A6404" w:rsidRDefault="007A6404" w:rsidP="000B677E">
      <w:pPr>
        <w:autoSpaceDN/>
        <w:jc w:val="both"/>
        <w:rPr>
          <w:rFonts w:ascii="Calibri" w:hAnsi="Calibri" w:cs="Calibri"/>
          <w:b/>
          <w:i/>
          <w:sz w:val="22"/>
          <w:szCs w:val="22"/>
          <w:lang w:val="en-GB" w:eastAsia="hr-HR"/>
        </w:rPr>
      </w:pPr>
    </w:p>
    <w:p w14:paraId="135088A5" w14:textId="77777777" w:rsidR="007A6404" w:rsidRPr="007A6404" w:rsidRDefault="007A6404" w:rsidP="000B677E">
      <w:pPr>
        <w:jc w:val="both"/>
        <w:textAlignment w:val="baseline"/>
        <w:rPr>
          <w:rFonts w:ascii="Calibri" w:eastAsia="Calibri" w:hAnsi="Calibri" w:cs="Calibri"/>
          <w:sz w:val="22"/>
          <w:szCs w:val="22"/>
          <w:lang w:val="en-GB"/>
        </w:rPr>
      </w:pPr>
      <w:r w:rsidRPr="007A6404">
        <w:rPr>
          <w:rFonts w:ascii="Calibri" w:eastAsia="Calibri" w:hAnsi="Calibri" w:cs="Calibri"/>
          <w:spacing w:val="-3"/>
          <w:sz w:val="22"/>
          <w:szCs w:val="22"/>
          <w:lang w:val="en-GB"/>
        </w:rPr>
        <w:t>Net gains/(losses) on financial operations are comprised of net foreign exchange gains/(losses) on the principal amount of receivables and liabilities, net revenues or expenditures arising out of the loan contracts with embedded call option, gains/(losses) arising out of value adjustment of financial assets stated at fair value through profit or loss and realised gains/(losses) arising out of financial assets at fair value through other comprehensive income</w:t>
      </w:r>
      <w:r w:rsidRPr="007A6404">
        <w:rPr>
          <w:rFonts w:ascii="Calibri" w:hAnsi="Calibri" w:cs="Calibri"/>
          <w:spacing w:val="-3"/>
          <w:sz w:val="22"/>
          <w:szCs w:val="22"/>
          <w:lang w:val="en-GB" w:eastAsia="hr-HR"/>
        </w:rPr>
        <w:t>.</w:t>
      </w:r>
    </w:p>
    <w:p w14:paraId="1396ED06" w14:textId="77777777" w:rsidR="007A6404" w:rsidRPr="007A6404" w:rsidRDefault="007A6404" w:rsidP="000B677E">
      <w:pPr>
        <w:tabs>
          <w:tab w:val="left" w:pos="-720"/>
        </w:tabs>
        <w:jc w:val="both"/>
        <w:textAlignment w:val="baseline"/>
        <w:rPr>
          <w:rFonts w:ascii="Calibri" w:hAnsi="Calibri" w:cs="Calibri"/>
          <w:spacing w:val="-3"/>
          <w:sz w:val="22"/>
          <w:szCs w:val="22"/>
          <w:lang w:val="en-GB" w:eastAsia="hr-HR"/>
        </w:rPr>
      </w:pPr>
      <w:r w:rsidRPr="007A6404">
        <w:rPr>
          <w:rFonts w:ascii="Calibri" w:hAnsi="Calibri" w:cs="Calibri"/>
          <w:spacing w:val="-3"/>
          <w:sz w:val="22"/>
          <w:szCs w:val="22"/>
          <w:lang w:val="en-GB" w:eastAsia="hr-HR"/>
        </w:rPr>
        <w:t xml:space="preserve"> </w:t>
      </w:r>
    </w:p>
    <w:p w14:paraId="200FB2CF" w14:textId="77777777" w:rsidR="007A6404" w:rsidRPr="007A6404" w:rsidRDefault="007A6404" w:rsidP="000B677E">
      <w:pPr>
        <w:tabs>
          <w:tab w:val="left" w:pos="-720"/>
        </w:tabs>
        <w:spacing w:line="276" w:lineRule="auto"/>
        <w:jc w:val="both"/>
        <w:textAlignment w:val="baseline"/>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 xml:space="preserve">In the reporting period, net gains on financial operations amounted to HRK 16.73 million, whereas in the previous year, net losses amounted to HRK 11.84 million. </w:t>
      </w:r>
    </w:p>
    <w:p w14:paraId="154B6873" w14:textId="77777777" w:rsidR="007A6404" w:rsidRPr="007A6404" w:rsidRDefault="007A6404" w:rsidP="000B677E">
      <w:pPr>
        <w:tabs>
          <w:tab w:val="left" w:pos="-720"/>
        </w:tabs>
        <w:autoSpaceDN/>
        <w:jc w:val="both"/>
        <w:rPr>
          <w:rFonts w:ascii="Calibri" w:eastAsia="SimSun" w:hAnsi="Calibri" w:cs="Calibri"/>
          <w:spacing w:val="-3"/>
          <w:sz w:val="22"/>
          <w:szCs w:val="22"/>
          <w:lang w:val="en-GB"/>
        </w:rPr>
      </w:pPr>
    </w:p>
    <w:p w14:paraId="08F2AE91" w14:textId="77777777" w:rsidR="007A6404" w:rsidRPr="007A6404" w:rsidRDefault="007A6404" w:rsidP="000B677E">
      <w:pPr>
        <w:tabs>
          <w:tab w:val="left" w:pos="-720"/>
        </w:tabs>
        <w:autoSpaceDN/>
        <w:jc w:val="both"/>
        <w:rPr>
          <w:rFonts w:ascii="Calibri" w:eastAsia="SimSun" w:hAnsi="Calibri" w:cs="Calibri"/>
          <w:spacing w:val="-3"/>
          <w:sz w:val="22"/>
          <w:szCs w:val="22"/>
          <w:lang w:val="en-GB"/>
        </w:rPr>
      </w:pPr>
      <w:r w:rsidRPr="007A6404">
        <w:rPr>
          <w:rFonts w:ascii="Calibri" w:eastAsia="SimSun" w:hAnsi="Calibri" w:cs="Calibri"/>
          <w:spacing w:val="-3"/>
          <w:sz w:val="22"/>
          <w:szCs w:val="22"/>
          <w:lang w:val="en-GB"/>
        </w:rPr>
        <w:t>A breakdown of changes in the exchange rate of HRK against the EUR and the USD:</w:t>
      </w:r>
    </w:p>
    <w:p w14:paraId="611F9949" w14:textId="77777777" w:rsidR="007A6404" w:rsidRPr="007A6404" w:rsidRDefault="007A6404" w:rsidP="000B677E">
      <w:pPr>
        <w:tabs>
          <w:tab w:val="left" w:pos="-720"/>
        </w:tabs>
        <w:autoSpaceDN/>
        <w:jc w:val="both"/>
        <w:rPr>
          <w:rFonts w:ascii="Calibri" w:eastAsia="SimSun" w:hAnsi="Calibri" w:cs="Calibri"/>
          <w:spacing w:val="-3"/>
          <w:sz w:val="22"/>
          <w:szCs w:val="22"/>
          <w:lang w:val="en-GB"/>
        </w:rPr>
      </w:pPr>
    </w:p>
    <w:p w14:paraId="14487098" w14:textId="77777777" w:rsidR="007A6404" w:rsidRPr="007A6404" w:rsidRDefault="007A6404" w:rsidP="000B677E">
      <w:pPr>
        <w:tabs>
          <w:tab w:val="left" w:pos="-720"/>
        </w:tabs>
        <w:autoSpaceDN/>
        <w:jc w:val="both"/>
        <w:rPr>
          <w:rFonts w:ascii="Calibri" w:eastAsia="SimSun" w:hAnsi="Calibri" w:cs="Calibri"/>
          <w:spacing w:val="-3"/>
          <w:sz w:val="22"/>
          <w:szCs w:val="22"/>
          <w:lang w:val="en-GB"/>
        </w:rPr>
      </w:pPr>
    </w:p>
    <w:p w14:paraId="3A144059" w14:textId="77777777" w:rsidR="007A6404" w:rsidRPr="007A6404" w:rsidRDefault="007A6404" w:rsidP="000B677E">
      <w:pPr>
        <w:tabs>
          <w:tab w:val="left" w:pos="-720"/>
          <w:tab w:val="left" w:pos="4820"/>
        </w:tabs>
        <w:autoSpaceDN/>
        <w:ind w:left="-426" w:right="-567"/>
        <w:jc w:val="both"/>
        <w:rPr>
          <w:rFonts w:ascii="Calibri" w:eastAsia="SimSun" w:hAnsi="Calibri" w:cs="Calibri"/>
          <w:spacing w:val="-3"/>
          <w:sz w:val="22"/>
          <w:szCs w:val="22"/>
          <w:lang w:val="en-GB"/>
        </w:rPr>
      </w:pPr>
      <w:r w:rsidRPr="007A6404">
        <w:rPr>
          <w:rFonts w:ascii="Calibri" w:eastAsia="SimSun" w:hAnsi="Calibri" w:cs="Calibri"/>
          <w:spacing w:val="-3"/>
          <w:sz w:val="22"/>
          <w:szCs w:val="22"/>
          <w:lang w:val="en-GB" w:eastAsia="hr-HR"/>
        </w:rPr>
        <w:t xml:space="preserve">    </w:t>
      </w:r>
      <w:r w:rsidRPr="007A6404">
        <w:rPr>
          <w:rFonts w:ascii="Calibri" w:eastAsia="SimSun" w:hAnsi="Calibri" w:cs="Calibri"/>
          <w:spacing w:val="-3"/>
          <w:sz w:val="22"/>
          <w:szCs w:val="22"/>
          <w:lang w:val="en-GB"/>
        </w:rPr>
        <w:t xml:space="preserve">   </w:t>
      </w:r>
      <w:r w:rsidRPr="007A6404">
        <w:rPr>
          <w:rFonts w:ascii="Calibri" w:eastAsia="SimSun" w:hAnsi="Calibri" w:cs="Calibri"/>
          <w:noProof/>
          <w:spacing w:val="-3"/>
          <w:sz w:val="22"/>
          <w:szCs w:val="22"/>
          <w:lang w:val="en-GB"/>
        </w:rPr>
        <w:drawing>
          <wp:inline distT="0" distB="0" distL="0" distR="0" wp14:anchorId="354F1213" wp14:editId="35753EC4">
            <wp:extent cx="3024890" cy="1800000"/>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4890" cy="1800000"/>
                    </a:xfrm>
                    <a:prstGeom prst="rect">
                      <a:avLst/>
                    </a:prstGeom>
                    <a:noFill/>
                  </pic:spPr>
                </pic:pic>
              </a:graphicData>
            </a:graphic>
          </wp:inline>
        </w:drawing>
      </w:r>
      <w:r w:rsidRPr="007A6404">
        <w:rPr>
          <w:rFonts w:ascii="Calibri" w:eastAsia="SimSun" w:hAnsi="Calibri" w:cs="Calibri"/>
          <w:spacing w:val="-3"/>
          <w:sz w:val="22"/>
          <w:szCs w:val="22"/>
          <w:lang w:val="en-GB"/>
        </w:rPr>
        <w:t xml:space="preserve">     </w:t>
      </w:r>
      <w:r w:rsidRPr="007A6404">
        <w:rPr>
          <w:rFonts w:ascii="Calibri" w:eastAsia="SimSun" w:hAnsi="Calibri" w:cs="Calibri"/>
          <w:noProof/>
          <w:spacing w:val="-3"/>
          <w:sz w:val="22"/>
          <w:szCs w:val="22"/>
          <w:lang w:val="en-GB"/>
        </w:rPr>
        <w:drawing>
          <wp:inline distT="0" distB="0" distL="0" distR="0" wp14:anchorId="6DF5B333" wp14:editId="05E8AF1B">
            <wp:extent cx="3016900" cy="1800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6900" cy="1800000"/>
                    </a:xfrm>
                    <a:prstGeom prst="rect">
                      <a:avLst/>
                    </a:prstGeom>
                    <a:noFill/>
                  </pic:spPr>
                </pic:pic>
              </a:graphicData>
            </a:graphic>
          </wp:inline>
        </w:drawing>
      </w:r>
    </w:p>
    <w:p w14:paraId="35F57AF6" w14:textId="77777777" w:rsidR="007A6404" w:rsidRPr="007A6404" w:rsidRDefault="007A6404" w:rsidP="000B677E">
      <w:pPr>
        <w:tabs>
          <w:tab w:val="left" w:pos="-720"/>
          <w:tab w:val="left" w:pos="4820"/>
        </w:tabs>
        <w:autoSpaceDN/>
        <w:ind w:right="-426" w:hanging="426"/>
        <w:jc w:val="both"/>
        <w:rPr>
          <w:rFonts w:ascii="Calibri" w:eastAsia="SimSun" w:hAnsi="Calibri" w:cs="Calibri"/>
          <w:spacing w:val="-3"/>
          <w:sz w:val="22"/>
          <w:szCs w:val="22"/>
          <w:lang w:val="en-GB"/>
        </w:rPr>
      </w:pPr>
    </w:p>
    <w:p w14:paraId="257B0709" w14:textId="77777777" w:rsidR="007A6404" w:rsidRPr="007A6404" w:rsidRDefault="007A6404" w:rsidP="000B677E">
      <w:pPr>
        <w:tabs>
          <w:tab w:val="left" w:pos="-720"/>
          <w:tab w:val="left" w:pos="4820"/>
        </w:tabs>
        <w:ind w:right="-426" w:hanging="567"/>
        <w:jc w:val="both"/>
        <w:textAlignment w:val="baseline"/>
        <w:rPr>
          <w:rFonts w:ascii="Calibri" w:eastAsia="Calibri" w:hAnsi="Calibri" w:cs="Calibri"/>
          <w:sz w:val="22"/>
          <w:szCs w:val="22"/>
          <w:lang w:val="en-GB"/>
        </w:rPr>
      </w:pPr>
      <w:r w:rsidRPr="007A6404">
        <w:rPr>
          <w:rFonts w:ascii="Calibri" w:eastAsia="Calibri" w:hAnsi="Calibri" w:cs="Calibri"/>
          <w:spacing w:val="-3"/>
          <w:sz w:val="22"/>
          <w:szCs w:val="22"/>
          <w:lang w:val="en-GB"/>
        </w:rPr>
        <w:t xml:space="preserve">           Note:</w:t>
      </w:r>
    </w:p>
    <w:p w14:paraId="7BC9ABAC" w14:textId="77777777" w:rsidR="007A6404" w:rsidRPr="007A6404" w:rsidRDefault="007A6404" w:rsidP="000B677E">
      <w:pPr>
        <w:tabs>
          <w:tab w:val="left" w:pos="-720"/>
          <w:tab w:val="left" w:pos="4820"/>
        </w:tabs>
        <w:jc w:val="both"/>
        <w:textAlignment w:val="baseline"/>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D = HRK depreciation 2022/2021</w:t>
      </w:r>
      <w:r w:rsidRPr="007A6404">
        <w:rPr>
          <w:rFonts w:ascii="Calibri" w:eastAsia="Calibri" w:hAnsi="Calibri" w:cs="Calibri"/>
          <w:spacing w:val="-3"/>
          <w:sz w:val="22"/>
          <w:szCs w:val="22"/>
          <w:lang w:val="en-GB"/>
        </w:rPr>
        <w:tab/>
        <w:t xml:space="preserve">              D = HRK depreciation 2022/2021</w:t>
      </w:r>
    </w:p>
    <w:p w14:paraId="02CBE9A9" w14:textId="77777777" w:rsidR="007A6404" w:rsidRPr="007A6404" w:rsidRDefault="007A6404" w:rsidP="000B677E">
      <w:pPr>
        <w:tabs>
          <w:tab w:val="left" w:pos="-720"/>
          <w:tab w:val="left" w:pos="4820"/>
        </w:tabs>
        <w:ind w:right="-426" w:hanging="567"/>
        <w:jc w:val="both"/>
        <w:textAlignment w:val="baseline"/>
        <w:rPr>
          <w:rFonts w:ascii="Calibri" w:eastAsia="Calibri" w:hAnsi="Calibri" w:cs="Calibri"/>
          <w:spacing w:val="-3"/>
          <w:sz w:val="22"/>
          <w:szCs w:val="22"/>
          <w:lang w:val="en-GB"/>
        </w:rPr>
      </w:pPr>
    </w:p>
    <w:p w14:paraId="63CFBBC1" w14:textId="77777777" w:rsidR="007A6404" w:rsidRPr="007A6404" w:rsidRDefault="007A6404" w:rsidP="000B677E">
      <w:pPr>
        <w:tabs>
          <w:tab w:val="left" w:pos="-720"/>
        </w:tabs>
        <w:spacing w:line="276" w:lineRule="auto"/>
        <w:jc w:val="both"/>
        <w:textAlignment w:val="baseline"/>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 xml:space="preserve">Foreign currency and foreign currency indexed assets and sources of funds are converted by HBOR into HRK equivalent value by applying the exchange rate of the Croatian National Bank valid at the reporting date. </w:t>
      </w:r>
    </w:p>
    <w:p w14:paraId="3362C045" w14:textId="77777777" w:rsidR="007A6404" w:rsidRPr="007A6404" w:rsidRDefault="007A6404" w:rsidP="000B677E">
      <w:pPr>
        <w:autoSpaceDN/>
        <w:jc w:val="both"/>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Foreign currency revenues and expenditures are converted in accordance with the exchange rate at the transaction date. The resulting foreign exchange gains or losses are recorded in the Profit or Loss Account in net figures.</w:t>
      </w:r>
    </w:p>
    <w:p w14:paraId="6E76E9C9" w14:textId="61BBB676" w:rsidR="007A6404" w:rsidRDefault="007A6404" w:rsidP="000B677E">
      <w:pPr>
        <w:autoSpaceDN/>
        <w:jc w:val="both"/>
        <w:rPr>
          <w:rFonts w:ascii="Calibri" w:eastAsia="Calibri" w:hAnsi="Calibri" w:cs="Calibri"/>
          <w:spacing w:val="-3"/>
          <w:sz w:val="22"/>
          <w:szCs w:val="22"/>
          <w:lang w:val="en-GB"/>
        </w:rPr>
      </w:pPr>
    </w:p>
    <w:p w14:paraId="1BBEA1F1" w14:textId="77777777" w:rsidR="00E82CDF" w:rsidRPr="007A6404" w:rsidRDefault="00E82CDF" w:rsidP="00E82CDF">
      <w:pPr>
        <w:autoSpaceDN/>
        <w:jc w:val="both"/>
        <w:rPr>
          <w:rFonts w:ascii="Calibri" w:hAnsi="Calibri" w:cs="Calibri"/>
          <w:b/>
          <w:i/>
          <w:sz w:val="22"/>
          <w:szCs w:val="22"/>
          <w:lang w:val="en-GB" w:eastAsia="hr-HR"/>
        </w:rPr>
      </w:pPr>
      <w:r w:rsidRPr="007A6404">
        <w:rPr>
          <w:rFonts w:ascii="Calibri" w:hAnsi="Calibri" w:cs="Calibri"/>
          <w:b/>
          <w:i/>
          <w:sz w:val="22"/>
          <w:szCs w:val="22"/>
          <w:lang w:val="en-GB" w:eastAsia="hr-HR"/>
        </w:rPr>
        <w:t>Operating expenses</w:t>
      </w:r>
    </w:p>
    <w:p w14:paraId="7B576134" w14:textId="77777777" w:rsidR="00E82CDF" w:rsidRPr="007A6404" w:rsidRDefault="00E82CDF" w:rsidP="00E82CDF">
      <w:pPr>
        <w:autoSpaceDN/>
        <w:jc w:val="both"/>
        <w:rPr>
          <w:rFonts w:ascii="Calibri" w:hAnsi="Calibri" w:cs="Calibri"/>
          <w:b/>
          <w:sz w:val="16"/>
          <w:szCs w:val="16"/>
          <w:lang w:val="en-GB" w:eastAsia="hr-HR"/>
        </w:rPr>
      </w:pPr>
    </w:p>
    <w:p w14:paraId="6239131B" w14:textId="77777777" w:rsidR="00E82CDF" w:rsidRPr="007A6404" w:rsidRDefault="00E82CDF" w:rsidP="00E82CDF">
      <w:pPr>
        <w:tabs>
          <w:tab w:val="left" w:pos="-720"/>
        </w:tabs>
        <w:autoSpaceDN/>
        <w:jc w:val="both"/>
        <w:rPr>
          <w:rFonts w:ascii="Calibri" w:eastAsia="SimSun" w:hAnsi="Calibri" w:cs="Calibri"/>
          <w:spacing w:val="-3"/>
          <w:sz w:val="22"/>
          <w:szCs w:val="22"/>
          <w:lang w:val="en-GB"/>
        </w:rPr>
      </w:pPr>
      <w:r w:rsidRPr="007A6404">
        <w:rPr>
          <w:rFonts w:ascii="Calibri" w:eastAsia="Calibri" w:hAnsi="Calibri" w:cs="Calibri"/>
          <w:spacing w:val="-3"/>
          <w:sz w:val="22"/>
          <w:szCs w:val="22"/>
          <w:lang w:val="en-GB"/>
        </w:rPr>
        <w:t xml:space="preserve">Operating expenses that include general and administrative expenses and other operating expenses stood at HRK 189.15 million, an increase of 6.83 percent compared with the previous year, mostly </w:t>
      </w:r>
      <w:proofErr w:type="gramStart"/>
      <w:r w:rsidRPr="007A6404">
        <w:rPr>
          <w:rFonts w:ascii="Calibri" w:eastAsia="Calibri" w:hAnsi="Calibri" w:cs="Calibri"/>
          <w:spacing w:val="-3"/>
          <w:sz w:val="22"/>
          <w:szCs w:val="22"/>
          <w:lang w:val="en-GB"/>
        </w:rPr>
        <w:t>as a result of</w:t>
      </w:r>
      <w:proofErr w:type="gramEnd"/>
      <w:r w:rsidRPr="007A6404">
        <w:rPr>
          <w:rFonts w:ascii="Calibri" w:eastAsia="Calibri" w:hAnsi="Calibri" w:cs="Calibri"/>
          <w:spacing w:val="-3"/>
          <w:sz w:val="22"/>
          <w:szCs w:val="22"/>
          <w:lang w:val="en-GB"/>
        </w:rPr>
        <w:t xml:space="preserve"> an increase in the costs of recalculation and the costs of write-off of receivables under financial instruments by HRK 12.42 million</w:t>
      </w:r>
      <w:r w:rsidRPr="007A6404">
        <w:rPr>
          <w:rFonts w:ascii="Calibri" w:eastAsia="SimSun" w:hAnsi="Calibri" w:cs="Calibri"/>
          <w:spacing w:val="-3"/>
          <w:sz w:val="22"/>
          <w:szCs w:val="22"/>
          <w:lang w:val="en-GB"/>
        </w:rPr>
        <w:t>.</w:t>
      </w:r>
    </w:p>
    <w:p w14:paraId="429EDF88" w14:textId="77777777" w:rsidR="00E82CDF" w:rsidRPr="007A6404" w:rsidRDefault="00E82CDF" w:rsidP="00E82CDF">
      <w:pPr>
        <w:tabs>
          <w:tab w:val="left" w:pos="-720"/>
        </w:tabs>
        <w:autoSpaceDN/>
        <w:jc w:val="both"/>
        <w:rPr>
          <w:rFonts w:ascii="Calibri" w:eastAsia="SimSun" w:hAnsi="Calibri" w:cs="Calibri"/>
          <w:spacing w:val="-3"/>
          <w:sz w:val="16"/>
          <w:szCs w:val="16"/>
          <w:lang w:val="en-GB"/>
        </w:rPr>
      </w:pPr>
    </w:p>
    <w:p w14:paraId="63F22D62" w14:textId="77777777" w:rsidR="00E82CDF" w:rsidRPr="007A6404" w:rsidRDefault="00E82CDF" w:rsidP="00E82CDF">
      <w:pPr>
        <w:jc w:val="both"/>
        <w:textAlignment w:val="baseline"/>
        <w:rPr>
          <w:rFonts w:ascii="Calibri" w:eastAsia="Calibri" w:hAnsi="Calibri" w:cs="Calibri"/>
          <w:sz w:val="22"/>
          <w:szCs w:val="22"/>
          <w:lang w:val="en-GB"/>
        </w:rPr>
      </w:pPr>
      <w:r w:rsidRPr="007A6404">
        <w:rPr>
          <w:rFonts w:ascii="Calibri" w:eastAsia="Calibri" w:hAnsi="Calibri" w:cs="Calibri"/>
          <w:spacing w:val="-3"/>
          <w:sz w:val="22"/>
          <w:szCs w:val="22"/>
          <w:lang w:val="en-GB"/>
        </w:rPr>
        <w:t>At the end of 2022, the total number of employees was 382 (on 31 December 2021: 375 employees)</w:t>
      </w:r>
      <w:r w:rsidRPr="007A6404">
        <w:rPr>
          <w:rFonts w:ascii="Calibri" w:eastAsia="Calibri" w:hAnsi="Calibri" w:cs="Calibri"/>
          <w:sz w:val="22"/>
          <w:szCs w:val="22"/>
          <w:lang w:val="en-GB"/>
        </w:rPr>
        <w:t xml:space="preserve">. </w:t>
      </w:r>
    </w:p>
    <w:p w14:paraId="7953B7C9" w14:textId="77777777" w:rsidR="00E82CDF" w:rsidRPr="007A6404" w:rsidRDefault="00E82CDF" w:rsidP="000B677E">
      <w:pPr>
        <w:autoSpaceDN/>
        <w:jc w:val="both"/>
        <w:rPr>
          <w:rFonts w:ascii="Calibri" w:eastAsia="Calibri" w:hAnsi="Calibri" w:cs="Calibri"/>
          <w:spacing w:val="-3"/>
          <w:sz w:val="22"/>
          <w:szCs w:val="22"/>
          <w:lang w:val="en-GB"/>
        </w:rPr>
      </w:pPr>
    </w:p>
    <w:p w14:paraId="62F3B23D" w14:textId="77777777" w:rsidR="007A6404" w:rsidRPr="007A6404" w:rsidRDefault="007A6404" w:rsidP="000B677E">
      <w:pPr>
        <w:autoSpaceDN/>
        <w:spacing w:after="160" w:line="276" w:lineRule="auto"/>
        <w:rPr>
          <w:rFonts w:ascii="Calibri" w:eastAsia="SimSun" w:hAnsi="Calibri" w:cs="Calibri"/>
          <w:spacing w:val="-3"/>
          <w:sz w:val="22"/>
          <w:szCs w:val="22"/>
          <w:lang w:val="en-GB"/>
        </w:rPr>
      </w:pPr>
      <w:r w:rsidRPr="007A6404">
        <w:rPr>
          <w:rFonts w:ascii="Calibri" w:eastAsia="SimSun" w:hAnsi="Calibri" w:cs="Calibri"/>
          <w:spacing w:val="-3"/>
          <w:sz w:val="22"/>
          <w:szCs w:val="22"/>
          <w:lang w:val="en-GB"/>
        </w:rPr>
        <w:br w:type="page"/>
      </w:r>
    </w:p>
    <w:p w14:paraId="279E9FA7" w14:textId="77777777" w:rsidR="007A6404" w:rsidRPr="007A6404" w:rsidRDefault="007A6404" w:rsidP="000B677E">
      <w:pPr>
        <w:jc w:val="both"/>
        <w:textAlignment w:val="baseline"/>
        <w:rPr>
          <w:rFonts w:ascii="Calibri" w:eastAsia="Calibri" w:hAnsi="Calibri" w:cs="Calibri"/>
          <w:sz w:val="16"/>
          <w:szCs w:val="16"/>
          <w:lang w:val="en-GB"/>
        </w:rPr>
      </w:pPr>
    </w:p>
    <w:p w14:paraId="0B5F7FD8" w14:textId="77777777" w:rsidR="007A6404" w:rsidRPr="007A6404" w:rsidRDefault="007A6404" w:rsidP="000B677E">
      <w:pPr>
        <w:jc w:val="both"/>
        <w:textAlignment w:val="baseline"/>
        <w:rPr>
          <w:rFonts w:ascii="Calibri" w:eastAsia="Calibri" w:hAnsi="Calibri" w:cs="Calibri"/>
          <w:sz w:val="22"/>
          <w:szCs w:val="22"/>
          <w:lang w:val="en-GB"/>
        </w:rPr>
      </w:pPr>
      <w:r w:rsidRPr="007A6404">
        <w:rPr>
          <w:rFonts w:ascii="Calibri" w:hAnsi="Calibri" w:cs="Calibri"/>
          <w:b/>
          <w:i/>
          <w:spacing w:val="-3"/>
          <w:sz w:val="22"/>
          <w:szCs w:val="22"/>
          <w:lang w:val="en-GB" w:eastAsia="hr-HR"/>
        </w:rPr>
        <w:t>Impairment gain/(loss) and provisions</w:t>
      </w:r>
      <w:r w:rsidRPr="007A6404">
        <w:rPr>
          <w:rFonts w:ascii="Calibri" w:hAnsi="Calibri" w:cs="Calibri"/>
          <w:b/>
          <w:i/>
          <w:sz w:val="22"/>
          <w:szCs w:val="22"/>
          <w:lang w:val="en-GB" w:eastAsia="hr-HR"/>
        </w:rPr>
        <w:t xml:space="preserve"> </w:t>
      </w:r>
    </w:p>
    <w:p w14:paraId="69B84175" w14:textId="77777777" w:rsidR="007A6404" w:rsidRPr="007A6404" w:rsidRDefault="007A6404" w:rsidP="000B677E">
      <w:pPr>
        <w:jc w:val="both"/>
        <w:textAlignment w:val="baseline"/>
        <w:rPr>
          <w:rFonts w:ascii="Calibri" w:eastAsia="Calibri" w:hAnsi="Calibri" w:cs="Calibri"/>
          <w:sz w:val="16"/>
          <w:szCs w:val="16"/>
          <w:lang w:val="en-GB"/>
        </w:rPr>
      </w:pPr>
    </w:p>
    <w:p w14:paraId="5CB403FD" w14:textId="77777777" w:rsidR="007A6404" w:rsidRPr="007A6404" w:rsidRDefault="007A6404" w:rsidP="000B677E">
      <w:pPr>
        <w:jc w:val="both"/>
        <w:textAlignment w:val="baseline"/>
        <w:rPr>
          <w:rFonts w:ascii="Calibri" w:eastAsia="Calibri" w:hAnsi="Calibri" w:cs="Calibri"/>
          <w:sz w:val="22"/>
          <w:szCs w:val="22"/>
          <w:lang w:val="en-GB"/>
        </w:rPr>
      </w:pPr>
      <w:r w:rsidRPr="007A6404">
        <w:rPr>
          <w:rFonts w:ascii="Calibri" w:eastAsia="Calibri" w:hAnsi="Calibri" w:cs="Calibri"/>
          <w:spacing w:val="-3"/>
          <w:sz w:val="22"/>
          <w:szCs w:val="22"/>
          <w:lang w:val="en-GB"/>
        </w:rPr>
        <w:t>In the reporting period, placement impairment net losses stood at HRK 144.43 million, whereas in the previous year, they stood at HRK 163.00 million.</w:t>
      </w:r>
      <w:r w:rsidRPr="007A6404">
        <w:rPr>
          <w:rFonts w:ascii="Calibri" w:hAnsi="Calibri" w:cs="Calibri"/>
          <w:sz w:val="22"/>
          <w:szCs w:val="22"/>
          <w:lang w:val="en-GB"/>
        </w:rPr>
        <w:t xml:space="preserve"> </w:t>
      </w:r>
    </w:p>
    <w:p w14:paraId="7261A630" w14:textId="77777777" w:rsidR="007A6404" w:rsidRPr="007A6404" w:rsidRDefault="007A6404" w:rsidP="000B677E">
      <w:pPr>
        <w:tabs>
          <w:tab w:val="left" w:pos="-720"/>
        </w:tabs>
        <w:autoSpaceDN/>
        <w:jc w:val="both"/>
        <w:rPr>
          <w:rFonts w:ascii="Calibri" w:eastAsia="SimSun" w:hAnsi="Calibri" w:cs="Calibri"/>
          <w:sz w:val="22"/>
          <w:szCs w:val="22"/>
          <w:lang w:val="en-GB" w:eastAsia="hr-HR"/>
        </w:rPr>
      </w:pPr>
      <w:r w:rsidRPr="007A6404">
        <w:rPr>
          <w:rFonts w:ascii="Calibri" w:eastAsia="SimSun" w:hAnsi="Calibri" w:cs="Calibri"/>
          <w:spacing w:val="-3"/>
          <w:sz w:val="22"/>
          <w:szCs w:val="22"/>
          <w:lang w:val="en-GB"/>
        </w:rPr>
        <w:t>The text to follow contains a breakdown of portfolio quality:</w:t>
      </w:r>
      <w:r w:rsidRPr="007A6404">
        <w:rPr>
          <w:rFonts w:ascii="Calibri" w:eastAsia="SimSun" w:hAnsi="Calibri" w:cs="Calibri"/>
          <w:sz w:val="22"/>
          <w:szCs w:val="22"/>
          <w:lang w:val="en-GB" w:eastAsia="hr-HR"/>
        </w:rPr>
        <w:t xml:space="preserve"> </w:t>
      </w:r>
    </w:p>
    <w:p w14:paraId="273164E5" w14:textId="77777777" w:rsidR="007A6404" w:rsidRPr="007A6404" w:rsidRDefault="007A6404" w:rsidP="000B677E">
      <w:pPr>
        <w:tabs>
          <w:tab w:val="left" w:pos="-720"/>
        </w:tabs>
        <w:autoSpaceDN/>
        <w:jc w:val="both"/>
        <w:rPr>
          <w:rFonts w:ascii="Calibri" w:eastAsia="SimSun" w:hAnsi="Calibri" w:cs="Calibri"/>
          <w:spacing w:val="-3"/>
          <w:sz w:val="16"/>
          <w:szCs w:val="16"/>
          <w:lang w:val="en-GB"/>
        </w:rPr>
      </w:pPr>
    </w:p>
    <w:p w14:paraId="2CF861F6" w14:textId="77777777" w:rsidR="007A6404" w:rsidRPr="007A6404" w:rsidRDefault="007A6404" w:rsidP="000B677E">
      <w:pPr>
        <w:tabs>
          <w:tab w:val="left" w:pos="4536"/>
        </w:tabs>
        <w:autoSpaceDN/>
        <w:ind w:right="-285" w:hanging="284"/>
        <w:jc w:val="both"/>
        <w:rPr>
          <w:rFonts w:ascii="Calibri" w:hAnsi="Calibri" w:cs="Calibri"/>
          <w:b/>
          <w:spacing w:val="-3"/>
          <w:sz w:val="22"/>
          <w:szCs w:val="22"/>
          <w:lang w:val="en-GB" w:eastAsia="hr-HR"/>
        </w:rPr>
      </w:pPr>
      <w:r w:rsidRPr="007A6404">
        <w:rPr>
          <w:rFonts w:ascii="Calibri" w:hAnsi="Calibri" w:cs="Calibri"/>
          <w:b/>
          <w:spacing w:val="-3"/>
          <w:sz w:val="22"/>
          <w:szCs w:val="22"/>
          <w:lang w:val="en-GB" w:eastAsia="hr-HR"/>
        </w:rPr>
        <w:t xml:space="preserve">    </w:t>
      </w:r>
      <w:r w:rsidRPr="007A6404">
        <w:rPr>
          <w:rFonts w:ascii="Calibri" w:hAnsi="Calibri" w:cs="Calibri"/>
          <w:spacing w:val="-3"/>
          <w:sz w:val="22"/>
          <w:szCs w:val="22"/>
          <w:lang w:val="en-GB" w:eastAsia="hr-HR"/>
        </w:rPr>
        <w:t xml:space="preserve">   </w:t>
      </w:r>
      <w:r w:rsidRPr="007A6404">
        <w:rPr>
          <w:rFonts w:ascii="Calibri" w:hAnsi="Calibri" w:cs="Calibri"/>
          <w:noProof/>
          <w:spacing w:val="-3"/>
          <w:sz w:val="22"/>
          <w:szCs w:val="22"/>
          <w:lang w:val="en-GB" w:eastAsia="hr-HR"/>
        </w:rPr>
        <w:drawing>
          <wp:inline distT="0" distB="0" distL="0" distR="0" wp14:anchorId="4A9250C9" wp14:editId="6A320EC7">
            <wp:extent cx="2706423" cy="2487600"/>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6423" cy="2487600"/>
                    </a:xfrm>
                    <a:prstGeom prst="rect">
                      <a:avLst/>
                    </a:prstGeom>
                    <a:noFill/>
                  </pic:spPr>
                </pic:pic>
              </a:graphicData>
            </a:graphic>
          </wp:inline>
        </w:drawing>
      </w:r>
      <w:r w:rsidRPr="007A6404">
        <w:rPr>
          <w:rFonts w:ascii="Calibri" w:hAnsi="Calibri" w:cs="Calibri"/>
          <w:spacing w:val="-3"/>
          <w:sz w:val="22"/>
          <w:szCs w:val="22"/>
          <w:lang w:val="en-GB" w:eastAsia="hr-HR"/>
        </w:rPr>
        <w:t xml:space="preserve">      </w:t>
      </w:r>
      <w:r w:rsidRPr="007A6404">
        <w:rPr>
          <w:rFonts w:ascii="Calibri" w:hAnsi="Calibri" w:cs="Calibri"/>
          <w:noProof/>
          <w:spacing w:val="-3"/>
          <w:sz w:val="22"/>
          <w:szCs w:val="22"/>
          <w:lang w:val="en-GB" w:eastAsia="hr-HR"/>
        </w:rPr>
        <w:drawing>
          <wp:inline distT="0" distB="0" distL="0" distR="0" wp14:anchorId="1D6DC761" wp14:editId="17869AF9">
            <wp:extent cx="2715642" cy="2487600"/>
            <wp:effectExtent l="0" t="0" r="889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5642" cy="2487600"/>
                    </a:xfrm>
                    <a:prstGeom prst="rect">
                      <a:avLst/>
                    </a:prstGeom>
                    <a:noFill/>
                  </pic:spPr>
                </pic:pic>
              </a:graphicData>
            </a:graphic>
          </wp:inline>
        </w:drawing>
      </w:r>
    </w:p>
    <w:p w14:paraId="4FD2D9C2" w14:textId="77777777" w:rsidR="007A6404" w:rsidRPr="007A6404" w:rsidRDefault="007A6404" w:rsidP="000B677E">
      <w:pPr>
        <w:tabs>
          <w:tab w:val="left" w:pos="4536"/>
        </w:tabs>
        <w:autoSpaceDN/>
        <w:ind w:right="-285"/>
        <w:jc w:val="both"/>
        <w:rPr>
          <w:rFonts w:ascii="Calibri" w:hAnsi="Calibri" w:cs="Calibri"/>
          <w:spacing w:val="-3"/>
          <w:sz w:val="16"/>
          <w:szCs w:val="16"/>
          <w:lang w:val="en-GB" w:eastAsia="hr-HR"/>
        </w:rPr>
      </w:pPr>
    </w:p>
    <w:p w14:paraId="5E0A9029" w14:textId="5D1BE83B" w:rsidR="00AF2D4C" w:rsidRPr="006E45E2" w:rsidRDefault="007A6404" w:rsidP="00AF2D4C">
      <w:pPr>
        <w:widowControl w:val="0"/>
        <w:autoSpaceDN/>
        <w:spacing w:before="120" w:after="120" w:line="23" w:lineRule="atLeast"/>
        <w:rPr>
          <w:rFonts w:ascii="Calibri" w:eastAsia="SimSun" w:hAnsi="Calibri" w:cs="Calibri"/>
          <w:b/>
          <w:bCs/>
          <w:iCs/>
          <w:noProof/>
          <w:sz w:val="22"/>
          <w:szCs w:val="22"/>
          <w:lang w:val="en-GB"/>
        </w:rPr>
      </w:pPr>
      <w:r w:rsidRPr="007A6404">
        <w:rPr>
          <w:rFonts w:ascii="Calibri" w:eastAsia="SimSun" w:hAnsi="Calibri" w:cs="Calibri"/>
          <w:b/>
          <w:bCs/>
          <w:iCs/>
          <w:sz w:val="22"/>
          <w:szCs w:val="22"/>
          <w:lang w:val="en-GB"/>
        </w:rPr>
        <w:t xml:space="preserve">Overview of total </w:t>
      </w:r>
      <w:r w:rsidRPr="006E45E2">
        <w:rPr>
          <w:rFonts w:ascii="Calibri" w:eastAsia="SimSun" w:hAnsi="Calibri" w:cs="Calibri"/>
          <w:b/>
          <w:bCs/>
          <w:iCs/>
          <w:noProof/>
          <w:sz w:val="22"/>
          <w:szCs w:val="22"/>
          <w:lang w:val="en-GB"/>
        </w:rPr>
        <w:t>gross portfolio and provisions by structure – financial institutions and direct</w:t>
      </w:r>
    </w:p>
    <w:tbl>
      <w:tblPr>
        <w:tblW w:w="8926" w:type="dxa"/>
        <w:tblLayout w:type="fixed"/>
        <w:tblCellMar>
          <w:left w:w="10" w:type="dxa"/>
          <w:right w:w="10" w:type="dxa"/>
        </w:tblCellMar>
        <w:tblLook w:val="04A0" w:firstRow="1" w:lastRow="0" w:firstColumn="1" w:lastColumn="0" w:noHBand="0" w:noVBand="1"/>
      </w:tblPr>
      <w:tblGrid>
        <w:gridCol w:w="3257"/>
        <w:gridCol w:w="1501"/>
        <w:gridCol w:w="1401"/>
        <w:gridCol w:w="6"/>
        <w:gridCol w:w="1485"/>
        <w:gridCol w:w="1276"/>
      </w:tblGrid>
      <w:tr w:rsidR="00AF2D4C" w:rsidRPr="006E45E2" w14:paraId="354CA7C3" w14:textId="77777777" w:rsidTr="00DD69E7">
        <w:trPr>
          <w:trHeight w:val="420"/>
        </w:trPr>
        <w:tc>
          <w:tcPr>
            <w:tcW w:w="3257"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56496164" w14:textId="77777777" w:rsidR="00AF2D4C" w:rsidRPr="006E45E2" w:rsidRDefault="00AF2D4C" w:rsidP="00DD69E7">
            <w:pPr>
              <w:spacing w:after="160" w:line="276" w:lineRule="auto"/>
              <w:jc w:val="center"/>
              <w:rPr>
                <w:rFonts w:ascii="Calibri" w:eastAsia="SimSun" w:hAnsi="Calibri" w:cs="Calibri"/>
                <w:b/>
                <w:bCs/>
                <w:noProof/>
                <w:sz w:val="22"/>
                <w:szCs w:val="22"/>
                <w:lang w:val="en-GB" w:eastAsia="hr-HR"/>
              </w:rPr>
            </w:pPr>
          </w:p>
        </w:tc>
        <w:tc>
          <w:tcPr>
            <w:tcW w:w="2908" w:type="dxa"/>
            <w:gridSpan w:val="3"/>
            <w:tcBorders>
              <w:top w:val="single" w:sz="4" w:space="0" w:color="000000"/>
            </w:tcBorders>
            <w:shd w:val="clear" w:color="auto" w:fill="auto"/>
            <w:tcMar>
              <w:top w:w="0" w:type="dxa"/>
              <w:left w:w="108" w:type="dxa"/>
              <w:bottom w:w="0" w:type="dxa"/>
              <w:right w:w="108" w:type="dxa"/>
            </w:tcMar>
            <w:vAlign w:val="center"/>
          </w:tcPr>
          <w:p w14:paraId="582A13C4" w14:textId="2C15CAC3" w:rsidR="00AF2D4C" w:rsidRPr="006E45E2" w:rsidRDefault="00AF2D4C" w:rsidP="00DD69E7">
            <w:pPr>
              <w:spacing w:after="160" w:line="276" w:lineRule="auto"/>
              <w:jc w:val="center"/>
              <w:rPr>
                <w:rFonts w:ascii="Calibri" w:eastAsia="SimSun" w:hAnsi="Calibri" w:cs="Calibri"/>
                <w:b/>
                <w:bCs/>
                <w:noProof/>
                <w:sz w:val="22"/>
                <w:szCs w:val="22"/>
                <w:lang w:val="en-GB" w:eastAsia="hr-HR"/>
              </w:rPr>
            </w:pPr>
            <w:r w:rsidRPr="006E45E2">
              <w:rPr>
                <w:rFonts w:ascii="Calibri" w:eastAsia="SimSun" w:hAnsi="Calibri" w:cs="Calibri"/>
                <w:b/>
                <w:bCs/>
                <w:noProof/>
                <w:sz w:val="22"/>
                <w:szCs w:val="22"/>
                <w:lang w:val="en-GB" w:eastAsia="hr-HR"/>
              </w:rPr>
              <w:t>2021</w:t>
            </w:r>
          </w:p>
        </w:tc>
        <w:tc>
          <w:tcPr>
            <w:tcW w:w="2761" w:type="dxa"/>
            <w:gridSpan w:val="2"/>
            <w:tcBorders>
              <w:top w:val="single" w:sz="4" w:space="0" w:color="000000"/>
              <w:right w:val="single" w:sz="4" w:space="0" w:color="000000"/>
            </w:tcBorders>
            <w:shd w:val="clear" w:color="auto" w:fill="auto"/>
            <w:tcMar>
              <w:top w:w="0" w:type="dxa"/>
              <w:left w:w="108" w:type="dxa"/>
              <w:bottom w:w="0" w:type="dxa"/>
              <w:right w:w="108" w:type="dxa"/>
            </w:tcMar>
          </w:tcPr>
          <w:p w14:paraId="61452942" w14:textId="5B106997" w:rsidR="00AF2D4C" w:rsidRPr="006E45E2" w:rsidRDefault="00AF2D4C" w:rsidP="00DD69E7">
            <w:pPr>
              <w:spacing w:after="160" w:line="276" w:lineRule="auto"/>
              <w:jc w:val="center"/>
              <w:rPr>
                <w:rFonts w:ascii="Calibri" w:eastAsia="SimSun" w:hAnsi="Calibri" w:cs="Calibri"/>
                <w:b/>
                <w:bCs/>
                <w:noProof/>
                <w:sz w:val="22"/>
                <w:szCs w:val="22"/>
                <w:lang w:val="en-GB" w:eastAsia="hr-HR"/>
              </w:rPr>
            </w:pPr>
            <w:r w:rsidRPr="006E45E2">
              <w:rPr>
                <w:rFonts w:ascii="Calibri" w:eastAsia="SimSun" w:hAnsi="Calibri" w:cs="Calibri"/>
                <w:b/>
                <w:bCs/>
                <w:noProof/>
                <w:sz w:val="22"/>
                <w:szCs w:val="22"/>
                <w:lang w:val="en-GB" w:eastAsia="hr-HR"/>
              </w:rPr>
              <w:t>2022</w:t>
            </w:r>
          </w:p>
        </w:tc>
      </w:tr>
      <w:tr w:rsidR="00AF2D4C" w:rsidRPr="006E45E2" w14:paraId="028748DB" w14:textId="77777777" w:rsidTr="00D55C6E">
        <w:trPr>
          <w:trHeight w:val="593"/>
        </w:trPr>
        <w:tc>
          <w:tcPr>
            <w:tcW w:w="3257" w:type="dxa"/>
            <w:tcBorders>
              <w:left w:val="single" w:sz="4" w:space="0" w:color="000000"/>
            </w:tcBorders>
            <w:shd w:val="clear" w:color="auto" w:fill="auto"/>
            <w:tcMar>
              <w:top w:w="0" w:type="dxa"/>
              <w:left w:w="108" w:type="dxa"/>
              <w:bottom w:w="0" w:type="dxa"/>
              <w:right w:w="108" w:type="dxa"/>
            </w:tcMar>
            <w:vAlign w:val="center"/>
          </w:tcPr>
          <w:p w14:paraId="58CCB510" w14:textId="77777777" w:rsidR="00AF2D4C" w:rsidRPr="006E45E2" w:rsidRDefault="00AF2D4C" w:rsidP="00DD69E7">
            <w:pPr>
              <w:spacing w:after="160" w:line="276" w:lineRule="auto"/>
              <w:jc w:val="center"/>
              <w:rPr>
                <w:rFonts w:ascii="Calibri" w:eastAsia="SimSun" w:hAnsi="Calibri" w:cs="Calibri"/>
                <w:b/>
                <w:bCs/>
                <w:noProof/>
                <w:sz w:val="22"/>
                <w:szCs w:val="22"/>
                <w:lang w:val="en-GB" w:eastAsia="hr-HR"/>
              </w:rPr>
            </w:pPr>
          </w:p>
        </w:tc>
        <w:tc>
          <w:tcPr>
            <w:tcW w:w="1501" w:type="dxa"/>
            <w:shd w:val="clear" w:color="auto" w:fill="auto"/>
            <w:tcMar>
              <w:top w:w="0" w:type="dxa"/>
              <w:left w:w="108" w:type="dxa"/>
              <w:bottom w:w="0" w:type="dxa"/>
              <w:right w:w="108" w:type="dxa"/>
            </w:tcMar>
            <w:vAlign w:val="center"/>
          </w:tcPr>
          <w:p w14:paraId="404AFCC1" w14:textId="77777777" w:rsidR="00AF2D4C" w:rsidRPr="006E45E2" w:rsidRDefault="006E45E2" w:rsidP="006E45E2">
            <w:pPr>
              <w:spacing w:after="160" w:line="276" w:lineRule="auto"/>
              <w:ind w:left="-624" w:firstLine="624"/>
              <w:jc w:val="right"/>
              <w:rPr>
                <w:rFonts w:ascii="Calibri" w:eastAsia="SimSun" w:hAnsi="Calibri" w:cs="Calibri"/>
                <w:b/>
                <w:bCs/>
                <w:noProof/>
                <w:sz w:val="22"/>
                <w:szCs w:val="22"/>
                <w:lang w:val="en-GB" w:eastAsia="hr-HR"/>
              </w:rPr>
            </w:pPr>
            <w:r w:rsidRPr="006E45E2">
              <w:rPr>
                <w:rFonts w:ascii="Calibri" w:eastAsia="SimSun" w:hAnsi="Calibri" w:cs="Calibri"/>
                <w:b/>
                <w:bCs/>
                <w:noProof/>
                <w:sz w:val="22"/>
                <w:szCs w:val="22"/>
                <w:lang w:val="en-GB" w:eastAsia="hr-HR"/>
              </w:rPr>
              <w:t>Amount</w:t>
            </w:r>
          </w:p>
        </w:tc>
        <w:tc>
          <w:tcPr>
            <w:tcW w:w="1401" w:type="dxa"/>
            <w:shd w:val="clear" w:color="auto" w:fill="auto"/>
            <w:tcMar>
              <w:top w:w="0" w:type="dxa"/>
              <w:left w:w="108" w:type="dxa"/>
              <w:bottom w:w="0" w:type="dxa"/>
              <w:right w:w="108" w:type="dxa"/>
            </w:tcMar>
            <w:vAlign w:val="center"/>
          </w:tcPr>
          <w:p w14:paraId="17CF5F11" w14:textId="41CD18CA" w:rsidR="00AF2D4C" w:rsidRPr="006E45E2" w:rsidRDefault="006E45E2" w:rsidP="006E45E2">
            <w:pPr>
              <w:spacing w:after="160" w:line="276" w:lineRule="auto"/>
              <w:jc w:val="right"/>
              <w:rPr>
                <w:rFonts w:ascii="Calibri" w:eastAsia="SimSun" w:hAnsi="Calibri" w:cs="Calibri"/>
                <w:b/>
                <w:bCs/>
                <w:noProof/>
                <w:sz w:val="22"/>
                <w:szCs w:val="22"/>
                <w:lang w:val="en-GB" w:eastAsia="hr-HR"/>
              </w:rPr>
            </w:pPr>
            <w:r w:rsidRPr="006E45E2">
              <w:rPr>
                <w:rFonts w:ascii="Calibri" w:eastAsia="SimSun" w:hAnsi="Calibri" w:cs="Calibri"/>
                <w:b/>
                <w:bCs/>
                <w:noProof/>
                <w:sz w:val="22"/>
                <w:szCs w:val="22"/>
                <w:lang w:val="en-GB" w:eastAsia="hr-HR"/>
              </w:rPr>
              <w:t xml:space="preserve">Breakdown </w:t>
            </w:r>
            <w:r w:rsidR="00AF2D4C" w:rsidRPr="006E45E2">
              <w:rPr>
                <w:rFonts w:ascii="Calibri" w:eastAsia="SimSun" w:hAnsi="Calibri" w:cs="Calibri"/>
                <w:b/>
                <w:bCs/>
                <w:noProof/>
                <w:sz w:val="22"/>
                <w:szCs w:val="22"/>
                <w:lang w:val="en-GB" w:eastAsia="hr-HR"/>
              </w:rPr>
              <w:t>(%)</w:t>
            </w:r>
          </w:p>
        </w:tc>
        <w:tc>
          <w:tcPr>
            <w:tcW w:w="1491" w:type="dxa"/>
            <w:gridSpan w:val="2"/>
            <w:shd w:val="clear" w:color="auto" w:fill="auto"/>
            <w:tcMar>
              <w:top w:w="0" w:type="dxa"/>
              <w:left w:w="108" w:type="dxa"/>
              <w:bottom w:w="0" w:type="dxa"/>
              <w:right w:w="108" w:type="dxa"/>
            </w:tcMar>
            <w:vAlign w:val="center"/>
          </w:tcPr>
          <w:p w14:paraId="097ED8AF" w14:textId="721F2FCB" w:rsidR="00AF2D4C" w:rsidRPr="006E45E2" w:rsidRDefault="006E45E2" w:rsidP="00DD69E7">
            <w:pPr>
              <w:spacing w:after="160" w:line="276" w:lineRule="auto"/>
              <w:jc w:val="right"/>
              <w:rPr>
                <w:rFonts w:ascii="Calibri" w:eastAsia="SimSun" w:hAnsi="Calibri" w:cs="Calibri"/>
                <w:b/>
                <w:bCs/>
                <w:noProof/>
                <w:sz w:val="22"/>
                <w:szCs w:val="22"/>
                <w:lang w:val="en-GB" w:eastAsia="hr-HR"/>
              </w:rPr>
            </w:pPr>
            <w:r w:rsidRPr="006E45E2">
              <w:rPr>
                <w:rFonts w:ascii="Calibri" w:eastAsia="SimSun" w:hAnsi="Calibri" w:cs="Calibri"/>
                <w:b/>
                <w:bCs/>
                <w:noProof/>
                <w:sz w:val="22"/>
                <w:szCs w:val="22"/>
                <w:lang w:val="en-GB" w:eastAsia="hr-HR"/>
              </w:rPr>
              <w:t>Amount</w:t>
            </w:r>
          </w:p>
        </w:tc>
        <w:tc>
          <w:tcPr>
            <w:tcW w:w="1276" w:type="dxa"/>
            <w:tcBorders>
              <w:right w:val="single" w:sz="4" w:space="0" w:color="000000"/>
            </w:tcBorders>
            <w:shd w:val="clear" w:color="auto" w:fill="auto"/>
            <w:tcMar>
              <w:top w:w="0" w:type="dxa"/>
              <w:left w:w="108" w:type="dxa"/>
              <w:bottom w:w="0" w:type="dxa"/>
              <w:right w:w="108" w:type="dxa"/>
            </w:tcMar>
            <w:vAlign w:val="center"/>
          </w:tcPr>
          <w:p w14:paraId="624B6C51" w14:textId="660765DA" w:rsidR="00AF2D4C" w:rsidRPr="006E45E2" w:rsidRDefault="006E45E2" w:rsidP="00DD69E7">
            <w:pPr>
              <w:spacing w:after="160" w:line="276" w:lineRule="auto"/>
              <w:jc w:val="right"/>
              <w:rPr>
                <w:rFonts w:ascii="Calibri" w:eastAsia="SimSun" w:hAnsi="Calibri" w:cs="Calibri"/>
                <w:b/>
                <w:bCs/>
                <w:noProof/>
                <w:sz w:val="22"/>
                <w:szCs w:val="22"/>
                <w:lang w:val="en-GB" w:eastAsia="hr-HR"/>
              </w:rPr>
            </w:pPr>
            <w:r w:rsidRPr="006E45E2">
              <w:rPr>
                <w:rFonts w:ascii="Calibri" w:eastAsia="SimSun" w:hAnsi="Calibri" w:cs="Calibri"/>
                <w:b/>
                <w:bCs/>
                <w:noProof/>
                <w:sz w:val="22"/>
                <w:szCs w:val="22"/>
                <w:lang w:val="en-GB" w:eastAsia="hr-HR"/>
              </w:rPr>
              <w:t xml:space="preserve">Breakdown </w:t>
            </w:r>
            <w:r w:rsidR="00AF2D4C" w:rsidRPr="006E45E2">
              <w:rPr>
                <w:rFonts w:ascii="Calibri" w:eastAsia="SimSun" w:hAnsi="Calibri" w:cs="Calibri"/>
                <w:b/>
                <w:bCs/>
                <w:noProof/>
                <w:sz w:val="22"/>
                <w:szCs w:val="22"/>
                <w:lang w:val="en-GB" w:eastAsia="hr-HR"/>
              </w:rPr>
              <w:t>(%)</w:t>
            </w:r>
          </w:p>
        </w:tc>
      </w:tr>
      <w:tr w:rsidR="00AF2D4C" w:rsidRPr="006E45E2" w14:paraId="2F432E44" w14:textId="77777777" w:rsidTr="00D55C6E">
        <w:trPr>
          <w:trHeight w:val="329"/>
        </w:trPr>
        <w:tc>
          <w:tcPr>
            <w:tcW w:w="3257" w:type="dxa"/>
            <w:tcBorders>
              <w:left w:val="single" w:sz="4" w:space="0" w:color="000000"/>
            </w:tcBorders>
            <w:shd w:val="clear" w:color="auto" w:fill="auto"/>
            <w:tcMar>
              <w:top w:w="0" w:type="dxa"/>
              <w:left w:w="108" w:type="dxa"/>
              <w:bottom w:w="0" w:type="dxa"/>
              <w:right w:w="108" w:type="dxa"/>
            </w:tcMar>
          </w:tcPr>
          <w:p w14:paraId="1B029C7A" w14:textId="0FC51A34" w:rsidR="00AF2D4C" w:rsidRPr="006E45E2" w:rsidRDefault="006E45E2" w:rsidP="00DD69E7">
            <w:pPr>
              <w:spacing w:after="160" w:line="276" w:lineRule="auto"/>
              <w:rPr>
                <w:rFonts w:ascii="Calibri" w:eastAsia="SimSun" w:hAnsi="Calibri" w:cs="Calibri"/>
                <w:b/>
                <w:bCs/>
                <w:noProof/>
                <w:sz w:val="22"/>
                <w:szCs w:val="22"/>
                <w:lang w:val="en-GB" w:eastAsia="hr-HR"/>
              </w:rPr>
            </w:pPr>
            <w:r w:rsidRPr="006E45E2">
              <w:rPr>
                <w:rFonts w:ascii="Calibri" w:eastAsia="SimSun" w:hAnsi="Calibri" w:cs="Calibri"/>
                <w:b/>
                <w:bCs/>
                <w:noProof/>
                <w:sz w:val="22"/>
                <w:szCs w:val="22"/>
                <w:lang w:val="en-GB" w:eastAsia="hr-HR"/>
              </w:rPr>
              <w:t>Total gross portfolio, HRK million</w:t>
            </w:r>
          </w:p>
        </w:tc>
        <w:tc>
          <w:tcPr>
            <w:tcW w:w="1501" w:type="dxa"/>
            <w:shd w:val="clear" w:color="auto" w:fill="auto"/>
            <w:tcMar>
              <w:top w:w="0" w:type="dxa"/>
              <w:left w:w="108" w:type="dxa"/>
              <w:bottom w:w="0" w:type="dxa"/>
              <w:right w:w="108" w:type="dxa"/>
            </w:tcMar>
          </w:tcPr>
          <w:p w14:paraId="4E39C086" w14:textId="58B910CA" w:rsidR="00AF2D4C" w:rsidRPr="006E45E2" w:rsidRDefault="00AF2D4C" w:rsidP="00DD69E7">
            <w:pPr>
              <w:spacing w:after="160" w:line="276" w:lineRule="auto"/>
              <w:jc w:val="right"/>
              <w:rPr>
                <w:rFonts w:ascii="Calibri" w:eastAsia="SimSun" w:hAnsi="Calibri" w:cs="Calibri"/>
                <w:b/>
                <w:bCs/>
                <w:noProof/>
                <w:sz w:val="22"/>
                <w:szCs w:val="22"/>
                <w:lang w:val="en-GB"/>
              </w:rPr>
            </w:pPr>
            <w:r w:rsidRPr="006E45E2">
              <w:rPr>
                <w:rFonts w:ascii="Calibri" w:eastAsia="SimSun" w:hAnsi="Calibri" w:cs="Calibri"/>
                <w:b/>
                <w:bCs/>
                <w:noProof/>
                <w:sz w:val="22"/>
                <w:szCs w:val="22"/>
                <w:lang w:val="en-GB"/>
              </w:rPr>
              <w:t>35</w:t>
            </w:r>
            <w:r w:rsidR="00FD3699">
              <w:rPr>
                <w:rFonts w:ascii="Calibri" w:eastAsia="SimSun" w:hAnsi="Calibri" w:cs="Calibri"/>
                <w:b/>
                <w:bCs/>
                <w:noProof/>
                <w:sz w:val="22"/>
                <w:szCs w:val="22"/>
                <w:lang w:val="en-GB"/>
              </w:rPr>
              <w:t>,</w:t>
            </w:r>
            <w:r w:rsidRPr="006E45E2">
              <w:rPr>
                <w:rFonts w:ascii="Calibri" w:eastAsia="SimSun" w:hAnsi="Calibri" w:cs="Calibri"/>
                <w:b/>
                <w:bCs/>
                <w:noProof/>
                <w:sz w:val="22"/>
                <w:szCs w:val="22"/>
                <w:lang w:val="en-GB"/>
              </w:rPr>
              <w:t>412</w:t>
            </w:r>
            <w:r w:rsidR="00FD3699">
              <w:rPr>
                <w:rFonts w:ascii="Calibri" w:eastAsia="SimSun" w:hAnsi="Calibri" w:cs="Calibri"/>
                <w:b/>
                <w:bCs/>
                <w:noProof/>
                <w:sz w:val="22"/>
                <w:szCs w:val="22"/>
                <w:lang w:val="en-GB"/>
              </w:rPr>
              <w:t>.</w:t>
            </w:r>
            <w:r w:rsidRPr="006E45E2">
              <w:rPr>
                <w:rFonts w:ascii="Calibri" w:eastAsia="SimSun" w:hAnsi="Calibri" w:cs="Calibri"/>
                <w:b/>
                <w:bCs/>
                <w:noProof/>
                <w:sz w:val="22"/>
                <w:szCs w:val="22"/>
                <w:lang w:val="en-GB"/>
              </w:rPr>
              <w:t>68</w:t>
            </w:r>
          </w:p>
        </w:tc>
        <w:tc>
          <w:tcPr>
            <w:tcW w:w="1401" w:type="dxa"/>
            <w:shd w:val="clear" w:color="auto" w:fill="auto"/>
            <w:tcMar>
              <w:top w:w="0" w:type="dxa"/>
              <w:left w:w="108" w:type="dxa"/>
              <w:bottom w:w="0" w:type="dxa"/>
              <w:right w:w="108" w:type="dxa"/>
            </w:tcMar>
          </w:tcPr>
          <w:p w14:paraId="189BBB1C" w14:textId="660DCB1A" w:rsidR="00AF2D4C" w:rsidRPr="006E45E2" w:rsidRDefault="00AF2D4C" w:rsidP="00DD69E7">
            <w:pPr>
              <w:tabs>
                <w:tab w:val="left" w:pos="35"/>
              </w:tabs>
              <w:spacing w:after="160" w:line="276" w:lineRule="auto"/>
              <w:jc w:val="right"/>
              <w:rPr>
                <w:rFonts w:ascii="Calibri" w:eastAsia="SimSun" w:hAnsi="Calibri" w:cs="Calibri"/>
                <w:b/>
                <w:bCs/>
                <w:noProof/>
                <w:sz w:val="22"/>
                <w:szCs w:val="22"/>
                <w:lang w:val="en-GB"/>
              </w:rPr>
            </w:pPr>
            <w:r w:rsidRPr="006E45E2">
              <w:rPr>
                <w:rFonts w:ascii="Calibri" w:eastAsia="SimSun" w:hAnsi="Calibri" w:cs="Calibri"/>
                <w:b/>
                <w:bCs/>
                <w:noProof/>
                <w:sz w:val="22"/>
                <w:szCs w:val="22"/>
                <w:lang w:val="en-GB"/>
              </w:rPr>
              <w:t>100</w:t>
            </w:r>
            <w:r w:rsidR="00FD3699">
              <w:rPr>
                <w:rFonts w:ascii="Calibri" w:eastAsia="SimSun" w:hAnsi="Calibri" w:cs="Calibri"/>
                <w:b/>
                <w:bCs/>
                <w:noProof/>
                <w:sz w:val="22"/>
                <w:szCs w:val="22"/>
                <w:lang w:val="en-GB"/>
              </w:rPr>
              <w:t>.</w:t>
            </w:r>
            <w:r w:rsidRPr="006E45E2">
              <w:rPr>
                <w:rFonts w:ascii="Calibri" w:eastAsia="SimSun" w:hAnsi="Calibri" w:cs="Calibri"/>
                <w:b/>
                <w:bCs/>
                <w:noProof/>
                <w:sz w:val="22"/>
                <w:szCs w:val="22"/>
                <w:lang w:val="en-GB"/>
              </w:rPr>
              <w:t>00</w:t>
            </w:r>
          </w:p>
        </w:tc>
        <w:tc>
          <w:tcPr>
            <w:tcW w:w="1491" w:type="dxa"/>
            <w:gridSpan w:val="2"/>
            <w:shd w:val="clear" w:color="auto" w:fill="auto"/>
            <w:tcMar>
              <w:top w:w="0" w:type="dxa"/>
              <w:left w:w="108" w:type="dxa"/>
              <w:bottom w:w="0" w:type="dxa"/>
              <w:right w:w="108" w:type="dxa"/>
            </w:tcMar>
          </w:tcPr>
          <w:p w14:paraId="2965E043" w14:textId="2594B235" w:rsidR="00AF2D4C" w:rsidRPr="006E45E2" w:rsidRDefault="00AF2D4C" w:rsidP="00DD69E7">
            <w:pPr>
              <w:tabs>
                <w:tab w:val="left" w:pos="35"/>
              </w:tabs>
              <w:spacing w:after="160" w:line="276" w:lineRule="auto"/>
              <w:jc w:val="right"/>
              <w:rPr>
                <w:rFonts w:ascii="Calibri" w:eastAsia="SimSun" w:hAnsi="Calibri" w:cs="Calibri"/>
                <w:b/>
                <w:bCs/>
                <w:noProof/>
                <w:sz w:val="22"/>
                <w:szCs w:val="22"/>
                <w:lang w:val="en-GB"/>
              </w:rPr>
            </w:pPr>
            <w:r w:rsidRPr="006E45E2">
              <w:rPr>
                <w:rFonts w:ascii="Calibri" w:eastAsia="SimSun" w:hAnsi="Calibri" w:cs="Calibri"/>
                <w:b/>
                <w:bCs/>
                <w:noProof/>
                <w:sz w:val="22"/>
                <w:szCs w:val="22"/>
                <w:lang w:val="en-GB"/>
              </w:rPr>
              <w:t>35</w:t>
            </w:r>
            <w:r w:rsidR="00FD3699">
              <w:rPr>
                <w:rFonts w:ascii="Calibri" w:eastAsia="SimSun" w:hAnsi="Calibri" w:cs="Calibri"/>
                <w:b/>
                <w:bCs/>
                <w:noProof/>
                <w:sz w:val="22"/>
                <w:szCs w:val="22"/>
                <w:lang w:val="en-GB"/>
              </w:rPr>
              <w:t>,</w:t>
            </w:r>
            <w:r w:rsidRPr="006E45E2">
              <w:rPr>
                <w:rFonts w:ascii="Calibri" w:eastAsia="SimSun" w:hAnsi="Calibri" w:cs="Calibri"/>
                <w:b/>
                <w:bCs/>
                <w:noProof/>
                <w:sz w:val="22"/>
                <w:szCs w:val="22"/>
                <w:lang w:val="en-GB"/>
              </w:rPr>
              <w:t>479</w:t>
            </w:r>
            <w:r w:rsidR="00FD3699">
              <w:rPr>
                <w:rFonts w:ascii="Calibri" w:eastAsia="SimSun" w:hAnsi="Calibri" w:cs="Calibri"/>
                <w:b/>
                <w:bCs/>
                <w:noProof/>
                <w:sz w:val="22"/>
                <w:szCs w:val="22"/>
                <w:lang w:val="en-GB"/>
              </w:rPr>
              <w:t>.</w:t>
            </w:r>
            <w:r w:rsidRPr="006E45E2">
              <w:rPr>
                <w:rFonts w:ascii="Calibri" w:eastAsia="SimSun" w:hAnsi="Calibri" w:cs="Calibri"/>
                <w:b/>
                <w:bCs/>
                <w:noProof/>
                <w:sz w:val="22"/>
                <w:szCs w:val="22"/>
                <w:lang w:val="en-GB"/>
              </w:rPr>
              <w:t>17</w:t>
            </w:r>
          </w:p>
        </w:tc>
        <w:tc>
          <w:tcPr>
            <w:tcW w:w="1276" w:type="dxa"/>
            <w:tcBorders>
              <w:right w:val="single" w:sz="4" w:space="0" w:color="000000"/>
            </w:tcBorders>
            <w:shd w:val="clear" w:color="auto" w:fill="auto"/>
            <w:tcMar>
              <w:top w:w="0" w:type="dxa"/>
              <w:left w:w="108" w:type="dxa"/>
              <w:bottom w:w="0" w:type="dxa"/>
              <w:right w:w="108" w:type="dxa"/>
            </w:tcMar>
          </w:tcPr>
          <w:p w14:paraId="445941EE" w14:textId="1A35FF28" w:rsidR="00AF2D4C" w:rsidRPr="006E45E2" w:rsidRDefault="00AF2D4C" w:rsidP="00DD69E7">
            <w:pPr>
              <w:tabs>
                <w:tab w:val="left" w:pos="35"/>
              </w:tabs>
              <w:spacing w:after="160" w:line="276" w:lineRule="auto"/>
              <w:jc w:val="right"/>
              <w:rPr>
                <w:rFonts w:ascii="Calibri" w:eastAsia="SimSun" w:hAnsi="Calibri" w:cs="Calibri"/>
                <w:b/>
                <w:bCs/>
                <w:noProof/>
                <w:sz w:val="22"/>
                <w:szCs w:val="22"/>
                <w:lang w:val="en-GB"/>
              </w:rPr>
            </w:pPr>
            <w:r w:rsidRPr="006E45E2">
              <w:rPr>
                <w:rFonts w:ascii="Calibri" w:eastAsia="SimSun" w:hAnsi="Calibri" w:cs="Calibri"/>
                <w:b/>
                <w:bCs/>
                <w:noProof/>
                <w:sz w:val="22"/>
                <w:szCs w:val="22"/>
                <w:lang w:val="en-GB"/>
              </w:rPr>
              <w:t>100</w:t>
            </w:r>
            <w:r w:rsidR="00FD3699">
              <w:rPr>
                <w:rFonts w:ascii="Calibri" w:eastAsia="SimSun" w:hAnsi="Calibri" w:cs="Calibri"/>
                <w:b/>
                <w:bCs/>
                <w:noProof/>
                <w:sz w:val="22"/>
                <w:szCs w:val="22"/>
                <w:lang w:val="en-GB"/>
              </w:rPr>
              <w:t>.</w:t>
            </w:r>
            <w:r w:rsidRPr="006E45E2">
              <w:rPr>
                <w:rFonts w:ascii="Calibri" w:eastAsia="SimSun" w:hAnsi="Calibri" w:cs="Calibri"/>
                <w:b/>
                <w:bCs/>
                <w:noProof/>
                <w:sz w:val="22"/>
                <w:szCs w:val="22"/>
                <w:lang w:val="en-GB"/>
              </w:rPr>
              <w:t>00</w:t>
            </w:r>
          </w:p>
        </w:tc>
      </w:tr>
      <w:tr w:rsidR="00AF2D4C" w:rsidRPr="006E45E2" w14:paraId="2A76B37D" w14:textId="77777777" w:rsidTr="00D55C6E">
        <w:trPr>
          <w:trHeight w:val="329"/>
        </w:trPr>
        <w:tc>
          <w:tcPr>
            <w:tcW w:w="3257" w:type="dxa"/>
            <w:tcBorders>
              <w:left w:val="single" w:sz="4" w:space="0" w:color="000000"/>
            </w:tcBorders>
            <w:shd w:val="clear" w:color="auto" w:fill="auto"/>
            <w:tcMar>
              <w:top w:w="0" w:type="dxa"/>
              <w:left w:w="108" w:type="dxa"/>
              <w:bottom w:w="0" w:type="dxa"/>
              <w:right w:w="108" w:type="dxa"/>
            </w:tcMar>
          </w:tcPr>
          <w:p w14:paraId="3F52A246" w14:textId="0EC888CD" w:rsidR="00AF2D4C" w:rsidRPr="006E45E2" w:rsidRDefault="00AF2D4C" w:rsidP="00DD69E7">
            <w:pPr>
              <w:spacing w:after="160" w:line="276" w:lineRule="auto"/>
              <w:rPr>
                <w:rFonts w:ascii="Calibri" w:eastAsia="SimSun" w:hAnsi="Calibri" w:cs="Calibri"/>
                <w:b/>
                <w:bCs/>
                <w:noProof/>
                <w:sz w:val="22"/>
                <w:szCs w:val="22"/>
                <w:lang w:val="en-GB" w:eastAsia="hr-HR"/>
              </w:rPr>
            </w:pPr>
            <w:r w:rsidRPr="006E45E2">
              <w:rPr>
                <w:rFonts w:ascii="Calibri" w:eastAsia="SimSun" w:hAnsi="Calibri" w:cs="Calibri"/>
                <w:b/>
                <w:bCs/>
                <w:noProof/>
                <w:sz w:val="22"/>
                <w:szCs w:val="22"/>
                <w:lang w:val="en-GB" w:eastAsia="hr-HR"/>
              </w:rPr>
              <w:t xml:space="preserve"> O</w:t>
            </w:r>
            <w:r w:rsidR="006E45E2">
              <w:rPr>
                <w:rFonts w:ascii="Calibri" w:eastAsia="SimSun" w:hAnsi="Calibri" w:cs="Calibri"/>
                <w:b/>
                <w:bCs/>
                <w:noProof/>
                <w:sz w:val="22"/>
                <w:szCs w:val="22"/>
                <w:lang w:val="en-GB" w:eastAsia="hr-HR"/>
              </w:rPr>
              <w:t>f which</w:t>
            </w:r>
            <w:r w:rsidRPr="006E45E2">
              <w:rPr>
                <w:rFonts w:ascii="Calibri" w:eastAsia="SimSun" w:hAnsi="Calibri" w:cs="Calibri"/>
                <w:b/>
                <w:bCs/>
                <w:noProof/>
                <w:sz w:val="22"/>
                <w:szCs w:val="22"/>
                <w:lang w:val="en-GB" w:eastAsia="hr-HR"/>
              </w:rPr>
              <w:t>:</w:t>
            </w:r>
          </w:p>
        </w:tc>
        <w:tc>
          <w:tcPr>
            <w:tcW w:w="1501" w:type="dxa"/>
            <w:shd w:val="clear" w:color="auto" w:fill="auto"/>
            <w:tcMar>
              <w:top w:w="0" w:type="dxa"/>
              <w:left w:w="108" w:type="dxa"/>
              <w:bottom w:w="0" w:type="dxa"/>
              <w:right w:w="108" w:type="dxa"/>
            </w:tcMar>
          </w:tcPr>
          <w:p w14:paraId="60281A6A" w14:textId="77777777" w:rsidR="00AF2D4C" w:rsidRPr="006E45E2" w:rsidRDefault="00AF2D4C" w:rsidP="00DD69E7">
            <w:pPr>
              <w:spacing w:after="160" w:line="276" w:lineRule="auto"/>
              <w:jc w:val="right"/>
              <w:rPr>
                <w:rFonts w:ascii="Calibri" w:eastAsia="SimSun" w:hAnsi="Calibri" w:cs="Calibri"/>
                <w:noProof/>
                <w:sz w:val="22"/>
                <w:szCs w:val="22"/>
                <w:lang w:val="en-GB" w:eastAsia="hr-HR"/>
              </w:rPr>
            </w:pPr>
          </w:p>
        </w:tc>
        <w:tc>
          <w:tcPr>
            <w:tcW w:w="1401" w:type="dxa"/>
            <w:shd w:val="clear" w:color="auto" w:fill="auto"/>
            <w:tcMar>
              <w:top w:w="0" w:type="dxa"/>
              <w:left w:w="108" w:type="dxa"/>
              <w:bottom w:w="0" w:type="dxa"/>
              <w:right w:w="108" w:type="dxa"/>
            </w:tcMar>
          </w:tcPr>
          <w:p w14:paraId="7D8A3D2E" w14:textId="77777777" w:rsidR="00AF2D4C" w:rsidRPr="006E45E2" w:rsidRDefault="00AF2D4C" w:rsidP="00DD69E7">
            <w:pPr>
              <w:spacing w:after="160" w:line="276" w:lineRule="auto"/>
              <w:jc w:val="right"/>
              <w:rPr>
                <w:rFonts w:ascii="Calibri" w:eastAsia="SimSun" w:hAnsi="Calibri" w:cs="Calibri"/>
                <w:noProof/>
                <w:sz w:val="22"/>
                <w:szCs w:val="22"/>
                <w:lang w:val="en-GB" w:eastAsia="hr-HR"/>
              </w:rPr>
            </w:pPr>
          </w:p>
        </w:tc>
        <w:tc>
          <w:tcPr>
            <w:tcW w:w="1491" w:type="dxa"/>
            <w:gridSpan w:val="2"/>
            <w:shd w:val="clear" w:color="auto" w:fill="auto"/>
            <w:tcMar>
              <w:top w:w="0" w:type="dxa"/>
              <w:left w:w="108" w:type="dxa"/>
              <w:bottom w:w="0" w:type="dxa"/>
              <w:right w:w="108" w:type="dxa"/>
            </w:tcMar>
          </w:tcPr>
          <w:p w14:paraId="3B5A0466" w14:textId="77777777" w:rsidR="00AF2D4C" w:rsidRPr="006E45E2" w:rsidRDefault="00AF2D4C" w:rsidP="00DD69E7">
            <w:pPr>
              <w:spacing w:after="160" w:line="276" w:lineRule="auto"/>
              <w:jc w:val="right"/>
              <w:rPr>
                <w:rFonts w:ascii="Calibri" w:eastAsia="SimSun" w:hAnsi="Calibri" w:cs="Calibri"/>
                <w:noProof/>
                <w:sz w:val="22"/>
                <w:szCs w:val="22"/>
                <w:lang w:val="en-GB" w:eastAsia="hr-HR"/>
              </w:rPr>
            </w:pPr>
          </w:p>
        </w:tc>
        <w:tc>
          <w:tcPr>
            <w:tcW w:w="1276" w:type="dxa"/>
            <w:tcBorders>
              <w:right w:val="single" w:sz="4" w:space="0" w:color="000000"/>
            </w:tcBorders>
            <w:shd w:val="clear" w:color="auto" w:fill="auto"/>
            <w:tcMar>
              <w:top w:w="0" w:type="dxa"/>
              <w:left w:w="108" w:type="dxa"/>
              <w:bottom w:w="0" w:type="dxa"/>
              <w:right w:w="108" w:type="dxa"/>
            </w:tcMar>
          </w:tcPr>
          <w:p w14:paraId="07678C1C" w14:textId="77777777" w:rsidR="00AF2D4C" w:rsidRPr="006E45E2" w:rsidRDefault="00AF2D4C" w:rsidP="00DD69E7">
            <w:pPr>
              <w:spacing w:after="160" w:line="276" w:lineRule="auto"/>
              <w:jc w:val="right"/>
              <w:rPr>
                <w:rFonts w:ascii="Calibri" w:eastAsia="SimSun" w:hAnsi="Calibri" w:cs="Calibri"/>
                <w:noProof/>
                <w:sz w:val="22"/>
                <w:szCs w:val="22"/>
                <w:lang w:val="en-GB" w:eastAsia="hr-HR"/>
              </w:rPr>
            </w:pPr>
          </w:p>
        </w:tc>
      </w:tr>
      <w:tr w:rsidR="00AF2D4C" w:rsidRPr="006E45E2" w14:paraId="53AEF443" w14:textId="77777777" w:rsidTr="00D55C6E">
        <w:trPr>
          <w:trHeight w:val="329"/>
        </w:trPr>
        <w:tc>
          <w:tcPr>
            <w:tcW w:w="3257" w:type="dxa"/>
            <w:tcBorders>
              <w:left w:val="single" w:sz="4" w:space="0" w:color="000000"/>
            </w:tcBorders>
            <w:shd w:val="clear" w:color="auto" w:fill="auto"/>
            <w:tcMar>
              <w:top w:w="0" w:type="dxa"/>
              <w:left w:w="108" w:type="dxa"/>
              <w:bottom w:w="0" w:type="dxa"/>
              <w:right w:w="108" w:type="dxa"/>
            </w:tcMar>
          </w:tcPr>
          <w:p w14:paraId="26D0876C" w14:textId="68EC1271" w:rsidR="00AF2D4C" w:rsidRPr="006E45E2" w:rsidRDefault="00AF2D4C" w:rsidP="00DD69E7">
            <w:pPr>
              <w:spacing w:after="160" w:line="276" w:lineRule="auto"/>
              <w:rPr>
                <w:rFonts w:ascii="Calibri" w:eastAsia="SimSun" w:hAnsi="Calibri" w:cs="Calibri"/>
                <w:b/>
                <w:bCs/>
                <w:noProof/>
                <w:sz w:val="22"/>
                <w:szCs w:val="22"/>
                <w:lang w:val="en-GB" w:eastAsia="hr-HR"/>
              </w:rPr>
            </w:pPr>
            <w:r w:rsidRPr="006E45E2">
              <w:rPr>
                <w:rFonts w:ascii="Calibri" w:eastAsia="SimSun" w:hAnsi="Calibri" w:cs="Calibri"/>
                <w:b/>
                <w:bCs/>
                <w:noProof/>
                <w:sz w:val="22"/>
                <w:szCs w:val="22"/>
                <w:lang w:val="en-GB" w:eastAsia="hr-HR"/>
              </w:rPr>
              <w:t xml:space="preserve">    - financi</w:t>
            </w:r>
            <w:r w:rsidR="006E45E2">
              <w:rPr>
                <w:rFonts w:ascii="Calibri" w:eastAsia="SimSun" w:hAnsi="Calibri" w:cs="Calibri"/>
                <w:b/>
                <w:bCs/>
                <w:noProof/>
                <w:sz w:val="22"/>
                <w:szCs w:val="22"/>
                <w:lang w:val="en-GB" w:eastAsia="hr-HR"/>
              </w:rPr>
              <w:t>al institutions</w:t>
            </w:r>
          </w:p>
        </w:tc>
        <w:tc>
          <w:tcPr>
            <w:tcW w:w="1501" w:type="dxa"/>
            <w:shd w:val="clear" w:color="auto" w:fill="auto"/>
            <w:tcMar>
              <w:top w:w="0" w:type="dxa"/>
              <w:left w:w="108" w:type="dxa"/>
              <w:bottom w:w="0" w:type="dxa"/>
              <w:right w:w="108" w:type="dxa"/>
            </w:tcMar>
          </w:tcPr>
          <w:p w14:paraId="28E7F8E0" w14:textId="1E066663" w:rsidR="00AF2D4C" w:rsidRPr="006E45E2" w:rsidRDefault="00AF2D4C" w:rsidP="00DD69E7">
            <w:pPr>
              <w:spacing w:after="160" w:line="276" w:lineRule="auto"/>
              <w:jc w:val="right"/>
              <w:rPr>
                <w:rFonts w:ascii="Calibri" w:eastAsia="SimSun" w:hAnsi="Calibri" w:cs="Calibri"/>
                <w:noProof/>
                <w:sz w:val="22"/>
                <w:szCs w:val="22"/>
                <w:lang w:val="en-GB"/>
              </w:rPr>
            </w:pPr>
            <w:r w:rsidRPr="006E45E2">
              <w:rPr>
                <w:rFonts w:ascii="Calibri" w:eastAsia="SimSun" w:hAnsi="Calibri" w:cs="Calibri"/>
                <w:noProof/>
                <w:sz w:val="22"/>
                <w:szCs w:val="22"/>
                <w:lang w:val="en-GB"/>
              </w:rPr>
              <w:t>10</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898</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97</w:t>
            </w:r>
          </w:p>
        </w:tc>
        <w:tc>
          <w:tcPr>
            <w:tcW w:w="1401" w:type="dxa"/>
            <w:shd w:val="clear" w:color="auto" w:fill="auto"/>
            <w:tcMar>
              <w:top w:w="0" w:type="dxa"/>
              <w:left w:w="108" w:type="dxa"/>
              <w:bottom w:w="0" w:type="dxa"/>
              <w:right w:w="108" w:type="dxa"/>
            </w:tcMar>
          </w:tcPr>
          <w:p w14:paraId="66437D84" w14:textId="7C5F06A1" w:rsidR="00AF2D4C" w:rsidRPr="006E45E2" w:rsidRDefault="00AF2D4C" w:rsidP="00DD69E7">
            <w:pPr>
              <w:spacing w:after="160" w:line="276" w:lineRule="auto"/>
              <w:jc w:val="right"/>
              <w:rPr>
                <w:rFonts w:ascii="Calibri" w:eastAsia="SimSun" w:hAnsi="Calibri" w:cs="Calibri"/>
                <w:noProof/>
                <w:sz w:val="22"/>
                <w:szCs w:val="22"/>
                <w:lang w:val="en-GB"/>
              </w:rPr>
            </w:pPr>
            <w:r w:rsidRPr="006E45E2">
              <w:rPr>
                <w:rFonts w:ascii="Calibri" w:eastAsia="SimSun" w:hAnsi="Calibri" w:cs="Calibri"/>
                <w:noProof/>
                <w:sz w:val="22"/>
                <w:szCs w:val="22"/>
                <w:lang w:val="en-GB"/>
              </w:rPr>
              <w:t>30</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78</w:t>
            </w:r>
          </w:p>
        </w:tc>
        <w:tc>
          <w:tcPr>
            <w:tcW w:w="1491" w:type="dxa"/>
            <w:gridSpan w:val="2"/>
            <w:shd w:val="clear" w:color="auto" w:fill="auto"/>
            <w:tcMar>
              <w:top w:w="0" w:type="dxa"/>
              <w:left w:w="108" w:type="dxa"/>
              <w:bottom w:w="0" w:type="dxa"/>
              <w:right w:w="108" w:type="dxa"/>
            </w:tcMar>
          </w:tcPr>
          <w:p w14:paraId="4633307B" w14:textId="1DD317F0" w:rsidR="00AF2D4C" w:rsidRPr="006E45E2" w:rsidRDefault="00AF2D4C" w:rsidP="00DD69E7">
            <w:pPr>
              <w:spacing w:after="160" w:line="276" w:lineRule="auto"/>
              <w:jc w:val="right"/>
              <w:rPr>
                <w:rFonts w:ascii="Calibri" w:eastAsia="SimSun" w:hAnsi="Calibri" w:cs="Calibri"/>
                <w:noProof/>
                <w:sz w:val="22"/>
                <w:szCs w:val="22"/>
                <w:lang w:val="en-GB"/>
              </w:rPr>
            </w:pPr>
            <w:r w:rsidRPr="006E45E2">
              <w:rPr>
                <w:rFonts w:ascii="Calibri" w:eastAsia="SimSun" w:hAnsi="Calibri" w:cs="Calibri"/>
                <w:noProof/>
                <w:sz w:val="22"/>
                <w:szCs w:val="22"/>
                <w:lang w:val="en-GB"/>
              </w:rPr>
              <w:t>9</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970</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66</w:t>
            </w:r>
          </w:p>
        </w:tc>
        <w:tc>
          <w:tcPr>
            <w:tcW w:w="1276" w:type="dxa"/>
            <w:tcBorders>
              <w:right w:val="single" w:sz="4" w:space="0" w:color="000000"/>
            </w:tcBorders>
            <w:shd w:val="clear" w:color="auto" w:fill="auto"/>
            <w:tcMar>
              <w:top w:w="0" w:type="dxa"/>
              <w:left w:w="108" w:type="dxa"/>
              <w:bottom w:w="0" w:type="dxa"/>
              <w:right w:w="108" w:type="dxa"/>
            </w:tcMar>
          </w:tcPr>
          <w:p w14:paraId="34D7BE5E" w14:textId="57E280DF" w:rsidR="00AF2D4C" w:rsidRPr="006E45E2" w:rsidRDefault="00AF2D4C" w:rsidP="00DD69E7">
            <w:pPr>
              <w:spacing w:after="160" w:line="276" w:lineRule="auto"/>
              <w:jc w:val="right"/>
              <w:rPr>
                <w:rFonts w:ascii="Calibri" w:eastAsia="SimSun" w:hAnsi="Calibri" w:cs="Calibri"/>
                <w:noProof/>
                <w:sz w:val="22"/>
                <w:szCs w:val="22"/>
                <w:lang w:val="en-GB"/>
              </w:rPr>
            </w:pPr>
            <w:r w:rsidRPr="006E45E2">
              <w:rPr>
                <w:rFonts w:ascii="Calibri" w:eastAsia="SimSun" w:hAnsi="Calibri" w:cs="Calibri"/>
                <w:noProof/>
                <w:sz w:val="22"/>
                <w:szCs w:val="22"/>
                <w:lang w:val="en-GB"/>
              </w:rPr>
              <w:t>28</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10</w:t>
            </w:r>
          </w:p>
        </w:tc>
      </w:tr>
      <w:tr w:rsidR="00AF2D4C" w:rsidRPr="006E45E2" w14:paraId="5FF8BA8C" w14:textId="77777777" w:rsidTr="00D55C6E">
        <w:trPr>
          <w:trHeight w:val="329"/>
        </w:trPr>
        <w:tc>
          <w:tcPr>
            <w:tcW w:w="3257" w:type="dxa"/>
            <w:tcBorders>
              <w:left w:val="single" w:sz="4" w:space="0" w:color="000000"/>
            </w:tcBorders>
            <w:shd w:val="clear" w:color="auto" w:fill="auto"/>
            <w:tcMar>
              <w:top w:w="0" w:type="dxa"/>
              <w:left w:w="108" w:type="dxa"/>
              <w:bottom w:w="0" w:type="dxa"/>
              <w:right w:w="108" w:type="dxa"/>
            </w:tcMar>
          </w:tcPr>
          <w:p w14:paraId="79DD9F8E" w14:textId="161DBD65" w:rsidR="00AF2D4C" w:rsidRPr="006E45E2" w:rsidRDefault="00AF2D4C" w:rsidP="00DD69E7">
            <w:pPr>
              <w:spacing w:after="160" w:line="276" w:lineRule="auto"/>
              <w:rPr>
                <w:rFonts w:ascii="Calibri" w:eastAsia="SimSun" w:hAnsi="Calibri" w:cs="Calibri"/>
                <w:b/>
                <w:bCs/>
                <w:noProof/>
                <w:sz w:val="22"/>
                <w:szCs w:val="22"/>
                <w:lang w:val="en-GB" w:eastAsia="hr-HR"/>
              </w:rPr>
            </w:pPr>
            <w:r w:rsidRPr="006E45E2">
              <w:rPr>
                <w:rFonts w:ascii="Calibri" w:eastAsia="SimSun" w:hAnsi="Calibri" w:cs="Calibri"/>
                <w:b/>
                <w:bCs/>
                <w:noProof/>
                <w:sz w:val="22"/>
                <w:szCs w:val="22"/>
                <w:lang w:val="en-GB" w:eastAsia="hr-HR"/>
              </w:rPr>
              <w:t xml:space="preserve">    - dire</w:t>
            </w:r>
            <w:r w:rsidR="006E45E2">
              <w:rPr>
                <w:rFonts w:ascii="Calibri" w:eastAsia="SimSun" w:hAnsi="Calibri" w:cs="Calibri"/>
                <w:b/>
                <w:bCs/>
                <w:noProof/>
                <w:sz w:val="22"/>
                <w:szCs w:val="22"/>
                <w:lang w:val="en-GB" w:eastAsia="hr-HR"/>
              </w:rPr>
              <w:t>c</w:t>
            </w:r>
            <w:r w:rsidRPr="006E45E2">
              <w:rPr>
                <w:rFonts w:ascii="Calibri" w:eastAsia="SimSun" w:hAnsi="Calibri" w:cs="Calibri"/>
                <w:b/>
                <w:bCs/>
                <w:noProof/>
                <w:sz w:val="22"/>
                <w:szCs w:val="22"/>
                <w:lang w:val="en-GB" w:eastAsia="hr-HR"/>
              </w:rPr>
              <w:t>t</w:t>
            </w:r>
          </w:p>
        </w:tc>
        <w:tc>
          <w:tcPr>
            <w:tcW w:w="1501" w:type="dxa"/>
            <w:shd w:val="clear" w:color="auto" w:fill="auto"/>
            <w:tcMar>
              <w:top w:w="0" w:type="dxa"/>
              <w:left w:w="108" w:type="dxa"/>
              <w:bottom w:w="0" w:type="dxa"/>
              <w:right w:w="108" w:type="dxa"/>
            </w:tcMar>
          </w:tcPr>
          <w:p w14:paraId="463EF608" w14:textId="7069BFFD" w:rsidR="00AF2D4C" w:rsidRPr="006E45E2" w:rsidRDefault="00AF2D4C" w:rsidP="00DD69E7">
            <w:pPr>
              <w:spacing w:after="160" w:line="276" w:lineRule="auto"/>
              <w:jc w:val="right"/>
              <w:rPr>
                <w:rFonts w:ascii="Calibri" w:eastAsia="SimSun" w:hAnsi="Calibri" w:cs="Calibri"/>
                <w:noProof/>
                <w:sz w:val="22"/>
                <w:szCs w:val="22"/>
                <w:lang w:val="en-GB"/>
              </w:rPr>
            </w:pPr>
            <w:r w:rsidRPr="006E45E2">
              <w:rPr>
                <w:rFonts w:ascii="Calibri" w:eastAsia="SimSun" w:hAnsi="Calibri" w:cs="Calibri"/>
                <w:noProof/>
                <w:sz w:val="22"/>
                <w:szCs w:val="22"/>
                <w:lang w:val="en-GB"/>
              </w:rPr>
              <w:t>24</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513</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71</w:t>
            </w:r>
          </w:p>
        </w:tc>
        <w:tc>
          <w:tcPr>
            <w:tcW w:w="1401" w:type="dxa"/>
            <w:shd w:val="clear" w:color="auto" w:fill="auto"/>
            <w:tcMar>
              <w:top w:w="0" w:type="dxa"/>
              <w:left w:w="108" w:type="dxa"/>
              <w:bottom w:w="0" w:type="dxa"/>
              <w:right w:w="108" w:type="dxa"/>
            </w:tcMar>
          </w:tcPr>
          <w:p w14:paraId="78717D06" w14:textId="73E25C9C" w:rsidR="00AF2D4C" w:rsidRPr="006E45E2" w:rsidRDefault="00AF2D4C" w:rsidP="00DD69E7">
            <w:pPr>
              <w:spacing w:after="160" w:line="276" w:lineRule="auto"/>
              <w:jc w:val="right"/>
              <w:rPr>
                <w:rFonts w:ascii="Calibri" w:eastAsia="SimSun" w:hAnsi="Calibri" w:cs="Calibri"/>
                <w:noProof/>
                <w:sz w:val="22"/>
                <w:szCs w:val="22"/>
                <w:lang w:val="en-GB"/>
              </w:rPr>
            </w:pPr>
            <w:r w:rsidRPr="006E45E2">
              <w:rPr>
                <w:rFonts w:ascii="Calibri" w:eastAsia="SimSun" w:hAnsi="Calibri" w:cs="Calibri"/>
                <w:noProof/>
                <w:sz w:val="22"/>
                <w:szCs w:val="22"/>
                <w:lang w:val="en-GB"/>
              </w:rPr>
              <w:t>69</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22</w:t>
            </w:r>
          </w:p>
        </w:tc>
        <w:tc>
          <w:tcPr>
            <w:tcW w:w="1491" w:type="dxa"/>
            <w:gridSpan w:val="2"/>
            <w:shd w:val="clear" w:color="auto" w:fill="auto"/>
            <w:tcMar>
              <w:top w:w="0" w:type="dxa"/>
              <w:left w:w="108" w:type="dxa"/>
              <w:bottom w:w="0" w:type="dxa"/>
              <w:right w:w="108" w:type="dxa"/>
            </w:tcMar>
          </w:tcPr>
          <w:p w14:paraId="34D65381" w14:textId="2320E167" w:rsidR="00AF2D4C" w:rsidRPr="006E45E2" w:rsidRDefault="00AF2D4C" w:rsidP="00DD69E7">
            <w:pPr>
              <w:spacing w:after="160" w:line="276" w:lineRule="auto"/>
              <w:jc w:val="right"/>
              <w:rPr>
                <w:rFonts w:ascii="Calibri" w:eastAsia="SimSun" w:hAnsi="Calibri" w:cs="Calibri"/>
                <w:noProof/>
                <w:sz w:val="22"/>
                <w:szCs w:val="22"/>
                <w:lang w:val="en-GB"/>
              </w:rPr>
            </w:pPr>
            <w:r w:rsidRPr="006E45E2">
              <w:rPr>
                <w:rFonts w:ascii="Calibri" w:eastAsia="SimSun" w:hAnsi="Calibri" w:cs="Calibri"/>
                <w:noProof/>
                <w:sz w:val="22"/>
                <w:szCs w:val="22"/>
                <w:lang w:val="en-GB"/>
              </w:rPr>
              <w:t>25</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508</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51</w:t>
            </w:r>
          </w:p>
        </w:tc>
        <w:tc>
          <w:tcPr>
            <w:tcW w:w="1276" w:type="dxa"/>
            <w:tcBorders>
              <w:right w:val="single" w:sz="4" w:space="0" w:color="000000"/>
            </w:tcBorders>
            <w:shd w:val="clear" w:color="auto" w:fill="auto"/>
            <w:tcMar>
              <w:top w:w="0" w:type="dxa"/>
              <w:left w:w="108" w:type="dxa"/>
              <w:bottom w:w="0" w:type="dxa"/>
              <w:right w:w="108" w:type="dxa"/>
            </w:tcMar>
          </w:tcPr>
          <w:p w14:paraId="1D4E4D50" w14:textId="03BC5ED6" w:rsidR="00AF2D4C" w:rsidRPr="006E45E2" w:rsidRDefault="00AF2D4C" w:rsidP="00DD69E7">
            <w:pPr>
              <w:spacing w:after="160" w:line="276" w:lineRule="auto"/>
              <w:jc w:val="right"/>
              <w:rPr>
                <w:rFonts w:ascii="Calibri" w:eastAsia="SimSun" w:hAnsi="Calibri" w:cs="Calibri"/>
                <w:noProof/>
                <w:sz w:val="22"/>
                <w:szCs w:val="22"/>
                <w:lang w:val="en-GB"/>
              </w:rPr>
            </w:pPr>
            <w:r w:rsidRPr="006E45E2">
              <w:rPr>
                <w:rFonts w:ascii="Calibri" w:eastAsia="SimSun" w:hAnsi="Calibri" w:cs="Calibri"/>
                <w:noProof/>
                <w:sz w:val="22"/>
                <w:szCs w:val="22"/>
                <w:lang w:val="en-GB"/>
              </w:rPr>
              <w:t>71</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90</w:t>
            </w:r>
          </w:p>
        </w:tc>
      </w:tr>
      <w:tr w:rsidR="00AF2D4C" w:rsidRPr="006E45E2" w14:paraId="44F419C9" w14:textId="77777777" w:rsidTr="00D55C6E">
        <w:trPr>
          <w:trHeight w:val="329"/>
        </w:trPr>
        <w:tc>
          <w:tcPr>
            <w:tcW w:w="3257" w:type="dxa"/>
            <w:tcBorders>
              <w:left w:val="single" w:sz="4" w:space="0" w:color="000000"/>
            </w:tcBorders>
            <w:shd w:val="clear" w:color="auto" w:fill="auto"/>
            <w:tcMar>
              <w:top w:w="0" w:type="dxa"/>
              <w:left w:w="108" w:type="dxa"/>
              <w:bottom w:w="0" w:type="dxa"/>
              <w:right w:w="108" w:type="dxa"/>
            </w:tcMar>
          </w:tcPr>
          <w:p w14:paraId="64196772" w14:textId="7A5469E5" w:rsidR="00AF2D4C" w:rsidRPr="006E45E2" w:rsidRDefault="006E45E2" w:rsidP="00DD69E7">
            <w:pPr>
              <w:spacing w:after="160" w:line="276" w:lineRule="auto"/>
              <w:rPr>
                <w:rFonts w:ascii="Calibri" w:eastAsia="SimSun" w:hAnsi="Calibri" w:cs="Calibri"/>
                <w:b/>
                <w:bCs/>
                <w:noProof/>
                <w:sz w:val="22"/>
                <w:szCs w:val="22"/>
                <w:lang w:val="en-GB" w:eastAsia="hr-HR"/>
              </w:rPr>
            </w:pPr>
            <w:r>
              <w:rPr>
                <w:rFonts w:ascii="Calibri" w:eastAsia="SimSun" w:hAnsi="Calibri" w:cs="Calibri"/>
                <w:b/>
                <w:bCs/>
                <w:noProof/>
                <w:sz w:val="22"/>
                <w:szCs w:val="22"/>
                <w:lang w:val="en-GB" w:eastAsia="hr-HR"/>
              </w:rPr>
              <w:t xml:space="preserve">Total provisions, HRK million </w:t>
            </w:r>
          </w:p>
        </w:tc>
        <w:tc>
          <w:tcPr>
            <w:tcW w:w="1501" w:type="dxa"/>
            <w:shd w:val="clear" w:color="auto" w:fill="auto"/>
            <w:tcMar>
              <w:top w:w="0" w:type="dxa"/>
              <w:left w:w="108" w:type="dxa"/>
              <w:bottom w:w="0" w:type="dxa"/>
              <w:right w:w="108" w:type="dxa"/>
            </w:tcMar>
          </w:tcPr>
          <w:p w14:paraId="3DA27168" w14:textId="5EAA020F" w:rsidR="00AF2D4C" w:rsidRPr="006E45E2" w:rsidRDefault="00AF2D4C" w:rsidP="00DD69E7">
            <w:pPr>
              <w:spacing w:after="160" w:line="276" w:lineRule="auto"/>
              <w:jc w:val="right"/>
              <w:rPr>
                <w:rFonts w:ascii="Calibri" w:eastAsia="SimSun" w:hAnsi="Calibri" w:cs="Calibri"/>
                <w:b/>
                <w:bCs/>
                <w:noProof/>
                <w:sz w:val="22"/>
                <w:szCs w:val="22"/>
                <w:lang w:val="en-GB"/>
              </w:rPr>
            </w:pPr>
            <w:r w:rsidRPr="006E45E2">
              <w:rPr>
                <w:rFonts w:ascii="Calibri" w:eastAsia="SimSun" w:hAnsi="Calibri" w:cs="Calibri"/>
                <w:b/>
                <w:bCs/>
                <w:noProof/>
                <w:sz w:val="22"/>
                <w:szCs w:val="22"/>
                <w:lang w:val="en-GB"/>
              </w:rPr>
              <w:t>3</w:t>
            </w:r>
            <w:r w:rsidR="00FD3699">
              <w:rPr>
                <w:rFonts w:ascii="Calibri" w:eastAsia="SimSun" w:hAnsi="Calibri" w:cs="Calibri"/>
                <w:b/>
                <w:bCs/>
                <w:noProof/>
                <w:sz w:val="22"/>
                <w:szCs w:val="22"/>
                <w:lang w:val="en-GB"/>
              </w:rPr>
              <w:t>,</w:t>
            </w:r>
            <w:r w:rsidRPr="006E45E2">
              <w:rPr>
                <w:rFonts w:ascii="Calibri" w:eastAsia="SimSun" w:hAnsi="Calibri" w:cs="Calibri"/>
                <w:b/>
                <w:bCs/>
                <w:noProof/>
                <w:sz w:val="22"/>
                <w:szCs w:val="22"/>
                <w:lang w:val="en-GB"/>
              </w:rPr>
              <w:t>477</w:t>
            </w:r>
            <w:r w:rsidR="00FD3699">
              <w:rPr>
                <w:rFonts w:ascii="Calibri" w:eastAsia="SimSun" w:hAnsi="Calibri" w:cs="Calibri"/>
                <w:b/>
                <w:bCs/>
                <w:noProof/>
                <w:sz w:val="22"/>
                <w:szCs w:val="22"/>
                <w:lang w:val="en-GB"/>
              </w:rPr>
              <w:t>.</w:t>
            </w:r>
            <w:r w:rsidRPr="006E45E2">
              <w:rPr>
                <w:rFonts w:ascii="Calibri" w:eastAsia="SimSun" w:hAnsi="Calibri" w:cs="Calibri"/>
                <w:b/>
                <w:bCs/>
                <w:noProof/>
                <w:sz w:val="22"/>
                <w:szCs w:val="22"/>
                <w:lang w:val="en-GB"/>
              </w:rPr>
              <w:t>90</w:t>
            </w:r>
          </w:p>
        </w:tc>
        <w:tc>
          <w:tcPr>
            <w:tcW w:w="1401" w:type="dxa"/>
            <w:shd w:val="clear" w:color="auto" w:fill="auto"/>
            <w:tcMar>
              <w:top w:w="0" w:type="dxa"/>
              <w:left w:w="108" w:type="dxa"/>
              <w:bottom w:w="0" w:type="dxa"/>
              <w:right w:w="108" w:type="dxa"/>
            </w:tcMar>
          </w:tcPr>
          <w:p w14:paraId="1BE57953" w14:textId="3D81CD80" w:rsidR="00AF2D4C" w:rsidRPr="006E45E2" w:rsidRDefault="00AF2D4C" w:rsidP="00DD69E7">
            <w:pPr>
              <w:spacing w:after="160" w:line="276" w:lineRule="auto"/>
              <w:jc w:val="right"/>
              <w:rPr>
                <w:rFonts w:ascii="Calibri" w:eastAsia="SimSun" w:hAnsi="Calibri" w:cs="Calibri"/>
                <w:b/>
                <w:bCs/>
                <w:noProof/>
                <w:sz w:val="22"/>
                <w:szCs w:val="22"/>
                <w:lang w:val="en-GB"/>
              </w:rPr>
            </w:pPr>
            <w:r w:rsidRPr="006E45E2">
              <w:rPr>
                <w:rFonts w:ascii="Calibri" w:eastAsia="SimSun" w:hAnsi="Calibri" w:cs="Calibri"/>
                <w:b/>
                <w:bCs/>
                <w:noProof/>
                <w:sz w:val="22"/>
                <w:szCs w:val="22"/>
                <w:lang w:val="en-GB"/>
              </w:rPr>
              <w:t>100</w:t>
            </w:r>
            <w:r w:rsidR="00FD3699">
              <w:rPr>
                <w:rFonts w:ascii="Calibri" w:eastAsia="SimSun" w:hAnsi="Calibri" w:cs="Calibri"/>
                <w:b/>
                <w:bCs/>
                <w:noProof/>
                <w:sz w:val="22"/>
                <w:szCs w:val="22"/>
                <w:lang w:val="en-GB"/>
              </w:rPr>
              <w:t>.</w:t>
            </w:r>
            <w:r w:rsidRPr="006E45E2">
              <w:rPr>
                <w:rFonts w:ascii="Calibri" w:eastAsia="SimSun" w:hAnsi="Calibri" w:cs="Calibri"/>
                <w:b/>
                <w:bCs/>
                <w:noProof/>
                <w:sz w:val="22"/>
                <w:szCs w:val="22"/>
                <w:lang w:val="en-GB"/>
              </w:rPr>
              <w:t>00</w:t>
            </w:r>
          </w:p>
        </w:tc>
        <w:tc>
          <w:tcPr>
            <w:tcW w:w="1491" w:type="dxa"/>
            <w:gridSpan w:val="2"/>
            <w:shd w:val="clear" w:color="auto" w:fill="auto"/>
            <w:tcMar>
              <w:top w:w="0" w:type="dxa"/>
              <w:left w:w="108" w:type="dxa"/>
              <w:bottom w:w="0" w:type="dxa"/>
              <w:right w:w="108" w:type="dxa"/>
            </w:tcMar>
          </w:tcPr>
          <w:p w14:paraId="4D6C3720" w14:textId="5E77A24C" w:rsidR="00AF2D4C" w:rsidRPr="006E45E2" w:rsidRDefault="00AF2D4C" w:rsidP="00DD69E7">
            <w:pPr>
              <w:spacing w:after="160" w:line="276" w:lineRule="auto"/>
              <w:jc w:val="right"/>
              <w:rPr>
                <w:rFonts w:ascii="Calibri" w:eastAsia="SimSun" w:hAnsi="Calibri" w:cs="Calibri"/>
                <w:b/>
                <w:bCs/>
                <w:noProof/>
                <w:sz w:val="22"/>
                <w:szCs w:val="22"/>
                <w:lang w:val="en-GB"/>
              </w:rPr>
            </w:pPr>
            <w:r w:rsidRPr="006E45E2">
              <w:rPr>
                <w:rFonts w:ascii="Calibri" w:eastAsia="SimSun" w:hAnsi="Calibri" w:cs="Calibri"/>
                <w:b/>
                <w:bCs/>
                <w:noProof/>
                <w:sz w:val="22"/>
                <w:szCs w:val="22"/>
                <w:lang w:val="en-GB"/>
              </w:rPr>
              <w:t>3</w:t>
            </w:r>
            <w:r w:rsidR="00FD3699">
              <w:rPr>
                <w:rFonts w:ascii="Calibri" w:eastAsia="SimSun" w:hAnsi="Calibri" w:cs="Calibri"/>
                <w:b/>
                <w:bCs/>
                <w:noProof/>
                <w:sz w:val="22"/>
                <w:szCs w:val="22"/>
                <w:lang w:val="en-GB"/>
              </w:rPr>
              <w:t>,</w:t>
            </w:r>
            <w:r w:rsidRPr="006E45E2">
              <w:rPr>
                <w:rFonts w:ascii="Calibri" w:eastAsia="SimSun" w:hAnsi="Calibri" w:cs="Calibri"/>
                <w:b/>
                <w:bCs/>
                <w:noProof/>
                <w:sz w:val="22"/>
                <w:szCs w:val="22"/>
                <w:lang w:val="en-GB"/>
              </w:rPr>
              <w:t>637</w:t>
            </w:r>
            <w:r w:rsidR="00FD3699">
              <w:rPr>
                <w:rFonts w:ascii="Calibri" w:eastAsia="SimSun" w:hAnsi="Calibri" w:cs="Calibri"/>
                <w:b/>
                <w:bCs/>
                <w:noProof/>
                <w:sz w:val="22"/>
                <w:szCs w:val="22"/>
                <w:lang w:val="en-GB"/>
              </w:rPr>
              <w:t>.</w:t>
            </w:r>
            <w:r w:rsidRPr="006E45E2">
              <w:rPr>
                <w:rFonts w:ascii="Calibri" w:eastAsia="SimSun" w:hAnsi="Calibri" w:cs="Calibri"/>
                <w:b/>
                <w:bCs/>
                <w:noProof/>
                <w:sz w:val="22"/>
                <w:szCs w:val="22"/>
                <w:lang w:val="en-GB"/>
              </w:rPr>
              <w:t>85</w:t>
            </w:r>
          </w:p>
        </w:tc>
        <w:tc>
          <w:tcPr>
            <w:tcW w:w="1276" w:type="dxa"/>
            <w:tcBorders>
              <w:right w:val="single" w:sz="4" w:space="0" w:color="000000"/>
            </w:tcBorders>
            <w:shd w:val="clear" w:color="auto" w:fill="auto"/>
            <w:tcMar>
              <w:top w:w="0" w:type="dxa"/>
              <w:left w:w="108" w:type="dxa"/>
              <w:bottom w:w="0" w:type="dxa"/>
              <w:right w:w="108" w:type="dxa"/>
            </w:tcMar>
          </w:tcPr>
          <w:p w14:paraId="4B8B9586" w14:textId="16A61D24" w:rsidR="00AF2D4C" w:rsidRPr="006E45E2" w:rsidRDefault="00AF2D4C" w:rsidP="00DD69E7">
            <w:pPr>
              <w:spacing w:after="160" w:line="276" w:lineRule="auto"/>
              <w:jc w:val="right"/>
              <w:rPr>
                <w:rFonts w:ascii="Calibri" w:eastAsia="SimSun" w:hAnsi="Calibri" w:cs="Calibri"/>
                <w:b/>
                <w:bCs/>
                <w:noProof/>
                <w:sz w:val="22"/>
                <w:szCs w:val="22"/>
                <w:lang w:val="en-GB"/>
              </w:rPr>
            </w:pPr>
            <w:r w:rsidRPr="006E45E2">
              <w:rPr>
                <w:rFonts w:ascii="Calibri" w:eastAsia="SimSun" w:hAnsi="Calibri" w:cs="Calibri"/>
                <w:b/>
                <w:bCs/>
                <w:noProof/>
                <w:sz w:val="22"/>
                <w:szCs w:val="22"/>
                <w:lang w:val="en-GB"/>
              </w:rPr>
              <w:t>100</w:t>
            </w:r>
            <w:r w:rsidR="00FD3699">
              <w:rPr>
                <w:rFonts w:ascii="Calibri" w:eastAsia="SimSun" w:hAnsi="Calibri" w:cs="Calibri"/>
                <w:b/>
                <w:bCs/>
                <w:noProof/>
                <w:sz w:val="22"/>
                <w:szCs w:val="22"/>
                <w:lang w:val="en-GB"/>
              </w:rPr>
              <w:t>.</w:t>
            </w:r>
            <w:r w:rsidRPr="006E45E2">
              <w:rPr>
                <w:rFonts w:ascii="Calibri" w:eastAsia="SimSun" w:hAnsi="Calibri" w:cs="Calibri"/>
                <w:b/>
                <w:bCs/>
                <w:noProof/>
                <w:sz w:val="22"/>
                <w:szCs w:val="22"/>
                <w:lang w:val="en-GB"/>
              </w:rPr>
              <w:t>00</w:t>
            </w:r>
          </w:p>
        </w:tc>
      </w:tr>
      <w:tr w:rsidR="00AF2D4C" w:rsidRPr="006E45E2" w14:paraId="1E787166" w14:textId="77777777" w:rsidTr="00D55C6E">
        <w:trPr>
          <w:trHeight w:val="329"/>
        </w:trPr>
        <w:tc>
          <w:tcPr>
            <w:tcW w:w="3257" w:type="dxa"/>
            <w:tcBorders>
              <w:left w:val="single" w:sz="4" w:space="0" w:color="000000"/>
            </w:tcBorders>
            <w:shd w:val="clear" w:color="auto" w:fill="auto"/>
            <w:tcMar>
              <w:top w:w="0" w:type="dxa"/>
              <w:left w:w="108" w:type="dxa"/>
              <w:bottom w:w="0" w:type="dxa"/>
              <w:right w:w="108" w:type="dxa"/>
            </w:tcMar>
          </w:tcPr>
          <w:p w14:paraId="638E0145" w14:textId="4E9FD81B" w:rsidR="00AF2D4C" w:rsidRPr="006E45E2" w:rsidRDefault="00AF2D4C" w:rsidP="00DD69E7">
            <w:pPr>
              <w:spacing w:after="160" w:line="276" w:lineRule="auto"/>
              <w:rPr>
                <w:rFonts w:ascii="Calibri" w:eastAsia="SimSun" w:hAnsi="Calibri" w:cs="Calibri"/>
                <w:b/>
                <w:bCs/>
                <w:noProof/>
                <w:sz w:val="22"/>
                <w:szCs w:val="22"/>
                <w:lang w:val="en-GB" w:eastAsia="hr-HR"/>
              </w:rPr>
            </w:pPr>
            <w:r w:rsidRPr="006E45E2">
              <w:rPr>
                <w:rFonts w:ascii="Calibri" w:eastAsia="SimSun" w:hAnsi="Calibri" w:cs="Calibri"/>
                <w:b/>
                <w:bCs/>
                <w:noProof/>
                <w:sz w:val="22"/>
                <w:szCs w:val="22"/>
                <w:lang w:val="en-GB" w:eastAsia="hr-HR"/>
              </w:rPr>
              <w:t>O</w:t>
            </w:r>
            <w:r w:rsidR="006E45E2">
              <w:rPr>
                <w:rFonts w:ascii="Calibri" w:eastAsia="SimSun" w:hAnsi="Calibri" w:cs="Calibri"/>
                <w:b/>
                <w:bCs/>
                <w:noProof/>
                <w:sz w:val="22"/>
                <w:szCs w:val="22"/>
                <w:lang w:val="en-GB" w:eastAsia="hr-HR"/>
              </w:rPr>
              <w:t>f which</w:t>
            </w:r>
            <w:r w:rsidRPr="006E45E2">
              <w:rPr>
                <w:rFonts w:ascii="Calibri" w:eastAsia="SimSun" w:hAnsi="Calibri" w:cs="Calibri"/>
                <w:b/>
                <w:bCs/>
                <w:noProof/>
                <w:sz w:val="22"/>
                <w:szCs w:val="22"/>
                <w:lang w:val="en-GB" w:eastAsia="hr-HR"/>
              </w:rPr>
              <w:t>:</w:t>
            </w:r>
          </w:p>
        </w:tc>
        <w:tc>
          <w:tcPr>
            <w:tcW w:w="1501" w:type="dxa"/>
            <w:shd w:val="clear" w:color="auto" w:fill="auto"/>
            <w:tcMar>
              <w:top w:w="0" w:type="dxa"/>
              <w:left w:w="108" w:type="dxa"/>
              <w:bottom w:w="0" w:type="dxa"/>
              <w:right w:w="108" w:type="dxa"/>
            </w:tcMar>
          </w:tcPr>
          <w:p w14:paraId="59D39852" w14:textId="77777777" w:rsidR="00AF2D4C" w:rsidRPr="006E45E2" w:rsidRDefault="00AF2D4C" w:rsidP="00DD69E7">
            <w:pPr>
              <w:spacing w:after="160" w:line="276" w:lineRule="auto"/>
              <w:jc w:val="right"/>
              <w:rPr>
                <w:rFonts w:ascii="Calibri" w:eastAsia="SimSun" w:hAnsi="Calibri" w:cs="Calibri"/>
                <w:noProof/>
                <w:sz w:val="22"/>
                <w:szCs w:val="22"/>
                <w:lang w:val="en-GB" w:eastAsia="hr-HR"/>
              </w:rPr>
            </w:pPr>
          </w:p>
        </w:tc>
        <w:tc>
          <w:tcPr>
            <w:tcW w:w="1401" w:type="dxa"/>
            <w:shd w:val="clear" w:color="auto" w:fill="auto"/>
            <w:tcMar>
              <w:top w:w="0" w:type="dxa"/>
              <w:left w:w="108" w:type="dxa"/>
              <w:bottom w:w="0" w:type="dxa"/>
              <w:right w:w="108" w:type="dxa"/>
            </w:tcMar>
          </w:tcPr>
          <w:p w14:paraId="25875CFB" w14:textId="77777777" w:rsidR="00AF2D4C" w:rsidRPr="006E45E2" w:rsidRDefault="00AF2D4C" w:rsidP="00DD69E7">
            <w:pPr>
              <w:spacing w:after="160" w:line="276" w:lineRule="auto"/>
              <w:jc w:val="right"/>
              <w:rPr>
                <w:rFonts w:ascii="Calibri" w:eastAsia="SimSun" w:hAnsi="Calibri" w:cs="Calibri"/>
                <w:noProof/>
                <w:sz w:val="22"/>
                <w:szCs w:val="22"/>
                <w:lang w:val="en-GB" w:eastAsia="hr-HR"/>
              </w:rPr>
            </w:pPr>
          </w:p>
        </w:tc>
        <w:tc>
          <w:tcPr>
            <w:tcW w:w="1491" w:type="dxa"/>
            <w:gridSpan w:val="2"/>
            <w:shd w:val="clear" w:color="auto" w:fill="auto"/>
            <w:tcMar>
              <w:top w:w="0" w:type="dxa"/>
              <w:left w:w="108" w:type="dxa"/>
              <w:bottom w:w="0" w:type="dxa"/>
              <w:right w:w="108" w:type="dxa"/>
            </w:tcMar>
          </w:tcPr>
          <w:p w14:paraId="5506BED5" w14:textId="77777777" w:rsidR="00AF2D4C" w:rsidRPr="006E45E2" w:rsidRDefault="00AF2D4C" w:rsidP="00DD69E7">
            <w:pPr>
              <w:spacing w:after="160" w:line="276" w:lineRule="auto"/>
              <w:jc w:val="right"/>
              <w:rPr>
                <w:rFonts w:ascii="Calibri" w:eastAsia="SimSun" w:hAnsi="Calibri" w:cs="Calibri"/>
                <w:noProof/>
                <w:sz w:val="22"/>
                <w:szCs w:val="22"/>
                <w:lang w:val="en-GB" w:eastAsia="hr-HR"/>
              </w:rPr>
            </w:pPr>
          </w:p>
        </w:tc>
        <w:tc>
          <w:tcPr>
            <w:tcW w:w="1276" w:type="dxa"/>
            <w:tcBorders>
              <w:right w:val="single" w:sz="4" w:space="0" w:color="000000"/>
            </w:tcBorders>
            <w:shd w:val="clear" w:color="auto" w:fill="auto"/>
            <w:tcMar>
              <w:top w:w="0" w:type="dxa"/>
              <w:left w:w="108" w:type="dxa"/>
              <w:bottom w:w="0" w:type="dxa"/>
              <w:right w:w="108" w:type="dxa"/>
            </w:tcMar>
          </w:tcPr>
          <w:p w14:paraId="7ED3CD50" w14:textId="77777777" w:rsidR="00AF2D4C" w:rsidRPr="006E45E2" w:rsidRDefault="00AF2D4C" w:rsidP="00DD69E7">
            <w:pPr>
              <w:spacing w:after="160" w:line="276" w:lineRule="auto"/>
              <w:jc w:val="right"/>
              <w:rPr>
                <w:rFonts w:ascii="Calibri" w:eastAsia="SimSun" w:hAnsi="Calibri" w:cs="Calibri"/>
                <w:noProof/>
                <w:sz w:val="22"/>
                <w:szCs w:val="22"/>
                <w:lang w:val="en-GB" w:eastAsia="hr-HR"/>
              </w:rPr>
            </w:pPr>
          </w:p>
        </w:tc>
      </w:tr>
      <w:tr w:rsidR="00AF2D4C" w:rsidRPr="006E45E2" w14:paraId="778990A8" w14:textId="77777777" w:rsidTr="00D55C6E">
        <w:trPr>
          <w:trHeight w:val="329"/>
        </w:trPr>
        <w:tc>
          <w:tcPr>
            <w:tcW w:w="3257" w:type="dxa"/>
            <w:tcBorders>
              <w:left w:val="single" w:sz="4" w:space="0" w:color="000000"/>
            </w:tcBorders>
            <w:shd w:val="clear" w:color="auto" w:fill="auto"/>
            <w:tcMar>
              <w:top w:w="0" w:type="dxa"/>
              <w:left w:w="108" w:type="dxa"/>
              <w:bottom w:w="0" w:type="dxa"/>
              <w:right w:w="108" w:type="dxa"/>
            </w:tcMar>
          </w:tcPr>
          <w:p w14:paraId="0DA308EF" w14:textId="2EA68A79" w:rsidR="00AF2D4C" w:rsidRPr="006E45E2" w:rsidRDefault="00AF2D4C" w:rsidP="00DD69E7">
            <w:pPr>
              <w:spacing w:after="160" w:line="276" w:lineRule="auto"/>
              <w:ind w:firstLine="221"/>
              <w:rPr>
                <w:rFonts w:ascii="Calibri" w:eastAsia="SimSun" w:hAnsi="Calibri" w:cs="Calibri"/>
                <w:b/>
                <w:bCs/>
                <w:noProof/>
                <w:sz w:val="22"/>
                <w:szCs w:val="22"/>
                <w:lang w:val="en-GB" w:eastAsia="hr-HR"/>
              </w:rPr>
            </w:pPr>
            <w:r w:rsidRPr="006E45E2">
              <w:rPr>
                <w:rFonts w:ascii="Calibri" w:eastAsia="SimSun" w:hAnsi="Calibri" w:cs="Calibri"/>
                <w:b/>
                <w:bCs/>
                <w:noProof/>
                <w:sz w:val="22"/>
                <w:szCs w:val="22"/>
                <w:lang w:val="en-GB" w:eastAsia="hr-HR"/>
              </w:rPr>
              <w:t>- financi</w:t>
            </w:r>
            <w:r w:rsidR="00022D15">
              <w:rPr>
                <w:rFonts w:ascii="Calibri" w:eastAsia="SimSun" w:hAnsi="Calibri" w:cs="Calibri"/>
                <w:b/>
                <w:bCs/>
                <w:noProof/>
                <w:sz w:val="22"/>
                <w:szCs w:val="22"/>
                <w:lang w:val="en-GB" w:eastAsia="hr-HR"/>
              </w:rPr>
              <w:t>al institutions</w:t>
            </w:r>
          </w:p>
        </w:tc>
        <w:tc>
          <w:tcPr>
            <w:tcW w:w="1501" w:type="dxa"/>
            <w:shd w:val="clear" w:color="auto" w:fill="auto"/>
            <w:tcMar>
              <w:top w:w="0" w:type="dxa"/>
              <w:left w:w="108" w:type="dxa"/>
              <w:bottom w:w="0" w:type="dxa"/>
              <w:right w:w="108" w:type="dxa"/>
            </w:tcMar>
          </w:tcPr>
          <w:p w14:paraId="429A791D" w14:textId="311A3F3D" w:rsidR="00AF2D4C" w:rsidRPr="006E45E2" w:rsidRDefault="00AF2D4C" w:rsidP="00DD69E7">
            <w:pPr>
              <w:spacing w:after="160" w:line="276" w:lineRule="auto"/>
              <w:jc w:val="right"/>
              <w:rPr>
                <w:rFonts w:ascii="Calibri" w:eastAsia="SimSun" w:hAnsi="Calibri" w:cs="Calibri"/>
                <w:noProof/>
                <w:sz w:val="22"/>
                <w:szCs w:val="22"/>
                <w:lang w:val="en-GB"/>
              </w:rPr>
            </w:pPr>
            <w:r w:rsidRPr="006E45E2">
              <w:rPr>
                <w:rFonts w:ascii="Calibri" w:eastAsia="SimSun" w:hAnsi="Calibri" w:cs="Calibri"/>
                <w:noProof/>
                <w:sz w:val="22"/>
                <w:szCs w:val="22"/>
                <w:lang w:val="en-GB"/>
              </w:rPr>
              <w:t>63</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41</w:t>
            </w:r>
          </w:p>
        </w:tc>
        <w:tc>
          <w:tcPr>
            <w:tcW w:w="1401" w:type="dxa"/>
            <w:shd w:val="clear" w:color="auto" w:fill="auto"/>
            <w:tcMar>
              <w:top w:w="0" w:type="dxa"/>
              <w:left w:w="108" w:type="dxa"/>
              <w:bottom w:w="0" w:type="dxa"/>
              <w:right w:w="108" w:type="dxa"/>
            </w:tcMar>
          </w:tcPr>
          <w:p w14:paraId="3B252188" w14:textId="24191778" w:rsidR="00AF2D4C" w:rsidRPr="006E45E2" w:rsidRDefault="00AF2D4C" w:rsidP="00DD69E7">
            <w:pPr>
              <w:spacing w:after="160" w:line="276" w:lineRule="auto"/>
              <w:jc w:val="right"/>
              <w:rPr>
                <w:rFonts w:ascii="Calibri" w:eastAsia="SimSun" w:hAnsi="Calibri" w:cs="Calibri"/>
                <w:noProof/>
                <w:sz w:val="22"/>
                <w:szCs w:val="22"/>
                <w:lang w:val="en-GB"/>
              </w:rPr>
            </w:pPr>
            <w:r w:rsidRPr="006E45E2">
              <w:rPr>
                <w:rFonts w:ascii="Calibri" w:eastAsia="SimSun" w:hAnsi="Calibri" w:cs="Calibri"/>
                <w:noProof/>
                <w:sz w:val="22"/>
                <w:szCs w:val="22"/>
                <w:lang w:val="en-GB"/>
              </w:rPr>
              <w:t>1</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82</w:t>
            </w:r>
          </w:p>
        </w:tc>
        <w:tc>
          <w:tcPr>
            <w:tcW w:w="1491" w:type="dxa"/>
            <w:gridSpan w:val="2"/>
            <w:shd w:val="clear" w:color="auto" w:fill="auto"/>
            <w:tcMar>
              <w:top w:w="0" w:type="dxa"/>
              <w:left w:w="108" w:type="dxa"/>
              <w:bottom w:w="0" w:type="dxa"/>
              <w:right w:w="108" w:type="dxa"/>
            </w:tcMar>
          </w:tcPr>
          <w:p w14:paraId="1A8429A3" w14:textId="0B8C52D1" w:rsidR="00AF2D4C" w:rsidRPr="006E45E2" w:rsidRDefault="00AF2D4C" w:rsidP="00DD69E7">
            <w:pPr>
              <w:spacing w:after="160" w:line="276" w:lineRule="auto"/>
              <w:jc w:val="right"/>
              <w:rPr>
                <w:rFonts w:ascii="Calibri" w:eastAsia="SimSun" w:hAnsi="Calibri" w:cs="Calibri"/>
                <w:noProof/>
                <w:sz w:val="22"/>
                <w:szCs w:val="22"/>
                <w:lang w:val="en-GB"/>
              </w:rPr>
            </w:pPr>
            <w:r w:rsidRPr="006E45E2">
              <w:rPr>
                <w:rFonts w:ascii="Calibri" w:eastAsia="SimSun" w:hAnsi="Calibri" w:cs="Calibri"/>
                <w:noProof/>
                <w:sz w:val="22"/>
                <w:szCs w:val="22"/>
                <w:lang w:val="en-GB"/>
              </w:rPr>
              <w:t>68</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26</w:t>
            </w:r>
          </w:p>
        </w:tc>
        <w:tc>
          <w:tcPr>
            <w:tcW w:w="1276" w:type="dxa"/>
            <w:tcBorders>
              <w:right w:val="single" w:sz="4" w:space="0" w:color="000000"/>
            </w:tcBorders>
            <w:shd w:val="clear" w:color="auto" w:fill="auto"/>
            <w:tcMar>
              <w:top w:w="0" w:type="dxa"/>
              <w:left w:w="108" w:type="dxa"/>
              <w:bottom w:w="0" w:type="dxa"/>
              <w:right w:w="108" w:type="dxa"/>
            </w:tcMar>
          </w:tcPr>
          <w:p w14:paraId="5B3E13C7" w14:textId="59D67C5E" w:rsidR="00AF2D4C" w:rsidRPr="006E45E2" w:rsidRDefault="00AF2D4C" w:rsidP="00DD69E7">
            <w:pPr>
              <w:spacing w:after="160" w:line="276" w:lineRule="auto"/>
              <w:jc w:val="right"/>
              <w:rPr>
                <w:rFonts w:ascii="Calibri" w:eastAsia="SimSun" w:hAnsi="Calibri" w:cs="Calibri"/>
                <w:noProof/>
                <w:sz w:val="22"/>
                <w:szCs w:val="22"/>
                <w:lang w:val="en-GB"/>
              </w:rPr>
            </w:pPr>
            <w:r w:rsidRPr="006E45E2">
              <w:rPr>
                <w:rFonts w:ascii="Calibri" w:eastAsia="SimSun" w:hAnsi="Calibri" w:cs="Calibri"/>
                <w:noProof/>
                <w:sz w:val="22"/>
                <w:szCs w:val="22"/>
                <w:lang w:val="en-GB"/>
              </w:rPr>
              <w:t>1</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88</w:t>
            </w:r>
          </w:p>
        </w:tc>
      </w:tr>
      <w:tr w:rsidR="00AF2D4C" w:rsidRPr="006E45E2" w14:paraId="42FED2EE" w14:textId="77777777" w:rsidTr="00D55C6E">
        <w:trPr>
          <w:trHeight w:val="329"/>
        </w:trPr>
        <w:tc>
          <w:tcPr>
            <w:tcW w:w="3257" w:type="dxa"/>
            <w:tcBorders>
              <w:left w:val="single" w:sz="4" w:space="0" w:color="000000"/>
            </w:tcBorders>
            <w:shd w:val="clear" w:color="auto" w:fill="auto"/>
            <w:tcMar>
              <w:top w:w="0" w:type="dxa"/>
              <w:left w:w="108" w:type="dxa"/>
              <w:bottom w:w="0" w:type="dxa"/>
              <w:right w:w="108" w:type="dxa"/>
            </w:tcMar>
          </w:tcPr>
          <w:p w14:paraId="737F754A" w14:textId="10517166" w:rsidR="00AF2D4C" w:rsidRPr="006E45E2" w:rsidRDefault="00AF2D4C" w:rsidP="00DD69E7">
            <w:pPr>
              <w:spacing w:after="160" w:line="276" w:lineRule="auto"/>
              <w:ind w:firstLine="221"/>
              <w:rPr>
                <w:rFonts w:ascii="Calibri" w:eastAsia="SimSun" w:hAnsi="Calibri" w:cs="Calibri"/>
                <w:b/>
                <w:bCs/>
                <w:noProof/>
                <w:sz w:val="22"/>
                <w:szCs w:val="22"/>
                <w:lang w:val="en-GB" w:eastAsia="hr-HR"/>
              </w:rPr>
            </w:pPr>
            <w:r w:rsidRPr="006E45E2">
              <w:rPr>
                <w:rFonts w:ascii="Calibri" w:eastAsia="SimSun" w:hAnsi="Calibri" w:cs="Calibri"/>
                <w:b/>
                <w:bCs/>
                <w:noProof/>
                <w:sz w:val="22"/>
                <w:szCs w:val="22"/>
                <w:lang w:val="en-GB" w:eastAsia="hr-HR"/>
              </w:rPr>
              <w:t>- dire</w:t>
            </w:r>
            <w:r w:rsidR="00022D15">
              <w:rPr>
                <w:rFonts w:ascii="Calibri" w:eastAsia="SimSun" w:hAnsi="Calibri" w:cs="Calibri"/>
                <w:b/>
                <w:bCs/>
                <w:noProof/>
                <w:sz w:val="22"/>
                <w:szCs w:val="22"/>
                <w:lang w:val="en-GB" w:eastAsia="hr-HR"/>
              </w:rPr>
              <w:t>c</w:t>
            </w:r>
            <w:r w:rsidRPr="006E45E2">
              <w:rPr>
                <w:rFonts w:ascii="Calibri" w:eastAsia="SimSun" w:hAnsi="Calibri" w:cs="Calibri"/>
                <w:b/>
                <w:bCs/>
                <w:noProof/>
                <w:sz w:val="22"/>
                <w:szCs w:val="22"/>
                <w:lang w:val="en-GB" w:eastAsia="hr-HR"/>
              </w:rPr>
              <w:t>t</w:t>
            </w:r>
          </w:p>
        </w:tc>
        <w:tc>
          <w:tcPr>
            <w:tcW w:w="1501" w:type="dxa"/>
            <w:shd w:val="clear" w:color="auto" w:fill="auto"/>
            <w:tcMar>
              <w:top w:w="0" w:type="dxa"/>
              <w:left w:w="108" w:type="dxa"/>
              <w:bottom w:w="0" w:type="dxa"/>
              <w:right w:w="108" w:type="dxa"/>
            </w:tcMar>
          </w:tcPr>
          <w:p w14:paraId="7BC38640" w14:textId="067B3ECD" w:rsidR="00AF2D4C" w:rsidRPr="006E45E2" w:rsidRDefault="00AF2D4C" w:rsidP="00DD69E7">
            <w:pPr>
              <w:spacing w:after="160" w:line="276" w:lineRule="auto"/>
              <w:jc w:val="right"/>
              <w:rPr>
                <w:rFonts w:ascii="Calibri" w:eastAsia="SimSun" w:hAnsi="Calibri" w:cs="Calibri"/>
                <w:noProof/>
                <w:sz w:val="22"/>
                <w:szCs w:val="22"/>
                <w:lang w:val="en-GB"/>
              </w:rPr>
            </w:pPr>
            <w:r w:rsidRPr="006E45E2">
              <w:rPr>
                <w:rFonts w:ascii="Calibri" w:eastAsia="SimSun" w:hAnsi="Calibri" w:cs="Calibri"/>
                <w:noProof/>
                <w:sz w:val="22"/>
                <w:szCs w:val="22"/>
                <w:lang w:val="en-GB"/>
              </w:rPr>
              <w:t>3</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414</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49</w:t>
            </w:r>
          </w:p>
        </w:tc>
        <w:tc>
          <w:tcPr>
            <w:tcW w:w="1401" w:type="dxa"/>
            <w:shd w:val="clear" w:color="auto" w:fill="auto"/>
            <w:tcMar>
              <w:top w:w="0" w:type="dxa"/>
              <w:left w:w="108" w:type="dxa"/>
              <w:bottom w:w="0" w:type="dxa"/>
              <w:right w:w="108" w:type="dxa"/>
            </w:tcMar>
          </w:tcPr>
          <w:p w14:paraId="17023485" w14:textId="4FD9E159" w:rsidR="00AF2D4C" w:rsidRPr="006E45E2" w:rsidRDefault="00AF2D4C" w:rsidP="00DD69E7">
            <w:pPr>
              <w:spacing w:after="160" w:line="276" w:lineRule="auto"/>
              <w:jc w:val="right"/>
              <w:rPr>
                <w:rFonts w:ascii="Calibri" w:eastAsia="SimSun" w:hAnsi="Calibri" w:cs="Calibri"/>
                <w:noProof/>
                <w:sz w:val="22"/>
                <w:szCs w:val="22"/>
                <w:lang w:val="en-GB"/>
              </w:rPr>
            </w:pPr>
            <w:r w:rsidRPr="006E45E2">
              <w:rPr>
                <w:rFonts w:ascii="Calibri" w:eastAsia="SimSun" w:hAnsi="Calibri" w:cs="Calibri"/>
                <w:noProof/>
                <w:sz w:val="22"/>
                <w:szCs w:val="22"/>
                <w:lang w:val="en-GB"/>
              </w:rPr>
              <w:t>98</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18</w:t>
            </w:r>
          </w:p>
        </w:tc>
        <w:tc>
          <w:tcPr>
            <w:tcW w:w="1491" w:type="dxa"/>
            <w:gridSpan w:val="2"/>
            <w:shd w:val="clear" w:color="auto" w:fill="auto"/>
            <w:tcMar>
              <w:top w:w="0" w:type="dxa"/>
              <w:left w:w="108" w:type="dxa"/>
              <w:bottom w:w="0" w:type="dxa"/>
              <w:right w:w="108" w:type="dxa"/>
            </w:tcMar>
          </w:tcPr>
          <w:p w14:paraId="4AA5A21D" w14:textId="6B14AAD5" w:rsidR="00AF2D4C" w:rsidRPr="006E45E2" w:rsidRDefault="00AF2D4C" w:rsidP="00DD69E7">
            <w:pPr>
              <w:spacing w:after="160" w:line="276" w:lineRule="auto"/>
              <w:jc w:val="right"/>
              <w:rPr>
                <w:rFonts w:ascii="Calibri" w:eastAsia="SimSun" w:hAnsi="Calibri" w:cs="Calibri"/>
                <w:noProof/>
                <w:sz w:val="22"/>
                <w:szCs w:val="22"/>
                <w:lang w:val="en-GB"/>
              </w:rPr>
            </w:pPr>
            <w:r w:rsidRPr="006E45E2">
              <w:rPr>
                <w:rFonts w:ascii="Calibri" w:eastAsia="SimSun" w:hAnsi="Calibri" w:cs="Calibri"/>
                <w:noProof/>
                <w:sz w:val="22"/>
                <w:szCs w:val="22"/>
                <w:lang w:val="en-GB"/>
              </w:rPr>
              <w:t>3</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569</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59</w:t>
            </w:r>
          </w:p>
        </w:tc>
        <w:tc>
          <w:tcPr>
            <w:tcW w:w="1276" w:type="dxa"/>
            <w:tcBorders>
              <w:right w:val="single" w:sz="4" w:space="0" w:color="000000"/>
            </w:tcBorders>
            <w:shd w:val="clear" w:color="auto" w:fill="auto"/>
            <w:tcMar>
              <w:top w:w="0" w:type="dxa"/>
              <w:left w:w="108" w:type="dxa"/>
              <w:bottom w:w="0" w:type="dxa"/>
              <w:right w:w="108" w:type="dxa"/>
            </w:tcMar>
          </w:tcPr>
          <w:p w14:paraId="4F491D88" w14:textId="74EFA38A" w:rsidR="00AF2D4C" w:rsidRPr="006E45E2" w:rsidRDefault="00AF2D4C" w:rsidP="00DD69E7">
            <w:pPr>
              <w:spacing w:after="160" w:line="276" w:lineRule="auto"/>
              <w:jc w:val="right"/>
              <w:rPr>
                <w:rFonts w:ascii="Calibri" w:eastAsia="SimSun" w:hAnsi="Calibri" w:cs="Calibri"/>
                <w:noProof/>
                <w:sz w:val="22"/>
                <w:szCs w:val="22"/>
                <w:lang w:val="en-GB"/>
              </w:rPr>
            </w:pPr>
            <w:r w:rsidRPr="006E45E2">
              <w:rPr>
                <w:rFonts w:ascii="Calibri" w:eastAsia="SimSun" w:hAnsi="Calibri" w:cs="Calibri"/>
                <w:noProof/>
                <w:sz w:val="22"/>
                <w:szCs w:val="22"/>
                <w:lang w:val="en-GB"/>
              </w:rPr>
              <w:t>98</w:t>
            </w:r>
            <w:r w:rsidR="00FD3699">
              <w:rPr>
                <w:rFonts w:ascii="Calibri" w:eastAsia="SimSun" w:hAnsi="Calibri" w:cs="Calibri"/>
                <w:noProof/>
                <w:sz w:val="22"/>
                <w:szCs w:val="22"/>
                <w:lang w:val="en-GB"/>
              </w:rPr>
              <w:t>.</w:t>
            </w:r>
            <w:r w:rsidRPr="006E45E2">
              <w:rPr>
                <w:rFonts w:ascii="Calibri" w:eastAsia="SimSun" w:hAnsi="Calibri" w:cs="Calibri"/>
                <w:noProof/>
                <w:sz w:val="22"/>
                <w:szCs w:val="22"/>
                <w:lang w:val="en-GB"/>
              </w:rPr>
              <w:t>12</w:t>
            </w:r>
          </w:p>
        </w:tc>
      </w:tr>
      <w:tr w:rsidR="00AF2D4C" w:rsidRPr="006E45E2" w14:paraId="1AC580D3" w14:textId="77777777" w:rsidTr="00D55C6E">
        <w:trPr>
          <w:trHeight w:val="329"/>
        </w:trPr>
        <w:tc>
          <w:tcPr>
            <w:tcW w:w="3257" w:type="dxa"/>
            <w:tcBorders>
              <w:left w:val="single" w:sz="4" w:space="0" w:color="000000"/>
              <w:bottom w:val="single" w:sz="4" w:space="0" w:color="000000"/>
            </w:tcBorders>
            <w:shd w:val="clear" w:color="auto" w:fill="auto"/>
            <w:tcMar>
              <w:top w:w="0" w:type="dxa"/>
              <w:left w:w="108" w:type="dxa"/>
              <w:bottom w:w="0" w:type="dxa"/>
              <w:right w:w="108" w:type="dxa"/>
            </w:tcMar>
          </w:tcPr>
          <w:p w14:paraId="44EEDD36" w14:textId="4791BE08" w:rsidR="00AF2D4C" w:rsidRPr="006E45E2" w:rsidRDefault="006E45E2" w:rsidP="00DD69E7">
            <w:pPr>
              <w:spacing w:after="160" w:line="276" w:lineRule="auto"/>
              <w:rPr>
                <w:rFonts w:ascii="Calibri" w:eastAsia="SimSun" w:hAnsi="Calibri" w:cs="Calibri"/>
                <w:b/>
                <w:bCs/>
                <w:noProof/>
                <w:sz w:val="22"/>
                <w:szCs w:val="22"/>
                <w:lang w:val="en-GB" w:eastAsia="hr-HR"/>
              </w:rPr>
            </w:pPr>
            <w:r w:rsidRPr="006E45E2">
              <w:rPr>
                <w:rFonts w:ascii="Calibri" w:eastAsia="SimSun" w:hAnsi="Calibri" w:cs="Calibri"/>
                <w:b/>
                <w:bCs/>
                <w:noProof/>
                <w:sz w:val="22"/>
                <w:szCs w:val="22"/>
                <w:lang w:val="en-GB" w:eastAsia="hr-HR"/>
              </w:rPr>
              <w:t>Provisions/gross portfolio</w:t>
            </w:r>
          </w:p>
        </w:tc>
        <w:tc>
          <w:tcPr>
            <w:tcW w:w="1501" w:type="dxa"/>
            <w:tcBorders>
              <w:bottom w:val="single" w:sz="4" w:space="0" w:color="000000"/>
            </w:tcBorders>
            <w:shd w:val="clear" w:color="auto" w:fill="auto"/>
            <w:tcMar>
              <w:top w:w="0" w:type="dxa"/>
              <w:left w:w="108" w:type="dxa"/>
              <w:bottom w:w="0" w:type="dxa"/>
              <w:right w:w="108" w:type="dxa"/>
            </w:tcMar>
          </w:tcPr>
          <w:p w14:paraId="1AA937E9" w14:textId="0C033BA9" w:rsidR="00AF2D4C" w:rsidRPr="006E45E2" w:rsidRDefault="00AF2D4C" w:rsidP="00DD69E7">
            <w:pPr>
              <w:spacing w:after="160" w:line="276" w:lineRule="auto"/>
              <w:jc w:val="right"/>
              <w:rPr>
                <w:rFonts w:ascii="Calibri" w:eastAsia="SimSun" w:hAnsi="Calibri" w:cs="Calibri"/>
                <w:b/>
                <w:bCs/>
                <w:noProof/>
                <w:sz w:val="22"/>
                <w:szCs w:val="22"/>
                <w:lang w:val="en-GB"/>
              </w:rPr>
            </w:pPr>
            <w:r w:rsidRPr="006E45E2">
              <w:rPr>
                <w:rFonts w:ascii="Calibri" w:eastAsia="SimSun" w:hAnsi="Calibri" w:cs="Calibri"/>
                <w:b/>
                <w:bCs/>
                <w:noProof/>
                <w:sz w:val="22"/>
                <w:szCs w:val="22"/>
                <w:lang w:val="en-GB"/>
              </w:rPr>
              <w:t>9</w:t>
            </w:r>
            <w:r w:rsidR="00FD3699">
              <w:rPr>
                <w:rFonts w:ascii="Calibri" w:eastAsia="SimSun" w:hAnsi="Calibri" w:cs="Calibri"/>
                <w:b/>
                <w:bCs/>
                <w:noProof/>
                <w:sz w:val="22"/>
                <w:szCs w:val="22"/>
                <w:lang w:val="en-GB"/>
              </w:rPr>
              <w:t>.</w:t>
            </w:r>
            <w:r w:rsidRPr="006E45E2">
              <w:rPr>
                <w:rFonts w:ascii="Calibri" w:eastAsia="SimSun" w:hAnsi="Calibri" w:cs="Calibri"/>
                <w:b/>
                <w:bCs/>
                <w:noProof/>
                <w:sz w:val="22"/>
                <w:szCs w:val="22"/>
                <w:lang w:val="en-GB"/>
              </w:rPr>
              <w:t>82 p</w:t>
            </w:r>
            <w:r w:rsidR="00FD3699">
              <w:rPr>
                <w:rFonts w:ascii="Calibri" w:eastAsia="SimSun" w:hAnsi="Calibri" w:cs="Calibri"/>
                <w:b/>
                <w:bCs/>
                <w:noProof/>
                <w:sz w:val="22"/>
                <w:szCs w:val="22"/>
                <w:lang w:val="en-GB"/>
              </w:rPr>
              <w:t>ercent</w:t>
            </w:r>
          </w:p>
        </w:tc>
        <w:tc>
          <w:tcPr>
            <w:tcW w:w="1401" w:type="dxa"/>
            <w:tcBorders>
              <w:bottom w:val="single" w:sz="4" w:space="0" w:color="000000"/>
            </w:tcBorders>
            <w:shd w:val="clear" w:color="auto" w:fill="auto"/>
            <w:tcMar>
              <w:top w:w="0" w:type="dxa"/>
              <w:left w:w="108" w:type="dxa"/>
              <w:bottom w:w="0" w:type="dxa"/>
              <w:right w:w="108" w:type="dxa"/>
            </w:tcMar>
          </w:tcPr>
          <w:p w14:paraId="68D2B092" w14:textId="77777777" w:rsidR="00AF2D4C" w:rsidRPr="006E45E2" w:rsidRDefault="00AF2D4C" w:rsidP="00DD69E7">
            <w:pPr>
              <w:spacing w:after="160" w:line="276" w:lineRule="auto"/>
              <w:jc w:val="right"/>
              <w:rPr>
                <w:rFonts w:ascii="Calibri" w:eastAsia="SimSun" w:hAnsi="Calibri" w:cs="Calibri"/>
                <w:b/>
                <w:bCs/>
                <w:noProof/>
                <w:sz w:val="22"/>
                <w:szCs w:val="22"/>
                <w:lang w:val="en-GB"/>
              </w:rPr>
            </w:pPr>
            <w:r w:rsidRPr="006E45E2">
              <w:rPr>
                <w:rFonts w:ascii="Calibri" w:eastAsia="SimSun" w:hAnsi="Calibri" w:cs="Calibri"/>
                <w:b/>
                <w:bCs/>
                <w:noProof/>
                <w:sz w:val="22"/>
                <w:szCs w:val="22"/>
                <w:lang w:val="en-GB"/>
              </w:rPr>
              <w:t>-</w:t>
            </w:r>
          </w:p>
        </w:tc>
        <w:tc>
          <w:tcPr>
            <w:tcW w:w="1491" w:type="dxa"/>
            <w:gridSpan w:val="2"/>
            <w:tcBorders>
              <w:bottom w:val="single" w:sz="4" w:space="0" w:color="000000"/>
            </w:tcBorders>
            <w:shd w:val="clear" w:color="auto" w:fill="auto"/>
            <w:tcMar>
              <w:top w:w="0" w:type="dxa"/>
              <w:left w:w="108" w:type="dxa"/>
              <w:bottom w:w="0" w:type="dxa"/>
              <w:right w:w="108" w:type="dxa"/>
            </w:tcMar>
          </w:tcPr>
          <w:p w14:paraId="75CCC374" w14:textId="386C0DF7" w:rsidR="00AF2D4C" w:rsidRPr="006E45E2" w:rsidRDefault="00AF2D4C" w:rsidP="00DD69E7">
            <w:pPr>
              <w:spacing w:after="160" w:line="276" w:lineRule="auto"/>
              <w:jc w:val="right"/>
              <w:rPr>
                <w:rFonts w:ascii="Calibri" w:eastAsia="SimSun" w:hAnsi="Calibri" w:cs="Calibri"/>
                <w:b/>
                <w:bCs/>
                <w:noProof/>
                <w:sz w:val="22"/>
                <w:szCs w:val="22"/>
                <w:lang w:val="en-GB"/>
              </w:rPr>
            </w:pPr>
            <w:r w:rsidRPr="006E45E2">
              <w:rPr>
                <w:rFonts w:ascii="Calibri" w:eastAsia="SimSun" w:hAnsi="Calibri" w:cs="Calibri"/>
                <w:b/>
                <w:bCs/>
                <w:noProof/>
                <w:sz w:val="22"/>
                <w:szCs w:val="22"/>
                <w:lang w:val="en-GB"/>
              </w:rPr>
              <w:t>10</w:t>
            </w:r>
            <w:r w:rsidR="00FD3699">
              <w:rPr>
                <w:rFonts w:ascii="Calibri" w:eastAsia="SimSun" w:hAnsi="Calibri" w:cs="Calibri"/>
                <w:b/>
                <w:bCs/>
                <w:noProof/>
                <w:sz w:val="22"/>
                <w:szCs w:val="22"/>
                <w:lang w:val="en-GB"/>
              </w:rPr>
              <w:t>.</w:t>
            </w:r>
            <w:r w:rsidRPr="006E45E2">
              <w:rPr>
                <w:rFonts w:ascii="Calibri" w:eastAsia="SimSun" w:hAnsi="Calibri" w:cs="Calibri"/>
                <w:b/>
                <w:bCs/>
                <w:noProof/>
                <w:sz w:val="22"/>
                <w:szCs w:val="22"/>
                <w:lang w:val="en-GB"/>
              </w:rPr>
              <w:t>25 p</w:t>
            </w:r>
            <w:r w:rsidR="00FD3699">
              <w:rPr>
                <w:rFonts w:ascii="Calibri" w:eastAsia="SimSun" w:hAnsi="Calibri" w:cs="Calibri"/>
                <w:b/>
                <w:bCs/>
                <w:noProof/>
                <w:sz w:val="22"/>
                <w:szCs w:val="22"/>
                <w:lang w:val="en-GB"/>
              </w:rPr>
              <w:t>ercent</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tcPr>
          <w:p w14:paraId="4B7320FE" w14:textId="77777777" w:rsidR="00AF2D4C" w:rsidRPr="006E45E2" w:rsidRDefault="00AF2D4C" w:rsidP="00DD69E7">
            <w:pPr>
              <w:spacing w:after="160" w:line="276" w:lineRule="auto"/>
              <w:jc w:val="right"/>
              <w:rPr>
                <w:rFonts w:ascii="Calibri" w:eastAsia="SimSun" w:hAnsi="Calibri" w:cs="Calibri"/>
                <w:b/>
                <w:bCs/>
                <w:noProof/>
                <w:sz w:val="22"/>
                <w:szCs w:val="22"/>
                <w:lang w:val="en-GB"/>
              </w:rPr>
            </w:pPr>
            <w:r w:rsidRPr="006E45E2">
              <w:rPr>
                <w:rFonts w:ascii="Calibri" w:eastAsia="SimSun" w:hAnsi="Calibri" w:cs="Calibri"/>
                <w:b/>
                <w:bCs/>
                <w:noProof/>
                <w:sz w:val="22"/>
                <w:szCs w:val="22"/>
                <w:lang w:val="en-GB"/>
              </w:rPr>
              <w:t>-</w:t>
            </w:r>
          </w:p>
        </w:tc>
      </w:tr>
    </w:tbl>
    <w:p w14:paraId="25EBDC3F" w14:textId="77777777" w:rsidR="00AF2D4C" w:rsidRPr="006E45E2" w:rsidRDefault="00AF2D4C" w:rsidP="00AF2D4C">
      <w:pPr>
        <w:suppressAutoHyphens w:val="0"/>
        <w:rPr>
          <w:rStyle w:val="Zadanifontodlomka1"/>
          <w:rFonts w:ascii="Calibri" w:hAnsi="Calibri" w:cs="Calibri"/>
          <w:b/>
          <w:i/>
          <w:noProof/>
          <w:spacing w:val="-3"/>
          <w:sz w:val="22"/>
          <w:szCs w:val="22"/>
          <w:lang w:val="en-GB" w:eastAsia="hr-HR"/>
        </w:rPr>
      </w:pPr>
      <w:r w:rsidRPr="006E45E2">
        <w:rPr>
          <w:rStyle w:val="Zadanifontodlomka1"/>
          <w:rFonts w:ascii="Calibri" w:hAnsi="Calibri" w:cs="Calibri"/>
          <w:b/>
          <w:i/>
          <w:noProof/>
          <w:spacing w:val="-3"/>
          <w:sz w:val="22"/>
          <w:szCs w:val="22"/>
          <w:lang w:val="en-GB" w:eastAsia="hr-HR"/>
        </w:rPr>
        <w:br w:type="page"/>
      </w:r>
    </w:p>
    <w:p w14:paraId="031EACA0" w14:textId="154613E8" w:rsidR="007A6404" w:rsidRPr="007A6404" w:rsidRDefault="007A6404" w:rsidP="000B677E">
      <w:pPr>
        <w:autoSpaceDN/>
        <w:spacing w:after="160" w:line="276" w:lineRule="auto"/>
        <w:rPr>
          <w:rFonts w:ascii="Calibri" w:eastAsia="SimSun" w:hAnsi="Calibri" w:cs="Calibri"/>
          <w:b/>
          <w:spacing w:val="-3"/>
          <w:sz w:val="22"/>
          <w:szCs w:val="22"/>
          <w:lang w:val="en-GB"/>
        </w:rPr>
      </w:pPr>
      <w:r w:rsidRPr="007A6404">
        <w:rPr>
          <w:rFonts w:ascii="Calibri" w:eastAsia="SimSun" w:hAnsi="Calibri" w:cs="Calibri"/>
          <w:b/>
          <w:spacing w:val="-3"/>
          <w:sz w:val="22"/>
          <w:szCs w:val="22"/>
          <w:lang w:val="en-GB"/>
        </w:rPr>
        <w:lastRenderedPageBreak/>
        <w:t>Significant changes in financial position</w:t>
      </w:r>
    </w:p>
    <w:p w14:paraId="4AD1330B" w14:textId="77777777" w:rsidR="007A6404" w:rsidRPr="007A6404" w:rsidRDefault="007A6404" w:rsidP="000B677E">
      <w:pPr>
        <w:tabs>
          <w:tab w:val="left" w:pos="-720"/>
        </w:tabs>
        <w:jc w:val="both"/>
        <w:textAlignment w:val="baseline"/>
        <w:rPr>
          <w:rFonts w:ascii="Calibri" w:eastAsia="Calibri" w:hAnsi="Calibri" w:cs="Calibri"/>
          <w:b/>
          <w:spacing w:val="-3"/>
          <w:sz w:val="22"/>
          <w:szCs w:val="22"/>
          <w:lang w:val="en-GB"/>
        </w:rPr>
      </w:pPr>
    </w:p>
    <w:p w14:paraId="569FFA53" w14:textId="77777777" w:rsidR="007A6404" w:rsidRPr="007A6404" w:rsidRDefault="007A6404" w:rsidP="000B677E">
      <w:pPr>
        <w:tabs>
          <w:tab w:val="left" w:pos="-720"/>
        </w:tabs>
        <w:jc w:val="both"/>
        <w:textAlignment w:val="baseline"/>
        <w:rPr>
          <w:rFonts w:ascii="Calibri" w:eastAsia="Calibri" w:hAnsi="Calibri" w:cs="Calibri"/>
          <w:sz w:val="22"/>
          <w:szCs w:val="22"/>
          <w:lang w:val="en-GB"/>
        </w:rPr>
      </w:pPr>
      <w:r w:rsidRPr="007A6404">
        <w:rPr>
          <w:rFonts w:ascii="Calibri" w:eastAsia="Calibri" w:hAnsi="Calibri" w:cs="Calibri"/>
          <w:spacing w:val="-3"/>
          <w:sz w:val="22"/>
          <w:szCs w:val="22"/>
          <w:lang w:val="en-GB"/>
        </w:rPr>
        <w:t xml:space="preserve">Total assets of HBOR as </w:t>
      </w:r>
      <w:proofErr w:type="gramStart"/>
      <w:r w:rsidRPr="007A6404">
        <w:rPr>
          <w:rFonts w:ascii="Calibri" w:eastAsia="Calibri" w:hAnsi="Calibri" w:cs="Calibri"/>
          <w:spacing w:val="-3"/>
          <w:sz w:val="22"/>
          <w:szCs w:val="22"/>
          <w:lang w:val="en-GB"/>
        </w:rPr>
        <w:t>at</w:t>
      </w:r>
      <w:proofErr w:type="gramEnd"/>
      <w:r w:rsidRPr="007A6404">
        <w:rPr>
          <w:rFonts w:ascii="Calibri" w:eastAsia="Calibri" w:hAnsi="Calibri" w:cs="Calibri"/>
          <w:spacing w:val="-3"/>
          <w:sz w:val="22"/>
          <w:szCs w:val="22"/>
          <w:lang w:val="en-GB"/>
        </w:rPr>
        <w:t xml:space="preserve"> 31 December 2022 amounted to HRK 29,032.31 million, an increase of 2.77 percent compared with 2021 due to an increase in placements to other borrowers</w:t>
      </w:r>
      <w:r w:rsidRPr="007A6404">
        <w:rPr>
          <w:rFonts w:ascii="Calibri" w:eastAsia="SimSun" w:hAnsi="Calibri" w:cs="Calibri"/>
          <w:spacing w:val="-3"/>
          <w:sz w:val="22"/>
          <w:szCs w:val="22"/>
          <w:lang w:val="en-GB"/>
        </w:rPr>
        <w:t>.</w:t>
      </w:r>
      <w:r w:rsidRPr="007A6404">
        <w:rPr>
          <w:rFonts w:ascii="Calibri" w:hAnsi="Calibri" w:cs="Calibri"/>
          <w:spacing w:val="-3"/>
          <w:sz w:val="22"/>
          <w:szCs w:val="22"/>
          <w:lang w:val="en-GB" w:eastAsia="hr-HR"/>
        </w:rPr>
        <w:t xml:space="preserve"> </w:t>
      </w:r>
    </w:p>
    <w:p w14:paraId="52531E03" w14:textId="77777777" w:rsidR="007A6404" w:rsidRPr="007A6404" w:rsidRDefault="007A6404" w:rsidP="000B677E">
      <w:pPr>
        <w:tabs>
          <w:tab w:val="left" w:pos="-720"/>
        </w:tabs>
        <w:jc w:val="both"/>
        <w:textAlignment w:val="baseline"/>
        <w:rPr>
          <w:rFonts w:ascii="Calibri" w:hAnsi="Calibri" w:cs="Calibri"/>
          <w:spacing w:val="-3"/>
          <w:sz w:val="22"/>
          <w:szCs w:val="22"/>
          <w:lang w:val="en-GB" w:eastAsia="hr-HR"/>
        </w:rPr>
      </w:pPr>
    </w:p>
    <w:p w14:paraId="59B34D74" w14:textId="77777777" w:rsidR="007A6404" w:rsidRPr="007A6404" w:rsidRDefault="007A6404" w:rsidP="000B677E">
      <w:pPr>
        <w:jc w:val="both"/>
        <w:textAlignment w:val="baseline"/>
        <w:rPr>
          <w:rFonts w:ascii="Calibri" w:hAnsi="Calibri" w:cs="Calibri"/>
          <w:b/>
          <w:i/>
          <w:sz w:val="22"/>
          <w:szCs w:val="22"/>
          <w:lang w:val="en-GB" w:eastAsia="hr-HR"/>
        </w:rPr>
      </w:pPr>
      <w:r w:rsidRPr="007A6404">
        <w:rPr>
          <w:rFonts w:ascii="Calibri" w:hAnsi="Calibri" w:cs="Calibri"/>
          <w:b/>
          <w:i/>
          <w:sz w:val="22"/>
          <w:szCs w:val="22"/>
          <w:lang w:val="en-GB" w:eastAsia="hr-HR"/>
        </w:rPr>
        <w:t xml:space="preserve">Cash on hand and deposits with other banks </w:t>
      </w:r>
    </w:p>
    <w:p w14:paraId="4EAF385A" w14:textId="77777777" w:rsidR="007A6404" w:rsidRPr="007A6404" w:rsidRDefault="007A6404" w:rsidP="000B677E">
      <w:pPr>
        <w:jc w:val="both"/>
        <w:textAlignment w:val="baseline"/>
        <w:rPr>
          <w:rFonts w:ascii="Calibri" w:hAnsi="Calibri" w:cs="Calibri"/>
          <w:b/>
          <w:i/>
          <w:sz w:val="22"/>
          <w:szCs w:val="22"/>
          <w:lang w:val="en-GB" w:eastAsia="hr-HR"/>
        </w:rPr>
      </w:pPr>
    </w:p>
    <w:p w14:paraId="3311AD09" w14:textId="77777777" w:rsidR="007A6404" w:rsidRPr="007A6404" w:rsidRDefault="007A6404" w:rsidP="000B677E">
      <w:pPr>
        <w:jc w:val="both"/>
        <w:textAlignment w:val="baseline"/>
        <w:rPr>
          <w:rFonts w:ascii="Calibri" w:eastAsia="Calibri" w:hAnsi="Calibri" w:cs="Calibri"/>
          <w:sz w:val="22"/>
          <w:szCs w:val="22"/>
          <w:lang w:val="en-GB"/>
        </w:rPr>
      </w:pPr>
      <w:r w:rsidRPr="007A6404">
        <w:rPr>
          <w:rFonts w:ascii="Calibri" w:eastAsia="Calibri" w:hAnsi="Calibri" w:cs="Calibri"/>
          <w:sz w:val="22"/>
          <w:szCs w:val="22"/>
          <w:lang w:val="en-GB"/>
        </w:rPr>
        <w:t>At the end of 2022, cash on hand and deposits with other banks amounted to HRK 1,727.12 million representing 5.95 percent of total assets, a decrease of 12.16 percent compared with the previous year.</w:t>
      </w:r>
    </w:p>
    <w:p w14:paraId="48281207" w14:textId="77777777" w:rsidR="007A6404" w:rsidRPr="007A6404" w:rsidRDefault="007A6404" w:rsidP="000B677E">
      <w:pPr>
        <w:autoSpaceDN/>
        <w:jc w:val="both"/>
        <w:rPr>
          <w:rFonts w:ascii="Calibri" w:hAnsi="Calibri" w:cs="Calibri"/>
          <w:b/>
          <w:i/>
          <w:sz w:val="22"/>
          <w:szCs w:val="22"/>
          <w:lang w:val="en-GB" w:eastAsia="hr-HR"/>
        </w:rPr>
      </w:pPr>
    </w:p>
    <w:p w14:paraId="444875A1" w14:textId="77777777" w:rsidR="007A6404" w:rsidRPr="007A6404" w:rsidRDefault="007A6404" w:rsidP="000B677E">
      <w:pPr>
        <w:autoSpaceDN/>
        <w:jc w:val="both"/>
        <w:rPr>
          <w:rFonts w:ascii="Calibri" w:hAnsi="Calibri" w:cs="Calibri"/>
          <w:b/>
          <w:i/>
          <w:sz w:val="22"/>
          <w:szCs w:val="22"/>
          <w:lang w:val="en-GB" w:eastAsia="hr-HR"/>
        </w:rPr>
      </w:pPr>
      <w:r w:rsidRPr="007A6404">
        <w:rPr>
          <w:rFonts w:ascii="Calibri" w:hAnsi="Calibri" w:cs="Calibri"/>
          <w:b/>
          <w:i/>
          <w:sz w:val="22"/>
          <w:szCs w:val="22"/>
          <w:lang w:val="en-GB" w:eastAsia="hr-HR"/>
        </w:rPr>
        <w:t>Loans to financial institutions and other customers</w:t>
      </w:r>
    </w:p>
    <w:p w14:paraId="2AD56839" w14:textId="77777777" w:rsidR="007A6404" w:rsidRPr="007A6404" w:rsidRDefault="007A6404" w:rsidP="000B677E">
      <w:pPr>
        <w:jc w:val="both"/>
        <w:textAlignment w:val="baseline"/>
        <w:rPr>
          <w:rFonts w:ascii="Calibri" w:hAnsi="Calibri" w:cs="Calibri"/>
          <w:b/>
          <w:i/>
          <w:sz w:val="22"/>
          <w:szCs w:val="22"/>
          <w:lang w:val="en-GB" w:eastAsia="hr-HR"/>
        </w:rPr>
      </w:pPr>
    </w:p>
    <w:p w14:paraId="580C182A" w14:textId="77777777" w:rsidR="007A6404" w:rsidRPr="007A6404" w:rsidRDefault="007A6404" w:rsidP="000B677E">
      <w:pPr>
        <w:jc w:val="both"/>
        <w:textAlignment w:val="baseline"/>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 xml:space="preserve">Total net loans increased by 5.97 percent on the previous year and stood at HRK 24,387.38 million at the end of 2022 representing 84.00 percent of total assets. </w:t>
      </w:r>
    </w:p>
    <w:p w14:paraId="6307EBB5" w14:textId="77777777" w:rsidR="007A6404" w:rsidRPr="007A6404" w:rsidRDefault="007A6404" w:rsidP="000B677E">
      <w:pPr>
        <w:jc w:val="both"/>
        <w:textAlignment w:val="baseline"/>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 xml:space="preserve">Total gross loans amounted to HRK 27,903.26 million, an increase of 5.98 percent compared with the previous year. Gross loans to other customers increased by 8.52 percent compared with the beginning of the year, mostly </w:t>
      </w:r>
      <w:proofErr w:type="gramStart"/>
      <w:r w:rsidRPr="007A6404">
        <w:rPr>
          <w:rFonts w:ascii="Calibri" w:eastAsia="Calibri" w:hAnsi="Calibri" w:cs="Calibri"/>
          <w:spacing w:val="-3"/>
          <w:sz w:val="22"/>
          <w:szCs w:val="22"/>
          <w:lang w:val="en-GB"/>
        </w:rPr>
        <w:t>as a result of</w:t>
      </w:r>
      <w:proofErr w:type="gramEnd"/>
      <w:r w:rsidRPr="007A6404">
        <w:rPr>
          <w:rFonts w:ascii="Calibri" w:eastAsia="Calibri" w:hAnsi="Calibri" w:cs="Calibri"/>
          <w:spacing w:val="-3"/>
          <w:sz w:val="22"/>
          <w:szCs w:val="22"/>
          <w:lang w:val="en-GB"/>
        </w:rPr>
        <w:t xml:space="preserve"> disbursements of working capital loans, loans under COVID-19 measures, public sector investments and private sector investments. Gross loans to financial institutions decreased by 0.89 percent on the previous year.</w:t>
      </w:r>
    </w:p>
    <w:p w14:paraId="41EA6089" w14:textId="77777777" w:rsidR="007A6404" w:rsidRPr="007A6404" w:rsidRDefault="007A6404" w:rsidP="000B677E">
      <w:pPr>
        <w:jc w:val="both"/>
        <w:textAlignment w:val="baseline"/>
        <w:rPr>
          <w:rFonts w:ascii="Calibri" w:eastAsia="Calibri" w:hAnsi="Calibri" w:cs="Calibri"/>
          <w:sz w:val="22"/>
          <w:szCs w:val="22"/>
          <w:lang w:val="en-GB"/>
        </w:rPr>
      </w:pPr>
    </w:p>
    <w:p w14:paraId="5786432E" w14:textId="77777777" w:rsidR="007A6404" w:rsidRPr="007A6404" w:rsidRDefault="007A6404" w:rsidP="000B677E">
      <w:pPr>
        <w:jc w:val="both"/>
        <w:textAlignment w:val="baseline"/>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 xml:space="preserve">At the end of 2022, the proportion between gross loans on-lent through financial institutions and direct placements stood at 25.25 </w:t>
      </w:r>
      <w:proofErr w:type="gramStart"/>
      <w:r w:rsidRPr="007A6404">
        <w:rPr>
          <w:rFonts w:ascii="Calibri" w:eastAsia="Calibri" w:hAnsi="Calibri" w:cs="Calibri"/>
          <w:spacing w:val="-3"/>
          <w:sz w:val="22"/>
          <w:szCs w:val="22"/>
          <w:lang w:val="en-GB"/>
        </w:rPr>
        <w:t>percent :</w:t>
      </w:r>
      <w:proofErr w:type="gramEnd"/>
      <w:r w:rsidRPr="007A6404">
        <w:rPr>
          <w:rFonts w:ascii="Calibri" w:eastAsia="Calibri" w:hAnsi="Calibri" w:cs="Calibri"/>
          <w:spacing w:val="-3"/>
          <w:sz w:val="22"/>
          <w:szCs w:val="22"/>
          <w:lang w:val="en-GB"/>
        </w:rPr>
        <w:t xml:space="preserve"> 74.75 percent.</w:t>
      </w:r>
    </w:p>
    <w:p w14:paraId="54CC2CA0" w14:textId="77777777" w:rsidR="007A6404" w:rsidRPr="007A6404" w:rsidRDefault="007A6404" w:rsidP="000B677E">
      <w:pPr>
        <w:tabs>
          <w:tab w:val="left" w:pos="-720"/>
        </w:tabs>
        <w:jc w:val="both"/>
        <w:textAlignment w:val="baseline"/>
        <w:rPr>
          <w:rFonts w:ascii="Calibri" w:eastAsia="Calibri" w:hAnsi="Calibri" w:cs="Calibri"/>
          <w:b/>
          <w:i/>
          <w:sz w:val="22"/>
          <w:szCs w:val="22"/>
          <w:shd w:val="clear" w:color="auto" w:fill="FFFF00"/>
          <w:lang w:val="en-GB"/>
        </w:rPr>
      </w:pPr>
    </w:p>
    <w:p w14:paraId="37D8EC10" w14:textId="77777777" w:rsidR="007A6404" w:rsidRPr="007A6404" w:rsidRDefault="007A6404" w:rsidP="000B677E">
      <w:pPr>
        <w:tabs>
          <w:tab w:val="left" w:pos="-720"/>
        </w:tabs>
        <w:jc w:val="both"/>
        <w:textAlignment w:val="baseline"/>
        <w:rPr>
          <w:rFonts w:ascii="Calibri" w:eastAsia="Calibri" w:hAnsi="Calibri" w:cs="Calibri"/>
          <w:b/>
          <w:i/>
          <w:sz w:val="22"/>
          <w:szCs w:val="22"/>
          <w:lang w:val="en-GB"/>
        </w:rPr>
      </w:pPr>
      <w:r w:rsidRPr="007A6404">
        <w:rPr>
          <w:rFonts w:ascii="Calibri" w:eastAsia="Calibri" w:hAnsi="Calibri" w:cs="Calibri"/>
          <w:b/>
          <w:i/>
          <w:sz w:val="22"/>
          <w:szCs w:val="22"/>
          <w:lang w:val="en-GB"/>
        </w:rPr>
        <w:t>Financial assets at fair value through profit or loss</w:t>
      </w:r>
    </w:p>
    <w:p w14:paraId="17E4F7E8" w14:textId="77777777" w:rsidR="007A6404" w:rsidRPr="007A6404" w:rsidRDefault="007A6404" w:rsidP="000B677E">
      <w:pPr>
        <w:tabs>
          <w:tab w:val="left" w:pos="-720"/>
        </w:tabs>
        <w:jc w:val="both"/>
        <w:textAlignment w:val="baseline"/>
        <w:rPr>
          <w:rFonts w:ascii="Calibri" w:eastAsia="Calibri" w:hAnsi="Calibri" w:cs="Calibri"/>
          <w:b/>
          <w:i/>
          <w:sz w:val="22"/>
          <w:szCs w:val="22"/>
          <w:lang w:val="en-GB"/>
        </w:rPr>
      </w:pPr>
    </w:p>
    <w:p w14:paraId="46074DCE" w14:textId="356A47F1" w:rsidR="007A6404" w:rsidRPr="007A6404" w:rsidRDefault="007A6404" w:rsidP="000B677E">
      <w:pPr>
        <w:tabs>
          <w:tab w:val="left" w:pos="-720"/>
        </w:tabs>
        <w:jc w:val="both"/>
        <w:textAlignment w:val="baseline"/>
        <w:rPr>
          <w:rFonts w:ascii="Calibri" w:eastAsia="Calibri" w:hAnsi="Calibri" w:cs="Calibri"/>
          <w:sz w:val="22"/>
          <w:szCs w:val="22"/>
          <w:lang w:val="en-GB"/>
        </w:rPr>
      </w:pPr>
      <w:r w:rsidRPr="007A6404">
        <w:rPr>
          <w:rFonts w:ascii="Calibri" w:eastAsia="Calibri" w:hAnsi="Calibri" w:cs="Calibri"/>
          <w:sz w:val="22"/>
          <w:szCs w:val="22"/>
          <w:lang w:val="en-GB"/>
        </w:rPr>
        <w:t>Loans at fair value (</w:t>
      </w:r>
      <w:r w:rsidR="004354C2">
        <w:rPr>
          <w:rFonts w:ascii="Calibri" w:eastAsia="Calibri" w:hAnsi="Calibri" w:cs="Calibri"/>
          <w:sz w:val="22"/>
          <w:szCs w:val="22"/>
          <w:lang w:val="en-GB"/>
        </w:rPr>
        <w:t xml:space="preserve">pursuant to </w:t>
      </w:r>
      <w:r w:rsidRPr="007A6404">
        <w:rPr>
          <w:rFonts w:ascii="Calibri" w:eastAsia="Calibri" w:hAnsi="Calibri" w:cs="Calibri"/>
          <w:sz w:val="22"/>
          <w:szCs w:val="22"/>
          <w:lang w:val="en-GB"/>
        </w:rPr>
        <w:t>HBOR</w:t>
      </w:r>
      <w:r w:rsidR="004354C2">
        <w:rPr>
          <w:rFonts w:ascii="Calibri" w:eastAsia="Calibri" w:hAnsi="Calibri" w:cs="Calibri"/>
          <w:sz w:val="22"/>
          <w:szCs w:val="22"/>
          <w:lang w:val="en-GB"/>
        </w:rPr>
        <w:t>’s decision, m</w:t>
      </w:r>
      <w:r w:rsidRPr="007A6404">
        <w:rPr>
          <w:rFonts w:ascii="Calibri" w:eastAsia="Calibri" w:hAnsi="Calibri" w:cs="Calibri"/>
          <w:sz w:val="22"/>
          <w:szCs w:val="22"/>
          <w:lang w:val="en-GB"/>
        </w:rPr>
        <w:t xml:space="preserve">ezzanine loans are classified </w:t>
      </w:r>
      <w:r w:rsidR="00011093">
        <w:rPr>
          <w:rFonts w:ascii="Calibri" w:eastAsia="Calibri" w:hAnsi="Calibri" w:cs="Calibri"/>
          <w:sz w:val="22"/>
          <w:szCs w:val="22"/>
          <w:lang w:val="en-GB"/>
        </w:rPr>
        <w:t>to this category</w:t>
      </w:r>
      <w:r w:rsidRPr="007A6404">
        <w:rPr>
          <w:rFonts w:ascii="Calibri" w:eastAsia="Calibri" w:hAnsi="Calibri" w:cs="Calibri"/>
          <w:sz w:val="22"/>
          <w:szCs w:val="22"/>
          <w:lang w:val="en-GB"/>
        </w:rPr>
        <w:t xml:space="preserve">), investments in investment funds and a part of equity instruments are classified to these assets. As </w:t>
      </w:r>
      <w:proofErr w:type="gramStart"/>
      <w:r w:rsidRPr="007A6404">
        <w:rPr>
          <w:rFonts w:ascii="Calibri" w:eastAsia="Calibri" w:hAnsi="Calibri" w:cs="Calibri"/>
          <w:sz w:val="22"/>
          <w:szCs w:val="22"/>
          <w:lang w:val="en-GB"/>
        </w:rPr>
        <w:t>at</w:t>
      </w:r>
      <w:proofErr w:type="gramEnd"/>
      <w:r w:rsidRPr="007A6404">
        <w:rPr>
          <w:rFonts w:ascii="Calibri" w:eastAsia="Calibri" w:hAnsi="Calibri" w:cs="Calibri"/>
          <w:sz w:val="22"/>
          <w:szCs w:val="22"/>
          <w:lang w:val="en-GB"/>
        </w:rPr>
        <w:t xml:space="preserve"> 31 December 2022, the total amount of these assets equalled HRK 131.52 million representing 0.45 percent of total assets. </w:t>
      </w:r>
    </w:p>
    <w:p w14:paraId="2140BF77" w14:textId="77777777" w:rsidR="007A6404" w:rsidRPr="007A6404" w:rsidRDefault="007A6404" w:rsidP="000B677E">
      <w:pPr>
        <w:tabs>
          <w:tab w:val="left" w:pos="-720"/>
        </w:tabs>
        <w:jc w:val="both"/>
        <w:textAlignment w:val="baseline"/>
        <w:rPr>
          <w:rFonts w:ascii="Calibri" w:eastAsia="Calibri" w:hAnsi="Calibri" w:cs="Calibri"/>
          <w:spacing w:val="-3"/>
          <w:sz w:val="22"/>
          <w:szCs w:val="22"/>
          <w:lang w:val="en-GB"/>
        </w:rPr>
      </w:pPr>
    </w:p>
    <w:p w14:paraId="4BFDF3B9" w14:textId="77777777" w:rsidR="007A6404" w:rsidRPr="007A6404" w:rsidRDefault="007A6404" w:rsidP="000B677E">
      <w:pPr>
        <w:tabs>
          <w:tab w:val="left" w:pos="-720"/>
        </w:tabs>
        <w:jc w:val="both"/>
        <w:textAlignment w:val="baseline"/>
        <w:rPr>
          <w:rFonts w:ascii="Calibri" w:eastAsia="Calibri" w:hAnsi="Calibri" w:cs="Calibri"/>
          <w:b/>
          <w:i/>
          <w:sz w:val="22"/>
          <w:szCs w:val="22"/>
          <w:lang w:val="en-GB"/>
        </w:rPr>
      </w:pPr>
      <w:r w:rsidRPr="007A6404">
        <w:rPr>
          <w:rFonts w:ascii="Calibri" w:eastAsia="Calibri" w:hAnsi="Calibri" w:cs="Calibri"/>
          <w:b/>
          <w:i/>
          <w:sz w:val="22"/>
          <w:szCs w:val="22"/>
          <w:lang w:val="en-GB"/>
        </w:rPr>
        <w:t>Financial assets at fair value through other comprehensive income</w:t>
      </w:r>
    </w:p>
    <w:p w14:paraId="687BE296" w14:textId="77777777" w:rsidR="007A6404" w:rsidRPr="007A6404" w:rsidRDefault="007A6404" w:rsidP="000B677E">
      <w:pPr>
        <w:tabs>
          <w:tab w:val="left" w:pos="-720"/>
        </w:tabs>
        <w:jc w:val="both"/>
        <w:textAlignment w:val="baseline"/>
        <w:rPr>
          <w:rFonts w:ascii="Calibri" w:eastAsia="Calibri" w:hAnsi="Calibri" w:cs="Calibri"/>
          <w:b/>
          <w:i/>
          <w:sz w:val="22"/>
          <w:szCs w:val="22"/>
          <w:lang w:val="en-GB"/>
        </w:rPr>
      </w:pPr>
    </w:p>
    <w:p w14:paraId="73B08149" w14:textId="77777777" w:rsidR="007A6404" w:rsidRPr="007A6404" w:rsidRDefault="007A6404" w:rsidP="000B677E">
      <w:pPr>
        <w:tabs>
          <w:tab w:val="left" w:pos="-720"/>
        </w:tabs>
        <w:jc w:val="both"/>
        <w:textAlignment w:val="baseline"/>
        <w:rPr>
          <w:rFonts w:ascii="Calibri" w:eastAsia="Calibri" w:hAnsi="Calibri" w:cs="Calibri"/>
          <w:b/>
          <w:i/>
          <w:sz w:val="22"/>
          <w:szCs w:val="22"/>
          <w:lang w:val="en-GB"/>
        </w:rPr>
      </w:pPr>
      <w:r w:rsidRPr="007A6404">
        <w:rPr>
          <w:rFonts w:ascii="Calibri" w:eastAsia="Calibri" w:hAnsi="Calibri" w:cs="Calibri"/>
          <w:b/>
          <w:i/>
          <w:sz w:val="22"/>
          <w:szCs w:val="22"/>
          <w:lang w:val="en-GB"/>
        </w:rPr>
        <w:t xml:space="preserve">a) Debt securities </w:t>
      </w:r>
    </w:p>
    <w:p w14:paraId="555CC3D5" w14:textId="77777777" w:rsidR="007A6404" w:rsidRPr="007A6404" w:rsidRDefault="007A6404" w:rsidP="000B677E">
      <w:pPr>
        <w:tabs>
          <w:tab w:val="left" w:pos="-720"/>
        </w:tabs>
        <w:jc w:val="both"/>
        <w:textAlignment w:val="baseline"/>
        <w:rPr>
          <w:rFonts w:ascii="Calibri" w:eastAsia="Calibri" w:hAnsi="Calibri" w:cs="Calibri"/>
          <w:b/>
          <w:i/>
          <w:sz w:val="22"/>
          <w:szCs w:val="22"/>
          <w:lang w:val="en-GB"/>
        </w:rPr>
      </w:pPr>
    </w:p>
    <w:p w14:paraId="62D19506" w14:textId="2F226A79" w:rsidR="007A6404" w:rsidRDefault="007A6404" w:rsidP="000B677E">
      <w:pPr>
        <w:jc w:val="both"/>
        <w:textAlignment w:val="baseline"/>
        <w:rPr>
          <w:rFonts w:ascii="Calibri" w:eastAsia="Calibri" w:hAnsi="Calibri" w:cs="Calibri"/>
          <w:sz w:val="22"/>
          <w:szCs w:val="22"/>
          <w:lang w:val="en-GB"/>
        </w:rPr>
      </w:pPr>
      <w:r w:rsidRPr="007A6404">
        <w:rPr>
          <w:rFonts w:ascii="Calibri" w:eastAsia="Calibri" w:hAnsi="Calibri" w:cs="Calibri"/>
          <w:sz w:val="22"/>
          <w:szCs w:val="22"/>
          <w:lang w:val="en-GB"/>
        </w:rPr>
        <w:t>Bonds of the Republic of Croatia and of companies, and treasury bills of the Ministry of Finance as part of liquidity reserve are classified to these assets. On the reporting date, they amounted to HRK 2,586.30 million, representing 8.91 percent of total assets. The impairment of these financial assets is calculated through the application of the model of expected credit losses in the manner that provisions are recognised in the accounts of other comprehensive income, thus not reducing the carrying amount of these financial assets in the statement on financial position. On the reporting date, they amounted to HRK 4.57 million in other reserves.</w:t>
      </w:r>
    </w:p>
    <w:p w14:paraId="565B654B" w14:textId="77777777" w:rsidR="00E82CDF" w:rsidRPr="007A6404" w:rsidRDefault="00E82CDF" w:rsidP="000B677E">
      <w:pPr>
        <w:jc w:val="both"/>
        <w:textAlignment w:val="baseline"/>
        <w:rPr>
          <w:rFonts w:ascii="Calibri" w:eastAsia="Calibri" w:hAnsi="Calibri" w:cs="Calibri"/>
          <w:sz w:val="22"/>
          <w:szCs w:val="22"/>
          <w:lang w:val="en-GB"/>
        </w:rPr>
      </w:pPr>
    </w:p>
    <w:p w14:paraId="76470B60" w14:textId="77777777" w:rsidR="00E82CDF" w:rsidRPr="007A6404" w:rsidRDefault="00E82CDF" w:rsidP="00E82CDF">
      <w:pPr>
        <w:tabs>
          <w:tab w:val="left" w:pos="-720"/>
        </w:tabs>
        <w:jc w:val="both"/>
        <w:textAlignment w:val="baseline"/>
        <w:rPr>
          <w:rFonts w:ascii="Calibri" w:eastAsia="Calibri" w:hAnsi="Calibri" w:cs="Calibri"/>
          <w:b/>
          <w:i/>
          <w:sz w:val="22"/>
          <w:szCs w:val="22"/>
          <w:lang w:val="en-GB"/>
        </w:rPr>
      </w:pPr>
      <w:r w:rsidRPr="007A6404">
        <w:rPr>
          <w:rFonts w:ascii="Calibri" w:eastAsia="Calibri" w:hAnsi="Calibri" w:cs="Calibri"/>
          <w:b/>
          <w:i/>
          <w:sz w:val="22"/>
          <w:szCs w:val="22"/>
          <w:lang w:val="en-GB"/>
        </w:rPr>
        <w:t>b) Equity instruments</w:t>
      </w:r>
    </w:p>
    <w:p w14:paraId="1E8C69A6" w14:textId="77777777" w:rsidR="00E82CDF" w:rsidRPr="007A6404" w:rsidRDefault="00E82CDF" w:rsidP="00E82CDF">
      <w:pPr>
        <w:tabs>
          <w:tab w:val="left" w:pos="-720"/>
        </w:tabs>
        <w:jc w:val="both"/>
        <w:textAlignment w:val="baseline"/>
        <w:rPr>
          <w:rFonts w:ascii="Calibri" w:eastAsia="Calibri" w:hAnsi="Calibri" w:cs="Calibri"/>
          <w:b/>
          <w:i/>
          <w:sz w:val="22"/>
          <w:szCs w:val="22"/>
          <w:lang w:val="en-GB"/>
        </w:rPr>
      </w:pPr>
    </w:p>
    <w:p w14:paraId="0BBDBDE1" w14:textId="77777777" w:rsidR="00E82CDF" w:rsidRPr="007A6404" w:rsidRDefault="00E82CDF" w:rsidP="00E82CDF">
      <w:pPr>
        <w:tabs>
          <w:tab w:val="left" w:pos="-720"/>
        </w:tabs>
        <w:jc w:val="both"/>
        <w:textAlignment w:val="baseline"/>
        <w:rPr>
          <w:rFonts w:ascii="Calibri" w:eastAsia="Calibri" w:hAnsi="Calibri" w:cs="Calibri"/>
          <w:sz w:val="22"/>
          <w:szCs w:val="22"/>
          <w:lang w:val="en-GB"/>
        </w:rPr>
      </w:pPr>
      <w:r w:rsidRPr="007A6404">
        <w:rPr>
          <w:rFonts w:ascii="Calibri" w:eastAsia="Calibri" w:hAnsi="Calibri" w:cs="Calibri"/>
          <w:sz w:val="22"/>
          <w:szCs w:val="22"/>
          <w:lang w:val="en-GB"/>
        </w:rPr>
        <w:t xml:space="preserve">Equity instruments (shares of companies) that HBOR does not intend to sell and to which irrevocable option of subsequent measurement of fair value through other comprehensive income without recycling is applied are classified to these assets, </w:t>
      </w:r>
      <w:proofErr w:type="gramStart"/>
      <w:r w:rsidRPr="007A6404">
        <w:rPr>
          <w:rFonts w:ascii="Calibri" w:eastAsia="Calibri" w:hAnsi="Calibri" w:cs="Calibri"/>
          <w:sz w:val="22"/>
          <w:szCs w:val="22"/>
          <w:lang w:val="en-GB"/>
        </w:rPr>
        <w:t>i.e.</w:t>
      </w:r>
      <w:proofErr w:type="gramEnd"/>
      <w:r w:rsidRPr="007A6404">
        <w:rPr>
          <w:rFonts w:ascii="Calibri" w:eastAsia="Calibri" w:hAnsi="Calibri" w:cs="Calibri"/>
          <w:sz w:val="22"/>
          <w:szCs w:val="22"/>
          <w:lang w:val="en-GB"/>
        </w:rPr>
        <w:t xml:space="preserve"> reserves recognised under other comprehensive income will never be transferred to the statement on profit or loss.</w:t>
      </w:r>
    </w:p>
    <w:p w14:paraId="092A198A" w14:textId="77777777" w:rsidR="00E82CDF" w:rsidRPr="007A6404" w:rsidRDefault="00E82CDF" w:rsidP="00E82CDF">
      <w:pPr>
        <w:tabs>
          <w:tab w:val="left" w:pos="-720"/>
        </w:tabs>
        <w:jc w:val="both"/>
        <w:textAlignment w:val="baseline"/>
        <w:rPr>
          <w:rFonts w:ascii="Calibri" w:hAnsi="Calibri" w:cs="Calibri"/>
          <w:b/>
          <w:i/>
          <w:spacing w:val="-3"/>
          <w:sz w:val="22"/>
          <w:szCs w:val="22"/>
          <w:lang w:val="en-GB" w:eastAsia="hr-HR"/>
        </w:rPr>
      </w:pPr>
      <w:r w:rsidRPr="007A6404">
        <w:rPr>
          <w:rFonts w:ascii="Calibri" w:eastAsia="Calibri" w:hAnsi="Calibri" w:cs="Calibri"/>
          <w:sz w:val="22"/>
          <w:szCs w:val="22"/>
          <w:lang w:val="en-GB"/>
        </w:rPr>
        <w:t>On the reporting date, these assets amounted to HRK 53.17 million, representing 0.18 percent of total assets</w:t>
      </w:r>
      <w:r w:rsidRPr="007A6404">
        <w:rPr>
          <w:rFonts w:ascii="Calibri" w:eastAsia="Calibri" w:hAnsi="Calibri" w:cs="Calibri"/>
          <w:spacing w:val="-3"/>
          <w:sz w:val="22"/>
          <w:szCs w:val="22"/>
          <w:lang w:val="en-GB"/>
        </w:rPr>
        <w:t>.</w:t>
      </w:r>
    </w:p>
    <w:p w14:paraId="1D4EEE6F" w14:textId="77777777" w:rsidR="007A6404" w:rsidRPr="007A6404" w:rsidRDefault="007A6404" w:rsidP="000B677E">
      <w:pPr>
        <w:autoSpaceDN/>
        <w:spacing w:after="160" w:line="276" w:lineRule="auto"/>
        <w:rPr>
          <w:rFonts w:ascii="Calibri" w:eastAsia="Calibri" w:hAnsi="Calibri" w:cs="Calibri"/>
          <w:b/>
          <w:i/>
          <w:sz w:val="22"/>
          <w:szCs w:val="22"/>
          <w:lang w:val="en-GB"/>
        </w:rPr>
      </w:pPr>
      <w:r w:rsidRPr="007A6404">
        <w:rPr>
          <w:rFonts w:ascii="Calibri" w:eastAsia="Calibri" w:hAnsi="Calibri" w:cs="Calibri"/>
          <w:b/>
          <w:i/>
          <w:sz w:val="22"/>
          <w:szCs w:val="22"/>
          <w:lang w:val="en-GB"/>
        </w:rPr>
        <w:br w:type="page"/>
      </w:r>
    </w:p>
    <w:p w14:paraId="12766D63" w14:textId="77777777" w:rsidR="007A6404" w:rsidRPr="007A6404" w:rsidRDefault="007A6404" w:rsidP="000B677E">
      <w:pPr>
        <w:tabs>
          <w:tab w:val="left" w:pos="-720"/>
        </w:tabs>
        <w:autoSpaceDN/>
        <w:jc w:val="both"/>
        <w:rPr>
          <w:rFonts w:ascii="Calibri" w:eastAsia="SimSun" w:hAnsi="Calibri" w:cs="Calibri"/>
          <w:spacing w:val="-3"/>
          <w:sz w:val="22"/>
          <w:szCs w:val="22"/>
          <w:lang w:val="en-GB"/>
        </w:rPr>
      </w:pPr>
      <w:r w:rsidRPr="007A6404">
        <w:rPr>
          <w:rFonts w:ascii="Calibri" w:eastAsia="SimSun" w:hAnsi="Calibri" w:cs="Calibri"/>
          <w:spacing w:val="-3"/>
          <w:sz w:val="22"/>
          <w:szCs w:val="22"/>
          <w:lang w:val="en-GB"/>
        </w:rPr>
        <w:lastRenderedPageBreak/>
        <w:t xml:space="preserve">               </w:t>
      </w:r>
      <w:r w:rsidRPr="007A6404">
        <w:rPr>
          <w:rFonts w:ascii="Calibri" w:eastAsia="SimSun" w:hAnsi="Calibri" w:cs="Calibri"/>
          <w:noProof/>
          <w:spacing w:val="-3"/>
          <w:sz w:val="22"/>
          <w:szCs w:val="22"/>
          <w:lang w:val="en-GB"/>
        </w:rPr>
        <w:drawing>
          <wp:inline distT="0" distB="0" distL="0" distR="0" wp14:anchorId="21F407EB" wp14:editId="29E08476">
            <wp:extent cx="2333994" cy="2736000"/>
            <wp:effectExtent l="0" t="0" r="9525"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3994" cy="2736000"/>
                    </a:xfrm>
                    <a:prstGeom prst="rect">
                      <a:avLst/>
                    </a:prstGeom>
                    <a:noFill/>
                  </pic:spPr>
                </pic:pic>
              </a:graphicData>
            </a:graphic>
          </wp:inline>
        </w:drawing>
      </w:r>
      <w:r w:rsidRPr="007A6404">
        <w:rPr>
          <w:rFonts w:ascii="Calibri" w:eastAsia="SimSun" w:hAnsi="Calibri" w:cs="Calibri"/>
          <w:spacing w:val="-3"/>
          <w:sz w:val="22"/>
          <w:szCs w:val="22"/>
          <w:lang w:val="en-GB"/>
        </w:rPr>
        <w:t xml:space="preserve">           </w:t>
      </w:r>
      <w:r w:rsidRPr="007A6404">
        <w:rPr>
          <w:rFonts w:ascii="Calibri" w:eastAsia="SimSun" w:hAnsi="Calibri" w:cs="Calibri"/>
          <w:noProof/>
          <w:spacing w:val="-3"/>
          <w:sz w:val="22"/>
          <w:szCs w:val="22"/>
          <w:lang w:val="en-GB"/>
        </w:rPr>
        <w:drawing>
          <wp:inline distT="0" distB="0" distL="0" distR="0" wp14:anchorId="25465E4A" wp14:editId="179BF1EF">
            <wp:extent cx="2329240" cy="273600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9240" cy="2736000"/>
                    </a:xfrm>
                    <a:prstGeom prst="rect">
                      <a:avLst/>
                    </a:prstGeom>
                    <a:noFill/>
                  </pic:spPr>
                </pic:pic>
              </a:graphicData>
            </a:graphic>
          </wp:inline>
        </w:drawing>
      </w:r>
      <w:r w:rsidRPr="007A6404">
        <w:rPr>
          <w:rFonts w:ascii="Calibri" w:eastAsia="SimSun" w:hAnsi="Calibri" w:cs="Calibri"/>
          <w:spacing w:val="-3"/>
          <w:sz w:val="22"/>
          <w:szCs w:val="22"/>
          <w:lang w:val="en-GB"/>
        </w:rPr>
        <w:t xml:space="preserve"> </w:t>
      </w:r>
    </w:p>
    <w:p w14:paraId="644F170D" w14:textId="77777777" w:rsidR="007A6404" w:rsidRPr="00E82CDF" w:rsidRDefault="007A6404" w:rsidP="000B677E">
      <w:pPr>
        <w:tabs>
          <w:tab w:val="left" w:pos="-720"/>
        </w:tabs>
        <w:autoSpaceDN/>
        <w:ind w:left="-567" w:right="-284"/>
        <w:jc w:val="both"/>
        <w:rPr>
          <w:rFonts w:ascii="Calibri" w:eastAsia="SimSun" w:hAnsi="Calibri" w:cs="Calibri"/>
          <w:spacing w:val="-3"/>
          <w:sz w:val="18"/>
          <w:szCs w:val="18"/>
          <w:lang w:val="en-GB"/>
        </w:rPr>
      </w:pPr>
      <w:r w:rsidRPr="00E82CDF">
        <w:rPr>
          <w:rFonts w:ascii="Calibri" w:eastAsia="SimSun" w:hAnsi="Calibri" w:cs="Calibri"/>
          <w:spacing w:val="-3"/>
          <w:sz w:val="18"/>
          <w:szCs w:val="18"/>
          <w:lang w:val="en-GB"/>
        </w:rPr>
        <w:t xml:space="preserve">           </w:t>
      </w:r>
    </w:p>
    <w:p w14:paraId="71E42537" w14:textId="77777777" w:rsidR="007A6404" w:rsidRPr="00E82CDF" w:rsidRDefault="007A6404" w:rsidP="000B677E">
      <w:pPr>
        <w:tabs>
          <w:tab w:val="left" w:pos="-720"/>
          <w:tab w:val="left" w:pos="853"/>
        </w:tabs>
        <w:autoSpaceDN/>
        <w:ind w:left="-567" w:right="-284"/>
        <w:jc w:val="both"/>
        <w:rPr>
          <w:rFonts w:ascii="Calibri" w:eastAsia="SimSun" w:hAnsi="Calibri" w:cs="Calibri"/>
          <w:spacing w:val="-3"/>
          <w:sz w:val="16"/>
          <w:szCs w:val="16"/>
          <w:lang w:val="en-GB"/>
        </w:rPr>
      </w:pPr>
      <w:r w:rsidRPr="00E82CDF">
        <w:rPr>
          <w:rFonts w:ascii="Calibri" w:eastAsia="SimSun" w:hAnsi="Calibri" w:cs="Calibri"/>
          <w:spacing w:val="-3"/>
          <w:sz w:val="18"/>
          <w:szCs w:val="18"/>
          <w:lang w:val="en-GB"/>
        </w:rPr>
        <w:t xml:space="preserve">       </w:t>
      </w:r>
      <w:r w:rsidRPr="00E82CDF">
        <w:rPr>
          <w:rFonts w:ascii="Calibri" w:eastAsia="SimSun" w:hAnsi="Calibri" w:cs="Calibri"/>
          <w:spacing w:val="-3"/>
          <w:sz w:val="18"/>
          <w:szCs w:val="18"/>
          <w:lang w:val="en-GB"/>
        </w:rPr>
        <w:tab/>
        <w:t xml:space="preserve">    </w:t>
      </w:r>
    </w:p>
    <w:p w14:paraId="587490FC" w14:textId="77777777" w:rsidR="007A6404" w:rsidRPr="007A6404" w:rsidRDefault="007A6404" w:rsidP="000B677E">
      <w:pPr>
        <w:autoSpaceDN/>
        <w:spacing w:after="160" w:line="276" w:lineRule="auto"/>
        <w:rPr>
          <w:rFonts w:ascii="Calibri" w:eastAsia="SimSun" w:hAnsi="Calibri" w:cs="Calibri"/>
          <w:spacing w:val="-3"/>
          <w:sz w:val="22"/>
          <w:szCs w:val="22"/>
          <w:lang w:val="en-GB"/>
        </w:rPr>
      </w:pPr>
      <w:r w:rsidRPr="007A6404">
        <w:rPr>
          <w:rFonts w:ascii="Calibri" w:eastAsia="SimSun" w:hAnsi="Calibri" w:cs="Calibri"/>
          <w:spacing w:val="-3"/>
          <w:sz w:val="22"/>
          <w:szCs w:val="22"/>
          <w:lang w:val="en-GB"/>
        </w:rPr>
        <w:t xml:space="preserve">               </w:t>
      </w:r>
      <w:r w:rsidRPr="007A6404">
        <w:rPr>
          <w:rFonts w:ascii="Calibri" w:eastAsia="SimSun" w:hAnsi="Calibri" w:cs="Calibri"/>
          <w:noProof/>
          <w:spacing w:val="-3"/>
          <w:sz w:val="22"/>
          <w:szCs w:val="22"/>
          <w:lang w:val="en-GB"/>
        </w:rPr>
        <w:drawing>
          <wp:inline distT="0" distB="0" distL="0" distR="0" wp14:anchorId="549D2860" wp14:editId="2C22E0D0">
            <wp:extent cx="2334765" cy="2736000"/>
            <wp:effectExtent l="0" t="0" r="889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4765" cy="2736000"/>
                    </a:xfrm>
                    <a:prstGeom prst="rect">
                      <a:avLst/>
                    </a:prstGeom>
                    <a:noFill/>
                  </pic:spPr>
                </pic:pic>
              </a:graphicData>
            </a:graphic>
          </wp:inline>
        </w:drawing>
      </w:r>
      <w:r w:rsidRPr="007A6404">
        <w:rPr>
          <w:rFonts w:ascii="Calibri" w:eastAsia="SimSun" w:hAnsi="Calibri" w:cs="Calibri"/>
          <w:spacing w:val="-3"/>
          <w:sz w:val="22"/>
          <w:szCs w:val="22"/>
          <w:lang w:val="en-GB"/>
        </w:rPr>
        <w:t xml:space="preserve">           </w:t>
      </w:r>
      <w:r w:rsidRPr="007A6404">
        <w:rPr>
          <w:rFonts w:ascii="Calibri" w:eastAsia="SimSun" w:hAnsi="Calibri" w:cs="Calibri"/>
          <w:noProof/>
          <w:spacing w:val="-3"/>
          <w:sz w:val="22"/>
          <w:szCs w:val="22"/>
          <w:lang w:val="en-GB"/>
        </w:rPr>
        <w:drawing>
          <wp:inline distT="0" distB="0" distL="0" distR="0" wp14:anchorId="511761A8" wp14:editId="090A388F">
            <wp:extent cx="2312269" cy="2736000"/>
            <wp:effectExtent l="0" t="0" r="0" b="7620"/>
            <wp:docPr id="76" name="Picture 7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2269" cy="2736000"/>
                    </a:xfrm>
                    <a:prstGeom prst="rect">
                      <a:avLst/>
                    </a:prstGeom>
                    <a:noFill/>
                  </pic:spPr>
                </pic:pic>
              </a:graphicData>
            </a:graphic>
          </wp:inline>
        </w:drawing>
      </w:r>
      <w:r w:rsidRPr="007A6404">
        <w:rPr>
          <w:rFonts w:ascii="Calibri" w:eastAsia="SimSun" w:hAnsi="Calibri" w:cs="Calibri"/>
          <w:spacing w:val="-3"/>
          <w:sz w:val="22"/>
          <w:szCs w:val="22"/>
          <w:lang w:val="en-GB"/>
        </w:rPr>
        <w:t xml:space="preserve">  </w:t>
      </w:r>
    </w:p>
    <w:p w14:paraId="10B60D36" w14:textId="77777777" w:rsidR="00E82CDF" w:rsidRPr="007A6404" w:rsidRDefault="00E82CDF" w:rsidP="00E82CDF">
      <w:pPr>
        <w:tabs>
          <w:tab w:val="left" w:pos="-720"/>
        </w:tabs>
        <w:autoSpaceDN/>
        <w:jc w:val="both"/>
        <w:rPr>
          <w:rFonts w:ascii="Calibri" w:hAnsi="Calibri" w:cs="Calibri"/>
          <w:b/>
          <w:i/>
          <w:spacing w:val="-3"/>
          <w:sz w:val="22"/>
          <w:szCs w:val="22"/>
          <w:lang w:val="en-GB" w:eastAsia="hr-HR"/>
        </w:rPr>
      </w:pPr>
      <w:r w:rsidRPr="007A6404">
        <w:rPr>
          <w:rFonts w:ascii="Calibri" w:hAnsi="Calibri" w:cs="Calibri"/>
          <w:b/>
          <w:i/>
          <w:spacing w:val="-3"/>
          <w:sz w:val="22"/>
          <w:szCs w:val="22"/>
          <w:lang w:val="en-GB" w:eastAsia="hr-HR"/>
        </w:rPr>
        <w:t xml:space="preserve">Total liabilities </w:t>
      </w:r>
    </w:p>
    <w:p w14:paraId="33258285" w14:textId="77777777" w:rsidR="00E82CDF" w:rsidRPr="00E82CDF" w:rsidRDefault="00E82CDF" w:rsidP="00E82CDF">
      <w:pPr>
        <w:tabs>
          <w:tab w:val="left" w:pos="-720"/>
        </w:tabs>
        <w:jc w:val="both"/>
        <w:textAlignment w:val="baseline"/>
        <w:rPr>
          <w:rFonts w:ascii="Calibri" w:hAnsi="Calibri" w:cs="Calibri"/>
          <w:b/>
          <w:i/>
          <w:spacing w:val="-3"/>
          <w:sz w:val="18"/>
          <w:szCs w:val="18"/>
          <w:lang w:val="en-GB" w:eastAsia="hr-HR"/>
        </w:rPr>
      </w:pPr>
    </w:p>
    <w:p w14:paraId="410D011B" w14:textId="77777777" w:rsidR="00E82CDF" w:rsidRPr="007A6404" w:rsidRDefault="00E82CDF" w:rsidP="00E82CDF">
      <w:pPr>
        <w:tabs>
          <w:tab w:val="left" w:pos="-720"/>
        </w:tabs>
        <w:jc w:val="both"/>
        <w:textAlignment w:val="baseline"/>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 xml:space="preserve">At the end of 2022, total liabilities amounted to HRK 18,321.71 million, which represents 63.11 percent of total liabilities and total equity. A major part of total liabilities consists of HBOR’s borrowings in the total amount of HRK 16,501.28 million. </w:t>
      </w:r>
    </w:p>
    <w:p w14:paraId="2AF04C04" w14:textId="77777777" w:rsidR="00E82CDF" w:rsidRPr="00E82CDF" w:rsidRDefault="00E82CDF" w:rsidP="00E82CDF">
      <w:pPr>
        <w:jc w:val="both"/>
        <w:textAlignment w:val="baseline"/>
        <w:rPr>
          <w:rFonts w:ascii="Calibri" w:eastAsia="Calibri" w:hAnsi="Calibri" w:cs="Calibri"/>
          <w:spacing w:val="-3"/>
          <w:sz w:val="18"/>
          <w:szCs w:val="18"/>
          <w:lang w:val="en-GB"/>
        </w:rPr>
      </w:pPr>
    </w:p>
    <w:p w14:paraId="5FA0FBCF" w14:textId="77777777" w:rsidR="00E82CDF" w:rsidRPr="007A6404" w:rsidRDefault="00E82CDF" w:rsidP="00E82CDF">
      <w:pPr>
        <w:tabs>
          <w:tab w:val="left" w:pos="-720"/>
        </w:tabs>
        <w:jc w:val="both"/>
        <w:textAlignment w:val="baseline"/>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Borrowings increased by 2.40 percent compared with the beginning of the year, whereas changes in these liabilities are shown in the table below:</w:t>
      </w:r>
    </w:p>
    <w:p w14:paraId="3DE9238B" w14:textId="77777777" w:rsidR="00E82CDF" w:rsidRPr="00E82CDF" w:rsidRDefault="00E82CDF" w:rsidP="00E82CDF">
      <w:pPr>
        <w:tabs>
          <w:tab w:val="left" w:pos="-720"/>
        </w:tabs>
        <w:jc w:val="both"/>
        <w:textAlignment w:val="baseline"/>
        <w:rPr>
          <w:rFonts w:ascii="Calibri" w:eastAsia="Calibri" w:hAnsi="Calibri" w:cs="Calibri"/>
          <w:spacing w:val="-3"/>
          <w:sz w:val="18"/>
          <w:szCs w:val="18"/>
          <w:lang w:val="en-GB"/>
        </w:rPr>
      </w:pPr>
    </w:p>
    <w:tbl>
      <w:tblPr>
        <w:tblW w:w="9063" w:type="dxa"/>
        <w:tblCellMar>
          <w:left w:w="10" w:type="dxa"/>
          <w:right w:w="10" w:type="dxa"/>
        </w:tblCellMar>
        <w:tblLook w:val="0000" w:firstRow="0" w:lastRow="0" w:firstColumn="0" w:lastColumn="0" w:noHBand="0" w:noVBand="0"/>
      </w:tblPr>
      <w:tblGrid>
        <w:gridCol w:w="6379"/>
        <w:gridCol w:w="2684"/>
      </w:tblGrid>
      <w:tr w:rsidR="00E82CDF" w:rsidRPr="007A6404" w14:paraId="5B7E3BFD" w14:textId="77777777" w:rsidTr="00DD69E7">
        <w:trPr>
          <w:trHeight w:val="283"/>
        </w:trPr>
        <w:tc>
          <w:tcPr>
            <w:tcW w:w="6379" w:type="dxa"/>
            <w:shd w:val="clear" w:color="auto" w:fill="auto"/>
            <w:tcMar>
              <w:top w:w="0" w:type="dxa"/>
              <w:left w:w="108" w:type="dxa"/>
              <w:bottom w:w="0" w:type="dxa"/>
              <w:right w:w="108" w:type="dxa"/>
            </w:tcMar>
            <w:vAlign w:val="bottom"/>
          </w:tcPr>
          <w:p w14:paraId="34056230" w14:textId="77777777" w:rsidR="00E82CDF" w:rsidRPr="007A6404" w:rsidRDefault="00E82CDF" w:rsidP="00DD69E7">
            <w:pPr>
              <w:tabs>
                <w:tab w:val="left" w:pos="-720"/>
              </w:tabs>
              <w:rPr>
                <w:rFonts w:ascii="Calibri" w:eastAsia="Calibri" w:hAnsi="Calibri" w:cs="Calibri"/>
                <w:spacing w:val="-3"/>
                <w:sz w:val="22"/>
                <w:szCs w:val="22"/>
                <w:lang w:val="en-GB"/>
              </w:rPr>
            </w:pPr>
          </w:p>
        </w:tc>
        <w:tc>
          <w:tcPr>
            <w:tcW w:w="2684" w:type="dxa"/>
            <w:shd w:val="clear" w:color="auto" w:fill="auto"/>
            <w:tcMar>
              <w:top w:w="0" w:type="dxa"/>
              <w:left w:w="108" w:type="dxa"/>
              <w:bottom w:w="0" w:type="dxa"/>
              <w:right w:w="108" w:type="dxa"/>
            </w:tcMar>
            <w:vAlign w:val="bottom"/>
          </w:tcPr>
          <w:p w14:paraId="4D94AB58" w14:textId="77777777" w:rsidR="00E82CDF" w:rsidRPr="007A6404" w:rsidRDefault="00E82CDF" w:rsidP="00DD69E7">
            <w:pPr>
              <w:tabs>
                <w:tab w:val="left" w:pos="-720"/>
              </w:tabs>
              <w:jc w:val="right"/>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(HRK million)</w:t>
            </w:r>
          </w:p>
        </w:tc>
      </w:tr>
      <w:tr w:rsidR="00E82CDF" w:rsidRPr="007A6404" w14:paraId="6914A8B0" w14:textId="77777777" w:rsidTr="00DD69E7">
        <w:trPr>
          <w:trHeight w:val="283"/>
        </w:trPr>
        <w:tc>
          <w:tcPr>
            <w:tcW w:w="6379" w:type="dxa"/>
            <w:shd w:val="clear" w:color="auto" w:fill="auto"/>
            <w:tcMar>
              <w:top w:w="0" w:type="dxa"/>
              <w:left w:w="108" w:type="dxa"/>
              <w:bottom w:w="0" w:type="dxa"/>
              <w:right w:w="108" w:type="dxa"/>
            </w:tcMar>
          </w:tcPr>
          <w:p w14:paraId="14D03DC4" w14:textId="77777777" w:rsidR="00E82CDF" w:rsidRPr="007A6404" w:rsidRDefault="00E82CDF" w:rsidP="00DD69E7">
            <w:pPr>
              <w:tabs>
                <w:tab w:val="left" w:pos="-720"/>
              </w:tabs>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 Draw-down of funds borrowed under previously contracted</w:t>
            </w:r>
          </w:p>
          <w:p w14:paraId="13DE4E6A" w14:textId="77777777" w:rsidR="00E82CDF" w:rsidRPr="007A6404" w:rsidRDefault="00E82CDF" w:rsidP="00DD69E7">
            <w:pPr>
              <w:tabs>
                <w:tab w:val="left" w:pos="-720"/>
              </w:tabs>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 xml:space="preserve">  funds of special financial institutions and Ministry of Finance loan</w:t>
            </w:r>
          </w:p>
        </w:tc>
        <w:tc>
          <w:tcPr>
            <w:tcW w:w="2684" w:type="dxa"/>
            <w:shd w:val="clear" w:color="auto" w:fill="auto"/>
            <w:tcMar>
              <w:top w:w="0" w:type="dxa"/>
              <w:left w:w="108" w:type="dxa"/>
              <w:bottom w:w="0" w:type="dxa"/>
              <w:right w:w="108" w:type="dxa"/>
            </w:tcMar>
          </w:tcPr>
          <w:p w14:paraId="5272F38D" w14:textId="77777777" w:rsidR="00E82CDF" w:rsidRPr="007A6404" w:rsidRDefault="00E82CDF" w:rsidP="00DD69E7">
            <w:pPr>
              <w:tabs>
                <w:tab w:val="left" w:pos="-720"/>
              </w:tabs>
              <w:jc w:val="right"/>
              <w:rPr>
                <w:rFonts w:ascii="Calibri" w:eastAsia="Calibri" w:hAnsi="Calibri" w:cs="Calibri"/>
                <w:spacing w:val="-3"/>
                <w:sz w:val="22"/>
                <w:szCs w:val="22"/>
                <w:lang w:val="en-GB"/>
              </w:rPr>
            </w:pPr>
          </w:p>
          <w:p w14:paraId="1EF64729" w14:textId="77777777" w:rsidR="00E82CDF" w:rsidRPr="007A6404" w:rsidRDefault="00E82CDF" w:rsidP="00DD69E7">
            <w:pPr>
              <w:tabs>
                <w:tab w:val="left" w:pos="-720"/>
              </w:tabs>
              <w:jc w:val="right"/>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2,981.14</w:t>
            </w:r>
          </w:p>
        </w:tc>
      </w:tr>
      <w:tr w:rsidR="00E82CDF" w:rsidRPr="007A6404" w14:paraId="08ADE2DB" w14:textId="77777777" w:rsidTr="00DD69E7">
        <w:trPr>
          <w:trHeight w:val="283"/>
        </w:trPr>
        <w:tc>
          <w:tcPr>
            <w:tcW w:w="6379" w:type="dxa"/>
            <w:shd w:val="clear" w:color="auto" w:fill="auto"/>
            <w:tcMar>
              <w:top w:w="0" w:type="dxa"/>
              <w:left w:w="108" w:type="dxa"/>
              <w:bottom w:w="0" w:type="dxa"/>
              <w:right w:w="108" w:type="dxa"/>
            </w:tcMar>
          </w:tcPr>
          <w:p w14:paraId="58985C00" w14:textId="77777777" w:rsidR="00E82CDF" w:rsidRPr="007A6404" w:rsidRDefault="00E82CDF" w:rsidP="00DD69E7">
            <w:pPr>
              <w:tabs>
                <w:tab w:val="left" w:pos="-720"/>
              </w:tabs>
              <w:jc w:val="both"/>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 Repayment of borrowings and bonds payable</w:t>
            </w:r>
          </w:p>
        </w:tc>
        <w:tc>
          <w:tcPr>
            <w:tcW w:w="2684" w:type="dxa"/>
            <w:shd w:val="clear" w:color="auto" w:fill="auto"/>
            <w:tcMar>
              <w:top w:w="0" w:type="dxa"/>
              <w:left w:w="108" w:type="dxa"/>
              <w:bottom w:w="0" w:type="dxa"/>
              <w:right w:w="108" w:type="dxa"/>
            </w:tcMar>
          </w:tcPr>
          <w:p w14:paraId="680E53B3" w14:textId="77777777" w:rsidR="00E82CDF" w:rsidRPr="007A6404" w:rsidRDefault="00E82CDF" w:rsidP="00DD69E7">
            <w:pPr>
              <w:tabs>
                <w:tab w:val="left" w:pos="-720"/>
              </w:tabs>
              <w:jc w:val="right"/>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(2,631.69)</w:t>
            </w:r>
          </w:p>
        </w:tc>
      </w:tr>
      <w:tr w:rsidR="00E82CDF" w:rsidRPr="007A6404" w14:paraId="6AB0777D" w14:textId="77777777" w:rsidTr="00DD69E7">
        <w:trPr>
          <w:trHeight w:val="283"/>
        </w:trPr>
        <w:tc>
          <w:tcPr>
            <w:tcW w:w="6379" w:type="dxa"/>
            <w:shd w:val="clear" w:color="auto" w:fill="auto"/>
            <w:tcMar>
              <w:top w:w="0" w:type="dxa"/>
              <w:left w:w="108" w:type="dxa"/>
              <w:bottom w:w="0" w:type="dxa"/>
              <w:right w:w="108" w:type="dxa"/>
            </w:tcMar>
          </w:tcPr>
          <w:p w14:paraId="11E4A375" w14:textId="77777777" w:rsidR="00E82CDF" w:rsidRPr="007A6404" w:rsidRDefault="00E82CDF" w:rsidP="00DD69E7">
            <w:pPr>
              <w:tabs>
                <w:tab w:val="left" w:pos="-720"/>
              </w:tabs>
              <w:jc w:val="both"/>
              <w:rPr>
                <w:rFonts w:ascii="Calibri" w:eastAsia="Calibri" w:hAnsi="Calibri" w:cs="Calibri"/>
                <w:sz w:val="22"/>
                <w:szCs w:val="22"/>
                <w:lang w:val="en-GB"/>
              </w:rPr>
            </w:pPr>
            <w:r w:rsidRPr="007A6404">
              <w:rPr>
                <w:rFonts w:ascii="Calibri" w:eastAsia="Calibri" w:hAnsi="Calibri" w:cs="Calibri"/>
                <w:spacing w:val="-3"/>
                <w:sz w:val="22"/>
                <w:szCs w:val="22"/>
                <w:lang w:val="en-GB"/>
              </w:rPr>
              <w:t xml:space="preserve">- Foreign exchange gains or losses </w:t>
            </w:r>
          </w:p>
        </w:tc>
        <w:tc>
          <w:tcPr>
            <w:tcW w:w="2684" w:type="dxa"/>
            <w:shd w:val="clear" w:color="auto" w:fill="auto"/>
            <w:tcMar>
              <w:top w:w="0" w:type="dxa"/>
              <w:left w:w="108" w:type="dxa"/>
              <w:bottom w:w="0" w:type="dxa"/>
              <w:right w:w="108" w:type="dxa"/>
            </w:tcMar>
          </w:tcPr>
          <w:p w14:paraId="0B5F8651" w14:textId="77777777" w:rsidR="00E82CDF" w:rsidRPr="007A6404" w:rsidRDefault="00E82CDF" w:rsidP="00DD69E7">
            <w:pPr>
              <w:tabs>
                <w:tab w:val="left" w:pos="-720"/>
              </w:tabs>
              <w:jc w:val="right"/>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45.68</w:t>
            </w:r>
          </w:p>
        </w:tc>
      </w:tr>
      <w:tr w:rsidR="00E82CDF" w:rsidRPr="007A6404" w14:paraId="637D37D1" w14:textId="77777777" w:rsidTr="00DD69E7">
        <w:trPr>
          <w:trHeight w:val="283"/>
        </w:trPr>
        <w:tc>
          <w:tcPr>
            <w:tcW w:w="6379" w:type="dxa"/>
            <w:tcBorders>
              <w:bottom w:val="single" w:sz="4" w:space="0" w:color="000000"/>
            </w:tcBorders>
            <w:shd w:val="clear" w:color="auto" w:fill="auto"/>
            <w:tcMar>
              <w:top w:w="0" w:type="dxa"/>
              <w:left w:w="108" w:type="dxa"/>
              <w:bottom w:w="0" w:type="dxa"/>
              <w:right w:w="108" w:type="dxa"/>
            </w:tcMar>
          </w:tcPr>
          <w:p w14:paraId="0EE4DABE" w14:textId="77777777" w:rsidR="00E82CDF" w:rsidRPr="007A6404" w:rsidRDefault="00E82CDF" w:rsidP="00DD69E7">
            <w:pPr>
              <w:tabs>
                <w:tab w:val="left" w:pos="-720"/>
              </w:tabs>
              <w:jc w:val="both"/>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 Other calculations*</w:t>
            </w:r>
          </w:p>
        </w:tc>
        <w:tc>
          <w:tcPr>
            <w:tcW w:w="2684" w:type="dxa"/>
            <w:tcBorders>
              <w:bottom w:val="single" w:sz="4" w:space="0" w:color="000000"/>
            </w:tcBorders>
            <w:shd w:val="clear" w:color="auto" w:fill="auto"/>
            <w:tcMar>
              <w:top w:w="0" w:type="dxa"/>
              <w:left w:w="108" w:type="dxa"/>
              <w:bottom w:w="0" w:type="dxa"/>
              <w:right w:w="108" w:type="dxa"/>
            </w:tcMar>
          </w:tcPr>
          <w:p w14:paraId="7CA866D0" w14:textId="77777777" w:rsidR="00E82CDF" w:rsidRPr="007A6404" w:rsidRDefault="00E82CDF" w:rsidP="00DD69E7">
            <w:pPr>
              <w:tabs>
                <w:tab w:val="left" w:pos="-720"/>
              </w:tabs>
              <w:jc w:val="right"/>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(9.09)</w:t>
            </w:r>
          </w:p>
        </w:tc>
      </w:tr>
      <w:tr w:rsidR="00E82CDF" w:rsidRPr="007A6404" w14:paraId="01D2C10D" w14:textId="77777777" w:rsidTr="00DD69E7">
        <w:trPr>
          <w:trHeight w:val="283"/>
        </w:trPr>
        <w:tc>
          <w:tcPr>
            <w:tcW w:w="6379" w:type="dxa"/>
            <w:tcBorders>
              <w:top w:val="single" w:sz="4" w:space="0" w:color="000000"/>
            </w:tcBorders>
            <w:shd w:val="clear" w:color="auto" w:fill="auto"/>
            <w:tcMar>
              <w:top w:w="0" w:type="dxa"/>
              <w:left w:w="108" w:type="dxa"/>
              <w:bottom w:w="0" w:type="dxa"/>
              <w:right w:w="108" w:type="dxa"/>
            </w:tcMar>
          </w:tcPr>
          <w:p w14:paraId="55D32950" w14:textId="77777777" w:rsidR="00E82CDF" w:rsidRPr="007A6404" w:rsidRDefault="00E82CDF" w:rsidP="00DD69E7">
            <w:pPr>
              <w:tabs>
                <w:tab w:val="left" w:pos="-720"/>
              </w:tabs>
              <w:jc w:val="both"/>
              <w:rPr>
                <w:rFonts w:ascii="Calibri" w:eastAsia="Calibri" w:hAnsi="Calibri" w:cs="Calibri"/>
                <w:b/>
                <w:spacing w:val="-3"/>
                <w:sz w:val="22"/>
                <w:szCs w:val="22"/>
                <w:lang w:val="en-GB"/>
              </w:rPr>
            </w:pPr>
            <w:r w:rsidRPr="007A6404">
              <w:rPr>
                <w:rFonts w:ascii="Calibri" w:eastAsia="Calibri" w:hAnsi="Calibri" w:cs="Calibri"/>
                <w:b/>
                <w:spacing w:val="-3"/>
                <w:sz w:val="22"/>
                <w:szCs w:val="22"/>
                <w:lang w:val="en-GB"/>
              </w:rPr>
              <w:t>Total changes</w:t>
            </w:r>
          </w:p>
        </w:tc>
        <w:tc>
          <w:tcPr>
            <w:tcW w:w="2684" w:type="dxa"/>
            <w:tcBorders>
              <w:top w:val="single" w:sz="4" w:space="0" w:color="000000"/>
            </w:tcBorders>
            <w:shd w:val="clear" w:color="auto" w:fill="auto"/>
            <w:tcMar>
              <w:top w:w="0" w:type="dxa"/>
              <w:left w:w="108" w:type="dxa"/>
              <w:bottom w:w="0" w:type="dxa"/>
              <w:right w:w="108" w:type="dxa"/>
            </w:tcMar>
          </w:tcPr>
          <w:p w14:paraId="20E4BA7B" w14:textId="77777777" w:rsidR="00E82CDF" w:rsidRPr="007A6404" w:rsidRDefault="00E82CDF" w:rsidP="00DD69E7">
            <w:pPr>
              <w:tabs>
                <w:tab w:val="left" w:pos="-720"/>
              </w:tabs>
              <w:jc w:val="right"/>
              <w:rPr>
                <w:rFonts w:ascii="Calibri" w:eastAsia="Calibri" w:hAnsi="Calibri" w:cs="Calibri"/>
                <w:b/>
                <w:spacing w:val="-3"/>
                <w:sz w:val="22"/>
                <w:szCs w:val="22"/>
                <w:lang w:val="en-GB"/>
              </w:rPr>
            </w:pPr>
            <w:r w:rsidRPr="007A6404">
              <w:rPr>
                <w:rFonts w:ascii="Calibri" w:eastAsia="Calibri" w:hAnsi="Calibri" w:cs="Calibri"/>
                <w:b/>
                <w:spacing w:val="-3"/>
                <w:sz w:val="22"/>
                <w:szCs w:val="22"/>
                <w:lang w:val="en-GB"/>
              </w:rPr>
              <w:t>386.04</w:t>
            </w:r>
          </w:p>
        </w:tc>
      </w:tr>
      <w:tr w:rsidR="00E82CDF" w:rsidRPr="007A6404" w14:paraId="1D1BC246" w14:textId="77777777" w:rsidTr="00E82CDF">
        <w:trPr>
          <w:trHeight w:val="91"/>
        </w:trPr>
        <w:tc>
          <w:tcPr>
            <w:tcW w:w="6379" w:type="dxa"/>
            <w:tcBorders>
              <w:top w:val="single" w:sz="4" w:space="0" w:color="000000"/>
            </w:tcBorders>
            <w:shd w:val="clear" w:color="auto" w:fill="auto"/>
            <w:tcMar>
              <w:top w:w="0" w:type="dxa"/>
              <w:left w:w="108" w:type="dxa"/>
              <w:bottom w:w="0" w:type="dxa"/>
              <w:right w:w="108" w:type="dxa"/>
            </w:tcMar>
          </w:tcPr>
          <w:p w14:paraId="0D44C453" w14:textId="77777777" w:rsidR="00E82CDF" w:rsidRPr="00E82CDF" w:rsidRDefault="00E82CDF" w:rsidP="00DD69E7">
            <w:pPr>
              <w:tabs>
                <w:tab w:val="left" w:pos="-720"/>
              </w:tabs>
              <w:jc w:val="both"/>
              <w:rPr>
                <w:rFonts w:ascii="Calibri" w:eastAsia="Calibri" w:hAnsi="Calibri" w:cs="Calibri"/>
                <w:b/>
                <w:spacing w:val="-3"/>
                <w:sz w:val="18"/>
                <w:szCs w:val="18"/>
                <w:lang w:val="en-GB"/>
              </w:rPr>
            </w:pPr>
          </w:p>
        </w:tc>
        <w:tc>
          <w:tcPr>
            <w:tcW w:w="2684" w:type="dxa"/>
            <w:tcBorders>
              <w:top w:val="single" w:sz="4" w:space="0" w:color="000000"/>
            </w:tcBorders>
            <w:shd w:val="clear" w:color="auto" w:fill="auto"/>
            <w:tcMar>
              <w:top w:w="0" w:type="dxa"/>
              <w:left w:w="108" w:type="dxa"/>
              <w:bottom w:w="0" w:type="dxa"/>
              <w:right w:w="108" w:type="dxa"/>
            </w:tcMar>
          </w:tcPr>
          <w:p w14:paraId="222C6B44" w14:textId="77777777" w:rsidR="00E82CDF" w:rsidRPr="00E82CDF" w:rsidRDefault="00E82CDF" w:rsidP="00DD69E7">
            <w:pPr>
              <w:tabs>
                <w:tab w:val="left" w:pos="-720"/>
              </w:tabs>
              <w:jc w:val="right"/>
              <w:rPr>
                <w:rFonts w:ascii="Calibri" w:eastAsia="Calibri" w:hAnsi="Calibri" w:cs="Calibri"/>
                <w:b/>
                <w:spacing w:val="-3"/>
                <w:sz w:val="18"/>
                <w:szCs w:val="18"/>
                <w:lang w:val="en-GB"/>
              </w:rPr>
            </w:pPr>
          </w:p>
        </w:tc>
      </w:tr>
      <w:tr w:rsidR="00E82CDF" w:rsidRPr="007A6404" w14:paraId="7BF65A0C" w14:textId="77777777" w:rsidTr="00DD69E7">
        <w:trPr>
          <w:trHeight w:val="283"/>
        </w:trPr>
        <w:tc>
          <w:tcPr>
            <w:tcW w:w="9063" w:type="dxa"/>
            <w:gridSpan w:val="2"/>
            <w:shd w:val="clear" w:color="auto" w:fill="auto"/>
            <w:tcMar>
              <w:top w:w="0" w:type="dxa"/>
              <w:left w:w="108" w:type="dxa"/>
              <w:bottom w:w="0" w:type="dxa"/>
              <w:right w:w="108" w:type="dxa"/>
            </w:tcMar>
          </w:tcPr>
          <w:p w14:paraId="4CF8B2F6" w14:textId="77777777" w:rsidR="00E82CDF" w:rsidRPr="007A6404" w:rsidRDefault="00E82CDF" w:rsidP="00DD69E7">
            <w:pPr>
              <w:tabs>
                <w:tab w:val="left" w:pos="-720"/>
              </w:tabs>
              <w:jc w:val="both"/>
              <w:rPr>
                <w:rFonts w:ascii="Calibri" w:eastAsia="Calibri" w:hAnsi="Calibri" w:cs="Calibri"/>
                <w:i/>
                <w:spacing w:val="-3"/>
                <w:sz w:val="22"/>
                <w:szCs w:val="22"/>
                <w:lang w:val="en-GB"/>
              </w:rPr>
            </w:pPr>
            <w:r w:rsidRPr="007A6404">
              <w:rPr>
                <w:rFonts w:ascii="Calibri" w:eastAsia="Calibri" w:hAnsi="Calibri" w:cs="Calibri"/>
                <w:i/>
                <w:spacing w:val="-3"/>
                <w:sz w:val="22"/>
                <w:szCs w:val="22"/>
                <w:lang w:val="en-GB"/>
              </w:rPr>
              <w:t>*Other calculations relate to the changes in amount of interest not due and deferred fees.</w:t>
            </w:r>
          </w:p>
        </w:tc>
      </w:tr>
    </w:tbl>
    <w:p w14:paraId="0AEB03DE" w14:textId="77777777" w:rsidR="007A6404" w:rsidRPr="007A6404" w:rsidRDefault="007A6404" w:rsidP="000B677E">
      <w:pPr>
        <w:autoSpaceDN/>
        <w:spacing w:after="160" w:line="276" w:lineRule="auto"/>
        <w:rPr>
          <w:rFonts w:ascii="Calibri" w:eastAsia="SimSun" w:hAnsi="Calibri" w:cs="Calibri"/>
          <w:spacing w:val="-3"/>
          <w:sz w:val="22"/>
          <w:szCs w:val="22"/>
          <w:lang w:val="en-GB"/>
        </w:rPr>
      </w:pPr>
      <w:r w:rsidRPr="007A6404">
        <w:rPr>
          <w:rFonts w:ascii="Calibri" w:eastAsia="SimSun" w:hAnsi="Calibri" w:cs="Calibri"/>
          <w:spacing w:val="-3"/>
          <w:sz w:val="22"/>
          <w:szCs w:val="22"/>
          <w:lang w:val="en-GB"/>
        </w:rPr>
        <w:br w:type="page"/>
      </w:r>
    </w:p>
    <w:p w14:paraId="7A49BD5A" w14:textId="77777777" w:rsidR="007A6404" w:rsidRPr="007A6404" w:rsidRDefault="007A6404" w:rsidP="000B677E">
      <w:pPr>
        <w:tabs>
          <w:tab w:val="left" w:pos="-720"/>
        </w:tabs>
        <w:autoSpaceDN/>
        <w:jc w:val="both"/>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lastRenderedPageBreak/>
        <w:t>In 2022, HBOR continued to raise funds, and on 17 May 2022, a EUR 200 million loan to foster economic growth and support earthquake recovery and reconstruction efforts in Croatia was signed with the Council of Europe Development Bank (CEB). The loan funds will be used for the financing under current loan programmes, but also for projects that will be financed under the National Recovery and Resilience Plan (NRRP).</w:t>
      </w:r>
    </w:p>
    <w:p w14:paraId="79F211D0" w14:textId="77777777" w:rsidR="007A6404" w:rsidRPr="007A6404" w:rsidRDefault="007A6404" w:rsidP="000B677E">
      <w:pPr>
        <w:tabs>
          <w:tab w:val="left" w:pos="-720"/>
        </w:tabs>
        <w:autoSpaceDN/>
        <w:jc w:val="both"/>
        <w:rPr>
          <w:rFonts w:asciiTheme="minorHAnsi" w:hAnsiTheme="minorHAnsi" w:cstheme="minorHAnsi"/>
          <w:sz w:val="22"/>
          <w:szCs w:val="22"/>
          <w:lang w:val="en-GB" w:eastAsia="hr-HR"/>
        </w:rPr>
      </w:pPr>
    </w:p>
    <w:p w14:paraId="56A25CF6" w14:textId="77777777" w:rsidR="007A6404" w:rsidRPr="007A6404" w:rsidRDefault="007A6404" w:rsidP="000B677E">
      <w:pPr>
        <w:tabs>
          <w:tab w:val="left" w:pos="-720"/>
        </w:tabs>
        <w:autoSpaceDN/>
        <w:jc w:val="both"/>
        <w:rPr>
          <w:rFonts w:asciiTheme="minorHAnsi" w:hAnsiTheme="minorHAnsi" w:cstheme="minorHAnsi"/>
          <w:sz w:val="22"/>
          <w:szCs w:val="22"/>
          <w:lang w:val="en-GB" w:eastAsia="hr-HR"/>
        </w:rPr>
      </w:pPr>
      <w:r w:rsidRPr="007A6404">
        <w:rPr>
          <w:rFonts w:asciiTheme="minorHAnsi" w:hAnsiTheme="minorHAnsi" w:cstheme="minorHAnsi"/>
          <w:sz w:val="22"/>
          <w:szCs w:val="22"/>
          <w:lang w:val="en-GB" w:eastAsia="hr-HR"/>
        </w:rPr>
        <w:t xml:space="preserve">The CEB loan will be channelled through HBOR directly to final borrowers to partially finance the development and upgrading of local and regional infrastructure, such as water supply, wastewater disposal and treatment networks, local roads, educational, </w:t>
      </w:r>
      <w:proofErr w:type="gramStart"/>
      <w:r w:rsidRPr="007A6404">
        <w:rPr>
          <w:rFonts w:asciiTheme="minorHAnsi" w:hAnsiTheme="minorHAnsi" w:cstheme="minorHAnsi"/>
          <w:sz w:val="22"/>
          <w:szCs w:val="22"/>
          <w:lang w:val="en-GB" w:eastAsia="hr-HR"/>
        </w:rPr>
        <w:t>cultural</w:t>
      </w:r>
      <w:proofErr w:type="gramEnd"/>
      <w:r w:rsidRPr="007A6404">
        <w:rPr>
          <w:rFonts w:asciiTheme="minorHAnsi" w:hAnsiTheme="minorHAnsi" w:cstheme="minorHAnsi"/>
          <w:sz w:val="22"/>
          <w:szCs w:val="22"/>
          <w:lang w:val="en-GB" w:eastAsia="hr-HR"/>
        </w:rPr>
        <w:t xml:space="preserve"> and other municipal facilities.</w:t>
      </w:r>
    </w:p>
    <w:p w14:paraId="2DD521B6" w14:textId="77777777" w:rsidR="007A6404" w:rsidRPr="007A6404" w:rsidRDefault="007A6404" w:rsidP="000B677E">
      <w:pPr>
        <w:tabs>
          <w:tab w:val="left" w:pos="-720"/>
        </w:tabs>
        <w:autoSpaceDN/>
        <w:jc w:val="both"/>
        <w:rPr>
          <w:rFonts w:asciiTheme="minorHAnsi" w:hAnsiTheme="minorHAnsi" w:cstheme="minorHAnsi"/>
          <w:sz w:val="22"/>
          <w:szCs w:val="22"/>
          <w:lang w:val="en-GB" w:eastAsia="hr-HR"/>
        </w:rPr>
      </w:pPr>
    </w:p>
    <w:p w14:paraId="647AFC83" w14:textId="721D230F" w:rsidR="007A6404" w:rsidRPr="007A6404" w:rsidRDefault="007A6404" w:rsidP="000B677E">
      <w:pPr>
        <w:tabs>
          <w:tab w:val="left" w:pos="-720"/>
        </w:tabs>
        <w:autoSpaceDN/>
        <w:jc w:val="both"/>
        <w:rPr>
          <w:rFonts w:asciiTheme="minorHAnsi" w:hAnsiTheme="minorHAnsi" w:cstheme="minorHAnsi"/>
          <w:b/>
          <w:i/>
          <w:spacing w:val="-3"/>
          <w:sz w:val="22"/>
          <w:szCs w:val="22"/>
          <w:lang w:val="en-GB" w:eastAsia="hr-HR"/>
        </w:rPr>
      </w:pPr>
      <w:r w:rsidRPr="007A6404">
        <w:rPr>
          <w:rFonts w:asciiTheme="minorHAnsi" w:hAnsiTheme="minorHAnsi" w:cstheme="minorHAnsi"/>
          <w:sz w:val="22"/>
          <w:szCs w:val="22"/>
          <w:lang w:val="en-GB" w:eastAsia="hr-HR"/>
        </w:rPr>
        <w:t>In addition, the loan will allow HBOR to support micro, small and medium-sized enterprises, create new jobs and preserve the existing ones, and to finance the reconstruction and retrofitting of the infrastructure and buildings damaged by the earthquake.</w:t>
      </w:r>
    </w:p>
    <w:p w14:paraId="5D360CAC" w14:textId="77777777" w:rsidR="007A6404" w:rsidRPr="007A6404" w:rsidRDefault="007A6404" w:rsidP="000B677E">
      <w:pPr>
        <w:tabs>
          <w:tab w:val="left" w:pos="-720"/>
        </w:tabs>
        <w:autoSpaceDN/>
        <w:jc w:val="both"/>
        <w:rPr>
          <w:rFonts w:asciiTheme="minorHAnsi" w:hAnsiTheme="minorHAnsi" w:cstheme="minorHAnsi"/>
          <w:b/>
          <w:i/>
          <w:spacing w:val="-3"/>
          <w:sz w:val="22"/>
          <w:szCs w:val="22"/>
          <w:lang w:val="en-GB" w:eastAsia="hr-HR"/>
        </w:rPr>
      </w:pPr>
    </w:p>
    <w:p w14:paraId="7D910F94" w14:textId="77777777" w:rsidR="007A6404" w:rsidRPr="007A6404" w:rsidRDefault="007A6404" w:rsidP="000B677E">
      <w:pPr>
        <w:tabs>
          <w:tab w:val="left" w:pos="-720"/>
        </w:tabs>
        <w:autoSpaceDN/>
        <w:jc w:val="both"/>
        <w:rPr>
          <w:rFonts w:asciiTheme="minorHAnsi" w:hAnsiTheme="minorHAnsi" w:cstheme="minorHAnsi"/>
          <w:bCs/>
          <w:iCs/>
          <w:spacing w:val="-3"/>
          <w:sz w:val="22"/>
          <w:szCs w:val="22"/>
          <w:lang w:val="en-GB" w:eastAsia="hr-HR"/>
        </w:rPr>
      </w:pPr>
      <w:r w:rsidRPr="007A6404">
        <w:rPr>
          <w:rFonts w:asciiTheme="minorHAnsi" w:hAnsiTheme="minorHAnsi" w:cstheme="minorHAnsi"/>
          <w:bCs/>
          <w:iCs/>
          <w:spacing w:val="-3"/>
          <w:sz w:val="22"/>
          <w:szCs w:val="22"/>
          <w:lang w:val="en-GB" w:eastAsia="hr-HR"/>
        </w:rPr>
        <w:t xml:space="preserve">Furthermore, on 14 October 2022, HBOR signed </w:t>
      </w:r>
      <w:proofErr w:type="gramStart"/>
      <w:r w:rsidRPr="007A6404">
        <w:rPr>
          <w:rFonts w:asciiTheme="minorHAnsi" w:hAnsiTheme="minorHAnsi" w:cstheme="minorHAnsi"/>
          <w:bCs/>
          <w:iCs/>
          <w:spacing w:val="-3"/>
          <w:sz w:val="22"/>
          <w:szCs w:val="22"/>
          <w:lang w:val="en-GB" w:eastAsia="hr-HR"/>
        </w:rPr>
        <w:t>a</w:t>
      </w:r>
      <w:proofErr w:type="gramEnd"/>
      <w:r w:rsidRPr="007A6404">
        <w:rPr>
          <w:rFonts w:asciiTheme="minorHAnsi" w:hAnsiTheme="minorHAnsi" w:cstheme="minorHAnsi"/>
          <w:bCs/>
          <w:iCs/>
          <w:spacing w:val="-3"/>
          <w:sz w:val="22"/>
          <w:szCs w:val="22"/>
          <w:lang w:val="en-GB" w:eastAsia="hr-HR"/>
        </w:rPr>
        <w:t xml:space="preserve"> HRK 1,000,000 thousand general purpose loan contract with the Republic of Croatia – Ministry of Finance.</w:t>
      </w:r>
    </w:p>
    <w:p w14:paraId="410F8C96" w14:textId="77777777" w:rsidR="007A6404" w:rsidRPr="007A6404" w:rsidRDefault="007A6404" w:rsidP="000B677E">
      <w:pPr>
        <w:tabs>
          <w:tab w:val="left" w:pos="-720"/>
        </w:tabs>
        <w:autoSpaceDN/>
        <w:jc w:val="both"/>
        <w:rPr>
          <w:rFonts w:asciiTheme="minorHAnsi" w:hAnsiTheme="minorHAnsi" w:cstheme="minorHAnsi"/>
          <w:bCs/>
          <w:iCs/>
          <w:spacing w:val="-3"/>
          <w:sz w:val="22"/>
          <w:szCs w:val="22"/>
          <w:lang w:val="en-GB" w:eastAsia="hr-HR"/>
        </w:rPr>
      </w:pPr>
      <w:r w:rsidRPr="007A6404">
        <w:rPr>
          <w:rFonts w:asciiTheme="minorHAnsi" w:hAnsiTheme="minorHAnsi" w:cstheme="minorHAnsi"/>
          <w:bCs/>
          <w:iCs/>
          <w:spacing w:val="-3"/>
          <w:sz w:val="22"/>
          <w:szCs w:val="22"/>
          <w:lang w:val="en-GB" w:eastAsia="hr-HR"/>
        </w:rPr>
        <w:t xml:space="preserve"> </w:t>
      </w:r>
    </w:p>
    <w:p w14:paraId="0C913F05" w14:textId="77777777" w:rsidR="007A6404" w:rsidRPr="007A6404" w:rsidRDefault="007A6404" w:rsidP="000B677E">
      <w:pPr>
        <w:tabs>
          <w:tab w:val="left" w:pos="-720"/>
        </w:tabs>
        <w:autoSpaceDN/>
        <w:jc w:val="both"/>
        <w:rPr>
          <w:rFonts w:ascii="Calibri" w:hAnsi="Calibri" w:cs="Calibri"/>
          <w:b/>
          <w:i/>
          <w:spacing w:val="-3"/>
          <w:sz w:val="22"/>
          <w:szCs w:val="22"/>
          <w:lang w:val="en-GB" w:eastAsia="hr-HR"/>
        </w:rPr>
      </w:pPr>
      <w:r w:rsidRPr="007A6404">
        <w:rPr>
          <w:rFonts w:ascii="Calibri" w:hAnsi="Calibri" w:cs="Calibri"/>
          <w:b/>
          <w:i/>
          <w:spacing w:val="-3"/>
          <w:sz w:val="22"/>
          <w:szCs w:val="22"/>
          <w:lang w:val="en-GB" w:eastAsia="hr-HR"/>
        </w:rPr>
        <w:t xml:space="preserve">Total equity  </w:t>
      </w:r>
    </w:p>
    <w:p w14:paraId="3B2B6534" w14:textId="77777777" w:rsidR="007A6404" w:rsidRPr="007A6404" w:rsidRDefault="007A6404" w:rsidP="000B677E">
      <w:pPr>
        <w:tabs>
          <w:tab w:val="left" w:pos="-720"/>
        </w:tabs>
        <w:jc w:val="both"/>
        <w:textAlignment w:val="baseline"/>
        <w:rPr>
          <w:rFonts w:ascii="Calibri" w:hAnsi="Calibri" w:cs="Calibri"/>
          <w:b/>
          <w:i/>
          <w:spacing w:val="-3"/>
          <w:sz w:val="22"/>
          <w:szCs w:val="22"/>
          <w:lang w:val="en-GB" w:eastAsia="hr-HR"/>
        </w:rPr>
      </w:pPr>
    </w:p>
    <w:p w14:paraId="0AD65330" w14:textId="77777777" w:rsidR="007A6404" w:rsidRPr="007A6404" w:rsidRDefault="007A6404" w:rsidP="000B677E">
      <w:pPr>
        <w:jc w:val="both"/>
        <w:textAlignment w:val="baseline"/>
        <w:rPr>
          <w:rFonts w:ascii="Calibri" w:hAnsi="Calibri" w:cs="Calibri"/>
          <w:spacing w:val="-3"/>
          <w:sz w:val="22"/>
          <w:szCs w:val="22"/>
          <w:lang w:val="en-GB" w:eastAsia="hr-HR"/>
        </w:rPr>
      </w:pPr>
      <w:r w:rsidRPr="007A6404">
        <w:rPr>
          <w:rFonts w:ascii="Calibri" w:hAnsi="Calibri" w:cs="Calibri"/>
          <w:spacing w:val="-3"/>
          <w:sz w:val="22"/>
          <w:szCs w:val="22"/>
          <w:lang w:val="en-GB" w:eastAsia="hr-HR"/>
        </w:rPr>
        <w:t>Total equity amounted to HRK 10,710.60 million, representing 36.89 percent of total liabilities and total equity.</w:t>
      </w:r>
    </w:p>
    <w:p w14:paraId="5B41FD00" w14:textId="77777777" w:rsidR="007A6404" w:rsidRPr="007A6404" w:rsidRDefault="007A6404" w:rsidP="000B677E">
      <w:pPr>
        <w:jc w:val="both"/>
        <w:textAlignment w:val="baseline"/>
        <w:rPr>
          <w:rFonts w:ascii="Calibri" w:hAnsi="Calibri" w:cs="Calibri"/>
          <w:spacing w:val="-3"/>
          <w:sz w:val="22"/>
          <w:szCs w:val="22"/>
          <w:lang w:val="en-GB" w:eastAsia="hr-HR"/>
        </w:rPr>
      </w:pPr>
    </w:p>
    <w:p w14:paraId="0D93DB6B" w14:textId="77777777" w:rsidR="007A6404" w:rsidRPr="007A6404" w:rsidRDefault="007A6404" w:rsidP="000B677E">
      <w:pPr>
        <w:tabs>
          <w:tab w:val="left" w:pos="-720"/>
        </w:tabs>
        <w:jc w:val="both"/>
        <w:textAlignment w:val="baseline"/>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 xml:space="preserve">Total equity of HBOR is comprised of the founder’s capital contributed from the budget of the Republic of Croatia, retained earnings from the profits generated in the previous years, other reserves, guarantee fund and profits for the current period. </w:t>
      </w:r>
    </w:p>
    <w:p w14:paraId="7C55595B" w14:textId="77777777" w:rsidR="007A6404" w:rsidRPr="007A6404" w:rsidRDefault="007A6404" w:rsidP="000B677E">
      <w:pPr>
        <w:tabs>
          <w:tab w:val="left" w:pos="-720"/>
        </w:tabs>
        <w:jc w:val="both"/>
        <w:textAlignment w:val="baseline"/>
        <w:rPr>
          <w:rFonts w:ascii="Calibri" w:eastAsia="Calibri" w:hAnsi="Calibri" w:cs="Calibri"/>
          <w:spacing w:val="-3"/>
          <w:sz w:val="22"/>
          <w:szCs w:val="22"/>
          <w:lang w:val="en-GB"/>
        </w:rPr>
      </w:pPr>
    </w:p>
    <w:p w14:paraId="7151EED1" w14:textId="77777777" w:rsidR="007A6404" w:rsidRPr="007A6404" w:rsidRDefault="007A6404" w:rsidP="000B677E">
      <w:pPr>
        <w:tabs>
          <w:tab w:val="left" w:pos="-720"/>
        </w:tabs>
        <w:jc w:val="both"/>
        <w:textAlignment w:val="baseline"/>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t>In the reporting period, the amount of HRK 20.00 million was contributed from the budget of the Republic of Croatia into the founder’s capital. At the end of 2022, the total amount of capital contributed from the budget of the Republic of Croatia stood at HRK 6,778.00 million, and the remaining amount to be contributed to the founder’s capital up to the total amount of HRK 7,000.00 million set by the HBOR Act is HRK 222.00 million.</w:t>
      </w:r>
      <w:r w:rsidRPr="007A6404">
        <w:rPr>
          <w:rFonts w:ascii="Calibri" w:eastAsia="Calibri" w:hAnsi="Calibri" w:cs="Calibri"/>
          <w:spacing w:val="-3"/>
          <w:sz w:val="22"/>
          <w:szCs w:val="22"/>
          <w:lang w:val="en-GB"/>
        </w:rPr>
        <w:br w:type="page"/>
      </w:r>
    </w:p>
    <w:p w14:paraId="6F43C461" w14:textId="77777777" w:rsidR="007A6404" w:rsidRPr="007A6404" w:rsidRDefault="007A6404" w:rsidP="000B677E">
      <w:pPr>
        <w:jc w:val="both"/>
        <w:textAlignment w:val="baseline"/>
        <w:rPr>
          <w:rFonts w:ascii="Calibri" w:eastAsia="Calibri" w:hAnsi="Calibri" w:cs="Calibri"/>
          <w:spacing w:val="-3"/>
          <w:sz w:val="22"/>
          <w:szCs w:val="22"/>
          <w:lang w:val="en-GB"/>
        </w:rPr>
      </w:pPr>
      <w:r w:rsidRPr="007A6404">
        <w:rPr>
          <w:rFonts w:ascii="Calibri" w:eastAsia="Calibri" w:hAnsi="Calibri" w:cs="Calibri"/>
          <w:spacing w:val="-3"/>
          <w:sz w:val="22"/>
          <w:szCs w:val="22"/>
          <w:lang w:val="en-GB"/>
        </w:rPr>
        <w:lastRenderedPageBreak/>
        <w:t>Pursuant to the provisions of the HBOR Act, the entire profits of the Bank generated in the reporting period are allocated to the reserves.</w:t>
      </w:r>
    </w:p>
    <w:p w14:paraId="15D1B234" w14:textId="77777777" w:rsidR="007A6404" w:rsidRPr="007A6404" w:rsidRDefault="007A6404" w:rsidP="000B677E">
      <w:pPr>
        <w:jc w:val="both"/>
        <w:textAlignment w:val="baseline"/>
        <w:rPr>
          <w:rFonts w:ascii="Calibri" w:eastAsia="Calibri" w:hAnsi="Calibri" w:cs="Calibri"/>
          <w:spacing w:val="-3"/>
          <w:sz w:val="22"/>
          <w:szCs w:val="22"/>
          <w:lang w:val="en-GB"/>
        </w:rPr>
      </w:pPr>
    </w:p>
    <w:p w14:paraId="28AE3D33" w14:textId="77777777" w:rsidR="007A6404" w:rsidRPr="007A6404" w:rsidRDefault="007A6404" w:rsidP="000B677E">
      <w:pPr>
        <w:jc w:val="both"/>
        <w:textAlignment w:val="baseline"/>
        <w:rPr>
          <w:rFonts w:ascii="Calibri" w:eastAsia="Calibri" w:hAnsi="Calibri" w:cs="Calibri"/>
          <w:spacing w:val="-3"/>
          <w:sz w:val="22"/>
          <w:szCs w:val="22"/>
          <w:lang w:val="en-GB"/>
        </w:rPr>
      </w:pPr>
    </w:p>
    <w:p w14:paraId="3F6E8BDE" w14:textId="77777777" w:rsidR="007A6404" w:rsidRPr="007A6404" w:rsidRDefault="007A6404" w:rsidP="000B677E">
      <w:pPr>
        <w:tabs>
          <w:tab w:val="left" w:pos="-720"/>
        </w:tabs>
        <w:autoSpaceDN/>
        <w:ind w:left="-426" w:right="-426"/>
        <w:jc w:val="both"/>
        <w:rPr>
          <w:rFonts w:ascii="Calibri" w:eastAsia="SimSun" w:hAnsi="Calibri" w:cs="Calibri"/>
          <w:sz w:val="22"/>
          <w:szCs w:val="22"/>
          <w:lang w:val="en-GB" w:eastAsia="hr-HR"/>
        </w:rPr>
      </w:pPr>
      <w:r w:rsidRPr="007A6404">
        <w:rPr>
          <w:rFonts w:ascii="Calibri" w:eastAsia="SimSun" w:hAnsi="Calibri" w:cs="Calibri"/>
          <w:sz w:val="22"/>
          <w:szCs w:val="22"/>
          <w:lang w:val="en-GB" w:eastAsia="hr-HR"/>
        </w:rPr>
        <w:t xml:space="preserve">           </w:t>
      </w:r>
      <w:r w:rsidRPr="007A6404">
        <w:rPr>
          <w:rFonts w:ascii="Calibri" w:eastAsia="SimSun" w:hAnsi="Calibri" w:cs="Calibri"/>
          <w:noProof/>
          <w:sz w:val="22"/>
          <w:szCs w:val="22"/>
          <w:lang w:val="en-GB" w:eastAsia="hr-HR"/>
        </w:rPr>
        <w:drawing>
          <wp:inline distT="0" distB="0" distL="0" distR="0" wp14:anchorId="68288736" wp14:editId="75D80478">
            <wp:extent cx="2433628" cy="3168000"/>
            <wp:effectExtent l="0" t="0" r="508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3628" cy="3168000"/>
                    </a:xfrm>
                    <a:prstGeom prst="rect">
                      <a:avLst/>
                    </a:prstGeom>
                    <a:noFill/>
                  </pic:spPr>
                </pic:pic>
              </a:graphicData>
            </a:graphic>
          </wp:inline>
        </w:drawing>
      </w:r>
      <w:r w:rsidRPr="007A6404">
        <w:rPr>
          <w:rFonts w:ascii="Calibri" w:eastAsia="SimSun" w:hAnsi="Calibri" w:cs="Calibri"/>
          <w:sz w:val="22"/>
          <w:szCs w:val="22"/>
          <w:lang w:val="en-GB" w:eastAsia="hr-HR"/>
        </w:rPr>
        <w:t xml:space="preserve">          </w:t>
      </w:r>
      <w:r w:rsidRPr="007A6404">
        <w:rPr>
          <w:rFonts w:ascii="Calibri" w:eastAsia="SimSun" w:hAnsi="Calibri" w:cs="Calibri"/>
          <w:noProof/>
          <w:sz w:val="22"/>
          <w:szCs w:val="22"/>
          <w:lang w:val="en-GB" w:eastAsia="hr-HR"/>
        </w:rPr>
        <w:drawing>
          <wp:inline distT="0" distB="0" distL="0" distR="0" wp14:anchorId="7B307856" wp14:editId="0D85681E">
            <wp:extent cx="2418832" cy="3168000"/>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8832" cy="3168000"/>
                    </a:xfrm>
                    <a:prstGeom prst="rect">
                      <a:avLst/>
                    </a:prstGeom>
                    <a:noFill/>
                  </pic:spPr>
                </pic:pic>
              </a:graphicData>
            </a:graphic>
          </wp:inline>
        </w:drawing>
      </w:r>
      <w:r w:rsidRPr="007A6404">
        <w:rPr>
          <w:rFonts w:ascii="Calibri" w:eastAsia="SimSun" w:hAnsi="Calibri" w:cs="Calibri"/>
          <w:sz w:val="22"/>
          <w:szCs w:val="22"/>
          <w:lang w:val="en-GB" w:eastAsia="hr-HR"/>
        </w:rPr>
        <w:t xml:space="preserve"> </w:t>
      </w:r>
    </w:p>
    <w:p w14:paraId="0EF8A249" w14:textId="77777777" w:rsidR="007A6404" w:rsidRPr="007A6404" w:rsidRDefault="007A6404" w:rsidP="000B677E">
      <w:pPr>
        <w:tabs>
          <w:tab w:val="left" w:pos="-720"/>
        </w:tabs>
        <w:autoSpaceDN/>
        <w:ind w:left="-426" w:right="-426"/>
        <w:jc w:val="both"/>
        <w:rPr>
          <w:rFonts w:ascii="Calibri" w:eastAsia="SimSun" w:hAnsi="Calibri" w:cs="Calibri"/>
          <w:sz w:val="22"/>
          <w:szCs w:val="22"/>
          <w:lang w:val="en-GB" w:eastAsia="hr-HR"/>
        </w:rPr>
      </w:pPr>
    </w:p>
    <w:p w14:paraId="73768DCD" w14:textId="77777777" w:rsidR="007A6404" w:rsidRPr="007A6404" w:rsidRDefault="007A6404" w:rsidP="000B677E">
      <w:pPr>
        <w:tabs>
          <w:tab w:val="left" w:pos="-720"/>
        </w:tabs>
        <w:autoSpaceDN/>
        <w:ind w:left="-426" w:right="-426"/>
        <w:jc w:val="both"/>
        <w:rPr>
          <w:rFonts w:ascii="Calibri" w:eastAsia="SimSun" w:hAnsi="Calibri" w:cs="Calibri"/>
          <w:sz w:val="22"/>
          <w:szCs w:val="22"/>
          <w:lang w:val="en-GB" w:eastAsia="hr-HR"/>
        </w:rPr>
      </w:pPr>
    </w:p>
    <w:p w14:paraId="262AF606" w14:textId="77777777" w:rsidR="007A6404" w:rsidRPr="007A6404" w:rsidRDefault="007A6404" w:rsidP="000B677E">
      <w:pPr>
        <w:tabs>
          <w:tab w:val="left" w:pos="-720"/>
        </w:tabs>
        <w:autoSpaceDN/>
        <w:ind w:left="-426" w:right="-426"/>
        <w:jc w:val="both"/>
        <w:rPr>
          <w:rFonts w:ascii="Calibri" w:eastAsia="SimSun" w:hAnsi="Calibri" w:cs="Calibri"/>
          <w:sz w:val="22"/>
          <w:szCs w:val="22"/>
          <w:lang w:val="en-GB" w:eastAsia="hr-HR"/>
        </w:rPr>
      </w:pPr>
      <w:r w:rsidRPr="007A6404">
        <w:rPr>
          <w:rFonts w:ascii="Calibri" w:eastAsia="SimSun" w:hAnsi="Calibri" w:cs="Calibri"/>
          <w:sz w:val="22"/>
          <w:szCs w:val="22"/>
          <w:lang w:val="en-GB" w:eastAsia="hr-HR"/>
        </w:rPr>
        <w:t xml:space="preserve">           </w:t>
      </w:r>
      <w:r w:rsidRPr="007A6404">
        <w:rPr>
          <w:rFonts w:ascii="Calibri" w:eastAsia="SimSun" w:hAnsi="Calibri" w:cs="Calibri"/>
          <w:noProof/>
          <w:sz w:val="22"/>
          <w:szCs w:val="22"/>
          <w:lang w:val="en-GB" w:eastAsia="hr-HR"/>
        </w:rPr>
        <w:drawing>
          <wp:inline distT="0" distB="0" distL="0" distR="0" wp14:anchorId="51F7F787" wp14:editId="30DFCB76">
            <wp:extent cx="2433320" cy="3167342"/>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5202" cy="3169791"/>
                    </a:xfrm>
                    <a:prstGeom prst="rect">
                      <a:avLst/>
                    </a:prstGeom>
                    <a:noFill/>
                  </pic:spPr>
                </pic:pic>
              </a:graphicData>
            </a:graphic>
          </wp:inline>
        </w:drawing>
      </w:r>
      <w:r w:rsidRPr="007A6404">
        <w:rPr>
          <w:rFonts w:ascii="Calibri" w:eastAsia="SimSun" w:hAnsi="Calibri" w:cs="Calibri"/>
          <w:sz w:val="22"/>
          <w:szCs w:val="22"/>
          <w:lang w:val="en-GB" w:eastAsia="hr-HR"/>
        </w:rPr>
        <w:t xml:space="preserve">          </w:t>
      </w:r>
      <w:r w:rsidRPr="007A6404">
        <w:rPr>
          <w:rFonts w:ascii="Calibri" w:eastAsia="SimSun" w:hAnsi="Calibri" w:cs="Calibri"/>
          <w:noProof/>
          <w:sz w:val="22"/>
          <w:szCs w:val="22"/>
          <w:lang w:val="en-GB" w:eastAsia="hr-HR"/>
        </w:rPr>
        <w:drawing>
          <wp:inline distT="0" distB="0" distL="0" distR="0" wp14:anchorId="148D4A68" wp14:editId="0B6C37C6">
            <wp:extent cx="2418715" cy="3167380"/>
            <wp:effectExtent l="0" t="0" r="63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9188" cy="3168000"/>
                    </a:xfrm>
                    <a:prstGeom prst="rect">
                      <a:avLst/>
                    </a:prstGeom>
                    <a:noFill/>
                  </pic:spPr>
                </pic:pic>
              </a:graphicData>
            </a:graphic>
          </wp:inline>
        </w:drawing>
      </w:r>
    </w:p>
    <w:p w14:paraId="592D0418" w14:textId="77777777" w:rsidR="007A6404" w:rsidRPr="007A6404" w:rsidRDefault="007A6404" w:rsidP="000B677E">
      <w:pPr>
        <w:tabs>
          <w:tab w:val="left" w:pos="-720"/>
        </w:tabs>
        <w:autoSpaceDN/>
        <w:jc w:val="both"/>
        <w:rPr>
          <w:rFonts w:ascii="Calibri" w:eastAsia="SimSun" w:hAnsi="Calibri" w:cs="Calibri"/>
          <w:sz w:val="22"/>
          <w:szCs w:val="22"/>
          <w:lang w:val="en-GB"/>
        </w:rPr>
      </w:pPr>
      <w:r w:rsidRPr="007A6404">
        <w:rPr>
          <w:rFonts w:ascii="Calibri" w:eastAsia="SimSun" w:hAnsi="Calibri" w:cs="Calibri"/>
          <w:sz w:val="22"/>
          <w:szCs w:val="22"/>
          <w:lang w:val="en-GB"/>
        </w:rPr>
        <w:t xml:space="preserve"> </w:t>
      </w:r>
    </w:p>
    <w:p w14:paraId="2F02E43D" w14:textId="77777777" w:rsidR="007A6404" w:rsidRPr="007A6404" w:rsidRDefault="007A6404" w:rsidP="000B677E">
      <w:pPr>
        <w:tabs>
          <w:tab w:val="left" w:pos="-720"/>
          <w:tab w:val="left" w:pos="426"/>
        </w:tabs>
        <w:autoSpaceDN/>
        <w:jc w:val="both"/>
        <w:rPr>
          <w:rFonts w:ascii="Calibri" w:hAnsi="Calibri" w:cs="Calibri"/>
          <w:spacing w:val="-3"/>
          <w:sz w:val="22"/>
          <w:szCs w:val="22"/>
          <w:lang w:val="en-GB" w:eastAsia="hr-HR"/>
        </w:rPr>
      </w:pPr>
      <w:r w:rsidRPr="007A6404">
        <w:rPr>
          <w:rFonts w:ascii="Calibri" w:hAnsi="Calibri" w:cs="Calibri"/>
          <w:spacing w:val="-3"/>
          <w:sz w:val="22"/>
          <w:szCs w:val="22"/>
          <w:lang w:val="en-GB" w:eastAsia="hr-HR"/>
        </w:rPr>
        <w:t>*Investments in subsidiaries, Property, plant and equipment and intangible assets, Foreclosed assets.</w:t>
      </w:r>
    </w:p>
    <w:p w14:paraId="1CFAB1A2" w14:textId="77777777" w:rsidR="007A6404" w:rsidRPr="007A6404" w:rsidRDefault="007A6404" w:rsidP="000B677E">
      <w:pPr>
        <w:tabs>
          <w:tab w:val="left" w:pos="-720"/>
          <w:tab w:val="left" w:pos="426"/>
        </w:tabs>
        <w:autoSpaceDN/>
        <w:jc w:val="both"/>
        <w:rPr>
          <w:rFonts w:ascii="Calibri" w:hAnsi="Calibri" w:cs="Calibri"/>
          <w:spacing w:val="-3"/>
          <w:sz w:val="22"/>
          <w:szCs w:val="22"/>
          <w:lang w:val="en-GB" w:eastAsia="hr-HR"/>
        </w:rPr>
      </w:pPr>
    </w:p>
    <w:p w14:paraId="1AA494B6" w14:textId="77777777" w:rsidR="00587444" w:rsidRDefault="007A6404" w:rsidP="000B677E">
      <w:pPr>
        <w:ind w:right="283"/>
        <w:rPr>
          <w:rFonts w:ascii="Calibri" w:hAnsi="Calibri" w:cs="Calibri"/>
          <w:spacing w:val="-3"/>
          <w:sz w:val="22"/>
          <w:szCs w:val="22"/>
          <w:lang w:val="en-GB" w:eastAsia="hr-HR"/>
        </w:rPr>
        <w:sectPr w:rsidR="00587444" w:rsidSect="00803380">
          <w:headerReference w:type="default" r:id="rId46"/>
          <w:footerReference w:type="default" r:id="rId47"/>
          <w:footerReference w:type="first" r:id="rId48"/>
          <w:pgSz w:w="11907" w:h="16840"/>
          <w:pgMar w:top="1418" w:right="1134" w:bottom="1134" w:left="1418" w:header="851" w:footer="851" w:gutter="0"/>
          <w:cols w:space="720"/>
          <w:titlePg/>
          <w:docGrid w:linePitch="326"/>
        </w:sectPr>
      </w:pPr>
      <w:r w:rsidRPr="00891780">
        <w:rPr>
          <w:rFonts w:ascii="Calibri" w:hAnsi="Calibri" w:cs="Calibri"/>
          <w:spacing w:val="-3"/>
          <w:sz w:val="22"/>
          <w:szCs w:val="22"/>
          <w:lang w:val="en-GB" w:eastAsia="hr-HR"/>
        </w:rPr>
        <w:t>**Provisioning includes provisioning for guarantees, commitments an</w:t>
      </w:r>
      <w:r w:rsidR="009D69A2">
        <w:rPr>
          <w:rFonts w:ascii="Calibri" w:hAnsi="Calibri" w:cs="Calibri"/>
          <w:spacing w:val="-3"/>
          <w:sz w:val="22"/>
          <w:szCs w:val="22"/>
          <w:lang w:val="en-GB" w:eastAsia="hr-HR"/>
        </w:rPr>
        <w:t>d other liabilities.</w:t>
      </w:r>
    </w:p>
    <w:p w14:paraId="2A72B44C" w14:textId="4B9B9060" w:rsidR="00364FFA" w:rsidRDefault="00364FFA" w:rsidP="000B677E">
      <w:pPr>
        <w:ind w:right="283"/>
        <w:rPr>
          <w:rFonts w:ascii="Calibri" w:hAnsi="Calibri" w:cs="Calibri"/>
          <w:spacing w:val="-3"/>
          <w:sz w:val="22"/>
          <w:szCs w:val="22"/>
          <w:lang w:val="en-GB" w:eastAsia="hr-HR"/>
        </w:rPr>
      </w:pPr>
    </w:p>
    <w:p w14:paraId="0610FD29" w14:textId="77777777" w:rsidR="00587444" w:rsidRPr="00587444" w:rsidRDefault="00587444" w:rsidP="00587444">
      <w:pPr>
        <w:tabs>
          <w:tab w:val="left" w:pos="709"/>
        </w:tabs>
        <w:suppressAutoHyphens w:val="0"/>
        <w:autoSpaceDN/>
        <w:spacing w:line="276" w:lineRule="auto"/>
        <w:jc w:val="both"/>
        <w:rPr>
          <w:rFonts w:ascii="Arial" w:hAnsi="Arial" w:cs="Arial"/>
          <w:sz w:val="20"/>
          <w:szCs w:val="20"/>
        </w:rPr>
      </w:pPr>
      <w:bookmarkStart w:id="84" w:name="_Toc255898376"/>
      <w:bookmarkEnd w:id="1"/>
      <w:bookmarkEnd w:id="63"/>
      <w:bookmarkEnd w:id="64"/>
      <w:bookmarkEnd w:id="65"/>
    </w:p>
    <w:p w14:paraId="54CCCF88" w14:textId="77777777" w:rsidR="00587444" w:rsidRPr="00587444" w:rsidRDefault="00587444" w:rsidP="00587444">
      <w:pPr>
        <w:tabs>
          <w:tab w:val="left" w:pos="709"/>
        </w:tabs>
        <w:suppressAutoHyphens w:val="0"/>
        <w:autoSpaceDN/>
        <w:spacing w:line="276" w:lineRule="auto"/>
        <w:jc w:val="both"/>
        <w:rPr>
          <w:rFonts w:ascii="Arial" w:hAnsi="Arial" w:cs="Arial"/>
          <w:sz w:val="20"/>
          <w:szCs w:val="20"/>
        </w:rPr>
      </w:pPr>
    </w:p>
    <w:p w14:paraId="504272BE" w14:textId="77777777" w:rsidR="00587444" w:rsidRPr="00587444" w:rsidRDefault="00587444" w:rsidP="00587444">
      <w:pPr>
        <w:tabs>
          <w:tab w:val="left" w:pos="709"/>
        </w:tabs>
        <w:suppressAutoHyphens w:val="0"/>
        <w:autoSpaceDN/>
        <w:spacing w:line="276" w:lineRule="auto"/>
        <w:jc w:val="both"/>
        <w:rPr>
          <w:rFonts w:ascii="Arial" w:hAnsi="Arial" w:cs="Arial"/>
          <w:sz w:val="20"/>
          <w:szCs w:val="20"/>
        </w:rPr>
      </w:pPr>
    </w:p>
    <w:bookmarkEnd w:id="84"/>
    <w:p w14:paraId="2038B0CD" w14:textId="77777777" w:rsidR="00587444" w:rsidRPr="00587444" w:rsidRDefault="00587444" w:rsidP="00587444">
      <w:pPr>
        <w:tabs>
          <w:tab w:val="left" w:pos="709"/>
        </w:tabs>
        <w:suppressAutoHyphens w:val="0"/>
        <w:autoSpaceDN/>
        <w:spacing w:line="276" w:lineRule="auto"/>
        <w:jc w:val="both"/>
        <w:rPr>
          <w:rFonts w:ascii="Arial" w:hAnsi="Arial" w:cs="Arial"/>
          <w:sz w:val="20"/>
          <w:szCs w:val="20"/>
        </w:rPr>
      </w:pPr>
    </w:p>
    <w:p w14:paraId="39E370C7" w14:textId="77777777" w:rsidR="00587444" w:rsidRPr="00587444" w:rsidRDefault="00587444" w:rsidP="00587444">
      <w:pPr>
        <w:tabs>
          <w:tab w:val="left" w:pos="709"/>
        </w:tabs>
        <w:suppressAutoHyphens w:val="0"/>
        <w:autoSpaceDN/>
        <w:spacing w:line="276" w:lineRule="auto"/>
        <w:jc w:val="both"/>
        <w:rPr>
          <w:rFonts w:ascii="Arial" w:hAnsi="Arial" w:cs="Arial"/>
          <w:sz w:val="20"/>
          <w:szCs w:val="20"/>
        </w:rPr>
      </w:pPr>
    </w:p>
    <w:p w14:paraId="656A66FF" w14:textId="77777777" w:rsidR="00587444" w:rsidRPr="00587444" w:rsidRDefault="00587444" w:rsidP="00587444">
      <w:pPr>
        <w:suppressAutoHyphens w:val="0"/>
        <w:autoSpaceDN/>
        <w:spacing w:before="120" w:after="120" w:line="276" w:lineRule="auto"/>
        <w:jc w:val="center"/>
        <w:rPr>
          <w:rFonts w:ascii="Arial" w:hAnsi="Arial" w:cs="Arial"/>
          <w:b/>
          <w:sz w:val="20"/>
          <w:szCs w:val="20"/>
          <w:lang w:val="en-GB"/>
        </w:rPr>
      </w:pPr>
    </w:p>
    <w:p w14:paraId="599BF7B7" w14:textId="77777777" w:rsidR="00587444" w:rsidRPr="00587444" w:rsidRDefault="00587444" w:rsidP="00587444">
      <w:pPr>
        <w:suppressAutoHyphens w:val="0"/>
        <w:autoSpaceDN/>
        <w:spacing w:before="120" w:after="120" w:line="23" w:lineRule="atLeast"/>
        <w:jc w:val="center"/>
        <w:rPr>
          <w:rFonts w:ascii="Arial" w:hAnsi="Arial" w:cs="Arial"/>
          <w:b/>
          <w:sz w:val="20"/>
          <w:szCs w:val="20"/>
          <w:lang w:val="hr-HR"/>
        </w:rPr>
      </w:pPr>
    </w:p>
    <w:p w14:paraId="4F7B05AA" w14:textId="77777777" w:rsidR="00587444" w:rsidRPr="00587444" w:rsidRDefault="00587444" w:rsidP="00587444">
      <w:pPr>
        <w:suppressAutoHyphens w:val="0"/>
        <w:autoSpaceDN/>
        <w:spacing w:before="120" w:after="120" w:line="23" w:lineRule="atLeast"/>
        <w:jc w:val="center"/>
        <w:rPr>
          <w:rFonts w:ascii="Arial" w:hAnsi="Arial" w:cs="Arial"/>
          <w:b/>
          <w:sz w:val="20"/>
          <w:szCs w:val="20"/>
          <w:lang w:val="hr-HR"/>
        </w:rPr>
      </w:pPr>
    </w:p>
    <w:p w14:paraId="3D9530F6" w14:textId="25433CF6" w:rsidR="00587444" w:rsidRDefault="00587444" w:rsidP="00587444">
      <w:pPr>
        <w:suppressAutoHyphens w:val="0"/>
        <w:autoSpaceDN/>
        <w:spacing w:before="120" w:after="120" w:line="23" w:lineRule="atLeast"/>
        <w:jc w:val="center"/>
        <w:rPr>
          <w:rFonts w:ascii="Arial" w:hAnsi="Arial" w:cs="Arial"/>
          <w:b/>
          <w:sz w:val="20"/>
          <w:szCs w:val="20"/>
          <w:lang w:val="hr-HR"/>
        </w:rPr>
      </w:pPr>
    </w:p>
    <w:p w14:paraId="1F865E0B" w14:textId="00D29A13" w:rsidR="008727DF" w:rsidRDefault="008727DF" w:rsidP="00587444">
      <w:pPr>
        <w:suppressAutoHyphens w:val="0"/>
        <w:autoSpaceDN/>
        <w:spacing w:before="120" w:after="120" w:line="23" w:lineRule="atLeast"/>
        <w:jc w:val="center"/>
        <w:rPr>
          <w:rFonts w:ascii="Arial" w:hAnsi="Arial" w:cs="Arial"/>
          <w:b/>
          <w:sz w:val="20"/>
          <w:szCs w:val="20"/>
          <w:lang w:val="hr-HR"/>
        </w:rPr>
      </w:pPr>
    </w:p>
    <w:p w14:paraId="2A6D88B8" w14:textId="77777777" w:rsidR="008727DF" w:rsidRPr="00587444" w:rsidRDefault="008727DF" w:rsidP="00587444">
      <w:pPr>
        <w:suppressAutoHyphens w:val="0"/>
        <w:autoSpaceDN/>
        <w:spacing w:before="120" w:after="120" w:line="23" w:lineRule="atLeast"/>
        <w:jc w:val="center"/>
        <w:rPr>
          <w:rFonts w:ascii="Arial" w:hAnsi="Arial" w:cs="Arial"/>
          <w:b/>
          <w:sz w:val="20"/>
          <w:szCs w:val="20"/>
          <w:lang w:val="hr-HR"/>
        </w:rPr>
      </w:pPr>
    </w:p>
    <w:p w14:paraId="1F841DEB" w14:textId="77777777" w:rsidR="00587444" w:rsidRPr="00587444" w:rsidRDefault="00587444" w:rsidP="00587444">
      <w:pPr>
        <w:suppressAutoHyphens w:val="0"/>
        <w:autoSpaceDN/>
        <w:spacing w:before="120" w:after="120" w:line="23" w:lineRule="atLeast"/>
        <w:jc w:val="center"/>
        <w:rPr>
          <w:rFonts w:ascii="Arial" w:hAnsi="Arial" w:cs="Arial"/>
          <w:b/>
          <w:sz w:val="20"/>
          <w:szCs w:val="20"/>
          <w:lang w:val="hr-HR"/>
        </w:rPr>
      </w:pPr>
    </w:p>
    <w:p w14:paraId="2A7C7DF7" w14:textId="77777777" w:rsidR="00587444" w:rsidRPr="00587444" w:rsidRDefault="00587444" w:rsidP="00587444">
      <w:pPr>
        <w:suppressAutoHyphens w:val="0"/>
        <w:autoSpaceDN/>
        <w:spacing w:before="120" w:after="120" w:line="23" w:lineRule="atLeast"/>
        <w:jc w:val="center"/>
        <w:rPr>
          <w:rFonts w:ascii="Arial" w:hAnsi="Arial" w:cs="Arial"/>
          <w:b/>
          <w:sz w:val="20"/>
          <w:szCs w:val="20"/>
          <w:lang w:val="hr-HR"/>
        </w:rPr>
      </w:pPr>
    </w:p>
    <w:p w14:paraId="04F92C0C" w14:textId="77777777" w:rsidR="00587444" w:rsidRPr="00587444" w:rsidRDefault="00587444" w:rsidP="00587444">
      <w:pPr>
        <w:suppressAutoHyphens w:val="0"/>
        <w:autoSpaceDN/>
        <w:spacing w:before="120" w:after="120" w:line="23" w:lineRule="atLeast"/>
        <w:jc w:val="center"/>
        <w:rPr>
          <w:rFonts w:ascii="Arial" w:hAnsi="Arial" w:cs="Arial"/>
          <w:b/>
          <w:sz w:val="20"/>
          <w:szCs w:val="20"/>
          <w:lang w:val="hr-HR"/>
        </w:rPr>
      </w:pPr>
    </w:p>
    <w:p w14:paraId="661B8E7E" w14:textId="77777777" w:rsidR="00587444" w:rsidRPr="00587444" w:rsidRDefault="00587444" w:rsidP="00587444">
      <w:pPr>
        <w:keepNext/>
        <w:suppressAutoHyphens w:val="0"/>
        <w:autoSpaceDN/>
        <w:spacing w:line="360" w:lineRule="auto"/>
        <w:ind w:left="-142" w:right="-709"/>
        <w:jc w:val="both"/>
        <w:outlineLvl w:val="1"/>
        <w:rPr>
          <w:rFonts w:ascii="Arial" w:hAnsi="Arial" w:cs="Arial"/>
          <w:b/>
          <w:sz w:val="28"/>
          <w:szCs w:val="28"/>
          <w:lang w:val="en-GB"/>
        </w:rPr>
      </w:pPr>
      <w:bookmarkStart w:id="85" w:name="_Toc4056840"/>
      <w:r w:rsidRPr="00587444">
        <w:rPr>
          <w:rFonts w:ascii="Arial" w:hAnsi="Arial" w:cs="Arial"/>
          <w:b/>
          <w:bCs/>
          <w:sz w:val="20"/>
          <w:szCs w:val="20"/>
          <w:lang w:val="en-GB"/>
        </w:rPr>
        <w:t xml:space="preserve">  </w:t>
      </w:r>
      <w:r w:rsidRPr="00587444">
        <w:rPr>
          <w:rFonts w:ascii="Arial" w:hAnsi="Arial" w:cs="Arial"/>
          <w:b/>
          <w:bCs/>
          <w:sz w:val="28"/>
          <w:szCs w:val="28"/>
          <w:lang w:val="en-GB"/>
        </w:rPr>
        <w:t xml:space="preserve">CROATIAN BANK FOR RECONSTRUCTION AND </w:t>
      </w:r>
      <w:r w:rsidRPr="00587444">
        <w:rPr>
          <w:rFonts w:ascii="Arial" w:hAnsi="Arial" w:cs="Arial"/>
          <w:b/>
          <w:sz w:val="28"/>
          <w:szCs w:val="28"/>
          <w:lang w:val="en-GB"/>
        </w:rPr>
        <w:t>DEVELOPMENT</w:t>
      </w:r>
      <w:bookmarkEnd w:id="85"/>
    </w:p>
    <w:p w14:paraId="4A365236" w14:textId="77777777" w:rsidR="00587444" w:rsidRPr="00587444" w:rsidRDefault="00587444" w:rsidP="00587444">
      <w:pPr>
        <w:keepNext/>
        <w:tabs>
          <w:tab w:val="left" w:pos="-720"/>
        </w:tabs>
        <w:autoSpaceDN/>
        <w:jc w:val="both"/>
        <w:outlineLvl w:val="0"/>
        <w:rPr>
          <w:rFonts w:ascii="Arial" w:hAnsi="Arial" w:cs="Arial"/>
          <w:spacing w:val="-3"/>
          <w:sz w:val="28"/>
          <w:szCs w:val="28"/>
          <w:u w:val="single"/>
          <w:lang w:val="en-GB"/>
        </w:rPr>
      </w:pPr>
      <w:bookmarkStart w:id="86" w:name="_Annual_financial_statements"/>
      <w:bookmarkEnd w:id="86"/>
      <w:r w:rsidRPr="00587444">
        <w:rPr>
          <w:rFonts w:ascii="Arial" w:hAnsi="Arial" w:cs="Arial"/>
          <w:spacing w:val="-3"/>
          <w:sz w:val="28"/>
          <w:szCs w:val="28"/>
          <w:lang w:val="en-GB"/>
        </w:rPr>
        <w:t xml:space="preserve">Annual financial statements for 2022 </w:t>
      </w:r>
    </w:p>
    <w:p w14:paraId="20FCC4AD" w14:textId="77777777" w:rsidR="00587444" w:rsidRPr="00587444" w:rsidRDefault="00587444" w:rsidP="00587444">
      <w:pPr>
        <w:suppressAutoHyphens w:val="0"/>
        <w:autoSpaceDN/>
        <w:spacing w:line="317" w:lineRule="atLeast"/>
        <w:ind w:left="-142"/>
        <w:rPr>
          <w:rFonts w:ascii="Arial" w:hAnsi="Arial" w:cs="Arial"/>
          <w:sz w:val="20"/>
          <w:szCs w:val="20"/>
          <w:lang w:val="en-GB"/>
        </w:rPr>
      </w:pPr>
    </w:p>
    <w:p w14:paraId="1C11D945" w14:textId="77777777" w:rsidR="00587444" w:rsidRPr="00587444" w:rsidRDefault="00587444" w:rsidP="00587444">
      <w:pPr>
        <w:suppressAutoHyphens w:val="0"/>
        <w:autoSpaceDN/>
        <w:spacing w:line="317" w:lineRule="atLeast"/>
        <w:ind w:left="-142"/>
        <w:rPr>
          <w:rFonts w:ascii="Arial" w:hAnsi="Arial" w:cs="Arial"/>
          <w:sz w:val="20"/>
          <w:szCs w:val="20"/>
          <w:lang w:val="en-GB"/>
        </w:rPr>
      </w:pPr>
    </w:p>
    <w:p w14:paraId="73C8FD49" w14:textId="77777777" w:rsidR="00587444" w:rsidRPr="00587444" w:rsidRDefault="00587444" w:rsidP="00587444">
      <w:pPr>
        <w:suppressAutoHyphens w:val="0"/>
        <w:autoSpaceDN/>
        <w:spacing w:before="120" w:after="120" w:line="276" w:lineRule="auto"/>
        <w:jc w:val="center"/>
        <w:rPr>
          <w:rFonts w:ascii="Arial" w:hAnsi="Arial" w:cs="Arial"/>
          <w:b/>
          <w:sz w:val="20"/>
          <w:szCs w:val="20"/>
          <w:lang w:val="en-GB"/>
        </w:rPr>
      </w:pPr>
    </w:p>
    <w:p w14:paraId="00A9D5D4" w14:textId="77777777" w:rsidR="00587444" w:rsidRPr="00587444" w:rsidRDefault="00587444" w:rsidP="00587444">
      <w:pPr>
        <w:suppressAutoHyphens w:val="0"/>
        <w:autoSpaceDN/>
        <w:spacing w:before="120" w:after="120" w:line="276" w:lineRule="auto"/>
        <w:jc w:val="center"/>
        <w:rPr>
          <w:rFonts w:ascii="Arial" w:hAnsi="Arial" w:cs="Arial"/>
          <w:b/>
          <w:sz w:val="20"/>
          <w:szCs w:val="20"/>
          <w:lang w:val="en-GB"/>
        </w:rPr>
      </w:pPr>
    </w:p>
    <w:p w14:paraId="0E7CE6AF" w14:textId="77777777" w:rsidR="00587444" w:rsidRPr="00587444" w:rsidRDefault="00587444" w:rsidP="00587444">
      <w:pPr>
        <w:suppressAutoHyphens w:val="0"/>
        <w:autoSpaceDN/>
        <w:spacing w:before="120" w:after="120" w:line="276" w:lineRule="auto"/>
        <w:jc w:val="center"/>
        <w:rPr>
          <w:rFonts w:ascii="Arial" w:hAnsi="Arial" w:cs="Arial"/>
          <w:b/>
          <w:sz w:val="20"/>
          <w:szCs w:val="20"/>
          <w:lang w:val="en-GB"/>
        </w:rPr>
      </w:pPr>
    </w:p>
    <w:p w14:paraId="68AA71AF" w14:textId="77777777" w:rsidR="00587444" w:rsidRPr="00587444" w:rsidRDefault="00587444" w:rsidP="00587444">
      <w:pPr>
        <w:suppressAutoHyphens w:val="0"/>
        <w:autoSpaceDN/>
        <w:spacing w:before="120" w:after="120" w:line="276" w:lineRule="auto"/>
        <w:jc w:val="center"/>
        <w:rPr>
          <w:rFonts w:ascii="Arial" w:hAnsi="Arial" w:cs="Arial"/>
          <w:b/>
          <w:sz w:val="20"/>
          <w:szCs w:val="20"/>
          <w:lang w:val="en-GB"/>
        </w:rPr>
      </w:pPr>
    </w:p>
    <w:p w14:paraId="6DD82F0F"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19924AF0"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1C518FAA"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00012243"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468C0BFA"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05B45309"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71E2401B"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0FC242B9"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2A8670E0"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02A507A9"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1023A069"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41CD9099"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06310DC2"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22E98C97"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5B485B58" w14:textId="77777777" w:rsidR="00587444" w:rsidRPr="00587444" w:rsidRDefault="00587444" w:rsidP="00587444">
      <w:pPr>
        <w:suppressAutoHyphens w:val="0"/>
        <w:autoSpaceDN/>
        <w:spacing w:before="120" w:after="120" w:line="276" w:lineRule="auto"/>
        <w:rPr>
          <w:rFonts w:ascii="Arial" w:hAnsi="Arial" w:cs="Arial"/>
          <w:sz w:val="22"/>
          <w:szCs w:val="22"/>
          <w:lang w:val="en-GB"/>
        </w:rPr>
        <w:sectPr w:rsidR="00587444" w:rsidRPr="00587444" w:rsidSect="00DD69E7">
          <w:footerReference w:type="default" r:id="rId49"/>
          <w:pgSz w:w="11906" w:h="16838"/>
          <w:pgMar w:top="1276" w:right="1417" w:bottom="1417" w:left="1417" w:header="567" w:footer="708" w:gutter="0"/>
          <w:pgNumType w:start="1"/>
          <w:cols w:space="708"/>
          <w:docGrid w:linePitch="360"/>
        </w:sectPr>
      </w:pPr>
      <w:r w:rsidRPr="00587444">
        <w:rPr>
          <w:rFonts w:ascii="Arial" w:hAnsi="Arial" w:cs="Arial"/>
          <w:sz w:val="22"/>
          <w:szCs w:val="22"/>
          <w:lang w:val="en-GB"/>
        </w:rPr>
        <w:t>Zagreb, March 2023</w:t>
      </w:r>
    </w:p>
    <w:p w14:paraId="01E51CEF" w14:textId="77777777" w:rsidR="00587444" w:rsidRPr="00587444" w:rsidRDefault="00587444" w:rsidP="00587444">
      <w:pPr>
        <w:keepNext/>
        <w:suppressAutoHyphens w:val="0"/>
        <w:autoSpaceDN/>
        <w:jc w:val="both"/>
        <w:rPr>
          <w:rFonts w:ascii="Arial" w:hAnsi="Arial" w:cs="Arial"/>
          <w:sz w:val="20"/>
          <w:szCs w:val="20"/>
          <w:lang w:val="en-GB"/>
        </w:rPr>
      </w:pPr>
    </w:p>
    <w:tbl>
      <w:tblPr>
        <w:tblW w:w="5000" w:type="pct"/>
        <w:tblLook w:val="01E0" w:firstRow="1" w:lastRow="1" w:firstColumn="1" w:lastColumn="1" w:noHBand="0" w:noVBand="0"/>
      </w:tblPr>
      <w:tblGrid>
        <w:gridCol w:w="8637"/>
        <w:gridCol w:w="1076"/>
      </w:tblGrid>
      <w:tr w:rsidR="00587444" w:rsidRPr="00587444" w14:paraId="370AC1CD" w14:textId="77777777" w:rsidTr="00DD69E7">
        <w:trPr>
          <w:trHeight w:val="284"/>
        </w:trPr>
        <w:tc>
          <w:tcPr>
            <w:tcW w:w="4446" w:type="pct"/>
            <w:vAlign w:val="bottom"/>
          </w:tcPr>
          <w:p w14:paraId="4D93A7C2"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34979A64" w14:textId="77777777" w:rsidR="00587444" w:rsidRPr="00587444" w:rsidRDefault="00587444" w:rsidP="00587444">
            <w:pPr>
              <w:suppressAutoHyphens w:val="0"/>
              <w:autoSpaceDN/>
              <w:spacing w:before="120"/>
              <w:jc w:val="right"/>
              <w:rPr>
                <w:rFonts w:ascii="Arial" w:hAnsi="Arial" w:cs="Arial"/>
                <w:sz w:val="20"/>
                <w:szCs w:val="20"/>
                <w:highlight w:val="yellow"/>
                <w:lang w:val="en-GB"/>
              </w:rPr>
            </w:pPr>
            <w:r w:rsidRPr="00587444">
              <w:rPr>
                <w:rFonts w:ascii="Arial" w:hAnsi="Arial" w:cs="Arial"/>
                <w:sz w:val="20"/>
                <w:szCs w:val="20"/>
                <w:lang w:val="en-GB"/>
              </w:rPr>
              <w:t>Page</w:t>
            </w:r>
          </w:p>
        </w:tc>
      </w:tr>
      <w:tr w:rsidR="00587444" w:rsidRPr="00587444" w14:paraId="3CDF1B35" w14:textId="77777777" w:rsidTr="00DD69E7">
        <w:trPr>
          <w:trHeight w:val="284"/>
        </w:trPr>
        <w:tc>
          <w:tcPr>
            <w:tcW w:w="4446" w:type="pct"/>
            <w:vAlign w:val="bottom"/>
          </w:tcPr>
          <w:p w14:paraId="06875048" w14:textId="77777777" w:rsidR="004E3773"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 xml:space="preserve">Responsibilities of the Management and Supervisory Boards for the preparation and </w:t>
            </w:r>
          </w:p>
          <w:p w14:paraId="32B99649" w14:textId="6220270F"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approval of the annual report</w:t>
            </w:r>
          </w:p>
        </w:tc>
        <w:tc>
          <w:tcPr>
            <w:tcW w:w="554" w:type="pct"/>
            <w:vAlign w:val="bottom"/>
          </w:tcPr>
          <w:p w14:paraId="14C74CEF" w14:textId="338E9B3F" w:rsidR="00587444" w:rsidRPr="00CF7D02" w:rsidRDefault="00587444"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63</w:t>
            </w:r>
          </w:p>
        </w:tc>
      </w:tr>
      <w:tr w:rsidR="00587444" w:rsidRPr="00587444" w14:paraId="32F6B751" w14:textId="77777777" w:rsidTr="00DD69E7">
        <w:trPr>
          <w:trHeight w:val="284"/>
        </w:trPr>
        <w:tc>
          <w:tcPr>
            <w:tcW w:w="4446" w:type="pct"/>
            <w:vAlign w:val="bottom"/>
          </w:tcPr>
          <w:p w14:paraId="56238470"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2B9CA1C4"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607717" w:rsidRPr="00587444" w14:paraId="4D3E7D33" w14:textId="77777777" w:rsidTr="00607717">
        <w:trPr>
          <w:trHeight w:val="284"/>
        </w:trPr>
        <w:tc>
          <w:tcPr>
            <w:tcW w:w="4446" w:type="pct"/>
            <w:vAlign w:val="bottom"/>
          </w:tcPr>
          <w:p w14:paraId="24ABFB7C" w14:textId="77777777" w:rsidR="004E3773" w:rsidRDefault="00607717" w:rsidP="00587444">
            <w:pPr>
              <w:suppressAutoHyphens w:val="0"/>
              <w:autoSpaceDN/>
              <w:spacing w:before="120"/>
              <w:rPr>
                <w:rFonts w:ascii="Arial" w:hAnsi="Arial" w:cs="Arial"/>
                <w:sz w:val="20"/>
                <w:szCs w:val="20"/>
                <w:lang w:val="en-GB"/>
              </w:rPr>
            </w:pPr>
            <w:r w:rsidRPr="00607717">
              <w:rPr>
                <w:rFonts w:ascii="Arial" w:hAnsi="Arial" w:cs="Arial"/>
                <w:sz w:val="20"/>
                <w:szCs w:val="20"/>
                <w:lang w:val="en-GB"/>
              </w:rPr>
              <w:t xml:space="preserve">Independent Joint Auditor’s Report to the owner of Croatian Bank for Reconstruction and </w:t>
            </w:r>
          </w:p>
          <w:p w14:paraId="29532B45" w14:textId="101F87DE" w:rsidR="00607717" w:rsidRPr="00587444" w:rsidRDefault="00607717" w:rsidP="00587444">
            <w:pPr>
              <w:suppressAutoHyphens w:val="0"/>
              <w:autoSpaceDN/>
              <w:spacing w:before="120"/>
              <w:rPr>
                <w:rFonts w:ascii="Arial" w:hAnsi="Arial" w:cs="Arial"/>
                <w:sz w:val="20"/>
                <w:szCs w:val="20"/>
                <w:lang w:val="en-GB"/>
              </w:rPr>
            </w:pPr>
            <w:r w:rsidRPr="00607717">
              <w:rPr>
                <w:rFonts w:ascii="Arial" w:hAnsi="Arial" w:cs="Arial"/>
                <w:sz w:val="20"/>
                <w:szCs w:val="20"/>
                <w:lang w:val="en-GB"/>
              </w:rPr>
              <w:t>Development</w:t>
            </w:r>
          </w:p>
        </w:tc>
        <w:tc>
          <w:tcPr>
            <w:tcW w:w="554" w:type="pct"/>
            <w:vAlign w:val="center"/>
          </w:tcPr>
          <w:p w14:paraId="76AFB1A2" w14:textId="2EF70251" w:rsidR="00607717"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sz w:val="20"/>
                <w:szCs w:val="20"/>
                <w:lang w:val="en-GB"/>
              </w:rPr>
              <w:t>64</w:t>
            </w:r>
          </w:p>
        </w:tc>
      </w:tr>
      <w:tr w:rsidR="00607717" w:rsidRPr="00587444" w14:paraId="2E5F18E9" w14:textId="77777777" w:rsidTr="00DD69E7">
        <w:trPr>
          <w:trHeight w:val="284"/>
        </w:trPr>
        <w:tc>
          <w:tcPr>
            <w:tcW w:w="4446" w:type="pct"/>
            <w:vAlign w:val="bottom"/>
          </w:tcPr>
          <w:p w14:paraId="0BF0DCF6" w14:textId="77777777" w:rsidR="00607717" w:rsidRPr="00587444" w:rsidRDefault="00607717" w:rsidP="00587444">
            <w:pPr>
              <w:suppressAutoHyphens w:val="0"/>
              <w:autoSpaceDN/>
              <w:spacing w:before="120"/>
              <w:rPr>
                <w:rFonts w:ascii="Arial" w:hAnsi="Arial" w:cs="Arial"/>
                <w:sz w:val="20"/>
                <w:szCs w:val="20"/>
                <w:lang w:val="en-GB"/>
              </w:rPr>
            </w:pPr>
          </w:p>
        </w:tc>
        <w:tc>
          <w:tcPr>
            <w:tcW w:w="554" w:type="pct"/>
            <w:vAlign w:val="bottom"/>
          </w:tcPr>
          <w:p w14:paraId="32597EB8" w14:textId="77777777" w:rsidR="00607717" w:rsidRPr="00CF7D02" w:rsidRDefault="00607717" w:rsidP="00587444">
            <w:pPr>
              <w:suppressAutoHyphens w:val="0"/>
              <w:autoSpaceDN/>
              <w:spacing w:before="120"/>
              <w:jc w:val="right"/>
              <w:rPr>
                <w:rFonts w:ascii="Arial" w:hAnsi="Arial" w:cs="Arial"/>
                <w:sz w:val="20"/>
                <w:szCs w:val="20"/>
                <w:lang w:val="en-GB"/>
              </w:rPr>
            </w:pPr>
          </w:p>
        </w:tc>
      </w:tr>
      <w:tr w:rsidR="00587444" w:rsidRPr="00587444" w14:paraId="5A59B543" w14:textId="77777777" w:rsidTr="00DD69E7">
        <w:trPr>
          <w:trHeight w:val="284"/>
        </w:trPr>
        <w:tc>
          <w:tcPr>
            <w:tcW w:w="4446" w:type="pct"/>
            <w:vAlign w:val="bottom"/>
          </w:tcPr>
          <w:p w14:paraId="3DE37378"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Consolidated Financial Statements of the Group:</w:t>
            </w:r>
          </w:p>
        </w:tc>
        <w:tc>
          <w:tcPr>
            <w:tcW w:w="554" w:type="pct"/>
            <w:vAlign w:val="bottom"/>
          </w:tcPr>
          <w:p w14:paraId="59D1A2A7" w14:textId="4CBAF47F" w:rsidR="00587444"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sz w:val="20"/>
                <w:szCs w:val="20"/>
                <w:lang w:val="en-GB"/>
              </w:rPr>
              <w:t>72</w:t>
            </w:r>
          </w:p>
        </w:tc>
      </w:tr>
      <w:tr w:rsidR="00587444" w:rsidRPr="00587444" w14:paraId="1DEB81F3" w14:textId="77777777" w:rsidTr="00DD69E7">
        <w:trPr>
          <w:trHeight w:val="284"/>
        </w:trPr>
        <w:tc>
          <w:tcPr>
            <w:tcW w:w="4446" w:type="pct"/>
            <w:vAlign w:val="bottom"/>
          </w:tcPr>
          <w:p w14:paraId="3E8BA7F4"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Income Statement</w:t>
            </w:r>
          </w:p>
        </w:tc>
        <w:tc>
          <w:tcPr>
            <w:tcW w:w="554" w:type="pct"/>
            <w:vAlign w:val="bottom"/>
          </w:tcPr>
          <w:p w14:paraId="0EB7029A" w14:textId="5AE2A760" w:rsidR="00587444"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72</w:t>
            </w:r>
          </w:p>
        </w:tc>
      </w:tr>
      <w:tr w:rsidR="00587444" w:rsidRPr="00587444" w14:paraId="3BFD5421" w14:textId="77777777" w:rsidTr="00DD69E7">
        <w:trPr>
          <w:trHeight w:val="284"/>
        </w:trPr>
        <w:tc>
          <w:tcPr>
            <w:tcW w:w="4446" w:type="pct"/>
            <w:vAlign w:val="bottom"/>
          </w:tcPr>
          <w:p w14:paraId="6EE4FD00"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61CACBE7"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587444" w:rsidRPr="00587444" w14:paraId="1BA7ACE1" w14:textId="77777777" w:rsidTr="00DD69E7">
        <w:trPr>
          <w:trHeight w:val="284"/>
        </w:trPr>
        <w:tc>
          <w:tcPr>
            <w:tcW w:w="4446" w:type="pct"/>
            <w:vAlign w:val="bottom"/>
          </w:tcPr>
          <w:p w14:paraId="00914F75"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Profit or Loss and Other Comprehensive Income</w:t>
            </w:r>
          </w:p>
        </w:tc>
        <w:tc>
          <w:tcPr>
            <w:tcW w:w="554" w:type="pct"/>
            <w:vAlign w:val="bottom"/>
          </w:tcPr>
          <w:p w14:paraId="61A1EA55" w14:textId="681F9D87" w:rsidR="00587444"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73</w:t>
            </w:r>
          </w:p>
        </w:tc>
      </w:tr>
      <w:tr w:rsidR="00587444" w:rsidRPr="00587444" w14:paraId="2EB08703" w14:textId="77777777" w:rsidTr="00DD69E7">
        <w:trPr>
          <w:trHeight w:val="284"/>
        </w:trPr>
        <w:tc>
          <w:tcPr>
            <w:tcW w:w="4446" w:type="pct"/>
            <w:vAlign w:val="bottom"/>
          </w:tcPr>
          <w:p w14:paraId="0A9FE532"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33285E25"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587444" w:rsidRPr="00587444" w14:paraId="1CCA5874" w14:textId="77777777" w:rsidTr="00DD69E7">
        <w:trPr>
          <w:trHeight w:val="284"/>
        </w:trPr>
        <w:tc>
          <w:tcPr>
            <w:tcW w:w="4446" w:type="pct"/>
            <w:vAlign w:val="bottom"/>
          </w:tcPr>
          <w:p w14:paraId="45384233"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Financial Position</w:t>
            </w:r>
          </w:p>
        </w:tc>
        <w:tc>
          <w:tcPr>
            <w:tcW w:w="554" w:type="pct"/>
            <w:vAlign w:val="bottom"/>
          </w:tcPr>
          <w:p w14:paraId="1A507CA4" w14:textId="7EBDE31E" w:rsidR="00587444"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74</w:t>
            </w:r>
          </w:p>
        </w:tc>
      </w:tr>
      <w:tr w:rsidR="00587444" w:rsidRPr="00587444" w14:paraId="0104597A" w14:textId="77777777" w:rsidTr="00DD69E7">
        <w:trPr>
          <w:trHeight w:val="284"/>
        </w:trPr>
        <w:tc>
          <w:tcPr>
            <w:tcW w:w="4446" w:type="pct"/>
            <w:vAlign w:val="bottom"/>
          </w:tcPr>
          <w:p w14:paraId="19B00873"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1140E0FF"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587444" w:rsidRPr="00587444" w14:paraId="4B2C9B3C" w14:textId="77777777" w:rsidTr="00DD69E7">
        <w:trPr>
          <w:trHeight w:val="284"/>
        </w:trPr>
        <w:tc>
          <w:tcPr>
            <w:tcW w:w="4446" w:type="pct"/>
            <w:vAlign w:val="bottom"/>
          </w:tcPr>
          <w:p w14:paraId="1EE951B3"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Cash Flows</w:t>
            </w:r>
          </w:p>
        </w:tc>
        <w:tc>
          <w:tcPr>
            <w:tcW w:w="554" w:type="pct"/>
            <w:vAlign w:val="bottom"/>
          </w:tcPr>
          <w:p w14:paraId="77EFF23A" w14:textId="55BEE038" w:rsidR="00587444" w:rsidRPr="00CF7D02" w:rsidRDefault="00587444"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7</w:t>
            </w:r>
            <w:r w:rsidR="00607717" w:rsidRPr="00CF7D02">
              <w:rPr>
                <w:rFonts w:ascii="Arial" w:hAnsi="Arial" w:cs="Arial"/>
                <w:color w:val="000000"/>
                <w:sz w:val="20"/>
                <w:szCs w:val="20"/>
                <w:lang w:val="hr-HR"/>
              </w:rPr>
              <w:t>5</w:t>
            </w:r>
          </w:p>
        </w:tc>
      </w:tr>
      <w:tr w:rsidR="00587444" w:rsidRPr="00587444" w14:paraId="4DD06AB4" w14:textId="77777777" w:rsidTr="00DD69E7">
        <w:trPr>
          <w:trHeight w:val="284"/>
        </w:trPr>
        <w:tc>
          <w:tcPr>
            <w:tcW w:w="4446" w:type="pct"/>
            <w:vAlign w:val="bottom"/>
          </w:tcPr>
          <w:p w14:paraId="094C2E48"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4A983FB2"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587444" w:rsidRPr="00587444" w14:paraId="63C4165D" w14:textId="77777777" w:rsidTr="00DD69E7">
        <w:trPr>
          <w:trHeight w:val="284"/>
        </w:trPr>
        <w:tc>
          <w:tcPr>
            <w:tcW w:w="4446" w:type="pct"/>
            <w:vAlign w:val="bottom"/>
          </w:tcPr>
          <w:p w14:paraId="4F9A4977"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Changes in Equity</w:t>
            </w:r>
          </w:p>
        </w:tc>
        <w:tc>
          <w:tcPr>
            <w:tcW w:w="554" w:type="pct"/>
            <w:vAlign w:val="bottom"/>
          </w:tcPr>
          <w:p w14:paraId="6D013E68" w14:textId="6DD548CA" w:rsidR="00587444"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sz w:val="20"/>
                <w:szCs w:val="20"/>
                <w:lang w:val="en-GB"/>
              </w:rPr>
              <w:t>76</w:t>
            </w:r>
          </w:p>
        </w:tc>
      </w:tr>
      <w:tr w:rsidR="00587444" w:rsidRPr="00587444" w14:paraId="68372876" w14:textId="77777777" w:rsidTr="00DD69E7">
        <w:trPr>
          <w:trHeight w:val="284"/>
        </w:trPr>
        <w:tc>
          <w:tcPr>
            <w:tcW w:w="4446" w:type="pct"/>
            <w:vAlign w:val="bottom"/>
          </w:tcPr>
          <w:p w14:paraId="749ACDEA"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71DA8BEE"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587444" w:rsidRPr="00587444" w14:paraId="006D4292" w14:textId="77777777" w:rsidTr="00DD69E7">
        <w:trPr>
          <w:trHeight w:val="284"/>
        </w:trPr>
        <w:tc>
          <w:tcPr>
            <w:tcW w:w="4446" w:type="pct"/>
            <w:vAlign w:val="bottom"/>
          </w:tcPr>
          <w:p w14:paraId="27183293"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Separate Financial Statements of the Bank:</w:t>
            </w:r>
          </w:p>
        </w:tc>
        <w:tc>
          <w:tcPr>
            <w:tcW w:w="554" w:type="pct"/>
            <w:vAlign w:val="bottom"/>
          </w:tcPr>
          <w:p w14:paraId="665906F8" w14:textId="19F4905B" w:rsidR="00587444"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77</w:t>
            </w:r>
          </w:p>
        </w:tc>
      </w:tr>
      <w:tr w:rsidR="00587444" w:rsidRPr="00587444" w14:paraId="5F7C85E5" w14:textId="77777777" w:rsidTr="00DD69E7">
        <w:trPr>
          <w:trHeight w:val="284"/>
        </w:trPr>
        <w:tc>
          <w:tcPr>
            <w:tcW w:w="4446" w:type="pct"/>
            <w:vAlign w:val="bottom"/>
          </w:tcPr>
          <w:p w14:paraId="7A9F92C8"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Income Statement</w:t>
            </w:r>
          </w:p>
        </w:tc>
        <w:tc>
          <w:tcPr>
            <w:tcW w:w="554" w:type="pct"/>
            <w:vAlign w:val="bottom"/>
          </w:tcPr>
          <w:p w14:paraId="56CF0841" w14:textId="5FC8B49F" w:rsidR="00587444"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77</w:t>
            </w:r>
          </w:p>
        </w:tc>
      </w:tr>
      <w:tr w:rsidR="00587444" w:rsidRPr="00587444" w14:paraId="0F6D4A4F" w14:textId="77777777" w:rsidTr="00DD69E7">
        <w:trPr>
          <w:trHeight w:val="284"/>
        </w:trPr>
        <w:tc>
          <w:tcPr>
            <w:tcW w:w="4446" w:type="pct"/>
            <w:vAlign w:val="bottom"/>
          </w:tcPr>
          <w:p w14:paraId="47298BB1"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1FE0D58D"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587444" w:rsidRPr="00587444" w14:paraId="26C647DC" w14:textId="77777777" w:rsidTr="00DD69E7">
        <w:trPr>
          <w:trHeight w:val="284"/>
        </w:trPr>
        <w:tc>
          <w:tcPr>
            <w:tcW w:w="4446" w:type="pct"/>
            <w:vAlign w:val="bottom"/>
          </w:tcPr>
          <w:p w14:paraId="6EC86222"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Profit or Loss and Other Comprehensive Income</w:t>
            </w:r>
          </w:p>
        </w:tc>
        <w:tc>
          <w:tcPr>
            <w:tcW w:w="554" w:type="pct"/>
            <w:vAlign w:val="bottom"/>
          </w:tcPr>
          <w:p w14:paraId="18699D5A" w14:textId="32BCC9B2" w:rsidR="00587444"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78</w:t>
            </w:r>
          </w:p>
        </w:tc>
      </w:tr>
      <w:tr w:rsidR="00587444" w:rsidRPr="00587444" w14:paraId="2A682134" w14:textId="77777777" w:rsidTr="00DD69E7">
        <w:trPr>
          <w:trHeight w:val="284"/>
        </w:trPr>
        <w:tc>
          <w:tcPr>
            <w:tcW w:w="4446" w:type="pct"/>
            <w:vAlign w:val="bottom"/>
          </w:tcPr>
          <w:p w14:paraId="1FBF8550"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1169FEFE"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587444" w:rsidRPr="00587444" w14:paraId="03617BF8" w14:textId="77777777" w:rsidTr="00DD69E7">
        <w:trPr>
          <w:trHeight w:val="284"/>
        </w:trPr>
        <w:tc>
          <w:tcPr>
            <w:tcW w:w="4446" w:type="pct"/>
            <w:vAlign w:val="bottom"/>
          </w:tcPr>
          <w:p w14:paraId="77CE93F1"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Financial Position</w:t>
            </w:r>
          </w:p>
        </w:tc>
        <w:tc>
          <w:tcPr>
            <w:tcW w:w="554" w:type="pct"/>
            <w:vAlign w:val="bottom"/>
          </w:tcPr>
          <w:p w14:paraId="4B0E6C67" w14:textId="72AEB190" w:rsidR="00587444"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79</w:t>
            </w:r>
          </w:p>
        </w:tc>
      </w:tr>
      <w:tr w:rsidR="00587444" w:rsidRPr="00587444" w14:paraId="6B9F8CBE" w14:textId="77777777" w:rsidTr="00DD69E7">
        <w:trPr>
          <w:trHeight w:val="284"/>
        </w:trPr>
        <w:tc>
          <w:tcPr>
            <w:tcW w:w="4446" w:type="pct"/>
            <w:vAlign w:val="bottom"/>
          </w:tcPr>
          <w:p w14:paraId="4DDD96AF"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48EA9D40"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587444" w:rsidRPr="00587444" w14:paraId="71DE7868" w14:textId="77777777" w:rsidTr="00DD69E7">
        <w:trPr>
          <w:trHeight w:val="284"/>
        </w:trPr>
        <w:tc>
          <w:tcPr>
            <w:tcW w:w="4446" w:type="pct"/>
            <w:vAlign w:val="bottom"/>
          </w:tcPr>
          <w:p w14:paraId="62E755D3"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Cash Flows</w:t>
            </w:r>
          </w:p>
        </w:tc>
        <w:tc>
          <w:tcPr>
            <w:tcW w:w="554" w:type="pct"/>
            <w:vAlign w:val="bottom"/>
          </w:tcPr>
          <w:p w14:paraId="5FD462C8" w14:textId="59F4913E" w:rsidR="00587444"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80</w:t>
            </w:r>
          </w:p>
        </w:tc>
      </w:tr>
      <w:tr w:rsidR="00587444" w:rsidRPr="00587444" w14:paraId="415E4244" w14:textId="77777777" w:rsidTr="00DD69E7">
        <w:trPr>
          <w:trHeight w:val="284"/>
        </w:trPr>
        <w:tc>
          <w:tcPr>
            <w:tcW w:w="4446" w:type="pct"/>
            <w:vAlign w:val="bottom"/>
          </w:tcPr>
          <w:p w14:paraId="7EBE213E"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5F0E4447"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587444" w:rsidRPr="00587444" w14:paraId="107E50C8" w14:textId="77777777" w:rsidTr="00DD69E7">
        <w:trPr>
          <w:trHeight w:val="284"/>
        </w:trPr>
        <w:tc>
          <w:tcPr>
            <w:tcW w:w="4446" w:type="pct"/>
            <w:vAlign w:val="bottom"/>
          </w:tcPr>
          <w:p w14:paraId="582108D0"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Changes in Equity</w:t>
            </w:r>
          </w:p>
        </w:tc>
        <w:tc>
          <w:tcPr>
            <w:tcW w:w="554" w:type="pct"/>
            <w:vAlign w:val="bottom"/>
          </w:tcPr>
          <w:p w14:paraId="065BF2CD" w14:textId="0A41BACE" w:rsidR="00587444"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81</w:t>
            </w:r>
          </w:p>
        </w:tc>
      </w:tr>
      <w:tr w:rsidR="00587444" w:rsidRPr="00587444" w14:paraId="3382235B" w14:textId="77777777" w:rsidTr="00DD69E7">
        <w:trPr>
          <w:trHeight w:val="284"/>
        </w:trPr>
        <w:tc>
          <w:tcPr>
            <w:tcW w:w="4446" w:type="pct"/>
            <w:vAlign w:val="bottom"/>
          </w:tcPr>
          <w:p w14:paraId="58EDC5DF"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34CCE536"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587444" w:rsidRPr="00587444" w14:paraId="0CA61252" w14:textId="77777777" w:rsidTr="00DD69E7">
        <w:trPr>
          <w:trHeight w:val="284"/>
        </w:trPr>
        <w:tc>
          <w:tcPr>
            <w:tcW w:w="4446" w:type="pct"/>
            <w:vAlign w:val="bottom"/>
          </w:tcPr>
          <w:p w14:paraId="229332A0" w14:textId="77777777" w:rsidR="00587444" w:rsidRPr="00587444" w:rsidRDefault="00587444" w:rsidP="00587444">
            <w:pPr>
              <w:suppressAutoHyphens w:val="0"/>
              <w:autoSpaceDE w:val="0"/>
              <w:adjustRightInd w:val="0"/>
              <w:spacing w:line="320" w:lineRule="exact"/>
              <w:rPr>
                <w:rFonts w:ascii="Arial" w:hAnsi="Arial" w:cs="Arial"/>
                <w:sz w:val="20"/>
                <w:szCs w:val="20"/>
                <w:lang w:val="hr-HR"/>
              </w:rPr>
            </w:pPr>
            <w:r w:rsidRPr="00587444">
              <w:rPr>
                <w:rFonts w:ascii="Arial" w:hAnsi="Arial" w:cs="Arial"/>
                <w:sz w:val="20"/>
                <w:szCs w:val="20"/>
                <w:lang w:val="en-GB"/>
              </w:rPr>
              <w:t>Notes to the Financial Statements which include</w:t>
            </w:r>
            <w:r w:rsidRPr="00587444">
              <w:rPr>
                <w:rFonts w:ascii="Arial" w:hAnsi="Arial" w:cs="Arial"/>
                <w:bCs/>
                <w:sz w:val="20"/>
                <w:szCs w:val="20"/>
                <w:lang w:val="en-GB"/>
              </w:rPr>
              <w:t xml:space="preserve"> significant accounting policies and</w:t>
            </w:r>
            <w:r w:rsidRPr="00587444">
              <w:rPr>
                <w:rFonts w:ascii="Arial" w:hAnsi="Arial" w:cs="Arial"/>
                <w:bCs/>
                <w:sz w:val="20"/>
                <w:szCs w:val="20"/>
              </w:rPr>
              <w:t xml:space="preserve"> other </w:t>
            </w:r>
            <w:r w:rsidRPr="00587444">
              <w:rPr>
                <w:rFonts w:ascii="Arial" w:hAnsi="Arial" w:cs="Arial"/>
                <w:bCs/>
                <w:sz w:val="20"/>
                <w:szCs w:val="20"/>
                <w:lang w:val="en-GB"/>
              </w:rPr>
              <w:t>explana</w:t>
            </w:r>
            <w:r w:rsidRPr="00587444">
              <w:rPr>
                <w:rFonts w:ascii="Arial" w:hAnsi="Arial" w:cs="Arial"/>
                <w:sz w:val="20"/>
                <w:szCs w:val="20"/>
                <w:lang w:val="en-GB"/>
              </w:rPr>
              <w:t>tions</w:t>
            </w:r>
          </w:p>
        </w:tc>
        <w:tc>
          <w:tcPr>
            <w:tcW w:w="554" w:type="pct"/>
            <w:shd w:val="clear" w:color="auto" w:fill="auto"/>
            <w:vAlign w:val="bottom"/>
          </w:tcPr>
          <w:p w14:paraId="0409F26E" w14:textId="7E4F23D0" w:rsidR="00587444"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82</w:t>
            </w:r>
            <w:r w:rsidR="00587444" w:rsidRPr="00CF7D02">
              <w:rPr>
                <w:rFonts w:ascii="Arial" w:hAnsi="Arial" w:cs="Arial"/>
                <w:color w:val="000000"/>
                <w:sz w:val="20"/>
                <w:szCs w:val="20"/>
                <w:lang w:val="hr-HR"/>
              </w:rPr>
              <w:t>-</w:t>
            </w:r>
            <w:r w:rsidRPr="00CF7D02">
              <w:rPr>
                <w:rFonts w:ascii="Arial" w:hAnsi="Arial" w:cs="Arial"/>
                <w:color w:val="000000"/>
                <w:sz w:val="20"/>
                <w:szCs w:val="20"/>
                <w:lang w:val="hr-HR"/>
              </w:rPr>
              <w:t>226</w:t>
            </w:r>
          </w:p>
        </w:tc>
      </w:tr>
      <w:tr w:rsidR="00587444" w:rsidRPr="00587444" w14:paraId="57497786" w14:textId="77777777" w:rsidTr="00DD69E7">
        <w:trPr>
          <w:trHeight w:val="284"/>
        </w:trPr>
        <w:tc>
          <w:tcPr>
            <w:tcW w:w="4446" w:type="pct"/>
            <w:vAlign w:val="bottom"/>
          </w:tcPr>
          <w:p w14:paraId="5A199BA5" w14:textId="77777777" w:rsidR="00587444" w:rsidRPr="00587444" w:rsidRDefault="00587444" w:rsidP="00587444">
            <w:pPr>
              <w:suppressAutoHyphens w:val="0"/>
              <w:autoSpaceDE w:val="0"/>
              <w:adjustRightInd w:val="0"/>
              <w:spacing w:line="320" w:lineRule="exact"/>
              <w:rPr>
                <w:rFonts w:ascii="Arial" w:hAnsi="Arial" w:cs="Arial"/>
                <w:sz w:val="20"/>
                <w:szCs w:val="20"/>
                <w:lang w:val="en-GB"/>
              </w:rPr>
            </w:pPr>
            <w:r w:rsidRPr="00587444">
              <w:rPr>
                <w:rFonts w:ascii="Arial" w:hAnsi="Arial" w:cs="Arial"/>
                <w:sz w:val="20"/>
                <w:szCs w:val="20"/>
                <w:lang w:val="en-GB"/>
              </w:rPr>
              <w:t>Appendix - Financial Performance of the HKO Group</w:t>
            </w:r>
          </w:p>
        </w:tc>
        <w:tc>
          <w:tcPr>
            <w:tcW w:w="554" w:type="pct"/>
            <w:shd w:val="clear" w:color="auto" w:fill="auto"/>
            <w:vAlign w:val="bottom"/>
          </w:tcPr>
          <w:p w14:paraId="2374EA33" w14:textId="52312D30" w:rsidR="00587444"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227</w:t>
            </w:r>
            <w:r w:rsidR="00587444" w:rsidRPr="00CF7D02">
              <w:rPr>
                <w:rFonts w:ascii="Arial" w:hAnsi="Arial" w:cs="Arial"/>
                <w:color w:val="000000"/>
                <w:sz w:val="20"/>
                <w:szCs w:val="20"/>
                <w:lang w:val="hr-HR"/>
              </w:rPr>
              <w:t>-</w:t>
            </w:r>
            <w:r w:rsidRPr="00CF7D02">
              <w:rPr>
                <w:rFonts w:ascii="Arial" w:hAnsi="Arial" w:cs="Arial"/>
                <w:color w:val="000000"/>
                <w:sz w:val="20"/>
                <w:szCs w:val="20"/>
                <w:lang w:val="hr-HR"/>
              </w:rPr>
              <w:t>230</w:t>
            </w:r>
          </w:p>
        </w:tc>
      </w:tr>
    </w:tbl>
    <w:p w14:paraId="387B3715" w14:textId="77777777" w:rsidR="00587444" w:rsidRPr="00587444" w:rsidRDefault="00587444" w:rsidP="00587444">
      <w:pPr>
        <w:suppressAutoHyphens w:val="0"/>
        <w:autoSpaceDN/>
        <w:rPr>
          <w:rFonts w:ascii="Arial" w:hAnsi="Arial" w:cs="Arial"/>
          <w:sz w:val="20"/>
          <w:szCs w:val="20"/>
          <w:lang w:val="en-GB"/>
        </w:rPr>
      </w:pPr>
    </w:p>
    <w:p w14:paraId="69FCED94" w14:textId="77777777" w:rsidR="00587444" w:rsidRPr="00587444" w:rsidRDefault="00587444" w:rsidP="00587444">
      <w:pPr>
        <w:suppressAutoHyphens w:val="0"/>
        <w:autoSpaceDN/>
        <w:rPr>
          <w:rFonts w:ascii="Arial" w:hAnsi="Arial" w:cs="Arial"/>
          <w:sz w:val="20"/>
          <w:szCs w:val="20"/>
          <w:lang w:val="en-GB"/>
        </w:rPr>
      </w:pPr>
    </w:p>
    <w:p w14:paraId="27333583" w14:textId="77777777" w:rsidR="00587444" w:rsidRPr="00587444" w:rsidRDefault="00587444" w:rsidP="00587444">
      <w:pPr>
        <w:suppressAutoHyphens w:val="0"/>
        <w:autoSpaceDN/>
        <w:rPr>
          <w:rFonts w:ascii="Arial" w:hAnsi="Arial" w:cs="Arial"/>
          <w:sz w:val="20"/>
          <w:szCs w:val="20"/>
          <w:lang w:val="en-GB"/>
        </w:rPr>
      </w:pPr>
    </w:p>
    <w:p w14:paraId="7298A7E5" w14:textId="77777777" w:rsidR="00587444" w:rsidRPr="00587444" w:rsidRDefault="00587444" w:rsidP="00587444">
      <w:pPr>
        <w:keepNext/>
        <w:suppressAutoHyphens w:val="0"/>
        <w:autoSpaceDN/>
        <w:jc w:val="both"/>
        <w:rPr>
          <w:rFonts w:ascii="Arial" w:hAnsi="Arial" w:cs="Arial"/>
          <w:sz w:val="20"/>
          <w:szCs w:val="20"/>
          <w:lang w:val="en-GB"/>
        </w:rPr>
        <w:sectPr w:rsidR="00587444" w:rsidRPr="00587444" w:rsidSect="00DD69E7">
          <w:headerReference w:type="default" r:id="rId50"/>
          <w:footerReference w:type="default" r:id="rId51"/>
          <w:pgSz w:w="11907" w:h="16840" w:code="9"/>
          <w:pgMar w:top="457" w:right="992" w:bottom="1134" w:left="1418" w:header="851" w:footer="851" w:gutter="0"/>
          <w:pgNumType w:start="53"/>
          <w:cols w:space="720"/>
          <w:noEndnote/>
        </w:sectPr>
      </w:pPr>
    </w:p>
    <w:p w14:paraId="656DFD11"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bookmarkStart w:id="87" w:name="_Hlk130201805"/>
      <w:r w:rsidRPr="00587444">
        <w:rPr>
          <w:rFonts w:ascii="Arial" w:hAnsi="Arial" w:cs="Arial"/>
          <w:color w:val="222222"/>
          <w:sz w:val="20"/>
          <w:szCs w:val="20"/>
          <w:lang w:val="en"/>
        </w:rPr>
        <w:lastRenderedPageBreak/>
        <w:t xml:space="preserve">The Management Board of the Croatian Bank for Reconstruction and Development (“HBOR” or “the Bank”) is required to prepare separate and consolidated financial statements for each financial year which give a true and fair view of the financial position of the Bank and Group of the Croatian Bank for Reconstruction and Development (“the Group”) and of the results of their operations and cash flows, in accordance with applicable accounting standards, and is responsible for maintaining proper accounting records to enable the preparation of such financial statements at any time. </w:t>
      </w:r>
    </w:p>
    <w:p w14:paraId="47925F33"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p>
    <w:p w14:paraId="555B0231"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r w:rsidRPr="00587444">
        <w:rPr>
          <w:rFonts w:ascii="Arial" w:hAnsi="Arial" w:cs="Arial"/>
          <w:color w:val="222222"/>
          <w:sz w:val="20"/>
          <w:szCs w:val="20"/>
          <w:lang w:val="en"/>
        </w:rPr>
        <w:t xml:space="preserve">The Management Board has a general responsibility for taking such steps as are reasonably available to it to safeguard the assets of the Bank and the Group and to prevent and detect fraud and other irregularities.  </w:t>
      </w:r>
    </w:p>
    <w:p w14:paraId="1F6FE366"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r w:rsidRPr="00587444">
        <w:rPr>
          <w:rFonts w:ascii="Arial" w:hAnsi="Arial" w:cs="Arial"/>
          <w:color w:val="222222"/>
          <w:sz w:val="20"/>
          <w:szCs w:val="20"/>
          <w:lang w:val="en"/>
        </w:rPr>
        <w:tab/>
      </w:r>
    </w:p>
    <w:p w14:paraId="2273927A"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r w:rsidRPr="00587444">
        <w:rPr>
          <w:rFonts w:ascii="Arial" w:hAnsi="Arial" w:cs="Arial"/>
          <w:color w:val="222222"/>
          <w:sz w:val="20"/>
          <w:szCs w:val="20"/>
          <w:lang w:val="en"/>
        </w:rPr>
        <w:t xml:space="preserve">The Management Board is responsible for selecting suitable accounting policies to conform with applicable accounting standards and then apply them consistently; making judgments and estimates that are reasonable and prudent; and preparing the financial statements on a going concern basis unless it is inappropriate to presume that the Bank and the Group will continue in business. </w:t>
      </w:r>
    </w:p>
    <w:p w14:paraId="46C724AB"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p>
    <w:p w14:paraId="60D67F7F"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000000"/>
          <w:sz w:val="20"/>
          <w:szCs w:val="20"/>
        </w:rPr>
      </w:pPr>
      <w:r w:rsidRPr="00587444">
        <w:rPr>
          <w:rFonts w:ascii="Arial" w:hAnsi="Arial" w:cs="Arial"/>
          <w:color w:val="222222"/>
          <w:sz w:val="20"/>
          <w:szCs w:val="20"/>
          <w:lang w:val="en"/>
        </w:rPr>
        <w:t>The Management Board is responsible for submission of its Annual Report to the Supervisory Board, after which the Supervisory Board submits it for approval to the Parliament of the Republic of Croatia.</w:t>
      </w:r>
    </w:p>
    <w:p w14:paraId="1FE62100"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000000"/>
          <w:sz w:val="20"/>
          <w:szCs w:val="20"/>
        </w:rPr>
      </w:pPr>
    </w:p>
    <w:p w14:paraId="5A8CCC1F" w14:textId="7D0E99A2" w:rsidR="00587444" w:rsidRPr="00CF7D02"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r w:rsidRPr="00587444">
        <w:rPr>
          <w:rFonts w:ascii="Arial" w:hAnsi="Arial" w:cs="Arial"/>
          <w:color w:val="222222"/>
          <w:sz w:val="20"/>
          <w:szCs w:val="20"/>
          <w:lang w:val="en"/>
        </w:rPr>
        <w:t xml:space="preserve">The separate and consolidated financial statements set out on pages </w:t>
      </w:r>
      <w:r w:rsidR="00807811" w:rsidRPr="00CF7D02">
        <w:rPr>
          <w:rFonts w:ascii="Arial" w:hAnsi="Arial" w:cs="Arial"/>
          <w:color w:val="222222"/>
          <w:sz w:val="20"/>
          <w:szCs w:val="20"/>
          <w:lang w:val="en"/>
        </w:rPr>
        <w:t>72</w:t>
      </w:r>
      <w:r w:rsidRPr="00CF7D02">
        <w:rPr>
          <w:rFonts w:ascii="Arial" w:hAnsi="Arial" w:cs="Arial"/>
          <w:color w:val="222222"/>
          <w:sz w:val="20"/>
          <w:szCs w:val="20"/>
          <w:lang w:val="en"/>
        </w:rPr>
        <w:t xml:space="preserve"> to </w:t>
      </w:r>
      <w:r w:rsidR="00A547CE" w:rsidRPr="00CF7D02">
        <w:rPr>
          <w:rFonts w:ascii="Arial" w:hAnsi="Arial" w:cs="Arial"/>
          <w:color w:val="222222"/>
          <w:sz w:val="20"/>
          <w:szCs w:val="20"/>
          <w:lang w:val="en"/>
        </w:rPr>
        <w:t>226</w:t>
      </w:r>
      <w:r w:rsidRPr="00CF7D02">
        <w:rPr>
          <w:rFonts w:ascii="Arial" w:hAnsi="Arial" w:cs="Arial"/>
          <w:color w:val="222222"/>
          <w:sz w:val="20"/>
          <w:szCs w:val="20"/>
          <w:lang w:val="en"/>
        </w:rPr>
        <w:t xml:space="preserve"> were </w:t>
      </w:r>
      <w:proofErr w:type="spellStart"/>
      <w:r w:rsidRPr="00CF7D02">
        <w:rPr>
          <w:rFonts w:ascii="Arial" w:hAnsi="Arial" w:cs="Arial"/>
          <w:color w:val="222222"/>
          <w:sz w:val="20"/>
          <w:szCs w:val="20"/>
          <w:lang w:val="en"/>
        </w:rPr>
        <w:t>authorised</w:t>
      </w:r>
      <w:proofErr w:type="spellEnd"/>
      <w:r w:rsidRPr="00CF7D02">
        <w:rPr>
          <w:rFonts w:ascii="Arial" w:hAnsi="Arial" w:cs="Arial"/>
          <w:color w:val="222222"/>
          <w:sz w:val="20"/>
          <w:szCs w:val="20"/>
          <w:lang w:val="en"/>
        </w:rPr>
        <w:t xml:space="preserve"> by the Management Board on 2</w:t>
      </w:r>
      <w:r w:rsidR="00E35E39">
        <w:rPr>
          <w:rFonts w:ascii="Arial" w:hAnsi="Arial" w:cs="Arial"/>
          <w:color w:val="222222"/>
          <w:sz w:val="20"/>
          <w:szCs w:val="20"/>
          <w:lang w:val="en"/>
        </w:rPr>
        <w:t>3</w:t>
      </w:r>
      <w:r w:rsidRPr="00CF7D02">
        <w:rPr>
          <w:rFonts w:ascii="Arial" w:hAnsi="Arial" w:cs="Arial"/>
          <w:color w:val="222222"/>
          <w:sz w:val="20"/>
          <w:szCs w:val="20"/>
          <w:lang w:val="en"/>
        </w:rPr>
        <w:t xml:space="preserve"> March 2023 for issue to the Supervisory Board and are signed below to signify this.</w:t>
      </w:r>
    </w:p>
    <w:p w14:paraId="667FBA45" w14:textId="77777777" w:rsidR="00587444" w:rsidRPr="00CF7D02"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r w:rsidRPr="00CF7D02">
        <w:rPr>
          <w:rFonts w:ascii="Arial" w:hAnsi="Arial" w:cs="Arial"/>
          <w:color w:val="222222"/>
          <w:sz w:val="20"/>
          <w:szCs w:val="20"/>
          <w:lang w:val="en"/>
        </w:rPr>
        <w:tab/>
      </w:r>
    </w:p>
    <w:p w14:paraId="4D19D051" w14:textId="1EE7F2E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r w:rsidRPr="00CF7D02">
        <w:rPr>
          <w:rFonts w:ascii="Arial" w:hAnsi="Arial" w:cs="Arial"/>
          <w:color w:val="222222"/>
          <w:sz w:val="20"/>
          <w:szCs w:val="20"/>
          <w:lang w:val="en"/>
        </w:rPr>
        <w:t xml:space="preserve">The Management Board is also responsible for the preparation and content of the Management Report and Statement on the Code of Corporate Governance Application as required by the Croatian Accounting Law, and other information (together “other information”). The Management Report presented on pages </w:t>
      </w:r>
      <w:r w:rsidR="00807811" w:rsidRPr="00CF7D02">
        <w:rPr>
          <w:rFonts w:ascii="Arial" w:hAnsi="Arial" w:cs="Arial"/>
          <w:color w:val="222222"/>
          <w:sz w:val="20"/>
          <w:szCs w:val="20"/>
          <w:lang w:val="en"/>
        </w:rPr>
        <w:t>4</w:t>
      </w:r>
      <w:r w:rsidRPr="00CF7D02">
        <w:rPr>
          <w:rFonts w:ascii="Arial" w:hAnsi="Arial" w:cs="Arial"/>
          <w:color w:val="222222"/>
          <w:sz w:val="20"/>
          <w:szCs w:val="20"/>
          <w:lang w:val="en"/>
        </w:rPr>
        <w:t xml:space="preserve"> to </w:t>
      </w:r>
      <w:r w:rsidR="00807811" w:rsidRPr="00CF7D02">
        <w:rPr>
          <w:rFonts w:ascii="Arial" w:hAnsi="Arial" w:cs="Arial"/>
          <w:color w:val="222222"/>
          <w:sz w:val="20"/>
          <w:szCs w:val="20"/>
          <w:lang w:val="en"/>
        </w:rPr>
        <w:t>5</w:t>
      </w:r>
      <w:r w:rsidRPr="00CF7D02">
        <w:rPr>
          <w:rFonts w:ascii="Arial" w:hAnsi="Arial" w:cs="Arial"/>
          <w:color w:val="222222"/>
          <w:sz w:val="20"/>
          <w:szCs w:val="20"/>
          <w:lang w:val="en"/>
        </w:rPr>
        <w:t xml:space="preserve">, Statement on the Code of Corporate Governance Application presented on pages </w:t>
      </w:r>
      <w:r w:rsidR="00807811" w:rsidRPr="00CF7D02">
        <w:rPr>
          <w:rFonts w:ascii="Arial" w:hAnsi="Arial" w:cs="Arial"/>
          <w:color w:val="222222"/>
          <w:sz w:val="20"/>
          <w:szCs w:val="20"/>
          <w:lang w:val="en"/>
        </w:rPr>
        <w:t>6</w:t>
      </w:r>
      <w:r w:rsidRPr="00CF7D02">
        <w:rPr>
          <w:rFonts w:ascii="Arial" w:hAnsi="Arial" w:cs="Arial"/>
          <w:color w:val="222222"/>
          <w:sz w:val="20"/>
          <w:szCs w:val="20"/>
          <w:lang w:val="en"/>
        </w:rPr>
        <w:t xml:space="preserve"> to </w:t>
      </w:r>
      <w:r w:rsidR="00807811" w:rsidRPr="00CF7D02">
        <w:rPr>
          <w:rFonts w:ascii="Arial" w:hAnsi="Arial" w:cs="Arial"/>
          <w:color w:val="222222"/>
          <w:sz w:val="20"/>
          <w:szCs w:val="20"/>
          <w:lang w:val="en"/>
        </w:rPr>
        <w:t>9</w:t>
      </w:r>
      <w:r w:rsidRPr="00CF7D02">
        <w:rPr>
          <w:rFonts w:ascii="Arial" w:hAnsi="Arial" w:cs="Arial"/>
          <w:color w:val="222222"/>
          <w:sz w:val="20"/>
          <w:szCs w:val="20"/>
          <w:lang w:val="en"/>
        </w:rPr>
        <w:t xml:space="preserve"> and other information presented on pages </w:t>
      </w:r>
      <w:r w:rsidR="00807811" w:rsidRPr="00CF7D02">
        <w:rPr>
          <w:rFonts w:ascii="Arial" w:hAnsi="Arial" w:cs="Arial"/>
          <w:color w:val="222222"/>
          <w:sz w:val="20"/>
          <w:szCs w:val="20"/>
          <w:lang w:val="en"/>
        </w:rPr>
        <w:t>10</w:t>
      </w:r>
      <w:r w:rsidRPr="00CF7D02">
        <w:rPr>
          <w:rFonts w:ascii="Arial" w:hAnsi="Arial" w:cs="Arial"/>
          <w:color w:val="222222"/>
          <w:sz w:val="20"/>
          <w:szCs w:val="20"/>
          <w:lang w:val="en"/>
        </w:rPr>
        <w:t xml:space="preserve"> to </w:t>
      </w:r>
      <w:r w:rsidR="00807811" w:rsidRPr="00CF7D02">
        <w:rPr>
          <w:rFonts w:ascii="Arial" w:hAnsi="Arial" w:cs="Arial"/>
          <w:color w:val="222222"/>
          <w:sz w:val="20"/>
          <w:szCs w:val="20"/>
          <w:lang w:val="en"/>
        </w:rPr>
        <w:t>60</w:t>
      </w:r>
      <w:r w:rsidRPr="00CF7D02">
        <w:rPr>
          <w:rFonts w:ascii="Arial" w:hAnsi="Arial" w:cs="Arial"/>
          <w:color w:val="222222"/>
          <w:sz w:val="20"/>
          <w:szCs w:val="20"/>
          <w:lang w:val="en"/>
        </w:rPr>
        <w:t xml:space="preserve"> were approved by the Management Board on 2</w:t>
      </w:r>
      <w:r w:rsidR="00E35E39">
        <w:rPr>
          <w:rFonts w:ascii="Arial" w:hAnsi="Arial" w:cs="Arial"/>
          <w:color w:val="222222"/>
          <w:sz w:val="20"/>
          <w:szCs w:val="20"/>
          <w:lang w:val="en"/>
        </w:rPr>
        <w:t>3</w:t>
      </w:r>
      <w:r w:rsidRPr="00CF7D02">
        <w:rPr>
          <w:rFonts w:ascii="Arial" w:hAnsi="Arial" w:cs="Arial"/>
          <w:color w:val="222222"/>
          <w:sz w:val="20"/>
          <w:szCs w:val="20"/>
          <w:lang w:val="en"/>
        </w:rPr>
        <w:t xml:space="preserve"> March 202</w:t>
      </w:r>
      <w:r w:rsidR="00CD5024" w:rsidRPr="00CF7D02">
        <w:rPr>
          <w:rFonts w:ascii="Arial" w:hAnsi="Arial" w:cs="Arial"/>
          <w:color w:val="222222"/>
          <w:sz w:val="20"/>
          <w:szCs w:val="20"/>
          <w:lang w:val="en"/>
        </w:rPr>
        <w:t>3</w:t>
      </w:r>
      <w:r w:rsidRPr="00CF7D02">
        <w:rPr>
          <w:rFonts w:ascii="Arial" w:hAnsi="Arial" w:cs="Arial"/>
          <w:color w:val="222222"/>
          <w:sz w:val="20"/>
          <w:szCs w:val="20"/>
          <w:lang w:val="en"/>
        </w:rPr>
        <w:t>.</w:t>
      </w:r>
    </w:p>
    <w:p w14:paraId="725998CD"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p>
    <w:p w14:paraId="7247E775" w14:textId="77777777" w:rsidR="00587444" w:rsidRPr="00587444" w:rsidRDefault="00587444" w:rsidP="00587444">
      <w:pPr>
        <w:suppressAutoHyphens w:val="0"/>
        <w:autoSpaceDN/>
        <w:jc w:val="both"/>
        <w:rPr>
          <w:rFonts w:ascii="Arial" w:hAnsi="Arial" w:cs="Arial"/>
          <w:sz w:val="20"/>
          <w:szCs w:val="20"/>
        </w:rPr>
      </w:pPr>
    </w:p>
    <w:p w14:paraId="4B875E6D"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000000"/>
          <w:sz w:val="20"/>
          <w:szCs w:val="20"/>
        </w:rPr>
      </w:pPr>
      <w:r w:rsidRPr="00587444">
        <w:rPr>
          <w:rFonts w:ascii="Arial" w:hAnsi="Arial" w:cs="Arial"/>
          <w:color w:val="000000"/>
          <w:sz w:val="20"/>
          <w:szCs w:val="20"/>
        </w:rPr>
        <w:t xml:space="preserve">Signed on behalf of the Croatian Bank for Reconstruction and Development  </w:t>
      </w:r>
    </w:p>
    <w:p w14:paraId="233E5D3B" w14:textId="77777777" w:rsidR="00587444" w:rsidRPr="00587444" w:rsidRDefault="00587444" w:rsidP="00587444">
      <w:pPr>
        <w:suppressAutoHyphens w:val="0"/>
        <w:autoSpaceDN/>
        <w:rPr>
          <w:rFonts w:ascii="Arial" w:hAnsi="Arial" w:cs="Arial"/>
          <w:sz w:val="20"/>
          <w:szCs w:val="20"/>
        </w:rPr>
      </w:pPr>
    </w:p>
    <w:p w14:paraId="2A8B6DE9" w14:textId="0387A0A0" w:rsidR="00587444" w:rsidRDefault="00587444" w:rsidP="00587444">
      <w:pPr>
        <w:suppressAutoHyphens w:val="0"/>
        <w:autoSpaceDN/>
        <w:rPr>
          <w:rFonts w:ascii="Arial" w:hAnsi="Arial" w:cs="Arial"/>
          <w:sz w:val="20"/>
          <w:szCs w:val="20"/>
        </w:rPr>
      </w:pPr>
    </w:p>
    <w:p w14:paraId="0529C211" w14:textId="77777777" w:rsidR="00CF7D02" w:rsidRPr="00587444" w:rsidRDefault="00CF7D02" w:rsidP="00587444">
      <w:pPr>
        <w:suppressAutoHyphens w:val="0"/>
        <w:autoSpaceDN/>
        <w:rPr>
          <w:rFonts w:ascii="Arial" w:hAnsi="Arial" w:cs="Arial"/>
          <w:sz w:val="20"/>
          <w:szCs w:val="20"/>
        </w:rPr>
      </w:pPr>
    </w:p>
    <w:p w14:paraId="42045671" w14:textId="77777777" w:rsidR="00587444" w:rsidRPr="00587444" w:rsidRDefault="00587444" w:rsidP="00587444">
      <w:pPr>
        <w:suppressAutoHyphens w:val="0"/>
        <w:autoSpaceDN/>
        <w:rPr>
          <w:rFonts w:ascii="Arial" w:hAnsi="Arial" w:cs="Arial"/>
          <w:sz w:val="20"/>
          <w:szCs w:val="20"/>
        </w:rPr>
      </w:pPr>
    </w:p>
    <w:tbl>
      <w:tblPr>
        <w:tblW w:w="3261" w:type="dxa"/>
        <w:tblInd w:w="6256" w:type="dxa"/>
        <w:tblLook w:val="04A0" w:firstRow="1" w:lastRow="0" w:firstColumn="1" w:lastColumn="0" w:noHBand="0" w:noVBand="1"/>
      </w:tblPr>
      <w:tblGrid>
        <w:gridCol w:w="3261"/>
      </w:tblGrid>
      <w:tr w:rsidR="00587444" w:rsidRPr="00587444" w14:paraId="11EF9D84" w14:textId="77777777" w:rsidTr="00CF7D02">
        <w:trPr>
          <w:trHeight w:hRule="exact" w:val="284"/>
        </w:trPr>
        <w:tc>
          <w:tcPr>
            <w:tcW w:w="3261" w:type="dxa"/>
            <w:vAlign w:val="bottom"/>
            <w:hideMark/>
          </w:tcPr>
          <w:p w14:paraId="3B74FBE0" w14:textId="77777777" w:rsidR="00587444" w:rsidRPr="00587444" w:rsidRDefault="00587444" w:rsidP="00587444">
            <w:pPr>
              <w:suppressAutoHyphens w:val="0"/>
              <w:autoSpaceDN/>
              <w:spacing w:line="256" w:lineRule="auto"/>
              <w:jc w:val="center"/>
              <w:rPr>
                <w:rFonts w:ascii="Arial" w:hAnsi="Arial" w:cs="Arial"/>
                <w:sz w:val="20"/>
                <w:szCs w:val="20"/>
              </w:rPr>
            </w:pPr>
            <w:r w:rsidRPr="00587444">
              <w:rPr>
                <w:rFonts w:ascii="Arial" w:hAnsi="Arial" w:cs="Arial"/>
                <w:sz w:val="20"/>
                <w:szCs w:val="20"/>
              </w:rPr>
              <w:t>________________________</w:t>
            </w:r>
          </w:p>
        </w:tc>
      </w:tr>
      <w:tr w:rsidR="00587444" w:rsidRPr="00587444" w14:paraId="65F2703F" w14:textId="77777777" w:rsidTr="00CF7D02">
        <w:trPr>
          <w:trHeight w:val="269"/>
        </w:trPr>
        <w:tc>
          <w:tcPr>
            <w:tcW w:w="3261" w:type="dxa"/>
            <w:hideMark/>
          </w:tcPr>
          <w:p w14:paraId="307A7BF7" w14:textId="77777777" w:rsidR="00587444" w:rsidRPr="00587444" w:rsidRDefault="00587444" w:rsidP="00587444">
            <w:pPr>
              <w:suppressAutoHyphens w:val="0"/>
              <w:autoSpaceDN/>
              <w:spacing w:line="256" w:lineRule="auto"/>
              <w:jc w:val="center"/>
              <w:rPr>
                <w:rFonts w:ascii="Arial" w:hAnsi="Arial" w:cs="Arial"/>
                <w:sz w:val="20"/>
                <w:szCs w:val="20"/>
              </w:rPr>
            </w:pPr>
            <w:r w:rsidRPr="00587444">
              <w:rPr>
                <w:rFonts w:ascii="Arial" w:hAnsi="Arial" w:cs="Arial"/>
                <w:sz w:val="20"/>
                <w:szCs w:val="20"/>
              </w:rPr>
              <w:t>Marin Pranjić</w:t>
            </w:r>
            <w:r w:rsidRPr="00587444" w:rsidDel="00093831">
              <w:rPr>
                <w:rFonts w:ascii="Arial" w:hAnsi="Arial" w:cs="Arial"/>
                <w:sz w:val="20"/>
                <w:szCs w:val="20"/>
              </w:rPr>
              <w:t xml:space="preserve"> </w:t>
            </w:r>
          </w:p>
        </w:tc>
      </w:tr>
      <w:tr w:rsidR="00587444" w:rsidRPr="00587444" w14:paraId="5A025AD6" w14:textId="77777777" w:rsidTr="00CF7D02">
        <w:trPr>
          <w:trHeight w:hRule="exact" w:val="145"/>
        </w:trPr>
        <w:tc>
          <w:tcPr>
            <w:tcW w:w="3261" w:type="dxa"/>
          </w:tcPr>
          <w:p w14:paraId="20C8FF99" w14:textId="77777777" w:rsidR="00587444" w:rsidRPr="00587444" w:rsidRDefault="00587444" w:rsidP="00587444">
            <w:pPr>
              <w:suppressAutoHyphens w:val="0"/>
              <w:autoSpaceDN/>
              <w:spacing w:line="256" w:lineRule="auto"/>
              <w:jc w:val="center"/>
              <w:rPr>
                <w:rFonts w:ascii="Arial" w:hAnsi="Arial" w:cs="Arial"/>
                <w:sz w:val="20"/>
                <w:szCs w:val="20"/>
              </w:rPr>
            </w:pPr>
          </w:p>
        </w:tc>
      </w:tr>
      <w:tr w:rsidR="00587444" w:rsidRPr="00587444" w14:paraId="33A9CE6A" w14:textId="77777777" w:rsidTr="00CF7D02">
        <w:trPr>
          <w:trHeight w:val="421"/>
        </w:trPr>
        <w:tc>
          <w:tcPr>
            <w:tcW w:w="3261" w:type="dxa"/>
            <w:hideMark/>
          </w:tcPr>
          <w:p w14:paraId="27639DCF" w14:textId="77777777" w:rsidR="00587444" w:rsidRPr="00587444" w:rsidRDefault="00587444" w:rsidP="00587444">
            <w:pPr>
              <w:suppressAutoHyphens w:val="0"/>
              <w:autoSpaceDN/>
              <w:spacing w:line="256" w:lineRule="auto"/>
              <w:jc w:val="center"/>
              <w:rPr>
                <w:rFonts w:ascii="Arial" w:hAnsi="Arial" w:cs="Arial"/>
                <w:b/>
                <w:sz w:val="20"/>
                <w:szCs w:val="20"/>
              </w:rPr>
            </w:pPr>
            <w:r w:rsidRPr="00587444">
              <w:rPr>
                <w:rFonts w:ascii="Arial" w:hAnsi="Arial" w:cs="Arial"/>
                <w:b/>
                <w:sz w:val="20"/>
                <w:szCs w:val="20"/>
              </w:rPr>
              <w:t xml:space="preserve">Accounting Division Executive Director </w:t>
            </w:r>
          </w:p>
        </w:tc>
      </w:tr>
    </w:tbl>
    <w:p w14:paraId="14608589" w14:textId="77777777" w:rsidR="00587444" w:rsidRPr="00587444" w:rsidRDefault="00587444" w:rsidP="00587444">
      <w:pPr>
        <w:suppressAutoHyphens w:val="0"/>
        <w:autoSpaceDN/>
        <w:rPr>
          <w:rFonts w:ascii="Arial" w:hAnsi="Arial" w:cs="Arial"/>
          <w:sz w:val="20"/>
          <w:szCs w:val="20"/>
        </w:rPr>
      </w:pPr>
    </w:p>
    <w:p w14:paraId="55EFA81E" w14:textId="033F51F4" w:rsidR="00587444" w:rsidRDefault="00587444" w:rsidP="00587444">
      <w:pPr>
        <w:suppressAutoHyphens w:val="0"/>
        <w:autoSpaceDN/>
        <w:rPr>
          <w:rFonts w:ascii="Arial" w:hAnsi="Arial" w:cs="Arial"/>
          <w:sz w:val="20"/>
          <w:szCs w:val="20"/>
        </w:rPr>
      </w:pPr>
    </w:p>
    <w:p w14:paraId="2F379CD0" w14:textId="77777777" w:rsidR="00CF7D02" w:rsidRDefault="00CF7D02" w:rsidP="00587444">
      <w:pPr>
        <w:suppressAutoHyphens w:val="0"/>
        <w:autoSpaceDN/>
        <w:rPr>
          <w:rFonts w:ascii="Arial" w:hAnsi="Arial" w:cs="Arial"/>
          <w:sz w:val="20"/>
          <w:szCs w:val="20"/>
        </w:rPr>
      </w:pPr>
    </w:p>
    <w:p w14:paraId="2E0EA792" w14:textId="77777777" w:rsidR="00CF7D02" w:rsidRPr="00587444" w:rsidRDefault="00CF7D02" w:rsidP="00587444">
      <w:pPr>
        <w:suppressAutoHyphens w:val="0"/>
        <w:autoSpaceDN/>
        <w:rPr>
          <w:rFonts w:ascii="Arial" w:hAnsi="Arial" w:cs="Arial"/>
          <w:sz w:val="20"/>
          <w:szCs w:val="20"/>
        </w:rPr>
      </w:pPr>
    </w:p>
    <w:tbl>
      <w:tblPr>
        <w:tblW w:w="9525" w:type="dxa"/>
        <w:tblLayout w:type="fixed"/>
        <w:tblLook w:val="04A0" w:firstRow="1" w:lastRow="0" w:firstColumn="1" w:lastColumn="0" w:noHBand="0" w:noVBand="1"/>
      </w:tblPr>
      <w:tblGrid>
        <w:gridCol w:w="3175"/>
        <w:gridCol w:w="3175"/>
        <w:gridCol w:w="3175"/>
      </w:tblGrid>
      <w:tr w:rsidR="00CF7D02" w:rsidRPr="00587444" w14:paraId="26826E8C" w14:textId="263D9C6F" w:rsidTr="00CF7D02">
        <w:trPr>
          <w:trHeight w:hRule="exact" w:val="252"/>
        </w:trPr>
        <w:tc>
          <w:tcPr>
            <w:tcW w:w="3175" w:type="dxa"/>
            <w:vAlign w:val="bottom"/>
          </w:tcPr>
          <w:p w14:paraId="243A9A68" w14:textId="2766CC00"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______________________</w:t>
            </w:r>
          </w:p>
        </w:tc>
        <w:tc>
          <w:tcPr>
            <w:tcW w:w="3175" w:type="dxa"/>
            <w:vAlign w:val="bottom"/>
          </w:tcPr>
          <w:p w14:paraId="63CE618E" w14:textId="77777777"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______________________</w:t>
            </w:r>
          </w:p>
        </w:tc>
        <w:tc>
          <w:tcPr>
            <w:tcW w:w="3175" w:type="dxa"/>
            <w:vAlign w:val="bottom"/>
          </w:tcPr>
          <w:p w14:paraId="6C9B0537" w14:textId="5A1F0502"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______________________</w:t>
            </w:r>
          </w:p>
        </w:tc>
      </w:tr>
      <w:tr w:rsidR="00CF7D02" w:rsidRPr="00587444" w14:paraId="719D3D7B" w14:textId="363384B0" w:rsidTr="00CF7D02">
        <w:trPr>
          <w:trHeight w:val="238"/>
        </w:trPr>
        <w:tc>
          <w:tcPr>
            <w:tcW w:w="3175" w:type="dxa"/>
            <w:vAlign w:val="bottom"/>
          </w:tcPr>
          <w:p w14:paraId="480CA96B" w14:textId="2DACDC71"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 xml:space="preserve">Hrvoje Čuvalo, MSc </w:t>
            </w:r>
          </w:p>
        </w:tc>
        <w:tc>
          <w:tcPr>
            <w:tcW w:w="3175" w:type="dxa"/>
          </w:tcPr>
          <w:p w14:paraId="14E70DF2" w14:textId="77777777"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Alan Herjavec, MSc</w:t>
            </w:r>
          </w:p>
        </w:tc>
        <w:tc>
          <w:tcPr>
            <w:tcW w:w="3175" w:type="dxa"/>
          </w:tcPr>
          <w:p w14:paraId="0D0568C9" w14:textId="730FFB16"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Josip Pavković</w:t>
            </w:r>
          </w:p>
        </w:tc>
      </w:tr>
      <w:tr w:rsidR="00CF7D02" w:rsidRPr="00587444" w14:paraId="25EEC7A8" w14:textId="5D796075" w:rsidTr="00CF7D02">
        <w:trPr>
          <w:trHeight w:hRule="exact" w:val="128"/>
        </w:trPr>
        <w:tc>
          <w:tcPr>
            <w:tcW w:w="3175" w:type="dxa"/>
          </w:tcPr>
          <w:p w14:paraId="3EB170C2" w14:textId="77777777" w:rsidR="00CF7D02" w:rsidRPr="00587444" w:rsidRDefault="00CF7D02" w:rsidP="00CF7D02">
            <w:pPr>
              <w:suppressAutoHyphens w:val="0"/>
              <w:autoSpaceDN/>
              <w:spacing w:line="240" w:lineRule="exact"/>
              <w:jc w:val="center"/>
              <w:rPr>
                <w:rFonts w:ascii="Arial" w:hAnsi="Arial" w:cs="Arial"/>
                <w:noProof/>
                <w:color w:val="000000"/>
                <w:sz w:val="20"/>
                <w:szCs w:val="20"/>
              </w:rPr>
            </w:pPr>
          </w:p>
        </w:tc>
        <w:tc>
          <w:tcPr>
            <w:tcW w:w="3175" w:type="dxa"/>
          </w:tcPr>
          <w:p w14:paraId="6AE7CE2E" w14:textId="77777777" w:rsidR="00CF7D02" w:rsidRPr="00587444" w:rsidRDefault="00CF7D02" w:rsidP="00CF7D02">
            <w:pPr>
              <w:suppressAutoHyphens w:val="0"/>
              <w:autoSpaceDN/>
              <w:spacing w:line="240" w:lineRule="exact"/>
              <w:jc w:val="center"/>
              <w:rPr>
                <w:rFonts w:ascii="Arial" w:hAnsi="Arial" w:cs="Arial"/>
                <w:noProof/>
                <w:color w:val="000000"/>
                <w:sz w:val="20"/>
                <w:szCs w:val="20"/>
              </w:rPr>
            </w:pPr>
          </w:p>
        </w:tc>
        <w:tc>
          <w:tcPr>
            <w:tcW w:w="3175" w:type="dxa"/>
          </w:tcPr>
          <w:p w14:paraId="266D4E74" w14:textId="77777777" w:rsidR="00CF7D02" w:rsidRPr="00587444" w:rsidRDefault="00CF7D02" w:rsidP="00CF7D02">
            <w:pPr>
              <w:suppressAutoHyphens w:val="0"/>
              <w:autoSpaceDN/>
              <w:spacing w:line="240" w:lineRule="exact"/>
              <w:jc w:val="center"/>
              <w:rPr>
                <w:rFonts w:ascii="Arial" w:hAnsi="Arial" w:cs="Arial"/>
                <w:noProof/>
                <w:color w:val="000000"/>
                <w:sz w:val="20"/>
                <w:szCs w:val="20"/>
              </w:rPr>
            </w:pPr>
          </w:p>
        </w:tc>
      </w:tr>
      <w:tr w:rsidR="00CF7D02" w:rsidRPr="00587444" w14:paraId="090F54E4" w14:textId="173B02E3" w:rsidTr="00CF7D02">
        <w:trPr>
          <w:trHeight w:val="374"/>
        </w:trPr>
        <w:tc>
          <w:tcPr>
            <w:tcW w:w="3175" w:type="dxa"/>
          </w:tcPr>
          <w:p w14:paraId="5B91A21E" w14:textId="77777777"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 xml:space="preserve">President of the Management </w:t>
            </w:r>
          </w:p>
          <w:p w14:paraId="7900FC41" w14:textId="7D0550E5"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Board</w:t>
            </w:r>
          </w:p>
        </w:tc>
        <w:tc>
          <w:tcPr>
            <w:tcW w:w="3175" w:type="dxa"/>
            <w:vAlign w:val="center"/>
          </w:tcPr>
          <w:p w14:paraId="507C0E20" w14:textId="77777777"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 xml:space="preserve">Member of the </w:t>
            </w:r>
          </w:p>
          <w:p w14:paraId="4236D025" w14:textId="77777777"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Management Board</w:t>
            </w:r>
          </w:p>
        </w:tc>
        <w:tc>
          <w:tcPr>
            <w:tcW w:w="3175" w:type="dxa"/>
            <w:vAlign w:val="center"/>
          </w:tcPr>
          <w:p w14:paraId="47206145" w14:textId="77777777"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 xml:space="preserve">Member of the </w:t>
            </w:r>
          </w:p>
          <w:p w14:paraId="0010961D" w14:textId="40406BA8"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Management Board</w:t>
            </w:r>
          </w:p>
        </w:tc>
      </w:tr>
    </w:tbl>
    <w:p w14:paraId="018D6606" w14:textId="77777777" w:rsidR="00587444" w:rsidRPr="00587444" w:rsidRDefault="00587444" w:rsidP="00587444">
      <w:pPr>
        <w:suppressAutoHyphens w:val="0"/>
        <w:autoSpaceDN/>
        <w:rPr>
          <w:rFonts w:ascii="Arial" w:hAnsi="Arial" w:cs="Arial"/>
          <w:sz w:val="20"/>
          <w:szCs w:val="20"/>
        </w:rPr>
      </w:pPr>
    </w:p>
    <w:p w14:paraId="288F9CCB" w14:textId="77777777" w:rsidR="00587444" w:rsidRPr="00587444" w:rsidRDefault="00587444" w:rsidP="00587444">
      <w:pPr>
        <w:suppressAutoHyphens w:val="0"/>
        <w:autoSpaceDN/>
        <w:rPr>
          <w:rFonts w:ascii="Arial" w:hAnsi="Arial" w:cs="Arial"/>
          <w:sz w:val="20"/>
          <w:szCs w:val="20"/>
        </w:rPr>
      </w:pPr>
    </w:p>
    <w:p w14:paraId="287EDC75" w14:textId="77777777" w:rsidR="00587444" w:rsidRPr="00587444" w:rsidRDefault="00587444" w:rsidP="00587444">
      <w:pPr>
        <w:suppressAutoHyphens w:val="0"/>
        <w:autoSpaceDN/>
        <w:rPr>
          <w:rFonts w:ascii="Arial" w:hAnsi="Arial" w:cs="Arial"/>
          <w:sz w:val="20"/>
          <w:szCs w:val="20"/>
        </w:rPr>
      </w:pPr>
    </w:p>
    <w:p w14:paraId="534952AE" w14:textId="113901F2" w:rsidR="00587444" w:rsidRDefault="00587444" w:rsidP="006C405D">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rPr>
          <w:rFonts w:ascii="Arial" w:hAnsi="Arial" w:cs="Arial"/>
          <w:color w:val="000000"/>
          <w:sz w:val="20"/>
          <w:szCs w:val="20"/>
        </w:rPr>
        <w:sectPr w:rsidR="00587444" w:rsidSect="00DD69E7">
          <w:headerReference w:type="default" r:id="rId52"/>
          <w:footerReference w:type="default" r:id="rId53"/>
          <w:pgSz w:w="11907" w:h="16840" w:code="9"/>
          <w:pgMar w:top="664" w:right="992" w:bottom="1134" w:left="1418" w:header="851" w:footer="851" w:gutter="0"/>
          <w:pgNumType w:start="54"/>
          <w:cols w:space="720"/>
          <w:noEndnote/>
        </w:sectPr>
      </w:pPr>
      <w:r w:rsidRPr="00587444">
        <w:rPr>
          <w:rFonts w:ascii="Arial" w:hAnsi="Arial" w:cs="Arial"/>
          <w:color w:val="000000"/>
          <w:sz w:val="20"/>
          <w:szCs w:val="20"/>
        </w:rPr>
        <w:t xml:space="preserve">Zagreb, </w:t>
      </w:r>
      <w:r w:rsidRPr="00587444">
        <w:rPr>
          <w:rFonts w:ascii="Arial" w:hAnsi="Arial" w:cs="Arial"/>
          <w:color w:val="222222"/>
          <w:sz w:val="20"/>
          <w:szCs w:val="20"/>
          <w:lang w:val="en"/>
        </w:rPr>
        <w:t>2</w:t>
      </w:r>
      <w:r w:rsidR="00E35E39">
        <w:rPr>
          <w:rFonts w:ascii="Arial" w:hAnsi="Arial" w:cs="Arial"/>
          <w:color w:val="222222"/>
          <w:sz w:val="20"/>
          <w:szCs w:val="20"/>
          <w:lang w:val="en"/>
        </w:rPr>
        <w:t>3</w:t>
      </w:r>
      <w:r w:rsidRPr="00587444">
        <w:rPr>
          <w:rFonts w:ascii="Arial" w:hAnsi="Arial" w:cs="Arial"/>
          <w:color w:val="000000"/>
          <w:sz w:val="20"/>
          <w:szCs w:val="20"/>
        </w:rPr>
        <w:t xml:space="preserve"> March 2023</w:t>
      </w:r>
    </w:p>
    <w:p w14:paraId="22CA1EFE" w14:textId="4086E6DB" w:rsidR="00587444" w:rsidRPr="00587444" w:rsidRDefault="00587444" w:rsidP="00587444">
      <w:pPr>
        <w:suppressAutoHyphens w:val="0"/>
        <w:autoSpaceDN/>
        <w:rPr>
          <w:rFonts w:ascii="Trebuchet MS" w:eastAsia="Calibri" w:hAnsi="Trebuchet MS"/>
          <w:b/>
          <w:bCs/>
          <w:sz w:val="20"/>
          <w:szCs w:val="20"/>
          <w:lang w:val="hr-HR"/>
        </w:rPr>
      </w:pPr>
      <w:bookmarkStart w:id="89" w:name="_Hlk129936551"/>
      <w:bookmarkStart w:id="90" w:name="_Hlk65087249"/>
      <w:bookmarkEnd w:id="87"/>
      <w:r>
        <w:rPr>
          <w:rFonts w:ascii="Trebuchet MS" w:eastAsia="Calibri" w:hAnsi="Trebuchet MS"/>
          <w:b/>
          <w:bCs/>
          <w:sz w:val="20"/>
          <w:szCs w:val="20"/>
          <w:lang w:val="hr-HR"/>
        </w:rPr>
        <w:lastRenderedPageBreak/>
        <w:t>I</w:t>
      </w:r>
      <w:r w:rsidRPr="00587444">
        <w:rPr>
          <w:rFonts w:ascii="Trebuchet MS" w:eastAsia="Calibri" w:hAnsi="Trebuchet MS"/>
          <w:b/>
          <w:bCs/>
          <w:sz w:val="20"/>
          <w:szCs w:val="20"/>
          <w:lang w:val="hr-HR"/>
        </w:rPr>
        <w:t>NDEPENDENT JOINT AUDITOR’S REPORT TO THE OWNER OF CROATIAN BANK FOR RECONSTRUCTION AND DEVELOPMENT</w:t>
      </w:r>
    </w:p>
    <w:bookmarkEnd w:id="89"/>
    <w:p w14:paraId="72BFA143" w14:textId="431F65B2" w:rsidR="00587444" w:rsidRPr="00587444" w:rsidRDefault="00587444" w:rsidP="008204AF">
      <w:pPr>
        <w:suppressAutoHyphens w:val="0"/>
        <w:autoSpaceDN/>
        <w:spacing w:before="240" w:after="24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Report on the Audit of the separate and consolidated Financial Statements</w:t>
      </w:r>
    </w:p>
    <w:p w14:paraId="3C9A71AA" w14:textId="77777777" w:rsidR="00587444" w:rsidRPr="008204AF" w:rsidRDefault="00587444" w:rsidP="008204AF">
      <w:pPr>
        <w:suppressAutoHyphens w:val="0"/>
        <w:autoSpaceDN/>
        <w:spacing w:before="240" w:after="200"/>
        <w:jc w:val="both"/>
        <w:rPr>
          <w:rFonts w:ascii="Trebuchet MS" w:hAnsi="Trebuchet MS" w:cs="Arial"/>
          <w:b/>
          <w:color w:val="000000"/>
          <w:sz w:val="20"/>
          <w:szCs w:val="20"/>
          <w:lang w:val="hr-HR" w:eastAsia="hr-HR"/>
        </w:rPr>
      </w:pPr>
      <w:r w:rsidRPr="008204AF">
        <w:rPr>
          <w:rFonts w:ascii="Trebuchet MS" w:hAnsi="Trebuchet MS" w:cs="Arial"/>
          <w:b/>
          <w:color w:val="000000"/>
          <w:sz w:val="20"/>
          <w:szCs w:val="20"/>
          <w:lang w:val="hr-HR" w:eastAsia="hr-HR"/>
        </w:rPr>
        <w:t>Opinion</w:t>
      </w:r>
    </w:p>
    <w:p w14:paraId="0C075702" w14:textId="5E3DD244" w:rsidR="00587444" w:rsidRPr="00587444" w:rsidRDefault="00587444" w:rsidP="00587444">
      <w:pPr>
        <w:suppressAutoHyphens w:val="0"/>
        <w:autoSpaceDN/>
        <w:jc w:val="both"/>
        <w:rPr>
          <w:rFonts w:ascii="Trebuchet MS" w:hAnsi="Trebuchet MS" w:cs="Arial"/>
          <w:bCs/>
          <w:color w:val="000000"/>
          <w:sz w:val="20"/>
          <w:szCs w:val="20"/>
          <w:lang w:val="en-GB" w:eastAsia="hr-HR"/>
        </w:rPr>
      </w:pPr>
      <w:r w:rsidRPr="00587444">
        <w:rPr>
          <w:rFonts w:ascii="Trebuchet MS" w:hAnsi="Trebuchet MS" w:cs="Arial"/>
          <w:bCs/>
          <w:color w:val="000000"/>
          <w:sz w:val="20"/>
          <w:szCs w:val="20"/>
          <w:lang w:val="en-GB" w:eastAsia="hr-HR"/>
        </w:rPr>
        <w:t>We have audited the</w:t>
      </w:r>
      <w:r w:rsidR="00F31FA6">
        <w:rPr>
          <w:rFonts w:ascii="Trebuchet MS" w:hAnsi="Trebuchet MS" w:cs="Arial"/>
          <w:bCs/>
          <w:color w:val="000000"/>
          <w:sz w:val="20"/>
          <w:szCs w:val="20"/>
          <w:lang w:val="en-GB" w:eastAsia="hr-HR"/>
        </w:rPr>
        <w:t xml:space="preserve"> annual</w:t>
      </w:r>
      <w:r w:rsidRPr="00587444">
        <w:rPr>
          <w:rFonts w:ascii="Trebuchet MS" w:hAnsi="Trebuchet MS" w:cs="Arial"/>
          <w:bCs/>
          <w:color w:val="000000"/>
          <w:sz w:val="20"/>
          <w:szCs w:val="20"/>
          <w:lang w:val="en-GB" w:eastAsia="hr-HR"/>
        </w:rPr>
        <w:t xml:space="preserve"> separate financial statements of Croatian Bank for Reconstruction and Development (“the Bank”) and the consolidated financial statements of the Bank and its subsidiary (“the Group”), which comprise the separate and consolidated statements of financial position of the Bank and the Group, respectively, as at 31 December 2022, and their respective separate and consolidated </w:t>
      </w:r>
      <w:r w:rsidR="00610A13" w:rsidRPr="00610A13">
        <w:rPr>
          <w:rFonts w:ascii="Trebuchet MS" w:hAnsi="Trebuchet MS" w:cs="Arial"/>
          <w:bCs/>
          <w:color w:val="000000"/>
          <w:sz w:val="20"/>
          <w:szCs w:val="20"/>
          <w:lang w:val="en-GB" w:eastAsia="hr-HR"/>
        </w:rPr>
        <w:t>statement</w:t>
      </w:r>
      <w:r w:rsidR="00610A13">
        <w:rPr>
          <w:rFonts w:ascii="Trebuchet MS" w:hAnsi="Trebuchet MS" w:cs="Arial"/>
          <w:bCs/>
          <w:color w:val="000000"/>
          <w:sz w:val="20"/>
          <w:szCs w:val="20"/>
          <w:lang w:val="en-GB" w:eastAsia="hr-HR"/>
        </w:rPr>
        <w:t>s</w:t>
      </w:r>
      <w:r w:rsidR="00610A13" w:rsidRPr="00610A13">
        <w:rPr>
          <w:rFonts w:ascii="Trebuchet MS" w:hAnsi="Trebuchet MS" w:cs="Arial"/>
          <w:bCs/>
          <w:color w:val="000000"/>
          <w:sz w:val="20"/>
          <w:szCs w:val="20"/>
          <w:lang w:val="en-GB" w:eastAsia="hr-HR"/>
        </w:rPr>
        <w:t xml:space="preserve"> of profit or loss and other comprehensive income</w:t>
      </w:r>
      <w:r w:rsidRPr="00587444">
        <w:rPr>
          <w:rFonts w:ascii="Trebuchet MS" w:hAnsi="Trebuchet MS" w:cs="Arial"/>
          <w:bCs/>
          <w:color w:val="000000"/>
          <w:sz w:val="20"/>
          <w:szCs w:val="20"/>
          <w:lang w:val="en-GB" w:eastAsia="hr-HR"/>
        </w:rPr>
        <w:t>, cash flows and changes in equity for the year then ended, and notes</w:t>
      </w:r>
      <w:r w:rsidR="00F31FA6">
        <w:rPr>
          <w:rFonts w:ascii="Trebuchet MS" w:hAnsi="Trebuchet MS" w:cs="Arial"/>
          <w:bCs/>
          <w:color w:val="000000"/>
          <w:sz w:val="20"/>
          <w:szCs w:val="20"/>
          <w:lang w:val="en-GB" w:eastAsia="hr-HR"/>
        </w:rPr>
        <w:t xml:space="preserve"> to the annual financial statements</w:t>
      </w:r>
      <w:r w:rsidRPr="00587444">
        <w:rPr>
          <w:rFonts w:ascii="Trebuchet MS" w:hAnsi="Trebuchet MS" w:cs="Arial"/>
          <w:bCs/>
          <w:color w:val="000000"/>
          <w:sz w:val="20"/>
          <w:szCs w:val="20"/>
          <w:lang w:val="en-GB" w:eastAsia="hr-HR"/>
        </w:rPr>
        <w:t>, comprising significant accounting policies</w:t>
      </w:r>
      <w:r w:rsidR="00F31FA6">
        <w:rPr>
          <w:rFonts w:ascii="Trebuchet MS" w:hAnsi="Trebuchet MS" w:cs="Arial"/>
          <w:bCs/>
          <w:color w:val="000000"/>
          <w:sz w:val="20"/>
          <w:szCs w:val="20"/>
          <w:lang w:val="en-GB" w:eastAsia="hr-HR"/>
        </w:rPr>
        <w:t>.</w:t>
      </w:r>
    </w:p>
    <w:p w14:paraId="10A1AFD0" w14:textId="77777777" w:rsidR="00587444" w:rsidRPr="00587444" w:rsidRDefault="00587444" w:rsidP="00587444">
      <w:pPr>
        <w:suppressAutoHyphens w:val="0"/>
        <w:autoSpaceDN/>
        <w:jc w:val="both"/>
        <w:rPr>
          <w:rFonts w:ascii="Trebuchet MS" w:hAnsi="Trebuchet MS" w:cs="Arial"/>
          <w:bCs/>
          <w:color w:val="000000"/>
          <w:sz w:val="20"/>
          <w:szCs w:val="20"/>
          <w:lang w:val="en-GB" w:eastAsia="hr-HR"/>
        </w:rPr>
      </w:pPr>
    </w:p>
    <w:p w14:paraId="25E26800" w14:textId="71E4B4C1" w:rsidR="00587444" w:rsidRPr="00587444" w:rsidRDefault="00587444" w:rsidP="00587444">
      <w:pPr>
        <w:suppressAutoHyphens w:val="0"/>
        <w:autoSpaceDN/>
        <w:jc w:val="both"/>
        <w:rPr>
          <w:rFonts w:ascii="Trebuchet MS" w:hAnsi="Trebuchet MS" w:cs="Arial"/>
          <w:bCs/>
          <w:color w:val="000000"/>
          <w:sz w:val="20"/>
          <w:szCs w:val="20"/>
          <w:lang w:val="en-GB" w:eastAsia="hr-HR"/>
        </w:rPr>
      </w:pPr>
      <w:r w:rsidRPr="00587444">
        <w:rPr>
          <w:rFonts w:ascii="Trebuchet MS" w:hAnsi="Trebuchet MS" w:cs="Arial"/>
          <w:bCs/>
          <w:color w:val="000000"/>
          <w:sz w:val="20"/>
          <w:szCs w:val="20"/>
          <w:lang w:val="en-GB" w:eastAsia="hr-HR"/>
        </w:rPr>
        <w:t xml:space="preserve">In our opinion, the accompanying </w:t>
      </w:r>
      <w:r w:rsidR="00F31FA6">
        <w:rPr>
          <w:rFonts w:ascii="Trebuchet MS" w:hAnsi="Trebuchet MS" w:cs="Arial"/>
          <w:bCs/>
          <w:color w:val="000000"/>
          <w:sz w:val="20"/>
          <w:szCs w:val="20"/>
          <w:lang w:val="en-GB" w:eastAsia="hr-HR"/>
        </w:rPr>
        <w:t xml:space="preserve">annual separate and consolidated </w:t>
      </w:r>
      <w:r w:rsidRPr="00587444">
        <w:rPr>
          <w:rFonts w:ascii="Trebuchet MS" w:hAnsi="Trebuchet MS" w:cs="Arial"/>
          <w:bCs/>
          <w:color w:val="000000"/>
          <w:sz w:val="20"/>
          <w:szCs w:val="20"/>
          <w:lang w:val="en-GB" w:eastAsia="hr-HR"/>
        </w:rPr>
        <w:t xml:space="preserve">financial statements give a true and fair view of the </w:t>
      </w:r>
      <w:r w:rsidR="00F31FA6">
        <w:rPr>
          <w:rFonts w:ascii="Trebuchet MS" w:hAnsi="Trebuchet MS" w:cs="Arial"/>
          <w:bCs/>
          <w:color w:val="000000"/>
          <w:sz w:val="20"/>
          <w:szCs w:val="20"/>
          <w:lang w:val="en-GB" w:eastAsia="hr-HR"/>
        </w:rPr>
        <w:t>separate</w:t>
      </w:r>
      <w:r w:rsidRPr="00587444">
        <w:rPr>
          <w:rFonts w:ascii="Trebuchet MS" w:hAnsi="Trebuchet MS" w:cs="Arial"/>
          <w:bCs/>
          <w:color w:val="000000"/>
          <w:sz w:val="20"/>
          <w:szCs w:val="20"/>
          <w:lang w:val="en-GB" w:eastAsia="hr-HR"/>
        </w:rPr>
        <w:t xml:space="preserve"> financial position of the Bank and consolidated financial position of the Group as </w:t>
      </w:r>
      <w:proofErr w:type="gramStart"/>
      <w:r w:rsidRPr="00587444">
        <w:rPr>
          <w:rFonts w:ascii="Trebuchet MS" w:hAnsi="Trebuchet MS" w:cs="Arial"/>
          <w:bCs/>
          <w:color w:val="000000"/>
          <w:sz w:val="20"/>
          <w:szCs w:val="20"/>
          <w:lang w:val="en-GB" w:eastAsia="hr-HR"/>
        </w:rPr>
        <w:t>at</w:t>
      </w:r>
      <w:proofErr w:type="gramEnd"/>
      <w:r w:rsidRPr="00587444">
        <w:rPr>
          <w:rFonts w:ascii="Trebuchet MS" w:hAnsi="Trebuchet MS" w:cs="Arial"/>
          <w:bCs/>
          <w:color w:val="000000"/>
          <w:sz w:val="20"/>
          <w:szCs w:val="20"/>
          <w:lang w:val="en-GB" w:eastAsia="hr-HR"/>
        </w:rPr>
        <w:t xml:space="preserve"> 31 December 2022 and of their respective </w:t>
      </w:r>
      <w:r w:rsidR="00F31FA6">
        <w:rPr>
          <w:rFonts w:ascii="Trebuchet MS" w:hAnsi="Trebuchet MS" w:cs="Arial"/>
          <w:bCs/>
          <w:color w:val="000000"/>
          <w:sz w:val="20"/>
          <w:szCs w:val="20"/>
          <w:lang w:val="en-GB" w:eastAsia="hr-HR"/>
        </w:rPr>
        <w:t xml:space="preserve">separate </w:t>
      </w:r>
      <w:r w:rsidRPr="00587444">
        <w:rPr>
          <w:rFonts w:ascii="Trebuchet MS" w:hAnsi="Trebuchet MS" w:cs="Arial"/>
          <w:bCs/>
          <w:color w:val="000000"/>
          <w:sz w:val="20"/>
          <w:szCs w:val="20"/>
          <w:lang w:val="en-GB" w:eastAsia="hr-HR"/>
        </w:rPr>
        <w:t xml:space="preserve">and consolidated financial performance and cash flows for the year then ended in accordance with International Financial Reporting Standards as adopted by the European Union (“IFRS”). </w:t>
      </w:r>
    </w:p>
    <w:p w14:paraId="79BC8CA2" w14:textId="77777777" w:rsidR="00587444" w:rsidRPr="00587444" w:rsidRDefault="00587444" w:rsidP="00587444">
      <w:pPr>
        <w:suppressAutoHyphens w:val="0"/>
        <w:autoSpaceDN/>
        <w:jc w:val="both"/>
        <w:rPr>
          <w:rFonts w:ascii="Trebuchet MS" w:hAnsi="Trebuchet MS"/>
          <w:b/>
          <w:color w:val="00338D"/>
          <w:sz w:val="20"/>
          <w:szCs w:val="20"/>
          <w:highlight w:val="yellow"/>
          <w:lang w:val="en-GB"/>
        </w:rPr>
      </w:pPr>
    </w:p>
    <w:p w14:paraId="516C0B60" w14:textId="77777777" w:rsidR="00587444" w:rsidRPr="00587444" w:rsidRDefault="00587444" w:rsidP="00587444">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Basis for Opinion</w:t>
      </w:r>
    </w:p>
    <w:p w14:paraId="38FD4AB3" w14:textId="31130150" w:rsidR="00587444" w:rsidRPr="00587444" w:rsidRDefault="00587444" w:rsidP="00587444">
      <w:pPr>
        <w:suppressAutoHyphens w:val="0"/>
        <w:autoSpaceDN/>
        <w:jc w:val="both"/>
        <w:rPr>
          <w:rFonts w:ascii="Trebuchet MS" w:hAnsi="Trebuchet MS" w:cs="Arial"/>
          <w:bCs/>
          <w:color w:val="000000"/>
          <w:sz w:val="20"/>
          <w:szCs w:val="20"/>
          <w:lang w:val="en-GB" w:eastAsia="hr-HR"/>
        </w:rPr>
      </w:pPr>
      <w:r w:rsidRPr="00587444">
        <w:rPr>
          <w:rFonts w:ascii="Trebuchet MS" w:hAnsi="Trebuchet MS" w:cs="Arial"/>
          <w:bCs/>
          <w:color w:val="000000"/>
          <w:sz w:val="20"/>
          <w:szCs w:val="20"/>
          <w:lang w:val="en-GB" w:eastAsia="hr-HR"/>
        </w:rPr>
        <w:t>We conducted our audit in accordance with International Standards on Auditing</w:t>
      </w:r>
      <w:r w:rsidR="00610A13">
        <w:rPr>
          <w:rFonts w:ascii="Trebuchet MS" w:hAnsi="Trebuchet MS" w:cs="Arial"/>
          <w:bCs/>
          <w:color w:val="000000"/>
          <w:sz w:val="20"/>
          <w:szCs w:val="20"/>
          <w:lang w:val="en-GB" w:eastAsia="hr-HR"/>
        </w:rPr>
        <w:t xml:space="preserve"> (“ISAs”)</w:t>
      </w:r>
      <w:r w:rsidRPr="00587444">
        <w:rPr>
          <w:rFonts w:ascii="Trebuchet MS" w:hAnsi="Trebuchet MS" w:cs="Arial"/>
          <w:bCs/>
          <w:color w:val="000000"/>
          <w:sz w:val="20"/>
          <w:szCs w:val="20"/>
          <w:lang w:val="en-GB" w:eastAsia="hr-HR"/>
        </w:rPr>
        <w:t xml:space="preserve">. Our responsibilities under those standards are further described in the </w:t>
      </w:r>
      <w:r w:rsidR="00F31FA6" w:rsidRPr="00F31FA6">
        <w:rPr>
          <w:rFonts w:ascii="Trebuchet MS" w:hAnsi="Trebuchet MS" w:cs="Arial"/>
          <w:bCs/>
          <w:color w:val="000000"/>
          <w:sz w:val="20"/>
          <w:szCs w:val="20"/>
          <w:lang w:val="en-GB" w:eastAsia="hr-HR"/>
        </w:rPr>
        <w:t>Auditor’s Responsibilities for the Audit of the annual separate and consolidated Financial Statements</w:t>
      </w:r>
      <w:r w:rsidRPr="00587444">
        <w:rPr>
          <w:rFonts w:ascii="Trebuchet MS" w:hAnsi="Trebuchet MS" w:cs="Arial"/>
          <w:bCs/>
          <w:color w:val="000000"/>
          <w:sz w:val="20"/>
          <w:szCs w:val="20"/>
          <w:lang w:val="en-GB" w:eastAsia="hr-HR"/>
        </w:rPr>
        <w:t xml:space="preserve">. </w:t>
      </w:r>
      <w:r w:rsidR="00F31FA6" w:rsidRPr="00F31FA6">
        <w:rPr>
          <w:rFonts w:ascii="Trebuchet MS" w:hAnsi="Trebuchet MS" w:cs="Arial"/>
          <w:bCs/>
          <w:color w:val="000000"/>
          <w:sz w:val="20"/>
          <w:szCs w:val="20"/>
          <w:lang w:val="en-GB" w:eastAsia="hr-HR"/>
        </w:rPr>
        <w:t>We are independent of the Bank and the Group in accordance with the International Code of Ethics for Professional Accountants, including the International Standards of Independence issued by the International Ethical Standards Board for Accountants ("IESBA", "IESBA Code") and have fulfilled our other ethical responsibilities in accordance with IESBA Code</w:t>
      </w:r>
      <w:r w:rsidRPr="00587444">
        <w:rPr>
          <w:rFonts w:ascii="Trebuchet MS" w:hAnsi="Trebuchet MS" w:cs="Arial"/>
          <w:bCs/>
          <w:color w:val="000000"/>
          <w:sz w:val="20"/>
          <w:szCs w:val="20"/>
          <w:lang w:val="en-GB" w:eastAsia="hr-HR"/>
        </w:rPr>
        <w:t xml:space="preserve">.  </w:t>
      </w:r>
    </w:p>
    <w:p w14:paraId="68279349" w14:textId="77777777" w:rsidR="00587444" w:rsidRPr="00587444" w:rsidRDefault="00587444" w:rsidP="00587444">
      <w:pPr>
        <w:suppressAutoHyphens w:val="0"/>
        <w:autoSpaceDN/>
        <w:jc w:val="both"/>
        <w:rPr>
          <w:rFonts w:ascii="Trebuchet MS" w:hAnsi="Trebuchet MS" w:cs="Arial"/>
          <w:bCs/>
          <w:color w:val="000000"/>
          <w:sz w:val="20"/>
          <w:szCs w:val="20"/>
          <w:lang w:val="en-GB" w:eastAsia="hr-HR"/>
        </w:rPr>
      </w:pPr>
    </w:p>
    <w:p w14:paraId="514A44B0" w14:textId="77777777" w:rsidR="00587444" w:rsidRPr="00587444" w:rsidRDefault="00587444" w:rsidP="00587444">
      <w:pPr>
        <w:suppressAutoHyphens w:val="0"/>
        <w:autoSpaceDN/>
        <w:jc w:val="both"/>
        <w:rPr>
          <w:rFonts w:ascii="Trebuchet MS" w:hAnsi="Trebuchet MS" w:cs="Arial"/>
          <w:bCs/>
          <w:color w:val="000000"/>
          <w:sz w:val="20"/>
          <w:szCs w:val="20"/>
          <w:lang w:val="en-GB" w:eastAsia="hr-HR"/>
        </w:rPr>
      </w:pPr>
      <w:r w:rsidRPr="00587444">
        <w:rPr>
          <w:rFonts w:ascii="Trebuchet MS" w:hAnsi="Trebuchet MS" w:cs="Arial"/>
          <w:bCs/>
          <w:color w:val="000000"/>
          <w:sz w:val="20"/>
          <w:szCs w:val="20"/>
          <w:lang w:val="en-GB" w:eastAsia="hr-HR"/>
        </w:rPr>
        <w:t>We believe that the audit evidence we have obtained is sufficient and appropriate to provide a basis for our opinion.</w:t>
      </w:r>
    </w:p>
    <w:p w14:paraId="293A06BB" w14:textId="77777777" w:rsidR="00587444" w:rsidRPr="00587444" w:rsidRDefault="00587444" w:rsidP="00587444">
      <w:pPr>
        <w:suppressAutoHyphens w:val="0"/>
        <w:autoSpaceDN/>
        <w:jc w:val="both"/>
        <w:rPr>
          <w:rFonts w:ascii="Trebuchet MS" w:hAnsi="Trebuchet MS"/>
          <w:b/>
          <w:color w:val="00338D"/>
          <w:sz w:val="20"/>
          <w:szCs w:val="20"/>
          <w:highlight w:val="yellow"/>
        </w:rPr>
      </w:pPr>
    </w:p>
    <w:p w14:paraId="3220F1E7" w14:textId="77777777" w:rsidR="00587444" w:rsidRPr="00587444" w:rsidRDefault="00587444" w:rsidP="00587444">
      <w:pPr>
        <w:suppressAutoHyphens w:val="0"/>
        <w:autoSpaceDN/>
        <w:jc w:val="both"/>
        <w:rPr>
          <w:rFonts w:ascii="Trebuchet MS" w:hAnsi="Trebuchet MS" w:cs="Arial"/>
          <w:bCs/>
          <w:color w:val="000000"/>
          <w:sz w:val="20"/>
          <w:szCs w:val="20"/>
          <w:lang w:val="hr-HR" w:eastAsia="hr-HR"/>
        </w:rPr>
      </w:pPr>
    </w:p>
    <w:p w14:paraId="34ECE6B6" w14:textId="77777777" w:rsidR="00587444" w:rsidRPr="00587444" w:rsidRDefault="00587444" w:rsidP="00587444">
      <w:pPr>
        <w:suppressAutoHyphens w:val="0"/>
        <w:autoSpaceDN/>
        <w:jc w:val="both"/>
        <w:rPr>
          <w:rFonts w:ascii="Trebuchet MS" w:eastAsia="Batang" w:hAnsi="Trebuchet MS" w:cs="Arial"/>
          <w:bCs/>
          <w:sz w:val="20"/>
          <w:szCs w:val="20"/>
          <w:lang w:val="hr-HR" w:eastAsia="hr-HR"/>
        </w:rPr>
      </w:pPr>
      <w:bookmarkStart w:id="91" w:name="_Toc32912341"/>
      <w:bookmarkStart w:id="92" w:name="_Toc32932230"/>
      <w:bookmarkStart w:id="93" w:name="_Toc32933529"/>
      <w:bookmarkStart w:id="94" w:name="_Toc33186749"/>
      <w:bookmarkStart w:id="95" w:name="_Toc33188980"/>
      <w:bookmarkStart w:id="96" w:name="_Toc33189469"/>
      <w:bookmarkStart w:id="97" w:name="_Toc33191399"/>
      <w:bookmarkStart w:id="98" w:name="_Toc33192151"/>
      <w:bookmarkStart w:id="99" w:name="_Toc33192356"/>
      <w:bookmarkStart w:id="100" w:name="_Toc33192635"/>
      <w:bookmarkStart w:id="101" w:name="_Toc33193136"/>
      <w:bookmarkStart w:id="102" w:name="_Toc33193222"/>
      <w:bookmarkStart w:id="103" w:name="_Toc33193681"/>
      <w:bookmarkStart w:id="104" w:name="_Toc33195454"/>
      <w:bookmarkStart w:id="105" w:name="_Toc33199266"/>
      <w:bookmarkStart w:id="106" w:name="_Toc33199324"/>
      <w:bookmarkStart w:id="107" w:name="_Toc33200495"/>
      <w:bookmarkStart w:id="108" w:name="_Toc33200652"/>
      <w:bookmarkStart w:id="109" w:name="_Toc33201503"/>
      <w:bookmarkStart w:id="110" w:name="_Toc33201628"/>
      <w:bookmarkStart w:id="111" w:name="_Toc33202692"/>
      <w:bookmarkStart w:id="112" w:name="_Toc33437349"/>
      <w:bookmarkStart w:id="113" w:name="_Toc33437476"/>
      <w:bookmarkStart w:id="114" w:name="_Toc33439021"/>
      <w:bookmarkStart w:id="115" w:name="_Toc33440050"/>
      <w:bookmarkStart w:id="116" w:name="_Toc33440265"/>
      <w:bookmarkStart w:id="117" w:name="_Toc33440563"/>
      <w:bookmarkStart w:id="118" w:name="_Toc33440624"/>
      <w:bookmarkStart w:id="119" w:name="_Toc33442529"/>
      <w:bookmarkStart w:id="120" w:name="_Toc33447634"/>
      <w:bookmarkEnd w:id="90"/>
    </w:p>
    <w:p w14:paraId="7F5BAC01" w14:textId="77777777" w:rsidR="00587444" w:rsidRPr="00587444" w:rsidRDefault="00587444" w:rsidP="00587444">
      <w:pPr>
        <w:suppressAutoHyphens w:val="0"/>
        <w:autoSpaceDN/>
        <w:jc w:val="both"/>
        <w:rPr>
          <w:rFonts w:ascii="Trebuchet MS" w:hAnsi="Trebuchet MS" w:cs="Arial"/>
          <w:b/>
          <w:bCs/>
          <w:sz w:val="20"/>
          <w:szCs w:val="20"/>
          <w:lang w:val="hr-HR" w:eastAsia="hr-HR" w:bidi="he-IL"/>
        </w:rPr>
        <w:sectPr w:rsidR="00587444" w:rsidRPr="00587444" w:rsidSect="006D5D5B">
          <w:headerReference w:type="default" r:id="rId54"/>
          <w:footerReference w:type="default" r:id="rId55"/>
          <w:pgSz w:w="11907" w:h="16840" w:code="9"/>
          <w:pgMar w:top="1418" w:right="1418" w:bottom="1418" w:left="1418" w:header="720" w:footer="720" w:gutter="0"/>
          <w:pgNumType w:start="64"/>
          <w:cols w:space="720"/>
        </w:sectPr>
      </w:pPr>
    </w:p>
    <w:p w14:paraId="7AE2A509" w14:textId="77777777" w:rsidR="00587444" w:rsidRPr="00587444" w:rsidRDefault="00587444" w:rsidP="0046750D">
      <w:pPr>
        <w:suppressAutoHyphens w:val="0"/>
        <w:autoSpaceDN/>
        <w:spacing w:before="240" w:after="200"/>
        <w:jc w:val="both"/>
        <w:rPr>
          <w:rFonts w:ascii="Trebuchet MS" w:eastAsia="Calibri" w:hAnsi="Trebuchet MS"/>
          <w:b/>
          <w:bCs/>
          <w:sz w:val="20"/>
          <w:szCs w:val="20"/>
          <w:lang w:val="hr-HR"/>
        </w:rPr>
      </w:pPr>
      <w:bookmarkStart w:id="122" w:name="_Hlk98750130"/>
      <w:r w:rsidRPr="00587444">
        <w:rPr>
          <w:rFonts w:ascii="Trebuchet MS" w:eastAsia="Calibri" w:hAnsi="Trebuchet MS"/>
          <w:b/>
          <w:bCs/>
          <w:sz w:val="20"/>
          <w:szCs w:val="20"/>
          <w:lang w:val="hr-HR"/>
        </w:rPr>
        <w:lastRenderedPageBreak/>
        <w:t>INDEPENDENT JOINT AUDITOR’S REPORT TO THE OWNER OF CROATIAN BANK FOR RECONSTRUCTION AND DEVELOPMENT (CONTINUED)</w:t>
      </w:r>
    </w:p>
    <w:p w14:paraId="63E24214" w14:textId="77777777" w:rsidR="00587444" w:rsidRPr="00587444" w:rsidRDefault="00587444" w:rsidP="00587444">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Report on the Audit of the separate and consolidated Financial Statements (continued)</w:t>
      </w:r>
    </w:p>
    <w:bookmarkEnd w:id="122"/>
    <w:p w14:paraId="7A0DE42F" w14:textId="77777777" w:rsidR="00587444" w:rsidRPr="00587444" w:rsidRDefault="00587444" w:rsidP="00587444">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 xml:space="preserve">Key Audit Matters </w:t>
      </w:r>
    </w:p>
    <w:p w14:paraId="01F7E700" w14:textId="6F1B3987" w:rsidR="00587444" w:rsidRPr="00587444" w:rsidRDefault="00587444" w:rsidP="00587444">
      <w:pPr>
        <w:suppressAutoHyphens w:val="0"/>
        <w:autoSpaceDN/>
        <w:spacing w:after="200"/>
        <w:jc w:val="both"/>
        <w:rPr>
          <w:rFonts w:ascii="Trebuchet MS" w:eastAsia="Batang" w:hAnsi="Trebuchet MS" w:cs="Arial"/>
          <w:bCs/>
          <w:sz w:val="20"/>
          <w:szCs w:val="20"/>
          <w:lang w:val="en-GB" w:eastAsia="hr-HR"/>
        </w:rPr>
      </w:pPr>
      <w:r w:rsidRPr="00587444">
        <w:rPr>
          <w:rFonts w:ascii="Trebuchet MS" w:eastAsia="Batang" w:hAnsi="Trebuchet MS" w:cs="Arial"/>
          <w:bCs/>
          <w:sz w:val="20"/>
          <w:szCs w:val="20"/>
          <w:lang w:val="en-GB" w:eastAsia="hr-HR"/>
        </w:rPr>
        <w:t xml:space="preserve">Key audit matters are those matters that, in our professional judgment, were of most significance in our audit of the annual separate and consolidated financial statements of the current period. These matters were addressed in the context of our audit of the </w:t>
      </w:r>
      <w:r w:rsidR="00021A1C">
        <w:rPr>
          <w:rFonts w:ascii="Trebuchet MS" w:eastAsia="Batang" w:hAnsi="Trebuchet MS" w:cs="Arial"/>
          <w:bCs/>
          <w:sz w:val="20"/>
          <w:szCs w:val="20"/>
          <w:lang w:val="en-GB" w:eastAsia="hr-HR"/>
        </w:rPr>
        <w:t xml:space="preserve">separate and consolidated </w:t>
      </w:r>
      <w:r w:rsidRPr="00587444">
        <w:rPr>
          <w:rFonts w:ascii="Trebuchet MS" w:eastAsia="Batang" w:hAnsi="Trebuchet MS" w:cs="Arial"/>
          <w:bCs/>
          <w:sz w:val="20"/>
          <w:szCs w:val="20"/>
          <w:lang w:val="en-GB" w:eastAsia="hr-HR"/>
        </w:rPr>
        <w:t xml:space="preserve">financial </w:t>
      </w:r>
      <w:proofErr w:type="gramStart"/>
      <w:r w:rsidRPr="00587444">
        <w:rPr>
          <w:rFonts w:ascii="Trebuchet MS" w:eastAsia="Batang" w:hAnsi="Trebuchet MS" w:cs="Arial"/>
          <w:bCs/>
          <w:sz w:val="20"/>
          <w:szCs w:val="20"/>
          <w:lang w:val="en-GB" w:eastAsia="hr-HR"/>
        </w:rPr>
        <w:t>statements as a whole, and</w:t>
      </w:r>
      <w:proofErr w:type="gramEnd"/>
      <w:r w:rsidRPr="00587444">
        <w:rPr>
          <w:rFonts w:ascii="Trebuchet MS" w:eastAsia="Batang" w:hAnsi="Trebuchet MS" w:cs="Arial"/>
          <w:bCs/>
          <w:sz w:val="20"/>
          <w:szCs w:val="20"/>
          <w:lang w:val="en-GB" w:eastAsia="hr-HR"/>
        </w:rPr>
        <w:t xml:space="preserve"> in forming our opinion thereon, and we do not provide a separate opinion on these matters.</w:t>
      </w:r>
    </w:p>
    <w:tbl>
      <w:tblPr>
        <w:tblStyle w:val="TableGrid18"/>
        <w:tblW w:w="5000" w:type="pct"/>
        <w:tblInd w:w="0" w:type="dxa"/>
        <w:tblLook w:val="04A0" w:firstRow="1" w:lastRow="0" w:firstColumn="1" w:lastColumn="0" w:noHBand="0" w:noVBand="1"/>
      </w:tblPr>
      <w:tblGrid>
        <w:gridCol w:w="4643"/>
        <w:gridCol w:w="4644"/>
      </w:tblGrid>
      <w:tr w:rsidR="00587444" w:rsidRPr="00587444" w14:paraId="389DA11A" w14:textId="77777777" w:rsidTr="00DD69E7">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E658B4C" w14:textId="77777777" w:rsidR="00587444" w:rsidRPr="00587444" w:rsidRDefault="00587444" w:rsidP="00587444">
            <w:pPr>
              <w:suppressAutoHyphens w:val="0"/>
              <w:ind w:left="164"/>
              <w:rPr>
                <w:rFonts w:ascii="Trebuchet MS" w:hAnsi="Trebuchet MS"/>
                <w:b/>
                <w:sz w:val="18"/>
                <w:szCs w:val="18"/>
                <w:lang w:val="en-GB" w:eastAsia="hr-HR"/>
              </w:rPr>
            </w:pPr>
            <w:bookmarkStart w:id="123" w:name="_Hlk32786504"/>
            <w:r w:rsidRPr="00587444">
              <w:rPr>
                <w:rFonts w:ascii="Trebuchet MS" w:hAnsi="Trebuchet MS"/>
                <w:b/>
                <w:sz w:val="18"/>
                <w:szCs w:val="18"/>
                <w:lang w:val="en-GB" w:eastAsia="hr-HR"/>
              </w:rPr>
              <w:t xml:space="preserve">Impairment of loans to other customers </w:t>
            </w:r>
          </w:p>
        </w:tc>
        <w:bookmarkEnd w:id="123"/>
      </w:tr>
      <w:tr w:rsidR="00587444" w:rsidRPr="00587444" w14:paraId="6DE76445" w14:textId="77777777" w:rsidTr="00DD69E7">
        <w:tc>
          <w:tcPr>
            <w:tcW w:w="5000" w:type="pct"/>
            <w:gridSpan w:val="2"/>
            <w:tcBorders>
              <w:top w:val="single" w:sz="4" w:space="0" w:color="auto"/>
              <w:left w:val="single" w:sz="4" w:space="0" w:color="auto"/>
              <w:bottom w:val="single" w:sz="4" w:space="0" w:color="auto"/>
              <w:right w:val="single" w:sz="4" w:space="0" w:color="auto"/>
            </w:tcBorders>
            <w:hideMark/>
          </w:tcPr>
          <w:p w14:paraId="123A3FA9" w14:textId="1F97A438" w:rsidR="00587444" w:rsidRPr="00587444" w:rsidRDefault="00587444" w:rsidP="00587444">
            <w:pPr>
              <w:suppressAutoHyphens w:val="0"/>
              <w:autoSpaceDE w:val="0"/>
              <w:adjustRightInd w:val="0"/>
              <w:spacing w:before="120" w:after="120"/>
              <w:ind w:left="113"/>
              <w:rPr>
                <w:rFonts w:ascii="Trebuchet MS" w:hAnsi="Trebuchet MS"/>
                <w:bCs/>
                <w:sz w:val="18"/>
                <w:szCs w:val="18"/>
                <w:lang w:val="en-GB" w:eastAsia="hr-HR"/>
              </w:rPr>
            </w:pPr>
            <w:r w:rsidRPr="00587444">
              <w:rPr>
                <w:rFonts w:ascii="Trebuchet MS" w:hAnsi="Trebuchet MS"/>
                <w:bCs/>
                <w:sz w:val="18"/>
                <w:szCs w:val="18"/>
                <w:lang w:val="en-GB" w:eastAsia="hr-HR"/>
              </w:rPr>
              <w:t xml:space="preserve">As at 31 December 2022, in the financial statements of the Bank and the Group, gross loans to other customers: HRK 20,858 </w:t>
            </w:r>
            <w:r w:rsidR="006D5D5B" w:rsidRPr="00587444">
              <w:rPr>
                <w:rFonts w:ascii="Trebuchet MS" w:hAnsi="Trebuchet MS"/>
                <w:bCs/>
                <w:sz w:val="18"/>
                <w:szCs w:val="18"/>
                <w:lang w:val="en-GB" w:eastAsia="hr-HR"/>
              </w:rPr>
              <w:t>million</w:t>
            </w:r>
            <w:r w:rsidRPr="00587444">
              <w:rPr>
                <w:rFonts w:ascii="Trebuchet MS" w:hAnsi="Trebuchet MS"/>
                <w:bCs/>
                <w:sz w:val="18"/>
                <w:szCs w:val="18"/>
                <w:lang w:val="en-GB" w:eastAsia="hr-HR"/>
              </w:rPr>
              <w:t xml:space="preserve">, related impairment allowance: HRK 3,455 </w:t>
            </w:r>
            <w:r w:rsidR="006D5D5B" w:rsidRPr="00587444">
              <w:rPr>
                <w:rFonts w:ascii="Trebuchet MS" w:hAnsi="Trebuchet MS"/>
                <w:bCs/>
                <w:sz w:val="18"/>
                <w:szCs w:val="18"/>
                <w:lang w:val="en-GB" w:eastAsia="hr-HR"/>
              </w:rPr>
              <w:t>million</w:t>
            </w:r>
            <w:r w:rsidRPr="00587444">
              <w:rPr>
                <w:rFonts w:ascii="Trebuchet MS" w:hAnsi="Trebuchet MS"/>
                <w:bCs/>
                <w:sz w:val="18"/>
                <w:szCs w:val="18"/>
                <w:lang w:val="en-GB" w:eastAsia="hr-HR"/>
              </w:rPr>
              <w:t xml:space="preserve"> and impairment loss recognised in the income statement for the year then ended: HRK 130 </w:t>
            </w:r>
            <w:r w:rsidR="006D5D5B" w:rsidRPr="00587444">
              <w:rPr>
                <w:rFonts w:ascii="Trebuchet MS" w:hAnsi="Trebuchet MS"/>
                <w:bCs/>
                <w:sz w:val="18"/>
                <w:szCs w:val="18"/>
                <w:lang w:val="en-GB" w:eastAsia="hr-HR"/>
              </w:rPr>
              <w:t>million</w:t>
            </w:r>
            <w:r w:rsidRPr="00587444">
              <w:rPr>
                <w:rFonts w:ascii="Trebuchet MS" w:hAnsi="Trebuchet MS"/>
                <w:bCs/>
                <w:sz w:val="18"/>
                <w:szCs w:val="18"/>
                <w:lang w:val="en-GB" w:eastAsia="hr-HR"/>
              </w:rPr>
              <w:t xml:space="preserve"> (31 December 2021: gross loans to other customers: HRK 19,220 </w:t>
            </w:r>
            <w:r w:rsidR="006D5D5B" w:rsidRPr="00587444">
              <w:rPr>
                <w:rFonts w:ascii="Trebuchet MS" w:hAnsi="Trebuchet MS"/>
                <w:bCs/>
                <w:sz w:val="18"/>
                <w:szCs w:val="18"/>
                <w:lang w:val="en-GB" w:eastAsia="hr-HR"/>
              </w:rPr>
              <w:t>million</w:t>
            </w:r>
            <w:r w:rsidRPr="00587444">
              <w:rPr>
                <w:rFonts w:ascii="Trebuchet MS" w:hAnsi="Trebuchet MS"/>
                <w:bCs/>
                <w:sz w:val="18"/>
                <w:szCs w:val="18"/>
                <w:lang w:val="en-GB" w:eastAsia="hr-HR"/>
              </w:rPr>
              <w:t xml:space="preserve">, impairment allowance: HRK 3,256 </w:t>
            </w:r>
            <w:r w:rsidR="006D5D5B" w:rsidRPr="00587444">
              <w:rPr>
                <w:rFonts w:ascii="Trebuchet MS" w:hAnsi="Trebuchet MS"/>
                <w:bCs/>
                <w:sz w:val="18"/>
                <w:szCs w:val="18"/>
                <w:lang w:val="en-GB" w:eastAsia="hr-HR"/>
              </w:rPr>
              <w:t>million</w:t>
            </w:r>
            <w:r w:rsidRPr="00587444">
              <w:rPr>
                <w:rFonts w:ascii="Trebuchet MS" w:hAnsi="Trebuchet MS"/>
                <w:bCs/>
                <w:sz w:val="18"/>
                <w:szCs w:val="18"/>
                <w:lang w:val="en-GB" w:eastAsia="hr-HR"/>
              </w:rPr>
              <w:t xml:space="preserve">, impairment loss recognised in the income statement for the year ended 31 December 2021: HRK 78 </w:t>
            </w:r>
            <w:r w:rsidR="006D5D5B" w:rsidRPr="00587444">
              <w:rPr>
                <w:rFonts w:ascii="Trebuchet MS" w:hAnsi="Trebuchet MS"/>
                <w:bCs/>
                <w:sz w:val="18"/>
                <w:szCs w:val="18"/>
                <w:lang w:val="en-GB" w:eastAsia="hr-HR"/>
              </w:rPr>
              <w:t>million</w:t>
            </w:r>
            <w:r w:rsidRPr="00587444">
              <w:rPr>
                <w:rFonts w:ascii="Trebuchet MS" w:hAnsi="Trebuchet MS"/>
                <w:bCs/>
                <w:sz w:val="18"/>
                <w:szCs w:val="18"/>
                <w:lang w:val="en-GB" w:eastAsia="hr-HR"/>
              </w:rPr>
              <w:t>).</w:t>
            </w:r>
          </w:p>
          <w:p w14:paraId="5FA8E85F" w14:textId="77777777" w:rsidR="00587444" w:rsidRPr="00587444" w:rsidRDefault="00587444" w:rsidP="00587444">
            <w:pPr>
              <w:suppressAutoHyphens w:val="0"/>
              <w:autoSpaceDE w:val="0"/>
              <w:adjustRightInd w:val="0"/>
              <w:spacing w:before="120" w:after="120"/>
              <w:ind w:left="113"/>
              <w:rPr>
                <w:rFonts w:ascii="Trebuchet MS" w:hAnsi="Trebuchet MS"/>
                <w:bCs/>
                <w:sz w:val="18"/>
                <w:szCs w:val="18"/>
                <w:lang w:val="en-GB" w:eastAsia="hr-HR"/>
              </w:rPr>
            </w:pPr>
            <w:r w:rsidRPr="00587444">
              <w:rPr>
                <w:rFonts w:ascii="Trebuchet MS" w:hAnsi="Trebuchet MS"/>
                <w:bCs/>
                <w:sz w:val="18"/>
                <w:szCs w:val="18"/>
                <w:lang w:val="en-GB" w:eastAsia="hr-HR"/>
              </w:rPr>
              <w:t>Please refer to note 1.3. The impact of the crisis caused by the Russian-Ukrainian war, 4 Summary of significant accounting policies, note 10 Impairment loss and provisions, note 15 Loans to other customers and credit risk section of the note 32 Risk management</w:t>
            </w:r>
          </w:p>
        </w:tc>
      </w:tr>
      <w:tr w:rsidR="00587444" w:rsidRPr="00587444" w14:paraId="3E26033F" w14:textId="77777777" w:rsidTr="00DD69E7">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FE8A26" w14:textId="77777777" w:rsidR="00587444" w:rsidRPr="00587444" w:rsidRDefault="00587444" w:rsidP="00587444">
            <w:pPr>
              <w:suppressAutoHyphens w:val="0"/>
              <w:ind w:left="164"/>
              <w:rPr>
                <w:rFonts w:ascii="Trebuchet MS" w:hAnsi="Trebuchet MS"/>
                <w:b/>
                <w:bCs/>
                <w:sz w:val="18"/>
                <w:szCs w:val="18"/>
                <w:lang w:val="en-GB" w:eastAsia="hr-HR"/>
              </w:rPr>
            </w:pPr>
            <w:bookmarkStart w:id="124" w:name="_Hlk32787590"/>
            <w:r w:rsidRPr="00587444">
              <w:rPr>
                <w:rFonts w:ascii="Trebuchet MS" w:hAnsi="Trebuchet MS"/>
                <w:b/>
                <w:bCs/>
                <w:sz w:val="18"/>
                <w:szCs w:val="18"/>
                <w:lang w:val="en-GB" w:eastAsia="hr-HR"/>
              </w:rPr>
              <w:t>Key audit matter</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06C0FA" w14:textId="77777777" w:rsidR="00587444" w:rsidRPr="00587444" w:rsidRDefault="00587444" w:rsidP="00587444">
            <w:pPr>
              <w:suppressAutoHyphens w:val="0"/>
              <w:ind w:left="113"/>
              <w:rPr>
                <w:rFonts w:ascii="Trebuchet MS" w:hAnsi="Trebuchet MS"/>
                <w:b/>
                <w:bCs/>
                <w:sz w:val="18"/>
                <w:szCs w:val="18"/>
                <w:lang w:val="en-GB" w:eastAsia="hr-HR"/>
              </w:rPr>
            </w:pPr>
            <w:r w:rsidRPr="00587444">
              <w:rPr>
                <w:rFonts w:ascii="Trebuchet MS" w:hAnsi="Trebuchet MS"/>
                <w:b/>
                <w:bCs/>
                <w:sz w:val="18"/>
                <w:szCs w:val="18"/>
                <w:lang w:val="en-GB" w:eastAsia="hr-HR"/>
              </w:rPr>
              <w:t>How our audit addressed the matter</w:t>
            </w:r>
          </w:p>
        </w:tc>
        <w:bookmarkEnd w:id="124"/>
      </w:tr>
      <w:tr w:rsidR="00587444" w:rsidRPr="00587444" w14:paraId="7A5099EC" w14:textId="77777777" w:rsidTr="00DD69E7">
        <w:tc>
          <w:tcPr>
            <w:tcW w:w="2500" w:type="pct"/>
            <w:tcBorders>
              <w:top w:val="single" w:sz="4" w:space="0" w:color="auto"/>
              <w:left w:val="single" w:sz="4" w:space="0" w:color="auto"/>
              <w:bottom w:val="single" w:sz="4" w:space="0" w:color="auto"/>
              <w:right w:val="single" w:sz="4" w:space="0" w:color="auto"/>
            </w:tcBorders>
          </w:tcPr>
          <w:p w14:paraId="53576C37" w14:textId="77777777" w:rsidR="00587444" w:rsidRPr="00587444" w:rsidRDefault="00587444" w:rsidP="00587444">
            <w:pPr>
              <w:suppressAutoHyphens w:val="0"/>
              <w:autoSpaceDE w:val="0"/>
              <w:adjustRightInd w:val="0"/>
              <w:spacing w:before="120"/>
              <w:ind w:left="23"/>
              <w:rPr>
                <w:rFonts w:ascii="Trebuchet MS" w:hAnsi="Trebuchet MS"/>
                <w:bCs/>
                <w:sz w:val="18"/>
                <w:szCs w:val="18"/>
                <w:lang w:val="en-GB" w:eastAsia="hr-HR" w:bidi="he-IL"/>
              </w:rPr>
            </w:pPr>
            <w:r w:rsidRPr="00587444">
              <w:rPr>
                <w:rFonts w:ascii="Trebuchet MS" w:hAnsi="Trebuchet MS"/>
                <w:bCs/>
                <w:sz w:val="18"/>
                <w:szCs w:val="18"/>
                <w:lang w:val="en-GB" w:eastAsia="hr-HR" w:bidi="he-IL"/>
              </w:rPr>
              <w:t xml:space="preserve">Loss allowances represent the Management Board’s best estimate of the expected credit losses (“ECLs”) within loans to other customers at the reporting date. We focused on this area as the determination of loss allowances requires a significant judgment over the amounts of any such impairment.  </w:t>
            </w:r>
          </w:p>
          <w:p w14:paraId="5BDF5C23" w14:textId="77777777" w:rsidR="00587444" w:rsidRPr="00587444" w:rsidRDefault="00587444" w:rsidP="00587444">
            <w:pPr>
              <w:suppressAutoHyphens w:val="0"/>
              <w:autoSpaceDE w:val="0"/>
              <w:adjustRightInd w:val="0"/>
              <w:spacing w:before="120"/>
              <w:ind w:left="23"/>
              <w:rPr>
                <w:rFonts w:ascii="Trebuchet MS" w:hAnsi="Trebuchet MS"/>
                <w:bCs/>
                <w:sz w:val="18"/>
                <w:szCs w:val="18"/>
                <w:lang w:val="en-GB" w:eastAsia="hr-HR" w:bidi="he-IL"/>
              </w:rPr>
            </w:pPr>
            <w:r w:rsidRPr="00587444">
              <w:rPr>
                <w:rFonts w:ascii="Trebuchet MS" w:hAnsi="Trebuchet MS"/>
                <w:bCs/>
                <w:sz w:val="18"/>
                <w:szCs w:val="18"/>
                <w:lang w:val="en-GB" w:eastAsia="hr-HR" w:bidi="he-IL"/>
              </w:rPr>
              <w:t xml:space="preserve">Impairment allowances for performing exposures (Stage 1 and Stage 2) and non-performing exposures (Stage 3) up to HRK 3 million individually are determined by modelling techniques (“collective impairment allowance”). These collective impairment models rely on </w:t>
            </w:r>
            <w:proofErr w:type="gramStart"/>
            <w:r w:rsidRPr="00587444">
              <w:rPr>
                <w:rFonts w:ascii="Trebuchet MS" w:hAnsi="Trebuchet MS"/>
                <w:bCs/>
                <w:sz w:val="18"/>
                <w:szCs w:val="18"/>
                <w:lang w:val="en-GB" w:eastAsia="hr-HR" w:bidi="he-IL"/>
              </w:rPr>
              <w:t>a number of</w:t>
            </w:r>
            <w:proofErr w:type="gramEnd"/>
            <w:r w:rsidRPr="00587444">
              <w:rPr>
                <w:rFonts w:ascii="Trebuchet MS" w:hAnsi="Trebuchet MS"/>
                <w:bCs/>
                <w:sz w:val="18"/>
                <w:szCs w:val="18"/>
                <w:lang w:val="en-GB" w:eastAsia="hr-HR" w:bidi="he-IL"/>
              </w:rPr>
              <w:t xml:space="preserve"> parameters such as the probability of default (PD), exposure at default (EAD) and loss given default (LGD), taking into account historical experience, identification of exposures with a significant increase in credit risk, forward-looking information and management judgment.</w:t>
            </w:r>
          </w:p>
          <w:p w14:paraId="22DE829C" w14:textId="77777777" w:rsidR="00587444" w:rsidRPr="00587444" w:rsidRDefault="00587444" w:rsidP="00587444">
            <w:pPr>
              <w:suppressAutoHyphens w:val="0"/>
              <w:autoSpaceDE w:val="0"/>
              <w:adjustRightInd w:val="0"/>
              <w:spacing w:before="120"/>
              <w:ind w:left="23"/>
              <w:rPr>
                <w:lang w:val="hr-HR" w:bidi="he-IL"/>
              </w:rPr>
            </w:pPr>
            <w:r w:rsidRPr="00587444">
              <w:rPr>
                <w:rFonts w:ascii="Trebuchet MS" w:hAnsi="Trebuchet MS"/>
                <w:bCs/>
                <w:sz w:val="18"/>
                <w:szCs w:val="18"/>
                <w:lang w:val="en-GB" w:eastAsia="hr-HR" w:bidi="he-IL"/>
              </w:rPr>
              <w:t>For non-performing exposures exceeding HRK 3 million individually, the impairment assessment is based on the knowledge of each individual borrower and often on estimation of the fair value of the related collateral. Related loss allowances are determined on an individual basis by means of a discounted cash flows analysis.</w:t>
            </w:r>
          </w:p>
        </w:tc>
        <w:tc>
          <w:tcPr>
            <w:tcW w:w="2500" w:type="pct"/>
            <w:tcBorders>
              <w:top w:val="single" w:sz="4" w:space="0" w:color="auto"/>
              <w:left w:val="single" w:sz="4" w:space="0" w:color="auto"/>
              <w:bottom w:val="single" w:sz="4" w:space="0" w:color="auto"/>
              <w:right w:val="single" w:sz="4" w:space="0" w:color="auto"/>
            </w:tcBorders>
          </w:tcPr>
          <w:p w14:paraId="4D45509F" w14:textId="77777777" w:rsidR="00587444" w:rsidRPr="00587444" w:rsidRDefault="00587444" w:rsidP="00587444">
            <w:pPr>
              <w:suppressAutoHyphens w:val="0"/>
              <w:spacing w:before="120"/>
              <w:rPr>
                <w:rFonts w:ascii="Trebuchet MS" w:hAnsi="Trebuchet MS" w:cs="Arial"/>
                <w:color w:val="000000"/>
                <w:sz w:val="18"/>
                <w:szCs w:val="18"/>
              </w:rPr>
            </w:pPr>
            <w:r w:rsidRPr="00587444">
              <w:rPr>
                <w:rFonts w:ascii="Trebuchet MS" w:hAnsi="Trebuchet MS" w:cs="Arial"/>
                <w:color w:val="000000"/>
                <w:sz w:val="18"/>
                <w:szCs w:val="18"/>
              </w:rPr>
              <w:t>Our audit procedures in this area, performed with the assistance from our own financial instruments and information technology (IT) specialists, included, among others:</w:t>
            </w:r>
          </w:p>
          <w:p w14:paraId="7732B535" w14:textId="77777777" w:rsidR="00587444" w:rsidRPr="00587444" w:rsidRDefault="00587444">
            <w:pPr>
              <w:numPr>
                <w:ilvl w:val="0"/>
                <w:numId w:val="73"/>
              </w:numPr>
              <w:suppressAutoHyphens w:val="0"/>
              <w:spacing w:before="120"/>
              <w:ind w:left="385" w:hanging="357"/>
              <w:rPr>
                <w:rFonts w:ascii="Trebuchet MS" w:hAnsi="Trebuchet MS"/>
                <w:sz w:val="18"/>
                <w:szCs w:val="18"/>
                <w:lang w:eastAsia="hr-HR"/>
              </w:rPr>
            </w:pPr>
            <w:r w:rsidRPr="00587444">
              <w:rPr>
                <w:rFonts w:ascii="Trebuchet MS" w:hAnsi="Trebuchet MS"/>
                <w:sz w:val="18"/>
                <w:szCs w:val="18"/>
                <w:lang w:eastAsia="hr-HR"/>
              </w:rPr>
              <w:t>Consideration of a business model for financial asset management and review of placement groups;</w:t>
            </w:r>
          </w:p>
          <w:p w14:paraId="6F5E9D19" w14:textId="77777777" w:rsidR="00587444" w:rsidRPr="00587444" w:rsidRDefault="00587444">
            <w:pPr>
              <w:numPr>
                <w:ilvl w:val="0"/>
                <w:numId w:val="73"/>
              </w:numPr>
              <w:suppressAutoHyphens w:val="0"/>
              <w:spacing w:before="120"/>
              <w:contextualSpacing/>
              <w:rPr>
                <w:rFonts w:ascii="Trebuchet MS" w:hAnsi="Trebuchet MS"/>
                <w:sz w:val="18"/>
                <w:szCs w:val="18"/>
                <w:lang w:val="hr-HR" w:eastAsia="hr-HR"/>
              </w:rPr>
            </w:pPr>
            <w:r w:rsidRPr="00587444">
              <w:rPr>
                <w:rFonts w:ascii="Trebuchet MS" w:hAnsi="Trebuchet MS"/>
                <w:sz w:val="18"/>
                <w:szCs w:val="18"/>
                <w:lang w:eastAsia="hr-HR"/>
              </w:rPr>
              <w:t>Acquiring the functioning of internal control systems in relation to the process of assessing the required impairment of loans granted to the Bank's clients</w:t>
            </w:r>
            <w:r w:rsidRPr="00587444">
              <w:rPr>
                <w:rFonts w:ascii="Trebuchet MS" w:hAnsi="Trebuchet MS"/>
                <w:sz w:val="18"/>
                <w:szCs w:val="18"/>
                <w:lang w:val="hr-HR" w:eastAsia="hr-HR"/>
              </w:rPr>
              <w:t xml:space="preserve">; </w:t>
            </w:r>
          </w:p>
          <w:p w14:paraId="1BBDC930" w14:textId="77777777" w:rsidR="00587444" w:rsidRPr="00587444" w:rsidRDefault="00587444">
            <w:pPr>
              <w:numPr>
                <w:ilvl w:val="0"/>
                <w:numId w:val="73"/>
              </w:numPr>
              <w:suppressAutoHyphens w:val="0"/>
              <w:spacing w:before="120"/>
              <w:contextualSpacing/>
              <w:rPr>
                <w:rFonts w:ascii="Trebuchet MS" w:hAnsi="Trebuchet MS"/>
                <w:sz w:val="18"/>
                <w:szCs w:val="18"/>
                <w:lang w:val="hr-HR" w:eastAsia="hr-HR"/>
              </w:rPr>
            </w:pPr>
            <w:r w:rsidRPr="00587444">
              <w:rPr>
                <w:rFonts w:ascii="Trebuchet MS" w:hAnsi="Trebuchet MS"/>
                <w:sz w:val="18"/>
                <w:szCs w:val="18"/>
                <w:lang w:eastAsia="hr-HR"/>
              </w:rPr>
              <w:t>Inquiring of the risk management and IT personnel to update our understanding of the loan provisioning process, IT applications used therein, key data sources and assumptions for data used in the ECL model. Also, assessing and testing of IT control environment for data security and access</w:t>
            </w:r>
            <w:r w:rsidRPr="00587444">
              <w:rPr>
                <w:rFonts w:ascii="Trebuchet MS" w:hAnsi="Trebuchet MS"/>
                <w:sz w:val="18"/>
                <w:szCs w:val="18"/>
                <w:lang w:val="hr-HR" w:eastAsia="hr-HR"/>
              </w:rPr>
              <w:t>;</w:t>
            </w:r>
          </w:p>
          <w:p w14:paraId="5ADBE8B7" w14:textId="77777777" w:rsidR="00587444" w:rsidRPr="00587444" w:rsidRDefault="00587444">
            <w:pPr>
              <w:numPr>
                <w:ilvl w:val="0"/>
                <w:numId w:val="73"/>
              </w:numPr>
              <w:suppressAutoHyphens w:val="0"/>
              <w:contextualSpacing/>
              <w:rPr>
                <w:rFonts w:ascii="Trebuchet MS" w:hAnsi="Trebuchet MS" w:cs="Arial"/>
                <w:sz w:val="18"/>
                <w:szCs w:val="18"/>
              </w:rPr>
            </w:pPr>
            <w:r w:rsidRPr="00587444">
              <w:rPr>
                <w:rFonts w:ascii="Trebuchet MS" w:hAnsi="Trebuchet MS" w:cs="Arial"/>
                <w:sz w:val="18"/>
                <w:szCs w:val="18"/>
              </w:rPr>
              <w:t>Inspecting the Bank’s and the Group’s impairment provisioning methods and models, and assessing their continued compliance with the relevant requirements of the financial reporting standards;</w:t>
            </w:r>
          </w:p>
          <w:p w14:paraId="3B60595A" w14:textId="71D83EC7" w:rsidR="00587444" w:rsidRPr="00CD5024" w:rsidRDefault="00587444" w:rsidP="00CD5024">
            <w:pPr>
              <w:numPr>
                <w:ilvl w:val="0"/>
                <w:numId w:val="73"/>
              </w:numPr>
              <w:suppressAutoHyphens w:val="0"/>
              <w:spacing w:after="200"/>
              <w:contextualSpacing/>
              <w:rPr>
                <w:rFonts w:ascii="Trebuchet MS" w:hAnsi="Trebuchet MS" w:cs="Arial"/>
                <w:sz w:val="18"/>
                <w:szCs w:val="18"/>
              </w:rPr>
            </w:pPr>
            <w:r w:rsidRPr="00587444">
              <w:rPr>
                <w:rFonts w:ascii="Trebuchet MS" w:hAnsi="Trebuchet MS"/>
                <w:sz w:val="18"/>
                <w:szCs w:val="18"/>
                <w:lang w:eastAsia="hr-HR"/>
              </w:rPr>
              <w:t>Testing the design, implementation and operating effectiveness of selected controls over the approval, recording and monitoring of loans, including, but not limited to, the controls relating to the identification of events of default, appropriateness of the classification of exposures into performing and non-performing and their segmentation into homogenous groups, calculation of days past due, collateral valuations and calculation of the loss allowances</w:t>
            </w:r>
            <w:r w:rsidRPr="00587444">
              <w:rPr>
                <w:rFonts w:ascii="Trebuchet MS" w:hAnsi="Trebuchet MS"/>
                <w:sz w:val="18"/>
                <w:szCs w:val="18"/>
                <w:lang w:val="hr-HR" w:eastAsia="hr-HR"/>
              </w:rPr>
              <w:t>;</w:t>
            </w:r>
          </w:p>
        </w:tc>
      </w:tr>
    </w:tbl>
    <w:p w14:paraId="012DF6D6" w14:textId="77777777" w:rsidR="00587444" w:rsidRPr="00587444" w:rsidRDefault="00587444" w:rsidP="00587444">
      <w:pPr>
        <w:suppressAutoHyphens w:val="0"/>
        <w:autoSpaceDN/>
        <w:spacing w:before="120"/>
        <w:jc w:val="both"/>
        <w:rPr>
          <w:rFonts w:ascii="Trebuchet MS" w:hAnsi="Trebuchet MS" w:cs="Arial"/>
          <w:b/>
          <w:sz w:val="20"/>
          <w:szCs w:val="20"/>
          <w:lang w:val="hr-HR" w:eastAsia="hr-HR" w:bidi="he-IL"/>
        </w:rPr>
        <w:sectPr w:rsidR="00587444" w:rsidRPr="00587444" w:rsidSect="00DD69E7">
          <w:headerReference w:type="default" r:id="rId56"/>
          <w:pgSz w:w="11907" w:h="16840" w:code="9"/>
          <w:pgMar w:top="1418" w:right="1418" w:bottom="1418" w:left="1418" w:header="720" w:footer="720" w:gutter="0"/>
          <w:cols w:space="720"/>
        </w:sectPr>
      </w:pPr>
    </w:p>
    <w:p w14:paraId="5B632C35" w14:textId="77777777" w:rsidR="00587444" w:rsidRPr="00587444" w:rsidRDefault="00587444" w:rsidP="00587444">
      <w:pPr>
        <w:suppressAutoHyphens w:val="0"/>
        <w:autoSpaceDN/>
        <w:spacing w:after="200"/>
        <w:jc w:val="both"/>
        <w:rPr>
          <w:rFonts w:ascii="Trebuchet MS" w:eastAsiaTheme="minorHAnsi" w:hAnsi="Trebuchet MS" w:cstheme="minorBidi"/>
          <w:b/>
          <w:bCs/>
          <w:sz w:val="20"/>
          <w:szCs w:val="20"/>
          <w:lang w:val="hr-HR"/>
        </w:rPr>
      </w:pPr>
      <w:r w:rsidRPr="00587444">
        <w:rPr>
          <w:rFonts w:ascii="Trebuchet MS" w:eastAsiaTheme="minorHAnsi" w:hAnsi="Trebuchet MS" w:cstheme="minorBidi"/>
          <w:b/>
          <w:bCs/>
          <w:sz w:val="20"/>
          <w:szCs w:val="20"/>
          <w:lang w:val="hr-HR"/>
        </w:rPr>
        <w:lastRenderedPageBreak/>
        <w:t>INDEPENDENT JOINT AUDITOR’S REPORT TO THE OWNER OF CROATIAN BANK FOR RECONSTRUCTION AND DEVELOPMENT (CONTINUED)</w:t>
      </w:r>
    </w:p>
    <w:p w14:paraId="06A3DD80" w14:textId="77777777" w:rsidR="00587444" w:rsidRPr="00587444" w:rsidRDefault="00587444" w:rsidP="00587444">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Report on the Audit of the separate and consolidated Financial Statements (continued)</w:t>
      </w:r>
    </w:p>
    <w:p w14:paraId="57753A2F" w14:textId="77777777" w:rsidR="00587444" w:rsidRPr="00587444" w:rsidRDefault="00587444" w:rsidP="00587444">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Key Audit Matters (continued)</w:t>
      </w:r>
    </w:p>
    <w:tbl>
      <w:tblPr>
        <w:tblStyle w:val="TableGrid19"/>
        <w:tblW w:w="5000" w:type="pct"/>
        <w:tblInd w:w="0" w:type="dxa"/>
        <w:tblLook w:val="04A0" w:firstRow="1" w:lastRow="0" w:firstColumn="1" w:lastColumn="0" w:noHBand="0" w:noVBand="1"/>
      </w:tblPr>
      <w:tblGrid>
        <w:gridCol w:w="4643"/>
        <w:gridCol w:w="4644"/>
      </w:tblGrid>
      <w:tr w:rsidR="00587444" w:rsidRPr="00587444" w14:paraId="65E9D4F7" w14:textId="77777777" w:rsidTr="00DD69E7">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746103D" w14:textId="77777777" w:rsidR="00587444" w:rsidRPr="00587444" w:rsidRDefault="00587444" w:rsidP="00587444">
            <w:pPr>
              <w:suppressAutoHyphens w:val="0"/>
              <w:ind w:left="164" w:right="-116"/>
              <w:rPr>
                <w:rFonts w:ascii="Trebuchet MS" w:hAnsi="Trebuchet MS"/>
                <w:sz w:val="18"/>
                <w:szCs w:val="18"/>
                <w:lang w:val="en-GB" w:eastAsia="hr-HR"/>
              </w:rPr>
            </w:pPr>
            <w:bookmarkStart w:id="125" w:name="_Hlk98753781"/>
            <w:r w:rsidRPr="00587444">
              <w:rPr>
                <w:rFonts w:ascii="Trebuchet MS" w:hAnsi="Trebuchet MS"/>
                <w:sz w:val="18"/>
                <w:szCs w:val="18"/>
                <w:lang w:val="en-GB" w:eastAsia="hr-HR"/>
              </w:rPr>
              <w:t>Impairment of loans to other customers (continued)</w:t>
            </w:r>
          </w:p>
        </w:tc>
      </w:tr>
      <w:tr w:rsidR="00587444" w:rsidRPr="00587444" w14:paraId="79676474" w14:textId="77777777" w:rsidTr="00DD69E7">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9BFBA5" w14:textId="77777777" w:rsidR="00587444" w:rsidRPr="00587444" w:rsidRDefault="00587444" w:rsidP="00587444">
            <w:pPr>
              <w:suppressAutoHyphens w:val="0"/>
              <w:ind w:left="164"/>
              <w:rPr>
                <w:rFonts w:ascii="Trebuchet MS" w:hAnsi="Trebuchet MS"/>
                <w:bCs/>
                <w:sz w:val="18"/>
                <w:szCs w:val="18"/>
                <w:lang w:val="en-GB" w:eastAsia="hr-HR"/>
              </w:rPr>
            </w:pPr>
            <w:r w:rsidRPr="00587444">
              <w:rPr>
                <w:rFonts w:ascii="Trebuchet MS" w:hAnsi="Trebuchet MS"/>
                <w:bCs/>
                <w:sz w:val="18"/>
                <w:szCs w:val="18"/>
                <w:lang w:val="en-GB" w:eastAsia="hr-HR"/>
              </w:rPr>
              <w:t>Key audit matter</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11C2B5" w14:textId="77777777" w:rsidR="00587444" w:rsidRPr="00587444" w:rsidRDefault="00587444" w:rsidP="00587444">
            <w:pPr>
              <w:suppressAutoHyphens w:val="0"/>
              <w:ind w:left="113"/>
              <w:rPr>
                <w:rFonts w:ascii="Trebuchet MS" w:hAnsi="Trebuchet MS"/>
                <w:bCs/>
                <w:sz w:val="18"/>
                <w:szCs w:val="18"/>
                <w:lang w:val="en-GB" w:eastAsia="hr-HR"/>
              </w:rPr>
            </w:pPr>
            <w:r w:rsidRPr="00587444">
              <w:rPr>
                <w:rFonts w:ascii="Trebuchet MS" w:hAnsi="Trebuchet MS"/>
                <w:bCs/>
                <w:sz w:val="18"/>
                <w:szCs w:val="18"/>
                <w:lang w:val="en-GB" w:eastAsia="hr-HR"/>
              </w:rPr>
              <w:t>How our audit addressed the matter</w:t>
            </w:r>
          </w:p>
        </w:tc>
      </w:tr>
      <w:tr w:rsidR="00587444" w:rsidRPr="00587444" w14:paraId="3686C0F1" w14:textId="77777777" w:rsidTr="00DD69E7">
        <w:tc>
          <w:tcPr>
            <w:tcW w:w="2500" w:type="pct"/>
            <w:tcBorders>
              <w:top w:val="single" w:sz="4" w:space="0" w:color="auto"/>
              <w:left w:val="single" w:sz="4" w:space="0" w:color="auto"/>
              <w:bottom w:val="single" w:sz="4" w:space="0" w:color="auto"/>
              <w:right w:val="single" w:sz="4" w:space="0" w:color="auto"/>
            </w:tcBorders>
            <w:hideMark/>
          </w:tcPr>
          <w:p w14:paraId="0E85BA05" w14:textId="77777777" w:rsidR="00587444" w:rsidRPr="00587444" w:rsidRDefault="00587444" w:rsidP="00587444">
            <w:pPr>
              <w:suppressAutoHyphens w:val="0"/>
              <w:spacing w:before="120"/>
              <w:rPr>
                <w:rFonts w:ascii="Trebuchet MS" w:hAnsi="Trebuchet MS"/>
                <w:bCs/>
                <w:sz w:val="18"/>
                <w:szCs w:val="18"/>
                <w:lang w:val="en-GB" w:bidi="he-IL"/>
              </w:rPr>
            </w:pPr>
            <w:r w:rsidRPr="00587444">
              <w:rPr>
                <w:rFonts w:ascii="Trebuchet MS" w:hAnsi="Trebuchet MS"/>
                <w:bCs/>
                <w:sz w:val="18"/>
                <w:szCs w:val="18"/>
                <w:lang w:val="en-GB" w:eastAsia="hr-HR" w:bidi="he-IL"/>
              </w:rPr>
              <w:t>For the above reasons, impairment of loans to other customers was determined by us to be a significant risk in our audit, which required our increased attention. Accordingly, we considered this area to be our key audit matter.</w:t>
            </w:r>
          </w:p>
        </w:tc>
        <w:tc>
          <w:tcPr>
            <w:tcW w:w="2500" w:type="pct"/>
            <w:tcBorders>
              <w:top w:val="single" w:sz="4" w:space="0" w:color="auto"/>
              <w:left w:val="single" w:sz="4" w:space="0" w:color="auto"/>
              <w:bottom w:val="single" w:sz="4" w:space="0" w:color="auto"/>
              <w:right w:val="single" w:sz="4" w:space="0" w:color="auto"/>
            </w:tcBorders>
          </w:tcPr>
          <w:p w14:paraId="3B3DF94E" w14:textId="24A0A50B" w:rsidR="00587444" w:rsidRPr="00587444" w:rsidRDefault="00587444">
            <w:pPr>
              <w:numPr>
                <w:ilvl w:val="0"/>
                <w:numId w:val="73"/>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 xml:space="preserve">Selecting a sample of individual exposures, with focus on those exposures with the greatest potential impact on the financial statements due to their magnitude and risk characteristics, as well as lower value items, which we independently assessed as high-risk, such as </w:t>
            </w:r>
            <w:proofErr w:type="spellStart"/>
            <w:r w:rsidRPr="00587444">
              <w:rPr>
                <w:rFonts w:ascii="Trebuchet MS" w:hAnsi="Trebuchet MS"/>
                <w:sz w:val="18"/>
                <w:szCs w:val="18"/>
                <w:lang w:val="en-GB" w:eastAsia="hr-HR"/>
              </w:rPr>
              <w:t>watchlist</w:t>
            </w:r>
            <w:r w:rsidR="00F31FA6">
              <w:rPr>
                <w:rFonts w:ascii="Trebuchet MS" w:hAnsi="Trebuchet MS"/>
                <w:sz w:val="18"/>
                <w:szCs w:val="18"/>
                <w:lang w:val="en-GB" w:eastAsia="hr-HR"/>
              </w:rPr>
              <w:t>ed</w:t>
            </w:r>
            <w:proofErr w:type="spellEnd"/>
            <w:r w:rsidRPr="00587444">
              <w:rPr>
                <w:rFonts w:ascii="Trebuchet MS" w:hAnsi="Trebuchet MS"/>
                <w:sz w:val="18"/>
                <w:szCs w:val="18"/>
                <w:lang w:val="en-GB" w:eastAsia="hr-HR"/>
              </w:rPr>
              <w:t xml:space="preserve">, restructured or rescheduled exposures, loans to clients operating in higher risk industries, non-performing exposures with low provision coverage and loans with significant change in the provision coverage; </w:t>
            </w:r>
          </w:p>
          <w:p w14:paraId="5391F49C" w14:textId="77777777" w:rsidR="00587444" w:rsidRPr="00587444" w:rsidRDefault="00587444">
            <w:pPr>
              <w:numPr>
                <w:ilvl w:val="0"/>
                <w:numId w:val="73"/>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For the sample selected, critically assessing, by reference to the underlying documentation (loan files) and through inquiries of the Bank’s and the Group’s loan officers and credit risk management personnel, the existence of any triggers for classification to Stage 2 or Stage 3 as at 31 December 2022;</w:t>
            </w:r>
          </w:p>
          <w:p w14:paraId="2161E542" w14:textId="77777777" w:rsidR="00587444" w:rsidRPr="00587444" w:rsidRDefault="00587444" w:rsidP="00587444">
            <w:pPr>
              <w:suppressAutoHyphens w:val="0"/>
              <w:spacing w:before="120"/>
              <w:ind w:left="28"/>
              <w:rPr>
                <w:rFonts w:ascii="Trebuchet MS" w:hAnsi="Trebuchet MS"/>
                <w:sz w:val="18"/>
                <w:szCs w:val="18"/>
                <w:lang w:val="en-GB" w:eastAsia="hr-HR"/>
              </w:rPr>
            </w:pPr>
            <w:r w:rsidRPr="00587444">
              <w:rPr>
                <w:rFonts w:ascii="Trebuchet MS" w:hAnsi="Trebuchet MS"/>
                <w:sz w:val="18"/>
                <w:szCs w:val="18"/>
                <w:lang w:val="en-GB" w:eastAsia="hr-HR"/>
              </w:rPr>
              <w:t>For loss allowance calculated individually, our audit procedures included:</w:t>
            </w:r>
          </w:p>
          <w:p w14:paraId="43A4CD9F" w14:textId="77777777" w:rsidR="00587444" w:rsidRPr="00587444" w:rsidRDefault="00587444">
            <w:pPr>
              <w:numPr>
                <w:ilvl w:val="0"/>
                <w:numId w:val="73"/>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For those loans where triggers for classification in Stage 3 were identified, challenging key assumptions applied in the Bank’s and the Group’s estimates of future cash flows used in the impairment calculation, such as discount rates, collateral values and realization period by reference to publicly available resources and historical experience. We sought the Management Board’s explanations for any material discrepancies identified.</w:t>
            </w:r>
          </w:p>
          <w:p w14:paraId="247132E4" w14:textId="77777777" w:rsidR="00587444" w:rsidRPr="00587444" w:rsidRDefault="00587444" w:rsidP="00587444">
            <w:pPr>
              <w:suppressAutoHyphens w:val="0"/>
              <w:spacing w:before="120"/>
              <w:ind w:left="28"/>
              <w:rPr>
                <w:rFonts w:ascii="Trebuchet MS" w:hAnsi="Trebuchet MS"/>
                <w:sz w:val="18"/>
                <w:szCs w:val="18"/>
                <w:lang w:val="en-GB" w:eastAsia="hr-HR"/>
              </w:rPr>
            </w:pPr>
            <w:r w:rsidRPr="00587444">
              <w:rPr>
                <w:rFonts w:ascii="Trebuchet MS" w:hAnsi="Trebuchet MS"/>
                <w:sz w:val="18"/>
                <w:szCs w:val="18"/>
                <w:lang w:val="en-GB" w:eastAsia="hr-HR"/>
              </w:rPr>
              <w:t>For loss allowance calculated on a collective basis, our audit procedures included:</w:t>
            </w:r>
          </w:p>
          <w:p w14:paraId="25BA1E69" w14:textId="77777777" w:rsidR="00587444" w:rsidRPr="00587444" w:rsidRDefault="00587444">
            <w:pPr>
              <w:numPr>
                <w:ilvl w:val="0"/>
                <w:numId w:val="73"/>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 xml:space="preserve">Assessing whether the definition of default and the relevant staging criteria were appropriate and consistently applied. </w:t>
            </w:r>
          </w:p>
          <w:p w14:paraId="702D63DB" w14:textId="77777777" w:rsidR="00587444" w:rsidRPr="00587444" w:rsidRDefault="00587444">
            <w:pPr>
              <w:numPr>
                <w:ilvl w:val="0"/>
                <w:numId w:val="73"/>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Obtaining the relevant forward-looking information and macroeconomic forecasts used in the Bank’s and the Group’s ECL estimate. Independently assessing the information by reference to publicly available sources.</w:t>
            </w:r>
          </w:p>
          <w:p w14:paraId="185CADDD" w14:textId="77777777" w:rsidR="00587444" w:rsidRPr="00587444" w:rsidRDefault="00587444" w:rsidP="00587444">
            <w:pPr>
              <w:suppressAutoHyphens w:val="0"/>
              <w:spacing w:before="120"/>
              <w:ind w:left="388"/>
              <w:contextualSpacing/>
              <w:rPr>
                <w:rFonts w:ascii="Trebuchet MS" w:hAnsi="Trebuchet MS"/>
                <w:sz w:val="18"/>
                <w:szCs w:val="18"/>
                <w:lang w:val="en-GB" w:eastAsia="hr-HR"/>
              </w:rPr>
            </w:pPr>
          </w:p>
        </w:tc>
      </w:tr>
      <w:bookmarkEnd w:id="125"/>
    </w:tbl>
    <w:p w14:paraId="6AA4A63B" w14:textId="77777777" w:rsidR="00587444" w:rsidRPr="00587444" w:rsidRDefault="00587444" w:rsidP="00587444">
      <w:pPr>
        <w:suppressAutoHyphens w:val="0"/>
        <w:autoSpaceDN/>
        <w:rPr>
          <w:rFonts w:ascii="Trebuchet MS" w:hAnsi="Trebuchet MS" w:cs="Arial"/>
          <w:b/>
          <w:sz w:val="20"/>
          <w:szCs w:val="20"/>
          <w:lang w:val="af-ZA" w:eastAsia="af-ZA"/>
        </w:rPr>
      </w:pPr>
    </w:p>
    <w:p w14:paraId="498A069E" w14:textId="77777777" w:rsidR="00587444" w:rsidRPr="00587444" w:rsidRDefault="00587444" w:rsidP="00587444">
      <w:pPr>
        <w:suppressAutoHyphens w:val="0"/>
        <w:autoSpaceDN/>
        <w:rPr>
          <w:rFonts w:ascii="Trebuchet MS" w:eastAsia="Calibri" w:hAnsi="Trebuchet MS"/>
          <w:b/>
          <w:bCs/>
          <w:sz w:val="20"/>
          <w:szCs w:val="20"/>
          <w:lang w:val="hr-HR"/>
        </w:rPr>
      </w:pPr>
      <w:r w:rsidRPr="00587444">
        <w:rPr>
          <w:rFonts w:ascii="Trebuchet MS" w:eastAsia="Calibri" w:hAnsi="Trebuchet MS"/>
          <w:b/>
          <w:bCs/>
          <w:sz w:val="20"/>
          <w:szCs w:val="20"/>
          <w:lang w:val="hr-HR"/>
        </w:rPr>
        <w:br w:type="page"/>
      </w:r>
    </w:p>
    <w:p w14:paraId="4F2CA56D" w14:textId="77777777" w:rsidR="00587444" w:rsidRPr="00587444" w:rsidRDefault="00587444" w:rsidP="00807811">
      <w:pPr>
        <w:suppressAutoHyphens w:val="0"/>
        <w:autoSpaceDN/>
        <w:spacing w:before="240" w:after="200"/>
        <w:jc w:val="both"/>
        <w:rPr>
          <w:rFonts w:ascii="Trebuchet MS" w:eastAsia="Calibri" w:hAnsi="Trebuchet MS"/>
          <w:b/>
          <w:bCs/>
          <w:sz w:val="20"/>
          <w:szCs w:val="20"/>
          <w:lang w:val="hr-HR"/>
        </w:rPr>
      </w:pPr>
      <w:r w:rsidRPr="00587444">
        <w:rPr>
          <w:rFonts w:ascii="Trebuchet MS" w:eastAsiaTheme="minorHAnsi" w:hAnsi="Trebuchet MS" w:cstheme="minorBidi"/>
          <w:b/>
          <w:bCs/>
          <w:sz w:val="20"/>
          <w:szCs w:val="20"/>
          <w:lang w:val="hr-HR"/>
        </w:rPr>
        <w:lastRenderedPageBreak/>
        <w:t>INDEPENDENT</w:t>
      </w:r>
      <w:r w:rsidRPr="00587444">
        <w:rPr>
          <w:rFonts w:ascii="Trebuchet MS" w:eastAsia="Calibri" w:hAnsi="Trebuchet MS"/>
          <w:b/>
          <w:bCs/>
          <w:sz w:val="20"/>
          <w:szCs w:val="20"/>
          <w:lang w:val="hr-HR"/>
        </w:rPr>
        <w:t xml:space="preserve"> JOINT AUDITOR’S REPORT TO THE OWNER OF CROATIAN BANK FOR RECONSTRUCTION AND DEVELOPMENT (CONTINUED)</w:t>
      </w:r>
    </w:p>
    <w:p w14:paraId="7ED3321E" w14:textId="77777777" w:rsidR="00587444" w:rsidRPr="00587444" w:rsidRDefault="00587444" w:rsidP="00587444">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Report on the Audit of the separate and consolidated Financial Statements (continued)</w:t>
      </w:r>
    </w:p>
    <w:p w14:paraId="07369BD8" w14:textId="77777777" w:rsidR="00587444" w:rsidRPr="00587444" w:rsidRDefault="00587444" w:rsidP="00587444">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Key Audit Matters (continued)</w:t>
      </w:r>
    </w:p>
    <w:tbl>
      <w:tblPr>
        <w:tblStyle w:val="TableGrid19"/>
        <w:tblW w:w="5000" w:type="pct"/>
        <w:tblInd w:w="0" w:type="dxa"/>
        <w:tblLook w:val="04A0" w:firstRow="1" w:lastRow="0" w:firstColumn="1" w:lastColumn="0" w:noHBand="0" w:noVBand="1"/>
      </w:tblPr>
      <w:tblGrid>
        <w:gridCol w:w="4643"/>
        <w:gridCol w:w="4644"/>
      </w:tblGrid>
      <w:tr w:rsidR="00587444" w:rsidRPr="00587444" w14:paraId="48540D62" w14:textId="77777777" w:rsidTr="00DD69E7">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5055328" w14:textId="77777777" w:rsidR="00587444" w:rsidRPr="00587444" w:rsidRDefault="00587444" w:rsidP="00587444">
            <w:pPr>
              <w:suppressAutoHyphens w:val="0"/>
              <w:ind w:left="164" w:right="-116"/>
              <w:rPr>
                <w:rFonts w:ascii="Trebuchet MS" w:hAnsi="Trebuchet MS"/>
                <w:sz w:val="18"/>
                <w:szCs w:val="18"/>
                <w:lang w:val="en-GB" w:eastAsia="hr-HR"/>
              </w:rPr>
            </w:pPr>
            <w:r w:rsidRPr="00587444">
              <w:rPr>
                <w:rFonts w:ascii="Trebuchet MS" w:hAnsi="Trebuchet MS"/>
                <w:sz w:val="18"/>
                <w:szCs w:val="18"/>
                <w:lang w:val="en-GB" w:eastAsia="hr-HR"/>
              </w:rPr>
              <w:t>Impairment of loans to other customers (continued)</w:t>
            </w:r>
          </w:p>
        </w:tc>
      </w:tr>
      <w:tr w:rsidR="00587444" w:rsidRPr="00587444" w14:paraId="375F0660" w14:textId="77777777" w:rsidTr="00DD69E7">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B923900" w14:textId="77777777" w:rsidR="00587444" w:rsidRPr="00587444" w:rsidRDefault="00587444" w:rsidP="00587444">
            <w:pPr>
              <w:suppressAutoHyphens w:val="0"/>
              <w:ind w:left="164"/>
              <w:rPr>
                <w:rFonts w:ascii="Trebuchet MS" w:hAnsi="Trebuchet MS"/>
                <w:bCs/>
                <w:sz w:val="18"/>
                <w:szCs w:val="18"/>
                <w:lang w:val="en-GB" w:eastAsia="hr-HR"/>
              </w:rPr>
            </w:pPr>
            <w:r w:rsidRPr="00587444">
              <w:rPr>
                <w:rFonts w:ascii="Trebuchet MS" w:hAnsi="Trebuchet MS"/>
                <w:bCs/>
                <w:sz w:val="18"/>
                <w:szCs w:val="18"/>
                <w:lang w:val="en-GB" w:eastAsia="hr-HR"/>
              </w:rPr>
              <w:t>Key audit matter</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A18B05" w14:textId="77777777" w:rsidR="00587444" w:rsidRPr="00587444" w:rsidRDefault="00587444" w:rsidP="00587444">
            <w:pPr>
              <w:suppressAutoHyphens w:val="0"/>
              <w:ind w:left="113"/>
              <w:rPr>
                <w:rFonts w:ascii="Trebuchet MS" w:hAnsi="Trebuchet MS"/>
                <w:bCs/>
                <w:sz w:val="18"/>
                <w:szCs w:val="18"/>
                <w:lang w:val="en-GB" w:eastAsia="hr-HR"/>
              </w:rPr>
            </w:pPr>
            <w:r w:rsidRPr="00587444">
              <w:rPr>
                <w:rFonts w:ascii="Trebuchet MS" w:hAnsi="Trebuchet MS"/>
                <w:bCs/>
                <w:sz w:val="18"/>
                <w:szCs w:val="18"/>
                <w:lang w:val="en-GB" w:eastAsia="hr-HR"/>
              </w:rPr>
              <w:t>How our audit addressed the matter</w:t>
            </w:r>
          </w:p>
        </w:tc>
      </w:tr>
      <w:tr w:rsidR="00587444" w:rsidRPr="00587444" w14:paraId="431F98DA" w14:textId="77777777" w:rsidTr="00DD69E7">
        <w:tc>
          <w:tcPr>
            <w:tcW w:w="2500" w:type="pct"/>
            <w:tcBorders>
              <w:top w:val="single" w:sz="4" w:space="0" w:color="auto"/>
              <w:left w:val="single" w:sz="4" w:space="0" w:color="auto"/>
              <w:bottom w:val="single" w:sz="4" w:space="0" w:color="auto"/>
              <w:right w:val="single" w:sz="4" w:space="0" w:color="auto"/>
            </w:tcBorders>
            <w:hideMark/>
          </w:tcPr>
          <w:p w14:paraId="53845642" w14:textId="77777777" w:rsidR="00587444" w:rsidRPr="00587444" w:rsidRDefault="00587444" w:rsidP="00587444">
            <w:pPr>
              <w:suppressAutoHyphens w:val="0"/>
              <w:spacing w:after="120"/>
              <w:rPr>
                <w:rFonts w:ascii="Trebuchet MS" w:hAnsi="Trebuchet MS"/>
                <w:bCs/>
                <w:sz w:val="18"/>
                <w:szCs w:val="18"/>
                <w:lang w:val="en-GB" w:bidi="he-IL"/>
              </w:rPr>
            </w:pPr>
          </w:p>
        </w:tc>
        <w:tc>
          <w:tcPr>
            <w:tcW w:w="2500" w:type="pct"/>
            <w:tcBorders>
              <w:top w:val="single" w:sz="4" w:space="0" w:color="auto"/>
              <w:left w:val="single" w:sz="4" w:space="0" w:color="auto"/>
              <w:bottom w:val="single" w:sz="4" w:space="0" w:color="auto"/>
              <w:right w:val="single" w:sz="4" w:space="0" w:color="auto"/>
            </w:tcBorders>
          </w:tcPr>
          <w:p w14:paraId="16EE0376" w14:textId="77777777" w:rsidR="00587444" w:rsidRPr="00587444" w:rsidRDefault="00587444">
            <w:pPr>
              <w:numPr>
                <w:ilvl w:val="0"/>
                <w:numId w:val="73"/>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For a sample of exposures, challenging key model parameters, as follows:</w:t>
            </w:r>
          </w:p>
          <w:p w14:paraId="44078568" w14:textId="77777777" w:rsidR="00587444" w:rsidRPr="00587444" w:rsidRDefault="00587444">
            <w:pPr>
              <w:numPr>
                <w:ilvl w:val="1"/>
                <w:numId w:val="74"/>
              </w:numPr>
              <w:suppressAutoHyphens w:val="0"/>
              <w:spacing w:before="120"/>
              <w:contextualSpacing/>
              <w:rPr>
                <w:rFonts w:ascii="Trebuchet MS" w:hAnsi="Trebuchet MS" w:cs="Arial"/>
                <w:sz w:val="18"/>
                <w:szCs w:val="18"/>
                <w:lang w:val="en-GB"/>
              </w:rPr>
            </w:pPr>
            <w:r w:rsidRPr="00587444">
              <w:rPr>
                <w:rFonts w:ascii="Trebuchet MS" w:hAnsi="Trebuchet MS" w:cs="Arial"/>
                <w:sz w:val="18"/>
                <w:szCs w:val="18"/>
                <w:lang w:val="en-GB"/>
              </w:rPr>
              <w:t xml:space="preserve">EAD – by tracing underlying data on exposures to loan contracts; </w:t>
            </w:r>
          </w:p>
          <w:p w14:paraId="6F95C1D1" w14:textId="77777777" w:rsidR="00587444" w:rsidRPr="00587444" w:rsidRDefault="00587444">
            <w:pPr>
              <w:numPr>
                <w:ilvl w:val="1"/>
                <w:numId w:val="74"/>
              </w:numPr>
              <w:suppressAutoHyphens w:val="0"/>
              <w:spacing w:after="120"/>
              <w:ind w:left="1105" w:hanging="357"/>
              <w:rPr>
                <w:rFonts w:ascii="Trebuchet MS" w:hAnsi="Trebuchet MS"/>
                <w:sz w:val="18"/>
                <w:szCs w:val="18"/>
                <w:lang w:val="en-GB" w:eastAsia="hr-HR"/>
              </w:rPr>
            </w:pPr>
            <w:r w:rsidRPr="00587444">
              <w:rPr>
                <w:rFonts w:ascii="Trebuchet MS" w:hAnsi="Trebuchet MS"/>
                <w:sz w:val="18"/>
                <w:szCs w:val="18"/>
                <w:lang w:val="en-GB" w:eastAsia="hr-HR"/>
              </w:rPr>
              <w:t>LGD and PD - by reference to the Bank’s historical experience, adjusted where relevant for the expected changes in economic conditions as derived from the forward-looking information;</w:t>
            </w:r>
          </w:p>
          <w:p w14:paraId="5F39635D" w14:textId="77777777" w:rsidR="00587444" w:rsidRPr="00587444" w:rsidRDefault="00587444">
            <w:pPr>
              <w:numPr>
                <w:ilvl w:val="0"/>
                <w:numId w:val="74"/>
              </w:numPr>
              <w:suppressAutoHyphens w:val="0"/>
              <w:spacing w:before="80" w:after="120"/>
              <w:rPr>
                <w:rFonts w:ascii="Trebuchet MS" w:hAnsi="Trebuchet MS" w:cs="Arial"/>
                <w:color w:val="000000"/>
                <w:sz w:val="18"/>
                <w:szCs w:val="18"/>
                <w:lang w:val="en-GB"/>
              </w:rPr>
            </w:pPr>
            <w:r w:rsidRPr="00587444">
              <w:rPr>
                <w:rFonts w:ascii="Trebuchet MS" w:hAnsi="Trebuchet MS" w:cs="Arial"/>
                <w:color w:val="000000"/>
                <w:sz w:val="18"/>
                <w:szCs w:val="18"/>
                <w:lang w:val="en-GB"/>
              </w:rPr>
              <w:t>Obtaining Bank’s and the Group’s results of back testing performed over the PD and LGD parameters used in prior periods and seeking the Management Board’s explanations for any material discrepancies identified.</w:t>
            </w:r>
          </w:p>
          <w:p w14:paraId="37A5CB1D" w14:textId="77777777" w:rsidR="00587444" w:rsidRPr="00587444" w:rsidRDefault="00587444" w:rsidP="00587444">
            <w:pPr>
              <w:suppressAutoHyphens w:val="0"/>
              <w:spacing w:before="80" w:after="120"/>
              <w:textAlignment w:val="baseline"/>
              <w:rPr>
                <w:rFonts w:ascii="Trebuchet MS" w:hAnsi="Trebuchet MS" w:cs="Arial"/>
                <w:color w:val="000000"/>
                <w:sz w:val="18"/>
                <w:szCs w:val="18"/>
                <w:lang w:val="en-GB"/>
              </w:rPr>
            </w:pPr>
            <w:r w:rsidRPr="00587444">
              <w:rPr>
                <w:rFonts w:ascii="Trebuchet MS" w:hAnsi="Trebuchet MS" w:cs="Arial"/>
                <w:color w:val="000000"/>
                <w:sz w:val="18"/>
                <w:szCs w:val="18"/>
                <w:lang w:val="en-GB"/>
              </w:rPr>
              <w:t>For loss allowance in totality, our audit procedures included:</w:t>
            </w:r>
          </w:p>
          <w:p w14:paraId="6E6DF9B0" w14:textId="77777777" w:rsidR="00587444" w:rsidRPr="00587444" w:rsidRDefault="00587444">
            <w:pPr>
              <w:numPr>
                <w:ilvl w:val="0"/>
                <w:numId w:val="74"/>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Critically assessing the overall reasonableness of the impairment allowances, including both the share of the gross non-performing exposures in total gross exposures, and the non-performing loans provision coverage;</w:t>
            </w:r>
          </w:p>
          <w:p w14:paraId="0C10D332" w14:textId="77777777" w:rsidR="00587444" w:rsidRPr="00587444" w:rsidRDefault="00587444">
            <w:pPr>
              <w:numPr>
                <w:ilvl w:val="0"/>
                <w:numId w:val="74"/>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Examining whether the Bank’s and the Group’s loan impairment and credit risk-related disclosures in the financial statements appropriately include and describe the relevant quantitative and qualitative information required by the applicable financial reporting framework.</w:t>
            </w:r>
          </w:p>
          <w:p w14:paraId="7C82DB2F" w14:textId="77777777" w:rsidR="00587444" w:rsidRPr="00587444" w:rsidRDefault="00587444" w:rsidP="00587444">
            <w:pPr>
              <w:suppressAutoHyphens w:val="0"/>
              <w:spacing w:before="120"/>
              <w:ind w:left="388"/>
              <w:contextualSpacing/>
              <w:rPr>
                <w:rFonts w:ascii="Trebuchet MS" w:hAnsi="Trebuchet MS"/>
                <w:sz w:val="18"/>
                <w:szCs w:val="18"/>
                <w:lang w:val="en-GB" w:eastAsia="hr-HR"/>
              </w:rPr>
            </w:pPr>
          </w:p>
        </w:tc>
      </w:tr>
    </w:tbl>
    <w:p w14:paraId="2E37C9EC" w14:textId="77777777" w:rsidR="00587444" w:rsidRPr="00587444" w:rsidRDefault="00587444" w:rsidP="00587444">
      <w:pPr>
        <w:suppressAutoHyphens w:val="0"/>
        <w:autoSpaceDN/>
        <w:rPr>
          <w:rFonts w:ascii="Trebuchet MS" w:hAnsi="Trebuchet MS" w:cs="Arial"/>
          <w:b/>
          <w:sz w:val="20"/>
          <w:szCs w:val="20"/>
          <w:lang w:val="af-ZA" w:eastAsia="af-ZA"/>
        </w:rPr>
        <w:sectPr w:rsidR="00587444" w:rsidRPr="00587444" w:rsidSect="00DD69E7">
          <w:pgSz w:w="11907" w:h="16840" w:code="9"/>
          <w:pgMar w:top="1418" w:right="1418" w:bottom="1418" w:left="1418" w:header="720" w:footer="720" w:gutter="0"/>
          <w:cols w:space="720"/>
        </w:sectPr>
      </w:pPr>
    </w:p>
    <w:p w14:paraId="2D4A3DB3" w14:textId="77777777" w:rsidR="00587444" w:rsidRPr="00587444" w:rsidRDefault="00587444" w:rsidP="00587444">
      <w:pPr>
        <w:suppressAutoHyphens w:val="0"/>
        <w:autoSpaceDN/>
        <w:spacing w:before="240" w:after="200"/>
        <w:jc w:val="both"/>
        <w:rPr>
          <w:rFonts w:ascii="Trebuchet MS" w:eastAsia="Calibri" w:hAnsi="Trebuchet MS"/>
          <w:b/>
          <w:bCs/>
          <w:sz w:val="20"/>
          <w:szCs w:val="20"/>
          <w:lang w:val="hr-HR"/>
        </w:rPr>
      </w:pPr>
      <w:bookmarkStart w:id="126" w:name="_Hlk129938176"/>
      <w:r w:rsidRPr="00587444">
        <w:rPr>
          <w:rFonts w:ascii="Trebuchet MS" w:eastAsia="Calibri" w:hAnsi="Trebuchet MS"/>
          <w:b/>
          <w:bCs/>
          <w:sz w:val="20"/>
          <w:szCs w:val="20"/>
          <w:lang w:val="hr-HR"/>
        </w:rPr>
        <w:lastRenderedPageBreak/>
        <w:t>INDEPENDENT JOINT AUDITOR’S REPORT TO THE OWNER OF CROATIAN BANK FOR RECONSTRUCTION AND DEVELOPMENT (CONTINUED)</w:t>
      </w:r>
    </w:p>
    <w:p w14:paraId="142DC323" w14:textId="77777777" w:rsidR="00587444" w:rsidRPr="00587444" w:rsidRDefault="00587444" w:rsidP="00587444">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Report on the Audit of the separate and consolidated Financial Statements (continued)</w:t>
      </w:r>
    </w:p>
    <w:bookmarkEnd w:id="126"/>
    <w:p w14:paraId="3AA3D7A7" w14:textId="77777777" w:rsidR="00587444" w:rsidRPr="00587444" w:rsidRDefault="00587444" w:rsidP="00587444">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Other Information</w:t>
      </w:r>
    </w:p>
    <w:p w14:paraId="3A94F583" w14:textId="0FEEF2F5" w:rsidR="00587444" w:rsidRPr="00587444" w:rsidRDefault="00587444" w:rsidP="00587444">
      <w:pPr>
        <w:suppressAutoHyphens w:val="0"/>
        <w:autoSpaceDN/>
        <w:jc w:val="both"/>
        <w:rPr>
          <w:rFonts w:ascii="Trebuchet MS" w:hAnsi="Trebuchet MS" w:cs="Arial"/>
          <w:sz w:val="20"/>
          <w:szCs w:val="20"/>
          <w:lang w:val="en-GB" w:eastAsia="hr-HR" w:bidi="he-IL"/>
        </w:rPr>
      </w:pPr>
      <w:r w:rsidRPr="00587444">
        <w:rPr>
          <w:rFonts w:ascii="Trebuchet MS" w:hAnsi="Trebuchet MS" w:cs="Arial"/>
          <w:sz w:val="20"/>
          <w:szCs w:val="20"/>
          <w:lang w:val="en-GB" w:eastAsia="hr-HR" w:bidi="he-IL"/>
        </w:rPr>
        <w:t>Management is responsible for the other information. Other information included information comprises in the Annual Report of the Bank and the Group</w:t>
      </w:r>
      <w:r w:rsidR="00F31FA6">
        <w:rPr>
          <w:rFonts w:ascii="Trebuchet MS" w:hAnsi="Trebuchet MS" w:cs="Arial"/>
          <w:sz w:val="20"/>
          <w:szCs w:val="20"/>
          <w:lang w:val="en-GB" w:eastAsia="hr-HR" w:bidi="he-IL"/>
        </w:rPr>
        <w:t xml:space="preserve"> </w:t>
      </w:r>
      <w:r w:rsidRPr="00587444">
        <w:rPr>
          <w:rFonts w:ascii="Trebuchet MS" w:hAnsi="Trebuchet MS" w:cs="Arial"/>
          <w:sz w:val="20"/>
          <w:szCs w:val="20"/>
          <w:lang w:val="en-GB" w:eastAsia="hr-HR" w:bidi="he-IL"/>
        </w:rPr>
        <w:t>but does not include the</w:t>
      </w:r>
      <w:r w:rsidR="00021A1C">
        <w:rPr>
          <w:rFonts w:ascii="Trebuchet MS" w:hAnsi="Trebuchet MS" w:cs="Arial"/>
          <w:sz w:val="20"/>
          <w:szCs w:val="20"/>
          <w:lang w:val="en-GB" w:eastAsia="hr-HR" w:bidi="he-IL"/>
        </w:rPr>
        <w:t xml:space="preserve"> annual separate and consolidated </w:t>
      </w:r>
      <w:r w:rsidRPr="00587444">
        <w:rPr>
          <w:rFonts w:ascii="Trebuchet MS" w:hAnsi="Trebuchet MS" w:cs="Arial"/>
          <w:sz w:val="20"/>
          <w:szCs w:val="20"/>
          <w:lang w:val="en-GB" w:eastAsia="hr-HR" w:bidi="he-IL"/>
        </w:rPr>
        <w:t xml:space="preserve">financial statements and our auditor’s report thereon. </w:t>
      </w:r>
    </w:p>
    <w:p w14:paraId="3BE0A4FE" w14:textId="77777777" w:rsidR="00587444" w:rsidRPr="00587444" w:rsidRDefault="00587444" w:rsidP="00587444">
      <w:pPr>
        <w:suppressAutoHyphens w:val="0"/>
        <w:autoSpaceDN/>
        <w:jc w:val="both"/>
        <w:rPr>
          <w:rFonts w:ascii="Trebuchet MS" w:hAnsi="Trebuchet MS" w:cs="Arial"/>
          <w:sz w:val="20"/>
          <w:szCs w:val="20"/>
          <w:lang w:val="en-GB" w:eastAsia="hr-HR" w:bidi="he-IL"/>
        </w:rPr>
      </w:pPr>
    </w:p>
    <w:p w14:paraId="3426842F" w14:textId="5AADC2FD" w:rsidR="00587444" w:rsidRPr="00587444" w:rsidRDefault="00587444" w:rsidP="00587444">
      <w:pPr>
        <w:suppressAutoHyphens w:val="0"/>
        <w:autoSpaceDN/>
        <w:jc w:val="both"/>
        <w:rPr>
          <w:rFonts w:ascii="Trebuchet MS" w:hAnsi="Trebuchet MS" w:cs="Arial"/>
          <w:sz w:val="20"/>
          <w:szCs w:val="20"/>
          <w:lang w:val="en-GB" w:eastAsia="hr-HR" w:bidi="he-IL"/>
        </w:rPr>
      </w:pPr>
      <w:r w:rsidRPr="00587444">
        <w:rPr>
          <w:rFonts w:ascii="Trebuchet MS" w:hAnsi="Trebuchet MS" w:cs="Arial"/>
          <w:sz w:val="20"/>
          <w:szCs w:val="20"/>
          <w:lang w:val="en-GB" w:eastAsia="hr-HR" w:bidi="he-IL"/>
        </w:rPr>
        <w:t xml:space="preserve">In connection with our audit of </w:t>
      </w:r>
      <w:r w:rsidR="006942E1">
        <w:rPr>
          <w:rFonts w:ascii="Trebuchet MS" w:hAnsi="Trebuchet MS" w:cs="Arial"/>
          <w:sz w:val="20"/>
          <w:szCs w:val="20"/>
          <w:lang w:val="en-GB" w:eastAsia="hr-HR" w:bidi="he-IL"/>
        </w:rPr>
        <w:t>the annual separate and consolidated</w:t>
      </w:r>
      <w:r w:rsidRPr="00587444">
        <w:rPr>
          <w:rFonts w:ascii="Trebuchet MS" w:hAnsi="Trebuchet MS" w:cs="Arial"/>
          <w:sz w:val="20"/>
          <w:szCs w:val="20"/>
          <w:lang w:val="en-GB" w:eastAsia="hr-HR" w:bidi="he-IL"/>
        </w:rPr>
        <w:t xml:space="preserve"> financial statements, our responsibility is to read the other information and, in doing so, consider whether the other information is materially inconsistent with the</w:t>
      </w:r>
      <w:r w:rsidR="00021A1C">
        <w:rPr>
          <w:rFonts w:ascii="Trebuchet MS" w:hAnsi="Trebuchet MS" w:cs="Arial"/>
          <w:sz w:val="20"/>
          <w:szCs w:val="20"/>
          <w:lang w:val="en-GB" w:eastAsia="hr-HR" w:bidi="he-IL"/>
        </w:rPr>
        <w:t xml:space="preserve"> </w:t>
      </w:r>
      <w:r w:rsidR="00021A1C" w:rsidRPr="00021A1C">
        <w:rPr>
          <w:rFonts w:ascii="Trebuchet MS" w:hAnsi="Trebuchet MS" w:cs="Arial"/>
          <w:sz w:val="20"/>
          <w:szCs w:val="20"/>
          <w:lang w:val="en-GB" w:eastAsia="hr-HR" w:bidi="he-IL"/>
        </w:rPr>
        <w:t>annual separate and consolidated</w:t>
      </w:r>
      <w:r w:rsidR="00CD5024">
        <w:rPr>
          <w:rFonts w:ascii="Trebuchet MS" w:hAnsi="Trebuchet MS" w:cs="Arial"/>
          <w:sz w:val="20"/>
          <w:szCs w:val="20"/>
          <w:lang w:val="en-GB" w:eastAsia="hr-HR" w:bidi="he-IL"/>
        </w:rPr>
        <w:t xml:space="preserve"> </w:t>
      </w:r>
      <w:r w:rsidRPr="00587444">
        <w:rPr>
          <w:rFonts w:ascii="Trebuchet MS" w:hAnsi="Trebuchet MS" w:cs="Arial"/>
          <w:sz w:val="20"/>
          <w:szCs w:val="20"/>
          <w:lang w:val="en-GB" w:eastAsia="hr-HR" w:bidi="he-IL"/>
        </w:rPr>
        <w:t>financial statements or our knowledge obtained in the audit, or otherwise appears to be materially misstated.</w:t>
      </w:r>
    </w:p>
    <w:p w14:paraId="40137BCA" w14:textId="77777777" w:rsidR="00587444" w:rsidRPr="00587444" w:rsidRDefault="00587444" w:rsidP="00587444">
      <w:pPr>
        <w:suppressAutoHyphens w:val="0"/>
        <w:autoSpaceDN/>
        <w:jc w:val="both"/>
        <w:rPr>
          <w:rFonts w:ascii="Trebuchet MS" w:hAnsi="Trebuchet MS" w:cs="Arial"/>
          <w:sz w:val="20"/>
          <w:szCs w:val="20"/>
          <w:lang w:val="hr-HR" w:eastAsia="hr-HR" w:bidi="he-IL"/>
        </w:rPr>
      </w:pPr>
    </w:p>
    <w:p w14:paraId="4680BA97" w14:textId="3A952EC3" w:rsidR="00587444" w:rsidRPr="00587444" w:rsidRDefault="00587444" w:rsidP="00587444">
      <w:pPr>
        <w:suppressAutoHyphens w:val="0"/>
        <w:autoSpaceDE w:val="0"/>
        <w:adjustRightInd w:val="0"/>
        <w:spacing w:after="120"/>
        <w:jc w:val="both"/>
        <w:rPr>
          <w:rFonts w:ascii="Trebuchet MS" w:hAnsi="Trebuchet MS" w:cs="Arial"/>
          <w:sz w:val="20"/>
          <w:szCs w:val="20"/>
          <w:lang w:eastAsia="hr-HR" w:bidi="he-IL"/>
        </w:rPr>
      </w:pPr>
      <w:r w:rsidRPr="00587444">
        <w:rPr>
          <w:rFonts w:ascii="Trebuchet MS" w:hAnsi="Trebuchet MS" w:cs="Arial"/>
          <w:sz w:val="20"/>
          <w:szCs w:val="20"/>
          <w:lang w:eastAsia="hr-HR" w:bidi="he-IL"/>
        </w:rPr>
        <w:t xml:space="preserve">With respect to the Management Report for the Bank and the Group and Corporate Governance Statement, we also performed procedures required by the Accounting Act in Croatia („Accounting Act“). Those procedures include considering whether: </w:t>
      </w:r>
    </w:p>
    <w:p w14:paraId="53831443" w14:textId="77777777" w:rsidR="00587444" w:rsidRPr="00587444" w:rsidRDefault="00587444">
      <w:pPr>
        <w:numPr>
          <w:ilvl w:val="2"/>
          <w:numId w:val="75"/>
        </w:numPr>
        <w:suppressAutoHyphens w:val="0"/>
        <w:autoSpaceDE w:val="0"/>
        <w:autoSpaceDN/>
        <w:adjustRightInd w:val="0"/>
        <w:spacing w:before="120" w:after="120" w:line="276" w:lineRule="auto"/>
        <w:ind w:left="568"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the Management Report has been prepared in accordance with the requirements of Articles 21 and 24 of the Accounting Act</w:t>
      </w:r>
    </w:p>
    <w:p w14:paraId="66AD2D46" w14:textId="77777777" w:rsidR="00587444" w:rsidRPr="00587444" w:rsidRDefault="00587444">
      <w:pPr>
        <w:numPr>
          <w:ilvl w:val="2"/>
          <w:numId w:val="75"/>
        </w:numPr>
        <w:suppressAutoHyphens w:val="0"/>
        <w:autoSpaceDE w:val="0"/>
        <w:autoSpaceDN/>
        <w:adjustRightInd w:val="0"/>
        <w:spacing w:before="120" w:after="120" w:line="276" w:lineRule="auto"/>
        <w:ind w:left="568" w:hanging="284"/>
        <w:jc w:val="both"/>
        <w:rPr>
          <w:rFonts w:ascii="Trebuchet MS" w:hAnsi="Trebuchet MS" w:cs="Arial"/>
          <w:sz w:val="20"/>
          <w:szCs w:val="20"/>
          <w:lang w:eastAsia="hr-HR" w:bidi="he-IL"/>
        </w:rPr>
      </w:pPr>
      <w:bookmarkStart w:id="127" w:name="_Hlk99372736"/>
      <w:r w:rsidRPr="00587444">
        <w:rPr>
          <w:rFonts w:ascii="Trebuchet MS" w:hAnsi="Trebuchet MS" w:cs="Arial"/>
          <w:sz w:val="20"/>
          <w:szCs w:val="20"/>
          <w:lang w:eastAsia="hr-HR" w:bidi="he-IL"/>
        </w:rPr>
        <w:t xml:space="preserve">the Statement on the Code of Corporate Governance application includes the information required in Articles 22. paragraph 1, point 3 and 4 of the Accounting Act and contains publications in accordance with Articles 22 paragraph 1, point 2, 5, 6 and 7 of the Accounting Act. </w:t>
      </w:r>
    </w:p>
    <w:bookmarkEnd w:id="127"/>
    <w:p w14:paraId="1CAEB597" w14:textId="77777777" w:rsidR="00587444" w:rsidRPr="00587444" w:rsidRDefault="00587444" w:rsidP="00587444">
      <w:pPr>
        <w:suppressAutoHyphens w:val="0"/>
        <w:autoSpaceDE w:val="0"/>
        <w:adjustRightInd w:val="0"/>
        <w:ind w:left="567"/>
        <w:jc w:val="both"/>
        <w:rPr>
          <w:rFonts w:ascii="Trebuchet MS" w:hAnsi="Trebuchet MS" w:cs="Arial"/>
          <w:sz w:val="10"/>
          <w:szCs w:val="10"/>
          <w:lang w:eastAsia="hr-HR" w:bidi="he-IL"/>
        </w:rPr>
      </w:pPr>
    </w:p>
    <w:p w14:paraId="33B370D9" w14:textId="77777777" w:rsidR="006942E1" w:rsidRDefault="00587444" w:rsidP="006942E1">
      <w:pPr>
        <w:suppressAutoHyphens w:val="0"/>
        <w:autoSpaceDE w:val="0"/>
        <w:adjustRightInd w:val="0"/>
        <w:spacing w:after="120"/>
        <w:jc w:val="both"/>
        <w:rPr>
          <w:rFonts w:ascii="Trebuchet MS" w:hAnsi="Trebuchet MS" w:cs="Arial"/>
          <w:sz w:val="20"/>
          <w:szCs w:val="20"/>
          <w:lang w:eastAsia="hr-HR" w:bidi="he-IL"/>
        </w:rPr>
      </w:pPr>
      <w:r w:rsidRPr="00587444">
        <w:rPr>
          <w:rFonts w:ascii="Trebuchet MS" w:hAnsi="Trebuchet MS" w:cs="Arial"/>
          <w:sz w:val="20"/>
          <w:szCs w:val="20"/>
          <w:lang w:eastAsia="hr-HR" w:bidi="he-IL"/>
        </w:rPr>
        <w:t xml:space="preserve">Based solely on the </w:t>
      </w:r>
      <w:r w:rsidR="006942E1" w:rsidRPr="006942E1">
        <w:rPr>
          <w:rFonts w:ascii="Trebuchet MS" w:hAnsi="Trebuchet MS" w:cs="Arial"/>
          <w:sz w:val="20"/>
          <w:szCs w:val="20"/>
          <w:lang w:eastAsia="hr-HR" w:bidi="he-IL"/>
        </w:rPr>
        <w:t>of procedures performed to the extent that we are able to assess, we report that:</w:t>
      </w:r>
      <w:r w:rsidRPr="00587444">
        <w:rPr>
          <w:rFonts w:ascii="Trebuchet MS" w:hAnsi="Trebuchet MS" w:cs="Arial"/>
          <w:sz w:val="20"/>
          <w:szCs w:val="20"/>
          <w:lang w:eastAsia="hr-HR" w:bidi="he-IL"/>
        </w:rPr>
        <w:t>,</w:t>
      </w:r>
    </w:p>
    <w:p w14:paraId="45224249" w14:textId="4BF93D5A" w:rsidR="00587444" w:rsidRPr="00587444" w:rsidRDefault="00587444" w:rsidP="006942E1">
      <w:pPr>
        <w:numPr>
          <w:ilvl w:val="2"/>
          <w:numId w:val="75"/>
        </w:numPr>
        <w:suppressAutoHyphens w:val="0"/>
        <w:autoSpaceDE w:val="0"/>
        <w:autoSpaceDN/>
        <w:adjustRightInd w:val="0"/>
        <w:spacing w:before="120" w:after="120" w:line="276" w:lineRule="auto"/>
        <w:ind w:left="568"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the information given in the Management Report and Corporate Governance Statement for the financial year for which the annual separate and consolidated financial statements are prepared, is consistent, in all material respects, with the annual separate and consolidated financial statements;</w:t>
      </w:r>
    </w:p>
    <w:p w14:paraId="4E55D358" w14:textId="4B317908" w:rsidR="00587444" w:rsidRPr="00587444" w:rsidRDefault="00587444">
      <w:pPr>
        <w:numPr>
          <w:ilvl w:val="2"/>
          <w:numId w:val="75"/>
        </w:numPr>
        <w:suppressAutoHyphens w:val="0"/>
        <w:autoSpaceDE w:val="0"/>
        <w:autoSpaceDN/>
        <w:adjustRightInd w:val="0"/>
        <w:spacing w:before="120" w:after="120" w:line="276" w:lineRule="auto"/>
        <w:ind w:left="568"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 xml:space="preserve">the Management Report has been prepared, in all material respects, in accordance with the requirements of Articles 21 and 24 of the Accounting Act, </w:t>
      </w:r>
    </w:p>
    <w:p w14:paraId="4D99B53A" w14:textId="5B8CFF78" w:rsidR="00587444" w:rsidRPr="00587444" w:rsidRDefault="00587444">
      <w:pPr>
        <w:numPr>
          <w:ilvl w:val="2"/>
          <w:numId w:val="75"/>
        </w:numPr>
        <w:suppressAutoHyphens w:val="0"/>
        <w:autoSpaceDE w:val="0"/>
        <w:autoSpaceDN/>
        <w:adjustRightInd w:val="0"/>
        <w:spacing w:before="120" w:after="120" w:line="276" w:lineRule="auto"/>
        <w:ind w:left="568"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the Statement on the Code of Corporate Governance application includes the information required in Article 22</w:t>
      </w:r>
      <w:r w:rsidR="006942E1">
        <w:rPr>
          <w:rFonts w:ascii="Trebuchet MS" w:hAnsi="Trebuchet MS" w:cs="Arial"/>
          <w:sz w:val="20"/>
          <w:szCs w:val="20"/>
          <w:lang w:eastAsia="hr-HR" w:bidi="he-IL"/>
        </w:rPr>
        <w:t xml:space="preserve"> </w:t>
      </w:r>
      <w:r w:rsidRPr="00587444">
        <w:rPr>
          <w:rFonts w:ascii="Trebuchet MS" w:hAnsi="Trebuchet MS" w:cs="Arial"/>
          <w:sz w:val="20"/>
          <w:szCs w:val="20"/>
          <w:lang w:eastAsia="hr-HR" w:bidi="he-IL"/>
        </w:rPr>
        <w:t xml:space="preserve">of the Accounting Act. </w:t>
      </w:r>
    </w:p>
    <w:p w14:paraId="00286353" w14:textId="77777777" w:rsidR="00BB5943" w:rsidRDefault="00587444" w:rsidP="00587444">
      <w:pPr>
        <w:suppressAutoHyphens w:val="0"/>
        <w:autoSpaceDN/>
        <w:spacing w:after="160" w:line="259" w:lineRule="auto"/>
        <w:jc w:val="both"/>
        <w:rPr>
          <w:rFonts w:ascii="Trebuchet MS" w:hAnsi="Trebuchet MS" w:cs="Arial"/>
          <w:sz w:val="20"/>
          <w:szCs w:val="20"/>
          <w:lang w:eastAsia="hr-HR" w:bidi="he-IL"/>
        </w:rPr>
      </w:pPr>
      <w:r w:rsidRPr="00587444">
        <w:rPr>
          <w:rFonts w:ascii="Trebuchet MS" w:hAnsi="Trebuchet MS" w:cs="Arial"/>
          <w:sz w:val="20"/>
          <w:szCs w:val="20"/>
          <w:lang w:eastAsia="hr-HR" w:bidi="he-IL"/>
        </w:rPr>
        <w:t xml:space="preserve">In addition, considering the knowledge and understanding of the entity and its environment obtained in the course of the audit, we are also required to report if we have identified material misstatements in the annual report. We have nothing to report in this respect. </w:t>
      </w:r>
    </w:p>
    <w:p w14:paraId="1CCA5F3E" w14:textId="1D6D2B72" w:rsidR="00587444" w:rsidRPr="00587444" w:rsidRDefault="00587444" w:rsidP="00587444">
      <w:pPr>
        <w:suppressAutoHyphens w:val="0"/>
        <w:autoSpaceDN/>
        <w:spacing w:after="160" w:line="259" w:lineRule="auto"/>
        <w:jc w:val="both"/>
        <w:rPr>
          <w:rFonts w:ascii="Trebuchet MS" w:hAnsi="Trebuchet MS" w:cs="Arial"/>
          <w:sz w:val="20"/>
          <w:szCs w:val="20"/>
          <w:lang w:val="af-ZA" w:eastAsia="hr-HR" w:bidi="he-IL"/>
        </w:rPr>
        <w:sectPr w:rsidR="00587444" w:rsidRPr="00587444" w:rsidSect="00DD69E7">
          <w:pgSz w:w="11907" w:h="16840" w:code="9"/>
          <w:pgMar w:top="1418" w:right="1418" w:bottom="1418" w:left="1418" w:header="720" w:footer="720" w:gutter="0"/>
          <w:cols w:space="720"/>
        </w:sectPr>
      </w:pPr>
      <w:r w:rsidRPr="00587444">
        <w:rPr>
          <w:rFonts w:ascii="Trebuchet MS" w:hAnsi="Trebuchet MS" w:cs="Arial"/>
          <w:sz w:val="20"/>
          <w:szCs w:val="20"/>
          <w:lang w:eastAsia="hr-HR" w:bidi="he-IL"/>
        </w:rPr>
        <w:t xml:space="preserve"> </w:t>
      </w:r>
    </w:p>
    <w:p w14:paraId="1AB499F4" w14:textId="77777777" w:rsidR="00587444" w:rsidRPr="00587444" w:rsidRDefault="00587444" w:rsidP="00587444">
      <w:pPr>
        <w:suppressAutoHyphens w:val="0"/>
        <w:autoSpaceDN/>
        <w:spacing w:before="240" w:after="200"/>
        <w:jc w:val="both"/>
        <w:rPr>
          <w:rFonts w:ascii="Trebuchet MS" w:eastAsia="Calibri" w:hAnsi="Trebuchet MS"/>
          <w:b/>
          <w:bCs/>
          <w:sz w:val="20"/>
          <w:szCs w:val="20"/>
          <w:lang w:val="hr-HR"/>
        </w:rPr>
      </w:pPr>
      <w:r w:rsidRPr="00587444">
        <w:rPr>
          <w:rFonts w:ascii="Trebuchet MS" w:eastAsia="Calibri" w:hAnsi="Trebuchet MS"/>
          <w:b/>
          <w:bCs/>
          <w:sz w:val="20"/>
          <w:szCs w:val="20"/>
          <w:lang w:val="hr-HR"/>
        </w:rPr>
        <w:lastRenderedPageBreak/>
        <w:t>INDEPENDENT JOINT AUDITOR’S REPORT TO THE OWNER OF CROATIAN BANK FOR RECONSTRUCTION AND DEVELOPMENT (CONTINUED)</w:t>
      </w:r>
    </w:p>
    <w:p w14:paraId="1D82E39C" w14:textId="77777777" w:rsidR="00587444" w:rsidRPr="00587444" w:rsidRDefault="00587444" w:rsidP="00587444">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Report on the Audit of the separate and consolidated Financial Statements (continued)</w:t>
      </w:r>
    </w:p>
    <w:p w14:paraId="41629377" w14:textId="77777777" w:rsidR="00587444" w:rsidRPr="00587444" w:rsidRDefault="00587444" w:rsidP="00587444">
      <w:pPr>
        <w:suppressAutoHyphens w:val="0"/>
        <w:autoSpaceDN/>
        <w:jc w:val="both"/>
        <w:rPr>
          <w:rFonts w:ascii="Trebuchet MS" w:hAnsi="Trebuchet MS" w:cs="Arial"/>
          <w:b/>
          <w:color w:val="000000"/>
          <w:sz w:val="20"/>
          <w:szCs w:val="20"/>
          <w:lang w:eastAsia="hr-HR"/>
        </w:rPr>
      </w:pPr>
      <w:r w:rsidRPr="00587444">
        <w:rPr>
          <w:rFonts w:ascii="Trebuchet MS" w:hAnsi="Trebuchet MS" w:cs="Arial"/>
          <w:b/>
          <w:color w:val="000000"/>
          <w:sz w:val="20"/>
          <w:szCs w:val="20"/>
          <w:lang w:eastAsia="hr-HR"/>
        </w:rPr>
        <w:t xml:space="preserve">Responsibilities of Management and Those Charged with Governance for the annual separate and consolidated Financial Statements </w:t>
      </w:r>
    </w:p>
    <w:p w14:paraId="7DC0141E" w14:textId="77777777" w:rsidR="00587444" w:rsidRPr="00587444" w:rsidRDefault="00587444" w:rsidP="00587444">
      <w:pPr>
        <w:suppressAutoHyphens w:val="0"/>
        <w:autoSpaceDN/>
        <w:jc w:val="both"/>
        <w:rPr>
          <w:rFonts w:ascii="Trebuchet MS" w:hAnsi="Trebuchet MS" w:cs="Arial"/>
          <w:b/>
          <w:color w:val="000000"/>
          <w:sz w:val="20"/>
          <w:szCs w:val="20"/>
          <w:lang w:eastAsia="hr-HR"/>
        </w:rPr>
      </w:pPr>
    </w:p>
    <w:p w14:paraId="4CD0C593" w14:textId="616FB361" w:rsidR="00587444" w:rsidRPr="00587444" w:rsidRDefault="00587444" w:rsidP="00587444">
      <w:pPr>
        <w:suppressAutoHyphens w:val="0"/>
        <w:autoSpaceDN/>
        <w:jc w:val="both"/>
        <w:rPr>
          <w:rFonts w:ascii="Trebuchet MS" w:eastAsia="Batang" w:hAnsi="Trebuchet MS" w:cs="Arial"/>
          <w:sz w:val="20"/>
          <w:szCs w:val="20"/>
          <w:lang w:eastAsia="hr-HR"/>
        </w:rPr>
      </w:pPr>
      <w:r w:rsidRPr="00587444">
        <w:rPr>
          <w:rFonts w:ascii="Trebuchet MS" w:eastAsia="Batang" w:hAnsi="Trebuchet MS" w:cs="Arial"/>
          <w:sz w:val="20"/>
          <w:szCs w:val="20"/>
          <w:lang w:eastAsia="hr-HR"/>
        </w:rPr>
        <w:t>Management is responsible for the preparation of the</w:t>
      </w:r>
      <w:r w:rsidR="00CD5024" w:rsidRPr="00CD5024">
        <w:rPr>
          <w:rFonts w:ascii="Trebuchet MS" w:eastAsia="Batang" w:hAnsi="Trebuchet MS" w:cs="Arial"/>
          <w:sz w:val="20"/>
          <w:szCs w:val="20"/>
          <w:lang w:eastAsia="hr-HR"/>
        </w:rPr>
        <w:t xml:space="preserve"> annual separate and consolidated</w:t>
      </w:r>
      <w:r w:rsidR="00CD5024">
        <w:rPr>
          <w:rFonts w:ascii="Trebuchet MS" w:eastAsia="Batang" w:hAnsi="Trebuchet MS" w:cs="Arial"/>
          <w:sz w:val="20"/>
          <w:szCs w:val="20"/>
          <w:lang w:eastAsia="hr-HR"/>
        </w:rPr>
        <w:t xml:space="preserve"> </w:t>
      </w:r>
      <w:r w:rsidRPr="00587444">
        <w:rPr>
          <w:rFonts w:ascii="Trebuchet MS" w:eastAsia="Batang" w:hAnsi="Trebuchet MS" w:cs="Arial"/>
          <w:sz w:val="20"/>
          <w:szCs w:val="20"/>
          <w:lang w:eastAsia="hr-HR"/>
        </w:rPr>
        <w:t xml:space="preserve">financial statements that give a true and fair view in accordance with IFRS, and for such internal control as management determines is necessary to enable the preparation of </w:t>
      </w:r>
      <w:r w:rsidR="00CD5024" w:rsidRPr="00CD5024">
        <w:rPr>
          <w:rFonts w:ascii="Trebuchet MS" w:eastAsia="Batang" w:hAnsi="Trebuchet MS" w:cs="Arial"/>
          <w:sz w:val="20"/>
          <w:szCs w:val="20"/>
          <w:lang w:eastAsia="hr-HR"/>
        </w:rPr>
        <w:t>the annual separate and consolidated</w:t>
      </w:r>
      <w:r w:rsidRPr="00587444">
        <w:rPr>
          <w:rFonts w:ascii="Trebuchet MS" w:eastAsia="Batang" w:hAnsi="Trebuchet MS" w:cs="Arial"/>
          <w:sz w:val="20"/>
          <w:szCs w:val="20"/>
          <w:lang w:eastAsia="hr-HR"/>
        </w:rPr>
        <w:t xml:space="preserve"> financial statements that are free from material misstatement, whether due to fraud or error. </w:t>
      </w:r>
    </w:p>
    <w:p w14:paraId="003869DB" w14:textId="77777777" w:rsidR="00587444" w:rsidRPr="00587444" w:rsidRDefault="00587444" w:rsidP="00587444">
      <w:pPr>
        <w:suppressAutoHyphens w:val="0"/>
        <w:autoSpaceDN/>
        <w:jc w:val="both"/>
        <w:rPr>
          <w:rFonts w:ascii="Trebuchet MS" w:eastAsia="Batang" w:hAnsi="Trebuchet MS" w:cs="Arial"/>
          <w:sz w:val="20"/>
          <w:szCs w:val="20"/>
          <w:lang w:eastAsia="hr-HR"/>
        </w:rPr>
      </w:pPr>
    </w:p>
    <w:p w14:paraId="0F4194AF" w14:textId="50CCE406" w:rsidR="00587444" w:rsidRPr="00587444" w:rsidRDefault="00587444" w:rsidP="00587444">
      <w:pPr>
        <w:suppressAutoHyphens w:val="0"/>
        <w:autoSpaceDN/>
        <w:jc w:val="both"/>
        <w:rPr>
          <w:rFonts w:ascii="Trebuchet MS" w:eastAsia="Batang" w:hAnsi="Trebuchet MS" w:cs="Arial"/>
          <w:sz w:val="20"/>
          <w:szCs w:val="20"/>
          <w:lang w:eastAsia="hr-HR"/>
        </w:rPr>
      </w:pPr>
      <w:r w:rsidRPr="00587444">
        <w:rPr>
          <w:rFonts w:ascii="Trebuchet MS" w:eastAsia="Batang" w:hAnsi="Trebuchet MS" w:cs="Arial"/>
          <w:sz w:val="20"/>
          <w:szCs w:val="20"/>
          <w:lang w:eastAsia="hr-HR"/>
        </w:rPr>
        <w:t>In preparing the</w:t>
      </w:r>
      <w:r w:rsidR="00CD5024">
        <w:rPr>
          <w:rFonts w:ascii="Trebuchet MS" w:eastAsia="Batang" w:hAnsi="Trebuchet MS" w:cs="Arial"/>
          <w:sz w:val="20"/>
          <w:szCs w:val="20"/>
          <w:lang w:eastAsia="hr-HR"/>
        </w:rPr>
        <w:t xml:space="preserve"> </w:t>
      </w:r>
      <w:r w:rsidR="00CD5024" w:rsidRPr="00CD5024">
        <w:rPr>
          <w:rFonts w:ascii="Trebuchet MS" w:eastAsia="Batang" w:hAnsi="Trebuchet MS" w:cs="Arial"/>
          <w:sz w:val="20"/>
          <w:szCs w:val="20"/>
          <w:lang w:eastAsia="hr-HR"/>
        </w:rPr>
        <w:t>annual separate and consolidated</w:t>
      </w:r>
      <w:r w:rsidR="00CD5024">
        <w:rPr>
          <w:rFonts w:ascii="Trebuchet MS" w:eastAsia="Batang" w:hAnsi="Trebuchet MS" w:cs="Arial"/>
          <w:sz w:val="20"/>
          <w:szCs w:val="20"/>
          <w:lang w:eastAsia="hr-HR"/>
        </w:rPr>
        <w:t xml:space="preserve"> </w:t>
      </w:r>
      <w:r w:rsidRPr="00587444">
        <w:rPr>
          <w:rFonts w:ascii="Trebuchet MS" w:eastAsia="Batang" w:hAnsi="Trebuchet MS" w:cs="Arial"/>
          <w:sz w:val="20"/>
          <w:szCs w:val="20"/>
          <w:lang w:eastAsia="hr-HR"/>
        </w:rPr>
        <w:t>financial statements, management is responsible for assessing the Bank’s and the Group’s ability to continue as a going concern, disclosing, as applicable, matters related to going concern and using the going concern basis of accounting unless management either intends to liquidate the Bank or the Group or to cease operations, or has no realistic alternative but to do so.</w:t>
      </w:r>
    </w:p>
    <w:p w14:paraId="61F1B1CD" w14:textId="77777777" w:rsidR="00587444" w:rsidRPr="00587444" w:rsidRDefault="00587444" w:rsidP="00587444">
      <w:pPr>
        <w:suppressAutoHyphens w:val="0"/>
        <w:autoSpaceDN/>
        <w:jc w:val="both"/>
        <w:rPr>
          <w:rFonts w:ascii="Trebuchet MS" w:eastAsia="Batang" w:hAnsi="Trebuchet MS" w:cs="Arial"/>
          <w:sz w:val="20"/>
          <w:szCs w:val="20"/>
          <w:lang w:eastAsia="hr-HR"/>
        </w:rPr>
      </w:pPr>
    </w:p>
    <w:p w14:paraId="103EDE79" w14:textId="77777777" w:rsidR="00587444" w:rsidRPr="00587444" w:rsidRDefault="00587444" w:rsidP="00587444">
      <w:pPr>
        <w:suppressAutoHyphens w:val="0"/>
        <w:autoSpaceDN/>
        <w:spacing w:after="200"/>
        <w:jc w:val="both"/>
        <w:rPr>
          <w:rFonts w:ascii="Trebuchet MS" w:eastAsia="Batang" w:hAnsi="Trebuchet MS" w:cs="Arial"/>
          <w:sz w:val="20"/>
          <w:szCs w:val="20"/>
          <w:lang w:eastAsia="hr-HR"/>
        </w:rPr>
      </w:pPr>
      <w:r w:rsidRPr="00587444">
        <w:rPr>
          <w:rFonts w:ascii="Trebuchet MS" w:eastAsia="Batang" w:hAnsi="Trebuchet MS" w:cs="Arial"/>
          <w:sz w:val="20"/>
          <w:szCs w:val="20"/>
          <w:lang w:eastAsia="hr-HR"/>
        </w:rPr>
        <w:t>Those charged with governance are responsible for overseeing the Bank’s and the Group’s financial reporting process.</w:t>
      </w:r>
    </w:p>
    <w:p w14:paraId="56E97B35" w14:textId="77777777" w:rsidR="00587444" w:rsidRPr="00587444" w:rsidRDefault="00587444" w:rsidP="00587444">
      <w:pPr>
        <w:suppressAutoHyphens w:val="0"/>
        <w:autoSpaceDN/>
        <w:jc w:val="both"/>
        <w:rPr>
          <w:rFonts w:ascii="Trebuchet MS" w:hAnsi="Trebuchet MS" w:cs="Arial"/>
          <w:b/>
          <w:color w:val="000000"/>
          <w:sz w:val="20"/>
          <w:szCs w:val="20"/>
          <w:lang w:eastAsia="hr-HR"/>
        </w:rPr>
      </w:pPr>
    </w:p>
    <w:p w14:paraId="56288362" w14:textId="6F481F29" w:rsidR="00587444" w:rsidRPr="00587444" w:rsidRDefault="00587444" w:rsidP="00587444">
      <w:pPr>
        <w:suppressAutoHyphens w:val="0"/>
        <w:autoSpaceDN/>
        <w:jc w:val="both"/>
        <w:rPr>
          <w:rFonts w:ascii="Trebuchet MS" w:hAnsi="Trebuchet MS" w:cs="Arial"/>
          <w:b/>
          <w:iCs/>
          <w:color w:val="000000"/>
          <w:sz w:val="20"/>
          <w:szCs w:val="20"/>
          <w:lang w:eastAsia="hr-HR"/>
        </w:rPr>
      </w:pPr>
      <w:bookmarkStart w:id="128" w:name="_Hlk129961058"/>
      <w:bookmarkStart w:id="129" w:name="_Hlk99373496"/>
      <w:r w:rsidRPr="00587444">
        <w:rPr>
          <w:rFonts w:ascii="Trebuchet MS" w:hAnsi="Trebuchet MS" w:cs="Arial"/>
          <w:b/>
          <w:iCs/>
          <w:color w:val="000000"/>
          <w:sz w:val="20"/>
          <w:szCs w:val="20"/>
          <w:lang w:eastAsia="hr-HR"/>
        </w:rPr>
        <w:t>Auditor</w:t>
      </w:r>
      <w:r w:rsidR="00F31FA6">
        <w:rPr>
          <w:rFonts w:ascii="Trebuchet MS" w:hAnsi="Trebuchet MS" w:cs="Arial"/>
          <w:b/>
          <w:iCs/>
          <w:color w:val="000000"/>
          <w:sz w:val="20"/>
          <w:szCs w:val="20"/>
          <w:lang w:eastAsia="hr-HR"/>
        </w:rPr>
        <w:t>’s</w:t>
      </w:r>
      <w:r w:rsidRPr="00587444">
        <w:rPr>
          <w:rFonts w:ascii="Trebuchet MS" w:hAnsi="Trebuchet MS" w:cs="Arial"/>
          <w:b/>
          <w:iCs/>
          <w:color w:val="000000"/>
          <w:sz w:val="20"/>
          <w:szCs w:val="20"/>
          <w:lang w:eastAsia="hr-HR"/>
        </w:rPr>
        <w:t xml:space="preserve"> Responsibilities for the Audit of the annual separate and consolidated Financial Statements</w:t>
      </w:r>
      <w:bookmarkEnd w:id="128"/>
    </w:p>
    <w:bookmarkEnd w:id="129"/>
    <w:p w14:paraId="6B452C5A" w14:textId="77777777" w:rsidR="00587444" w:rsidRPr="00587444" w:rsidRDefault="00587444" w:rsidP="00587444">
      <w:pPr>
        <w:suppressAutoHyphens w:val="0"/>
        <w:autoSpaceDN/>
        <w:jc w:val="both"/>
        <w:rPr>
          <w:rFonts w:ascii="Trebuchet MS" w:eastAsia="Batang" w:hAnsi="Trebuchet MS" w:cs="Arial"/>
          <w:sz w:val="20"/>
          <w:szCs w:val="20"/>
          <w:lang w:eastAsia="hr-HR"/>
        </w:rPr>
      </w:pPr>
    </w:p>
    <w:p w14:paraId="57C36C29" w14:textId="295F5990" w:rsidR="00587444" w:rsidRPr="00587444" w:rsidRDefault="00587444" w:rsidP="00587444">
      <w:pPr>
        <w:suppressAutoHyphens w:val="0"/>
        <w:autoSpaceDN/>
        <w:jc w:val="both"/>
        <w:rPr>
          <w:rFonts w:ascii="Trebuchet MS" w:eastAsia="Batang" w:hAnsi="Trebuchet MS" w:cs="Arial"/>
          <w:sz w:val="20"/>
          <w:szCs w:val="20"/>
          <w:lang w:eastAsia="hr-HR"/>
        </w:rPr>
      </w:pPr>
      <w:r w:rsidRPr="00587444">
        <w:rPr>
          <w:rFonts w:ascii="Trebuchet MS" w:eastAsia="Batang" w:hAnsi="Trebuchet MS" w:cs="Arial"/>
          <w:sz w:val="20"/>
          <w:szCs w:val="20"/>
          <w:lang w:eastAsia="hr-HR"/>
        </w:rPr>
        <w:t xml:space="preserve">Our objectives are to obtain reasonable assurance about whether </w:t>
      </w:r>
      <w:r w:rsidR="00CD5024" w:rsidRPr="00587444">
        <w:rPr>
          <w:rFonts w:ascii="Trebuchet MS" w:eastAsia="Batang" w:hAnsi="Trebuchet MS" w:cs="Arial"/>
          <w:sz w:val="20"/>
          <w:szCs w:val="20"/>
          <w:lang w:eastAsia="hr-HR"/>
        </w:rPr>
        <w:t>the</w:t>
      </w:r>
      <w:r w:rsidR="00CD5024" w:rsidRPr="00CD5024">
        <w:rPr>
          <w:rFonts w:ascii="Trebuchet MS" w:eastAsia="Batang" w:hAnsi="Trebuchet MS" w:cs="Arial"/>
          <w:sz w:val="20"/>
          <w:szCs w:val="20"/>
          <w:lang w:eastAsia="hr-HR"/>
        </w:rPr>
        <w:t xml:space="preserve"> annual separate and consolidated</w:t>
      </w:r>
      <w:r w:rsidRPr="00587444">
        <w:rPr>
          <w:rFonts w:ascii="Trebuchet MS" w:eastAsia="Batang" w:hAnsi="Trebuchet MS" w:cs="Arial"/>
          <w:sz w:val="20"/>
          <w:szCs w:val="20"/>
          <w:lang w:eastAsia="hr-HR"/>
        </w:rPr>
        <w:t xml:space="preserve"> financial statements as a whole are free from material misstatement, whether due to fraud or error, and to issue an auditors’ report that includes our opinion. Reasonable assurance is a high level of assurance, but is not a guarantee that an audit conducted in accordance with International Standards on Auditing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14:paraId="7F193749" w14:textId="77777777" w:rsidR="00587444" w:rsidRPr="00587444" w:rsidRDefault="00587444" w:rsidP="00587444">
      <w:pPr>
        <w:suppressAutoHyphens w:val="0"/>
        <w:autoSpaceDN/>
        <w:jc w:val="both"/>
        <w:rPr>
          <w:rFonts w:ascii="Trebuchet MS" w:eastAsia="Batang" w:hAnsi="Trebuchet MS" w:cs="Arial"/>
          <w:sz w:val="20"/>
          <w:szCs w:val="20"/>
          <w:lang w:eastAsia="hr-HR"/>
        </w:rPr>
      </w:pPr>
    </w:p>
    <w:p w14:paraId="056AD5EC" w14:textId="77777777" w:rsidR="00587444" w:rsidRPr="00587444" w:rsidRDefault="00587444" w:rsidP="00587444">
      <w:pPr>
        <w:suppressAutoHyphens w:val="0"/>
        <w:autoSpaceDN/>
        <w:spacing w:after="120"/>
        <w:jc w:val="both"/>
        <w:rPr>
          <w:rFonts w:ascii="Trebuchet MS" w:hAnsi="Trebuchet MS" w:cs="Arial"/>
          <w:sz w:val="20"/>
          <w:szCs w:val="20"/>
          <w:lang w:eastAsia="hr-HR" w:bidi="he-IL"/>
        </w:rPr>
      </w:pPr>
      <w:r w:rsidRPr="00587444">
        <w:rPr>
          <w:rFonts w:ascii="Trebuchet MS" w:hAnsi="Trebuchet MS" w:cs="Arial"/>
          <w:sz w:val="20"/>
          <w:szCs w:val="20"/>
          <w:lang w:eastAsia="hr-HR" w:bidi="he-IL"/>
        </w:rPr>
        <w:t xml:space="preserve">As part of an audit in accordance with International Standards on Auditing, we exercise professional judgment and maintain professional skepticism throughout the audit. </w:t>
      </w:r>
      <w:proofErr w:type="gramStart"/>
      <w:r w:rsidRPr="00587444">
        <w:rPr>
          <w:rFonts w:ascii="Trebuchet MS" w:hAnsi="Trebuchet MS" w:cs="Arial"/>
          <w:sz w:val="20"/>
          <w:szCs w:val="20"/>
          <w:lang w:eastAsia="hr-HR" w:bidi="he-IL"/>
        </w:rPr>
        <w:t>We</w:t>
      </w:r>
      <w:proofErr w:type="gramEnd"/>
      <w:r w:rsidRPr="00587444">
        <w:rPr>
          <w:rFonts w:ascii="Trebuchet MS" w:hAnsi="Trebuchet MS" w:cs="Arial"/>
          <w:sz w:val="20"/>
          <w:szCs w:val="20"/>
          <w:lang w:eastAsia="hr-HR" w:bidi="he-IL"/>
        </w:rPr>
        <w:t xml:space="preserve"> also:</w:t>
      </w:r>
    </w:p>
    <w:p w14:paraId="6E9D6F83" w14:textId="6BE5C2ED" w:rsidR="00587444" w:rsidRPr="00587444" w:rsidRDefault="00587444">
      <w:pPr>
        <w:numPr>
          <w:ilvl w:val="0"/>
          <w:numId w:val="76"/>
        </w:numPr>
        <w:suppressAutoHyphens w:val="0"/>
        <w:autoSpaceDN/>
        <w:spacing w:before="120"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 xml:space="preserve">Identify and assess the risks of material misstatement of </w:t>
      </w:r>
      <w:r w:rsidR="00CD5024" w:rsidRPr="00587444">
        <w:rPr>
          <w:rFonts w:ascii="Trebuchet MS" w:eastAsia="Batang" w:hAnsi="Trebuchet MS" w:cs="Arial"/>
          <w:sz w:val="20"/>
          <w:szCs w:val="20"/>
          <w:lang w:eastAsia="hr-HR"/>
        </w:rPr>
        <w:t>the</w:t>
      </w:r>
      <w:r w:rsidR="00CD5024" w:rsidRPr="00CD5024">
        <w:rPr>
          <w:rFonts w:ascii="Trebuchet MS" w:eastAsia="Batang" w:hAnsi="Trebuchet MS" w:cs="Arial"/>
          <w:sz w:val="20"/>
          <w:szCs w:val="20"/>
          <w:lang w:eastAsia="hr-HR"/>
        </w:rPr>
        <w:t xml:space="preserve"> annual separate and consolidated</w:t>
      </w:r>
      <w:r w:rsidR="00CD5024">
        <w:rPr>
          <w:rFonts w:ascii="Trebuchet MS" w:eastAsia="Batang" w:hAnsi="Trebuchet MS" w:cs="Arial"/>
          <w:sz w:val="20"/>
          <w:szCs w:val="20"/>
          <w:lang w:eastAsia="hr-HR"/>
        </w:rPr>
        <w:t xml:space="preserve"> </w:t>
      </w:r>
      <w:r w:rsidRPr="00587444">
        <w:rPr>
          <w:rFonts w:ascii="Trebuchet MS" w:hAnsi="Trebuchet MS" w:cs="Arial"/>
          <w:sz w:val="20"/>
          <w:szCs w:val="20"/>
          <w:lang w:eastAsia="hr-HR" w:bidi="he-IL"/>
        </w:rPr>
        <w:t>financial statements,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controls.</w:t>
      </w:r>
    </w:p>
    <w:p w14:paraId="28CBD7F2" w14:textId="77777777" w:rsidR="00587444" w:rsidRPr="00587444" w:rsidRDefault="00587444">
      <w:pPr>
        <w:numPr>
          <w:ilvl w:val="0"/>
          <w:numId w:val="76"/>
        </w:numPr>
        <w:suppressAutoHyphens w:val="0"/>
        <w:autoSpaceDN/>
        <w:spacing w:before="120"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Obtain an understanding of internal control relevant to the audit in order to design audit procedures that are appropriate in the circumstances, but not for the purpose of expressing an opinion on the effectiveness of the Bank’s and the Group’s internal controls.</w:t>
      </w:r>
    </w:p>
    <w:p w14:paraId="2F28335C" w14:textId="77777777" w:rsidR="00587444" w:rsidRPr="00587444" w:rsidRDefault="00587444">
      <w:pPr>
        <w:numPr>
          <w:ilvl w:val="0"/>
          <w:numId w:val="76"/>
        </w:numPr>
        <w:suppressAutoHyphens w:val="0"/>
        <w:autoSpaceDN/>
        <w:spacing w:before="120"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Evaluate the appropriateness of accounting policies used and the reasonableness of accounting estimates and related disclosures made by management.</w:t>
      </w:r>
    </w:p>
    <w:p w14:paraId="34471F19" w14:textId="77777777" w:rsidR="00587444" w:rsidRPr="00587444" w:rsidRDefault="00587444" w:rsidP="00587444">
      <w:pPr>
        <w:suppressAutoHyphens w:val="0"/>
        <w:autoSpaceDN/>
        <w:spacing w:before="240" w:after="200"/>
        <w:jc w:val="both"/>
        <w:rPr>
          <w:rFonts w:ascii="Trebuchet MS" w:eastAsia="Calibri" w:hAnsi="Trebuchet MS"/>
          <w:b/>
          <w:bCs/>
          <w:sz w:val="20"/>
          <w:szCs w:val="20"/>
          <w:lang w:val="hr-HR"/>
        </w:rPr>
        <w:sectPr w:rsidR="00587444" w:rsidRPr="00587444" w:rsidSect="00DD69E7">
          <w:pgSz w:w="11907" w:h="16840" w:code="9"/>
          <w:pgMar w:top="1418" w:right="1418" w:bottom="1418" w:left="1418" w:header="720" w:footer="720" w:gutter="0"/>
          <w:cols w:space="720"/>
        </w:sectPr>
      </w:pPr>
    </w:p>
    <w:p w14:paraId="2780D148" w14:textId="77777777" w:rsidR="00587444" w:rsidRPr="00587444" w:rsidRDefault="00587444" w:rsidP="00587444">
      <w:pPr>
        <w:suppressAutoHyphens w:val="0"/>
        <w:autoSpaceDN/>
        <w:spacing w:before="240" w:after="200"/>
        <w:jc w:val="both"/>
        <w:rPr>
          <w:rFonts w:ascii="Trebuchet MS" w:eastAsia="Calibri" w:hAnsi="Trebuchet MS"/>
          <w:b/>
          <w:bCs/>
          <w:sz w:val="20"/>
          <w:szCs w:val="20"/>
          <w:lang w:val="hr-HR"/>
        </w:rPr>
      </w:pPr>
      <w:r w:rsidRPr="00587444">
        <w:rPr>
          <w:rFonts w:ascii="Trebuchet MS" w:eastAsia="Calibri" w:hAnsi="Trebuchet MS"/>
          <w:b/>
          <w:bCs/>
          <w:sz w:val="20"/>
          <w:szCs w:val="20"/>
          <w:lang w:val="hr-HR"/>
        </w:rPr>
        <w:lastRenderedPageBreak/>
        <w:t>INDEPENDENT JOINT AUDITOR’S REPORT TO THE OWNER OF CROATIAN BANK FOR RECONSTRUCTION AND DEVELOPMENT (CONTINUED)</w:t>
      </w:r>
    </w:p>
    <w:p w14:paraId="13E990C6" w14:textId="77777777" w:rsidR="00587444" w:rsidRPr="00587444" w:rsidRDefault="00587444" w:rsidP="00587444">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Report on the Audit of the separate and consolidated Financial Statements (continued)</w:t>
      </w:r>
    </w:p>
    <w:p w14:paraId="0263B8B3" w14:textId="6DD6CD29" w:rsidR="00587444" w:rsidRPr="00587444" w:rsidRDefault="00587444" w:rsidP="00587444">
      <w:pPr>
        <w:suppressAutoHyphens w:val="0"/>
        <w:autoSpaceDN/>
        <w:spacing w:after="120"/>
        <w:jc w:val="both"/>
        <w:rPr>
          <w:rFonts w:ascii="Trebuchet MS" w:hAnsi="Trebuchet MS" w:cs="Arial"/>
          <w:b/>
          <w:sz w:val="20"/>
          <w:szCs w:val="20"/>
          <w:lang w:val="en-GB" w:eastAsia="hr-HR" w:bidi="he-IL"/>
        </w:rPr>
      </w:pPr>
      <w:r w:rsidRPr="00587444">
        <w:rPr>
          <w:rFonts w:ascii="Trebuchet MS" w:hAnsi="Trebuchet MS" w:cs="Arial"/>
          <w:b/>
          <w:color w:val="000000"/>
          <w:sz w:val="20"/>
          <w:szCs w:val="20"/>
          <w:lang w:val="en-GB" w:eastAsia="hr-HR"/>
        </w:rPr>
        <w:t>Auditor’</w:t>
      </w:r>
      <w:r w:rsidR="006942E1">
        <w:rPr>
          <w:rFonts w:ascii="Trebuchet MS" w:hAnsi="Trebuchet MS" w:cs="Arial"/>
          <w:b/>
          <w:color w:val="000000"/>
          <w:sz w:val="20"/>
          <w:szCs w:val="20"/>
          <w:lang w:val="en-GB" w:eastAsia="hr-HR"/>
        </w:rPr>
        <w:t>s</w:t>
      </w:r>
      <w:r w:rsidRPr="00587444">
        <w:rPr>
          <w:rFonts w:ascii="Trebuchet MS" w:hAnsi="Trebuchet MS" w:cs="Arial"/>
          <w:b/>
          <w:color w:val="000000"/>
          <w:sz w:val="20"/>
          <w:szCs w:val="20"/>
          <w:lang w:val="en-GB" w:eastAsia="hr-HR"/>
        </w:rPr>
        <w:t xml:space="preserve"> Responsibilities for the Audit of the annual separate and consolidated Financial Statements </w:t>
      </w:r>
      <w:r w:rsidRPr="00587444">
        <w:rPr>
          <w:rFonts w:ascii="Trebuchet MS" w:hAnsi="Trebuchet MS" w:cs="Arial"/>
          <w:b/>
          <w:sz w:val="20"/>
          <w:szCs w:val="20"/>
          <w:lang w:val="en-GB" w:eastAsia="hr-HR" w:bidi="he-IL"/>
        </w:rPr>
        <w:t>(continued)</w:t>
      </w:r>
    </w:p>
    <w:p w14:paraId="46B16A6B" w14:textId="3FD69C6F" w:rsidR="00587444" w:rsidRPr="00587444" w:rsidRDefault="00587444">
      <w:pPr>
        <w:numPr>
          <w:ilvl w:val="0"/>
          <w:numId w:val="76"/>
        </w:numPr>
        <w:suppressAutoHyphens w:val="0"/>
        <w:autoSpaceDN/>
        <w:spacing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 xml:space="preserve">Conclude on the appropriateness of management’s use of the going concern basis of accounting and, based on the audit evidence obtained, whether a material uncertainty exists related to events or conditions that may cast significant doubt on the Bank’s and the Group’s ability to continue as a going concern. If we conclude that a material uncertainty exists, we are required to draw attention in our auditors’ report to the related disclosures in </w:t>
      </w:r>
      <w:r w:rsidR="00CD5024" w:rsidRPr="00587444">
        <w:rPr>
          <w:rFonts w:ascii="Trebuchet MS" w:eastAsia="Batang" w:hAnsi="Trebuchet MS" w:cs="Arial"/>
          <w:sz w:val="20"/>
          <w:szCs w:val="20"/>
          <w:lang w:eastAsia="hr-HR"/>
        </w:rPr>
        <w:t>the</w:t>
      </w:r>
      <w:r w:rsidR="00CD5024" w:rsidRPr="00CD5024">
        <w:rPr>
          <w:rFonts w:ascii="Trebuchet MS" w:eastAsia="Batang" w:hAnsi="Trebuchet MS" w:cs="Arial"/>
          <w:sz w:val="20"/>
          <w:szCs w:val="20"/>
          <w:lang w:eastAsia="hr-HR"/>
        </w:rPr>
        <w:t xml:space="preserve"> annual separate and consolidated</w:t>
      </w:r>
      <w:r w:rsidR="00CD5024">
        <w:rPr>
          <w:rFonts w:ascii="Trebuchet MS" w:eastAsia="Batang" w:hAnsi="Trebuchet MS" w:cs="Arial"/>
          <w:sz w:val="20"/>
          <w:szCs w:val="20"/>
          <w:lang w:eastAsia="hr-HR"/>
        </w:rPr>
        <w:t xml:space="preserve"> </w:t>
      </w:r>
      <w:r w:rsidRPr="00587444">
        <w:rPr>
          <w:rFonts w:ascii="Trebuchet MS" w:hAnsi="Trebuchet MS" w:cs="Arial"/>
          <w:sz w:val="20"/>
          <w:szCs w:val="20"/>
          <w:lang w:eastAsia="hr-HR" w:bidi="he-IL"/>
        </w:rPr>
        <w:t xml:space="preserve">financial statements or, if such disclosures are inadequate, to modify our opinion. Our conclusions are based on the audit evidence obtained up to the date of our auditors’ report. However, future events or conditions may cause the Bank and/or the Group to cease to continue as a going concern. </w:t>
      </w:r>
    </w:p>
    <w:p w14:paraId="1F4C57FA" w14:textId="50D3AD33" w:rsidR="00587444" w:rsidRPr="00587444" w:rsidRDefault="00587444">
      <w:pPr>
        <w:numPr>
          <w:ilvl w:val="0"/>
          <w:numId w:val="76"/>
        </w:numPr>
        <w:suppressAutoHyphens w:val="0"/>
        <w:autoSpaceDN/>
        <w:spacing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 xml:space="preserve">Evaluate the overall presentation, </w:t>
      </w:r>
      <w:proofErr w:type="gramStart"/>
      <w:r w:rsidRPr="00587444">
        <w:rPr>
          <w:rFonts w:ascii="Trebuchet MS" w:hAnsi="Trebuchet MS" w:cs="Arial"/>
          <w:sz w:val="20"/>
          <w:szCs w:val="20"/>
          <w:lang w:eastAsia="hr-HR" w:bidi="he-IL"/>
        </w:rPr>
        <w:t>structure</w:t>
      </w:r>
      <w:proofErr w:type="gramEnd"/>
      <w:r w:rsidRPr="00587444">
        <w:rPr>
          <w:rFonts w:ascii="Trebuchet MS" w:hAnsi="Trebuchet MS" w:cs="Arial"/>
          <w:sz w:val="20"/>
          <w:szCs w:val="20"/>
          <w:lang w:eastAsia="hr-HR" w:bidi="he-IL"/>
        </w:rPr>
        <w:t xml:space="preserve"> and content of</w:t>
      </w:r>
      <w:r w:rsidR="00CD5024" w:rsidRPr="00CD5024">
        <w:rPr>
          <w:rFonts w:ascii="Trebuchet MS" w:eastAsia="Batang" w:hAnsi="Trebuchet MS" w:cs="Arial"/>
          <w:sz w:val="20"/>
          <w:szCs w:val="20"/>
          <w:lang w:eastAsia="hr-HR"/>
        </w:rPr>
        <w:t xml:space="preserve"> </w:t>
      </w:r>
      <w:r w:rsidR="00CD5024" w:rsidRPr="00587444">
        <w:rPr>
          <w:rFonts w:ascii="Trebuchet MS" w:eastAsia="Batang" w:hAnsi="Trebuchet MS" w:cs="Arial"/>
          <w:sz w:val="20"/>
          <w:szCs w:val="20"/>
          <w:lang w:eastAsia="hr-HR"/>
        </w:rPr>
        <w:t>the</w:t>
      </w:r>
      <w:r w:rsidR="00CD5024" w:rsidRPr="00CD5024">
        <w:rPr>
          <w:rFonts w:ascii="Trebuchet MS" w:eastAsia="Batang" w:hAnsi="Trebuchet MS" w:cs="Arial"/>
          <w:sz w:val="20"/>
          <w:szCs w:val="20"/>
          <w:lang w:eastAsia="hr-HR"/>
        </w:rPr>
        <w:t xml:space="preserve"> annual separate and consolidated</w:t>
      </w:r>
      <w:r w:rsidRPr="00587444">
        <w:rPr>
          <w:rFonts w:ascii="Trebuchet MS" w:hAnsi="Trebuchet MS" w:cs="Arial"/>
          <w:sz w:val="20"/>
          <w:szCs w:val="20"/>
          <w:lang w:eastAsia="hr-HR" w:bidi="he-IL"/>
        </w:rPr>
        <w:t xml:space="preserve"> financial statements, including the disclosures, and whether </w:t>
      </w:r>
      <w:r w:rsidR="00CD5024" w:rsidRPr="00587444">
        <w:rPr>
          <w:rFonts w:ascii="Trebuchet MS" w:eastAsia="Batang" w:hAnsi="Trebuchet MS" w:cs="Arial"/>
          <w:sz w:val="20"/>
          <w:szCs w:val="20"/>
          <w:lang w:eastAsia="hr-HR"/>
        </w:rPr>
        <w:t>the</w:t>
      </w:r>
      <w:r w:rsidR="00CD5024" w:rsidRPr="00CD5024">
        <w:rPr>
          <w:rFonts w:ascii="Trebuchet MS" w:eastAsia="Batang" w:hAnsi="Trebuchet MS" w:cs="Arial"/>
          <w:sz w:val="20"/>
          <w:szCs w:val="20"/>
          <w:lang w:eastAsia="hr-HR"/>
        </w:rPr>
        <w:t xml:space="preserve"> annual separate and consolidated</w:t>
      </w:r>
      <w:r w:rsidR="00CD5024">
        <w:rPr>
          <w:rFonts w:ascii="Trebuchet MS" w:eastAsia="Batang" w:hAnsi="Trebuchet MS" w:cs="Arial"/>
          <w:sz w:val="20"/>
          <w:szCs w:val="20"/>
          <w:lang w:eastAsia="hr-HR"/>
        </w:rPr>
        <w:t xml:space="preserve"> </w:t>
      </w:r>
      <w:r w:rsidRPr="00587444">
        <w:rPr>
          <w:rFonts w:ascii="Trebuchet MS" w:hAnsi="Trebuchet MS" w:cs="Arial"/>
          <w:sz w:val="20"/>
          <w:szCs w:val="20"/>
          <w:lang w:eastAsia="hr-HR" w:bidi="he-IL"/>
        </w:rPr>
        <w:t>financial statements represent the underlying transactions and events in a manner that achieves fair presentation.</w:t>
      </w:r>
    </w:p>
    <w:p w14:paraId="4ED7D8C7" w14:textId="5F5ECA54" w:rsidR="00587444" w:rsidRPr="00587444" w:rsidRDefault="00587444">
      <w:pPr>
        <w:numPr>
          <w:ilvl w:val="0"/>
          <w:numId w:val="76"/>
        </w:numPr>
        <w:suppressAutoHyphens w:val="0"/>
        <w:autoSpaceDN/>
        <w:spacing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Obtain sufficient appropriate audit evidence regarding the financial information of the entities or business activities within the Group to express an opinion on the</w:t>
      </w:r>
      <w:r w:rsidR="00CD5024">
        <w:rPr>
          <w:rFonts w:ascii="Trebuchet MS" w:hAnsi="Trebuchet MS" w:cs="Arial"/>
          <w:sz w:val="20"/>
          <w:szCs w:val="20"/>
          <w:lang w:eastAsia="hr-HR" w:bidi="he-IL"/>
        </w:rPr>
        <w:t xml:space="preserve"> annual consolidated</w:t>
      </w:r>
      <w:r w:rsidRPr="00587444">
        <w:rPr>
          <w:rFonts w:ascii="Trebuchet MS" w:hAnsi="Trebuchet MS" w:cs="Arial"/>
          <w:sz w:val="20"/>
          <w:szCs w:val="20"/>
          <w:lang w:eastAsia="hr-HR" w:bidi="he-IL"/>
        </w:rPr>
        <w:t xml:space="preserve"> financial statements of the Group. We remain solely responsible for our audit opinion.</w:t>
      </w:r>
    </w:p>
    <w:p w14:paraId="49A424A8" w14:textId="77777777" w:rsidR="00587444" w:rsidRPr="00587444" w:rsidRDefault="00587444" w:rsidP="00587444">
      <w:pPr>
        <w:suppressAutoHyphens w:val="0"/>
        <w:autoSpaceDN/>
        <w:jc w:val="both"/>
        <w:rPr>
          <w:rFonts w:ascii="Trebuchet MS" w:hAnsi="Trebuchet MS" w:cs="Arial"/>
          <w:sz w:val="20"/>
          <w:szCs w:val="20"/>
          <w:lang w:eastAsia="hr-HR" w:bidi="he-IL"/>
        </w:rPr>
      </w:pPr>
      <w:r w:rsidRPr="00587444">
        <w:rPr>
          <w:rFonts w:ascii="Trebuchet MS" w:hAnsi="Trebuchet MS" w:cs="Arial"/>
          <w:sz w:val="20"/>
          <w:szCs w:val="20"/>
          <w:lang w:eastAsia="hr-HR" w:bidi="he-IL"/>
        </w:rPr>
        <w:t>We communicate with those charged with governance regarding, among other matters, the planned scope and timing of the audit and significant audit findings, including any significant deficiencies in internal controls that we identify during our audit.</w:t>
      </w:r>
    </w:p>
    <w:p w14:paraId="391F1D1E" w14:textId="77777777" w:rsidR="00587444" w:rsidRPr="00587444" w:rsidRDefault="00587444" w:rsidP="00587444">
      <w:pPr>
        <w:suppressAutoHyphens w:val="0"/>
        <w:autoSpaceDN/>
        <w:jc w:val="both"/>
        <w:rPr>
          <w:rFonts w:ascii="Trebuchet MS" w:hAnsi="Trebuchet MS" w:cs="Arial"/>
          <w:bCs/>
          <w:sz w:val="20"/>
          <w:szCs w:val="20"/>
          <w:lang w:eastAsia="hr-HR" w:bidi="he-IL"/>
        </w:rPr>
      </w:pPr>
    </w:p>
    <w:p w14:paraId="79ACEACD" w14:textId="77777777" w:rsidR="00587444" w:rsidRPr="00587444" w:rsidRDefault="00587444" w:rsidP="00587444">
      <w:pPr>
        <w:suppressAutoHyphens w:val="0"/>
        <w:autoSpaceDN/>
        <w:jc w:val="both"/>
        <w:rPr>
          <w:rFonts w:ascii="Trebuchet MS" w:hAnsi="Trebuchet MS" w:cs="Arial"/>
          <w:bCs/>
          <w:sz w:val="20"/>
          <w:szCs w:val="20"/>
          <w:lang w:eastAsia="hr-HR" w:bidi="he-IL"/>
        </w:rPr>
      </w:pPr>
      <w:r w:rsidRPr="00587444">
        <w:rPr>
          <w:rFonts w:ascii="Trebuchet MS" w:hAnsi="Trebuchet MS" w:cs="Arial"/>
          <w:bCs/>
          <w:sz w:val="20"/>
          <w:szCs w:val="20"/>
          <w:lang w:eastAsia="hr-HR" w:bidi="he-IL"/>
        </w:rPr>
        <w:t>We also provide those charged with governance with a statement that we have complied with relevant ethical requirements regarding independence and communicate with them all relationships and other matters that may reasonably be thought to bear on our independence, and where applicable, actions taken to eliminate threats or safeguards applied.</w:t>
      </w:r>
    </w:p>
    <w:p w14:paraId="79B8B1AE" w14:textId="77777777" w:rsidR="00587444" w:rsidRPr="00587444" w:rsidRDefault="00587444" w:rsidP="00587444">
      <w:pPr>
        <w:suppressAutoHyphens w:val="0"/>
        <w:autoSpaceDN/>
        <w:jc w:val="both"/>
        <w:rPr>
          <w:rFonts w:ascii="Trebuchet MS" w:hAnsi="Trebuchet MS" w:cs="Arial"/>
          <w:bCs/>
          <w:sz w:val="20"/>
          <w:szCs w:val="20"/>
          <w:lang w:eastAsia="hr-HR" w:bidi="he-IL"/>
        </w:rPr>
      </w:pPr>
    </w:p>
    <w:p w14:paraId="3D85601D" w14:textId="77777777" w:rsidR="00587444" w:rsidRPr="00587444" w:rsidRDefault="00587444" w:rsidP="00587444">
      <w:pPr>
        <w:suppressAutoHyphens w:val="0"/>
        <w:autoSpaceDN/>
        <w:jc w:val="both"/>
        <w:rPr>
          <w:rFonts w:ascii="Trebuchet MS" w:hAnsi="Trebuchet MS" w:cs="Arial"/>
          <w:bCs/>
          <w:sz w:val="20"/>
          <w:szCs w:val="20"/>
          <w:lang w:eastAsia="hr-HR" w:bidi="he-IL"/>
        </w:rPr>
      </w:pPr>
      <w:r w:rsidRPr="00587444">
        <w:rPr>
          <w:rFonts w:ascii="Trebuchet MS" w:hAnsi="Trebuchet MS" w:cs="Arial"/>
          <w:bCs/>
          <w:sz w:val="20"/>
          <w:szCs w:val="20"/>
          <w:lang w:eastAsia="hr-HR" w:bidi="he-IL"/>
        </w:rPr>
        <w:t xml:space="preserve">From the matters communicated with those charged with governance, we determine those matters that were of most significance in the audit of the annual separate and consolidated financial statements of the current period and are therefore the key audit matters. We describe these matters in our auditors’ report unless law or regulation precludes public disclosure about the matter or when, in extremely rare circumstances, we determine that a matter should not be communicated in our report because the adverse consequences of doing so would reasonably be expected to outweigh the public interest benefits of such communication. </w:t>
      </w:r>
    </w:p>
    <w:p w14:paraId="40C514C6" w14:textId="77777777" w:rsidR="00587444" w:rsidRPr="00587444" w:rsidRDefault="00587444" w:rsidP="00587444">
      <w:pPr>
        <w:suppressAutoHyphens w:val="0"/>
        <w:autoSpaceDN/>
        <w:jc w:val="both"/>
        <w:rPr>
          <w:rFonts w:ascii="Trebuchet MS" w:eastAsia="Batang" w:hAnsi="Trebuchet MS" w:cs="Arial"/>
          <w:b/>
          <w:bCs/>
          <w:sz w:val="20"/>
          <w:szCs w:val="20"/>
          <w:lang w:eastAsia="hr-HR"/>
        </w:rPr>
      </w:pPr>
    </w:p>
    <w:p w14:paraId="63BABA68" w14:textId="77777777" w:rsidR="00587444" w:rsidRPr="00587444" w:rsidRDefault="00587444" w:rsidP="00587444">
      <w:pPr>
        <w:suppressAutoHyphens w:val="0"/>
        <w:autoSpaceDN/>
        <w:jc w:val="both"/>
        <w:rPr>
          <w:rFonts w:ascii="Trebuchet MS" w:hAnsi="Trebuchet MS" w:cs="Arial"/>
          <w:b/>
          <w:color w:val="000000"/>
          <w:sz w:val="20"/>
          <w:szCs w:val="20"/>
          <w:lang w:eastAsia="hr-HR"/>
        </w:rPr>
        <w:sectPr w:rsidR="00587444" w:rsidRPr="00587444" w:rsidSect="00DD69E7">
          <w:pgSz w:w="11907" w:h="16840" w:code="9"/>
          <w:pgMar w:top="1418" w:right="1418" w:bottom="1418" w:left="1418" w:header="720" w:footer="720" w:gutter="0"/>
          <w:cols w:space="720"/>
        </w:sectPr>
      </w:pPr>
    </w:p>
    <w:p w14:paraId="0D8E16C1" w14:textId="77777777" w:rsidR="00587444" w:rsidRPr="00587444" w:rsidRDefault="00587444" w:rsidP="00587444">
      <w:pPr>
        <w:suppressAutoHyphens w:val="0"/>
        <w:autoSpaceDN/>
        <w:spacing w:before="240" w:after="200"/>
        <w:jc w:val="both"/>
        <w:rPr>
          <w:rFonts w:ascii="Trebuchet MS" w:eastAsia="Calibri" w:hAnsi="Trebuchet MS"/>
          <w:b/>
          <w:bCs/>
          <w:sz w:val="20"/>
          <w:szCs w:val="20"/>
          <w:lang w:val="hr-HR"/>
        </w:rPr>
      </w:pPr>
      <w:r w:rsidRPr="00587444">
        <w:rPr>
          <w:rFonts w:ascii="Trebuchet MS" w:eastAsia="Calibri" w:hAnsi="Trebuchet MS"/>
          <w:b/>
          <w:bCs/>
          <w:sz w:val="20"/>
          <w:szCs w:val="20"/>
          <w:lang w:val="hr-HR"/>
        </w:rPr>
        <w:lastRenderedPageBreak/>
        <w:t>INDEPENDENT JOINT AUDITOR’S REPORT TO THE OWNER OF CROATIAN BANK FOR RECONSTRUCTION AND DEVELOPMENT (CONTINUED)</w:t>
      </w:r>
    </w:p>
    <w:p w14:paraId="1F0B9DF7" w14:textId="77777777" w:rsidR="00587444" w:rsidRPr="00587444" w:rsidRDefault="00587444" w:rsidP="00587444">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Report on the Audit of the separate and consolidated Financial Statements (continued)</w:t>
      </w:r>
    </w:p>
    <w:p w14:paraId="1BB7DAE2" w14:textId="77777777" w:rsidR="00587444" w:rsidRPr="00587444" w:rsidRDefault="00587444" w:rsidP="00587444">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Report on Other Legal and Regulatory Requirements</w:t>
      </w:r>
    </w:p>
    <w:p w14:paraId="7754D4E2" w14:textId="6FD05629" w:rsidR="00587444" w:rsidRPr="00587444" w:rsidRDefault="00587444" w:rsidP="00587444">
      <w:pPr>
        <w:suppressAutoHyphens w:val="0"/>
        <w:autoSpaceDN/>
        <w:spacing w:after="120"/>
        <w:jc w:val="both"/>
        <w:rPr>
          <w:rFonts w:ascii="Trebuchet MS" w:hAnsi="Trebuchet MS" w:cs="Arial"/>
          <w:bCs/>
          <w:sz w:val="20"/>
          <w:szCs w:val="20"/>
          <w:lang w:val="en-GB" w:eastAsia="hr-HR" w:bidi="he-IL"/>
        </w:rPr>
      </w:pPr>
      <w:r w:rsidRPr="00587444">
        <w:rPr>
          <w:rFonts w:ascii="Trebuchet MS" w:hAnsi="Trebuchet MS" w:cs="Arial"/>
          <w:bCs/>
          <w:sz w:val="20"/>
          <w:szCs w:val="20"/>
          <w:lang w:val="en-GB" w:eastAsia="hr-HR" w:bidi="he-IL"/>
        </w:rPr>
        <w:t xml:space="preserve">BDO Croatia d.o.o. i PKF FACT </w:t>
      </w:r>
      <w:proofErr w:type="spellStart"/>
      <w:r w:rsidRPr="00587444">
        <w:rPr>
          <w:rFonts w:ascii="Trebuchet MS" w:hAnsi="Trebuchet MS" w:cs="Arial"/>
          <w:bCs/>
          <w:sz w:val="20"/>
          <w:szCs w:val="20"/>
          <w:lang w:val="en-GB" w:eastAsia="hr-HR" w:bidi="he-IL"/>
        </w:rPr>
        <w:t>revizija</w:t>
      </w:r>
      <w:proofErr w:type="spellEnd"/>
      <w:r w:rsidRPr="00587444">
        <w:rPr>
          <w:rFonts w:ascii="Trebuchet MS" w:hAnsi="Trebuchet MS" w:cs="Arial"/>
          <w:bCs/>
          <w:sz w:val="20"/>
          <w:szCs w:val="20"/>
          <w:lang w:val="en-GB" w:eastAsia="hr-HR" w:bidi="he-IL"/>
        </w:rPr>
        <w:t xml:space="preserve"> d.o.o. was appointed by those charged with governance on 28 September 2021 to audit </w:t>
      </w:r>
      <w:r w:rsidR="00CD5024" w:rsidRPr="00587444">
        <w:rPr>
          <w:rFonts w:ascii="Trebuchet MS" w:eastAsia="Batang" w:hAnsi="Trebuchet MS" w:cs="Arial"/>
          <w:sz w:val="20"/>
          <w:szCs w:val="20"/>
          <w:lang w:eastAsia="hr-HR"/>
        </w:rPr>
        <w:t>the</w:t>
      </w:r>
      <w:r w:rsidR="00CD5024" w:rsidRPr="00CD5024">
        <w:rPr>
          <w:rFonts w:ascii="Trebuchet MS" w:eastAsia="Batang" w:hAnsi="Trebuchet MS" w:cs="Arial"/>
          <w:sz w:val="20"/>
          <w:szCs w:val="20"/>
          <w:lang w:eastAsia="hr-HR"/>
        </w:rPr>
        <w:t xml:space="preserve"> annual separate and consolidated</w:t>
      </w:r>
      <w:r w:rsidRPr="00587444">
        <w:rPr>
          <w:rFonts w:ascii="Trebuchet MS" w:hAnsi="Trebuchet MS" w:cs="Arial"/>
          <w:bCs/>
          <w:sz w:val="20"/>
          <w:szCs w:val="20"/>
          <w:lang w:val="en-GB" w:eastAsia="hr-HR" w:bidi="he-IL"/>
        </w:rPr>
        <w:t xml:space="preserve"> financial statements of the Bank and the Group for the year ended 31 December 2022. Total uninterrupted period of engagement of BDO Croatia d.o.o. is 4 years. Total uninterrupted period of engagement of PKF FACT </w:t>
      </w:r>
      <w:proofErr w:type="spellStart"/>
      <w:r w:rsidRPr="00587444">
        <w:rPr>
          <w:rFonts w:ascii="Trebuchet MS" w:hAnsi="Trebuchet MS" w:cs="Arial"/>
          <w:bCs/>
          <w:sz w:val="20"/>
          <w:szCs w:val="20"/>
          <w:lang w:val="en-GB" w:eastAsia="hr-HR" w:bidi="he-IL"/>
        </w:rPr>
        <w:t>revizija</w:t>
      </w:r>
      <w:proofErr w:type="spellEnd"/>
      <w:r w:rsidRPr="00587444">
        <w:rPr>
          <w:rFonts w:ascii="Trebuchet MS" w:hAnsi="Trebuchet MS" w:cs="Arial"/>
          <w:bCs/>
          <w:sz w:val="20"/>
          <w:szCs w:val="20"/>
          <w:lang w:val="en-GB" w:eastAsia="hr-HR" w:bidi="he-IL"/>
        </w:rPr>
        <w:t xml:space="preserve"> d.o.o. is 2 years.</w:t>
      </w:r>
    </w:p>
    <w:p w14:paraId="0C77D891" w14:textId="77777777" w:rsidR="00587444" w:rsidRPr="00587444" w:rsidRDefault="00587444" w:rsidP="00587444">
      <w:pPr>
        <w:suppressAutoHyphens w:val="0"/>
        <w:autoSpaceDN/>
        <w:spacing w:after="120"/>
        <w:jc w:val="both"/>
        <w:rPr>
          <w:rFonts w:ascii="Trebuchet MS" w:hAnsi="Trebuchet MS" w:cs="Arial"/>
          <w:sz w:val="20"/>
          <w:szCs w:val="20"/>
          <w:lang w:val="en-GB" w:eastAsia="hr-HR" w:bidi="he-IL"/>
        </w:rPr>
      </w:pPr>
      <w:r w:rsidRPr="00587444">
        <w:rPr>
          <w:rFonts w:ascii="Trebuchet MS" w:hAnsi="Trebuchet MS" w:cs="Arial"/>
          <w:sz w:val="20"/>
          <w:szCs w:val="20"/>
          <w:lang w:val="en-GB" w:eastAsia="hr-HR" w:bidi="he-IL"/>
        </w:rPr>
        <w:t xml:space="preserve">In an audit of the annual separate and consolidated financial statements of the Bank and the Group for the year 2022, we determined the materiality levels for the annual financial </w:t>
      </w:r>
      <w:proofErr w:type="gramStart"/>
      <w:r w:rsidRPr="00587444">
        <w:rPr>
          <w:rFonts w:ascii="Trebuchet MS" w:hAnsi="Trebuchet MS" w:cs="Arial"/>
          <w:sz w:val="20"/>
          <w:szCs w:val="20"/>
          <w:lang w:val="en-GB" w:eastAsia="hr-HR" w:bidi="he-IL"/>
        </w:rPr>
        <w:t>statements as a whole, as</w:t>
      </w:r>
      <w:proofErr w:type="gramEnd"/>
      <w:r w:rsidRPr="00587444">
        <w:rPr>
          <w:rFonts w:ascii="Trebuchet MS" w:hAnsi="Trebuchet MS" w:cs="Arial"/>
          <w:sz w:val="20"/>
          <w:szCs w:val="20"/>
          <w:lang w:val="en-GB" w:eastAsia="hr-HR" w:bidi="he-IL"/>
        </w:rPr>
        <w:t xml:space="preserve"> follows: </w:t>
      </w:r>
    </w:p>
    <w:p w14:paraId="6CBBECE5" w14:textId="751FDA70" w:rsidR="00587444" w:rsidRPr="00587444" w:rsidRDefault="00587444">
      <w:pPr>
        <w:numPr>
          <w:ilvl w:val="1"/>
          <w:numId w:val="77"/>
        </w:numPr>
        <w:suppressAutoHyphens w:val="0"/>
        <w:autoSpaceDN/>
        <w:spacing w:after="200" w:line="276" w:lineRule="auto"/>
        <w:contextualSpacing/>
        <w:jc w:val="both"/>
        <w:rPr>
          <w:rFonts w:ascii="Trebuchet MS" w:hAnsi="Trebuchet MS" w:cs="Arial"/>
          <w:sz w:val="20"/>
          <w:szCs w:val="20"/>
          <w:lang w:val="en-GB" w:eastAsia="hr-HR" w:bidi="he-IL"/>
        </w:rPr>
      </w:pPr>
      <w:r w:rsidRPr="00587444">
        <w:rPr>
          <w:rFonts w:ascii="Trebuchet MS" w:hAnsi="Trebuchet MS" w:cs="Arial"/>
          <w:sz w:val="20"/>
          <w:szCs w:val="20"/>
          <w:lang w:val="en-GB" w:eastAsia="hr-HR" w:bidi="he-IL"/>
        </w:rPr>
        <w:t xml:space="preserve">for the annual separate financial statements: HRK 107 </w:t>
      </w:r>
      <w:r w:rsidR="006D5D5B" w:rsidRPr="00587444">
        <w:rPr>
          <w:rFonts w:ascii="Trebuchet MS" w:hAnsi="Trebuchet MS" w:cs="Arial"/>
          <w:sz w:val="20"/>
          <w:szCs w:val="20"/>
          <w:lang w:val="en-GB" w:eastAsia="hr-HR" w:bidi="he-IL"/>
        </w:rPr>
        <w:t>million</w:t>
      </w:r>
    </w:p>
    <w:p w14:paraId="007BEC34" w14:textId="08B8465E" w:rsidR="00587444" w:rsidRPr="00587444" w:rsidRDefault="00587444">
      <w:pPr>
        <w:numPr>
          <w:ilvl w:val="1"/>
          <w:numId w:val="77"/>
        </w:numPr>
        <w:suppressAutoHyphens w:val="0"/>
        <w:autoSpaceDN/>
        <w:spacing w:after="200" w:line="276" w:lineRule="auto"/>
        <w:contextualSpacing/>
        <w:jc w:val="both"/>
        <w:rPr>
          <w:rFonts w:ascii="Trebuchet MS" w:hAnsi="Trebuchet MS" w:cs="Arial"/>
          <w:sz w:val="20"/>
          <w:szCs w:val="20"/>
          <w:lang w:val="en-GB" w:eastAsia="hr-HR" w:bidi="he-IL"/>
        </w:rPr>
      </w:pPr>
      <w:r w:rsidRPr="00587444">
        <w:rPr>
          <w:rFonts w:ascii="Trebuchet MS" w:hAnsi="Trebuchet MS" w:cs="Arial"/>
          <w:sz w:val="20"/>
          <w:szCs w:val="20"/>
          <w:lang w:val="en-GB" w:eastAsia="hr-HR" w:bidi="he-IL"/>
        </w:rPr>
        <w:t xml:space="preserve">for the annual consolidated financial statements: HRK 107 </w:t>
      </w:r>
      <w:r w:rsidR="006D5D5B" w:rsidRPr="00587444">
        <w:rPr>
          <w:rFonts w:ascii="Trebuchet MS" w:hAnsi="Trebuchet MS" w:cs="Arial"/>
          <w:sz w:val="20"/>
          <w:szCs w:val="20"/>
          <w:lang w:val="en-GB" w:eastAsia="hr-HR" w:bidi="he-IL"/>
        </w:rPr>
        <w:t>million</w:t>
      </w:r>
    </w:p>
    <w:p w14:paraId="2D2146A8" w14:textId="77777777" w:rsidR="00587444" w:rsidRPr="00587444" w:rsidRDefault="00587444" w:rsidP="00587444">
      <w:pPr>
        <w:suppressAutoHyphens w:val="0"/>
        <w:autoSpaceDN/>
        <w:spacing w:before="120"/>
        <w:ind w:right="-2"/>
        <w:jc w:val="both"/>
        <w:rPr>
          <w:rFonts w:ascii="Trebuchet MS" w:hAnsi="Trebuchet MS"/>
          <w:sz w:val="20"/>
          <w:szCs w:val="20"/>
          <w:lang w:val="en-GB"/>
        </w:rPr>
      </w:pPr>
      <w:r w:rsidRPr="00587444">
        <w:rPr>
          <w:rFonts w:ascii="Trebuchet MS" w:hAnsi="Trebuchet MS"/>
          <w:sz w:val="20"/>
          <w:szCs w:val="20"/>
          <w:lang w:val="en-GB"/>
        </w:rPr>
        <w:t xml:space="preserve">which represents approximately 1% of the net assets of the Bank and the Group as </w:t>
      </w:r>
      <w:proofErr w:type="gramStart"/>
      <w:r w:rsidRPr="00587444">
        <w:rPr>
          <w:rFonts w:ascii="Trebuchet MS" w:hAnsi="Trebuchet MS"/>
          <w:sz w:val="20"/>
          <w:szCs w:val="20"/>
          <w:lang w:val="en-GB"/>
        </w:rPr>
        <w:t>at</w:t>
      </w:r>
      <w:proofErr w:type="gramEnd"/>
      <w:r w:rsidRPr="00587444">
        <w:rPr>
          <w:rFonts w:ascii="Trebuchet MS" w:hAnsi="Trebuchet MS"/>
          <w:sz w:val="20"/>
          <w:szCs w:val="20"/>
          <w:lang w:val="en-GB"/>
        </w:rPr>
        <w:t xml:space="preserve"> 31 December 2022.</w:t>
      </w:r>
    </w:p>
    <w:p w14:paraId="70A0649C" w14:textId="77777777" w:rsidR="00587444" w:rsidRPr="00587444" w:rsidRDefault="00587444" w:rsidP="00587444">
      <w:pPr>
        <w:suppressAutoHyphens w:val="0"/>
        <w:autoSpaceDN/>
        <w:spacing w:before="120" w:after="120"/>
        <w:jc w:val="both"/>
        <w:rPr>
          <w:rFonts w:ascii="Trebuchet MS" w:hAnsi="Trebuchet MS"/>
          <w:sz w:val="20"/>
          <w:szCs w:val="20"/>
          <w:lang w:val="en-GB"/>
        </w:rPr>
      </w:pPr>
      <w:r w:rsidRPr="00587444">
        <w:rPr>
          <w:rFonts w:ascii="Trebuchet MS" w:hAnsi="Trebuchet MS"/>
          <w:sz w:val="20"/>
          <w:szCs w:val="20"/>
          <w:lang w:val="en-GB"/>
        </w:rPr>
        <w:t>We selected net assets as the benchmark because we believe that this is the most appropriate measure according to which users most often assess the performance of the Bank and the Group, and it is also a generally accepted measure.</w:t>
      </w:r>
    </w:p>
    <w:p w14:paraId="5440A83F" w14:textId="77777777" w:rsidR="00587444" w:rsidRPr="00587444" w:rsidRDefault="00587444" w:rsidP="00587444">
      <w:pPr>
        <w:suppressAutoHyphens w:val="0"/>
        <w:autoSpaceDN/>
        <w:spacing w:after="120"/>
        <w:jc w:val="both"/>
        <w:rPr>
          <w:rFonts w:ascii="Trebuchet MS" w:eastAsia="Batang" w:hAnsi="Trebuchet MS" w:cs="Arial"/>
          <w:b/>
          <w:bCs/>
          <w:sz w:val="20"/>
          <w:szCs w:val="20"/>
          <w:lang w:val="en-GB" w:eastAsia="hr-HR"/>
        </w:rPr>
      </w:pPr>
      <w:r w:rsidRPr="00587444">
        <w:rPr>
          <w:rFonts w:ascii="Trebuchet MS" w:hAnsi="Trebuchet MS" w:cs="Arial"/>
          <w:sz w:val="20"/>
          <w:szCs w:val="20"/>
          <w:lang w:val="en-GB" w:eastAsia="hr-HR" w:bidi="he-IL"/>
        </w:rPr>
        <w:t>Our audit opinion is consistent with the additional report for the Audit Committee of the Bank prepared in accordance with requirements of Articles 11 of Regulations (EU) no. 537/2014.</w:t>
      </w:r>
    </w:p>
    <w:p w14:paraId="43D6A193" w14:textId="6D5280C5" w:rsidR="006942E1" w:rsidRDefault="00587444" w:rsidP="00587444">
      <w:pPr>
        <w:suppressAutoHyphens w:val="0"/>
        <w:autoSpaceDN/>
        <w:spacing w:after="120"/>
        <w:jc w:val="both"/>
        <w:rPr>
          <w:rFonts w:ascii="Trebuchet MS" w:hAnsi="Trebuchet MS" w:cs="Arial"/>
          <w:sz w:val="20"/>
          <w:szCs w:val="20"/>
          <w:lang w:val="en-GB" w:eastAsia="hr-HR" w:bidi="he-IL"/>
        </w:rPr>
      </w:pPr>
      <w:r w:rsidRPr="00587444">
        <w:rPr>
          <w:rFonts w:ascii="Trebuchet MS" w:hAnsi="Trebuchet MS" w:cs="Arial"/>
          <w:sz w:val="20"/>
          <w:szCs w:val="20"/>
          <w:lang w:val="en-GB" w:eastAsia="hr-HR" w:bidi="he-IL"/>
        </w:rPr>
        <w:t>During the period between the starting date of the audited separate and consolidate</w:t>
      </w:r>
      <w:r w:rsidR="00CD5024">
        <w:rPr>
          <w:rFonts w:ascii="Trebuchet MS" w:hAnsi="Trebuchet MS" w:cs="Arial"/>
          <w:sz w:val="20"/>
          <w:szCs w:val="20"/>
          <w:lang w:val="en-GB" w:eastAsia="hr-HR" w:bidi="he-IL"/>
        </w:rPr>
        <w:t>d</w:t>
      </w:r>
      <w:r w:rsidRPr="00587444">
        <w:rPr>
          <w:rFonts w:ascii="Trebuchet MS" w:hAnsi="Trebuchet MS" w:cs="Arial"/>
          <w:sz w:val="20"/>
          <w:szCs w:val="20"/>
          <w:lang w:val="en-GB" w:eastAsia="hr-HR" w:bidi="he-IL"/>
        </w:rPr>
        <w:t xml:space="preserve"> financial statements of the Bank and the Group for the year 2022 and the date of this Report, we have not provide any banned non-audit services to the Bank or the Group and did not provide design and implementation of internal controls or the </w:t>
      </w:r>
      <w:r w:rsidR="006D5D5B" w:rsidRPr="00587444">
        <w:rPr>
          <w:rFonts w:ascii="Trebuchet MS" w:hAnsi="Trebuchet MS" w:cs="Arial"/>
          <w:sz w:val="20"/>
          <w:szCs w:val="20"/>
          <w:lang w:val="en-GB" w:eastAsia="hr-HR" w:bidi="he-IL"/>
        </w:rPr>
        <w:t>management</w:t>
      </w:r>
      <w:r w:rsidRPr="00587444">
        <w:rPr>
          <w:rFonts w:ascii="Trebuchet MS" w:hAnsi="Trebuchet MS" w:cs="Arial"/>
          <w:sz w:val="20"/>
          <w:szCs w:val="20"/>
          <w:lang w:val="en-GB" w:eastAsia="hr-HR" w:bidi="he-IL"/>
        </w:rPr>
        <w:t xml:space="preserve"> procedures risk associated with the preparation and/or control of financial information or the design and implementation of financial information technology systems, and we maintained our </w:t>
      </w:r>
      <w:r w:rsidR="006D5D5B" w:rsidRPr="00587444">
        <w:rPr>
          <w:rFonts w:ascii="Trebuchet MS" w:hAnsi="Trebuchet MS" w:cs="Arial"/>
          <w:sz w:val="20"/>
          <w:szCs w:val="20"/>
          <w:lang w:val="en-GB" w:eastAsia="hr-HR" w:bidi="he-IL"/>
        </w:rPr>
        <w:t>independence</w:t>
      </w:r>
      <w:r w:rsidRPr="00587444">
        <w:rPr>
          <w:rFonts w:ascii="Trebuchet MS" w:hAnsi="Trebuchet MS" w:cs="Arial"/>
          <w:sz w:val="20"/>
          <w:szCs w:val="20"/>
          <w:lang w:val="en-GB" w:eastAsia="hr-HR" w:bidi="he-IL"/>
        </w:rPr>
        <w:t xml:space="preserve"> from the Bank and the Group in performing the audit. </w:t>
      </w:r>
    </w:p>
    <w:p w14:paraId="79197E41" w14:textId="44CB706D" w:rsidR="006942E1" w:rsidRPr="00587444" w:rsidRDefault="006942E1" w:rsidP="00587444">
      <w:pPr>
        <w:suppressAutoHyphens w:val="0"/>
        <w:autoSpaceDN/>
        <w:spacing w:after="120"/>
        <w:jc w:val="both"/>
        <w:rPr>
          <w:rFonts w:ascii="Trebuchet MS" w:hAnsi="Trebuchet MS" w:cs="Arial"/>
          <w:sz w:val="20"/>
          <w:szCs w:val="20"/>
          <w:lang w:val="en-GB" w:eastAsia="hr-HR" w:bidi="he-IL"/>
        </w:rPr>
      </w:pPr>
      <w:r w:rsidRPr="006942E1">
        <w:rPr>
          <w:rFonts w:ascii="Trebuchet MS" w:hAnsi="Trebuchet MS" w:cs="Arial"/>
          <w:sz w:val="20"/>
          <w:szCs w:val="20"/>
          <w:lang w:val="en-GB" w:eastAsia="hr-HR" w:bidi="he-IL"/>
        </w:rPr>
        <w:t xml:space="preserve">The engaged partners in the audit of the annual separate and consolidated financial statements of the Bank and the Group for the </w:t>
      </w:r>
      <w:r>
        <w:rPr>
          <w:rFonts w:ascii="Trebuchet MS" w:hAnsi="Trebuchet MS" w:cs="Arial"/>
          <w:sz w:val="20"/>
          <w:szCs w:val="20"/>
          <w:lang w:val="en-GB" w:eastAsia="hr-HR" w:bidi="he-IL"/>
        </w:rPr>
        <w:t xml:space="preserve">year </w:t>
      </w:r>
      <w:r w:rsidR="008204AF">
        <w:rPr>
          <w:rFonts w:ascii="Trebuchet MS" w:hAnsi="Trebuchet MS" w:cs="Arial"/>
          <w:sz w:val="20"/>
          <w:szCs w:val="20"/>
          <w:lang w:val="en-GB" w:eastAsia="hr-HR" w:bidi="he-IL"/>
        </w:rPr>
        <w:t>2022</w:t>
      </w:r>
      <w:r w:rsidRPr="006942E1">
        <w:rPr>
          <w:rFonts w:ascii="Trebuchet MS" w:hAnsi="Trebuchet MS" w:cs="Arial"/>
          <w:sz w:val="20"/>
          <w:szCs w:val="20"/>
          <w:lang w:val="en-GB" w:eastAsia="hr-HR" w:bidi="he-IL"/>
        </w:rPr>
        <w:t xml:space="preserve">, resulting in </w:t>
      </w:r>
      <w:r w:rsidR="008204AF" w:rsidRPr="008204AF">
        <w:rPr>
          <w:rFonts w:ascii="Trebuchet MS" w:hAnsi="Trebuchet MS" w:cs="Arial"/>
          <w:sz w:val="20"/>
          <w:szCs w:val="20"/>
          <w:lang w:val="en-GB" w:eastAsia="hr-HR" w:bidi="he-IL"/>
        </w:rPr>
        <w:t>Independent Joint Auditor’s Report</w:t>
      </w:r>
      <w:r w:rsidRPr="006942E1">
        <w:rPr>
          <w:rFonts w:ascii="Trebuchet MS" w:hAnsi="Trebuchet MS" w:cs="Arial"/>
          <w:sz w:val="20"/>
          <w:szCs w:val="20"/>
          <w:lang w:val="en-GB" w:eastAsia="hr-HR" w:bidi="he-IL"/>
        </w:rPr>
        <w:t xml:space="preserve">, are Ivan Čajko, certified auditor (BDO Croatia d.o.o.) and Jeni </w:t>
      </w:r>
      <w:proofErr w:type="spellStart"/>
      <w:r w:rsidRPr="006942E1">
        <w:rPr>
          <w:rFonts w:ascii="Trebuchet MS" w:hAnsi="Trebuchet MS" w:cs="Arial"/>
          <w:sz w:val="20"/>
          <w:szCs w:val="20"/>
          <w:lang w:val="en-GB" w:eastAsia="hr-HR" w:bidi="he-IL"/>
        </w:rPr>
        <w:t>Krstičević</w:t>
      </w:r>
      <w:proofErr w:type="spellEnd"/>
      <w:r w:rsidRPr="006942E1">
        <w:rPr>
          <w:rFonts w:ascii="Trebuchet MS" w:hAnsi="Trebuchet MS" w:cs="Arial"/>
          <w:sz w:val="20"/>
          <w:szCs w:val="20"/>
          <w:lang w:val="en-GB" w:eastAsia="hr-HR" w:bidi="he-IL"/>
        </w:rPr>
        <w:t xml:space="preserve">, certified auditor (PKF FACT </w:t>
      </w:r>
      <w:proofErr w:type="spellStart"/>
      <w:r w:rsidRPr="006942E1">
        <w:rPr>
          <w:rFonts w:ascii="Trebuchet MS" w:hAnsi="Trebuchet MS" w:cs="Arial"/>
          <w:sz w:val="20"/>
          <w:szCs w:val="20"/>
          <w:lang w:val="en-GB" w:eastAsia="hr-HR" w:bidi="he-IL"/>
        </w:rPr>
        <w:t>revizija</w:t>
      </w:r>
      <w:proofErr w:type="spellEnd"/>
      <w:r w:rsidRPr="006942E1">
        <w:rPr>
          <w:rFonts w:ascii="Trebuchet MS" w:hAnsi="Trebuchet MS" w:cs="Arial"/>
          <w:sz w:val="20"/>
          <w:szCs w:val="20"/>
          <w:lang w:val="en-GB" w:eastAsia="hr-HR" w:bidi="he-IL"/>
        </w:rPr>
        <w:t xml:space="preserve"> d.o.o.).</w:t>
      </w:r>
    </w:p>
    <w:p w14:paraId="7FF78DF9" w14:textId="77777777" w:rsidR="00587444" w:rsidRPr="0046750D" w:rsidRDefault="00587444" w:rsidP="00587444">
      <w:pPr>
        <w:suppressAutoHyphens w:val="0"/>
        <w:autoSpaceDN/>
        <w:spacing w:before="120" w:after="120"/>
        <w:jc w:val="both"/>
        <w:rPr>
          <w:rFonts w:ascii="Trebuchet MS" w:hAnsi="Trebuchet MS" w:cs="Arial"/>
          <w:sz w:val="14"/>
          <w:szCs w:val="14"/>
          <w:lang w:val="hr-HR" w:eastAsia="hr-HR" w:bidi="he-IL"/>
        </w:rPr>
      </w:pPr>
    </w:p>
    <w:tbl>
      <w:tblPr>
        <w:tblW w:w="8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851"/>
        <w:gridCol w:w="3923"/>
      </w:tblGrid>
      <w:tr w:rsidR="00587444" w:rsidRPr="00587444" w14:paraId="334C9F1F" w14:textId="77777777" w:rsidTr="008204AF">
        <w:trPr>
          <w:trHeight w:val="285"/>
          <w:jc w:val="center"/>
        </w:trPr>
        <w:tc>
          <w:tcPr>
            <w:tcW w:w="3544" w:type="dxa"/>
            <w:tcBorders>
              <w:top w:val="nil"/>
              <w:left w:val="nil"/>
              <w:bottom w:val="nil"/>
              <w:right w:val="nil"/>
            </w:tcBorders>
            <w:shd w:val="clear" w:color="auto" w:fill="auto"/>
            <w:noWrap/>
            <w:vAlign w:val="bottom"/>
          </w:tcPr>
          <w:p w14:paraId="570E98A5" w14:textId="77777777" w:rsidR="00587444" w:rsidRPr="00587444" w:rsidRDefault="00587444" w:rsidP="00587444">
            <w:pPr>
              <w:suppressAutoHyphens w:val="0"/>
              <w:autoSpaceDN/>
              <w:spacing w:before="120"/>
              <w:rPr>
                <w:rFonts w:ascii="Trebuchet MS" w:hAnsi="Trebuchet MS" w:cs="Arial"/>
                <w:sz w:val="20"/>
                <w:szCs w:val="20"/>
                <w:lang w:val="hr-HR" w:eastAsia="hr-HR"/>
              </w:rPr>
            </w:pPr>
            <w:r w:rsidRPr="00587444">
              <w:rPr>
                <w:rFonts w:ascii="Trebuchet MS" w:hAnsi="Trebuchet MS" w:cs="Arial"/>
                <w:sz w:val="20"/>
                <w:szCs w:val="20"/>
                <w:lang w:val="hr-HR" w:eastAsia="hr-HR"/>
              </w:rPr>
              <w:t>Zagreb,</w:t>
            </w:r>
          </w:p>
          <w:p w14:paraId="6602D046" w14:textId="61D726A4" w:rsidR="00587444" w:rsidRPr="00587444" w:rsidRDefault="00587444" w:rsidP="00587444">
            <w:pPr>
              <w:suppressAutoHyphens w:val="0"/>
              <w:autoSpaceDN/>
              <w:spacing w:before="120"/>
              <w:rPr>
                <w:rFonts w:ascii="Trebuchet MS" w:hAnsi="Trebuchet MS" w:cs="Arial"/>
                <w:sz w:val="20"/>
                <w:szCs w:val="20"/>
                <w:lang w:val="hr-HR" w:eastAsia="hr-HR"/>
              </w:rPr>
            </w:pPr>
            <w:r w:rsidRPr="00587444">
              <w:rPr>
                <w:rFonts w:ascii="Trebuchet MS" w:hAnsi="Trebuchet MS" w:cs="Arial"/>
                <w:sz w:val="20"/>
                <w:szCs w:val="20"/>
                <w:lang w:val="hr-HR" w:eastAsia="hr-HR"/>
              </w:rPr>
              <w:t>2</w:t>
            </w:r>
            <w:r w:rsidR="008526F0">
              <w:rPr>
                <w:rFonts w:ascii="Trebuchet MS" w:hAnsi="Trebuchet MS" w:cs="Arial"/>
                <w:sz w:val="20"/>
                <w:szCs w:val="20"/>
                <w:lang w:val="hr-HR" w:eastAsia="hr-HR"/>
              </w:rPr>
              <w:t>3</w:t>
            </w:r>
            <w:r w:rsidRPr="00587444">
              <w:rPr>
                <w:rFonts w:ascii="Trebuchet MS" w:hAnsi="Trebuchet MS" w:cs="Arial"/>
                <w:sz w:val="20"/>
                <w:szCs w:val="20"/>
                <w:lang w:val="hr-HR" w:eastAsia="hr-HR"/>
              </w:rPr>
              <w:t xml:space="preserve"> </w:t>
            </w:r>
            <w:r w:rsidRPr="00587444">
              <w:rPr>
                <w:rFonts w:ascii="Trebuchet MS" w:hAnsi="Trebuchet MS" w:cs="Arial"/>
                <w:sz w:val="20"/>
                <w:szCs w:val="20"/>
                <w:lang w:val="en-GB" w:eastAsia="hr-HR"/>
              </w:rPr>
              <w:t>March</w:t>
            </w:r>
            <w:r w:rsidRPr="00587444">
              <w:rPr>
                <w:rFonts w:ascii="Trebuchet MS" w:hAnsi="Trebuchet MS" w:cs="Arial"/>
                <w:sz w:val="20"/>
                <w:szCs w:val="20"/>
                <w:lang w:val="hr-HR" w:eastAsia="hr-HR"/>
              </w:rPr>
              <w:t xml:space="preserve"> 2023</w:t>
            </w:r>
          </w:p>
        </w:tc>
        <w:tc>
          <w:tcPr>
            <w:tcW w:w="851" w:type="dxa"/>
            <w:tcBorders>
              <w:top w:val="nil"/>
              <w:left w:val="nil"/>
              <w:bottom w:val="nil"/>
              <w:right w:val="nil"/>
            </w:tcBorders>
            <w:vAlign w:val="bottom"/>
          </w:tcPr>
          <w:p w14:paraId="14FD0192" w14:textId="77777777" w:rsidR="00587444" w:rsidRPr="00587444" w:rsidRDefault="00587444" w:rsidP="00587444">
            <w:pPr>
              <w:suppressAutoHyphens w:val="0"/>
              <w:autoSpaceDN/>
              <w:spacing w:before="120"/>
              <w:jc w:val="center"/>
              <w:rPr>
                <w:rFonts w:ascii="Trebuchet MS" w:hAnsi="Trebuchet MS" w:cs="Arial"/>
                <w:sz w:val="20"/>
                <w:szCs w:val="20"/>
                <w:lang w:val="hr-HR" w:eastAsia="hr-HR"/>
              </w:rPr>
            </w:pPr>
          </w:p>
        </w:tc>
        <w:tc>
          <w:tcPr>
            <w:tcW w:w="3923" w:type="dxa"/>
            <w:tcBorders>
              <w:top w:val="nil"/>
              <w:left w:val="nil"/>
              <w:bottom w:val="nil"/>
              <w:right w:val="nil"/>
            </w:tcBorders>
            <w:shd w:val="clear" w:color="auto" w:fill="auto"/>
            <w:noWrap/>
            <w:vAlign w:val="bottom"/>
          </w:tcPr>
          <w:p w14:paraId="49320658" w14:textId="77777777" w:rsidR="00587444" w:rsidRPr="00587444" w:rsidRDefault="00587444" w:rsidP="00587444">
            <w:pPr>
              <w:suppressAutoHyphens w:val="0"/>
              <w:autoSpaceDN/>
              <w:spacing w:before="120"/>
              <w:rPr>
                <w:rFonts w:ascii="Trebuchet MS" w:hAnsi="Trebuchet MS" w:cs="Arial"/>
                <w:sz w:val="20"/>
                <w:szCs w:val="20"/>
                <w:lang w:val="hr-HR" w:eastAsia="hr-HR"/>
              </w:rPr>
            </w:pPr>
            <w:r w:rsidRPr="00587444">
              <w:rPr>
                <w:rFonts w:ascii="Trebuchet MS" w:hAnsi="Trebuchet MS" w:cs="Arial"/>
                <w:sz w:val="20"/>
                <w:szCs w:val="20"/>
                <w:lang w:val="hr-HR" w:eastAsia="hr-HR"/>
              </w:rPr>
              <w:t>Zagreb,</w:t>
            </w:r>
          </w:p>
          <w:p w14:paraId="1F2A42AD" w14:textId="097F424E" w:rsidR="00587444" w:rsidRPr="00587444" w:rsidRDefault="00587444" w:rsidP="00587444">
            <w:pPr>
              <w:suppressAutoHyphens w:val="0"/>
              <w:autoSpaceDN/>
              <w:spacing w:before="120"/>
              <w:rPr>
                <w:rFonts w:ascii="Trebuchet MS" w:hAnsi="Trebuchet MS" w:cs="Arial"/>
                <w:sz w:val="20"/>
                <w:szCs w:val="20"/>
                <w:lang w:val="hr-HR" w:eastAsia="hr-HR"/>
              </w:rPr>
            </w:pPr>
            <w:r w:rsidRPr="00587444">
              <w:rPr>
                <w:rFonts w:ascii="Trebuchet MS" w:hAnsi="Trebuchet MS" w:cs="Arial"/>
                <w:sz w:val="20"/>
                <w:szCs w:val="20"/>
                <w:lang w:val="hr-HR" w:eastAsia="hr-HR"/>
              </w:rPr>
              <w:t>2</w:t>
            </w:r>
            <w:r w:rsidR="008526F0">
              <w:rPr>
                <w:rFonts w:ascii="Trebuchet MS" w:hAnsi="Trebuchet MS" w:cs="Arial"/>
                <w:sz w:val="20"/>
                <w:szCs w:val="20"/>
                <w:lang w:val="hr-HR" w:eastAsia="hr-HR"/>
              </w:rPr>
              <w:t>3</w:t>
            </w:r>
            <w:r w:rsidRPr="00587444">
              <w:rPr>
                <w:rFonts w:ascii="Trebuchet MS" w:hAnsi="Trebuchet MS" w:cs="Arial"/>
                <w:sz w:val="20"/>
                <w:szCs w:val="20"/>
                <w:lang w:val="hr-HR" w:eastAsia="hr-HR"/>
              </w:rPr>
              <w:t xml:space="preserve"> </w:t>
            </w:r>
            <w:r w:rsidRPr="00587444">
              <w:rPr>
                <w:rFonts w:ascii="Trebuchet MS" w:hAnsi="Trebuchet MS" w:cs="Arial"/>
                <w:sz w:val="20"/>
                <w:szCs w:val="20"/>
                <w:lang w:val="en-GB" w:eastAsia="hr-HR"/>
              </w:rPr>
              <w:t>March</w:t>
            </w:r>
            <w:r w:rsidRPr="00587444">
              <w:rPr>
                <w:rFonts w:ascii="Trebuchet MS" w:hAnsi="Trebuchet MS" w:cs="Arial"/>
                <w:sz w:val="20"/>
                <w:szCs w:val="20"/>
                <w:lang w:val="hr-HR" w:eastAsia="hr-HR"/>
              </w:rPr>
              <w:t xml:space="preserve"> 2023</w:t>
            </w:r>
          </w:p>
        </w:tc>
      </w:tr>
      <w:tr w:rsidR="00587444" w:rsidRPr="00587444" w14:paraId="380B8913" w14:textId="77777777" w:rsidTr="008204AF">
        <w:trPr>
          <w:trHeight w:val="285"/>
          <w:jc w:val="center"/>
        </w:trPr>
        <w:tc>
          <w:tcPr>
            <w:tcW w:w="3544" w:type="dxa"/>
            <w:tcBorders>
              <w:top w:val="nil"/>
              <w:left w:val="nil"/>
              <w:bottom w:val="nil"/>
              <w:right w:val="nil"/>
            </w:tcBorders>
            <w:shd w:val="clear" w:color="auto" w:fill="auto"/>
            <w:noWrap/>
            <w:vAlign w:val="bottom"/>
          </w:tcPr>
          <w:p w14:paraId="1D812B8D" w14:textId="77777777" w:rsidR="00587444" w:rsidRPr="00587444" w:rsidRDefault="00587444" w:rsidP="00587444">
            <w:pPr>
              <w:suppressAutoHyphens w:val="0"/>
              <w:autoSpaceDN/>
              <w:spacing w:before="120"/>
              <w:rPr>
                <w:rFonts w:ascii="Trebuchet MS" w:hAnsi="Trebuchet MS" w:cs="Arial"/>
                <w:sz w:val="20"/>
                <w:szCs w:val="20"/>
                <w:highlight w:val="yellow"/>
                <w:lang w:val="hr-HR" w:eastAsia="hr-HR"/>
              </w:rPr>
            </w:pPr>
          </w:p>
        </w:tc>
        <w:tc>
          <w:tcPr>
            <w:tcW w:w="851" w:type="dxa"/>
            <w:tcBorders>
              <w:top w:val="nil"/>
              <w:left w:val="nil"/>
              <w:bottom w:val="nil"/>
              <w:right w:val="nil"/>
            </w:tcBorders>
            <w:vAlign w:val="bottom"/>
          </w:tcPr>
          <w:p w14:paraId="7F70780A" w14:textId="77777777" w:rsidR="00587444" w:rsidRPr="00587444" w:rsidRDefault="00587444" w:rsidP="00587444">
            <w:pPr>
              <w:suppressAutoHyphens w:val="0"/>
              <w:autoSpaceDN/>
              <w:spacing w:before="120"/>
              <w:jc w:val="center"/>
              <w:rPr>
                <w:rFonts w:ascii="Trebuchet MS" w:hAnsi="Trebuchet MS" w:cs="Arial"/>
                <w:sz w:val="20"/>
                <w:szCs w:val="20"/>
                <w:highlight w:val="yellow"/>
                <w:lang w:val="hr-HR" w:eastAsia="hr-HR"/>
              </w:rPr>
            </w:pPr>
          </w:p>
        </w:tc>
        <w:tc>
          <w:tcPr>
            <w:tcW w:w="3923" w:type="dxa"/>
            <w:tcBorders>
              <w:top w:val="nil"/>
              <w:left w:val="nil"/>
              <w:bottom w:val="nil"/>
              <w:right w:val="nil"/>
            </w:tcBorders>
            <w:shd w:val="clear" w:color="auto" w:fill="auto"/>
            <w:noWrap/>
            <w:vAlign w:val="bottom"/>
          </w:tcPr>
          <w:p w14:paraId="18BA2433" w14:textId="77777777" w:rsidR="00587444" w:rsidRPr="00587444" w:rsidRDefault="00587444" w:rsidP="00587444">
            <w:pPr>
              <w:suppressAutoHyphens w:val="0"/>
              <w:autoSpaceDN/>
              <w:spacing w:before="120"/>
              <w:rPr>
                <w:rFonts w:ascii="Trebuchet MS" w:hAnsi="Trebuchet MS" w:cs="Arial"/>
                <w:sz w:val="20"/>
                <w:szCs w:val="20"/>
                <w:highlight w:val="yellow"/>
                <w:lang w:val="hr-HR" w:eastAsia="hr-HR"/>
              </w:rPr>
            </w:pPr>
          </w:p>
        </w:tc>
      </w:tr>
      <w:tr w:rsidR="00587444" w:rsidRPr="00587444" w14:paraId="1E824DB0" w14:textId="77777777" w:rsidTr="008204AF">
        <w:trPr>
          <w:trHeight w:val="285"/>
          <w:jc w:val="center"/>
        </w:trPr>
        <w:tc>
          <w:tcPr>
            <w:tcW w:w="3544" w:type="dxa"/>
            <w:tcBorders>
              <w:top w:val="nil"/>
              <w:left w:val="nil"/>
              <w:bottom w:val="nil"/>
              <w:right w:val="nil"/>
            </w:tcBorders>
            <w:shd w:val="clear" w:color="auto" w:fill="auto"/>
            <w:noWrap/>
            <w:vAlign w:val="bottom"/>
          </w:tcPr>
          <w:p w14:paraId="2D9681DC" w14:textId="77777777" w:rsidR="00587444" w:rsidRPr="00587444" w:rsidRDefault="00587444" w:rsidP="00587444">
            <w:pPr>
              <w:suppressAutoHyphens w:val="0"/>
              <w:autoSpaceDN/>
              <w:rPr>
                <w:rFonts w:ascii="Trebuchet MS" w:hAnsi="Trebuchet MS" w:cs="Arial"/>
                <w:sz w:val="20"/>
                <w:szCs w:val="20"/>
                <w:lang w:val="hr-HR" w:eastAsia="hr-HR"/>
              </w:rPr>
            </w:pPr>
            <w:r w:rsidRPr="00587444">
              <w:rPr>
                <w:rFonts w:ascii="Trebuchet MS" w:hAnsi="Trebuchet MS"/>
                <w:sz w:val="20"/>
                <w:szCs w:val="20"/>
                <w:lang w:val="hr-HR" w:eastAsia="hr-HR"/>
              </w:rPr>
              <w:t>BDO Croatia d.o.o.</w:t>
            </w:r>
          </w:p>
        </w:tc>
        <w:tc>
          <w:tcPr>
            <w:tcW w:w="851" w:type="dxa"/>
            <w:tcBorders>
              <w:top w:val="nil"/>
              <w:left w:val="nil"/>
              <w:bottom w:val="nil"/>
              <w:right w:val="nil"/>
            </w:tcBorders>
            <w:vAlign w:val="bottom"/>
          </w:tcPr>
          <w:p w14:paraId="0200943E" w14:textId="77777777" w:rsidR="00587444" w:rsidRPr="00587444" w:rsidRDefault="00587444" w:rsidP="00587444">
            <w:pPr>
              <w:suppressAutoHyphens w:val="0"/>
              <w:autoSpaceDN/>
              <w:jc w:val="center"/>
              <w:rPr>
                <w:rFonts w:ascii="Trebuchet MS" w:hAnsi="Trebuchet MS"/>
                <w:sz w:val="20"/>
                <w:szCs w:val="20"/>
                <w:lang w:val="hr-HR" w:eastAsia="hr-HR"/>
              </w:rPr>
            </w:pPr>
          </w:p>
        </w:tc>
        <w:tc>
          <w:tcPr>
            <w:tcW w:w="3923" w:type="dxa"/>
            <w:tcBorders>
              <w:top w:val="nil"/>
              <w:left w:val="nil"/>
              <w:bottom w:val="nil"/>
              <w:right w:val="nil"/>
            </w:tcBorders>
            <w:shd w:val="clear" w:color="auto" w:fill="auto"/>
            <w:noWrap/>
            <w:vAlign w:val="bottom"/>
          </w:tcPr>
          <w:p w14:paraId="6B43AE4A" w14:textId="77777777" w:rsidR="00587444" w:rsidRPr="00587444" w:rsidRDefault="00587444" w:rsidP="00587444">
            <w:pPr>
              <w:suppressAutoHyphens w:val="0"/>
              <w:autoSpaceDN/>
              <w:rPr>
                <w:rFonts w:ascii="Trebuchet MS" w:hAnsi="Trebuchet MS" w:cs="Arial"/>
                <w:sz w:val="20"/>
                <w:szCs w:val="20"/>
                <w:lang w:val="hr-HR" w:eastAsia="hr-HR"/>
              </w:rPr>
            </w:pPr>
            <w:r w:rsidRPr="00587444">
              <w:rPr>
                <w:rFonts w:ascii="Trebuchet MS" w:hAnsi="Trebuchet MS"/>
                <w:sz w:val="20"/>
                <w:szCs w:val="20"/>
                <w:lang w:val="hr-HR" w:eastAsia="hr-HR"/>
              </w:rPr>
              <w:t>PKF FACT revizija d.o.o.</w:t>
            </w:r>
          </w:p>
        </w:tc>
      </w:tr>
      <w:tr w:rsidR="00587444" w:rsidRPr="00587444" w14:paraId="5D0400DC" w14:textId="77777777" w:rsidTr="008204AF">
        <w:trPr>
          <w:trHeight w:val="285"/>
          <w:jc w:val="center"/>
        </w:trPr>
        <w:tc>
          <w:tcPr>
            <w:tcW w:w="3544" w:type="dxa"/>
            <w:tcBorders>
              <w:top w:val="nil"/>
              <w:left w:val="nil"/>
              <w:bottom w:val="nil"/>
              <w:right w:val="nil"/>
            </w:tcBorders>
            <w:shd w:val="clear" w:color="auto" w:fill="auto"/>
            <w:noWrap/>
            <w:vAlign w:val="bottom"/>
          </w:tcPr>
          <w:p w14:paraId="07EB2CA3" w14:textId="77777777" w:rsidR="00587444" w:rsidRPr="00587444" w:rsidRDefault="00587444" w:rsidP="00587444">
            <w:pPr>
              <w:suppressAutoHyphens w:val="0"/>
              <w:autoSpaceDN/>
              <w:rPr>
                <w:rFonts w:ascii="Trebuchet MS" w:hAnsi="Trebuchet MS" w:cs="Arial"/>
                <w:sz w:val="20"/>
                <w:szCs w:val="20"/>
                <w:lang w:val="hr-HR" w:eastAsia="hr-HR"/>
              </w:rPr>
            </w:pPr>
            <w:r w:rsidRPr="00587444">
              <w:rPr>
                <w:rFonts w:ascii="Trebuchet MS" w:hAnsi="Trebuchet MS"/>
                <w:sz w:val="20"/>
                <w:szCs w:val="20"/>
                <w:lang w:val="hr-HR" w:eastAsia="hr-HR"/>
              </w:rPr>
              <w:t>Radnička cesta 180</w:t>
            </w:r>
          </w:p>
        </w:tc>
        <w:tc>
          <w:tcPr>
            <w:tcW w:w="851" w:type="dxa"/>
            <w:tcBorders>
              <w:top w:val="nil"/>
              <w:left w:val="nil"/>
              <w:bottom w:val="nil"/>
              <w:right w:val="nil"/>
            </w:tcBorders>
            <w:vAlign w:val="bottom"/>
          </w:tcPr>
          <w:p w14:paraId="641C1891" w14:textId="77777777" w:rsidR="00587444" w:rsidRPr="00587444" w:rsidRDefault="00587444" w:rsidP="00587444">
            <w:pPr>
              <w:suppressAutoHyphens w:val="0"/>
              <w:autoSpaceDN/>
              <w:jc w:val="center"/>
              <w:rPr>
                <w:rFonts w:ascii="Trebuchet MS" w:hAnsi="Trebuchet MS"/>
                <w:sz w:val="20"/>
                <w:szCs w:val="20"/>
                <w:lang w:val="hr-HR" w:eastAsia="hr-HR"/>
              </w:rPr>
            </w:pPr>
          </w:p>
        </w:tc>
        <w:tc>
          <w:tcPr>
            <w:tcW w:w="3923" w:type="dxa"/>
            <w:tcBorders>
              <w:top w:val="nil"/>
              <w:left w:val="nil"/>
              <w:bottom w:val="nil"/>
              <w:right w:val="nil"/>
            </w:tcBorders>
            <w:shd w:val="clear" w:color="auto" w:fill="auto"/>
            <w:noWrap/>
            <w:vAlign w:val="bottom"/>
          </w:tcPr>
          <w:p w14:paraId="24E76B16" w14:textId="77777777" w:rsidR="00587444" w:rsidRPr="00587444" w:rsidRDefault="00587444" w:rsidP="00587444">
            <w:pPr>
              <w:suppressAutoHyphens w:val="0"/>
              <w:autoSpaceDN/>
              <w:rPr>
                <w:rFonts w:ascii="Trebuchet MS" w:hAnsi="Trebuchet MS" w:cs="Arial"/>
                <w:sz w:val="20"/>
                <w:szCs w:val="20"/>
                <w:lang w:val="hr-HR" w:eastAsia="hr-HR"/>
              </w:rPr>
            </w:pPr>
            <w:r w:rsidRPr="00587444">
              <w:rPr>
                <w:rFonts w:ascii="Trebuchet MS" w:hAnsi="Trebuchet MS"/>
                <w:sz w:val="20"/>
                <w:szCs w:val="20"/>
                <w:lang w:val="hr-HR" w:eastAsia="hr-HR"/>
              </w:rPr>
              <w:t>Zadarska 80</w:t>
            </w:r>
          </w:p>
        </w:tc>
      </w:tr>
      <w:tr w:rsidR="00587444" w:rsidRPr="00587444" w14:paraId="4881C8DC" w14:textId="77777777" w:rsidTr="008204AF">
        <w:trPr>
          <w:trHeight w:val="285"/>
          <w:jc w:val="center"/>
        </w:trPr>
        <w:tc>
          <w:tcPr>
            <w:tcW w:w="3544" w:type="dxa"/>
            <w:tcBorders>
              <w:top w:val="nil"/>
              <w:left w:val="nil"/>
              <w:bottom w:val="nil"/>
              <w:right w:val="nil"/>
            </w:tcBorders>
            <w:shd w:val="clear" w:color="auto" w:fill="auto"/>
            <w:noWrap/>
            <w:vAlign w:val="bottom"/>
          </w:tcPr>
          <w:p w14:paraId="7DA1D7E7" w14:textId="77777777" w:rsidR="00587444" w:rsidRPr="00587444" w:rsidRDefault="00587444" w:rsidP="00587444">
            <w:pPr>
              <w:suppressAutoHyphens w:val="0"/>
              <w:autoSpaceDN/>
              <w:rPr>
                <w:rFonts w:ascii="Trebuchet MS" w:hAnsi="Trebuchet MS"/>
                <w:sz w:val="20"/>
                <w:szCs w:val="20"/>
                <w:lang w:val="hr-HR" w:eastAsia="hr-HR"/>
              </w:rPr>
            </w:pPr>
            <w:r w:rsidRPr="00587444">
              <w:rPr>
                <w:rFonts w:ascii="Trebuchet MS" w:hAnsi="Trebuchet MS"/>
                <w:sz w:val="20"/>
                <w:szCs w:val="20"/>
                <w:lang w:val="hr-HR" w:eastAsia="hr-HR"/>
              </w:rPr>
              <w:t>10000 Zagreb</w:t>
            </w:r>
          </w:p>
          <w:p w14:paraId="44E4ACE8" w14:textId="77777777" w:rsidR="00587444" w:rsidRPr="00587444" w:rsidRDefault="00587444" w:rsidP="00587444">
            <w:pPr>
              <w:suppressAutoHyphens w:val="0"/>
              <w:autoSpaceDN/>
              <w:rPr>
                <w:rFonts w:ascii="Trebuchet MS" w:hAnsi="Trebuchet MS"/>
                <w:sz w:val="20"/>
                <w:szCs w:val="20"/>
                <w:lang w:val="hr-HR" w:eastAsia="hr-HR"/>
              </w:rPr>
            </w:pPr>
            <w:r w:rsidRPr="00587444">
              <w:rPr>
                <w:rFonts w:ascii="Trebuchet MS" w:hAnsi="Trebuchet MS"/>
                <w:sz w:val="20"/>
                <w:szCs w:val="20"/>
                <w:lang w:val="hr-HR" w:eastAsia="hr-HR"/>
              </w:rPr>
              <w:t>Croatia</w:t>
            </w:r>
          </w:p>
        </w:tc>
        <w:tc>
          <w:tcPr>
            <w:tcW w:w="851" w:type="dxa"/>
            <w:tcBorders>
              <w:top w:val="nil"/>
              <w:left w:val="nil"/>
              <w:bottom w:val="nil"/>
              <w:right w:val="nil"/>
            </w:tcBorders>
            <w:vAlign w:val="bottom"/>
          </w:tcPr>
          <w:p w14:paraId="13CA2104" w14:textId="77777777" w:rsidR="00587444" w:rsidRPr="00587444" w:rsidRDefault="00587444" w:rsidP="00587444">
            <w:pPr>
              <w:suppressAutoHyphens w:val="0"/>
              <w:autoSpaceDN/>
              <w:jc w:val="center"/>
              <w:rPr>
                <w:rFonts w:ascii="Trebuchet MS" w:hAnsi="Trebuchet MS"/>
                <w:sz w:val="20"/>
                <w:szCs w:val="20"/>
                <w:lang w:val="hr-HR" w:eastAsia="hr-HR"/>
              </w:rPr>
            </w:pPr>
          </w:p>
        </w:tc>
        <w:tc>
          <w:tcPr>
            <w:tcW w:w="3923" w:type="dxa"/>
            <w:tcBorders>
              <w:top w:val="nil"/>
              <w:left w:val="nil"/>
              <w:bottom w:val="nil"/>
              <w:right w:val="nil"/>
            </w:tcBorders>
            <w:shd w:val="clear" w:color="auto" w:fill="auto"/>
            <w:noWrap/>
            <w:vAlign w:val="bottom"/>
          </w:tcPr>
          <w:p w14:paraId="4C615D09" w14:textId="77777777" w:rsidR="00587444" w:rsidRPr="00587444" w:rsidRDefault="00587444" w:rsidP="00587444">
            <w:pPr>
              <w:suppressAutoHyphens w:val="0"/>
              <w:autoSpaceDN/>
              <w:rPr>
                <w:rFonts w:ascii="Trebuchet MS" w:hAnsi="Trebuchet MS"/>
                <w:sz w:val="20"/>
                <w:szCs w:val="20"/>
                <w:lang w:val="hr-HR" w:eastAsia="hr-HR"/>
              </w:rPr>
            </w:pPr>
            <w:r w:rsidRPr="00587444">
              <w:rPr>
                <w:rFonts w:ascii="Trebuchet MS" w:hAnsi="Trebuchet MS"/>
                <w:sz w:val="20"/>
                <w:szCs w:val="20"/>
                <w:lang w:val="hr-HR" w:eastAsia="hr-HR"/>
              </w:rPr>
              <w:t>10000 Zagreb</w:t>
            </w:r>
          </w:p>
          <w:p w14:paraId="4E3B0027" w14:textId="77777777" w:rsidR="00587444" w:rsidRPr="00587444" w:rsidRDefault="00587444" w:rsidP="00587444">
            <w:pPr>
              <w:suppressAutoHyphens w:val="0"/>
              <w:autoSpaceDN/>
              <w:rPr>
                <w:rFonts w:ascii="Trebuchet MS" w:hAnsi="Trebuchet MS" w:cs="Arial"/>
                <w:sz w:val="20"/>
                <w:szCs w:val="20"/>
                <w:lang w:val="hr-HR" w:eastAsia="hr-HR"/>
              </w:rPr>
            </w:pPr>
            <w:r w:rsidRPr="00587444">
              <w:rPr>
                <w:rFonts w:ascii="Trebuchet MS" w:hAnsi="Trebuchet MS" w:cs="Arial"/>
                <w:sz w:val="20"/>
                <w:szCs w:val="20"/>
                <w:lang w:val="hr-HR" w:eastAsia="hr-HR"/>
              </w:rPr>
              <w:t>Croatia</w:t>
            </w:r>
          </w:p>
        </w:tc>
      </w:tr>
      <w:tr w:rsidR="00587444" w:rsidRPr="00587444" w14:paraId="57E1F98D" w14:textId="77777777" w:rsidTr="008204AF">
        <w:trPr>
          <w:trHeight w:val="850"/>
          <w:jc w:val="center"/>
        </w:trPr>
        <w:tc>
          <w:tcPr>
            <w:tcW w:w="3544" w:type="dxa"/>
            <w:tcBorders>
              <w:top w:val="nil"/>
              <w:left w:val="nil"/>
              <w:bottom w:val="single" w:sz="4" w:space="0" w:color="auto"/>
              <w:right w:val="nil"/>
            </w:tcBorders>
            <w:shd w:val="clear" w:color="auto" w:fill="auto"/>
            <w:noWrap/>
            <w:vAlign w:val="bottom"/>
          </w:tcPr>
          <w:p w14:paraId="360380F4" w14:textId="77777777" w:rsidR="00587444" w:rsidRPr="00587444" w:rsidRDefault="00587444" w:rsidP="00587444">
            <w:pPr>
              <w:suppressAutoHyphens w:val="0"/>
              <w:autoSpaceDN/>
              <w:spacing w:before="120"/>
              <w:jc w:val="center"/>
              <w:rPr>
                <w:rFonts w:ascii="Trebuchet MS" w:hAnsi="Trebuchet MS"/>
                <w:sz w:val="20"/>
                <w:szCs w:val="20"/>
                <w:lang w:val="hr-HR" w:eastAsia="hr-HR"/>
              </w:rPr>
            </w:pPr>
          </w:p>
          <w:p w14:paraId="3F76F319" w14:textId="77777777" w:rsidR="00587444" w:rsidRPr="00587444" w:rsidRDefault="00587444" w:rsidP="00587444">
            <w:pPr>
              <w:suppressAutoHyphens w:val="0"/>
              <w:autoSpaceDN/>
              <w:spacing w:before="120"/>
              <w:jc w:val="center"/>
              <w:rPr>
                <w:rFonts w:ascii="Trebuchet MS" w:hAnsi="Trebuchet MS"/>
                <w:sz w:val="20"/>
                <w:szCs w:val="20"/>
                <w:lang w:val="hr-HR" w:eastAsia="hr-HR"/>
              </w:rPr>
            </w:pPr>
          </w:p>
          <w:p w14:paraId="5158D37B" w14:textId="77777777" w:rsidR="00587444" w:rsidRPr="00587444" w:rsidRDefault="00587444" w:rsidP="00587444">
            <w:pPr>
              <w:suppressAutoHyphens w:val="0"/>
              <w:autoSpaceDN/>
              <w:spacing w:before="120"/>
              <w:jc w:val="center"/>
              <w:rPr>
                <w:rFonts w:ascii="Trebuchet MS" w:hAnsi="Trebuchet MS"/>
                <w:sz w:val="20"/>
                <w:szCs w:val="20"/>
                <w:lang w:val="hr-HR" w:eastAsia="hr-HR"/>
              </w:rPr>
            </w:pPr>
          </w:p>
        </w:tc>
        <w:tc>
          <w:tcPr>
            <w:tcW w:w="851" w:type="dxa"/>
            <w:tcBorders>
              <w:top w:val="nil"/>
              <w:left w:val="nil"/>
              <w:bottom w:val="nil"/>
              <w:right w:val="nil"/>
            </w:tcBorders>
            <w:vAlign w:val="bottom"/>
          </w:tcPr>
          <w:p w14:paraId="57B607E0" w14:textId="77777777" w:rsidR="00587444" w:rsidRPr="00587444" w:rsidRDefault="00587444" w:rsidP="00587444">
            <w:pPr>
              <w:suppressAutoHyphens w:val="0"/>
              <w:autoSpaceDN/>
              <w:spacing w:before="120"/>
              <w:jc w:val="center"/>
              <w:rPr>
                <w:rFonts w:ascii="Trebuchet MS" w:hAnsi="Trebuchet MS"/>
                <w:sz w:val="20"/>
                <w:szCs w:val="20"/>
                <w:lang w:val="hr-HR" w:eastAsia="hr-HR"/>
              </w:rPr>
            </w:pPr>
          </w:p>
        </w:tc>
        <w:tc>
          <w:tcPr>
            <w:tcW w:w="3923" w:type="dxa"/>
            <w:tcBorders>
              <w:top w:val="nil"/>
              <w:left w:val="nil"/>
              <w:bottom w:val="single" w:sz="4" w:space="0" w:color="auto"/>
              <w:right w:val="nil"/>
            </w:tcBorders>
            <w:shd w:val="clear" w:color="auto" w:fill="auto"/>
            <w:noWrap/>
            <w:vAlign w:val="bottom"/>
          </w:tcPr>
          <w:p w14:paraId="7D58EF51" w14:textId="77777777" w:rsidR="00587444" w:rsidRPr="00587444" w:rsidRDefault="00587444" w:rsidP="00587444">
            <w:pPr>
              <w:suppressAutoHyphens w:val="0"/>
              <w:autoSpaceDN/>
              <w:spacing w:before="120"/>
              <w:jc w:val="center"/>
              <w:rPr>
                <w:rFonts w:ascii="Trebuchet MS" w:hAnsi="Trebuchet MS"/>
                <w:sz w:val="20"/>
                <w:szCs w:val="20"/>
                <w:lang w:val="hr-HR" w:eastAsia="hr-HR"/>
              </w:rPr>
            </w:pPr>
          </w:p>
        </w:tc>
      </w:tr>
      <w:tr w:rsidR="00587444" w:rsidRPr="00587444" w14:paraId="0FC2DEF0" w14:textId="77777777" w:rsidTr="008204AF">
        <w:trPr>
          <w:trHeight w:val="285"/>
          <w:jc w:val="center"/>
        </w:trPr>
        <w:tc>
          <w:tcPr>
            <w:tcW w:w="3544" w:type="dxa"/>
            <w:tcBorders>
              <w:top w:val="single" w:sz="4" w:space="0" w:color="auto"/>
              <w:left w:val="nil"/>
              <w:bottom w:val="nil"/>
              <w:right w:val="nil"/>
            </w:tcBorders>
            <w:shd w:val="clear" w:color="auto" w:fill="auto"/>
            <w:noWrap/>
            <w:vAlign w:val="bottom"/>
          </w:tcPr>
          <w:p w14:paraId="132F6B45" w14:textId="4E898C36" w:rsidR="00587444" w:rsidRPr="00587444" w:rsidRDefault="00587444" w:rsidP="008204AF">
            <w:pPr>
              <w:suppressAutoHyphens w:val="0"/>
              <w:autoSpaceDN/>
              <w:spacing w:before="120"/>
              <w:jc w:val="both"/>
              <w:rPr>
                <w:rFonts w:ascii="Trebuchet MS" w:hAnsi="Trebuchet MS"/>
                <w:sz w:val="20"/>
                <w:szCs w:val="20"/>
                <w:lang w:val="hr-HR" w:eastAsia="hr-HR"/>
              </w:rPr>
            </w:pPr>
            <w:r w:rsidRPr="00587444">
              <w:rPr>
                <w:rFonts w:ascii="Trebuchet MS" w:hAnsi="Trebuchet MS"/>
                <w:sz w:val="20"/>
                <w:szCs w:val="20"/>
                <w:lang w:val="hr-HR" w:eastAsia="hr-HR"/>
              </w:rPr>
              <w:t xml:space="preserve">Ivan </w:t>
            </w:r>
            <w:r w:rsidRPr="00587444">
              <w:rPr>
                <w:rFonts w:ascii="Trebuchet MS" w:hAnsi="Trebuchet MS"/>
                <w:color w:val="000000"/>
                <w:sz w:val="20"/>
                <w:szCs w:val="20"/>
                <w:lang w:val="hr-HR" w:eastAsia="zh-TW"/>
              </w:rPr>
              <w:t>Čajko</w:t>
            </w:r>
            <w:r w:rsidRPr="00587444">
              <w:rPr>
                <w:rFonts w:ascii="Trebuchet MS" w:hAnsi="Trebuchet MS"/>
                <w:sz w:val="20"/>
                <w:szCs w:val="20"/>
                <w:lang w:val="hr-HR" w:eastAsia="hr-HR"/>
              </w:rPr>
              <w:t xml:space="preserve">, </w:t>
            </w:r>
            <w:r w:rsidRPr="00587444">
              <w:rPr>
                <w:rFonts w:ascii="Trebuchet MS" w:hAnsi="Trebuchet MS"/>
                <w:sz w:val="20"/>
                <w:szCs w:val="20"/>
                <w:lang w:val="en-GB" w:eastAsia="hr-HR"/>
              </w:rPr>
              <w:t>Certified Auditor and Member of the Management Board</w:t>
            </w:r>
          </w:p>
        </w:tc>
        <w:tc>
          <w:tcPr>
            <w:tcW w:w="851" w:type="dxa"/>
            <w:tcBorders>
              <w:top w:val="nil"/>
              <w:left w:val="nil"/>
              <w:bottom w:val="nil"/>
              <w:right w:val="nil"/>
            </w:tcBorders>
            <w:vAlign w:val="bottom"/>
          </w:tcPr>
          <w:p w14:paraId="1D32EFC3" w14:textId="77777777" w:rsidR="00587444" w:rsidRPr="00587444" w:rsidRDefault="00587444" w:rsidP="00587444">
            <w:pPr>
              <w:suppressAutoHyphens w:val="0"/>
              <w:autoSpaceDN/>
              <w:spacing w:before="120"/>
              <w:jc w:val="center"/>
              <w:rPr>
                <w:rFonts w:ascii="Trebuchet MS" w:hAnsi="Trebuchet MS"/>
                <w:sz w:val="20"/>
                <w:szCs w:val="20"/>
                <w:lang w:val="hr-HR" w:eastAsia="hr-HR"/>
              </w:rPr>
            </w:pPr>
          </w:p>
        </w:tc>
        <w:tc>
          <w:tcPr>
            <w:tcW w:w="3923" w:type="dxa"/>
            <w:tcBorders>
              <w:top w:val="single" w:sz="4" w:space="0" w:color="auto"/>
              <w:left w:val="nil"/>
              <w:bottom w:val="nil"/>
              <w:right w:val="nil"/>
            </w:tcBorders>
            <w:shd w:val="clear" w:color="auto" w:fill="auto"/>
            <w:noWrap/>
          </w:tcPr>
          <w:p w14:paraId="4624E06F" w14:textId="77777777" w:rsidR="00587444" w:rsidRPr="00587444" w:rsidRDefault="00587444" w:rsidP="00587444">
            <w:pPr>
              <w:suppressAutoHyphens w:val="0"/>
              <w:autoSpaceDN/>
              <w:spacing w:before="120"/>
              <w:rPr>
                <w:rFonts w:ascii="Trebuchet MS" w:hAnsi="Trebuchet MS"/>
                <w:sz w:val="20"/>
                <w:szCs w:val="20"/>
                <w:lang w:val="hr-HR" w:eastAsia="hr-HR"/>
              </w:rPr>
            </w:pPr>
            <w:r w:rsidRPr="00587444">
              <w:rPr>
                <w:rFonts w:ascii="Trebuchet MS" w:hAnsi="Trebuchet MS"/>
                <w:sz w:val="20"/>
                <w:szCs w:val="20"/>
                <w:lang w:val="hr-HR" w:eastAsia="hr-HR"/>
              </w:rPr>
              <w:t xml:space="preserve">Jeni Krstičević, </w:t>
            </w:r>
            <w:r w:rsidRPr="00587444">
              <w:rPr>
                <w:rFonts w:ascii="Trebuchet MS" w:hAnsi="Trebuchet MS"/>
                <w:sz w:val="20"/>
                <w:szCs w:val="20"/>
                <w:lang w:val="en-GB" w:eastAsia="hr-HR"/>
              </w:rPr>
              <w:t>Certified Auditor</w:t>
            </w:r>
            <w:r w:rsidRPr="00587444">
              <w:rPr>
                <w:rFonts w:ascii="Trebuchet MS" w:hAnsi="Trebuchet MS"/>
                <w:sz w:val="20"/>
                <w:szCs w:val="20"/>
                <w:lang w:val="hr-HR" w:eastAsia="hr-HR"/>
              </w:rPr>
              <w:t xml:space="preserve"> </w:t>
            </w:r>
          </w:p>
        </w:tc>
      </w:tr>
      <w:tr w:rsidR="008204AF" w:rsidRPr="00587444" w14:paraId="6C926005" w14:textId="77777777" w:rsidTr="008204AF">
        <w:trPr>
          <w:trHeight w:val="285"/>
          <w:jc w:val="center"/>
        </w:trPr>
        <w:tc>
          <w:tcPr>
            <w:tcW w:w="3544" w:type="dxa"/>
            <w:tcBorders>
              <w:top w:val="nil"/>
              <w:left w:val="nil"/>
              <w:bottom w:val="nil"/>
              <w:right w:val="nil"/>
            </w:tcBorders>
            <w:shd w:val="clear" w:color="auto" w:fill="auto"/>
            <w:noWrap/>
            <w:vAlign w:val="bottom"/>
          </w:tcPr>
          <w:p w14:paraId="02BB73B3" w14:textId="77777777" w:rsidR="008204AF" w:rsidRPr="00587444" w:rsidRDefault="008204AF" w:rsidP="00587444">
            <w:pPr>
              <w:suppressAutoHyphens w:val="0"/>
              <w:autoSpaceDN/>
              <w:spacing w:before="120"/>
              <w:rPr>
                <w:rFonts w:ascii="Trebuchet MS" w:hAnsi="Trebuchet MS"/>
                <w:sz w:val="20"/>
                <w:szCs w:val="20"/>
                <w:lang w:val="hr-HR" w:eastAsia="hr-HR"/>
              </w:rPr>
            </w:pPr>
          </w:p>
        </w:tc>
        <w:tc>
          <w:tcPr>
            <w:tcW w:w="851" w:type="dxa"/>
            <w:tcBorders>
              <w:top w:val="nil"/>
              <w:left w:val="nil"/>
              <w:bottom w:val="nil"/>
              <w:right w:val="nil"/>
            </w:tcBorders>
            <w:vAlign w:val="bottom"/>
          </w:tcPr>
          <w:p w14:paraId="6C523E5B" w14:textId="77777777" w:rsidR="008204AF" w:rsidRPr="00587444" w:rsidRDefault="008204AF" w:rsidP="00587444">
            <w:pPr>
              <w:suppressAutoHyphens w:val="0"/>
              <w:autoSpaceDN/>
              <w:spacing w:before="120"/>
              <w:jc w:val="center"/>
              <w:rPr>
                <w:rFonts w:ascii="Trebuchet MS" w:hAnsi="Trebuchet MS"/>
                <w:sz w:val="20"/>
                <w:szCs w:val="20"/>
                <w:lang w:val="hr-HR" w:eastAsia="hr-HR"/>
              </w:rPr>
            </w:pPr>
          </w:p>
        </w:tc>
        <w:tc>
          <w:tcPr>
            <w:tcW w:w="3923" w:type="dxa"/>
            <w:tcBorders>
              <w:top w:val="nil"/>
              <w:left w:val="nil"/>
              <w:bottom w:val="single" w:sz="4" w:space="0" w:color="auto"/>
              <w:right w:val="nil"/>
            </w:tcBorders>
            <w:shd w:val="clear" w:color="auto" w:fill="auto"/>
            <w:noWrap/>
          </w:tcPr>
          <w:p w14:paraId="3685B938" w14:textId="77777777" w:rsidR="008204AF" w:rsidRDefault="008204AF" w:rsidP="008204AF">
            <w:pPr>
              <w:suppressAutoHyphens w:val="0"/>
              <w:autoSpaceDN/>
              <w:spacing w:before="120" w:after="120"/>
              <w:rPr>
                <w:rFonts w:ascii="Trebuchet MS" w:hAnsi="Trebuchet MS"/>
                <w:sz w:val="20"/>
                <w:szCs w:val="20"/>
                <w:lang w:val="hr-HR" w:eastAsia="hr-HR"/>
              </w:rPr>
            </w:pPr>
          </w:p>
          <w:p w14:paraId="2A2F1DAE" w14:textId="2A23B28E" w:rsidR="008204AF" w:rsidRPr="00587444" w:rsidRDefault="008204AF" w:rsidP="008204AF">
            <w:pPr>
              <w:suppressAutoHyphens w:val="0"/>
              <w:autoSpaceDN/>
              <w:spacing w:before="120" w:after="120"/>
              <w:rPr>
                <w:rFonts w:ascii="Trebuchet MS" w:hAnsi="Trebuchet MS"/>
                <w:sz w:val="20"/>
                <w:szCs w:val="20"/>
                <w:lang w:val="hr-HR" w:eastAsia="hr-HR"/>
              </w:rPr>
            </w:pPr>
          </w:p>
        </w:tc>
      </w:tr>
      <w:tr w:rsidR="008204AF" w:rsidRPr="00587444" w14:paraId="6E968A9A" w14:textId="77777777" w:rsidTr="008204AF">
        <w:trPr>
          <w:trHeight w:val="285"/>
          <w:jc w:val="center"/>
        </w:trPr>
        <w:tc>
          <w:tcPr>
            <w:tcW w:w="3544" w:type="dxa"/>
            <w:tcBorders>
              <w:top w:val="nil"/>
              <w:left w:val="nil"/>
              <w:bottom w:val="nil"/>
              <w:right w:val="nil"/>
            </w:tcBorders>
            <w:shd w:val="clear" w:color="auto" w:fill="auto"/>
            <w:noWrap/>
            <w:vAlign w:val="bottom"/>
          </w:tcPr>
          <w:p w14:paraId="1CF7807A" w14:textId="77777777" w:rsidR="008204AF" w:rsidRPr="00587444" w:rsidRDefault="008204AF" w:rsidP="00587444">
            <w:pPr>
              <w:suppressAutoHyphens w:val="0"/>
              <w:autoSpaceDN/>
              <w:spacing w:before="120"/>
              <w:rPr>
                <w:rFonts w:ascii="Trebuchet MS" w:hAnsi="Trebuchet MS"/>
                <w:sz w:val="20"/>
                <w:szCs w:val="20"/>
                <w:lang w:val="hr-HR" w:eastAsia="hr-HR"/>
              </w:rPr>
            </w:pPr>
          </w:p>
        </w:tc>
        <w:tc>
          <w:tcPr>
            <w:tcW w:w="851" w:type="dxa"/>
            <w:tcBorders>
              <w:top w:val="nil"/>
              <w:left w:val="nil"/>
              <w:bottom w:val="nil"/>
              <w:right w:val="nil"/>
            </w:tcBorders>
            <w:vAlign w:val="bottom"/>
          </w:tcPr>
          <w:p w14:paraId="5E08774D" w14:textId="77777777" w:rsidR="008204AF" w:rsidRPr="00587444" w:rsidRDefault="008204AF" w:rsidP="00587444">
            <w:pPr>
              <w:suppressAutoHyphens w:val="0"/>
              <w:autoSpaceDN/>
              <w:spacing w:before="120"/>
              <w:jc w:val="center"/>
              <w:rPr>
                <w:rFonts w:ascii="Trebuchet MS" w:hAnsi="Trebuchet MS"/>
                <w:sz w:val="20"/>
                <w:szCs w:val="20"/>
                <w:lang w:val="hr-HR" w:eastAsia="hr-HR"/>
              </w:rPr>
            </w:pPr>
          </w:p>
        </w:tc>
        <w:tc>
          <w:tcPr>
            <w:tcW w:w="3923" w:type="dxa"/>
            <w:tcBorders>
              <w:top w:val="single" w:sz="4" w:space="0" w:color="auto"/>
              <w:left w:val="nil"/>
              <w:bottom w:val="nil"/>
              <w:right w:val="nil"/>
            </w:tcBorders>
            <w:shd w:val="clear" w:color="auto" w:fill="auto"/>
            <w:noWrap/>
          </w:tcPr>
          <w:p w14:paraId="05D59A8B" w14:textId="2DED140B" w:rsidR="008204AF" w:rsidRPr="00587444" w:rsidRDefault="008204AF" w:rsidP="008204AF">
            <w:pPr>
              <w:suppressAutoHyphens w:val="0"/>
              <w:autoSpaceDN/>
              <w:spacing w:before="120"/>
              <w:rPr>
                <w:rFonts w:ascii="Trebuchet MS" w:hAnsi="Trebuchet MS"/>
                <w:sz w:val="20"/>
                <w:szCs w:val="20"/>
                <w:lang w:val="hr-HR" w:eastAsia="hr-HR"/>
              </w:rPr>
            </w:pPr>
            <w:r>
              <w:rPr>
                <w:rFonts w:ascii="Trebuchet MS" w:hAnsi="Trebuchet MS"/>
                <w:sz w:val="20"/>
                <w:szCs w:val="20"/>
                <w:lang w:val="hr-HR" w:eastAsia="hr-HR"/>
              </w:rPr>
              <w:t xml:space="preserve">Irena Kovačić, </w:t>
            </w:r>
            <w:r w:rsidRPr="008204AF">
              <w:rPr>
                <w:rFonts w:ascii="Trebuchet MS" w:hAnsi="Trebuchet MS"/>
                <w:sz w:val="20"/>
                <w:szCs w:val="20"/>
                <w:lang w:val="hr-HR" w:eastAsia="hr-HR"/>
              </w:rPr>
              <w:t>Member of the Management Board</w:t>
            </w:r>
          </w:p>
        </w:tc>
      </w:t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tbl>
    <w:p w14:paraId="3DFFBD3A" w14:textId="77777777" w:rsidR="00587444" w:rsidRPr="00587444" w:rsidRDefault="00587444" w:rsidP="00587444">
      <w:pPr>
        <w:suppressAutoHyphens w:val="0"/>
        <w:autoSpaceDE w:val="0"/>
        <w:adjustRightInd w:val="0"/>
        <w:jc w:val="both"/>
        <w:rPr>
          <w:rFonts w:ascii="Arial" w:hAnsi="Arial" w:cs="Arial"/>
          <w:sz w:val="20"/>
          <w:szCs w:val="20"/>
        </w:rPr>
        <w:sectPr w:rsidR="00587444" w:rsidRPr="00587444" w:rsidSect="006D5D5B">
          <w:headerReference w:type="default" r:id="rId57"/>
          <w:pgSz w:w="11907" w:h="16840" w:code="9"/>
          <w:pgMar w:top="664" w:right="992" w:bottom="1134" w:left="1418" w:header="851" w:footer="851" w:gutter="0"/>
          <w:pgNumType w:start="71"/>
          <w:cols w:space="720"/>
          <w:noEndnote/>
        </w:sectPr>
      </w:pPr>
    </w:p>
    <w:p w14:paraId="170B3483" w14:textId="77777777" w:rsidR="00587444" w:rsidRPr="00587444" w:rsidRDefault="00587444" w:rsidP="008204AF">
      <w:pPr>
        <w:suppressAutoHyphens w:val="0"/>
        <w:autoSpaceDN/>
        <w:rPr>
          <w:rFonts w:ascii="Arial" w:hAnsi="Arial" w:cs="Arial"/>
          <w:b/>
          <w:color w:val="00338D"/>
          <w:sz w:val="20"/>
          <w:szCs w:val="20"/>
          <w:highlight w:val="yellow"/>
        </w:rPr>
        <w:sectPr w:rsidR="00587444" w:rsidRPr="00587444" w:rsidSect="00DD69E7">
          <w:headerReference w:type="default" r:id="rId58"/>
          <w:footerReference w:type="default" r:id="rId59"/>
          <w:type w:val="continuous"/>
          <w:pgSz w:w="11907" w:h="16840" w:code="9"/>
          <w:pgMar w:top="457" w:right="992" w:bottom="1134" w:left="1418" w:header="851" w:footer="561" w:gutter="0"/>
          <w:pgNumType w:start="72"/>
          <w:cols w:space="720"/>
          <w:noEndnote/>
        </w:sectPr>
      </w:pPr>
    </w:p>
    <w:p w14:paraId="23EA4249" w14:textId="77777777" w:rsidR="00587444" w:rsidRPr="00587444" w:rsidRDefault="00587444" w:rsidP="00587444">
      <w:pPr>
        <w:suppressAutoHyphens w:val="0"/>
        <w:autoSpaceDN/>
        <w:rPr>
          <w:rFonts w:ascii="Arial" w:hAnsi="Arial" w:cs="Arial"/>
          <w:b/>
          <w:color w:val="00338D"/>
          <w:sz w:val="20"/>
          <w:szCs w:val="20"/>
          <w:highlight w:val="yellow"/>
        </w:rPr>
      </w:pPr>
    </w:p>
    <w:p w14:paraId="6CFDA2F0" w14:textId="77777777" w:rsidR="00587444" w:rsidRPr="00587444" w:rsidRDefault="00587444" w:rsidP="00587444">
      <w:pPr>
        <w:suppressAutoHyphens w:val="0"/>
        <w:autoSpaceDN/>
        <w:rPr>
          <w:rFonts w:ascii="Arial" w:hAnsi="Arial" w:cs="Arial"/>
          <w:b/>
          <w:color w:val="00338D"/>
          <w:sz w:val="20"/>
          <w:szCs w:val="20"/>
          <w:highlight w:val="yellow"/>
        </w:rPr>
      </w:pPr>
    </w:p>
    <w:p w14:paraId="5960C8C6" w14:textId="77777777" w:rsidR="00587444" w:rsidRPr="00587444" w:rsidRDefault="00587444" w:rsidP="00587444">
      <w:pPr>
        <w:ind w:left="283" w:hanging="283"/>
        <w:jc w:val="both"/>
        <w:textAlignment w:val="baseline"/>
        <w:rPr>
          <w:rFonts w:ascii="Arial" w:hAnsi="Arial" w:cs="Arial"/>
          <w:sz w:val="20"/>
          <w:szCs w:val="20"/>
          <w:lang w:val="en-GB"/>
        </w:rPr>
      </w:pPr>
    </w:p>
    <w:p w14:paraId="710329DF" w14:textId="77777777" w:rsidR="00587444" w:rsidRPr="00587444" w:rsidRDefault="00587444" w:rsidP="00587444">
      <w:pPr>
        <w:suppressAutoHyphens w:val="0"/>
        <w:autoSpaceDN/>
        <w:spacing w:line="276" w:lineRule="auto"/>
        <w:ind w:right="-1"/>
        <w:jc w:val="both"/>
        <w:rPr>
          <w:rFonts w:ascii="Arial" w:hAnsi="Arial" w:cs="Arial"/>
          <w:b/>
          <w:sz w:val="20"/>
          <w:szCs w:val="20"/>
          <w:highlight w:val="yellow"/>
          <w:lang w:val="en-GB"/>
        </w:rPr>
      </w:pPr>
    </w:p>
    <w:tbl>
      <w:tblPr>
        <w:tblW w:w="5000" w:type="pct"/>
        <w:tblLayout w:type="fixed"/>
        <w:tblCellMar>
          <w:left w:w="119" w:type="dxa"/>
          <w:right w:w="119" w:type="dxa"/>
        </w:tblCellMar>
        <w:tblLook w:val="0000" w:firstRow="0" w:lastRow="0" w:firstColumn="0" w:lastColumn="0" w:noHBand="0" w:noVBand="0"/>
      </w:tblPr>
      <w:tblGrid>
        <w:gridCol w:w="5231"/>
        <w:gridCol w:w="1016"/>
        <w:gridCol w:w="1745"/>
        <w:gridCol w:w="1743"/>
      </w:tblGrid>
      <w:tr w:rsidR="00587444" w:rsidRPr="00587444" w14:paraId="45A320A8" w14:textId="77777777" w:rsidTr="00DD69E7">
        <w:tc>
          <w:tcPr>
            <w:tcW w:w="2687" w:type="pct"/>
          </w:tcPr>
          <w:p w14:paraId="216A36F7" w14:textId="77777777" w:rsidR="00587444" w:rsidRPr="00587444" w:rsidRDefault="00587444" w:rsidP="00587444">
            <w:pPr>
              <w:tabs>
                <w:tab w:val="right" w:pos="1202"/>
              </w:tabs>
              <w:suppressAutoHyphens w:val="0"/>
              <w:autoSpaceDN/>
              <w:spacing w:line="301" w:lineRule="exact"/>
              <w:outlineLvl w:val="0"/>
              <w:rPr>
                <w:rFonts w:ascii="Arial" w:hAnsi="Arial" w:cs="Arial"/>
                <w:b/>
                <w:bCs/>
                <w:sz w:val="20"/>
                <w:szCs w:val="20"/>
                <w:lang w:val="en-GB"/>
              </w:rPr>
            </w:pPr>
          </w:p>
        </w:tc>
        <w:tc>
          <w:tcPr>
            <w:tcW w:w="522" w:type="pct"/>
          </w:tcPr>
          <w:p w14:paraId="02CB6B64" w14:textId="77777777" w:rsidR="00587444" w:rsidRPr="00587444" w:rsidRDefault="00587444" w:rsidP="00587444">
            <w:pPr>
              <w:tabs>
                <w:tab w:val="right" w:pos="1202"/>
              </w:tabs>
              <w:suppressAutoHyphens w:val="0"/>
              <w:autoSpaceDN/>
              <w:spacing w:line="301" w:lineRule="exact"/>
              <w:ind w:left="-15" w:firstLine="15"/>
              <w:jc w:val="center"/>
              <w:outlineLvl w:val="0"/>
              <w:rPr>
                <w:rFonts w:ascii="Arial" w:hAnsi="Arial" w:cs="Arial"/>
                <w:b/>
                <w:bCs/>
                <w:sz w:val="20"/>
                <w:szCs w:val="20"/>
                <w:lang w:val="en-GB"/>
              </w:rPr>
            </w:pPr>
          </w:p>
        </w:tc>
        <w:tc>
          <w:tcPr>
            <w:tcW w:w="896" w:type="pct"/>
          </w:tcPr>
          <w:p w14:paraId="50E37DA5"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p>
        </w:tc>
        <w:tc>
          <w:tcPr>
            <w:tcW w:w="895" w:type="pct"/>
          </w:tcPr>
          <w:p w14:paraId="42580420"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p>
        </w:tc>
      </w:tr>
      <w:tr w:rsidR="00587444" w:rsidRPr="00587444" w14:paraId="43D43FAD" w14:textId="77777777" w:rsidTr="00DD69E7">
        <w:tc>
          <w:tcPr>
            <w:tcW w:w="2687" w:type="pct"/>
          </w:tcPr>
          <w:p w14:paraId="1E28AF7D" w14:textId="77777777" w:rsidR="00587444" w:rsidRPr="00587444" w:rsidRDefault="00587444" w:rsidP="00587444">
            <w:pPr>
              <w:tabs>
                <w:tab w:val="right" w:pos="1202"/>
              </w:tabs>
              <w:suppressAutoHyphens w:val="0"/>
              <w:autoSpaceDN/>
              <w:spacing w:line="301" w:lineRule="exact"/>
              <w:outlineLvl w:val="0"/>
              <w:rPr>
                <w:rFonts w:ascii="Arial" w:hAnsi="Arial" w:cs="Arial"/>
                <w:b/>
                <w:bCs/>
                <w:sz w:val="20"/>
                <w:szCs w:val="20"/>
                <w:lang w:val="en-GB"/>
              </w:rPr>
            </w:pPr>
          </w:p>
        </w:tc>
        <w:tc>
          <w:tcPr>
            <w:tcW w:w="522" w:type="pct"/>
          </w:tcPr>
          <w:p w14:paraId="19E11BD0"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bCs/>
                <w:spacing w:val="-1"/>
                <w:sz w:val="20"/>
                <w:szCs w:val="20"/>
                <w:lang w:val="en-GB"/>
              </w:rPr>
            </w:pPr>
            <w:r w:rsidRPr="00587444">
              <w:rPr>
                <w:rFonts w:ascii="Arial" w:hAnsi="Arial" w:cs="Arial"/>
                <w:b/>
                <w:bCs/>
                <w:spacing w:val="-1"/>
                <w:sz w:val="20"/>
                <w:szCs w:val="20"/>
                <w:lang w:val="en-GB"/>
              </w:rPr>
              <w:t>Notes</w:t>
            </w:r>
          </w:p>
        </w:tc>
        <w:tc>
          <w:tcPr>
            <w:tcW w:w="896" w:type="pct"/>
          </w:tcPr>
          <w:p w14:paraId="6BF4C663"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2022</w:t>
            </w:r>
          </w:p>
          <w:p w14:paraId="286BBD47"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 xml:space="preserve">HRK ‘000 </w:t>
            </w:r>
          </w:p>
        </w:tc>
        <w:tc>
          <w:tcPr>
            <w:tcW w:w="895" w:type="pct"/>
          </w:tcPr>
          <w:p w14:paraId="48490344"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bookmarkStart w:id="130" w:name="_Toc4056844"/>
            <w:r w:rsidRPr="00587444">
              <w:rPr>
                <w:rFonts w:ascii="Arial" w:hAnsi="Arial" w:cs="Arial"/>
                <w:b/>
                <w:bCs/>
                <w:sz w:val="20"/>
                <w:szCs w:val="20"/>
                <w:lang w:val="en-GB"/>
              </w:rPr>
              <w:t>2021</w:t>
            </w:r>
          </w:p>
          <w:p w14:paraId="340F2391"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HRK ‘000</w:t>
            </w:r>
            <w:bookmarkEnd w:id="130"/>
            <w:r w:rsidRPr="00587444">
              <w:rPr>
                <w:rFonts w:ascii="Arial" w:hAnsi="Arial" w:cs="Arial"/>
                <w:b/>
                <w:bCs/>
                <w:sz w:val="20"/>
                <w:szCs w:val="20"/>
                <w:lang w:val="en-GB"/>
              </w:rPr>
              <w:t xml:space="preserve"> </w:t>
            </w:r>
          </w:p>
        </w:tc>
      </w:tr>
      <w:tr w:rsidR="00587444" w:rsidRPr="00587444" w14:paraId="38F582FE" w14:textId="77777777" w:rsidTr="00DD69E7">
        <w:tc>
          <w:tcPr>
            <w:tcW w:w="2687" w:type="pct"/>
          </w:tcPr>
          <w:p w14:paraId="409BAD0F"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p>
        </w:tc>
        <w:tc>
          <w:tcPr>
            <w:tcW w:w="522" w:type="pct"/>
          </w:tcPr>
          <w:p w14:paraId="2F4AF0CB"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spacing w:val="-1"/>
                <w:sz w:val="20"/>
                <w:szCs w:val="20"/>
                <w:lang w:val="en-GB"/>
              </w:rPr>
            </w:pPr>
          </w:p>
        </w:tc>
        <w:tc>
          <w:tcPr>
            <w:tcW w:w="896" w:type="pct"/>
          </w:tcPr>
          <w:p w14:paraId="69045524" w14:textId="77777777" w:rsidR="00587444" w:rsidRPr="00587444" w:rsidRDefault="00587444" w:rsidP="00587444">
            <w:pPr>
              <w:suppressAutoHyphens w:val="0"/>
              <w:autoSpaceDN/>
              <w:spacing w:line="301" w:lineRule="exact"/>
              <w:jc w:val="right"/>
              <w:outlineLvl w:val="0"/>
              <w:rPr>
                <w:rFonts w:ascii="Arial" w:hAnsi="Arial" w:cs="Arial"/>
                <w:b/>
                <w:sz w:val="20"/>
                <w:szCs w:val="20"/>
                <w:lang w:val="en-GB"/>
              </w:rPr>
            </w:pPr>
          </w:p>
        </w:tc>
        <w:tc>
          <w:tcPr>
            <w:tcW w:w="895" w:type="pct"/>
          </w:tcPr>
          <w:p w14:paraId="66432529" w14:textId="77777777" w:rsidR="00587444" w:rsidRPr="00587444" w:rsidRDefault="00587444" w:rsidP="00587444">
            <w:pPr>
              <w:suppressAutoHyphens w:val="0"/>
              <w:autoSpaceDN/>
              <w:spacing w:line="301" w:lineRule="exact"/>
              <w:jc w:val="right"/>
              <w:outlineLvl w:val="0"/>
              <w:rPr>
                <w:rFonts w:ascii="Arial" w:hAnsi="Arial" w:cs="Arial"/>
                <w:b/>
                <w:sz w:val="20"/>
                <w:szCs w:val="20"/>
                <w:lang w:val="en-GB"/>
              </w:rPr>
            </w:pPr>
          </w:p>
        </w:tc>
      </w:tr>
      <w:tr w:rsidR="00587444" w:rsidRPr="00587444" w14:paraId="331680E1" w14:textId="77777777" w:rsidTr="00FA24AC">
        <w:tc>
          <w:tcPr>
            <w:tcW w:w="2687" w:type="pct"/>
          </w:tcPr>
          <w:p w14:paraId="3DAF0FBC" w14:textId="77777777" w:rsidR="00587444" w:rsidRPr="00587444" w:rsidRDefault="00587444" w:rsidP="00587444">
            <w:pPr>
              <w:tabs>
                <w:tab w:val="right" w:pos="1202"/>
              </w:tabs>
              <w:suppressAutoHyphens w:val="0"/>
              <w:autoSpaceDN/>
              <w:spacing w:line="301" w:lineRule="exact"/>
              <w:outlineLvl w:val="0"/>
              <w:rPr>
                <w:rFonts w:ascii="Arial" w:hAnsi="Arial" w:cs="Arial"/>
                <w:bCs/>
                <w:spacing w:val="-2"/>
                <w:sz w:val="20"/>
                <w:szCs w:val="20"/>
                <w:lang w:val="en-GB"/>
              </w:rPr>
            </w:pPr>
            <w:bookmarkStart w:id="131" w:name="_Toc4056846"/>
            <w:r w:rsidRPr="00587444">
              <w:rPr>
                <w:rFonts w:ascii="Arial" w:hAnsi="Arial" w:cs="Arial"/>
                <w:bCs/>
                <w:spacing w:val="-2"/>
                <w:sz w:val="20"/>
                <w:szCs w:val="20"/>
                <w:lang w:val="en-GB"/>
              </w:rPr>
              <w:t>Interest income calculated using the effective interest method</w:t>
            </w:r>
            <w:bookmarkEnd w:id="131"/>
          </w:p>
        </w:tc>
        <w:tc>
          <w:tcPr>
            <w:tcW w:w="522" w:type="pct"/>
            <w:vAlign w:val="bottom"/>
          </w:tcPr>
          <w:p w14:paraId="7FFB6161"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Cs/>
                <w:sz w:val="20"/>
                <w:szCs w:val="20"/>
                <w:lang w:val="en-GB"/>
              </w:rPr>
            </w:pPr>
            <w:r w:rsidRPr="00587444">
              <w:rPr>
                <w:rFonts w:ascii="Arial" w:hAnsi="Arial" w:cs="Arial"/>
                <w:bCs/>
                <w:sz w:val="20"/>
                <w:szCs w:val="20"/>
                <w:lang w:val="en-GB"/>
              </w:rPr>
              <w:t>5</w:t>
            </w:r>
          </w:p>
        </w:tc>
        <w:tc>
          <w:tcPr>
            <w:tcW w:w="896" w:type="pct"/>
            <w:tcBorders>
              <w:top w:val="nil"/>
              <w:left w:val="nil"/>
              <w:right w:val="nil"/>
            </w:tcBorders>
            <w:shd w:val="clear" w:color="auto" w:fill="auto"/>
            <w:vAlign w:val="bottom"/>
          </w:tcPr>
          <w:p w14:paraId="69D3CE61"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629,193 </w:t>
            </w:r>
          </w:p>
        </w:tc>
        <w:tc>
          <w:tcPr>
            <w:tcW w:w="895" w:type="pct"/>
            <w:tcBorders>
              <w:top w:val="nil"/>
              <w:left w:val="nil"/>
              <w:right w:val="nil"/>
            </w:tcBorders>
            <w:shd w:val="clear" w:color="auto" w:fill="auto"/>
            <w:vAlign w:val="bottom"/>
          </w:tcPr>
          <w:p w14:paraId="7DA16116" w14:textId="77777777" w:rsidR="00587444" w:rsidRPr="00587444" w:rsidRDefault="00587444" w:rsidP="00587444">
            <w:pPr>
              <w:suppressAutoHyphens w:val="0"/>
              <w:autoSpaceDN/>
              <w:spacing w:line="301" w:lineRule="exact"/>
              <w:jc w:val="right"/>
              <w:outlineLvl w:val="0"/>
              <w:rPr>
                <w:rFonts w:ascii="Arial" w:hAnsi="Arial" w:cs="Arial"/>
                <w:bCs/>
                <w:spacing w:val="-2"/>
                <w:sz w:val="20"/>
                <w:szCs w:val="20"/>
                <w:lang w:val="hr-HR"/>
              </w:rPr>
            </w:pPr>
            <w:r w:rsidRPr="00587444">
              <w:rPr>
                <w:rFonts w:ascii="Arial" w:hAnsi="Arial" w:cs="Arial"/>
                <w:color w:val="000000"/>
                <w:sz w:val="20"/>
                <w:szCs w:val="20"/>
                <w:lang w:val="hr-HR"/>
              </w:rPr>
              <w:t>677,437</w:t>
            </w:r>
          </w:p>
        </w:tc>
      </w:tr>
      <w:tr w:rsidR="00587444" w:rsidRPr="00587444" w14:paraId="4557E9DD" w14:textId="77777777" w:rsidTr="00FA24AC">
        <w:tc>
          <w:tcPr>
            <w:tcW w:w="2687" w:type="pct"/>
          </w:tcPr>
          <w:p w14:paraId="015B0332" w14:textId="77777777" w:rsidR="00587444" w:rsidRPr="00587444" w:rsidRDefault="00587444" w:rsidP="00587444">
            <w:pPr>
              <w:tabs>
                <w:tab w:val="right" w:pos="1202"/>
              </w:tabs>
              <w:suppressAutoHyphens w:val="0"/>
              <w:autoSpaceDN/>
              <w:spacing w:line="301" w:lineRule="exact"/>
              <w:outlineLvl w:val="0"/>
              <w:rPr>
                <w:rFonts w:ascii="Arial" w:hAnsi="Arial" w:cs="Arial"/>
                <w:bCs/>
                <w:spacing w:val="-2"/>
                <w:sz w:val="20"/>
                <w:szCs w:val="20"/>
                <w:lang w:val="en-GB"/>
              </w:rPr>
            </w:pPr>
            <w:bookmarkStart w:id="132" w:name="_Toc4056850"/>
            <w:r w:rsidRPr="00587444">
              <w:rPr>
                <w:rFonts w:ascii="Arial" w:hAnsi="Arial" w:cs="Arial"/>
                <w:bCs/>
                <w:spacing w:val="-2"/>
                <w:sz w:val="20"/>
                <w:szCs w:val="20"/>
                <w:lang w:val="en-GB"/>
              </w:rPr>
              <w:t>Interest expense</w:t>
            </w:r>
            <w:bookmarkEnd w:id="132"/>
          </w:p>
        </w:tc>
        <w:tc>
          <w:tcPr>
            <w:tcW w:w="522" w:type="pct"/>
            <w:vAlign w:val="bottom"/>
          </w:tcPr>
          <w:p w14:paraId="1B964545"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Cs/>
                <w:spacing w:val="-2"/>
                <w:sz w:val="20"/>
                <w:szCs w:val="20"/>
                <w:lang w:val="en-GB"/>
              </w:rPr>
            </w:pPr>
            <w:r w:rsidRPr="00587444">
              <w:rPr>
                <w:rFonts w:ascii="Arial" w:hAnsi="Arial" w:cs="Arial"/>
                <w:bCs/>
                <w:spacing w:val="-2"/>
                <w:sz w:val="20"/>
                <w:szCs w:val="20"/>
                <w:lang w:val="en-GB"/>
              </w:rPr>
              <w:t>6</w:t>
            </w:r>
          </w:p>
        </w:tc>
        <w:tc>
          <w:tcPr>
            <w:tcW w:w="896" w:type="pct"/>
            <w:tcBorders>
              <w:top w:val="nil"/>
              <w:left w:val="nil"/>
              <w:right w:val="nil"/>
            </w:tcBorders>
            <w:shd w:val="clear" w:color="auto" w:fill="auto"/>
            <w:vAlign w:val="bottom"/>
          </w:tcPr>
          <w:p w14:paraId="6EEC3311"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(158,416)</w:t>
            </w:r>
          </w:p>
        </w:tc>
        <w:tc>
          <w:tcPr>
            <w:tcW w:w="895" w:type="pct"/>
            <w:tcBorders>
              <w:top w:val="nil"/>
              <w:left w:val="nil"/>
              <w:right w:val="nil"/>
            </w:tcBorders>
            <w:shd w:val="clear" w:color="auto" w:fill="auto"/>
            <w:vAlign w:val="bottom"/>
          </w:tcPr>
          <w:p w14:paraId="7670180F" w14:textId="77777777" w:rsidR="00587444" w:rsidRPr="00587444" w:rsidRDefault="00587444" w:rsidP="00587444">
            <w:pPr>
              <w:suppressAutoHyphens w:val="0"/>
              <w:autoSpaceDN/>
              <w:spacing w:line="301" w:lineRule="exact"/>
              <w:jc w:val="right"/>
              <w:outlineLvl w:val="0"/>
              <w:rPr>
                <w:rFonts w:ascii="Arial" w:hAnsi="Arial" w:cs="Arial"/>
                <w:bCs/>
                <w:spacing w:val="-2"/>
                <w:sz w:val="20"/>
                <w:szCs w:val="20"/>
                <w:lang w:val="hr-HR"/>
              </w:rPr>
            </w:pPr>
            <w:r w:rsidRPr="00587444">
              <w:rPr>
                <w:rFonts w:ascii="Arial" w:hAnsi="Arial" w:cs="Arial"/>
                <w:color w:val="000000"/>
                <w:sz w:val="20"/>
                <w:szCs w:val="20"/>
                <w:lang w:val="hr-HR"/>
              </w:rPr>
              <w:t>(184,626)</w:t>
            </w:r>
          </w:p>
        </w:tc>
      </w:tr>
      <w:tr w:rsidR="00587444" w:rsidRPr="00587444" w14:paraId="61507F23" w14:textId="77777777" w:rsidTr="00FA24AC">
        <w:tc>
          <w:tcPr>
            <w:tcW w:w="2687" w:type="pct"/>
          </w:tcPr>
          <w:p w14:paraId="58B3AB36"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vertAlign w:val="superscript"/>
                <w:lang w:val="en-GB"/>
              </w:rPr>
            </w:pPr>
            <w:bookmarkStart w:id="133" w:name="_Toc4056854"/>
            <w:r w:rsidRPr="00587444">
              <w:rPr>
                <w:rFonts w:ascii="Arial" w:hAnsi="Arial" w:cs="Arial"/>
                <w:b/>
                <w:bCs/>
                <w:sz w:val="20"/>
                <w:szCs w:val="20"/>
                <w:lang w:val="en-GB"/>
              </w:rPr>
              <w:t>Net interest income</w:t>
            </w:r>
            <w:bookmarkEnd w:id="133"/>
          </w:p>
        </w:tc>
        <w:tc>
          <w:tcPr>
            <w:tcW w:w="522" w:type="pct"/>
            <w:vAlign w:val="bottom"/>
          </w:tcPr>
          <w:p w14:paraId="7FBC0DFB" w14:textId="77777777" w:rsidR="00587444" w:rsidRPr="00587444" w:rsidRDefault="00587444" w:rsidP="00587444">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tcBorders>
              <w:top w:val="single" w:sz="4" w:space="0" w:color="auto"/>
              <w:bottom w:val="single" w:sz="12" w:space="0" w:color="auto"/>
            </w:tcBorders>
            <w:vAlign w:val="bottom"/>
          </w:tcPr>
          <w:p w14:paraId="6C714E71" w14:textId="77777777" w:rsidR="00587444" w:rsidRPr="00FA24AC" w:rsidRDefault="00587444" w:rsidP="00FA24AC">
            <w:pPr>
              <w:suppressAutoHyphens w:val="0"/>
              <w:autoSpaceDN/>
              <w:spacing w:line="340" w:lineRule="exact"/>
              <w:jc w:val="right"/>
              <w:outlineLvl w:val="0"/>
              <w:rPr>
                <w:rFonts w:ascii="Arial" w:hAnsi="Arial" w:cs="Arial"/>
                <w:b/>
                <w:color w:val="000000"/>
                <w:sz w:val="20"/>
                <w:szCs w:val="20"/>
                <w:lang w:val="hr-HR"/>
              </w:rPr>
            </w:pPr>
            <w:r w:rsidRPr="00FA24AC">
              <w:rPr>
                <w:rFonts w:ascii="Arial" w:hAnsi="Arial" w:cs="Arial"/>
                <w:b/>
                <w:color w:val="000000"/>
                <w:sz w:val="20"/>
                <w:szCs w:val="20"/>
                <w:lang w:val="hr-HR"/>
              </w:rPr>
              <w:t xml:space="preserve"> 470,777 </w:t>
            </w:r>
          </w:p>
        </w:tc>
        <w:tc>
          <w:tcPr>
            <w:tcW w:w="895" w:type="pct"/>
            <w:tcBorders>
              <w:top w:val="single" w:sz="4" w:space="0" w:color="auto"/>
              <w:bottom w:val="single" w:sz="12" w:space="0" w:color="auto"/>
            </w:tcBorders>
            <w:vAlign w:val="bottom"/>
          </w:tcPr>
          <w:p w14:paraId="51DB336B" w14:textId="77777777" w:rsidR="00587444" w:rsidRPr="00587444" w:rsidRDefault="00587444" w:rsidP="00587444">
            <w:pPr>
              <w:suppressAutoHyphens w:val="0"/>
              <w:autoSpaceDN/>
              <w:spacing w:line="340" w:lineRule="exact"/>
              <w:jc w:val="right"/>
              <w:outlineLvl w:val="0"/>
              <w:rPr>
                <w:rFonts w:ascii="Arial" w:hAnsi="Arial" w:cs="Arial"/>
                <w:b/>
                <w:bCs/>
                <w:spacing w:val="-2"/>
                <w:sz w:val="20"/>
                <w:szCs w:val="20"/>
                <w:lang w:val="hr-HR"/>
              </w:rPr>
            </w:pPr>
            <w:r w:rsidRPr="00587444">
              <w:rPr>
                <w:rFonts w:ascii="Arial" w:hAnsi="Arial" w:cs="Arial"/>
                <w:b/>
                <w:color w:val="000000"/>
                <w:sz w:val="20"/>
                <w:szCs w:val="20"/>
                <w:lang w:val="hr-HR"/>
              </w:rPr>
              <w:t>492,811</w:t>
            </w:r>
          </w:p>
        </w:tc>
      </w:tr>
      <w:tr w:rsidR="00587444" w:rsidRPr="00587444" w14:paraId="746239BC" w14:textId="77777777" w:rsidTr="00FA24AC">
        <w:tc>
          <w:tcPr>
            <w:tcW w:w="2687" w:type="pct"/>
          </w:tcPr>
          <w:p w14:paraId="682A57CD" w14:textId="77777777" w:rsidR="00587444" w:rsidRPr="00587444" w:rsidRDefault="00587444" w:rsidP="00587444">
            <w:pPr>
              <w:tabs>
                <w:tab w:val="right" w:pos="1202"/>
              </w:tabs>
              <w:suppressAutoHyphens w:val="0"/>
              <w:autoSpaceDN/>
              <w:spacing w:line="301" w:lineRule="exact"/>
              <w:outlineLvl w:val="0"/>
              <w:rPr>
                <w:rFonts w:ascii="Arial" w:hAnsi="Arial" w:cs="Arial"/>
                <w:bCs/>
                <w:spacing w:val="-2"/>
                <w:sz w:val="20"/>
                <w:szCs w:val="20"/>
                <w:lang w:val="en-GB"/>
              </w:rPr>
            </w:pPr>
          </w:p>
        </w:tc>
        <w:tc>
          <w:tcPr>
            <w:tcW w:w="522" w:type="pct"/>
            <w:vAlign w:val="bottom"/>
          </w:tcPr>
          <w:p w14:paraId="3B773781"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Cs/>
                <w:sz w:val="20"/>
                <w:szCs w:val="20"/>
                <w:lang w:val="en-GB"/>
              </w:rPr>
            </w:pPr>
          </w:p>
        </w:tc>
        <w:tc>
          <w:tcPr>
            <w:tcW w:w="896" w:type="pct"/>
            <w:vAlign w:val="bottom"/>
          </w:tcPr>
          <w:p w14:paraId="67991625"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p>
        </w:tc>
        <w:tc>
          <w:tcPr>
            <w:tcW w:w="895" w:type="pct"/>
            <w:vAlign w:val="bottom"/>
          </w:tcPr>
          <w:p w14:paraId="76F371D0" w14:textId="77777777" w:rsidR="00587444" w:rsidRPr="00587444" w:rsidRDefault="00587444" w:rsidP="00587444">
            <w:pPr>
              <w:suppressAutoHyphens w:val="0"/>
              <w:autoSpaceDN/>
              <w:spacing w:line="301" w:lineRule="exact"/>
              <w:jc w:val="right"/>
              <w:outlineLvl w:val="0"/>
              <w:rPr>
                <w:rFonts w:ascii="Arial" w:hAnsi="Arial" w:cs="Arial"/>
                <w:bCs/>
                <w:spacing w:val="-2"/>
                <w:sz w:val="20"/>
                <w:szCs w:val="20"/>
                <w:lang w:val="hr-HR"/>
              </w:rPr>
            </w:pPr>
          </w:p>
        </w:tc>
      </w:tr>
      <w:tr w:rsidR="00587444" w:rsidRPr="00587444" w14:paraId="35F6A96A" w14:textId="77777777" w:rsidTr="00FA24AC">
        <w:tc>
          <w:tcPr>
            <w:tcW w:w="2687" w:type="pct"/>
          </w:tcPr>
          <w:p w14:paraId="774DE731" w14:textId="77777777" w:rsidR="00587444" w:rsidRPr="00587444" w:rsidRDefault="00587444" w:rsidP="00587444">
            <w:pPr>
              <w:tabs>
                <w:tab w:val="right" w:pos="1202"/>
              </w:tabs>
              <w:suppressAutoHyphens w:val="0"/>
              <w:autoSpaceDN/>
              <w:spacing w:line="301" w:lineRule="exact"/>
              <w:outlineLvl w:val="0"/>
              <w:rPr>
                <w:rFonts w:ascii="Arial" w:hAnsi="Arial" w:cs="Arial"/>
                <w:bCs/>
                <w:sz w:val="20"/>
                <w:szCs w:val="20"/>
                <w:lang w:val="en-GB"/>
              </w:rPr>
            </w:pPr>
            <w:bookmarkStart w:id="134" w:name="_Toc4056857"/>
            <w:r w:rsidRPr="00587444">
              <w:rPr>
                <w:rFonts w:ascii="Arial" w:hAnsi="Arial" w:cs="Arial"/>
                <w:bCs/>
                <w:spacing w:val="-2"/>
                <w:sz w:val="20"/>
                <w:szCs w:val="20"/>
                <w:lang w:val="en-GB"/>
              </w:rPr>
              <w:t>Fee and commission income</w:t>
            </w:r>
            <w:bookmarkEnd w:id="134"/>
          </w:p>
        </w:tc>
        <w:tc>
          <w:tcPr>
            <w:tcW w:w="522" w:type="pct"/>
          </w:tcPr>
          <w:p w14:paraId="02AB336C"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Cs/>
                <w:sz w:val="20"/>
                <w:szCs w:val="20"/>
                <w:lang w:val="en-GB"/>
              </w:rPr>
            </w:pPr>
            <w:r w:rsidRPr="00587444">
              <w:rPr>
                <w:rFonts w:ascii="Arial" w:hAnsi="Arial" w:cs="Arial"/>
                <w:bCs/>
                <w:sz w:val="20"/>
                <w:szCs w:val="20"/>
                <w:lang w:val="en-GB"/>
              </w:rPr>
              <w:t>7</w:t>
            </w:r>
          </w:p>
        </w:tc>
        <w:tc>
          <w:tcPr>
            <w:tcW w:w="896" w:type="pct"/>
            <w:vAlign w:val="bottom"/>
          </w:tcPr>
          <w:p w14:paraId="7CE06A02"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27,179 </w:t>
            </w:r>
          </w:p>
        </w:tc>
        <w:tc>
          <w:tcPr>
            <w:tcW w:w="895" w:type="pct"/>
            <w:vAlign w:val="bottom"/>
          </w:tcPr>
          <w:p w14:paraId="484FBC46" w14:textId="77777777" w:rsidR="00587444" w:rsidRPr="00587444" w:rsidRDefault="00587444" w:rsidP="00587444">
            <w:pPr>
              <w:suppressAutoHyphens w:val="0"/>
              <w:autoSpaceDN/>
              <w:jc w:val="right"/>
              <w:rPr>
                <w:rFonts w:ascii="Arial" w:eastAsia="Arial Unicode MS" w:hAnsi="Arial" w:cs="Arial"/>
                <w:sz w:val="20"/>
                <w:szCs w:val="20"/>
                <w:lang w:val="hr-HR"/>
              </w:rPr>
            </w:pPr>
            <w:r w:rsidRPr="00587444">
              <w:rPr>
                <w:rFonts w:ascii="Arial" w:hAnsi="Arial" w:cs="Arial"/>
                <w:color w:val="000000"/>
                <w:sz w:val="20"/>
                <w:szCs w:val="20"/>
                <w:lang w:val="hr-HR"/>
              </w:rPr>
              <w:t xml:space="preserve"> 31,822 </w:t>
            </w:r>
          </w:p>
        </w:tc>
      </w:tr>
      <w:tr w:rsidR="00587444" w:rsidRPr="00587444" w14:paraId="213F364A" w14:textId="77777777" w:rsidTr="00FA24AC">
        <w:trPr>
          <w:trHeight w:val="318"/>
        </w:trPr>
        <w:tc>
          <w:tcPr>
            <w:tcW w:w="2687" w:type="pct"/>
            <w:vAlign w:val="center"/>
          </w:tcPr>
          <w:p w14:paraId="52CE1522" w14:textId="77777777" w:rsidR="00587444" w:rsidRPr="00587444" w:rsidRDefault="00587444" w:rsidP="00587444">
            <w:pPr>
              <w:tabs>
                <w:tab w:val="right" w:pos="1202"/>
              </w:tabs>
              <w:suppressAutoHyphens w:val="0"/>
              <w:autoSpaceDN/>
              <w:spacing w:line="301" w:lineRule="exact"/>
              <w:outlineLvl w:val="0"/>
              <w:rPr>
                <w:rFonts w:ascii="Arial" w:hAnsi="Arial" w:cs="Arial"/>
                <w:bCs/>
                <w:spacing w:val="-2"/>
                <w:sz w:val="20"/>
                <w:szCs w:val="20"/>
                <w:lang w:val="en-GB"/>
              </w:rPr>
            </w:pPr>
            <w:bookmarkStart w:id="135" w:name="_Toc4056859"/>
            <w:r w:rsidRPr="00587444">
              <w:rPr>
                <w:rFonts w:ascii="Arial" w:hAnsi="Arial" w:cs="Arial"/>
                <w:bCs/>
                <w:spacing w:val="-2"/>
                <w:sz w:val="20"/>
                <w:szCs w:val="20"/>
                <w:lang w:val="en-GB"/>
              </w:rPr>
              <w:t>Fee and commission expense</w:t>
            </w:r>
            <w:bookmarkEnd w:id="135"/>
          </w:p>
        </w:tc>
        <w:tc>
          <w:tcPr>
            <w:tcW w:w="522" w:type="pct"/>
            <w:vAlign w:val="center"/>
          </w:tcPr>
          <w:p w14:paraId="470D9A15"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136" w:name="_Toc4056860"/>
            <w:r w:rsidRPr="00587444">
              <w:rPr>
                <w:rFonts w:ascii="Arial" w:hAnsi="Arial" w:cs="Arial"/>
                <w:bCs/>
                <w:spacing w:val="-2"/>
                <w:sz w:val="20"/>
                <w:szCs w:val="20"/>
                <w:lang w:val="en-GB"/>
              </w:rPr>
              <w:t>7</w:t>
            </w:r>
            <w:bookmarkEnd w:id="136"/>
          </w:p>
        </w:tc>
        <w:tc>
          <w:tcPr>
            <w:tcW w:w="896" w:type="pct"/>
            <w:vAlign w:val="bottom"/>
          </w:tcPr>
          <w:p w14:paraId="6FDD0492"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(3,910)</w:t>
            </w:r>
          </w:p>
        </w:tc>
        <w:tc>
          <w:tcPr>
            <w:tcW w:w="895" w:type="pct"/>
            <w:vAlign w:val="bottom"/>
          </w:tcPr>
          <w:p w14:paraId="0D05594A" w14:textId="77777777" w:rsidR="00587444" w:rsidRPr="00587444" w:rsidRDefault="00587444" w:rsidP="00587444">
            <w:pPr>
              <w:suppressAutoHyphens w:val="0"/>
              <w:autoSpaceDN/>
              <w:jc w:val="right"/>
              <w:rPr>
                <w:rFonts w:ascii="Arial" w:eastAsia="Arial Unicode MS" w:hAnsi="Arial" w:cs="Arial"/>
                <w:sz w:val="20"/>
                <w:szCs w:val="20"/>
                <w:lang w:val="hr-HR"/>
              </w:rPr>
            </w:pPr>
            <w:r w:rsidRPr="00587444">
              <w:rPr>
                <w:rFonts w:ascii="Arial" w:hAnsi="Arial" w:cs="Arial"/>
                <w:color w:val="000000"/>
                <w:sz w:val="20"/>
                <w:szCs w:val="20"/>
                <w:lang w:val="hr-HR"/>
              </w:rPr>
              <w:t xml:space="preserve"> (5,056)</w:t>
            </w:r>
          </w:p>
        </w:tc>
      </w:tr>
      <w:tr w:rsidR="00587444" w:rsidRPr="00587444" w14:paraId="3697868C" w14:textId="77777777" w:rsidTr="00FA24AC">
        <w:tc>
          <w:tcPr>
            <w:tcW w:w="2687" w:type="pct"/>
          </w:tcPr>
          <w:p w14:paraId="11127686"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vertAlign w:val="superscript"/>
                <w:lang w:val="en-GB"/>
              </w:rPr>
            </w:pPr>
            <w:bookmarkStart w:id="137" w:name="_Toc4056861"/>
            <w:r w:rsidRPr="00587444">
              <w:rPr>
                <w:rFonts w:ascii="Arial" w:hAnsi="Arial" w:cs="Arial"/>
                <w:b/>
                <w:bCs/>
                <w:sz w:val="20"/>
                <w:szCs w:val="20"/>
                <w:lang w:val="en-GB"/>
              </w:rPr>
              <w:t>Net fee and commission income</w:t>
            </w:r>
            <w:bookmarkEnd w:id="137"/>
          </w:p>
        </w:tc>
        <w:tc>
          <w:tcPr>
            <w:tcW w:w="522" w:type="pct"/>
            <w:vAlign w:val="bottom"/>
          </w:tcPr>
          <w:p w14:paraId="0C59AAA8" w14:textId="77777777" w:rsidR="00587444" w:rsidRPr="00587444" w:rsidRDefault="00587444" w:rsidP="00587444">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tcBorders>
              <w:top w:val="single" w:sz="2" w:space="0" w:color="auto"/>
              <w:bottom w:val="single" w:sz="12" w:space="0" w:color="auto"/>
            </w:tcBorders>
            <w:vAlign w:val="bottom"/>
          </w:tcPr>
          <w:p w14:paraId="66F49671" w14:textId="77777777" w:rsidR="00587444" w:rsidRPr="00FA24AC" w:rsidRDefault="00587444" w:rsidP="00FA24AC">
            <w:pPr>
              <w:suppressAutoHyphens w:val="0"/>
              <w:autoSpaceDN/>
              <w:spacing w:line="340" w:lineRule="exact"/>
              <w:jc w:val="right"/>
              <w:outlineLvl w:val="0"/>
              <w:rPr>
                <w:rFonts w:ascii="Arial" w:hAnsi="Arial" w:cs="Arial"/>
                <w:b/>
                <w:color w:val="000000"/>
                <w:sz w:val="20"/>
                <w:szCs w:val="20"/>
                <w:lang w:val="hr-HR"/>
              </w:rPr>
            </w:pPr>
            <w:r w:rsidRPr="00FA24AC">
              <w:rPr>
                <w:rFonts w:ascii="Arial" w:hAnsi="Arial" w:cs="Arial"/>
                <w:b/>
                <w:color w:val="000000"/>
                <w:sz w:val="20"/>
                <w:szCs w:val="20"/>
                <w:lang w:val="hr-HR"/>
              </w:rPr>
              <w:t xml:space="preserve"> 23,269 </w:t>
            </w:r>
          </w:p>
        </w:tc>
        <w:tc>
          <w:tcPr>
            <w:tcW w:w="895" w:type="pct"/>
            <w:tcBorders>
              <w:top w:val="single" w:sz="2" w:space="0" w:color="auto"/>
              <w:bottom w:val="single" w:sz="12" w:space="0" w:color="auto"/>
            </w:tcBorders>
            <w:vAlign w:val="bottom"/>
          </w:tcPr>
          <w:p w14:paraId="503C5BB8" w14:textId="77777777" w:rsidR="00587444" w:rsidRPr="00587444" w:rsidRDefault="00587444" w:rsidP="00587444">
            <w:pPr>
              <w:suppressAutoHyphens w:val="0"/>
              <w:autoSpaceDN/>
              <w:spacing w:line="340" w:lineRule="exact"/>
              <w:jc w:val="right"/>
              <w:outlineLvl w:val="0"/>
              <w:rPr>
                <w:rFonts w:ascii="Arial" w:hAnsi="Arial" w:cs="Arial"/>
                <w:b/>
                <w:bCs/>
                <w:spacing w:val="-2"/>
                <w:sz w:val="20"/>
                <w:szCs w:val="20"/>
                <w:lang w:val="hr-HR"/>
              </w:rPr>
            </w:pPr>
            <w:r w:rsidRPr="00587444">
              <w:rPr>
                <w:rFonts w:ascii="Arial" w:hAnsi="Arial" w:cs="Arial"/>
                <w:b/>
                <w:color w:val="000000"/>
                <w:sz w:val="20"/>
                <w:szCs w:val="20"/>
                <w:lang w:val="hr-HR"/>
              </w:rPr>
              <w:t xml:space="preserve"> 26,766 </w:t>
            </w:r>
          </w:p>
        </w:tc>
      </w:tr>
      <w:tr w:rsidR="00587444" w:rsidRPr="00587444" w14:paraId="04D8B33C" w14:textId="77777777" w:rsidTr="00FA24AC">
        <w:tc>
          <w:tcPr>
            <w:tcW w:w="2687" w:type="pct"/>
          </w:tcPr>
          <w:p w14:paraId="6E11877E"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p>
        </w:tc>
        <w:tc>
          <w:tcPr>
            <w:tcW w:w="522" w:type="pct"/>
            <w:vAlign w:val="bottom"/>
          </w:tcPr>
          <w:p w14:paraId="3187D66C"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sz w:val="20"/>
                <w:szCs w:val="20"/>
                <w:lang w:val="en-GB"/>
              </w:rPr>
            </w:pPr>
          </w:p>
        </w:tc>
        <w:tc>
          <w:tcPr>
            <w:tcW w:w="896" w:type="pct"/>
            <w:tcBorders>
              <w:top w:val="single" w:sz="12" w:space="0" w:color="auto"/>
            </w:tcBorders>
            <w:vAlign w:val="bottom"/>
          </w:tcPr>
          <w:p w14:paraId="4339CB92"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p>
        </w:tc>
        <w:tc>
          <w:tcPr>
            <w:tcW w:w="895" w:type="pct"/>
            <w:tcBorders>
              <w:top w:val="single" w:sz="12" w:space="0" w:color="auto"/>
            </w:tcBorders>
            <w:vAlign w:val="bottom"/>
          </w:tcPr>
          <w:p w14:paraId="1B436DD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p>
        </w:tc>
      </w:tr>
      <w:tr w:rsidR="00587444" w:rsidRPr="00587444" w14:paraId="5E48FD5A" w14:textId="77777777" w:rsidTr="00FA24AC">
        <w:tc>
          <w:tcPr>
            <w:tcW w:w="2687" w:type="pct"/>
          </w:tcPr>
          <w:p w14:paraId="0860C324"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138" w:name="_Toc4056864"/>
            <w:r w:rsidRPr="00587444">
              <w:rPr>
                <w:rFonts w:ascii="Arial" w:hAnsi="Arial" w:cs="Arial"/>
                <w:sz w:val="20"/>
                <w:szCs w:val="20"/>
                <w:lang w:val="en-GB"/>
              </w:rPr>
              <w:t>Net gains/(losses) on financial operations</w:t>
            </w:r>
            <w:bookmarkEnd w:id="138"/>
          </w:p>
        </w:tc>
        <w:tc>
          <w:tcPr>
            <w:tcW w:w="522" w:type="pct"/>
            <w:vAlign w:val="bottom"/>
          </w:tcPr>
          <w:p w14:paraId="032AF45A"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sz w:val="20"/>
                <w:szCs w:val="20"/>
                <w:lang w:val="en-GB"/>
              </w:rPr>
            </w:pPr>
            <w:r w:rsidRPr="00587444">
              <w:rPr>
                <w:rFonts w:ascii="Arial" w:hAnsi="Arial" w:cs="Arial"/>
                <w:sz w:val="20"/>
                <w:szCs w:val="20"/>
                <w:lang w:val="en-GB"/>
              </w:rPr>
              <w:t>8</w:t>
            </w:r>
          </w:p>
        </w:tc>
        <w:tc>
          <w:tcPr>
            <w:tcW w:w="896" w:type="pct"/>
            <w:vAlign w:val="bottom"/>
          </w:tcPr>
          <w:p w14:paraId="21ECE3FC"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16,768 </w:t>
            </w:r>
          </w:p>
        </w:tc>
        <w:tc>
          <w:tcPr>
            <w:tcW w:w="895" w:type="pct"/>
            <w:vAlign w:val="bottom"/>
          </w:tcPr>
          <w:p w14:paraId="17F2F26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Cs/>
                <w:spacing w:val="-2"/>
                <w:sz w:val="20"/>
                <w:szCs w:val="20"/>
                <w:lang w:val="hr-HR"/>
              </w:rPr>
            </w:pPr>
            <w:r w:rsidRPr="00587444">
              <w:rPr>
                <w:rFonts w:ascii="Arial" w:hAnsi="Arial" w:cs="Arial"/>
                <w:color w:val="000000"/>
                <w:sz w:val="20"/>
                <w:szCs w:val="20"/>
                <w:lang w:val="hr-HR"/>
              </w:rPr>
              <w:t xml:space="preserve"> (11,893)</w:t>
            </w:r>
          </w:p>
        </w:tc>
      </w:tr>
      <w:tr w:rsidR="00587444" w:rsidRPr="00587444" w14:paraId="0A64EC12" w14:textId="77777777" w:rsidTr="00FA24AC">
        <w:tc>
          <w:tcPr>
            <w:tcW w:w="2687" w:type="pct"/>
          </w:tcPr>
          <w:p w14:paraId="312C538B" w14:textId="77777777" w:rsidR="00587444" w:rsidRPr="00587444" w:rsidRDefault="00587444" w:rsidP="00587444">
            <w:pPr>
              <w:tabs>
                <w:tab w:val="right" w:pos="1202"/>
              </w:tabs>
              <w:suppressAutoHyphens w:val="0"/>
              <w:autoSpaceDN/>
              <w:spacing w:line="340" w:lineRule="exact"/>
              <w:outlineLvl w:val="0"/>
              <w:rPr>
                <w:rFonts w:ascii="Arial" w:hAnsi="Arial" w:cs="Arial"/>
                <w:sz w:val="20"/>
                <w:szCs w:val="20"/>
                <w:lang w:val="en-GB"/>
              </w:rPr>
            </w:pPr>
            <w:bookmarkStart w:id="139" w:name="_Toc4056868"/>
            <w:r w:rsidRPr="00587444">
              <w:rPr>
                <w:rFonts w:ascii="Arial" w:hAnsi="Arial" w:cs="Arial"/>
                <w:sz w:val="20"/>
                <w:szCs w:val="20"/>
                <w:lang w:val="en-GB"/>
              </w:rPr>
              <w:t>Other income</w:t>
            </w:r>
            <w:bookmarkEnd w:id="139"/>
          </w:p>
        </w:tc>
        <w:tc>
          <w:tcPr>
            <w:tcW w:w="522" w:type="pct"/>
            <w:vAlign w:val="bottom"/>
          </w:tcPr>
          <w:p w14:paraId="0C8DB9EA" w14:textId="77777777" w:rsidR="00587444" w:rsidRPr="00587444" w:rsidRDefault="00587444" w:rsidP="00587444">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vAlign w:val="bottom"/>
          </w:tcPr>
          <w:p w14:paraId="34220540"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25,165 </w:t>
            </w:r>
          </w:p>
        </w:tc>
        <w:tc>
          <w:tcPr>
            <w:tcW w:w="895" w:type="pct"/>
            <w:vAlign w:val="bottom"/>
          </w:tcPr>
          <w:p w14:paraId="1830276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32,030 </w:t>
            </w:r>
          </w:p>
        </w:tc>
      </w:tr>
      <w:tr w:rsidR="00587444" w:rsidRPr="00587444" w14:paraId="3F56D560" w14:textId="77777777" w:rsidTr="00FA24AC">
        <w:tc>
          <w:tcPr>
            <w:tcW w:w="2687" w:type="pct"/>
          </w:tcPr>
          <w:p w14:paraId="5CC12ADB"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p>
        </w:tc>
        <w:tc>
          <w:tcPr>
            <w:tcW w:w="522" w:type="pct"/>
            <w:vAlign w:val="bottom"/>
          </w:tcPr>
          <w:p w14:paraId="7995F5DC" w14:textId="77777777" w:rsidR="00587444" w:rsidRPr="00587444" w:rsidRDefault="00587444" w:rsidP="00587444">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tcBorders>
              <w:top w:val="single" w:sz="2" w:space="0" w:color="auto"/>
              <w:bottom w:val="single" w:sz="12" w:space="0" w:color="auto"/>
            </w:tcBorders>
            <w:vAlign w:val="bottom"/>
          </w:tcPr>
          <w:p w14:paraId="0906051E" w14:textId="77777777" w:rsidR="00587444" w:rsidRPr="00FA24AC" w:rsidRDefault="00587444" w:rsidP="00FA24AC">
            <w:pPr>
              <w:suppressAutoHyphens w:val="0"/>
              <w:autoSpaceDN/>
              <w:spacing w:line="340" w:lineRule="exact"/>
              <w:jc w:val="right"/>
              <w:outlineLvl w:val="0"/>
              <w:rPr>
                <w:rFonts w:ascii="Arial" w:hAnsi="Arial" w:cs="Arial"/>
                <w:b/>
                <w:color w:val="000000"/>
                <w:sz w:val="20"/>
                <w:szCs w:val="20"/>
                <w:lang w:val="hr-HR"/>
              </w:rPr>
            </w:pPr>
            <w:r w:rsidRPr="00FA24AC">
              <w:rPr>
                <w:rFonts w:ascii="Arial" w:hAnsi="Arial" w:cs="Arial"/>
                <w:b/>
                <w:color w:val="000000"/>
                <w:sz w:val="20"/>
                <w:szCs w:val="20"/>
                <w:lang w:val="hr-HR"/>
              </w:rPr>
              <w:t xml:space="preserve"> 535,979 </w:t>
            </w:r>
          </w:p>
        </w:tc>
        <w:tc>
          <w:tcPr>
            <w:tcW w:w="895" w:type="pct"/>
            <w:tcBorders>
              <w:top w:val="single" w:sz="2" w:space="0" w:color="auto"/>
              <w:bottom w:val="single" w:sz="12" w:space="0" w:color="auto"/>
            </w:tcBorders>
            <w:vAlign w:val="bottom"/>
          </w:tcPr>
          <w:p w14:paraId="46FEFDAE"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color w:val="000000"/>
                <w:sz w:val="20"/>
                <w:szCs w:val="20"/>
                <w:lang w:val="hr-HR"/>
              </w:rPr>
              <w:t xml:space="preserve"> 539,714 </w:t>
            </w:r>
          </w:p>
        </w:tc>
      </w:tr>
      <w:tr w:rsidR="00587444" w:rsidRPr="00587444" w14:paraId="05E71D19" w14:textId="77777777" w:rsidTr="00FA24AC">
        <w:tc>
          <w:tcPr>
            <w:tcW w:w="2687" w:type="pct"/>
          </w:tcPr>
          <w:p w14:paraId="0144A390" w14:textId="77777777" w:rsidR="00587444" w:rsidRPr="00587444" w:rsidRDefault="00587444" w:rsidP="00587444">
            <w:pPr>
              <w:tabs>
                <w:tab w:val="right" w:pos="1202"/>
              </w:tabs>
              <w:suppressAutoHyphens w:val="0"/>
              <w:autoSpaceDN/>
              <w:spacing w:line="301" w:lineRule="exact"/>
              <w:outlineLvl w:val="0"/>
              <w:rPr>
                <w:rFonts w:ascii="Arial" w:hAnsi="Arial" w:cs="Arial"/>
                <w:bCs/>
                <w:spacing w:val="-2"/>
                <w:sz w:val="20"/>
                <w:szCs w:val="20"/>
                <w:lang w:val="en-GB"/>
              </w:rPr>
            </w:pPr>
          </w:p>
        </w:tc>
        <w:tc>
          <w:tcPr>
            <w:tcW w:w="522" w:type="pct"/>
            <w:vAlign w:val="bottom"/>
          </w:tcPr>
          <w:p w14:paraId="41437D11"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Cs/>
                <w:spacing w:val="-2"/>
                <w:sz w:val="20"/>
                <w:szCs w:val="20"/>
                <w:lang w:val="en-GB"/>
              </w:rPr>
            </w:pPr>
          </w:p>
        </w:tc>
        <w:tc>
          <w:tcPr>
            <w:tcW w:w="896" w:type="pct"/>
            <w:vAlign w:val="bottom"/>
          </w:tcPr>
          <w:p w14:paraId="5521C008"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p>
        </w:tc>
        <w:tc>
          <w:tcPr>
            <w:tcW w:w="895" w:type="pct"/>
            <w:vAlign w:val="bottom"/>
          </w:tcPr>
          <w:p w14:paraId="0AD0C375" w14:textId="77777777" w:rsidR="00587444" w:rsidRPr="00587444" w:rsidRDefault="00587444" w:rsidP="00587444">
            <w:pPr>
              <w:suppressAutoHyphens w:val="0"/>
              <w:autoSpaceDN/>
              <w:spacing w:line="301" w:lineRule="exact"/>
              <w:jc w:val="right"/>
              <w:outlineLvl w:val="0"/>
              <w:rPr>
                <w:rFonts w:ascii="Arial" w:hAnsi="Arial" w:cs="Arial"/>
                <w:bCs/>
                <w:spacing w:val="-2"/>
                <w:sz w:val="20"/>
                <w:szCs w:val="20"/>
                <w:lang w:val="hr-HR"/>
              </w:rPr>
            </w:pPr>
          </w:p>
        </w:tc>
      </w:tr>
      <w:tr w:rsidR="00587444" w:rsidRPr="00587444" w14:paraId="55C023BF" w14:textId="77777777" w:rsidTr="00FA24AC">
        <w:tc>
          <w:tcPr>
            <w:tcW w:w="2687" w:type="pct"/>
            <w:vAlign w:val="bottom"/>
          </w:tcPr>
          <w:p w14:paraId="0E540766" w14:textId="77777777" w:rsidR="00587444" w:rsidRPr="00587444" w:rsidRDefault="00587444" w:rsidP="00587444">
            <w:pPr>
              <w:tabs>
                <w:tab w:val="right" w:pos="1202"/>
              </w:tabs>
              <w:suppressAutoHyphens w:val="0"/>
              <w:autoSpaceDN/>
              <w:spacing w:line="301" w:lineRule="exact"/>
              <w:outlineLvl w:val="0"/>
              <w:rPr>
                <w:rFonts w:ascii="Arial" w:hAnsi="Arial" w:cs="Arial"/>
                <w:bCs/>
                <w:spacing w:val="-2"/>
                <w:sz w:val="20"/>
                <w:szCs w:val="20"/>
                <w:lang w:val="en-GB"/>
              </w:rPr>
            </w:pPr>
            <w:bookmarkStart w:id="140" w:name="_Toc4056873"/>
            <w:r w:rsidRPr="00587444">
              <w:rPr>
                <w:rFonts w:ascii="Arial" w:hAnsi="Arial" w:cs="Arial"/>
                <w:bCs/>
                <w:spacing w:val="-2"/>
                <w:sz w:val="20"/>
                <w:szCs w:val="20"/>
                <w:lang w:val="en-GB"/>
              </w:rPr>
              <w:t>Employee expenses</w:t>
            </w:r>
            <w:bookmarkEnd w:id="140"/>
          </w:p>
        </w:tc>
        <w:tc>
          <w:tcPr>
            <w:tcW w:w="522" w:type="pct"/>
            <w:vAlign w:val="bottom"/>
          </w:tcPr>
          <w:p w14:paraId="48AC9A30"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141" w:name="_Toc4056874"/>
            <w:r w:rsidRPr="00587444">
              <w:rPr>
                <w:rFonts w:ascii="Arial" w:hAnsi="Arial" w:cs="Arial"/>
                <w:bCs/>
                <w:spacing w:val="-2"/>
                <w:sz w:val="20"/>
                <w:szCs w:val="20"/>
                <w:lang w:val="en-GB"/>
              </w:rPr>
              <w:t>9 a)</w:t>
            </w:r>
            <w:bookmarkEnd w:id="141"/>
          </w:p>
        </w:tc>
        <w:tc>
          <w:tcPr>
            <w:tcW w:w="896" w:type="pct"/>
            <w:tcBorders>
              <w:top w:val="nil"/>
              <w:left w:val="nil"/>
              <w:right w:val="nil"/>
            </w:tcBorders>
            <w:shd w:val="clear" w:color="auto" w:fill="auto"/>
            <w:vAlign w:val="bottom"/>
          </w:tcPr>
          <w:p w14:paraId="20A3FDE1"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(105,193)</w:t>
            </w:r>
          </w:p>
        </w:tc>
        <w:tc>
          <w:tcPr>
            <w:tcW w:w="895" w:type="pct"/>
            <w:tcBorders>
              <w:top w:val="nil"/>
              <w:left w:val="nil"/>
              <w:right w:val="nil"/>
            </w:tcBorders>
            <w:shd w:val="clear" w:color="auto" w:fill="auto"/>
            <w:vAlign w:val="bottom"/>
          </w:tcPr>
          <w:p w14:paraId="4E4F5D6E" w14:textId="77777777" w:rsidR="00587444" w:rsidRPr="00587444" w:rsidRDefault="00587444" w:rsidP="00587444">
            <w:pPr>
              <w:suppressAutoHyphens w:val="0"/>
              <w:autoSpaceDN/>
              <w:spacing w:line="301" w:lineRule="exact"/>
              <w:jc w:val="right"/>
              <w:outlineLvl w:val="0"/>
              <w:rPr>
                <w:rFonts w:ascii="Arial" w:hAnsi="Arial" w:cs="Arial"/>
                <w:bCs/>
                <w:spacing w:val="-2"/>
                <w:sz w:val="20"/>
                <w:szCs w:val="20"/>
                <w:lang w:val="hr-HR"/>
              </w:rPr>
            </w:pPr>
            <w:r w:rsidRPr="00587444">
              <w:rPr>
                <w:rFonts w:ascii="Arial" w:hAnsi="Arial" w:cs="Arial"/>
                <w:color w:val="000000"/>
                <w:sz w:val="20"/>
                <w:szCs w:val="20"/>
                <w:lang w:val="hr-HR"/>
              </w:rPr>
              <w:t xml:space="preserve"> (100,095)</w:t>
            </w:r>
          </w:p>
        </w:tc>
      </w:tr>
      <w:tr w:rsidR="00587444" w:rsidRPr="00587444" w14:paraId="7D8A44B0" w14:textId="77777777" w:rsidTr="00FA24AC">
        <w:tc>
          <w:tcPr>
            <w:tcW w:w="2687" w:type="pct"/>
            <w:vAlign w:val="bottom"/>
          </w:tcPr>
          <w:p w14:paraId="4728279C" w14:textId="77777777" w:rsidR="00587444" w:rsidRPr="00587444" w:rsidRDefault="00587444" w:rsidP="00587444">
            <w:pPr>
              <w:tabs>
                <w:tab w:val="right" w:pos="1202"/>
              </w:tabs>
              <w:suppressAutoHyphens w:val="0"/>
              <w:autoSpaceDN/>
              <w:spacing w:line="301" w:lineRule="exact"/>
              <w:outlineLvl w:val="0"/>
              <w:rPr>
                <w:rFonts w:ascii="Arial" w:hAnsi="Arial" w:cs="Arial"/>
                <w:bCs/>
                <w:spacing w:val="-2"/>
                <w:sz w:val="20"/>
                <w:szCs w:val="20"/>
                <w:lang w:val="en-GB"/>
              </w:rPr>
            </w:pPr>
            <w:bookmarkStart w:id="142" w:name="_Toc4056877"/>
            <w:r w:rsidRPr="00587444">
              <w:rPr>
                <w:rFonts w:ascii="Arial" w:hAnsi="Arial" w:cs="Arial"/>
                <w:bCs/>
                <w:spacing w:val="-2"/>
                <w:sz w:val="20"/>
                <w:szCs w:val="20"/>
                <w:lang w:val="en-GB"/>
              </w:rPr>
              <w:t>Depreciation and amortisation</w:t>
            </w:r>
            <w:bookmarkEnd w:id="142"/>
          </w:p>
        </w:tc>
        <w:tc>
          <w:tcPr>
            <w:tcW w:w="522" w:type="pct"/>
            <w:vAlign w:val="bottom"/>
          </w:tcPr>
          <w:p w14:paraId="6A84619D"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143" w:name="_Toc4056878"/>
            <w:r w:rsidRPr="00587444">
              <w:rPr>
                <w:rFonts w:ascii="Arial" w:hAnsi="Arial" w:cs="Arial"/>
                <w:bCs/>
                <w:spacing w:val="-2"/>
                <w:sz w:val="20"/>
                <w:szCs w:val="20"/>
                <w:lang w:val="en-GB"/>
              </w:rPr>
              <w:t>9 b)</w:t>
            </w:r>
            <w:bookmarkEnd w:id="143"/>
          </w:p>
        </w:tc>
        <w:tc>
          <w:tcPr>
            <w:tcW w:w="896" w:type="pct"/>
            <w:tcBorders>
              <w:top w:val="nil"/>
              <w:left w:val="nil"/>
              <w:right w:val="nil"/>
            </w:tcBorders>
            <w:shd w:val="clear" w:color="auto" w:fill="auto"/>
            <w:vAlign w:val="bottom"/>
          </w:tcPr>
          <w:p w14:paraId="73A1AAFC"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(11,600)</w:t>
            </w:r>
          </w:p>
        </w:tc>
        <w:tc>
          <w:tcPr>
            <w:tcW w:w="895" w:type="pct"/>
            <w:tcBorders>
              <w:top w:val="nil"/>
              <w:left w:val="nil"/>
              <w:right w:val="nil"/>
            </w:tcBorders>
            <w:shd w:val="clear" w:color="auto" w:fill="auto"/>
            <w:vAlign w:val="bottom"/>
          </w:tcPr>
          <w:p w14:paraId="1C29756B"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 xml:space="preserve"> (11,304)</w:t>
            </w:r>
          </w:p>
        </w:tc>
      </w:tr>
      <w:tr w:rsidR="00587444" w:rsidRPr="00587444" w14:paraId="1E07B93C" w14:textId="77777777" w:rsidTr="00FA24AC">
        <w:tc>
          <w:tcPr>
            <w:tcW w:w="2687" w:type="pct"/>
            <w:vAlign w:val="bottom"/>
          </w:tcPr>
          <w:p w14:paraId="3C7A0455" w14:textId="77777777" w:rsidR="00587444" w:rsidRPr="00587444" w:rsidRDefault="00587444" w:rsidP="00587444">
            <w:pPr>
              <w:tabs>
                <w:tab w:val="right" w:pos="1202"/>
              </w:tabs>
              <w:suppressAutoHyphens w:val="0"/>
              <w:autoSpaceDN/>
              <w:spacing w:line="301" w:lineRule="exact"/>
              <w:outlineLvl w:val="0"/>
              <w:rPr>
                <w:rFonts w:ascii="Arial" w:hAnsi="Arial" w:cs="Arial"/>
                <w:bCs/>
                <w:spacing w:val="-2"/>
                <w:sz w:val="20"/>
                <w:szCs w:val="20"/>
                <w:lang w:val="en-GB"/>
              </w:rPr>
            </w:pPr>
            <w:bookmarkStart w:id="144" w:name="_Toc4056881"/>
            <w:r w:rsidRPr="00587444">
              <w:rPr>
                <w:rFonts w:ascii="Arial" w:hAnsi="Arial" w:cs="Arial"/>
                <w:bCs/>
                <w:spacing w:val="-2"/>
                <w:sz w:val="20"/>
                <w:szCs w:val="20"/>
                <w:lang w:val="en-GB"/>
              </w:rPr>
              <w:t>Other expenses</w:t>
            </w:r>
            <w:bookmarkEnd w:id="144"/>
          </w:p>
        </w:tc>
        <w:tc>
          <w:tcPr>
            <w:tcW w:w="522" w:type="pct"/>
            <w:vAlign w:val="bottom"/>
          </w:tcPr>
          <w:p w14:paraId="3004F60A"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145" w:name="_Toc4056882"/>
            <w:r w:rsidRPr="00587444">
              <w:rPr>
                <w:rFonts w:ascii="Arial" w:hAnsi="Arial" w:cs="Arial"/>
                <w:bCs/>
                <w:spacing w:val="-2"/>
                <w:sz w:val="20"/>
                <w:szCs w:val="20"/>
                <w:lang w:val="en-GB"/>
              </w:rPr>
              <w:t>9 c)</w:t>
            </w:r>
            <w:bookmarkEnd w:id="145"/>
          </w:p>
        </w:tc>
        <w:tc>
          <w:tcPr>
            <w:tcW w:w="896" w:type="pct"/>
            <w:tcBorders>
              <w:top w:val="nil"/>
              <w:left w:val="nil"/>
              <w:right w:val="nil"/>
            </w:tcBorders>
            <w:shd w:val="clear" w:color="auto" w:fill="auto"/>
            <w:vAlign w:val="bottom"/>
          </w:tcPr>
          <w:p w14:paraId="495FAA36"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(84,779)</w:t>
            </w:r>
          </w:p>
        </w:tc>
        <w:tc>
          <w:tcPr>
            <w:tcW w:w="895" w:type="pct"/>
            <w:tcBorders>
              <w:top w:val="nil"/>
              <w:left w:val="nil"/>
              <w:right w:val="nil"/>
            </w:tcBorders>
            <w:shd w:val="clear" w:color="auto" w:fill="auto"/>
            <w:vAlign w:val="bottom"/>
          </w:tcPr>
          <w:p w14:paraId="7611A584"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 xml:space="preserve"> (76,903)</w:t>
            </w:r>
          </w:p>
        </w:tc>
      </w:tr>
      <w:tr w:rsidR="00587444" w:rsidRPr="00587444" w14:paraId="2014E1E4" w14:textId="77777777" w:rsidTr="00FA24AC">
        <w:trPr>
          <w:trHeight w:val="306"/>
        </w:trPr>
        <w:tc>
          <w:tcPr>
            <w:tcW w:w="2687" w:type="pct"/>
          </w:tcPr>
          <w:p w14:paraId="2959E513" w14:textId="77777777" w:rsidR="00587444" w:rsidRPr="00587444" w:rsidRDefault="00587444" w:rsidP="00587444">
            <w:pPr>
              <w:tabs>
                <w:tab w:val="right" w:pos="1202"/>
              </w:tabs>
              <w:suppressAutoHyphens w:val="0"/>
              <w:autoSpaceDN/>
              <w:spacing w:line="301" w:lineRule="exact"/>
              <w:outlineLvl w:val="0"/>
              <w:rPr>
                <w:rFonts w:ascii="Arial" w:hAnsi="Arial" w:cs="Arial"/>
                <w:bCs/>
                <w:spacing w:val="-2"/>
                <w:sz w:val="20"/>
                <w:szCs w:val="20"/>
                <w:lang w:val="en-GB"/>
              </w:rPr>
            </w:pPr>
            <w:bookmarkStart w:id="146" w:name="_Toc4056885"/>
            <w:r w:rsidRPr="00587444">
              <w:rPr>
                <w:rFonts w:ascii="Arial" w:hAnsi="Arial" w:cs="Arial"/>
                <w:bCs/>
                <w:spacing w:val="-2"/>
                <w:sz w:val="20"/>
                <w:szCs w:val="20"/>
                <w:lang w:val="en-GB"/>
              </w:rPr>
              <w:t>Impairment loss and provisions</w:t>
            </w:r>
            <w:bookmarkEnd w:id="146"/>
          </w:p>
        </w:tc>
        <w:tc>
          <w:tcPr>
            <w:tcW w:w="522" w:type="pct"/>
            <w:vAlign w:val="bottom"/>
          </w:tcPr>
          <w:p w14:paraId="78B5DF2B"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Cs/>
                <w:spacing w:val="-2"/>
                <w:sz w:val="20"/>
                <w:szCs w:val="20"/>
                <w:lang w:val="en-GB"/>
              </w:rPr>
            </w:pPr>
            <w:r w:rsidRPr="00587444">
              <w:rPr>
                <w:rFonts w:ascii="Arial" w:hAnsi="Arial" w:cs="Arial"/>
                <w:bCs/>
                <w:spacing w:val="-2"/>
                <w:sz w:val="20"/>
                <w:szCs w:val="20"/>
                <w:lang w:val="en-GB"/>
              </w:rPr>
              <w:t>10</w:t>
            </w:r>
          </w:p>
        </w:tc>
        <w:tc>
          <w:tcPr>
            <w:tcW w:w="896" w:type="pct"/>
            <w:tcBorders>
              <w:top w:val="nil"/>
              <w:left w:val="nil"/>
              <w:right w:val="nil"/>
            </w:tcBorders>
            <w:shd w:val="clear" w:color="auto" w:fill="auto"/>
            <w:vAlign w:val="bottom"/>
          </w:tcPr>
          <w:p w14:paraId="743F6995"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(144,277)</w:t>
            </w:r>
          </w:p>
        </w:tc>
        <w:tc>
          <w:tcPr>
            <w:tcW w:w="895" w:type="pct"/>
            <w:tcBorders>
              <w:top w:val="nil"/>
              <w:left w:val="nil"/>
              <w:right w:val="nil"/>
            </w:tcBorders>
            <w:shd w:val="clear" w:color="auto" w:fill="auto"/>
            <w:vAlign w:val="bottom"/>
          </w:tcPr>
          <w:p w14:paraId="3FC267CC" w14:textId="77777777" w:rsidR="00587444" w:rsidRPr="00587444" w:rsidRDefault="00587444" w:rsidP="00587444">
            <w:pPr>
              <w:suppressAutoHyphens w:val="0"/>
              <w:autoSpaceDN/>
              <w:spacing w:line="301" w:lineRule="exact"/>
              <w:jc w:val="right"/>
              <w:outlineLvl w:val="0"/>
              <w:rPr>
                <w:rFonts w:ascii="Arial" w:hAnsi="Arial" w:cs="Arial"/>
                <w:bCs/>
                <w:spacing w:val="-2"/>
                <w:sz w:val="20"/>
                <w:szCs w:val="20"/>
                <w:lang w:val="hr-HR"/>
              </w:rPr>
            </w:pPr>
            <w:r w:rsidRPr="00587444">
              <w:rPr>
                <w:rFonts w:ascii="Arial" w:hAnsi="Arial" w:cs="Arial"/>
                <w:color w:val="000000"/>
                <w:sz w:val="20"/>
                <w:szCs w:val="20"/>
                <w:lang w:val="hr-HR"/>
              </w:rPr>
              <w:t>(163,013)</w:t>
            </w:r>
          </w:p>
        </w:tc>
      </w:tr>
      <w:tr w:rsidR="00587444" w:rsidRPr="00587444" w14:paraId="7503500C" w14:textId="77777777" w:rsidTr="00FA24AC">
        <w:tc>
          <w:tcPr>
            <w:tcW w:w="2687" w:type="pct"/>
          </w:tcPr>
          <w:p w14:paraId="5C2AA711"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bookmarkStart w:id="147" w:name="_Toc4056889"/>
            <w:r w:rsidRPr="00587444">
              <w:rPr>
                <w:rFonts w:ascii="Arial" w:hAnsi="Arial" w:cs="Arial"/>
                <w:b/>
                <w:bCs/>
                <w:sz w:val="20"/>
                <w:szCs w:val="20"/>
                <w:lang w:val="en-GB"/>
              </w:rPr>
              <w:t>Profit before income tax</w:t>
            </w:r>
            <w:bookmarkEnd w:id="147"/>
          </w:p>
        </w:tc>
        <w:tc>
          <w:tcPr>
            <w:tcW w:w="522" w:type="pct"/>
            <w:vAlign w:val="bottom"/>
          </w:tcPr>
          <w:p w14:paraId="6B581CB4" w14:textId="77777777" w:rsidR="00587444" w:rsidRPr="00587444" w:rsidRDefault="00587444" w:rsidP="00587444">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tcBorders>
              <w:top w:val="single" w:sz="2" w:space="0" w:color="auto"/>
              <w:bottom w:val="single" w:sz="12" w:space="0" w:color="auto"/>
            </w:tcBorders>
            <w:vAlign w:val="bottom"/>
          </w:tcPr>
          <w:p w14:paraId="2E5203F4" w14:textId="77777777" w:rsidR="00587444" w:rsidRPr="00FA24AC" w:rsidRDefault="00587444" w:rsidP="00FA24AC">
            <w:pPr>
              <w:suppressAutoHyphens w:val="0"/>
              <w:autoSpaceDN/>
              <w:spacing w:line="340" w:lineRule="exact"/>
              <w:jc w:val="right"/>
              <w:outlineLvl w:val="0"/>
              <w:rPr>
                <w:rFonts w:ascii="Arial" w:hAnsi="Arial" w:cs="Arial"/>
                <w:b/>
                <w:color w:val="000000"/>
                <w:sz w:val="20"/>
                <w:szCs w:val="20"/>
                <w:lang w:val="hr-HR"/>
              </w:rPr>
            </w:pPr>
            <w:r w:rsidRPr="00FA24AC">
              <w:rPr>
                <w:rFonts w:ascii="Arial" w:hAnsi="Arial" w:cs="Arial"/>
                <w:b/>
                <w:color w:val="000000"/>
                <w:sz w:val="20"/>
                <w:szCs w:val="20"/>
                <w:lang w:val="hr-HR"/>
              </w:rPr>
              <w:t>190,130</w:t>
            </w:r>
          </w:p>
        </w:tc>
        <w:tc>
          <w:tcPr>
            <w:tcW w:w="895" w:type="pct"/>
            <w:tcBorders>
              <w:top w:val="single" w:sz="2" w:space="0" w:color="auto"/>
              <w:bottom w:val="single" w:sz="12" w:space="0" w:color="auto"/>
            </w:tcBorders>
            <w:vAlign w:val="bottom"/>
          </w:tcPr>
          <w:p w14:paraId="1B6E641C"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188,399</w:t>
            </w:r>
          </w:p>
        </w:tc>
      </w:tr>
      <w:tr w:rsidR="00587444" w:rsidRPr="00587444" w14:paraId="773EB0E9" w14:textId="77777777" w:rsidTr="00FA24AC">
        <w:trPr>
          <w:trHeight w:val="371"/>
        </w:trPr>
        <w:tc>
          <w:tcPr>
            <w:tcW w:w="2687" w:type="pct"/>
            <w:vAlign w:val="center"/>
          </w:tcPr>
          <w:p w14:paraId="1B22E050" w14:textId="77777777" w:rsidR="00587444" w:rsidRPr="00587444" w:rsidRDefault="00587444" w:rsidP="00587444">
            <w:pPr>
              <w:tabs>
                <w:tab w:val="right" w:pos="1202"/>
              </w:tabs>
              <w:suppressAutoHyphens w:val="0"/>
              <w:autoSpaceDN/>
              <w:spacing w:line="340" w:lineRule="exact"/>
              <w:outlineLvl w:val="0"/>
              <w:rPr>
                <w:rFonts w:ascii="Arial" w:hAnsi="Arial" w:cs="Arial"/>
                <w:sz w:val="20"/>
                <w:szCs w:val="20"/>
                <w:lang w:val="en-GB"/>
              </w:rPr>
            </w:pPr>
            <w:bookmarkStart w:id="148" w:name="_Toc4056892"/>
            <w:r w:rsidRPr="00587444">
              <w:rPr>
                <w:rFonts w:ascii="Arial" w:hAnsi="Arial" w:cs="Arial"/>
                <w:sz w:val="20"/>
                <w:szCs w:val="20"/>
                <w:lang w:val="en-GB"/>
              </w:rPr>
              <w:t>Income tax</w:t>
            </w:r>
            <w:bookmarkEnd w:id="148"/>
          </w:p>
        </w:tc>
        <w:tc>
          <w:tcPr>
            <w:tcW w:w="522" w:type="pct"/>
            <w:vAlign w:val="center"/>
          </w:tcPr>
          <w:p w14:paraId="24040B98" w14:textId="77777777" w:rsidR="00587444" w:rsidRPr="00587444" w:rsidRDefault="00587444" w:rsidP="00587444">
            <w:pPr>
              <w:tabs>
                <w:tab w:val="right" w:pos="1202"/>
              </w:tabs>
              <w:suppressAutoHyphens w:val="0"/>
              <w:autoSpaceDN/>
              <w:spacing w:line="340" w:lineRule="exact"/>
              <w:jc w:val="center"/>
              <w:outlineLvl w:val="0"/>
              <w:rPr>
                <w:rFonts w:ascii="Arial" w:hAnsi="Arial" w:cs="Arial"/>
                <w:sz w:val="20"/>
                <w:szCs w:val="20"/>
                <w:lang w:val="en-GB"/>
              </w:rPr>
            </w:pPr>
            <w:r w:rsidRPr="00587444">
              <w:rPr>
                <w:rFonts w:ascii="Arial" w:hAnsi="Arial" w:cs="Arial"/>
                <w:sz w:val="20"/>
                <w:szCs w:val="20"/>
                <w:lang w:val="en-GB"/>
              </w:rPr>
              <w:t>11</w:t>
            </w:r>
          </w:p>
        </w:tc>
        <w:tc>
          <w:tcPr>
            <w:tcW w:w="896" w:type="pct"/>
            <w:vAlign w:val="bottom"/>
          </w:tcPr>
          <w:p w14:paraId="4A3D9857"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(672)</w:t>
            </w:r>
          </w:p>
        </w:tc>
        <w:tc>
          <w:tcPr>
            <w:tcW w:w="895" w:type="pct"/>
            <w:vAlign w:val="bottom"/>
          </w:tcPr>
          <w:p w14:paraId="380A1E71"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sz w:val="20"/>
                <w:szCs w:val="20"/>
                <w:lang w:val="hr-HR"/>
              </w:rPr>
            </w:pPr>
            <w:r w:rsidRPr="00587444">
              <w:rPr>
                <w:rFonts w:ascii="Arial" w:hAnsi="Arial" w:cs="Arial"/>
                <w:color w:val="000000"/>
                <w:sz w:val="20"/>
                <w:szCs w:val="20"/>
                <w:lang w:val="hr-HR"/>
              </w:rPr>
              <w:t>(214)</w:t>
            </w:r>
          </w:p>
        </w:tc>
      </w:tr>
      <w:tr w:rsidR="00587444" w:rsidRPr="00587444" w14:paraId="33E0ACC3" w14:textId="77777777" w:rsidTr="00FA24AC">
        <w:tc>
          <w:tcPr>
            <w:tcW w:w="2687" w:type="pct"/>
          </w:tcPr>
          <w:p w14:paraId="3B15CF02"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bookmarkStart w:id="149" w:name="_Toc4056896"/>
            <w:r w:rsidRPr="00587444">
              <w:rPr>
                <w:rFonts w:ascii="Arial" w:hAnsi="Arial" w:cs="Arial"/>
                <w:b/>
                <w:bCs/>
                <w:sz w:val="20"/>
                <w:szCs w:val="20"/>
                <w:lang w:val="en-GB"/>
              </w:rPr>
              <w:t>Profit for the year</w:t>
            </w:r>
            <w:bookmarkEnd w:id="149"/>
          </w:p>
        </w:tc>
        <w:tc>
          <w:tcPr>
            <w:tcW w:w="522" w:type="pct"/>
            <w:vAlign w:val="bottom"/>
          </w:tcPr>
          <w:p w14:paraId="4EB35D03" w14:textId="77777777" w:rsidR="00587444" w:rsidRPr="00587444" w:rsidRDefault="00587444" w:rsidP="00587444">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tcBorders>
              <w:top w:val="single" w:sz="2" w:space="0" w:color="auto"/>
              <w:bottom w:val="single" w:sz="12" w:space="0" w:color="auto"/>
            </w:tcBorders>
            <w:vAlign w:val="bottom"/>
          </w:tcPr>
          <w:p w14:paraId="52041B66" w14:textId="77777777" w:rsidR="00587444" w:rsidRPr="00FA24AC" w:rsidRDefault="00587444" w:rsidP="00FA24AC">
            <w:pPr>
              <w:suppressAutoHyphens w:val="0"/>
              <w:autoSpaceDN/>
              <w:spacing w:line="340" w:lineRule="exact"/>
              <w:jc w:val="right"/>
              <w:outlineLvl w:val="0"/>
              <w:rPr>
                <w:rFonts w:ascii="Arial" w:hAnsi="Arial" w:cs="Arial"/>
                <w:b/>
                <w:color w:val="000000"/>
                <w:sz w:val="20"/>
                <w:szCs w:val="20"/>
                <w:lang w:val="hr-HR"/>
              </w:rPr>
            </w:pPr>
            <w:r w:rsidRPr="00FA24AC">
              <w:rPr>
                <w:rFonts w:ascii="Arial" w:hAnsi="Arial" w:cs="Arial"/>
                <w:b/>
                <w:color w:val="000000"/>
                <w:sz w:val="20"/>
                <w:szCs w:val="20"/>
                <w:lang w:val="hr-HR"/>
              </w:rPr>
              <w:t>189,458</w:t>
            </w:r>
          </w:p>
        </w:tc>
        <w:tc>
          <w:tcPr>
            <w:tcW w:w="895" w:type="pct"/>
            <w:tcBorders>
              <w:top w:val="single" w:sz="2" w:space="0" w:color="auto"/>
              <w:bottom w:val="single" w:sz="12" w:space="0" w:color="auto"/>
            </w:tcBorders>
            <w:vAlign w:val="bottom"/>
          </w:tcPr>
          <w:p w14:paraId="029BF3B2" w14:textId="77777777" w:rsidR="00587444" w:rsidRPr="00FA24AC" w:rsidRDefault="00587444" w:rsidP="00FA24AC">
            <w:pPr>
              <w:suppressAutoHyphens w:val="0"/>
              <w:autoSpaceDN/>
              <w:spacing w:line="340" w:lineRule="exact"/>
              <w:jc w:val="right"/>
              <w:outlineLvl w:val="0"/>
              <w:rPr>
                <w:rFonts w:ascii="Arial" w:hAnsi="Arial" w:cs="Arial"/>
                <w:b/>
                <w:color w:val="000000"/>
                <w:sz w:val="20"/>
                <w:szCs w:val="20"/>
                <w:lang w:val="hr-HR"/>
              </w:rPr>
            </w:pPr>
            <w:r w:rsidRPr="00587444">
              <w:rPr>
                <w:rFonts w:ascii="Arial" w:hAnsi="Arial" w:cs="Arial"/>
                <w:b/>
                <w:color w:val="000000"/>
                <w:sz w:val="20"/>
                <w:szCs w:val="20"/>
                <w:lang w:val="hr-HR"/>
              </w:rPr>
              <w:t>188,185</w:t>
            </w:r>
          </w:p>
        </w:tc>
      </w:tr>
      <w:tr w:rsidR="00587444" w:rsidRPr="00587444" w14:paraId="4806E991" w14:textId="77777777" w:rsidTr="00FA24AC">
        <w:trPr>
          <w:trHeight w:val="70"/>
        </w:trPr>
        <w:tc>
          <w:tcPr>
            <w:tcW w:w="2687" w:type="pct"/>
          </w:tcPr>
          <w:p w14:paraId="4D50780D" w14:textId="77777777" w:rsidR="00587444" w:rsidRPr="00587444" w:rsidRDefault="00587444" w:rsidP="00587444">
            <w:pPr>
              <w:keepNext/>
              <w:keepLines/>
              <w:tabs>
                <w:tab w:val="decimal" w:pos="1202"/>
              </w:tabs>
              <w:suppressAutoHyphens w:val="0"/>
              <w:autoSpaceDN/>
              <w:spacing w:line="301" w:lineRule="exact"/>
              <w:rPr>
                <w:rFonts w:ascii="Arial" w:hAnsi="Arial" w:cs="Arial"/>
                <w:b/>
                <w:position w:val="4"/>
                <w:sz w:val="20"/>
                <w:szCs w:val="20"/>
                <w:lang w:val="en-GB"/>
              </w:rPr>
            </w:pPr>
          </w:p>
        </w:tc>
        <w:tc>
          <w:tcPr>
            <w:tcW w:w="522" w:type="pct"/>
            <w:vAlign w:val="bottom"/>
          </w:tcPr>
          <w:p w14:paraId="231A78F2" w14:textId="77777777" w:rsidR="00587444" w:rsidRPr="00587444" w:rsidRDefault="00587444" w:rsidP="00587444">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6" w:type="pct"/>
            <w:tcBorders>
              <w:top w:val="single" w:sz="12" w:space="0" w:color="auto"/>
            </w:tcBorders>
            <w:vAlign w:val="bottom"/>
          </w:tcPr>
          <w:p w14:paraId="499E96CF"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p>
        </w:tc>
        <w:tc>
          <w:tcPr>
            <w:tcW w:w="895" w:type="pct"/>
            <w:tcBorders>
              <w:top w:val="single" w:sz="12" w:space="0" w:color="auto"/>
            </w:tcBorders>
            <w:vAlign w:val="bottom"/>
          </w:tcPr>
          <w:p w14:paraId="640C5432" w14:textId="77777777" w:rsidR="00587444" w:rsidRPr="00587444" w:rsidRDefault="00587444" w:rsidP="00587444">
            <w:pPr>
              <w:keepNext/>
              <w:keepLines/>
              <w:suppressAutoHyphens w:val="0"/>
              <w:autoSpaceDN/>
              <w:spacing w:line="240" w:lineRule="exact"/>
              <w:jc w:val="right"/>
              <w:rPr>
                <w:rFonts w:ascii="Arial" w:hAnsi="Arial" w:cs="Arial"/>
                <w:b/>
                <w:position w:val="4"/>
                <w:sz w:val="20"/>
                <w:szCs w:val="20"/>
                <w:u w:val="thick"/>
                <w:lang w:val="hr-HR"/>
              </w:rPr>
            </w:pPr>
          </w:p>
        </w:tc>
      </w:tr>
      <w:tr w:rsidR="00587444" w:rsidRPr="00587444" w14:paraId="0F41AC00" w14:textId="77777777" w:rsidTr="00FA24AC">
        <w:trPr>
          <w:trHeight w:val="70"/>
        </w:trPr>
        <w:tc>
          <w:tcPr>
            <w:tcW w:w="2687" w:type="pct"/>
          </w:tcPr>
          <w:p w14:paraId="4C3B2CA0" w14:textId="77777777" w:rsidR="00587444" w:rsidRPr="00587444" w:rsidRDefault="00587444" w:rsidP="00587444">
            <w:pPr>
              <w:keepNext/>
              <w:keepLines/>
              <w:tabs>
                <w:tab w:val="decimal" w:pos="1202"/>
              </w:tabs>
              <w:suppressAutoHyphens w:val="0"/>
              <w:autoSpaceDN/>
              <w:spacing w:line="301" w:lineRule="exact"/>
              <w:rPr>
                <w:rFonts w:ascii="Arial" w:hAnsi="Arial" w:cs="Arial"/>
                <w:b/>
                <w:position w:val="4"/>
                <w:sz w:val="20"/>
                <w:szCs w:val="20"/>
                <w:lang w:val="en-GB"/>
              </w:rPr>
            </w:pPr>
          </w:p>
        </w:tc>
        <w:tc>
          <w:tcPr>
            <w:tcW w:w="522" w:type="pct"/>
            <w:vAlign w:val="bottom"/>
          </w:tcPr>
          <w:p w14:paraId="152BE4DF" w14:textId="77777777" w:rsidR="00587444" w:rsidRPr="00587444" w:rsidRDefault="00587444" w:rsidP="00587444">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6" w:type="pct"/>
            <w:vAlign w:val="bottom"/>
          </w:tcPr>
          <w:p w14:paraId="4FF80452"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p>
        </w:tc>
        <w:tc>
          <w:tcPr>
            <w:tcW w:w="895" w:type="pct"/>
            <w:vAlign w:val="bottom"/>
          </w:tcPr>
          <w:p w14:paraId="78CA984D" w14:textId="77777777" w:rsidR="00587444" w:rsidRPr="00587444" w:rsidRDefault="00587444" w:rsidP="00587444">
            <w:pPr>
              <w:keepNext/>
              <w:keepLines/>
              <w:suppressAutoHyphens w:val="0"/>
              <w:autoSpaceDN/>
              <w:spacing w:line="240" w:lineRule="exact"/>
              <w:jc w:val="right"/>
              <w:rPr>
                <w:rFonts w:ascii="Arial" w:hAnsi="Arial" w:cs="Arial"/>
                <w:b/>
                <w:position w:val="4"/>
                <w:sz w:val="20"/>
                <w:szCs w:val="20"/>
                <w:u w:val="thick"/>
                <w:lang w:val="hr-HR"/>
              </w:rPr>
            </w:pPr>
          </w:p>
        </w:tc>
      </w:tr>
      <w:tr w:rsidR="00587444" w:rsidRPr="00587444" w14:paraId="7FCF3FB9" w14:textId="77777777" w:rsidTr="00FA24AC">
        <w:trPr>
          <w:trHeight w:val="70"/>
        </w:trPr>
        <w:tc>
          <w:tcPr>
            <w:tcW w:w="2687" w:type="pct"/>
          </w:tcPr>
          <w:p w14:paraId="6570305F"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r w:rsidRPr="00587444">
              <w:rPr>
                <w:rFonts w:ascii="Arial" w:hAnsi="Arial" w:cs="Arial"/>
                <w:b/>
                <w:bCs/>
                <w:sz w:val="20"/>
                <w:szCs w:val="20"/>
                <w:lang w:val="en-GB"/>
              </w:rPr>
              <w:t>Attributable to:</w:t>
            </w:r>
          </w:p>
        </w:tc>
        <w:tc>
          <w:tcPr>
            <w:tcW w:w="522" w:type="pct"/>
            <w:vAlign w:val="bottom"/>
          </w:tcPr>
          <w:p w14:paraId="1BFCAB71" w14:textId="77777777" w:rsidR="00587444" w:rsidRPr="00587444" w:rsidRDefault="00587444" w:rsidP="00587444">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6" w:type="pct"/>
            <w:vAlign w:val="bottom"/>
          </w:tcPr>
          <w:p w14:paraId="4749DC5A"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p>
        </w:tc>
        <w:tc>
          <w:tcPr>
            <w:tcW w:w="895" w:type="pct"/>
            <w:vAlign w:val="bottom"/>
          </w:tcPr>
          <w:p w14:paraId="77973B6A" w14:textId="77777777" w:rsidR="00587444" w:rsidRPr="00587444" w:rsidRDefault="00587444" w:rsidP="00587444">
            <w:pPr>
              <w:keepNext/>
              <w:keepLines/>
              <w:suppressAutoHyphens w:val="0"/>
              <w:autoSpaceDN/>
              <w:spacing w:line="301" w:lineRule="exact"/>
              <w:jc w:val="right"/>
              <w:rPr>
                <w:rFonts w:ascii="Arial" w:hAnsi="Arial" w:cs="Arial"/>
                <w:b/>
                <w:position w:val="4"/>
                <w:sz w:val="20"/>
                <w:szCs w:val="20"/>
                <w:u w:val="thick"/>
                <w:lang w:val="hr-HR"/>
              </w:rPr>
            </w:pPr>
          </w:p>
        </w:tc>
      </w:tr>
      <w:tr w:rsidR="00587444" w:rsidRPr="00587444" w14:paraId="5A0EB086" w14:textId="77777777" w:rsidTr="00FA24AC">
        <w:trPr>
          <w:trHeight w:val="325"/>
        </w:trPr>
        <w:tc>
          <w:tcPr>
            <w:tcW w:w="2687" w:type="pct"/>
            <w:vAlign w:val="bottom"/>
          </w:tcPr>
          <w:p w14:paraId="4CCCA3E7"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r w:rsidRPr="00587444">
              <w:rPr>
                <w:rFonts w:ascii="Arial" w:hAnsi="Arial" w:cs="Arial"/>
                <w:b/>
                <w:bCs/>
                <w:sz w:val="20"/>
                <w:szCs w:val="20"/>
                <w:lang w:val="en-GB"/>
              </w:rPr>
              <w:t>Owner of the Bank</w:t>
            </w:r>
          </w:p>
        </w:tc>
        <w:tc>
          <w:tcPr>
            <w:tcW w:w="522" w:type="pct"/>
            <w:vAlign w:val="bottom"/>
          </w:tcPr>
          <w:p w14:paraId="61B8ACF5" w14:textId="77777777" w:rsidR="00587444" w:rsidRPr="00587444" w:rsidRDefault="00587444" w:rsidP="00587444">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6" w:type="pct"/>
            <w:tcBorders>
              <w:bottom w:val="single" w:sz="12" w:space="0" w:color="auto"/>
            </w:tcBorders>
            <w:vAlign w:val="bottom"/>
          </w:tcPr>
          <w:p w14:paraId="04D01D42" w14:textId="77777777" w:rsidR="00587444" w:rsidRPr="00FA24AC" w:rsidRDefault="00587444" w:rsidP="00FA24AC">
            <w:pPr>
              <w:suppressAutoHyphens w:val="0"/>
              <w:autoSpaceDN/>
              <w:spacing w:line="340" w:lineRule="exact"/>
              <w:jc w:val="right"/>
              <w:outlineLvl w:val="0"/>
              <w:rPr>
                <w:rFonts w:ascii="Arial" w:hAnsi="Arial" w:cs="Arial"/>
                <w:b/>
                <w:color w:val="000000"/>
                <w:sz w:val="20"/>
                <w:szCs w:val="20"/>
                <w:lang w:val="hr-HR"/>
              </w:rPr>
            </w:pPr>
            <w:r w:rsidRPr="00FA24AC">
              <w:rPr>
                <w:rFonts w:ascii="Arial" w:hAnsi="Arial" w:cs="Arial"/>
                <w:b/>
                <w:color w:val="000000"/>
                <w:sz w:val="20"/>
                <w:szCs w:val="20"/>
                <w:lang w:val="hr-HR"/>
              </w:rPr>
              <w:t>189,458</w:t>
            </w:r>
          </w:p>
        </w:tc>
        <w:tc>
          <w:tcPr>
            <w:tcW w:w="895" w:type="pct"/>
            <w:tcBorders>
              <w:bottom w:val="single" w:sz="12" w:space="0" w:color="auto"/>
            </w:tcBorders>
            <w:vAlign w:val="bottom"/>
          </w:tcPr>
          <w:p w14:paraId="3EFF0FD2" w14:textId="77777777" w:rsidR="00587444" w:rsidRPr="00FA24AC" w:rsidRDefault="00587444" w:rsidP="00FA24AC">
            <w:pPr>
              <w:suppressAutoHyphens w:val="0"/>
              <w:autoSpaceDN/>
              <w:spacing w:line="340" w:lineRule="exact"/>
              <w:jc w:val="right"/>
              <w:outlineLvl w:val="0"/>
              <w:rPr>
                <w:rFonts w:ascii="Arial" w:hAnsi="Arial" w:cs="Arial"/>
                <w:b/>
                <w:color w:val="000000"/>
                <w:sz w:val="20"/>
                <w:szCs w:val="20"/>
                <w:lang w:val="hr-HR"/>
              </w:rPr>
            </w:pPr>
            <w:r w:rsidRPr="00FA24AC">
              <w:rPr>
                <w:rFonts w:ascii="Arial" w:hAnsi="Arial" w:cs="Arial"/>
                <w:b/>
                <w:color w:val="000000"/>
                <w:sz w:val="20"/>
                <w:szCs w:val="20"/>
                <w:lang w:val="hr-HR"/>
              </w:rPr>
              <w:t>188,185</w:t>
            </w:r>
          </w:p>
        </w:tc>
      </w:tr>
    </w:tbl>
    <w:p w14:paraId="0096D83B" w14:textId="77777777" w:rsidR="00587444" w:rsidRPr="00587444" w:rsidRDefault="00587444" w:rsidP="00587444">
      <w:pPr>
        <w:suppressAutoHyphens w:val="0"/>
        <w:autoSpaceDN/>
        <w:spacing w:line="360" w:lineRule="auto"/>
        <w:jc w:val="both"/>
        <w:rPr>
          <w:rFonts w:ascii="Arial" w:hAnsi="Arial" w:cs="Arial"/>
          <w:sz w:val="20"/>
          <w:szCs w:val="20"/>
          <w:highlight w:val="yellow"/>
          <w:lang w:val="en-GB"/>
        </w:rPr>
      </w:pPr>
    </w:p>
    <w:p w14:paraId="35F1F0DA" w14:textId="77777777" w:rsidR="00587444" w:rsidRPr="00587444" w:rsidRDefault="00587444" w:rsidP="00587444">
      <w:pPr>
        <w:suppressAutoHyphens w:val="0"/>
        <w:autoSpaceDN/>
        <w:jc w:val="both"/>
        <w:rPr>
          <w:rFonts w:ascii="Arial" w:hAnsi="Arial" w:cs="Arial"/>
          <w:sz w:val="20"/>
          <w:szCs w:val="20"/>
          <w:lang w:val="en-GB"/>
        </w:rPr>
      </w:pPr>
    </w:p>
    <w:p w14:paraId="1DB1B57D" w14:textId="77777777" w:rsidR="00587444" w:rsidRPr="00587444" w:rsidRDefault="00587444" w:rsidP="00587444">
      <w:pPr>
        <w:suppressAutoHyphens w:val="0"/>
        <w:autoSpaceDN/>
        <w:jc w:val="both"/>
        <w:rPr>
          <w:rFonts w:ascii="Arial" w:hAnsi="Arial" w:cs="Arial"/>
          <w:sz w:val="20"/>
          <w:szCs w:val="20"/>
          <w:lang w:val="en-GB"/>
        </w:rPr>
      </w:pPr>
    </w:p>
    <w:p w14:paraId="458C36A1" w14:textId="77777777" w:rsidR="00587444" w:rsidRPr="00587444" w:rsidRDefault="00587444" w:rsidP="00587444">
      <w:pPr>
        <w:suppressAutoHyphens w:val="0"/>
        <w:autoSpaceDN/>
        <w:jc w:val="both"/>
        <w:rPr>
          <w:rFonts w:ascii="Arial" w:hAnsi="Arial" w:cs="Arial"/>
          <w:sz w:val="20"/>
          <w:szCs w:val="20"/>
          <w:lang w:val="en-GB"/>
        </w:rPr>
      </w:pPr>
    </w:p>
    <w:p w14:paraId="2F189D80" w14:textId="77777777" w:rsidR="00587444" w:rsidRPr="00587444" w:rsidRDefault="00587444" w:rsidP="00587444">
      <w:pPr>
        <w:suppressAutoHyphens w:val="0"/>
        <w:autoSpaceDN/>
        <w:jc w:val="both"/>
        <w:rPr>
          <w:rFonts w:ascii="Arial" w:hAnsi="Arial" w:cs="Arial"/>
          <w:sz w:val="20"/>
          <w:szCs w:val="20"/>
          <w:lang w:val="en-GB"/>
        </w:rPr>
      </w:pPr>
    </w:p>
    <w:p w14:paraId="5E5EF743" w14:textId="77777777" w:rsidR="00587444" w:rsidRPr="00587444"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The accompanying accounting policies and notes are an integral part of these financial statements.</w:t>
      </w:r>
    </w:p>
    <w:p w14:paraId="7C40B548" w14:textId="77777777" w:rsidR="00587444" w:rsidRPr="00587444" w:rsidRDefault="00587444" w:rsidP="00587444">
      <w:pPr>
        <w:suppressAutoHyphens w:val="0"/>
        <w:autoSpaceDN/>
        <w:jc w:val="both"/>
        <w:rPr>
          <w:rFonts w:ascii="Arial" w:hAnsi="Arial" w:cs="Arial"/>
          <w:sz w:val="20"/>
          <w:szCs w:val="20"/>
          <w:lang w:val="en-GB"/>
        </w:rPr>
      </w:pPr>
    </w:p>
    <w:p w14:paraId="5977733B" w14:textId="77777777" w:rsidR="00587444" w:rsidRPr="00587444" w:rsidRDefault="00587444" w:rsidP="00587444">
      <w:pPr>
        <w:suppressAutoHyphens w:val="0"/>
        <w:autoSpaceDN/>
        <w:spacing w:line="360" w:lineRule="auto"/>
        <w:jc w:val="both"/>
        <w:rPr>
          <w:rFonts w:ascii="Arial" w:hAnsi="Arial" w:cs="Arial"/>
          <w:sz w:val="20"/>
          <w:szCs w:val="20"/>
          <w:lang w:val="en-GB"/>
        </w:rPr>
      </w:pPr>
    </w:p>
    <w:p w14:paraId="568C83CF" w14:textId="77777777" w:rsidR="00587444" w:rsidRPr="00587444" w:rsidRDefault="00587444" w:rsidP="00587444">
      <w:pPr>
        <w:suppressAutoHyphens w:val="0"/>
        <w:autoSpaceDN/>
        <w:spacing w:line="360" w:lineRule="auto"/>
        <w:jc w:val="both"/>
        <w:rPr>
          <w:rFonts w:ascii="Arial" w:hAnsi="Arial" w:cs="Arial"/>
          <w:sz w:val="20"/>
          <w:szCs w:val="20"/>
          <w:highlight w:val="yellow"/>
          <w:lang w:val="en-GB"/>
        </w:rPr>
        <w:sectPr w:rsidR="00587444" w:rsidRPr="00587444" w:rsidSect="00DD69E7">
          <w:pgSz w:w="11907" w:h="16840" w:code="9"/>
          <w:pgMar w:top="457" w:right="992" w:bottom="1134" w:left="1418" w:header="851" w:footer="561" w:gutter="0"/>
          <w:pgNumType w:start="72"/>
          <w:cols w:space="720"/>
          <w:noEndnote/>
        </w:sectPr>
      </w:pPr>
    </w:p>
    <w:tbl>
      <w:tblPr>
        <w:tblpPr w:leftFromText="181" w:rightFromText="181" w:vertAnchor="text" w:horzAnchor="margin" w:tblpY="234"/>
        <w:tblOverlap w:val="never"/>
        <w:tblW w:w="4926" w:type="pct"/>
        <w:tblLayout w:type="fixed"/>
        <w:tblCellMar>
          <w:left w:w="119" w:type="dxa"/>
          <w:right w:w="119" w:type="dxa"/>
        </w:tblCellMar>
        <w:tblLook w:val="0000" w:firstRow="0" w:lastRow="0" w:firstColumn="0" w:lastColumn="0" w:noHBand="0" w:noVBand="0"/>
      </w:tblPr>
      <w:tblGrid>
        <w:gridCol w:w="6402"/>
        <w:gridCol w:w="1597"/>
        <w:gridCol w:w="1452"/>
      </w:tblGrid>
      <w:tr w:rsidR="00587444" w:rsidRPr="00587444" w14:paraId="05E838D3" w14:textId="77777777" w:rsidTr="00DD69E7">
        <w:trPr>
          <w:trHeight w:val="506"/>
        </w:trPr>
        <w:tc>
          <w:tcPr>
            <w:tcW w:w="3387" w:type="pct"/>
            <w:vAlign w:val="bottom"/>
          </w:tcPr>
          <w:p w14:paraId="67A9932F"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bCs/>
                <w:sz w:val="20"/>
                <w:szCs w:val="20"/>
                <w:lang w:val="en-GB"/>
              </w:rPr>
            </w:pPr>
          </w:p>
        </w:tc>
        <w:tc>
          <w:tcPr>
            <w:tcW w:w="845" w:type="pct"/>
            <w:vAlign w:val="bottom"/>
          </w:tcPr>
          <w:p w14:paraId="6F805CFF"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2022</w:t>
            </w:r>
          </w:p>
        </w:tc>
        <w:tc>
          <w:tcPr>
            <w:tcW w:w="768" w:type="pct"/>
            <w:vAlign w:val="bottom"/>
          </w:tcPr>
          <w:p w14:paraId="2A7C8432" w14:textId="77777777" w:rsidR="00587444" w:rsidRPr="00587444" w:rsidDel="00480157" w:rsidRDefault="00587444" w:rsidP="00587444">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2021</w:t>
            </w:r>
          </w:p>
        </w:tc>
      </w:tr>
      <w:tr w:rsidR="00587444" w:rsidRPr="00587444" w14:paraId="6157640D" w14:textId="77777777" w:rsidTr="00DD69E7">
        <w:trPr>
          <w:trHeight w:val="329"/>
        </w:trPr>
        <w:tc>
          <w:tcPr>
            <w:tcW w:w="3387" w:type="pct"/>
            <w:vAlign w:val="bottom"/>
          </w:tcPr>
          <w:p w14:paraId="38D8B525"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bCs/>
                <w:sz w:val="20"/>
                <w:szCs w:val="20"/>
                <w:lang w:val="en-GB"/>
              </w:rPr>
            </w:pPr>
          </w:p>
        </w:tc>
        <w:tc>
          <w:tcPr>
            <w:tcW w:w="845" w:type="pct"/>
            <w:vAlign w:val="bottom"/>
          </w:tcPr>
          <w:p w14:paraId="6CAA12A6"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bookmarkStart w:id="150" w:name="_Toc4056901"/>
            <w:r w:rsidRPr="00587444">
              <w:rPr>
                <w:rFonts w:ascii="Arial" w:hAnsi="Arial" w:cs="Arial"/>
                <w:b/>
                <w:bCs/>
                <w:sz w:val="20"/>
                <w:szCs w:val="20"/>
                <w:lang w:val="en-GB"/>
              </w:rPr>
              <w:t>HRK ‘000</w:t>
            </w:r>
            <w:bookmarkEnd w:id="150"/>
            <w:r w:rsidRPr="00587444">
              <w:rPr>
                <w:rFonts w:ascii="Arial" w:hAnsi="Arial" w:cs="Arial"/>
                <w:b/>
                <w:bCs/>
                <w:sz w:val="20"/>
                <w:szCs w:val="20"/>
                <w:lang w:val="en-GB"/>
              </w:rPr>
              <w:t xml:space="preserve"> </w:t>
            </w:r>
          </w:p>
        </w:tc>
        <w:tc>
          <w:tcPr>
            <w:tcW w:w="768" w:type="pct"/>
            <w:vAlign w:val="bottom"/>
          </w:tcPr>
          <w:p w14:paraId="539A4BB6" w14:textId="77777777" w:rsidR="00587444" w:rsidRPr="00587444" w:rsidDel="00480157" w:rsidRDefault="00587444" w:rsidP="00587444">
            <w:pPr>
              <w:suppressAutoHyphens w:val="0"/>
              <w:autoSpaceDN/>
              <w:spacing w:line="301" w:lineRule="exact"/>
              <w:jc w:val="right"/>
              <w:outlineLvl w:val="0"/>
              <w:rPr>
                <w:rFonts w:ascii="Arial" w:hAnsi="Arial" w:cs="Arial"/>
                <w:b/>
                <w:bCs/>
                <w:sz w:val="20"/>
                <w:szCs w:val="20"/>
                <w:lang w:val="en-GB"/>
              </w:rPr>
            </w:pPr>
            <w:bookmarkStart w:id="151" w:name="_Toc4056902"/>
            <w:r w:rsidRPr="00587444">
              <w:rPr>
                <w:rFonts w:ascii="Arial" w:hAnsi="Arial" w:cs="Arial"/>
                <w:b/>
                <w:bCs/>
                <w:sz w:val="20"/>
                <w:szCs w:val="20"/>
                <w:lang w:val="en-GB"/>
              </w:rPr>
              <w:t>HRK ‘000</w:t>
            </w:r>
            <w:bookmarkEnd w:id="151"/>
            <w:r w:rsidRPr="00587444">
              <w:rPr>
                <w:rFonts w:ascii="Arial" w:hAnsi="Arial" w:cs="Arial"/>
                <w:b/>
                <w:bCs/>
                <w:sz w:val="20"/>
                <w:szCs w:val="20"/>
                <w:lang w:val="en-GB"/>
              </w:rPr>
              <w:t xml:space="preserve"> </w:t>
            </w:r>
          </w:p>
        </w:tc>
      </w:tr>
      <w:tr w:rsidR="00587444" w:rsidRPr="00587444" w14:paraId="53B97CAE" w14:textId="77777777" w:rsidTr="00DD69E7">
        <w:trPr>
          <w:trHeight w:hRule="exact" w:val="214"/>
        </w:trPr>
        <w:tc>
          <w:tcPr>
            <w:tcW w:w="3387" w:type="pct"/>
            <w:vAlign w:val="center"/>
          </w:tcPr>
          <w:p w14:paraId="70A625E1"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bCs/>
                <w:sz w:val="20"/>
                <w:szCs w:val="20"/>
                <w:lang w:val="en-GB"/>
              </w:rPr>
            </w:pPr>
          </w:p>
        </w:tc>
        <w:tc>
          <w:tcPr>
            <w:tcW w:w="845" w:type="pct"/>
          </w:tcPr>
          <w:p w14:paraId="31081CCE"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p>
        </w:tc>
        <w:tc>
          <w:tcPr>
            <w:tcW w:w="768" w:type="pct"/>
          </w:tcPr>
          <w:p w14:paraId="1F45CC40"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p>
        </w:tc>
      </w:tr>
      <w:tr w:rsidR="00587444" w:rsidRPr="00587444" w14:paraId="4D5C81BD" w14:textId="77777777" w:rsidTr="00DD69E7">
        <w:trPr>
          <w:trHeight w:val="319"/>
        </w:trPr>
        <w:tc>
          <w:tcPr>
            <w:tcW w:w="3387" w:type="pct"/>
          </w:tcPr>
          <w:p w14:paraId="0DF0F95A"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bookmarkStart w:id="152" w:name="_Toc4056903"/>
            <w:r w:rsidRPr="00587444">
              <w:rPr>
                <w:rFonts w:ascii="Arial" w:hAnsi="Arial" w:cs="Arial"/>
                <w:b/>
                <w:bCs/>
                <w:sz w:val="20"/>
                <w:szCs w:val="20"/>
                <w:lang w:val="en-GB"/>
              </w:rPr>
              <w:t>Profit for the year</w:t>
            </w:r>
            <w:bookmarkEnd w:id="152"/>
          </w:p>
        </w:tc>
        <w:tc>
          <w:tcPr>
            <w:tcW w:w="845" w:type="pct"/>
            <w:tcBorders>
              <w:bottom w:val="single" w:sz="12" w:space="0" w:color="auto"/>
            </w:tcBorders>
          </w:tcPr>
          <w:p w14:paraId="709AB8E0"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hr-HR"/>
              </w:rPr>
              <w:t>189,458</w:t>
            </w:r>
          </w:p>
        </w:tc>
        <w:tc>
          <w:tcPr>
            <w:tcW w:w="768" w:type="pct"/>
            <w:tcBorders>
              <w:bottom w:val="single" w:sz="12" w:space="0" w:color="auto"/>
            </w:tcBorders>
          </w:tcPr>
          <w:p w14:paraId="7AB358A4" w14:textId="77777777" w:rsidR="00587444" w:rsidRPr="00587444" w:rsidDel="00480157"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hr-HR"/>
              </w:rPr>
              <w:t>188,185</w:t>
            </w:r>
          </w:p>
        </w:tc>
      </w:tr>
      <w:tr w:rsidR="00587444" w:rsidRPr="00587444" w14:paraId="2D3B79BD" w14:textId="77777777" w:rsidTr="00DD69E7">
        <w:trPr>
          <w:trHeight w:val="319"/>
        </w:trPr>
        <w:tc>
          <w:tcPr>
            <w:tcW w:w="3387" w:type="pct"/>
            <w:vAlign w:val="bottom"/>
          </w:tcPr>
          <w:p w14:paraId="70EA1ABB" w14:textId="77777777" w:rsidR="00587444" w:rsidRPr="00587444" w:rsidRDefault="00587444" w:rsidP="00587444">
            <w:pPr>
              <w:tabs>
                <w:tab w:val="right" w:pos="1202"/>
              </w:tabs>
              <w:suppressAutoHyphens w:val="0"/>
              <w:autoSpaceDN/>
              <w:spacing w:line="280" w:lineRule="exact"/>
              <w:outlineLvl w:val="0"/>
              <w:rPr>
                <w:rFonts w:ascii="Arial" w:hAnsi="Arial" w:cs="Arial"/>
                <w:bCs/>
                <w:sz w:val="20"/>
                <w:szCs w:val="20"/>
              </w:rPr>
            </w:pPr>
            <w:bookmarkStart w:id="153" w:name="_Toc4056906"/>
            <w:r w:rsidRPr="00587444">
              <w:rPr>
                <w:rFonts w:ascii="Arial" w:hAnsi="Arial" w:cs="Arial"/>
                <w:b/>
                <w:bCs/>
                <w:sz w:val="20"/>
                <w:szCs w:val="20"/>
              </w:rPr>
              <w:t>Other comprehensive income</w:t>
            </w:r>
            <w:bookmarkEnd w:id="153"/>
          </w:p>
        </w:tc>
        <w:tc>
          <w:tcPr>
            <w:tcW w:w="845" w:type="pct"/>
            <w:tcBorders>
              <w:top w:val="single" w:sz="12" w:space="0" w:color="auto"/>
            </w:tcBorders>
            <w:vAlign w:val="bottom"/>
          </w:tcPr>
          <w:p w14:paraId="6010676D"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p>
        </w:tc>
        <w:tc>
          <w:tcPr>
            <w:tcW w:w="768" w:type="pct"/>
            <w:tcBorders>
              <w:top w:val="single" w:sz="12" w:space="0" w:color="auto"/>
            </w:tcBorders>
            <w:vAlign w:val="bottom"/>
          </w:tcPr>
          <w:p w14:paraId="705CA539"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p>
        </w:tc>
      </w:tr>
      <w:tr w:rsidR="00587444" w:rsidRPr="00587444" w14:paraId="0CBF71A1" w14:textId="77777777" w:rsidTr="00DD69E7">
        <w:trPr>
          <w:trHeight w:val="117"/>
        </w:trPr>
        <w:tc>
          <w:tcPr>
            <w:tcW w:w="3387" w:type="pct"/>
            <w:vAlign w:val="bottom"/>
          </w:tcPr>
          <w:p w14:paraId="5DBA0F37" w14:textId="77777777" w:rsidR="00587444" w:rsidRPr="00587444" w:rsidRDefault="00587444" w:rsidP="00587444">
            <w:pPr>
              <w:tabs>
                <w:tab w:val="right" w:pos="1202"/>
              </w:tabs>
              <w:suppressAutoHyphens w:val="0"/>
              <w:autoSpaceDN/>
              <w:spacing w:line="280" w:lineRule="exact"/>
              <w:outlineLvl w:val="0"/>
              <w:rPr>
                <w:rFonts w:ascii="Arial" w:hAnsi="Arial" w:cs="Arial"/>
                <w:bCs/>
                <w:sz w:val="20"/>
                <w:szCs w:val="20"/>
              </w:rPr>
            </w:pPr>
            <w:bookmarkStart w:id="154" w:name="_Toc4056907"/>
            <w:r w:rsidRPr="00587444">
              <w:rPr>
                <w:rFonts w:ascii="Arial" w:hAnsi="Arial" w:cs="Arial"/>
                <w:b/>
                <w:bCs/>
                <w:sz w:val="20"/>
                <w:szCs w:val="20"/>
              </w:rPr>
              <w:t>Items that are not transferred subsequently to profit or loss:</w:t>
            </w:r>
            <w:bookmarkEnd w:id="154"/>
          </w:p>
        </w:tc>
        <w:tc>
          <w:tcPr>
            <w:tcW w:w="845" w:type="pct"/>
            <w:vAlign w:val="bottom"/>
          </w:tcPr>
          <w:p w14:paraId="45E69CBA"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p>
        </w:tc>
        <w:tc>
          <w:tcPr>
            <w:tcW w:w="768" w:type="pct"/>
            <w:vAlign w:val="bottom"/>
          </w:tcPr>
          <w:p w14:paraId="3B176D0D"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p>
        </w:tc>
      </w:tr>
      <w:tr w:rsidR="00587444" w:rsidRPr="00587444" w14:paraId="2F9A9BAC" w14:textId="77777777" w:rsidTr="00DD69E7">
        <w:trPr>
          <w:trHeight w:val="319"/>
        </w:trPr>
        <w:tc>
          <w:tcPr>
            <w:tcW w:w="3387" w:type="pct"/>
            <w:vAlign w:val="bottom"/>
          </w:tcPr>
          <w:p w14:paraId="2776E22A" w14:textId="77777777" w:rsidR="00587444" w:rsidRPr="00587444" w:rsidRDefault="00587444" w:rsidP="00587444">
            <w:pPr>
              <w:tabs>
                <w:tab w:val="right" w:pos="1202"/>
              </w:tabs>
              <w:suppressAutoHyphens w:val="0"/>
              <w:autoSpaceDN/>
              <w:outlineLvl w:val="0"/>
              <w:rPr>
                <w:rFonts w:ascii="Arial" w:hAnsi="Arial" w:cs="Arial"/>
                <w:bCs/>
                <w:sz w:val="20"/>
                <w:szCs w:val="20"/>
                <w:highlight w:val="yellow"/>
                <w:lang w:val="en-GB"/>
              </w:rPr>
            </w:pPr>
            <w:bookmarkStart w:id="155" w:name="_Toc4056908"/>
            <w:proofErr w:type="spellStart"/>
            <w:r w:rsidRPr="00587444">
              <w:rPr>
                <w:rFonts w:ascii="Arial" w:hAnsi="Arial" w:cs="Arial"/>
                <w:bCs/>
                <w:sz w:val="20"/>
                <w:szCs w:val="20"/>
              </w:rPr>
              <w:t>Unrealised</w:t>
            </w:r>
            <w:proofErr w:type="spellEnd"/>
            <w:r w:rsidRPr="00587444">
              <w:rPr>
                <w:rFonts w:ascii="Arial" w:hAnsi="Arial" w:cs="Arial"/>
                <w:bCs/>
                <w:sz w:val="20"/>
                <w:szCs w:val="20"/>
              </w:rPr>
              <w:t xml:space="preserve"> actuarial (losses)</w:t>
            </w:r>
            <w:bookmarkEnd w:id="155"/>
          </w:p>
        </w:tc>
        <w:tc>
          <w:tcPr>
            <w:tcW w:w="845" w:type="pct"/>
            <w:tcBorders>
              <w:top w:val="nil"/>
              <w:left w:val="nil"/>
              <w:right w:val="nil"/>
            </w:tcBorders>
            <w:shd w:val="clear" w:color="auto" w:fill="auto"/>
          </w:tcPr>
          <w:p w14:paraId="16CF3356"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Cs/>
                <w:sz w:val="20"/>
                <w:szCs w:val="20"/>
                <w:lang w:val="hr-HR"/>
              </w:rPr>
            </w:pPr>
            <w:r w:rsidRPr="00587444">
              <w:rPr>
                <w:rFonts w:ascii="Arial" w:hAnsi="Arial" w:cs="Arial"/>
                <w:bCs/>
                <w:sz w:val="20"/>
                <w:szCs w:val="20"/>
                <w:lang w:val="hr-HR"/>
              </w:rPr>
              <w:t>(759)</w:t>
            </w:r>
          </w:p>
        </w:tc>
        <w:tc>
          <w:tcPr>
            <w:tcW w:w="768" w:type="pct"/>
            <w:tcBorders>
              <w:top w:val="nil"/>
              <w:left w:val="nil"/>
              <w:right w:val="nil"/>
            </w:tcBorders>
            <w:shd w:val="clear" w:color="auto" w:fill="auto"/>
          </w:tcPr>
          <w:p w14:paraId="25F1280F" w14:textId="77777777" w:rsidR="00587444" w:rsidRPr="00587444" w:rsidDel="00480157" w:rsidRDefault="00587444" w:rsidP="00587444">
            <w:pPr>
              <w:tabs>
                <w:tab w:val="right" w:pos="1202"/>
              </w:tabs>
              <w:suppressAutoHyphens w:val="0"/>
              <w:autoSpaceDN/>
              <w:spacing w:line="340" w:lineRule="exact"/>
              <w:jc w:val="right"/>
              <w:outlineLvl w:val="0"/>
              <w:rPr>
                <w:rFonts w:ascii="Arial" w:hAnsi="Arial" w:cs="Arial"/>
                <w:bCs/>
                <w:sz w:val="20"/>
                <w:szCs w:val="20"/>
                <w:lang w:val="hr-HR"/>
              </w:rPr>
            </w:pPr>
            <w:r w:rsidRPr="00587444">
              <w:rPr>
                <w:rFonts w:ascii="Arial" w:hAnsi="Arial" w:cs="Arial"/>
                <w:bCs/>
                <w:sz w:val="20"/>
                <w:szCs w:val="20"/>
                <w:lang w:val="hr-HR"/>
              </w:rPr>
              <w:t>(831)</w:t>
            </w:r>
          </w:p>
        </w:tc>
      </w:tr>
      <w:tr w:rsidR="00587444" w:rsidRPr="00587444" w14:paraId="0197A971" w14:textId="77777777" w:rsidTr="00DD69E7">
        <w:trPr>
          <w:trHeight w:val="130"/>
        </w:trPr>
        <w:tc>
          <w:tcPr>
            <w:tcW w:w="3387" w:type="pct"/>
            <w:vAlign w:val="bottom"/>
          </w:tcPr>
          <w:p w14:paraId="5952CF41" w14:textId="77777777" w:rsidR="00587444" w:rsidRPr="00587444" w:rsidRDefault="00587444" w:rsidP="00587444">
            <w:pPr>
              <w:tabs>
                <w:tab w:val="right" w:pos="1202"/>
              </w:tabs>
              <w:suppressAutoHyphens w:val="0"/>
              <w:autoSpaceDN/>
              <w:spacing w:line="280" w:lineRule="exact"/>
              <w:outlineLvl w:val="0"/>
              <w:rPr>
                <w:rFonts w:ascii="Arial" w:hAnsi="Arial" w:cs="Arial"/>
                <w:b/>
                <w:bCs/>
                <w:sz w:val="20"/>
                <w:szCs w:val="20"/>
              </w:rPr>
            </w:pPr>
            <w:bookmarkStart w:id="156" w:name="_Toc4056914"/>
            <w:r w:rsidRPr="00587444">
              <w:rPr>
                <w:rFonts w:ascii="Arial" w:hAnsi="Arial" w:cs="Arial"/>
                <w:b/>
                <w:bCs/>
                <w:sz w:val="20"/>
                <w:szCs w:val="20"/>
              </w:rPr>
              <w:t>Total items that are not transferred subsequently to profit or loss</w:t>
            </w:r>
            <w:bookmarkEnd w:id="156"/>
          </w:p>
        </w:tc>
        <w:tc>
          <w:tcPr>
            <w:tcW w:w="845" w:type="pct"/>
            <w:tcBorders>
              <w:top w:val="single" w:sz="4" w:space="0" w:color="auto"/>
              <w:bottom w:val="single" w:sz="12" w:space="0" w:color="auto"/>
            </w:tcBorders>
            <w:vAlign w:val="bottom"/>
          </w:tcPr>
          <w:p w14:paraId="58E5CC2D"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hr-HR"/>
              </w:rPr>
              <w:t>(759)</w:t>
            </w:r>
          </w:p>
        </w:tc>
        <w:tc>
          <w:tcPr>
            <w:tcW w:w="768" w:type="pct"/>
            <w:tcBorders>
              <w:top w:val="single" w:sz="4" w:space="0" w:color="auto"/>
              <w:bottom w:val="single" w:sz="12" w:space="0" w:color="auto"/>
            </w:tcBorders>
            <w:vAlign w:val="bottom"/>
          </w:tcPr>
          <w:p w14:paraId="02D6B2D8" w14:textId="77777777" w:rsidR="00587444" w:rsidRPr="00587444" w:rsidDel="00480157"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hr-HR"/>
              </w:rPr>
              <w:t>(831)</w:t>
            </w:r>
          </w:p>
        </w:tc>
      </w:tr>
      <w:tr w:rsidR="00587444" w:rsidRPr="00587444" w14:paraId="71B620D1" w14:textId="77777777" w:rsidTr="00DD69E7">
        <w:trPr>
          <w:trHeight w:val="80"/>
        </w:trPr>
        <w:tc>
          <w:tcPr>
            <w:tcW w:w="3387" w:type="pct"/>
            <w:vAlign w:val="bottom"/>
          </w:tcPr>
          <w:p w14:paraId="324C0488" w14:textId="77777777" w:rsidR="00587444" w:rsidRPr="00587444" w:rsidRDefault="00587444" w:rsidP="00587444">
            <w:pPr>
              <w:tabs>
                <w:tab w:val="right" w:pos="1202"/>
              </w:tabs>
              <w:suppressAutoHyphens w:val="0"/>
              <w:autoSpaceDN/>
              <w:spacing w:line="280" w:lineRule="exact"/>
              <w:outlineLvl w:val="0"/>
              <w:rPr>
                <w:rFonts w:ascii="Arial" w:hAnsi="Arial" w:cs="Arial"/>
                <w:b/>
                <w:bCs/>
                <w:sz w:val="20"/>
                <w:szCs w:val="20"/>
              </w:rPr>
            </w:pPr>
            <w:bookmarkStart w:id="157" w:name="_Toc4056917"/>
            <w:r w:rsidRPr="00587444">
              <w:rPr>
                <w:rFonts w:ascii="Arial" w:hAnsi="Arial" w:cs="Arial"/>
                <w:b/>
                <w:bCs/>
                <w:sz w:val="20"/>
                <w:szCs w:val="20"/>
              </w:rPr>
              <w:t>Items that may be reclassified subsequently to profit or loss:</w:t>
            </w:r>
            <w:bookmarkEnd w:id="157"/>
          </w:p>
        </w:tc>
        <w:tc>
          <w:tcPr>
            <w:tcW w:w="845" w:type="pct"/>
            <w:tcBorders>
              <w:top w:val="single" w:sz="12" w:space="0" w:color="auto"/>
            </w:tcBorders>
            <w:vAlign w:val="bottom"/>
          </w:tcPr>
          <w:p w14:paraId="2956B3E3"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p>
        </w:tc>
        <w:tc>
          <w:tcPr>
            <w:tcW w:w="768" w:type="pct"/>
            <w:tcBorders>
              <w:top w:val="single" w:sz="12" w:space="0" w:color="auto"/>
            </w:tcBorders>
            <w:vAlign w:val="bottom"/>
          </w:tcPr>
          <w:p w14:paraId="7E3FD408"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p>
        </w:tc>
      </w:tr>
      <w:tr w:rsidR="00587444" w:rsidRPr="00587444" w14:paraId="53C8BA25" w14:textId="77777777" w:rsidTr="00DD69E7">
        <w:trPr>
          <w:trHeight w:val="531"/>
        </w:trPr>
        <w:tc>
          <w:tcPr>
            <w:tcW w:w="3387" w:type="pct"/>
            <w:vAlign w:val="bottom"/>
          </w:tcPr>
          <w:p w14:paraId="7315D55A"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bookmarkStart w:id="158" w:name="_Toc4056918"/>
            <w:r w:rsidRPr="00587444">
              <w:rPr>
                <w:rFonts w:ascii="Arial" w:hAnsi="Arial" w:cs="Arial"/>
                <w:bCs/>
                <w:sz w:val="20"/>
                <w:szCs w:val="20"/>
                <w:lang w:val="en-GB"/>
              </w:rPr>
              <w:t>Net changes in financial assets at fair value through other comprehensive income</w:t>
            </w:r>
            <w:bookmarkEnd w:id="158"/>
          </w:p>
        </w:tc>
        <w:tc>
          <w:tcPr>
            <w:tcW w:w="845" w:type="pct"/>
            <w:tcBorders>
              <w:top w:val="nil"/>
              <w:left w:val="nil"/>
              <w:bottom w:val="nil"/>
              <w:right w:val="nil"/>
            </w:tcBorders>
            <w:shd w:val="clear" w:color="auto" w:fill="auto"/>
            <w:vAlign w:val="bottom"/>
          </w:tcPr>
          <w:p w14:paraId="27A6DF66"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(72,310)</w:t>
            </w:r>
          </w:p>
        </w:tc>
        <w:tc>
          <w:tcPr>
            <w:tcW w:w="768" w:type="pct"/>
            <w:tcBorders>
              <w:top w:val="nil"/>
              <w:left w:val="nil"/>
              <w:bottom w:val="nil"/>
              <w:right w:val="nil"/>
            </w:tcBorders>
            <w:shd w:val="clear" w:color="auto" w:fill="auto"/>
            <w:vAlign w:val="bottom"/>
          </w:tcPr>
          <w:p w14:paraId="47D50FB7"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Cs/>
                <w:sz w:val="20"/>
                <w:szCs w:val="20"/>
                <w:lang w:val="hr-HR"/>
              </w:rPr>
            </w:pPr>
            <w:r w:rsidRPr="00587444">
              <w:rPr>
                <w:rFonts w:ascii="Arial" w:hAnsi="Arial" w:cs="Arial"/>
                <w:color w:val="000000"/>
                <w:sz w:val="20"/>
                <w:szCs w:val="20"/>
                <w:lang w:val="hr-HR"/>
              </w:rPr>
              <w:t>(24,513)</w:t>
            </w:r>
          </w:p>
        </w:tc>
      </w:tr>
      <w:tr w:rsidR="00587444" w:rsidRPr="00587444" w14:paraId="15ECD9B4" w14:textId="77777777" w:rsidTr="00DD69E7">
        <w:trPr>
          <w:trHeight w:val="379"/>
        </w:trPr>
        <w:tc>
          <w:tcPr>
            <w:tcW w:w="3387" w:type="pct"/>
            <w:vAlign w:val="bottom"/>
          </w:tcPr>
          <w:p w14:paraId="5699EF0A" w14:textId="77777777" w:rsidR="00587444" w:rsidRPr="00587444" w:rsidRDefault="00587444" w:rsidP="00587444">
            <w:pPr>
              <w:tabs>
                <w:tab w:val="right" w:pos="1202"/>
              </w:tabs>
              <w:suppressAutoHyphens w:val="0"/>
              <w:autoSpaceDN/>
              <w:spacing w:line="340" w:lineRule="exact"/>
              <w:outlineLvl w:val="0"/>
              <w:rPr>
                <w:rFonts w:ascii="Arial" w:hAnsi="Arial" w:cs="Arial"/>
                <w:bCs/>
                <w:sz w:val="20"/>
                <w:szCs w:val="20"/>
                <w:lang w:val="en-GB"/>
              </w:rPr>
            </w:pPr>
            <w:bookmarkStart w:id="159" w:name="_Toc4056921"/>
            <w:r w:rsidRPr="00587444">
              <w:rPr>
                <w:rFonts w:ascii="Arial" w:hAnsi="Arial" w:cs="Arial"/>
                <w:bCs/>
                <w:sz w:val="20"/>
                <w:szCs w:val="20"/>
                <w:lang w:val="en-GB"/>
              </w:rPr>
              <w:t>Net foreign exchange on equity instruments</w:t>
            </w:r>
            <w:bookmarkEnd w:id="159"/>
          </w:p>
        </w:tc>
        <w:tc>
          <w:tcPr>
            <w:tcW w:w="845" w:type="pct"/>
            <w:tcBorders>
              <w:top w:val="nil"/>
              <w:left w:val="nil"/>
              <w:bottom w:val="nil"/>
              <w:right w:val="nil"/>
            </w:tcBorders>
            <w:shd w:val="clear" w:color="auto" w:fill="auto"/>
            <w:vAlign w:val="bottom"/>
          </w:tcPr>
          <w:p w14:paraId="6A74250D"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87</w:t>
            </w:r>
          </w:p>
        </w:tc>
        <w:tc>
          <w:tcPr>
            <w:tcW w:w="768" w:type="pct"/>
            <w:tcBorders>
              <w:top w:val="nil"/>
              <w:left w:val="nil"/>
              <w:bottom w:val="nil"/>
              <w:right w:val="nil"/>
            </w:tcBorders>
            <w:shd w:val="clear" w:color="auto" w:fill="auto"/>
            <w:vAlign w:val="bottom"/>
          </w:tcPr>
          <w:p w14:paraId="04BE5C70" w14:textId="77777777" w:rsidR="00587444" w:rsidRPr="00587444" w:rsidDel="00480157" w:rsidRDefault="00587444" w:rsidP="00587444">
            <w:pPr>
              <w:tabs>
                <w:tab w:val="right" w:pos="1202"/>
              </w:tabs>
              <w:suppressAutoHyphens w:val="0"/>
              <w:autoSpaceDN/>
              <w:spacing w:line="340" w:lineRule="exact"/>
              <w:jc w:val="right"/>
              <w:outlineLvl w:val="0"/>
              <w:rPr>
                <w:rFonts w:ascii="Arial" w:hAnsi="Arial" w:cs="Arial"/>
                <w:bCs/>
                <w:sz w:val="20"/>
                <w:szCs w:val="20"/>
                <w:lang w:val="hr-HR"/>
              </w:rPr>
            </w:pPr>
            <w:r w:rsidRPr="00587444">
              <w:rPr>
                <w:rFonts w:ascii="Arial" w:hAnsi="Arial" w:cs="Arial"/>
                <w:color w:val="000000"/>
                <w:sz w:val="20"/>
                <w:szCs w:val="20"/>
                <w:lang w:val="hr-HR"/>
              </w:rPr>
              <w:t>(51)</w:t>
            </w:r>
          </w:p>
        </w:tc>
      </w:tr>
      <w:tr w:rsidR="00587444" w:rsidRPr="00587444" w14:paraId="632460C5" w14:textId="77777777" w:rsidTr="00DD69E7">
        <w:trPr>
          <w:trHeight w:val="379"/>
        </w:trPr>
        <w:tc>
          <w:tcPr>
            <w:tcW w:w="3387" w:type="pct"/>
            <w:vAlign w:val="bottom"/>
          </w:tcPr>
          <w:p w14:paraId="3A689DE4" w14:textId="77777777" w:rsidR="00587444" w:rsidRPr="00587444" w:rsidRDefault="00587444" w:rsidP="00587444">
            <w:pPr>
              <w:tabs>
                <w:tab w:val="right" w:pos="1202"/>
              </w:tabs>
              <w:suppressAutoHyphens w:val="0"/>
              <w:autoSpaceDN/>
              <w:spacing w:line="340" w:lineRule="exact"/>
              <w:outlineLvl w:val="0"/>
              <w:rPr>
                <w:rFonts w:ascii="Arial" w:hAnsi="Arial" w:cs="Arial"/>
                <w:bCs/>
                <w:sz w:val="20"/>
                <w:szCs w:val="20"/>
                <w:lang w:val="en-GB"/>
              </w:rPr>
            </w:pPr>
            <w:bookmarkStart w:id="160" w:name="_Toc4056927"/>
            <w:r w:rsidRPr="00587444">
              <w:rPr>
                <w:rFonts w:ascii="Arial" w:hAnsi="Arial" w:cs="Arial"/>
                <w:bCs/>
                <w:sz w:val="20"/>
                <w:szCs w:val="20"/>
                <w:lang w:val="en-GB"/>
              </w:rPr>
              <w:t>Deferred tax – other comprehensive income</w:t>
            </w:r>
            <w:bookmarkEnd w:id="160"/>
          </w:p>
        </w:tc>
        <w:tc>
          <w:tcPr>
            <w:tcW w:w="845" w:type="pct"/>
            <w:tcBorders>
              <w:bottom w:val="single" w:sz="2" w:space="0" w:color="auto"/>
            </w:tcBorders>
            <w:vAlign w:val="bottom"/>
          </w:tcPr>
          <w:p w14:paraId="5A7E02F3"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1,737</w:t>
            </w:r>
          </w:p>
        </w:tc>
        <w:tc>
          <w:tcPr>
            <w:tcW w:w="768" w:type="pct"/>
            <w:tcBorders>
              <w:bottom w:val="single" w:sz="2" w:space="0" w:color="auto"/>
            </w:tcBorders>
            <w:vAlign w:val="bottom"/>
          </w:tcPr>
          <w:p w14:paraId="2F441D4A" w14:textId="77777777" w:rsidR="00587444" w:rsidRPr="00587444" w:rsidDel="00480157" w:rsidRDefault="00587444" w:rsidP="00587444">
            <w:pPr>
              <w:tabs>
                <w:tab w:val="right" w:pos="1202"/>
              </w:tabs>
              <w:suppressAutoHyphens w:val="0"/>
              <w:autoSpaceDN/>
              <w:spacing w:line="340" w:lineRule="exact"/>
              <w:jc w:val="right"/>
              <w:outlineLvl w:val="0"/>
              <w:rPr>
                <w:rFonts w:ascii="Arial" w:hAnsi="Arial" w:cs="Arial"/>
                <w:bCs/>
                <w:sz w:val="20"/>
                <w:szCs w:val="20"/>
                <w:lang w:val="hr-HR"/>
              </w:rPr>
            </w:pPr>
            <w:r w:rsidRPr="00587444">
              <w:rPr>
                <w:rFonts w:ascii="Arial" w:hAnsi="Arial" w:cs="Arial"/>
                <w:color w:val="000000"/>
                <w:sz w:val="20"/>
                <w:szCs w:val="20"/>
                <w:lang w:val="hr-HR"/>
              </w:rPr>
              <w:t>262</w:t>
            </w:r>
          </w:p>
        </w:tc>
      </w:tr>
      <w:tr w:rsidR="00587444" w:rsidRPr="00587444" w14:paraId="0A7CF7DC" w14:textId="77777777" w:rsidTr="00DD69E7">
        <w:trPr>
          <w:trHeight w:val="379"/>
        </w:trPr>
        <w:tc>
          <w:tcPr>
            <w:tcW w:w="3387" w:type="pct"/>
            <w:vAlign w:val="bottom"/>
          </w:tcPr>
          <w:p w14:paraId="05A14AF3" w14:textId="77777777" w:rsidR="00587444" w:rsidRPr="00587444" w:rsidRDefault="00587444" w:rsidP="00587444">
            <w:pPr>
              <w:tabs>
                <w:tab w:val="right" w:pos="1202"/>
              </w:tabs>
              <w:suppressAutoHyphens w:val="0"/>
              <w:autoSpaceDN/>
              <w:spacing w:line="280" w:lineRule="exact"/>
              <w:outlineLvl w:val="0"/>
              <w:rPr>
                <w:rFonts w:ascii="Arial" w:hAnsi="Arial" w:cs="Arial"/>
                <w:b/>
                <w:bCs/>
                <w:sz w:val="20"/>
                <w:szCs w:val="20"/>
              </w:rPr>
            </w:pPr>
            <w:bookmarkStart w:id="161" w:name="_Toc4056930"/>
            <w:r w:rsidRPr="00587444">
              <w:rPr>
                <w:rFonts w:ascii="Arial" w:hAnsi="Arial" w:cs="Arial"/>
                <w:b/>
                <w:bCs/>
                <w:sz w:val="20"/>
                <w:szCs w:val="20"/>
              </w:rPr>
              <w:t>Total items that may be reclassified subsequently to profit or loss</w:t>
            </w:r>
            <w:bookmarkEnd w:id="161"/>
          </w:p>
        </w:tc>
        <w:tc>
          <w:tcPr>
            <w:tcW w:w="845" w:type="pct"/>
            <w:tcBorders>
              <w:top w:val="single" w:sz="2" w:space="0" w:color="auto"/>
              <w:bottom w:val="single" w:sz="4" w:space="0" w:color="auto"/>
            </w:tcBorders>
            <w:vAlign w:val="bottom"/>
          </w:tcPr>
          <w:p w14:paraId="17C4F68A"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hr-HR"/>
              </w:rPr>
              <w:t>(70,486)</w:t>
            </w:r>
          </w:p>
        </w:tc>
        <w:tc>
          <w:tcPr>
            <w:tcW w:w="768" w:type="pct"/>
            <w:tcBorders>
              <w:top w:val="single" w:sz="2" w:space="0" w:color="auto"/>
              <w:bottom w:val="single" w:sz="4" w:space="0" w:color="auto"/>
            </w:tcBorders>
            <w:vAlign w:val="bottom"/>
          </w:tcPr>
          <w:p w14:paraId="7A32D0B0" w14:textId="77777777" w:rsidR="00587444" w:rsidRPr="00587444" w:rsidDel="00480157"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(24,302)</w:t>
            </w:r>
          </w:p>
        </w:tc>
      </w:tr>
      <w:tr w:rsidR="00587444" w:rsidRPr="00587444" w14:paraId="1CC7DF3F" w14:textId="77777777" w:rsidTr="00DD69E7">
        <w:trPr>
          <w:trHeight w:val="379"/>
        </w:trPr>
        <w:tc>
          <w:tcPr>
            <w:tcW w:w="3387" w:type="pct"/>
            <w:vAlign w:val="bottom"/>
          </w:tcPr>
          <w:p w14:paraId="773D7994"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bookmarkStart w:id="162" w:name="_Toc4056933"/>
            <w:r w:rsidRPr="00587444">
              <w:rPr>
                <w:rFonts w:ascii="Arial" w:hAnsi="Arial" w:cs="Arial"/>
                <w:b/>
                <w:bCs/>
                <w:sz w:val="20"/>
                <w:szCs w:val="20"/>
                <w:lang w:val="en-GB"/>
              </w:rPr>
              <w:t>Other comprehensive income after income tax</w:t>
            </w:r>
            <w:bookmarkEnd w:id="162"/>
          </w:p>
        </w:tc>
        <w:tc>
          <w:tcPr>
            <w:tcW w:w="845" w:type="pct"/>
            <w:tcBorders>
              <w:top w:val="single" w:sz="4" w:space="0" w:color="auto"/>
              <w:bottom w:val="single" w:sz="4" w:space="0" w:color="auto"/>
            </w:tcBorders>
            <w:vAlign w:val="bottom"/>
          </w:tcPr>
          <w:p w14:paraId="0C6E079F"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hr-HR"/>
              </w:rPr>
              <w:t>(71,245)</w:t>
            </w:r>
          </w:p>
        </w:tc>
        <w:tc>
          <w:tcPr>
            <w:tcW w:w="768" w:type="pct"/>
            <w:tcBorders>
              <w:top w:val="single" w:sz="4" w:space="0" w:color="auto"/>
              <w:bottom w:val="single" w:sz="4" w:space="0" w:color="auto"/>
            </w:tcBorders>
            <w:vAlign w:val="bottom"/>
          </w:tcPr>
          <w:p w14:paraId="7427251E" w14:textId="77777777" w:rsidR="00587444" w:rsidRPr="00587444" w:rsidDel="00480157"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hr-HR"/>
              </w:rPr>
              <w:t>(25,133)</w:t>
            </w:r>
          </w:p>
        </w:tc>
      </w:tr>
      <w:tr w:rsidR="00587444" w:rsidRPr="00587444" w14:paraId="44A5204E" w14:textId="77777777" w:rsidTr="00DD69E7">
        <w:trPr>
          <w:trHeight w:val="379"/>
        </w:trPr>
        <w:tc>
          <w:tcPr>
            <w:tcW w:w="3387" w:type="pct"/>
            <w:vAlign w:val="bottom"/>
          </w:tcPr>
          <w:p w14:paraId="3ACC245E" w14:textId="77777777" w:rsidR="00587444" w:rsidRPr="00587444" w:rsidRDefault="00587444" w:rsidP="00587444">
            <w:pPr>
              <w:tabs>
                <w:tab w:val="right" w:pos="1202"/>
              </w:tabs>
              <w:suppressAutoHyphens w:val="0"/>
              <w:autoSpaceDN/>
              <w:spacing w:line="301" w:lineRule="exact"/>
              <w:outlineLvl w:val="0"/>
              <w:rPr>
                <w:rFonts w:ascii="Arial" w:hAnsi="Arial" w:cs="Arial"/>
                <w:b/>
                <w:bCs/>
                <w:sz w:val="20"/>
                <w:szCs w:val="20"/>
                <w:lang w:val="en-GB"/>
              </w:rPr>
            </w:pPr>
            <w:bookmarkStart w:id="163" w:name="_Toc4056936"/>
            <w:r w:rsidRPr="00587444">
              <w:rPr>
                <w:rFonts w:ascii="Arial" w:hAnsi="Arial" w:cs="Arial"/>
                <w:b/>
                <w:bCs/>
                <w:sz w:val="20"/>
                <w:szCs w:val="20"/>
                <w:lang w:val="en-GB"/>
              </w:rPr>
              <w:t>Total comprehensive income after income tax</w:t>
            </w:r>
            <w:bookmarkEnd w:id="163"/>
          </w:p>
        </w:tc>
        <w:tc>
          <w:tcPr>
            <w:tcW w:w="845" w:type="pct"/>
            <w:tcBorders>
              <w:top w:val="single" w:sz="4" w:space="0" w:color="auto"/>
              <w:bottom w:val="single" w:sz="12" w:space="0" w:color="auto"/>
            </w:tcBorders>
            <w:vAlign w:val="bottom"/>
          </w:tcPr>
          <w:p w14:paraId="449BF1A1"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hr-HR"/>
              </w:rPr>
              <w:t>118,213</w:t>
            </w:r>
          </w:p>
        </w:tc>
        <w:tc>
          <w:tcPr>
            <w:tcW w:w="768" w:type="pct"/>
            <w:tcBorders>
              <w:top w:val="single" w:sz="4" w:space="0" w:color="auto"/>
              <w:bottom w:val="single" w:sz="12" w:space="0" w:color="auto"/>
            </w:tcBorders>
            <w:vAlign w:val="bottom"/>
          </w:tcPr>
          <w:p w14:paraId="2D919245" w14:textId="77777777" w:rsidR="00587444" w:rsidRPr="00587444" w:rsidDel="00480157"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hr-HR"/>
              </w:rPr>
              <w:t>163,052</w:t>
            </w:r>
          </w:p>
        </w:tc>
      </w:tr>
      <w:tr w:rsidR="00587444" w:rsidRPr="00587444" w14:paraId="05E2161D" w14:textId="77777777" w:rsidTr="00DD69E7">
        <w:trPr>
          <w:trHeight w:val="379"/>
        </w:trPr>
        <w:tc>
          <w:tcPr>
            <w:tcW w:w="3387" w:type="pct"/>
          </w:tcPr>
          <w:p w14:paraId="0DD535DE" w14:textId="77777777" w:rsidR="00587444" w:rsidRPr="00587444" w:rsidRDefault="00587444" w:rsidP="00587444">
            <w:pPr>
              <w:tabs>
                <w:tab w:val="right" w:pos="1202"/>
              </w:tabs>
              <w:suppressAutoHyphens w:val="0"/>
              <w:autoSpaceDN/>
              <w:spacing w:line="301" w:lineRule="exact"/>
              <w:outlineLvl w:val="0"/>
              <w:rPr>
                <w:rFonts w:ascii="Arial" w:hAnsi="Arial" w:cs="Arial"/>
                <w:b/>
                <w:bCs/>
                <w:sz w:val="20"/>
                <w:szCs w:val="20"/>
                <w:lang w:val="en-GB"/>
              </w:rPr>
            </w:pPr>
            <w:bookmarkStart w:id="164" w:name="_Toc4056939"/>
            <w:r w:rsidRPr="00587444">
              <w:rPr>
                <w:rFonts w:ascii="Arial" w:hAnsi="Arial" w:cs="Arial"/>
                <w:b/>
                <w:sz w:val="20"/>
                <w:szCs w:val="20"/>
                <w:lang w:val="en-GB"/>
              </w:rPr>
              <w:t>Attributable to:</w:t>
            </w:r>
            <w:bookmarkEnd w:id="164"/>
          </w:p>
        </w:tc>
        <w:tc>
          <w:tcPr>
            <w:tcW w:w="845" w:type="pct"/>
            <w:tcBorders>
              <w:top w:val="single" w:sz="12" w:space="0" w:color="auto"/>
            </w:tcBorders>
            <w:vAlign w:val="bottom"/>
          </w:tcPr>
          <w:p w14:paraId="47803DD8" w14:textId="77777777" w:rsidR="00587444" w:rsidRPr="00587444" w:rsidRDefault="00587444" w:rsidP="00587444">
            <w:pPr>
              <w:keepNext/>
              <w:keepLines/>
              <w:suppressAutoHyphens w:val="0"/>
              <w:autoSpaceDN/>
              <w:spacing w:line="301" w:lineRule="exact"/>
              <w:jc w:val="right"/>
              <w:rPr>
                <w:rFonts w:ascii="Arial" w:hAnsi="Arial" w:cs="Arial"/>
                <w:b/>
                <w:position w:val="4"/>
                <w:sz w:val="20"/>
                <w:szCs w:val="20"/>
                <w:lang w:val="hr-HR"/>
              </w:rPr>
            </w:pPr>
          </w:p>
        </w:tc>
        <w:tc>
          <w:tcPr>
            <w:tcW w:w="768" w:type="pct"/>
            <w:tcBorders>
              <w:top w:val="single" w:sz="12" w:space="0" w:color="auto"/>
            </w:tcBorders>
            <w:vAlign w:val="bottom"/>
          </w:tcPr>
          <w:p w14:paraId="1DD16A27" w14:textId="77777777" w:rsidR="00587444" w:rsidRPr="00587444" w:rsidRDefault="00587444" w:rsidP="00587444">
            <w:pPr>
              <w:keepNext/>
              <w:keepLines/>
              <w:suppressAutoHyphens w:val="0"/>
              <w:autoSpaceDN/>
              <w:spacing w:line="301" w:lineRule="exact"/>
              <w:jc w:val="right"/>
              <w:rPr>
                <w:rFonts w:ascii="Arial" w:hAnsi="Arial" w:cs="Arial"/>
                <w:b/>
                <w:position w:val="4"/>
                <w:sz w:val="20"/>
                <w:szCs w:val="20"/>
                <w:lang w:val="hr-HR"/>
              </w:rPr>
            </w:pPr>
          </w:p>
        </w:tc>
      </w:tr>
      <w:tr w:rsidR="00587444" w:rsidRPr="00587444" w14:paraId="4D7DE62D" w14:textId="77777777" w:rsidTr="00DD69E7">
        <w:trPr>
          <w:trHeight w:val="379"/>
        </w:trPr>
        <w:tc>
          <w:tcPr>
            <w:tcW w:w="3387" w:type="pct"/>
            <w:vAlign w:val="bottom"/>
          </w:tcPr>
          <w:p w14:paraId="4D771600" w14:textId="77777777" w:rsidR="00587444" w:rsidRPr="00587444" w:rsidRDefault="00587444" w:rsidP="00587444">
            <w:pPr>
              <w:tabs>
                <w:tab w:val="right" w:pos="1202"/>
              </w:tabs>
              <w:suppressAutoHyphens w:val="0"/>
              <w:autoSpaceDN/>
              <w:spacing w:line="301" w:lineRule="exact"/>
              <w:outlineLvl w:val="0"/>
              <w:rPr>
                <w:rFonts w:ascii="Arial" w:hAnsi="Arial" w:cs="Arial"/>
                <w:b/>
                <w:sz w:val="20"/>
                <w:szCs w:val="20"/>
                <w:lang w:val="en-GB"/>
              </w:rPr>
            </w:pPr>
            <w:bookmarkStart w:id="165" w:name="_Toc4056940"/>
            <w:r w:rsidRPr="00587444">
              <w:rPr>
                <w:rFonts w:ascii="Arial" w:hAnsi="Arial" w:cs="Arial"/>
                <w:b/>
                <w:sz w:val="20"/>
                <w:szCs w:val="20"/>
                <w:lang w:val="en-GB"/>
              </w:rPr>
              <w:t>Owner of the Bank</w:t>
            </w:r>
            <w:bookmarkEnd w:id="165"/>
          </w:p>
        </w:tc>
        <w:tc>
          <w:tcPr>
            <w:tcW w:w="845" w:type="pct"/>
            <w:tcBorders>
              <w:bottom w:val="single" w:sz="12" w:space="0" w:color="auto"/>
            </w:tcBorders>
            <w:vAlign w:val="bottom"/>
          </w:tcPr>
          <w:p w14:paraId="6C93D211"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hr-HR"/>
              </w:rPr>
              <w:t>118,213</w:t>
            </w:r>
          </w:p>
        </w:tc>
        <w:tc>
          <w:tcPr>
            <w:tcW w:w="768" w:type="pct"/>
            <w:tcBorders>
              <w:bottom w:val="single" w:sz="12" w:space="0" w:color="auto"/>
            </w:tcBorders>
            <w:vAlign w:val="bottom"/>
          </w:tcPr>
          <w:p w14:paraId="7DEECEBB" w14:textId="77777777" w:rsidR="00587444" w:rsidRPr="00587444" w:rsidDel="00480157"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hr-HR"/>
              </w:rPr>
              <w:t>163,052</w:t>
            </w:r>
          </w:p>
        </w:tc>
      </w:tr>
    </w:tbl>
    <w:p w14:paraId="71F42B21" w14:textId="77777777" w:rsidR="00587444" w:rsidRPr="00587444" w:rsidRDefault="00587444" w:rsidP="00587444">
      <w:pPr>
        <w:suppressAutoHyphens w:val="0"/>
        <w:autoSpaceDN/>
        <w:spacing w:line="360" w:lineRule="auto"/>
        <w:jc w:val="both"/>
        <w:rPr>
          <w:rFonts w:ascii="Arial" w:hAnsi="Arial" w:cs="Arial"/>
          <w:sz w:val="20"/>
          <w:szCs w:val="20"/>
          <w:highlight w:val="yellow"/>
          <w:lang w:val="en-GB"/>
        </w:rPr>
      </w:pPr>
    </w:p>
    <w:p w14:paraId="3F278893" w14:textId="77777777" w:rsidR="00587444" w:rsidRPr="00587444" w:rsidRDefault="00587444" w:rsidP="00587444">
      <w:pPr>
        <w:suppressAutoHyphens w:val="0"/>
        <w:autoSpaceDN/>
        <w:jc w:val="both"/>
        <w:rPr>
          <w:rFonts w:ascii="Arial" w:hAnsi="Arial" w:cs="Arial"/>
          <w:sz w:val="20"/>
          <w:szCs w:val="20"/>
          <w:lang w:val="en-GB"/>
        </w:rPr>
      </w:pPr>
    </w:p>
    <w:p w14:paraId="6AAF4558" w14:textId="77777777" w:rsidR="00587444" w:rsidRPr="00587444" w:rsidRDefault="00587444" w:rsidP="00587444">
      <w:pPr>
        <w:suppressAutoHyphens w:val="0"/>
        <w:autoSpaceDN/>
        <w:jc w:val="both"/>
        <w:rPr>
          <w:rFonts w:ascii="Arial" w:hAnsi="Arial" w:cs="Arial"/>
          <w:sz w:val="20"/>
          <w:szCs w:val="20"/>
          <w:lang w:val="en-GB"/>
        </w:rPr>
      </w:pPr>
    </w:p>
    <w:p w14:paraId="610427EB" w14:textId="77777777" w:rsidR="00587444" w:rsidRPr="00587444" w:rsidRDefault="00587444" w:rsidP="00587444">
      <w:pPr>
        <w:suppressAutoHyphens w:val="0"/>
        <w:autoSpaceDN/>
        <w:jc w:val="both"/>
        <w:rPr>
          <w:rFonts w:ascii="Arial" w:hAnsi="Arial" w:cs="Arial"/>
          <w:sz w:val="20"/>
          <w:szCs w:val="20"/>
          <w:lang w:val="en-GB"/>
        </w:rPr>
      </w:pPr>
    </w:p>
    <w:p w14:paraId="777C523C" w14:textId="77777777" w:rsidR="00587444" w:rsidRPr="00587444" w:rsidRDefault="00587444" w:rsidP="00587444">
      <w:pPr>
        <w:suppressAutoHyphens w:val="0"/>
        <w:autoSpaceDN/>
        <w:jc w:val="both"/>
        <w:rPr>
          <w:rFonts w:ascii="Arial" w:hAnsi="Arial" w:cs="Arial"/>
          <w:sz w:val="20"/>
          <w:szCs w:val="20"/>
          <w:lang w:val="en-GB"/>
        </w:rPr>
      </w:pPr>
    </w:p>
    <w:p w14:paraId="776BCF44" w14:textId="77777777" w:rsidR="00587444" w:rsidRPr="00587444" w:rsidRDefault="00587444" w:rsidP="00587444">
      <w:pPr>
        <w:suppressAutoHyphens w:val="0"/>
        <w:autoSpaceDN/>
        <w:jc w:val="both"/>
        <w:rPr>
          <w:rFonts w:ascii="Arial" w:hAnsi="Arial" w:cs="Arial"/>
          <w:sz w:val="20"/>
          <w:szCs w:val="20"/>
          <w:lang w:val="en-GB"/>
        </w:rPr>
      </w:pPr>
    </w:p>
    <w:p w14:paraId="7DFB4D20" w14:textId="77777777" w:rsidR="00587444" w:rsidRPr="00587444" w:rsidRDefault="00587444" w:rsidP="00587444">
      <w:pPr>
        <w:suppressAutoHyphens w:val="0"/>
        <w:autoSpaceDN/>
        <w:jc w:val="both"/>
        <w:rPr>
          <w:rFonts w:ascii="Arial" w:hAnsi="Arial" w:cs="Arial"/>
          <w:sz w:val="20"/>
          <w:szCs w:val="20"/>
          <w:lang w:val="en-GB"/>
        </w:rPr>
      </w:pPr>
    </w:p>
    <w:p w14:paraId="2CCAB458" w14:textId="77777777" w:rsidR="00587444" w:rsidRPr="00587444" w:rsidRDefault="00587444" w:rsidP="00587444">
      <w:pPr>
        <w:suppressAutoHyphens w:val="0"/>
        <w:autoSpaceDN/>
        <w:jc w:val="both"/>
        <w:rPr>
          <w:rFonts w:ascii="Arial" w:hAnsi="Arial" w:cs="Arial"/>
          <w:sz w:val="20"/>
          <w:szCs w:val="20"/>
          <w:lang w:val="en-GB"/>
        </w:rPr>
        <w:sectPr w:rsidR="00587444" w:rsidRPr="00587444" w:rsidSect="00DD69E7">
          <w:headerReference w:type="default" r:id="rId60"/>
          <w:pgSz w:w="11907" w:h="16840" w:code="9"/>
          <w:pgMar w:top="2107" w:right="1134" w:bottom="1134" w:left="1418" w:header="851" w:footer="851" w:gutter="0"/>
          <w:cols w:space="720"/>
          <w:noEndnote/>
        </w:sectPr>
      </w:pPr>
      <w:r w:rsidRPr="00587444">
        <w:rPr>
          <w:rFonts w:ascii="Arial" w:hAnsi="Arial" w:cs="Arial"/>
          <w:sz w:val="20"/>
          <w:szCs w:val="20"/>
          <w:lang w:val="en-GB"/>
        </w:rPr>
        <w:t>The accompanying accounting policies and notes are an integral part of these financial statements.</w:t>
      </w:r>
    </w:p>
    <w:tbl>
      <w:tblPr>
        <w:tblpPr w:leftFromText="181" w:rightFromText="181" w:vertAnchor="text" w:horzAnchor="margin" w:tblpXSpec="center" w:tblpY="158"/>
        <w:tblW w:w="4900" w:type="pct"/>
        <w:tblLayout w:type="fixed"/>
        <w:tblLook w:val="0000" w:firstRow="0" w:lastRow="0" w:firstColumn="0" w:lastColumn="0" w:noHBand="0" w:noVBand="0"/>
      </w:tblPr>
      <w:tblGrid>
        <w:gridCol w:w="5775"/>
        <w:gridCol w:w="912"/>
        <w:gridCol w:w="1416"/>
        <w:gridCol w:w="1416"/>
      </w:tblGrid>
      <w:tr w:rsidR="00587444" w:rsidRPr="00587444" w14:paraId="7520AC51" w14:textId="77777777" w:rsidTr="00DD69E7">
        <w:trPr>
          <w:trHeight w:hRule="exact" w:val="284"/>
        </w:trPr>
        <w:tc>
          <w:tcPr>
            <w:tcW w:w="3033" w:type="pct"/>
            <w:vAlign w:val="bottom"/>
          </w:tcPr>
          <w:p w14:paraId="77756736" w14:textId="77777777" w:rsidR="00587444" w:rsidRPr="00587444" w:rsidRDefault="00587444" w:rsidP="00587444">
            <w:pPr>
              <w:suppressAutoHyphens w:val="0"/>
              <w:autoSpaceDN/>
              <w:rPr>
                <w:rFonts w:ascii="Arial" w:eastAsia="Calibri" w:hAnsi="Arial" w:cs="Arial"/>
                <w:sz w:val="20"/>
                <w:szCs w:val="20"/>
              </w:rPr>
            </w:pPr>
          </w:p>
          <w:p w14:paraId="6E057B40" w14:textId="77777777" w:rsidR="00587444" w:rsidRPr="00587444" w:rsidRDefault="00587444" w:rsidP="00587444">
            <w:pPr>
              <w:suppressAutoHyphens w:val="0"/>
              <w:autoSpaceDN/>
              <w:rPr>
                <w:rFonts w:ascii="Arial" w:eastAsia="Calibri" w:hAnsi="Arial" w:cs="Arial"/>
                <w:sz w:val="20"/>
                <w:szCs w:val="20"/>
              </w:rPr>
            </w:pPr>
          </w:p>
        </w:tc>
        <w:tc>
          <w:tcPr>
            <w:tcW w:w="479" w:type="pct"/>
          </w:tcPr>
          <w:p w14:paraId="6356312C" w14:textId="77777777" w:rsidR="00587444" w:rsidRPr="00587444" w:rsidRDefault="00587444" w:rsidP="00587444">
            <w:pPr>
              <w:suppressAutoHyphens w:val="0"/>
              <w:autoSpaceDN/>
              <w:jc w:val="right"/>
              <w:rPr>
                <w:rFonts w:ascii="Arial" w:eastAsia="Calibri" w:hAnsi="Arial" w:cs="Arial"/>
                <w:b/>
                <w:sz w:val="20"/>
                <w:szCs w:val="20"/>
              </w:rPr>
            </w:pPr>
          </w:p>
        </w:tc>
        <w:tc>
          <w:tcPr>
            <w:tcW w:w="744" w:type="pct"/>
            <w:vAlign w:val="bottom"/>
          </w:tcPr>
          <w:p w14:paraId="7CA9469D" w14:textId="77777777" w:rsidR="00587444" w:rsidRPr="00587444" w:rsidRDefault="00587444" w:rsidP="00587444">
            <w:pPr>
              <w:suppressAutoHyphens w:val="0"/>
              <w:autoSpaceDN/>
              <w:jc w:val="right"/>
              <w:rPr>
                <w:rFonts w:ascii="Arial" w:eastAsia="Calibri" w:hAnsi="Arial" w:cs="Arial"/>
                <w:b/>
                <w:sz w:val="20"/>
                <w:szCs w:val="20"/>
              </w:rPr>
            </w:pPr>
            <w:r w:rsidRPr="00587444">
              <w:rPr>
                <w:rFonts w:ascii="Arial" w:eastAsia="Calibri" w:hAnsi="Arial" w:cs="Arial"/>
                <w:b/>
                <w:sz w:val="20"/>
                <w:szCs w:val="20"/>
              </w:rPr>
              <w:t>2022</w:t>
            </w:r>
          </w:p>
        </w:tc>
        <w:tc>
          <w:tcPr>
            <w:tcW w:w="744" w:type="pct"/>
            <w:vAlign w:val="bottom"/>
          </w:tcPr>
          <w:p w14:paraId="0506E8E1" w14:textId="77777777" w:rsidR="00587444" w:rsidRPr="00587444" w:rsidRDefault="00587444" w:rsidP="00587444">
            <w:pPr>
              <w:suppressAutoHyphens w:val="0"/>
              <w:autoSpaceDN/>
              <w:jc w:val="right"/>
              <w:rPr>
                <w:rFonts w:ascii="Arial" w:eastAsia="Calibri" w:hAnsi="Arial" w:cs="Arial"/>
                <w:b/>
                <w:sz w:val="20"/>
                <w:szCs w:val="20"/>
              </w:rPr>
            </w:pPr>
            <w:r w:rsidRPr="00587444">
              <w:rPr>
                <w:rFonts w:ascii="Arial" w:eastAsia="Calibri" w:hAnsi="Arial" w:cs="Arial"/>
                <w:b/>
                <w:sz w:val="20"/>
                <w:szCs w:val="20"/>
              </w:rPr>
              <w:t>2021</w:t>
            </w:r>
          </w:p>
        </w:tc>
      </w:tr>
      <w:tr w:rsidR="00587444" w:rsidRPr="00587444" w14:paraId="1A321420" w14:textId="77777777" w:rsidTr="00DD69E7">
        <w:trPr>
          <w:trHeight w:hRule="exact" w:val="284"/>
        </w:trPr>
        <w:tc>
          <w:tcPr>
            <w:tcW w:w="3033" w:type="pct"/>
            <w:vAlign w:val="bottom"/>
          </w:tcPr>
          <w:p w14:paraId="017FA28E" w14:textId="77777777" w:rsidR="00587444" w:rsidRPr="00587444" w:rsidRDefault="00587444" w:rsidP="00587444">
            <w:pPr>
              <w:suppressAutoHyphens w:val="0"/>
              <w:autoSpaceDN/>
              <w:rPr>
                <w:rFonts w:ascii="Arial" w:eastAsia="Calibri" w:hAnsi="Arial" w:cs="Arial"/>
                <w:sz w:val="20"/>
                <w:szCs w:val="20"/>
              </w:rPr>
            </w:pPr>
          </w:p>
        </w:tc>
        <w:tc>
          <w:tcPr>
            <w:tcW w:w="479" w:type="pct"/>
          </w:tcPr>
          <w:p w14:paraId="188BD045" w14:textId="77777777" w:rsidR="00587444" w:rsidRPr="00587444" w:rsidRDefault="00587444" w:rsidP="00587444">
            <w:pPr>
              <w:suppressAutoHyphens w:val="0"/>
              <w:autoSpaceDN/>
              <w:jc w:val="center"/>
              <w:rPr>
                <w:rFonts w:ascii="Arial" w:eastAsia="Calibri" w:hAnsi="Arial" w:cs="Arial"/>
                <w:b/>
                <w:sz w:val="20"/>
                <w:szCs w:val="20"/>
              </w:rPr>
            </w:pPr>
            <w:r w:rsidRPr="00587444">
              <w:rPr>
                <w:rFonts w:ascii="Arial" w:eastAsia="Calibri" w:hAnsi="Arial" w:cs="Arial"/>
                <w:b/>
                <w:sz w:val="20"/>
                <w:szCs w:val="20"/>
              </w:rPr>
              <w:t>Notes</w:t>
            </w:r>
          </w:p>
        </w:tc>
        <w:tc>
          <w:tcPr>
            <w:tcW w:w="744" w:type="pct"/>
            <w:vAlign w:val="bottom"/>
          </w:tcPr>
          <w:p w14:paraId="46C1A0C3" w14:textId="77777777" w:rsidR="00587444" w:rsidRPr="00587444" w:rsidRDefault="00587444" w:rsidP="00587444">
            <w:pPr>
              <w:suppressAutoHyphens w:val="0"/>
              <w:autoSpaceDN/>
              <w:jc w:val="right"/>
              <w:rPr>
                <w:rFonts w:ascii="Arial" w:eastAsia="Calibri" w:hAnsi="Arial" w:cs="Arial"/>
                <w:b/>
                <w:sz w:val="20"/>
                <w:szCs w:val="20"/>
              </w:rPr>
            </w:pPr>
            <w:r w:rsidRPr="00587444">
              <w:rPr>
                <w:rFonts w:ascii="Arial" w:eastAsia="Calibri" w:hAnsi="Arial" w:cs="Arial"/>
                <w:b/>
                <w:sz w:val="20"/>
                <w:szCs w:val="20"/>
              </w:rPr>
              <w:t>HRK ‘000</w:t>
            </w:r>
          </w:p>
        </w:tc>
        <w:tc>
          <w:tcPr>
            <w:tcW w:w="744" w:type="pct"/>
            <w:vAlign w:val="bottom"/>
          </w:tcPr>
          <w:p w14:paraId="0D4138F0" w14:textId="77777777" w:rsidR="00587444" w:rsidRPr="00587444" w:rsidRDefault="00587444" w:rsidP="00587444">
            <w:pPr>
              <w:suppressAutoHyphens w:val="0"/>
              <w:autoSpaceDN/>
              <w:jc w:val="right"/>
              <w:rPr>
                <w:rFonts w:ascii="Arial" w:eastAsia="Calibri" w:hAnsi="Arial" w:cs="Arial"/>
                <w:b/>
                <w:sz w:val="20"/>
                <w:szCs w:val="20"/>
              </w:rPr>
            </w:pPr>
            <w:r w:rsidRPr="00587444">
              <w:rPr>
                <w:rFonts w:ascii="Arial" w:eastAsia="Calibri" w:hAnsi="Arial" w:cs="Arial"/>
                <w:b/>
                <w:sz w:val="20"/>
                <w:szCs w:val="20"/>
              </w:rPr>
              <w:t xml:space="preserve">HRK ‘000 </w:t>
            </w:r>
          </w:p>
        </w:tc>
      </w:tr>
      <w:tr w:rsidR="00587444" w:rsidRPr="00587444" w14:paraId="363F0976" w14:textId="77777777" w:rsidTr="00DD69E7">
        <w:trPr>
          <w:trHeight w:hRule="exact" w:val="397"/>
        </w:trPr>
        <w:tc>
          <w:tcPr>
            <w:tcW w:w="3033" w:type="pct"/>
            <w:vAlign w:val="bottom"/>
          </w:tcPr>
          <w:p w14:paraId="0E3AC74D" w14:textId="77777777" w:rsidR="00587444" w:rsidRPr="00587444" w:rsidRDefault="00587444" w:rsidP="00587444">
            <w:pPr>
              <w:tabs>
                <w:tab w:val="right" w:pos="1202"/>
              </w:tabs>
              <w:suppressAutoHyphens w:val="0"/>
              <w:autoSpaceDN/>
              <w:outlineLvl w:val="0"/>
              <w:rPr>
                <w:rFonts w:ascii="Arial" w:eastAsia="Calibri" w:hAnsi="Arial" w:cs="Arial"/>
                <w:b/>
                <w:bCs/>
                <w:sz w:val="20"/>
                <w:szCs w:val="20"/>
              </w:rPr>
            </w:pPr>
            <w:bookmarkStart w:id="166" w:name="_Toc4056943"/>
            <w:r w:rsidRPr="00587444">
              <w:rPr>
                <w:rFonts w:ascii="Arial" w:eastAsia="Calibri" w:hAnsi="Arial" w:cs="Arial"/>
                <w:b/>
                <w:bCs/>
                <w:sz w:val="20"/>
                <w:szCs w:val="20"/>
              </w:rPr>
              <w:t>Assets</w:t>
            </w:r>
            <w:bookmarkEnd w:id="166"/>
            <w:r w:rsidRPr="00587444">
              <w:rPr>
                <w:rFonts w:ascii="Arial" w:eastAsia="Calibri" w:hAnsi="Arial" w:cs="Arial"/>
                <w:b/>
                <w:bCs/>
                <w:sz w:val="20"/>
                <w:szCs w:val="20"/>
              </w:rPr>
              <w:t xml:space="preserve"> </w:t>
            </w:r>
          </w:p>
        </w:tc>
        <w:tc>
          <w:tcPr>
            <w:tcW w:w="479" w:type="pct"/>
          </w:tcPr>
          <w:p w14:paraId="7FFC86DF"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p>
        </w:tc>
        <w:tc>
          <w:tcPr>
            <w:tcW w:w="744" w:type="pct"/>
            <w:vAlign w:val="bottom"/>
          </w:tcPr>
          <w:p w14:paraId="15CF182B"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p>
        </w:tc>
        <w:tc>
          <w:tcPr>
            <w:tcW w:w="744" w:type="pct"/>
            <w:vAlign w:val="bottom"/>
          </w:tcPr>
          <w:p w14:paraId="44DEE68A"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p>
        </w:tc>
      </w:tr>
      <w:tr w:rsidR="00587444" w:rsidRPr="00587444" w14:paraId="576E8326" w14:textId="77777777" w:rsidTr="00DD69E7">
        <w:trPr>
          <w:trHeight w:hRule="exact" w:val="318"/>
        </w:trPr>
        <w:tc>
          <w:tcPr>
            <w:tcW w:w="3033" w:type="pct"/>
            <w:vAlign w:val="bottom"/>
          </w:tcPr>
          <w:p w14:paraId="2B5AB8BA"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bookmarkStart w:id="167" w:name="_Toc4056944"/>
            <w:r w:rsidRPr="00587444">
              <w:rPr>
                <w:rFonts w:ascii="Arial" w:eastAsia="Calibri" w:hAnsi="Arial" w:cs="Arial"/>
                <w:sz w:val="20"/>
                <w:szCs w:val="20"/>
              </w:rPr>
              <w:t>Cash on hand and current accounts with banks</w:t>
            </w:r>
            <w:bookmarkEnd w:id="167"/>
          </w:p>
        </w:tc>
        <w:tc>
          <w:tcPr>
            <w:tcW w:w="479" w:type="pct"/>
            <w:vAlign w:val="bottom"/>
          </w:tcPr>
          <w:p w14:paraId="526D8EA3" w14:textId="77777777" w:rsidR="00587444" w:rsidRPr="00587444" w:rsidRDefault="00587444" w:rsidP="00587444">
            <w:pPr>
              <w:tabs>
                <w:tab w:val="right" w:pos="1202"/>
              </w:tabs>
              <w:suppressAutoHyphens w:val="0"/>
              <w:autoSpaceDN/>
              <w:jc w:val="center"/>
              <w:outlineLvl w:val="0"/>
              <w:rPr>
                <w:rFonts w:ascii="Arial" w:eastAsia="Calibri" w:hAnsi="Arial" w:cs="Arial"/>
                <w:snapToGrid w:val="0"/>
                <w:sz w:val="20"/>
                <w:szCs w:val="20"/>
              </w:rPr>
            </w:pPr>
            <w:r w:rsidRPr="00587444">
              <w:rPr>
                <w:rFonts w:ascii="Arial" w:hAnsi="Arial" w:cs="Arial"/>
                <w:snapToGrid w:val="0"/>
                <w:sz w:val="20"/>
                <w:szCs w:val="20"/>
              </w:rPr>
              <w:t>12</w:t>
            </w:r>
          </w:p>
        </w:tc>
        <w:tc>
          <w:tcPr>
            <w:tcW w:w="744" w:type="pct"/>
            <w:tcBorders>
              <w:top w:val="nil"/>
              <w:left w:val="nil"/>
              <w:bottom w:val="nil"/>
              <w:right w:val="nil"/>
            </w:tcBorders>
            <w:shd w:val="clear" w:color="auto" w:fill="auto"/>
            <w:vAlign w:val="bottom"/>
          </w:tcPr>
          <w:p w14:paraId="5005DF9A"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hr-HR"/>
              </w:rPr>
            </w:pPr>
            <w:r w:rsidRPr="00587444">
              <w:rPr>
                <w:rFonts w:ascii="Arial" w:hAnsi="Arial" w:cs="Arial"/>
                <w:color w:val="000000"/>
                <w:sz w:val="20"/>
                <w:szCs w:val="20"/>
                <w:lang w:val="hr-HR"/>
              </w:rPr>
              <w:t>1,721,919</w:t>
            </w:r>
          </w:p>
        </w:tc>
        <w:tc>
          <w:tcPr>
            <w:tcW w:w="744" w:type="pct"/>
            <w:tcBorders>
              <w:top w:val="nil"/>
              <w:left w:val="nil"/>
              <w:bottom w:val="nil"/>
              <w:right w:val="nil"/>
            </w:tcBorders>
            <w:shd w:val="clear" w:color="auto" w:fill="auto"/>
            <w:vAlign w:val="bottom"/>
          </w:tcPr>
          <w:p w14:paraId="0C5FEF5D"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20"/>
                <w:szCs w:val="20"/>
              </w:rPr>
            </w:pPr>
            <w:r w:rsidRPr="00587444">
              <w:rPr>
                <w:rFonts w:ascii="Arial" w:hAnsi="Arial" w:cs="Arial"/>
                <w:color w:val="000000"/>
                <w:sz w:val="20"/>
                <w:szCs w:val="20"/>
                <w:lang w:val="hr-HR"/>
              </w:rPr>
              <w:t>1,961,986</w:t>
            </w:r>
          </w:p>
        </w:tc>
      </w:tr>
      <w:tr w:rsidR="00587444" w:rsidRPr="00587444" w14:paraId="76B798F0" w14:textId="77777777" w:rsidTr="00DD69E7">
        <w:trPr>
          <w:trHeight w:hRule="exact" w:val="318"/>
        </w:trPr>
        <w:tc>
          <w:tcPr>
            <w:tcW w:w="3033" w:type="pct"/>
            <w:vAlign w:val="bottom"/>
          </w:tcPr>
          <w:p w14:paraId="45AA23C5"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bookmarkStart w:id="168" w:name="_Toc4056948"/>
            <w:r w:rsidRPr="00587444">
              <w:rPr>
                <w:rFonts w:ascii="Arial" w:eastAsia="Calibri" w:hAnsi="Arial" w:cs="Arial"/>
                <w:sz w:val="20"/>
                <w:szCs w:val="20"/>
              </w:rPr>
              <w:t>Deposits with other banks</w:t>
            </w:r>
            <w:bookmarkEnd w:id="168"/>
          </w:p>
        </w:tc>
        <w:tc>
          <w:tcPr>
            <w:tcW w:w="479" w:type="pct"/>
            <w:vAlign w:val="bottom"/>
          </w:tcPr>
          <w:p w14:paraId="2B2B03AD" w14:textId="77777777" w:rsidR="00587444" w:rsidRPr="00587444" w:rsidRDefault="00587444" w:rsidP="00587444">
            <w:pPr>
              <w:tabs>
                <w:tab w:val="right" w:pos="1202"/>
              </w:tabs>
              <w:suppressAutoHyphens w:val="0"/>
              <w:autoSpaceDN/>
              <w:jc w:val="center"/>
              <w:outlineLvl w:val="0"/>
              <w:rPr>
                <w:rFonts w:ascii="Arial" w:eastAsia="Calibri" w:hAnsi="Arial" w:cs="Arial"/>
                <w:snapToGrid w:val="0"/>
                <w:sz w:val="20"/>
                <w:szCs w:val="20"/>
              </w:rPr>
            </w:pPr>
            <w:r w:rsidRPr="00587444">
              <w:rPr>
                <w:rFonts w:ascii="Arial" w:hAnsi="Arial" w:cs="Arial"/>
                <w:snapToGrid w:val="0"/>
                <w:sz w:val="20"/>
                <w:szCs w:val="20"/>
              </w:rPr>
              <w:t>13</w:t>
            </w:r>
          </w:p>
        </w:tc>
        <w:tc>
          <w:tcPr>
            <w:tcW w:w="744" w:type="pct"/>
            <w:tcBorders>
              <w:top w:val="nil"/>
              <w:left w:val="nil"/>
              <w:bottom w:val="nil"/>
              <w:right w:val="nil"/>
            </w:tcBorders>
            <w:shd w:val="clear" w:color="auto" w:fill="auto"/>
            <w:vAlign w:val="bottom"/>
          </w:tcPr>
          <w:p w14:paraId="2C38C5C9"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hr-HR"/>
              </w:rPr>
            </w:pPr>
            <w:r w:rsidRPr="00587444">
              <w:rPr>
                <w:rFonts w:ascii="Arial" w:hAnsi="Arial" w:cs="Arial"/>
                <w:color w:val="000000"/>
                <w:sz w:val="20"/>
                <w:szCs w:val="20"/>
                <w:lang w:val="hr-HR"/>
              </w:rPr>
              <w:t>33,180</w:t>
            </w:r>
          </w:p>
        </w:tc>
        <w:tc>
          <w:tcPr>
            <w:tcW w:w="744" w:type="pct"/>
            <w:tcBorders>
              <w:top w:val="nil"/>
              <w:left w:val="nil"/>
              <w:bottom w:val="nil"/>
              <w:right w:val="nil"/>
            </w:tcBorders>
            <w:shd w:val="clear" w:color="auto" w:fill="auto"/>
            <w:vAlign w:val="bottom"/>
          </w:tcPr>
          <w:p w14:paraId="190883DE"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20"/>
                <w:szCs w:val="20"/>
              </w:rPr>
            </w:pPr>
            <w:r w:rsidRPr="00587444">
              <w:rPr>
                <w:rFonts w:ascii="Arial" w:hAnsi="Arial" w:cs="Arial"/>
                <w:color w:val="000000"/>
                <w:sz w:val="20"/>
                <w:szCs w:val="20"/>
                <w:lang w:val="hr-HR"/>
              </w:rPr>
              <w:t>7,500</w:t>
            </w:r>
          </w:p>
        </w:tc>
      </w:tr>
      <w:tr w:rsidR="00587444" w:rsidRPr="00587444" w14:paraId="780DEC77" w14:textId="77777777" w:rsidTr="00DD69E7">
        <w:trPr>
          <w:trHeight w:hRule="exact" w:val="318"/>
        </w:trPr>
        <w:tc>
          <w:tcPr>
            <w:tcW w:w="3033" w:type="pct"/>
            <w:vAlign w:val="bottom"/>
          </w:tcPr>
          <w:p w14:paraId="7C731F5A"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bookmarkStart w:id="169" w:name="_Toc4056952"/>
            <w:r w:rsidRPr="00587444">
              <w:rPr>
                <w:rFonts w:ascii="Arial" w:eastAsia="Calibri" w:hAnsi="Arial" w:cs="Arial"/>
                <w:sz w:val="20"/>
                <w:szCs w:val="20"/>
              </w:rPr>
              <w:t>Loans to financial institutions</w:t>
            </w:r>
            <w:bookmarkEnd w:id="169"/>
          </w:p>
        </w:tc>
        <w:tc>
          <w:tcPr>
            <w:tcW w:w="479" w:type="pct"/>
            <w:vAlign w:val="bottom"/>
          </w:tcPr>
          <w:p w14:paraId="6786BCC0" w14:textId="77777777" w:rsidR="00587444" w:rsidRPr="00587444" w:rsidRDefault="00587444" w:rsidP="00587444">
            <w:pPr>
              <w:tabs>
                <w:tab w:val="right" w:pos="1202"/>
              </w:tabs>
              <w:suppressAutoHyphens w:val="0"/>
              <w:autoSpaceDN/>
              <w:jc w:val="center"/>
              <w:outlineLvl w:val="0"/>
              <w:rPr>
                <w:rFonts w:ascii="Arial" w:eastAsia="Calibri" w:hAnsi="Arial" w:cs="Arial"/>
                <w:snapToGrid w:val="0"/>
                <w:sz w:val="20"/>
                <w:szCs w:val="20"/>
              </w:rPr>
            </w:pPr>
            <w:bookmarkStart w:id="170" w:name="_Toc4056953"/>
            <w:r w:rsidRPr="00587444">
              <w:rPr>
                <w:rFonts w:ascii="Arial" w:hAnsi="Arial" w:cs="Arial"/>
                <w:snapToGrid w:val="0"/>
                <w:sz w:val="20"/>
                <w:szCs w:val="20"/>
              </w:rPr>
              <w:t>14</w:t>
            </w:r>
            <w:bookmarkEnd w:id="170"/>
          </w:p>
        </w:tc>
        <w:tc>
          <w:tcPr>
            <w:tcW w:w="744" w:type="pct"/>
            <w:tcBorders>
              <w:top w:val="nil"/>
              <w:left w:val="nil"/>
              <w:bottom w:val="nil"/>
              <w:right w:val="nil"/>
            </w:tcBorders>
            <w:shd w:val="clear" w:color="auto" w:fill="auto"/>
            <w:vAlign w:val="bottom"/>
          </w:tcPr>
          <w:p w14:paraId="3703F1BC"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hr-HR"/>
              </w:rPr>
            </w:pPr>
            <w:r w:rsidRPr="00587444">
              <w:rPr>
                <w:rFonts w:ascii="Arial" w:hAnsi="Arial" w:cs="Arial"/>
                <w:color w:val="000000"/>
                <w:sz w:val="20"/>
                <w:szCs w:val="20"/>
                <w:lang w:val="hr-HR"/>
              </w:rPr>
              <w:t>6,984,712</w:t>
            </w:r>
          </w:p>
        </w:tc>
        <w:tc>
          <w:tcPr>
            <w:tcW w:w="744" w:type="pct"/>
            <w:tcBorders>
              <w:top w:val="nil"/>
              <w:left w:val="nil"/>
              <w:bottom w:val="nil"/>
              <w:right w:val="nil"/>
            </w:tcBorders>
            <w:shd w:val="clear" w:color="auto" w:fill="auto"/>
            <w:vAlign w:val="bottom"/>
          </w:tcPr>
          <w:p w14:paraId="2D5D86ED"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20"/>
                <w:szCs w:val="20"/>
              </w:rPr>
            </w:pPr>
            <w:r w:rsidRPr="00587444">
              <w:rPr>
                <w:rFonts w:ascii="Arial" w:hAnsi="Arial" w:cs="Arial"/>
                <w:color w:val="000000"/>
                <w:sz w:val="20"/>
                <w:szCs w:val="20"/>
                <w:lang w:val="hr-HR"/>
              </w:rPr>
              <w:t>7,050,143</w:t>
            </w:r>
          </w:p>
        </w:tc>
      </w:tr>
      <w:tr w:rsidR="00587444" w:rsidRPr="00587444" w14:paraId="1F141DE5" w14:textId="77777777" w:rsidTr="00DD69E7">
        <w:trPr>
          <w:trHeight w:hRule="exact" w:val="318"/>
        </w:trPr>
        <w:tc>
          <w:tcPr>
            <w:tcW w:w="3033" w:type="pct"/>
            <w:vAlign w:val="bottom"/>
          </w:tcPr>
          <w:p w14:paraId="49357E2D"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bookmarkStart w:id="171" w:name="_Toc4056956"/>
            <w:r w:rsidRPr="00587444">
              <w:rPr>
                <w:rFonts w:ascii="Arial" w:eastAsia="Calibri" w:hAnsi="Arial" w:cs="Arial"/>
                <w:sz w:val="20"/>
                <w:szCs w:val="20"/>
              </w:rPr>
              <w:t>Loans to other customers</w:t>
            </w:r>
            <w:bookmarkEnd w:id="171"/>
          </w:p>
        </w:tc>
        <w:tc>
          <w:tcPr>
            <w:tcW w:w="479" w:type="pct"/>
            <w:vAlign w:val="bottom"/>
          </w:tcPr>
          <w:p w14:paraId="24366262" w14:textId="77777777" w:rsidR="00587444" w:rsidRPr="00587444" w:rsidRDefault="00587444" w:rsidP="00587444">
            <w:pPr>
              <w:tabs>
                <w:tab w:val="right" w:pos="1202"/>
              </w:tabs>
              <w:suppressAutoHyphens w:val="0"/>
              <w:autoSpaceDN/>
              <w:jc w:val="center"/>
              <w:outlineLvl w:val="0"/>
              <w:rPr>
                <w:rFonts w:ascii="Arial" w:eastAsia="Calibri" w:hAnsi="Arial" w:cs="Arial"/>
                <w:spacing w:val="-2"/>
                <w:sz w:val="20"/>
                <w:szCs w:val="20"/>
              </w:rPr>
            </w:pPr>
            <w:r w:rsidRPr="00587444">
              <w:rPr>
                <w:rFonts w:ascii="Arial" w:hAnsi="Arial" w:cs="Arial"/>
                <w:spacing w:val="-2"/>
                <w:sz w:val="20"/>
                <w:szCs w:val="20"/>
              </w:rPr>
              <w:t>15</w:t>
            </w:r>
          </w:p>
        </w:tc>
        <w:tc>
          <w:tcPr>
            <w:tcW w:w="744" w:type="pct"/>
            <w:tcBorders>
              <w:top w:val="nil"/>
              <w:left w:val="nil"/>
              <w:bottom w:val="nil"/>
              <w:right w:val="nil"/>
            </w:tcBorders>
            <w:shd w:val="clear" w:color="auto" w:fill="auto"/>
            <w:vAlign w:val="bottom"/>
          </w:tcPr>
          <w:p w14:paraId="556921DE"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hr-HR"/>
              </w:rPr>
            </w:pPr>
            <w:r w:rsidRPr="00587444">
              <w:rPr>
                <w:rFonts w:ascii="Arial" w:hAnsi="Arial" w:cs="Arial"/>
                <w:color w:val="000000"/>
                <w:sz w:val="20"/>
                <w:szCs w:val="20"/>
                <w:lang w:val="hr-HR"/>
              </w:rPr>
              <w:t>17,402,666</w:t>
            </w:r>
          </w:p>
        </w:tc>
        <w:tc>
          <w:tcPr>
            <w:tcW w:w="744" w:type="pct"/>
            <w:tcBorders>
              <w:top w:val="nil"/>
              <w:left w:val="nil"/>
              <w:bottom w:val="nil"/>
              <w:right w:val="nil"/>
            </w:tcBorders>
            <w:shd w:val="clear" w:color="auto" w:fill="auto"/>
            <w:vAlign w:val="bottom"/>
          </w:tcPr>
          <w:p w14:paraId="3D451A70"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20"/>
                <w:szCs w:val="20"/>
              </w:rPr>
            </w:pPr>
            <w:r w:rsidRPr="00587444">
              <w:rPr>
                <w:rFonts w:ascii="Arial" w:hAnsi="Arial" w:cs="Arial"/>
                <w:color w:val="000000"/>
                <w:sz w:val="20"/>
                <w:szCs w:val="20"/>
                <w:lang w:val="hr-HR"/>
              </w:rPr>
              <w:t>15,964,376</w:t>
            </w:r>
          </w:p>
        </w:tc>
      </w:tr>
      <w:tr w:rsidR="00587444" w:rsidRPr="00587444" w14:paraId="76B6C54A" w14:textId="77777777" w:rsidTr="00DD69E7">
        <w:trPr>
          <w:trHeight w:hRule="exact" w:val="318"/>
        </w:trPr>
        <w:tc>
          <w:tcPr>
            <w:tcW w:w="3033" w:type="pct"/>
            <w:vAlign w:val="bottom"/>
          </w:tcPr>
          <w:p w14:paraId="61CBA08C"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bookmarkStart w:id="172" w:name="_Toc4056960"/>
            <w:r w:rsidRPr="00587444">
              <w:rPr>
                <w:rFonts w:ascii="Arial" w:eastAsia="Calibri" w:hAnsi="Arial" w:cs="Arial"/>
                <w:sz w:val="20"/>
                <w:szCs w:val="20"/>
              </w:rPr>
              <w:t>Financial assets at fair value through profit or loss</w:t>
            </w:r>
            <w:bookmarkEnd w:id="172"/>
          </w:p>
        </w:tc>
        <w:tc>
          <w:tcPr>
            <w:tcW w:w="479" w:type="pct"/>
            <w:vAlign w:val="bottom"/>
          </w:tcPr>
          <w:p w14:paraId="5BDB0A34" w14:textId="77777777" w:rsidR="00587444" w:rsidRPr="00587444" w:rsidRDefault="00587444" w:rsidP="00587444">
            <w:pPr>
              <w:tabs>
                <w:tab w:val="right" w:pos="1202"/>
              </w:tabs>
              <w:suppressAutoHyphens w:val="0"/>
              <w:autoSpaceDN/>
              <w:jc w:val="center"/>
              <w:outlineLvl w:val="0"/>
              <w:rPr>
                <w:rFonts w:ascii="Arial" w:eastAsia="Calibri" w:hAnsi="Arial" w:cs="Arial"/>
                <w:spacing w:val="-2"/>
                <w:sz w:val="20"/>
                <w:szCs w:val="20"/>
              </w:rPr>
            </w:pPr>
            <w:r w:rsidRPr="00587444">
              <w:rPr>
                <w:rFonts w:ascii="Arial" w:hAnsi="Arial" w:cs="Arial"/>
                <w:snapToGrid w:val="0"/>
                <w:sz w:val="20"/>
                <w:szCs w:val="20"/>
              </w:rPr>
              <w:t>16</w:t>
            </w:r>
          </w:p>
        </w:tc>
        <w:tc>
          <w:tcPr>
            <w:tcW w:w="744" w:type="pct"/>
            <w:tcBorders>
              <w:top w:val="nil"/>
              <w:left w:val="nil"/>
              <w:bottom w:val="nil"/>
              <w:right w:val="nil"/>
            </w:tcBorders>
            <w:shd w:val="clear" w:color="auto" w:fill="auto"/>
            <w:vAlign w:val="bottom"/>
          </w:tcPr>
          <w:p w14:paraId="7D234394"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hr-HR"/>
              </w:rPr>
            </w:pPr>
            <w:r w:rsidRPr="00587444">
              <w:rPr>
                <w:rFonts w:ascii="Arial" w:hAnsi="Arial" w:cs="Arial"/>
                <w:color w:val="000000"/>
                <w:sz w:val="20"/>
                <w:szCs w:val="20"/>
                <w:lang w:val="hr-HR"/>
              </w:rPr>
              <w:t>131,523</w:t>
            </w:r>
          </w:p>
        </w:tc>
        <w:tc>
          <w:tcPr>
            <w:tcW w:w="744" w:type="pct"/>
            <w:tcBorders>
              <w:top w:val="nil"/>
              <w:left w:val="nil"/>
              <w:bottom w:val="nil"/>
              <w:right w:val="nil"/>
            </w:tcBorders>
            <w:shd w:val="clear" w:color="auto" w:fill="auto"/>
            <w:vAlign w:val="bottom"/>
          </w:tcPr>
          <w:p w14:paraId="4CE48B09"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z w:val="20"/>
                <w:szCs w:val="20"/>
              </w:rPr>
            </w:pPr>
            <w:r w:rsidRPr="00587444">
              <w:rPr>
                <w:rFonts w:ascii="Arial" w:hAnsi="Arial" w:cs="Arial"/>
                <w:color w:val="000000"/>
                <w:sz w:val="20"/>
                <w:szCs w:val="20"/>
                <w:lang w:val="hr-HR"/>
              </w:rPr>
              <w:t>218,984</w:t>
            </w:r>
          </w:p>
        </w:tc>
      </w:tr>
      <w:tr w:rsidR="00587444" w:rsidRPr="00587444" w14:paraId="072EF162" w14:textId="77777777" w:rsidTr="00DD69E7">
        <w:trPr>
          <w:trHeight w:hRule="exact" w:val="653"/>
        </w:trPr>
        <w:tc>
          <w:tcPr>
            <w:tcW w:w="3033" w:type="pct"/>
            <w:vAlign w:val="bottom"/>
          </w:tcPr>
          <w:p w14:paraId="5CBB8CBC"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bookmarkStart w:id="173" w:name="_Toc4056964"/>
            <w:r w:rsidRPr="00587444">
              <w:rPr>
                <w:rFonts w:ascii="Arial" w:eastAsia="Calibri" w:hAnsi="Arial" w:cs="Arial"/>
                <w:sz w:val="20"/>
                <w:szCs w:val="20"/>
              </w:rPr>
              <w:t>Financial assets at fair value through other comprehensive income</w:t>
            </w:r>
            <w:bookmarkEnd w:id="173"/>
          </w:p>
        </w:tc>
        <w:tc>
          <w:tcPr>
            <w:tcW w:w="479" w:type="pct"/>
            <w:vAlign w:val="bottom"/>
          </w:tcPr>
          <w:p w14:paraId="2212F505" w14:textId="77777777" w:rsidR="00587444" w:rsidRPr="00587444" w:rsidRDefault="00587444" w:rsidP="00587444">
            <w:pPr>
              <w:tabs>
                <w:tab w:val="right" w:pos="1202"/>
              </w:tabs>
              <w:suppressAutoHyphens w:val="0"/>
              <w:autoSpaceDN/>
              <w:jc w:val="center"/>
              <w:outlineLvl w:val="0"/>
              <w:rPr>
                <w:rFonts w:ascii="Arial" w:eastAsia="Calibri" w:hAnsi="Arial" w:cs="Arial"/>
                <w:spacing w:val="-2"/>
                <w:sz w:val="20"/>
                <w:szCs w:val="20"/>
              </w:rPr>
            </w:pPr>
            <w:r w:rsidRPr="00587444">
              <w:rPr>
                <w:rFonts w:ascii="Arial" w:hAnsi="Arial" w:cs="Arial"/>
                <w:snapToGrid w:val="0"/>
                <w:sz w:val="20"/>
                <w:szCs w:val="20"/>
              </w:rPr>
              <w:t>17</w:t>
            </w:r>
          </w:p>
        </w:tc>
        <w:tc>
          <w:tcPr>
            <w:tcW w:w="744" w:type="pct"/>
            <w:tcBorders>
              <w:top w:val="nil"/>
              <w:left w:val="nil"/>
              <w:bottom w:val="nil"/>
              <w:right w:val="nil"/>
            </w:tcBorders>
            <w:shd w:val="clear" w:color="auto" w:fill="auto"/>
            <w:vAlign w:val="bottom"/>
          </w:tcPr>
          <w:p w14:paraId="4C4E89CC"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hr-HR"/>
              </w:rPr>
            </w:pPr>
            <w:r w:rsidRPr="00587444">
              <w:rPr>
                <w:rFonts w:ascii="Arial" w:hAnsi="Arial" w:cs="Arial"/>
                <w:color w:val="000000"/>
                <w:sz w:val="20"/>
                <w:szCs w:val="20"/>
                <w:lang w:val="hr-HR"/>
              </w:rPr>
              <w:t>2,686,622</w:t>
            </w:r>
          </w:p>
        </w:tc>
        <w:tc>
          <w:tcPr>
            <w:tcW w:w="744" w:type="pct"/>
            <w:tcBorders>
              <w:top w:val="nil"/>
              <w:left w:val="nil"/>
              <w:bottom w:val="nil"/>
              <w:right w:val="nil"/>
            </w:tcBorders>
            <w:shd w:val="clear" w:color="auto" w:fill="auto"/>
            <w:vAlign w:val="bottom"/>
          </w:tcPr>
          <w:p w14:paraId="7C092DCC"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z w:val="20"/>
                <w:szCs w:val="20"/>
              </w:rPr>
            </w:pPr>
            <w:r w:rsidRPr="00587444">
              <w:rPr>
                <w:rFonts w:ascii="Arial" w:hAnsi="Arial" w:cs="Arial"/>
                <w:color w:val="000000"/>
                <w:sz w:val="20"/>
                <w:szCs w:val="20"/>
                <w:lang w:val="hr-HR"/>
              </w:rPr>
              <w:t>2,972,530</w:t>
            </w:r>
          </w:p>
        </w:tc>
      </w:tr>
      <w:tr w:rsidR="00587444" w:rsidRPr="00587444" w14:paraId="2155B97E" w14:textId="77777777" w:rsidTr="00DD69E7">
        <w:trPr>
          <w:trHeight w:hRule="exact" w:val="318"/>
        </w:trPr>
        <w:tc>
          <w:tcPr>
            <w:tcW w:w="3033" w:type="pct"/>
            <w:vAlign w:val="bottom"/>
          </w:tcPr>
          <w:p w14:paraId="2EEF0343"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bookmarkStart w:id="174" w:name="_Toc4056984"/>
            <w:r w:rsidRPr="00587444">
              <w:rPr>
                <w:rFonts w:ascii="Arial" w:eastAsia="Calibri" w:hAnsi="Arial" w:cs="Arial"/>
                <w:sz w:val="20"/>
                <w:szCs w:val="20"/>
              </w:rPr>
              <w:t>Property, plant and equipment and intangible assets</w:t>
            </w:r>
            <w:bookmarkEnd w:id="174"/>
          </w:p>
        </w:tc>
        <w:tc>
          <w:tcPr>
            <w:tcW w:w="479" w:type="pct"/>
            <w:vAlign w:val="bottom"/>
          </w:tcPr>
          <w:p w14:paraId="225CDFD5" w14:textId="77777777" w:rsidR="00587444" w:rsidRPr="00587444" w:rsidRDefault="00587444" w:rsidP="00587444">
            <w:pPr>
              <w:tabs>
                <w:tab w:val="right" w:pos="1202"/>
              </w:tabs>
              <w:suppressAutoHyphens w:val="0"/>
              <w:autoSpaceDN/>
              <w:jc w:val="center"/>
              <w:outlineLvl w:val="0"/>
              <w:rPr>
                <w:rFonts w:ascii="Arial" w:eastAsia="Calibri" w:hAnsi="Arial" w:cs="Arial"/>
                <w:snapToGrid w:val="0"/>
                <w:sz w:val="20"/>
                <w:szCs w:val="20"/>
              </w:rPr>
            </w:pPr>
            <w:r w:rsidRPr="00587444">
              <w:rPr>
                <w:rFonts w:ascii="Arial" w:hAnsi="Arial" w:cs="Arial"/>
                <w:snapToGrid w:val="0"/>
                <w:color w:val="000000"/>
                <w:sz w:val="20"/>
                <w:szCs w:val="20"/>
                <w:lang w:val="hr-HR"/>
              </w:rPr>
              <w:t>19</w:t>
            </w:r>
          </w:p>
        </w:tc>
        <w:tc>
          <w:tcPr>
            <w:tcW w:w="744" w:type="pct"/>
            <w:tcBorders>
              <w:top w:val="nil"/>
              <w:left w:val="nil"/>
              <w:bottom w:val="nil"/>
              <w:right w:val="nil"/>
            </w:tcBorders>
            <w:shd w:val="clear" w:color="auto" w:fill="auto"/>
            <w:vAlign w:val="bottom"/>
          </w:tcPr>
          <w:p w14:paraId="6003B496"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hr-HR"/>
              </w:rPr>
            </w:pPr>
            <w:r w:rsidRPr="00587444">
              <w:rPr>
                <w:rFonts w:ascii="Arial" w:hAnsi="Arial" w:cs="Arial"/>
                <w:color w:val="000000"/>
                <w:sz w:val="20"/>
                <w:szCs w:val="20"/>
                <w:lang w:val="hr-HR"/>
              </w:rPr>
              <w:t>38,831</w:t>
            </w:r>
          </w:p>
        </w:tc>
        <w:tc>
          <w:tcPr>
            <w:tcW w:w="744" w:type="pct"/>
            <w:tcBorders>
              <w:top w:val="nil"/>
              <w:left w:val="nil"/>
              <w:bottom w:val="nil"/>
              <w:right w:val="nil"/>
            </w:tcBorders>
            <w:shd w:val="clear" w:color="auto" w:fill="auto"/>
            <w:vAlign w:val="bottom"/>
          </w:tcPr>
          <w:p w14:paraId="0933BFE7"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20"/>
                <w:szCs w:val="20"/>
              </w:rPr>
            </w:pPr>
            <w:r w:rsidRPr="00587444">
              <w:rPr>
                <w:rFonts w:ascii="Arial" w:hAnsi="Arial" w:cs="Arial"/>
                <w:color w:val="000000"/>
                <w:sz w:val="20"/>
                <w:szCs w:val="20"/>
                <w:lang w:val="hr-HR"/>
              </w:rPr>
              <w:t>43,937</w:t>
            </w:r>
          </w:p>
        </w:tc>
      </w:tr>
      <w:tr w:rsidR="00587444" w:rsidRPr="00587444" w14:paraId="1544520A" w14:textId="77777777" w:rsidTr="00DD69E7">
        <w:trPr>
          <w:trHeight w:hRule="exact" w:val="318"/>
        </w:trPr>
        <w:tc>
          <w:tcPr>
            <w:tcW w:w="3033" w:type="pct"/>
            <w:vAlign w:val="bottom"/>
          </w:tcPr>
          <w:p w14:paraId="70B9CF91"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r w:rsidRPr="00587444">
              <w:rPr>
                <w:rFonts w:ascii="Arial" w:eastAsia="Calibri" w:hAnsi="Arial" w:cs="Arial"/>
                <w:sz w:val="20"/>
                <w:szCs w:val="20"/>
              </w:rPr>
              <w:t xml:space="preserve">Foreclosed assets </w:t>
            </w:r>
          </w:p>
        </w:tc>
        <w:tc>
          <w:tcPr>
            <w:tcW w:w="479" w:type="pct"/>
            <w:vAlign w:val="bottom"/>
          </w:tcPr>
          <w:p w14:paraId="235CE1BE" w14:textId="77777777" w:rsidR="00587444" w:rsidRPr="00587444" w:rsidRDefault="00587444" w:rsidP="00587444">
            <w:pPr>
              <w:tabs>
                <w:tab w:val="right" w:pos="1202"/>
              </w:tabs>
              <w:suppressAutoHyphens w:val="0"/>
              <w:autoSpaceDN/>
              <w:jc w:val="center"/>
              <w:outlineLvl w:val="0"/>
              <w:rPr>
                <w:rFonts w:ascii="Arial" w:eastAsia="Calibri" w:hAnsi="Arial" w:cs="Arial"/>
                <w:snapToGrid w:val="0"/>
                <w:sz w:val="20"/>
                <w:szCs w:val="20"/>
              </w:rPr>
            </w:pPr>
            <w:bookmarkStart w:id="175" w:name="_Toc67326708"/>
            <w:r w:rsidRPr="00587444">
              <w:rPr>
                <w:rFonts w:ascii="Arial" w:hAnsi="Arial" w:cs="Arial"/>
                <w:snapToGrid w:val="0"/>
                <w:color w:val="000000"/>
                <w:sz w:val="20"/>
                <w:szCs w:val="20"/>
                <w:lang w:val="hr-HR"/>
              </w:rPr>
              <w:t>2</w:t>
            </w:r>
            <w:bookmarkEnd w:id="175"/>
            <w:r w:rsidRPr="00587444">
              <w:rPr>
                <w:rFonts w:ascii="Arial" w:hAnsi="Arial" w:cs="Arial"/>
                <w:snapToGrid w:val="0"/>
                <w:color w:val="000000"/>
                <w:sz w:val="20"/>
                <w:szCs w:val="20"/>
                <w:lang w:val="hr-HR"/>
              </w:rPr>
              <w:t>0</w:t>
            </w:r>
          </w:p>
        </w:tc>
        <w:tc>
          <w:tcPr>
            <w:tcW w:w="744" w:type="pct"/>
            <w:tcBorders>
              <w:top w:val="nil"/>
              <w:left w:val="nil"/>
              <w:bottom w:val="nil"/>
              <w:right w:val="nil"/>
            </w:tcBorders>
            <w:shd w:val="clear" w:color="auto" w:fill="auto"/>
            <w:vAlign w:val="bottom"/>
          </w:tcPr>
          <w:p w14:paraId="3D4CF770"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hr-HR"/>
              </w:rPr>
            </w:pPr>
            <w:r w:rsidRPr="00587444">
              <w:rPr>
                <w:rFonts w:ascii="Arial" w:hAnsi="Arial" w:cs="Arial"/>
                <w:color w:val="000000"/>
                <w:sz w:val="20"/>
                <w:szCs w:val="20"/>
                <w:lang w:val="hr-HR"/>
              </w:rPr>
              <w:t>24,776</w:t>
            </w:r>
          </w:p>
        </w:tc>
        <w:tc>
          <w:tcPr>
            <w:tcW w:w="744" w:type="pct"/>
            <w:tcBorders>
              <w:top w:val="nil"/>
              <w:left w:val="nil"/>
              <w:bottom w:val="nil"/>
              <w:right w:val="nil"/>
            </w:tcBorders>
            <w:shd w:val="clear" w:color="auto" w:fill="auto"/>
            <w:vAlign w:val="bottom"/>
          </w:tcPr>
          <w:p w14:paraId="4CBD4D1E"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20"/>
                <w:szCs w:val="20"/>
              </w:rPr>
            </w:pPr>
            <w:r w:rsidRPr="00587444">
              <w:rPr>
                <w:rFonts w:ascii="Arial" w:hAnsi="Arial" w:cs="Arial"/>
                <w:color w:val="000000"/>
                <w:sz w:val="20"/>
                <w:szCs w:val="20"/>
                <w:lang w:val="hr-HR"/>
              </w:rPr>
              <w:t>21,369</w:t>
            </w:r>
          </w:p>
        </w:tc>
      </w:tr>
      <w:tr w:rsidR="00587444" w:rsidRPr="00587444" w14:paraId="54F7E27E" w14:textId="77777777" w:rsidTr="00DD69E7">
        <w:trPr>
          <w:trHeight w:hRule="exact" w:val="318"/>
        </w:trPr>
        <w:tc>
          <w:tcPr>
            <w:tcW w:w="3033" w:type="pct"/>
            <w:vAlign w:val="bottom"/>
          </w:tcPr>
          <w:p w14:paraId="790C10D0"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bookmarkStart w:id="176" w:name="_Toc4056992"/>
            <w:r w:rsidRPr="00587444">
              <w:rPr>
                <w:rFonts w:ascii="Arial" w:eastAsia="Calibri" w:hAnsi="Arial" w:cs="Arial"/>
                <w:sz w:val="20"/>
                <w:szCs w:val="20"/>
              </w:rPr>
              <w:t>Other assets</w:t>
            </w:r>
            <w:bookmarkEnd w:id="176"/>
          </w:p>
        </w:tc>
        <w:tc>
          <w:tcPr>
            <w:tcW w:w="479" w:type="pct"/>
            <w:vAlign w:val="bottom"/>
          </w:tcPr>
          <w:p w14:paraId="5EEDEAD4" w14:textId="77777777" w:rsidR="00587444" w:rsidRPr="00587444" w:rsidRDefault="00587444" w:rsidP="00587444">
            <w:pPr>
              <w:tabs>
                <w:tab w:val="right" w:pos="1202"/>
              </w:tabs>
              <w:suppressAutoHyphens w:val="0"/>
              <w:autoSpaceDN/>
              <w:jc w:val="center"/>
              <w:outlineLvl w:val="0"/>
              <w:rPr>
                <w:rFonts w:ascii="Arial" w:eastAsia="Calibri" w:hAnsi="Arial" w:cs="Arial"/>
                <w:snapToGrid w:val="0"/>
                <w:sz w:val="20"/>
                <w:szCs w:val="20"/>
              </w:rPr>
            </w:pPr>
            <w:bookmarkStart w:id="177" w:name="_Toc67326712"/>
            <w:r w:rsidRPr="00587444">
              <w:rPr>
                <w:rFonts w:ascii="Arial" w:hAnsi="Arial" w:cs="Arial"/>
                <w:snapToGrid w:val="0"/>
                <w:color w:val="000000"/>
                <w:sz w:val="20"/>
                <w:szCs w:val="20"/>
                <w:lang w:val="hr-HR"/>
              </w:rPr>
              <w:t>2</w:t>
            </w:r>
            <w:bookmarkEnd w:id="177"/>
            <w:r w:rsidRPr="00587444">
              <w:rPr>
                <w:rFonts w:ascii="Arial" w:hAnsi="Arial" w:cs="Arial"/>
                <w:snapToGrid w:val="0"/>
                <w:color w:val="000000"/>
                <w:sz w:val="20"/>
                <w:szCs w:val="20"/>
                <w:lang w:val="hr-HR"/>
              </w:rPr>
              <w:t>1</w:t>
            </w:r>
          </w:p>
        </w:tc>
        <w:tc>
          <w:tcPr>
            <w:tcW w:w="744" w:type="pct"/>
            <w:tcBorders>
              <w:top w:val="nil"/>
              <w:left w:val="nil"/>
              <w:bottom w:val="nil"/>
              <w:right w:val="nil"/>
            </w:tcBorders>
            <w:shd w:val="clear" w:color="auto" w:fill="auto"/>
            <w:vAlign w:val="bottom"/>
          </w:tcPr>
          <w:p w14:paraId="6856BD2D"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hr-HR"/>
              </w:rPr>
            </w:pPr>
            <w:r w:rsidRPr="00587444">
              <w:rPr>
                <w:rFonts w:ascii="Arial" w:hAnsi="Arial" w:cs="Arial"/>
                <w:color w:val="000000"/>
                <w:sz w:val="20"/>
                <w:szCs w:val="20"/>
                <w:lang w:val="hr-HR"/>
              </w:rPr>
              <w:t>35,934</w:t>
            </w:r>
          </w:p>
        </w:tc>
        <w:tc>
          <w:tcPr>
            <w:tcW w:w="744" w:type="pct"/>
            <w:tcBorders>
              <w:top w:val="nil"/>
              <w:left w:val="nil"/>
              <w:bottom w:val="nil"/>
              <w:right w:val="nil"/>
            </w:tcBorders>
            <w:shd w:val="clear" w:color="auto" w:fill="auto"/>
            <w:vAlign w:val="bottom"/>
          </w:tcPr>
          <w:p w14:paraId="62A45258"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20"/>
                <w:szCs w:val="20"/>
              </w:rPr>
            </w:pPr>
            <w:r w:rsidRPr="00587444">
              <w:rPr>
                <w:rFonts w:ascii="Arial" w:hAnsi="Arial" w:cs="Arial"/>
                <w:color w:val="000000"/>
                <w:sz w:val="20"/>
                <w:szCs w:val="20"/>
                <w:lang w:val="hr-HR"/>
              </w:rPr>
              <w:t>37,537</w:t>
            </w:r>
          </w:p>
        </w:tc>
      </w:tr>
      <w:tr w:rsidR="00587444" w:rsidRPr="00587444" w14:paraId="7A54494D" w14:textId="77777777" w:rsidTr="00DD69E7">
        <w:trPr>
          <w:trHeight w:hRule="exact" w:val="397"/>
        </w:trPr>
        <w:tc>
          <w:tcPr>
            <w:tcW w:w="3033" w:type="pct"/>
            <w:vAlign w:val="bottom"/>
          </w:tcPr>
          <w:p w14:paraId="44B8E486" w14:textId="77777777" w:rsidR="00587444" w:rsidRPr="00587444" w:rsidRDefault="00587444" w:rsidP="00587444">
            <w:pPr>
              <w:tabs>
                <w:tab w:val="right" w:pos="1202"/>
              </w:tabs>
              <w:suppressAutoHyphens w:val="0"/>
              <w:autoSpaceDN/>
              <w:outlineLvl w:val="0"/>
              <w:rPr>
                <w:rFonts w:ascii="Arial" w:eastAsia="Calibri" w:hAnsi="Arial" w:cs="Arial"/>
                <w:b/>
                <w:bCs/>
                <w:sz w:val="20"/>
                <w:szCs w:val="20"/>
              </w:rPr>
            </w:pPr>
            <w:bookmarkStart w:id="178" w:name="_Toc4056996"/>
            <w:r w:rsidRPr="00587444">
              <w:rPr>
                <w:rFonts w:ascii="Arial" w:eastAsia="Calibri" w:hAnsi="Arial" w:cs="Arial"/>
                <w:b/>
                <w:bCs/>
                <w:sz w:val="20"/>
                <w:szCs w:val="20"/>
              </w:rPr>
              <w:t>Total assets</w:t>
            </w:r>
            <w:bookmarkEnd w:id="178"/>
            <w:r w:rsidRPr="00587444">
              <w:rPr>
                <w:rFonts w:ascii="Arial" w:eastAsia="Calibri" w:hAnsi="Arial" w:cs="Arial"/>
                <w:b/>
                <w:bCs/>
                <w:sz w:val="20"/>
                <w:szCs w:val="20"/>
              </w:rPr>
              <w:t xml:space="preserve"> </w:t>
            </w:r>
          </w:p>
        </w:tc>
        <w:tc>
          <w:tcPr>
            <w:tcW w:w="479" w:type="pct"/>
            <w:vAlign w:val="bottom"/>
          </w:tcPr>
          <w:p w14:paraId="0423BFFA" w14:textId="77777777" w:rsidR="00587444" w:rsidRPr="00587444" w:rsidRDefault="00587444" w:rsidP="00587444">
            <w:pPr>
              <w:tabs>
                <w:tab w:val="right" w:pos="1202"/>
              </w:tabs>
              <w:suppressAutoHyphens w:val="0"/>
              <w:autoSpaceDN/>
              <w:jc w:val="center"/>
              <w:outlineLvl w:val="0"/>
              <w:rPr>
                <w:rFonts w:ascii="Arial" w:eastAsia="Calibri" w:hAnsi="Arial" w:cs="Arial"/>
                <w:b/>
                <w:bCs/>
                <w:sz w:val="20"/>
                <w:szCs w:val="20"/>
              </w:rPr>
            </w:pPr>
          </w:p>
        </w:tc>
        <w:tc>
          <w:tcPr>
            <w:tcW w:w="744" w:type="pct"/>
            <w:tcBorders>
              <w:top w:val="single" w:sz="2" w:space="0" w:color="auto"/>
              <w:bottom w:val="single" w:sz="12" w:space="0" w:color="auto"/>
            </w:tcBorders>
            <w:vAlign w:val="bottom"/>
          </w:tcPr>
          <w:p w14:paraId="6A887E62"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r w:rsidRPr="00587444">
              <w:rPr>
                <w:rFonts w:ascii="Arial" w:eastAsia="Calibri" w:hAnsi="Arial" w:cs="Arial"/>
                <w:b/>
                <w:bCs/>
                <w:sz w:val="20"/>
                <w:szCs w:val="20"/>
              </w:rPr>
              <w:t>29,060,163</w:t>
            </w:r>
          </w:p>
        </w:tc>
        <w:tc>
          <w:tcPr>
            <w:tcW w:w="744" w:type="pct"/>
            <w:tcBorders>
              <w:top w:val="single" w:sz="2" w:space="0" w:color="auto"/>
              <w:bottom w:val="single" w:sz="12" w:space="0" w:color="auto"/>
            </w:tcBorders>
            <w:vAlign w:val="bottom"/>
          </w:tcPr>
          <w:p w14:paraId="11656805"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r w:rsidRPr="00587444">
              <w:rPr>
                <w:rFonts w:ascii="Arial" w:hAnsi="Arial" w:cs="Arial"/>
                <w:b/>
                <w:bCs/>
                <w:color w:val="000000"/>
                <w:sz w:val="20"/>
                <w:szCs w:val="20"/>
                <w:lang w:val="hr-HR"/>
              </w:rPr>
              <w:t>28,278,362</w:t>
            </w:r>
          </w:p>
        </w:tc>
      </w:tr>
      <w:tr w:rsidR="00587444" w:rsidRPr="00587444" w14:paraId="36DB1D25" w14:textId="77777777" w:rsidTr="00DD69E7">
        <w:trPr>
          <w:trHeight w:hRule="exact" w:val="397"/>
        </w:trPr>
        <w:tc>
          <w:tcPr>
            <w:tcW w:w="3033" w:type="pct"/>
            <w:vAlign w:val="bottom"/>
          </w:tcPr>
          <w:p w14:paraId="0E8D05BD" w14:textId="77777777" w:rsidR="00587444" w:rsidRPr="00587444" w:rsidRDefault="00587444" w:rsidP="00587444">
            <w:pPr>
              <w:tabs>
                <w:tab w:val="right" w:pos="1202"/>
              </w:tabs>
              <w:suppressAutoHyphens w:val="0"/>
              <w:autoSpaceDN/>
              <w:outlineLvl w:val="0"/>
              <w:rPr>
                <w:rFonts w:ascii="Arial" w:eastAsia="Calibri" w:hAnsi="Arial" w:cs="Arial"/>
                <w:b/>
                <w:bCs/>
                <w:sz w:val="20"/>
                <w:szCs w:val="20"/>
              </w:rPr>
            </w:pPr>
            <w:bookmarkStart w:id="179" w:name="_Toc4056999"/>
            <w:r w:rsidRPr="00587444">
              <w:rPr>
                <w:rFonts w:ascii="Arial" w:eastAsia="Calibri" w:hAnsi="Arial" w:cs="Arial"/>
                <w:b/>
                <w:bCs/>
                <w:sz w:val="20"/>
                <w:szCs w:val="20"/>
              </w:rPr>
              <w:t>Liabilities</w:t>
            </w:r>
            <w:bookmarkEnd w:id="179"/>
          </w:p>
        </w:tc>
        <w:tc>
          <w:tcPr>
            <w:tcW w:w="479" w:type="pct"/>
            <w:vAlign w:val="bottom"/>
          </w:tcPr>
          <w:p w14:paraId="5321D363"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p>
        </w:tc>
        <w:tc>
          <w:tcPr>
            <w:tcW w:w="744" w:type="pct"/>
            <w:vAlign w:val="bottom"/>
          </w:tcPr>
          <w:p w14:paraId="53B771DA"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p>
        </w:tc>
        <w:tc>
          <w:tcPr>
            <w:tcW w:w="744" w:type="pct"/>
            <w:vAlign w:val="bottom"/>
          </w:tcPr>
          <w:p w14:paraId="3F979FD2"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p>
        </w:tc>
      </w:tr>
      <w:tr w:rsidR="00587444" w:rsidRPr="00587444" w14:paraId="09DEB78C" w14:textId="77777777" w:rsidTr="00DD69E7">
        <w:trPr>
          <w:trHeight w:hRule="exact" w:val="318"/>
        </w:trPr>
        <w:tc>
          <w:tcPr>
            <w:tcW w:w="3033" w:type="pct"/>
            <w:vAlign w:val="bottom"/>
          </w:tcPr>
          <w:p w14:paraId="0EF9F6D3"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bookmarkStart w:id="180" w:name="_Toc4057000"/>
            <w:r w:rsidRPr="00587444">
              <w:rPr>
                <w:rFonts w:ascii="Arial" w:eastAsia="Calibri" w:hAnsi="Arial" w:cs="Arial"/>
                <w:sz w:val="20"/>
                <w:szCs w:val="20"/>
              </w:rPr>
              <w:t>Deposits from customers</w:t>
            </w:r>
            <w:bookmarkEnd w:id="180"/>
            <w:r w:rsidRPr="00587444">
              <w:rPr>
                <w:rFonts w:ascii="Arial" w:eastAsia="Calibri" w:hAnsi="Arial" w:cs="Arial"/>
                <w:sz w:val="20"/>
                <w:szCs w:val="20"/>
              </w:rPr>
              <w:t xml:space="preserve"> </w:t>
            </w:r>
          </w:p>
        </w:tc>
        <w:tc>
          <w:tcPr>
            <w:tcW w:w="479" w:type="pct"/>
            <w:vAlign w:val="bottom"/>
          </w:tcPr>
          <w:p w14:paraId="267EC316" w14:textId="77777777" w:rsidR="00587444" w:rsidRPr="00587444" w:rsidRDefault="00587444" w:rsidP="00587444">
            <w:pPr>
              <w:tabs>
                <w:tab w:val="left" w:pos="213"/>
                <w:tab w:val="right" w:pos="1202"/>
              </w:tabs>
              <w:suppressAutoHyphens w:val="0"/>
              <w:autoSpaceDN/>
              <w:jc w:val="center"/>
              <w:outlineLvl w:val="0"/>
              <w:rPr>
                <w:rFonts w:ascii="Arial" w:eastAsia="Calibri" w:hAnsi="Arial" w:cs="Arial"/>
                <w:sz w:val="20"/>
                <w:szCs w:val="20"/>
              </w:rPr>
            </w:pPr>
            <w:r w:rsidRPr="00587444">
              <w:rPr>
                <w:rFonts w:ascii="Arial" w:eastAsia="Calibri" w:hAnsi="Arial" w:cs="Arial"/>
                <w:sz w:val="20"/>
                <w:szCs w:val="20"/>
              </w:rPr>
              <w:t>22</w:t>
            </w:r>
          </w:p>
        </w:tc>
        <w:tc>
          <w:tcPr>
            <w:tcW w:w="744" w:type="pct"/>
            <w:tcBorders>
              <w:top w:val="nil"/>
              <w:left w:val="nil"/>
              <w:bottom w:val="nil"/>
              <w:right w:val="nil"/>
            </w:tcBorders>
            <w:shd w:val="clear" w:color="auto" w:fill="auto"/>
            <w:vAlign w:val="bottom"/>
          </w:tcPr>
          <w:p w14:paraId="680EF2F0"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hr-HR"/>
              </w:rPr>
            </w:pPr>
            <w:r w:rsidRPr="00587444">
              <w:rPr>
                <w:rFonts w:ascii="Arial" w:hAnsi="Arial" w:cs="Arial"/>
                <w:color w:val="000000"/>
                <w:sz w:val="20"/>
                <w:szCs w:val="20"/>
                <w:lang w:val="hr-HR"/>
              </w:rPr>
              <w:t>1,024,623</w:t>
            </w:r>
          </w:p>
        </w:tc>
        <w:tc>
          <w:tcPr>
            <w:tcW w:w="744" w:type="pct"/>
            <w:tcBorders>
              <w:top w:val="nil"/>
              <w:left w:val="nil"/>
              <w:bottom w:val="nil"/>
              <w:right w:val="nil"/>
            </w:tcBorders>
            <w:shd w:val="clear" w:color="auto" w:fill="auto"/>
            <w:vAlign w:val="bottom"/>
          </w:tcPr>
          <w:p w14:paraId="208ADA20" w14:textId="77777777" w:rsidR="00587444" w:rsidRPr="00587444" w:rsidRDefault="00587444" w:rsidP="00587444">
            <w:pPr>
              <w:tabs>
                <w:tab w:val="right" w:pos="1202"/>
              </w:tabs>
              <w:suppressAutoHyphens w:val="0"/>
              <w:autoSpaceDN/>
              <w:jc w:val="right"/>
              <w:outlineLvl w:val="0"/>
              <w:rPr>
                <w:rFonts w:ascii="Arial" w:eastAsia="Calibri" w:hAnsi="Arial" w:cs="Arial"/>
                <w:sz w:val="20"/>
                <w:szCs w:val="20"/>
              </w:rPr>
            </w:pPr>
            <w:r w:rsidRPr="00587444">
              <w:rPr>
                <w:rFonts w:ascii="Arial" w:hAnsi="Arial" w:cs="Arial"/>
                <w:color w:val="000000"/>
                <w:sz w:val="20"/>
                <w:szCs w:val="20"/>
                <w:lang w:val="hr-HR"/>
              </w:rPr>
              <w:t>960,541</w:t>
            </w:r>
          </w:p>
        </w:tc>
      </w:tr>
      <w:tr w:rsidR="00587444" w:rsidRPr="00587444" w14:paraId="569B7C07" w14:textId="77777777" w:rsidTr="00DD69E7">
        <w:trPr>
          <w:trHeight w:hRule="exact" w:val="318"/>
        </w:trPr>
        <w:tc>
          <w:tcPr>
            <w:tcW w:w="3033" w:type="pct"/>
            <w:vAlign w:val="bottom"/>
          </w:tcPr>
          <w:p w14:paraId="403438FF"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bookmarkStart w:id="181" w:name="_Toc4057004"/>
            <w:r w:rsidRPr="00587444">
              <w:rPr>
                <w:rFonts w:ascii="Arial" w:eastAsia="Calibri" w:hAnsi="Arial" w:cs="Arial"/>
                <w:sz w:val="20"/>
                <w:szCs w:val="20"/>
              </w:rPr>
              <w:t>Borrowings</w:t>
            </w:r>
            <w:bookmarkEnd w:id="181"/>
            <w:r w:rsidRPr="00587444">
              <w:rPr>
                <w:rFonts w:ascii="Arial" w:eastAsia="Calibri" w:hAnsi="Arial" w:cs="Arial"/>
                <w:sz w:val="20"/>
                <w:szCs w:val="20"/>
              </w:rPr>
              <w:t xml:space="preserve"> </w:t>
            </w:r>
          </w:p>
        </w:tc>
        <w:tc>
          <w:tcPr>
            <w:tcW w:w="479" w:type="pct"/>
            <w:vAlign w:val="bottom"/>
          </w:tcPr>
          <w:p w14:paraId="2E7B5EE3" w14:textId="77777777" w:rsidR="00587444" w:rsidRPr="00587444" w:rsidRDefault="00587444" w:rsidP="00587444">
            <w:pPr>
              <w:tabs>
                <w:tab w:val="left" w:pos="213"/>
                <w:tab w:val="right" w:pos="1202"/>
              </w:tabs>
              <w:suppressAutoHyphens w:val="0"/>
              <w:autoSpaceDN/>
              <w:jc w:val="center"/>
              <w:outlineLvl w:val="0"/>
              <w:rPr>
                <w:rFonts w:ascii="Arial" w:eastAsia="Calibri" w:hAnsi="Arial" w:cs="Arial"/>
                <w:sz w:val="20"/>
                <w:szCs w:val="20"/>
              </w:rPr>
            </w:pPr>
            <w:r w:rsidRPr="00587444">
              <w:rPr>
                <w:rFonts w:ascii="Arial" w:hAnsi="Arial" w:cs="Arial"/>
                <w:sz w:val="20"/>
                <w:szCs w:val="20"/>
              </w:rPr>
              <w:t>23</w:t>
            </w:r>
          </w:p>
        </w:tc>
        <w:tc>
          <w:tcPr>
            <w:tcW w:w="744" w:type="pct"/>
            <w:tcBorders>
              <w:top w:val="nil"/>
              <w:left w:val="nil"/>
              <w:bottom w:val="nil"/>
              <w:right w:val="nil"/>
            </w:tcBorders>
            <w:shd w:val="clear" w:color="auto" w:fill="auto"/>
            <w:vAlign w:val="bottom"/>
          </w:tcPr>
          <w:p w14:paraId="4DF3F28C"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hr-HR"/>
              </w:rPr>
            </w:pPr>
            <w:r w:rsidRPr="00587444">
              <w:rPr>
                <w:rFonts w:ascii="Arial" w:hAnsi="Arial" w:cs="Arial"/>
                <w:color w:val="000000"/>
                <w:sz w:val="20"/>
                <w:szCs w:val="20"/>
                <w:lang w:val="hr-HR"/>
              </w:rPr>
              <w:t>16,501,276</w:t>
            </w:r>
          </w:p>
        </w:tc>
        <w:tc>
          <w:tcPr>
            <w:tcW w:w="744" w:type="pct"/>
            <w:tcBorders>
              <w:top w:val="nil"/>
              <w:left w:val="nil"/>
              <w:bottom w:val="nil"/>
              <w:right w:val="nil"/>
            </w:tcBorders>
            <w:shd w:val="clear" w:color="auto" w:fill="auto"/>
            <w:vAlign w:val="bottom"/>
          </w:tcPr>
          <w:p w14:paraId="22ACB4A9" w14:textId="77777777" w:rsidR="00587444" w:rsidRPr="00587444" w:rsidRDefault="00587444" w:rsidP="00587444">
            <w:pPr>
              <w:tabs>
                <w:tab w:val="right" w:pos="1202"/>
              </w:tabs>
              <w:suppressAutoHyphens w:val="0"/>
              <w:autoSpaceDN/>
              <w:jc w:val="right"/>
              <w:outlineLvl w:val="0"/>
              <w:rPr>
                <w:rFonts w:ascii="Arial" w:eastAsia="Calibri" w:hAnsi="Arial" w:cs="Arial"/>
                <w:sz w:val="20"/>
                <w:szCs w:val="20"/>
              </w:rPr>
            </w:pPr>
            <w:r w:rsidRPr="00587444">
              <w:rPr>
                <w:rFonts w:ascii="Arial" w:hAnsi="Arial" w:cs="Arial"/>
                <w:color w:val="000000"/>
                <w:sz w:val="20"/>
                <w:szCs w:val="20"/>
                <w:lang w:val="hr-HR"/>
              </w:rPr>
              <w:t>16,115,237</w:t>
            </w:r>
          </w:p>
        </w:tc>
      </w:tr>
      <w:tr w:rsidR="00587444" w:rsidRPr="00587444" w14:paraId="33C58308" w14:textId="77777777" w:rsidTr="00DD69E7">
        <w:trPr>
          <w:trHeight w:hRule="exact" w:val="318"/>
        </w:trPr>
        <w:tc>
          <w:tcPr>
            <w:tcW w:w="3033" w:type="pct"/>
            <w:vAlign w:val="bottom"/>
          </w:tcPr>
          <w:p w14:paraId="25F20112"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r w:rsidRPr="00587444">
              <w:rPr>
                <w:rFonts w:ascii="Arial" w:eastAsia="Calibri" w:hAnsi="Arial" w:cs="Arial"/>
                <w:sz w:val="20"/>
                <w:szCs w:val="20"/>
              </w:rPr>
              <w:t>Provisions for guarantees, commitments and other liabilities</w:t>
            </w:r>
          </w:p>
        </w:tc>
        <w:tc>
          <w:tcPr>
            <w:tcW w:w="479" w:type="pct"/>
            <w:vAlign w:val="bottom"/>
          </w:tcPr>
          <w:p w14:paraId="501FD1ED" w14:textId="77777777" w:rsidR="00587444" w:rsidRPr="00587444" w:rsidRDefault="00587444" w:rsidP="00587444">
            <w:pPr>
              <w:tabs>
                <w:tab w:val="right" w:pos="1202"/>
              </w:tabs>
              <w:suppressAutoHyphens w:val="0"/>
              <w:autoSpaceDN/>
              <w:jc w:val="center"/>
              <w:outlineLvl w:val="0"/>
              <w:rPr>
                <w:rFonts w:ascii="Arial" w:hAnsi="Arial" w:cs="Arial"/>
                <w:sz w:val="20"/>
                <w:szCs w:val="20"/>
              </w:rPr>
            </w:pPr>
            <w:r w:rsidRPr="00587444">
              <w:rPr>
                <w:rFonts w:ascii="Arial" w:hAnsi="Arial" w:cs="Arial"/>
                <w:sz w:val="20"/>
                <w:szCs w:val="20"/>
              </w:rPr>
              <w:t>24</w:t>
            </w:r>
          </w:p>
        </w:tc>
        <w:tc>
          <w:tcPr>
            <w:tcW w:w="744" w:type="pct"/>
            <w:tcBorders>
              <w:top w:val="nil"/>
              <w:left w:val="nil"/>
              <w:bottom w:val="nil"/>
              <w:right w:val="nil"/>
            </w:tcBorders>
            <w:shd w:val="clear" w:color="auto" w:fill="auto"/>
            <w:vAlign w:val="bottom"/>
          </w:tcPr>
          <w:p w14:paraId="6FC54863"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hr-HR"/>
              </w:rPr>
            </w:pPr>
            <w:r w:rsidRPr="00587444">
              <w:rPr>
                <w:rFonts w:ascii="Arial" w:hAnsi="Arial" w:cs="Arial"/>
                <w:color w:val="000000"/>
                <w:sz w:val="20"/>
                <w:szCs w:val="20"/>
                <w:lang w:val="hr-HR"/>
              </w:rPr>
              <w:t>142,715</w:t>
            </w:r>
          </w:p>
        </w:tc>
        <w:tc>
          <w:tcPr>
            <w:tcW w:w="744" w:type="pct"/>
            <w:tcBorders>
              <w:top w:val="nil"/>
              <w:left w:val="nil"/>
              <w:bottom w:val="nil"/>
              <w:right w:val="nil"/>
            </w:tcBorders>
            <w:shd w:val="clear" w:color="auto" w:fill="auto"/>
            <w:vAlign w:val="bottom"/>
          </w:tcPr>
          <w:p w14:paraId="7E76EF41"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190,560</w:t>
            </w:r>
          </w:p>
        </w:tc>
      </w:tr>
      <w:tr w:rsidR="00587444" w:rsidRPr="00587444" w14:paraId="5DCB4313" w14:textId="77777777" w:rsidTr="00DD69E7">
        <w:trPr>
          <w:trHeight w:hRule="exact" w:val="318"/>
        </w:trPr>
        <w:tc>
          <w:tcPr>
            <w:tcW w:w="3033" w:type="pct"/>
            <w:vAlign w:val="bottom"/>
          </w:tcPr>
          <w:p w14:paraId="3B408B78"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bookmarkStart w:id="182" w:name="_Toc4057012"/>
            <w:r w:rsidRPr="00587444">
              <w:rPr>
                <w:rFonts w:ascii="Arial" w:eastAsia="Calibri" w:hAnsi="Arial" w:cs="Arial"/>
                <w:sz w:val="20"/>
                <w:szCs w:val="20"/>
              </w:rPr>
              <w:t>Other liabilities</w:t>
            </w:r>
            <w:bookmarkEnd w:id="182"/>
          </w:p>
        </w:tc>
        <w:tc>
          <w:tcPr>
            <w:tcW w:w="479" w:type="pct"/>
            <w:vAlign w:val="bottom"/>
          </w:tcPr>
          <w:p w14:paraId="363351F6" w14:textId="77777777" w:rsidR="00587444" w:rsidRPr="00587444" w:rsidRDefault="00587444" w:rsidP="00587444">
            <w:pPr>
              <w:tabs>
                <w:tab w:val="right" w:pos="1202"/>
              </w:tabs>
              <w:suppressAutoHyphens w:val="0"/>
              <w:autoSpaceDN/>
              <w:jc w:val="center"/>
              <w:outlineLvl w:val="0"/>
              <w:rPr>
                <w:rFonts w:ascii="Arial" w:eastAsia="Calibri" w:hAnsi="Arial" w:cs="Arial"/>
                <w:sz w:val="20"/>
                <w:szCs w:val="20"/>
              </w:rPr>
            </w:pPr>
            <w:r w:rsidRPr="00587444">
              <w:rPr>
                <w:rFonts w:ascii="Arial" w:hAnsi="Arial" w:cs="Arial"/>
                <w:sz w:val="20"/>
                <w:szCs w:val="20"/>
              </w:rPr>
              <w:t>25</w:t>
            </w:r>
          </w:p>
        </w:tc>
        <w:tc>
          <w:tcPr>
            <w:tcW w:w="744" w:type="pct"/>
            <w:tcBorders>
              <w:top w:val="nil"/>
              <w:left w:val="nil"/>
              <w:bottom w:val="single" w:sz="4" w:space="0" w:color="auto"/>
              <w:right w:val="nil"/>
            </w:tcBorders>
            <w:shd w:val="clear" w:color="auto" w:fill="auto"/>
            <w:vAlign w:val="bottom"/>
          </w:tcPr>
          <w:p w14:paraId="69DC1C43"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hr-HR"/>
              </w:rPr>
            </w:pPr>
            <w:r w:rsidRPr="00587444">
              <w:rPr>
                <w:rFonts w:ascii="Arial" w:hAnsi="Arial" w:cs="Arial"/>
                <w:color w:val="000000"/>
                <w:sz w:val="20"/>
                <w:szCs w:val="20"/>
                <w:lang w:val="hr-HR"/>
              </w:rPr>
              <w:t>676,523</w:t>
            </w:r>
          </w:p>
        </w:tc>
        <w:tc>
          <w:tcPr>
            <w:tcW w:w="744" w:type="pct"/>
            <w:tcBorders>
              <w:top w:val="nil"/>
              <w:left w:val="nil"/>
              <w:bottom w:val="single" w:sz="4" w:space="0" w:color="auto"/>
              <w:right w:val="nil"/>
            </w:tcBorders>
            <w:shd w:val="clear" w:color="auto" w:fill="auto"/>
            <w:vAlign w:val="bottom"/>
          </w:tcPr>
          <w:p w14:paraId="3C3524A3" w14:textId="77777777" w:rsidR="00587444" w:rsidRPr="00587444" w:rsidRDefault="00587444" w:rsidP="00587444">
            <w:pPr>
              <w:tabs>
                <w:tab w:val="right" w:pos="1202"/>
              </w:tabs>
              <w:suppressAutoHyphens w:val="0"/>
              <w:autoSpaceDN/>
              <w:jc w:val="right"/>
              <w:outlineLvl w:val="0"/>
              <w:rPr>
                <w:rFonts w:ascii="Arial" w:eastAsia="Calibri" w:hAnsi="Arial" w:cs="Arial"/>
                <w:sz w:val="20"/>
                <w:szCs w:val="20"/>
              </w:rPr>
            </w:pPr>
            <w:r w:rsidRPr="00587444">
              <w:rPr>
                <w:rFonts w:ascii="Arial" w:hAnsi="Arial" w:cs="Arial"/>
                <w:color w:val="000000"/>
                <w:sz w:val="20"/>
                <w:szCs w:val="20"/>
                <w:lang w:val="hr-HR"/>
              </w:rPr>
              <w:t>435,239</w:t>
            </w:r>
          </w:p>
        </w:tc>
      </w:tr>
      <w:tr w:rsidR="00587444" w:rsidRPr="00587444" w14:paraId="7B2DE6E7" w14:textId="77777777" w:rsidTr="00DD69E7">
        <w:trPr>
          <w:trHeight w:val="358"/>
        </w:trPr>
        <w:tc>
          <w:tcPr>
            <w:tcW w:w="3033" w:type="pct"/>
            <w:vAlign w:val="bottom"/>
          </w:tcPr>
          <w:p w14:paraId="59D92324" w14:textId="77777777" w:rsidR="00587444" w:rsidRPr="00587444" w:rsidRDefault="00587444" w:rsidP="00587444">
            <w:pPr>
              <w:tabs>
                <w:tab w:val="right" w:pos="1202"/>
              </w:tabs>
              <w:suppressAutoHyphens w:val="0"/>
              <w:autoSpaceDN/>
              <w:outlineLvl w:val="0"/>
              <w:rPr>
                <w:rFonts w:ascii="Arial" w:eastAsia="Calibri" w:hAnsi="Arial" w:cs="Arial"/>
                <w:b/>
                <w:bCs/>
                <w:sz w:val="20"/>
                <w:szCs w:val="20"/>
              </w:rPr>
            </w:pPr>
            <w:bookmarkStart w:id="183" w:name="_Toc4057016"/>
            <w:r w:rsidRPr="00587444">
              <w:rPr>
                <w:rFonts w:ascii="Arial" w:eastAsia="Calibri" w:hAnsi="Arial" w:cs="Arial"/>
                <w:b/>
                <w:bCs/>
                <w:sz w:val="20"/>
                <w:szCs w:val="20"/>
              </w:rPr>
              <w:t>Total liabilities</w:t>
            </w:r>
            <w:bookmarkEnd w:id="183"/>
          </w:p>
        </w:tc>
        <w:tc>
          <w:tcPr>
            <w:tcW w:w="479" w:type="pct"/>
            <w:vAlign w:val="bottom"/>
          </w:tcPr>
          <w:p w14:paraId="7A2603DA"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p>
        </w:tc>
        <w:tc>
          <w:tcPr>
            <w:tcW w:w="744" w:type="pct"/>
            <w:tcBorders>
              <w:top w:val="single" w:sz="4" w:space="0" w:color="auto"/>
              <w:left w:val="nil"/>
              <w:bottom w:val="single" w:sz="12" w:space="0" w:color="auto"/>
              <w:right w:val="nil"/>
            </w:tcBorders>
            <w:shd w:val="clear" w:color="auto" w:fill="auto"/>
            <w:vAlign w:val="bottom"/>
          </w:tcPr>
          <w:p w14:paraId="1F6EB1FE" w14:textId="77777777" w:rsidR="00587444" w:rsidRPr="00587444" w:rsidRDefault="00587444" w:rsidP="00587444">
            <w:pPr>
              <w:tabs>
                <w:tab w:val="right" w:pos="1202"/>
              </w:tabs>
              <w:suppressAutoHyphens w:val="0"/>
              <w:autoSpaceDN/>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18,345,137</w:t>
            </w:r>
          </w:p>
        </w:tc>
        <w:tc>
          <w:tcPr>
            <w:tcW w:w="744" w:type="pct"/>
            <w:tcBorders>
              <w:top w:val="single" w:sz="4" w:space="0" w:color="auto"/>
              <w:left w:val="nil"/>
              <w:bottom w:val="single" w:sz="12" w:space="0" w:color="auto"/>
              <w:right w:val="nil"/>
            </w:tcBorders>
            <w:shd w:val="clear" w:color="auto" w:fill="auto"/>
            <w:vAlign w:val="bottom"/>
          </w:tcPr>
          <w:p w14:paraId="74AF110C"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r w:rsidRPr="00587444">
              <w:rPr>
                <w:rFonts w:ascii="Arial" w:hAnsi="Arial" w:cs="Arial"/>
                <w:b/>
                <w:bCs/>
                <w:color w:val="000000"/>
                <w:sz w:val="20"/>
                <w:szCs w:val="20"/>
                <w:lang w:val="hr-HR"/>
              </w:rPr>
              <w:t>17,701,577</w:t>
            </w:r>
          </w:p>
        </w:tc>
      </w:tr>
      <w:tr w:rsidR="00587444" w:rsidRPr="00587444" w14:paraId="7F28AA8D" w14:textId="77777777" w:rsidTr="00DD69E7">
        <w:trPr>
          <w:trHeight w:hRule="exact" w:val="397"/>
        </w:trPr>
        <w:tc>
          <w:tcPr>
            <w:tcW w:w="3033" w:type="pct"/>
            <w:vAlign w:val="bottom"/>
          </w:tcPr>
          <w:p w14:paraId="2B001B57" w14:textId="77777777" w:rsidR="00587444" w:rsidRPr="00587444" w:rsidRDefault="00587444" w:rsidP="00587444">
            <w:pPr>
              <w:tabs>
                <w:tab w:val="right" w:pos="1202"/>
              </w:tabs>
              <w:suppressAutoHyphens w:val="0"/>
              <w:autoSpaceDN/>
              <w:outlineLvl w:val="0"/>
              <w:rPr>
                <w:rFonts w:ascii="Arial" w:eastAsia="Calibri" w:hAnsi="Arial" w:cs="Arial"/>
                <w:b/>
                <w:bCs/>
                <w:sz w:val="20"/>
                <w:szCs w:val="20"/>
              </w:rPr>
            </w:pPr>
            <w:bookmarkStart w:id="184" w:name="_Toc4057019"/>
            <w:r w:rsidRPr="00587444">
              <w:rPr>
                <w:rFonts w:ascii="Arial" w:eastAsia="Calibri" w:hAnsi="Arial" w:cs="Arial"/>
                <w:b/>
                <w:bCs/>
                <w:sz w:val="20"/>
                <w:szCs w:val="20"/>
              </w:rPr>
              <w:t>Equity</w:t>
            </w:r>
            <w:bookmarkEnd w:id="184"/>
            <w:r w:rsidRPr="00587444">
              <w:rPr>
                <w:rFonts w:ascii="Arial" w:eastAsia="Calibri" w:hAnsi="Arial" w:cs="Arial"/>
                <w:b/>
                <w:bCs/>
                <w:sz w:val="20"/>
                <w:szCs w:val="20"/>
              </w:rPr>
              <w:t xml:space="preserve"> </w:t>
            </w:r>
          </w:p>
        </w:tc>
        <w:tc>
          <w:tcPr>
            <w:tcW w:w="479" w:type="pct"/>
            <w:vAlign w:val="bottom"/>
          </w:tcPr>
          <w:p w14:paraId="3E258FFA"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p>
        </w:tc>
        <w:tc>
          <w:tcPr>
            <w:tcW w:w="744" w:type="pct"/>
            <w:tcBorders>
              <w:top w:val="single" w:sz="12" w:space="0" w:color="auto"/>
            </w:tcBorders>
            <w:vAlign w:val="bottom"/>
          </w:tcPr>
          <w:p w14:paraId="42114C93"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hr-HR"/>
              </w:rPr>
            </w:pPr>
          </w:p>
        </w:tc>
        <w:tc>
          <w:tcPr>
            <w:tcW w:w="744" w:type="pct"/>
            <w:tcBorders>
              <w:top w:val="single" w:sz="12" w:space="0" w:color="auto"/>
            </w:tcBorders>
            <w:vAlign w:val="bottom"/>
          </w:tcPr>
          <w:p w14:paraId="2CB38CAE"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p>
        </w:tc>
      </w:tr>
      <w:tr w:rsidR="00587444" w:rsidRPr="00587444" w14:paraId="66519352" w14:textId="77777777" w:rsidTr="00DD69E7">
        <w:trPr>
          <w:trHeight w:hRule="exact" w:val="340"/>
        </w:trPr>
        <w:tc>
          <w:tcPr>
            <w:tcW w:w="3033" w:type="pct"/>
            <w:vAlign w:val="bottom"/>
          </w:tcPr>
          <w:p w14:paraId="5623DE07"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bookmarkStart w:id="185" w:name="_Toc4057020"/>
            <w:r w:rsidRPr="00587444">
              <w:rPr>
                <w:rFonts w:ascii="Arial" w:eastAsia="Calibri" w:hAnsi="Arial" w:cs="Arial"/>
                <w:sz w:val="20"/>
                <w:szCs w:val="20"/>
              </w:rPr>
              <w:t>Founder’s capital</w:t>
            </w:r>
            <w:bookmarkEnd w:id="185"/>
            <w:r w:rsidRPr="00587444">
              <w:rPr>
                <w:rFonts w:ascii="Arial" w:eastAsia="Calibri" w:hAnsi="Arial" w:cs="Arial"/>
                <w:sz w:val="20"/>
                <w:szCs w:val="20"/>
              </w:rPr>
              <w:t xml:space="preserve"> </w:t>
            </w:r>
          </w:p>
        </w:tc>
        <w:tc>
          <w:tcPr>
            <w:tcW w:w="479" w:type="pct"/>
            <w:vAlign w:val="bottom"/>
          </w:tcPr>
          <w:p w14:paraId="3909A7A8" w14:textId="77777777" w:rsidR="00587444" w:rsidRPr="00587444" w:rsidRDefault="00587444" w:rsidP="00587444">
            <w:pPr>
              <w:tabs>
                <w:tab w:val="right" w:pos="1202"/>
              </w:tabs>
              <w:suppressAutoHyphens w:val="0"/>
              <w:autoSpaceDN/>
              <w:jc w:val="center"/>
              <w:outlineLvl w:val="0"/>
              <w:rPr>
                <w:rFonts w:ascii="Arial" w:eastAsia="Calibri" w:hAnsi="Arial" w:cs="Arial"/>
                <w:sz w:val="20"/>
                <w:szCs w:val="20"/>
              </w:rPr>
            </w:pPr>
            <w:r w:rsidRPr="00587444">
              <w:rPr>
                <w:rFonts w:ascii="Arial" w:hAnsi="Arial" w:cs="Arial"/>
                <w:sz w:val="20"/>
                <w:szCs w:val="20"/>
              </w:rPr>
              <w:t>26</w:t>
            </w:r>
          </w:p>
        </w:tc>
        <w:tc>
          <w:tcPr>
            <w:tcW w:w="744" w:type="pct"/>
            <w:tcBorders>
              <w:top w:val="nil"/>
              <w:left w:val="nil"/>
              <w:bottom w:val="nil"/>
              <w:right w:val="nil"/>
            </w:tcBorders>
            <w:shd w:val="clear" w:color="auto" w:fill="auto"/>
            <w:vAlign w:val="bottom"/>
          </w:tcPr>
          <w:p w14:paraId="4271AE33"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hr-HR"/>
              </w:rPr>
            </w:pPr>
            <w:r w:rsidRPr="00587444">
              <w:rPr>
                <w:rFonts w:ascii="Arial" w:hAnsi="Arial" w:cs="Arial"/>
                <w:color w:val="000000"/>
                <w:sz w:val="20"/>
                <w:szCs w:val="20"/>
                <w:lang w:val="hr-HR"/>
              </w:rPr>
              <w:t>7,204,632</w:t>
            </w:r>
          </w:p>
        </w:tc>
        <w:tc>
          <w:tcPr>
            <w:tcW w:w="744" w:type="pct"/>
            <w:tcBorders>
              <w:top w:val="nil"/>
              <w:left w:val="nil"/>
              <w:bottom w:val="nil"/>
              <w:right w:val="nil"/>
            </w:tcBorders>
            <w:shd w:val="clear" w:color="auto" w:fill="auto"/>
            <w:vAlign w:val="bottom"/>
          </w:tcPr>
          <w:p w14:paraId="1E34B006" w14:textId="77777777" w:rsidR="00587444" w:rsidRPr="00587444" w:rsidRDefault="00587444" w:rsidP="00587444">
            <w:pPr>
              <w:tabs>
                <w:tab w:val="right" w:pos="1202"/>
              </w:tabs>
              <w:suppressAutoHyphens w:val="0"/>
              <w:autoSpaceDN/>
              <w:jc w:val="right"/>
              <w:outlineLvl w:val="0"/>
              <w:rPr>
                <w:rFonts w:ascii="Arial" w:eastAsia="Calibri" w:hAnsi="Arial" w:cs="Arial"/>
                <w:sz w:val="20"/>
                <w:szCs w:val="20"/>
              </w:rPr>
            </w:pPr>
            <w:r w:rsidRPr="00587444">
              <w:rPr>
                <w:rFonts w:ascii="Arial" w:hAnsi="Arial" w:cs="Arial"/>
                <w:color w:val="000000"/>
                <w:sz w:val="20"/>
                <w:szCs w:val="20"/>
              </w:rPr>
              <w:t>7,184,632</w:t>
            </w:r>
          </w:p>
        </w:tc>
      </w:tr>
      <w:tr w:rsidR="00587444" w:rsidRPr="00587444" w14:paraId="2BAA5C57" w14:textId="77777777" w:rsidTr="00DD69E7">
        <w:trPr>
          <w:trHeight w:hRule="exact" w:val="340"/>
        </w:trPr>
        <w:tc>
          <w:tcPr>
            <w:tcW w:w="3033" w:type="pct"/>
            <w:vAlign w:val="bottom"/>
          </w:tcPr>
          <w:p w14:paraId="628D9305"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bookmarkStart w:id="186" w:name="_Toc4057024"/>
            <w:r w:rsidRPr="00587444">
              <w:rPr>
                <w:rFonts w:ascii="Arial" w:eastAsia="Calibri" w:hAnsi="Arial" w:cs="Arial"/>
                <w:sz w:val="20"/>
                <w:szCs w:val="20"/>
              </w:rPr>
              <w:t>Retained earnings and reserves</w:t>
            </w:r>
            <w:bookmarkEnd w:id="186"/>
            <w:r w:rsidRPr="00587444">
              <w:rPr>
                <w:rFonts w:ascii="Arial" w:eastAsia="Calibri" w:hAnsi="Arial" w:cs="Arial"/>
                <w:sz w:val="20"/>
                <w:szCs w:val="20"/>
              </w:rPr>
              <w:t xml:space="preserve"> </w:t>
            </w:r>
          </w:p>
        </w:tc>
        <w:tc>
          <w:tcPr>
            <w:tcW w:w="479" w:type="pct"/>
            <w:vAlign w:val="bottom"/>
          </w:tcPr>
          <w:p w14:paraId="6C4E05AC" w14:textId="77777777" w:rsidR="00587444" w:rsidRPr="00587444" w:rsidRDefault="00587444" w:rsidP="00587444">
            <w:pPr>
              <w:tabs>
                <w:tab w:val="right" w:pos="1202"/>
              </w:tabs>
              <w:suppressAutoHyphens w:val="0"/>
              <w:autoSpaceDN/>
              <w:jc w:val="right"/>
              <w:outlineLvl w:val="0"/>
              <w:rPr>
                <w:rFonts w:ascii="Arial" w:eastAsia="Calibri" w:hAnsi="Arial" w:cs="Arial"/>
                <w:sz w:val="20"/>
                <w:szCs w:val="20"/>
              </w:rPr>
            </w:pPr>
          </w:p>
        </w:tc>
        <w:tc>
          <w:tcPr>
            <w:tcW w:w="744" w:type="pct"/>
            <w:tcBorders>
              <w:top w:val="nil"/>
              <w:left w:val="nil"/>
              <w:bottom w:val="nil"/>
              <w:right w:val="nil"/>
            </w:tcBorders>
            <w:shd w:val="clear" w:color="auto" w:fill="auto"/>
            <w:vAlign w:val="bottom"/>
          </w:tcPr>
          <w:p w14:paraId="083C960B"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hr-HR"/>
              </w:rPr>
            </w:pPr>
            <w:r w:rsidRPr="00587444">
              <w:rPr>
                <w:rFonts w:ascii="Arial" w:hAnsi="Arial" w:cs="Arial"/>
                <w:color w:val="000000"/>
                <w:sz w:val="20"/>
                <w:szCs w:val="20"/>
                <w:lang w:val="hr-HR"/>
              </w:rPr>
              <w:t>3,345,869</w:t>
            </w:r>
          </w:p>
        </w:tc>
        <w:tc>
          <w:tcPr>
            <w:tcW w:w="744" w:type="pct"/>
            <w:tcBorders>
              <w:top w:val="nil"/>
              <w:left w:val="nil"/>
              <w:bottom w:val="nil"/>
              <w:right w:val="nil"/>
            </w:tcBorders>
            <w:shd w:val="clear" w:color="auto" w:fill="auto"/>
            <w:vAlign w:val="bottom"/>
          </w:tcPr>
          <w:p w14:paraId="1754CF88" w14:textId="77777777" w:rsidR="00587444" w:rsidRPr="00587444" w:rsidRDefault="00587444" w:rsidP="00587444">
            <w:pPr>
              <w:tabs>
                <w:tab w:val="right" w:pos="1202"/>
              </w:tabs>
              <w:suppressAutoHyphens w:val="0"/>
              <w:autoSpaceDN/>
              <w:jc w:val="right"/>
              <w:outlineLvl w:val="0"/>
              <w:rPr>
                <w:rFonts w:ascii="Arial" w:eastAsia="Calibri" w:hAnsi="Arial" w:cs="Arial"/>
                <w:sz w:val="20"/>
                <w:szCs w:val="20"/>
              </w:rPr>
            </w:pPr>
            <w:r w:rsidRPr="00587444">
              <w:rPr>
                <w:rFonts w:ascii="Arial" w:hAnsi="Arial" w:cs="Arial"/>
                <w:color w:val="000000"/>
                <w:sz w:val="20"/>
                <w:szCs w:val="20"/>
              </w:rPr>
              <w:t>3,157,684</w:t>
            </w:r>
          </w:p>
        </w:tc>
      </w:tr>
      <w:tr w:rsidR="00587444" w:rsidRPr="00587444" w14:paraId="4976B28F" w14:textId="77777777" w:rsidTr="00DD69E7">
        <w:trPr>
          <w:trHeight w:hRule="exact" w:val="340"/>
        </w:trPr>
        <w:tc>
          <w:tcPr>
            <w:tcW w:w="3033" w:type="pct"/>
            <w:vAlign w:val="bottom"/>
          </w:tcPr>
          <w:p w14:paraId="41A53778"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bookmarkStart w:id="187" w:name="_Toc4057027"/>
            <w:r w:rsidRPr="00587444">
              <w:rPr>
                <w:rFonts w:ascii="Arial" w:eastAsia="Calibri" w:hAnsi="Arial" w:cs="Arial"/>
                <w:sz w:val="20"/>
                <w:szCs w:val="20"/>
              </w:rPr>
              <w:t>Other reserves</w:t>
            </w:r>
            <w:bookmarkEnd w:id="187"/>
          </w:p>
        </w:tc>
        <w:tc>
          <w:tcPr>
            <w:tcW w:w="479" w:type="pct"/>
            <w:vAlign w:val="bottom"/>
          </w:tcPr>
          <w:p w14:paraId="7A4DC378" w14:textId="77777777" w:rsidR="00587444" w:rsidRPr="00587444" w:rsidRDefault="00587444" w:rsidP="00587444">
            <w:pPr>
              <w:tabs>
                <w:tab w:val="right" w:pos="1202"/>
              </w:tabs>
              <w:suppressAutoHyphens w:val="0"/>
              <w:autoSpaceDN/>
              <w:jc w:val="right"/>
              <w:outlineLvl w:val="0"/>
              <w:rPr>
                <w:rFonts w:ascii="Arial" w:eastAsia="Calibri" w:hAnsi="Arial" w:cs="Arial"/>
                <w:sz w:val="20"/>
                <w:szCs w:val="20"/>
              </w:rPr>
            </w:pPr>
          </w:p>
        </w:tc>
        <w:tc>
          <w:tcPr>
            <w:tcW w:w="744" w:type="pct"/>
            <w:tcBorders>
              <w:top w:val="nil"/>
              <w:left w:val="nil"/>
              <w:bottom w:val="nil"/>
              <w:right w:val="nil"/>
            </w:tcBorders>
            <w:shd w:val="clear" w:color="auto" w:fill="auto"/>
            <w:vAlign w:val="bottom"/>
          </w:tcPr>
          <w:p w14:paraId="1450BA5F"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hr-HR"/>
              </w:rPr>
            </w:pPr>
            <w:r w:rsidRPr="00587444">
              <w:rPr>
                <w:rFonts w:ascii="Arial" w:hAnsi="Arial" w:cs="Arial"/>
                <w:color w:val="000000"/>
                <w:sz w:val="20"/>
                <w:szCs w:val="20"/>
                <w:lang w:val="hr-HR"/>
              </w:rPr>
              <w:t>(37,270)</w:t>
            </w:r>
          </w:p>
        </w:tc>
        <w:tc>
          <w:tcPr>
            <w:tcW w:w="744" w:type="pct"/>
            <w:tcBorders>
              <w:top w:val="nil"/>
              <w:left w:val="nil"/>
              <w:bottom w:val="nil"/>
              <w:right w:val="nil"/>
            </w:tcBorders>
            <w:shd w:val="clear" w:color="auto" w:fill="auto"/>
            <w:vAlign w:val="bottom"/>
          </w:tcPr>
          <w:p w14:paraId="780A9803" w14:textId="77777777" w:rsidR="00587444" w:rsidRPr="00587444" w:rsidRDefault="00587444" w:rsidP="00587444">
            <w:pPr>
              <w:tabs>
                <w:tab w:val="right" w:pos="1202"/>
              </w:tabs>
              <w:suppressAutoHyphens w:val="0"/>
              <w:autoSpaceDN/>
              <w:jc w:val="right"/>
              <w:outlineLvl w:val="0"/>
              <w:rPr>
                <w:rFonts w:ascii="Arial" w:eastAsia="Calibri" w:hAnsi="Arial" w:cs="Arial"/>
                <w:sz w:val="20"/>
                <w:szCs w:val="20"/>
              </w:rPr>
            </w:pPr>
            <w:r w:rsidRPr="00587444">
              <w:rPr>
                <w:rFonts w:ascii="Arial" w:hAnsi="Arial" w:cs="Arial"/>
                <w:color w:val="000000"/>
                <w:sz w:val="20"/>
                <w:szCs w:val="20"/>
              </w:rPr>
              <w:t>33,975</w:t>
            </w:r>
          </w:p>
        </w:tc>
      </w:tr>
      <w:tr w:rsidR="00587444" w:rsidRPr="00587444" w14:paraId="6CBCF75C" w14:textId="77777777" w:rsidTr="00DD69E7">
        <w:trPr>
          <w:trHeight w:hRule="exact" w:val="340"/>
        </w:trPr>
        <w:tc>
          <w:tcPr>
            <w:tcW w:w="3033" w:type="pct"/>
            <w:vAlign w:val="bottom"/>
          </w:tcPr>
          <w:p w14:paraId="69AD015F"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bookmarkStart w:id="188" w:name="_Toc4057030"/>
            <w:r w:rsidRPr="00587444">
              <w:rPr>
                <w:rFonts w:ascii="Arial" w:eastAsia="Calibri" w:hAnsi="Arial" w:cs="Arial"/>
                <w:sz w:val="20"/>
                <w:szCs w:val="20"/>
              </w:rPr>
              <w:t>Profit for the year</w:t>
            </w:r>
            <w:bookmarkEnd w:id="188"/>
            <w:r w:rsidRPr="00587444">
              <w:rPr>
                <w:rFonts w:ascii="Arial" w:eastAsia="Calibri" w:hAnsi="Arial" w:cs="Arial"/>
                <w:sz w:val="20"/>
                <w:szCs w:val="20"/>
              </w:rPr>
              <w:t xml:space="preserve"> </w:t>
            </w:r>
          </w:p>
        </w:tc>
        <w:tc>
          <w:tcPr>
            <w:tcW w:w="479" w:type="pct"/>
            <w:vAlign w:val="bottom"/>
          </w:tcPr>
          <w:p w14:paraId="2D1A8928" w14:textId="77777777" w:rsidR="00587444" w:rsidRPr="00587444" w:rsidRDefault="00587444" w:rsidP="00587444">
            <w:pPr>
              <w:tabs>
                <w:tab w:val="right" w:pos="1202"/>
              </w:tabs>
              <w:suppressAutoHyphens w:val="0"/>
              <w:autoSpaceDN/>
              <w:jc w:val="right"/>
              <w:outlineLvl w:val="0"/>
              <w:rPr>
                <w:rFonts w:ascii="Arial" w:eastAsia="Calibri" w:hAnsi="Arial" w:cs="Arial"/>
                <w:sz w:val="20"/>
                <w:szCs w:val="20"/>
              </w:rPr>
            </w:pPr>
          </w:p>
        </w:tc>
        <w:tc>
          <w:tcPr>
            <w:tcW w:w="744" w:type="pct"/>
            <w:tcBorders>
              <w:top w:val="nil"/>
              <w:left w:val="nil"/>
              <w:bottom w:val="nil"/>
              <w:right w:val="nil"/>
            </w:tcBorders>
            <w:shd w:val="clear" w:color="auto" w:fill="auto"/>
            <w:vAlign w:val="bottom"/>
          </w:tcPr>
          <w:p w14:paraId="6E0C8FBB"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hr-HR"/>
              </w:rPr>
            </w:pPr>
            <w:r w:rsidRPr="00587444">
              <w:rPr>
                <w:rFonts w:ascii="Arial" w:hAnsi="Arial" w:cs="Arial"/>
                <w:color w:val="000000"/>
                <w:sz w:val="20"/>
                <w:szCs w:val="20"/>
                <w:lang w:val="hr-HR"/>
              </w:rPr>
              <w:t>189,458</w:t>
            </w:r>
          </w:p>
        </w:tc>
        <w:tc>
          <w:tcPr>
            <w:tcW w:w="744" w:type="pct"/>
            <w:tcBorders>
              <w:top w:val="nil"/>
              <w:left w:val="nil"/>
              <w:bottom w:val="nil"/>
              <w:right w:val="nil"/>
            </w:tcBorders>
            <w:shd w:val="clear" w:color="auto" w:fill="auto"/>
            <w:vAlign w:val="bottom"/>
          </w:tcPr>
          <w:p w14:paraId="72F2EEB8" w14:textId="77777777" w:rsidR="00587444" w:rsidRPr="00587444" w:rsidRDefault="00587444" w:rsidP="00587444">
            <w:pPr>
              <w:tabs>
                <w:tab w:val="right" w:pos="1202"/>
              </w:tabs>
              <w:suppressAutoHyphens w:val="0"/>
              <w:autoSpaceDN/>
              <w:jc w:val="right"/>
              <w:outlineLvl w:val="0"/>
              <w:rPr>
                <w:rFonts w:ascii="Arial" w:eastAsia="Calibri" w:hAnsi="Arial" w:cs="Arial"/>
                <w:sz w:val="20"/>
                <w:szCs w:val="20"/>
              </w:rPr>
            </w:pPr>
            <w:r w:rsidRPr="00587444">
              <w:rPr>
                <w:rFonts w:ascii="Arial" w:hAnsi="Arial" w:cs="Arial"/>
                <w:color w:val="000000"/>
                <w:sz w:val="20"/>
                <w:szCs w:val="20"/>
              </w:rPr>
              <w:t>188,185</w:t>
            </w:r>
          </w:p>
        </w:tc>
      </w:tr>
      <w:tr w:rsidR="00587444" w:rsidRPr="00587444" w14:paraId="58D19EC4" w14:textId="77777777" w:rsidTr="00DD69E7">
        <w:trPr>
          <w:trHeight w:hRule="exact" w:val="340"/>
        </w:trPr>
        <w:tc>
          <w:tcPr>
            <w:tcW w:w="3033" w:type="pct"/>
            <w:vAlign w:val="bottom"/>
          </w:tcPr>
          <w:p w14:paraId="286A81A1"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bookmarkStart w:id="189" w:name="_Toc4057033"/>
            <w:r w:rsidRPr="00587444">
              <w:rPr>
                <w:rFonts w:ascii="Arial" w:eastAsia="Calibri" w:hAnsi="Arial" w:cs="Arial"/>
                <w:sz w:val="20"/>
                <w:szCs w:val="20"/>
              </w:rPr>
              <w:t>Guarantee fund</w:t>
            </w:r>
            <w:bookmarkEnd w:id="189"/>
          </w:p>
        </w:tc>
        <w:tc>
          <w:tcPr>
            <w:tcW w:w="479" w:type="pct"/>
            <w:vAlign w:val="bottom"/>
          </w:tcPr>
          <w:p w14:paraId="18FBC50C" w14:textId="77777777" w:rsidR="00587444" w:rsidRPr="00587444" w:rsidRDefault="00587444" w:rsidP="00587444">
            <w:pPr>
              <w:tabs>
                <w:tab w:val="right" w:pos="1202"/>
              </w:tabs>
              <w:suppressAutoHyphens w:val="0"/>
              <w:autoSpaceDN/>
              <w:jc w:val="center"/>
              <w:outlineLvl w:val="0"/>
              <w:rPr>
                <w:rFonts w:ascii="Arial" w:eastAsia="Calibri" w:hAnsi="Arial" w:cs="Arial"/>
                <w:sz w:val="20"/>
                <w:szCs w:val="20"/>
              </w:rPr>
            </w:pPr>
            <w:r w:rsidRPr="00587444">
              <w:rPr>
                <w:rFonts w:ascii="Arial" w:eastAsia="Calibri" w:hAnsi="Arial" w:cs="Arial"/>
                <w:sz w:val="20"/>
                <w:szCs w:val="20"/>
              </w:rPr>
              <w:t>27</w:t>
            </w:r>
          </w:p>
        </w:tc>
        <w:tc>
          <w:tcPr>
            <w:tcW w:w="744" w:type="pct"/>
            <w:tcBorders>
              <w:top w:val="nil"/>
              <w:left w:val="nil"/>
              <w:bottom w:val="single" w:sz="4" w:space="0" w:color="auto"/>
              <w:right w:val="nil"/>
            </w:tcBorders>
            <w:shd w:val="clear" w:color="auto" w:fill="auto"/>
            <w:vAlign w:val="bottom"/>
          </w:tcPr>
          <w:p w14:paraId="0DC322BF"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hr-HR"/>
              </w:rPr>
            </w:pPr>
            <w:r w:rsidRPr="00587444">
              <w:rPr>
                <w:rFonts w:ascii="Arial" w:hAnsi="Arial" w:cs="Arial"/>
                <w:color w:val="000000"/>
                <w:sz w:val="20"/>
                <w:szCs w:val="20"/>
                <w:lang w:val="hr-HR"/>
              </w:rPr>
              <w:t>12,337</w:t>
            </w:r>
          </w:p>
        </w:tc>
        <w:tc>
          <w:tcPr>
            <w:tcW w:w="744" w:type="pct"/>
            <w:tcBorders>
              <w:top w:val="nil"/>
              <w:left w:val="nil"/>
              <w:bottom w:val="single" w:sz="4" w:space="0" w:color="auto"/>
              <w:right w:val="nil"/>
            </w:tcBorders>
            <w:shd w:val="clear" w:color="auto" w:fill="auto"/>
            <w:vAlign w:val="bottom"/>
          </w:tcPr>
          <w:p w14:paraId="1218B482"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z w:val="20"/>
                <w:szCs w:val="20"/>
              </w:rPr>
            </w:pPr>
            <w:r w:rsidRPr="00587444">
              <w:rPr>
                <w:rFonts w:ascii="Arial" w:hAnsi="Arial" w:cs="Arial"/>
                <w:color w:val="000000"/>
                <w:sz w:val="20"/>
                <w:szCs w:val="20"/>
              </w:rPr>
              <w:t>12,309</w:t>
            </w:r>
          </w:p>
        </w:tc>
      </w:tr>
      <w:tr w:rsidR="00587444" w:rsidRPr="00587444" w14:paraId="4E51DD5D" w14:textId="77777777" w:rsidTr="00DD69E7">
        <w:trPr>
          <w:trHeight w:hRule="exact" w:val="346"/>
        </w:trPr>
        <w:tc>
          <w:tcPr>
            <w:tcW w:w="3033" w:type="pct"/>
            <w:vAlign w:val="bottom"/>
          </w:tcPr>
          <w:p w14:paraId="7CC4A03D" w14:textId="77777777" w:rsidR="00587444" w:rsidRPr="00587444" w:rsidRDefault="00587444" w:rsidP="00587444">
            <w:pPr>
              <w:tabs>
                <w:tab w:val="right" w:pos="1202"/>
              </w:tabs>
              <w:suppressAutoHyphens w:val="0"/>
              <w:autoSpaceDN/>
              <w:outlineLvl w:val="0"/>
              <w:rPr>
                <w:rFonts w:ascii="Arial" w:eastAsia="Calibri" w:hAnsi="Arial" w:cs="Arial"/>
                <w:b/>
                <w:bCs/>
                <w:sz w:val="20"/>
                <w:szCs w:val="20"/>
              </w:rPr>
            </w:pPr>
            <w:bookmarkStart w:id="190" w:name="_Toc4057037"/>
            <w:r w:rsidRPr="00587444">
              <w:rPr>
                <w:rFonts w:ascii="Arial" w:eastAsia="Calibri" w:hAnsi="Arial" w:cs="Arial"/>
                <w:b/>
                <w:bCs/>
                <w:sz w:val="20"/>
                <w:szCs w:val="20"/>
              </w:rPr>
              <w:t>Total equity</w:t>
            </w:r>
            <w:bookmarkEnd w:id="190"/>
            <w:r w:rsidRPr="00587444">
              <w:rPr>
                <w:rFonts w:ascii="Arial" w:eastAsia="Calibri" w:hAnsi="Arial" w:cs="Arial"/>
                <w:b/>
                <w:bCs/>
                <w:sz w:val="20"/>
                <w:szCs w:val="20"/>
              </w:rPr>
              <w:t xml:space="preserve"> </w:t>
            </w:r>
          </w:p>
        </w:tc>
        <w:tc>
          <w:tcPr>
            <w:tcW w:w="479" w:type="pct"/>
            <w:vAlign w:val="bottom"/>
          </w:tcPr>
          <w:p w14:paraId="1E44389A"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p>
        </w:tc>
        <w:tc>
          <w:tcPr>
            <w:tcW w:w="744" w:type="pct"/>
            <w:tcBorders>
              <w:top w:val="single" w:sz="4" w:space="0" w:color="auto"/>
              <w:left w:val="nil"/>
              <w:bottom w:val="single" w:sz="12" w:space="0" w:color="auto"/>
              <w:right w:val="nil"/>
            </w:tcBorders>
            <w:shd w:val="clear" w:color="auto" w:fill="auto"/>
            <w:vAlign w:val="bottom"/>
          </w:tcPr>
          <w:p w14:paraId="3A3C29E9" w14:textId="77777777" w:rsidR="00587444" w:rsidRPr="00587444" w:rsidRDefault="00587444" w:rsidP="00587444">
            <w:pPr>
              <w:tabs>
                <w:tab w:val="right" w:pos="1202"/>
              </w:tabs>
              <w:suppressAutoHyphens w:val="0"/>
              <w:autoSpaceDN/>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10,715,026</w:t>
            </w:r>
          </w:p>
        </w:tc>
        <w:tc>
          <w:tcPr>
            <w:tcW w:w="744" w:type="pct"/>
            <w:tcBorders>
              <w:top w:val="single" w:sz="4" w:space="0" w:color="auto"/>
              <w:left w:val="nil"/>
              <w:bottom w:val="single" w:sz="12" w:space="0" w:color="auto"/>
              <w:right w:val="nil"/>
            </w:tcBorders>
            <w:shd w:val="clear" w:color="auto" w:fill="auto"/>
            <w:vAlign w:val="bottom"/>
          </w:tcPr>
          <w:p w14:paraId="3120B1CD"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r w:rsidRPr="00587444">
              <w:rPr>
                <w:rFonts w:ascii="Arial" w:hAnsi="Arial" w:cs="Arial"/>
                <w:b/>
                <w:bCs/>
                <w:color w:val="000000"/>
                <w:sz w:val="20"/>
                <w:szCs w:val="20"/>
                <w:lang w:val="hr-HR"/>
              </w:rPr>
              <w:t>10,576,785</w:t>
            </w:r>
          </w:p>
        </w:tc>
      </w:tr>
      <w:tr w:rsidR="00587444" w:rsidRPr="00587444" w14:paraId="3D23A680" w14:textId="77777777" w:rsidTr="00DD69E7">
        <w:trPr>
          <w:trHeight w:hRule="exact" w:val="397"/>
        </w:trPr>
        <w:tc>
          <w:tcPr>
            <w:tcW w:w="3033" w:type="pct"/>
            <w:vAlign w:val="bottom"/>
          </w:tcPr>
          <w:p w14:paraId="35A61519" w14:textId="77777777" w:rsidR="00587444" w:rsidRPr="00587444" w:rsidRDefault="00587444" w:rsidP="00587444">
            <w:pPr>
              <w:tabs>
                <w:tab w:val="right" w:pos="1202"/>
              </w:tabs>
              <w:suppressAutoHyphens w:val="0"/>
              <w:autoSpaceDN/>
              <w:outlineLvl w:val="0"/>
              <w:rPr>
                <w:rFonts w:ascii="Arial" w:eastAsia="Calibri" w:hAnsi="Arial" w:cs="Arial"/>
                <w:b/>
                <w:bCs/>
                <w:sz w:val="20"/>
                <w:szCs w:val="20"/>
              </w:rPr>
            </w:pPr>
            <w:bookmarkStart w:id="191" w:name="_Toc4057040"/>
            <w:r w:rsidRPr="00587444">
              <w:rPr>
                <w:rFonts w:ascii="Arial" w:eastAsia="Calibri" w:hAnsi="Arial" w:cs="Arial"/>
                <w:b/>
                <w:bCs/>
                <w:sz w:val="20"/>
                <w:szCs w:val="20"/>
              </w:rPr>
              <w:t>Total liabilities and total equity</w:t>
            </w:r>
            <w:bookmarkEnd w:id="191"/>
            <w:r w:rsidRPr="00587444">
              <w:rPr>
                <w:rFonts w:ascii="Arial" w:eastAsia="Calibri" w:hAnsi="Arial" w:cs="Arial"/>
                <w:b/>
                <w:bCs/>
                <w:sz w:val="20"/>
                <w:szCs w:val="20"/>
              </w:rPr>
              <w:t xml:space="preserve"> </w:t>
            </w:r>
          </w:p>
        </w:tc>
        <w:tc>
          <w:tcPr>
            <w:tcW w:w="479" w:type="pct"/>
            <w:vAlign w:val="bottom"/>
          </w:tcPr>
          <w:p w14:paraId="3F843188"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p>
        </w:tc>
        <w:tc>
          <w:tcPr>
            <w:tcW w:w="744" w:type="pct"/>
            <w:tcBorders>
              <w:top w:val="single" w:sz="12" w:space="0" w:color="auto"/>
              <w:left w:val="nil"/>
              <w:bottom w:val="single" w:sz="12" w:space="0" w:color="auto"/>
              <w:right w:val="nil"/>
            </w:tcBorders>
            <w:shd w:val="clear" w:color="auto" w:fill="auto"/>
            <w:vAlign w:val="bottom"/>
          </w:tcPr>
          <w:p w14:paraId="4D6CF2E4" w14:textId="77777777" w:rsidR="00587444" w:rsidRPr="00587444" w:rsidRDefault="00587444" w:rsidP="00587444">
            <w:pPr>
              <w:tabs>
                <w:tab w:val="right" w:pos="1202"/>
              </w:tabs>
              <w:suppressAutoHyphens w:val="0"/>
              <w:autoSpaceDN/>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29,060,163</w:t>
            </w:r>
          </w:p>
        </w:tc>
        <w:tc>
          <w:tcPr>
            <w:tcW w:w="744" w:type="pct"/>
            <w:tcBorders>
              <w:top w:val="single" w:sz="12" w:space="0" w:color="auto"/>
              <w:left w:val="nil"/>
              <w:bottom w:val="single" w:sz="12" w:space="0" w:color="auto"/>
              <w:right w:val="nil"/>
            </w:tcBorders>
            <w:shd w:val="clear" w:color="auto" w:fill="auto"/>
            <w:vAlign w:val="bottom"/>
          </w:tcPr>
          <w:p w14:paraId="67AEEF6A"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r w:rsidRPr="00587444">
              <w:rPr>
                <w:rFonts w:ascii="Arial" w:hAnsi="Arial" w:cs="Arial"/>
                <w:b/>
                <w:bCs/>
                <w:color w:val="000000"/>
                <w:sz w:val="20"/>
                <w:szCs w:val="20"/>
                <w:lang w:val="hr-HR"/>
              </w:rPr>
              <w:t>28,278,362</w:t>
            </w:r>
          </w:p>
        </w:tc>
      </w:tr>
    </w:tbl>
    <w:p w14:paraId="1BB7530B" w14:textId="77777777" w:rsidR="00587444" w:rsidRPr="00587444" w:rsidRDefault="00587444" w:rsidP="00587444">
      <w:pPr>
        <w:suppressAutoHyphens w:val="0"/>
        <w:autoSpaceDN/>
        <w:rPr>
          <w:rFonts w:ascii="Arial" w:hAnsi="Arial" w:cs="Arial"/>
          <w:sz w:val="20"/>
          <w:szCs w:val="20"/>
          <w:lang w:val="en-GB"/>
        </w:rPr>
      </w:pPr>
    </w:p>
    <w:p w14:paraId="62F99EF7"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p>
    <w:p w14:paraId="1D545EFF"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p>
    <w:p w14:paraId="48CD1A61"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r w:rsidRPr="00587444">
        <w:rPr>
          <w:rFonts w:ascii="Arial" w:eastAsia="Calibri" w:hAnsi="Arial" w:cs="Arial"/>
          <w:sz w:val="20"/>
          <w:szCs w:val="20"/>
        </w:rPr>
        <w:t>The accompanying accounting policies and notes are an integral part of these financial statements.</w:t>
      </w:r>
    </w:p>
    <w:p w14:paraId="7F79C87C" w14:textId="77777777" w:rsidR="00587444" w:rsidRPr="00587444" w:rsidRDefault="00587444" w:rsidP="00587444">
      <w:pPr>
        <w:suppressAutoHyphens w:val="0"/>
        <w:autoSpaceDN/>
        <w:rPr>
          <w:rFonts w:ascii="Arial" w:hAnsi="Arial" w:cs="Arial"/>
          <w:sz w:val="20"/>
          <w:szCs w:val="20"/>
        </w:rPr>
      </w:pPr>
    </w:p>
    <w:p w14:paraId="7E0D47A9" w14:textId="77777777" w:rsidR="00587444" w:rsidRPr="00587444" w:rsidRDefault="00587444" w:rsidP="00587444">
      <w:pPr>
        <w:tabs>
          <w:tab w:val="left" w:pos="826"/>
        </w:tabs>
        <w:suppressAutoHyphens w:val="0"/>
        <w:autoSpaceDN/>
        <w:rPr>
          <w:rFonts w:ascii="Arial" w:hAnsi="Arial" w:cs="Arial"/>
          <w:sz w:val="20"/>
          <w:szCs w:val="20"/>
        </w:rPr>
        <w:sectPr w:rsidR="00587444" w:rsidRPr="00587444" w:rsidSect="00DD69E7">
          <w:headerReference w:type="default" r:id="rId61"/>
          <w:footerReference w:type="default" r:id="rId62"/>
          <w:pgSz w:w="11907" w:h="16840" w:code="9"/>
          <w:pgMar w:top="1418" w:right="992" w:bottom="1134" w:left="1418" w:header="851" w:footer="851" w:gutter="0"/>
          <w:cols w:space="720"/>
          <w:noEndnote/>
        </w:sectPr>
      </w:pPr>
    </w:p>
    <w:tbl>
      <w:tblPr>
        <w:tblpPr w:leftFromText="180" w:rightFromText="180" w:vertAnchor="page" w:horzAnchor="margin" w:tblpY="2805"/>
        <w:tblW w:w="9911" w:type="dxa"/>
        <w:tblLayout w:type="fixed"/>
        <w:tblCellMar>
          <w:left w:w="119" w:type="dxa"/>
          <w:right w:w="119" w:type="dxa"/>
        </w:tblCellMar>
        <w:tblLook w:val="0000" w:firstRow="0" w:lastRow="0" w:firstColumn="0" w:lastColumn="0" w:noHBand="0" w:noVBand="0"/>
      </w:tblPr>
      <w:tblGrid>
        <w:gridCol w:w="7370"/>
        <w:gridCol w:w="1271"/>
        <w:gridCol w:w="1270"/>
      </w:tblGrid>
      <w:tr w:rsidR="00587444" w:rsidRPr="00587444" w14:paraId="32FC0A89" w14:textId="77777777" w:rsidTr="00DD69E7">
        <w:trPr>
          <w:trHeight w:val="269"/>
        </w:trPr>
        <w:tc>
          <w:tcPr>
            <w:tcW w:w="7370" w:type="dxa"/>
            <w:vAlign w:val="bottom"/>
          </w:tcPr>
          <w:p w14:paraId="5E832018" w14:textId="77777777" w:rsidR="00587444" w:rsidRPr="00587444" w:rsidRDefault="00587444" w:rsidP="00587444">
            <w:pPr>
              <w:keepLines/>
              <w:tabs>
                <w:tab w:val="right" w:pos="1202"/>
              </w:tabs>
              <w:suppressAutoHyphens w:val="0"/>
              <w:autoSpaceDN/>
              <w:outlineLvl w:val="0"/>
              <w:rPr>
                <w:rFonts w:ascii="Arial" w:eastAsia="Calibri" w:hAnsi="Arial" w:cs="Arial"/>
                <w:b/>
                <w:sz w:val="19"/>
                <w:szCs w:val="19"/>
              </w:rPr>
            </w:pPr>
            <w:r w:rsidRPr="00587444">
              <w:rPr>
                <w:rFonts w:ascii="Arial" w:eastAsia="Calibri" w:hAnsi="Arial" w:cs="Arial"/>
                <w:b/>
                <w:sz w:val="19"/>
                <w:szCs w:val="19"/>
              </w:rPr>
              <w:lastRenderedPageBreak/>
              <w:t xml:space="preserve">                                                                                                                                               </w:t>
            </w:r>
          </w:p>
        </w:tc>
        <w:tc>
          <w:tcPr>
            <w:tcW w:w="1271" w:type="dxa"/>
            <w:vAlign w:val="bottom"/>
          </w:tcPr>
          <w:p w14:paraId="677322BD" w14:textId="77777777" w:rsidR="00587444" w:rsidRPr="00587444" w:rsidRDefault="00587444" w:rsidP="00587444">
            <w:pPr>
              <w:keepLines/>
              <w:tabs>
                <w:tab w:val="right" w:pos="1202"/>
              </w:tabs>
              <w:suppressAutoHyphens w:val="0"/>
              <w:autoSpaceDN/>
              <w:jc w:val="right"/>
              <w:outlineLvl w:val="0"/>
              <w:rPr>
                <w:rFonts w:ascii="Arial" w:eastAsia="Calibri" w:hAnsi="Arial" w:cs="Arial"/>
                <w:b/>
                <w:bCs/>
                <w:sz w:val="19"/>
                <w:szCs w:val="19"/>
              </w:rPr>
            </w:pPr>
            <w:r w:rsidRPr="00587444">
              <w:rPr>
                <w:rFonts w:ascii="Arial" w:eastAsia="Calibri" w:hAnsi="Arial" w:cs="Arial"/>
                <w:b/>
                <w:bCs/>
                <w:sz w:val="19"/>
                <w:szCs w:val="19"/>
              </w:rPr>
              <w:t>2022</w:t>
            </w:r>
          </w:p>
        </w:tc>
        <w:tc>
          <w:tcPr>
            <w:tcW w:w="1270" w:type="dxa"/>
            <w:vAlign w:val="bottom"/>
          </w:tcPr>
          <w:p w14:paraId="4708ADB0" w14:textId="77777777" w:rsidR="00587444" w:rsidRPr="00587444" w:rsidRDefault="00587444" w:rsidP="00587444">
            <w:pPr>
              <w:keepLines/>
              <w:tabs>
                <w:tab w:val="right" w:pos="1202"/>
              </w:tabs>
              <w:suppressAutoHyphens w:val="0"/>
              <w:autoSpaceDN/>
              <w:jc w:val="right"/>
              <w:outlineLvl w:val="0"/>
              <w:rPr>
                <w:rFonts w:ascii="Arial" w:eastAsia="Calibri" w:hAnsi="Arial" w:cs="Arial"/>
                <w:b/>
                <w:bCs/>
                <w:sz w:val="19"/>
                <w:szCs w:val="19"/>
              </w:rPr>
            </w:pPr>
            <w:r w:rsidRPr="00587444">
              <w:rPr>
                <w:rFonts w:ascii="Arial" w:eastAsia="Calibri" w:hAnsi="Arial" w:cs="Arial"/>
                <w:b/>
                <w:bCs/>
                <w:sz w:val="19"/>
                <w:szCs w:val="19"/>
              </w:rPr>
              <w:t>2021</w:t>
            </w:r>
          </w:p>
        </w:tc>
      </w:tr>
      <w:tr w:rsidR="00587444" w:rsidRPr="00587444" w14:paraId="36F129B9" w14:textId="77777777" w:rsidTr="00DD69E7">
        <w:trPr>
          <w:trHeight w:val="269"/>
        </w:trPr>
        <w:tc>
          <w:tcPr>
            <w:tcW w:w="7370" w:type="dxa"/>
            <w:vAlign w:val="bottom"/>
          </w:tcPr>
          <w:p w14:paraId="0A2CFC32" w14:textId="77777777" w:rsidR="00587444" w:rsidRPr="00587444" w:rsidRDefault="00587444" w:rsidP="00587444">
            <w:pPr>
              <w:keepLines/>
              <w:tabs>
                <w:tab w:val="right" w:pos="1202"/>
              </w:tabs>
              <w:suppressAutoHyphens w:val="0"/>
              <w:autoSpaceDN/>
              <w:jc w:val="right"/>
              <w:outlineLvl w:val="0"/>
              <w:rPr>
                <w:rFonts w:ascii="Arial" w:eastAsia="Calibri" w:hAnsi="Arial" w:cs="Arial"/>
                <w:b/>
                <w:sz w:val="19"/>
                <w:szCs w:val="19"/>
              </w:rPr>
            </w:pPr>
            <w:bookmarkStart w:id="193" w:name="_Toc4057045"/>
            <w:r w:rsidRPr="00587444">
              <w:rPr>
                <w:rFonts w:ascii="Arial" w:eastAsia="Calibri" w:hAnsi="Arial" w:cs="Arial"/>
                <w:b/>
                <w:sz w:val="19"/>
                <w:szCs w:val="19"/>
              </w:rPr>
              <w:t>Notes</w:t>
            </w:r>
            <w:bookmarkEnd w:id="193"/>
          </w:p>
        </w:tc>
        <w:tc>
          <w:tcPr>
            <w:tcW w:w="1271" w:type="dxa"/>
            <w:vAlign w:val="bottom"/>
          </w:tcPr>
          <w:p w14:paraId="7AD3B625" w14:textId="77777777" w:rsidR="00587444" w:rsidRPr="00587444" w:rsidRDefault="00587444" w:rsidP="00587444">
            <w:pPr>
              <w:keepLines/>
              <w:tabs>
                <w:tab w:val="right" w:pos="1202"/>
              </w:tabs>
              <w:suppressAutoHyphens w:val="0"/>
              <w:autoSpaceDN/>
              <w:jc w:val="right"/>
              <w:outlineLvl w:val="0"/>
              <w:rPr>
                <w:rFonts w:ascii="Arial" w:eastAsia="Calibri" w:hAnsi="Arial" w:cs="Arial"/>
                <w:b/>
                <w:bCs/>
                <w:sz w:val="19"/>
                <w:szCs w:val="19"/>
              </w:rPr>
            </w:pPr>
            <w:bookmarkStart w:id="194" w:name="_Toc4057046"/>
            <w:r w:rsidRPr="00587444">
              <w:rPr>
                <w:rFonts w:ascii="Arial" w:eastAsia="Calibri" w:hAnsi="Arial" w:cs="Arial"/>
                <w:b/>
                <w:bCs/>
                <w:sz w:val="19"/>
                <w:szCs w:val="19"/>
              </w:rPr>
              <w:t>HRK ‘000</w:t>
            </w:r>
            <w:bookmarkEnd w:id="194"/>
          </w:p>
        </w:tc>
        <w:tc>
          <w:tcPr>
            <w:tcW w:w="1270" w:type="dxa"/>
            <w:vAlign w:val="bottom"/>
          </w:tcPr>
          <w:p w14:paraId="26FF9B2F" w14:textId="77777777" w:rsidR="00587444" w:rsidRPr="00587444" w:rsidRDefault="00587444" w:rsidP="00587444">
            <w:pPr>
              <w:keepLines/>
              <w:tabs>
                <w:tab w:val="right" w:pos="1202"/>
              </w:tabs>
              <w:suppressAutoHyphens w:val="0"/>
              <w:autoSpaceDN/>
              <w:jc w:val="right"/>
              <w:outlineLvl w:val="0"/>
              <w:rPr>
                <w:rFonts w:ascii="Arial" w:eastAsia="Calibri" w:hAnsi="Arial" w:cs="Arial"/>
                <w:b/>
                <w:bCs/>
                <w:sz w:val="19"/>
                <w:szCs w:val="19"/>
              </w:rPr>
            </w:pPr>
            <w:bookmarkStart w:id="195" w:name="_Toc4057047"/>
            <w:r w:rsidRPr="00587444">
              <w:rPr>
                <w:rFonts w:ascii="Arial" w:eastAsia="Calibri" w:hAnsi="Arial" w:cs="Arial"/>
                <w:b/>
                <w:bCs/>
                <w:sz w:val="19"/>
                <w:szCs w:val="19"/>
              </w:rPr>
              <w:t>HRK ‘000</w:t>
            </w:r>
            <w:bookmarkEnd w:id="195"/>
          </w:p>
        </w:tc>
      </w:tr>
      <w:tr w:rsidR="00587444" w:rsidRPr="00587444" w14:paraId="63F06C8D" w14:textId="77777777" w:rsidTr="00DD69E7">
        <w:trPr>
          <w:trHeight w:val="205"/>
        </w:trPr>
        <w:tc>
          <w:tcPr>
            <w:tcW w:w="7370" w:type="dxa"/>
          </w:tcPr>
          <w:p w14:paraId="5CDA7B44" w14:textId="77777777" w:rsidR="00587444" w:rsidRPr="00587444" w:rsidRDefault="00587444" w:rsidP="00587444">
            <w:pPr>
              <w:keepLines/>
              <w:tabs>
                <w:tab w:val="right" w:pos="1202"/>
              </w:tabs>
              <w:suppressAutoHyphens w:val="0"/>
              <w:autoSpaceDN/>
              <w:outlineLvl w:val="0"/>
              <w:rPr>
                <w:rFonts w:ascii="Arial" w:eastAsia="Calibri" w:hAnsi="Arial" w:cs="Arial"/>
                <w:b/>
                <w:bCs/>
                <w:spacing w:val="-3"/>
                <w:sz w:val="19"/>
                <w:szCs w:val="19"/>
              </w:rPr>
            </w:pPr>
            <w:bookmarkStart w:id="196" w:name="_Toc4057048"/>
            <w:r w:rsidRPr="00587444">
              <w:rPr>
                <w:rFonts w:ascii="Arial" w:eastAsia="Calibri" w:hAnsi="Arial" w:cs="Arial"/>
                <w:b/>
                <w:bCs/>
                <w:sz w:val="19"/>
                <w:szCs w:val="19"/>
              </w:rPr>
              <w:t>Operating activities</w:t>
            </w:r>
            <w:bookmarkEnd w:id="196"/>
          </w:p>
        </w:tc>
        <w:tc>
          <w:tcPr>
            <w:tcW w:w="1271" w:type="dxa"/>
          </w:tcPr>
          <w:p w14:paraId="44B7D078" w14:textId="77777777" w:rsidR="00587444" w:rsidRPr="00587444" w:rsidRDefault="00587444" w:rsidP="00587444">
            <w:pPr>
              <w:keepLines/>
              <w:tabs>
                <w:tab w:val="right" w:pos="1202"/>
              </w:tabs>
              <w:suppressAutoHyphens w:val="0"/>
              <w:autoSpaceDN/>
              <w:jc w:val="right"/>
              <w:outlineLvl w:val="0"/>
              <w:rPr>
                <w:rFonts w:ascii="Arial" w:eastAsia="Calibri" w:hAnsi="Arial" w:cs="Arial"/>
                <w:sz w:val="19"/>
                <w:szCs w:val="19"/>
              </w:rPr>
            </w:pPr>
          </w:p>
        </w:tc>
        <w:tc>
          <w:tcPr>
            <w:tcW w:w="1270" w:type="dxa"/>
          </w:tcPr>
          <w:p w14:paraId="5AC57398" w14:textId="77777777" w:rsidR="00587444" w:rsidRPr="00587444" w:rsidRDefault="00587444" w:rsidP="00587444">
            <w:pPr>
              <w:keepLines/>
              <w:tabs>
                <w:tab w:val="right" w:pos="1202"/>
              </w:tabs>
              <w:suppressAutoHyphens w:val="0"/>
              <w:autoSpaceDN/>
              <w:jc w:val="right"/>
              <w:outlineLvl w:val="0"/>
              <w:rPr>
                <w:rFonts w:ascii="Arial" w:eastAsia="Calibri" w:hAnsi="Arial" w:cs="Arial"/>
                <w:sz w:val="19"/>
                <w:szCs w:val="19"/>
              </w:rPr>
            </w:pPr>
          </w:p>
        </w:tc>
      </w:tr>
      <w:tr w:rsidR="00587444" w:rsidRPr="00587444" w14:paraId="7089C615" w14:textId="77777777" w:rsidTr="00587444">
        <w:trPr>
          <w:trHeight w:hRule="exact" w:val="227"/>
        </w:trPr>
        <w:tc>
          <w:tcPr>
            <w:tcW w:w="7370" w:type="dxa"/>
          </w:tcPr>
          <w:p w14:paraId="1981515D" w14:textId="77777777" w:rsidR="00587444" w:rsidRPr="00587444" w:rsidRDefault="00587444" w:rsidP="00587444">
            <w:pPr>
              <w:keepLines/>
              <w:tabs>
                <w:tab w:val="right" w:pos="1202"/>
              </w:tabs>
              <w:suppressAutoHyphens w:val="0"/>
              <w:autoSpaceDN/>
              <w:outlineLvl w:val="0"/>
              <w:rPr>
                <w:rFonts w:ascii="Arial" w:eastAsia="Calibri" w:hAnsi="Arial" w:cs="Arial"/>
                <w:spacing w:val="-3"/>
                <w:sz w:val="19"/>
                <w:szCs w:val="19"/>
              </w:rPr>
            </w:pPr>
            <w:bookmarkStart w:id="197" w:name="_Toc4057049"/>
            <w:r w:rsidRPr="00587444">
              <w:rPr>
                <w:rFonts w:ascii="Arial" w:eastAsia="Calibri" w:hAnsi="Arial" w:cs="Arial"/>
                <w:sz w:val="19"/>
                <w:szCs w:val="19"/>
              </w:rPr>
              <w:t>Profit before income tax</w:t>
            </w:r>
            <w:bookmarkEnd w:id="197"/>
          </w:p>
        </w:tc>
        <w:tc>
          <w:tcPr>
            <w:tcW w:w="1271" w:type="dxa"/>
            <w:shd w:val="clear" w:color="auto" w:fill="FFFFFF"/>
            <w:vAlign w:val="bottom"/>
          </w:tcPr>
          <w:p w14:paraId="111B2518" w14:textId="77777777" w:rsidR="00587444" w:rsidRPr="00587444" w:rsidRDefault="00587444" w:rsidP="00587444">
            <w:pPr>
              <w:keepLines/>
              <w:suppressAutoHyphens w:val="0"/>
              <w:autoSpaceDN/>
              <w:jc w:val="right"/>
              <w:rPr>
                <w:rFonts w:ascii="Arial" w:hAnsi="Arial" w:cs="Arial"/>
                <w:color w:val="000000"/>
                <w:sz w:val="19"/>
                <w:szCs w:val="19"/>
                <w:lang w:val="hr-HR"/>
              </w:rPr>
            </w:pPr>
            <w:r w:rsidRPr="00587444">
              <w:rPr>
                <w:rFonts w:ascii="Arial" w:hAnsi="Arial" w:cs="Arial"/>
                <w:color w:val="000000"/>
                <w:sz w:val="19"/>
                <w:szCs w:val="19"/>
                <w:lang w:val="hr-HR"/>
              </w:rPr>
              <w:t>190,130</w:t>
            </w:r>
          </w:p>
        </w:tc>
        <w:tc>
          <w:tcPr>
            <w:tcW w:w="1270" w:type="dxa"/>
            <w:shd w:val="clear" w:color="auto" w:fill="FFFFFF"/>
          </w:tcPr>
          <w:p w14:paraId="596AC80F"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z w:val="19"/>
                <w:szCs w:val="19"/>
                <w:lang w:val="hr-HR"/>
              </w:rPr>
              <w:t>188,399</w:t>
            </w:r>
          </w:p>
        </w:tc>
      </w:tr>
      <w:tr w:rsidR="00587444" w:rsidRPr="00587444" w14:paraId="30956D62" w14:textId="77777777" w:rsidTr="00587444">
        <w:trPr>
          <w:trHeight w:hRule="exact" w:val="227"/>
        </w:trPr>
        <w:tc>
          <w:tcPr>
            <w:tcW w:w="7370" w:type="dxa"/>
          </w:tcPr>
          <w:p w14:paraId="7080FD46" w14:textId="77777777" w:rsidR="00587444" w:rsidRPr="00587444" w:rsidRDefault="00587444" w:rsidP="00587444">
            <w:pPr>
              <w:keepLines/>
              <w:tabs>
                <w:tab w:val="right" w:pos="1202"/>
              </w:tabs>
              <w:suppressAutoHyphens w:val="0"/>
              <w:autoSpaceDN/>
              <w:outlineLvl w:val="0"/>
              <w:rPr>
                <w:rFonts w:ascii="Arial" w:eastAsia="Calibri" w:hAnsi="Arial" w:cs="Arial"/>
                <w:i/>
                <w:sz w:val="19"/>
                <w:szCs w:val="19"/>
              </w:rPr>
            </w:pPr>
            <w:bookmarkStart w:id="198" w:name="_Toc4057050"/>
            <w:r w:rsidRPr="00587444">
              <w:rPr>
                <w:rFonts w:ascii="Arial" w:eastAsia="Calibri" w:hAnsi="Arial" w:cs="Arial"/>
                <w:i/>
                <w:sz w:val="19"/>
                <w:szCs w:val="19"/>
              </w:rPr>
              <w:t>Adjustments to reconcile to net cash from and used in operating activities:</w:t>
            </w:r>
            <w:bookmarkEnd w:id="198"/>
          </w:p>
        </w:tc>
        <w:tc>
          <w:tcPr>
            <w:tcW w:w="1271" w:type="dxa"/>
            <w:shd w:val="clear" w:color="auto" w:fill="FFFFFF"/>
            <w:vAlign w:val="bottom"/>
          </w:tcPr>
          <w:p w14:paraId="1F816B21" w14:textId="77777777" w:rsidR="00587444" w:rsidRPr="00587444" w:rsidRDefault="00587444" w:rsidP="00587444">
            <w:pPr>
              <w:keepLines/>
              <w:suppressAutoHyphens w:val="0"/>
              <w:autoSpaceDN/>
              <w:jc w:val="right"/>
              <w:rPr>
                <w:rFonts w:ascii="Arial" w:hAnsi="Arial" w:cs="Arial"/>
                <w:color w:val="000000"/>
                <w:sz w:val="19"/>
                <w:szCs w:val="19"/>
                <w:lang w:val="hr-HR"/>
              </w:rPr>
            </w:pPr>
          </w:p>
        </w:tc>
        <w:tc>
          <w:tcPr>
            <w:tcW w:w="1270" w:type="dxa"/>
            <w:shd w:val="clear" w:color="auto" w:fill="FFFFFF"/>
          </w:tcPr>
          <w:p w14:paraId="42F79ED7" w14:textId="77777777" w:rsidR="00587444" w:rsidRPr="00587444" w:rsidRDefault="00587444" w:rsidP="00587444">
            <w:pPr>
              <w:keepLines/>
              <w:suppressAutoHyphens w:val="0"/>
              <w:autoSpaceDN/>
              <w:jc w:val="right"/>
              <w:rPr>
                <w:rFonts w:ascii="Arial" w:eastAsia="Calibri" w:hAnsi="Arial" w:cs="Arial"/>
                <w:sz w:val="19"/>
                <w:szCs w:val="19"/>
              </w:rPr>
            </w:pPr>
          </w:p>
        </w:tc>
      </w:tr>
      <w:tr w:rsidR="00587444" w:rsidRPr="00587444" w14:paraId="6E46FA3D" w14:textId="77777777" w:rsidTr="00DD69E7">
        <w:trPr>
          <w:trHeight w:hRule="exact" w:val="206"/>
        </w:trPr>
        <w:tc>
          <w:tcPr>
            <w:tcW w:w="7370" w:type="dxa"/>
          </w:tcPr>
          <w:p w14:paraId="6F9202D1" w14:textId="77777777" w:rsidR="00587444" w:rsidRPr="00587444" w:rsidRDefault="00587444" w:rsidP="00587444">
            <w:pPr>
              <w:keepLines/>
              <w:tabs>
                <w:tab w:val="right" w:pos="1202"/>
              </w:tabs>
              <w:suppressAutoHyphens w:val="0"/>
              <w:autoSpaceDN/>
              <w:outlineLvl w:val="0"/>
              <w:rPr>
                <w:rFonts w:ascii="Arial" w:eastAsia="Calibri" w:hAnsi="Arial" w:cs="Arial"/>
                <w:spacing w:val="-3"/>
                <w:sz w:val="19"/>
                <w:szCs w:val="19"/>
              </w:rPr>
            </w:pPr>
            <w:bookmarkStart w:id="199" w:name="_Toc4057051"/>
            <w:r w:rsidRPr="00587444">
              <w:rPr>
                <w:rFonts w:ascii="Arial" w:eastAsia="Calibri" w:hAnsi="Arial" w:cs="Arial"/>
                <w:sz w:val="19"/>
                <w:szCs w:val="19"/>
              </w:rPr>
              <w:t>Depreciation</w:t>
            </w:r>
            <w:bookmarkEnd w:id="199"/>
            <w:r w:rsidRPr="00587444">
              <w:rPr>
                <w:rFonts w:ascii="Arial" w:eastAsia="Calibri" w:hAnsi="Arial" w:cs="Arial"/>
                <w:sz w:val="19"/>
                <w:szCs w:val="19"/>
              </w:rPr>
              <w:t xml:space="preserve"> and </w:t>
            </w:r>
            <w:proofErr w:type="spellStart"/>
            <w:r w:rsidRPr="00587444">
              <w:rPr>
                <w:rFonts w:ascii="Arial" w:eastAsia="Calibri" w:hAnsi="Arial" w:cs="Arial"/>
                <w:sz w:val="19"/>
                <w:szCs w:val="19"/>
              </w:rPr>
              <w:t>amortisation</w:t>
            </w:r>
            <w:proofErr w:type="spellEnd"/>
          </w:p>
        </w:tc>
        <w:tc>
          <w:tcPr>
            <w:tcW w:w="1271" w:type="dxa"/>
            <w:tcBorders>
              <w:top w:val="nil"/>
              <w:left w:val="nil"/>
              <w:bottom w:val="nil"/>
              <w:right w:val="nil"/>
            </w:tcBorders>
            <w:shd w:val="clear" w:color="auto" w:fill="auto"/>
            <w:vAlign w:val="bottom"/>
          </w:tcPr>
          <w:p w14:paraId="4F83114C" w14:textId="77777777" w:rsidR="00587444" w:rsidRPr="00587444" w:rsidRDefault="00587444" w:rsidP="00587444">
            <w:pPr>
              <w:keepLines/>
              <w:suppressAutoHyphens w:val="0"/>
              <w:autoSpaceDN/>
              <w:jc w:val="right"/>
              <w:rPr>
                <w:rFonts w:ascii="Arial" w:hAnsi="Arial" w:cs="Arial"/>
                <w:color w:val="000000"/>
                <w:sz w:val="19"/>
                <w:szCs w:val="19"/>
                <w:lang w:val="hr-HR"/>
              </w:rPr>
            </w:pPr>
            <w:r w:rsidRPr="00587444">
              <w:rPr>
                <w:rFonts w:ascii="Arial" w:hAnsi="Arial" w:cs="Arial"/>
                <w:color w:val="000000"/>
                <w:sz w:val="19"/>
                <w:szCs w:val="19"/>
                <w:lang w:val="hr-HR"/>
              </w:rPr>
              <w:t>11,600</w:t>
            </w:r>
          </w:p>
        </w:tc>
        <w:tc>
          <w:tcPr>
            <w:tcW w:w="1270" w:type="dxa"/>
            <w:tcBorders>
              <w:top w:val="nil"/>
              <w:left w:val="nil"/>
              <w:bottom w:val="nil"/>
              <w:right w:val="nil"/>
            </w:tcBorders>
            <w:shd w:val="clear" w:color="auto" w:fill="auto"/>
            <w:vAlign w:val="center"/>
          </w:tcPr>
          <w:p w14:paraId="723B76BC"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z w:val="19"/>
                <w:szCs w:val="19"/>
                <w:lang w:val="hr-HR"/>
              </w:rPr>
              <w:t>11,304</w:t>
            </w:r>
          </w:p>
        </w:tc>
      </w:tr>
      <w:tr w:rsidR="00587444" w:rsidRPr="00587444" w14:paraId="2415DC6D" w14:textId="77777777" w:rsidTr="00DD69E7">
        <w:trPr>
          <w:trHeight w:hRule="exact" w:val="206"/>
        </w:trPr>
        <w:tc>
          <w:tcPr>
            <w:tcW w:w="7370" w:type="dxa"/>
          </w:tcPr>
          <w:p w14:paraId="33FADE63" w14:textId="77777777" w:rsidR="00587444" w:rsidRPr="00587444" w:rsidRDefault="00587444" w:rsidP="00587444">
            <w:pPr>
              <w:keepLines/>
              <w:tabs>
                <w:tab w:val="right" w:pos="1202"/>
              </w:tabs>
              <w:suppressAutoHyphens w:val="0"/>
              <w:autoSpaceDN/>
              <w:outlineLvl w:val="0"/>
              <w:rPr>
                <w:rFonts w:ascii="Arial" w:eastAsia="Calibri" w:hAnsi="Arial" w:cs="Arial"/>
                <w:sz w:val="19"/>
                <w:szCs w:val="19"/>
              </w:rPr>
            </w:pPr>
            <w:bookmarkStart w:id="200" w:name="_Toc4057052"/>
            <w:r w:rsidRPr="00587444">
              <w:rPr>
                <w:rFonts w:ascii="Arial" w:eastAsia="Calibri" w:hAnsi="Arial" w:cs="Arial"/>
                <w:sz w:val="19"/>
                <w:szCs w:val="19"/>
              </w:rPr>
              <w:t>Income tax</w:t>
            </w:r>
            <w:bookmarkEnd w:id="200"/>
          </w:p>
        </w:tc>
        <w:tc>
          <w:tcPr>
            <w:tcW w:w="1271" w:type="dxa"/>
            <w:tcBorders>
              <w:top w:val="nil"/>
              <w:left w:val="nil"/>
              <w:bottom w:val="nil"/>
              <w:right w:val="nil"/>
            </w:tcBorders>
            <w:shd w:val="clear" w:color="auto" w:fill="auto"/>
            <w:vAlign w:val="bottom"/>
          </w:tcPr>
          <w:p w14:paraId="3A3248EB" w14:textId="77777777" w:rsidR="00587444" w:rsidRPr="00587444" w:rsidRDefault="00587444" w:rsidP="00587444">
            <w:pPr>
              <w:keepLines/>
              <w:suppressAutoHyphens w:val="0"/>
              <w:autoSpaceDN/>
              <w:jc w:val="right"/>
              <w:rPr>
                <w:rFonts w:ascii="Arial" w:hAnsi="Arial" w:cs="Arial"/>
                <w:color w:val="000000"/>
                <w:sz w:val="19"/>
                <w:szCs w:val="19"/>
                <w:lang w:val="hr-HR"/>
              </w:rPr>
            </w:pPr>
            <w:r w:rsidRPr="00587444">
              <w:rPr>
                <w:rFonts w:ascii="Arial" w:hAnsi="Arial" w:cs="Arial"/>
                <w:color w:val="000000"/>
                <w:sz w:val="19"/>
                <w:szCs w:val="19"/>
                <w:lang w:val="hr-HR"/>
              </w:rPr>
              <w:t>(672)</w:t>
            </w:r>
          </w:p>
        </w:tc>
        <w:tc>
          <w:tcPr>
            <w:tcW w:w="1270" w:type="dxa"/>
            <w:tcBorders>
              <w:top w:val="nil"/>
              <w:left w:val="nil"/>
              <w:bottom w:val="nil"/>
              <w:right w:val="nil"/>
            </w:tcBorders>
            <w:shd w:val="clear" w:color="auto" w:fill="auto"/>
            <w:vAlign w:val="bottom"/>
          </w:tcPr>
          <w:p w14:paraId="362427C1"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z w:val="19"/>
                <w:szCs w:val="19"/>
                <w:lang w:val="hr-HR"/>
              </w:rPr>
              <w:t>(214)</w:t>
            </w:r>
          </w:p>
        </w:tc>
      </w:tr>
      <w:tr w:rsidR="00587444" w:rsidRPr="00587444" w14:paraId="4A8C8EAB" w14:textId="77777777" w:rsidTr="00DD69E7">
        <w:trPr>
          <w:trHeight w:hRule="exact" w:val="206"/>
        </w:trPr>
        <w:tc>
          <w:tcPr>
            <w:tcW w:w="7370" w:type="dxa"/>
          </w:tcPr>
          <w:p w14:paraId="75B5F5BF" w14:textId="77777777" w:rsidR="00587444" w:rsidRPr="00587444" w:rsidRDefault="00587444" w:rsidP="00587444">
            <w:pPr>
              <w:tabs>
                <w:tab w:val="right" w:pos="1202"/>
              </w:tabs>
              <w:suppressAutoHyphens w:val="0"/>
              <w:autoSpaceDN/>
              <w:outlineLvl w:val="0"/>
              <w:rPr>
                <w:rFonts w:ascii="Arial" w:eastAsia="Calibri" w:hAnsi="Arial" w:cs="Arial"/>
                <w:bCs/>
                <w:spacing w:val="-2"/>
                <w:sz w:val="19"/>
                <w:szCs w:val="19"/>
              </w:rPr>
            </w:pPr>
            <w:bookmarkStart w:id="201" w:name="_Toc4057053"/>
            <w:r w:rsidRPr="00587444">
              <w:rPr>
                <w:rFonts w:ascii="Arial" w:eastAsia="Calibri" w:hAnsi="Arial" w:cs="Arial"/>
                <w:sz w:val="19"/>
                <w:szCs w:val="19"/>
              </w:rPr>
              <w:t>Impairment loss and provisions</w:t>
            </w:r>
            <w:bookmarkEnd w:id="201"/>
          </w:p>
        </w:tc>
        <w:tc>
          <w:tcPr>
            <w:tcW w:w="1271" w:type="dxa"/>
            <w:tcBorders>
              <w:top w:val="nil"/>
              <w:left w:val="nil"/>
              <w:bottom w:val="nil"/>
              <w:right w:val="nil"/>
            </w:tcBorders>
            <w:shd w:val="clear" w:color="auto" w:fill="auto"/>
            <w:vAlign w:val="bottom"/>
          </w:tcPr>
          <w:p w14:paraId="60A18A69" w14:textId="77777777" w:rsidR="00587444" w:rsidRPr="00587444" w:rsidRDefault="00587444" w:rsidP="00587444">
            <w:pPr>
              <w:keepLines/>
              <w:suppressAutoHyphens w:val="0"/>
              <w:autoSpaceDN/>
              <w:jc w:val="right"/>
              <w:rPr>
                <w:rFonts w:ascii="Arial" w:hAnsi="Arial" w:cs="Arial"/>
                <w:color w:val="000000"/>
                <w:sz w:val="19"/>
                <w:szCs w:val="19"/>
                <w:lang w:val="hr-HR"/>
              </w:rPr>
            </w:pPr>
            <w:r w:rsidRPr="00587444">
              <w:rPr>
                <w:rFonts w:ascii="Arial" w:hAnsi="Arial" w:cs="Arial"/>
                <w:color w:val="000000"/>
                <w:sz w:val="19"/>
                <w:szCs w:val="19"/>
                <w:lang w:val="hr-HR"/>
              </w:rPr>
              <w:t>144,254</w:t>
            </w:r>
          </w:p>
        </w:tc>
        <w:tc>
          <w:tcPr>
            <w:tcW w:w="1270" w:type="dxa"/>
            <w:tcBorders>
              <w:top w:val="nil"/>
              <w:left w:val="nil"/>
              <w:bottom w:val="nil"/>
              <w:right w:val="nil"/>
            </w:tcBorders>
            <w:shd w:val="clear" w:color="auto" w:fill="auto"/>
            <w:vAlign w:val="bottom"/>
          </w:tcPr>
          <w:p w14:paraId="3047B8E2"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z w:val="19"/>
                <w:szCs w:val="19"/>
                <w:lang w:val="hr-HR"/>
              </w:rPr>
              <w:t>163,030</w:t>
            </w:r>
          </w:p>
        </w:tc>
      </w:tr>
      <w:tr w:rsidR="00587444" w:rsidRPr="00587444" w14:paraId="28F17C41" w14:textId="77777777" w:rsidTr="00DD69E7">
        <w:trPr>
          <w:trHeight w:hRule="exact" w:val="206"/>
        </w:trPr>
        <w:tc>
          <w:tcPr>
            <w:tcW w:w="7370" w:type="dxa"/>
            <w:vAlign w:val="bottom"/>
          </w:tcPr>
          <w:p w14:paraId="0D4A046D" w14:textId="77777777" w:rsidR="00587444" w:rsidRPr="00587444" w:rsidRDefault="00587444" w:rsidP="00587444">
            <w:pPr>
              <w:keepLines/>
              <w:tabs>
                <w:tab w:val="right" w:pos="1202"/>
              </w:tabs>
              <w:suppressAutoHyphens w:val="0"/>
              <w:autoSpaceDN/>
              <w:outlineLvl w:val="0"/>
              <w:rPr>
                <w:rFonts w:ascii="Arial" w:eastAsia="Calibri" w:hAnsi="Arial" w:cs="Arial"/>
                <w:iCs/>
                <w:sz w:val="19"/>
                <w:szCs w:val="19"/>
              </w:rPr>
            </w:pPr>
            <w:bookmarkStart w:id="202" w:name="_Toc4057054"/>
            <w:r w:rsidRPr="00587444">
              <w:rPr>
                <w:rFonts w:ascii="Arial" w:eastAsia="Calibri" w:hAnsi="Arial" w:cs="Arial"/>
                <w:sz w:val="19"/>
                <w:szCs w:val="19"/>
              </w:rPr>
              <w:t>Accrued interest</w:t>
            </w:r>
            <w:bookmarkEnd w:id="202"/>
          </w:p>
        </w:tc>
        <w:tc>
          <w:tcPr>
            <w:tcW w:w="1271" w:type="dxa"/>
            <w:tcBorders>
              <w:top w:val="nil"/>
              <w:left w:val="nil"/>
              <w:bottom w:val="nil"/>
              <w:right w:val="nil"/>
            </w:tcBorders>
            <w:shd w:val="clear" w:color="auto" w:fill="auto"/>
            <w:vAlign w:val="bottom"/>
          </w:tcPr>
          <w:p w14:paraId="6B9875F4" w14:textId="77777777" w:rsidR="00587444" w:rsidRPr="00587444" w:rsidRDefault="00587444" w:rsidP="00587444">
            <w:pPr>
              <w:keepLines/>
              <w:suppressAutoHyphens w:val="0"/>
              <w:autoSpaceDN/>
              <w:jc w:val="right"/>
              <w:rPr>
                <w:rFonts w:ascii="Arial" w:hAnsi="Arial" w:cs="Arial"/>
                <w:color w:val="000000"/>
                <w:sz w:val="19"/>
                <w:szCs w:val="19"/>
                <w:lang w:val="hr-HR"/>
              </w:rPr>
            </w:pPr>
            <w:r w:rsidRPr="00587444">
              <w:rPr>
                <w:rFonts w:ascii="Arial" w:hAnsi="Arial" w:cs="Arial"/>
                <w:color w:val="000000"/>
                <w:sz w:val="19"/>
                <w:szCs w:val="19"/>
                <w:lang w:val="hr-HR"/>
              </w:rPr>
              <w:t>60,402</w:t>
            </w:r>
          </w:p>
        </w:tc>
        <w:tc>
          <w:tcPr>
            <w:tcW w:w="1270" w:type="dxa"/>
            <w:tcBorders>
              <w:top w:val="nil"/>
              <w:left w:val="nil"/>
              <w:bottom w:val="nil"/>
              <w:right w:val="nil"/>
            </w:tcBorders>
            <w:shd w:val="clear" w:color="auto" w:fill="auto"/>
            <w:vAlign w:val="bottom"/>
          </w:tcPr>
          <w:p w14:paraId="52F1FFDC"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z w:val="19"/>
                <w:szCs w:val="19"/>
                <w:lang w:val="hr-HR"/>
              </w:rPr>
              <w:t>95,188</w:t>
            </w:r>
          </w:p>
        </w:tc>
      </w:tr>
      <w:tr w:rsidR="00587444" w:rsidRPr="00587444" w14:paraId="0C2337CD" w14:textId="77777777" w:rsidTr="00DD69E7">
        <w:trPr>
          <w:trHeight w:hRule="exact" w:val="232"/>
        </w:trPr>
        <w:tc>
          <w:tcPr>
            <w:tcW w:w="7370" w:type="dxa"/>
            <w:vAlign w:val="bottom"/>
          </w:tcPr>
          <w:p w14:paraId="5338A194" w14:textId="77777777" w:rsidR="00587444" w:rsidRPr="00587444" w:rsidRDefault="00587444" w:rsidP="00587444">
            <w:pPr>
              <w:keepLines/>
              <w:tabs>
                <w:tab w:val="right" w:pos="1202"/>
              </w:tabs>
              <w:suppressAutoHyphens w:val="0"/>
              <w:autoSpaceDN/>
              <w:outlineLvl w:val="0"/>
              <w:rPr>
                <w:rFonts w:ascii="Arial" w:eastAsia="Calibri" w:hAnsi="Arial" w:cs="Arial"/>
                <w:sz w:val="19"/>
                <w:szCs w:val="19"/>
              </w:rPr>
            </w:pPr>
            <w:bookmarkStart w:id="203" w:name="_Toc4057055"/>
            <w:r w:rsidRPr="00587444">
              <w:rPr>
                <w:rFonts w:ascii="Arial" w:eastAsia="Calibri" w:hAnsi="Arial" w:cs="Arial"/>
                <w:sz w:val="19"/>
                <w:szCs w:val="19"/>
              </w:rPr>
              <w:t>Deferred fees</w:t>
            </w:r>
            <w:bookmarkEnd w:id="203"/>
          </w:p>
        </w:tc>
        <w:tc>
          <w:tcPr>
            <w:tcW w:w="1271" w:type="dxa"/>
            <w:tcBorders>
              <w:top w:val="nil"/>
              <w:left w:val="nil"/>
              <w:bottom w:val="nil"/>
              <w:right w:val="nil"/>
            </w:tcBorders>
            <w:shd w:val="clear" w:color="auto" w:fill="auto"/>
            <w:vAlign w:val="bottom"/>
          </w:tcPr>
          <w:p w14:paraId="3E9B8E0C" w14:textId="77777777" w:rsidR="00587444" w:rsidRPr="00587444" w:rsidRDefault="00587444" w:rsidP="00587444">
            <w:pPr>
              <w:keepLines/>
              <w:suppressAutoHyphens w:val="0"/>
              <w:autoSpaceDN/>
              <w:jc w:val="right"/>
              <w:rPr>
                <w:rFonts w:ascii="Arial" w:hAnsi="Arial" w:cs="Arial"/>
                <w:color w:val="000000"/>
                <w:sz w:val="19"/>
                <w:szCs w:val="19"/>
                <w:lang w:val="hr-HR"/>
              </w:rPr>
            </w:pPr>
            <w:r w:rsidRPr="00587444">
              <w:rPr>
                <w:rFonts w:ascii="Arial" w:hAnsi="Arial" w:cs="Arial"/>
                <w:color w:val="000000"/>
                <w:sz w:val="19"/>
                <w:szCs w:val="19"/>
                <w:lang w:val="hr-HR"/>
              </w:rPr>
              <w:t>(13,252)</w:t>
            </w:r>
          </w:p>
        </w:tc>
        <w:tc>
          <w:tcPr>
            <w:tcW w:w="1270" w:type="dxa"/>
            <w:tcBorders>
              <w:top w:val="nil"/>
              <w:left w:val="nil"/>
              <w:bottom w:val="nil"/>
              <w:right w:val="nil"/>
            </w:tcBorders>
            <w:shd w:val="clear" w:color="auto" w:fill="auto"/>
            <w:vAlign w:val="bottom"/>
          </w:tcPr>
          <w:p w14:paraId="70A52FAF"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z w:val="19"/>
                <w:szCs w:val="19"/>
                <w:lang w:val="hr-HR"/>
              </w:rPr>
              <w:t>(9,782)</w:t>
            </w:r>
          </w:p>
        </w:tc>
      </w:tr>
      <w:tr w:rsidR="00587444" w:rsidRPr="00587444" w14:paraId="24CACF20" w14:textId="77777777" w:rsidTr="00DD69E7">
        <w:trPr>
          <w:trHeight w:hRule="exact" w:val="206"/>
        </w:trPr>
        <w:tc>
          <w:tcPr>
            <w:tcW w:w="7370" w:type="dxa"/>
          </w:tcPr>
          <w:p w14:paraId="3E206440" w14:textId="77777777" w:rsidR="00587444" w:rsidRPr="00587444" w:rsidRDefault="00587444" w:rsidP="00587444">
            <w:pPr>
              <w:keepLines/>
              <w:tabs>
                <w:tab w:val="right" w:pos="1202"/>
              </w:tabs>
              <w:suppressAutoHyphens w:val="0"/>
              <w:autoSpaceDN/>
              <w:outlineLvl w:val="0"/>
              <w:rPr>
                <w:rFonts w:ascii="Arial" w:eastAsia="Calibri" w:hAnsi="Arial" w:cs="Arial"/>
                <w:i/>
                <w:iCs/>
                <w:sz w:val="19"/>
                <w:szCs w:val="19"/>
              </w:rPr>
            </w:pPr>
            <w:r w:rsidRPr="00587444">
              <w:rPr>
                <w:rFonts w:ascii="Arial" w:eastAsia="Calibri" w:hAnsi="Arial" w:cs="Arial"/>
                <w:sz w:val="19"/>
                <w:szCs w:val="19"/>
              </w:rPr>
              <w:t>Net (loss)/gain from trading with derivative financial instruments</w:t>
            </w:r>
          </w:p>
        </w:tc>
        <w:tc>
          <w:tcPr>
            <w:tcW w:w="1271" w:type="dxa"/>
            <w:shd w:val="clear" w:color="auto" w:fill="auto"/>
            <w:vAlign w:val="bottom"/>
          </w:tcPr>
          <w:p w14:paraId="7BB2CE9A" w14:textId="77777777" w:rsidR="00587444" w:rsidRPr="00587444" w:rsidRDefault="00587444" w:rsidP="00587444">
            <w:pPr>
              <w:keepLines/>
              <w:suppressAutoHyphens w:val="0"/>
              <w:autoSpaceDN/>
              <w:jc w:val="right"/>
              <w:rPr>
                <w:rFonts w:ascii="Arial" w:hAnsi="Arial" w:cs="Arial"/>
                <w:color w:val="000000"/>
                <w:sz w:val="19"/>
                <w:szCs w:val="19"/>
                <w:lang w:val="hr-HR"/>
              </w:rPr>
            </w:pPr>
            <w:r w:rsidRPr="00587444">
              <w:rPr>
                <w:rFonts w:ascii="Arial" w:hAnsi="Arial" w:cs="Arial"/>
                <w:color w:val="000000"/>
                <w:sz w:val="19"/>
                <w:szCs w:val="19"/>
                <w:lang w:val="hr-HR"/>
              </w:rPr>
              <w:t>(5,304)</w:t>
            </w:r>
          </w:p>
        </w:tc>
        <w:tc>
          <w:tcPr>
            <w:tcW w:w="1270" w:type="dxa"/>
            <w:shd w:val="clear" w:color="auto" w:fill="auto"/>
          </w:tcPr>
          <w:p w14:paraId="15ACE49B"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z w:val="19"/>
                <w:szCs w:val="19"/>
                <w:lang w:val="hr-HR"/>
              </w:rPr>
              <w:t>5,115</w:t>
            </w:r>
          </w:p>
        </w:tc>
      </w:tr>
      <w:tr w:rsidR="00587444" w:rsidRPr="00587444" w14:paraId="4F4A227A" w14:textId="77777777" w:rsidTr="00587444">
        <w:trPr>
          <w:trHeight w:hRule="exact" w:val="227"/>
        </w:trPr>
        <w:tc>
          <w:tcPr>
            <w:tcW w:w="7370" w:type="dxa"/>
            <w:vAlign w:val="bottom"/>
          </w:tcPr>
          <w:p w14:paraId="1378B6AD" w14:textId="77777777" w:rsidR="00587444" w:rsidRPr="00587444" w:rsidRDefault="00587444" w:rsidP="00587444">
            <w:pPr>
              <w:suppressAutoHyphens w:val="0"/>
              <w:autoSpaceDN/>
              <w:rPr>
                <w:rFonts w:ascii="Arial" w:eastAsia="Calibri" w:hAnsi="Arial" w:cs="Arial"/>
                <w:sz w:val="19"/>
                <w:szCs w:val="19"/>
              </w:rPr>
            </w:pPr>
            <w:bookmarkStart w:id="204" w:name="_Hlk522988816"/>
            <w:r w:rsidRPr="00587444">
              <w:rPr>
                <w:rFonts w:ascii="Arial" w:eastAsia="Calibri" w:hAnsi="Arial" w:cs="Arial"/>
                <w:sz w:val="19"/>
                <w:szCs w:val="19"/>
              </w:rPr>
              <w:t>Other changes in assets at fair value</w:t>
            </w:r>
            <w:bookmarkEnd w:id="204"/>
          </w:p>
        </w:tc>
        <w:tc>
          <w:tcPr>
            <w:tcW w:w="1271" w:type="dxa"/>
            <w:shd w:val="clear" w:color="auto" w:fill="FFFFFF"/>
            <w:vAlign w:val="bottom"/>
          </w:tcPr>
          <w:p w14:paraId="1904B93B" w14:textId="77777777" w:rsidR="00587444" w:rsidRPr="00587444" w:rsidRDefault="00587444" w:rsidP="00587444">
            <w:pPr>
              <w:keepLines/>
              <w:suppressAutoHyphens w:val="0"/>
              <w:autoSpaceDN/>
              <w:jc w:val="right"/>
              <w:rPr>
                <w:rFonts w:ascii="Arial" w:hAnsi="Arial" w:cs="Arial"/>
                <w:color w:val="000000"/>
                <w:sz w:val="19"/>
                <w:szCs w:val="19"/>
                <w:lang w:val="hr-HR"/>
              </w:rPr>
            </w:pPr>
            <w:r w:rsidRPr="00587444">
              <w:rPr>
                <w:rFonts w:ascii="Arial" w:hAnsi="Arial" w:cs="Arial"/>
                <w:color w:val="000000"/>
                <w:sz w:val="19"/>
                <w:szCs w:val="19"/>
                <w:lang w:val="hr-HR"/>
              </w:rPr>
              <w:t>3,144</w:t>
            </w:r>
          </w:p>
        </w:tc>
        <w:tc>
          <w:tcPr>
            <w:tcW w:w="1270" w:type="dxa"/>
            <w:shd w:val="clear" w:color="auto" w:fill="FFFFFF"/>
          </w:tcPr>
          <w:p w14:paraId="6542D09E"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z w:val="19"/>
                <w:szCs w:val="19"/>
                <w:lang w:val="hr-HR"/>
              </w:rPr>
              <w:t>(39,134)</w:t>
            </w:r>
          </w:p>
        </w:tc>
      </w:tr>
      <w:tr w:rsidR="00587444" w:rsidRPr="00587444" w14:paraId="4B8903FF" w14:textId="77777777" w:rsidTr="00DD69E7">
        <w:trPr>
          <w:trHeight w:hRule="exact" w:val="206"/>
        </w:trPr>
        <w:tc>
          <w:tcPr>
            <w:tcW w:w="7370" w:type="dxa"/>
          </w:tcPr>
          <w:p w14:paraId="6A197D6E" w14:textId="77777777" w:rsidR="00587444" w:rsidRPr="00587444" w:rsidRDefault="00587444" w:rsidP="00587444">
            <w:pPr>
              <w:keepLines/>
              <w:tabs>
                <w:tab w:val="right" w:pos="1202"/>
              </w:tabs>
              <w:suppressAutoHyphens w:val="0"/>
              <w:autoSpaceDN/>
              <w:outlineLvl w:val="0"/>
              <w:rPr>
                <w:rFonts w:ascii="Arial" w:eastAsia="Calibri" w:hAnsi="Arial" w:cs="Arial"/>
                <w:i/>
                <w:iCs/>
                <w:sz w:val="19"/>
                <w:szCs w:val="19"/>
              </w:rPr>
            </w:pPr>
            <w:bookmarkStart w:id="205" w:name="_Toc4057056"/>
            <w:r w:rsidRPr="00587444">
              <w:rPr>
                <w:rFonts w:ascii="Arial" w:eastAsia="Calibri" w:hAnsi="Arial" w:cs="Arial"/>
                <w:i/>
                <w:sz w:val="19"/>
                <w:szCs w:val="19"/>
              </w:rPr>
              <w:t>Operating profit/(loss) before working capital changes</w:t>
            </w:r>
            <w:bookmarkEnd w:id="205"/>
          </w:p>
        </w:tc>
        <w:tc>
          <w:tcPr>
            <w:tcW w:w="1271" w:type="dxa"/>
            <w:shd w:val="clear" w:color="000000" w:fill="FFFFFF"/>
            <w:vAlign w:val="bottom"/>
          </w:tcPr>
          <w:p w14:paraId="6EEDE05E" w14:textId="77777777" w:rsidR="00587444" w:rsidRPr="00587444" w:rsidRDefault="00587444" w:rsidP="00587444">
            <w:pPr>
              <w:keepLines/>
              <w:suppressAutoHyphens w:val="0"/>
              <w:autoSpaceDN/>
              <w:jc w:val="right"/>
              <w:rPr>
                <w:rFonts w:ascii="Arial" w:hAnsi="Arial" w:cs="Arial"/>
                <w:i/>
                <w:iCs/>
                <w:color w:val="000000"/>
                <w:sz w:val="19"/>
                <w:szCs w:val="19"/>
                <w:lang w:val="hr-HR"/>
              </w:rPr>
            </w:pPr>
            <w:r w:rsidRPr="00587444">
              <w:rPr>
                <w:rFonts w:ascii="Arial" w:hAnsi="Arial" w:cs="Arial"/>
                <w:i/>
                <w:iCs/>
                <w:color w:val="000000"/>
                <w:sz w:val="19"/>
                <w:szCs w:val="19"/>
                <w:lang w:val="hr-HR"/>
              </w:rPr>
              <w:t>390,302</w:t>
            </w:r>
          </w:p>
        </w:tc>
        <w:tc>
          <w:tcPr>
            <w:tcW w:w="1270" w:type="dxa"/>
            <w:shd w:val="clear" w:color="000000" w:fill="FFFFFF"/>
          </w:tcPr>
          <w:p w14:paraId="36C55635" w14:textId="77777777" w:rsidR="00587444" w:rsidRPr="00587444" w:rsidRDefault="00587444" w:rsidP="00587444">
            <w:pPr>
              <w:keepLines/>
              <w:suppressAutoHyphens w:val="0"/>
              <w:autoSpaceDN/>
              <w:jc w:val="right"/>
              <w:rPr>
                <w:rFonts w:ascii="Arial" w:eastAsia="Calibri" w:hAnsi="Arial" w:cs="Arial"/>
                <w:i/>
                <w:sz w:val="19"/>
                <w:szCs w:val="19"/>
              </w:rPr>
            </w:pPr>
            <w:r w:rsidRPr="00587444">
              <w:rPr>
                <w:rFonts w:ascii="Arial" w:hAnsi="Arial" w:cs="Arial"/>
                <w:i/>
                <w:iCs/>
                <w:color w:val="000000"/>
                <w:sz w:val="19"/>
                <w:szCs w:val="19"/>
                <w:lang w:val="hr-HR"/>
              </w:rPr>
              <w:t>413,906</w:t>
            </w:r>
          </w:p>
        </w:tc>
      </w:tr>
      <w:tr w:rsidR="00587444" w:rsidRPr="00587444" w14:paraId="1A242E34" w14:textId="77777777" w:rsidTr="00587444">
        <w:trPr>
          <w:trHeight w:hRule="exact" w:val="206"/>
        </w:trPr>
        <w:tc>
          <w:tcPr>
            <w:tcW w:w="7370" w:type="dxa"/>
          </w:tcPr>
          <w:p w14:paraId="626B382F" w14:textId="77777777" w:rsidR="00587444" w:rsidRPr="00587444" w:rsidRDefault="00587444" w:rsidP="00587444">
            <w:pPr>
              <w:keepLines/>
              <w:tabs>
                <w:tab w:val="right" w:pos="1202"/>
              </w:tabs>
              <w:suppressAutoHyphens w:val="0"/>
              <w:autoSpaceDN/>
              <w:outlineLvl w:val="0"/>
              <w:rPr>
                <w:rFonts w:ascii="Arial" w:eastAsia="Calibri" w:hAnsi="Arial" w:cs="Arial"/>
                <w:i/>
                <w:iCs/>
                <w:sz w:val="19"/>
                <w:szCs w:val="19"/>
              </w:rPr>
            </w:pPr>
            <w:bookmarkStart w:id="206" w:name="_Toc4057057"/>
            <w:r w:rsidRPr="00587444">
              <w:rPr>
                <w:rFonts w:ascii="Arial" w:eastAsia="Calibri" w:hAnsi="Arial" w:cs="Arial"/>
                <w:i/>
                <w:sz w:val="19"/>
                <w:szCs w:val="19"/>
              </w:rPr>
              <w:t>Changes in operating assets and liabilities:</w:t>
            </w:r>
            <w:bookmarkEnd w:id="206"/>
          </w:p>
        </w:tc>
        <w:tc>
          <w:tcPr>
            <w:tcW w:w="1271" w:type="dxa"/>
            <w:shd w:val="clear" w:color="auto" w:fill="FFFFFF"/>
            <w:vAlign w:val="bottom"/>
          </w:tcPr>
          <w:p w14:paraId="46574827" w14:textId="77777777" w:rsidR="00587444" w:rsidRPr="00587444" w:rsidRDefault="00587444" w:rsidP="00587444">
            <w:pPr>
              <w:keepLines/>
              <w:suppressAutoHyphens w:val="0"/>
              <w:autoSpaceDN/>
              <w:jc w:val="right"/>
              <w:rPr>
                <w:rFonts w:ascii="Arial" w:hAnsi="Arial" w:cs="Arial"/>
                <w:color w:val="000000"/>
                <w:sz w:val="19"/>
                <w:szCs w:val="19"/>
                <w:lang w:val="hr-HR"/>
              </w:rPr>
            </w:pPr>
          </w:p>
        </w:tc>
        <w:tc>
          <w:tcPr>
            <w:tcW w:w="1270" w:type="dxa"/>
            <w:shd w:val="clear" w:color="auto" w:fill="FFFFFF"/>
          </w:tcPr>
          <w:p w14:paraId="1D77DB49" w14:textId="77777777" w:rsidR="00587444" w:rsidRPr="00587444" w:rsidRDefault="00587444" w:rsidP="00587444">
            <w:pPr>
              <w:keepLines/>
              <w:suppressAutoHyphens w:val="0"/>
              <w:autoSpaceDN/>
              <w:jc w:val="right"/>
              <w:rPr>
                <w:rFonts w:ascii="Arial" w:eastAsia="Calibri" w:hAnsi="Arial" w:cs="Arial"/>
                <w:sz w:val="19"/>
                <w:szCs w:val="19"/>
              </w:rPr>
            </w:pPr>
          </w:p>
        </w:tc>
      </w:tr>
      <w:tr w:rsidR="00587444" w:rsidRPr="00587444" w14:paraId="27939223" w14:textId="77777777" w:rsidTr="00DD69E7">
        <w:trPr>
          <w:trHeight w:hRule="exact" w:val="206"/>
        </w:trPr>
        <w:tc>
          <w:tcPr>
            <w:tcW w:w="7370" w:type="dxa"/>
          </w:tcPr>
          <w:p w14:paraId="790D3A95" w14:textId="77777777" w:rsidR="00587444" w:rsidRPr="00587444" w:rsidRDefault="00587444" w:rsidP="00587444">
            <w:pPr>
              <w:keepLines/>
              <w:tabs>
                <w:tab w:val="right" w:pos="1202"/>
              </w:tabs>
              <w:suppressAutoHyphens w:val="0"/>
              <w:autoSpaceDN/>
              <w:outlineLvl w:val="0"/>
              <w:rPr>
                <w:rFonts w:ascii="Arial" w:eastAsia="Calibri" w:hAnsi="Arial" w:cs="Arial"/>
                <w:sz w:val="19"/>
                <w:szCs w:val="19"/>
              </w:rPr>
            </w:pPr>
            <w:bookmarkStart w:id="207" w:name="_Toc4057058"/>
            <w:r w:rsidRPr="00587444">
              <w:rPr>
                <w:rFonts w:ascii="Arial" w:eastAsia="Calibri" w:hAnsi="Arial" w:cs="Arial"/>
                <w:sz w:val="19"/>
                <w:szCs w:val="19"/>
              </w:rPr>
              <w:t>Net (increase) in deposits with other banks, before impairment</w:t>
            </w:r>
            <w:bookmarkEnd w:id="207"/>
          </w:p>
        </w:tc>
        <w:tc>
          <w:tcPr>
            <w:tcW w:w="1271" w:type="dxa"/>
            <w:tcBorders>
              <w:top w:val="nil"/>
              <w:left w:val="nil"/>
              <w:bottom w:val="nil"/>
              <w:right w:val="nil"/>
            </w:tcBorders>
            <w:shd w:val="clear" w:color="auto" w:fill="auto"/>
            <w:vAlign w:val="bottom"/>
          </w:tcPr>
          <w:p w14:paraId="0B8D6117" w14:textId="77777777" w:rsidR="00587444" w:rsidRPr="00587444" w:rsidRDefault="00587444" w:rsidP="00587444">
            <w:pPr>
              <w:keepLines/>
              <w:suppressAutoHyphens w:val="0"/>
              <w:autoSpaceDN/>
              <w:jc w:val="right"/>
              <w:rPr>
                <w:rFonts w:ascii="Arial" w:hAnsi="Arial" w:cs="Arial"/>
                <w:color w:val="000000"/>
                <w:sz w:val="19"/>
                <w:szCs w:val="19"/>
                <w:lang w:val="hr-HR"/>
              </w:rPr>
            </w:pPr>
            <w:r w:rsidRPr="00587444">
              <w:rPr>
                <w:rFonts w:ascii="Arial" w:hAnsi="Arial" w:cs="Arial"/>
                <w:color w:val="000000"/>
                <w:sz w:val="19"/>
                <w:szCs w:val="19"/>
                <w:lang w:val="hr-HR"/>
              </w:rPr>
              <w:t>(25,697)</w:t>
            </w:r>
          </w:p>
        </w:tc>
        <w:tc>
          <w:tcPr>
            <w:tcW w:w="1270" w:type="dxa"/>
            <w:tcBorders>
              <w:top w:val="nil"/>
              <w:left w:val="nil"/>
              <w:bottom w:val="nil"/>
              <w:right w:val="nil"/>
            </w:tcBorders>
            <w:shd w:val="clear" w:color="auto" w:fill="auto"/>
            <w:vAlign w:val="bottom"/>
          </w:tcPr>
          <w:p w14:paraId="49D265AE"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z w:val="19"/>
                <w:szCs w:val="19"/>
                <w:lang w:val="hr-HR"/>
              </w:rPr>
              <w:t>(220)</w:t>
            </w:r>
          </w:p>
        </w:tc>
      </w:tr>
      <w:tr w:rsidR="00587444" w:rsidRPr="00587444" w14:paraId="36A9CEA4" w14:textId="77777777" w:rsidTr="00DD69E7">
        <w:trPr>
          <w:trHeight w:hRule="exact" w:val="206"/>
        </w:trPr>
        <w:tc>
          <w:tcPr>
            <w:tcW w:w="7370" w:type="dxa"/>
          </w:tcPr>
          <w:p w14:paraId="635A1EF5" w14:textId="77777777" w:rsidR="00587444" w:rsidRPr="00587444" w:rsidRDefault="00587444" w:rsidP="00587444">
            <w:pPr>
              <w:keepLines/>
              <w:tabs>
                <w:tab w:val="right" w:pos="1202"/>
              </w:tabs>
              <w:suppressAutoHyphens w:val="0"/>
              <w:autoSpaceDN/>
              <w:outlineLvl w:val="0"/>
              <w:rPr>
                <w:rFonts w:ascii="Arial" w:eastAsia="Calibri" w:hAnsi="Arial" w:cs="Arial"/>
                <w:sz w:val="19"/>
                <w:szCs w:val="19"/>
              </w:rPr>
            </w:pPr>
            <w:bookmarkStart w:id="208" w:name="_Toc4057059"/>
            <w:r w:rsidRPr="00587444">
              <w:rPr>
                <w:rFonts w:ascii="Arial" w:eastAsia="Calibri" w:hAnsi="Arial" w:cs="Arial"/>
                <w:sz w:val="19"/>
                <w:szCs w:val="19"/>
              </w:rPr>
              <w:t>Net decrease in loans to financial institutions, before impairment</w:t>
            </w:r>
            <w:bookmarkEnd w:id="208"/>
          </w:p>
        </w:tc>
        <w:tc>
          <w:tcPr>
            <w:tcW w:w="1271" w:type="dxa"/>
            <w:tcBorders>
              <w:top w:val="nil"/>
              <w:left w:val="nil"/>
              <w:bottom w:val="nil"/>
              <w:right w:val="nil"/>
            </w:tcBorders>
            <w:shd w:val="clear" w:color="auto" w:fill="auto"/>
            <w:vAlign w:val="bottom"/>
          </w:tcPr>
          <w:p w14:paraId="13627978" w14:textId="77777777" w:rsidR="00587444" w:rsidRPr="00587444" w:rsidRDefault="00587444" w:rsidP="00587444">
            <w:pPr>
              <w:keepLines/>
              <w:suppressAutoHyphens w:val="0"/>
              <w:autoSpaceDN/>
              <w:jc w:val="right"/>
              <w:rPr>
                <w:rFonts w:ascii="Arial" w:hAnsi="Arial" w:cs="Arial"/>
                <w:color w:val="000000"/>
                <w:sz w:val="19"/>
                <w:szCs w:val="19"/>
                <w:lang w:val="hr-HR"/>
              </w:rPr>
            </w:pPr>
            <w:r w:rsidRPr="00587444">
              <w:rPr>
                <w:rFonts w:ascii="Arial" w:hAnsi="Arial" w:cs="Arial"/>
                <w:color w:val="000000"/>
                <w:sz w:val="19"/>
                <w:szCs w:val="19"/>
                <w:lang w:val="hr-HR"/>
              </w:rPr>
              <w:t>69,870</w:t>
            </w:r>
          </w:p>
        </w:tc>
        <w:tc>
          <w:tcPr>
            <w:tcW w:w="1270" w:type="dxa"/>
            <w:tcBorders>
              <w:top w:val="nil"/>
              <w:left w:val="nil"/>
              <w:bottom w:val="nil"/>
              <w:right w:val="nil"/>
            </w:tcBorders>
            <w:shd w:val="clear" w:color="auto" w:fill="auto"/>
            <w:vAlign w:val="bottom"/>
          </w:tcPr>
          <w:p w14:paraId="43DAA99D"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z w:val="19"/>
                <w:szCs w:val="19"/>
                <w:lang w:val="hr-HR"/>
              </w:rPr>
              <w:t>1,816,385</w:t>
            </w:r>
          </w:p>
        </w:tc>
      </w:tr>
      <w:tr w:rsidR="00587444" w:rsidRPr="00587444" w14:paraId="430E68BF" w14:textId="77777777" w:rsidTr="00DD69E7">
        <w:trPr>
          <w:trHeight w:hRule="exact" w:val="206"/>
        </w:trPr>
        <w:tc>
          <w:tcPr>
            <w:tcW w:w="7370" w:type="dxa"/>
          </w:tcPr>
          <w:p w14:paraId="2B6944EB" w14:textId="77777777" w:rsidR="00587444" w:rsidRPr="00587444" w:rsidRDefault="00587444" w:rsidP="00587444">
            <w:pPr>
              <w:keepLines/>
              <w:tabs>
                <w:tab w:val="right" w:pos="1202"/>
              </w:tabs>
              <w:suppressAutoHyphens w:val="0"/>
              <w:autoSpaceDN/>
              <w:outlineLvl w:val="0"/>
              <w:rPr>
                <w:rFonts w:ascii="Arial" w:eastAsia="Calibri" w:hAnsi="Arial" w:cs="Arial"/>
                <w:sz w:val="19"/>
                <w:szCs w:val="19"/>
              </w:rPr>
            </w:pPr>
            <w:bookmarkStart w:id="209" w:name="_Toc4057060"/>
            <w:r w:rsidRPr="00587444">
              <w:rPr>
                <w:rFonts w:ascii="Arial" w:eastAsia="Calibri" w:hAnsi="Arial" w:cs="Arial"/>
                <w:sz w:val="19"/>
                <w:szCs w:val="19"/>
              </w:rPr>
              <w:t>Net increase in loans to other customers, before loss impairment</w:t>
            </w:r>
            <w:bookmarkEnd w:id="209"/>
          </w:p>
        </w:tc>
        <w:tc>
          <w:tcPr>
            <w:tcW w:w="1271" w:type="dxa"/>
            <w:tcBorders>
              <w:top w:val="nil"/>
              <w:left w:val="nil"/>
              <w:bottom w:val="nil"/>
              <w:right w:val="nil"/>
            </w:tcBorders>
            <w:shd w:val="clear" w:color="auto" w:fill="auto"/>
            <w:vAlign w:val="bottom"/>
          </w:tcPr>
          <w:p w14:paraId="0085AEF6" w14:textId="77777777" w:rsidR="00587444" w:rsidRPr="00587444" w:rsidRDefault="00587444" w:rsidP="00587444">
            <w:pPr>
              <w:keepLines/>
              <w:suppressAutoHyphens w:val="0"/>
              <w:autoSpaceDN/>
              <w:jc w:val="right"/>
              <w:rPr>
                <w:rFonts w:ascii="Arial" w:hAnsi="Arial" w:cs="Arial"/>
                <w:color w:val="000000"/>
                <w:sz w:val="19"/>
                <w:szCs w:val="19"/>
                <w:lang w:val="hr-HR"/>
              </w:rPr>
            </w:pPr>
            <w:r w:rsidRPr="00587444">
              <w:rPr>
                <w:rFonts w:ascii="Arial" w:hAnsi="Arial" w:cs="Arial"/>
                <w:color w:val="000000"/>
                <w:sz w:val="19"/>
                <w:szCs w:val="19"/>
                <w:lang w:val="hr-HR"/>
              </w:rPr>
              <w:t>(1,745,027)</w:t>
            </w:r>
          </w:p>
        </w:tc>
        <w:tc>
          <w:tcPr>
            <w:tcW w:w="1270" w:type="dxa"/>
            <w:tcBorders>
              <w:top w:val="nil"/>
              <w:left w:val="nil"/>
              <w:bottom w:val="nil"/>
              <w:right w:val="nil"/>
            </w:tcBorders>
            <w:shd w:val="clear" w:color="auto" w:fill="auto"/>
            <w:vAlign w:val="bottom"/>
          </w:tcPr>
          <w:p w14:paraId="2395C0B3"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z w:val="19"/>
                <w:szCs w:val="19"/>
                <w:lang w:val="hr-HR"/>
              </w:rPr>
              <w:t>(1,336,094)</w:t>
            </w:r>
          </w:p>
        </w:tc>
      </w:tr>
      <w:tr w:rsidR="00587444" w:rsidRPr="00587444" w14:paraId="0C7F88B9" w14:textId="77777777" w:rsidTr="00587444">
        <w:trPr>
          <w:trHeight w:hRule="exact" w:val="206"/>
        </w:trPr>
        <w:tc>
          <w:tcPr>
            <w:tcW w:w="7370" w:type="dxa"/>
          </w:tcPr>
          <w:p w14:paraId="1AD544F0" w14:textId="77777777" w:rsidR="00587444" w:rsidRPr="00587444" w:rsidRDefault="00587444" w:rsidP="00587444">
            <w:pPr>
              <w:keepLines/>
              <w:tabs>
                <w:tab w:val="right" w:pos="1202"/>
              </w:tabs>
              <w:suppressAutoHyphens w:val="0"/>
              <w:autoSpaceDN/>
              <w:outlineLvl w:val="0"/>
              <w:rPr>
                <w:rFonts w:ascii="Arial" w:eastAsia="Calibri" w:hAnsi="Arial" w:cs="Arial"/>
                <w:sz w:val="19"/>
                <w:szCs w:val="19"/>
              </w:rPr>
            </w:pPr>
            <w:bookmarkStart w:id="210" w:name="_Toc4057063"/>
            <w:r w:rsidRPr="00587444">
              <w:rPr>
                <w:rFonts w:ascii="Arial" w:eastAsia="Calibri" w:hAnsi="Arial" w:cs="Arial"/>
                <w:sz w:val="19"/>
                <w:szCs w:val="19"/>
              </w:rPr>
              <w:t xml:space="preserve">Net (increase)/decrease in </w:t>
            </w:r>
            <w:bookmarkEnd w:id="210"/>
            <w:r w:rsidRPr="00587444">
              <w:rPr>
                <w:rFonts w:ascii="Arial" w:eastAsia="Calibri" w:hAnsi="Arial" w:cs="Arial"/>
                <w:sz w:val="19"/>
                <w:szCs w:val="19"/>
              </w:rPr>
              <w:t>foreclosed assets</w:t>
            </w:r>
          </w:p>
        </w:tc>
        <w:tc>
          <w:tcPr>
            <w:tcW w:w="1271" w:type="dxa"/>
            <w:shd w:val="clear" w:color="auto" w:fill="FFFFFF"/>
            <w:vAlign w:val="bottom"/>
          </w:tcPr>
          <w:p w14:paraId="02C26962" w14:textId="77777777" w:rsidR="00587444" w:rsidRPr="00587444" w:rsidRDefault="00587444" w:rsidP="00587444">
            <w:pPr>
              <w:keepLines/>
              <w:suppressAutoHyphens w:val="0"/>
              <w:autoSpaceDN/>
              <w:jc w:val="right"/>
              <w:rPr>
                <w:rFonts w:ascii="Arial" w:hAnsi="Arial" w:cs="Arial"/>
                <w:color w:val="000000"/>
                <w:sz w:val="19"/>
                <w:szCs w:val="19"/>
                <w:lang w:val="hr-HR"/>
              </w:rPr>
            </w:pPr>
            <w:r w:rsidRPr="00587444">
              <w:rPr>
                <w:rFonts w:ascii="Arial" w:hAnsi="Arial" w:cs="Arial"/>
                <w:color w:val="000000"/>
                <w:sz w:val="19"/>
                <w:szCs w:val="19"/>
                <w:lang w:val="hr-HR"/>
              </w:rPr>
              <w:t>(5,578)</w:t>
            </w:r>
          </w:p>
        </w:tc>
        <w:tc>
          <w:tcPr>
            <w:tcW w:w="1270" w:type="dxa"/>
            <w:shd w:val="clear" w:color="auto" w:fill="FFFFFF"/>
          </w:tcPr>
          <w:p w14:paraId="77517EEF"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z w:val="19"/>
                <w:szCs w:val="19"/>
                <w:lang w:val="hr-HR"/>
              </w:rPr>
              <w:t>3,103</w:t>
            </w:r>
          </w:p>
        </w:tc>
      </w:tr>
      <w:tr w:rsidR="00587444" w:rsidRPr="00587444" w14:paraId="3C723B63" w14:textId="77777777" w:rsidTr="00DD69E7">
        <w:trPr>
          <w:trHeight w:hRule="exact" w:val="206"/>
        </w:trPr>
        <w:tc>
          <w:tcPr>
            <w:tcW w:w="7370" w:type="dxa"/>
            <w:vAlign w:val="bottom"/>
          </w:tcPr>
          <w:p w14:paraId="13ACC8FF" w14:textId="77777777" w:rsidR="00587444" w:rsidRPr="00587444" w:rsidRDefault="00587444" w:rsidP="00587444">
            <w:pPr>
              <w:keepLines/>
              <w:tabs>
                <w:tab w:val="right" w:pos="1202"/>
              </w:tabs>
              <w:suppressAutoHyphens w:val="0"/>
              <w:autoSpaceDN/>
              <w:outlineLvl w:val="0"/>
              <w:rPr>
                <w:rFonts w:ascii="Arial" w:eastAsia="Calibri" w:hAnsi="Arial" w:cs="Arial"/>
                <w:sz w:val="19"/>
                <w:szCs w:val="19"/>
              </w:rPr>
            </w:pPr>
            <w:bookmarkStart w:id="211" w:name="_Toc4057064"/>
            <w:r w:rsidRPr="00587444">
              <w:rPr>
                <w:rFonts w:ascii="Arial" w:eastAsia="Calibri" w:hAnsi="Arial" w:cs="Arial"/>
                <w:sz w:val="19"/>
                <w:szCs w:val="19"/>
              </w:rPr>
              <w:t>Net increase in other assets, before impairment</w:t>
            </w:r>
            <w:bookmarkEnd w:id="211"/>
          </w:p>
        </w:tc>
        <w:tc>
          <w:tcPr>
            <w:tcW w:w="1271" w:type="dxa"/>
            <w:tcBorders>
              <w:top w:val="nil"/>
              <w:left w:val="nil"/>
              <w:bottom w:val="nil"/>
              <w:right w:val="nil"/>
            </w:tcBorders>
            <w:shd w:val="clear" w:color="auto" w:fill="auto"/>
            <w:vAlign w:val="bottom"/>
          </w:tcPr>
          <w:p w14:paraId="66A7A36B" w14:textId="77777777" w:rsidR="00587444" w:rsidRPr="00587444" w:rsidRDefault="00587444" w:rsidP="00587444">
            <w:pPr>
              <w:keepLines/>
              <w:suppressAutoHyphens w:val="0"/>
              <w:autoSpaceDN/>
              <w:jc w:val="right"/>
              <w:rPr>
                <w:rFonts w:ascii="Arial" w:hAnsi="Arial" w:cs="Arial"/>
                <w:color w:val="000000"/>
                <w:sz w:val="19"/>
                <w:szCs w:val="19"/>
                <w:lang w:val="hr-HR"/>
              </w:rPr>
            </w:pPr>
            <w:r w:rsidRPr="00587444">
              <w:rPr>
                <w:rFonts w:ascii="Arial" w:hAnsi="Arial" w:cs="Arial"/>
                <w:color w:val="000000"/>
                <w:sz w:val="19"/>
                <w:szCs w:val="19"/>
                <w:lang w:val="hr-HR"/>
              </w:rPr>
              <w:t>(2,928)</w:t>
            </w:r>
          </w:p>
        </w:tc>
        <w:tc>
          <w:tcPr>
            <w:tcW w:w="1270" w:type="dxa"/>
            <w:tcBorders>
              <w:top w:val="nil"/>
              <w:left w:val="nil"/>
              <w:bottom w:val="nil"/>
              <w:right w:val="nil"/>
            </w:tcBorders>
            <w:shd w:val="clear" w:color="auto" w:fill="auto"/>
            <w:vAlign w:val="bottom"/>
          </w:tcPr>
          <w:p w14:paraId="48353655"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z w:val="19"/>
                <w:szCs w:val="19"/>
                <w:lang w:val="hr-HR"/>
              </w:rPr>
              <w:t>(5,071)</w:t>
            </w:r>
          </w:p>
        </w:tc>
      </w:tr>
      <w:tr w:rsidR="00587444" w:rsidRPr="00587444" w14:paraId="6DB240C1" w14:textId="77777777" w:rsidTr="00587444">
        <w:trPr>
          <w:trHeight w:hRule="exact" w:val="206"/>
        </w:trPr>
        <w:tc>
          <w:tcPr>
            <w:tcW w:w="7370" w:type="dxa"/>
          </w:tcPr>
          <w:p w14:paraId="055D1D02" w14:textId="77777777" w:rsidR="00587444" w:rsidRPr="00587444" w:rsidRDefault="00587444" w:rsidP="00587444">
            <w:pPr>
              <w:keepLines/>
              <w:tabs>
                <w:tab w:val="right" w:pos="1202"/>
              </w:tabs>
              <w:suppressAutoHyphens w:val="0"/>
              <w:autoSpaceDN/>
              <w:outlineLvl w:val="0"/>
              <w:rPr>
                <w:rFonts w:ascii="Arial" w:eastAsia="Calibri" w:hAnsi="Arial" w:cs="Arial"/>
                <w:sz w:val="19"/>
                <w:szCs w:val="19"/>
              </w:rPr>
            </w:pPr>
            <w:bookmarkStart w:id="212" w:name="_Toc4057065"/>
            <w:r w:rsidRPr="00587444">
              <w:rPr>
                <w:rFonts w:ascii="Arial" w:eastAsia="Calibri" w:hAnsi="Arial" w:cs="Arial"/>
                <w:sz w:val="19"/>
                <w:szCs w:val="19"/>
              </w:rPr>
              <w:t>Net increase/(decrease) in deposits from banks and companies</w:t>
            </w:r>
            <w:bookmarkEnd w:id="212"/>
          </w:p>
        </w:tc>
        <w:tc>
          <w:tcPr>
            <w:tcW w:w="1271" w:type="dxa"/>
            <w:shd w:val="clear" w:color="auto" w:fill="FFFFFF"/>
            <w:vAlign w:val="bottom"/>
          </w:tcPr>
          <w:p w14:paraId="602E999C" w14:textId="77777777" w:rsidR="00587444" w:rsidRPr="00587444" w:rsidRDefault="00587444" w:rsidP="00587444">
            <w:pPr>
              <w:keepLines/>
              <w:suppressAutoHyphens w:val="0"/>
              <w:autoSpaceDN/>
              <w:jc w:val="right"/>
              <w:rPr>
                <w:rFonts w:ascii="Arial" w:hAnsi="Arial" w:cs="Arial"/>
                <w:color w:val="000000"/>
                <w:sz w:val="19"/>
                <w:szCs w:val="19"/>
                <w:lang w:val="hr-HR"/>
              </w:rPr>
            </w:pPr>
            <w:r w:rsidRPr="00587444">
              <w:rPr>
                <w:rFonts w:ascii="Arial" w:hAnsi="Arial" w:cs="Arial"/>
                <w:color w:val="000000"/>
                <w:sz w:val="19"/>
                <w:szCs w:val="19"/>
                <w:lang w:val="hr-HR"/>
              </w:rPr>
              <w:t>63,988</w:t>
            </w:r>
          </w:p>
        </w:tc>
        <w:tc>
          <w:tcPr>
            <w:tcW w:w="1270" w:type="dxa"/>
            <w:shd w:val="clear" w:color="auto" w:fill="FFFFFF"/>
          </w:tcPr>
          <w:p w14:paraId="76C7E53D"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z w:val="19"/>
                <w:szCs w:val="19"/>
                <w:lang w:val="hr-HR"/>
              </w:rPr>
              <w:t>(13,852)</w:t>
            </w:r>
          </w:p>
        </w:tc>
      </w:tr>
      <w:tr w:rsidR="00587444" w:rsidRPr="00587444" w14:paraId="50E37A0A" w14:textId="77777777" w:rsidTr="00DD69E7">
        <w:trPr>
          <w:trHeight w:hRule="exact" w:val="206"/>
        </w:trPr>
        <w:tc>
          <w:tcPr>
            <w:tcW w:w="7370" w:type="dxa"/>
          </w:tcPr>
          <w:p w14:paraId="6A6B2605" w14:textId="77777777" w:rsidR="00587444" w:rsidRPr="00587444" w:rsidRDefault="00587444" w:rsidP="00587444">
            <w:pPr>
              <w:keepLines/>
              <w:tabs>
                <w:tab w:val="right" w:pos="1202"/>
              </w:tabs>
              <w:suppressAutoHyphens w:val="0"/>
              <w:autoSpaceDN/>
              <w:outlineLvl w:val="0"/>
              <w:rPr>
                <w:rFonts w:ascii="Arial" w:eastAsia="Calibri" w:hAnsi="Arial" w:cs="Arial"/>
                <w:spacing w:val="-2"/>
                <w:sz w:val="19"/>
                <w:szCs w:val="19"/>
              </w:rPr>
            </w:pPr>
            <w:bookmarkStart w:id="213" w:name="_Toc4057066"/>
            <w:r w:rsidRPr="00587444">
              <w:rPr>
                <w:rFonts w:ascii="Arial" w:eastAsia="Calibri" w:hAnsi="Arial" w:cs="Arial"/>
                <w:sz w:val="19"/>
                <w:szCs w:val="19"/>
              </w:rPr>
              <w:t>Net increase in other liabilities, before provisions</w:t>
            </w:r>
            <w:bookmarkEnd w:id="213"/>
          </w:p>
        </w:tc>
        <w:tc>
          <w:tcPr>
            <w:tcW w:w="1271" w:type="dxa"/>
            <w:tcBorders>
              <w:top w:val="nil"/>
              <w:left w:val="nil"/>
              <w:bottom w:val="nil"/>
              <w:right w:val="nil"/>
            </w:tcBorders>
            <w:shd w:val="clear" w:color="auto" w:fill="auto"/>
            <w:vAlign w:val="bottom"/>
          </w:tcPr>
          <w:p w14:paraId="2B9E7C0A" w14:textId="77777777" w:rsidR="00587444" w:rsidRPr="00587444" w:rsidRDefault="00587444" w:rsidP="00587444">
            <w:pPr>
              <w:keepLines/>
              <w:suppressAutoHyphens w:val="0"/>
              <w:autoSpaceDN/>
              <w:jc w:val="right"/>
              <w:rPr>
                <w:rFonts w:ascii="Arial" w:hAnsi="Arial" w:cs="Arial"/>
                <w:color w:val="000000"/>
                <w:sz w:val="19"/>
                <w:szCs w:val="19"/>
                <w:lang w:val="hr-HR"/>
              </w:rPr>
            </w:pPr>
            <w:r w:rsidRPr="00587444">
              <w:rPr>
                <w:rFonts w:ascii="Arial" w:hAnsi="Arial" w:cs="Arial"/>
                <w:color w:val="000000"/>
                <w:sz w:val="19"/>
                <w:szCs w:val="19"/>
                <w:lang w:val="hr-HR"/>
              </w:rPr>
              <w:t>241,382</w:t>
            </w:r>
          </w:p>
        </w:tc>
        <w:tc>
          <w:tcPr>
            <w:tcW w:w="1270" w:type="dxa"/>
            <w:tcBorders>
              <w:top w:val="nil"/>
              <w:left w:val="nil"/>
              <w:bottom w:val="nil"/>
              <w:right w:val="nil"/>
            </w:tcBorders>
            <w:shd w:val="clear" w:color="auto" w:fill="auto"/>
            <w:vAlign w:val="bottom"/>
          </w:tcPr>
          <w:p w14:paraId="7A094686"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z w:val="19"/>
                <w:szCs w:val="19"/>
                <w:lang w:val="hr-HR"/>
              </w:rPr>
              <w:t>39,256</w:t>
            </w:r>
          </w:p>
        </w:tc>
      </w:tr>
      <w:tr w:rsidR="00587444" w:rsidRPr="00587444" w14:paraId="262421DE" w14:textId="77777777" w:rsidTr="00DD69E7">
        <w:trPr>
          <w:trHeight w:val="220"/>
        </w:trPr>
        <w:tc>
          <w:tcPr>
            <w:tcW w:w="7370" w:type="dxa"/>
          </w:tcPr>
          <w:p w14:paraId="41CDB91C" w14:textId="77777777" w:rsidR="00587444" w:rsidRPr="00587444" w:rsidRDefault="00587444" w:rsidP="00587444">
            <w:pPr>
              <w:keepLines/>
              <w:tabs>
                <w:tab w:val="right" w:pos="1202"/>
              </w:tabs>
              <w:suppressAutoHyphens w:val="0"/>
              <w:autoSpaceDN/>
              <w:outlineLvl w:val="0"/>
              <w:rPr>
                <w:rFonts w:ascii="Arial" w:eastAsia="Calibri" w:hAnsi="Arial" w:cs="Arial"/>
                <w:b/>
                <w:bCs/>
                <w:spacing w:val="-3"/>
                <w:sz w:val="19"/>
                <w:szCs w:val="19"/>
              </w:rPr>
            </w:pPr>
            <w:bookmarkStart w:id="214" w:name="_Toc4057067"/>
            <w:r w:rsidRPr="00587444">
              <w:rPr>
                <w:rFonts w:ascii="Arial" w:eastAsia="Calibri" w:hAnsi="Arial" w:cs="Arial"/>
                <w:b/>
                <w:bCs/>
                <w:sz w:val="19"/>
                <w:szCs w:val="19"/>
              </w:rPr>
              <w:t>Net cash</w:t>
            </w:r>
            <w:r w:rsidRPr="00587444">
              <w:rPr>
                <w:rFonts w:ascii="Arial" w:hAnsi="Arial" w:cs="Arial"/>
                <w:b/>
                <w:bCs/>
                <w:sz w:val="19"/>
                <w:szCs w:val="19"/>
              </w:rPr>
              <w:t xml:space="preserve"> </w:t>
            </w:r>
            <w:r w:rsidRPr="00587444">
              <w:rPr>
                <w:b/>
                <w:bCs/>
              </w:rPr>
              <w:t>(</w:t>
            </w:r>
            <w:r w:rsidRPr="00587444">
              <w:rPr>
                <w:rFonts w:ascii="Arial" w:hAnsi="Arial" w:cs="Arial"/>
                <w:b/>
                <w:bCs/>
                <w:sz w:val="19"/>
                <w:szCs w:val="19"/>
              </w:rPr>
              <w:t>used in)/</w:t>
            </w:r>
            <w:r w:rsidRPr="00587444">
              <w:rPr>
                <w:rFonts w:ascii="Arial" w:eastAsia="Calibri" w:hAnsi="Arial" w:cs="Arial"/>
                <w:b/>
                <w:bCs/>
                <w:sz w:val="19"/>
                <w:szCs w:val="19"/>
              </w:rPr>
              <w:t>provided from operating activities</w:t>
            </w:r>
            <w:bookmarkEnd w:id="214"/>
          </w:p>
        </w:tc>
        <w:tc>
          <w:tcPr>
            <w:tcW w:w="1271" w:type="dxa"/>
            <w:tcBorders>
              <w:top w:val="single" w:sz="4" w:space="0" w:color="auto"/>
              <w:left w:val="nil"/>
              <w:bottom w:val="single" w:sz="8" w:space="0" w:color="auto"/>
              <w:right w:val="nil"/>
            </w:tcBorders>
            <w:shd w:val="clear" w:color="auto" w:fill="auto"/>
            <w:vAlign w:val="bottom"/>
          </w:tcPr>
          <w:p w14:paraId="0C433B18" w14:textId="77777777" w:rsidR="00587444" w:rsidRPr="00587444" w:rsidRDefault="00587444" w:rsidP="00587444">
            <w:pPr>
              <w:keepLines/>
              <w:suppressAutoHyphens w:val="0"/>
              <w:autoSpaceDN/>
              <w:jc w:val="right"/>
              <w:rPr>
                <w:rFonts w:ascii="Arial" w:hAnsi="Arial" w:cs="Arial"/>
                <w:b/>
                <w:bCs/>
                <w:color w:val="000000"/>
                <w:sz w:val="19"/>
                <w:szCs w:val="19"/>
                <w:lang w:val="hr-HR"/>
              </w:rPr>
            </w:pPr>
            <w:r w:rsidRPr="00587444">
              <w:rPr>
                <w:rFonts w:ascii="Arial" w:hAnsi="Arial" w:cs="Arial"/>
                <w:b/>
                <w:bCs/>
                <w:color w:val="000000"/>
                <w:sz w:val="19"/>
                <w:szCs w:val="19"/>
                <w:lang w:val="hr-HR"/>
              </w:rPr>
              <w:t>(1,013,688)</w:t>
            </w:r>
          </w:p>
        </w:tc>
        <w:tc>
          <w:tcPr>
            <w:tcW w:w="1270" w:type="dxa"/>
            <w:tcBorders>
              <w:top w:val="single" w:sz="4" w:space="0" w:color="auto"/>
              <w:left w:val="nil"/>
              <w:bottom w:val="single" w:sz="8" w:space="0" w:color="auto"/>
              <w:right w:val="nil"/>
            </w:tcBorders>
            <w:shd w:val="clear" w:color="auto" w:fill="auto"/>
            <w:vAlign w:val="bottom"/>
          </w:tcPr>
          <w:p w14:paraId="0A3ECBFB" w14:textId="77777777" w:rsidR="00587444" w:rsidRPr="00587444" w:rsidRDefault="00587444" w:rsidP="00587444">
            <w:pPr>
              <w:suppressAutoHyphens w:val="0"/>
              <w:autoSpaceDN/>
              <w:jc w:val="right"/>
              <w:rPr>
                <w:rFonts w:ascii="Arial" w:eastAsia="Calibri" w:hAnsi="Arial" w:cs="Arial"/>
                <w:b/>
                <w:spacing w:val="-2"/>
                <w:sz w:val="19"/>
                <w:szCs w:val="19"/>
              </w:rPr>
            </w:pPr>
            <w:r w:rsidRPr="00587444">
              <w:rPr>
                <w:rFonts w:ascii="Arial" w:hAnsi="Arial" w:cs="Arial"/>
                <w:b/>
                <w:color w:val="000000"/>
                <w:spacing w:val="-2"/>
                <w:sz w:val="19"/>
                <w:szCs w:val="19"/>
                <w:lang w:val="hr-HR"/>
              </w:rPr>
              <w:t>917,413</w:t>
            </w:r>
          </w:p>
        </w:tc>
      </w:tr>
      <w:tr w:rsidR="00587444" w:rsidRPr="00587444" w14:paraId="325E8556" w14:textId="77777777" w:rsidTr="00DD69E7">
        <w:trPr>
          <w:trHeight w:hRule="exact" w:val="109"/>
        </w:trPr>
        <w:tc>
          <w:tcPr>
            <w:tcW w:w="7370" w:type="dxa"/>
            <w:vAlign w:val="bottom"/>
          </w:tcPr>
          <w:p w14:paraId="533418A4" w14:textId="77777777" w:rsidR="00587444" w:rsidRPr="00587444" w:rsidRDefault="00587444" w:rsidP="00587444">
            <w:pPr>
              <w:keepNext/>
              <w:keepLines/>
              <w:tabs>
                <w:tab w:val="decimal" w:pos="1202"/>
              </w:tabs>
              <w:suppressAutoHyphens w:val="0"/>
              <w:autoSpaceDN/>
              <w:rPr>
                <w:rFonts w:ascii="Arial" w:eastAsia="Calibri" w:hAnsi="Arial" w:cs="Arial"/>
                <w:b/>
                <w:bCs/>
                <w:position w:val="4"/>
                <w:sz w:val="19"/>
                <w:szCs w:val="19"/>
              </w:rPr>
            </w:pPr>
          </w:p>
        </w:tc>
        <w:tc>
          <w:tcPr>
            <w:tcW w:w="1271" w:type="dxa"/>
            <w:tcBorders>
              <w:top w:val="single" w:sz="12" w:space="0" w:color="auto"/>
            </w:tcBorders>
            <w:shd w:val="clear" w:color="auto" w:fill="auto"/>
            <w:vAlign w:val="bottom"/>
          </w:tcPr>
          <w:p w14:paraId="10A22100" w14:textId="77777777" w:rsidR="00587444" w:rsidRPr="00587444" w:rsidRDefault="00587444" w:rsidP="00587444">
            <w:pPr>
              <w:keepLines/>
              <w:suppressAutoHyphens w:val="0"/>
              <w:autoSpaceDN/>
              <w:jc w:val="right"/>
              <w:rPr>
                <w:rFonts w:ascii="Arial" w:eastAsia="Calibri" w:hAnsi="Arial" w:cs="Arial"/>
                <w:b/>
                <w:position w:val="4"/>
                <w:sz w:val="19"/>
                <w:szCs w:val="19"/>
                <w:u w:val="thick"/>
              </w:rPr>
            </w:pPr>
          </w:p>
        </w:tc>
        <w:tc>
          <w:tcPr>
            <w:tcW w:w="1270" w:type="dxa"/>
            <w:tcBorders>
              <w:top w:val="single" w:sz="12" w:space="0" w:color="auto"/>
            </w:tcBorders>
            <w:shd w:val="clear" w:color="auto" w:fill="auto"/>
            <w:vAlign w:val="bottom"/>
          </w:tcPr>
          <w:p w14:paraId="36D8B32D" w14:textId="77777777" w:rsidR="00587444" w:rsidRPr="00587444" w:rsidRDefault="00587444" w:rsidP="00587444">
            <w:pPr>
              <w:keepLines/>
              <w:suppressAutoHyphens w:val="0"/>
              <w:autoSpaceDN/>
              <w:jc w:val="right"/>
              <w:rPr>
                <w:rFonts w:ascii="Arial" w:eastAsia="Calibri" w:hAnsi="Arial" w:cs="Arial"/>
                <w:b/>
                <w:position w:val="4"/>
                <w:sz w:val="19"/>
                <w:szCs w:val="19"/>
                <w:u w:val="thick"/>
              </w:rPr>
            </w:pPr>
          </w:p>
        </w:tc>
      </w:tr>
      <w:tr w:rsidR="00587444" w:rsidRPr="00587444" w14:paraId="60DE5695" w14:textId="77777777" w:rsidTr="00DD69E7">
        <w:trPr>
          <w:trHeight w:hRule="exact" w:val="204"/>
        </w:trPr>
        <w:tc>
          <w:tcPr>
            <w:tcW w:w="7370" w:type="dxa"/>
          </w:tcPr>
          <w:p w14:paraId="6F2E12B9" w14:textId="77777777" w:rsidR="00587444" w:rsidRPr="00587444" w:rsidRDefault="00587444" w:rsidP="00587444">
            <w:pPr>
              <w:keepLines/>
              <w:tabs>
                <w:tab w:val="right" w:pos="1202"/>
              </w:tabs>
              <w:suppressAutoHyphens w:val="0"/>
              <w:autoSpaceDN/>
              <w:outlineLvl w:val="0"/>
              <w:rPr>
                <w:rFonts w:ascii="Arial" w:eastAsia="Calibri" w:hAnsi="Arial" w:cs="Arial"/>
                <w:b/>
                <w:bCs/>
                <w:sz w:val="19"/>
                <w:szCs w:val="19"/>
              </w:rPr>
            </w:pPr>
            <w:bookmarkStart w:id="215" w:name="_Toc4057068"/>
            <w:r w:rsidRPr="00587444">
              <w:rPr>
                <w:rFonts w:ascii="Arial" w:eastAsia="Calibri" w:hAnsi="Arial" w:cs="Arial"/>
                <w:b/>
                <w:bCs/>
                <w:sz w:val="19"/>
                <w:szCs w:val="19"/>
              </w:rPr>
              <w:t>Investment activities</w:t>
            </w:r>
            <w:bookmarkEnd w:id="215"/>
          </w:p>
        </w:tc>
        <w:tc>
          <w:tcPr>
            <w:tcW w:w="1271" w:type="dxa"/>
            <w:shd w:val="clear" w:color="auto" w:fill="auto"/>
            <w:vAlign w:val="bottom"/>
          </w:tcPr>
          <w:p w14:paraId="55914548" w14:textId="77777777" w:rsidR="00587444" w:rsidRPr="00587444" w:rsidRDefault="00587444" w:rsidP="00587444">
            <w:pPr>
              <w:keepLines/>
              <w:tabs>
                <w:tab w:val="right" w:pos="1202"/>
              </w:tabs>
              <w:suppressAutoHyphens w:val="0"/>
              <w:autoSpaceDN/>
              <w:jc w:val="right"/>
              <w:outlineLvl w:val="0"/>
              <w:rPr>
                <w:rFonts w:ascii="Arial" w:eastAsia="Calibri" w:hAnsi="Arial" w:cs="Arial"/>
                <w:b/>
                <w:bCs/>
                <w:sz w:val="19"/>
                <w:szCs w:val="19"/>
              </w:rPr>
            </w:pPr>
          </w:p>
        </w:tc>
        <w:tc>
          <w:tcPr>
            <w:tcW w:w="1270" w:type="dxa"/>
            <w:shd w:val="clear" w:color="auto" w:fill="auto"/>
            <w:vAlign w:val="bottom"/>
          </w:tcPr>
          <w:p w14:paraId="411BC195" w14:textId="77777777" w:rsidR="00587444" w:rsidRPr="00587444" w:rsidRDefault="00587444" w:rsidP="00587444">
            <w:pPr>
              <w:keepLines/>
              <w:tabs>
                <w:tab w:val="right" w:pos="1202"/>
              </w:tabs>
              <w:suppressAutoHyphens w:val="0"/>
              <w:autoSpaceDN/>
              <w:jc w:val="right"/>
              <w:outlineLvl w:val="0"/>
              <w:rPr>
                <w:rFonts w:ascii="Arial" w:eastAsia="Calibri" w:hAnsi="Arial" w:cs="Arial"/>
                <w:b/>
                <w:bCs/>
                <w:sz w:val="19"/>
                <w:szCs w:val="19"/>
              </w:rPr>
            </w:pPr>
          </w:p>
        </w:tc>
      </w:tr>
      <w:tr w:rsidR="00587444" w:rsidRPr="00587444" w14:paraId="445BB15C" w14:textId="77777777" w:rsidTr="00DD69E7">
        <w:trPr>
          <w:trHeight w:hRule="exact" w:val="204"/>
        </w:trPr>
        <w:tc>
          <w:tcPr>
            <w:tcW w:w="7370" w:type="dxa"/>
            <w:vAlign w:val="center"/>
          </w:tcPr>
          <w:p w14:paraId="4CAC69B8" w14:textId="77777777" w:rsidR="00587444" w:rsidRPr="00587444" w:rsidRDefault="00587444" w:rsidP="00587444">
            <w:pPr>
              <w:keepLines/>
              <w:tabs>
                <w:tab w:val="right" w:pos="1202"/>
              </w:tabs>
              <w:suppressAutoHyphens w:val="0"/>
              <w:autoSpaceDN/>
              <w:outlineLvl w:val="0"/>
              <w:rPr>
                <w:rFonts w:ascii="Arial" w:eastAsia="Calibri" w:hAnsi="Arial" w:cs="Arial"/>
                <w:sz w:val="19"/>
                <w:szCs w:val="19"/>
              </w:rPr>
            </w:pPr>
            <w:bookmarkStart w:id="216" w:name="_Toc4057072"/>
            <w:r w:rsidRPr="00587444">
              <w:rPr>
                <w:rFonts w:ascii="Arial" w:eastAsia="Calibri" w:hAnsi="Arial" w:cs="Arial"/>
                <w:sz w:val="19"/>
                <w:szCs w:val="19"/>
              </w:rPr>
              <w:t>Purchase of financial assets at fair value through profit or loss</w:t>
            </w:r>
            <w:bookmarkEnd w:id="216"/>
          </w:p>
        </w:tc>
        <w:tc>
          <w:tcPr>
            <w:tcW w:w="1271" w:type="dxa"/>
            <w:shd w:val="clear" w:color="auto" w:fill="auto"/>
            <w:vAlign w:val="bottom"/>
          </w:tcPr>
          <w:p w14:paraId="0D609EA6" w14:textId="77777777" w:rsidR="00587444" w:rsidRPr="00587444" w:rsidRDefault="00587444" w:rsidP="00587444">
            <w:pPr>
              <w:keepLines/>
              <w:tabs>
                <w:tab w:val="right" w:pos="1202"/>
              </w:tabs>
              <w:suppressAutoHyphens w:val="0"/>
              <w:autoSpaceDN/>
              <w:jc w:val="right"/>
              <w:outlineLvl w:val="0"/>
              <w:rPr>
                <w:rFonts w:ascii="Arial" w:hAnsi="Arial" w:cs="Arial"/>
                <w:bCs/>
                <w:color w:val="000000"/>
                <w:sz w:val="19"/>
                <w:szCs w:val="19"/>
                <w:lang w:val="hr-HR"/>
              </w:rPr>
            </w:pPr>
            <w:r w:rsidRPr="00587444">
              <w:rPr>
                <w:rFonts w:ascii="Arial" w:hAnsi="Arial" w:cs="Arial"/>
                <w:bCs/>
                <w:color w:val="000000"/>
                <w:sz w:val="19"/>
                <w:szCs w:val="19"/>
                <w:lang w:val="hr-HR"/>
              </w:rPr>
              <w:t xml:space="preserve"> (52,821)</w:t>
            </w:r>
          </w:p>
        </w:tc>
        <w:tc>
          <w:tcPr>
            <w:tcW w:w="1270" w:type="dxa"/>
            <w:shd w:val="clear" w:color="auto" w:fill="auto"/>
          </w:tcPr>
          <w:p w14:paraId="4EB301DF" w14:textId="77777777" w:rsidR="00587444" w:rsidRPr="00587444" w:rsidRDefault="00587444" w:rsidP="00587444">
            <w:pPr>
              <w:keepLines/>
              <w:tabs>
                <w:tab w:val="right" w:pos="1202"/>
              </w:tabs>
              <w:suppressAutoHyphens w:val="0"/>
              <w:autoSpaceDN/>
              <w:jc w:val="right"/>
              <w:outlineLvl w:val="0"/>
              <w:rPr>
                <w:rFonts w:ascii="Arial" w:eastAsia="Calibri" w:hAnsi="Arial" w:cs="Arial"/>
                <w:sz w:val="19"/>
                <w:szCs w:val="19"/>
              </w:rPr>
            </w:pPr>
            <w:r w:rsidRPr="00587444">
              <w:rPr>
                <w:rFonts w:ascii="Arial" w:hAnsi="Arial" w:cs="Arial"/>
                <w:bCs/>
                <w:color w:val="000000"/>
                <w:sz w:val="19"/>
                <w:szCs w:val="19"/>
                <w:lang w:val="hr-HR"/>
              </w:rPr>
              <w:t>(50,408)</w:t>
            </w:r>
          </w:p>
        </w:tc>
      </w:tr>
      <w:tr w:rsidR="00587444" w:rsidRPr="00587444" w14:paraId="41904D0F" w14:textId="77777777" w:rsidTr="00DD69E7">
        <w:trPr>
          <w:trHeight w:hRule="exact" w:val="204"/>
        </w:trPr>
        <w:tc>
          <w:tcPr>
            <w:tcW w:w="7370" w:type="dxa"/>
            <w:vAlign w:val="center"/>
          </w:tcPr>
          <w:p w14:paraId="0CAFFF1A" w14:textId="77777777" w:rsidR="00587444" w:rsidRPr="00587444" w:rsidRDefault="00587444" w:rsidP="00587444">
            <w:pPr>
              <w:keepLines/>
              <w:tabs>
                <w:tab w:val="right" w:pos="1202"/>
              </w:tabs>
              <w:suppressAutoHyphens w:val="0"/>
              <w:autoSpaceDN/>
              <w:outlineLvl w:val="0"/>
              <w:rPr>
                <w:rFonts w:ascii="Arial" w:eastAsia="Calibri" w:hAnsi="Arial" w:cs="Arial"/>
                <w:sz w:val="19"/>
                <w:szCs w:val="19"/>
              </w:rPr>
            </w:pPr>
            <w:bookmarkStart w:id="217" w:name="_Toc4057074"/>
            <w:r w:rsidRPr="00587444">
              <w:rPr>
                <w:rFonts w:ascii="Arial" w:eastAsia="Calibri" w:hAnsi="Arial" w:cs="Arial"/>
                <w:sz w:val="19"/>
                <w:szCs w:val="19"/>
              </w:rPr>
              <w:t>Sale of financial assets at fair value through profit or loss</w:t>
            </w:r>
            <w:bookmarkEnd w:id="217"/>
          </w:p>
        </w:tc>
        <w:tc>
          <w:tcPr>
            <w:tcW w:w="1271" w:type="dxa"/>
            <w:shd w:val="clear" w:color="auto" w:fill="auto"/>
            <w:vAlign w:val="bottom"/>
          </w:tcPr>
          <w:p w14:paraId="56DA3267" w14:textId="77777777" w:rsidR="00587444" w:rsidRPr="00587444" w:rsidRDefault="00587444" w:rsidP="00587444">
            <w:pPr>
              <w:keepLines/>
              <w:tabs>
                <w:tab w:val="right" w:pos="1202"/>
              </w:tabs>
              <w:suppressAutoHyphens w:val="0"/>
              <w:autoSpaceDN/>
              <w:jc w:val="right"/>
              <w:outlineLvl w:val="0"/>
              <w:rPr>
                <w:rFonts w:ascii="Arial" w:hAnsi="Arial" w:cs="Arial"/>
                <w:bCs/>
                <w:color w:val="000000"/>
                <w:sz w:val="19"/>
                <w:szCs w:val="19"/>
                <w:lang w:val="hr-HR"/>
              </w:rPr>
            </w:pPr>
            <w:r w:rsidRPr="00587444">
              <w:rPr>
                <w:rFonts w:ascii="Arial" w:hAnsi="Arial" w:cs="Arial"/>
                <w:bCs/>
                <w:color w:val="000000"/>
                <w:sz w:val="19"/>
                <w:szCs w:val="19"/>
                <w:lang w:val="hr-HR"/>
              </w:rPr>
              <w:t xml:space="preserve"> 156,513 </w:t>
            </w:r>
          </w:p>
        </w:tc>
        <w:tc>
          <w:tcPr>
            <w:tcW w:w="1270" w:type="dxa"/>
            <w:shd w:val="clear" w:color="auto" w:fill="auto"/>
          </w:tcPr>
          <w:p w14:paraId="0BCC8ED6" w14:textId="77777777" w:rsidR="00587444" w:rsidRPr="00587444" w:rsidRDefault="00587444" w:rsidP="00587444">
            <w:pPr>
              <w:keepLines/>
              <w:tabs>
                <w:tab w:val="right" w:pos="1202"/>
              </w:tabs>
              <w:suppressAutoHyphens w:val="0"/>
              <w:autoSpaceDN/>
              <w:jc w:val="right"/>
              <w:outlineLvl w:val="0"/>
              <w:rPr>
                <w:rFonts w:ascii="Arial" w:eastAsia="Calibri" w:hAnsi="Arial" w:cs="Arial"/>
                <w:sz w:val="19"/>
                <w:szCs w:val="19"/>
              </w:rPr>
            </w:pPr>
            <w:r w:rsidRPr="00587444">
              <w:rPr>
                <w:rFonts w:ascii="Arial" w:hAnsi="Arial" w:cs="Arial"/>
                <w:bCs/>
                <w:color w:val="000000"/>
                <w:sz w:val="19"/>
                <w:szCs w:val="19"/>
                <w:lang w:val="hr-HR"/>
              </w:rPr>
              <w:t>30,548</w:t>
            </w:r>
          </w:p>
        </w:tc>
      </w:tr>
      <w:tr w:rsidR="00587444" w:rsidRPr="00587444" w14:paraId="1A234EAE" w14:textId="77777777" w:rsidTr="00DD69E7">
        <w:trPr>
          <w:trHeight w:hRule="exact" w:val="204"/>
        </w:trPr>
        <w:tc>
          <w:tcPr>
            <w:tcW w:w="7370" w:type="dxa"/>
            <w:vAlign w:val="center"/>
          </w:tcPr>
          <w:p w14:paraId="57E8FD75" w14:textId="77777777" w:rsidR="00587444" w:rsidRPr="00587444" w:rsidRDefault="00587444" w:rsidP="00587444">
            <w:pPr>
              <w:keepLines/>
              <w:tabs>
                <w:tab w:val="right" w:pos="1202"/>
              </w:tabs>
              <w:suppressAutoHyphens w:val="0"/>
              <w:autoSpaceDN/>
              <w:outlineLvl w:val="0"/>
              <w:rPr>
                <w:rFonts w:ascii="Arial" w:eastAsia="Calibri" w:hAnsi="Arial" w:cs="Arial"/>
                <w:sz w:val="19"/>
                <w:szCs w:val="19"/>
              </w:rPr>
            </w:pPr>
            <w:bookmarkStart w:id="218" w:name="_Toc4057076"/>
            <w:r w:rsidRPr="00587444">
              <w:rPr>
                <w:rFonts w:ascii="Arial" w:eastAsia="Calibri" w:hAnsi="Arial" w:cs="Arial"/>
                <w:sz w:val="19"/>
                <w:szCs w:val="19"/>
              </w:rPr>
              <w:t>Purchase of financial assets at fair value through other comprehensive income</w:t>
            </w:r>
            <w:bookmarkEnd w:id="218"/>
          </w:p>
        </w:tc>
        <w:tc>
          <w:tcPr>
            <w:tcW w:w="1271" w:type="dxa"/>
            <w:shd w:val="clear" w:color="auto" w:fill="auto"/>
            <w:vAlign w:val="bottom"/>
          </w:tcPr>
          <w:p w14:paraId="20505682" w14:textId="77777777" w:rsidR="00587444" w:rsidRPr="00587444" w:rsidRDefault="00587444" w:rsidP="00587444">
            <w:pPr>
              <w:keepLines/>
              <w:tabs>
                <w:tab w:val="right" w:pos="1202"/>
              </w:tabs>
              <w:suppressAutoHyphens w:val="0"/>
              <w:autoSpaceDN/>
              <w:jc w:val="right"/>
              <w:outlineLvl w:val="0"/>
              <w:rPr>
                <w:rFonts w:ascii="Arial" w:hAnsi="Arial" w:cs="Arial"/>
                <w:bCs/>
                <w:color w:val="000000"/>
                <w:sz w:val="19"/>
                <w:szCs w:val="19"/>
                <w:lang w:val="hr-HR"/>
              </w:rPr>
            </w:pPr>
            <w:r w:rsidRPr="00587444">
              <w:rPr>
                <w:rFonts w:ascii="Arial" w:hAnsi="Arial" w:cs="Arial"/>
                <w:bCs/>
                <w:color w:val="000000"/>
                <w:sz w:val="19"/>
                <w:szCs w:val="19"/>
                <w:lang w:val="hr-HR"/>
              </w:rPr>
              <w:t>(1,929,705)</w:t>
            </w:r>
          </w:p>
        </w:tc>
        <w:tc>
          <w:tcPr>
            <w:tcW w:w="1270" w:type="dxa"/>
            <w:shd w:val="clear" w:color="auto" w:fill="auto"/>
          </w:tcPr>
          <w:p w14:paraId="45138D5F" w14:textId="77777777" w:rsidR="00587444" w:rsidRPr="00587444" w:rsidRDefault="00587444" w:rsidP="00587444">
            <w:pPr>
              <w:keepLines/>
              <w:tabs>
                <w:tab w:val="right" w:pos="1202"/>
              </w:tabs>
              <w:suppressAutoHyphens w:val="0"/>
              <w:autoSpaceDN/>
              <w:jc w:val="right"/>
              <w:outlineLvl w:val="0"/>
              <w:rPr>
                <w:rFonts w:ascii="Arial" w:eastAsia="Calibri" w:hAnsi="Arial" w:cs="Arial"/>
                <w:sz w:val="19"/>
                <w:szCs w:val="19"/>
              </w:rPr>
            </w:pPr>
            <w:r w:rsidRPr="00587444">
              <w:rPr>
                <w:rFonts w:ascii="Arial" w:hAnsi="Arial" w:cs="Arial"/>
                <w:color w:val="000000"/>
                <w:sz w:val="19"/>
                <w:szCs w:val="19"/>
                <w:lang w:val="hr-HR"/>
              </w:rPr>
              <w:t>(1,659,706)</w:t>
            </w:r>
          </w:p>
        </w:tc>
      </w:tr>
      <w:tr w:rsidR="00587444" w:rsidRPr="00587444" w14:paraId="78ADBADA" w14:textId="77777777" w:rsidTr="00DD69E7">
        <w:trPr>
          <w:trHeight w:hRule="exact" w:val="204"/>
        </w:trPr>
        <w:tc>
          <w:tcPr>
            <w:tcW w:w="7370" w:type="dxa"/>
          </w:tcPr>
          <w:p w14:paraId="578E2288" w14:textId="77777777" w:rsidR="00587444" w:rsidRPr="00587444" w:rsidRDefault="00587444" w:rsidP="00587444">
            <w:pPr>
              <w:keepLines/>
              <w:tabs>
                <w:tab w:val="right" w:pos="1202"/>
              </w:tabs>
              <w:suppressAutoHyphens w:val="0"/>
              <w:autoSpaceDN/>
              <w:outlineLvl w:val="0"/>
              <w:rPr>
                <w:rFonts w:ascii="Arial" w:eastAsia="Calibri" w:hAnsi="Arial" w:cs="Arial"/>
                <w:sz w:val="19"/>
                <w:szCs w:val="19"/>
              </w:rPr>
            </w:pPr>
            <w:bookmarkStart w:id="219" w:name="_Toc4057078"/>
            <w:r w:rsidRPr="00587444">
              <w:rPr>
                <w:rFonts w:ascii="Arial" w:hAnsi="Arial" w:cs="Arial"/>
                <w:sz w:val="19"/>
                <w:szCs w:val="19"/>
                <w:lang w:eastAsia="hr-HR"/>
              </w:rPr>
              <w:t>Sale of financial assets at fair value through other comprehensive income</w:t>
            </w:r>
            <w:bookmarkEnd w:id="219"/>
          </w:p>
        </w:tc>
        <w:tc>
          <w:tcPr>
            <w:tcW w:w="1271" w:type="dxa"/>
            <w:shd w:val="clear" w:color="auto" w:fill="auto"/>
            <w:vAlign w:val="bottom"/>
          </w:tcPr>
          <w:p w14:paraId="02CF9387" w14:textId="77777777" w:rsidR="00587444" w:rsidRPr="00587444" w:rsidRDefault="00587444" w:rsidP="00587444">
            <w:pPr>
              <w:keepLines/>
              <w:tabs>
                <w:tab w:val="right" w:pos="1202"/>
              </w:tabs>
              <w:suppressAutoHyphens w:val="0"/>
              <w:autoSpaceDN/>
              <w:jc w:val="right"/>
              <w:outlineLvl w:val="0"/>
              <w:rPr>
                <w:rFonts w:ascii="Arial" w:hAnsi="Arial" w:cs="Arial"/>
                <w:bCs/>
                <w:color w:val="000000"/>
                <w:sz w:val="19"/>
                <w:szCs w:val="19"/>
                <w:lang w:val="hr-HR"/>
              </w:rPr>
            </w:pPr>
            <w:r w:rsidRPr="00587444">
              <w:rPr>
                <w:rFonts w:ascii="Arial" w:hAnsi="Arial" w:cs="Arial"/>
                <w:bCs/>
                <w:color w:val="000000"/>
                <w:sz w:val="19"/>
                <w:szCs w:val="19"/>
                <w:lang w:val="hr-HR"/>
              </w:rPr>
              <w:t xml:space="preserve"> 2,121,928 </w:t>
            </w:r>
          </w:p>
        </w:tc>
        <w:tc>
          <w:tcPr>
            <w:tcW w:w="1270" w:type="dxa"/>
            <w:shd w:val="clear" w:color="auto" w:fill="auto"/>
          </w:tcPr>
          <w:p w14:paraId="705B4688" w14:textId="77777777" w:rsidR="00587444" w:rsidRPr="00587444" w:rsidRDefault="00587444" w:rsidP="00587444">
            <w:pPr>
              <w:keepLines/>
              <w:tabs>
                <w:tab w:val="right" w:pos="1202"/>
              </w:tabs>
              <w:suppressAutoHyphens w:val="0"/>
              <w:autoSpaceDN/>
              <w:jc w:val="right"/>
              <w:outlineLvl w:val="0"/>
              <w:rPr>
                <w:rFonts w:ascii="Arial" w:eastAsia="Calibri" w:hAnsi="Arial" w:cs="Arial"/>
                <w:sz w:val="19"/>
                <w:szCs w:val="19"/>
              </w:rPr>
            </w:pPr>
            <w:r w:rsidRPr="00587444">
              <w:rPr>
                <w:rFonts w:ascii="Arial" w:hAnsi="Arial" w:cs="Arial"/>
                <w:color w:val="000000"/>
                <w:sz w:val="19"/>
                <w:szCs w:val="19"/>
                <w:lang w:val="hr-HR"/>
              </w:rPr>
              <w:t>1,755,422</w:t>
            </w:r>
          </w:p>
        </w:tc>
      </w:tr>
      <w:tr w:rsidR="00587444" w:rsidRPr="00587444" w14:paraId="30507030" w14:textId="77777777" w:rsidTr="00DD69E7">
        <w:trPr>
          <w:trHeight w:hRule="exact" w:val="204"/>
        </w:trPr>
        <w:tc>
          <w:tcPr>
            <w:tcW w:w="7370" w:type="dxa"/>
          </w:tcPr>
          <w:p w14:paraId="3BE6403F" w14:textId="77777777" w:rsidR="00587444" w:rsidRPr="00587444" w:rsidRDefault="00587444" w:rsidP="00587444">
            <w:pPr>
              <w:keepLines/>
              <w:tabs>
                <w:tab w:val="right" w:pos="1202"/>
              </w:tabs>
              <w:suppressAutoHyphens w:val="0"/>
              <w:autoSpaceDN/>
              <w:outlineLvl w:val="0"/>
              <w:rPr>
                <w:rFonts w:ascii="Arial" w:hAnsi="Arial" w:cs="Arial"/>
                <w:sz w:val="19"/>
                <w:szCs w:val="19"/>
                <w:lang w:eastAsia="hr-HR"/>
              </w:rPr>
            </w:pPr>
            <w:r w:rsidRPr="00587444">
              <w:rPr>
                <w:rFonts w:ascii="Arial" w:hAnsi="Arial" w:cs="Arial"/>
                <w:sz w:val="19"/>
                <w:szCs w:val="19"/>
                <w:lang w:eastAsia="hr-HR"/>
              </w:rPr>
              <w:t>Investments in associates – sales and write-offs</w:t>
            </w:r>
          </w:p>
        </w:tc>
        <w:tc>
          <w:tcPr>
            <w:tcW w:w="1271" w:type="dxa"/>
            <w:shd w:val="clear" w:color="auto" w:fill="auto"/>
            <w:vAlign w:val="bottom"/>
          </w:tcPr>
          <w:p w14:paraId="0B3B7EE4" w14:textId="77777777" w:rsidR="00587444" w:rsidRPr="00587444" w:rsidRDefault="00587444" w:rsidP="00587444">
            <w:pPr>
              <w:keepLines/>
              <w:tabs>
                <w:tab w:val="right" w:pos="1202"/>
              </w:tabs>
              <w:suppressAutoHyphens w:val="0"/>
              <w:autoSpaceDN/>
              <w:jc w:val="right"/>
              <w:outlineLvl w:val="0"/>
              <w:rPr>
                <w:rFonts w:ascii="Arial" w:hAnsi="Arial" w:cs="Arial"/>
                <w:bCs/>
                <w:color w:val="000000"/>
                <w:sz w:val="19"/>
                <w:szCs w:val="19"/>
                <w:lang w:val="hr-HR"/>
              </w:rPr>
            </w:pPr>
            <w:r w:rsidRPr="00587444">
              <w:rPr>
                <w:rFonts w:ascii="Arial" w:hAnsi="Arial" w:cs="Arial"/>
                <w:bCs/>
                <w:color w:val="000000"/>
                <w:sz w:val="19"/>
                <w:szCs w:val="19"/>
                <w:lang w:val="hr-HR"/>
              </w:rPr>
              <w:t>-</w:t>
            </w:r>
          </w:p>
        </w:tc>
        <w:tc>
          <w:tcPr>
            <w:tcW w:w="1270" w:type="dxa"/>
            <w:shd w:val="clear" w:color="auto" w:fill="auto"/>
          </w:tcPr>
          <w:p w14:paraId="047FA7AE" w14:textId="77777777" w:rsidR="00587444" w:rsidRPr="00587444" w:rsidRDefault="00587444" w:rsidP="00587444">
            <w:pPr>
              <w:keepLines/>
              <w:tabs>
                <w:tab w:val="right" w:pos="1202"/>
              </w:tabs>
              <w:suppressAutoHyphens w:val="0"/>
              <w:autoSpaceDN/>
              <w:jc w:val="right"/>
              <w:outlineLvl w:val="0"/>
              <w:rPr>
                <w:rFonts w:ascii="Arial" w:eastAsia="Calibri" w:hAnsi="Arial" w:cs="Arial"/>
                <w:sz w:val="19"/>
                <w:szCs w:val="19"/>
              </w:rPr>
            </w:pPr>
            <w:r w:rsidRPr="00587444">
              <w:rPr>
                <w:rFonts w:ascii="Arial" w:hAnsi="Arial" w:cs="Arial"/>
                <w:color w:val="000000"/>
                <w:sz w:val="19"/>
                <w:szCs w:val="19"/>
                <w:lang w:val="hr-HR"/>
              </w:rPr>
              <w:t>5,979</w:t>
            </w:r>
          </w:p>
        </w:tc>
      </w:tr>
      <w:tr w:rsidR="00587444" w:rsidRPr="00587444" w14:paraId="792E1C01" w14:textId="77777777" w:rsidTr="00587444">
        <w:trPr>
          <w:trHeight w:hRule="exact" w:val="204"/>
        </w:trPr>
        <w:tc>
          <w:tcPr>
            <w:tcW w:w="7370" w:type="dxa"/>
          </w:tcPr>
          <w:p w14:paraId="18ECC133" w14:textId="77777777" w:rsidR="00587444" w:rsidRPr="00587444" w:rsidRDefault="00587444" w:rsidP="00587444">
            <w:pPr>
              <w:keepLines/>
              <w:tabs>
                <w:tab w:val="right" w:pos="1202"/>
              </w:tabs>
              <w:suppressAutoHyphens w:val="0"/>
              <w:autoSpaceDN/>
              <w:outlineLvl w:val="0"/>
              <w:rPr>
                <w:rFonts w:ascii="Arial" w:eastAsia="Calibri" w:hAnsi="Arial" w:cs="Arial"/>
                <w:sz w:val="19"/>
                <w:szCs w:val="19"/>
              </w:rPr>
            </w:pPr>
            <w:r w:rsidRPr="00587444">
              <w:rPr>
                <w:rFonts w:ascii="Arial" w:eastAsia="Calibri" w:hAnsi="Arial" w:cs="Arial"/>
                <w:sz w:val="19"/>
                <w:szCs w:val="19"/>
              </w:rPr>
              <w:t>Investments in subsidiaries</w:t>
            </w:r>
          </w:p>
        </w:tc>
        <w:tc>
          <w:tcPr>
            <w:tcW w:w="1271" w:type="dxa"/>
            <w:shd w:val="clear" w:color="auto" w:fill="FFFFFF"/>
            <w:vAlign w:val="bottom"/>
          </w:tcPr>
          <w:p w14:paraId="4DBC7A3F" w14:textId="77777777" w:rsidR="00587444" w:rsidRPr="00587444" w:rsidRDefault="00587444" w:rsidP="00587444">
            <w:pPr>
              <w:keepLines/>
              <w:tabs>
                <w:tab w:val="right" w:pos="1202"/>
              </w:tabs>
              <w:suppressAutoHyphens w:val="0"/>
              <w:autoSpaceDN/>
              <w:jc w:val="right"/>
              <w:outlineLvl w:val="0"/>
              <w:rPr>
                <w:rFonts w:ascii="Arial" w:hAnsi="Arial" w:cs="Arial"/>
                <w:bCs/>
                <w:color w:val="000000"/>
                <w:sz w:val="19"/>
                <w:szCs w:val="19"/>
                <w:lang w:val="hr-HR"/>
              </w:rPr>
            </w:pPr>
            <w:r w:rsidRPr="00587444">
              <w:rPr>
                <w:rFonts w:ascii="Arial" w:hAnsi="Arial" w:cs="Arial"/>
                <w:bCs/>
                <w:color w:val="000000"/>
                <w:sz w:val="19"/>
                <w:szCs w:val="19"/>
                <w:lang w:val="hr-HR"/>
              </w:rPr>
              <w:t>(20,000)</w:t>
            </w:r>
          </w:p>
        </w:tc>
        <w:tc>
          <w:tcPr>
            <w:tcW w:w="1270" w:type="dxa"/>
            <w:shd w:val="clear" w:color="auto" w:fill="FFFFFF"/>
          </w:tcPr>
          <w:p w14:paraId="52AAAFFB" w14:textId="77777777" w:rsidR="00587444" w:rsidRPr="00587444" w:rsidRDefault="00587444" w:rsidP="00587444">
            <w:pPr>
              <w:keepLines/>
              <w:suppressAutoHyphens w:val="0"/>
              <w:autoSpaceDN/>
              <w:jc w:val="right"/>
              <w:rPr>
                <w:rFonts w:ascii="Arial" w:hAnsi="Arial" w:cs="Arial"/>
                <w:color w:val="000000"/>
                <w:spacing w:val="-2"/>
                <w:sz w:val="19"/>
                <w:szCs w:val="19"/>
                <w:lang w:val="hr-HR"/>
              </w:rPr>
            </w:pPr>
            <w:r w:rsidRPr="00587444">
              <w:rPr>
                <w:rFonts w:ascii="Arial" w:hAnsi="Arial" w:cs="Arial"/>
                <w:color w:val="000000"/>
                <w:spacing w:val="-2"/>
                <w:sz w:val="19"/>
                <w:szCs w:val="19"/>
                <w:lang w:val="hr-HR"/>
              </w:rPr>
              <w:t>-</w:t>
            </w:r>
          </w:p>
        </w:tc>
      </w:tr>
      <w:tr w:rsidR="00587444" w:rsidRPr="00587444" w14:paraId="7C0C83E1" w14:textId="77777777" w:rsidTr="00587444">
        <w:trPr>
          <w:trHeight w:hRule="exact" w:val="204"/>
        </w:trPr>
        <w:tc>
          <w:tcPr>
            <w:tcW w:w="7370" w:type="dxa"/>
          </w:tcPr>
          <w:p w14:paraId="78F53ACF" w14:textId="77777777" w:rsidR="00587444" w:rsidRPr="00587444" w:rsidRDefault="00587444" w:rsidP="00587444">
            <w:pPr>
              <w:keepLines/>
              <w:tabs>
                <w:tab w:val="right" w:pos="1202"/>
              </w:tabs>
              <w:suppressAutoHyphens w:val="0"/>
              <w:autoSpaceDN/>
              <w:outlineLvl w:val="0"/>
              <w:rPr>
                <w:rFonts w:ascii="Arial" w:eastAsia="Calibri" w:hAnsi="Arial" w:cs="Arial"/>
                <w:spacing w:val="-2"/>
                <w:sz w:val="19"/>
                <w:szCs w:val="19"/>
              </w:rPr>
            </w:pPr>
            <w:bookmarkStart w:id="220" w:name="_Toc4057080"/>
            <w:r w:rsidRPr="00587444">
              <w:rPr>
                <w:rFonts w:ascii="Arial" w:eastAsia="Calibri" w:hAnsi="Arial" w:cs="Arial"/>
                <w:sz w:val="19"/>
                <w:szCs w:val="19"/>
              </w:rPr>
              <w:t>Net purchase of property, plant and equipment and intangible assets</w:t>
            </w:r>
            <w:bookmarkEnd w:id="220"/>
          </w:p>
        </w:tc>
        <w:tc>
          <w:tcPr>
            <w:tcW w:w="1271" w:type="dxa"/>
            <w:tcBorders>
              <w:bottom w:val="single" w:sz="4" w:space="0" w:color="auto"/>
            </w:tcBorders>
            <w:shd w:val="clear" w:color="auto" w:fill="FFFFFF"/>
            <w:vAlign w:val="bottom"/>
          </w:tcPr>
          <w:p w14:paraId="72DE1F7E" w14:textId="77777777" w:rsidR="00587444" w:rsidRPr="00587444" w:rsidRDefault="00587444" w:rsidP="00587444">
            <w:pPr>
              <w:keepLines/>
              <w:tabs>
                <w:tab w:val="right" w:pos="1202"/>
              </w:tabs>
              <w:suppressAutoHyphens w:val="0"/>
              <w:autoSpaceDN/>
              <w:jc w:val="right"/>
              <w:outlineLvl w:val="0"/>
              <w:rPr>
                <w:rFonts w:ascii="Arial" w:hAnsi="Arial" w:cs="Arial"/>
                <w:bCs/>
                <w:color w:val="000000"/>
                <w:sz w:val="19"/>
                <w:szCs w:val="19"/>
                <w:lang w:val="hr-HR"/>
              </w:rPr>
            </w:pPr>
            <w:r w:rsidRPr="00587444">
              <w:rPr>
                <w:rFonts w:ascii="Arial" w:hAnsi="Arial" w:cs="Arial"/>
                <w:bCs/>
                <w:color w:val="000000"/>
                <w:sz w:val="19"/>
                <w:szCs w:val="19"/>
                <w:lang w:val="hr-HR"/>
              </w:rPr>
              <w:t>(4,574)</w:t>
            </w:r>
          </w:p>
        </w:tc>
        <w:tc>
          <w:tcPr>
            <w:tcW w:w="1270" w:type="dxa"/>
            <w:tcBorders>
              <w:bottom w:val="single" w:sz="4" w:space="0" w:color="auto"/>
            </w:tcBorders>
            <w:shd w:val="clear" w:color="auto" w:fill="FFFFFF"/>
          </w:tcPr>
          <w:p w14:paraId="4E6B0E32"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pacing w:val="-2"/>
                <w:sz w:val="19"/>
                <w:szCs w:val="19"/>
                <w:lang w:val="hr-HR"/>
              </w:rPr>
              <w:t>(6,633)</w:t>
            </w:r>
          </w:p>
        </w:tc>
      </w:tr>
      <w:tr w:rsidR="00587444" w:rsidRPr="00587444" w14:paraId="2B5F000B" w14:textId="77777777" w:rsidTr="00587444">
        <w:trPr>
          <w:trHeight w:val="227"/>
        </w:trPr>
        <w:tc>
          <w:tcPr>
            <w:tcW w:w="7370" w:type="dxa"/>
            <w:vAlign w:val="center"/>
          </w:tcPr>
          <w:p w14:paraId="072C4847" w14:textId="77777777" w:rsidR="00587444" w:rsidRPr="00587444" w:rsidRDefault="00587444" w:rsidP="00587444">
            <w:pPr>
              <w:keepLines/>
              <w:tabs>
                <w:tab w:val="right" w:pos="1202"/>
              </w:tabs>
              <w:suppressAutoHyphens w:val="0"/>
              <w:autoSpaceDN/>
              <w:outlineLvl w:val="0"/>
              <w:rPr>
                <w:rFonts w:ascii="Arial" w:eastAsia="Calibri" w:hAnsi="Arial" w:cs="Arial"/>
                <w:b/>
                <w:bCs/>
                <w:sz w:val="19"/>
                <w:szCs w:val="19"/>
              </w:rPr>
            </w:pPr>
            <w:bookmarkStart w:id="221" w:name="_Toc4057081"/>
            <w:r w:rsidRPr="00587444">
              <w:rPr>
                <w:rFonts w:ascii="Arial" w:eastAsia="Calibri" w:hAnsi="Arial" w:cs="Arial"/>
                <w:b/>
                <w:bCs/>
                <w:sz w:val="19"/>
                <w:szCs w:val="19"/>
              </w:rPr>
              <w:t>Net cash provided from investment activities</w:t>
            </w:r>
            <w:bookmarkEnd w:id="221"/>
          </w:p>
        </w:tc>
        <w:tc>
          <w:tcPr>
            <w:tcW w:w="1271" w:type="dxa"/>
            <w:tcBorders>
              <w:top w:val="single" w:sz="4" w:space="0" w:color="auto"/>
              <w:bottom w:val="single" w:sz="12" w:space="0" w:color="auto"/>
            </w:tcBorders>
            <w:shd w:val="clear" w:color="auto" w:fill="FFFFFF"/>
            <w:vAlign w:val="bottom"/>
          </w:tcPr>
          <w:p w14:paraId="48DD70E2" w14:textId="77777777" w:rsidR="00587444" w:rsidRPr="00587444" w:rsidRDefault="00587444" w:rsidP="00587444">
            <w:pPr>
              <w:keepLines/>
              <w:tabs>
                <w:tab w:val="right" w:pos="1202"/>
              </w:tabs>
              <w:suppressAutoHyphens w:val="0"/>
              <w:autoSpaceDN/>
              <w:jc w:val="right"/>
              <w:outlineLvl w:val="0"/>
              <w:rPr>
                <w:rFonts w:ascii="Arial" w:hAnsi="Arial" w:cs="Arial"/>
                <w:b/>
                <w:color w:val="000000"/>
                <w:sz w:val="19"/>
                <w:szCs w:val="19"/>
                <w:lang w:val="hr-HR"/>
              </w:rPr>
            </w:pPr>
            <w:r w:rsidRPr="00587444">
              <w:rPr>
                <w:rFonts w:ascii="Arial" w:hAnsi="Arial" w:cs="Arial"/>
                <w:b/>
                <w:color w:val="000000"/>
                <w:sz w:val="19"/>
                <w:szCs w:val="19"/>
                <w:lang w:val="hr-HR"/>
              </w:rPr>
              <w:t>271,341</w:t>
            </w:r>
          </w:p>
        </w:tc>
        <w:tc>
          <w:tcPr>
            <w:tcW w:w="1270" w:type="dxa"/>
            <w:tcBorders>
              <w:top w:val="single" w:sz="4" w:space="0" w:color="auto"/>
              <w:bottom w:val="single" w:sz="12" w:space="0" w:color="auto"/>
            </w:tcBorders>
            <w:shd w:val="clear" w:color="auto" w:fill="FFFFFF"/>
          </w:tcPr>
          <w:p w14:paraId="72406491" w14:textId="77777777" w:rsidR="00587444" w:rsidRPr="00587444" w:rsidRDefault="00587444" w:rsidP="00587444">
            <w:pPr>
              <w:suppressAutoHyphens w:val="0"/>
              <w:autoSpaceDN/>
              <w:jc w:val="right"/>
              <w:rPr>
                <w:rFonts w:ascii="Arial" w:eastAsia="Calibri" w:hAnsi="Arial" w:cs="Arial"/>
                <w:b/>
                <w:bCs/>
                <w:spacing w:val="-2"/>
                <w:sz w:val="19"/>
                <w:szCs w:val="19"/>
              </w:rPr>
            </w:pPr>
            <w:r w:rsidRPr="00587444">
              <w:rPr>
                <w:rFonts w:ascii="Arial" w:hAnsi="Arial" w:cs="Arial"/>
                <w:b/>
                <w:bCs/>
                <w:color w:val="000000"/>
                <w:spacing w:val="-2"/>
                <w:sz w:val="19"/>
                <w:szCs w:val="19"/>
                <w:lang w:val="hr-HR"/>
              </w:rPr>
              <w:t>75,202</w:t>
            </w:r>
          </w:p>
        </w:tc>
      </w:tr>
      <w:tr w:rsidR="00587444" w:rsidRPr="00587444" w14:paraId="0F71B889" w14:textId="77777777" w:rsidTr="00DD69E7">
        <w:trPr>
          <w:trHeight w:hRule="exact" w:val="227"/>
        </w:trPr>
        <w:tc>
          <w:tcPr>
            <w:tcW w:w="7370" w:type="dxa"/>
          </w:tcPr>
          <w:p w14:paraId="76917917" w14:textId="77777777" w:rsidR="00587444" w:rsidRPr="00587444" w:rsidRDefault="00587444" w:rsidP="00587444">
            <w:pPr>
              <w:keepLines/>
              <w:tabs>
                <w:tab w:val="right" w:pos="1202"/>
              </w:tabs>
              <w:suppressAutoHyphens w:val="0"/>
              <w:autoSpaceDN/>
              <w:outlineLvl w:val="0"/>
              <w:rPr>
                <w:rFonts w:ascii="Arial" w:eastAsia="Calibri" w:hAnsi="Arial" w:cs="Arial"/>
                <w:b/>
                <w:bCs/>
                <w:spacing w:val="-3"/>
                <w:sz w:val="19"/>
                <w:szCs w:val="19"/>
              </w:rPr>
            </w:pPr>
            <w:bookmarkStart w:id="222" w:name="_Toc4057082"/>
            <w:r w:rsidRPr="00587444">
              <w:rPr>
                <w:rFonts w:ascii="Arial" w:eastAsia="Calibri" w:hAnsi="Arial" w:cs="Arial"/>
                <w:b/>
                <w:bCs/>
                <w:sz w:val="19"/>
                <w:szCs w:val="19"/>
              </w:rPr>
              <w:t>Financing activities</w:t>
            </w:r>
            <w:bookmarkEnd w:id="222"/>
          </w:p>
        </w:tc>
        <w:tc>
          <w:tcPr>
            <w:tcW w:w="1271" w:type="dxa"/>
            <w:vAlign w:val="bottom"/>
          </w:tcPr>
          <w:p w14:paraId="45DF520E" w14:textId="77777777" w:rsidR="00587444" w:rsidRPr="00587444" w:rsidRDefault="00587444" w:rsidP="00587444">
            <w:pPr>
              <w:keepLines/>
              <w:tabs>
                <w:tab w:val="right" w:pos="1202"/>
              </w:tabs>
              <w:suppressAutoHyphens w:val="0"/>
              <w:autoSpaceDN/>
              <w:jc w:val="right"/>
              <w:outlineLvl w:val="0"/>
              <w:rPr>
                <w:rFonts w:ascii="Arial" w:hAnsi="Arial" w:cs="Arial"/>
                <w:bCs/>
                <w:color w:val="000000"/>
                <w:sz w:val="19"/>
                <w:szCs w:val="19"/>
                <w:lang w:val="hr-HR"/>
              </w:rPr>
            </w:pPr>
          </w:p>
        </w:tc>
        <w:tc>
          <w:tcPr>
            <w:tcW w:w="1270" w:type="dxa"/>
            <w:vAlign w:val="bottom"/>
          </w:tcPr>
          <w:p w14:paraId="235BAFBD" w14:textId="77777777" w:rsidR="00587444" w:rsidRPr="00587444" w:rsidRDefault="00587444" w:rsidP="00587444">
            <w:pPr>
              <w:keepLines/>
              <w:tabs>
                <w:tab w:val="right" w:pos="1202"/>
              </w:tabs>
              <w:suppressAutoHyphens w:val="0"/>
              <w:autoSpaceDN/>
              <w:jc w:val="right"/>
              <w:outlineLvl w:val="0"/>
              <w:rPr>
                <w:rFonts w:ascii="Arial" w:eastAsia="Calibri" w:hAnsi="Arial" w:cs="Arial"/>
                <w:b/>
                <w:bCs/>
                <w:sz w:val="19"/>
                <w:szCs w:val="19"/>
              </w:rPr>
            </w:pPr>
          </w:p>
        </w:tc>
      </w:tr>
      <w:tr w:rsidR="00587444" w:rsidRPr="00587444" w14:paraId="47CFE8E2" w14:textId="77777777" w:rsidTr="00DD69E7">
        <w:trPr>
          <w:trHeight w:hRule="exact" w:val="204"/>
        </w:trPr>
        <w:tc>
          <w:tcPr>
            <w:tcW w:w="7370" w:type="dxa"/>
          </w:tcPr>
          <w:p w14:paraId="18C10F34" w14:textId="77777777" w:rsidR="00587444" w:rsidRPr="00587444" w:rsidRDefault="00587444" w:rsidP="00587444">
            <w:pPr>
              <w:keepLines/>
              <w:tabs>
                <w:tab w:val="right" w:pos="1202"/>
              </w:tabs>
              <w:suppressAutoHyphens w:val="0"/>
              <w:autoSpaceDN/>
              <w:outlineLvl w:val="0"/>
              <w:rPr>
                <w:rFonts w:ascii="Arial" w:eastAsia="Calibri" w:hAnsi="Arial" w:cs="Arial"/>
                <w:bCs/>
                <w:sz w:val="19"/>
                <w:szCs w:val="19"/>
              </w:rPr>
            </w:pPr>
            <w:bookmarkStart w:id="223" w:name="_Toc4057083"/>
            <w:r w:rsidRPr="00587444">
              <w:rPr>
                <w:rFonts w:ascii="Arial" w:eastAsia="Calibri" w:hAnsi="Arial" w:cs="Arial"/>
                <w:bCs/>
                <w:sz w:val="19"/>
                <w:szCs w:val="19"/>
              </w:rPr>
              <w:t>Increase in founder’s capital</w:t>
            </w:r>
            <w:bookmarkEnd w:id="223"/>
          </w:p>
        </w:tc>
        <w:tc>
          <w:tcPr>
            <w:tcW w:w="1271" w:type="dxa"/>
            <w:tcBorders>
              <w:top w:val="nil"/>
              <w:left w:val="nil"/>
              <w:bottom w:val="nil"/>
              <w:right w:val="nil"/>
            </w:tcBorders>
            <w:shd w:val="clear" w:color="auto" w:fill="auto"/>
            <w:vAlign w:val="bottom"/>
          </w:tcPr>
          <w:p w14:paraId="4170F08B" w14:textId="77777777" w:rsidR="00587444" w:rsidRPr="00587444" w:rsidRDefault="00587444" w:rsidP="00587444">
            <w:pPr>
              <w:keepLines/>
              <w:tabs>
                <w:tab w:val="right" w:pos="1202"/>
              </w:tabs>
              <w:suppressAutoHyphens w:val="0"/>
              <w:autoSpaceDN/>
              <w:jc w:val="right"/>
              <w:outlineLvl w:val="0"/>
              <w:rPr>
                <w:rFonts w:ascii="Arial" w:hAnsi="Arial" w:cs="Arial"/>
                <w:bCs/>
                <w:color w:val="000000"/>
                <w:sz w:val="19"/>
                <w:szCs w:val="19"/>
                <w:lang w:val="hr-HR"/>
              </w:rPr>
            </w:pPr>
            <w:r w:rsidRPr="00587444">
              <w:rPr>
                <w:rFonts w:ascii="Arial" w:hAnsi="Arial" w:cs="Arial"/>
                <w:bCs/>
                <w:color w:val="000000"/>
                <w:sz w:val="19"/>
                <w:szCs w:val="19"/>
                <w:lang w:val="hr-HR"/>
              </w:rPr>
              <w:t xml:space="preserve"> 40,000 </w:t>
            </w:r>
          </w:p>
        </w:tc>
        <w:tc>
          <w:tcPr>
            <w:tcW w:w="1270" w:type="dxa"/>
            <w:tcBorders>
              <w:top w:val="nil"/>
              <w:left w:val="nil"/>
              <w:bottom w:val="nil"/>
              <w:right w:val="nil"/>
            </w:tcBorders>
            <w:shd w:val="clear" w:color="auto" w:fill="auto"/>
            <w:vAlign w:val="center"/>
          </w:tcPr>
          <w:p w14:paraId="24C8D63F"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z w:val="19"/>
                <w:szCs w:val="19"/>
                <w:lang w:val="hr-HR"/>
              </w:rPr>
              <w:t>50,000</w:t>
            </w:r>
          </w:p>
        </w:tc>
      </w:tr>
      <w:tr w:rsidR="00587444" w:rsidRPr="00587444" w14:paraId="57E8B8BA" w14:textId="77777777" w:rsidTr="00DD69E7">
        <w:trPr>
          <w:trHeight w:hRule="exact" w:val="204"/>
        </w:trPr>
        <w:tc>
          <w:tcPr>
            <w:tcW w:w="7370" w:type="dxa"/>
          </w:tcPr>
          <w:p w14:paraId="0E25F036" w14:textId="77777777" w:rsidR="00587444" w:rsidRPr="00587444" w:rsidRDefault="00587444" w:rsidP="00587444">
            <w:pPr>
              <w:keepLines/>
              <w:tabs>
                <w:tab w:val="right" w:pos="1202"/>
              </w:tabs>
              <w:suppressAutoHyphens w:val="0"/>
              <w:autoSpaceDN/>
              <w:outlineLvl w:val="0"/>
              <w:rPr>
                <w:rFonts w:ascii="Arial" w:eastAsia="Calibri" w:hAnsi="Arial" w:cs="Arial"/>
                <w:spacing w:val="-3"/>
                <w:sz w:val="19"/>
                <w:szCs w:val="19"/>
              </w:rPr>
            </w:pPr>
            <w:bookmarkStart w:id="224" w:name="_Toc4057084"/>
            <w:r w:rsidRPr="00587444">
              <w:rPr>
                <w:rFonts w:ascii="Arial" w:eastAsia="Calibri" w:hAnsi="Arial" w:cs="Arial"/>
                <w:sz w:val="19"/>
                <w:szCs w:val="19"/>
              </w:rPr>
              <w:t>Increase in borrowings – withdrawn funds</w:t>
            </w:r>
            <w:bookmarkEnd w:id="224"/>
          </w:p>
        </w:tc>
        <w:tc>
          <w:tcPr>
            <w:tcW w:w="1271" w:type="dxa"/>
            <w:tcBorders>
              <w:top w:val="nil"/>
              <w:left w:val="nil"/>
              <w:bottom w:val="nil"/>
              <w:right w:val="nil"/>
            </w:tcBorders>
            <w:shd w:val="clear" w:color="auto" w:fill="auto"/>
            <w:vAlign w:val="bottom"/>
          </w:tcPr>
          <w:p w14:paraId="607CED61" w14:textId="77777777" w:rsidR="00587444" w:rsidRPr="00587444" w:rsidRDefault="00587444" w:rsidP="00587444">
            <w:pPr>
              <w:keepLines/>
              <w:tabs>
                <w:tab w:val="right" w:pos="1202"/>
              </w:tabs>
              <w:suppressAutoHyphens w:val="0"/>
              <w:autoSpaceDN/>
              <w:jc w:val="right"/>
              <w:outlineLvl w:val="0"/>
              <w:rPr>
                <w:rFonts w:ascii="Arial" w:hAnsi="Arial" w:cs="Arial"/>
                <w:bCs/>
                <w:color w:val="000000"/>
                <w:sz w:val="19"/>
                <w:szCs w:val="19"/>
                <w:lang w:val="hr-HR"/>
              </w:rPr>
            </w:pPr>
            <w:r w:rsidRPr="00587444">
              <w:rPr>
                <w:rFonts w:ascii="Arial" w:hAnsi="Arial" w:cs="Arial"/>
                <w:bCs/>
                <w:color w:val="000000"/>
                <w:sz w:val="19"/>
                <w:szCs w:val="19"/>
                <w:lang w:val="hr-HR"/>
              </w:rPr>
              <w:t xml:space="preserve"> 2,981,142 </w:t>
            </w:r>
          </w:p>
        </w:tc>
        <w:tc>
          <w:tcPr>
            <w:tcW w:w="1270" w:type="dxa"/>
            <w:tcBorders>
              <w:top w:val="nil"/>
              <w:left w:val="nil"/>
              <w:bottom w:val="nil"/>
              <w:right w:val="nil"/>
            </w:tcBorders>
            <w:shd w:val="clear" w:color="auto" w:fill="auto"/>
            <w:vAlign w:val="center"/>
          </w:tcPr>
          <w:p w14:paraId="33AB910F"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z w:val="19"/>
                <w:szCs w:val="19"/>
                <w:lang w:val="hr-HR"/>
              </w:rPr>
              <w:t>1,668,482</w:t>
            </w:r>
          </w:p>
        </w:tc>
      </w:tr>
      <w:tr w:rsidR="00587444" w:rsidRPr="00587444" w14:paraId="3BADB153" w14:textId="77777777" w:rsidTr="00DD69E7">
        <w:trPr>
          <w:trHeight w:hRule="exact" w:val="204"/>
        </w:trPr>
        <w:tc>
          <w:tcPr>
            <w:tcW w:w="7370" w:type="dxa"/>
          </w:tcPr>
          <w:p w14:paraId="16038DF7" w14:textId="77777777" w:rsidR="00587444" w:rsidRPr="00587444" w:rsidRDefault="00587444" w:rsidP="00587444">
            <w:pPr>
              <w:keepLines/>
              <w:tabs>
                <w:tab w:val="right" w:pos="1202"/>
              </w:tabs>
              <w:suppressAutoHyphens w:val="0"/>
              <w:autoSpaceDN/>
              <w:outlineLvl w:val="0"/>
              <w:rPr>
                <w:rFonts w:ascii="Arial" w:eastAsia="Calibri" w:hAnsi="Arial" w:cs="Arial"/>
                <w:spacing w:val="-3"/>
                <w:sz w:val="19"/>
                <w:szCs w:val="19"/>
              </w:rPr>
            </w:pPr>
            <w:bookmarkStart w:id="225" w:name="_Toc4057085"/>
            <w:r w:rsidRPr="00587444">
              <w:rPr>
                <w:rFonts w:ascii="Arial" w:eastAsia="Calibri" w:hAnsi="Arial" w:cs="Arial"/>
                <w:sz w:val="19"/>
                <w:szCs w:val="19"/>
              </w:rPr>
              <w:t>Decrease in borrowings – repayments of principal</w:t>
            </w:r>
            <w:bookmarkEnd w:id="225"/>
          </w:p>
        </w:tc>
        <w:tc>
          <w:tcPr>
            <w:tcW w:w="1271" w:type="dxa"/>
            <w:tcBorders>
              <w:top w:val="nil"/>
              <w:left w:val="nil"/>
              <w:right w:val="nil"/>
            </w:tcBorders>
            <w:shd w:val="clear" w:color="auto" w:fill="auto"/>
            <w:vAlign w:val="bottom"/>
          </w:tcPr>
          <w:p w14:paraId="216A00C4" w14:textId="77777777" w:rsidR="00587444" w:rsidRPr="00587444" w:rsidRDefault="00587444" w:rsidP="00587444">
            <w:pPr>
              <w:keepLines/>
              <w:tabs>
                <w:tab w:val="right" w:pos="1202"/>
              </w:tabs>
              <w:suppressAutoHyphens w:val="0"/>
              <w:autoSpaceDN/>
              <w:jc w:val="right"/>
              <w:outlineLvl w:val="0"/>
              <w:rPr>
                <w:rFonts w:ascii="Arial" w:hAnsi="Arial" w:cs="Arial"/>
                <w:bCs/>
                <w:color w:val="000000"/>
                <w:sz w:val="19"/>
                <w:szCs w:val="19"/>
                <w:lang w:val="hr-HR"/>
              </w:rPr>
            </w:pPr>
            <w:r w:rsidRPr="00587444">
              <w:rPr>
                <w:rFonts w:ascii="Arial" w:hAnsi="Arial" w:cs="Arial"/>
                <w:bCs/>
                <w:color w:val="000000"/>
                <w:sz w:val="19"/>
                <w:szCs w:val="19"/>
                <w:lang w:val="hr-HR"/>
              </w:rPr>
              <w:t>(2,631,688)</w:t>
            </w:r>
          </w:p>
        </w:tc>
        <w:tc>
          <w:tcPr>
            <w:tcW w:w="1270" w:type="dxa"/>
            <w:tcBorders>
              <w:top w:val="nil"/>
              <w:left w:val="nil"/>
              <w:right w:val="nil"/>
            </w:tcBorders>
            <w:shd w:val="clear" w:color="auto" w:fill="auto"/>
            <w:vAlign w:val="center"/>
          </w:tcPr>
          <w:p w14:paraId="7AAC3657"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z w:val="19"/>
                <w:szCs w:val="19"/>
                <w:lang w:val="hr-HR"/>
              </w:rPr>
              <w:t>(2,391,147)</w:t>
            </w:r>
          </w:p>
        </w:tc>
      </w:tr>
      <w:tr w:rsidR="00587444" w:rsidRPr="00587444" w14:paraId="51620FF6" w14:textId="77777777" w:rsidTr="00587444">
        <w:trPr>
          <w:trHeight w:hRule="exact" w:val="204"/>
        </w:trPr>
        <w:tc>
          <w:tcPr>
            <w:tcW w:w="7370" w:type="dxa"/>
          </w:tcPr>
          <w:p w14:paraId="1178919A" w14:textId="77777777" w:rsidR="00587444" w:rsidRPr="00587444" w:rsidRDefault="00587444" w:rsidP="00587444">
            <w:pPr>
              <w:keepLines/>
              <w:tabs>
                <w:tab w:val="right" w:pos="1202"/>
              </w:tabs>
              <w:suppressAutoHyphens w:val="0"/>
              <w:autoSpaceDN/>
              <w:outlineLvl w:val="0"/>
              <w:rPr>
                <w:rFonts w:ascii="Arial" w:eastAsia="Calibri" w:hAnsi="Arial" w:cs="Arial"/>
                <w:sz w:val="19"/>
                <w:szCs w:val="19"/>
              </w:rPr>
            </w:pPr>
            <w:bookmarkStart w:id="226" w:name="_Toc4057087"/>
            <w:r w:rsidRPr="00587444">
              <w:rPr>
                <w:rFonts w:ascii="Arial" w:eastAsia="Calibri" w:hAnsi="Arial" w:cs="Arial"/>
                <w:sz w:val="19"/>
                <w:szCs w:val="19"/>
              </w:rPr>
              <w:t>Other</w:t>
            </w:r>
            <w:bookmarkEnd w:id="226"/>
          </w:p>
        </w:tc>
        <w:tc>
          <w:tcPr>
            <w:tcW w:w="1271" w:type="dxa"/>
            <w:tcBorders>
              <w:bottom w:val="single" w:sz="4" w:space="0" w:color="auto"/>
            </w:tcBorders>
            <w:shd w:val="clear" w:color="auto" w:fill="FFFFFF"/>
            <w:vAlign w:val="bottom"/>
          </w:tcPr>
          <w:p w14:paraId="59766941" w14:textId="77777777" w:rsidR="00587444" w:rsidRPr="00587444" w:rsidRDefault="00587444" w:rsidP="00587444">
            <w:pPr>
              <w:keepLines/>
              <w:tabs>
                <w:tab w:val="right" w:pos="1202"/>
              </w:tabs>
              <w:suppressAutoHyphens w:val="0"/>
              <w:autoSpaceDN/>
              <w:jc w:val="right"/>
              <w:outlineLvl w:val="0"/>
              <w:rPr>
                <w:rFonts w:ascii="Arial" w:hAnsi="Arial" w:cs="Arial"/>
                <w:bCs/>
                <w:color w:val="000000"/>
                <w:sz w:val="19"/>
                <w:szCs w:val="19"/>
                <w:lang w:val="hr-HR"/>
              </w:rPr>
            </w:pPr>
            <w:r w:rsidRPr="00587444">
              <w:rPr>
                <w:rFonts w:ascii="Arial" w:hAnsi="Arial" w:cs="Arial"/>
                <w:bCs/>
                <w:color w:val="000000"/>
                <w:sz w:val="19"/>
                <w:szCs w:val="19"/>
                <w:lang w:val="hr-HR"/>
              </w:rPr>
              <w:t>63,258</w:t>
            </w:r>
          </w:p>
        </w:tc>
        <w:tc>
          <w:tcPr>
            <w:tcW w:w="1270" w:type="dxa"/>
            <w:tcBorders>
              <w:bottom w:val="single" w:sz="4" w:space="0" w:color="auto"/>
            </w:tcBorders>
            <w:shd w:val="clear" w:color="auto" w:fill="FFFFFF"/>
          </w:tcPr>
          <w:p w14:paraId="2EB0D82D"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z w:val="19"/>
                <w:szCs w:val="19"/>
                <w:lang w:val="hr-HR"/>
              </w:rPr>
              <w:t>4,703</w:t>
            </w:r>
          </w:p>
        </w:tc>
      </w:tr>
      <w:tr w:rsidR="00587444" w:rsidRPr="00587444" w14:paraId="10044FC8" w14:textId="77777777" w:rsidTr="00587444">
        <w:trPr>
          <w:trHeight w:val="205"/>
        </w:trPr>
        <w:tc>
          <w:tcPr>
            <w:tcW w:w="7370" w:type="dxa"/>
          </w:tcPr>
          <w:p w14:paraId="3A0B337F" w14:textId="77777777" w:rsidR="00587444" w:rsidRPr="00587444" w:rsidRDefault="00587444" w:rsidP="00587444">
            <w:pPr>
              <w:keepLines/>
              <w:tabs>
                <w:tab w:val="right" w:pos="1202"/>
              </w:tabs>
              <w:suppressAutoHyphens w:val="0"/>
              <w:autoSpaceDN/>
              <w:outlineLvl w:val="0"/>
              <w:rPr>
                <w:rFonts w:ascii="Arial" w:eastAsia="Calibri" w:hAnsi="Arial" w:cs="Arial"/>
                <w:b/>
                <w:bCs/>
                <w:sz w:val="19"/>
                <w:szCs w:val="19"/>
              </w:rPr>
            </w:pPr>
            <w:bookmarkStart w:id="227" w:name="_Toc4057088"/>
            <w:r w:rsidRPr="00587444">
              <w:rPr>
                <w:rFonts w:ascii="Arial" w:eastAsia="Calibri" w:hAnsi="Arial" w:cs="Arial"/>
                <w:b/>
                <w:bCs/>
                <w:sz w:val="19"/>
                <w:szCs w:val="19"/>
              </w:rPr>
              <w:t>Net cash provided</w:t>
            </w:r>
            <w:proofErr w:type="gramStart"/>
            <w:r w:rsidRPr="00587444">
              <w:rPr>
                <w:rFonts w:ascii="Arial" w:eastAsia="Calibri" w:hAnsi="Arial" w:cs="Arial"/>
                <w:b/>
                <w:bCs/>
                <w:sz w:val="19"/>
                <w:szCs w:val="19"/>
              </w:rPr>
              <w:t>/(</w:t>
            </w:r>
            <w:proofErr w:type="gramEnd"/>
            <w:r w:rsidRPr="00587444">
              <w:rPr>
                <w:rFonts w:ascii="Arial" w:eastAsia="Calibri" w:hAnsi="Arial" w:cs="Arial"/>
                <w:b/>
                <w:bCs/>
                <w:sz w:val="19"/>
                <w:szCs w:val="19"/>
              </w:rPr>
              <w:t>used in) from financing activities</w:t>
            </w:r>
            <w:bookmarkEnd w:id="227"/>
          </w:p>
        </w:tc>
        <w:tc>
          <w:tcPr>
            <w:tcW w:w="1271" w:type="dxa"/>
            <w:tcBorders>
              <w:top w:val="single" w:sz="4" w:space="0" w:color="auto"/>
              <w:bottom w:val="single" w:sz="12" w:space="0" w:color="auto"/>
            </w:tcBorders>
            <w:shd w:val="clear" w:color="auto" w:fill="FFFFFF"/>
            <w:vAlign w:val="bottom"/>
          </w:tcPr>
          <w:p w14:paraId="5AC374E3" w14:textId="77777777" w:rsidR="00587444" w:rsidRPr="00587444" w:rsidRDefault="00587444" w:rsidP="00587444">
            <w:pPr>
              <w:keepLines/>
              <w:tabs>
                <w:tab w:val="right" w:pos="1202"/>
              </w:tabs>
              <w:suppressAutoHyphens w:val="0"/>
              <w:autoSpaceDN/>
              <w:jc w:val="right"/>
              <w:outlineLvl w:val="0"/>
              <w:rPr>
                <w:rFonts w:ascii="Arial" w:hAnsi="Arial" w:cs="Arial"/>
                <w:b/>
                <w:color w:val="000000"/>
                <w:sz w:val="19"/>
                <w:szCs w:val="19"/>
                <w:lang w:val="hr-HR"/>
              </w:rPr>
            </w:pPr>
            <w:r w:rsidRPr="00587444">
              <w:rPr>
                <w:rFonts w:ascii="Arial" w:hAnsi="Arial" w:cs="Arial"/>
                <w:b/>
                <w:color w:val="000000"/>
                <w:sz w:val="19"/>
                <w:szCs w:val="19"/>
                <w:lang w:val="hr-HR"/>
              </w:rPr>
              <w:t>452,712</w:t>
            </w:r>
          </w:p>
        </w:tc>
        <w:tc>
          <w:tcPr>
            <w:tcW w:w="1270" w:type="dxa"/>
            <w:tcBorders>
              <w:top w:val="single" w:sz="4" w:space="0" w:color="auto"/>
              <w:bottom w:val="single" w:sz="12" w:space="0" w:color="auto"/>
            </w:tcBorders>
            <w:shd w:val="clear" w:color="auto" w:fill="FFFFFF"/>
          </w:tcPr>
          <w:p w14:paraId="17681BEF" w14:textId="77777777" w:rsidR="00587444" w:rsidRPr="00587444" w:rsidRDefault="00587444" w:rsidP="00587444">
            <w:pPr>
              <w:suppressAutoHyphens w:val="0"/>
              <w:autoSpaceDN/>
              <w:jc w:val="right"/>
              <w:rPr>
                <w:rFonts w:ascii="Arial" w:eastAsia="Calibri" w:hAnsi="Arial" w:cs="Arial"/>
                <w:b/>
                <w:bCs/>
                <w:sz w:val="19"/>
                <w:szCs w:val="19"/>
              </w:rPr>
            </w:pPr>
            <w:r w:rsidRPr="00587444">
              <w:rPr>
                <w:rFonts w:ascii="Arial" w:hAnsi="Arial" w:cs="Arial"/>
                <w:b/>
                <w:bCs/>
                <w:color w:val="000000"/>
                <w:sz w:val="19"/>
                <w:szCs w:val="19"/>
                <w:lang w:val="hr-HR"/>
              </w:rPr>
              <w:t>(667,962)</w:t>
            </w:r>
          </w:p>
        </w:tc>
      </w:tr>
      <w:tr w:rsidR="00587444" w:rsidRPr="00587444" w14:paraId="01F8C13A" w14:textId="77777777" w:rsidTr="00DD69E7">
        <w:trPr>
          <w:trHeight w:hRule="exact" w:val="109"/>
        </w:trPr>
        <w:tc>
          <w:tcPr>
            <w:tcW w:w="7370" w:type="dxa"/>
          </w:tcPr>
          <w:p w14:paraId="107568BA" w14:textId="77777777" w:rsidR="00587444" w:rsidRPr="00587444" w:rsidRDefault="00587444" w:rsidP="00587444">
            <w:pPr>
              <w:keepLines/>
              <w:tabs>
                <w:tab w:val="right" w:pos="1202"/>
              </w:tabs>
              <w:suppressAutoHyphens w:val="0"/>
              <w:autoSpaceDN/>
              <w:outlineLvl w:val="0"/>
              <w:rPr>
                <w:rFonts w:ascii="Arial" w:eastAsia="Calibri" w:hAnsi="Arial" w:cs="Arial"/>
                <w:b/>
                <w:bCs/>
                <w:sz w:val="19"/>
                <w:szCs w:val="19"/>
              </w:rPr>
            </w:pPr>
          </w:p>
        </w:tc>
        <w:tc>
          <w:tcPr>
            <w:tcW w:w="1271" w:type="dxa"/>
            <w:tcBorders>
              <w:top w:val="single" w:sz="12" w:space="0" w:color="auto"/>
            </w:tcBorders>
            <w:vAlign w:val="bottom"/>
          </w:tcPr>
          <w:p w14:paraId="033F5C79" w14:textId="77777777" w:rsidR="00587444" w:rsidRPr="00587444" w:rsidRDefault="00587444" w:rsidP="00587444">
            <w:pPr>
              <w:keepLines/>
              <w:suppressAutoHyphens w:val="0"/>
              <w:autoSpaceDN/>
              <w:jc w:val="right"/>
              <w:rPr>
                <w:rFonts w:ascii="Arial" w:eastAsia="Calibri" w:hAnsi="Arial" w:cs="Arial"/>
                <w:position w:val="4"/>
                <w:sz w:val="19"/>
                <w:szCs w:val="19"/>
                <w:u w:val="thick"/>
              </w:rPr>
            </w:pPr>
          </w:p>
        </w:tc>
        <w:tc>
          <w:tcPr>
            <w:tcW w:w="1270" w:type="dxa"/>
            <w:tcBorders>
              <w:top w:val="single" w:sz="12" w:space="0" w:color="auto"/>
            </w:tcBorders>
            <w:vAlign w:val="bottom"/>
          </w:tcPr>
          <w:p w14:paraId="30CB4A93" w14:textId="77777777" w:rsidR="00587444" w:rsidRPr="00587444" w:rsidRDefault="00587444" w:rsidP="00587444">
            <w:pPr>
              <w:keepLines/>
              <w:suppressAutoHyphens w:val="0"/>
              <w:autoSpaceDN/>
              <w:jc w:val="right"/>
              <w:rPr>
                <w:rFonts w:ascii="Arial" w:eastAsia="Calibri" w:hAnsi="Arial" w:cs="Arial"/>
                <w:position w:val="4"/>
                <w:sz w:val="19"/>
                <w:szCs w:val="19"/>
                <w:u w:val="thick"/>
              </w:rPr>
            </w:pPr>
          </w:p>
        </w:tc>
      </w:tr>
      <w:tr w:rsidR="00587444" w:rsidRPr="00587444" w14:paraId="6EB995E5" w14:textId="77777777" w:rsidTr="00DD69E7">
        <w:trPr>
          <w:trHeight w:hRule="exact" w:val="204"/>
        </w:trPr>
        <w:tc>
          <w:tcPr>
            <w:tcW w:w="7370" w:type="dxa"/>
          </w:tcPr>
          <w:p w14:paraId="3F196DB1" w14:textId="77777777" w:rsidR="00587444" w:rsidRPr="00587444" w:rsidRDefault="00587444" w:rsidP="00587444">
            <w:pPr>
              <w:keepLines/>
              <w:tabs>
                <w:tab w:val="right" w:pos="1202"/>
              </w:tabs>
              <w:suppressAutoHyphens w:val="0"/>
              <w:autoSpaceDN/>
              <w:outlineLvl w:val="0"/>
              <w:rPr>
                <w:rFonts w:ascii="Arial" w:eastAsia="Calibri" w:hAnsi="Arial" w:cs="Arial"/>
                <w:b/>
                <w:bCs/>
                <w:sz w:val="19"/>
                <w:szCs w:val="19"/>
              </w:rPr>
            </w:pPr>
            <w:bookmarkStart w:id="228" w:name="_Toc4057089"/>
            <w:r w:rsidRPr="00587444">
              <w:rPr>
                <w:rFonts w:ascii="Arial" w:eastAsia="Calibri" w:hAnsi="Arial" w:cs="Arial"/>
                <w:b/>
                <w:bCs/>
                <w:sz w:val="19"/>
                <w:szCs w:val="19"/>
              </w:rPr>
              <w:t>Effect of foreign currency to cash and cash equivalents</w:t>
            </w:r>
            <w:bookmarkEnd w:id="228"/>
          </w:p>
        </w:tc>
        <w:tc>
          <w:tcPr>
            <w:tcW w:w="1271" w:type="dxa"/>
            <w:vAlign w:val="bottom"/>
          </w:tcPr>
          <w:p w14:paraId="4D91EBCE" w14:textId="77777777" w:rsidR="00587444" w:rsidRPr="00587444" w:rsidRDefault="00587444" w:rsidP="00587444">
            <w:pPr>
              <w:suppressAutoHyphens w:val="0"/>
              <w:autoSpaceDN/>
              <w:jc w:val="right"/>
              <w:rPr>
                <w:rFonts w:ascii="Arial" w:eastAsia="Calibri" w:hAnsi="Arial" w:cs="Arial"/>
                <w:b/>
                <w:bCs/>
                <w:sz w:val="19"/>
                <w:szCs w:val="19"/>
              </w:rPr>
            </w:pPr>
          </w:p>
        </w:tc>
        <w:tc>
          <w:tcPr>
            <w:tcW w:w="1270" w:type="dxa"/>
            <w:vAlign w:val="bottom"/>
          </w:tcPr>
          <w:p w14:paraId="721019C5" w14:textId="77777777" w:rsidR="00587444" w:rsidRPr="00587444" w:rsidRDefault="00587444" w:rsidP="00587444">
            <w:pPr>
              <w:suppressAutoHyphens w:val="0"/>
              <w:autoSpaceDN/>
              <w:jc w:val="right"/>
              <w:rPr>
                <w:rFonts w:ascii="Arial" w:eastAsia="Calibri" w:hAnsi="Arial" w:cs="Arial"/>
                <w:b/>
                <w:bCs/>
                <w:sz w:val="19"/>
                <w:szCs w:val="19"/>
              </w:rPr>
            </w:pPr>
          </w:p>
        </w:tc>
      </w:tr>
      <w:tr w:rsidR="00587444" w:rsidRPr="00587444" w14:paraId="2C4947D8" w14:textId="77777777" w:rsidTr="00587444">
        <w:trPr>
          <w:trHeight w:hRule="exact" w:val="204"/>
        </w:trPr>
        <w:tc>
          <w:tcPr>
            <w:tcW w:w="7370" w:type="dxa"/>
          </w:tcPr>
          <w:p w14:paraId="60B871CB" w14:textId="77777777" w:rsidR="00587444" w:rsidRPr="00587444" w:rsidRDefault="00587444" w:rsidP="00587444">
            <w:pPr>
              <w:keepLines/>
              <w:tabs>
                <w:tab w:val="right" w:pos="1202"/>
              </w:tabs>
              <w:suppressAutoHyphens w:val="0"/>
              <w:autoSpaceDN/>
              <w:outlineLvl w:val="0"/>
              <w:rPr>
                <w:rFonts w:ascii="Arial" w:eastAsia="Calibri" w:hAnsi="Arial" w:cs="Arial"/>
                <w:bCs/>
                <w:sz w:val="19"/>
                <w:szCs w:val="19"/>
              </w:rPr>
            </w:pPr>
            <w:bookmarkStart w:id="229" w:name="_Toc4057090"/>
            <w:r w:rsidRPr="00587444">
              <w:rPr>
                <w:rFonts w:ascii="Arial" w:eastAsia="Calibri" w:hAnsi="Arial" w:cs="Arial"/>
                <w:sz w:val="19"/>
                <w:szCs w:val="19"/>
              </w:rPr>
              <w:t>Net foreign exchange</w:t>
            </w:r>
            <w:bookmarkEnd w:id="229"/>
          </w:p>
        </w:tc>
        <w:tc>
          <w:tcPr>
            <w:tcW w:w="1271" w:type="dxa"/>
            <w:tcBorders>
              <w:bottom w:val="single" w:sz="4" w:space="0" w:color="auto"/>
            </w:tcBorders>
            <w:shd w:val="clear" w:color="auto" w:fill="FFFFFF"/>
            <w:vAlign w:val="bottom"/>
          </w:tcPr>
          <w:p w14:paraId="1EF25F7A"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eastAsia="Calibri" w:hAnsi="Arial" w:cs="Arial"/>
                <w:sz w:val="19"/>
                <w:szCs w:val="19"/>
              </w:rPr>
              <w:t>53,823</w:t>
            </w:r>
          </w:p>
        </w:tc>
        <w:tc>
          <w:tcPr>
            <w:tcW w:w="1270" w:type="dxa"/>
            <w:tcBorders>
              <w:bottom w:val="single" w:sz="4" w:space="0" w:color="auto"/>
            </w:tcBorders>
            <w:shd w:val="clear" w:color="auto" w:fill="FFFFFF"/>
          </w:tcPr>
          <w:p w14:paraId="53457FEB"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bCs/>
                <w:color w:val="000000"/>
                <w:sz w:val="19"/>
                <w:szCs w:val="19"/>
                <w:lang w:val="hr-HR"/>
              </w:rPr>
              <w:t>(21,626)</w:t>
            </w:r>
          </w:p>
        </w:tc>
      </w:tr>
      <w:tr w:rsidR="00587444" w:rsidRPr="00587444" w14:paraId="36761376" w14:textId="77777777" w:rsidTr="00587444">
        <w:trPr>
          <w:trHeight w:val="205"/>
        </w:trPr>
        <w:tc>
          <w:tcPr>
            <w:tcW w:w="7370" w:type="dxa"/>
            <w:vAlign w:val="bottom"/>
          </w:tcPr>
          <w:p w14:paraId="1255EB69" w14:textId="77777777" w:rsidR="00587444" w:rsidRPr="00587444" w:rsidRDefault="00587444" w:rsidP="00587444">
            <w:pPr>
              <w:keepLines/>
              <w:tabs>
                <w:tab w:val="right" w:pos="1202"/>
              </w:tabs>
              <w:suppressAutoHyphens w:val="0"/>
              <w:autoSpaceDN/>
              <w:outlineLvl w:val="0"/>
              <w:rPr>
                <w:rFonts w:ascii="Arial" w:eastAsia="Calibri" w:hAnsi="Arial" w:cs="Arial"/>
                <w:b/>
                <w:spacing w:val="-3"/>
                <w:sz w:val="19"/>
                <w:szCs w:val="19"/>
              </w:rPr>
            </w:pPr>
            <w:bookmarkStart w:id="230" w:name="_Toc4057091"/>
            <w:r w:rsidRPr="00587444">
              <w:rPr>
                <w:rFonts w:ascii="Arial" w:eastAsia="Calibri" w:hAnsi="Arial" w:cs="Arial"/>
                <w:b/>
                <w:bCs/>
                <w:sz w:val="19"/>
                <w:szCs w:val="19"/>
              </w:rPr>
              <w:t>Net effect</w:t>
            </w:r>
            <w:bookmarkEnd w:id="230"/>
          </w:p>
        </w:tc>
        <w:tc>
          <w:tcPr>
            <w:tcW w:w="1271" w:type="dxa"/>
            <w:tcBorders>
              <w:top w:val="single" w:sz="4" w:space="0" w:color="auto"/>
              <w:bottom w:val="single" w:sz="12" w:space="0" w:color="auto"/>
            </w:tcBorders>
            <w:shd w:val="clear" w:color="auto" w:fill="FFFFFF"/>
            <w:vAlign w:val="bottom"/>
          </w:tcPr>
          <w:p w14:paraId="0534C8A1" w14:textId="77777777" w:rsidR="00587444" w:rsidRPr="00587444" w:rsidRDefault="00587444" w:rsidP="00587444">
            <w:pPr>
              <w:keepLines/>
              <w:tabs>
                <w:tab w:val="right" w:pos="1202"/>
              </w:tabs>
              <w:suppressAutoHyphens w:val="0"/>
              <w:autoSpaceDN/>
              <w:jc w:val="right"/>
              <w:outlineLvl w:val="0"/>
              <w:rPr>
                <w:rFonts w:ascii="Arial" w:eastAsia="Calibri" w:hAnsi="Arial" w:cs="Arial"/>
                <w:b/>
                <w:spacing w:val="-3"/>
                <w:sz w:val="19"/>
                <w:szCs w:val="19"/>
              </w:rPr>
            </w:pPr>
            <w:r w:rsidRPr="00587444">
              <w:rPr>
                <w:rFonts w:ascii="Arial" w:eastAsia="Calibri" w:hAnsi="Arial" w:cs="Arial"/>
                <w:b/>
                <w:spacing w:val="-3"/>
                <w:sz w:val="19"/>
                <w:szCs w:val="19"/>
              </w:rPr>
              <w:t>53,823</w:t>
            </w:r>
          </w:p>
        </w:tc>
        <w:tc>
          <w:tcPr>
            <w:tcW w:w="1270" w:type="dxa"/>
            <w:tcBorders>
              <w:top w:val="single" w:sz="4" w:space="0" w:color="auto"/>
              <w:bottom w:val="single" w:sz="12" w:space="0" w:color="auto"/>
            </w:tcBorders>
            <w:shd w:val="clear" w:color="auto" w:fill="FFFFFF"/>
          </w:tcPr>
          <w:p w14:paraId="550185C7" w14:textId="77777777" w:rsidR="00587444" w:rsidRPr="00587444" w:rsidRDefault="00587444" w:rsidP="00587444">
            <w:pPr>
              <w:keepLines/>
              <w:tabs>
                <w:tab w:val="right" w:pos="1202"/>
              </w:tabs>
              <w:suppressAutoHyphens w:val="0"/>
              <w:autoSpaceDN/>
              <w:jc w:val="right"/>
              <w:outlineLvl w:val="0"/>
              <w:rPr>
                <w:rFonts w:ascii="Arial" w:hAnsi="Arial" w:cs="Arial"/>
                <w:b/>
                <w:bCs/>
                <w:color w:val="000000"/>
                <w:sz w:val="19"/>
                <w:szCs w:val="19"/>
                <w:lang w:val="hr-HR"/>
              </w:rPr>
            </w:pPr>
            <w:r w:rsidRPr="00587444">
              <w:rPr>
                <w:rFonts w:ascii="Arial" w:hAnsi="Arial" w:cs="Arial"/>
                <w:b/>
                <w:bCs/>
                <w:color w:val="000000"/>
                <w:sz w:val="19"/>
                <w:szCs w:val="19"/>
                <w:lang w:val="hr-HR"/>
              </w:rPr>
              <w:t>(21,626)</w:t>
            </w:r>
          </w:p>
        </w:tc>
      </w:tr>
      <w:tr w:rsidR="00587444" w:rsidRPr="00587444" w14:paraId="2BFE394A" w14:textId="77777777" w:rsidTr="00587444">
        <w:trPr>
          <w:trHeight w:val="205"/>
        </w:trPr>
        <w:tc>
          <w:tcPr>
            <w:tcW w:w="7370" w:type="dxa"/>
            <w:vAlign w:val="bottom"/>
          </w:tcPr>
          <w:p w14:paraId="6AD56C7B" w14:textId="77777777" w:rsidR="00587444" w:rsidRPr="00587444" w:rsidRDefault="00587444" w:rsidP="00587444">
            <w:pPr>
              <w:keepLines/>
              <w:tabs>
                <w:tab w:val="right" w:pos="1202"/>
              </w:tabs>
              <w:suppressAutoHyphens w:val="0"/>
              <w:autoSpaceDN/>
              <w:outlineLvl w:val="0"/>
              <w:rPr>
                <w:rFonts w:ascii="Arial" w:eastAsia="Calibri" w:hAnsi="Arial" w:cs="Arial"/>
                <w:b/>
                <w:bCs/>
                <w:sz w:val="19"/>
                <w:szCs w:val="19"/>
              </w:rPr>
            </w:pPr>
          </w:p>
        </w:tc>
        <w:tc>
          <w:tcPr>
            <w:tcW w:w="1271" w:type="dxa"/>
            <w:tcBorders>
              <w:top w:val="single" w:sz="4" w:space="0" w:color="auto"/>
            </w:tcBorders>
            <w:shd w:val="clear" w:color="auto" w:fill="FFFFFF"/>
            <w:vAlign w:val="bottom"/>
          </w:tcPr>
          <w:p w14:paraId="18AFA9FD" w14:textId="77777777" w:rsidR="00587444" w:rsidRPr="00587444" w:rsidRDefault="00587444" w:rsidP="00587444">
            <w:pPr>
              <w:keepLines/>
              <w:tabs>
                <w:tab w:val="right" w:pos="1202"/>
              </w:tabs>
              <w:suppressAutoHyphens w:val="0"/>
              <w:autoSpaceDN/>
              <w:jc w:val="right"/>
              <w:outlineLvl w:val="0"/>
              <w:rPr>
                <w:rFonts w:ascii="Arial" w:eastAsia="Calibri" w:hAnsi="Arial" w:cs="Arial"/>
                <w:b/>
                <w:spacing w:val="-3"/>
                <w:sz w:val="19"/>
                <w:szCs w:val="19"/>
              </w:rPr>
            </w:pPr>
          </w:p>
        </w:tc>
        <w:tc>
          <w:tcPr>
            <w:tcW w:w="1270" w:type="dxa"/>
            <w:tcBorders>
              <w:top w:val="single" w:sz="4" w:space="0" w:color="auto"/>
            </w:tcBorders>
            <w:shd w:val="clear" w:color="auto" w:fill="FFFFFF"/>
          </w:tcPr>
          <w:p w14:paraId="261919C4" w14:textId="77777777" w:rsidR="00587444" w:rsidRPr="00587444" w:rsidRDefault="00587444" w:rsidP="00587444">
            <w:pPr>
              <w:keepLines/>
              <w:tabs>
                <w:tab w:val="right" w:pos="1202"/>
              </w:tabs>
              <w:suppressAutoHyphens w:val="0"/>
              <w:autoSpaceDN/>
              <w:jc w:val="right"/>
              <w:outlineLvl w:val="0"/>
              <w:rPr>
                <w:rFonts w:ascii="Arial" w:hAnsi="Arial" w:cs="Arial"/>
                <w:b/>
                <w:sz w:val="19"/>
                <w:szCs w:val="19"/>
              </w:rPr>
            </w:pPr>
          </w:p>
        </w:tc>
      </w:tr>
      <w:tr w:rsidR="00587444" w:rsidRPr="00587444" w14:paraId="7F2F6977" w14:textId="77777777" w:rsidTr="00587444">
        <w:trPr>
          <w:trHeight w:val="117"/>
        </w:trPr>
        <w:tc>
          <w:tcPr>
            <w:tcW w:w="7370" w:type="dxa"/>
            <w:vAlign w:val="center"/>
          </w:tcPr>
          <w:p w14:paraId="52E8917E" w14:textId="77777777" w:rsidR="00587444" w:rsidRPr="00587444" w:rsidRDefault="00587444" w:rsidP="00587444">
            <w:pPr>
              <w:keepLines/>
              <w:tabs>
                <w:tab w:val="right" w:pos="1202"/>
              </w:tabs>
              <w:suppressAutoHyphens w:val="0"/>
              <w:autoSpaceDN/>
              <w:outlineLvl w:val="0"/>
              <w:rPr>
                <w:rFonts w:ascii="Arial" w:eastAsia="Calibri" w:hAnsi="Arial" w:cs="Arial"/>
                <w:sz w:val="19"/>
                <w:szCs w:val="19"/>
              </w:rPr>
            </w:pPr>
            <w:bookmarkStart w:id="231" w:name="_Toc4057094"/>
            <w:r w:rsidRPr="00587444">
              <w:rPr>
                <w:rFonts w:ascii="Arial" w:eastAsia="Calibri" w:hAnsi="Arial" w:cs="Arial"/>
                <w:sz w:val="19"/>
                <w:szCs w:val="19"/>
              </w:rPr>
              <w:t xml:space="preserve">Net </w:t>
            </w:r>
            <w:r w:rsidRPr="00587444">
              <w:t>(</w:t>
            </w:r>
            <w:r w:rsidRPr="00587444">
              <w:rPr>
                <w:rFonts w:ascii="Arial" w:eastAsia="Calibri" w:hAnsi="Arial" w:cs="Arial"/>
                <w:sz w:val="19"/>
                <w:szCs w:val="19"/>
              </w:rPr>
              <w:t>decrease)/increase in cash and cash equivalents</w:t>
            </w:r>
            <w:bookmarkEnd w:id="231"/>
          </w:p>
        </w:tc>
        <w:tc>
          <w:tcPr>
            <w:tcW w:w="1271" w:type="dxa"/>
            <w:shd w:val="clear" w:color="auto" w:fill="FFFFFF"/>
            <w:vAlign w:val="bottom"/>
          </w:tcPr>
          <w:p w14:paraId="3F225ECC"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eastAsia="Calibri" w:hAnsi="Arial" w:cs="Arial"/>
                <w:sz w:val="19"/>
                <w:szCs w:val="19"/>
              </w:rPr>
              <w:t>(235,812)</w:t>
            </w:r>
          </w:p>
        </w:tc>
        <w:tc>
          <w:tcPr>
            <w:tcW w:w="1270" w:type="dxa"/>
            <w:shd w:val="clear" w:color="auto" w:fill="FFFFFF"/>
            <w:vAlign w:val="bottom"/>
          </w:tcPr>
          <w:p w14:paraId="249B91A7"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pacing w:val="-2"/>
                <w:sz w:val="19"/>
                <w:szCs w:val="19"/>
                <w:lang w:val="hr-HR"/>
              </w:rPr>
              <w:t>303,027</w:t>
            </w:r>
          </w:p>
        </w:tc>
      </w:tr>
      <w:tr w:rsidR="00587444" w:rsidRPr="00587444" w14:paraId="3367E53C" w14:textId="77777777" w:rsidTr="00587444">
        <w:trPr>
          <w:trHeight w:hRule="exact" w:val="170"/>
        </w:trPr>
        <w:tc>
          <w:tcPr>
            <w:tcW w:w="7370" w:type="dxa"/>
            <w:vAlign w:val="center"/>
          </w:tcPr>
          <w:p w14:paraId="58EDE41A" w14:textId="77777777" w:rsidR="00587444" w:rsidRPr="00587444" w:rsidRDefault="00587444" w:rsidP="00587444">
            <w:pPr>
              <w:keepLines/>
              <w:tabs>
                <w:tab w:val="right" w:pos="1202"/>
              </w:tabs>
              <w:suppressAutoHyphens w:val="0"/>
              <w:autoSpaceDN/>
              <w:outlineLvl w:val="0"/>
              <w:rPr>
                <w:rFonts w:ascii="Arial" w:eastAsia="Calibri" w:hAnsi="Arial" w:cs="Arial"/>
                <w:sz w:val="19"/>
                <w:szCs w:val="19"/>
              </w:rPr>
            </w:pPr>
          </w:p>
        </w:tc>
        <w:tc>
          <w:tcPr>
            <w:tcW w:w="1271" w:type="dxa"/>
            <w:shd w:val="clear" w:color="auto" w:fill="FFFFFF"/>
            <w:vAlign w:val="bottom"/>
          </w:tcPr>
          <w:p w14:paraId="3954AC9C" w14:textId="77777777" w:rsidR="00587444" w:rsidRPr="00587444" w:rsidRDefault="00587444" w:rsidP="00587444">
            <w:pPr>
              <w:keepLines/>
              <w:suppressAutoHyphens w:val="0"/>
              <w:autoSpaceDN/>
              <w:jc w:val="right"/>
              <w:rPr>
                <w:rFonts w:ascii="Arial" w:eastAsia="Calibri" w:hAnsi="Arial" w:cs="Arial"/>
                <w:sz w:val="19"/>
                <w:szCs w:val="19"/>
              </w:rPr>
            </w:pPr>
          </w:p>
        </w:tc>
        <w:tc>
          <w:tcPr>
            <w:tcW w:w="1270" w:type="dxa"/>
            <w:shd w:val="clear" w:color="auto" w:fill="FFFFFF"/>
          </w:tcPr>
          <w:p w14:paraId="006EBD7C" w14:textId="77777777" w:rsidR="00587444" w:rsidRPr="00587444" w:rsidRDefault="00587444" w:rsidP="00587444">
            <w:pPr>
              <w:keepLines/>
              <w:suppressAutoHyphens w:val="0"/>
              <w:autoSpaceDN/>
              <w:jc w:val="right"/>
              <w:rPr>
                <w:rFonts w:ascii="Arial" w:eastAsia="Calibri" w:hAnsi="Arial" w:cs="Arial"/>
                <w:sz w:val="19"/>
                <w:szCs w:val="19"/>
              </w:rPr>
            </w:pPr>
          </w:p>
        </w:tc>
      </w:tr>
      <w:tr w:rsidR="00587444" w:rsidRPr="00587444" w14:paraId="4E4BECCC" w14:textId="77777777" w:rsidTr="00587444">
        <w:trPr>
          <w:trHeight w:val="117"/>
        </w:trPr>
        <w:tc>
          <w:tcPr>
            <w:tcW w:w="7370" w:type="dxa"/>
            <w:vAlign w:val="center"/>
          </w:tcPr>
          <w:p w14:paraId="33D20890" w14:textId="77777777" w:rsidR="00587444" w:rsidRPr="00587444" w:rsidRDefault="00587444" w:rsidP="00587444">
            <w:pPr>
              <w:keepLines/>
              <w:tabs>
                <w:tab w:val="right" w:pos="1202"/>
              </w:tabs>
              <w:suppressAutoHyphens w:val="0"/>
              <w:autoSpaceDN/>
              <w:outlineLvl w:val="0"/>
              <w:rPr>
                <w:rFonts w:ascii="Arial" w:eastAsia="Calibri" w:hAnsi="Arial" w:cs="Arial"/>
                <w:sz w:val="19"/>
                <w:szCs w:val="19"/>
              </w:rPr>
            </w:pPr>
            <w:bookmarkStart w:id="232" w:name="_Toc4057095"/>
            <w:r w:rsidRPr="00587444">
              <w:rPr>
                <w:rFonts w:ascii="Arial" w:eastAsia="Calibri" w:hAnsi="Arial" w:cs="Arial"/>
                <w:sz w:val="19"/>
                <w:szCs w:val="19"/>
              </w:rPr>
              <w:t>Cash and cash equivalents balance as of 1 January, before impairment</w:t>
            </w:r>
            <w:bookmarkEnd w:id="232"/>
          </w:p>
        </w:tc>
        <w:tc>
          <w:tcPr>
            <w:tcW w:w="1271" w:type="dxa"/>
            <w:shd w:val="clear" w:color="auto" w:fill="FFFFFF"/>
            <w:vAlign w:val="bottom"/>
          </w:tcPr>
          <w:p w14:paraId="1B9F5285" w14:textId="77777777" w:rsidR="00587444" w:rsidRPr="00587444" w:rsidRDefault="00587444" w:rsidP="00587444">
            <w:pPr>
              <w:keepLines/>
              <w:suppressAutoHyphens w:val="0"/>
              <w:autoSpaceDN/>
              <w:jc w:val="right"/>
              <w:rPr>
                <w:rFonts w:ascii="Arial" w:hAnsi="Arial" w:cs="Arial"/>
                <w:color w:val="000000"/>
                <w:sz w:val="19"/>
                <w:szCs w:val="19"/>
                <w:lang w:val="hr-HR"/>
              </w:rPr>
            </w:pPr>
            <w:r w:rsidRPr="00587444">
              <w:rPr>
                <w:rFonts w:ascii="Arial" w:hAnsi="Arial" w:cs="Arial"/>
                <w:color w:val="000000"/>
                <w:sz w:val="19"/>
                <w:szCs w:val="19"/>
                <w:lang w:val="hr-HR"/>
              </w:rPr>
              <w:t>1,963,795</w:t>
            </w:r>
          </w:p>
        </w:tc>
        <w:tc>
          <w:tcPr>
            <w:tcW w:w="1270" w:type="dxa"/>
            <w:shd w:val="clear" w:color="auto" w:fill="FFFFFF"/>
          </w:tcPr>
          <w:p w14:paraId="4A2D7E1D"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z w:val="19"/>
                <w:szCs w:val="19"/>
                <w:lang w:val="hr-HR"/>
              </w:rPr>
              <w:t>1,660,768</w:t>
            </w:r>
          </w:p>
        </w:tc>
      </w:tr>
      <w:tr w:rsidR="00587444" w:rsidRPr="00587444" w14:paraId="1ADCE2AB" w14:textId="77777777" w:rsidTr="00587444">
        <w:trPr>
          <w:trHeight w:val="117"/>
        </w:trPr>
        <w:tc>
          <w:tcPr>
            <w:tcW w:w="7370" w:type="dxa"/>
            <w:vAlign w:val="center"/>
          </w:tcPr>
          <w:p w14:paraId="51C83090" w14:textId="77777777" w:rsidR="00587444" w:rsidRPr="00587444" w:rsidRDefault="00587444" w:rsidP="00587444">
            <w:pPr>
              <w:keepLines/>
              <w:tabs>
                <w:tab w:val="right" w:pos="1202"/>
              </w:tabs>
              <w:suppressAutoHyphens w:val="0"/>
              <w:autoSpaceDN/>
              <w:outlineLvl w:val="0"/>
              <w:rPr>
                <w:rFonts w:ascii="Arial" w:eastAsia="Calibri" w:hAnsi="Arial" w:cs="Arial"/>
                <w:sz w:val="19"/>
                <w:szCs w:val="19"/>
              </w:rPr>
            </w:pPr>
            <w:bookmarkStart w:id="233" w:name="_Toc4057096"/>
            <w:r w:rsidRPr="00587444">
              <w:rPr>
                <w:rFonts w:ascii="Arial" w:eastAsia="Calibri" w:hAnsi="Arial" w:cs="Arial"/>
                <w:sz w:val="19"/>
                <w:szCs w:val="19"/>
              </w:rPr>
              <w:t>Net</w:t>
            </w:r>
            <w:r w:rsidRPr="00587444">
              <w:rPr>
                <w:rFonts w:ascii="Arial" w:hAnsi="Arial" w:cs="Arial"/>
                <w:sz w:val="19"/>
                <w:szCs w:val="19"/>
              </w:rPr>
              <w:t xml:space="preserve"> (decrease)/</w:t>
            </w:r>
            <w:r w:rsidRPr="00587444">
              <w:rPr>
                <w:rFonts w:ascii="Arial" w:eastAsia="Calibri" w:hAnsi="Arial" w:cs="Arial"/>
                <w:sz w:val="19"/>
                <w:szCs w:val="19"/>
              </w:rPr>
              <w:t>increase in cash and cash equivalents</w:t>
            </w:r>
            <w:bookmarkEnd w:id="233"/>
          </w:p>
        </w:tc>
        <w:tc>
          <w:tcPr>
            <w:tcW w:w="1271" w:type="dxa"/>
            <w:tcBorders>
              <w:bottom w:val="single" w:sz="4" w:space="0" w:color="auto"/>
            </w:tcBorders>
            <w:shd w:val="clear" w:color="auto" w:fill="FFFFFF"/>
            <w:vAlign w:val="bottom"/>
          </w:tcPr>
          <w:p w14:paraId="07FBF815" w14:textId="77777777" w:rsidR="00587444" w:rsidRPr="00587444" w:rsidRDefault="00587444" w:rsidP="00587444">
            <w:pPr>
              <w:keepLines/>
              <w:suppressAutoHyphens w:val="0"/>
              <w:autoSpaceDN/>
              <w:jc w:val="right"/>
              <w:rPr>
                <w:rFonts w:ascii="Arial" w:hAnsi="Arial" w:cs="Arial"/>
                <w:color w:val="000000"/>
                <w:sz w:val="19"/>
                <w:szCs w:val="19"/>
                <w:lang w:val="hr-HR"/>
              </w:rPr>
            </w:pPr>
            <w:r w:rsidRPr="00587444">
              <w:rPr>
                <w:rFonts w:ascii="Arial" w:hAnsi="Arial" w:cs="Arial"/>
                <w:color w:val="000000"/>
                <w:sz w:val="19"/>
                <w:szCs w:val="19"/>
                <w:lang w:val="hr-HR"/>
              </w:rPr>
              <w:t>(235,812)</w:t>
            </w:r>
          </w:p>
        </w:tc>
        <w:tc>
          <w:tcPr>
            <w:tcW w:w="1270" w:type="dxa"/>
            <w:tcBorders>
              <w:bottom w:val="single" w:sz="4" w:space="0" w:color="auto"/>
            </w:tcBorders>
            <w:shd w:val="clear" w:color="auto" w:fill="FFFFFF"/>
          </w:tcPr>
          <w:p w14:paraId="6868E317"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z w:val="19"/>
                <w:szCs w:val="19"/>
                <w:lang w:val="hr-HR"/>
              </w:rPr>
              <w:t>303,027</w:t>
            </w:r>
          </w:p>
        </w:tc>
      </w:tr>
      <w:tr w:rsidR="00587444" w:rsidRPr="00587444" w14:paraId="703A1F7E" w14:textId="77777777" w:rsidTr="00587444">
        <w:trPr>
          <w:trHeight w:val="175"/>
        </w:trPr>
        <w:tc>
          <w:tcPr>
            <w:tcW w:w="7370" w:type="dxa"/>
          </w:tcPr>
          <w:p w14:paraId="26F07085" w14:textId="77777777" w:rsidR="00587444" w:rsidRPr="00587444" w:rsidRDefault="00587444" w:rsidP="00587444">
            <w:pPr>
              <w:keepLines/>
              <w:tabs>
                <w:tab w:val="right" w:pos="1202"/>
              </w:tabs>
              <w:suppressAutoHyphens w:val="0"/>
              <w:autoSpaceDN/>
              <w:outlineLvl w:val="0"/>
              <w:rPr>
                <w:rFonts w:ascii="Arial" w:eastAsia="Calibri" w:hAnsi="Arial" w:cs="Arial"/>
                <w:b/>
                <w:bCs/>
                <w:sz w:val="19"/>
                <w:szCs w:val="19"/>
              </w:rPr>
            </w:pPr>
            <w:bookmarkStart w:id="234" w:name="_Toc4057097"/>
            <w:r w:rsidRPr="00587444">
              <w:rPr>
                <w:rFonts w:ascii="Arial" w:eastAsia="Calibri" w:hAnsi="Arial" w:cs="Arial"/>
                <w:b/>
                <w:bCs/>
                <w:sz w:val="19"/>
                <w:szCs w:val="19"/>
              </w:rPr>
              <w:t>Cash and cash equivalents balance as of 31 December before impairment     12</w:t>
            </w:r>
            <w:bookmarkEnd w:id="234"/>
            <w:r w:rsidRPr="00587444">
              <w:rPr>
                <w:rFonts w:ascii="Arial" w:eastAsia="Calibri" w:hAnsi="Arial" w:cs="Arial"/>
                <w:b/>
                <w:bCs/>
                <w:sz w:val="19"/>
                <w:szCs w:val="19"/>
              </w:rPr>
              <w:t xml:space="preserve">                                                            </w:t>
            </w:r>
          </w:p>
        </w:tc>
        <w:tc>
          <w:tcPr>
            <w:tcW w:w="1271" w:type="dxa"/>
            <w:tcBorders>
              <w:top w:val="single" w:sz="4" w:space="0" w:color="auto"/>
              <w:bottom w:val="single" w:sz="12" w:space="0" w:color="auto"/>
            </w:tcBorders>
            <w:shd w:val="clear" w:color="auto" w:fill="FFFFFF"/>
            <w:vAlign w:val="bottom"/>
          </w:tcPr>
          <w:p w14:paraId="71197335" w14:textId="77777777" w:rsidR="00587444" w:rsidRPr="00587444" w:rsidRDefault="00587444" w:rsidP="00587444">
            <w:pPr>
              <w:keepLines/>
              <w:suppressAutoHyphens w:val="0"/>
              <w:autoSpaceDN/>
              <w:jc w:val="right"/>
              <w:rPr>
                <w:rFonts w:ascii="Arial" w:hAnsi="Arial" w:cs="Arial"/>
                <w:b/>
                <w:bCs/>
                <w:color w:val="000000"/>
                <w:sz w:val="19"/>
                <w:szCs w:val="19"/>
                <w:lang w:val="hr-HR"/>
              </w:rPr>
            </w:pPr>
            <w:r w:rsidRPr="00587444">
              <w:rPr>
                <w:rFonts w:ascii="Arial" w:hAnsi="Arial" w:cs="Arial"/>
                <w:b/>
                <w:bCs/>
                <w:color w:val="000000"/>
                <w:sz w:val="19"/>
                <w:szCs w:val="19"/>
                <w:lang w:val="hr-HR"/>
              </w:rPr>
              <w:t>1,727,983</w:t>
            </w:r>
          </w:p>
        </w:tc>
        <w:tc>
          <w:tcPr>
            <w:tcW w:w="1270" w:type="dxa"/>
            <w:tcBorders>
              <w:top w:val="single" w:sz="4" w:space="0" w:color="auto"/>
              <w:bottom w:val="single" w:sz="12" w:space="0" w:color="auto"/>
            </w:tcBorders>
            <w:shd w:val="clear" w:color="auto" w:fill="FFFFFF"/>
            <w:vAlign w:val="bottom"/>
          </w:tcPr>
          <w:p w14:paraId="7865B0BC" w14:textId="77777777" w:rsidR="00587444" w:rsidRPr="00587444" w:rsidRDefault="00587444" w:rsidP="00587444">
            <w:pPr>
              <w:keepLines/>
              <w:tabs>
                <w:tab w:val="right" w:pos="1202"/>
              </w:tabs>
              <w:suppressAutoHyphens w:val="0"/>
              <w:autoSpaceDN/>
              <w:jc w:val="right"/>
              <w:outlineLvl w:val="0"/>
              <w:rPr>
                <w:rFonts w:ascii="Arial" w:hAnsi="Arial" w:cs="Arial"/>
                <w:b/>
                <w:sz w:val="19"/>
                <w:szCs w:val="19"/>
              </w:rPr>
            </w:pPr>
            <w:r w:rsidRPr="00587444">
              <w:rPr>
                <w:rFonts w:ascii="Arial" w:hAnsi="Arial" w:cs="Arial"/>
                <w:b/>
                <w:bCs/>
                <w:color w:val="000000"/>
                <w:spacing w:val="-2"/>
                <w:sz w:val="19"/>
                <w:szCs w:val="19"/>
                <w:lang w:val="hr-HR"/>
              </w:rPr>
              <w:t>1,963,795</w:t>
            </w:r>
          </w:p>
        </w:tc>
      </w:tr>
      <w:tr w:rsidR="00587444" w:rsidRPr="00587444" w14:paraId="6BF17F83" w14:textId="77777777" w:rsidTr="00DD69E7">
        <w:trPr>
          <w:trHeight w:val="258"/>
        </w:trPr>
        <w:tc>
          <w:tcPr>
            <w:tcW w:w="7370" w:type="dxa"/>
            <w:vAlign w:val="bottom"/>
          </w:tcPr>
          <w:p w14:paraId="00D72714" w14:textId="77777777" w:rsidR="00587444" w:rsidRPr="00587444" w:rsidRDefault="00587444" w:rsidP="00587444">
            <w:pPr>
              <w:keepLines/>
              <w:tabs>
                <w:tab w:val="right" w:pos="1202"/>
              </w:tabs>
              <w:suppressAutoHyphens w:val="0"/>
              <w:autoSpaceDN/>
              <w:outlineLvl w:val="0"/>
              <w:rPr>
                <w:rFonts w:ascii="Arial" w:eastAsia="Calibri" w:hAnsi="Arial" w:cs="Arial"/>
                <w:sz w:val="19"/>
                <w:szCs w:val="19"/>
              </w:rPr>
            </w:pPr>
            <w:bookmarkStart w:id="235" w:name="_Toc4057100"/>
            <w:r w:rsidRPr="00587444">
              <w:rPr>
                <w:rFonts w:ascii="Arial" w:eastAsia="Calibri" w:hAnsi="Arial" w:cs="Arial"/>
                <w:b/>
                <w:sz w:val="19"/>
                <w:szCs w:val="19"/>
              </w:rPr>
              <w:t>Additional note - Operational cash flows</w:t>
            </w:r>
            <w:bookmarkEnd w:id="235"/>
          </w:p>
        </w:tc>
        <w:tc>
          <w:tcPr>
            <w:tcW w:w="1271" w:type="dxa"/>
            <w:tcBorders>
              <w:top w:val="single" w:sz="12" w:space="0" w:color="auto"/>
            </w:tcBorders>
            <w:vAlign w:val="bottom"/>
          </w:tcPr>
          <w:p w14:paraId="5902D8F2" w14:textId="77777777" w:rsidR="00587444" w:rsidRPr="00587444" w:rsidRDefault="00587444" w:rsidP="00587444">
            <w:pPr>
              <w:keepLines/>
              <w:suppressAutoHyphens w:val="0"/>
              <w:autoSpaceDN/>
              <w:jc w:val="right"/>
              <w:rPr>
                <w:rFonts w:ascii="Arial" w:hAnsi="Arial" w:cs="Arial"/>
                <w:color w:val="000000"/>
                <w:sz w:val="19"/>
                <w:szCs w:val="19"/>
                <w:lang w:val="hr-HR"/>
              </w:rPr>
            </w:pPr>
          </w:p>
        </w:tc>
        <w:tc>
          <w:tcPr>
            <w:tcW w:w="1270" w:type="dxa"/>
            <w:tcBorders>
              <w:top w:val="single" w:sz="12" w:space="0" w:color="auto"/>
            </w:tcBorders>
            <w:vAlign w:val="bottom"/>
          </w:tcPr>
          <w:p w14:paraId="5D499BF9" w14:textId="77777777" w:rsidR="00587444" w:rsidRPr="00587444" w:rsidRDefault="00587444" w:rsidP="00587444">
            <w:pPr>
              <w:keepLines/>
              <w:suppressAutoHyphens w:val="0"/>
              <w:autoSpaceDN/>
              <w:jc w:val="right"/>
              <w:rPr>
                <w:rFonts w:ascii="Arial" w:eastAsia="Calibri" w:hAnsi="Arial" w:cs="Arial"/>
                <w:b/>
                <w:position w:val="4"/>
                <w:sz w:val="19"/>
                <w:szCs w:val="19"/>
              </w:rPr>
            </w:pPr>
          </w:p>
        </w:tc>
      </w:tr>
      <w:tr w:rsidR="00587444" w:rsidRPr="00587444" w14:paraId="6C322742" w14:textId="77777777" w:rsidTr="00587444">
        <w:trPr>
          <w:trHeight w:hRule="exact" w:val="219"/>
        </w:trPr>
        <w:tc>
          <w:tcPr>
            <w:tcW w:w="7370" w:type="dxa"/>
            <w:vAlign w:val="bottom"/>
          </w:tcPr>
          <w:p w14:paraId="2AB5BF8C" w14:textId="77777777" w:rsidR="00587444" w:rsidRPr="00587444" w:rsidRDefault="00587444" w:rsidP="00587444">
            <w:pPr>
              <w:keepLines/>
              <w:tabs>
                <w:tab w:val="left" w:pos="392"/>
                <w:tab w:val="decimal" w:pos="1202"/>
              </w:tabs>
              <w:suppressAutoHyphens w:val="0"/>
              <w:autoSpaceDN/>
              <w:rPr>
                <w:rFonts w:ascii="Arial" w:eastAsia="Calibri" w:hAnsi="Arial" w:cs="Arial"/>
                <w:position w:val="4"/>
                <w:sz w:val="19"/>
                <w:szCs w:val="19"/>
              </w:rPr>
            </w:pPr>
            <w:r w:rsidRPr="00587444">
              <w:rPr>
                <w:rFonts w:ascii="Arial" w:eastAsia="Calibri" w:hAnsi="Arial" w:cs="Arial"/>
                <w:bCs/>
                <w:sz w:val="19"/>
                <w:szCs w:val="19"/>
              </w:rPr>
              <w:t>Interest paid</w:t>
            </w:r>
          </w:p>
        </w:tc>
        <w:tc>
          <w:tcPr>
            <w:tcW w:w="1271" w:type="dxa"/>
            <w:shd w:val="clear" w:color="auto" w:fill="FFFFFF"/>
            <w:vAlign w:val="bottom"/>
          </w:tcPr>
          <w:p w14:paraId="19823A8C" w14:textId="77777777" w:rsidR="00587444" w:rsidRPr="00587444" w:rsidRDefault="00587444" w:rsidP="00587444">
            <w:pPr>
              <w:keepLines/>
              <w:suppressAutoHyphens w:val="0"/>
              <w:autoSpaceDN/>
              <w:jc w:val="right"/>
              <w:rPr>
                <w:rFonts w:ascii="Arial" w:hAnsi="Arial" w:cs="Arial"/>
                <w:color w:val="000000"/>
                <w:sz w:val="19"/>
                <w:szCs w:val="19"/>
                <w:lang w:val="hr-HR"/>
              </w:rPr>
            </w:pPr>
            <w:r w:rsidRPr="00587444">
              <w:rPr>
                <w:rFonts w:ascii="Arial" w:hAnsi="Arial" w:cs="Arial"/>
                <w:color w:val="000000"/>
                <w:sz w:val="19"/>
                <w:szCs w:val="19"/>
                <w:lang w:val="hr-HR"/>
              </w:rPr>
              <w:t>167,604</w:t>
            </w:r>
          </w:p>
        </w:tc>
        <w:tc>
          <w:tcPr>
            <w:tcW w:w="1270" w:type="dxa"/>
            <w:shd w:val="clear" w:color="auto" w:fill="FFFFFF"/>
            <w:vAlign w:val="bottom"/>
          </w:tcPr>
          <w:p w14:paraId="340CDAC9"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pacing w:val="-2"/>
                <w:sz w:val="19"/>
                <w:szCs w:val="19"/>
                <w:lang w:val="hr-HR"/>
              </w:rPr>
              <w:t>185,187</w:t>
            </w:r>
          </w:p>
        </w:tc>
      </w:tr>
      <w:tr w:rsidR="00587444" w:rsidRPr="00587444" w14:paraId="2C6C4287" w14:textId="77777777" w:rsidTr="00587444">
        <w:trPr>
          <w:trHeight w:hRule="exact" w:val="219"/>
        </w:trPr>
        <w:tc>
          <w:tcPr>
            <w:tcW w:w="7370" w:type="dxa"/>
            <w:vAlign w:val="bottom"/>
          </w:tcPr>
          <w:p w14:paraId="5B1911CD" w14:textId="77777777" w:rsidR="00587444" w:rsidRPr="00587444" w:rsidRDefault="00587444" w:rsidP="00587444">
            <w:pPr>
              <w:keepLines/>
              <w:tabs>
                <w:tab w:val="decimal" w:pos="1202"/>
              </w:tabs>
              <w:suppressAutoHyphens w:val="0"/>
              <w:autoSpaceDN/>
              <w:rPr>
                <w:rFonts w:ascii="Arial" w:eastAsia="Calibri" w:hAnsi="Arial" w:cs="Arial"/>
                <w:position w:val="4"/>
                <w:sz w:val="19"/>
                <w:szCs w:val="19"/>
              </w:rPr>
            </w:pPr>
            <w:r w:rsidRPr="00587444">
              <w:rPr>
                <w:rFonts w:ascii="Arial" w:eastAsia="Calibri" w:hAnsi="Arial" w:cs="Arial"/>
                <w:bCs/>
                <w:sz w:val="19"/>
                <w:szCs w:val="19"/>
              </w:rPr>
              <w:t>Interest received</w:t>
            </w:r>
          </w:p>
        </w:tc>
        <w:tc>
          <w:tcPr>
            <w:tcW w:w="1271" w:type="dxa"/>
            <w:shd w:val="clear" w:color="auto" w:fill="FFFFFF"/>
            <w:vAlign w:val="bottom"/>
          </w:tcPr>
          <w:p w14:paraId="6BCCC501" w14:textId="77777777" w:rsidR="00587444" w:rsidRPr="00587444" w:rsidRDefault="00587444" w:rsidP="00587444">
            <w:pPr>
              <w:keepLines/>
              <w:suppressAutoHyphens w:val="0"/>
              <w:autoSpaceDN/>
              <w:jc w:val="right"/>
              <w:rPr>
                <w:rFonts w:ascii="Arial" w:hAnsi="Arial" w:cs="Arial"/>
                <w:color w:val="000000"/>
                <w:sz w:val="19"/>
                <w:szCs w:val="19"/>
                <w:lang w:val="hr-HR"/>
              </w:rPr>
            </w:pPr>
            <w:r w:rsidRPr="00587444">
              <w:rPr>
                <w:rFonts w:ascii="Arial" w:hAnsi="Arial" w:cs="Arial"/>
                <w:color w:val="000000"/>
                <w:sz w:val="19"/>
                <w:szCs w:val="19"/>
                <w:lang w:val="hr-HR"/>
              </w:rPr>
              <w:t>591,528</w:t>
            </w:r>
          </w:p>
        </w:tc>
        <w:tc>
          <w:tcPr>
            <w:tcW w:w="1270" w:type="dxa"/>
            <w:shd w:val="clear" w:color="auto" w:fill="FFFFFF"/>
            <w:vAlign w:val="bottom"/>
          </w:tcPr>
          <w:p w14:paraId="29AEA7E8" w14:textId="77777777" w:rsidR="00587444" w:rsidRPr="00587444" w:rsidRDefault="00587444" w:rsidP="00587444">
            <w:pPr>
              <w:keepLines/>
              <w:suppressAutoHyphens w:val="0"/>
              <w:autoSpaceDN/>
              <w:jc w:val="right"/>
              <w:rPr>
                <w:rFonts w:ascii="Arial" w:eastAsia="Calibri" w:hAnsi="Arial" w:cs="Arial"/>
                <w:sz w:val="19"/>
                <w:szCs w:val="19"/>
              </w:rPr>
            </w:pPr>
            <w:r w:rsidRPr="00587444">
              <w:rPr>
                <w:rFonts w:ascii="Arial" w:hAnsi="Arial" w:cs="Arial"/>
                <w:color w:val="000000"/>
                <w:spacing w:val="-2"/>
                <w:sz w:val="19"/>
                <w:szCs w:val="19"/>
                <w:lang w:val="hr-HR"/>
              </w:rPr>
              <w:t>665,677</w:t>
            </w:r>
          </w:p>
        </w:tc>
      </w:tr>
    </w:tbl>
    <w:p w14:paraId="50410750" w14:textId="77777777" w:rsidR="00587444" w:rsidRPr="00587444" w:rsidRDefault="00587444" w:rsidP="00587444">
      <w:pPr>
        <w:keepNext/>
        <w:suppressAutoHyphens w:val="0"/>
        <w:autoSpaceDN/>
        <w:jc w:val="both"/>
        <w:rPr>
          <w:rFonts w:ascii="Arial" w:hAnsi="Arial" w:cs="Arial"/>
          <w:sz w:val="20"/>
          <w:szCs w:val="20"/>
          <w:lang w:val="en-GB"/>
        </w:rPr>
      </w:pPr>
    </w:p>
    <w:p w14:paraId="69C272D5"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p>
    <w:p w14:paraId="63BC4F5C"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p>
    <w:p w14:paraId="4A3D7189"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p>
    <w:p w14:paraId="32396AF0" w14:textId="77777777" w:rsidR="00587444" w:rsidRPr="00587444" w:rsidRDefault="00587444" w:rsidP="00587444">
      <w:pPr>
        <w:tabs>
          <w:tab w:val="right" w:pos="1202"/>
        </w:tabs>
        <w:suppressAutoHyphens w:val="0"/>
        <w:autoSpaceDN/>
        <w:outlineLvl w:val="0"/>
        <w:rPr>
          <w:rFonts w:ascii="Arial" w:hAnsi="Arial" w:cs="Arial"/>
          <w:b/>
          <w:bCs/>
          <w:sz w:val="20"/>
          <w:szCs w:val="20"/>
          <w:highlight w:val="yellow"/>
          <w:lang w:val="en-GB"/>
        </w:rPr>
        <w:sectPr w:rsidR="00587444" w:rsidRPr="00587444" w:rsidSect="00DD69E7">
          <w:headerReference w:type="default" r:id="rId63"/>
          <w:footerReference w:type="default" r:id="rId64"/>
          <w:pgSz w:w="11907" w:h="16840" w:code="9"/>
          <w:pgMar w:top="1418" w:right="992" w:bottom="1134" w:left="1418" w:header="851" w:footer="851" w:gutter="0"/>
          <w:cols w:space="720"/>
          <w:noEndnote/>
        </w:sectPr>
      </w:pPr>
      <w:r w:rsidRPr="00587444">
        <w:rPr>
          <w:rFonts w:ascii="Arial" w:eastAsia="Calibri" w:hAnsi="Arial" w:cs="Arial"/>
          <w:sz w:val="20"/>
          <w:szCs w:val="20"/>
        </w:rPr>
        <w:t>The accompanying accounting policies and notes are an integral part of these financial statements</w:t>
      </w:r>
      <w:r w:rsidRPr="00587444">
        <w:rPr>
          <w:rFonts w:ascii="Arial" w:hAnsi="Arial" w:cs="Arial"/>
          <w:b/>
          <w:bCs/>
          <w:sz w:val="20"/>
          <w:szCs w:val="20"/>
          <w:lang w:val="en-GB"/>
        </w:rPr>
        <w:t>.</w:t>
      </w:r>
    </w:p>
    <w:p w14:paraId="5FC84EAE" w14:textId="77777777" w:rsidR="00587444" w:rsidRPr="00587444" w:rsidRDefault="00587444" w:rsidP="00587444">
      <w:pPr>
        <w:keepNext/>
        <w:suppressAutoHyphens w:val="0"/>
        <w:autoSpaceDN/>
        <w:jc w:val="both"/>
        <w:rPr>
          <w:rFonts w:ascii="Arial" w:hAnsi="Arial" w:cs="Arial"/>
          <w:sz w:val="20"/>
          <w:szCs w:val="20"/>
          <w:highlight w:val="yellow"/>
          <w:lang w:val="en-GB"/>
        </w:rPr>
      </w:pPr>
    </w:p>
    <w:tbl>
      <w:tblPr>
        <w:tblpPr w:leftFromText="180" w:rightFromText="180" w:vertAnchor="page" w:horzAnchor="margin" w:tblpX="-284" w:tblpY="2650"/>
        <w:tblW w:w="5223" w:type="pct"/>
        <w:tblLayout w:type="fixed"/>
        <w:tblCellMar>
          <w:left w:w="120" w:type="dxa"/>
          <w:right w:w="120" w:type="dxa"/>
        </w:tblCellMar>
        <w:tblLook w:val="0000" w:firstRow="0" w:lastRow="0" w:firstColumn="0" w:lastColumn="0" w:noHBand="0" w:noVBand="0"/>
      </w:tblPr>
      <w:tblGrid>
        <w:gridCol w:w="3138"/>
        <w:gridCol w:w="1163"/>
        <w:gridCol w:w="1164"/>
        <w:gridCol w:w="1164"/>
        <w:gridCol w:w="1164"/>
        <w:gridCol w:w="1164"/>
        <w:gridCol w:w="1214"/>
      </w:tblGrid>
      <w:tr w:rsidR="00587444" w:rsidRPr="00587444" w14:paraId="3B6F238E" w14:textId="77777777" w:rsidTr="00DD69E7">
        <w:trPr>
          <w:trHeight w:val="883"/>
        </w:trPr>
        <w:tc>
          <w:tcPr>
            <w:tcW w:w="1543" w:type="pct"/>
          </w:tcPr>
          <w:p w14:paraId="227F4CB8" w14:textId="77777777" w:rsidR="00587444" w:rsidRPr="00587444" w:rsidRDefault="00587444" w:rsidP="00587444">
            <w:pPr>
              <w:tabs>
                <w:tab w:val="right" w:pos="1202"/>
              </w:tabs>
              <w:suppressAutoHyphens w:val="0"/>
              <w:autoSpaceDN/>
              <w:outlineLvl w:val="0"/>
              <w:rPr>
                <w:rFonts w:ascii="Arial" w:hAnsi="Arial" w:cs="Arial"/>
                <w:b/>
                <w:iCs/>
                <w:sz w:val="18"/>
                <w:szCs w:val="18"/>
              </w:rPr>
            </w:pPr>
          </w:p>
        </w:tc>
        <w:tc>
          <w:tcPr>
            <w:tcW w:w="572" w:type="pct"/>
            <w:vAlign w:val="bottom"/>
          </w:tcPr>
          <w:p w14:paraId="08AEEAB7"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bookmarkStart w:id="236" w:name="_Toc4057101"/>
            <w:r w:rsidRPr="00587444">
              <w:rPr>
                <w:rFonts w:ascii="Arial" w:eastAsia="Calibri" w:hAnsi="Arial" w:cs="Arial"/>
                <w:b/>
                <w:iCs/>
                <w:sz w:val="18"/>
                <w:szCs w:val="18"/>
              </w:rPr>
              <w:t>Founder’s capital</w:t>
            </w:r>
            <w:bookmarkEnd w:id="236"/>
          </w:p>
        </w:tc>
        <w:tc>
          <w:tcPr>
            <w:tcW w:w="572" w:type="pct"/>
            <w:vAlign w:val="bottom"/>
          </w:tcPr>
          <w:p w14:paraId="396F26FA"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bookmarkStart w:id="237" w:name="_Toc4057102"/>
            <w:r w:rsidRPr="00587444">
              <w:rPr>
                <w:rFonts w:ascii="Arial" w:eastAsia="Calibri" w:hAnsi="Arial" w:cs="Arial"/>
                <w:b/>
                <w:iCs/>
                <w:sz w:val="18"/>
                <w:szCs w:val="18"/>
              </w:rPr>
              <w:t>Retained earnings and reserves</w:t>
            </w:r>
            <w:bookmarkEnd w:id="237"/>
          </w:p>
        </w:tc>
        <w:tc>
          <w:tcPr>
            <w:tcW w:w="572" w:type="pct"/>
            <w:vAlign w:val="bottom"/>
          </w:tcPr>
          <w:p w14:paraId="78371D02"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8"/>
                <w:szCs w:val="18"/>
              </w:rPr>
            </w:pPr>
            <w:bookmarkStart w:id="238" w:name="_Toc4057103"/>
            <w:r w:rsidRPr="00587444">
              <w:rPr>
                <w:rFonts w:ascii="Arial" w:eastAsia="Calibri" w:hAnsi="Arial" w:cs="Arial"/>
                <w:b/>
                <w:iCs/>
                <w:sz w:val="18"/>
                <w:szCs w:val="18"/>
              </w:rPr>
              <w:t>Other</w:t>
            </w:r>
            <w:bookmarkEnd w:id="238"/>
            <w:r w:rsidRPr="00587444">
              <w:rPr>
                <w:rFonts w:ascii="Arial" w:eastAsia="Calibri" w:hAnsi="Arial" w:cs="Arial"/>
                <w:b/>
                <w:iCs/>
                <w:sz w:val="18"/>
                <w:szCs w:val="18"/>
              </w:rPr>
              <w:t xml:space="preserve"> </w:t>
            </w:r>
          </w:p>
          <w:p w14:paraId="7560CDE9"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bookmarkStart w:id="239" w:name="_Toc4057104"/>
            <w:r w:rsidRPr="00587444">
              <w:rPr>
                <w:rFonts w:ascii="Arial" w:eastAsia="Calibri" w:hAnsi="Arial" w:cs="Arial"/>
                <w:b/>
                <w:iCs/>
                <w:sz w:val="18"/>
                <w:szCs w:val="18"/>
              </w:rPr>
              <w:t>reserves</w:t>
            </w:r>
            <w:bookmarkEnd w:id="239"/>
          </w:p>
        </w:tc>
        <w:tc>
          <w:tcPr>
            <w:tcW w:w="572" w:type="pct"/>
            <w:vAlign w:val="bottom"/>
          </w:tcPr>
          <w:p w14:paraId="1DC84AF9"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bookmarkStart w:id="240" w:name="_Toc4057105"/>
            <w:r w:rsidRPr="00587444">
              <w:rPr>
                <w:rFonts w:ascii="Arial" w:eastAsia="Calibri" w:hAnsi="Arial" w:cs="Arial"/>
                <w:b/>
                <w:iCs/>
                <w:sz w:val="18"/>
                <w:szCs w:val="18"/>
              </w:rPr>
              <w:t>Profit for the year</w:t>
            </w:r>
            <w:bookmarkEnd w:id="240"/>
          </w:p>
        </w:tc>
        <w:tc>
          <w:tcPr>
            <w:tcW w:w="572" w:type="pct"/>
            <w:vAlign w:val="bottom"/>
          </w:tcPr>
          <w:p w14:paraId="27F0F884"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8"/>
                <w:szCs w:val="18"/>
              </w:rPr>
            </w:pPr>
            <w:bookmarkStart w:id="241" w:name="_Toc4057106"/>
            <w:r w:rsidRPr="00587444">
              <w:rPr>
                <w:rFonts w:ascii="Arial" w:eastAsia="Calibri" w:hAnsi="Arial" w:cs="Arial"/>
                <w:b/>
                <w:iCs/>
                <w:sz w:val="18"/>
                <w:szCs w:val="18"/>
              </w:rPr>
              <w:t>Guarantee fund</w:t>
            </w:r>
            <w:bookmarkEnd w:id="241"/>
          </w:p>
        </w:tc>
        <w:tc>
          <w:tcPr>
            <w:tcW w:w="597" w:type="pct"/>
            <w:vAlign w:val="bottom"/>
          </w:tcPr>
          <w:p w14:paraId="627AB36C"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8"/>
                <w:szCs w:val="18"/>
              </w:rPr>
            </w:pPr>
            <w:bookmarkStart w:id="242" w:name="_Toc4057107"/>
            <w:r w:rsidRPr="00587444">
              <w:rPr>
                <w:rFonts w:ascii="Arial" w:eastAsia="Calibri" w:hAnsi="Arial" w:cs="Arial"/>
                <w:b/>
                <w:iCs/>
                <w:sz w:val="18"/>
                <w:szCs w:val="18"/>
              </w:rPr>
              <w:t>Total</w:t>
            </w:r>
            <w:bookmarkEnd w:id="242"/>
            <w:r w:rsidRPr="00587444">
              <w:rPr>
                <w:rFonts w:ascii="Arial" w:eastAsia="Calibri" w:hAnsi="Arial" w:cs="Arial"/>
                <w:b/>
                <w:iCs/>
                <w:sz w:val="18"/>
                <w:szCs w:val="18"/>
              </w:rPr>
              <w:t xml:space="preserve"> </w:t>
            </w:r>
          </w:p>
          <w:p w14:paraId="18421D6A"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p>
        </w:tc>
      </w:tr>
      <w:tr w:rsidR="00587444" w:rsidRPr="00587444" w14:paraId="17170C9F" w14:textId="77777777" w:rsidTr="00DD69E7">
        <w:trPr>
          <w:trHeight w:hRule="exact" w:val="321"/>
        </w:trPr>
        <w:tc>
          <w:tcPr>
            <w:tcW w:w="1543" w:type="pct"/>
          </w:tcPr>
          <w:p w14:paraId="31B3D355" w14:textId="77777777" w:rsidR="00587444" w:rsidRPr="00587444" w:rsidRDefault="00587444" w:rsidP="00587444">
            <w:pPr>
              <w:tabs>
                <w:tab w:val="right" w:pos="1202"/>
              </w:tabs>
              <w:suppressAutoHyphens w:val="0"/>
              <w:autoSpaceDN/>
              <w:outlineLvl w:val="0"/>
              <w:rPr>
                <w:rFonts w:ascii="Arial" w:hAnsi="Arial" w:cs="Arial"/>
                <w:iCs/>
                <w:sz w:val="18"/>
                <w:szCs w:val="18"/>
              </w:rPr>
            </w:pPr>
          </w:p>
        </w:tc>
        <w:tc>
          <w:tcPr>
            <w:tcW w:w="572" w:type="pct"/>
            <w:vAlign w:val="center"/>
          </w:tcPr>
          <w:p w14:paraId="5ABF2810"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bookmarkStart w:id="243" w:name="_Toc4057108"/>
            <w:r w:rsidRPr="00587444">
              <w:rPr>
                <w:rFonts w:ascii="Arial" w:hAnsi="Arial" w:cs="Arial"/>
                <w:b/>
                <w:bCs/>
                <w:sz w:val="18"/>
                <w:szCs w:val="18"/>
              </w:rPr>
              <w:t>HRK ‘000</w:t>
            </w:r>
            <w:bookmarkEnd w:id="243"/>
          </w:p>
        </w:tc>
        <w:tc>
          <w:tcPr>
            <w:tcW w:w="572" w:type="pct"/>
            <w:vAlign w:val="center"/>
          </w:tcPr>
          <w:p w14:paraId="7270D2E3"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bookmarkStart w:id="244" w:name="_Toc4057109"/>
            <w:r w:rsidRPr="00587444">
              <w:rPr>
                <w:rFonts w:ascii="Arial" w:hAnsi="Arial" w:cs="Arial"/>
                <w:b/>
                <w:bCs/>
                <w:sz w:val="18"/>
                <w:szCs w:val="18"/>
              </w:rPr>
              <w:t>HRK ‘000</w:t>
            </w:r>
            <w:bookmarkEnd w:id="244"/>
          </w:p>
        </w:tc>
        <w:tc>
          <w:tcPr>
            <w:tcW w:w="572" w:type="pct"/>
            <w:vAlign w:val="center"/>
          </w:tcPr>
          <w:p w14:paraId="6D574FF0"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bookmarkStart w:id="245" w:name="_Toc4057110"/>
            <w:r w:rsidRPr="00587444">
              <w:rPr>
                <w:rFonts w:ascii="Arial" w:hAnsi="Arial" w:cs="Arial"/>
                <w:b/>
                <w:bCs/>
                <w:sz w:val="18"/>
                <w:szCs w:val="18"/>
              </w:rPr>
              <w:t>HRK ‘000</w:t>
            </w:r>
            <w:bookmarkEnd w:id="245"/>
          </w:p>
        </w:tc>
        <w:tc>
          <w:tcPr>
            <w:tcW w:w="572" w:type="pct"/>
            <w:vAlign w:val="center"/>
          </w:tcPr>
          <w:p w14:paraId="49A2A598"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bookmarkStart w:id="246" w:name="_Toc4057111"/>
            <w:r w:rsidRPr="00587444">
              <w:rPr>
                <w:rFonts w:ascii="Arial" w:hAnsi="Arial" w:cs="Arial"/>
                <w:b/>
                <w:bCs/>
                <w:sz w:val="18"/>
                <w:szCs w:val="18"/>
              </w:rPr>
              <w:t>HRK ‘000</w:t>
            </w:r>
            <w:bookmarkEnd w:id="246"/>
          </w:p>
        </w:tc>
        <w:tc>
          <w:tcPr>
            <w:tcW w:w="572" w:type="pct"/>
            <w:vAlign w:val="center"/>
          </w:tcPr>
          <w:p w14:paraId="7FB79859"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bookmarkStart w:id="247" w:name="_Toc4057112"/>
            <w:r w:rsidRPr="00587444">
              <w:rPr>
                <w:rFonts w:ascii="Arial" w:hAnsi="Arial" w:cs="Arial"/>
                <w:b/>
                <w:bCs/>
                <w:sz w:val="18"/>
                <w:szCs w:val="18"/>
              </w:rPr>
              <w:t>HRK ‘000</w:t>
            </w:r>
            <w:bookmarkEnd w:id="247"/>
          </w:p>
        </w:tc>
        <w:tc>
          <w:tcPr>
            <w:tcW w:w="597" w:type="pct"/>
            <w:vAlign w:val="center"/>
          </w:tcPr>
          <w:p w14:paraId="415C9042"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bookmarkStart w:id="248" w:name="_Toc4057113"/>
            <w:r w:rsidRPr="00587444">
              <w:rPr>
                <w:rFonts w:ascii="Arial" w:hAnsi="Arial" w:cs="Arial"/>
                <w:b/>
                <w:bCs/>
                <w:sz w:val="18"/>
                <w:szCs w:val="18"/>
              </w:rPr>
              <w:t>HRK ‘000</w:t>
            </w:r>
            <w:bookmarkEnd w:id="248"/>
          </w:p>
        </w:tc>
      </w:tr>
      <w:tr w:rsidR="00587444" w:rsidRPr="00587444" w14:paraId="7E0D7019" w14:textId="77777777" w:rsidTr="00DD69E7">
        <w:trPr>
          <w:trHeight w:hRule="exact" w:val="321"/>
        </w:trPr>
        <w:tc>
          <w:tcPr>
            <w:tcW w:w="1543" w:type="pct"/>
          </w:tcPr>
          <w:p w14:paraId="6A4BDEAA" w14:textId="77777777" w:rsidR="00587444" w:rsidRPr="00587444" w:rsidRDefault="00587444" w:rsidP="00587444">
            <w:pPr>
              <w:tabs>
                <w:tab w:val="right" w:pos="1202"/>
              </w:tabs>
              <w:suppressAutoHyphens w:val="0"/>
              <w:autoSpaceDN/>
              <w:outlineLvl w:val="0"/>
              <w:rPr>
                <w:rFonts w:ascii="Arial" w:hAnsi="Arial" w:cs="Arial"/>
                <w:iCs/>
                <w:sz w:val="18"/>
                <w:szCs w:val="18"/>
              </w:rPr>
            </w:pPr>
          </w:p>
        </w:tc>
        <w:tc>
          <w:tcPr>
            <w:tcW w:w="572" w:type="pct"/>
            <w:tcBorders>
              <w:bottom w:val="single" w:sz="4" w:space="0" w:color="auto"/>
            </w:tcBorders>
            <w:vAlign w:val="bottom"/>
          </w:tcPr>
          <w:p w14:paraId="7BAA14B8"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572" w:type="pct"/>
            <w:tcBorders>
              <w:bottom w:val="single" w:sz="4" w:space="0" w:color="auto"/>
            </w:tcBorders>
            <w:vAlign w:val="bottom"/>
          </w:tcPr>
          <w:p w14:paraId="46E9C570"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572" w:type="pct"/>
            <w:tcBorders>
              <w:bottom w:val="single" w:sz="4" w:space="0" w:color="auto"/>
            </w:tcBorders>
          </w:tcPr>
          <w:p w14:paraId="1148376D"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572" w:type="pct"/>
            <w:tcBorders>
              <w:bottom w:val="single" w:sz="4" w:space="0" w:color="auto"/>
            </w:tcBorders>
            <w:vAlign w:val="bottom"/>
          </w:tcPr>
          <w:p w14:paraId="1A830CFE"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572" w:type="pct"/>
            <w:tcBorders>
              <w:bottom w:val="single" w:sz="4" w:space="0" w:color="auto"/>
            </w:tcBorders>
          </w:tcPr>
          <w:p w14:paraId="30962F30"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597" w:type="pct"/>
            <w:tcBorders>
              <w:bottom w:val="single" w:sz="4" w:space="0" w:color="auto"/>
            </w:tcBorders>
            <w:vAlign w:val="bottom"/>
          </w:tcPr>
          <w:p w14:paraId="0C9CFFC9"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r>
      <w:tr w:rsidR="00587444" w:rsidRPr="00587444" w14:paraId="65D4B029" w14:textId="77777777" w:rsidTr="00DD69E7">
        <w:trPr>
          <w:trHeight w:val="287"/>
        </w:trPr>
        <w:tc>
          <w:tcPr>
            <w:tcW w:w="1543" w:type="pct"/>
            <w:vAlign w:val="bottom"/>
          </w:tcPr>
          <w:p w14:paraId="6492641E" w14:textId="77777777" w:rsidR="00587444" w:rsidRPr="00587444" w:rsidRDefault="00587444" w:rsidP="00587444">
            <w:pPr>
              <w:tabs>
                <w:tab w:val="right" w:pos="1202"/>
              </w:tabs>
              <w:suppressAutoHyphens w:val="0"/>
              <w:autoSpaceDN/>
              <w:outlineLvl w:val="0"/>
              <w:rPr>
                <w:rFonts w:ascii="Arial" w:hAnsi="Arial" w:cs="Arial"/>
                <w:b/>
                <w:iCs/>
                <w:sz w:val="18"/>
                <w:szCs w:val="18"/>
              </w:rPr>
            </w:pPr>
            <w:bookmarkStart w:id="249" w:name="_Toc4057114"/>
            <w:r w:rsidRPr="00587444">
              <w:rPr>
                <w:rFonts w:ascii="Arial" w:hAnsi="Arial" w:cs="Arial"/>
                <w:b/>
                <w:iCs/>
                <w:sz w:val="18"/>
                <w:szCs w:val="18"/>
              </w:rPr>
              <w:t xml:space="preserve">Balance as of 1 January </w:t>
            </w:r>
            <w:bookmarkEnd w:id="249"/>
            <w:r w:rsidRPr="00587444">
              <w:rPr>
                <w:rFonts w:ascii="Arial" w:hAnsi="Arial" w:cs="Arial"/>
                <w:b/>
                <w:iCs/>
                <w:sz w:val="18"/>
                <w:szCs w:val="18"/>
              </w:rPr>
              <w:t>2021</w:t>
            </w:r>
          </w:p>
        </w:tc>
        <w:tc>
          <w:tcPr>
            <w:tcW w:w="572" w:type="pct"/>
            <w:tcBorders>
              <w:top w:val="single" w:sz="4" w:space="0" w:color="auto"/>
              <w:left w:val="nil"/>
              <w:bottom w:val="single" w:sz="12" w:space="0" w:color="auto"/>
              <w:right w:val="nil"/>
            </w:tcBorders>
            <w:shd w:val="clear" w:color="auto" w:fill="auto"/>
            <w:vAlign w:val="bottom"/>
          </w:tcPr>
          <w:p w14:paraId="5F17C89C"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r w:rsidRPr="00587444">
              <w:rPr>
                <w:rFonts w:ascii="Arial" w:hAnsi="Arial" w:cs="Arial"/>
                <w:b/>
                <w:iCs/>
                <w:color w:val="000000"/>
                <w:sz w:val="18"/>
                <w:szCs w:val="18"/>
                <w:lang w:val="hr-HR"/>
              </w:rPr>
              <w:t>7,134,632</w:t>
            </w:r>
          </w:p>
        </w:tc>
        <w:tc>
          <w:tcPr>
            <w:tcW w:w="572" w:type="pct"/>
            <w:tcBorders>
              <w:top w:val="single" w:sz="4" w:space="0" w:color="auto"/>
              <w:left w:val="nil"/>
              <w:bottom w:val="single" w:sz="12" w:space="0" w:color="auto"/>
              <w:right w:val="nil"/>
            </w:tcBorders>
            <w:shd w:val="clear" w:color="auto" w:fill="auto"/>
            <w:vAlign w:val="bottom"/>
          </w:tcPr>
          <w:p w14:paraId="2E77F039"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r w:rsidRPr="00587444">
              <w:rPr>
                <w:rFonts w:ascii="Arial" w:hAnsi="Arial" w:cs="Arial"/>
                <w:b/>
                <w:iCs/>
                <w:color w:val="000000"/>
                <w:sz w:val="18"/>
                <w:szCs w:val="18"/>
                <w:lang w:val="hr-HR"/>
              </w:rPr>
              <w:t>3,076,153</w:t>
            </w:r>
          </w:p>
        </w:tc>
        <w:tc>
          <w:tcPr>
            <w:tcW w:w="572" w:type="pct"/>
            <w:tcBorders>
              <w:top w:val="single" w:sz="4" w:space="0" w:color="auto"/>
              <w:left w:val="nil"/>
              <w:bottom w:val="single" w:sz="12" w:space="0" w:color="auto"/>
              <w:right w:val="nil"/>
            </w:tcBorders>
            <w:shd w:val="clear" w:color="auto" w:fill="auto"/>
            <w:vAlign w:val="bottom"/>
          </w:tcPr>
          <w:p w14:paraId="4A479598"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r w:rsidRPr="00587444">
              <w:rPr>
                <w:rFonts w:ascii="Arial" w:hAnsi="Arial" w:cs="Arial"/>
                <w:b/>
                <w:iCs/>
                <w:color w:val="000000"/>
                <w:sz w:val="18"/>
                <w:szCs w:val="18"/>
                <w:lang w:val="hr-HR"/>
              </w:rPr>
              <w:t>59,108</w:t>
            </w:r>
          </w:p>
        </w:tc>
        <w:tc>
          <w:tcPr>
            <w:tcW w:w="572" w:type="pct"/>
            <w:tcBorders>
              <w:top w:val="single" w:sz="4" w:space="0" w:color="auto"/>
              <w:left w:val="nil"/>
              <w:bottom w:val="single" w:sz="12" w:space="0" w:color="auto"/>
              <w:right w:val="nil"/>
            </w:tcBorders>
            <w:shd w:val="clear" w:color="auto" w:fill="auto"/>
            <w:vAlign w:val="bottom"/>
          </w:tcPr>
          <w:p w14:paraId="3742CEB9"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r w:rsidRPr="00587444">
              <w:rPr>
                <w:rFonts w:ascii="Arial" w:hAnsi="Arial" w:cs="Arial"/>
                <w:b/>
                <w:iCs/>
                <w:color w:val="000000"/>
                <w:sz w:val="18"/>
                <w:szCs w:val="18"/>
                <w:lang w:val="hr-HR"/>
              </w:rPr>
              <w:t>81,531</w:t>
            </w:r>
          </w:p>
        </w:tc>
        <w:tc>
          <w:tcPr>
            <w:tcW w:w="572" w:type="pct"/>
            <w:tcBorders>
              <w:top w:val="single" w:sz="4" w:space="0" w:color="auto"/>
              <w:left w:val="nil"/>
              <w:bottom w:val="single" w:sz="12" w:space="0" w:color="auto"/>
              <w:right w:val="nil"/>
            </w:tcBorders>
            <w:shd w:val="clear" w:color="auto" w:fill="auto"/>
            <w:vAlign w:val="bottom"/>
          </w:tcPr>
          <w:p w14:paraId="19015545"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r w:rsidRPr="00587444">
              <w:rPr>
                <w:rFonts w:ascii="Arial" w:hAnsi="Arial" w:cs="Arial"/>
                <w:b/>
                <w:bCs/>
                <w:color w:val="000000"/>
                <w:sz w:val="18"/>
                <w:szCs w:val="18"/>
                <w:lang w:val="hr-HR"/>
              </w:rPr>
              <w:t>12,341</w:t>
            </w:r>
          </w:p>
        </w:tc>
        <w:tc>
          <w:tcPr>
            <w:tcW w:w="597" w:type="pct"/>
            <w:tcBorders>
              <w:top w:val="single" w:sz="4" w:space="0" w:color="auto"/>
              <w:left w:val="nil"/>
              <w:bottom w:val="single" w:sz="12" w:space="0" w:color="auto"/>
              <w:right w:val="nil"/>
            </w:tcBorders>
            <w:shd w:val="clear" w:color="auto" w:fill="auto"/>
            <w:vAlign w:val="bottom"/>
          </w:tcPr>
          <w:p w14:paraId="6330E52C"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r w:rsidRPr="00587444">
              <w:rPr>
                <w:rFonts w:ascii="Arial" w:hAnsi="Arial" w:cs="Arial"/>
                <w:b/>
                <w:iCs/>
                <w:color w:val="000000"/>
                <w:sz w:val="18"/>
                <w:szCs w:val="18"/>
                <w:lang w:val="hr-HR"/>
              </w:rPr>
              <w:t>10,363,765</w:t>
            </w:r>
          </w:p>
        </w:tc>
      </w:tr>
      <w:tr w:rsidR="00587444" w:rsidRPr="00587444" w14:paraId="7B19FB22" w14:textId="77777777" w:rsidTr="00DD69E7">
        <w:trPr>
          <w:trHeight w:val="87"/>
        </w:trPr>
        <w:tc>
          <w:tcPr>
            <w:tcW w:w="1543" w:type="pct"/>
            <w:vAlign w:val="bottom"/>
          </w:tcPr>
          <w:p w14:paraId="2B76F34E" w14:textId="77777777" w:rsidR="00587444" w:rsidRPr="00587444" w:rsidRDefault="00587444" w:rsidP="00587444">
            <w:pPr>
              <w:tabs>
                <w:tab w:val="right" w:pos="1202"/>
              </w:tabs>
              <w:suppressAutoHyphens w:val="0"/>
              <w:autoSpaceDN/>
              <w:outlineLvl w:val="0"/>
              <w:rPr>
                <w:rFonts w:ascii="Arial" w:hAnsi="Arial" w:cs="Arial"/>
                <w:iCs/>
                <w:sz w:val="18"/>
                <w:szCs w:val="18"/>
              </w:rPr>
            </w:pPr>
            <w:bookmarkStart w:id="250" w:name="_Toc4057121"/>
            <w:r w:rsidRPr="00587444">
              <w:rPr>
                <w:rFonts w:ascii="Arial" w:hAnsi="Arial" w:cs="Arial"/>
                <w:iCs/>
                <w:sz w:val="18"/>
                <w:szCs w:val="18"/>
              </w:rPr>
              <w:t>Profit for the year</w:t>
            </w:r>
            <w:bookmarkEnd w:id="250"/>
          </w:p>
        </w:tc>
        <w:tc>
          <w:tcPr>
            <w:tcW w:w="572" w:type="pct"/>
            <w:tcBorders>
              <w:top w:val="nil"/>
              <w:left w:val="nil"/>
              <w:bottom w:val="nil"/>
              <w:right w:val="nil"/>
            </w:tcBorders>
            <w:shd w:val="clear" w:color="auto" w:fill="auto"/>
            <w:vAlign w:val="bottom"/>
          </w:tcPr>
          <w:p w14:paraId="0D60CC15" w14:textId="77777777" w:rsidR="00587444" w:rsidRPr="00587444" w:rsidRDefault="00587444" w:rsidP="00587444">
            <w:pPr>
              <w:tabs>
                <w:tab w:val="right" w:pos="1202"/>
              </w:tabs>
              <w:suppressAutoHyphens w:val="0"/>
              <w:autoSpaceDN/>
              <w:jc w:val="right"/>
              <w:outlineLvl w:val="0"/>
              <w:rPr>
                <w:rFonts w:ascii="Arial" w:hAnsi="Arial" w:cs="Arial"/>
                <w:sz w:val="18"/>
                <w:szCs w:val="18"/>
              </w:rPr>
            </w:pPr>
            <w:r w:rsidRPr="00587444">
              <w:rPr>
                <w:rFonts w:ascii="Arial" w:hAnsi="Arial" w:cs="Arial"/>
                <w:color w:val="000000"/>
                <w:sz w:val="18"/>
                <w:szCs w:val="18"/>
              </w:rPr>
              <w:t xml:space="preserve">- </w:t>
            </w:r>
          </w:p>
        </w:tc>
        <w:tc>
          <w:tcPr>
            <w:tcW w:w="572" w:type="pct"/>
            <w:tcBorders>
              <w:top w:val="nil"/>
              <w:left w:val="nil"/>
              <w:bottom w:val="nil"/>
              <w:right w:val="nil"/>
            </w:tcBorders>
            <w:shd w:val="clear" w:color="auto" w:fill="auto"/>
            <w:vAlign w:val="bottom"/>
          </w:tcPr>
          <w:p w14:paraId="558205D0" w14:textId="77777777" w:rsidR="00587444" w:rsidRPr="00587444" w:rsidRDefault="00587444" w:rsidP="00587444">
            <w:pPr>
              <w:tabs>
                <w:tab w:val="right" w:pos="1202"/>
              </w:tabs>
              <w:suppressAutoHyphens w:val="0"/>
              <w:autoSpaceDN/>
              <w:jc w:val="right"/>
              <w:outlineLvl w:val="0"/>
              <w:rPr>
                <w:rFonts w:ascii="Arial" w:hAnsi="Arial" w:cs="Arial"/>
                <w:sz w:val="18"/>
                <w:szCs w:val="18"/>
              </w:rPr>
            </w:pPr>
            <w:r w:rsidRPr="00587444">
              <w:rPr>
                <w:rFonts w:ascii="Arial" w:hAnsi="Arial" w:cs="Arial"/>
                <w:color w:val="000000"/>
                <w:sz w:val="18"/>
                <w:szCs w:val="18"/>
              </w:rPr>
              <w:t xml:space="preserve">- </w:t>
            </w:r>
          </w:p>
        </w:tc>
        <w:tc>
          <w:tcPr>
            <w:tcW w:w="572" w:type="pct"/>
            <w:tcBorders>
              <w:top w:val="nil"/>
              <w:left w:val="nil"/>
              <w:bottom w:val="nil"/>
              <w:right w:val="nil"/>
            </w:tcBorders>
            <w:shd w:val="clear" w:color="auto" w:fill="auto"/>
            <w:vAlign w:val="bottom"/>
          </w:tcPr>
          <w:p w14:paraId="7825E1A3" w14:textId="77777777" w:rsidR="00587444" w:rsidRPr="00587444" w:rsidRDefault="00587444" w:rsidP="00587444">
            <w:pPr>
              <w:tabs>
                <w:tab w:val="right" w:pos="1202"/>
              </w:tabs>
              <w:suppressAutoHyphens w:val="0"/>
              <w:autoSpaceDN/>
              <w:jc w:val="right"/>
              <w:outlineLvl w:val="0"/>
              <w:rPr>
                <w:rFonts w:ascii="Arial" w:hAnsi="Arial" w:cs="Arial"/>
                <w:sz w:val="18"/>
                <w:szCs w:val="18"/>
              </w:rPr>
            </w:pPr>
            <w:r w:rsidRPr="00587444">
              <w:rPr>
                <w:rFonts w:ascii="Arial" w:hAnsi="Arial" w:cs="Arial"/>
                <w:color w:val="000000"/>
                <w:sz w:val="18"/>
                <w:szCs w:val="18"/>
              </w:rPr>
              <w:t xml:space="preserve"> - </w:t>
            </w:r>
          </w:p>
        </w:tc>
        <w:tc>
          <w:tcPr>
            <w:tcW w:w="572" w:type="pct"/>
            <w:tcBorders>
              <w:top w:val="nil"/>
              <w:left w:val="nil"/>
              <w:bottom w:val="nil"/>
              <w:right w:val="nil"/>
            </w:tcBorders>
            <w:shd w:val="clear" w:color="auto" w:fill="auto"/>
            <w:vAlign w:val="bottom"/>
          </w:tcPr>
          <w:p w14:paraId="604E2BB0" w14:textId="77777777" w:rsidR="00587444" w:rsidRPr="00587444" w:rsidRDefault="00587444" w:rsidP="00587444">
            <w:pPr>
              <w:tabs>
                <w:tab w:val="right" w:pos="1202"/>
              </w:tabs>
              <w:suppressAutoHyphens w:val="0"/>
              <w:autoSpaceDN/>
              <w:jc w:val="right"/>
              <w:outlineLvl w:val="0"/>
              <w:rPr>
                <w:rFonts w:ascii="Arial" w:hAnsi="Arial" w:cs="Arial"/>
                <w:sz w:val="18"/>
                <w:szCs w:val="18"/>
              </w:rPr>
            </w:pPr>
            <w:r w:rsidRPr="00587444">
              <w:rPr>
                <w:rFonts w:ascii="Arial" w:hAnsi="Arial" w:cs="Arial"/>
                <w:color w:val="000000"/>
                <w:sz w:val="18"/>
                <w:szCs w:val="18"/>
              </w:rPr>
              <w:t xml:space="preserve">188,185 </w:t>
            </w:r>
          </w:p>
        </w:tc>
        <w:tc>
          <w:tcPr>
            <w:tcW w:w="572" w:type="pct"/>
            <w:tcBorders>
              <w:top w:val="nil"/>
              <w:left w:val="nil"/>
              <w:bottom w:val="nil"/>
              <w:right w:val="nil"/>
            </w:tcBorders>
            <w:shd w:val="clear" w:color="auto" w:fill="auto"/>
            <w:vAlign w:val="bottom"/>
          </w:tcPr>
          <w:p w14:paraId="31EEFA58" w14:textId="77777777" w:rsidR="00587444" w:rsidRPr="00587444" w:rsidRDefault="00587444" w:rsidP="00587444">
            <w:pPr>
              <w:tabs>
                <w:tab w:val="right" w:pos="1202"/>
              </w:tabs>
              <w:suppressAutoHyphens w:val="0"/>
              <w:autoSpaceDN/>
              <w:jc w:val="right"/>
              <w:outlineLvl w:val="0"/>
              <w:rPr>
                <w:rFonts w:ascii="Arial" w:hAnsi="Arial" w:cs="Arial"/>
                <w:sz w:val="18"/>
                <w:szCs w:val="18"/>
              </w:rPr>
            </w:pPr>
            <w:r w:rsidRPr="00587444">
              <w:rPr>
                <w:rFonts w:ascii="Arial" w:hAnsi="Arial" w:cs="Arial"/>
                <w:color w:val="000000"/>
                <w:sz w:val="18"/>
                <w:szCs w:val="18"/>
              </w:rPr>
              <w:t xml:space="preserve">- </w:t>
            </w:r>
          </w:p>
        </w:tc>
        <w:tc>
          <w:tcPr>
            <w:tcW w:w="597" w:type="pct"/>
            <w:tcBorders>
              <w:top w:val="nil"/>
              <w:left w:val="nil"/>
              <w:bottom w:val="nil"/>
              <w:right w:val="nil"/>
            </w:tcBorders>
            <w:shd w:val="clear" w:color="auto" w:fill="auto"/>
            <w:vAlign w:val="bottom"/>
          </w:tcPr>
          <w:p w14:paraId="3806E207"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r w:rsidRPr="00587444">
              <w:rPr>
                <w:rFonts w:ascii="Arial" w:hAnsi="Arial" w:cs="Arial"/>
                <w:b/>
                <w:bCs/>
                <w:color w:val="000000"/>
                <w:sz w:val="18"/>
                <w:szCs w:val="18"/>
              </w:rPr>
              <w:t xml:space="preserve">188,185 </w:t>
            </w:r>
          </w:p>
        </w:tc>
      </w:tr>
      <w:tr w:rsidR="00587444" w:rsidRPr="00587444" w14:paraId="2062DC5C" w14:textId="77777777" w:rsidTr="00DD69E7">
        <w:trPr>
          <w:trHeight w:val="295"/>
        </w:trPr>
        <w:tc>
          <w:tcPr>
            <w:tcW w:w="1543" w:type="pct"/>
            <w:vAlign w:val="bottom"/>
          </w:tcPr>
          <w:p w14:paraId="2EC44A54" w14:textId="77777777" w:rsidR="00587444" w:rsidRPr="00587444" w:rsidRDefault="00587444" w:rsidP="00587444">
            <w:pPr>
              <w:tabs>
                <w:tab w:val="right" w:pos="1202"/>
              </w:tabs>
              <w:suppressAutoHyphens w:val="0"/>
              <w:autoSpaceDN/>
              <w:outlineLvl w:val="0"/>
              <w:rPr>
                <w:rFonts w:ascii="Arial" w:hAnsi="Arial" w:cs="Arial"/>
                <w:iCs/>
                <w:sz w:val="18"/>
                <w:szCs w:val="18"/>
              </w:rPr>
            </w:pPr>
            <w:bookmarkStart w:id="251" w:name="_Toc4057128"/>
            <w:r w:rsidRPr="00587444">
              <w:rPr>
                <w:rFonts w:ascii="Arial" w:hAnsi="Arial" w:cs="Arial"/>
                <w:iCs/>
                <w:sz w:val="18"/>
                <w:szCs w:val="18"/>
              </w:rPr>
              <w:t>Other comprehensive income</w:t>
            </w:r>
            <w:bookmarkEnd w:id="251"/>
          </w:p>
        </w:tc>
        <w:tc>
          <w:tcPr>
            <w:tcW w:w="572" w:type="pct"/>
            <w:tcBorders>
              <w:bottom w:val="single" w:sz="4" w:space="0" w:color="auto"/>
            </w:tcBorders>
            <w:shd w:val="clear" w:color="auto" w:fill="auto"/>
            <w:vAlign w:val="bottom"/>
          </w:tcPr>
          <w:p w14:paraId="3B643F79" w14:textId="77777777" w:rsidR="00587444" w:rsidRPr="00587444" w:rsidRDefault="00587444" w:rsidP="00587444">
            <w:pPr>
              <w:tabs>
                <w:tab w:val="right" w:pos="1202"/>
              </w:tabs>
              <w:suppressAutoHyphens w:val="0"/>
              <w:autoSpaceDN/>
              <w:jc w:val="right"/>
              <w:outlineLvl w:val="0"/>
              <w:rPr>
                <w:rFonts w:ascii="Arial" w:hAnsi="Arial" w:cs="Arial"/>
                <w:iCs/>
                <w:sz w:val="18"/>
                <w:szCs w:val="18"/>
              </w:rPr>
            </w:pPr>
            <w:r w:rsidRPr="00587444">
              <w:rPr>
                <w:rFonts w:ascii="Arial" w:hAnsi="Arial" w:cs="Arial"/>
                <w:bCs/>
                <w:iCs/>
                <w:color w:val="000000"/>
                <w:sz w:val="18"/>
                <w:szCs w:val="18"/>
                <w:lang w:val="hr-HR"/>
              </w:rPr>
              <w:t>-</w:t>
            </w:r>
          </w:p>
        </w:tc>
        <w:tc>
          <w:tcPr>
            <w:tcW w:w="572" w:type="pct"/>
            <w:tcBorders>
              <w:bottom w:val="single" w:sz="4" w:space="0" w:color="auto"/>
            </w:tcBorders>
            <w:shd w:val="clear" w:color="auto" w:fill="auto"/>
            <w:vAlign w:val="bottom"/>
          </w:tcPr>
          <w:p w14:paraId="0FE3DF53" w14:textId="77777777" w:rsidR="00587444" w:rsidRPr="00587444" w:rsidRDefault="00587444" w:rsidP="00587444">
            <w:pPr>
              <w:tabs>
                <w:tab w:val="right" w:pos="1202"/>
              </w:tabs>
              <w:suppressAutoHyphens w:val="0"/>
              <w:autoSpaceDN/>
              <w:jc w:val="right"/>
              <w:outlineLvl w:val="0"/>
              <w:rPr>
                <w:rFonts w:ascii="Arial" w:hAnsi="Arial" w:cs="Arial"/>
                <w:iCs/>
                <w:sz w:val="18"/>
                <w:szCs w:val="18"/>
              </w:rPr>
            </w:pPr>
            <w:r w:rsidRPr="00587444">
              <w:rPr>
                <w:rFonts w:ascii="Arial" w:hAnsi="Arial" w:cs="Arial"/>
                <w:bCs/>
                <w:iCs/>
                <w:color w:val="000000"/>
                <w:sz w:val="18"/>
                <w:szCs w:val="18"/>
                <w:lang w:val="hr-HR"/>
              </w:rPr>
              <w:t>-</w:t>
            </w:r>
          </w:p>
        </w:tc>
        <w:tc>
          <w:tcPr>
            <w:tcW w:w="572" w:type="pct"/>
            <w:tcBorders>
              <w:bottom w:val="single" w:sz="4" w:space="0" w:color="auto"/>
            </w:tcBorders>
            <w:shd w:val="clear" w:color="auto" w:fill="auto"/>
            <w:vAlign w:val="bottom"/>
          </w:tcPr>
          <w:p w14:paraId="33FB28E1" w14:textId="77777777" w:rsidR="00587444" w:rsidRPr="00587444" w:rsidRDefault="00587444" w:rsidP="00587444">
            <w:pPr>
              <w:tabs>
                <w:tab w:val="right" w:pos="1202"/>
              </w:tabs>
              <w:suppressAutoHyphens w:val="0"/>
              <w:autoSpaceDN/>
              <w:jc w:val="right"/>
              <w:outlineLvl w:val="0"/>
              <w:rPr>
                <w:rFonts w:ascii="Arial" w:hAnsi="Arial" w:cs="Arial"/>
                <w:iCs/>
                <w:sz w:val="18"/>
                <w:szCs w:val="18"/>
              </w:rPr>
            </w:pPr>
            <w:r w:rsidRPr="00587444">
              <w:rPr>
                <w:rFonts w:ascii="Arial" w:hAnsi="Arial" w:cs="Arial"/>
                <w:bCs/>
                <w:iCs/>
                <w:color w:val="000000"/>
                <w:sz w:val="18"/>
                <w:szCs w:val="18"/>
                <w:lang w:val="hr-HR"/>
              </w:rPr>
              <w:t>(25,133)</w:t>
            </w:r>
          </w:p>
        </w:tc>
        <w:tc>
          <w:tcPr>
            <w:tcW w:w="572" w:type="pct"/>
            <w:tcBorders>
              <w:bottom w:val="single" w:sz="4" w:space="0" w:color="auto"/>
            </w:tcBorders>
            <w:shd w:val="clear" w:color="auto" w:fill="auto"/>
            <w:vAlign w:val="bottom"/>
          </w:tcPr>
          <w:p w14:paraId="455BFC48" w14:textId="77777777" w:rsidR="00587444" w:rsidRPr="00587444" w:rsidRDefault="00587444" w:rsidP="00587444">
            <w:pPr>
              <w:tabs>
                <w:tab w:val="right" w:pos="1202"/>
              </w:tabs>
              <w:suppressAutoHyphens w:val="0"/>
              <w:autoSpaceDN/>
              <w:jc w:val="right"/>
              <w:outlineLvl w:val="0"/>
              <w:rPr>
                <w:rFonts w:ascii="Arial" w:hAnsi="Arial" w:cs="Arial"/>
                <w:iCs/>
                <w:sz w:val="18"/>
                <w:szCs w:val="18"/>
              </w:rPr>
            </w:pPr>
            <w:r w:rsidRPr="00587444">
              <w:rPr>
                <w:rFonts w:ascii="Arial" w:hAnsi="Arial" w:cs="Arial"/>
                <w:bCs/>
                <w:iCs/>
                <w:color w:val="000000"/>
                <w:sz w:val="18"/>
                <w:szCs w:val="18"/>
                <w:lang w:val="hr-HR"/>
              </w:rPr>
              <w:t>-</w:t>
            </w:r>
          </w:p>
        </w:tc>
        <w:tc>
          <w:tcPr>
            <w:tcW w:w="572" w:type="pct"/>
            <w:tcBorders>
              <w:bottom w:val="single" w:sz="4" w:space="0" w:color="auto"/>
            </w:tcBorders>
            <w:vAlign w:val="bottom"/>
          </w:tcPr>
          <w:p w14:paraId="74EA2700" w14:textId="77777777" w:rsidR="00587444" w:rsidRPr="00587444" w:rsidRDefault="00587444" w:rsidP="00587444">
            <w:pPr>
              <w:tabs>
                <w:tab w:val="right" w:pos="1202"/>
              </w:tabs>
              <w:suppressAutoHyphens w:val="0"/>
              <w:autoSpaceDN/>
              <w:jc w:val="right"/>
              <w:outlineLvl w:val="0"/>
              <w:rPr>
                <w:rFonts w:ascii="Arial" w:hAnsi="Arial" w:cs="Arial"/>
                <w:sz w:val="18"/>
                <w:szCs w:val="18"/>
              </w:rPr>
            </w:pPr>
            <w:r w:rsidRPr="00587444">
              <w:rPr>
                <w:rFonts w:ascii="Arial" w:hAnsi="Arial" w:cs="Arial"/>
                <w:bCs/>
                <w:iCs/>
                <w:color w:val="000000"/>
                <w:sz w:val="18"/>
                <w:szCs w:val="18"/>
                <w:lang w:val="hr-HR"/>
              </w:rPr>
              <w:t>-</w:t>
            </w:r>
          </w:p>
        </w:tc>
        <w:tc>
          <w:tcPr>
            <w:tcW w:w="597" w:type="pct"/>
            <w:tcBorders>
              <w:bottom w:val="single" w:sz="4" w:space="0" w:color="auto"/>
            </w:tcBorders>
            <w:shd w:val="clear" w:color="auto" w:fill="auto"/>
            <w:vAlign w:val="bottom"/>
          </w:tcPr>
          <w:p w14:paraId="55E72AD4"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r w:rsidRPr="00587444">
              <w:rPr>
                <w:rFonts w:ascii="Arial" w:hAnsi="Arial" w:cs="Arial"/>
                <w:b/>
                <w:iCs/>
                <w:color w:val="000000"/>
                <w:sz w:val="18"/>
                <w:szCs w:val="18"/>
                <w:lang w:val="hr-HR"/>
              </w:rPr>
              <w:t>(25,133)</w:t>
            </w:r>
          </w:p>
        </w:tc>
      </w:tr>
      <w:tr w:rsidR="00587444" w:rsidRPr="00587444" w14:paraId="3552FA28" w14:textId="77777777" w:rsidTr="00DD69E7">
        <w:trPr>
          <w:trHeight w:hRule="exact" w:val="332"/>
        </w:trPr>
        <w:tc>
          <w:tcPr>
            <w:tcW w:w="1543" w:type="pct"/>
            <w:vAlign w:val="bottom"/>
          </w:tcPr>
          <w:p w14:paraId="0BAC8AFE" w14:textId="77777777" w:rsidR="00587444" w:rsidRPr="00587444" w:rsidRDefault="00587444" w:rsidP="00587444">
            <w:pPr>
              <w:tabs>
                <w:tab w:val="right" w:pos="1202"/>
              </w:tabs>
              <w:suppressAutoHyphens w:val="0"/>
              <w:autoSpaceDN/>
              <w:outlineLvl w:val="0"/>
              <w:rPr>
                <w:rFonts w:ascii="Arial" w:hAnsi="Arial" w:cs="Arial"/>
                <w:iCs/>
                <w:sz w:val="18"/>
                <w:szCs w:val="18"/>
              </w:rPr>
            </w:pPr>
            <w:bookmarkStart w:id="252" w:name="_Toc4057134"/>
            <w:r w:rsidRPr="00587444">
              <w:rPr>
                <w:rFonts w:ascii="Arial" w:hAnsi="Arial" w:cs="Arial"/>
                <w:iCs/>
                <w:sz w:val="18"/>
                <w:szCs w:val="18"/>
              </w:rPr>
              <w:t>Total comprehensive income</w:t>
            </w:r>
            <w:bookmarkEnd w:id="252"/>
          </w:p>
        </w:tc>
        <w:tc>
          <w:tcPr>
            <w:tcW w:w="572" w:type="pct"/>
            <w:tcBorders>
              <w:top w:val="nil"/>
              <w:left w:val="nil"/>
              <w:bottom w:val="single" w:sz="4" w:space="0" w:color="auto"/>
              <w:right w:val="nil"/>
            </w:tcBorders>
            <w:shd w:val="clear" w:color="auto" w:fill="auto"/>
            <w:vAlign w:val="bottom"/>
          </w:tcPr>
          <w:p w14:paraId="755CF661" w14:textId="77777777" w:rsidR="00587444" w:rsidRPr="00587444" w:rsidRDefault="00587444" w:rsidP="00587444">
            <w:pPr>
              <w:tabs>
                <w:tab w:val="right" w:pos="1202"/>
              </w:tabs>
              <w:suppressAutoHyphens w:val="0"/>
              <w:autoSpaceDN/>
              <w:jc w:val="right"/>
              <w:outlineLvl w:val="0"/>
              <w:rPr>
                <w:rFonts w:ascii="Arial" w:hAnsi="Arial" w:cs="Arial"/>
                <w:iCs/>
                <w:sz w:val="18"/>
                <w:szCs w:val="18"/>
              </w:rPr>
            </w:pPr>
            <w:r w:rsidRPr="00587444">
              <w:rPr>
                <w:rFonts w:ascii="Arial" w:hAnsi="Arial" w:cs="Arial"/>
                <w:b/>
                <w:iCs/>
                <w:color w:val="000000"/>
                <w:sz w:val="18"/>
                <w:szCs w:val="18"/>
                <w:lang w:val="hr-HR"/>
              </w:rPr>
              <w:t xml:space="preserve"> - </w:t>
            </w:r>
          </w:p>
        </w:tc>
        <w:tc>
          <w:tcPr>
            <w:tcW w:w="572" w:type="pct"/>
            <w:tcBorders>
              <w:top w:val="nil"/>
              <w:left w:val="nil"/>
              <w:bottom w:val="single" w:sz="4" w:space="0" w:color="auto"/>
              <w:right w:val="nil"/>
            </w:tcBorders>
            <w:shd w:val="clear" w:color="auto" w:fill="auto"/>
            <w:vAlign w:val="bottom"/>
          </w:tcPr>
          <w:p w14:paraId="0A64EBB7" w14:textId="77777777" w:rsidR="00587444" w:rsidRPr="00587444" w:rsidRDefault="00587444" w:rsidP="00587444">
            <w:pPr>
              <w:tabs>
                <w:tab w:val="right" w:pos="1202"/>
              </w:tabs>
              <w:suppressAutoHyphens w:val="0"/>
              <w:autoSpaceDN/>
              <w:jc w:val="right"/>
              <w:outlineLvl w:val="0"/>
              <w:rPr>
                <w:rFonts w:ascii="Arial" w:hAnsi="Arial" w:cs="Arial"/>
                <w:iCs/>
                <w:sz w:val="18"/>
                <w:szCs w:val="18"/>
              </w:rPr>
            </w:pPr>
            <w:r w:rsidRPr="00587444">
              <w:rPr>
                <w:rFonts w:ascii="Arial" w:hAnsi="Arial" w:cs="Arial"/>
                <w:b/>
                <w:iCs/>
                <w:color w:val="000000"/>
                <w:sz w:val="18"/>
                <w:szCs w:val="18"/>
                <w:lang w:val="hr-HR"/>
              </w:rPr>
              <w:t xml:space="preserve"> - </w:t>
            </w:r>
          </w:p>
        </w:tc>
        <w:tc>
          <w:tcPr>
            <w:tcW w:w="572" w:type="pct"/>
            <w:tcBorders>
              <w:top w:val="nil"/>
              <w:left w:val="nil"/>
              <w:bottom w:val="single" w:sz="4" w:space="0" w:color="auto"/>
              <w:right w:val="nil"/>
            </w:tcBorders>
            <w:shd w:val="clear" w:color="auto" w:fill="auto"/>
            <w:vAlign w:val="bottom"/>
          </w:tcPr>
          <w:p w14:paraId="5CB3845A" w14:textId="77777777" w:rsidR="00587444" w:rsidRPr="00587444" w:rsidRDefault="00587444" w:rsidP="00587444">
            <w:pPr>
              <w:tabs>
                <w:tab w:val="right" w:pos="1202"/>
              </w:tabs>
              <w:suppressAutoHyphens w:val="0"/>
              <w:autoSpaceDN/>
              <w:jc w:val="right"/>
              <w:outlineLvl w:val="0"/>
              <w:rPr>
                <w:rFonts w:ascii="Arial" w:hAnsi="Arial" w:cs="Arial"/>
                <w:iCs/>
                <w:sz w:val="18"/>
                <w:szCs w:val="18"/>
              </w:rPr>
            </w:pPr>
            <w:r w:rsidRPr="00587444">
              <w:rPr>
                <w:rFonts w:ascii="Arial" w:hAnsi="Arial" w:cs="Arial"/>
                <w:b/>
                <w:iCs/>
                <w:color w:val="000000"/>
                <w:sz w:val="18"/>
                <w:szCs w:val="18"/>
                <w:lang w:val="hr-HR"/>
              </w:rPr>
              <w:t xml:space="preserve"> (25,133)</w:t>
            </w:r>
          </w:p>
        </w:tc>
        <w:tc>
          <w:tcPr>
            <w:tcW w:w="572" w:type="pct"/>
            <w:tcBorders>
              <w:top w:val="nil"/>
              <w:left w:val="nil"/>
              <w:bottom w:val="single" w:sz="4" w:space="0" w:color="auto"/>
              <w:right w:val="nil"/>
            </w:tcBorders>
            <w:shd w:val="clear" w:color="auto" w:fill="auto"/>
            <w:vAlign w:val="bottom"/>
          </w:tcPr>
          <w:p w14:paraId="6DE9455D" w14:textId="77777777" w:rsidR="00587444" w:rsidRPr="00587444" w:rsidRDefault="00587444" w:rsidP="00587444">
            <w:pPr>
              <w:tabs>
                <w:tab w:val="right" w:pos="1202"/>
              </w:tabs>
              <w:suppressAutoHyphens w:val="0"/>
              <w:autoSpaceDN/>
              <w:jc w:val="right"/>
              <w:outlineLvl w:val="0"/>
              <w:rPr>
                <w:rFonts w:ascii="Arial" w:hAnsi="Arial" w:cs="Arial"/>
                <w:iCs/>
                <w:sz w:val="18"/>
                <w:szCs w:val="18"/>
              </w:rPr>
            </w:pPr>
            <w:r w:rsidRPr="00587444">
              <w:rPr>
                <w:rFonts w:ascii="Arial" w:hAnsi="Arial" w:cs="Arial"/>
                <w:b/>
                <w:iCs/>
                <w:color w:val="000000"/>
                <w:sz w:val="18"/>
                <w:szCs w:val="18"/>
                <w:lang w:val="hr-HR"/>
              </w:rPr>
              <w:t xml:space="preserve"> 188,185 </w:t>
            </w:r>
          </w:p>
        </w:tc>
        <w:tc>
          <w:tcPr>
            <w:tcW w:w="572" w:type="pct"/>
            <w:tcBorders>
              <w:top w:val="nil"/>
              <w:left w:val="nil"/>
              <w:bottom w:val="single" w:sz="4" w:space="0" w:color="auto"/>
              <w:right w:val="nil"/>
            </w:tcBorders>
            <w:shd w:val="clear" w:color="auto" w:fill="auto"/>
            <w:vAlign w:val="bottom"/>
          </w:tcPr>
          <w:p w14:paraId="2916E45E" w14:textId="77777777" w:rsidR="00587444" w:rsidRPr="00587444" w:rsidRDefault="00587444" w:rsidP="00587444">
            <w:pPr>
              <w:tabs>
                <w:tab w:val="right" w:pos="1202"/>
              </w:tabs>
              <w:suppressAutoHyphens w:val="0"/>
              <w:autoSpaceDN/>
              <w:jc w:val="right"/>
              <w:outlineLvl w:val="0"/>
              <w:rPr>
                <w:rFonts w:ascii="Arial" w:hAnsi="Arial" w:cs="Arial"/>
                <w:iCs/>
                <w:sz w:val="18"/>
                <w:szCs w:val="18"/>
              </w:rPr>
            </w:pPr>
            <w:r w:rsidRPr="00587444">
              <w:rPr>
                <w:rFonts w:ascii="Arial" w:hAnsi="Arial" w:cs="Arial"/>
                <w:b/>
                <w:iCs/>
                <w:color w:val="000000"/>
                <w:sz w:val="18"/>
                <w:szCs w:val="18"/>
                <w:lang w:val="hr-HR"/>
              </w:rPr>
              <w:t xml:space="preserve"> - </w:t>
            </w:r>
          </w:p>
        </w:tc>
        <w:tc>
          <w:tcPr>
            <w:tcW w:w="597" w:type="pct"/>
            <w:tcBorders>
              <w:top w:val="nil"/>
              <w:left w:val="nil"/>
              <w:bottom w:val="single" w:sz="4" w:space="0" w:color="auto"/>
              <w:right w:val="nil"/>
            </w:tcBorders>
            <w:shd w:val="clear" w:color="auto" w:fill="auto"/>
            <w:vAlign w:val="bottom"/>
          </w:tcPr>
          <w:p w14:paraId="6E43AD0F"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r w:rsidRPr="00587444">
              <w:rPr>
                <w:rFonts w:ascii="Arial" w:hAnsi="Arial" w:cs="Arial"/>
                <w:b/>
                <w:iCs/>
                <w:color w:val="000000"/>
                <w:sz w:val="18"/>
                <w:szCs w:val="18"/>
                <w:lang w:val="hr-HR"/>
              </w:rPr>
              <w:t xml:space="preserve"> 163,052 </w:t>
            </w:r>
          </w:p>
        </w:tc>
      </w:tr>
      <w:tr w:rsidR="00587444" w:rsidRPr="00587444" w14:paraId="2377D5BD" w14:textId="77777777" w:rsidTr="00DD69E7">
        <w:trPr>
          <w:trHeight w:val="493"/>
        </w:trPr>
        <w:tc>
          <w:tcPr>
            <w:tcW w:w="1543" w:type="pct"/>
            <w:vAlign w:val="bottom"/>
          </w:tcPr>
          <w:p w14:paraId="4B53A4FA" w14:textId="77777777" w:rsidR="00587444" w:rsidRPr="00587444" w:rsidRDefault="00587444" w:rsidP="00587444">
            <w:pPr>
              <w:tabs>
                <w:tab w:val="right" w:pos="1202"/>
              </w:tabs>
              <w:suppressAutoHyphens w:val="0"/>
              <w:autoSpaceDN/>
              <w:outlineLvl w:val="0"/>
              <w:rPr>
                <w:rFonts w:ascii="Arial" w:hAnsi="Arial" w:cs="Arial"/>
                <w:iCs/>
                <w:sz w:val="18"/>
                <w:szCs w:val="18"/>
              </w:rPr>
            </w:pPr>
            <w:bookmarkStart w:id="253" w:name="_Toc4057141"/>
            <w:r w:rsidRPr="00587444">
              <w:rPr>
                <w:rFonts w:ascii="Arial" w:hAnsi="Arial" w:cs="Arial"/>
                <w:iCs/>
                <w:sz w:val="18"/>
                <w:szCs w:val="18"/>
              </w:rPr>
              <w:t>Net foreign exchange -</w:t>
            </w:r>
            <w:r w:rsidRPr="00587444">
              <w:rPr>
                <w:rFonts w:ascii="Arial" w:hAnsi="Arial" w:cs="Arial"/>
                <w:sz w:val="18"/>
                <w:szCs w:val="18"/>
              </w:rPr>
              <w:t xml:space="preserve"> </w:t>
            </w:r>
            <w:r w:rsidRPr="00587444">
              <w:rPr>
                <w:rFonts w:ascii="Arial" w:hAnsi="Arial" w:cs="Arial"/>
                <w:iCs/>
                <w:sz w:val="18"/>
                <w:szCs w:val="18"/>
              </w:rPr>
              <w:t>Guarantee fund</w:t>
            </w:r>
            <w:bookmarkEnd w:id="253"/>
          </w:p>
        </w:tc>
        <w:tc>
          <w:tcPr>
            <w:tcW w:w="572" w:type="pct"/>
            <w:tcBorders>
              <w:top w:val="nil"/>
              <w:left w:val="nil"/>
              <w:bottom w:val="nil"/>
              <w:right w:val="nil"/>
            </w:tcBorders>
            <w:shd w:val="clear" w:color="auto" w:fill="auto"/>
            <w:vAlign w:val="bottom"/>
          </w:tcPr>
          <w:p w14:paraId="62ECD97E" w14:textId="77777777" w:rsidR="00587444" w:rsidRPr="00587444" w:rsidRDefault="00587444" w:rsidP="00587444">
            <w:pPr>
              <w:tabs>
                <w:tab w:val="right" w:pos="1202"/>
              </w:tabs>
              <w:suppressAutoHyphens w:val="0"/>
              <w:autoSpaceDN/>
              <w:jc w:val="right"/>
              <w:outlineLvl w:val="0"/>
              <w:rPr>
                <w:rFonts w:ascii="Arial" w:hAnsi="Arial" w:cs="Arial"/>
                <w:iCs/>
                <w:sz w:val="18"/>
                <w:szCs w:val="18"/>
                <w:lang w:val="hr-HR"/>
              </w:rPr>
            </w:pPr>
            <w:r w:rsidRPr="00587444">
              <w:rPr>
                <w:rFonts w:ascii="Arial" w:hAnsi="Arial" w:cs="Arial"/>
                <w:color w:val="000000"/>
                <w:sz w:val="18"/>
                <w:szCs w:val="18"/>
              </w:rPr>
              <w:t xml:space="preserve"> - </w:t>
            </w:r>
          </w:p>
        </w:tc>
        <w:tc>
          <w:tcPr>
            <w:tcW w:w="572" w:type="pct"/>
            <w:tcBorders>
              <w:top w:val="nil"/>
              <w:left w:val="nil"/>
              <w:bottom w:val="nil"/>
              <w:right w:val="nil"/>
            </w:tcBorders>
            <w:shd w:val="clear" w:color="auto" w:fill="auto"/>
            <w:vAlign w:val="bottom"/>
          </w:tcPr>
          <w:p w14:paraId="3360AC56" w14:textId="77777777" w:rsidR="00587444" w:rsidRPr="00587444" w:rsidRDefault="00587444" w:rsidP="00587444">
            <w:pPr>
              <w:tabs>
                <w:tab w:val="right" w:pos="1202"/>
              </w:tabs>
              <w:suppressAutoHyphens w:val="0"/>
              <w:autoSpaceDN/>
              <w:jc w:val="right"/>
              <w:outlineLvl w:val="0"/>
              <w:rPr>
                <w:rFonts w:ascii="Arial" w:hAnsi="Arial" w:cs="Arial"/>
                <w:iCs/>
                <w:sz w:val="18"/>
                <w:szCs w:val="18"/>
                <w:lang w:val="hr-HR"/>
              </w:rPr>
            </w:pPr>
            <w:r w:rsidRPr="00587444">
              <w:rPr>
                <w:rFonts w:ascii="Arial" w:hAnsi="Arial" w:cs="Arial"/>
                <w:color w:val="000000"/>
                <w:sz w:val="18"/>
                <w:szCs w:val="18"/>
              </w:rPr>
              <w:t xml:space="preserve"> - </w:t>
            </w:r>
          </w:p>
        </w:tc>
        <w:tc>
          <w:tcPr>
            <w:tcW w:w="572" w:type="pct"/>
            <w:tcBorders>
              <w:top w:val="nil"/>
              <w:left w:val="nil"/>
              <w:bottom w:val="nil"/>
              <w:right w:val="nil"/>
            </w:tcBorders>
            <w:shd w:val="clear" w:color="auto" w:fill="auto"/>
            <w:vAlign w:val="bottom"/>
          </w:tcPr>
          <w:p w14:paraId="1EC038DC" w14:textId="77777777" w:rsidR="00587444" w:rsidRPr="00587444" w:rsidRDefault="00587444" w:rsidP="00587444">
            <w:pPr>
              <w:tabs>
                <w:tab w:val="right" w:pos="1202"/>
              </w:tabs>
              <w:suppressAutoHyphens w:val="0"/>
              <w:autoSpaceDN/>
              <w:jc w:val="right"/>
              <w:outlineLvl w:val="0"/>
              <w:rPr>
                <w:rFonts w:ascii="Arial" w:hAnsi="Arial" w:cs="Arial"/>
                <w:iCs/>
                <w:sz w:val="18"/>
                <w:szCs w:val="18"/>
              </w:rPr>
            </w:pPr>
            <w:r w:rsidRPr="00587444">
              <w:rPr>
                <w:rFonts w:ascii="Arial" w:hAnsi="Arial" w:cs="Arial"/>
                <w:color w:val="000000"/>
                <w:sz w:val="18"/>
                <w:szCs w:val="18"/>
              </w:rPr>
              <w:t xml:space="preserve"> - </w:t>
            </w:r>
          </w:p>
        </w:tc>
        <w:tc>
          <w:tcPr>
            <w:tcW w:w="572" w:type="pct"/>
            <w:tcBorders>
              <w:top w:val="nil"/>
              <w:left w:val="nil"/>
              <w:bottom w:val="nil"/>
              <w:right w:val="nil"/>
            </w:tcBorders>
            <w:shd w:val="clear" w:color="auto" w:fill="auto"/>
            <w:vAlign w:val="bottom"/>
          </w:tcPr>
          <w:p w14:paraId="4F520CB0" w14:textId="77777777" w:rsidR="00587444" w:rsidRPr="00587444" w:rsidRDefault="00587444" w:rsidP="00587444">
            <w:pPr>
              <w:tabs>
                <w:tab w:val="right" w:pos="1202"/>
              </w:tabs>
              <w:suppressAutoHyphens w:val="0"/>
              <w:autoSpaceDN/>
              <w:jc w:val="right"/>
              <w:outlineLvl w:val="0"/>
              <w:rPr>
                <w:rFonts w:ascii="Arial" w:hAnsi="Arial" w:cs="Arial"/>
                <w:iCs/>
                <w:sz w:val="18"/>
                <w:szCs w:val="18"/>
              </w:rPr>
            </w:pPr>
            <w:r w:rsidRPr="00587444">
              <w:rPr>
                <w:rFonts w:ascii="Arial" w:hAnsi="Arial" w:cs="Arial"/>
                <w:color w:val="000000"/>
                <w:sz w:val="18"/>
                <w:szCs w:val="18"/>
              </w:rPr>
              <w:t xml:space="preserve"> - </w:t>
            </w:r>
          </w:p>
        </w:tc>
        <w:tc>
          <w:tcPr>
            <w:tcW w:w="572" w:type="pct"/>
            <w:tcBorders>
              <w:top w:val="nil"/>
              <w:left w:val="nil"/>
              <w:bottom w:val="nil"/>
              <w:right w:val="nil"/>
            </w:tcBorders>
            <w:shd w:val="clear" w:color="auto" w:fill="auto"/>
            <w:vAlign w:val="bottom"/>
          </w:tcPr>
          <w:p w14:paraId="19BDA1B1" w14:textId="77777777" w:rsidR="00587444" w:rsidRPr="00587444" w:rsidRDefault="00587444" w:rsidP="00587444">
            <w:pPr>
              <w:tabs>
                <w:tab w:val="right" w:pos="1202"/>
              </w:tabs>
              <w:suppressAutoHyphens w:val="0"/>
              <w:autoSpaceDN/>
              <w:jc w:val="right"/>
              <w:outlineLvl w:val="0"/>
              <w:rPr>
                <w:rFonts w:ascii="Arial" w:hAnsi="Arial" w:cs="Arial"/>
                <w:iCs/>
                <w:sz w:val="18"/>
                <w:szCs w:val="18"/>
                <w:lang w:val="hr-HR"/>
              </w:rPr>
            </w:pPr>
            <w:r w:rsidRPr="00587444">
              <w:rPr>
                <w:rFonts w:ascii="Arial" w:hAnsi="Arial" w:cs="Arial"/>
                <w:color w:val="000000"/>
                <w:sz w:val="18"/>
                <w:szCs w:val="18"/>
              </w:rPr>
              <w:t>(32)</w:t>
            </w:r>
          </w:p>
        </w:tc>
        <w:tc>
          <w:tcPr>
            <w:tcW w:w="597" w:type="pct"/>
            <w:tcBorders>
              <w:top w:val="nil"/>
              <w:left w:val="nil"/>
              <w:bottom w:val="nil"/>
              <w:right w:val="nil"/>
            </w:tcBorders>
            <w:shd w:val="clear" w:color="auto" w:fill="auto"/>
            <w:vAlign w:val="bottom"/>
          </w:tcPr>
          <w:p w14:paraId="1AF0D068"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r w:rsidRPr="00587444">
              <w:rPr>
                <w:rFonts w:ascii="Arial" w:hAnsi="Arial" w:cs="Arial"/>
                <w:b/>
                <w:bCs/>
                <w:color w:val="000000"/>
                <w:sz w:val="18"/>
                <w:szCs w:val="18"/>
              </w:rPr>
              <w:t>(32)</w:t>
            </w:r>
          </w:p>
        </w:tc>
      </w:tr>
      <w:tr w:rsidR="00587444" w:rsidRPr="00587444" w14:paraId="689DE66F" w14:textId="77777777" w:rsidTr="00DD69E7">
        <w:trPr>
          <w:trHeight w:val="493"/>
        </w:trPr>
        <w:tc>
          <w:tcPr>
            <w:tcW w:w="1543" w:type="pct"/>
            <w:vAlign w:val="bottom"/>
          </w:tcPr>
          <w:p w14:paraId="474F70BA" w14:textId="77777777" w:rsidR="00587444" w:rsidRPr="00587444" w:rsidRDefault="00587444" w:rsidP="00587444">
            <w:pPr>
              <w:tabs>
                <w:tab w:val="right" w:pos="1202"/>
              </w:tabs>
              <w:suppressAutoHyphens w:val="0"/>
              <w:autoSpaceDN/>
              <w:outlineLvl w:val="0"/>
              <w:rPr>
                <w:rFonts w:ascii="Arial" w:hAnsi="Arial" w:cs="Arial"/>
                <w:iCs/>
                <w:sz w:val="18"/>
                <w:szCs w:val="18"/>
              </w:rPr>
            </w:pPr>
            <w:bookmarkStart w:id="254" w:name="_Toc4057148"/>
            <w:r w:rsidRPr="00587444">
              <w:rPr>
                <w:rFonts w:ascii="Arial" w:hAnsi="Arial" w:cs="Arial"/>
                <w:iCs/>
                <w:sz w:val="18"/>
                <w:szCs w:val="18"/>
              </w:rPr>
              <w:t>Capital paid-in from the State Budget</w:t>
            </w:r>
            <w:bookmarkEnd w:id="254"/>
            <w:r w:rsidRPr="00587444">
              <w:rPr>
                <w:rFonts w:ascii="Arial" w:hAnsi="Arial" w:cs="Arial"/>
                <w:iCs/>
                <w:sz w:val="18"/>
                <w:szCs w:val="18"/>
              </w:rPr>
              <w:t xml:space="preserve">  </w:t>
            </w:r>
          </w:p>
        </w:tc>
        <w:tc>
          <w:tcPr>
            <w:tcW w:w="572" w:type="pct"/>
            <w:tcBorders>
              <w:top w:val="nil"/>
              <w:left w:val="nil"/>
              <w:bottom w:val="nil"/>
              <w:right w:val="nil"/>
            </w:tcBorders>
            <w:shd w:val="clear" w:color="auto" w:fill="auto"/>
            <w:vAlign w:val="bottom"/>
          </w:tcPr>
          <w:p w14:paraId="4DA46AD5"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 xml:space="preserve"> 50,000 </w:t>
            </w:r>
          </w:p>
        </w:tc>
        <w:tc>
          <w:tcPr>
            <w:tcW w:w="572" w:type="pct"/>
            <w:tcBorders>
              <w:top w:val="nil"/>
              <w:left w:val="nil"/>
              <w:bottom w:val="nil"/>
              <w:right w:val="nil"/>
            </w:tcBorders>
            <w:shd w:val="clear" w:color="auto" w:fill="auto"/>
            <w:vAlign w:val="bottom"/>
          </w:tcPr>
          <w:p w14:paraId="37A3505C"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 xml:space="preserve"> - </w:t>
            </w:r>
          </w:p>
        </w:tc>
        <w:tc>
          <w:tcPr>
            <w:tcW w:w="572" w:type="pct"/>
            <w:tcBorders>
              <w:top w:val="nil"/>
              <w:left w:val="nil"/>
              <w:bottom w:val="nil"/>
              <w:right w:val="nil"/>
            </w:tcBorders>
            <w:shd w:val="clear" w:color="auto" w:fill="auto"/>
            <w:vAlign w:val="bottom"/>
          </w:tcPr>
          <w:p w14:paraId="0F4EB13E" w14:textId="77777777" w:rsidR="00587444" w:rsidRPr="00587444" w:rsidRDefault="00587444" w:rsidP="00587444">
            <w:pPr>
              <w:tabs>
                <w:tab w:val="right" w:pos="1202"/>
              </w:tabs>
              <w:suppressAutoHyphens w:val="0"/>
              <w:autoSpaceDN/>
              <w:jc w:val="right"/>
              <w:outlineLvl w:val="0"/>
              <w:rPr>
                <w:rFonts w:ascii="Arial" w:hAnsi="Arial" w:cs="Arial"/>
                <w:iCs/>
                <w:sz w:val="18"/>
                <w:szCs w:val="18"/>
              </w:rPr>
            </w:pPr>
            <w:r w:rsidRPr="00587444">
              <w:rPr>
                <w:rFonts w:ascii="Arial" w:hAnsi="Arial" w:cs="Arial"/>
                <w:color w:val="000000"/>
                <w:sz w:val="18"/>
                <w:szCs w:val="18"/>
              </w:rPr>
              <w:t xml:space="preserve">- </w:t>
            </w:r>
          </w:p>
        </w:tc>
        <w:tc>
          <w:tcPr>
            <w:tcW w:w="572" w:type="pct"/>
            <w:tcBorders>
              <w:top w:val="nil"/>
              <w:left w:val="nil"/>
              <w:bottom w:val="nil"/>
              <w:right w:val="nil"/>
            </w:tcBorders>
            <w:shd w:val="clear" w:color="auto" w:fill="auto"/>
            <w:vAlign w:val="bottom"/>
          </w:tcPr>
          <w:p w14:paraId="58F24681" w14:textId="77777777" w:rsidR="00587444" w:rsidRPr="00587444" w:rsidRDefault="00587444" w:rsidP="00587444">
            <w:pPr>
              <w:tabs>
                <w:tab w:val="right" w:pos="1202"/>
              </w:tabs>
              <w:suppressAutoHyphens w:val="0"/>
              <w:autoSpaceDN/>
              <w:jc w:val="right"/>
              <w:outlineLvl w:val="0"/>
              <w:rPr>
                <w:rFonts w:ascii="Arial" w:hAnsi="Arial" w:cs="Arial"/>
                <w:iCs/>
                <w:sz w:val="18"/>
                <w:szCs w:val="18"/>
              </w:rPr>
            </w:pPr>
            <w:r w:rsidRPr="00587444">
              <w:rPr>
                <w:rFonts w:ascii="Arial" w:hAnsi="Arial" w:cs="Arial"/>
                <w:color w:val="000000"/>
                <w:sz w:val="18"/>
                <w:szCs w:val="18"/>
              </w:rPr>
              <w:t xml:space="preserve"> - </w:t>
            </w:r>
          </w:p>
        </w:tc>
        <w:tc>
          <w:tcPr>
            <w:tcW w:w="572" w:type="pct"/>
            <w:tcBorders>
              <w:top w:val="nil"/>
              <w:left w:val="nil"/>
              <w:bottom w:val="nil"/>
              <w:right w:val="nil"/>
            </w:tcBorders>
            <w:shd w:val="clear" w:color="auto" w:fill="auto"/>
            <w:vAlign w:val="bottom"/>
          </w:tcPr>
          <w:p w14:paraId="6187986E" w14:textId="77777777" w:rsidR="00587444" w:rsidRPr="00587444" w:rsidRDefault="00587444" w:rsidP="00587444">
            <w:pPr>
              <w:tabs>
                <w:tab w:val="right" w:pos="1202"/>
              </w:tabs>
              <w:suppressAutoHyphens w:val="0"/>
              <w:autoSpaceDN/>
              <w:jc w:val="right"/>
              <w:outlineLvl w:val="0"/>
              <w:rPr>
                <w:rFonts w:ascii="Arial" w:hAnsi="Arial" w:cs="Arial"/>
                <w:iCs/>
                <w:sz w:val="18"/>
                <w:szCs w:val="18"/>
              </w:rPr>
            </w:pPr>
            <w:r w:rsidRPr="00587444">
              <w:rPr>
                <w:rFonts w:ascii="Arial" w:hAnsi="Arial" w:cs="Arial"/>
                <w:color w:val="000000"/>
                <w:sz w:val="18"/>
                <w:szCs w:val="18"/>
              </w:rPr>
              <w:t xml:space="preserve"> - </w:t>
            </w:r>
          </w:p>
        </w:tc>
        <w:tc>
          <w:tcPr>
            <w:tcW w:w="597" w:type="pct"/>
            <w:tcBorders>
              <w:top w:val="nil"/>
              <w:left w:val="nil"/>
              <w:bottom w:val="nil"/>
              <w:right w:val="nil"/>
            </w:tcBorders>
            <w:shd w:val="clear" w:color="auto" w:fill="auto"/>
            <w:vAlign w:val="bottom"/>
          </w:tcPr>
          <w:p w14:paraId="29EF9E70"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r w:rsidRPr="00587444">
              <w:rPr>
                <w:rFonts w:ascii="Arial" w:hAnsi="Arial" w:cs="Arial"/>
                <w:b/>
                <w:bCs/>
                <w:color w:val="000000"/>
                <w:sz w:val="18"/>
                <w:szCs w:val="18"/>
              </w:rPr>
              <w:t xml:space="preserve"> 50,000 </w:t>
            </w:r>
          </w:p>
        </w:tc>
      </w:tr>
      <w:tr w:rsidR="00587444" w:rsidRPr="00587444" w14:paraId="13729B51" w14:textId="77777777" w:rsidTr="00DD69E7">
        <w:trPr>
          <w:trHeight w:val="493"/>
        </w:trPr>
        <w:tc>
          <w:tcPr>
            <w:tcW w:w="1543" w:type="pct"/>
            <w:vAlign w:val="bottom"/>
          </w:tcPr>
          <w:p w14:paraId="0C9E0F90" w14:textId="77777777" w:rsidR="00587444" w:rsidRPr="00587444" w:rsidRDefault="00587444" w:rsidP="00587444">
            <w:pPr>
              <w:tabs>
                <w:tab w:val="right" w:pos="1202"/>
              </w:tabs>
              <w:suppressAutoHyphens w:val="0"/>
              <w:autoSpaceDN/>
              <w:outlineLvl w:val="0"/>
              <w:rPr>
                <w:rFonts w:ascii="Arial" w:hAnsi="Arial" w:cs="Arial"/>
                <w:i/>
                <w:iCs/>
                <w:sz w:val="18"/>
                <w:szCs w:val="18"/>
              </w:rPr>
            </w:pPr>
            <w:bookmarkStart w:id="255" w:name="_Toc4057155"/>
            <w:r w:rsidRPr="00587444">
              <w:rPr>
                <w:rFonts w:ascii="Arial" w:hAnsi="Arial" w:cs="Arial"/>
                <w:iCs/>
                <w:sz w:val="18"/>
                <w:szCs w:val="18"/>
              </w:rPr>
              <w:t>Transfer of profit 2020 to retained earnings</w:t>
            </w:r>
            <w:bookmarkEnd w:id="255"/>
            <w:r w:rsidRPr="00587444">
              <w:rPr>
                <w:rFonts w:ascii="Arial" w:hAnsi="Arial" w:cs="Arial"/>
                <w:iCs/>
                <w:sz w:val="18"/>
                <w:szCs w:val="18"/>
              </w:rPr>
              <w:t xml:space="preserve"> </w:t>
            </w:r>
          </w:p>
        </w:tc>
        <w:tc>
          <w:tcPr>
            <w:tcW w:w="572" w:type="pct"/>
            <w:tcBorders>
              <w:top w:val="nil"/>
              <w:left w:val="nil"/>
              <w:bottom w:val="single" w:sz="4" w:space="0" w:color="auto"/>
              <w:right w:val="nil"/>
            </w:tcBorders>
            <w:shd w:val="clear" w:color="auto" w:fill="auto"/>
            <w:vAlign w:val="bottom"/>
          </w:tcPr>
          <w:p w14:paraId="26C7B59F" w14:textId="77777777" w:rsidR="00587444" w:rsidRPr="00587444" w:rsidRDefault="00587444" w:rsidP="00587444">
            <w:pPr>
              <w:tabs>
                <w:tab w:val="right" w:pos="1202"/>
              </w:tabs>
              <w:suppressAutoHyphens w:val="0"/>
              <w:autoSpaceDN/>
              <w:jc w:val="right"/>
              <w:outlineLvl w:val="0"/>
              <w:rPr>
                <w:rFonts w:ascii="Arial" w:hAnsi="Arial" w:cs="Arial"/>
                <w:iCs/>
                <w:sz w:val="18"/>
                <w:szCs w:val="18"/>
              </w:rPr>
            </w:pPr>
            <w:r w:rsidRPr="00587444">
              <w:rPr>
                <w:rFonts w:ascii="Arial" w:hAnsi="Arial" w:cs="Arial"/>
                <w:color w:val="000000"/>
                <w:sz w:val="18"/>
                <w:szCs w:val="18"/>
              </w:rPr>
              <w:t xml:space="preserve"> - </w:t>
            </w:r>
          </w:p>
        </w:tc>
        <w:tc>
          <w:tcPr>
            <w:tcW w:w="572" w:type="pct"/>
            <w:tcBorders>
              <w:top w:val="nil"/>
              <w:left w:val="nil"/>
              <w:bottom w:val="single" w:sz="4" w:space="0" w:color="auto"/>
              <w:right w:val="nil"/>
            </w:tcBorders>
            <w:shd w:val="clear" w:color="auto" w:fill="auto"/>
            <w:vAlign w:val="bottom"/>
          </w:tcPr>
          <w:p w14:paraId="568F51FA" w14:textId="77777777" w:rsidR="00587444" w:rsidRPr="00587444" w:rsidRDefault="00587444" w:rsidP="00587444">
            <w:pPr>
              <w:tabs>
                <w:tab w:val="right" w:pos="1202"/>
              </w:tabs>
              <w:suppressAutoHyphens w:val="0"/>
              <w:autoSpaceDN/>
              <w:jc w:val="right"/>
              <w:outlineLvl w:val="0"/>
              <w:rPr>
                <w:rFonts w:ascii="Arial" w:hAnsi="Arial" w:cs="Arial"/>
                <w:iCs/>
                <w:sz w:val="18"/>
                <w:szCs w:val="18"/>
              </w:rPr>
            </w:pPr>
            <w:r w:rsidRPr="00587444">
              <w:rPr>
                <w:rFonts w:ascii="Arial" w:hAnsi="Arial" w:cs="Arial"/>
                <w:color w:val="000000"/>
                <w:sz w:val="18"/>
                <w:szCs w:val="18"/>
              </w:rPr>
              <w:t xml:space="preserve">81,531 </w:t>
            </w:r>
          </w:p>
        </w:tc>
        <w:tc>
          <w:tcPr>
            <w:tcW w:w="572" w:type="pct"/>
            <w:tcBorders>
              <w:top w:val="nil"/>
              <w:left w:val="nil"/>
              <w:bottom w:val="single" w:sz="4" w:space="0" w:color="auto"/>
              <w:right w:val="nil"/>
            </w:tcBorders>
            <w:shd w:val="clear" w:color="auto" w:fill="auto"/>
            <w:vAlign w:val="bottom"/>
          </w:tcPr>
          <w:p w14:paraId="5348CD05" w14:textId="77777777" w:rsidR="00587444" w:rsidRPr="00587444" w:rsidRDefault="00587444" w:rsidP="00587444">
            <w:pPr>
              <w:tabs>
                <w:tab w:val="right" w:pos="1202"/>
              </w:tabs>
              <w:suppressAutoHyphens w:val="0"/>
              <w:autoSpaceDN/>
              <w:jc w:val="right"/>
              <w:outlineLvl w:val="0"/>
              <w:rPr>
                <w:rFonts w:ascii="Arial" w:hAnsi="Arial" w:cs="Arial"/>
                <w:iCs/>
                <w:sz w:val="18"/>
                <w:szCs w:val="18"/>
              </w:rPr>
            </w:pPr>
            <w:r w:rsidRPr="00587444">
              <w:rPr>
                <w:rFonts w:ascii="Arial" w:hAnsi="Arial" w:cs="Arial"/>
                <w:color w:val="000000"/>
                <w:sz w:val="18"/>
                <w:szCs w:val="18"/>
              </w:rPr>
              <w:t xml:space="preserve"> - </w:t>
            </w:r>
          </w:p>
        </w:tc>
        <w:tc>
          <w:tcPr>
            <w:tcW w:w="572" w:type="pct"/>
            <w:tcBorders>
              <w:top w:val="nil"/>
              <w:left w:val="nil"/>
              <w:bottom w:val="single" w:sz="4" w:space="0" w:color="auto"/>
              <w:right w:val="nil"/>
            </w:tcBorders>
            <w:shd w:val="clear" w:color="auto" w:fill="auto"/>
            <w:vAlign w:val="bottom"/>
          </w:tcPr>
          <w:p w14:paraId="2AEE138E" w14:textId="77777777" w:rsidR="00587444" w:rsidRPr="00587444" w:rsidRDefault="00587444" w:rsidP="00587444">
            <w:pPr>
              <w:tabs>
                <w:tab w:val="right" w:pos="1202"/>
              </w:tabs>
              <w:suppressAutoHyphens w:val="0"/>
              <w:autoSpaceDN/>
              <w:jc w:val="right"/>
              <w:outlineLvl w:val="0"/>
              <w:rPr>
                <w:rFonts w:ascii="Arial" w:hAnsi="Arial" w:cs="Arial"/>
                <w:iCs/>
                <w:sz w:val="18"/>
                <w:szCs w:val="18"/>
              </w:rPr>
            </w:pPr>
            <w:r w:rsidRPr="00587444">
              <w:rPr>
                <w:rFonts w:ascii="Arial" w:hAnsi="Arial" w:cs="Arial"/>
                <w:color w:val="000000"/>
                <w:sz w:val="18"/>
                <w:szCs w:val="18"/>
              </w:rPr>
              <w:t>(81,531)</w:t>
            </w:r>
          </w:p>
        </w:tc>
        <w:tc>
          <w:tcPr>
            <w:tcW w:w="572" w:type="pct"/>
            <w:tcBorders>
              <w:top w:val="nil"/>
              <w:left w:val="nil"/>
              <w:bottom w:val="single" w:sz="4" w:space="0" w:color="auto"/>
              <w:right w:val="nil"/>
            </w:tcBorders>
            <w:shd w:val="clear" w:color="auto" w:fill="auto"/>
            <w:vAlign w:val="bottom"/>
          </w:tcPr>
          <w:p w14:paraId="0A710728" w14:textId="77777777" w:rsidR="00587444" w:rsidRPr="00587444" w:rsidRDefault="00587444" w:rsidP="00587444">
            <w:pPr>
              <w:tabs>
                <w:tab w:val="right" w:pos="1202"/>
              </w:tabs>
              <w:suppressAutoHyphens w:val="0"/>
              <w:autoSpaceDN/>
              <w:jc w:val="right"/>
              <w:outlineLvl w:val="0"/>
              <w:rPr>
                <w:rFonts w:ascii="Arial" w:hAnsi="Arial" w:cs="Arial"/>
                <w:iCs/>
                <w:sz w:val="18"/>
                <w:szCs w:val="18"/>
              </w:rPr>
            </w:pPr>
            <w:r w:rsidRPr="00587444">
              <w:rPr>
                <w:rFonts w:ascii="Arial" w:hAnsi="Arial" w:cs="Arial"/>
                <w:color w:val="000000"/>
                <w:sz w:val="18"/>
                <w:szCs w:val="18"/>
                <w:lang w:val="hr-HR"/>
              </w:rPr>
              <w:t>-</w:t>
            </w:r>
          </w:p>
        </w:tc>
        <w:tc>
          <w:tcPr>
            <w:tcW w:w="597" w:type="pct"/>
            <w:tcBorders>
              <w:top w:val="nil"/>
              <w:left w:val="nil"/>
              <w:bottom w:val="single" w:sz="4" w:space="0" w:color="auto"/>
              <w:right w:val="nil"/>
            </w:tcBorders>
            <w:shd w:val="clear" w:color="auto" w:fill="auto"/>
            <w:vAlign w:val="bottom"/>
          </w:tcPr>
          <w:p w14:paraId="2D2C3178"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r w:rsidRPr="00587444">
              <w:rPr>
                <w:rFonts w:ascii="Arial" w:hAnsi="Arial" w:cs="Arial"/>
                <w:b/>
                <w:bCs/>
                <w:color w:val="000000"/>
                <w:sz w:val="18"/>
                <w:szCs w:val="18"/>
              </w:rPr>
              <w:t xml:space="preserve">- </w:t>
            </w:r>
          </w:p>
        </w:tc>
      </w:tr>
      <w:tr w:rsidR="00587444" w:rsidRPr="00587444" w14:paraId="414E4D70" w14:textId="77777777" w:rsidTr="00DD69E7">
        <w:trPr>
          <w:trHeight w:hRule="exact" w:val="392"/>
        </w:trPr>
        <w:tc>
          <w:tcPr>
            <w:tcW w:w="1543" w:type="pct"/>
            <w:vAlign w:val="bottom"/>
          </w:tcPr>
          <w:p w14:paraId="2EBD3A49" w14:textId="77777777" w:rsidR="00587444" w:rsidRPr="00587444" w:rsidRDefault="00587444" w:rsidP="00587444">
            <w:pPr>
              <w:tabs>
                <w:tab w:val="right" w:pos="1202"/>
              </w:tabs>
              <w:suppressAutoHyphens w:val="0"/>
              <w:autoSpaceDN/>
              <w:spacing w:line="320" w:lineRule="exact"/>
              <w:outlineLvl w:val="0"/>
              <w:rPr>
                <w:rFonts w:ascii="Arial" w:hAnsi="Arial" w:cs="Arial"/>
                <w:b/>
                <w:iCs/>
                <w:sz w:val="18"/>
                <w:szCs w:val="18"/>
              </w:rPr>
            </w:pPr>
            <w:bookmarkStart w:id="256" w:name="_Toc4057162"/>
            <w:r w:rsidRPr="00587444">
              <w:rPr>
                <w:rFonts w:ascii="Arial" w:hAnsi="Arial" w:cs="Arial"/>
                <w:b/>
                <w:iCs/>
                <w:sz w:val="18"/>
                <w:szCs w:val="18"/>
              </w:rPr>
              <w:t xml:space="preserve">Balance as of 31 December </w:t>
            </w:r>
            <w:bookmarkEnd w:id="256"/>
            <w:r w:rsidRPr="00587444">
              <w:rPr>
                <w:rFonts w:ascii="Arial" w:hAnsi="Arial" w:cs="Arial"/>
                <w:b/>
                <w:iCs/>
                <w:sz w:val="18"/>
                <w:szCs w:val="18"/>
              </w:rPr>
              <w:t>2021</w:t>
            </w:r>
          </w:p>
        </w:tc>
        <w:tc>
          <w:tcPr>
            <w:tcW w:w="572" w:type="pct"/>
            <w:tcBorders>
              <w:top w:val="single" w:sz="8" w:space="0" w:color="auto"/>
              <w:left w:val="nil"/>
              <w:bottom w:val="single" w:sz="12" w:space="0" w:color="auto"/>
              <w:right w:val="nil"/>
            </w:tcBorders>
            <w:shd w:val="clear" w:color="auto" w:fill="auto"/>
            <w:vAlign w:val="bottom"/>
          </w:tcPr>
          <w:p w14:paraId="2C71BD6A" w14:textId="77777777" w:rsidR="00587444" w:rsidRPr="00587444" w:rsidRDefault="00587444" w:rsidP="00587444">
            <w:pPr>
              <w:tabs>
                <w:tab w:val="right" w:pos="1202"/>
              </w:tabs>
              <w:suppressAutoHyphens w:val="0"/>
              <w:autoSpaceDN/>
              <w:spacing w:line="320" w:lineRule="exact"/>
              <w:jc w:val="right"/>
              <w:outlineLvl w:val="0"/>
              <w:rPr>
                <w:rFonts w:ascii="Arial" w:hAnsi="Arial" w:cs="Arial"/>
                <w:b/>
                <w:iCs/>
                <w:sz w:val="18"/>
                <w:szCs w:val="18"/>
              </w:rPr>
            </w:pPr>
            <w:r w:rsidRPr="00587444">
              <w:rPr>
                <w:rFonts w:ascii="Arial" w:hAnsi="Arial" w:cs="Arial"/>
                <w:b/>
                <w:bCs/>
                <w:color w:val="000000"/>
                <w:sz w:val="18"/>
                <w:szCs w:val="18"/>
              </w:rPr>
              <w:t xml:space="preserve"> 7,184,632 </w:t>
            </w:r>
          </w:p>
        </w:tc>
        <w:tc>
          <w:tcPr>
            <w:tcW w:w="572" w:type="pct"/>
            <w:tcBorders>
              <w:top w:val="single" w:sz="8" w:space="0" w:color="auto"/>
              <w:left w:val="nil"/>
              <w:bottom w:val="single" w:sz="12" w:space="0" w:color="auto"/>
              <w:right w:val="nil"/>
            </w:tcBorders>
            <w:shd w:val="clear" w:color="auto" w:fill="auto"/>
            <w:vAlign w:val="bottom"/>
          </w:tcPr>
          <w:p w14:paraId="227C5C82" w14:textId="77777777" w:rsidR="00587444" w:rsidRPr="00587444" w:rsidRDefault="00587444" w:rsidP="00587444">
            <w:pPr>
              <w:tabs>
                <w:tab w:val="right" w:pos="1202"/>
              </w:tabs>
              <w:suppressAutoHyphens w:val="0"/>
              <w:autoSpaceDN/>
              <w:spacing w:line="320" w:lineRule="exact"/>
              <w:jc w:val="right"/>
              <w:outlineLvl w:val="0"/>
              <w:rPr>
                <w:rFonts w:ascii="Arial" w:hAnsi="Arial" w:cs="Arial"/>
                <w:b/>
                <w:iCs/>
                <w:sz w:val="18"/>
                <w:szCs w:val="18"/>
              </w:rPr>
            </w:pPr>
            <w:r w:rsidRPr="00587444">
              <w:rPr>
                <w:rFonts w:ascii="Arial" w:hAnsi="Arial" w:cs="Arial"/>
                <w:b/>
                <w:bCs/>
                <w:color w:val="000000"/>
                <w:sz w:val="18"/>
                <w:szCs w:val="18"/>
              </w:rPr>
              <w:t xml:space="preserve"> 3,157,684 </w:t>
            </w:r>
          </w:p>
        </w:tc>
        <w:tc>
          <w:tcPr>
            <w:tcW w:w="572" w:type="pct"/>
            <w:tcBorders>
              <w:top w:val="single" w:sz="8" w:space="0" w:color="auto"/>
              <w:left w:val="nil"/>
              <w:bottom w:val="single" w:sz="12" w:space="0" w:color="auto"/>
              <w:right w:val="nil"/>
            </w:tcBorders>
            <w:shd w:val="clear" w:color="auto" w:fill="auto"/>
            <w:vAlign w:val="bottom"/>
          </w:tcPr>
          <w:p w14:paraId="17F5A844" w14:textId="77777777" w:rsidR="00587444" w:rsidRPr="00587444" w:rsidRDefault="00587444" w:rsidP="00587444">
            <w:pPr>
              <w:tabs>
                <w:tab w:val="right" w:pos="1202"/>
              </w:tabs>
              <w:suppressAutoHyphens w:val="0"/>
              <w:autoSpaceDN/>
              <w:spacing w:line="320" w:lineRule="exact"/>
              <w:jc w:val="right"/>
              <w:outlineLvl w:val="0"/>
              <w:rPr>
                <w:rFonts w:ascii="Arial" w:hAnsi="Arial" w:cs="Arial"/>
                <w:b/>
                <w:iCs/>
                <w:sz w:val="18"/>
                <w:szCs w:val="18"/>
              </w:rPr>
            </w:pPr>
            <w:r w:rsidRPr="00587444">
              <w:rPr>
                <w:rFonts w:ascii="Arial" w:hAnsi="Arial" w:cs="Arial"/>
                <w:b/>
                <w:bCs/>
                <w:color w:val="000000"/>
                <w:sz w:val="18"/>
                <w:szCs w:val="18"/>
              </w:rPr>
              <w:t xml:space="preserve">33,975 </w:t>
            </w:r>
          </w:p>
        </w:tc>
        <w:tc>
          <w:tcPr>
            <w:tcW w:w="572" w:type="pct"/>
            <w:tcBorders>
              <w:top w:val="single" w:sz="8" w:space="0" w:color="auto"/>
              <w:left w:val="nil"/>
              <w:bottom w:val="single" w:sz="12" w:space="0" w:color="auto"/>
              <w:right w:val="nil"/>
            </w:tcBorders>
            <w:shd w:val="clear" w:color="auto" w:fill="auto"/>
            <w:vAlign w:val="bottom"/>
          </w:tcPr>
          <w:p w14:paraId="464505A8" w14:textId="77777777" w:rsidR="00587444" w:rsidRPr="00587444" w:rsidRDefault="00587444" w:rsidP="00587444">
            <w:pPr>
              <w:tabs>
                <w:tab w:val="right" w:pos="1202"/>
              </w:tabs>
              <w:suppressAutoHyphens w:val="0"/>
              <w:autoSpaceDN/>
              <w:spacing w:line="320" w:lineRule="exact"/>
              <w:jc w:val="right"/>
              <w:outlineLvl w:val="0"/>
              <w:rPr>
                <w:rFonts w:ascii="Arial" w:hAnsi="Arial" w:cs="Arial"/>
                <w:b/>
                <w:iCs/>
                <w:sz w:val="18"/>
                <w:szCs w:val="18"/>
              </w:rPr>
            </w:pPr>
            <w:r w:rsidRPr="00587444">
              <w:rPr>
                <w:rFonts w:ascii="Arial" w:hAnsi="Arial" w:cs="Arial"/>
                <w:b/>
                <w:bCs/>
                <w:color w:val="000000"/>
                <w:sz w:val="18"/>
                <w:szCs w:val="18"/>
              </w:rPr>
              <w:t xml:space="preserve">188,185 </w:t>
            </w:r>
          </w:p>
        </w:tc>
        <w:tc>
          <w:tcPr>
            <w:tcW w:w="572" w:type="pct"/>
            <w:tcBorders>
              <w:top w:val="single" w:sz="8" w:space="0" w:color="auto"/>
              <w:left w:val="nil"/>
              <w:bottom w:val="single" w:sz="12" w:space="0" w:color="auto"/>
              <w:right w:val="nil"/>
            </w:tcBorders>
            <w:shd w:val="clear" w:color="auto" w:fill="auto"/>
            <w:vAlign w:val="bottom"/>
          </w:tcPr>
          <w:p w14:paraId="60F6C669" w14:textId="77777777" w:rsidR="00587444" w:rsidRPr="00587444" w:rsidRDefault="00587444" w:rsidP="00587444">
            <w:pPr>
              <w:tabs>
                <w:tab w:val="right" w:pos="1202"/>
              </w:tabs>
              <w:suppressAutoHyphens w:val="0"/>
              <w:autoSpaceDN/>
              <w:spacing w:line="320" w:lineRule="exact"/>
              <w:jc w:val="right"/>
              <w:outlineLvl w:val="0"/>
              <w:rPr>
                <w:rFonts w:ascii="Arial" w:hAnsi="Arial" w:cs="Arial"/>
                <w:b/>
                <w:sz w:val="18"/>
                <w:szCs w:val="18"/>
              </w:rPr>
            </w:pPr>
            <w:r w:rsidRPr="00587444">
              <w:rPr>
                <w:rFonts w:ascii="Arial" w:hAnsi="Arial" w:cs="Arial"/>
                <w:b/>
                <w:bCs/>
                <w:color w:val="000000"/>
                <w:sz w:val="18"/>
                <w:szCs w:val="18"/>
              </w:rPr>
              <w:t xml:space="preserve">12,309 </w:t>
            </w:r>
          </w:p>
        </w:tc>
        <w:tc>
          <w:tcPr>
            <w:tcW w:w="597" w:type="pct"/>
            <w:tcBorders>
              <w:top w:val="single" w:sz="8" w:space="0" w:color="auto"/>
              <w:left w:val="nil"/>
              <w:bottom w:val="single" w:sz="12" w:space="0" w:color="auto"/>
              <w:right w:val="nil"/>
            </w:tcBorders>
            <w:shd w:val="clear" w:color="auto" w:fill="auto"/>
            <w:vAlign w:val="bottom"/>
          </w:tcPr>
          <w:p w14:paraId="762695D0" w14:textId="77777777" w:rsidR="00587444" w:rsidRPr="00587444" w:rsidRDefault="00587444" w:rsidP="00587444">
            <w:pPr>
              <w:tabs>
                <w:tab w:val="right" w:pos="1202"/>
              </w:tabs>
              <w:suppressAutoHyphens w:val="0"/>
              <w:autoSpaceDN/>
              <w:spacing w:line="320" w:lineRule="exact"/>
              <w:jc w:val="right"/>
              <w:outlineLvl w:val="0"/>
              <w:rPr>
                <w:rFonts w:ascii="Arial" w:hAnsi="Arial" w:cs="Arial"/>
                <w:b/>
                <w:iCs/>
                <w:sz w:val="18"/>
                <w:szCs w:val="18"/>
              </w:rPr>
            </w:pPr>
            <w:r w:rsidRPr="00587444">
              <w:rPr>
                <w:rFonts w:ascii="Arial" w:hAnsi="Arial" w:cs="Arial"/>
                <w:b/>
                <w:bCs/>
                <w:color w:val="000000"/>
                <w:sz w:val="18"/>
                <w:szCs w:val="18"/>
              </w:rPr>
              <w:t xml:space="preserve">10,576,785 </w:t>
            </w:r>
          </w:p>
        </w:tc>
      </w:tr>
      <w:tr w:rsidR="00587444" w:rsidRPr="00587444" w14:paraId="694305AE" w14:textId="77777777" w:rsidTr="00DD69E7">
        <w:trPr>
          <w:trHeight w:hRule="exact" w:val="315"/>
        </w:trPr>
        <w:tc>
          <w:tcPr>
            <w:tcW w:w="1543" w:type="pct"/>
            <w:vAlign w:val="bottom"/>
          </w:tcPr>
          <w:p w14:paraId="73FDABB5" w14:textId="77777777" w:rsidR="00587444" w:rsidRPr="00587444" w:rsidRDefault="00587444" w:rsidP="00587444">
            <w:pPr>
              <w:tabs>
                <w:tab w:val="right" w:pos="1202"/>
              </w:tabs>
              <w:suppressAutoHyphens w:val="0"/>
              <w:autoSpaceDN/>
              <w:outlineLvl w:val="0"/>
              <w:rPr>
                <w:rFonts w:ascii="Arial" w:hAnsi="Arial" w:cs="Arial"/>
                <w:iCs/>
                <w:sz w:val="18"/>
                <w:szCs w:val="18"/>
              </w:rPr>
            </w:pPr>
            <w:bookmarkStart w:id="257" w:name="_Toc4057197"/>
            <w:r w:rsidRPr="00587444">
              <w:rPr>
                <w:rFonts w:ascii="Arial" w:hAnsi="Arial" w:cs="Arial"/>
                <w:iCs/>
                <w:sz w:val="18"/>
                <w:szCs w:val="18"/>
              </w:rPr>
              <w:t>Profit for the year</w:t>
            </w:r>
            <w:bookmarkEnd w:id="257"/>
          </w:p>
        </w:tc>
        <w:tc>
          <w:tcPr>
            <w:tcW w:w="572" w:type="pct"/>
            <w:tcBorders>
              <w:top w:val="nil"/>
              <w:left w:val="nil"/>
              <w:bottom w:val="nil"/>
              <w:right w:val="nil"/>
            </w:tcBorders>
            <w:shd w:val="clear" w:color="auto" w:fill="auto"/>
            <w:vAlign w:val="bottom"/>
          </w:tcPr>
          <w:p w14:paraId="65B13FC7"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w:t>
            </w:r>
          </w:p>
        </w:tc>
        <w:tc>
          <w:tcPr>
            <w:tcW w:w="572" w:type="pct"/>
            <w:tcBorders>
              <w:top w:val="nil"/>
              <w:left w:val="nil"/>
              <w:bottom w:val="nil"/>
              <w:right w:val="nil"/>
            </w:tcBorders>
            <w:shd w:val="clear" w:color="auto" w:fill="auto"/>
            <w:vAlign w:val="bottom"/>
          </w:tcPr>
          <w:p w14:paraId="5BE8AD67"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w:t>
            </w:r>
          </w:p>
        </w:tc>
        <w:tc>
          <w:tcPr>
            <w:tcW w:w="572" w:type="pct"/>
            <w:tcBorders>
              <w:top w:val="nil"/>
              <w:left w:val="nil"/>
              <w:bottom w:val="nil"/>
              <w:right w:val="nil"/>
            </w:tcBorders>
            <w:shd w:val="clear" w:color="auto" w:fill="auto"/>
            <w:vAlign w:val="bottom"/>
          </w:tcPr>
          <w:p w14:paraId="085128C8"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w:t>
            </w:r>
          </w:p>
        </w:tc>
        <w:tc>
          <w:tcPr>
            <w:tcW w:w="572" w:type="pct"/>
            <w:tcBorders>
              <w:top w:val="nil"/>
              <w:left w:val="nil"/>
              <w:bottom w:val="nil"/>
              <w:right w:val="nil"/>
            </w:tcBorders>
            <w:shd w:val="clear" w:color="auto" w:fill="auto"/>
            <w:vAlign w:val="bottom"/>
          </w:tcPr>
          <w:p w14:paraId="2C962466"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189,458</w:t>
            </w:r>
          </w:p>
        </w:tc>
        <w:tc>
          <w:tcPr>
            <w:tcW w:w="572" w:type="pct"/>
            <w:tcBorders>
              <w:top w:val="nil"/>
              <w:left w:val="nil"/>
              <w:bottom w:val="nil"/>
              <w:right w:val="nil"/>
            </w:tcBorders>
            <w:shd w:val="clear" w:color="auto" w:fill="auto"/>
            <w:vAlign w:val="bottom"/>
          </w:tcPr>
          <w:p w14:paraId="16FF292F"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w:t>
            </w:r>
          </w:p>
        </w:tc>
        <w:tc>
          <w:tcPr>
            <w:tcW w:w="597" w:type="pct"/>
            <w:tcBorders>
              <w:top w:val="nil"/>
              <w:left w:val="nil"/>
              <w:bottom w:val="nil"/>
              <w:right w:val="nil"/>
            </w:tcBorders>
            <w:shd w:val="clear" w:color="auto" w:fill="auto"/>
            <w:vAlign w:val="bottom"/>
          </w:tcPr>
          <w:p w14:paraId="55DBB887" w14:textId="77777777" w:rsidR="00587444" w:rsidRPr="00587444" w:rsidRDefault="00587444" w:rsidP="00587444">
            <w:pPr>
              <w:tabs>
                <w:tab w:val="right" w:pos="1202"/>
              </w:tabs>
              <w:suppressAutoHyphens w:val="0"/>
              <w:autoSpaceDN/>
              <w:jc w:val="right"/>
              <w:outlineLvl w:val="0"/>
              <w:rPr>
                <w:rFonts w:ascii="Arial" w:hAnsi="Arial" w:cs="Arial"/>
                <w:b/>
                <w:iCs/>
                <w:color w:val="000000"/>
                <w:sz w:val="18"/>
                <w:szCs w:val="18"/>
                <w:lang w:val="hr-HR"/>
              </w:rPr>
            </w:pPr>
            <w:r w:rsidRPr="00587444">
              <w:rPr>
                <w:rFonts w:ascii="Arial" w:hAnsi="Arial" w:cs="Arial"/>
                <w:b/>
                <w:iCs/>
                <w:color w:val="000000"/>
                <w:sz w:val="18"/>
                <w:szCs w:val="18"/>
                <w:lang w:val="hr-HR"/>
              </w:rPr>
              <w:t>189,458</w:t>
            </w:r>
          </w:p>
        </w:tc>
      </w:tr>
      <w:tr w:rsidR="00587444" w:rsidRPr="00587444" w14:paraId="51AF8DA3" w14:textId="77777777" w:rsidTr="00DD69E7">
        <w:trPr>
          <w:trHeight w:hRule="exact" w:val="415"/>
        </w:trPr>
        <w:tc>
          <w:tcPr>
            <w:tcW w:w="1543" w:type="pct"/>
            <w:vAlign w:val="bottom"/>
          </w:tcPr>
          <w:p w14:paraId="4B3DE0F7" w14:textId="77777777" w:rsidR="00587444" w:rsidRPr="00587444" w:rsidRDefault="00587444" w:rsidP="00587444">
            <w:pPr>
              <w:tabs>
                <w:tab w:val="right" w:pos="1202"/>
              </w:tabs>
              <w:suppressAutoHyphens w:val="0"/>
              <w:autoSpaceDN/>
              <w:outlineLvl w:val="0"/>
              <w:rPr>
                <w:rFonts w:ascii="Arial" w:hAnsi="Arial" w:cs="Arial"/>
                <w:iCs/>
                <w:sz w:val="18"/>
                <w:szCs w:val="18"/>
              </w:rPr>
            </w:pPr>
            <w:bookmarkStart w:id="258" w:name="_Toc4057204"/>
            <w:r w:rsidRPr="00587444">
              <w:rPr>
                <w:rFonts w:ascii="Arial" w:hAnsi="Arial" w:cs="Arial"/>
                <w:iCs/>
                <w:sz w:val="18"/>
                <w:szCs w:val="18"/>
              </w:rPr>
              <w:t>Other comprehensive income</w:t>
            </w:r>
            <w:bookmarkEnd w:id="258"/>
          </w:p>
        </w:tc>
        <w:tc>
          <w:tcPr>
            <w:tcW w:w="572" w:type="pct"/>
            <w:tcBorders>
              <w:bottom w:val="single" w:sz="4" w:space="0" w:color="auto"/>
            </w:tcBorders>
            <w:shd w:val="clear" w:color="auto" w:fill="auto"/>
            <w:vAlign w:val="bottom"/>
          </w:tcPr>
          <w:p w14:paraId="1FEC4E22"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w:t>
            </w:r>
          </w:p>
        </w:tc>
        <w:tc>
          <w:tcPr>
            <w:tcW w:w="572" w:type="pct"/>
            <w:tcBorders>
              <w:bottom w:val="single" w:sz="4" w:space="0" w:color="auto"/>
            </w:tcBorders>
            <w:shd w:val="clear" w:color="auto" w:fill="auto"/>
            <w:vAlign w:val="bottom"/>
          </w:tcPr>
          <w:p w14:paraId="477E1F21"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w:t>
            </w:r>
          </w:p>
        </w:tc>
        <w:tc>
          <w:tcPr>
            <w:tcW w:w="572" w:type="pct"/>
            <w:tcBorders>
              <w:bottom w:val="single" w:sz="4" w:space="0" w:color="auto"/>
            </w:tcBorders>
            <w:shd w:val="clear" w:color="auto" w:fill="auto"/>
            <w:vAlign w:val="bottom"/>
          </w:tcPr>
          <w:p w14:paraId="4C7D1858"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(71,245)</w:t>
            </w:r>
          </w:p>
        </w:tc>
        <w:tc>
          <w:tcPr>
            <w:tcW w:w="572" w:type="pct"/>
            <w:tcBorders>
              <w:bottom w:val="single" w:sz="4" w:space="0" w:color="auto"/>
            </w:tcBorders>
            <w:shd w:val="clear" w:color="auto" w:fill="auto"/>
            <w:vAlign w:val="bottom"/>
          </w:tcPr>
          <w:p w14:paraId="761BBC43"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w:t>
            </w:r>
          </w:p>
        </w:tc>
        <w:tc>
          <w:tcPr>
            <w:tcW w:w="572" w:type="pct"/>
            <w:tcBorders>
              <w:bottom w:val="single" w:sz="4" w:space="0" w:color="auto"/>
            </w:tcBorders>
            <w:vAlign w:val="bottom"/>
          </w:tcPr>
          <w:p w14:paraId="21123D72"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w:t>
            </w:r>
          </w:p>
        </w:tc>
        <w:tc>
          <w:tcPr>
            <w:tcW w:w="597" w:type="pct"/>
            <w:tcBorders>
              <w:bottom w:val="single" w:sz="4" w:space="0" w:color="auto"/>
            </w:tcBorders>
            <w:shd w:val="clear" w:color="auto" w:fill="auto"/>
            <w:vAlign w:val="bottom"/>
          </w:tcPr>
          <w:p w14:paraId="53CBEF7E" w14:textId="77777777" w:rsidR="00587444" w:rsidRPr="00587444" w:rsidRDefault="00587444" w:rsidP="00587444">
            <w:pPr>
              <w:tabs>
                <w:tab w:val="right" w:pos="1202"/>
              </w:tabs>
              <w:suppressAutoHyphens w:val="0"/>
              <w:autoSpaceDN/>
              <w:jc w:val="right"/>
              <w:outlineLvl w:val="0"/>
              <w:rPr>
                <w:rFonts w:ascii="Arial" w:hAnsi="Arial" w:cs="Arial"/>
                <w:b/>
                <w:iCs/>
                <w:color w:val="000000"/>
                <w:sz w:val="18"/>
                <w:szCs w:val="18"/>
                <w:lang w:val="hr-HR"/>
              </w:rPr>
            </w:pPr>
            <w:r w:rsidRPr="00587444">
              <w:rPr>
                <w:rFonts w:ascii="Arial" w:hAnsi="Arial" w:cs="Arial"/>
                <w:b/>
                <w:iCs/>
                <w:color w:val="000000"/>
                <w:sz w:val="18"/>
                <w:szCs w:val="18"/>
                <w:lang w:val="hr-HR"/>
              </w:rPr>
              <w:t>(71,245)</w:t>
            </w:r>
          </w:p>
        </w:tc>
      </w:tr>
      <w:tr w:rsidR="00587444" w:rsidRPr="00587444" w14:paraId="2BD2ECF1" w14:textId="77777777" w:rsidTr="00DD69E7">
        <w:trPr>
          <w:trHeight w:hRule="exact" w:val="320"/>
        </w:trPr>
        <w:tc>
          <w:tcPr>
            <w:tcW w:w="1543" w:type="pct"/>
            <w:vAlign w:val="bottom"/>
          </w:tcPr>
          <w:p w14:paraId="56D99063" w14:textId="77777777" w:rsidR="00587444" w:rsidRPr="00587444" w:rsidRDefault="00587444" w:rsidP="00587444">
            <w:pPr>
              <w:tabs>
                <w:tab w:val="right" w:pos="1202"/>
              </w:tabs>
              <w:suppressAutoHyphens w:val="0"/>
              <w:autoSpaceDN/>
              <w:outlineLvl w:val="0"/>
              <w:rPr>
                <w:rFonts w:ascii="Arial" w:hAnsi="Arial" w:cs="Arial"/>
                <w:iCs/>
                <w:sz w:val="18"/>
                <w:szCs w:val="18"/>
              </w:rPr>
            </w:pPr>
            <w:bookmarkStart w:id="259" w:name="_Toc4057211"/>
            <w:r w:rsidRPr="00587444">
              <w:rPr>
                <w:rFonts w:ascii="Arial" w:hAnsi="Arial" w:cs="Arial"/>
                <w:iCs/>
                <w:sz w:val="18"/>
                <w:szCs w:val="18"/>
              </w:rPr>
              <w:t>Total comprehensive income</w:t>
            </w:r>
            <w:bookmarkEnd w:id="259"/>
          </w:p>
        </w:tc>
        <w:tc>
          <w:tcPr>
            <w:tcW w:w="572" w:type="pct"/>
            <w:tcBorders>
              <w:top w:val="nil"/>
              <w:left w:val="nil"/>
              <w:bottom w:val="single" w:sz="4" w:space="0" w:color="auto"/>
              <w:right w:val="nil"/>
            </w:tcBorders>
            <w:shd w:val="clear" w:color="auto" w:fill="auto"/>
            <w:vAlign w:val="bottom"/>
          </w:tcPr>
          <w:p w14:paraId="73850E90" w14:textId="77777777" w:rsidR="00587444" w:rsidRPr="00587444" w:rsidRDefault="00587444" w:rsidP="00587444">
            <w:pPr>
              <w:tabs>
                <w:tab w:val="right" w:pos="1202"/>
              </w:tabs>
              <w:suppressAutoHyphens w:val="0"/>
              <w:autoSpaceDN/>
              <w:jc w:val="right"/>
              <w:outlineLvl w:val="0"/>
              <w:rPr>
                <w:rFonts w:ascii="Arial" w:hAnsi="Arial" w:cs="Arial"/>
                <w:b/>
                <w:iCs/>
                <w:color w:val="000000"/>
                <w:sz w:val="18"/>
                <w:szCs w:val="18"/>
                <w:lang w:val="hr-HR"/>
              </w:rPr>
            </w:pPr>
            <w:r w:rsidRPr="00587444">
              <w:rPr>
                <w:rFonts w:ascii="Arial" w:hAnsi="Arial" w:cs="Arial"/>
                <w:b/>
                <w:iCs/>
                <w:color w:val="000000"/>
                <w:sz w:val="18"/>
                <w:szCs w:val="18"/>
                <w:lang w:val="hr-HR"/>
              </w:rPr>
              <w:t>-</w:t>
            </w:r>
          </w:p>
        </w:tc>
        <w:tc>
          <w:tcPr>
            <w:tcW w:w="572" w:type="pct"/>
            <w:tcBorders>
              <w:top w:val="nil"/>
              <w:left w:val="nil"/>
              <w:bottom w:val="single" w:sz="4" w:space="0" w:color="auto"/>
              <w:right w:val="nil"/>
            </w:tcBorders>
            <w:shd w:val="clear" w:color="auto" w:fill="auto"/>
            <w:vAlign w:val="bottom"/>
          </w:tcPr>
          <w:p w14:paraId="528C9A08" w14:textId="77777777" w:rsidR="00587444" w:rsidRPr="00587444" w:rsidRDefault="00587444" w:rsidP="00587444">
            <w:pPr>
              <w:tabs>
                <w:tab w:val="right" w:pos="1202"/>
              </w:tabs>
              <w:suppressAutoHyphens w:val="0"/>
              <w:autoSpaceDN/>
              <w:jc w:val="right"/>
              <w:outlineLvl w:val="0"/>
              <w:rPr>
                <w:rFonts w:ascii="Arial" w:hAnsi="Arial" w:cs="Arial"/>
                <w:b/>
                <w:iCs/>
                <w:color w:val="000000"/>
                <w:sz w:val="18"/>
                <w:szCs w:val="18"/>
                <w:lang w:val="hr-HR"/>
              </w:rPr>
            </w:pPr>
            <w:r w:rsidRPr="00587444">
              <w:rPr>
                <w:rFonts w:ascii="Arial" w:hAnsi="Arial" w:cs="Arial"/>
                <w:b/>
                <w:iCs/>
                <w:color w:val="000000"/>
                <w:sz w:val="18"/>
                <w:szCs w:val="18"/>
                <w:lang w:val="hr-HR"/>
              </w:rPr>
              <w:t>-</w:t>
            </w:r>
          </w:p>
        </w:tc>
        <w:tc>
          <w:tcPr>
            <w:tcW w:w="572" w:type="pct"/>
            <w:tcBorders>
              <w:top w:val="nil"/>
              <w:left w:val="nil"/>
              <w:bottom w:val="single" w:sz="4" w:space="0" w:color="auto"/>
              <w:right w:val="nil"/>
            </w:tcBorders>
            <w:shd w:val="clear" w:color="auto" w:fill="auto"/>
            <w:vAlign w:val="bottom"/>
          </w:tcPr>
          <w:p w14:paraId="76FDF826" w14:textId="77777777" w:rsidR="00587444" w:rsidRPr="00587444" w:rsidRDefault="00587444" w:rsidP="00587444">
            <w:pPr>
              <w:tabs>
                <w:tab w:val="right" w:pos="1202"/>
              </w:tabs>
              <w:suppressAutoHyphens w:val="0"/>
              <w:autoSpaceDN/>
              <w:jc w:val="right"/>
              <w:outlineLvl w:val="0"/>
              <w:rPr>
                <w:rFonts w:ascii="Arial" w:hAnsi="Arial" w:cs="Arial"/>
                <w:b/>
                <w:iCs/>
                <w:color w:val="000000"/>
                <w:sz w:val="18"/>
                <w:szCs w:val="18"/>
                <w:lang w:val="hr-HR"/>
              </w:rPr>
            </w:pPr>
            <w:r w:rsidRPr="00587444">
              <w:rPr>
                <w:rFonts w:ascii="Arial" w:hAnsi="Arial" w:cs="Arial"/>
                <w:b/>
                <w:iCs/>
                <w:color w:val="000000"/>
                <w:sz w:val="18"/>
                <w:szCs w:val="18"/>
                <w:lang w:val="hr-HR"/>
              </w:rPr>
              <w:t>(71,245)</w:t>
            </w:r>
          </w:p>
        </w:tc>
        <w:tc>
          <w:tcPr>
            <w:tcW w:w="572" w:type="pct"/>
            <w:tcBorders>
              <w:top w:val="nil"/>
              <w:left w:val="nil"/>
              <w:bottom w:val="single" w:sz="4" w:space="0" w:color="auto"/>
              <w:right w:val="nil"/>
            </w:tcBorders>
            <w:shd w:val="clear" w:color="auto" w:fill="auto"/>
            <w:vAlign w:val="bottom"/>
          </w:tcPr>
          <w:p w14:paraId="0825C271" w14:textId="77777777" w:rsidR="00587444" w:rsidRPr="00587444" w:rsidRDefault="00587444" w:rsidP="00587444">
            <w:pPr>
              <w:tabs>
                <w:tab w:val="right" w:pos="1202"/>
              </w:tabs>
              <w:suppressAutoHyphens w:val="0"/>
              <w:autoSpaceDN/>
              <w:jc w:val="right"/>
              <w:outlineLvl w:val="0"/>
              <w:rPr>
                <w:rFonts w:ascii="Arial" w:hAnsi="Arial" w:cs="Arial"/>
                <w:b/>
                <w:iCs/>
                <w:color w:val="000000"/>
                <w:sz w:val="18"/>
                <w:szCs w:val="18"/>
                <w:lang w:val="hr-HR"/>
              </w:rPr>
            </w:pPr>
            <w:r w:rsidRPr="00587444">
              <w:rPr>
                <w:rFonts w:ascii="Arial" w:hAnsi="Arial" w:cs="Arial"/>
                <w:b/>
                <w:iCs/>
                <w:color w:val="000000"/>
                <w:sz w:val="18"/>
                <w:szCs w:val="18"/>
                <w:lang w:val="hr-HR"/>
              </w:rPr>
              <w:t>189,458</w:t>
            </w:r>
          </w:p>
        </w:tc>
        <w:tc>
          <w:tcPr>
            <w:tcW w:w="572" w:type="pct"/>
            <w:tcBorders>
              <w:top w:val="nil"/>
              <w:left w:val="nil"/>
              <w:bottom w:val="single" w:sz="4" w:space="0" w:color="auto"/>
              <w:right w:val="nil"/>
            </w:tcBorders>
            <w:shd w:val="clear" w:color="auto" w:fill="auto"/>
            <w:vAlign w:val="bottom"/>
          </w:tcPr>
          <w:p w14:paraId="2BA12D9D" w14:textId="77777777" w:rsidR="00587444" w:rsidRPr="00587444" w:rsidRDefault="00587444" w:rsidP="00587444">
            <w:pPr>
              <w:tabs>
                <w:tab w:val="right" w:pos="1202"/>
              </w:tabs>
              <w:suppressAutoHyphens w:val="0"/>
              <w:autoSpaceDN/>
              <w:jc w:val="right"/>
              <w:outlineLvl w:val="0"/>
              <w:rPr>
                <w:rFonts w:ascii="Arial" w:hAnsi="Arial" w:cs="Arial"/>
                <w:b/>
                <w:iCs/>
                <w:color w:val="000000"/>
                <w:sz w:val="18"/>
                <w:szCs w:val="18"/>
                <w:lang w:val="hr-HR"/>
              </w:rPr>
            </w:pPr>
            <w:r w:rsidRPr="00587444">
              <w:rPr>
                <w:rFonts w:ascii="Arial" w:hAnsi="Arial" w:cs="Arial"/>
                <w:b/>
                <w:iCs/>
                <w:color w:val="000000"/>
                <w:sz w:val="18"/>
                <w:szCs w:val="18"/>
                <w:lang w:val="hr-HR"/>
              </w:rPr>
              <w:t>-</w:t>
            </w:r>
          </w:p>
        </w:tc>
        <w:tc>
          <w:tcPr>
            <w:tcW w:w="597" w:type="pct"/>
            <w:tcBorders>
              <w:top w:val="nil"/>
              <w:left w:val="nil"/>
              <w:bottom w:val="single" w:sz="4" w:space="0" w:color="auto"/>
              <w:right w:val="nil"/>
            </w:tcBorders>
            <w:shd w:val="clear" w:color="auto" w:fill="auto"/>
            <w:vAlign w:val="bottom"/>
          </w:tcPr>
          <w:p w14:paraId="615F9B3A" w14:textId="77777777" w:rsidR="00587444" w:rsidRPr="00587444" w:rsidRDefault="00587444" w:rsidP="00587444">
            <w:pPr>
              <w:tabs>
                <w:tab w:val="right" w:pos="1202"/>
              </w:tabs>
              <w:suppressAutoHyphens w:val="0"/>
              <w:autoSpaceDN/>
              <w:jc w:val="right"/>
              <w:outlineLvl w:val="0"/>
              <w:rPr>
                <w:rFonts w:ascii="Arial" w:hAnsi="Arial" w:cs="Arial"/>
                <w:b/>
                <w:iCs/>
                <w:color w:val="000000"/>
                <w:sz w:val="18"/>
                <w:szCs w:val="18"/>
                <w:lang w:val="hr-HR"/>
              </w:rPr>
            </w:pPr>
            <w:r w:rsidRPr="00587444">
              <w:rPr>
                <w:rFonts w:ascii="Arial" w:hAnsi="Arial" w:cs="Arial"/>
                <w:b/>
                <w:iCs/>
                <w:color w:val="000000"/>
                <w:sz w:val="18"/>
                <w:szCs w:val="18"/>
                <w:lang w:val="hr-HR"/>
              </w:rPr>
              <w:t>118,213</w:t>
            </w:r>
          </w:p>
        </w:tc>
      </w:tr>
      <w:tr w:rsidR="00587444" w:rsidRPr="00587444" w14:paraId="17F11759" w14:textId="77777777" w:rsidTr="00DD69E7">
        <w:trPr>
          <w:trHeight w:val="439"/>
        </w:trPr>
        <w:tc>
          <w:tcPr>
            <w:tcW w:w="1543" w:type="pct"/>
            <w:vAlign w:val="bottom"/>
          </w:tcPr>
          <w:p w14:paraId="55D8B077" w14:textId="77777777" w:rsidR="00587444" w:rsidRPr="00587444" w:rsidRDefault="00587444" w:rsidP="00587444">
            <w:pPr>
              <w:tabs>
                <w:tab w:val="right" w:pos="1202"/>
              </w:tabs>
              <w:suppressAutoHyphens w:val="0"/>
              <w:autoSpaceDN/>
              <w:outlineLvl w:val="0"/>
              <w:rPr>
                <w:rFonts w:ascii="Arial" w:hAnsi="Arial" w:cs="Arial"/>
                <w:iCs/>
                <w:sz w:val="18"/>
                <w:szCs w:val="18"/>
              </w:rPr>
            </w:pPr>
            <w:bookmarkStart w:id="260" w:name="_Toc4057218"/>
            <w:r w:rsidRPr="00587444">
              <w:rPr>
                <w:rFonts w:ascii="Arial" w:hAnsi="Arial" w:cs="Arial"/>
                <w:iCs/>
                <w:sz w:val="18"/>
                <w:szCs w:val="18"/>
              </w:rPr>
              <w:t>Net foreign exchange - Guarantee fund</w:t>
            </w:r>
            <w:bookmarkEnd w:id="260"/>
          </w:p>
        </w:tc>
        <w:tc>
          <w:tcPr>
            <w:tcW w:w="572" w:type="pct"/>
            <w:tcBorders>
              <w:top w:val="nil"/>
              <w:left w:val="nil"/>
              <w:bottom w:val="nil"/>
              <w:right w:val="nil"/>
            </w:tcBorders>
            <w:shd w:val="clear" w:color="auto" w:fill="auto"/>
            <w:vAlign w:val="bottom"/>
          </w:tcPr>
          <w:p w14:paraId="74F6BA0A"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w:t>
            </w:r>
          </w:p>
        </w:tc>
        <w:tc>
          <w:tcPr>
            <w:tcW w:w="572" w:type="pct"/>
            <w:tcBorders>
              <w:top w:val="nil"/>
              <w:left w:val="nil"/>
              <w:bottom w:val="nil"/>
              <w:right w:val="nil"/>
            </w:tcBorders>
            <w:shd w:val="clear" w:color="auto" w:fill="auto"/>
            <w:vAlign w:val="bottom"/>
          </w:tcPr>
          <w:p w14:paraId="384C18A8"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w:t>
            </w:r>
          </w:p>
        </w:tc>
        <w:tc>
          <w:tcPr>
            <w:tcW w:w="572" w:type="pct"/>
            <w:tcBorders>
              <w:top w:val="nil"/>
              <w:left w:val="nil"/>
              <w:bottom w:val="nil"/>
              <w:right w:val="nil"/>
            </w:tcBorders>
            <w:shd w:val="clear" w:color="auto" w:fill="auto"/>
            <w:vAlign w:val="bottom"/>
          </w:tcPr>
          <w:p w14:paraId="5A5AA4CB"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w:t>
            </w:r>
          </w:p>
        </w:tc>
        <w:tc>
          <w:tcPr>
            <w:tcW w:w="572" w:type="pct"/>
            <w:tcBorders>
              <w:top w:val="nil"/>
              <w:left w:val="nil"/>
              <w:bottom w:val="nil"/>
              <w:right w:val="nil"/>
            </w:tcBorders>
            <w:shd w:val="clear" w:color="auto" w:fill="auto"/>
            <w:vAlign w:val="bottom"/>
          </w:tcPr>
          <w:p w14:paraId="6270EFB0"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w:t>
            </w:r>
          </w:p>
        </w:tc>
        <w:tc>
          <w:tcPr>
            <w:tcW w:w="572" w:type="pct"/>
            <w:tcBorders>
              <w:top w:val="nil"/>
              <w:left w:val="nil"/>
              <w:bottom w:val="nil"/>
              <w:right w:val="nil"/>
            </w:tcBorders>
            <w:shd w:val="clear" w:color="auto" w:fill="auto"/>
            <w:vAlign w:val="bottom"/>
          </w:tcPr>
          <w:p w14:paraId="21A81B04"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28</w:t>
            </w:r>
          </w:p>
        </w:tc>
        <w:tc>
          <w:tcPr>
            <w:tcW w:w="597" w:type="pct"/>
            <w:tcBorders>
              <w:top w:val="nil"/>
              <w:left w:val="nil"/>
              <w:bottom w:val="nil"/>
              <w:right w:val="nil"/>
            </w:tcBorders>
            <w:shd w:val="clear" w:color="auto" w:fill="auto"/>
            <w:vAlign w:val="bottom"/>
          </w:tcPr>
          <w:p w14:paraId="49212765" w14:textId="77777777" w:rsidR="00587444" w:rsidRPr="00587444" w:rsidRDefault="00587444" w:rsidP="00587444">
            <w:pPr>
              <w:tabs>
                <w:tab w:val="right" w:pos="1202"/>
              </w:tabs>
              <w:suppressAutoHyphens w:val="0"/>
              <w:autoSpaceDN/>
              <w:jc w:val="right"/>
              <w:outlineLvl w:val="0"/>
              <w:rPr>
                <w:rFonts w:ascii="Arial" w:hAnsi="Arial" w:cs="Arial"/>
                <w:b/>
                <w:iCs/>
                <w:color w:val="000000"/>
                <w:sz w:val="18"/>
                <w:szCs w:val="18"/>
                <w:lang w:val="hr-HR"/>
              </w:rPr>
            </w:pPr>
            <w:r w:rsidRPr="00587444">
              <w:rPr>
                <w:rFonts w:ascii="Arial" w:hAnsi="Arial" w:cs="Arial"/>
                <w:b/>
                <w:iCs/>
                <w:color w:val="000000"/>
                <w:sz w:val="18"/>
                <w:szCs w:val="18"/>
                <w:lang w:val="hr-HR"/>
              </w:rPr>
              <w:t>28</w:t>
            </w:r>
          </w:p>
        </w:tc>
      </w:tr>
      <w:tr w:rsidR="00587444" w:rsidRPr="00587444" w14:paraId="1DF85C80" w14:textId="77777777" w:rsidTr="00DD69E7">
        <w:trPr>
          <w:trHeight w:val="439"/>
        </w:trPr>
        <w:tc>
          <w:tcPr>
            <w:tcW w:w="1543" w:type="pct"/>
            <w:vAlign w:val="bottom"/>
          </w:tcPr>
          <w:p w14:paraId="17197A04" w14:textId="77777777" w:rsidR="00587444" w:rsidRPr="00587444" w:rsidRDefault="00587444" w:rsidP="00587444">
            <w:pPr>
              <w:tabs>
                <w:tab w:val="right" w:pos="1202"/>
              </w:tabs>
              <w:suppressAutoHyphens w:val="0"/>
              <w:autoSpaceDN/>
              <w:outlineLvl w:val="0"/>
              <w:rPr>
                <w:rFonts w:ascii="Arial" w:hAnsi="Arial" w:cs="Arial"/>
                <w:i/>
                <w:iCs/>
                <w:sz w:val="18"/>
                <w:szCs w:val="18"/>
              </w:rPr>
            </w:pPr>
            <w:bookmarkStart w:id="261" w:name="_Toc4057225"/>
            <w:r w:rsidRPr="00587444">
              <w:rPr>
                <w:rFonts w:ascii="Arial" w:hAnsi="Arial" w:cs="Arial"/>
                <w:iCs/>
                <w:sz w:val="18"/>
                <w:szCs w:val="18"/>
              </w:rPr>
              <w:t>Capital paid-in from the State Budget</w:t>
            </w:r>
            <w:bookmarkEnd w:id="261"/>
            <w:r w:rsidRPr="00587444">
              <w:rPr>
                <w:rFonts w:ascii="Arial" w:hAnsi="Arial" w:cs="Arial"/>
                <w:iCs/>
                <w:sz w:val="18"/>
                <w:szCs w:val="18"/>
              </w:rPr>
              <w:t xml:space="preserve">  </w:t>
            </w:r>
          </w:p>
        </w:tc>
        <w:tc>
          <w:tcPr>
            <w:tcW w:w="572" w:type="pct"/>
            <w:tcBorders>
              <w:top w:val="nil"/>
              <w:left w:val="nil"/>
              <w:bottom w:val="nil"/>
              <w:right w:val="nil"/>
            </w:tcBorders>
            <w:shd w:val="clear" w:color="auto" w:fill="auto"/>
            <w:vAlign w:val="bottom"/>
          </w:tcPr>
          <w:p w14:paraId="476AA646"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20,000</w:t>
            </w:r>
          </w:p>
        </w:tc>
        <w:tc>
          <w:tcPr>
            <w:tcW w:w="572" w:type="pct"/>
            <w:tcBorders>
              <w:top w:val="nil"/>
              <w:left w:val="nil"/>
              <w:bottom w:val="nil"/>
              <w:right w:val="nil"/>
            </w:tcBorders>
            <w:shd w:val="clear" w:color="auto" w:fill="auto"/>
            <w:vAlign w:val="bottom"/>
          </w:tcPr>
          <w:p w14:paraId="61799575"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w:t>
            </w:r>
          </w:p>
        </w:tc>
        <w:tc>
          <w:tcPr>
            <w:tcW w:w="572" w:type="pct"/>
            <w:tcBorders>
              <w:top w:val="nil"/>
              <w:left w:val="nil"/>
              <w:bottom w:val="nil"/>
              <w:right w:val="nil"/>
            </w:tcBorders>
            <w:shd w:val="clear" w:color="auto" w:fill="auto"/>
            <w:vAlign w:val="bottom"/>
          </w:tcPr>
          <w:p w14:paraId="10679507"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w:t>
            </w:r>
          </w:p>
        </w:tc>
        <w:tc>
          <w:tcPr>
            <w:tcW w:w="572" w:type="pct"/>
            <w:tcBorders>
              <w:top w:val="nil"/>
              <w:left w:val="nil"/>
              <w:bottom w:val="nil"/>
              <w:right w:val="nil"/>
            </w:tcBorders>
            <w:shd w:val="clear" w:color="auto" w:fill="auto"/>
            <w:vAlign w:val="bottom"/>
          </w:tcPr>
          <w:p w14:paraId="70CCFA1E"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w:t>
            </w:r>
          </w:p>
        </w:tc>
        <w:tc>
          <w:tcPr>
            <w:tcW w:w="572" w:type="pct"/>
            <w:tcBorders>
              <w:top w:val="nil"/>
              <w:left w:val="nil"/>
              <w:bottom w:val="nil"/>
              <w:right w:val="nil"/>
            </w:tcBorders>
            <w:shd w:val="clear" w:color="auto" w:fill="auto"/>
            <w:vAlign w:val="bottom"/>
          </w:tcPr>
          <w:p w14:paraId="02A4432B"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w:t>
            </w:r>
          </w:p>
        </w:tc>
        <w:tc>
          <w:tcPr>
            <w:tcW w:w="597" w:type="pct"/>
            <w:tcBorders>
              <w:top w:val="nil"/>
              <w:left w:val="nil"/>
              <w:bottom w:val="nil"/>
              <w:right w:val="nil"/>
            </w:tcBorders>
            <w:shd w:val="clear" w:color="auto" w:fill="auto"/>
            <w:vAlign w:val="bottom"/>
          </w:tcPr>
          <w:p w14:paraId="72B17C3E" w14:textId="77777777" w:rsidR="00587444" w:rsidRPr="00587444" w:rsidRDefault="00587444" w:rsidP="00587444">
            <w:pPr>
              <w:tabs>
                <w:tab w:val="right" w:pos="1202"/>
              </w:tabs>
              <w:suppressAutoHyphens w:val="0"/>
              <w:autoSpaceDN/>
              <w:jc w:val="right"/>
              <w:outlineLvl w:val="0"/>
              <w:rPr>
                <w:rFonts w:ascii="Arial" w:hAnsi="Arial" w:cs="Arial"/>
                <w:b/>
                <w:iCs/>
                <w:color w:val="000000"/>
                <w:sz w:val="18"/>
                <w:szCs w:val="18"/>
                <w:lang w:val="hr-HR"/>
              </w:rPr>
            </w:pPr>
            <w:r w:rsidRPr="00587444">
              <w:rPr>
                <w:rFonts w:ascii="Arial" w:hAnsi="Arial" w:cs="Arial"/>
                <w:b/>
                <w:iCs/>
                <w:color w:val="000000"/>
                <w:sz w:val="18"/>
                <w:szCs w:val="18"/>
                <w:lang w:val="hr-HR"/>
              </w:rPr>
              <w:t>20,000</w:t>
            </w:r>
          </w:p>
        </w:tc>
      </w:tr>
      <w:tr w:rsidR="00587444" w:rsidRPr="00587444" w14:paraId="1FDD6A27" w14:textId="77777777" w:rsidTr="00DD69E7">
        <w:trPr>
          <w:trHeight w:val="440"/>
        </w:trPr>
        <w:tc>
          <w:tcPr>
            <w:tcW w:w="1543" w:type="pct"/>
            <w:vAlign w:val="bottom"/>
          </w:tcPr>
          <w:p w14:paraId="5C015C5C" w14:textId="77777777" w:rsidR="00587444" w:rsidRPr="00587444" w:rsidRDefault="00587444" w:rsidP="00587444">
            <w:pPr>
              <w:tabs>
                <w:tab w:val="right" w:pos="1202"/>
              </w:tabs>
              <w:suppressAutoHyphens w:val="0"/>
              <w:autoSpaceDN/>
              <w:outlineLvl w:val="0"/>
              <w:rPr>
                <w:rFonts w:ascii="Arial" w:hAnsi="Arial" w:cs="Arial"/>
                <w:iCs/>
                <w:sz w:val="18"/>
                <w:szCs w:val="18"/>
              </w:rPr>
            </w:pPr>
            <w:bookmarkStart w:id="262" w:name="_Toc4057232"/>
            <w:r w:rsidRPr="00587444">
              <w:rPr>
                <w:rFonts w:ascii="Arial" w:hAnsi="Arial" w:cs="Arial"/>
                <w:iCs/>
                <w:sz w:val="18"/>
                <w:szCs w:val="18"/>
              </w:rPr>
              <w:t>Transfer of profit 2021 to retained earnings</w:t>
            </w:r>
            <w:bookmarkEnd w:id="262"/>
            <w:r w:rsidRPr="00587444">
              <w:rPr>
                <w:rFonts w:ascii="Arial" w:hAnsi="Arial" w:cs="Arial"/>
                <w:iCs/>
                <w:sz w:val="18"/>
                <w:szCs w:val="18"/>
              </w:rPr>
              <w:t xml:space="preserve"> </w:t>
            </w:r>
          </w:p>
        </w:tc>
        <w:tc>
          <w:tcPr>
            <w:tcW w:w="572" w:type="pct"/>
            <w:tcBorders>
              <w:top w:val="nil"/>
              <w:left w:val="nil"/>
              <w:bottom w:val="single" w:sz="8" w:space="0" w:color="auto"/>
              <w:right w:val="nil"/>
            </w:tcBorders>
            <w:shd w:val="clear" w:color="auto" w:fill="auto"/>
            <w:vAlign w:val="bottom"/>
          </w:tcPr>
          <w:p w14:paraId="3B4128AA" w14:textId="77777777" w:rsidR="00587444" w:rsidRPr="00587444" w:rsidDel="00F50AA1"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w:t>
            </w:r>
          </w:p>
        </w:tc>
        <w:tc>
          <w:tcPr>
            <w:tcW w:w="572" w:type="pct"/>
            <w:tcBorders>
              <w:top w:val="nil"/>
              <w:left w:val="nil"/>
              <w:bottom w:val="single" w:sz="8" w:space="0" w:color="auto"/>
              <w:right w:val="nil"/>
            </w:tcBorders>
            <w:shd w:val="clear" w:color="auto" w:fill="auto"/>
            <w:vAlign w:val="bottom"/>
          </w:tcPr>
          <w:p w14:paraId="4DC1C32B" w14:textId="77777777" w:rsidR="00587444" w:rsidRPr="00587444" w:rsidDel="00F50AA1"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188,185</w:t>
            </w:r>
          </w:p>
        </w:tc>
        <w:tc>
          <w:tcPr>
            <w:tcW w:w="572" w:type="pct"/>
            <w:tcBorders>
              <w:top w:val="nil"/>
              <w:left w:val="nil"/>
              <w:bottom w:val="single" w:sz="8" w:space="0" w:color="auto"/>
              <w:right w:val="nil"/>
            </w:tcBorders>
            <w:shd w:val="clear" w:color="auto" w:fill="auto"/>
            <w:vAlign w:val="bottom"/>
          </w:tcPr>
          <w:p w14:paraId="1D69386B" w14:textId="77777777" w:rsidR="00587444" w:rsidRPr="00587444" w:rsidDel="00F50AA1"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w:t>
            </w:r>
          </w:p>
        </w:tc>
        <w:tc>
          <w:tcPr>
            <w:tcW w:w="572" w:type="pct"/>
            <w:tcBorders>
              <w:top w:val="nil"/>
              <w:left w:val="nil"/>
              <w:bottom w:val="single" w:sz="8" w:space="0" w:color="auto"/>
              <w:right w:val="nil"/>
            </w:tcBorders>
            <w:shd w:val="clear" w:color="auto" w:fill="auto"/>
            <w:vAlign w:val="bottom"/>
          </w:tcPr>
          <w:p w14:paraId="68A614A5" w14:textId="77777777" w:rsidR="00587444" w:rsidRPr="00587444" w:rsidDel="00F50AA1"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(188,185)</w:t>
            </w:r>
          </w:p>
        </w:tc>
        <w:tc>
          <w:tcPr>
            <w:tcW w:w="572" w:type="pct"/>
            <w:tcBorders>
              <w:top w:val="nil"/>
              <w:left w:val="nil"/>
              <w:bottom w:val="single" w:sz="8" w:space="0" w:color="auto"/>
              <w:right w:val="nil"/>
            </w:tcBorders>
            <w:shd w:val="clear" w:color="auto" w:fill="auto"/>
            <w:vAlign w:val="bottom"/>
          </w:tcPr>
          <w:p w14:paraId="4672EB7D"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lang w:val="hr-HR"/>
              </w:rPr>
            </w:pPr>
            <w:r w:rsidRPr="00587444">
              <w:rPr>
                <w:rFonts w:ascii="Arial" w:hAnsi="Arial" w:cs="Arial"/>
                <w:bCs/>
                <w:iCs/>
                <w:color w:val="000000"/>
                <w:sz w:val="18"/>
                <w:szCs w:val="18"/>
                <w:lang w:val="hr-HR"/>
              </w:rPr>
              <w:t>-</w:t>
            </w:r>
          </w:p>
        </w:tc>
        <w:tc>
          <w:tcPr>
            <w:tcW w:w="597" w:type="pct"/>
            <w:tcBorders>
              <w:top w:val="nil"/>
              <w:left w:val="nil"/>
              <w:bottom w:val="single" w:sz="8" w:space="0" w:color="auto"/>
              <w:right w:val="nil"/>
            </w:tcBorders>
            <w:shd w:val="clear" w:color="auto" w:fill="auto"/>
            <w:vAlign w:val="bottom"/>
          </w:tcPr>
          <w:p w14:paraId="41C0E351" w14:textId="77777777" w:rsidR="00587444" w:rsidRPr="00587444" w:rsidDel="00F50AA1" w:rsidRDefault="00587444" w:rsidP="00587444">
            <w:pPr>
              <w:tabs>
                <w:tab w:val="right" w:pos="1202"/>
              </w:tabs>
              <w:suppressAutoHyphens w:val="0"/>
              <w:autoSpaceDN/>
              <w:jc w:val="right"/>
              <w:outlineLvl w:val="0"/>
              <w:rPr>
                <w:rFonts w:ascii="Arial" w:hAnsi="Arial" w:cs="Arial"/>
                <w:b/>
                <w:iCs/>
                <w:color w:val="000000"/>
                <w:sz w:val="18"/>
                <w:szCs w:val="18"/>
                <w:lang w:val="hr-HR"/>
              </w:rPr>
            </w:pPr>
            <w:r w:rsidRPr="00587444">
              <w:rPr>
                <w:rFonts w:ascii="Arial" w:hAnsi="Arial" w:cs="Arial"/>
                <w:b/>
                <w:iCs/>
                <w:color w:val="000000"/>
                <w:sz w:val="18"/>
                <w:szCs w:val="18"/>
                <w:lang w:val="hr-HR"/>
              </w:rPr>
              <w:t>-</w:t>
            </w:r>
          </w:p>
        </w:tc>
      </w:tr>
      <w:tr w:rsidR="00587444" w:rsidRPr="00587444" w14:paraId="2111147C" w14:textId="77777777" w:rsidTr="00DD69E7">
        <w:trPr>
          <w:trHeight w:hRule="exact" w:val="391"/>
        </w:trPr>
        <w:tc>
          <w:tcPr>
            <w:tcW w:w="1543" w:type="pct"/>
            <w:vAlign w:val="bottom"/>
          </w:tcPr>
          <w:p w14:paraId="0C3E17D6" w14:textId="77777777" w:rsidR="00587444" w:rsidRPr="00587444" w:rsidRDefault="00587444" w:rsidP="00587444">
            <w:pPr>
              <w:tabs>
                <w:tab w:val="right" w:pos="1202"/>
              </w:tabs>
              <w:suppressAutoHyphens w:val="0"/>
              <w:autoSpaceDN/>
              <w:outlineLvl w:val="0"/>
              <w:rPr>
                <w:rFonts w:ascii="Arial" w:hAnsi="Arial" w:cs="Arial"/>
                <w:b/>
                <w:iCs/>
                <w:sz w:val="18"/>
                <w:szCs w:val="18"/>
              </w:rPr>
            </w:pPr>
            <w:bookmarkStart w:id="263" w:name="_Toc4057239"/>
            <w:r w:rsidRPr="00587444">
              <w:rPr>
                <w:rFonts w:ascii="Arial" w:hAnsi="Arial" w:cs="Arial"/>
                <w:b/>
                <w:iCs/>
                <w:sz w:val="18"/>
                <w:szCs w:val="18"/>
              </w:rPr>
              <w:t xml:space="preserve">Balance as of 31 December </w:t>
            </w:r>
            <w:bookmarkEnd w:id="263"/>
            <w:r w:rsidRPr="00587444">
              <w:rPr>
                <w:rFonts w:ascii="Arial" w:hAnsi="Arial" w:cs="Arial"/>
                <w:b/>
                <w:iCs/>
                <w:sz w:val="18"/>
                <w:szCs w:val="18"/>
              </w:rPr>
              <w:t>2022</w:t>
            </w:r>
          </w:p>
        </w:tc>
        <w:tc>
          <w:tcPr>
            <w:tcW w:w="572" w:type="pct"/>
            <w:tcBorders>
              <w:top w:val="single" w:sz="8" w:space="0" w:color="auto"/>
              <w:left w:val="nil"/>
              <w:bottom w:val="single" w:sz="12" w:space="0" w:color="auto"/>
              <w:right w:val="nil"/>
            </w:tcBorders>
            <w:shd w:val="clear" w:color="auto" w:fill="auto"/>
            <w:vAlign w:val="bottom"/>
          </w:tcPr>
          <w:p w14:paraId="45253306" w14:textId="77777777" w:rsidR="00587444" w:rsidRPr="00587444" w:rsidRDefault="00587444" w:rsidP="00587444">
            <w:pPr>
              <w:tabs>
                <w:tab w:val="right" w:pos="1202"/>
              </w:tabs>
              <w:suppressAutoHyphens w:val="0"/>
              <w:autoSpaceDN/>
              <w:jc w:val="right"/>
              <w:outlineLvl w:val="0"/>
              <w:rPr>
                <w:rFonts w:ascii="Arial" w:hAnsi="Arial" w:cs="Arial"/>
                <w:b/>
                <w:iCs/>
                <w:color w:val="000000"/>
                <w:sz w:val="18"/>
                <w:szCs w:val="18"/>
                <w:lang w:val="hr-HR"/>
              </w:rPr>
            </w:pPr>
            <w:r w:rsidRPr="00587444">
              <w:rPr>
                <w:rFonts w:ascii="Arial" w:hAnsi="Arial" w:cs="Arial"/>
                <w:b/>
                <w:iCs/>
                <w:color w:val="000000"/>
                <w:sz w:val="18"/>
                <w:szCs w:val="18"/>
                <w:lang w:val="hr-HR"/>
              </w:rPr>
              <w:t xml:space="preserve"> 7,204,632 </w:t>
            </w:r>
          </w:p>
        </w:tc>
        <w:tc>
          <w:tcPr>
            <w:tcW w:w="572" w:type="pct"/>
            <w:tcBorders>
              <w:top w:val="single" w:sz="8" w:space="0" w:color="auto"/>
              <w:left w:val="nil"/>
              <w:bottom w:val="single" w:sz="12" w:space="0" w:color="auto"/>
              <w:right w:val="nil"/>
            </w:tcBorders>
            <w:shd w:val="clear" w:color="auto" w:fill="auto"/>
            <w:vAlign w:val="bottom"/>
          </w:tcPr>
          <w:p w14:paraId="3F23558E" w14:textId="77777777" w:rsidR="00587444" w:rsidRPr="00587444" w:rsidRDefault="00587444" w:rsidP="00587444">
            <w:pPr>
              <w:tabs>
                <w:tab w:val="right" w:pos="1202"/>
              </w:tabs>
              <w:suppressAutoHyphens w:val="0"/>
              <w:autoSpaceDN/>
              <w:jc w:val="right"/>
              <w:outlineLvl w:val="0"/>
              <w:rPr>
                <w:rFonts w:ascii="Arial" w:hAnsi="Arial" w:cs="Arial"/>
                <w:b/>
                <w:iCs/>
                <w:color w:val="000000"/>
                <w:sz w:val="18"/>
                <w:szCs w:val="18"/>
                <w:lang w:val="hr-HR"/>
              </w:rPr>
            </w:pPr>
            <w:r w:rsidRPr="00587444">
              <w:rPr>
                <w:rFonts w:ascii="Arial" w:hAnsi="Arial" w:cs="Arial"/>
                <w:b/>
                <w:iCs/>
                <w:color w:val="000000"/>
                <w:sz w:val="18"/>
                <w:szCs w:val="18"/>
                <w:lang w:val="hr-HR"/>
              </w:rPr>
              <w:t xml:space="preserve"> 3,345,869 </w:t>
            </w:r>
          </w:p>
        </w:tc>
        <w:tc>
          <w:tcPr>
            <w:tcW w:w="572" w:type="pct"/>
            <w:tcBorders>
              <w:top w:val="single" w:sz="8" w:space="0" w:color="auto"/>
              <w:left w:val="nil"/>
              <w:bottom w:val="single" w:sz="12" w:space="0" w:color="auto"/>
              <w:right w:val="nil"/>
            </w:tcBorders>
            <w:shd w:val="clear" w:color="auto" w:fill="auto"/>
            <w:vAlign w:val="bottom"/>
          </w:tcPr>
          <w:p w14:paraId="49960366" w14:textId="77777777" w:rsidR="00587444" w:rsidRPr="00587444" w:rsidRDefault="00587444" w:rsidP="00587444">
            <w:pPr>
              <w:tabs>
                <w:tab w:val="right" w:pos="1202"/>
              </w:tabs>
              <w:suppressAutoHyphens w:val="0"/>
              <w:autoSpaceDN/>
              <w:jc w:val="right"/>
              <w:outlineLvl w:val="0"/>
              <w:rPr>
                <w:rFonts w:ascii="Arial" w:hAnsi="Arial" w:cs="Arial"/>
                <w:b/>
                <w:iCs/>
                <w:color w:val="000000"/>
                <w:sz w:val="18"/>
                <w:szCs w:val="18"/>
                <w:lang w:val="hr-HR"/>
              </w:rPr>
            </w:pPr>
            <w:r w:rsidRPr="00587444">
              <w:rPr>
                <w:rFonts w:ascii="Arial" w:hAnsi="Arial" w:cs="Arial"/>
                <w:b/>
                <w:iCs/>
                <w:color w:val="000000"/>
                <w:sz w:val="18"/>
                <w:szCs w:val="18"/>
                <w:lang w:val="hr-HR"/>
              </w:rPr>
              <w:t xml:space="preserve"> (37,270)</w:t>
            </w:r>
          </w:p>
        </w:tc>
        <w:tc>
          <w:tcPr>
            <w:tcW w:w="572" w:type="pct"/>
            <w:tcBorders>
              <w:top w:val="single" w:sz="8" w:space="0" w:color="auto"/>
              <w:left w:val="nil"/>
              <w:bottom w:val="single" w:sz="12" w:space="0" w:color="auto"/>
              <w:right w:val="nil"/>
            </w:tcBorders>
            <w:shd w:val="clear" w:color="auto" w:fill="auto"/>
            <w:vAlign w:val="bottom"/>
          </w:tcPr>
          <w:p w14:paraId="1B0D3F97" w14:textId="77777777" w:rsidR="00587444" w:rsidRPr="00587444" w:rsidRDefault="00587444" w:rsidP="00587444">
            <w:pPr>
              <w:tabs>
                <w:tab w:val="right" w:pos="1202"/>
              </w:tabs>
              <w:suppressAutoHyphens w:val="0"/>
              <w:autoSpaceDN/>
              <w:jc w:val="right"/>
              <w:outlineLvl w:val="0"/>
              <w:rPr>
                <w:rFonts w:ascii="Arial" w:hAnsi="Arial" w:cs="Arial"/>
                <w:b/>
                <w:iCs/>
                <w:color w:val="000000"/>
                <w:sz w:val="18"/>
                <w:szCs w:val="18"/>
                <w:lang w:val="hr-HR"/>
              </w:rPr>
            </w:pPr>
            <w:r w:rsidRPr="00587444">
              <w:rPr>
                <w:rFonts w:ascii="Arial" w:hAnsi="Arial" w:cs="Arial"/>
                <w:b/>
                <w:iCs/>
                <w:color w:val="000000"/>
                <w:sz w:val="18"/>
                <w:szCs w:val="18"/>
                <w:lang w:val="hr-HR"/>
              </w:rPr>
              <w:t xml:space="preserve"> 189,458 </w:t>
            </w:r>
          </w:p>
        </w:tc>
        <w:tc>
          <w:tcPr>
            <w:tcW w:w="572" w:type="pct"/>
            <w:tcBorders>
              <w:top w:val="single" w:sz="8" w:space="0" w:color="auto"/>
              <w:left w:val="nil"/>
              <w:bottom w:val="single" w:sz="12" w:space="0" w:color="auto"/>
              <w:right w:val="nil"/>
            </w:tcBorders>
            <w:shd w:val="clear" w:color="auto" w:fill="auto"/>
            <w:vAlign w:val="bottom"/>
          </w:tcPr>
          <w:p w14:paraId="664D4E08" w14:textId="77777777" w:rsidR="00587444" w:rsidRPr="00587444" w:rsidRDefault="00587444" w:rsidP="00587444">
            <w:pPr>
              <w:tabs>
                <w:tab w:val="right" w:pos="1202"/>
              </w:tabs>
              <w:suppressAutoHyphens w:val="0"/>
              <w:autoSpaceDN/>
              <w:jc w:val="right"/>
              <w:outlineLvl w:val="0"/>
              <w:rPr>
                <w:rFonts w:ascii="Arial" w:hAnsi="Arial" w:cs="Arial"/>
                <w:b/>
                <w:iCs/>
                <w:color w:val="000000"/>
                <w:sz w:val="18"/>
                <w:szCs w:val="18"/>
                <w:lang w:val="hr-HR"/>
              </w:rPr>
            </w:pPr>
            <w:r w:rsidRPr="00587444">
              <w:rPr>
                <w:rFonts w:ascii="Arial" w:hAnsi="Arial" w:cs="Arial"/>
                <w:b/>
                <w:iCs/>
                <w:color w:val="000000"/>
                <w:sz w:val="18"/>
                <w:szCs w:val="18"/>
                <w:lang w:val="hr-HR"/>
              </w:rPr>
              <w:t xml:space="preserve"> 12,337 </w:t>
            </w:r>
          </w:p>
        </w:tc>
        <w:tc>
          <w:tcPr>
            <w:tcW w:w="597" w:type="pct"/>
            <w:tcBorders>
              <w:top w:val="single" w:sz="8" w:space="0" w:color="auto"/>
              <w:left w:val="nil"/>
              <w:bottom w:val="single" w:sz="12" w:space="0" w:color="auto"/>
              <w:right w:val="nil"/>
            </w:tcBorders>
            <w:shd w:val="clear" w:color="auto" w:fill="auto"/>
            <w:vAlign w:val="bottom"/>
          </w:tcPr>
          <w:p w14:paraId="3EB7825E" w14:textId="77777777" w:rsidR="00587444" w:rsidRPr="00587444" w:rsidRDefault="00587444" w:rsidP="00587444">
            <w:pPr>
              <w:tabs>
                <w:tab w:val="right" w:pos="1202"/>
              </w:tabs>
              <w:suppressAutoHyphens w:val="0"/>
              <w:autoSpaceDN/>
              <w:jc w:val="right"/>
              <w:outlineLvl w:val="0"/>
              <w:rPr>
                <w:rFonts w:ascii="Arial" w:hAnsi="Arial" w:cs="Arial"/>
                <w:b/>
                <w:iCs/>
                <w:color w:val="000000"/>
                <w:sz w:val="18"/>
                <w:szCs w:val="18"/>
                <w:lang w:val="hr-HR"/>
              </w:rPr>
            </w:pPr>
            <w:r w:rsidRPr="00587444">
              <w:rPr>
                <w:rFonts w:ascii="Arial" w:hAnsi="Arial" w:cs="Arial"/>
                <w:b/>
                <w:iCs/>
                <w:color w:val="000000"/>
                <w:sz w:val="18"/>
                <w:szCs w:val="18"/>
                <w:lang w:val="hr-HR"/>
              </w:rPr>
              <w:t xml:space="preserve">10,715,026 </w:t>
            </w:r>
          </w:p>
        </w:tc>
      </w:tr>
    </w:tbl>
    <w:p w14:paraId="274BA5B3" w14:textId="77777777" w:rsidR="00587444" w:rsidRPr="00587444" w:rsidRDefault="00587444" w:rsidP="00587444">
      <w:pPr>
        <w:suppressAutoHyphens w:val="0"/>
        <w:autoSpaceDN/>
        <w:rPr>
          <w:rFonts w:ascii="Arial" w:hAnsi="Arial" w:cs="Arial"/>
          <w:sz w:val="20"/>
          <w:szCs w:val="20"/>
          <w:highlight w:val="yellow"/>
          <w:lang w:val="en-GB"/>
        </w:rPr>
      </w:pPr>
    </w:p>
    <w:p w14:paraId="1C2096E7" w14:textId="77777777" w:rsidR="00587444" w:rsidRPr="00587444" w:rsidRDefault="00587444" w:rsidP="00587444">
      <w:pPr>
        <w:suppressAutoHyphens w:val="0"/>
        <w:autoSpaceDN/>
        <w:rPr>
          <w:rFonts w:ascii="Arial" w:hAnsi="Arial" w:cs="Arial"/>
          <w:sz w:val="20"/>
          <w:szCs w:val="20"/>
          <w:lang w:val="en-GB"/>
        </w:rPr>
      </w:pPr>
    </w:p>
    <w:p w14:paraId="2949CB59" w14:textId="77777777" w:rsidR="00587444" w:rsidRPr="00587444" w:rsidRDefault="00587444" w:rsidP="00587444">
      <w:pPr>
        <w:suppressAutoHyphens w:val="0"/>
        <w:autoSpaceDN/>
        <w:rPr>
          <w:rFonts w:ascii="Arial" w:hAnsi="Arial" w:cs="Arial"/>
          <w:sz w:val="20"/>
          <w:szCs w:val="20"/>
          <w:lang w:val="en-GB"/>
        </w:rPr>
      </w:pPr>
    </w:p>
    <w:p w14:paraId="0F0AEE5A" w14:textId="77777777" w:rsidR="00587444" w:rsidRPr="00587444" w:rsidRDefault="00587444" w:rsidP="00587444">
      <w:pPr>
        <w:suppressAutoHyphens w:val="0"/>
        <w:autoSpaceDN/>
        <w:rPr>
          <w:rFonts w:ascii="Arial" w:hAnsi="Arial" w:cs="Arial"/>
          <w:sz w:val="20"/>
          <w:szCs w:val="20"/>
          <w:lang w:val="en-GB"/>
        </w:rPr>
      </w:pPr>
    </w:p>
    <w:p w14:paraId="31669E14" w14:textId="77777777" w:rsidR="00587444" w:rsidRPr="00587444" w:rsidRDefault="00587444" w:rsidP="00587444">
      <w:pPr>
        <w:suppressAutoHyphens w:val="0"/>
        <w:autoSpaceDN/>
        <w:rPr>
          <w:rFonts w:ascii="Arial" w:hAnsi="Arial" w:cs="Arial"/>
          <w:sz w:val="20"/>
          <w:szCs w:val="20"/>
          <w:lang w:val="en-GB"/>
        </w:rPr>
      </w:pPr>
    </w:p>
    <w:p w14:paraId="48CB45A0" w14:textId="77777777" w:rsidR="00587444" w:rsidRPr="00587444" w:rsidRDefault="00587444" w:rsidP="00587444">
      <w:pPr>
        <w:suppressAutoHyphens w:val="0"/>
        <w:autoSpaceDN/>
        <w:rPr>
          <w:rFonts w:ascii="Arial" w:hAnsi="Arial" w:cs="Arial"/>
          <w:sz w:val="20"/>
          <w:szCs w:val="20"/>
          <w:lang w:val="en-GB"/>
        </w:rPr>
      </w:pPr>
    </w:p>
    <w:p w14:paraId="393AD53B" w14:textId="77777777" w:rsidR="00587444" w:rsidRPr="00587444" w:rsidRDefault="00587444" w:rsidP="00587444">
      <w:pPr>
        <w:suppressAutoHyphens w:val="0"/>
        <w:autoSpaceDN/>
        <w:rPr>
          <w:rFonts w:ascii="Arial" w:hAnsi="Arial" w:cs="Arial"/>
          <w:sz w:val="20"/>
          <w:szCs w:val="20"/>
          <w:lang w:val="en-GB"/>
        </w:rPr>
      </w:pPr>
    </w:p>
    <w:p w14:paraId="21130490" w14:textId="77777777" w:rsidR="00587444" w:rsidRPr="00587444" w:rsidRDefault="00587444" w:rsidP="00587444">
      <w:pPr>
        <w:suppressAutoHyphens w:val="0"/>
        <w:autoSpaceDN/>
        <w:rPr>
          <w:rFonts w:ascii="Arial" w:hAnsi="Arial" w:cs="Arial"/>
          <w:sz w:val="20"/>
          <w:szCs w:val="20"/>
          <w:lang w:val="en-GB"/>
        </w:rPr>
      </w:pPr>
    </w:p>
    <w:p w14:paraId="71A2D0C4" w14:textId="77777777" w:rsidR="00587444" w:rsidRPr="00587444" w:rsidRDefault="00587444" w:rsidP="00587444">
      <w:pPr>
        <w:suppressAutoHyphens w:val="0"/>
        <w:autoSpaceDN/>
        <w:rPr>
          <w:rFonts w:ascii="Arial" w:hAnsi="Arial" w:cs="Arial"/>
          <w:sz w:val="20"/>
          <w:szCs w:val="20"/>
          <w:lang w:val="en-GB"/>
        </w:rPr>
      </w:pPr>
    </w:p>
    <w:p w14:paraId="0E2FE1D9" w14:textId="77777777" w:rsidR="00587444" w:rsidRPr="00587444" w:rsidRDefault="00587444" w:rsidP="00587444">
      <w:pPr>
        <w:suppressAutoHyphens w:val="0"/>
        <w:autoSpaceDN/>
        <w:rPr>
          <w:rFonts w:ascii="Arial" w:hAnsi="Arial" w:cs="Arial"/>
          <w:b/>
          <w:bCs/>
          <w:sz w:val="20"/>
          <w:szCs w:val="20"/>
          <w:lang w:val="en-GB"/>
        </w:rPr>
        <w:sectPr w:rsidR="00587444" w:rsidRPr="00587444" w:rsidSect="00DD69E7">
          <w:headerReference w:type="default" r:id="rId65"/>
          <w:footerReference w:type="default" r:id="rId66"/>
          <w:pgSz w:w="11907" w:h="16840" w:code="9"/>
          <w:pgMar w:top="1418" w:right="992" w:bottom="1134" w:left="1418" w:header="851" w:footer="851" w:gutter="0"/>
          <w:cols w:space="720"/>
          <w:noEndnote/>
        </w:sectPr>
      </w:pPr>
      <w:r w:rsidRPr="00587444">
        <w:rPr>
          <w:rFonts w:ascii="Arial" w:hAnsi="Arial" w:cs="Arial"/>
          <w:sz w:val="20"/>
          <w:szCs w:val="20"/>
        </w:rPr>
        <w:t>The accompanying accounting policies and notes are an integral part of these financial statements</w:t>
      </w:r>
      <w:r w:rsidRPr="00587444">
        <w:rPr>
          <w:rFonts w:ascii="Arial" w:hAnsi="Arial" w:cs="Arial"/>
          <w:b/>
          <w:bCs/>
          <w:sz w:val="20"/>
          <w:szCs w:val="20"/>
          <w:lang w:val="en-GB"/>
        </w:rPr>
        <w:t>.</w:t>
      </w:r>
    </w:p>
    <w:tbl>
      <w:tblPr>
        <w:tblpPr w:leftFromText="180" w:rightFromText="180" w:vertAnchor="page" w:horzAnchor="margin" w:tblpY="3057"/>
        <w:tblW w:w="5000" w:type="pct"/>
        <w:tblLayout w:type="fixed"/>
        <w:tblCellMar>
          <w:left w:w="119" w:type="dxa"/>
          <w:right w:w="119" w:type="dxa"/>
        </w:tblCellMar>
        <w:tblLook w:val="0000" w:firstRow="0" w:lastRow="0" w:firstColumn="0" w:lastColumn="0" w:noHBand="0" w:noVBand="0"/>
      </w:tblPr>
      <w:tblGrid>
        <w:gridCol w:w="5085"/>
        <w:gridCol w:w="1164"/>
        <w:gridCol w:w="1743"/>
        <w:gridCol w:w="1743"/>
      </w:tblGrid>
      <w:tr w:rsidR="00587444" w:rsidRPr="00587444" w14:paraId="313158F6" w14:textId="77777777" w:rsidTr="00DD69E7">
        <w:trPr>
          <w:trHeight w:val="480"/>
        </w:trPr>
        <w:tc>
          <w:tcPr>
            <w:tcW w:w="2612" w:type="pct"/>
            <w:vAlign w:val="bottom"/>
          </w:tcPr>
          <w:p w14:paraId="5DF7F202" w14:textId="77777777" w:rsidR="00587444" w:rsidRPr="00587444" w:rsidRDefault="00587444" w:rsidP="00587444">
            <w:pPr>
              <w:tabs>
                <w:tab w:val="right" w:pos="1202"/>
              </w:tabs>
              <w:suppressAutoHyphens w:val="0"/>
              <w:autoSpaceDN/>
              <w:spacing w:line="301" w:lineRule="exact"/>
              <w:outlineLvl w:val="0"/>
              <w:rPr>
                <w:rFonts w:ascii="Arial" w:hAnsi="Arial" w:cs="Arial"/>
                <w:b/>
                <w:bCs/>
                <w:sz w:val="20"/>
                <w:szCs w:val="20"/>
                <w:lang w:val="en-GB"/>
              </w:rPr>
            </w:pPr>
          </w:p>
        </w:tc>
        <w:tc>
          <w:tcPr>
            <w:tcW w:w="598" w:type="pct"/>
            <w:vAlign w:val="bottom"/>
          </w:tcPr>
          <w:p w14:paraId="0C0C2F11" w14:textId="77777777" w:rsidR="00587444" w:rsidRPr="00587444" w:rsidRDefault="00587444" w:rsidP="00587444">
            <w:pPr>
              <w:tabs>
                <w:tab w:val="right" w:pos="1202"/>
              </w:tabs>
              <w:suppressAutoHyphens w:val="0"/>
              <w:autoSpaceDN/>
              <w:spacing w:line="301" w:lineRule="exact"/>
              <w:ind w:left="-15" w:firstLine="15"/>
              <w:jc w:val="center"/>
              <w:outlineLvl w:val="0"/>
              <w:rPr>
                <w:rFonts w:ascii="Arial" w:hAnsi="Arial" w:cs="Arial"/>
                <w:b/>
                <w:bCs/>
                <w:sz w:val="20"/>
                <w:szCs w:val="20"/>
                <w:lang w:val="en-GB"/>
              </w:rPr>
            </w:pPr>
            <w:bookmarkStart w:id="264" w:name="_Toc4057246"/>
            <w:r w:rsidRPr="00587444">
              <w:rPr>
                <w:rFonts w:ascii="Arial" w:hAnsi="Arial" w:cs="Arial"/>
                <w:b/>
                <w:bCs/>
                <w:spacing w:val="-1"/>
                <w:sz w:val="20"/>
                <w:szCs w:val="20"/>
                <w:lang w:val="en-GB"/>
              </w:rPr>
              <w:t>Notes</w:t>
            </w:r>
            <w:bookmarkEnd w:id="264"/>
          </w:p>
        </w:tc>
        <w:tc>
          <w:tcPr>
            <w:tcW w:w="895" w:type="pct"/>
            <w:vAlign w:val="bottom"/>
          </w:tcPr>
          <w:p w14:paraId="4A7647B6"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2022</w:t>
            </w:r>
          </w:p>
        </w:tc>
        <w:tc>
          <w:tcPr>
            <w:tcW w:w="895" w:type="pct"/>
            <w:vAlign w:val="bottom"/>
          </w:tcPr>
          <w:p w14:paraId="36A9F539" w14:textId="77777777" w:rsidR="00587444" w:rsidRPr="00587444" w:rsidDel="00077D3D" w:rsidRDefault="00587444" w:rsidP="00587444">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2021</w:t>
            </w:r>
          </w:p>
        </w:tc>
      </w:tr>
      <w:tr w:rsidR="00587444" w:rsidRPr="00587444" w14:paraId="3CB5DF68" w14:textId="77777777" w:rsidTr="00DD69E7">
        <w:tc>
          <w:tcPr>
            <w:tcW w:w="2612" w:type="pct"/>
          </w:tcPr>
          <w:p w14:paraId="4D2E9342" w14:textId="77777777" w:rsidR="00587444" w:rsidRPr="00587444" w:rsidRDefault="00587444" w:rsidP="00587444">
            <w:pPr>
              <w:tabs>
                <w:tab w:val="right" w:pos="1202"/>
              </w:tabs>
              <w:suppressAutoHyphens w:val="0"/>
              <w:autoSpaceDN/>
              <w:spacing w:line="301" w:lineRule="exact"/>
              <w:outlineLvl w:val="0"/>
              <w:rPr>
                <w:rFonts w:ascii="Arial" w:hAnsi="Arial" w:cs="Arial"/>
                <w:b/>
                <w:bCs/>
                <w:sz w:val="20"/>
                <w:szCs w:val="20"/>
                <w:lang w:val="en-GB"/>
              </w:rPr>
            </w:pPr>
          </w:p>
        </w:tc>
        <w:tc>
          <w:tcPr>
            <w:tcW w:w="598" w:type="pct"/>
          </w:tcPr>
          <w:p w14:paraId="0ED4262B"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bCs/>
                <w:spacing w:val="-1"/>
                <w:sz w:val="20"/>
                <w:szCs w:val="20"/>
                <w:lang w:val="en-GB"/>
              </w:rPr>
            </w:pPr>
          </w:p>
        </w:tc>
        <w:tc>
          <w:tcPr>
            <w:tcW w:w="895" w:type="pct"/>
          </w:tcPr>
          <w:p w14:paraId="7BC8F544"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bookmarkStart w:id="265" w:name="_Toc4057249"/>
            <w:r w:rsidRPr="00587444">
              <w:rPr>
                <w:rFonts w:ascii="Arial" w:hAnsi="Arial" w:cs="Arial"/>
                <w:b/>
                <w:bCs/>
                <w:sz w:val="20"/>
                <w:szCs w:val="20"/>
                <w:lang w:val="en-GB"/>
              </w:rPr>
              <w:t>HRK ‘000</w:t>
            </w:r>
            <w:bookmarkEnd w:id="265"/>
            <w:r w:rsidRPr="00587444">
              <w:rPr>
                <w:rFonts w:ascii="Arial" w:hAnsi="Arial" w:cs="Arial"/>
                <w:b/>
                <w:bCs/>
                <w:sz w:val="20"/>
                <w:szCs w:val="20"/>
                <w:lang w:val="en-GB"/>
              </w:rPr>
              <w:t xml:space="preserve"> </w:t>
            </w:r>
          </w:p>
        </w:tc>
        <w:tc>
          <w:tcPr>
            <w:tcW w:w="895" w:type="pct"/>
          </w:tcPr>
          <w:p w14:paraId="67763400" w14:textId="77777777" w:rsidR="00587444" w:rsidRPr="00587444" w:rsidDel="00077D3D" w:rsidRDefault="00587444" w:rsidP="00587444">
            <w:pPr>
              <w:suppressAutoHyphens w:val="0"/>
              <w:autoSpaceDN/>
              <w:spacing w:line="301" w:lineRule="exact"/>
              <w:jc w:val="right"/>
              <w:outlineLvl w:val="0"/>
              <w:rPr>
                <w:rFonts w:ascii="Arial" w:hAnsi="Arial" w:cs="Arial"/>
                <w:b/>
                <w:bCs/>
                <w:sz w:val="20"/>
                <w:szCs w:val="20"/>
                <w:lang w:val="en-GB"/>
              </w:rPr>
            </w:pPr>
            <w:bookmarkStart w:id="266" w:name="_Toc4057250"/>
            <w:r w:rsidRPr="00587444">
              <w:rPr>
                <w:rFonts w:ascii="Arial" w:hAnsi="Arial" w:cs="Arial"/>
                <w:b/>
                <w:bCs/>
                <w:sz w:val="20"/>
                <w:szCs w:val="20"/>
                <w:lang w:val="en-GB"/>
              </w:rPr>
              <w:t>HRK ‘000</w:t>
            </w:r>
            <w:bookmarkEnd w:id="266"/>
            <w:r w:rsidRPr="00587444">
              <w:rPr>
                <w:rFonts w:ascii="Arial" w:hAnsi="Arial" w:cs="Arial"/>
                <w:b/>
                <w:bCs/>
                <w:sz w:val="20"/>
                <w:szCs w:val="20"/>
                <w:lang w:val="en-GB"/>
              </w:rPr>
              <w:t xml:space="preserve"> </w:t>
            </w:r>
          </w:p>
        </w:tc>
      </w:tr>
      <w:tr w:rsidR="00587444" w:rsidRPr="00587444" w14:paraId="5B1DAF22" w14:textId="77777777" w:rsidTr="00DD69E7">
        <w:tc>
          <w:tcPr>
            <w:tcW w:w="2612" w:type="pct"/>
          </w:tcPr>
          <w:p w14:paraId="284878D7"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p>
        </w:tc>
        <w:tc>
          <w:tcPr>
            <w:tcW w:w="598" w:type="pct"/>
          </w:tcPr>
          <w:p w14:paraId="7F50A4B2"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spacing w:val="-1"/>
                <w:sz w:val="20"/>
                <w:szCs w:val="20"/>
                <w:lang w:val="en-GB"/>
              </w:rPr>
            </w:pPr>
          </w:p>
        </w:tc>
        <w:tc>
          <w:tcPr>
            <w:tcW w:w="895" w:type="pct"/>
          </w:tcPr>
          <w:p w14:paraId="53CB43A3" w14:textId="77777777" w:rsidR="00587444" w:rsidRPr="00587444" w:rsidRDefault="00587444" w:rsidP="00587444">
            <w:pPr>
              <w:suppressAutoHyphens w:val="0"/>
              <w:autoSpaceDN/>
              <w:spacing w:line="301" w:lineRule="exact"/>
              <w:jc w:val="right"/>
              <w:outlineLvl w:val="0"/>
              <w:rPr>
                <w:rFonts w:ascii="Arial" w:hAnsi="Arial" w:cs="Arial"/>
                <w:b/>
                <w:sz w:val="20"/>
                <w:szCs w:val="20"/>
                <w:lang w:val="en-GB"/>
              </w:rPr>
            </w:pPr>
          </w:p>
        </w:tc>
        <w:tc>
          <w:tcPr>
            <w:tcW w:w="895" w:type="pct"/>
          </w:tcPr>
          <w:p w14:paraId="37EEB189" w14:textId="77777777" w:rsidR="00587444" w:rsidRPr="00587444" w:rsidRDefault="00587444" w:rsidP="00587444">
            <w:pPr>
              <w:suppressAutoHyphens w:val="0"/>
              <w:autoSpaceDN/>
              <w:spacing w:line="301" w:lineRule="exact"/>
              <w:jc w:val="right"/>
              <w:outlineLvl w:val="0"/>
              <w:rPr>
                <w:rFonts w:ascii="Arial" w:hAnsi="Arial" w:cs="Arial"/>
                <w:b/>
                <w:sz w:val="20"/>
                <w:szCs w:val="20"/>
                <w:lang w:val="en-GB"/>
              </w:rPr>
            </w:pPr>
          </w:p>
        </w:tc>
      </w:tr>
      <w:tr w:rsidR="00587444" w:rsidRPr="00587444" w14:paraId="48E4FFC5" w14:textId="77777777" w:rsidTr="00DD69E7">
        <w:tc>
          <w:tcPr>
            <w:tcW w:w="2612" w:type="pct"/>
          </w:tcPr>
          <w:p w14:paraId="1CD48771" w14:textId="77777777" w:rsidR="00587444" w:rsidRPr="00587444" w:rsidRDefault="00587444" w:rsidP="00587444">
            <w:pPr>
              <w:tabs>
                <w:tab w:val="right" w:pos="1202"/>
              </w:tabs>
              <w:suppressAutoHyphens w:val="0"/>
              <w:autoSpaceDN/>
              <w:spacing w:line="301" w:lineRule="exact"/>
              <w:outlineLvl w:val="0"/>
              <w:rPr>
                <w:rFonts w:ascii="Arial" w:hAnsi="Arial" w:cs="Arial"/>
                <w:bCs/>
                <w:spacing w:val="-2"/>
                <w:sz w:val="20"/>
                <w:szCs w:val="20"/>
                <w:lang w:val="en-GB"/>
              </w:rPr>
            </w:pPr>
            <w:bookmarkStart w:id="267" w:name="_Toc4057251"/>
            <w:r w:rsidRPr="00587444">
              <w:rPr>
                <w:rFonts w:ascii="Arial" w:hAnsi="Arial" w:cs="Arial"/>
                <w:bCs/>
                <w:spacing w:val="-2"/>
                <w:sz w:val="20"/>
                <w:szCs w:val="20"/>
                <w:lang w:val="en-GB"/>
              </w:rPr>
              <w:t>Interest income calculated using the effective interest method</w:t>
            </w:r>
            <w:bookmarkEnd w:id="267"/>
          </w:p>
        </w:tc>
        <w:tc>
          <w:tcPr>
            <w:tcW w:w="598" w:type="pct"/>
            <w:vAlign w:val="bottom"/>
          </w:tcPr>
          <w:p w14:paraId="205CB698"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Cs/>
                <w:sz w:val="20"/>
                <w:szCs w:val="20"/>
                <w:lang w:val="en-GB"/>
              </w:rPr>
            </w:pPr>
            <w:r w:rsidRPr="00587444">
              <w:rPr>
                <w:rFonts w:ascii="Arial" w:hAnsi="Arial" w:cs="Arial"/>
                <w:bCs/>
                <w:sz w:val="20"/>
                <w:szCs w:val="20"/>
                <w:lang w:val="en-GB"/>
              </w:rPr>
              <w:t>5</w:t>
            </w:r>
          </w:p>
        </w:tc>
        <w:tc>
          <w:tcPr>
            <w:tcW w:w="895" w:type="pct"/>
            <w:tcBorders>
              <w:top w:val="nil"/>
              <w:left w:val="nil"/>
              <w:bottom w:val="nil"/>
              <w:right w:val="nil"/>
            </w:tcBorders>
            <w:shd w:val="clear" w:color="auto" w:fill="auto"/>
            <w:vAlign w:val="bottom"/>
          </w:tcPr>
          <w:p w14:paraId="1FD5B612"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627,881</w:t>
            </w:r>
          </w:p>
        </w:tc>
        <w:tc>
          <w:tcPr>
            <w:tcW w:w="895" w:type="pct"/>
            <w:tcBorders>
              <w:top w:val="nil"/>
              <w:left w:val="nil"/>
              <w:bottom w:val="nil"/>
              <w:right w:val="nil"/>
            </w:tcBorders>
            <w:shd w:val="clear" w:color="auto" w:fill="auto"/>
            <w:vAlign w:val="bottom"/>
          </w:tcPr>
          <w:p w14:paraId="64B683A3" w14:textId="77777777" w:rsidR="00587444" w:rsidRPr="00587444" w:rsidDel="00077D3D" w:rsidRDefault="00587444" w:rsidP="00587444">
            <w:pPr>
              <w:suppressAutoHyphens w:val="0"/>
              <w:autoSpaceDN/>
              <w:spacing w:line="301" w:lineRule="exact"/>
              <w:jc w:val="right"/>
              <w:outlineLvl w:val="0"/>
              <w:rPr>
                <w:rFonts w:ascii="Arial" w:hAnsi="Arial" w:cs="Arial"/>
                <w:bCs/>
                <w:spacing w:val="-2"/>
                <w:sz w:val="20"/>
                <w:szCs w:val="20"/>
                <w:lang w:val="hr-HR"/>
              </w:rPr>
            </w:pPr>
            <w:r w:rsidRPr="00587444">
              <w:rPr>
                <w:rFonts w:ascii="Arial" w:hAnsi="Arial" w:cs="Arial"/>
                <w:color w:val="000000"/>
                <w:sz w:val="20"/>
                <w:szCs w:val="20"/>
                <w:lang w:val="hr-HR"/>
              </w:rPr>
              <w:t>676,167</w:t>
            </w:r>
          </w:p>
        </w:tc>
      </w:tr>
      <w:tr w:rsidR="00587444" w:rsidRPr="00587444" w14:paraId="2B956BDE" w14:textId="77777777" w:rsidTr="00DD69E7">
        <w:tc>
          <w:tcPr>
            <w:tcW w:w="2612" w:type="pct"/>
          </w:tcPr>
          <w:p w14:paraId="14351690" w14:textId="77777777" w:rsidR="00587444" w:rsidRPr="00587444" w:rsidRDefault="00587444" w:rsidP="00587444">
            <w:pPr>
              <w:tabs>
                <w:tab w:val="right" w:pos="1202"/>
              </w:tabs>
              <w:suppressAutoHyphens w:val="0"/>
              <w:autoSpaceDN/>
              <w:spacing w:line="301" w:lineRule="exact"/>
              <w:outlineLvl w:val="0"/>
              <w:rPr>
                <w:rFonts w:ascii="Arial" w:hAnsi="Arial" w:cs="Arial"/>
                <w:bCs/>
                <w:spacing w:val="-2"/>
                <w:sz w:val="20"/>
                <w:szCs w:val="20"/>
                <w:lang w:val="en-GB"/>
              </w:rPr>
            </w:pPr>
            <w:bookmarkStart w:id="268" w:name="_Toc4057255"/>
            <w:r w:rsidRPr="00587444">
              <w:rPr>
                <w:rFonts w:ascii="Arial" w:hAnsi="Arial" w:cs="Arial"/>
                <w:bCs/>
                <w:spacing w:val="-2"/>
                <w:sz w:val="20"/>
                <w:szCs w:val="20"/>
                <w:lang w:val="en-GB"/>
              </w:rPr>
              <w:t>Interest expense</w:t>
            </w:r>
            <w:bookmarkEnd w:id="268"/>
          </w:p>
        </w:tc>
        <w:tc>
          <w:tcPr>
            <w:tcW w:w="598" w:type="pct"/>
            <w:vAlign w:val="bottom"/>
          </w:tcPr>
          <w:p w14:paraId="53AF5EAA"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Cs/>
                <w:spacing w:val="-2"/>
                <w:sz w:val="20"/>
                <w:szCs w:val="20"/>
                <w:lang w:val="en-GB"/>
              </w:rPr>
            </w:pPr>
            <w:r w:rsidRPr="00587444">
              <w:rPr>
                <w:rFonts w:ascii="Arial" w:hAnsi="Arial" w:cs="Arial"/>
                <w:bCs/>
                <w:spacing w:val="-2"/>
                <w:sz w:val="20"/>
                <w:szCs w:val="20"/>
                <w:lang w:val="en-GB"/>
              </w:rPr>
              <w:t>6</w:t>
            </w:r>
          </w:p>
        </w:tc>
        <w:tc>
          <w:tcPr>
            <w:tcW w:w="895" w:type="pct"/>
            <w:tcBorders>
              <w:top w:val="nil"/>
              <w:left w:val="nil"/>
              <w:bottom w:val="nil"/>
              <w:right w:val="nil"/>
            </w:tcBorders>
            <w:shd w:val="clear" w:color="auto" w:fill="auto"/>
            <w:vAlign w:val="bottom"/>
          </w:tcPr>
          <w:p w14:paraId="09CF7D1F"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(158,406)</w:t>
            </w:r>
          </w:p>
        </w:tc>
        <w:tc>
          <w:tcPr>
            <w:tcW w:w="895" w:type="pct"/>
            <w:tcBorders>
              <w:top w:val="nil"/>
              <w:left w:val="nil"/>
              <w:bottom w:val="nil"/>
              <w:right w:val="nil"/>
            </w:tcBorders>
            <w:shd w:val="clear" w:color="auto" w:fill="auto"/>
            <w:vAlign w:val="bottom"/>
          </w:tcPr>
          <w:p w14:paraId="77FFCE2C" w14:textId="77777777" w:rsidR="00587444" w:rsidRPr="00587444" w:rsidDel="00077D3D" w:rsidRDefault="00587444" w:rsidP="00587444">
            <w:pPr>
              <w:suppressAutoHyphens w:val="0"/>
              <w:autoSpaceDN/>
              <w:spacing w:line="301" w:lineRule="exact"/>
              <w:jc w:val="right"/>
              <w:outlineLvl w:val="0"/>
              <w:rPr>
                <w:rFonts w:ascii="Arial" w:hAnsi="Arial" w:cs="Arial"/>
                <w:bCs/>
                <w:spacing w:val="-2"/>
                <w:sz w:val="20"/>
                <w:szCs w:val="20"/>
                <w:lang w:val="hr-HR"/>
              </w:rPr>
            </w:pPr>
            <w:r w:rsidRPr="00587444">
              <w:rPr>
                <w:rFonts w:ascii="Arial" w:hAnsi="Arial" w:cs="Arial"/>
                <w:color w:val="000000"/>
                <w:sz w:val="20"/>
                <w:szCs w:val="20"/>
                <w:lang w:val="hr-HR"/>
              </w:rPr>
              <w:t>(184,610)</w:t>
            </w:r>
          </w:p>
        </w:tc>
      </w:tr>
      <w:tr w:rsidR="00587444" w:rsidRPr="00587444" w14:paraId="43DC1D58" w14:textId="77777777" w:rsidTr="00DD69E7">
        <w:tc>
          <w:tcPr>
            <w:tcW w:w="2612" w:type="pct"/>
          </w:tcPr>
          <w:p w14:paraId="1E57DD1F"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vertAlign w:val="superscript"/>
                <w:lang w:val="en-GB"/>
              </w:rPr>
            </w:pPr>
            <w:bookmarkStart w:id="269" w:name="_Toc4057259"/>
            <w:r w:rsidRPr="00587444">
              <w:rPr>
                <w:rFonts w:ascii="Arial" w:hAnsi="Arial" w:cs="Arial"/>
                <w:b/>
                <w:bCs/>
                <w:sz w:val="20"/>
                <w:szCs w:val="20"/>
                <w:lang w:val="en-GB"/>
              </w:rPr>
              <w:t>Net interest income</w:t>
            </w:r>
            <w:bookmarkEnd w:id="269"/>
          </w:p>
        </w:tc>
        <w:tc>
          <w:tcPr>
            <w:tcW w:w="598" w:type="pct"/>
            <w:vAlign w:val="bottom"/>
          </w:tcPr>
          <w:p w14:paraId="2BCAADF4" w14:textId="77777777" w:rsidR="00587444" w:rsidRPr="00587444" w:rsidRDefault="00587444" w:rsidP="00587444">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4" w:space="0" w:color="auto"/>
              <w:bottom w:val="single" w:sz="12" w:space="0" w:color="auto"/>
            </w:tcBorders>
            <w:vAlign w:val="bottom"/>
          </w:tcPr>
          <w:p w14:paraId="19802C41" w14:textId="77777777" w:rsidR="00587444" w:rsidRPr="00587444" w:rsidRDefault="00587444" w:rsidP="00587444">
            <w:pPr>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469,475</w:t>
            </w:r>
          </w:p>
        </w:tc>
        <w:tc>
          <w:tcPr>
            <w:tcW w:w="895" w:type="pct"/>
            <w:tcBorders>
              <w:top w:val="single" w:sz="4" w:space="0" w:color="auto"/>
              <w:bottom w:val="single" w:sz="12" w:space="0" w:color="auto"/>
            </w:tcBorders>
            <w:vAlign w:val="bottom"/>
          </w:tcPr>
          <w:p w14:paraId="652E7F72" w14:textId="77777777" w:rsidR="00587444" w:rsidRPr="00587444" w:rsidDel="00077D3D" w:rsidRDefault="00587444" w:rsidP="00587444">
            <w:pPr>
              <w:suppressAutoHyphens w:val="0"/>
              <w:autoSpaceDN/>
              <w:spacing w:line="340" w:lineRule="exact"/>
              <w:jc w:val="right"/>
              <w:outlineLvl w:val="0"/>
              <w:rPr>
                <w:rFonts w:ascii="Arial" w:hAnsi="Arial" w:cs="Arial"/>
                <w:b/>
                <w:bCs/>
                <w:spacing w:val="-2"/>
                <w:sz w:val="20"/>
                <w:szCs w:val="20"/>
                <w:lang w:val="hr-HR"/>
              </w:rPr>
            </w:pPr>
            <w:r w:rsidRPr="00587444">
              <w:rPr>
                <w:rFonts w:ascii="Arial" w:hAnsi="Arial" w:cs="Arial"/>
                <w:b/>
                <w:bCs/>
                <w:color w:val="000000"/>
                <w:sz w:val="20"/>
                <w:szCs w:val="20"/>
                <w:lang w:val="hr-HR"/>
              </w:rPr>
              <w:t>491,557</w:t>
            </w:r>
          </w:p>
        </w:tc>
      </w:tr>
      <w:tr w:rsidR="00587444" w:rsidRPr="00587444" w14:paraId="0013AF3B" w14:textId="77777777" w:rsidTr="00DD69E7">
        <w:tc>
          <w:tcPr>
            <w:tcW w:w="2612" w:type="pct"/>
          </w:tcPr>
          <w:p w14:paraId="6E5E8624" w14:textId="77777777" w:rsidR="00587444" w:rsidRPr="00587444" w:rsidRDefault="00587444" w:rsidP="00587444">
            <w:pPr>
              <w:tabs>
                <w:tab w:val="right" w:pos="1202"/>
              </w:tabs>
              <w:suppressAutoHyphens w:val="0"/>
              <w:autoSpaceDN/>
              <w:spacing w:line="301" w:lineRule="exact"/>
              <w:outlineLvl w:val="0"/>
              <w:rPr>
                <w:rFonts w:ascii="Arial" w:hAnsi="Arial" w:cs="Arial"/>
                <w:bCs/>
                <w:spacing w:val="-2"/>
                <w:sz w:val="20"/>
                <w:szCs w:val="20"/>
                <w:lang w:val="en-GB"/>
              </w:rPr>
            </w:pPr>
          </w:p>
        </w:tc>
        <w:tc>
          <w:tcPr>
            <w:tcW w:w="598" w:type="pct"/>
            <w:vAlign w:val="bottom"/>
          </w:tcPr>
          <w:p w14:paraId="3B4D16BA"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Cs/>
                <w:sz w:val="20"/>
                <w:szCs w:val="20"/>
                <w:lang w:val="en-GB"/>
              </w:rPr>
            </w:pPr>
          </w:p>
        </w:tc>
        <w:tc>
          <w:tcPr>
            <w:tcW w:w="895" w:type="pct"/>
            <w:tcBorders>
              <w:top w:val="single" w:sz="12" w:space="0" w:color="auto"/>
            </w:tcBorders>
            <w:vAlign w:val="bottom"/>
          </w:tcPr>
          <w:p w14:paraId="176DBCF5"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p>
        </w:tc>
        <w:tc>
          <w:tcPr>
            <w:tcW w:w="895" w:type="pct"/>
            <w:tcBorders>
              <w:top w:val="single" w:sz="12" w:space="0" w:color="auto"/>
            </w:tcBorders>
            <w:vAlign w:val="bottom"/>
          </w:tcPr>
          <w:p w14:paraId="67F6BF3F" w14:textId="77777777" w:rsidR="00587444" w:rsidRPr="00587444" w:rsidRDefault="00587444" w:rsidP="00587444">
            <w:pPr>
              <w:suppressAutoHyphens w:val="0"/>
              <w:autoSpaceDN/>
              <w:spacing w:line="301" w:lineRule="exact"/>
              <w:jc w:val="right"/>
              <w:outlineLvl w:val="0"/>
              <w:rPr>
                <w:rFonts w:ascii="Arial" w:hAnsi="Arial" w:cs="Arial"/>
                <w:bCs/>
                <w:spacing w:val="-2"/>
                <w:sz w:val="20"/>
                <w:szCs w:val="20"/>
                <w:lang w:val="hr-HR"/>
              </w:rPr>
            </w:pPr>
          </w:p>
        </w:tc>
      </w:tr>
      <w:tr w:rsidR="00587444" w:rsidRPr="00587444" w14:paraId="5B31C6EF" w14:textId="77777777" w:rsidTr="00DD69E7">
        <w:tc>
          <w:tcPr>
            <w:tcW w:w="2612" w:type="pct"/>
          </w:tcPr>
          <w:p w14:paraId="0E3607A9" w14:textId="77777777" w:rsidR="00587444" w:rsidRPr="00587444" w:rsidRDefault="00587444" w:rsidP="00587444">
            <w:pPr>
              <w:tabs>
                <w:tab w:val="right" w:pos="1202"/>
              </w:tabs>
              <w:suppressAutoHyphens w:val="0"/>
              <w:autoSpaceDN/>
              <w:spacing w:line="301" w:lineRule="exact"/>
              <w:outlineLvl w:val="0"/>
              <w:rPr>
                <w:rFonts w:ascii="Arial" w:hAnsi="Arial" w:cs="Arial"/>
                <w:bCs/>
                <w:sz w:val="20"/>
                <w:szCs w:val="20"/>
                <w:lang w:val="en-GB"/>
              </w:rPr>
            </w:pPr>
            <w:bookmarkStart w:id="270" w:name="_Toc4057262"/>
            <w:r w:rsidRPr="00587444">
              <w:rPr>
                <w:rFonts w:ascii="Arial" w:hAnsi="Arial" w:cs="Arial"/>
                <w:bCs/>
                <w:spacing w:val="-2"/>
                <w:sz w:val="20"/>
                <w:szCs w:val="20"/>
                <w:lang w:val="en-GB"/>
              </w:rPr>
              <w:t>Fee and commission income</w:t>
            </w:r>
            <w:bookmarkEnd w:id="270"/>
          </w:p>
        </w:tc>
        <w:tc>
          <w:tcPr>
            <w:tcW w:w="598" w:type="pct"/>
          </w:tcPr>
          <w:p w14:paraId="49D08BBA"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Cs/>
                <w:sz w:val="20"/>
                <w:szCs w:val="20"/>
                <w:lang w:val="en-GB"/>
              </w:rPr>
            </w:pPr>
            <w:r w:rsidRPr="00587444">
              <w:rPr>
                <w:rFonts w:ascii="Arial" w:hAnsi="Arial" w:cs="Arial"/>
                <w:bCs/>
                <w:sz w:val="20"/>
                <w:szCs w:val="20"/>
                <w:lang w:val="en-GB"/>
              </w:rPr>
              <w:t>7</w:t>
            </w:r>
          </w:p>
        </w:tc>
        <w:tc>
          <w:tcPr>
            <w:tcW w:w="895" w:type="pct"/>
            <w:tcBorders>
              <w:top w:val="nil"/>
              <w:left w:val="nil"/>
              <w:bottom w:val="nil"/>
              <w:right w:val="nil"/>
            </w:tcBorders>
            <w:shd w:val="clear" w:color="auto" w:fill="auto"/>
            <w:vAlign w:val="bottom"/>
          </w:tcPr>
          <w:p w14:paraId="608D41F1"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23,302</w:t>
            </w:r>
          </w:p>
        </w:tc>
        <w:tc>
          <w:tcPr>
            <w:tcW w:w="895" w:type="pct"/>
            <w:tcBorders>
              <w:top w:val="nil"/>
              <w:left w:val="nil"/>
              <w:bottom w:val="nil"/>
              <w:right w:val="nil"/>
            </w:tcBorders>
            <w:shd w:val="clear" w:color="auto" w:fill="auto"/>
            <w:vAlign w:val="bottom"/>
          </w:tcPr>
          <w:p w14:paraId="2627AD58" w14:textId="77777777" w:rsidR="00587444" w:rsidRPr="00587444" w:rsidDel="00077D3D" w:rsidRDefault="00587444" w:rsidP="00587444">
            <w:pPr>
              <w:suppressAutoHyphens w:val="0"/>
              <w:autoSpaceDN/>
              <w:jc w:val="right"/>
              <w:rPr>
                <w:rFonts w:ascii="Arial" w:eastAsia="Arial Unicode MS" w:hAnsi="Arial" w:cs="Arial"/>
                <w:sz w:val="20"/>
                <w:szCs w:val="20"/>
                <w:lang w:val="hr-HR"/>
              </w:rPr>
            </w:pPr>
            <w:r w:rsidRPr="00587444">
              <w:rPr>
                <w:rFonts w:ascii="Arial" w:hAnsi="Arial" w:cs="Arial"/>
                <w:color w:val="000000"/>
                <w:sz w:val="20"/>
                <w:szCs w:val="20"/>
                <w:lang w:val="hr-HR"/>
              </w:rPr>
              <w:t>28,504</w:t>
            </w:r>
          </w:p>
        </w:tc>
      </w:tr>
      <w:tr w:rsidR="00587444" w:rsidRPr="00587444" w14:paraId="7033B985" w14:textId="77777777" w:rsidTr="00DD69E7">
        <w:trPr>
          <w:trHeight w:val="377"/>
        </w:trPr>
        <w:tc>
          <w:tcPr>
            <w:tcW w:w="2612" w:type="pct"/>
            <w:vAlign w:val="center"/>
          </w:tcPr>
          <w:p w14:paraId="1FA9A0FC" w14:textId="77777777" w:rsidR="00587444" w:rsidRPr="00587444" w:rsidRDefault="00587444" w:rsidP="00587444">
            <w:pPr>
              <w:tabs>
                <w:tab w:val="right" w:pos="1202"/>
              </w:tabs>
              <w:suppressAutoHyphens w:val="0"/>
              <w:autoSpaceDN/>
              <w:spacing w:line="301" w:lineRule="exact"/>
              <w:outlineLvl w:val="0"/>
              <w:rPr>
                <w:rFonts w:ascii="Arial" w:hAnsi="Arial" w:cs="Arial"/>
                <w:bCs/>
                <w:spacing w:val="-2"/>
                <w:sz w:val="20"/>
                <w:szCs w:val="20"/>
                <w:lang w:val="en-GB"/>
              </w:rPr>
            </w:pPr>
            <w:bookmarkStart w:id="271" w:name="_Toc4057264"/>
            <w:r w:rsidRPr="00587444">
              <w:rPr>
                <w:rFonts w:ascii="Arial" w:hAnsi="Arial" w:cs="Arial"/>
                <w:bCs/>
                <w:spacing w:val="-2"/>
                <w:sz w:val="20"/>
                <w:szCs w:val="20"/>
                <w:lang w:val="en-GB"/>
              </w:rPr>
              <w:t>Fee and commission expense</w:t>
            </w:r>
            <w:bookmarkEnd w:id="271"/>
          </w:p>
        </w:tc>
        <w:tc>
          <w:tcPr>
            <w:tcW w:w="598" w:type="pct"/>
            <w:vAlign w:val="center"/>
          </w:tcPr>
          <w:p w14:paraId="49919513"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Cs/>
                <w:spacing w:val="-2"/>
                <w:sz w:val="20"/>
                <w:szCs w:val="20"/>
                <w:lang w:val="en-GB"/>
              </w:rPr>
            </w:pPr>
            <w:r w:rsidRPr="00587444">
              <w:rPr>
                <w:rFonts w:ascii="Arial" w:hAnsi="Arial" w:cs="Arial"/>
                <w:bCs/>
                <w:spacing w:val="-2"/>
                <w:sz w:val="20"/>
                <w:szCs w:val="20"/>
                <w:lang w:val="en-GB"/>
              </w:rPr>
              <w:t>7</w:t>
            </w:r>
          </w:p>
        </w:tc>
        <w:tc>
          <w:tcPr>
            <w:tcW w:w="895" w:type="pct"/>
            <w:tcBorders>
              <w:top w:val="nil"/>
              <w:left w:val="nil"/>
              <w:bottom w:val="nil"/>
              <w:right w:val="nil"/>
            </w:tcBorders>
            <w:shd w:val="clear" w:color="auto" w:fill="auto"/>
            <w:vAlign w:val="bottom"/>
          </w:tcPr>
          <w:p w14:paraId="7110D636"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(3,910)</w:t>
            </w:r>
          </w:p>
        </w:tc>
        <w:tc>
          <w:tcPr>
            <w:tcW w:w="895" w:type="pct"/>
            <w:tcBorders>
              <w:top w:val="nil"/>
              <w:left w:val="nil"/>
              <w:bottom w:val="nil"/>
              <w:right w:val="nil"/>
            </w:tcBorders>
            <w:shd w:val="clear" w:color="auto" w:fill="auto"/>
            <w:vAlign w:val="bottom"/>
          </w:tcPr>
          <w:p w14:paraId="2DF6CD6E" w14:textId="77777777" w:rsidR="00587444" w:rsidRPr="00587444" w:rsidDel="00077D3D" w:rsidRDefault="00587444" w:rsidP="00587444">
            <w:pPr>
              <w:suppressAutoHyphens w:val="0"/>
              <w:autoSpaceDN/>
              <w:jc w:val="right"/>
              <w:rPr>
                <w:rFonts w:ascii="Arial" w:eastAsia="Arial Unicode MS" w:hAnsi="Arial" w:cs="Arial"/>
                <w:sz w:val="20"/>
                <w:szCs w:val="20"/>
                <w:lang w:val="hr-HR"/>
              </w:rPr>
            </w:pPr>
            <w:r w:rsidRPr="00587444">
              <w:rPr>
                <w:rFonts w:ascii="Arial" w:hAnsi="Arial" w:cs="Arial"/>
                <w:color w:val="000000"/>
                <w:sz w:val="20"/>
                <w:szCs w:val="20"/>
                <w:lang w:val="hr-HR"/>
              </w:rPr>
              <w:t>(5,056)</w:t>
            </w:r>
          </w:p>
        </w:tc>
      </w:tr>
      <w:tr w:rsidR="00587444" w:rsidRPr="00587444" w14:paraId="1AAD5BC5" w14:textId="77777777" w:rsidTr="00DD69E7">
        <w:tc>
          <w:tcPr>
            <w:tcW w:w="2612" w:type="pct"/>
          </w:tcPr>
          <w:p w14:paraId="0B6104E0"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vertAlign w:val="superscript"/>
                <w:lang w:val="en-GB"/>
              </w:rPr>
            </w:pPr>
            <w:bookmarkStart w:id="272" w:name="_Toc4057266"/>
            <w:r w:rsidRPr="00587444">
              <w:rPr>
                <w:rFonts w:ascii="Arial" w:hAnsi="Arial" w:cs="Arial"/>
                <w:b/>
                <w:bCs/>
                <w:sz w:val="20"/>
                <w:szCs w:val="20"/>
                <w:lang w:val="en-GB"/>
              </w:rPr>
              <w:t>Net fee and commission income</w:t>
            </w:r>
            <w:bookmarkEnd w:id="272"/>
          </w:p>
        </w:tc>
        <w:tc>
          <w:tcPr>
            <w:tcW w:w="598" w:type="pct"/>
            <w:vAlign w:val="bottom"/>
          </w:tcPr>
          <w:p w14:paraId="2404CC09" w14:textId="77777777" w:rsidR="00587444" w:rsidRPr="00587444" w:rsidRDefault="00587444" w:rsidP="00587444">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4" w:space="0" w:color="auto"/>
              <w:bottom w:val="single" w:sz="12" w:space="0" w:color="auto"/>
            </w:tcBorders>
            <w:vAlign w:val="bottom"/>
          </w:tcPr>
          <w:p w14:paraId="671433C2" w14:textId="77777777" w:rsidR="00587444" w:rsidRPr="00587444" w:rsidRDefault="00587444" w:rsidP="00587444">
            <w:pPr>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19,392</w:t>
            </w:r>
          </w:p>
        </w:tc>
        <w:tc>
          <w:tcPr>
            <w:tcW w:w="895" w:type="pct"/>
            <w:tcBorders>
              <w:top w:val="single" w:sz="4" w:space="0" w:color="auto"/>
              <w:bottom w:val="single" w:sz="12" w:space="0" w:color="auto"/>
            </w:tcBorders>
            <w:vAlign w:val="bottom"/>
          </w:tcPr>
          <w:p w14:paraId="0D12860D" w14:textId="77777777" w:rsidR="00587444" w:rsidRPr="00587444" w:rsidDel="00077D3D" w:rsidRDefault="00587444" w:rsidP="00587444">
            <w:pPr>
              <w:suppressAutoHyphens w:val="0"/>
              <w:autoSpaceDN/>
              <w:spacing w:line="340" w:lineRule="exact"/>
              <w:jc w:val="right"/>
              <w:outlineLvl w:val="0"/>
              <w:rPr>
                <w:rFonts w:ascii="Arial" w:hAnsi="Arial" w:cs="Arial"/>
                <w:b/>
                <w:bCs/>
                <w:spacing w:val="-2"/>
                <w:sz w:val="20"/>
                <w:szCs w:val="20"/>
                <w:lang w:val="hr-HR"/>
              </w:rPr>
            </w:pPr>
            <w:r w:rsidRPr="00587444">
              <w:rPr>
                <w:rFonts w:ascii="Arial" w:hAnsi="Arial" w:cs="Arial"/>
                <w:b/>
                <w:bCs/>
                <w:color w:val="000000"/>
                <w:sz w:val="20"/>
                <w:szCs w:val="20"/>
                <w:lang w:val="hr-HR"/>
              </w:rPr>
              <w:t>23,448</w:t>
            </w:r>
          </w:p>
        </w:tc>
      </w:tr>
      <w:tr w:rsidR="00587444" w:rsidRPr="00587444" w14:paraId="17AAC1C6" w14:textId="77777777" w:rsidTr="00DD69E7">
        <w:tc>
          <w:tcPr>
            <w:tcW w:w="2612" w:type="pct"/>
          </w:tcPr>
          <w:p w14:paraId="07A64D24"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p>
        </w:tc>
        <w:tc>
          <w:tcPr>
            <w:tcW w:w="598" w:type="pct"/>
            <w:vAlign w:val="bottom"/>
          </w:tcPr>
          <w:p w14:paraId="11EA16E0"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sz w:val="20"/>
                <w:szCs w:val="20"/>
                <w:lang w:val="en-GB"/>
              </w:rPr>
            </w:pPr>
          </w:p>
        </w:tc>
        <w:tc>
          <w:tcPr>
            <w:tcW w:w="895" w:type="pct"/>
            <w:tcBorders>
              <w:top w:val="single" w:sz="12" w:space="0" w:color="auto"/>
            </w:tcBorders>
            <w:vAlign w:val="bottom"/>
          </w:tcPr>
          <w:p w14:paraId="5C7C5D13"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p>
        </w:tc>
        <w:tc>
          <w:tcPr>
            <w:tcW w:w="895" w:type="pct"/>
            <w:tcBorders>
              <w:top w:val="single" w:sz="12" w:space="0" w:color="auto"/>
            </w:tcBorders>
            <w:vAlign w:val="bottom"/>
          </w:tcPr>
          <w:p w14:paraId="2A0B899B"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sz w:val="20"/>
                <w:szCs w:val="20"/>
                <w:lang w:val="hr-HR"/>
              </w:rPr>
            </w:pPr>
          </w:p>
        </w:tc>
      </w:tr>
      <w:tr w:rsidR="00587444" w:rsidRPr="00587444" w14:paraId="3F315A60" w14:textId="77777777" w:rsidTr="00DD69E7">
        <w:tc>
          <w:tcPr>
            <w:tcW w:w="2612" w:type="pct"/>
          </w:tcPr>
          <w:p w14:paraId="0CD880D4"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273" w:name="_Toc4057269"/>
            <w:r w:rsidRPr="00587444">
              <w:rPr>
                <w:rFonts w:ascii="Arial" w:hAnsi="Arial" w:cs="Arial"/>
                <w:sz w:val="20"/>
                <w:szCs w:val="20"/>
                <w:lang w:val="en-GB"/>
              </w:rPr>
              <w:t>Net gains/(losses) on financial operations</w:t>
            </w:r>
            <w:bookmarkEnd w:id="273"/>
          </w:p>
        </w:tc>
        <w:tc>
          <w:tcPr>
            <w:tcW w:w="598" w:type="pct"/>
            <w:vAlign w:val="bottom"/>
          </w:tcPr>
          <w:p w14:paraId="68D30BD2"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sz w:val="20"/>
                <w:szCs w:val="20"/>
                <w:lang w:val="en-GB"/>
              </w:rPr>
            </w:pPr>
            <w:r w:rsidRPr="00587444">
              <w:rPr>
                <w:rFonts w:ascii="Arial" w:hAnsi="Arial" w:cs="Arial"/>
                <w:sz w:val="20"/>
                <w:szCs w:val="20"/>
                <w:lang w:val="en-GB"/>
              </w:rPr>
              <w:t>8</w:t>
            </w:r>
          </w:p>
        </w:tc>
        <w:tc>
          <w:tcPr>
            <w:tcW w:w="895" w:type="pct"/>
            <w:tcBorders>
              <w:top w:val="nil"/>
              <w:left w:val="nil"/>
              <w:bottom w:val="nil"/>
              <w:right w:val="nil"/>
            </w:tcBorders>
            <w:shd w:val="clear" w:color="auto" w:fill="auto"/>
            <w:vAlign w:val="bottom"/>
          </w:tcPr>
          <w:p w14:paraId="03796A15"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16,725</w:t>
            </w:r>
          </w:p>
        </w:tc>
        <w:tc>
          <w:tcPr>
            <w:tcW w:w="895" w:type="pct"/>
            <w:tcBorders>
              <w:top w:val="nil"/>
              <w:left w:val="nil"/>
              <w:bottom w:val="nil"/>
              <w:right w:val="nil"/>
            </w:tcBorders>
            <w:shd w:val="clear" w:color="auto" w:fill="auto"/>
            <w:vAlign w:val="bottom"/>
          </w:tcPr>
          <w:p w14:paraId="63E76598" w14:textId="77777777" w:rsidR="00587444" w:rsidRPr="00587444" w:rsidDel="00077D3D" w:rsidRDefault="00587444" w:rsidP="00587444">
            <w:pPr>
              <w:tabs>
                <w:tab w:val="right" w:pos="1202"/>
              </w:tabs>
              <w:suppressAutoHyphens w:val="0"/>
              <w:autoSpaceDN/>
              <w:spacing w:line="301" w:lineRule="exact"/>
              <w:jc w:val="right"/>
              <w:outlineLvl w:val="0"/>
              <w:rPr>
                <w:rFonts w:ascii="Arial" w:hAnsi="Arial" w:cs="Arial"/>
                <w:bCs/>
                <w:spacing w:val="-2"/>
                <w:sz w:val="20"/>
                <w:szCs w:val="20"/>
                <w:lang w:val="hr-HR"/>
              </w:rPr>
            </w:pPr>
            <w:r w:rsidRPr="00587444">
              <w:rPr>
                <w:rFonts w:ascii="Arial" w:hAnsi="Arial" w:cs="Arial"/>
                <w:color w:val="000000"/>
                <w:sz w:val="20"/>
                <w:szCs w:val="20"/>
                <w:lang w:val="hr-HR"/>
              </w:rPr>
              <w:t>(11,837)</w:t>
            </w:r>
          </w:p>
        </w:tc>
      </w:tr>
      <w:tr w:rsidR="00587444" w:rsidRPr="00587444" w14:paraId="0FD0F382" w14:textId="77777777" w:rsidTr="00DD69E7">
        <w:tc>
          <w:tcPr>
            <w:tcW w:w="2612" w:type="pct"/>
          </w:tcPr>
          <w:p w14:paraId="6364ECC4" w14:textId="77777777" w:rsidR="00587444" w:rsidRPr="00587444" w:rsidRDefault="00587444" w:rsidP="00587444">
            <w:pPr>
              <w:tabs>
                <w:tab w:val="right" w:pos="1202"/>
              </w:tabs>
              <w:suppressAutoHyphens w:val="0"/>
              <w:autoSpaceDN/>
              <w:spacing w:line="340" w:lineRule="exact"/>
              <w:outlineLvl w:val="0"/>
              <w:rPr>
                <w:rFonts w:ascii="Arial" w:hAnsi="Arial" w:cs="Arial"/>
                <w:sz w:val="20"/>
                <w:szCs w:val="20"/>
                <w:lang w:val="en-GB"/>
              </w:rPr>
            </w:pPr>
            <w:bookmarkStart w:id="274" w:name="_Toc4057273"/>
            <w:r w:rsidRPr="00587444">
              <w:rPr>
                <w:rFonts w:ascii="Arial" w:hAnsi="Arial" w:cs="Arial"/>
                <w:sz w:val="20"/>
                <w:szCs w:val="20"/>
                <w:lang w:val="en-GB"/>
              </w:rPr>
              <w:t>Other income</w:t>
            </w:r>
            <w:bookmarkEnd w:id="274"/>
          </w:p>
        </w:tc>
        <w:tc>
          <w:tcPr>
            <w:tcW w:w="598" w:type="pct"/>
            <w:vAlign w:val="bottom"/>
          </w:tcPr>
          <w:p w14:paraId="31DBF784" w14:textId="77777777" w:rsidR="00587444" w:rsidRPr="00587444" w:rsidRDefault="00587444" w:rsidP="00587444">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nil"/>
              <w:left w:val="nil"/>
              <w:bottom w:val="nil"/>
              <w:right w:val="nil"/>
            </w:tcBorders>
            <w:shd w:val="clear" w:color="auto" w:fill="auto"/>
            <w:vAlign w:val="bottom"/>
          </w:tcPr>
          <w:p w14:paraId="5EB35466"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14,163</w:t>
            </w:r>
          </w:p>
        </w:tc>
        <w:tc>
          <w:tcPr>
            <w:tcW w:w="895" w:type="pct"/>
            <w:tcBorders>
              <w:top w:val="nil"/>
              <w:left w:val="nil"/>
              <w:bottom w:val="nil"/>
              <w:right w:val="nil"/>
            </w:tcBorders>
            <w:shd w:val="clear" w:color="auto" w:fill="auto"/>
            <w:vAlign w:val="bottom"/>
          </w:tcPr>
          <w:p w14:paraId="20B9B7E8" w14:textId="77777777" w:rsidR="00587444" w:rsidRPr="00587444" w:rsidDel="00077D3D"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23,972</w:t>
            </w:r>
          </w:p>
        </w:tc>
      </w:tr>
      <w:tr w:rsidR="00587444" w:rsidRPr="00587444" w14:paraId="09EDC7AD" w14:textId="77777777" w:rsidTr="00DD69E7">
        <w:tc>
          <w:tcPr>
            <w:tcW w:w="2612" w:type="pct"/>
          </w:tcPr>
          <w:p w14:paraId="5E1A8CDB"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p>
        </w:tc>
        <w:tc>
          <w:tcPr>
            <w:tcW w:w="598" w:type="pct"/>
            <w:vAlign w:val="bottom"/>
          </w:tcPr>
          <w:p w14:paraId="3B9A841A" w14:textId="77777777" w:rsidR="00587444" w:rsidRPr="00587444" w:rsidRDefault="00587444" w:rsidP="00587444">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4" w:space="0" w:color="auto"/>
              <w:bottom w:val="single" w:sz="12" w:space="0" w:color="auto"/>
            </w:tcBorders>
            <w:vAlign w:val="bottom"/>
          </w:tcPr>
          <w:p w14:paraId="31CAAB6B" w14:textId="77777777" w:rsidR="00587444" w:rsidRPr="00587444" w:rsidRDefault="00587444" w:rsidP="00587444">
            <w:pPr>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519,755</w:t>
            </w:r>
          </w:p>
        </w:tc>
        <w:tc>
          <w:tcPr>
            <w:tcW w:w="895" w:type="pct"/>
            <w:tcBorders>
              <w:top w:val="single" w:sz="4" w:space="0" w:color="auto"/>
              <w:bottom w:val="single" w:sz="12" w:space="0" w:color="auto"/>
            </w:tcBorders>
            <w:vAlign w:val="bottom"/>
          </w:tcPr>
          <w:p w14:paraId="471EF6C5" w14:textId="77777777" w:rsidR="00587444" w:rsidRPr="00587444" w:rsidDel="00077D3D"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527,140</w:t>
            </w:r>
          </w:p>
        </w:tc>
      </w:tr>
      <w:tr w:rsidR="00587444" w:rsidRPr="00587444" w14:paraId="0C68C6C7" w14:textId="77777777" w:rsidTr="00DD69E7">
        <w:tc>
          <w:tcPr>
            <w:tcW w:w="2612" w:type="pct"/>
          </w:tcPr>
          <w:p w14:paraId="0211DEBD" w14:textId="77777777" w:rsidR="00587444" w:rsidRPr="00587444" w:rsidRDefault="00587444" w:rsidP="00587444">
            <w:pPr>
              <w:tabs>
                <w:tab w:val="right" w:pos="1202"/>
              </w:tabs>
              <w:suppressAutoHyphens w:val="0"/>
              <w:autoSpaceDN/>
              <w:spacing w:line="301" w:lineRule="exact"/>
              <w:outlineLvl w:val="0"/>
              <w:rPr>
                <w:rFonts w:ascii="Arial" w:hAnsi="Arial" w:cs="Arial"/>
                <w:bCs/>
                <w:spacing w:val="-2"/>
                <w:sz w:val="20"/>
                <w:szCs w:val="20"/>
                <w:lang w:val="en-GB"/>
              </w:rPr>
            </w:pPr>
          </w:p>
        </w:tc>
        <w:tc>
          <w:tcPr>
            <w:tcW w:w="598" w:type="pct"/>
            <w:vAlign w:val="bottom"/>
          </w:tcPr>
          <w:p w14:paraId="029AB68E"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Cs/>
                <w:spacing w:val="-2"/>
                <w:sz w:val="20"/>
                <w:szCs w:val="20"/>
                <w:lang w:val="en-GB"/>
              </w:rPr>
            </w:pPr>
          </w:p>
        </w:tc>
        <w:tc>
          <w:tcPr>
            <w:tcW w:w="895" w:type="pct"/>
            <w:tcBorders>
              <w:top w:val="single" w:sz="12" w:space="0" w:color="auto"/>
            </w:tcBorders>
            <w:vAlign w:val="bottom"/>
          </w:tcPr>
          <w:p w14:paraId="045A1A6B"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p>
        </w:tc>
        <w:tc>
          <w:tcPr>
            <w:tcW w:w="895" w:type="pct"/>
            <w:tcBorders>
              <w:top w:val="single" w:sz="12" w:space="0" w:color="auto"/>
            </w:tcBorders>
            <w:vAlign w:val="bottom"/>
          </w:tcPr>
          <w:p w14:paraId="0FB42128" w14:textId="77777777" w:rsidR="00587444" w:rsidRPr="00587444" w:rsidRDefault="00587444" w:rsidP="00587444">
            <w:pPr>
              <w:suppressAutoHyphens w:val="0"/>
              <w:autoSpaceDN/>
              <w:spacing w:line="301" w:lineRule="exact"/>
              <w:jc w:val="right"/>
              <w:outlineLvl w:val="0"/>
              <w:rPr>
                <w:rFonts w:ascii="Arial" w:hAnsi="Arial" w:cs="Arial"/>
                <w:bCs/>
                <w:spacing w:val="-2"/>
                <w:sz w:val="20"/>
                <w:szCs w:val="20"/>
                <w:lang w:val="hr-HR"/>
              </w:rPr>
            </w:pPr>
          </w:p>
        </w:tc>
      </w:tr>
      <w:tr w:rsidR="00587444" w:rsidRPr="00587444" w14:paraId="04C58535" w14:textId="77777777" w:rsidTr="00DD69E7">
        <w:tc>
          <w:tcPr>
            <w:tcW w:w="2612" w:type="pct"/>
            <w:vAlign w:val="bottom"/>
          </w:tcPr>
          <w:p w14:paraId="2A9E7262" w14:textId="77777777" w:rsidR="00587444" w:rsidRPr="00587444" w:rsidRDefault="00587444" w:rsidP="00587444">
            <w:pPr>
              <w:tabs>
                <w:tab w:val="right" w:pos="1202"/>
              </w:tabs>
              <w:suppressAutoHyphens w:val="0"/>
              <w:autoSpaceDN/>
              <w:spacing w:line="301" w:lineRule="exact"/>
              <w:outlineLvl w:val="0"/>
              <w:rPr>
                <w:rFonts w:ascii="Arial" w:hAnsi="Arial" w:cs="Arial"/>
                <w:bCs/>
                <w:spacing w:val="-2"/>
                <w:sz w:val="20"/>
                <w:szCs w:val="20"/>
                <w:lang w:val="en-GB"/>
              </w:rPr>
            </w:pPr>
            <w:bookmarkStart w:id="275" w:name="_Toc4057278"/>
            <w:r w:rsidRPr="00587444">
              <w:rPr>
                <w:rFonts w:ascii="Arial" w:hAnsi="Arial" w:cs="Arial"/>
                <w:bCs/>
                <w:spacing w:val="-2"/>
                <w:sz w:val="20"/>
                <w:szCs w:val="20"/>
                <w:lang w:val="en-GB"/>
              </w:rPr>
              <w:t>Employee expenses</w:t>
            </w:r>
            <w:bookmarkEnd w:id="275"/>
          </w:p>
        </w:tc>
        <w:tc>
          <w:tcPr>
            <w:tcW w:w="598" w:type="pct"/>
            <w:vAlign w:val="bottom"/>
          </w:tcPr>
          <w:p w14:paraId="1B96F0A2"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276" w:name="_Toc4057279"/>
            <w:r w:rsidRPr="00587444">
              <w:rPr>
                <w:rFonts w:ascii="Arial" w:hAnsi="Arial" w:cs="Arial"/>
                <w:bCs/>
                <w:spacing w:val="-2"/>
                <w:sz w:val="20"/>
                <w:szCs w:val="20"/>
                <w:lang w:val="en-GB"/>
              </w:rPr>
              <w:t>9a)</w:t>
            </w:r>
            <w:bookmarkEnd w:id="276"/>
          </w:p>
        </w:tc>
        <w:tc>
          <w:tcPr>
            <w:tcW w:w="895" w:type="pct"/>
            <w:tcBorders>
              <w:top w:val="nil"/>
              <w:left w:val="nil"/>
              <w:bottom w:val="nil"/>
              <w:right w:val="nil"/>
            </w:tcBorders>
            <w:shd w:val="clear" w:color="auto" w:fill="auto"/>
            <w:vAlign w:val="bottom"/>
          </w:tcPr>
          <w:p w14:paraId="089A3C93"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(100,254)</w:t>
            </w:r>
          </w:p>
        </w:tc>
        <w:tc>
          <w:tcPr>
            <w:tcW w:w="895" w:type="pct"/>
            <w:tcBorders>
              <w:top w:val="nil"/>
              <w:left w:val="nil"/>
              <w:bottom w:val="nil"/>
              <w:right w:val="nil"/>
            </w:tcBorders>
            <w:shd w:val="clear" w:color="auto" w:fill="auto"/>
            <w:vAlign w:val="bottom"/>
          </w:tcPr>
          <w:p w14:paraId="20129AB3" w14:textId="77777777" w:rsidR="00587444" w:rsidRPr="00587444" w:rsidDel="00077D3D" w:rsidRDefault="00587444" w:rsidP="00587444">
            <w:pPr>
              <w:suppressAutoHyphens w:val="0"/>
              <w:autoSpaceDN/>
              <w:spacing w:line="301" w:lineRule="exact"/>
              <w:jc w:val="right"/>
              <w:outlineLvl w:val="0"/>
              <w:rPr>
                <w:rFonts w:ascii="Arial" w:hAnsi="Arial" w:cs="Arial"/>
                <w:bCs/>
                <w:spacing w:val="-2"/>
                <w:sz w:val="20"/>
                <w:szCs w:val="20"/>
                <w:lang w:val="hr-HR"/>
              </w:rPr>
            </w:pPr>
            <w:r w:rsidRPr="00587444">
              <w:rPr>
                <w:rFonts w:ascii="Arial" w:hAnsi="Arial" w:cs="Arial"/>
                <w:color w:val="000000"/>
                <w:sz w:val="20"/>
                <w:szCs w:val="20"/>
                <w:lang w:val="hr-HR"/>
              </w:rPr>
              <w:t>(95,219)</w:t>
            </w:r>
          </w:p>
        </w:tc>
      </w:tr>
      <w:tr w:rsidR="00587444" w:rsidRPr="00587444" w14:paraId="650D1D23" w14:textId="77777777" w:rsidTr="00DD69E7">
        <w:tc>
          <w:tcPr>
            <w:tcW w:w="2612" w:type="pct"/>
            <w:vAlign w:val="bottom"/>
          </w:tcPr>
          <w:p w14:paraId="2893F89E" w14:textId="77777777" w:rsidR="00587444" w:rsidRPr="00587444" w:rsidRDefault="00587444" w:rsidP="00587444">
            <w:pPr>
              <w:tabs>
                <w:tab w:val="right" w:pos="1202"/>
              </w:tabs>
              <w:suppressAutoHyphens w:val="0"/>
              <w:autoSpaceDN/>
              <w:spacing w:line="301" w:lineRule="exact"/>
              <w:outlineLvl w:val="0"/>
              <w:rPr>
                <w:rFonts w:ascii="Arial" w:hAnsi="Arial" w:cs="Arial"/>
                <w:bCs/>
                <w:spacing w:val="-2"/>
                <w:sz w:val="20"/>
                <w:szCs w:val="20"/>
                <w:lang w:val="en-GB"/>
              </w:rPr>
            </w:pPr>
            <w:bookmarkStart w:id="277" w:name="_Toc4057282"/>
            <w:r w:rsidRPr="00587444">
              <w:rPr>
                <w:rFonts w:ascii="Arial" w:hAnsi="Arial" w:cs="Arial"/>
                <w:bCs/>
                <w:spacing w:val="-2"/>
                <w:sz w:val="20"/>
                <w:szCs w:val="20"/>
                <w:lang w:val="en-GB"/>
              </w:rPr>
              <w:t>Depreciation and amortisation</w:t>
            </w:r>
            <w:bookmarkEnd w:id="277"/>
          </w:p>
        </w:tc>
        <w:tc>
          <w:tcPr>
            <w:tcW w:w="598" w:type="pct"/>
            <w:vAlign w:val="bottom"/>
          </w:tcPr>
          <w:p w14:paraId="4FB583A0"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278" w:name="_Toc4057283"/>
            <w:r w:rsidRPr="00587444">
              <w:rPr>
                <w:rFonts w:ascii="Arial" w:hAnsi="Arial" w:cs="Arial"/>
                <w:bCs/>
                <w:spacing w:val="-2"/>
                <w:sz w:val="20"/>
                <w:szCs w:val="20"/>
                <w:lang w:val="en-GB"/>
              </w:rPr>
              <w:t>9 b)</w:t>
            </w:r>
            <w:bookmarkEnd w:id="278"/>
          </w:p>
        </w:tc>
        <w:tc>
          <w:tcPr>
            <w:tcW w:w="895" w:type="pct"/>
            <w:tcBorders>
              <w:top w:val="nil"/>
              <w:left w:val="nil"/>
              <w:bottom w:val="nil"/>
              <w:right w:val="nil"/>
            </w:tcBorders>
            <w:shd w:val="clear" w:color="auto" w:fill="auto"/>
            <w:vAlign w:val="bottom"/>
          </w:tcPr>
          <w:p w14:paraId="0187787E"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(11,248)</w:t>
            </w:r>
          </w:p>
        </w:tc>
        <w:tc>
          <w:tcPr>
            <w:tcW w:w="895" w:type="pct"/>
            <w:tcBorders>
              <w:top w:val="nil"/>
              <w:left w:val="nil"/>
              <w:bottom w:val="nil"/>
              <w:right w:val="nil"/>
            </w:tcBorders>
            <w:shd w:val="clear" w:color="auto" w:fill="auto"/>
            <w:vAlign w:val="bottom"/>
          </w:tcPr>
          <w:p w14:paraId="45263006"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(10,990)</w:t>
            </w:r>
          </w:p>
        </w:tc>
      </w:tr>
      <w:tr w:rsidR="00587444" w:rsidRPr="00587444" w14:paraId="33B1F0AB" w14:textId="77777777" w:rsidTr="00DD69E7">
        <w:tc>
          <w:tcPr>
            <w:tcW w:w="2612" w:type="pct"/>
            <w:vAlign w:val="bottom"/>
          </w:tcPr>
          <w:p w14:paraId="4323AD8B" w14:textId="77777777" w:rsidR="00587444" w:rsidRPr="00587444" w:rsidRDefault="00587444" w:rsidP="00587444">
            <w:pPr>
              <w:tabs>
                <w:tab w:val="right" w:pos="1202"/>
              </w:tabs>
              <w:suppressAutoHyphens w:val="0"/>
              <w:autoSpaceDN/>
              <w:spacing w:line="301" w:lineRule="exact"/>
              <w:outlineLvl w:val="0"/>
              <w:rPr>
                <w:rFonts w:ascii="Arial" w:hAnsi="Arial" w:cs="Arial"/>
                <w:bCs/>
                <w:spacing w:val="-2"/>
                <w:sz w:val="20"/>
                <w:szCs w:val="20"/>
                <w:lang w:val="en-GB"/>
              </w:rPr>
            </w:pPr>
            <w:bookmarkStart w:id="279" w:name="_Toc4057286"/>
            <w:r w:rsidRPr="00587444">
              <w:rPr>
                <w:rFonts w:ascii="Arial" w:hAnsi="Arial" w:cs="Arial"/>
                <w:bCs/>
                <w:spacing w:val="-2"/>
                <w:sz w:val="20"/>
                <w:szCs w:val="20"/>
                <w:lang w:val="en-GB"/>
              </w:rPr>
              <w:t>Other expenses</w:t>
            </w:r>
            <w:bookmarkEnd w:id="279"/>
          </w:p>
        </w:tc>
        <w:tc>
          <w:tcPr>
            <w:tcW w:w="598" w:type="pct"/>
            <w:vAlign w:val="bottom"/>
          </w:tcPr>
          <w:p w14:paraId="4AC58191"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280" w:name="_Toc4057287"/>
            <w:r w:rsidRPr="00587444">
              <w:rPr>
                <w:rFonts w:ascii="Arial" w:hAnsi="Arial" w:cs="Arial"/>
                <w:bCs/>
                <w:spacing w:val="-2"/>
                <w:sz w:val="20"/>
                <w:szCs w:val="20"/>
                <w:lang w:val="en-GB"/>
              </w:rPr>
              <w:t>9 c)</w:t>
            </w:r>
            <w:bookmarkEnd w:id="280"/>
          </w:p>
        </w:tc>
        <w:tc>
          <w:tcPr>
            <w:tcW w:w="895" w:type="pct"/>
            <w:tcBorders>
              <w:top w:val="nil"/>
              <w:left w:val="nil"/>
              <w:bottom w:val="nil"/>
              <w:right w:val="nil"/>
            </w:tcBorders>
            <w:shd w:val="clear" w:color="auto" w:fill="auto"/>
            <w:vAlign w:val="bottom"/>
          </w:tcPr>
          <w:p w14:paraId="160869E0"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(77,646)</w:t>
            </w:r>
          </w:p>
        </w:tc>
        <w:tc>
          <w:tcPr>
            <w:tcW w:w="895" w:type="pct"/>
            <w:tcBorders>
              <w:top w:val="nil"/>
              <w:left w:val="nil"/>
              <w:bottom w:val="nil"/>
              <w:right w:val="nil"/>
            </w:tcBorders>
            <w:shd w:val="clear" w:color="auto" w:fill="auto"/>
            <w:vAlign w:val="bottom"/>
          </w:tcPr>
          <w:p w14:paraId="5BD273D1"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(70,845)</w:t>
            </w:r>
          </w:p>
        </w:tc>
      </w:tr>
      <w:tr w:rsidR="00587444" w:rsidRPr="00587444" w14:paraId="416A5314" w14:textId="77777777" w:rsidTr="00DD69E7">
        <w:tc>
          <w:tcPr>
            <w:tcW w:w="2612" w:type="pct"/>
          </w:tcPr>
          <w:p w14:paraId="4C6A9E7F" w14:textId="77777777" w:rsidR="00587444" w:rsidRPr="00587444" w:rsidRDefault="00587444" w:rsidP="00587444">
            <w:pPr>
              <w:tabs>
                <w:tab w:val="right" w:pos="1202"/>
              </w:tabs>
              <w:suppressAutoHyphens w:val="0"/>
              <w:autoSpaceDN/>
              <w:spacing w:line="301" w:lineRule="exact"/>
              <w:outlineLvl w:val="0"/>
              <w:rPr>
                <w:rFonts w:ascii="Arial" w:hAnsi="Arial" w:cs="Arial"/>
                <w:bCs/>
                <w:spacing w:val="-2"/>
                <w:sz w:val="20"/>
                <w:szCs w:val="20"/>
                <w:lang w:val="en-GB"/>
              </w:rPr>
            </w:pPr>
            <w:bookmarkStart w:id="281" w:name="_Toc4057290"/>
            <w:r w:rsidRPr="00587444">
              <w:rPr>
                <w:rFonts w:ascii="Arial" w:hAnsi="Arial" w:cs="Arial"/>
                <w:bCs/>
                <w:spacing w:val="-2"/>
                <w:sz w:val="20"/>
                <w:szCs w:val="20"/>
                <w:lang w:val="en-GB"/>
              </w:rPr>
              <w:t>Impairment loss and provisions</w:t>
            </w:r>
            <w:bookmarkEnd w:id="281"/>
          </w:p>
        </w:tc>
        <w:tc>
          <w:tcPr>
            <w:tcW w:w="598" w:type="pct"/>
            <w:vAlign w:val="bottom"/>
          </w:tcPr>
          <w:p w14:paraId="314F47D4"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Cs/>
                <w:spacing w:val="-2"/>
                <w:sz w:val="20"/>
                <w:szCs w:val="20"/>
                <w:lang w:val="en-GB"/>
              </w:rPr>
            </w:pPr>
            <w:r w:rsidRPr="00587444">
              <w:rPr>
                <w:rFonts w:ascii="Arial" w:hAnsi="Arial" w:cs="Arial"/>
                <w:bCs/>
                <w:spacing w:val="-2"/>
                <w:sz w:val="20"/>
                <w:szCs w:val="20"/>
                <w:lang w:val="en-GB"/>
              </w:rPr>
              <w:t>10</w:t>
            </w:r>
          </w:p>
        </w:tc>
        <w:tc>
          <w:tcPr>
            <w:tcW w:w="895" w:type="pct"/>
            <w:tcBorders>
              <w:top w:val="nil"/>
              <w:left w:val="nil"/>
              <w:bottom w:val="nil"/>
              <w:right w:val="nil"/>
            </w:tcBorders>
            <w:shd w:val="clear" w:color="auto" w:fill="auto"/>
            <w:vAlign w:val="bottom"/>
          </w:tcPr>
          <w:p w14:paraId="498353C0"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(144,434)</w:t>
            </w:r>
          </w:p>
        </w:tc>
        <w:tc>
          <w:tcPr>
            <w:tcW w:w="895" w:type="pct"/>
            <w:tcBorders>
              <w:top w:val="nil"/>
              <w:left w:val="nil"/>
              <w:bottom w:val="nil"/>
              <w:right w:val="nil"/>
            </w:tcBorders>
            <w:shd w:val="clear" w:color="auto" w:fill="auto"/>
            <w:vAlign w:val="bottom"/>
          </w:tcPr>
          <w:p w14:paraId="4E30CE62" w14:textId="77777777" w:rsidR="00587444" w:rsidRPr="00587444" w:rsidDel="00077D3D" w:rsidRDefault="00587444" w:rsidP="00587444">
            <w:pPr>
              <w:suppressAutoHyphens w:val="0"/>
              <w:autoSpaceDN/>
              <w:spacing w:line="301" w:lineRule="exact"/>
              <w:jc w:val="right"/>
              <w:outlineLvl w:val="0"/>
              <w:rPr>
                <w:rFonts w:ascii="Arial" w:hAnsi="Arial" w:cs="Arial"/>
                <w:bCs/>
                <w:spacing w:val="-2"/>
                <w:sz w:val="20"/>
                <w:szCs w:val="20"/>
                <w:lang w:val="hr-HR"/>
              </w:rPr>
            </w:pPr>
            <w:r w:rsidRPr="00587444">
              <w:rPr>
                <w:rFonts w:ascii="Arial" w:hAnsi="Arial" w:cs="Arial"/>
                <w:color w:val="000000"/>
                <w:sz w:val="20"/>
                <w:szCs w:val="20"/>
                <w:lang w:val="hr-HR"/>
              </w:rPr>
              <w:t>(163,004)</w:t>
            </w:r>
          </w:p>
        </w:tc>
      </w:tr>
      <w:tr w:rsidR="00587444" w:rsidRPr="00587444" w14:paraId="70D22D0D" w14:textId="77777777" w:rsidTr="00DD69E7">
        <w:tc>
          <w:tcPr>
            <w:tcW w:w="2612" w:type="pct"/>
          </w:tcPr>
          <w:p w14:paraId="2701F910"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bookmarkStart w:id="282" w:name="_Toc4057294"/>
            <w:r w:rsidRPr="00587444">
              <w:rPr>
                <w:rFonts w:ascii="Arial" w:hAnsi="Arial" w:cs="Arial"/>
                <w:b/>
                <w:bCs/>
                <w:sz w:val="20"/>
                <w:szCs w:val="20"/>
                <w:lang w:val="en-GB"/>
              </w:rPr>
              <w:t>Profit before income tax</w:t>
            </w:r>
            <w:bookmarkEnd w:id="282"/>
          </w:p>
        </w:tc>
        <w:tc>
          <w:tcPr>
            <w:tcW w:w="598" w:type="pct"/>
            <w:vAlign w:val="bottom"/>
          </w:tcPr>
          <w:p w14:paraId="11BCA9A4" w14:textId="77777777" w:rsidR="00587444" w:rsidRPr="00587444" w:rsidRDefault="00587444" w:rsidP="00587444">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4" w:space="0" w:color="auto"/>
              <w:bottom w:val="single" w:sz="12" w:space="0" w:color="auto"/>
            </w:tcBorders>
            <w:vAlign w:val="bottom"/>
          </w:tcPr>
          <w:p w14:paraId="0DC4AF5B" w14:textId="77777777" w:rsidR="00587444" w:rsidRPr="00587444" w:rsidRDefault="00587444" w:rsidP="00587444">
            <w:pPr>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186,173</w:t>
            </w:r>
          </w:p>
        </w:tc>
        <w:tc>
          <w:tcPr>
            <w:tcW w:w="895" w:type="pct"/>
            <w:tcBorders>
              <w:top w:val="single" w:sz="4" w:space="0" w:color="auto"/>
              <w:bottom w:val="single" w:sz="12" w:space="0" w:color="auto"/>
            </w:tcBorders>
            <w:vAlign w:val="bottom"/>
          </w:tcPr>
          <w:p w14:paraId="4D87E111" w14:textId="77777777" w:rsidR="00587444" w:rsidRPr="00587444" w:rsidDel="00077D3D"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187,082</w:t>
            </w:r>
          </w:p>
        </w:tc>
      </w:tr>
      <w:tr w:rsidR="00587444" w:rsidRPr="00587444" w14:paraId="57E214FC" w14:textId="77777777" w:rsidTr="00DD69E7">
        <w:tc>
          <w:tcPr>
            <w:tcW w:w="2612" w:type="pct"/>
          </w:tcPr>
          <w:p w14:paraId="4A1750CC"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p>
        </w:tc>
        <w:tc>
          <w:tcPr>
            <w:tcW w:w="598" w:type="pct"/>
            <w:vAlign w:val="bottom"/>
          </w:tcPr>
          <w:p w14:paraId="7B836C5C" w14:textId="77777777" w:rsidR="00587444" w:rsidRPr="00587444" w:rsidRDefault="00587444" w:rsidP="00587444">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12" w:space="0" w:color="auto"/>
            </w:tcBorders>
            <w:vAlign w:val="bottom"/>
          </w:tcPr>
          <w:p w14:paraId="7BE105D8"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p>
        </w:tc>
        <w:tc>
          <w:tcPr>
            <w:tcW w:w="895" w:type="pct"/>
            <w:tcBorders>
              <w:top w:val="single" w:sz="12" w:space="0" w:color="auto"/>
            </w:tcBorders>
            <w:vAlign w:val="bottom"/>
          </w:tcPr>
          <w:p w14:paraId="02AA3C90"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p>
        </w:tc>
      </w:tr>
      <w:tr w:rsidR="00587444" w:rsidRPr="00587444" w14:paraId="7864FBC3" w14:textId="77777777" w:rsidTr="00DD69E7">
        <w:tc>
          <w:tcPr>
            <w:tcW w:w="2612" w:type="pct"/>
          </w:tcPr>
          <w:p w14:paraId="174BFBFE" w14:textId="77777777" w:rsidR="00587444" w:rsidRPr="00587444" w:rsidRDefault="00587444" w:rsidP="00587444">
            <w:pPr>
              <w:tabs>
                <w:tab w:val="right" w:pos="1202"/>
              </w:tabs>
              <w:suppressAutoHyphens w:val="0"/>
              <w:autoSpaceDN/>
              <w:spacing w:line="340" w:lineRule="exact"/>
              <w:outlineLvl w:val="0"/>
              <w:rPr>
                <w:rFonts w:ascii="Arial" w:hAnsi="Arial" w:cs="Arial"/>
                <w:sz w:val="20"/>
                <w:szCs w:val="20"/>
                <w:lang w:val="en-GB"/>
              </w:rPr>
            </w:pPr>
            <w:bookmarkStart w:id="283" w:name="_Toc4057297"/>
            <w:r w:rsidRPr="00587444">
              <w:rPr>
                <w:rFonts w:ascii="Arial" w:hAnsi="Arial" w:cs="Arial"/>
                <w:sz w:val="20"/>
                <w:szCs w:val="20"/>
                <w:lang w:val="en-GB"/>
              </w:rPr>
              <w:t>Income tax</w:t>
            </w:r>
            <w:bookmarkEnd w:id="283"/>
          </w:p>
        </w:tc>
        <w:tc>
          <w:tcPr>
            <w:tcW w:w="598" w:type="pct"/>
            <w:vAlign w:val="bottom"/>
          </w:tcPr>
          <w:p w14:paraId="590EEDBA" w14:textId="77777777" w:rsidR="00587444" w:rsidRPr="00587444" w:rsidRDefault="00587444" w:rsidP="00587444">
            <w:pPr>
              <w:tabs>
                <w:tab w:val="right" w:pos="1202"/>
              </w:tabs>
              <w:suppressAutoHyphens w:val="0"/>
              <w:autoSpaceDN/>
              <w:spacing w:line="340" w:lineRule="exact"/>
              <w:jc w:val="center"/>
              <w:outlineLvl w:val="0"/>
              <w:rPr>
                <w:rFonts w:ascii="Arial" w:hAnsi="Arial" w:cs="Arial"/>
                <w:sz w:val="20"/>
                <w:szCs w:val="20"/>
                <w:lang w:val="en-GB"/>
              </w:rPr>
            </w:pPr>
            <w:r w:rsidRPr="00587444">
              <w:rPr>
                <w:rFonts w:ascii="Arial" w:hAnsi="Arial" w:cs="Arial"/>
                <w:sz w:val="20"/>
                <w:szCs w:val="20"/>
                <w:lang w:val="en-GB"/>
              </w:rPr>
              <w:t>11</w:t>
            </w:r>
          </w:p>
        </w:tc>
        <w:tc>
          <w:tcPr>
            <w:tcW w:w="895" w:type="pct"/>
            <w:vAlign w:val="bottom"/>
          </w:tcPr>
          <w:p w14:paraId="2CC2EA17"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w:t>
            </w:r>
          </w:p>
        </w:tc>
        <w:tc>
          <w:tcPr>
            <w:tcW w:w="895" w:type="pct"/>
            <w:vAlign w:val="bottom"/>
          </w:tcPr>
          <w:p w14:paraId="4C9B2EF3" w14:textId="77777777" w:rsidR="00587444" w:rsidRPr="00587444" w:rsidDel="00077D3D" w:rsidRDefault="00587444" w:rsidP="00587444">
            <w:pPr>
              <w:tabs>
                <w:tab w:val="right" w:pos="1202"/>
              </w:tabs>
              <w:suppressAutoHyphens w:val="0"/>
              <w:autoSpaceDN/>
              <w:spacing w:line="340" w:lineRule="exact"/>
              <w:jc w:val="right"/>
              <w:outlineLvl w:val="0"/>
              <w:rPr>
                <w:rFonts w:ascii="Arial" w:hAnsi="Arial" w:cs="Arial"/>
                <w:sz w:val="20"/>
                <w:szCs w:val="20"/>
                <w:lang w:val="hr-HR"/>
              </w:rPr>
            </w:pPr>
            <w:r w:rsidRPr="00587444">
              <w:rPr>
                <w:rFonts w:ascii="Arial" w:hAnsi="Arial" w:cs="Arial"/>
                <w:sz w:val="20"/>
                <w:szCs w:val="20"/>
                <w:lang w:val="en-GB"/>
              </w:rPr>
              <w:t>-</w:t>
            </w:r>
          </w:p>
        </w:tc>
      </w:tr>
      <w:tr w:rsidR="00587444" w:rsidRPr="00587444" w14:paraId="51B34ACB" w14:textId="77777777" w:rsidTr="00DD69E7">
        <w:tc>
          <w:tcPr>
            <w:tcW w:w="2612" w:type="pct"/>
          </w:tcPr>
          <w:p w14:paraId="551B5FB9"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bookmarkStart w:id="284" w:name="_Toc4057301"/>
            <w:r w:rsidRPr="00587444">
              <w:rPr>
                <w:rFonts w:ascii="Arial" w:hAnsi="Arial" w:cs="Arial"/>
                <w:b/>
                <w:bCs/>
                <w:sz w:val="20"/>
                <w:szCs w:val="20"/>
                <w:lang w:val="en-GB"/>
              </w:rPr>
              <w:t>Profit for the year</w:t>
            </w:r>
            <w:bookmarkEnd w:id="284"/>
          </w:p>
        </w:tc>
        <w:tc>
          <w:tcPr>
            <w:tcW w:w="598" w:type="pct"/>
            <w:vAlign w:val="bottom"/>
          </w:tcPr>
          <w:p w14:paraId="16342E07" w14:textId="77777777" w:rsidR="00587444" w:rsidRPr="00587444" w:rsidRDefault="00587444" w:rsidP="00587444">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4" w:space="0" w:color="auto"/>
              <w:bottom w:val="single" w:sz="12" w:space="0" w:color="auto"/>
            </w:tcBorders>
            <w:vAlign w:val="bottom"/>
          </w:tcPr>
          <w:p w14:paraId="6AD672A5" w14:textId="77777777" w:rsidR="00587444" w:rsidRPr="00587444" w:rsidRDefault="00587444" w:rsidP="00587444">
            <w:pPr>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186,173</w:t>
            </w:r>
          </w:p>
        </w:tc>
        <w:tc>
          <w:tcPr>
            <w:tcW w:w="895" w:type="pct"/>
            <w:tcBorders>
              <w:top w:val="single" w:sz="4" w:space="0" w:color="auto"/>
              <w:bottom w:val="single" w:sz="12" w:space="0" w:color="auto"/>
            </w:tcBorders>
            <w:vAlign w:val="bottom"/>
          </w:tcPr>
          <w:p w14:paraId="3FF9154F" w14:textId="77777777" w:rsidR="00587444" w:rsidRPr="00587444" w:rsidDel="00077D3D"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187,082</w:t>
            </w:r>
          </w:p>
        </w:tc>
      </w:tr>
      <w:tr w:rsidR="00587444" w:rsidRPr="00587444" w14:paraId="3218442F" w14:textId="77777777" w:rsidTr="00DD69E7">
        <w:trPr>
          <w:trHeight w:val="70"/>
        </w:trPr>
        <w:tc>
          <w:tcPr>
            <w:tcW w:w="2612" w:type="pct"/>
          </w:tcPr>
          <w:p w14:paraId="66493871" w14:textId="77777777" w:rsidR="00587444" w:rsidRPr="00587444" w:rsidRDefault="00587444" w:rsidP="00587444">
            <w:pPr>
              <w:keepNext/>
              <w:keepLines/>
              <w:tabs>
                <w:tab w:val="decimal" w:pos="1202"/>
              </w:tabs>
              <w:suppressAutoHyphens w:val="0"/>
              <w:autoSpaceDN/>
              <w:spacing w:line="301" w:lineRule="exact"/>
              <w:rPr>
                <w:rFonts w:ascii="Arial" w:hAnsi="Arial" w:cs="Arial"/>
                <w:b/>
                <w:position w:val="4"/>
                <w:sz w:val="20"/>
                <w:szCs w:val="20"/>
                <w:lang w:val="en-GB"/>
              </w:rPr>
            </w:pPr>
          </w:p>
        </w:tc>
        <w:tc>
          <w:tcPr>
            <w:tcW w:w="598" w:type="pct"/>
            <w:vAlign w:val="bottom"/>
          </w:tcPr>
          <w:p w14:paraId="22073A11" w14:textId="77777777" w:rsidR="00587444" w:rsidRPr="00587444" w:rsidRDefault="00587444" w:rsidP="00587444">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5" w:type="pct"/>
            <w:tcBorders>
              <w:top w:val="single" w:sz="12" w:space="0" w:color="auto"/>
            </w:tcBorders>
            <w:vAlign w:val="bottom"/>
          </w:tcPr>
          <w:p w14:paraId="0A4B710D"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p>
        </w:tc>
        <w:tc>
          <w:tcPr>
            <w:tcW w:w="895" w:type="pct"/>
            <w:tcBorders>
              <w:top w:val="single" w:sz="12" w:space="0" w:color="auto"/>
            </w:tcBorders>
            <w:vAlign w:val="bottom"/>
          </w:tcPr>
          <w:p w14:paraId="0B3CAF28" w14:textId="77777777" w:rsidR="00587444" w:rsidRPr="00587444" w:rsidRDefault="00587444" w:rsidP="00587444">
            <w:pPr>
              <w:keepNext/>
              <w:keepLines/>
              <w:suppressAutoHyphens w:val="0"/>
              <w:autoSpaceDN/>
              <w:spacing w:line="240" w:lineRule="exact"/>
              <w:jc w:val="right"/>
              <w:rPr>
                <w:rFonts w:ascii="Arial" w:hAnsi="Arial" w:cs="Arial"/>
                <w:b/>
                <w:position w:val="4"/>
                <w:sz w:val="20"/>
                <w:szCs w:val="20"/>
                <w:u w:val="thick"/>
                <w:lang w:val="hr-HR"/>
              </w:rPr>
            </w:pPr>
          </w:p>
        </w:tc>
      </w:tr>
      <w:tr w:rsidR="00587444" w:rsidRPr="00587444" w14:paraId="5D786FE2" w14:textId="77777777" w:rsidTr="00DD69E7">
        <w:trPr>
          <w:trHeight w:val="70"/>
        </w:trPr>
        <w:tc>
          <w:tcPr>
            <w:tcW w:w="2612" w:type="pct"/>
          </w:tcPr>
          <w:p w14:paraId="67FC90D2" w14:textId="77777777" w:rsidR="00587444" w:rsidRPr="00587444" w:rsidRDefault="00587444" w:rsidP="00587444">
            <w:pPr>
              <w:keepNext/>
              <w:keepLines/>
              <w:tabs>
                <w:tab w:val="decimal" w:pos="1202"/>
              </w:tabs>
              <w:suppressAutoHyphens w:val="0"/>
              <w:autoSpaceDN/>
              <w:spacing w:line="301" w:lineRule="exact"/>
              <w:rPr>
                <w:rFonts w:ascii="Arial" w:hAnsi="Arial" w:cs="Arial"/>
                <w:b/>
                <w:position w:val="4"/>
                <w:sz w:val="20"/>
                <w:szCs w:val="20"/>
                <w:lang w:val="en-GB"/>
              </w:rPr>
            </w:pPr>
          </w:p>
        </w:tc>
        <w:tc>
          <w:tcPr>
            <w:tcW w:w="598" w:type="pct"/>
            <w:vAlign w:val="bottom"/>
          </w:tcPr>
          <w:p w14:paraId="5F4CA8A5" w14:textId="77777777" w:rsidR="00587444" w:rsidRPr="00587444" w:rsidRDefault="00587444" w:rsidP="00587444">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5" w:type="pct"/>
            <w:vAlign w:val="bottom"/>
          </w:tcPr>
          <w:p w14:paraId="1AEEB269"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p>
        </w:tc>
        <w:tc>
          <w:tcPr>
            <w:tcW w:w="895" w:type="pct"/>
            <w:vAlign w:val="bottom"/>
          </w:tcPr>
          <w:p w14:paraId="523F3245" w14:textId="77777777" w:rsidR="00587444" w:rsidRPr="00587444" w:rsidRDefault="00587444" w:rsidP="00587444">
            <w:pPr>
              <w:keepNext/>
              <w:keepLines/>
              <w:suppressAutoHyphens w:val="0"/>
              <w:autoSpaceDN/>
              <w:spacing w:line="240" w:lineRule="exact"/>
              <w:jc w:val="right"/>
              <w:rPr>
                <w:rFonts w:ascii="Arial" w:hAnsi="Arial" w:cs="Arial"/>
                <w:b/>
                <w:position w:val="4"/>
                <w:sz w:val="20"/>
                <w:szCs w:val="20"/>
                <w:u w:val="thick"/>
                <w:lang w:val="hr-HR"/>
              </w:rPr>
            </w:pPr>
          </w:p>
        </w:tc>
      </w:tr>
      <w:tr w:rsidR="00587444" w:rsidRPr="00587444" w14:paraId="185A157C" w14:textId="77777777" w:rsidTr="00DD69E7">
        <w:trPr>
          <w:trHeight w:val="70"/>
        </w:trPr>
        <w:tc>
          <w:tcPr>
            <w:tcW w:w="2612" w:type="pct"/>
          </w:tcPr>
          <w:p w14:paraId="706923BD" w14:textId="77777777" w:rsidR="00587444" w:rsidRPr="00587444" w:rsidRDefault="00587444" w:rsidP="00587444">
            <w:pPr>
              <w:keepNext/>
              <w:keepLines/>
              <w:tabs>
                <w:tab w:val="decimal" w:pos="1202"/>
              </w:tabs>
              <w:suppressAutoHyphens w:val="0"/>
              <w:autoSpaceDN/>
              <w:spacing w:line="301" w:lineRule="exact"/>
              <w:rPr>
                <w:rFonts w:ascii="Arial" w:hAnsi="Arial" w:cs="Arial"/>
                <w:b/>
                <w:position w:val="4"/>
                <w:sz w:val="20"/>
                <w:szCs w:val="20"/>
                <w:lang w:val="en-GB"/>
              </w:rPr>
            </w:pPr>
            <w:r w:rsidRPr="00587444">
              <w:rPr>
                <w:rFonts w:ascii="Arial" w:hAnsi="Arial" w:cs="Arial"/>
                <w:b/>
                <w:position w:val="4"/>
                <w:sz w:val="20"/>
                <w:szCs w:val="20"/>
                <w:lang w:val="en-GB"/>
              </w:rPr>
              <w:t>Attributable to:</w:t>
            </w:r>
          </w:p>
        </w:tc>
        <w:tc>
          <w:tcPr>
            <w:tcW w:w="598" w:type="pct"/>
            <w:vAlign w:val="bottom"/>
          </w:tcPr>
          <w:p w14:paraId="0C8D066B" w14:textId="77777777" w:rsidR="00587444" w:rsidRPr="00587444" w:rsidRDefault="00587444" w:rsidP="00587444">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5" w:type="pct"/>
            <w:vAlign w:val="bottom"/>
          </w:tcPr>
          <w:p w14:paraId="193BFAFC" w14:textId="77777777" w:rsidR="00587444" w:rsidRPr="00587444" w:rsidRDefault="00587444" w:rsidP="00587444">
            <w:pPr>
              <w:suppressAutoHyphens w:val="0"/>
              <w:autoSpaceDN/>
              <w:spacing w:line="301" w:lineRule="exact"/>
              <w:jc w:val="right"/>
              <w:outlineLvl w:val="0"/>
              <w:rPr>
                <w:rFonts w:ascii="Arial" w:hAnsi="Arial" w:cs="Arial"/>
                <w:color w:val="000000"/>
                <w:sz w:val="20"/>
                <w:szCs w:val="20"/>
                <w:lang w:val="hr-HR"/>
              </w:rPr>
            </w:pPr>
          </w:p>
        </w:tc>
        <w:tc>
          <w:tcPr>
            <w:tcW w:w="895" w:type="pct"/>
            <w:vAlign w:val="bottom"/>
          </w:tcPr>
          <w:p w14:paraId="2D184D4C" w14:textId="77777777" w:rsidR="00587444" w:rsidRPr="00587444" w:rsidRDefault="00587444" w:rsidP="00587444">
            <w:pPr>
              <w:keepNext/>
              <w:keepLines/>
              <w:suppressAutoHyphens w:val="0"/>
              <w:autoSpaceDN/>
              <w:spacing w:line="301" w:lineRule="exact"/>
              <w:jc w:val="right"/>
              <w:rPr>
                <w:rFonts w:ascii="Arial" w:hAnsi="Arial" w:cs="Arial"/>
                <w:b/>
                <w:position w:val="4"/>
                <w:sz w:val="20"/>
                <w:szCs w:val="20"/>
                <w:u w:val="thick"/>
                <w:lang w:val="hr-HR"/>
              </w:rPr>
            </w:pPr>
          </w:p>
        </w:tc>
      </w:tr>
      <w:tr w:rsidR="00587444" w:rsidRPr="00587444" w14:paraId="6E43D2A2" w14:textId="77777777" w:rsidTr="004A3B7C">
        <w:trPr>
          <w:trHeight w:val="70"/>
        </w:trPr>
        <w:tc>
          <w:tcPr>
            <w:tcW w:w="2612" w:type="pct"/>
            <w:vAlign w:val="bottom"/>
          </w:tcPr>
          <w:p w14:paraId="52F6E45A" w14:textId="77777777" w:rsidR="00587444" w:rsidRPr="00587444" w:rsidRDefault="00587444" w:rsidP="00587444">
            <w:pPr>
              <w:keepNext/>
              <w:keepLines/>
              <w:tabs>
                <w:tab w:val="decimal" w:pos="1202"/>
              </w:tabs>
              <w:suppressAutoHyphens w:val="0"/>
              <w:autoSpaceDN/>
              <w:spacing w:line="301" w:lineRule="exact"/>
              <w:rPr>
                <w:rFonts w:ascii="Arial" w:hAnsi="Arial" w:cs="Arial"/>
                <w:b/>
                <w:position w:val="4"/>
                <w:sz w:val="20"/>
                <w:szCs w:val="20"/>
                <w:lang w:val="en-GB"/>
              </w:rPr>
            </w:pPr>
            <w:r w:rsidRPr="00587444">
              <w:rPr>
                <w:rFonts w:ascii="Arial" w:hAnsi="Arial" w:cs="Arial"/>
                <w:b/>
                <w:position w:val="4"/>
                <w:sz w:val="20"/>
                <w:szCs w:val="20"/>
                <w:lang w:val="en-GB"/>
              </w:rPr>
              <w:t>Owner of the Bank</w:t>
            </w:r>
          </w:p>
        </w:tc>
        <w:tc>
          <w:tcPr>
            <w:tcW w:w="598" w:type="pct"/>
            <w:vAlign w:val="bottom"/>
          </w:tcPr>
          <w:p w14:paraId="64A33446" w14:textId="77777777" w:rsidR="00587444" w:rsidRPr="00587444" w:rsidRDefault="00587444" w:rsidP="00587444">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5" w:type="pct"/>
            <w:tcBorders>
              <w:bottom w:val="single" w:sz="12" w:space="0" w:color="auto"/>
            </w:tcBorders>
            <w:vAlign w:val="bottom"/>
          </w:tcPr>
          <w:p w14:paraId="64194AA1" w14:textId="77777777" w:rsidR="00587444" w:rsidRPr="00587444" w:rsidRDefault="00587444" w:rsidP="00587444">
            <w:pPr>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186,173</w:t>
            </w:r>
          </w:p>
        </w:tc>
        <w:tc>
          <w:tcPr>
            <w:tcW w:w="895" w:type="pct"/>
            <w:tcBorders>
              <w:bottom w:val="single" w:sz="12" w:space="0" w:color="auto"/>
            </w:tcBorders>
            <w:vAlign w:val="bottom"/>
          </w:tcPr>
          <w:p w14:paraId="3950DD3A" w14:textId="77777777" w:rsidR="00587444" w:rsidRPr="00587444" w:rsidDel="00077D3D" w:rsidRDefault="00587444" w:rsidP="00587444">
            <w:pPr>
              <w:tabs>
                <w:tab w:val="right" w:pos="1202"/>
              </w:tabs>
              <w:suppressAutoHyphens w:val="0"/>
              <w:autoSpaceDN/>
              <w:spacing w:line="340"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187,082</w:t>
            </w:r>
          </w:p>
        </w:tc>
      </w:tr>
    </w:tbl>
    <w:p w14:paraId="3AF48584" w14:textId="77777777" w:rsidR="00587444" w:rsidRPr="00587444" w:rsidRDefault="00587444" w:rsidP="00587444">
      <w:pPr>
        <w:suppressAutoHyphens w:val="0"/>
        <w:autoSpaceDN/>
        <w:rPr>
          <w:rFonts w:ascii="Arial" w:hAnsi="Arial" w:cs="Arial"/>
          <w:sz w:val="20"/>
          <w:szCs w:val="20"/>
          <w:highlight w:val="yellow"/>
          <w:lang w:val="en-GB"/>
        </w:rPr>
      </w:pPr>
    </w:p>
    <w:p w14:paraId="51B2EBC0" w14:textId="77777777" w:rsidR="00587444" w:rsidRPr="00587444" w:rsidRDefault="00587444" w:rsidP="00587444">
      <w:pPr>
        <w:suppressAutoHyphens w:val="0"/>
        <w:autoSpaceDN/>
        <w:rPr>
          <w:rFonts w:ascii="Arial" w:hAnsi="Arial" w:cs="Arial"/>
          <w:sz w:val="20"/>
          <w:szCs w:val="20"/>
          <w:highlight w:val="yellow"/>
          <w:lang w:val="en-GB"/>
        </w:rPr>
      </w:pPr>
    </w:p>
    <w:p w14:paraId="580AF393" w14:textId="77777777" w:rsidR="00587444" w:rsidRPr="00587444" w:rsidRDefault="00587444" w:rsidP="00587444">
      <w:pPr>
        <w:suppressAutoHyphens w:val="0"/>
        <w:autoSpaceDN/>
        <w:spacing w:line="360" w:lineRule="auto"/>
        <w:jc w:val="both"/>
        <w:rPr>
          <w:rFonts w:ascii="Arial" w:hAnsi="Arial" w:cs="Arial"/>
          <w:sz w:val="20"/>
          <w:szCs w:val="20"/>
          <w:lang w:val="en-GB"/>
        </w:rPr>
      </w:pPr>
    </w:p>
    <w:p w14:paraId="372F2B8A" w14:textId="77777777" w:rsidR="00587444" w:rsidRPr="00587444" w:rsidRDefault="00587444" w:rsidP="00587444">
      <w:pPr>
        <w:suppressAutoHyphens w:val="0"/>
        <w:autoSpaceDN/>
        <w:spacing w:line="360" w:lineRule="auto"/>
        <w:jc w:val="both"/>
        <w:rPr>
          <w:rFonts w:ascii="Arial" w:hAnsi="Arial" w:cs="Arial"/>
          <w:sz w:val="20"/>
          <w:szCs w:val="20"/>
          <w:lang w:val="en-GB"/>
        </w:rPr>
      </w:pPr>
    </w:p>
    <w:p w14:paraId="27A61E82" w14:textId="77777777" w:rsidR="00587444" w:rsidRPr="00587444" w:rsidRDefault="00587444" w:rsidP="00587444">
      <w:pPr>
        <w:suppressAutoHyphens w:val="0"/>
        <w:autoSpaceDN/>
        <w:spacing w:line="360" w:lineRule="auto"/>
        <w:jc w:val="both"/>
        <w:rPr>
          <w:rFonts w:ascii="Arial" w:hAnsi="Arial" w:cs="Arial"/>
          <w:sz w:val="20"/>
          <w:szCs w:val="20"/>
          <w:lang w:val="en-GB"/>
        </w:rPr>
      </w:pPr>
    </w:p>
    <w:p w14:paraId="2AED1EBF" w14:textId="77777777" w:rsidR="00587444" w:rsidRPr="00587444" w:rsidRDefault="00587444" w:rsidP="00587444">
      <w:pPr>
        <w:suppressAutoHyphens w:val="0"/>
        <w:autoSpaceDN/>
        <w:spacing w:line="360" w:lineRule="auto"/>
        <w:jc w:val="both"/>
        <w:rPr>
          <w:rFonts w:ascii="Arial" w:hAnsi="Arial" w:cs="Arial"/>
          <w:sz w:val="20"/>
          <w:szCs w:val="20"/>
          <w:lang w:val="en-GB"/>
        </w:rPr>
      </w:pPr>
    </w:p>
    <w:p w14:paraId="65C13DBB" w14:textId="77777777" w:rsidR="00587444" w:rsidRPr="00587444" w:rsidRDefault="00587444" w:rsidP="00587444">
      <w:pPr>
        <w:suppressAutoHyphens w:val="0"/>
        <w:autoSpaceDN/>
        <w:spacing w:line="360" w:lineRule="auto"/>
        <w:jc w:val="both"/>
        <w:rPr>
          <w:rFonts w:ascii="Arial" w:hAnsi="Arial" w:cs="Arial"/>
          <w:sz w:val="20"/>
          <w:szCs w:val="20"/>
          <w:lang w:val="en-GB"/>
        </w:rPr>
      </w:pPr>
      <w:r w:rsidRPr="00587444">
        <w:rPr>
          <w:rFonts w:ascii="Arial" w:hAnsi="Arial" w:cs="Arial"/>
          <w:sz w:val="20"/>
          <w:szCs w:val="20"/>
          <w:lang w:val="en-GB"/>
        </w:rPr>
        <w:t>The accompanying accounting policies and notes are an integral part of these financial statements.</w:t>
      </w:r>
    </w:p>
    <w:p w14:paraId="416A1F8D" w14:textId="77777777" w:rsidR="00587444" w:rsidRPr="00587444" w:rsidRDefault="00587444" w:rsidP="00587444">
      <w:pPr>
        <w:suppressAutoHyphens w:val="0"/>
        <w:autoSpaceDN/>
        <w:rPr>
          <w:rFonts w:ascii="Arial" w:hAnsi="Arial" w:cs="Arial"/>
          <w:sz w:val="20"/>
          <w:szCs w:val="20"/>
          <w:lang w:val="en-GB"/>
        </w:rPr>
      </w:pPr>
    </w:p>
    <w:p w14:paraId="1F493E4A" w14:textId="77777777" w:rsidR="00587444" w:rsidRPr="00587444" w:rsidRDefault="00587444" w:rsidP="00587444">
      <w:pPr>
        <w:suppressAutoHyphens w:val="0"/>
        <w:autoSpaceDN/>
        <w:spacing w:line="300" w:lineRule="atLeast"/>
        <w:rPr>
          <w:rFonts w:ascii="Arial" w:hAnsi="Arial" w:cs="Arial"/>
          <w:sz w:val="20"/>
          <w:szCs w:val="20"/>
          <w:highlight w:val="yellow"/>
          <w:lang w:val="en-GB"/>
        </w:rPr>
      </w:pPr>
    </w:p>
    <w:p w14:paraId="57E75D18" w14:textId="77777777" w:rsidR="00587444" w:rsidRPr="00587444" w:rsidRDefault="00587444" w:rsidP="00587444">
      <w:pPr>
        <w:suppressAutoHyphens w:val="0"/>
        <w:autoSpaceDN/>
        <w:spacing w:line="300" w:lineRule="atLeast"/>
        <w:rPr>
          <w:rFonts w:ascii="Arial" w:hAnsi="Arial" w:cs="Arial"/>
          <w:sz w:val="20"/>
          <w:szCs w:val="20"/>
          <w:highlight w:val="yellow"/>
          <w:lang w:val="en-GB"/>
        </w:rPr>
        <w:sectPr w:rsidR="00587444" w:rsidRPr="00587444" w:rsidSect="00DD69E7">
          <w:headerReference w:type="default" r:id="rId67"/>
          <w:footerReference w:type="default" r:id="rId68"/>
          <w:pgSz w:w="11907" w:h="16840" w:code="9"/>
          <w:pgMar w:top="1418" w:right="992" w:bottom="1134" w:left="1418" w:header="851" w:footer="851" w:gutter="0"/>
          <w:cols w:space="720"/>
          <w:noEndnote/>
        </w:sectPr>
      </w:pPr>
    </w:p>
    <w:tbl>
      <w:tblPr>
        <w:tblpPr w:leftFromText="180" w:rightFromText="180" w:vertAnchor="page" w:horzAnchor="margin" w:tblpY="2793"/>
        <w:tblW w:w="4799" w:type="pct"/>
        <w:tblLayout w:type="fixed"/>
        <w:tblCellMar>
          <w:left w:w="119" w:type="dxa"/>
          <w:right w:w="119" w:type="dxa"/>
        </w:tblCellMar>
        <w:tblLook w:val="0000" w:firstRow="0" w:lastRow="0" w:firstColumn="0" w:lastColumn="0" w:noHBand="0" w:noVBand="0"/>
      </w:tblPr>
      <w:tblGrid>
        <w:gridCol w:w="6230"/>
        <w:gridCol w:w="1559"/>
        <w:gridCol w:w="1555"/>
      </w:tblGrid>
      <w:tr w:rsidR="00587444" w:rsidRPr="00587444" w14:paraId="35D0F28A" w14:textId="77777777" w:rsidTr="00DD69E7">
        <w:trPr>
          <w:trHeight w:val="200"/>
        </w:trPr>
        <w:tc>
          <w:tcPr>
            <w:tcW w:w="3334" w:type="pct"/>
            <w:vAlign w:val="center"/>
          </w:tcPr>
          <w:p w14:paraId="61EB551B"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bCs/>
                <w:sz w:val="20"/>
                <w:szCs w:val="20"/>
                <w:lang w:val="en-GB"/>
              </w:rPr>
            </w:pPr>
          </w:p>
        </w:tc>
        <w:tc>
          <w:tcPr>
            <w:tcW w:w="834" w:type="pct"/>
            <w:vAlign w:val="bottom"/>
          </w:tcPr>
          <w:p w14:paraId="1C2CE286"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2022</w:t>
            </w:r>
          </w:p>
        </w:tc>
        <w:tc>
          <w:tcPr>
            <w:tcW w:w="832" w:type="pct"/>
            <w:vAlign w:val="bottom"/>
          </w:tcPr>
          <w:p w14:paraId="00FAEFDF" w14:textId="77777777" w:rsidR="00587444" w:rsidRPr="00587444" w:rsidDel="00077D3D" w:rsidRDefault="00587444" w:rsidP="00587444">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2021</w:t>
            </w:r>
          </w:p>
        </w:tc>
      </w:tr>
      <w:tr w:rsidR="00587444" w:rsidRPr="00587444" w14:paraId="0C13D144" w14:textId="77777777" w:rsidTr="00DD69E7">
        <w:trPr>
          <w:trHeight w:val="129"/>
        </w:trPr>
        <w:tc>
          <w:tcPr>
            <w:tcW w:w="3334" w:type="pct"/>
            <w:vAlign w:val="center"/>
          </w:tcPr>
          <w:p w14:paraId="2BF55846"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bCs/>
                <w:sz w:val="20"/>
                <w:szCs w:val="20"/>
                <w:lang w:val="en-GB"/>
              </w:rPr>
            </w:pPr>
          </w:p>
        </w:tc>
        <w:tc>
          <w:tcPr>
            <w:tcW w:w="834" w:type="pct"/>
            <w:vAlign w:val="bottom"/>
          </w:tcPr>
          <w:p w14:paraId="7E4846F3"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bookmarkStart w:id="285" w:name="_Toc4057306"/>
            <w:r w:rsidRPr="00587444">
              <w:rPr>
                <w:rFonts w:ascii="Arial" w:hAnsi="Arial" w:cs="Arial"/>
                <w:b/>
                <w:bCs/>
                <w:sz w:val="20"/>
                <w:szCs w:val="20"/>
                <w:lang w:val="en-GB"/>
              </w:rPr>
              <w:t>HRK ‘000</w:t>
            </w:r>
            <w:bookmarkEnd w:id="285"/>
            <w:r w:rsidRPr="00587444">
              <w:rPr>
                <w:rFonts w:ascii="Arial" w:hAnsi="Arial" w:cs="Arial"/>
                <w:b/>
                <w:bCs/>
                <w:sz w:val="20"/>
                <w:szCs w:val="20"/>
                <w:lang w:val="en-GB"/>
              </w:rPr>
              <w:t xml:space="preserve"> </w:t>
            </w:r>
          </w:p>
        </w:tc>
        <w:tc>
          <w:tcPr>
            <w:tcW w:w="832" w:type="pct"/>
            <w:vAlign w:val="bottom"/>
          </w:tcPr>
          <w:p w14:paraId="35D6CA18" w14:textId="77777777" w:rsidR="00587444" w:rsidRPr="00587444" w:rsidDel="00077D3D" w:rsidRDefault="00587444" w:rsidP="00587444">
            <w:pPr>
              <w:suppressAutoHyphens w:val="0"/>
              <w:autoSpaceDN/>
              <w:spacing w:line="301" w:lineRule="exact"/>
              <w:jc w:val="right"/>
              <w:outlineLvl w:val="0"/>
              <w:rPr>
                <w:rFonts w:ascii="Arial" w:hAnsi="Arial" w:cs="Arial"/>
                <w:b/>
                <w:bCs/>
                <w:sz w:val="20"/>
                <w:szCs w:val="20"/>
                <w:lang w:val="en-GB"/>
              </w:rPr>
            </w:pPr>
            <w:bookmarkStart w:id="286" w:name="_Toc4057307"/>
            <w:r w:rsidRPr="00587444">
              <w:rPr>
                <w:rFonts w:ascii="Arial" w:hAnsi="Arial" w:cs="Arial"/>
                <w:b/>
                <w:bCs/>
                <w:sz w:val="20"/>
                <w:szCs w:val="20"/>
                <w:lang w:val="en-GB"/>
              </w:rPr>
              <w:t>HRK ‘000</w:t>
            </w:r>
            <w:bookmarkEnd w:id="286"/>
            <w:r w:rsidRPr="00587444">
              <w:rPr>
                <w:rFonts w:ascii="Arial" w:hAnsi="Arial" w:cs="Arial"/>
                <w:b/>
                <w:bCs/>
                <w:sz w:val="20"/>
                <w:szCs w:val="20"/>
                <w:lang w:val="en-GB"/>
              </w:rPr>
              <w:t xml:space="preserve"> </w:t>
            </w:r>
          </w:p>
        </w:tc>
      </w:tr>
      <w:tr w:rsidR="00587444" w:rsidRPr="00587444" w14:paraId="14C83C15" w14:textId="77777777" w:rsidTr="00DD69E7">
        <w:trPr>
          <w:trHeight w:val="129"/>
        </w:trPr>
        <w:tc>
          <w:tcPr>
            <w:tcW w:w="3334" w:type="pct"/>
            <w:vAlign w:val="center"/>
          </w:tcPr>
          <w:p w14:paraId="6F4FC94F"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bCs/>
                <w:sz w:val="20"/>
                <w:szCs w:val="20"/>
                <w:lang w:val="en-GB"/>
              </w:rPr>
            </w:pPr>
          </w:p>
        </w:tc>
        <w:tc>
          <w:tcPr>
            <w:tcW w:w="834" w:type="pct"/>
          </w:tcPr>
          <w:p w14:paraId="62EAD0F6"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p>
        </w:tc>
        <w:tc>
          <w:tcPr>
            <w:tcW w:w="832" w:type="pct"/>
          </w:tcPr>
          <w:p w14:paraId="655F518B"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p>
        </w:tc>
      </w:tr>
      <w:tr w:rsidR="00587444" w:rsidRPr="00587444" w14:paraId="1101DE2A" w14:textId="77777777" w:rsidTr="00DD69E7">
        <w:trPr>
          <w:trHeight w:val="128"/>
        </w:trPr>
        <w:tc>
          <w:tcPr>
            <w:tcW w:w="3334" w:type="pct"/>
          </w:tcPr>
          <w:p w14:paraId="60B5AB66"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bookmarkStart w:id="287" w:name="_Toc4057308"/>
            <w:r w:rsidRPr="00587444">
              <w:rPr>
                <w:rFonts w:ascii="Arial" w:hAnsi="Arial" w:cs="Arial"/>
                <w:b/>
                <w:bCs/>
                <w:sz w:val="20"/>
                <w:szCs w:val="20"/>
                <w:lang w:val="en-GB"/>
              </w:rPr>
              <w:t>Profit for the year</w:t>
            </w:r>
            <w:bookmarkEnd w:id="287"/>
          </w:p>
        </w:tc>
        <w:tc>
          <w:tcPr>
            <w:tcW w:w="834" w:type="pct"/>
            <w:tcBorders>
              <w:bottom w:val="single" w:sz="12" w:space="0" w:color="auto"/>
            </w:tcBorders>
            <w:vAlign w:val="bottom"/>
          </w:tcPr>
          <w:p w14:paraId="347D439E"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hr-HR"/>
              </w:rPr>
              <w:t>186,173</w:t>
            </w:r>
          </w:p>
        </w:tc>
        <w:tc>
          <w:tcPr>
            <w:tcW w:w="832" w:type="pct"/>
            <w:tcBorders>
              <w:bottom w:val="single" w:sz="12" w:space="0" w:color="auto"/>
            </w:tcBorders>
            <w:vAlign w:val="bottom"/>
          </w:tcPr>
          <w:p w14:paraId="4497DCE4" w14:textId="77777777" w:rsidR="00587444" w:rsidRPr="00587444" w:rsidDel="00077D3D"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hr-HR"/>
              </w:rPr>
              <w:t>187,082</w:t>
            </w:r>
          </w:p>
        </w:tc>
      </w:tr>
      <w:tr w:rsidR="00587444" w:rsidRPr="00587444" w14:paraId="586ECB29" w14:textId="77777777" w:rsidTr="00DD69E7">
        <w:trPr>
          <w:trHeight w:val="340"/>
        </w:trPr>
        <w:tc>
          <w:tcPr>
            <w:tcW w:w="3334" w:type="pct"/>
            <w:vAlign w:val="center"/>
          </w:tcPr>
          <w:p w14:paraId="0FB4A1BD" w14:textId="77777777" w:rsidR="00587444" w:rsidRPr="00587444" w:rsidRDefault="00587444" w:rsidP="00587444">
            <w:pPr>
              <w:tabs>
                <w:tab w:val="right" w:pos="1202"/>
              </w:tabs>
              <w:suppressAutoHyphens w:val="0"/>
              <w:autoSpaceDN/>
              <w:spacing w:line="280" w:lineRule="exact"/>
              <w:outlineLvl w:val="0"/>
              <w:rPr>
                <w:rFonts w:ascii="Arial" w:hAnsi="Arial" w:cs="Arial"/>
                <w:b/>
                <w:bCs/>
                <w:sz w:val="20"/>
                <w:szCs w:val="20"/>
              </w:rPr>
            </w:pPr>
            <w:bookmarkStart w:id="288" w:name="_Toc4057311"/>
            <w:r w:rsidRPr="00587444">
              <w:rPr>
                <w:rFonts w:ascii="Arial" w:hAnsi="Arial" w:cs="Arial"/>
                <w:b/>
                <w:bCs/>
                <w:sz w:val="20"/>
                <w:szCs w:val="20"/>
              </w:rPr>
              <w:t>Other comprehensive income</w:t>
            </w:r>
            <w:bookmarkEnd w:id="288"/>
          </w:p>
        </w:tc>
        <w:tc>
          <w:tcPr>
            <w:tcW w:w="834" w:type="pct"/>
            <w:tcBorders>
              <w:top w:val="single" w:sz="12" w:space="0" w:color="auto"/>
            </w:tcBorders>
            <w:vAlign w:val="bottom"/>
          </w:tcPr>
          <w:p w14:paraId="1FAD9725" w14:textId="77777777" w:rsidR="00587444" w:rsidRPr="00587444" w:rsidRDefault="00587444" w:rsidP="00587444">
            <w:pPr>
              <w:keepNext/>
              <w:keepLines/>
              <w:suppressAutoHyphens w:val="0"/>
              <w:autoSpaceDN/>
              <w:spacing w:line="100" w:lineRule="exact"/>
              <w:jc w:val="right"/>
              <w:rPr>
                <w:rFonts w:ascii="Arial" w:hAnsi="Arial" w:cs="Arial"/>
                <w:b/>
                <w:position w:val="4"/>
                <w:sz w:val="20"/>
                <w:szCs w:val="20"/>
                <w:u w:val="thick"/>
                <w:lang w:val="hr-HR"/>
              </w:rPr>
            </w:pPr>
          </w:p>
        </w:tc>
        <w:tc>
          <w:tcPr>
            <w:tcW w:w="832" w:type="pct"/>
            <w:tcBorders>
              <w:top w:val="single" w:sz="12" w:space="0" w:color="auto"/>
            </w:tcBorders>
            <w:vAlign w:val="bottom"/>
          </w:tcPr>
          <w:p w14:paraId="618C24DB" w14:textId="77777777" w:rsidR="00587444" w:rsidRPr="00587444" w:rsidRDefault="00587444" w:rsidP="00587444">
            <w:pPr>
              <w:keepNext/>
              <w:keepLines/>
              <w:suppressAutoHyphens w:val="0"/>
              <w:autoSpaceDN/>
              <w:spacing w:line="100" w:lineRule="exact"/>
              <w:jc w:val="right"/>
              <w:rPr>
                <w:rFonts w:ascii="Arial" w:hAnsi="Arial" w:cs="Arial"/>
                <w:b/>
                <w:position w:val="4"/>
                <w:sz w:val="20"/>
                <w:szCs w:val="20"/>
                <w:u w:val="thick"/>
                <w:lang w:val="hr-HR"/>
              </w:rPr>
            </w:pPr>
          </w:p>
        </w:tc>
      </w:tr>
      <w:tr w:rsidR="00587444" w:rsidRPr="00587444" w14:paraId="2224AFFB" w14:textId="77777777" w:rsidTr="00DD69E7">
        <w:trPr>
          <w:trHeight w:val="340"/>
        </w:trPr>
        <w:tc>
          <w:tcPr>
            <w:tcW w:w="3334" w:type="pct"/>
            <w:vAlign w:val="bottom"/>
          </w:tcPr>
          <w:p w14:paraId="2D74C96C" w14:textId="77777777" w:rsidR="00587444" w:rsidRPr="00587444" w:rsidRDefault="00587444" w:rsidP="00587444">
            <w:pPr>
              <w:tabs>
                <w:tab w:val="right" w:pos="1202"/>
              </w:tabs>
              <w:suppressAutoHyphens w:val="0"/>
              <w:autoSpaceDN/>
              <w:spacing w:line="280" w:lineRule="exact"/>
              <w:outlineLvl w:val="0"/>
              <w:rPr>
                <w:rFonts w:ascii="Arial" w:hAnsi="Arial" w:cs="Arial"/>
                <w:b/>
                <w:bCs/>
                <w:sz w:val="20"/>
                <w:szCs w:val="20"/>
              </w:rPr>
            </w:pPr>
            <w:bookmarkStart w:id="289" w:name="_Toc4057312"/>
            <w:r w:rsidRPr="00587444">
              <w:rPr>
                <w:rFonts w:ascii="Arial" w:hAnsi="Arial" w:cs="Arial"/>
                <w:b/>
                <w:bCs/>
                <w:sz w:val="20"/>
                <w:szCs w:val="20"/>
              </w:rPr>
              <w:t>Items that are not transferred subsequently to profit or loss:</w:t>
            </w:r>
            <w:bookmarkEnd w:id="289"/>
          </w:p>
        </w:tc>
        <w:tc>
          <w:tcPr>
            <w:tcW w:w="834" w:type="pct"/>
            <w:vAlign w:val="bottom"/>
          </w:tcPr>
          <w:p w14:paraId="746012CA" w14:textId="77777777" w:rsidR="00587444" w:rsidRPr="00587444" w:rsidRDefault="00587444" w:rsidP="00587444">
            <w:pPr>
              <w:keepNext/>
              <w:keepLines/>
              <w:suppressAutoHyphens w:val="0"/>
              <w:autoSpaceDN/>
              <w:spacing w:line="100" w:lineRule="exact"/>
              <w:jc w:val="right"/>
              <w:rPr>
                <w:rFonts w:ascii="Arial" w:hAnsi="Arial" w:cs="Arial"/>
                <w:b/>
                <w:position w:val="4"/>
                <w:sz w:val="20"/>
                <w:szCs w:val="20"/>
                <w:u w:val="thick"/>
                <w:lang w:val="hr-HR"/>
              </w:rPr>
            </w:pPr>
          </w:p>
        </w:tc>
        <w:tc>
          <w:tcPr>
            <w:tcW w:w="832" w:type="pct"/>
            <w:vAlign w:val="bottom"/>
          </w:tcPr>
          <w:p w14:paraId="24BDD86E" w14:textId="77777777" w:rsidR="00587444" w:rsidRPr="00587444" w:rsidRDefault="00587444" w:rsidP="00587444">
            <w:pPr>
              <w:keepNext/>
              <w:keepLines/>
              <w:suppressAutoHyphens w:val="0"/>
              <w:autoSpaceDN/>
              <w:spacing w:line="100" w:lineRule="exact"/>
              <w:jc w:val="right"/>
              <w:rPr>
                <w:rFonts w:ascii="Arial" w:hAnsi="Arial" w:cs="Arial"/>
                <w:b/>
                <w:position w:val="4"/>
                <w:sz w:val="20"/>
                <w:szCs w:val="20"/>
                <w:u w:val="thick"/>
                <w:lang w:val="hr-HR"/>
              </w:rPr>
            </w:pPr>
          </w:p>
        </w:tc>
      </w:tr>
      <w:tr w:rsidR="00587444" w:rsidRPr="00587444" w14:paraId="5941D925" w14:textId="77777777" w:rsidTr="00DD69E7">
        <w:trPr>
          <w:trHeight w:val="340"/>
        </w:trPr>
        <w:tc>
          <w:tcPr>
            <w:tcW w:w="3334" w:type="pct"/>
            <w:vAlign w:val="bottom"/>
          </w:tcPr>
          <w:p w14:paraId="747FF69D" w14:textId="77777777" w:rsidR="00587444" w:rsidRPr="00587444" w:rsidRDefault="00587444" w:rsidP="00587444">
            <w:pPr>
              <w:tabs>
                <w:tab w:val="right" w:pos="1202"/>
              </w:tabs>
              <w:suppressAutoHyphens w:val="0"/>
              <w:autoSpaceDN/>
              <w:spacing w:line="280" w:lineRule="exact"/>
              <w:outlineLvl w:val="0"/>
              <w:rPr>
                <w:rFonts w:ascii="Arial" w:hAnsi="Arial" w:cs="Arial"/>
                <w:bCs/>
                <w:sz w:val="20"/>
                <w:szCs w:val="20"/>
              </w:rPr>
            </w:pPr>
            <w:bookmarkStart w:id="290" w:name="_Toc4057313"/>
            <w:proofErr w:type="spellStart"/>
            <w:r w:rsidRPr="00587444">
              <w:rPr>
                <w:rFonts w:ascii="Arial" w:hAnsi="Arial" w:cs="Arial"/>
                <w:bCs/>
                <w:sz w:val="20"/>
                <w:szCs w:val="20"/>
              </w:rPr>
              <w:t>Unrealised</w:t>
            </w:r>
            <w:proofErr w:type="spellEnd"/>
            <w:r w:rsidRPr="00587444">
              <w:rPr>
                <w:rFonts w:ascii="Arial" w:hAnsi="Arial" w:cs="Arial"/>
                <w:bCs/>
                <w:sz w:val="20"/>
                <w:szCs w:val="20"/>
              </w:rPr>
              <w:t xml:space="preserve"> actuarial (losses</w:t>
            </w:r>
            <w:bookmarkEnd w:id="290"/>
            <w:r w:rsidRPr="00587444">
              <w:rPr>
                <w:rFonts w:ascii="Arial" w:hAnsi="Arial" w:cs="Arial"/>
                <w:bCs/>
                <w:sz w:val="20"/>
                <w:szCs w:val="20"/>
              </w:rPr>
              <w:t>)</w:t>
            </w:r>
          </w:p>
        </w:tc>
        <w:tc>
          <w:tcPr>
            <w:tcW w:w="834" w:type="pct"/>
            <w:tcBorders>
              <w:bottom w:val="single" w:sz="4" w:space="0" w:color="auto"/>
            </w:tcBorders>
            <w:vAlign w:val="bottom"/>
          </w:tcPr>
          <w:p w14:paraId="6C24DB58"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Cs/>
                <w:sz w:val="20"/>
                <w:szCs w:val="20"/>
                <w:lang w:val="hr-HR"/>
              </w:rPr>
            </w:pPr>
            <w:r w:rsidRPr="00587444">
              <w:rPr>
                <w:rFonts w:ascii="Arial" w:hAnsi="Arial" w:cs="Arial"/>
                <w:bCs/>
                <w:sz w:val="20"/>
                <w:szCs w:val="20"/>
                <w:lang w:val="hr-HR"/>
              </w:rPr>
              <w:t>(759)</w:t>
            </w:r>
          </w:p>
        </w:tc>
        <w:tc>
          <w:tcPr>
            <w:tcW w:w="832" w:type="pct"/>
            <w:tcBorders>
              <w:bottom w:val="single" w:sz="4" w:space="0" w:color="auto"/>
            </w:tcBorders>
            <w:vAlign w:val="bottom"/>
          </w:tcPr>
          <w:p w14:paraId="5CFFB7FA" w14:textId="77777777" w:rsidR="00587444" w:rsidRPr="00587444" w:rsidDel="00077D3D" w:rsidRDefault="00587444" w:rsidP="00587444">
            <w:pPr>
              <w:tabs>
                <w:tab w:val="right" w:pos="1202"/>
              </w:tabs>
              <w:suppressAutoHyphens w:val="0"/>
              <w:autoSpaceDN/>
              <w:spacing w:line="340" w:lineRule="exact"/>
              <w:jc w:val="right"/>
              <w:outlineLvl w:val="0"/>
              <w:rPr>
                <w:rFonts w:ascii="Arial" w:hAnsi="Arial" w:cs="Arial"/>
                <w:bCs/>
                <w:sz w:val="20"/>
                <w:szCs w:val="20"/>
                <w:lang w:val="hr-HR"/>
              </w:rPr>
            </w:pPr>
            <w:r w:rsidRPr="00587444">
              <w:rPr>
                <w:rFonts w:ascii="Arial" w:hAnsi="Arial" w:cs="Arial"/>
                <w:bCs/>
                <w:sz w:val="20"/>
                <w:szCs w:val="20"/>
                <w:lang w:val="hr-HR"/>
              </w:rPr>
              <w:t>(831)</w:t>
            </w:r>
          </w:p>
        </w:tc>
      </w:tr>
      <w:tr w:rsidR="00587444" w:rsidRPr="00587444" w14:paraId="42B40117" w14:textId="77777777" w:rsidTr="00DD69E7">
        <w:trPr>
          <w:trHeight w:val="340"/>
        </w:trPr>
        <w:tc>
          <w:tcPr>
            <w:tcW w:w="3334" w:type="pct"/>
            <w:vAlign w:val="bottom"/>
          </w:tcPr>
          <w:p w14:paraId="4E344CCA" w14:textId="77777777" w:rsidR="00587444" w:rsidRPr="00587444" w:rsidRDefault="00587444" w:rsidP="00587444">
            <w:pPr>
              <w:tabs>
                <w:tab w:val="right" w:pos="1202"/>
              </w:tabs>
              <w:suppressAutoHyphens w:val="0"/>
              <w:autoSpaceDN/>
              <w:spacing w:line="320" w:lineRule="exact"/>
              <w:outlineLvl w:val="0"/>
              <w:rPr>
                <w:rFonts w:ascii="Arial" w:hAnsi="Arial" w:cs="Arial"/>
                <w:b/>
                <w:bCs/>
                <w:sz w:val="20"/>
                <w:szCs w:val="20"/>
              </w:rPr>
            </w:pPr>
            <w:bookmarkStart w:id="291" w:name="_Toc4057316"/>
            <w:r w:rsidRPr="00587444">
              <w:rPr>
                <w:rFonts w:ascii="Arial" w:hAnsi="Arial" w:cs="Arial"/>
                <w:b/>
                <w:bCs/>
                <w:sz w:val="20"/>
                <w:szCs w:val="20"/>
              </w:rPr>
              <w:t>Total items that are not transferred subsequently to profit or loss</w:t>
            </w:r>
            <w:bookmarkEnd w:id="291"/>
          </w:p>
        </w:tc>
        <w:tc>
          <w:tcPr>
            <w:tcW w:w="834" w:type="pct"/>
            <w:tcBorders>
              <w:top w:val="single" w:sz="4" w:space="0" w:color="auto"/>
              <w:bottom w:val="single" w:sz="12" w:space="0" w:color="auto"/>
            </w:tcBorders>
            <w:vAlign w:val="bottom"/>
          </w:tcPr>
          <w:p w14:paraId="4772ADE2"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hr-HR"/>
              </w:rPr>
              <w:t>(759)</w:t>
            </w:r>
          </w:p>
        </w:tc>
        <w:tc>
          <w:tcPr>
            <w:tcW w:w="832" w:type="pct"/>
            <w:tcBorders>
              <w:top w:val="single" w:sz="4" w:space="0" w:color="auto"/>
              <w:bottom w:val="single" w:sz="12" w:space="0" w:color="auto"/>
            </w:tcBorders>
            <w:vAlign w:val="bottom"/>
          </w:tcPr>
          <w:p w14:paraId="1585A267" w14:textId="77777777" w:rsidR="00587444" w:rsidRPr="00587444" w:rsidDel="00077D3D"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hr-HR"/>
              </w:rPr>
              <w:t>(831)</w:t>
            </w:r>
          </w:p>
        </w:tc>
      </w:tr>
      <w:tr w:rsidR="00587444" w:rsidRPr="00587444" w14:paraId="7A550551" w14:textId="77777777" w:rsidTr="00DD69E7">
        <w:trPr>
          <w:trHeight w:val="415"/>
        </w:trPr>
        <w:tc>
          <w:tcPr>
            <w:tcW w:w="3334" w:type="pct"/>
            <w:vAlign w:val="bottom"/>
          </w:tcPr>
          <w:p w14:paraId="0E9AA7A0"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bookmarkStart w:id="292" w:name="_Toc4057319"/>
            <w:r w:rsidRPr="00587444">
              <w:rPr>
                <w:rFonts w:ascii="Arial" w:hAnsi="Arial" w:cs="Arial"/>
                <w:b/>
                <w:bCs/>
                <w:sz w:val="20"/>
                <w:szCs w:val="20"/>
                <w:lang w:val="en-GB"/>
              </w:rPr>
              <w:t>Items that may be reclassified subsequently to profit or loss:</w:t>
            </w:r>
            <w:bookmarkEnd w:id="292"/>
          </w:p>
        </w:tc>
        <w:tc>
          <w:tcPr>
            <w:tcW w:w="834" w:type="pct"/>
            <w:tcBorders>
              <w:top w:val="single" w:sz="12" w:space="0" w:color="auto"/>
            </w:tcBorders>
            <w:vAlign w:val="bottom"/>
          </w:tcPr>
          <w:p w14:paraId="5E1D578D"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p>
        </w:tc>
        <w:tc>
          <w:tcPr>
            <w:tcW w:w="832" w:type="pct"/>
            <w:tcBorders>
              <w:top w:val="single" w:sz="12" w:space="0" w:color="auto"/>
            </w:tcBorders>
            <w:vAlign w:val="bottom"/>
          </w:tcPr>
          <w:p w14:paraId="26B49F6E"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p>
        </w:tc>
      </w:tr>
      <w:tr w:rsidR="00587444" w:rsidRPr="00587444" w14:paraId="161A20E8" w14:textId="77777777" w:rsidTr="00DD69E7">
        <w:trPr>
          <w:trHeight w:val="161"/>
        </w:trPr>
        <w:tc>
          <w:tcPr>
            <w:tcW w:w="3334" w:type="pct"/>
            <w:vAlign w:val="bottom"/>
          </w:tcPr>
          <w:p w14:paraId="2AB9E3C5"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bookmarkStart w:id="293" w:name="_Toc4057320"/>
            <w:r w:rsidRPr="00587444">
              <w:rPr>
                <w:rFonts w:ascii="Arial" w:hAnsi="Arial" w:cs="Arial"/>
                <w:bCs/>
                <w:sz w:val="20"/>
                <w:szCs w:val="20"/>
                <w:lang w:val="en-GB"/>
              </w:rPr>
              <w:t>Net changes in financial assets at fair value through other comprehensive income</w:t>
            </w:r>
            <w:bookmarkEnd w:id="293"/>
          </w:p>
        </w:tc>
        <w:tc>
          <w:tcPr>
            <w:tcW w:w="834" w:type="pct"/>
            <w:tcBorders>
              <w:top w:val="nil"/>
              <w:left w:val="nil"/>
              <w:bottom w:val="nil"/>
              <w:right w:val="nil"/>
            </w:tcBorders>
            <w:shd w:val="clear" w:color="auto" w:fill="auto"/>
            <w:vAlign w:val="bottom"/>
          </w:tcPr>
          <w:p w14:paraId="3863D369"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Cs/>
                <w:sz w:val="20"/>
                <w:szCs w:val="20"/>
                <w:lang w:val="hr-HR"/>
              </w:rPr>
            </w:pPr>
            <w:r w:rsidRPr="00587444">
              <w:rPr>
                <w:rFonts w:ascii="Arial" w:hAnsi="Arial" w:cs="Arial"/>
                <w:bCs/>
                <w:sz w:val="20"/>
                <w:szCs w:val="20"/>
                <w:lang w:val="hr-HR"/>
              </w:rPr>
              <w:t>(62,658)</w:t>
            </w:r>
          </w:p>
        </w:tc>
        <w:tc>
          <w:tcPr>
            <w:tcW w:w="832" w:type="pct"/>
            <w:tcBorders>
              <w:top w:val="nil"/>
              <w:left w:val="nil"/>
              <w:bottom w:val="nil"/>
              <w:right w:val="nil"/>
            </w:tcBorders>
            <w:shd w:val="clear" w:color="auto" w:fill="auto"/>
            <w:vAlign w:val="bottom"/>
          </w:tcPr>
          <w:p w14:paraId="68B22AA0"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color w:val="000000"/>
                <w:sz w:val="20"/>
                <w:szCs w:val="20"/>
                <w:lang w:val="en-GB"/>
              </w:rPr>
            </w:pPr>
            <w:r w:rsidRPr="00587444">
              <w:rPr>
                <w:rFonts w:ascii="Arial" w:hAnsi="Arial" w:cs="Arial"/>
                <w:bCs/>
                <w:color w:val="000000"/>
                <w:sz w:val="20"/>
                <w:szCs w:val="20"/>
                <w:lang w:val="hr-HR"/>
              </w:rPr>
              <w:t>(23,063)</w:t>
            </w:r>
          </w:p>
        </w:tc>
      </w:tr>
      <w:tr w:rsidR="00587444" w:rsidRPr="00587444" w14:paraId="54917239" w14:textId="77777777" w:rsidTr="00DD69E7">
        <w:trPr>
          <w:trHeight w:val="161"/>
        </w:trPr>
        <w:tc>
          <w:tcPr>
            <w:tcW w:w="3334" w:type="pct"/>
            <w:vAlign w:val="bottom"/>
          </w:tcPr>
          <w:p w14:paraId="036D2386"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bookmarkStart w:id="294" w:name="_Toc4057323"/>
            <w:r w:rsidRPr="00587444">
              <w:rPr>
                <w:rFonts w:ascii="Arial" w:hAnsi="Arial" w:cs="Arial"/>
                <w:bCs/>
                <w:sz w:val="20"/>
                <w:szCs w:val="20"/>
                <w:lang w:val="en-GB"/>
              </w:rPr>
              <w:t>Net foreign exchange on equity instruments</w:t>
            </w:r>
            <w:bookmarkEnd w:id="294"/>
          </w:p>
        </w:tc>
        <w:tc>
          <w:tcPr>
            <w:tcW w:w="834" w:type="pct"/>
            <w:tcBorders>
              <w:top w:val="nil"/>
              <w:left w:val="nil"/>
              <w:bottom w:val="nil"/>
              <w:right w:val="nil"/>
            </w:tcBorders>
            <w:shd w:val="clear" w:color="auto" w:fill="auto"/>
            <w:vAlign w:val="bottom"/>
          </w:tcPr>
          <w:p w14:paraId="0CF88AD9"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Cs/>
                <w:sz w:val="20"/>
                <w:szCs w:val="20"/>
                <w:lang w:val="hr-HR"/>
              </w:rPr>
            </w:pPr>
            <w:r w:rsidRPr="00587444">
              <w:rPr>
                <w:rFonts w:ascii="Arial" w:hAnsi="Arial" w:cs="Arial"/>
                <w:bCs/>
                <w:sz w:val="20"/>
                <w:szCs w:val="20"/>
                <w:lang w:val="hr-HR"/>
              </w:rPr>
              <w:t>87</w:t>
            </w:r>
          </w:p>
        </w:tc>
        <w:tc>
          <w:tcPr>
            <w:tcW w:w="832" w:type="pct"/>
            <w:tcBorders>
              <w:top w:val="nil"/>
              <w:left w:val="nil"/>
              <w:bottom w:val="nil"/>
              <w:right w:val="nil"/>
            </w:tcBorders>
            <w:shd w:val="clear" w:color="auto" w:fill="auto"/>
            <w:vAlign w:val="bottom"/>
          </w:tcPr>
          <w:p w14:paraId="35F35F07"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color w:val="000000"/>
                <w:sz w:val="20"/>
                <w:szCs w:val="20"/>
                <w:lang w:val="en-GB"/>
              </w:rPr>
            </w:pPr>
            <w:r w:rsidRPr="00587444">
              <w:rPr>
                <w:rFonts w:ascii="Arial" w:hAnsi="Arial" w:cs="Arial"/>
                <w:bCs/>
                <w:color w:val="000000"/>
                <w:sz w:val="20"/>
                <w:szCs w:val="20"/>
                <w:lang w:val="hr-HR"/>
              </w:rPr>
              <w:t>(51)</w:t>
            </w:r>
          </w:p>
        </w:tc>
      </w:tr>
      <w:tr w:rsidR="00587444" w:rsidRPr="00587444" w14:paraId="47D7EB31" w14:textId="77777777" w:rsidTr="00DD69E7">
        <w:trPr>
          <w:trHeight w:val="433"/>
        </w:trPr>
        <w:tc>
          <w:tcPr>
            <w:tcW w:w="3334" w:type="pct"/>
            <w:vAlign w:val="bottom"/>
          </w:tcPr>
          <w:p w14:paraId="6AD7D703" w14:textId="77777777" w:rsidR="00587444" w:rsidRPr="00587444" w:rsidRDefault="00587444" w:rsidP="00587444">
            <w:pPr>
              <w:tabs>
                <w:tab w:val="right" w:pos="1202"/>
              </w:tabs>
              <w:suppressAutoHyphens w:val="0"/>
              <w:autoSpaceDN/>
              <w:spacing w:line="280" w:lineRule="exact"/>
              <w:outlineLvl w:val="0"/>
              <w:rPr>
                <w:rFonts w:ascii="Arial" w:hAnsi="Arial" w:cs="Arial"/>
                <w:b/>
                <w:bCs/>
                <w:sz w:val="20"/>
                <w:szCs w:val="20"/>
              </w:rPr>
            </w:pPr>
            <w:bookmarkStart w:id="295" w:name="_Toc4057329"/>
            <w:r w:rsidRPr="00587444">
              <w:rPr>
                <w:rFonts w:ascii="Arial" w:hAnsi="Arial" w:cs="Arial"/>
                <w:b/>
                <w:bCs/>
                <w:sz w:val="20"/>
                <w:szCs w:val="20"/>
              </w:rPr>
              <w:t>Total items that may be reclassified subsequently to profit or loss</w:t>
            </w:r>
            <w:bookmarkEnd w:id="295"/>
          </w:p>
        </w:tc>
        <w:tc>
          <w:tcPr>
            <w:tcW w:w="834" w:type="pct"/>
            <w:tcBorders>
              <w:top w:val="single" w:sz="4" w:space="0" w:color="auto"/>
              <w:bottom w:val="single" w:sz="12" w:space="0" w:color="auto"/>
            </w:tcBorders>
            <w:vAlign w:val="bottom"/>
          </w:tcPr>
          <w:p w14:paraId="756073EA" w14:textId="79CCB7F0"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hr-HR"/>
              </w:rPr>
              <w:t>(</w:t>
            </w:r>
            <w:r w:rsidR="00CC529F">
              <w:rPr>
                <w:rFonts w:ascii="Arial" w:hAnsi="Arial" w:cs="Arial"/>
                <w:b/>
                <w:bCs/>
                <w:sz w:val="20"/>
                <w:szCs w:val="20"/>
                <w:lang w:val="hr-HR"/>
              </w:rPr>
              <w:t>62</w:t>
            </w:r>
            <w:r w:rsidRPr="00587444">
              <w:rPr>
                <w:rFonts w:ascii="Arial" w:hAnsi="Arial" w:cs="Arial"/>
                <w:b/>
                <w:bCs/>
                <w:sz w:val="20"/>
                <w:szCs w:val="20"/>
                <w:lang w:val="hr-HR"/>
              </w:rPr>
              <w:t>,</w:t>
            </w:r>
            <w:r w:rsidR="00CC529F">
              <w:rPr>
                <w:rFonts w:ascii="Arial" w:hAnsi="Arial" w:cs="Arial"/>
                <w:b/>
                <w:bCs/>
                <w:sz w:val="20"/>
                <w:szCs w:val="20"/>
                <w:lang w:val="hr-HR"/>
              </w:rPr>
              <w:t>571</w:t>
            </w:r>
            <w:r w:rsidRPr="00587444">
              <w:rPr>
                <w:rFonts w:ascii="Arial" w:hAnsi="Arial" w:cs="Arial"/>
                <w:b/>
                <w:bCs/>
                <w:sz w:val="20"/>
                <w:szCs w:val="20"/>
                <w:lang w:val="hr-HR"/>
              </w:rPr>
              <w:t>)</w:t>
            </w:r>
          </w:p>
        </w:tc>
        <w:tc>
          <w:tcPr>
            <w:tcW w:w="832" w:type="pct"/>
            <w:tcBorders>
              <w:top w:val="single" w:sz="4" w:space="0" w:color="auto"/>
              <w:bottom w:val="single" w:sz="12" w:space="0" w:color="auto"/>
            </w:tcBorders>
            <w:vAlign w:val="bottom"/>
          </w:tcPr>
          <w:p w14:paraId="104BD285" w14:textId="77777777" w:rsidR="00587444" w:rsidRPr="00587444" w:rsidDel="00077D3D"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(23,114)</w:t>
            </w:r>
          </w:p>
        </w:tc>
      </w:tr>
      <w:tr w:rsidR="00587444" w:rsidRPr="00587444" w14:paraId="5953C17A" w14:textId="77777777" w:rsidTr="00DD69E7">
        <w:trPr>
          <w:trHeight w:val="433"/>
        </w:trPr>
        <w:tc>
          <w:tcPr>
            <w:tcW w:w="3334" w:type="pct"/>
            <w:vAlign w:val="bottom"/>
          </w:tcPr>
          <w:p w14:paraId="41669D74"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bookmarkStart w:id="296" w:name="_Toc4057332"/>
            <w:r w:rsidRPr="00587444">
              <w:rPr>
                <w:rFonts w:ascii="Arial" w:hAnsi="Arial" w:cs="Arial"/>
                <w:b/>
                <w:bCs/>
                <w:sz w:val="20"/>
                <w:szCs w:val="20"/>
                <w:lang w:val="en-GB"/>
              </w:rPr>
              <w:t>Other comprehensive income after income tax</w:t>
            </w:r>
            <w:bookmarkEnd w:id="296"/>
          </w:p>
        </w:tc>
        <w:tc>
          <w:tcPr>
            <w:tcW w:w="834" w:type="pct"/>
            <w:tcBorders>
              <w:top w:val="single" w:sz="12" w:space="0" w:color="auto"/>
              <w:bottom w:val="single" w:sz="4" w:space="0" w:color="auto"/>
            </w:tcBorders>
            <w:vAlign w:val="bottom"/>
          </w:tcPr>
          <w:p w14:paraId="18B33F23"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hr-HR"/>
              </w:rPr>
              <w:t>(63,330)</w:t>
            </w:r>
          </w:p>
        </w:tc>
        <w:tc>
          <w:tcPr>
            <w:tcW w:w="832" w:type="pct"/>
            <w:tcBorders>
              <w:top w:val="single" w:sz="12" w:space="0" w:color="auto"/>
              <w:bottom w:val="single" w:sz="4" w:space="0" w:color="auto"/>
            </w:tcBorders>
            <w:vAlign w:val="bottom"/>
          </w:tcPr>
          <w:p w14:paraId="2F89ECF2" w14:textId="77777777" w:rsidR="00587444" w:rsidRPr="00587444" w:rsidDel="00077D3D"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en-GB"/>
              </w:rPr>
              <w:t>(23,945)</w:t>
            </w:r>
          </w:p>
        </w:tc>
      </w:tr>
      <w:tr w:rsidR="00587444" w:rsidRPr="00587444" w14:paraId="17780895" w14:textId="77777777" w:rsidTr="00DD69E7">
        <w:trPr>
          <w:trHeight w:val="433"/>
        </w:trPr>
        <w:tc>
          <w:tcPr>
            <w:tcW w:w="3334" w:type="pct"/>
            <w:vAlign w:val="bottom"/>
          </w:tcPr>
          <w:p w14:paraId="7D323CAF"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bookmarkStart w:id="297" w:name="_Toc4057335"/>
            <w:r w:rsidRPr="00587444">
              <w:rPr>
                <w:rFonts w:ascii="Arial" w:hAnsi="Arial" w:cs="Arial"/>
                <w:b/>
                <w:bCs/>
                <w:sz w:val="20"/>
                <w:szCs w:val="20"/>
                <w:lang w:val="en-GB"/>
              </w:rPr>
              <w:t>Total comprehensive income after income tax</w:t>
            </w:r>
            <w:bookmarkEnd w:id="297"/>
          </w:p>
        </w:tc>
        <w:tc>
          <w:tcPr>
            <w:tcW w:w="834" w:type="pct"/>
            <w:tcBorders>
              <w:top w:val="single" w:sz="4" w:space="0" w:color="auto"/>
              <w:bottom w:val="single" w:sz="12" w:space="0" w:color="auto"/>
            </w:tcBorders>
            <w:vAlign w:val="bottom"/>
          </w:tcPr>
          <w:p w14:paraId="0B4EFDD6"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hr-HR"/>
              </w:rPr>
              <w:t>122,843</w:t>
            </w:r>
          </w:p>
        </w:tc>
        <w:tc>
          <w:tcPr>
            <w:tcW w:w="832" w:type="pct"/>
            <w:tcBorders>
              <w:top w:val="single" w:sz="4" w:space="0" w:color="auto"/>
              <w:bottom w:val="single" w:sz="12" w:space="0" w:color="auto"/>
            </w:tcBorders>
            <w:vAlign w:val="bottom"/>
          </w:tcPr>
          <w:p w14:paraId="706CC2BF" w14:textId="77777777" w:rsidR="00587444" w:rsidRPr="00587444" w:rsidDel="00077D3D"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hr-HR"/>
              </w:rPr>
              <w:t>163,137</w:t>
            </w:r>
          </w:p>
        </w:tc>
      </w:tr>
      <w:tr w:rsidR="00587444" w:rsidRPr="00587444" w14:paraId="6173BAF4" w14:textId="77777777" w:rsidTr="00DD69E7">
        <w:trPr>
          <w:trHeight w:val="114"/>
        </w:trPr>
        <w:tc>
          <w:tcPr>
            <w:tcW w:w="3334" w:type="pct"/>
          </w:tcPr>
          <w:p w14:paraId="72EE04E2" w14:textId="77777777" w:rsidR="00587444" w:rsidRPr="00587444" w:rsidRDefault="00587444" w:rsidP="00587444">
            <w:pPr>
              <w:tabs>
                <w:tab w:val="right" w:pos="1202"/>
              </w:tabs>
              <w:suppressAutoHyphens w:val="0"/>
              <w:autoSpaceDN/>
              <w:spacing w:line="301" w:lineRule="exact"/>
              <w:outlineLvl w:val="0"/>
              <w:rPr>
                <w:rFonts w:ascii="Arial" w:hAnsi="Arial" w:cs="Arial"/>
                <w:b/>
                <w:bCs/>
                <w:sz w:val="20"/>
                <w:szCs w:val="20"/>
                <w:lang w:val="en-GB"/>
              </w:rPr>
            </w:pPr>
            <w:r w:rsidRPr="00587444">
              <w:rPr>
                <w:rFonts w:ascii="Arial" w:hAnsi="Arial" w:cs="Arial"/>
                <w:b/>
                <w:bCs/>
                <w:sz w:val="20"/>
                <w:szCs w:val="20"/>
                <w:lang w:val="en-GB"/>
              </w:rPr>
              <w:t xml:space="preserve">  </w:t>
            </w:r>
          </w:p>
        </w:tc>
        <w:tc>
          <w:tcPr>
            <w:tcW w:w="834" w:type="pct"/>
            <w:tcBorders>
              <w:top w:val="single" w:sz="12" w:space="0" w:color="auto"/>
            </w:tcBorders>
            <w:vAlign w:val="bottom"/>
          </w:tcPr>
          <w:p w14:paraId="303E3A41" w14:textId="77777777" w:rsidR="00587444" w:rsidRPr="00587444" w:rsidRDefault="00587444" w:rsidP="00587444">
            <w:pPr>
              <w:keepNext/>
              <w:keepLines/>
              <w:suppressAutoHyphens w:val="0"/>
              <w:autoSpaceDN/>
              <w:spacing w:line="301" w:lineRule="exact"/>
              <w:jc w:val="right"/>
              <w:rPr>
                <w:rFonts w:ascii="Arial" w:hAnsi="Arial" w:cs="Arial"/>
                <w:b/>
                <w:position w:val="4"/>
                <w:sz w:val="20"/>
                <w:szCs w:val="20"/>
                <w:lang w:val="hr-HR"/>
              </w:rPr>
            </w:pPr>
          </w:p>
        </w:tc>
        <w:tc>
          <w:tcPr>
            <w:tcW w:w="832" w:type="pct"/>
            <w:tcBorders>
              <w:top w:val="single" w:sz="12" w:space="0" w:color="auto"/>
            </w:tcBorders>
            <w:vAlign w:val="bottom"/>
          </w:tcPr>
          <w:p w14:paraId="5E4D95AB" w14:textId="77777777" w:rsidR="00587444" w:rsidRPr="00587444" w:rsidRDefault="00587444" w:rsidP="00587444">
            <w:pPr>
              <w:keepNext/>
              <w:keepLines/>
              <w:suppressAutoHyphens w:val="0"/>
              <w:autoSpaceDN/>
              <w:spacing w:line="301" w:lineRule="exact"/>
              <w:jc w:val="right"/>
              <w:rPr>
                <w:rFonts w:ascii="Arial" w:hAnsi="Arial" w:cs="Arial"/>
                <w:b/>
                <w:position w:val="4"/>
                <w:sz w:val="20"/>
                <w:szCs w:val="20"/>
                <w:lang w:val="hr-HR"/>
              </w:rPr>
            </w:pPr>
          </w:p>
        </w:tc>
      </w:tr>
      <w:tr w:rsidR="00587444" w:rsidRPr="00587444" w14:paraId="2B160619" w14:textId="77777777" w:rsidTr="00DD69E7">
        <w:trPr>
          <w:trHeight w:val="111"/>
        </w:trPr>
        <w:tc>
          <w:tcPr>
            <w:tcW w:w="3334" w:type="pct"/>
          </w:tcPr>
          <w:p w14:paraId="2FD809D1" w14:textId="77777777" w:rsidR="00587444" w:rsidRPr="00587444" w:rsidRDefault="00587444" w:rsidP="00587444">
            <w:pPr>
              <w:tabs>
                <w:tab w:val="right" w:pos="1202"/>
              </w:tabs>
              <w:suppressAutoHyphens w:val="0"/>
              <w:autoSpaceDN/>
              <w:spacing w:line="301" w:lineRule="exact"/>
              <w:outlineLvl w:val="0"/>
              <w:rPr>
                <w:rFonts w:ascii="Arial" w:hAnsi="Arial" w:cs="Arial"/>
                <w:b/>
                <w:bCs/>
                <w:sz w:val="20"/>
                <w:szCs w:val="20"/>
                <w:lang w:val="en-GB"/>
              </w:rPr>
            </w:pPr>
            <w:bookmarkStart w:id="298" w:name="_Toc4057338"/>
            <w:r w:rsidRPr="00587444">
              <w:rPr>
                <w:rFonts w:ascii="Arial" w:hAnsi="Arial" w:cs="Arial"/>
                <w:b/>
                <w:sz w:val="20"/>
                <w:szCs w:val="20"/>
                <w:lang w:val="en-GB"/>
              </w:rPr>
              <w:t>Attributable to:</w:t>
            </w:r>
            <w:bookmarkEnd w:id="298"/>
          </w:p>
        </w:tc>
        <w:tc>
          <w:tcPr>
            <w:tcW w:w="834" w:type="pct"/>
            <w:vAlign w:val="bottom"/>
          </w:tcPr>
          <w:p w14:paraId="0DFD7557" w14:textId="77777777" w:rsidR="00587444" w:rsidRPr="00587444" w:rsidRDefault="00587444" w:rsidP="00587444">
            <w:pPr>
              <w:keepNext/>
              <w:keepLines/>
              <w:suppressAutoHyphens w:val="0"/>
              <w:autoSpaceDN/>
              <w:spacing w:line="301" w:lineRule="exact"/>
              <w:jc w:val="right"/>
              <w:rPr>
                <w:rFonts w:ascii="Arial" w:hAnsi="Arial" w:cs="Arial"/>
                <w:b/>
                <w:position w:val="4"/>
                <w:sz w:val="20"/>
                <w:szCs w:val="20"/>
                <w:lang w:val="hr-HR"/>
              </w:rPr>
            </w:pPr>
          </w:p>
        </w:tc>
        <w:tc>
          <w:tcPr>
            <w:tcW w:w="832" w:type="pct"/>
            <w:vAlign w:val="bottom"/>
          </w:tcPr>
          <w:p w14:paraId="4F8B38FC" w14:textId="77777777" w:rsidR="00587444" w:rsidRPr="00587444" w:rsidRDefault="00587444" w:rsidP="00587444">
            <w:pPr>
              <w:keepNext/>
              <w:keepLines/>
              <w:suppressAutoHyphens w:val="0"/>
              <w:autoSpaceDN/>
              <w:spacing w:line="301" w:lineRule="exact"/>
              <w:jc w:val="right"/>
              <w:rPr>
                <w:rFonts w:ascii="Arial" w:hAnsi="Arial" w:cs="Arial"/>
                <w:b/>
                <w:position w:val="4"/>
                <w:sz w:val="20"/>
                <w:szCs w:val="20"/>
                <w:lang w:val="hr-HR"/>
              </w:rPr>
            </w:pPr>
          </w:p>
        </w:tc>
      </w:tr>
      <w:tr w:rsidR="00587444" w:rsidRPr="00587444" w14:paraId="0EF814E3" w14:textId="77777777" w:rsidTr="00DD69E7">
        <w:trPr>
          <w:trHeight w:val="372"/>
        </w:trPr>
        <w:tc>
          <w:tcPr>
            <w:tcW w:w="3334" w:type="pct"/>
            <w:vAlign w:val="bottom"/>
          </w:tcPr>
          <w:p w14:paraId="06F4ABCD" w14:textId="77777777" w:rsidR="00587444" w:rsidRPr="00587444" w:rsidRDefault="00587444" w:rsidP="00587444">
            <w:pPr>
              <w:tabs>
                <w:tab w:val="right" w:pos="1202"/>
              </w:tabs>
              <w:suppressAutoHyphens w:val="0"/>
              <w:autoSpaceDN/>
              <w:spacing w:line="301" w:lineRule="exact"/>
              <w:outlineLvl w:val="0"/>
              <w:rPr>
                <w:rFonts w:ascii="Arial" w:hAnsi="Arial" w:cs="Arial"/>
                <w:b/>
                <w:bCs/>
                <w:sz w:val="20"/>
                <w:szCs w:val="20"/>
                <w:lang w:val="en-GB"/>
              </w:rPr>
            </w:pPr>
            <w:bookmarkStart w:id="299" w:name="_Toc4057339"/>
            <w:r w:rsidRPr="00587444">
              <w:rPr>
                <w:rFonts w:ascii="Arial" w:hAnsi="Arial" w:cs="Arial"/>
                <w:b/>
                <w:sz w:val="20"/>
                <w:szCs w:val="20"/>
                <w:lang w:val="en-GB"/>
              </w:rPr>
              <w:t>Owner of the Bank</w:t>
            </w:r>
            <w:bookmarkEnd w:id="299"/>
          </w:p>
        </w:tc>
        <w:tc>
          <w:tcPr>
            <w:tcW w:w="834" w:type="pct"/>
            <w:tcBorders>
              <w:bottom w:val="single" w:sz="12" w:space="0" w:color="auto"/>
            </w:tcBorders>
            <w:vAlign w:val="bottom"/>
          </w:tcPr>
          <w:p w14:paraId="736F8C38"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hr-HR"/>
              </w:rPr>
              <w:t>122,843</w:t>
            </w:r>
          </w:p>
        </w:tc>
        <w:tc>
          <w:tcPr>
            <w:tcW w:w="832" w:type="pct"/>
            <w:tcBorders>
              <w:bottom w:val="single" w:sz="12" w:space="0" w:color="auto"/>
            </w:tcBorders>
            <w:vAlign w:val="bottom"/>
          </w:tcPr>
          <w:p w14:paraId="19633BC1" w14:textId="77777777" w:rsidR="00587444" w:rsidRPr="00587444" w:rsidDel="00077D3D" w:rsidRDefault="00587444" w:rsidP="00587444">
            <w:pPr>
              <w:tabs>
                <w:tab w:val="right" w:pos="1202"/>
              </w:tabs>
              <w:suppressAutoHyphens w:val="0"/>
              <w:autoSpaceDN/>
              <w:spacing w:line="340" w:lineRule="exact"/>
              <w:jc w:val="right"/>
              <w:outlineLvl w:val="0"/>
              <w:rPr>
                <w:rFonts w:ascii="Arial" w:hAnsi="Arial" w:cs="Arial"/>
                <w:bCs/>
                <w:sz w:val="20"/>
                <w:szCs w:val="20"/>
                <w:lang w:val="hr-HR"/>
              </w:rPr>
            </w:pPr>
            <w:r w:rsidRPr="00587444">
              <w:rPr>
                <w:rFonts w:ascii="Arial" w:hAnsi="Arial" w:cs="Arial"/>
                <w:b/>
                <w:bCs/>
                <w:sz w:val="20"/>
                <w:szCs w:val="20"/>
                <w:lang w:val="hr-HR"/>
              </w:rPr>
              <w:t>163,137</w:t>
            </w:r>
          </w:p>
        </w:tc>
      </w:tr>
    </w:tbl>
    <w:p w14:paraId="5E45FDAA" w14:textId="77777777" w:rsidR="00587444" w:rsidRPr="00587444" w:rsidRDefault="00587444" w:rsidP="00587444">
      <w:pPr>
        <w:suppressAutoHyphens w:val="0"/>
        <w:autoSpaceDN/>
        <w:rPr>
          <w:rFonts w:ascii="Arial" w:hAnsi="Arial" w:cs="Arial"/>
          <w:sz w:val="20"/>
          <w:szCs w:val="20"/>
          <w:lang w:val="en-GB"/>
        </w:rPr>
      </w:pPr>
    </w:p>
    <w:p w14:paraId="3E213B40" w14:textId="77777777" w:rsidR="00587444" w:rsidRPr="00587444" w:rsidRDefault="00587444" w:rsidP="00587444">
      <w:pPr>
        <w:suppressAutoHyphens w:val="0"/>
        <w:autoSpaceDN/>
        <w:jc w:val="both"/>
        <w:rPr>
          <w:rFonts w:ascii="Arial" w:hAnsi="Arial" w:cs="Arial"/>
          <w:sz w:val="20"/>
          <w:szCs w:val="20"/>
          <w:lang w:val="en-GB"/>
        </w:rPr>
      </w:pPr>
    </w:p>
    <w:p w14:paraId="1BEACD96" w14:textId="77777777" w:rsidR="00587444" w:rsidRPr="00587444" w:rsidRDefault="00587444" w:rsidP="00587444">
      <w:pPr>
        <w:suppressAutoHyphens w:val="0"/>
        <w:autoSpaceDN/>
        <w:jc w:val="both"/>
        <w:rPr>
          <w:rFonts w:ascii="Arial" w:hAnsi="Arial" w:cs="Arial"/>
          <w:sz w:val="20"/>
          <w:szCs w:val="20"/>
          <w:lang w:val="en-GB"/>
        </w:rPr>
      </w:pPr>
    </w:p>
    <w:p w14:paraId="19DDA3F9" w14:textId="77777777" w:rsidR="00587444" w:rsidRPr="00587444" w:rsidRDefault="00587444" w:rsidP="00587444">
      <w:pPr>
        <w:suppressAutoHyphens w:val="0"/>
        <w:autoSpaceDN/>
        <w:jc w:val="both"/>
        <w:rPr>
          <w:rFonts w:ascii="Arial" w:hAnsi="Arial" w:cs="Arial"/>
          <w:sz w:val="20"/>
          <w:szCs w:val="20"/>
          <w:lang w:val="en-GB"/>
        </w:rPr>
      </w:pPr>
    </w:p>
    <w:p w14:paraId="66E84EF0" w14:textId="77777777" w:rsidR="00587444" w:rsidRPr="00587444" w:rsidRDefault="00587444" w:rsidP="00587444">
      <w:pPr>
        <w:suppressAutoHyphens w:val="0"/>
        <w:autoSpaceDN/>
        <w:jc w:val="both"/>
        <w:rPr>
          <w:rFonts w:ascii="Arial" w:hAnsi="Arial" w:cs="Arial"/>
          <w:sz w:val="20"/>
          <w:szCs w:val="20"/>
          <w:lang w:val="en-GB"/>
        </w:rPr>
      </w:pPr>
    </w:p>
    <w:p w14:paraId="792931F6" w14:textId="77777777" w:rsidR="00587444" w:rsidRPr="00587444" w:rsidRDefault="00587444" w:rsidP="00587444">
      <w:pPr>
        <w:suppressAutoHyphens w:val="0"/>
        <w:autoSpaceDN/>
        <w:jc w:val="both"/>
        <w:rPr>
          <w:rFonts w:ascii="Arial" w:hAnsi="Arial" w:cs="Arial"/>
          <w:sz w:val="20"/>
          <w:szCs w:val="20"/>
          <w:lang w:val="en-GB"/>
        </w:rPr>
      </w:pPr>
    </w:p>
    <w:p w14:paraId="3C6EB655" w14:textId="77777777" w:rsidR="00587444" w:rsidRPr="00587444" w:rsidRDefault="00587444" w:rsidP="00587444">
      <w:pPr>
        <w:suppressAutoHyphens w:val="0"/>
        <w:autoSpaceDN/>
        <w:jc w:val="both"/>
        <w:rPr>
          <w:rFonts w:ascii="Arial" w:hAnsi="Arial" w:cs="Arial"/>
          <w:sz w:val="20"/>
          <w:szCs w:val="20"/>
          <w:lang w:val="en-GB"/>
        </w:rPr>
      </w:pPr>
    </w:p>
    <w:p w14:paraId="7E55C067" w14:textId="77777777" w:rsidR="00587444" w:rsidRPr="00587444" w:rsidRDefault="00587444" w:rsidP="00587444">
      <w:pPr>
        <w:suppressAutoHyphens w:val="0"/>
        <w:autoSpaceDN/>
        <w:jc w:val="both"/>
        <w:rPr>
          <w:rFonts w:ascii="Arial" w:hAnsi="Arial" w:cs="Arial"/>
          <w:sz w:val="20"/>
          <w:szCs w:val="20"/>
          <w:lang w:val="en-GB"/>
        </w:rPr>
      </w:pPr>
    </w:p>
    <w:p w14:paraId="3AC33457" w14:textId="77777777" w:rsidR="00587444" w:rsidRPr="00587444" w:rsidRDefault="00587444" w:rsidP="00587444">
      <w:pPr>
        <w:suppressAutoHyphens w:val="0"/>
        <w:autoSpaceDN/>
        <w:jc w:val="both"/>
        <w:rPr>
          <w:rFonts w:ascii="Arial" w:hAnsi="Arial" w:cs="Arial"/>
          <w:sz w:val="20"/>
          <w:szCs w:val="20"/>
          <w:lang w:val="en-GB"/>
        </w:rPr>
      </w:pPr>
    </w:p>
    <w:p w14:paraId="6DBBD06F" w14:textId="77777777" w:rsidR="00587444" w:rsidRPr="00587444" w:rsidRDefault="00587444" w:rsidP="00587444">
      <w:pPr>
        <w:suppressAutoHyphens w:val="0"/>
        <w:autoSpaceDN/>
        <w:jc w:val="both"/>
        <w:rPr>
          <w:rFonts w:ascii="Arial" w:hAnsi="Arial" w:cs="Arial"/>
          <w:sz w:val="20"/>
          <w:szCs w:val="20"/>
          <w:lang w:val="en-GB"/>
        </w:rPr>
      </w:pPr>
    </w:p>
    <w:p w14:paraId="59382291" w14:textId="77777777" w:rsidR="00587444" w:rsidRPr="00587444" w:rsidRDefault="00587444" w:rsidP="00587444">
      <w:pPr>
        <w:suppressAutoHyphens w:val="0"/>
        <w:autoSpaceDN/>
        <w:jc w:val="both"/>
        <w:rPr>
          <w:rFonts w:ascii="Arial" w:hAnsi="Arial" w:cs="Arial"/>
          <w:sz w:val="20"/>
          <w:szCs w:val="20"/>
          <w:lang w:val="en-GB"/>
        </w:rPr>
      </w:pPr>
    </w:p>
    <w:p w14:paraId="5992F269" w14:textId="77777777" w:rsidR="00587444" w:rsidRPr="00587444" w:rsidRDefault="00587444" w:rsidP="00587444">
      <w:pPr>
        <w:suppressAutoHyphens w:val="0"/>
        <w:autoSpaceDN/>
        <w:jc w:val="both"/>
        <w:rPr>
          <w:rFonts w:ascii="Arial" w:hAnsi="Arial" w:cs="Arial"/>
          <w:sz w:val="20"/>
          <w:szCs w:val="20"/>
          <w:lang w:val="en-GB"/>
        </w:rPr>
      </w:pPr>
    </w:p>
    <w:p w14:paraId="756A88E6" w14:textId="77777777" w:rsidR="00587444" w:rsidRPr="00587444" w:rsidRDefault="00587444" w:rsidP="00587444">
      <w:pPr>
        <w:suppressAutoHyphens w:val="0"/>
        <w:autoSpaceDN/>
        <w:jc w:val="both"/>
        <w:rPr>
          <w:rFonts w:ascii="Arial" w:hAnsi="Arial" w:cs="Arial"/>
          <w:sz w:val="20"/>
          <w:szCs w:val="20"/>
          <w:lang w:val="en-GB"/>
        </w:rPr>
        <w:sectPr w:rsidR="00587444" w:rsidRPr="00587444" w:rsidSect="00DD69E7">
          <w:headerReference w:type="default" r:id="rId69"/>
          <w:footerReference w:type="default" r:id="rId70"/>
          <w:pgSz w:w="11907" w:h="16840" w:code="9"/>
          <w:pgMar w:top="1418" w:right="992" w:bottom="1134" w:left="1418" w:header="851" w:footer="851" w:gutter="0"/>
          <w:cols w:space="720"/>
          <w:noEndnote/>
        </w:sectPr>
      </w:pPr>
      <w:r w:rsidRPr="00587444">
        <w:rPr>
          <w:rFonts w:ascii="Arial" w:hAnsi="Arial" w:cs="Arial"/>
          <w:sz w:val="20"/>
          <w:szCs w:val="20"/>
          <w:lang w:val="en-GB"/>
        </w:rPr>
        <w:t>The accompanying accounting policies and notes are an integral part of these financial statements.</w:t>
      </w:r>
    </w:p>
    <w:tbl>
      <w:tblPr>
        <w:tblpPr w:leftFromText="181" w:rightFromText="181" w:vertAnchor="text" w:horzAnchor="margin" w:tblpY="360"/>
        <w:tblW w:w="4986" w:type="pct"/>
        <w:tblLayout w:type="fixed"/>
        <w:tblLook w:val="0000" w:firstRow="0" w:lastRow="0" w:firstColumn="0" w:lastColumn="0" w:noHBand="0" w:noVBand="0"/>
      </w:tblPr>
      <w:tblGrid>
        <w:gridCol w:w="5144"/>
        <w:gridCol w:w="1153"/>
        <w:gridCol w:w="1581"/>
        <w:gridCol w:w="287"/>
        <w:gridCol w:w="1521"/>
      </w:tblGrid>
      <w:tr w:rsidR="00587444" w:rsidRPr="00587444" w14:paraId="5FE0D5A6" w14:textId="77777777" w:rsidTr="00DD69E7">
        <w:trPr>
          <w:trHeight w:val="277"/>
        </w:trPr>
        <w:tc>
          <w:tcPr>
            <w:tcW w:w="2656" w:type="pct"/>
            <w:vAlign w:val="bottom"/>
          </w:tcPr>
          <w:p w14:paraId="1312C8D5" w14:textId="77777777" w:rsidR="00587444" w:rsidRPr="00587444" w:rsidRDefault="00587444" w:rsidP="00587444">
            <w:pPr>
              <w:suppressAutoHyphens w:val="0"/>
              <w:autoSpaceDN/>
              <w:rPr>
                <w:rFonts w:ascii="Arial" w:hAnsi="Arial" w:cs="Arial"/>
                <w:sz w:val="20"/>
                <w:szCs w:val="20"/>
              </w:rPr>
            </w:pPr>
          </w:p>
          <w:p w14:paraId="52AF4ECC" w14:textId="77777777" w:rsidR="00587444" w:rsidRPr="00587444" w:rsidRDefault="00587444" w:rsidP="00587444">
            <w:pPr>
              <w:suppressAutoHyphens w:val="0"/>
              <w:autoSpaceDN/>
              <w:rPr>
                <w:rFonts w:ascii="Arial" w:hAnsi="Arial" w:cs="Arial"/>
                <w:sz w:val="20"/>
                <w:szCs w:val="20"/>
              </w:rPr>
            </w:pPr>
          </w:p>
        </w:tc>
        <w:tc>
          <w:tcPr>
            <w:tcW w:w="595" w:type="pct"/>
            <w:vAlign w:val="center"/>
          </w:tcPr>
          <w:p w14:paraId="2A6EC386" w14:textId="77777777" w:rsidR="00587444" w:rsidRPr="00587444" w:rsidRDefault="00587444" w:rsidP="00587444">
            <w:pPr>
              <w:suppressAutoHyphens w:val="0"/>
              <w:autoSpaceDN/>
              <w:jc w:val="center"/>
              <w:rPr>
                <w:rFonts w:ascii="Arial" w:hAnsi="Arial" w:cs="Arial"/>
                <w:b/>
                <w:sz w:val="20"/>
                <w:szCs w:val="20"/>
                <w:highlight w:val="yellow"/>
              </w:rPr>
            </w:pPr>
          </w:p>
        </w:tc>
        <w:tc>
          <w:tcPr>
            <w:tcW w:w="816" w:type="pct"/>
            <w:vAlign w:val="center"/>
          </w:tcPr>
          <w:p w14:paraId="764FB63B" w14:textId="77777777" w:rsidR="00587444" w:rsidRPr="00587444" w:rsidRDefault="00587444" w:rsidP="00587444">
            <w:pPr>
              <w:suppressAutoHyphens w:val="0"/>
              <w:autoSpaceDN/>
              <w:jc w:val="right"/>
              <w:rPr>
                <w:rFonts w:ascii="Arial" w:hAnsi="Arial" w:cs="Arial"/>
                <w:b/>
                <w:sz w:val="20"/>
                <w:szCs w:val="20"/>
              </w:rPr>
            </w:pPr>
            <w:r w:rsidRPr="00587444">
              <w:rPr>
                <w:rFonts w:ascii="Arial" w:hAnsi="Arial" w:cs="Arial"/>
                <w:b/>
                <w:sz w:val="20"/>
                <w:szCs w:val="20"/>
              </w:rPr>
              <w:t>2022</w:t>
            </w:r>
          </w:p>
        </w:tc>
        <w:tc>
          <w:tcPr>
            <w:tcW w:w="148" w:type="pct"/>
            <w:vAlign w:val="center"/>
          </w:tcPr>
          <w:p w14:paraId="6B0EEB5E" w14:textId="77777777" w:rsidR="00587444" w:rsidRPr="00587444" w:rsidRDefault="00587444" w:rsidP="00587444">
            <w:pPr>
              <w:suppressAutoHyphens w:val="0"/>
              <w:autoSpaceDN/>
              <w:jc w:val="right"/>
              <w:rPr>
                <w:rFonts w:ascii="Arial" w:hAnsi="Arial" w:cs="Arial"/>
                <w:b/>
                <w:sz w:val="20"/>
                <w:szCs w:val="20"/>
              </w:rPr>
            </w:pPr>
          </w:p>
        </w:tc>
        <w:tc>
          <w:tcPr>
            <w:tcW w:w="785" w:type="pct"/>
            <w:vAlign w:val="center"/>
          </w:tcPr>
          <w:p w14:paraId="366871C1" w14:textId="77777777" w:rsidR="00587444" w:rsidRPr="00587444" w:rsidRDefault="00587444" w:rsidP="00587444">
            <w:pPr>
              <w:suppressAutoHyphens w:val="0"/>
              <w:autoSpaceDN/>
              <w:jc w:val="right"/>
              <w:rPr>
                <w:rFonts w:ascii="Arial" w:hAnsi="Arial" w:cs="Arial"/>
                <w:b/>
                <w:sz w:val="20"/>
                <w:szCs w:val="20"/>
              </w:rPr>
            </w:pPr>
            <w:r w:rsidRPr="00587444">
              <w:rPr>
                <w:rFonts w:ascii="Arial" w:hAnsi="Arial" w:cs="Arial"/>
                <w:b/>
                <w:bCs/>
                <w:sz w:val="20"/>
                <w:szCs w:val="20"/>
              </w:rPr>
              <w:t>2021</w:t>
            </w:r>
          </w:p>
        </w:tc>
      </w:tr>
      <w:tr w:rsidR="00587444" w:rsidRPr="00587444" w14:paraId="0BDCE7A4" w14:textId="77777777" w:rsidTr="00DD69E7">
        <w:trPr>
          <w:trHeight w:hRule="exact" w:val="271"/>
        </w:trPr>
        <w:tc>
          <w:tcPr>
            <w:tcW w:w="2656" w:type="pct"/>
            <w:vAlign w:val="bottom"/>
          </w:tcPr>
          <w:p w14:paraId="4F7127A8" w14:textId="77777777" w:rsidR="00587444" w:rsidRPr="00587444" w:rsidRDefault="00587444" w:rsidP="00587444">
            <w:pPr>
              <w:suppressAutoHyphens w:val="0"/>
              <w:autoSpaceDN/>
              <w:rPr>
                <w:rFonts w:ascii="Arial" w:hAnsi="Arial" w:cs="Arial"/>
                <w:sz w:val="20"/>
                <w:szCs w:val="20"/>
              </w:rPr>
            </w:pPr>
          </w:p>
        </w:tc>
        <w:tc>
          <w:tcPr>
            <w:tcW w:w="595" w:type="pct"/>
            <w:vAlign w:val="center"/>
          </w:tcPr>
          <w:p w14:paraId="430B3684" w14:textId="77777777" w:rsidR="00587444" w:rsidRPr="00587444" w:rsidRDefault="00587444" w:rsidP="00587444">
            <w:pPr>
              <w:suppressAutoHyphens w:val="0"/>
              <w:autoSpaceDN/>
              <w:jc w:val="center"/>
              <w:rPr>
                <w:rFonts w:ascii="Arial" w:hAnsi="Arial" w:cs="Arial"/>
                <w:b/>
                <w:sz w:val="20"/>
                <w:szCs w:val="20"/>
              </w:rPr>
            </w:pPr>
            <w:r w:rsidRPr="00587444">
              <w:rPr>
                <w:rFonts w:ascii="Arial" w:hAnsi="Arial" w:cs="Arial"/>
                <w:b/>
                <w:sz w:val="20"/>
                <w:szCs w:val="20"/>
              </w:rPr>
              <w:t>Notes</w:t>
            </w:r>
          </w:p>
        </w:tc>
        <w:tc>
          <w:tcPr>
            <w:tcW w:w="816" w:type="pct"/>
            <w:vAlign w:val="center"/>
          </w:tcPr>
          <w:p w14:paraId="203741AB" w14:textId="77777777" w:rsidR="00587444" w:rsidRPr="00587444" w:rsidRDefault="00587444" w:rsidP="00587444">
            <w:pPr>
              <w:suppressAutoHyphens w:val="0"/>
              <w:autoSpaceDN/>
              <w:jc w:val="right"/>
              <w:rPr>
                <w:rFonts w:ascii="Arial" w:hAnsi="Arial" w:cs="Arial"/>
                <w:b/>
                <w:bCs/>
                <w:sz w:val="20"/>
                <w:szCs w:val="20"/>
              </w:rPr>
            </w:pPr>
            <w:r w:rsidRPr="00587444">
              <w:rPr>
                <w:rFonts w:ascii="Arial" w:hAnsi="Arial" w:cs="Arial"/>
                <w:b/>
                <w:bCs/>
                <w:sz w:val="20"/>
                <w:szCs w:val="20"/>
              </w:rPr>
              <w:t>HRK ‘000</w:t>
            </w:r>
          </w:p>
        </w:tc>
        <w:tc>
          <w:tcPr>
            <w:tcW w:w="148" w:type="pct"/>
            <w:vAlign w:val="center"/>
          </w:tcPr>
          <w:p w14:paraId="02DEFD30" w14:textId="77777777" w:rsidR="00587444" w:rsidRPr="00587444" w:rsidRDefault="00587444" w:rsidP="00587444">
            <w:pPr>
              <w:suppressAutoHyphens w:val="0"/>
              <w:autoSpaceDN/>
              <w:jc w:val="right"/>
              <w:rPr>
                <w:rFonts w:ascii="Arial" w:hAnsi="Arial" w:cs="Arial"/>
                <w:b/>
                <w:sz w:val="20"/>
                <w:szCs w:val="20"/>
              </w:rPr>
            </w:pPr>
          </w:p>
        </w:tc>
        <w:tc>
          <w:tcPr>
            <w:tcW w:w="785" w:type="pct"/>
            <w:vAlign w:val="center"/>
          </w:tcPr>
          <w:p w14:paraId="3FA3D987" w14:textId="77777777" w:rsidR="00587444" w:rsidRPr="00587444" w:rsidRDefault="00587444" w:rsidP="00587444">
            <w:pPr>
              <w:suppressAutoHyphens w:val="0"/>
              <w:autoSpaceDN/>
              <w:jc w:val="right"/>
              <w:rPr>
                <w:rFonts w:ascii="Arial" w:hAnsi="Arial" w:cs="Arial"/>
                <w:b/>
                <w:sz w:val="20"/>
                <w:szCs w:val="20"/>
              </w:rPr>
            </w:pPr>
            <w:r w:rsidRPr="00587444">
              <w:rPr>
                <w:rFonts w:ascii="Arial" w:hAnsi="Arial" w:cs="Arial"/>
                <w:b/>
                <w:sz w:val="20"/>
                <w:szCs w:val="20"/>
              </w:rPr>
              <w:t>HRK ‘000</w:t>
            </w:r>
          </w:p>
        </w:tc>
      </w:tr>
      <w:tr w:rsidR="00587444" w:rsidRPr="00587444" w14:paraId="530B36F5" w14:textId="77777777" w:rsidTr="00DD69E7">
        <w:trPr>
          <w:trHeight w:hRule="exact" w:val="162"/>
        </w:trPr>
        <w:tc>
          <w:tcPr>
            <w:tcW w:w="2656" w:type="pct"/>
            <w:vAlign w:val="bottom"/>
          </w:tcPr>
          <w:p w14:paraId="34AF2FA8" w14:textId="77777777" w:rsidR="00587444" w:rsidRPr="00587444" w:rsidRDefault="00587444" w:rsidP="00587444">
            <w:pPr>
              <w:suppressAutoHyphens w:val="0"/>
              <w:autoSpaceDN/>
              <w:rPr>
                <w:rFonts w:ascii="Arial" w:hAnsi="Arial" w:cs="Arial"/>
                <w:sz w:val="20"/>
                <w:szCs w:val="20"/>
              </w:rPr>
            </w:pPr>
          </w:p>
        </w:tc>
        <w:tc>
          <w:tcPr>
            <w:tcW w:w="595" w:type="pct"/>
            <w:vAlign w:val="center"/>
          </w:tcPr>
          <w:p w14:paraId="3FC418E6" w14:textId="77777777" w:rsidR="00587444" w:rsidRPr="00587444" w:rsidRDefault="00587444" w:rsidP="00587444">
            <w:pPr>
              <w:suppressAutoHyphens w:val="0"/>
              <w:autoSpaceDN/>
              <w:jc w:val="center"/>
              <w:rPr>
                <w:rFonts w:ascii="Arial" w:hAnsi="Arial" w:cs="Arial"/>
                <w:b/>
                <w:sz w:val="20"/>
                <w:szCs w:val="20"/>
              </w:rPr>
            </w:pPr>
          </w:p>
        </w:tc>
        <w:tc>
          <w:tcPr>
            <w:tcW w:w="816" w:type="pct"/>
            <w:vAlign w:val="center"/>
          </w:tcPr>
          <w:p w14:paraId="60FBF35D" w14:textId="77777777" w:rsidR="00587444" w:rsidRPr="00587444" w:rsidRDefault="00587444" w:rsidP="00587444">
            <w:pPr>
              <w:suppressAutoHyphens w:val="0"/>
              <w:autoSpaceDN/>
              <w:jc w:val="right"/>
              <w:rPr>
                <w:rFonts w:ascii="Arial" w:hAnsi="Arial" w:cs="Arial"/>
                <w:b/>
                <w:bCs/>
                <w:sz w:val="20"/>
                <w:szCs w:val="20"/>
              </w:rPr>
            </w:pPr>
          </w:p>
        </w:tc>
        <w:tc>
          <w:tcPr>
            <w:tcW w:w="148" w:type="pct"/>
            <w:vAlign w:val="center"/>
          </w:tcPr>
          <w:p w14:paraId="3CB41F63" w14:textId="77777777" w:rsidR="00587444" w:rsidRPr="00587444" w:rsidRDefault="00587444" w:rsidP="00587444">
            <w:pPr>
              <w:suppressAutoHyphens w:val="0"/>
              <w:autoSpaceDN/>
              <w:jc w:val="right"/>
              <w:rPr>
                <w:rFonts w:ascii="Arial" w:hAnsi="Arial" w:cs="Arial"/>
                <w:b/>
                <w:sz w:val="20"/>
                <w:szCs w:val="20"/>
              </w:rPr>
            </w:pPr>
          </w:p>
        </w:tc>
        <w:tc>
          <w:tcPr>
            <w:tcW w:w="785" w:type="pct"/>
            <w:vAlign w:val="center"/>
          </w:tcPr>
          <w:p w14:paraId="6524E251" w14:textId="77777777" w:rsidR="00587444" w:rsidRPr="00587444" w:rsidRDefault="00587444" w:rsidP="00587444">
            <w:pPr>
              <w:suppressAutoHyphens w:val="0"/>
              <w:autoSpaceDN/>
              <w:jc w:val="right"/>
              <w:rPr>
                <w:rFonts w:ascii="Arial" w:hAnsi="Arial" w:cs="Arial"/>
                <w:b/>
                <w:sz w:val="20"/>
                <w:szCs w:val="20"/>
              </w:rPr>
            </w:pPr>
          </w:p>
        </w:tc>
      </w:tr>
      <w:tr w:rsidR="00587444" w:rsidRPr="00587444" w14:paraId="7072CEF6" w14:textId="77777777" w:rsidTr="00DD69E7">
        <w:trPr>
          <w:trHeight w:val="297"/>
        </w:trPr>
        <w:tc>
          <w:tcPr>
            <w:tcW w:w="2656" w:type="pct"/>
            <w:vAlign w:val="bottom"/>
          </w:tcPr>
          <w:p w14:paraId="704846AB" w14:textId="77777777" w:rsidR="00587444" w:rsidRPr="00587444" w:rsidRDefault="00587444" w:rsidP="00587444">
            <w:pPr>
              <w:tabs>
                <w:tab w:val="right" w:pos="1202"/>
              </w:tabs>
              <w:suppressAutoHyphens w:val="0"/>
              <w:autoSpaceDN/>
              <w:outlineLvl w:val="0"/>
              <w:rPr>
                <w:rFonts w:ascii="Arial" w:hAnsi="Arial" w:cs="Arial"/>
                <w:b/>
                <w:bCs/>
                <w:sz w:val="20"/>
                <w:szCs w:val="20"/>
              </w:rPr>
            </w:pPr>
            <w:bookmarkStart w:id="300" w:name="_Toc4057342"/>
            <w:r w:rsidRPr="00587444">
              <w:rPr>
                <w:rFonts w:ascii="Arial" w:eastAsia="Calibri" w:hAnsi="Arial" w:cs="Arial"/>
                <w:b/>
                <w:bCs/>
                <w:sz w:val="20"/>
                <w:szCs w:val="20"/>
              </w:rPr>
              <w:t>Assets</w:t>
            </w:r>
            <w:bookmarkEnd w:id="300"/>
          </w:p>
        </w:tc>
        <w:tc>
          <w:tcPr>
            <w:tcW w:w="595" w:type="pct"/>
            <w:vAlign w:val="center"/>
          </w:tcPr>
          <w:p w14:paraId="1FCBFD04" w14:textId="77777777" w:rsidR="00587444" w:rsidRPr="00587444" w:rsidRDefault="00587444" w:rsidP="00587444">
            <w:pPr>
              <w:tabs>
                <w:tab w:val="right" w:pos="1202"/>
              </w:tabs>
              <w:suppressAutoHyphens w:val="0"/>
              <w:autoSpaceDN/>
              <w:jc w:val="center"/>
              <w:outlineLvl w:val="0"/>
              <w:rPr>
                <w:rFonts w:ascii="Arial" w:hAnsi="Arial" w:cs="Arial"/>
                <w:b/>
                <w:bCs/>
                <w:sz w:val="20"/>
                <w:szCs w:val="20"/>
              </w:rPr>
            </w:pPr>
          </w:p>
        </w:tc>
        <w:tc>
          <w:tcPr>
            <w:tcW w:w="816" w:type="pct"/>
            <w:vAlign w:val="center"/>
          </w:tcPr>
          <w:p w14:paraId="6FB655B2" w14:textId="77777777" w:rsidR="00587444" w:rsidRPr="00587444" w:rsidRDefault="00587444" w:rsidP="00587444">
            <w:pPr>
              <w:tabs>
                <w:tab w:val="right" w:pos="1202"/>
              </w:tabs>
              <w:suppressAutoHyphens w:val="0"/>
              <w:autoSpaceDN/>
              <w:jc w:val="right"/>
              <w:outlineLvl w:val="0"/>
              <w:rPr>
                <w:rFonts w:ascii="Arial" w:hAnsi="Arial" w:cs="Arial"/>
                <w:b/>
                <w:bCs/>
                <w:sz w:val="20"/>
                <w:szCs w:val="20"/>
              </w:rPr>
            </w:pPr>
          </w:p>
        </w:tc>
        <w:tc>
          <w:tcPr>
            <w:tcW w:w="148" w:type="pct"/>
            <w:vAlign w:val="center"/>
          </w:tcPr>
          <w:p w14:paraId="4102864D" w14:textId="77777777" w:rsidR="00587444" w:rsidRPr="00587444" w:rsidRDefault="00587444" w:rsidP="00587444">
            <w:pPr>
              <w:tabs>
                <w:tab w:val="right" w:pos="1202"/>
              </w:tabs>
              <w:suppressAutoHyphens w:val="0"/>
              <w:autoSpaceDN/>
              <w:jc w:val="right"/>
              <w:outlineLvl w:val="0"/>
              <w:rPr>
                <w:rFonts w:ascii="Arial" w:hAnsi="Arial" w:cs="Arial"/>
                <w:b/>
                <w:bCs/>
                <w:sz w:val="20"/>
                <w:szCs w:val="20"/>
              </w:rPr>
            </w:pPr>
          </w:p>
        </w:tc>
        <w:tc>
          <w:tcPr>
            <w:tcW w:w="785" w:type="pct"/>
            <w:vAlign w:val="center"/>
          </w:tcPr>
          <w:p w14:paraId="18E6FC89" w14:textId="77777777" w:rsidR="00587444" w:rsidRPr="00587444" w:rsidRDefault="00587444" w:rsidP="00587444">
            <w:pPr>
              <w:tabs>
                <w:tab w:val="right" w:pos="1202"/>
              </w:tabs>
              <w:suppressAutoHyphens w:val="0"/>
              <w:autoSpaceDN/>
              <w:jc w:val="right"/>
              <w:outlineLvl w:val="0"/>
              <w:rPr>
                <w:rFonts w:ascii="Arial" w:hAnsi="Arial" w:cs="Arial"/>
                <w:b/>
                <w:bCs/>
                <w:sz w:val="20"/>
                <w:szCs w:val="20"/>
              </w:rPr>
            </w:pPr>
          </w:p>
        </w:tc>
      </w:tr>
      <w:tr w:rsidR="00587444" w:rsidRPr="00587444" w14:paraId="2FED24E1" w14:textId="77777777" w:rsidTr="00DD69E7">
        <w:trPr>
          <w:trHeight w:val="297"/>
        </w:trPr>
        <w:tc>
          <w:tcPr>
            <w:tcW w:w="2656" w:type="pct"/>
            <w:vAlign w:val="bottom"/>
          </w:tcPr>
          <w:p w14:paraId="7F7AA03C" w14:textId="77777777" w:rsidR="00587444" w:rsidRPr="00587444" w:rsidRDefault="00587444" w:rsidP="00587444">
            <w:pPr>
              <w:tabs>
                <w:tab w:val="right" w:pos="1202"/>
              </w:tabs>
              <w:suppressAutoHyphens w:val="0"/>
              <w:autoSpaceDN/>
              <w:outlineLvl w:val="0"/>
              <w:rPr>
                <w:rFonts w:ascii="Arial" w:hAnsi="Arial" w:cs="Arial"/>
                <w:sz w:val="20"/>
                <w:szCs w:val="20"/>
              </w:rPr>
            </w:pPr>
            <w:bookmarkStart w:id="301" w:name="_Toc4057343"/>
            <w:r w:rsidRPr="00587444">
              <w:rPr>
                <w:rFonts w:ascii="Arial" w:eastAsia="Calibri" w:hAnsi="Arial" w:cs="Arial"/>
                <w:sz w:val="20"/>
                <w:szCs w:val="20"/>
              </w:rPr>
              <w:t>Cash on hand and current accounts with banks</w:t>
            </w:r>
            <w:bookmarkEnd w:id="301"/>
          </w:p>
        </w:tc>
        <w:tc>
          <w:tcPr>
            <w:tcW w:w="595" w:type="pct"/>
            <w:vAlign w:val="center"/>
          </w:tcPr>
          <w:p w14:paraId="1E621B27" w14:textId="77777777" w:rsidR="00587444" w:rsidRPr="00587444" w:rsidRDefault="00587444" w:rsidP="00587444">
            <w:pPr>
              <w:tabs>
                <w:tab w:val="right" w:pos="1202"/>
              </w:tabs>
              <w:suppressAutoHyphens w:val="0"/>
              <w:autoSpaceDN/>
              <w:jc w:val="center"/>
              <w:outlineLvl w:val="0"/>
              <w:rPr>
                <w:rFonts w:ascii="Arial" w:hAnsi="Arial" w:cs="Arial"/>
                <w:snapToGrid w:val="0"/>
                <w:sz w:val="20"/>
                <w:szCs w:val="20"/>
              </w:rPr>
            </w:pPr>
            <w:r w:rsidRPr="00587444">
              <w:rPr>
                <w:rFonts w:ascii="Arial" w:hAnsi="Arial" w:cs="Arial"/>
                <w:snapToGrid w:val="0"/>
                <w:sz w:val="20"/>
                <w:szCs w:val="20"/>
              </w:rPr>
              <w:t>12</w:t>
            </w:r>
          </w:p>
        </w:tc>
        <w:tc>
          <w:tcPr>
            <w:tcW w:w="816" w:type="pct"/>
            <w:tcBorders>
              <w:top w:val="nil"/>
              <w:left w:val="nil"/>
              <w:bottom w:val="nil"/>
              <w:right w:val="nil"/>
            </w:tcBorders>
            <w:shd w:val="clear" w:color="auto" w:fill="auto"/>
            <w:vAlign w:val="bottom"/>
          </w:tcPr>
          <w:p w14:paraId="34B87CA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1,716,519</w:t>
            </w:r>
          </w:p>
        </w:tc>
        <w:tc>
          <w:tcPr>
            <w:tcW w:w="148" w:type="pct"/>
            <w:vAlign w:val="bottom"/>
          </w:tcPr>
          <w:p w14:paraId="249342E7" w14:textId="77777777" w:rsidR="00587444" w:rsidRPr="00587444" w:rsidRDefault="00587444" w:rsidP="00587444">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shd w:val="clear" w:color="auto" w:fill="auto"/>
            <w:vAlign w:val="center"/>
          </w:tcPr>
          <w:p w14:paraId="407A53C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napToGrid w:val="0"/>
                <w:sz w:val="20"/>
                <w:szCs w:val="20"/>
              </w:rPr>
            </w:pPr>
            <w:r w:rsidRPr="00587444">
              <w:rPr>
                <w:rFonts w:ascii="Arial" w:hAnsi="Arial" w:cs="Arial"/>
                <w:snapToGrid w:val="0"/>
                <w:color w:val="000000"/>
                <w:sz w:val="20"/>
                <w:szCs w:val="20"/>
                <w:lang w:val="hr-HR"/>
              </w:rPr>
              <w:t>1,958,620</w:t>
            </w:r>
          </w:p>
        </w:tc>
      </w:tr>
      <w:tr w:rsidR="00587444" w:rsidRPr="00587444" w14:paraId="05E178EB" w14:textId="77777777" w:rsidTr="00DD69E7">
        <w:trPr>
          <w:trHeight w:val="297"/>
        </w:trPr>
        <w:tc>
          <w:tcPr>
            <w:tcW w:w="2656" w:type="pct"/>
            <w:vAlign w:val="bottom"/>
          </w:tcPr>
          <w:p w14:paraId="37ACA3EE" w14:textId="77777777" w:rsidR="00587444" w:rsidRPr="00587444" w:rsidRDefault="00587444" w:rsidP="00587444">
            <w:pPr>
              <w:tabs>
                <w:tab w:val="right" w:pos="1202"/>
              </w:tabs>
              <w:suppressAutoHyphens w:val="0"/>
              <w:autoSpaceDN/>
              <w:outlineLvl w:val="0"/>
              <w:rPr>
                <w:rFonts w:ascii="Arial" w:hAnsi="Arial" w:cs="Arial"/>
                <w:sz w:val="20"/>
                <w:szCs w:val="20"/>
              </w:rPr>
            </w:pPr>
            <w:bookmarkStart w:id="302" w:name="_Toc4057347"/>
            <w:r w:rsidRPr="00587444">
              <w:rPr>
                <w:rFonts w:ascii="Arial" w:eastAsia="Calibri" w:hAnsi="Arial" w:cs="Arial"/>
                <w:sz w:val="20"/>
                <w:szCs w:val="20"/>
              </w:rPr>
              <w:t>Deposits with other banks</w:t>
            </w:r>
            <w:bookmarkEnd w:id="302"/>
          </w:p>
        </w:tc>
        <w:tc>
          <w:tcPr>
            <w:tcW w:w="595" w:type="pct"/>
            <w:vAlign w:val="center"/>
          </w:tcPr>
          <w:p w14:paraId="7519B348" w14:textId="77777777" w:rsidR="00587444" w:rsidRPr="00587444" w:rsidRDefault="00587444" w:rsidP="00587444">
            <w:pPr>
              <w:tabs>
                <w:tab w:val="right" w:pos="1202"/>
              </w:tabs>
              <w:suppressAutoHyphens w:val="0"/>
              <w:autoSpaceDN/>
              <w:jc w:val="center"/>
              <w:outlineLvl w:val="0"/>
              <w:rPr>
                <w:rFonts w:ascii="Arial" w:hAnsi="Arial" w:cs="Arial"/>
                <w:snapToGrid w:val="0"/>
                <w:sz w:val="20"/>
                <w:szCs w:val="20"/>
              </w:rPr>
            </w:pPr>
            <w:bookmarkStart w:id="303" w:name="_Toc4057348"/>
            <w:r w:rsidRPr="00587444">
              <w:rPr>
                <w:rFonts w:ascii="Arial" w:hAnsi="Arial" w:cs="Arial"/>
                <w:snapToGrid w:val="0"/>
                <w:sz w:val="20"/>
                <w:szCs w:val="20"/>
              </w:rPr>
              <w:t>13</w:t>
            </w:r>
            <w:bookmarkEnd w:id="303"/>
          </w:p>
        </w:tc>
        <w:tc>
          <w:tcPr>
            <w:tcW w:w="816" w:type="pct"/>
            <w:tcBorders>
              <w:top w:val="nil"/>
              <w:left w:val="nil"/>
              <w:bottom w:val="nil"/>
              <w:right w:val="nil"/>
            </w:tcBorders>
            <w:shd w:val="clear" w:color="auto" w:fill="auto"/>
            <w:vAlign w:val="bottom"/>
          </w:tcPr>
          <w:p w14:paraId="75FFB87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10,596</w:t>
            </w:r>
          </w:p>
        </w:tc>
        <w:tc>
          <w:tcPr>
            <w:tcW w:w="148" w:type="pct"/>
            <w:vAlign w:val="bottom"/>
          </w:tcPr>
          <w:p w14:paraId="6E55331A" w14:textId="77777777" w:rsidR="00587444" w:rsidRPr="00587444" w:rsidRDefault="00587444" w:rsidP="00587444">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shd w:val="clear" w:color="auto" w:fill="auto"/>
            <w:vAlign w:val="center"/>
          </w:tcPr>
          <w:p w14:paraId="5596665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napToGrid w:val="0"/>
                <w:sz w:val="20"/>
                <w:szCs w:val="20"/>
              </w:rPr>
            </w:pPr>
            <w:r w:rsidRPr="00587444">
              <w:rPr>
                <w:rFonts w:ascii="Arial" w:hAnsi="Arial" w:cs="Arial"/>
                <w:snapToGrid w:val="0"/>
                <w:color w:val="000000"/>
                <w:sz w:val="20"/>
                <w:szCs w:val="20"/>
                <w:lang w:val="hr-HR"/>
              </w:rPr>
              <w:t>7,500</w:t>
            </w:r>
          </w:p>
        </w:tc>
      </w:tr>
      <w:tr w:rsidR="00587444" w:rsidRPr="00587444" w14:paraId="0DBE53A4" w14:textId="77777777" w:rsidTr="00DD69E7">
        <w:trPr>
          <w:trHeight w:val="307"/>
        </w:trPr>
        <w:tc>
          <w:tcPr>
            <w:tcW w:w="2656" w:type="pct"/>
            <w:vAlign w:val="bottom"/>
          </w:tcPr>
          <w:p w14:paraId="35E88A44" w14:textId="77777777" w:rsidR="00587444" w:rsidRPr="00587444" w:rsidRDefault="00587444" w:rsidP="00587444">
            <w:pPr>
              <w:tabs>
                <w:tab w:val="right" w:pos="1202"/>
              </w:tabs>
              <w:suppressAutoHyphens w:val="0"/>
              <w:autoSpaceDN/>
              <w:outlineLvl w:val="0"/>
              <w:rPr>
                <w:rFonts w:ascii="Arial" w:hAnsi="Arial" w:cs="Arial"/>
                <w:sz w:val="20"/>
                <w:szCs w:val="20"/>
              </w:rPr>
            </w:pPr>
            <w:bookmarkStart w:id="304" w:name="_Toc4057351"/>
            <w:r w:rsidRPr="00587444">
              <w:rPr>
                <w:rFonts w:ascii="Arial" w:eastAsia="Calibri" w:hAnsi="Arial" w:cs="Arial"/>
                <w:sz w:val="20"/>
                <w:szCs w:val="20"/>
              </w:rPr>
              <w:t>Loans to financial institutions</w:t>
            </w:r>
            <w:bookmarkEnd w:id="304"/>
          </w:p>
        </w:tc>
        <w:tc>
          <w:tcPr>
            <w:tcW w:w="595" w:type="pct"/>
            <w:vAlign w:val="center"/>
          </w:tcPr>
          <w:p w14:paraId="350D23B4" w14:textId="77777777" w:rsidR="00587444" w:rsidRPr="00587444" w:rsidRDefault="00587444" w:rsidP="00587444">
            <w:pPr>
              <w:tabs>
                <w:tab w:val="right" w:pos="1202"/>
              </w:tabs>
              <w:suppressAutoHyphens w:val="0"/>
              <w:autoSpaceDN/>
              <w:jc w:val="center"/>
              <w:outlineLvl w:val="0"/>
              <w:rPr>
                <w:rFonts w:ascii="Arial" w:hAnsi="Arial" w:cs="Arial"/>
                <w:snapToGrid w:val="0"/>
                <w:sz w:val="20"/>
                <w:szCs w:val="20"/>
              </w:rPr>
            </w:pPr>
            <w:bookmarkStart w:id="305" w:name="_Toc4057352"/>
            <w:r w:rsidRPr="00587444">
              <w:rPr>
                <w:rFonts w:ascii="Arial" w:hAnsi="Arial" w:cs="Arial"/>
                <w:snapToGrid w:val="0"/>
                <w:sz w:val="20"/>
                <w:szCs w:val="20"/>
              </w:rPr>
              <w:t>14</w:t>
            </w:r>
            <w:bookmarkEnd w:id="305"/>
          </w:p>
        </w:tc>
        <w:tc>
          <w:tcPr>
            <w:tcW w:w="816" w:type="pct"/>
            <w:tcBorders>
              <w:top w:val="nil"/>
              <w:left w:val="nil"/>
              <w:bottom w:val="nil"/>
              <w:right w:val="nil"/>
            </w:tcBorders>
            <w:shd w:val="clear" w:color="auto" w:fill="auto"/>
            <w:vAlign w:val="bottom"/>
          </w:tcPr>
          <w:p w14:paraId="541F716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6,984,712</w:t>
            </w:r>
          </w:p>
        </w:tc>
        <w:tc>
          <w:tcPr>
            <w:tcW w:w="148" w:type="pct"/>
            <w:vAlign w:val="bottom"/>
          </w:tcPr>
          <w:p w14:paraId="554F55E9" w14:textId="77777777" w:rsidR="00587444" w:rsidRPr="00587444" w:rsidRDefault="00587444" w:rsidP="00587444">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shd w:val="clear" w:color="auto" w:fill="auto"/>
            <w:vAlign w:val="center"/>
          </w:tcPr>
          <w:p w14:paraId="5F9FBA6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napToGrid w:val="0"/>
                <w:sz w:val="20"/>
                <w:szCs w:val="20"/>
              </w:rPr>
            </w:pPr>
            <w:r w:rsidRPr="00587444">
              <w:rPr>
                <w:rFonts w:ascii="Arial" w:hAnsi="Arial" w:cs="Arial"/>
                <w:snapToGrid w:val="0"/>
                <w:color w:val="000000"/>
                <w:sz w:val="20"/>
                <w:szCs w:val="20"/>
                <w:lang w:val="hr-HR"/>
              </w:rPr>
              <w:t>7,050,143</w:t>
            </w:r>
          </w:p>
        </w:tc>
      </w:tr>
      <w:tr w:rsidR="00587444" w:rsidRPr="00587444" w14:paraId="5E2F7A1F" w14:textId="77777777" w:rsidTr="00DD69E7">
        <w:trPr>
          <w:trHeight w:val="297"/>
        </w:trPr>
        <w:tc>
          <w:tcPr>
            <w:tcW w:w="2656" w:type="pct"/>
            <w:vAlign w:val="bottom"/>
          </w:tcPr>
          <w:p w14:paraId="599B6EBA" w14:textId="77777777" w:rsidR="00587444" w:rsidRPr="00587444" w:rsidRDefault="00587444" w:rsidP="00587444">
            <w:pPr>
              <w:tabs>
                <w:tab w:val="right" w:pos="1202"/>
              </w:tabs>
              <w:suppressAutoHyphens w:val="0"/>
              <w:autoSpaceDN/>
              <w:outlineLvl w:val="0"/>
              <w:rPr>
                <w:rFonts w:ascii="Arial" w:hAnsi="Arial" w:cs="Arial"/>
                <w:sz w:val="20"/>
                <w:szCs w:val="20"/>
              </w:rPr>
            </w:pPr>
            <w:bookmarkStart w:id="306" w:name="_Toc4057355"/>
            <w:r w:rsidRPr="00587444">
              <w:rPr>
                <w:rFonts w:ascii="Arial" w:eastAsia="Calibri" w:hAnsi="Arial" w:cs="Arial"/>
                <w:sz w:val="20"/>
                <w:szCs w:val="20"/>
              </w:rPr>
              <w:t>Loans to other customers</w:t>
            </w:r>
            <w:bookmarkEnd w:id="306"/>
          </w:p>
        </w:tc>
        <w:tc>
          <w:tcPr>
            <w:tcW w:w="595" w:type="pct"/>
            <w:vAlign w:val="center"/>
          </w:tcPr>
          <w:p w14:paraId="3AF3BF98" w14:textId="77777777" w:rsidR="00587444" w:rsidRPr="00587444" w:rsidRDefault="00587444" w:rsidP="00587444">
            <w:pPr>
              <w:tabs>
                <w:tab w:val="right" w:pos="1202"/>
              </w:tabs>
              <w:suppressAutoHyphens w:val="0"/>
              <w:autoSpaceDN/>
              <w:jc w:val="center"/>
              <w:outlineLvl w:val="0"/>
              <w:rPr>
                <w:rFonts w:ascii="Arial" w:hAnsi="Arial" w:cs="Arial"/>
                <w:spacing w:val="-2"/>
                <w:sz w:val="20"/>
                <w:szCs w:val="20"/>
              </w:rPr>
            </w:pPr>
            <w:bookmarkStart w:id="307" w:name="_Toc4057356"/>
            <w:r w:rsidRPr="00587444">
              <w:rPr>
                <w:rFonts w:ascii="Arial" w:hAnsi="Arial" w:cs="Arial"/>
                <w:snapToGrid w:val="0"/>
                <w:sz w:val="20"/>
                <w:szCs w:val="20"/>
              </w:rPr>
              <w:t>15</w:t>
            </w:r>
            <w:bookmarkEnd w:id="307"/>
          </w:p>
        </w:tc>
        <w:tc>
          <w:tcPr>
            <w:tcW w:w="816" w:type="pct"/>
            <w:tcBorders>
              <w:top w:val="nil"/>
              <w:left w:val="nil"/>
              <w:bottom w:val="nil"/>
              <w:right w:val="nil"/>
            </w:tcBorders>
            <w:shd w:val="clear" w:color="auto" w:fill="auto"/>
            <w:vAlign w:val="bottom"/>
          </w:tcPr>
          <w:p w14:paraId="340A04E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17,402,666</w:t>
            </w:r>
          </w:p>
        </w:tc>
        <w:tc>
          <w:tcPr>
            <w:tcW w:w="148" w:type="pct"/>
            <w:vAlign w:val="bottom"/>
          </w:tcPr>
          <w:p w14:paraId="7F6A23B2" w14:textId="77777777" w:rsidR="00587444" w:rsidRPr="00587444" w:rsidRDefault="00587444" w:rsidP="00587444">
            <w:pPr>
              <w:tabs>
                <w:tab w:val="right" w:pos="1202"/>
              </w:tabs>
              <w:suppressAutoHyphens w:val="0"/>
              <w:autoSpaceDN/>
              <w:jc w:val="right"/>
              <w:outlineLvl w:val="0"/>
              <w:rPr>
                <w:rFonts w:ascii="Arial" w:hAnsi="Arial" w:cs="Arial"/>
                <w:spacing w:val="-2"/>
                <w:sz w:val="20"/>
                <w:szCs w:val="20"/>
              </w:rPr>
            </w:pPr>
          </w:p>
        </w:tc>
        <w:tc>
          <w:tcPr>
            <w:tcW w:w="785" w:type="pct"/>
            <w:tcBorders>
              <w:top w:val="nil"/>
              <w:left w:val="nil"/>
              <w:bottom w:val="nil"/>
              <w:right w:val="nil"/>
            </w:tcBorders>
            <w:shd w:val="clear" w:color="auto" w:fill="auto"/>
            <w:vAlign w:val="center"/>
          </w:tcPr>
          <w:p w14:paraId="25E85C7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rPr>
            </w:pPr>
            <w:r w:rsidRPr="00587444">
              <w:rPr>
                <w:rFonts w:ascii="Arial" w:hAnsi="Arial" w:cs="Arial"/>
                <w:color w:val="000000"/>
                <w:spacing w:val="-2"/>
                <w:sz w:val="20"/>
                <w:szCs w:val="20"/>
                <w:lang w:val="hr-HR"/>
              </w:rPr>
              <w:t>15,964,376</w:t>
            </w:r>
          </w:p>
        </w:tc>
      </w:tr>
      <w:tr w:rsidR="00587444" w:rsidRPr="00587444" w14:paraId="22C2013B" w14:textId="77777777" w:rsidTr="00DD69E7">
        <w:trPr>
          <w:trHeight w:val="297"/>
        </w:trPr>
        <w:tc>
          <w:tcPr>
            <w:tcW w:w="2656" w:type="pct"/>
            <w:vAlign w:val="bottom"/>
          </w:tcPr>
          <w:p w14:paraId="5E6CE900"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bookmarkStart w:id="308" w:name="_Toc4057359"/>
            <w:r w:rsidRPr="00587444">
              <w:rPr>
                <w:rFonts w:ascii="Arial" w:eastAsia="Calibri" w:hAnsi="Arial" w:cs="Arial"/>
                <w:sz w:val="20"/>
                <w:szCs w:val="20"/>
              </w:rPr>
              <w:t>Financial assets at fair value through profit or loss</w:t>
            </w:r>
            <w:bookmarkEnd w:id="308"/>
          </w:p>
        </w:tc>
        <w:tc>
          <w:tcPr>
            <w:tcW w:w="595" w:type="pct"/>
            <w:vAlign w:val="center"/>
          </w:tcPr>
          <w:p w14:paraId="13339ADE" w14:textId="77777777" w:rsidR="00587444" w:rsidRPr="00587444" w:rsidRDefault="00587444" w:rsidP="00587444">
            <w:pPr>
              <w:tabs>
                <w:tab w:val="right" w:pos="1202"/>
              </w:tabs>
              <w:suppressAutoHyphens w:val="0"/>
              <w:autoSpaceDN/>
              <w:jc w:val="center"/>
              <w:outlineLvl w:val="0"/>
              <w:rPr>
                <w:rFonts w:ascii="Arial" w:hAnsi="Arial" w:cs="Arial"/>
                <w:spacing w:val="-2"/>
                <w:sz w:val="20"/>
                <w:szCs w:val="20"/>
              </w:rPr>
            </w:pPr>
            <w:bookmarkStart w:id="309" w:name="_Toc4057360"/>
            <w:r w:rsidRPr="00587444">
              <w:rPr>
                <w:rFonts w:ascii="Arial" w:hAnsi="Arial" w:cs="Arial"/>
                <w:spacing w:val="-2"/>
                <w:sz w:val="20"/>
                <w:szCs w:val="20"/>
              </w:rPr>
              <w:t>16</w:t>
            </w:r>
            <w:bookmarkEnd w:id="309"/>
          </w:p>
        </w:tc>
        <w:tc>
          <w:tcPr>
            <w:tcW w:w="816" w:type="pct"/>
            <w:tcBorders>
              <w:top w:val="nil"/>
              <w:left w:val="nil"/>
              <w:bottom w:val="nil"/>
              <w:right w:val="nil"/>
            </w:tcBorders>
            <w:shd w:val="clear" w:color="auto" w:fill="auto"/>
            <w:vAlign w:val="bottom"/>
          </w:tcPr>
          <w:p w14:paraId="3DC8DF6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131,523</w:t>
            </w:r>
          </w:p>
        </w:tc>
        <w:tc>
          <w:tcPr>
            <w:tcW w:w="148" w:type="pct"/>
            <w:vAlign w:val="bottom"/>
          </w:tcPr>
          <w:p w14:paraId="5E2F91CA" w14:textId="77777777" w:rsidR="00587444" w:rsidRPr="00587444" w:rsidRDefault="00587444" w:rsidP="00587444">
            <w:pPr>
              <w:tabs>
                <w:tab w:val="right" w:pos="1202"/>
              </w:tabs>
              <w:suppressAutoHyphens w:val="0"/>
              <w:autoSpaceDN/>
              <w:jc w:val="right"/>
              <w:outlineLvl w:val="0"/>
              <w:rPr>
                <w:rFonts w:ascii="Arial" w:hAnsi="Arial" w:cs="Arial"/>
                <w:spacing w:val="-2"/>
                <w:sz w:val="20"/>
                <w:szCs w:val="20"/>
              </w:rPr>
            </w:pPr>
          </w:p>
        </w:tc>
        <w:tc>
          <w:tcPr>
            <w:tcW w:w="785" w:type="pct"/>
            <w:tcBorders>
              <w:top w:val="nil"/>
              <w:left w:val="nil"/>
              <w:bottom w:val="nil"/>
              <w:right w:val="nil"/>
            </w:tcBorders>
            <w:shd w:val="clear" w:color="auto" w:fill="auto"/>
            <w:vAlign w:val="bottom"/>
          </w:tcPr>
          <w:p w14:paraId="61F8D9A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rPr>
            </w:pPr>
            <w:r w:rsidRPr="00587444">
              <w:rPr>
                <w:rFonts w:ascii="Arial" w:hAnsi="Arial" w:cs="Arial"/>
                <w:color w:val="000000"/>
                <w:spacing w:val="-2"/>
                <w:sz w:val="20"/>
                <w:szCs w:val="20"/>
                <w:lang w:val="hr-HR"/>
              </w:rPr>
              <w:t>218,984</w:t>
            </w:r>
          </w:p>
        </w:tc>
      </w:tr>
      <w:tr w:rsidR="00587444" w:rsidRPr="00587444" w14:paraId="40614219" w14:textId="77777777" w:rsidTr="00DD69E7">
        <w:trPr>
          <w:trHeight w:val="297"/>
        </w:trPr>
        <w:tc>
          <w:tcPr>
            <w:tcW w:w="2656" w:type="pct"/>
            <w:vAlign w:val="bottom"/>
          </w:tcPr>
          <w:p w14:paraId="2292ABBE" w14:textId="77777777" w:rsidR="00215CF9" w:rsidRDefault="00587444" w:rsidP="00587444">
            <w:pPr>
              <w:tabs>
                <w:tab w:val="right" w:pos="1202"/>
              </w:tabs>
              <w:suppressAutoHyphens w:val="0"/>
              <w:autoSpaceDN/>
              <w:outlineLvl w:val="0"/>
              <w:rPr>
                <w:rFonts w:ascii="Arial" w:eastAsia="Calibri" w:hAnsi="Arial" w:cs="Arial"/>
                <w:sz w:val="20"/>
                <w:szCs w:val="20"/>
              </w:rPr>
            </w:pPr>
            <w:bookmarkStart w:id="310" w:name="_Toc4057363"/>
            <w:r w:rsidRPr="00587444">
              <w:rPr>
                <w:rFonts w:ascii="Arial" w:eastAsia="Calibri" w:hAnsi="Arial" w:cs="Arial"/>
                <w:sz w:val="20"/>
                <w:szCs w:val="20"/>
              </w:rPr>
              <w:t xml:space="preserve">Financial assets at fair value through other </w:t>
            </w:r>
          </w:p>
          <w:p w14:paraId="07B6050F" w14:textId="773AB730" w:rsidR="00587444" w:rsidRPr="00587444" w:rsidRDefault="00587444" w:rsidP="00587444">
            <w:pPr>
              <w:tabs>
                <w:tab w:val="right" w:pos="1202"/>
              </w:tabs>
              <w:suppressAutoHyphens w:val="0"/>
              <w:autoSpaceDN/>
              <w:outlineLvl w:val="0"/>
              <w:rPr>
                <w:rFonts w:ascii="Arial" w:eastAsia="Calibri" w:hAnsi="Arial" w:cs="Arial"/>
                <w:sz w:val="20"/>
                <w:szCs w:val="20"/>
              </w:rPr>
            </w:pPr>
            <w:r w:rsidRPr="00587444">
              <w:rPr>
                <w:rFonts w:ascii="Arial" w:eastAsia="Calibri" w:hAnsi="Arial" w:cs="Arial"/>
                <w:sz w:val="20"/>
                <w:szCs w:val="20"/>
              </w:rPr>
              <w:t>comprehensive income</w:t>
            </w:r>
            <w:bookmarkEnd w:id="310"/>
          </w:p>
        </w:tc>
        <w:tc>
          <w:tcPr>
            <w:tcW w:w="595" w:type="pct"/>
            <w:vAlign w:val="bottom"/>
          </w:tcPr>
          <w:p w14:paraId="6CECD502" w14:textId="77777777" w:rsidR="00587444" w:rsidRPr="00587444" w:rsidRDefault="00587444" w:rsidP="00587444">
            <w:pPr>
              <w:tabs>
                <w:tab w:val="right" w:pos="1202"/>
              </w:tabs>
              <w:suppressAutoHyphens w:val="0"/>
              <w:autoSpaceDN/>
              <w:jc w:val="center"/>
              <w:outlineLvl w:val="0"/>
              <w:rPr>
                <w:rFonts w:ascii="Arial" w:hAnsi="Arial" w:cs="Arial"/>
                <w:spacing w:val="-2"/>
                <w:sz w:val="20"/>
                <w:szCs w:val="20"/>
              </w:rPr>
            </w:pPr>
            <w:r w:rsidRPr="00587444">
              <w:rPr>
                <w:rFonts w:ascii="Arial" w:hAnsi="Arial" w:cs="Arial"/>
                <w:snapToGrid w:val="0"/>
                <w:sz w:val="20"/>
                <w:szCs w:val="20"/>
              </w:rPr>
              <w:t>17</w:t>
            </w:r>
          </w:p>
        </w:tc>
        <w:tc>
          <w:tcPr>
            <w:tcW w:w="816" w:type="pct"/>
            <w:tcBorders>
              <w:top w:val="nil"/>
              <w:left w:val="nil"/>
              <w:bottom w:val="nil"/>
              <w:right w:val="nil"/>
            </w:tcBorders>
            <w:shd w:val="clear" w:color="auto" w:fill="auto"/>
            <w:vAlign w:val="bottom"/>
          </w:tcPr>
          <w:p w14:paraId="54B48F4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2,639,472</w:t>
            </w:r>
          </w:p>
        </w:tc>
        <w:tc>
          <w:tcPr>
            <w:tcW w:w="148" w:type="pct"/>
            <w:vAlign w:val="bottom"/>
          </w:tcPr>
          <w:p w14:paraId="2DE9AA2E" w14:textId="77777777" w:rsidR="00587444" w:rsidRPr="00587444" w:rsidRDefault="00587444" w:rsidP="00587444">
            <w:pPr>
              <w:tabs>
                <w:tab w:val="right" w:pos="1202"/>
              </w:tabs>
              <w:suppressAutoHyphens w:val="0"/>
              <w:autoSpaceDN/>
              <w:jc w:val="right"/>
              <w:outlineLvl w:val="0"/>
              <w:rPr>
                <w:rFonts w:ascii="Arial" w:hAnsi="Arial" w:cs="Arial"/>
                <w:spacing w:val="-2"/>
                <w:sz w:val="20"/>
                <w:szCs w:val="20"/>
              </w:rPr>
            </w:pPr>
          </w:p>
        </w:tc>
        <w:tc>
          <w:tcPr>
            <w:tcW w:w="785" w:type="pct"/>
            <w:tcBorders>
              <w:top w:val="nil"/>
              <w:left w:val="nil"/>
              <w:bottom w:val="nil"/>
              <w:right w:val="nil"/>
            </w:tcBorders>
            <w:shd w:val="clear" w:color="auto" w:fill="auto"/>
            <w:vAlign w:val="bottom"/>
          </w:tcPr>
          <w:p w14:paraId="7832653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rPr>
            </w:pPr>
            <w:r w:rsidRPr="00587444">
              <w:rPr>
                <w:rFonts w:ascii="Arial" w:hAnsi="Arial" w:cs="Arial"/>
                <w:color w:val="000000"/>
                <w:spacing w:val="-2"/>
                <w:sz w:val="20"/>
                <w:szCs w:val="20"/>
                <w:lang w:val="hr-HR"/>
              </w:rPr>
              <w:t>2,915,704</w:t>
            </w:r>
          </w:p>
        </w:tc>
      </w:tr>
      <w:tr w:rsidR="00587444" w:rsidRPr="00587444" w14:paraId="6C5F4A15" w14:textId="77777777" w:rsidTr="00DD69E7">
        <w:trPr>
          <w:trHeight w:val="297"/>
        </w:trPr>
        <w:tc>
          <w:tcPr>
            <w:tcW w:w="2656" w:type="pct"/>
            <w:vAlign w:val="bottom"/>
          </w:tcPr>
          <w:p w14:paraId="6E319A90" w14:textId="77777777" w:rsidR="00587444" w:rsidRPr="00587444" w:rsidRDefault="00587444" w:rsidP="00587444">
            <w:pPr>
              <w:tabs>
                <w:tab w:val="right" w:pos="1202"/>
              </w:tabs>
              <w:suppressAutoHyphens w:val="0"/>
              <w:autoSpaceDN/>
              <w:outlineLvl w:val="0"/>
              <w:rPr>
                <w:rFonts w:ascii="Arial" w:hAnsi="Arial" w:cs="Arial"/>
                <w:sz w:val="20"/>
                <w:szCs w:val="20"/>
              </w:rPr>
            </w:pPr>
            <w:bookmarkStart w:id="311" w:name="_Toc4057371"/>
            <w:r w:rsidRPr="00587444">
              <w:rPr>
                <w:rFonts w:ascii="Arial" w:eastAsia="Calibri" w:hAnsi="Arial" w:cs="Arial"/>
                <w:sz w:val="20"/>
                <w:szCs w:val="20"/>
              </w:rPr>
              <w:t>Investments in subsidiaries</w:t>
            </w:r>
            <w:bookmarkEnd w:id="311"/>
          </w:p>
        </w:tc>
        <w:tc>
          <w:tcPr>
            <w:tcW w:w="595" w:type="pct"/>
            <w:vAlign w:val="center"/>
          </w:tcPr>
          <w:p w14:paraId="00036C38" w14:textId="77777777" w:rsidR="00587444" w:rsidRPr="00587444" w:rsidRDefault="00587444" w:rsidP="00587444">
            <w:pPr>
              <w:tabs>
                <w:tab w:val="right" w:pos="1202"/>
              </w:tabs>
              <w:suppressAutoHyphens w:val="0"/>
              <w:autoSpaceDN/>
              <w:jc w:val="center"/>
              <w:outlineLvl w:val="0"/>
              <w:rPr>
                <w:rFonts w:ascii="Arial" w:hAnsi="Arial" w:cs="Arial"/>
                <w:snapToGrid w:val="0"/>
                <w:sz w:val="20"/>
                <w:szCs w:val="20"/>
              </w:rPr>
            </w:pPr>
            <w:r w:rsidRPr="00587444">
              <w:rPr>
                <w:rFonts w:ascii="Arial" w:hAnsi="Arial" w:cs="Arial"/>
                <w:snapToGrid w:val="0"/>
                <w:sz w:val="20"/>
                <w:szCs w:val="20"/>
              </w:rPr>
              <w:t>18</w:t>
            </w:r>
          </w:p>
        </w:tc>
        <w:tc>
          <w:tcPr>
            <w:tcW w:w="816" w:type="pct"/>
            <w:tcBorders>
              <w:top w:val="nil"/>
              <w:left w:val="nil"/>
              <w:bottom w:val="nil"/>
              <w:right w:val="nil"/>
            </w:tcBorders>
            <w:shd w:val="clear" w:color="auto" w:fill="auto"/>
            <w:vAlign w:val="bottom"/>
          </w:tcPr>
          <w:p w14:paraId="1E5B550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56,124</w:t>
            </w:r>
          </w:p>
        </w:tc>
        <w:tc>
          <w:tcPr>
            <w:tcW w:w="148" w:type="pct"/>
            <w:vAlign w:val="bottom"/>
          </w:tcPr>
          <w:p w14:paraId="30D96EE5" w14:textId="77777777" w:rsidR="00587444" w:rsidRPr="00587444" w:rsidRDefault="00587444" w:rsidP="00587444">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shd w:val="clear" w:color="auto" w:fill="auto"/>
            <w:vAlign w:val="center"/>
          </w:tcPr>
          <w:p w14:paraId="208012D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napToGrid w:val="0"/>
                <w:sz w:val="20"/>
                <w:szCs w:val="20"/>
              </w:rPr>
            </w:pPr>
            <w:r w:rsidRPr="00587444">
              <w:rPr>
                <w:rFonts w:ascii="Arial" w:hAnsi="Arial" w:cs="Arial"/>
                <w:snapToGrid w:val="0"/>
                <w:color w:val="000000"/>
                <w:sz w:val="20"/>
                <w:szCs w:val="20"/>
                <w:lang w:val="hr-HR"/>
              </w:rPr>
              <w:t>36,124</w:t>
            </w:r>
          </w:p>
        </w:tc>
      </w:tr>
      <w:tr w:rsidR="00587444" w:rsidRPr="00587444" w14:paraId="0DDA45D2" w14:textId="77777777" w:rsidTr="00DD69E7">
        <w:trPr>
          <w:trHeight w:val="297"/>
        </w:trPr>
        <w:tc>
          <w:tcPr>
            <w:tcW w:w="2656" w:type="pct"/>
            <w:vAlign w:val="bottom"/>
          </w:tcPr>
          <w:p w14:paraId="1EAA01E0" w14:textId="77777777" w:rsidR="00587444" w:rsidRPr="00587444" w:rsidRDefault="00587444" w:rsidP="00587444">
            <w:pPr>
              <w:tabs>
                <w:tab w:val="right" w:pos="1202"/>
              </w:tabs>
              <w:suppressAutoHyphens w:val="0"/>
              <w:autoSpaceDN/>
              <w:outlineLvl w:val="0"/>
              <w:rPr>
                <w:rFonts w:ascii="Arial" w:hAnsi="Arial" w:cs="Arial"/>
                <w:sz w:val="20"/>
                <w:szCs w:val="20"/>
              </w:rPr>
            </w:pPr>
            <w:bookmarkStart w:id="312" w:name="_Toc4057379"/>
            <w:r w:rsidRPr="00587444">
              <w:rPr>
                <w:rFonts w:ascii="Arial" w:eastAsia="Calibri" w:hAnsi="Arial" w:cs="Arial"/>
                <w:sz w:val="20"/>
                <w:szCs w:val="20"/>
              </w:rPr>
              <w:t>Property, plant and equipment and intangible assets</w:t>
            </w:r>
            <w:bookmarkEnd w:id="312"/>
          </w:p>
        </w:tc>
        <w:tc>
          <w:tcPr>
            <w:tcW w:w="595" w:type="pct"/>
            <w:vAlign w:val="bottom"/>
          </w:tcPr>
          <w:p w14:paraId="7B16C25E" w14:textId="77777777" w:rsidR="00587444" w:rsidRPr="00587444" w:rsidRDefault="00587444" w:rsidP="00587444">
            <w:pPr>
              <w:tabs>
                <w:tab w:val="right" w:pos="1202"/>
              </w:tabs>
              <w:suppressAutoHyphens w:val="0"/>
              <w:autoSpaceDN/>
              <w:jc w:val="center"/>
              <w:outlineLvl w:val="0"/>
              <w:rPr>
                <w:rFonts w:ascii="Arial" w:hAnsi="Arial" w:cs="Arial"/>
                <w:snapToGrid w:val="0"/>
                <w:sz w:val="20"/>
                <w:szCs w:val="20"/>
              </w:rPr>
            </w:pPr>
            <w:r w:rsidRPr="00587444">
              <w:rPr>
                <w:rFonts w:ascii="Arial" w:hAnsi="Arial" w:cs="Arial"/>
                <w:color w:val="000000"/>
                <w:sz w:val="20"/>
                <w:szCs w:val="20"/>
                <w:lang w:val="hr-HR"/>
              </w:rPr>
              <w:t>19</w:t>
            </w:r>
          </w:p>
        </w:tc>
        <w:tc>
          <w:tcPr>
            <w:tcW w:w="816" w:type="pct"/>
            <w:tcBorders>
              <w:top w:val="nil"/>
              <w:left w:val="nil"/>
              <w:bottom w:val="nil"/>
              <w:right w:val="nil"/>
            </w:tcBorders>
            <w:shd w:val="clear" w:color="auto" w:fill="auto"/>
            <w:vAlign w:val="bottom"/>
          </w:tcPr>
          <w:p w14:paraId="332B81B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37,727</w:t>
            </w:r>
          </w:p>
        </w:tc>
        <w:tc>
          <w:tcPr>
            <w:tcW w:w="148" w:type="pct"/>
            <w:vAlign w:val="bottom"/>
          </w:tcPr>
          <w:p w14:paraId="271D1796" w14:textId="77777777" w:rsidR="00587444" w:rsidRPr="00587444" w:rsidRDefault="00587444" w:rsidP="00587444">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shd w:val="clear" w:color="auto" w:fill="auto"/>
            <w:vAlign w:val="center"/>
          </w:tcPr>
          <w:p w14:paraId="221EACD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napToGrid w:val="0"/>
                <w:sz w:val="20"/>
                <w:szCs w:val="20"/>
              </w:rPr>
            </w:pPr>
            <w:r w:rsidRPr="00587444">
              <w:rPr>
                <w:rFonts w:ascii="Arial" w:hAnsi="Arial" w:cs="Arial"/>
                <w:snapToGrid w:val="0"/>
                <w:color w:val="000000"/>
                <w:sz w:val="20"/>
                <w:szCs w:val="20"/>
                <w:lang w:val="hr-HR"/>
              </w:rPr>
              <w:t>42,674</w:t>
            </w:r>
          </w:p>
        </w:tc>
      </w:tr>
      <w:tr w:rsidR="00587444" w:rsidRPr="00587444" w14:paraId="390A7FEB" w14:textId="77777777" w:rsidTr="00DD69E7">
        <w:trPr>
          <w:trHeight w:val="297"/>
        </w:trPr>
        <w:tc>
          <w:tcPr>
            <w:tcW w:w="2656" w:type="pct"/>
            <w:vAlign w:val="bottom"/>
          </w:tcPr>
          <w:p w14:paraId="09B55139" w14:textId="77777777" w:rsidR="00587444" w:rsidRPr="00587444" w:rsidRDefault="00587444" w:rsidP="00587444">
            <w:pPr>
              <w:tabs>
                <w:tab w:val="right" w:pos="1202"/>
              </w:tabs>
              <w:suppressAutoHyphens w:val="0"/>
              <w:autoSpaceDN/>
              <w:outlineLvl w:val="0"/>
              <w:rPr>
                <w:rFonts w:ascii="Arial" w:hAnsi="Arial" w:cs="Arial"/>
                <w:sz w:val="20"/>
                <w:szCs w:val="20"/>
              </w:rPr>
            </w:pPr>
            <w:r w:rsidRPr="00587444">
              <w:rPr>
                <w:rFonts w:ascii="Arial" w:eastAsia="Calibri" w:hAnsi="Arial" w:cs="Arial"/>
                <w:sz w:val="20"/>
                <w:szCs w:val="20"/>
              </w:rPr>
              <w:t>Foreclosed assets</w:t>
            </w:r>
          </w:p>
        </w:tc>
        <w:tc>
          <w:tcPr>
            <w:tcW w:w="595" w:type="pct"/>
            <w:vAlign w:val="bottom"/>
          </w:tcPr>
          <w:p w14:paraId="0BF9B993" w14:textId="77777777" w:rsidR="00587444" w:rsidRPr="00587444" w:rsidRDefault="00587444" w:rsidP="00587444">
            <w:pPr>
              <w:tabs>
                <w:tab w:val="right" w:pos="1202"/>
              </w:tabs>
              <w:suppressAutoHyphens w:val="0"/>
              <w:autoSpaceDN/>
              <w:jc w:val="center"/>
              <w:outlineLvl w:val="0"/>
              <w:rPr>
                <w:rFonts w:ascii="Arial" w:hAnsi="Arial" w:cs="Arial"/>
                <w:snapToGrid w:val="0"/>
                <w:sz w:val="20"/>
                <w:szCs w:val="20"/>
              </w:rPr>
            </w:pPr>
            <w:bookmarkStart w:id="313" w:name="_Toc67327097"/>
            <w:r w:rsidRPr="00587444">
              <w:rPr>
                <w:rFonts w:ascii="Arial" w:hAnsi="Arial" w:cs="Arial"/>
                <w:color w:val="000000"/>
                <w:sz w:val="20"/>
                <w:szCs w:val="20"/>
                <w:lang w:val="hr-HR"/>
              </w:rPr>
              <w:t>2</w:t>
            </w:r>
            <w:bookmarkEnd w:id="313"/>
            <w:r w:rsidRPr="00587444">
              <w:rPr>
                <w:rFonts w:ascii="Arial" w:hAnsi="Arial" w:cs="Arial"/>
                <w:color w:val="000000"/>
                <w:sz w:val="20"/>
                <w:szCs w:val="20"/>
                <w:lang w:val="hr-HR"/>
              </w:rPr>
              <w:t>0</w:t>
            </w:r>
          </w:p>
        </w:tc>
        <w:tc>
          <w:tcPr>
            <w:tcW w:w="816" w:type="pct"/>
            <w:tcBorders>
              <w:top w:val="nil"/>
              <w:left w:val="nil"/>
              <w:bottom w:val="nil"/>
              <w:right w:val="nil"/>
            </w:tcBorders>
            <w:shd w:val="clear" w:color="auto" w:fill="auto"/>
            <w:vAlign w:val="bottom"/>
          </w:tcPr>
          <w:p w14:paraId="0650E2E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24,776</w:t>
            </w:r>
          </w:p>
        </w:tc>
        <w:tc>
          <w:tcPr>
            <w:tcW w:w="148" w:type="pct"/>
            <w:vAlign w:val="bottom"/>
          </w:tcPr>
          <w:p w14:paraId="681E12C8" w14:textId="77777777" w:rsidR="00587444" w:rsidRPr="00587444" w:rsidRDefault="00587444" w:rsidP="00587444">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shd w:val="clear" w:color="auto" w:fill="auto"/>
            <w:vAlign w:val="center"/>
          </w:tcPr>
          <w:p w14:paraId="64C3727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napToGrid w:val="0"/>
                <w:sz w:val="20"/>
                <w:szCs w:val="20"/>
              </w:rPr>
            </w:pPr>
            <w:r w:rsidRPr="00587444">
              <w:rPr>
                <w:rFonts w:ascii="Arial" w:hAnsi="Arial" w:cs="Arial"/>
                <w:snapToGrid w:val="0"/>
                <w:color w:val="000000"/>
                <w:sz w:val="20"/>
                <w:szCs w:val="20"/>
                <w:lang w:val="hr-HR"/>
              </w:rPr>
              <w:t>21,369</w:t>
            </w:r>
          </w:p>
        </w:tc>
      </w:tr>
      <w:tr w:rsidR="00587444" w:rsidRPr="00587444" w14:paraId="66F2DF4B" w14:textId="77777777" w:rsidTr="00DD69E7">
        <w:trPr>
          <w:trHeight w:val="297"/>
        </w:trPr>
        <w:tc>
          <w:tcPr>
            <w:tcW w:w="2656" w:type="pct"/>
            <w:vAlign w:val="bottom"/>
          </w:tcPr>
          <w:p w14:paraId="62DA218D" w14:textId="77777777" w:rsidR="00587444" w:rsidRPr="00587444" w:rsidRDefault="00587444" w:rsidP="00587444">
            <w:pPr>
              <w:tabs>
                <w:tab w:val="right" w:pos="1202"/>
              </w:tabs>
              <w:suppressAutoHyphens w:val="0"/>
              <w:autoSpaceDN/>
              <w:outlineLvl w:val="0"/>
              <w:rPr>
                <w:rFonts w:ascii="Arial" w:hAnsi="Arial" w:cs="Arial"/>
                <w:sz w:val="20"/>
                <w:szCs w:val="20"/>
              </w:rPr>
            </w:pPr>
            <w:bookmarkStart w:id="314" w:name="_Toc4057387"/>
            <w:r w:rsidRPr="00587444">
              <w:rPr>
                <w:rFonts w:ascii="Arial" w:eastAsia="Calibri" w:hAnsi="Arial" w:cs="Arial"/>
                <w:sz w:val="20"/>
                <w:szCs w:val="20"/>
              </w:rPr>
              <w:t>Other assets</w:t>
            </w:r>
            <w:bookmarkEnd w:id="314"/>
          </w:p>
        </w:tc>
        <w:tc>
          <w:tcPr>
            <w:tcW w:w="595" w:type="pct"/>
            <w:vAlign w:val="bottom"/>
          </w:tcPr>
          <w:p w14:paraId="65460D7D" w14:textId="77777777" w:rsidR="00587444" w:rsidRPr="00587444" w:rsidRDefault="00587444" w:rsidP="00587444">
            <w:pPr>
              <w:tabs>
                <w:tab w:val="right" w:pos="1202"/>
              </w:tabs>
              <w:suppressAutoHyphens w:val="0"/>
              <w:autoSpaceDN/>
              <w:jc w:val="center"/>
              <w:outlineLvl w:val="0"/>
              <w:rPr>
                <w:rFonts w:ascii="Arial" w:hAnsi="Arial" w:cs="Arial"/>
                <w:snapToGrid w:val="0"/>
                <w:sz w:val="20"/>
                <w:szCs w:val="20"/>
              </w:rPr>
            </w:pPr>
            <w:bookmarkStart w:id="315" w:name="_Toc67327101"/>
            <w:r w:rsidRPr="00587444">
              <w:rPr>
                <w:rFonts w:ascii="Arial" w:hAnsi="Arial" w:cs="Arial"/>
                <w:color w:val="000000"/>
                <w:sz w:val="20"/>
                <w:szCs w:val="20"/>
                <w:lang w:val="hr-HR"/>
              </w:rPr>
              <w:t>2</w:t>
            </w:r>
            <w:bookmarkEnd w:id="315"/>
            <w:r w:rsidRPr="00587444">
              <w:rPr>
                <w:rFonts w:ascii="Arial" w:hAnsi="Arial" w:cs="Arial"/>
                <w:color w:val="000000"/>
                <w:sz w:val="20"/>
                <w:szCs w:val="20"/>
                <w:lang w:val="hr-HR"/>
              </w:rPr>
              <w:t>1</w:t>
            </w:r>
          </w:p>
        </w:tc>
        <w:tc>
          <w:tcPr>
            <w:tcW w:w="816" w:type="pct"/>
            <w:tcBorders>
              <w:top w:val="nil"/>
              <w:left w:val="nil"/>
              <w:bottom w:val="nil"/>
              <w:right w:val="nil"/>
            </w:tcBorders>
            <w:shd w:val="clear" w:color="auto" w:fill="auto"/>
            <w:vAlign w:val="bottom"/>
          </w:tcPr>
          <w:p w14:paraId="4B806A7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28,192</w:t>
            </w:r>
          </w:p>
        </w:tc>
        <w:tc>
          <w:tcPr>
            <w:tcW w:w="148" w:type="pct"/>
            <w:vAlign w:val="bottom"/>
          </w:tcPr>
          <w:p w14:paraId="18826E2B" w14:textId="77777777" w:rsidR="00587444" w:rsidRPr="00587444" w:rsidRDefault="00587444" w:rsidP="00587444">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shd w:val="clear" w:color="auto" w:fill="auto"/>
            <w:vAlign w:val="center"/>
          </w:tcPr>
          <w:p w14:paraId="5EC92DE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napToGrid w:val="0"/>
                <w:sz w:val="20"/>
                <w:szCs w:val="20"/>
              </w:rPr>
            </w:pPr>
            <w:r w:rsidRPr="00587444">
              <w:rPr>
                <w:rFonts w:ascii="Arial" w:hAnsi="Arial" w:cs="Arial"/>
                <w:snapToGrid w:val="0"/>
                <w:color w:val="000000"/>
                <w:sz w:val="20"/>
                <w:szCs w:val="20"/>
                <w:lang w:val="hr-HR"/>
              </w:rPr>
              <w:t>34,494</w:t>
            </w:r>
          </w:p>
        </w:tc>
      </w:tr>
      <w:tr w:rsidR="00587444" w:rsidRPr="00587444" w14:paraId="55AAA928" w14:textId="77777777" w:rsidTr="00DD69E7">
        <w:trPr>
          <w:trHeight w:hRule="exact" w:val="379"/>
        </w:trPr>
        <w:tc>
          <w:tcPr>
            <w:tcW w:w="2656" w:type="pct"/>
            <w:vAlign w:val="bottom"/>
          </w:tcPr>
          <w:p w14:paraId="0E6D1B10" w14:textId="77777777" w:rsidR="00587444" w:rsidRPr="00587444" w:rsidRDefault="00587444" w:rsidP="00587444">
            <w:pPr>
              <w:tabs>
                <w:tab w:val="right" w:pos="1202"/>
              </w:tabs>
              <w:suppressAutoHyphens w:val="0"/>
              <w:autoSpaceDN/>
              <w:outlineLvl w:val="0"/>
              <w:rPr>
                <w:rFonts w:ascii="Arial" w:hAnsi="Arial" w:cs="Arial"/>
                <w:b/>
                <w:bCs/>
                <w:sz w:val="20"/>
                <w:szCs w:val="20"/>
              </w:rPr>
            </w:pPr>
            <w:bookmarkStart w:id="316" w:name="_Toc4057391"/>
            <w:r w:rsidRPr="00587444">
              <w:rPr>
                <w:rFonts w:ascii="Arial" w:eastAsia="Calibri" w:hAnsi="Arial" w:cs="Arial"/>
                <w:b/>
                <w:bCs/>
                <w:sz w:val="20"/>
                <w:szCs w:val="20"/>
              </w:rPr>
              <w:t>Total assets</w:t>
            </w:r>
            <w:bookmarkEnd w:id="316"/>
          </w:p>
        </w:tc>
        <w:tc>
          <w:tcPr>
            <w:tcW w:w="595" w:type="pct"/>
            <w:vAlign w:val="bottom"/>
          </w:tcPr>
          <w:p w14:paraId="0AB3EDFD" w14:textId="77777777" w:rsidR="00587444" w:rsidRPr="00587444" w:rsidRDefault="00587444" w:rsidP="00587444">
            <w:pPr>
              <w:keepLines/>
              <w:suppressAutoHyphens w:val="0"/>
              <w:autoSpaceDN/>
              <w:jc w:val="center"/>
              <w:rPr>
                <w:rFonts w:ascii="Arial" w:hAnsi="Arial" w:cs="Arial"/>
                <w:spacing w:val="-2"/>
                <w:position w:val="4"/>
                <w:sz w:val="20"/>
                <w:szCs w:val="20"/>
              </w:rPr>
            </w:pPr>
          </w:p>
        </w:tc>
        <w:tc>
          <w:tcPr>
            <w:tcW w:w="816" w:type="pct"/>
            <w:tcBorders>
              <w:top w:val="single" w:sz="4" w:space="0" w:color="auto"/>
              <w:left w:val="nil"/>
              <w:bottom w:val="single" w:sz="8" w:space="0" w:color="auto"/>
              <w:right w:val="nil"/>
            </w:tcBorders>
            <w:shd w:val="clear" w:color="auto" w:fill="auto"/>
            <w:vAlign w:val="bottom"/>
          </w:tcPr>
          <w:p w14:paraId="33BDA6B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29,032,307</w:t>
            </w:r>
          </w:p>
        </w:tc>
        <w:tc>
          <w:tcPr>
            <w:tcW w:w="148" w:type="pct"/>
            <w:tcBorders>
              <w:top w:val="single" w:sz="4" w:space="0" w:color="auto"/>
              <w:bottom w:val="single" w:sz="12" w:space="0" w:color="auto"/>
            </w:tcBorders>
            <w:vAlign w:val="bottom"/>
          </w:tcPr>
          <w:p w14:paraId="0DB200AB" w14:textId="77777777" w:rsidR="00587444" w:rsidRPr="00587444" w:rsidRDefault="00587444" w:rsidP="00587444">
            <w:pPr>
              <w:tabs>
                <w:tab w:val="right" w:pos="1202"/>
              </w:tabs>
              <w:suppressAutoHyphens w:val="0"/>
              <w:autoSpaceDN/>
              <w:jc w:val="right"/>
              <w:outlineLvl w:val="0"/>
              <w:rPr>
                <w:rFonts w:ascii="Arial" w:hAnsi="Arial" w:cs="Arial"/>
                <w:b/>
                <w:bCs/>
                <w:sz w:val="20"/>
                <w:szCs w:val="20"/>
              </w:rPr>
            </w:pPr>
          </w:p>
        </w:tc>
        <w:tc>
          <w:tcPr>
            <w:tcW w:w="785" w:type="pct"/>
            <w:tcBorders>
              <w:top w:val="single" w:sz="4" w:space="0" w:color="auto"/>
              <w:left w:val="nil"/>
              <w:bottom w:val="single" w:sz="8" w:space="0" w:color="auto"/>
              <w:right w:val="nil"/>
            </w:tcBorders>
            <w:shd w:val="clear" w:color="auto" w:fill="auto"/>
            <w:vAlign w:val="center"/>
          </w:tcPr>
          <w:p w14:paraId="00D06476"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rPr>
            </w:pPr>
            <w:r w:rsidRPr="00587444">
              <w:rPr>
                <w:rFonts w:ascii="Arial" w:hAnsi="Arial" w:cs="Arial"/>
                <w:b/>
                <w:bCs/>
                <w:color w:val="000000"/>
                <w:sz w:val="20"/>
                <w:szCs w:val="20"/>
                <w:lang w:val="hr-HR"/>
              </w:rPr>
              <w:t>28,249,988</w:t>
            </w:r>
          </w:p>
        </w:tc>
      </w:tr>
      <w:tr w:rsidR="00587444" w:rsidRPr="00587444" w14:paraId="713AF31C" w14:textId="77777777" w:rsidTr="00DD69E7">
        <w:trPr>
          <w:trHeight w:val="307"/>
        </w:trPr>
        <w:tc>
          <w:tcPr>
            <w:tcW w:w="2656" w:type="pct"/>
            <w:vAlign w:val="bottom"/>
          </w:tcPr>
          <w:p w14:paraId="0F283668" w14:textId="77777777" w:rsidR="00587444" w:rsidRPr="00587444" w:rsidRDefault="00587444" w:rsidP="00587444">
            <w:pPr>
              <w:tabs>
                <w:tab w:val="right" w:pos="1202"/>
              </w:tabs>
              <w:suppressAutoHyphens w:val="0"/>
              <w:autoSpaceDN/>
              <w:outlineLvl w:val="0"/>
              <w:rPr>
                <w:rFonts w:ascii="Arial" w:hAnsi="Arial" w:cs="Arial"/>
                <w:b/>
                <w:bCs/>
                <w:sz w:val="20"/>
                <w:szCs w:val="20"/>
              </w:rPr>
            </w:pPr>
            <w:bookmarkStart w:id="317" w:name="_Toc4057394"/>
            <w:r w:rsidRPr="00587444">
              <w:rPr>
                <w:rFonts w:ascii="Arial" w:eastAsia="Calibri" w:hAnsi="Arial" w:cs="Arial"/>
                <w:b/>
                <w:bCs/>
                <w:sz w:val="20"/>
                <w:szCs w:val="20"/>
              </w:rPr>
              <w:t>Liabilities</w:t>
            </w:r>
            <w:bookmarkEnd w:id="317"/>
          </w:p>
        </w:tc>
        <w:tc>
          <w:tcPr>
            <w:tcW w:w="595" w:type="pct"/>
            <w:vAlign w:val="bottom"/>
          </w:tcPr>
          <w:p w14:paraId="14BBEEAE" w14:textId="77777777" w:rsidR="00587444" w:rsidRPr="00587444" w:rsidRDefault="00587444" w:rsidP="00587444">
            <w:pPr>
              <w:keepNext/>
              <w:keepLines/>
              <w:tabs>
                <w:tab w:val="decimal" w:pos="1060"/>
              </w:tabs>
              <w:suppressAutoHyphens w:val="0"/>
              <w:autoSpaceDN/>
              <w:jc w:val="center"/>
              <w:rPr>
                <w:rFonts w:ascii="Arial" w:hAnsi="Arial" w:cs="Arial"/>
                <w:b/>
                <w:position w:val="4"/>
                <w:sz w:val="20"/>
                <w:szCs w:val="20"/>
                <w:u w:val="thick"/>
              </w:rPr>
            </w:pPr>
          </w:p>
        </w:tc>
        <w:tc>
          <w:tcPr>
            <w:tcW w:w="816" w:type="pct"/>
            <w:tcBorders>
              <w:top w:val="single" w:sz="12" w:space="0" w:color="auto"/>
            </w:tcBorders>
            <w:vAlign w:val="bottom"/>
          </w:tcPr>
          <w:p w14:paraId="08C033D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p>
        </w:tc>
        <w:tc>
          <w:tcPr>
            <w:tcW w:w="148" w:type="pct"/>
            <w:tcBorders>
              <w:top w:val="single" w:sz="12" w:space="0" w:color="auto"/>
            </w:tcBorders>
            <w:vAlign w:val="bottom"/>
          </w:tcPr>
          <w:p w14:paraId="5091CCDE" w14:textId="77777777" w:rsidR="00587444" w:rsidRPr="00587444" w:rsidRDefault="00587444" w:rsidP="00587444">
            <w:pPr>
              <w:tabs>
                <w:tab w:val="right" w:pos="1202"/>
              </w:tabs>
              <w:suppressAutoHyphens w:val="0"/>
              <w:autoSpaceDN/>
              <w:jc w:val="right"/>
              <w:outlineLvl w:val="0"/>
              <w:rPr>
                <w:rFonts w:ascii="Arial" w:hAnsi="Arial" w:cs="Arial"/>
                <w:b/>
                <w:bCs/>
                <w:sz w:val="20"/>
                <w:szCs w:val="20"/>
              </w:rPr>
            </w:pPr>
          </w:p>
        </w:tc>
        <w:tc>
          <w:tcPr>
            <w:tcW w:w="785" w:type="pct"/>
            <w:tcBorders>
              <w:top w:val="single" w:sz="12" w:space="0" w:color="auto"/>
            </w:tcBorders>
            <w:vAlign w:val="bottom"/>
          </w:tcPr>
          <w:p w14:paraId="046D53F8" w14:textId="77777777" w:rsidR="00587444" w:rsidRPr="00587444" w:rsidRDefault="00587444" w:rsidP="00587444">
            <w:pPr>
              <w:tabs>
                <w:tab w:val="right" w:pos="1202"/>
              </w:tabs>
              <w:suppressAutoHyphens w:val="0"/>
              <w:autoSpaceDN/>
              <w:jc w:val="right"/>
              <w:outlineLvl w:val="0"/>
              <w:rPr>
                <w:rFonts w:ascii="Arial" w:hAnsi="Arial" w:cs="Arial"/>
                <w:b/>
                <w:bCs/>
                <w:sz w:val="20"/>
                <w:szCs w:val="20"/>
              </w:rPr>
            </w:pPr>
          </w:p>
        </w:tc>
      </w:tr>
      <w:tr w:rsidR="00587444" w:rsidRPr="00587444" w14:paraId="6A315E16" w14:textId="77777777" w:rsidTr="00DD69E7">
        <w:trPr>
          <w:trHeight w:val="297"/>
        </w:trPr>
        <w:tc>
          <w:tcPr>
            <w:tcW w:w="2656" w:type="pct"/>
            <w:vAlign w:val="bottom"/>
          </w:tcPr>
          <w:p w14:paraId="7D8D64D7" w14:textId="77777777" w:rsidR="00587444" w:rsidRPr="00587444" w:rsidRDefault="00587444" w:rsidP="00587444">
            <w:pPr>
              <w:tabs>
                <w:tab w:val="right" w:pos="1202"/>
              </w:tabs>
              <w:suppressAutoHyphens w:val="0"/>
              <w:autoSpaceDN/>
              <w:outlineLvl w:val="0"/>
              <w:rPr>
                <w:rFonts w:ascii="Arial" w:hAnsi="Arial" w:cs="Arial"/>
                <w:sz w:val="20"/>
                <w:szCs w:val="20"/>
              </w:rPr>
            </w:pPr>
            <w:bookmarkStart w:id="318" w:name="_Toc4057395"/>
            <w:r w:rsidRPr="00587444">
              <w:rPr>
                <w:rFonts w:ascii="Arial" w:eastAsia="Calibri" w:hAnsi="Arial" w:cs="Arial"/>
                <w:sz w:val="20"/>
                <w:szCs w:val="20"/>
              </w:rPr>
              <w:t>Deposits from customers</w:t>
            </w:r>
            <w:bookmarkEnd w:id="318"/>
          </w:p>
        </w:tc>
        <w:tc>
          <w:tcPr>
            <w:tcW w:w="595" w:type="pct"/>
            <w:vAlign w:val="bottom"/>
          </w:tcPr>
          <w:p w14:paraId="34628D0F" w14:textId="77777777" w:rsidR="00587444" w:rsidRPr="00587444" w:rsidRDefault="00587444" w:rsidP="00587444">
            <w:pPr>
              <w:tabs>
                <w:tab w:val="right" w:pos="1202"/>
              </w:tabs>
              <w:suppressAutoHyphens w:val="0"/>
              <w:autoSpaceDN/>
              <w:jc w:val="center"/>
              <w:outlineLvl w:val="0"/>
              <w:rPr>
                <w:rFonts w:ascii="Arial" w:hAnsi="Arial" w:cs="Arial"/>
                <w:bCs/>
                <w:sz w:val="20"/>
                <w:szCs w:val="20"/>
              </w:rPr>
            </w:pPr>
            <w:bookmarkStart w:id="319" w:name="_Toc67327109"/>
            <w:r w:rsidRPr="00587444">
              <w:rPr>
                <w:rFonts w:ascii="Arial" w:hAnsi="Arial" w:cs="Arial"/>
                <w:color w:val="000000"/>
                <w:sz w:val="20"/>
                <w:szCs w:val="20"/>
                <w:lang w:val="hr-HR"/>
              </w:rPr>
              <w:t>2</w:t>
            </w:r>
            <w:bookmarkEnd w:id="319"/>
            <w:r w:rsidRPr="00587444">
              <w:rPr>
                <w:rFonts w:ascii="Arial" w:hAnsi="Arial" w:cs="Arial"/>
                <w:color w:val="000000"/>
                <w:sz w:val="20"/>
                <w:szCs w:val="20"/>
                <w:lang w:val="hr-HR"/>
              </w:rPr>
              <w:t>2</w:t>
            </w:r>
          </w:p>
        </w:tc>
        <w:tc>
          <w:tcPr>
            <w:tcW w:w="816" w:type="pct"/>
            <w:tcBorders>
              <w:top w:val="nil"/>
              <w:left w:val="nil"/>
              <w:bottom w:val="nil"/>
              <w:right w:val="nil"/>
            </w:tcBorders>
            <w:shd w:val="clear" w:color="auto" w:fill="auto"/>
            <w:vAlign w:val="bottom"/>
          </w:tcPr>
          <w:p w14:paraId="43CA432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1,024,623</w:t>
            </w:r>
          </w:p>
        </w:tc>
        <w:tc>
          <w:tcPr>
            <w:tcW w:w="148" w:type="pct"/>
            <w:vAlign w:val="bottom"/>
          </w:tcPr>
          <w:p w14:paraId="417F0CAE" w14:textId="77777777" w:rsidR="00587444" w:rsidRPr="00587444" w:rsidRDefault="00587444" w:rsidP="00587444">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vAlign w:val="center"/>
          </w:tcPr>
          <w:p w14:paraId="42163D1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hAnsi="Arial" w:cs="Arial"/>
                <w:color w:val="000000"/>
                <w:sz w:val="20"/>
                <w:szCs w:val="20"/>
                <w:lang w:val="hr-HR"/>
              </w:rPr>
              <w:t>960,541</w:t>
            </w:r>
          </w:p>
        </w:tc>
      </w:tr>
      <w:tr w:rsidR="00587444" w:rsidRPr="00587444" w14:paraId="16741736" w14:textId="77777777" w:rsidTr="00DD69E7">
        <w:trPr>
          <w:trHeight w:val="297"/>
        </w:trPr>
        <w:tc>
          <w:tcPr>
            <w:tcW w:w="2656" w:type="pct"/>
            <w:vAlign w:val="bottom"/>
          </w:tcPr>
          <w:p w14:paraId="02F35294" w14:textId="77777777" w:rsidR="00587444" w:rsidRPr="00587444" w:rsidRDefault="00587444" w:rsidP="00587444">
            <w:pPr>
              <w:tabs>
                <w:tab w:val="right" w:pos="1202"/>
              </w:tabs>
              <w:suppressAutoHyphens w:val="0"/>
              <w:autoSpaceDN/>
              <w:outlineLvl w:val="0"/>
              <w:rPr>
                <w:rFonts w:ascii="Arial" w:hAnsi="Arial" w:cs="Arial"/>
                <w:sz w:val="20"/>
                <w:szCs w:val="20"/>
              </w:rPr>
            </w:pPr>
            <w:bookmarkStart w:id="320" w:name="_Toc4057399"/>
            <w:r w:rsidRPr="00587444">
              <w:rPr>
                <w:rFonts w:ascii="Arial" w:eastAsia="Calibri" w:hAnsi="Arial" w:cs="Arial"/>
                <w:sz w:val="20"/>
                <w:szCs w:val="20"/>
              </w:rPr>
              <w:t>Borrowings</w:t>
            </w:r>
            <w:bookmarkEnd w:id="320"/>
          </w:p>
        </w:tc>
        <w:tc>
          <w:tcPr>
            <w:tcW w:w="595" w:type="pct"/>
            <w:vAlign w:val="bottom"/>
          </w:tcPr>
          <w:p w14:paraId="4BB3B069" w14:textId="77777777" w:rsidR="00587444" w:rsidRPr="00587444" w:rsidRDefault="00587444" w:rsidP="00587444">
            <w:pPr>
              <w:tabs>
                <w:tab w:val="right" w:pos="1202"/>
              </w:tabs>
              <w:suppressAutoHyphens w:val="0"/>
              <w:autoSpaceDN/>
              <w:jc w:val="center"/>
              <w:outlineLvl w:val="0"/>
              <w:rPr>
                <w:rFonts w:ascii="Arial" w:hAnsi="Arial" w:cs="Arial"/>
                <w:color w:val="000000"/>
                <w:sz w:val="20"/>
                <w:szCs w:val="20"/>
                <w:lang w:val="hr-HR"/>
              </w:rPr>
            </w:pPr>
            <w:bookmarkStart w:id="321" w:name="_Toc67327113"/>
            <w:r w:rsidRPr="00587444">
              <w:rPr>
                <w:rFonts w:ascii="Arial" w:hAnsi="Arial" w:cs="Arial"/>
                <w:color w:val="000000"/>
                <w:sz w:val="20"/>
                <w:szCs w:val="20"/>
                <w:lang w:val="hr-HR"/>
              </w:rPr>
              <w:t>2</w:t>
            </w:r>
            <w:bookmarkEnd w:id="321"/>
            <w:r w:rsidRPr="00587444">
              <w:rPr>
                <w:rFonts w:ascii="Arial" w:hAnsi="Arial" w:cs="Arial"/>
                <w:color w:val="000000"/>
                <w:sz w:val="20"/>
                <w:szCs w:val="20"/>
                <w:lang w:val="hr-HR"/>
              </w:rPr>
              <w:t>3</w:t>
            </w:r>
          </w:p>
        </w:tc>
        <w:tc>
          <w:tcPr>
            <w:tcW w:w="816" w:type="pct"/>
            <w:tcBorders>
              <w:top w:val="nil"/>
              <w:left w:val="nil"/>
              <w:bottom w:val="nil"/>
              <w:right w:val="nil"/>
            </w:tcBorders>
            <w:shd w:val="clear" w:color="auto" w:fill="auto"/>
            <w:vAlign w:val="bottom"/>
          </w:tcPr>
          <w:p w14:paraId="4783924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16,501,276</w:t>
            </w:r>
          </w:p>
        </w:tc>
        <w:tc>
          <w:tcPr>
            <w:tcW w:w="148" w:type="pct"/>
            <w:vAlign w:val="bottom"/>
          </w:tcPr>
          <w:p w14:paraId="1D8F6804" w14:textId="77777777" w:rsidR="00587444" w:rsidRPr="00587444" w:rsidRDefault="00587444" w:rsidP="00587444">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vAlign w:val="center"/>
          </w:tcPr>
          <w:p w14:paraId="21961A1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hAnsi="Arial" w:cs="Arial"/>
                <w:color w:val="000000"/>
                <w:sz w:val="20"/>
                <w:szCs w:val="20"/>
                <w:lang w:val="hr-HR"/>
              </w:rPr>
              <w:t>16,115,237</w:t>
            </w:r>
          </w:p>
        </w:tc>
      </w:tr>
      <w:tr w:rsidR="00587444" w:rsidRPr="00587444" w14:paraId="3F3B42D4" w14:textId="77777777" w:rsidTr="00DD69E7">
        <w:trPr>
          <w:trHeight w:val="297"/>
        </w:trPr>
        <w:tc>
          <w:tcPr>
            <w:tcW w:w="2656" w:type="pct"/>
            <w:vAlign w:val="bottom"/>
          </w:tcPr>
          <w:p w14:paraId="7EAB3C31"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r w:rsidRPr="00587444">
              <w:rPr>
                <w:rFonts w:ascii="Arial" w:eastAsia="Calibri" w:hAnsi="Arial" w:cs="Arial"/>
                <w:sz w:val="20"/>
                <w:szCs w:val="20"/>
              </w:rPr>
              <w:t>Provisions for guarantees, commitments and other liabilities</w:t>
            </w:r>
          </w:p>
        </w:tc>
        <w:tc>
          <w:tcPr>
            <w:tcW w:w="595" w:type="pct"/>
            <w:vAlign w:val="bottom"/>
          </w:tcPr>
          <w:p w14:paraId="0A31323E" w14:textId="77777777" w:rsidR="00587444" w:rsidRPr="00587444" w:rsidRDefault="00587444" w:rsidP="00587444">
            <w:pPr>
              <w:tabs>
                <w:tab w:val="right" w:pos="1202"/>
              </w:tabs>
              <w:suppressAutoHyphens w:val="0"/>
              <w:autoSpaceDN/>
              <w:jc w:val="center"/>
              <w:outlineLvl w:val="0"/>
              <w:rPr>
                <w:rFonts w:ascii="Arial" w:hAnsi="Arial" w:cs="Arial"/>
                <w:sz w:val="20"/>
                <w:szCs w:val="20"/>
              </w:rPr>
            </w:pPr>
            <w:r w:rsidRPr="00587444">
              <w:rPr>
                <w:rFonts w:ascii="Arial" w:hAnsi="Arial" w:cs="Arial"/>
                <w:color w:val="000000"/>
                <w:sz w:val="20"/>
                <w:szCs w:val="20"/>
                <w:lang w:val="hr-HR"/>
              </w:rPr>
              <w:t>24</w:t>
            </w:r>
          </w:p>
        </w:tc>
        <w:tc>
          <w:tcPr>
            <w:tcW w:w="816" w:type="pct"/>
            <w:tcBorders>
              <w:top w:val="nil"/>
              <w:left w:val="nil"/>
              <w:bottom w:val="nil"/>
              <w:right w:val="nil"/>
            </w:tcBorders>
            <w:shd w:val="clear" w:color="auto" w:fill="auto"/>
            <w:vAlign w:val="bottom"/>
          </w:tcPr>
          <w:p w14:paraId="1C61338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142,675</w:t>
            </w:r>
          </w:p>
        </w:tc>
        <w:tc>
          <w:tcPr>
            <w:tcW w:w="148" w:type="pct"/>
            <w:vAlign w:val="bottom"/>
          </w:tcPr>
          <w:p w14:paraId="580305C1" w14:textId="77777777" w:rsidR="00587444" w:rsidRPr="00587444" w:rsidRDefault="00587444" w:rsidP="00587444">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vAlign w:val="bottom"/>
          </w:tcPr>
          <w:p w14:paraId="0700A80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rPr>
            </w:pPr>
            <w:r w:rsidRPr="00587444">
              <w:rPr>
                <w:rFonts w:ascii="Arial" w:hAnsi="Arial" w:cs="Arial"/>
                <w:color w:val="000000"/>
                <w:sz w:val="20"/>
                <w:szCs w:val="20"/>
                <w:lang w:val="hr-HR"/>
              </w:rPr>
              <w:t>190,303</w:t>
            </w:r>
          </w:p>
        </w:tc>
      </w:tr>
      <w:tr w:rsidR="00587444" w:rsidRPr="00587444" w14:paraId="0387DDE5" w14:textId="77777777" w:rsidTr="00DD69E7">
        <w:trPr>
          <w:trHeight w:val="297"/>
        </w:trPr>
        <w:tc>
          <w:tcPr>
            <w:tcW w:w="2656" w:type="pct"/>
            <w:vAlign w:val="bottom"/>
          </w:tcPr>
          <w:p w14:paraId="5F7F8586" w14:textId="77777777" w:rsidR="00587444" w:rsidRPr="00587444" w:rsidRDefault="00587444" w:rsidP="00587444">
            <w:pPr>
              <w:tabs>
                <w:tab w:val="right" w:pos="1202"/>
              </w:tabs>
              <w:suppressAutoHyphens w:val="0"/>
              <w:autoSpaceDN/>
              <w:outlineLvl w:val="0"/>
              <w:rPr>
                <w:rFonts w:ascii="Arial" w:hAnsi="Arial" w:cs="Arial"/>
                <w:sz w:val="20"/>
                <w:szCs w:val="20"/>
              </w:rPr>
            </w:pPr>
            <w:bookmarkStart w:id="322" w:name="_Toc4057407"/>
            <w:r w:rsidRPr="00587444">
              <w:rPr>
                <w:rFonts w:ascii="Arial" w:eastAsia="Calibri" w:hAnsi="Arial" w:cs="Arial"/>
                <w:sz w:val="20"/>
                <w:szCs w:val="20"/>
              </w:rPr>
              <w:t>Other liabilities</w:t>
            </w:r>
            <w:bookmarkEnd w:id="322"/>
          </w:p>
        </w:tc>
        <w:tc>
          <w:tcPr>
            <w:tcW w:w="595" w:type="pct"/>
            <w:vAlign w:val="bottom"/>
          </w:tcPr>
          <w:p w14:paraId="3A323C99" w14:textId="77777777" w:rsidR="00587444" w:rsidRPr="00587444" w:rsidRDefault="00587444" w:rsidP="00587444">
            <w:pPr>
              <w:tabs>
                <w:tab w:val="right" w:pos="1202"/>
              </w:tabs>
              <w:suppressAutoHyphens w:val="0"/>
              <w:autoSpaceDN/>
              <w:jc w:val="center"/>
              <w:outlineLvl w:val="0"/>
              <w:rPr>
                <w:rFonts w:ascii="Arial" w:hAnsi="Arial" w:cs="Arial"/>
                <w:sz w:val="20"/>
                <w:szCs w:val="20"/>
              </w:rPr>
            </w:pPr>
            <w:r w:rsidRPr="00587444">
              <w:rPr>
                <w:rFonts w:ascii="Arial" w:hAnsi="Arial" w:cs="Arial"/>
                <w:color w:val="000000"/>
                <w:sz w:val="20"/>
                <w:szCs w:val="20"/>
                <w:lang w:val="hr-HR"/>
              </w:rPr>
              <w:t>25</w:t>
            </w:r>
          </w:p>
        </w:tc>
        <w:tc>
          <w:tcPr>
            <w:tcW w:w="816" w:type="pct"/>
            <w:tcBorders>
              <w:top w:val="nil"/>
              <w:left w:val="nil"/>
              <w:bottom w:val="nil"/>
              <w:right w:val="nil"/>
            </w:tcBorders>
            <w:shd w:val="clear" w:color="auto" w:fill="auto"/>
            <w:vAlign w:val="bottom"/>
          </w:tcPr>
          <w:p w14:paraId="344B880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653,133</w:t>
            </w:r>
          </w:p>
        </w:tc>
        <w:tc>
          <w:tcPr>
            <w:tcW w:w="148" w:type="pct"/>
            <w:vAlign w:val="bottom"/>
          </w:tcPr>
          <w:p w14:paraId="50AE7B90" w14:textId="77777777" w:rsidR="00587444" w:rsidRPr="00587444" w:rsidRDefault="00587444" w:rsidP="00587444">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vAlign w:val="center"/>
          </w:tcPr>
          <w:p w14:paraId="50C7294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hAnsi="Arial" w:cs="Arial"/>
                <w:color w:val="000000"/>
                <w:sz w:val="20"/>
                <w:szCs w:val="20"/>
                <w:lang w:val="hr-HR"/>
              </w:rPr>
              <w:t>416,178</w:t>
            </w:r>
          </w:p>
        </w:tc>
      </w:tr>
      <w:tr w:rsidR="00587444" w:rsidRPr="00587444" w14:paraId="3EB00826" w14:textId="77777777" w:rsidTr="00DD69E7">
        <w:trPr>
          <w:trHeight w:val="342"/>
        </w:trPr>
        <w:tc>
          <w:tcPr>
            <w:tcW w:w="2656" w:type="pct"/>
            <w:vAlign w:val="bottom"/>
          </w:tcPr>
          <w:p w14:paraId="0E583DC9" w14:textId="77777777" w:rsidR="00587444" w:rsidRPr="00587444" w:rsidRDefault="00587444" w:rsidP="00587444">
            <w:pPr>
              <w:tabs>
                <w:tab w:val="right" w:pos="1202"/>
              </w:tabs>
              <w:suppressAutoHyphens w:val="0"/>
              <w:autoSpaceDN/>
              <w:outlineLvl w:val="0"/>
              <w:rPr>
                <w:rFonts w:ascii="Arial" w:hAnsi="Arial" w:cs="Arial"/>
                <w:b/>
                <w:bCs/>
                <w:sz w:val="20"/>
                <w:szCs w:val="20"/>
              </w:rPr>
            </w:pPr>
            <w:bookmarkStart w:id="323" w:name="_Toc4057411"/>
            <w:r w:rsidRPr="00587444">
              <w:rPr>
                <w:rFonts w:ascii="Arial" w:eastAsia="Calibri" w:hAnsi="Arial" w:cs="Arial"/>
                <w:b/>
                <w:bCs/>
                <w:sz w:val="20"/>
                <w:szCs w:val="20"/>
              </w:rPr>
              <w:t>Total liabilities</w:t>
            </w:r>
            <w:bookmarkEnd w:id="323"/>
          </w:p>
        </w:tc>
        <w:tc>
          <w:tcPr>
            <w:tcW w:w="595" w:type="pct"/>
            <w:vAlign w:val="bottom"/>
          </w:tcPr>
          <w:p w14:paraId="6A470635" w14:textId="77777777" w:rsidR="00587444" w:rsidRPr="00587444" w:rsidRDefault="00587444" w:rsidP="00587444">
            <w:pPr>
              <w:tabs>
                <w:tab w:val="right" w:pos="1202"/>
              </w:tabs>
              <w:suppressAutoHyphens w:val="0"/>
              <w:autoSpaceDN/>
              <w:jc w:val="center"/>
              <w:outlineLvl w:val="0"/>
              <w:rPr>
                <w:rFonts w:ascii="Arial" w:hAnsi="Arial" w:cs="Arial"/>
                <w:b/>
                <w:bCs/>
                <w:sz w:val="20"/>
                <w:szCs w:val="20"/>
              </w:rPr>
            </w:pPr>
          </w:p>
        </w:tc>
        <w:tc>
          <w:tcPr>
            <w:tcW w:w="816" w:type="pct"/>
            <w:tcBorders>
              <w:top w:val="single" w:sz="4" w:space="0" w:color="auto"/>
              <w:left w:val="nil"/>
              <w:bottom w:val="single" w:sz="8" w:space="0" w:color="auto"/>
              <w:right w:val="nil"/>
            </w:tcBorders>
            <w:shd w:val="clear" w:color="auto" w:fill="auto"/>
            <w:vAlign w:val="bottom"/>
          </w:tcPr>
          <w:p w14:paraId="41C6165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b/>
                <w:bCs/>
                <w:color w:val="000000"/>
                <w:sz w:val="20"/>
                <w:szCs w:val="20"/>
                <w:lang w:val="hr-HR"/>
              </w:rPr>
              <w:t>18,321,707</w:t>
            </w:r>
          </w:p>
        </w:tc>
        <w:tc>
          <w:tcPr>
            <w:tcW w:w="148" w:type="pct"/>
            <w:tcBorders>
              <w:top w:val="single" w:sz="4" w:space="0" w:color="auto"/>
              <w:bottom w:val="single" w:sz="12" w:space="0" w:color="auto"/>
            </w:tcBorders>
            <w:vAlign w:val="bottom"/>
          </w:tcPr>
          <w:p w14:paraId="6752ECF4" w14:textId="77777777" w:rsidR="00587444" w:rsidRPr="00587444" w:rsidRDefault="00587444" w:rsidP="00587444">
            <w:pPr>
              <w:tabs>
                <w:tab w:val="right" w:pos="1202"/>
              </w:tabs>
              <w:suppressAutoHyphens w:val="0"/>
              <w:autoSpaceDN/>
              <w:jc w:val="right"/>
              <w:outlineLvl w:val="0"/>
              <w:rPr>
                <w:rFonts w:ascii="Arial" w:hAnsi="Arial" w:cs="Arial"/>
                <w:b/>
                <w:bCs/>
                <w:sz w:val="20"/>
                <w:szCs w:val="20"/>
              </w:rPr>
            </w:pPr>
          </w:p>
        </w:tc>
        <w:tc>
          <w:tcPr>
            <w:tcW w:w="785" w:type="pct"/>
            <w:tcBorders>
              <w:top w:val="single" w:sz="4" w:space="0" w:color="auto"/>
              <w:left w:val="nil"/>
              <w:bottom w:val="single" w:sz="8" w:space="0" w:color="auto"/>
              <w:right w:val="nil"/>
            </w:tcBorders>
            <w:shd w:val="clear" w:color="auto" w:fill="auto"/>
            <w:vAlign w:val="center"/>
          </w:tcPr>
          <w:p w14:paraId="73592A13"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rPr>
            </w:pPr>
            <w:r w:rsidRPr="00587444">
              <w:rPr>
                <w:rFonts w:ascii="Arial" w:hAnsi="Arial" w:cs="Arial"/>
                <w:b/>
                <w:bCs/>
                <w:color w:val="000000"/>
                <w:sz w:val="20"/>
                <w:szCs w:val="20"/>
                <w:lang w:val="hr-HR"/>
              </w:rPr>
              <w:t>17,682,259</w:t>
            </w:r>
          </w:p>
        </w:tc>
      </w:tr>
      <w:tr w:rsidR="00587444" w:rsidRPr="00587444" w14:paraId="25CE390E" w14:textId="77777777" w:rsidTr="00DD69E7">
        <w:trPr>
          <w:trHeight w:val="297"/>
        </w:trPr>
        <w:tc>
          <w:tcPr>
            <w:tcW w:w="2656" w:type="pct"/>
            <w:vAlign w:val="bottom"/>
          </w:tcPr>
          <w:p w14:paraId="02356D5B" w14:textId="77777777" w:rsidR="00587444" w:rsidRPr="00587444" w:rsidRDefault="00587444" w:rsidP="00587444">
            <w:pPr>
              <w:tabs>
                <w:tab w:val="right" w:pos="1202"/>
              </w:tabs>
              <w:suppressAutoHyphens w:val="0"/>
              <w:autoSpaceDN/>
              <w:outlineLvl w:val="0"/>
              <w:rPr>
                <w:rFonts w:ascii="Arial" w:hAnsi="Arial" w:cs="Arial"/>
                <w:b/>
                <w:bCs/>
                <w:sz w:val="20"/>
                <w:szCs w:val="20"/>
              </w:rPr>
            </w:pPr>
            <w:bookmarkStart w:id="324" w:name="_Toc4057414"/>
            <w:r w:rsidRPr="00587444">
              <w:rPr>
                <w:rFonts w:ascii="Arial" w:eastAsia="Calibri" w:hAnsi="Arial" w:cs="Arial"/>
                <w:b/>
                <w:bCs/>
                <w:sz w:val="20"/>
                <w:szCs w:val="20"/>
              </w:rPr>
              <w:t>Equity</w:t>
            </w:r>
            <w:bookmarkEnd w:id="324"/>
          </w:p>
        </w:tc>
        <w:tc>
          <w:tcPr>
            <w:tcW w:w="595" w:type="pct"/>
            <w:vAlign w:val="bottom"/>
          </w:tcPr>
          <w:p w14:paraId="56B0DD7A" w14:textId="77777777" w:rsidR="00587444" w:rsidRPr="00587444" w:rsidRDefault="00587444" w:rsidP="00587444">
            <w:pPr>
              <w:tabs>
                <w:tab w:val="right" w:pos="1202"/>
              </w:tabs>
              <w:suppressAutoHyphens w:val="0"/>
              <w:autoSpaceDN/>
              <w:jc w:val="center"/>
              <w:outlineLvl w:val="0"/>
              <w:rPr>
                <w:rFonts w:ascii="Arial" w:hAnsi="Arial" w:cs="Arial"/>
                <w:b/>
                <w:bCs/>
                <w:sz w:val="20"/>
                <w:szCs w:val="20"/>
              </w:rPr>
            </w:pPr>
          </w:p>
        </w:tc>
        <w:tc>
          <w:tcPr>
            <w:tcW w:w="816" w:type="pct"/>
            <w:tcBorders>
              <w:top w:val="single" w:sz="12" w:space="0" w:color="auto"/>
            </w:tcBorders>
            <w:vAlign w:val="bottom"/>
          </w:tcPr>
          <w:p w14:paraId="5A2D6B9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p>
        </w:tc>
        <w:tc>
          <w:tcPr>
            <w:tcW w:w="148" w:type="pct"/>
            <w:tcBorders>
              <w:top w:val="single" w:sz="12" w:space="0" w:color="auto"/>
            </w:tcBorders>
            <w:vAlign w:val="bottom"/>
          </w:tcPr>
          <w:p w14:paraId="1B862BCC" w14:textId="77777777" w:rsidR="00587444" w:rsidRPr="00587444" w:rsidRDefault="00587444" w:rsidP="00587444">
            <w:pPr>
              <w:tabs>
                <w:tab w:val="right" w:pos="1202"/>
              </w:tabs>
              <w:suppressAutoHyphens w:val="0"/>
              <w:autoSpaceDN/>
              <w:jc w:val="right"/>
              <w:outlineLvl w:val="0"/>
              <w:rPr>
                <w:rFonts w:ascii="Arial" w:hAnsi="Arial" w:cs="Arial"/>
                <w:b/>
                <w:bCs/>
                <w:sz w:val="20"/>
                <w:szCs w:val="20"/>
              </w:rPr>
            </w:pPr>
          </w:p>
        </w:tc>
        <w:tc>
          <w:tcPr>
            <w:tcW w:w="785" w:type="pct"/>
            <w:tcBorders>
              <w:top w:val="single" w:sz="12" w:space="0" w:color="auto"/>
            </w:tcBorders>
            <w:vAlign w:val="bottom"/>
          </w:tcPr>
          <w:p w14:paraId="054AE8B6" w14:textId="77777777" w:rsidR="00587444" w:rsidRPr="00587444" w:rsidRDefault="00587444" w:rsidP="00587444">
            <w:pPr>
              <w:tabs>
                <w:tab w:val="right" w:pos="1202"/>
              </w:tabs>
              <w:suppressAutoHyphens w:val="0"/>
              <w:autoSpaceDN/>
              <w:jc w:val="right"/>
              <w:outlineLvl w:val="0"/>
              <w:rPr>
                <w:rFonts w:ascii="Arial" w:hAnsi="Arial" w:cs="Arial"/>
                <w:b/>
                <w:bCs/>
                <w:sz w:val="20"/>
                <w:szCs w:val="20"/>
              </w:rPr>
            </w:pPr>
          </w:p>
        </w:tc>
      </w:tr>
      <w:tr w:rsidR="00587444" w:rsidRPr="00587444" w14:paraId="5A4F6E6D" w14:textId="77777777" w:rsidTr="00DD69E7">
        <w:trPr>
          <w:trHeight w:val="297"/>
        </w:trPr>
        <w:tc>
          <w:tcPr>
            <w:tcW w:w="2656" w:type="pct"/>
            <w:vAlign w:val="bottom"/>
          </w:tcPr>
          <w:p w14:paraId="736F84A2" w14:textId="77777777" w:rsidR="00587444" w:rsidRPr="00587444" w:rsidRDefault="00587444" w:rsidP="00587444">
            <w:pPr>
              <w:tabs>
                <w:tab w:val="right" w:pos="1202"/>
              </w:tabs>
              <w:suppressAutoHyphens w:val="0"/>
              <w:autoSpaceDN/>
              <w:outlineLvl w:val="0"/>
              <w:rPr>
                <w:rFonts w:ascii="Arial" w:hAnsi="Arial" w:cs="Arial"/>
                <w:sz w:val="20"/>
                <w:szCs w:val="20"/>
              </w:rPr>
            </w:pPr>
            <w:bookmarkStart w:id="325" w:name="_Toc4057415"/>
            <w:r w:rsidRPr="00587444">
              <w:rPr>
                <w:rFonts w:ascii="Arial" w:eastAsia="Calibri" w:hAnsi="Arial" w:cs="Arial"/>
                <w:sz w:val="20"/>
                <w:szCs w:val="20"/>
              </w:rPr>
              <w:t>Founder’s capital</w:t>
            </w:r>
            <w:bookmarkEnd w:id="325"/>
          </w:p>
        </w:tc>
        <w:tc>
          <w:tcPr>
            <w:tcW w:w="595" w:type="pct"/>
            <w:vAlign w:val="bottom"/>
          </w:tcPr>
          <w:p w14:paraId="18401DAF" w14:textId="77777777" w:rsidR="00587444" w:rsidRPr="00587444" w:rsidRDefault="00587444" w:rsidP="00587444">
            <w:pPr>
              <w:tabs>
                <w:tab w:val="right" w:pos="1202"/>
              </w:tabs>
              <w:suppressAutoHyphens w:val="0"/>
              <w:autoSpaceDN/>
              <w:jc w:val="center"/>
              <w:outlineLvl w:val="0"/>
              <w:rPr>
                <w:rFonts w:ascii="Arial" w:hAnsi="Arial" w:cs="Arial"/>
                <w:sz w:val="20"/>
                <w:szCs w:val="20"/>
              </w:rPr>
            </w:pPr>
            <w:r w:rsidRPr="00587444">
              <w:rPr>
                <w:rFonts w:ascii="Arial" w:hAnsi="Arial" w:cs="Arial"/>
                <w:sz w:val="20"/>
                <w:szCs w:val="20"/>
              </w:rPr>
              <w:t>26</w:t>
            </w:r>
          </w:p>
        </w:tc>
        <w:tc>
          <w:tcPr>
            <w:tcW w:w="816" w:type="pct"/>
            <w:tcBorders>
              <w:top w:val="nil"/>
              <w:left w:val="nil"/>
              <w:bottom w:val="nil"/>
              <w:right w:val="nil"/>
            </w:tcBorders>
            <w:shd w:val="clear" w:color="auto" w:fill="auto"/>
            <w:vAlign w:val="bottom"/>
          </w:tcPr>
          <w:p w14:paraId="6EBF8C8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7,204,632</w:t>
            </w:r>
          </w:p>
        </w:tc>
        <w:tc>
          <w:tcPr>
            <w:tcW w:w="148" w:type="pct"/>
            <w:vAlign w:val="bottom"/>
          </w:tcPr>
          <w:p w14:paraId="457EFB99" w14:textId="77777777" w:rsidR="00587444" w:rsidRPr="00587444" w:rsidRDefault="00587444" w:rsidP="00587444">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vAlign w:val="center"/>
          </w:tcPr>
          <w:p w14:paraId="3386ED6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hAnsi="Arial" w:cs="Arial"/>
                <w:color w:val="000000"/>
                <w:sz w:val="20"/>
                <w:szCs w:val="20"/>
                <w:lang w:val="hr-HR"/>
              </w:rPr>
              <w:t>7,184,632</w:t>
            </w:r>
          </w:p>
        </w:tc>
      </w:tr>
      <w:tr w:rsidR="00587444" w:rsidRPr="00587444" w14:paraId="0CB4A97F" w14:textId="77777777" w:rsidTr="00DD69E7">
        <w:trPr>
          <w:trHeight w:val="307"/>
        </w:trPr>
        <w:tc>
          <w:tcPr>
            <w:tcW w:w="2656" w:type="pct"/>
            <w:vAlign w:val="bottom"/>
          </w:tcPr>
          <w:p w14:paraId="344C20CB" w14:textId="77777777" w:rsidR="00587444" w:rsidRPr="00587444" w:rsidRDefault="00587444" w:rsidP="00587444">
            <w:pPr>
              <w:tabs>
                <w:tab w:val="right" w:pos="1202"/>
              </w:tabs>
              <w:suppressAutoHyphens w:val="0"/>
              <w:autoSpaceDN/>
              <w:outlineLvl w:val="0"/>
              <w:rPr>
                <w:rFonts w:ascii="Arial" w:hAnsi="Arial" w:cs="Arial"/>
                <w:sz w:val="20"/>
                <w:szCs w:val="20"/>
              </w:rPr>
            </w:pPr>
            <w:bookmarkStart w:id="326" w:name="_Toc4057419"/>
            <w:r w:rsidRPr="00587444">
              <w:rPr>
                <w:rFonts w:ascii="Arial" w:eastAsia="Calibri" w:hAnsi="Arial" w:cs="Arial"/>
                <w:sz w:val="20"/>
                <w:szCs w:val="20"/>
              </w:rPr>
              <w:t>Retained earnings and reserves</w:t>
            </w:r>
            <w:bookmarkEnd w:id="326"/>
          </w:p>
        </w:tc>
        <w:tc>
          <w:tcPr>
            <w:tcW w:w="595" w:type="pct"/>
            <w:vAlign w:val="bottom"/>
          </w:tcPr>
          <w:p w14:paraId="6792D360" w14:textId="77777777" w:rsidR="00587444" w:rsidRPr="00587444" w:rsidRDefault="00587444" w:rsidP="00587444">
            <w:pPr>
              <w:tabs>
                <w:tab w:val="right" w:pos="1202"/>
              </w:tabs>
              <w:suppressAutoHyphens w:val="0"/>
              <w:autoSpaceDN/>
              <w:jc w:val="center"/>
              <w:outlineLvl w:val="0"/>
              <w:rPr>
                <w:rFonts w:ascii="Arial" w:hAnsi="Arial" w:cs="Arial"/>
                <w:sz w:val="20"/>
                <w:szCs w:val="20"/>
              </w:rPr>
            </w:pPr>
          </w:p>
        </w:tc>
        <w:tc>
          <w:tcPr>
            <w:tcW w:w="816" w:type="pct"/>
            <w:tcBorders>
              <w:top w:val="nil"/>
              <w:left w:val="nil"/>
              <w:bottom w:val="nil"/>
              <w:right w:val="nil"/>
            </w:tcBorders>
            <w:shd w:val="clear" w:color="auto" w:fill="auto"/>
            <w:vAlign w:val="bottom"/>
          </w:tcPr>
          <w:p w14:paraId="06C3FC9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3,340,827</w:t>
            </w:r>
          </w:p>
        </w:tc>
        <w:tc>
          <w:tcPr>
            <w:tcW w:w="148" w:type="pct"/>
            <w:vAlign w:val="bottom"/>
          </w:tcPr>
          <w:p w14:paraId="27BE0A38" w14:textId="77777777" w:rsidR="00587444" w:rsidRPr="00587444" w:rsidRDefault="00587444" w:rsidP="00587444">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vAlign w:val="center"/>
          </w:tcPr>
          <w:p w14:paraId="409AC64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hAnsi="Arial" w:cs="Arial"/>
                <w:color w:val="000000"/>
                <w:sz w:val="20"/>
                <w:szCs w:val="20"/>
                <w:lang w:val="hr-HR"/>
              </w:rPr>
              <w:t>3,153,745</w:t>
            </w:r>
          </w:p>
        </w:tc>
      </w:tr>
      <w:tr w:rsidR="00587444" w:rsidRPr="00587444" w14:paraId="1D235ADF" w14:textId="77777777" w:rsidTr="00DD69E7">
        <w:trPr>
          <w:trHeight w:val="297"/>
        </w:trPr>
        <w:tc>
          <w:tcPr>
            <w:tcW w:w="2656" w:type="pct"/>
            <w:vAlign w:val="bottom"/>
          </w:tcPr>
          <w:p w14:paraId="09D7269C" w14:textId="77777777" w:rsidR="00587444" w:rsidRPr="00587444" w:rsidRDefault="00587444" w:rsidP="00587444">
            <w:pPr>
              <w:tabs>
                <w:tab w:val="right" w:pos="1202"/>
              </w:tabs>
              <w:suppressAutoHyphens w:val="0"/>
              <w:autoSpaceDN/>
              <w:outlineLvl w:val="0"/>
              <w:rPr>
                <w:rFonts w:ascii="Arial" w:hAnsi="Arial" w:cs="Arial"/>
                <w:sz w:val="20"/>
                <w:szCs w:val="20"/>
              </w:rPr>
            </w:pPr>
            <w:bookmarkStart w:id="327" w:name="_Toc4057422"/>
            <w:r w:rsidRPr="00587444">
              <w:rPr>
                <w:rFonts w:ascii="Arial" w:eastAsia="Calibri" w:hAnsi="Arial" w:cs="Arial"/>
                <w:sz w:val="20"/>
                <w:szCs w:val="20"/>
              </w:rPr>
              <w:t>Other reserves</w:t>
            </w:r>
            <w:bookmarkEnd w:id="327"/>
          </w:p>
        </w:tc>
        <w:tc>
          <w:tcPr>
            <w:tcW w:w="595" w:type="pct"/>
            <w:vAlign w:val="bottom"/>
          </w:tcPr>
          <w:p w14:paraId="1DF0EE5D" w14:textId="77777777" w:rsidR="00587444" w:rsidRPr="00587444" w:rsidRDefault="00587444" w:rsidP="00587444">
            <w:pPr>
              <w:tabs>
                <w:tab w:val="right" w:pos="1202"/>
              </w:tabs>
              <w:suppressAutoHyphens w:val="0"/>
              <w:autoSpaceDN/>
              <w:jc w:val="center"/>
              <w:outlineLvl w:val="0"/>
              <w:rPr>
                <w:rFonts w:ascii="Arial" w:hAnsi="Arial" w:cs="Arial"/>
                <w:sz w:val="20"/>
                <w:szCs w:val="20"/>
              </w:rPr>
            </w:pPr>
          </w:p>
        </w:tc>
        <w:tc>
          <w:tcPr>
            <w:tcW w:w="816" w:type="pct"/>
            <w:tcBorders>
              <w:top w:val="nil"/>
              <w:left w:val="nil"/>
              <w:bottom w:val="nil"/>
              <w:right w:val="nil"/>
            </w:tcBorders>
            <w:shd w:val="clear" w:color="auto" w:fill="auto"/>
            <w:vAlign w:val="bottom"/>
          </w:tcPr>
          <w:p w14:paraId="3EF5286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(33,369)</w:t>
            </w:r>
          </w:p>
        </w:tc>
        <w:tc>
          <w:tcPr>
            <w:tcW w:w="148" w:type="pct"/>
            <w:vAlign w:val="bottom"/>
          </w:tcPr>
          <w:p w14:paraId="5E1B96E3" w14:textId="77777777" w:rsidR="00587444" w:rsidRPr="00587444" w:rsidRDefault="00587444" w:rsidP="00587444">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vAlign w:val="center"/>
          </w:tcPr>
          <w:p w14:paraId="6378676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hAnsi="Arial" w:cs="Arial"/>
                <w:color w:val="000000"/>
                <w:sz w:val="20"/>
                <w:szCs w:val="20"/>
                <w:lang w:val="hr-HR"/>
              </w:rPr>
              <w:t>29,961</w:t>
            </w:r>
          </w:p>
        </w:tc>
      </w:tr>
      <w:tr w:rsidR="00587444" w:rsidRPr="00587444" w14:paraId="1FA23451" w14:textId="77777777" w:rsidTr="00DD69E7">
        <w:trPr>
          <w:trHeight w:val="297"/>
        </w:trPr>
        <w:tc>
          <w:tcPr>
            <w:tcW w:w="2656" w:type="pct"/>
            <w:vAlign w:val="bottom"/>
          </w:tcPr>
          <w:p w14:paraId="7061D3EE" w14:textId="77777777" w:rsidR="00587444" w:rsidRPr="00587444" w:rsidRDefault="00587444" w:rsidP="00587444">
            <w:pPr>
              <w:tabs>
                <w:tab w:val="right" w:pos="1202"/>
              </w:tabs>
              <w:suppressAutoHyphens w:val="0"/>
              <w:autoSpaceDN/>
              <w:outlineLvl w:val="0"/>
              <w:rPr>
                <w:rFonts w:ascii="Arial" w:hAnsi="Arial" w:cs="Arial"/>
                <w:sz w:val="20"/>
                <w:szCs w:val="20"/>
              </w:rPr>
            </w:pPr>
            <w:bookmarkStart w:id="328" w:name="_Toc4057425"/>
            <w:r w:rsidRPr="00587444">
              <w:rPr>
                <w:rFonts w:ascii="Arial" w:eastAsia="Calibri" w:hAnsi="Arial" w:cs="Arial"/>
                <w:sz w:val="20"/>
                <w:szCs w:val="20"/>
              </w:rPr>
              <w:t>Profit for the year</w:t>
            </w:r>
            <w:bookmarkEnd w:id="328"/>
          </w:p>
        </w:tc>
        <w:tc>
          <w:tcPr>
            <w:tcW w:w="595" w:type="pct"/>
            <w:vAlign w:val="bottom"/>
          </w:tcPr>
          <w:p w14:paraId="740C5721" w14:textId="77777777" w:rsidR="00587444" w:rsidRPr="00587444" w:rsidRDefault="00587444" w:rsidP="00587444">
            <w:pPr>
              <w:tabs>
                <w:tab w:val="right" w:pos="1202"/>
              </w:tabs>
              <w:suppressAutoHyphens w:val="0"/>
              <w:autoSpaceDN/>
              <w:jc w:val="center"/>
              <w:outlineLvl w:val="0"/>
              <w:rPr>
                <w:rFonts w:ascii="Arial" w:hAnsi="Arial" w:cs="Arial"/>
                <w:sz w:val="20"/>
                <w:szCs w:val="20"/>
              </w:rPr>
            </w:pPr>
          </w:p>
        </w:tc>
        <w:tc>
          <w:tcPr>
            <w:tcW w:w="816" w:type="pct"/>
            <w:tcBorders>
              <w:top w:val="nil"/>
              <w:left w:val="nil"/>
              <w:bottom w:val="nil"/>
              <w:right w:val="nil"/>
            </w:tcBorders>
            <w:shd w:val="clear" w:color="auto" w:fill="auto"/>
            <w:vAlign w:val="bottom"/>
          </w:tcPr>
          <w:p w14:paraId="18778EF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186,173</w:t>
            </w:r>
          </w:p>
        </w:tc>
        <w:tc>
          <w:tcPr>
            <w:tcW w:w="148" w:type="pct"/>
            <w:vAlign w:val="bottom"/>
          </w:tcPr>
          <w:p w14:paraId="3DB55F72" w14:textId="77777777" w:rsidR="00587444" w:rsidRPr="00587444" w:rsidRDefault="00587444" w:rsidP="00587444">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vAlign w:val="center"/>
          </w:tcPr>
          <w:p w14:paraId="721B629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hAnsi="Arial" w:cs="Arial"/>
                <w:color w:val="000000"/>
                <w:sz w:val="20"/>
                <w:szCs w:val="20"/>
                <w:lang w:val="hr-HR"/>
              </w:rPr>
              <w:t>187,082</w:t>
            </w:r>
          </w:p>
        </w:tc>
      </w:tr>
      <w:tr w:rsidR="00587444" w:rsidRPr="00587444" w14:paraId="388CB1B7" w14:textId="77777777" w:rsidTr="00DD69E7">
        <w:trPr>
          <w:trHeight w:val="297"/>
        </w:trPr>
        <w:tc>
          <w:tcPr>
            <w:tcW w:w="2656" w:type="pct"/>
            <w:vAlign w:val="bottom"/>
          </w:tcPr>
          <w:p w14:paraId="2CBDCBD6"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bookmarkStart w:id="329" w:name="_Toc4057428"/>
            <w:r w:rsidRPr="00587444">
              <w:rPr>
                <w:rFonts w:ascii="Arial" w:eastAsia="Calibri" w:hAnsi="Arial" w:cs="Arial"/>
                <w:sz w:val="20"/>
                <w:szCs w:val="20"/>
              </w:rPr>
              <w:t>Guarantee fund</w:t>
            </w:r>
            <w:bookmarkEnd w:id="329"/>
            <w:r w:rsidRPr="00587444">
              <w:rPr>
                <w:rFonts w:ascii="Arial" w:eastAsia="Calibri" w:hAnsi="Arial" w:cs="Arial"/>
                <w:sz w:val="20"/>
                <w:szCs w:val="20"/>
              </w:rPr>
              <w:t xml:space="preserve">  </w:t>
            </w:r>
          </w:p>
        </w:tc>
        <w:tc>
          <w:tcPr>
            <w:tcW w:w="595" w:type="pct"/>
            <w:vAlign w:val="bottom"/>
          </w:tcPr>
          <w:p w14:paraId="0841A45E" w14:textId="77777777" w:rsidR="00587444" w:rsidRPr="00587444" w:rsidRDefault="00587444" w:rsidP="00587444">
            <w:pPr>
              <w:tabs>
                <w:tab w:val="right" w:pos="1202"/>
              </w:tabs>
              <w:suppressAutoHyphens w:val="0"/>
              <w:autoSpaceDN/>
              <w:jc w:val="center"/>
              <w:outlineLvl w:val="0"/>
              <w:rPr>
                <w:rFonts w:ascii="Arial" w:hAnsi="Arial" w:cs="Arial"/>
                <w:sz w:val="20"/>
                <w:szCs w:val="20"/>
              </w:rPr>
            </w:pPr>
            <w:r w:rsidRPr="00587444">
              <w:rPr>
                <w:rFonts w:ascii="Arial" w:hAnsi="Arial" w:cs="Arial"/>
                <w:sz w:val="20"/>
                <w:szCs w:val="20"/>
              </w:rPr>
              <w:t>27</w:t>
            </w:r>
          </w:p>
        </w:tc>
        <w:tc>
          <w:tcPr>
            <w:tcW w:w="816" w:type="pct"/>
            <w:tcBorders>
              <w:top w:val="nil"/>
              <w:left w:val="nil"/>
              <w:bottom w:val="single" w:sz="4" w:space="0" w:color="auto"/>
              <w:right w:val="nil"/>
            </w:tcBorders>
            <w:shd w:val="clear" w:color="auto" w:fill="auto"/>
            <w:vAlign w:val="bottom"/>
          </w:tcPr>
          <w:p w14:paraId="594B528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12,337</w:t>
            </w:r>
          </w:p>
        </w:tc>
        <w:tc>
          <w:tcPr>
            <w:tcW w:w="148" w:type="pct"/>
            <w:vAlign w:val="bottom"/>
          </w:tcPr>
          <w:p w14:paraId="39AA27F0" w14:textId="77777777" w:rsidR="00587444" w:rsidRPr="00587444" w:rsidRDefault="00587444" w:rsidP="00587444">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single" w:sz="4" w:space="0" w:color="auto"/>
              <w:right w:val="nil"/>
            </w:tcBorders>
            <w:shd w:val="clear" w:color="auto" w:fill="auto"/>
            <w:vAlign w:val="center"/>
          </w:tcPr>
          <w:p w14:paraId="4FCAF7A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rPr>
            </w:pPr>
            <w:r w:rsidRPr="00587444">
              <w:rPr>
                <w:rFonts w:ascii="Arial" w:hAnsi="Arial" w:cs="Arial"/>
                <w:color w:val="000000"/>
                <w:sz w:val="20"/>
                <w:szCs w:val="20"/>
                <w:lang w:val="hr-HR"/>
              </w:rPr>
              <w:t>12,309</w:t>
            </w:r>
          </w:p>
        </w:tc>
      </w:tr>
      <w:tr w:rsidR="00587444" w:rsidRPr="00587444" w14:paraId="2A4FD584" w14:textId="77777777" w:rsidTr="00DD69E7">
        <w:trPr>
          <w:trHeight w:val="329"/>
        </w:trPr>
        <w:tc>
          <w:tcPr>
            <w:tcW w:w="2656" w:type="pct"/>
            <w:vAlign w:val="bottom"/>
          </w:tcPr>
          <w:p w14:paraId="088A9BB7" w14:textId="77777777" w:rsidR="00587444" w:rsidRPr="00587444" w:rsidRDefault="00587444" w:rsidP="00587444">
            <w:pPr>
              <w:tabs>
                <w:tab w:val="right" w:pos="1202"/>
              </w:tabs>
              <w:suppressAutoHyphens w:val="0"/>
              <w:autoSpaceDN/>
              <w:outlineLvl w:val="0"/>
              <w:rPr>
                <w:rFonts w:ascii="Arial" w:hAnsi="Arial" w:cs="Arial"/>
                <w:b/>
                <w:bCs/>
                <w:sz w:val="20"/>
                <w:szCs w:val="20"/>
              </w:rPr>
            </w:pPr>
            <w:bookmarkStart w:id="330" w:name="_Toc4057432"/>
            <w:r w:rsidRPr="00587444">
              <w:rPr>
                <w:rFonts w:ascii="Arial" w:eastAsia="Calibri" w:hAnsi="Arial" w:cs="Arial"/>
                <w:b/>
                <w:sz w:val="20"/>
                <w:szCs w:val="20"/>
              </w:rPr>
              <w:t>Total equity</w:t>
            </w:r>
            <w:bookmarkEnd w:id="330"/>
          </w:p>
        </w:tc>
        <w:tc>
          <w:tcPr>
            <w:tcW w:w="595" w:type="pct"/>
            <w:vAlign w:val="bottom"/>
          </w:tcPr>
          <w:p w14:paraId="488473FA" w14:textId="77777777" w:rsidR="00587444" w:rsidRPr="00587444" w:rsidRDefault="00587444" w:rsidP="00587444">
            <w:pPr>
              <w:tabs>
                <w:tab w:val="right" w:pos="1202"/>
              </w:tabs>
              <w:suppressAutoHyphens w:val="0"/>
              <w:autoSpaceDN/>
              <w:jc w:val="center"/>
              <w:outlineLvl w:val="0"/>
              <w:rPr>
                <w:rFonts w:ascii="Arial" w:hAnsi="Arial" w:cs="Arial"/>
                <w:b/>
                <w:bCs/>
                <w:sz w:val="20"/>
                <w:szCs w:val="20"/>
              </w:rPr>
            </w:pPr>
          </w:p>
        </w:tc>
        <w:tc>
          <w:tcPr>
            <w:tcW w:w="816" w:type="pct"/>
            <w:tcBorders>
              <w:top w:val="single" w:sz="4" w:space="0" w:color="auto"/>
              <w:left w:val="nil"/>
              <w:bottom w:val="single" w:sz="12" w:space="0" w:color="auto"/>
              <w:right w:val="nil"/>
            </w:tcBorders>
            <w:shd w:val="clear" w:color="auto" w:fill="auto"/>
            <w:vAlign w:val="bottom"/>
          </w:tcPr>
          <w:p w14:paraId="1C62160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10,710,600</w:t>
            </w:r>
          </w:p>
        </w:tc>
        <w:tc>
          <w:tcPr>
            <w:tcW w:w="148" w:type="pct"/>
            <w:tcBorders>
              <w:top w:val="single" w:sz="4" w:space="0" w:color="auto"/>
              <w:bottom w:val="single" w:sz="12" w:space="0" w:color="auto"/>
            </w:tcBorders>
            <w:vAlign w:val="bottom"/>
          </w:tcPr>
          <w:p w14:paraId="79F342E9" w14:textId="77777777" w:rsidR="00587444" w:rsidRPr="00587444" w:rsidRDefault="00587444" w:rsidP="00587444">
            <w:pPr>
              <w:tabs>
                <w:tab w:val="right" w:pos="1202"/>
              </w:tabs>
              <w:suppressAutoHyphens w:val="0"/>
              <w:autoSpaceDN/>
              <w:jc w:val="right"/>
              <w:outlineLvl w:val="0"/>
              <w:rPr>
                <w:rFonts w:ascii="Arial" w:hAnsi="Arial" w:cs="Arial"/>
                <w:b/>
                <w:bCs/>
                <w:sz w:val="20"/>
                <w:szCs w:val="20"/>
              </w:rPr>
            </w:pPr>
          </w:p>
        </w:tc>
        <w:tc>
          <w:tcPr>
            <w:tcW w:w="785" w:type="pct"/>
            <w:tcBorders>
              <w:top w:val="single" w:sz="4" w:space="0" w:color="auto"/>
              <w:left w:val="nil"/>
              <w:bottom w:val="single" w:sz="12" w:space="0" w:color="auto"/>
              <w:right w:val="nil"/>
            </w:tcBorders>
            <w:shd w:val="clear" w:color="auto" w:fill="auto"/>
            <w:vAlign w:val="center"/>
          </w:tcPr>
          <w:p w14:paraId="045ACBFA"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rPr>
            </w:pPr>
            <w:r w:rsidRPr="00587444">
              <w:rPr>
                <w:rFonts w:ascii="Arial" w:hAnsi="Arial" w:cs="Arial"/>
                <w:b/>
                <w:color w:val="000000"/>
                <w:sz w:val="20"/>
                <w:szCs w:val="20"/>
                <w:lang w:val="hr-HR"/>
              </w:rPr>
              <w:t>10,567,729</w:t>
            </w:r>
          </w:p>
        </w:tc>
      </w:tr>
      <w:tr w:rsidR="00587444" w:rsidRPr="00587444" w14:paraId="1244680B" w14:textId="77777777" w:rsidTr="00DD69E7">
        <w:trPr>
          <w:trHeight w:hRule="exact" w:val="337"/>
        </w:trPr>
        <w:tc>
          <w:tcPr>
            <w:tcW w:w="2656" w:type="pct"/>
            <w:vAlign w:val="bottom"/>
          </w:tcPr>
          <w:p w14:paraId="53BEFC6C" w14:textId="77777777" w:rsidR="00587444" w:rsidRPr="00587444" w:rsidRDefault="00587444" w:rsidP="00587444">
            <w:pPr>
              <w:tabs>
                <w:tab w:val="right" w:pos="1202"/>
              </w:tabs>
              <w:suppressAutoHyphens w:val="0"/>
              <w:autoSpaceDN/>
              <w:outlineLvl w:val="0"/>
              <w:rPr>
                <w:rFonts w:ascii="Arial" w:hAnsi="Arial" w:cs="Arial"/>
                <w:b/>
                <w:bCs/>
                <w:sz w:val="20"/>
                <w:szCs w:val="20"/>
              </w:rPr>
            </w:pPr>
            <w:bookmarkStart w:id="331" w:name="_Toc4057435"/>
            <w:r w:rsidRPr="00587444">
              <w:rPr>
                <w:rFonts w:ascii="Arial" w:eastAsia="Calibri" w:hAnsi="Arial" w:cs="Arial"/>
                <w:b/>
                <w:bCs/>
                <w:sz w:val="20"/>
                <w:szCs w:val="20"/>
              </w:rPr>
              <w:t>Total liabilities and total equity</w:t>
            </w:r>
            <w:bookmarkEnd w:id="331"/>
            <w:r w:rsidRPr="00587444">
              <w:rPr>
                <w:rFonts w:ascii="Arial" w:eastAsia="Calibri" w:hAnsi="Arial" w:cs="Arial"/>
                <w:b/>
                <w:bCs/>
                <w:sz w:val="20"/>
                <w:szCs w:val="20"/>
              </w:rPr>
              <w:t xml:space="preserve"> </w:t>
            </w:r>
          </w:p>
        </w:tc>
        <w:tc>
          <w:tcPr>
            <w:tcW w:w="595" w:type="pct"/>
            <w:vAlign w:val="bottom"/>
          </w:tcPr>
          <w:p w14:paraId="60E6A269" w14:textId="77777777" w:rsidR="00587444" w:rsidRPr="00587444" w:rsidRDefault="00587444" w:rsidP="00587444">
            <w:pPr>
              <w:tabs>
                <w:tab w:val="right" w:pos="1202"/>
              </w:tabs>
              <w:suppressAutoHyphens w:val="0"/>
              <w:autoSpaceDN/>
              <w:jc w:val="center"/>
              <w:outlineLvl w:val="0"/>
              <w:rPr>
                <w:rFonts w:ascii="Arial" w:hAnsi="Arial" w:cs="Arial"/>
                <w:b/>
                <w:bCs/>
                <w:sz w:val="20"/>
                <w:szCs w:val="20"/>
              </w:rPr>
            </w:pPr>
          </w:p>
        </w:tc>
        <w:tc>
          <w:tcPr>
            <w:tcW w:w="816" w:type="pct"/>
            <w:tcBorders>
              <w:top w:val="single" w:sz="12" w:space="0" w:color="auto"/>
              <w:left w:val="nil"/>
              <w:bottom w:val="single" w:sz="12" w:space="0" w:color="auto"/>
              <w:right w:val="nil"/>
            </w:tcBorders>
            <w:shd w:val="clear" w:color="auto" w:fill="auto"/>
            <w:vAlign w:val="bottom"/>
          </w:tcPr>
          <w:p w14:paraId="0AF1748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29,032,307</w:t>
            </w:r>
          </w:p>
        </w:tc>
        <w:tc>
          <w:tcPr>
            <w:tcW w:w="148" w:type="pct"/>
            <w:tcBorders>
              <w:top w:val="single" w:sz="12" w:space="0" w:color="auto"/>
              <w:bottom w:val="single" w:sz="12" w:space="0" w:color="auto"/>
            </w:tcBorders>
            <w:vAlign w:val="bottom"/>
          </w:tcPr>
          <w:p w14:paraId="6C114054" w14:textId="77777777" w:rsidR="00587444" w:rsidRPr="00587444" w:rsidRDefault="00587444" w:rsidP="00587444">
            <w:pPr>
              <w:tabs>
                <w:tab w:val="right" w:pos="1202"/>
              </w:tabs>
              <w:suppressAutoHyphens w:val="0"/>
              <w:autoSpaceDN/>
              <w:jc w:val="right"/>
              <w:outlineLvl w:val="0"/>
              <w:rPr>
                <w:rFonts w:ascii="Arial" w:hAnsi="Arial" w:cs="Arial"/>
                <w:b/>
                <w:bCs/>
                <w:sz w:val="20"/>
                <w:szCs w:val="20"/>
              </w:rPr>
            </w:pPr>
          </w:p>
        </w:tc>
        <w:tc>
          <w:tcPr>
            <w:tcW w:w="785" w:type="pct"/>
            <w:tcBorders>
              <w:top w:val="single" w:sz="12" w:space="0" w:color="auto"/>
              <w:left w:val="nil"/>
              <w:bottom w:val="single" w:sz="12" w:space="0" w:color="auto"/>
              <w:right w:val="nil"/>
            </w:tcBorders>
            <w:shd w:val="clear" w:color="auto" w:fill="auto"/>
            <w:vAlign w:val="bottom"/>
          </w:tcPr>
          <w:p w14:paraId="6CDDC11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sz w:val="20"/>
                <w:szCs w:val="20"/>
              </w:rPr>
            </w:pPr>
            <w:r w:rsidRPr="00587444">
              <w:rPr>
                <w:rFonts w:ascii="Arial" w:hAnsi="Arial" w:cs="Arial"/>
                <w:b/>
                <w:bCs/>
                <w:color w:val="000000"/>
                <w:sz w:val="20"/>
                <w:szCs w:val="20"/>
                <w:lang w:val="hr-HR"/>
              </w:rPr>
              <w:t>28,249,988</w:t>
            </w:r>
          </w:p>
        </w:tc>
      </w:tr>
    </w:tbl>
    <w:p w14:paraId="655830C1" w14:textId="77777777" w:rsidR="00587444" w:rsidRPr="00587444" w:rsidRDefault="00587444" w:rsidP="00587444">
      <w:pPr>
        <w:suppressAutoHyphens w:val="0"/>
        <w:autoSpaceDN/>
        <w:spacing w:before="120" w:after="120" w:line="360" w:lineRule="auto"/>
        <w:rPr>
          <w:rFonts w:ascii="Arial" w:hAnsi="Arial" w:cs="Arial"/>
          <w:sz w:val="20"/>
          <w:szCs w:val="20"/>
          <w:lang w:val="en-GB"/>
        </w:rPr>
      </w:pPr>
    </w:p>
    <w:p w14:paraId="03535640" w14:textId="77777777" w:rsidR="00587444" w:rsidRPr="00587444" w:rsidRDefault="00587444" w:rsidP="00587444">
      <w:pPr>
        <w:suppressAutoHyphens w:val="0"/>
        <w:autoSpaceDN/>
        <w:jc w:val="center"/>
        <w:rPr>
          <w:rFonts w:ascii="Arial" w:hAnsi="Arial" w:cs="Arial"/>
          <w:sz w:val="20"/>
          <w:szCs w:val="20"/>
          <w:lang w:val="en-GB"/>
        </w:rPr>
      </w:pPr>
    </w:p>
    <w:p w14:paraId="2F208B93" w14:textId="77777777" w:rsidR="00587444" w:rsidRPr="00587444" w:rsidRDefault="00587444" w:rsidP="00587444">
      <w:pPr>
        <w:suppressAutoHyphens w:val="0"/>
        <w:autoSpaceDN/>
        <w:rPr>
          <w:rFonts w:ascii="Arial" w:hAnsi="Arial" w:cs="Arial"/>
          <w:sz w:val="20"/>
          <w:szCs w:val="20"/>
          <w:lang w:val="en-GB"/>
        </w:rPr>
      </w:pPr>
    </w:p>
    <w:p w14:paraId="0E975455" w14:textId="77777777" w:rsidR="00587444" w:rsidRPr="00587444" w:rsidRDefault="00587444" w:rsidP="00587444">
      <w:pPr>
        <w:suppressAutoHyphens w:val="0"/>
        <w:autoSpaceDN/>
        <w:rPr>
          <w:rFonts w:ascii="Arial" w:hAnsi="Arial" w:cs="Arial"/>
          <w:sz w:val="20"/>
          <w:szCs w:val="20"/>
          <w:lang w:val="en-GB"/>
        </w:rPr>
      </w:pPr>
    </w:p>
    <w:p w14:paraId="5E8B07C2" w14:textId="77777777" w:rsidR="00587444" w:rsidRPr="00587444" w:rsidRDefault="00587444" w:rsidP="00587444">
      <w:pPr>
        <w:suppressAutoHyphens w:val="0"/>
        <w:autoSpaceDN/>
        <w:rPr>
          <w:rFonts w:ascii="Arial" w:hAnsi="Arial" w:cs="Arial"/>
          <w:color w:val="FF0000"/>
          <w:sz w:val="20"/>
          <w:szCs w:val="20"/>
          <w:highlight w:val="yellow"/>
          <w:lang w:val="en-GB"/>
        </w:rPr>
        <w:sectPr w:rsidR="00587444" w:rsidRPr="00587444" w:rsidSect="00DD69E7">
          <w:headerReference w:type="default" r:id="rId71"/>
          <w:footerReference w:type="default" r:id="rId72"/>
          <w:pgSz w:w="11907" w:h="16840" w:code="9"/>
          <w:pgMar w:top="1418" w:right="992" w:bottom="1134" w:left="1418" w:header="851" w:footer="851" w:gutter="0"/>
          <w:cols w:space="720"/>
          <w:noEndnote/>
        </w:sectPr>
      </w:pPr>
      <w:r w:rsidRPr="00587444">
        <w:rPr>
          <w:rFonts w:ascii="Arial" w:hAnsi="Arial" w:cs="Arial"/>
          <w:sz w:val="20"/>
          <w:szCs w:val="20"/>
          <w:lang w:val="en-GB"/>
        </w:rPr>
        <w:t>The accompanying accounting policies and notes are an integral part of these financial statements.</w:t>
      </w:r>
    </w:p>
    <w:tbl>
      <w:tblPr>
        <w:tblpPr w:leftFromText="180" w:rightFromText="180" w:vertAnchor="page" w:horzAnchor="margin" w:tblpY="2799"/>
        <w:tblW w:w="5161" w:type="pct"/>
        <w:tblLayout w:type="fixed"/>
        <w:tblCellMar>
          <w:left w:w="119" w:type="dxa"/>
          <w:right w:w="119" w:type="dxa"/>
        </w:tblCellMar>
        <w:tblLook w:val="0000" w:firstRow="0" w:lastRow="0" w:firstColumn="0" w:lastColumn="0" w:noHBand="0" w:noVBand="0"/>
      </w:tblPr>
      <w:tblGrid>
        <w:gridCol w:w="7556"/>
        <w:gridCol w:w="1246"/>
        <w:gridCol w:w="1246"/>
      </w:tblGrid>
      <w:tr w:rsidR="00587444" w:rsidRPr="00587444" w14:paraId="2DB04E90" w14:textId="77777777" w:rsidTr="00DD69E7">
        <w:trPr>
          <w:trHeight w:hRule="exact" w:val="227"/>
        </w:trPr>
        <w:tc>
          <w:tcPr>
            <w:tcW w:w="3760" w:type="pct"/>
          </w:tcPr>
          <w:p w14:paraId="16B5973D"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sz w:val="19"/>
                <w:szCs w:val="19"/>
              </w:rPr>
            </w:pPr>
          </w:p>
        </w:tc>
        <w:tc>
          <w:tcPr>
            <w:tcW w:w="620" w:type="pct"/>
            <w:shd w:val="clear" w:color="auto" w:fill="auto"/>
            <w:vAlign w:val="bottom"/>
          </w:tcPr>
          <w:p w14:paraId="4F77B901"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bCs/>
                <w:sz w:val="19"/>
                <w:szCs w:val="19"/>
              </w:rPr>
            </w:pPr>
            <w:r w:rsidRPr="00587444">
              <w:rPr>
                <w:rFonts w:ascii="Arial" w:eastAsia="Calibri" w:hAnsi="Arial" w:cs="Arial"/>
                <w:b/>
                <w:bCs/>
                <w:sz w:val="19"/>
                <w:szCs w:val="19"/>
              </w:rPr>
              <w:t>2022</w:t>
            </w:r>
          </w:p>
        </w:tc>
        <w:tc>
          <w:tcPr>
            <w:tcW w:w="620" w:type="pct"/>
            <w:vAlign w:val="bottom"/>
          </w:tcPr>
          <w:p w14:paraId="3F013DE5"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bCs/>
                <w:sz w:val="19"/>
                <w:szCs w:val="19"/>
              </w:rPr>
            </w:pPr>
            <w:bookmarkStart w:id="332" w:name="_Toc4057438"/>
            <w:r w:rsidRPr="00587444">
              <w:rPr>
                <w:rFonts w:ascii="Arial" w:eastAsia="Calibri" w:hAnsi="Arial" w:cs="Arial"/>
                <w:b/>
                <w:bCs/>
                <w:sz w:val="19"/>
                <w:szCs w:val="19"/>
              </w:rPr>
              <w:t>202</w:t>
            </w:r>
            <w:bookmarkEnd w:id="332"/>
            <w:r w:rsidRPr="00587444">
              <w:rPr>
                <w:rFonts w:ascii="Arial" w:eastAsia="Calibri" w:hAnsi="Arial" w:cs="Arial"/>
                <w:b/>
                <w:bCs/>
                <w:sz w:val="19"/>
                <w:szCs w:val="19"/>
              </w:rPr>
              <w:t>1</w:t>
            </w:r>
          </w:p>
        </w:tc>
      </w:tr>
      <w:tr w:rsidR="00587444" w:rsidRPr="00587444" w14:paraId="403AB74B" w14:textId="77777777" w:rsidTr="00DD69E7">
        <w:trPr>
          <w:trHeight w:hRule="exact" w:val="227"/>
        </w:trPr>
        <w:tc>
          <w:tcPr>
            <w:tcW w:w="3760" w:type="pct"/>
          </w:tcPr>
          <w:p w14:paraId="5FC2B204"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sz w:val="19"/>
                <w:szCs w:val="19"/>
              </w:rPr>
            </w:pPr>
            <w:bookmarkStart w:id="333" w:name="_Toc4057440"/>
            <w:r w:rsidRPr="00587444">
              <w:rPr>
                <w:rFonts w:ascii="Arial" w:eastAsia="Calibri" w:hAnsi="Arial" w:cs="Arial"/>
                <w:b/>
                <w:sz w:val="19"/>
                <w:szCs w:val="19"/>
              </w:rPr>
              <w:t>Notes</w:t>
            </w:r>
            <w:bookmarkEnd w:id="333"/>
          </w:p>
        </w:tc>
        <w:tc>
          <w:tcPr>
            <w:tcW w:w="620" w:type="pct"/>
            <w:shd w:val="clear" w:color="auto" w:fill="auto"/>
            <w:vAlign w:val="center"/>
          </w:tcPr>
          <w:p w14:paraId="4B343D23"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bCs/>
                <w:sz w:val="19"/>
                <w:szCs w:val="19"/>
              </w:rPr>
            </w:pPr>
            <w:bookmarkStart w:id="334" w:name="_Toc4057441"/>
            <w:r w:rsidRPr="00587444">
              <w:rPr>
                <w:rFonts w:ascii="Arial" w:hAnsi="Arial" w:cs="Arial"/>
                <w:b/>
                <w:sz w:val="19"/>
                <w:szCs w:val="19"/>
              </w:rPr>
              <w:t>HRK ‘000</w:t>
            </w:r>
            <w:bookmarkEnd w:id="334"/>
          </w:p>
        </w:tc>
        <w:tc>
          <w:tcPr>
            <w:tcW w:w="620" w:type="pct"/>
            <w:vAlign w:val="center"/>
          </w:tcPr>
          <w:p w14:paraId="2E1A40F5"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bCs/>
                <w:sz w:val="19"/>
                <w:szCs w:val="19"/>
              </w:rPr>
            </w:pPr>
            <w:bookmarkStart w:id="335" w:name="_Toc4057442"/>
            <w:r w:rsidRPr="00587444">
              <w:rPr>
                <w:rFonts w:ascii="Arial" w:hAnsi="Arial" w:cs="Arial"/>
                <w:b/>
                <w:sz w:val="19"/>
                <w:szCs w:val="19"/>
              </w:rPr>
              <w:t>HRK ‘000</w:t>
            </w:r>
            <w:bookmarkEnd w:id="335"/>
          </w:p>
        </w:tc>
      </w:tr>
      <w:tr w:rsidR="00587444" w:rsidRPr="00587444" w14:paraId="2D20D637" w14:textId="77777777" w:rsidTr="00DD69E7">
        <w:trPr>
          <w:trHeight w:hRule="exact" w:val="227"/>
        </w:trPr>
        <w:tc>
          <w:tcPr>
            <w:tcW w:w="3760" w:type="pct"/>
          </w:tcPr>
          <w:p w14:paraId="27968C3E" w14:textId="77777777" w:rsidR="00587444" w:rsidRPr="00587444" w:rsidRDefault="00587444" w:rsidP="00587444">
            <w:pPr>
              <w:keepLines/>
              <w:tabs>
                <w:tab w:val="right" w:pos="1202"/>
                <w:tab w:val="left" w:pos="4633"/>
              </w:tabs>
              <w:suppressAutoHyphens w:val="0"/>
              <w:autoSpaceDN/>
              <w:spacing w:line="240" w:lineRule="exact"/>
              <w:outlineLvl w:val="0"/>
              <w:rPr>
                <w:rFonts w:ascii="Arial" w:eastAsia="Calibri" w:hAnsi="Arial" w:cs="Arial"/>
                <w:b/>
                <w:bCs/>
                <w:spacing w:val="-3"/>
                <w:sz w:val="19"/>
                <w:szCs w:val="19"/>
              </w:rPr>
            </w:pPr>
            <w:bookmarkStart w:id="336" w:name="_Toc4057443"/>
            <w:r w:rsidRPr="00587444">
              <w:rPr>
                <w:rFonts w:ascii="Arial" w:eastAsia="Calibri" w:hAnsi="Arial" w:cs="Arial"/>
                <w:b/>
                <w:bCs/>
                <w:sz w:val="19"/>
                <w:szCs w:val="19"/>
              </w:rPr>
              <w:t>Operating activities</w:t>
            </w:r>
            <w:bookmarkEnd w:id="336"/>
            <w:r w:rsidRPr="00587444">
              <w:rPr>
                <w:rFonts w:ascii="Arial" w:eastAsia="Calibri" w:hAnsi="Arial" w:cs="Arial"/>
                <w:b/>
                <w:bCs/>
                <w:sz w:val="19"/>
                <w:szCs w:val="19"/>
              </w:rPr>
              <w:t xml:space="preserve"> </w:t>
            </w:r>
            <w:r w:rsidRPr="00587444">
              <w:rPr>
                <w:rFonts w:ascii="Arial" w:eastAsia="Calibri" w:hAnsi="Arial" w:cs="Arial"/>
                <w:b/>
                <w:bCs/>
                <w:sz w:val="19"/>
                <w:szCs w:val="19"/>
              </w:rPr>
              <w:tab/>
            </w:r>
          </w:p>
        </w:tc>
        <w:tc>
          <w:tcPr>
            <w:tcW w:w="620" w:type="pct"/>
            <w:shd w:val="clear" w:color="auto" w:fill="auto"/>
            <w:vAlign w:val="bottom"/>
          </w:tcPr>
          <w:p w14:paraId="558EF1C0"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sz w:val="19"/>
                <w:szCs w:val="19"/>
              </w:rPr>
            </w:pPr>
          </w:p>
        </w:tc>
        <w:tc>
          <w:tcPr>
            <w:tcW w:w="620" w:type="pct"/>
            <w:vAlign w:val="bottom"/>
          </w:tcPr>
          <w:p w14:paraId="67DD3AAC"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sz w:val="19"/>
                <w:szCs w:val="19"/>
              </w:rPr>
            </w:pPr>
          </w:p>
        </w:tc>
      </w:tr>
      <w:tr w:rsidR="00587444" w:rsidRPr="00587444" w14:paraId="42984335" w14:textId="77777777" w:rsidTr="00587444">
        <w:trPr>
          <w:trHeight w:hRule="exact" w:val="227"/>
        </w:trPr>
        <w:tc>
          <w:tcPr>
            <w:tcW w:w="3760" w:type="pct"/>
            <w:vAlign w:val="bottom"/>
          </w:tcPr>
          <w:p w14:paraId="5FC6CDE0"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pacing w:val="-3"/>
                <w:sz w:val="19"/>
                <w:szCs w:val="19"/>
              </w:rPr>
            </w:pPr>
            <w:bookmarkStart w:id="337" w:name="_Toc4057444"/>
            <w:r w:rsidRPr="00587444">
              <w:rPr>
                <w:rFonts w:ascii="Arial" w:eastAsia="Calibri" w:hAnsi="Arial" w:cs="Arial"/>
                <w:sz w:val="19"/>
                <w:szCs w:val="19"/>
              </w:rPr>
              <w:t>Profit before income tax</w:t>
            </w:r>
            <w:bookmarkEnd w:id="337"/>
          </w:p>
        </w:tc>
        <w:tc>
          <w:tcPr>
            <w:tcW w:w="620" w:type="pct"/>
            <w:shd w:val="clear" w:color="auto" w:fill="FFFFFF"/>
            <w:vAlign w:val="bottom"/>
          </w:tcPr>
          <w:p w14:paraId="68D4F8AB"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z w:val="19"/>
                <w:szCs w:val="19"/>
                <w:lang w:val="hr-HR"/>
              </w:rPr>
            </w:pPr>
            <w:r w:rsidRPr="00587444">
              <w:rPr>
                <w:rFonts w:ascii="Arial" w:hAnsi="Arial" w:cs="Arial"/>
                <w:color w:val="000000"/>
                <w:sz w:val="19"/>
                <w:szCs w:val="19"/>
                <w:lang w:val="hr-HR"/>
              </w:rPr>
              <w:t>186,173</w:t>
            </w:r>
          </w:p>
        </w:tc>
        <w:tc>
          <w:tcPr>
            <w:tcW w:w="620" w:type="pct"/>
            <w:shd w:val="clear" w:color="auto" w:fill="FFFFFF"/>
            <w:vAlign w:val="bottom"/>
          </w:tcPr>
          <w:p w14:paraId="4D54A059"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z w:val="19"/>
                <w:szCs w:val="19"/>
                <w:lang w:val="hr-HR"/>
              </w:rPr>
              <w:t>187,082</w:t>
            </w:r>
          </w:p>
        </w:tc>
      </w:tr>
      <w:tr w:rsidR="00587444" w:rsidRPr="00587444" w14:paraId="07BDEBCA" w14:textId="77777777" w:rsidTr="00587444">
        <w:trPr>
          <w:trHeight w:hRule="exact" w:val="227"/>
        </w:trPr>
        <w:tc>
          <w:tcPr>
            <w:tcW w:w="3760" w:type="pct"/>
            <w:vAlign w:val="bottom"/>
          </w:tcPr>
          <w:p w14:paraId="66573007"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i/>
                <w:sz w:val="19"/>
                <w:szCs w:val="19"/>
              </w:rPr>
            </w:pPr>
            <w:bookmarkStart w:id="338" w:name="_Toc4057447"/>
            <w:r w:rsidRPr="00587444">
              <w:rPr>
                <w:rFonts w:ascii="Arial" w:eastAsia="Calibri" w:hAnsi="Arial" w:cs="Arial"/>
                <w:i/>
                <w:sz w:val="19"/>
                <w:szCs w:val="19"/>
              </w:rPr>
              <w:t>Adjustments to reconcile to net cash from and used in operating activities:</w:t>
            </w:r>
            <w:bookmarkEnd w:id="338"/>
          </w:p>
        </w:tc>
        <w:tc>
          <w:tcPr>
            <w:tcW w:w="620" w:type="pct"/>
            <w:shd w:val="clear" w:color="auto" w:fill="FFFFFF"/>
            <w:vAlign w:val="bottom"/>
          </w:tcPr>
          <w:p w14:paraId="39DA6C56"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z w:val="19"/>
                <w:szCs w:val="19"/>
                <w:lang w:val="hr-HR"/>
              </w:rPr>
            </w:pPr>
          </w:p>
        </w:tc>
        <w:tc>
          <w:tcPr>
            <w:tcW w:w="620" w:type="pct"/>
            <w:shd w:val="clear" w:color="auto" w:fill="FFFFFF"/>
            <w:vAlign w:val="bottom"/>
          </w:tcPr>
          <w:p w14:paraId="0B7AF962"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p>
        </w:tc>
      </w:tr>
      <w:tr w:rsidR="00587444" w:rsidRPr="00587444" w14:paraId="0FFF0526" w14:textId="77777777" w:rsidTr="00587444">
        <w:trPr>
          <w:trHeight w:hRule="exact" w:val="227"/>
        </w:trPr>
        <w:tc>
          <w:tcPr>
            <w:tcW w:w="3760" w:type="pct"/>
            <w:vAlign w:val="bottom"/>
          </w:tcPr>
          <w:p w14:paraId="1C0B46ED"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pacing w:val="-3"/>
                <w:sz w:val="19"/>
                <w:szCs w:val="19"/>
              </w:rPr>
            </w:pPr>
            <w:bookmarkStart w:id="339" w:name="_Toc4057448"/>
            <w:r w:rsidRPr="00587444">
              <w:rPr>
                <w:rFonts w:ascii="Arial" w:eastAsia="Calibri" w:hAnsi="Arial" w:cs="Arial"/>
                <w:sz w:val="19"/>
                <w:szCs w:val="19"/>
              </w:rPr>
              <w:t>Depreciation</w:t>
            </w:r>
            <w:bookmarkEnd w:id="339"/>
            <w:r w:rsidRPr="00587444">
              <w:rPr>
                <w:rFonts w:ascii="Arial" w:eastAsia="Calibri" w:hAnsi="Arial" w:cs="Arial"/>
                <w:sz w:val="19"/>
                <w:szCs w:val="19"/>
              </w:rPr>
              <w:t xml:space="preserve"> and </w:t>
            </w:r>
            <w:proofErr w:type="spellStart"/>
            <w:r w:rsidRPr="00587444">
              <w:rPr>
                <w:rFonts w:ascii="Arial" w:eastAsia="Calibri" w:hAnsi="Arial" w:cs="Arial"/>
                <w:sz w:val="19"/>
                <w:szCs w:val="19"/>
              </w:rPr>
              <w:t>amortisation</w:t>
            </w:r>
            <w:proofErr w:type="spellEnd"/>
          </w:p>
        </w:tc>
        <w:tc>
          <w:tcPr>
            <w:tcW w:w="620" w:type="pct"/>
            <w:shd w:val="clear" w:color="auto" w:fill="FFFFFF"/>
            <w:vAlign w:val="bottom"/>
          </w:tcPr>
          <w:p w14:paraId="77ACC1D1"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z w:val="19"/>
                <w:szCs w:val="19"/>
                <w:lang w:val="hr-HR"/>
              </w:rPr>
            </w:pPr>
            <w:r w:rsidRPr="00587444">
              <w:rPr>
                <w:rFonts w:ascii="Arial" w:hAnsi="Arial" w:cs="Arial"/>
                <w:color w:val="000000"/>
                <w:sz w:val="19"/>
                <w:szCs w:val="19"/>
                <w:lang w:val="hr-HR"/>
              </w:rPr>
              <w:t>11,248</w:t>
            </w:r>
          </w:p>
        </w:tc>
        <w:tc>
          <w:tcPr>
            <w:tcW w:w="620" w:type="pct"/>
            <w:shd w:val="clear" w:color="auto" w:fill="FFFFFF"/>
            <w:vAlign w:val="bottom"/>
          </w:tcPr>
          <w:p w14:paraId="39947952"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z w:val="19"/>
                <w:szCs w:val="19"/>
                <w:lang w:val="hr-HR"/>
              </w:rPr>
              <w:t>10,990</w:t>
            </w:r>
          </w:p>
        </w:tc>
      </w:tr>
      <w:tr w:rsidR="00587444" w:rsidRPr="00587444" w14:paraId="13C57534" w14:textId="77777777" w:rsidTr="00DD69E7">
        <w:trPr>
          <w:trHeight w:hRule="exact" w:val="227"/>
        </w:trPr>
        <w:tc>
          <w:tcPr>
            <w:tcW w:w="3760" w:type="pct"/>
            <w:vAlign w:val="bottom"/>
          </w:tcPr>
          <w:p w14:paraId="45754BC9"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Cs/>
                <w:spacing w:val="-2"/>
                <w:sz w:val="19"/>
                <w:szCs w:val="19"/>
              </w:rPr>
            </w:pPr>
            <w:bookmarkStart w:id="340" w:name="_Toc4057451"/>
            <w:r w:rsidRPr="00587444">
              <w:rPr>
                <w:rFonts w:ascii="Arial" w:eastAsia="Calibri" w:hAnsi="Arial" w:cs="Arial"/>
                <w:bCs/>
                <w:spacing w:val="-2"/>
                <w:sz w:val="19"/>
                <w:szCs w:val="19"/>
              </w:rPr>
              <w:t>Impairment loss and provisions</w:t>
            </w:r>
            <w:bookmarkEnd w:id="340"/>
            <w:r w:rsidRPr="00587444">
              <w:rPr>
                <w:rFonts w:ascii="Arial" w:eastAsia="Calibri" w:hAnsi="Arial" w:cs="Arial"/>
                <w:bCs/>
                <w:spacing w:val="-2"/>
                <w:sz w:val="19"/>
                <w:szCs w:val="19"/>
              </w:rPr>
              <w:t xml:space="preserve"> </w:t>
            </w:r>
          </w:p>
        </w:tc>
        <w:tc>
          <w:tcPr>
            <w:tcW w:w="620" w:type="pct"/>
            <w:tcBorders>
              <w:top w:val="nil"/>
              <w:left w:val="nil"/>
              <w:bottom w:val="nil"/>
              <w:right w:val="nil"/>
            </w:tcBorders>
            <w:shd w:val="clear" w:color="auto" w:fill="auto"/>
            <w:vAlign w:val="bottom"/>
          </w:tcPr>
          <w:p w14:paraId="3FE934B6"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z w:val="19"/>
                <w:szCs w:val="19"/>
                <w:lang w:val="hr-HR"/>
              </w:rPr>
            </w:pPr>
            <w:r w:rsidRPr="00587444">
              <w:rPr>
                <w:rFonts w:ascii="Arial" w:hAnsi="Arial" w:cs="Arial"/>
                <w:color w:val="000000"/>
                <w:sz w:val="19"/>
                <w:szCs w:val="19"/>
                <w:lang w:val="hr-HR"/>
              </w:rPr>
              <w:t>144,434</w:t>
            </w:r>
          </w:p>
        </w:tc>
        <w:tc>
          <w:tcPr>
            <w:tcW w:w="620" w:type="pct"/>
            <w:tcBorders>
              <w:top w:val="nil"/>
              <w:left w:val="nil"/>
              <w:bottom w:val="nil"/>
              <w:right w:val="nil"/>
            </w:tcBorders>
            <w:shd w:val="clear" w:color="auto" w:fill="auto"/>
            <w:vAlign w:val="bottom"/>
          </w:tcPr>
          <w:p w14:paraId="70980A06"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z w:val="19"/>
                <w:szCs w:val="19"/>
                <w:lang w:val="hr-HR"/>
              </w:rPr>
              <w:t>163,004</w:t>
            </w:r>
          </w:p>
        </w:tc>
      </w:tr>
      <w:tr w:rsidR="00587444" w:rsidRPr="00587444" w14:paraId="0E2D0673" w14:textId="77777777" w:rsidTr="00DD69E7">
        <w:trPr>
          <w:trHeight w:hRule="exact" w:val="227"/>
        </w:trPr>
        <w:tc>
          <w:tcPr>
            <w:tcW w:w="3760" w:type="pct"/>
            <w:vAlign w:val="bottom"/>
          </w:tcPr>
          <w:p w14:paraId="192E0A75"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iCs/>
                <w:sz w:val="19"/>
                <w:szCs w:val="19"/>
              </w:rPr>
            </w:pPr>
            <w:bookmarkStart w:id="341" w:name="_Toc4057454"/>
            <w:r w:rsidRPr="00587444">
              <w:rPr>
                <w:rFonts w:ascii="Arial" w:eastAsia="Calibri" w:hAnsi="Arial" w:cs="Arial"/>
                <w:iCs/>
                <w:sz w:val="19"/>
                <w:szCs w:val="19"/>
              </w:rPr>
              <w:t>Accrued interest</w:t>
            </w:r>
            <w:bookmarkEnd w:id="341"/>
            <w:r w:rsidRPr="00587444">
              <w:rPr>
                <w:rFonts w:ascii="Arial" w:eastAsia="Calibri" w:hAnsi="Arial" w:cs="Arial"/>
                <w:iCs/>
                <w:sz w:val="19"/>
                <w:szCs w:val="19"/>
              </w:rPr>
              <w:t xml:space="preserve"> </w:t>
            </w:r>
          </w:p>
        </w:tc>
        <w:tc>
          <w:tcPr>
            <w:tcW w:w="620" w:type="pct"/>
            <w:tcBorders>
              <w:top w:val="nil"/>
              <w:left w:val="nil"/>
              <w:bottom w:val="nil"/>
              <w:right w:val="nil"/>
            </w:tcBorders>
            <w:shd w:val="clear" w:color="auto" w:fill="auto"/>
            <w:vAlign w:val="bottom"/>
          </w:tcPr>
          <w:p w14:paraId="1653F7AF"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z w:val="19"/>
                <w:szCs w:val="19"/>
                <w:lang w:val="hr-HR"/>
              </w:rPr>
            </w:pPr>
            <w:r w:rsidRPr="00587444">
              <w:rPr>
                <w:rFonts w:ascii="Arial" w:hAnsi="Arial" w:cs="Arial"/>
                <w:color w:val="000000"/>
                <w:sz w:val="19"/>
                <w:szCs w:val="19"/>
                <w:lang w:val="hr-HR"/>
              </w:rPr>
              <w:t>60,412</w:t>
            </w:r>
          </w:p>
        </w:tc>
        <w:tc>
          <w:tcPr>
            <w:tcW w:w="620" w:type="pct"/>
            <w:tcBorders>
              <w:top w:val="nil"/>
              <w:left w:val="nil"/>
              <w:bottom w:val="nil"/>
              <w:right w:val="nil"/>
            </w:tcBorders>
            <w:shd w:val="clear" w:color="auto" w:fill="auto"/>
            <w:vAlign w:val="bottom"/>
          </w:tcPr>
          <w:p w14:paraId="2E51AB80"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iCs/>
                <w:color w:val="000000"/>
                <w:sz w:val="19"/>
                <w:szCs w:val="19"/>
                <w:lang w:val="hr-HR"/>
              </w:rPr>
              <w:t>95,170</w:t>
            </w:r>
          </w:p>
        </w:tc>
      </w:tr>
      <w:tr w:rsidR="00587444" w:rsidRPr="00587444" w14:paraId="3E99DA7A" w14:textId="77777777" w:rsidTr="00DD69E7">
        <w:trPr>
          <w:trHeight w:hRule="exact" w:val="227"/>
        </w:trPr>
        <w:tc>
          <w:tcPr>
            <w:tcW w:w="3760" w:type="pct"/>
            <w:vAlign w:val="bottom"/>
          </w:tcPr>
          <w:p w14:paraId="705D1F0C"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i/>
                <w:iCs/>
                <w:sz w:val="19"/>
                <w:szCs w:val="19"/>
              </w:rPr>
            </w:pPr>
            <w:bookmarkStart w:id="342" w:name="_Toc4057457"/>
            <w:r w:rsidRPr="00587444">
              <w:rPr>
                <w:rFonts w:ascii="Arial" w:eastAsia="Calibri" w:hAnsi="Arial" w:cs="Arial"/>
                <w:iCs/>
                <w:sz w:val="19"/>
                <w:szCs w:val="19"/>
              </w:rPr>
              <w:t>Deferred fees</w:t>
            </w:r>
            <w:bookmarkEnd w:id="342"/>
            <w:r w:rsidRPr="00587444">
              <w:rPr>
                <w:rFonts w:ascii="Arial" w:eastAsia="Calibri" w:hAnsi="Arial" w:cs="Arial"/>
                <w:iCs/>
                <w:sz w:val="19"/>
                <w:szCs w:val="19"/>
              </w:rPr>
              <w:t xml:space="preserve"> </w:t>
            </w:r>
          </w:p>
        </w:tc>
        <w:tc>
          <w:tcPr>
            <w:tcW w:w="620" w:type="pct"/>
            <w:tcBorders>
              <w:top w:val="nil"/>
              <w:left w:val="nil"/>
              <w:bottom w:val="nil"/>
              <w:right w:val="nil"/>
            </w:tcBorders>
            <w:shd w:val="clear" w:color="auto" w:fill="auto"/>
            <w:vAlign w:val="bottom"/>
          </w:tcPr>
          <w:p w14:paraId="3F7D152F"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z w:val="19"/>
                <w:szCs w:val="19"/>
                <w:lang w:val="hr-HR"/>
              </w:rPr>
            </w:pPr>
            <w:r w:rsidRPr="00587444">
              <w:rPr>
                <w:rFonts w:ascii="Arial" w:hAnsi="Arial" w:cs="Arial"/>
                <w:color w:val="000000"/>
                <w:sz w:val="19"/>
                <w:szCs w:val="19"/>
                <w:lang w:val="hr-HR"/>
              </w:rPr>
              <w:t>(13,252)</w:t>
            </w:r>
          </w:p>
        </w:tc>
        <w:tc>
          <w:tcPr>
            <w:tcW w:w="620" w:type="pct"/>
            <w:tcBorders>
              <w:top w:val="nil"/>
              <w:left w:val="nil"/>
              <w:bottom w:val="nil"/>
              <w:right w:val="nil"/>
            </w:tcBorders>
            <w:shd w:val="clear" w:color="auto" w:fill="auto"/>
            <w:vAlign w:val="bottom"/>
          </w:tcPr>
          <w:p w14:paraId="3CA26F6F"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z w:val="19"/>
                <w:szCs w:val="19"/>
                <w:lang w:val="hr-HR"/>
              </w:rPr>
              <w:t>(9,782)</w:t>
            </w:r>
          </w:p>
        </w:tc>
      </w:tr>
      <w:tr w:rsidR="00587444" w:rsidRPr="00587444" w14:paraId="715F5EC7" w14:textId="77777777" w:rsidTr="00DD69E7">
        <w:trPr>
          <w:trHeight w:hRule="exact" w:val="227"/>
        </w:trPr>
        <w:tc>
          <w:tcPr>
            <w:tcW w:w="3760" w:type="pct"/>
            <w:vAlign w:val="bottom"/>
          </w:tcPr>
          <w:p w14:paraId="2F5F5C67" w14:textId="77777777" w:rsidR="00587444" w:rsidRPr="00587444" w:rsidRDefault="00587444" w:rsidP="00587444">
            <w:pPr>
              <w:suppressAutoHyphens w:val="0"/>
              <w:autoSpaceDN/>
              <w:rPr>
                <w:rFonts w:ascii="Arial" w:eastAsia="Calibri" w:hAnsi="Arial" w:cs="Arial"/>
                <w:sz w:val="19"/>
                <w:szCs w:val="19"/>
              </w:rPr>
            </w:pPr>
            <w:r w:rsidRPr="00587444">
              <w:rPr>
                <w:rFonts w:ascii="Arial" w:eastAsia="Calibri" w:hAnsi="Arial" w:cs="Arial"/>
                <w:color w:val="000000"/>
                <w:sz w:val="19"/>
                <w:szCs w:val="19"/>
              </w:rPr>
              <w:t>Net (loss)/gains from trading with derivative financial instruments</w:t>
            </w:r>
          </w:p>
        </w:tc>
        <w:tc>
          <w:tcPr>
            <w:tcW w:w="620" w:type="pct"/>
            <w:tcBorders>
              <w:top w:val="nil"/>
              <w:left w:val="nil"/>
              <w:bottom w:val="nil"/>
              <w:right w:val="nil"/>
            </w:tcBorders>
            <w:shd w:val="clear" w:color="auto" w:fill="auto"/>
            <w:vAlign w:val="bottom"/>
          </w:tcPr>
          <w:p w14:paraId="7868AC56"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z w:val="19"/>
                <w:szCs w:val="19"/>
                <w:lang w:val="hr-HR"/>
              </w:rPr>
            </w:pPr>
            <w:r w:rsidRPr="00587444">
              <w:rPr>
                <w:rFonts w:ascii="Arial" w:hAnsi="Arial" w:cs="Arial"/>
                <w:color w:val="000000"/>
                <w:sz w:val="19"/>
                <w:szCs w:val="19"/>
                <w:lang w:val="hr-HR"/>
              </w:rPr>
              <w:t>(5,304)</w:t>
            </w:r>
          </w:p>
        </w:tc>
        <w:tc>
          <w:tcPr>
            <w:tcW w:w="620" w:type="pct"/>
            <w:tcBorders>
              <w:top w:val="nil"/>
              <w:left w:val="nil"/>
              <w:bottom w:val="nil"/>
              <w:right w:val="nil"/>
            </w:tcBorders>
            <w:shd w:val="clear" w:color="auto" w:fill="auto"/>
            <w:vAlign w:val="bottom"/>
          </w:tcPr>
          <w:p w14:paraId="62A86609"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z w:val="19"/>
                <w:szCs w:val="19"/>
                <w:lang w:val="hr-HR"/>
              </w:rPr>
            </w:pPr>
            <w:r w:rsidRPr="00587444">
              <w:rPr>
                <w:rFonts w:ascii="Arial" w:hAnsi="Arial" w:cs="Arial"/>
                <w:color w:val="000000"/>
                <w:sz w:val="19"/>
                <w:szCs w:val="19"/>
                <w:lang w:val="hr-HR"/>
              </w:rPr>
              <w:t>5,115</w:t>
            </w:r>
          </w:p>
        </w:tc>
      </w:tr>
      <w:tr w:rsidR="00587444" w:rsidRPr="00587444" w14:paraId="71279454" w14:textId="77777777" w:rsidTr="00DD69E7">
        <w:trPr>
          <w:trHeight w:hRule="exact" w:val="227"/>
        </w:trPr>
        <w:tc>
          <w:tcPr>
            <w:tcW w:w="3760" w:type="pct"/>
            <w:vAlign w:val="bottom"/>
          </w:tcPr>
          <w:p w14:paraId="72C3EDA1" w14:textId="77777777" w:rsidR="00587444" w:rsidRPr="00587444" w:rsidRDefault="00587444" w:rsidP="00587444">
            <w:pPr>
              <w:suppressAutoHyphens w:val="0"/>
              <w:autoSpaceDN/>
              <w:rPr>
                <w:rFonts w:ascii="Arial" w:eastAsia="Calibri" w:hAnsi="Arial" w:cs="Arial"/>
                <w:sz w:val="19"/>
                <w:szCs w:val="19"/>
              </w:rPr>
            </w:pPr>
            <w:r w:rsidRPr="00587444">
              <w:rPr>
                <w:rFonts w:ascii="Arial" w:eastAsia="Calibri" w:hAnsi="Arial" w:cs="Arial"/>
                <w:sz w:val="19"/>
                <w:szCs w:val="19"/>
              </w:rPr>
              <w:t>Other changes in assets at fair value</w:t>
            </w:r>
          </w:p>
        </w:tc>
        <w:tc>
          <w:tcPr>
            <w:tcW w:w="620" w:type="pct"/>
            <w:tcBorders>
              <w:top w:val="nil"/>
              <w:left w:val="nil"/>
              <w:bottom w:val="nil"/>
              <w:right w:val="nil"/>
            </w:tcBorders>
            <w:shd w:val="clear" w:color="auto" w:fill="auto"/>
            <w:vAlign w:val="bottom"/>
          </w:tcPr>
          <w:p w14:paraId="618024B5"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z w:val="19"/>
                <w:szCs w:val="19"/>
                <w:lang w:val="hr-HR"/>
              </w:rPr>
            </w:pPr>
            <w:r w:rsidRPr="00587444">
              <w:rPr>
                <w:rFonts w:ascii="Arial" w:hAnsi="Arial" w:cs="Arial"/>
                <w:color w:val="000000"/>
                <w:sz w:val="19"/>
                <w:szCs w:val="19"/>
                <w:lang w:val="hr-HR"/>
              </w:rPr>
              <w:t>3,053</w:t>
            </w:r>
          </w:p>
        </w:tc>
        <w:tc>
          <w:tcPr>
            <w:tcW w:w="620" w:type="pct"/>
            <w:tcBorders>
              <w:top w:val="nil"/>
              <w:left w:val="nil"/>
              <w:bottom w:val="nil"/>
              <w:right w:val="nil"/>
            </w:tcBorders>
            <w:shd w:val="clear" w:color="auto" w:fill="auto"/>
            <w:vAlign w:val="bottom"/>
          </w:tcPr>
          <w:p w14:paraId="0C0D3143"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z w:val="19"/>
                <w:szCs w:val="19"/>
                <w:lang w:val="hr-HR"/>
              </w:rPr>
              <w:t>(39,134)</w:t>
            </w:r>
          </w:p>
        </w:tc>
      </w:tr>
      <w:tr w:rsidR="00587444" w:rsidRPr="00587444" w14:paraId="7D27FC14" w14:textId="77777777" w:rsidTr="00DD69E7">
        <w:trPr>
          <w:trHeight w:hRule="exact" w:val="227"/>
        </w:trPr>
        <w:tc>
          <w:tcPr>
            <w:tcW w:w="3760" w:type="pct"/>
            <w:vAlign w:val="bottom"/>
          </w:tcPr>
          <w:p w14:paraId="1672552D"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i/>
                <w:iCs/>
                <w:sz w:val="19"/>
                <w:szCs w:val="19"/>
              </w:rPr>
            </w:pPr>
            <w:bookmarkStart w:id="343" w:name="_Toc4057462"/>
            <w:r w:rsidRPr="00587444">
              <w:rPr>
                <w:rFonts w:ascii="Arial" w:eastAsia="Calibri" w:hAnsi="Arial" w:cs="Arial"/>
                <w:i/>
                <w:iCs/>
                <w:sz w:val="19"/>
                <w:szCs w:val="19"/>
              </w:rPr>
              <w:t>Operating profit/(loss) before working capital changes</w:t>
            </w:r>
            <w:bookmarkEnd w:id="343"/>
          </w:p>
        </w:tc>
        <w:tc>
          <w:tcPr>
            <w:tcW w:w="620" w:type="pct"/>
            <w:shd w:val="clear" w:color="000000" w:fill="FFFFFF"/>
            <w:vAlign w:val="bottom"/>
          </w:tcPr>
          <w:p w14:paraId="3B3A6029"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i/>
                <w:iCs/>
                <w:color w:val="000000"/>
                <w:sz w:val="19"/>
                <w:szCs w:val="19"/>
                <w:lang w:val="hr-HR"/>
              </w:rPr>
            </w:pPr>
            <w:r w:rsidRPr="00587444">
              <w:rPr>
                <w:rFonts w:ascii="Arial" w:hAnsi="Arial" w:cs="Arial"/>
                <w:i/>
                <w:iCs/>
                <w:color w:val="000000"/>
                <w:sz w:val="19"/>
                <w:szCs w:val="19"/>
                <w:lang w:val="hr-HR"/>
              </w:rPr>
              <w:t>386,764</w:t>
            </w:r>
          </w:p>
        </w:tc>
        <w:tc>
          <w:tcPr>
            <w:tcW w:w="620" w:type="pct"/>
            <w:shd w:val="clear" w:color="000000" w:fill="FFFFFF"/>
            <w:vAlign w:val="bottom"/>
          </w:tcPr>
          <w:p w14:paraId="4987E34E"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i/>
                <w:sz w:val="19"/>
                <w:szCs w:val="19"/>
              </w:rPr>
            </w:pPr>
            <w:r w:rsidRPr="00587444">
              <w:rPr>
                <w:rFonts w:ascii="Arial" w:hAnsi="Arial" w:cs="Arial"/>
                <w:i/>
                <w:color w:val="000000"/>
                <w:sz w:val="19"/>
                <w:szCs w:val="19"/>
                <w:lang w:val="hr-HR"/>
              </w:rPr>
              <w:t>412,445</w:t>
            </w:r>
          </w:p>
        </w:tc>
      </w:tr>
      <w:tr w:rsidR="00587444" w:rsidRPr="00587444" w14:paraId="746A1520" w14:textId="77777777" w:rsidTr="00587444">
        <w:trPr>
          <w:trHeight w:hRule="exact" w:val="227"/>
        </w:trPr>
        <w:tc>
          <w:tcPr>
            <w:tcW w:w="3760" w:type="pct"/>
            <w:vAlign w:val="bottom"/>
          </w:tcPr>
          <w:p w14:paraId="01FE75D1"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i/>
                <w:iCs/>
                <w:sz w:val="19"/>
                <w:szCs w:val="19"/>
              </w:rPr>
            </w:pPr>
            <w:bookmarkStart w:id="344" w:name="_Toc4057465"/>
            <w:r w:rsidRPr="00587444">
              <w:rPr>
                <w:rFonts w:ascii="Arial" w:eastAsia="Calibri" w:hAnsi="Arial" w:cs="Arial"/>
                <w:i/>
                <w:iCs/>
                <w:sz w:val="19"/>
                <w:szCs w:val="19"/>
              </w:rPr>
              <w:t>Changes in operating assets and liabilities:</w:t>
            </w:r>
            <w:bookmarkEnd w:id="344"/>
          </w:p>
        </w:tc>
        <w:tc>
          <w:tcPr>
            <w:tcW w:w="620" w:type="pct"/>
            <w:tcBorders>
              <w:top w:val="nil"/>
              <w:left w:val="nil"/>
              <w:bottom w:val="nil"/>
              <w:right w:val="nil"/>
            </w:tcBorders>
            <w:shd w:val="clear" w:color="auto" w:fill="FFFFFF"/>
            <w:vAlign w:val="bottom"/>
          </w:tcPr>
          <w:p w14:paraId="19FA91CB"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z w:val="19"/>
                <w:szCs w:val="19"/>
                <w:lang w:val="hr-HR"/>
              </w:rPr>
            </w:pPr>
          </w:p>
        </w:tc>
        <w:tc>
          <w:tcPr>
            <w:tcW w:w="620" w:type="pct"/>
            <w:tcBorders>
              <w:top w:val="nil"/>
              <w:left w:val="nil"/>
              <w:bottom w:val="nil"/>
              <w:right w:val="nil"/>
            </w:tcBorders>
            <w:shd w:val="clear" w:color="auto" w:fill="FFFFFF"/>
            <w:vAlign w:val="bottom"/>
          </w:tcPr>
          <w:p w14:paraId="3CB7DB6F"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p>
        </w:tc>
      </w:tr>
      <w:tr w:rsidR="00587444" w:rsidRPr="00587444" w14:paraId="1F7BA01B" w14:textId="77777777" w:rsidTr="00DD69E7">
        <w:trPr>
          <w:trHeight w:hRule="exact" w:val="227"/>
        </w:trPr>
        <w:tc>
          <w:tcPr>
            <w:tcW w:w="3760" w:type="pct"/>
            <w:vAlign w:val="bottom"/>
          </w:tcPr>
          <w:p w14:paraId="24B96ABB"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z w:val="19"/>
                <w:szCs w:val="19"/>
              </w:rPr>
            </w:pPr>
            <w:bookmarkStart w:id="345" w:name="_Toc4057466"/>
            <w:r w:rsidRPr="00587444">
              <w:rPr>
                <w:rFonts w:ascii="Arial" w:eastAsia="Calibri" w:hAnsi="Arial" w:cs="Arial"/>
                <w:sz w:val="19"/>
                <w:szCs w:val="19"/>
              </w:rPr>
              <w:t>Net (increase) in deposits with other banks, before impairment</w:t>
            </w:r>
            <w:bookmarkEnd w:id="345"/>
          </w:p>
        </w:tc>
        <w:tc>
          <w:tcPr>
            <w:tcW w:w="620" w:type="pct"/>
            <w:tcBorders>
              <w:top w:val="nil"/>
              <w:left w:val="nil"/>
              <w:bottom w:val="nil"/>
              <w:right w:val="nil"/>
            </w:tcBorders>
            <w:shd w:val="clear" w:color="auto" w:fill="auto"/>
            <w:vAlign w:val="bottom"/>
          </w:tcPr>
          <w:p w14:paraId="78405661"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z w:val="19"/>
                <w:szCs w:val="19"/>
                <w:lang w:val="hr-HR"/>
              </w:rPr>
            </w:pPr>
            <w:r w:rsidRPr="00587444">
              <w:rPr>
                <w:rFonts w:ascii="Arial" w:hAnsi="Arial" w:cs="Arial"/>
                <w:color w:val="000000"/>
                <w:sz w:val="19"/>
                <w:szCs w:val="19"/>
                <w:lang w:val="hr-HR"/>
              </w:rPr>
              <w:t>(3,094)</w:t>
            </w:r>
          </w:p>
        </w:tc>
        <w:tc>
          <w:tcPr>
            <w:tcW w:w="620" w:type="pct"/>
            <w:tcBorders>
              <w:top w:val="nil"/>
              <w:left w:val="nil"/>
              <w:bottom w:val="nil"/>
              <w:right w:val="nil"/>
            </w:tcBorders>
            <w:shd w:val="clear" w:color="auto" w:fill="auto"/>
            <w:vAlign w:val="bottom"/>
          </w:tcPr>
          <w:p w14:paraId="573ECE42"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pacing w:val="-3"/>
                <w:sz w:val="19"/>
                <w:szCs w:val="19"/>
                <w:lang w:val="hr-HR"/>
              </w:rPr>
              <w:t>(220)</w:t>
            </w:r>
          </w:p>
        </w:tc>
      </w:tr>
      <w:tr w:rsidR="00587444" w:rsidRPr="00587444" w14:paraId="465B0BD8" w14:textId="77777777" w:rsidTr="00DD69E7">
        <w:trPr>
          <w:trHeight w:hRule="exact" w:val="227"/>
        </w:trPr>
        <w:tc>
          <w:tcPr>
            <w:tcW w:w="3760" w:type="pct"/>
            <w:vAlign w:val="bottom"/>
          </w:tcPr>
          <w:p w14:paraId="64B9F563"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z w:val="19"/>
                <w:szCs w:val="19"/>
              </w:rPr>
            </w:pPr>
            <w:bookmarkStart w:id="346" w:name="_Toc4057469"/>
            <w:r w:rsidRPr="00587444">
              <w:rPr>
                <w:rFonts w:ascii="Arial" w:eastAsia="Calibri" w:hAnsi="Arial" w:cs="Arial"/>
                <w:sz w:val="19"/>
                <w:szCs w:val="19"/>
              </w:rPr>
              <w:t>Net decrease in loans to financial institutions, before impairment</w:t>
            </w:r>
            <w:bookmarkEnd w:id="346"/>
          </w:p>
        </w:tc>
        <w:tc>
          <w:tcPr>
            <w:tcW w:w="620" w:type="pct"/>
            <w:tcBorders>
              <w:top w:val="nil"/>
              <w:left w:val="nil"/>
              <w:bottom w:val="nil"/>
              <w:right w:val="nil"/>
            </w:tcBorders>
            <w:shd w:val="clear" w:color="auto" w:fill="auto"/>
            <w:vAlign w:val="bottom"/>
          </w:tcPr>
          <w:p w14:paraId="4D07BF0A"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z w:val="19"/>
                <w:szCs w:val="19"/>
                <w:lang w:val="hr-HR"/>
              </w:rPr>
            </w:pPr>
            <w:r w:rsidRPr="00587444">
              <w:rPr>
                <w:rFonts w:ascii="Arial" w:hAnsi="Arial" w:cs="Arial"/>
                <w:color w:val="000000"/>
                <w:sz w:val="19"/>
                <w:szCs w:val="19"/>
                <w:lang w:val="hr-HR"/>
              </w:rPr>
              <w:t>69,870</w:t>
            </w:r>
          </w:p>
        </w:tc>
        <w:tc>
          <w:tcPr>
            <w:tcW w:w="620" w:type="pct"/>
            <w:tcBorders>
              <w:top w:val="nil"/>
              <w:left w:val="nil"/>
              <w:bottom w:val="nil"/>
              <w:right w:val="nil"/>
            </w:tcBorders>
            <w:shd w:val="clear" w:color="auto" w:fill="auto"/>
            <w:vAlign w:val="bottom"/>
          </w:tcPr>
          <w:p w14:paraId="3D38C7F0"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pacing w:val="-3"/>
                <w:sz w:val="19"/>
                <w:szCs w:val="19"/>
                <w:lang w:val="hr-HR"/>
              </w:rPr>
              <w:t>1,816,385</w:t>
            </w:r>
          </w:p>
        </w:tc>
      </w:tr>
      <w:tr w:rsidR="00587444" w:rsidRPr="00587444" w14:paraId="4DA749B6" w14:textId="77777777" w:rsidTr="00DD69E7">
        <w:trPr>
          <w:trHeight w:hRule="exact" w:val="227"/>
        </w:trPr>
        <w:tc>
          <w:tcPr>
            <w:tcW w:w="3760" w:type="pct"/>
            <w:vAlign w:val="bottom"/>
          </w:tcPr>
          <w:p w14:paraId="2DE22627"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z w:val="19"/>
                <w:szCs w:val="19"/>
              </w:rPr>
            </w:pPr>
            <w:bookmarkStart w:id="347" w:name="_Toc4057472"/>
            <w:r w:rsidRPr="00587444">
              <w:rPr>
                <w:rFonts w:ascii="Arial" w:eastAsia="Calibri" w:hAnsi="Arial" w:cs="Arial"/>
                <w:sz w:val="19"/>
                <w:szCs w:val="19"/>
              </w:rPr>
              <w:t>Net (increase) in loans to other customers, before impairment</w:t>
            </w:r>
            <w:bookmarkEnd w:id="347"/>
            <w:r w:rsidRPr="00587444">
              <w:rPr>
                <w:rFonts w:ascii="Arial" w:eastAsia="Calibri" w:hAnsi="Arial" w:cs="Arial"/>
                <w:sz w:val="19"/>
                <w:szCs w:val="19"/>
              </w:rPr>
              <w:t xml:space="preserve"> </w:t>
            </w:r>
          </w:p>
        </w:tc>
        <w:tc>
          <w:tcPr>
            <w:tcW w:w="620" w:type="pct"/>
            <w:tcBorders>
              <w:top w:val="nil"/>
              <w:left w:val="nil"/>
              <w:bottom w:val="nil"/>
              <w:right w:val="nil"/>
            </w:tcBorders>
            <w:shd w:val="clear" w:color="auto" w:fill="auto"/>
            <w:vAlign w:val="bottom"/>
          </w:tcPr>
          <w:p w14:paraId="57DE60FC"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z w:val="19"/>
                <w:szCs w:val="19"/>
                <w:lang w:val="hr-HR"/>
              </w:rPr>
            </w:pPr>
            <w:r w:rsidRPr="00587444">
              <w:rPr>
                <w:rFonts w:ascii="Arial" w:hAnsi="Arial" w:cs="Arial"/>
                <w:color w:val="000000"/>
                <w:sz w:val="19"/>
                <w:szCs w:val="19"/>
                <w:lang w:val="hr-HR"/>
              </w:rPr>
              <w:t>(1,745,027)</w:t>
            </w:r>
          </w:p>
        </w:tc>
        <w:tc>
          <w:tcPr>
            <w:tcW w:w="620" w:type="pct"/>
            <w:tcBorders>
              <w:top w:val="nil"/>
              <w:left w:val="nil"/>
              <w:bottom w:val="nil"/>
              <w:right w:val="nil"/>
            </w:tcBorders>
            <w:shd w:val="clear" w:color="auto" w:fill="auto"/>
            <w:vAlign w:val="bottom"/>
          </w:tcPr>
          <w:p w14:paraId="093B93F1"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z w:val="19"/>
                <w:szCs w:val="19"/>
                <w:lang w:val="hr-HR"/>
              </w:rPr>
              <w:t>(1,336,094)</w:t>
            </w:r>
          </w:p>
        </w:tc>
      </w:tr>
      <w:tr w:rsidR="00587444" w:rsidRPr="00587444" w14:paraId="160A6880" w14:textId="77777777" w:rsidTr="00587444">
        <w:trPr>
          <w:trHeight w:hRule="exact" w:val="227"/>
        </w:trPr>
        <w:tc>
          <w:tcPr>
            <w:tcW w:w="3760" w:type="pct"/>
            <w:vAlign w:val="bottom"/>
          </w:tcPr>
          <w:p w14:paraId="25C397B2"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z w:val="19"/>
                <w:szCs w:val="19"/>
              </w:rPr>
            </w:pPr>
            <w:bookmarkStart w:id="348" w:name="_Toc4057478"/>
            <w:r w:rsidRPr="00587444">
              <w:rPr>
                <w:rFonts w:ascii="Arial" w:eastAsia="Calibri" w:hAnsi="Arial" w:cs="Arial"/>
                <w:sz w:val="19"/>
                <w:szCs w:val="19"/>
              </w:rPr>
              <w:t>Net</w:t>
            </w:r>
            <w:r w:rsidRPr="00587444">
              <w:rPr>
                <w:rFonts w:ascii="Arial" w:hAnsi="Arial" w:cs="Arial"/>
                <w:sz w:val="19"/>
                <w:szCs w:val="19"/>
              </w:rPr>
              <w:t xml:space="preserve"> </w:t>
            </w:r>
            <w:r w:rsidRPr="00587444">
              <w:rPr>
                <w:rFonts w:ascii="Arial" w:eastAsia="Calibri" w:hAnsi="Arial" w:cs="Arial"/>
                <w:sz w:val="19"/>
                <w:szCs w:val="19"/>
              </w:rPr>
              <w:t xml:space="preserve">(increase)/decrease in </w:t>
            </w:r>
            <w:bookmarkEnd w:id="348"/>
            <w:r w:rsidRPr="00587444">
              <w:rPr>
                <w:rFonts w:ascii="Arial" w:eastAsia="Calibri" w:hAnsi="Arial" w:cs="Arial"/>
                <w:sz w:val="19"/>
                <w:szCs w:val="19"/>
              </w:rPr>
              <w:t>foreclosed assets</w:t>
            </w:r>
          </w:p>
        </w:tc>
        <w:tc>
          <w:tcPr>
            <w:tcW w:w="620" w:type="pct"/>
            <w:tcBorders>
              <w:right w:val="nil"/>
            </w:tcBorders>
            <w:shd w:val="clear" w:color="auto" w:fill="FFFFFF"/>
            <w:vAlign w:val="bottom"/>
          </w:tcPr>
          <w:p w14:paraId="5B9F5391"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z w:val="19"/>
                <w:szCs w:val="19"/>
                <w:lang w:val="hr-HR"/>
              </w:rPr>
            </w:pPr>
            <w:r w:rsidRPr="00587444">
              <w:rPr>
                <w:rFonts w:ascii="Arial" w:hAnsi="Arial" w:cs="Arial"/>
                <w:color w:val="000000"/>
                <w:sz w:val="19"/>
                <w:szCs w:val="19"/>
                <w:lang w:val="hr-HR"/>
              </w:rPr>
              <w:t>(5,578)</w:t>
            </w:r>
          </w:p>
        </w:tc>
        <w:tc>
          <w:tcPr>
            <w:tcW w:w="620" w:type="pct"/>
            <w:tcBorders>
              <w:right w:val="nil"/>
            </w:tcBorders>
            <w:shd w:val="clear" w:color="auto" w:fill="FFFFFF"/>
            <w:vAlign w:val="bottom"/>
          </w:tcPr>
          <w:p w14:paraId="0A55BB98"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z w:val="19"/>
                <w:szCs w:val="19"/>
                <w:lang w:val="hr-HR"/>
              </w:rPr>
              <w:t>3,103</w:t>
            </w:r>
          </w:p>
        </w:tc>
      </w:tr>
      <w:tr w:rsidR="00587444" w:rsidRPr="00587444" w14:paraId="248DC11E" w14:textId="77777777" w:rsidTr="00587444">
        <w:trPr>
          <w:trHeight w:hRule="exact" w:val="227"/>
        </w:trPr>
        <w:tc>
          <w:tcPr>
            <w:tcW w:w="3760" w:type="pct"/>
            <w:vAlign w:val="bottom"/>
          </w:tcPr>
          <w:p w14:paraId="2857A568"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z w:val="19"/>
                <w:szCs w:val="19"/>
              </w:rPr>
            </w:pPr>
            <w:bookmarkStart w:id="349" w:name="_Toc4057481"/>
            <w:r w:rsidRPr="00587444">
              <w:rPr>
                <w:rFonts w:ascii="Arial" w:eastAsia="Calibri" w:hAnsi="Arial" w:cs="Arial"/>
                <w:sz w:val="19"/>
                <w:szCs w:val="19"/>
              </w:rPr>
              <w:t>Net</w:t>
            </w:r>
            <w:r w:rsidRPr="00587444">
              <w:rPr>
                <w:sz w:val="19"/>
                <w:szCs w:val="19"/>
              </w:rPr>
              <w:t xml:space="preserve"> </w:t>
            </w:r>
            <w:r w:rsidRPr="00587444">
              <w:rPr>
                <w:rFonts w:ascii="Arial" w:eastAsia="Calibri" w:hAnsi="Arial" w:cs="Arial"/>
                <w:sz w:val="19"/>
                <w:szCs w:val="19"/>
              </w:rPr>
              <w:t>decrease/(increase) in other assets, before impairment</w:t>
            </w:r>
            <w:bookmarkEnd w:id="349"/>
            <w:r w:rsidRPr="00587444">
              <w:rPr>
                <w:rFonts w:ascii="Arial" w:eastAsia="Calibri" w:hAnsi="Arial" w:cs="Arial"/>
                <w:sz w:val="19"/>
                <w:szCs w:val="19"/>
              </w:rPr>
              <w:t xml:space="preserve"> </w:t>
            </w:r>
          </w:p>
        </w:tc>
        <w:tc>
          <w:tcPr>
            <w:tcW w:w="620" w:type="pct"/>
            <w:shd w:val="clear" w:color="auto" w:fill="FFFFFF"/>
            <w:vAlign w:val="bottom"/>
          </w:tcPr>
          <w:p w14:paraId="45715562"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z w:val="19"/>
                <w:szCs w:val="19"/>
                <w:lang w:val="hr-HR"/>
              </w:rPr>
            </w:pPr>
            <w:r w:rsidRPr="00587444">
              <w:rPr>
                <w:rFonts w:ascii="Arial" w:hAnsi="Arial" w:cs="Arial"/>
                <w:color w:val="000000"/>
                <w:sz w:val="19"/>
                <w:szCs w:val="19"/>
                <w:lang w:val="hr-HR"/>
              </w:rPr>
              <w:t>636</w:t>
            </w:r>
          </w:p>
        </w:tc>
        <w:tc>
          <w:tcPr>
            <w:tcW w:w="620" w:type="pct"/>
            <w:shd w:val="clear" w:color="auto" w:fill="FFFFFF"/>
            <w:vAlign w:val="bottom"/>
          </w:tcPr>
          <w:p w14:paraId="27E558D6"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z w:val="19"/>
                <w:szCs w:val="19"/>
                <w:lang w:val="hr-HR"/>
              </w:rPr>
              <w:t>(5,021)</w:t>
            </w:r>
          </w:p>
        </w:tc>
      </w:tr>
      <w:tr w:rsidR="00587444" w:rsidRPr="00587444" w14:paraId="5ADBF079" w14:textId="77777777" w:rsidTr="00587444">
        <w:trPr>
          <w:trHeight w:hRule="exact" w:val="227"/>
        </w:trPr>
        <w:tc>
          <w:tcPr>
            <w:tcW w:w="3760" w:type="pct"/>
            <w:vAlign w:val="bottom"/>
          </w:tcPr>
          <w:p w14:paraId="6D36584A"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z w:val="19"/>
                <w:szCs w:val="19"/>
              </w:rPr>
            </w:pPr>
            <w:bookmarkStart w:id="350" w:name="_Toc4057484"/>
            <w:r w:rsidRPr="00587444">
              <w:rPr>
                <w:rFonts w:ascii="Arial" w:eastAsia="Calibri" w:hAnsi="Arial" w:cs="Arial"/>
                <w:sz w:val="19"/>
                <w:szCs w:val="19"/>
              </w:rPr>
              <w:t>Net increase/(decrease) in deposits from banks and companies</w:t>
            </w:r>
            <w:bookmarkEnd w:id="350"/>
            <w:r w:rsidRPr="00587444">
              <w:rPr>
                <w:rFonts w:ascii="Arial" w:eastAsia="Calibri" w:hAnsi="Arial" w:cs="Arial"/>
                <w:sz w:val="19"/>
                <w:szCs w:val="19"/>
              </w:rPr>
              <w:t xml:space="preserve"> </w:t>
            </w:r>
          </w:p>
        </w:tc>
        <w:tc>
          <w:tcPr>
            <w:tcW w:w="620" w:type="pct"/>
            <w:shd w:val="clear" w:color="000000" w:fill="FFFFFF"/>
            <w:vAlign w:val="bottom"/>
          </w:tcPr>
          <w:p w14:paraId="58E5F828"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z w:val="19"/>
                <w:szCs w:val="19"/>
                <w:lang w:val="hr-HR"/>
              </w:rPr>
            </w:pPr>
            <w:r w:rsidRPr="00587444">
              <w:rPr>
                <w:rFonts w:ascii="Arial" w:hAnsi="Arial" w:cs="Arial"/>
                <w:color w:val="000000"/>
                <w:sz w:val="19"/>
                <w:szCs w:val="19"/>
                <w:lang w:val="hr-HR"/>
              </w:rPr>
              <w:t>63,988</w:t>
            </w:r>
          </w:p>
        </w:tc>
        <w:tc>
          <w:tcPr>
            <w:tcW w:w="620" w:type="pct"/>
            <w:shd w:val="clear" w:color="000000" w:fill="FFFFFF"/>
            <w:vAlign w:val="bottom"/>
          </w:tcPr>
          <w:p w14:paraId="096DF851"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z w:val="19"/>
                <w:szCs w:val="19"/>
                <w:lang w:val="hr-HR"/>
              </w:rPr>
              <w:t>(13,852)</w:t>
            </w:r>
          </w:p>
        </w:tc>
      </w:tr>
      <w:tr w:rsidR="00587444" w:rsidRPr="00587444" w14:paraId="4E92F509" w14:textId="77777777" w:rsidTr="00587444">
        <w:trPr>
          <w:trHeight w:hRule="exact" w:val="227"/>
        </w:trPr>
        <w:tc>
          <w:tcPr>
            <w:tcW w:w="3760" w:type="pct"/>
            <w:vAlign w:val="bottom"/>
          </w:tcPr>
          <w:p w14:paraId="42A542E0"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pacing w:val="-2"/>
                <w:sz w:val="19"/>
                <w:szCs w:val="19"/>
              </w:rPr>
            </w:pPr>
            <w:bookmarkStart w:id="351" w:name="_Toc4057487"/>
            <w:r w:rsidRPr="00587444">
              <w:rPr>
                <w:rFonts w:ascii="Arial" w:eastAsia="Calibri" w:hAnsi="Arial" w:cs="Arial"/>
                <w:spacing w:val="-2"/>
                <w:sz w:val="19"/>
                <w:szCs w:val="19"/>
              </w:rPr>
              <w:t>Net increase in other liabilities, before provisions</w:t>
            </w:r>
            <w:bookmarkEnd w:id="351"/>
            <w:r w:rsidRPr="00587444">
              <w:rPr>
                <w:rFonts w:ascii="Arial" w:eastAsia="Calibri" w:hAnsi="Arial" w:cs="Arial"/>
                <w:spacing w:val="-2"/>
                <w:sz w:val="19"/>
                <w:szCs w:val="19"/>
              </w:rPr>
              <w:t xml:space="preserve"> </w:t>
            </w:r>
          </w:p>
        </w:tc>
        <w:tc>
          <w:tcPr>
            <w:tcW w:w="620" w:type="pct"/>
            <w:tcBorders>
              <w:bottom w:val="single" w:sz="4" w:space="0" w:color="auto"/>
            </w:tcBorders>
            <w:shd w:val="clear" w:color="000000" w:fill="FFFFFF"/>
            <w:vAlign w:val="bottom"/>
          </w:tcPr>
          <w:p w14:paraId="59035AF3" w14:textId="77777777" w:rsidR="00587444" w:rsidRPr="00D53A27" w:rsidRDefault="00587444" w:rsidP="00587444">
            <w:pPr>
              <w:keepLines/>
              <w:tabs>
                <w:tab w:val="right" w:pos="1202"/>
              </w:tabs>
              <w:suppressAutoHyphens w:val="0"/>
              <w:autoSpaceDN/>
              <w:spacing w:line="240" w:lineRule="exact"/>
              <w:jc w:val="right"/>
              <w:outlineLvl w:val="0"/>
              <w:rPr>
                <w:rFonts w:ascii="Arial" w:hAnsi="Arial" w:cs="Arial"/>
                <w:color w:val="000000"/>
                <w:sz w:val="19"/>
                <w:szCs w:val="19"/>
                <w:lang w:val="hr-HR"/>
              </w:rPr>
            </w:pPr>
            <w:r w:rsidRPr="00D53A27">
              <w:rPr>
                <w:rFonts w:ascii="Arial" w:hAnsi="Arial" w:cs="Arial"/>
                <w:color w:val="000000"/>
                <w:sz w:val="19"/>
                <w:szCs w:val="19"/>
                <w:lang w:val="hr-HR"/>
              </w:rPr>
              <w:t>236,955</w:t>
            </w:r>
          </w:p>
        </w:tc>
        <w:tc>
          <w:tcPr>
            <w:tcW w:w="620" w:type="pct"/>
            <w:tcBorders>
              <w:bottom w:val="single" w:sz="4" w:space="0" w:color="auto"/>
            </w:tcBorders>
            <w:shd w:val="clear" w:color="000000" w:fill="FFFFFF"/>
            <w:vAlign w:val="bottom"/>
          </w:tcPr>
          <w:p w14:paraId="70C4F25E"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z w:val="19"/>
                <w:szCs w:val="19"/>
                <w:lang w:val="hr-HR"/>
              </w:rPr>
              <w:t>36,566</w:t>
            </w:r>
          </w:p>
        </w:tc>
      </w:tr>
      <w:tr w:rsidR="00587444" w:rsidRPr="00587444" w14:paraId="2AE28533" w14:textId="77777777" w:rsidTr="00DD69E7">
        <w:trPr>
          <w:trHeight w:hRule="exact" w:val="284"/>
        </w:trPr>
        <w:tc>
          <w:tcPr>
            <w:tcW w:w="3760" w:type="pct"/>
            <w:vAlign w:val="center"/>
          </w:tcPr>
          <w:p w14:paraId="76CF41E4"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b/>
                <w:bCs/>
                <w:spacing w:val="-3"/>
                <w:sz w:val="19"/>
                <w:szCs w:val="19"/>
              </w:rPr>
            </w:pPr>
            <w:bookmarkStart w:id="352" w:name="_Toc4057490"/>
            <w:r w:rsidRPr="00587444">
              <w:rPr>
                <w:rFonts w:ascii="Arial" w:eastAsia="Calibri" w:hAnsi="Arial" w:cs="Arial"/>
                <w:b/>
                <w:bCs/>
                <w:sz w:val="19"/>
                <w:szCs w:val="19"/>
              </w:rPr>
              <w:t>Net cash (used in)/provided from operating activities</w:t>
            </w:r>
            <w:bookmarkEnd w:id="352"/>
            <w:r w:rsidRPr="00587444">
              <w:rPr>
                <w:rFonts w:ascii="Arial" w:eastAsia="Calibri" w:hAnsi="Arial" w:cs="Arial"/>
                <w:b/>
                <w:bCs/>
                <w:sz w:val="19"/>
                <w:szCs w:val="19"/>
              </w:rPr>
              <w:t xml:space="preserve"> </w:t>
            </w:r>
          </w:p>
        </w:tc>
        <w:tc>
          <w:tcPr>
            <w:tcW w:w="620" w:type="pct"/>
            <w:tcBorders>
              <w:top w:val="single" w:sz="4" w:space="0" w:color="auto"/>
              <w:bottom w:val="single" w:sz="12" w:space="0" w:color="auto"/>
            </w:tcBorders>
            <w:shd w:val="clear" w:color="auto" w:fill="auto"/>
            <w:vAlign w:val="bottom"/>
          </w:tcPr>
          <w:p w14:paraId="081FD00D"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b/>
                <w:bCs/>
                <w:color w:val="000000"/>
                <w:sz w:val="19"/>
                <w:szCs w:val="19"/>
                <w:lang w:val="hr-HR"/>
              </w:rPr>
            </w:pPr>
            <w:r w:rsidRPr="00587444">
              <w:rPr>
                <w:rFonts w:ascii="Arial" w:hAnsi="Arial" w:cs="Arial"/>
                <w:b/>
                <w:bCs/>
                <w:color w:val="000000"/>
                <w:sz w:val="19"/>
                <w:szCs w:val="19"/>
                <w:lang w:val="hr-HR"/>
              </w:rPr>
              <w:t>(995,486)</w:t>
            </w:r>
          </w:p>
        </w:tc>
        <w:tc>
          <w:tcPr>
            <w:tcW w:w="620" w:type="pct"/>
            <w:tcBorders>
              <w:top w:val="single" w:sz="4" w:space="0" w:color="auto"/>
              <w:bottom w:val="single" w:sz="12" w:space="0" w:color="auto"/>
            </w:tcBorders>
            <w:shd w:val="clear" w:color="auto" w:fill="auto"/>
            <w:vAlign w:val="bottom"/>
          </w:tcPr>
          <w:p w14:paraId="477D3EE4" w14:textId="77777777" w:rsidR="00587444" w:rsidRPr="00587444" w:rsidRDefault="00587444" w:rsidP="00587444">
            <w:pPr>
              <w:suppressAutoHyphens w:val="0"/>
              <w:autoSpaceDN/>
              <w:spacing w:line="240" w:lineRule="exact"/>
              <w:jc w:val="right"/>
              <w:rPr>
                <w:rFonts w:ascii="Arial" w:eastAsia="Calibri" w:hAnsi="Arial" w:cs="Arial"/>
                <w:b/>
                <w:bCs/>
                <w:spacing w:val="-2"/>
                <w:sz w:val="19"/>
                <w:szCs w:val="19"/>
              </w:rPr>
            </w:pPr>
            <w:r w:rsidRPr="00587444">
              <w:rPr>
                <w:rFonts w:ascii="Arial" w:hAnsi="Arial" w:cs="Arial"/>
                <w:b/>
                <w:color w:val="000000"/>
                <w:spacing w:val="-2"/>
                <w:sz w:val="19"/>
                <w:szCs w:val="19"/>
                <w:lang w:val="hr-HR"/>
              </w:rPr>
              <w:t>913,312</w:t>
            </w:r>
          </w:p>
        </w:tc>
      </w:tr>
      <w:tr w:rsidR="00587444" w:rsidRPr="00587444" w14:paraId="1814E75F" w14:textId="77777777" w:rsidTr="00DD69E7">
        <w:trPr>
          <w:trHeight w:hRule="exact" w:val="82"/>
        </w:trPr>
        <w:tc>
          <w:tcPr>
            <w:tcW w:w="3760" w:type="pct"/>
            <w:vAlign w:val="bottom"/>
          </w:tcPr>
          <w:p w14:paraId="4F1CBD3C" w14:textId="77777777" w:rsidR="00587444" w:rsidRPr="00587444" w:rsidRDefault="00587444" w:rsidP="00587444">
            <w:pPr>
              <w:keepLines/>
              <w:tabs>
                <w:tab w:val="decimal" w:pos="1202"/>
              </w:tabs>
              <w:suppressAutoHyphens w:val="0"/>
              <w:autoSpaceDN/>
              <w:spacing w:line="240" w:lineRule="exact"/>
              <w:rPr>
                <w:rFonts w:ascii="Arial" w:eastAsia="Calibri" w:hAnsi="Arial" w:cs="Arial"/>
                <w:b/>
                <w:position w:val="4"/>
                <w:sz w:val="19"/>
                <w:szCs w:val="19"/>
                <w:u w:val="thick"/>
              </w:rPr>
            </w:pPr>
          </w:p>
        </w:tc>
        <w:tc>
          <w:tcPr>
            <w:tcW w:w="620" w:type="pct"/>
            <w:tcBorders>
              <w:top w:val="single" w:sz="12" w:space="0" w:color="auto"/>
            </w:tcBorders>
            <w:shd w:val="clear" w:color="auto" w:fill="auto"/>
            <w:vAlign w:val="bottom"/>
          </w:tcPr>
          <w:p w14:paraId="1C947A1F" w14:textId="77777777" w:rsidR="00587444" w:rsidRPr="00587444" w:rsidRDefault="00587444" w:rsidP="00587444">
            <w:pPr>
              <w:keepLines/>
              <w:suppressAutoHyphens w:val="0"/>
              <w:autoSpaceDN/>
              <w:spacing w:line="240" w:lineRule="exact"/>
              <w:jc w:val="right"/>
              <w:rPr>
                <w:rFonts w:ascii="Arial" w:eastAsia="Calibri" w:hAnsi="Arial" w:cs="Arial"/>
                <w:b/>
                <w:position w:val="4"/>
                <w:sz w:val="19"/>
                <w:szCs w:val="19"/>
                <w:u w:val="thick"/>
              </w:rPr>
            </w:pPr>
          </w:p>
        </w:tc>
        <w:tc>
          <w:tcPr>
            <w:tcW w:w="620" w:type="pct"/>
            <w:tcBorders>
              <w:top w:val="single" w:sz="12" w:space="0" w:color="auto"/>
            </w:tcBorders>
            <w:shd w:val="clear" w:color="auto" w:fill="auto"/>
            <w:vAlign w:val="bottom"/>
          </w:tcPr>
          <w:p w14:paraId="071DAA24" w14:textId="77777777" w:rsidR="00587444" w:rsidRPr="00587444" w:rsidRDefault="00587444" w:rsidP="00587444">
            <w:pPr>
              <w:keepLines/>
              <w:suppressAutoHyphens w:val="0"/>
              <w:autoSpaceDN/>
              <w:spacing w:line="240" w:lineRule="exact"/>
              <w:jc w:val="right"/>
              <w:rPr>
                <w:rFonts w:ascii="Arial" w:eastAsia="Calibri" w:hAnsi="Arial" w:cs="Arial"/>
                <w:b/>
                <w:position w:val="4"/>
                <w:sz w:val="19"/>
                <w:szCs w:val="19"/>
                <w:u w:val="thick"/>
              </w:rPr>
            </w:pPr>
          </w:p>
        </w:tc>
      </w:tr>
      <w:tr w:rsidR="00587444" w:rsidRPr="00587444" w14:paraId="0379BABB" w14:textId="77777777" w:rsidTr="00DD69E7">
        <w:trPr>
          <w:trHeight w:hRule="exact" w:val="227"/>
        </w:trPr>
        <w:tc>
          <w:tcPr>
            <w:tcW w:w="3760" w:type="pct"/>
          </w:tcPr>
          <w:p w14:paraId="74FCD524"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b/>
                <w:bCs/>
                <w:sz w:val="19"/>
                <w:szCs w:val="19"/>
              </w:rPr>
            </w:pPr>
            <w:bookmarkStart w:id="353" w:name="_Toc4057491"/>
            <w:r w:rsidRPr="00587444">
              <w:rPr>
                <w:rFonts w:ascii="Arial" w:eastAsia="Calibri" w:hAnsi="Arial" w:cs="Arial"/>
                <w:b/>
                <w:bCs/>
                <w:sz w:val="19"/>
                <w:szCs w:val="19"/>
              </w:rPr>
              <w:t>Investment activities</w:t>
            </w:r>
            <w:bookmarkEnd w:id="353"/>
            <w:r w:rsidRPr="00587444">
              <w:rPr>
                <w:rFonts w:ascii="Arial" w:eastAsia="Calibri" w:hAnsi="Arial" w:cs="Arial"/>
                <w:b/>
                <w:bCs/>
                <w:sz w:val="19"/>
                <w:szCs w:val="19"/>
              </w:rPr>
              <w:t xml:space="preserve"> </w:t>
            </w:r>
          </w:p>
        </w:tc>
        <w:tc>
          <w:tcPr>
            <w:tcW w:w="620" w:type="pct"/>
            <w:shd w:val="clear" w:color="auto" w:fill="auto"/>
            <w:vAlign w:val="bottom"/>
          </w:tcPr>
          <w:p w14:paraId="2289B7AC"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bCs/>
                <w:sz w:val="19"/>
                <w:szCs w:val="19"/>
              </w:rPr>
            </w:pPr>
          </w:p>
        </w:tc>
        <w:tc>
          <w:tcPr>
            <w:tcW w:w="620" w:type="pct"/>
            <w:shd w:val="clear" w:color="auto" w:fill="auto"/>
            <w:vAlign w:val="bottom"/>
          </w:tcPr>
          <w:p w14:paraId="1858030D"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bCs/>
                <w:sz w:val="19"/>
                <w:szCs w:val="19"/>
              </w:rPr>
            </w:pPr>
          </w:p>
        </w:tc>
      </w:tr>
      <w:tr w:rsidR="00587444" w:rsidRPr="00587444" w14:paraId="1EFB8729" w14:textId="77777777" w:rsidTr="00DD69E7">
        <w:trPr>
          <w:trHeight w:hRule="exact" w:val="227"/>
        </w:trPr>
        <w:tc>
          <w:tcPr>
            <w:tcW w:w="3760" w:type="pct"/>
            <w:vAlign w:val="center"/>
          </w:tcPr>
          <w:p w14:paraId="6FFD4377"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z w:val="19"/>
                <w:szCs w:val="19"/>
              </w:rPr>
            </w:pPr>
            <w:bookmarkStart w:id="354" w:name="_Toc4057499"/>
            <w:r w:rsidRPr="00587444">
              <w:rPr>
                <w:rFonts w:ascii="Arial" w:eastAsia="Calibri" w:hAnsi="Arial" w:cs="Arial"/>
                <w:sz w:val="19"/>
                <w:szCs w:val="19"/>
              </w:rPr>
              <w:t>Purchase of financial assets at fair value through profit or loss income</w:t>
            </w:r>
            <w:bookmarkEnd w:id="354"/>
          </w:p>
        </w:tc>
        <w:tc>
          <w:tcPr>
            <w:tcW w:w="620" w:type="pct"/>
            <w:tcBorders>
              <w:top w:val="nil"/>
              <w:left w:val="nil"/>
              <w:bottom w:val="nil"/>
              <w:right w:val="nil"/>
            </w:tcBorders>
            <w:shd w:val="clear" w:color="000000" w:fill="auto"/>
            <w:vAlign w:val="bottom"/>
          </w:tcPr>
          <w:p w14:paraId="62121A86"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pacing w:val="-2"/>
                <w:sz w:val="19"/>
                <w:szCs w:val="19"/>
                <w:lang w:val="hr-HR"/>
              </w:rPr>
            </w:pPr>
            <w:r w:rsidRPr="00587444">
              <w:rPr>
                <w:rFonts w:ascii="Arial" w:hAnsi="Arial" w:cs="Arial"/>
                <w:color w:val="000000"/>
                <w:spacing w:val="-2"/>
                <w:sz w:val="19"/>
                <w:szCs w:val="19"/>
                <w:lang w:val="hr-HR"/>
              </w:rPr>
              <w:t xml:space="preserve"> (52,821)</w:t>
            </w:r>
          </w:p>
        </w:tc>
        <w:tc>
          <w:tcPr>
            <w:tcW w:w="620" w:type="pct"/>
            <w:tcBorders>
              <w:top w:val="nil"/>
              <w:left w:val="nil"/>
              <w:bottom w:val="nil"/>
              <w:right w:val="nil"/>
            </w:tcBorders>
            <w:shd w:val="clear" w:color="000000" w:fill="auto"/>
            <w:vAlign w:val="bottom"/>
          </w:tcPr>
          <w:p w14:paraId="6B906EE7"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pacing w:val="-2"/>
                <w:sz w:val="19"/>
                <w:szCs w:val="19"/>
                <w:lang w:val="hr-HR"/>
              </w:rPr>
              <w:t>(50,408)</w:t>
            </w:r>
          </w:p>
        </w:tc>
      </w:tr>
      <w:tr w:rsidR="00587444" w:rsidRPr="00587444" w14:paraId="2B97CAA7" w14:textId="77777777" w:rsidTr="00DD69E7">
        <w:trPr>
          <w:trHeight w:hRule="exact" w:val="227"/>
        </w:trPr>
        <w:tc>
          <w:tcPr>
            <w:tcW w:w="3760" w:type="pct"/>
            <w:vAlign w:val="center"/>
          </w:tcPr>
          <w:p w14:paraId="327CF175"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z w:val="19"/>
                <w:szCs w:val="19"/>
              </w:rPr>
            </w:pPr>
            <w:bookmarkStart w:id="355" w:name="_Toc4057497"/>
            <w:r w:rsidRPr="00587444">
              <w:rPr>
                <w:rFonts w:ascii="Arial" w:eastAsia="Calibri" w:hAnsi="Arial" w:cs="Arial"/>
                <w:sz w:val="19"/>
                <w:szCs w:val="19"/>
              </w:rPr>
              <w:t>Sale of financial assets at fair value through profit or loss</w:t>
            </w:r>
            <w:bookmarkEnd w:id="355"/>
          </w:p>
        </w:tc>
        <w:tc>
          <w:tcPr>
            <w:tcW w:w="620" w:type="pct"/>
            <w:tcBorders>
              <w:top w:val="nil"/>
              <w:left w:val="nil"/>
              <w:bottom w:val="nil"/>
              <w:right w:val="nil"/>
            </w:tcBorders>
            <w:shd w:val="clear" w:color="000000" w:fill="auto"/>
            <w:vAlign w:val="bottom"/>
          </w:tcPr>
          <w:p w14:paraId="7E47ECDE"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pacing w:val="-2"/>
                <w:sz w:val="19"/>
                <w:szCs w:val="19"/>
                <w:lang w:val="hr-HR"/>
              </w:rPr>
            </w:pPr>
            <w:r w:rsidRPr="00587444">
              <w:rPr>
                <w:rFonts w:ascii="Arial" w:hAnsi="Arial" w:cs="Arial"/>
                <w:color w:val="000000"/>
                <w:spacing w:val="-2"/>
                <w:sz w:val="19"/>
                <w:szCs w:val="19"/>
                <w:lang w:val="hr-HR"/>
              </w:rPr>
              <w:t xml:space="preserve"> 156,513 </w:t>
            </w:r>
          </w:p>
        </w:tc>
        <w:tc>
          <w:tcPr>
            <w:tcW w:w="620" w:type="pct"/>
            <w:tcBorders>
              <w:top w:val="nil"/>
              <w:left w:val="nil"/>
              <w:bottom w:val="nil"/>
              <w:right w:val="nil"/>
            </w:tcBorders>
            <w:shd w:val="clear" w:color="000000" w:fill="auto"/>
            <w:vAlign w:val="bottom"/>
          </w:tcPr>
          <w:p w14:paraId="2856F8E9"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pacing w:val="-2"/>
                <w:sz w:val="19"/>
                <w:szCs w:val="19"/>
                <w:lang w:val="hr-HR"/>
              </w:rPr>
              <w:t>30,548</w:t>
            </w:r>
          </w:p>
        </w:tc>
      </w:tr>
      <w:tr w:rsidR="00587444" w:rsidRPr="00587444" w14:paraId="14FFD9FC" w14:textId="77777777" w:rsidTr="00DD69E7">
        <w:trPr>
          <w:trHeight w:hRule="exact" w:val="227"/>
        </w:trPr>
        <w:tc>
          <w:tcPr>
            <w:tcW w:w="3760" w:type="pct"/>
            <w:vAlign w:val="center"/>
          </w:tcPr>
          <w:p w14:paraId="7946317F"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z w:val="19"/>
                <w:szCs w:val="19"/>
              </w:rPr>
            </w:pPr>
            <w:r w:rsidRPr="00587444">
              <w:rPr>
                <w:rFonts w:ascii="Arial" w:eastAsia="Calibri" w:hAnsi="Arial" w:cs="Arial"/>
                <w:sz w:val="19"/>
                <w:szCs w:val="19"/>
              </w:rPr>
              <w:t>Purchase of financial assets at fair value through other comprehensive income</w:t>
            </w:r>
          </w:p>
        </w:tc>
        <w:tc>
          <w:tcPr>
            <w:tcW w:w="620" w:type="pct"/>
            <w:tcBorders>
              <w:top w:val="nil"/>
              <w:left w:val="nil"/>
              <w:right w:val="nil"/>
            </w:tcBorders>
            <w:shd w:val="clear" w:color="000000" w:fill="auto"/>
            <w:vAlign w:val="bottom"/>
          </w:tcPr>
          <w:p w14:paraId="14E5C442"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pacing w:val="-2"/>
                <w:sz w:val="19"/>
                <w:szCs w:val="19"/>
                <w:lang w:val="hr-HR"/>
              </w:rPr>
            </w:pPr>
            <w:r w:rsidRPr="00587444">
              <w:rPr>
                <w:rFonts w:ascii="Arial" w:hAnsi="Arial" w:cs="Arial"/>
                <w:color w:val="000000"/>
                <w:spacing w:val="-2"/>
                <w:sz w:val="19"/>
                <w:szCs w:val="19"/>
                <w:lang w:val="hr-HR"/>
              </w:rPr>
              <w:t>(1,929,705)</w:t>
            </w:r>
          </w:p>
        </w:tc>
        <w:tc>
          <w:tcPr>
            <w:tcW w:w="620" w:type="pct"/>
            <w:tcBorders>
              <w:top w:val="nil"/>
              <w:left w:val="nil"/>
              <w:right w:val="nil"/>
            </w:tcBorders>
            <w:shd w:val="clear" w:color="000000" w:fill="auto"/>
            <w:vAlign w:val="bottom"/>
          </w:tcPr>
          <w:p w14:paraId="4DA6D9D7"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pacing w:val="-2"/>
                <w:sz w:val="19"/>
                <w:szCs w:val="19"/>
                <w:lang w:val="hr-HR"/>
              </w:rPr>
              <w:t>(1,651,703)</w:t>
            </w:r>
          </w:p>
        </w:tc>
      </w:tr>
      <w:tr w:rsidR="00587444" w:rsidRPr="00587444" w14:paraId="47B9AD6F" w14:textId="77777777" w:rsidTr="00DD69E7">
        <w:trPr>
          <w:trHeight w:hRule="exact" w:val="227"/>
        </w:trPr>
        <w:tc>
          <w:tcPr>
            <w:tcW w:w="3760" w:type="pct"/>
          </w:tcPr>
          <w:p w14:paraId="365A59F6"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z w:val="19"/>
                <w:szCs w:val="19"/>
              </w:rPr>
            </w:pPr>
            <w:bookmarkStart w:id="356" w:name="_Toc4057501"/>
            <w:r w:rsidRPr="00587444">
              <w:rPr>
                <w:rFonts w:ascii="Arial" w:hAnsi="Arial" w:cs="Arial"/>
                <w:sz w:val="19"/>
                <w:szCs w:val="19"/>
                <w:lang w:eastAsia="hr-HR"/>
              </w:rPr>
              <w:t xml:space="preserve">Sale of financial assets </w:t>
            </w:r>
            <w:r w:rsidRPr="00587444">
              <w:rPr>
                <w:rFonts w:ascii="Arial" w:eastAsia="Calibri" w:hAnsi="Arial" w:cs="Arial"/>
                <w:sz w:val="19"/>
                <w:szCs w:val="19"/>
              </w:rPr>
              <w:t xml:space="preserve">at </w:t>
            </w:r>
            <w:r w:rsidRPr="00587444">
              <w:rPr>
                <w:rFonts w:ascii="Arial" w:hAnsi="Arial" w:cs="Arial"/>
                <w:sz w:val="19"/>
                <w:szCs w:val="19"/>
                <w:lang w:eastAsia="hr-HR"/>
              </w:rPr>
              <w:t>fair value through other comprehensive income</w:t>
            </w:r>
            <w:bookmarkEnd w:id="356"/>
          </w:p>
        </w:tc>
        <w:tc>
          <w:tcPr>
            <w:tcW w:w="620" w:type="pct"/>
            <w:tcBorders>
              <w:top w:val="nil"/>
              <w:left w:val="nil"/>
              <w:right w:val="nil"/>
            </w:tcBorders>
            <w:shd w:val="clear" w:color="000000" w:fill="auto"/>
            <w:vAlign w:val="bottom"/>
          </w:tcPr>
          <w:p w14:paraId="4339FBCC"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pacing w:val="-2"/>
                <w:sz w:val="19"/>
                <w:szCs w:val="19"/>
                <w:lang w:val="hr-HR"/>
              </w:rPr>
            </w:pPr>
            <w:r w:rsidRPr="00587444">
              <w:rPr>
                <w:rFonts w:ascii="Arial" w:hAnsi="Arial" w:cs="Arial"/>
                <w:color w:val="000000"/>
                <w:spacing w:val="-2"/>
                <w:sz w:val="19"/>
                <w:szCs w:val="19"/>
                <w:lang w:val="hr-HR"/>
              </w:rPr>
              <w:t xml:space="preserve"> 2,121,928 </w:t>
            </w:r>
          </w:p>
        </w:tc>
        <w:tc>
          <w:tcPr>
            <w:tcW w:w="620" w:type="pct"/>
            <w:tcBorders>
              <w:top w:val="nil"/>
              <w:left w:val="nil"/>
              <w:right w:val="nil"/>
            </w:tcBorders>
            <w:shd w:val="clear" w:color="000000" w:fill="auto"/>
            <w:vAlign w:val="bottom"/>
          </w:tcPr>
          <w:p w14:paraId="227D9B40"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pacing w:val="-2"/>
                <w:sz w:val="19"/>
                <w:szCs w:val="19"/>
                <w:lang w:val="hr-HR"/>
              </w:rPr>
              <w:t>1,753,422</w:t>
            </w:r>
          </w:p>
        </w:tc>
      </w:tr>
      <w:tr w:rsidR="00587444" w:rsidRPr="00587444" w14:paraId="2F31E799" w14:textId="77777777" w:rsidTr="00DD69E7">
        <w:trPr>
          <w:trHeight w:hRule="exact" w:val="227"/>
        </w:trPr>
        <w:tc>
          <w:tcPr>
            <w:tcW w:w="3760" w:type="pct"/>
            <w:vAlign w:val="bottom"/>
          </w:tcPr>
          <w:p w14:paraId="393F443B"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z w:val="19"/>
                <w:szCs w:val="19"/>
                <w:highlight w:val="green"/>
              </w:rPr>
            </w:pPr>
            <w:r w:rsidRPr="00587444">
              <w:rPr>
                <w:rFonts w:ascii="Arial" w:hAnsi="Arial" w:cs="Arial"/>
                <w:color w:val="000000"/>
                <w:sz w:val="19"/>
                <w:szCs w:val="19"/>
                <w:lang w:val="hr-HR"/>
              </w:rPr>
              <w:t>Investments in associates – sales and write-offs</w:t>
            </w:r>
          </w:p>
        </w:tc>
        <w:tc>
          <w:tcPr>
            <w:tcW w:w="620" w:type="pct"/>
            <w:tcBorders>
              <w:top w:val="nil"/>
              <w:left w:val="nil"/>
              <w:right w:val="nil"/>
            </w:tcBorders>
            <w:shd w:val="clear" w:color="000000" w:fill="auto"/>
            <w:vAlign w:val="bottom"/>
          </w:tcPr>
          <w:p w14:paraId="4B295B28"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pacing w:val="-2"/>
                <w:sz w:val="19"/>
                <w:szCs w:val="19"/>
                <w:lang w:val="hr-HR"/>
              </w:rPr>
            </w:pPr>
            <w:r w:rsidRPr="00587444">
              <w:rPr>
                <w:rFonts w:ascii="Arial" w:hAnsi="Arial" w:cs="Arial"/>
                <w:color w:val="000000"/>
                <w:spacing w:val="-2"/>
                <w:sz w:val="19"/>
                <w:szCs w:val="19"/>
                <w:lang w:val="hr-HR"/>
              </w:rPr>
              <w:t>-</w:t>
            </w:r>
          </w:p>
        </w:tc>
        <w:tc>
          <w:tcPr>
            <w:tcW w:w="620" w:type="pct"/>
            <w:tcBorders>
              <w:top w:val="nil"/>
              <w:left w:val="nil"/>
              <w:right w:val="nil"/>
            </w:tcBorders>
            <w:shd w:val="clear" w:color="000000" w:fill="auto"/>
            <w:vAlign w:val="bottom"/>
          </w:tcPr>
          <w:p w14:paraId="0C9AF190"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spacing w:val="-2"/>
                <w:sz w:val="19"/>
                <w:szCs w:val="19"/>
                <w:lang w:val="en-GB"/>
              </w:rPr>
            </w:pPr>
            <w:r w:rsidRPr="00587444">
              <w:rPr>
                <w:rFonts w:ascii="Arial" w:hAnsi="Arial" w:cs="Arial"/>
                <w:color w:val="000000"/>
                <w:spacing w:val="-2"/>
                <w:sz w:val="19"/>
                <w:szCs w:val="19"/>
                <w:lang w:val="hr-HR"/>
              </w:rPr>
              <w:t>5,979</w:t>
            </w:r>
          </w:p>
        </w:tc>
      </w:tr>
      <w:tr w:rsidR="00587444" w:rsidRPr="00587444" w14:paraId="2293773C" w14:textId="77777777" w:rsidTr="00DD69E7">
        <w:trPr>
          <w:trHeight w:hRule="exact" w:val="227"/>
        </w:trPr>
        <w:tc>
          <w:tcPr>
            <w:tcW w:w="3760" w:type="pct"/>
            <w:vAlign w:val="bottom"/>
          </w:tcPr>
          <w:p w14:paraId="288E9A98" w14:textId="77777777" w:rsidR="00587444" w:rsidRPr="00587444" w:rsidRDefault="00587444" w:rsidP="00587444">
            <w:pPr>
              <w:keepLines/>
              <w:tabs>
                <w:tab w:val="right" w:pos="1202"/>
              </w:tabs>
              <w:suppressAutoHyphens w:val="0"/>
              <w:autoSpaceDN/>
              <w:spacing w:line="240" w:lineRule="exact"/>
              <w:outlineLvl w:val="0"/>
              <w:rPr>
                <w:rFonts w:ascii="Arial" w:hAnsi="Arial" w:cs="Arial"/>
                <w:color w:val="000000"/>
                <w:sz w:val="19"/>
                <w:szCs w:val="19"/>
                <w:highlight w:val="green"/>
                <w:lang w:val="hr-HR"/>
              </w:rPr>
            </w:pPr>
            <w:r w:rsidRPr="00587444">
              <w:rPr>
                <w:rFonts w:ascii="Arial" w:hAnsi="Arial" w:cs="Arial"/>
                <w:color w:val="000000"/>
                <w:sz w:val="19"/>
                <w:szCs w:val="19"/>
                <w:lang w:val="hr-HR"/>
              </w:rPr>
              <w:t>Investments in subsidiaries</w:t>
            </w:r>
          </w:p>
        </w:tc>
        <w:tc>
          <w:tcPr>
            <w:tcW w:w="620" w:type="pct"/>
            <w:tcBorders>
              <w:top w:val="nil"/>
              <w:left w:val="nil"/>
              <w:right w:val="nil"/>
            </w:tcBorders>
            <w:shd w:val="clear" w:color="000000" w:fill="auto"/>
            <w:vAlign w:val="bottom"/>
          </w:tcPr>
          <w:p w14:paraId="01CD9409"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pacing w:val="-2"/>
                <w:sz w:val="19"/>
                <w:szCs w:val="19"/>
                <w:lang w:val="hr-HR"/>
              </w:rPr>
            </w:pPr>
            <w:r w:rsidRPr="00587444">
              <w:rPr>
                <w:rFonts w:ascii="Arial" w:hAnsi="Arial" w:cs="Arial"/>
                <w:color w:val="000000"/>
                <w:spacing w:val="-2"/>
                <w:sz w:val="19"/>
                <w:szCs w:val="19"/>
                <w:lang w:val="hr-HR"/>
              </w:rPr>
              <w:t>(20,000)</w:t>
            </w:r>
          </w:p>
        </w:tc>
        <w:tc>
          <w:tcPr>
            <w:tcW w:w="620" w:type="pct"/>
            <w:tcBorders>
              <w:top w:val="nil"/>
              <w:left w:val="nil"/>
              <w:right w:val="nil"/>
            </w:tcBorders>
            <w:shd w:val="clear" w:color="000000" w:fill="auto"/>
            <w:vAlign w:val="bottom"/>
          </w:tcPr>
          <w:p w14:paraId="46B4D671"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pacing w:val="-2"/>
                <w:sz w:val="19"/>
                <w:szCs w:val="19"/>
                <w:lang w:val="hr-HR"/>
              </w:rPr>
            </w:pPr>
            <w:r w:rsidRPr="00587444">
              <w:rPr>
                <w:rFonts w:ascii="Arial" w:hAnsi="Arial" w:cs="Arial"/>
                <w:color w:val="000000"/>
                <w:spacing w:val="-2"/>
                <w:sz w:val="19"/>
                <w:szCs w:val="19"/>
                <w:lang w:val="hr-HR"/>
              </w:rPr>
              <w:t>-</w:t>
            </w:r>
          </w:p>
        </w:tc>
      </w:tr>
      <w:tr w:rsidR="00587444" w:rsidRPr="00587444" w14:paraId="6FBF851D" w14:textId="77777777" w:rsidTr="00DD69E7">
        <w:trPr>
          <w:trHeight w:hRule="exact" w:val="227"/>
        </w:trPr>
        <w:tc>
          <w:tcPr>
            <w:tcW w:w="3760" w:type="pct"/>
            <w:vAlign w:val="bottom"/>
          </w:tcPr>
          <w:p w14:paraId="0E51FC89"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z w:val="19"/>
                <w:szCs w:val="19"/>
              </w:rPr>
            </w:pPr>
            <w:bookmarkStart w:id="357" w:name="_Toc4057503"/>
            <w:r w:rsidRPr="00587444">
              <w:rPr>
                <w:rFonts w:ascii="Arial" w:eastAsia="Calibri" w:hAnsi="Arial" w:cs="Arial"/>
                <w:sz w:val="19"/>
                <w:szCs w:val="19"/>
              </w:rPr>
              <w:t>Net purchase of property, plant and equipment and intangible assets</w:t>
            </w:r>
            <w:bookmarkEnd w:id="357"/>
          </w:p>
        </w:tc>
        <w:tc>
          <w:tcPr>
            <w:tcW w:w="620" w:type="pct"/>
            <w:tcBorders>
              <w:top w:val="nil"/>
              <w:left w:val="nil"/>
              <w:right w:val="nil"/>
            </w:tcBorders>
            <w:shd w:val="clear" w:color="000000" w:fill="auto"/>
            <w:vAlign w:val="bottom"/>
          </w:tcPr>
          <w:p w14:paraId="7A51CF09"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pacing w:val="-2"/>
                <w:sz w:val="19"/>
                <w:szCs w:val="19"/>
                <w:lang w:val="hr-HR"/>
              </w:rPr>
            </w:pPr>
            <w:r w:rsidRPr="00587444">
              <w:rPr>
                <w:rFonts w:ascii="Arial" w:hAnsi="Arial" w:cs="Arial"/>
                <w:color w:val="000000"/>
                <w:spacing w:val="-2"/>
                <w:sz w:val="19"/>
                <w:szCs w:val="19"/>
                <w:lang w:val="hr-HR"/>
              </w:rPr>
              <w:t>(4,380)</w:t>
            </w:r>
          </w:p>
        </w:tc>
        <w:tc>
          <w:tcPr>
            <w:tcW w:w="620" w:type="pct"/>
            <w:tcBorders>
              <w:top w:val="nil"/>
              <w:left w:val="nil"/>
              <w:right w:val="nil"/>
            </w:tcBorders>
            <w:shd w:val="clear" w:color="000000" w:fill="auto"/>
            <w:vAlign w:val="bottom"/>
          </w:tcPr>
          <w:p w14:paraId="2F80801C"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pacing w:val="-2"/>
                <w:sz w:val="19"/>
                <w:szCs w:val="19"/>
                <w:lang w:val="hr-HR"/>
              </w:rPr>
              <w:t>(5,912)</w:t>
            </w:r>
          </w:p>
        </w:tc>
      </w:tr>
      <w:tr w:rsidR="00587444" w:rsidRPr="00587444" w14:paraId="31AA3FFB" w14:textId="77777777" w:rsidTr="00DD69E7">
        <w:trPr>
          <w:trHeight w:hRule="exact" w:val="227"/>
        </w:trPr>
        <w:tc>
          <w:tcPr>
            <w:tcW w:w="3760" w:type="pct"/>
            <w:vAlign w:val="bottom"/>
          </w:tcPr>
          <w:p w14:paraId="2162ACA9"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b/>
                <w:bCs/>
                <w:sz w:val="19"/>
                <w:szCs w:val="19"/>
              </w:rPr>
            </w:pPr>
            <w:bookmarkStart w:id="358" w:name="_Toc4057505"/>
            <w:r w:rsidRPr="00587444">
              <w:rPr>
                <w:rFonts w:ascii="Arial" w:eastAsia="Calibri" w:hAnsi="Arial" w:cs="Arial"/>
                <w:b/>
                <w:bCs/>
                <w:sz w:val="19"/>
                <w:szCs w:val="19"/>
              </w:rPr>
              <w:t>Net cash provided from investment activities</w:t>
            </w:r>
            <w:bookmarkEnd w:id="358"/>
            <w:r w:rsidRPr="00587444">
              <w:rPr>
                <w:rFonts w:ascii="Arial" w:eastAsia="Calibri" w:hAnsi="Arial" w:cs="Arial"/>
                <w:b/>
                <w:bCs/>
                <w:sz w:val="19"/>
                <w:szCs w:val="19"/>
              </w:rPr>
              <w:t xml:space="preserve"> </w:t>
            </w:r>
          </w:p>
        </w:tc>
        <w:tc>
          <w:tcPr>
            <w:tcW w:w="620" w:type="pct"/>
            <w:tcBorders>
              <w:top w:val="single" w:sz="4" w:space="0" w:color="auto"/>
              <w:bottom w:val="single" w:sz="12" w:space="0" w:color="auto"/>
            </w:tcBorders>
            <w:shd w:val="clear" w:color="auto" w:fill="auto"/>
            <w:vAlign w:val="bottom"/>
          </w:tcPr>
          <w:p w14:paraId="6186A470" w14:textId="77777777" w:rsidR="00587444" w:rsidRPr="00587444" w:rsidRDefault="00587444" w:rsidP="00587444">
            <w:pPr>
              <w:suppressAutoHyphens w:val="0"/>
              <w:autoSpaceDN/>
              <w:spacing w:line="240" w:lineRule="exact"/>
              <w:jc w:val="right"/>
              <w:rPr>
                <w:rFonts w:ascii="Arial" w:eastAsia="Calibri" w:hAnsi="Arial" w:cs="Arial"/>
                <w:b/>
                <w:bCs/>
                <w:spacing w:val="-2"/>
                <w:sz w:val="19"/>
                <w:szCs w:val="19"/>
              </w:rPr>
            </w:pPr>
            <w:r w:rsidRPr="00587444">
              <w:rPr>
                <w:rFonts w:ascii="Arial" w:eastAsia="Calibri" w:hAnsi="Arial" w:cs="Arial"/>
                <w:b/>
                <w:bCs/>
                <w:spacing w:val="-2"/>
                <w:sz w:val="19"/>
                <w:szCs w:val="19"/>
              </w:rPr>
              <w:t>271,535</w:t>
            </w:r>
          </w:p>
        </w:tc>
        <w:tc>
          <w:tcPr>
            <w:tcW w:w="620" w:type="pct"/>
            <w:tcBorders>
              <w:top w:val="single" w:sz="4" w:space="0" w:color="auto"/>
              <w:bottom w:val="single" w:sz="12" w:space="0" w:color="auto"/>
            </w:tcBorders>
            <w:shd w:val="clear" w:color="auto" w:fill="auto"/>
            <w:vAlign w:val="bottom"/>
          </w:tcPr>
          <w:p w14:paraId="055F3CC0" w14:textId="77777777" w:rsidR="00587444" w:rsidRPr="00587444" w:rsidRDefault="00587444" w:rsidP="00587444">
            <w:pPr>
              <w:suppressAutoHyphens w:val="0"/>
              <w:autoSpaceDN/>
              <w:spacing w:line="240" w:lineRule="exact"/>
              <w:jc w:val="right"/>
              <w:rPr>
                <w:rFonts w:ascii="Arial" w:eastAsia="Calibri" w:hAnsi="Arial" w:cs="Arial"/>
                <w:b/>
                <w:bCs/>
                <w:spacing w:val="-2"/>
                <w:sz w:val="19"/>
                <w:szCs w:val="19"/>
              </w:rPr>
            </w:pPr>
            <w:r w:rsidRPr="00587444">
              <w:rPr>
                <w:rFonts w:ascii="Arial" w:eastAsia="Calibri" w:hAnsi="Arial" w:cs="Arial"/>
                <w:b/>
                <w:bCs/>
                <w:spacing w:val="-2"/>
                <w:sz w:val="19"/>
                <w:szCs w:val="19"/>
              </w:rPr>
              <w:t>81,926</w:t>
            </w:r>
          </w:p>
        </w:tc>
      </w:tr>
      <w:tr w:rsidR="00587444" w:rsidRPr="00587444" w14:paraId="12792518" w14:textId="77777777" w:rsidTr="00DD69E7">
        <w:trPr>
          <w:trHeight w:hRule="exact" w:val="332"/>
        </w:trPr>
        <w:tc>
          <w:tcPr>
            <w:tcW w:w="3760" w:type="pct"/>
            <w:vAlign w:val="center"/>
          </w:tcPr>
          <w:p w14:paraId="6B655CCB"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b/>
                <w:bCs/>
                <w:spacing w:val="-3"/>
                <w:sz w:val="19"/>
                <w:szCs w:val="19"/>
              </w:rPr>
            </w:pPr>
            <w:bookmarkStart w:id="359" w:name="_Toc4057506"/>
            <w:r w:rsidRPr="00587444">
              <w:rPr>
                <w:rFonts w:ascii="Arial" w:eastAsia="Calibri" w:hAnsi="Arial" w:cs="Arial"/>
                <w:b/>
                <w:bCs/>
                <w:sz w:val="19"/>
                <w:szCs w:val="19"/>
              </w:rPr>
              <w:t>Financing activities</w:t>
            </w:r>
            <w:bookmarkEnd w:id="359"/>
            <w:r w:rsidRPr="00587444">
              <w:rPr>
                <w:rFonts w:ascii="Arial" w:eastAsia="Calibri" w:hAnsi="Arial" w:cs="Arial"/>
                <w:b/>
                <w:bCs/>
                <w:sz w:val="19"/>
                <w:szCs w:val="19"/>
              </w:rPr>
              <w:t xml:space="preserve"> </w:t>
            </w:r>
          </w:p>
        </w:tc>
        <w:tc>
          <w:tcPr>
            <w:tcW w:w="620" w:type="pct"/>
            <w:tcBorders>
              <w:top w:val="single" w:sz="12" w:space="0" w:color="auto"/>
            </w:tcBorders>
            <w:shd w:val="clear" w:color="auto" w:fill="auto"/>
            <w:vAlign w:val="bottom"/>
          </w:tcPr>
          <w:p w14:paraId="2AA5C511"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bCs/>
                <w:sz w:val="19"/>
                <w:szCs w:val="19"/>
              </w:rPr>
            </w:pPr>
          </w:p>
        </w:tc>
        <w:tc>
          <w:tcPr>
            <w:tcW w:w="620" w:type="pct"/>
            <w:tcBorders>
              <w:top w:val="single" w:sz="12" w:space="0" w:color="auto"/>
            </w:tcBorders>
            <w:shd w:val="clear" w:color="auto" w:fill="auto"/>
            <w:vAlign w:val="bottom"/>
          </w:tcPr>
          <w:p w14:paraId="3485F79E"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bCs/>
                <w:sz w:val="19"/>
                <w:szCs w:val="19"/>
              </w:rPr>
            </w:pPr>
          </w:p>
        </w:tc>
      </w:tr>
      <w:tr w:rsidR="00587444" w:rsidRPr="00587444" w14:paraId="0AB2AAF6" w14:textId="77777777" w:rsidTr="00DD69E7">
        <w:trPr>
          <w:trHeight w:hRule="exact" w:val="227"/>
        </w:trPr>
        <w:tc>
          <w:tcPr>
            <w:tcW w:w="3760" w:type="pct"/>
          </w:tcPr>
          <w:p w14:paraId="4C90C224"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bCs/>
                <w:sz w:val="19"/>
                <w:szCs w:val="19"/>
              </w:rPr>
            </w:pPr>
            <w:bookmarkStart w:id="360" w:name="_Toc4057507"/>
            <w:r w:rsidRPr="00587444">
              <w:rPr>
                <w:rFonts w:ascii="Arial" w:eastAsia="Calibri" w:hAnsi="Arial" w:cs="Arial"/>
                <w:bCs/>
                <w:sz w:val="19"/>
                <w:szCs w:val="19"/>
              </w:rPr>
              <w:t>Increase in founder’s capital</w:t>
            </w:r>
            <w:bookmarkEnd w:id="360"/>
          </w:p>
        </w:tc>
        <w:tc>
          <w:tcPr>
            <w:tcW w:w="620" w:type="pct"/>
            <w:tcBorders>
              <w:top w:val="nil"/>
              <w:left w:val="nil"/>
              <w:bottom w:val="nil"/>
              <w:right w:val="nil"/>
            </w:tcBorders>
            <w:shd w:val="clear" w:color="auto" w:fill="auto"/>
            <w:vAlign w:val="bottom"/>
          </w:tcPr>
          <w:p w14:paraId="6874B04C"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pacing w:val="-2"/>
                <w:sz w:val="19"/>
                <w:szCs w:val="19"/>
                <w:lang w:val="hr-HR"/>
              </w:rPr>
            </w:pPr>
            <w:r w:rsidRPr="00587444">
              <w:rPr>
                <w:rFonts w:ascii="Arial" w:hAnsi="Arial" w:cs="Arial"/>
                <w:color w:val="000000"/>
                <w:spacing w:val="-2"/>
                <w:sz w:val="19"/>
                <w:szCs w:val="19"/>
                <w:lang w:val="hr-HR"/>
              </w:rPr>
              <w:t xml:space="preserve"> 20,000 </w:t>
            </w:r>
          </w:p>
        </w:tc>
        <w:tc>
          <w:tcPr>
            <w:tcW w:w="620" w:type="pct"/>
            <w:tcBorders>
              <w:top w:val="nil"/>
              <w:left w:val="nil"/>
              <w:bottom w:val="nil"/>
              <w:right w:val="nil"/>
            </w:tcBorders>
            <w:shd w:val="clear" w:color="auto" w:fill="auto"/>
            <w:vAlign w:val="bottom"/>
          </w:tcPr>
          <w:p w14:paraId="5F9C4FEA"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pacing w:val="-2"/>
                <w:sz w:val="19"/>
                <w:szCs w:val="19"/>
                <w:lang w:val="hr-HR"/>
              </w:rPr>
              <w:t>50,000</w:t>
            </w:r>
          </w:p>
        </w:tc>
      </w:tr>
      <w:tr w:rsidR="00587444" w:rsidRPr="00587444" w14:paraId="413CCC6F" w14:textId="77777777" w:rsidTr="00DD69E7">
        <w:trPr>
          <w:trHeight w:hRule="exact" w:val="227"/>
        </w:trPr>
        <w:tc>
          <w:tcPr>
            <w:tcW w:w="3760" w:type="pct"/>
          </w:tcPr>
          <w:p w14:paraId="035568E0"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pacing w:val="-3"/>
                <w:sz w:val="19"/>
                <w:szCs w:val="19"/>
              </w:rPr>
            </w:pPr>
            <w:bookmarkStart w:id="361" w:name="_Toc4057510"/>
            <w:r w:rsidRPr="00587444">
              <w:rPr>
                <w:rFonts w:ascii="Arial" w:eastAsia="Calibri" w:hAnsi="Arial" w:cs="Arial"/>
                <w:spacing w:val="-3"/>
                <w:sz w:val="19"/>
                <w:szCs w:val="19"/>
              </w:rPr>
              <w:t>Increase in borrowings – withdrawn funds</w:t>
            </w:r>
            <w:bookmarkEnd w:id="361"/>
            <w:r w:rsidRPr="00587444">
              <w:rPr>
                <w:rFonts w:ascii="Arial" w:eastAsia="Calibri" w:hAnsi="Arial" w:cs="Arial"/>
                <w:spacing w:val="-3"/>
                <w:sz w:val="19"/>
                <w:szCs w:val="19"/>
              </w:rPr>
              <w:t xml:space="preserve"> </w:t>
            </w:r>
          </w:p>
        </w:tc>
        <w:tc>
          <w:tcPr>
            <w:tcW w:w="620" w:type="pct"/>
            <w:tcBorders>
              <w:top w:val="nil"/>
              <w:left w:val="nil"/>
              <w:bottom w:val="nil"/>
              <w:right w:val="nil"/>
            </w:tcBorders>
            <w:shd w:val="clear" w:color="auto" w:fill="auto"/>
            <w:vAlign w:val="bottom"/>
          </w:tcPr>
          <w:p w14:paraId="7EA5141E"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pacing w:val="-2"/>
                <w:sz w:val="19"/>
                <w:szCs w:val="19"/>
                <w:lang w:val="hr-HR"/>
              </w:rPr>
            </w:pPr>
            <w:r w:rsidRPr="00587444">
              <w:rPr>
                <w:rFonts w:ascii="Arial" w:hAnsi="Arial" w:cs="Arial"/>
                <w:color w:val="000000"/>
                <w:spacing w:val="-2"/>
                <w:sz w:val="19"/>
                <w:szCs w:val="19"/>
                <w:lang w:val="hr-HR"/>
              </w:rPr>
              <w:t xml:space="preserve"> 2,981,142</w:t>
            </w:r>
          </w:p>
        </w:tc>
        <w:tc>
          <w:tcPr>
            <w:tcW w:w="620" w:type="pct"/>
            <w:tcBorders>
              <w:top w:val="nil"/>
              <w:left w:val="nil"/>
              <w:bottom w:val="nil"/>
              <w:right w:val="nil"/>
            </w:tcBorders>
            <w:shd w:val="clear" w:color="auto" w:fill="auto"/>
            <w:vAlign w:val="bottom"/>
          </w:tcPr>
          <w:p w14:paraId="1E01AC54"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pacing w:val="-2"/>
                <w:sz w:val="19"/>
                <w:szCs w:val="19"/>
                <w:lang w:val="hr-HR"/>
              </w:rPr>
              <w:t>1,668,482</w:t>
            </w:r>
          </w:p>
        </w:tc>
      </w:tr>
      <w:tr w:rsidR="00587444" w:rsidRPr="00587444" w14:paraId="1F637ECD" w14:textId="77777777" w:rsidTr="00DD69E7">
        <w:trPr>
          <w:trHeight w:hRule="exact" w:val="227"/>
        </w:trPr>
        <w:tc>
          <w:tcPr>
            <w:tcW w:w="3760" w:type="pct"/>
          </w:tcPr>
          <w:p w14:paraId="547BA7D3"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pacing w:val="-3"/>
                <w:sz w:val="19"/>
                <w:szCs w:val="19"/>
              </w:rPr>
            </w:pPr>
            <w:bookmarkStart w:id="362" w:name="_Toc4057513"/>
            <w:r w:rsidRPr="00587444">
              <w:rPr>
                <w:rFonts w:ascii="Arial" w:eastAsia="Calibri" w:hAnsi="Arial" w:cs="Arial"/>
                <w:spacing w:val="-3"/>
                <w:sz w:val="19"/>
                <w:szCs w:val="19"/>
              </w:rPr>
              <w:t>Decrease in borrowings – repayments of principle</w:t>
            </w:r>
            <w:bookmarkEnd w:id="362"/>
            <w:r w:rsidRPr="00587444">
              <w:rPr>
                <w:rFonts w:ascii="Arial" w:eastAsia="Calibri" w:hAnsi="Arial" w:cs="Arial"/>
                <w:spacing w:val="-3"/>
                <w:sz w:val="19"/>
                <w:szCs w:val="19"/>
              </w:rPr>
              <w:t xml:space="preserve"> </w:t>
            </w:r>
          </w:p>
        </w:tc>
        <w:tc>
          <w:tcPr>
            <w:tcW w:w="620" w:type="pct"/>
            <w:tcBorders>
              <w:top w:val="nil"/>
              <w:left w:val="nil"/>
              <w:right w:val="nil"/>
            </w:tcBorders>
            <w:shd w:val="clear" w:color="auto" w:fill="auto"/>
            <w:vAlign w:val="bottom"/>
          </w:tcPr>
          <w:p w14:paraId="26E219E7"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pacing w:val="-2"/>
                <w:sz w:val="19"/>
                <w:szCs w:val="19"/>
                <w:lang w:val="hr-HR"/>
              </w:rPr>
            </w:pPr>
            <w:r w:rsidRPr="00587444">
              <w:rPr>
                <w:rFonts w:ascii="Arial" w:hAnsi="Arial" w:cs="Arial"/>
                <w:color w:val="000000"/>
                <w:spacing w:val="-2"/>
                <w:sz w:val="19"/>
                <w:szCs w:val="19"/>
                <w:lang w:val="hr-HR"/>
              </w:rPr>
              <w:t>(2,631,688)</w:t>
            </w:r>
          </w:p>
        </w:tc>
        <w:tc>
          <w:tcPr>
            <w:tcW w:w="620" w:type="pct"/>
            <w:tcBorders>
              <w:top w:val="nil"/>
              <w:left w:val="nil"/>
              <w:right w:val="nil"/>
            </w:tcBorders>
            <w:shd w:val="clear" w:color="auto" w:fill="auto"/>
            <w:vAlign w:val="bottom"/>
          </w:tcPr>
          <w:p w14:paraId="4B087B00"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pacing w:val="-2"/>
                <w:sz w:val="19"/>
                <w:szCs w:val="19"/>
                <w:lang w:val="hr-HR"/>
              </w:rPr>
              <w:t>(2,391,147)</w:t>
            </w:r>
          </w:p>
        </w:tc>
      </w:tr>
      <w:tr w:rsidR="00587444" w:rsidRPr="00587444" w14:paraId="02D4CBC9" w14:textId="77777777" w:rsidTr="00DD69E7">
        <w:trPr>
          <w:trHeight w:hRule="exact" w:val="227"/>
        </w:trPr>
        <w:tc>
          <w:tcPr>
            <w:tcW w:w="3760" w:type="pct"/>
          </w:tcPr>
          <w:p w14:paraId="4704431B"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z w:val="19"/>
                <w:szCs w:val="19"/>
              </w:rPr>
            </w:pPr>
            <w:bookmarkStart w:id="363" w:name="_Toc4057519"/>
            <w:r w:rsidRPr="00587444">
              <w:rPr>
                <w:rFonts w:ascii="Arial" w:eastAsia="Calibri" w:hAnsi="Arial" w:cs="Arial"/>
                <w:sz w:val="19"/>
                <w:szCs w:val="19"/>
              </w:rPr>
              <w:t>Other</w:t>
            </w:r>
            <w:bookmarkEnd w:id="363"/>
          </w:p>
        </w:tc>
        <w:tc>
          <w:tcPr>
            <w:tcW w:w="620" w:type="pct"/>
            <w:tcBorders>
              <w:bottom w:val="single" w:sz="4" w:space="0" w:color="auto"/>
            </w:tcBorders>
            <w:vAlign w:val="bottom"/>
          </w:tcPr>
          <w:p w14:paraId="098F4B56"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pacing w:val="-2"/>
                <w:sz w:val="19"/>
                <w:szCs w:val="19"/>
                <w:lang w:val="hr-HR"/>
              </w:rPr>
            </w:pPr>
            <w:r w:rsidRPr="00587444">
              <w:rPr>
                <w:rFonts w:ascii="Arial" w:hAnsi="Arial" w:cs="Arial"/>
                <w:color w:val="000000"/>
                <w:spacing w:val="-2"/>
                <w:sz w:val="19"/>
                <w:szCs w:val="19"/>
                <w:lang w:val="hr-HR"/>
              </w:rPr>
              <w:t>62,758</w:t>
            </w:r>
          </w:p>
        </w:tc>
        <w:tc>
          <w:tcPr>
            <w:tcW w:w="620" w:type="pct"/>
            <w:tcBorders>
              <w:bottom w:val="single" w:sz="4" w:space="0" w:color="auto"/>
            </w:tcBorders>
            <w:vAlign w:val="bottom"/>
          </w:tcPr>
          <w:p w14:paraId="5949E4A1"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pacing w:val="-2"/>
                <w:sz w:val="19"/>
                <w:szCs w:val="19"/>
                <w:lang w:val="hr-HR"/>
              </w:rPr>
              <w:t>4,712</w:t>
            </w:r>
          </w:p>
        </w:tc>
      </w:tr>
      <w:tr w:rsidR="00587444" w:rsidRPr="00587444" w14:paraId="05AA6B08" w14:textId="77777777" w:rsidTr="00DD69E7">
        <w:trPr>
          <w:trHeight w:hRule="exact" w:val="284"/>
        </w:trPr>
        <w:tc>
          <w:tcPr>
            <w:tcW w:w="3760" w:type="pct"/>
            <w:vAlign w:val="bottom"/>
          </w:tcPr>
          <w:p w14:paraId="389A8296"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b/>
                <w:bCs/>
                <w:spacing w:val="-3"/>
                <w:sz w:val="19"/>
                <w:szCs w:val="19"/>
              </w:rPr>
            </w:pPr>
            <w:bookmarkStart w:id="364" w:name="_Toc4057522"/>
            <w:r w:rsidRPr="00587444">
              <w:rPr>
                <w:rFonts w:ascii="Arial" w:eastAsia="Calibri" w:hAnsi="Arial" w:cs="Arial"/>
                <w:b/>
                <w:bCs/>
                <w:sz w:val="19"/>
                <w:szCs w:val="19"/>
              </w:rPr>
              <w:t>Net cash provided from</w:t>
            </w:r>
            <w:proofErr w:type="gramStart"/>
            <w:r w:rsidRPr="00587444">
              <w:rPr>
                <w:rFonts w:ascii="Arial" w:eastAsia="Calibri" w:hAnsi="Arial" w:cs="Arial"/>
                <w:b/>
                <w:bCs/>
                <w:sz w:val="19"/>
                <w:szCs w:val="19"/>
              </w:rPr>
              <w:t>/(</w:t>
            </w:r>
            <w:proofErr w:type="gramEnd"/>
            <w:r w:rsidRPr="00587444">
              <w:rPr>
                <w:rFonts w:ascii="Arial" w:eastAsia="Calibri" w:hAnsi="Arial" w:cs="Arial"/>
                <w:b/>
                <w:bCs/>
                <w:sz w:val="19"/>
                <w:szCs w:val="19"/>
              </w:rPr>
              <w:t>used in) financing activities</w:t>
            </w:r>
            <w:bookmarkEnd w:id="364"/>
            <w:r w:rsidRPr="00587444">
              <w:rPr>
                <w:rFonts w:ascii="Arial" w:eastAsia="Calibri" w:hAnsi="Arial" w:cs="Arial"/>
                <w:b/>
                <w:bCs/>
                <w:sz w:val="19"/>
                <w:szCs w:val="19"/>
              </w:rPr>
              <w:t xml:space="preserve"> </w:t>
            </w:r>
          </w:p>
        </w:tc>
        <w:tc>
          <w:tcPr>
            <w:tcW w:w="620" w:type="pct"/>
            <w:tcBorders>
              <w:top w:val="single" w:sz="4" w:space="0" w:color="auto"/>
              <w:bottom w:val="single" w:sz="12" w:space="0" w:color="auto"/>
            </w:tcBorders>
            <w:vAlign w:val="bottom"/>
          </w:tcPr>
          <w:p w14:paraId="1A90808D" w14:textId="77777777" w:rsidR="00587444" w:rsidRPr="00587444" w:rsidRDefault="00587444" w:rsidP="00587444">
            <w:pPr>
              <w:suppressAutoHyphens w:val="0"/>
              <w:autoSpaceDN/>
              <w:spacing w:line="240" w:lineRule="exact"/>
              <w:jc w:val="right"/>
              <w:rPr>
                <w:rFonts w:ascii="Arial" w:eastAsia="Calibri" w:hAnsi="Arial" w:cs="Arial"/>
                <w:b/>
                <w:bCs/>
                <w:spacing w:val="-2"/>
                <w:sz w:val="19"/>
                <w:szCs w:val="19"/>
              </w:rPr>
            </w:pPr>
            <w:r w:rsidRPr="00587444">
              <w:rPr>
                <w:rFonts w:ascii="Arial" w:eastAsia="Calibri" w:hAnsi="Arial" w:cs="Arial"/>
                <w:b/>
                <w:bCs/>
                <w:spacing w:val="-2"/>
                <w:sz w:val="19"/>
                <w:szCs w:val="19"/>
              </w:rPr>
              <w:t>432,212</w:t>
            </w:r>
          </w:p>
        </w:tc>
        <w:tc>
          <w:tcPr>
            <w:tcW w:w="620" w:type="pct"/>
            <w:tcBorders>
              <w:top w:val="single" w:sz="4" w:space="0" w:color="auto"/>
              <w:bottom w:val="single" w:sz="12" w:space="0" w:color="auto"/>
            </w:tcBorders>
            <w:vAlign w:val="bottom"/>
          </w:tcPr>
          <w:p w14:paraId="34A0535A" w14:textId="77777777" w:rsidR="00587444" w:rsidRPr="00587444" w:rsidRDefault="00587444" w:rsidP="00587444">
            <w:pPr>
              <w:suppressAutoHyphens w:val="0"/>
              <w:autoSpaceDN/>
              <w:spacing w:line="240" w:lineRule="exact"/>
              <w:jc w:val="right"/>
              <w:rPr>
                <w:rFonts w:ascii="Arial" w:eastAsia="Calibri" w:hAnsi="Arial" w:cs="Arial"/>
                <w:b/>
                <w:bCs/>
                <w:spacing w:val="-2"/>
                <w:sz w:val="19"/>
                <w:szCs w:val="19"/>
              </w:rPr>
            </w:pPr>
            <w:r w:rsidRPr="00587444">
              <w:rPr>
                <w:rFonts w:ascii="Arial" w:hAnsi="Arial" w:cs="Arial"/>
                <w:b/>
                <w:bCs/>
                <w:color w:val="000000"/>
                <w:sz w:val="19"/>
                <w:szCs w:val="19"/>
                <w:lang w:val="hr-HR"/>
              </w:rPr>
              <w:t>(667,953)</w:t>
            </w:r>
          </w:p>
        </w:tc>
      </w:tr>
      <w:tr w:rsidR="00587444" w:rsidRPr="00587444" w14:paraId="417CDE25" w14:textId="77777777" w:rsidTr="00DD69E7">
        <w:trPr>
          <w:trHeight w:hRule="exact" w:val="356"/>
        </w:trPr>
        <w:tc>
          <w:tcPr>
            <w:tcW w:w="3760" w:type="pct"/>
            <w:vAlign w:val="bottom"/>
          </w:tcPr>
          <w:p w14:paraId="75D8C262"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b/>
                <w:bCs/>
                <w:sz w:val="19"/>
                <w:szCs w:val="19"/>
              </w:rPr>
            </w:pPr>
            <w:bookmarkStart w:id="365" w:name="_Toc4057523"/>
            <w:r w:rsidRPr="00587444">
              <w:rPr>
                <w:rFonts w:ascii="Arial" w:eastAsia="Calibri" w:hAnsi="Arial" w:cs="Arial"/>
                <w:b/>
                <w:bCs/>
                <w:sz w:val="19"/>
                <w:szCs w:val="19"/>
              </w:rPr>
              <w:t>Effect of foreign currency to cash and cash equivalents</w:t>
            </w:r>
            <w:bookmarkEnd w:id="365"/>
          </w:p>
        </w:tc>
        <w:tc>
          <w:tcPr>
            <w:tcW w:w="620" w:type="pct"/>
            <w:tcBorders>
              <w:top w:val="single" w:sz="12" w:space="0" w:color="auto"/>
            </w:tcBorders>
            <w:shd w:val="clear" w:color="auto" w:fill="auto"/>
            <w:vAlign w:val="bottom"/>
          </w:tcPr>
          <w:p w14:paraId="17A61773" w14:textId="77777777" w:rsidR="00587444" w:rsidRPr="00587444" w:rsidRDefault="00587444" w:rsidP="00587444">
            <w:pPr>
              <w:suppressAutoHyphens w:val="0"/>
              <w:autoSpaceDN/>
              <w:spacing w:line="240" w:lineRule="exact"/>
              <w:jc w:val="right"/>
              <w:rPr>
                <w:rFonts w:ascii="Arial" w:eastAsia="Calibri" w:hAnsi="Arial" w:cs="Arial"/>
                <w:b/>
                <w:bCs/>
                <w:sz w:val="19"/>
                <w:szCs w:val="19"/>
              </w:rPr>
            </w:pPr>
          </w:p>
        </w:tc>
        <w:tc>
          <w:tcPr>
            <w:tcW w:w="620" w:type="pct"/>
            <w:tcBorders>
              <w:top w:val="single" w:sz="12" w:space="0" w:color="auto"/>
            </w:tcBorders>
            <w:shd w:val="clear" w:color="auto" w:fill="auto"/>
            <w:vAlign w:val="bottom"/>
          </w:tcPr>
          <w:p w14:paraId="59DE5557" w14:textId="77777777" w:rsidR="00587444" w:rsidRPr="00587444" w:rsidRDefault="00587444" w:rsidP="00587444">
            <w:pPr>
              <w:suppressAutoHyphens w:val="0"/>
              <w:autoSpaceDN/>
              <w:spacing w:line="240" w:lineRule="exact"/>
              <w:jc w:val="right"/>
              <w:rPr>
                <w:rFonts w:ascii="Arial" w:eastAsia="Calibri" w:hAnsi="Arial" w:cs="Arial"/>
                <w:b/>
                <w:bCs/>
                <w:sz w:val="19"/>
                <w:szCs w:val="19"/>
              </w:rPr>
            </w:pPr>
          </w:p>
        </w:tc>
      </w:tr>
      <w:tr w:rsidR="00587444" w:rsidRPr="00587444" w14:paraId="22FB1D56" w14:textId="77777777" w:rsidTr="00DD69E7">
        <w:trPr>
          <w:trHeight w:hRule="exact" w:val="227"/>
        </w:trPr>
        <w:tc>
          <w:tcPr>
            <w:tcW w:w="3760" w:type="pct"/>
          </w:tcPr>
          <w:p w14:paraId="6E630EBA"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bCs/>
                <w:sz w:val="19"/>
                <w:szCs w:val="19"/>
              </w:rPr>
            </w:pPr>
            <w:bookmarkStart w:id="366" w:name="_Toc4057524"/>
            <w:r w:rsidRPr="00587444">
              <w:rPr>
                <w:rFonts w:ascii="Arial" w:eastAsia="Calibri" w:hAnsi="Arial" w:cs="Arial"/>
                <w:bCs/>
                <w:sz w:val="19"/>
                <w:szCs w:val="19"/>
              </w:rPr>
              <w:t>Net foreign exchange</w:t>
            </w:r>
            <w:bookmarkEnd w:id="366"/>
            <w:r w:rsidRPr="00587444">
              <w:rPr>
                <w:rFonts w:ascii="Arial" w:eastAsia="Calibri" w:hAnsi="Arial" w:cs="Arial"/>
                <w:bCs/>
                <w:sz w:val="19"/>
                <w:szCs w:val="19"/>
              </w:rPr>
              <w:t xml:space="preserve"> </w:t>
            </w:r>
          </w:p>
        </w:tc>
        <w:tc>
          <w:tcPr>
            <w:tcW w:w="620" w:type="pct"/>
            <w:tcBorders>
              <w:bottom w:val="single" w:sz="4" w:space="0" w:color="auto"/>
            </w:tcBorders>
            <w:vAlign w:val="bottom"/>
          </w:tcPr>
          <w:p w14:paraId="6938D4E0"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eastAsia="Calibri" w:hAnsi="Arial" w:cs="Arial"/>
                <w:bCs/>
                <w:sz w:val="19"/>
                <w:szCs w:val="19"/>
              </w:rPr>
              <w:t>53,893</w:t>
            </w:r>
          </w:p>
        </w:tc>
        <w:tc>
          <w:tcPr>
            <w:tcW w:w="620" w:type="pct"/>
            <w:tcBorders>
              <w:bottom w:val="single" w:sz="4" w:space="0" w:color="auto"/>
            </w:tcBorders>
            <w:vAlign w:val="bottom"/>
          </w:tcPr>
          <w:p w14:paraId="444B9760"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bCs/>
                <w:color w:val="000000"/>
                <w:sz w:val="19"/>
                <w:szCs w:val="19"/>
                <w:lang w:val="hr-HR"/>
              </w:rPr>
              <w:t>(21,666)</w:t>
            </w:r>
          </w:p>
        </w:tc>
      </w:tr>
      <w:tr w:rsidR="00587444" w:rsidRPr="00587444" w14:paraId="215C64C7" w14:textId="77777777" w:rsidTr="00DD69E7">
        <w:trPr>
          <w:trHeight w:hRule="exact" w:val="284"/>
        </w:trPr>
        <w:tc>
          <w:tcPr>
            <w:tcW w:w="3760" w:type="pct"/>
            <w:vAlign w:val="center"/>
          </w:tcPr>
          <w:p w14:paraId="16A12F75"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b/>
                <w:spacing w:val="-3"/>
                <w:sz w:val="19"/>
                <w:szCs w:val="19"/>
              </w:rPr>
            </w:pPr>
            <w:bookmarkStart w:id="367" w:name="_Toc4057527"/>
            <w:r w:rsidRPr="00587444">
              <w:rPr>
                <w:rFonts w:ascii="Arial" w:eastAsia="Calibri" w:hAnsi="Arial" w:cs="Arial"/>
                <w:b/>
                <w:spacing w:val="-3"/>
                <w:sz w:val="19"/>
                <w:szCs w:val="19"/>
              </w:rPr>
              <w:t>Net effect</w:t>
            </w:r>
            <w:bookmarkEnd w:id="367"/>
          </w:p>
        </w:tc>
        <w:tc>
          <w:tcPr>
            <w:tcW w:w="620" w:type="pct"/>
            <w:tcBorders>
              <w:top w:val="single" w:sz="4" w:space="0" w:color="auto"/>
              <w:bottom w:val="single" w:sz="12" w:space="0" w:color="auto"/>
            </w:tcBorders>
            <w:vAlign w:val="bottom"/>
          </w:tcPr>
          <w:p w14:paraId="40A64C5C" w14:textId="77777777" w:rsidR="00587444" w:rsidRPr="00587444" w:rsidRDefault="00587444" w:rsidP="00587444">
            <w:pPr>
              <w:suppressAutoHyphens w:val="0"/>
              <w:autoSpaceDN/>
              <w:spacing w:line="240" w:lineRule="exact"/>
              <w:jc w:val="right"/>
              <w:rPr>
                <w:rFonts w:ascii="Arial" w:eastAsia="Calibri" w:hAnsi="Arial" w:cs="Arial"/>
                <w:b/>
                <w:bCs/>
                <w:spacing w:val="-2"/>
                <w:sz w:val="19"/>
                <w:szCs w:val="19"/>
              </w:rPr>
            </w:pPr>
            <w:r w:rsidRPr="00587444">
              <w:rPr>
                <w:rFonts w:ascii="Arial" w:eastAsia="Calibri" w:hAnsi="Arial" w:cs="Arial"/>
                <w:b/>
                <w:bCs/>
                <w:spacing w:val="-2"/>
                <w:sz w:val="19"/>
                <w:szCs w:val="19"/>
              </w:rPr>
              <w:t>53,893</w:t>
            </w:r>
          </w:p>
        </w:tc>
        <w:tc>
          <w:tcPr>
            <w:tcW w:w="620" w:type="pct"/>
            <w:tcBorders>
              <w:top w:val="single" w:sz="4" w:space="0" w:color="auto"/>
              <w:bottom w:val="single" w:sz="12" w:space="0" w:color="auto"/>
            </w:tcBorders>
            <w:vAlign w:val="bottom"/>
          </w:tcPr>
          <w:p w14:paraId="46CC2962" w14:textId="77777777" w:rsidR="00587444" w:rsidRPr="00587444" w:rsidRDefault="00587444" w:rsidP="00587444">
            <w:pPr>
              <w:suppressAutoHyphens w:val="0"/>
              <w:autoSpaceDN/>
              <w:spacing w:line="240" w:lineRule="exact"/>
              <w:jc w:val="right"/>
              <w:rPr>
                <w:rFonts w:ascii="Arial" w:eastAsia="Calibri" w:hAnsi="Arial" w:cs="Arial"/>
                <w:b/>
                <w:bCs/>
                <w:spacing w:val="-2"/>
                <w:sz w:val="19"/>
                <w:szCs w:val="19"/>
              </w:rPr>
            </w:pPr>
            <w:r w:rsidRPr="00587444">
              <w:rPr>
                <w:rFonts w:ascii="Arial" w:hAnsi="Arial" w:cs="Arial"/>
                <w:b/>
                <w:color w:val="000000"/>
                <w:spacing w:val="-3"/>
                <w:sz w:val="19"/>
                <w:szCs w:val="19"/>
                <w:lang w:val="hr-HR"/>
              </w:rPr>
              <w:t>(21,666)</w:t>
            </w:r>
          </w:p>
        </w:tc>
      </w:tr>
      <w:tr w:rsidR="00587444" w:rsidRPr="00587444" w14:paraId="54CD695A" w14:textId="77777777" w:rsidTr="00DD69E7">
        <w:trPr>
          <w:trHeight w:hRule="exact" w:val="113"/>
        </w:trPr>
        <w:tc>
          <w:tcPr>
            <w:tcW w:w="3760" w:type="pct"/>
            <w:vAlign w:val="center"/>
          </w:tcPr>
          <w:p w14:paraId="7092E767"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b/>
                <w:spacing w:val="-3"/>
                <w:sz w:val="19"/>
                <w:szCs w:val="19"/>
              </w:rPr>
            </w:pPr>
          </w:p>
        </w:tc>
        <w:tc>
          <w:tcPr>
            <w:tcW w:w="620" w:type="pct"/>
            <w:tcBorders>
              <w:top w:val="single" w:sz="4" w:space="0" w:color="auto"/>
            </w:tcBorders>
            <w:vAlign w:val="bottom"/>
          </w:tcPr>
          <w:p w14:paraId="4EC454B3" w14:textId="77777777" w:rsidR="00587444" w:rsidRPr="00587444" w:rsidRDefault="00587444" w:rsidP="00587444">
            <w:pPr>
              <w:suppressAutoHyphens w:val="0"/>
              <w:autoSpaceDN/>
              <w:spacing w:line="240" w:lineRule="exact"/>
              <w:jc w:val="right"/>
              <w:rPr>
                <w:rFonts w:ascii="Arial" w:hAnsi="Arial" w:cs="Arial"/>
                <w:b/>
                <w:color w:val="000000"/>
                <w:spacing w:val="-3"/>
                <w:sz w:val="19"/>
                <w:szCs w:val="19"/>
                <w:lang w:val="hr-HR"/>
              </w:rPr>
            </w:pPr>
          </w:p>
        </w:tc>
        <w:tc>
          <w:tcPr>
            <w:tcW w:w="620" w:type="pct"/>
            <w:tcBorders>
              <w:top w:val="single" w:sz="4" w:space="0" w:color="auto"/>
            </w:tcBorders>
            <w:vAlign w:val="bottom"/>
          </w:tcPr>
          <w:p w14:paraId="5CF241A6" w14:textId="77777777" w:rsidR="00587444" w:rsidRPr="00587444" w:rsidRDefault="00587444" w:rsidP="00587444">
            <w:pPr>
              <w:suppressAutoHyphens w:val="0"/>
              <w:autoSpaceDN/>
              <w:spacing w:line="240" w:lineRule="exact"/>
              <w:jc w:val="right"/>
              <w:rPr>
                <w:rFonts w:ascii="Arial" w:eastAsia="Calibri" w:hAnsi="Arial" w:cs="Arial"/>
                <w:b/>
                <w:bCs/>
                <w:spacing w:val="-2"/>
                <w:sz w:val="19"/>
                <w:szCs w:val="19"/>
              </w:rPr>
            </w:pPr>
          </w:p>
        </w:tc>
      </w:tr>
      <w:tr w:rsidR="00587444" w:rsidRPr="00587444" w14:paraId="33D4C5A6" w14:textId="77777777" w:rsidTr="00DD69E7">
        <w:trPr>
          <w:trHeight w:hRule="exact" w:val="284"/>
        </w:trPr>
        <w:tc>
          <w:tcPr>
            <w:tcW w:w="3760" w:type="pct"/>
            <w:vAlign w:val="bottom"/>
          </w:tcPr>
          <w:p w14:paraId="674F78AF"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z w:val="19"/>
                <w:szCs w:val="19"/>
              </w:rPr>
            </w:pPr>
            <w:bookmarkStart w:id="368" w:name="_Toc4057528"/>
            <w:r w:rsidRPr="00587444">
              <w:rPr>
                <w:rFonts w:ascii="Arial" w:eastAsia="Calibri" w:hAnsi="Arial" w:cs="Arial"/>
                <w:sz w:val="19"/>
                <w:szCs w:val="19"/>
              </w:rPr>
              <w:t>Net (decrease)/increase in cash and cash equivalents</w:t>
            </w:r>
            <w:bookmarkEnd w:id="368"/>
            <w:r w:rsidRPr="00587444">
              <w:rPr>
                <w:rFonts w:ascii="Arial" w:eastAsia="Calibri" w:hAnsi="Arial" w:cs="Arial"/>
                <w:sz w:val="19"/>
                <w:szCs w:val="19"/>
              </w:rPr>
              <w:t xml:space="preserve"> </w:t>
            </w:r>
          </w:p>
        </w:tc>
        <w:tc>
          <w:tcPr>
            <w:tcW w:w="620" w:type="pct"/>
            <w:vAlign w:val="bottom"/>
          </w:tcPr>
          <w:p w14:paraId="6ED5CD5A"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eastAsia="Calibri" w:hAnsi="Arial" w:cs="Arial"/>
                <w:bCs/>
                <w:sz w:val="19"/>
                <w:szCs w:val="19"/>
              </w:rPr>
              <w:t>(237,846)</w:t>
            </w:r>
          </w:p>
        </w:tc>
        <w:tc>
          <w:tcPr>
            <w:tcW w:w="620" w:type="pct"/>
            <w:vAlign w:val="bottom"/>
          </w:tcPr>
          <w:p w14:paraId="1B33F899"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pacing w:val="-2"/>
                <w:sz w:val="19"/>
                <w:szCs w:val="19"/>
                <w:lang w:val="hr-HR"/>
              </w:rPr>
              <w:t>305,619</w:t>
            </w:r>
          </w:p>
        </w:tc>
      </w:tr>
      <w:tr w:rsidR="00587444" w:rsidRPr="00587444" w14:paraId="7261C2EF" w14:textId="77777777" w:rsidTr="00DD69E7">
        <w:trPr>
          <w:trHeight w:hRule="exact" w:val="170"/>
        </w:trPr>
        <w:tc>
          <w:tcPr>
            <w:tcW w:w="3760" w:type="pct"/>
          </w:tcPr>
          <w:p w14:paraId="04AF3066"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z w:val="19"/>
                <w:szCs w:val="19"/>
              </w:rPr>
            </w:pPr>
          </w:p>
        </w:tc>
        <w:tc>
          <w:tcPr>
            <w:tcW w:w="620" w:type="pct"/>
            <w:vAlign w:val="bottom"/>
          </w:tcPr>
          <w:p w14:paraId="4FE06A48"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p>
        </w:tc>
        <w:tc>
          <w:tcPr>
            <w:tcW w:w="620" w:type="pct"/>
            <w:vAlign w:val="bottom"/>
          </w:tcPr>
          <w:p w14:paraId="6F5A32F5"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p>
        </w:tc>
      </w:tr>
      <w:tr w:rsidR="00587444" w:rsidRPr="00587444" w14:paraId="18B85724" w14:textId="77777777" w:rsidTr="00DD69E7">
        <w:trPr>
          <w:trHeight w:hRule="exact" w:val="227"/>
        </w:trPr>
        <w:tc>
          <w:tcPr>
            <w:tcW w:w="3760" w:type="pct"/>
            <w:vAlign w:val="center"/>
          </w:tcPr>
          <w:p w14:paraId="2B803440"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z w:val="19"/>
                <w:szCs w:val="19"/>
              </w:rPr>
            </w:pPr>
            <w:bookmarkStart w:id="369" w:name="_Toc4057531"/>
            <w:r w:rsidRPr="00587444">
              <w:rPr>
                <w:rFonts w:ascii="Arial" w:eastAsia="Calibri" w:hAnsi="Arial" w:cs="Arial"/>
                <w:sz w:val="19"/>
                <w:szCs w:val="19"/>
              </w:rPr>
              <w:t>Cash and cash equivalents balance as of 1 January, before impairment</w:t>
            </w:r>
            <w:bookmarkEnd w:id="369"/>
          </w:p>
        </w:tc>
        <w:tc>
          <w:tcPr>
            <w:tcW w:w="620" w:type="pct"/>
            <w:tcBorders>
              <w:top w:val="nil"/>
              <w:left w:val="nil"/>
              <w:bottom w:val="nil"/>
              <w:right w:val="nil"/>
            </w:tcBorders>
            <w:shd w:val="clear" w:color="auto" w:fill="auto"/>
            <w:vAlign w:val="bottom"/>
          </w:tcPr>
          <w:p w14:paraId="7061449A"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eastAsia="Calibri" w:hAnsi="Arial" w:cs="Arial"/>
                <w:bCs/>
                <w:sz w:val="19"/>
                <w:szCs w:val="19"/>
              </w:rPr>
              <w:t>1,960,424</w:t>
            </w:r>
          </w:p>
        </w:tc>
        <w:tc>
          <w:tcPr>
            <w:tcW w:w="620" w:type="pct"/>
            <w:tcBorders>
              <w:top w:val="nil"/>
              <w:left w:val="nil"/>
              <w:bottom w:val="nil"/>
              <w:right w:val="nil"/>
            </w:tcBorders>
            <w:shd w:val="clear" w:color="auto" w:fill="auto"/>
            <w:vAlign w:val="bottom"/>
          </w:tcPr>
          <w:p w14:paraId="5E91C17A"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pacing w:val="-2"/>
                <w:sz w:val="19"/>
                <w:szCs w:val="19"/>
                <w:lang w:val="hr-HR"/>
              </w:rPr>
              <w:t>1,654,805</w:t>
            </w:r>
          </w:p>
        </w:tc>
      </w:tr>
      <w:tr w:rsidR="00587444" w:rsidRPr="00587444" w14:paraId="0AD97420" w14:textId="77777777" w:rsidTr="00DD69E7">
        <w:trPr>
          <w:trHeight w:hRule="exact" w:val="227"/>
        </w:trPr>
        <w:tc>
          <w:tcPr>
            <w:tcW w:w="3760" w:type="pct"/>
            <w:vAlign w:val="center"/>
          </w:tcPr>
          <w:p w14:paraId="72F3B02E" w14:textId="77777777" w:rsidR="00587444" w:rsidRPr="00587444" w:rsidRDefault="00587444" w:rsidP="00587444">
            <w:pPr>
              <w:keepLines/>
              <w:tabs>
                <w:tab w:val="right" w:pos="1202"/>
              </w:tabs>
              <w:suppressAutoHyphens w:val="0"/>
              <w:autoSpaceDN/>
              <w:spacing w:line="260" w:lineRule="exact"/>
              <w:outlineLvl w:val="0"/>
              <w:rPr>
                <w:rFonts w:ascii="Arial" w:eastAsia="Calibri" w:hAnsi="Arial" w:cs="Arial"/>
                <w:sz w:val="19"/>
                <w:szCs w:val="19"/>
              </w:rPr>
            </w:pPr>
            <w:bookmarkStart w:id="370" w:name="_Toc4057534"/>
            <w:r w:rsidRPr="00587444">
              <w:rPr>
                <w:rFonts w:ascii="Arial" w:eastAsia="Calibri" w:hAnsi="Arial" w:cs="Arial"/>
                <w:sz w:val="19"/>
                <w:szCs w:val="19"/>
              </w:rPr>
              <w:t>Net (decrease)/increase in cash and cash equivalents</w:t>
            </w:r>
            <w:bookmarkEnd w:id="370"/>
          </w:p>
        </w:tc>
        <w:tc>
          <w:tcPr>
            <w:tcW w:w="620" w:type="pct"/>
            <w:tcBorders>
              <w:top w:val="nil"/>
              <w:left w:val="nil"/>
              <w:bottom w:val="nil"/>
              <w:right w:val="nil"/>
            </w:tcBorders>
            <w:shd w:val="clear" w:color="auto" w:fill="auto"/>
            <w:vAlign w:val="bottom"/>
          </w:tcPr>
          <w:p w14:paraId="09BAC615"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eastAsia="Calibri" w:hAnsi="Arial" w:cs="Arial"/>
                <w:bCs/>
                <w:sz w:val="19"/>
                <w:szCs w:val="19"/>
              </w:rPr>
              <w:t>(237,846)</w:t>
            </w:r>
          </w:p>
        </w:tc>
        <w:tc>
          <w:tcPr>
            <w:tcW w:w="620" w:type="pct"/>
            <w:tcBorders>
              <w:top w:val="nil"/>
              <w:left w:val="nil"/>
              <w:bottom w:val="nil"/>
              <w:right w:val="nil"/>
            </w:tcBorders>
            <w:shd w:val="clear" w:color="auto" w:fill="auto"/>
            <w:vAlign w:val="bottom"/>
          </w:tcPr>
          <w:p w14:paraId="5D4DC05C"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pacing w:val="-2"/>
                <w:sz w:val="19"/>
                <w:szCs w:val="19"/>
                <w:lang w:val="hr-HR"/>
              </w:rPr>
              <w:t>305,619</w:t>
            </w:r>
          </w:p>
        </w:tc>
      </w:tr>
      <w:tr w:rsidR="00587444" w:rsidRPr="00587444" w14:paraId="17FB976D" w14:textId="77777777" w:rsidTr="00DD69E7">
        <w:trPr>
          <w:trHeight w:hRule="exact" w:val="334"/>
        </w:trPr>
        <w:tc>
          <w:tcPr>
            <w:tcW w:w="3760" w:type="pct"/>
            <w:vAlign w:val="bottom"/>
          </w:tcPr>
          <w:p w14:paraId="534895EA"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b/>
                <w:bCs/>
                <w:sz w:val="19"/>
                <w:szCs w:val="19"/>
              </w:rPr>
            </w:pPr>
            <w:bookmarkStart w:id="371" w:name="_Toc4057537"/>
            <w:r w:rsidRPr="00587444">
              <w:rPr>
                <w:rFonts w:ascii="Arial" w:eastAsia="Calibri" w:hAnsi="Arial" w:cs="Arial"/>
                <w:b/>
                <w:bCs/>
                <w:sz w:val="19"/>
                <w:szCs w:val="19"/>
              </w:rPr>
              <w:t xml:space="preserve">Cash and cash equivalents balance as </w:t>
            </w:r>
            <w:proofErr w:type="gramStart"/>
            <w:r w:rsidRPr="00587444">
              <w:rPr>
                <w:rFonts w:ascii="Arial" w:eastAsia="Calibri" w:hAnsi="Arial" w:cs="Arial"/>
                <w:b/>
                <w:bCs/>
                <w:sz w:val="19"/>
                <w:szCs w:val="19"/>
              </w:rPr>
              <w:t>at</w:t>
            </w:r>
            <w:proofErr w:type="gramEnd"/>
            <w:r w:rsidRPr="00587444">
              <w:rPr>
                <w:rFonts w:ascii="Arial" w:eastAsia="Calibri" w:hAnsi="Arial" w:cs="Arial"/>
                <w:b/>
                <w:bCs/>
                <w:sz w:val="19"/>
                <w:szCs w:val="19"/>
              </w:rPr>
              <w:t xml:space="preserve"> 31 December, before</w:t>
            </w:r>
            <w:r w:rsidRPr="00587444">
              <w:rPr>
                <w:rFonts w:ascii="Arial" w:eastAsia="Calibri" w:hAnsi="Arial" w:cs="Arial"/>
                <w:sz w:val="19"/>
                <w:szCs w:val="19"/>
              </w:rPr>
              <w:t xml:space="preserve"> </w:t>
            </w:r>
            <w:r w:rsidRPr="00587444">
              <w:rPr>
                <w:rFonts w:ascii="Arial" w:eastAsia="Calibri" w:hAnsi="Arial" w:cs="Arial"/>
                <w:b/>
                <w:bCs/>
                <w:sz w:val="19"/>
                <w:szCs w:val="19"/>
              </w:rPr>
              <w:t>impairment    12</w:t>
            </w:r>
            <w:bookmarkEnd w:id="371"/>
          </w:p>
        </w:tc>
        <w:tc>
          <w:tcPr>
            <w:tcW w:w="620" w:type="pct"/>
            <w:tcBorders>
              <w:top w:val="single" w:sz="4" w:space="0" w:color="auto"/>
              <w:bottom w:val="single" w:sz="12" w:space="0" w:color="auto"/>
            </w:tcBorders>
            <w:vAlign w:val="bottom"/>
          </w:tcPr>
          <w:p w14:paraId="22AC04E1" w14:textId="77777777" w:rsidR="00587444" w:rsidRPr="00587444" w:rsidRDefault="00587444" w:rsidP="00587444">
            <w:pPr>
              <w:suppressAutoHyphens w:val="0"/>
              <w:autoSpaceDN/>
              <w:spacing w:line="240" w:lineRule="exact"/>
              <w:jc w:val="right"/>
              <w:rPr>
                <w:rFonts w:ascii="Arial" w:eastAsia="Calibri" w:hAnsi="Arial" w:cs="Arial"/>
                <w:b/>
                <w:bCs/>
                <w:spacing w:val="-2"/>
                <w:sz w:val="19"/>
                <w:szCs w:val="19"/>
              </w:rPr>
            </w:pPr>
            <w:r w:rsidRPr="00587444">
              <w:rPr>
                <w:rFonts w:ascii="Arial" w:eastAsia="Calibri" w:hAnsi="Arial" w:cs="Arial"/>
                <w:b/>
                <w:bCs/>
                <w:spacing w:val="-2"/>
                <w:sz w:val="19"/>
                <w:szCs w:val="19"/>
              </w:rPr>
              <w:t>1,722,578</w:t>
            </w:r>
          </w:p>
        </w:tc>
        <w:tc>
          <w:tcPr>
            <w:tcW w:w="620" w:type="pct"/>
            <w:tcBorders>
              <w:top w:val="single" w:sz="4" w:space="0" w:color="auto"/>
              <w:bottom w:val="single" w:sz="12" w:space="0" w:color="auto"/>
            </w:tcBorders>
            <w:vAlign w:val="bottom"/>
          </w:tcPr>
          <w:p w14:paraId="3C440188" w14:textId="77777777" w:rsidR="00587444" w:rsidRPr="00587444" w:rsidRDefault="00587444" w:rsidP="00587444">
            <w:pPr>
              <w:suppressAutoHyphens w:val="0"/>
              <w:autoSpaceDN/>
              <w:spacing w:line="240" w:lineRule="exact"/>
              <w:jc w:val="right"/>
              <w:rPr>
                <w:rFonts w:ascii="Arial" w:eastAsia="Calibri" w:hAnsi="Arial" w:cs="Arial"/>
                <w:b/>
                <w:bCs/>
                <w:spacing w:val="-2"/>
                <w:sz w:val="19"/>
                <w:szCs w:val="19"/>
              </w:rPr>
            </w:pPr>
            <w:r w:rsidRPr="00587444">
              <w:rPr>
                <w:rFonts w:ascii="Arial" w:hAnsi="Arial" w:cs="Arial"/>
                <w:b/>
                <w:bCs/>
                <w:color w:val="000000"/>
                <w:spacing w:val="-2"/>
                <w:sz w:val="19"/>
                <w:szCs w:val="19"/>
                <w:lang w:val="hr-HR"/>
              </w:rPr>
              <w:t>1,960,424</w:t>
            </w:r>
          </w:p>
        </w:tc>
      </w:tr>
      <w:tr w:rsidR="00587444" w:rsidRPr="00587444" w14:paraId="3573B226" w14:textId="77777777" w:rsidTr="00DD69E7">
        <w:trPr>
          <w:trHeight w:hRule="exact" w:val="113"/>
        </w:trPr>
        <w:tc>
          <w:tcPr>
            <w:tcW w:w="3760" w:type="pct"/>
          </w:tcPr>
          <w:p w14:paraId="29ECDBFC"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b/>
                <w:bCs/>
                <w:sz w:val="19"/>
                <w:szCs w:val="19"/>
              </w:rPr>
            </w:pPr>
          </w:p>
        </w:tc>
        <w:tc>
          <w:tcPr>
            <w:tcW w:w="620" w:type="pct"/>
            <w:tcBorders>
              <w:top w:val="single" w:sz="4" w:space="0" w:color="auto"/>
            </w:tcBorders>
            <w:shd w:val="clear" w:color="auto" w:fill="auto"/>
            <w:vAlign w:val="bottom"/>
          </w:tcPr>
          <w:p w14:paraId="7EC00C8A" w14:textId="77777777" w:rsidR="00587444" w:rsidRPr="00587444" w:rsidRDefault="00587444" w:rsidP="00587444">
            <w:pPr>
              <w:suppressAutoHyphens w:val="0"/>
              <w:autoSpaceDN/>
              <w:spacing w:line="240" w:lineRule="exact"/>
              <w:jc w:val="right"/>
              <w:rPr>
                <w:rFonts w:ascii="Arial" w:hAnsi="Arial" w:cs="Arial"/>
                <w:b/>
                <w:bCs/>
                <w:spacing w:val="-2"/>
                <w:sz w:val="19"/>
                <w:szCs w:val="19"/>
              </w:rPr>
            </w:pPr>
          </w:p>
        </w:tc>
        <w:tc>
          <w:tcPr>
            <w:tcW w:w="620" w:type="pct"/>
            <w:tcBorders>
              <w:top w:val="single" w:sz="4" w:space="0" w:color="auto"/>
            </w:tcBorders>
            <w:shd w:val="clear" w:color="auto" w:fill="auto"/>
            <w:vAlign w:val="bottom"/>
          </w:tcPr>
          <w:p w14:paraId="28ADFA9A" w14:textId="77777777" w:rsidR="00587444" w:rsidRPr="00587444" w:rsidRDefault="00587444" w:rsidP="00587444">
            <w:pPr>
              <w:suppressAutoHyphens w:val="0"/>
              <w:autoSpaceDN/>
              <w:spacing w:line="240" w:lineRule="exact"/>
              <w:jc w:val="right"/>
              <w:rPr>
                <w:rFonts w:ascii="Arial" w:hAnsi="Arial" w:cs="Arial"/>
                <w:b/>
                <w:bCs/>
                <w:spacing w:val="-2"/>
                <w:sz w:val="19"/>
                <w:szCs w:val="19"/>
              </w:rPr>
            </w:pPr>
          </w:p>
        </w:tc>
      </w:tr>
      <w:tr w:rsidR="00587444" w:rsidRPr="00587444" w14:paraId="5544A3A3" w14:textId="77777777" w:rsidTr="00DD69E7">
        <w:trPr>
          <w:trHeight w:hRule="exact" w:val="227"/>
        </w:trPr>
        <w:tc>
          <w:tcPr>
            <w:tcW w:w="3760" w:type="pct"/>
            <w:vAlign w:val="bottom"/>
          </w:tcPr>
          <w:p w14:paraId="32862B3B" w14:textId="77777777" w:rsidR="00587444" w:rsidRPr="00587444" w:rsidRDefault="00587444" w:rsidP="00587444">
            <w:pPr>
              <w:keepLines/>
              <w:tabs>
                <w:tab w:val="decimal" w:pos="1202"/>
              </w:tabs>
              <w:suppressAutoHyphens w:val="0"/>
              <w:autoSpaceDN/>
              <w:spacing w:line="240" w:lineRule="exact"/>
              <w:rPr>
                <w:rFonts w:ascii="Arial" w:eastAsia="Calibri" w:hAnsi="Arial" w:cs="Arial"/>
                <w:b/>
                <w:position w:val="4"/>
                <w:sz w:val="19"/>
                <w:szCs w:val="19"/>
              </w:rPr>
            </w:pPr>
            <w:r w:rsidRPr="00587444">
              <w:rPr>
                <w:rFonts w:ascii="Arial" w:eastAsia="Calibri" w:hAnsi="Arial" w:cs="Arial"/>
                <w:b/>
                <w:position w:val="4"/>
                <w:sz w:val="19"/>
                <w:szCs w:val="19"/>
              </w:rPr>
              <w:t xml:space="preserve">Additional note – operating activities </w:t>
            </w:r>
          </w:p>
        </w:tc>
        <w:tc>
          <w:tcPr>
            <w:tcW w:w="620" w:type="pct"/>
            <w:shd w:val="clear" w:color="auto" w:fill="auto"/>
            <w:vAlign w:val="bottom"/>
          </w:tcPr>
          <w:p w14:paraId="60353E97" w14:textId="77777777" w:rsidR="00587444" w:rsidRPr="00587444" w:rsidRDefault="00587444" w:rsidP="00587444">
            <w:pPr>
              <w:keepLines/>
              <w:suppressAutoHyphens w:val="0"/>
              <w:autoSpaceDN/>
              <w:spacing w:line="240" w:lineRule="exact"/>
              <w:jc w:val="right"/>
              <w:rPr>
                <w:rFonts w:ascii="Arial" w:eastAsia="Calibri" w:hAnsi="Arial" w:cs="Arial"/>
                <w:b/>
                <w:position w:val="4"/>
                <w:sz w:val="19"/>
                <w:szCs w:val="19"/>
              </w:rPr>
            </w:pPr>
          </w:p>
        </w:tc>
        <w:tc>
          <w:tcPr>
            <w:tcW w:w="620" w:type="pct"/>
            <w:shd w:val="clear" w:color="auto" w:fill="auto"/>
            <w:vAlign w:val="bottom"/>
          </w:tcPr>
          <w:p w14:paraId="75AEFD9F" w14:textId="77777777" w:rsidR="00587444" w:rsidRPr="00587444" w:rsidRDefault="00587444" w:rsidP="00587444">
            <w:pPr>
              <w:keepLines/>
              <w:suppressAutoHyphens w:val="0"/>
              <w:autoSpaceDN/>
              <w:spacing w:line="240" w:lineRule="exact"/>
              <w:jc w:val="right"/>
              <w:rPr>
                <w:rFonts w:ascii="Arial" w:eastAsia="Calibri" w:hAnsi="Arial" w:cs="Arial"/>
                <w:b/>
                <w:position w:val="4"/>
                <w:sz w:val="19"/>
                <w:szCs w:val="19"/>
              </w:rPr>
            </w:pPr>
          </w:p>
        </w:tc>
      </w:tr>
      <w:tr w:rsidR="00587444" w:rsidRPr="00587444" w14:paraId="6AC9EAD5" w14:textId="77777777" w:rsidTr="00DD69E7">
        <w:trPr>
          <w:trHeight w:hRule="exact" w:val="227"/>
        </w:trPr>
        <w:tc>
          <w:tcPr>
            <w:tcW w:w="3760" w:type="pct"/>
            <w:vAlign w:val="bottom"/>
          </w:tcPr>
          <w:p w14:paraId="45468D30"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z w:val="19"/>
                <w:szCs w:val="19"/>
              </w:rPr>
            </w:pPr>
            <w:r w:rsidRPr="00587444">
              <w:rPr>
                <w:rFonts w:ascii="Arial" w:eastAsia="Calibri" w:hAnsi="Arial" w:cs="Arial"/>
                <w:sz w:val="19"/>
                <w:szCs w:val="19"/>
              </w:rPr>
              <w:t>Interest paid</w:t>
            </w:r>
          </w:p>
        </w:tc>
        <w:tc>
          <w:tcPr>
            <w:tcW w:w="620" w:type="pct"/>
            <w:tcBorders>
              <w:top w:val="nil"/>
              <w:left w:val="nil"/>
              <w:bottom w:val="nil"/>
              <w:right w:val="nil"/>
            </w:tcBorders>
            <w:shd w:val="clear" w:color="auto" w:fill="auto"/>
            <w:vAlign w:val="bottom"/>
          </w:tcPr>
          <w:p w14:paraId="3EA356A2"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z w:val="19"/>
                <w:szCs w:val="19"/>
                <w:lang w:val="hr-HR"/>
              </w:rPr>
            </w:pPr>
            <w:r w:rsidRPr="00587444">
              <w:rPr>
                <w:rFonts w:ascii="Arial" w:hAnsi="Arial" w:cs="Arial"/>
                <w:color w:val="000000"/>
                <w:sz w:val="19"/>
                <w:szCs w:val="19"/>
                <w:lang w:val="hr-HR"/>
              </w:rPr>
              <w:t>167,604</w:t>
            </w:r>
          </w:p>
        </w:tc>
        <w:tc>
          <w:tcPr>
            <w:tcW w:w="620" w:type="pct"/>
            <w:tcBorders>
              <w:top w:val="nil"/>
              <w:left w:val="nil"/>
              <w:bottom w:val="nil"/>
              <w:right w:val="nil"/>
            </w:tcBorders>
            <w:shd w:val="clear" w:color="auto" w:fill="auto"/>
            <w:vAlign w:val="center"/>
          </w:tcPr>
          <w:p w14:paraId="1B3F69C8"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z w:val="19"/>
                <w:szCs w:val="19"/>
                <w:lang w:val="hr-HR"/>
              </w:rPr>
              <w:t>185,187</w:t>
            </w:r>
          </w:p>
        </w:tc>
      </w:tr>
      <w:tr w:rsidR="00587444" w:rsidRPr="00587444" w14:paraId="3743B2EA" w14:textId="77777777" w:rsidTr="00DD69E7">
        <w:trPr>
          <w:trHeight w:hRule="exact" w:val="227"/>
        </w:trPr>
        <w:tc>
          <w:tcPr>
            <w:tcW w:w="3760" w:type="pct"/>
            <w:vAlign w:val="bottom"/>
          </w:tcPr>
          <w:p w14:paraId="5F42CAAA"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sz w:val="19"/>
                <w:szCs w:val="19"/>
              </w:rPr>
            </w:pPr>
            <w:r w:rsidRPr="00587444">
              <w:rPr>
                <w:rFonts w:ascii="Arial" w:eastAsia="Calibri" w:hAnsi="Arial" w:cs="Arial"/>
                <w:sz w:val="19"/>
                <w:szCs w:val="19"/>
              </w:rPr>
              <w:t>Interest received</w:t>
            </w:r>
          </w:p>
        </w:tc>
        <w:tc>
          <w:tcPr>
            <w:tcW w:w="620" w:type="pct"/>
            <w:tcBorders>
              <w:top w:val="nil"/>
              <w:left w:val="nil"/>
              <w:bottom w:val="nil"/>
              <w:right w:val="nil"/>
            </w:tcBorders>
            <w:shd w:val="clear" w:color="auto" w:fill="auto"/>
            <w:vAlign w:val="bottom"/>
          </w:tcPr>
          <w:p w14:paraId="2065BB25" w14:textId="77777777" w:rsidR="00587444" w:rsidRPr="00587444" w:rsidRDefault="00587444" w:rsidP="00587444">
            <w:pPr>
              <w:keepLines/>
              <w:tabs>
                <w:tab w:val="right" w:pos="1202"/>
              </w:tabs>
              <w:suppressAutoHyphens w:val="0"/>
              <w:autoSpaceDN/>
              <w:spacing w:line="240" w:lineRule="exact"/>
              <w:jc w:val="right"/>
              <w:outlineLvl w:val="0"/>
              <w:rPr>
                <w:rFonts w:ascii="Arial" w:hAnsi="Arial" w:cs="Arial"/>
                <w:color w:val="000000"/>
                <w:sz w:val="19"/>
                <w:szCs w:val="19"/>
                <w:lang w:val="hr-HR"/>
              </w:rPr>
            </w:pPr>
            <w:r w:rsidRPr="00587444">
              <w:rPr>
                <w:rFonts w:ascii="Arial" w:hAnsi="Arial" w:cs="Arial"/>
                <w:color w:val="000000"/>
                <w:sz w:val="19"/>
                <w:szCs w:val="19"/>
                <w:lang w:val="hr-HR"/>
              </w:rPr>
              <w:t>590,191</w:t>
            </w:r>
          </w:p>
        </w:tc>
        <w:tc>
          <w:tcPr>
            <w:tcW w:w="620" w:type="pct"/>
            <w:tcBorders>
              <w:top w:val="nil"/>
              <w:left w:val="nil"/>
              <w:bottom w:val="nil"/>
              <w:right w:val="nil"/>
            </w:tcBorders>
            <w:shd w:val="clear" w:color="auto" w:fill="auto"/>
            <w:vAlign w:val="center"/>
          </w:tcPr>
          <w:p w14:paraId="79C936AE"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Cs/>
                <w:sz w:val="19"/>
                <w:szCs w:val="19"/>
              </w:rPr>
            </w:pPr>
            <w:r w:rsidRPr="00587444">
              <w:rPr>
                <w:rFonts w:ascii="Arial" w:hAnsi="Arial" w:cs="Arial"/>
                <w:color w:val="000000"/>
                <w:spacing w:val="-2"/>
                <w:sz w:val="19"/>
                <w:szCs w:val="19"/>
                <w:lang w:val="hr-HR"/>
              </w:rPr>
              <w:t>664,320</w:t>
            </w:r>
          </w:p>
        </w:tc>
      </w:tr>
    </w:tbl>
    <w:p w14:paraId="3B337EAB" w14:textId="77777777" w:rsidR="00587444" w:rsidRPr="00587444" w:rsidRDefault="00587444" w:rsidP="00587444">
      <w:pPr>
        <w:suppressAutoHyphens w:val="0"/>
        <w:autoSpaceDN/>
        <w:rPr>
          <w:rFonts w:ascii="Arial" w:eastAsia="Calibri" w:hAnsi="Arial" w:cs="Arial"/>
          <w:i/>
          <w:sz w:val="20"/>
          <w:szCs w:val="20"/>
        </w:rPr>
      </w:pPr>
    </w:p>
    <w:p w14:paraId="418F40C9" w14:textId="77777777" w:rsidR="00587444" w:rsidRPr="00587444" w:rsidRDefault="00587444" w:rsidP="00587444">
      <w:pPr>
        <w:suppressAutoHyphens w:val="0"/>
        <w:autoSpaceDN/>
        <w:rPr>
          <w:rFonts w:ascii="Arial" w:hAnsi="Arial" w:cs="Arial"/>
          <w:sz w:val="20"/>
          <w:szCs w:val="20"/>
          <w:lang w:val="en-GB"/>
        </w:rPr>
      </w:pPr>
    </w:p>
    <w:p w14:paraId="2FB5309E" w14:textId="77777777" w:rsidR="00587444" w:rsidRPr="00587444" w:rsidRDefault="00587444" w:rsidP="00587444">
      <w:pPr>
        <w:suppressAutoHyphens w:val="0"/>
        <w:autoSpaceDN/>
        <w:rPr>
          <w:rFonts w:ascii="Arial" w:hAnsi="Arial" w:cs="Arial"/>
          <w:sz w:val="20"/>
          <w:szCs w:val="20"/>
          <w:lang w:val="en-GB"/>
        </w:rPr>
      </w:pPr>
    </w:p>
    <w:p w14:paraId="5516EFD2" w14:textId="77777777" w:rsidR="00587444" w:rsidRPr="00587444" w:rsidRDefault="00587444" w:rsidP="00587444">
      <w:pPr>
        <w:suppressAutoHyphens w:val="0"/>
        <w:autoSpaceDN/>
        <w:rPr>
          <w:rFonts w:ascii="Arial" w:hAnsi="Arial" w:cs="Arial"/>
          <w:sz w:val="20"/>
          <w:szCs w:val="20"/>
          <w:highlight w:val="yellow"/>
          <w:lang w:val="en-GB"/>
        </w:rPr>
        <w:sectPr w:rsidR="00587444" w:rsidRPr="00587444" w:rsidSect="00DD69E7">
          <w:headerReference w:type="default" r:id="rId73"/>
          <w:footerReference w:type="default" r:id="rId74"/>
          <w:pgSz w:w="11907" w:h="16840" w:code="9"/>
          <w:pgMar w:top="1418" w:right="992" w:bottom="1134" w:left="1418" w:header="851" w:footer="851" w:gutter="0"/>
          <w:cols w:space="720"/>
          <w:noEndnote/>
        </w:sectPr>
      </w:pPr>
      <w:r w:rsidRPr="00587444">
        <w:rPr>
          <w:rFonts w:ascii="Arial" w:hAnsi="Arial" w:cs="Arial"/>
          <w:sz w:val="20"/>
          <w:szCs w:val="20"/>
          <w:lang w:val="en-GB"/>
        </w:rPr>
        <w:t>The accompanying accounting policies and notes are an integral part of these financial statements.</w:t>
      </w:r>
    </w:p>
    <w:p w14:paraId="6BFB1DA2" w14:textId="77777777" w:rsidR="00587444" w:rsidRPr="00587444" w:rsidRDefault="00587444" w:rsidP="00587444">
      <w:pPr>
        <w:suppressAutoHyphens w:val="0"/>
        <w:autoSpaceDN/>
        <w:rPr>
          <w:rFonts w:ascii="Arial" w:hAnsi="Arial" w:cs="Arial"/>
          <w:sz w:val="20"/>
          <w:szCs w:val="20"/>
          <w:highlight w:val="yellow"/>
          <w:lang w:val="en-GB"/>
        </w:rPr>
      </w:pPr>
    </w:p>
    <w:p w14:paraId="1BACC198" w14:textId="77777777" w:rsidR="00587444" w:rsidRPr="00587444" w:rsidRDefault="00587444" w:rsidP="00587444">
      <w:pPr>
        <w:suppressAutoHyphens w:val="0"/>
        <w:autoSpaceDN/>
        <w:rPr>
          <w:rFonts w:ascii="Arial" w:hAnsi="Arial" w:cs="Arial"/>
          <w:sz w:val="20"/>
          <w:szCs w:val="20"/>
          <w:highlight w:val="yellow"/>
          <w:lang w:val="en-GB"/>
        </w:rPr>
      </w:pPr>
    </w:p>
    <w:tbl>
      <w:tblPr>
        <w:tblpPr w:leftFromText="180" w:rightFromText="180" w:vertAnchor="page" w:horzAnchor="margin" w:tblpY="2790"/>
        <w:tblW w:w="5075" w:type="pct"/>
        <w:tblLayout w:type="fixed"/>
        <w:tblCellMar>
          <w:left w:w="120" w:type="dxa"/>
          <w:right w:w="57" w:type="dxa"/>
        </w:tblCellMar>
        <w:tblLook w:val="0000" w:firstRow="0" w:lastRow="0" w:firstColumn="0" w:lastColumn="0" w:noHBand="0" w:noVBand="0"/>
      </w:tblPr>
      <w:tblGrid>
        <w:gridCol w:w="2889"/>
        <w:gridCol w:w="1155"/>
        <w:gridCol w:w="1155"/>
        <w:gridCol w:w="1155"/>
        <w:gridCol w:w="1155"/>
        <w:gridCol w:w="1155"/>
        <w:gridCol w:w="1155"/>
      </w:tblGrid>
      <w:tr w:rsidR="00587444" w:rsidRPr="00587444" w14:paraId="0EFD3328" w14:textId="77777777" w:rsidTr="00DD69E7">
        <w:trPr>
          <w:trHeight w:val="841"/>
        </w:trPr>
        <w:tc>
          <w:tcPr>
            <w:tcW w:w="1471" w:type="pct"/>
          </w:tcPr>
          <w:p w14:paraId="4D8BB3DE" w14:textId="77777777" w:rsidR="00587444" w:rsidRPr="00587444" w:rsidRDefault="00587444" w:rsidP="00587444">
            <w:pPr>
              <w:tabs>
                <w:tab w:val="right" w:pos="1202"/>
              </w:tabs>
              <w:suppressAutoHyphens w:val="0"/>
              <w:autoSpaceDN/>
              <w:outlineLvl w:val="0"/>
              <w:rPr>
                <w:rFonts w:ascii="Arial" w:eastAsia="Calibri" w:hAnsi="Arial" w:cs="Arial"/>
                <w:b/>
                <w:iCs/>
                <w:sz w:val="17"/>
                <w:szCs w:val="17"/>
              </w:rPr>
            </w:pPr>
          </w:p>
        </w:tc>
        <w:tc>
          <w:tcPr>
            <w:tcW w:w="588" w:type="pct"/>
            <w:vAlign w:val="bottom"/>
          </w:tcPr>
          <w:p w14:paraId="038028B7"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72" w:name="_Toc4057542"/>
            <w:r w:rsidRPr="00587444">
              <w:rPr>
                <w:rFonts w:ascii="Arial" w:eastAsia="Calibri" w:hAnsi="Arial" w:cs="Arial"/>
                <w:b/>
                <w:iCs/>
                <w:sz w:val="17"/>
                <w:szCs w:val="17"/>
              </w:rPr>
              <w:t>Founder’s capital</w:t>
            </w:r>
            <w:bookmarkEnd w:id="372"/>
            <w:r w:rsidRPr="00587444">
              <w:rPr>
                <w:rFonts w:ascii="Arial" w:eastAsia="Calibri" w:hAnsi="Arial" w:cs="Arial"/>
                <w:b/>
                <w:iCs/>
                <w:sz w:val="17"/>
                <w:szCs w:val="17"/>
              </w:rPr>
              <w:t xml:space="preserve"> </w:t>
            </w:r>
          </w:p>
        </w:tc>
        <w:tc>
          <w:tcPr>
            <w:tcW w:w="588" w:type="pct"/>
            <w:vAlign w:val="bottom"/>
          </w:tcPr>
          <w:p w14:paraId="66A69885"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73" w:name="_Toc4057543"/>
            <w:r w:rsidRPr="00587444">
              <w:rPr>
                <w:rFonts w:ascii="Arial" w:eastAsia="Calibri" w:hAnsi="Arial" w:cs="Arial"/>
                <w:b/>
                <w:iCs/>
                <w:sz w:val="17"/>
                <w:szCs w:val="17"/>
              </w:rPr>
              <w:t>Retained earnings and reserves</w:t>
            </w:r>
            <w:bookmarkEnd w:id="373"/>
            <w:r w:rsidRPr="00587444">
              <w:rPr>
                <w:rFonts w:ascii="Arial" w:eastAsia="Calibri" w:hAnsi="Arial" w:cs="Arial"/>
                <w:b/>
                <w:iCs/>
                <w:sz w:val="17"/>
                <w:szCs w:val="17"/>
              </w:rPr>
              <w:t xml:space="preserve"> </w:t>
            </w:r>
          </w:p>
        </w:tc>
        <w:tc>
          <w:tcPr>
            <w:tcW w:w="588" w:type="pct"/>
            <w:vAlign w:val="bottom"/>
          </w:tcPr>
          <w:p w14:paraId="20360E52"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74" w:name="_Toc4057544"/>
            <w:r w:rsidRPr="00587444">
              <w:rPr>
                <w:rFonts w:ascii="Arial" w:eastAsia="Calibri" w:hAnsi="Arial" w:cs="Arial"/>
                <w:b/>
                <w:iCs/>
                <w:sz w:val="17"/>
                <w:szCs w:val="17"/>
              </w:rPr>
              <w:t>Other</w:t>
            </w:r>
            <w:bookmarkEnd w:id="374"/>
            <w:r w:rsidRPr="00587444">
              <w:rPr>
                <w:rFonts w:ascii="Arial" w:eastAsia="Calibri" w:hAnsi="Arial" w:cs="Arial"/>
                <w:b/>
                <w:iCs/>
                <w:sz w:val="17"/>
                <w:szCs w:val="17"/>
              </w:rPr>
              <w:t xml:space="preserve"> </w:t>
            </w:r>
          </w:p>
          <w:p w14:paraId="54D017C2"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75" w:name="_Toc4057545"/>
            <w:r w:rsidRPr="00587444">
              <w:rPr>
                <w:rFonts w:ascii="Arial" w:eastAsia="Calibri" w:hAnsi="Arial" w:cs="Arial"/>
                <w:b/>
                <w:iCs/>
                <w:sz w:val="17"/>
                <w:szCs w:val="17"/>
              </w:rPr>
              <w:t>reserves</w:t>
            </w:r>
            <w:bookmarkEnd w:id="375"/>
          </w:p>
        </w:tc>
        <w:tc>
          <w:tcPr>
            <w:tcW w:w="588" w:type="pct"/>
            <w:vAlign w:val="bottom"/>
          </w:tcPr>
          <w:p w14:paraId="4E2C619D"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76" w:name="_Toc4057546"/>
            <w:r w:rsidRPr="00587444">
              <w:rPr>
                <w:rFonts w:ascii="Arial" w:eastAsia="Calibri" w:hAnsi="Arial" w:cs="Arial"/>
                <w:b/>
                <w:iCs/>
                <w:sz w:val="17"/>
                <w:szCs w:val="17"/>
              </w:rPr>
              <w:t>Profit</w:t>
            </w:r>
            <w:bookmarkEnd w:id="376"/>
            <w:r w:rsidRPr="00587444">
              <w:rPr>
                <w:rFonts w:ascii="Arial" w:eastAsia="Calibri" w:hAnsi="Arial" w:cs="Arial"/>
                <w:b/>
                <w:iCs/>
                <w:sz w:val="17"/>
                <w:szCs w:val="17"/>
              </w:rPr>
              <w:t xml:space="preserve"> </w:t>
            </w:r>
          </w:p>
          <w:p w14:paraId="17A9B2B5"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77" w:name="_Toc4057547"/>
            <w:r w:rsidRPr="00587444">
              <w:rPr>
                <w:rFonts w:ascii="Arial" w:eastAsia="Calibri" w:hAnsi="Arial" w:cs="Arial"/>
                <w:b/>
                <w:iCs/>
                <w:sz w:val="17"/>
                <w:szCs w:val="17"/>
              </w:rPr>
              <w:t>for the year</w:t>
            </w:r>
            <w:bookmarkEnd w:id="377"/>
            <w:r w:rsidRPr="00587444">
              <w:rPr>
                <w:rFonts w:ascii="Arial" w:eastAsia="Calibri" w:hAnsi="Arial" w:cs="Arial"/>
                <w:b/>
                <w:iCs/>
                <w:sz w:val="17"/>
                <w:szCs w:val="17"/>
              </w:rPr>
              <w:t xml:space="preserve"> </w:t>
            </w:r>
          </w:p>
        </w:tc>
        <w:tc>
          <w:tcPr>
            <w:tcW w:w="588" w:type="pct"/>
            <w:vAlign w:val="bottom"/>
          </w:tcPr>
          <w:p w14:paraId="64398818"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78" w:name="_Toc4057548"/>
            <w:r w:rsidRPr="00587444">
              <w:rPr>
                <w:rFonts w:ascii="Arial" w:eastAsia="Calibri" w:hAnsi="Arial" w:cs="Arial"/>
                <w:b/>
                <w:iCs/>
                <w:sz w:val="17"/>
                <w:szCs w:val="17"/>
              </w:rPr>
              <w:t>Guarantee fund</w:t>
            </w:r>
            <w:bookmarkEnd w:id="378"/>
          </w:p>
        </w:tc>
        <w:tc>
          <w:tcPr>
            <w:tcW w:w="588" w:type="pct"/>
            <w:vAlign w:val="bottom"/>
          </w:tcPr>
          <w:p w14:paraId="0E26DF5B"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79" w:name="_Toc4057549"/>
            <w:r w:rsidRPr="00587444">
              <w:rPr>
                <w:rFonts w:ascii="Arial" w:eastAsia="Calibri" w:hAnsi="Arial" w:cs="Arial"/>
                <w:b/>
                <w:iCs/>
                <w:sz w:val="17"/>
                <w:szCs w:val="17"/>
              </w:rPr>
              <w:t>Total</w:t>
            </w:r>
            <w:bookmarkEnd w:id="379"/>
            <w:r w:rsidRPr="00587444">
              <w:rPr>
                <w:rFonts w:ascii="Arial" w:eastAsia="Calibri" w:hAnsi="Arial" w:cs="Arial"/>
                <w:b/>
                <w:iCs/>
                <w:sz w:val="17"/>
                <w:szCs w:val="17"/>
              </w:rPr>
              <w:t xml:space="preserve"> </w:t>
            </w:r>
          </w:p>
          <w:p w14:paraId="04536959"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p>
        </w:tc>
      </w:tr>
      <w:tr w:rsidR="00587444" w:rsidRPr="00587444" w14:paraId="675AAB90" w14:textId="77777777" w:rsidTr="00DD69E7">
        <w:trPr>
          <w:trHeight w:val="141"/>
        </w:trPr>
        <w:tc>
          <w:tcPr>
            <w:tcW w:w="1471" w:type="pct"/>
          </w:tcPr>
          <w:p w14:paraId="22A0455F" w14:textId="77777777" w:rsidR="00587444" w:rsidRPr="00587444" w:rsidRDefault="00587444" w:rsidP="00587444">
            <w:pPr>
              <w:tabs>
                <w:tab w:val="right" w:pos="1202"/>
              </w:tabs>
              <w:suppressAutoHyphens w:val="0"/>
              <w:autoSpaceDN/>
              <w:outlineLvl w:val="0"/>
              <w:rPr>
                <w:rFonts w:ascii="Arial" w:eastAsia="Calibri" w:hAnsi="Arial" w:cs="Arial"/>
                <w:iCs/>
                <w:sz w:val="17"/>
                <w:szCs w:val="17"/>
              </w:rPr>
            </w:pPr>
          </w:p>
        </w:tc>
        <w:tc>
          <w:tcPr>
            <w:tcW w:w="588" w:type="pct"/>
            <w:vAlign w:val="bottom"/>
          </w:tcPr>
          <w:p w14:paraId="79921E0E"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17"/>
                <w:szCs w:val="17"/>
              </w:rPr>
            </w:pPr>
            <w:bookmarkStart w:id="380" w:name="_Toc4057550"/>
            <w:r w:rsidRPr="00587444">
              <w:rPr>
                <w:rFonts w:ascii="Arial" w:hAnsi="Arial" w:cs="Arial"/>
                <w:b/>
                <w:bCs/>
                <w:sz w:val="17"/>
                <w:szCs w:val="17"/>
              </w:rPr>
              <w:t>HRK ‘000</w:t>
            </w:r>
            <w:bookmarkEnd w:id="380"/>
          </w:p>
        </w:tc>
        <w:tc>
          <w:tcPr>
            <w:tcW w:w="588" w:type="pct"/>
            <w:vAlign w:val="bottom"/>
          </w:tcPr>
          <w:p w14:paraId="75980967"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17"/>
                <w:szCs w:val="17"/>
              </w:rPr>
            </w:pPr>
            <w:bookmarkStart w:id="381" w:name="_Toc4057551"/>
            <w:r w:rsidRPr="00587444">
              <w:rPr>
                <w:rFonts w:ascii="Arial" w:hAnsi="Arial" w:cs="Arial"/>
                <w:b/>
                <w:bCs/>
                <w:sz w:val="17"/>
                <w:szCs w:val="17"/>
              </w:rPr>
              <w:t>HRK ‘000</w:t>
            </w:r>
            <w:bookmarkEnd w:id="381"/>
          </w:p>
        </w:tc>
        <w:tc>
          <w:tcPr>
            <w:tcW w:w="588" w:type="pct"/>
            <w:vAlign w:val="bottom"/>
          </w:tcPr>
          <w:p w14:paraId="64AD9A3E"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17"/>
                <w:szCs w:val="17"/>
              </w:rPr>
            </w:pPr>
            <w:bookmarkStart w:id="382" w:name="_Toc4057552"/>
            <w:r w:rsidRPr="00587444">
              <w:rPr>
                <w:rFonts w:ascii="Arial" w:hAnsi="Arial" w:cs="Arial"/>
                <w:b/>
                <w:bCs/>
                <w:sz w:val="17"/>
                <w:szCs w:val="17"/>
              </w:rPr>
              <w:t>HRK ‘000</w:t>
            </w:r>
            <w:bookmarkEnd w:id="382"/>
          </w:p>
        </w:tc>
        <w:tc>
          <w:tcPr>
            <w:tcW w:w="588" w:type="pct"/>
            <w:vAlign w:val="bottom"/>
          </w:tcPr>
          <w:p w14:paraId="73033707"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17"/>
                <w:szCs w:val="17"/>
              </w:rPr>
            </w:pPr>
            <w:bookmarkStart w:id="383" w:name="_Toc4057553"/>
            <w:r w:rsidRPr="00587444">
              <w:rPr>
                <w:rFonts w:ascii="Arial" w:hAnsi="Arial" w:cs="Arial"/>
                <w:b/>
                <w:bCs/>
                <w:sz w:val="17"/>
                <w:szCs w:val="17"/>
              </w:rPr>
              <w:t>HRK ‘000</w:t>
            </w:r>
            <w:bookmarkEnd w:id="383"/>
          </w:p>
        </w:tc>
        <w:tc>
          <w:tcPr>
            <w:tcW w:w="588" w:type="pct"/>
          </w:tcPr>
          <w:p w14:paraId="5D630712"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rPr>
            </w:pPr>
            <w:bookmarkStart w:id="384" w:name="_Toc4057554"/>
            <w:r w:rsidRPr="00587444">
              <w:rPr>
                <w:rFonts w:ascii="Arial" w:hAnsi="Arial" w:cs="Arial"/>
                <w:b/>
                <w:bCs/>
                <w:sz w:val="17"/>
                <w:szCs w:val="17"/>
              </w:rPr>
              <w:t>HRK ‘000</w:t>
            </w:r>
            <w:bookmarkEnd w:id="384"/>
          </w:p>
        </w:tc>
        <w:tc>
          <w:tcPr>
            <w:tcW w:w="588" w:type="pct"/>
            <w:vAlign w:val="bottom"/>
          </w:tcPr>
          <w:p w14:paraId="3B131D5F"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17"/>
                <w:szCs w:val="17"/>
              </w:rPr>
            </w:pPr>
            <w:bookmarkStart w:id="385" w:name="_Toc4057555"/>
            <w:r w:rsidRPr="00587444">
              <w:rPr>
                <w:rFonts w:ascii="Arial" w:hAnsi="Arial" w:cs="Arial"/>
                <w:b/>
                <w:bCs/>
                <w:sz w:val="17"/>
                <w:szCs w:val="17"/>
              </w:rPr>
              <w:t>HRK ‘000</w:t>
            </w:r>
            <w:bookmarkEnd w:id="385"/>
          </w:p>
        </w:tc>
      </w:tr>
      <w:tr w:rsidR="00587444" w:rsidRPr="00587444" w14:paraId="33ED3D13" w14:textId="77777777" w:rsidTr="00DD69E7">
        <w:trPr>
          <w:trHeight w:val="394"/>
        </w:trPr>
        <w:tc>
          <w:tcPr>
            <w:tcW w:w="1471" w:type="pct"/>
            <w:vAlign w:val="bottom"/>
          </w:tcPr>
          <w:p w14:paraId="1C749C4A" w14:textId="77777777" w:rsidR="00587444" w:rsidRPr="00587444" w:rsidRDefault="00587444" w:rsidP="00587444">
            <w:pPr>
              <w:tabs>
                <w:tab w:val="right" w:pos="1202"/>
              </w:tabs>
              <w:suppressAutoHyphens w:val="0"/>
              <w:autoSpaceDN/>
              <w:outlineLvl w:val="0"/>
              <w:rPr>
                <w:rFonts w:ascii="Arial" w:hAnsi="Arial" w:cs="Arial"/>
                <w:b/>
                <w:iCs/>
                <w:sz w:val="17"/>
                <w:szCs w:val="17"/>
              </w:rPr>
            </w:pPr>
            <w:bookmarkStart w:id="386" w:name="_Toc4057556"/>
            <w:r w:rsidRPr="00587444">
              <w:rPr>
                <w:rFonts w:ascii="Arial" w:hAnsi="Arial" w:cs="Arial"/>
                <w:b/>
                <w:iCs/>
                <w:sz w:val="17"/>
                <w:szCs w:val="17"/>
              </w:rPr>
              <w:t xml:space="preserve">Balance as </w:t>
            </w:r>
            <w:proofErr w:type="gramStart"/>
            <w:r w:rsidRPr="00587444">
              <w:rPr>
                <w:rFonts w:ascii="Arial" w:hAnsi="Arial" w:cs="Arial"/>
                <w:b/>
                <w:iCs/>
                <w:sz w:val="17"/>
                <w:szCs w:val="17"/>
              </w:rPr>
              <w:t>at</w:t>
            </w:r>
            <w:proofErr w:type="gramEnd"/>
            <w:r w:rsidRPr="00587444">
              <w:rPr>
                <w:rFonts w:ascii="Arial" w:hAnsi="Arial" w:cs="Arial"/>
                <w:b/>
                <w:iCs/>
                <w:sz w:val="17"/>
                <w:szCs w:val="17"/>
              </w:rPr>
              <w:t xml:space="preserve"> 1 January </w:t>
            </w:r>
            <w:bookmarkEnd w:id="386"/>
            <w:r w:rsidRPr="00587444">
              <w:rPr>
                <w:rFonts w:ascii="Arial" w:hAnsi="Arial" w:cs="Arial"/>
                <w:b/>
                <w:iCs/>
                <w:sz w:val="17"/>
                <w:szCs w:val="17"/>
              </w:rPr>
              <w:t>2021</w:t>
            </w:r>
          </w:p>
        </w:tc>
        <w:tc>
          <w:tcPr>
            <w:tcW w:w="588" w:type="pct"/>
            <w:tcBorders>
              <w:top w:val="nil"/>
              <w:left w:val="nil"/>
              <w:bottom w:val="single" w:sz="12" w:space="0" w:color="auto"/>
              <w:right w:val="nil"/>
            </w:tcBorders>
            <w:shd w:val="clear" w:color="auto" w:fill="auto"/>
            <w:vAlign w:val="bottom"/>
          </w:tcPr>
          <w:p w14:paraId="409C88B7" w14:textId="77777777" w:rsidR="00587444" w:rsidRPr="00587444" w:rsidRDefault="00587444" w:rsidP="00587444">
            <w:pPr>
              <w:tabs>
                <w:tab w:val="right" w:pos="1202"/>
              </w:tabs>
              <w:suppressAutoHyphens w:val="0"/>
              <w:autoSpaceDN/>
              <w:jc w:val="right"/>
              <w:outlineLvl w:val="0"/>
              <w:rPr>
                <w:rFonts w:ascii="Arial" w:hAnsi="Arial" w:cs="Arial"/>
                <w:b/>
                <w:iCs/>
                <w:sz w:val="17"/>
                <w:szCs w:val="17"/>
              </w:rPr>
            </w:pPr>
            <w:r w:rsidRPr="00587444">
              <w:rPr>
                <w:rFonts w:ascii="Arial" w:hAnsi="Arial" w:cs="Arial"/>
                <w:b/>
                <w:bCs/>
                <w:color w:val="000000"/>
                <w:sz w:val="17"/>
                <w:szCs w:val="17"/>
                <w:lang w:val="hr-HR"/>
              </w:rPr>
              <w:t>7,134,632</w:t>
            </w:r>
          </w:p>
        </w:tc>
        <w:tc>
          <w:tcPr>
            <w:tcW w:w="588" w:type="pct"/>
            <w:tcBorders>
              <w:top w:val="nil"/>
              <w:left w:val="nil"/>
              <w:bottom w:val="single" w:sz="12" w:space="0" w:color="auto"/>
              <w:right w:val="nil"/>
            </w:tcBorders>
            <w:shd w:val="clear" w:color="auto" w:fill="auto"/>
            <w:vAlign w:val="bottom"/>
          </w:tcPr>
          <w:p w14:paraId="5035B969" w14:textId="77777777" w:rsidR="00587444" w:rsidRPr="00587444" w:rsidRDefault="00587444" w:rsidP="00587444">
            <w:pPr>
              <w:tabs>
                <w:tab w:val="right" w:pos="1202"/>
              </w:tabs>
              <w:suppressAutoHyphens w:val="0"/>
              <w:autoSpaceDN/>
              <w:jc w:val="right"/>
              <w:outlineLvl w:val="0"/>
              <w:rPr>
                <w:rFonts w:ascii="Arial" w:hAnsi="Arial" w:cs="Arial"/>
                <w:b/>
                <w:iCs/>
                <w:sz w:val="17"/>
                <w:szCs w:val="17"/>
              </w:rPr>
            </w:pPr>
            <w:r w:rsidRPr="00587444">
              <w:rPr>
                <w:rFonts w:ascii="Arial" w:hAnsi="Arial" w:cs="Arial"/>
                <w:b/>
                <w:bCs/>
                <w:color w:val="000000"/>
                <w:sz w:val="17"/>
                <w:szCs w:val="17"/>
                <w:lang w:val="hr-HR"/>
              </w:rPr>
              <w:t>3,074,406</w:t>
            </w:r>
          </w:p>
        </w:tc>
        <w:tc>
          <w:tcPr>
            <w:tcW w:w="588" w:type="pct"/>
            <w:tcBorders>
              <w:top w:val="nil"/>
              <w:left w:val="nil"/>
              <w:bottom w:val="single" w:sz="12" w:space="0" w:color="auto"/>
              <w:right w:val="nil"/>
            </w:tcBorders>
            <w:shd w:val="clear" w:color="auto" w:fill="auto"/>
            <w:vAlign w:val="bottom"/>
          </w:tcPr>
          <w:p w14:paraId="3816BE52" w14:textId="77777777" w:rsidR="00587444" w:rsidRPr="00587444" w:rsidRDefault="00587444" w:rsidP="00587444">
            <w:pPr>
              <w:tabs>
                <w:tab w:val="right" w:pos="1202"/>
              </w:tabs>
              <w:suppressAutoHyphens w:val="0"/>
              <w:autoSpaceDN/>
              <w:jc w:val="right"/>
              <w:outlineLvl w:val="0"/>
              <w:rPr>
                <w:rFonts w:ascii="Arial" w:hAnsi="Arial" w:cs="Arial"/>
                <w:b/>
                <w:iCs/>
                <w:sz w:val="17"/>
                <w:szCs w:val="17"/>
              </w:rPr>
            </w:pPr>
            <w:r w:rsidRPr="00587444">
              <w:rPr>
                <w:rFonts w:ascii="Arial" w:hAnsi="Arial" w:cs="Arial"/>
                <w:b/>
                <w:bCs/>
                <w:color w:val="000000"/>
                <w:sz w:val="17"/>
                <w:szCs w:val="17"/>
                <w:lang w:val="hr-HR"/>
              </w:rPr>
              <w:t>53,906</w:t>
            </w:r>
          </w:p>
        </w:tc>
        <w:tc>
          <w:tcPr>
            <w:tcW w:w="588" w:type="pct"/>
            <w:tcBorders>
              <w:top w:val="nil"/>
              <w:left w:val="nil"/>
              <w:bottom w:val="single" w:sz="12" w:space="0" w:color="auto"/>
              <w:right w:val="nil"/>
            </w:tcBorders>
            <w:shd w:val="clear" w:color="auto" w:fill="auto"/>
            <w:vAlign w:val="bottom"/>
          </w:tcPr>
          <w:p w14:paraId="5B902D13" w14:textId="77777777" w:rsidR="00587444" w:rsidRPr="00587444" w:rsidRDefault="00587444" w:rsidP="00587444">
            <w:pPr>
              <w:tabs>
                <w:tab w:val="right" w:pos="1202"/>
              </w:tabs>
              <w:suppressAutoHyphens w:val="0"/>
              <w:autoSpaceDN/>
              <w:jc w:val="right"/>
              <w:outlineLvl w:val="0"/>
              <w:rPr>
                <w:rFonts w:ascii="Arial" w:hAnsi="Arial" w:cs="Arial"/>
                <w:b/>
                <w:iCs/>
                <w:sz w:val="17"/>
                <w:szCs w:val="17"/>
              </w:rPr>
            </w:pPr>
            <w:r w:rsidRPr="00587444">
              <w:rPr>
                <w:rFonts w:ascii="Arial" w:hAnsi="Arial" w:cs="Arial"/>
                <w:b/>
                <w:bCs/>
                <w:color w:val="000000"/>
                <w:sz w:val="17"/>
                <w:szCs w:val="17"/>
                <w:lang w:val="hr-HR"/>
              </w:rPr>
              <w:t>79,339</w:t>
            </w:r>
          </w:p>
        </w:tc>
        <w:tc>
          <w:tcPr>
            <w:tcW w:w="588" w:type="pct"/>
            <w:tcBorders>
              <w:top w:val="nil"/>
              <w:left w:val="nil"/>
              <w:bottom w:val="single" w:sz="12" w:space="0" w:color="auto"/>
              <w:right w:val="nil"/>
            </w:tcBorders>
            <w:shd w:val="clear" w:color="auto" w:fill="auto"/>
            <w:vAlign w:val="bottom"/>
          </w:tcPr>
          <w:p w14:paraId="451E1136" w14:textId="77777777" w:rsidR="00587444" w:rsidRPr="00587444" w:rsidRDefault="00587444" w:rsidP="00587444">
            <w:pPr>
              <w:tabs>
                <w:tab w:val="right" w:pos="1202"/>
              </w:tabs>
              <w:suppressAutoHyphens w:val="0"/>
              <w:autoSpaceDN/>
              <w:jc w:val="right"/>
              <w:outlineLvl w:val="0"/>
              <w:rPr>
                <w:rFonts w:ascii="Arial" w:hAnsi="Arial" w:cs="Arial"/>
                <w:b/>
                <w:iCs/>
                <w:sz w:val="17"/>
                <w:szCs w:val="17"/>
                <w:lang w:val="hr-HR"/>
              </w:rPr>
            </w:pPr>
            <w:r w:rsidRPr="00587444">
              <w:rPr>
                <w:rFonts w:ascii="Arial" w:hAnsi="Arial" w:cs="Arial"/>
                <w:b/>
                <w:bCs/>
                <w:color w:val="000000"/>
                <w:sz w:val="17"/>
                <w:szCs w:val="17"/>
                <w:lang w:val="hr-HR"/>
              </w:rPr>
              <w:t>12,341</w:t>
            </w:r>
          </w:p>
        </w:tc>
        <w:tc>
          <w:tcPr>
            <w:tcW w:w="588" w:type="pct"/>
            <w:tcBorders>
              <w:top w:val="nil"/>
              <w:left w:val="nil"/>
              <w:bottom w:val="single" w:sz="12" w:space="0" w:color="auto"/>
              <w:right w:val="nil"/>
            </w:tcBorders>
            <w:shd w:val="clear" w:color="auto" w:fill="auto"/>
            <w:vAlign w:val="bottom"/>
          </w:tcPr>
          <w:p w14:paraId="2D872042" w14:textId="77777777" w:rsidR="00587444" w:rsidRPr="00587444" w:rsidRDefault="00587444" w:rsidP="00587444">
            <w:pPr>
              <w:tabs>
                <w:tab w:val="right" w:pos="1202"/>
              </w:tabs>
              <w:suppressAutoHyphens w:val="0"/>
              <w:autoSpaceDN/>
              <w:jc w:val="right"/>
              <w:outlineLvl w:val="0"/>
              <w:rPr>
                <w:rFonts w:ascii="Arial" w:hAnsi="Arial" w:cs="Arial"/>
                <w:b/>
                <w:iCs/>
                <w:sz w:val="17"/>
                <w:szCs w:val="17"/>
              </w:rPr>
            </w:pPr>
            <w:r w:rsidRPr="00587444">
              <w:rPr>
                <w:rFonts w:ascii="Arial" w:hAnsi="Arial" w:cs="Arial"/>
                <w:b/>
                <w:bCs/>
                <w:color w:val="000000"/>
                <w:sz w:val="17"/>
                <w:szCs w:val="17"/>
                <w:lang w:val="hr-HR"/>
              </w:rPr>
              <w:t>10,354,624</w:t>
            </w:r>
          </w:p>
        </w:tc>
      </w:tr>
      <w:tr w:rsidR="00587444" w:rsidRPr="00587444" w14:paraId="21D920FA" w14:textId="77777777" w:rsidTr="00DD69E7">
        <w:trPr>
          <w:trHeight w:val="300"/>
        </w:trPr>
        <w:tc>
          <w:tcPr>
            <w:tcW w:w="1471" w:type="pct"/>
            <w:vAlign w:val="bottom"/>
          </w:tcPr>
          <w:p w14:paraId="2F4CC51D" w14:textId="77777777" w:rsidR="00587444" w:rsidRPr="00587444" w:rsidRDefault="00587444" w:rsidP="00587444">
            <w:pPr>
              <w:tabs>
                <w:tab w:val="right" w:pos="1202"/>
              </w:tabs>
              <w:suppressAutoHyphens w:val="0"/>
              <w:autoSpaceDN/>
              <w:outlineLvl w:val="0"/>
              <w:rPr>
                <w:rFonts w:ascii="Arial" w:hAnsi="Arial" w:cs="Arial"/>
                <w:iCs/>
                <w:sz w:val="17"/>
                <w:szCs w:val="17"/>
              </w:rPr>
            </w:pPr>
            <w:bookmarkStart w:id="387" w:name="_Toc4057563"/>
            <w:r w:rsidRPr="00587444">
              <w:rPr>
                <w:rFonts w:ascii="Arial" w:hAnsi="Arial" w:cs="Arial"/>
                <w:iCs/>
                <w:sz w:val="17"/>
                <w:szCs w:val="17"/>
              </w:rPr>
              <w:t>Profit for the year</w:t>
            </w:r>
            <w:bookmarkEnd w:id="387"/>
          </w:p>
        </w:tc>
        <w:tc>
          <w:tcPr>
            <w:tcW w:w="588" w:type="pct"/>
            <w:tcBorders>
              <w:top w:val="single" w:sz="12" w:space="0" w:color="auto"/>
              <w:left w:val="nil"/>
              <w:bottom w:val="nil"/>
              <w:right w:val="nil"/>
            </w:tcBorders>
            <w:shd w:val="clear" w:color="auto" w:fill="auto"/>
            <w:vAlign w:val="bottom"/>
          </w:tcPr>
          <w:p w14:paraId="2F32C0C1"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iCs/>
                <w:color w:val="000000"/>
                <w:sz w:val="17"/>
                <w:szCs w:val="17"/>
                <w:lang w:val="hr-HR"/>
              </w:rPr>
              <w:t>-</w:t>
            </w:r>
          </w:p>
        </w:tc>
        <w:tc>
          <w:tcPr>
            <w:tcW w:w="588" w:type="pct"/>
            <w:tcBorders>
              <w:top w:val="single" w:sz="12" w:space="0" w:color="auto"/>
              <w:left w:val="nil"/>
              <w:bottom w:val="nil"/>
              <w:right w:val="nil"/>
            </w:tcBorders>
            <w:shd w:val="clear" w:color="auto" w:fill="auto"/>
            <w:vAlign w:val="bottom"/>
          </w:tcPr>
          <w:p w14:paraId="49197013"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iCs/>
                <w:color w:val="000000"/>
                <w:sz w:val="17"/>
                <w:szCs w:val="17"/>
                <w:lang w:val="hr-HR"/>
              </w:rPr>
              <w:t>-</w:t>
            </w:r>
          </w:p>
        </w:tc>
        <w:tc>
          <w:tcPr>
            <w:tcW w:w="588" w:type="pct"/>
            <w:tcBorders>
              <w:top w:val="single" w:sz="12" w:space="0" w:color="auto"/>
              <w:left w:val="nil"/>
              <w:bottom w:val="nil"/>
              <w:right w:val="nil"/>
            </w:tcBorders>
            <w:shd w:val="clear" w:color="auto" w:fill="auto"/>
            <w:vAlign w:val="bottom"/>
          </w:tcPr>
          <w:p w14:paraId="6FED5913"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iCs/>
                <w:color w:val="000000"/>
                <w:sz w:val="17"/>
                <w:szCs w:val="17"/>
                <w:lang w:val="hr-HR"/>
              </w:rPr>
              <w:t>-</w:t>
            </w:r>
          </w:p>
        </w:tc>
        <w:tc>
          <w:tcPr>
            <w:tcW w:w="588" w:type="pct"/>
            <w:tcBorders>
              <w:top w:val="single" w:sz="12" w:space="0" w:color="auto"/>
              <w:left w:val="nil"/>
              <w:bottom w:val="nil"/>
              <w:right w:val="nil"/>
            </w:tcBorders>
            <w:shd w:val="clear" w:color="auto" w:fill="auto"/>
            <w:vAlign w:val="bottom"/>
          </w:tcPr>
          <w:p w14:paraId="7F7F1560" w14:textId="77777777" w:rsidR="00587444" w:rsidRPr="00587444" w:rsidRDefault="00587444" w:rsidP="00587444">
            <w:pPr>
              <w:tabs>
                <w:tab w:val="right" w:pos="1202"/>
              </w:tabs>
              <w:suppressAutoHyphens w:val="0"/>
              <w:autoSpaceDN/>
              <w:jc w:val="right"/>
              <w:outlineLvl w:val="0"/>
              <w:rPr>
                <w:rFonts w:ascii="Arial" w:hAnsi="Arial" w:cs="Arial"/>
                <w:color w:val="000000"/>
                <w:sz w:val="17"/>
                <w:szCs w:val="17"/>
              </w:rPr>
            </w:pPr>
            <w:r w:rsidRPr="00587444">
              <w:rPr>
                <w:rFonts w:ascii="Arial" w:hAnsi="Arial" w:cs="Arial"/>
                <w:iCs/>
                <w:color w:val="000000"/>
                <w:sz w:val="17"/>
                <w:szCs w:val="17"/>
                <w:lang w:val="hr-HR"/>
              </w:rPr>
              <w:t>187,082</w:t>
            </w:r>
          </w:p>
        </w:tc>
        <w:tc>
          <w:tcPr>
            <w:tcW w:w="588" w:type="pct"/>
            <w:tcBorders>
              <w:top w:val="single" w:sz="12" w:space="0" w:color="auto"/>
              <w:left w:val="nil"/>
              <w:bottom w:val="nil"/>
              <w:right w:val="nil"/>
            </w:tcBorders>
            <w:shd w:val="clear" w:color="auto" w:fill="auto"/>
            <w:vAlign w:val="bottom"/>
          </w:tcPr>
          <w:p w14:paraId="4963FE3C" w14:textId="77777777" w:rsidR="00587444" w:rsidRPr="00587444" w:rsidRDefault="00587444" w:rsidP="00587444">
            <w:pPr>
              <w:tabs>
                <w:tab w:val="right" w:pos="1202"/>
              </w:tabs>
              <w:suppressAutoHyphens w:val="0"/>
              <w:autoSpaceDN/>
              <w:jc w:val="right"/>
              <w:outlineLvl w:val="0"/>
              <w:rPr>
                <w:rFonts w:ascii="Arial" w:hAnsi="Arial" w:cs="Arial"/>
                <w:iCs/>
                <w:sz w:val="17"/>
                <w:szCs w:val="17"/>
                <w:lang w:val="hr-HR"/>
              </w:rPr>
            </w:pPr>
            <w:r w:rsidRPr="00587444">
              <w:rPr>
                <w:rFonts w:ascii="Arial" w:hAnsi="Arial" w:cs="Arial"/>
                <w:iCs/>
                <w:color w:val="000000"/>
                <w:sz w:val="17"/>
                <w:szCs w:val="17"/>
                <w:lang w:val="hr-HR"/>
              </w:rPr>
              <w:t>-</w:t>
            </w:r>
          </w:p>
        </w:tc>
        <w:tc>
          <w:tcPr>
            <w:tcW w:w="588" w:type="pct"/>
            <w:tcBorders>
              <w:top w:val="single" w:sz="12" w:space="0" w:color="auto"/>
              <w:left w:val="nil"/>
              <w:bottom w:val="nil"/>
              <w:right w:val="nil"/>
            </w:tcBorders>
            <w:shd w:val="clear" w:color="auto" w:fill="auto"/>
            <w:vAlign w:val="bottom"/>
          </w:tcPr>
          <w:p w14:paraId="1C1D0F1A" w14:textId="77777777" w:rsidR="00587444" w:rsidRPr="00587444" w:rsidRDefault="00587444" w:rsidP="00587444">
            <w:pPr>
              <w:tabs>
                <w:tab w:val="right" w:pos="1202"/>
              </w:tabs>
              <w:suppressAutoHyphens w:val="0"/>
              <w:autoSpaceDN/>
              <w:jc w:val="right"/>
              <w:outlineLvl w:val="0"/>
              <w:rPr>
                <w:rFonts w:ascii="Arial" w:hAnsi="Arial" w:cs="Arial"/>
                <w:b/>
                <w:color w:val="000000"/>
                <w:sz w:val="17"/>
                <w:szCs w:val="17"/>
              </w:rPr>
            </w:pPr>
            <w:r w:rsidRPr="00587444">
              <w:rPr>
                <w:rFonts w:ascii="Arial" w:hAnsi="Arial" w:cs="Arial"/>
                <w:b/>
                <w:iCs/>
                <w:color w:val="000000"/>
                <w:sz w:val="17"/>
                <w:szCs w:val="17"/>
                <w:lang w:val="hr-HR"/>
              </w:rPr>
              <w:t>187,082</w:t>
            </w:r>
          </w:p>
        </w:tc>
      </w:tr>
      <w:tr w:rsidR="00587444" w:rsidRPr="00587444" w14:paraId="3EE50AED" w14:textId="77777777" w:rsidTr="00DD69E7">
        <w:trPr>
          <w:trHeight w:val="300"/>
        </w:trPr>
        <w:tc>
          <w:tcPr>
            <w:tcW w:w="1471" w:type="pct"/>
            <w:vAlign w:val="bottom"/>
          </w:tcPr>
          <w:p w14:paraId="21D2EA11" w14:textId="77777777" w:rsidR="00587444" w:rsidRPr="00587444" w:rsidRDefault="00587444" w:rsidP="00587444">
            <w:pPr>
              <w:tabs>
                <w:tab w:val="right" w:pos="1202"/>
              </w:tabs>
              <w:suppressAutoHyphens w:val="0"/>
              <w:autoSpaceDN/>
              <w:outlineLvl w:val="0"/>
              <w:rPr>
                <w:rFonts w:ascii="Arial" w:hAnsi="Arial" w:cs="Arial"/>
                <w:iCs/>
                <w:sz w:val="17"/>
                <w:szCs w:val="17"/>
              </w:rPr>
            </w:pPr>
            <w:bookmarkStart w:id="388" w:name="_Toc4057570"/>
            <w:r w:rsidRPr="00587444">
              <w:rPr>
                <w:rFonts w:ascii="Arial" w:hAnsi="Arial" w:cs="Arial"/>
                <w:iCs/>
                <w:sz w:val="17"/>
                <w:szCs w:val="17"/>
              </w:rPr>
              <w:t>Other comprehensive income</w:t>
            </w:r>
            <w:bookmarkEnd w:id="388"/>
            <w:r w:rsidRPr="00587444">
              <w:rPr>
                <w:rFonts w:ascii="Arial" w:hAnsi="Arial" w:cs="Arial"/>
                <w:iCs/>
                <w:sz w:val="17"/>
                <w:szCs w:val="17"/>
              </w:rPr>
              <w:t xml:space="preserve"> </w:t>
            </w:r>
          </w:p>
        </w:tc>
        <w:tc>
          <w:tcPr>
            <w:tcW w:w="588" w:type="pct"/>
            <w:tcBorders>
              <w:top w:val="nil"/>
              <w:left w:val="nil"/>
              <w:bottom w:val="single" w:sz="4" w:space="0" w:color="auto"/>
              <w:right w:val="nil"/>
            </w:tcBorders>
            <w:shd w:val="clear" w:color="auto" w:fill="auto"/>
            <w:vAlign w:val="bottom"/>
          </w:tcPr>
          <w:p w14:paraId="336A6073" w14:textId="77777777" w:rsidR="00587444" w:rsidRPr="00587444" w:rsidRDefault="00587444" w:rsidP="00587444">
            <w:pPr>
              <w:tabs>
                <w:tab w:val="right" w:pos="1202"/>
              </w:tabs>
              <w:suppressAutoHyphens w:val="0"/>
              <w:autoSpaceDN/>
              <w:jc w:val="right"/>
              <w:outlineLvl w:val="0"/>
              <w:rPr>
                <w:rFonts w:ascii="Arial" w:hAnsi="Arial" w:cs="Arial"/>
                <w:iCs/>
                <w:sz w:val="17"/>
                <w:szCs w:val="17"/>
              </w:rPr>
            </w:pPr>
            <w:r w:rsidRPr="00587444">
              <w:rPr>
                <w:rFonts w:ascii="Arial" w:hAnsi="Arial" w:cs="Arial"/>
                <w:iCs/>
                <w:color w:val="000000"/>
                <w:sz w:val="17"/>
                <w:szCs w:val="17"/>
                <w:lang w:val="hr-HR"/>
              </w:rPr>
              <w:t>-</w:t>
            </w:r>
          </w:p>
        </w:tc>
        <w:tc>
          <w:tcPr>
            <w:tcW w:w="588" w:type="pct"/>
            <w:tcBorders>
              <w:top w:val="nil"/>
              <w:left w:val="nil"/>
              <w:bottom w:val="single" w:sz="4" w:space="0" w:color="auto"/>
              <w:right w:val="nil"/>
            </w:tcBorders>
            <w:shd w:val="clear" w:color="auto" w:fill="auto"/>
            <w:vAlign w:val="bottom"/>
          </w:tcPr>
          <w:p w14:paraId="1302E031" w14:textId="77777777" w:rsidR="00587444" w:rsidRPr="00587444" w:rsidRDefault="00587444" w:rsidP="00587444">
            <w:pPr>
              <w:tabs>
                <w:tab w:val="right" w:pos="1202"/>
              </w:tabs>
              <w:suppressAutoHyphens w:val="0"/>
              <w:autoSpaceDN/>
              <w:jc w:val="right"/>
              <w:outlineLvl w:val="0"/>
              <w:rPr>
                <w:rFonts w:ascii="Arial" w:hAnsi="Arial" w:cs="Arial"/>
                <w:iCs/>
                <w:sz w:val="17"/>
                <w:szCs w:val="17"/>
              </w:rPr>
            </w:pPr>
            <w:r w:rsidRPr="00587444">
              <w:rPr>
                <w:rFonts w:ascii="Arial" w:hAnsi="Arial" w:cs="Arial"/>
                <w:iCs/>
                <w:color w:val="000000"/>
                <w:sz w:val="17"/>
                <w:szCs w:val="17"/>
                <w:lang w:val="hr-HR"/>
              </w:rPr>
              <w:t>-</w:t>
            </w:r>
          </w:p>
        </w:tc>
        <w:tc>
          <w:tcPr>
            <w:tcW w:w="588" w:type="pct"/>
            <w:tcBorders>
              <w:top w:val="nil"/>
              <w:left w:val="nil"/>
              <w:bottom w:val="single" w:sz="4" w:space="0" w:color="auto"/>
              <w:right w:val="nil"/>
            </w:tcBorders>
            <w:shd w:val="clear" w:color="auto" w:fill="auto"/>
            <w:vAlign w:val="bottom"/>
          </w:tcPr>
          <w:p w14:paraId="705F650E" w14:textId="77777777" w:rsidR="00587444" w:rsidRPr="00587444" w:rsidRDefault="00587444" w:rsidP="00587444">
            <w:pPr>
              <w:tabs>
                <w:tab w:val="right" w:pos="1202"/>
              </w:tabs>
              <w:suppressAutoHyphens w:val="0"/>
              <w:autoSpaceDN/>
              <w:jc w:val="right"/>
              <w:outlineLvl w:val="0"/>
              <w:rPr>
                <w:rFonts w:ascii="Arial" w:hAnsi="Arial" w:cs="Arial"/>
                <w:iCs/>
                <w:sz w:val="17"/>
                <w:szCs w:val="17"/>
              </w:rPr>
            </w:pPr>
            <w:r w:rsidRPr="00587444">
              <w:rPr>
                <w:rFonts w:ascii="Arial" w:hAnsi="Arial" w:cs="Arial"/>
                <w:iCs/>
                <w:color w:val="000000"/>
                <w:sz w:val="17"/>
                <w:szCs w:val="17"/>
                <w:lang w:val="hr-HR"/>
              </w:rPr>
              <w:t>(23,945)</w:t>
            </w:r>
          </w:p>
        </w:tc>
        <w:tc>
          <w:tcPr>
            <w:tcW w:w="588" w:type="pct"/>
            <w:tcBorders>
              <w:top w:val="nil"/>
              <w:left w:val="nil"/>
              <w:bottom w:val="single" w:sz="4" w:space="0" w:color="auto"/>
              <w:right w:val="nil"/>
            </w:tcBorders>
            <w:shd w:val="clear" w:color="auto" w:fill="auto"/>
            <w:vAlign w:val="bottom"/>
          </w:tcPr>
          <w:p w14:paraId="16B4BF34" w14:textId="77777777" w:rsidR="00587444" w:rsidRPr="00587444" w:rsidRDefault="00587444" w:rsidP="00587444">
            <w:pPr>
              <w:tabs>
                <w:tab w:val="right" w:pos="1202"/>
              </w:tabs>
              <w:suppressAutoHyphens w:val="0"/>
              <w:autoSpaceDN/>
              <w:jc w:val="right"/>
              <w:outlineLvl w:val="0"/>
              <w:rPr>
                <w:rFonts w:ascii="Arial" w:hAnsi="Arial" w:cs="Arial"/>
                <w:iCs/>
                <w:sz w:val="17"/>
                <w:szCs w:val="17"/>
              </w:rPr>
            </w:pPr>
            <w:r w:rsidRPr="00587444">
              <w:rPr>
                <w:rFonts w:ascii="Arial" w:hAnsi="Arial" w:cs="Arial"/>
                <w:iCs/>
                <w:color w:val="000000"/>
                <w:sz w:val="17"/>
                <w:szCs w:val="17"/>
                <w:lang w:val="hr-HR"/>
              </w:rPr>
              <w:t>-</w:t>
            </w:r>
          </w:p>
        </w:tc>
        <w:tc>
          <w:tcPr>
            <w:tcW w:w="588" w:type="pct"/>
            <w:tcBorders>
              <w:top w:val="nil"/>
              <w:left w:val="nil"/>
              <w:bottom w:val="single" w:sz="4" w:space="0" w:color="auto"/>
              <w:right w:val="nil"/>
            </w:tcBorders>
            <w:shd w:val="clear" w:color="auto" w:fill="auto"/>
            <w:vAlign w:val="bottom"/>
          </w:tcPr>
          <w:p w14:paraId="2F17DDC5" w14:textId="77777777" w:rsidR="00587444" w:rsidRPr="00587444" w:rsidRDefault="00587444" w:rsidP="00587444">
            <w:pPr>
              <w:tabs>
                <w:tab w:val="right" w:pos="1202"/>
              </w:tabs>
              <w:suppressAutoHyphens w:val="0"/>
              <w:autoSpaceDN/>
              <w:jc w:val="right"/>
              <w:outlineLvl w:val="0"/>
              <w:rPr>
                <w:rFonts w:ascii="Arial" w:hAnsi="Arial" w:cs="Arial"/>
                <w:iCs/>
                <w:sz w:val="17"/>
                <w:szCs w:val="17"/>
                <w:lang w:val="hr-HR"/>
              </w:rPr>
            </w:pPr>
            <w:r w:rsidRPr="00587444">
              <w:rPr>
                <w:rFonts w:ascii="Arial" w:hAnsi="Arial" w:cs="Arial"/>
                <w:iCs/>
                <w:color w:val="000000"/>
                <w:sz w:val="17"/>
                <w:szCs w:val="17"/>
                <w:lang w:val="hr-HR"/>
              </w:rPr>
              <w:t>-</w:t>
            </w:r>
          </w:p>
        </w:tc>
        <w:tc>
          <w:tcPr>
            <w:tcW w:w="588" w:type="pct"/>
            <w:tcBorders>
              <w:top w:val="nil"/>
              <w:left w:val="nil"/>
              <w:bottom w:val="single" w:sz="4" w:space="0" w:color="auto"/>
              <w:right w:val="nil"/>
            </w:tcBorders>
            <w:shd w:val="clear" w:color="auto" w:fill="auto"/>
            <w:vAlign w:val="bottom"/>
          </w:tcPr>
          <w:p w14:paraId="41A3AB07" w14:textId="77777777" w:rsidR="00587444" w:rsidRPr="00587444" w:rsidRDefault="00587444" w:rsidP="00587444">
            <w:pPr>
              <w:tabs>
                <w:tab w:val="right" w:pos="1202"/>
              </w:tabs>
              <w:suppressAutoHyphens w:val="0"/>
              <w:autoSpaceDN/>
              <w:jc w:val="right"/>
              <w:outlineLvl w:val="0"/>
              <w:rPr>
                <w:rFonts w:ascii="Arial" w:hAnsi="Arial" w:cs="Arial"/>
                <w:b/>
                <w:iCs/>
                <w:sz w:val="17"/>
                <w:szCs w:val="17"/>
              </w:rPr>
            </w:pPr>
            <w:r w:rsidRPr="00587444">
              <w:rPr>
                <w:rFonts w:ascii="Arial" w:hAnsi="Arial" w:cs="Arial"/>
                <w:b/>
                <w:iCs/>
                <w:color w:val="000000"/>
                <w:sz w:val="17"/>
                <w:szCs w:val="17"/>
                <w:lang w:val="hr-HR"/>
              </w:rPr>
              <w:t>(23,945)</w:t>
            </w:r>
          </w:p>
        </w:tc>
      </w:tr>
      <w:tr w:rsidR="00587444" w:rsidRPr="00587444" w14:paraId="4F892768" w14:textId="77777777" w:rsidTr="00DD69E7">
        <w:trPr>
          <w:trHeight w:val="300"/>
        </w:trPr>
        <w:tc>
          <w:tcPr>
            <w:tcW w:w="1471" w:type="pct"/>
            <w:vAlign w:val="bottom"/>
          </w:tcPr>
          <w:p w14:paraId="73E108B3" w14:textId="77777777" w:rsidR="00587444" w:rsidRPr="00587444" w:rsidRDefault="00587444" w:rsidP="00587444">
            <w:pPr>
              <w:tabs>
                <w:tab w:val="right" w:pos="1202"/>
              </w:tabs>
              <w:suppressAutoHyphens w:val="0"/>
              <w:autoSpaceDN/>
              <w:outlineLvl w:val="0"/>
              <w:rPr>
                <w:rFonts w:ascii="Arial" w:hAnsi="Arial" w:cs="Arial"/>
                <w:iCs/>
                <w:sz w:val="17"/>
                <w:szCs w:val="17"/>
              </w:rPr>
            </w:pPr>
            <w:bookmarkStart w:id="389" w:name="_Toc4057577"/>
            <w:r w:rsidRPr="00587444">
              <w:rPr>
                <w:rFonts w:ascii="Arial" w:hAnsi="Arial" w:cs="Arial"/>
                <w:iCs/>
                <w:sz w:val="17"/>
                <w:szCs w:val="17"/>
              </w:rPr>
              <w:t>Total comprehensive income</w:t>
            </w:r>
            <w:bookmarkEnd w:id="389"/>
            <w:r w:rsidRPr="00587444">
              <w:rPr>
                <w:rFonts w:ascii="Arial" w:hAnsi="Arial" w:cs="Arial"/>
                <w:iCs/>
                <w:sz w:val="17"/>
                <w:szCs w:val="17"/>
              </w:rPr>
              <w:t xml:space="preserve"> </w:t>
            </w:r>
          </w:p>
        </w:tc>
        <w:tc>
          <w:tcPr>
            <w:tcW w:w="588" w:type="pct"/>
            <w:tcBorders>
              <w:top w:val="nil"/>
              <w:left w:val="nil"/>
              <w:bottom w:val="single" w:sz="4" w:space="0" w:color="auto"/>
              <w:right w:val="nil"/>
            </w:tcBorders>
            <w:shd w:val="clear" w:color="auto" w:fill="auto"/>
            <w:vAlign w:val="bottom"/>
          </w:tcPr>
          <w:p w14:paraId="1B17BCBB" w14:textId="77777777" w:rsidR="00587444" w:rsidRPr="00587444" w:rsidRDefault="00587444" w:rsidP="00587444">
            <w:pPr>
              <w:tabs>
                <w:tab w:val="right" w:pos="1202"/>
              </w:tabs>
              <w:suppressAutoHyphens w:val="0"/>
              <w:autoSpaceDN/>
              <w:jc w:val="right"/>
              <w:outlineLvl w:val="0"/>
              <w:rPr>
                <w:rFonts w:ascii="Arial" w:hAnsi="Arial" w:cs="Arial"/>
                <w:b/>
                <w:bCs/>
                <w:iCs/>
                <w:sz w:val="17"/>
                <w:szCs w:val="17"/>
              </w:rPr>
            </w:pPr>
            <w:r w:rsidRPr="00587444">
              <w:rPr>
                <w:rFonts w:ascii="Arial" w:hAnsi="Arial" w:cs="Arial"/>
                <w:b/>
                <w:bCs/>
                <w:iCs/>
                <w:color w:val="000000"/>
                <w:sz w:val="17"/>
                <w:szCs w:val="17"/>
                <w:lang w:val="hr-HR"/>
              </w:rPr>
              <w:t>-</w:t>
            </w:r>
          </w:p>
        </w:tc>
        <w:tc>
          <w:tcPr>
            <w:tcW w:w="588" w:type="pct"/>
            <w:tcBorders>
              <w:top w:val="nil"/>
              <w:left w:val="nil"/>
              <w:bottom w:val="single" w:sz="4" w:space="0" w:color="auto"/>
              <w:right w:val="nil"/>
            </w:tcBorders>
            <w:shd w:val="clear" w:color="auto" w:fill="auto"/>
            <w:vAlign w:val="bottom"/>
          </w:tcPr>
          <w:p w14:paraId="78B01597" w14:textId="77777777" w:rsidR="00587444" w:rsidRPr="00587444" w:rsidRDefault="00587444" w:rsidP="00587444">
            <w:pPr>
              <w:tabs>
                <w:tab w:val="right" w:pos="1202"/>
              </w:tabs>
              <w:suppressAutoHyphens w:val="0"/>
              <w:autoSpaceDN/>
              <w:jc w:val="right"/>
              <w:outlineLvl w:val="0"/>
              <w:rPr>
                <w:rFonts w:ascii="Arial" w:hAnsi="Arial" w:cs="Arial"/>
                <w:b/>
                <w:bCs/>
                <w:iCs/>
                <w:sz w:val="17"/>
                <w:szCs w:val="17"/>
              </w:rPr>
            </w:pPr>
            <w:r w:rsidRPr="00587444">
              <w:rPr>
                <w:rFonts w:ascii="Arial" w:hAnsi="Arial" w:cs="Arial"/>
                <w:b/>
                <w:bCs/>
                <w:iCs/>
                <w:color w:val="000000"/>
                <w:sz w:val="17"/>
                <w:szCs w:val="17"/>
                <w:lang w:val="hr-HR"/>
              </w:rPr>
              <w:t>-</w:t>
            </w:r>
          </w:p>
        </w:tc>
        <w:tc>
          <w:tcPr>
            <w:tcW w:w="588" w:type="pct"/>
            <w:tcBorders>
              <w:top w:val="nil"/>
              <w:left w:val="nil"/>
              <w:bottom w:val="single" w:sz="4" w:space="0" w:color="auto"/>
              <w:right w:val="nil"/>
            </w:tcBorders>
            <w:shd w:val="clear" w:color="auto" w:fill="auto"/>
            <w:vAlign w:val="bottom"/>
          </w:tcPr>
          <w:p w14:paraId="163942E3" w14:textId="77777777" w:rsidR="00587444" w:rsidRPr="00587444" w:rsidRDefault="00587444" w:rsidP="00587444">
            <w:pPr>
              <w:tabs>
                <w:tab w:val="right" w:pos="1202"/>
              </w:tabs>
              <w:suppressAutoHyphens w:val="0"/>
              <w:autoSpaceDN/>
              <w:jc w:val="right"/>
              <w:outlineLvl w:val="0"/>
              <w:rPr>
                <w:rFonts w:ascii="Arial" w:hAnsi="Arial" w:cs="Arial"/>
                <w:b/>
                <w:bCs/>
                <w:iCs/>
                <w:sz w:val="17"/>
                <w:szCs w:val="17"/>
              </w:rPr>
            </w:pPr>
            <w:r w:rsidRPr="00587444">
              <w:rPr>
                <w:rFonts w:ascii="Arial" w:hAnsi="Arial" w:cs="Arial"/>
                <w:b/>
                <w:bCs/>
                <w:iCs/>
                <w:color w:val="000000"/>
                <w:sz w:val="17"/>
                <w:szCs w:val="17"/>
                <w:lang w:val="hr-HR"/>
              </w:rPr>
              <w:t>(23,945)</w:t>
            </w:r>
          </w:p>
        </w:tc>
        <w:tc>
          <w:tcPr>
            <w:tcW w:w="588" w:type="pct"/>
            <w:tcBorders>
              <w:top w:val="nil"/>
              <w:left w:val="nil"/>
              <w:bottom w:val="single" w:sz="4" w:space="0" w:color="auto"/>
              <w:right w:val="nil"/>
            </w:tcBorders>
            <w:shd w:val="clear" w:color="auto" w:fill="auto"/>
            <w:vAlign w:val="bottom"/>
          </w:tcPr>
          <w:p w14:paraId="2DC7A9DA" w14:textId="77777777" w:rsidR="00587444" w:rsidRPr="00587444" w:rsidRDefault="00587444" w:rsidP="00587444">
            <w:pPr>
              <w:tabs>
                <w:tab w:val="right" w:pos="1202"/>
              </w:tabs>
              <w:suppressAutoHyphens w:val="0"/>
              <w:autoSpaceDN/>
              <w:jc w:val="right"/>
              <w:outlineLvl w:val="0"/>
              <w:rPr>
                <w:rFonts w:ascii="Arial" w:hAnsi="Arial" w:cs="Arial"/>
                <w:b/>
                <w:bCs/>
                <w:iCs/>
                <w:sz w:val="17"/>
                <w:szCs w:val="17"/>
              </w:rPr>
            </w:pPr>
            <w:r w:rsidRPr="00587444">
              <w:rPr>
                <w:rFonts w:ascii="Arial" w:hAnsi="Arial" w:cs="Arial"/>
                <w:b/>
                <w:bCs/>
                <w:iCs/>
                <w:color w:val="000000"/>
                <w:sz w:val="17"/>
                <w:szCs w:val="17"/>
                <w:lang w:val="hr-HR"/>
              </w:rPr>
              <w:t>187,082</w:t>
            </w:r>
          </w:p>
        </w:tc>
        <w:tc>
          <w:tcPr>
            <w:tcW w:w="588" w:type="pct"/>
            <w:tcBorders>
              <w:top w:val="nil"/>
              <w:left w:val="nil"/>
              <w:bottom w:val="single" w:sz="4" w:space="0" w:color="auto"/>
              <w:right w:val="nil"/>
            </w:tcBorders>
            <w:shd w:val="clear" w:color="auto" w:fill="auto"/>
            <w:vAlign w:val="bottom"/>
          </w:tcPr>
          <w:p w14:paraId="5FCBCA30" w14:textId="77777777" w:rsidR="00587444" w:rsidRPr="00587444" w:rsidRDefault="00587444" w:rsidP="00587444">
            <w:pPr>
              <w:tabs>
                <w:tab w:val="right" w:pos="1202"/>
              </w:tabs>
              <w:suppressAutoHyphens w:val="0"/>
              <w:autoSpaceDN/>
              <w:jc w:val="right"/>
              <w:outlineLvl w:val="0"/>
              <w:rPr>
                <w:rFonts w:ascii="Arial" w:hAnsi="Arial" w:cs="Arial"/>
                <w:b/>
                <w:bCs/>
                <w:iCs/>
                <w:sz w:val="17"/>
                <w:szCs w:val="17"/>
              </w:rPr>
            </w:pPr>
            <w:r w:rsidRPr="00587444">
              <w:rPr>
                <w:rFonts w:ascii="Arial" w:hAnsi="Arial" w:cs="Arial"/>
                <w:b/>
                <w:bCs/>
                <w:iCs/>
                <w:color w:val="000000"/>
                <w:sz w:val="17"/>
                <w:szCs w:val="17"/>
                <w:lang w:val="hr-HR"/>
              </w:rPr>
              <w:t>-</w:t>
            </w:r>
          </w:p>
        </w:tc>
        <w:tc>
          <w:tcPr>
            <w:tcW w:w="588" w:type="pct"/>
            <w:tcBorders>
              <w:top w:val="nil"/>
              <w:left w:val="nil"/>
              <w:bottom w:val="single" w:sz="4" w:space="0" w:color="auto"/>
              <w:right w:val="nil"/>
            </w:tcBorders>
            <w:shd w:val="clear" w:color="auto" w:fill="auto"/>
            <w:vAlign w:val="bottom"/>
          </w:tcPr>
          <w:p w14:paraId="281883E8" w14:textId="77777777" w:rsidR="00587444" w:rsidRPr="00587444" w:rsidRDefault="00587444" w:rsidP="00587444">
            <w:pPr>
              <w:tabs>
                <w:tab w:val="right" w:pos="1202"/>
              </w:tabs>
              <w:suppressAutoHyphens w:val="0"/>
              <w:autoSpaceDN/>
              <w:jc w:val="right"/>
              <w:outlineLvl w:val="0"/>
              <w:rPr>
                <w:rFonts w:ascii="Arial" w:hAnsi="Arial" w:cs="Arial"/>
                <w:b/>
                <w:iCs/>
                <w:sz w:val="17"/>
                <w:szCs w:val="17"/>
              </w:rPr>
            </w:pPr>
            <w:r w:rsidRPr="00587444">
              <w:rPr>
                <w:rFonts w:ascii="Arial" w:hAnsi="Arial" w:cs="Arial"/>
                <w:b/>
                <w:iCs/>
                <w:color w:val="000000"/>
                <w:sz w:val="17"/>
                <w:szCs w:val="17"/>
                <w:lang w:val="hr-HR"/>
              </w:rPr>
              <w:t>163,137</w:t>
            </w:r>
          </w:p>
        </w:tc>
      </w:tr>
      <w:tr w:rsidR="00587444" w:rsidRPr="00587444" w14:paraId="1073377E" w14:textId="77777777" w:rsidTr="00DD69E7">
        <w:trPr>
          <w:trHeight w:val="521"/>
        </w:trPr>
        <w:tc>
          <w:tcPr>
            <w:tcW w:w="1471" w:type="pct"/>
            <w:vAlign w:val="bottom"/>
          </w:tcPr>
          <w:p w14:paraId="5BB9AF99" w14:textId="77777777" w:rsidR="00587444" w:rsidRPr="00587444" w:rsidRDefault="00587444" w:rsidP="00587444">
            <w:pPr>
              <w:tabs>
                <w:tab w:val="right" w:pos="1202"/>
              </w:tabs>
              <w:suppressAutoHyphens w:val="0"/>
              <w:autoSpaceDN/>
              <w:outlineLvl w:val="0"/>
              <w:rPr>
                <w:rFonts w:ascii="Arial" w:hAnsi="Arial" w:cs="Arial"/>
                <w:iCs/>
                <w:sz w:val="17"/>
                <w:szCs w:val="17"/>
              </w:rPr>
            </w:pPr>
            <w:bookmarkStart w:id="390" w:name="_Toc4057584"/>
            <w:r w:rsidRPr="00587444">
              <w:rPr>
                <w:rFonts w:ascii="Arial" w:hAnsi="Arial" w:cs="Arial"/>
                <w:iCs/>
                <w:sz w:val="17"/>
                <w:szCs w:val="17"/>
              </w:rPr>
              <w:t>Net foreign exchange - Guarantee fund</w:t>
            </w:r>
            <w:bookmarkEnd w:id="390"/>
          </w:p>
        </w:tc>
        <w:tc>
          <w:tcPr>
            <w:tcW w:w="588" w:type="pct"/>
            <w:tcBorders>
              <w:top w:val="nil"/>
              <w:left w:val="nil"/>
              <w:bottom w:val="nil"/>
              <w:right w:val="nil"/>
            </w:tcBorders>
            <w:shd w:val="clear" w:color="auto" w:fill="auto"/>
            <w:vAlign w:val="bottom"/>
          </w:tcPr>
          <w:p w14:paraId="7D927338" w14:textId="77777777" w:rsidR="00587444" w:rsidRPr="00587444" w:rsidRDefault="00587444" w:rsidP="00587444">
            <w:pPr>
              <w:tabs>
                <w:tab w:val="right" w:pos="1202"/>
              </w:tabs>
              <w:suppressAutoHyphens w:val="0"/>
              <w:autoSpaceDN/>
              <w:jc w:val="right"/>
              <w:outlineLvl w:val="0"/>
              <w:rPr>
                <w:rFonts w:ascii="Arial" w:hAnsi="Arial" w:cs="Arial"/>
                <w:iCs/>
                <w:sz w:val="17"/>
                <w:szCs w:val="17"/>
                <w:lang w:val="hr-HR"/>
              </w:rPr>
            </w:pPr>
            <w:r w:rsidRPr="00587444">
              <w:rPr>
                <w:rFonts w:ascii="Arial" w:hAnsi="Arial" w:cs="Arial"/>
                <w:color w:val="000000"/>
                <w:sz w:val="17"/>
                <w:szCs w:val="17"/>
                <w:lang w:val="hr-HR"/>
              </w:rPr>
              <w:t>-</w:t>
            </w:r>
          </w:p>
        </w:tc>
        <w:tc>
          <w:tcPr>
            <w:tcW w:w="588" w:type="pct"/>
            <w:tcBorders>
              <w:top w:val="nil"/>
              <w:left w:val="nil"/>
              <w:bottom w:val="nil"/>
              <w:right w:val="nil"/>
            </w:tcBorders>
            <w:shd w:val="clear" w:color="auto" w:fill="auto"/>
            <w:vAlign w:val="bottom"/>
          </w:tcPr>
          <w:p w14:paraId="765B2819" w14:textId="77777777" w:rsidR="00587444" w:rsidRPr="00587444" w:rsidRDefault="00587444" w:rsidP="00587444">
            <w:pPr>
              <w:tabs>
                <w:tab w:val="right" w:pos="1202"/>
              </w:tabs>
              <w:suppressAutoHyphens w:val="0"/>
              <w:autoSpaceDN/>
              <w:jc w:val="right"/>
              <w:outlineLvl w:val="0"/>
              <w:rPr>
                <w:rFonts w:ascii="Arial" w:hAnsi="Arial" w:cs="Arial"/>
                <w:iCs/>
                <w:sz w:val="17"/>
                <w:szCs w:val="17"/>
                <w:lang w:val="hr-HR"/>
              </w:rPr>
            </w:pPr>
            <w:r w:rsidRPr="00587444">
              <w:rPr>
                <w:rFonts w:ascii="Arial" w:hAnsi="Arial" w:cs="Arial"/>
                <w:color w:val="000000"/>
                <w:sz w:val="17"/>
                <w:szCs w:val="17"/>
                <w:lang w:val="hr-HR"/>
              </w:rPr>
              <w:t>-</w:t>
            </w:r>
          </w:p>
        </w:tc>
        <w:tc>
          <w:tcPr>
            <w:tcW w:w="588" w:type="pct"/>
            <w:tcBorders>
              <w:top w:val="nil"/>
              <w:left w:val="nil"/>
              <w:bottom w:val="nil"/>
              <w:right w:val="nil"/>
            </w:tcBorders>
            <w:shd w:val="clear" w:color="auto" w:fill="auto"/>
            <w:vAlign w:val="bottom"/>
          </w:tcPr>
          <w:p w14:paraId="221E318F" w14:textId="77777777" w:rsidR="00587444" w:rsidRPr="00587444" w:rsidRDefault="00587444" w:rsidP="00587444">
            <w:pPr>
              <w:tabs>
                <w:tab w:val="right" w:pos="1202"/>
              </w:tabs>
              <w:suppressAutoHyphens w:val="0"/>
              <w:autoSpaceDN/>
              <w:jc w:val="right"/>
              <w:outlineLvl w:val="0"/>
              <w:rPr>
                <w:rFonts w:ascii="Arial" w:hAnsi="Arial" w:cs="Arial"/>
                <w:iCs/>
                <w:sz w:val="17"/>
                <w:szCs w:val="17"/>
              </w:rPr>
            </w:pPr>
            <w:r w:rsidRPr="00587444">
              <w:rPr>
                <w:rFonts w:ascii="Arial" w:hAnsi="Arial" w:cs="Arial"/>
                <w:color w:val="000000"/>
                <w:sz w:val="17"/>
                <w:szCs w:val="17"/>
                <w:lang w:val="hr-HR"/>
              </w:rPr>
              <w:t>-</w:t>
            </w:r>
          </w:p>
        </w:tc>
        <w:tc>
          <w:tcPr>
            <w:tcW w:w="588" w:type="pct"/>
            <w:tcBorders>
              <w:top w:val="nil"/>
              <w:left w:val="nil"/>
              <w:bottom w:val="nil"/>
              <w:right w:val="nil"/>
            </w:tcBorders>
            <w:shd w:val="clear" w:color="auto" w:fill="auto"/>
            <w:vAlign w:val="bottom"/>
          </w:tcPr>
          <w:p w14:paraId="7B5FF2C4" w14:textId="77777777" w:rsidR="00587444" w:rsidRPr="00587444" w:rsidRDefault="00587444" w:rsidP="00587444">
            <w:pPr>
              <w:tabs>
                <w:tab w:val="right" w:pos="1202"/>
              </w:tabs>
              <w:suppressAutoHyphens w:val="0"/>
              <w:autoSpaceDN/>
              <w:jc w:val="right"/>
              <w:outlineLvl w:val="0"/>
              <w:rPr>
                <w:rFonts w:ascii="Arial" w:hAnsi="Arial" w:cs="Arial"/>
                <w:iCs/>
                <w:sz w:val="17"/>
                <w:szCs w:val="17"/>
              </w:rPr>
            </w:pPr>
            <w:r w:rsidRPr="00587444">
              <w:rPr>
                <w:rFonts w:ascii="Arial" w:hAnsi="Arial" w:cs="Arial"/>
                <w:color w:val="000000"/>
                <w:sz w:val="17"/>
                <w:szCs w:val="17"/>
                <w:lang w:val="hr-HR"/>
              </w:rPr>
              <w:t>-</w:t>
            </w:r>
          </w:p>
        </w:tc>
        <w:tc>
          <w:tcPr>
            <w:tcW w:w="588" w:type="pct"/>
            <w:tcBorders>
              <w:top w:val="nil"/>
              <w:left w:val="nil"/>
              <w:bottom w:val="nil"/>
              <w:right w:val="nil"/>
            </w:tcBorders>
            <w:shd w:val="clear" w:color="auto" w:fill="auto"/>
            <w:vAlign w:val="bottom"/>
          </w:tcPr>
          <w:p w14:paraId="2AF155C5" w14:textId="77777777" w:rsidR="00587444" w:rsidRPr="00587444" w:rsidDel="00262EC0" w:rsidRDefault="00587444" w:rsidP="00587444">
            <w:pPr>
              <w:tabs>
                <w:tab w:val="right" w:pos="1202"/>
              </w:tabs>
              <w:suppressAutoHyphens w:val="0"/>
              <w:autoSpaceDN/>
              <w:jc w:val="right"/>
              <w:outlineLvl w:val="0"/>
              <w:rPr>
                <w:rFonts w:ascii="Arial" w:hAnsi="Arial" w:cs="Arial"/>
                <w:iCs/>
                <w:sz w:val="17"/>
                <w:szCs w:val="17"/>
                <w:lang w:val="hr-HR"/>
              </w:rPr>
            </w:pPr>
            <w:r w:rsidRPr="00587444">
              <w:rPr>
                <w:rFonts w:ascii="Arial" w:hAnsi="Arial" w:cs="Arial"/>
                <w:color w:val="000000"/>
                <w:sz w:val="17"/>
                <w:szCs w:val="17"/>
                <w:lang w:val="hr-HR"/>
              </w:rPr>
              <w:t>(32)</w:t>
            </w:r>
          </w:p>
        </w:tc>
        <w:tc>
          <w:tcPr>
            <w:tcW w:w="588" w:type="pct"/>
            <w:tcBorders>
              <w:top w:val="nil"/>
              <w:left w:val="nil"/>
              <w:bottom w:val="nil"/>
              <w:right w:val="nil"/>
            </w:tcBorders>
            <w:shd w:val="clear" w:color="auto" w:fill="auto"/>
            <w:vAlign w:val="bottom"/>
          </w:tcPr>
          <w:p w14:paraId="0774371E" w14:textId="77777777" w:rsidR="00587444" w:rsidRPr="00587444" w:rsidRDefault="00587444" w:rsidP="00587444">
            <w:pPr>
              <w:tabs>
                <w:tab w:val="right" w:pos="1202"/>
              </w:tabs>
              <w:suppressAutoHyphens w:val="0"/>
              <w:autoSpaceDN/>
              <w:jc w:val="right"/>
              <w:outlineLvl w:val="0"/>
              <w:rPr>
                <w:rFonts w:ascii="Arial" w:hAnsi="Arial" w:cs="Arial"/>
                <w:b/>
                <w:iCs/>
                <w:sz w:val="17"/>
                <w:szCs w:val="17"/>
              </w:rPr>
            </w:pPr>
            <w:r w:rsidRPr="00587444">
              <w:rPr>
                <w:rFonts w:ascii="Arial" w:hAnsi="Arial" w:cs="Arial"/>
                <w:b/>
                <w:color w:val="000000"/>
                <w:sz w:val="17"/>
                <w:szCs w:val="17"/>
                <w:lang w:val="hr-HR"/>
              </w:rPr>
              <w:t>(32)</w:t>
            </w:r>
          </w:p>
        </w:tc>
      </w:tr>
      <w:tr w:rsidR="00587444" w:rsidRPr="00587444" w14:paraId="34207C82" w14:textId="77777777" w:rsidTr="00DD69E7">
        <w:trPr>
          <w:trHeight w:val="521"/>
        </w:trPr>
        <w:tc>
          <w:tcPr>
            <w:tcW w:w="1471" w:type="pct"/>
            <w:vAlign w:val="bottom"/>
          </w:tcPr>
          <w:p w14:paraId="2F249C17" w14:textId="77777777" w:rsidR="00587444" w:rsidRPr="00587444" w:rsidRDefault="00587444" w:rsidP="00587444">
            <w:pPr>
              <w:tabs>
                <w:tab w:val="right" w:pos="1202"/>
              </w:tabs>
              <w:suppressAutoHyphens w:val="0"/>
              <w:autoSpaceDN/>
              <w:outlineLvl w:val="0"/>
              <w:rPr>
                <w:rFonts w:ascii="Arial" w:hAnsi="Arial" w:cs="Arial"/>
                <w:iCs/>
                <w:sz w:val="17"/>
                <w:szCs w:val="17"/>
              </w:rPr>
            </w:pPr>
            <w:bookmarkStart w:id="391" w:name="_Toc4057591"/>
            <w:r w:rsidRPr="00587444">
              <w:rPr>
                <w:rFonts w:ascii="Arial" w:hAnsi="Arial" w:cs="Arial"/>
                <w:iCs/>
                <w:sz w:val="17"/>
                <w:szCs w:val="17"/>
              </w:rPr>
              <w:t>Capital paid-in from the State Budget</w:t>
            </w:r>
            <w:bookmarkEnd w:id="391"/>
            <w:r w:rsidRPr="00587444">
              <w:rPr>
                <w:rFonts w:ascii="Arial" w:hAnsi="Arial" w:cs="Arial"/>
                <w:iCs/>
                <w:sz w:val="17"/>
                <w:szCs w:val="17"/>
              </w:rPr>
              <w:t xml:space="preserve">  </w:t>
            </w:r>
          </w:p>
        </w:tc>
        <w:tc>
          <w:tcPr>
            <w:tcW w:w="588" w:type="pct"/>
            <w:tcBorders>
              <w:top w:val="nil"/>
              <w:left w:val="nil"/>
              <w:bottom w:val="nil"/>
              <w:right w:val="nil"/>
            </w:tcBorders>
            <w:shd w:val="clear" w:color="auto" w:fill="auto"/>
            <w:vAlign w:val="bottom"/>
          </w:tcPr>
          <w:p w14:paraId="2A84E47D" w14:textId="77777777" w:rsidR="00587444" w:rsidRPr="00587444" w:rsidRDefault="00587444" w:rsidP="00587444">
            <w:pPr>
              <w:tabs>
                <w:tab w:val="right" w:pos="1202"/>
              </w:tabs>
              <w:suppressAutoHyphens w:val="0"/>
              <w:autoSpaceDN/>
              <w:jc w:val="right"/>
              <w:outlineLvl w:val="0"/>
              <w:rPr>
                <w:rFonts w:ascii="Arial" w:hAnsi="Arial" w:cs="Arial"/>
                <w:iCs/>
                <w:sz w:val="17"/>
                <w:szCs w:val="17"/>
                <w:lang w:val="hr-HR"/>
              </w:rPr>
            </w:pPr>
            <w:r w:rsidRPr="00587444">
              <w:rPr>
                <w:rFonts w:ascii="Arial" w:hAnsi="Arial" w:cs="Arial"/>
                <w:iCs/>
                <w:color w:val="000000"/>
                <w:sz w:val="17"/>
                <w:szCs w:val="17"/>
                <w:lang w:val="hr-HR"/>
              </w:rPr>
              <w:t>50,000</w:t>
            </w:r>
          </w:p>
        </w:tc>
        <w:tc>
          <w:tcPr>
            <w:tcW w:w="588" w:type="pct"/>
            <w:tcBorders>
              <w:top w:val="nil"/>
              <w:left w:val="nil"/>
              <w:bottom w:val="nil"/>
              <w:right w:val="nil"/>
            </w:tcBorders>
            <w:shd w:val="clear" w:color="auto" w:fill="auto"/>
            <w:vAlign w:val="bottom"/>
          </w:tcPr>
          <w:p w14:paraId="473E69D9" w14:textId="77777777" w:rsidR="00587444" w:rsidRPr="00587444" w:rsidRDefault="00587444" w:rsidP="00587444">
            <w:pPr>
              <w:tabs>
                <w:tab w:val="right" w:pos="1202"/>
              </w:tabs>
              <w:suppressAutoHyphens w:val="0"/>
              <w:autoSpaceDN/>
              <w:jc w:val="right"/>
              <w:outlineLvl w:val="0"/>
              <w:rPr>
                <w:rFonts w:ascii="Arial" w:hAnsi="Arial" w:cs="Arial"/>
                <w:iCs/>
                <w:sz w:val="17"/>
                <w:szCs w:val="17"/>
                <w:lang w:val="hr-HR"/>
              </w:rPr>
            </w:pPr>
            <w:r w:rsidRPr="00587444">
              <w:rPr>
                <w:rFonts w:ascii="Arial" w:hAnsi="Arial" w:cs="Arial"/>
                <w:iCs/>
                <w:color w:val="000000"/>
                <w:sz w:val="17"/>
                <w:szCs w:val="17"/>
                <w:lang w:val="hr-HR"/>
              </w:rPr>
              <w:t>-</w:t>
            </w:r>
          </w:p>
        </w:tc>
        <w:tc>
          <w:tcPr>
            <w:tcW w:w="588" w:type="pct"/>
            <w:tcBorders>
              <w:top w:val="nil"/>
              <w:left w:val="nil"/>
              <w:bottom w:val="nil"/>
              <w:right w:val="nil"/>
            </w:tcBorders>
            <w:shd w:val="clear" w:color="auto" w:fill="auto"/>
            <w:vAlign w:val="bottom"/>
          </w:tcPr>
          <w:p w14:paraId="406F8CE3" w14:textId="77777777" w:rsidR="00587444" w:rsidRPr="00587444" w:rsidRDefault="00587444" w:rsidP="00587444">
            <w:pPr>
              <w:tabs>
                <w:tab w:val="right" w:pos="1202"/>
              </w:tabs>
              <w:suppressAutoHyphens w:val="0"/>
              <w:autoSpaceDN/>
              <w:jc w:val="right"/>
              <w:outlineLvl w:val="0"/>
              <w:rPr>
                <w:rFonts w:ascii="Arial" w:hAnsi="Arial" w:cs="Arial"/>
                <w:iCs/>
                <w:sz w:val="17"/>
                <w:szCs w:val="17"/>
                <w:lang w:val="hr-HR"/>
              </w:rPr>
            </w:pPr>
            <w:r w:rsidRPr="00587444">
              <w:rPr>
                <w:rFonts w:ascii="Arial" w:hAnsi="Arial" w:cs="Arial"/>
                <w:iCs/>
                <w:color w:val="000000"/>
                <w:sz w:val="17"/>
                <w:szCs w:val="17"/>
                <w:lang w:val="hr-HR"/>
              </w:rPr>
              <w:t>-</w:t>
            </w:r>
          </w:p>
        </w:tc>
        <w:tc>
          <w:tcPr>
            <w:tcW w:w="588" w:type="pct"/>
            <w:tcBorders>
              <w:top w:val="nil"/>
              <w:left w:val="nil"/>
              <w:bottom w:val="nil"/>
              <w:right w:val="nil"/>
            </w:tcBorders>
            <w:shd w:val="clear" w:color="auto" w:fill="auto"/>
            <w:vAlign w:val="bottom"/>
          </w:tcPr>
          <w:p w14:paraId="127CBF41" w14:textId="77777777" w:rsidR="00587444" w:rsidRPr="00587444" w:rsidRDefault="00587444" w:rsidP="00587444">
            <w:pPr>
              <w:tabs>
                <w:tab w:val="right" w:pos="1202"/>
              </w:tabs>
              <w:suppressAutoHyphens w:val="0"/>
              <w:autoSpaceDN/>
              <w:jc w:val="right"/>
              <w:outlineLvl w:val="0"/>
              <w:rPr>
                <w:rFonts w:ascii="Arial" w:hAnsi="Arial" w:cs="Arial"/>
                <w:iCs/>
                <w:sz w:val="17"/>
                <w:szCs w:val="17"/>
                <w:lang w:val="hr-HR"/>
              </w:rPr>
            </w:pPr>
            <w:r w:rsidRPr="00587444">
              <w:rPr>
                <w:rFonts w:ascii="Arial" w:hAnsi="Arial" w:cs="Arial"/>
                <w:iCs/>
                <w:color w:val="000000"/>
                <w:sz w:val="17"/>
                <w:szCs w:val="17"/>
                <w:lang w:val="hr-HR"/>
              </w:rPr>
              <w:t>-</w:t>
            </w:r>
          </w:p>
        </w:tc>
        <w:tc>
          <w:tcPr>
            <w:tcW w:w="588" w:type="pct"/>
            <w:tcBorders>
              <w:top w:val="nil"/>
              <w:left w:val="nil"/>
              <w:bottom w:val="nil"/>
              <w:right w:val="nil"/>
            </w:tcBorders>
            <w:shd w:val="clear" w:color="auto" w:fill="auto"/>
            <w:vAlign w:val="bottom"/>
          </w:tcPr>
          <w:p w14:paraId="56C1CB79" w14:textId="77777777" w:rsidR="00587444" w:rsidRPr="00587444" w:rsidRDefault="00587444" w:rsidP="00587444">
            <w:pPr>
              <w:tabs>
                <w:tab w:val="right" w:pos="1202"/>
              </w:tabs>
              <w:suppressAutoHyphens w:val="0"/>
              <w:autoSpaceDN/>
              <w:jc w:val="right"/>
              <w:outlineLvl w:val="0"/>
              <w:rPr>
                <w:rFonts w:ascii="Arial" w:hAnsi="Arial" w:cs="Arial"/>
                <w:iCs/>
                <w:sz w:val="17"/>
                <w:szCs w:val="17"/>
                <w:lang w:val="hr-HR"/>
              </w:rPr>
            </w:pPr>
            <w:r w:rsidRPr="00587444">
              <w:rPr>
                <w:rFonts w:ascii="Arial" w:hAnsi="Arial" w:cs="Arial"/>
                <w:iCs/>
                <w:color w:val="000000"/>
                <w:sz w:val="17"/>
                <w:szCs w:val="17"/>
                <w:lang w:val="hr-HR"/>
              </w:rPr>
              <w:t>-</w:t>
            </w:r>
          </w:p>
        </w:tc>
        <w:tc>
          <w:tcPr>
            <w:tcW w:w="588" w:type="pct"/>
            <w:tcBorders>
              <w:top w:val="nil"/>
              <w:left w:val="nil"/>
              <w:bottom w:val="nil"/>
              <w:right w:val="nil"/>
            </w:tcBorders>
            <w:shd w:val="clear" w:color="auto" w:fill="auto"/>
            <w:vAlign w:val="bottom"/>
          </w:tcPr>
          <w:p w14:paraId="63A7B6E6" w14:textId="77777777" w:rsidR="00587444" w:rsidRPr="00587444" w:rsidRDefault="00587444" w:rsidP="00587444">
            <w:pPr>
              <w:tabs>
                <w:tab w:val="right" w:pos="1202"/>
              </w:tabs>
              <w:suppressAutoHyphens w:val="0"/>
              <w:autoSpaceDN/>
              <w:jc w:val="right"/>
              <w:outlineLvl w:val="0"/>
              <w:rPr>
                <w:rFonts w:ascii="Arial" w:hAnsi="Arial" w:cs="Arial"/>
                <w:b/>
                <w:iCs/>
                <w:sz w:val="17"/>
                <w:szCs w:val="17"/>
                <w:lang w:val="hr-HR"/>
              </w:rPr>
            </w:pPr>
            <w:r w:rsidRPr="00587444">
              <w:rPr>
                <w:rFonts w:ascii="Arial" w:hAnsi="Arial" w:cs="Arial"/>
                <w:b/>
                <w:iCs/>
                <w:color w:val="000000"/>
                <w:sz w:val="17"/>
                <w:szCs w:val="17"/>
                <w:lang w:val="hr-HR"/>
              </w:rPr>
              <w:t>50,000</w:t>
            </w:r>
          </w:p>
        </w:tc>
      </w:tr>
      <w:tr w:rsidR="00587444" w:rsidRPr="00587444" w14:paraId="46B226ED" w14:textId="77777777" w:rsidTr="00DD69E7">
        <w:trPr>
          <w:trHeight w:val="521"/>
        </w:trPr>
        <w:tc>
          <w:tcPr>
            <w:tcW w:w="1471" w:type="pct"/>
            <w:vAlign w:val="bottom"/>
          </w:tcPr>
          <w:p w14:paraId="5D5550BB" w14:textId="77777777" w:rsidR="00587444" w:rsidRPr="00587444" w:rsidRDefault="00587444" w:rsidP="00587444">
            <w:pPr>
              <w:tabs>
                <w:tab w:val="right" w:pos="1202"/>
              </w:tabs>
              <w:suppressAutoHyphens w:val="0"/>
              <w:autoSpaceDN/>
              <w:spacing w:line="301" w:lineRule="exact"/>
              <w:outlineLvl w:val="0"/>
              <w:rPr>
                <w:rFonts w:ascii="Arial" w:hAnsi="Arial" w:cs="Arial"/>
                <w:iCs/>
                <w:sz w:val="17"/>
                <w:szCs w:val="17"/>
              </w:rPr>
            </w:pPr>
            <w:bookmarkStart w:id="392" w:name="_Toc4057598"/>
            <w:r w:rsidRPr="00587444">
              <w:rPr>
                <w:rFonts w:ascii="Arial" w:hAnsi="Arial" w:cs="Arial"/>
                <w:iCs/>
                <w:sz w:val="17"/>
                <w:szCs w:val="17"/>
              </w:rPr>
              <w:t>Transfer of profit 2020 to</w:t>
            </w:r>
            <w:bookmarkEnd w:id="392"/>
          </w:p>
          <w:p w14:paraId="2D06F70B" w14:textId="77777777" w:rsidR="00587444" w:rsidRPr="00587444" w:rsidRDefault="00587444" w:rsidP="00587444">
            <w:pPr>
              <w:tabs>
                <w:tab w:val="right" w:pos="1202"/>
              </w:tabs>
              <w:suppressAutoHyphens w:val="0"/>
              <w:autoSpaceDN/>
              <w:outlineLvl w:val="0"/>
              <w:rPr>
                <w:rFonts w:ascii="Arial" w:hAnsi="Arial" w:cs="Arial"/>
                <w:i/>
                <w:iCs/>
                <w:sz w:val="17"/>
                <w:szCs w:val="17"/>
              </w:rPr>
            </w:pPr>
            <w:bookmarkStart w:id="393" w:name="_Toc4057599"/>
            <w:r w:rsidRPr="00587444">
              <w:rPr>
                <w:rFonts w:ascii="Arial" w:hAnsi="Arial" w:cs="Arial"/>
                <w:iCs/>
                <w:sz w:val="17"/>
                <w:szCs w:val="17"/>
              </w:rPr>
              <w:t>retained earnings</w:t>
            </w:r>
            <w:bookmarkEnd w:id="393"/>
          </w:p>
        </w:tc>
        <w:tc>
          <w:tcPr>
            <w:tcW w:w="588" w:type="pct"/>
            <w:tcBorders>
              <w:top w:val="nil"/>
              <w:left w:val="nil"/>
              <w:bottom w:val="single" w:sz="4" w:space="0" w:color="auto"/>
              <w:right w:val="nil"/>
            </w:tcBorders>
            <w:shd w:val="clear" w:color="auto" w:fill="auto"/>
            <w:vAlign w:val="bottom"/>
          </w:tcPr>
          <w:p w14:paraId="7F40240E" w14:textId="77777777" w:rsidR="00587444" w:rsidRPr="00587444" w:rsidRDefault="00587444" w:rsidP="00587444">
            <w:pPr>
              <w:tabs>
                <w:tab w:val="right" w:pos="1202"/>
              </w:tabs>
              <w:suppressAutoHyphens w:val="0"/>
              <w:autoSpaceDN/>
              <w:jc w:val="right"/>
              <w:outlineLvl w:val="0"/>
              <w:rPr>
                <w:rFonts w:ascii="Arial" w:hAnsi="Arial" w:cs="Arial"/>
                <w:iCs/>
                <w:sz w:val="17"/>
                <w:szCs w:val="17"/>
              </w:rPr>
            </w:pPr>
            <w:r w:rsidRPr="00587444">
              <w:rPr>
                <w:rFonts w:ascii="Arial" w:hAnsi="Arial" w:cs="Arial"/>
                <w:iCs/>
                <w:color w:val="000000"/>
                <w:sz w:val="17"/>
                <w:szCs w:val="17"/>
                <w:lang w:val="hr-HR"/>
              </w:rPr>
              <w:t>-</w:t>
            </w:r>
          </w:p>
        </w:tc>
        <w:tc>
          <w:tcPr>
            <w:tcW w:w="588" w:type="pct"/>
            <w:tcBorders>
              <w:top w:val="nil"/>
              <w:left w:val="nil"/>
              <w:bottom w:val="single" w:sz="4" w:space="0" w:color="auto"/>
              <w:right w:val="nil"/>
            </w:tcBorders>
            <w:shd w:val="clear" w:color="auto" w:fill="auto"/>
            <w:vAlign w:val="bottom"/>
          </w:tcPr>
          <w:p w14:paraId="5AB41CBA" w14:textId="77777777" w:rsidR="00587444" w:rsidRPr="00587444" w:rsidRDefault="00587444" w:rsidP="00587444">
            <w:pPr>
              <w:tabs>
                <w:tab w:val="right" w:pos="1202"/>
              </w:tabs>
              <w:suppressAutoHyphens w:val="0"/>
              <w:autoSpaceDN/>
              <w:jc w:val="right"/>
              <w:outlineLvl w:val="0"/>
              <w:rPr>
                <w:rFonts w:ascii="Arial" w:hAnsi="Arial" w:cs="Arial"/>
                <w:iCs/>
                <w:sz w:val="17"/>
                <w:szCs w:val="17"/>
              </w:rPr>
            </w:pPr>
            <w:r w:rsidRPr="00587444">
              <w:rPr>
                <w:rFonts w:ascii="Arial" w:hAnsi="Arial" w:cs="Arial"/>
                <w:iCs/>
                <w:color w:val="000000"/>
                <w:sz w:val="17"/>
                <w:szCs w:val="17"/>
                <w:lang w:val="hr-HR"/>
              </w:rPr>
              <w:t>79,339</w:t>
            </w:r>
          </w:p>
        </w:tc>
        <w:tc>
          <w:tcPr>
            <w:tcW w:w="588" w:type="pct"/>
            <w:tcBorders>
              <w:top w:val="nil"/>
              <w:left w:val="nil"/>
              <w:bottom w:val="single" w:sz="4" w:space="0" w:color="auto"/>
              <w:right w:val="nil"/>
            </w:tcBorders>
            <w:shd w:val="clear" w:color="auto" w:fill="auto"/>
            <w:vAlign w:val="bottom"/>
          </w:tcPr>
          <w:p w14:paraId="4ABEFE49" w14:textId="77777777" w:rsidR="00587444" w:rsidRPr="00587444" w:rsidRDefault="00587444" w:rsidP="00587444">
            <w:pPr>
              <w:tabs>
                <w:tab w:val="right" w:pos="1202"/>
              </w:tabs>
              <w:suppressAutoHyphens w:val="0"/>
              <w:autoSpaceDN/>
              <w:jc w:val="right"/>
              <w:outlineLvl w:val="0"/>
              <w:rPr>
                <w:rFonts w:ascii="Arial" w:hAnsi="Arial" w:cs="Arial"/>
                <w:iCs/>
                <w:sz w:val="17"/>
                <w:szCs w:val="17"/>
              </w:rPr>
            </w:pPr>
            <w:r w:rsidRPr="00587444">
              <w:rPr>
                <w:rFonts w:ascii="Arial" w:hAnsi="Arial" w:cs="Arial"/>
                <w:iCs/>
                <w:color w:val="000000"/>
                <w:sz w:val="17"/>
                <w:szCs w:val="17"/>
                <w:lang w:val="hr-HR"/>
              </w:rPr>
              <w:t>-</w:t>
            </w:r>
          </w:p>
        </w:tc>
        <w:tc>
          <w:tcPr>
            <w:tcW w:w="588" w:type="pct"/>
            <w:tcBorders>
              <w:top w:val="nil"/>
              <w:left w:val="nil"/>
              <w:bottom w:val="single" w:sz="4" w:space="0" w:color="auto"/>
              <w:right w:val="nil"/>
            </w:tcBorders>
            <w:shd w:val="clear" w:color="auto" w:fill="auto"/>
            <w:vAlign w:val="bottom"/>
          </w:tcPr>
          <w:p w14:paraId="1C2E13E2" w14:textId="77777777" w:rsidR="00587444" w:rsidRPr="00587444" w:rsidRDefault="00587444" w:rsidP="00587444">
            <w:pPr>
              <w:tabs>
                <w:tab w:val="right" w:pos="1202"/>
              </w:tabs>
              <w:suppressAutoHyphens w:val="0"/>
              <w:autoSpaceDN/>
              <w:jc w:val="right"/>
              <w:outlineLvl w:val="0"/>
              <w:rPr>
                <w:rFonts w:ascii="Arial" w:hAnsi="Arial" w:cs="Arial"/>
                <w:iCs/>
                <w:sz w:val="17"/>
                <w:szCs w:val="17"/>
              </w:rPr>
            </w:pPr>
            <w:r w:rsidRPr="00587444">
              <w:rPr>
                <w:rFonts w:ascii="Arial" w:hAnsi="Arial" w:cs="Arial"/>
                <w:iCs/>
                <w:color w:val="000000"/>
                <w:sz w:val="17"/>
                <w:szCs w:val="17"/>
                <w:lang w:val="hr-HR"/>
              </w:rPr>
              <w:t>(79,339)</w:t>
            </w:r>
          </w:p>
        </w:tc>
        <w:tc>
          <w:tcPr>
            <w:tcW w:w="588" w:type="pct"/>
            <w:tcBorders>
              <w:top w:val="nil"/>
              <w:left w:val="nil"/>
              <w:bottom w:val="single" w:sz="4" w:space="0" w:color="auto"/>
              <w:right w:val="nil"/>
            </w:tcBorders>
            <w:shd w:val="clear" w:color="auto" w:fill="auto"/>
            <w:vAlign w:val="bottom"/>
          </w:tcPr>
          <w:p w14:paraId="2EBD8504" w14:textId="77777777" w:rsidR="00587444" w:rsidRPr="00587444" w:rsidRDefault="00587444" w:rsidP="00587444">
            <w:pPr>
              <w:tabs>
                <w:tab w:val="right" w:pos="1202"/>
              </w:tabs>
              <w:suppressAutoHyphens w:val="0"/>
              <w:autoSpaceDN/>
              <w:jc w:val="right"/>
              <w:outlineLvl w:val="0"/>
              <w:rPr>
                <w:rFonts w:ascii="Arial" w:hAnsi="Arial" w:cs="Arial"/>
                <w:iCs/>
                <w:sz w:val="17"/>
                <w:szCs w:val="17"/>
              </w:rPr>
            </w:pPr>
            <w:r w:rsidRPr="00587444">
              <w:rPr>
                <w:rFonts w:ascii="Arial" w:hAnsi="Arial" w:cs="Arial"/>
                <w:iCs/>
                <w:color w:val="000000"/>
                <w:sz w:val="17"/>
                <w:szCs w:val="17"/>
                <w:lang w:val="hr-HR"/>
              </w:rPr>
              <w:t>-</w:t>
            </w:r>
          </w:p>
        </w:tc>
        <w:tc>
          <w:tcPr>
            <w:tcW w:w="588" w:type="pct"/>
            <w:tcBorders>
              <w:top w:val="nil"/>
              <w:left w:val="nil"/>
              <w:bottom w:val="single" w:sz="4" w:space="0" w:color="auto"/>
              <w:right w:val="nil"/>
            </w:tcBorders>
            <w:shd w:val="clear" w:color="auto" w:fill="auto"/>
            <w:vAlign w:val="bottom"/>
          </w:tcPr>
          <w:p w14:paraId="37A4C1F8" w14:textId="77777777" w:rsidR="00587444" w:rsidRPr="00587444" w:rsidRDefault="00587444" w:rsidP="00587444">
            <w:pPr>
              <w:tabs>
                <w:tab w:val="right" w:pos="1202"/>
              </w:tabs>
              <w:suppressAutoHyphens w:val="0"/>
              <w:autoSpaceDN/>
              <w:jc w:val="right"/>
              <w:outlineLvl w:val="0"/>
              <w:rPr>
                <w:rFonts w:ascii="Arial" w:hAnsi="Arial" w:cs="Arial"/>
                <w:b/>
                <w:iCs/>
                <w:sz w:val="17"/>
                <w:szCs w:val="17"/>
              </w:rPr>
            </w:pPr>
            <w:r w:rsidRPr="00587444">
              <w:rPr>
                <w:rFonts w:ascii="Arial" w:hAnsi="Arial" w:cs="Arial"/>
                <w:b/>
                <w:iCs/>
                <w:color w:val="000000"/>
                <w:sz w:val="17"/>
                <w:szCs w:val="17"/>
                <w:lang w:val="hr-HR"/>
              </w:rPr>
              <w:t>-</w:t>
            </w:r>
          </w:p>
        </w:tc>
      </w:tr>
      <w:tr w:rsidR="00587444" w:rsidRPr="00587444" w14:paraId="30F9F28F" w14:textId="77777777" w:rsidTr="00DD69E7">
        <w:trPr>
          <w:trHeight w:val="340"/>
        </w:trPr>
        <w:tc>
          <w:tcPr>
            <w:tcW w:w="1471" w:type="pct"/>
            <w:vAlign w:val="bottom"/>
          </w:tcPr>
          <w:p w14:paraId="3B8C3827" w14:textId="77777777" w:rsidR="00587444" w:rsidRPr="00587444" w:rsidRDefault="00587444" w:rsidP="00587444">
            <w:pPr>
              <w:tabs>
                <w:tab w:val="right" w:pos="1202"/>
              </w:tabs>
              <w:suppressAutoHyphens w:val="0"/>
              <w:autoSpaceDN/>
              <w:outlineLvl w:val="0"/>
              <w:rPr>
                <w:rFonts w:ascii="Arial" w:hAnsi="Arial" w:cs="Arial"/>
                <w:b/>
                <w:iCs/>
                <w:sz w:val="17"/>
                <w:szCs w:val="17"/>
              </w:rPr>
            </w:pPr>
            <w:bookmarkStart w:id="394" w:name="_Toc4057606"/>
            <w:r w:rsidRPr="00587444">
              <w:rPr>
                <w:rFonts w:ascii="Arial" w:hAnsi="Arial" w:cs="Arial"/>
                <w:b/>
                <w:iCs/>
                <w:sz w:val="17"/>
                <w:szCs w:val="17"/>
              </w:rPr>
              <w:t xml:space="preserve">Balance as </w:t>
            </w:r>
            <w:proofErr w:type="gramStart"/>
            <w:r w:rsidRPr="00587444">
              <w:rPr>
                <w:rFonts w:ascii="Arial" w:hAnsi="Arial" w:cs="Arial"/>
                <w:b/>
                <w:iCs/>
                <w:sz w:val="17"/>
                <w:szCs w:val="17"/>
              </w:rPr>
              <w:t>at</w:t>
            </w:r>
            <w:proofErr w:type="gramEnd"/>
            <w:r w:rsidRPr="00587444">
              <w:rPr>
                <w:rFonts w:ascii="Arial" w:hAnsi="Arial" w:cs="Arial"/>
                <w:b/>
                <w:iCs/>
                <w:sz w:val="17"/>
                <w:szCs w:val="17"/>
              </w:rPr>
              <w:t xml:space="preserve"> 31 December </w:t>
            </w:r>
            <w:bookmarkEnd w:id="394"/>
            <w:r w:rsidRPr="00587444">
              <w:rPr>
                <w:rFonts w:ascii="Arial" w:hAnsi="Arial" w:cs="Arial"/>
                <w:b/>
                <w:iCs/>
                <w:sz w:val="17"/>
                <w:szCs w:val="17"/>
              </w:rPr>
              <w:t>2021</w:t>
            </w:r>
          </w:p>
        </w:tc>
        <w:tc>
          <w:tcPr>
            <w:tcW w:w="588" w:type="pct"/>
            <w:tcBorders>
              <w:top w:val="single" w:sz="8" w:space="0" w:color="auto"/>
              <w:left w:val="nil"/>
              <w:bottom w:val="single" w:sz="12" w:space="0" w:color="auto"/>
              <w:right w:val="nil"/>
            </w:tcBorders>
            <w:shd w:val="clear" w:color="auto" w:fill="auto"/>
            <w:vAlign w:val="bottom"/>
          </w:tcPr>
          <w:p w14:paraId="0D52F2C8" w14:textId="77777777" w:rsidR="00587444" w:rsidRPr="00587444" w:rsidRDefault="00587444" w:rsidP="00587444">
            <w:pPr>
              <w:tabs>
                <w:tab w:val="right" w:pos="1202"/>
              </w:tabs>
              <w:suppressAutoHyphens w:val="0"/>
              <w:autoSpaceDN/>
              <w:jc w:val="right"/>
              <w:outlineLvl w:val="0"/>
              <w:rPr>
                <w:rFonts w:ascii="Arial" w:hAnsi="Arial" w:cs="Arial"/>
                <w:b/>
                <w:iCs/>
                <w:sz w:val="17"/>
                <w:szCs w:val="17"/>
              </w:rPr>
            </w:pPr>
            <w:r w:rsidRPr="00587444">
              <w:rPr>
                <w:rFonts w:ascii="Arial" w:hAnsi="Arial" w:cs="Arial"/>
                <w:b/>
                <w:bCs/>
                <w:color w:val="000000"/>
                <w:sz w:val="17"/>
                <w:szCs w:val="17"/>
              </w:rPr>
              <w:t xml:space="preserve">7,184,632 </w:t>
            </w:r>
          </w:p>
        </w:tc>
        <w:tc>
          <w:tcPr>
            <w:tcW w:w="588" w:type="pct"/>
            <w:tcBorders>
              <w:top w:val="single" w:sz="8" w:space="0" w:color="auto"/>
              <w:left w:val="nil"/>
              <w:bottom w:val="single" w:sz="12" w:space="0" w:color="auto"/>
              <w:right w:val="nil"/>
            </w:tcBorders>
            <w:shd w:val="clear" w:color="auto" w:fill="auto"/>
            <w:vAlign w:val="bottom"/>
          </w:tcPr>
          <w:p w14:paraId="4238A87D" w14:textId="77777777" w:rsidR="00587444" w:rsidRPr="00587444" w:rsidRDefault="00587444" w:rsidP="00587444">
            <w:pPr>
              <w:tabs>
                <w:tab w:val="right" w:pos="1202"/>
              </w:tabs>
              <w:suppressAutoHyphens w:val="0"/>
              <w:autoSpaceDN/>
              <w:jc w:val="right"/>
              <w:outlineLvl w:val="0"/>
              <w:rPr>
                <w:rFonts w:ascii="Arial" w:hAnsi="Arial" w:cs="Arial"/>
                <w:b/>
                <w:iCs/>
                <w:sz w:val="17"/>
                <w:szCs w:val="17"/>
              </w:rPr>
            </w:pPr>
            <w:r w:rsidRPr="00587444">
              <w:rPr>
                <w:rFonts w:ascii="Arial" w:hAnsi="Arial" w:cs="Arial"/>
                <w:b/>
                <w:bCs/>
                <w:color w:val="000000"/>
                <w:sz w:val="17"/>
                <w:szCs w:val="17"/>
              </w:rPr>
              <w:t xml:space="preserve"> 3,153,745 </w:t>
            </w:r>
          </w:p>
        </w:tc>
        <w:tc>
          <w:tcPr>
            <w:tcW w:w="588" w:type="pct"/>
            <w:tcBorders>
              <w:top w:val="single" w:sz="8" w:space="0" w:color="auto"/>
              <w:left w:val="nil"/>
              <w:bottom w:val="single" w:sz="12" w:space="0" w:color="auto"/>
              <w:right w:val="nil"/>
            </w:tcBorders>
            <w:shd w:val="clear" w:color="auto" w:fill="auto"/>
            <w:vAlign w:val="bottom"/>
          </w:tcPr>
          <w:p w14:paraId="12A4A857" w14:textId="77777777" w:rsidR="00587444" w:rsidRPr="00587444" w:rsidRDefault="00587444" w:rsidP="00587444">
            <w:pPr>
              <w:tabs>
                <w:tab w:val="right" w:pos="1202"/>
              </w:tabs>
              <w:suppressAutoHyphens w:val="0"/>
              <w:autoSpaceDN/>
              <w:jc w:val="right"/>
              <w:outlineLvl w:val="0"/>
              <w:rPr>
                <w:rFonts w:ascii="Arial" w:hAnsi="Arial" w:cs="Arial"/>
                <w:b/>
                <w:iCs/>
                <w:sz w:val="17"/>
                <w:szCs w:val="17"/>
              </w:rPr>
            </w:pPr>
            <w:r w:rsidRPr="00587444">
              <w:rPr>
                <w:rFonts w:ascii="Arial" w:hAnsi="Arial" w:cs="Arial"/>
                <w:b/>
                <w:bCs/>
                <w:color w:val="000000"/>
                <w:sz w:val="17"/>
                <w:szCs w:val="17"/>
              </w:rPr>
              <w:t xml:space="preserve"> 29,961 </w:t>
            </w:r>
          </w:p>
        </w:tc>
        <w:tc>
          <w:tcPr>
            <w:tcW w:w="588" w:type="pct"/>
            <w:tcBorders>
              <w:top w:val="single" w:sz="8" w:space="0" w:color="auto"/>
              <w:left w:val="nil"/>
              <w:bottom w:val="single" w:sz="12" w:space="0" w:color="auto"/>
              <w:right w:val="nil"/>
            </w:tcBorders>
            <w:shd w:val="clear" w:color="auto" w:fill="auto"/>
            <w:vAlign w:val="bottom"/>
          </w:tcPr>
          <w:p w14:paraId="51DADEC8" w14:textId="77777777" w:rsidR="00587444" w:rsidRPr="00587444" w:rsidRDefault="00587444" w:rsidP="00587444">
            <w:pPr>
              <w:tabs>
                <w:tab w:val="right" w:pos="1202"/>
              </w:tabs>
              <w:suppressAutoHyphens w:val="0"/>
              <w:autoSpaceDN/>
              <w:jc w:val="right"/>
              <w:outlineLvl w:val="0"/>
              <w:rPr>
                <w:rFonts w:ascii="Arial" w:hAnsi="Arial" w:cs="Arial"/>
                <w:b/>
                <w:iCs/>
                <w:sz w:val="17"/>
                <w:szCs w:val="17"/>
              </w:rPr>
            </w:pPr>
            <w:r w:rsidRPr="00587444">
              <w:rPr>
                <w:rFonts w:ascii="Arial" w:hAnsi="Arial" w:cs="Arial"/>
                <w:b/>
                <w:bCs/>
                <w:color w:val="000000"/>
                <w:sz w:val="17"/>
                <w:szCs w:val="17"/>
              </w:rPr>
              <w:t xml:space="preserve">   187,082 </w:t>
            </w:r>
          </w:p>
        </w:tc>
        <w:tc>
          <w:tcPr>
            <w:tcW w:w="588" w:type="pct"/>
            <w:tcBorders>
              <w:top w:val="single" w:sz="8" w:space="0" w:color="auto"/>
              <w:left w:val="nil"/>
              <w:bottom w:val="single" w:sz="12" w:space="0" w:color="auto"/>
              <w:right w:val="nil"/>
            </w:tcBorders>
            <w:shd w:val="clear" w:color="auto" w:fill="auto"/>
            <w:vAlign w:val="bottom"/>
          </w:tcPr>
          <w:p w14:paraId="54A17BF1" w14:textId="77777777" w:rsidR="00587444" w:rsidRPr="00587444" w:rsidRDefault="00587444" w:rsidP="00587444">
            <w:pPr>
              <w:tabs>
                <w:tab w:val="right" w:pos="1202"/>
              </w:tabs>
              <w:suppressAutoHyphens w:val="0"/>
              <w:autoSpaceDN/>
              <w:jc w:val="right"/>
              <w:outlineLvl w:val="0"/>
              <w:rPr>
                <w:rFonts w:ascii="Arial" w:hAnsi="Arial" w:cs="Arial"/>
                <w:b/>
                <w:iCs/>
                <w:sz w:val="17"/>
                <w:szCs w:val="17"/>
              </w:rPr>
            </w:pPr>
            <w:r w:rsidRPr="00587444">
              <w:rPr>
                <w:rFonts w:ascii="Arial" w:hAnsi="Arial" w:cs="Arial"/>
                <w:b/>
                <w:bCs/>
                <w:color w:val="000000"/>
                <w:sz w:val="17"/>
                <w:szCs w:val="17"/>
              </w:rPr>
              <w:t xml:space="preserve">  12,309 </w:t>
            </w:r>
          </w:p>
        </w:tc>
        <w:tc>
          <w:tcPr>
            <w:tcW w:w="588" w:type="pct"/>
            <w:tcBorders>
              <w:top w:val="single" w:sz="8" w:space="0" w:color="auto"/>
              <w:left w:val="nil"/>
              <w:bottom w:val="single" w:sz="12" w:space="0" w:color="auto"/>
              <w:right w:val="nil"/>
            </w:tcBorders>
            <w:shd w:val="clear" w:color="auto" w:fill="auto"/>
            <w:vAlign w:val="bottom"/>
          </w:tcPr>
          <w:p w14:paraId="521CABDC" w14:textId="77777777" w:rsidR="00587444" w:rsidRPr="00587444" w:rsidRDefault="00587444" w:rsidP="00587444">
            <w:pPr>
              <w:tabs>
                <w:tab w:val="right" w:pos="1202"/>
              </w:tabs>
              <w:suppressAutoHyphens w:val="0"/>
              <w:autoSpaceDN/>
              <w:jc w:val="right"/>
              <w:outlineLvl w:val="0"/>
              <w:rPr>
                <w:rFonts w:ascii="Arial" w:hAnsi="Arial" w:cs="Arial"/>
                <w:b/>
                <w:iCs/>
                <w:sz w:val="17"/>
                <w:szCs w:val="17"/>
              </w:rPr>
            </w:pPr>
            <w:r w:rsidRPr="00587444">
              <w:rPr>
                <w:rFonts w:ascii="Arial" w:hAnsi="Arial" w:cs="Arial"/>
                <w:b/>
                <w:bCs/>
                <w:color w:val="000000"/>
                <w:sz w:val="17"/>
                <w:szCs w:val="17"/>
              </w:rPr>
              <w:t xml:space="preserve">10,567,729 </w:t>
            </w:r>
          </w:p>
        </w:tc>
      </w:tr>
      <w:tr w:rsidR="00587444" w:rsidRPr="00587444" w14:paraId="0046851F" w14:textId="77777777" w:rsidTr="00DD69E7">
        <w:trPr>
          <w:trHeight w:hRule="exact" w:val="398"/>
        </w:trPr>
        <w:tc>
          <w:tcPr>
            <w:tcW w:w="1471" w:type="pct"/>
            <w:vAlign w:val="bottom"/>
          </w:tcPr>
          <w:p w14:paraId="7FDB3767" w14:textId="77777777" w:rsidR="00587444" w:rsidRPr="00587444" w:rsidRDefault="00587444" w:rsidP="00587444">
            <w:pPr>
              <w:tabs>
                <w:tab w:val="right" w:pos="1202"/>
              </w:tabs>
              <w:suppressAutoHyphens w:val="0"/>
              <w:autoSpaceDN/>
              <w:outlineLvl w:val="0"/>
              <w:rPr>
                <w:rFonts w:ascii="Arial" w:hAnsi="Arial" w:cs="Arial"/>
                <w:iCs/>
                <w:sz w:val="17"/>
                <w:szCs w:val="17"/>
              </w:rPr>
            </w:pPr>
            <w:bookmarkStart w:id="395" w:name="_Toc4057634"/>
            <w:r w:rsidRPr="00587444">
              <w:rPr>
                <w:rFonts w:ascii="Arial" w:hAnsi="Arial" w:cs="Arial"/>
                <w:iCs/>
                <w:sz w:val="17"/>
                <w:szCs w:val="17"/>
              </w:rPr>
              <w:t>Profit for the year</w:t>
            </w:r>
            <w:bookmarkEnd w:id="395"/>
            <w:r w:rsidRPr="00587444">
              <w:rPr>
                <w:rFonts w:ascii="Arial" w:hAnsi="Arial" w:cs="Arial"/>
                <w:iCs/>
                <w:sz w:val="17"/>
                <w:szCs w:val="17"/>
              </w:rPr>
              <w:t xml:space="preserve"> </w:t>
            </w:r>
          </w:p>
        </w:tc>
        <w:tc>
          <w:tcPr>
            <w:tcW w:w="588" w:type="pct"/>
            <w:tcBorders>
              <w:top w:val="single" w:sz="12" w:space="0" w:color="auto"/>
              <w:left w:val="nil"/>
              <w:bottom w:val="nil"/>
              <w:right w:val="nil"/>
            </w:tcBorders>
            <w:shd w:val="clear" w:color="auto" w:fill="auto"/>
            <w:vAlign w:val="bottom"/>
          </w:tcPr>
          <w:p w14:paraId="17E97A5C" w14:textId="77777777" w:rsidR="00587444" w:rsidRPr="00587444"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w:t>
            </w:r>
          </w:p>
        </w:tc>
        <w:tc>
          <w:tcPr>
            <w:tcW w:w="588" w:type="pct"/>
            <w:tcBorders>
              <w:top w:val="single" w:sz="12" w:space="0" w:color="auto"/>
              <w:left w:val="nil"/>
              <w:bottom w:val="nil"/>
              <w:right w:val="nil"/>
            </w:tcBorders>
            <w:shd w:val="clear" w:color="auto" w:fill="auto"/>
            <w:vAlign w:val="bottom"/>
          </w:tcPr>
          <w:p w14:paraId="7307CC59" w14:textId="77777777" w:rsidR="00587444" w:rsidRPr="00587444"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w:t>
            </w:r>
          </w:p>
        </w:tc>
        <w:tc>
          <w:tcPr>
            <w:tcW w:w="588" w:type="pct"/>
            <w:tcBorders>
              <w:top w:val="single" w:sz="12" w:space="0" w:color="auto"/>
              <w:left w:val="nil"/>
              <w:bottom w:val="nil"/>
              <w:right w:val="nil"/>
            </w:tcBorders>
            <w:shd w:val="clear" w:color="auto" w:fill="auto"/>
            <w:vAlign w:val="bottom"/>
          </w:tcPr>
          <w:p w14:paraId="0D3763A1" w14:textId="57883722" w:rsidR="00587444" w:rsidRPr="00587444" w:rsidRDefault="003D71DF" w:rsidP="00587444">
            <w:pPr>
              <w:tabs>
                <w:tab w:val="right" w:pos="1202"/>
              </w:tabs>
              <w:suppressAutoHyphens w:val="0"/>
              <w:autoSpaceDN/>
              <w:jc w:val="right"/>
              <w:outlineLvl w:val="0"/>
              <w:rPr>
                <w:rFonts w:ascii="Arial" w:hAnsi="Arial" w:cs="Arial"/>
                <w:iCs/>
                <w:color w:val="000000"/>
                <w:sz w:val="17"/>
                <w:szCs w:val="17"/>
                <w:lang w:val="hr-HR"/>
              </w:rPr>
            </w:pPr>
            <w:r>
              <w:rPr>
                <w:rFonts w:ascii="Arial" w:hAnsi="Arial" w:cs="Arial"/>
                <w:iCs/>
                <w:color w:val="000000"/>
                <w:sz w:val="17"/>
                <w:szCs w:val="17"/>
                <w:lang w:val="hr-HR"/>
              </w:rPr>
              <w:t>-</w:t>
            </w:r>
          </w:p>
        </w:tc>
        <w:tc>
          <w:tcPr>
            <w:tcW w:w="588" w:type="pct"/>
            <w:tcBorders>
              <w:top w:val="single" w:sz="12" w:space="0" w:color="auto"/>
              <w:left w:val="nil"/>
              <w:bottom w:val="nil"/>
              <w:right w:val="nil"/>
            </w:tcBorders>
            <w:shd w:val="clear" w:color="auto" w:fill="auto"/>
            <w:vAlign w:val="bottom"/>
          </w:tcPr>
          <w:p w14:paraId="20F5BD2E" w14:textId="77777777" w:rsidR="00587444" w:rsidRPr="00587444"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186,173</w:t>
            </w:r>
          </w:p>
        </w:tc>
        <w:tc>
          <w:tcPr>
            <w:tcW w:w="588" w:type="pct"/>
            <w:tcBorders>
              <w:top w:val="single" w:sz="12" w:space="0" w:color="auto"/>
              <w:left w:val="nil"/>
              <w:bottom w:val="nil"/>
              <w:right w:val="nil"/>
            </w:tcBorders>
            <w:shd w:val="clear" w:color="auto" w:fill="auto"/>
            <w:vAlign w:val="bottom"/>
          </w:tcPr>
          <w:p w14:paraId="0E674F34" w14:textId="1FB7FEE0" w:rsidR="00587444" w:rsidRPr="00587444" w:rsidRDefault="003D71DF" w:rsidP="00587444">
            <w:pPr>
              <w:tabs>
                <w:tab w:val="right" w:pos="1202"/>
              </w:tabs>
              <w:suppressAutoHyphens w:val="0"/>
              <w:autoSpaceDN/>
              <w:jc w:val="right"/>
              <w:outlineLvl w:val="0"/>
              <w:rPr>
                <w:rFonts w:ascii="Arial" w:hAnsi="Arial" w:cs="Arial"/>
                <w:iCs/>
                <w:color w:val="000000"/>
                <w:sz w:val="17"/>
                <w:szCs w:val="17"/>
                <w:lang w:val="hr-HR"/>
              </w:rPr>
            </w:pPr>
            <w:r>
              <w:rPr>
                <w:rFonts w:ascii="Arial" w:hAnsi="Arial" w:cs="Arial"/>
                <w:iCs/>
                <w:color w:val="000000"/>
                <w:sz w:val="17"/>
                <w:szCs w:val="17"/>
                <w:lang w:val="hr-HR"/>
              </w:rPr>
              <w:t>-</w:t>
            </w:r>
          </w:p>
        </w:tc>
        <w:tc>
          <w:tcPr>
            <w:tcW w:w="588" w:type="pct"/>
            <w:tcBorders>
              <w:top w:val="single" w:sz="12" w:space="0" w:color="auto"/>
              <w:left w:val="nil"/>
              <w:bottom w:val="nil"/>
              <w:right w:val="nil"/>
            </w:tcBorders>
            <w:shd w:val="clear" w:color="auto" w:fill="auto"/>
            <w:vAlign w:val="bottom"/>
          </w:tcPr>
          <w:p w14:paraId="2C5627ED" w14:textId="77777777" w:rsidR="00587444" w:rsidRPr="00587444" w:rsidRDefault="00587444" w:rsidP="00587444">
            <w:pPr>
              <w:tabs>
                <w:tab w:val="right" w:pos="1202"/>
              </w:tabs>
              <w:suppressAutoHyphens w:val="0"/>
              <w:autoSpaceDN/>
              <w:jc w:val="right"/>
              <w:outlineLvl w:val="0"/>
              <w:rPr>
                <w:rFonts w:ascii="Arial" w:hAnsi="Arial" w:cs="Arial"/>
                <w:b/>
                <w:bCs/>
                <w:iCs/>
                <w:color w:val="000000"/>
                <w:sz w:val="17"/>
                <w:szCs w:val="17"/>
                <w:lang w:val="hr-HR"/>
              </w:rPr>
            </w:pPr>
            <w:r w:rsidRPr="00587444">
              <w:rPr>
                <w:rFonts w:ascii="Arial" w:hAnsi="Arial" w:cs="Arial"/>
                <w:b/>
                <w:bCs/>
                <w:iCs/>
                <w:color w:val="000000"/>
                <w:sz w:val="17"/>
                <w:szCs w:val="17"/>
                <w:lang w:val="hr-HR"/>
              </w:rPr>
              <w:t>186,173</w:t>
            </w:r>
          </w:p>
        </w:tc>
      </w:tr>
      <w:tr w:rsidR="00587444" w:rsidRPr="00587444" w14:paraId="3D4995EC" w14:textId="77777777" w:rsidTr="00DD69E7">
        <w:trPr>
          <w:trHeight w:hRule="exact" w:val="299"/>
        </w:trPr>
        <w:tc>
          <w:tcPr>
            <w:tcW w:w="1471" w:type="pct"/>
            <w:vAlign w:val="bottom"/>
          </w:tcPr>
          <w:p w14:paraId="2C6D9775" w14:textId="77777777" w:rsidR="00587444" w:rsidRPr="00587444" w:rsidRDefault="00587444" w:rsidP="00587444">
            <w:pPr>
              <w:tabs>
                <w:tab w:val="right" w:pos="1202"/>
              </w:tabs>
              <w:suppressAutoHyphens w:val="0"/>
              <w:autoSpaceDN/>
              <w:outlineLvl w:val="0"/>
              <w:rPr>
                <w:rFonts w:ascii="Arial" w:hAnsi="Arial" w:cs="Arial"/>
                <w:iCs/>
                <w:sz w:val="17"/>
                <w:szCs w:val="17"/>
              </w:rPr>
            </w:pPr>
            <w:bookmarkStart w:id="396" w:name="_Toc4057641"/>
            <w:r w:rsidRPr="00587444">
              <w:rPr>
                <w:rFonts w:ascii="Arial" w:hAnsi="Arial" w:cs="Arial"/>
                <w:iCs/>
                <w:sz w:val="17"/>
                <w:szCs w:val="17"/>
              </w:rPr>
              <w:t>Other comprehensive income</w:t>
            </w:r>
            <w:bookmarkEnd w:id="396"/>
          </w:p>
        </w:tc>
        <w:tc>
          <w:tcPr>
            <w:tcW w:w="588" w:type="pct"/>
            <w:tcBorders>
              <w:top w:val="nil"/>
              <w:left w:val="nil"/>
              <w:bottom w:val="single" w:sz="4" w:space="0" w:color="auto"/>
              <w:right w:val="nil"/>
            </w:tcBorders>
            <w:shd w:val="clear" w:color="auto" w:fill="auto"/>
            <w:vAlign w:val="bottom"/>
          </w:tcPr>
          <w:p w14:paraId="035828E5" w14:textId="77777777" w:rsidR="00587444" w:rsidRPr="00587444"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w:t>
            </w:r>
          </w:p>
        </w:tc>
        <w:tc>
          <w:tcPr>
            <w:tcW w:w="588" w:type="pct"/>
            <w:tcBorders>
              <w:top w:val="nil"/>
              <w:left w:val="nil"/>
              <w:bottom w:val="single" w:sz="4" w:space="0" w:color="auto"/>
              <w:right w:val="nil"/>
            </w:tcBorders>
            <w:shd w:val="clear" w:color="auto" w:fill="auto"/>
            <w:vAlign w:val="bottom"/>
          </w:tcPr>
          <w:p w14:paraId="68257C55" w14:textId="77777777" w:rsidR="00587444" w:rsidRPr="00587444"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w:t>
            </w:r>
          </w:p>
        </w:tc>
        <w:tc>
          <w:tcPr>
            <w:tcW w:w="588" w:type="pct"/>
            <w:tcBorders>
              <w:top w:val="nil"/>
              <w:left w:val="nil"/>
              <w:bottom w:val="single" w:sz="4" w:space="0" w:color="auto"/>
              <w:right w:val="nil"/>
            </w:tcBorders>
            <w:shd w:val="clear" w:color="auto" w:fill="auto"/>
            <w:vAlign w:val="bottom"/>
          </w:tcPr>
          <w:p w14:paraId="011FA9FD" w14:textId="77777777" w:rsidR="00587444" w:rsidRPr="00587444"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(63,330)</w:t>
            </w:r>
          </w:p>
        </w:tc>
        <w:tc>
          <w:tcPr>
            <w:tcW w:w="588" w:type="pct"/>
            <w:tcBorders>
              <w:top w:val="nil"/>
              <w:left w:val="nil"/>
              <w:bottom w:val="single" w:sz="4" w:space="0" w:color="auto"/>
              <w:right w:val="nil"/>
            </w:tcBorders>
            <w:shd w:val="clear" w:color="auto" w:fill="auto"/>
            <w:vAlign w:val="bottom"/>
          </w:tcPr>
          <w:p w14:paraId="36C911F9" w14:textId="77777777" w:rsidR="00587444" w:rsidRPr="00587444"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w:t>
            </w:r>
          </w:p>
        </w:tc>
        <w:tc>
          <w:tcPr>
            <w:tcW w:w="588" w:type="pct"/>
            <w:tcBorders>
              <w:top w:val="nil"/>
              <w:left w:val="nil"/>
              <w:bottom w:val="single" w:sz="4" w:space="0" w:color="auto"/>
              <w:right w:val="nil"/>
            </w:tcBorders>
            <w:shd w:val="clear" w:color="auto" w:fill="auto"/>
            <w:vAlign w:val="bottom"/>
          </w:tcPr>
          <w:p w14:paraId="5AC346BD" w14:textId="77777777" w:rsidR="00587444" w:rsidRPr="00587444"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w:t>
            </w:r>
          </w:p>
        </w:tc>
        <w:tc>
          <w:tcPr>
            <w:tcW w:w="588" w:type="pct"/>
            <w:tcBorders>
              <w:top w:val="nil"/>
              <w:left w:val="nil"/>
              <w:bottom w:val="single" w:sz="4" w:space="0" w:color="auto"/>
              <w:right w:val="nil"/>
            </w:tcBorders>
            <w:shd w:val="clear" w:color="auto" w:fill="auto"/>
            <w:vAlign w:val="bottom"/>
          </w:tcPr>
          <w:p w14:paraId="107D9854" w14:textId="77777777" w:rsidR="00587444" w:rsidRPr="00587444" w:rsidRDefault="00587444" w:rsidP="00587444">
            <w:pPr>
              <w:tabs>
                <w:tab w:val="right" w:pos="1202"/>
              </w:tabs>
              <w:suppressAutoHyphens w:val="0"/>
              <w:autoSpaceDN/>
              <w:jc w:val="right"/>
              <w:outlineLvl w:val="0"/>
              <w:rPr>
                <w:rFonts w:ascii="Arial" w:hAnsi="Arial" w:cs="Arial"/>
                <w:b/>
                <w:bCs/>
                <w:iCs/>
                <w:color w:val="000000"/>
                <w:sz w:val="17"/>
                <w:szCs w:val="17"/>
                <w:lang w:val="hr-HR"/>
              </w:rPr>
            </w:pPr>
            <w:r w:rsidRPr="00587444">
              <w:rPr>
                <w:rFonts w:ascii="Arial" w:hAnsi="Arial" w:cs="Arial"/>
                <w:b/>
                <w:bCs/>
                <w:iCs/>
                <w:color w:val="000000"/>
                <w:sz w:val="17"/>
                <w:szCs w:val="17"/>
                <w:lang w:val="hr-HR"/>
              </w:rPr>
              <w:t>(63,330)</w:t>
            </w:r>
          </w:p>
        </w:tc>
      </w:tr>
      <w:tr w:rsidR="00587444" w:rsidRPr="00587444" w14:paraId="4614EB97" w14:textId="77777777" w:rsidTr="00DD69E7">
        <w:trPr>
          <w:trHeight w:hRule="exact" w:val="315"/>
        </w:trPr>
        <w:tc>
          <w:tcPr>
            <w:tcW w:w="1471" w:type="pct"/>
            <w:vAlign w:val="bottom"/>
          </w:tcPr>
          <w:p w14:paraId="4B095C8B" w14:textId="77777777" w:rsidR="00587444" w:rsidRPr="00587444" w:rsidRDefault="00587444" w:rsidP="00587444">
            <w:pPr>
              <w:tabs>
                <w:tab w:val="right" w:pos="1202"/>
              </w:tabs>
              <w:suppressAutoHyphens w:val="0"/>
              <w:autoSpaceDN/>
              <w:outlineLvl w:val="0"/>
              <w:rPr>
                <w:rFonts w:ascii="Arial" w:hAnsi="Arial" w:cs="Arial"/>
                <w:iCs/>
                <w:sz w:val="17"/>
                <w:szCs w:val="17"/>
              </w:rPr>
            </w:pPr>
            <w:bookmarkStart w:id="397" w:name="_Toc4057648"/>
            <w:r w:rsidRPr="00587444">
              <w:rPr>
                <w:rFonts w:ascii="Arial" w:hAnsi="Arial" w:cs="Arial"/>
                <w:iCs/>
                <w:sz w:val="17"/>
                <w:szCs w:val="17"/>
              </w:rPr>
              <w:t>Total comprehensive income</w:t>
            </w:r>
            <w:bookmarkEnd w:id="397"/>
            <w:r w:rsidRPr="00587444">
              <w:rPr>
                <w:rFonts w:ascii="Arial" w:hAnsi="Arial" w:cs="Arial"/>
                <w:iCs/>
                <w:sz w:val="17"/>
                <w:szCs w:val="17"/>
              </w:rPr>
              <w:t xml:space="preserve"> </w:t>
            </w:r>
          </w:p>
        </w:tc>
        <w:tc>
          <w:tcPr>
            <w:tcW w:w="588" w:type="pct"/>
            <w:tcBorders>
              <w:top w:val="nil"/>
              <w:left w:val="nil"/>
              <w:bottom w:val="single" w:sz="4" w:space="0" w:color="auto"/>
              <w:right w:val="nil"/>
            </w:tcBorders>
            <w:shd w:val="clear" w:color="auto" w:fill="auto"/>
            <w:vAlign w:val="bottom"/>
          </w:tcPr>
          <w:p w14:paraId="41302A38" w14:textId="77777777" w:rsidR="00587444" w:rsidRPr="00587444" w:rsidRDefault="00587444" w:rsidP="00587444">
            <w:pPr>
              <w:tabs>
                <w:tab w:val="right" w:pos="1202"/>
              </w:tabs>
              <w:suppressAutoHyphens w:val="0"/>
              <w:autoSpaceDN/>
              <w:jc w:val="right"/>
              <w:outlineLvl w:val="0"/>
              <w:rPr>
                <w:rFonts w:ascii="Arial" w:hAnsi="Arial" w:cs="Arial"/>
                <w:b/>
                <w:bCs/>
                <w:iCs/>
                <w:color w:val="000000"/>
                <w:sz w:val="17"/>
                <w:szCs w:val="17"/>
                <w:lang w:val="hr-HR"/>
              </w:rPr>
            </w:pPr>
            <w:r w:rsidRPr="00587444">
              <w:rPr>
                <w:rFonts w:ascii="Arial" w:hAnsi="Arial" w:cs="Arial"/>
                <w:b/>
                <w:bCs/>
                <w:iCs/>
                <w:color w:val="000000"/>
                <w:sz w:val="17"/>
                <w:szCs w:val="17"/>
                <w:lang w:val="hr-HR"/>
              </w:rPr>
              <w:t>-</w:t>
            </w:r>
          </w:p>
        </w:tc>
        <w:tc>
          <w:tcPr>
            <w:tcW w:w="588" w:type="pct"/>
            <w:tcBorders>
              <w:top w:val="nil"/>
              <w:left w:val="nil"/>
              <w:bottom w:val="single" w:sz="4" w:space="0" w:color="auto"/>
              <w:right w:val="nil"/>
            </w:tcBorders>
            <w:shd w:val="clear" w:color="auto" w:fill="auto"/>
            <w:vAlign w:val="bottom"/>
          </w:tcPr>
          <w:p w14:paraId="6FD08B7F" w14:textId="77777777" w:rsidR="00587444" w:rsidRPr="00587444" w:rsidRDefault="00587444" w:rsidP="00587444">
            <w:pPr>
              <w:tabs>
                <w:tab w:val="right" w:pos="1202"/>
              </w:tabs>
              <w:suppressAutoHyphens w:val="0"/>
              <w:autoSpaceDN/>
              <w:jc w:val="right"/>
              <w:outlineLvl w:val="0"/>
              <w:rPr>
                <w:rFonts w:ascii="Arial" w:hAnsi="Arial" w:cs="Arial"/>
                <w:b/>
                <w:bCs/>
                <w:iCs/>
                <w:color w:val="000000"/>
                <w:sz w:val="17"/>
                <w:szCs w:val="17"/>
                <w:lang w:val="hr-HR"/>
              </w:rPr>
            </w:pPr>
            <w:r w:rsidRPr="00587444">
              <w:rPr>
                <w:rFonts w:ascii="Arial" w:hAnsi="Arial" w:cs="Arial"/>
                <w:b/>
                <w:bCs/>
                <w:iCs/>
                <w:color w:val="000000"/>
                <w:sz w:val="17"/>
                <w:szCs w:val="17"/>
                <w:lang w:val="hr-HR"/>
              </w:rPr>
              <w:t>-</w:t>
            </w:r>
          </w:p>
        </w:tc>
        <w:tc>
          <w:tcPr>
            <w:tcW w:w="588" w:type="pct"/>
            <w:tcBorders>
              <w:top w:val="nil"/>
              <w:left w:val="nil"/>
              <w:bottom w:val="single" w:sz="4" w:space="0" w:color="auto"/>
              <w:right w:val="nil"/>
            </w:tcBorders>
            <w:shd w:val="clear" w:color="auto" w:fill="auto"/>
            <w:vAlign w:val="bottom"/>
          </w:tcPr>
          <w:p w14:paraId="2E846938" w14:textId="77777777" w:rsidR="00587444" w:rsidRPr="00587444" w:rsidRDefault="00587444" w:rsidP="00587444">
            <w:pPr>
              <w:tabs>
                <w:tab w:val="right" w:pos="1202"/>
              </w:tabs>
              <w:suppressAutoHyphens w:val="0"/>
              <w:autoSpaceDN/>
              <w:jc w:val="right"/>
              <w:outlineLvl w:val="0"/>
              <w:rPr>
                <w:rFonts w:ascii="Arial" w:hAnsi="Arial" w:cs="Arial"/>
                <w:b/>
                <w:bCs/>
                <w:iCs/>
                <w:color w:val="000000"/>
                <w:sz w:val="17"/>
                <w:szCs w:val="17"/>
                <w:lang w:val="hr-HR"/>
              </w:rPr>
            </w:pPr>
            <w:r w:rsidRPr="00587444">
              <w:rPr>
                <w:rFonts w:ascii="Arial" w:hAnsi="Arial" w:cs="Arial"/>
                <w:b/>
                <w:bCs/>
                <w:iCs/>
                <w:color w:val="000000"/>
                <w:sz w:val="17"/>
                <w:szCs w:val="17"/>
                <w:lang w:val="hr-HR"/>
              </w:rPr>
              <w:t>(63,330)</w:t>
            </w:r>
          </w:p>
        </w:tc>
        <w:tc>
          <w:tcPr>
            <w:tcW w:w="588" w:type="pct"/>
            <w:tcBorders>
              <w:top w:val="nil"/>
              <w:left w:val="nil"/>
              <w:bottom w:val="single" w:sz="4" w:space="0" w:color="auto"/>
              <w:right w:val="nil"/>
            </w:tcBorders>
            <w:shd w:val="clear" w:color="auto" w:fill="auto"/>
            <w:vAlign w:val="bottom"/>
          </w:tcPr>
          <w:p w14:paraId="28C55A58" w14:textId="77777777" w:rsidR="00587444" w:rsidRPr="00587444" w:rsidRDefault="00587444" w:rsidP="00587444">
            <w:pPr>
              <w:tabs>
                <w:tab w:val="right" w:pos="1202"/>
              </w:tabs>
              <w:suppressAutoHyphens w:val="0"/>
              <w:autoSpaceDN/>
              <w:jc w:val="right"/>
              <w:outlineLvl w:val="0"/>
              <w:rPr>
                <w:rFonts w:ascii="Arial" w:hAnsi="Arial" w:cs="Arial"/>
                <w:b/>
                <w:bCs/>
                <w:iCs/>
                <w:color w:val="000000"/>
                <w:sz w:val="17"/>
                <w:szCs w:val="17"/>
                <w:lang w:val="hr-HR"/>
              </w:rPr>
            </w:pPr>
            <w:r w:rsidRPr="00587444">
              <w:rPr>
                <w:rFonts w:ascii="Arial" w:hAnsi="Arial" w:cs="Arial"/>
                <w:b/>
                <w:bCs/>
                <w:iCs/>
                <w:color w:val="000000"/>
                <w:sz w:val="17"/>
                <w:szCs w:val="17"/>
                <w:lang w:val="hr-HR"/>
              </w:rPr>
              <w:t>186,173</w:t>
            </w:r>
          </w:p>
        </w:tc>
        <w:tc>
          <w:tcPr>
            <w:tcW w:w="588" w:type="pct"/>
            <w:tcBorders>
              <w:top w:val="nil"/>
              <w:left w:val="nil"/>
              <w:bottom w:val="single" w:sz="4" w:space="0" w:color="auto"/>
              <w:right w:val="nil"/>
            </w:tcBorders>
            <w:shd w:val="clear" w:color="auto" w:fill="auto"/>
            <w:vAlign w:val="bottom"/>
          </w:tcPr>
          <w:p w14:paraId="3627A302" w14:textId="77777777" w:rsidR="00587444" w:rsidRPr="00587444" w:rsidRDefault="00587444" w:rsidP="00587444">
            <w:pPr>
              <w:tabs>
                <w:tab w:val="right" w:pos="1202"/>
              </w:tabs>
              <w:suppressAutoHyphens w:val="0"/>
              <w:autoSpaceDN/>
              <w:jc w:val="right"/>
              <w:outlineLvl w:val="0"/>
              <w:rPr>
                <w:rFonts w:ascii="Arial" w:hAnsi="Arial" w:cs="Arial"/>
                <w:b/>
                <w:bCs/>
                <w:iCs/>
                <w:color w:val="000000"/>
                <w:sz w:val="17"/>
                <w:szCs w:val="17"/>
                <w:lang w:val="hr-HR"/>
              </w:rPr>
            </w:pPr>
            <w:r w:rsidRPr="00587444">
              <w:rPr>
                <w:rFonts w:ascii="Arial" w:hAnsi="Arial" w:cs="Arial"/>
                <w:b/>
                <w:bCs/>
                <w:iCs/>
                <w:color w:val="000000"/>
                <w:sz w:val="17"/>
                <w:szCs w:val="17"/>
                <w:lang w:val="hr-HR"/>
              </w:rPr>
              <w:t>-</w:t>
            </w:r>
          </w:p>
        </w:tc>
        <w:tc>
          <w:tcPr>
            <w:tcW w:w="588" w:type="pct"/>
            <w:tcBorders>
              <w:top w:val="nil"/>
              <w:left w:val="nil"/>
              <w:bottom w:val="single" w:sz="4" w:space="0" w:color="auto"/>
              <w:right w:val="nil"/>
            </w:tcBorders>
            <w:shd w:val="clear" w:color="auto" w:fill="auto"/>
            <w:vAlign w:val="bottom"/>
          </w:tcPr>
          <w:p w14:paraId="29A550AE" w14:textId="77777777" w:rsidR="00587444" w:rsidRPr="00587444" w:rsidRDefault="00587444" w:rsidP="00587444">
            <w:pPr>
              <w:tabs>
                <w:tab w:val="right" w:pos="1202"/>
              </w:tabs>
              <w:suppressAutoHyphens w:val="0"/>
              <w:autoSpaceDN/>
              <w:jc w:val="right"/>
              <w:outlineLvl w:val="0"/>
              <w:rPr>
                <w:rFonts w:ascii="Arial" w:hAnsi="Arial" w:cs="Arial"/>
                <w:b/>
                <w:bCs/>
                <w:iCs/>
                <w:color w:val="000000"/>
                <w:sz w:val="17"/>
                <w:szCs w:val="17"/>
                <w:lang w:val="hr-HR"/>
              </w:rPr>
            </w:pPr>
            <w:r w:rsidRPr="00587444">
              <w:rPr>
                <w:rFonts w:ascii="Arial" w:hAnsi="Arial" w:cs="Arial"/>
                <w:b/>
                <w:bCs/>
                <w:iCs/>
                <w:color w:val="000000"/>
                <w:sz w:val="17"/>
                <w:szCs w:val="17"/>
                <w:lang w:val="hr-HR"/>
              </w:rPr>
              <w:t>122,843</w:t>
            </w:r>
          </w:p>
        </w:tc>
      </w:tr>
      <w:tr w:rsidR="00587444" w:rsidRPr="00587444" w14:paraId="16B8BAB5" w14:textId="77777777" w:rsidTr="00DD69E7">
        <w:trPr>
          <w:trHeight w:val="512"/>
        </w:trPr>
        <w:tc>
          <w:tcPr>
            <w:tcW w:w="1471" w:type="pct"/>
            <w:vAlign w:val="bottom"/>
          </w:tcPr>
          <w:p w14:paraId="2B9EEB87" w14:textId="77777777" w:rsidR="00587444" w:rsidRPr="00587444" w:rsidRDefault="00587444" w:rsidP="00587444">
            <w:pPr>
              <w:tabs>
                <w:tab w:val="right" w:pos="1202"/>
              </w:tabs>
              <w:suppressAutoHyphens w:val="0"/>
              <w:autoSpaceDN/>
              <w:outlineLvl w:val="0"/>
              <w:rPr>
                <w:rFonts w:ascii="Arial" w:hAnsi="Arial" w:cs="Arial"/>
                <w:iCs/>
                <w:sz w:val="17"/>
                <w:szCs w:val="17"/>
              </w:rPr>
            </w:pPr>
            <w:bookmarkStart w:id="398" w:name="_Toc4057655"/>
            <w:r w:rsidRPr="00587444">
              <w:rPr>
                <w:rFonts w:ascii="Arial" w:hAnsi="Arial" w:cs="Arial"/>
                <w:iCs/>
                <w:sz w:val="17"/>
                <w:szCs w:val="17"/>
              </w:rPr>
              <w:t>Net foreign exchange - Guarantee fund</w:t>
            </w:r>
            <w:bookmarkEnd w:id="398"/>
          </w:p>
        </w:tc>
        <w:tc>
          <w:tcPr>
            <w:tcW w:w="588" w:type="pct"/>
            <w:tcBorders>
              <w:top w:val="nil"/>
              <w:left w:val="nil"/>
              <w:bottom w:val="nil"/>
              <w:right w:val="nil"/>
            </w:tcBorders>
            <w:shd w:val="clear" w:color="auto" w:fill="auto"/>
            <w:vAlign w:val="bottom"/>
          </w:tcPr>
          <w:p w14:paraId="0ABE748F" w14:textId="77777777" w:rsidR="00587444" w:rsidRPr="00587444"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w:t>
            </w:r>
          </w:p>
        </w:tc>
        <w:tc>
          <w:tcPr>
            <w:tcW w:w="588" w:type="pct"/>
            <w:tcBorders>
              <w:top w:val="nil"/>
              <w:left w:val="nil"/>
              <w:bottom w:val="nil"/>
              <w:right w:val="nil"/>
            </w:tcBorders>
            <w:shd w:val="clear" w:color="auto" w:fill="auto"/>
            <w:vAlign w:val="bottom"/>
          </w:tcPr>
          <w:p w14:paraId="478A559C" w14:textId="77777777" w:rsidR="00587444" w:rsidRPr="00587444"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w:t>
            </w:r>
          </w:p>
        </w:tc>
        <w:tc>
          <w:tcPr>
            <w:tcW w:w="588" w:type="pct"/>
            <w:tcBorders>
              <w:top w:val="nil"/>
              <w:left w:val="nil"/>
              <w:bottom w:val="nil"/>
              <w:right w:val="nil"/>
            </w:tcBorders>
            <w:shd w:val="clear" w:color="auto" w:fill="auto"/>
            <w:vAlign w:val="bottom"/>
          </w:tcPr>
          <w:p w14:paraId="21031C56" w14:textId="77777777" w:rsidR="00587444" w:rsidRPr="00587444"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w:t>
            </w:r>
          </w:p>
        </w:tc>
        <w:tc>
          <w:tcPr>
            <w:tcW w:w="588" w:type="pct"/>
            <w:tcBorders>
              <w:top w:val="nil"/>
              <w:left w:val="nil"/>
              <w:bottom w:val="nil"/>
              <w:right w:val="nil"/>
            </w:tcBorders>
            <w:shd w:val="clear" w:color="auto" w:fill="auto"/>
            <w:vAlign w:val="bottom"/>
          </w:tcPr>
          <w:p w14:paraId="0F62E0D8" w14:textId="77777777" w:rsidR="00587444" w:rsidRPr="00587444"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w:t>
            </w:r>
          </w:p>
        </w:tc>
        <w:tc>
          <w:tcPr>
            <w:tcW w:w="588" w:type="pct"/>
            <w:tcBorders>
              <w:top w:val="nil"/>
              <w:left w:val="nil"/>
              <w:bottom w:val="nil"/>
              <w:right w:val="nil"/>
            </w:tcBorders>
            <w:shd w:val="clear" w:color="auto" w:fill="auto"/>
            <w:vAlign w:val="bottom"/>
          </w:tcPr>
          <w:p w14:paraId="5F586A86" w14:textId="77777777" w:rsidR="00587444" w:rsidRPr="00587444"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28</w:t>
            </w:r>
          </w:p>
        </w:tc>
        <w:tc>
          <w:tcPr>
            <w:tcW w:w="588" w:type="pct"/>
            <w:tcBorders>
              <w:top w:val="nil"/>
              <w:left w:val="nil"/>
              <w:bottom w:val="nil"/>
              <w:right w:val="nil"/>
            </w:tcBorders>
            <w:shd w:val="clear" w:color="auto" w:fill="auto"/>
            <w:vAlign w:val="bottom"/>
          </w:tcPr>
          <w:p w14:paraId="5DFB8F63" w14:textId="77777777" w:rsidR="00587444" w:rsidRPr="00587444" w:rsidRDefault="00587444" w:rsidP="00587444">
            <w:pPr>
              <w:tabs>
                <w:tab w:val="right" w:pos="1202"/>
              </w:tabs>
              <w:suppressAutoHyphens w:val="0"/>
              <w:autoSpaceDN/>
              <w:jc w:val="right"/>
              <w:outlineLvl w:val="0"/>
              <w:rPr>
                <w:rFonts w:ascii="Arial" w:hAnsi="Arial" w:cs="Arial"/>
                <w:b/>
                <w:bCs/>
                <w:iCs/>
                <w:color w:val="000000"/>
                <w:sz w:val="17"/>
                <w:szCs w:val="17"/>
                <w:lang w:val="hr-HR"/>
              </w:rPr>
            </w:pPr>
            <w:r w:rsidRPr="00587444">
              <w:rPr>
                <w:rFonts w:ascii="Arial" w:hAnsi="Arial" w:cs="Arial"/>
                <w:b/>
                <w:bCs/>
                <w:iCs/>
                <w:color w:val="000000"/>
                <w:sz w:val="17"/>
                <w:szCs w:val="17"/>
                <w:lang w:val="hr-HR"/>
              </w:rPr>
              <w:t>28</w:t>
            </w:r>
          </w:p>
        </w:tc>
      </w:tr>
      <w:tr w:rsidR="00587444" w:rsidRPr="00587444" w14:paraId="6F7FF1E4" w14:textId="77777777" w:rsidTr="00DD69E7">
        <w:trPr>
          <w:trHeight w:val="512"/>
        </w:trPr>
        <w:tc>
          <w:tcPr>
            <w:tcW w:w="1471" w:type="pct"/>
            <w:vAlign w:val="bottom"/>
          </w:tcPr>
          <w:p w14:paraId="47DF8141" w14:textId="77777777" w:rsidR="00587444" w:rsidRPr="00587444" w:rsidRDefault="00587444" w:rsidP="00587444">
            <w:pPr>
              <w:tabs>
                <w:tab w:val="right" w:pos="1202"/>
              </w:tabs>
              <w:suppressAutoHyphens w:val="0"/>
              <w:autoSpaceDN/>
              <w:outlineLvl w:val="0"/>
              <w:rPr>
                <w:rFonts w:ascii="Arial" w:hAnsi="Arial" w:cs="Arial"/>
                <w:iCs/>
                <w:sz w:val="17"/>
                <w:szCs w:val="17"/>
              </w:rPr>
            </w:pPr>
            <w:bookmarkStart w:id="399" w:name="_Toc4057662"/>
            <w:r w:rsidRPr="00587444">
              <w:rPr>
                <w:rFonts w:ascii="Arial" w:hAnsi="Arial" w:cs="Arial"/>
                <w:iCs/>
                <w:sz w:val="17"/>
                <w:szCs w:val="17"/>
              </w:rPr>
              <w:t>Capital paid-in from the State Budget</w:t>
            </w:r>
            <w:bookmarkEnd w:id="399"/>
            <w:r w:rsidRPr="00587444">
              <w:rPr>
                <w:rFonts w:ascii="Arial" w:hAnsi="Arial" w:cs="Arial"/>
                <w:iCs/>
                <w:sz w:val="17"/>
                <w:szCs w:val="17"/>
              </w:rPr>
              <w:t xml:space="preserve">  </w:t>
            </w:r>
          </w:p>
        </w:tc>
        <w:tc>
          <w:tcPr>
            <w:tcW w:w="588" w:type="pct"/>
            <w:tcBorders>
              <w:top w:val="nil"/>
              <w:left w:val="nil"/>
              <w:bottom w:val="nil"/>
              <w:right w:val="nil"/>
            </w:tcBorders>
            <w:shd w:val="clear" w:color="auto" w:fill="auto"/>
            <w:vAlign w:val="bottom"/>
          </w:tcPr>
          <w:p w14:paraId="646E69BC" w14:textId="77777777" w:rsidR="00587444" w:rsidRPr="00587444" w:rsidDel="008B54C2"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20,000</w:t>
            </w:r>
          </w:p>
        </w:tc>
        <w:tc>
          <w:tcPr>
            <w:tcW w:w="588" w:type="pct"/>
            <w:tcBorders>
              <w:top w:val="nil"/>
              <w:left w:val="nil"/>
              <w:bottom w:val="nil"/>
              <w:right w:val="nil"/>
            </w:tcBorders>
            <w:shd w:val="clear" w:color="auto" w:fill="auto"/>
            <w:vAlign w:val="bottom"/>
          </w:tcPr>
          <w:p w14:paraId="7ADB4A4E" w14:textId="77777777" w:rsidR="00587444" w:rsidRPr="00587444" w:rsidDel="008B54C2"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w:t>
            </w:r>
          </w:p>
        </w:tc>
        <w:tc>
          <w:tcPr>
            <w:tcW w:w="588" w:type="pct"/>
            <w:tcBorders>
              <w:top w:val="nil"/>
              <w:left w:val="nil"/>
              <w:bottom w:val="nil"/>
              <w:right w:val="nil"/>
            </w:tcBorders>
            <w:shd w:val="clear" w:color="auto" w:fill="auto"/>
            <w:vAlign w:val="bottom"/>
          </w:tcPr>
          <w:p w14:paraId="49BE7996" w14:textId="77777777" w:rsidR="00587444" w:rsidRPr="00587444" w:rsidDel="008B54C2"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w:t>
            </w:r>
          </w:p>
        </w:tc>
        <w:tc>
          <w:tcPr>
            <w:tcW w:w="588" w:type="pct"/>
            <w:tcBorders>
              <w:top w:val="nil"/>
              <w:left w:val="nil"/>
              <w:bottom w:val="nil"/>
              <w:right w:val="nil"/>
            </w:tcBorders>
            <w:shd w:val="clear" w:color="auto" w:fill="auto"/>
            <w:vAlign w:val="bottom"/>
          </w:tcPr>
          <w:p w14:paraId="2B4B5506" w14:textId="77777777" w:rsidR="00587444" w:rsidRPr="00587444" w:rsidDel="008B54C2"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w:t>
            </w:r>
          </w:p>
        </w:tc>
        <w:tc>
          <w:tcPr>
            <w:tcW w:w="588" w:type="pct"/>
            <w:tcBorders>
              <w:top w:val="nil"/>
              <w:left w:val="nil"/>
              <w:bottom w:val="nil"/>
              <w:right w:val="nil"/>
            </w:tcBorders>
            <w:shd w:val="clear" w:color="auto" w:fill="auto"/>
            <w:vAlign w:val="bottom"/>
          </w:tcPr>
          <w:p w14:paraId="04097F61" w14:textId="77777777" w:rsidR="00587444" w:rsidRPr="00587444" w:rsidDel="008B54C2"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w:t>
            </w:r>
          </w:p>
        </w:tc>
        <w:tc>
          <w:tcPr>
            <w:tcW w:w="588" w:type="pct"/>
            <w:tcBorders>
              <w:top w:val="nil"/>
              <w:left w:val="nil"/>
              <w:bottom w:val="nil"/>
              <w:right w:val="nil"/>
            </w:tcBorders>
            <w:shd w:val="clear" w:color="auto" w:fill="auto"/>
            <w:vAlign w:val="bottom"/>
          </w:tcPr>
          <w:p w14:paraId="7B68688D" w14:textId="77777777" w:rsidR="00587444" w:rsidRPr="00587444" w:rsidDel="008B54C2" w:rsidRDefault="00587444" w:rsidP="00587444">
            <w:pPr>
              <w:tabs>
                <w:tab w:val="right" w:pos="1202"/>
              </w:tabs>
              <w:suppressAutoHyphens w:val="0"/>
              <w:autoSpaceDN/>
              <w:jc w:val="right"/>
              <w:outlineLvl w:val="0"/>
              <w:rPr>
                <w:rFonts w:ascii="Arial" w:hAnsi="Arial" w:cs="Arial"/>
                <w:b/>
                <w:bCs/>
                <w:iCs/>
                <w:color w:val="000000"/>
                <w:sz w:val="17"/>
                <w:szCs w:val="17"/>
                <w:lang w:val="hr-HR"/>
              </w:rPr>
            </w:pPr>
            <w:r w:rsidRPr="00587444">
              <w:rPr>
                <w:rFonts w:ascii="Arial" w:hAnsi="Arial" w:cs="Arial"/>
                <w:b/>
                <w:bCs/>
                <w:iCs/>
                <w:color w:val="000000"/>
                <w:sz w:val="17"/>
                <w:szCs w:val="17"/>
                <w:lang w:val="hr-HR"/>
              </w:rPr>
              <w:t>20,000</w:t>
            </w:r>
          </w:p>
        </w:tc>
      </w:tr>
      <w:tr w:rsidR="00587444" w:rsidRPr="00587444" w14:paraId="106BB970" w14:textId="77777777" w:rsidTr="00DD69E7">
        <w:trPr>
          <w:trHeight w:val="512"/>
        </w:trPr>
        <w:tc>
          <w:tcPr>
            <w:tcW w:w="1471" w:type="pct"/>
            <w:vAlign w:val="bottom"/>
          </w:tcPr>
          <w:p w14:paraId="1A6F9DA9" w14:textId="77777777" w:rsidR="00587444" w:rsidRPr="00587444" w:rsidRDefault="00587444" w:rsidP="00587444">
            <w:pPr>
              <w:tabs>
                <w:tab w:val="right" w:pos="1202"/>
              </w:tabs>
              <w:suppressAutoHyphens w:val="0"/>
              <w:autoSpaceDN/>
              <w:outlineLvl w:val="0"/>
              <w:rPr>
                <w:rFonts w:ascii="Arial" w:hAnsi="Arial" w:cs="Arial"/>
                <w:iCs/>
                <w:sz w:val="17"/>
                <w:szCs w:val="17"/>
              </w:rPr>
            </w:pPr>
            <w:bookmarkStart w:id="400" w:name="_Toc4057669"/>
            <w:r w:rsidRPr="00587444">
              <w:rPr>
                <w:rFonts w:ascii="Arial" w:hAnsi="Arial" w:cs="Arial"/>
                <w:iCs/>
                <w:sz w:val="17"/>
                <w:szCs w:val="17"/>
              </w:rPr>
              <w:t>Transfer of profit 2021 to retained earnings</w:t>
            </w:r>
            <w:bookmarkEnd w:id="400"/>
            <w:r w:rsidRPr="00587444">
              <w:rPr>
                <w:rFonts w:ascii="Arial" w:hAnsi="Arial" w:cs="Arial"/>
                <w:iCs/>
                <w:sz w:val="17"/>
                <w:szCs w:val="17"/>
              </w:rPr>
              <w:t xml:space="preserve"> </w:t>
            </w:r>
          </w:p>
        </w:tc>
        <w:tc>
          <w:tcPr>
            <w:tcW w:w="588" w:type="pct"/>
            <w:tcBorders>
              <w:top w:val="nil"/>
              <w:left w:val="nil"/>
              <w:bottom w:val="single" w:sz="4" w:space="0" w:color="auto"/>
              <w:right w:val="nil"/>
            </w:tcBorders>
            <w:shd w:val="clear" w:color="auto" w:fill="auto"/>
            <w:vAlign w:val="bottom"/>
          </w:tcPr>
          <w:p w14:paraId="47000A2D" w14:textId="77777777" w:rsidR="00587444" w:rsidRPr="00587444"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w:t>
            </w:r>
          </w:p>
        </w:tc>
        <w:tc>
          <w:tcPr>
            <w:tcW w:w="588" w:type="pct"/>
            <w:tcBorders>
              <w:top w:val="nil"/>
              <w:left w:val="nil"/>
              <w:bottom w:val="single" w:sz="4" w:space="0" w:color="auto"/>
              <w:right w:val="nil"/>
            </w:tcBorders>
            <w:shd w:val="clear" w:color="auto" w:fill="auto"/>
            <w:vAlign w:val="bottom"/>
          </w:tcPr>
          <w:p w14:paraId="67933983" w14:textId="77777777" w:rsidR="00587444" w:rsidRPr="00587444"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187,082</w:t>
            </w:r>
          </w:p>
        </w:tc>
        <w:tc>
          <w:tcPr>
            <w:tcW w:w="588" w:type="pct"/>
            <w:tcBorders>
              <w:top w:val="nil"/>
              <w:left w:val="nil"/>
              <w:bottom w:val="single" w:sz="4" w:space="0" w:color="auto"/>
              <w:right w:val="nil"/>
            </w:tcBorders>
            <w:shd w:val="clear" w:color="auto" w:fill="auto"/>
            <w:vAlign w:val="bottom"/>
          </w:tcPr>
          <w:p w14:paraId="16123647" w14:textId="77777777" w:rsidR="00587444" w:rsidRPr="00587444"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w:t>
            </w:r>
          </w:p>
        </w:tc>
        <w:tc>
          <w:tcPr>
            <w:tcW w:w="588" w:type="pct"/>
            <w:tcBorders>
              <w:top w:val="nil"/>
              <w:left w:val="nil"/>
              <w:bottom w:val="single" w:sz="4" w:space="0" w:color="auto"/>
              <w:right w:val="nil"/>
            </w:tcBorders>
            <w:shd w:val="clear" w:color="auto" w:fill="auto"/>
            <w:vAlign w:val="bottom"/>
          </w:tcPr>
          <w:p w14:paraId="53B8F38B" w14:textId="77777777" w:rsidR="00587444" w:rsidRPr="00587444"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(187,082)</w:t>
            </w:r>
          </w:p>
        </w:tc>
        <w:tc>
          <w:tcPr>
            <w:tcW w:w="588" w:type="pct"/>
            <w:tcBorders>
              <w:top w:val="nil"/>
              <w:left w:val="nil"/>
              <w:bottom w:val="single" w:sz="4" w:space="0" w:color="auto"/>
              <w:right w:val="nil"/>
            </w:tcBorders>
            <w:shd w:val="clear" w:color="auto" w:fill="auto"/>
            <w:vAlign w:val="bottom"/>
          </w:tcPr>
          <w:p w14:paraId="79640CB6" w14:textId="77777777" w:rsidR="00587444" w:rsidRPr="00587444" w:rsidRDefault="00587444" w:rsidP="00587444">
            <w:pPr>
              <w:tabs>
                <w:tab w:val="right" w:pos="1202"/>
              </w:tabs>
              <w:suppressAutoHyphens w:val="0"/>
              <w:autoSpaceDN/>
              <w:jc w:val="right"/>
              <w:outlineLvl w:val="0"/>
              <w:rPr>
                <w:rFonts w:ascii="Arial" w:hAnsi="Arial" w:cs="Arial"/>
                <w:iCs/>
                <w:color w:val="000000"/>
                <w:sz w:val="17"/>
                <w:szCs w:val="17"/>
                <w:lang w:val="hr-HR"/>
              </w:rPr>
            </w:pPr>
            <w:r w:rsidRPr="00587444">
              <w:rPr>
                <w:rFonts w:ascii="Arial" w:hAnsi="Arial" w:cs="Arial"/>
                <w:iCs/>
                <w:color w:val="000000"/>
                <w:sz w:val="17"/>
                <w:szCs w:val="17"/>
                <w:lang w:val="hr-HR"/>
              </w:rPr>
              <w:t>-</w:t>
            </w:r>
          </w:p>
        </w:tc>
        <w:tc>
          <w:tcPr>
            <w:tcW w:w="588" w:type="pct"/>
            <w:tcBorders>
              <w:top w:val="nil"/>
              <w:left w:val="nil"/>
              <w:bottom w:val="single" w:sz="4" w:space="0" w:color="auto"/>
              <w:right w:val="nil"/>
            </w:tcBorders>
            <w:shd w:val="clear" w:color="auto" w:fill="auto"/>
            <w:vAlign w:val="bottom"/>
          </w:tcPr>
          <w:p w14:paraId="0E488D91" w14:textId="77777777" w:rsidR="00587444" w:rsidRPr="00587444" w:rsidRDefault="00587444" w:rsidP="00587444">
            <w:pPr>
              <w:tabs>
                <w:tab w:val="right" w:pos="1202"/>
              </w:tabs>
              <w:suppressAutoHyphens w:val="0"/>
              <w:autoSpaceDN/>
              <w:jc w:val="right"/>
              <w:outlineLvl w:val="0"/>
              <w:rPr>
                <w:rFonts w:ascii="Arial" w:hAnsi="Arial" w:cs="Arial"/>
                <w:b/>
                <w:bCs/>
                <w:iCs/>
                <w:color w:val="000000"/>
                <w:sz w:val="17"/>
                <w:szCs w:val="17"/>
                <w:lang w:val="hr-HR"/>
              </w:rPr>
            </w:pPr>
            <w:r w:rsidRPr="00587444">
              <w:rPr>
                <w:rFonts w:ascii="Arial" w:hAnsi="Arial" w:cs="Arial"/>
                <w:b/>
                <w:bCs/>
                <w:iCs/>
                <w:color w:val="000000"/>
                <w:sz w:val="17"/>
                <w:szCs w:val="17"/>
                <w:lang w:val="hr-HR"/>
              </w:rPr>
              <w:t>-</w:t>
            </w:r>
          </w:p>
        </w:tc>
      </w:tr>
      <w:tr w:rsidR="00587444" w:rsidRPr="00587444" w14:paraId="0CF71BF9" w14:textId="77777777" w:rsidTr="00DD69E7">
        <w:trPr>
          <w:trHeight w:hRule="exact" w:val="347"/>
        </w:trPr>
        <w:tc>
          <w:tcPr>
            <w:tcW w:w="1471" w:type="pct"/>
            <w:vAlign w:val="bottom"/>
          </w:tcPr>
          <w:p w14:paraId="0FB5B54A" w14:textId="77777777" w:rsidR="00587444" w:rsidRPr="00587444" w:rsidRDefault="00587444" w:rsidP="00587444">
            <w:pPr>
              <w:tabs>
                <w:tab w:val="right" w:pos="1202"/>
              </w:tabs>
              <w:suppressAutoHyphens w:val="0"/>
              <w:autoSpaceDN/>
              <w:outlineLvl w:val="0"/>
              <w:rPr>
                <w:rFonts w:ascii="Arial" w:hAnsi="Arial" w:cs="Arial"/>
                <w:b/>
                <w:iCs/>
                <w:sz w:val="17"/>
                <w:szCs w:val="17"/>
              </w:rPr>
            </w:pPr>
            <w:bookmarkStart w:id="401" w:name="_Toc4057676"/>
            <w:r w:rsidRPr="00587444">
              <w:rPr>
                <w:rFonts w:ascii="Arial" w:hAnsi="Arial" w:cs="Arial"/>
                <w:b/>
                <w:iCs/>
                <w:sz w:val="17"/>
                <w:szCs w:val="17"/>
              </w:rPr>
              <w:t xml:space="preserve">Balance as </w:t>
            </w:r>
            <w:proofErr w:type="gramStart"/>
            <w:r w:rsidRPr="00587444">
              <w:rPr>
                <w:rFonts w:ascii="Arial" w:hAnsi="Arial" w:cs="Arial"/>
                <w:b/>
                <w:iCs/>
                <w:sz w:val="17"/>
                <w:szCs w:val="17"/>
              </w:rPr>
              <w:t>at</w:t>
            </w:r>
            <w:proofErr w:type="gramEnd"/>
            <w:r w:rsidRPr="00587444">
              <w:rPr>
                <w:rFonts w:ascii="Arial" w:hAnsi="Arial" w:cs="Arial"/>
                <w:b/>
                <w:iCs/>
                <w:sz w:val="17"/>
                <w:szCs w:val="17"/>
              </w:rPr>
              <w:t xml:space="preserve"> 31 December </w:t>
            </w:r>
            <w:bookmarkEnd w:id="401"/>
            <w:r w:rsidRPr="00587444">
              <w:rPr>
                <w:rFonts w:ascii="Arial" w:hAnsi="Arial" w:cs="Arial"/>
                <w:b/>
                <w:iCs/>
                <w:sz w:val="17"/>
                <w:szCs w:val="17"/>
              </w:rPr>
              <w:t>2022</w:t>
            </w:r>
          </w:p>
        </w:tc>
        <w:tc>
          <w:tcPr>
            <w:tcW w:w="588" w:type="pct"/>
            <w:tcBorders>
              <w:top w:val="single" w:sz="8" w:space="0" w:color="auto"/>
              <w:left w:val="nil"/>
              <w:bottom w:val="single" w:sz="12" w:space="0" w:color="auto"/>
              <w:right w:val="nil"/>
            </w:tcBorders>
            <w:shd w:val="clear" w:color="auto" w:fill="auto"/>
            <w:vAlign w:val="bottom"/>
          </w:tcPr>
          <w:p w14:paraId="48F882D1" w14:textId="77777777" w:rsidR="00587444" w:rsidRPr="00587444" w:rsidRDefault="00587444" w:rsidP="00587444">
            <w:pPr>
              <w:tabs>
                <w:tab w:val="right" w:pos="1202"/>
              </w:tabs>
              <w:suppressAutoHyphens w:val="0"/>
              <w:autoSpaceDN/>
              <w:jc w:val="right"/>
              <w:outlineLvl w:val="0"/>
              <w:rPr>
                <w:rFonts w:ascii="Arial" w:hAnsi="Arial" w:cs="Arial"/>
                <w:b/>
                <w:bCs/>
                <w:iCs/>
                <w:color w:val="000000"/>
                <w:sz w:val="17"/>
                <w:szCs w:val="17"/>
                <w:lang w:val="hr-HR"/>
              </w:rPr>
            </w:pPr>
            <w:r w:rsidRPr="00587444">
              <w:rPr>
                <w:rFonts w:ascii="Arial" w:hAnsi="Arial" w:cs="Arial"/>
                <w:b/>
                <w:bCs/>
                <w:iCs/>
                <w:color w:val="000000"/>
                <w:sz w:val="17"/>
                <w:szCs w:val="17"/>
                <w:lang w:val="hr-HR"/>
              </w:rPr>
              <w:t xml:space="preserve"> 7,204,632 </w:t>
            </w:r>
          </w:p>
        </w:tc>
        <w:tc>
          <w:tcPr>
            <w:tcW w:w="588" w:type="pct"/>
            <w:tcBorders>
              <w:top w:val="single" w:sz="8" w:space="0" w:color="auto"/>
              <w:left w:val="nil"/>
              <w:bottom w:val="single" w:sz="12" w:space="0" w:color="auto"/>
              <w:right w:val="nil"/>
            </w:tcBorders>
            <w:shd w:val="clear" w:color="auto" w:fill="auto"/>
            <w:vAlign w:val="bottom"/>
          </w:tcPr>
          <w:p w14:paraId="00BF68D7" w14:textId="77777777" w:rsidR="00587444" w:rsidRPr="00587444" w:rsidRDefault="00587444" w:rsidP="00587444">
            <w:pPr>
              <w:tabs>
                <w:tab w:val="right" w:pos="1202"/>
              </w:tabs>
              <w:suppressAutoHyphens w:val="0"/>
              <w:autoSpaceDN/>
              <w:jc w:val="right"/>
              <w:outlineLvl w:val="0"/>
              <w:rPr>
                <w:rFonts w:ascii="Arial" w:hAnsi="Arial" w:cs="Arial"/>
                <w:b/>
                <w:bCs/>
                <w:iCs/>
                <w:color w:val="000000"/>
                <w:sz w:val="17"/>
                <w:szCs w:val="17"/>
                <w:lang w:val="hr-HR"/>
              </w:rPr>
            </w:pPr>
            <w:r w:rsidRPr="00587444">
              <w:rPr>
                <w:rFonts w:ascii="Arial" w:hAnsi="Arial" w:cs="Arial"/>
                <w:b/>
                <w:bCs/>
                <w:iCs/>
                <w:color w:val="000000"/>
                <w:sz w:val="17"/>
                <w:szCs w:val="17"/>
                <w:lang w:val="hr-HR"/>
              </w:rPr>
              <w:t xml:space="preserve"> 3,340,827 </w:t>
            </w:r>
          </w:p>
        </w:tc>
        <w:tc>
          <w:tcPr>
            <w:tcW w:w="588" w:type="pct"/>
            <w:tcBorders>
              <w:top w:val="single" w:sz="8" w:space="0" w:color="auto"/>
              <w:left w:val="nil"/>
              <w:bottom w:val="single" w:sz="12" w:space="0" w:color="auto"/>
              <w:right w:val="nil"/>
            </w:tcBorders>
            <w:shd w:val="clear" w:color="auto" w:fill="auto"/>
            <w:vAlign w:val="bottom"/>
          </w:tcPr>
          <w:p w14:paraId="4A25BC93" w14:textId="77777777" w:rsidR="00587444" w:rsidRPr="00587444" w:rsidRDefault="00587444" w:rsidP="00587444">
            <w:pPr>
              <w:tabs>
                <w:tab w:val="right" w:pos="1202"/>
              </w:tabs>
              <w:suppressAutoHyphens w:val="0"/>
              <w:autoSpaceDN/>
              <w:jc w:val="right"/>
              <w:outlineLvl w:val="0"/>
              <w:rPr>
                <w:rFonts w:ascii="Arial" w:hAnsi="Arial" w:cs="Arial"/>
                <w:b/>
                <w:bCs/>
                <w:iCs/>
                <w:color w:val="000000"/>
                <w:sz w:val="17"/>
                <w:szCs w:val="17"/>
                <w:lang w:val="hr-HR"/>
              </w:rPr>
            </w:pPr>
            <w:r w:rsidRPr="00587444">
              <w:rPr>
                <w:rFonts w:ascii="Arial" w:hAnsi="Arial" w:cs="Arial"/>
                <w:b/>
                <w:bCs/>
                <w:iCs/>
                <w:color w:val="000000"/>
                <w:sz w:val="17"/>
                <w:szCs w:val="17"/>
                <w:lang w:val="hr-HR"/>
              </w:rPr>
              <w:t xml:space="preserve"> (33,369)</w:t>
            </w:r>
          </w:p>
        </w:tc>
        <w:tc>
          <w:tcPr>
            <w:tcW w:w="588" w:type="pct"/>
            <w:tcBorders>
              <w:top w:val="single" w:sz="8" w:space="0" w:color="auto"/>
              <w:left w:val="nil"/>
              <w:bottom w:val="single" w:sz="12" w:space="0" w:color="auto"/>
              <w:right w:val="nil"/>
            </w:tcBorders>
            <w:shd w:val="clear" w:color="auto" w:fill="auto"/>
            <w:vAlign w:val="bottom"/>
          </w:tcPr>
          <w:p w14:paraId="24C01D49" w14:textId="77777777" w:rsidR="00587444" w:rsidRPr="00587444" w:rsidRDefault="00587444" w:rsidP="00587444">
            <w:pPr>
              <w:tabs>
                <w:tab w:val="right" w:pos="1202"/>
              </w:tabs>
              <w:suppressAutoHyphens w:val="0"/>
              <w:autoSpaceDN/>
              <w:jc w:val="right"/>
              <w:outlineLvl w:val="0"/>
              <w:rPr>
                <w:rFonts w:ascii="Arial" w:hAnsi="Arial" w:cs="Arial"/>
                <w:b/>
                <w:bCs/>
                <w:iCs/>
                <w:color w:val="000000"/>
                <w:sz w:val="17"/>
                <w:szCs w:val="17"/>
                <w:lang w:val="hr-HR"/>
              </w:rPr>
            </w:pPr>
            <w:r w:rsidRPr="00587444">
              <w:rPr>
                <w:rFonts w:ascii="Arial" w:hAnsi="Arial" w:cs="Arial"/>
                <w:b/>
                <w:bCs/>
                <w:iCs/>
                <w:color w:val="000000"/>
                <w:sz w:val="17"/>
                <w:szCs w:val="17"/>
                <w:lang w:val="hr-HR"/>
              </w:rPr>
              <w:t xml:space="preserve"> 186,173 </w:t>
            </w:r>
          </w:p>
        </w:tc>
        <w:tc>
          <w:tcPr>
            <w:tcW w:w="588" w:type="pct"/>
            <w:tcBorders>
              <w:top w:val="single" w:sz="8" w:space="0" w:color="auto"/>
              <w:left w:val="nil"/>
              <w:bottom w:val="single" w:sz="12" w:space="0" w:color="auto"/>
              <w:right w:val="nil"/>
            </w:tcBorders>
            <w:shd w:val="clear" w:color="auto" w:fill="auto"/>
            <w:vAlign w:val="bottom"/>
          </w:tcPr>
          <w:p w14:paraId="79303C34" w14:textId="77777777" w:rsidR="00587444" w:rsidRPr="00587444" w:rsidRDefault="00587444" w:rsidP="00587444">
            <w:pPr>
              <w:tabs>
                <w:tab w:val="right" w:pos="1202"/>
              </w:tabs>
              <w:suppressAutoHyphens w:val="0"/>
              <w:autoSpaceDN/>
              <w:jc w:val="right"/>
              <w:outlineLvl w:val="0"/>
              <w:rPr>
                <w:rFonts w:ascii="Arial" w:hAnsi="Arial" w:cs="Arial"/>
                <w:b/>
                <w:bCs/>
                <w:iCs/>
                <w:color w:val="000000"/>
                <w:sz w:val="17"/>
                <w:szCs w:val="17"/>
                <w:lang w:val="hr-HR"/>
              </w:rPr>
            </w:pPr>
            <w:r w:rsidRPr="00587444">
              <w:rPr>
                <w:rFonts w:ascii="Arial" w:hAnsi="Arial" w:cs="Arial"/>
                <w:b/>
                <w:bCs/>
                <w:iCs/>
                <w:color w:val="000000"/>
                <w:sz w:val="17"/>
                <w:szCs w:val="17"/>
                <w:lang w:val="hr-HR"/>
              </w:rPr>
              <w:t xml:space="preserve"> 12,337 </w:t>
            </w:r>
          </w:p>
        </w:tc>
        <w:tc>
          <w:tcPr>
            <w:tcW w:w="588" w:type="pct"/>
            <w:tcBorders>
              <w:top w:val="single" w:sz="8" w:space="0" w:color="auto"/>
              <w:left w:val="nil"/>
              <w:bottom w:val="single" w:sz="12" w:space="0" w:color="auto"/>
              <w:right w:val="nil"/>
            </w:tcBorders>
            <w:shd w:val="clear" w:color="auto" w:fill="auto"/>
            <w:vAlign w:val="bottom"/>
          </w:tcPr>
          <w:p w14:paraId="4A828A0E" w14:textId="77777777" w:rsidR="00587444" w:rsidRPr="00587444" w:rsidRDefault="00587444" w:rsidP="00587444">
            <w:pPr>
              <w:tabs>
                <w:tab w:val="right" w:pos="1202"/>
              </w:tabs>
              <w:suppressAutoHyphens w:val="0"/>
              <w:autoSpaceDN/>
              <w:jc w:val="right"/>
              <w:outlineLvl w:val="0"/>
              <w:rPr>
                <w:rFonts w:ascii="Arial" w:hAnsi="Arial" w:cs="Arial"/>
                <w:b/>
                <w:bCs/>
                <w:iCs/>
                <w:color w:val="000000"/>
                <w:sz w:val="17"/>
                <w:szCs w:val="17"/>
                <w:lang w:val="hr-HR"/>
              </w:rPr>
            </w:pPr>
            <w:r w:rsidRPr="00587444">
              <w:rPr>
                <w:rFonts w:ascii="Arial" w:hAnsi="Arial" w:cs="Arial"/>
                <w:b/>
                <w:bCs/>
                <w:iCs/>
                <w:color w:val="000000"/>
                <w:sz w:val="17"/>
                <w:szCs w:val="17"/>
                <w:lang w:val="hr-HR"/>
              </w:rPr>
              <w:t xml:space="preserve"> 10,710,600 </w:t>
            </w:r>
          </w:p>
        </w:tc>
      </w:tr>
    </w:tbl>
    <w:p w14:paraId="7EF8CD9C" w14:textId="77777777" w:rsidR="00587444" w:rsidRPr="00587444" w:rsidRDefault="00587444" w:rsidP="00587444">
      <w:pPr>
        <w:suppressAutoHyphens w:val="0"/>
        <w:autoSpaceDN/>
        <w:rPr>
          <w:rFonts w:ascii="Arial" w:hAnsi="Arial" w:cs="Arial"/>
          <w:sz w:val="20"/>
          <w:szCs w:val="20"/>
          <w:highlight w:val="yellow"/>
          <w:lang w:val="en-GB"/>
        </w:rPr>
      </w:pPr>
    </w:p>
    <w:p w14:paraId="29F4D5AE" w14:textId="77777777" w:rsidR="00587444" w:rsidRPr="00587444" w:rsidRDefault="00587444" w:rsidP="00587444">
      <w:pPr>
        <w:suppressAutoHyphens w:val="0"/>
        <w:autoSpaceDN/>
        <w:rPr>
          <w:rFonts w:ascii="Arial" w:hAnsi="Arial" w:cs="Arial"/>
          <w:sz w:val="20"/>
          <w:szCs w:val="20"/>
          <w:highlight w:val="yellow"/>
          <w:lang w:val="en-GB"/>
        </w:rPr>
      </w:pPr>
    </w:p>
    <w:p w14:paraId="30B63F5E" w14:textId="77777777" w:rsidR="00587444" w:rsidRPr="00587444" w:rsidRDefault="00587444" w:rsidP="00587444">
      <w:pPr>
        <w:suppressAutoHyphens w:val="0"/>
        <w:autoSpaceDN/>
        <w:rPr>
          <w:rFonts w:ascii="Arial" w:hAnsi="Arial" w:cs="Arial"/>
          <w:sz w:val="20"/>
          <w:szCs w:val="20"/>
          <w:highlight w:val="yellow"/>
          <w:lang w:val="en-GB"/>
        </w:rPr>
      </w:pPr>
    </w:p>
    <w:p w14:paraId="5AA9B3BE" w14:textId="77777777" w:rsidR="00587444" w:rsidRPr="00587444" w:rsidRDefault="00587444" w:rsidP="00587444">
      <w:pPr>
        <w:suppressAutoHyphens w:val="0"/>
        <w:autoSpaceDN/>
        <w:rPr>
          <w:rFonts w:ascii="Arial" w:hAnsi="Arial" w:cs="Arial"/>
          <w:sz w:val="20"/>
          <w:szCs w:val="20"/>
          <w:highlight w:val="yellow"/>
          <w:lang w:val="en-GB"/>
        </w:rPr>
      </w:pPr>
    </w:p>
    <w:p w14:paraId="3B615B83" w14:textId="77777777" w:rsidR="00587444" w:rsidRPr="00587444" w:rsidRDefault="00587444" w:rsidP="00587444">
      <w:pPr>
        <w:suppressAutoHyphens w:val="0"/>
        <w:autoSpaceDN/>
        <w:rPr>
          <w:rFonts w:ascii="Arial" w:hAnsi="Arial" w:cs="Arial"/>
          <w:sz w:val="20"/>
          <w:szCs w:val="20"/>
          <w:highlight w:val="yellow"/>
          <w:lang w:val="en-GB"/>
        </w:rPr>
      </w:pPr>
    </w:p>
    <w:p w14:paraId="2100821D" w14:textId="77777777" w:rsidR="00587444" w:rsidRPr="00587444" w:rsidRDefault="00587444" w:rsidP="00587444">
      <w:pPr>
        <w:suppressAutoHyphens w:val="0"/>
        <w:autoSpaceDN/>
        <w:rPr>
          <w:rFonts w:ascii="Arial" w:hAnsi="Arial" w:cs="Arial"/>
          <w:sz w:val="20"/>
          <w:szCs w:val="20"/>
          <w:highlight w:val="yellow"/>
          <w:lang w:val="en-GB"/>
        </w:rPr>
      </w:pPr>
    </w:p>
    <w:p w14:paraId="2B8C5DFD" w14:textId="77777777" w:rsidR="00587444" w:rsidRPr="00587444" w:rsidRDefault="00587444" w:rsidP="00587444">
      <w:pPr>
        <w:suppressAutoHyphens w:val="0"/>
        <w:autoSpaceDN/>
        <w:rPr>
          <w:rFonts w:ascii="Arial" w:hAnsi="Arial" w:cs="Arial"/>
          <w:sz w:val="20"/>
          <w:szCs w:val="20"/>
          <w:highlight w:val="yellow"/>
          <w:lang w:val="en-GB"/>
        </w:rPr>
      </w:pPr>
    </w:p>
    <w:p w14:paraId="42FE8961" w14:textId="77777777" w:rsidR="00587444" w:rsidRPr="00587444" w:rsidRDefault="00587444" w:rsidP="00587444">
      <w:pPr>
        <w:suppressAutoHyphens w:val="0"/>
        <w:autoSpaceDN/>
        <w:rPr>
          <w:rFonts w:ascii="Arial" w:hAnsi="Arial" w:cs="Arial"/>
          <w:sz w:val="20"/>
          <w:szCs w:val="20"/>
          <w:highlight w:val="yellow"/>
          <w:lang w:val="en-GB"/>
        </w:rPr>
      </w:pPr>
    </w:p>
    <w:p w14:paraId="39E9193E" w14:textId="77777777" w:rsidR="00587444" w:rsidRPr="00587444" w:rsidRDefault="00587444" w:rsidP="00587444">
      <w:pPr>
        <w:suppressAutoHyphens w:val="0"/>
        <w:autoSpaceDN/>
        <w:rPr>
          <w:rFonts w:ascii="Arial" w:hAnsi="Arial" w:cs="Arial"/>
          <w:sz w:val="20"/>
          <w:szCs w:val="20"/>
          <w:highlight w:val="yellow"/>
          <w:lang w:val="en-GB"/>
        </w:rPr>
      </w:pPr>
    </w:p>
    <w:p w14:paraId="3E7A328B" w14:textId="77777777" w:rsidR="00587444" w:rsidRPr="00587444" w:rsidRDefault="00587444" w:rsidP="00587444">
      <w:pPr>
        <w:suppressAutoHyphens w:val="0"/>
        <w:autoSpaceDN/>
        <w:rPr>
          <w:rFonts w:ascii="Arial" w:hAnsi="Arial" w:cs="Arial"/>
          <w:sz w:val="20"/>
          <w:szCs w:val="20"/>
          <w:highlight w:val="yellow"/>
          <w:lang w:val="en-GB"/>
        </w:rPr>
      </w:pPr>
    </w:p>
    <w:p w14:paraId="70F1E239" w14:textId="77777777" w:rsidR="00587444" w:rsidRPr="00587444" w:rsidRDefault="00587444" w:rsidP="00587444">
      <w:pPr>
        <w:suppressAutoHyphens w:val="0"/>
        <w:autoSpaceDN/>
        <w:rPr>
          <w:rFonts w:ascii="Arial" w:hAnsi="Arial" w:cs="Arial"/>
          <w:sz w:val="20"/>
          <w:szCs w:val="20"/>
          <w:highlight w:val="yellow"/>
          <w:lang w:val="en-GB"/>
        </w:rPr>
      </w:pPr>
    </w:p>
    <w:p w14:paraId="0A809BD9" w14:textId="77777777" w:rsidR="00587444" w:rsidRPr="00587444" w:rsidRDefault="00587444" w:rsidP="00587444">
      <w:pPr>
        <w:suppressAutoHyphens w:val="0"/>
        <w:autoSpaceDN/>
        <w:rPr>
          <w:rFonts w:ascii="Arial" w:hAnsi="Arial" w:cs="Arial"/>
          <w:sz w:val="20"/>
          <w:szCs w:val="20"/>
          <w:highlight w:val="yellow"/>
          <w:lang w:val="en-GB"/>
        </w:rPr>
      </w:pPr>
    </w:p>
    <w:p w14:paraId="02E7801E" w14:textId="77777777" w:rsidR="00587444" w:rsidRPr="00587444" w:rsidRDefault="00587444" w:rsidP="00587444">
      <w:pPr>
        <w:suppressAutoHyphens w:val="0"/>
        <w:autoSpaceDN/>
        <w:rPr>
          <w:rFonts w:ascii="Arial" w:hAnsi="Arial" w:cs="Arial"/>
          <w:sz w:val="20"/>
          <w:szCs w:val="20"/>
          <w:lang w:val="en-GB"/>
        </w:rPr>
      </w:pPr>
      <w:r w:rsidRPr="00587444">
        <w:rPr>
          <w:rFonts w:ascii="Arial" w:hAnsi="Arial" w:cs="Arial"/>
          <w:sz w:val="20"/>
          <w:szCs w:val="20"/>
          <w:lang w:val="en-GB"/>
        </w:rPr>
        <w:t>The accompanying accounting policies and notes are an integral part of these financial statements.</w:t>
      </w:r>
    </w:p>
    <w:p w14:paraId="062ABFCA" w14:textId="77777777" w:rsidR="00587444" w:rsidRPr="00587444" w:rsidRDefault="00587444" w:rsidP="00587444">
      <w:pPr>
        <w:suppressAutoHyphens w:val="0"/>
        <w:autoSpaceDN/>
        <w:rPr>
          <w:rFonts w:ascii="Arial" w:hAnsi="Arial" w:cs="Arial"/>
          <w:sz w:val="20"/>
          <w:szCs w:val="20"/>
          <w:lang w:val="en-GB"/>
        </w:rPr>
      </w:pPr>
    </w:p>
    <w:p w14:paraId="310C6767" w14:textId="77777777" w:rsidR="00587444" w:rsidRPr="00587444" w:rsidRDefault="00587444" w:rsidP="00587444">
      <w:pPr>
        <w:keepNext/>
        <w:suppressAutoHyphens w:val="0"/>
        <w:autoSpaceDN/>
        <w:jc w:val="both"/>
        <w:rPr>
          <w:rFonts w:ascii="Arial" w:hAnsi="Arial" w:cs="Arial"/>
          <w:sz w:val="20"/>
          <w:szCs w:val="20"/>
          <w:lang w:val="en-GB"/>
        </w:rPr>
        <w:sectPr w:rsidR="00587444" w:rsidRPr="00587444" w:rsidSect="00DD69E7">
          <w:headerReference w:type="default" r:id="rId75"/>
          <w:pgSz w:w="11907" w:h="16840" w:code="9"/>
          <w:pgMar w:top="1418" w:right="992" w:bottom="1134" w:left="1418" w:header="851" w:footer="851" w:gutter="0"/>
          <w:cols w:space="720"/>
          <w:noEndnote/>
        </w:sectPr>
      </w:pPr>
    </w:p>
    <w:p w14:paraId="43E79BAC" w14:textId="77777777" w:rsidR="00587444" w:rsidRPr="00587444" w:rsidRDefault="00587444" w:rsidP="00587444">
      <w:pPr>
        <w:suppressAutoHyphens w:val="0"/>
        <w:autoSpaceDN/>
        <w:rPr>
          <w:rFonts w:ascii="Arial" w:hAnsi="Arial" w:cs="Arial"/>
          <w:sz w:val="20"/>
          <w:szCs w:val="20"/>
          <w:lang w:val="en-GB"/>
        </w:rPr>
      </w:pPr>
    </w:p>
    <w:p w14:paraId="274BE818" w14:textId="77777777" w:rsidR="00587444" w:rsidRPr="00587444" w:rsidRDefault="00587444">
      <w:pPr>
        <w:keepNext/>
        <w:numPr>
          <w:ilvl w:val="0"/>
          <w:numId w:val="34"/>
        </w:numPr>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General information</w:t>
      </w:r>
    </w:p>
    <w:p w14:paraId="2613B158" w14:textId="77777777" w:rsidR="00587444" w:rsidRPr="00587444" w:rsidRDefault="00587444" w:rsidP="00587444">
      <w:pPr>
        <w:suppressAutoHyphens w:val="0"/>
        <w:autoSpaceDN/>
        <w:rPr>
          <w:rFonts w:ascii="Arial" w:hAnsi="Arial" w:cs="Arial"/>
          <w:sz w:val="20"/>
          <w:szCs w:val="20"/>
          <w:lang w:val="en-GB"/>
        </w:rPr>
      </w:pPr>
    </w:p>
    <w:p w14:paraId="5C874187" w14:textId="77777777" w:rsidR="00587444" w:rsidRPr="00587444" w:rsidRDefault="00587444">
      <w:pPr>
        <w:numPr>
          <w:ilvl w:val="1"/>
          <w:numId w:val="34"/>
        </w:numPr>
        <w:tabs>
          <w:tab w:val="left" w:pos="567"/>
        </w:tabs>
        <w:suppressAutoHyphens w:val="0"/>
        <w:autoSpaceDN/>
        <w:jc w:val="both"/>
        <w:rPr>
          <w:rFonts w:ascii="Arial" w:hAnsi="Arial" w:cs="Arial"/>
          <w:b/>
          <w:sz w:val="20"/>
          <w:szCs w:val="20"/>
          <w:lang w:val="en-GB" w:eastAsia="hr-HR"/>
        </w:rPr>
      </w:pPr>
      <w:r w:rsidRPr="00587444">
        <w:rPr>
          <w:rFonts w:ascii="Arial" w:hAnsi="Arial" w:cs="Arial"/>
          <w:b/>
          <w:sz w:val="20"/>
          <w:szCs w:val="20"/>
          <w:lang w:val="en-GB" w:eastAsia="hr-HR"/>
        </w:rPr>
        <w:t>Group:</w:t>
      </w:r>
    </w:p>
    <w:p w14:paraId="4BE9B999" w14:textId="77777777" w:rsidR="00587444" w:rsidRPr="00587444" w:rsidRDefault="00587444" w:rsidP="00587932">
      <w:pPr>
        <w:tabs>
          <w:tab w:val="left" w:pos="567"/>
        </w:tabs>
        <w:autoSpaceDN/>
        <w:ind w:left="570"/>
        <w:jc w:val="both"/>
        <w:rPr>
          <w:rFonts w:ascii="Arial" w:hAnsi="Arial" w:cs="Arial"/>
          <w:b/>
          <w:sz w:val="20"/>
          <w:szCs w:val="20"/>
          <w:lang w:val="en-GB" w:eastAsia="hr-HR"/>
        </w:rPr>
      </w:pPr>
    </w:p>
    <w:p w14:paraId="60820F74" w14:textId="77777777" w:rsidR="00587444" w:rsidRPr="00587444" w:rsidRDefault="00587444" w:rsidP="00587932">
      <w:pPr>
        <w:autoSpaceDN/>
        <w:jc w:val="both"/>
        <w:rPr>
          <w:rFonts w:ascii="Arial" w:hAnsi="Arial" w:cs="Arial"/>
          <w:sz w:val="20"/>
          <w:szCs w:val="20"/>
        </w:rPr>
      </w:pPr>
      <w:bookmarkStart w:id="402" w:name="_Toc4057683"/>
      <w:r w:rsidRPr="00587444">
        <w:rPr>
          <w:rFonts w:ascii="Arial" w:hAnsi="Arial" w:cs="Arial"/>
          <w:sz w:val="20"/>
          <w:szCs w:val="20"/>
        </w:rPr>
        <w:t>The Croatian Bank for Reconstruction and Development („</w:t>
      </w:r>
      <w:proofErr w:type="gramStart"/>
      <w:r w:rsidRPr="00587444">
        <w:rPr>
          <w:rFonts w:ascii="Arial" w:hAnsi="Arial" w:cs="Arial"/>
          <w:sz w:val="20"/>
          <w:szCs w:val="20"/>
        </w:rPr>
        <w:t>HBOR“ or</w:t>
      </w:r>
      <w:proofErr w:type="gramEnd"/>
      <w:r w:rsidRPr="00587444">
        <w:rPr>
          <w:rFonts w:ascii="Arial" w:hAnsi="Arial" w:cs="Arial"/>
          <w:sz w:val="20"/>
          <w:szCs w:val="20"/>
        </w:rPr>
        <w:t xml:space="preserve"> „the Bank“) is the parent company of the Croatian Bank for Reconstruction and Development Group („Group“) that operates in the Republic of Croatia. The Group primarily performs banking activities and, to the lesser extent, insurance activities and credit risk assessment activities. These Financial Statements include separate and consolidated financial statements of the Bank and the Group (“Financial Statements”).</w:t>
      </w:r>
      <w:bookmarkEnd w:id="402"/>
    </w:p>
    <w:p w14:paraId="7897AC0E" w14:textId="77777777" w:rsidR="00587444" w:rsidRPr="00587444" w:rsidRDefault="00587444" w:rsidP="00587932">
      <w:pPr>
        <w:autoSpaceDN/>
        <w:jc w:val="both"/>
        <w:rPr>
          <w:rFonts w:ascii="Arial" w:hAnsi="Arial" w:cs="Arial"/>
          <w:sz w:val="20"/>
          <w:szCs w:val="20"/>
        </w:rPr>
      </w:pPr>
    </w:p>
    <w:p w14:paraId="6DB089E6"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The headquarters of the Bank is located at </w:t>
      </w:r>
      <w:proofErr w:type="spellStart"/>
      <w:r w:rsidRPr="00587444">
        <w:rPr>
          <w:rFonts w:ascii="Arial" w:hAnsi="Arial" w:cs="Arial"/>
          <w:sz w:val="20"/>
          <w:szCs w:val="20"/>
        </w:rPr>
        <w:t>Strossmayerov</w:t>
      </w:r>
      <w:proofErr w:type="spellEnd"/>
      <w:r w:rsidRPr="00587444">
        <w:rPr>
          <w:rFonts w:ascii="Arial" w:hAnsi="Arial" w:cs="Arial"/>
          <w:sz w:val="20"/>
          <w:szCs w:val="20"/>
        </w:rPr>
        <w:t xml:space="preserve"> </w:t>
      </w:r>
      <w:proofErr w:type="spellStart"/>
      <w:r w:rsidRPr="00587444">
        <w:rPr>
          <w:rFonts w:ascii="Arial" w:hAnsi="Arial" w:cs="Arial"/>
          <w:sz w:val="20"/>
          <w:szCs w:val="20"/>
        </w:rPr>
        <w:t>trg</w:t>
      </w:r>
      <w:proofErr w:type="spellEnd"/>
      <w:r w:rsidRPr="00587444">
        <w:rPr>
          <w:rFonts w:ascii="Arial" w:hAnsi="Arial" w:cs="Arial"/>
          <w:sz w:val="20"/>
          <w:szCs w:val="20"/>
        </w:rPr>
        <w:t xml:space="preserve"> 9, Zagreb, Croatia.</w:t>
      </w:r>
    </w:p>
    <w:p w14:paraId="28A71D4A" w14:textId="77777777" w:rsidR="00587444" w:rsidRPr="00587444" w:rsidRDefault="00587444" w:rsidP="00587932">
      <w:pPr>
        <w:autoSpaceDN/>
        <w:jc w:val="both"/>
        <w:rPr>
          <w:rFonts w:ascii="Arial" w:hAnsi="Arial" w:cs="Arial"/>
          <w:sz w:val="20"/>
          <w:szCs w:val="20"/>
        </w:rPr>
      </w:pPr>
    </w:p>
    <w:p w14:paraId="2E1B668B"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The Group was formed in 2010, the Bank’s subsidiary companies are </w:t>
      </w:r>
      <w:proofErr w:type="spellStart"/>
      <w:r w:rsidRPr="00587444">
        <w:rPr>
          <w:rFonts w:ascii="Arial" w:hAnsi="Arial" w:cs="Arial"/>
          <w:sz w:val="20"/>
          <w:szCs w:val="20"/>
        </w:rPr>
        <w:t>Hrvatsko</w:t>
      </w:r>
      <w:proofErr w:type="spellEnd"/>
      <w:r w:rsidRPr="00587444">
        <w:rPr>
          <w:rFonts w:ascii="Arial" w:hAnsi="Arial" w:cs="Arial"/>
          <w:sz w:val="20"/>
          <w:szCs w:val="20"/>
        </w:rPr>
        <w:t xml:space="preserve"> </w:t>
      </w:r>
      <w:proofErr w:type="spellStart"/>
      <w:r w:rsidRPr="00587444">
        <w:rPr>
          <w:rFonts w:ascii="Arial" w:hAnsi="Arial" w:cs="Arial"/>
          <w:sz w:val="20"/>
          <w:szCs w:val="20"/>
        </w:rPr>
        <w:t>kreditno</w:t>
      </w:r>
      <w:proofErr w:type="spellEnd"/>
      <w:r w:rsidRPr="00587444">
        <w:rPr>
          <w:rFonts w:ascii="Arial" w:hAnsi="Arial" w:cs="Arial"/>
          <w:sz w:val="20"/>
          <w:szCs w:val="20"/>
        </w:rPr>
        <w:t xml:space="preserve"> </w:t>
      </w:r>
      <w:proofErr w:type="spellStart"/>
      <w:r w:rsidRPr="00587444">
        <w:rPr>
          <w:rFonts w:ascii="Arial" w:hAnsi="Arial" w:cs="Arial"/>
          <w:sz w:val="20"/>
          <w:szCs w:val="20"/>
        </w:rPr>
        <w:t>osiguranje</w:t>
      </w:r>
      <w:proofErr w:type="spellEnd"/>
      <w:r w:rsidRPr="00587444">
        <w:rPr>
          <w:rFonts w:ascii="Arial" w:hAnsi="Arial" w:cs="Arial"/>
          <w:sz w:val="20"/>
          <w:szCs w:val="20"/>
        </w:rPr>
        <w:t xml:space="preserve"> </w:t>
      </w:r>
      <w:proofErr w:type="spellStart"/>
      <w:r w:rsidRPr="00587444">
        <w:rPr>
          <w:rFonts w:ascii="Arial" w:hAnsi="Arial" w:cs="Arial"/>
          <w:sz w:val="20"/>
          <w:szCs w:val="20"/>
        </w:rPr>
        <w:t>d.d.</w:t>
      </w:r>
      <w:proofErr w:type="spellEnd"/>
      <w:r w:rsidRPr="00587444">
        <w:rPr>
          <w:rFonts w:ascii="Arial" w:hAnsi="Arial" w:cs="Arial"/>
          <w:sz w:val="20"/>
          <w:szCs w:val="20"/>
        </w:rPr>
        <w:t xml:space="preserve"> and </w:t>
      </w:r>
      <w:proofErr w:type="spellStart"/>
      <w:r w:rsidRPr="00587444">
        <w:rPr>
          <w:rFonts w:ascii="Arial" w:hAnsi="Arial" w:cs="Arial"/>
          <w:sz w:val="20"/>
          <w:szCs w:val="20"/>
        </w:rPr>
        <w:t>Poslovni</w:t>
      </w:r>
      <w:proofErr w:type="spellEnd"/>
      <w:r w:rsidRPr="00587444">
        <w:rPr>
          <w:rFonts w:ascii="Arial" w:hAnsi="Arial" w:cs="Arial"/>
          <w:sz w:val="20"/>
          <w:szCs w:val="20"/>
        </w:rPr>
        <w:t xml:space="preserve"> info </w:t>
      </w:r>
      <w:proofErr w:type="spellStart"/>
      <w:r w:rsidRPr="00587444">
        <w:rPr>
          <w:rFonts w:ascii="Arial" w:hAnsi="Arial" w:cs="Arial"/>
          <w:sz w:val="20"/>
          <w:szCs w:val="20"/>
        </w:rPr>
        <w:t>servis</w:t>
      </w:r>
      <w:proofErr w:type="spellEnd"/>
      <w:r w:rsidRPr="00587444">
        <w:rPr>
          <w:rFonts w:ascii="Arial" w:hAnsi="Arial" w:cs="Arial"/>
          <w:sz w:val="20"/>
          <w:szCs w:val="20"/>
        </w:rPr>
        <w:t xml:space="preserve"> d.o.o. that constitute the </w:t>
      </w:r>
      <w:proofErr w:type="spellStart"/>
      <w:r w:rsidRPr="00587444">
        <w:rPr>
          <w:rFonts w:ascii="Arial" w:hAnsi="Arial" w:cs="Arial"/>
          <w:sz w:val="20"/>
          <w:szCs w:val="20"/>
        </w:rPr>
        <w:t>Hrvatsko</w:t>
      </w:r>
      <w:proofErr w:type="spellEnd"/>
      <w:r w:rsidRPr="00587444">
        <w:rPr>
          <w:rFonts w:ascii="Arial" w:hAnsi="Arial" w:cs="Arial"/>
          <w:sz w:val="20"/>
          <w:szCs w:val="20"/>
        </w:rPr>
        <w:t xml:space="preserve"> </w:t>
      </w:r>
      <w:proofErr w:type="spellStart"/>
      <w:r w:rsidRPr="00587444">
        <w:rPr>
          <w:rFonts w:ascii="Arial" w:hAnsi="Arial" w:cs="Arial"/>
          <w:sz w:val="20"/>
          <w:szCs w:val="20"/>
        </w:rPr>
        <w:t>kreditno</w:t>
      </w:r>
      <w:proofErr w:type="spellEnd"/>
      <w:r w:rsidRPr="00587444">
        <w:rPr>
          <w:rFonts w:ascii="Arial" w:hAnsi="Arial" w:cs="Arial"/>
          <w:sz w:val="20"/>
          <w:szCs w:val="20"/>
        </w:rPr>
        <w:t xml:space="preserve"> </w:t>
      </w:r>
      <w:proofErr w:type="spellStart"/>
      <w:r w:rsidRPr="00587444">
        <w:rPr>
          <w:rFonts w:ascii="Arial" w:hAnsi="Arial" w:cs="Arial"/>
          <w:sz w:val="20"/>
          <w:szCs w:val="20"/>
        </w:rPr>
        <w:t>osiguranje</w:t>
      </w:r>
      <w:proofErr w:type="spellEnd"/>
      <w:r w:rsidRPr="00587444">
        <w:rPr>
          <w:rFonts w:ascii="Arial" w:hAnsi="Arial" w:cs="Arial"/>
          <w:sz w:val="20"/>
          <w:szCs w:val="20"/>
        </w:rPr>
        <w:t xml:space="preserve"> Group (“HKO Group”). </w:t>
      </w:r>
    </w:p>
    <w:p w14:paraId="6C39A0FC" w14:textId="77777777" w:rsidR="00587444" w:rsidRPr="00587444" w:rsidRDefault="00587444" w:rsidP="00587932">
      <w:pPr>
        <w:autoSpaceDN/>
        <w:jc w:val="both"/>
        <w:rPr>
          <w:rFonts w:ascii="Arial" w:hAnsi="Arial" w:cs="Arial"/>
          <w:sz w:val="20"/>
          <w:szCs w:val="20"/>
        </w:rPr>
      </w:pPr>
    </w:p>
    <w:p w14:paraId="79E1D01D" w14:textId="77777777" w:rsidR="00587444" w:rsidRPr="00587444" w:rsidRDefault="00587444" w:rsidP="00587932">
      <w:pPr>
        <w:autoSpaceDN/>
        <w:jc w:val="both"/>
        <w:rPr>
          <w:rFonts w:ascii="Arial" w:hAnsi="Arial" w:cs="Arial"/>
          <w:sz w:val="20"/>
          <w:szCs w:val="20"/>
        </w:rPr>
      </w:pPr>
      <w:bookmarkStart w:id="403" w:name="_Hlk522991149"/>
      <w:r w:rsidRPr="00587444">
        <w:rPr>
          <w:rFonts w:ascii="Arial" w:hAnsi="Arial" w:cs="Arial"/>
          <w:sz w:val="20"/>
          <w:szCs w:val="20"/>
        </w:rPr>
        <w:t xml:space="preserve">The Croatian Bank for Reconstruction and Development is the 100% owner of HKO, </w:t>
      </w:r>
      <w:bookmarkEnd w:id="403"/>
      <w:r w:rsidRPr="00587444">
        <w:rPr>
          <w:rFonts w:ascii="Arial" w:hAnsi="Arial" w:cs="Arial"/>
          <w:sz w:val="20"/>
          <w:szCs w:val="20"/>
        </w:rPr>
        <w:t xml:space="preserve">which is 100% owner of </w:t>
      </w:r>
      <w:proofErr w:type="spellStart"/>
      <w:r w:rsidRPr="00587444">
        <w:rPr>
          <w:rFonts w:ascii="Arial" w:hAnsi="Arial" w:cs="Arial"/>
          <w:sz w:val="20"/>
          <w:szCs w:val="20"/>
        </w:rPr>
        <w:t>Poslovni</w:t>
      </w:r>
      <w:proofErr w:type="spellEnd"/>
      <w:r w:rsidRPr="00587444">
        <w:rPr>
          <w:rFonts w:ascii="Arial" w:hAnsi="Arial" w:cs="Arial"/>
          <w:sz w:val="20"/>
          <w:szCs w:val="20"/>
        </w:rPr>
        <w:t xml:space="preserve"> info </w:t>
      </w:r>
      <w:proofErr w:type="spellStart"/>
      <w:r w:rsidRPr="00587444">
        <w:rPr>
          <w:rFonts w:ascii="Arial" w:hAnsi="Arial" w:cs="Arial"/>
          <w:sz w:val="20"/>
          <w:szCs w:val="20"/>
        </w:rPr>
        <w:t>servis</w:t>
      </w:r>
      <w:proofErr w:type="spellEnd"/>
      <w:r w:rsidRPr="00587444">
        <w:rPr>
          <w:rFonts w:ascii="Arial" w:hAnsi="Arial" w:cs="Arial"/>
          <w:sz w:val="20"/>
          <w:szCs w:val="20"/>
        </w:rPr>
        <w:t xml:space="preserve"> d.o.o.</w:t>
      </w:r>
    </w:p>
    <w:p w14:paraId="66F9F061" w14:textId="77777777" w:rsidR="00587444" w:rsidRPr="00587444" w:rsidRDefault="00587444" w:rsidP="00587932">
      <w:pPr>
        <w:autoSpaceDN/>
        <w:jc w:val="both"/>
        <w:rPr>
          <w:rFonts w:ascii="Arial" w:hAnsi="Arial" w:cs="Arial"/>
          <w:sz w:val="20"/>
          <w:szCs w:val="20"/>
        </w:rPr>
      </w:pPr>
    </w:p>
    <w:p w14:paraId="1D879F38"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The legal address of the HKO Group is Zagreb, </w:t>
      </w:r>
      <w:proofErr w:type="spellStart"/>
      <w:r w:rsidRPr="00587444">
        <w:rPr>
          <w:rFonts w:ascii="Arial" w:hAnsi="Arial" w:cs="Arial"/>
          <w:sz w:val="20"/>
          <w:szCs w:val="20"/>
        </w:rPr>
        <w:t>Bednjanska</w:t>
      </w:r>
      <w:proofErr w:type="spellEnd"/>
      <w:r w:rsidRPr="00587444">
        <w:rPr>
          <w:rFonts w:ascii="Arial" w:hAnsi="Arial" w:cs="Arial"/>
          <w:sz w:val="20"/>
          <w:szCs w:val="20"/>
        </w:rPr>
        <w:t xml:space="preserve"> 12.</w:t>
      </w:r>
    </w:p>
    <w:p w14:paraId="76F3E2FC" w14:textId="77777777" w:rsidR="00587444" w:rsidRPr="00587444" w:rsidRDefault="00587444" w:rsidP="00587932">
      <w:pPr>
        <w:autoSpaceDN/>
        <w:jc w:val="both"/>
        <w:rPr>
          <w:rFonts w:ascii="Arial" w:hAnsi="Arial" w:cs="Arial"/>
          <w:sz w:val="20"/>
          <w:szCs w:val="20"/>
        </w:rPr>
      </w:pPr>
    </w:p>
    <w:p w14:paraId="0557CDDE"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As of 31 December 2022, the Group had 402 employees (31 December 2021: 394 employees).</w:t>
      </w:r>
    </w:p>
    <w:p w14:paraId="14817BEB" w14:textId="77777777" w:rsidR="00587444" w:rsidRPr="00587444" w:rsidRDefault="00587444" w:rsidP="00587932">
      <w:pPr>
        <w:autoSpaceDN/>
        <w:rPr>
          <w:rFonts w:ascii="Arial" w:hAnsi="Arial" w:cs="Arial"/>
          <w:sz w:val="20"/>
          <w:szCs w:val="20"/>
        </w:rPr>
      </w:pPr>
    </w:p>
    <w:p w14:paraId="467B97AD" w14:textId="77777777" w:rsidR="00587444" w:rsidRPr="00587444" w:rsidRDefault="00587444" w:rsidP="00587932">
      <w:pPr>
        <w:autoSpaceDN/>
        <w:jc w:val="both"/>
        <w:rPr>
          <w:rFonts w:ascii="Arial" w:hAnsi="Arial" w:cs="Arial"/>
          <w:b/>
          <w:sz w:val="20"/>
          <w:szCs w:val="20"/>
          <w:lang w:eastAsia="hr-HR"/>
        </w:rPr>
      </w:pPr>
      <w:r w:rsidRPr="00587444">
        <w:rPr>
          <w:rFonts w:ascii="Arial" w:hAnsi="Arial" w:cs="Arial"/>
          <w:b/>
          <w:sz w:val="20"/>
          <w:szCs w:val="20"/>
          <w:lang w:eastAsia="hr-HR"/>
        </w:rPr>
        <w:t>1.2. Bank:</w:t>
      </w:r>
    </w:p>
    <w:p w14:paraId="0E768F42" w14:textId="77777777" w:rsidR="00587444" w:rsidRPr="00587444" w:rsidRDefault="00587444" w:rsidP="00587932">
      <w:pPr>
        <w:autoSpaceDN/>
        <w:jc w:val="both"/>
        <w:rPr>
          <w:rFonts w:ascii="Arial" w:hAnsi="Arial" w:cs="Arial"/>
          <w:b/>
          <w:sz w:val="20"/>
          <w:szCs w:val="20"/>
          <w:lang w:eastAsia="hr-HR"/>
        </w:rPr>
      </w:pPr>
    </w:p>
    <w:p w14:paraId="75628E6C"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The Croatian Bank for Reconstruction and Development (“HBOR” or “the Bank”) was established on 12 June 1992 under the Act on the Croatian Credit Bank for Reconstruction (“HKBO”). In December 1995, the Bank changed its name to Croatian Bank for Reconstruction and Development. The founder and 100% owner of HBOR is the Republic of Croatia. </w:t>
      </w:r>
    </w:p>
    <w:p w14:paraId="60FEAEF5" w14:textId="77777777" w:rsidR="00587444" w:rsidRPr="00587444" w:rsidRDefault="00587444" w:rsidP="00587932">
      <w:pPr>
        <w:autoSpaceDN/>
        <w:rPr>
          <w:rFonts w:ascii="Arial" w:hAnsi="Arial" w:cs="Arial"/>
          <w:sz w:val="20"/>
          <w:szCs w:val="20"/>
        </w:rPr>
      </w:pPr>
    </w:p>
    <w:p w14:paraId="258AD23C"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The Republic of Croatia guarantees HBOR’s liabilities unconditionally, irrevocably and on first call, without issuing any </w:t>
      </w:r>
      <w:proofErr w:type="gramStart"/>
      <w:r w:rsidRPr="00587444">
        <w:rPr>
          <w:rFonts w:ascii="Arial" w:hAnsi="Arial" w:cs="Arial"/>
          <w:sz w:val="20"/>
          <w:szCs w:val="20"/>
        </w:rPr>
        <w:t>particular guarantee</w:t>
      </w:r>
      <w:proofErr w:type="gramEnd"/>
      <w:r w:rsidRPr="00587444">
        <w:rPr>
          <w:rFonts w:ascii="Arial" w:hAnsi="Arial" w:cs="Arial"/>
          <w:sz w:val="20"/>
          <w:szCs w:val="20"/>
        </w:rPr>
        <w:t>. The responsibility of the Republic of Croatia as guarantor for HBOR´s liabilities is joint and unlimited.</w:t>
      </w:r>
    </w:p>
    <w:p w14:paraId="59B00A7B" w14:textId="77777777" w:rsidR="00587444" w:rsidRPr="00587444" w:rsidRDefault="00587444" w:rsidP="00587932">
      <w:pPr>
        <w:autoSpaceDN/>
        <w:jc w:val="both"/>
        <w:rPr>
          <w:rFonts w:ascii="Arial" w:hAnsi="Arial" w:cs="Arial"/>
          <w:sz w:val="20"/>
          <w:szCs w:val="20"/>
        </w:rPr>
      </w:pPr>
    </w:p>
    <w:p w14:paraId="518F03D9"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With the Act on the Croatian Bank for Reconstruction and Development passed in December 2006, HBOR’s founding capital was HRK 7 billion, the payment schedule of which is determined by the State budget.</w:t>
      </w:r>
    </w:p>
    <w:p w14:paraId="76937CA3" w14:textId="77777777" w:rsidR="00587444" w:rsidRPr="00587444" w:rsidRDefault="00587444" w:rsidP="00587444">
      <w:pPr>
        <w:suppressAutoHyphens w:val="0"/>
        <w:autoSpaceDN/>
        <w:jc w:val="both"/>
        <w:rPr>
          <w:rFonts w:ascii="Arial" w:hAnsi="Arial" w:cs="Arial"/>
          <w:b/>
          <w:bCs/>
          <w:sz w:val="20"/>
          <w:szCs w:val="20"/>
          <w:lang w:val="en-GB" w:eastAsia="hr-HR"/>
        </w:rPr>
        <w:sectPr w:rsidR="00587444" w:rsidRPr="00587444" w:rsidSect="00DD69E7">
          <w:headerReference w:type="default" r:id="rId76"/>
          <w:pgSz w:w="11907" w:h="16840" w:code="9"/>
          <w:pgMar w:top="1418" w:right="992" w:bottom="1134" w:left="1418" w:header="851" w:footer="851" w:gutter="0"/>
          <w:cols w:space="720"/>
          <w:noEndnote/>
        </w:sectPr>
      </w:pPr>
    </w:p>
    <w:p w14:paraId="13216D2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046464D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w:t>
      </w:r>
      <w:r w:rsidRPr="00587444">
        <w:rPr>
          <w:rFonts w:ascii="Arial" w:hAnsi="Arial" w:cs="Arial"/>
          <w:b/>
          <w:bCs/>
          <w:sz w:val="20"/>
          <w:szCs w:val="20"/>
          <w:lang w:val="en-GB"/>
        </w:rPr>
        <w:tab/>
        <w:t>General information (continued)</w:t>
      </w:r>
    </w:p>
    <w:p w14:paraId="1A7CEAB1" w14:textId="77777777" w:rsidR="00587444" w:rsidRPr="00587444" w:rsidRDefault="00587444" w:rsidP="00587444">
      <w:pPr>
        <w:keepNext/>
        <w:suppressAutoHyphens w:val="0"/>
        <w:autoSpaceDN/>
        <w:jc w:val="both"/>
        <w:rPr>
          <w:rFonts w:ascii="Arial" w:hAnsi="Arial" w:cs="Arial"/>
          <w:sz w:val="20"/>
          <w:szCs w:val="20"/>
        </w:rPr>
      </w:pPr>
    </w:p>
    <w:p w14:paraId="45443B54" w14:textId="77777777" w:rsidR="00587444" w:rsidRPr="00587444" w:rsidRDefault="00587444" w:rsidP="00587444">
      <w:pPr>
        <w:tabs>
          <w:tab w:val="left" w:pos="567"/>
        </w:tabs>
        <w:suppressAutoHyphens w:val="0"/>
        <w:autoSpaceDN/>
        <w:jc w:val="both"/>
        <w:rPr>
          <w:rFonts w:ascii="Arial" w:hAnsi="Arial" w:cs="Arial"/>
          <w:b/>
          <w:sz w:val="20"/>
          <w:szCs w:val="20"/>
          <w:lang w:eastAsia="hr-HR"/>
        </w:rPr>
      </w:pPr>
      <w:r w:rsidRPr="00587444">
        <w:rPr>
          <w:rFonts w:ascii="Arial" w:hAnsi="Arial" w:cs="Arial"/>
          <w:b/>
          <w:sz w:val="20"/>
          <w:szCs w:val="20"/>
          <w:lang w:eastAsia="hr-HR"/>
        </w:rPr>
        <w:t xml:space="preserve">1.2. </w:t>
      </w:r>
      <w:r w:rsidRPr="00587444">
        <w:rPr>
          <w:rFonts w:ascii="Arial" w:hAnsi="Arial" w:cs="Arial"/>
          <w:b/>
          <w:sz w:val="20"/>
          <w:szCs w:val="20"/>
          <w:lang w:eastAsia="hr-HR"/>
        </w:rPr>
        <w:tab/>
        <w:t>Bank (continued):</w:t>
      </w:r>
    </w:p>
    <w:p w14:paraId="65A4D3BD" w14:textId="77777777" w:rsidR="00587444" w:rsidRPr="00587444" w:rsidRDefault="00587444" w:rsidP="00587444">
      <w:pPr>
        <w:keepNext/>
        <w:suppressAutoHyphens w:val="0"/>
        <w:autoSpaceDN/>
        <w:jc w:val="both"/>
        <w:rPr>
          <w:rFonts w:ascii="Arial" w:hAnsi="Arial" w:cs="Arial"/>
          <w:sz w:val="20"/>
          <w:szCs w:val="20"/>
        </w:rPr>
      </w:pPr>
    </w:p>
    <w:p w14:paraId="7F5BEBC6" w14:textId="77777777" w:rsidR="00587444" w:rsidRPr="00587444" w:rsidRDefault="00587444" w:rsidP="00587932">
      <w:pPr>
        <w:widowControl w:val="0"/>
        <w:autoSpaceDN/>
        <w:jc w:val="both"/>
        <w:rPr>
          <w:rFonts w:ascii="Arial" w:hAnsi="Arial" w:cs="Arial"/>
          <w:i/>
          <w:sz w:val="20"/>
          <w:szCs w:val="20"/>
        </w:rPr>
      </w:pPr>
      <w:r w:rsidRPr="00587444">
        <w:rPr>
          <w:rFonts w:ascii="Arial" w:hAnsi="Arial" w:cs="Arial"/>
          <w:i/>
          <w:sz w:val="20"/>
          <w:szCs w:val="20"/>
        </w:rPr>
        <w:t>Supervisory Board</w:t>
      </w:r>
    </w:p>
    <w:p w14:paraId="0470FD46" w14:textId="77777777" w:rsidR="00587444" w:rsidRPr="00587444" w:rsidRDefault="00587444" w:rsidP="00587932">
      <w:pPr>
        <w:widowControl w:val="0"/>
        <w:autoSpaceDN/>
        <w:jc w:val="both"/>
        <w:rPr>
          <w:rFonts w:ascii="Arial" w:hAnsi="Arial" w:cs="Arial"/>
          <w:sz w:val="20"/>
          <w:szCs w:val="20"/>
        </w:rPr>
      </w:pPr>
      <w:r w:rsidRPr="00587444">
        <w:rPr>
          <w:rFonts w:ascii="Arial" w:hAnsi="Arial" w:cs="Arial"/>
          <w:sz w:val="20"/>
          <w:szCs w:val="20"/>
        </w:rPr>
        <w:t>As of 31 December 2022, members of the Supervisory Board were as follows:</w:t>
      </w:r>
    </w:p>
    <w:p w14:paraId="7DB12118" w14:textId="77777777" w:rsidR="00587444" w:rsidRPr="00587444" w:rsidRDefault="00587444" w:rsidP="00587932">
      <w:pPr>
        <w:widowControl w:val="0"/>
        <w:autoSpaceDN/>
        <w:jc w:val="both"/>
        <w:rPr>
          <w:rFonts w:ascii="Arial" w:hAnsi="Arial" w:cs="Arial"/>
          <w:sz w:val="20"/>
          <w:szCs w:val="20"/>
        </w:rPr>
      </w:pPr>
    </w:p>
    <w:p w14:paraId="0F4F9E8B"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 xml:space="preserve">Marko Primorac, PhD, associate professor, </w:t>
      </w:r>
      <w:r w:rsidRPr="00587444">
        <w:rPr>
          <w:rFonts w:ascii="Arial" w:eastAsia="Calibri" w:hAnsi="Arial" w:cs="Arial"/>
          <w:sz w:val="20"/>
          <w:szCs w:val="20"/>
          <w:lang w:eastAsia="hr-HR"/>
        </w:rPr>
        <w:t>Minister of Finance - ex officio President of the Supervisory Board,</w:t>
      </w:r>
    </w:p>
    <w:p w14:paraId="7C81E1AE"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color w:val="000000"/>
          <w:sz w:val="20"/>
          <w:szCs w:val="20"/>
        </w:rPr>
      </w:pPr>
      <w:r w:rsidRPr="00587444">
        <w:rPr>
          <w:rFonts w:ascii="Arial" w:eastAsia="Calibri" w:hAnsi="Arial" w:cs="Arial"/>
          <w:color w:val="000000"/>
          <w:sz w:val="20"/>
          <w:szCs w:val="20"/>
        </w:rPr>
        <w:t xml:space="preserve">Davor </w:t>
      </w:r>
      <w:proofErr w:type="spellStart"/>
      <w:r w:rsidRPr="00587444">
        <w:rPr>
          <w:rFonts w:ascii="Arial" w:eastAsia="Calibri" w:hAnsi="Arial" w:cs="Arial"/>
          <w:color w:val="000000"/>
          <w:sz w:val="20"/>
          <w:szCs w:val="20"/>
        </w:rPr>
        <w:t>Filipović</w:t>
      </w:r>
      <w:proofErr w:type="spellEnd"/>
      <w:r w:rsidRPr="00587444">
        <w:rPr>
          <w:rFonts w:ascii="Arial" w:eastAsia="Calibri" w:hAnsi="Arial" w:cs="Arial"/>
          <w:color w:val="000000"/>
          <w:sz w:val="20"/>
          <w:szCs w:val="20"/>
        </w:rPr>
        <w:t>, PhD, associate professor, Minister of the Economy and Sustainable Development – ex officio Deputy President of the Supervisory Board,</w:t>
      </w:r>
    </w:p>
    <w:p w14:paraId="1DBBD057"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color w:val="000000"/>
          <w:sz w:val="20"/>
          <w:szCs w:val="20"/>
        </w:rPr>
      </w:pPr>
      <w:r w:rsidRPr="00587444">
        <w:rPr>
          <w:rFonts w:ascii="Arial" w:eastAsia="Calibri" w:hAnsi="Arial" w:cs="Arial"/>
          <w:color w:val="000000"/>
          <w:sz w:val="20"/>
          <w:szCs w:val="20"/>
        </w:rPr>
        <w:t xml:space="preserve">Nikolina </w:t>
      </w:r>
      <w:proofErr w:type="spellStart"/>
      <w:r w:rsidRPr="00587444">
        <w:rPr>
          <w:rFonts w:ascii="Arial" w:eastAsia="Calibri" w:hAnsi="Arial" w:cs="Arial"/>
          <w:color w:val="000000"/>
          <w:sz w:val="20"/>
          <w:szCs w:val="20"/>
        </w:rPr>
        <w:t>Brnjac</w:t>
      </w:r>
      <w:proofErr w:type="spellEnd"/>
      <w:r w:rsidRPr="00587444">
        <w:rPr>
          <w:rFonts w:ascii="Arial" w:eastAsia="Calibri" w:hAnsi="Arial" w:cs="Arial"/>
          <w:color w:val="000000"/>
          <w:sz w:val="20"/>
          <w:szCs w:val="20"/>
        </w:rPr>
        <w:t>, PhD, Minister of Tourism and Sports,</w:t>
      </w:r>
    </w:p>
    <w:p w14:paraId="49346475" w14:textId="77777777" w:rsidR="00587444" w:rsidRPr="00587444" w:rsidRDefault="00587444" w:rsidP="00587932">
      <w:pPr>
        <w:numPr>
          <w:ilvl w:val="0"/>
          <w:numId w:val="39"/>
        </w:numPr>
        <w:autoSpaceDN/>
        <w:spacing w:after="160" w:line="240" w:lineRule="exact"/>
        <w:ind w:left="851" w:hanging="142"/>
        <w:contextualSpacing/>
        <w:jc w:val="both"/>
        <w:rPr>
          <w:rFonts w:ascii="Arial" w:eastAsia="Calibri" w:hAnsi="Arial" w:cs="Arial"/>
          <w:color w:val="000000"/>
          <w:sz w:val="20"/>
          <w:szCs w:val="20"/>
        </w:rPr>
      </w:pPr>
      <w:r w:rsidRPr="00587444">
        <w:rPr>
          <w:rFonts w:ascii="Arial" w:eastAsia="Calibri" w:hAnsi="Arial" w:cs="Arial"/>
          <w:color w:val="000000"/>
          <w:sz w:val="20"/>
          <w:szCs w:val="20"/>
        </w:rPr>
        <w:t xml:space="preserve">Nataša </w:t>
      </w:r>
      <w:proofErr w:type="spellStart"/>
      <w:r w:rsidRPr="00587444">
        <w:rPr>
          <w:rFonts w:ascii="Arial" w:eastAsia="Calibri" w:hAnsi="Arial" w:cs="Arial"/>
          <w:color w:val="000000"/>
          <w:sz w:val="20"/>
          <w:szCs w:val="20"/>
        </w:rPr>
        <w:t>Tramišak</w:t>
      </w:r>
      <w:proofErr w:type="spellEnd"/>
      <w:r w:rsidRPr="00587444">
        <w:rPr>
          <w:rFonts w:ascii="Arial" w:eastAsia="Calibri" w:hAnsi="Arial" w:cs="Arial"/>
          <w:color w:val="000000"/>
          <w:sz w:val="20"/>
          <w:szCs w:val="20"/>
        </w:rPr>
        <w:t>, Minister of Regional Development and EU Funds,</w:t>
      </w:r>
    </w:p>
    <w:p w14:paraId="79FEC7F3"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 xml:space="preserve">Marija </w:t>
      </w:r>
      <w:proofErr w:type="spellStart"/>
      <w:r w:rsidRPr="00587444">
        <w:rPr>
          <w:rFonts w:ascii="Arial" w:eastAsia="Calibri" w:hAnsi="Arial" w:cs="Arial"/>
          <w:sz w:val="20"/>
          <w:szCs w:val="20"/>
        </w:rPr>
        <w:t>Vučković</w:t>
      </w:r>
      <w:proofErr w:type="spellEnd"/>
      <w:r w:rsidRPr="00587444">
        <w:rPr>
          <w:rFonts w:ascii="Arial" w:eastAsia="Calibri" w:hAnsi="Arial" w:cs="Arial"/>
          <w:sz w:val="20"/>
          <w:szCs w:val="20"/>
        </w:rPr>
        <w:t>, MSc, Minister of Agriculture,</w:t>
      </w:r>
    </w:p>
    <w:p w14:paraId="3E49A140"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 xml:space="preserve">Ivan </w:t>
      </w:r>
      <w:proofErr w:type="spellStart"/>
      <w:r w:rsidRPr="00587444">
        <w:rPr>
          <w:rFonts w:ascii="Arial" w:eastAsia="Calibri" w:hAnsi="Arial" w:cs="Arial"/>
          <w:sz w:val="20"/>
          <w:szCs w:val="20"/>
        </w:rPr>
        <w:t>Paladina</w:t>
      </w:r>
      <w:proofErr w:type="spellEnd"/>
      <w:r w:rsidRPr="00587444">
        <w:rPr>
          <w:rFonts w:ascii="Arial" w:eastAsia="Calibri" w:hAnsi="Arial" w:cs="Arial"/>
          <w:sz w:val="20"/>
          <w:szCs w:val="20"/>
        </w:rPr>
        <w:t>, Minister of Physical Planning, Construction and State Assets,</w:t>
      </w:r>
    </w:p>
    <w:p w14:paraId="29BBE45A" w14:textId="77777777" w:rsidR="00587444" w:rsidRPr="00587444" w:rsidRDefault="00587444" w:rsidP="00587932">
      <w:pPr>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 xml:space="preserve">Luka </w:t>
      </w:r>
      <w:proofErr w:type="spellStart"/>
      <w:r w:rsidRPr="00587444">
        <w:rPr>
          <w:rFonts w:ascii="Arial" w:eastAsia="Calibri" w:hAnsi="Arial" w:cs="Arial"/>
          <w:sz w:val="20"/>
          <w:szCs w:val="20"/>
        </w:rPr>
        <w:t>Burilović</w:t>
      </w:r>
      <w:proofErr w:type="spellEnd"/>
      <w:r w:rsidRPr="00587444">
        <w:rPr>
          <w:rFonts w:ascii="Arial" w:eastAsia="Calibri" w:hAnsi="Arial" w:cs="Arial"/>
          <w:sz w:val="20"/>
          <w:szCs w:val="20"/>
        </w:rPr>
        <w:t>, PhD, Chairman of the Croatian Chamber of Economy – ex officio Member of the Supervisory Board,</w:t>
      </w:r>
    </w:p>
    <w:p w14:paraId="28340AD7" w14:textId="77777777" w:rsidR="00587444" w:rsidRPr="00587444" w:rsidRDefault="00587444" w:rsidP="00587932">
      <w:pPr>
        <w:numPr>
          <w:ilvl w:val="0"/>
          <w:numId w:val="39"/>
        </w:numPr>
        <w:autoSpaceDN/>
        <w:spacing w:after="160" w:line="240" w:lineRule="exact"/>
        <w:ind w:left="851" w:hanging="142"/>
        <w:contextualSpacing/>
        <w:jc w:val="both"/>
        <w:rPr>
          <w:rFonts w:ascii="Arial" w:eastAsia="Calibri" w:hAnsi="Arial" w:cs="Arial"/>
          <w:color w:val="000000"/>
          <w:sz w:val="20"/>
          <w:szCs w:val="20"/>
        </w:rPr>
      </w:pPr>
      <w:proofErr w:type="spellStart"/>
      <w:r w:rsidRPr="00587444">
        <w:rPr>
          <w:rFonts w:ascii="Arial" w:eastAsia="Calibri" w:hAnsi="Arial" w:cs="Arial"/>
          <w:color w:val="000000"/>
          <w:sz w:val="20"/>
          <w:szCs w:val="20"/>
        </w:rPr>
        <w:t>Žarko</w:t>
      </w:r>
      <w:proofErr w:type="spellEnd"/>
      <w:r w:rsidRPr="00587444">
        <w:rPr>
          <w:rFonts w:ascii="Arial" w:eastAsia="Calibri" w:hAnsi="Arial" w:cs="Arial"/>
          <w:color w:val="000000"/>
          <w:sz w:val="20"/>
          <w:szCs w:val="20"/>
        </w:rPr>
        <w:t xml:space="preserve"> </w:t>
      </w:r>
      <w:proofErr w:type="spellStart"/>
      <w:r w:rsidRPr="00587444">
        <w:rPr>
          <w:rFonts w:ascii="Arial" w:eastAsia="Calibri" w:hAnsi="Arial" w:cs="Arial"/>
          <w:color w:val="000000"/>
          <w:sz w:val="20"/>
          <w:szCs w:val="20"/>
        </w:rPr>
        <w:t>Tušek</w:t>
      </w:r>
      <w:proofErr w:type="spellEnd"/>
      <w:r w:rsidRPr="00587444">
        <w:rPr>
          <w:rFonts w:ascii="Arial" w:eastAsia="Calibri" w:hAnsi="Arial" w:cs="Arial"/>
          <w:color w:val="000000"/>
          <w:sz w:val="20"/>
          <w:szCs w:val="20"/>
        </w:rPr>
        <w:t>, member of Parliament,</w:t>
      </w:r>
    </w:p>
    <w:p w14:paraId="6F90B225" w14:textId="77777777" w:rsidR="00587444" w:rsidRPr="00587444" w:rsidRDefault="00587444" w:rsidP="00587932">
      <w:pPr>
        <w:numPr>
          <w:ilvl w:val="0"/>
          <w:numId w:val="39"/>
        </w:numPr>
        <w:autoSpaceDN/>
        <w:spacing w:after="160" w:line="240" w:lineRule="exact"/>
        <w:ind w:left="851" w:hanging="142"/>
        <w:contextualSpacing/>
        <w:jc w:val="both"/>
        <w:rPr>
          <w:rFonts w:ascii="Arial" w:eastAsia="Calibri" w:hAnsi="Arial" w:cs="Arial"/>
          <w:color w:val="000000"/>
          <w:sz w:val="20"/>
          <w:szCs w:val="20"/>
        </w:rPr>
      </w:pPr>
      <w:r w:rsidRPr="00587444">
        <w:rPr>
          <w:rFonts w:ascii="Arial" w:eastAsia="Calibri" w:hAnsi="Arial" w:cs="Arial"/>
          <w:color w:val="000000"/>
          <w:sz w:val="20"/>
          <w:szCs w:val="20"/>
        </w:rPr>
        <w:t xml:space="preserve">Predrag </w:t>
      </w:r>
      <w:proofErr w:type="spellStart"/>
      <w:r w:rsidRPr="00587444">
        <w:rPr>
          <w:rFonts w:ascii="Arial" w:eastAsia="Calibri" w:hAnsi="Arial" w:cs="Arial"/>
          <w:color w:val="000000"/>
          <w:sz w:val="20"/>
          <w:szCs w:val="20"/>
        </w:rPr>
        <w:t>Štromar</w:t>
      </w:r>
      <w:proofErr w:type="spellEnd"/>
      <w:r w:rsidRPr="00587444">
        <w:rPr>
          <w:rFonts w:ascii="Arial" w:eastAsia="Calibri" w:hAnsi="Arial" w:cs="Arial"/>
          <w:color w:val="000000"/>
          <w:sz w:val="20"/>
          <w:szCs w:val="20"/>
        </w:rPr>
        <w:t>, member of Parliament,</w:t>
      </w:r>
    </w:p>
    <w:p w14:paraId="1D0F1FB1" w14:textId="77777777" w:rsidR="00587444" w:rsidRPr="00587444" w:rsidRDefault="00587444" w:rsidP="00587932">
      <w:pPr>
        <w:numPr>
          <w:ilvl w:val="0"/>
          <w:numId w:val="39"/>
        </w:numPr>
        <w:autoSpaceDN/>
        <w:spacing w:after="160" w:line="240" w:lineRule="exact"/>
        <w:ind w:left="851" w:hanging="142"/>
        <w:contextualSpacing/>
        <w:jc w:val="both"/>
        <w:rPr>
          <w:rFonts w:ascii="Arial" w:eastAsia="Calibri" w:hAnsi="Arial" w:cs="Arial"/>
          <w:color w:val="000000"/>
          <w:sz w:val="20"/>
          <w:szCs w:val="20"/>
        </w:rPr>
      </w:pPr>
      <w:proofErr w:type="spellStart"/>
      <w:r w:rsidRPr="00587444">
        <w:rPr>
          <w:rFonts w:ascii="Arial" w:eastAsia="Calibri" w:hAnsi="Arial" w:cs="Arial"/>
          <w:color w:val="000000"/>
          <w:sz w:val="20"/>
          <w:szCs w:val="20"/>
        </w:rPr>
        <w:t>Siniša</w:t>
      </w:r>
      <w:proofErr w:type="spellEnd"/>
      <w:r w:rsidRPr="00587444">
        <w:rPr>
          <w:rFonts w:ascii="Arial" w:eastAsia="Calibri" w:hAnsi="Arial" w:cs="Arial"/>
          <w:color w:val="000000"/>
          <w:sz w:val="20"/>
          <w:szCs w:val="20"/>
        </w:rPr>
        <w:t xml:space="preserve"> </w:t>
      </w:r>
      <w:proofErr w:type="spellStart"/>
      <w:r w:rsidRPr="00587444">
        <w:rPr>
          <w:rFonts w:ascii="Arial" w:eastAsia="Calibri" w:hAnsi="Arial" w:cs="Arial"/>
          <w:color w:val="000000"/>
          <w:sz w:val="20"/>
          <w:szCs w:val="20"/>
        </w:rPr>
        <w:t>Hajdaš</w:t>
      </w:r>
      <w:proofErr w:type="spellEnd"/>
      <w:r w:rsidRPr="00587444">
        <w:rPr>
          <w:rFonts w:ascii="Arial" w:eastAsia="Calibri" w:hAnsi="Arial" w:cs="Arial"/>
          <w:color w:val="000000"/>
          <w:sz w:val="20"/>
          <w:szCs w:val="20"/>
        </w:rPr>
        <w:t xml:space="preserve"> </w:t>
      </w:r>
      <w:proofErr w:type="spellStart"/>
      <w:r w:rsidRPr="00587444">
        <w:rPr>
          <w:rFonts w:ascii="Arial" w:eastAsia="Calibri" w:hAnsi="Arial" w:cs="Arial"/>
          <w:color w:val="000000"/>
          <w:sz w:val="20"/>
          <w:szCs w:val="20"/>
        </w:rPr>
        <w:t>Dončić</w:t>
      </w:r>
      <w:proofErr w:type="spellEnd"/>
      <w:r w:rsidRPr="00587444">
        <w:rPr>
          <w:rFonts w:ascii="Arial" w:eastAsia="Calibri" w:hAnsi="Arial" w:cs="Arial"/>
          <w:color w:val="000000"/>
          <w:sz w:val="20"/>
          <w:szCs w:val="20"/>
        </w:rPr>
        <w:t>, PhD, member of Parliament.</w:t>
      </w:r>
    </w:p>
    <w:p w14:paraId="683F92A7" w14:textId="77777777" w:rsidR="00587444" w:rsidRPr="00587444" w:rsidRDefault="00587444" w:rsidP="00587932">
      <w:pPr>
        <w:autoSpaceDN/>
        <w:contextualSpacing/>
        <w:rPr>
          <w:rFonts w:ascii="Arial" w:eastAsia="Calibri" w:hAnsi="Arial" w:cs="Arial"/>
          <w:sz w:val="20"/>
          <w:szCs w:val="20"/>
        </w:rPr>
      </w:pPr>
    </w:p>
    <w:p w14:paraId="69EA0A33" w14:textId="77777777" w:rsidR="00587444" w:rsidRPr="00587444" w:rsidRDefault="00587444" w:rsidP="00587932">
      <w:pPr>
        <w:autoSpaceDN/>
        <w:contextualSpacing/>
        <w:jc w:val="both"/>
        <w:rPr>
          <w:rFonts w:ascii="Arial" w:eastAsia="Calibri" w:hAnsi="Arial" w:cs="Arial"/>
          <w:sz w:val="20"/>
          <w:szCs w:val="20"/>
        </w:rPr>
      </w:pPr>
      <w:bookmarkStart w:id="404" w:name="_Hlk128568807"/>
      <w:r w:rsidRPr="00587444">
        <w:rPr>
          <w:rFonts w:ascii="Arial" w:eastAsia="Calibri" w:hAnsi="Arial" w:cs="Arial"/>
          <w:sz w:val="20"/>
          <w:szCs w:val="20"/>
        </w:rPr>
        <w:t xml:space="preserve">After the reporting period, the Government of the Republic of Croatia adopted, at the meeting held on 20 January 2023, a Decision on Dismissal and Appointment of Several Members of the Supervisory Board of the Croatian Bank for Reconstruction and Development, by which the following members of the Supervisory Board were dismissed from their positions: Nataša </w:t>
      </w:r>
      <w:proofErr w:type="spellStart"/>
      <w:r w:rsidRPr="00587444">
        <w:rPr>
          <w:rFonts w:ascii="Arial" w:eastAsia="Calibri" w:hAnsi="Arial" w:cs="Arial"/>
          <w:sz w:val="20"/>
          <w:szCs w:val="20"/>
        </w:rPr>
        <w:t>Tramišak</w:t>
      </w:r>
      <w:proofErr w:type="spellEnd"/>
      <w:r w:rsidRPr="00587444">
        <w:rPr>
          <w:rFonts w:ascii="Arial" w:eastAsia="Calibri" w:hAnsi="Arial" w:cs="Arial"/>
          <w:sz w:val="20"/>
          <w:szCs w:val="20"/>
        </w:rPr>
        <w:t xml:space="preserve"> and Ivan </w:t>
      </w:r>
      <w:proofErr w:type="spellStart"/>
      <w:r w:rsidRPr="00587444">
        <w:rPr>
          <w:rFonts w:ascii="Arial" w:eastAsia="Calibri" w:hAnsi="Arial" w:cs="Arial"/>
          <w:sz w:val="20"/>
          <w:szCs w:val="20"/>
        </w:rPr>
        <w:t>Paladina</w:t>
      </w:r>
      <w:proofErr w:type="spellEnd"/>
      <w:r w:rsidRPr="00587444">
        <w:rPr>
          <w:rFonts w:ascii="Arial" w:eastAsia="Calibri" w:hAnsi="Arial" w:cs="Arial"/>
          <w:sz w:val="20"/>
          <w:szCs w:val="20"/>
        </w:rPr>
        <w:t xml:space="preserve">, whereas </w:t>
      </w:r>
      <w:proofErr w:type="spellStart"/>
      <w:r w:rsidRPr="00587444">
        <w:rPr>
          <w:rFonts w:ascii="Arial" w:eastAsia="Calibri" w:hAnsi="Arial" w:cs="Arial"/>
          <w:sz w:val="20"/>
          <w:szCs w:val="20"/>
        </w:rPr>
        <w:t>Šime</w:t>
      </w:r>
      <w:proofErr w:type="spellEnd"/>
      <w:r w:rsidRPr="00587444">
        <w:rPr>
          <w:rFonts w:ascii="Arial" w:eastAsia="Calibri" w:hAnsi="Arial" w:cs="Arial"/>
          <w:sz w:val="20"/>
          <w:szCs w:val="20"/>
        </w:rPr>
        <w:t xml:space="preserve"> </w:t>
      </w:r>
      <w:proofErr w:type="spellStart"/>
      <w:r w:rsidRPr="00587444">
        <w:rPr>
          <w:rFonts w:ascii="Arial" w:eastAsia="Calibri" w:hAnsi="Arial" w:cs="Arial"/>
          <w:sz w:val="20"/>
          <w:szCs w:val="20"/>
        </w:rPr>
        <w:t>Erlić</w:t>
      </w:r>
      <w:proofErr w:type="spellEnd"/>
      <w:r w:rsidRPr="00587444">
        <w:rPr>
          <w:rFonts w:ascii="Arial" w:eastAsia="Calibri" w:hAnsi="Arial" w:cs="Arial"/>
          <w:sz w:val="20"/>
          <w:szCs w:val="20"/>
        </w:rPr>
        <w:t xml:space="preserve">, Minister of Regional Development and EU Funds, was appointed ex-officio member of the Supervisory Board of HBOR and Branko </w:t>
      </w:r>
      <w:proofErr w:type="spellStart"/>
      <w:r w:rsidRPr="00587444">
        <w:rPr>
          <w:rFonts w:ascii="Arial" w:eastAsia="Calibri" w:hAnsi="Arial" w:cs="Arial"/>
          <w:sz w:val="20"/>
          <w:szCs w:val="20"/>
        </w:rPr>
        <w:t>Bačić</w:t>
      </w:r>
      <w:proofErr w:type="spellEnd"/>
      <w:r w:rsidRPr="00587444">
        <w:rPr>
          <w:rFonts w:ascii="Arial" w:eastAsia="Calibri" w:hAnsi="Arial" w:cs="Arial"/>
          <w:sz w:val="20"/>
          <w:szCs w:val="20"/>
        </w:rPr>
        <w:t>, Deputy Prime Minister and Minister of Physical Planning, Construction and State Assets, was appointed member of the Supervisory Board of HBOR.</w:t>
      </w:r>
    </w:p>
    <w:p w14:paraId="52963831" w14:textId="77777777" w:rsidR="00587444" w:rsidRPr="00587444" w:rsidRDefault="00587444" w:rsidP="00587932">
      <w:pPr>
        <w:autoSpaceDN/>
        <w:contextualSpacing/>
        <w:rPr>
          <w:rFonts w:ascii="Arial" w:eastAsia="Calibri" w:hAnsi="Arial" w:cs="Arial"/>
          <w:sz w:val="20"/>
          <w:szCs w:val="20"/>
        </w:rPr>
      </w:pPr>
    </w:p>
    <w:p w14:paraId="67F69EB1" w14:textId="77777777" w:rsidR="00587444" w:rsidRPr="00587444" w:rsidRDefault="00587444" w:rsidP="00587932">
      <w:pPr>
        <w:autoSpaceDN/>
        <w:contextualSpacing/>
        <w:rPr>
          <w:rFonts w:ascii="Arial" w:eastAsia="Calibri" w:hAnsi="Arial" w:cs="Arial"/>
          <w:sz w:val="20"/>
          <w:szCs w:val="20"/>
        </w:rPr>
      </w:pPr>
      <w:r w:rsidRPr="00587444">
        <w:rPr>
          <w:rFonts w:ascii="Arial" w:eastAsia="Calibri" w:hAnsi="Arial" w:cs="Arial"/>
          <w:sz w:val="20"/>
          <w:szCs w:val="20"/>
        </w:rPr>
        <w:t xml:space="preserve">Pursuant to </w:t>
      </w:r>
      <w:proofErr w:type="gramStart"/>
      <w:r w:rsidRPr="00587444">
        <w:rPr>
          <w:rFonts w:ascii="Arial" w:eastAsia="Calibri" w:hAnsi="Arial" w:cs="Arial"/>
          <w:sz w:val="20"/>
          <w:szCs w:val="20"/>
        </w:rPr>
        <w:t>the aforementioned, HBOR's</w:t>
      </w:r>
      <w:proofErr w:type="gramEnd"/>
      <w:r w:rsidRPr="00587444">
        <w:rPr>
          <w:rFonts w:ascii="Arial" w:eastAsia="Calibri" w:hAnsi="Arial" w:cs="Arial"/>
          <w:sz w:val="20"/>
          <w:szCs w:val="20"/>
        </w:rPr>
        <w:t xml:space="preserve"> Supervisory Board has consisted of the following members as of 20 January 2023:</w:t>
      </w:r>
    </w:p>
    <w:p w14:paraId="7B32E5E8" w14:textId="77777777" w:rsidR="00587444" w:rsidRPr="00587444" w:rsidRDefault="00587444" w:rsidP="00587932">
      <w:pPr>
        <w:autoSpaceDN/>
        <w:contextualSpacing/>
        <w:rPr>
          <w:rFonts w:ascii="Arial" w:eastAsia="Calibri" w:hAnsi="Arial" w:cs="Arial"/>
          <w:sz w:val="20"/>
          <w:szCs w:val="20"/>
        </w:rPr>
      </w:pPr>
    </w:p>
    <w:p w14:paraId="6AAAEDEA"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Marko Primorac, PhD, associate professor, Minister of Finance - ex officio President of the Supervisory Board,</w:t>
      </w:r>
    </w:p>
    <w:p w14:paraId="3A7614EE"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 xml:space="preserve">Davor </w:t>
      </w:r>
      <w:proofErr w:type="spellStart"/>
      <w:r w:rsidRPr="00587444">
        <w:rPr>
          <w:rFonts w:ascii="Arial" w:eastAsia="Calibri" w:hAnsi="Arial" w:cs="Arial"/>
          <w:sz w:val="20"/>
          <w:szCs w:val="20"/>
        </w:rPr>
        <w:t>Filipović</w:t>
      </w:r>
      <w:proofErr w:type="spellEnd"/>
      <w:r w:rsidRPr="00587444">
        <w:rPr>
          <w:rFonts w:ascii="Arial" w:eastAsia="Calibri" w:hAnsi="Arial" w:cs="Arial"/>
          <w:sz w:val="20"/>
          <w:szCs w:val="20"/>
        </w:rPr>
        <w:t>, PhD, associate professor, Minister of the Economy and Sustainable Development – ex officio Deputy President of the Supervisory Board,</w:t>
      </w:r>
    </w:p>
    <w:p w14:paraId="5F0DD004"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 xml:space="preserve">Nikolina </w:t>
      </w:r>
      <w:proofErr w:type="spellStart"/>
      <w:r w:rsidRPr="00587444">
        <w:rPr>
          <w:rFonts w:ascii="Arial" w:eastAsia="Calibri" w:hAnsi="Arial" w:cs="Arial"/>
          <w:sz w:val="20"/>
          <w:szCs w:val="20"/>
        </w:rPr>
        <w:t>Brnjac</w:t>
      </w:r>
      <w:proofErr w:type="spellEnd"/>
      <w:r w:rsidRPr="00587444">
        <w:rPr>
          <w:rFonts w:ascii="Arial" w:eastAsia="Calibri" w:hAnsi="Arial" w:cs="Arial"/>
          <w:sz w:val="20"/>
          <w:szCs w:val="20"/>
        </w:rPr>
        <w:t>, PhD, Minister of Tourism and Sports,</w:t>
      </w:r>
    </w:p>
    <w:p w14:paraId="2FF21653"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proofErr w:type="spellStart"/>
      <w:r w:rsidRPr="00587444">
        <w:rPr>
          <w:rFonts w:ascii="Arial" w:eastAsia="Calibri" w:hAnsi="Arial" w:cs="Arial"/>
          <w:sz w:val="20"/>
          <w:szCs w:val="20"/>
        </w:rPr>
        <w:t>Šime</w:t>
      </w:r>
      <w:proofErr w:type="spellEnd"/>
      <w:r w:rsidRPr="00587444">
        <w:rPr>
          <w:rFonts w:ascii="Arial" w:eastAsia="Calibri" w:hAnsi="Arial" w:cs="Arial"/>
          <w:sz w:val="20"/>
          <w:szCs w:val="20"/>
        </w:rPr>
        <w:t xml:space="preserve"> </w:t>
      </w:r>
      <w:proofErr w:type="spellStart"/>
      <w:r w:rsidRPr="00587444">
        <w:rPr>
          <w:rFonts w:ascii="Arial" w:eastAsia="Calibri" w:hAnsi="Arial" w:cs="Arial"/>
          <w:sz w:val="20"/>
          <w:szCs w:val="20"/>
        </w:rPr>
        <w:t>Erlić</w:t>
      </w:r>
      <w:proofErr w:type="spellEnd"/>
      <w:r w:rsidRPr="00587444">
        <w:rPr>
          <w:rFonts w:ascii="Arial" w:eastAsia="Calibri" w:hAnsi="Arial" w:cs="Arial"/>
          <w:sz w:val="20"/>
          <w:szCs w:val="20"/>
        </w:rPr>
        <w:t>, Minister of Regional Development and EU Funds,</w:t>
      </w:r>
    </w:p>
    <w:p w14:paraId="754F4511"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 xml:space="preserve">Marija </w:t>
      </w:r>
      <w:proofErr w:type="spellStart"/>
      <w:r w:rsidRPr="00587444">
        <w:rPr>
          <w:rFonts w:ascii="Arial" w:eastAsia="Calibri" w:hAnsi="Arial" w:cs="Arial"/>
          <w:sz w:val="20"/>
          <w:szCs w:val="20"/>
        </w:rPr>
        <w:t>Vučković</w:t>
      </w:r>
      <w:proofErr w:type="spellEnd"/>
      <w:r w:rsidRPr="00587444">
        <w:rPr>
          <w:rFonts w:ascii="Arial" w:eastAsia="Calibri" w:hAnsi="Arial" w:cs="Arial"/>
          <w:sz w:val="20"/>
          <w:szCs w:val="20"/>
        </w:rPr>
        <w:t>, MSc, Minister of Agriculture,</w:t>
      </w:r>
    </w:p>
    <w:p w14:paraId="7D1991FC"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 xml:space="preserve">Branko </w:t>
      </w:r>
      <w:proofErr w:type="spellStart"/>
      <w:r w:rsidRPr="00587444">
        <w:rPr>
          <w:rFonts w:ascii="Arial" w:eastAsia="Calibri" w:hAnsi="Arial" w:cs="Arial"/>
          <w:sz w:val="20"/>
          <w:szCs w:val="20"/>
        </w:rPr>
        <w:t>Bačić</w:t>
      </w:r>
      <w:proofErr w:type="spellEnd"/>
      <w:r w:rsidRPr="00587444">
        <w:rPr>
          <w:rFonts w:ascii="Arial" w:eastAsia="Calibri" w:hAnsi="Arial" w:cs="Arial"/>
          <w:sz w:val="20"/>
          <w:szCs w:val="20"/>
        </w:rPr>
        <w:t>, Deputy Prime Minister of the Republic of Croatia and Minister of Physical Planning, Construction and State Assets,</w:t>
      </w:r>
    </w:p>
    <w:p w14:paraId="590277A4"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 xml:space="preserve">Luka </w:t>
      </w:r>
      <w:proofErr w:type="spellStart"/>
      <w:r w:rsidRPr="00587444">
        <w:rPr>
          <w:rFonts w:ascii="Arial" w:eastAsia="Calibri" w:hAnsi="Arial" w:cs="Arial"/>
          <w:sz w:val="20"/>
          <w:szCs w:val="20"/>
        </w:rPr>
        <w:t>Burilović</w:t>
      </w:r>
      <w:proofErr w:type="spellEnd"/>
      <w:r w:rsidRPr="00587444">
        <w:rPr>
          <w:rFonts w:ascii="Arial" w:eastAsia="Calibri" w:hAnsi="Arial" w:cs="Arial"/>
          <w:sz w:val="20"/>
          <w:szCs w:val="20"/>
        </w:rPr>
        <w:t>, PhD, Chairman of the Croatian Chamber of Economy – ex officio Member of the Supervisory Board,</w:t>
      </w:r>
    </w:p>
    <w:p w14:paraId="4EB4BB99"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proofErr w:type="spellStart"/>
      <w:r w:rsidRPr="00587444">
        <w:rPr>
          <w:rFonts w:ascii="Arial" w:eastAsia="Calibri" w:hAnsi="Arial" w:cs="Arial"/>
          <w:sz w:val="20"/>
          <w:szCs w:val="20"/>
        </w:rPr>
        <w:t>Žarko</w:t>
      </w:r>
      <w:proofErr w:type="spellEnd"/>
      <w:r w:rsidRPr="00587444">
        <w:rPr>
          <w:rFonts w:ascii="Arial" w:eastAsia="Calibri" w:hAnsi="Arial" w:cs="Arial"/>
          <w:sz w:val="20"/>
          <w:szCs w:val="20"/>
        </w:rPr>
        <w:t xml:space="preserve"> </w:t>
      </w:r>
      <w:proofErr w:type="spellStart"/>
      <w:r w:rsidRPr="00587444">
        <w:rPr>
          <w:rFonts w:ascii="Arial" w:eastAsia="Calibri" w:hAnsi="Arial" w:cs="Arial"/>
          <w:sz w:val="20"/>
          <w:szCs w:val="20"/>
        </w:rPr>
        <w:t>Tušek</w:t>
      </w:r>
      <w:proofErr w:type="spellEnd"/>
      <w:r w:rsidRPr="00587444">
        <w:rPr>
          <w:rFonts w:ascii="Arial" w:eastAsia="Calibri" w:hAnsi="Arial" w:cs="Arial"/>
          <w:sz w:val="20"/>
          <w:szCs w:val="20"/>
        </w:rPr>
        <w:t>, member of Parliament,</w:t>
      </w:r>
    </w:p>
    <w:p w14:paraId="068DC170"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 xml:space="preserve">Predrag </w:t>
      </w:r>
      <w:proofErr w:type="spellStart"/>
      <w:r w:rsidRPr="00587444">
        <w:rPr>
          <w:rFonts w:ascii="Arial" w:eastAsia="Calibri" w:hAnsi="Arial" w:cs="Arial"/>
          <w:sz w:val="20"/>
          <w:szCs w:val="20"/>
        </w:rPr>
        <w:t>Štromar</w:t>
      </w:r>
      <w:proofErr w:type="spellEnd"/>
      <w:r w:rsidRPr="00587444">
        <w:rPr>
          <w:rFonts w:ascii="Arial" w:eastAsia="Calibri" w:hAnsi="Arial" w:cs="Arial"/>
          <w:sz w:val="20"/>
          <w:szCs w:val="20"/>
        </w:rPr>
        <w:t>, member of Parliament,</w:t>
      </w:r>
    </w:p>
    <w:p w14:paraId="0742ABE6"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proofErr w:type="spellStart"/>
      <w:r w:rsidRPr="00587444">
        <w:rPr>
          <w:rFonts w:ascii="Arial" w:eastAsia="Calibri" w:hAnsi="Arial" w:cs="Arial"/>
          <w:sz w:val="20"/>
          <w:szCs w:val="20"/>
        </w:rPr>
        <w:t>Siniša</w:t>
      </w:r>
      <w:proofErr w:type="spellEnd"/>
      <w:r w:rsidRPr="00587444">
        <w:rPr>
          <w:rFonts w:ascii="Arial" w:eastAsia="Calibri" w:hAnsi="Arial" w:cs="Arial"/>
          <w:sz w:val="20"/>
          <w:szCs w:val="20"/>
        </w:rPr>
        <w:t xml:space="preserve"> </w:t>
      </w:r>
      <w:proofErr w:type="spellStart"/>
      <w:r w:rsidRPr="00587444">
        <w:rPr>
          <w:rFonts w:ascii="Arial" w:eastAsia="Calibri" w:hAnsi="Arial" w:cs="Arial"/>
          <w:sz w:val="20"/>
          <w:szCs w:val="20"/>
        </w:rPr>
        <w:t>Hajdaš</w:t>
      </w:r>
      <w:proofErr w:type="spellEnd"/>
      <w:r w:rsidRPr="00587444">
        <w:rPr>
          <w:rFonts w:ascii="Arial" w:eastAsia="Calibri" w:hAnsi="Arial" w:cs="Arial"/>
          <w:sz w:val="20"/>
          <w:szCs w:val="20"/>
        </w:rPr>
        <w:t xml:space="preserve"> </w:t>
      </w:r>
      <w:proofErr w:type="spellStart"/>
      <w:r w:rsidRPr="00587444">
        <w:rPr>
          <w:rFonts w:ascii="Arial" w:eastAsia="Calibri" w:hAnsi="Arial" w:cs="Arial"/>
          <w:sz w:val="20"/>
          <w:szCs w:val="20"/>
        </w:rPr>
        <w:t>Dončić</w:t>
      </w:r>
      <w:proofErr w:type="spellEnd"/>
      <w:r w:rsidRPr="00587444">
        <w:rPr>
          <w:rFonts w:ascii="Arial" w:eastAsia="Calibri" w:hAnsi="Arial" w:cs="Arial"/>
          <w:sz w:val="20"/>
          <w:szCs w:val="20"/>
        </w:rPr>
        <w:t>, PhD, member of Parliament.</w:t>
      </w:r>
    </w:p>
    <w:bookmarkEnd w:id="404"/>
    <w:p w14:paraId="23C9519A" w14:textId="77777777" w:rsidR="00587444" w:rsidRPr="00587444" w:rsidRDefault="00587444" w:rsidP="00587932">
      <w:pPr>
        <w:autoSpaceDN/>
        <w:contextualSpacing/>
        <w:rPr>
          <w:rFonts w:ascii="Arial" w:eastAsia="Calibri" w:hAnsi="Arial" w:cs="Arial"/>
          <w:sz w:val="20"/>
          <w:szCs w:val="20"/>
        </w:rPr>
      </w:pPr>
    </w:p>
    <w:p w14:paraId="7D4C3983" w14:textId="77777777" w:rsidR="00587444" w:rsidRPr="00587444" w:rsidRDefault="00587444" w:rsidP="00587932">
      <w:pPr>
        <w:keepNext/>
        <w:tabs>
          <w:tab w:val="left" w:pos="567"/>
        </w:tabs>
        <w:autoSpaceDN/>
        <w:jc w:val="both"/>
        <w:outlineLvl w:val="0"/>
        <w:rPr>
          <w:rFonts w:ascii="Arial" w:hAnsi="Arial" w:cs="Arial"/>
          <w:i/>
          <w:sz w:val="20"/>
          <w:szCs w:val="20"/>
        </w:rPr>
      </w:pPr>
      <w:bookmarkStart w:id="405" w:name="_Toc4057684"/>
      <w:r w:rsidRPr="00587444">
        <w:rPr>
          <w:rFonts w:ascii="Arial" w:hAnsi="Arial" w:cs="Arial"/>
          <w:i/>
          <w:sz w:val="20"/>
          <w:szCs w:val="20"/>
        </w:rPr>
        <w:t>Management Board</w:t>
      </w:r>
      <w:bookmarkEnd w:id="405"/>
    </w:p>
    <w:p w14:paraId="70475C1C" w14:textId="77777777" w:rsidR="00587444" w:rsidRPr="00587444" w:rsidRDefault="00587444" w:rsidP="00587932">
      <w:pPr>
        <w:keepNext/>
        <w:autoSpaceDN/>
        <w:jc w:val="both"/>
        <w:rPr>
          <w:rFonts w:ascii="Arial" w:hAnsi="Arial" w:cs="Arial"/>
          <w:sz w:val="20"/>
          <w:szCs w:val="20"/>
        </w:rPr>
      </w:pPr>
      <w:r w:rsidRPr="00587444">
        <w:rPr>
          <w:rFonts w:ascii="Arial" w:hAnsi="Arial" w:cs="Arial"/>
          <w:sz w:val="20"/>
          <w:szCs w:val="20"/>
        </w:rPr>
        <w:t>On the date of preparing these statements, members of the Management Board of HBOR were as follows:</w:t>
      </w:r>
    </w:p>
    <w:p w14:paraId="7CA59262" w14:textId="77777777" w:rsidR="00587444" w:rsidRPr="00587444" w:rsidRDefault="00587444" w:rsidP="00587932">
      <w:pPr>
        <w:keepNext/>
        <w:autoSpaceDN/>
        <w:jc w:val="both"/>
        <w:rPr>
          <w:rFonts w:ascii="Arial" w:hAnsi="Arial" w:cs="Arial"/>
          <w:sz w:val="20"/>
          <w:szCs w:val="20"/>
        </w:rPr>
      </w:pPr>
    </w:p>
    <w:p w14:paraId="76EDAF50" w14:textId="77777777" w:rsidR="00587444" w:rsidRPr="00587444" w:rsidRDefault="00587444" w:rsidP="00587932">
      <w:pPr>
        <w:keepNext/>
        <w:numPr>
          <w:ilvl w:val="0"/>
          <w:numId w:val="38"/>
        </w:numPr>
        <w:autoSpaceDN/>
        <w:contextualSpacing/>
        <w:jc w:val="both"/>
        <w:rPr>
          <w:rFonts w:ascii="Arial" w:hAnsi="Arial" w:cs="Arial"/>
          <w:sz w:val="20"/>
          <w:szCs w:val="20"/>
        </w:rPr>
      </w:pPr>
      <w:r w:rsidRPr="00587444">
        <w:rPr>
          <w:rFonts w:ascii="Arial" w:hAnsi="Arial" w:cs="Arial"/>
          <w:sz w:val="20"/>
          <w:szCs w:val="20"/>
        </w:rPr>
        <w:t>Hrvoje Čuvalo, MSc, President of the Management Board,</w:t>
      </w:r>
    </w:p>
    <w:p w14:paraId="176B77B1" w14:textId="77777777" w:rsidR="00587444" w:rsidRPr="00587444" w:rsidRDefault="00587444" w:rsidP="00587932">
      <w:pPr>
        <w:keepNext/>
        <w:numPr>
          <w:ilvl w:val="0"/>
          <w:numId w:val="38"/>
        </w:numPr>
        <w:autoSpaceDN/>
        <w:contextualSpacing/>
        <w:jc w:val="both"/>
        <w:rPr>
          <w:rFonts w:ascii="Arial" w:hAnsi="Arial" w:cs="Arial"/>
          <w:sz w:val="20"/>
          <w:szCs w:val="20"/>
        </w:rPr>
      </w:pPr>
      <w:r w:rsidRPr="00587444">
        <w:rPr>
          <w:rFonts w:ascii="Arial" w:hAnsi="Arial" w:cs="Arial"/>
          <w:sz w:val="20"/>
          <w:szCs w:val="20"/>
        </w:rPr>
        <w:t xml:space="preserve">Josip Pavković, Member of the Management Board, and </w:t>
      </w:r>
    </w:p>
    <w:p w14:paraId="10DB7CDF" w14:textId="77777777" w:rsidR="00587444" w:rsidRPr="00587444" w:rsidRDefault="00587444" w:rsidP="00587932">
      <w:pPr>
        <w:keepNext/>
        <w:numPr>
          <w:ilvl w:val="0"/>
          <w:numId w:val="38"/>
        </w:numPr>
        <w:autoSpaceDN/>
        <w:contextualSpacing/>
        <w:jc w:val="both"/>
        <w:rPr>
          <w:rFonts w:ascii="Arial" w:hAnsi="Arial" w:cs="Arial"/>
          <w:sz w:val="20"/>
          <w:szCs w:val="20"/>
        </w:rPr>
      </w:pPr>
      <w:r w:rsidRPr="00587444">
        <w:rPr>
          <w:rFonts w:ascii="Arial" w:hAnsi="Arial" w:cs="Arial"/>
          <w:sz w:val="20"/>
          <w:szCs w:val="20"/>
        </w:rPr>
        <w:t>Alan Herjavec, MSc, Member of the Management Board.</w:t>
      </w:r>
    </w:p>
    <w:p w14:paraId="4F5239FF" w14:textId="77777777" w:rsidR="00587444" w:rsidRPr="00587444" w:rsidRDefault="00587444" w:rsidP="00587932">
      <w:pPr>
        <w:keepNext/>
        <w:autoSpaceDN/>
        <w:ind w:left="720"/>
        <w:contextualSpacing/>
        <w:jc w:val="both"/>
        <w:rPr>
          <w:rFonts w:ascii="Arial" w:eastAsia="Calibri" w:hAnsi="Arial" w:cs="Arial"/>
          <w:sz w:val="20"/>
          <w:szCs w:val="20"/>
        </w:rPr>
      </w:pPr>
    </w:p>
    <w:p w14:paraId="2087D450"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As of 31 December 2022, HBOR had 382 employees (31 December 2021: 375 employees).</w:t>
      </w:r>
    </w:p>
    <w:p w14:paraId="15E8D163" w14:textId="77777777" w:rsidR="00587444" w:rsidRPr="00587444" w:rsidRDefault="00587444" w:rsidP="00587932">
      <w:pPr>
        <w:keepNext/>
        <w:autoSpaceDN/>
        <w:jc w:val="both"/>
        <w:rPr>
          <w:rFonts w:ascii="Arial" w:hAnsi="Arial" w:cs="Arial"/>
          <w:sz w:val="20"/>
          <w:szCs w:val="20"/>
        </w:rPr>
      </w:pPr>
    </w:p>
    <w:p w14:paraId="1FB59204" w14:textId="77777777" w:rsidR="00587444" w:rsidRPr="00587444" w:rsidRDefault="00587444" w:rsidP="00587444">
      <w:pPr>
        <w:suppressAutoHyphens w:val="0"/>
        <w:autoSpaceDN/>
        <w:jc w:val="both"/>
        <w:rPr>
          <w:rFonts w:ascii="Arial" w:hAnsi="Arial" w:cs="Arial"/>
          <w:b/>
          <w:sz w:val="20"/>
          <w:szCs w:val="20"/>
          <w:lang w:eastAsia="hr-HR"/>
        </w:rPr>
        <w:sectPr w:rsidR="00587444" w:rsidRPr="00587444" w:rsidSect="00DD69E7">
          <w:headerReference w:type="default" r:id="rId77"/>
          <w:pgSz w:w="11907" w:h="16840" w:code="9"/>
          <w:pgMar w:top="1418" w:right="992" w:bottom="1134" w:left="1418" w:header="851" w:footer="851" w:gutter="0"/>
          <w:cols w:space="720"/>
          <w:noEndnote/>
        </w:sectPr>
      </w:pPr>
    </w:p>
    <w:p w14:paraId="13AF6F22" w14:textId="77777777" w:rsidR="00587444" w:rsidRPr="00587444" w:rsidRDefault="00587444" w:rsidP="00587444">
      <w:pPr>
        <w:suppressAutoHyphens w:val="0"/>
        <w:autoSpaceDN/>
        <w:jc w:val="both"/>
        <w:rPr>
          <w:rFonts w:ascii="Arial" w:hAnsi="Arial" w:cs="Arial"/>
          <w:b/>
          <w:sz w:val="12"/>
          <w:szCs w:val="12"/>
          <w:lang w:eastAsia="hr-HR"/>
        </w:rPr>
      </w:pPr>
    </w:p>
    <w:p w14:paraId="4C47305C"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w:t>
      </w:r>
      <w:r w:rsidRPr="00587444">
        <w:rPr>
          <w:rFonts w:ascii="Arial" w:hAnsi="Arial" w:cs="Arial"/>
          <w:b/>
          <w:bCs/>
          <w:sz w:val="20"/>
          <w:szCs w:val="20"/>
          <w:lang w:val="en-GB"/>
        </w:rPr>
        <w:tab/>
        <w:t>General information (continued)</w:t>
      </w:r>
    </w:p>
    <w:p w14:paraId="62171E6C" w14:textId="77777777" w:rsidR="00587444" w:rsidRPr="00587444" w:rsidRDefault="00587444" w:rsidP="00587444">
      <w:pPr>
        <w:suppressAutoHyphens w:val="0"/>
        <w:autoSpaceDN/>
        <w:jc w:val="both"/>
        <w:rPr>
          <w:rFonts w:ascii="Arial" w:hAnsi="Arial" w:cs="Arial"/>
          <w:b/>
          <w:sz w:val="10"/>
          <w:szCs w:val="10"/>
          <w:lang w:eastAsia="hr-HR"/>
        </w:rPr>
      </w:pPr>
    </w:p>
    <w:p w14:paraId="2BF70FBE" w14:textId="77777777" w:rsidR="00587444" w:rsidRPr="00587444" w:rsidRDefault="00587444" w:rsidP="00587444">
      <w:pPr>
        <w:tabs>
          <w:tab w:val="left" w:pos="567"/>
        </w:tabs>
        <w:suppressAutoHyphens w:val="0"/>
        <w:autoSpaceDN/>
        <w:jc w:val="both"/>
        <w:rPr>
          <w:rFonts w:ascii="Arial" w:hAnsi="Arial" w:cs="Arial"/>
          <w:b/>
          <w:sz w:val="20"/>
          <w:szCs w:val="20"/>
          <w:lang w:eastAsia="hr-HR"/>
        </w:rPr>
      </w:pPr>
      <w:r w:rsidRPr="00587444">
        <w:rPr>
          <w:rFonts w:ascii="Arial" w:hAnsi="Arial" w:cs="Arial"/>
          <w:b/>
          <w:sz w:val="20"/>
          <w:szCs w:val="20"/>
          <w:lang w:eastAsia="hr-HR"/>
        </w:rPr>
        <w:t xml:space="preserve">1.2. </w:t>
      </w:r>
      <w:r w:rsidRPr="00587444">
        <w:rPr>
          <w:rFonts w:ascii="Arial" w:hAnsi="Arial" w:cs="Arial"/>
          <w:b/>
          <w:sz w:val="20"/>
          <w:szCs w:val="20"/>
          <w:lang w:eastAsia="hr-HR"/>
        </w:rPr>
        <w:tab/>
        <w:t>Bank (continued):</w:t>
      </w:r>
    </w:p>
    <w:p w14:paraId="4023C530" w14:textId="77777777" w:rsidR="00587444" w:rsidRPr="00587444" w:rsidRDefault="00587444" w:rsidP="00587444">
      <w:pPr>
        <w:suppressAutoHyphens w:val="0"/>
        <w:autoSpaceDN/>
        <w:jc w:val="both"/>
        <w:rPr>
          <w:rFonts w:ascii="Arial" w:hAnsi="Arial" w:cs="Arial"/>
          <w:b/>
          <w:sz w:val="10"/>
          <w:szCs w:val="10"/>
          <w:lang w:eastAsia="hr-HR"/>
        </w:rPr>
      </w:pPr>
    </w:p>
    <w:p w14:paraId="3750A21F" w14:textId="77777777" w:rsidR="00587444" w:rsidRPr="00587444" w:rsidRDefault="00587444" w:rsidP="00587444">
      <w:pPr>
        <w:suppressAutoHyphens w:val="0"/>
        <w:autoSpaceDN/>
        <w:jc w:val="both"/>
        <w:rPr>
          <w:rFonts w:ascii="Arial" w:eastAsia="Calibri" w:hAnsi="Arial" w:cs="Arial"/>
          <w:i/>
          <w:iCs/>
          <w:sz w:val="20"/>
          <w:szCs w:val="20"/>
        </w:rPr>
      </w:pPr>
      <w:r w:rsidRPr="00587444">
        <w:rPr>
          <w:rFonts w:ascii="Arial" w:eastAsia="Calibri" w:hAnsi="Arial" w:cs="Arial"/>
          <w:i/>
          <w:iCs/>
          <w:sz w:val="20"/>
          <w:szCs w:val="20"/>
        </w:rPr>
        <w:t xml:space="preserve">Audit Committee </w:t>
      </w:r>
    </w:p>
    <w:p w14:paraId="2B685761" w14:textId="77777777" w:rsidR="00587444" w:rsidRPr="00587444" w:rsidRDefault="00587444" w:rsidP="00587932">
      <w:pPr>
        <w:autoSpaceDN/>
        <w:jc w:val="both"/>
        <w:rPr>
          <w:rFonts w:ascii="Arial" w:eastAsia="Calibri" w:hAnsi="Arial" w:cs="Arial"/>
          <w:sz w:val="20"/>
          <w:szCs w:val="20"/>
          <w:lang w:eastAsia="hr-HR"/>
        </w:rPr>
      </w:pPr>
      <w:r w:rsidRPr="00587444">
        <w:rPr>
          <w:rFonts w:ascii="Arial" w:hAnsi="Arial" w:cs="Arial"/>
          <w:sz w:val="20"/>
          <w:szCs w:val="20"/>
        </w:rPr>
        <w:t>As of 31 December 2022</w:t>
      </w:r>
      <w:r w:rsidRPr="00587444">
        <w:rPr>
          <w:rFonts w:ascii="Arial" w:eastAsia="Calibri" w:hAnsi="Arial" w:cs="Arial"/>
          <w:sz w:val="20"/>
          <w:szCs w:val="20"/>
          <w:lang w:eastAsia="hr-HR"/>
        </w:rPr>
        <w:t xml:space="preserve">, </w:t>
      </w:r>
      <w:r w:rsidRPr="00587444">
        <w:rPr>
          <w:rFonts w:ascii="Arial" w:hAnsi="Arial" w:cs="Arial"/>
          <w:sz w:val="20"/>
          <w:szCs w:val="20"/>
        </w:rPr>
        <w:t>members of the</w:t>
      </w:r>
      <w:r w:rsidRPr="00587444">
        <w:rPr>
          <w:rFonts w:ascii="Arial" w:eastAsia="Calibri" w:hAnsi="Arial" w:cs="Arial"/>
          <w:sz w:val="20"/>
          <w:szCs w:val="20"/>
          <w:lang w:eastAsia="hr-HR"/>
        </w:rPr>
        <w:t xml:space="preserve"> Audit Committee </w:t>
      </w:r>
      <w:r w:rsidRPr="00587444">
        <w:rPr>
          <w:rFonts w:ascii="Arial" w:hAnsi="Arial" w:cs="Arial"/>
          <w:sz w:val="20"/>
          <w:szCs w:val="20"/>
        </w:rPr>
        <w:t>were as follows</w:t>
      </w:r>
      <w:r w:rsidRPr="00587444">
        <w:rPr>
          <w:rFonts w:ascii="Arial" w:eastAsia="Calibri" w:hAnsi="Arial" w:cs="Arial"/>
          <w:sz w:val="20"/>
          <w:szCs w:val="20"/>
          <w:lang w:eastAsia="hr-HR"/>
        </w:rPr>
        <w:t>:</w:t>
      </w:r>
    </w:p>
    <w:p w14:paraId="5CECEF17" w14:textId="77777777" w:rsidR="00587444" w:rsidRPr="00587444" w:rsidRDefault="00587444" w:rsidP="00587932">
      <w:pPr>
        <w:numPr>
          <w:ilvl w:val="0"/>
          <w:numId w:val="35"/>
        </w:numPr>
        <w:autoSpaceDN/>
        <w:contextualSpacing/>
        <w:jc w:val="both"/>
        <w:rPr>
          <w:rFonts w:ascii="Arial" w:eastAsia="Calibri" w:hAnsi="Arial" w:cs="Arial"/>
          <w:color w:val="000000"/>
          <w:sz w:val="20"/>
          <w:szCs w:val="20"/>
          <w:lang w:eastAsia="hr-HR"/>
        </w:rPr>
      </w:pPr>
      <w:r w:rsidRPr="00587444">
        <w:rPr>
          <w:rFonts w:ascii="Arial" w:eastAsia="Calibri" w:hAnsi="Arial" w:cs="Arial"/>
          <w:sz w:val="20"/>
          <w:szCs w:val="20"/>
          <w:lang w:eastAsia="hr-HR"/>
        </w:rPr>
        <w:t xml:space="preserve">Prof. DSc. </w:t>
      </w:r>
      <w:proofErr w:type="spellStart"/>
      <w:r w:rsidRPr="00587444">
        <w:rPr>
          <w:rFonts w:ascii="Arial" w:eastAsia="Calibri" w:hAnsi="Arial" w:cs="Arial"/>
          <w:sz w:val="20"/>
          <w:szCs w:val="20"/>
          <w:lang w:eastAsia="hr-HR"/>
        </w:rPr>
        <w:t>Lajoš</w:t>
      </w:r>
      <w:proofErr w:type="spellEnd"/>
      <w:r w:rsidRPr="00587444">
        <w:rPr>
          <w:rFonts w:ascii="Arial" w:eastAsia="Calibri" w:hAnsi="Arial" w:cs="Arial"/>
          <w:sz w:val="20"/>
          <w:szCs w:val="20"/>
          <w:lang w:eastAsia="hr-HR"/>
        </w:rPr>
        <w:t xml:space="preserve"> </w:t>
      </w:r>
      <w:proofErr w:type="spellStart"/>
      <w:r w:rsidRPr="00587444">
        <w:rPr>
          <w:rFonts w:ascii="Arial" w:eastAsia="Calibri" w:hAnsi="Arial" w:cs="Arial"/>
          <w:sz w:val="20"/>
          <w:szCs w:val="20"/>
          <w:lang w:eastAsia="hr-HR"/>
        </w:rPr>
        <w:t>Žager</w:t>
      </w:r>
      <w:proofErr w:type="spellEnd"/>
      <w:r w:rsidRPr="00587444">
        <w:rPr>
          <w:rFonts w:ascii="Arial" w:eastAsia="Calibri" w:hAnsi="Arial" w:cs="Arial"/>
          <w:sz w:val="20"/>
          <w:szCs w:val="20"/>
          <w:lang w:eastAsia="hr-HR"/>
        </w:rPr>
        <w:t xml:space="preserve">, </w:t>
      </w:r>
      <w:r w:rsidRPr="00587444">
        <w:rPr>
          <w:rFonts w:ascii="Arial" w:eastAsia="Calibri" w:hAnsi="Arial" w:cs="Arial"/>
          <w:color w:val="000000"/>
          <w:sz w:val="20"/>
          <w:szCs w:val="20"/>
          <w:lang w:eastAsia="hr-HR"/>
        </w:rPr>
        <w:t>Faculty of Economics and Business of the University of Zagreb, Chairman of the Audit Committee,</w:t>
      </w:r>
    </w:p>
    <w:p w14:paraId="089D30CE" w14:textId="77777777" w:rsidR="00587444" w:rsidRPr="00587444" w:rsidRDefault="00587444" w:rsidP="00587932">
      <w:pPr>
        <w:numPr>
          <w:ilvl w:val="0"/>
          <w:numId w:val="35"/>
        </w:numPr>
        <w:autoSpaceDN/>
        <w:contextualSpacing/>
        <w:rPr>
          <w:rFonts w:ascii="Arial" w:eastAsia="Calibri" w:hAnsi="Arial" w:cs="Arial"/>
          <w:color w:val="000000"/>
          <w:sz w:val="20"/>
          <w:szCs w:val="20"/>
          <w:lang w:eastAsia="hr-HR"/>
        </w:rPr>
      </w:pPr>
      <w:r w:rsidRPr="00587444">
        <w:rPr>
          <w:rFonts w:ascii="Arial" w:eastAsia="Calibri" w:hAnsi="Arial" w:cs="Arial"/>
          <w:color w:val="000000"/>
          <w:sz w:val="20"/>
          <w:szCs w:val="20"/>
          <w:lang w:eastAsia="hr-HR"/>
        </w:rPr>
        <w:t xml:space="preserve">Prof. DSc. Boris </w:t>
      </w:r>
      <w:proofErr w:type="spellStart"/>
      <w:r w:rsidRPr="00587444">
        <w:rPr>
          <w:rFonts w:ascii="Arial" w:eastAsia="Calibri" w:hAnsi="Arial" w:cs="Arial"/>
          <w:color w:val="000000"/>
          <w:sz w:val="20"/>
          <w:szCs w:val="20"/>
          <w:lang w:eastAsia="hr-HR"/>
        </w:rPr>
        <w:t>Tušek</w:t>
      </w:r>
      <w:proofErr w:type="spellEnd"/>
      <w:r w:rsidRPr="00587444">
        <w:rPr>
          <w:rFonts w:ascii="Arial" w:eastAsia="Calibri" w:hAnsi="Arial" w:cs="Arial"/>
          <w:color w:val="000000"/>
          <w:sz w:val="20"/>
          <w:szCs w:val="20"/>
          <w:lang w:eastAsia="hr-HR"/>
        </w:rPr>
        <w:t>, Faculty of Economics and Business of the University of Zagreb, Deputy Chairman of the Audit Committee,</w:t>
      </w:r>
    </w:p>
    <w:p w14:paraId="11661473" w14:textId="77777777" w:rsidR="00587444" w:rsidRPr="00587444" w:rsidRDefault="00587444" w:rsidP="00587932">
      <w:pPr>
        <w:numPr>
          <w:ilvl w:val="0"/>
          <w:numId w:val="35"/>
        </w:numPr>
        <w:autoSpaceDN/>
        <w:contextualSpacing/>
        <w:jc w:val="both"/>
        <w:rPr>
          <w:rFonts w:ascii="Arial" w:eastAsia="Calibri" w:hAnsi="Arial" w:cs="Arial"/>
          <w:color w:val="000000"/>
          <w:sz w:val="20"/>
          <w:szCs w:val="20"/>
          <w:lang w:eastAsia="hr-HR"/>
        </w:rPr>
      </w:pPr>
      <w:r w:rsidRPr="00587444">
        <w:rPr>
          <w:rFonts w:ascii="Arial" w:eastAsia="Calibri" w:hAnsi="Arial" w:cs="Arial"/>
          <w:color w:val="000000"/>
          <w:sz w:val="20"/>
          <w:szCs w:val="20"/>
          <w:lang w:eastAsia="hr-HR"/>
        </w:rPr>
        <w:t xml:space="preserve">Predrag </w:t>
      </w:r>
      <w:proofErr w:type="spellStart"/>
      <w:r w:rsidRPr="00587444">
        <w:rPr>
          <w:rFonts w:ascii="Arial" w:eastAsia="Calibri" w:hAnsi="Arial" w:cs="Arial"/>
          <w:color w:val="000000"/>
          <w:sz w:val="20"/>
          <w:szCs w:val="20"/>
          <w:lang w:eastAsia="hr-HR"/>
        </w:rPr>
        <w:t>Štromar</w:t>
      </w:r>
      <w:proofErr w:type="spellEnd"/>
      <w:r w:rsidRPr="00587444">
        <w:rPr>
          <w:rFonts w:ascii="Arial" w:eastAsia="Calibri" w:hAnsi="Arial" w:cs="Arial"/>
          <w:color w:val="000000"/>
          <w:sz w:val="20"/>
          <w:szCs w:val="20"/>
          <w:lang w:eastAsia="hr-HR"/>
        </w:rPr>
        <w:t>, Chairman of the Physical Planning and Construction Committee of the Croatian Parliament, member of the Audit Committee.</w:t>
      </w:r>
    </w:p>
    <w:p w14:paraId="142B2971" w14:textId="77777777" w:rsidR="00587444" w:rsidRPr="00587444" w:rsidRDefault="00587444" w:rsidP="00587932">
      <w:pPr>
        <w:autoSpaceDN/>
        <w:jc w:val="both"/>
        <w:rPr>
          <w:rFonts w:ascii="Arial" w:hAnsi="Arial" w:cs="Arial"/>
          <w:b/>
          <w:sz w:val="10"/>
          <w:szCs w:val="10"/>
          <w:lang w:eastAsia="hr-HR"/>
        </w:rPr>
      </w:pPr>
    </w:p>
    <w:p w14:paraId="56E1873A" w14:textId="77777777" w:rsidR="00587444" w:rsidRPr="00587444" w:rsidRDefault="00587444" w:rsidP="00587932">
      <w:pPr>
        <w:autoSpaceDN/>
        <w:jc w:val="both"/>
        <w:rPr>
          <w:rFonts w:ascii="Arial" w:hAnsi="Arial" w:cs="Arial"/>
          <w:bCs/>
          <w:sz w:val="20"/>
          <w:szCs w:val="20"/>
          <w:lang w:eastAsia="hr-HR"/>
        </w:rPr>
      </w:pPr>
      <w:proofErr w:type="gramStart"/>
      <w:r w:rsidRPr="00587444">
        <w:rPr>
          <w:rFonts w:ascii="Arial" w:hAnsi="Arial" w:cs="Arial"/>
          <w:bCs/>
          <w:sz w:val="20"/>
          <w:szCs w:val="20"/>
          <w:lang w:eastAsia="hr-HR"/>
        </w:rPr>
        <w:t>On the basis of</w:t>
      </w:r>
      <w:proofErr w:type="gramEnd"/>
      <w:r w:rsidRPr="00587444">
        <w:rPr>
          <w:rFonts w:ascii="Arial" w:hAnsi="Arial" w:cs="Arial"/>
          <w:bCs/>
          <w:sz w:val="20"/>
          <w:szCs w:val="20"/>
          <w:lang w:eastAsia="hr-HR"/>
        </w:rPr>
        <w:t xml:space="preserve"> the By-Laws of HBOR, the Supervisory Board made at its 7th meeting held on 27 September 2022 the Decision on the Appointment of </w:t>
      </w:r>
      <w:proofErr w:type="spellStart"/>
      <w:r w:rsidRPr="00587444">
        <w:rPr>
          <w:rFonts w:ascii="Arial" w:hAnsi="Arial" w:cs="Arial"/>
          <w:bCs/>
          <w:sz w:val="20"/>
          <w:szCs w:val="20"/>
          <w:lang w:eastAsia="hr-HR"/>
        </w:rPr>
        <w:t>Mr</w:t>
      </w:r>
      <w:proofErr w:type="spellEnd"/>
      <w:r w:rsidRPr="00587444">
        <w:rPr>
          <w:rFonts w:ascii="Arial" w:hAnsi="Arial" w:cs="Arial"/>
          <w:bCs/>
          <w:sz w:val="20"/>
          <w:szCs w:val="20"/>
          <w:lang w:eastAsia="hr-HR"/>
        </w:rPr>
        <w:t xml:space="preserve"> Boris </w:t>
      </w:r>
      <w:proofErr w:type="spellStart"/>
      <w:r w:rsidRPr="00587444">
        <w:rPr>
          <w:rFonts w:ascii="Arial" w:hAnsi="Arial" w:cs="Arial"/>
          <w:bCs/>
          <w:sz w:val="20"/>
          <w:szCs w:val="20"/>
          <w:lang w:eastAsia="hr-HR"/>
        </w:rPr>
        <w:t>Tušek</w:t>
      </w:r>
      <w:proofErr w:type="spellEnd"/>
      <w:r w:rsidRPr="00587444">
        <w:rPr>
          <w:rFonts w:ascii="Arial" w:hAnsi="Arial" w:cs="Arial"/>
          <w:bCs/>
          <w:sz w:val="20"/>
          <w:szCs w:val="20"/>
          <w:lang w:eastAsia="hr-HR"/>
        </w:rPr>
        <w:t>, PhD, Tenured Professor at the Department of Accounting of the Faculty of Economics and Business, Zagreb University on the Audit Committee of HBOR as Deputy Chairman of the Audit Committee of HBOR.</w:t>
      </w:r>
    </w:p>
    <w:p w14:paraId="250D983C" w14:textId="77777777" w:rsidR="00587444" w:rsidRPr="00587444" w:rsidRDefault="00587444" w:rsidP="00587444">
      <w:pPr>
        <w:suppressAutoHyphens w:val="0"/>
        <w:autoSpaceDN/>
        <w:jc w:val="both"/>
        <w:rPr>
          <w:rFonts w:ascii="Arial" w:hAnsi="Arial" w:cs="Arial"/>
          <w:b/>
          <w:sz w:val="14"/>
          <w:szCs w:val="14"/>
          <w:lang w:eastAsia="hr-HR"/>
        </w:rPr>
      </w:pPr>
    </w:p>
    <w:p w14:paraId="1595F94F" w14:textId="77777777" w:rsidR="00587444" w:rsidRPr="00587444" w:rsidRDefault="00587444" w:rsidP="00587444">
      <w:pPr>
        <w:suppressAutoHyphens w:val="0"/>
        <w:autoSpaceDN/>
        <w:jc w:val="both"/>
        <w:rPr>
          <w:rFonts w:ascii="Arial" w:hAnsi="Arial" w:cs="Arial"/>
          <w:b/>
          <w:sz w:val="20"/>
          <w:szCs w:val="20"/>
          <w:lang w:eastAsia="hr-HR"/>
        </w:rPr>
      </w:pPr>
      <w:r w:rsidRPr="00587444">
        <w:rPr>
          <w:rFonts w:ascii="Arial" w:hAnsi="Arial" w:cs="Arial"/>
          <w:b/>
          <w:sz w:val="20"/>
          <w:szCs w:val="20"/>
          <w:lang w:eastAsia="hr-HR"/>
        </w:rPr>
        <w:t>1.2.1. Activities of the Bank:</w:t>
      </w:r>
    </w:p>
    <w:p w14:paraId="358A186D" w14:textId="77777777" w:rsidR="00587444" w:rsidRPr="00587444" w:rsidRDefault="00587444" w:rsidP="00587444">
      <w:pPr>
        <w:suppressAutoHyphens w:val="0"/>
        <w:autoSpaceDN/>
        <w:jc w:val="both"/>
        <w:rPr>
          <w:rFonts w:ascii="Arial" w:hAnsi="Arial" w:cs="Arial"/>
          <w:b/>
          <w:sz w:val="10"/>
          <w:szCs w:val="10"/>
          <w:lang w:eastAsia="hr-HR"/>
        </w:rPr>
      </w:pPr>
    </w:p>
    <w:p w14:paraId="0DD7E771" w14:textId="77777777" w:rsidR="00587444" w:rsidRPr="00587444" w:rsidRDefault="00587444" w:rsidP="00587444">
      <w:pPr>
        <w:suppressAutoHyphens w:val="0"/>
        <w:autoSpaceDN/>
        <w:jc w:val="both"/>
        <w:rPr>
          <w:rFonts w:ascii="Arial" w:hAnsi="Arial" w:cs="Arial"/>
          <w:sz w:val="20"/>
          <w:szCs w:val="20"/>
          <w:lang w:eastAsia="hr-HR"/>
        </w:rPr>
      </w:pPr>
      <w:r w:rsidRPr="00587444">
        <w:rPr>
          <w:rFonts w:ascii="Arial" w:hAnsi="Arial" w:cs="Arial"/>
          <w:sz w:val="20"/>
          <w:szCs w:val="20"/>
          <w:lang w:eastAsia="hr-HR"/>
        </w:rPr>
        <w:t xml:space="preserve">The principal activities of the Bank comprise the following: </w:t>
      </w:r>
    </w:p>
    <w:p w14:paraId="2ED6855C" w14:textId="77777777" w:rsidR="00587444" w:rsidRPr="00587444" w:rsidRDefault="00587444">
      <w:pPr>
        <w:widowControl w:val="0"/>
        <w:numPr>
          <w:ilvl w:val="0"/>
          <w:numId w:val="30"/>
        </w:numPr>
        <w:suppressAutoHyphens w:val="0"/>
        <w:autoSpaceDN/>
        <w:ind w:hanging="240"/>
        <w:contextualSpacing/>
        <w:jc w:val="both"/>
        <w:rPr>
          <w:rFonts w:ascii="Arial" w:hAnsi="Arial" w:cs="Arial"/>
          <w:sz w:val="20"/>
          <w:szCs w:val="20"/>
          <w:lang w:eastAsia="hr-HR"/>
        </w:rPr>
      </w:pPr>
      <w:r w:rsidRPr="00587444">
        <w:rPr>
          <w:rFonts w:ascii="Arial" w:hAnsi="Arial" w:cs="Arial"/>
          <w:sz w:val="20"/>
          <w:szCs w:val="20"/>
          <w:lang w:eastAsia="hr-HR"/>
        </w:rPr>
        <w:t xml:space="preserve">financing of reconstruction and development of the Croatian economy, </w:t>
      </w:r>
    </w:p>
    <w:p w14:paraId="76C6F3CF" w14:textId="77777777" w:rsidR="00587444" w:rsidRPr="00587444" w:rsidRDefault="00587444">
      <w:pPr>
        <w:numPr>
          <w:ilvl w:val="0"/>
          <w:numId w:val="30"/>
        </w:numPr>
        <w:tabs>
          <w:tab w:val="num" w:pos="1080"/>
        </w:tabs>
        <w:suppressAutoHyphens w:val="0"/>
        <w:autoSpaceDN/>
        <w:ind w:left="1077" w:hanging="357"/>
        <w:jc w:val="both"/>
        <w:rPr>
          <w:rFonts w:ascii="Arial" w:hAnsi="Arial" w:cs="Arial"/>
          <w:sz w:val="20"/>
          <w:szCs w:val="20"/>
          <w:lang w:eastAsia="hr-HR"/>
        </w:rPr>
      </w:pPr>
      <w:r w:rsidRPr="00587444">
        <w:rPr>
          <w:rFonts w:ascii="Arial" w:hAnsi="Arial" w:cs="Arial"/>
          <w:sz w:val="20"/>
          <w:szCs w:val="20"/>
          <w:lang w:eastAsia="hr-HR"/>
        </w:rPr>
        <w:t xml:space="preserve">financing of infrastructure, </w:t>
      </w:r>
    </w:p>
    <w:p w14:paraId="498440CA" w14:textId="77777777" w:rsidR="00587444" w:rsidRPr="00587444" w:rsidRDefault="00587444">
      <w:pPr>
        <w:numPr>
          <w:ilvl w:val="0"/>
          <w:numId w:val="30"/>
        </w:numPr>
        <w:tabs>
          <w:tab w:val="num" w:pos="1080"/>
        </w:tabs>
        <w:suppressAutoHyphens w:val="0"/>
        <w:autoSpaceDN/>
        <w:ind w:left="1077" w:hanging="357"/>
        <w:jc w:val="both"/>
        <w:rPr>
          <w:rFonts w:ascii="Arial" w:hAnsi="Arial" w:cs="Arial"/>
          <w:sz w:val="20"/>
          <w:szCs w:val="20"/>
          <w:lang w:eastAsia="hr-HR"/>
        </w:rPr>
      </w:pPr>
      <w:r w:rsidRPr="00587444">
        <w:rPr>
          <w:rFonts w:ascii="Arial" w:hAnsi="Arial" w:cs="Arial"/>
          <w:sz w:val="20"/>
          <w:szCs w:val="20"/>
          <w:lang w:eastAsia="hr-HR"/>
        </w:rPr>
        <w:t xml:space="preserve">promoting exports, </w:t>
      </w:r>
    </w:p>
    <w:p w14:paraId="71B65122" w14:textId="77777777" w:rsidR="00587444" w:rsidRPr="00587444" w:rsidRDefault="00587444">
      <w:pPr>
        <w:numPr>
          <w:ilvl w:val="0"/>
          <w:numId w:val="30"/>
        </w:numPr>
        <w:tabs>
          <w:tab w:val="num" w:pos="1080"/>
        </w:tabs>
        <w:suppressAutoHyphens w:val="0"/>
        <w:autoSpaceDN/>
        <w:ind w:left="1077" w:hanging="357"/>
        <w:jc w:val="both"/>
        <w:rPr>
          <w:rFonts w:ascii="Arial" w:hAnsi="Arial" w:cs="Arial"/>
          <w:sz w:val="20"/>
          <w:szCs w:val="20"/>
          <w:lang w:eastAsia="hr-HR"/>
        </w:rPr>
      </w:pPr>
      <w:r w:rsidRPr="00587444">
        <w:rPr>
          <w:rFonts w:ascii="Arial" w:hAnsi="Arial" w:cs="Arial"/>
          <w:sz w:val="20"/>
          <w:szCs w:val="20"/>
          <w:lang w:eastAsia="hr-HR"/>
        </w:rPr>
        <w:t xml:space="preserve">providing support to the development of SMEs, </w:t>
      </w:r>
    </w:p>
    <w:p w14:paraId="7A5377B0" w14:textId="77777777" w:rsidR="00587444" w:rsidRPr="00587444" w:rsidRDefault="00587444">
      <w:pPr>
        <w:numPr>
          <w:ilvl w:val="0"/>
          <w:numId w:val="30"/>
        </w:numPr>
        <w:tabs>
          <w:tab w:val="num" w:pos="1080"/>
        </w:tabs>
        <w:suppressAutoHyphens w:val="0"/>
        <w:autoSpaceDN/>
        <w:ind w:left="1077" w:hanging="357"/>
        <w:jc w:val="both"/>
        <w:rPr>
          <w:rFonts w:ascii="Arial" w:hAnsi="Arial" w:cs="Arial"/>
          <w:sz w:val="20"/>
          <w:szCs w:val="20"/>
          <w:lang w:eastAsia="hr-HR"/>
        </w:rPr>
      </w:pPr>
      <w:r w:rsidRPr="00587444">
        <w:rPr>
          <w:rFonts w:ascii="Arial" w:hAnsi="Arial" w:cs="Arial"/>
          <w:sz w:val="20"/>
          <w:szCs w:val="20"/>
          <w:lang w:eastAsia="hr-HR"/>
        </w:rPr>
        <w:t xml:space="preserve">promoting environmental protection, and </w:t>
      </w:r>
    </w:p>
    <w:p w14:paraId="6F23A255" w14:textId="77777777" w:rsidR="00587444" w:rsidRPr="00587444" w:rsidRDefault="00587444">
      <w:pPr>
        <w:numPr>
          <w:ilvl w:val="0"/>
          <w:numId w:val="30"/>
        </w:numPr>
        <w:suppressAutoHyphens w:val="0"/>
        <w:autoSpaceDN/>
        <w:ind w:hanging="240"/>
        <w:contextualSpacing/>
        <w:rPr>
          <w:rFonts w:ascii="Arial" w:hAnsi="Arial" w:cs="Arial"/>
          <w:sz w:val="20"/>
          <w:szCs w:val="20"/>
          <w:lang w:eastAsia="hr-HR"/>
        </w:rPr>
      </w:pPr>
      <w:r w:rsidRPr="00587444">
        <w:rPr>
          <w:rFonts w:ascii="Arial" w:hAnsi="Arial" w:cs="Arial"/>
          <w:sz w:val="20"/>
          <w:szCs w:val="20"/>
          <w:lang w:eastAsia="hr-HR"/>
        </w:rPr>
        <w:t xml:space="preserve">providing domestic goods and services export insurance against non-market risks for and on behalf of the Republic of Croatia. </w:t>
      </w:r>
    </w:p>
    <w:p w14:paraId="45177969" w14:textId="77777777" w:rsidR="00587444" w:rsidRPr="00587444" w:rsidRDefault="00587444" w:rsidP="00587444">
      <w:pPr>
        <w:tabs>
          <w:tab w:val="left" w:pos="-720"/>
        </w:tabs>
        <w:autoSpaceDN/>
        <w:rPr>
          <w:rFonts w:ascii="Arial" w:hAnsi="Arial" w:cs="Arial"/>
          <w:b/>
          <w:spacing w:val="-3"/>
          <w:sz w:val="10"/>
          <w:szCs w:val="10"/>
          <w:lang w:eastAsia="hr-HR"/>
        </w:rPr>
      </w:pPr>
    </w:p>
    <w:p w14:paraId="30998597" w14:textId="77777777" w:rsidR="00587444" w:rsidRPr="00587444" w:rsidRDefault="00587444" w:rsidP="00587444">
      <w:pPr>
        <w:keepNext/>
        <w:suppressAutoHyphens w:val="0"/>
        <w:autoSpaceDN/>
        <w:jc w:val="both"/>
        <w:rPr>
          <w:rFonts w:ascii="Arial" w:hAnsi="Arial" w:cs="Arial"/>
          <w:spacing w:val="-3"/>
          <w:sz w:val="20"/>
          <w:szCs w:val="20"/>
        </w:rPr>
      </w:pPr>
      <w:r w:rsidRPr="00587444">
        <w:rPr>
          <w:rFonts w:ascii="Arial" w:hAnsi="Arial" w:cs="Arial"/>
          <w:spacing w:val="-3"/>
          <w:sz w:val="20"/>
          <w:szCs w:val="20"/>
        </w:rPr>
        <w:t>HBOR may perform other financial activities according to the decisions of the Government of the Republic of Croatia if, in their opinion, it is in the best interest of the Republic of Croatia.</w:t>
      </w:r>
    </w:p>
    <w:p w14:paraId="0CA6C089" w14:textId="77777777" w:rsidR="00587444" w:rsidRPr="00587444" w:rsidRDefault="00587444" w:rsidP="00587444">
      <w:pPr>
        <w:keepNext/>
        <w:suppressAutoHyphens w:val="0"/>
        <w:autoSpaceDN/>
        <w:jc w:val="both"/>
        <w:rPr>
          <w:rFonts w:ascii="Arial" w:hAnsi="Arial" w:cs="Arial"/>
          <w:spacing w:val="-3"/>
          <w:sz w:val="10"/>
          <w:szCs w:val="10"/>
        </w:rPr>
      </w:pPr>
    </w:p>
    <w:p w14:paraId="7434F09A" w14:textId="77777777" w:rsidR="00587444" w:rsidRPr="00587444" w:rsidRDefault="00587444" w:rsidP="00587444">
      <w:pPr>
        <w:keepNext/>
        <w:suppressAutoHyphens w:val="0"/>
        <w:autoSpaceDN/>
        <w:jc w:val="both"/>
        <w:rPr>
          <w:rFonts w:ascii="Arial" w:hAnsi="Arial" w:cs="Arial"/>
          <w:b/>
          <w:bCs/>
          <w:spacing w:val="-3"/>
          <w:sz w:val="20"/>
          <w:szCs w:val="20"/>
        </w:rPr>
      </w:pPr>
      <w:r w:rsidRPr="00587444">
        <w:rPr>
          <w:rFonts w:ascii="Arial" w:hAnsi="Arial" w:cs="Arial"/>
          <w:b/>
          <w:bCs/>
          <w:spacing w:val="-3"/>
          <w:sz w:val="20"/>
          <w:szCs w:val="20"/>
        </w:rPr>
        <w:t>1.3. The impact of the crisis caused by the Russian-Ukrainian war</w:t>
      </w:r>
    </w:p>
    <w:p w14:paraId="2DFF43ED" w14:textId="77777777" w:rsidR="00587444" w:rsidRPr="00587444" w:rsidRDefault="00587444" w:rsidP="00587932">
      <w:pPr>
        <w:keepNext/>
        <w:autoSpaceDN/>
        <w:jc w:val="both"/>
        <w:rPr>
          <w:rFonts w:ascii="Arial" w:hAnsi="Arial" w:cs="Arial"/>
          <w:spacing w:val="-3"/>
          <w:sz w:val="10"/>
          <w:szCs w:val="10"/>
        </w:rPr>
      </w:pPr>
    </w:p>
    <w:p w14:paraId="34DD97DE" w14:textId="77777777" w:rsidR="00587444" w:rsidRPr="00587444" w:rsidRDefault="00587444" w:rsidP="00587932">
      <w:pPr>
        <w:autoSpaceDN/>
        <w:spacing w:line="240" w:lineRule="exact"/>
        <w:jc w:val="both"/>
        <w:rPr>
          <w:rFonts w:ascii="Arial" w:eastAsia="Calibri" w:hAnsi="Arial" w:cs="Arial"/>
          <w:sz w:val="20"/>
          <w:szCs w:val="20"/>
          <w:lang w:val="hr-HR"/>
        </w:rPr>
      </w:pPr>
      <w:r w:rsidRPr="00587444">
        <w:rPr>
          <w:rFonts w:ascii="Arial" w:eastAsia="Calibri" w:hAnsi="Arial" w:cs="Arial"/>
          <w:sz w:val="20"/>
          <w:szCs w:val="20"/>
          <w:lang w:val="en-GB"/>
        </w:rPr>
        <w:t xml:space="preserve">Following the Russian invasion of Ukraine on 24 February 2022, the European Union imposed a package of sanctions against the Russian Federation and the Republic of Belarus </w:t>
      </w:r>
      <w:r w:rsidRPr="00587444">
        <w:rPr>
          <w:rFonts w:ascii="Arial" w:eastAsia="Calibri" w:hAnsi="Arial" w:cs="Arial"/>
          <w:sz w:val="20"/>
          <w:szCs w:val="20"/>
          <w:lang w:val="hr-HR"/>
        </w:rPr>
        <w:t>that has economic consequences for the entire EU market, including the Croatian economy.</w:t>
      </w:r>
      <w:r w:rsidRPr="00587444">
        <w:rPr>
          <w:rFonts w:ascii="Arial" w:eastAsia="Calibri" w:hAnsi="Arial" w:cs="Arial"/>
          <w:sz w:val="20"/>
          <w:szCs w:val="20"/>
          <w:lang w:val="en-GB"/>
        </w:rPr>
        <w:t xml:space="preserve">Entrepreneurs are affected in multiple ways, both directly and indirectly, especially in the form of reduction in demand, termination of existing contracts and projects with the consequent loss of turnover, disruptions in supply chains, particularly of raw materials and semi-finished products, energy prices and other input materials. The crisis is disrupting supply chains, affecting the exporters and the importers of Russian, </w:t>
      </w:r>
      <w:proofErr w:type="gramStart"/>
      <w:r w:rsidRPr="00587444">
        <w:rPr>
          <w:rFonts w:ascii="Arial" w:eastAsia="Calibri" w:hAnsi="Arial" w:cs="Arial"/>
          <w:sz w:val="20"/>
          <w:szCs w:val="20"/>
          <w:lang w:val="en-GB"/>
        </w:rPr>
        <w:t>Ukrainian</w:t>
      </w:r>
      <w:proofErr w:type="gramEnd"/>
      <w:r w:rsidRPr="00587444">
        <w:rPr>
          <w:rFonts w:ascii="Arial" w:eastAsia="Calibri" w:hAnsi="Arial" w:cs="Arial"/>
          <w:sz w:val="20"/>
          <w:szCs w:val="20"/>
          <w:lang w:val="en-GB"/>
        </w:rPr>
        <w:t xml:space="preserve"> and Belarusian goods and services. The negative impact of price increases is already being felt throughout the Croatian economy.</w:t>
      </w:r>
    </w:p>
    <w:p w14:paraId="3417DF0A" w14:textId="77777777" w:rsidR="00587444" w:rsidRPr="00587444" w:rsidRDefault="00587444" w:rsidP="00587932">
      <w:pPr>
        <w:autoSpaceDN/>
        <w:jc w:val="both"/>
        <w:rPr>
          <w:rFonts w:ascii="Arial" w:eastAsia="Calibri" w:hAnsi="Arial" w:cs="Arial"/>
          <w:sz w:val="10"/>
          <w:szCs w:val="10"/>
          <w:lang w:val="en-GB"/>
        </w:rPr>
      </w:pPr>
    </w:p>
    <w:p w14:paraId="12D44FBD" w14:textId="77777777" w:rsidR="00587444" w:rsidRPr="00587444" w:rsidRDefault="00587444" w:rsidP="00587932">
      <w:pPr>
        <w:autoSpaceDN/>
        <w:spacing w:line="240" w:lineRule="exact"/>
        <w:jc w:val="both"/>
        <w:rPr>
          <w:rFonts w:ascii="Arial" w:eastAsia="Calibri" w:hAnsi="Arial" w:cs="Arial"/>
          <w:sz w:val="20"/>
          <w:szCs w:val="20"/>
          <w:lang w:val="en-GB"/>
        </w:rPr>
      </w:pPr>
      <w:r w:rsidRPr="00587444">
        <w:rPr>
          <w:rFonts w:ascii="Arial" w:eastAsia="Calibri" w:hAnsi="Arial" w:cs="Arial"/>
          <w:sz w:val="20"/>
          <w:szCs w:val="20"/>
          <w:lang w:val="en-GB"/>
        </w:rPr>
        <w:t>Following the above, HBOR has started a programme of support to the Croatian economy affected by the new crisis under:</w:t>
      </w:r>
    </w:p>
    <w:p w14:paraId="7603B59C" w14:textId="77777777" w:rsidR="00587444" w:rsidRPr="00587444" w:rsidRDefault="00587444" w:rsidP="00587932">
      <w:pPr>
        <w:autoSpaceDN/>
        <w:spacing w:line="240" w:lineRule="exact"/>
        <w:ind w:left="703" w:hanging="703"/>
        <w:jc w:val="both"/>
        <w:rPr>
          <w:rFonts w:ascii="Arial" w:eastAsia="Calibri" w:hAnsi="Arial" w:cs="Arial"/>
          <w:sz w:val="20"/>
          <w:szCs w:val="20"/>
          <w:lang w:val="en-GB"/>
        </w:rPr>
      </w:pPr>
      <w:r w:rsidRPr="00587444">
        <w:rPr>
          <w:rFonts w:ascii="Arial" w:eastAsia="Calibri" w:hAnsi="Arial" w:cs="Arial"/>
          <w:sz w:val="20"/>
          <w:szCs w:val="20"/>
          <w:lang w:val="en-GB"/>
        </w:rPr>
        <w:t>-</w:t>
      </w:r>
      <w:r w:rsidRPr="00587444">
        <w:rPr>
          <w:rFonts w:ascii="Arial" w:eastAsia="Calibri" w:hAnsi="Arial" w:cs="Arial"/>
          <w:sz w:val="20"/>
          <w:szCs w:val="20"/>
          <w:lang w:val="en-GB"/>
        </w:rPr>
        <w:tab/>
        <w:t>HBOR’s aid award programme aligned with the Temporary Crisis Framework for State Aid Measures to Support the Economy after Russia's Invasion of Ukraine - sections "2.1 and 2.3",</w:t>
      </w:r>
    </w:p>
    <w:p w14:paraId="075B2B78" w14:textId="77777777" w:rsidR="00587444" w:rsidRPr="00587444" w:rsidRDefault="00587444" w:rsidP="00587932">
      <w:pPr>
        <w:autoSpaceDN/>
        <w:spacing w:line="240" w:lineRule="exact"/>
        <w:ind w:left="703" w:hanging="703"/>
        <w:jc w:val="both"/>
        <w:rPr>
          <w:rFonts w:ascii="Arial" w:eastAsia="Calibri" w:hAnsi="Arial" w:cs="Arial"/>
          <w:sz w:val="20"/>
          <w:szCs w:val="20"/>
          <w:lang w:val="en-GB"/>
        </w:rPr>
      </w:pPr>
      <w:r w:rsidRPr="00587444">
        <w:rPr>
          <w:rFonts w:ascii="Arial" w:eastAsia="Calibri" w:hAnsi="Arial" w:cs="Arial"/>
          <w:sz w:val="20"/>
          <w:szCs w:val="20"/>
          <w:lang w:val="en-GB"/>
        </w:rPr>
        <w:t>-</w:t>
      </w:r>
      <w:r w:rsidRPr="00587444">
        <w:rPr>
          <w:rFonts w:ascii="Arial" w:eastAsia="Calibri" w:hAnsi="Arial" w:cs="Arial"/>
          <w:sz w:val="20"/>
          <w:szCs w:val="20"/>
          <w:lang w:val="en-GB"/>
        </w:rPr>
        <w:tab/>
        <w:t xml:space="preserve">Decision on the Adoption of a Temporary Crisis Measure under the Working Capital Loan Programme: Working Capital CRISIS 2022 – Measure, the implementation of which has been extended until 31 December 2023 and </w:t>
      </w:r>
    </w:p>
    <w:p w14:paraId="4F9F4F91" w14:textId="77777777" w:rsidR="00587444" w:rsidRPr="00587444" w:rsidRDefault="00587444" w:rsidP="00587932">
      <w:pPr>
        <w:autoSpaceDN/>
        <w:spacing w:line="240" w:lineRule="exact"/>
        <w:ind w:left="703" w:hanging="703"/>
        <w:jc w:val="both"/>
        <w:rPr>
          <w:rFonts w:ascii="Arial" w:eastAsia="Calibri" w:hAnsi="Arial" w:cs="Arial"/>
          <w:sz w:val="20"/>
          <w:szCs w:val="20"/>
          <w:lang w:val="en-GB"/>
        </w:rPr>
      </w:pPr>
      <w:r w:rsidRPr="00587444">
        <w:rPr>
          <w:rFonts w:ascii="Arial" w:eastAsia="Calibri" w:hAnsi="Arial" w:cs="Arial"/>
          <w:sz w:val="20"/>
          <w:szCs w:val="20"/>
          <w:lang w:val="en-GB"/>
        </w:rPr>
        <w:t>-</w:t>
      </w:r>
      <w:r w:rsidRPr="00587444">
        <w:rPr>
          <w:rFonts w:ascii="Arial" w:eastAsia="Calibri" w:hAnsi="Arial" w:cs="Arial"/>
          <w:sz w:val="20"/>
          <w:szCs w:val="20"/>
          <w:lang w:val="en-GB"/>
        </w:rPr>
        <w:tab/>
        <w:t>Ordinance on the Processing of Applications for Direct Loans under the loan programme Working Capital CRISIS 2022 – Measure that includes also financing under the risk-sharing model with financial institutions.</w:t>
      </w:r>
    </w:p>
    <w:p w14:paraId="2DBC57A0" w14:textId="77777777" w:rsidR="00587444" w:rsidRPr="00587444" w:rsidRDefault="00587444" w:rsidP="00587932">
      <w:pPr>
        <w:autoSpaceDN/>
        <w:ind w:left="703" w:hanging="703"/>
        <w:jc w:val="both"/>
        <w:rPr>
          <w:rFonts w:ascii="Arial" w:eastAsia="Calibri" w:hAnsi="Arial" w:cs="Arial"/>
          <w:sz w:val="10"/>
          <w:szCs w:val="10"/>
          <w:lang w:val="en-GB"/>
        </w:rPr>
      </w:pPr>
    </w:p>
    <w:p w14:paraId="2D7A68D2" w14:textId="77777777"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sz w:val="20"/>
          <w:szCs w:val="20"/>
          <w:lang w:val="en-GB"/>
        </w:rPr>
        <w:t>Although the long-term impact of this crisis on the Group’s operations is currently difficult to quantify, the HBOR Group has a high level of capitalisation and liquidity and an appropriate level of provisions for exposures. Therefore, the Management Board of HBOR estimates that the continuity of business of the HBOR Group and HBOR is beyond doubt.</w:t>
      </w:r>
    </w:p>
    <w:p w14:paraId="4C141602" w14:textId="77777777" w:rsidR="00587444" w:rsidRPr="00587444" w:rsidRDefault="00587444" w:rsidP="00587932">
      <w:pPr>
        <w:autoSpaceDN/>
        <w:jc w:val="both"/>
        <w:rPr>
          <w:rFonts w:ascii="Arial" w:hAnsi="Arial" w:cs="Arial"/>
          <w:sz w:val="10"/>
          <w:szCs w:val="10"/>
          <w:lang w:val="en-GB"/>
        </w:rPr>
      </w:pPr>
    </w:p>
    <w:p w14:paraId="399D1CC6" w14:textId="77777777" w:rsidR="00587444" w:rsidRPr="00587444" w:rsidRDefault="00587444" w:rsidP="00587932">
      <w:pPr>
        <w:autoSpaceDN/>
        <w:jc w:val="both"/>
        <w:rPr>
          <w:rFonts w:ascii="Arial" w:hAnsi="Arial" w:cs="Arial"/>
          <w:sz w:val="20"/>
          <w:szCs w:val="20"/>
          <w:lang w:val="en-GB"/>
        </w:rPr>
      </w:pPr>
      <w:r w:rsidRPr="00587444">
        <w:rPr>
          <w:rFonts w:ascii="Arial" w:hAnsi="Arial" w:cs="Arial"/>
          <w:sz w:val="20"/>
          <w:szCs w:val="20"/>
          <w:lang w:val="en-GB"/>
        </w:rPr>
        <w:t xml:space="preserve">HBOR Group is comprised of HBOR as the parent company and of subsidiary companies: </w:t>
      </w:r>
      <w:proofErr w:type="spellStart"/>
      <w:r w:rsidRPr="00587444">
        <w:rPr>
          <w:rFonts w:ascii="Arial" w:hAnsi="Arial" w:cs="Arial"/>
          <w:sz w:val="20"/>
          <w:szCs w:val="20"/>
          <w:lang w:val="en-GB"/>
        </w:rPr>
        <w:t>Hrvatsko</w:t>
      </w:r>
      <w:proofErr w:type="spellEnd"/>
      <w:r w:rsidRPr="00587444">
        <w:rPr>
          <w:rFonts w:ascii="Arial" w:hAnsi="Arial" w:cs="Arial"/>
          <w:sz w:val="20"/>
          <w:szCs w:val="20"/>
          <w:lang w:val="en-GB"/>
        </w:rPr>
        <w:t xml:space="preserve"> </w:t>
      </w:r>
      <w:proofErr w:type="spellStart"/>
      <w:r w:rsidRPr="00587444">
        <w:rPr>
          <w:rFonts w:ascii="Arial" w:hAnsi="Arial" w:cs="Arial"/>
          <w:sz w:val="20"/>
          <w:szCs w:val="20"/>
          <w:lang w:val="en-GB"/>
        </w:rPr>
        <w:t>kreditno</w:t>
      </w:r>
      <w:proofErr w:type="spellEnd"/>
      <w:r w:rsidRPr="00587444">
        <w:rPr>
          <w:rFonts w:ascii="Arial" w:hAnsi="Arial" w:cs="Arial"/>
          <w:sz w:val="20"/>
          <w:szCs w:val="20"/>
          <w:lang w:val="en-GB"/>
        </w:rPr>
        <w:t xml:space="preserve"> </w:t>
      </w:r>
      <w:proofErr w:type="spellStart"/>
      <w:r w:rsidRPr="00587444">
        <w:rPr>
          <w:rFonts w:ascii="Arial" w:hAnsi="Arial" w:cs="Arial"/>
          <w:sz w:val="20"/>
          <w:szCs w:val="20"/>
          <w:lang w:val="en-GB"/>
        </w:rPr>
        <w:t>osiguranje</w:t>
      </w:r>
      <w:proofErr w:type="spellEnd"/>
      <w:r w:rsidRPr="00587444">
        <w:rPr>
          <w:rFonts w:ascii="Arial" w:hAnsi="Arial" w:cs="Arial"/>
          <w:sz w:val="20"/>
          <w:szCs w:val="20"/>
          <w:lang w:val="en-GB"/>
        </w:rPr>
        <w:t xml:space="preserve"> </w:t>
      </w:r>
      <w:proofErr w:type="spellStart"/>
      <w:r w:rsidRPr="00587444">
        <w:rPr>
          <w:rFonts w:ascii="Arial" w:hAnsi="Arial" w:cs="Arial"/>
          <w:sz w:val="20"/>
          <w:szCs w:val="20"/>
          <w:lang w:val="en-GB"/>
        </w:rPr>
        <w:t>d.d.</w:t>
      </w:r>
      <w:proofErr w:type="spellEnd"/>
      <w:r w:rsidRPr="00587444">
        <w:rPr>
          <w:rFonts w:ascii="Arial" w:hAnsi="Arial" w:cs="Arial"/>
          <w:sz w:val="20"/>
          <w:szCs w:val="20"/>
          <w:lang w:val="en-GB"/>
        </w:rPr>
        <w:t xml:space="preserve"> (hereinafter: HKO) and </w:t>
      </w:r>
      <w:proofErr w:type="spellStart"/>
      <w:r w:rsidRPr="00587444">
        <w:rPr>
          <w:rFonts w:ascii="Arial" w:hAnsi="Arial" w:cs="Arial"/>
          <w:sz w:val="20"/>
          <w:szCs w:val="20"/>
          <w:lang w:val="en-GB"/>
        </w:rPr>
        <w:t>Poslovni</w:t>
      </w:r>
      <w:proofErr w:type="spellEnd"/>
      <w:r w:rsidRPr="00587444">
        <w:rPr>
          <w:rFonts w:ascii="Arial" w:hAnsi="Arial" w:cs="Arial"/>
          <w:sz w:val="20"/>
          <w:szCs w:val="20"/>
          <w:lang w:val="en-GB"/>
        </w:rPr>
        <w:t xml:space="preserve"> info </w:t>
      </w:r>
      <w:proofErr w:type="spellStart"/>
      <w:r w:rsidRPr="00587444">
        <w:rPr>
          <w:rFonts w:ascii="Arial" w:hAnsi="Arial" w:cs="Arial"/>
          <w:sz w:val="20"/>
          <w:szCs w:val="20"/>
          <w:lang w:val="en-GB"/>
        </w:rPr>
        <w:t>servis</w:t>
      </w:r>
      <w:proofErr w:type="spellEnd"/>
      <w:r w:rsidRPr="00587444">
        <w:rPr>
          <w:rFonts w:ascii="Arial" w:hAnsi="Arial" w:cs="Arial"/>
          <w:sz w:val="20"/>
          <w:szCs w:val="20"/>
          <w:lang w:val="en-GB"/>
        </w:rPr>
        <w:t xml:space="preserve"> d.o.o. constituting HKO Group that represents 0.3% of the parent company’s total assets. The Management Board of the subsidiary companies</w:t>
      </w:r>
      <w:r w:rsidRPr="00587444" w:rsidDel="00827531">
        <w:rPr>
          <w:rFonts w:ascii="Arial" w:hAnsi="Arial" w:cs="Arial"/>
          <w:sz w:val="20"/>
          <w:szCs w:val="20"/>
          <w:lang w:val="en-GB"/>
        </w:rPr>
        <w:t xml:space="preserve"> </w:t>
      </w:r>
      <w:r w:rsidRPr="00587444">
        <w:rPr>
          <w:rFonts w:ascii="Arial" w:hAnsi="Arial" w:cs="Arial"/>
          <w:sz w:val="20"/>
          <w:szCs w:val="20"/>
          <w:lang w:val="en-GB"/>
        </w:rPr>
        <w:t>is taking the necessary measures to reduce the negative effects of the invasion of Ukraine.</w:t>
      </w:r>
    </w:p>
    <w:p w14:paraId="5B65ADCC" w14:textId="77777777" w:rsidR="00587444" w:rsidRPr="00587444" w:rsidRDefault="00587444" w:rsidP="00587444">
      <w:pPr>
        <w:suppressAutoHyphens w:val="0"/>
        <w:autoSpaceDN/>
        <w:jc w:val="both"/>
        <w:rPr>
          <w:rFonts w:ascii="Arial" w:hAnsi="Arial" w:cs="Arial"/>
          <w:sz w:val="20"/>
          <w:szCs w:val="20"/>
          <w:lang w:val="en-GB"/>
        </w:rPr>
        <w:sectPr w:rsidR="00587444" w:rsidRPr="00587444" w:rsidSect="00DD69E7">
          <w:pgSz w:w="11907" w:h="16840" w:code="9"/>
          <w:pgMar w:top="1418" w:right="992" w:bottom="1134" w:left="1418" w:header="851" w:footer="851" w:gutter="0"/>
          <w:cols w:space="720"/>
          <w:noEndnote/>
        </w:sectPr>
      </w:pPr>
    </w:p>
    <w:p w14:paraId="66C94B17" w14:textId="77777777" w:rsidR="00587444" w:rsidRPr="00587444" w:rsidRDefault="00587444" w:rsidP="00587444">
      <w:pPr>
        <w:suppressAutoHyphens w:val="0"/>
        <w:autoSpaceDN/>
        <w:jc w:val="both"/>
        <w:rPr>
          <w:rFonts w:ascii="Arial" w:hAnsi="Arial" w:cs="Arial"/>
          <w:sz w:val="20"/>
          <w:szCs w:val="20"/>
          <w:lang w:eastAsia="hr-HR"/>
        </w:rPr>
      </w:pPr>
    </w:p>
    <w:p w14:paraId="5352A558" w14:textId="77777777" w:rsidR="00587444" w:rsidRPr="00587444" w:rsidRDefault="00587444">
      <w:pPr>
        <w:keepNext/>
        <w:numPr>
          <w:ilvl w:val="0"/>
          <w:numId w:val="34"/>
        </w:numPr>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Basis of Preparation of the Financial Statements</w:t>
      </w:r>
    </w:p>
    <w:p w14:paraId="249E01B4" w14:textId="77777777" w:rsidR="00587444" w:rsidRPr="00587444" w:rsidRDefault="00587444">
      <w:pPr>
        <w:keepNext/>
        <w:numPr>
          <w:ilvl w:val="1"/>
          <w:numId w:val="34"/>
        </w:numPr>
        <w:tabs>
          <w:tab w:val="left" w:pos="567"/>
        </w:tabs>
        <w:suppressAutoHyphens w:val="0"/>
        <w:autoSpaceDN/>
        <w:spacing w:before="120" w:after="120"/>
        <w:jc w:val="both"/>
        <w:rPr>
          <w:rFonts w:ascii="Arial" w:hAnsi="Arial" w:cs="Arial"/>
          <w:b/>
          <w:bCs/>
          <w:sz w:val="20"/>
          <w:szCs w:val="20"/>
          <w:lang w:val="en-GB"/>
        </w:rPr>
      </w:pPr>
      <w:r w:rsidRPr="00587444">
        <w:rPr>
          <w:rFonts w:ascii="Arial" w:hAnsi="Arial" w:cs="Arial"/>
          <w:b/>
          <w:bCs/>
          <w:sz w:val="20"/>
          <w:szCs w:val="20"/>
          <w:lang w:val="en-GB"/>
        </w:rPr>
        <w:t>Statement of compliance</w:t>
      </w:r>
    </w:p>
    <w:p w14:paraId="5CB41CF9" w14:textId="0F41FD7C" w:rsidR="00587444" w:rsidRPr="00587444" w:rsidRDefault="00587444" w:rsidP="00587932">
      <w:pPr>
        <w:keepNext/>
        <w:tabs>
          <w:tab w:val="left" w:pos="567"/>
        </w:tabs>
        <w:autoSpaceDN/>
        <w:spacing w:before="240"/>
        <w:jc w:val="both"/>
        <w:rPr>
          <w:rFonts w:ascii="Arial" w:eastAsia="Calibri" w:hAnsi="Arial" w:cs="Arial"/>
          <w:color w:val="222222"/>
          <w:sz w:val="20"/>
          <w:szCs w:val="20"/>
          <w:lang w:eastAsia="hr-HR"/>
        </w:rPr>
      </w:pPr>
      <w:r w:rsidRPr="00587444">
        <w:rPr>
          <w:rFonts w:ascii="Arial" w:eastAsia="Calibri" w:hAnsi="Arial" w:cs="Arial"/>
          <w:color w:val="222222"/>
          <w:sz w:val="20"/>
          <w:szCs w:val="20"/>
          <w:lang w:eastAsia="hr-HR"/>
        </w:rPr>
        <w:t xml:space="preserve">These consolidated and separate financial statements have been prepared in accordance with International Financial Reporting Standards as adopted by the EU. They were </w:t>
      </w:r>
      <w:proofErr w:type="spellStart"/>
      <w:r w:rsidRPr="00587444">
        <w:rPr>
          <w:rFonts w:ascii="Arial" w:eastAsia="Calibri" w:hAnsi="Arial" w:cs="Arial"/>
          <w:color w:val="222222"/>
          <w:sz w:val="20"/>
          <w:szCs w:val="20"/>
          <w:lang w:eastAsia="hr-HR"/>
        </w:rPr>
        <w:t>authorised</w:t>
      </w:r>
      <w:proofErr w:type="spellEnd"/>
      <w:r w:rsidRPr="00587444">
        <w:rPr>
          <w:rFonts w:ascii="Arial" w:eastAsia="Calibri" w:hAnsi="Arial" w:cs="Arial"/>
          <w:color w:val="222222"/>
          <w:sz w:val="20"/>
          <w:szCs w:val="20"/>
          <w:lang w:eastAsia="hr-HR"/>
        </w:rPr>
        <w:t xml:space="preserve"> for issue by the Bank’s Management Board on </w:t>
      </w:r>
      <w:r w:rsidRPr="00587444">
        <w:rPr>
          <w:rFonts w:ascii="Arial" w:hAnsi="Arial" w:cs="Arial"/>
          <w:color w:val="222222"/>
          <w:sz w:val="20"/>
          <w:szCs w:val="20"/>
          <w:lang w:val="en"/>
        </w:rPr>
        <w:t>2</w:t>
      </w:r>
      <w:r w:rsidR="00E35E39">
        <w:rPr>
          <w:rFonts w:ascii="Arial" w:hAnsi="Arial" w:cs="Arial"/>
          <w:color w:val="222222"/>
          <w:sz w:val="20"/>
          <w:szCs w:val="20"/>
          <w:lang w:val="en"/>
        </w:rPr>
        <w:t>3</w:t>
      </w:r>
      <w:r w:rsidRPr="00587444">
        <w:rPr>
          <w:rFonts w:ascii="Arial" w:eastAsia="Calibri" w:hAnsi="Arial" w:cs="Arial"/>
          <w:color w:val="222222"/>
          <w:sz w:val="20"/>
          <w:szCs w:val="20"/>
          <w:lang w:eastAsia="hr-HR"/>
        </w:rPr>
        <w:t xml:space="preserve"> March 2023.</w:t>
      </w:r>
    </w:p>
    <w:p w14:paraId="04C85A59" w14:textId="77777777" w:rsidR="00587444" w:rsidRPr="00587444" w:rsidRDefault="00587444" w:rsidP="00587932">
      <w:pPr>
        <w:keepNext/>
        <w:tabs>
          <w:tab w:val="left" w:pos="567"/>
        </w:tabs>
        <w:autoSpaceDN/>
        <w:jc w:val="both"/>
        <w:rPr>
          <w:rFonts w:ascii="Arial" w:hAnsi="Arial" w:cs="Arial"/>
          <w:b/>
          <w:bCs/>
          <w:sz w:val="20"/>
          <w:szCs w:val="20"/>
          <w:highlight w:val="yellow"/>
          <w:lang w:val="en-GB"/>
        </w:rPr>
      </w:pPr>
    </w:p>
    <w:p w14:paraId="153EAC4D" w14:textId="77777777" w:rsidR="00587444" w:rsidRPr="00587444" w:rsidRDefault="00587444" w:rsidP="00587932">
      <w:pPr>
        <w:keepNext/>
        <w:numPr>
          <w:ilvl w:val="1"/>
          <w:numId w:val="34"/>
        </w:numPr>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Measurement</w:t>
      </w:r>
    </w:p>
    <w:p w14:paraId="2064C0A5" w14:textId="77777777" w:rsidR="00587444" w:rsidRPr="00587444" w:rsidRDefault="00587444" w:rsidP="00587932">
      <w:pPr>
        <w:keepNext/>
        <w:tabs>
          <w:tab w:val="left" w:pos="567"/>
        </w:tabs>
        <w:autoSpaceDN/>
        <w:jc w:val="both"/>
        <w:rPr>
          <w:rFonts w:ascii="Arial" w:hAnsi="Arial" w:cs="Arial"/>
          <w:b/>
          <w:bCs/>
          <w:sz w:val="20"/>
          <w:szCs w:val="20"/>
          <w:highlight w:val="yellow"/>
          <w:lang w:val="en-GB"/>
        </w:rPr>
      </w:pPr>
    </w:p>
    <w:p w14:paraId="543F3608" w14:textId="77777777" w:rsidR="00587444" w:rsidRPr="00587444" w:rsidRDefault="00587444" w:rsidP="00587932">
      <w:pPr>
        <w:keepNext/>
        <w:tabs>
          <w:tab w:val="left" w:pos="567"/>
        </w:tabs>
        <w:autoSpaceDN/>
        <w:jc w:val="both"/>
        <w:rPr>
          <w:rFonts w:ascii="Arial" w:hAnsi="Arial" w:cs="Arial"/>
          <w:bCs/>
          <w:sz w:val="20"/>
          <w:szCs w:val="20"/>
          <w:lang w:val="en-GB"/>
        </w:rPr>
      </w:pPr>
      <w:r w:rsidRPr="00587444">
        <w:rPr>
          <w:rFonts w:ascii="Arial" w:hAnsi="Arial" w:cs="Arial"/>
          <w:bCs/>
          <w:sz w:val="20"/>
          <w:szCs w:val="20"/>
          <w:lang w:val="en-GB"/>
        </w:rPr>
        <w:t>The financial statements are prepared on the fair value basis for financial assets and liabilities at fair value through profit or loss and financial assets at fair value through other comprehensive income. Other financial assets and liabilities, and non-financial assets and liabilities, are stated at amortised or historical cost.</w:t>
      </w:r>
    </w:p>
    <w:p w14:paraId="1808C4AC" w14:textId="77777777" w:rsidR="00587444" w:rsidRPr="00587444" w:rsidRDefault="00587444" w:rsidP="00587932">
      <w:pPr>
        <w:keepNext/>
        <w:autoSpaceDN/>
        <w:jc w:val="both"/>
        <w:rPr>
          <w:rFonts w:ascii="Arial" w:hAnsi="Arial" w:cs="Arial"/>
          <w:sz w:val="20"/>
          <w:szCs w:val="20"/>
          <w:lang w:val="en-GB"/>
        </w:rPr>
      </w:pPr>
    </w:p>
    <w:p w14:paraId="236DC650" w14:textId="77777777" w:rsidR="00587444" w:rsidRPr="00587444" w:rsidRDefault="00587444" w:rsidP="00587932">
      <w:pPr>
        <w:keepNext/>
        <w:autoSpaceDN/>
        <w:jc w:val="both"/>
        <w:rPr>
          <w:rFonts w:ascii="Arial" w:hAnsi="Arial" w:cs="Arial"/>
          <w:sz w:val="20"/>
          <w:szCs w:val="20"/>
          <w:lang w:val="en-GB"/>
        </w:rPr>
      </w:pPr>
      <w:r w:rsidRPr="00587444">
        <w:rPr>
          <w:rFonts w:ascii="Arial" w:hAnsi="Arial" w:cs="Arial"/>
          <w:sz w:val="20"/>
          <w:szCs w:val="20"/>
          <w:lang w:val="en-GB"/>
        </w:rPr>
        <w:t>The financial statements are prepared on an accrual and a going concern basis.</w:t>
      </w:r>
    </w:p>
    <w:p w14:paraId="455DBE02" w14:textId="77777777" w:rsidR="00587444" w:rsidRPr="00587444" w:rsidRDefault="00587444" w:rsidP="00587932">
      <w:pPr>
        <w:keepNext/>
        <w:tabs>
          <w:tab w:val="left" w:pos="567"/>
        </w:tabs>
        <w:autoSpaceDN/>
        <w:ind w:left="360"/>
        <w:jc w:val="both"/>
        <w:rPr>
          <w:rFonts w:ascii="Arial" w:hAnsi="Arial" w:cs="Arial"/>
          <w:b/>
          <w:bCs/>
          <w:sz w:val="20"/>
          <w:szCs w:val="20"/>
          <w:highlight w:val="yellow"/>
          <w:lang w:val="en-GB"/>
        </w:rPr>
      </w:pPr>
    </w:p>
    <w:p w14:paraId="384F2F7D" w14:textId="77777777" w:rsidR="00587444" w:rsidRPr="00587444" w:rsidRDefault="00587444" w:rsidP="00587932">
      <w:pPr>
        <w:keepNext/>
        <w:numPr>
          <w:ilvl w:val="1"/>
          <w:numId w:val="34"/>
        </w:numPr>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 xml:space="preserve">Functional </w:t>
      </w:r>
      <w:bookmarkStart w:id="406" w:name="_Hlk129782575"/>
      <w:r w:rsidRPr="00587444">
        <w:rPr>
          <w:rFonts w:ascii="Arial" w:hAnsi="Arial" w:cs="Arial"/>
          <w:b/>
          <w:bCs/>
          <w:sz w:val="20"/>
          <w:szCs w:val="20"/>
          <w:lang w:val="en-GB"/>
        </w:rPr>
        <w:t xml:space="preserve">and presentation </w:t>
      </w:r>
      <w:bookmarkEnd w:id="406"/>
      <w:r w:rsidRPr="00587444">
        <w:rPr>
          <w:rFonts w:ascii="Arial" w:hAnsi="Arial" w:cs="Arial"/>
          <w:b/>
          <w:bCs/>
          <w:sz w:val="20"/>
          <w:szCs w:val="20"/>
          <w:lang w:val="en-GB"/>
        </w:rPr>
        <w:t>currency</w:t>
      </w:r>
    </w:p>
    <w:p w14:paraId="50DDA34E"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61CEB975" w14:textId="77777777" w:rsidR="00587444" w:rsidRPr="00587444" w:rsidRDefault="00587444" w:rsidP="00587932">
      <w:pPr>
        <w:keepNext/>
        <w:tabs>
          <w:tab w:val="left" w:pos="567"/>
        </w:tabs>
        <w:autoSpaceDN/>
        <w:jc w:val="both"/>
        <w:rPr>
          <w:rFonts w:ascii="Arial" w:hAnsi="Arial" w:cs="Arial"/>
          <w:bCs/>
          <w:sz w:val="20"/>
          <w:szCs w:val="20"/>
          <w:lang w:val="en-GB"/>
        </w:rPr>
      </w:pPr>
      <w:r w:rsidRPr="00587444">
        <w:rPr>
          <w:rFonts w:ascii="Arial" w:hAnsi="Arial" w:cs="Arial"/>
          <w:bCs/>
          <w:sz w:val="20"/>
          <w:szCs w:val="20"/>
          <w:lang w:val="en-GB"/>
        </w:rPr>
        <w:t xml:space="preserve">These financial statements of the Bank and the Group are presented in Croatian Kuna (HRK), which was the Bank’s functional and presentation currency until 31 December 2022. All amounts have been rounded to the nearest </w:t>
      </w:r>
      <w:proofErr w:type="spellStart"/>
      <w:r w:rsidRPr="00587444">
        <w:rPr>
          <w:rFonts w:ascii="Arial" w:hAnsi="Arial" w:cs="Arial"/>
          <w:bCs/>
          <w:sz w:val="20"/>
          <w:szCs w:val="20"/>
          <w:lang w:val="en-GB"/>
        </w:rPr>
        <w:t>thousand</w:t>
      </w:r>
      <w:proofErr w:type="spellEnd"/>
      <w:r w:rsidRPr="00587444">
        <w:rPr>
          <w:rFonts w:ascii="Arial" w:hAnsi="Arial" w:cs="Arial"/>
          <w:bCs/>
          <w:sz w:val="20"/>
          <w:szCs w:val="20"/>
          <w:lang w:val="en-GB"/>
        </w:rPr>
        <w:t>, except when otherwise indicated.</w:t>
      </w:r>
    </w:p>
    <w:p w14:paraId="52AD9A57" w14:textId="77777777" w:rsidR="00587444" w:rsidRPr="00587444" w:rsidRDefault="00587444" w:rsidP="00587444">
      <w:pPr>
        <w:keepNext/>
        <w:tabs>
          <w:tab w:val="left" w:pos="567"/>
        </w:tabs>
        <w:suppressAutoHyphens w:val="0"/>
        <w:autoSpaceDN/>
        <w:ind w:left="360"/>
        <w:jc w:val="both"/>
        <w:rPr>
          <w:rFonts w:ascii="Arial" w:hAnsi="Arial" w:cs="Arial"/>
          <w:b/>
          <w:bCs/>
          <w:sz w:val="20"/>
          <w:szCs w:val="20"/>
          <w:highlight w:val="yellow"/>
          <w:lang w:val="en-GB"/>
        </w:rPr>
      </w:pPr>
    </w:p>
    <w:p w14:paraId="6906D77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3. Use of judgements and estimates</w:t>
      </w:r>
    </w:p>
    <w:p w14:paraId="4684E498" w14:textId="77777777" w:rsidR="00587444" w:rsidRPr="00587444" w:rsidRDefault="00587444" w:rsidP="00587444">
      <w:pPr>
        <w:suppressAutoHyphens w:val="0"/>
        <w:autoSpaceDN/>
        <w:jc w:val="both"/>
        <w:rPr>
          <w:rFonts w:ascii="Arial" w:hAnsi="Arial" w:cs="Arial"/>
          <w:noProof/>
          <w:sz w:val="20"/>
          <w:szCs w:val="20"/>
          <w:lang w:val="en-GB"/>
        </w:rPr>
      </w:pPr>
    </w:p>
    <w:p w14:paraId="7342786D" w14:textId="77777777" w:rsidR="00587444" w:rsidRPr="00587444" w:rsidRDefault="00587444" w:rsidP="00587932">
      <w:pPr>
        <w:autoSpaceDN/>
        <w:jc w:val="both"/>
        <w:rPr>
          <w:rFonts w:ascii="Arial" w:hAnsi="Arial" w:cs="Arial"/>
          <w:noProof/>
          <w:color w:val="222222"/>
          <w:sz w:val="20"/>
          <w:szCs w:val="20"/>
          <w:lang w:val="en-GB" w:eastAsia="hr-HR"/>
        </w:rPr>
      </w:pPr>
      <w:r w:rsidRPr="00587444">
        <w:rPr>
          <w:rFonts w:ascii="Arial" w:hAnsi="Arial" w:cs="Arial"/>
          <w:noProof/>
          <w:sz w:val="20"/>
          <w:szCs w:val="20"/>
          <w:lang w:val="en-GB"/>
        </w:rPr>
        <w:t xml:space="preserve">For the preparation of financial statements in accordance with IFRSs, the Management Board is required to </w:t>
      </w:r>
      <w:bookmarkStart w:id="407" w:name="_Hlk35348847"/>
      <w:r w:rsidRPr="00587444">
        <w:rPr>
          <w:rFonts w:ascii="Arial" w:hAnsi="Arial" w:cs="Arial"/>
          <w:noProof/>
          <w:sz w:val="20"/>
          <w:szCs w:val="20"/>
          <w:lang w:val="en-GB"/>
        </w:rPr>
        <w:t xml:space="preserve">give estimations </w:t>
      </w:r>
      <w:bookmarkEnd w:id="407"/>
      <w:r w:rsidRPr="00587444">
        <w:rPr>
          <w:rFonts w:ascii="Arial" w:hAnsi="Arial" w:cs="Arial"/>
          <w:noProof/>
          <w:sz w:val="20"/>
          <w:szCs w:val="20"/>
          <w:lang w:val="en-GB"/>
        </w:rPr>
        <w:t xml:space="preserve">and make assumptions that influence the reported balances of assets and liabilities and to disclose contingent assets and liabilities at the date of financial statements, and present income and expense for the reporting period. </w:t>
      </w:r>
      <w:r w:rsidRPr="00587444">
        <w:rPr>
          <w:rFonts w:ascii="Arial" w:hAnsi="Arial" w:cs="Arial"/>
          <w:noProof/>
          <w:color w:val="222222"/>
          <w:sz w:val="20"/>
          <w:szCs w:val="20"/>
          <w:lang w:val="en-GB" w:eastAsia="hr-HR"/>
        </w:rPr>
        <w:t>Estimations and related assumptions are based on historical experience and various other factors that are considered to be reasonable in the given circumstances and with available information as of the date of preparation of the financial statements, which together form the basis for estimating the carrying amount of assets and liabilities that cannot be easily identified from other sources. Actual results may differ from these estimations. Estimations and related assumptions are continuously reviewed. Changes in accounting estimates are recognised in the period in which the estimate is changed if the change affects only that period, or in the period of change or future periods if the change affects the current and future periods.</w:t>
      </w:r>
    </w:p>
    <w:p w14:paraId="5812EC4D" w14:textId="77777777" w:rsidR="00587444" w:rsidRPr="00587444" w:rsidRDefault="00587444" w:rsidP="00587932">
      <w:pPr>
        <w:keepNext/>
        <w:tabs>
          <w:tab w:val="left" w:pos="567"/>
        </w:tabs>
        <w:autoSpaceDN/>
        <w:spacing w:before="240" w:after="120"/>
        <w:jc w:val="both"/>
        <w:rPr>
          <w:rFonts w:ascii="Arial" w:hAnsi="Arial" w:cs="Arial"/>
          <w:bCs/>
          <w:sz w:val="20"/>
          <w:szCs w:val="20"/>
          <w:lang w:val="en-GB"/>
        </w:rPr>
      </w:pPr>
      <w:r w:rsidRPr="00587444">
        <w:rPr>
          <w:rFonts w:ascii="Arial" w:hAnsi="Arial" w:cs="Arial"/>
          <w:bCs/>
          <w:sz w:val="20"/>
          <w:szCs w:val="20"/>
          <w:lang w:val="en-GB"/>
        </w:rPr>
        <w:t>Estimates and underlying assumptions are reviewed on an ongoing basis. Revisions to estimates are recognised prospectively.</w:t>
      </w:r>
    </w:p>
    <w:p w14:paraId="690025CE" w14:textId="77777777" w:rsidR="00587444" w:rsidRPr="00587444" w:rsidRDefault="00587444" w:rsidP="00587932">
      <w:pPr>
        <w:keepNext/>
        <w:tabs>
          <w:tab w:val="left" w:pos="567"/>
        </w:tabs>
        <w:autoSpaceDN/>
        <w:jc w:val="both"/>
        <w:rPr>
          <w:rFonts w:ascii="Arial" w:hAnsi="Arial" w:cs="Arial"/>
          <w:bCs/>
          <w:i/>
          <w:sz w:val="20"/>
          <w:szCs w:val="20"/>
          <w:lang w:val="en-GB"/>
        </w:rPr>
      </w:pPr>
      <w:r w:rsidRPr="00587444">
        <w:rPr>
          <w:rFonts w:ascii="Arial" w:hAnsi="Arial" w:cs="Arial"/>
          <w:bCs/>
          <w:i/>
          <w:sz w:val="20"/>
          <w:szCs w:val="20"/>
          <w:lang w:val="en-GB"/>
        </w:rPr>
        <w:t>Judgements</w:t>
      </w:r>
    </w:p>
    <w:p w14:paraId="45B735E3" w14:textId="77777777" w:rsidR="00587444" w:rsidRPr="00587444" w:rsidRDefault="00587444" w:rsidP="00587932">
      <w:pPr>
        <w:numPr>
          <w:ilvl w:val="0"/>
          <w:numId w:val="70"/>
        </w:numPr>
        <w:autoSpaceDE w:val="0"/>
        <w:autoSpaceDN/>
        <w:adjustRightInd w:val="0"/>
        <w:contextualSpacing/>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classification of financial assets: assessment of the business model within which the assets are held and assessment of whether the contractual terms of the financial asset are SPPI on the principal amount outstanding (Note 4.1.G.ii.)</w:t>
      </w:r>
    </w:p>
    <w:p w14:paraId="209B2E71" w14:textId="77777777" w:rsidR="00587444" w:rsidRPr="00587444" w:rsidRDefault="00587444" w:rsidP="00587932">
      <w:pPr>
        <w:numPr>
          <w:ilvl w:val="0"/>
          <w:numId w:val="70"/>
        </w:numPr>
        <w:autoSpaceDE w:val="0"/>
        <w:autoSpaceDN/>
        <w:adjustRightInd w:val="0"/>
        <w:contextualSpacing/>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establishing the criteria for determining whether credit risk on the financial asset has increased significantly since initial recognition, determining the methodology for incorporating forward-looking information into the measurement of ECL and selection and approval of models used to measure ECL </w:t>
      </w:r>
    </w:p>
    <w:p w14:paraId="2AD73731" w14:textId="77777777" w:rsidR="00587444" w:rsidRDefault="00587444" w:rsidP="00587932">
      <w:pPr>
        <w:numPr>
          <w:ilvl w:val="0"/>
          <w:numId w:val="70"/>
        </w:numPr>
        <w:autoSpaceDE w:val="0"/>
        <w:autoSpaceDN/>
        <w:adjustRightInd w:val="0"/>
        <w:contextualSpacing/>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determination of control over investees (Note 4.1.A.)</w:t>
      </w:r>
    </w:p>
    <w:p w14:paraId="7C516AE1" w14:textId="4F988FF3" w:rsidR="00BB5943" w:rsidRPr="00587444" w:rsidRDefault="00BB5943">
      <w:pPr>
        <w:numPr>
          <w:ilvl w:val="0"/>
          <w:numId w:val="70"/>
        </w:numPr>
        <w:suppressAutoHyphens w:val="0"/>
        <w:autoSpaceDE w:val="0"/>
        <w:autoSpaceDN/>
        <w:adjustRightInd w:val="0"/>
        <w:contextualSpacing/>
        <w:jc w:val="both"/>
        <w:rPr>
          <w:rFonts w:ascii="Arial" w:hAnsi="Arial" w:cs="Arial"/>
          <w:color w:val="000000"/>
          <w:sz w:val="20"/>
          <w:szCs w:val="20"/>
          <w:lang w:val="en-GB" w:eastAsia="hr-HR"/>
        </w:rPr>
        <w:sectPr w:rsidR="00BB5943" w:rsidRPr="00587444" w:rsidSect="00DD69E7">
          <w:pgSz w:w="11907" w:h="16840" w:code="9"/>
          <w:pgMar w:top="1418" w:right="992" w:bottom="1134" w:left="1418" w:header="851" w:footer="851" w:gutter="0"/>
          <w:cols w:space="720"/>
          <w:noEndnote/>
        </w:sectPr>
      </w:pPr>
    </w:p>
    <w:p w14:paraId="5A7E4507" w14:textId="77777777" w:rsidR="00587444" w:rsidRPr="00587444" w:rsidRDefault="00587444" w:rsidP="00587444">
      <w:pPr>
        <w:suppressAutoHyphens w:val="0"/>
        <w:autoSpaceDE w:val="0"/>
        <w:adjustRightInd w:val="0"/>
        <w:ind w:left="720"/>
        <w:contextualSpacing/>
        <w:jc w:val="both"/>
        <w:rPr>
          <w:rFonts w:ascii="Arial" w:hAnsi="Arial" w:cs="Arial"/>
          <w:color w:val="000000"/>
          <w:sz w:val="20"/>
          <w:szCs w:val="20"/>
          <w:lang w:val="hr-HR" w:eastAsia="hr-HR"/>
        </w:rPr>
      </w:pPr>
    </w:p>
    <w:p w14:paraId="392B1128"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3. Use of judgements and estimates (continued)</w:t>
      </w:r>
    </w:p>
    <w:p w14:paraId="443E0FC9" w14:textId="77777777" w:rsidR="00587444" w:rsidRPr="00587444" w:rsidRDefault="00587444" w:rsidP="00587444">
      <w:pPr>
        <w:suppressAutoHyphens w:val="0"/>
        <w:autoSpaceDE w:val="0"/>
        <w:adjustRightInd w:val="0"/>
        <w:jc w:val="both"/>
        <w:rPr>
          <w:rFonts w:ascii="Arial" w:hAnsi="Arial" w:cs="Arial"/>
          <w:color w:val="000000"/>
          <w:sz w:val="20"/>
          <w:szCs w:val="20"/>
          <w:lang w:val="hr-HR" w:eastAsia="hr-HR"/>
        </w:rPr>
      </w:pPr>
    </w:p>
    <w:p w14:paraId="1BF06D36" w14:textId="77777777" w:rsidR="00587444" w:rsidRPr="00587444" w:rsidRDefault="00587444" w:rsidP="00587444">
      <w:pPr>
        <w:suppressAutoHyphens w:val="0"/>
        <w:autoSpaceDE w:val="0"/>
        <w:adjustRightInd w:val="0"/>
        <w:jc w:val="both"/>
        <w:rPr>
          <w:rFonts w:ascii="Arial" w:hAnsi="Arial" w:cs="Arial"/>
          <w:i/>
          <w:color w:val="000000"/>
          <w:sz w:val="20"/>
          <w:szCs w:val="20"/>
          <w:lang w:val="en-GB" w:eastAsia="hr-HR"/>
        </w:rPr>
      </w:pPr>
      <w:r w:rsidRPr="00587444">
        <w:rPr>
          <w:rFonts w:ascii="Arial" w:hAnsi="Arial" w:cs="Arial"/>
          <w:i/>
          <w:color w:val="000000"/>
          <w:sz w:val="20"/>
          <w:szCs w:val="20"/>
          <w:lang w:val="en-GB" w:eastAsia="hr-HR"/>
        </w:rPr>
        <w:t xml:space="preserve">Assumptions and estimation uncertainties </w:t>
      </w:r>
    </w:p>
    <w:p w14:paraId="719A6643" w14:textId="77777777" w:rsidR="00587444" w:rsidRPr="00587444" w:rsidRDefault="00587444" w:rsidP="00587932">
      <w:pPr>
        <w:autoSpaceDE w:val="0"/>
        <w:adjustRightInd w:val="0"/>
        <w:rPr>
          <w:rFonts w:ascii="Arial" w:eastAsia="Calibri" w:hAnsi="Arial" w:cs="Arial"/>
          <w:color w:val="000000"/>
          <w:sz w:val="20"/>
          <w:szCs w:val="20"/>
          <w:lang w:val="en-GB"/>
        </w:rPr>
      </w:pPr>
    </w:p>
    <w:p w14:paraId="4B521AA4" w14:textId="77777777" w:rsidR="00587444" w:rsidRPr="00587444" w:rsidRDefault="00587444" w:rsidP="00587932">
      <w:pPr>
        <w:autoSpaceDN/>
        <w:jc w:val="both"/>
        <w:rPr>
          <w:rFonts w:ascii="Arial" w:hAnsi="Arial" w:cs="Arial"/>
          <w:noProof/>
          <w:color w:val="222222"/>
          <w:sz w:val="20"/>
          <w:szCs w:val="20"/>
          <w:lang w:val="en-GB"/>
        </w:rPr>
      </w:pPr>
      <w:r w:rsidRPr="00587444">
        <w:rPr>
          <w:rFonts w:ascii="Arial" w:hAnsi="Arial" w:cs="Arial"/>
          <w:noProof/>
          <w:color w:val="222222"/>
          <w:sz w:val="20"/>
          <w:szCs w:val="20"/>
          <w:lang w:val="en-GB" w:eastAsia="hr-HR"/>
        </w:rPr>
        <w:t>Information about assumptions and estimation uncertainties that have a significant risk of resulting in a material adjustment in the year ended 31 December 2022 is included in the following notes</w:t>
      </w:r>
    </w:p>
    <w:p w14:paraId="27D4DAA0" w14:textId="135C550E" w:rsidR="00587444" w:rsidRPr="00587444" w:rsidRDefault="00587444" w:rsidP="00587932">
      <w:pPr>
        <w:numPr>
          <w:ilvl w:val="0"/>
          <w:numId w:val="71"/>
        </w:numPr>
        <w:autoSpaceDE w:val="0"/>
        <w:autoSpaceDN/>
        <w:adjustRightInd w:val="0"/>
        <w:contextualSpacing/>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impairment of financial instruments: determination of inputs into the ECL measurement model,</w:t>
      </w:r>
      <w:r w:rsidR="00DB181F">
        <w:rPr>
          <w:rFonts w:ascii="Arial" w:hAnsi="Arial" w:cs="Arial"/>
          <w:color w:val="000000"/>
          <w:sz w:val="20"/>
          <w:szCs w:val="20"/>
          <w:lang w:val="en-GB" w:eastAsia="hr-HR"/>
        </w:rPr>
        <w:t xml:space="preserve"> </w:t>
      </w:r>
      <w:r w:rsidRPr="00587444">
        <w:rPr>
          <w:rFonts w:ascii="Arial" w:hAnsi="Arial" w:cs="Arial"/>
          <w:color w:val="000000"/>
          <w:sz w:val="20"/>
          <w:szCs w:val="20"/>
          <w:lang w:val="en-GB" w:eastAsia="hr-HR"/>
        </w:rPr>
        <w:t>incorporation of forward-looking information (Note 4.1.G.ix.)</w:t>
      </w:r>
    </w:p>
    <w:p w14:paraId="2BD3E5D2" w14:textId="77777777" w:rsidR="00587444" w:rsidRPr="00587444" w:rsidRDefault="00587444" w:rsidP="00587932">
      <w:pPr>
        <w:numPr>
          <w:ilvl w:val="0"/>
          <w:numId w:val="71"/>
        </w:numPr>
        <w:autoSpaceDE w:val="0"/>
        <w:autoSpaceDN/>
        <w:adjustRightInd w:val="0"/>
        <w:contextualSpacing/>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impairment of financial instruments: key assumptions used in estimating recoverable cash flows (Note 4.1.G.ix.)</w:t>
      </w:r>
    </w:p>
    <w:p w14:paraId="7B247DE1" w14:textId="77777777" w:rsidR="00587444" w:rsidRPr="00587444" w:rsidRDefault="00587444" w:rsidP="00587932">
      <w:pPr>
        <w:numPr>
          <w:ilvl w:val="0"/>
          <w:numId w:val="71"/>
        </w:numPr>
        <w:autoSpaceDE w:val="0"/>
        <w:autoSpaceDN/>
        <w:adjustRightInd w:val="0"/>
        <w:contextualSpacing/>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significant accounting estimates and judgements related to the application of IFRS 9 are described in Note (Note 4.1.G.)</w:t>
      </w:r>
    </w:p>
    <w:p w14:paraId="41FE23B7" w14:textId="77777777" w:rsidR="00587444" w:rsidRPr="00587444" w:rsidRDefault="00587444" w:rsidP="00587444">
      <w:pPr>
        <w:suppressAutoHyphens w:val="0"/>
        <w:autoSpaceDE w:val="0"/>
        <w:adjustRightInd w:val="0"/>
        <w:rPr>
          <w:rFonts w:ascii="Arial" w:eastAsia="Calibri" w:hAnsi="Arial" w:cs="Arial"/>
          <w:color w:val="000000"/>
          <w:sz w:val="20"/>
          <w:szCs w:val="20"/>
          <w:lang w:val="hr-HR"/>
        </w:rPr>
      </w:pPr>
    </w:p>
    <w:p w14:paraId="4DACEA7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color w:val="000000"/>
          <w:sz w:val="20"/>
          <w:szCs w:val="20"/>
          <w:lang w:val="hr-HR" w:eastAsia="hr-HR"/>
        </w:rPr>
        <w:t xml:space="preserve"> </w:t>
      </w:r>
      <w:r w:rsidRPr="00587444">
        <w:rPr>
          <w:rFonts w:ascii="Arial" w:hAnsi="Arial" w:cs="Arial"/>
          <w:b/>
          <w:bCs/>
          <w:sz w:val="20"/>
          <w:szCs w:val="20"/>
          <w:lang w:val="en-GB"/>
        </w:rPr>
        <w:t>4. Summary of significant accounting policies</w:t>
      </w:r>
    </w:p>
    <w:p w14:paraId="7DAAA50C"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168ABFD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w:t>
      </w:r>
      <w:r w:rsidRPr="00587444">
        <w:rPr>
          <w:rFonts w:ascii="Arial" w:hAnsi="Arial" w:cs="Arial"/>
          <w:sz w:val="20"/>
          <w:szCs w:val="20"/>
        </w:rPr>
        <w:t xml:space="preserve">  </w:t>
      </w:r>
      <w:r w:rsidRPr="00587444">
        <w:rPr>
          <w:rFonts w:ascii="Arial" w:hAnsi="Arial" w:cs="Arial"/>
          <w:b/>
          <w:bCs/>
          <w:sz w:val="20"/>
          <w:szCs w:val="20"/>
        </w:rPr>
        <w:t>Significant accounting policies</w:t>
      </w:r>
      <w:r w:rsidRPr="00587444" w:rsidDel="00BD0E06">
        <w:rPr>
          <w:rFonts w:ascii="Arial" w:hAnsi="Arial" w:cs="Arial"/>
          <w:b/>
          <w:bCs/>
          <w:sz w:val="20"/>
          <w:szCs w:val="20"/>
        </w:rPr>
        <w:t xml:space="preserve"> </w:t>
      </w:r>
    </w:p>
    <w:p w14:paraId="63ED4B2D"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2169FB87" w14:textId="77777777" w:rsidR="00587444" w:rsidRPr="00587444" w:rsidRDefault="00587444" w:rsidP="00587932">
      <w:pPr>
        <w:keepNext/>
        <w:autoSpaceDN/>
        <w:jc w:val="both"/>
        <w:rPr>
          <w:rFonts w:ascii="Arial" w:hAnsi="Arial" w:cs="Arial"/>
          <w:bCs/>
          <w:sz w:val="20"/>
          <w:szCs w:val="20"/>
          <w:lang w:val="en-GB"/>
        </w:rPr>
      </w:pPr>
      <w:r w:rsidRPr="00587444">
        <w:rPr>
          <w:rFonts w:ascii="Arial" w:hAnsi="Arial" w:cs="Arial"/>
          <w:bCs/>
          <w:sz w:val="20"/>
          <w:szCs w:val="20"/>
          <w:lang w:val="en-GB"/>
        </w:rPr>
        <w:t xml:space="preserve">Principal accounting policies applied when preparing these financial statements are summarized below. </w:t>
      </w:r>
    </w:p>
    <w:p w14:paraId="79E33F62" w14:textId="77777777" w:rsidR="00587444" w:rsidRPr="00587444" w:rsidRDefault="00587444" w:rsidP="00587932">
      <w:pPr>
        <w:keepNext/>
        <w:autoSpaceDN/>
        <w:jc w:val="both"/>
        <w:rPr>
          <w:rFonts w:ascii="Arial" w:hAnsi="Arial" w:cs="Arial"/>
          <w:bCs/>
          <w:sz w:val="20"/>
          <w:szCs w:val="20"/>
          <w:lang w:val="en-GB"/>
        </w:rPr>
      </w:pPr>
    </w:p>
    <w:p w14:paraId="1E038E89" w14:textId="77777777" w:rsidR="00587444" w:rsidRPr="00587444" w:rsidRDefault="00587444" w:rsidP="00587932">
      <w:pPr>
        <w:autoSpaceDN/>
        <w:jc w:val="both"/>
        <w:rPr>
          <w:rFonts w:ascii="Arial" w:hAnsi="Arial" w:cs="Arial"/>
          <w:sz w:val="20"/>
          <w:szCs w:val="20"/>
          <w:lang w:eastAsia="hr-HR"/>
        </w:rPr>
      </w:pPr>
      <w:r w:rsidRPr="00587444">
        <w:rPr>
          <w:rFonts w:ascii="Arial" w:hAnsi="Arial" w:cs="Arial"/>
          <w:sz w:val="20"/>
          <w:szCs w:val="20"/>
        </w:rPr>
        <w:t>The Group has consistently applied the following accounting policies to all periods presented in these separate and consolidated financial statements.</w:t>
      </w:r>
    </w:p>
    <w:p w14:paraId="097FE208" w14:textId="77777777" w:rsidR="00587444" w:rsidRPr="00587444" w:rsidRDefault="00587444" w:rsidP="00587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rPr>
          <w:rFonts w:ascii="Arial" w:hAnsi="Arial" w:cs="Arial"/>
          <w:sz w:val="20"/>
          <w:szCs w:val="20"/>
        </w:rPr>
      </w:pPr>
    </w:p>
    <w:p w14:paraId="0A0F1298"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A. Basis of consolidation</w:t>
      </w:r>
    </w:p>
    <w:p w14:paraId="7F4901D8"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2ED8B740" w14:textId="77777777" w:rsidR="00587444" w:rsidRPr="00587444" w:rsidRDefault="00587444" w:rsidP="00587444">
      <w:pPr>
        <w:suppressAutoHyphens w:val="0"/>
        <w:autoSpaceDE w:val="0"/>
        <w:adjustRightInd w:val="0"/>
        <w:spacing w:after="120"/>
        <w:jc w:val="both"/>
        <w:rPr>
          <w:rFonts w:ascii="Arial" w:hAnsi="Arial" w:cs="Arial"/>
          <w:bCs/>
          <w:i/>
          <w:sz w:val="20"/>
          <w:szCs w:val="20"/>
          <w:lang w:val="en-GB"/>
        </w:rPr>
      </w:pPr>
      <w:r w:rsidRPr="00587444">
        <w:rPr>
          <w:rFonts w:ascii="Arial" w:hAnsi="Arial" w:cs="Arial"/>
          <w:bCs/>
          <w:i/>
          <w:sz w:val="20"/>
          <w:szCs w:val="20"/>
          <w:lang w:val="en-GB"/>
        </w:rPr>
        <w:t>Subsidiaries</w:t>
      </w:r>
    </w:p>
    <w:p w14:paraId="4AFAEEC9" w14:textId="77777777" w:rsidR="00587444" w:rsidRPr="00587444" w:rsidRDefault="00587444" w:rsidP="00587444">
      <w:pPr>
        <w:suppressAutoHyphens w:val="0"/>
        <w:autoSpaceDE w:val="0"/>
        <w:adjustRightInd w:val="0"/>
        <w:spacing w:before="120" w:after="120"/>
        <w:jc w:val="both"/>
        <w:rPr>
          <w:rFonts w:ascii="Arial" w:hAnsi="Arial" w:cs="Arial"/>
          <w:bCs/>
          <w:sz w:val="20"/>
          <w:szCs w:val="20"/>
          <w:lang w:val="en-GB"/>
        </w:rPr>
      </w:pPr>
      <w:r w:rsidRPr="00587444">
        <w:rPr>
          <w:rFonts w:ascii="Arial" w:hAnsi="Arial" w:cs="Arial"/>
          <w:bCs/>
          <w:sz w:val="20"/>
          <w:szCs w:val="20"/>
          <w:lang w:val="en-GB"/>
        </w:rPr>
        <w:t xml:space="preserve">Subsidiaries are entities controlled by the Group. The Group ‘controls’ an entity if it is exposed to, or has rights to, variable returns from its involvement with the entity and </w:t>
      </w:r>
      <w:proofErr w:type="gramStart"/>
      <w:r w:rsidRPr="00587444">
        <w:rPr>
          <w:rFonts w:ascii="Arial" w:hAnsi="Arial" w:cs="Arial"/>
          <w:bCs/>
          <w:sz w:val="20"/>
          <w:szCs w:val="20"/>
          <w:lang w:val="en-GB"/>
        </w:rPr>
        <w:t>has the ability to</w:t>
      </w:r>
      <w:proofErr w:type="gramEnd"/>
      <w:r w:rsidRPr="00587444">
        <w:rPr>
          <w:rFonts w:ascii="Arial" w:hAnsi="Arial" w:cs="Arial"/>
          <w:bCs/>
          <w:sz w:val="20"/>
          <w:szCs w:val="20"/>
          <w:lang w:val="en-GB"/>
        </w:rPr>
        <w:t xml:space="preserve"> affect those returns through its power over the entity. The Group reassesses whether it has control if there are changes to one or more of the elements of control. This includes circumstances in which protective rights held (</w:t>
      </w:r>
      <w:proofErr w:type="gramStart"/>
      <w:r w:rsidRPr="00587444">
        <w:rPr>
          <w:rFonts w:ascii="Arial" w:hAnsi="Arial" w:cs="Arial"/>
          <w:bCs/>
          <w:sz w:val="20"/>
          <w:szCs w:val="20"/>
          <w:lang w:val="en-GB"/>
        </w:rPr>
        <w:t>e.g.</w:t>
      </w:r>
      <w:proofErr w:type="gramEnd"/>
      <w:r w:rsidRPr="00587444">
        <w:rPr>
          <w:rFonts w:ascii="Arial" w:hAnsi="Arial" w:cs="Arial"/>
          <w:bCs/>
          <w:sz w:val="20"/>
          <w:szCs w:val="20"/>
          <w:lang w:val="en-GB"/>
        </w:rPr>
        <w:t xml:space="preserve"> those resulting from a lending relationship) become substantive and lead to the Group having power over an investee.</w:t>
      </w:r>
    </w:p>
    <w:p w14:paraId="17A77B60" w14:textId="77777777" w:rsidR="00587444" w:rsidRPr="00587444" w:rsidRDefault="00587444" w:rsidP="00587444">
      <w:pPr>
        <w:suppressAutoHyphens w:val="0"/>
        <w:autoSpaceDE w:val="0"/>
        <w:adjustRightInd w:val="0"/>
        <w:spacing w:before="120" w:after="120"/>
        <w:jc w:val="both"/>
        <w:rPr>
          <w:rFonts w:ascii="Arial" w:hAnsi="Arial" w:cs="Arial"/>
          <w:bCs/>
          <w:sz w:val="20"/>
          <w:szCs w:val="20"/>
          <w:lang w:val="en-GB"/>
        </w:rPr>
      </w:pPr>
      <w:r w:rsidRPr="00587444">
        <w:rPr>
          <w:rFonts w:ascii="Arial" w:hAnsi="Arial" w:cs="Arial"/>
          <w:bCs/>
          <w:sz w:val="20"/>
          <w:szCs w:val="20"/>
          <w:lang w:val="en-GB"/>
        </w:rPr>
        <w:t xml:space="preserve">The financial statements of subsidiaries are included in the consolidated financial statements from the date on which control commences until the date on which control ceases. </w:t>
      </w:r>
    </w:p>
    <w:p w14:paraId="0F34CA00" w14:textId="77777777" w:rsidR="00587444" w:rsidRPr="00587444" w:rsidRDefault="00587444" w:rsidP="00587444">
      <w:pPr>
        <w:numPr>
          <w:ilvl w:val="12"/>
          <w:numId w:val="0"/>
        </w:numPr>
        <w:suppressAutoHyphens w:val="0"/>
        <w:autoSpaceDN/>
        <w:spacing w:before="120" w:after="120"/>
        <w:ind w:right="-1"/>
        <w:jc w:val="both"/>
        <w:rPr>
          <w:rFonts w:ascii="Arial" w:hAnsi="Arial" w:cs="Arial"/>
          <w:i/>
          <w:sz w:val="20"/>
          <w:szCs w:val="20"/>
        </w:rPr>
      </w:pPr>
      <w:r w:rsidRPr="00587444">
        <w:rPr>
          <w:rFonts w:ascii="Arial" w:hAnsi="Arial" w:cs="Arial"/>
          <w:i/>
          <w:sz w:val="20"/>
          <w:szCs w:val="20"/>
        </w:rPr>
        <w:t>Non-controlling interests</w:t>
      </w:r>
    </w:p>
    <w:p w14:paraId="77361759" w14:textId="77777777" w:rsidR="00587444" w:rsidRPr="00587444" w:rsidRDefault="00587444" w:rsidP="00587444">
      <w:pPr>
        <w:numPr>
          <w:ilvl w:val="12"/>
          <w:numId w:val="0"/>
        </w:numPr>
        <w:suppressAutoHyphens w:val="0"/>
        <w:autoSpaceDN/>
        <w:spacing w:before="120" w:after="120"/>
        <w:ind w:right="-1"/>
        <w:jc w:val="both"/>
        <w:rPr>
          <w:rFonts w:ascii="Arial" w:hAnsi="Arial" w:cs="Arial"/>
          <w:sz w:val="20"/>
          <w:szCs w:val="20"/>
        </w:rPr>
      </w:pPr>
      <w:r w:rsidRPr="00587444">
        <w:rPr>
          <w:rFonts w:ascii="Arial" w:hAnsi="Arial" w:cs="Arial"/>
          <w:sz w:val="20"/>
          <w:szCs w:val="20"/>
        </w:rPr>
        <w:t xml:space="preserve">Non-controlling interests are measured at their proportionate share of the acquiree’s identifiable net assets at the date of acquisition. </w:t>
      </w:r>
    </w:p>
    <w:p w14:paraId="712A97C2" w14:textId="77777777" w:rsidR="00587444" w:rsidRPr="00587444" w:rsidRDefault="00587444" w:rsidP="00587444">
      <w:pPr>
        <w:numPr>
          <w:ilvl w:val="12"/>
          <w:numId w:val="0"/>
        </w:numPr>
        <w:suppressAutoHyphens w:val="0"/>
        <w:autoSpaceDN/>
        <w:spacing w:before="120" w:after="120"/>
        <w:jc w:val="both"/>
        <w:rPr>
          <w:rFonts w:ascii="Arial" w:hAnsi="Arial" w:cs="Arial"/>
          <w:sz w:val="20"/>
          <w:szCs w:val="20"/>
        </w:rPr>
      </w:pPr>
      <w:r w:rsidRPr="00587444">
        <w:rPr>
          <w:rFonts w:ascii="Arial" w:hAnsi="Arial" w:cs="Arial"/>
          <w:sz w:val="20"/>
          <w:szCs w:val="20"/>
        </w:rPr>
        <w:t>Changes in the Group’s interests in a subsidiary that do not result in a loss of control are accounted for as equity transactions.</w:t>
      </w:r>
    </w:p>
    <w:p w14:paraId="0A0CD302" w14:textId="77777777" w:rsidR="00587444" w:rsidRPr="00587444" w:rsidRDefault="00587444" w:rsidP="00587444">
      <w:pPr>
        <w:tabs>
          <w:tab w:val="left" w:pos="-720"/>
        </w:tabs>
        <w:autoSpaceDN/>
        <w:spacing w:before="120" w:after="120"/>
        <w:jc w:val="both"/>
        <w:rPr>
          <w:rFonts w:ascii="Arial" w:hAnsi="Arial" w:cs="Arial"/>
          <w:i/>
          <w:sz w:val="20"/>
          <w:szCs w:val="20"/>
        </w:rPr>
      </w:pPr>
      <w:r w:rsidRPr="00587444">
        <w:rPr>
          <w:rFonts w:ascii="Arial" w:hAnsi="Arial" w:cs="Arial"/>
          <w:i/>
          <w:sz w:val="20"/>
          <w:szCs w:val="20"/>
        </w:rPr>
        <w:t>Loss of control</w:t>
      </w:r>
    </w:p>
    <w:p w14:paraId="248CFB7C" w14:textId="77777777" w:rsidR="00587444" w:rsidRDefault="00587444" w:rsidP="00587444">
      <w:pPr>
        <w:tabs>
          <w:tab w:val="left" w:pos="-720"/>
        </w:tabs>
        <w:autoSpaceDN/>
        <w:spacing w:before="120" w:after="120"/>
        <w:jc w:val="both"/>
        <w:rPr>
          <w:rFonts w:ascii="Arial" w:hAnsi="Arial" w:cs="Arial"/>
          <w:sz w:val="20"/>
          <w:szCs w:val="20"/>
        </w:rPr>
      </w:pPr>
      <w:r w:rsidRPr="00587444">
        <w:rPr>
          <w:rFonts w:ascii="Arial" w:hAnsi="Arial" w:cs="Arial"/>
          <w:sz w:val="20"/>
          <w:szCs w:val="20"/>
        </w:rPr>
        <w:t xml:space="preserve">When the Group loses control over a subsidiary, it </w:t>
      </w:r>
      <w:proofErr w:type="spellStart"/>
      <w:r w:rsidRPr="00587444">
        <w:rPr>
          <w:rFonts w:ascii="Arial" w:hAnsi="Arial" w:cs="Arial"/>
          <w:sz w:val="20"/>
          <w:szCs w:val="20"/>
        </w:rPr>
        <w:t>derecognises</w:t>
      </w:r>
      <w:proofErr w:type="spellEnd"/>
      <w:r w:rsidRPr="00587444">
        <w:rPr>
          <w:rFonts w:ascii="Arial" w:hAnsi="Arial" w:cs="Arial"/>
          <w:sz w:val="20"/>
          <w:szCs w:val="20"/>
        </w:rPr>
        <w:t xml:space="preserve"> the assets and liabilities of the subsidiary, and any related non-controlling interests and other components of equity. Any resulting gain or loss is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in profit or loss. Any interest retained in the former subsidiary is measured at fair value when control is lost.</w:t>
      </w:r>
    </w:p>
    <w:p w14:paraId="2907AC00" w14:textId="32132C08" w:rsidR="00BB5943" w:rsidRPr="00587444" w:rsidRDefault="00BB5943" w:rsidP="00587444">
      <w:pPr>
        <w:tabs>
          <w:tab w:val="left" w:pos="-720"/>
        </w:tabs>
        <w:autoSpaceDN/>
        <w:spacing w:before="120" w:after="120"/>
        <w:jc w:val="both"/>
        <w:rPr>
          <w:rFonts w:ascii="Arial" w:hAnsi="Arial" w:cs="Arial"/>
          <w:sz w:val="20"/>
          <w:szCs w:val="20"/>
        </w:rPr>
        <w:sectPr w:rsidR="00BB5943" w:rsidRPr="00587444" w:rsidSect="00DD69E7">
          <w:pgSz w:w="11907" w:h="16840" w:code="9"/>
          <w:pgMar w:top="1418" w:right="992" w:bottom="1134" w:left="1418" w:header="851" w:footer="851" w:gutter="0"/>
          <w:cols w:space="720"/>
          <w:noEndnote/>
        </w:sectPr>
      </w:pPr>
    </w:p>
    <w:p w14:paraId="265E3F4A"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08AEB1B5"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4. Summary of significant accounting policies (continued)</w:t>
      </w:r>
    </w:p>
    <w:p w14:paraId="30E42C98" w14:textId="77777777" w:rsidR="00587444" w:rsidRPr="00587444" w:rsidRDefault="00587444" w:rsidP="00587932">
      <w:pPr>
        <w:keepNext/>
        <w:tabs>
          <w:tab w:val="left" w:pos="426"/>
        </w:tabs>
        <w:autoSpaceDN/>
        <w:jc w:val="both"/>
        <w:rPr>
          <w:rFonts w:ascii="Arial" w:hAnsi="Arial" w:cs="Arial"/>
          <w:b/>
          <w:bCs/>
          <w:sz w:val="20"/>
          <w:szCs w:val="20"/>
        </w:rPr>
      </w:pPr>
    </w:p>
    <w:p w14:paraId="3C8F93C4"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4.1.</w:t>
      </w:r>
      <w:r w:rsidRPr="00587444">
        <w:rPr>
          <w:rFonts w:ascii="Arial" w:hAnsi="Arial" w:cs="Arial"/>
          <w:sz w:val="20"/>
          <w:szCs w:val="20"/>
        </w:rPr>
        <w:t xml:space="preserve"> </w:t>
      </w:r>
      <w:r w:rsidRPr="00587444">
        <w:rPr>
          <w:rFonts w:ascii="Arial" w:hAnsi="Arial" w:cs="Arial"/>
          <w:b/>
          <w:bCs/>
          <w:sz w:val="20"/>
          <w:szCs w:val="20"/>
        </w:rPr>
        <w:t>Significant accounting policies</w:t>
      </w:r>
      <w:r w:rsidRPr="00587444" w:rsidDel="00BD0E06">
        <w:rPr>
          <w:rFonts w:ascii="Arial" w:hAnsi="Arial" w:cs="Arial"/>
          <w:b/>
          <w:bCs/>
          <w:sz w:val="20"/>
          <w:szCs w:val="20"/>
        </w:rPr>
        <w:t xml:space="preserve"> </w:t>
      </w:r>
      <w:r w:rsidRPr="00587444">
        <w:rPr>
          <w:rFonts w:ascii="Arial" w:hAnsi="Arial" w:cs="Arial"/>
          <w:b/>
          <w:bCs/>
          <w:sz w:val="20"/>
          <w:szCs w:val="20"/>
        </w:rPr>
        <w:t>(continued)</w:t>
      </w:r>
    </w:p>
    <w:p w14:paraId="6B24AA28"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78A0A635"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A. Basis of consolidation (continued)</w:t>
      </w:r>
    </w:p>
    <w:p w14:paraId="46152BD3" w14:textId="77777777" w:rsidR="00587444" w:rsidRPr="00587444" w:rsidRDefault="00587444" w:rsidP="00587932">
      <w:pPr>
        <w:tabs>
          <w:tab w:val="left" w:pos="-720"/>
        </w:tabs>
        <w:autoSpaceDN/>
        <w:jc w:val="both"/>
        <w:rPr>
          <w:rFonts w:ascii="Arial" w:hAnsi="Arial" w:cs="Arial"/>
          <w:sz w:val="20"/>
          <w:szCs w:val="20"/>
        </w:rPr>
      </w:pPr>
    </w:p>
    <w:p w14:paraId="353F1F23" w14:textId="77777777" w:rsidR="00587444" w:rsidRPr="00587444" w:rsidRDefault="00587444" w:rsidP="00587932">
      <w:pPr>
        <w:tabs>
          <w:tab w:val="left" w:pos="-720"/>
        </w:tabs>
        <w:autoSpaceDN/>
        <w:ind w:right="-1"/>
        <w:jc w:val="both"/>
        <w:rPr>
          <w:rFonts w:ascii="Arial" w:hAnsi="Arial" w:cs="Arial"/>
          <w:i/>
          <w:sz w:val="20"/>
          <w:szCs w:val="20"/>
        </w:rPr>
      </w:pPr>
      <w:r w:rsidRPr="00587444">
        <w:rPr>
          <w:rFonts w:ascii="Arial" w:hAnsi="Arial" w:cs="Arial"/>
          <w:i/>
          <w:sz w:val="20"/>
          <w:szCs w:val="20"/>
        </w:rPr>
        <w:t>Transactions eliminated on consolidation</w:t>
      </w:r>
    </w:p>
    <w:p w14:paraId="519A4141" w14:textId="77777777" w:rsidR="00587444" w:rsidRPr="00587444" w:rsidRDefault="00587444" w:rsidP="00587932">
      <w:pPr>
        <w:tabs>
          <w:tab w:val="left" w:pos="-720"/>
        </w:tabs>
        <w:autoSpaceDN/>
        <w:ind w:right="-1"/>
        <w:jc w:val="both"/>
        <w:rPr>
          <w:rFonts w:ascii="Arial" w:hAnsi="Arial" w:cs="Arial"/>
          <w:i/>
          <w:sz w:val="20"/>
          <w:szCs w:val="20"/>
        </w:rPr>
      </w:pPr>
    </w:p>
    <w:p w14:paraId="25C635A7" w14:textId="77777777" w:rsidR="00587444" w:rsidRPr="00587444" w:rsidRDefault="00587444" w:rsidP="00587932">
      <w:pPr>
        <w:tabs>
          <w:tab w:val="left" w:pos="-720"/>
        </w:tabs>
        <w:autoSpaceDN/>
        <w:ind w:right="-1"/>
        <w:jc w:val="both"/>
        <w:rPr>
          <w:rFonts w:ascii="Arial" w:hAnsi="Arial" w:cs="Arial"/>
          <w:sz w:val="20"/>
          <w:szCs w:val="20"/>
        </w:rPr>
      </w:pPr>
      <w:r w:rsidRPr="00587444">
        <w:rPr>
          <w:rFonts w:ascii="Arial" w:hAnsi="Arial" w:cs="Arial"/>
          <w:sz w:val="20"/>
          <w:szCs w:val="20"/>
        </w:rPr>
        <w:t xml:space="preserve">Intra-group balances and transactions, and any </w:t>
      </w:r>
      <w:proofErr w:type="spellStart"/>
      <w:r w:rsidRPr="00587444">
        <w:rPr>
          <w:rFonts w:ascii="Arial" w:hAnsi="Arial" w:cs="Arial"/>
          <w:sz w:val="20"/>
          <w:szCs w:val="20"/>
        </w:rPr>
        <w:t>unrealised</w:t>
      </w:r>
      <w:proofErr w:type="spellEnd"/>
      <w:r w:rsidRPr="00587444">
        <w:rPr>
          <w:rFonts w:ascii="Arial" w:hAnsi="Arial" w:cs="Arial"/>
          <w:sz w:val="20"/>
          <w:szCs w:val="20"/>
        </w:rPr>
        <w:t xml:space="preserve"> income and expenses arising from intra-group transactions, are eliminated in preparing the consolidated financial statements. </w:t>
      </w:r>
      <w:proofErr w:type="spellStart"/>
      <w:r w:rsidRPr="00587444">
        <w:rPr>
          <w:rFonts w:ascii="Arial" w:hAnsi="Arial" w:cs="Arial"/>
          <w:sz w:val="20"/>
          <w:szCs w:val="20"/>
        </w:rPr>
        <w:t>Unrealised</w:t>
      </w:r>
      <w:proofErr w:type="spellEnd"/>
      <w:r w:rsidRPr="00587444">
        <w:rPr>
          <w:rFonts w:ascii="Arial" w:hAnsi="Arial" w:cs="Arial"/>
          <w:sz w:val="20"/>
          <w:szCs w:val="20"/>
        </w:rPr>
        <w:t xml:space="preserve"> losses are eliminated in the same way as </w:t>
      </w:r>
      <w:proofErr w:type="spellStart"/>
      <w:r w:rsidRPr="00587444">
        <w:rPr>
          <w:rFonts w:ascii="Arial" w:hAnsi="Arial" w:cs="Arial"/>
          <w:sz w:val="20"/>
          <w:szCs w:val="20"/>
        </w:rPr>
        <w:t>unrealised</w:t>
      </w:r>
      <w:proofErr w:type="spellEnd"/>
      <w:r w:rsidRPr="00587444">
        <w:rPr>
          <w:rFonts w:ascii="Arial" w:hAnsi="Arial" w:cs="Arial"/>
          <w:sz w:val="20"/>
          <w:szCs w:val="20"/>
        </w:rPr>
        <w:t xml:space="preserve"> gains, but only to the extent that there is no evidence of impairment.</w:t>
      </w:r>
    </w:p>
    <w:p w14:paraId="400515BE" w14:textId="77777777" w:rsidR="00587444" w:rsidRPr="00587444" w:rsidRDefault="00587444" w:rsidP="00587932">
      <w:pPr>
        <w:keepNext/>
        <w:tabs>
          <w:tab w:val="left" w:pos="567"/>
        </w:tabs>
        <w:autoSpaceDN/>
        <w:jc w:val="both"/>
        <w:rPr>
          <w:rFonts w:ascii="Arial" w:hAnsi="Arial" w:cs="Arial"/>
          <w:b/>
          <w:bCs/>
          <w:sz w:val="20"/>
          <w:szCs w:val="20"/>
          <w:lang w:val="pl-PL"/>
        </w:rPr>
      </w:pPr>
    </w:p>
    <w:p w14:paraId="1E1FFE34"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pl-PL"/>
        </w:rPr>
        <w:t xml:space="preserve">B. </w:t>
      </w:r>
      <w:r w:rsidRPr="00587444">
        <w:rPr>
          <w:rFonts w:ascii="Arial" w:hAnsi="Arial" w:cs="Arial"/>
          <w:b/>
          <w:bCs/>
          <w:sz w:val="20"/>
          <w:szCs w:val="20"/>
          <w:lang w:val="en-GB"/>
        </w:rPr>
        <w:t xml:space="preserve">Foreign currency transactions and foreign currency clause </w:t>
      </w:r>
    </w:p>
    <w:p w14:paraId="4C67E51C"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48CD434E" w14:textId="77777777" w:rsidR="00587444" w:rsidRPr="00587444" w:rsidRDefault="00587444" w:rsidP="00587932">
      <w:pPr>
        <w:autoSpaceDN/>
        <w:jc w:val="both"/>
        <w:rPr>
          <w:rFonts w:ascii="Arial" w:hAnsi="Arial" w:cs="Arial"/>
          <w:bCs/>
          <w:sz w:val="20"/>
          <w:szCs w:val="20"/>
          <w:lang w:val="en-GB"/>
        </w:rPr>
      </w:pPr>
      <w:r w:rsidRPr="00587444">
        <w:rPr>
          <w:rFonts w:ascii="Arial" w:hAnsi="Arial" w:cs="Arial"/>
          <w:bCs/>
          <w:sz w:val="20"/>
          <w:szCs w:val="20"/>
          <w:lang w:val="en-GB"/>
        </w:rPr>
        <w:t>Assets and liabilities expressed in foreign currencies are converted into HRK at the exchange rates quoted by the Croatian National Bank at the reporting date or at the contract exchange rates. Income and expense arising from foreign currencies are converted at the exchange rate on the transaction date. The resulting foreign exchange gains and losses are recorded in profit or loss.</w:t>
      </w:r>
    </w:p>
    <w:p w14:paraId="059BE2E7" w14:textId="77777777" w:rsidR="00587444" w:rsidRPr="00587444" w:rsidRDefault="00587444" w:rsidP="00587932">
      <w:pPr>
        <w:autoSpaceDN/>
        <w:jc w:val="both"/>
        <w:rPr>
          <w:rFonts w:ascii="Arial" w:hAnsi="Arial" w:cs="Arial"/>
          <w:bCs/>
          <w:sz w:val="20"/>
          <w:szCs w:val="20"/>
          <w:lang w:val="en-GB"/>
        </w:rPr>
      </w:pPr>
    </w:p>
    <w:p w14:paraId="485C6A0B" w14:textId="77777777" w:rsidR="00587444" w:rsidRPr="00587444" w:rsidRDefault="00587444" w:rsidP="00587932">
      <w:pPr>
        <w:autoSpaceDN/>
        <w:jc w:val="both"/>
        <w:rPr>
          <w:rFonts w:ascii="Arial" w:hAnsi="Arial" w:cs="Arial"/>
          <w:bCs/>
          <w:sz w:val="20"/>
          <w:szCs w:val="20"/>
          <w:lang w:val="en-GB"/>
        </w:rPr>
      </w:pPr>
      <w:r w:rsidRPr="00587444">
        <w:rPr>
          <w:rFonts w:ascii="Arial" w:hAnsi="Arial" w:cs="Arial"/>
          <w:bCs/>
          <w:sz w:val="20"/>
          <w:szCs w:val="20"/>
          <w:lang w:val="en-GB"/>
        </w:rPr>
        <w:t xml:space="preserve">The Bank has assets originated in HRK and linked to a foreign currency with a one-way currency clause. Due to this clause, the Bank has the option to revalue the asset using a foreign exchange rate, if beneficial for the Bank valid as of the date of maturity, compared to the foreign exchange rate valid as of the date of origination of asset. </w:t>
      </w:r>
    </w:p>
    <w:p w14:paraId="1C5D15B2" w14:textId="77777777" w:rsidR="00587444" w:rsidRPr="00587444" w:rsidRDefault="00587444" w:rsidP="00587932">
      <w:pPr>
        <w:keepNext/>
        <w:autoSpaceDN/>
        <w:spacing w:before="120" w:after="120"/>
        <w:jc w:val="both"/>
        <w:rPr>
          <w:rFonts w:ascii="Arial" w:hAnsi="Arial" w:cs="Arial"/>
          <w:sz w:val="20"/>
          <w:szCs w:val="20"/>
          <w:lang w:val="en-GB"/>
        </w:rPr>
      </w:pPr>
      <w:r w:rsidRPr="00587444">
        <w:rPr>
          <w:rFonts w:ascii="Arial" w:hAnsi="Arial" w:cs="Arial"/>
          <w:sz w:val="20"/>
          <w:szCs w:val="20"/>
          <w:lang w:val="en-GB"/>
        </w:rPr>
        <w:t xml:space="preserve">Foreign currency differences, arising from the translation of the equity investments in respect of which an election has been made to present subsequent changes in fair value in other comprehensive income, are recognised in other comprehensive income. Amounts recognised in other comprehensive income are not transferred to the profit or loss, they are retained in other comprehensive income </w:t>
      </w:r>
      <w:proofErr w:type="gramStart"/>
      <w:r w:rsidRPr="00587444">
        <w:rPr>
          <w:rFonts w:ascii="Arial" w:hAnsi="Arial" w:cs="Arial"/>
          <w:sz w:val="20"/>
          <w:szCs w:val="20"/>
          <w:lang w:val="en-GB"/>
        </w:rPr>
        <w:t>at the moment</w:t>
      </w:r>
      <w:proofErr w:type="gramEnd"/>
      <w:r w:rsidRPr="00587444">
        <w:rPr>
          <w:rFonts w:ascii="Arial" w:hAnsi="Arial" w:cs="Arial"/>
          <w:sz w:val="20"/>
          <w:szCs w:val="20"/>
          <w:lang w:val="en-GB"/>
        </w:rPr>
        <w:t xml:space="preserve"> of derecognition.</w:t>
      </w:r>
    </w:p>
    <w:p w14:paraId="3A15FE25" w14:textId="77777777" w:rsidR="00587444" w:rsidRPr="00587444" w:rsidRDefault="00587444" w:rsidP="00587932">
      <w:pPr>
        <w:autoSpaceDN/>
        <w:spacing w:before="120" w:after="120"/>
        <w:jc w:val="both"/>
        <w:rPr>
          <w:rFonts w:ascii="Arial" w:hAnsi="Arial" w:cs="Arial"/>
          <w:bCs/>
          <w:sz w:val="20"/>
          <w:szCs w:val="20"/>
          <w:lang w:val="en-GB"/>
        </w:rPr>
      </w:pPr>
      <w:r w:rsidRPr="00587444">
        <w:rPr>
          <w:rFonts w:ascii="Arial" w:hAnsi="Arial" w:cs="Arial"/>
          <w:bCs/>
          <w:sz w:val="20"/>
          <w:szCs w:val="20"/>
          <w:lang w:val="en-GB"/>
        </w:rPr>
        <w:t>The principal exchange rate set forth by the Croatian National Bank and used in the preparation of the financial statements at the reporting dates were as follows:</w:t>
      </w:r>
    </w:p>
    <w:tbl>
      <w:tblPr>
        <w:tblW w:w="5000" w:type="pct"/>
        <w:tblLook w:val="0000" w:firstRow="0" w:lastRow="0" w:firstColumn="0" w:lastColumn="0" w:noHBand="0" w:noVBand="0"/>
      </w:tblPr>
      <w:tblGrid>
        <w:gridCol w:w="2849"/>
        <w:gridCol w:w="284"/>
        <w:gridCol w:w="3312"/>
        <w:gridCol w:w="245"/>
        <w:gridCol w:w="3023"/>
      </w:tblGrid>
      <w:tr w:rsidR="00587444" w:rsidRPr="00587444" w14:paraId="4C1B273B" w14:textId="77777777" w:rsidTr="00DD69E7">
        <w:trPr>
          <w:trHeight w:val="337"/>
        </w:trPr>
        <w:tc>
          <w:tcPr>
            <w:tcW w:w="1467" w:type="pct"/>
            <w:vAlign w:val="center"/>
          </w:tcPr>
          <w:p w14:paraId="78C398EB" w14:textId="77777777" w:rsidR="00587444" w:rsidRPr="00587444" w:rsidRDefault="00587444" w:rsidP="00587444">
            <w:pPr>
              <w:suppressAutoHyphens w:val="0"/>
              <w:autoSpaceDN/>
              <w:jc w:val="both"/>
              <w:rPr>
                <w:rFonts w:ascii="Arial" w:hAnsi="Arial" w:cs="Arial"/>
                <w:sz w:val="20"/>
                <w:szCs w:val="20"/>
              </w:rPr>
            </w:pPr>
            <w:r w:rsidRPr="00587444">
              <w:rPr>
                <w:rFonts w:ascii="Arial" w:hAnsi="Arial" w:cs="Arial"/>
                <w:sz w:val="20"/>
                <w:szCs w:val="20"/>
              </w:rPr>
              <w:t>31 December 2022</w:t>
            </w:r>
          </w:p>
        </w:tc>
        <w:tc>
          <w:tcPr>
            <w:tcW w:w="146" w:type="pct"/>
            <w:vAlign w:val="center"/>
          </w:tcPr>
          <w:p w14:paraId="02CE7A84" w14:textId="77777777" w:rsidR="00587444" w:rsidRPr="00587444" w:rsidRDefault="00587444" w:rsidP="00587444">
            <w:pPr>
              <w:suppressAutoHyphens w:val="0"/>
              <w:autoSpaceDN/>
              <w:jc w:val="both"/>
              <w:rPr>
                <w:rFonts w:ascii="Arial" w:hAnsi="Arial" w:cs="Arial"/>
                <w:sz w:val="20"/>
                <w:szCs w:val="20"/>
              </w:rPr>
            </w:pPr>
          </w:p>
        </w:tc>
        <w:tc>
          <w:tcPr>
            <w:tcW w:w="1705" w:type="pct"/>
            <w:vAlign w:val="center"/>
          </w:tcPr>
          <w:p w14:paraId="463ED944" w14:textId="77777777" w:rsidR="00587444" w:rsidRPr="00587444" w:rsidRDefault="00587444" w:rsidP="00587444">
            <w:pPr>
              <w:suppressAutoHyphens w:val="0"/>
              <w:autoSpaceDN/>
              <w:jc w:val="center"/>
              <w:rPr>
                <w:rFonts w:ascii="Arial" w:hAnsi="Arial" w:cs="Arial"/>
                <w:sz w:val="20"/>
                <w:szCs w:val="20"/>
                <w:highlight w:val="yellow"/>
                <w:lang w:val="hr-HR"/>
              </w:rPr>
            </w:pPr>
            <w:r w:rsidRPr="00587444">
              <w:rPr>
                <w:rFonts w:ascii="Arial" w:hAnsi="Arial" w:cs="Arial"/>
                <w:color w:val="000000"/>
                <w:sz w:val="20"/>
                <w:szCs w:val="20"/>
                <w:lang w:val="hr-HR"/>
              </w:rPr>
              <w:t xml:space="preserve">1 EUR = HRK 7.534500 </w:t>
            </w:r>
          </w:p>
        </w:tc>
        <w:tc>
          <w:tcPr>
            <w:tcW w:w="126" w:type="pct"/>
            <w:vAlign w:val="center"/>
          </w:tcPr>
          <w:p w14:paraId="7421F233" w14:textId="77777777" w:rsidR="00587444" w:rsidRPr="00587444" w:rsidRDefault="00587444" w:rsidP="00587444">
            <w:pPr>
              <w:suppressAutoHyphens w:val="0"/>
              <w:autoSpaceDN/>
              <w:jc w:val="center"/>
              <w:rPr>
                <w:rFonts w:ascii="Arial" w:hAnsi="Arial" w:cs="Arial"/>
                <w:sz w:val="20"/>
                <w:szCs w:val="20"/>
                <w:highlight w:val="yellow"/>
                <w:lang w:val="hr-HR"/>
              </w:rPr>
            </w:pPr>
          </w:p>
        </w:tc>
        <w:tc>
          <w:tcPr>
            <w:tcW w:w="1556" w:type="pct"/>
            <w:vAlign w:val="center"/>
          </w:tcPr>
          <w:p w14:paraId="55557FF8" w14:textId="77777777" w:rsidR="00587444" w:rsidRPr="00587444" w:rsidRDefault="00587444" w:rsidP="00587444">
            <w:pPr>
              <w:suppressAutoHyphens w:val="0"/>
              <w:autoSpaceDN/>
              <w:jc w:val="center"/>
              <w:rPr>
                <w:rFonts w:ascii="Arial" w:hAnsi="Arial" w:cs="Arial"/>
                <w:sz w:val="20"/>
                <w:szCs w:val="20"/>
                <w:highlight w:val="yellow"/>
                <w:lang w:val="hr-HR"/>
              </w:rPr>
            </w:pPr>
            <w:r w:rsidRPr="00587444">
              <w:rPr>
                <w:rFonts w:ascii="Arial" w:hAnsi="Arial" w:cs="Arial"/>
                <w:color w:val="000000"/>
                <w:sz w:val="20"/>
                <w:szCs w:val="20"/>
                <w:lang w:val="hr-HR"/>
              </w:rPr>
              <w:t>1 USD = HRK 7,064035</w:t>
            </w:r>
          </w:p>
        </w:tc>
      </w:tr>
      <w:tr w:rsidR="00587444" w:rsidRPr="00587444" w14:paraId="449A0634" w14:textId="77777777" w:rsidTr="00DD69E7">
        <w:trPr>
          <w:trHeight w:val="427"/>
        </w:trPr>
        <w:tc>
          <w:tcPr>
            <w:tcW w:w="1467" w:type="pct"/>
            <w:vAlign w:val="center"/>
          </w:tcPr>
          <w:p w14:paraId="48BCEFFB" w14:textId="77777777" w:rsidR="00587444" w:rsidRPr="00587444" w:rsidRDefault="00587444" w:rsidP="00587444">
            <w:pPr>
              <w:suppressAutoHyphens w:val="0"/>
              <w:autoSpaceDN/>
              <w:jc w:val="both"/>
              <w:rPr>
                <w:rFonts w:ascii="Arial" w:hAnsi="Arial" w:cs="Arial"/>
                <w:sz w:val="20"/>
                <w:szCs w:val="20"/>
              </w:rPr>
            </w:pPr>
            <w:r w:rsidRPr="00587444">
              <w:rPr>
                <w:rFonts w:ascii="Arial" w:hAnsi="Arial" w:cs="Arial"/>
                <w:sz w:val="20"/>
                <w:szCs w:val="20"/>
              </w:rPr>
              <w:t>31 December 2021</w:t>
            </w:r>
          </w:p>
        </w:tc>
        <w:tc>
          <w:tcPr>
            <w:tcW w:w="146" w:type="pct"/>
            <w:vAlign w:val="center"/>
          </w:tcPr>
          <w:p w14:paraId="134F3918" w14:textId="77777777" w:rsidR="00587444" w:rsidRPr="00587444" w:rsidRDefault="00587444" w:rsidP="00587444">
            <w:pPr>
              <w:suppressAutoHyphens w:val="0"/>
              <w:autoSpaceDN/>
              <w:jc w:val="both"/>
              <w:rPr>
                <w:rFonts w:ascii="Arial" w:hAnsi="Arial" w:cs="Arial"/>
                <w:sz w:val="20"/>
                <w:szCs w:val="20"/>
              </w:rPr>
            </w:pPr>
          </w:p>
        </w:tc>
        <w:tc>
          <w:tcPr>
            <w:tcW w:w="1705" w:type="pct"/>
            <w:vAlign w:val="center"/>
          </w:tcPr>
          <w:p w14:paraId="614DF714" w14:textId="77777777" w:rsidR="00587444" w:rsidRPr="00587444" w:rsidRDefault="00587444" w:rsidP="00587444">
            <w:pPr>
              <w:suppressAutoHyphens w:val="0"/>
              <w:autoSpaceDN/>
              <w:jc w:val="center"/>
              <w:rPr>
                <w:rFonts w:ascii="Arial" w:hAnsi="Arial" w:cs="Arial"/>
                <w:sz w:val="20"/>
                <w:szCs w:val="20"/>
                <w:lang w:val="hr-HR"/>
              </w:rPr>
            </w:pPr>
            <w:r w:rsidRPr="00587444">
              <w:rPr>
                <w:rFonts w:ascii="Arial" w:hAnsi="Arial" w:cs="Arial"/>
                <w:color w:val="000000"/>
                <w:sz w:val="20"/>
                <w:szCs w:val="20"/>
                <w:lang w:val="hr-HR"/>
              </w:rPr>
              <w:t xml:space="preserve">1 EUR = HRK 7.517174 </w:t>
            </w:r>
          </w:p>
        </w:tc>
        <w:tc>
          <w:tcPr>
            <w:tcW w:w="126" w:type="pct"/>
            <w:vAlign w:val="center"/>
          </w:tcPr>
          <w:p w14:paraId="070C9E4C" w14:textId="77777777" w:rsidR="00587444" w:rsidRPr="00587444" w:rsidRDefault="00587444" w:rsidP="00587444">
            <w:pPr>
              <w:suppressAutoHyphens w:val="0"/>
              <w:autoSpaceDN/>
              <w:jc w:val="center"/>
              <w:rPr>
                <w:rFonts w:ascii="Arial" w:hAnsi="Arial" w:cs="Arial"/>
                <w:sz w:val="20"/>
                <w:szCs w:val="20"/>
                <w:lang w:val="hr-HR"/>
              </w:rPr>
            </w:pPr>
          </w:p>
        </w:tc>
        <w:tc>
          <w:tcPr>
            <w:tcW w:w="1556" w:type="pct"/>
            <w:vAlign w:val="center"/>
          </w:tcPr>
          <w:p w14:paraId="0A218FE5" w14:textId="77777777" w:rsidR="00587444" w:rsidRPr="00587444" w:rsidRDefault="00587444" w:rsidP="00587444">
            <w:pPr>
              <w:suppressAutoHyphens w:val="0"/>
              <w:autoSpaceDN/>
              <w:jc w:val="center"/>
              <w:rPr>
                <w:rFonts w:ascii="Arial" w:hAnsi="Arial" w:cs="Arial"/>
                <w:sz w:val="20"/>
                <w:szCs w:val="20"/>
                <w:lang w:val="hr-HR"/>
              </w:rPr>
            </w:pPr>
            <w:r w:rsidRPr="00587444">
              <w:rPr>
                <w:rFonts w:ascii="Arial" w:hAnsi="Arial" w:cs="Arial"/>
                <w:color w:val="000000"/>
                <w:sz w:val="20"/>
                <w:szCs w:val="20"/>
                <w:lang w:val="hr-HR"/>
              </w:rPr>
              <w:t xml:space="preserve">1 USD = HRK 6.643548 </w:t>
            </w:r>
          </w:p>
        </w:tc>
      </w:tr>
    </w:tbl>
    <w:p w14:paraId="63ECD3B4"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0F827FED" w14:textId="77777777" w:rsidR="00587444" w:rsidRPr="00587444" w:rsidRDefault="00587444" w:rsidP="00587444">
      <w:pPr>
        <w:suppressAutoHyphens w:val="0"/>
        <w:autoSpaceDN/>
        <w:jc w:val="both"/>
        <w:rPr>
          <w:rFonts w:ascii="Arial" w:hAnsi="Arial" w:cs="Arial"/>
          <w:bCs/>
          <w:sz w:val="20"/>
          <w:szCs w:val="20"/>
          <w:lang w:val="en-GB"/>
        </w:rPr>
        <w:sectPr w:rsidR="00587444" w:rsidRPr="00587444" w:rsidSect="00DD69E7">
          <w:pgSz w:w="11907" w:h="16840" w:code="9"/>
          <w:pgMar w:top="1418" w:right="992" w:bottom="1134" w:left="1418" w:header="851" w:footer="851" w:gutter="0"/>
          <w:cols w:space="720"/>
          <w:noEndnote/>
        </w:sectPr>
      </w:pPr>
    </w:p>
    <w:p w14:paraId="1C727147" w14:textId="77777777" w:rsidR="00587444" w:rsidRPr="00587444" w:rsidRDefault="00587444" w:rsidP="00587444">
      <w:pPr>
        <w:suppressAutoHyphens w:val="0"/>
        <w:autoSpaceDN/>
        <w:rPr>
          <w:rFonts w:ascii="Arial" w:hAnsi="Arial" w:cs="Arial"/>
          <w:b/>
          <w:bCs/>
          <w:sz w:val="20"/>
          <w:szCs w:val="20"/>
        </w:rPr>
      </w:pPr>
    </w:p>
    <w:p w14:paraId="6D7083E3" w14:textId="77777777" w:rsidR="00587444" w:rsidRPr="00587444" w:rsidRDefault="00587444" w:rsidP="00587444">
      <w:pPr>
        <w:suppressAutoHyphens w:val="0"/>
        <w:autoSpaceDN/>
        <w:rPr>
          <w:rFonts w:ascii="Arial" w:hAnsi="Arial" w:cs="Arial"/>
          <w:b/>
          <w:bCs/>
          <w:sz w:val="20"/>
          <w:szCs w:val="20"/>
        </w:rPr>
      </w:pPr>
      <w:r w:rsidRPr="00587444">
        <w:rPr>
          <w:rFonts w:ascii="Arial" w:hAnsi="Arial" w:cs="Arial"/>
          <w:b/>
          <w:bCs/>
          <w:sz w:val="20"/>
          <w:szCs w:val="20"/>
        </w:rPr>
        <w:t>4. Summary of significant accounting policies (continued)</w:t>
      </w:r>
    </w:p>
    <w:p w14:paraId="1080862A" w14:textId="77777777" w:rsidR="00587444" w:rsidRPr="00587444" w:rsidRDefault="00587444" w:rsidP="00587444">
      <w:pPr>
        <w:suppressAutoHyphens w:val="0"/>
        <w:autoSpaceDN/>
        <w:rPr>
          <w:rFonts w:ascii="Arial" w:hAnsi="Arial" w:cs="Arial"/>
          <w:b/>
          <w:bCs/>
          <w:sz w:val="20"/>
          <w:szCs w:val="20"/>
        </w:rPr>
      </w:pPr>
    </w:p>
    <w:p w14:paraId="2DA7C5E9"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18604E8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41B0F3B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C. Interest income and expense</w:t>
      </w:r>
    </w:p>
    <w:p w14:paraId="3C83BF67" w14:textId="77777777" w:rsidR="00587444" w:rsidRPr="00587444" w:rsidRDefault="00587444" w:rsidP="00587444">
      <w:pPr>
        <w:suppressAutoHyphens w:val="0"/>
        <w:autoSpaceDN/>
        <w:jc w:val="both"/>
        <w:rPr>
          <w:rFonts w:ascii="Arial" w:eastAsia="Calibri" w:hAnsi="Arial" w:cs="Arial"/>
          <w:b/>
          <w:i/>
          <w:sz w:val="20"/>
          <w:szCs w:val="20"/>
          <w:lang w:val="en-GB"/>
        </w:rPr>
      </w:pPr>
    </w:p>
    <w:p w14:paraId="2552A42B" w14:textId="77777777" w:rsidR="00587444" w:rsidRPr="00587444" w:rsidRDefault="00587444" w:rsidP="00587932">
      <w:pPr>
        <w:autoSpaceDN/>
        <w:jc w:val="both"/>
        <w:rPr>
          <w:rFonts w:ascii="Arial" w:eastAsia="Calibri" w:hAnsi="Arial" w:cs="Arial"/>
          <w:i/>
          <w:sz w:val="20"/>
          <w:szCs w:val="20"/>
          <w:lang w:val="en-GB"/>
        </w:rPr>
      </w:pPr>
      <w:r w:rsidRPr="00587444">
        <w:rPr>
          <w:rFonts w:ascii="Arial" w:eastAsia="Calibri" w:hAnsi="Arial" w:cs="Arial"/>
          <w:i/>
          <w:sz w:val="20"/>
          <w:szCs w:val="20"/>
          <w:lang w:val="en-GB"/>
        </w:rPr>
        <w:t>Effective interest rate</w:t>
      </w:r>
    </w:p>
    <w:p w14:paraId="6E70BF9D" w14:textId="77777777" w:rsidR="00587444" w:rsidRPr="00587444" w:rsidRDefault="00587444" w:rsidP="00587932">
      <w:pPr>
        <w:autoSpaceDN/>
        <w:jc w:val="both"/>
        <w:rPr>
          <w:rFonts w:ascii="Arial" w:eastAsia="Calibri" w:hAnsi="Arial" w:cs="Arial"/>
          <w:i/>
          <w:sz w:val="20"/>
          <w:szCs w:val="20"/>
          <w:lang w:val="en-GB"/>
        </w:rPr>
      </w:pPr>
    </w:p>
    <w:p w14:paraId="7673DA80" w14:textId="77777777"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sz w:val="20"/>
          <w:szCs w:val="20"/>
          <w:lang w:val="en-GB"/>
        </w:rPr>
        <w:t>Interest income and expense are recognised in profit or loss using the effective interest method. The effective interest rate is the rate that exactly discounts estimated future cash payments or receipts through the expected life of the financial instruments to:</w:t>
      </w:r>
    </w:p>
    <w:p w14:paraId="55925310" w14:textId="77777777" w:rsidR="00587444" w:rsidRPr="00587444" w:rsidRDefault="00587444" w:rsidP="00587932">
      <w:pPr>
        <w:numPr>
          <w:ilvl w:val="0"/>
          <w:numId w:val="30"/>
        </w:numPr>
        <w:autoSpaceDN/>
        <w:contextualSpacing/>
        <w:jc w:val="both"/>
        <w:rPr>
          <w:rFonts w:ascii="Arial" w:eastAsia="Calibri" w:hAnsi="Arial" w:cs="Arial"/>
          <w:sz w:val="20"/>
          <w:szCs w:val="20"/>
          <w:lang w:val="en-GB"/>
        </w:rPr>
      </w:pPr>
      <w:r w:rsidRPr="00587444">
        <w:rPr>
          <w:rFonts w:ascii="Arial" w:eastAsia="Calibri" w:hAnsi="Arial" w:cs="Arial"/>
          <w:sz w:val="20"/>
          <w:szCs w:val="20"/>
          <w:lang w:val="en-GB"/>
        </w:rPr>
        <w:t>the gross carrying amount of the financial asset; or</w:t>
      </w:r>
    </w:p>
    <w:p w14:paraId="698982AC" w14:textId="77777777" w:rsidR="00587444" w:rsidRPr="00587444" w:rsidRDefault="00587444" w:rsidP="00587932">
      <w:pPr>
        <w:numPr>
          <w:ilvl w:val="0"/>
          <w:numId w:val="30"/>
        </w:numPr>
        <w:autoSpaceDN/>
        <w:contextualSpacing/>
        <w:jc w:val="both"/>
        <w:rPr>
          <w:rFonts w:ascii="Arial" w:eastAsia="Calibri" w:hAnsi="Arial" w:cs="Arial"/>
          <w:sz w:val="20"/>
          <w:szCs w:val="20"/>
          <w:lang w:val="en-GB"/>
        </w:rPr>
      </w:pPr>
      <w:r w:rsidRPr="00587444">
        <w:rPr>
          <w:rFonts w:ascii="Arial" w:eastAsia="Calibri" w:hAnsi="Arial" w:cs="Arial"/>
          <w:sz w:val="20"/>
          <w:szCs w:val="20"/>
          <w:lang w:val="en-GB"/>
        </w:rPr>
        <w:t>the amortised cost of the financial liability.</w:t>
      </w:r>
    </w:p>
    <w:p w14:paraId="5B66F5F8" w14:textId="77777777"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sz w:val="20"/>
          <w:szCs w:val="20"/>
          <w:lang w:val="en-GB"/>
        </w:rPr>
        <w:t xml:space="preserve"> </w:t>
      </w:r>
    </w:p>
    <w:p w14:paraId="17F7241B" w14:textId="77777777" w:rsidR="00587444" w:rsidRPr="00587444" w:rsidRDefault="00587444" w:rsidP="00587932">
      <w:pPr>
        <w:autoSpaceDN/>
        <w:jc w:val="both"/>
        <w:rPr>
          <w:rFonts w:ascii="Arial" w:eastAsia="Calibri" w:hAnsi="Arial" w:cs="Arial"/>
          <w:sz w:val="20"/>
          <w:szCs w:val="20"/>
          <w:lang w:val="en-GB"/>
        </w:rPr>
      </w:pPr>
      <w:bookmarkStart w:id="408" w:name="_Hlk789165"/>
      <w:r w:rsidRPr="00587444">
        <w:rPr>
          <w:rFonts w:ascii="Arial" w:eastAsia="Calibri" w:hAnsi="Arial" w:cs="Arial"/>
          <w:sz w:val="20"/>
          <w:szCs w:val="20"/>
          <w:lang w:val="en-GB"/>
        </w:rPr>
        <w:t>When calculating the effective interest rate for financial instruments other than purchased or originated credit-impaired assets (“POCI”), the Group estimates future cash flows considering all contractual terms of the financial instrument, but not expected credit loss. For purchased or originated credit impaired financial assets, a credit-adjusted effective interest rate is calculated using estimated future cash flows including expected credit loss.</w:t>
      </w:r>
    </w:p>
    <w:p w14:paraId="7F30E0B1" w14:textId="77777777" w:rsidR="00587444" w:rsidRPr="00587444" w:rsidRDefault="00587444" w:rsidP="00587932">
      <w:pPr>
        <w:autoSpaceDN/>
        <w:spacing w:before="120"/>
        <w:jc w:val="both"/>
        <w:rPr>
          <w:rFonts w:ascii="Arial" w:eastAsia="Calibri" w:hAnsi="Arial" w:cs="Arial"/>
          <w:sz w:val="20"/>
          <w:szCs w:val="20"/>
          <w:lang w:val="en-GB"/>
        </w:rPr>
      </w:pPr>
      <w:r w:rsidRPr="00587444">
        <w:rPr>
          <w:rFonts w:ascii="Arial" w:eastAsia="Calibri" w:hAnsi="Arial" w:cs="Arial"/>
          <w:sz w:val="20"/>
          <w:szCs w:val="20"/>
          <w:lang w:val="en-GB"/>
        </w:rPr>
        <w:t>The calculation of the effective interest rate includes transaction costs and fees and points paid or received that are an integral part of the effective interest rate. Transaction costs include incremental costs that are directly attributable to the acquisition or issue of a financial asset or financial liability.</w:t>
      </w:r>
    </w:p>
    <w:bookmarkEnd w:id="408"/>
    <w:p w14:paraId="1128F20C" w14:textId="77777777" w:rsidR="00587444" w:rsidRPr="00587444" w:rsidRDefault="00587444" w:rsidP="00587932">
      <w:pPr>
        <w:autoSpaceDN/>
        <w:jc w:val="both"/>
        <w:rPr>
          <w:rFonts w:ascii="Arial" w:eastAsia="Calibri" w:hAnsi="Arial" w:cs="Arial"/>
          <w:sz w:val="20"/>
          <w:szCs w:val="20"/>
          <w:lang w:val="en-GB"/>
        </w:rPr>
      </w:pPr>
    </w:p>
    <w:p w14:paraId="6ADA60B1" w14:textId="77777777" w:rsidR="00587444" w:rsidRPr="00587444" w:rsidRDefault="00587444" w:rsidP="00587932">
      <w:pPr>
        <w:autoSpaceDN/>
        <w:spacing w:before="120" w:after="120"/>
        <w:jc w:val="both"/>
        <w:rPr>
          <w:rFonts w:ascii="Arial" w:hAnsi="Arial" w:cs="Arial"/>
          <w:i/>
          <w:spacing w:val="-3"/>
          <w:sz w:val="20"/>
          <w:szCs w:val="20"/>
          <w:lang w:val="en-GB"/>
        </w:rPr>
      </w:pPr>
      <w:r w:rsidRPr="00587444">
        <w:rPr>
          <w:rFonts w:ascii="Arial" w:hAnsi="Arial" w:cs="Arial"/>
          <w:i/>
          <w:spacing w:val="-3"/>
          <w:sz w:val="20"/>
          <w:szCs w:val="20"/>
          <w:lang w:val="en-GB"/>
        </w:rPr>
        <w:t>Amortised cost and gross carrying amount</w:t>
      </w:r>
    </w:p>
    <w:p w14:paraId="56BC5831" w14:textId="77777777"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sz w:val="20"/>
          <w:szCs w:val="20"/>
          <w:lang w:val="en-GB"/>
        </w:rPr>
        <w:t>The ‘amortised cost’ of a financial asset or financial liability is the amount at which the financial asset or financial liability is measured on initial recognition minus the principal repayments, plus or minus the cumulative amortisation using the effective interest method of any difference between that initial amount and the maturity amount and, for financial assets, adjusted for any expected credit loss allowance.</w:t>
      </w:r>
    </w:p>
    <w:p w14:paraId="12902D3D" w14:textId="77777777" w:rsidR="00587444" w:rsidRPr="00587444" w:rsidRDefault="00587444" w:rsidP="00587932">
      <w:pPr>
        <w:autoSpaceDN/>
        <w:jc w:val="both"/>
        <w:rPr>
          <w:rFonts w:ascii="Arial" w:eastAsia="Calibri" w:hAnsi="Arial" w:cs="Arial"/>
          <w:sz w:val="20"/>
          <w:szCs w:val="20"/>
          <w:lang w:val="en-GB"/>
        </w:rPr>
      </w:pPr>
    </w:p>
    <w:p w14:paraId="4024440B" w14:textId="77777777" w:rsidR="00587444" w:rsidRPr="00587444" w:rsidRDefault="00587444" w:rsidP="00587932">
      <w:pPr>
        <w:autoSpaceDN/>
        <w:jc w:val="both"/>
        <w:rPr>
          <w:rFonts w:ascii="Arial" w:hAnsi="Arial" w:cs="Arial"/>
          <w:i/>
          <w:spacing w:val="-3"/>
          <w:sz w:val="20"/>
          <w:szCs w:val="20"/>
          <w:lang w:val="en-GB"/>
        </w:rPr>
      </w:pPr>
      <w:r w:rsidRPr="00587444">
        <w:rPr>
          <w:rFonts w:ascii="Arial" w:hAnsi="Arial" w:cs="Arial"/>
          <w:i/>
          <w:spacing w:val="-3"/>
          <w:sz w:val="20"/>
          <w:szCs w:val="20"/>
          <w:lang w:val="en-GB"/>
        </w:rPr>
        <w:t>Amortised cost and gross carrying amount (continued)</w:t>
      </w:r>
    </w:p>
    <w:p w14:paraId="4A532D64" w14:textId="77777777" w:rsidR="00587444" w:rsidRPr="00587444" w:rsidRDefault="00587444" w:rsidP="00587932">
      <w:pPr>
        <w:autoSpaceDN/>
        <w:jc w:val="both"/>
        <w:rPr>
          <w:rFonts w:ascii="Arial" w:eastAsia="Calibri" w:hAnsi="Arial" w:cs="Arial"/>
          <w:sz w:val="20"/>
          <w:szCs w:val="20"/>
          <w:lang w:val="en-GB"/>
        </w:rPr>
      </w:pPr>
    </w:p>
    <w:p w14:paraId="74013588" w14:textId="77777777"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sz w:val="20"/>
          <w:szCs w:val="20"/>
          <w:lang w:val="en-GB"/>
        </w:rPr>
        <w:t>The ‘gross carrying amount of a financial asset’ is the amortised cost of a financial asset before adjusting for any expected credit loss allowance.</w:t>
      </w:r>
    </w:p>
    <w:p w14:paraId="6D6FAB4C" w14:textId="77777777" w:rsidR="00587444" w:rsidRPr="00587444" w:rsidRDefault="00587444" w:rsidP="00587932">
      <w:pPr>
        <w:autoSpaceDN/>
        <w:jc w:val="both"/>
        <w:rPr>
          <w:rFonts w:ascii="Arial" w:hAnsi="Arial" w:cs="Arial"/>
          <w:i/>
          <w:spacing w:val="-3"/>
          <w:sz w:val="20"/>
          <w:szCs w:val="20"/>
          <w:lang w:val="en-GB"/>
        </w:rPr>
      </w:pPr>
    </w:p>
    <w:p w14:paraId="700B7D6A" w14:textId="77777777" w:rsidR="00587444" w:rsidRPr="00587444" w:rsidRDefault="00587444" w:rsidP="00587932">
      <w:pPr>
        <w:autoSpaceDN/>
        <w:jc w:val="both"/>
        <w:rPr>
          <w:rFonts w:ascii="Arial" w:hAnsi="Arial" w:cs="Arial"/>
          <w:i/>
          <w:spacing w:val="-3"/>
          <w:sz w:val="20"/>
          <w:szCs w:val="20"/>
          <w:lang w:val="en-GB"/>
        </w:rPr>
      </w:pPr>
      <w:r w:rsidRPr="00587444">
        <w:rPr>
          <w:rFonts w:ascii="Arial" w:hAnsi="Arial" w:cs="Arial"/>
          <w:i/>
          <w:spacing w:val="-3"/>
          <w:sz w:val="20"/>
          <w:szCs w:val="20"/>
          <w:lang w:val="en-GB"/>
        </w:rPr>
        <w:t>Calculation of interest income and expense</w:t>
      </w:r>
    </w:p>
    <w:p w14:paraId="03D740A0" w14:textId="77777777" w:rsidR="00587444" w:rsidRPr="00587444" w:rsidRDefault="00587444" w:rsidP="00587932">
      <w:pPr>
        <w:autoSpaceDN/>
        <w:jc w:val="both"/>
        <w:rPr>
          <w:rFonts w:ascii="Arial" w:hAnsi="Arial" w:cs="Arial"/>
          <w:i/>
          <w:spacing w:val="-3"/>
          <w:sz w:val="20"/>
          <w:szCs w:val="20"/>
          <w:lang w:val="en-GB"/>
        </w:rPr>
      </w:pPr>
    </w:p>
    <w:p w14:paraId="73D6EA00" w14:textId="77777777" w:rsidR="00587444" w:rsidRPr="00587444" w:rsidRDefault="00587444" w:rsidP="00587932">
      <w:pPr>
        <w:autoSpaceDN/>
        <w:jc w:val="both"/>
        <w:rPr>
          <w:rFonts w:ascii="Arial" w:hAnsi="Arial" w:cs="Arial"/>
          <w:spacing w:val="-3"/>
          <w:sz w:val="20"/>
          <w:szCs w:val="20"/>
          <w:lang w:val="en-GB"/>
        </w:rPr>
      </w:pPr>
      <w:r w:rsidRPr="00587444">
        <w:rPr>
          <w:rFonts w:ascii="Arial" w:hAnsi="Arial" w:cs="Arial"/>
          <w:spacing w:val="-3"/>
          <w:sz w:val="20"/>
          <w:szCs w:val="20"/>
          <w:lang w:val="en-GB"/>
        </w:rPr>
        <w:t xml:space="preserve">The effective interest rate of a financial asset or financial liability is calculated on initial recognition of a financial asset or a financial liability. In calculating interest income and expense, the effective interest rate is applied to the gross carrying amount of the asset (when the asset is not credit impaired) or to the amortised cost of the liability. The effective interest rate is revised </w:t>
      </w:r>
      <w:proofErr w:type="gramStart"/>
      <w:r w:rsidRPr="00587444">
        <w:rPr>
          <w:rFonts w:ascii="Arial" w:hAnsi="Arial" w:cs="Arial"/>
          <w:spacing w:val="-3"/>
          <w:sz w:val="20"/>
          <w:szCs w:val="20"/>
          <w:lang w:val="en-GB"/>
        </w:rPr>
        <w:t>as a result of</w:t>
      </w:r>
      <w:proofErr w:type="gramEnd"/>
      <w:r w:rsidRPr="00587444">
        <w:rPr>
          <w:rFonts w:ascii="Arial" w:hAnsi="Arial" w:cs="Arial"/>
          <w:spacing w:val="-3"/>
          <w:sz w:val="20"/>
          <w:szCs w:val="20"/>
          <w:lang w:val="en-GB"/>
        </w:rPr>
        <w:t xml:space="preserve"> periodic re-estimation of cash flows of floating rate instruments to reflect movements in market rates of interest. </w:t>
      </w:r>
    </w:p>
    <w:p w14:paraId="16DC04D4" w14:textId="77777777" w:rsidR="00587444" w:rsidRPr="00587444" w:rsidRDefault="00587444" w:rsidP="00587932">
      <w:pPr>
        <w:autoSpaceDE w:val="0"/>
        <w:adjustRightInd w:val="0"/>
        <w:jc w:val="both"/>
        <w:rPr>
          <w:rFonts w:ascii="Arial" w:hAnsi="Arial" w:cs="Arial"/>
          <w:color w:val="000000"/>
          <w:sz w:val="20"/>
          <w:szCs w:val="20"/>
          <w:lang w:val="hr-HR" w:eastAsia="hr-HR"/>
        </w:rPr>
      </w:pPr>
    </w:p>
    <w:p w14:paraId="11B1F230" w14:textId="77777777" w:rsidR="00587444" w:rsidRPr="00587444" w:rsidRDefault="00587444" w:rsidP="00587932">
      <w:pPr>
        <w:autoSpaceDE w:val="0"/>
        <w:adjustRightInd w:val="0"/>
        <w:jc w:val="both"/>
        <w:rPr>
          <w:rFonts w:ascii="Arial" w:hAnsi="Arial" w:cs="Arial"/>
          <w:spacing w:val="-3"/>
          <w:sz w:val="20"/>
          <w:szCs w:val="20"/>
          <w:lang w:val="en-GB"/>
        </w:rPr>
      </w:pPr>
      <w:r w:rsidRPr="00587444">
        <w:rPr>
          <w:rFonts w:ascii="Arial" w:hAnsi="Arial" w:cs="Arial"/>
          <w:spacing w:val="-3"/>
          <w:sz w:val="20"/>
          <w:szCs w:val="20"/>
          <w:lang w:val="en-GB"/>
        </w:rPr>
        <w:t xml:space="preserve">However, for financial assets that have become credit-impaired </w:t>
      </w:r>
      <w:proofErr w:type="gramStart"/>
      <w:r w:rsidRPr="00587444">
        <w:rPr>
          <w:rFonts w:ascii="Arial" w:hAnsi="Arial" w:cs="Arial"/>
          <w:spacing w:val="-3"/>
          <w:sz w:val="20"/>
          <w:szCs w:val="20"/>
          <w:lang w:val="en-GB"/>
        </w:rPr>
        <w:t>subsequent to</w:t>
      </w:r>
      <w:proofErr w:type="gramEnd"/>
      <w:r w:rsidRPr="00587444">
        <w:rPr>
          <w:rFonts w:ascii="Arial" w:hAnsi="Arial" w:cs="Arial"/>
          <w:spacing w:val="-3"/>
          <w:sz w:val="20"/>
          <w:szCs w:val="20"/>
          <w:lang w:val="en-GB"/>
        </w:rPr>
        <w:t xml:space="preserve"> initial recognition, interest income is calculated by applying the effective interest rate to the amortised cost of the financial asset. If the asset is no longer credit-impaired, then the calculation of interest income reverts to the gross basis. </w:t>
      </w:r>
    </w:p>
    <w:p w14:paraId="72A4E59D" w14:textId="77777777" w:rsidR="00587444" w:rsidRPr="00587444" w:rsidRDefault="00587444" w:rsidP="00587932">
      <w:pPr>
        <w:autoSpaceDE w:val="0"/>
        <w:adjustRightInd w:val="0"/>
        <w:rPr>
          <w:rFonts w:ascii="Arial" w:eastAsia="Calibri" w:hAnsi="Arial" w:cs="Arial"/>
          <w:color w:val="000000"/>
          <w:sz w:val="20"/>
          <w:szCs w:val="20"/>
          <w:lang w:val="en-GB"/>
        </w:rPr>
      </w:pPr>
    </w:p>
    <w:p w14:paraId="3B09B17F" w14:textId="77777777" w:rsidR="00587444" w:rsidRPr="00587444" w:rsidRDefault="00587444" w:rsidP="00587932">
      <w:pPr>
        <w:autoSpaceDE w:val="0"/>
        <w:adjustRightInd w:val="0"/>
        <w:spacing w:after="60" w:line="191" w:lineRule="atLeast"/>
        <w:jc w:val="both"/>
        <w:rPr>
          <w:rFonts w:ascii="Arial" w:hAnsi="Arial" w:cs="Arial"/>
          <w:spacing w:val="-3"/>
          <w:sz w:val="20"/>
          <w:szCs w:val="20"/>
          <w:lang w:val="en-GB"/>
        </w:rPr>
      </w:pPr>
      <w:r w:rsidRPr="00587444">
        <w:rPr>
          <w:rFonts w:ascii="Arial" w:hAnsi="Arial" w:cs="Arial"/>
          <w:spacing w:val="-3"/>
          <w:sz w:val="20"/>
          <w:szCs w:val="20"/>
          <w:lang w:val="en-GB"/>
        </w:rPr>
        <w:t xml:space="preserve">For financial assets that were credit-impaired on initial recognition, interest income is calculated by applying the credit-adjusted effective interest rate to the amortised cost of the asset. The calculation of interest income does not revert to a gross basis, even if the credit risk of the asset improves. </w:t>
      </w:r>
    </w:p>
    <w:p w14:paraId="7DEB198B" w14:textId="77777777" w:rsidR="00587444" w:rsidRPr="00587444" w:rsidRDefault="00587444" w:rsidP="00587444">
      <w:pPr>
        <w:suppressAutoHyphens w:val="0"/>
        <w:autoSpaceDN/>
        <w:jc w:val="both"/>
        <w:rPr>
          <w:rFonts w:ascii="Arial" w:hAnsi="Arial" w:cs="Arial"/>
          <w:spacing w:val="-3"/>
          <w:sz w:val="20"/>
          <w:szCs w:val="20"/>
          <w:lang w:val="en-GB"/>
        </w:rPr>
      </w:pPr>
    </w:p>
    <w:p w14:paraId="3F3FE37B" w14:textId="77777777" w:rsidR="00587444" w:rsidRPr="00587444" w:rsidRDefault="00587444" w:rsidP="00587444">
      <w:pPr>
        <w:suppressAutoHyphens w:val="0"/>
        <w:autoSpaceDN/>
        <w:jc w:val="both"/>
        <w:rPr>
          <w:rFonts w:ascii="Arial" w:eastAsia="Calibri" w:hAnsi="Arial" w:cs="Arial"/>
          <w:sz w:val="20"/>
          <w:szCs w:val="20"/>
          <w:lang w:val="en-GB"/>
        </w:rPr>
      </w:pPr>
    </w:p>
    <w:p w14:paraId="1106B470" w14:textId="77777777" w:rsidR="00587444" w:rsidRPr="00587444" w:rsidRDefault="00587444" w:rsidP="00587444">
      <w:pPr>
        <w:suppressAutoHyphens w:val="0"/>
        <w:autoSpaceDN/>
        <w:jc w:val="both"/>
        <w:rPr>
          <w:rFonts w:ascii="Arial" w:eastAsia="Calibri" w:hAnsi="Arial" w:cs="Arial"/>
          <w:sz w:val="20"/>
          <w:szCs w:val="20"/>
          <w:lang w:val="en-GB"/>
        </w:rPr>
      </w:pPr>
    </w:p>
    <w:p w14:paraId="4944DC7E" w14:textId="77777777" w:rsidR="00587444" w:rsidRPr="00587444" w:rsidRDefault="00587444" w:rsidP="00587444">
      <w:pPr>
        <w:suppressAutoHyphens w:val="0"/>
        <w:autoSpaceDN/>
        <w:jc w:val="both"/>
        <w:rPr>
          <w:rFonts w:ascii="Arial" w:eastAsia="Calibri" w:hAnsi="Arial" w:cs="Arial"/>
          <w:sz w:val="20"/>
          <w:szCs w:val="20"/>
          <w:lang w:val="en-GB"/>
        </w:rPr>
      </w:pPr>
    </w:p>
    <w:p w14:paraId="71CBA344" w14:textId="77777777" w:rsidR="00587444" w:rsidRPr="00587444" w:rsidRDefault="00587444" w:rsidP="00587444">
      <w:pPr>
        <w:suppressAutoHyphens w:val="0"/>
        <w:autoSpaceDN/>
        <w:jc w:val="both"/>
        <w:rPr>
          <w:rFonts w:ascii="Arial" w:eastAsia="Calibri" w:hAnsi="Arial" w:cs="Arial"/>
          <w:sz w:val="20"/>
          <w:szCs w:val="20"/>
          <w:lang w:val="en-GB"/>
        </w:rPr>
        <w:sectPr w:rsidR="00587444" w:rsidRPr="00587444" w:rsidSect="00DD69E7">
          <w:pgSz w:w="11907" w:h="16840" w:code="9"/>
          <w:pgMar w:top="1418" w:right="992" w:bottom="1134" w:left="1418" w:header="851" w:footer="851" w:gutter="0"/>
          <w:cols w:space="720"/>
          <w:noEndnote/>
        </w:sectPr>
      </w:pPr>
    </w:p>
    <w:p w14:paraId="2C434B36" w14:textId="77777777" w:rsidR="00587444" w:rsidRPr="00587444" w:rsidRDefault="00587444" w:rsidP="00587444">
      <w:pPr>
        <w:suppressAutoHyphens w:val="0"/>
        <w:autoSpaceDN/>
        <w:jc w:val="both"/>
        <w:rPr>
          <w:rFonts w:ascii="Arial" w:eastAsia="Calibri" w:hAnsi="Arial" w:cs="Arial"/>
          <w:sz w:val="20"/>
          <w:szCs w:val="20"/>
          <w:lang w:val="en-GB"/>
        </w:rPr>
      </w:pPr>
    </w:p>
    <w:p w14:paraId="2CA9127D" w14:textId="77777777" w:rsidR="00587444" w:rsidRPr="00587444" w:rsidRDefault="00587444" w:rsidP="00587444">
      <w:pPr>
        <w:suppressAutoHyphens w:val="0"/>
        <w:autoSpaceDN/>
        <w:rPr>
          <w:rFonts w:ascii="Arial" w:hAnsi="Arial" w:cs="Arial"/>
          <w:b/>
          <w:bCs/>
          <w:sz w:val="20"/>
          <w:szCs w:val="20"/>
        </w:rPr>
      </w:pPr>
      <w:r w:rsidRPr="00587444">
        <w:rPr>
          <w:rFonts w:ascii="Arial" w:hAnsi="Arial" w:cs="Arial"/>
          <w:b/>
          <w:bCs/>
          <w:sz w:val="20"/>
          <w:szCs w:val="20"/>
        </w:rPr>
        <w:t>4. Summary of significant accounting policies (continued)</w:t>
      </w:r>
    </w:p>
    <w:p w14:paraId="6D36FDE7" w14:textId="77777777" w:rsidR="00587444" w:rsidRPr="00587444" w:rsidRDefault="00587444" w:rsidP="00587444">
      <w:pPr>
        <w:suppressAutoHyphens w:val="0"/>
        <w:autoSpaceDN/>
        <w:rPr>
          <w:rFonts w:ascii="Arial" w:hAnsi="Arial" w:cs="Arial"/>
          <w:b/>
          <w:bCs/>
          <w:sz w:val="20"/>
          <w:szCs w:val="20"/>
        </w:rPr>
      </w:pPr>
    </w:p>
    <w:p w14:paraId="71B78578"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288844DB"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0EC64D9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C. Interest income and expense (continued)</w:t>
      </w:r>
    </w:p>
    <w:p w14:paraId="689A7C81"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09A74FFC" w14:textId="77777777" w:rsidR="00587444" w:rsidRPr="00587444" w:rsidRDefault="00587444" w:rsidP="00587932">
      <w:pPr>
        <w:autoSpaceDN/>
        <w:jc w:val="both"/>
        <w:rPr>
          <w:rFonts w:ascii="Arial" w:hAnsi="Arial" w:cs="Arial"/>
          <w:i/>
          <w:spacing w:val="-3"/>
          <w:sz w:val="20"/>
          <w:szCs w:val="20"/>
          <w:lang w:val="en-GB"/>
        </w:rPr>
      </w:pPr>
      <w:r w:rsidRPr="00587444">
        <w:rPr>
          <w:rFonts w:ascii="Arial" w:hAnsi="Arial" w:cs="Arial"/>
          <w:i/>
          <w:spacing w:val="-3"/>
          <w:sz w:val="20"/>
          <w:szCs w:val="20"/>
          <w:lang w:val="en-GB"/>
        </w:rPr>
        <w:t>Calculation of interest income and expense (continued)</w:t>
      </w:r>
    </w:p>
    <w:p w14:paraId="72B43855" w14:textId="77777777" w:rsidR="00587444" w:rsidRPr="00587444" w:rsidRDefault="00587444" w:rsidP="00587932">
      <w:pPr>
        <w:autoSpaceDN/>
        <w:jc w:val="both"/>
        <w:rPr>
          <w:rFonts w:ascii="Arial" w:hAnsi="Arial" w:cs="Arial"/>
          <w:i/>
          <w:spacing w:val="-3"/>
          <w:sz w:val="20"/>
          <w:szCs w:val="20"/>
          <w:lang w:val="en-GB"/>
        </w:rPr>
      </w:pPr>
    </w:p>
    <w:p w14:paraId="06E20127" w14:textId="5F490E54" w:rsidR="00587444" w:rsidRPr="00587444" w:rsidRDefault="00587444" w:rsidP="00587932">
      <w:pPr>
        <w:autoSpaceDN/>
        <w:jc w:val="both"/>
        <w:rPr>
          <w:rFonts w:ascii="Arial" w:hAnsi="Arial" w:cs="Arial"/>
          <w:spacing w:val="-3"/>
          <w:sz w:val="20"/>
          <w:szCs w:val="20"/>
          <w:lang w:val="en-GB"/>
        </w:rPr>
      </w:pPr>
      <w:proofErr w:type="gramStart"/>
      <w:r w:rsidRPr="00587444">
        <w:rPr>
          <w:rFonts w:ascii="Arial" w:hAnsi="Arial" w:cs="Arial"/>
          <w:spacing w:val="-3"/>
          <w:sz w:val="20"/>
          <w:szCs w:val="20"/>
          <w:lang w:val="en-GB"/>
        </w:rPr>
        <w:t>For the purpose of</w:t>
      </w:r>
      <w:proofErr w:type="gramEnd"/>
      <w:r w:rsidRPr="00587444">
        <w:rPr>
          <w:rFonts w:ascii="Arial" w:hAnsi="Arial" w:cs="Arial"/>
          <w:spacing w:val="-3"/>
          <w:sz w:val="20"/>
          <w:szCs w:val="20"/>
          <w:lang w:val="en-GB"/>
        </w:rPr>
        <w:t xml:space="preserve"> calculation of interest income for exposures allocated to </w:t>
      </w:r>
      <w:r w:rsidR="00642AA5">
        <w:rPr>
          <w:rFonts w:ascii="Arial" w:hAnsi="Arial" w:cs="Arial"/>
          <w:spacing w:val="-3"/>
          <w:sz w:val="20"/>
          <w:szCs w:val="20"/>
          <w:lang w:val="en-GB"/>
        </w:rPr>
        <w:t>S</w:t>
      </w:r>
      <w:r w:rsidRPr="00587444">
        <w:rPr>
          <w:rFonts w:ascii="Arial" w:hAnsi="Arial" w:cs="Arial"/>
          <w:spacing w:val="-3"/>
          <w:sz w:val="20"/>
          <w:szCs w:val="20"/>
          <w:lang w:val="en-GB"/>
        </w:rPr>
        <w:t xml:space="preserve">tage 3 or for assets classified as purchased or originated credit-impaired financial assets, the concept of time value of money is used (unwinding).  Unwinding, </w:t>
      </w:r>
      <w:proofErr w:type="gramStart"/>
      <w:r w:rsidRPr="00587444">
        <w:rPr>
          <w:rFonts w:ascii="Arial" w:hAnsi="Arial" w:cs="Arial"/>
          <w:spacing w:val="-3"/>
          <w:sz w:val="20"/>
          <w:szCs w:val="20"/>
          <w:lang w:val="en-GB"/>
        </w:rPr>
        <w:t>i.e.</w:t>
      </w:r>
      <w:proofErr w:type="gramEnd"/>
      <w:r w:rsidRPr="00587444">
        <w:rPr>
          <w:rFonts w:ascii="Arial" w:hAnsi="Arial" w:cs="Arial"/>
          <w:spacing w:val="-3"/>
          <w:sz w:val="20"/>
          <w:szCs w:val="20"/>
          <w:lang w:val="en-GB"/>
        </w:rPr>
        <w:t xml:space="preserve"> interest income for the mentioned exposures is calculated after the date of transfer of exposure to </w:t>
      </w:r>
      <w:r w:rsidR="00642AA5">
        <w:rPr>
          <w:rFonts w:ascii="Arial" w:hAnsi="Arial" w:cs="Arial"/>
          <w:spacing w:val="-3"/>
          <w:sz w:val="20"/>
          <w:szCs w:val="20"/>
          <w:lang w:val="en-GB"/>
        </w:rPr>
        <w:t>S</w:t>
      </w:r>
      <w:r w:rsidRPr="00587444">
        <w:rPr>
          <w:rFonts w:ascii="Arial" w:hAnsi="Arial" w:cs="Arial"/>
          <w:spacing w:val="-3"/>
          <w:sz w:val="20"/>
          <w:szCs w:val="20"/>
          <w:lang w:val="en-GB"/>
        </w:rPr>
        <w:t>tage 3 or after the date of classification of assets as POCI and is recorded as provisions for the financial instrument with simultaneous decrease of interest income.</w:t>
      </w:r>
    </w:p>
    <w:p w14:paraId="2752FAC7"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hAnsi="Arial" w:cs="Arial"/>
          <w:sz w:val="20"/>
          <w:szCs w:val="20"/>
          <w:highlight w:val="cyan"/>
          <w:lang w:eastAsia="hr-HR"/>
        </w:rPr>
      </w:pPr>
    </w:p>
    <w:p w14:paraId="356B7451"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hAnsi="Arial" w:cs="Arial"/>
          <w:sz w:val="20"/>
          <w:szCs w:val="20"/>
          <w:lang w:val="en-GB" w:eastAsia="hr-HR"/>
        </w:rPr>
      </w:pPr>
      <w:bookmarkStart w:id="409" w:name="_Hlk533774365"/>
      <w:r w:rsidRPr="00587444">
        <w:rPr>
          <w:rFonts w:ascii="Arial" w:hAnsi="Arial" w:cs="Arial"/>
          <w:sz w:val="20"/>
          <w:szCs w:val="20"/>
          <w:lang w:val="en-GB" w:eastAsia="hr-HR"/>
        </w:rPr>
        <w:t>Fees constituting interest income, which are related to the generation of a placement and are accrued and collected at approval and placement of loan funds or during loan contract period, are deferred and recognised in the profit or loss using the effective interest rate method over the period to which they relate.</w:t>
      </w:r>
    </w:p>
    <w:bookmarkEnd w:id="409"/>
    <w:p w14:paraId="765A20F6" w14:textId="77777777" w:rsidR="00587444" w:rsidRPr="00587444" w:rsidRDefault="00587444" w:rsidP="00587932">
      <w:pPr>
        <w:autoSpaceDN/>
        <w:jc w:val="both"/>
        <w:rPr>
          <w:rFonts w:ascii="Arial" w:hAnsi="Arial" w:cs="Arial"/>
          <w:spacing w:val="-3"/>
          <w:sz w:val="20"/>
          <w:szCs w:val="20"/>
          <w:lang w:val="en-GB"/>
        </w:rPr>
      </w:pPr>
    </w:p>
    <w:p w14:paraId="7AAF7FE4" w14:textId="77777777" w:rsidR="00587444" w:rsidRPr="00587444" w:rsidRDefault="00587444" w:rsidP="00587932">
      <w:pPr>
        <w:keepNext/>
        <w:autoSpaceDN/>
        <w:jc w:val="both"/>
        <w:rPr>
          <w:rFonts w:ascii="Arial" w:hAnsi="Arial" w:cs="Arial"/>
          <w:sz w:val="20"/>
          <w:szCs w:val="20"/>
          <w:lang w:val="en-GB"/>
        </w:rPr>
      </w:pPr>
      <w:r w:rsidRPr="00587444">
        <w:rPr>
          <w:rFonts w:ascii="Arial" w:hAnsi="Arial" w:cs="Arial"/>
          <w:sz w:val="20"/>
          <w:szCs w:val="20"/>
          <w:lang w:val="en-GB"/>
        </w:rPr>
        <w:t xml:space="preserve">Interest income and expense are recognized in the profit or loss when earned or incurred. Interest income and expense are recognized in the profit or loss for all interest-bearing instruments on an accrual basis using the effective interest rate, which is the rate that discounts estimated future cash payments or receipts through the expected life of the financial instrument or on a shorter period, where appropriate. Interest income includes coupons earned on fixed income investments. </w:t>
      </w:r>
    </w:p>
    <w:p w14:paraId="39CA37DA" w14:textId="77777777" w:rsidR="00587444" w:rsidRPr="00587444" w:rsidRDefault="00587444" w:rsidP="00587932">
      <w:pPr>
        <w:keepNext/>
        <w:autoSpaceDN/>
        <w:jc w:val="both"/>
        <w:rPr>
          <w:rFonts w:ascii="Arial" w:hAnsi="Arial" w:cs="Arial"/>
          <w:sz w:val="20"/>
          <w:szCs w:val="20"/>
          <w:lang w:val="en-GB"/>
        </w:rPr>
      </w:pPr>
    </w:p>
    <w:p w14:paraId="1DCD80F0" w14:textId="77777777" w:rsidR="00587444" w:rsidRPr="00587444" w:rsidRDefault="00587444" w:rsidP="00587932">
      <w:pPr>
        <w:keepNext/>
        <w:autoSpaceDN/>
        <w:jc w:val="both"/>
        <w:rPr>
          <w:rFonts w:ascii="Arial" w:hAnsi="Arial" w:cs="Arial"/>
          <w:sz w:val="20"/>
          <w:szCs w:val="20"/>
          <w:lang w:val="en-GB"/>
        </w:rPr>
      </w:pPr>
      <w:r w:rsidRPr="00587444">
        <w:rPr>
          <w:rFonts w:ascii="Arial" w:hAnsi="Arial" w:cs="Arial"/>
          <w:sz w:val="20"/>
          <w:szCs w:val="20"/>
          <w:lang w:val="en-GB"/>
        </w:rPr>
        <w:t>Loan origination fees, together with estimated related costs, are deferred and proportionally recognized as an adjustment to the effective yield on the loan over the term of loan.</w:t>
      </w:r>
    </w:p>
    <w:p w14:paraId="6FD82963" w14:textId="77777777" w:rsidR="00587444" w:rsidRPr="00587444" w:rsidRDefault="00587444" w:rsidP="00587932">
      <w:pPr>
        <w:keepNext/>
        <w:autoSpaceDN/>
        <w:jc w:val="both"/>
        <w:rPr>
          <w:rFonts w:ascii="Arial" w:hAnsi="Arial" w:cs="Arial"/>
          <w:sz w:val="20"/>
          <w:szCs w:val="20"/>
          <w:lang w:val="en-GB"/>
        </w:rPr>
      </w:pPr>
    </w:p>
    <w:p w14:paraId="52B8AFA1" w14:textId="77777777" w:rsidR="00587444" w:rsidRPr="00587444" w:rsidRDefault="00587444" w:rsidP="00587932">
      <w:pPr>
        <w:keepNext/>
        <w:autoSpaceDN/>
        <w:jc w:val="both"/>
        <w:rPr>
          <w:rFonts w:ascii="Arial" w:hAnsi="Arial" w:cs="Arial"/>
          <w:sz w:val="20"/>
          <w:szCs w:val="20"/>
          <w:lang w:val="en-GB"/>
        </w:rPr>
      </w:pPr>
      <w:r w:rsidRPr="00587444">
        <w:rPr>
          <w:rFonts w:ascii="Arial" w:hAnsi="Arial" w:cs="Arial"/>
          <w:sz w:val="20"/>
          <w:szCs w:val="20"/>
          <w:lang w:val="en-GB"/>
        </w:rPr>
        <w:t xml:space="preserve">Notional interest is recognized on impaired loans and other financial assets based on the rate used to discount future cash flows to their net present value and are recognized in the profit or loss. </w:t>
      </w:r>
    </w:p>
    <w:p w14:paraId="1236864A" w14:textId="77777777" w:rsidR="00587444" w:rsidRPr="00587444" w:rsidRDefault="00587444" w:rsidP="00587444">
      <w:pPr>
        <w:keepNext/>
        <w:suppressAutoHyphens w:val="0"/>
        <w:autoSpaceDN/>
        <w:jc w:val="both"/>
        <w:rPr>
          <w:rFonts w:ascii="Arial" w:hAnsi="Arial" w:cs="Arial"/>
          <w:sz w:val="20"/>
          <w:szCs w:val="20"/>
          <w:lang w:val="en-GB"/>
        </w:rPr>
        <w:sectPr w:rsidR="00587444" w:rsidRPr="00587444" w:rsidSect="00DD69E7">
          <w:pgSz w:w="11907" w:h="16840" w:code="9"/>
          <w:pgMar w:top="1418" w:right="992" w:bottom="1134" w:left="1418" w:header="851" w:footer="851" w:gutter="0"/>
          <w:cols w:space="720"/>
          <w:noEndnote/>
        </w:sectPr>
      </w:pPr>
    </w:p>
    <w:p w14:paraId="50CA6D58" w14:textId="77777777" w:rsidR="00587444" w:rsidRPr="00587444" w:rsidRDefault="00587444" w:rsidP="00587932">
      <w:pPr>
        <w:keepNext/>
        <w:autoSpaceDN/>
        <w:jc w:val="both"/>
        <w:rPr>
          <w:rFonts w:ascii="Arial" w:hAnsi="Arial" w:cs="Arial"/>
          <w:b/>
          <w:bCs/>
          <w:sz w:val="20"/>
          <w:szCs w:val="20"/>
          <w:lang w:val="pl-PL"/>
        </w:rPr>
      </w:pPr>
    </w:p>
    <w:p w14:paraId="00D1A61C"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05DE2B2F" w14:textId="77777777" w:rsidR="00587444" w:rsidRPr="00587444" w:rsidRDefault="00587444" w:rsidP="00587932">
      <w:pPr>
        <w:keepNext/>
        <w:tabs>
          <w:tab w:val="left" w:pos="426"/>
        </w:tabs>
        <w:autoSpaceDN/>
        <w:jc w:val="both"/>
        <w:rPr>
          <w:rFonts w:ascii="Arial" w:hAnsi="Arial" w:cs="Arial"/>
          <w:b/>
          <w:bCs/>
          <w:sz w:val="20"/>
          <w:szCs w:val="20"/>
        </w:rPr>
      </w:pPr>
    </w:p>
    <w:p w14:paraId="372B6798"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1731F611" w14:textId="77777777" w:rsidR="00587444" w:rsidRPr="00587444" w:rsidRDefault="00587444" w:rsidP="00587932">
      <w:pPr>
        <w:keepNext/>
        <w:tabs>
          <w:tab w:val="left" w:pos="426"/>
        </w:tabs>
        <w:autoSpaceDN/>
        <w:jc w:val="both"/>
        <w:rPr>
          <w:rFonts w:ascii="Arial" w:hAnsi="Arial" w:cs="Arial"/>
          <w:b/>
          <w:bCs/>
          <w:sz w:val="20"/>
          <w:szCs w:val="20"/>
        </w:rPr>
      </w:pPr>
    </w:p>
    <w:p w14:paraId="72B9951B"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C. Interest income and expense (continued)</w:t>
      </w:r>
    </w:p>
    <w:p w14:paraId="549A3015" w14:textId="77777777" w:rsidR="00587444" w:rsidRPr="00587444" w:rsidRDefault="00587444" w:rsidP="00587932">
      <w:pPr>
        <w:autoSpaceDN/>
        <w:jc w:val="both"/>
        <w:rPr>
          <w:rFonts w:ascii="Arial" w:eastAsia="Calibri" w:hAnsi="Arial" w:cs="Arial"/>
          <w:sz w:val="20"/>
          <w:szCs w:val="20"/>
          <w:lang w:val="en-GB"/>
        </w:rPr>
      </w:pPr>
    </w:p>
    <w:p w14:paraId="3A337876"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 xml:space="preserve">D. Fee and commission income </w:t>
      </w:r>
    </w:p>
    <w:p w14:paraId="63A110BF" w14:textId="77777777" w:rsidR="00587444" w:rsidRPr="00587444" w:rsidRDefault="00587444" w:rsidP="00587932">
      <w:pPr>
        <w:autoSpaceDN/>
        <w:jc w:val="both"/>
        <w:rPr>
          <w:rFonts w:ascii="Arial" w:hAnsi="Arial" w:cs="Arial"/>
          <w:sz w:val="20"/>
          <w:szCs w:val="20"/>
          <w:lang w:val="en-GB"/>
        </w:rPr>
      </w:pPr>
    </w:p>
    <w:p w14:paraId="350C4CF9" w14:textId="77777777" w:rsidR="00587444" w:rsidRPr="00587444" w:rsidRDefault="00587444" w:rsidP="00587932">
      <w:pPr>
        <w:autoSpaceDN/>
        <w:jc w:val="both"/>
        <w:rPr>
          <w:rFonts w:ascii="Arial" w:hAnsi="Arial" w:cs="Arial"/>
          <w:sz w:val="20"/>
          <w:szCs w:val="20"/>
          <w:lang w:val="en-GB"/>
        </w:rPr>
      </w:pPr>
      <w:r w:rsidRPr="00587444">
        <w:rPr>
          <w:rFonts w:ascii="Arial" w:hAnsi="Arial" w:cs="Arial"/>
          <w:sz w:val="20"/>
          <w:szCs w:val="20"/>
          <w:lang w:val="en-GB"/>
        </w:rPr>
        <w:t>Fee and commission income and expense that are integral to the effective interest rate on a financial asset or financial liability are included in the effective interest rate (see (C)). Other fee and commission income – fees income from companies for guarantees granted and other services rendered by the Group, together with commissions for managing funds for and on behalf of legal entities and fees for foreign and domestic payment transactions – is recognised as the related services are performed. If a loan commitment is not expected to result in the draw-down of a loan, then the related loan commitment fee is recognised on a straight-line basis over the commitment period.</w:t>
      </w:r>
    </w:p>
    <w:p w14:paraId="33F1C147" w14:textId="77777777" w:rsidR="00587444" w:rsidRPr="00587444" w:rsidRDefault="00587444" w:rsidP="00587932">
      <w:pPr>
        <w:autoSpaceDN/>
        <w:jc w:val="both"/>
        <w:rPr>
          <w:rFonts w:ascii="Arial" w:hAnsi="Arial" w:cs="Arial"/>
          <w:sz w:val="20"/>
          <w:szCs w:val="20"/>
          <w:lang w:val="en-GB"/>
        </w:rPr>
      </w:pPr>
    </w:p>
    <w:p w14:paraId="5C908BF2" w14:textId="77777777" w:rsidR="00587444" w:rsidRPr="00587444" w:rsidRDefault="00587444" w:rsidP="00587932">
      <w:pPr>
        <w:autoSpaceDN/>
        <w:jc w:val="both"/>
        <w:rPr>
          <w:rFonts w:ascii="Arial" w:hAnsi="Arial" w:cs="Arial"/>
          <w:b/>
          <w:bCs/>
          <w:sz w:val="20"/>
          <w:szCs w:val="20"/>
        </w:rPr>
      </w:pPr>
      <w:r w:rsidRPr="00587444">
        <w:rPr>
          <w:rFonts w:ascii="Arial" w:hAnsi="Arial" w:cs="Arial"/>
          <w:sz w:val="20"/>
          <w:szCs w:val="20"/>
          <w:lang w:val="en-GB"/>
        </w:rPr>
        <w:t xml:space="preserve">Fee and commission income of non-interest income character (loan management fees for and on behalf of other parties, payment transaction fees, other fees of non-interest type) are recognized in the profit or loss as they incur. </w:t>
      </w:r>
    </w:p>
    <w:p w14:paraId="3055A3DF" w14:textId="77777777" w:rsidR="00587444" w:rsidRPr="00587444" w:rsidRDefault="00587444" w:rsidP="00587932">
      <w:pPr>
        <w:autoSpaceDN/>
        <w:jc w:val="both"/>
        <w:rPr>
          <w:rFonts w:ascii="Arial" w:eastAsia="Calibri" w:hAnsi="Arial" w:cs="Arial"/>
          <w:b/>
          <w:sz w:val="20"/>
          <w:szCs w:val="20"/>
          <w:lang w:val="en-GB"/>
        </w:rPr>
      </w:pPr>
    </w:p>
    <w:p w14:paraId="607C7D7F" w14:textId="77777777" w:rsidR="00587444" w:rsidRPr="00587444" w:rsidRDefault="00587444" w:rsidP="00587932">
      <w:pPr>
        <w:keepNext/>
        <w:tabs>
          <w:tab w:val="left" w:pos="567"/>
        </w:tabs>
        <w:autoSpaceDN/>
        <w:jc w:val="both"/>
        <w:rPr>
          <w:rFonts w:ascii="Arial" w:hAnsi="Arial" w:cs="Arial"/>
          <w:b/>
          <w:bCs/>
          <w:sz w:val="20"/>
          <w:szCs w:val="20"/>
          <w:lang w:val="en-GB"/>
        </w:rPr>
      </w:pPr>
      <w:bookmarkStart w:id="410" w:name="_Hlk533778607"/>
      <w:r w:rsidRPr="00587444">
        <w:rPr>
          <w:rFonts w:ascii="Arial" w:hAnsi="Arial" w:cs="Arial"/>
          <w:b/>
          <w:bCs/>
          <w:sz w:val="20"/>
          <w:szCs w:val="20"/>
          <w:lang w:val="en-GB"/>
        </w:rPr>
        <w:t>E. Leases</w:t>
      </w:r>
    </w:p>
    <w:p w14:paraId="22E76906"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22B4D6A2" w14:textId="77777777" w:rsidR="00587444" w:rsidRPr="00587444" w:rsidRDefault="00587444" w:rsidP="00587932">
      <w:pPr>
        <w:autoSpaceDN/>
        <w:rPr>
          <w:rFonts w:ascii="Arial" w:hAnsi="Arial" w:cs="Arial"/>
          <w:sz w:val="20"/>
          <w:szCs w:val="20"/>
          <w:lang w:val="en-GB"/>
        </w:rPr>
      </w:pPr>
      <w:r w:rsidRPr="00587444">
        <w:rPr>
          <w:rFonts w:ascii="Arial" w:hAnsi="Arial" w:cs="Arial"/>
          <w:sz w:val="20"/>
          <w:szCs w:val="20"/>
          <w:lang w:val="en-GB"/>
        </w:rPr>
        <w:t>(a) The Group as a lessee</w:t>
      </w:r>
    </w:p>
    <w:p w14:paraId="0E9ADB52"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highlight w:val="yellow"/>
          <w:lang w:val="en-GB"/>
        </w:rPr>
      </w:pPr>
    </w:p>
    <w:p w14:paraId="65DCA3CA" w14:textId="77777777" w:rsidR="00587444" w:rsidRPr="00587444" w:rsidRDefault="00587444" w:rsidP="00587932">
      <w:pPr>
        <w:autoSpaceDN/>
        <w:spacing w:line="259" w:lineRule="auto"/>
        <w:jc w:val="both"/>
        <w:rPr>
          <w:rFonts w:ascii="Arial" w:eastAsia="Calibri" w:hAnsi="Arial" w:cs="Arial"/>
          <w:sz w:val="20"/>
          <w:szCs w:val="20"/>
          <w:lang w:val="en-GB"/>
        </w:rPr>
      </w:pPr>
      <w:r w:rsidRPr="00587444">
        <w:rPr>
          <w:rFonts w:ascii="Arial" w:eastAsia="Calibri" w:hAnsi="Arial" w:cs="Arial"/>
          <w:sz w:val="20"/>
          <w:szCs w:val="20"/>
          <w:lang w:val="en-GB"/>
        </w:rPr>
        <w:t xml:space="preserve">When concluding a contract, the Group assesses whether it is a lease contract or whether an individual contract contains elements of a lease. A contract is, or contains, a lease if it conveys the right to control the use of an identified asset for </w:t>
      </w:r>
      <w:proofErr w:type="gramStart"/>
      <w:r w:rsidRPr="00587444">
        <w:rPr>
          <w:rFonts w:ascii="Arial" w:eastAsia="Calibri" w:hAnsi="Arial" w:cs="Arial"/>
          <w:sz w:val="20"/>
          <w:szCs w:val="20"/>
          <w:lang w:val="en-GB"/>
        </w:rPr>
        <w:t>a period of time</w:t>
      </w:r>
      <w:proofErr w:type="gramEnd"/>
      <w:r w:rsidRPr="00587444">
        <w:rPr>
          <w:rFonts w:ascii="Arial" w:eastAsia="Calibri" w:hAnsi="Arial" w:cs="Arial"/>
          <w:sz w:val="20"/>
          <w:szCs w:val="20"/>
          <w:lang w:val="en-GB"/>
        </w:rPr>
        <w:t xml:space="preserve"> in exchange for consideration. </w:t>
      </w:r>
      <w:proofErr w:type="gramStart"/>
      <w:r w:rsidRPr="00587444">
        <w:rPr>
          <w:rFonts w:ascii="Arial" w:eastAsia="Calibri" w:hAnsi="Arial" w:cs="Arial"/>
          <w:sz w:val="20"/>
          <w:szCs w:val="20"/>
          <w:lang w:val="en-GB"/>
        </w:rPr>
        <w:t>In order to</w:t>
      </w:r>
      <w:proofErr w:type="gramEnd"/>
      <w:r w:rsidRPr="00587444">
        <w:rPr>
          <w:rFonts w:ascii="Arial" w:eastAsia="Calibri" w:hAnsi="Arial" w:cs="Arial"/>
          <w:sz w:val="20"/>
          <w:szCs w:val="20"/>
          <w:lang w:val="en-GB"/>
        </w:rPr>
        <w:t xml:space="preserve"> assess whether the contract conveys the right to control the use of an identified asset, the Group uses the definition of lease in IFRS 16. </w:t>
      </w:r>
    </w:p>
    <w:p w14:paraId="5C8475C4"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highlight w:val="yellow"/>
          <w:lang w:val="en-GB"/>
        </w:rPr>
      </w:pPr>
    </w:p>
    <w:p w14:paraId="60A6C3EE" w14:textId="77777777" w:rsidR="00587444" w:rsidRPr="00587444" w:rsidRDefault="00587444" w:rsidP="00587932">
      <w:pPr>
        <w:autoSpaceDN/>
        <w:spacing w:line="259" w:lineRule="auto"/>
        <w:jc w:val="both"/>
        <w:rPr>
          <w:rFonts w:ascii="Arial" w:eastAsia="Calibri" w:hAnsi="Arial" w:cs="Arial"/>
          <w:sz w:val="20"/>
          <w:szCs w:val="20"/>
          <w:lang w:val="en-GB"/>
        </w:rPr>
      </w:pPr>
      <w:r w:rsidRPr="00587444">
        <w:rPr>
          <w:rFonts w:ascii="Arial" w:eastAsia="Calibri" w:hAnsi="Arial" w:cs="Arial"/>
          <w:sz w:val="20"/>
          <w:szCs w:val="20"/>
          <w:lang w:val="en-GB"/>
        </w:rPr>
        <w:t xml:space="preserve">The Group recognises a right-of-use asset and a lease liability upon lease commencement. The right-of-use asset is initially measured at cost, which includes the initial amount of the lease liability adjusted for any lease payments before or at the lease commencement plus any direct costs incurred and an estimate of costs for dismantling and removing any improvements in the premises of subsidiaries and branch offices.  </w:t>
      </w:r>
    </w:p>
    <w:p w14:paraId="78B77898"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highlight w:val="yellow"/>
          <w:lang w:val="en-GB"/>
        </w:rPr>
      </w:pPr>
    </w:p>
    <w:p w14:paraId="319A5814" w14:textId="77777777" w:rsidR="00587444" w:rsidRPr="00587444" w:rsidRDefault="00587444" w:rsidP="00587932">
      <w:pPr>
        <w:autoSpaceDN/>
        <w:spacing w:line="259" w:lineRule="auto"/>
        <w:jc w:val="both"/>
        <w:rPr>
          <w:rFonts w:ascii="Arial" w:eastAsia="Calibri" w:hAnsi="Arial" w:cs="Arial"/>
          <w:sz w:val="20"/>
          <w:szCs w:val="20"/>
          <w:lang w:val="en-GB"/>
        </w:rPr>
      </w:pPr>
      <w:r w:rsidRPr="00587444">
        <w:rPr>
          <w:rFonts w:ascii="Arial" w:eastAsia="Calibri" w:hAnsi="Arial" w:cs="Arial"/>
          <w:sz w:val="20"/>
          <w:szCs w:val="20"/>
          <w:lang w:val="en-GB"/>
        </w:rPr>
        <w:t>The right-of-use asset is subsequently depreciated using the straight-line method from the date of lease commencement until the end of the lease term. In addition, the right-of-use asset is periodically reduced by impairment losses, if any, and adjusted for certain remeasurements of the lease liability.</w:t>
      </w:r>
    </w:p>
    <w:p w14:paraId="0931D0A9"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571E8B41"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587444">
        <w:rPr>
          <w:rFonts w:ascii="Arial" w:eastAsia="Calibri" w:hAnsi="Arial" w:cs="Arial"/>
          <w:iCs/>
          <w:sz w:val="20"/>
          <w:szCs w:val="20"/>
          <w:lang w:val="en-GB"/>
        </w:rPr>
        <w:t>A lease liability is measured at the present value of all lease payments that have not been made by the lease commencement date using a discount rate. The discount rate is equal to the average weighted interest rate on HBOR placements determined for the previous business year.</w:t>
      </w:r>
    </w:p>
    <w:p w14:paraId="49D12EBB"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p>
    <w:p w14:paraId="78FA87E8" w14:textId="77777777" w:rsidR="00587444" w:rsidRPr="00587444" w:rsidRDefault="00587444" w:rsidP="00587932">
      <w:pPr>
        <w:autoSpaceDE w:val="0"/>
        <w:adjustRightInd w:val="0"/>
        <w:jc w:val="both"/>
        <w:rPr>
          <w:rFonts w:ascii="Arial" w:eastAsia="Calibri" w:hAnsi="Arial" w:cs="Arial"/>
          <w:sz w:val="20"/>
          <w:szCs w:val="20"/>
          <w:lang w:val="en-GB"/>
        </w:rPr>
      </w:pPr>
      <w:r w:rsidRPr="00587444">
        <w:rPr>
          <w:rFonts w:ascii="Arial" w:eastAsia="Calibri" w:hAnsi="Arial" w:cs="Arial"/>
          <w:sz w:val="20"/>
          <w:szCs w:val="20"/>
          <w:lang w:val="en-GB"/>
        </w:rPr>
        <w:t>Lease payments included in the measurement of the lease liability include the following payments that have not been settled by the first day of the lease term:</w:t>
      </w:r>
    </w:p>
    <w:p w14:paraId="3E3CD687" w14:textId="77777777" w:rsidR="00587444" w:rsidRPr="00587444" w:rsidRDefault="00587444" w:rsidP="00587932">
      <w:pPr>
        <w:autoSpaceDE w:val="0"/>
        <w:adjustRightInd w:val="0"/>
        <w:jc w:val="both"/>
        <w:rPr>
          <w:rFonts w:ascii="Arial" w:eastAsia="Calibri" w:hAnsi="Arial" w:cs="Arial"/>
          <w:sz w:val="20"/>
          <w:szCs w:val="20"/>
          <w:lang w:val="en-GB"/>
        </w:rPr>
      </w:pPr>
      <w:r w:rsidRPr="00587444">
        <w:rPr>
          <w:rFonts w:ascii="Arial" w:eastAsia="Calibri" w:hAnsi="Arial" w:cs="Arial"/>
          <w:sz w:val="20"/>
          <w:szCs w:val="20"/>
          <w:lang w:val="en-GB"/>
        </w:rPr>
        <w:t>a) fixed payments;</w:t>
      </w:r>
    </w:p>
    <w:p w14:paraId="3EFECDA3" w14:textId="77777777" w:rsidR="00587444" w:rsidRPr="00587444" w:rsidRDefault="00587444" w:rsidP="00587932">
      <w:pPr>
        <w:autoSpaceDE w:val="0"/>
        <w:adjustRightInd w:val="0"/>
        <w:jc w:val="both"/>
        <w:rPr>
          <w:rFonts w:ascii="Arial" w:eastAsia="Calibri" w:hAnsi="Arial" w:cs="Arial"/>
          <w:sz w:val="20"/>
          <w:szCs w:val="20"/>
          <w:lang w:val="en-GB"/>
        </w:rPr>
      </w:pPr>
      <w:r w:rsidRPr="00587444">
        <w:rPr>
          <w:rFonts w:ascii="Arial" w:eastAsia="Calibri" w:hAnsi="Arial" w:cs="Arial"/>
          <w:sz w:val="20"/>
          <w:szCs w:val="20"/>
          <w:lang w:val="en-GB"/>
        </w:rPr>
        <w:t>b) variable payments that depend on a specific index or rate;</w:t>
      </w:r>
    </w:p>
    <w:p w14:paraId="5023C2D3" w14:textId="77777777" w:rsidR="00587444" w:rsidRPr="00587444" w:rsidRDefault="00587444" w:rsidP="00587932">
      <w:pPr>
        <w:autoSpaceDE w:val="0"/>
        <w:adjustRightInd w:val="0"/>
        <w:jc w:val="both"/>
        <w:rPr>
          <w:rFonts w:ascii="Arial" w:eastAsia="Calibri" w:hAnsi="Arial" w:cs="Arial"/>
          <w:sz w:val="20"/>
          <w:szCs w:val="20"/>
          <w:lang w:val="en-GB"/>
        </w:rPr>
      </w:pPr>
      <w:r w:rsidRPr="00587444">
        <w:rPr>
          <w:rFonts w:ascii="Arial" w:eastAsia="Calibri" w:hAnsi="Arial" w:cs="Arial"/>
          <w:sz w:val="20"/>
          <w:szCs w:val="20"/>
          <w:lang w:val="en-GB"/>
        </w:rPr>
        <w:t>c) amounts expected to be paid on behalf of the guaranteed residual value;</w:t>
      </w:r>
    </w:p>
    <w:p w14:paraId="06F605FA" w14:textId="77777777" w:rsidR="00587444" w:rsidRPr="00587444" w:rsidRDefault="00587444" w:rsidP="00587932">
      <w:pPr>
        <w:autoSpaceDE w:val="0"/>
        <w:adjustRightInd w:val="0"/>
        <w:jc w:val="both"/>
        <w:rPr>
          <w:rFonts w:ascii="Arial" w:eastAsia="Calibri" w:hAnsi="Arial" w:cs="Arial"/>
          <w:sz w:val="20"/>
          <w:szCs w:val="20"/>
          <w:lang w:val="en-GB"/>
        </w:rPr>
      </w:pPr>
      <w:r w:rsidRPr="00587444">
        <w:rPr>
          <w:rFonts w:ascii="Arial" w:eastAsia="Calibri" w:hAnsi="Arial" w:cs="Arial"/>
          <w:sz w:val="20"/>
          <w:szCs w:val="20"/>
          <w:lang w:val="en-GB"/>
        </w:rPr>
        <w:t>d) the price of using the redemption option if there is a high probability of using that option; and</w:t>
      </w:r>
    </w:p>
    <w:p w14:paraId="274FFBD3"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sz w:val="20"/>
          <w:szCs w:val="20"/>
          <w:lang w:val="en-GB"/>
        </w:rPr>
      </w:pPr>
      <w:r w:rsidRPr="00587444">
        <w:rPr>
          <w:rFonts w:ascii="Arial" w:eastAsia="Calibri" w:hAnsi="Arial" w:cs="Arial"/>
          <w:sz w:val="20"/>
          <w:szCs w:val="20"/>
          <w:lang w:val="en-GB"/>
        </w:rPr>
        <w:t>e) penalties for termination of lease.</w:t>
      </w:r>
    </w:p>
    <w:p w14:paraId="427C8360"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p>
    <w:p w14:paraId="3DC8DCC8"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587444">
        <w:rPr>
          <w:rFonts w:ascii="Arial" w:eastAsia="Calibri" w:hAnsi="Arial" w:cs="Arial"/>
          <w:iCs/>
          <w:sz w:val="20"/>
          <w:szCs w:val="20"/>
          <w:lang w:val="en-GB"/>
        </w:rPr>
        <w:t>The Group presents assets with the right of use in note 21. Other assets, and lease liabilities in note 25. Other liabilities, due to intangible amount.</w:t>
      </w:r>
    </w:p>
    <w:p w14:paraId="5DCAB58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sectPr w:rsidR="00587444" w:rsidRPr="00587444" w:rsidSect="00DD69E7">
          <w:pgSz w:w="11907" w:h="16840" w:code="9"/>
          <w:pgMar w:top="1418" w:right="992" w:bottom="1134" w:left="1418" w:header="851" w:footer="851" w:gutter="0"/>
          <w:cols w:space="720"/>
          <w:noEndnote/>
        </w:sectPr>
      </w:pPr>
    </w:p>
    <w:p w14:paraId="44A1EF54"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13673EB6"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7ADD93BF" w14:textId="77777777" w:rsidR="00587444" w:rsidRPr="00587444" w:rsidRDefault="00587444" w:rsidP="00587932">
      <w:pPr>
        <w:keepNext/>
        <w:tabs>
          <w:tab w:val="left" w:pos="426"/>
        </w:tabs>
        <w:autoSpaceDN/>
        <w:jc w:val="both"/>
        <w:rPr>
          <w:rFonts w:ascii="Arial" w:hAnsi="Arial" w:cs="Arial"/>
          <w:b/>
          <w:bCs/>
          <w:sz w:val="20"/>
          <w:szCs w:val="20"/>
        </w:rPr>
      </w:pPr>
    </w:p>
    <w:p w14:paraId="2179F91B"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5F5637E1" w14:textId="77777777" w:rsidR="00587444" w:rsidRPr="00587444" w:rsidRDefault="00587444" w:rsidP="00587932">
      <w:pPr>
        <w:keepNext/>
        <w:tabs>
          <w:tab w:val="left" w:pos="426"/>
        </w:tabs>
        <w:autoSpaceDN/>
        <w:jc w:val="both"/>
        <w:rPr>
          <w:rFonts w:ascii="Arial" w:hAnsi="Arial" w:cs="Arial"/>
          <w:b/>
          <w:bCs/>
          <w:sz w:val="20"/>
          <w:szCs w:val="20"/>
        </w:rPr>
      </w:pPr>
    </w:p>
    <w:p w14:paraId="09AA9FFD"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E. Leases (continued)</w:t>
      </w:r>
    </w:p>
    <w:p w14:paraId="71C859F0"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hAnsi="Arial" w:cs="Arial"/>
          <w:b/>
          <w:bCs/>
          <w:sz w:val="20"/>
          <w:szCs w:val="20"/>
        </w:rPr>
      </w:pPr>
    </w:p>
    <w:p w14:paraId="2E2F52C3"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587444">
        <w:rPr>
          <w:rFonts w:ascii="Arial" w:hAnsi="Arial" w:cs="Arial"/>
          <w:b/>
          <w:bCs/>
          <w:sz w:val="20"/>
          <w:szCs w:val="20"/>
        </w:rPr>
        <w:t>(</w:t>
      </w:r>
      <w:r w:rsidRPr="00587444">
        <w:rPr>
          <w:rFonts w:ascii="Arial" w:eastAsia="Calibri" w:hAnsi="Arial" w:cs="Arial"/>
          <w:iCs/>
          <w:sz w:val="20"/>
          <w:szCs w:val="20"/>
          <w:lang w:val="en-GB"/>
        </w:rPr>
        <w:t>a) The Group as a lessee (continued)</w:t>
      </w:r>
    </w:p>
    <w:p w14:paraId="6886BF01"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p>
    <w:p w14:paraId="145A8419"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587444">
        <w:rPr>
          <w:rFonts w:ascii="Arial" w:eastAsia="Calibri" w:hAnsi="Arial" w:cs="Arial"/>
          <w:iCs/>
          <w:sz w:val="20"/>
          <w:szCs w:val="20"/>
          <w:lang w:val="en-GB"/>
        </w:rPr>
        <w:t xml:space="preserve">Short-term leases and leases of low value assets </w:t>
      </w:r>
    </w:p>
    <w:p w14:paraId="6F8A7AC9"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p>
    <w:p w14:paraId="2E956AB4"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587444">
        <w:rPr>
          <w:rFonts w:ascii="Arial" w:eastAsia="Calibri" w:hAnsi="Arial" w:cs="Arial"/>
          <w:iCs/>
          <w:sz w:val="20"/>
          <w:szCs w:val="20"/>
          <w:lang w:val="en-GB"/>
        </w:rPr>
        <w:t>The Group has chosen the option of not recognising the right-of-use assets and lease liabilities for low value assets leases and short-term leases. The Group recognises lease payments related to these leases as a cost using the straight-line method over the lease term.</w:t>
      </w:r>
    </w:p>
    <w:p w14:paraId="352B54A2"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p>
    <w:p w14:paraId="5A5A8B24"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587444">
        <w:rPr>
          <w:rFonts w:ascii="Arial" w:eastAsia="Calibri" w:hAnsi="Arial" w:cs="Arial"/>
          <w:iCs/>
          <w:sz w:val="20"/>
          <w:szCs w:val="20"/>
          <w:lang w:val="en-GB"/>
        </w:rPr>
        <w:t>The Group had no financial leases in its portfolio.</w:t>
      </w:r>
    </w:p>
    <w:p w14:paraId="5E98B812"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highlight w:val="yellow"/>
          <w:lang w:val="en-GB"/>
        </w:rPr>
      </w:pPr>
    </w:p>
    <w:p w14:paraId="23DA7C22" w14:textId="77777777" w:rsidR="00587444" w:rsidRPr="00587444" w:rsidRDefault="00587444" w:rsidP="00587932">
      <w:pPr>
        <w:autoSpaceDN/>
        <w:spacing w:line="259" w:lineRule="auto"/>
        <w:rPr>
          <w:rFonts w:ascii="Arial" w:eastAsia="Calibri" w:hAnsi="Arial" w:cs="Arial"/>
          <w:sz w:val="20"/>
          <w:szCs w:val="20"/>
          <w:lang w:val="en-GB"/>
        </w:rPr>
      </w:pPr>
      <w:r w:rsidRPr="00587444">
        <w:rPr>
          <w:rFonts w:ascii="Arial" w:eastAsia="Calibri" w:hAnsi="Arial" w:cs="Arial"/>
          <w:sz w:val="20"/>
          <w:szCs w:val="20"/>
          <w:lang w:val="en-GB"/>
        </w:rPr>
        <w:t xml:space="preserve">(b) The Group as a lessor </w:t>
      </w:r>
    </w:p>
    <w:p w14:paraId="0FD8E5EB"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highlight w:val="yellow"/>
          <w:lang w:val="en-GB"/>
        </w:rPr>
      </w:pPr>
    </w:p>
    <w:p w14:paraId="0EF91961" w14:textId="77777777" w:rsidR="00587444" w:rsidRPr="00587444" w:rsidRDefault="00587444" w:rsidP="00587932">
      <w:pPr>
        <w:autoSpaceDN/>
        <w:spacing w:line="259" w:lineRule="auto"/>
        <w:jc w:val="both"/>
        <w:rPr>
          <w:rFonts w:ascii="Arial" w:eastAsia="Calibri" w:hAnsi="Arial" w:cs="Arial"/>
          <w:sz w:val="20"/>
          <w:szCs w:val="20"/>
          <w:lang w:val="en-GB"/>
        </w:rPr>
      </w:pPr>
      <w:r w:rsidRPr="00587444">
        <w:rPr>
          <w:rFonts w:ascii="Arial" w:eastAsia="Calibri" w:hAnsi="Arial" w:cs="Arial"/>
          <w:sz w:val="20"/>
          <w:szCs w:val="20"/>
          <w:lang w:val="en-GB"/>
        </w:rPr>
        <w:t>Leases in which the lessor retains substantially all the risks and rewards incidental to ownership of an underlying asset are classified as operating leases. Operating lease assets are included in ‘Investments in property' in the statement of financial position. Investments in property are disclosed in Note 21. Other assets due to immaterial amount. Assets are depreciated on a straight-line basis in the same way as other items of property and equipment. Lease income is recognised over the term of the lease.</w:t>
      </w:r>
    </w:p>
    <w:p w14:paraId="054F49C7" w14:textId="77777777" w:rsidR="00587444" w:rsidRPr="00587444" w:rsidRDefault="00587444" w:rsidP="00587932">
      <w:pPr>
        <w:autoSpaceDN/>
        <w:spacing w:line="259" w:lineRule="auto"/>
        <w:jc w:val="both"/>
        <w:rPr>
          <w:rFonts w:ascii="Arial" w:eastAsia="Calibri" w:hAnsi="Arial" w:cs="Arial"/>
          <w:sz w:val="20"/>
          <w:szCs w:val="20"/>
          <w:lang w:val="en-GB"/>
        </w:rPr>
      </w:pPr>
    </w:p>
    <w:p w14:paraId="4DCDF8DC" w14:textId="77777777" w:rsidR="00587444" w:rsidRPr="00587444" w:rsidRDefault="00587444" w:rsidP="00587932">
      <w:pPr>
        <w:keepNext/>
        <w:tabs>
          <w:tab w:val="left" w:pos="567"/>
        </w:tabs>
        <w:autoSpaceDN/>
        <w:spacing w:after="120"/>
        <w:jc w:val="both"/>
        <w:rPr>
          <w:rFonts w:ascii="Arial" w:hAnsi="Arial" w:cs="Arial"/>
          <w:b/>
          <w:bCs/>
          <w:sz w:val="20"/>
          <w:szCs w:val="20"/>
          <w:lang w:val="en-GB"/>
        </w:rPr>
      </w:pPr>
      <w:r w:rsidRPr="00587444">
        <w:rPr>
          <w:rFonts w:ascii="Arial" w:hAnsi="Arial" w:cs="Arial"/>
          <w:b/>
          <w:bCs/>
          <w:sz w:val="20"/>
          <w:szCs w:val="20"/>
          <w:lang w:val="en-GB"/>
        </w:rPr>
        <w:t>F. Income tax</w:t>
      </w:r>
    </w:p>
    <w:p w14:paraId="71D0F825" w14:textId="77777777" w:rsidR="00587444" w:rsidRPr="00587444" w:rsidRDefault="00587444" w:rsidP="00587932">
      <w:pPr>
        <w:tabs>
          <w:tab w:val="left" w:pos="426"/>
        </w:tabs>
        <w:autoSpaceDN/>
        <w:jc w:val="both"/>
        <w:rPr>
          <w:rFonts w:ascii="Arial" w:hAnsi="Arial" w:cs="Arial"/>
          <w:sz w:val="20"/>
          <w:szCs w:val="20"/>
          <w:lang w:val="en-GB"/>
        </w:rPr>
      </w:pPr>
      <w:r w:rsidRPr="00587444">
        <w:rPr>
          <w:rFonts w:ascii="Arial" w:hAnsi="Arial" w:cs="Arial"/>
          <w:sz w:val="20"/>
          <w:szCs w:val="20"/>
          <w:lang w:val="en-GB"/>
        </w:rPr>
        <w:t xml:space="preserve">Based on Article 9 of the Act on the HBOR, the parent company is exempt from income tax. </w:t>
      </w:r>
      <w:r w:rsidRPr="00587444">
        <w:rPr>
          <w:rFonts w:ascii="Arial" w:hAnsi="Arial" w:cs="Arial"/>
          <w:bCs/>
          <w:sz w:val="20"/>
          <w:szCs w:val="20"/>
          <w:lang w:val="pl-PL"/>
        </w:rPr>
        <w:t>Income tax liabilities arise exclusively from the activities of the other members of the Group.</w:t>
      </w:r>
    </w:p>
    <w:p w14:paraId="78CC96AE" w14:textId="77777777" w:rsidR="00587444" w:rsidRPr="00587444" w:rsidRDefault="00587444" w:rsidP="00587932">
      <w:pPr>
        <w:autoSpaceDN/>
        <w:spacing w:before="120"/>
        <w:jc w:val="both"/>
        <w:rPr>
          <w:rFonts w:ascii="Arial" w:hAnsi="Arial" w:cs="Arial"/>
          <w:sz w:val="20"/>
          <w:szCs w:val="20"/>
        </w:rPr>
      </w:pPr>
      <w:r w:rsidRPr="00587444">
        <w:rPr>
          <w:rFonts w:ascii="Arial" w:hAnsi="Arial" w:cs="Arial"/>
          <w:sz w:val="20"/>
          <w:szCs w:val="20"/>
        </w:rPr>
        <w:t xml:space="preserve">The income tax charge is based on taxable profit for the year and comprises current and deferred tax. Income tax is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in profit or loss except to the extent that it relates to items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directly in equity, in which case it is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in equity. Current tax is the expected tax payable on the taxable income for the year, using the tax rates enacted or substantially enacted at date of reporting, and any adjustments to tax payable in respect of previous years.</w:t>
      </w:r>
    </w:p>
    <w:p w14:paraId="5BBD7923" w14:textId="77777777" w:rsidR="00587444" w:rsidRPr="00587444" w:rsidRDefault="00587444" w:rsidP="00587932">
      <w:pPr>
        <w:autoSpaceDN/>
        <w:spacing w:before="120"/>
        <w:jc w:val="both"/>
        <w:rPr>
          <w:rFonts w:ascii="Arial" w:hAnsi="Arial" w:cs="Arial"/>
          <w:sz w:val="20"/>
          <w:szCs w:val="20"/>
        </w:rPr>
      </w:pPr>
      <w:r w:rsidRPr="00587444">
        <w:rPr>
          <w:rFonts w:ascii="Arial" w:hAnsi="Arial" w:cs="Arial"/>
          <w:sz w:val="20"/>
          <w:szCs w:val="20"/>
        </w:rPr>
        <w:t>Deferred taxes are calculated by using the balance sheet liability method. Deferred income taxes reflect the net tax effects of temporary differences between the carrying amounts of assets and liabilities for financial reporting purposes and the amounts used for income tax purposes. Deferred tax assets and liabilities are measured by using the tax rates expected to apply to taxable profit in the years in which those temporary differences are expected to be recovered or settled based on tax rates enacted or substantially enacted at date of reporting.</w:t>
      </w:r>
    </w:p>
    <w:p w14:paraId="0EDD0B29" w14:textId="77777777" w:rsidR="00587444" w:rsidRPr="00587444" w:rsidRDefault="00587444" w:rsidP="00587932">
      <w:pPr>
        <w:autoSpaceDN/>
        <w:spacing w:before="120"/>
        <w:jc w:val="both"/>
        <w:rPr>
          <w:rFonts w:ascii="Arial" w:hAnsi="Arial" w:cs="Arial"/>
          <w:sz w:val="20"/>
          <w:szCs w:val="20"/>
        </w:rPr>
      </w:pPr>
      <w:r w:rsidRPr="00587444">
        <w:rPr>
          <w:rFonts w:ascii="Arial" w:hAnsi="Arial" w:cs="Arial"/>
          <w:sz w:val="20"/>
          <w:szCs w:val="20"/>
        </w:rPr>
        <w:t xml:space="preserve">The measurement of deferred tax liabilities and deferred tax assets reflects the tax consequences that would follow from the </w:t>
      </w:r>
      <w:proofErr w:type="gramStart"/>
      <w:r w:rsidRPr="00587444">
        <w:rPr>
          <w:rFonts w:ascii="Arial" w:hAnsi="Arial" w:cs="Arial"/>
          <w:sz w:val="20"/>
          <w:szCs w:val="20"/>
        </w:rPr>
        <w:t>manner in which</w:t>
      </w:r>
      <w:proofErr w:type="gramEnd"/>
      <w:r w:rsidRPr="00587444">
        <w:rPr>
          <w:rFonts w:ascii="Arial" w:hAnsi="Arial" w:cs="Arial"/>
          <w:sz w:val="20"/>
          <w:szCs w:val="20"/>
        </w:rPr>
        <w:t xml:space="preserve"> the Group expects, at date of reporting, to recover or settle the carrying amount of its assets and liabilities.</w:t>
      </w:r>
    </w:p>
    <w:p w14:paraId="5101D665" w14:textId="77777777" w:rsidR="00587444" w:rsidRPr="00587444" w:rsidRDefault="00587444" w:rsidP="00587932">
      <w:pPr>
        <w:autoSpaceDN/>
        <w:spacing w:before="120"/>
        <w:jc w:val="both"/>
        <w:rPr>
          <w:rFonts w:ascii="Arial" w:hAnsi="Arial" w:cs="Arial"/>
          <w:sz w:val="20"/>
          <w:szCs w:val="20"/>
        </w:rPr>
      </w:pPr>
      <w:r w:rsidRPr="00587444">
        <w:rPr>
          <w:rFonts w:ascii="Arial" w:hAnsi="Arial" w:cs="Arial"/>
          <w:sz w:val="20"/>
          <w:szCs w:val="20"/>
        </w:rPr>
        <w:t xml:space="preserve">Deferred tax assets and liabilities are not discounted and are classified as non-current assets and/or liabilities in the statement of financial position. Deferred tax assets are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when it is probable that sufficient taxable profits will be available against which the deferred tax assets can be </w:t>
      </w:r>
      <w:proofErr w:type="spellStart"/>
      <w:r w:rsidRPr="00587444">
        <w:rPr>
          <w:rFonts w:ascii="Arial" w:hAnsi="Arial" w:cs="Arial"/>
          <w:sz w:val="20"/>
          <w:szCs w:val="20"/>
        </w:rPr>
        <w:t>utilised</w:t>
      </w:r>
      <w:proofErr w:type="spellEnd"/>
      <w:r w:rsidRPr="00587444">
        <w:rPr>
          <w:rFonts w:ascii="Arial" w:hAnsi="Arial" w:cs="Arial"/>
          <w:sz w:val="20"/>
          <w:szCs w:val="20"/>
        </w:rPr>
        <w:t xml:space="preserve">. At each statement of financial position date, the Group reassesses </w:t>
      </w:r>
      <w:proofErr w:type="spellStart"/>
      <w:r w:rsidRPr="00587444">
        <w:rPr>
          <w:rFonts w:ascii="Arial" w:hAnsi="Arial" w:cs="Arial"/>
          <w:sz w:val="20"/>
          <w:szCs w:val="20"/>
        </w:rPr>
        <w:t>unrecognised</w:t>
      </w:r>
      <w:proofErr w:type="spellEnd"/>
      <w:r w:rsidRPr="00587444">
        <w:rPr>
          <w:rFonts w:ascii="Arial" w:hAnsi="Arial" w:cs="Arial"/>
          <w:sz w:val="20"/>
          <w:szCs w:val="20"/>
        </w:rPr>
        <w:t xml:space="preserve"> potential deferred tax assets and the carrying amount of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deferred tax assets.</w:t>
      </w:r>
    </w:p>
    <w:p w14:paraId="4E8ACADD" w14:textId="77777777" w:rsidR="00587444" w:rsidRPr="00587444" w:rsidRDefault="00587444" w:rsidP="00587932">
      <w:pPr>
        <w:autoSpaceDN/>
        <w:spacing w:before="120"/>
        <w:rPr>
          <w:rFonts w:ascii="Arial" w:hAnsi="Arial" w:cs="Arial"/>
          <w:sz w:val="20"/>
          <w:szCs w:val="20"/>
        </w:rPr>
      </w:pPr>
      <w:r w:rsidRPr="00587444">
        <w:rPr>
          <w:rFonts w:ascii="Arial" w:hAnsi="Arial" w:cs="Arial"/>
          <w:sz w:val="20"/>
          <w:szCs w:val="20"/>
        </w:rPr>
        <w:t>Deferred tax assets and liabilities are offset only if certain criteria are met.</w:t>
      </w:r>
    </w:p>
    <w:p w14:paraId="3D9568E3" w14:textId="77777777" w:rsidR="00587444" w:rsidRPr="00587444" w:rsidRDefault="00587444" w:rsidP="00587444">
      <w:pPr>
        <w:suppressAutoHyphens w:val="0"/>
        <w:autoSpaceDN/>
        <w:rPr>
          <w:rFonts w:ascii="Arial" w:hAnsi="Arial" w:cs="Arial"/>
          <w:b/>
          <w:sz w:val="20"/>
          <w:szCs w:val="20"/>
          <w:lang w:val="en-GB"/>
        </w:rPr>
      </w:pPr>
    </w:p>
    <w:p w14:paraId="27E595D2" w14:textId="77777777" w:rsidR="00587444" w:rsidRPr="00587444" w:rsidRDefault="00587444" w:rsidP="00587444">
      <w:pPr>
        <w:suppressAutoHyphens w:val="0"/>
        <w:autoSpaceDN/>
        <w:spacing w:line="259" w:lineRule="auto"/>
        <w:jc w:val="both"/>
        <w:rPr>
          <w:rFonts w:ascii="Arial" w:eastAsia="Calibri" w:hAnsi="Arial" w:cs="Arial"/>
          <w:sz w:val="20"/>
          <w:szCs w:val="20"/>
          <w:lang w:val="en-GB"/>
        </w:rPr>
      </w:pPr>
    </w:p>
    <w:p w14:paraId="2DB16C76" w14:textId="77777777" w:rsidR="00587444" w:rsidRPr="00587444" w:rsidRDefault="00587444" w:rsidP="00587444">
      <w:pPr>
        <w:suppressAutoHyphens w:val="0"/>
        <w:autoSpaceDN/>
        <w:jc w:val="both"/>
        <w:rPr>
          <w:rFonts w:ascii="Arial" w:eastAsia="Calibri" w:hAnsi="Arial" w:cs="Arial"/>
          <w:i/>
          <w:sz w:val="20"/>
          <w:szCs w:val="20"/>
          <w:lang w:val="en-GB"/>
        </w:rPr>
      </w:pPr>
    </w:p>
    <w:p w14:paraId="0A9AB62C" w14:textId="77777777" w:rsidR="00587444" w:rsidRPr="00587444" w:rsidRDefault="00587444" w:rsidP="00587444">
      <w:pPr>
        <w:suppressAutoHyphens w:val="0"/>
        <w:autoSpaceDN/>
        <w:jc w:val="both"/>
        <w:rPr>
          <w:rFonts w:ascii="Arial" w:eastAsia="Calibri" w:hAnsi="Arial" w:cs="Arial"/>
          <w:i/>
          <w:sz w:val="20"/>
          <w:szCs w:val="20"/>
          <w:lang w:val="en-GB"/>
        </w:rPr>
        <w:sectPr w:rsidR="00587444" w:rsidRPr="00587444" w:rsidSect="00DD69E7">
          <w:pgSz w:w="11907" w:h="16840" w:code="9"/>
          <w:pgMar w:top="1418" w:right="992" w:bottom="1134" w:left="1418" w:header="851" w:footer="851" w:gutter="0"/>
          <w:cols w:space="720"/>
          <w:noEndnote/>
        </w:sectPr>
      </w:pPr>
    </w:p>
    <w:p w14:paraId="6C4B7E8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7416133"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123AB3E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11363C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0FE6B29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205F003D"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bookmarkStart w:id="411" w:name="_Hlk883450"/>
      <w:bookmarkEnd w:id="410"/>
      <w:r w:rsidRPr="00587444">
        <w:rPr>
          <w:rFonts w:ascii="Arial" w:hAnsi="Arial" w:cs="Arial"/>
          <w:b/>
          <w:bCs/>
          <w:sz w:val="20"/>
          <w:szCs w:val="20"/>
          <w:lang w:val="en-GB"/>
        </w:rPr>
        <w:t>G. Financial assets and financial liabilities</w:t>
      </w:r>
    </w:p>
    <w:p w14:paraId="7798D768" w14:textId="77777777" w:rsidR="00587444" w:rsidRPr="00587444" w:rsidRDefault="00587444" w:rsidP="00587444">
      <w:pPr>
        <w:suppressAutoHyphens w:val="0"/>
        <w:autoSpaceDN/>
        <w:jc w:val="both"/>
        <w:rPr>
          <w:rFonts w:ascii="Arial" w:hAnsi="Arial" w:cs="Arial"/>
          <w:b/>
          <w:sz w:val="20"/>
          <w:szCs w:val="20"/>
        </w:rPr>
      </w:pPr>
    </w:p>
    <w:p w14:paraId="3D8CBA46"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i. Recognition and initial measurement</w:t>
      </w:r>
    </w:p>
    <w:p w14:paraId="5AD2F542" w14:textId="77777777" w:rsidR="00587444" w:rsidRPr="00587444" w:rsidRDefault="00587444" w:rsidP="00587932">
      <w:pPr>
        <w:autoSpaceDN/>
        <w:jc w:val="both"/>
        <w:rPr>
          <w:rFonts w:ascii="Arial" w:hAnsi="Arial" w:cs="Arial"/>
          <w:sz w:val="20"/>
          <w:szCs w:val="20"/>
        </w:rPr>
      </w:pPr>
    </w:p>
    <w:p w14:paraId="6A17B90B"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The Group initially </w:t>
      </w:r>
      <w:proofErr w:type="spellStart"/>
      <w:r w:rsidRPr="00587444">
        <w:rPr>
          <w:rFonts w:ascii="Arial" w:hAnsi="Arial" w:cs="Arial"/>
          <w:sz w:val="20"/>
          <w:szCs w:val="20"/>
        </w:rPr>
        <w:t>recognises</w:t>
      </w:r>
      <w:proofErr w:type="spellEnd"/>
      <w:r w:rsidRPr="00587444">
        <w:rPr>
          <w:rFonts w:ascii="Arial" w:hAnsi="Arial" w:cs="Arial"/>
          <w:sz w:val="20"/>
          <w:szCs w:val="20"/>
        </w:rPr>
        <w:t xml:space="preserve"> loans to financial institutions, loans to other customers, deposits and debt securities issued on the date on which they are originated</w:t>
      </w:r>
      <w:bookmarkEnd w:id="411"/>
      <w:r w:rsidRPr="00587444">
        <w:rPr>
          <w:rFonts w:ascii="Arial" w:hAnsi="Arial" w:cs="Arial"/>
          <w:sz w:val="20"/>
          <w:szCs w:val="20"/>
        </w:rPr>
        <w:t xml:space="preserve">. All other financial instruments (including regular-way purchases and sales of financial assets) are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on the trade date, which is the date on which the Group becomes a party to the contractual provisions of the instrument.</w:t>
      </w:r>
    </w:p>
    <w:p w14:paraId="2B22D38F" w14:textId="77777777" w:rsidR="00587444" w:rsidRPr="00587444" w:rsidRDefault="00587444" w:rsidP="00587932">
      <w:pPr>
        <w:autoSpaceDN/>
        <w:jc w:val="both"/>
        <w:rPr>
          <w:rFonts w:ascii="Arial" w:hAnsi="Arial" w:cs="Arial"/>
          <w:sz w:val="20"/>
          <w:szCs w:val="20"/>
        </w:rPr>
      </w:pPr>
    </w:p>
    <w:p w14:paraId="721AD263"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A financial asset or financial liability is measured initially at fair value plus, for an item not at Fair value through profit or loss, transaction costs that are directly attributable to its acquisition or issue.</w:t>
      </w:r>
    </w:p>
    <w:p w14:paraId="0A061E13" w14:textId="77777777" w:rsidR="00587444" w:rsidRPr="00587444" w:rsidRDefault="00587444" w:rsidP="00587932">
      <w:pPr>
        <w:autoSpaceDN/>
        <w:jc w:val="both"/>
        <w:rPr>
          <w:rFonts w:ascii="Arial" w:hAnsi="Arial" w:cs="Arial"/>
          <w:b/>
          <w:sz w:val="20"/>
          <w:szCs w:val="20"/>
        </w:rPr>
      </w:pPr>
    </w:p>
    <w:p w14:paraId="27BC66FE"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 xml:space="preserve">ii.  Classification </w:t>
      </w:r>
    </w:p>
    <w:p w14:paraId="01C7D892" w14:textId="77777777" w:rsidR="00587444" w:rsidRPr="00587444" w:rsidRDefault="00587444" w:rsidP="00587932">
      <w:pPr>
        <w:autoSpaceDN/>
        <w:jc w:val="both"/>
        <w:rPr>
          <w:rFonts w:ascii="Arial" w:hAnsi="Arial" w:cs="Arial"/>
          <w:sz w:val="20"/>
          <w:szCs w:val="20"/>
        </w:rPr>
      </w:pPr>
    </w:p>
    <w:p w14:paraId="6ACC18A7"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On initial recognition, a financial asset is classified as measured at: </w:t>
      </w:r>
      <w:proofErr w:type="spellStart"/>
      <w:r w:rsidRPr="00587444">
        <w:rPr>
          <w:rFonts w:ascii="Arial" w:hAnsi="Arial" w:cs="Arial"/>
          <w:sz w:val="20"/>
          <w:szCs w:val="20"/>
        </w:rPr>
        <w:t>amortised</w:t>
      </w:r>
      <w:proofErr w:type="spellEnd"/>
      <w:r w:rsidRPr="00587444">
        <w:rPr>
          <w:rFonts w:ascii="Arial" w:hAnsi="Arial" w:cs="Arial"/>
          <w:sz w:val="20"/>
          <w:szCs w:val="20"/>
        </w:rPr>
        <w:t xml:space="preserve"> cost, Fair value through other comprehensive income or Fair value through profit or loss.</w:t>
      </w:r>
    </w:p>
    <w:p w14:paraId="32DAA0AD" w14:textId="77777777" w:rsidR="00587444" w:rsidRPr="00587444" w:rsidRDefault="00587444" w:rsidP="00587932">
      <w:pPr>
        <w:autoSpaceDN/>
        <w:jc w:val="both"/>
        <w:rPr>
          <w:rFonts w:ascii="Arial" w:hAnsi="Arial" w:cs="Arial"/>
          <w:sz w:val="20"/>
          <w:szCs w:val="20"/>
        </w:rPr>
      </w:pPr>
    </w:p>
    <w:p w14:paraId="0852EDE2"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A financial asset is measured at </w:t>
      </w:r>
      <w:proofErr w:type="spellStart"/>
      <w:r w:rsidRPr="00587444">
        <w:rPr>
          <w:rFonts w:ascii="Arial" w:hAnsi="Arial" w:cs="Arial"/>
          <w:sz w:val="20"/>
          <w:szCs w:val="20"/>
        </w:rPr>
        <w:t>amortised</w:t>
      </w:r>
      <w:proofErr w:type="spellEnd"/>
      <w:r w:rsidRPr="00587444">
        <w:rPr>
          <w:rFonts w:ascii="Arial" w:hAnsi="Arial" w:cs="Arial"/>
          <w:sz w:val="20"/>
          <w:szCs w:val="20"/>
        </w:rPr>
        <w:t xml:space="preserve"> cost if it meets both of the following conditions and is not designated as at fair value through profit or loss:</w:t>
      </w:r>
    </w:p>
    <w:p w14:paraId="707CB331" w14:textId="77777777" w:rsidR="00587444" w:rsidRPr="00587444" w:rsidRDefault="00587444" w:rsidP="00587932">
      <w:pPr>
        <w:numPr>
          <w:ilvl w:val="0"/>
          <w:numId w:val="57"/>
        </w:numPr>
        <w:autoSpaceDN/>
        <w:contextualSpacing/>
        <w:jc w:val="both"/>
        <w:rPr>
          <w:rFonts w:ascii="Arial" w:hAnsi="Arial" w:cs="Arial"/>
          <w:sz w:val="20"/>
          <w:szCs w:val="20"/>
        </w:rPr>
      </w:pPr>
      <w:r w:rsidRPr="00587444">
        <w:rPr>
          <w:rFonts w:ascii="Arial" w:hAnsi="Arial" w:cs="Arial"/>
          <w:sz w:val="20"/>
          <w:szCs w:val="20"/>
        </w:rPr>
        <w:t>the asset is held within a business model whose objective is to hold assets to collect contractual cash flows; and</w:t>
      </w:r>
    </w:p>
    <w:p w14:paraId="7AF35290" w14:textId="77777777" w:rsidR="00587444" w:rsidRPr="00587444" w:rsidRDefault="00587444" w:rsidP="00587932">
      <w:pPr>
        <w:numPr>
          <w:ilvl w:val="0"/>
          <w:numId w:val="57"/>
        </w:numPr>
        <w:autoSpaceDN/>
        <w:contextualSpacing/>
        <w:jc w:val="both"/>
        <w:rPr>
          <w:rFonts w:ascii="Arial" w:hAnsi="Arial" w:cs="Arial"/>
          <w:sz w:val="20"/>
          <w:szCs w:val="20"/>
        </w:rPr>
      </w:pPr>
      <w:r w:rsidRPr="00587444">
        <w:rPr>
          <w:rFonts w:ascii="Arial" w:hAnsi="Arial" w:cs="Arial"/>
          <w:sz w:val="20"/>
          <w:szCs w:val="20"/>
        </w:rPr>
        <w:t xml:space="preserve">the contractual terms of the financial asset </w:t>
      </w:r>
      <w:bookmarkStart w:id="412" w:name="_Hlk884745"/>
      <w:r w:rsidRPr="00587444">
        <w:rPr>
          <w:rFonts w:ascii="Arial" w:hAnsi="Arial" w:cs="Arial"/>
          <w:sz w:val="20"/>
          <w:szCs w:val="20"/>
        </w:rPr>
        <w:t xml:space="preserve">give rise on specified dates </w:t>
      </w:r>
      <w:bookmarkEnd w:id="412"/>
      <w:r w:rsidRPr="00587444">
        <w:rPr>
          <w:rFonts w:ascii="Arial" w:hAnsi="Arial" w:cs="Arial"/>
          <w:sz w:val="20"/>
          <w:szCs w:val="20"/>
        </w:rPr>
        <w:t>to cash flows that are SPPI.</w:t>
      </w:r>
    </w:p>
    <w:p w14:paraId="63B35094" w14:textId="77777777" w:rsidR="00587444" w:rsidRPr="00587444" w:rsidRDefault="00587444" w:rsidP="00587932">
      <w:pPr>
        <w:autoSpaceDN/>
        <w:jc w:val="both"/>
        <w:rPr>
          <w:rFonts w:ascii="Arial" w:hAnsi="Arial" w:cs="Arial"/>
          <w:sz w:val="20"/>
          <w:szCs w:val="20"/>
        </w:rPr>
      </w:pPr>
    </w:p>
    <w:p w14:paraId="712717C0"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A debt instrument is measured at fair value through other comprehensive income only if it meets both of the following conditions and is not designated as at Fair value through profit or loss:</w:t>
      </w:r>
    </w:p>
    <w:p w14:paraId="03C726BA" w14:textId="77777777" w:rsidR="00587444" w:rsidRPr="00587444" w:rsidRDefault="00587444" w:rsidP="00587932">
      <w:pPr>
        <w:numPr>
          <w:ilvl w:val="0"/>
          <w:numId w:val="57"/>
        </w:numPr>
        <w:autoSpaceDN/>
        <w:contextualSpacing/>
        <w:jc w:val="both"/>
        <w:rPr>
          <w:rFonts w:ascii="Arial" w:hAnsi="Arial" w:cs="Arial"/>
          <w:sz w:val="20"/>
          <w:szCs w:val="20"/>
        </w:rPr>
      </w:pPr>
      <w:r w:rsidRPr="00587444">
        <w:rPr>
          <w:rFonts w:ascii="Arial" w:hAnsi="Arial" w:cs="Arial"/>
          <w:sz w:val="20"/>
          <w:szCs w:val="20"/>
        </w:rPr>
        <w:t>the asset is held within a business model whose objective is achieved by both collecting contractual cash flows and selling financial assets; and</w:t>
      </w:r>
    </w:p>
    <w:p w14:paraId="0A25585C" w14:textId="77777777" w:rsidR="00587444" w:rsidRPr="00587444" w:rsidRDefault="00587444" w:rsidP="00587932">
      <w:pPr>
        <w:numPr>
          <w:ilvl w:val="0"/>
          <w:numId w:val="57"/>
        </w:numPr>
        <w:autoSpaceDN/>
        <w:contextualSpacing/>
        <w:jc w:val="both"/>
        <w:rPr>
          <w:rFonts w:ascii="Arial" w:hAnsi="Arial" w:cs="Arial"/>
          <w:sz w:val="20"/>
          <w:szCs w:val="20"/>
        </w:rPr>
      </w:pPr>
      <w:r w:rsidRPr="00587444">
        <w:rPr>
          <w:rFonts w:ascii="Arial" w:hAnsi="Arial" w:cs="Arial"/>
          <w:sz w:val="20"/>
          <w:szCs w:val="20"/>
        </w:rPr>
        <w:t>the contractual terms of the financial asset give rise on specified dates to cash flows that are SPPI.</w:t>
      </w:r>
    </w:p>
    <w:p w14:paraId="55BB6A08" w14:textId="77777777" w:rsidR="00587444" w:rsidRPr="00587444" w:rsidRDefault="00587444" w:rsidP="00587932">
      <w:pPr>
        <w:autoSpaceDN/>
        <w:jc w:val="both"/>
        <w:rPr>
          <w:rFonts w:ascii="Arial" w:hAnsi="Arial" w:cs="Arial"/>
          <w:sz w:val="20"/>
          <w:szCs w:val="20"/>
        </w:rPr>
      </w:pPr>
    </w:p>
    <w:p w14:paraId="11DF9FFB"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On initial recognition of an equity investment that is not held for trading, the Group may irrevocably</w:t>
      </w:r>
    </w:p>
    <w:p w14:paraId="4B092950"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elect to present subsequent changes in fair value in other comprehensive income. This election is made on an investment-by-investment basis.</w:t>
      </w:r>
    </w:p>
    <w:p w14:paraId="3982C6B1" w14:textId="77777777" w:rsidR="00587444" w:rsidRPr="00587444" w:rsidRDefault="00587444" w:rsidP="00587932">
      <w:pPr>
        <w:autoSpaceDN/>
        <w:jc w:val="both"/>
        <w:rPr>
          <w:rFonts w:ascii="Arial" w:hAnsi="Arial" w:cs="Arial"/>
          <w:sz w:val="20"/>
          <w:szCs w:val="20"/>
        </w:rPr>
      </w:pPr>
    </w:p>
    <w:p w14:paraId="690D4BF7"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All other financial assets are classified as measured at fair value through profit or loss.</w:t>
      </w:r>
    </w:p>
    <w:p w14:paraId="3E283080" w14:textId="77777777" w:rsidR="00587444" w:rsidRPr="00587444" w:rsidRDefault="00587444" w:rsidP="00587932">
      <w:pPr>
        <w:autoSpaceDN/>
        <w:jc w:val="both"/>
        <w:rPr>
          <w:rFonts w:ascii="Arial" w:hAnsi="Arial" w:cs="Arial"/>
          <w:sz w:val="20"/>
          <w:szCs w:val="20"/>
        </w:rPr>
      </w:pPr>
    </w:p>
    <w:p w14:paraId="26D97C50" w14:textId="77777777" w:rsidR="00587444" w:rsidRPr="00587444" w:rsidRDefault="00587444" w:rsidP="00587932">
      <w:pPr>
        <w:autoSpaceDN/>
        <w:jc w:val="both"/>
        <w:rPr>
          <w:rFonts w:ascii="Arial" w:hAnsi="Arial" w:cs="Arial"/>
          <w:sz w:val="20"/>
          <w:szCs w:val="20"/>
        </w:rPr>
      </w:pPr>
      <w:bookmarkStart w:id="413" w:name="_Hlk957290"/>
      <w:bookmarkStart w:id="414" w:name="_Hlk956066"/>
      <w:r w:rsidRPr="00587444">
        <w:rPr>
          <w:rFonts w:ascii="Arial" w:hAnsi="Arial" w:cs="Arial"/>
          <w:color w:val="222222"/>
          <w:sz w:val="20"/>
          <w:szCs w:val="20"/>
          <w:lang w:val="en"/>
        </w:rPr>
        <w:t>In addition, at initial recognition, the Group may irrevocably designate that a financial asset is measured at fair value through profit or loss (financial assets that otherwise meet amortized cost requirements or at fair value through other comprehensive income) if this eliminates or significantly reduces the accounting mismatch that would otherwise have occurred.</w:t>
      </w:r>
    </w:p>
    <w:bookmarkEnd w:id="413"/>
    <w:bookmarkEnd w:id="414"/>
    <w:p w14:paraId="0082CC6D" w14:textId="77777777" w:rsidR="00587444" w:rsidRPr="00587444" w:rsidRDefault="00587444" w:rsidP="00587932">
      <w:pPr>
        <w:keepNext/>
        <w:tabs>
          <w:tab w:val="left" w:pos="426"/>
        </w:tabs>
        <w:autoSpaceDN/>
        <w:jc w:val="both"/>
        <w:rPr>
          <w:rFonts w:ascii="Arial" w:hAnsi="Arial" w:cs="Arial"/>
          <w:b/>
          <w:bCs/>
          <w:sz w:val="20"/>
          <w:szCs w:val="20"/>
        </w:rPr>
      </w:pPr>
    </w:p>
    <w:p w14:paraId="34E93063" w14:textId="77777777" w:rsidR="00587444" w:rsidRPr="00587444" w:rsidRDefault="00587444" w:rsidP="00587932">
      <w:pPr>
        <w:autoSpaceDN/>
        <w:jc w:val="both"/>
        <w:rPr>
          <w:rFonts w:ascii="Arial" w:hAnsi="Arial" w:cs="Arial"/>
          <w:i/>
          <w:sz w:val="20"/>
          <w:szCs w:val="20"/>
        </w:rPr>
      </w:pPr>
      <w:r w:rsidRPr="00587444">
        <w:rPr>
          <w:rFonts w:ascii="Arial" w:hAnsi="Arial" w:cs="Arial"/>
          <w:b/>
          <w:i/>
          <w:sz w:val="20"/>
          <w:szCs w:val="20"/>
        </w:rPr>
        <w:t>Business models</w:t>
      </w:r>
    </w:p>
    <w:p w14:paraId="70F2280B" w14:textId="77777777" w:rsidR="00587444" w:rsidRPr="00587444" w:rsidRDefault="00587444" w:rsidP="00587932">
      <w:pPr>
        <w:autoSpaceDN/>
        <w:spacing w:before="120"/>
        <w:jc w:val="both"/>
        <w:rPr>
          <w:rFonts w:ascii="Arial" w:hAnsi="Arial" w:cs="Arial"/>
          <w:sz w:val="20"/>
          <w:szCs w:val="20"/>
        </w:rPr>
      </w:pPr>
      <w:r w:rsidRPr="00587444">
        <w:rPr>
          <w:rFonts w:ascii="Arial" w:hAnsi="Arial" w:cs="Arial"/>
          <w:sz w:val="20"/>
          <w:szCs w:val="20"/>
        </w:rPr>
        <w:t xml:space="preserve">The Group makes an assessment of the objective of a business model in which an asset is held at a portfolio level because this best reflects the way the business is </w:t>
      </w:r>
      <w:proofErr w:type="gramStart"/>
      <w:r w:rsidRPr="00587444">
        <w:rPr>
          <w:rFonts w:ascii="Arial" w:hAnsi="Arial" w:cs="Arial"/>
          <w:sz w:val="20"/>
          <w:szCs w:val="20"/>
        </w:rPr>
        <w:t>managed</w:t>
      </w:r>
      <w:proofErr w:type="gramEnd"/>
      <w:r w:rsidRPr="00587444">
        <w:rPr>
          <w:rFonts w:ascii="Arial" w:hAnsi="Arial" w:cs="Arial"/>
          <w:sz w:val="20"/>
          <w:szCs w:val="20"/>
        </w:rPr>
        <w:t xml:space="preserve"> and information is provided to management.</w:t>
      </w:r>
    </w:p>
    <w:p w14:paraId="14F730C9"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All financial assets, except for investments in equity securities classified in the category of investments in associates and subsidiary with more than 20% of voting power or control, are grouped in business models which reflects how the Group manages the group of financial assets to </w:t>
      </w:r>
      <w:proofErr w:type="spellStart"/>
      <w:r w:rsidRPr="00587444">
        <w:rPr>
          <w:rFonts w:ascii="Arial" w:hAnsi="Arial" w:cs="Arial"/>
          <w:sz w:val="20"/>
          <w:szCs w:val="20"/>
        </w:rPr>
        <w:t>realise</w:t>
      </w:r>
      <w:proofErr w:type="spellEnd"/>
      <w:r w:rsidRPr="00587444">
        <w:rPr>
          <w:rFonts w:ascii="Arial" w:hAnsi="Arial" w:cs="Arial"/>
          <w:sz w:val="20"/>
          <w:szCs w:val="20"/>
        </w:rPr>
        <w:t xml:space="preserve"> certain business objective and to generate cash flows.</w:t>
      </w:r>
    </w:p>
    <w:p w14:paraId="6A1757C6" w14:textId="77777777" w:rsidR="00587444" w:rsidRPr="00587444" w:rsidRDefault="00587444" w:rsidP="00587444">
      <w:pPr>
        <w:suppressAutoHyphens w:val="0"/>
        <w:autoSpaceDN/>
        <w:jc w:val="both"/>
        <w:rPr>
          <w:rFonts w:ascii="Arial" w:hAnsi="Arial" w:cs="Arial"/>
          <w:sz w:val="20"/>
          <w:szCs w:val="20"/>
        </w:rPr>
      </w:pPr>
    </w:p>
    <w:p w14:paraId="1C8F2F15" w14:textId="77777777" w:rsidR="00587444" w:rsidRPr="00587444" w:rsidRDefault="00587444" w:rsidP="00587444">
      <w:pPr>
        <w:suppressAutoHyphens w:val="0"/>
        <w:autoSpaceDN/>
        <w:jc w:val="both"/>
        <w:rPr>
          <w:rFonts w:ascii="Arial" w:hAnsi="Arial" w:cs="Arial"/>
          <w:sz w:val="20"/>
          <w:szCs w:val="20"/>
        </w:rPr>
        <w:sectPr w:rsidR="00587444" w:rsidRPr="00587444" w:rsidSect="00DD69E7">
          <w:pgSz w:w="11907" w:h="16840" w:code="9"/>
          <w:pgMar w:top="1418" w:right="992" w:bottom="1134" w:left="1418" w:header="851" w:footer="851" w:gutter="0"/>
          <w:cols w:space="720"/>
          <w:noEndnote/>
        </w:sectPr>
      </w:pPr>
    </w:p>
    <w:p w14:paraId="3C0DFE8A" w14:textId="77777777" w:rsidR="00587444" w:rsidRPr="00587444" w:rsidRDefault="00587444" w:rsidP="00587444">
      <w:pPr>
        <w:suppressAutoHyphens w:val="0"/>
        <w:autoSpaceDN/>
        <w:jc w:val="both"/>
        <w:rPr>
          <w:rFonts w:ascii="Arial" w:hAnsi="Arial" w:cs="Arial"/>
          <w:sz w:val="20"/>
          <w:szCs w:val="20"/>
        </w:rPr>
      </w:pPr>
    </w:p>
    <w:p w14:paraId="7FEAB9AA"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6AE19E2D"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6C7E021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3922C276" w14:textId="77777777" w:rsidR="00587444" w:rsidRPr="00587444" w:rsidRDefault="00587444" w:rsidP="00587444">
      <w:pPr>
        <w:suppressAutoHyphens w:val="0"/>
        <w:autoSpaceDN/>
        <w:jc w:val="both"/>
        <w:rPr>
          <w:rFonts w:ascii="Arial" w:hAnsi="Arial" w:cs="Arial"/>
          <w:b/>
          <w:sz w:val="20"/>
          <w:szCs w:val="20"/>
        </w:rPr>
      </w:pPr>
    </w:p>
    <w:p w14:paraId="058AF2D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3E9246D8" w14:textId="77777777" w:rsidR="00587444" w:rsidRPr="00587444" w:rsidRDefault="00587444" w:rsidP="00587444">
      <w:pPr>
        <w:suppressAutoHyphens w:val="0"/>
        <w:autoSpaceDN/>
        <w:jc w:val="both"/>
        <w:rPr>
          <w:rFonts w:ascii="Arial" w:hAnsi="Arial" w:cs="Arial"/>
          <w:b/>
          <w:i/>
          <w:sz w:val="20"/>
          <w:szCs w:val="20"/>
        </w:rPr>
      </w:pPr>
    </w:p>
    <w:p w14:paraId="0CB49D2C" w14:textId="77777777" w:rsidR="00587444" w:rsidRPr="00587444" w:rsidRDefault="00587444" w:rsidP="00587444">
      <w:pPr>
        <w:suppressAutoHyphens w:val="0"/>
        <w:autoSpaceDN/>
        <w:jc w:val="both"/>
        <w:rPr>
          <w:rFonts w:ascii="Arial" w:hAnsi="Arial" w:cs="Arial"/>
          <w:b/>
          <w:i/>
          <w:sz w:val="20"/>
          <w:szCs w:val="20"/>
        </w:rPr>
      </w:pPr>
      <w:r w:rsidRPr="00587444">
        <w:rPr>
          <w:rFonts w:ascii="Arial" w:hAnsi="Arial" w:cs="Arial"/>
          <w:b/>
          <w:i/>
          <w:sz w:val="20"/>
          <w:szCs w:val="20"/>
        </w:rPr>
        <w:t>ii.  Classification (continued)</w:t>
      </w:r>
    </w:p>
    <w:p w14:paraId="07FE4627" w14:textId="6F74C1D0" w:rsidR="00587444" w:rsidRPr="00587444" w:rsidRDefault="00587444" w:rsidP="00587444">
      <w:pPr>
        <w:suppressAutoHyphens w:val="0"/>
        <w:autoSpaceDN/>
        <w:spacing w:before="120"/>
        <w:jc w:val="both"/>
        <w:rPr>
          <w:rFonts w:ascii="Arial" w:hAnsi="Arial" w:cs="Arial"/>
          <w:sz w:val="20"/>
          <w:szCs w:val="20"/>
        </w:rPr>
      </w:pPr>
    </w:p>
    <w:p w14:paraId="40D5FD3E" w14:textId="77777777" w:rsidR="00587444" w:rsidRPr="00587444" w:rsidRDefault="00587444" w:rsidP="00587932">
      <w:pPr>
        <w:autoSpaceDN/>
        <w:ind w:left="567" w:hanging="567"/>
        <w:jc w:val="both"/>
        <w:rPr>
          <w:rFonts w:ascii="Arial" w:hAnsi="Arial" w:cs="Arial"/>
          <w:sz w:val="20"/>
          <w:szCs w:val="20"/>
        </w:rPr>
      </w:pPr>
      <w:r w:rsidRPr="00587444">
        <w:rPr>
          <w:rFonts w:ascii="Arial" w:hAnsi="Arial" w:cs="Arial"/>
          <w:sz w:val="20"/>
          <w:szCs w:val="20"/>
        </w:rPr>
        <w:t>Business models of the Group are:</w:t>
      </w:r>
    </w:p>
    <w:p w14:paraId="6C60FA67" w14:textId="77777777" w:rsidR="00587444" w:rsidRPr="00587444" w:rsidRDefault="00587444" w:rsidP="00587932">
      <w:pPr>
        <w:numPr>
          <w:ilvl w:val="0"/>
          <w:numId w:val="30"/>
        </w:numPr>
        <w:tabs>
          <w:tab w:val="num" w:pos="1080"/>
        </w:tabs>
        <w:autoSpaceDN/>
        <w:ind w:left="1080"/>
        <w:contextualSpacing/>
        <w:jc w:val="both"/>
        <w:rPr>
          <w:rFonts w:ascii="Arial" w:hAnsi="Arial" w:cs="Arial"/>
          <w:sz w:val="20"/>
          <w:szCs w:val="20"/>
        </w:rPr>
      </w:pPr>
      <w:r w:rsidRPr="00587444">
        <w:rPr>
          <w:rFonts w:ascii="Arial" w:hAnsi="Arial" w:cs="Arial"/>
          <w:sz w:val="20"/>
          <w:szCs w:val="20"/>
        </w:rPr>
        <w:t xml:space="preserve">Business model, whose objective is to hold assets for the collection of contractual cash flows – it includes all financial assets held for the purpose of collection of contractual cash flows over the lifetime of the financial instrument. </w:t>
      </w:r>
    </w:p>
    <w:p w14:paraId="5F733B2D" w14:textId="77777777" w:rsidR="00587444" w:rsidRPr="00587444" w:rsidRDefault="00587444" w:rsidP="00587932">
      <w:pPr>
        <w:autoSpaceDN/>
        <w:ind w:left="1080"/>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 xml:space="preserve">For the purpose of classification in this business model, financial assets </w:t>
      </w:r>
      <w:proofErr w:type="gramStart"/>
      <w:r w:rsidRPr="00587444">
        <w:rPr>
          <w:rFonts w:ascii="Arial" w:eastAsia="PMingLiU" w:hAnsi="Arial" w:cs="Arial"/>
          <w:sz w:val="20"/>
          <w:szCs w:val="20"/>
          <w:lang w:eastAsia="hr-HR" w:bidi="hr-HR"/>
        </w:rPr>
        <w:t>goes</w:t>
      </w:r>
      <w:proofErr w:type="gramEnd"/>
      <w:r w:rsidRPr="00587444">
        <w:rPr>
          <w:rFonts w:ascii="Arial" w:eastAsia="PMingLiU" w:hAnsi="Arial" w:cs="Arial"/>
          <w:sz w:val="20"/>
          <w:szCs w:val="20"/>
          <w:lang w:eastAsia="hr-HR" w:bidi="hr-HR"/>
        </w:rPr>
        <w:t xml:space="preserve"> through the SPPI (Solely payment of principal and interest) test, and the following financial assets are allocated to this model:</w:t>
      </w:r>
    </w:p>
    <w:p w14:paraId="62B20DA1" w14:textId="77777777" w:rsidR="00587444" w:rsidRPr="00587444" w:rsidRDefault="00587444" w:rsidP="00587932">
      <w:pPr>
        <w:numPr>
          <w:ilvl w:val="1"/>
          <w:numId w:val="30"/>
        </w:numPr>
        <w:tabs>
          <w:tab w:val="num" w:pos="1440"/>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current accounts with banks,</w:t>
      </w:r>
    </w:p>
    <w:p w14:paraId="63C1C2FC" w14:textId="77777777" w:rsidR="00587444" w:rsidRPr="00587444" w:rsidRDefault="00587444" w:rsidP="00587932">
      <w:pPr>
        <w:numPr>
          <w:ilvl w:val="1"/>
          <w:numId w:val="30"/>
        </w:numPr>
        <w:tabs>
          <w:tab w:val="num" w:pos="1440"/>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 xml:space="preserve">deposits with banks, </w:t>
      </w:r>
    </w:p>
    <w:p w14:paraId="1B623429" w14:textId="77777777" w:rsidR="00587444" w:rsidRPr="00587444" w:rsidRDefault="00587444" w:rsidP="00587932">
      <w:pPr>
        <w:numPr>
          <w:ilvl w:val="1"/>
          <w:numId w:val="30"/>
        </w:numPr>
        <w:tabs>
          <w:tab w:val="num" w:pos="1440"/>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loans and reversed repo placements,</w:t>
      </w:r>
    </w:p>
    <w:p w14:paraId="2177D0FA" w14:textId="77777777" w:rsidR="00587444" w:rsidRPr="00587444" w:rsidRDefault="00587444" w:rsidP="00587932">
      <w:pPr>
        <w:numPr>
          <w:ilvl w:val="1"/>
          <w:numId w:val="30"/>
        </w:numPr>
        <w:tabs>
          <w:tab w:val="num" w:pos="1440"/>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other receivables.</w:t>
      </w:r>
    </w:p>
    <w:p w14:paraId="0C98D69F" w14:textId="77777777" w:rsidR="00587444" w:rsidRPr="00587444" w:rsidRDefault="00587444" w:rsidP="00587932">
      <w:pPr>
        <w:autoSpaceDN/>
        <w:ind w:left="927"/>
        <w:contextualSpacing/>
        <w:jc w:val="both"/>
        <w:rPr>
          <w:rFonts w:ascii="Arial" w:hAnsi="Arial" w:cs="Arial"/>
          <w:b/>
          <w:sz w:val="20"/>
          <w:szCs w:val="20"/>
        </w:rPr>
      </w:pPr>
      <w:r w:rsidRPr="00587444">
        <w:rPr>
          <w:rFonts w:ascii="Arial" w:hAnsi="Arial" w:cs="Arial"/>
          <w:sz w:val="20"/>
          <w:szCs w:val="20"/>
        </w:rPr>
        <w:t xml:space="preserve">   Credit risk is a basic risk managed under this business model.</w:t>
      </w:r>
      <w:r w:rsidRPr="00587444">
        <w:rPr>
          <w:rFonts w:ascii="Arial" w:hAnsi="Arial" w:cs="Arial"/>
          <w:b/>
          <w:sz w:val="20"/>
          <w:szCs w:val="20"/>
        </w:rPr>
        <w:t xml:space="preserve"> </w:t>
      </w:r>
    </w:p>
    <w:p w14:paraId="5E6E5665" w14:textId="77777777" w:rsidR="00587444" w:rsidRPr="00587444" w:rsidRDefault="00587444" w:rsidP="00587932">
      <w:pPr>
        <w:autoSpaceDN/>
        <w:jc w:val="both"/>
        <w:rPr>
          <w:rFonts w:ascii="Arial" w:eastAsia="PMingLiU" w:hAnsi="Arial" w:cs="Arial"/>
          <w:sz w:val="20"/>
          <w:szCs w:val="20"/>
          <w:lang w:eastAsia="hr-HR" w:bidi="hr-HR"/>
        </w:rPr>
      </w:pPr>
    </w:p>
    <w:p w14:paraId="49F54937" w14:textId="77777777" w:rsidR="00587444" w:rsidRPr="00587444" w:rsidRDefault="00587444" w:rsidP="00587932">
      <w:pPr>
        <w:numPr>
          <w:ilvl w:val="0"/>
          <w:numId w:val="30"/>
        </w:numPr>
        <w:tabs>
          <w:tab w:val="num" w:pos="1080"/>
        </w:tabs>
        <w:autoSpaceDN/>
        <w:ind w:left="1080"/>
        <w:contextualSpacing/>
        <w:jc w:val="both"/>
        <w:rPr>
          <w:rFonts w:ascii="Arial" w:hAnsi="Arial" w:cs="Arial"/>
          <w:sz w:val="20"/>
          <w:szCs w:val="20"/>
        </w:rPr>
      </w:pPr>
      <w:r w:rsidRPr="00587444">
        <w:rPr>
          <w:rFonts w:ascii="Arial" w:hAnsi="Arial" w:cs="Arial"/>
          <w:sz w:val="20"/>
          <w:szCs w:val="20"/>
        </w:rPr>
        <w:t>Business model aimed to collect the contractual cash flows and sale of financial assets – it includes financial assets held for the purpose of collecting the agreed cash flows and sale of financial assets.</w:t>
      </w:r>
    </w:p>
    <w:p w14:paraId="6206ABBA" w14:textId="77777777" w:rsidR="00587444" w:rsidRPr="00587444" w:rsidRDefault="00587444" w:rsidP="00587932">
      <w:pPr>
        <w:autoSpaceDN/>
        <w:ind w:left="1080"/>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The following financial assets are allocated to the business model for the purpose of collection and sale:</w:t>
      </w:r>
    </w:p>
    <w:p w14:paraId="34F6FC3A" w14:textId="77777777" w:rsidR="00587444" w:rsidRPr="00587444" w:rsidRDefault="00587444" w:rsidP="00587932">
      <w:pPr>
        <w:numPr>
          <w:ilvl w:val="1"/>
          <w:numId w:val="30"/>
        </w:numPr>
        <w:tabs>
          <w:tab w:val="num" w:pos="1440"/>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 xml:space="preserve">Debt securities (pass SPPI test), </w:t>
      </w:r>
    </w:p>
    <w:p w14:paraId="02370801" w14:textId="77777777" w:rsidR="00587444" w:rsidRPr="00587444" w:rsidRDefault="00587444" w:rsidP="00587932">
      <w:pPr>
        <w:numPr>
          <w:ilvl w:val="1"/>
          <w:numId w:val="30"/>
        </w:numPr>
        <w:tabs>
          <w:tab w:val="num" w:pos="1440"/>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Equity securities (fail SPPI test),</w:t>
      </w:r>
    </w:p>
    <w:p w14:paraId="143AB40E" w14:textId="77777777" w:rsidR="00587444" w:rsidRPr="00587444" w:rsidRDefault="00587444" w:rsidP="00587932">
      <w:pPr>
        <w:numPr>
          <w:ilvl w:val="1"/>
          <w:numId w:val="30"/>
        </w:numPr>
        <w:tabs>
          <w:tab w:val="num" w:pos="1440"/>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Shares in investment funds (fail SPPI test),</w:t>
      </w:r>
    </w:p>
    <w:p w14:paraId="2B1A3E94" w14:textId="77777777" w:rsidR="00587444" w:rsidRPr="00587444" w:rsidRDefault="00587444" w:rsidP="00587932">
      <w:pPr>
        <w:autoSpaceDN/>
        <w:ind w:left="927"/>
        <w:contextualSpacing/>
        <w:jc w:val="both"/>
        <w:rPr>
          <w:rFonts w:ascii="Arial" w:hAnsi="Arial" w:cs="Arial"/>
          <w:sz w:val="20"/>
          <w:szCs w:val="20"/>
        </w:rPr>
      </w:pPr>
      <w:r w:rsidRPr="00587444">
        <w:rPr>
          <w:rFonts w:ascii="Arial" w:hAnsi="Arial" w:cs="Arial"/>
          <w:sz w:val="20"/>
          <w:szCs w:val="20"/>
        </w:rPr>
        <w:t xml:space="preserve">   Liquidity risk is a basic risk managed under this business model.</w:t>
      </w:r>
    </w:p>
    <w:p w14:paraId="28DF74CE" w14:textId="77777777" w:rsidR="00587444" w:rsidRPr="00587444" w:rsidRDefault="00587444" w:rsidP="00587932">
      <w:pPr>
        <w:autoSpaceDN/>
        <w:ind w:left="927"/>
        <w:contextualSpacing/>
        <w:jc w:val="both"/>
        <w:rPr>
          <w:rFonts w:ascii="Arial" w:hAnsi="Arial" w:cs="Arial"/>
          <w:sz w:val="20"/>
          <w:szCs w:val="20"/>
        </w:rPr>
      </w:pPr>
    </w:p>
    <w:p w14:paraId="1F90CFCA" w14:textId="77777777" w:rsidR="00587444" w:rsidRPr="00587444" w:rsidRDefault="00587444" w:rsidP="00587932">
      <w:pPr>
        <w:keepNext/>
        <w:numPr>
          <w:ilvl w:val="0"/>
          <w:numId w:val="30"/>
        </w:numPr>
        <w:tabs>
          <w:tab w:val="left" w:pos="426"/>
          <w:tab w:val="num" w:pos="1080"/>
        </w:tabs>
        <w:autoSpaceDN/>
        <w:ind w:left="1077" w:hanging="368"/>
        <w:contextualSpacing/>
        <w:jc w:val="both"/>
        <w:rPr>
          <w:rFonts w:ascii="Arial" w:hAnsi="Arial" w:cs="Arial"/>
          <w:b/>
          <w:bCs/>
          <w:sz w:val="20"/>
          <w:szCs w:val="20"/>
        </w:rPr>
      </w:pPr>
      <w:r w:rsidRPr="00587444">
        <w:rPr>
          <w:rFonts w:ascii="Arial" w:hAnsi="Arial" w:cs="Arial"/>
          <w:sz w:val="20"/>
          <w:szCs w:val="20"/>
        </w:rPr>
        <w:t>Business model under which financial assets are measured at fair value through profit and loss account (fail SPPI test) – combines all financial assets that are not held under the previously mentioned two business models.</w:t>
      </w:r>
    </w:p>
    <w:p w14:paraId="118040C4" w14:textId="77777777" w:rsidR="00587444" w:rsidRPr="00587444" w:rsidRDefault="00587444" w:rsidP="00587932">
      <w:pPr>
        <w:keepNext/>
        <w:tabs>
          <w:tab w:val="left" w:pos="426"/>
        </w:tabs>
        <w:autoSpaceDN/>
        <w:ind w:left="1077"/>
        <w:contextualSpacing/>
        <w:jc w:val="both"/>
        <w:rPr>
          <w:rFonts w:ascii="Arial" w:hAnsi="Arial" w:cs="Arial"/>
          <w:sz w:val="20"/>
          <w:szCs w:val="20"/>
        </w:rPr>
      </w:pPr>
      <w:r w:rsidRPr="00587444">
        <w:rPr>
          <w:rFonts w:ascii="Arial" w:hAnsi="Arial" w:cs="Arial"/>
          <w:sz w:val="20"/>
          <w:szCs w:val="20"/>
        </w:rPr>
        <w:t xml:space="preserve">Financial assets under this business model are managed for the purpose of generating cash flows from the sale of assets and generating short-term profit. </w:t>
      </w:r>
    </w:p>
    <w:p w14:paraId="00416484" w14:textId="77777777" w:rsidR="00587444" w:rsidRPr="00587444" w:rsidRDefault="00587444" w:rsidP="00587932">
      <w:pPr>
        <w:keepNext/>
        <w:tabs>
          <w:tab w:val="left" w:pos="426"/>
        </w:tabs>
        <w:autoSpaceDN/>
        <w:jc w:val="both"/>
        <w:rPr>
          <w:rFonts w:ascii="Arial" w:hAnsi="Arial" w:cs="Arial"/>
          <w:b/>
          <w:bCs/>
          <w:sz w:val="20"/>
          <w:szCs w:val="20"/>
        </w:rPr>
      </w:pPr>
    </w:p>
    <w:p w14:paraId="67B9D01A"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iii. SPPI test</w:t>
      </w:r>
    </w:p>
    <w:p w14:paraId="5E715F78" w14:textId="77777777" w:rsidR="00587444" w:rsidRPr="00587444" w:rsidRDefault="00587444" w:rsidP="00587932">
      <w:pPr>
        <w:keepNext/>
        <w:tabs>
          <w:tab w:val="left" w:pos="426"/>
        </w:tabs>
        <w:autoSpaceDN/>
        <w:jc w:val="both"/>
        <w:rPr>
          <w:rFonts w:ascii="Arial" w:hAnsi="Arial" w:cs="Arial"/>
          <w:b/>
          <w:bCs/>
          <w:sz w:val="20"/>
          <w:szCs w:val="20"/>
        </w:rPr>
      </w:pPr>
    </w:p>
    <w:p w14:paraId="3E6867A5" w14:textId="77777777" w:rsidR="00587444" w:rsidRPr="00587444" w:rsidRDefault="00587444" w:rsidP="00587932">
      <w:pPr>
        <w:keepNext/>
        <w:tabs>
          <w:tab w:val="left" w:pos="567"/>
        </w:tabs>
        <w:autoSpaceDN/>
        <w:jc w:val="both"/>
        <w:rPr>
          <w:rFonts w:ascii="Arial" w:hAnsi="Arial" w:cs="Arial"/>
          <w:bCs/>
          <w:sz w:val="20"/>
          <w:szCs w:val="20"/>
        </w:rPr>
      </w:pPr>
      <w:r w:rsidRPr="00587444">
        <w:rPr>
          <w:rFonts w:ascii="Arial" w:hAnsi="Arial" w:cs="Arial"/>
          <w:bCs/>
          <w:sz w:val="20"/>
          <w:szCs w:val="20"/>
        </w:rPr>
        <w:t>For the purposes of this assessment, ‘principal’ is defined as the fair value of the financial asset on initial recognition. ‘Interest’ is defined as consideration for the time value of money and for the credit risk associated with the principal amount outstanding during a particular period of time and for other basic lending risks and costs (</w:t>
      </w:r>
      <w:proofErr w:type="gramStart"/>
      <w:r w:rsidRPr="00587444">
        <w:rPr>
          <w:rFonts w:ascii="Arial" w:hAnsi="Arial" w:cs="Arial"/>
          <w:bCs/>
          <w:sz w:val="20"/>
          <w:szCs w:val="20"/>
        </w:rPr>
        <w:t>e.g.</w:t>
      </w:r>
      <w:proofErr w:type="gramEnd"/>
      <w:r w:rsidRPr="00587444">
        <w:rPr>
          <w:rFonts w:ascii="Arial" w:hAnsi="Arial" w:cs="Arial"/>
          <w:bCs/>
          <w:sz w:val="20"/>
          <w:szCs w:val="20"/>
        </w:rPr>
        <w:t xml:space="preserve"> liquidity risk and administrative costs), as well as profit margin.</w:t>
      </w:r>
    </w:p>
    <w:p w14:paraId="465CF1BE" w14:textId="77777777" w:rsidR="00587444" w:rsidRPr="00587444" w:rsidRDefault="00587444" w:rsidP="00587932">
      <w:pPr>
        <w:keepNext/>
        <w:tabs>
          <w:tab w:val="left" w:pos="567"/>
        </w:tabs>
        <w:autoSpaceDN/>
        <w:jc w:val="both"/>
        <w:rPr>
          <w:rFonts w:ascii="Arial" w:hAnsi="Arial" w:cs="Arial"/>
          <w:bCs/>
          <w:sz w:val="20"/>
          <w:szCs w:val="20"/>
        </w:rPr>
      </w:pPr>
    </w:p>
    <w:p w14:paraId="76B2E6D4" w14:textId="77777777" w:rsidR="00587444" w:rsidRPr="00587444" w:rsidRDefault="00587444" w:rsidP="00587932">
      <w:pPr>
        <w:keepNext/>
        <w:tabs>
          <w:tab w:val="left" w:pos="567"/>
        </w:tabs>
        <w:autoSpaceDN/>
        <w:jc w:val="both"/>
        <w:rPr>
          <w:rFonts w:ascii="Arial" w:eastAsia="PMingLiU" w:hAnsi="Arial" w:cs="Arial"/>
          <w:sz w:val="20"/>
          <w:szCs w:val="20"/>
          <w:lang w:eastAsia="hr-HR" w:bidi="hr-HR"/>
        </w:rPr>
      </w:pPr>
      <w:r w:rsidRPr="00587444">
        <w:rPr>
          <w:rFonts w:ascii="Arial" w:hAnsi="Arial" w:cs="Arial"/>
          <w:bCs/>
          <w:sz w:val="20"/>
          <w:szCs w:val="20"/>
        </w:rPr>
        <w:t xml:space="preserve">Test of features of contractual cash flows from the point of view of solely payment of principal and interest </w:t>
      </w:r>
      <w:r w:rsidRPr="00587444">
        <w:rPr>
          <w:rFonts w:ascii="Arial" w:eastAsia="PMingLiU" w:hAnsi="Arial" w:cs="Arial"/>
          <w:sz w:val="20"/>
          <w:szCs w:val="20"/>
          <w:lang w:eastAsia="hr-HR" w:bidi="hr-HR"/>
        </w:rPr>
        <w:t xml:space="preserve">(hereinafter: SPPI test) is one of the criteria for the classification of financial assets in an individual category of measurement. SPPI test </w:t>
      </w:r>
      <w:proofErr w:type="spellStart"/>
      <w:r w:rsidRPr="00587444">
        <w:rPr>
          <w:rFonts w:ascii="Arial" w:eastAsia="PMingLiU" w:hAnsi="Arial" w:cs="Arial"/>
          <w:sz w:val="20"/>
          <w:szCs w:val="20"/>
          <w:lang w:eastAsia="hr-HR" w:bidi="hr-HR"/>
        </w:rPr>
        <w:t>isimplemented</w:t>
      </w:r>
      <w:proofErr w:type="spellEnd"/>
      <w:r w:rsidRPr="00587444">
        <w:rPr>
          <w:rFonts w:ascii="Arial" w:eastAsia="PMingLiU" w:hAnsi="Arial" w:cs="Arial"/>
          <w:sz w:val="20"/>
          <w:szCs w:val="20"/>
          <w:lang w:eastAsia="hr-HR" w:bidi="hr-HR"/>
        </w:rPr>
        <w:t xml:space="preserve"> for the purpose of establishing whether the interest rate on</w:t>
      </w:r>
      <w:r w:rsidRPr="00587444">
        <w:rPr>
          <w:rFonts w:ascii="Arial" w:hAnsi="Arial" w:cs="Arial"/>
          <w:b/>
          <w:bCs/>
          <w:sz w:val="20"/>
          <w:szCs w:val="20"/>
        </w:rPr>
        <w:t xml:space="preserve"> </w:t>
      </w:r>
    </w:p>
    <w:p w14:paraId="484E46EE" w14:textId="77777777" w:rsidR="00587444" w:rsidRPr="00587444" w:rsidRDefault="00587444" w:rsidP="00587932">
      <w:pPr>
        <w:tabs>
          <w:tab w:val="left" w:pos="426"/>
        </w:tabs>
        <w:autoSpaceDN/>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unsettled principle reflects the fee for time value of money, credit risk and other basic risks of borrowing, lending costs and profit margin.</w:t>
      </w:r>
    </w:p>
    <w:p w14:paraId="7E03F24C" w14:textId="77777777" w:rsidR="00587444" w:rsidRPr="00587444" w:rsidRDefault="00587444" w:rsidP="00587932">
      <w:pPr>
        <w:tabs>
          <w:tab w:val="left" w:pos="426"/>
        </w:tabs>
        <w:autoSpaceDN/>
        <w:jc w:val="both"/>
        <w:rPr>
          <w:rFonts w:ascii="Arial" w:eastAsia="PMingLiU" w:hAnsi="Arial" w:cs="Arial"/>
          <w:sz w:val="20"/>
          <w:szCs w:val="20"/>
          <w:lang w:eastAsia="hr-HR" w:bidi="hr-HR"/>
        </w:rPr>
      </w:pPr>
    </w:p>
    <w:p w14:paraId="787345A4" w14:textId="6E22433F" w:rsidR="00587444" w:rsidRPr="00587444" w:rsidRDefault="00587444" w:rsidP="00587932">
      <w:pPr>
        <w:autoSpaceDN/>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In assessing whether the contractual cash flows are SPPI, the Group considers the contractual terms of the instrument. This includes assessing whether the financial asset contains a contractual term that could change the timing or amount of contractual cash flows such that it would not meet this condition. In making the assessment, the Group considers</w:t>
      </w:r>
      <w:r w:rsidR="00AB6B1D">
        <w:rPr>
          <w:rFonts w:ascii="Arial" w:eastAsia="PMingLiU" w:hAnsi="Arial" w:cs="Arial"/>
          <w:sz w:val="20"/>
          <w:szCs w:val="20"/>
          <w:lang w:eastAsia="hr-HR" w:bidi="hr-HR"/>
        </w:rPr>
        <w:t>:</w:t>
      </w:r>
    </w:p>
    <w:p w14:paraId="7943A47A" w14:textId="77777777" w:rsidR="00587444" w:rsidRPr="00587444" w:rsidRDefault="00587444" w:rsidP="00587932">
      <w:pPr>
        <w:autoSpaceDN/>
        <w:jc w:val="both"/>
        <w:rPr>
          <w:rFonts w:ascii="Arial" w:eastAsia="PMingLiU" w:hAnsi="Arial" w:cs="Arial"/>
          <w:sz w:val="20"/>
          <w:szCs w:val="20"/>
          <w:lang w:eastAsia="hr-HR" w:bidi="hr-HR"/>
        </w:rPr>
      </w:pPr>
    </w:p>
    <w:p w14:paraId="3309DEEC" w14:textId="77777777" w:rsidR="00587444" w:rsidRPr="00587444" w:rsidRDefault="00587444" w:rsidP="00587444">
      <w:pPr>
        <w:suppressAutoHyphens w:val="0"/>
        <w:autoSpaceDN/>
        <w:jc w:val="both"/>
        <w:rPr>
          <w:rFonts w:ascii="Arial" w:eastAsia="PMingLiU" w:hAnsi="Arial" w:cs="Arial"/>
          <w:sz w:val="20"/>
          <w:szCs w:val="20"/>
          <w:lang w:eastAsia="hr-HR" w:bidi="hr-HR"/>
        </w:rPr>
      </w:pPr>
    </w:p>
    <w:p w14:paraId="1CB9CE4A" w14:textId="77777777" w:rsidR="00587444" w:rsidRPr="00587444" w:rsidRDefault="00587444" w:rsidP="00587444">
      <w:pPr>
        <w:suppressAutoHyphens w:val="0"/>
        <w:autoSpaceDN/>
        <w:jc w:val="both"/>
        <w:rPr>
          <w:rFonts w:ascii="Arial" w:eastAsia="PMingLiU" w:hAnsi="Arial" w:cs="Arial"/>
          <w:sz w:val="20"/>
          <w:szCs w:val="20"/>
          <w:lang w:eastAsia="hr-HR" w:bidi="hr-HR"/>
        </w:rPr>
        <w:sectPr w:rsidR="00587444" w:rsidRPr="00587444" w:rsidSect="00DD69E7">
          <w:footerReference w:type="default" r:id="rId78"/>
          <w:pgSz w:w="11907" w:h="16840" w:code="9"/>
          <w:pgMar w:top="1418" w:right="992" w:bottom="1134" w:left="1418" w:header="851" w:footer="851" w:gutter="0"/>
          <w:cols w:space="720"/>
          <w:noEndnote/>
        </w:sectPr>
      </w:pPr>
    </w:p>
    <w:p w14:paraId="1F2BBC76"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6BE9AA98"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7E427E1A"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57ECB96F"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2F92B942" w14:textId="77777777" w:rsidR="00587444" w:rsidRPr="00587444" w:rsidRDefault="00587444" w:rsidP="00587444">
      <w:pPr>
        <w:keepNext/>
        <w:tabs>
          <w:tab w:val="left" w:pos="567"/>
        </w:tabs>
        <w:suppressAutoHyphens w:val="0"/>
        <w:autoSpaceDN/>
        <w:spacing w:before="240"/>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2AD9DBF7" w14:textId="77777777" w:rsidR="00587444" w:rsidRPr="00587444" w:rsidRDefault="00587444" w:rsidP="00587444">
      <w:pPr>
        <w:tabs>
          <w:tab w:val="left" w:pos="426"/>
        </w:tabs>
        <w:suppressAutoHyphens w:val="0"/>
        <w:autoSpaceDN/>
        <w:jc w:val="both"/>
        <w:rPr>
          <w:rFonts w:ascii="Arial" w:eastAsia="PMingLiU" w:hAnsi="Arial" w:cs="Arial"/>
          <w:sz w:val="20"/>
          <w:szCs w:val="20"/>
          <w:lang w:eastAsia="hr-HR" w:bidi="hr-HR"/>
        </w:rPr>
      </w:pPr>
    </w:p>
    <w:p w14:paraId="02D8550C"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iii. SPPI test (continued)</w:t>
      </w:r>
    </w:p>
    <w:p w14:paraId="40435752" w14:textId="77777777" w:rsidR="00587444" w:rsidRPr="00587444" w:rsidRDefault="00587444" w:rsidP="00587932">
      <w:pPr>
        <w:tabs>
          <w:tab w:val="left" w:pos="426"/>
        </w:tabs>
        <w:autoSpaceDN/>
        <w:jc w:val="both"/>
        <w:rPr>
          <w:rFonts w:ascii="Arial" w:eastAsia="PMingLiU" w:hAnsi="Arial" w:cs="Arial"/>
          <w:sz w:val="20"/>
          <w:szCs w:val="20"/>
          <w:lang w:eastAsia="hr-HR" w:bidi="hr-HR"/>
        </w:rPr>
      </w:pPr>
    </w:p>
    <w:p w14:paraId="7279B3D7" w14:textId="77777777" w:rsidR="00587444" w:rsidRPr="00587444" w:rsidRDefault="00587444" w:rsidP="00587932">
      <w:pPr>
        <w:numPr>
          <w:ilvl w:val="0"/>
          <w:numId w:val="58"/>
        </w:numPr>
        <w:tabs>
          <w:tab w:val="left" w:pos="426"/>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contingent events that would change the amount and timing of cash flows;</w:t>
      </w:r>
    </w:p>
    <w:p w14:paraId="41F521C9" w14:textId="77777777" w:rsidR="00587444" w:rsidRPr="00587444" w:rsidRDefault="00587444" w:rsidP="00587932">
      <w:pPr>
        <w:numPr>
          <w:ilvl w:val="0"/>
          <w:numId w:val="58"/>
        </w:numPr>
        <w:tabs>
          <w:tab w:val="left" w:pos="426"/>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leverage features;</w:t>
      </w:r>
    </w:p>
    <w:p w14:paraId="741DFE66" w14:textId="77777777" w:rsidR="00587444" w:rsidRPr="00587444" w:rsidRDefault="00587444" w:rsidP="00587932">
      <w:pPr>
        <w:numPr>
          <w:ilvl w:val="0"/>
          <w:numId w:val="58"/>
        </w:numPr>
        <w:tabs>
          <w:tab w:val="left" w:pos="426"/>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prepayment and extension terms;</w:t>
      </w:r>
    </w:p>
    <w:p w14:paraId="3DB57BDA" w14:textId="77777777" w:rsidR="00587444" w:rsidRPr="00587444" w:rsidRDefault="00587444" w:rsidP="00587932">
      <w:pPr>
        <w:numPr>
          <w:ilvl w:val="0"/>
          <w:numId w:val="58"/>
        </w:numPr>
        <w:tabs>
          <w:tab w:val="left" w:pos="426"/>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terms that limit the Group’s claim to cash flows from specified assets (</w:t>
      </w:r>
      <w:proofErr w:type="gramStart"/>
      <w:r w:rsidRPr="00587444">
        <w:rPr>
          <w:rFonts w:ascii="Arial" w:eastAsia="PMingLiU" w:hAnsi="Arial" w:cs="Arial"/>
          <w:sz w:val="20"/>
          <w:szCs w:val="20"/>
          <w:lang w:eastAsia="hr-HR" w:bidi="hr-HR"/>
        </w:rPr>
        <w:t>e.g.</w:t>
      </w:r>
      <w:proofErr w:type="gramEnd"/>
      <w:r w:rsidRPr="00587444">
        <w:rPr>
          <w:rFonts w:ascii="Arial" w:eastAsia="PMingLiU" w:hAnsi="Arial" w:cs="Arial"/>
          <w:sz w:val="20"/>
          <w:szCs w:val="20"/>
          <w:lang w:eastAsia="hr-HR" w:bidi="hr-HR"/>
        </w:rPr>
        <w:t xml:space="preserve"> non-recourse loans); and</w:t>
      </w:r>
    </w:p>
    <w:p w14:paraId="765D2A24" w14:textId="77777777" w:rsidR="00587444" w:rsidRPr="00587444" w:rsidRDefault="00587444" w:rsidP="00587932">
      <w:pPr>
        <w:numPr>
          <w:ilvl w:val="0"/>
          <w:numId w:val="58"/>
        </w:numPr>
        <w:tabs>
          <w:tab w:val="left" w:pos="426"/>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features that modify consideration of the time value of money (</w:t>
      </w:r>
      <w:proofErr w:type="gramStart"/>
      <w:r w:rsidRPr="00587444">
        <w:rPr>
          <w:rFonts w:ascii="Arial" w:eastAsia="PMingLiU" w:hAnsi="Arial" w:cs="Arial"/>
          <w:sz w:val="20"/>
          <w:szCs w:val="20"/>
          <w:lang w:eastAsia="hr-HR" w:bidi="hr-HR"/>
        </w:rPr>
        <w:t>e.g.</w:t>
      </w:r>
      <w:proofErr w:type="gramEnd"/>
      <w:r w:rsidRPr="00587444">
        <w:rPr>
          <w:rFonts w:ascii="Arial" w:eastAsia="PMingLiU" w:hAnsi="Arial" w:cs="Arial"/>
          <w:sz w:val="20"/>
          <w:szCs w:val="20"/>
          <w:lang w:eastAsia="hr-HR" w:bidi="hr-HR"/>
        </w:rPr>
        <w:t xml:space="preserve"> periodical reset of interest rates).</w:t>
      </w:r>
    </w:p>
    <w:p w14:paraId="6F26A003" w14:textId="77777777" w:rsidR="00587444" w:rsidRPr="00587444" w:rsidRDefault="00587444" w:rsidP="00587932">
      <w:pPr>
        <w:tabs>
          <w:tab w:val="left" w:pos="426"/>
        </w:tabs>
        <w:autoSpaceDN/>
        <w:contextualSpacing/>
        <w:jc w:val="both"/>
        <w:rPr>
          <w:rFonts w:ascii="Arial" w:hAnsi="Arial" w:cs="Arial"/>
          <w:sz w:val="20"/>
          <w:szCs w:val="20"/>
        </w:rPr>
      </w:pPr>
    </w:p>
    <w:p w14:paraId="37D57386" w14:textId="77777777" w:rsidR="00587444" w:rsidRPr="00587444" w:rsidRDefault="00587444" w:rsidP="00587932">
      <w:pPr>
        <w:tabs>
          <w:tab w:val="left" w:pos="426"/>
        </w:tabs>
        <w:autoSpaceDN/>
        <w:contextualSpacing/>
        <w:jc w:val="both"/>
        <w:rPr>
          <w:rFonts w:ascii="Arial" w:hAnsi="Arial" w:cs="Arial"/>
          <w:sz w:val="20"/>
          <w:szCs w:val="20"/>
        </w:rPr>
      </w:pPr>
      <w:r w:rsidRPr="00587444">
        <w:rPr>
          <w:rFonts w:ascii="Arial" w:hAnsi="Arial" w:cs="Arial"/>
          <w:sz w:val="20"/>
          <w:szCs w:val="20"/>
        </w:rPr>
        <w:t>SPPI test is performed:</w:t>
      </w:r>
    </w:p>
    <w:p w14:paraId="12BDACD5" w14:textId="77777777" w:rsidR="00587444" w:rsidRPr="00587444" w:rsidRDefault="00587444" w:rsidP="00587932">
      <w:pPr>
        <w:numPr>
          <w:ilvl w:val="0"/>
          <w:numId w:val="31"/>
        </w:numPr>
        <w:tabs>
          <w:tab w:val="num" w:pos="1040"/>
        </w:tabs>
        <w:autoSpaceDN/>
        <w:ind w:left="284" w:hanging="331"/>
        <w:contextualSpacing/>
        <w:jc w:val="both"/>
        <w:rPr>
          <w:rFonts w:ascii="Arial" w:eastAsia="PMingLiU" w:hAnsi="Arial" w:cs="Arial"/>
          <w:sz w:val="20"/>
          <w:szCs w:val="20"/>
          <w:lang w:eastAsia="hr-HR" w:bidi="hr-HR"/>
        </w:rPr>
      </w:pPr>
      <w:r w:rsidRPr="00587444">
        <w:rPr>
          <w:rFonts w:ascii="Arial" w:hAnsi="Arial" w:cs="Arial"/>
          <w:sz w:val="20"/>
          <w:szCs w:val="20"/>
        </w:rPr>
        <w:t>For each financial asset</w:t>
      </w:r>
      <w:r w:rsidRPr="00587444">
        <w:rPr>
          <w:rFonts w:ascii="Arial" w:eastAsia="PMingLiU" w:hAnsi="Arial" w:cs="Arial"/>
          <w:sz w:val="20"/>
          <w:szCs w:val="20"/>
          <w:lang w:eastAsia="hr-HR" w:bidi="hr-HR"/>
        </w:rPr>
        <w:t>, allocated to a business model whose purpose is to hold financial assets for the payment of contractual cash flows and a business model for the purpose of collecting contractual cash flows and selling financial asset on the date of its initial recognition,</w:t>
      </w:r>
    </w:p>
    <w:p w14:paraId="119C0FFE" w14:textId="77777777" w:rsidR="00587444" w:rsidRPr="00587444" w:rsidRDefault="00587444" w:rsidP="00587932">
      <w:pPr>
        <w:keepNext/>
        <w:numPr>
          <w:ilvl w:val="0"/>
          <w:numId w:val="31"/>
        </w:numPr>
        <w:tabs>
          <w:tab w:val="left" w:pos="426"/>
          <w:tab w:val="num" w:pos="1040"/>
        </w:tabs>
        <w:autoSpaceDN/>
        <w:ind w:left="284" w:hanging="331"/>
        <w:contextualSpacing/>
        <w:jc w:val="both"/>
        <w:rPr>
          <w:rFonts w:ascii="Arial" w:hAnsi="Arial" w:cs="Arial"/>
          <w:b/>
          <w:bCs/>
          <w:sz w:val="20"/>
          <w:szCs w:val="20"/>
        </w:rPr>
      </w:pPr>
      <w:r w:rsidRPr="00587444">
        <w:rPr>
          <w:rFonts w:ascii="Arial" w:eastAsia="PMingLiU" w:hAnsi="Arial" w:cs="Arial"/>
          <w:sz w:val="20"/>
          <w:szCs w:val="20"/>
          <w:lang w:eastAsia="hr-HR" w:bidi="hr-HR"/>
        </w:rPr>
        <w:t>For each financial asset in cases where the original asset has been significantly modified and therefore re-</w:t>
      </w:r>
      <w:proofErr w:type="spellStart"/>
      <w:r w:rsidRPr="00587444">
        <w:rPr>
          <w:rFonts w:ascii="Arial" w:eastAsia="PMingLiU" w:hAnsi="Arial" w:cs="Arial"/>
          <w:sz w:val="20"/>
          <w:szCs w:val="20"/>
          <w:lang w:eastAsia="hr-HR" w:bidi="hr-HR"/>
        </w:rPr>
        <w:t>recognised</w:t>
      </w:r>
      <w:proofErr w:type="spellEnd"/>
      <w:r w:rsidRPr="00587444">
        <w:rPr>
          <w:rFonts w:ascii="Arial" w:eastAsia="PMingLiU" w:hAnsi="Arial" w:cs="Arial"/>
          <w:sz w:val="20"/>
          <w:szCs w:val="20"/>
          <w:lang w:eastAsia="hr-HR" w:bidi="hr-HR"/>
        </w:rPr>
        <w:t xml:space="preserve"> as new assets, </w:t>
      </w:r>
    </w:p>
    <w:p w14:paraId="2B1E47FC" w14:textId="77777777" w:rsidR="00587444" w:rsidRPr="00587444" w:rsidRDefault="00587444" w:rsidP="00587932">
      <w:pPr>
        <w:keepNext/>
        <w:numPr>
          <w:ilvl w:val="0"/>
          <w:numId w:val="31"/>
        </w:numPr>
        <w:tabs>
          <w:tab w:val="left" w:pos="426"/>
          <w:tab w:val="num" w:pos="1040"/>
        </w:tabs>
        <w:autoSpaceDN/>
        <w:ind w:left="284" w:hanging="331"/>
        <w:contextualSpacing/>
        <w:jc w:val="both"/>
        <w:rPr>
          <w:rFonts w:ascii="Arial" w:hAnsi="Arial" w:cs="Arial"/>
          <w:bCs/>
          <w:strike/>
          <w:sz w:val="20"/>
          <w:szCs w:val="20"/>
        </w:rPr>
      </w:pPr>
      <w:r w:rsidRPr="00587444">
        <w:rPr>
          <w:rFonts w:ascii="Arial" w:eastAsia="PMingLiU" w:hAnsi="Arial" w:cs="Arial"/>
          <w:sz w:val="20"/>
          <w:szCs w:val="20"/>
          <w:lang w:eastAsia="hr-HR" w:bidi="hr-HR"/>
        </w:rPr>
        <w:t>When introducing new models and/or loan programs to determine in advance the eligibility of the considered loan term and conditions in relation to the need to subsequently monitor the value of any financial assets that would arise from them.</w:t>
      </w:r>
    </w:p>
    <w:p w14:paraId="43BC57AD" w14:textId="77777777" w:rsidR="00587444" w:rsidRPr="00587444" w:rsidRDefault="00587444" w:rsidP="00587932">
      <w:pPr>
        <w:keepNext/>
        <w:tabs>
          <w:tab w:val="left" w:pos="426"/>
        </w:tabs>
        <w:autoSpaceDN/>
        <w:ind w:left="284"/>
        <w:contextualSpacing/>
        <w:jc w:val="both"/>
        <w:rPr>
          <w:rFonts w:ascii="Arial" w:eastAsia="PMingLiU" w:hAnsi="Arial" w:cs="Arial"/>
          <w:sz w:val="20"/>
          <w:szCs w:val="20"/>
          <w:lang w:eastAsia="hr-HR" w:bidi="hr-HR"/>
        </w:rPr>
      </w:pPr>
    </w:p>
    <w:p w14:paraId="2B7C6C7A"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 xml:space="preserve">iv. Reclassification of financial assets </w:t>
      </w:r>
    </w:p>
    <w:p w14:paraId="5F5A5BFC" w14:textId="77777777" w:rsidR="00587444" w:rsidRPr="00587444" w:rsidRDefault="00587444" w:rsidP="00587932">
      <w:pPr>
        <w:autoSpaceDN/>
        <w:ind w:left="720"/>
        <w:contextualSpacing/>
        <w:jc w:val="both"/>
        <w:rPr>
          <w:rFonts w:ascii="Arial" w:hAnsi="Arial" w:cs="Arial"/>
          <w:b/>
          <w:i/>
          <w:sz w:val="20"/>
          <w:szCs w:val="20"/>
        </w:rPr>
      </w:pPr>
    </w:p>
    <w:p w14:paraId="2887C052"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In case of change in the business model of financial assets management, all financial assets affected by the reclassification will be reclassified. Reclassification will be made prospectively, from the date of the reclassification, or from the first day of the next accounting period, respectively, without restating the previously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profit, </w:t>
      </w:r>
      <w:proofErr w:type="gramStart"/>
      <w:r w:rsidRPr="00587444">
        <w:rPr>
          <w:rFonts w:ascii="Arial" w:hAnsi="Arial" w:cs="Arial"/>
          <w:sz w:val="20"/>
          <w:szCs w:val="20"/>
        </w:rPr>
        <w:t>loss</w:t>
      </w:r>
      <w:proofErr w:type="gramEnd"/>
      <w:r w:rsidRPr="00587444">
        <w:rPr>
          <w:rFonts w:ascii="Arial" w:hAnsi="Arial" w:cs="Arial"/>
          <w:sz w:val="20"/>
          <w:szCs w:val="20"/>
        </w:rPr>
        <w:t xml:space="preserve"> or interest.</w:t>
      </w:r>
    </w:p>
    <w:p w14:paraId="7AE9C13C" w14:textId="77777777" w:rsidR="00587444" w:rsidRPr="00587444" w:rsidRDefault="00587444" w:rsidP="00587932">
      <w:pPr>
        <w:autoSpaceDN/>
        <w:jc w:val="both"/>
        <w:rPr>
          <w:rFonts w:ascii="Arial" w:hAnsi="Arial" w:cs="Arial"/>
          <w:b/>
          <w:bCs/>
          <w:i/>
          <w:sz w:val="20"/>
          <w:szCs w:val="20"/>
        </w:rPr>
      </w:pPr>
    </w:p>
    <w:p w14:paraId="74A70485"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v. Derecognition</w:t>
      </w:r>
    </w:p>
    <w:p w14:paraId="4665478B" w14:textId="77777777" w:rsidR="00587444" w:rsidRPr="00587444" w:rsidRDefault="00587444" w:rsidP="00587932">
      <w:pPr>
        <w:autoSpaceDN/>
        <w:jc w:val="both"/>
        <w:rPr>
          <w:rFonts w:ascii="Arial" w:hAnsi="Arial" w:cs="Arial"/>
          <w:b/>
          <w:bCs/>
          <w:sz w:val="20"/>
          <w:szCs w:val="20"/>
        </w:rPr>
      </w:pPr>
    </w:p>
    <w:p w14:paraId="3676889F" w14:textId="77777777" w:rsidR="00587444" w:rsidRPr="00587444" w:rsidRDefault="00587444" w:rsidP="00587932">
      <w:pPr>
        <w:autoSpaceDN/>
        <w:jc w:val="both"/>
        <w:rPr>
          <w:rFonts w:ascii="Arial" w:hAnsi="Arial" w:cs="Arial"/>
          <w:bCs/>
          <w:sz w:val="20"/>
          <w:szCs w:val="20"/>
        </w:rPr>
      </w:pPr>
      <w:r w:rsidRPr="00587444">
        <w:rPr>
          <w:rFonts w:ascii="Arial" w:hAnsi="Arial" w:cs="Arial"/>
          <w:bCs/>
          <w:sz w:val="20"/>
          <w:szCs w:val="20"/>
        </w:rPr>
        <w:t>Financial assets</w:t>
      </w:r>
    </w:p>
    <w:p w14:paraId="7C640F87" w14:textId="77777777" w:rsidR="00587444" w:rsidRPr="00587444" w:rsidRDefault="00587444" w:rsidP="00587932">
      <w:pPr>
        <w:autoSpaceDN/>
        <w:jc w:val="both"/>
        <w:rPr>
          <w:rFonts w:ascii="Arial" w:hAnsi="Arial" w:cs="Arial"/>
          <w:bCs/>
          <w:sz w:val="20"/>
          <w:szCs w:val="20"/>
        </w:rPr>
      </w:pPr>
      <w:r w:rsidRPr="00587444">
        <w:rPr>
          <w:rFonts w:ascii="Arial" w:hAnsi="Arial" w:cs="Arial"/>
          <w:bCs/>
          <w:sz w:val="20"/>
          <w:szCs w:val="20"/>
        </w:rPr>
        <w:t xml:space="preserve">The Group </w:t>
      </w:r>
      <w:proofErr w:type="spellStart"/>
      <w:r w:rsidRPr="00587444">
        <w:rPr>
          <w:rFonts w:ascii="Arial" w:hAnsi="Arial" w:cs="Arial"/>
          <w:bCs/>
          <w:sz w:val="20"/>
          <w:szCs w:val="20"/>
        </w:rPr>
        <w:t>derecognises</w:t>
      </w:r>
      <w:proofErr w:type="spellEnd"/>
      <w:r w:rsidRPr="00587444">
        <w:rPr>
          <w:rFonts w:ascii="Arial" w:hAnsi="Arial" w:cs="Arial"/>
          <w:bCs/>
          <w:sz w:val="20"/>
          <w:szCs w:val="20"/>
        </w:rPr>
        <w:t xml:space="preserve"> a financial asset when the contractual rights to the cash flows from the financial asset expire, or it transfers the rights to receive the contractual cash flows in a transaction in which substantially all of the risks and rewards of ownership of the financial asset are transferred or in which the Group neither transfers nor retains substantially all of the risks and rewards of ownership and it does not retain control of the financial asset.</w:t>
      </w:r>
    </w:p>
    <w:p w14:paraId="25B4B118" w14:textId="77777777" w:rsidR="00587444" w:rsidRPr="00587444" w:rsidRDefault="00587444" w:rsidP="00587932">
      <w:pPr>
        <w:autoSpaceDN/>
        <w:jc w:val="both"/>
        <w:rPr>
          <w:rFonts w:ascii="Arial" w:hAnsi="Arial" w:cs="Arial"/>
          <w:bCs/>
          <w:sz w:val="20"/>
          <w:szCs w:val="20"/>
        </w:rPr>
      </w:pPr>
    </w:p>
    <w:p w14:paraId="379CF286" w14:textId="77777777" w:rsidR="00587932" w:rsidRDefault="00587444" w:rsidP="00587932">
      <w:pPr>
        <w:autoSpaceDN/>
        <w:jc w:val="both"/>
        <w:rPr>
          <w:rFonts w:ascii="Arial" w:hAnsi="Arial" w:cs="Arial"/>
          <w:bCs/>
          <w:sz w:val="20"/>
          <w:szCs w:val="20"/>
        </w:rPr>
      </w:pPr>
      <w:r w:rsidRPr="00587444">
        <w:rPr>
          <w:rFonts w:ascii="Arial" w:hAnsi="Arial" w:cs="Arial"/>
          <w:bCs/>
          <w:sz w:val="20"/>
          <w:szCs w:val="20"/>
        </w:rPr>
        <w:t xml:space="preserve">On derecognition of a financial asset, the difference between the carrying amount of the asset (or the carrying amount allocated to the portion of the asset </w:t>
      </w:r>
      <w:proofErr w:type="spellStart"/>
      <w:r w:rsidRPr="00587444">
        <w:rPr>
          <w:rFonts w:ascii="Arial" w:hAnsi="Arial" w:cs="Arial"/>
          <w:bCs/>
          <w:sz w:val="20"/>
          <w:szCs w:val="20"/>
        </w:rPr>
        <w:t>derecognised</w:t>
      </w:r>
      <w:proofErr w:type="spellEnd"/>
      <w:r w:rsidRPr="00587444">
        <w:rPr>
          <w:rFonts w:ascii="Arial" w:hAnsi="Arial" w:cs="Arial"/>
          <w:bCs/>
          <w:sz w:val="20"/>
          <w:szCs w:val="20"/>
        </w:rPr>
        <w:t xml:space="preserve">) and the sum of (i) the consideration </w:t>
      </w:r>
      <w:r w:rsidRPr="00587444">
        <w:rPr>
          <w:rFonts w:ascii="Arial" w:hAnsi="Arial" w:cs="Arial"/>
          <w:sz w:val="20"/>
          <w:szCs w:val="20"/>
        </w:rPr>
        <w:t xml:space="preserve">received for the part </w:t>
      </w:r>
      <w:proofErr w:type="spellStart"/>
      <w:r w:rsidRPr="00587444">
        <w:rPr>
          <w:rFonts w:ascii="Arial" w:hAnsi="Arial" w:cs="Arial"/>
          <w:sz w:val="20"/>
          <w:szCs w:val="20"/>
        </w:rPr>
        <w:t>derecognised</w:t>
      </w:r>
      <w:proofErr w:type="spellEnd"/>
      <w:r w:rsidRPr="00587444">
        <w:rPr>
          <w:rFonts w:ascii="Arial" w:hAnsi="Arial" w:cs="Arial"/>
          <w:sz w:val="20"/>
          <w:szCs w:val="20"/>
        </w:rPr>
        <w:t xml:space="preserve"> </w:t>
      </w:r>
      <w:r w:rsidRPr="00587444">
        <w:rPr>
          <w:rFonts w:ascii="Arial" w:hAnsi="Arial" w:cs="Arial"/>
          <w:bCs/>
          <w:sz w:val="20"/>
          <w:szCs w:val="20"/>
        </w:rPr>
        <w:t xml:space="preserve">(including any new asset obtained less any new liability assumed) and (ii) any cumulative gain or loss that had been </w:t>
      </w:r>
      <w:proofErr w:type="spellStart"/>
      <w:r w:rsidRPr="00587444">
        <w:rPr>
          <w:rFonts w:ascii="Arial" w:hAnsi="Arial" w:cs="Arial"/>
          <w:bCs/>
          <w:sz w:val="20"/>
          <w:szCs w:val="20"/>
        </w:rPr>
        <w:t>recognised</w:t>
      </w:r>
      <w:proofErr w:type="spellEnd"/>
      <w:r w:rsidRPr="00587444">
        <w:rPr>
          <w:rFonts w:ascii="Arial" w:hAnsi="Arial" w:cs="Arial"/>
          <w:bCs/>
          <w:sz w:val="20"/>
          <w:szCs w:val="20"/>
        </w:rPr>
        <w:t xml:space="preserve"> in other comprehensive income is </w:t>
      </w:r>
      <w:proofErr w:type="spellStart"/>
      <w:r w:rsidRPr="00587444">
        <w:rPr>
          <w:rFonts w:ascii="Arial" w:hAnsi="Arial" w:cs="Arial"/>
          <w:bCs/>
          <w:sz w:val="20"/>
          <w:szCs w:val="20"/>
        </w:rPr>
        <w:t>recognised</w:t>
      </w:r>
      <w:proofErr w:type="spellEnd"/>
      <w:r w:rsidRPr="00587444">
        <w:rPr>
          <w:rFonts w:ascii="Arial" w:hAnsi="Arial" w:cs="Arial"/>
          <w:bCs/>
          <w:sz w:val="20"/>
          <w:szCs w:val="20"/>
        </w:rPr>
        <w:t xml:space="preserve"> in</w:t>
      </w:r>
    </w:p>
    <w:p w14:paraId="1FFAB3B9" w14:textId="1B10D2D4" w:rsidR="00587444" w:rsidRPr="00587444" w:rsidRDefault="00587444" w:rsidP="00587932">
      <w:pPr>
        <w:autoSpaceDN/>
        <w:rPr>
          <w:rFonts w:ascii="Arial" w:hAnsi="Arial" w:cs="Arial"/>
          <w:bCs/>
          <w:sz w:val="20"/>
          <w:szCs w:val="20"/>
        </w:rPr>
        <w:sectPr w:rsidR="00587444" w:rsidRPr="00587444" w:rsidSect="00DD69E7">
          <w:pgSz w:w="11907" w:h="16840" w:code="9"/>
          <w:pgMar w:top="1418" w:right="992" w:bottom="1134" w:left="1418" w:header="851" w:footer="851" w:gutter="0"/>
          <w:cols w:space="720"/>
          <w:noEndnote/>
        </w:sectPr>
      </w:pPr>
      <w:r w:rsidRPr="00587444">
        <w:rPr>
          <w:rFonts w:ascii="Arial" w:hAnsi="Arial" w:cs="Arial"/>
          <w:bCs/>
          <w:sz w:val="20"/>
          <w:szCs w:val="20"/>
        </w:rPr>
        <w:t>profit or loss.</w:t>
      </w:r>
    </w:p>
    <w:p w14:paraId="6FCD770D" w14:textId="77777777" w:rsidR="00587444" w:rsidRPr="00587444" w:rsidRDefault="00587444" w:rsidP="00587444">
      <w:pPr>
        <w:suppressAutoHyphens w:val="0"/>
        <w:autoSpaceDN/>
        <w:jc w:val="both"/>
        <w:rPr>
          <w:rFonts w:ascii="Arial" w:hAnsi="Arial" w:cs="Arial"/>
          <w:sz w:val="20"/>
          <w:szCs w:val="20"/>
        </w:rPr>
      </w:pPr>
    </w:p>
    <w:p w14:paraId="385D2C6D"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697E316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293B2F04"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5E876F10" w14:textId="77777777" w:rsidR="00587444" w:rsidRPr="00587444" w:rsidRDefault="00587444" w:rsidP="00587444">
      <w:pPr>
        <w:keepNext/>
        <w:tabs>
          <w:tab w:val="left" w:pos="567"/>
        </w:tabs>
        <w:suppressAutoHyphens w:val="0"/>
        <w:autoSpaceDN/>
        <w:spacing w:before="240"/>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0CBCA503" w14:textId="77777777" w:rsidR="00587444" w:rsidRPr="00587444" w:rsidRDefault="00587444" w:rsidP="00587444">
      <w:pPr>
        <w:suppressAutoHyphens w:val="0"/>
        <w:autoSpaceDN/>
        <w:jc w:val="both"/>
        <w:rPr>
          <w:rFonts w:ascii="Arial" w:hAnsi="Arial" w:cs="Arial"/>
          <w:bCs/>
          <w:sz w:val="20"/>
          <w:szCs w:val="20"/>
        </w:rPr>
      </w:pPr>
    </w:p>
    <w:p w14:paraId="3C1322A8"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v. Derecognition (continued)</w:t>
      </w:r>
    </w:p>
    <w:p w14:paraId="45255435" w14:textId="77777777" w:rsidR="00587444" w:rsidRPr="00587444" w:rsidRDefault="00587444" w:rsidP="00587932">
      <w:pPr>
        <w:autoSpaceDN/>
        <w:jc w:val="both"/>
        <w:rPr>
          <w:rFonts w:ascii="Arial" w:hAnsi="Arial" w:cs="Arial"/>
          <w:bCs/>
          <w:sz w:val="20"/>
          <w:szCs w:val="20"/>
        </w:rPr>
      </w:pPr>
    </w:p>
    <w:p w14:paraId="441C528A" w14:textId="77777777" w:rsidR="00587444" w:rsidRPr="00587444" w:rsidRDefault="00587444" w:rsidP="00587932">
      <w:pPr>
        <w:autoSpaceDN/>
        <w:jc w:val="both"/>
        <w:rPr>
          <w:rFonts w:ascii="Arial" w:hAnsi="Arial" w:cs="Arial"/>
          <w:bCs/>
          <w:sz w:val="20"/>
          <w:szCs w:val="20"/>
        </w:rPr>
      </w:pPr>
      <w:r w:rsidRPr="00587444">
        <w:rPr>
          <w:rFonts w:ascii="Arial" w:hAnsi="Arial" w:cs="Arial"/>
          <w:bCs/>
          <w:sz w:val="20"/>
          <w:szCs w:val="20"/>
        </w:rPr>
        <w:t xml:space="preserve">From 1 January 2018 any cumulative gain/loss </w:t>
      </w:r>
      <w:proofErr w:type="spellStart"/>
      <w:r w:rsidRPr="00587444">
        <w:rPr>
          <w:rFonts w:ascii="Arial" w:hAnsi="Arial" w:cs="Arial"/>
          <w:bCs/>
          <w:sz w:val="20"/>
          <w:szCs w:val="20"/>
        </w:rPr>
        <w:t>recognised</w:t>
      </w:r>
      <w:proofErr w:type="spellEnd"/>
      <w:r w:rsidRPr="00587444">
        <w:rPr>
          <w:rFonts w:ascii="Arial" w:hAnsi="Arial" w:cs="Arial"/>
          <w:bCs/>
          <w:sz w:val="20"/>
          <w:szCs w:val="20"/>
        </w:rPr>
        <w:t xml:space="preserve"> in other comprehensive income in respect of equity investment securities designated as at fair value through other comprehensive income is not </w:t>
      </w:r>
      <w:proofErr w:type="spellStart"/>
      <w:r w:rsidRPr="00587444">
        <w:rPr>
          <w:rFonts w:ascii="Arial" w:hAnsi="Arial" w:cs="Arial"/>
          <w:bCs/>
          <w:sz w:val="20"/>
          <w:szCs w:val="20"/>
        </w:rPr>
        <w:t>recognised</w:t>
      </w:r>
      <w:proofErr w:type="spellEnd"/>
      <w:r w:rsidRPr="00587444">
        <w:rPr>
          <w:rFonts w:ascii="Arial" w:hAnsi="Arial" w:cs="Arial"/>
          <w:bCs/>
          <w:sz w:val="20"/>
          <w:szCs w:val="20"/>
        </w:rPr>
        <w:t xml:space="preserve"> in profit or loss on derecognition of such securities. Any interest in transferred financial assets that qualify for derecognition that is created or retained by the Group is </w:t>
      </w:r>
      <w:proofErr w:type="spellStart"/>
      <w:r w:rsidRPr="00587444">
        <w:rPr>
          <w:rFonts w:ascii="Arial" w:hAnsi="Arial" w:cs="Arial"/>
          <w:bCs/>
          <w:sz w:val="20"/>
          <w:szCs w:val="20"/>
        </w:rPr>
        <w:t>recognised</w:t>
      </w:r>
      <w:proofErr w:type="spellEnd"/>
      <w:r w:rsidRPr="00587444">
        <w:rPr>
          <w:rFonts w:ascii="Arial" w:hAnsi="Arial" w:cs="Arial"/>
          <w:bCs/>
          <w:sz w:val="20"/>
          <w:szCs w:val="20"/>
        </w:rPr>
        <w:t xml:space="preserve"> as a separate asset or liability.</w:t>
      </w:r>
    </w:p>
    <w:p w14:paraId="0D975772" w14:textId="77777777" w:rsidR="00587444" w:rsidRPr="00587444" w:rsidRDefault="00587444" w:rsidP="00587932">
      <w:pPr>
        <w:autoSpaceDN/>
        <w:jc w:val="both"/>
        <w:rPr>
          <w:rFonts w:ascii="Arial" w:hAnsi="Arial" w:cs="Arial"/>
          <w:bCs/>
          <w:sz w:val="20"/>
          <w:szCs w:val="20"/>
        </w:rPr>
      </w:pPr>
    </w:p>
    <w:p w14:paraId="020265B1" w14:textId="77777777" w:rsidR="00587444" w:rsidRPr="00587444" w:rsidRDefault="00587444" w:rsidP="00587932">
      <w:pPr>
        <w:autoSpaceDN/>
        <w:jc w:val="both"/>
        <w:rPr>
          <w:rFonts w:ascii="Arial" w:hAnsi="Arial" w:cs="Arial"/>
          <w:bCs/>
          <w:sz w:val="20"/>
          <w:szCs w:val="20"/>
        </w:rPr>
      </w:pPr>
      <w:r w:rsidRPr="00587444">
        <w:rPr>
          <w:rFonts w:ascii="Arial" w:hAnsi="Arial" w:cs="Arial"/>
          <w:bCs/>
          <w:sz w:val="20"/>
          <w:szCs w:val="20"/>
        </w:rPr>
        <w:t>Financial liabilities</w:t>
      </w:r>
    </w:p>
    <w:p w14:paraId="3103F066" w14:textId="77777777" w:rsidR="00587444" w:rsidRPr="00587444" w:rsidRDefault="00587444" w:rsidP="00587932">
      <w:pPr>
        <w:autoSpaceDN/>
        <w:jc w:val="both"/>
        <w:rPr>
          <w:rFonts w:ascii="Arial" w:eastAsia="Calibri" w:hAnsi="Arial" w:cs="Arial"/>
          <w:sz w:val="20"/>
          <w:szCs w:val="20"/>
          <w:lang w:val="en-GB"/>
        </w:rPr>
      </w:pPr>
      <w:r w:rsidRPr="00587444">
        <w:rPr>
          <w:rFonts w:ascii="Arial" w:hAnsi="Arial" w:cs="Arial"/>
          <w:bCs/>
          <w:sz w:val="20"/>
          <w:szCs w:val="20"/>
        </w:rPr>
        <w:t xml:space="preserve">A financial liability is </w:t>
      </w:r>
      <w:proofErr w:type="spellStart"/>
      <w:r w:rsidRPr="00587444">
        <w:rPr>
          <w:rFonts w:ascii="Arial" w:hAnsi="Arial" w:cs="Arial"/>
          <w:bCs/>
          <w:sz w:val="20"/>
          <w:szCs w:val="20"/>
        </w:rPr>
        <w:t>derecognised</w:t>
      </w:r>
      <w:proofErr w:type="spellEnd"/>
      <w:r w:rsidRPr="00587444">
        <w:rPr>
          <w:rFonts w:ascii="Arial" w:hAnsi="Arial" w:cs="Arial"/>
          <w:bCs/>
          <w:sz w:val="20"/>
          <w:szCs w:val="20"/>
        </w:rPr>
        <w:t xml:space="preserve"> when the obligation under the liability is discharged, </w:t>
      </w:r>
      <w:proofErr w:type="gramStart"/>
      <w:r w:rsidRPr="00587444">
        <w:rPr>
          <w:rFonts w:ascii="Arial" w:hAnsi="Arial" w:cs="Arial"/>
          <w:bCs/>
          <w:sz w:val="20"/>
          <w:szCs w:val="20"/>
        </w:rPr>
        <w:t>cancelled</w:t>
      </w:r>
      <w:proofErr w:type="gramEnd"/>
      <w:r w:rsidRPr="00587444">
        <w:rPr>
          <w:rFonts w:ascii="Arial" w:hAnsi="Arial" w:cs="Arial"/>
          <w:bCs/>
          <w:sz w:val="20"/>
          <w:szCs w:val="20"/>
        </w:rPr>
        <w:t xml:space="preserve"> or expires.</w:t>
      </w:r>
    </w:p>
    <w:p w14:paraId="7F2A3C44" w14:textId="77777777" w:rsidR="00587444" w:rsidRPr="00587444" w:rsidRDefault="00587444" w:rsidP="00587932">
      <w:pPr>
        <w:autoSpaceDN/>
        <w:jc w:val="both"/>
        <w:rPr>
          <w:rFonts w:ascii="Arial" w:hAnsi="Arial" w:cs="Arial"/>
          <w:sz w:val="20"/>
          <w:szCs w:val="20"/>
        </w:rPr>
      </w:pPr>
    </w:p>
    <w:p w14:paraId="1256EAED" w14:textId="77777777" w:rsidR="00587444" w:rsidRPr="00587444" w:rsidRDefault="00587444" w:rsidP="00587932">
      <w:pPr>
        <w:autoSpaceDN/>
        <w:jc w:val="both"/>
        <w:rPr>
          <w:rFonts w:ascii="Arial" w:eastAsia="Calibri" w:hAnsi="Arial" w:cs="Arial"/>
          <w:b/>
          <w:i/>
          <w:sz w:val="20"/>
          <w:szCs w:val="20"/>
          <w:lang w:val="en-GB"/>
        </w:rPr>
      </w:pPr>
      <w:r w:rsidRPr="00587444">
        <w:rPr>
          <w:rFonts w:ascii="Arial" w:eastAsia="Calibri" w:hAnsi="Arial" w:cs="Arial"/>
          <w:b/>
          <w:i/>
          <w:sz w:val="20"/>
          <w:szCs w:val="20"/>
          <w:lang w:val="en-GB"/>
        </w:rPr>
        <w:t xml:space="preserve">vi. Modification of financial assets </w:t>
      </w:r>
    </w:p>
    <w:p w14:paraId="2B7F4111" w14:textId="77777777" w:rsidR="00587444" w:rsidRPr="00587444" w:rsidRDefault="00587444" w:rsidP="00587932">
      <w:pPr>
        <w:autoSpaceDN/>
        <w:jc w:val="both"/>
        <w:rPr>
          <w:rFonts w:ascii="Arial" w:hAnsi="Arial" w:cs="Arial"/>
          <w:sz w:val="20"/>
          <w:szCs w:val="20"/>
        </w:rPr>
      </w:pPr>
    </w:p>
    <w:p w14:paraId="4BF00124"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Modification of financial assets means any change in contractual terms that results in the change in contractual cash-flows. In the case of a modification that is not substantial, the change in contractual terms does not result in the derecognition of the respective financial assets and the new gross carrying amount is established as present value of modified contractual cash-flows discounted by applying the original effective interest rate (EIR). </w:t>
      </w:r>
    </w:p>
    <w:p w14:paraId="5168A55B"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The difference between the original gross carrying amount before modification and the gross carrying amount established </w:t>
      </w:r>
      <w:proofErr w:type="gramStart"/>
      <w:r w:rsidRPr="00587444">
        <w:rPr>
          <w:rFonts w:ascii="Arial" w:hAnsi="Arial" w:cs="Arial"/>
          <w:sz w:val="20"/>
          <w:szCs w:val="20"/>
        </w:rPr>
        <w:t>on the basis of</w:t>
      </w:r>
      <w:proofErr w:type="gramEnd"/>
      <w:r w:rsidRPr="00587444">
        <w:rPr>
          <w:rFonts w:ascii="Arial" w:hAnsi="Arial" w:cs="Arial"/>
          <w:sz w:val="20"/>
          <w:szCs w:val="20"/>
        </w:rPr>
        <w:t xml:space="preserve"> modified cash-flows after modification is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in Profit or loss.</w:t>
      </w:r>
    </w:p>
    <w:p w14:paraId="369C87C0" w14:textId="77777777" w:rsidR="00587444" w:rsidRPr="00587444" w:rsidRDefault="00587444" w:rsidP="00587932">
      <w:pPr>
        <w:autoSpaceDN/>
        <w:jc w:val="both"/>
        <w:rPr>
          <w:rFonts w:ascii="Arial" w:hAnsi="Arial" w:cs="Arial"/>
          <w:sz w:val="20"/>
          <w:szCs w:val="20"/>
        </w:rPr>
      </w:pPr>
    </w:p>
    <w:p w14:paraId="2E10959C"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In the case of a substantial modification of financial assets, the financial assets are </w:t>
      </w:r>
      <w:proofErr w:type="spellStart"/>
      <w:r w:rsidRPr="00587444">
        <w:rPr>
          <w:rFonts w:ascii="Arial" w:hAnsi="Arial" w:cs="Arial"/>
          <w:sz w:val="20"/>
          <w:szCs w:val="20"/>
        </w:rPr>
        <w:t>derecognised</w:t>
      </w:r>
      <w:proofErr w:type="spellEnd"/>
      <w:r w:rsidRPr="00587444">
        <w:rPr>
          <w:rFonts w:ascii="Arial" w:hAnsi="Arial" w:cs="Arial"/>
          <w:sz w:val="20"/>
          <w:szCs w:val="20"/>
        </w:rPr>
        <w:t xml:space="preserve"> before modification and the modified financial assets are newly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as “new” financial assets and the new effective interest rate is established. The date of modification of contractual provisions </w:t>
      </w:r>
      <w:proofErr w:type="gramStart"/>
      <w:r w:rsidRPr="00587444">
        <w:rPr>
          <w:rFonts w:ascii="Arial" w:hAnsi="Arial" w:cs="Arial"/>
          <w:sz w:val="20"/>
          <w:szCs w:val="20"/>
        </w:rPr>
        <w:t>is considered to be</w:t>
      </w:r>
      <w:proofErr w:type="gramEnd"/>
      <w:r w:rsidRPr="00587444">
        <w:rPr>
          <w:rFonts w:ascii="Arial" w:hAnsi="Arial" w:cs="Arial"/>
          <w:sz w:val="20"/>
          <w:szCs w:val="20"/>
        </w:rPr>
        <w:t xml:space="preserve"> the date of initial recognition. Impairment of newly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financial assets is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in the amount of the expected credit losses in a twelve-month period (Stage 1) until the conditions for the reclassification to Stage 2 have been met. If it is established that the modified financial assets at initial recognition have been credit impaired, the financial assets are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as purchased or originated credit-impaired financial assets (POCI assets) and the credit risk adjusted effective interest rate is determined.</w:t>
      </w:r>
    </w:p>
    <w:p w14:paraId="4D4858BD" w14:textId="77777777" w:rsidR="00587444" w:rsidRPr="00587444" w:rsidRDefault="00587444" w:rsidP="00587932">
      <w:pPr>
        <w:autoSpaceDN/>
        <w:jc w:val="both"/>
        <w:rPr>
          <w:rFonts w:ascii="Arial" w:eastAsia="Calibri" w:hAnsi="Arial" w:cs="Arial"/>
          <w:b/>
          <w:sz w:val="20"/>
          <w:szCs w:val="20"/>
          <w:lang w:val="en-GB"/>
        </w:rPr>
      </w:pPr>
    </w:p>
    <w:p w14:paraId="46EDF66A" w14:textId="77777777" w:rsidR="00587444" w:rsidRDefault="00587444" w:rsidP="00587932">
      <w:pPr>
        <w:autoSpaceDN/>
        <w:jc w:val="both"/>
        <w:rPr>
          <w:rFonts w:ascii="Arial" w:hAnsi="Arial" w:cs="Arial"/>
          <w:sz w:val="20"/>
          <w:szCs w:val="20"/>
          <w:lang w:val="en-GB"/>
        </w:rPr>
      </w:pPr>
      <w:proofErr w:type="gramStart"/>
      <w:r w:rsidRPr="00587444">
        <w:rPr>
          <w:rFonts w:ascii="Arial" w:hAnsi="Arial" w:cs="Arial"/>
          <w:sz w:val="20"/>
          <w:szCs w:val="20"/>
          <w:lang w:val="en-GB"/>
        </w:rPr>
        <w:t>For the purpose of</w:t>
      </w:r>
      <w:proofErr w:type="gramEnd"/>
      <w:r w:rsidRPr="00587444">
        <w:rPr>
          <w:rFonts w:ascii="Arial" w:hAnsi="Arial" w:cs="Arial"/>
          <w:sz w:val="20"/>
          <w:szCs w:val="20"/>
          <w:lang w:val="en-GB"/>
        </w:rPr>
        <w:t xml:space="preserve"> deciding whether the quantitative modification is material or immaterial, quantitative test is implemented to establish whether the materiality threshold has been exceeded. Gross carrying amounts before and after the modification are compared, and new cash flows are discounted by the original effective interest rate. As materiality threshold of quantitative modifications affecting the cash flows modification, difference in the amount of initial cash flow compared to the modified cash flow in the amount of 10% change of the initial cash flow is established.</w:t>
      </w:r>
    </w:p>
    <w:p w14:paraId="6B81270B" w14:textId="7DD3F1BE" w:rsidR="00BB5943" w:rsidRPr="00587444" w:rsidRDefault="00BB5943" w:rsidP="00587444">
      <w:pPr>
        <w:suppressAutoHyphens w:val="0"/>
        <w:autoSpaceDN/>
        <w:jc w:val="both"/>
        <w:rPr>
          <w:rFonts w:ascii="Arial" w:hAnsi="Arial" w:cs="Arial"/>
          <w:sz w:val="20"/>
          <w:szCs w:val="20"/>
          <w:lang w:val="en-GB"/>
        </w:rPr>
        <w:sectPr w:rsidR="00BB5943" w:rsidRPr="00587444" w:rsidSect="00DD69E7">
          <w:pgSz w:w="11907" w:h="16840" w:code="9"/>
          <w:pgMar w:top="1418" w:right="992" w:bottom="1134" w:left="1418" w:header="851" w:footer="851" w:gutter="0"/>
          <w:cols w:space="720"/>
          <w:noEndnote/>
        </w:sectPr>
      </w:pPr>
    </w:p>
    <w:p w14:paraId="54C3CFC6" w14:textId="77777777" w:rsidR="00587444" w:rsidRPr="00587444" w:rsidRDefault="00587444" w:rsidP="00587444">
      <w:pPr>
        <w:suppressAutoHyphens w:val="0"/>
        <w:autoSpaceDN/>
        <w:jc w:val="both"/>
        <w:rPr>
          <w:rFonts w:ascii="Arial" w:hAnsi="Arial" w:cs="Arial"/>
          <w:sz w:val="20"/>
          <w:szCs w:val="20"/>
          <w:lang w:val="en-GB"/>
        </w:rPr>
      </w:pPr>
    </w:p>
    <w:p w14:paraId="7706C5A7"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59D998F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0BCF35E6"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27536211" w14:textId="77777777" w:rsidR="00587444" w:rsidRPr="00587444" w:rsidRDefault="00587444" w:rsidP="00587444">
      <w:pPr>
        <w:suppressAutoHyphens w:val="0"/>
        <w:autoSpaceDN/>
        <w:jc w:val="both"/>
        <w:rPr>
          <w:rFonts w:ascii="Arial" w:hAnsi="Arial" w:cs="Arial"/>
          <w:b/>
          <w:sz w:val="20"/>
          <w:szCs w:val="20"/>
        </w:rPr>
      </w:pPr>
    </w:p>
    <w:p w14:paraId="44E5F1C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447943B2" w14:textId="77777777" w:rsidR="00587444" w:rsidRPr="00587444" w:rsidRDefault="00587444" w:rsidP="00587444">
      <w:pPr>
        <w:tabs>
          <w:tab w:val="left" w:pos="426"/>
        </w:tabs>
        <w:suppressAutoHyphens w:val="0"/>
        <w:autoSpaceDN/>
        <w:jc w:val="both"/>
        <w:rPr>
          <w:rFonts w:ascii="Arial" w:eastAsia="PMingLiU" w:hAnsi="Arial" w:cs="Arial"/>
          <w:sz w:val="20"/>
          <w:szCs w:val="20"/>
          <w:lang w:eastAsia="hr-HR" w:bidi="hr-HR"/>
        </w:rPr>
      </w:pPr>
    </w:p>
    <w:p w14:paraId="7B26ECC9" w14:textId="77777777" w:rsidR="00587444" w:rsidRPr="00587444" w:rsidRDefault="00587444" w:rsidP="00587444">
      <w:pPr>
        <w:suppressAutoHyphens w:val="0"/>
        <w:autoSpaceDN/>
        <w:jc w:val="both"/>
        <w:rPr>
          <w:rFonts w:ascii="Arial" w:hAnsi="Arial" w:cs="Arial"/>
          <w:b/>
          <w:bCs/>
          <w:i/>
          <w:sz w:val="20"/>
          <w:szCs w:val="20"/>
        </w:rPr>
      </w:pPr>
      <w:r w:rsidRPr="00587444">
        <w:rPr>
          <w:rFonts w:ascii="Arial" w:hAnsi="Arial" w:cs="Arial"/>
          <w:b/>
          <w:bCs/>
          <w:i/>
          <w:sz w:val="20"/>
          <w:szCs w:val="20"/>
        </w:rPr>
        <w:t>vii. Purchased or originated credit-impaired financial assets (POCI assets)</w:t>
      </w:r>
    </w:p>
    <w:p w14:paraId="1F56D528" w14:textId="77777777" w:rsidR="00587444" w:rsidRPr="00587444" w:rsidRDefault="00587444" w:rsidP="00587932">
      <w:pPr>
        <w:keepNext/>
        <w:tabs>
          <w:tab w:val="left" w:pos="426"/>
        </w:tabs>
        <w:autoSpaceDN/>
        <w:jc w:val="both"/>
        <w:rPr>
          <w:rFonts w:ascii="Arial" w:hAnsi="Arial" w:cs="Arial"/>
          <w:b/>
          <w:bCs/>
          <w:sz w:val="20"/>
          <w:szCs w:val="20"/>
        </w:rPr>
      </w:pPr>
    </w:p>
    <w:p w14:paraId="613C1601" w14:textId="77777777" w:rsidR="00587444" w:rsidRPr="00587444" w:rsidRDefault="00587444" w:rsidP="00587932">
      <w:pPr>
        <w:autoSpaceDN/>
        <w:jc w:val="both"/>
        <w:rPr>
          <w:rFonts w:ascii="Arial" w:hAnsi="Arial" w:cs="Arial"/>
          <w:bCs/>
          <w:sz w:val="20"/>
          <w:szCs w:val="20"/>
        </w:rPr>
      </w:pPr>
      <w:r w:rsidRPr="00587444">
        <w:rPr>
          <w:rFonts w:ascii="Arial" w:hAnsi="Arial" w:cs="Arial"/>
          <w:bCs/>
          <w:sz w:val="20"/>
          <w:szCs w:val="20"/>
        </w:rPr>
        <w:t xml:space="preserve">POCI assets are financial assets for which, at initial recognition, there is objective evidence of credit impairment as the credit risk of originated or issued assets is very high or, in the case of purchase, the assets have been purchased at a high discount. </w:t>
      </w:r>
    </w:p>
    <w:p w14:paraId="59250039" w14:textId="77777777" w:rsidR="00587444" w:rsidRPr="00587444" w:rsidRDefault="00587444" w:rsidP="00587932">
      <w:pPr>
        <w:autoSpaceDN/>
        <w:jc w:val="both"/>
        <w:rPr>
          <w:rFonts w:ascii="Arial" w:hAnsi="Arial" w:cs="Arial"/>
          <w:bCs/>
          <w:sz w:val="20"/>
          <w:szCs w:val="20"/>
        </w:rPr>
      </w:pPr>
    </w:p>
    <w:p w14:paraId="7B867F11" w14:textId="77777777" w:rsidR="00587444" w:rsidRPr="00587444" w:rsidRDefault="00587444" w:rsidP="00587932">
      <w:pPr>
        <w:autoSpaceDN/>
        <w:jc w:val="both"/>
        <w:rPr>
          <w:rFonts w:ascii="Arial" w:hAnsi="Arial" w:cs="Arial"/>
          <w:bCs/>
          <w:sz w:val="20"/>
          <w:szCs w:val="20"/>
        </w:rPr>
      </w:pPr>
      <w:r w:rsidRPr="00587444">
        <w:rPr>
          <w:rFonts w:ascii="Arial" w:hAnsi="Arial" w:cs="Arial"/>
          <w:bCs/>
          <w:sz w:val="20"/>
          <w:szCs w:val="20"/>
        </w:rPr>
        <w:t xml:space="preserve">At initial measurement of POCI assets, </w:t>
      </w:r>
      <w:proofErr w:type="gramStart"/>
      <w:r w:rsidRPr="00587444">
        <w:rPr>
          <w:rFonts w:ascii="Arial" w:hAnsi="Arial" w:cs="Arial"/>
          <w:bCs/>
          <w:sz w:val="20"/>
          <w:szCs w:val="20"/>
        </w:rPr>
        <w:t>its</w:t>
      </w:r>
      <w:proofErr w:type="gramEnd"/>
      <w:r w:rsidRPr="00587444">
        <w:rPr>
          <w:rFonts w:ascii="Arial" w:hAnsi="Arial" w:cs="Arial"/>
          <w:bCs/>
          <w:sz w:val="20"/>
          <w:szCs w:val="20"/>
        </w:rPr>
        <w:t xml:space="preserve"> carrying amount is not reduced by the loss allowance, but POCI assets are </w:t>
      </w:r>
      <w:proofErr w:type="spellStart"/>
      <w:r w:rsidRPr="00587444">
        <w:rPr>
          <w:rFonts w:ascii="Arial" w:hAnsi="Arial" w:cs="Arial"/>
          <w:bCs/>
          <w:sz w:val="20"/>
          <w:szCs w:val="20"/>
        </w:rPr>
        <w:t>recognised</w:t>
      </w:r>
      <w:proofErr w:type="spellEnd"/>
      <w:r w:rsidRPr="00587444">
        <w:rPr>
          <w:rFonts w:ascii="Arial" w:hAnsi="Arial" w:cs="Arial"/>
          <w:bCs/>
          <w:sz w:val="20"/>
          <w:szCs w:val="20"/>
        </w:rPr>
        <w:t xml:space="preserve"> in the amount of fair value that includes expected credit losses.</w:t>
      </w:r>
    </w:p>
    <w:p w14:paraId="71C5B2BF" w14:textId="77777777" w:rsidR="00587444" w:rsidRPr="00587444" w:rsidRDefault="00587444" w:rsidP="00587932">
      <w:pPr>
        <w:autoSpaceDN/>
        <w:jc w:val="both"/>
        <w:rPr>
          <w:rFonts w:ascii="Arial" w:hAnsi="Arial" w:cs="Arial"/>
          <w:bCs/>
          <w:sz w:val="20"/>
          <w:szCs w:val="20"/>
        </w:rPr>
      </w:pPr>
    </w:p>
    <w:p w14:paraId="48674817" w14:textId="77777777" w:rsidR="00587444" w:rsidRPr="00587444" w:rsidRDefault="00587444" w:rsidP="00587932">
      <w:pPr>
        <w:autoSpaceDN/>
        <w:jc w:val="both"/>
        <w:rPr>
          <w:rFonts w:ascii="Arial" w:hAnsi="Arial" w:cs="Arial"/>
          <w:bCs/>
          <w:sz w:val="20"/>
          <w:szCs w:val="20"/>
        </w:rPr>
      </w:pPr>
      <w:r w:rsidRPr="00587444">
        <w:rPr>
          <w:rFonts w:ascii="Arial" w:hAnsi="Arial" w:cs="Arial"/>
          <w:bCs/>
          <w:sz w:val="20"/>
          <w:szCs w:val="20"/>
        </w:rPr>
        <w:t>At initial recognition, expected credit losses are stated as impairment loss that occurred at initial recognition in the statement of financial position. At the same time, in the statement on profit or loss, only impairment losses arisen at initial recognition are recognized, if these are issued POCI assets or POCI assets that arose after significant modification.</w:t>
      </w:r>
    </w:p>
    <w:p w14:paraId="3D457A30" w14:textId="77777777" w:rsidR="00587444" w:rsidRPr="00587444" w:rsidRDefault="00587444" w:rsidP="00587932">
      <w:pPr>
        <w:autoSpaceDN/>
        <w:jc w:val="both"/>
        <w:rPr>
          <w:rFonts w:ascii="Arial" w:hAnsi="Arial" w:cs="Arial"/>
          <w:bCs/>
          <w:sz w:val="20"/>
          <w:szCs w:val="20"/>
        </w:rPr>
      </w:pPr>
    </w:p>
    <w:p w14:paraId="2D6D697E" w14:textId="77777777" w:rsidR="00587444" w:rsidRPr="00587444" w:rsidRDefault="00587444" w:rsidP="00587932">
      <w:pPr>
        <w:autoSpaceDN/>
        <w:jc w:val="both"/>
        <w:rPr>
          <w:rFonts w:ascii="Arial" w:hAnsi="Arial" w:cs="Arial"/>
          <w:bCs/>
          <w:sz w:val="20"/>
          <w:szCs w:val="20"/>
        </w:rPr>
      </w:pPr>
      <w:r w:rsidRPr="00587444">
        <w:rPr>
          <w:rFonts w:ascii="Arial" w:hAnsi="Arial" w:cs="Arial"/>
          <w:bCs/>
          <w:sz w:val="20"/>
          <w:szCs w:val="20"/>
        </w:rPr>
        <w:t xml:space="preserve">Loss allowance is </w:t>
      </w:r>
      <w:proofErr w:type="spellStart"/>
      <w:r w:rsidRPr="00587444">
        <w:rPr>
          <w:rFonts w:ascii="Arial" w:hAnsi="Arial" w:cs="Arial"/>
          <w:bCs/>
          <w:sz w:val="20"/>
          <w:szCs w:val="20"/>
        </w:rPr>
        <w:t>recognised</w:t>
      </w:r>
      <w:proofErr w:type="spellEnd"/>
      <w:r w:rsidRPr="00587444">
        <w:rPr>
          <w:rFonts w:ascii="Arial" w:hAnsi="Arial" w:cs="Arial"/>
          <w:bCs/>
          <w:sz w:val="20"/>
          <w:szCs w:val="20"/>
        </w:rPr>
        <w:t xml:space="preserve"> in the statement on financial position in the amount of cumulative changes in the lifetime expected credit losses arisen after the initial recognition of POCI assets, with simultaneous recognition of profit or loss from impairment in the statement on profit or loss.</w:t>
      </w:r>
    </w:p>
    <w:p w14:paraId="5974C962" w14:textId="77777777" w:rsidR="00587444" w:rsidRPr="00587444" w:rsidRDefault="00587444" w:rsidP="00587932">
      <w:pPr>
        <w:autoSpaceDN/>
        <w:jc w:val="both"/>
        <w:rPr>
          <w:rFonts w:ascii="Arial" w:hAnsi="Arial" w:cs="Arial"/>
          <w:bCs/>
          <w:sz w:val="20"/>
          <w:szCs w:val="20"/>
        </w:rPr>
      </w:pPr>
    </w:p>
    <w:p w14:paraId="705EA0CC" w14:textId="77777777" w:rsidR="00587444" w:rsidRPr="00587444" w:rsidRDefault="00587444" w:rsidP="00587932">
      <w:pPr>
        <w:autoSpaceDN/>
        <w:jc w:val="both"/>
        <w:rPr>
          <w:rFonts w:ascii="Arial" w:hAnsi="Arial" w:cs="Arial"/>
          <w:bCs/>
          <w:sz w:val="20"/>
          <w:szCs w:val="20"/>
        </w:rPr>
      </w:pPr>
      <w:r w:rsidRPr="00587444">
        <w:rPr>
          <w:rFonts w:ascii="Arial" w:hAnsi="Arial" w:cs="Arial"/>
          <w:bCs/>
          <w:sz w:val="20"/>
          <w:szCs w:val="20"/>
        </w:rPr>
        <w:t xml:space="preserve">The decrease in the lifetime expected credit losses in relation to the amount of expected credit losses at initial recognition, is </w:t>
      </w:r>
      <w:proofErr w:type="spellStart"/>
      <w:r w:rsidRPr="00587444">
        <w:rPr>
          <w:rFonts w:ascii="Arial" w:hAnsi="Arial" w:cs="Arial"/>
          <w:bCs/>
          <w:sz w:val="20"/>
          <w:szCs w:val="20"/>
        </w:rPr>
        <w:t>recognised</w:t>
      </w:r>
      <w:proofErr w:type="spellEnd"/>
      <w:r w:rsidRPr="00587444">
        <w:rPr>
          <w:rFonts w:ascii="Arial" w:hAnsi="Arial" w:cs="Arial"/>
          <w:bCs/>
          <w:sz w:val="20"/>
          <w:szCs w:val="20"/>
        </w:rPr>
        <w:t xml:space="preserve"> as a negative amount of loss allowance, with simultaneous recognition of profit from impairment in the statement on profit or loss.</w:t>
      </w:r>
    </w:p>
    <w:p w14:paraId="794B9709" w14:textId="77777777" w:rsidR="00587444" w:rsidRPr="00587444" w:rsidRDefault="00587444" w:rsidP="00587932">
      <w:pPr>
        <w:autoSpaceDN/>
        <w:jc w:val="both"/>
        <w:rPr>
          <w:rFonts w:ascii="Arial" w:hAnsi="Arial" w:cs="Arial"/>
          <w:bCs/>
          <w:sz w:val="20"/>
          <w:szCs w:val="20"/>
        </w:rPr>
      </w:pPr>
    </w:p>
    <w:p w14:paraId="63EE27E2" w14:textId="77777777" w:rsidR="00587444" w:rsidRPr="00587444" w:rsidRDefault="00587444" w:rsidP="00587932">
      <w:pPr>
        <w:autoSpaceDN/>
        <w:jc w:val="both"/>
        <w:rPr>
          <w:rFonts w:ascii="Arial" w:hAnsi="Arial" w:cs="Arial"/>
          <w:bCs/>
          <w:sz w:val="20"/>
          <w:szCs w:val="20"/>
        </w:rPr>
      </w:pPr>
      <w:r w:rsidRPr="00587444">
        <w:rPr>
          <w:rFonts w:ascii="Arial" w:hAnsi="Arial" w:cs="Arial"/>
          <w:bCs/>
          <w:sz w:val="20"/>
          <w:szCs w:val="20"/>
        </w:rPr>
        <w:t xml:space="preserve">Financial assets </w:t>
      </w:r>
      <w:proofErr w:type="spellStart"/>
      <w:r w:rsidRPr="00587444">
        <w:rPr>
          <w:rFonts w:ascii="Arial" w:hAnsi="Arial" w:cs="Arial"/>
          <w:bCs/>
          <w:sz w:val="20"/>
          <w:szCs w:val="20"/>
        </w:rPr>
        <w:t>recognised</w:t>
      </w:r>
      <w:proofErr w:type="spellEnd"/>
      <w:r w:rsidRPr="00587444">
        <w:rPr>
          <w:rFonts w:ascii="Arial" w:hAnsi="Arial" w:cs="Arial"/>
          <w:bCs/>
          <w:sz w:val="20"/>
          <w:szCs w:val="20"/>
        </w:rPr>
        <w:t xml:space="preserve"> as POCI assets remain allocated to Stage 3 until derecognition.</w:t>
      </w:r>
    </w:p>
    <w:p w14:paraId="427CED6E" w14:textId="77777777" w:rsidR="00587444" w:rsidRPr="00587444" w:rsidRDefault="00587444" w:rsidP="00587932">
      <w:pPr>
        <w:autoSpaceDN/>
        <w:jc w:val="both"/>
        <w:rPr>
          <w:rFonts w:ascii="Arial" w:eastAsia="Calibri" w:hAnsi="Arial" w:cs="Arial"/>
          <w:bCs/>
          <w:sz w:val="20"/>
          <w:szCs w:val="20"/>
          <w:lang w:val="en-GB"/>
        </w:rPr>
      </w:pPr>
    </w:p>
    <w:p w14:paraId="4DAD771E" w14:textId="77777777" w:rsidR="00587444" w:rsidRPr="00587444" w:rsidRDefault="00587444" w:rsidP="00587932">
      <w:pPr>
        <w:autoSpaceDN/>
        <w:jc w:val="both"/>
        <w:rPr>
          <w:rFonts w:ascii="Arial" w:eastAsia="Calibri" w:hAnsi="Arial" w:cs="Arial"/>
          <w:b/>
          <w:i/>
          <w:sz w:val="20"/>
          <w:szCs w:val="20"/>
          <w:lang w:val="en-GB"/>
        </w:rPr>
      </w:pPr>
      <w:r w:rsidRPr="00587444">
        <w:rPr>
          <w:rFonts w:ascii="Arial" w:eastAsia="Calibri" w:hAnsi="Arial" w:cs="Arial"/>
          <w:b/>
          <w:i/>
          <w:sz w:val="20"/>
          <w:szCs w:val="20"/>
          <w:lang w:val="en-GB"/>
        </w:rPr>
        <w:t>viii. Fair value measurement</w:t>
      </w:r>
    </w:p>
    <w:p w14:paraId="12BF91CB" w14:textId="77777777" w:rsidR="00587444" w:rsidRPr="00587444" w:rsidRDefault="00587444" w:rsidP="00587932">
      <w:pPr>
        <w:autoSpaceDN/>
        <w:jc w:val="both"/>
        <w:rPr>
          <w:rFonts w:ascii="Arial" w:eastAsia="Calibri" w:hAnsi="Arial" w:cs="Arial"/>
          <w:bCs/>
          <w:sz w:val="20"/>
          <w:szCs w:val="20"/>
          <w:lang w:val="en-GB"/>
        </w:rPr>
      </w:pPr>
    </w:p>
    <w:p w14:paraId="5A48CEB1" w14:textId="77777777" w:rsidR="00587444" w:rsidRPr="00587444" w:rsidRDefault="00587444" w:rsidP="00587932">
      <w:pPr>
        <w:autoSpaceDN/>
        <w:jc w:val="both"/>
        <w:rPr>
          <w:rFonts w:ascii="Arial" w:eastAsia="Calibri" w:hAnsi="Arial" w:cs="Arial"/>
          <w:bCs/>
          <w:sz w:val="20"/>
          <w:szCs w:val="20"/>
          <w:lang w:val="en-GB"/>
        </w:rPr>
      </w:pPr>
      <w:r w:rsidRPr="00587444">
        <w:rPr>
          <w:rFonts w:ascii="Arial" w:eastAsia="Calibri" w:hAnsi="Arial" w:cs="Arial"/>
          <w:bCs/>
          <w:sz w:val="20"/>
          <w:szCs w:val="20"/>
          <w:lang w:val="en-GB"/>
        </w:rPr>
        <w:t>Fair value represents the price that would be received to sell an asset or paid to transfer a liability in an orderly transaction at the measurement date in the principal or the most advantageous market under current market conditions.</w:t>
      </w:r>
    </w:p>
    <w:p w14:paraId="362E541D" w14:textId="77777777" w:rsidR="00587444" w:rsidRPr="00587444" w:rsidRDefault="00587444" w:rsidP="00587932">
      <w:pPr>
        <w:autoSpaceDN/>
        <w:jc w:val="both"/>
        <w:rPr>
          <w:rFonts w:ascii="Arial" w:eastAsia="Calibri" w:hAnsi="Arial" w:cs="Arial"/>
          <w:bCs/>
          <w:sz w:val="20"/>
          <w:szCs w:val="20"/>
          <w:lang w:val="en-GB"/>
        </w:rPr>
      </w:pPr>
    </w:p>
    <w:p w14:paraId="2A5DA105" w14:textId="77777777" w:rsidR="00587444" w:rsidRPr="00587444" w:rsidRDefault="00587444" w:rsidP="00587932">
      <w:pPr>
        <w:autoSpaceDN/>
        <w:jc w:val="both"/>
        <w:rPr>
          <w:rFonts w:ascii="Arial" w:eastAsia="Calibri" w:hAnsi="Arial" w:cs="Arial"/>
          <w:bCs/>
          <w:sz w:val="20"/>
          <w:szCs w:val="20"/>
          <w:lang w:val="en-GB"/>
        </w:rPr>
      </w:pPr>
      <w:r w:rsidRPr="00587444">
        <w:rPr>
          <w:rFonts w:ascii="Arial" w:eastAsia="Calibri" w:hAnsi="Arial" w:cs="Arial"/>
          <w:bCs/>
          <w:sz w:val="20"/>
          <w:szCs w:val="20"/>
          <w:lang w:val="en-GB"/>
        </w:rPr>
        <w:t>Basic price is an exit price, regardless of whether that price is directly observable or estimated using another valuation technique.</w:t>
      </w:r>
    </w:p>
    <w:p w14:paraId="64F71767" w14:textId="77777777" w:rsidR="00587444" w:rsidRPr="00587444" w:rsidRDefault="00587444" w:rsidP="00587932">
      <w:pPr>
        <w:autoSpaceDN/>
        <w:jc w:val="both"/>
        <w:rPr>
          <w:rFonts w:ascii="Arial" w:eastAsia="Calibri" w:hAnsi="Arial" w:cs="Arial"/>
          <w:b/>
          <w:i/>
          <w:sz w:val="20"/>
          <w:szCs w:val="20"/>
          <w:lang w:val="en-GB"/>
        </w:rPr>
      </w:pPr>
    </w:p>
    <w:p w14:paraId="7649BB68" w14:textId="77777777"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sz w:val="20"/>
          <w:szCs w:val="20"/>
          <w:lang w:val="en-GB"/>
        </w:rPr>
        <w:t xml:space="preserve">At initial recognition, when an asset is acquired or a liability is assumed in an exchange transaction for that asset or liability, the transaction price is the price paid to acquire the asset or received to assume the liability (an entry price). </w:t>
      </w:r>
    </w:p>
    <w:p w14:paraId="05A781B1" w14:textId="77777777" w:rsidR="00587444" w:rsidRPr="00587444" w:rsidRDefault="00587444" w:rsidP="00587932">
      <w:pPr>
        <w:autoSpaceDN/>
        <w:jc w:val="both"/>
        <w:rPr>
          <w:rFonts w:ascii="Arial" w:eastAsia="Calibri" w:hAnsi="Arial" w:cs="Arial"/>
          <w:sz w:val="20"/>
          <w:szCs w:val="20"/>
          <w:lang w:val="en-GB"/>
        </w:rPr>
      </w:pPr>
    </w:p>
    <w:p w14:paraId="06270EFD" w14:textId="77777777"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sz w:val="20"/>
          <w:szCs w:val="20"/>
          <w:lang w:val="en-GB"/>
        </w:rPr>
        <w:t>The fair value of the asset or liability is the price that would be received to sell the asset or paid to transfer the liability (an exit price).</w:t>
      </w:r>
    </w:p>
    <w:p w14:paraId="2376AF6B" w14:textId="77777777" w:rsidR="00587444" w:rsidRPr="00587444" w:rsidRDefault="00587444" w:rsidP="00587932">
      <w:pPr>
        <w:autoSpaceDN/>
        <w:jc w:val="both"/>
        <w:rPr>
          <w:rFonts w:ascii="Arial" w:eastAsia="Calibri" w:hAnsi="Arial" w:cs="Arial"/>
          <w:sz w:val="20"/>
          <w:szCs w:val="20"/>
          <w:lang w:val="en-GB"/>
        </w:rPr>
      </w:pPr>
    </w:p>
    <w:p w14:paraId="1B34557E" w14:textId="77777777"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sz w:val="20"/>
          <w:szCs w:val="20"/>
          <w:lang w:val="en-GB"/>
        </w:rPr>
        <w:t>If another IFRS requires or permits an entity to measure an asset or a liability initially at fair value and the transaction price differs from fair value, the Group shall recognize the resulting gain or loss in profit or loss unless that IFRS specifies otherwise.</w:t>
      </w:r>
    </w:p>
    <w:p w14:paraId="41C09066" w14:textId="77777777" w:rsidR="00587444" w:rsidRPr="00587444" w:rsidRDefault="00587444" w:rsidP="00587932">
      <w:pPr>
        <w:autoSpaceDN/>
        <w:jc w:val="both"/>
        <w:rPr>
          <w:rFonts w:ascii="Arial" w:eastAsia="Calibri" w:hAnsi="Arial" w:cs="Arial"/>
          <w:bCs/>
          <w:sz w:val="20"/>
          <w:szCs w:val="20"/>
          <w:lang w:val="en-GB"/>
        </w:rPr>
      </w:pPr>
    </w:p>
    <w:p w14:paraId="137079CA" w14:textId="77777777" w:rsidR="00587444" w:rsidRPr="00587444" w:rsidRDefault="00587444" w:rsidP="00587932">
      <w:pPr>
        <w:autoSpaceDN/>
        <w:jc w:val="both"/>
        <w:rPr>
          <w:rFonts w:ascii="Arial" w:eastAsia="Calibri" w:hAnsi="Arial" w:cs="Arial"/>
          <w:bCs/>
          <w:sz w:val="20"/>
          <w:szCs w:val="20"/>
          <w:lang w:val="en-GB"/>
        </w:rPr>
      </w:pPr>
      <w:r w:rsidRPr="00587444">
        <w:rPr>
          <w:rFonts w:ascii="Arial" w:eastAsia="Calibri" w:hAnsi="Arial" w:cs="Arial"/>
          <w:bCs/>
          <w:sz w:val="20"/>
          <w:szCs w:val="20"/>
          <w:lang w:val="en-GB"/>
        </w:rPr>
        <w:t xml:space="preserve">For measuring fair </w:t>
      </w:r>
      <w:proofErr w:type="gramStart"/>
      <w:r w:rsidRPr="00587444">
        <w:rPr>
          <w:rFonts w:ascii="Arial" w:eastAsia="Calibri" w:hAnsi="Arial" w:cs="Arial"/>
          <w:bCs/>
          <w:sz w:val="20"/>
          <w:szCs w:val="20"/>
          <w:lang w:val="en-GB"/>
        </w:rPr>
        <w:t>value</w:t>
      </w:r>
      <w:proofErr w:type="gramEnd"/>
      <w:r w:rsidRPr="00587444">
        <w:rPr>
          <w:rFonts w:ascii="Arial" w:eastAsia="Calibri" w:hAnsi="Arial" w:cs="Arial"/>
          <w:bCs/>
          <w:sz w:val="20"/>
          <w:szCs w:val="20"/>
          <w:lang w:val="en-GB"/>
        </w:rPr>
        <w:t xml:space="preserve"> the Group is maximising the use of relevant observable inputs and minimising the use of unobservable inputs.</w:t>
      </w:r>
    </w:p>
    <w:p w14:paraId="5CFD00F7" w14:textId="77777777" w:rsidR="00587444" w:rsidRPr="00587444" w:rsidRDefault="00587444" w:rsidP="00587932">
      <w:pPr>
        <w:autoSpaceDN/>
        <w:jc w:val="both"/>
        <w:rPr>
          <w:rFonts w:ascii="Arial" w:eastAsia="Calibri" w:hAnsi="Arial" w:cs="Arial"/>
          <w:bCs/>
          <w:sz w:val="20"/>
          <w:szCs w:val="20"/>
          <w:lang w:val="en-GB"/>
        </w:rPr>
      </w:pPr>
    </w:p>
    <w:p w14:paraId="711AE19D" w14:textId="77777777"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bCs/>
          <w:sz w:val="20"/>
          <w:szCs w:val="20"/>
          <w:lang w:val="en-GB"/>
        </w:rPr>
        <w:t xml:space="preserve">The Group selects inputs that are consistent with the characteristics of the asset or liability that market participants would </w:t>
      </w:r>
      <w:proofErr w:type="gramStart"/>
      <w:r w:rsidRPr="00587444">
        <w:rPr>
          <w:rFonts w:ascii="Arial" w:eastAsia="Calibri" w:hAnsi="Arial" w:cs="Arial"/>
          <w:bCs/>
          <w:sz w:val="20"/>
          <w:szCs w:val="20"/>
          <w:lang w:val="en-GB"/>
        </w:rPr>
        <w:t>take into account</w:t>
      </w:r>
      <w:proofErr w:type="gramEnd"/>
      <w:r w:rsidRPr="00587444">
        <w:rPr>
          <w:rFonts w:ascii="Arial" w:eastAsia="Calibri" w:hAnsi="Arial" w:cs="Arial"/>
          <w:bCs/>
          <w:sz w:val="20"/>
          <w:szCs w:val="20"/>
          <w:lang w:val="en-GB"/>
        </w:rPr>
        <w:t xml:space="preserve"> in a transaction for the asset or liability</w:t>
      </w:r>
      <w:r w:rsidRPr="00587444">
        <w:rPr>
          <w:rFonts w:ascii="Arial" w:eastAsia="Calibri" w:hAnsi="Arial" w:cs="Arial"/>
          <w:sz w:val="20"/>
          <w:szCs w:val="20"/>
          <w:lang w:val="en-GB"/>
        </w:rPr>
        <w:t>.</w:t>
      </w:r>
    </w:p>
    <w:p w14:paraId="2F4E34BB" w14:textId="77777777" w:rsidR="00587444" w:rsidRPr="00587444" w:rsidRDefault="00587444" w:rsidP="00587444">
      <w:pPr>
        <w:suppressAutoHyphens w:val="0"/>
        <w:autoSpaceDN/>
        <w:jc w:val="both"/>
        <w:rPr>
          <w:rFonts w:ascii="Arial" w:eastAsia="Calibri" w:hAnsi="Arial" w:cs="Arial"/>
          <w:sz w:val="20"/>
          <w:szCs w:val="20"/>
          <w:lang w:val="en-GB"/>
        </w:rPr>
      </w:pPr>
    </w:p>
    <w:p w14:paraId="6649A49A" w14:textId="77777777" w:rsidR="00587444" w:rsidRPr="00587444" w:rsidRDefault="00587444" w:rsidP="00587444">
      <w:pPr>
        <w:suppressAutoHyphens w:val="0"/>
        <w:autoSpaceDN/>
        <w:jc w:val="both"/>
        <w:rPr>
          <w:rFonts w:ascii="Arial" w:eastAsia="Calibri" w:hAnsi="Arial" w:cs="Arial"/>
          <w:sz w:val="20"/>
          <w:szCs w:val="20"/>
          <w:lang w:val="en-GB"/>
        </w:rPr>
        <w:sectPr w:rsidR="00587444" w:rsidRPr="00587444" w:rsidSect="00DD69E7">
          <w:pgSz w:w="11907" w:h="16840" w:code="9"/>
          <w:pgMar w:top="1418" w:right="1134" w:bottom="1134" w:left="1418" w:header="851" w:footer="851" w:gutter="0"/>
          <w:cols w:space="720"/>
          <w:noEndnote/>
        </w:sectPr>
      </w:pPr>
    </w:p>
    <w:p w14:paraId="323C8A67" w14:textId="77777777" w:rsidR="00587444" w:rsidRPr="00587444" w:rsidRDefault="00587444" w:rsidP="00587444">
      <w:pPr>
        <w:suppressAutoHyphens w:val="0"/>
        <w:autoSpaceDN/>
        <w:jc w:val="both"/>
        <w:rPr>
          <w:rFonts w:ascii="Arial" w:eastAsia="Calibri" w:hAnsi="Arial" w:cs="Arial"/>
          <w:sz w:val="20"/>
          <w:szCs w:val="20"/>
          <w:lang w:val="en-GB"/>
        </w:rPr>
      </w:pPr>
    </w:p>
    <w:p w14:paraId="57965ED1"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3EC06A1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6B3D3D7"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6BD2E23A" w14:textId="77777777" w:rsidR="00587444" w:rsidRPr="00587444" w:rsidRDefault="00587444" w:rsidP="00587444">
      <w:pPr>
        <w:suppressAutoHyphens w:val="0"/>
        <w:autoSpaceDN/>
        <w:jc w:val="both"/>
        <w:rPr>
          <w:rFonts w:ascii="Arial" w:hAnsi="Arial" w:cs="Arial"/>
          <w:b/>
          <w:sz w:val="20"/>
          <w:szCs w:val="20"/>
        </w:rPr>
      </w:pPr>
    </w:p>
    <w:p w14:paraId="143DC67B"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20F41675" w14:textId="77777777" w:rsidR="00587444" w:rsidRPr="00587444" w:rsidRDefault="00587444" w:rsidP="00587444">
      <w:pPr>
        <w:tabs>
          <w:tab w:val="left" w:pos="426"/>
        </w:tabs>
        <w:suppressAutoHyphens w:val="0"/>
        <w:autoSpaceDN/>
        <w:jc w:val="both"/>
        <w:rPr>
          <w:rFonts w:ascii="Arial" w:eastAsia="PMingLiU" w:hAnsi="Arial" w:cs="Arial"/>
          <w:sz w:val="20"/>
          <w:szCs w:val="20"/>
          <w:lang w:eastAsia="hr-HR" w:bidi="hr-HR"/>
        </w:rPr>
      </w:pPr>
    </w:p>
    <w:p w14:paraId="4F0E3BB4" w14:textId="77777777" w:rsidR="00587444" w:rsidRPr="00587444" w:rsidRDefault="00587444" w:rsidP="00587444">
      <w:pPr>
        <w:suppressAutoHyphens w:val="0"/>
        <w:autoSpaceDN/>
        <w:jc w:val="both"/>
        <w:rPr>
          <w:rFonts w:ascii="Arial" w:eastAsia="Calibri" w:hAnsi="Arial" w:cs="Arial"/>
          <w:b/>
          <w:i/>
          <w:sz w:val="20"/>
          <w:szCs w:val="20"/>
          <w:lang w:val="en-GB"/>
        </w:rPr>
      </w:pPr>
      <w:r w:rsidRPr="00587444">
        <w:rPr>
          <w:rFonts w:ascii="Arial" w:eastAsia="Calibri" w:hAnsi="Arial" w:cs="Arial"/>
          <w:b/>
          <w:i/>
          <w:sz w:val="20"/>
          <w:szCs w:val="20"/>
          <w:lang w:val="en-GB"/>
        </w:rPr>
        <w:t>viii. Fair value measurement (continued)</w:t>
      </w:r>
    </w:p>
    <w:p w14:paraId="701540E1"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7A66E56E" w14:textId="77777777"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sz w:val="20"/>
          <w:szCs w:val="20"/>
          <w:lang w:val="en-GB"/>
        </w:rPr>
        <w:t>If an asset or a liability measured at fair value has a bid price and an ask price (</w:t>
      </w:r>
      <w:proofErr w:type="gramStart"/>
      <w:r w:rsidRPr="00587444">
        <w:rPr>
          <w:rFonts w:ascii="Arial" w:eastAsia="Calibri" w:hAnsi="Arial" w:cs="Arial"/>
          <w:sz w:val="20"/>
          <w:szCs w:val="20"/>
          <w:lang w:val="en-GB"/>
        </w:rPr>
        <w:t>e.g.</w:t>
      </w:r>
      <w:proofErr w:type="gramEnd"/>
      <w:r w:rsidRPr="00587444">
        <w:rPr>
          <w:rFonts w:ascii="Arial" w:eastAsia="Calibri" w:hAnsi="Arial" w:cs="Arial"/>
          <w:sz w:val="20"/>
          <w:szCs w:val="20"/>
          <w:lang w:val="en-GB"/>
        </w:rPr>
        <w:t xml:space="preserve"> an input from a dealer market), the Group uses the price within the bid-ask spread as the most representative of fair value.</w:t>
      </w:r>
    </w:p>
    <w:p w14:paraId="587CAA2A" w14:textId="77777777" w:rsidR="00587444" w:rsidRPr="00587444" w:rsidRDefault="00587444" w:rsidP="00587932">
      <w:pPr>
        <w:autoSpaceDN/>
        <w:jc w:val="both"/>
        <w:rPr>
          <w:rFonts w:ascii="Arial" w:eastAsia="Calibri" w:hAnsi="Arial" w:cs="Arial"/>
          <w:sz w:val="20"/>
          <w:szCs w:val="20"/>
          <w:lang w:val="en-GB"/>
        </w:rPr>
      </w:pPr>
    </w:p>
    <w:p w14:paraId="4198FB2E" w14:textId="77777777"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sz w:val="20"/>
          <w:szCs w:val="20"/>
          <w:lang w:val="en-GB"/>
        </w:rPr>
        <w:t>Pursuant to aforesaid, the carrying amounts of cash and balances with the Croatian National Bank approximately present their fair values.</w:t>
      </w:r>
    </w:p>
    <w:p w14:paraId="24E8D919" w14:textId="77777777" w:rsidR="00587444" w:rsidRPr="00587444" w:rsidRDefault="00587444" w:rsidP="00587932">
      <w:pPr>
        <w:autoSpaceDN/>
        <w:jc w:val="both"/>
        <w:rPr>
          <w:rFonts w:ascii="Arial" w:eastAsia="Calibri" w:hAnsi="Arial" w:cs="Arial"/>
          <w:sz w:val="20"/>
          <w:szCs w:val="20"/>
          <w:lang w:val="en-GB"/>
        </w:rPr>
      </w:pPr>
    </w:p>
    <w:p w14:paraId="13DD4F34" w14:textId="77777777"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sz w:val="20"/>
          <w:szCs w:val="20"/>
          <w:lang w:val="en-GB"/>
        </w:rPr>
        <w:t>The estimated fair value of deposits approximates their carrying amounts since all deposits mature up to 90 days.</w:t>
      </w:r>
    </w:p>
    <w:p w14:paraId="2C343D6E" w14:textId="77777777" w:rsidR="00587444" w:rsidRPr="00587444" w:rsidRDefault="00587444" w:rsidP="00587932">
      <w:pPr>
        <w:autoSpaceDN/>
        <w:jc w:val="both"/>
        <w:rPr>
          <w:rFonts w:ascii="Arial" w:eastAsia="Calibri" w:hAnsi="Arial" w:cs="Arial"/>
          <w:bCs/>
          <w:sz w:val="20"/>
          <w:szCs w:val="20"/>
          <w:lang w:val="en-GB"/>
        </w:rPr>
      </w:pPr>
    </w:p>
    <w:p w14:paraId="6B257FFF" w14:textId="77777777" w:rsidR="00587444" w:rsidRPr="00587444" w:rsidRDefault="00587444" w:rsidP="00587932">
      <w:pPr>
        <w:autoSpaceDN/>
        <w:jc w:val="both"/>
        <w:rPr>
          <w:rFonts w:ascii="Arial" w:eastAsia="PMingLiU" w:hAnsi="Arial" w:cs="Arial"/>
          <w:sz w:val="20"/>
          <w:szCs w:val="20"/>
          <w:lang w:eastAsia="hr-HR" w:bidi="hr-HR"/>
        </w:rPr>
      </w:pPr>
      <w:r w:rsidRPr="00587444">
        <w:rPr>
          <w:rFonts w:ascii="Arial" w:eastAsia="Calibri" w:hAnsi="Arial" w:cs="Arial"/>
          <w:bCs/>
          <w:sz w:val="20"/>
          <w:szCs w:val="20"/>
          <w:lang w:val="en-GB"/>
        </w:rPr>
        <w:t xml:space="preserve">Loans and advances to banks and other customers are presented net of provisions for impairment. The estimated fair value of loans and advances represents the discounted amount of estimated future cash flows expected to be received. The </w:t>
      </w:r>
      <w:proofErr w:type="gramStart"/>
      <w:r w:rsidRPr="00587444">
        <w:rPr>
          <w:rFonts w:ascii="Arial" w:eastAsia="Calibri" w:hAnsi="Arial" w:cs="Arial"/>
          <w:bCs/>
          <w:sz w:val="20"/>
          <w:szCs w:val="20"/>
          <w:lang w:val="en-GB"/>
        </w:rPr>
        <w:t>interests</w:t>
      </w:r>
      <w:proofErr w:type="gramEnd"/>
      <w:r w:rsidRPr="00587444">
        <w:rPr>
          <w:rFonts w:ascii="Arial" w:eastAsia="Calibri" w:hAnsi="Arial" w:cs="Arial"/>
          <w:bCs/>
          <w:sz w:val="20"/>
          <w:szCs w:val="20"/>
          <w:lang w:val="en-GB"/>
        </w:rPr>
        <w:t xml:space="preserve"> subsidies that are recognized as deferred income in discounted amounts are presented within other liabilities are taken into account in estimating fair value. The fair value of HRK loans with one-way currency clause is assessed as described under the “Foreign currency transactions and foreign currency clause” paragraph.</w:t>
      </w:r>
    </w:p>
    <w:p w14:paraId="18AC4E14" w14:textId="77777777" w:rsidR="00587444" w:rsidRPr="00587444" w:rsidRDefault="00587444" w:rsidP="00587932">
      <w:pPr>
        <w:autoSpaceDN/>
        <w:jc w:val="both"/>
        <w:rPr>
          <w:rFonts w:ascii="Arial" w:eastAsia="Calibri" w:hAnsi="Arial" w:cs="Arial"/>
          <w:b/>
          <w:i/>
          <w:sz w:val="20"/>
          <w:szCs w:val="20"/>
          <w:lang w:val="en-GB"/>
        </w:rPr>
      </w:pPr>
    </w:p>
    <w:p w14:paraId="253C133C" w14:textId="77777777"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sz w:val="20"/>
          <w:szCs w:val="20"/>
          <w:lang w:val="en-GB"/>
        </w:rPr>
        <w:t xml:space="preserve">The Bank’s long-term borrowings have no quoted market price, and their fair value is estimated as the present value of future cash flows, discounted at interest rates in effect at the reporting date for new borrowings of a similar nature and with a similar remaining maturity. </w:t>
      </w:r>
    </w:p>
    <w:p w14:paraId="0CBAA098" w14:textId="77777777" w:rsidR="00587444" w:rsidRPr="00587444" w:rsidRDefault="00587444" w:rsidP="00587932">
      <w:pPr>
        <w:autoSpaceDN/>
        <w:jc w:val="both"/>
        <w:rPr>
          <w:rFonts w:ascii="Arial" w:eastAsia="Calibri" w:hAnsi="Arial" w:cs="Arial"/>
          <w:sz w:val="20"/>
          <w:szCs w:val="20"/>
          <w:lang w:val="en-GB"/>
        </w:rPr>
      </w:pPr>
    </w:p>
    <w:p w14:paraId="6EAF98BE" w14:textId="77777777"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sz w:val="20"/>
          <w:szCs w:val="20"/>
          <w:lang w:val="en-GB"/>
        </w:rPr>
        <w:t xml:space="preserve">The fair value of bonds issued by HBOR is presented by using level 2 inputs that are observable at Bloomberg service </w:t>
      </w:r>
      <w:proofErr w:type="gramStart"/>
      <w:r w:rsidRPr="00587444">
        <w:rPr>
          <w:rFonts w:ascii="Arial" w:eastAsia="Calibri" w:hAnsi="Arial" w:cs="Arial"/>
          <w:sz w:val="20"/>
          <w:szCs w:val="20"/>
          <w:lang w:val="en-GB"/>
        </w:rPr>
        <w:t>on the basis of</w:t>
      </w:r>
      <w:proofErr w:type="gramEnd"/>
      <w:r w:rsidRPr="00587444">
        <w:rPr>
          <w:rFonts w:ascii="Arial" w:eastAsia="Calibri" w:hAnsi="Arial" w:cs="Arial"/>
          <w:sz w:val="20"/>
          <w:szCs w:val="20"/>
          <w:lang w:val="en-GB"/>
        </w:rPr>
        <w:t xml:space="preserve"> mid-rate of Bloomberg Generic (BGN) prices.</w:t>
      </w:r>
    </w:p>
    <w:p w14:paraId="6183B3B2" w14:textId="77777777" w:rsidR="00587444" w:rsidRPr="00587444" w:rsidRDefault="00587444" w:rsidP="00587932">
      <w:pPr>
        <w:autoSpaceDN/>
        <w:jc w:val="both"/>
        <w:rPr>
          <w:rFonts w:ascii="Arial" w:hAnsi="Arial" w:cs="Arial"/>
          <w:sz w:val="20"/>
          <w:szCs w:val="20"/>
        </w:rPr>
      </w:pPr>
    </w:p>
    <w:p w14:paraId="1491AB7A"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BGN or Bloomberg Generic price is the simple average price that includes indicative prices and executable prices. The mid-rate is the average between the quoted “ask” price and the “bid” price.</w:t>
      </w:r>
    </w:p>
    <w:p w14:paraId="336C2BCE" w14:textId="77777777" w:rsidR="00587444" w:rsidRPr="00587444" w:rsidRDefault="00587444" w:rsidP="00587932">
      <w:pPr>
        <w:autoSpaceDN/>
        <w:jc w:val="both"/>
        <w:rPr>
          <w:rFonts w:ascii="Arial" w:eastAsia="Calibri" w:hAnsi="Arial" w:cs="Arial"/>
          <w:sz w:val="20"/>
          <w:szCs w:val="20"/>
          <w:lang w:val="en-GB"/>
        </w:rPr>
      </w:pPr>
    </w:p>
    <w:p w14:paraId="57D9586C" w14:textId="77777777" w:rsidR="00587444" w:rsidRPr="00587444" w:rsidRDefault="00587444" w:rsidP="00587932">
      <w:pPr>
        <w:autoSpaceDN/>
        <w:jc w:val="both"/>
        <w:rPr>
          <w:rFonts w:ascii="Arial" w:eastAsia="Calibri" w:hAnsi="Arial" w:cs="Arial"/>
          <w:bCs/>
          <w:sz w:val="20"/>
          <w:szCs w:val="20"/>
          <w:lang w:val="en-GB"/>
        </w:rPr>
      </w:pPr>
      <w:r w:rsidRPr="00587444">
        <w:rPr>
          <w:rFonts w:ascii="Arial" w:eastAsia="Calibri" w:hAnsi="Arial" w:cs="Arial"/>
          <w:sz w:val="20"/>
          <w:szCs w:val="20"/>
          <w:lang w:val="en-GB"/>
        </w:rPr>
        <w:t xml:space="preserve">The Group takes care of the fair value hierarchy presentation that comprises of three levels of inputs to valuation techniques used to measure fair value as follows: </w:t>
      </w:r>
    </w:p>
    <w:p w14:paraId="4822183A" w14:textId="77777777" w:rsidR="00587444" w:rsidRPr="00587444" w:rsidRDefault="00587444" w:rsidP="00587932">
      <w:pPr>
        <w:autoSpaceDN/>
        <w:jc w:val="both"/>
        <w:rPr>
          <w:rFonts w:ascii="Arial" w:eastAsia="Calibri" w:hAnsi="Arial" w:cs="Arial"/>
          <w:sz w:val="20"/>
          <w:szCs w:val="20"/>
          <w:lang w:val="en-GB"/>
        </w:rPr>
      </w:pP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586"/>
        <w:gridCol w:w="2504"/>
        <w:gridCol w:w="2457"/>
      </w:tblGrid>
      <w:tr w:rsidR="00587444" w:rsidRPr="00587444" w14:paraId="0EF9A9B0" w14:textId="77777777" w:rsidTr="00DD69E7">
        <w:trPr>
          <w:trHeight w:val="389"/>
          <w:jc w:val="center"/>
        </w:trPr>
        <w:tc>
          <w:tcPr>
            <w:tcW w:w="1615" w:type="dxa"/>
            <w:tcBorders>
              <w:top w:val="nil"/>
              <w:left w:val="nil"/>
            </w:tcBorders>
            <w:shd w:val="clear" w:color="auto" w:fill="auto"/>
          </w:tcPr>
          <w:p w14:paraId="5F083F9C" w14:textId="77777777" w:rsidR="00587444" w:rsidRPr="00587444" w:rsidRDefault="00587444" w:rsidP="00587932">
            <w:pPr>
              <w:autoSpaceDN/>
              <w:jc w:val="both"/>
              <w:rPr>
                <w:rFonts w:ascii="Arial" w:eastAsia="Calibri" w:hAnsi="Arial" w:cs="Arial"/>
                <w:b/>
                <w:bCs/>
                <w:sz w:val="20"/>
                <w:szCs w:val="20"/>
                <w:lang w:val="en-GB"/>
              </w:rPr>
            </w:pPr>
            <w:r w:rsidRPr="00587444">
              <w:rPr>
                <w:rFonts w:ascii="Arial" w:eastAsia="Calibri" w:hAnsi="Arial" w:cs="Arial"/>
                <w:sz w:val="20"/>
                <w:szCs w:val="20"/>
                <w:lang w:val="en-GB"/>
              </w:rPr>
              <w:br w:type="page"/>
            </w:r>
            <w:r w:rsidRPr="00587444">
              <w:rPr>
                <w:rFonts w:ascii="Arial" w:eastAsia="Calibri" w:hAnsi="Arial" w:cs="Arial"/>
                <w:bCs/>
                <w:sz w:val="20"/>
                <w:szCs w:val="20"/>
                <w:lang w:val="en-GB"/>
              </w:rPr>
              <w:br w:type="page"/>
            </w:r>
          </w:p>
        </w:tc>
        <w:tc>
          <w:tcPr>
            <w:tcW w:w="2586" w:type="dxa"/>
            <w:shd w:val="clear" w:color="auto" w:fill="auto"/>
            <w:vAlign w:val="center"/>
          </w:tcPr>
          <w:p w14:paraId="5A7D3C01" w14:textId="77777777" w:rsidR="00587444" w:rsidRPr="00587444" w:rsidRDefault="00587444" w:rsidP="00587932">
            <w:pPr>
              <w:autoSpaceDN/>
              <w:rPr>
                <w:rFonts w:ascii="Arial" w:eastAsia="Calibri" w:hAnsi="Arial" w:cs="Arial"/>
                <w:b/>
                <w:bCs/>
                <w:sz w:val="20"/>
                <w:szCs w:val="20"/>
                <w:lang w:val="en-GB"/>
              </w:rPr>
            </w:pPr>
            <w:r w:rsidRPr="00587444">
              <w:rPr>
                <w:rFonts w:ascii="Arial" w:eastAsia="Calibri" w:hAnsi="Arial" w:cs="Arial"/>
                <w:b/>
                <w:bCs/>
                <w:sz w:val="20"/>
                <w:szCs w:val="20"/>
                <w:lang w:val="en-GB"/>
              </w:rPr>
              <w:t>Level 1</w:t>
            </w:r>
          </w:p>
        </w:tc>
        <w:tc>
          <w:tcPr>
            <w:tcW w:w="2504" w:type="dxa"/>
            <w:shd w:val="clear" w:color="auto" w:fill="auto"/>
            <w:vAlign w:val="center"/>
          </w:tcPr>
          <w:p w14:paraId="1173E7A1" w14:textId="77777777" w:rsidR="00587444" w:rsidRPr="00587444" w:rsidRDefault="00587444" w:rsidP="00587932">
            <w:pPr>
              <w:autoSpaceDN/>
              <w:rPr>
                <w:rFonts w:ascii="Arial" w:eastAsia="Calibri" w:hAnsi="Arial" w:cs="Arial"/>
                <w:b/>
                <w:bCs/>
                <w:sz w:val="20"/>
                <w:szCs w:val="20"/>
                <w:lang w:val="en-GB"/>
              </w:rPr>
            </w:pPr>
            <w:r w:rsidRPr="00587444">
              <w:rPr>
                <w:rFonts w:ascii="Arial" w:eastAsia="Calibri" w:hAnsi="Arial" w:cs="Arial"/>
                <w:b/>
                <w:bCs/>
                <w:sz w:val="20"/>
                <w:szCs w:val="20"/>
                <w:lang w:val="en-GB"/>
              </w:rPr>
              <w:t>Level 2</w:t>
            </w:r>
          </w:p>
        </w:tc>
        <w:tc>
          <w:tcPr>
            <w:tcW w:w="2457" w:type="dxa"/>
            <w:shd w:val="clear" w:color="auto" w:fill="auto"/>
            <w:vAlign w:val="center"/>
          </w:tcPr>
          <w:p w14:paraId="2689C93B" w14:textId="77777777" w:rsidR="00587444" w:rsidRPr="00587444" w:rsidRDefault="00587444" w:rsidP="00587932">
            <w:pPr>
              <w:autoSpaceDN/>
              <w:rPr>
                <w:rFonts w:ascii="Arial" w:eastAsia="Calibri" w:hAnsi="Arial" w:cs="Arial"/>
                <w:b/>
                <w:bCs/>
                <w:sz w:val="20"/>
                <w:szCs w:val="20"/>
                <w:lang w:val="en-GB"/>
              </w:rPr>
            </w:pPr>
            <w:r w:rsidRPr="00587444">
              <w:rPr>
                <w:rFonts w:ascii="Arial" w:eastAsia="Calibri" w:hAnsi="Arial" w:cs="Arial"/>
                <w:b/>
                <w:bCs/>
                <w:sz w:val="20"/>
                <w:szCs w:val="20"/>
                <w:lang w:val="en-GB"/>
              </w:rPr>
              <w:t>Level 3</w:t>
            </w:r>
          </w:p>
        </w:tc>
      </w:tr>
      <w:tr w:rsidR="00587444" w:rsidRPr="00587444" w14:paraId="42DD3387" w14:textId="77777777" w:rsidTr="00DD69E7">
        <w:trPr>
          <w:trHeight w:val="1483"/>
          <w:jc w:val="center"/>
        </w:trPr>
        <w:tc>
          <w:tcPr>
            <w:tcW w:w="1615" w:type="dxa"/>
            <w:tcBorders>
              <w:bottom w:val="single" w:sz="4" w:space="0" w:color="auto"/>
            </w:tcBorders>
            <w:shd w:val="clear" w:color="auto" w:fill="auto"/>
          </w:tcPr>
          <w:p w14:paraId="1AEF82D5" w14:textId="77777777" w:rsidR="00587444" w:rsidRPr="00587444" w:rsidRDefault="00587444" w:rsidP="00587932">
            <w:pPr>
              <w:autoSpaceDN/>
              <w:rPr>
                <w:rFonts w:ascii="Arial" w:eastAsia="Calibri" w:hAnsi="Arial" w:cs="Arial"/>
                <w:b/>
                <w:bCs/>
                <w:sz w:val="20"/>
                <w:szCs w:val="20"/>
                <w:lang w:val="en-GB"/>
              </w:rPr>
            </w:pPr>
            <w:r w:rsidRPr="00587444">
              <w:rPr>
                <w:rFonts w:ascii="Arial" w:eastAsia="Calibri" w:hAnsi="Arial" w:cs="Arial"/>
                <w:b/>
                <w:bCs/>
                <w:sz w:val="20"/>
                <w:szCs w:val="20"/>
                <w:lang w:val="en-GB"/>
              </w:rPr>
              <w:t>Inputs:</w:t>
            </w:r>
          </w:p>
        </w:tc>
        <w:tc>
          <w:tcPr>
            <w:tcW w:w="2586" w:type="dxa"/>
            <w:tcBorders>
              <w:bottom w:val="single" w:sz="4" w:space="0" w:color="auto"/>
            </w:tcBorders>
            <w:shd w:val="clear" w:color="auto" w:fill="auto"/>
          </w:tcPr>
          <w:p w14:paraId="717ADA33" w14:textId="77777777" w:rsidR="00587444" w:rsidRPr="00587444" w:rsidRDefault="00587444" w:rsidP="00587932">
            <w:pPr>
              <w:autoSpaceDN/>
              <w:rPr>
                <w:rFonts w:ascii="Arial" w:eastAsia="Calibri" w:hAnsi="Arial" w:cs="Arial"/>
                <w:bCs/>
                <w:sz w:val="20"/>
                <w:szCs w:val="20"/>
                <w:lang w:val="en-GB"/>
              </w:rPr>
            </w:pPr>
            <w:r w:rsidRPr="00587444">
              <w:rPr>
                <w:rFonts w:ascii="Arial" w:eastAsia="Calibri" w:hAnsi="Arial" w:cs="Arial"/>
                <w:sz w:val="20"/>
                <w:szCs w:val="20"/>
                <w:lang w:val="en-GB"/>
              </w:rPr>
              <w:t>Quoted prices (unadjusted) in active markets for identical assets or liabilities that the entity can access at the measurement date.</w:t>
            </w:r>
          </w:p>
        </w:tc>
        <w:tc>
          <w:tcPr>
            <w:tcW w:w="2504" w:type="dxa"/>
            <w:tcBorders>
              <w:bottom w:val="single" w:sz="4" w:space="0" w:color="auto"/>
            </w:tcBorders>
            <w:shd w:val="clear" w:color="auto" w:fill="auto"/>
          </w:tcPr>
          <w:p w14:paraId="1111D8E8" w14:textId="77777777" w:rsidR="00587444" w:rsidRPr="00587444" w:rsidRDefault="00587444" w:rsidP="00587932">
            <w:pPr>
              <w:autoSpaceDN/>
              <w:rPr>
                <w:rFonts w:ascii="Arial" w:eastAsia="Calibri" w:hAnsi="Arial" w:cs="Arial"/>
                <w:bCs/>
                <w:sz w:val="20"/>
                <w:szCs w:val="20"/>
                <w:lang w:val="en-GB"/>
              </w:rPr>
            </w:pPr>
            <w:r w:rsidRPr="00587444">
              <w:rPr>
                <w:rFonts w:ascii="Arial" w:eastAsia="Calibri" w:hAnsi="Arial" w:cs="Arial"/>
                <w:sz w:val="20"/>
                <w:szCs w:val="20"/>
                <w:lang w:val="en-GB"/>
              </w:rPr>
              <w:t>Inputs other than quoted prices included within Level 1 that are observable for the asset or liability, either directly or indirectly.</w:t>
            </w:r>
          </w:p>
        </w:tc>
        <w:tc>
          <w:tcPr>
            <w:tcW w:w="2457" w:type="dxa"/>
            <w:tcBorders>
              <w:bottom w:val="single" w:sz="4" w:space="0" w:color="auto"/>
            </w:tcBorders>
            <w:shd w:val="clear" w:color="auto" w:fill="auto"/>
          </w:tcPr>
          <w:p w14:paraId="74BAF1DA" w14:textId="77777777" w:rsidR="00587444" w:rsidRPr="00587444" w:rsidRDefault="00587444" w:rsidP="00587932">
            <w:pPr>
              <w:autoSpaceDN/>
              <w:rPr>
                <w:rFonts w:ascii="Arial" w:eastAsia="Calibri" w:hAnsi="Arial" w:cs="Arial"/>
                <w:bCs/>
                <w:sz w:val="20"/>
                <w:szCs w:val="20"/>
                <w:lang w:val="en-GB"/>
              </w:rPr>
            </w:pPr>
            <w:r w:rsidRPr="00587444">
              <w:rPr>
                <w:rFonts w:ascii="Arial" w:eastAsia="Calibri" w:hAnsi="Arial" w:cs="Arial"/>
                <w:sz w:val="20"/>
                <w:szCs w:val="20"/>
                <w:lang w:val="en-GB"/>
              </w:rPr>
              <w:t>Unobservable inputs for the asset or liability or adjusted market inputs.</w:t>
            </w:r>
          </w:p>
        </w:tc>
      </w:tr>
    </w:tbl>
    <w:p w14:paraId="3B0E9B48" w14:textId="77777777" w:rsidR="00587444" w:rsidRPr="00587444" w:rsidRDefault="00587444" w:rsidP="00587932">
      <w:pPr>
        <w:autoSpaceDN/>
        <w:jc w:val="both"/>
        <w:rPr>
          <w:rFonts w:ascii="Arial" w:eastAsia="Calibri" w:hAnsi="Arial" w:cs="Arial"/>
          <w:sz w:val="20"/>
          <w:szCs w:val="20"/>
          <w:lang w:val="en-GB"/>
        </w:rPr>
      </w:pPr>
    </w:p>
    <w:p w14:paraId="3A67FFCF" w14:textId="77777777" w:rsidR="00587444" w:rsidRPr="00587444" w:rsidRDefault="00587444" w:rsidP="00587932">
      <w:pPr>
        <w:autoSpaceDN/>
        <w:jc w:val="both"/>
        <w:rPr>
          <w:rFonts w:ascii="Arial" w:eastAsia="Calibri" w:hAnsi="Arial" w:cs="Arial"/>
          <w:bCs/>
          <w:sz w:val="20"/>
          <w:szCs w:val="20"/>
          <w:lang w:val="en-GB"/>
        </w:rPr>
      </w:pPr>
      <w:r w:rsidRPr="00587444">
        <w:rPr>
          <w:rFonts w:ascii="Arial" w:eastAsia="Calibri" w:hAnsi="Arial" w:cs="Arial"/>
          <w:bCs/>
          <w:sz w:val="20"/>
          <w:szCs w:val="20"/>
          <w:lang w:val="en-GB"/>
        </w:rPr>
        <w:t xml:space="preserve">The Group discloses transfers between levels of the fair value hierarchy at the end of the reporting period during which the transfer occurred. </w:t>
      </w:r>
    </w:p>
    <w:p w14:paraId="42CD7C32" w14:textId="77777777" w:rsidR="00587444" w:rsidRPr="00587444" w:rsidRDefault="00587444" w:rsidP="00587932">
      <w:pPr>
        <w:autoSpaceDN/>
        <w:jc w:val="both"/>
        <w:rPr>
          <w:rFonts w:ascii="Arial" w:eastAsia="Calibri" w:hAnsi="Arial" w:cs="Arial"/>
          <w:bCs/>
          <w:sz w:val="20"/>
          <w:szCs w:val="20"/>
          <w:lang w:val="en-GB"/>
        </w:rPr>
      </w:pPr>
    </w:p>
    <w:p w14:paraId="60225564" w14:textId="77777777" w:rsidR="00587444" w:rsidRPr="00587444" w:rsidRDefault="00587444" w:rsidP="00587932">
      <w:pPr>
        <w:autoSpaceDN/>
        <w:rPr>
          <w:rFonts w:ascii="Arial" w:hAnsi="Arial" w:cs="Arial"/>
          <w:sz w:val="20"/>
          <w:szCs w:val="20"/>
          <w:lang w:val="en-GB"/>
        </w:rPr>
        <w:sectPr w:rsidR="00587444" w:rsidRPr="00587444" w:rsidSect="00DD69E7">
          <w:pgSz w:w="11907" w:h="16840" w:code="9"/>
          <w:pgMar w:top="1418" w:right="1134" w:bottom="1134" w:left="1418" w:header="851" w:footer="851" w:gutter="0"/>
          <w:cols w:space="720"/>
          <w:noEndnote/>
        </w:sectPr>
      </w:pPr>
      <w:r w:rsidRPr="00587444">
        <w:rPr>
          <w:rFonts w:ascii="Arial" w:hAnsi="Arial" w:cs="Arial"/>
          <w:sz w:val="20"/>
          <w:szCs w:val="20"/>
          <w:lang w:val="en-GB"/>
        </w:rPr>
        <w:t xml:space="preserve">Comparison between the fair value and the carrying value of financial instruments that are not measured at fair value is given in Note 32.2. </w:t>
      </w:r>
    </w:p>
    <w:p w14:paraId="2032C542" w14:textId="77777777" w:rsidR="00587444" w:rsidRPr="00587444" w:rsidRDefault="00587444" w:rsidP="00587444">
      <w:pPr>
        <w:suppressAutoHyphens w:val="0"/>
        <w:autoSpaceDN/>
        <w:jc w:val="both"/>
        <w:rPr>
          <w:rFonts w:ascii="Arial" w:hAnsi="Arial" w:cs="Arial"/>
          <w:sz w:val="20"/>
          <w:szCs w:val="20"/>
          <w:lang w:val="en-GB"/>
        </w:rPr>
      </w:pPr>
    </w:p>
    <w:p w14:paraId="56C625FB"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0AABE01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EC04D8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326C4F2D" w14:textId="77777777" w:rsidR="00587444" w:rsidRPr="00587444" w:rsidRDefault="00587444" w:rsidP="00587932">
      <w:pPr>
        <w:autoSpaceDN/>
        <w:jc w:val="both"/>
        <w:rPr>
          <w:rFonts w:ascii="Arial" w:hAnsi="Arial" w:cs="Arial"/>
          <w:b/>
          <w:sz w:val="20"/>
          <w:szCs w:val="20"/>
        </w:rPr>
      </w:pPr>
    </w:p>
    <w:p w14:paraId="00263E4E"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5630D85A" w14:textId="77777777" w:rsidR="00587444" w:rsidRPr="00587444" w:rsidRDefault="00587444" w:rsidP="00587932">
      <w:pPr>
        <w:autoSpaceDN/>
        <w:jc w:val="both"/>
        <w:rPr>
          <w:rFonts w:ascii="Arial" w:hAnsi="Arial" w:cs="Arial"/>
          <w:sz w:val="20"/>
          <w:szCs w:val="20"/>
        </w:rPr>
      </w:pPr>
    </w:p>
    <w:p w14:paraId="2AE8E05F"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ix. Impairment</w:t>
      </w:r>
    </w:p>
    <w:p w14:paraId="42F45F0C" w14:textId="77777777" w:rsidR="00587444" w:rsidRPr="00587444" w:rsidRDefault="00587444" w:rsidP="00587932">
      <w:pPr>
        <w:autoSpaceDN/>
        <w:jc w:val="both"/>
        <w:rPr>
          <w:rFonts w:ascii="Arial" w:hAnsi="Arial" w:cs="Arial"/>
          <w:b/>
          <w:sz w:val="20"/>
          <w:szCs w:val="20"/>
          <w:lang w:val="en-GB"/>
        </w:rPr>
      </w:pPr>
    </w:p>
    <w:p w14:paraId="33EF3497"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Impairment of financial assets is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under the model of expected credit losses for assets that are subsequently measured at </w:t>
      </w:r>
      <w:proofErr w:type="spellStart"/>
      <w:r w:rsidRPr="00587444">
        <w:rPr>
          <w:rFonts w:ascii="Arial" w:hAnsi="Arial" w:cs="Arial"/>
          <w:sz w:val="20"/>
          <w:szCs w:val="20"/>
        </w:rPr>
        <w:t>amortised</w:t>
      </w:r>
      <w:proofErr w:type="spellEnd"/>
      <w:r w:rsidRPr="00587444">
        <w:rPr>
          <w:rFonts w:ascii="Arial" w:hAnsi="Arial" w:cs="Arial"/>
          <w:sz w:val="20"/>
          <w:szCs w:val="20"/>
        </w:rPr>
        <w:t xml:space="preserve"> cost and assets that are subsequently measured at fair value through other comprehensive income.</w:t>
      </w:r>
    </w:p>
    <w:p w14:paraId="7AC1478A"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Impairment is performed during the accounting periods and at the year end at the balance sheet date, and the effects of impairment are stated for each asset individually in the statement on financial position, other comprehensive income and statement on profit and loss.</w:t>
      </w:r>
    </w:p>
    <w:p w14:paraId="63E26C4C" w14:textId="77777777" w:rsidR="00587444" w:rsidRPr="00587444" w:rsidRDefault="00587444" w:rsidP="00587932">
      <w:pPr>
        <w:autoSpaceDN/>
        <w:jc w:val="both"/>
        <w:rPr>
          <w:rFonts w:ascii="Arial" w:hAnsi="Arial" w:cs="Arial"/>
          <w:sz w:val="20"/>
          <w:szCs w:val="20"/>
        </w:rPr>
      </w:pPr>
    </w:p>
    <w:p w14:paraId="0061807F"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Impairment is performed by applying the general and simplified approach.</w:t>
      </w:r>
    </w:p>
    <w:p w14:paraId="378B364B" w14:textId="77777777" w:rsidR="00587444" w:rsidRPr="00587444" w:rsidRDefault="00587444" w:rsidP="00587932">
      <w:pPr>
        <w:autoSpaceDN/>
        <w:jc w:val="both"/>
        <w:rPr>
          <w:rFonts w:ascii="Arial" w:eastAsia="PMingLiU" w:hAnsi="Arial" w:cs="Arial"/>
          <w:sz w:val="20"/>
          <w:szCs w:val="20"/>
          <w:lang w:eastAsia="hr-HR" w:bidi="hr-HR"/>
        </w:rPr>
      </w:pPr>
    </w:p>
    <w:p w14:paraId="72AEB0E3"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According to the </w:t>
      </w:r>
      <w:r w:rsidRPr="00587444">
        <w:rPr>
          <w:rFonts w:ascii="Arial" w:hAnsi="Arial" w:cs="Arial"/>
          <w:b/>
          <w:sz w:val="20"/>
          <w:szCs w:val="20"/>
        </w:rPr>
        <w:t xml:space="preserve">general approach </w:t>
      </w:r>
      <w:r w:rsidRPr="00587444">
        <w:rPr>
          <w:rFonts w:ascii="Arial" w:hAnsi="Arial" w:cs="Arial"/>
          <w:sz w:val="20"/>
          <w:szCs w:val="20"/>
        </w:rPr>
        <w:t>of impairment, financial assets are allocated at initial recognition to:</w:t>
      </w:r>
    </w:p>
    <w:p w14:paraId="32C4F44B" w14:textId="77777777" w:rsidR="00587444" w:rsidRPr="00587444" w:rsidRDefault="00587444" w:rsidP="00587932">
      <w:pPr>
        <w:numPr>
          <w:ilvl w:val="0"/>
          <w:numId w:val="31"/>
        </w:numPr>
        <w:autoSpaceDN/>
        <w:contextualSpacing/>
        <w:jc w:val="both"/>
        <w:rPr>
          <w:rFonts w:ascii="Arial" w:hAnsi="Arial" w:cs="Arial"/>
          <w:sz w:val="20"/>
          <w:szCs w:val="20"/>
        </w:rPr>
      </w:pPr>
      <w:r w:rsidRPr="00587444">
        <w:rPr>
          <w:rFonts w:ascii="Arial" w:hAnsi="Arial" w:cs="Arial"/>
          <w:sz w:val="20"/>
          <w:szCs w:val="20"/>
        </w:rPr>
        <w:t>Stage 1 – financial assets with no significant credit risk or</w:t>
      </w:r>
    </w:p>
    <w:p w14:paraId="48DCB697" w14:textId="77777777" w:rsidR="00587444" w:rsidRPr="00587444" w:rsidRDefault="00587444" w:rsidP="00587932">
      <w:pPr>
        <w:numPr>
          <w:ilvl w:val="0"/>
          <w:numId w:val="31"/>
        </w:numPr>
        <w:autoSpaceDN/>
        <w:contextualSpacing/>
        <w:jc w:val="both"/>
        <w:rPr>
          <w:rFonts w:ascii="Arial" w:hAnsi="Arial" w:cs="Arial"/>
          <w:b/>
          <w:sz w:val="20"/>
          <w:szCs w:val="20"/>
          <w:lang w:val="en-GB"/>
        </w:rPr>
      </w:pPr>
      <w:r w:rsidRPr="00587444">
        <w:rPr>
          <w:rFonts w:ascii="Arial" w:hAnsi="Arial" w:cs="Arial"/>
          <w:sz w:val="20"/>
          <w:szCs w:val="20"/>
        </w:rPr>
        <w:t>POCI assets as financial assets that are purchased or originally credit impaired that are allocated to stage 3.</w:t>
      </w:r>
    </w:p>
    <w:p w14:paraId="5655946C" w14:textId="77777777" w:rsidR="00587444" w:rsidRPr="00587444" w:rsidRDefault="00587444" w:rsidP="00587932">
      <w:pPr>
        <w:autoSpaceDN/>
        <w:jc w:val="both"/>
        <w:rPr>
          <w:rFonts w:ascii="Arial" w:hAnsi="Arial" w:cs="Arial"/>
          <w:b/>
          <w:sz w:val="20"/>
          <w:szCs w:val="20"/>
          <w:lang w:val="en-GB"/>
        </w:rPr>
      </w:pPr>
    </w:p>
    <w:p w14:paraId="2C2BDDB6" w14:textId="77777777" w:rsidR="00587444" w:rsidRPr="00587444" w:rsidRDefault="00587444" w:rsidP="00587932">
      <w:pPr>
        <w:autoSpaceDN/>
        <w:jc w:val="both"/>
        <w:rPr>
          <w:rFonts w:ascii="Arial" w:eastAsia="PMingLiU" w:hAnsi="Arial" w:cs="Arial"/>
          <w:sz w:val="20"/>
          <w:szCs w:val="20"/>
          <w:lang w:eastAsia="hr-HR" w:bidi="hr-HR"/>
        </w:rPr>
      </w:pPr>
      <w:r w:rsidRPr="00587444">
        <w:rPr>
          <w:rFonts w:ascii="Arial" w:hAnsi="Arial" w:cs="Arial"/>
          <w:sz w:val="20"/>
          <w:szCs w:val="20"/>
        </w:rPr>
        <w:t xml:space="preserve">At the future reporting dates, all financial assets that have not been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as POCI assets are allocated in risk categories depending on the assessment whether significant increase in credit risk occurred and in accordance with other credit impairment criteria to three stages:</w:t>
      </w:r>
      <w:r w:rsidRPr="00587444">
        <w:rPr>
          <w:rFonts w:ascii="Arial" w:eastAsia="PMingLiU" w:hAnsi="Arial" w:cs="Arial"/>
          <w:sz w:val="20"/>
          <w:szCs w:val="20"/>
          <w:lang w:eastAsia="hr-HR" w:bidi="hr-HR"/>
        </w:rPr>
        <w:t xml:space="preserve"> </w:t>
      </w:r>
    </w:p>
    <w:p w14:paraId="29E546DE" w14:textId="77777777" w:rsidR="00587444" w:rsidRPr="00587444" w:rsidRDefault="00587444" w:rsidP="00587932">
      <w:pPr>
        <w:autoSpaceDN/>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Stage 1 – financial instruments with low credit risk are allocated to this stage, such as:</w:t>
      </w:r>
    </w:p>
    <w:p w14:paraId="5BDC6B85" w14:textId="77777777" w:rsidR="00587444" w:rsidRPr="00587444" w:rsidRDefault="00587444" w:rsidP="00587932">
      <w:pPr>
        <w:numPr>
          <w:ilvl w:val="1"/>
          <w:numId w:val="31"/>
        </w:numPr>
        <w:tabs>
          <w:tab w:val="num" w:pos="1760"/>
        </w:tabs>
        <w:autoSpaceDN/>
        <w:ind w:left="1760"/>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Financial instruments of issuers with investment rating given by external credit rating agencies</w:t>
      </w:r>
    </w:p>
    <w:p w14:paraId="3215A1FD" w14:textId="77777777" w:rsidR="00587444" w:rsidRPr="00587444" w:rsidRDefault="00587444" w:rsidP="00587932">
      <w:pPr>
        <w:numPr>
          <w:ilvl w:val="1"/>
          <w:numId w:val="31"/>
        </w:numPr>
        <w:tabs>
          <w:tab w:val="num" w:pos="1760"/>
        </w:tabs>
        <w:autoSpaceDN/>
        <w:ind w:left="1760"/>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Exposures to the Republic of Croatia and units of local and regional government, the Croatian National Bank, the European Investment Bank or other development banks.</w:t>
      </w:r>
    </w:p>
    <w:p w14:paraId="02F42421" w14:textId="77777777" w:rsidR="00587444" w:rsidRPr="00587444" w:rsidRDefault="00587444" w:rsidP="00587932">
      <w:pPr>
        <w:autoSpaceDN/>
        <w:jc w:val="both"/>
        <w:rPr>
          <w:rFonts w:ascii="Arial" w:eastAsia="PMingLiU" w:hAnsi="Arial" w:cs="Arial"/>
          <w:sz w:val="20"/>
          <w:szCs w:val="20"/>
          <w:lang w:eastAsia="hr-HR" w:bidi="hr-HR"/>
        </w:rPr>
      </w:pPr>
    </w:p>
    <w:p w14:paraId="6B1AC8D2" w14:textId="77777777" w:rsidR="00587444" w:rsidRPr="00587444" w:rsidRDefault="00587444" w:rsidP="00587932">
      <w:pPr>
        <w:autoSpaceDN/>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Financial instruments which are not deemed instruments of low credit risk only due to the value of collaterals.</w:t>
      </w:r>
    </w:p>
    <w:p w14:paraId="7D972164" w14:textId="77777777" w:rsidR="00587444" w:rsidRPr="00587444" w:rsidRDefault="00587444" w:rsidP="00587932">
      <w:pPr>
        <w:autoSpaceDN/>
        <w:jc w:val="both"/>
        <w:rPr>
          <w:rFonts w:ascii="Arial" w:eastAsia="PMingLiU" w:hAnsi="Arial" w:cs="Arial"/>
          <w:sz w:val="20"/>
          <w:szCs w:val="20"/>
          <w:lang w:eastAsia="hr-HR" w:bidi="hr-HR"/>
        </w:rPr>
      </w:pPr>
    </w:p>
    <w:p w14:paraId="29E8E8E6" w14:textId="77777777" w:rsidR="00587444" w:rsidRPr="00587444" w:rsidRDefault="00587444" w:rsidP="00587932">
      <w:pPr>
        <w:autoSpaceDN/>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For financial instruments allocated to this stage, impairments are calculated on a collective basis for twelve-month expected credit losses.</w:t>
      </w:r>
    </w:p>
    <w:p w14:paraId="673B84DC" w14:textId="77777777" w:rsidR="00587444" w:rsidRPr="00587444" w:rsidRDefault="00587444" w:rsidP="00587932">
      <w:pPr>
        <w:autoSpaceDN/>
        <w:jc w:val="both"/>
        <w:rPr>
          <w:rFonts w:ascii="Arial" w:eastAsia="PMingLiU" w:hAnsi="Arial" w:cs="Arial"/>
          <w:sz w:val="20"/>
          <w:szCs w:val="20"/>
          <w:lang w:eastAsia="hr-HR" w:bidi="hr-HR"/>
        </w:rPr>
      </w:pPr>
    </w:p>
    <w:p w14:paraId="7164ECCC" w14:textId="77777777" w:rsidR="00587444" w:rsidRPr="00587444" w:rsidRDefault="00587444" w:rsidP="00587932">
      <w:pPr>
        <w:autoSpaceDN/>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Stage 2 – financial instruments of clients where significant increase in credit risk is identified since initial recognition to this stage. Also individually significant clients included in the watch list, are also in this category.</w:t>
      </w:r>
    </w:p>
    <w:p w14:paraId="47DD3822" w14:textId="77777777" w:rsidR="00587444" w:rsidRPr="00587444" w:rsidRDefault="00587444" w:rsidP="00587932">
      <w:pPr>
        <w:autoSpaceDN/>
        <w:jc w:val="both"/>
        <w:rPr>
          <w:rFonts w:ascii="Arial" w:hAnsi="Arial" w:cs="Arial"/>
          <w:b/>
          <w:sz w:val="20"/>
          <w:szCs w:val="20"/>
        </w:rPr>
      </w:pPr>
    </w:p>
    <w:p w14:paraId="0CBF4B18" w14:textId="77777777" w:rsidR="00587444" w:rsidRPr="00587444" w:rsidRDefault="00587444" w:rsidP="00587932">
      <w:pPr>
        <w:autoSpaceDN/>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 xml:space="preserve">For detailed explanation of the triggers for classification in Stage 2 please see Note 31. Risk management. </w:t>
      </w:r>
    </w:p>
    <w:p w14:paraId="21B089EC" w14:textId="77777777" w:rsidR="00587444" w:rsidRPr="00587444" w:rsidRDefault="00587444" w:rsidP="00587932">
      <w:pPr>
        <w:autoSpaceDN/>
        <w:jc w:val="both"/>
        <w:rPr>
          <w:rFonts w:ascii="Arial" w:eastAsia="PMingLiU" w:hAnsi="Arial" w:cs="Arial"/>
          <w:sz w:val="20"/>
          <w:szCs w:val="20"/>
          <w:lang w:eastAsia="hr-HR" w:bidi="hr-HR"/>
        </w:rPr>
      </w:pPr>
    </w:p>
    <w:p w14:paraId="0CA7F10A" w14:textId="77777777" w:rsidR="00587444" w:rsidRPr="00587444" w:rsidRDefault="00587444" w:rsidP="00587932">
      <w:pPr>
        <w:autoSpaceDN/>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For the financial instruments of clients classified into Stage 2, loss allowances are calculated on a collective basis for lifetime expected credit losses.</w:t>
      </w:r>
    </w:p>
    <w:p w14:paraId="21D6B8FE" w14:textId="77777777" w:rsidR="00587444" w:rsidRPr="00587444" w:rsidRDefault="00587444" w:rsidP="00587932">
      <w:pPr>
        <w:autoSpaceDN/>
        <w:ind w:left="709"/>
        <w:jc w:val="both"/>
        <w:rPr>
          <w:rFonts w:ascii="Arial" w:eastAsia="PMingLiU" w:hAnsi="Arial" w:cs="Arial"/>
          <w:sz w:val="20"/>
          <w:szCs w:val="20"/>
          <w:lang w:eastAsia="hr-HR" w:bidi="hr-HR"/>
        </w:rPr>
      </w:pPr>
    </w:p>
    <w:p w14:paraId="205F29D1" w14:textId="77777777" w:rsidR="00587444" w:rsidRDefault="00587444" w:rsidP="00587932">
      <w:pPr>
        <w:tabs>
          <w:tab w:val="left" w:pos="8640"/>
        </w:tabs>
        <w:autoSpaceDN/>
        <w:ind w:right="57"/>
        <w:jc w:val="both"/>
        <w:rPr>
          <w:rFonts w:ascii="Arial" w:eastAsia="PMingLiU" w:hAnsi="Arial" w:cs="Arial"/>
          <w:sz w:val="20"/>
          <w:szCs w:val="20"/>
          <w:lang w:eastAsia="hr-HR" w:bidi="hr-HR"/>
        </w:rPr>
      </w:pPr>
      <w:bookmarkStart w:id="415" w:name="_Hlk508893600"/>
      <w:r w:rsidRPr="00587444">
        <w:rPr>
          <w:rFonts w:ascii="Arial" w:eastAsia="PMingLiU" w:hAnsi="Arial" w:cs="Arial"/>
          <w:sz w:val="20"/>
          <w:szCs w:val="20"/>
          <w:lang w:eastAsia="hr-HR" w:bidi="hr-HR"/>
        </w:rPr>
        <w:t>Stage 3 – financial instruments of clients in default – where objective evidence of the impairment has been identified as well as purchased or originated credit-impaired (POCI) financial assets.</w:t>
      </w:r>
      <w:bookmarkEnd w:id="415"/>
    </w:p>
    <w:p w14:paraId="4583B021" w14:textId="1A934F8A" w:rsidR="00BB5943" w:rsidRPr="00587444" w:rsidRDefault="00BB5943" w:rsidP="00587444">
      <w:pPr>
        <w:tabs>
          <w:tab w:val="left" w:pos="8640"/>
        </w:tabs>
        <w:suppressAutoHyphens w:val="0"/>
        <w:autoSpaceDN/>
        <w:ind w:right="57"/>
        <w:jc w:val="both"/>
        <w:rPr>
          <w:rFonts w:ascii="Arial" w:eastAsia="PMingLiU" w:hAnsi="Arial" w:cs="Arial"/>
          <w:sz w:val="20"/>
          <w:szCs w:val="20"/>
          <w:lang w:eastAsia="hr-HR" w:bidi="hr-HR"/>
        </w:rPr>
        <w:sectPr w:rsidR="00BB5943" w:rsidRPr="00587444" w:rsidSect="00DD69E7">
          <w:pgSz w:w="11907" w:h="16840" w:code="9"/>
          <w:pgMar w:top="1418" w:right="1134" w:bottom="1134" w:left="1418" w:header="851" w:footer="851" w:gutter="0"/>
          <w:cols w:space="720"/>
          <w:noEndnote/>
        </w:sectPr>
      </w:pPr>
    </w:p>
    <w:p w14:paraId="6808C33E" w14:textId="77777777" w:rsidR="00587444" w:rsidRPr="00587444" w:rsidRDefault="00587444" w:rsidP="00587444">
      <w:pPr>
        <w:tabs>
          <w:tab w:val="left" w:pos="8640"/>
        </w:tabs>
        <w:suppressAutoHyphens w:val="0"/>
        <w:autoSpaceDN/>
        <w:ind w:right="57"/>
        <w:jc w:val="both"/>
        <w:rPr>
          <w:rFonts w:ascii="Arial" w:eastAsia="PMingLiU" w:hAnsi="Arial" w:cs="Arial"/>
          <w:sz w:val="20"/>
          <w:szCs w:val="20"/>
          <w:lang w:eastAsia="hr-HR" w:bidi="hr-HR"/>
        </w:rPr>
      </w:pPr>
    </w:p>
    <w:p w14:paraId="333718E3"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63C27D80" w14:textId="77777777" w:rsidR="00587444" w:rsidRPr="00587444" w:rsidRDefault="00587444" w:rsidP="00587932">
      <w:pPr>
        <w:keepNext/>
        <w:tabs>
          <w:tab w:val="left" w:pos="426"/>
        </w:tabs>
        <w:autoSpaceDN/>
        <w:jc w:val="both"/>
        <w:rPr>
          <w:rFonts w:ascii="Arial" w:hAnsi="Arial" w:cs="Arial"/>
          <w:b/>
          <w:bCs/>
          <w:sz w:val="20"/>
          <w:szCs w:val="20"/>
        </w:rPr>
      </w:pPr>
    </w:p>
    <w:p w14:paraId="37558AD1"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67BB3C4E" w14:textId="77777777" w:rsidR="00587444" w:rsidRPr="00587444" w:rsidRDefault="00587444" w:rsidP="00587932">
      <w:pPr>
        <w:autoSpaceDN/>
        <w:jc w:val="both"/>
        <w:rPr>
          <w:rFonts w:ascii="Arial" w:hAnsi="Arial" w:cs="Arial"/>
          <w:b/>
          <w:sz w:val="20"/>
          <w:szCs w:val="20"/>
        </w:rPr>
      </w:pPr>
    </w:p>
    <w:p w14:paraId="15056803"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0B73EF3E" w14:textId="77777777" w:rsidR="00587444" w:rsidRPr="00587444" w:rsidRDefault="00587444" w:rsidP="00587932">
      <w:pPr>
        <w:autoSpaceDN/>
        <w:jc w:val="both"/>
        <w:rPr>
          <w:rFonts w:ascii="Arial" w:eastAsia="PMingLiU" w:hAnsi="Arial" w:cs="Arial"/>
          <w:sz w:val="20"/>
          <w:szCs w:val="20"/>
          <w:lang w:eastAsia="hr-HR" w:bidi="hr-HR"/>
        </w:rPr>
      </w:pPr>
    </w:p>
    <w:p w14:paraId="79ADE12E"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ix. Impairment (continued)</w:t>
      </w:r>
    </w:p>
    <w:p w14:paraId="1EA4A2BD" w14:textId="77777777" w:rsidR="00587444" w:rsidRPr="00587444" w:rsidRDefault="00587444" w:rsidP="00587932">
      <w:pPr>
        <w:autoSpaceDN/>
        <w:jc w:val="both"/>
        <w:rPr>
          <w:rFonts w:ascii="Arial" w:hAnsi="Arial" w:cs="Arial"/>
          <w:b/>
          <w:sz w:val="20"/>
          <w:szCs w:val="20"/>
        </w:rPr>
      </w:pPr>
    </w:p>
    <w:p w14:paraId="2D03FE69"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Financial assets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as POCI assets remain allocated to Stage 3 until derecognition.</w:t>
      </w:r>
    </w:p>
    <w:p w14:paraId="0D43BC24" w14:textId="77777777" w:rsidR="00587444" w:rsidRPr="00587444" w:rsidRDefault="00587444" w:rsidP="00587932">
      <w:pPr>
        <w:autoSpaceDN/>
        <w:jc w:val="both"/>
        <w:rPr>
          <w:rFonts w:ascii="Arial" w:hAnsi="Arial" w:cs="Arial"/>
          <w:sz w:val="20"/>
          <w:szCs w:val="20"/>
        </w:rPr>
      </w:pPr>
    </w:p>
    <w:p w14:paraId="7A957B2E" w14:textId="77777777" w:rsidR="00587444" w:rsidRPr="00587444" w:rsidRDefault="00587444" w:rsidP="00587932">
      <w:pPr>
        <w:autoSpaceDN/>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Expected credit losses are measured on a collective basis for clients allocated to Stage 1 and Stage 2 as well as for clients allocated to Stage 3, which are in the portfolio of small loans (gross exposure amount equal or lower than HRK 3,000 thousand), whereas individual assessment is carried out for the financial instruments of clients who are in a default status and for POCI assets.</w:t>
      </w:r>
    </w:p>
    <w:p w14:paraId="53A38633" w14:textId="77777777" w:rsidR="00587444" w:rsidRPr="00587444" w:rsidRDefault="00587444" w:rsidP="00587932">
      <w:pPr>
        <w:tabs>
          <w:tab w:val="left" w:pos="8640"/>
        </w:tabs>
        <w:autoSpaceDN/>
        <w:ind w:right="57"/>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 xml:space="preserve">When measuring the expected credit losses on a collective basis, HBOR has, on the basis of common credit risk characteristics, defined the following homogeneous groups: </w:t>
      </w:r>
    </w:p>
    <w:p w14:paraId="43604159" w14:textId="77777777" w:rsidR="00587444" w:rsidRPr="00587444" w:rsidRDefault="00587444" w:rsidP="00587932">
      <w:pPr>
        <w:numPr>
          <w:ilvl w:val="0"/>
          <w:numId w:val="31"/>
        </w:numPr>
        <w:tabs>
          <w:tab w:val="num" w:pos="1040"/>
          <w:tab w:val="left" w:pos="8640"/>
        </w:tabs>
        <w:autoSpaceDN/>
        <w:ind w:left="1040" w:right="57"/>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 xml:space="preserve">financial institutions, </w:t>
      </w:r>
    </w:p>
    <w:p w14:paraId="5EB7BF9C" w14:textId="77777777" w:rsidR="00587444" w:rsidRPr="00587444" w:rsidRDefault="00587444" w:rsidP="00587932">
      <w:pPr>
        <w:numPr>
          <w:ilvl w:val="0"/>
          <w:numId w:val="31"/>
        </w:numPr>
        <w:tabs>
          <w:tab w:val="num" w:pos="1040"/>
          <w:tab w:val="left" w:pos="8640"/>
        </w:tabs>
        <w:autoSpaceDN/>
        <w:ind w:left="1040" w:right="57"/>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 xml:space="preserve">central government and local and regional government, </w:t>
      </w:r>
    </w:p>
    <w:p w14:paraId="4A3E9A10" w14:textId="77777777" w:rsidR="00587444" w:rsidRPr="00587444" w:rsidRDefault="00587444" w:rsidP="00587932">
      <w:pPr>
        <w:numPr>
          <w:ilvl w:val="0"/>
          <w:numId w:val="31"/>
        </w:numPr>
        <w:tabs>
          <w:tab w:val="num" w:pos="1040"/>
          <w:tab w:val="left" w:pos="8640"/>
        </w:tabs>
        <w:autoSpaceDN/>
        <w:ind w:left="1040" w:right="57"/>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 xml:space="preserve">direct large, </w:t>
      </w:r>
    </w:p>
    <w:p w14:paraId="5EA94236" w14:textId="77777777" w:rsidR="00587444" w:rsidRPr="00587444" w:rsidRDefault="00587444" w:rsidP="00587932">
      <w:pPr>
        <w:numPr>
          <w:ilvl w:val="0"/>
          <w:numId w:val="31"/>
        </w:numPr>
        <w:tabs>
          <w:tab w:val="num" w:pos="1040"/>
          <w:tab w:val="left" w:pos="8640"/>
        </w:tabs>
        <w:autoSpaceDN/>
        <w:ind w:left="1040" w:right="57"/>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direct SME,</w:t>
      </w:r>
    </w:p>
    <w:p w14:paraId="1E5DE8C3" w14:textId="77777777" w:rsidR="00587444" w:rsidRPr="00587444" w:rsidRDefault="00587444" w:rsidP="00587932">
      <w:pPr>
        <w:numPr>
          <w:ilvl w:val="0"/>
          <w:numId w:val="31"/>
        </w:numPr>
        <w:tabs>
          <w:tab w:val="num" w:pos="1040"/>
          <w:tab w:val="left" w:pos="8640"/>
        </w:tabs>
        <w:autoSpaceDN/>
        <w:ind w:left="1040" w:right="57"/>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 xml:space="preserve">direct MICRO, </w:t>
      </w:r>
    </w:p>
    <w:p w14:paraId="13B73DD6" w14:textId="77777777" w:rsidR="00587444" w:rsidRPr="00587444" w:rsidRDefault="00587444" w:rsidP="00587932">
      <w:pPr>
        <w:numPr>
          <w:ilvl w:val="0"/>
          <w:numId w:val="31"/>
        </w:numPr>
        <w:tabs>
          <w:tab w:val="num" w:pos="1040"/>
          <w:tab w:val="left" w:pos="8640"/>
        </w:tabs>
        <w:autoSpaceDN/>
        <w:ind w:left="1040" w:right="57"/>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 xml:space="preserve">direct citizens, and </w:t>
      </w:r>
    </w:p>
    <w:p w14:paraId="77CBE8AC" w14:textId="77777777" w:rsidR="00587444" w:rsidRPr="00587444" w:rsidRDefault="00587444" w:rsidP="00587932">
      <w:pPr>
        <w:numPr>
          <w:ilvl w:val="0"/>
          <w:numId w:val="31"/>
        </w:numPr>
        <w:tabs>
          <w:tab w:val="num" w:pos="1040"/>
          <w:tab w:val="left" w:pos="8640"/>
        </w:tabs>
        <w:autoSpaceDN/>
        <w:ind w:left="1040" w:right="57"/>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others.</w:t>
      </w:r>
    </w:p>
    <w:p w14:paraId="64A9F595" w14:textId="77777777" w:rsidR="00587444" w:rsidRPr="00587444" w:rsidRDefault="00587444" w:rsidP="00587932">
      <w:pPr>
        <w:autoSpaceDN/>
        <w:jc w:val="both"/>
        <w:rPr>
          <w:rFonts w:ascii="Arial" w:hAnsi="Arial" w:cs="Arial"/>
          <w:sz w:val="20"/>
          <w:szCs w:val="20"/>
        </w:rPr>
      </w:pPr>
    </w:p>
    <w:p w14:paraId="673F52EE"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The calculation of the expected credit losses, i.e. probability of default (PD), for the category of central government and local and regional government was based on the ratings of external rating agencies for the Republic of Croatia: Standard &amp; Poor’s and on the publicly available reports of rating agencies on historical default rates.  </w:t>
      </w:r>
    </w:p>
    <w:p w14:paraId="035D73B1" w14:textId="77777777" w:rsidR="00587444" w:rsidRPr="00587444" w:rsidRDefault="00587444" w:rsidP="00587932">
      <w:pPr>
        <w:autoSpaceDN/>
        <w:jc w:val="both"/>
        <w:rPr>
          <w:rFonts w:ascii="Arial" w:hAnsi="Arial" w:cs="Arial"/>
          <w:b/>
          <w:sz w:val="20"/>
          <w:szCs w:val="20"/>
        </w:rPr>
      </w:pPr>
    </w:p>
    <w:p w14:paraId="332C111D" w14:textId="77777777" w:rsidR="00587444" w:rsidRPr="00587444" w:rsidRDefault="00587444" w:rsidP="00587932">
      <w:pPr>
        <w:tabs>
          <w:tab w:val="left" w:pos="8640"/>
        </w:tabs>
        <w:autoSpaceDN/>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 xml:space="preserve">The assessment of credit losses for financial institutions is based on the mapping of HBOR’s ratings with the PDs of S&amp;P rating agency, where the rating of </w:t>
      </w:r>
      <w:proofErr w:type="spellStart"/>
      <w:r w:rsidRPr="00587444">
        <w:rPr>
          <w:rFonts w:ascii="Arial" w:eastAsia="PMingLiU" w:hAnsi="Arial" w:cs="Arial"/>
          <w:sz w:val="20"/>
          <w:szCs w:val="20"/>
          <w:lang w:eastAsia="hr-HR" w:bidi="hr-HR"/>
        </w:rPr>
        <w:t>Zagrebačka</w:t>
      </w:r>
      <w:proofErr w:type="spellEnd"/>
      <w:r w:rsidRPr="00587444">
        <w:rPr>
          <w:rFonts w:ascii="Arial" w:eastAsia="PMingLiU" w:hAnsi="Arial" w:cs="Arial"/>
          <w:sz w:val="20"/>
          <w:szCs w:val="20"/>
          <w:lang w:eastAsia="hr-HR" w:bidi="hr-HR"/>
        </w:rPr>
        <w:t xml:space="preserve"> banka and the PD of </w:t>
      </w:r>
      <w:proofErr w:type="spellStart"/>
      <w:r w:rsidRPr="00587444">
        <w:rPr>
          <w:rFonts w:ascii="Arial" w:eastAsia="PMingLiU" w:hAnsi="Arial" w:cs="Arial"/>
          <w:sz w:val="20"/>
          <w:szCs w:val="20"/>
          <w:lang w:eastAsia="hr-HR" w:bidi="hr-HR"/>
        </w:rPr>
        <w:t>Zagrebačka</w:t>
      </w:r>
      <w:proofErr w:type="spellEnd"/>
      <w:r w:rsidRPr="00587444">
        <w:rPr>
          <w:rFonts w:ascii="Arial" w:eastAsia="PMingLiU" w:hAnsi="Arial" w:cs="Arial"/>
          <w:sz w:val="20"/>
          <w:szCs w:val="20"/>
          <w:lang w:eastAsia="hr-HR" w:bidi="hr-HR"/>
        </w:rPr>
        <w:t xml:space="preserve"> banka is used as the benchmark because this bank has an established rating.</w:t>
      </w:r>
    </w:p>
    <w:p w14:paraId="3C9947C6" w14:textId="77777777" w:rsidR="00587444" w:rsidRPr="00587444" w:rsidRDefault="00587444" w:rsidP="00587932">
      <w:pPr>
        <w:autoSpaceDN/>
        <w:jc w:val="both"/>
        <w:rPr>
          <w:rFonts w:ascii="Arial" w:hAnsi="Arial" w:cs="Arial"/>
          <w:b/>
          <w:sz w:val="20"/>
          <w:szCs w:val="20"/>
        </w:rPr>
      </w:pPr>
    </w:p>
    <w:p w14:paraId="5F634048"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The approach based on migration matrices was used for the modelling of PDs in the categories of direct loans (large, </w:t>
      </w:r>
      <w:proofErr w:type="gramStart"/>
      <w:r w:rsidRPr="00587444">
        <w:rPr>
          <w:rFonts w:ascii="Arial" w:hAnsi="Arial" w:cs="Arial"/>
          <w:sz w:val="20"/>
          <w:szCs w:val="20"/>
        </w:rPr>
        <w:t>small</w:t>
      </w:r>
      <w:proofErr w:type="gramEnd"/>
      <w:r w:rsidRPr="00587444">
        <w:rPr>
          <w:rFonts w:ascii="Arial" w:hAnsi="Arial" w:cs="Arial"/>
          <w:sz w:val="20"/>
          <w:szCs w:val="20"/>
        </w:rPr>
        <w:t xml:space="preserve"> and medium, micro, citizens) and others – development of exposure among the following risk categories: </w:t>
      </w:r>
    </w:p>
    <w:p w14:paraId="7DA603B0" w14:textId="77777777" w:rsidR="00587444" w:rsidRPr="00587444" w:rsidRDefault="00587444" w:rsidP="00587932">
      <w:pPr>
        <w:numPr>
          <w:ilvl w:val="0"/>
          <w:numId w:val="37"/>
        </w:numPr>
        <w:autoSpaceDN/>
        <w:ind w:left="1066" w:hanging="357"/>
        <w:contextualSpacing/>
        <w:jc w:val="both"/>
        <w:rPr>
          <w:rFonts w:ascii="Arial" w:hAnsi="Arial" w:cs="Arial"/>
          <w:sz w:val="20"/>
          <w:szCs w:val="20"/>
        </w:rPr>
      </w:pPr>
      <w:r w:rsidRPr="00587444">
        <w:rPr>
          <w:rFonts w:ascii="Arial" w:hAnsi="Arial" w:cs="Arial"/>
          <w:sz w:val="20"/>
          <w:szCs w:val="20"/>
        </w:rPr>
        <w:t>from 0 to 30 days overdue – Stage 1,</w:t>
      </w:r>
    </w:p>
    <w:p w14:paraId="64E8689A" w14:textId="77777777" w:rsidR="00587444" w:rsidRPr="00587444" w:rsidRDefault="00587444" w:rsidP="00587932">
      <w:pPr>
        <w:numPr>
          <w:ilvl w:val="0"/>
          <w:numId w:val="37"/>
        </w:numPr>
        <w:autoSpaceDN/>
        <w:ind w:left="1066" w:hanging="357"/>
        <w:contextualSpacing/>
        <w:jc w:val="both"/>
        <w:rPr>
          <w:rFonts w:ascii="Arial" w:hAnsi="Arial" w:cs="Arial"/>
          <w:sz w:val="20"/>
          <w:szCs w:val="20"/>
        </w:rPr>
      </w:pPr>
      <w:r w:rsidRPr="00587444">
        <w:rPr>
          <w:rFonts w:ascii="Arial" w:hAnsi="Arial" w:cs="Arial"/>
          <w:sz w:val="20"/>
          <w:szCs w:val="20"/>
        </w:rPr>
        <w:t>from 31 to 90 days overdue – Stage 2,</w:t>
      </w:r>
    </w:p>
    <w:p w14:paraId="4301CAEA" w14:textId="77777777" w:rsidR="00587444" w:rsidRPr="00587444" w:rsidRDefault="00587444" w:rsidP="00587932">
      <w:pPr>
        <w:numPr>
          <w:ilvl w:val="0"/>
          <w:numId w:val="37"/>
        </w:numPr>
        <w:autoSpaceDN/>
        <w:ind w:left="1066" w:hanging="357"/>
        <w:contextualSpacing/>
        <w:jc w:val="both"/>
        <w:rPr>
          <w:rFonts w:ascii="Arial" w:hAnsi="Arial" w:cs="Arial"/>
          <w:sz w:val="20"/>
          <w:szCs w:val="20"/>
        </w:rPr>
      </w:pPr>
      <w:r w:rsidRPr="00587444">
        <w:rPr>
          <w:rFonts w:ascii="Arial" w:hAnsi="Arial" w:cs="Arial"/>
          <w:sz w:val="20"/>
          <w:szCs w:val="20"/>
        </w:rPr>
        <w:t>more than 90 days overdue and restructuring – default.</w:t>
      </w:r>
    </w:p>
    <w:p w14:paraId="36D24D39" w14:textId="77777777" w:rsidR="00587444" w:rsidRPr="00587444" w:rsidRDefault="00587444" w:rsidP="00587932">
      <w:pPr>
        <w:tabs>
          <w:tab w:val="left" w:pos="284"/>
          <w:tab w:val="left" w:pos="426"/>
        </w:tabs>
        <w:autoSpaceDN/>
        <w:jc w:val="both"/>
        <w:rPr>
          <w:rFonts w:ascii="Arial" w:hAnsi="Arial" w:cs="Arial"/>
          <w:b/>
          <w:sz w:val="20"/>
          <w:szCs w:val="20"/>
        </w:rPr>
      </w:pPr>
    </w:p>
    <w:p w14:paraId="3CE951DC"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Credit loss is the difference between all contractual cash-flows and all cash-flows expected from debtors, discounted to the present value by using the original effective interest rate, or, in the case of POCI assets, by using the credit risk adjusted effective interest rate.</w:t>
      </w:r>
    </w:p>
    <w:p w14:paraId="5DF629B4" w14:textId="77777777" w:rsidR="00587444" w:rsidRPr="00587444" w:rsidRDefault="00587444" w:rsidP="00587444">
      <w:pPr>
        <w:suppressAutoHyphens w:val="0"/>
        <w:autoSpaceDN/>
        <w:jc w:val="both"/>
        <w:rPr>
          <w:rFonts w:ascii="Arial" w:hAnsi="Arial" w:cs="Arial"/>
          <w:b/>
          <w:sz w:val="20"/>
          <w:szCs w:val="20"/>
        </w:rPr>
      </w:pPr>
    </w:p>
    <w:p w14:paraId="47AAD4DA" w14:textId="77777777" w:rsidR="00587444" w:rsidRPr="00587444" w:rsidRDefault="00587444" w:rsidP="00587444">
      <w:pPr>
        <w:suppressAutoHyphens w:val="0"/>
        <w:autoSpaceDN/>
        <w:jc w:val="both"/>
        <w:rPr>
          <w:rFonts w:ascii="Arial" w:hAnsi="Arial" w:cs="Arial"/>
          <w:sz w:val="20"/>
          <w:szCs w:val="20"/>
        </w:rPr>
        <w:sectPr w:rsidR="00587444" w:rsidRPr="00587444" w:rsidSect="00DD69E7">
          <w:pgSz w:w="11907" w:h="16840" w:code="9"/>
          <w:pgMar w:top="1418" w:right="1134" w:bottom="1134" w:left="1418" w:header="851" w:footer="851" w:gutter="0"/>
          <w:cols w:space="720"/>
          <w:noEndnote/>
        </w:sectPr>
      </w:pPr>
    </w:p>
    <w:p w14:paraId="7FB48FB3" w14:textId="77777777" w:rsidR="00587444" w:rsidRPr="00587444" w:rsidRDefault="00587444" w:rsidP="00587444">
      <w:pPr>
        <w:suppressAutoHyphens w:val="0"/>
        <w:autoSpaceDN/>
        <w:jc w:val="both"/>
        <w:rPr>
          <w:rFonts w:ascii="Arial" w:hAnsi="Arial" w:cs="Arial"/>
          <w:sz w:val="20"/>
          <w:szCs w:val="20"/>
        </w:rPr>
      </w:pPr>
    </w:p>
    <w:p w14:paraId="4CF9C46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24F19A49"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63B8B2B1"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3FAC17C7" w14:textId="77777777" w:rsidR="00587444" w:rsidRPr="00587444" w:rsidRDefault="00587444" w:rsidP="00587444">
      <w:pPr>
        <w:suppressAutoHyphens w:val="0"/>
        <w:autoSpaceDN/>
        <w:jc w:val="both"/>
        <w:rPr>
          <w:rFonts w:ascii="Arial" w:hAnsi="Arial" w:cs="Arial"/>
          <w:b/>
          <w:sz w:val="20"/>
          <w:szCs w:val="20"/>
        </w:rPr>
      </w:pPr>
    </w:p>
    <w:p w14:paraId="4819013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02505F3F" w14:textId="77777777" w:rsidR="00587444" w:rsidRPr="00587444" w:rsidRDefault="00587444" w:rsidP="00587444">
      <w:pPr>
        <w:suppressAutoHyphens w:val="0"/>
        <w:autoSpaceDN/>
        <w:jc w:val="both"/>
        <w:rPr>
          <w:rFonts w:ascii="Arial" w:eastAsia="PMingLiU" w:hAnsi="Arial" w:cs="Arial"/>
          <w:sz w:val="20"/>
          <w:szCs w:val="20"/>
          <w:lang w:eastAsia="hr-HR" w:bidi="hr-HR"/>
        </w:rPr>
      </w:pPr>
    </w:p>
    <w:p w14:paraId="60629335"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ix. Impairment (continued)</w:t>
      </w:r>
    </w:p>
    <w:p w14:paraId="40B62F40" w14:textId="77777777" w:rsidR="00587444" w:rsidRPr="00587444" w:rsidRDefault="00587444" w:rsidP="00587932">
      <w:pPr>
        <w:autoSpaceDN/>
        <w:jc w:val="both"/>
        <w:rPr>
          <w:rFonts w:ascii="Arial" w:hAnsi="Arial" w:cs="Arial"/>
          <w:sz w:val="20"/>
          <w:szCs w:val="20"/>
        </w:rPr>
      </w:pPr>
    </w:p>
    <w:p w14:paraId="283F704F"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For the financial assets subsequently measured at </w:t>
      </w:r>
      <w:proofErr w:type="spellStart"/>
      <w:r w:rsidRPr="00587444">
        <w:rPr>
          <w:rFonts w:ascii="Arial" w:hAnsi="Arial" w:cs="Arial"/>
          <w:sz w:val="20"/>
          <w:szCs w:val="20"/>
        </w:rPr>
        <w:t>amortised</w:t>
      </w:r>
      <w:proofErr w:type="spellEnd"/>
      <w:r w:rsidRPr="00587444">
        <w:rPr>
          <w:rFonts w:ascii="Arial" w:hAnsi="Arial" w:cs="Arial"/>
          <w:sz w:val="20"/>
          <w:szCs w:val="20"/>
        </w:rPr>
        <w:t xml:space="preserve"> cost, the impairment is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in Profit or Loss, and the loss allowances reduce the carrying value of financial assets in the Statement of Financial Position. In the case of a reduction of the expected credit losses or due to the collection of receivables, </w:t>
      </w:r>
      <w:proofErr w:type="spellStart"/>
      <w:r w:rsidRPr="00587444">
        <w:rPr>
          <w:rFonts w:ascii="Arial" w:hAnsi="Arial" w:cs="Arial"/>
          <w:sz w:val="20"/>
          <w:szCs w:val="20"/>
        </w:rPr>
        <w:t>loss</w:t>
      </w:r>
      <w:proofErr w:type="spellEnd"/>
      <w:r w:rsidRPr="00587444">
        <w:rPr>
          <w:rFonts w:ascii="Arial" w:hAnsi="Arial" w:cs="Arial"/>
          <w:sz w:val="20"/>
          <w:szCs w:val="20"/>
        </w:rPr>
        <w:t xml:space="preserve"> allowances are reduced or cancelled in the Statement of Financial Position and are simultaneously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as income from the reversed loss allowance or income upon the collection in the profit or loss.</w:t>
      </w:r>
    </w:p>
    <w:p w14:paraId="24C45A2C" w14:textId="77777777" w:rsidR="00587444" w:rsidRPr="00587444" w:rsidRDefault="00587444" w:rsidP="00587932">
      <w:pPr>
        <w:autoSpaceDN/>
        <w:jc w:val="both"/>
        <w:rPr>
          <w:rFonts w:ascii="Arial" w:hAnsi="Arial" w:cs="Arial"/>
          <w:color w:val="000000"/>
          <w:sz w:val="20"/>
          <w:szCs w:val="20"/>
        </w:rPr>
      </w:pPr>
    </w:p>
    <w:p w14:paraId="1BC40ACD" w14:textId="77777777" w:rsidR="00587444" w:rsidRPr="00587444" w:rsidRDefault="00587444" w:rsidP="00587932">
      <w:pPr>
        <w:autoSpaceDN/>
        <w:jc w:val="both"/>
        <w:rPr>
          <w:rFonts w:ascii="Arial" w:hAnsi="Arial" w:cs="Arial"/>
          <w:color w:val="000000"/>
          <w:sz w:val="20"/>
          <w:szCs w:val="20"/>
        </w:rPr>
      </w:pPr>
      <w:r w:rsidRPr="00587444">
        <w:rPr>
          <w:rFonts w:ascii="Arial" w:hAnsi="Arial" w:cs="Arial"/>
          <w:color w:val="000000"/>
          <w:sz w:val="20"/>
          <w:szCs w:val="20"/>
        </w:rPr>
        <w:t xml:space="preserve">Impairment of financial assets classified at fair value through other comprehensive income is calculated by applying the model of expected credit losses in the manner that the loss allowances are </w:t>
      </w:r>
      <w:proofErr w:type="spellStart"/>
      <w:r w:rsidRPr="00587444">
        <w:rPr>
          <w:rFonts w:ascii="Arial" w:hAnsi="Arial" w:cs="Arial"/>
          <w:color w:val="000000"/>
          <w:sz w:val="20"/>
          <w:szCs w:val="20"/>
        </w:rPr>
        <w:t>recognised</w:t>
      </w:r>
      <w:proofErr w:type="spellEnd"/>
      <w:r w:rsidRPr="00587444">
        <w:rPr>
          <w:rFonts w:ascii="Arial" w:hAnsi="Arial" w:cs="Arial"/>
          <w:color w:val="000000"/>
          <w:sz w:val="20"/>
          <w:szCs w:val="20"/>
        </w:rPr>
        <w:t xml:space="preserve"> in other comprehensive income and do not reduce the carrying value of these financial assets in the Statement of Financial Position, with all gains or losses resulting from the impairment </w:t>
      </w:r>
      <w:proofErr w:type="spellStart"/>
      <w:r w:rsidRPr="00587444">
        <w:rPr>
          <w:rFonts w:ascii="Arial" w:hAnsi="Arial" w:cs="Arial"/>
          <w:color w:val="000000"/>
          <w:sz w:val="20"/>
          <w:szCs w:val="20"/>
        </w:rPr>
        <w:t>recognised</w:t>
      </w:r>
      <w:proofErr w:type="spellEnd"/>
      <w:r w:rsidRPr="00587444">
        <w:rPr>
          <w:rFonts w:ascii="Arial" w:hAnsi="Arial" w:cs="Arial"/>
          <w:color w:val="000000"/>
          <w:sz w:val="20"/>
          <w:szCs w:val="20"/>
        </w:rPr>
        <w:t xml:space="preserve"> in the profit or loss. </w:t>
      </w:r>
    </w:p>
    <w:p w14:paraId="4ADF1285" w14:textId="77777777" w:rsidR="00587444" w:rsidRPr="00587444" w:rsidRDefault="00587444" w:rsidP="00587932">
      <w:pPr>
        <w:autoSpaceDN/>
        <w:jc w:val="both"/>
        <w:rPr>
          <w:rFonts w:ascii="Arial" w:hAnsi="Arial" w:cs="Arial"/>
          <w:sz w:val="20"/>
          <w:szCs w:val="20"/>
        </w:rPr>
      </w:pPr>
    </w:p>
    <w:p w14:paraId="6AD64D0F"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Gains or losses resulting from the change in the fair value of these financial assets are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as other comprehensive income, whereas foreign exchange gains or losses are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in the </w:t>
      </w:r>
      <w:r w:rsidRPr="00587444">
        <w:rPr>
          <w:rFonts w:ascii="Arial" w:hAnsi="Arial" w:cs="Arial"/>
          <w:color w:val="000000"/>
          <w:sz w:val="20"/>
          <w:szCs w:val="20"/>
        </w:rPr>
        <w:t>profit or loss</w:t>
      </w:r>
      <w:r w:rsidRPr="00587444">
        <w:rPr>
          <w:rFonts w:ascii="Arial" w:hAnsi="Arial" w:cs="Arial"/>
          <w:sz w:val="20"/>
          <w:szCs w:val="20"/>
        </w:rPr>
        <w:t>.</w:t>
      </w:r>
    </w:p>
    <w:p w14:paraId="3A5722FF" w14:textId="77777777" w:rsidR="00587444" w:rsidRPr="00587444" w:rsidRDefault="00587444" w:rsidP="00587932">
      <w:pPr>
        <w:tabs>
          <w:tab w:val="left" w:pos="284"/>
          <w:tab w:val="left" w:pos="426"/>
        </w:tabs>
        <w:autoSpaceDN/>
        <w:jc w:val="both"/>
        <w:rPr>
          <w:rFonts w:ascii="Arial" w:hAnsi="Arial" w:cs="Arial"/>
          <w:b/>
          <w:sz w:val="20"/>
          <w:szCs w:val="20"/>
        </w:rPr>
      </w:pPr>
    </w:p>
    <w:p w14:paraId="3BE675DE"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The accumulated gains</w:t>
      </w:r>
      <w:r w:rsidRPr="00587444">
        <w:rPr>
          <w:rFonts w:ascii="Arial" w:hAnsi="Arial" w:cs="Arial"/>
          <w:color w:val="000000"/>
          <w:sz w:val="20"/>
          <w:szCs w:val="20"/>
        </w:rPr>
        <w:t xml:space="preserve">/losses </w:t>
      </w:r>
      <w:proofErr w:type="spellStart"/>
      <w:r w:rsidRPr="00587444">
        <w:rPr>
          <w:rFonts w:ascii="Arial" w:hAnsi="Arial" w:cs="Arial"/>
          <w:color w:val="000000"/>
          <w:sz w:val="20"/>
          <w:szCs w:val="20"/>
        </w:rPr>
        <w:t>recognised</w:t>
      </w:r>
      <w:proofErr w:type="spellEnd"/>
      <w:r w:rsidRPr="00587444">
        <w:rPr>
          <w:rFonts w:ascii="Arial" w:hAnsi="Arial" w:cs="Arial"/>
          <w:color w:val="000000"/>
          <w:sz w:val="20"/>
          <w:szCs w:val="20"/>
        </w:rPr>
        <w:t xml:space="preserve"> as other comprehensive income are reclassified from equity to the Profit or Loss after derecognition of assets and represent the reclassification adjustment, except for equity securities classified as financial assets at fair value through other comprehensive income, where reserves recognized within other comprehensive income will never be transferred to profit and loss.</w:t>
      </w:r>
    </w:p>
    <w:p w14:paraId="13448856" w14:textId="77777777" w:rsidR="00587444" w:rsidRPr="00587444" w:rsidRDefault="00587444" w:rsidP="00587932">
      <w:pPr>
        <w:tabs>
          <w:tab w:val="left" w:pos="284"/>
          <w:tab w:val="left" w:pos="426"/>
        </w:tabs>
        <w:autoSpaceDN/>
        <w:jc w:val="both"/>
        <w:rPr>
          <w:rFonts w:ascii="Arial" w:hAnsi="Arial" w:cs="Arial"/>
          <w:b/>
          <w:sz w:val="20"/>
          <w:szCs w:val="20"/>
        </w:rPr>
      </w:pPr>
    </w:p>
    <w:p w14:paraId="472F180B"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Financial assets classified as assets at fair value through the Profit or Loss are initially and subsequently measured at the established fair value and are not subject to impairment; the fair value of assets is, however, established in accordance with the internal documents that regulate the methods of determining the value of financial instruments until derecognition of financial instruments.</w:t>
      </w:r>
    </w:p>
    <w:p w14:paraId="74BA3ECD" w14:textId="77777777" w:rsidR="00587444" w:rsidRPr="00587444" w:rsidRDefault="00587444" w:rsidP="00587932">
      <w:pPr>
        <w:autoSpaceDN/>
        <w:jc w:val="both"/>
        <w:rPr>
          <w:rFonts w:ascii="Arial" w:hAnsi="Arial" w:cs="Arial"/>
          <w:b/>
          <w:sz w:val="20"/>
          <w:szCs w:val="20"/>
        </w:rPr>
      </w:pPr>
      <w:r w:rsidRPr="00587444">
        <w:rPr>
          <w:rFonts w:ascii="Arial" w:hAnsi="Arial" w:cs="Arial"/>
          <w:sz w:val="20"/>
          <w:szCs w:val="20"/>
        </w:rPr>
        <w:t xml:space="preserve">Decrease or increase in the fair value of these financial assets is recorded through the increase or decrease in their carrying amount in the Statement of Financial Position, whereas gains or losses resulting from the change in the fair value are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in the Statement on Profit or Loss.</w:t>
      </w:r>
    </w:p>
    <w:p w14:paraId="28083263" w14:textId="77777777" w:rsidR="00587444" w:rsidRPr="00587444" w:rsidRDefault="00587444" w:rsidP="00587932">
      <w:pPr>
        <w:tabs>
          <w:tab w:val="left" w:pos="284"/>
          <w:tab w:val="left" w:pos="426"/>
        </w:tabs>
        <w:autoSpaceDN/>
        <w:jc w:val="both"/>
        <w:rPr>
          <w:rFonts w:ascii="Arial" w:hAnsi="Arial" w:cs="Arial"/>
          <w:b/>
          <w:sz w:val="20"/>
          <w:szCs w:val="20"/>
        </w:rPr>
      </w:pPr>
    </w:p>
    <w:p w14:paraId="5D81D9CD" w14:textId="77777777" w:rsidR="00587444" w:rsidRPr="00587444" w:rsidRDefault="00587444" w:rsidP="00587932">
      <w:pPr>
        <w:autoSpaceDN/>
        <w:jc w:val="both"/>
        <w:rPr>
          <w:rFonts w:ascii="Arial" w:hAnsi="Arial" w:cs="Arial"/>
          <w:sz w:val="20"/>
          <w:szCs w:val="20"/>
        </w:rPr>
      </w:pPr>
      <w:r w:rsidRPr="00587444">
        <w:rPr>
          <w:rFonts w:ascii="Arial" w:hAnsi="Arial" w:cs="Arial"/>
          <w:b/>
          <w:sz w:val="20"/>
          <w:szCs w:val="20"/>
        </w:rPr>
        <w:t xml:space="preserve">Simplified approach </w:t>
      </w:r>
      <w:r w:rsidRPr="00587444">
        <w:rPr>
          <w:rFonts w:ascii="Arial" w:hAnsi="Arial" w:cs="Arial"/>
          <w:sz w:val="20"/>
          <w:szCs w:val="20"/>
        </w:rPr>
        <w:t>of impairment can be applied only from receivables from customers or receivables for leases as well as on other non-interest fees, and this impairment always equals the amount of the expected credit losses during the lifetime of the instrument.</w:t>
      </w:r>
    </w:p>
    <w:p w14:paraId="598D8582" w14:textId="77777777" w:rsidR="00587444" w:rsidRPr="00587444" w:rsidRDefault="00587444" w:rsidP="00587932">
      <w:pPr>
        <w:autoSpaceDN/>
        <w:jc w:val="both"/>
        <w:rPr>
          <w:rFonts w:ascii="Arial" w:hAnsi="Arial" w:cs="Arial"/>
          <w:sz w:val="20"/>
          <w:szCs w:val="20"/>
        </w:rPr>
      </w:pPr>
    </w:p>
    <w:p w14:paraId="2547A59E"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At the initial recognition, the financial assets are allocated to Stage 2 (all financial assets that have not been credit impaired at initial recognition) or Stage 3 (all purchased or originated credit-impaired assets – POCI assets).</w:t>
      </w:r>
    </w:p>
    <w:p w14:paraId="48A96CA0" w14:textId="77777777" w:rsidR="00587444" w:rsidRPr="00587444" w:rsidRDefault="00587444" w:rsidP="00587932">
      <w:pPr>
        <w:autoSpaceDN/>
        <w:jc w:val="both"/>
        <w:rPr>
          <w:rFonts w:ascii="Arial" w:hAnsi="Arial" w:cs="Arial"/>
          <w:sz w:val="20"/>
          <w:szCs w:val="20"/>
        </w:rPr>
      </w:pPr>
    </w:p>
    <w:p w14:paraId="26B901E1" w14:textId="77777777" w:rsidR="00587444" w:rsidRPr="00587444" w:rsidRDefault="00587444" w:rsidP="00587932">
      <w:pPr>
        <w:autoSpaceDN/>
        <w:jc w:val="both"/>
        <w:rPr>
          <w:rFonts w:ascii="Arial" w:hAnsi="Arial" w:cs="Arial"/>
          <w:sz w:val="20"/>
          <w:szCs w:val="20"/>
        </w:rPr>
        <w:sectPr w:rsidR="00587444" w:rsidRPr="00587444" w:rsidSect="00DD69E7">
          <w:pgSz w:w="11907" w:h="16840" w:code="9"/>
          <w:pgMar w:top="1418" w:right="1134" w:bottom="1134" w:left="1418" w:header="851" w:footer="851" w:gutter="0"/>
          <w:cols w:space="720"/>
          <w:noEndnote/>
        </w:sectPr>
      </w:pPr>
      <w:r w:rsidRPr="00587444">
        <w:rPr>
          <w:rFonts w:ascii="Arial" w:hAnsi="Arial" w:cs="Arial"/>
          <w:sz w:val="20"/>
          <w:szCs w:val="20"/>
        </w:rPr>
        <w:t xml:space="preserve">At the future reporting dates, all financial assets that have not been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as POCI assets are allocated exclusively in accordance with the credit impairment criteria to Stage 2 and Stage 3.</w:t>
      </w:r>
    </w:p>
    <w:p w14:paraId="2289E0B8" w14:textId="77777777" w:rsidR="00587444" w:rsidRPr="00587444" w:rsidRDefault="00587444" w:rsidP="00587444">
      <w:pPr>
        <w:suppressAutoHyphens w:val="0"/>
        <w:autoSpaceDN/>
        <w:jc w:val="both"/>
        <w:rPr>
          <w:rFonts w:ascii="Arial" w:hAnsi="Arial" w:cs="Arial"/>
          <w:sz w:val="20"/>
          <w:szCs w:val="20"/>
        </w:rPr>
      </w:pPr>
    </w:p>
    <w:p w14:paraId="1E7EAD5D" w14:textId="77777777" w:rsidR="00587444" w:rsidRPr="00587444" w:rsidRDefault="00587444" w:rsidP="00587444">
      <w:pPr>
        <w:suppressAutoHyphens w:val="0"/>
        <w:autoSpaceDN/>
        <w:jc w:val="both"/>
        <w:rPr>
          <w:rFonts w:ascii="Arial" w:hAnsi="Arial" w:cs="Arial"/>
          <w:sz w:val="20"/>
          <w:szCs w:val="20"/>
        </w:rPr>
      </w:pPr>
    </w:p>
    <w:p w14:paraId="7CCD9D4D"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77188EFA" w14:textId="77777777" w:rsidR="00587444" w:rsidRPr="00587444" w:rsidRDefault="00587444" w:rsidP="00587932">
      <w:pPr>
        <w:keepNext/>
        <w:tabs>
          <w:tab w:val="left" w:pos="426"/>
        </w:tabs>
        <w:autoSpaceDN/>
        <w:jc w:val="both"/>
        <w:rPr>
          <w:rFonts w:ascii="Arial" w:hAnsi="Arial" w:cs="Arial"/>
          <w:b/>
          <w:bCs/>
          <w:sz w:val="20"/>
          <w:szCs w:val="20"/>
        </w:rPr>
      </w:pPr>
    </w:p>
    <w:p w14:paraId="0431FE57"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0CF70A47" w14:textId="77777777" w:rsidR="00587444" w:rsidRPr="00587444" w:rsidRDefault="00587444" w:rsidP="00587932">
      <w:pPr>
        <w:autoSpaceDN/>
        <w:jc w:val="both"/>
        <w:rPr>
          <w:rFonts w:ascii="Arial" w:hAnsi="Arial" w:cs="Arial"/>
          <w:b/>
          <w:sz w:val="20"/>
          <w:szCs w:val="20"/>
        </w:rPr>
      </w:pPr>
    </w:p>
    <w:p w14:paraId="7C5201E2"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711F2EDD" w14:textId="77777777" w:rsidR="00587444" w:rsidRPr="00587444" w:rsidRDefault="00587444" w:rsidP="00587932">
      <w:pPr>
        <w:autoSpaceDN/>
        <w:jc w:val="both"/>
        <w:rPr>
          <w:rFonts w:ascii="Arial" w:hAnsi="Arial" w:cs="Arial"/>
          <w:b/>
          <w:i/>
          <w:sz w:val="20"/>
          <w:szCs w:val="20"/>
        </w:rPr>
      </w:pPr>
    </w:p>
    <w:p w14:paraId="5455C68D"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ix. Impairment (continued)</w:t>
      </w:r>
    </w:p>
    <w:p w14:paraId="79AEE935" w14:textId="77777777" w:rsidR="00587444" w:rsidRPr="00587444" w:rsidRDefault="00587444" w:rsidP="00587932">
      <w:pPr>
        <w:autoSpaceDN/>
        <w:ind w:left="720"/>
        <w:contextualSpacing/>
        <w:jc w:val="both"/>
        <w:rPr>
          <w:rFonts w:ascii="Arial" w:hAnsi="Arial" w:cs="Arial"/>
          <w:sz w:val="20"/>
          <w:szCs w:val="20"/>
        </w:rPr>
      </w:pPr>
    </w:p>
    <w:p w14:paraId="46359C3A"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Financial assets that have been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as POCI assets remain allocated to Stage 3 until derecognition.</w:t>
      </w:r>
    </w:p>
    <w:p w14:paraId="11B72E39" w14:textId="77777777" w:rsidR="00587444" w:rsidRPr="00587444" w:rsidRDefault="00587444" w:rsidP="00587932">
      <w:pPr>
        <w:autoSpaceDN/>
        <w:jc w:val="both"/>
        <w:rPr>
          <w:rFonts w:ascii="Arial" w:hAnsi="Arial" w:cs="Arial"/>
          <w:sz w:val="20"/>
          <w:szCs w:val="20"/>
        </w:rPr>
      </w:pPr>
    </w:p>
    <w:p w14:paraId="3B74E952" w14:textId="77777777" w:rsidR="00587444" w:rsidRPr="00587444" w:rsidRDefault="00587444" w:rsidP="00587932">
      <w:pPr>
        <w:tabs>
          <w:tab w:val="left" w:pos="426"/>
        </w:tabs>
        <w:autoSpaceDN/>
        <w:jc w:val="both"/>
        <w:rPr>
          <w:rFonts w:ascii="Arial" w:hAnsi="Arial" w:cs="Arial"/>
          <w:sz w:val="20"/>
          <w:szCs w:val="20"/>
        </w:rPr>
      </w:pPr>
      <w:r w:rsidRPr="00587444">
        <w:rPr>
          <w:rFonts w:ascii="Arial" w:hAnsi="Arial" w:cs="Arial"/>
          <w:sz w:val="20"/>
          <w:szCs w:val="20"/>
        </w:rPr>
        <w:t>Details regarding the methodology are stated in Note 31. Risk Management.</w:t>
      </w:r>
    </w:p>
    <w:p w14:paraId="0F27B380" w14:textId="77777777" w:rsidR="00587444" w:rsidRPr="00587444" w:rsidRDefault="00587444" w:rsidP="00587932">
      <w:pPr>
        <w:tabs>
          <w:tab w:val="left" w:pos="426"/>
        </w:tabs>
        <w:autoSpaceDN/>
        <w:jc w:val="both"/>
        <w:rPr>
          <w:rFonts w:ascii="Arial" w:hAnsi="Arial" w:cs="Arial"/>
          <w:b/>
          <w:sz w:val="20"/>
          <w:szCs w:val="20"/>
        </w:rPr>
      </w:pPr>
    </w:p>
    <w:p w14:paraId="011DFEA2"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x. Financial assets-categories</w:t>
      </w:r>
    </w:p>
    <w:p w14:paraId="76BE4B1D" w14:textId="77777777" w:rsidR="00587444" w:rsidRPr="00587444" w:rsidRDefault="00587444" w:rsidP="00587932">
      <w:pPr>
        <w:keepNext/>
        <w:autoSpaceDN/>
        <w:jc w:val="both"/>
        <w:rPr>
          <w:rFonts w:ascii="Arial" w:hAnsi="Arial" w:cs="Arial"/>
          <w:b/>
          <w:sz w:val="20"/>
          <w:szCs w:val="20"/>
        </w:rPr>
      </w:pPr>
    </w:p>
    <w:p w14:paraId="7D549590" w14:textId="77777777" w:rsidR="00587444" w:rsidRPr="00587444" w:rsidRDefault="00587444" w:rsidP="00587932">
      <w:pPr>
        <w:keepNext/>
        <w:autoSpaceDN/>
        <w:jc w:val="both"/>
        <w:rPr>
          <w:rFonts w:ascii="Arial" w:hAnsi="Arial" w:cs="Arial"/>
          <w:sz w:val="20"/>
          <w:szCs w:val="20"/>
          <w:lang w:val="en-GB" w:eastAsia="hr-HR"/>
        </w:rPr>
      </w:pPr>
      <w:r w:rsidRPr="00587444">
        <w:rPr>
          <w:rFonts w:ascii="Arial" w:hAnsi="Arial" w:cs="Arial"/>
          <w:sz w:val="20"/>
          <w:szCs w:val="20"/>
          <w:lang w:val="en-GB"/>
        </w:rPr>
        <w:t>Financial assets of the Group are comprised of:</w:t>
      </w:r>
    </w:p>
    <w:p w14:paraId="30FAAE9F" w14:textId="77777777" w:rsidR="00587444" w:rsidRPr="00587444" w:rsidRDefault="00587444" w:rsidP="00587932">
      <w:pPr>
        <w:numPr>
          <w:ilvl w:val="0"/>
          <w:numId w:val="30"/>
        </w:numPr>
        <w:tabs>
          <w:tab w:val="num" w:pos="1080"/>
        </w:tabs>
        <w:autoSpaceDN/>
        <w:ind w:left="1080"/>
        <w:contextualSpacing/>
        <w:jc w:val="both"/>
        <w:rPr>
          <w:rFonts w:ascii="Arial" w:hAnsi="Arial" w:cs="Arial"/>
          <w:sz w:val="20"/>
          <w:szCs w:val="20"/>
        </w:rPr>
      </w:pPr>
      <w:r w:rsidRPr="00587444">
        <w:rPr>
          <w:rFonts w:ascii="Arial" w:hAnsi="Arial" w:cs="Arial"/>
          <w:sz w:val="20"/>
          <w:szCs w:val="20"/>
        </w:rPr>
        <w:t>Funds on the transaction accounts,</w:t>
      </w:r>
    </w:p>
    <w:p w14:paraId="1C09E69A" w14:textId="77777777" w:rsidR="00587444" w:rsidRPr="00587444" w:rsidRDefault="00587444" w:rsidP="00587932">
      <w:pPr>
        <w:numPr>
          <w:ilvl w:val="0"/>
          <w:numId w:val="30"/>
        </w:numPr>
        <w:tabs>
          <w:tab w:val="num" w:pos="1080"/>
        </w:tabs>
        <w:autoSpaceDN/>
        <w:ind w:left="1080"/>
        <w:contextualSpacing/>
        <w:jc w:val="both"/>
        <w:rPr>
          <w:rFonts w:ascii="Arial" w:hAnsi="Arial" w:cs="Arial"/>
          <w:sz w:val="20"/>
          <w:szCs w:val="20"/>
        </w:rPr>
      </w:pPr>
      <w:r w:rsidRPr="00587444">
        <w:rPr>
          <w:rFonts w:ascii="Arial" w:hAnsi="Arial" w:cs="Arial"/>
          <w:sz w:val="20"/>
          <w:szCs w:val="20"/>
        </w:rPr>
        <w:t>Deposits with banks,</w:t>
      </w:r>
    </w:p>
    <w:p w14:paraId="42E05772" w14:textId="77777777" w:rsidR="00587444" w:rsidRPr="00587444" w:rsidRDefault="00587444" w:rsidP="00587932">
      <w:pPr>
        <w:numPr>
          <w:ilvl w:val="0"/>
          <w:numId w:val="30"/>
        </w:numPr>
        <w:tabs>
          <w:tab w:val="num" w:pos="1080"/>
        </w:tabs>
        <w:autoSpaceDN/>
        <w:ind w:left="1080"/>
        <w:contextualSpacing/>
        <w:jc w:val="both"/>
        <w:rPr>
          <w:rFonts w:ascii="Arial" w:hAnsi="Arial" w:cs="Arial"/>
          <w:sz w:val="20"/>
          <w:szCs w:val="20"/>
        </w:rPr>
      </w:pPr>
      <w:r w:rsidRPr="00587444">
        <w:rPr>
          <w:rFonts w:ascii="Arial" w:hAnsi="Arial" w:cs="Arial"/>
          <w:sz w:val="20"/>
          <w:szCs w:val="20"/>
        </w:rPr>
        <w:t>Loans,</w:t>
      </w:r>
    </w:p>
    <w:p w14:paraId="33877E6A" w14:textId="77777777" w:rsidR="00587444" w:rsidRPr="00587444" w:rsidRDefault="00587444" w:rsidP="00587932">
      <w:pPr>
        <w:numPr>
          <w:ilvl w:val="0"/>
          <w:numId w:val="30"/>
        </w:numPr>
        <w:tabs>
          <w:tab w:val="num" w:pos="1080"/>
        </w:tabs>
        <w:autoSpaceDN/>
        <w:ind w:left="1080"/>
        <w:contextualSpacing/>
        <w:jc w:val="both"/>
        <w:rPr>
          <w:rFonts w:ascii="Arial" w:hAnsi="Arial" w:cs="Arial"/>
          <w:sz w:val="20"/>
          <w:szCs w:val="20"/>
        </w:rPr>
      </w:pPr>
      <w:r w:rsidRPr="00587444">
        <w:rPr>
          <w:rFonts w:ascii="Arial" w:hAnsi="Arial" w:cs="Arial"/>
          <w:sz w:val="20"/>
          <w:szCs w:val="20"/>
        </w:rPr>
        <w:t>Debt securities,</w:t>
      </w:r>
    </w:p>
    <w:p w14:paraId="700985B7" w14:textId="77777777" w:rsidR="00587444" w:rsidRPr="00587444" w:rsidRDefault="00587444" w:rsidP="00587932">
      <w:pPr>
        <w:numPr>
          <w:ilvl w:val="0"/>
          <w:numId w:val="30"/>
        </w:numPr>
        <w:tabs>
          <w:tab w:val="num" w:pos="1080"/>
        </w:tabs>
        <w:autoSpaceDN/>
        <w:ind w:left="1080"/>
        <w:contextualSpacing/>
        <w:jc w:val="both"/>
        <w:rPr>
          <w:rFonts w:ascii="Arial" w:hAnsi="Arial" w:cs="Arial"/>
          <w:sz w:val="20"/>
          <w:szCs w:val="20"/>
        </w:rPr>
      </w:pPr>
      <w:r w:rsidRPr="00587444">
        <w:rPr>
          <w:rFonts w:ascii="Arial" w:hAnsi="Arial" w:cs="Arial"/>
          <w:sz w:val="20"/>
          <w:szCs w:val="20"/>
        </w:rPr>
        <w:t>Equity securities,</w:t>
      </w:r>
    </w:p>
    <w:p w14:paraId="385BBC2F" w14:textId="77777777" w:rsidR="00587444" w:rsidRPr="00587444" w:rsidRDefault="00587444" w:rsidP="00587932">
      <w:pPr>
        <w:keepNext/>
        <w:numPr>
          <w:ilvl w:val="0"/>
          <w:numId w:val="30"/>
        </w:numPr>
        <w:tabs>
          <w:tab w:val="left" w:pos="426"/>
          <w:tab w:val="num" w:pos="1080"/>
        </w:tabs>
        <w:autoSpaceDN/>
        <w:ind w:left="1080"/>
        <w:contextualSpacing/>
        <w:jc w:val="both"/>
        <w:rPr>
          <w:rFonts w:ascii="Arial" w:hAnsi="Arial" w:cs="Arial"/>
          <w:b/>
          <w:bCs/>
          <w:sz w:val="20"/>
          <w:szCs w:val="20"/>
        </w:rPr>
      </w:pPr>
      <w:r w:rsidRPr="00587444">
        <w:rPr>
          <w:rFonts w:ascii="Arial" w:hAnsi="Arial" w:cs="Arial"/>
          <w:sz w:val="20"/>
          <w:szCs w:val="20"/>
        </w:rPr>
        <w:t>Shares in investment funds,</w:t>
      </w:r>
    </w:p>
    <w:p w14:paraId="324F36E9" w14:textId="77777777" w:rsidR="00587444" w:rsidRPr="00587444" w:rsidRDefault="00587444" w:rsidP="00587932">
      <w:pPr>
        <w:numPr>
          <w:ilvl w:val="0"/>
          <w:numId w:val="30"/>
        </w:numPr>
        <w:tabs>
          <w:tab w:val="num" w:pos="1080"/>
        </w:tabs>
        <w:autoSpaceDN/>
        <w:ind w:left="1080"/>
        <w:contextualSpacing/>
        <w:jc w:val="both"/>
        <w:rPr>
          <w:rFonts w:ascii="Arial" w:hAnsi="Arial" w:cs="Arial"/>
          <w:sz w:val="20"/>
          <w:szCs w:val="20"/>
        </w:rPr>
      </w:pPr>
      <w:r w:rsidRPr="00587444">
        <w:rPr>
          <w:rFonts w:ascii="Arial" w:hAnsi="Arial" w:cs="Arial"/>
          <w:sz w:val="20"/>
          <w:szCs w:val="20"/>
        </w:rPr>
        <w:t xml:space="preserve">Derivative financial assets and </w:t>
      </w:r>
    </w:p>
    <w:p w14:paraId="23FA4856" w14:textId="77777777" w:rsidR="00587444" w:rsidRPr="00587444" w:rsidRDefault="00587444" w:rsidP="00587932">
      <w:pPr>
        <w:numPr>
          <w:ilvl w:val="0"/>
          <w:numId w:val="30"/>
        </w:numPr>
        <w:tabs>
          <w:tab w:val="num" w:pos="1080"/>
        </w:tabs>
        <w:autoSpaceDN/>
        <w:ind w:left="1080"/>
        <w:contextualSpacing/>
        <w:jc w:val="both"/>
        <w:rPr>
          <w:rFonts w:ascii="Arial" w:hAnsi="Arial" w:cs="Arial"/>
          <w:sz w:val="20"/>
          <w:szCs w:val="20"/>
        </w:rPr>
      </w:pPr>
      <w:r w:rsidRPr="00587444">
        <w:rPr>
          <w:rFonts w:ascii="Arial" w:hAnsi="Arial" w:cs="Arial"/>
          <w:sz w:val="20"/>
          <w:szCs w:val="20"/>
        </w:rPr>
        <w:t xml:space="preserve">Other receivables. </w:t>
      </w:r>
    </w:p>
    <w:p w14:paraId="53B5CDDA" w14:textId="77777777" w:rsidR="00587444" w:rsidRPr="00587444" w:rsidRDefault="00587444" w:rsidP="00587932">
      <w:pPr>
        <w:tabs>
          <w:tab w:val="num" w:pos="1080"/>
        </w:tabs>
        <w:autoSpaceDN/>
        <w:jc w:val="both"/>
        <w:rPr>
          <w:rFonts w:ascii="Arial" w:hAnsi="Arial" w:cs="Arial"/>
          <w:sz w:val="20"/>
          <w:szCs w:val="20"/>
        </w:rPr>
      </w:pPr>
    </w:p>
    <w:p w14:paraId="00A71065" w14:textId="77777777" w:rsidR="00587444" w:rsidRPr="00587444" w:rsidRDefault="00587444" w:rsidP="00587932">
      <w:pPr>
        <w:autoSpaceDN/>
        <w:jc w:val="both"/>
        <w:rPr>
          <w:rFonts w:ascii="Arial" w:hAnsi="Arial" w:cs="Arial"/>
          <w:i/>
          <w:iCs/>
          <w:sz w:val="20"/>
          <w:szCs w:val="20"/>
          <w:lang w:val="en-GB"/>
        </w:rPr>
      </w:pPr>
      <w:r w:rsidRPr="00587444">
        <w:rPr>
          <w:rFonts w:ascii="Arial" w:hAnsi="Arial" w:cs="Arial"/>
          <w:i/>
          <w:iCs/>
          <w:sz w:val="20"/>
          <w:szCs w:val="20"/>
          <w:lang w:val="en-GB"/>
        </w:rPr>
        <w:t xml:space="preserve">Current accounts with banks </w:t>
      </w:r>
    </w:p>
    <w:p w14:paraId="242CB142" w14:textId="77777777" w:rsidR="00587444" w:rsidRPr="00587444" w:rsidRDefault="00587444" w:rsidP="00587932">
      <w:pPr>
        <w:autoSpaceDN/>
        <w:jc w:val="both"/>
        <w:rPr>
          <w:rFonts w:ascii="Arial" w:hAnsi="Arial" w:cs="Arial"/>
          <w:sz w:val="20"/>
          <w:szCs w:val="20"/>
          <w:lang w:val="en-GB" w:eastAsia="hr-HR"/>
        </w:rPr>
      </w:pPr>
      <w:r w:rsidRPr="00587444">
        <w:rPr>
          <w:rFonts w:ascii="Arial" w:hAnsi="Arial" w:cs="Arial"/>
          <w:color w:val="000000"/>
          <w:sz w:val="20"/>
          <w:szCs w:val="20"/>
          <w:lang w:val="en-GB" w:eastAsia="hr-HR"/>
        </w:rPr>
        <w:t>Current accounts with banks are allocated to a business model whose purpose is to hold assets for the payment of contracted cash flows and they meet the SPPI test in accordance with the Methodology for the Classification and Measurement of Financial Instruments</w:t>
      </w:r>
      <w:r w:rsidRPr="00587444">
        <w:rPr>
          <w:rFonts w:ascii="Arial" w:hAnsi="Arial" w:cs="Arial"/>
          <w:sz w:val="20"/>
          <w:szCs w:val="20"/>
          <w:lang w:val="en-GB" w:eastAsia="hr-HR"/>
        </w:rPr>
        <w:t>.</w:t>
      </w:r>
    </w:p>
    <w:p w14:paraId="6198FE27" w14:textId="77777777" w:rsidR="00587444" w:rsidRPr="00587444" w:rsidRDefault="00587444" w:rsidP="00587932">
      <w:pPr>
        <w:autoSpaceDN/>
        <w:jc w:val="both"/>
        <w:rPr>
          <w:rFonts w:ascii="Arial" w:hAnsi="Arial" w:cs="Arial"/>
          <w:sz w:val="20"/>
          <w:szCs w:val="20"/>
          <w:lang w:val="en-GB" w:eastAsia="hr-HR"/>
        </w:rPr>
      </w:pPr>
    </w:p>
    <w:p w14:paraId="455B06F5" w14:textId="77777777" w:rsidR="00587444" w:rsidRPr="00587444" w:rsidRDefault="00587444" w:rsidP="00587932">
      <w:pPr>
        <w:autoSpaceDN/>
        <w:jc w:val="both"/>
        <w:rPr>
          <w:rFonts w:ascii="Arial" w:hAnsi="Arial" w:cs="Arial"/>
          <w:color w:val="000000"/>
          <w:sz w:val="20"/>
          <w:szCs w:val="20"/>
          <w:lang w:val="en-GB" w:eastAsia="hr-HR"/>
        </w:rPr>
      </w:pPr>
      <w:r w:rsidRPr="00587444">
        <w:rPr>
          <w:rFonts w:ascii="Arial" w:hAnsi="Arial" w:cs="Arial"/>
          <w:sz w:val="20"/>
          <w:szCs w:val="20"/>
          <w:lang w:val="en-GB" w:eastAsia="hr-HR"/>
        </w:rPr>
        <w:t>Pursuant to the above, Current accounts with banks are classified to the assets subsequently measured at amortised cost</w:t>
      </w:r>
      <w:r w:rsidRPr="00587444">
        <w:rPr>
          <w:rFonts w:ascii="Arial" w:hAnsi="Arial" w:cs="Arial"/>
          <w:color w:val="000000"/>
          <w:sz w:val="20"/>
          <w:szCs w:val="20"/>
          <w:lang w:val="en-GB" w:eastAsia="hr-HR"/>
        </w:rPr>
        <w:t>.</w:t>
      </w:r>
    </w:p>
    <w:p w14:paraId="5026ACA2" w14:textId="77777777" w:rsidR="00587444" w:rsidRPr="00587444" w:rsidRDefault="00587444" w:rsidP="00587932">
      <w:pPr>
        <w:autoSpaceDN/>
        <w:jc w:val="both"/>
        <w:rPr>
          <w:rFonts w:ascii="Arial" w:hAnsi="Arial" w:cs="Arial"/>
          <w:color w:val="000000"/>
          <w:sz w:val="20"/>
          <w:szCs w:val="20"/>
          <w:lang w:val="en-GB" w:eastAsia="hr-HR"/>
        </w:rPr>
      </w:pPr>
    </w:p>
    <w:p w14:paraId="76B9B590" w14:textId="77777777" w:rsidR="00587444" w:rsidRPr="00587444" w:rsidRDefault="00587444" w:rsidP="00587932">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In the case of identified expected credit losses on funds on transaction accounts with domestic banks and abroad, impairment is performed but the expected credit losses are not discounted to present value in accordance with the short-term character of these financial assets.</w:t>
      </w:r>
    </w:p>
    <w:p w14:paraId="4D775909" w14:textId="77777777" w:rsidR="00587444" w:rsidRPr="00587444" w:rsidRDefault="00587444" w:rsidP="00587932">
      <w:pPr>
        <w:autoSpaceDN/>
        <w:jc w:val="both"/>
        <w:rPr>
          <w:rFonts w:ascii="Arial" w:hAnsi="Arial" w:cs="Arial"/>
          <w:color w:val="000000"/>
          <w:sz w:val="20"/>
          <w:szCs w:val="20"/>
          <w:lang w:val="en-GB" w:eastAsia="hr-HR"/>
        </w:rPr>
      </w:pPr>
    </w:p>
    <w:p w14:paraId="769F94B2" w14:textId="77777777" w:rsidR="00587444" w:rsidRPr="00587444" w:rsidRDefault="00587444" w:rsidP="00587932">
      <w:pPr>
        <w:autoSpaceDN/>
        <w:jc w:val="both"/>
        <w:rPr>
          <w:rFonts w:ascii="Arial" w:hAnsi="Arial" w:cs="Arial"/>
          <w:i/>
          <w:color w:val="000000"/>
          <w:sz w:val="20"/>
          <w:szCs w:val="20"/>
          <w:lang w:val="en-GB" w:eastAsia="hr-HR"/>
        </w:rPr>
      </w:pPr>
      <w:r w:rsidRPr="00587444">
        <w:rPr>
          <w:rFonts w:ascii="Arial" w:hAnsi="Arial" w:cs="Arial"/>
          <w:i/>
          <w:color w:val="000000"/>
          <w:sz w:val="20"/>
          <w:szCs w:val="20"/>
          <w:lang w:val="en-GB" w:eastAsia="hr-HR"/>
        </w:rPr>
        <w:t xml:space="preserve">Deposits with banks </w:t>
      </w:r>
    </w:p>
    <w:p w14:paraId="6318561D" w14:textId="77777777" w:rsidR="00587444" w:rsidRPr="00587444" w:rsidRDefault="00587444" w:rsidP="00587932">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Deposits with banks are allocated to a business model whose purpose is to hold assets for the collection of contractual cash flows and they pass the SPPI test in accordance with the Methodology for the Classification and Measurement of Financial Instruments. </w:t>
      </w:r>
    </w:p>
    <w:p w14:paraId="37AC94A4" w14:textId="77777777" w:rsidR="00587444" w:rsidRPr="00587444" w:rsidRDefault="00587444" w:rsidP="00587932">
      <w:pPr>
        <w:autoSpaceDN/>
        <w:jc w:val="both"/>
        <w:rPr>
          <w:rFonts w:ascii="Arial" w:hAnsi="Arial" w:cs="Arial"/>
          <w:color w:val="000000"/>
          <w:sz w:val="20"/>
          <w:szCs w:val="20"/>
          <w:lang w:val="en-GB" w:eastAsia="hr-HR"/>
        </w:rPr>
      </w:pPr>
    </w:p>
    <w:p w14:paraId="72CF25F3" w14:textId="77777777" w:rsidR="00587444" w:rsidRPr="00587444" w:rsidRDefault="00587444" w:rsidP="00587932">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Pursuant to the above, deposits with banks are classified to the assets subsequently measured at amortised cost.</w:t>
      </w:r>
    </w:p>
    <w:p w14:paraId="0FEFDB55" w14:textId="77777777" w:rsidR="00587444" w:rsidRPr="00587444" w:rsidRDefault="00587444" w:rsidP="00587932">
      <w:pPr>
        <w:autoSpaceDN/>
        <w:jc w:val="both"/>
        <w:rPr>
          <w:rFonts w:ascii="Arial" w:hAnsi="Arial" w:cs="Arial"/>
          <w:color w:val="000000"/>
          <w:sz w:val="20"/>
          <w:szCs w:val="20"/>
          <w:lang w:val="en-GB" w:eastAsia="hr-HR"/>
        </w:rPr>
      </w:pPr>
    </w:p>
    <w:p w14:paraId="7FBE0FAF" w14:textId="77777777" w:rsidR="00587444" w:rsidRPr="00587444" w:rsidRDefault="00587444" w:rsidP="00587932">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Impairment is determined in the amount of the expected credit losses, however, in the case of short-term deposits, they are not discounted to present value in accordance with their short-term character.</w:t>
      </w:r>
    </w:p>
    <w:p w14:paraId="396CBB8A" w14:textId="77777777" w:rsidR="00587444" w:rsidRPr="00587444" w:rsidRDefault="00587444" w:rsidP="00587444">
      <w:pPr>
        <w:tabs>
          <w:tab w:val="num" w:pos="1080"/>
        </w:tabs>
        <w:suppressAutoHyphens w:val="0"/>
        <w:autoSpaceDN/>
        <w:jc w:val="both"/>
        <w:rPr>
          <w:rFonts w:ascii="Arial" w:hAnsi="Arial" w:cs="Arial"/>
          <w:sz w:val="20"/>
          <w:szCs w:val="20"/>
        </w:rPr>
        <w:sectPr w:rsidR="00587444" w:rsidRPr="00587444" w:rsidSect="00DD69E7">
          <w:pgSz w:w="11907" w:h="16840" w:code="9"/>
          <w:pgMar w:top="1418" w:right="992" w:bottom="1134" w:left="1418" w:header="851" w:footer="851" w:gutter="0"/>
          <w:cols w:space="720"/>
          <w:noEndnote/>
        </w:sectPr>
      </w:pPr>
    </w:p>
    <w:p w14:paraId="1B63667D" w14:textId="77777777" w:rsidR="00587444" w:rsidRPr="00587444" w:rsidRDefault="00587444" w:rsidP="00587444">
      <w:pPr>
        <w:suppressAutoHyphens w:val="0"/>
        <w:autoSpaceDN/>
        <w:jc w:val="both"/>
        <w:rPr>
          <w:rFonts w:ascii="Arial" w:hAnsi="Arial" w:cs="Arial"/>
          <w:sz w:val="20"/>
          <w:szCs w:val="20"/>
        </w:rPr>
      </w:pPr>
    </w:p>
    <w:p w14:paraId="4F5F9C94"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2206CB6F"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9B729DA"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02CD89CF" w14:textId="77777777" w:rsidR="00587444" w:rsidRPr="00587444" w:rsidRDefault="00587444" w:rsidP="00587444">
      <w:pPr>
        <w:suppressAutoHyphens w:val="0"/>
        <w:autoSpaceDN/>
        <w:jc w:val="both"/>
        <w:rPr>
          <w:rFonts w:ascii="Arial" w:hAnsi="Arial" w:cs="Arial"/>
          <w:b/>
          <w:sz w:val="20"/>
          <w:szCs w:val="20"/>
        </w:rPr>
      </w:pPr>
    </w:p>
    <w:p w14:paraId="222C762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1EBEB475" w14:textId="77777777" w:rsidR="00587444" w:rsidRPr="00587444" w:rsidRDefault="00587444" w:rsidP="00587444">
      <w:pPr>
        <w:suppressAutoHyphens w:val="0"/>
        <w:autoSpaceDN/>
        <w:jc w:val="both"/>
        <w:rPr>
          <w:rFonts w:ascii="Arial" w:hAnsi="Arial" w:cs="Arial"/>
          <w:b/>
          <w:sz w:val="20"/>
          <w:szCs w:val="20"/>
        </w:rPr>
      </w:pPr>
    </w:p>
    <w:p w14:paraId="151DACA5" w14:textId="77777777" w:rsidR="00587444" w:rsidRPr="00587444" w:rsidRDefault="00587444" w:rsidP="00587444">
      <w:pPr>
        <w:suppressAutoHyphens w:val="0"/>
        <w:autoSpaceDN/>
        <w:jc w:val="both"/>
        <w:rPr>
          <w:rFonts w:ascii="Arial" w:hAnsi="Arial" w:cs="Arial"/>
          <w:b/>
          <w:i/>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2E74FC00" w14:textId="77777777" w:rsidR="00587444" w:rsidRPr="00587444" w:rsidRDefault="00587444" w:rsidP="00587932">
      <w:pPr>
        <w:autoSpaceDN/>
        <w:jc w:val="both"/>
        <w:rPr>
          <w:rFonts w:ascii="Arial" w:hAnsi="Arial" w:cs="Arial"/>
          <w:sz w:val="20"/>
          <w:szCs w:val="20"/>
        </w:rPr>
      </w:pPr>
    </w:p>
    <w:p w14:paraId="58F45F78" w14:textId="77777777" w:rsidR="00587444" w:rsidRPr="00587444" w:rsidRDefault="00587444" w:rsidP="00587932">
      <w:pPr>
        <w:autoSpaceDN/>
        <w:jc w:val="both"/>
        <w:rPr>
          <w:rFonts w:ascii="Arial" w:hAnsi="Arial" w:cs="Arial"/>
          <w:i/>
          <w:color w:val="000000"/>
          <w:sz w:val="20"/>
          <w:szCs w:val="20"/>
          <w:lang w:val="en-GB" w:eastAsia="hr-HR"/>
        </w:rPr>
      </w:pPr>
      <w:r w:rsidRPr="00587444">
        <w:rPr>
          <w:rFonts w:ascii="Arial" w:hAnsi="Arial" w:cs="Arial"/>
          <w:i/>
          <w:color w:val="000000"/>
          <w:sz w:val="20"/>
          <w:szCs w:val="20"/>
          <w:lang w:val="en-GB" w:eastAsia="hr-HR"/>
        </w:rPr>
        <w:t xml:space="preserve">Loans </w:t>
      </w:r>
    </w:p>
    <w:p w14:paraId="31FF65C5" w14:textId="77777777" w:rsidR="00587444" w:rsidRPr="00587444" w:rsidRDefault="00587444" w:rsidP="00587932">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Loans are allocated to a business model whose purpose is to hold assets for the collection of contractual cash flows. Loans that pass the SPPI test in accordance with the Methodology for the Classification and Measurement of Financial Instruments are classified to the assets subsequently measured at amortised cost. Loans that fail the SPPI test in accordance with the Methodology for the Classification and Measurement of Financial Instruments are classified to the assets subsequently measured at fair value through profit or loss.</w:t>
      </w:r>
    </w:p>
    <w:p w14:paraId="2DF014FA" w14:textId="77777777" w:rsidR="00587444" w:rsidRPr="00587444" w:rsidRDefault="00587444" w:rsidP="00587932">
      <w:pPr>
        <w:autoSpaceDN/>
        <w:jc w:val="both"/>
        <w:rPr>
          <w:rFonts w:ascii="Arial" w:hAnsi="Arial" w:cs="Arial"/>
          <w:color w:val="000000"/>
          <w:sz w:val="20"/>
          <w:szCs w:val="20"/>
          <w:lang w:val="en-GB" w:eastAsia="hr-HR"/>
        </w:rPr>
      </w:pPr>
    </w:p>
    <w:p w14:paraId="6E618F90" w14:textId="77777777" w:rsidR="00587444" w:rsidRPr="00587444" w:rsidRDefault="00587444" w:rsidP="00587932">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Impairment of loans subsequently measured at amortised cost is determined in the amount of the expected credit losses by applying the general impairment approach (see </w:t>
      </w:r>
      <w:proofErr w:type="spellStart"/>
      <w:proofErr w:type="gramStart"/>
      <w:r w:rsidRPr="00587444">
        <w:rPr>
          <w:rFonts w:ascii="Arial" w:hAnsi="Arial" w:cs="Arial"/>
          <w:color w:val="000000"/>
          <w:sz w:val="20"/>
          <w:szCs w:val="20"/>
          <w:lang w:val="en-GB" w:eastAsia="hr-HR"/>
        </w:rPr>
        <w:t>G.ix</w:t>
      </w:r>
      <w:proofErr w:type="spellEnd"/>
      <w:r w:rsidRPr="00587444">
        <w:rPr>
          <w:rFonts w:ascii="Arial" w:hAnsi="Arial" w:cs="Arial"/>
          <w:color w:val="000000"/>
          <w:sz w:val="20"/>
          <w:szCs w:val="20"/>
          <w:lang w:val="en-GB" w:eastAsia="hr-HR"/>
        </w:rPr>
        <w:t>.</w:t>
      </w:r>
      <w:proofErr w:type="gramEnd"/>
      <w:r w:rsidRPr="00587444">
        <w:rPr>
          <w:rFonts w:ascii="Arial" w:hAnsi="Arial" w:cs="Arial"/>
          <w:color w:val="000000"/>
          <w:sz w:val="20"/>
          <w:szCs w:val="20"/>
          <w:lang w:val="en-GB" w:eastAsia="hr-HR"/>
        </w:rPr>
        <w:t xml:space="preserve"> Impairment). </w:t>
      </w:r>
    </w:p>
    <w:p w14:paraId="2FCD71DD" w14:textId="77777777" w:rsidR="00587444" w:rsidRPr="00587444" w:rsidRDefault="00587444" w:rsidP="00587932">
      <w:pPr>
        <w:autoSpaceDN/>
        <w:jc w:val="both"/>
        <w:rPr>
          <w:rFonts w:ascii="Arial" w:hAnsi="Arial" w:cs="Arial"/>
          <w:color w:val="000000"/>
          <w:sz w:val="20"/>
          <w:szCs w:val="20"/>
          <w:lang w:val="en-GB" w:eastAsia="hr-HR"/>
        </w:rPr>
      </w:pPr>
    </w:p>
    <w:p w14:paraId="7795EA26" w14:textId="77777777" w:rsidR="00587444" w:rsidRPr="00587444" w:rsidRDefault="00587444" w:rsidP="00587932">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Loan receivables are based on contracts. Any amendments to contract provisions that change the agreed loan cash flows </w:t>
      </w:r>
      <w:proofErr w:type="gramStart"/>
      <w:r w:rsidRPr="00587444">
        <w:rPr>
          <w:rFonts w:ascii="Arial" w:hAnsi="Arial" w:cs="Arial"/>
          <w:color w:val="000000"/>
          <w:sz w:val="20"/>
          <w:szCs w:val="20"/>
          <w:lang w:val="en-GB" w:eastAsia="hr-HR"/>
        </w:rPr>
        <w:t>are considered to be</w:t>
      </w:r>
      <w:proofErr w:type="gramEnd"/>
      <w:r w:rsidRPr="00587444">
        <w:rPr>
          <w:rFonts w:ascii="Arial" w:hAnsi="Arial" w:cs="Arial"/>
          <w:color w:val="000000"/>
          <w:sz w:val="20"/>
          <w:szCs w:val="20"/>
          <w:lang w:val="en-GB" w:eastAsia="hr-HR"/>
        </w:rPr>
        <w:t xml:space="preserve"> a modification of a loan (see G.vi. Modification of financial assets).</w:t>
      </w:r>
    </w:p>
    <w:p w14:paraId="4D449CDB" w14:textId="77777777" w:rsidR="00587444" w:rsidRPr="00587444" w:rsidRDefault="00587444" w:rsidP="00587932">
      <w:pPr>
        <w:autoSpaceDN/>
        <w:jc w:val="both"/>
        <w:rPr>
          <w:rFonts w:ascii="Arial" w:hAnsi="Arial" w:cs="Arial"/>
          <w:color w:val="000000"/>
          <w:sz w:val="20"/>
          <w:szCs w:val="20"/>
          <w:lang w:val="en-GB" w:eastAsia="hr-HR"/>
        </w:rPr>
      </w:pPr>
    </w:p>
    <w:p w14:paraId="5C424A82" w14:textId="77777777" w:rsidR="00587444" w:rsidRPr="00587444" w:rsidRDefault="00587444" w:rsidP="00587932">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Loans purchased or originated, for which the existence of expected credit losses was determined at initial recognition, </w:t>
      </w:r>
      <w:proofErr w:type="gramStart"/>
      <w:r w:rsidRPr="00587444">
        <w:rPr>
          <w:rFonts w:ascii="Arial" w:hAnsi="Arial" w:cs="Arial"/>
          <w:color w:val="000000"/>
          <w:sz w:val="20"/>
          <w:szCs w:val="20"/>
          <w:lang w:val="en-GB" w:eastAsia="hr-HR"/>
        </w:rPr>
        <w:t>are considered to be</w:t>
      </w:r>
      <w:proofErr w:type="gramEnd"/>
      <w:r w:rsidRPr="00587444">
        <w:rPr>
          <w:rFonts w:ascii="Arial" w:hAnsi="Arial" w:cs="Arial"/>
          <w:color w:val="000000"/>
          <w:sz w:val="20"/>
          <w:szCs w:val="20"/>
          <w:lang w:val="en-GB" w:eastAsia="hr-HR"/>
        </w:rPr>
        <w:t xml:space="preserve"> POCI assets (see </w:t>
      </w:r>
      <w:proofErr w:type="spellStart"/>
      <w:r w:rsidRPr="00587444">
        <w:rPr>
          <w:rFonts w:ascii="Arial" w:hAnsi="Arial" w:cs="Arial"/>
          <w:color w:val="000000"/>
          <w:sz w:val="20"/>
          <w:szCs w:val="20"/>
          <w:lang w:val="en-GB" w:eastAsia="hr-HR"/>
        </w:rPr>
        <w:t>G.vii</w:t>
      </w:r>
      <w:proofErr w:type="spellEnd"/>
      <w:r w:rsidRPr="00587444">
        <w:rPr>
          <w:rFonts w:ascii="Arial" w:hAnsi="Arial" w:cs="Arial"/>
          <w:color w:val="000000"/>
          <w:sz w:val="20"/>
          <w:szCs w:val="20"/>
          <w:lang w:val="en-GB" w:eastAsia="hr-HR"/>
        </w:rPr>
        <w:t>. Purchased or originated credit-impaired financial assets (POCI assets)).</w:t>
      </w:r>
    </w:p>
    <w:p w14:paraId="76314BF8" w14:textId="77777777" w:rsidR="00587444" w:rsidRPr="00587444" w:rsidRDefault="00587444" w:rsidP="00587932">
      <w:pPr>
        <w:autoSpaceDN/>
        <w:jc w:val="both"/>
        <w:rPr>
          <w:rFonts w:ascii="Arial" w:hAnsi="Arial" w:cs="Arial"/>
          <w:color w:val="000000"/>
          <w:sz w:val="20"/>
          <w:szCs w:val="20"/>
          <w:lang w:val="en-GB" w:eastAsia="hr-HR"/>
        </w:rPr>
      </w:pPr>
    </w:p>
    <w:p w14:paraId="5C3C54C4" w14:textId="77777777" w:rsidR="00587444" w:rsidRPr="00587444" w:rsidRDefault="00587444" w:rsidP="00587932">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Interest income from fees is recognised in the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 xml:space="preserve"> using the effective interest rate method wherever applicable. If a fee, which represents an incremental loan cost, arises before the first loan disbursement, the fee income is recognised in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 xml:space="preserve"> on a time-proportionate basis (the so-called linear method) until the effective interest rate has been set. From the moment when the effective interest rate is set until the end of the loan lifetime, interest income is recognised in the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 xml:space="preserve"> by applying the effective interest rate method on the unamortised fee amount. </w:t>
      </w:r>
    </w:p>
    <w:p w14:paraId="118CBDCB" w14:textId="77777777" w:rsidR="00587444" w:rsidRPr="00587444" w:rsidRDefault="00587444" w:rsidP="00587932">
      <w:pPr>
        <w:autoSpaceDN/>
        <w:jc w:val="both"/>
        <w:rPr>
          <w:rFonts w:ascii="Arial" w:hAnsi="Arial" w:cs="Arial"/>
          <w:color w:val="000000"/>
          <w:sz w:val="20"/>
          <w:szCs w:val="20"/>
          <w:lang w:val="en-GB" w:eastAsia="hr-HR"/>
        </w:rPr>
      </w:pPr>
    </w:p>
    <w:p w14:paraId="5F59DF60" w14:textId="77777777" w:rsidR="00587444" w:rsidRPr="00587444" w:rsidRDefault="00587444" w:rsidP="00587932">
      <w:pPr>
        <w:autoSpaceDN/>
        <w:jc w:val="both"/>
        <w:rPr>
          <w:rFonts w:ascii="Arial" w:hAnsi="Arial" w:cs="Arial"/>
          <w:color w:val="000000"/>
          <w:sz w:val="20"/>
          <w:szCs w:val="20"/>
          <w:lang w:val="en-GB" w:eastAsia="hr-HR"/>
        </w:rPr>
      </w:pPr>
      <w:bookmarkStart w:id="416" w:name="_Hlk534361746"/>
      <w:r w:rsidRPr="00587444">
        <w:rPr>
          <w:rFonts w:ascii="Arial" w:hAnsi="Arial" w:cs="Arial"/>
          <w:color w:val="000000"/>
          <w:sz w:val="20"/>
          <w:szCs w:val="20"/>
          <w:lang w:val="en-GB" w:eastAsia="hr-HR"/>
        </w:rPr>
        <w:t xml:space="preserve">Loans classified to assets subsequently measured at fair value through profit or loss are not subject to impairment, and the provisions described in Note </w:t>
      </w:r>
      <w:proofErr w:type="spellStart"/>
      <w:r w:rsidRPr="00587444">
        <w:rPr>
          <w:rFonts w:ascii="Arial" w:hAnsi="Arial" w:cs="Arial"/>
          <w:color w:val="000000"/>
          <w:sz w:val="20"/>
          <w:szCs w:val="20"/>
          <w:lang w:val="en-GB" w:eastAsia="hr-HR"/>
        </w:rPr>
        <w:t>G.x</w:t>
      </w:r>
      <w:proofErr w:type="spellEnd"/>
      <w:r w:rsidRPr="00587444">
        <w:rPr>
          <w:rFonts w:ascii="Arial" w:hAnsi="Arial" w:cs="Arial"/>
          <w:color w:val="000000"/>
          <w:sz w:val="20"/>
          <w:szCs w:val="20"/>
          <w:lang w:val="en-GB" w:eastAsia="hr-HR"/>
        </w:rPr>
        <w:t>. “Shares in investment funds” apply to both initial and subsequent measurements.</w:t>
      </w:r>
      <w:bookmarkEnd w:id="416"/>
    </w:p>
    <w:p w14:paraId="15DB3C6C" w14:textId="77777777" w:rsidR="00587444" w:rsidRPr="00587444" w:rsidRDefault="00587444" w:rsidP="00587444">
      <w:pPr>
        <w:suppressAutoHyphens w:val="0"/>
        <w:autoSpaceDN/>
        <w:jc w:val="both"/>
        <w:rPr>
          <w:rFonts w:ascii="Arial" w:hAnsi="Arial" w:cs="Arial"/>
          <w:color w:val="000000"/>
          <w:sz w:val="20"/>
          <w:szCs w:val="20"/>
          <w:lang w:val="en-GB" w:eastAsia="hr-HR"/>
        </w:rPr>
      </w:pPr>
    </w:p>
    <w:p w14:paraId="16A9A6D8" w14:textId="77777777" w:rsidR="00587444" w:rsidRPr="00587444" w:rsidRDefault="00587444" w:rsidP="00587444">
      <w:pPr>
        <w:suppressAutoHyphens w:val="0"/>
        <w:autoSpaceDN/>
        <w:rPr>
          <w:rFonts w:ascii="Arial" w:hAnsi="Arial" w:cs="Arial"/>
          <w:sz w:val="20"/>
          <w:szCs w:val="20"/>
          <w:lang w:val="en-GB"/>
        </w:rPr>
      </w:pPr>
    </w:p>
    <w:p w14:paraId="05727B5F" w14:textId="77777777" w:rsidR="00587444" w:rsidRPr="00587444" w:rsidRDefault="00587444" w:rsidP="00587444">
      <w:pPr>
        <w:suppressAutoHyphens w:val="0"/>
        <w:autoSpaceDN/>
        <w:jc w:val="both"/>
        <w:rPr>
          <w:rFonts w:ascii="Arial" w:hAnsi="Arial" w:cs="Arial"/>
          <w:bCs/>
          <w:sz w:val="20"/>
          <w:szCs w:val="20"/>
        </w:rPr>
        <w:sectPr w:rsidR="00587444" w:rsidRPr="00587444" w:rsidSect="00DD69E7">
          <w:pgSz w:w="11907" w:h="16840" w:code="9"/>
          <w:pgMar w:top="1418" w:right="992" w:bottom="1134" w:left="1418" w:header="851" w:footer="851" w:gutter="0"/>
          <w:cols w:space="720"/>
          <w:noEndnote/>
        </w:sectPr>
      </w:pPr>
    </w:p>
    <w:p w14:paraId="13F3A941" w14:textId="77777777" w:rsidR="00587444" w:rsidRPr="00587444" w:rsidRDefault="00587444" w:rsidP="00587444">
      <w:pPr>
        <w:tabs>
          <w:tab w:val="left" w:pos="851"/>
        </w:tabs>
        <w:suppressAutoHyphens w:val="0"/>
        <w:autoSpaceDN/>
        <w:jc w:val="both"/>
        <w:rPr>
          <w:rFonts w:ascii="Arial" w:hAnsi="Arial" w:cs="Arial"/>
          <w:bCs/>
          <w:sz w:val="20"/>
          <w:szCs w:val="20"/>
        </w:rPr>
      </w:pPr>
      <w:bookmarkStart w:id="417" w:name="_Hlk534360452"/>
    </w:p>
    <w:p w14:paraId="05B0EFD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6FEED589"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3882EA52"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116427E1" w14:textId="77777777" w:rsidR="00587444" w:rsidRPr="00587444" w:rsidRDefault="00587444" w:rsidP="00587444">
      <w:pPr>
        <w:suppressAutoHyphens w:val="0"/>
        <w:autoSpaceDN/>
        <w:jc w:val="both"/>
        <w:rPr>
          <w:rFonts w:ascii="Arial" w:hAnsi="Arial" w:cs="Arial"/>
          <w:b/>
          <w:sz w:val="20"/>
          <w:szCs w:val="20"/>
        </w:rPr>
      </w:pPr>
    </w:p>
    <w:p w14:paraId="4A5A9F48"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119D5E02" w14:textId="77777777" w:rsidR="00587444" w:rsidRPr="00587444" w:rsidRDefault="00587444" w:rsidP="00587444">
      <w:pPr>
        <w:suppressAutoHyphens w:val="0"/>
        <w:autoSpaceDN/>
        <w:jc w:val="both"/>
        <w:rPr>
          <w:rFonts w:ascii="Arial" w:eastAsia="PMingLiU" w:hAnsi="Arial" w:cs="Arial"/>
          <w:sz w:val="20"/>
          <w:szCs w:val="20"/>
          <w:lang w:eastAsia="hr-HR" w:bidi="hr-HR"/>
        </w:rPr>
      </w:pPr>
    </w:p>
    <w:p w14:paraId="5D2C25D4" w14:textId="77777777" w:rsidR="00587444" w:rsidRPr="00587444" w:rsidRDefault="00587444" w:rsidP="00587444">
      <w:pPr>
        <w:suppressAutoHyphens w:val="0"/>
        <w:autoSpaceDN/>
        <w:jc w:val="both"/>
        <w:rPr>
          <w:rFonts w:ascii="Arial" w:hAnsi="Arial" w:cs="Arial"/>
          <w:b/>
          <w:i/>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bookmarkEnd w:id="417"/>
    <w:p w14:paraId="01B40B37" w14:textId="77777777" w:rsidR="00587444" w:rsidRPr="00587444" w:rsidRDefault="00587444" w:rsidP="00587444">
      <w:pPr>
        <w:suppressAutoHyphens w:val="0"/>
        <w:autoSpaceDN/>
        <w:jc w:val="both"/>
        <w:rPr>
          <w:rFonts w:ascii="Arial" w:hAnsi="Arial" w:cs="Arial"/>
          <w:i/>
          <w:color w:val="000000"/>
          <w:sz w:val="20"/>
          <w:szCs w:val="20"/>
          <w:lang w:val="en-GB" w:eastAsia="hr-HR"/>
        </w:rPr>
      </w:pPr>
    </w:p>
    <w:p w14:paraId="731EDE3F" w14:textId="77777777" w:rsidR="00587444" w:rsidRPr="00587444" w:rsidRDefault="00587444" w:rsidP="00587932">
      <w:pPr>
        <w:autoSpaceDN/>
        <w:jc w:val="both"/>
        <w:rPr>
          <w:rFonts w:ascii="Arial" w:hAnsi="Arial" w:cs="Arial"/>
          <w:i/>
          <w:color w:val="000000"/>
          <w:sz w:val="20"/>
          <w:szCs w:val="20"/>
          <w:lang w:val="en-GB" w:eastAsia="hr-HR"/>
        </w:rPr>
      </w:pPr>
      <w:r w:rsidRPr="00587444">
        <w:rPr>
          <w:rFonts w:ascii="Arial" w:hAnsi="Arial" w:cs="Arial"/>
          <w:i/>
          <w:color w:val="000000"/>
          <w:sz w:val="20"/>
          <w:szCs w:val="20"/>
          <w:lang w:val="en-GB" w:eastAsia="hr-HR"/>
        </w:rPr>
        <w:t xml:space="preserve">Debt securities </w:t>
      </w:r>
    </w:p>
    <w:p w14:paraId="0241099C" w14:textId="77777777" w:rsidR="00587444" w:rsidRPr="00587444" w:rsidRDefault="00587444" w:rsidP="00587932">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HBOR invests a portion of liquidity reserve funds in debt securities in accordance with the terms and conditions prescribed by the bank’s internal documents regulating HBOR’s investment policy. Owing to the development role of HBOR that has been determined by the Act on HBOR, and owing to the preservation of capital and the reduction of risks arising from the performance of activities determined by the Act on HBOR to the lowest level possible, the Bank does not acquire securities and investments for the purpose of recording short-term profit or loss from trading activities, it does so for the purpose of maintaining short-term liquidity reserves and managing short-term liquidity.</w:t>
      </w:r>
    </w:p>
    <w:p w14:paraId="141A4D50" w14:textId="77777777" w:rsidR="00587444" w:rsidRPr="00587444" w:rsidRDefault="00587444" w:rsidP="00587932">
      <w:pPr>
        <w:autoSpaceDN/>
        <w:jc w:val="both"/>
        <w:rPr>
          <w:rFonts w:ascii="Arial" w:hAnsi="Arial" w:cs="Arial"/>
          <w:color w:val="000000"/>
          <w:sz w:val="20"/>
          <w:szCs w:val="20"/>
          <w:lang w:val="en-GB" w:eastAsia="hr-HR"/>
        </w:rPr>
      </w:pPr>
    </w:p>
    <w:p w14:paraId="5014ACE9" w14:textId="77777777" w:rsidR="00587444" w:rsidRPr="00587444" w:rsidRDefault="00587444" w:rsidP="00587932">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Debt securities are comprised of bonds and money market instruments: treasury bills and commercial papers. </w:t>
      </w:r>
    </w:p>
    <w:p w14:paraId="443A55FD" w14:textId="77777777" w:rsidR="00587444" w:rsidRPr="00587444" w:rsidRDefault="00587444" w:rsidP="00587932">
      <w:pPr>
        <w:autoSpaceDN/>
        <w:jc w:val="both"/>
        <w:rPr>
          <w:rFonts w:ascii="Arial" w:hAnsi="Arial" w:cs="Arial"/>
          <w:color w:val="000000"/>
          <w:sz w:val="20"/>
          <w:szCs w:val="20"/>
          <w:lang w:val="en-GB" w:eastAsia="hr-HR"/>
        </w:rPr>
      </w:pPr>
    </w:p>
    <w:p w14:paraId="0D01A19B" w14:textId="77777777" w:rsidR="00587444" w:rsidRPr="00587444" w:rsidRDefault="00587444" w:rsidP="00587932">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Debt securities are allocated to a business model whose purpose is to collect the contractual cash flows and to sell the financial assets, they pass the SPPI test and are classified to the assets subsequently measured at fair value through other comprehensive income.</w:t>
      </w:r>
    </w:p>
    <w:p w14:paraId="12A170DB" w14:textId="77777777" w:rsidR="00587444" w:rsidRPr="00587444" w:rsidRDefault="00587444" w:rsidP="00587932">
      <w:pPr>
        <w:autoSpaceDN/>
        <w:jc w:val="both"/>
        <w:rPr>
          <w:rFonts w:ascii="Arial" w:hAnsi="Arial" w:cs="Arial"/>
          <w:color w:val="000000"/>
          <w:sz w:val="20"/>
          <w:szCs w:val="20"/>
          <w:lang w:val="en-GB" w:eastAsia="hr-HR"/>
        </w:rPr>
      </w:pPr>
    </w:p>
    <w:p w14:paraId="56734837" w14:textId="77777777" w:rsidR="00587444" w:rsidRPr="00587444" w:rsidRDefault="00587444" w:rsidP="00587932">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Debt securities are recorded off-balance sheet at nominal value as at the trading date, and they are recognised in the statement of financial position at fair value as at the settlement date including transaction costs directly attributable to the acquisition of financial assets. </w:t>
      </w:r>
    </w:p>
    <w:p w14:paraId="1FA64AD6" w14:textId="77777777" w:rsidR="00587444" w:rsidRPr="00587444" w:rsidRDefault="00587444" w:rsidP="00587932">
      <w:pPr>
        <w:autoSpaceDN/>
        <w:jc w:val="both"/>
        <w:rPr>
          <w:rFonts w:ascii="Arial" w:hAnsi="Arial" w:cs="Arial"/>
          <w:color w:val="000000"/>
          <w:sz w:val="20"/>
          <w:szCs w:val="20"/>
          <w:lang w:val="en-GB" w:eastAsia="hr-HR"/>
        </w:rPr>
      </w:pPr>
    </w:p>
    <w:p w14:paraId="4991B9F3" w14:textId="77777777" w:rsidR="00587444" w:rsidRPr="00587444" w:rsidRDefault="00587444" w:rsidP="00587932">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The earned interest is recognised as interest receivables as at the settlement date and does not represent HBOR’s revenue.</w:t>
      </w:r>
    </w:p>
    <w:p w14:paraId="769780AE" w14:textId="77777777" w:rsidR="00587444" w:rsidRPr="00587444" w:rsidRDefault="00587444" w:rsidP="00587932">
      <w:pPr>
        <w:autoSpaceDN/>
        <w:jc w:val="both"/>
        <w:rPr>
          <w:rFonts w:ascii="Arial" w:hAnsi="Arial" w:cs="Arial"/>
          <w:color w:val="000000"/>
          <w:sz w:val="20"/>
          <w:szCs w:val="20"/>
          <w:lang w:val="en-GB" w:eastAsia="hr-HR"/>
        </w:rPr>
      </w:pPr>
    </w:p>
    <w:p w14:paraId="2D309883" w14:textId="77777777" w:rsidR="00587444" w:rsidRPr="00587444" w:rsidRDefault="00587444" w:rsidP="00587932">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Interest accrued on the nominal value of debt securities is proportional to the interest rate and maturity date and is recognised as interest income in the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 xml:space="preserve"> using the effective interest rate method.</w:t>
      </w:r>
    </w:p>
    <w:p w14:paraId="3C579276" w14:textId="77777777" w:rsidR="00587444" w:rsidRPr="00587444" w:rsidRDefault="00587444" w:rsidP="00587932">
      <w:pPr>
        <w:autoSpaceDN/>
        <w:jc w:val="both"/>
        <w:rPr>
          <w:rFonts w:ascii="Arial" w:hAnsi="Arial" w:cs="Arial"/>
          <w:color w:val="000000"/>
          <w:sz w:val="20"/>
          <w:szCs w:val="20"/>
          <w:lang w:val="en-GB" w:eastAsia="hr-HR"/>
        </w:rPr>
      </w:pPr>
    </w:p>
    <w:p w14:paraId="069A8D8A" w14:textId="77777777" w:rsidR="00587444" w:rsidRPr="00587444" w:rsidRDefault="00587444" w:rsidP="00587932">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Amortisation of initially recognised premium or discount and transaction costs for purchased debt securities is recognised in the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 xml:space="preserve"> as an increase or a decrease in interest income using the effective interest rate method.</w:t>
      </w:r>
    </w:p>
    <w:p w14:paraId="7234A459" w14:textId="77777777" w:rsidR="00587444" w:rsidRPr="00587444" w:rsidRDefault="00587444" w:rsidP="00587932">
      <w:pPr>
        <w:autoSpaceDN/>
        <w:jc w:val="both"/>
        <w:rPr>
          <w:rFonts w:ascii="Arial" w:hAnsi="Arial" w:cs="Arial"/>
          <w:color w:val="000000"/>
          <w:sz w:val="20"/>
          <w:szCs w:val="20"/>
          <w:lang w:val="en-GB" w:eastAsia="hr-HR"/>
        </w:rPr>
      </w:pPr>
    </w:p>
    <w:p w14:paraId="6891D387" w14:textId="77777777" w:rsidR="00587444" w:rsidRPr="00587444" w:rsidRDefault="00587444" w:rsidP="00587932">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Debt securities are measured at balance sheet date at fair value that is determined in the manner prescribed by internal documents regulating the methods of measurement of financial instruments (Financial Instruments Measurement Methodology). Gains or losses arising from the change in the fair value of these financial assets are recognised in other comprehensive income, and foreign exchange gains or losses are recognised in the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w:t>
      </w:r>
    </w:p>
    <w:p w14:paraId="3D6CE325" w14:textId="77777777" w:rsidR="00587444" w:rsidRPr="00587444" w:rsidRDefault="00587444" w:rsidP="00587932">
      <w:pPr>
        <w:autoSpaceDN/>
        <w:jc w:val="both"/>
        <w:rPr>
          <w:rFonts w:ascii="Arial" w:hAnsi="Arial" w:cs="Arial"/>
          <w:color w:val="000000"/>
          <w:sz w:val="20"/>
          <w:szCs w:val="20"/>
          <w:lang w:val="en-GB" w:eastAsia="hr-HR"/>
        </w:rPr>
      </w:pPr>
    </w:p>
    <w:p w14:paraId="1552DB02" w14:textId="77777777" w:rsidR="00587444" w:rsidRPr="00587444" w:rsidRDefault="00587444" w:rsidP="00587932">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If financial assets cease to be recognised, the cumulative gains or losses recognised in other comprehensive income are reclassified from equity to profit or loss as reclassification adjustment.</w:t>
      </w:r>
    </w:p>
    <w:p w14:paraId="26A8AA07" w14:textId="77777777" w:rsidR="00587444" w:rsidRPr="00587444" w:rsidRDefault="00587444" w:rsidP="00587932">
      <w:pPr>
        <w:autoSpaceDN/>
        <w:jc w:val="both"/>
        <w:rPr>
          <w:rFonts w:ascii="Arial" w:hAnsi="Arial" w:cs="Arial"/>
          <w:color w:val="000000"/>
          <w:sz w:val="20"/>
          <w:szCs w:val="20"/>
          <w:lang w:val="en-GB" w:eastAsia="hr-HR"/>
        </w:rPr>
      </w:pPr>
    </w:p>
    <w:p w14:paraId="2F8FA144" w14:textId="77777777" w:rsidR="00587444" w:rsidRPr="00587444" w:rsidRDefault="00587444" w:rsidP="00587932">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Impairment is determined in the amount of the expected credit losses (see </w:t>
      </w:r>
      <w:proofErr w:type="spellStart"/>
      <w:proofErr w:type="gramStart"/>
      <w:r w:rsidRPr="00587444">
        <w:rPr>
          <w:rFonts w:ascii="Arial" w:hAnsi="Arial" w:cs="Arial"/>
          <w:color w:val="000000"/>
          <w:sz w:val="20"/>
          <w:szCs w:val="20"/>
          <w:lang w:val="en-GB" w:eastAsia="hr-HR"/>
        </w:rPr>
        <w:t>G.ix</w:t>
      </w:r>
      <w:proofErr w:type="spellEnd"/>
      <w:r w:rsidRPr="00587444">
        <w:rPr>
          <w:rFonts w:ascii="Arial" w:hAnsi="Arial" w:cs="Arial"/>
          <w:color w:val="000000"/>
          <w:sz w:val="20"/>
          <w:szCs w:val="20"/>
          <w:lang w:val="en-GB" w:eastAsia="hr-HR"/>
        </w:rPr>
        <w:t>.</w:t>
      </w:r>
      <w:proofErr w:type="gramEnd"/>
      <w:r w:rsidRPr="00587444">
        <w:rPr>
          <w:rFonts w:ascii="Arial" w:hAnsi="Arial" w:cs="Arial"/>
          <w:color w:val="000000"/>
          <w:sz w:val="20"/>
          <w:szCs w:val="20"/>
          <w:lang w:val="en-GB" w:eastAsia="hr-HR"/>
        </w:rPr>
        <w:t xml:space="preserve"> Impairment - general approach).</w:t>
      </w:r>
    </w:p>
    <w:p w14:paraId="342A758F" w14:textId="77777777" w:rsidR="00587444" w:rsidRPr="00587444" w:rsidRDefault="00587444" w:rsidP="00587444">
      <w:pPr>
        <w:suppressAutoHyphens w:val="0"/>
        <w:autoSpaceDN/>
        <w:jc w:val="both"/>
        <w:rPr>
          <w:rFonts w:ascii="Arial" w:hAnsi="Arial" w:cs="Arial"/>
          <w:color w:val="000000"/>
          <w:sz w:val="20"/>
          <w:szCs w:val="20"/>
          <w:lang w:val="en-GB" w:eastAsia="hr-HR"/>
        </w:rPr>
        <w:sectPr w:rsidR="00587444" w:rsidRPr="00587444" w:rsidSect="00DD69E7">
          <w:pgSz w:w="11907" w:h="16840" w:code="9"/>
          <w:pgMar w:top="1418" w:right="1134" w:bottom="1134" w:left="1418" w:header="851" w:footer="851" w:gutter="0"/>
          <w:cols w:space="720"/>
          <w:noEndnote/>
        </w:sectPr>
      </w:pPr>
    </w:p>
    <w:p w14:paraId="5BECD034" w14:textId="77777777" w:rsidR="00587444" w:rsidRPr="00587444" w:rsidRDefault="00587444" w:rsidP="00587444">
      <w:pPr>
        <w:suppressAutoHyphens w:val="0"/>
        <w:autoSpaceDN/>
        <w:jc w:val="both"/>
        <w:rPr>
          <w:rFonts w:ascii="Arial" w:hAnsi="Arial" w:cs="Arial"/>
          <w:sz w:val="20"/>
          <w:szCs w:val="20"/>
          <w:lang w:eastAsia="hr-HR"/>
        </w:rPr>
      </w:pPr>
    </w:p>
    <w:p w14:paraId="26FC5241"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38EC48A7"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5BABFB9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6FE0CB24" w14:textId="77777777" w:rsidR="00587444" w:rsidRPr="00587444" w:rsidRDefault="00587444" w:rsidP="00587932">
      <w:pPr>
        <w:autoSpaceDN/>
        <w:jc w:val="both"/>
        <w:rPr>
          <w:rFonts w:ascii="Arial" w:hAnsi="Arial" w:cs="Arial"/>
          <w:b/>
          <w:sz w:val="20"/>
          <w:szCs w:val="20"/>
        </w:rPr>
      </w:pPr>
    </w:p>
    <w:p w14:paraId="1DDE0FC1"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6B0F1356" w14:textId="77777777" w:rsidR="00587444" w:rsidRPr="00587444" w:rsidRDefault="00587444" w:rsidP="00587932">
      <w:pPr>
        <w:autoSpaceDN/>
        <w:jc w:val="both"/>
        <w:rPr>
          <w:rFonts w:ascii="Arial" w:hAnsi="Arial" w:cs="Arial"/>
          <w:sz w:val="20"/>
          <w:szCs w:val="20"/>
          <w:lang w:eastAsia="hr-HR"/>
        </w:rPr>
      </w:pPr>
    </w:p>
    <w:p w14:paraId="3C65BB3C"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25CCC357" w14:textId="77777777" w:rsidR="00587444" w:rsidRPr="00587444" w:rsidRDefault="00587444" w:rsidP="00587932">
      <w:pPr>
        <w:autoSpaceDN/>
        <w:jc w:val="both"/>
        <w:rPr>
          <w:rFonts w:ascii="Arial" w:hAnsi="Arial" w:cs="Arial"/>
          <w:color w:val="000000"/>
          <w:sz w:val="20"/>
          <w:szCs w:val="20"/>
          <w:lang w:val="en-GB" w:eastAsia="hr-HR"/>
        </w:rPr>
      </w:pPr>
      <w:bookmarkStart w:id="418" w:name="_Hlk534373336"/>
    </w:p>
    <w:p w14:paraId="3B6EB294" w14:textId="77777777" w:rsidR="00587444" w:rsidRPr="00587444" w:rsidRDefault="00587444" w:rsidP="00587932">
      <w:pPr>
        <w:autoSpaceDN/>
        <w:jc w:val="both"/>
        <w:rPr>
          <w:rFonts w:ascii="Arial" w:hAnsi="Arial" w:cs="Arial"/>
          <w:i/>
          <w:sz w:val="20"/>
          <w:szCs w:val="20"/>
          <w:lang w:eastAsia="hr-HR"/>
        </w:rPr>
      </w:pPr>
      <w:r w:rsidRPr="00587444">
        <w:rPr>
          <w:rFonts w:ascii="Arial" w:hAnsi="Arial" w:cs="Arial"/>
          <w:i/>
          <w:sz w:val="20"/>
          <w:szCs w:val="20"/>
          <w:lang w:eastAsia="hr-HR"/>
        </w:rPr>
        <w:t>Equity securities</w:t>
      </w:r>
    </w:p>
    <w:p w14:paraId="20C5A6AB" w14:textId="77777777" w:rsidR="00587444" w:rsidRPr="00587444" w:rsidRDefault="00587444" w:rsidP="00587932">
      <w:pPr>
        <w:autoSpaceDN/>
        <w:jc w:val="both"/>
        <w:rPr>
          <w:rFonts w:ascii="Arial" w:hAnsi="Arial" w:cs="Arial"/>
          <w:sz w:val="20"/>
          <w:szCs w:val="20"/>
          <w:lang w:eastAsia="hr-HR"/>
        </w:rPr>
      </w:pPr>
      <w:r w:rsidRPr="00587444">
        <w:rPr>
          <w:rFonts w:ascii="Arial" w:hAnsi="Arial" w:cs="Arial"/>
          <w:sz w:val="20"/>
          <w:szCs w:val="20"/>
          <w:lang w:eastAsia="hr-HR"/>
        </w:rPr>
        <w:t>The accounting treatment of investment in ordinary or preference shares or business interests depends on the degree of control and influence HBOR has over the business and operating policies of company and on the type of investment.</w:t>
      </w:r>
    </w:p>
    <w:p w14:paraId="5997ABDC" w14:textId="77777777" w:rsidR="00587444" w:rsidRPr="00587444" w:rsidRDefault="00587444" w:rsidP="00587932">
      <w:pPr>
        <w:autoSpaceDN/>
        <w:jc w:val="both"/>
        <w:rPr>
          <w:rFonts w:ascii="Arial" w:hAnsi="Arial" w:cs="Arial"/>
          <w:color w:val="000000"/>
          <w:sz w:val="20"/>
          <w:szCs w:val="20"/>
          <w:highlight w:val="green"/>
          <w:lang w:eastAsia="hr-HR"/>
        </w:rPr>
      </w:pPr>
      <w:r w:rsidRPr="00587444">
        <w:rPr>
          <w:rFonts w:ascii="Arial" w:hAnsi="Arial" w:cs="Arial"/>
          <w:color w:val="000000"/>
          <w:sz w:val="20"/>
          <w:szCs w:val="20"/>
          <w:highlight w:val="green"/>
          <w:lang w:eastAsia="hr-HR"/>
        </w:rPr>
        <w:t xml:space="preserve"> </w:t>
      </w:r>
    </w:p>
    <w:p w14:paraId="2AA90A8A" w14:textId="77777777" w:rsidR="00587444" w:rsidRPr="00587444" w:rsidRDefault="00587444" w:rsidP="00587932">
      <w:pPr>
        <w:autoSpaceDN/>
        <w:jc w:val="both"/>
        <w:rPr>
          <w:rFonts w:ascii="Arial" w:hAnsi="Arial" w:cs="Arial"/>
          <w:color w:val="000000"/>
          <w:sz w:val="20"/>
          <w:szCs w:val="20"/>
          <w:highlight w:val="green"/>
          <w:lang w:eastAsia="hr-HR"/>
        </w:rPr>
      </w:pPr>
      <w:r w:rsidRPr="00587444">
        <w:rPr>
          <w:rFonts w:ascii="Arial" w:hAnsi="Arial" w:cs="Arial"/>
          <w:color w:val="000000"/>
          <w:sz w:val="20"/>
          <w:szCs w:val="20"/>
          <w:lang w:eastAsia="hr-HR"/>
        </w:rPr>
        <w:t>Investments are broken down as follows:</w:t>
      </w:r>
    </w:p>
    <w:p w14:paraId="32060E06" w14:textId="77777777" w:rsidR="00587444" w:rsidRPr="00587444" w:rsidRDefault="00587444" w:rsidP="00587932">
      <w:pPr>
        <w:numPr>
          <w:ilvl w:val="0"/>
          <w:numId w:val="40"/>
        </w:numPr>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investment without significant influence – equity stake below 20 %,</w:t>
      </w:r>
    </w:p>
    <w:p w14:paraId="2D54D75E" w14:textId="77777777" w:rsidR="00587444" w:rsidRPr="00587444" w:rsidRDefault="00587444" w:rsidP="00587932">
      <w:pPr>
        <w:numPr>
          <w:ilvl w:val="0"/>
          <w:numId w:val="40"/>
        </w:numPr>
        <w:autoSpaceDN/>
        <w:contextualSpacing/>
        <w:rPr>
          <w:rFonts w:ascii="Arial" w:hAnsi="Arial" w:cs="Arial"/>
          <w:sz w:val="20"/>
          <w:szCs w:val="20"/>
          <w:lang w:eastAsia="hr-HR"/>
        </w:rPr>
      </w:pPr>
      <w:r w:rsidRPr="00587444">
        <w:rPr>
          <w:rFonts w:ascii="Arial" w:hAnsi="Arial" w:cs="Arial"/>
          <w:sz w:val="20"/>
          <w:szCs w:val="20"/>
          <w:lang w:eastAsia="hr-HR"/>
        </w:rPr>
        <w:t>investment in associates – significant influence,</w:t>
      </w:r>
    </w:p>
    <w:p w14:paraId="2AD70D29" w14:textId="77777777" w:rsidR="00587444" w:rsidRPr="00587444" w:rsidRDefault="00587444" w:rsidP="00587932">
      <w:pPr>
        <w:numPr>
          <w:ilvl w:val="0"/>
          <w:numId w:val="40"/>
        </w:numPr>
        <w:autoSpaceDN/>
        <w:contextualSpacing/>
        <w:rPr>
          <w:rFonts w:ascii="Arial" w:hAnsi="Arial" w:cs="Arial"/>
          <w:sz w:val="20"/>
          <w:szCs w:val="20"/>
          <w:lang w:eastAsia="hr-HR"/>
        </w:rPr>
      </w:pPr>
      <w:r w:rsidRPr="00587444">
        <w:rPr>
          <w:rFonts w:ascii="Arial" w:hAnsi="Arial" w:cs="Arial"/>
          <w:sz w:val="20"/>
          <w:szCs w:val="20"/>
          <w:lang w:eastAsia="hr-HR"/>
        </w:rPr>
        <w:t>investment in subsidiaries – controlling influence.</w:t>
      </w:r>
    </w:p>
    <w:p w14:paraId="1720B9D6" w14:textId="77777777" w:rsidR="00587444" w:rsidRPr="00587444" w:rsidRDefault="00587444" w:rsidP="00587932">
      <w:pPr>
        <w:autoSpaceDN/>
        <w:ind w:left="720"/>
        <w:contextualSpacing/>
        <w:rPr>
          <w:rFonts w:ascii="Arial" w:hAnsi="Arial" w:cs="Arial"/>
          <w:color w:val="000000"/>
          <w:sz w:val="20"/>
          <w:szCs w:val="20"/>
          <w:highlight w:val="green"/>
          <w:lang w:eastAsia="hr-HR"/>
        </w:rPr>
      </w:pPr>
    </w:p>
    <w:p w14:paraId="5D85F559" w14:textId="77777777" w:rsidR="00587444" w:rsidRPr="00587444" w:rsidRDefault="00587444" w:rsidP="00587932">
      <w:pPr>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When preparing separate and consolidated financial statements, investments in associates and subsidiaries are stated either:</w:t>
      </w:r>
    </w:p>
    <w:p w14:paraId="7722306B" w14:textId="77777777" w:rsidR="00587444" w:rsidRPr="00587444" w:rsidRDefault="00587444" w:rsidP="00587932">
      <w:pPr>
        <w:numPr>
          <w:ilvl w:val="0"/>
          <w:numId w:val="41"/>
        </w:numPr>
        <w:autoSpaceDN/>
        <w:contextualSpacing/>
        <w:rPr>
          <w:rFonts w:ascii="Arial" w:hAnsi="Arial" w:cs="Arial"/>
          <w:sz w:val="20"/>
          <w:szCs w:val="20"/>
          <w:lang w:eastAsia="hr-HR"/>
        </w:rPr>
      </w:pPr>
      <w:r w:rsidRPr="00587444">
        <w:rPr>
          <w:rFonts w:ascii="Arial" w:hAnsi="Arial" w:cs="Arial"/>
          <w:sz w:val="20"/>
          <w:szCs w:val="20"/>
          <w:lang w:eastAsia="hr-HR"/>
        </w:rPr>
        <w:t>at acquisition cost, or</w:t>
      </w:r>
      <w:r w:rsidRPr="00587444" w:rsidDel="00B87230">
        <w:rPr>
          <w:rFonts w:ascii="Arial" w:hAnsi="Arial" w:cs="Arial"/>
          <w:sz w:val="20"/>
          <w:szCs w:val="20"/>
          <w:lang w:eastAsia="hr-HR"/>
        </w:rPr>
        <w:t xml:space="preserve"> </w:t>
      </w:r>
    </w:p>
    <w:p w14:paraId="75A877F2" w14:textId="77777777" w:rsidR="00587444" w:rsidRPr="00587444" w:rsidRDefault="00587444" w:rsidP="00587932">
      <w:pPr>
        <w:numPr>
          <w:ilvl w:val="0"/>
          <w:numId w:val="41"/>
        </w:numPr>
        <w:autoSpaceDN/>
        <w:contextualSpacing/>
        <w:rPr>
          <w:rFonts w:ascii="Arial" w:hAnsi="Arial" w:cs="Arial"/>
          <w:sz w:val="20"/>
          <w:szCs w:val="20"/>
          <w:lang w:eastAsia="hr-HR"/>
        </w:rPr>
      </w:pPr>
      <w:r w:rsidRPr="00587444">
        <w:rPr>
          <w:rFonts w:ascii="Arial" w:hAnsi="Arial" w:cs="Arial"/>
          <w:sz w:val="20"/>
          <w:szCs w:val="20"/>
          <w:lang w:eastAsia="hr-HR"/>
        </w:rPr>
        <w:t xml:space="preserve">in accordance with IFRS 9, or </w:t>
      </w:r>
    </w:p>
    <w:p w14:paraId="5B0E8183" w14:textId="77777777" w:rsidR="00587444" w:rsidRPr="00587444" w:rsidRDefault="00587444" w:rsidP="00587932">
      <w:pPr>
        <w:numPr>
          <w:ilvl w:val="0"/>
          <w:numId w:val="41"/>
        </w:numPr>
        <w:autoSpaceDN/>
        <w:contextualSpacing/>
        <w:rPr>
          <w:rFonts w:ascii="Arial" w:hAnsi="Arial" w:cs="Arial"/>
          <w:sz w:val="20"/>
          <w:szCs w:val="20"/>
          <w:lang w:eastAsia="hr-HR"/>
        </w:rPr>
      </w:pPr>
      <w:r w:rsidRPr="00587444">
        <w:rPr>
          <w:rFonts w:ascii="Arial" w:hAnsi="Arial" w:cs="Arial"/>
          <w:sz w:val="20"/>
          <w:szCs w:val="20"/>
          <w:lang w:eastAsia="hr-HR"/>
        </w:rPr>
        <w:t>using the equity method.</w:t>
      </w:r>
    </w:p>
    <w:p w14:paraId="568B6F81" w14:textId="77777777" w:rsidR="00587444" w:rsidRPr="00587444" w:rsidRDefault="00587444" w:rsidP="00587932">
      <w:pPr>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The same accounting treatment is used for every investment category.</w:t>
      </w:r>
    </w:p>
    <w:p w14:paraId="3E419DCD" w14:textId="77777777" w:rsidR="00587444" w:rsidRPr="00587444" w:rsidRDefault="00587444" w:rsidP="00587932">
      <w:pPr>
        <w:autoSpaceDN/>
        <w:jc w:val="both"/>
        <w:rPr>
          <w:rFonts w:ascii="Arial" w:hAnsi="Arial" w:cs="Arial"/>
          <w:color w:val="000000"/>
          <w:sz w:val="20"/>
          <w:szCs w:val="20"/>
          <w:highlight w:val="green"/>
          <w:lang w:eastAsia="hr-HR"/>
        </w:rPr>
      </w:pPr>
      <w:r w:rsidRPr="00587444">
        <w:rPr>
          <w:rFonts w:ascii="Arial" w:hAnsi="Arial" w:cs="Arial"/>
          <w:sz w:val="20"/>
          <w:szCs w:val="20"/>
          <w:highlight w:val="green"/>
          <w:lang w:eastAsia="hr-HR"/>
        </w:rPr>
        <w:t xml:space="preserve"> </w:t>
      </w:r>
    </w:p>
    <w:p w14:paraId="764F9790" w14:textId="77777777" w:rsidR="00587444" w:rsidRPr="00587444" w:rsidRDefault="00587444" w:rsidP="00587932">
      <w:pPr>
        <w:autoSpaceDN/>
        <w:jc w:val="both"/>
        <w:rPr>
          <w:rFonts w:ascii="Arial" w:hAnsi="Arial" w:cs="Arial"/>
          <w:sz w:val="20"/>
          <w:szCs w:val="20"/>
          <w:lang w:eastAsia="hr-HR"/>
        </w:rPr>
      </w:pPr>
      <w:r w:rsidRPr="00587444">
        <w:rPr>
          <w:rFonts w:ascii="Arial" w:hAnsi="Arial" w:cs="Arial"/>
          <w:sz w:val="20"/>
          <w:szCs w:val="20"/>
          <w:lang w:eastAsia="hr-HR"/>
        </w:rPr>
        <w:t xml:space="preserve">Where investments in subsidiaries and associates, stated at acquisition cost or using the equity method, are classified as investments held for sale or distribution, they are stated in accordance with the IFRS 5 “Foreclosed assets and Discontinued Operations”. </w:t>
      </w:r>
    </w:p>
    <w:p w14:paraId="66766433" w14:textId="77777777" w:rsidR="00587444" w:rsidRPr="00587444" w:rsidRDefault="00587444" w:rsidP="00587932">
      <w:pPr>
        <w:autoSpaceDN/>
        <w:jc w:val="both"/>
        <w:rPr>
          <w:rFonts w:ascii="Arial" w:hAnsi="Arial" w:cs="Arial"/>
          <w:color w:val="000000"/>
          <w:sz w:val="20"/>
          <w:szCs w:val="20"/>
          <w:highlight w:val="green"/>
          <w:lang w:eastAsia="hr-HR"/>
        </w:rPr>
      </w:pPr>
    </w:p>
    <w:p w14:paraId="66EEE027" w14:textId="77777777" w:rsidR="00587444" w:rsidRPr="00587444" w:rsidRDefault="00587444" w:rsidP="00587932">
      <w:pPr>
        <w:tabs>
          <w:tab w:val="left" w:pos="851"/>
        </w:tabs>
        <w:autoSpaceDN/>
        <w:jc w:val="both"/>
        <w:rPr>
          <w:rFonts w:ascii="Arial" w:hAnsi="Arial" w:cs="Arial"/>
          <w:color w:val="000000"/>
          <w:sz w:val="20"/>
          <w:szCs w:val="20"/>
          <w:lang w:eastAsia="hr-HR"/>
        </w:rPr>
      </w:pPr>
      <w:proofErr w:type="gramStart"/>
      <w:r w:rsidRPr="00587444">
        <w:rPr>
          <w:rFonts w:ascii="Arial" w:hAnsi="Arial" w:cs="Arial"/>
          <w:color w:val="000000"/>
          <w:sz w:val="20"/>
          <w:szCs w:val="20"/>
          <w:lang w:eastAsia="hr-HR"/>
        </w:rPr>
        <w:t>Is</w:t>
      </w:r>
      <w:proofErr w:type="gramEnd"/>
      <w:r w:rsidRPr="00587444">
        <w:rPr>
          <w:rFonts w:ascii="Arial" w:hAnsi="Arial" w:cs="Arial"/>
          <w:color w:val="000000"/>
          <w:sz w:val="20"/>
          <w:szCs w:val="20"/>
          <w:lang w:eastAsia="hr-HR"/>
        </w:rPr>
        <w:t xml:space="preserve"> such circumstances, measurement of investments accounted for in accordance with the IFRS 9 is not changed.</w:t>
      </w:r>
    </w:p>
    <w:bookmarkEnd w:id="418"/>
    <w:p w14:paraId="751A1A05" w14:textId="77777777" w:rsidR="00587444" w:rsidRPr="00587444" w:rsidRDefault="00587444" w:rsidP="00587932">
      <w:pPr>
        <w:autoSpaceDN/>
        <w:jc w:val="both"/>
        <w:rPr>
          <w:rFonts w:ascii="Arial" w:hAnsi="Arial" w:cs="Arial"/>
          <w:sz w:val="20"/>
          <w:szCs w:val="20"/>
          <w:lang w:eastAsia="hr-HR"/>
        </w:rPr>
      </w:pPr>
    </w:p>
    <w:p w14:paraId="05653A90" w14:textId="77777777" w:rsidR="00587444" w:rsidRPr="00587444" w:rsidRDefault="00587444" w:rsidP="00587932">
      <w:pPr>
        <w:tabs>
          <w:tab w:val="left" w:pos="851"/>
        </w:tabs>
        <w:autoSpaceDN/>
        <w:jc w:val="both"/>
        <w:rPr>
          <w:rFonts w:ascii="Arial" w:hAnsi="Arial" w:cs="Arial"/>
          <w:i/>
          <w:color w:val="000000"/>
          <w:sz w:val="20"/>
          <w:szCs w:val="20"/>
          <w:u w:val="single"/>
          <w:lang w:eastAsia="hr-HR"/>
        </w:rPr>
      </w:pPr>
      <w:bookmarkStart w:id="419" w:name="_Hlk534721994"/>
      <w:r w:rsidRPr="00587444">
        <w:rPr>
          <w:rFonts w:ascii="Arial" w:hAnsi="Arial" w:cs="Arial"/>
          <w:i/>
          <w:color w:val="000000"/>
          <w:sz w:val="20"/>
          <w:szCs w:val="20"/>
          <w:u w:val="single"/>
          <w:lang w:eastAsia="hr-HR"/>
        </w:rPr>
        <w:t>Investments without significant influence – equity stake below 20 %</w:t>
      </w:r>
    </w:p>
    <w:bookmarkEnd w:id="419"/>
    <w:p w14:paraId="17846CD3" w14:textId="77777777" w:rsidR="00587444" w:rsidRPr="00587444" w:rsidRDefault="00587444" w:rsidP="00587932">
      <w:pPr>
        <w:tabs>
          <w:tab w:val="left" w:pos="851"/>
        </w:tabs>
        <w:autoSpaceDN/>
        <w:jc w:val="both"/>
        <w:rPr>
          <w:rFonts w:ascii="Arial" w:hAnsi="Arial" w:cs="Arial"/>
          <w:sz w:val="20"/>
          <w:szCs w:val="20"/>
          <w:lang w:eastAsia="hr-HR"/>
        </w:rPr>
      </w:pPr>
      <w:r w:rsidRPr="00587444">
        <w:rPr>
          <w:rFonts w:ascii="Arial" w:hAnsi="Arial" w:cs="Arial"/>
          <w:sz w:val="20"/>
          <w:szCs w:val="20"/>
          <w:lang w:eastAsia="hr-HR"/>
        </w:rPr>
        <w:t>Equity securities are allocated to a business model whose purpose is to collect the contractual cash flows and to sell the financial assets and fail the SPPI test in accordance with the Methodology for the Classification and Measurement of Financial Instruments. Therefore, equity securities are classified to the assets subsequently measured at fair value through profit or loss and are initially and subsequently measured at fair value.</w:t>
      </w:r>
    </w:p>
    <w:p w14:paraId="4E4F8B35" w14:textId="77777777" w:rsidR="00587444" w:rsidRPr="00587444" w:rsidRDefault="00587444" w:rsidP="00587932">
      <w:pPr>
        <w:autoSpaceDN/>
        <w:jc w:val="both"/>
        <w:rPr>
          <w:rFonts w:ascii="Arial" w:hAnsi="Arial" w:cs="Arial"/>
          <w:color w:val="000000"/>
          <w:sz w:val="20"/>
          <w:szCs w:val="20"/>
          <w:highlight w:val="green"/>
          <w:lang w:eastAsia="hr-HR"/>
        </w:rPr>
      </w:pPr>
    </w:p>
    <w:p w14:paraId="5C9C3EB4" w14:textId="77777777" w:rsidR="00587444" w:rsidRPr="00587444" w:rsidRDefault="00587444" w:rsidP="00587932">
      <w:pPr>
        <w:tabs>
          <w:tab w:val="left" w:pos="851"/>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 xml:space="preserve">The option of fair value through other comprehensive income is applied to the portion of equity securities: shares in the SWIFT company and in the European Investment Fund owing to the intention to permanently retain these shares in HBOR’s portfolio. The option of fair value through other comprehensive income represents the manner of subsequent measurement where all changes in fair value are </w:t>
      </w:r>
      <w:proofErr w:type="spellStart"/>
      <w:r w:rsidRPr="00587444">
        <w:rPr>
          <w:rFonts w:ascii="Arial" w:hAnsi="Arial" w:cs="Arial"/>
          <w:color w:val="000000"/>
          <w:sz w:val="20"/>
          <w:szCs w:val="20"/>
          <w:lang w:eastAsia="hr-HR"/>
        </w:rPr>
        <w:t>recognised</w:t>
      </w:r>
      <w:proofErr w:type="spellEnd"/>
      <w:r w:rsidRPr="00587444">
        <w:rPr>
          <w:rFonts w:ascii="Arial" w:hAnsi="Arial" w:cs="Arial"/>
          <w:color w:val="000000"/>
          <w:sz w:val="20"/>
          <w:szCs w:val="20"/>
          <w:lang w:eastAsia="hr-HR"/>
        </w:rPr>
        <w:t xml:space="preserve"> in other comprehensive income and not in profit or loss. This is an irrevocable </w:t>
      </w:r>
      <w:proofErr w:type="gramStart"/>
      <w:r w:rsidRPr="00587444">
        <w:rPr>
          <w:rFonts w:ascii="Arial" w:hAnsi="Arial" w:cs="Arial"/>
          <w:color w:val="000000"/>
          <w:sz w:val="20"/>
          <w:szCs w:val="20"/>
          <w:lang w:eastAsia="hr-HR"/>
        </w:rPr>
        <w:t>election</w:t>
      </w:r>
      <w:proofErr w:type="gramEnd"/>
      <w:r w:rsidRPr="00587444">
        <w:rPr>
          <w:rFonts w:ascii="Arial" w:hAnsi="Arial" w:cs="Arial"/>
          <w:color w:val="000000"/>
          <w:sz w:val="20"/>
          <w:szCs w:val="20"/>
          <w:lang w:eastAsia="hr-HR"/>
        </w:rPr>
        <w:t xml:space="preserve"> and all equity instruments remain classified to this model of subsequent measurement until the moment of derecognition. </w:t>
      </w:r>
    </w:p>
    <w:p w14:paraId="711E600C" w14:textId="77777777" w:rsidR="00587444" w:rsidRPr="00587444" w:rsidRDefault="00587444" w:rsidP="00587932">
      <w:pPr>
        <w:tabs>
          <w:tab w:val="left" w:pos="851"/>
        </w:tabs>
        <w:autoSpaceDN/>
        <w:jc w:val="both"/>
        <w:rPr>
          <w:rFonts w:ascii="Arial" w:hAnsi="Arial" w:cs="Arial"/>
          <w:color w:val="000000"/>
          <w:sz w:val="20"/>
          <w:szCs w:val="20"/>
          <w:lang w:eastAsia="hr-HR"/>
        </w:rPr>
      </w:pPr>
    </w:p>
    <w:p w14:paraId="35579256" w14:textId="77777777" w:rsidR="00587444" w:rsidRPr="00587444" w:rsidRDefault="00587444" w:rsidP="00587932">
      <w:pPr>
        <w:autoSpaceDN/>
        <w:jc w:val="both"/>
        <w:rPr>
          <w:rFonts w:ascii="Arial" w:hAnsi="Arial" w:cs="Arial"/>
          <w:sz w:val="20"/>
          <w:szCs w:val="20"/>
          <w:lang w:eastAsia="hr-HR"/>
        </w:rPr>
      </w:pPr>
      <w:r w:rsidRPr="00587444">
        <w:rPr>
          <w:rFonts w:ascii="Arial" w:hAnsi="Arial" w:cs="Arial"/>
          <w:sz w:val="20"/>
          <w:szCs w:val="20"/>
          <w:lang w:eastAsia="hr-HR"/>
        </w:rPr>
        <w:t xml:space="preserve">Gains or losses resulting from changes in exchange rates of foreign currencies are </w:t>
      </w:r>
      <w:proofErr w:type="spellStart"/>
      <w:r w:rsidRPr="00587444">
        <w:rPr>
          <w:rFonts w:ascii="Arial" w:hAnsi="Arial" w:cs="Arial"/>
          <w:sz w:val="20"/>
          <w:szCs w:val="20"/>
          <w:lang w:eastAsia="hr-HR"/>
        </w:rPr>
        <w:t>recognised</w:t>
      </w:r>
      <w:proofErr w:type="spellEnd"/>
      <w:r w:rsidRPr="00587444">
        <w:rPr>
          <w:rFonts w:ascii="Arial" w:hAnsi="Arial" w:cs="Arial"/>
          <w:sz w:val="20"/>
          <w:szCs w:val="20"/>
          <w:lang w:eastAsia="hr-HR"/>
        </w:rPr>
        <w:t xml:space="preserve"> in other comprehensive income. The amounts </w:t>
      </w:r>
      <w:proofErr w:type="spellStart"/>
      <w:r w:rsidRPr="00587444">
        <w:rPr>
          <w:rFonts w:ascii="Arial" w:hAnsi="Arial" w:cs="Arial"/>
          <w:sz w:val="20"/>
          <w:szCs w:val="20"/>
          <w:lang w:eastAsia="hr-HR"/>
        </w:rPr>
        <w:t>recognised</w:t>
      </w:r>
      <w:proofErr w:type="spellEnd"/>
      <w:r w:rsidRPr="00587444">
        <w:rPr>
          <w:rFonts w:ascii="Arial" w:hAnsi="Arial" w:cs="Arial"/>
          <w:sz w:val="20"/>
          <w:szCs w:val="20"/>
          <w:lang w:eastAsia="hr-HR"/>
        </w:rPr>
        <w:t xml:space="preserve"> in other comprehensive income are not transferred to the </w:t>
      </w:r>
      <w:r w:rsidRPr="00587444">
        <w:rPr>
          <w:rFonts w:ascii="Arial" w:hAnsi="Arial" w:cs="Arial"/>
          <w:color w:val="000000"/>
          <w:sz w:val="20"/>
          <w:szCs w:val="20"/>
        </w:rPr>
        <w:t>profit or loss</w:t>
      </w:r>
      <w:r w:rsidRPr="00587444">
        <w:rPr>
          <w:rFonts w:ascii="Arial" w:hAnsi="Arial" w:cs="Arial"/>
          <w:sz w:val="20"/>
          <w:szCs w:val="20"/>
          <w:lang w:eastAsia="hr-HR"/>
        </w:rPr>
        <w:t xml:space="preserve"> and are retained within the other comprehensive income </w:t>
      </w:r>
      <w:proofErr w:type="gramStart"/>
      <w:r w:rsidRPr="00587444">
        <w:rPr>
          <w:rFonts w:ascii="Arial" w:hAnsi="Arial" w:cs="Arial"/>
          <w:sz w:val="20"/>
          <w:szCs w:val="20"/>
          <w:lang w:eastAsia="hr-HR"/>
        </w:rPr>
        <w:t>at the moment</w:t>
      </w:r>
      <w:proofErr w:type="gramEnd"/>
      <w:r w:rsidRPr="00587444">
        <w:rPr>
          <w:rFonts w:ascii="Arial" w:hAnsi="Arial" w:cs="Arial"/>
          <w:sz w:val="20"/>
          <w:szCs w:val="20"/>
          <w:lang w:eastAsia="hr-HR"/>
        </w:rPr>
        <w:t xml:space="preserve"> of derecognition. </w:t>
      </w:r>
    </w:p>
    <w:p w14:paraId="7B95CF52" w14:textId="77777777" w:rsidR="00587444" w:rsidRPr="00587444" w:rsidRDefault="00587444" w:rsidP="00587444">
      <w:pPr>
        <w:tabs>
          <w:tab w:val="left" w:pos="851"/>
        </w:tabs>
        <w:suppressAutoHyphens w:val="0"/>
        <w:autoSpaceDN/>
        <w:jc w:val="both"/>
        <w:rPr>
          <w:rFonts w:ascii="Arial" w:hAnsi="Arial" w:cs="Arial"/>
          <w:color w:val="000000"/>
          <w:sz w:val="20"/>
          <w:szCs w:val="20"/>
          <w:lang w:eastAsia="hr-HR"/>
        </w:rPr>
        <w:sectPr w:rsidR="00587444" w:rsidRPr="00587444" w:rsidSect="00DD69E7">
          <w:pgSz w:w="11907" w:h="16840" w:code="9"/>
          <w:pgMar w:top="1418" w:right="992" w:bottom="1134" w:left="1418" w:header="851" w:footer="851" w:gutter="0"/>
          <w:cols w:space="720"/>
          <w:noEndnote/>
        </w:sectPr>
      </w:pPr>
    </w:p>
    <w:p w14:paraId="3D3F7413" w14:textId="77777777" w:rsidR="00587444" w:rsidRPr="00587444" w:rsidRDefault="00587444" w:rsidP="00587444">
      <w:pPr>
        <w:tabs>
          <w:tab w:val="left" w:pos="851"/>
        </w:tabs>
        <w:suppressAutoHyphens w:val="0"/>
        <w:autoSpaceDN/>
        <w:jc w:val="both"/>
        <w:rPr>
          <w:rFonts w:ascii="Arial" w:hAnsi="Arial" w:cs="Arial"/>
          <w:color w:val="000000"/>
          <w:sz w:val="20"/>
          <w:szCs w:val="20"/>
          <w:lang w:eastAsia="hr-HR"/>
        </w:rPr>
      </w:pPr>
    </w:p>
    <w:p w14:paraId="4654DD56"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40BBFD51"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06F1D47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066F6F29" w14:textId="77777777" w:rsidR="00587444" w:rsidRPr="00587444" w:rsidRDefault="00587444" w:rsidP="00587444">
      <w:pPr>
        <w:suppressAutoHyphens w:val="0"/>
        <w:autoSpaceDN/>
        <w:jc w:val="both"/>
        <w:rPr>
          <w:rFonts w:ascii="Arial" w:hAnsi="Arial" w:cs="Arial"/>
          <w:b/>
          <w:sz w:val="20"/>
          <w:szCs w:val="20"/>
        </w:rPr>
      </w:pPr>
    </w:p>
    <w:p w14:paraId="7C081A4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5DE54AAB" w14:textId="77777777" w:rsidR="00587444" w:rsidRPr="00587444" w:rsidRDefault="00587444" w:rsidP="00587444">
      <w:pPr>
        <w:suppressAutoHyphens w:val="0"/>
        <w:autoSpaceDN/>
        <w:jc w:val="both"/>
        <w:rPr>
          <w:rFonts w:ascii="Arial" w:hAnsi="Arial" w:cs="Arial"/>
          <w:sz w:val="20"/>
          <w:szCs w:val="20"/>
          <w:lang w:eastAsia="hr-HR"/>
        </w:rPr>
      </w:pPr>
    </w:p>
    <w:p w14:paraId="406E6E8B" w14:textId="77777777" w:rsidR="00587444" w:rsidRPr="00587444" w:rsidRDefault="00587444" w:rsidP="00587444">
      <w:pPr>
        <w:suppressAutoHyphens w:val="0"/>
        <w:autoSpaceDN/>
        <w:jc w:val="both"/>
        <w:rPr>
          <w:rFonts w:ascii="Arial" w:hAnsi="Arial" w:cs="Arial"/>
          <w:b/>
          <w:i/>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67939DF7" w14:textId="77777777" w:rsidR="00587444" w:rsidRPr="00587444" w:rsidRDefault="00587444" w:rsidP="00587932">
      <w:pPr>
        <w:autoSpaceDN/>
        <w:jc w:val="both"/>
        <w:rPr>
          <w:rFonts w:ascii="Arial" w:hAnsi="Arial" w:cs="Arial"/>
          <w:color w:val="000000"/>
          <w:sz w:val="20"/>
          <w:szCs w:val="20"/>
          <w:lang w:val="en-GB" w:eastAsia="hr-HR"/>
        </w:rPr>
      </w:pPr>
    </w:p>
    <w:p w14:paraId="251FF3E9" w14:textId="77777777" w:rsidR="00587444" w:rsidRPr="00587444" w:rsidRDefault="00587444" w:rsidP="00587932">
      <w:pPr>
        <w:autoSpaceDN/>
        <w:jc w:val="both"/>
        <w:rPr>
          <w:rFonts w:ascii="Arial" w:hAnsi="Arial" w:cs="Arial"/>
          <w:i/>
          <w:color w:val="000000"/>
          <w:sz w:val="20"/>
          <w:szCs w:val="20"/>
          <w:lang w:val="en-GB" w:eastAsia="hr-HR"/>
        </w:rPr>
      </w:pPr>
      <w:r w:rsidRPr="00587444">
        <w:rPr>
          <w:rFonts w:ascii="Arial" w:hAnsi="Arial" w:cs="Arial"/>
          <w:i/>
          <w:color w:val="000000"/>
          <w:sz w:val="20"/>
          <w:szCs w:val="20"/>
          <w:lang w:val="en-GB" w:eastAsia="hr-HR"/>
        </w:rPr>
        <w:t>Equity securities (continued)</w:t>
      </w:r>
    </w:p>
    <w:p w14:paraId="55DCE9B1" w14:textId="77777777" w:rsidR="00587444" w:rsidRPr="00587444" w:rsidRDefault="00587444" w:rsidP="00587932">
      <w:pPr>
        <w:tabs>
          <w:tab w:val="left" w:pos="851"/>
        </w:tabs>
        <w:autoSpaceDN/>
        <w:jc w:val="both"/>
        <w:rPr>
          <w:rFonts w:ascii="Arial" w:hAnsi="Arial" w:cs="Arial"/>
          <w:i/>
          <w:color w:val="000000"/>
          <w:sz w:val="20"/>
          <w:szCs w:val="20"/>
          <w:u w:val="single"/>
          <w:lang w:eastAsia="hr-HR"/>
        </w:rPr>
      </w:pPr>
      <w:r w:rsidRPr="00587444">
        <w:rPr>
          <w:rFonts w:ascii="Arial" w:hAnsi="Arial" w:cs="Arial"/>
          <w:i/>
          <w:color w:val="000000"/>
          <w:sz w:val="20"/>
          <w:szCs w:val="20"/>
          <w:u w:val="single"/>
          <w:lang w:eastAsia="hr-HR"/>
        </w:rPr>
        <w:t>Investments without significant influence – equity stake below 20 % (continued)</w:t>
      </w:r>
    </w:p>
    <w:p w14:paraId="16FE000C" w14:textId="77777777" w:rsidR="00587444" w:rsidRPr="00587444" w:rsidRDefault="00587444" w:rsidP="00587932">
      <w:pPr>
        <w:tabs>
          <w:tab w:val="left" w:pos="851"/>
        </w:tabs>
        <w:autoSpaceDN/>
        <w:jc w:val="both"/>
        <w:rPr>
          <w:rFonts w:ascii="Arial" w:hAnsi="Arial" w:cs="Arial"/>
          <w:color w:val="000000"/>
          <w:sz w:val="20"/>
          <w:szCs w:val="20"/>
          <w:highlight w:val="green"/>
          <w:lang w:eastAsia="hr-HR"/>
        </w:rPr>
      </w:pPr>
    </w:p>
    <w:p w14:paraId="2954908C" w14:textId="77777777" w:rsidR="00587444" w:rsidRPr="00587444" w:rsidRDefault="00587444" w:rsidP="00587932">
      <w:pPr>
        <w:tabs>
          <w:tab w:val="left" w:pos="851"/>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 xml:space="preserve">Dividend income from equity securities is </w:t>
      </w:r>
      <w:proofErr w:type="spellStart"/>
      <w:r w:rsidRPr="00587444">
        <w:rPr>
          <w:rFonts w:ascii="Arial" w:hAnsi="Arial" w:cs="Arial"/>
          <w:color w:val="000000"/>
          <w:sz w:val="20"/>
          <w:szCs w:val="20"/>
          <w:lang w:eastAsia="hr-HR"/>
        </w:rPr>
        <w:t>recognised</w:t>
      </w:r>
      <w:proofErr w:type="spellEnd"/>
      <w:r w:rsidRPr="00587444">
        <w:rPr>
          <w:rFonts w:ascii="Arial" w:hAnsi="Arial" w:cs="Arial"/>
          <w:color w:val="000000"/>
          <w:sz w:val="20"/>
          <w:szCs w:val="20"/>
          <w:lang w:eastAsia="hr-HR"/>
        </w:rPr>
        <w:t xml:space="preserve"> </w:t>
      </w:r>
      <w:proofErr w:type="gramStart"/>
      <w:r w:rsidRPr="00587444">
        <w:rPr>
          <w:rFonts w:ascii="Arial" w:hAnsi="Arial" w:cs="Arial"/>
          <w:color w:val="000000"/>
          <w:sz w:val="20"/>
          <w:szCs w:val="20"/>
          <w:lang w:eastAsia="hr-HR"/>
        </w:rPr>
        <w:t>on the basis of</w:t>
      </w:r>
      <w:proofErr w:type="gramEnd"/>
      <w:r w:rsidRPr="00587444">
        <w:rPr>
          <w:rFonts w:ascii="Arial" w:hAnsi="Arial" w:cs="Arial"/>
          <w:color w:val="000000"/>
          <w:sz w:val="20"/>
          <w:szCs w:val="20"/>
          <w:lang w:eastAsia="hr-HR"/>
        </w:rPr>
        <w:t xml:space="preserve"> payment decision and in the period in which it is made, which is made by the assembly or another competent body, if it is reasonable that the dividend will be collected. </w:t>
      </w:r>
    </w:p>
    <w:p w14:paraId="2C3A0993" w14:textId="77777777" w:rsidR="00587444" w:rsidRPr="00587444" w:rsidRDefault="00587444" w:rsidP="00587932">
      <w:pPr>
        <w:tabs>
          <w:tab w:val="left" w:pos="851"/>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 xml:space="preserve">If the collection is uncertain, income shall be </w:t>
      </w:r>
      <w:proofErr w:type="spellStart"/>
      <w:r w:rsidRPr="00587444">
        <w:rPr>
          <w:rFonts w:ascii="Arial" w:hAnsi="Arial" w:cs="Arial"/>
          <w:color w:val="000000"/>
          <w:sz w:val="20"/>
          <w:szCs w:val="20"/>
          <w:lang w:eastAsia="hr-HR"/>
        </w:rPr>
        <w:t>recognised</w:t>
      </w:r>
      <w:proofErr w:type="spellEnd"/>
      <w:r w:rsidRPr="00587444">
        <w:rPr>
          <w:rFonts w:ascii="Arial" w:hAnsi="Arial" w:cs="Arial"/>
          <w:color w:val="000000"/>
          <w:sz w:val="20"/>
          <w:szCs w:val="20"/>
          <w:lang w:eastAsia="hr-HR"/>
        </w:rPr>
        <w:t xml:space="preserve"> </w:t>
      </w:r>
      <w:proofErr w:type="gramStart"/>
      <w:r w:rsidRPr="00587444">
        <w:rPr>
          <w:rFonts w:ascii="Arial" w:hAnsi="Arial" w:cs="Arial"/>
          <w:color w:val="000000"/>
          <w:sz w:val="20"/>
          <w:szCs w:val="20"/>
          <w:lang w:eastAsia="hr-HR"/>
        </w:rPr>
        <w:t>at the moment</w:t>
      </w:r>
      <w:proofErr w:type="gramEnd"/>
      <w:r w:rsidRPr="00587444">
        <w:rPr>
          <w:rFonts w:ascii="Arial" w:hAnsi="Arial" w:cs="Arial"/>
          <w:color w:val="000000"/>
          <w:sz w:val="20"/>
          <w:szCs w:val="20"/>
          <w:lang w:eastAsia="hr-HR"/>
        </w:rPr>
        <w:t xml:space="preserve"> of collection only. </w:t>
      </w:r>
    </w:p>
    <w:p w14:paraId="498E2784" w14:textId="77777777" w:rsidR="00587444" w:rsidRPr="00587444" w:rsidRDefault="00587444" w:rsidP="00587932">
      <w:pPr>
        <w:autoSpaceDN/>
        <w:jc w:val="both"/>
        <w:rPr>
          <w:rFonts w:ascii="Arial" w:hAnsi="Arial" w:cs="Arial"/>
          <w:color w:val="000000"/>
          <w:sz w:val="20"/>
          <w:szCs w:val="20"/>
          <w:highlight w:val="green"/>
          <w:lang w:eastAsia="hr-HR"/>
        </w:rPr>
      </w:pPr>
    </w:p>
    <w:p w14:paraId="6D8EC7FF" w14:textId="77777777" w:rsidR="00587444" w:rsidRPr="00587444" w:rsidRDefault="00587444" w:rsidP="00587932">
      <w:pPr>
        <w:tabs>
          <w:tab w:val="left" w:pos="851"/>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 xml:space="preserve">Dividend is </w:t>
      </w:r>
      <w:proofErr w:type="spellStart"/>
      <w:r w:rsidRPr="00587444">
        <w:rPr>
          <w:rFonts w:ascii="Arial" w:hAnsi="Arial" w:cs="Arial"/>
          <w:color w:val="000000"/>
          <w:sz w:val="20"/>
          <w:szCs w:val="20"/>
          <w:lang w:eastAsia="hr-HR"/>
        </w:rPr>
        <w:t>recognised</w:t>
      </w:r>
      <w:proofErr w:type="spellEnd"/>
      <w:r w:rsidRPr="00587444">
        <w:rPr>
          <w:rFonts w:ascii="Arial" w:hAnsi="Arial" w:cs="Arial"/>
          <w:color w:val="000000"/>
          <w:sz w:val="20"/>
          <w:szCs w:val="20"/>
          <w:lang w:eastAsia="hr-HR"/>
        </w:rPr>
        <w:t xml:space="preserve"> in the </w:t>
      </w:r>
      <w:r w:rsidRPr="00587444">
        <w:rPr>
          <w:rFonts w:ascii="Arial" w:hAnsi="Arial" w:cs="Arial"/>
          <w:color w:val="000000"/>
          <w:sz w:val="20"/>
          <w:szCs w:val="20"/>
        </w:rPr>
        <w:t>profit or loss</w:t>
      </w:r>
      <w:r w:rsidRPr="00587444">
        <w:rPr>
          <w:rFonts w:ascii="Arial" w:hAnsi="Arial" w:cs="Arial"/>
          <w:color w:val="000000"/>
          <w:sz w:val="20"/>
          <w:szCs w:val="20"/>
          <w:lang w:eastAsia="hr-HR"/>
        </w:rPr>
        <w:t xml:space="preserve"> for all equity instruments irrespective of whether they have been classified as instruments subsequently measured at fair value through profit or loss or as instruments subsequently measured at fair value through other comprehensive income.</w:t>
      </w:r>
    </w:p>
    <w:p w14:paraId="199B61B3" w14:textId="77777777" w:rsidR="00587444" w:rsidRPr="00587444" w:rsidRDefault="00587444" w:rsidP="00587932">
      <w:pPr>
        <w:tabs>
          <w:tab w:val="left" w:pos="851"/>
        </w:tabs>
        <w:autoSpaceDN/>
        <w:jc w:val="both"/>
        <w:rPr>
          <w:rFonts w:ascii="Arial" w:hAnsi="Arial" w:cs="Arial"/>
          <w:color w:val="000000"/>
          <w:sz w:val="20"/>
          <w:szCs w:val="20"/>
          <w:lang w:eastAsia="hr-HR"/>
        </w:rPr>
      </w:pPr>
    </w:p>
    <w:p w14:paraId="78FFBE68" w14:textId="77777777" w:rsidR="00587444" w:rsidRPr="00587444" w:rsidRDefault="00587444" w:rsidP="00587932">
      <w:pPr>
        <w:autoSpaceDN/>
        <w:jc w:val="both"/>
        <w:rPr>
          <w:rFonts w:ascii="Arial" w:hAnsi="Arial" w:cs="Arial"/>
          <w:color w:val="000000"/>
          <w:sz w:val="20"/>
          <w:szCs w:val="20"/>
          <w:lang w:eastAsia="hr-HR"/>
        </w:rPr>
      </w:pPr>
      <w:r w:rsidRPr="00587444">
        <w:rPr>
          <w:rFonts w:ascii="Arial" w:hAnsi="Arial" w:cs="Arial"/>
          <w:i/>
          <w:color w:val="000000"/>
          <w:sz w:val="20"/>
          <w:szCs w:val="20"/>
          <w:u w:val="single"/>
          <w:lang w:eastAsia="hr-HR"/>
        </w:rPr>
        <w:t>Investments in subsidiaries – controlling influence (see A. Subsidiary companies)</w:t>
      </w:r>
    </w:p>
    <w:p w14:paraId="06388655" w14:textId="77777777" w:rsidR="00587444" w:rsidRPr="00587444" w:rsidRDefault="00587444" w:rsidP="00587932">
      <w:pPr>
        <w:autoSpaceDN/>
        <w:jc w:val="both"/>
        <w:rPr>
          <w:rFonts w:ascii="Arial" w:hAnsi="Arial" w:cs="Arial"/>
          <w:i/>
          <w:color w:val="000000"/>
          <w:sz w:val="20"/>
          <w:szCs w:val="20"/>
          <w:lang w:eastAsia="hr-HR"/>
        </w:rPr>
      </w:pPr>
    </w:p>
    <w:p w14:paraId="418629BE" w14:textId="77777777" w:rsidR="00587444" w:rsidRPr="00587444" w:rsidRDefault="00587444" w:rsidP="00587932">
      <w:pPr>
        <w:tabs>
          <w:tab w:val="left" w:pos="851"/>
        </w:tabs>
        <w:autoSpaceDN/>
        <w:jc w:val="both"/>
        <w:rPr>
          <w:rFonts w:ascii="Arial" w:hAnsi="Arial" w:cs="Arial"/>
          <w:i/>
          <w:color w:val="000000"/>
          <w:sz w:val="20"/>
          <w:szCs w:val="20"/>
          <w:u w:val="single"/>
          <w:lang w:eastAsia="hr-HR"/>
        </w:rPr>
      </w:pPr>
      <w:r w:rsidRPr="00587444">
        <w:rPr>
          <w:rFonts w:ascii="Arial" w:hAnsi="Arial" w:cs="Arial"/>
          <w:i/>
          <w:color w:val="000000"/>
          <w:sz w:val="20"/>
          <w:szCs w:val="20"/>
          <w:u w:val="single"/>
          <w:lang w:eastAsia="hr-HR"/>
        </w:rPr>
        <w:t>Shares in investment funds</w:t>
      </w:r>
    </w:p>
    <w:p w14:paraId="52FC4712" w14:textId="77777777" w:rsidR="00587444" w:rsidRPr="00587444" w:rsidRDefault="00587444" w:rsidP="00587932">
      <w:pPr>
        <w:tabs>
          <w:tab w:val="left" w:pos="851"/>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Shares in investment funds relate to the shares in cash or bond UCITS open-ended investment funds and to the shares in PE/VC venture capital alternative investment funds.</w:t>
      </w:r>
    </w:p>
    <w:p w14:paraId="333F70B4" w14:textId="77777777" w:rsidR="00587444" w:rsidRPr="00587444" w:rsidRDefault="00587444" w:rsidP="00587932">
      <w:pPr>
        <w:tabs>
          <w:tab w:val="left" w:pos="851"/>
        </w:tabs>
        <w:autoSpaceDN/>
        <w:jc w:val="both"/>
        <w:rPr>
          <w:rFonts w:ascii="Arial" w:hAnsi="Arial" w:cs="Arial"/>
          <w:color w:val="000000"/>
          <w:sz w:val="20"/>
          <w:szCs w:val="20"/>
          <w:lang w:eastAsia="hr-HR"/>
        </w:rPr>
      </w:pPr>
    </w:p>
    <w:p w14:paraId="23D38A33" w14:textId="77777777" w:rsidR="00587444" w:rsidRPr="00587444" w:rsidRDefault="00587444" w:rsidP="00587932">
      <w:pPr>
        <w:tabs>
          <w:tab w:val="left" w:pos="851"/>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Shares in investment funds fail the SPPI test in accordance with the Methodology for the Classification and Measurement of Financial Instruments. Therefore, they are classified to the assets subsequently measured at fair value through profit or loss.</w:t>
      </w:r>
    </w:p>
    <w:p w14:paraId="05699415" w14:textId="77777777" w:rsidR="00587444" w:rsidRPr="00587444" w:rsidRDefault="00587444" w:rsidP="00587932">
      <w:pPr>
        <w:tabs>
          <w:tab w:val="left" w:pos="851"/>
        </w:tabs>
        <w:autoSpaceDN/>
        <w:jc w:val="both"/>
        <w:rPr>
          <w:rFonts w:ascii="Arial" w:hAnsi="Arial" w:cs="Arial"/>
          <w:color w:val="000000"/>
          <w:sz w:val="20"/>
          <w:szCs w:val="20"/>
          <w:lang w:eastAsia="hr-HR"/>
        </w:rPr>
      </w:pPr>
    </w:p>
    <w:p w14:paraId="3E629D08" w14:textId="77777777" w:rsidR="00587444" w:rsidRPr="00587444" w:rsidRDefault="00587444" w:rsidP="00587932">
      <w:pPr>
        <w:tabs>
          <w:tab w:val="left" w:pos="851"/>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 xml:space="preserve">The fair value of shares in investment funds is established in accordance with internal documents regulating the methods of measurement of financial instruments (Financial Instruments Measurement Methodology) until the moment of derecognition of financial instrument, whereas it is </w:t>
      </w:r>
      <w:proofErr w:type="spellStart"/>
      <w:r w:rsidRPr="00587444">
        <w:rPr>
          <w:rFonts w:ascii="Arial" w:hAnsi="Arial" w:cs="Arial"/>
          <w:color w:val="000000"/>
          <w:sz w:val="20"/>
          <w:szCs w:val="20"/>
          <w:lang w:eastAsia="hr-HR"/>
        </w:rPr>
        <w:t>recognised</w:t>
      </w:r>
      <w:proofErr w:type="spellEnd"/>
      <w:r w:rsidRPr="00587444">
        <w:rPr>
          <w:rFonts w:ascii="Arial" w:hAnsi="Arial" w:cs="Arial"/>
          <w:color w:val="000000"/>
          <w:sz w:val="20"/>
          <w:szCs w:val="20"/>
          <w:lang w:eastAsia="hr-HR"/>
        </w:rPr>
        <w:t xml:space="preserve"> in the business books at fair value through profit or loss.</w:t>
      </w:r>
    </w:p>
    <w:p w14:paraId="682F069C" w14:textId="77777777" w:rsidR="00587444" w:rsidRPr="00587444" w:rsidRDefault="00587444" w:rsidP="00587932">
      <w:pPr>
        <w:tabs>
          <w:tab w:val="left" w:pos="851"/>
        </w:tabs>
        <w:autoSpaceDN/>
        <w:jc w:val="both"/>
        <w:rPr>
          <w:rFonts w:ascii="Arial" w:hAnsi="Arial" w:cs="Arial"/>
          <w:color w:val="000000"/>
          <w:sz w:val="20"/>
          <w:szCs w:val="20"/>
          <w:lang w:eastAsia="hr-HR"/>
        </w:rPr>
      </w:pPr>
    </w:p>
    <w:p w14:paraId="6F1D6C2E" w14:textId="77777777" w:rsidR="00587444" w:rsidRPr="00587444" w:rsidRDefault="00587444" w:rsidP="00587932">
      <w:pPr>
        <w:autoSpaceDN/>
        <w:jc w:val="both"/>
        <w:rPr>
          <w:rFonts w:ascii="Arial" w:hAnsi="Arial" w:cs="Arial"/>
          <w:i/>
          <w:color w:val="000000"/>
          <w:sz w:val="20"/>
          <w:szCs w:val="20"/>
          <w:lang w:eastAsia="hr-HR"/>
        </w:rPr>
      </w:pPr>
      <w:bookmarkStart w:id="420" w:name="_Hlk534377454"/>
      <w:r w:rsidRPr="00587444">
        <w:rPr>
          <w:rFonts w:ascii="Arial" w:hAnsi="Arial" w:cs="Arial"/>
          <w:i/>
          <w:color w:val="000000"/>
          <w:sz w:val="20"/>
          <w:szCs w:val="20"/>
          <w:lang w:eastAsia="hr-HR"/>
        </w:rPr>
        <w:t xml:space="preserve">Derivative financial instruments </w:t>
      </w:r>
    </w:p>
    <w:p w14:paraId="56CC14EC" w14:textId="77777777" w:rsidR="00587444" w:rsidRPr="00587444" w:rsidRDefault="00587444" w:rsidP="00587932">
      <w:pPr>
        <w:tabs>
          <w:tab w:val="left" w:pos="851"/>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Derivative financial assets relate to the FX Forward and FX Swap instruments contracted for the purpose of managing the currency and the liquidity risks.</w:t>
      </w:r>
    </w:p>
    <w:p w14:paraId="6E4B9772" w14:textId="77777777" w:rsidR="00587444" w:rsidRPr="00587444" w:rsidRDefault="00587444" w:rsidP="00587932">
      <w:pPr>
        <w:autoSpaceDN/>
        <w:jc w:val="both"/>
        <w:rPr>
          <w:rFonts w:ascii="Arial" w:hAnsi="Arial" w:cs="Arial"/>
          <w:color w:val="000000"/>
          <w:sz w:val="20"/>
          <w:szCs w:val="20"/>
          <w:lang w:eastAsia="hr-HR"/>
        </w:rPr>
      </w:pPr>
    </w:p>
    <w:p w14:paraId="0CE5A569" w14:textId="77777777" w:rsidR="00587444" w:rsidRDefault="00587444" w:rsidP="00587932">
      <w:pPr>
        <w:autoSpaceDN/>
        <w:jc w:val="both"/>
        <w:rPr>
          <w:rFonts w:ascii="Arial" w:hAnsi="Arial" w:cs="Arial"/>
          <w:sz w:val="20"/>
          <w:szCs w:val="20"/>
          <w:lang w:val="en-GB"/>
        </w:rPr>
      </w:pPr>
      <w:r w:rsidRPr="00587444">
        <w:rPr>
          <w:rFonts w:ascii="Arial" w:hAnsi="Arial" w:cs="Arial"/>
          <w:color w:val="000000"/>
          <w:sz w:val="20"/>
          <w:szCs w:val="20"/>
          <w:lang w:eastAsia="hr-HR"/>
        </w:rPr>
        <w:t xml:space="preserve">Derivative financial assets are allocated to a business model within which financial assets are measured at fair value through profit or loss </w:t>
      </w:r>
      <w:r w:rsidRPr="00587444">
        <w:rPr>
          <w:rFonts w:ascii="Arial" w:hAnsi="Arial" w:cs="Arial"/>
          <w:color w:val="000000"/>
          <w:sz w:val="20"/>
          <w:szCs w:val="20"/>
          <w:lang w:val="en-GB" w:eastAsia="hr-HR"/>
        </w:rPr>
        <w:t>and</w:t>
      </w:r>
      <w:r w:rsidRPr="00587444">
        <w:rPr>
          <w:rFonts w:ascii="Arial" w:hAnsi="Arial" w:cs="Arial"/>
          <w:sz w:val="20"/>
          <w:szCs w:val="20"/>
          <w:lang w:val="en-GB"/>
        </w:rPr>
        <w:t xml:space="preserve">, according to the terms of the Methodology for Classification and Measurement of Financial Instruments, does not pass the SPPI test. Accordingly, it is classified to assets/liabilities that are subsequently measured at fair value through profit or loss and are measured as assets when their fair value is positive, </w:t>
      </w:r>
      <w:proofErr w:type="gramStart"/>
      <w:r w:rsidRPr="00587444">
        <w:rPr>
          <w:rFonts w:ascii="Arial" w:hAnsi="Arial" w:cs="Arial"/>
          <w:sz w:val="20"/>
          <w:szCs w:val="20"/>
          <w:lang w:val="en-GB"/>
        </w:rPr>
        <w:t>i.e.</w:t>
      </w:r>
      <w:proofErr w:type="gramEnd"/>
      <w:r w:rsidRPr="00587444">
        <w:rPr>
          <w:rFonts w:ascii="Arial" w:hAnsi="Arial" w:cs="Arial"/>
          <w:sz w:val="20"/>
          <w:szCs w:val="20"/>
          <w:lang w:val="en-GB"/>
        </w:rPr>
        <w:t xml:space="preserve"> as liabilities when they are negative.</w:t>
      </w:r>
      <w:r w:rsidR="00BB5943">
        <w:rPr>
          <w:rFonts w:ascii="Arial" w:hAnsi="Arial" w:cs="Arial"/>
          <w:sz w:val="20"/>
          <w:szCs w:val="20"/>
          <w:lang w:val="en-GB"/>
        </w:rPr>
        <w:t xml:space="preserve"> </w:t>
      </w:r>
    </w:p>
    <w:p w14:paraId="64FDD7F7" w14:textId="36AC592B" w:rsidR="00BB5943" w:rsidRPr="00587444" w:rsidRDefault="00BB5943" w:rsidP="00587444">
      <w:pPr>
        <w:suppressAutoHyphens w:val="0"/>
        <w:autoSpaceDN/>
        <w:jc w:val="both"/>
        <w:rPr>
          <w:rFonts w:ascii="Arial" w:hAnsi="Arial" w:cs="Arial"/>
          <w:sz w:val="20"/>
          <w:szCs w:val="20"/>
          <w:lang w:val="en-GB"/>
        </w:rPr>
        <w:sectPr w:rsidR="00BB5943" w:rsidRPr="00587444" w:rsidSect="00DD69E7">
          <w:pgSz w:w="11907" w:h="16840" w:code="9"/>
          <w:pgMar w:top="1418" w:right="1134" w:bottom="1134" w:left="1418" w:header="851" w:footer="851" w:gutter="0"/>
          <w:cols w:space="720"/>
          <w:noEndnote/>
        </w:sectPr>
      </w:pPr>
    </w:p>
    <w:p w14:paraId="7952F9C4" w14:textId="77777777" w:rsidR="00587444" w:rsidRPr="00587444" w:rsidRDefault="00587444" w:rsidP="00587444">
      <w:pPr>
        <w:tabs>
          <w:tab w:val="left" w:pos="851"/>
        </w:tabs>
        <w:suppressAutoHyphens w:val="0"/>
        <w:autoSpaceDN/>
        <w:jc w:val="both"/>
        <w:rPr>
          <w:rFonts w:ascii="Arial" w:hAnsi="Arial" w:cs="Arial"/>
          <w:color w:val="000000"/>
          <w:sz w:val="20"/>
          <w:szCs w:val="20"/>
          <w:lang w:eastAsia="hr-HR"/>
        </w:rPr>
      </w:pPr>
    </w:p>
    <w:p w14:paraId="7F44C8A3"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0CD21FE9"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41EE982"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60F12573" w14:textId="77777777" w:rsidR="00587444" w:rsidRPr="00587444" w:rsidRDefault="00587444" w:rsidP="00587444">
      <w:pPr>
        <w:suppressAutoHyphens w:val="0"/>
        <w:autoSpaceDN/>
        <w:jc w:val="both"/>
        <w:rPr>
          <w:rFonts w:ascii="Arial" w:hAnsi="Arial" w:cs="Arial"/>
          <w:b/>
          <w:sz w:val="20"/>
          <w:szCs w:val="20"/>
        </w:rPr>
      </w:pPr>
    </w:p>
    <w:p w14:paraId="1E36851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2C9DAFA9" w14:textId="77777777" w:rsidR="00587444" w:rsidRPr="00587444" w:rsidRDefault="00587444" w:rsidP="00587444">
      <w:pPr>
        <w:suppressAutoHyphens w:val="0"/>
        <w:autoSpaceDN/>
        <w:jc w:val="both"/>
        <w:rPr>
          <w:rFonts w:ascii="Arial" w:hAnsi="Arial" w:cs="Arial"/>
          <w:sz w:val="20"/>
          <w:szCs w:val="20"/>
          <w:lang w:eastAsia="hr-HR"/>
        </w:rPr>
      </w:pPr>
    </w:p>
    <w:p w14:paraId="38689F1E"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20AD08A2" w14:textId="77777777" w:rsidR="00587444" w:rsidRPr="00587444" w:rsidRDefault="00587444" w:rsidP="00587932">
      <w:pPr>
        <w:autoSpaceDN/>
        <w:jc w:val="both"/>
        <w:rPr>
          <w:rFonts w:ascii="Arial" w:hAnsi="Arial" w:cs="Arial"/>
          <w:i/>
          <w:color w:val="000000"/>
          <w:sz w:val="20"/>
          <w:szCs w:val="20"/>
          <w:lang w:eastAsia="hr-HR"/>
        </w:rPr>
      </w:pPr>
    </w:p>
    <w:p w14:paraId="2930F450" w14:textId="77777777" w:rsidR="00587444" w:rsidRPr="00587444" w:rsidRDefault="00587444" w:rsidP="00587932">
      <w:pPr>
        <w:autoSpaceDN/>
        <w:jc w:val="both"/>
        <w:rPr>
          <w:rFonts w:ascii="Arial" w:hAnsi="Arial" w:cs="Arial"/>
          <w:i/>
          <w:color w:val="000000"/>
          <w:sz w:val="20"/>
          <w:szCs w:val="20"/>
          <w:lang w:eastAsia="hr-HR"/>
        </w:rPr>
      </w:pPr>
      <w:r w:rsidRPr="00587444">
        <w:rPr>
          <w:rFonts w:ascii="Arial" w:hAnsi="Arial" w:cs="Arial"/>
          <w:i/>
          <w:color w:val="000000"/>
          <w:sz w:val="20"/>
          <w:szCs w:val="20"/>
          <w:lang w:eastAsia="hr-HR"/>
        </w:rPr>
        <w:t>Derivative financial instruments (continued)</w:t>
      </w:r>
    </w:p>
    <w:p w14:paraId="56196326" w14:textId="77777777" w:rsidR="00587444" w:rsidRPr="00587444" w:rsidRDefault="00587444" w:rsidP="00587932">
      <w:pPr>
        <w:autoSpaceDN/>
        <w:jc w:val="both"/>
        <w:rPr>
          <w:rFonts w:ascii="Arial" w:hAnsi="Arial" w:cs="Arial"/>
          <w:sz w:val="20"/>
          <w:szCs w:val="20"/>
          <w:lang w:eastAsia="hr-HR"/>
        </w:rPr>
      </w:pPr>
    </w:p>
    <w:p w14:paraId="26FD8A97" w14:textId="77777777" w:rsidR="00587444" w:rsidRPr="00587444" w:rsidRDefault="00587444" w:rsidP="00587932">
      <w:pPr>
        <w:autoSpaceDN/>
        <w:jc w:val="both"/>
        <w:rPr>
          <w:rFonts w:ascii="Arial" w:hAnsi="Arial" w:cs="Arial"/>
          <w:sz w:val="20"/>
          <w:szCs w:val="20"/>
          <w:lang w:eastAsia="hr-HR"/>
        </w:rPr>
      </w:pPr>
      <w:r w:rsidRPr="00587444">
        <w:rPr>
          <w:rFonts w:ascii="Arial" w:hAnsi="Arial" w:cs="Arial"/>
          <w:sz w:val="20"/>
          <w:szCs w:val="20"/>
          <w:lang w:eastAsia="hr-HR"/>
        </w:rPr>
        <w:t xml:space="preserve">The contractual value of derivative financial instruments is initially </w:t>
      </w:r>
      <w:proofErr w:type="spellStart"/>
      <w:r w:rsidRPr="00587444">
        <w:rPr>
          <w:rFonts w:ascii="Arial" w:hAnsi="Arial" w:cs="Arial"/>
          <w:sz w:val="20"/>
          <w:szCs w:val="20"/>
          <w:lang w:eastAsia="hr-HR"/>
        </w:rPr>
        <w:t>recognised</w:t>
      </w:r>
      <w:proofErr w:type="spellEnd"/>
      <w:r w:rsidRPr="00587444">
        <w:rPr>
          <w:rFonts w:ascii="Arial" w:hAnsi="Arial" w:cs="Arial"/>
          <w:sz w:val="20"/>
          <w:szCs w:val="20"/>
          <w:lang w:eastAsia="hr-HR"/>
        </w:rPr>
        <w:t xml:space="preserve"> in off-balance sheet records as at the contract date with simultaneous recognition of changes in fair value in the statement of financial position and profit or loss from the change in fair value in </w:t>
      </w:r>
      <w:r w:rsidRPr="00587444">
        <w:rPr>
          <w:rFonts w:ascii="Arial" w:hAnsi="Arial" w:cs="Arial"/>
          <w:color w:val="000000"/>
          <w:sz w:val="20"/>
          <w:szCs w:val="20"/>
        </w:rPr>
        <w:t>profit or loss</w:t>
      </w:r>
      <w:r w:rsidRPr="00587444">
        <w:rPr>
          <w:rFonts w:ascii="Arial" w:hAnsi="Arial" w:cs="Arial"/>
          <w:sz w:val="20"/>
          <w:szCs w:val="20"/>
          <w:lang w:eastAsia="hr-HR"/>
        </w:rPr>
        <w:t xml:space="preserve"> until the moment of derecognition.</w:t>
      </w:r>
    </w:p>
    <w:p w14:paraId="67BA77E7" w14:textId="77777777" w:rsidR="00587444" w:rsidRPr="00587444" w:rsidRDefault="00587444" w:rsidP="00587932">
      <w:pPr>
        <w:autoSpaceDN/>
        <w:jc w:val="both"/>
        <w:rPr>
          <w:rFonts w:ascii="Arial" w:hAnsi="Arial" w:cs="Arial"/>
          <w:sz w:val="20"/>
          <w:szCs w:val="20"/>
          <w:lang w:eastAsia="hr-HR"/>
        </w:rPr>
      </w:pPr>
    </w:p>
    <w:p w14:paraId="7796C9D5" w14:textId="77777777" w:rsidR="00587444" w:rsidRPr="00587444" w:rsidRDefault="00587444" w:rsidP="00587932">
      <w:pPr>
        <w:autoSpaceDN/>
        <w:jc w:val="both"/>
        <w:rPr>
          <w:rFonts w:ascii="Arial" w:hAnsi="Arial" w:cs="Arial"/>
          <w:color w:val="000000"/>
          <w:sz w:val="20"/>
          <w:szCs w:val="20"/>
          <w:lang w:eastAsia="hr-HR"/>
        </w:rPr>
      </w:pPr>
      <w:r w:rsidRPr="00587444">
        <w:rPr>
          <w:rFonts w:ascii="Arial" w:hAnsi="Arial" w:cs="Arial"/>
          <w:sz w:val="20"/>
          <w:szCs w:val="20"/>
          <w:lang w:eastAsia="hr-HR"/>
        </w:rPr>
        <w:t>The fair value of derivative financial assets is established as the present value of all future cash flows in accordance with the methodology prescribed by internal documents regulating the methods of measurement of financial instruments (Financial Instruments Measurement Methodology).</w:t>
      </w:r>
    </w:p>
    <w:p w14:paraId="6EC9E650" w14:textId="77777777" w:rsidR="00587444" w:rsidRPr="00587444" w:rsidRDefault="00587444" w:rsidP="00587932">
      <w:pPr>
        <w:keepNext/>
        <w:autoSpaceDN/>
        <w:jc w:val="both"/>
        <w:rPr>
          <w:rFonts w:ascii="Arial" w:hAnsi="Arial" w:cs="Arial"/>
          <w:sz w:val="20"/>
          <w:szCs w:val="20"/>
          <w:lang w:val="pl-PL"/>
        </w:rPr>
      </w:pPr>
    </w:p>
    <w:p w14:paraId="529587AB" w14:textId="77777777" w:rsidR="00587444" w:rsidRPr="00587444" w:rsidRDefault="00587444" w:rsidP="00587932">
      <w:pPr>
        <w:keepNext/>
        <w:autoSpaceDN/>
        <w:jc w:val="both"/>
        <w:rPr>
          <w:rFonts w:ascii="Arial" w:hAnsi="Arial" w:cs="Arial"/>
          <w:sz w:val="20"/>
          <w:szCs w:val="20"/>
          <w:lang w:val="pl-PL"/>
        </w:rPr>
      </w:pPr>
      <w:r w:rsidRPr="00587444">
        <w:rPr>
          <w:rFonts w:ascii="Arial" w:hAnsi="Arial" w:cs="Arial"/>
          <w:sz w:val="20"/>
          <w:szCs w:val="20"/>
          <w:lang w:val="pl-PL"/>
        </w:rPr>
        <w:t>HBOR does not hold or issue derivatives for speculative purposes.</w:t>
      </w:r>
    </w:p>
    <w:p w14:paraId="4D8287A8" w14:textId="77777777" w:rsidR="00587444" w:rsidRPr="00587444" w:rsidRDefault="00587444" w:rsidP="00587932">
      <w:pPr>
        <w:keepNext/>
        <w:autoSpaceDN/>
        <w:jc w:val="both"/>
        <w:rPr>
          <w:rFonts w:ascii="Arial" w:hAnsi="Arial" w:cs="Arial"/>
          <w:b/>
          <w:bCs/>
          <w:sz w:val="20"/>
          <w:szCs w:val="20"/>
          <w:lang w:val="pl-PL"/>
        </w:rPr>
      </w:pPr>
    </w:p>
    <w:p w14:paraId="239B1E63" w14:textId="77777777" w:rsidR="00587444" w:rsidRPr="00587444" w:rsidRDefault="00587444" w:rsidP="00587932">
      <w:pPr>
        <w:keepNext/>
        <w:autoSpaceDN/>
        <w:jc w:val="both"/>
        <w:rPr>
          <w:rFonts w:ascii="Arial" w:hAnsi="Arial" w:cs="Arial"/>
          <w:sz w:val="20"/>
          <w:szCs w:val="20"/>
          <w:lang w:val="pl-PL"/>
        </w:rPr>
      </w:pPr>
      <w:r w:rsidRPr="00587444">
        <w:rPr>
          <w:rFonts w:ascii="Arial" w:hAnsi="Arial" w:cs="Arial"/>
          <w:sz w:val="20"/>
          <w:szCs w:val="20"/>
          <w:lang w:val="pl-PL"/>
        </w:rPr>
        <w:t>None of these instruments meets the requirements of the hedging instrument under IFRS 9.</w:t>
      </w:r>
    </w:p>
    <w:p w14:paraId="10E97417" w14:textId="77777777" w:rsidR="00587444" w:rsidRPr="00587444" w:rsidRDefault="00587444" w:rsidP="00587932">
      <w:pPr>
        <w:autoSpaceDN/>
        <w:jc w:val="both"/>
        <w:rPr>
          <w:rFonts w:ascii="Arial" w:hAnsi="Arial" w:cs="Arial"/>
          <w:color w:val="000000"/>
          <w:sz w:val="20"/>
          <w:szCs w:val="20"/>
          <w:lang w:val="hr-HR"/>
        </w:rPr>
      </w:pPr>
      <w:bookmarkStart w:id="421" w:name="_Hlk64987744"/>
    </w:p>
    <w:bookmarkEnd w:id="421"/>
    <w:p w14:paraId="67174BB4" w14:textId="77777777" w:rsidR="00587444" w:rsidRPr="00587444" w:rsidRDefault="00587444" w:rsidP="00587932">
      <w:pPr>
        <w:autoSpaceDN/>
        <w:jc w:val="both"/>
        <w:rPr>
          <w:rFonts w:ascii="Arial" w:hAnsi="Arial" w:cs="Arial"/>
          <w:color w:val="000000"/>
          <w:sz w:val="20"/>
          <w:szCs w:val="20"/>
          <w:lang w:val="en-GB"/>
        </w:rPr>
      </w:pPr>
      <w:r w:rsidRPr="00587444">
        <w:rPr>
          <w:rFonts w:ascii="Arial" w:hAnsi="Arial" w:cs="Arial"/>
          <w:bCs/>
          <w:color w:val="000000"/>
          <w:sz w:val="20"/>
          <w:szCs w:val="20"/>
          <w:lang w:val="en-GB"/>
        </w:rPr>
        <w:t xml:space="preserve">Derivative financial instruments – positive fair value </w:t>
      </w:r>
      <w:proofErr w:type="gramStart"/>
      <w:r w:rsidRPr="00587444">
        <w:rPr>
          <w:rFonts w:ascii="Arial" w:hAnsi="Arial" w:cs="Arial"/>
          <w:bCs/>
          <w:color w:val="000000"/>
          <w:sz w:val="20"/>
          <w:szCs w:val="20"/>
          <w:lang w:val="en-GB"/>
        </w:rPr>
        <w:t>are</w:t>
      </w:r>
      <w:proofErr w:type="gramEnd"/>
      <w:r w:rsidRPr="00587444">
        <w:rPr>
          <w:rFonts w:ascii="Arial" w:hAnsi="Arial" w:cs="Arial"/>
          <w:bCs/>
          <w:color w:val="000000"/>
          <w:sz w:val="20"/>
          <w:szCs w:val="20"/>
          <w:lang w:val="en-GB"/>
        </w:rPr>
        <w:t xml:space="preserve"> stated in the note Financial assets at fair value through profit or loss, while derivative financial instruments – negative fair value are stated in the note Other liabilities, due to the immaterial amount.</w:t>
      </w:r>
    </w:p>
    <w:p w14:paraId="03C01ED2" w14:textId="77777777" w:rsidR="00587444" w:rsidRPr="00587444" w:rsidRDefault="00587444" w:rsidP="00587932">
      <w:pPr>
        <w:autoSpaceDN/>
        <w:jc w:val="both"/>
        <w:rPr>
          <w:rFonts w:ascii="Arial" w:hAnsi="Arial" w:cs="Arial"/>
          <w:color w:val="000000"/>
          <w:sz w:val="20"/>
          <w:szCs w:val="20"/>
          <w:lang w:eastAsia="hr-HR"/>
        </w:rPr>
      </w:pPr>
    </w:p>
    <w:p w14:paraId="7C6B1D60" w14:textId="77777777" w:rsidR="00587444" w:rsidRPr="00587444" w:rsidRDefault="00587444" w:rsidP="00587932">
      <w:pPr>
        <w:tabs>
          <w:tab w:val="center" w:pos="4703"/>
          <w:tab w:val="right" w:pos="9406"/>
        </w:tabs>
        <w:autoSpaceDN/>
        <w:jc w:val="both"/>
        <w:rPr>
          <w:rFonts w:ascii="Arial" w:hAnsi="Arial" w:cs="Arial"/>
          <w:i/>
          <w:color w:val="000000"/>
          <w:sz w:val="20"/>
          <w:szCs w:val="20"/>
          <w:lang w:eastAsia="hr-HR"/>
        </w:rPr>
      </w:pPr>
      <w:bookmarkStart w:id="422" w:name="_Hlk534379125"/>
      <w:r w:rsidRPr="00587444">
        <w:rPr>
          <w:rFonts w:ascii="Arial" w:hAnsi="Arial" w:cs="Arial"/>
          <w:i/>
          <w:color w:val="000000"/>
          <w:sz w:val="20"/>
          <w:szCs w:val="20"/>
          <w:lang w:eastAsia="hr-HR"/>
        </w:rPr>
        <w:t>Other receivables</w:t>
      </w:r>
    </w:p>
    <w:p w14:paraId="3452E9D5" w14:textId="77777777" w:rsidR="00587444" w:rsidRPr="00587444" w:rsidRDefault="00587444" w:rsidP="00587932">
      <w:pPr>
        <w:tabs>
          <w:tab w:val="center" w:pos="4703"/>
          <w:tab w:val="right" w:pos="9406"/>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 xml:space="preserve">Other receivables include receivables due and not due from accrued non-interest income resulting from fees and commissions as well as other receivables not included in other items: advances to suppliers for short-term assets, receivables from buyers, individual </w:t>
      </w:r>
      <w:proofErr w:type="gramStart"/>
      <w:r w:rsidRPr="00587444">
        <w:rPr>
          <w:rFonts w:ascii="Arial" w:hAnsi="Arial" w:cs="Arial"/>
          <w:color w:val="000000"/>
          <w:sz w:val="20"/>
          <w:szCs w:val="20"/>
          <w:lang w:eastAsia="hr-HR"/>
        </w:rPr>
        <w:t>prepayments</w:t>
      </w:r>
      <w:proofErr w:type="gramEnd"/>
      <w:r w:rsidRPr="00587444">
        <w:rPr>
          <w:rFonts w:ascii="Arial" w:hAnsi="Arial" w:cs="Arial"/>
          <w:color w:val="000000"/>
          <w:sz w:val="20"/>
          <w:szCs w:val="20"/>
          <w:lang w:eastAsia="hr-HR"/>
        </w:rPr>
        <w:t xml:space="preserve"> and funds in accruals. </w:t>
      </w:r>
    </w:p>
    <w:p w14:paraId="6BE150E4" w14:textId="77777777" w:rsidR="00587444" w:rsidRPr="00587444" w:rsidRDefault="00587444" w:rsidP="00587932">
      <w:pPr>
        <w:tabs>
          <w:tab w:val="center" w:pos="4703"/>
          <w:tab w:val="right" w:pos="9406"/>
        </w:tabs>
        <w:autoSpaceDN/>
        <w:jc w:val="both"/>
        <w:rPr>
          <w:rFonts w:ascii="Arial" w:hAnsi="Arial" w:cs="Arial"/>
          <w:color w:val="000000"/>
          <w:sz w:val="20"/>
          <w:szCs w:val="20"/>
          <w:lang w:eastAsia="hr-HR"/>
        </w:rPr>
      </w:pPr>
    </w:p>
    <w:p w14:paraId="3DE923BA" w14:textId="77777777" w:rsidR="00587444" w:rsidRPr="00587444" w:rsidRDefault="00587444" w:rsidP="00587932">
      <w:pPr>
        <w:tabs>
          <w:tab w:val="center" w:pos="4703"/>
          <w:tab w:val="right" w:pos="9406"/>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Receivables based on fees that have the character of non-interest income are fees for guarantees issued, fees for managing loans for and on behalf of others, fees for rendering payment transfer services, other fees of non-interest character.</w:t>
      </w:r>
    </w:p>
    <w:p w14:paraId="340C7BCD" w14:textId="77777777" w:rsidR="00587444" w:rsidRPr="00587444" w:rsidRDefault="00587444" w:rsidP="00587932">
      <w:pPr>
        <w:tabs>
          <w:tab w:val="center" w:pos="4703"/>
          <w:tab w:val="right" w:pos="9406"/>
        </w:tabs>
        <w:autoSpaceDN/>
        <w:jc w:val="both"/>
        <w:rPr>
          <w:rFonts w:ascii="Arial" w:hAnsi="Arial" w:cs="Arial"/>
          <w:color w:val="000000"/>
          <w:sz w:val="20"/>
          <w:szCs w:val="20"/>
          <w:lang w:eastAsia="hr-HR"/>
        </w:rPr>
      </w:pPr>
    </w:p>
    <w:p w14:paraId="5DF62A28" w14:textId="77777777" w:rsidR="00587444" w:rsidRPr="00587444" w:rsidRDefault="00587444" w:rsidP="00587932">
      <w:pPr>
        <w:tabs>
          <w:tab w:val="center" w:pos="4703"/>
          <w:tab w:val="right" w:pos="9406"/>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 xml:space="preserve">Other receivables mature within the period of one year and sooner and are considered short-term receivables </w:t>
      </w:r>
      <w:proofErr w:type="spellStart"/>
      <w:r w:rsidRPr="00587444">
        <w:rPr>
          <w:rFonts w:ascii="Arial" w:hAnsi="Arial" w:cs="Arial"/>
          <w:color w:val="000000"/>
          <w:sz w:val="20"/>
          <w:szCs w:val="20"/>
          <w:lang w:eastAsia="hr-HR"/>
        </w:rPr>
        <w:t>recognised</w:t>
      </w:r>
      <w:proofErr w:type="spellEnd"/>
      <w:r w:rsidRPr="00587444">
        <w:rPr>
          <w:rFonts w:ascii="Arial" w:hAnsi="Arial" w:cs="Arial"/>
          <w:color w:val="000000"/>
          <w:sz w:val="20"/>
          <w:szCs w:val="20"/>
          <w:lang w:eastAsia="hr-HR"/>
        </w:rPr>
        <w:t xml:space="preserve"> in the statement of financial position as receivables not due or at the maturity date in accordance with the invoiced </w:t>
      </w:r>
      <w:proofErr w:type="spellStart"/>
      <w:r w:rsidRPr="00587444">
        <w:rPr>
          <w:rFonts w:ascii="Arial" w:hAnsi="Arial" w:cs="Arial"/>
          <w:color w:val="000000"/>
          <w:sz w:val="20"/>
          <w:szCs w:val="20"/>
          <w:lang w:eastAsia="hr-HR"/>
        </w:rPr>
        <w:t>realisation</w:t>
      </w:r>
      <w:proofErr w:type="spellEnd"/>
      <w:r w:rsidRPr="00587444">
        <w:rPr>
          <w:rFonts w:ascii="Arial" w:hAnsi="Arial" w:cs="Arial"/>
          <w:color w:val="000000"/>
          <w:sz w:val="20"/>
          <w:szCs w:val="20"/>
          <w:lang w:eastAsia="hr-HR"/>
        </w:rPr>
        <w:t xml:space="preserve"> principle.</w:t>
      </w:r>
    </w:p>
    <w:p w14:paraId="47BC33B2" w14:textId="77777777" w:rsidR="00587444" w:rsidRPr="00587444" w:rsidRDefault="00587444" w:rsidP="00587932">
      <w:pPr>
        <w:tabs>
          <w:tab w:val="center" w:pos="4703"/>
          <w:tab w:val="right" w:pos="9406"/>
        </w:tabs>
        <w:autoSpaceDN/>
        <w:jc w:val="both"/>
        <w:rPr>
          <w:rFonts w:ascii="Arial" w:hAnsi="Arial" w:cs="Arial"/>
          <w:color w:val="000000"/>
          <w:sz w:val="20"/>
          <w:szCs w:val="20"/>
          <w:lang w:eastAsia="hr-HR"/>
        </w:rPr>
      </w:pPr>
    </w:p>
    <w:p w14:paraId="1A181479" w14:textId="77777777" w:rsidR="00587444" w:rsidRPr="00587444" w:rsidRDefault="00587444" w:rsidP="00587932">
      <w:pPr>
        <w:tabs>
          <w:tab w:val="center" w:pos="4703"/>
          <w:tab w:val="right" w:pos="9406"/>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 xml:space="preserve">Other receivables are allocated to a business model whose purpose is to hold assets for the collection of contractual cash flows and pass the SPPI test in accordance with the Methodology for the Classification and Measurement of Financial Instruments. Therefore, other receivables are classified to the assets subsequently measured at </w:t>
      </w:r>
      <w:proofErr w:type="spellStart"/>
      <w:r w:rsidRPr="00587444">
        <w:rPr>
          <w:rFonts w:ascii="Arial" w:hAnsi="Arial" w:cs="Arial"/>
          <w:color w:val="000000"/>
          <w:sz w:val="20"/>
          <w:szCs w:val="20"/>
          <w:lang w:eastAsia="hr-HR"/>
        </w:rPr>
        <w:t>amortised</w:t>
      </w:r>
      <w:proofErr w:type="spellEnd"/>
      <w:r w:rsidRPr="00587444">
        <w:rPr>
          <w:rFonts w:ascii="Arial" w:hAnsi="Arial" w:cs="Arial"/>
          <w:color w:val="000000"/>
          <w:sz w:val="20"/>
          <w:szCs w:val="20"/>
          <w:lang w:eastAsia="hr-HR"/>
        </w:rPr>
        <w:t xml:space="preserve"> cost.</w:t>
      </w:r>
    </w:p>
    <w:p w14:paraId="28D63382" w14:textId="77777777" w:rsidR="00587444" w:rsidRPr="00587444" w:rsidRDefault="00587444" w:rsidP="00587932">
      <w:pPr>
        <w:tabs>
          <w:tab w:val="center" w:pos="4703"/>
          <w:tab w:val="right" w:pos="9406"/>
        </w:tabs>
        <w:autoSpaceDN/>
        <w:jc w:val="both"/>
        <w:rPr>
          <w:rFonts w:ascii="Arial" w:hAnsi="Arial" w:cs="Arial"/>
          <w:color w:val="000000"/>
          <w:sz w:val="20"/>
          <w:szCs w:val="20"/>
          <w:lang w:eastAsia="hr-HR"/>
        </w:rPr>
      </w:pPr>
    </w:p>
    <w:p w14:paraId="3C82DBFE" w14:textId="77777777" w:rsidR="00587444" w:rsidRPr="00587444" w:rsidRDefault="00587444" w:rsidP="00587932">
      <w:pPr>
        <w:autoSpaceDN/>
        <w:jc w:val="both"/>
        <w:rPr>
          <w:rFonts w:ascii="Arial" w:hAnsi="Arial" w:cs="Arial"/>
          <w:color w:val="000000"/>
          <w:sz w:val="20"/>
          <w:szCs w:val="20"/>
          <w:lang w:eastAsia="hr-HR"/>
        </w:rPr>
        <w:sectPr w:rsidR="00587444" w:rsidRPr="00587444" w:rsidSect="00DD69E7">
          <w:pgSz w:w="11907" w:h="16840" w:code="9"/>
          <w:pgMar w:top="1418" w:right="1134" w:bottom="1134" w:left="1418" w:header="851" w:footer="851" w:gutter="0"/>
          <w:cols w:space="720"/>
          <w:noEndnote/>
        </w:sectPr>
      </w:pPr>
      <w:r w:rsidRPr="00587444">
        <w:rPr>
          <w:rFonts w:ascii="Arial" w:hAnsi="Arial" w:cs="Arial"/>
          <w:color w:val="000000"/>
          <w:sz w:val="20"/>
          <w:szCs w:val="20"/>
          <w:lang w:eastAsia="hr-HR"/>
        </w:rPr>
        <w:t xml:space="preserve">Impairment of other receivables is determined in the amount of the expected credit losses, and it is not discounted to present value in accordance with the short-term character of these financial assets. </w:t>
      </w:r>
    </w:p>
    <w:p w14:paraId="033E69FB" w14:textId="77777777" w:rsidR="00587444" w:rsidRPr="00587444" w:rsidRDefault="00587444" w:rsidP="00587444">
      <w:pPr>
        <w:suppressAutoHyphens w:val="0"/>
        <w:autoSpaceDN/>
        <w:jc w:val="both"/>
        <w:rPr>
          <w:rFonts w:ascii="Arial" w:hAnsi="Arial" w:cs="Arial"/>
          <w:color w:val="000000"/>
          <w:sz w:val="20"/>
          <w:szCs w:val="20"/>
          <w:lang w:eastAsia="hr-HR"/>
        </w:rPr>
      </w:pPr>
    </w:p>
    <w:p w14:paraId="0C747956"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6B5F7FBB"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49B40F33"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1BB80633" w14:textId="77777777" w:rsidR="00587444" w:rsidRPr="00587444" w:rsidRDefault="00587444" w:rsidP="00587932">
      <w:pPr>
        <w:autoSpaceDN/>
        <w:jc w:val="both"/>
        <w:rPr>
          <w:rFonts w:ascii="Arial" w:hAnsi="Arial" w:cs="Arial"/>
          <w:b/>
          <w:sz w:val="20"/>
          <w:szCs w:val="20"/>
        </w:rPr>
      </w:pPr>
    </w:p>
    <w:p w14:paraId="7DD290DD"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120C7349" w14:textId="77777777" w:rsidR="00587444" w:rsidRPr="00587444" w:rsidRDefault="00587444" w:rsidP="00587932">
      <w:pPr>
        <w:autoSpaceDN/>
        <w:jc w:val="both"/>
        <w:rPr>
          <w:rFonts w:ascii="Arial" w:hAnsi="Arial" w:cs="Arial"/>
          <w:sz w:val="20"/>
          <w:szCs w:val="20"/>
          <w:lang w:eastAsia="hr-HR"/>
        </w:rPr>
      </w:pPr>
    </w:p>
    <w:p w14:paraId="02AF7AE2" w14:textId="77777777" w:rsidR="00587444" w:rsidRPr="00587444" w:rsidRDefault="00587444" w:rsidP="00587932">
      <w:pPr>
        <w:autoSpaceDN/>
        <w:jc w:val="both"/>
        <w:rPr>
          <w:rFonts w:ascii="Arial" w:hAnsi="Arial" w:cs="Arial"/>
          <w:b/>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2109EEE5" w14:textId="77777777" w:rsidR="00587444" w:rsidRPr="00587444" w:rsidRDefault="00587444" w:rsidP="00587932">
      <w:pPr>
        <w:autoSpaceDN/>
        <w:jc w:val="both"/>
        <w:rPr>
          <w:rFonts w:ascii="Arial" w:hAnsi="Arial" w:cs="Arial"/>
          <w:color w:val="000000"/>
          <w:sz w:val="20"/>
          <w:szCs w:val="20"/>
          <w:lang w:eastAsia="hr-HR"/>
        </w:rPr>
      </w:pPr>
    </w:p>
    <w:p w14:paraId="151E82EA" w14:textId="77777777" w:rsidR="00587444" w:rsidRPr="00587444" w:rsidRDefault="00587444" w:rsidP="00587932">
      <w:pPr>
        <w:tabs>
          <w:tab w:val="center" w:pos="4703"/>
          <w:tab w:val="right" w:pos="9406"/>
        </w:tabs>
        <w:autoSpaceDN/>
        <w:jc w:val="both"/>
        <w:rPr>
          <w:rFonts w:ascii="Arial" w:hAnsi="Arial" w:cs="Arial"/>
          <w:i/>
          <w:color w:val="000000"/>
          <w:sz w:val="20"/>
          <w:szCs w:val="20"/>
          <w:lang w:eastAsia="hr-HR"/>
        </w:rPr>
      </w:pPr>
      <w:r w:rsidRPr="00587444">
        <w:rPr>
          <w:rFonts w:ascii="Arial" w:hAnsi="Arial" w:cs="Arial"/>
          <w:i/>
          <w:color w:val="000000"/>
          <w:sz w:val="20"/>
          <w:szCs w:val="20"/>
          <w:lang w:eastAsia="hr-HR"/>
        </w:rPr>
        <w:t>Other receivables (continued)</w:t>
      </w:r>
    </w:p>
    <w:p w14:paraId="4E910C92" w14:textId="77777777" w:rsidR="00587444" w:rsidRPr="00587444" w:rsidRDefault="00587444" w:rsidP="00587932">
      <w:pPr>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 xml:space="preserve">Impairment is performed by applying the impairment simplified approach (see </w:t>
      </w:r>
      <w:proofErr w:type="spellStart"/>
      <w:proofErr w:type="gramStart"/>
      <w:r w:rsidRPr="00587444">
        <w:rPr>
          <w:rFonts w:ascii="Arial" w:hAnsi="Arial" w:cs="Arial"/>
          <w:color w:val="000000"/>
          <w:sz w:val="20"/>
          <w:szCs w:val="20"/>
          <w:lang w:eastAsia="hr-HR"/>
        </w:rPr>
        <w:t>G.ix</w:t>
      </w:r>
      <w:proofErr w:type="spellEnd"/>
      <w:r w:rsidRPr="00587444">
        <w:rPr>
          <w:rFonts w:ascii="Arial" w:hAnsi="Arial" w:cs="Arial"/>
          <w:color w:val="000000"/>
          <w:sz w:val="20"/>
          <w:szCs w:val="20"/>
          <w:lang w:eastAsia="hr-HR"/>
        </w:rPr>
        <w:t>.</w:t>
      </w:r>
      <w:proofErr w:type="gramEnd"/>
      <w:r w:rsidRPr="00587444">
        <w:rPr>
          <w:rFonts w:ascii="Arial" w:hAnsi="Arial" w:cs="Arial"/>
          <w:color w:val="000000"/>
          <w:sz w:val="20"/>
          <w:szCs w:val="20"/>
          <w:lang w:eastAsia="hr-HR"/>
        </w:rPr>
        <w:t xml:space="preserve"> Impairment – simplified approach).</w:t>
      </w:r>
    </w:p>
    <w:p w14:paraId="2D9C1468" w14:textId="77777777" w:rsidR="00587444" w:rsidRPr="00587444" w:rsidRDefault="00587444" w:rsidP="00587932">
      <w:pPr>
        <w:tabs>
          <w:tab w:val="center" w:pos="4703"/>
          <w:tab w:val="right" w:pos="9406"/>
        </w:tabs>
        <w:autoSpaceDN/>
        <w:jc w:val="both"/>
        <w:rPr>
          <w:rFonts w:ascii="Arial" w:hAnsi="Arial" w:cs="Arial"/>
          <w:color w:val="000000"/>
          <w:sz w:val="20"/>
          <w:szCs w:val="20"/>
          <w:lang w:eastAsia="hr-HR"/>
        </w:rPr>
      </w:pPr>
    </w:p>
    <w:p w14:paraId="57C7ABAD" w14:textId="77777777" w:rsidR="00587444" w:rsidRPr="00587444" w:rsidRDefault="00587444" w:rsidP="00587932">
      <w:pPr>
        <w:autoSpaceDN/>
        <w:jc w:val="both"/>
        <w:rPr>
          <w:rFonts w:ascii="Arial" w:hAnsi="Arial" w:cs="Arial"/>
          <w:sz w:val="20"/>
          <w:szCs w:val="20"/>
          <w:lang w:eastAsia="hr-HR"/>
        </w:rPr>
      </w:pPr>
      <w:r w:rsidRPr="00587444">
        <w:rPr>
          <w:rFonts w:ascii="Arial" w:hAnsi="Arial" w:cs="Arial"/>
          <w:sz w:val="20"/>
          <w:szCs w:val="20"/>
          <w:lang w:eastAsia="hr-HR"/>
        </w:rPr>
        <w:t>Contractual penalty interest is charged on overdue receivables under other receivables, and, if it is not contracted, legal penalty interest is charged.</w:t>
      </w:r>
    </w:p>
    <w:p w14:paraId="2211FA25" w14:textId="77777777" w:rsidR="00587444" w:rsidRPr="00587444" w:rsidRDefault="00587444" w:rsidP="00587932">
      <w:pPr>
        <w:autoSpaceDN/>
        <w:jc w:val="both"/>
        <w:rPr>
          <w:rFonts w:ascii="Arial" w:hAnsi="Arial" w:cs="Arial"/>
          <w:sz w:val="20"/>
          <w:szCs w:val="20"/>
          <w:lang w:eastAsia="hr-HR"/>
        </w:rPr>
      </w:pPr>
    </w:p>
    <w:p w14:paraId="26B61F4E"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H. Property, plant and equipment and intangible assets</w:t>
      </w:r>
    </w:p>
    <w:p w14:paraId="33DBC037" w14:textId="77777777" w:rsidR="00587444" w:rsidRPr="00587444" w:rsidRDefault="00587444" w:rsidP="00587932">
      <w:pPr>
        <w:keepNext/>
        <w:autoSpaceDN/>
        <w:jc w:val="both"/>
        <w:rPr>
          <w:rFonts w:ascii="Arial" w:hAnsi="Arial" w:cs="Arial"/>
          <w:sz w:val="20"/>
          <w:szCs w:val="20"/>
          <w:lang w:val="en-GB"/>
        </w:rPr>
      </w:pPr>
    </w:p>
    <w:p w14:paraId="1069BF65"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Items of property and equipment are measured at cost less accumulated depreciation and any accumulated impairment losses.</w:t>
      </w:r>
    </w:p>
    <w:p w14:paraId="43E04F1F" w14:textId="77777777" w:rsidR="00587444" w:rsidRPr="00587444" w:rsidRDefault="00587444" w:rsidP="00587932">
      <w:pPr>
        <w:autoSpaceDN/>
        <w:jc w:val="both"/>
        <w:rPr>
          <w:rFonts w:ascii="Arial" w:hAnsi="Arial" w:cs="Arial"/>
          <w:sz w:val="20"/>
          <w:szCs w:val="20"/>
        </w:rPr>
      </w:pPr>
    </w:p>
    <w:p w14:paraId="0F483267"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Purchased software that is integral to the functionality of the related equipment is </w:t>
      </w:r>
      <w:proofErr w:type="spellStart"/>
      <w:r w:rsidRPr="00587444">
        <w:rPr>
          <w:rFonts w:ascii="Arial" w:hAnsi="Arial" w:cs="Arial"/>
          <w:sz w:val="20"/>
          <w:szCs w:val="20"/>
        </w:rPr>
        <w:t>capitalised</w:t>
      </w:r>
      <w:proofErr w:type="spellEnd"/>
      <w:r w:rsidRPr="00587444">
        <w:rPr>
          <w:rFonts w:ascii="Arial" w:hAnsi="Arial" w:cs="Arial"/>
          <w:sz w:val="20"/>
          <w:szCs w:val="20"/>
        </w:rPr>
        <w:t xml:space="preserve"> as part of that equipment.</w:t>
      </w:r>
    </w:p>
    <w:p w14:paraId="5FC26099" w14:textId="77777777" w:rsidR="00587444" w:rsidRPr="00587444" w:rsidRDefault="00587444" w:rsidP="00587932">
      <w:pPr>
        <w:autoSpaceDN/>
        <w:jc w:val="both"/>
        <w:rPr>
          <w:rFonts w:ascii="Arial" w:hAnsi="Arial" w:cs="Arial"/>
          <w:sz w:val="20"/>
          <w:szCs w:val="20"/>
        </w:rPr>
      </w:pPr>
    </w:p>
    <w:p w14:paraId="3F00BCDA"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If significant parts of an item of property or equipment have different useful lives, then they are accounted for as separate items (major components) of property and equipment.</w:t>
      </w:r>
    </w:p>
    <w:p w14:paraId="1A59C6EC" w14:textId="77777777" w:rsidR="00587444" w:rsidRPr="00587444" w:rsidRDefault="00587444" w:rsidP="00587932">
      <w:pPr>
        <w:autoSpaceDN/>
        <w:jc w:val="both"/>
        <w:rPr>
          <w:rFonts w:ascii="Arial" w:hAnsi="Arial" w:cs="Arial"/>
          <w:sz w:val="20"/>
          <w:szCs w:val="20"/>
        </w:rPr>
      </w:pPr>
    </w:p>
    <w:p w14:paraId="01310968" w14:textId="77777777" w:rsidR="00587444" w:rsidRPr="00587444" w:rsidRDefault="00587444" w:rsidP="00587932">
      <w:pPr>
        <w:autoSpaceDE w:val="0"/>
        <w:adjustRightInd w:val="0"/>
        <w:jc w:val="both"/>
        <w:rPr>
          <w:rFonts w:ascii="Arial" w:hAnsi="Arial" w:cs="Arial"/>
          <w:sz w:val="20"/>
          <w:szCs w:val="20"/>
        </w:rPr>
      </w:pPr>
      <w:r w:rsidRPr="00587444">
        <w:rPr>
          <w:rFonts w:ascii="Arial" w:hAnsi="Arial" w:cs="Arial"/>
          <w:sz w:val="20"/>
          <w:szCs w:val="20"/>
        </w:rPr>
        <w:t xml:space="preserve">Any gain or loss on disposal of an item of property and equipment is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within other income in profit or loss. Subsequent expenditure is </w:t>
      </w:r>
      <w:proofErr w:type="spellStart"/>
      <w:r w:rsidRPr="00587444">
        <w:rPr>
          <w:rFonts w:ascii="Arial" w:hAnsi="Arial" w:cs="Arial"/>
          <w:sz w:val="20"/>
          <w:szCs w:val="20"/>
        </w:rPr>
        <w:t>capitalised</w:t>
      </w:r>
      <w:proofErr w:type="spellEnd"/>
      <w:r w:rsidRPr="00587444">
        <w:rPr>
          <w:rFonts w:ascii="Arial" w:hAnsi="Arial" w:cs="Arial"/>
          <w:sz w:val="20"/>
          <w:szCs w:val="20"/>
        </w:rPr>
        <w:t xml:space="preserve"> only when it is probable that the future economic benefits of the expenditure will flow to the Group. Ongoing repairs and maintenance are expensed as incurred.</w:t>
      </w:r>
    </w:p>
    <w:p w14:paraId="51427AB3" w14:textId="77777777" w:rsidR="00587444" w:rsidRPr="00587444" w:rsidRDefault="00587444" w:rsidP="00587932">
      <w:pPr>
        <w:autoSpaceDE w:val="0"/>
        <w:adjustRightInd w:val="0"/>
        <w:rPr>
          <w:rFonts w:ascii="Arial" w:eastAsia="Calibri" w:hAnsi="Arial" w:cs="Arial"/>
          <w:color w:val="000000"/>
          <w:sz w:val="20"/>
          <w:szCs w:val="20"/>
        </w:rPr>
      </w:pPr>
    </w:p>
    <w:p w14:paraId="7E6A0D66"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Depreciation is calculated to write off the cost of items of property and equipment less their estimated residual values using the straight-line method over their estimated useful </w:t>
      </w:r>
      <w:proofErr w:type="gramStart"/>
      <w:r w:rsidRPr="00587444">
        <w:rPr>
          <w:rFonts w:ascii="Arial" w:hAnsi="Arial" w:cs="Arial"/>
          <w:sz w:val="20"/>
          <w:szCs w:val="20"/>
        </w:rPr>
        <w:t>lives, and</w:t>
      </w:r>
      <w:proofErr w:type="gramEnd"/>
      <w:r w:rsidRPr="00587444">
        <w:rPr>
          <w:rFonts w:ascii="Arial" w:hAnsi="Arial" w:cs="Arial"/>
          <w:sz w:val="20"/>
          <w:szCs w:val="20"/>
        </w:rPr>
        <w:t xml:space="preserve"> is generally </w:t>
      </w: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in profit or loss. </w:t>
      </w:r>
    </w:p>
    <w:p w14:paraId="45910EB2" w14:textId="77777777" w:rsidR="00587444" w:rsidRPr="00587444" w:rsidRDefault="00587444" w:rsidP="00587932">
      <w:pPr>
        <w:autoSpaceDN/>
        <w:jc w:val="both"/>
        <w:rPr>
          <w:rFonts w:ascii="Arial" w:hAnsi="Arial" w:cs="Arial"/>
          <w:sz w:val="20"/>
          <w:szCs w:val="20"/>
        </w:rPr>
      </w:pPr>
    </w:p>
    <w:p w14:paraId="68ED9A41"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Land is not depreciated.</w:t>
      </w:r>
    </w:p>
    <w:p w14:paraId="7E439669" w14:textId="77777777" w:rsidR="00587444" w:rsidRPr="00587444" w:rsidRDefault="00587444" w:rsidP="00587932">
      <w:pPr>
        <w:autoSpaceDN/>
        <w:jc w:val="both"/>
        <w:rPr>
          <w:rFonts w:ascii="Arial" w:hAnsi="Arial" w:cs="Arial"/>
          <w:sz w:val="20"/>
          <w:szCs w:val="20"/>
        </w:rPr>
      </w:pPr>
    </w:p>
    <w:bookmarkEnd w:id="420"/>
    <w:bookmarkEnd w:id="422"/>
    <w:p w14:paraId="01EE4271"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Estimated useful lives are as follows:</w:t>
      </w:r>
    </w:p>
    <w:p w14:paraId="2C77AC1D" w14:textId="77777777" w:rsidR="00587444" w:rsidRPr="00587444" w:rsidRDefault="00587444" w:rsidP="00587444">
      <w:pPr>
        <w:suppressAutoHyphens w:val="0"/>
        <w:autoSpaceDN/>
        <w:jc w:val="both"/>
        <w:rPr>
          <w:rFonts w:ascii="Arial" w:hAnsi="Arial" w:cs="Arial"/>
          <w:sz w:val="20"/>
          <w:szCs w:val="20"/>
          <w:lang w:val="en-GB"/>
        </w:rPr>
      </w:pPr>
    </w:p>
    <w:tbl>
      <w:tblPr>
        <w:tblW w:w="9781" w:type="dxa"/>
        <w:tblInd w:w="-142" w:type="dxa"/>
        <w:tblLayout w:type="fixed"/>
        <w:tblLook w:val="0000" w:firstRow="0" w:lastRow="0" w:firstColumn="0" w:lastColumn="0" w:noHBand="0" w:noVBand="0"/>
      </w:tblPr>
      <w:tblGrid>
        <w:gridCol w:w="4395"/>
        <w:gridCol w:w="1276"/>
        <w:gridCol w:w="1417"/>
        <w:gridCol w:w="1276"/>
        <w:gridCol w:w="1417"/>
      </w:tblGrid>
      <w:tr w:rsidR="00587444" w:rsidRPr="00587444" w14:paraId="2B756319" w14:textId="77777777" w:rsidTr="00DD69E7">
        <w:trPr>
          <w:trHeight w:val="275"/>
        </w:trPr>
        <w:tc>
          <w:tcPr>
            <w:tcW w:w="4395" w:type="dxa"/>
          </w:tcPr>
          <w:p w14:paraId="06129DD2" w14:textId="77777777" w:rsidR="00587444" w:rsidRPr="00587444" w:rsidRDefault="00587444" w:rsidP="00587444">
            <w:pPr>
              <w:tabs>
                <w:tab w:val="right" w:pos="1202"/>
              </w:tabs>
              <w:suppressAutoHyphens w:val="0"/>
              <w:autoSpaceDN/>
              <w:outlineLvl w:val="0"/>
              <w:rPr>
                <w:rFonts w:ascii="Arial" w:hAnsi="Arial" w:cs="Arial"/>
                <w:sz w:val="20"/>
                <w:szCs w:val="20"/>
                <w:lang w:val="hr-HR"/>
              </w:rPr>
            </w:pPr>
          </w:p>
        </w:tc>
        <w:tc>
          <w:tcPr>
            <w:tcW w:w="2693" w:type="dxa"/>
            <w:gridSpan w:val="2"/>
            <w:vAlign w:val="bottom"/>
          </w:tcPr>
          <w:p w14:paraId="133D3E22"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en-GB"/>
              </w:rPr>
            </w:pPr>
            <w:r w:rsidRPr="00587444">
              <w:rPr>
                <w:rFonts w:ascii="Arial" w:hAnsi="Arial" w:cs="Arial"/>
                <w:b/>
                <w:sz w:val="20"/>
                <w:szCs w:val="20"/>
                <w:lang w:val="en-GB"/>
              </w:rPr>
              <w:t>2022</w:t>
            </w:r>
          </w:p>
        </w:tc>
        <w:tc>
          <w:tcPr>
            <w:tcW w:w="2693" w:type="dxa"/>
            <w:gridSpan w:val="2"/>
            <w:vAlign w:val="bottom"/>
          </w:tcPr>
          <w:p w14:paraId="2F8564B6"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en-GB"/>
              </w:rPr>
            </w:pPr>
            <w:r w:rsidRPr="00587444">
              <w:rPr>
                <w:rFonts w:ascii="Arial" w:hAnsi="Arial" w:cs="Arial"/>
                <w:b/>
                <w:sz w:val="20"/>
                <w:szCs w:val="20"/>
                <w:lang w:val="en-GB"/>
              </w:rPr>
              <w:t>2021</w:t>
            </w:r>
          </w:p>
        </w:tc>
      </w:tr>
      <w:tr w:rsidR="00587444" w:rsidRPr="00587444" w14:paraId="0FD3FF49" w14:textId="77777777" w:rsidTr="00DD69E7">
        <w:trPr>
          <w:trHeight w:val="246"/>
        </w:trPr>
        <w:tc>
          <w:tcPr>
            <w:tcW w:w="4395" w:type="dxa"/>
          </w:tcPr>
          <w:p w14:paraId="51678CC6" w14:textId="77777777" w:rsidR="00587444" w:rsidRPr="00587444" w:rsidRDefault="00587444" w:rsidP="00587444">
            <w:pPr>
              <w:tabs>
                <w:tab w:val="right" w:pos="1202"/>
              </w:tabs>
              <w:suppressAutoHyphens w:val="0"/>
              <w:autoSpaceDN/>
              <w:jc w:val="both"/>
              <w:outlineLvl w:val="0"/>
              <w:rPr>
                <w:rFonts w:ascii="Arial" w:hAnsi="Arial" w:cs="Arial"/>
                <w:sz w:val="20"/>
                <w:szCs w:val="20"/>
                <w:lang w:val="hr-HR"/>
              </w:rPr>
            </w:pPr>
          </w:p>
        </w:tc>
        <w:tc>
          <w:tcPr>
            <w:tcW w:w="1276" w:type="dxa"/>
            <w:vAlign w:val="bottom"/>
          </w:tcPr>
          <w:p w14:paraId="0C9067D7"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Useful life</w:t>
            </w:r>
          </w:p>
          <w:p w14:paraId="1AEC69C4"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expressed in years</w:t>
            </w:r>
          </w:p>
        </w:tc>
        <w:tc>
          <w:tcPr>
            <w:tcW w:w="1417" w:type="dxa"/>
          </w:tcPr>
          <w:p w14:paraId="7AA242B1" w14:textId="77777777" w:rsidR="00587444" w:rsidRPr="00587444" w:rsidRDefault="00587444" w:rsidP="00587444">
            <w:pPr>
              <w:tabs>
                <w:tab w:val="right" w:pos="1202"/>
              </w:tabs>
              <w:suppressAutoHyphens w:val="0"/>
              <w:autoSpaceDN/>
              <w:jc w:val="right"/>
              <w:outlineLvl w:val="0"/>
              <w:rPr>
                <w:rFonts w:ascii="Arial" w:hAnsi="Arial" w:cs="Arial"/>
                <w:color w:val="222222"/>
                <w:sz w:val="20"/>
                <w:szCs w:val="20"/>
                <w:lang w:val="en-GB"/>
              </w:rPr>
            </w:pPr>
            <w:r w:rsidRPr="00587444">
              <w:rPr>
                <w:rFonts w:ascii="Arial" w:hAnsi="Arial" w:cs="Arial"/>
                <w:color w:val="222222"/>
                <w:sz w:val="20"/>
                <w:szCs w:val="20"/>
                <w:lang w:val="en-GB"/>
              </w:rPr>
              <w:t xml:space="preserve">Annual </w:t>
            </w:r>
          </w:p>
          <w:p w14:paraId="3DE56CDF" w14:textId="77777777" w:rsidR="00587444" w:rsidRPr="00587444" w:rsidRDefault="00587444" w:rsidP="00587444">
            <w:pPr>
              <w:tabs>
                <w:tab w:val="right" w:pos="1202"/>
              </w:tabs>
              <w:suppressAutoHyphens w:val="0"/>
              <w:autoSpaceDN/>
              <w:jc w:val="right"/>
              <w:outlineLvl w:val="0"/>
              <w:rPr>
                <w:rFonts w:ascii="Arial" w:hAnsi="Arial" w:cs="Arial"/>
                <w:color w:val="222222"/>
                <w:sz w:val="20"/>
                <w:szCs w:val="20"/>
                <w:lang w:val="en-GB"/>
              </w:rPr>
            </w:pPr>
            <w:r w:rsidRPr="00587444">
              <w:rPr>
                <w:rFonts w:ascii="Arial" w:hAnsi="Arial" w:cs="Arial"/>
                <w:color w:val="222222"/>
                <w:sz w:val="20"/>
                <w:szCs w:val="20"/>
                <w:lang w:val="en-GB"/>
              </w:rPr>
              <w:t xml:space="preserve">depreciation </w:t>
            </w:r>
          </w:p>
          <w:p w14:paraId="258E887F"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color w:val="222222"/>
                <w:sz w:val="20"/>
                <w:szCs w:val="20"/>
                <w:lang w:val="en-GB"/>
              </w:rPr>
              <w:t>rates</w:t>
            </w:r>
          </w:p>
        </w:tc>
        <w:tc>
          <w:tcPr>
            <w:tcW w:w="1276" w:type="dxa"/>
            <w:vAlign w:val="bottom"/>
          </w:tcPr>
          <w:p w14:paraId="68172FA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en-GB"/>
              </w:rPr>
            </w:pPr>
            <w:r w:rsidRPr="00587444">
              <w:rPr>
                <w:rFonts w:ascii="Arial" w:hAnsi="Arial" w:cs="Arial"/>
                <w:sz w:val="20"/>
                <w:szCs w:val="20"/>
                <w:lang w:val="en-GB"/>
              </w:rPr>
              <w:t>Useful life</w:t>
            </w:r>
          </w:p>
          <w:p w14:paraId="5C8CDAE2"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expressed in years</w:t>
            </w:r>
          </w:p>
        </w:tc>
        <w:tc>
          <w:tcPr>
            <w:tcW w:w="1417" w:type="dxa"/>
          </w:tcPr>
          <w:p w14:paraId="22B6048B" w14:textId="77777777" w:rsidR="00587444" w:rsidRPr="00587444" w:rsidRDefault="00587444" w:rsidP="00587444">
            <w:pPr>
              <w:tabs>
                <w:tab w:val="right" w:pos="1202"/>
              </w:tabs>
              <w:suppressAutoHyphens w:val="0"/>
              <w:autoSpaceDN/>
              <w:jc w:val="right"/>
              <w:outlineLvl w:val="0"/>
              <w:rPr>
                <w:rFonts w:ascii="Arial" w:hAnsi="Arial" w:cs="Arial"/>
                <w:color w:val="222222"/>
                <w:sz w:val="20"/>
                <w:szCs w:val="20"/>
                <w:lang w:val="en-GB"/>
              </w:rPr>
            </w:pPr>
            <w:r w:rsidRPr="00587444">
              <w:rPr>
                <w:rFonts w:ascii="Arial" w:hAnsi="Arial" w:cs="Arial"/>
                <w:color w:val="222222"/>
                <w:sz w:val="20"/>
                <w:szCs w:val="20"/>
                <w:lang w:val="en-GB"/>
              </w:rPr>
              <w:t xml:space="preserve">Annual depreciation </w:t>
            </w:r>
          </w:p>
          <w:p w14:paraId="3BD90650"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color w:val="222222"/>
                <w:sz w:val="20"/>
                <w:szCs w:val="20"/>
                <w:lang w:val="en-GB"/>
              </w:rPr>
              <w:t>rates</w:t>
            </w:r>
          </w:p>
        </w:tc>
      </w:tr>
      <w:tr w:rsidR="00587444" w:rsidRPr="00587444" w14:paraId="0C71E739" w14:textId="77777777" w:rsidTr="00DD69E7">
        <w:trPr>
          <w:trHeight w:val="225"/>
        </w:trPr>
        <w:tc>
          <w:tcPr>
            <w:tcW w:w="4395" w:type="dxa"/>
          </w:tcPr>
          <w:p w14:paraId="52F54D4A" w14:textId="77777777" w:rsidR="00587444" w:rsidRPr="00587444" w:rsidRDefault="00587444" w:rsidP="00587444">
            <w:pPr>
              <w:tabs>
                <w:tab w:val="right" w:pos="1202"/>
              </w:tabs>
              <w:suppressAutoHyphens w:val="0"/>
              <w:autoSpaceDN/>
              <w:jc w:val="both"/>
              <w:outlineLvl w:val="0"/>
              <w:rPr>
                <w:rFonts w:ascii="Arial" w:hAnsi="Arial" w:cs="Arial"/>
                <w:sz w:val="20"/>
                <w:szCs w:val="20"/>
                <w:lang w:val="en-GB"/>
              </w:rPr>
            </w:pPr>
            <w:r w:rsidRPr="00587444">
              <w:rPr>
                <w:rFonts w:ascii="Arial" w:hAnsi="Arial" w:cs="Arial"/>
                <w:sz w:val="20"/>
                <w:szCs w:val="20"/>
                <w:lang w:val="en-GB"/>
              </w:rPr>
              <w:t>Buildings</w:t>
            </w:r>
          </w:p>
        </w:tc>
        <w:tc>
          <w:tcPr>
            <w:tcW w:w="1276" w:type="dxa"/>
            <w:vAlign w:val="bottom"/>
          </w:tcPr>
          <w:p w14:paraId="27A2EB72"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20</w:t>
            </w:r>
          </w:p>
        </w:tc>
        <w:tc>
          <w:tcPr>
            <w:tcW w:w="1417" w:type="dxa"/>
          </w:tcPr>
          <w:p w14:paraId="302F4CE8"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5%</w:t>
            </w:r>
          </w:p>
        </w:tc>
        <w:tc>
          <w:tcPr>
            <w:tcW w:w="1276" w:type="dxa"/>
            <w:vAlign w:val="bottom"/>
          </w:tcPr>
          <w:p w14:paraId="21A6279D"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20</w:t>
            </w:r>
          </w:p>
        </w:tc>
        <w:tc>
          <w:tcPr>
            <w:tcW w:w="1417" w:type="dxa"/>
          </w:tcPr>
          <w:p w14:paraId="7E4A88E0"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5%</w:t>
            </w:r>
          </w:p>
        </w:tc>
      </w:tr>
      <w:tr w:rsidR="00587444" w:rsidRPr="00587444" w14:paraId="5D9147AB" w14:textId="77777777" w:rsidTr="00DD69E7">
        <w:trPr>
          <w:trHeight w:val="225"/>
        </w:trPr>
        <w:tc>
          <w:tcPr>
            <w:tcW w:w="4395" w:type="dxa"/>
          </w:tcPr>
          <w:p w14:paraId="08C03447" w14:textId="77777777" w:rsidR="00587444" w:rsidRPr="00587444" w:rsidRDefault="00587444" w:rsidP="00587444">
            <w:pPr>
              <w:tabs>
                <w:tab w:val="right" w:pos="1202"/>
              </w:tabs>
              <w:suppressAutoHyphens w:val="0"/>
              <w:autoSpaceDN/>
              <w:jc w:val="both"/>
              <w:outlineLvl w:val="0"/>
              <w:rPr>
                <w:rFonts w:ascii="Arial" w:hAnsi="Arial" w:cs="Arial"/>
                <w:sz w:val="20"/>
                <w:szCs w:val="20"/>
                <w:lang w:val="en-GB"/>
              </w:rPr>
            </w:pPr>
            <w:r w:rsidRPr="00587444">
              <w:rPr>
                <w:rFonts w:ascii="Arial" w:hAnsi="Arial" w:cs="Arial"/>
                <w:sz w:val="20"/>
                <w:szCs w:val="20"/>
                <w:lang w:val="en-GB"/>
              </w:rPr>
              <w:t>Computers</w:t>
            </w:r>
          </w:p>
        </w:tc>
        <w:tc>
          <w:tcPr>
            <w:tcW w:w="1276" w:type="dxa"/>
            <w:vAlign w:val="bottom"/>
          </w:tcPr>
          <w:p w14:paraId="50A22E9B"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2</w:t>
            </w:r>
          </w:p>
        </w:tc>
        <w:tc>
          <w:tcPr>
            <w:tcW w:w="1417" w:type="dxa"/>
          </w:tcPr>
          <w:p w14:paraId="78E2CD97"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50%</w:t>
            </w:r>
          </w:p>
        </w:tc>
        <w:tc>
          <w:tcPr>
            <w:tcW w:w="1276" w:type="dxa"/>
            <w:vAlign w:val="bottom"/>
          </w:tcPr>
          <w:p w14:paraId="2FF61F87"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2</w:t>
            </w:r>
          </w:p>
        </w:tc>
        <w:tc>
          <w:tcPr>
            <w:tcW w:w="1417" w:type="dxa"/>
          </w:tcPr>
          <w:p w14:paraId="102459AF"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50%</w:t>
            </w:r>
          </w:p>
        </w:tc>
      </w:tr>
      <w:tr w:rsidR="00587444" w:rsidRPr="00587444" w14:paraId="1082571A" w14:textId="77777777" w:rsidTr="00DD69E7">
        <w:trPr>
          <w:trHeight w:val="225"/>
        </w:trPr>
        <w:tc>
          <w:tcPr>
            <w:tcW w:w="4395" w:type="dxa"/>
          </w:tcPr>
          <w:p w14:paraId="297754B2" w14:textId="77777777" w:rsidR="00587444" w:rsidRPr="00587444" w:rsidRDefault="00587444" w:rsidP="00587444">
            <w:pPr>
              <w:tabs>
                <w:tab w:val="right" w:pos="1202"/>
              </w:tabs>
              <w:suppressAutoHyphens w:val="0"/>
              <w:autoSpaceDN/>
              <w:jc w:val="both"/>
              <w:outlineLvl w:val="0"/>
              <w:rPr>
                <w:rFonts w:ascii="Arial" w:hAnsi="Arial" w:cs="Arial"/>
                <w:sz w:val="20"/>
                <w:szCs w:val="20"/>
                <w:lang w:val="en-GB"/>
              </w:rPr>
            </w:pPr>
            <w:r w:rsidRPr="00587444">
              <w:rPr>
                <w:rFonts w:ascii="Arial" w:hAnsi="Arial" w:cs="Arial"/>
                <w:sz w:val="20"/>
                <w:szCs w:val="20"/>
                <w:lang w:val="en-GB"/>
              </w:rPr>
              <w:t>Furniture and Equipment</w:t>
            </w:r>
          </w:p>
        </w:tc>
        <w:tc>
          <w:tcPr>
            <w:tcW w:w="1276" w:type="dxa"/>
            <w:vAlign w:val="bottom"/>
          </w:tcPr>
          <w:p w14:paraId="61F907E1"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4</w:t>
            </w:r>
          </w:p>
        </w:tc>
        <w:tc>
          <w:tcPr>
            <w:tcW w:w="1417" w:type="dxa"/>
          </w:tcPr>
          <w:p w14:paraId="29B02D10"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25%</w:t>
            </w:r>
          </w:p>
        </w:tc>
        <w:tc>
          <w:tcPr>
            <w:tcW w:w="1276" w:type="dxa"/>
            <w:vAlign w:val="bottom"/>
          </w:tcPr>
          <w:p w14:paraId="66BD8EFC"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4</w:t>
            </w:r>
          </w:p>
        </w:tc>
        <w:tc>
          <w:tcPr>
            <w:tcW w:w="1417" w:type="dxa"/>
          </w:tcPr>
          <w:p w14:paraId="11234107"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25%</w:t>
            </w:r>
          </w:p>
        </w:tc>
      </w:tr>
      <w:tr w:rsidR="00587444" w:rsidRPr="00587444" w14:paraId="125EFA3D" w14:textId="77777777" w:rsidTr="00DD69E7">
        <w:trPr>
          <w:trHeight w:val="225"/>
        </w:trPr>
        <w:tc>
          <w:tcPr>
            <w:tcW w:w="4395" w:type="dxa"/>
          </w:tcPr>
          <w:p w14:paraId="735444B4" w14:textId="77777777" w:rsidR="00587444" w:rsidRPr="00587444" w:rsidRDefault="00587444" w:rsidP="00587444">
            <w:pPr>
              <w:tabs>
                <w:tab w:val="right" w:pos="1202"/>
              </w:tabs>
              <w:suppressAutoHyphens w:val="0"/>
              <w:autoSpaceDN/>
              <w:jc w:val="both"/>
              <w:outlineLvl w:val="0"/>
              <w:rPr>
                <w:rFonts w:ascii="Arial" w:hAnsi="Arial" w:cs="Arial"/>
                <w:sz w:val="20"/>
                <w:szCs w:val="20"/>
                <w:lang w:val="en-GB"/>
              </w:rPr>
            </w:pPr>
            <w:r w:rsidRPr="00587444">
              <w:rPr>
                <w:rFonts w:ascii="Arial" w:hAnsi="Arial" w:cs="Arial"/>
                <w:sz w:val="20"/>
                <w:szCs w:val="20"/>
                <w:lang w:val="en-GB"/>
              </w:rPr>
              <w:t>Vehicles</w:t>
            </w:r>
          </w:p>
        </w:tc>
        <w:tc>
          <w:tcPr>
            <w:tcW w:w="1276" w:type="dxa"/>
            <w:vAlign w:val="bottom"/>
          </w:tcPr>
          <w:p w14:paraId="02DC9971"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5</w:t>
            </w:r>
          </w:p>
        </w:tc>
        <w:tc>
          <w:tcPr>
            <w:tcW w:w="1417" w:type="dxa"/>
          </w:tcPr>
          <w:p w14:paraId="63F734D4"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20%</w:t>
            </w:r>
          </w:p>
        </w:tc>
        <w:tc>
          <w:tcPr>
            <w:tcW w:w="1276" w:type="dxa"/>
            <w:vAlign w:val="bottom"/>
          </w:tcPr>
          <w:p w14:paraId="1DB28C60"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5</w:t>
            </w:r>
          </w:p>
        </w:tc>
        <w:tc>
          <w:tcPr>
            <w:tcW w:w="1417" w:type="dxa"/>
          </w:tcPr>
          <w:p w14:paraId="65C003CF"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20%</w:t>
            </w:r>
          </w:p>
        </w:tc>
      </w:tr>
      <w:tr w:rsidR="00587444" w:rsidRPr="00587444" w14:paraId="56BD3805" w14:textId="77777777" w:rsidTr="00DD69E7">
        <w:trPr>
          <w:trHeight w:val="204"/>
        </w:trPr>
        <w:tc>
          <w:tcPr>
            <w:tcW w:w="4395" w:type="dxa"/>
          </w:tcPr>
          <w:p w14:paraId="60B2A810" w14:textId="77777777" w:rsidR="00587444" w:rsidRPr="00587444" w:rsidRDefault="00587444" w:rsidP="00587444">
            <w:pPr>
              <w:tabs>
                <w:tab w:val="right" w:pos="1202"/>
              </w:tabs>
              <w:suppressAutoHyphens w:val="0"/>
              <w:autoSpaceDN/>
              <w:outlineLvl w:val="0"/>
              <w:rPr>
                <w:rFonts w:ascii="Arial" w:hAnsi="Arial" w:cs="Arial"/>
                <w:sz w:val="20"/>
                <w:szCs w:val="20"/>
                <w:lang w:val="en-GB"/>
              </w:rPr>
            </w:pPr>
            <w:r w:rsidRPr="00587444">
              <w:rPr>
                <w:rFonts w:ascii="Arial" w:hAnsi="Arial" w:cs="Arial"/>
                <w:sz w:val="20"/>
                <w:szCs w:val="20"/>
                <w:lang w:val="en-GB"/>
              </w:rPr>
              <w:t>Other assets and investments not mentioned</w:t>
            </w:r>
          </w:p>
        </w:tc>
        <w:tc>
          <w:tcPr>
            <w:tcW w:w="1276" w:type="dxa"/>
            <w:vAlign w:val="bottom"/>
          </w:tcPr>
          <w:p w14:paraId="40E6469A"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10</w:t>
            </w:r>
          </w:p>
        </w:tc>
        <w:tc>
          <w:tcPr>
            <w:tcW w:w="1417" w:type="dxa"/>
            <w:vAlign w:val="bottom"/>
          </w:tcPr>
          <w:p w14:paraId="5D2F6526"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10%</w:t>
            </w:r>
          </w:p>
        </w:tc>
        <w:tc>
          <w:tcPr>
            <w:tcW w:w="1276" w:type="dxa"/>
            <w:vAlign w:val="bottom"/>
          </w:tcPr>
          <w:p w14:paraId="7E484F86"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10</w:t>
            </w:r>
          </w:p>
        </w:tc>
        <w:tc>
          <w:tcPr>
            <w:tcW w:w="1417" w:type="dxa"/>
            <w:vAlign w:val="bottom"/>
          </w:tcPr>
          <w:p w14:paraId="371FB706"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10%</w:t>
            </w:r>
          </w:p>
        </w:tc>
      </w:tr>
      <w:tr w:rsidR="00587444" w:rsidRPr="00587444" w14:paraId="4E9CD58E" w14:textId="77777777" w:rsidTr="00DD69E7">
        <w:trPr>
          <w:trHeight w:val="225"/>
        </w:trPr>
        <w:tc>
          <w:tcPr>
            <w:tcW w:w="4395" w:type="dxa"/>
          </w:tcPr>
          <w:p w14:paraId="341B05AA" w14:textId="77777777" w:rsidR="00587444" w:rsidRPr="00587444" w:rsidRDefault="00587444" w:rsidP="00587444">
            <w:pPr>
              <w:tabs>
                <w:tab w:val="right" w:pos="1202"/>
              </w:tabs>
              <w:suppressAutoHyphens w:val="0"/>
              <w:autoSpaceDN/>
              <w:jc w:val="both"/>
              <w:outlineLvl w:val="0"/>
              <w:rPr>
                <w:rFonts w:ascii="Arial" w:hAnsi="Arial" w:cs="Arial"/>
                <w:sz w:val="20"/>
                <w:szCs w:val="20"/>
                <w:lang w:val="en-GB"/>
              </w:rPr>
            </w:pPr>
            <w:r w:rsidRPr="00587444">
              <w:rPr>
                <w:rFonts w:ascii="Arial" w:hAnsi="Arial" w:cs="Arial"/>
                <w:sz w:val="20"/>
                <w:szCs w:val="20"/>
                <w:lang w:val="en-GB"/>
              </w:rPr>
              <w:t>Intangible Assets</w:t>
            </w:r>
          </w:p>
        </w:tc>
        <w:tc>
          <w:tcPr>
            <w:tcW w:w="1276" w:type="dxa"/>
            <w:vAlign w:val="bottom"/>
          </w:tcPr>
          <w:p w14:paraId="0BB5092D"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4</w:t>
            </w:r>
          </w:p>
        </w:tc>
        <w:tc>
          <w:tcPr>
            <w:tcW w:w="1417" w:type="dxa"/>
          </w:tcPr>
          <w:p w14:paraId="3B2DC296"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25%</w:t>
            </w:r>
          </w:p>
        </w:tc>
        <w:tc>
          <w:tcPr>
            <w:tcW w:w="1276" w:type="dxa"/>
            <w:vAlign w:val="bottom"/>
          </w:tcPr>
          <w:p w14:paraId="658EDA05"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4</w:t>
            </w:r>
          </w:p>
        </w:tc>
        <w:tc>
          <w:tcPr>
            <w:tcW w:w="1417" w:type="dxa"/>
          </w:tcPr>
          <w:p w14:paraId="344ED060"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25%</w:t>
            </w:r>
          </w:p>
        </w:tc>
      </w:tr>
    </w:tbl>
    <w:p w14:paraId="71B98AE4" w14:textId="77777777" w:rsidR="00587444" w:rsidRPr="00587444" w:rsidRDefault="00587444" w:rsidP="00587444">
      <w:pPr>
        <w:suppressAutoHyphens w:val="0"/>
        <w:autoSpaceDN/>
        <w:jc w:val="both"/>
        <w:rPr>
          <w:rFonts w:ascii="Arial" w:hAnsi="Arial" w:cs="Arial"/>
          <w:sz w:val="20"/>
          <w:szCs w:val="20"/>
          <w:lang w:val="en-GB"/>
        </w:rPr>
        <w:sectPr w:rsidR="00587444" w:rsidRPr="00587444" w:rsidSect="00DD69E7">
          <w:pgSz w:w="11907" w:h="16840" w:code="9"/>
          <w:pgMar w:top="1418" w:right="1134" w:bottom="1134" w:left="1418" w:header="851" w:footer="851" w:gutter="0"/>
          <w:cols w:space="720"/>
          <w:noEndnote/>
        </w:sectPr>
      </w:pPr>
    </w:p>
    <w:p w14:paraId="761232A7" w14:textId="77777777" w:rsidR="00587444" w:rsidRPr="00587444" w:rsidRDefault="00587444" w:rsidP="00587444">
      <w:pPr>
        <w:tabs>
          <w:tab w:val="left" w:pos="7371"/>
        </w:tabs>
        <w:suppressAutoHyphens w:val="0"/>
        <w:autoSpaceDN/>
        <w:jc w:val="both"/>
        <w:rPr>
          <w:rFonts w:ascii="Arial" w:hAnsi="Arial" w:cs="Arial"/>
          <w:sz w:val="20"/>
          <w:szCs w:val="20"/>
        </w:rPr>
      </w:pPr>
    </w:p>
    <w:p w14:paraId="332E2B2D" w14:textId="77777777" w:rsidR="00587444" w:rsidRPr="00587444" w:rsidRDefault="00587444" w:rsidP="00587444">
      <w:pPr>
        <w:keepNext/>
        <w:tabs>
          <w:tab w:val="left" w:pos="426"/>
        </w:tabs>
        <w:suppressAutoHyphens w:val="0"/>
        <w:autoSpaceDN/>
        <w:jc w:val="both"/>
        <w:rPr>
          <w:rFonts w:ascii="Arial" w:hAnsi="Arial" w:cs="Arial"/>
          <w:b/>
          <w:bCs/>
          <w:sz w:val="20"/>
          <w:szCs w:val="20"/>
        </w:rPr>
      </w:pPr>
      <w:bookmarkStart w:id="423" w:name="_Hlk534381299"/>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0D3B3697"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33A9FF2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1BAE0270" w14:textId="77777777" w:rsidR="00587444" w:rsidRPr="00587444" w:rsidRDefault="00587444" w:rsidP="00587444">
      <w:pPr>
        <w:suppressAutoHyphens w:val="0"/>
        <w:autoSpaceDN/>
        <w:jc w:val="both"/>
        <w:rPr>
          <w:rFonts w:ascii="Arial" w:hAnsi="Arial" w:cs="Arial"/>
          <w:sz w:val="20"/>
          <w:szCs w:val="20"/>
          <w:lang w:val="en-GB"/>
        </w:rPr>
      </w:pPr>
    </w:p>
    <w:p w14:paraId="7DA04DE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H. Property, plant and equipment and intangible assets (continued)</w:t>
      </w:r>
    </w:p>
    <w:p w14:paraId="09D9F1F0" w14:textId="77777777" w:rsidR="00587444" w:rsidRPr="00587444" w:rsidRDefault="00587444" w:rsidP="00587444">
      <w:pPr>
        <w:suppressAutoHyphens w:val="0"/>
        <w:autoSpaceDN/>
        <w:jc w:val="both"/>
        <w:rPr>
          <w:rFonts w:ascii="Arial" w:hAnsi="Arial" w:cs="Arial"/>
          <w:sz w:val="20"/>
          <w:szCs w:val="20"/>
        </w:rPr>
      </w:pPr>
    </w:p>
    <w:bookmarkEnd w:id="423"/>
    <w:p w14:paraId="09233545" w14:textId="77777777" w:rsidR="00587444" w:rsidRPr="00587444" w:rsidRDefault="00587444" w:rsidP="00587932">
      <w:pPr>
        <w:keepNext/>
        <w:autoSpaceDN/>
        <w:jc w:val="both"/>
        <w:rPr>
          <w:rFonts w:ascii="Arial" w:hAnsi="Arial" w:cs="Arial"/>
          <w:sz w:val="20"/>
          <w:szCs w:val="20"/>
        </w:rPr>
      </w:pPr>
      <w:r w:rsidRPr="00587444">
        <w:rPr>
          <w:rFonts w:ascii="Arial" w:hAnsi="Arial" w:cs="Arial"/>
          <w:sz w:val="20"/>
          <w:szCs w:val="20"/>
        </w:rPr>
        <w:t>Depreciation methods, useful lives and residual values are reviewed at each reporting date and adjusted if appropriate.</w:t>
      </w:r>
    </w:p>
    <w:p w14:paraId="26BF4A92" w14:textId="77777777" w:rsidR="00587444" w:rsidRPr="00587444" w:rsidRDefault="00587444" w:rsidP="00587932">
      <w:pPr>
        <w:keepNext/>
        <w:autoSpaceDN/>
        <w:jc w:val="both"/>
        <w:rPr>
          <w:rFonts w:ascii="Arial" w:hAnsi="Arial" w:cs="Arial"/>
          <w:sz w:val="20"/>
          <w:szCs w:val="20"/>
        </w:rPr>
      </w:pPr>
    </w:p>
    <w:p w14:paraId="139C86DA"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I. Investment property</w:t>
      </w:r>
    </w:p>
    <w:p w14:paraId="76EE1B6E" w14:textId="77777777" w:rsidR="00587444" w:rsidRPr="00587444" w:rsidRDefault="00587444" w:rsidP="00587932">
      <w:pPr>
        <w:keepNext/>
        <w:autoSpaceDN/>
        <w:jc w:val="both"/>
        <w:rPr>
          <w:rFonts w:ascii="Arial" w:hAnsi="Arial" w:cs="Arial"/>
          <w:sz w:val="20"/>
          <w:szCs w:val="20"/>
          <w:lang w:val="en-GB"/>
        </w:rPr>
      </w:pPr>
    </w:p>
    <w:p w14:paraId="279F3AAE" w14:textId="77777777" w:rsidR="00587444" w:rsidRPr="00587444" w:rsidRDefault="00587444" w:rsidP="00587932">
      <w:pPr>
        <w:autoSpaceDE w:val="0"/>
        <w:adjustRightInd w:val="0"/>
        <w:jc w:val="both"/>
        <w:rPr>
          <w:rFonts w:ascii="Arial" w:hAnsi="Arial" w:cs="Arial"/>
          <w:sz w:val="20"/>
          <w:szCs w:val="20"/>
          <w:lang w:val="en-GB"/>
        </w:rPr>
      </w:pPr>
      <w:r w:rsidRPr="00587444">
        <w:rPr>
          <w:rFonts w:ascii="Arial" w:hAnsi="Arial" w:cs="Arial"/>
          <w:sz w:val="20"/>
          <w:szCs w:val="20"/>
          <w:lang w:val="en-GB"/>
        </w:rPr>
        <w:t>Investment property held by the Group to earn rentals or for capital appreciation is initially measured at cost, and subsequently reduced by accumulated depreciation and any impairment losses.</w:t>
      </w:r>
    </w:p>
    <w:p w14:paraId="229AF875" w14:textId="77777777" w:rsidR="00587444" w:rsidRPr="00587444" w:rsidRDefault="00587444" w:rsidP="00587932">
      <w:pPr>
        <w:autoSpaceDE w:val="0"/>
        <w:adjustRightInd w:val="0"/>
        <w:spacing w:before="120"/>
        <w:jc w:val="both"/>
        <w:rPr>
          <w:rFonts w:ascii="Arial" w:hAnsi="Arial" w:cs="Arial"/>
          <w:sz w:val="20"/>
          <w:szCs w:val="20"/>
          <w:lang w:val="en-GB"/>
        </w:rPr>
      </w:pPr>
      <w:r w:rsidRPr="00587444">
        <w:rPr>
          <w:rFonts w:ascii="Arial" w:hAnsi="Arial" w:cs="Arial"/>
          <w:sz w:val="20"/>
          <w:szCs w:val="20"/>
          <w:lang w:val="en-GB"/>
        </w:rPr>
        <w:t xml:space="preserve">Subsequent cost of replacing part of an existing asset is recognized in the carrying amount of an investment property at the time that cost is incurred, when it is probable that future economic benefits associated with the item will flow to the Group and the cost of the item can be measured reliably. All other repairs and maintenance are expensed during the period in which they are incurred. </w:t>
      </w:r>
    </w:p>
    <w:p w14:paraId="2E3A72C7" w14:textId="77777777" w:rsidR="00587444" w:rsidRPr="00587444" w:rsidRDefault="00587444" w:rsidP="00587932">
      <w:pPr>
        <w:autoSpaceDE w:val="0"/>
        <w:adjustRightInd w:val="0"/>
        <w:spacing w:before="120"/>
        <w:jc w:val="both"/>
        <w:rPr>
          <w:rFonts w:ascii="Arial" w:hAnsi="Arial" w:cs="Arial"/>
          <w:sz w:val="20"/>
          <w:szCs w:val="20"/>
          <w:lang w:val="en-GB"/>
        </w:rPr>
      </w:pPr>
      <w:r w:rsidRPr="00587444">
        <w:rPr>
          <w:rFonts w:ascii="Arial" w:hAnsi="Arial" w:cs="Arial"/>
          <w:sz w:val="20"/>
          <w:szCs w:val="20"/>
          <w:lang w:val="en-GB"/>
        </w:rPr>
        <w:t xml:space="preserve">Land is not depreciated. Depreciation is provided on other investment property on a straight-line basis at prescribed rates designed to write off the cost over the estimated useful life of the asset. </w:t>
      </w:r>
    </w:p>
    <w:p w14:paraId="135200B5" w14:textId="77777777" w:rsidR="00587444" w:rsidRPr="00587444" w:rsidRDefault="00587444" w:rsidP="00587444">
      <w:pPr>
        <w:suppressAutoHyphens w:val="0"/>
        <w:autoSpaceDE w:val="0"/>
        <w:adjustRightInd w:val="0"/>
        <w:spacing w:before="120"/>
        <w:jc w:val="both"/>
        <w:rPr>
          <w:rFonts w:ascii="Arial" w:hAnsi="Arial" w:cs="Arial"/>
          <w:sz w:val="20"/>
          <w:szCs w:val="20"/>
          <w:lang w:val="en-GB"/>
        </w:rPr>
      </w:pPr>
    </w:p>
    <w:tbl>
      <w:tblPr>
        <w:tblW w:w="5000" w:type="pct"/>
        <w:tblLayout w:type="fixed"/>
        <w:tblLook w:val="0000" w:firstRow="0" w:lastRow="0" w:firstColumn="0" w:lastColumn="0" w:noHBand="0" w:noVBand="0"/>
      </w:tblPr>
      <w:tblGrid>
        <w:gridCol w:w="6234"/>
        <w:gridCol w:w="1681"/>
        <w:gridCol w:w="1656"/>
      </w:tblGrid>
      <w:tr w:rsidR="00587444" w:rsidRPr="00587444" w14:paraId="5378AB50" w14:textId="77777777" w:rsidTr="00DD69E7">
        <w:trPr>
          <w:trHeight w:val="284"/>
        </w:trPr>
        <w:tc>
          <w:tcPr>
            <w:tcW w:w="3257" w:type="pct"/>
          </w:tcPr>
          <w:p w14:paraId="4BF1CD03" w14:textId="77777777" w:rsidR="00587444" w:rsidRPr="00587444" w:rsidRDefault="00587444" w:rsidP="00587444">
            <w:pPr>
              <w:suppressAutoHyphens w:val="0"/>
              <w:autoSpaceDN/>
              <w:ind w:left="153" w:hanging="153"/>
              <w:rPr>
                <w:rFonts w:ascii="Arial" w:hAnsi="Arial" w:cs="Arial"/>
                <w:sz w:val="20"/>
                <w:szCs w:val="20"/>
                <w:lang w:val="en-GB"/>
              </w:rPr>
            </w:pPr>
          </w:p>
          <w:p w14:paraId="1652BAD8" w14:textId="77777777" w:rsidR="00587444" w:rsidRPr="00587444" w:rsidRDefault="00587444" w:rsidP="00587444">
            <w:pPr>
              <w:suppressAutoHyphens w:val="0"/>
              <w:autoSpaceDN/>
              <w:ind w:left="153" w:hanging="153"/>
              <w:rPr>
                <w:rFonts w:ascii="Arial" w:hAnsi="Arial" w:cs="Arial"/>
                <w:sz w:val="20"/>
                <w:szCs w:val="20"/>
                <w:lang w:val="en-GB"/>
              </w:rPr>
            </w:pPr>
            <w:r w:rsidRPr="00587444">
              <w:rPr>
                <w:rFonts w:ascii="Arial" w:hAnsi="Arial" w:cs="Arial"/>
                <w:sz w:val="20"/>
                <w:szCs w:val="20"/>
                <w:lang w:val="en-GB"/>
              </w:rPr>
              <w:t xml:space="preserve">The estimated useful life of the assets </w:t>
            </w:r>
            <w:r w:rsidRPr="00587444">
              <w:rPr>
                <w:rFonts w:ascii="Arial" w:hAnsi="Arial" w:cs="Arial"/>
                <w:sz w:val="20"/>
                <w:szCs w:val="20"/>
                <w:lang w:val="hr-HR"/>
              </w:rPr>
              <w:t>expressed in years</w:t>
            </w:r>
            <w:r w:rsidRPr="00587444">
              <w:rPr>
                <w:rFonts w:ascii="Arial" w:hAnsi="Arial" w:cs="Arial"/>
                <w:sz w:val="20"/>
                <w:szCs w:val="20"/>
                <w:lang w:val="en-GB"/>
              </w:rPr>
              <w:t xml:space="preserve"> is as follows:   </w:t>
            </w:r>
          </w:p>
        </w:tc>
        <w:tc>
          <w:tcPr>
            <w:tcW w:w="878" w:type="pct"/>
            <w:vAlign w:val="bottom"/>
          </w:tcPr>
          <w:p w14:paraId="7ED6A045" w14:textId="77777777" w:rsidR="00587444" w:rsidRPr="00587444" w:rsidRDefault="00587444" w:rsidP="00587444">
            <w:pPr>
              <w:suppressAutoHyphens w:val="0"/>
              <w:autoSpaceDN/>
              <w:ind w:left="153" w:hanging="153"/>
              <w:jc w:val="right"/>
              <w:rPr>
                <w:rFonts w:ascii="Arial" w:hAnsi="Arial" w:cs="Arial"/>
                <w:b/>
                <w:sz w:val="20"/>
                <w:szCs w:val="20"/>
                <w:lang w:val="en-GB"/>
              </w:rPr>
            </w:pPr>
            <w:r w:rsidRPr="00587444">
              <w:rPr>
                <w:rFonts w:ascii="Arial" w:hAnsi="Arial" w:cs="Arial"/>
                <w:b/>
                <w:sz w:val="20"/>
                <w:szCs w:val="20"/>
                <w:lang w:val="en-GB"/>
              </w:rPr>
              <w:t>2022</w:t>
            </w:r>
          </w:p>
        </w:tc>
        <w:tc>
          <w:tcPr>
            <w:tcW w:w="865" w:type="pct"/>
            <w:vAlign w:val="bottom"/>
          </w:tcPr>
          <w:p w14:paraId="0ACF72ED" w14:textId="77777777" w:rsidR="00587444" w:rsidRPr="00587444" w:rsidRDefault="00587444" w:rsidP="00587444">
            <w:pPr>
              <w:suppressAutoHyphens w:val="0"/>
              <w:autoSpaceDN/>
              <w:ind w:left="153" w:hanging="153"/>
              <w:jc w:val="right"/>
              <w:rPr>
                <w:rFonts w:ascii="Arial" w:hAnsi="Arial" w:cs="Arial"/>
                <w:b/>
                <w:sz w:val="20"/>
                <w:szCs w:val="20"/>
                <w:lang w:val="en-GB"/>
              </w:rPr>
            </w:pPr>
            <w:r w:rsidRPr="00587444">
              <w:rPr>
                <w:rFonts w:ascii="Arial" w:hAnsi="Arial" w:cs="Arial"/>
                <w:b/>
                <w:sz w:val="20"/>
                <w:szCs w:val="20"/>
                <w:lang w:val="en-GB"/>
              </w:rPr>
              <w:t>2021</w:t>
            </w:r>
          </w:p>
        </w:tc>
      </w:tr>
      <w:tr w:rsidR="00587444" w:rsidRPr="00587444" w14:paraId="705FBAAD" w14:textId="77777777" w:rsidTr="00DD69E7">
        <w:trPr>
          <w:trHeight w:val="284"/>
        </w:trPr>
        <w:tc>
          <w:tcPr>
            <w:tcW w:w="3257" w:type="pct"/>
          </w:tcPr>
          <w:p w14:paraId="57510543" w14:textId="77777777" w:rsidR="00587444" w:rsidRPr="00587444" w:rsidRDefault="00587444" w:rsidP="00587444">
            <w:pPr>
              <w:suppressAutoHyphens w:val="0"/>
              <w:autoSpaceDN/>
              <w:ind w:left="153" w:hanging="153"/>
              <w:rPr>
                <w:rFonts w:ascii="Arial" w:hAnsi="Arial" w:cs="Arial"/>
                <w:sz w:val="20"/>
                <w:szCs w:val="20"/>
                <w:lang w:val="en-GB"/>
              </w:rPr>
            </w:pPr>
          </w:p>
        </w:tc>
        <w:tc>
          <w:tcPr>
            <w:tcW w:w="878" w:type="pct"/>
            <w:vAlign w:val="bottom"/>
          </w:tcPr>
          <w:p w14:paraId="5A43B614" w14:textId="77777777" w:rsidR="00587444" w:rsidRPr="00587444" w:rsidRDefault="00587444" w:rsidP="00587444">
            <w:pPr>
              <w:suppressAutoHyphens w:val="0"/>
              <w:autoSpaceDN/>
              <w:ind w:left="153" w:hanging="153"/>
              <w:jc w:val="right"/>
              <w:rPr>
                <w:rFonts w:ascii="Arial" w:hAnsi="Arial" w:cs="Arial"/>
                <w:sz w:val="20"/>
                <w:szCs w:val="20"/>
                <w:lang w:val="en-GB"/>
              </w:rPr>
            </w:pPr>
            <w:r w:rsidRPr="00587444">
              <w:rPr>
                <w:rFonts w:ascii="Arial" w:hAnsi="Arial" w:cs="Arial"/>
                <w:sz w:val="20"/>
                <w:szCs w:val="20"/>
                <w:lang w:val="en-GB"/>
              </w:rPr>
              <w:t>years</w:t>
            </w:r>
          </w:p>
        </w:tc>
        <w:tc>
          <w:tcPr>
            <w:tcW w:w="865" w:type="pct"/>
            <w:vAlign w:val="bottom"/>
          </w:tcPr>
          <w:p w14:paraId="72ACF5D4" w14:textId="77777777" w:rsidR="00587444" w:rsidRPr="00587444" w:rsidRDefault="00587444" w:rsidP="00587444">
            <w:pPr>
              <w:suppressAutoHyphens w:val="0"/>
              <w:autoSpaceDN/>
              <w:ind w:left="153" w:hanging="153"/>
              <w:jc w:val="right"/>
              <w:rPr>
                <w:rFonts w:ascii="Arial" w:hAnsi="Arial" w:cs="Arial"/>
                <w:sz w:val="20"/>
                <w:szCs w:val="20"/>
                <w:lang w:val="en-GB"/>
              </w:rPr>
            </w:pPr>
            <w:r w:rsidRPr="00587444">
              <w:rPr>
                <w:rFonts w:ascii="Arial" w:hAnsi="Arial" w:cs="Arial"/>
                <w:sz w:val="20"/>
                <w:szCs w:val="20"/>
                <w:lang w:val="en-GB"/>
              </w:rPr>
              <w:t>years</w:t>
            </w:r>
          </w:p>
        </w:tc>
      </w:tr>
      <w:tr w:rsidR="00587444" w:rsidRPr="00587444" w14:paraId="7F16D5AE" w14:textId="77777777" w:rsidTr="00DD69E7">
        <w:trPr>
          <w:trHeight w:val="284"/>
        </w:trPr>
        <w:tc>
          <w:tcPr>
            <w:tcW w:w="3257" w:type="pct"/>
            <w:vAlign w:val="bottom"/>
          </w:tcPr>
          <w:p w14:paraId="23897802" w14:textId="77777777" w:rsidR="00587444" w:rsidRPr="00587444" w:rsidRDefault="00587444" w:rsidP="00587444">
            <w:pPr>
              <w:suppressAutoHyphens w:val="0"/>
              <w:autoSpaceDN/>
              <w:ind w:left="153" w:hanging="153"/>
              <w:rPr>
                <w:rFonts w:ascii="Arial" w:hAnsi="Arial" w:cs="Arial"/>
                <w:sz w:val="20"/>
                <w:szCs w:val="20"/>
                <w:lang w:val="en-GB"/>
              </w:rPr>
            </w:pPr>
            <w:r w:rsidRPr="00587444">
              <w:rPr>
                <w:rFonts w:ascii="Arial" w:hAnsi="Arial" w:cs="Arial"/>
                <w:sz w:val="20"/>
                <w:szCs w:val="20"/>
                <w:lang w:val="en-GB"/>
              </w:rPr>
              <w:t>Leased property</w:t>
            </w:r>
          </w:p>
        </w:tc>
        <w:tc>
          <w:tcPr>
            <w:tcW w:w="878" w:type="pct"/>
            <w:vAlign w:val="bottom"/>
          </w:tcPr>
          <w:p w14:paraId="6BCDB3A0" w14:textId="77777777" w:rsidR="00587444" w:rsidRPr="00587444" w:rsidRDefault="00587444" w:rsidP="00587444">
            <w:pPr>
              <w:suppressAutoHyphens w:val="0"/>
              <w:autoSpaceDN/>
              <w:ind w:left="153" w:hanging="153"/>
              <w:jc w:val="right"/>
              <w:rPr>
                <w:rFonts w:ascii="Arial" w:hAnsi="Arial" w:cs="Arial"/>
                <w:sz w:val="20"/>
                <w:szCs w:val="20"/>
                <w:lang w:val="en-GB"/>
              </w:rPr>
            </w:pPr>
            <w:r w:rsidRPr="00587444">
              <w:rPr>
                <w:rFonts w:ascii="Arial" w:hAnsi="Arial" w:cs="Arial"/>
                <w:sz w:val="20"/>
                <w:szCs w:val="20"/>
                <w:lang w:val="en-GB"/>
              </w:rPr>
              <w:t>20</w:t>
            </w:r>
          </w:p>
        </w:tc>
        <w:tc>
          <w:tcPr>
            <w:tcW w:w="865" w:type="pct"/>
            <w:vAlign w:val="bottom"/>
          </w:tcPr>
          <w:p w14:paraId="4D70E53B" w14:textId="77777777" w:rsidR="00587444" w:rsidRPr="00587444" w:rsidRDefault="00587444" w:rsidP="00587444">
            <w:pPr>
              <w:suppressAutoHyphens w:val="0"/>
              <w:autoSpaceDN/>
              <w:ind w:left="153" w:hanging="153"/>
              <w:jc w:val="right"/>
              <w:rPr>
                <w:rFonts w:ascii="Arial" w:hAnsi="Arial" w:cs="Arial"/>
                <w:sz w:val="20"/>
                <w:szCs w:val="20"/>
                <w:lang w:val="en-GB"/>
              </w:rPr>
            </w:pPr>
            <w:r w:rsidRPr="00587444">
              <w:rPr>
                <w:rFonts w:ascii="Arial" w:hAnsi="Arial" w:cs="Arial"/>
                <w:sz w:val="20"/>
                <w:szCs w:val="20"/>
                <w:lang w:val="en-GB"/>
              </w:rPr>
              <w:t>20</w:t>
            </w:r>
          </w:p>
        </w:tc>
      </w:tr>
    </w:tbl>
    <w:p w14:paraId="2A107ED4" w14:textId="77777777" w:rsidR="00587444" w:rsidRPr="00587444" w:rsidRDefault="00587444" w:rsidP="00587444">
      <w:pPr>
        <w:suppressAutoHyphens w:val="0"/>
        <w:autoSpaceDE w:val="0"/>
        <w:adjustRightInd w:val="0"/>
        <w:rPr>
          <w:rFonts w:ascii="Arial" w:hAnsi="Arial" w:cs="Arial"/>
          <w:color w:val="000000"/>
          <w:sz w:val="20"/>
          <w:szCs w:val="20"/>
        </w:rPr>
      </w:pPr>
    </w:p>
    <w:p w14:paraId="55DE665A" w14:textId="77777777" w:rsidR="00587444" w:rsidRPr="00587444" w:rsidRDefault="00587444" w:rsidP="00587932">
      <w:pPr>
        <w:autoSpaceDE w:val="0"/>
        <w:adjustRightInd w:val="0"/>
        <w:jc w:val="both"/>
        <w:rPr>
          <w:rFonts w:ascii="Arial" w:hAnsi="Arial" w:cs="Arial"/>
          <w:sz w:val="20"/>
          <w:szCs w:val="20"/>
          <w:lang w:val="en-GB"/>
        </w:rPr>
      </w:pPr>
      <w:r w:rsidRPr="00587444">
        <w:rPr>
          <w:rFonts w:ascii="Arial" w:hAnsi="Arial" w:cs="Arial"/>
          <w:sz w:val="20"/>
          <w:szCs w:val="20"/>
          <w:lang w:val="en-GB"/>
        </w:rPr>
        <w:t xml:space="preserve">Remaining value, depreciation methods and the estimated useful life are reviewed periodically and reconciled, if necessary, at every financial position reporting date. If the carrying amount of the assets is found to be higher than the assessed recoverable amount, it is immediately written-off to the recoverable amount. Gains and losses from alienation are assesses by comparing sale revenues against the book amount and recorded in the comprehensive income. </w:t>
      </w:r>
    </w:p>
    <w:p w14:paraId="500974A5" w14:textId="77777777" w:rsidR="00587444" w:rsidRPr="00587444" w:rsidRDefault="00587444" w:rsidP="00587932">
      <w:pPr>
        <w:autoSpaceDE w:val="0"/>
        <w:adjustRightInd w:val="0"/>
        <w:jc w:val="both"/>
        <w:rPr>
          <w:rFonts w:ascii="Arial" w:hAnsi="Arial" w:cs="Arial"/>
          <w:sz w:val="20"/>
          <w:szCs w:val="20"/>
        </w:rPr>
      </w:pPr>
    </w:p>
    <w:p w14:paraId="15CCB1A4" w14:textId="77777777" w:rsidR="00587444" w:rsidRPr="00587444" w:rsidRDefault="00587444" w:rsidP="00587932">
      <w:pPr>
        <w:keepNext/>
        <w:autoSpaceDN/>
        <w:jc w:val="both"/>
        <w:rPr>
          <w:rFonts w:ascii="Arial" w:hAnsi="Arial" w:cs="Arial"/>
          <w:sz w:val="20"/>
          <w:szCs w:val="20"/>
          <w:lang w:val="en-GB"/>
        </w:rPr>
      </w:pPr>
      <w:r w:rsidRPr="00587444">
        <w:rPr>
          <w:rFonts w:ascii="Arial" w:hAnsi="Arial" w:cs="Arial"/>
          <w:sz w:val="20"/>
          <w:szCs w:val="20"/>
          <w:lang w:val="en-GB"/>
        </w:rPr>
        <w:t>Investment property is stated in Note 21. Other assets due to immaterial amount.</w:t>
      </w:r>
    </w:p>
    <w:p w14:paraId="68C78FEE" w14:textId="77777777" w:rsidR="00587444" w:rsidRPr="00587444" w:rsidRDefault="00587444" w:rsidP="00587932">
      <w:pPr>
        <w:tabs>
          <w:tab w:val="right" w:pos="9781"/>
        </w:tabs>
        <w:autoSpaceDN/>
        <w:jc w:val="both"/>
        <w:rPr>
          <w:rFonts w:ascii="Arial" w:hAnsi="Arial" w:cs="Arial"/>
          <w:bCs/>
          <w:sz w:val="20"/>
          <w:szCs w:val="20"/>
          <w:lang w:val="en-GB"/>
        </w:rPr>
      </w:pPr>
    </w:p>
    <w:p w14:paraId="4AE995DF"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 xml:space="preserve">J. Foreclosed assets </w:t>
      </w:r>
    </w:p>
    <w:p w14:paraId="7E2761E0" w14:textId="77777777" w:rsidR="00587444" w:rsidRPr="00587444" w:rsidRDefault="00587444" w:rsidP="00587932">
      <w:pPr>
        <w:keepNext/>
        <w:tabs>
          <w:tab w:val="right" w:pos="9781"/>
        </w:tabs>
        <w:autoSpaceDN/>
        <w:jc w:val="both"/>
        <w:rPr>
          <w:rFonts w:ascii="Arial" w:hAnsi="Arial" w:cs="Arial"/>
          <w:sz w:val="20"/>
          <w:szCs w:val="20"/>
          <w:lang w:val="en-GB"/>
        </w:rPr>
      </w:pPr>
    </w:p>
    <w:p w14:paraId="47E2D4B9" w14:textId="77777777" w:rsidR="00587444" w:rsidRPr="00587444" w:rsidRDefault="00587444" w:rsidP="00587932">
      <w:pPr>
        <w:keepNext/>
        <w:tabs>
          <w:tab w:val="right" w:pos="9781"/>
        </w:tabs>
        <w:autoSpaceDN/>
        <w:jc w:val="both"/>
        <w:rPr>
          <w:rFonts w:ascii="Arial" w:hAnsi="Arial" w:cs="Arial"/>
          <w:sz w:val="20"/>
          <w:szCs w:val="20"/>
          <w:lang w:val="en-GB"/>
        </w:rPr>
      </w:pPr>
      <w:r w:rsidRPr="00587444">
        <w:rPr>
          <w:rFonts w:ascii="Arial" w:hAnsi="Arial" w:cs="Arial"/>
          <w:sz w:val="20"/>
          <w:szCs w:val="20"/>
          <w:lang w:val="en-GB"/>
        </w:rPr>
        <w:t xml:space="preserve">Foreclosed assets consist of property, </w:t>
      </w:r>
      <w:proofErr w:type="gramStart"/>
      <w:r w:rsidRPr="00587444">
        <w:rPr>
          <w:rFonts w:ascii="Arial" w:hAnsi="Arial" w:cs="Arial"/>
          <w:sz w:val="20"/>
          <w:szCs w:val="20"/>
          <w:lang w:val="en-GB"/>
        </w:rPr>
        <w:t>plant</w:t>
      </w:r>
      <w:proofErr w:type="gramEnd"/>
      <w:r w:rsidRPr="00587444">
        <w:rPr>
          <w:rFonts w:ascii="Arial" w:hAnsi="Arial" w:cs="Arial"/>
          <w:sz w:val="20"/>
          <w:szCs w:val="20"/>
          <w:lang w:val="en-GB"/>
        </w:rPr>
        <w:t xml:space="preserve"> and equipment that the Group acquired in settlement of uncollected receivables. The Group expects that the carrying amount of these assets will be recovered principally through a sale transaction rather than through continuing use.</w:t>
      </w:r>
    </w:p>
    <w:p w14:paraId="64078AE8" w14:textId="77777777" w:rsidR="00587444" w:rsidRPr="00587444" w:rsidRDefault="00587444" w:rsidP="00587932">
      <w:pPr>
        <w:tabs>
          <w:tab w:val="right" w:pos="9781"/>
        </w:tabs>
        <w:autoSpaceDN/>
        <w:jc w:val="both"/>
        <w:rPr>
          <w:rFonts w:ascii="Arial" w:hAnsi="Arial" w:cs="Arial"/>
          <w:bCs/>
          <w:sz w:val="20"/>
          <w:szCs w:val="20"/>
          <w:lang w:val="en-GB"/>
        </w:rPr>
      </w:pPr>
    </w:p>
    <w:p w14:paraId="1068CDFC" w14:textId="77777777" w:rsidR="00587444" w:rsidRPr="00587444" w:rsidRDefault="00587444" w:rsidP="00587932">
      <w:pPr>
        <w:tabs>
          <w:tab w:val="right" w:pos="9781"/>
        </w:tabs>
        <w:autoSpaceDN/>
        <w:jc w:val="both"/>
        <w:rPr>
          <w:rFonts w:ascii="Arial" w:hAnsi="Arial" w:cs="Arial"/>
          <w:bCs/>
          <w:sz w:val="20"/>
          <w:szCs w:val="20"/>
          <w:lang w:val="en-GB"/>
        </w:rPr>
      </w:pPr>
      <w:r w:rsidRPr="00587444">
        <w:rPr>
          <w:rFonts w:ascii="Arial" w:hAnsi="Arial" w:cs="Arial"/>
          <w:bCs/>
          <w:sz w:val="20"/>
          <w:szCs w:val="20"/>
          <w:lang w:val="en-GB"/>
        </w:rPr>
        <w:t xml:space="preserve">The Group measures these assets at the lower of </w:t>
      </w:r>
      <w:proofErr w:type="gramStart"/>
      <w:r w:rsidRPr="00587444">
        <w:rPr>
          <w:rFonts w:ascii="Arial" w:hAnsi="Arial" w:cs="Arial"/>
          <w:bCs/>
          <w:sz w:val="20"/>
          <w:szCs w:val="20"/>
          <w:lang w:val="en-GB"/>
        </w:rPr>
        <w:t>its</w:t>
      </w:r>
      <w:proofErr w:type="gramEnd"/>
      <w:r w:rsidRPr="00587444">
        <w:rPr>
          <w:rFonts w:ascii="Arial" w:hAnsi="Arial" w:cs="Arial"/>
          <w:bCs/>
          <w:sz w:val="20"/>
          <w:szCs w:val="20"/>
          <w:lang w:val="en-GB"/>
        </w:rPr>
        <w:t xml:space="preserve"> carrying amount and fair value (determined by an independent assessor) less estimated expected costs to sell. </w:t>
      </w:r>
    </w:p>
    <w:p w14:paraId="1FB2FF03" w14:textId="77777777" w:rsidR="00587444" w:rsidRPr="00587444" w:rsidRDefault="00587444" w:rsidP="00587932">
      <w:pPr>
        <w:tabs>
          <w:tab w:val="right" w:pos="9781"/>
        </w:tabs>
        <w:autoSpaceDN/>
        <w:jc w:val="both"/>
        <w:rPr>
          <w:rFonts w:ascii="Arial" w:hAnsi="Arial" w:cs="Arial"/>
          <w:sz w:val="20"/>
          <w:szCs w:val="20"/>
          <w:lang w:val="en-GB"/>
        </w:rPr>
      </w:pPr>
    </w:p>
    <w:p w14:paraId="30EDCDFD" w14:textId="77777777" w:rsidR="00587444" w:rsidRPr="00587444" w:rsidRDefault="00587444" w:rsidP="00587932">
      <w:pPr>
        <w:tabs>
          <w:tab w:val="right" w:pos="9781"/>
        </w:tabs>
        <w:autoSpaceDN/>
        <w:rPr>
          <w:rFonts w:ascii="Arial" w:hAnsi="Arial" w:cs="Arial"/>
          <w:sz w:val="20"/>
          <w:szCs w:val="20"/>
          <w:lang w:val="en-GB"/>
        </w:rPr>
        <w:sectPr w:rsidR="00587444" w:rsidRPr="00587444" w:rsidSect="00DD69E7">
          <w:footerReference w:type="default" r:id="rId79"/>
          <w:pgSz w:w="11907" w:h="16840" w:code="9"/>
          <w:pgMar w:top="1418" w:right="1134" w:bottom="1134" w:left="1418" w:header="851" w:footer="851" w:gutter="0"/>
          <w:cols w:space="720"/>
          <w:noEndnote/>
        </w:sectPr>
      </w:pPr>
      <w:r w:rsidRPr="00587444">
        <w:rPr>
          <w:rFonts w:ascii="Arial" w:hAnsi="Arial" w:cs="Arial"/>
          <w:sz w:val="20"/>
          <w:szCs w:val="20"/>
          <w:lang w:val="en-GB"/>
        </w:rPr>
        <w:t>Depreciation on these assets is not charged.</w:t>
      </w:r>
    </w:p>
    <w:p w14:paraId="2E0429B8" w14:textId="77777777" w:rsidR="00587444" w:rsidRPr="00587444" w:rsidRDefault="00587444" w:rsidP="00587444">
      <w:pPr>
        <w:tabs>
          <w:tab w:val="right" w:pos="9781"/>
        </w:tabs>
        <w:suppressAutoHyphens w:val="0"/>
        <w:autoSpaceDN/>
        <w:jc w:val="both"/>
        <w:rPr>
          <w:rFonts w:ascii="Arial" w:hAnsi="Arial" w:cs="Arial"/>
          <w:sz w:val="20"/>
          <w:szCs w:val="20"/>
          <w:lang w:val="en-GB"/>
        </w:rPr>
      </w:pPr>
    </w:p>
    <w:p w14:paraId="70C1444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4164EF6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5840D7EC"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4AA85798" w14:textId="77777777" w:rsidR="00587444" w:rsidRPr="00587444" w:rsidRDefault="00587444" w:rsidP="00587932">
      <w:pPr>
        <w:keepNext/>
        <w:tabs>
          <w:tab w:val="left" w:pos="426"/>
        </w:tabs>
        <w:autoSpaceDN/>
        <w:jc w:val="both"/>
        <w:rPr>
          <w:rFonts w:ascii="Arial" w:hAnsi="Arial" w:cs="Arial"/>
          <w:b/>
          <w:bCs/>
          <w:sz w:val="20"/>
          <w:szCs w:val="20"/>
        </w:rPr>
      </w:pPr>
    </w:p>
    <w:p w14:paraId="37353A69"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J. Foreclosed assets (continued)</w:t>
      </w:r>
    </w:p>
    <w:p w14:paraId="100E9FF8"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1C1BAE0F" w14:textId="77777777" w:rsidR="00587444" w:rsidRPr="00587444" w:rsidRDefault="00587444" w:rsidP="00587932">
      <w:pPr>
        <w:tabs>
          <w:tab w:val="right" w:pos="9781"/>
        </w:tabs>
        <w:autoSpaceDN/>
        <w:jc w:val="both"/>
        <w:rPr>
          <w:rFonts w:ascii="Arial" w:hAnsi="Arial" w:cs="Arial"/>
          <w:sz w:val="20"/>
          <w:szCs w:val="20"/>
          <w:lang w:val="en-GB"/>
        </w:rPr>
      </w:pPr>
      <w:r w:rsidRPr="00587444">
        <w:rPr>
          <w:rFonts w:ascii="Arial" w:hAnsi="Arial" w:cs="Arial"/>
          <w:sz w:val="20"/>
          <w:szCs w:val="20"/>
          <w:lang w:val="en-GB"/>
        </w:rPr>
        <w:t>The Group recognises an impairment provision for any initial or subsequent partial write-off of these assets up to the fair value less costs to sell. It recognises a gain for any subsequent increase in fair value of assets less costs to sell up to the amount of cumulative impairment provision that has been recognised.</w:t>
      </w:r>
    </w:p>
    <w:p w14:paraId="6CF13B6E" w14:textId="77777777" w:rsidR="00587444" w:rsidRPr="00587444" w:rsidRDefault="00587444" w:rsidP="00587932">
      <w:pPr>
        <w:tabs>
          <w:tab w:val="right" w:pos="9781"/>
        </w:tabs>
        <w:autoSpaceDN/>
        <w:jc w:val="both"/>
        <w:rPr>
          <w:rFonts w:ascii="Arial" w:hAnsi="Arial" w:cs="Arial"/>
          <w:sz w:val="20"/>
          <w:szCs w:val="20"/>
          <w:lang w:val="en-GB"/>
        </w:rPr>
      </w:pPr>
    </w:p>
    <w:p w14:paraId="7D81DDD3" w14:textId="77777777" w:rsidR="00587444" w:rsidRPr="00587444" w:rsidRDefault="00587444" w:rsidP="00587932">
      <w:pPr>
        <w:tabs>
          <w:tab w:val="right" w:pos="9781"/>
        </w:tabs>
        <w:autoSpaceDN/>
        <w:jc w:val="both"/>
        <w:rPr>
          <w:rFonts w:ascii="Arial" w:hAnsi="Arial" w:cs="Arial"/>
          <w:sz w:val="20"/>
          <w:szCs w:val="20"/>
          <w:lang w:val="en-GB"/>
        </w:rPr>
      </w:pPr>
      <w:r w:rsidRPr="00587444">
        <w:rPr>
          <w:rFonts w:ascii="Arial" w:hAnsi="Arial" w:cs="Arial"/>
          <w:sz w:val="20"/>
          <w:szCs w:val="20"/>
          <w:lang w:val="en-GB"/>
        </w:rPr>
        <w:t>Impairment provisions are recognised in profit or loss, as well as gains/losses upon subsequent measurement and on sale of the Foreclosed assets.</w:t>
      </w:r>
    </w:p>
    <w:p w14:paraId="7A27D305" w14:textId="77777777" w:rsidR="00587444" w:rsidRPr="00587444" w:rsidRDefault="00587444" w:rsidP="00587932">
      <w:pPr>
        <w:autoSpaceDN/>
        <w:jc w:val="both"/>
        <w:rPr>
          <w:rFonts w:ascii="Arial" w:hAnsi="Arial" w:cs="Arial"/>
          <w:b/>
          <w:sz w:val="20"/>
          <w:szCs w:val="20"/>
          <w:lang w:val="en-GB"/>
        </w:rPr>
      </w:pPr>
    </w:p>
    <w:p w14:paraId="64D77242"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K. Deposits, borrowings and debt securities issued</w:t>
      </w:r>
      <w:r w:rsidRPr="00587444" w:rsidDel="004C3BE8">
        <w:rPr>
          <w:rFonts w:ascii="Arial" w:hAnsi="Arial" w:cs="Arial"/>
          <w:b/>
          <w:bCs/>
          <w:sz w:val="20"/>
          <w:szCs w:val="20"/>
          <w:lang w:val="en-GB"/>
        </w:rPr>
        <w:t xml:space="preserve"> </w:t>
      </w:r>
    </w:p>
    <w:p w14:paraId="3847292A" w14:textId="77777777" w:rsidR="00587444" w:rsidRPr="00587444" w:rsidRDefault="00587444" w:rsidP="00587932">
      <w:pPr>
        <w:autoSpaceDN/>
        <w:jc w:val="both"/>
        <w:rPr>
          <w:rFonts w:ascii="Arial" w:hAnsi="Arial" w:cs="Arial"/>
          <w:sz w:val="20"/>
          <w:szCs w:val="20"/>
          <w:lang w:val="en-GB"/>
        </w:rPr>
      </w:pPr>
    </w:p>
    <w:p w14:paraId="1D030C46" w14:textId="77777777" w:rsidR="00587444" w:rsidRPr="00587444" w:rsidRDefault="00587444" w:rsidP="00587932">
      <w:pPr>
        <w:autoSpaceDN/>
        <w:jc w:val="both"/>
        <w:rPr>
          <w:rFonts w:ascii="Arial" w:hAnsi="Arial" w:cs="Arial"/>
          <w:sz w:val="20"/>
          <w:szCs w:val="20"/>
          <w:lang w:val="en-GB"/>
        </w:rPr>
      </w:pPr>
      <w:r w:rsidRPr="00587444">
        <w:rPr>
          <w:rFonts w:ascii="Arial" w:hAnsi="Arial" w:cs="Arial"/>
          <w:sz w:val="20"/>
          <w:szCs w:val="20"/>
          <w:lang w:val="en-GB"/>
        </w:rPr>
        <w:t>Debt securities issued and borrowings are the Group’s sources of debt funding.</w:t>
      </w:r>
    </w:p>
    <w:p w14:paraId="18FA8F02" w14:textId="77777777" w:rsidR="00587444" w:rsidRPr="00587444" w:rsidRDefault="00587444" w:rsidP="00587932">
      <w:pPr>
        <w:autoSpaceDN/>
        <w:jc w:val="both"/>
        <w:rPr>
          <w:rFonts w:ascii="Arial" w:hAnsi="Arial" w:cs="Arial"/>
          <w:sz w:val="20"/>
          <w:szCs w:val="20"/>
          <w:lang w:val="en-GB"/>
        </w:rPr>
      </w:pPr>
    </w:p>
    <w:p w14:paraId="5F4CEE55" w14:textId="77777777" w:rsidR="00587444" w:rsidRPr="00587444" w:rsidRDefault="00587444" w:rsidP="00587932">
      <w:pPr>
        <w:autoSpaceDN/>
        <w:jc w:val="both"/>
        <w:rPr>
          <w:rFonts w:ascii="Arial" w:hAnsi="Arial" w:cs="Arial"/>
          <w:sz w:val="20"/>
          <w:szCs w:val="20"/>
          <w:lang w:val="en-GB"/>
        </w:rPr>
      </w:pPr>
      <w:r w:rsidRPr="00587444">
        <w:rPr>
          <w:rFonts w:ascii="Arial" w:hAnsi="Arial" w:cs="Arial"/>
          <w:sz w:val="20"/>
          <w:szCs w:val="20"/>
          <w:lang w:val="en-GB"/>
        </w:rPr>
        <w:t>Deposits, debt securities issued and borrowings are initially measured at fair value minus incremental direct transaction costs, and subsequently measured at their amortised cost using the effective interest method, except where the Group designates liabilities at Fair value through profit or loss.</w:t>
      </w:r>
    </w:p>
    <w:p w14:paraId="25600BF8" w14:textId="77777777" w:rsidR="00587444" w:rsidRPr="00587444" w:rsidRDefault="00587444" w:rsidP="00587932">
      <w:pPr>
        <w:autoSpaceDN/>
        <w:jc w:val="both"/>
        <w:rPr>
          <w:rFonts w:ascii="Arial" w:hAnsi="Arial" w:cs="Arial"/>
          <w:sz w:val="20"/>
          <w:szCs w:val="20"/>
          <w:lang w:val="en-GB"/>
        </w:rPr>
      </w:pPr>
    </w:p>
    <w:p w14:paraId="70B801CE" w14:textId="77777777" w:rsidR="00587444" w:rsidRPr="00587444" w:rsidRDefault="00587444" w:rsidP="00587932">
      <w:pPr>
        <w:autoSpaceDN/>
        <w:jc w:val="both"/>
        <w:rPr>
          <w:rFonts w:ascii="Arial" w:hAnsi="Arial" w:cs="Arial"/>
          <w:sz w:val="20"/>
          <w:szCs w:val="20"/>
          <w:lang w:val="en-GB"/>
        </w:rPr>
      </w:pPr>
      <w:r w:rsidRPr="00587444">
        <w:rPr>
          <w:rFonts w:ascii="Arial" w:hAnsi="Arial" w:cs="Arial"/>
          <w:sz w:val="20"/>
          <w:szCs w:val="20"/>
          <w:lang w:val="en-GB"/>
        </w:rPr>
        <w:t>Financial liabilities are stated in the contracted currency translated to Kuna at the middle exchange rate of the Croatian National Bank, contract exchange rate or determined rate arising from business and financial transactions based on documentation.</w:t>
      </w:r>
    </w:p>
    <w:p w14:paraId="5E2A3E6F" w14:textId="77777777" w:rsidR="00587444" w:rsidRPr="00587444" w:rsidRDefault="00587444" w:rsidP="00587932">
      <w:pPr>
        <w:autoSpaceDN/>
        <w:jc w:val="both"/>
        <w:rPr>
          <w:rFonts w:ascii="Arial" w:hAnsi="Arial" w:cs="Arial"/>
          <w:bCs/>
          <w:sz w:val="20"/>
          <w:szCs w:val="20"/>
          <w:lang w:val="en-GB"/>
        </w:rPr>
      </w:pPr>
    </w:p>
    <w:p w14:paraId="15AA193E" w14:textId="77777777" w:rsidR="00587444" w:rsidRPr="00587444" w:rsidRDefault="00587444" w:rsidP="00587932">
      <w:pPr>
        <w:autoSpaceDN/>
        <w:jc w:val="both"/>
        <w:rPr>
          <w:rFonts w:ascii="Arial" w:hAnsi="Arial" w:cs="Arial"/>
          <w:bCs/>
          <w:sz w:val="20"/>
          <w:szCs w:val="20"/>
          <w:lang w:val="en-GB"/>
        </w:rPr>
      </w:pPr>
      <w:r w:rsidRPr="00587444">
        <w:rPr>
          <w:rFonts w:ascii="Arial" w:hAnsi="Arial" w:cs="Arial"/>
          <w:bCs/>
          <w:sz w:val="20"/>
          <w:szCs w:val="20"/>
          <w:lang w:val="en-GB"/>
        </w:rPr>
        <w:t>When the Group sells a financial asset and simultaneously enters into an agreement to repurchase the asset (or a similar asset) at a fixed price on a future date (sale-and-repurchase agreement), the arrangement is accounted for as collateralized loans taken from financial institutions, and the underlying asset continues to be recognised in the Group’s financial statements.</w:t>
      </w:r>
    </w:p>
    <w:p w14:paraId="39972F19" w14:textId="77777777" w:rsidR="00587444" w:rsidRPr="00587444" w:rsidRDefault="00587444" w:rsidP="00587932">
      <w:pPr>
        <w:autoSpaceDN/>
        <w:jc w:val="both"/>
        <w:rPr>
          <w:rFonts w:ascii="Arial" w:hAnsi="Arial" w:cs="Arial"/>
          <w:bCs/>
          <w:sz w:val="20"/>
          <w:szCs w:val="20"/>
          <w:lang w:val="en-GB"/>
        </w:rPr>
      </w:pPr>
    </w:p>
    <w:p w14:paraId="77F6A82C"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 xml:space="preserve">L. Government grants </w:t>
      </w:r>
    </w:p>
    <w:p w14:paraId="4C9E94DF" w14:textId="77777777" w:rsidR="00587444" w:rsidRPr="00587444" w:rsidRDefault="00587444" w:rsidP="00587932">
      <w:pPr>
        <w:autoSpaceDN/>
        <w:jc w:val="both"/>
        <w:rPr>
          <w:rFonts w:ascii="Arial" w:hAnsi="Arial" w:cs="Arial"/>
          <w:sz w:val="20"/>
          <w:szCs w:val="20"/>
          <w:lang w:val="en-GB"/>
        </w:rPr>
      </w:pPr>
    </w:p>
    <w:p w14:paraId="7AC216A2" w14:textId="77777777" w:rsidR="00587444" w:rsidRPr="00587444" w:rsidRDefault="00587444" w:rsidP="00587932">
      <w:pPr>
        <w:autoSpaceDN/>
        <w:jc w:val="both"/>
        <w:rPr>
          <w:rFonts w:ascii="Arial" w:hAnsi="Arial" w:cs="Arial"/>
          <w:sz w:val="20"/>
          <w:szCs w:val="20"/>
          <w:lang w:val="en-GB"/>
        </w:rPr>
      </w:pPr>
      <w:bookmarkStart w:id="424" w:name="_Hlk97552216"/>
      <w:r w:rsidRPr="00587444">
        <w:rPr>
          <w:rFonts w:ascii="Arial" w:hAnsi="Arial" w:cs="Arial"/>
          <w:sz w:val="20"/>
          <w:szCs w:val="20"/>
          <w:lang w:val="en-GB"/>
        </w:rPr>
        <w:t>Interest for the borrowers qualifying for subsidized interest under the Programme of Preferential Financing through HBOR’s Loan Programmes, is subsidized by the Republic of Croatia – the Ministry of Finance</w:t>
      </w:r>
      <w:r w:rsidRPr="00587444" w:rsidDel="0016279A">
        <w:rPr>
          <w:rFonts w:ascii="Arial" w:hAnsi="Arial" w:cs="Arial"/>
          <w:sz w:val="20"/>
          <w:szCs w:val="20"/>
          <w:lang w:val="en-GB"/>
        </w:rPr>
        <w:t xml:space="preserve"> </w:t>
      </w:r>
      <w:r w:rsidRPr="00587444">
        <w:rPr>
          <w:rFonts w:ascii="Arial" w:hAnsi="Arial" w:cs="Arial"/>
          <w:sz w:val="20"/>
          <w:szCs w:val="20"/>
          <w:lang w:val="en-GB"/>
        </w:rPr>
        <w:t>during the entire loan repayment period, the Programme of Working Capital COVID-19 Measure for SMEs in tourism industry, under the Programme NRRP – Interest Subsidy Fund for SMEs, under the Programme NRRP – Interest Subsidy Fund for MIDCAP and Large entrepreneurs, under the Programme NRRP – Interest Subsidy for Public Sector.</w:t>
      </w:r>
    </w:p>
    <w:bookmarkEnd w:id="424"/>
    <w:p w14:paraId="02EB4D13" w14:textId="77777777" w:rsidR="00587444" w:rsidRPr="00587444" w:rsidRDefault="00587444" w:rsidP="00587932">
      <w:pPr>
        <w:autoSpaceDN/>
        <w:jc w:val="both"/>
        <w:rPr>
          <w:rFonts w:ascii="Arial" w:hAnsi="Arial" w:cs="Arial"/>
          <w:sz w:val="20"/>
          <w:szCs w:val="20"/>
          <w:lang w:val="en-GB"/>
        </w:rPr>
      </w:pPr>
    </w:p>
    <w:p w14:paraId="17F88E13" w14:textId="77777777" w:rsidR="00587444" w:rsidRPr="00587444" w:rsidRDefault="00587444" w:rsidP="00587932">
      <w:pPr>
        <w:autoSpaceDN/>
        <w:jc w:val="both"/>
        <w:rPr>
          <w:rFonts w:ascii="Arial" w:hAnsi="Arial" w:cs="Arial"/>
          <w:bCs/>
          <w:sz w:val="20"/>
          <w:szCs w:val="20"/>
          <w:lang w:val="en-GB"/>
        </w:rPr>
      </w:pPr>
      <w:r w:rsidRPr="00587444">
        <w:rPr>
          <w:rFonts w:ascii="Arial" w:hAnsi="Arial" w:cs="Arial"/>
          <w:sz w:val="20"/>
          <w:szCs w:val="20"/>
          <w:lang w:val="en-GB"/>
        </w:rPr>
        <w:t xml:space="preserve">The discounted amount of the interest subsidies provided for the final user is presented as deferred interest income in other liabilities and is recognized in the </w:t>
      </w:r>
      <w:r w:rsidRPr="00587444">
        <w:rPr>
          <w:rFonts w:ascii="Arial" w:hAnsi="Arial" w:cs="Arial"/>
          <w:color w:val="000000"/>
          <w:sz w:val="20"/>
          <w:szCs w:val="20"/>
          <w:lang w:val="en-GB"/>
        </w:rPr>
        <w:t>profit or loss</w:t>
      </w:r>
      <w:r w:rsidRPr="00587444">
        <w:rPr>
          <w:rFonts w:ascii="Arial" w:hAnsi="Arial" w:cs="Arial"/>
          <w:sz w:val="20"/>
          <w:szCs w:val="20"/>
          <w:lang w:val="en-GB"/>
        </w:rPr>
        <w:t xml:space="preserve"> on a time basis during the repayment of the loan.</w:t>
      </w:r>
      <w:r w:rsidRPr="00587444">
        <w:rPr>
          <w:rFonts w:ascii="Arial" w:hAnsi="Arial" w:cs="Arial"/>
          <w:b/>
          <w:sz w:val="20"/>
          <w:szCs w:val="20"/>
          <w:lang w:val="en-GB"/>
        </w:rPr>
        <w:t xml:space="preserve"> </w:t>
      </w:r>
      <w:r w:rsidRPr="00587444">
        <w:rPr>
          <w:rFonts w:ascii="Arial" w:hAnsi="Arial" w:cs="Arial"/>
          <w:bCs/>
          <w:sz w:val="20"/>
          <w:szCs w:val="20"/>
          <w:lang w:val="en-GB"/>
        </w:rPr>
        <w:t xml:space="preserve">Consequently, loans are measured at amortized cost by using interest rate without </w:t>
      </w:r>
      <w:proofErr w:type="gramStart"/>
      <w:r w:rsidRPr="00587444">
        <w:rPr>
          <w:rFonts w:ascii="Arial" w:hAnsi="Arial" w:cs="Arial"/>
          <w:bCs/>
          <w:sz w:val="20"/>
          <w:szCs w:val="20"/>
          <w:lang w:val="en-GB"/>
        </w:rPr>
        <w:t>taking into account</w:t>
      </w:r>
      <w:proofErr w:type="gramEnd"/>
      <w:r w:rsidRPr="00587444">
        <w:rPr>
          <w:rFonts w:ascii="Arial" w:hAnsi="Arial" w:cs="Arial"/>
          <w:bCs/>
          <w:sz w:val="20"/>
          <w:szCs w:val="20"/>
          <w:lang w:val="en-GB"/>
        </w:rPr>
        <w:t xml:space="preserve"> the effects of subsidies contributed by the State.</w:t>
      </w:r>
    </w:p>
    <w:p w14:paraId="356F1CE9" w14:textId="77777777" w:rsidR="00587444" w:rsidRPr="00587444" w:rsidRDefault="00587444" w:rsidP="00587444">
      <w:pPr>
        <w:suppressAutoHyphens w:val="0"/>
        <w:autoSpaceDN/>
        <w:jc w:val="both"/>
        <w:rPr>
          <w:rFonts w:ascii="Arial" w:hAnsi="Arial" w:cs="Arial"/>
          <w:b/>
          <w:sz w:val="20"/>
          <w:szCs w:val="20"/>
          <w:lang w:val="en-GB"/>
        </w:rPr>
        <w:sectPr w:rsidR="00587444" w:rsidRPr="00587444" w:rsidSect="00DD69E7">
          <w:pgSz w:w="11907" w:h="16840" w:code="9"/>
          <w:pgMar w:top="1418" w:right="992" w:bottom="1134" w:left="1418" w:header="851" w:footer="851" w:gutter="0"/>
          <w:cols w:space="720"/>
          <w:noEndnote/>
        </w:sectPr>
      </w:pPr>
    </w:p>
    <w:p w14:paraId="02B4F55C"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3356E4F"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63D5CD2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1C2B4248"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429A8F16" w14:textId="77777777" w:rsidR="00587444" w:rsidRPr="00587444" w:rsidRDefault="00587444" w:rsidP="00587444">
      <w:pPr>
        <w:suppressAutoHyphens w:val="0"/>
        <w:autoSpaceDN/>
        <w:jc w:val="both"/>
        <w:rPr>
          <w:rFonts w:ascii="Arial" w:hAnsi="Arial" w:cs="Arial"/>
          <w:b/>
          <w:sz w:val="20"/>
          <w:szCs w:val="20"/>
          <w:lang w:val="en-GB"/>
        </w:rPr>
      </w:pPr>
    </w:p>
    <w:p w14:paraId="3E700B0B"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M. Loan commitments</w:t>
      </w:r>
    </w:p>
    <w:p w14:paraId="6B648CD8" w14:textId="77777777" w:rsidR="00587444" w:rsidRPr="00587444" w:rsidRDefault="00587444" w:rsidP="00587932">
      <w:pPr>
        <w:autoSpaceDE w:val="0"/>
        <w:adjustRightInd w:val="0"/>
        <w:rPr>
          <w:rFonts w:ascii="Arial" w:hAnsi="Arial" w:cs="Arial"/>
          <w:bCs/>
          <w:sz w:val="20"/>
          <w:szCs w:val="20"/>
          <w:lang w:val="en-GB"/>
        </w:rPr>
      </w:pPr>
    </w:p>
    <w:p w14:paraId="0B7C313C" w14:textId="77777777" w:rsidR="00587444" w:rsidRPr="00587444" w:rsidRDefault="00587444" w:rsidP="00587932">
      <w:pPr>
        <w:autoSpaceDE w:val="0"/>
        <w:adjustRightInd w:val="0"/>
        <w:spacing w:after="120" w:line="191" w:lineRule="atLeast"/>
        <w:rPr>
          <w:rFonts w:ascii="Arial" w:hAnsi="Arial" w:cs="Arial"/>
          <w:bCs/>
          <w:sz w:val="20"/>
          <w:szCs w:val="20"/>
          <w:lang w:val="en-GB"/>
        </w:rPr>
      </w:pPr>
      <w:r w:rsidRPr="00587444">
        <w:rPr>
          <w:rFonts w:ascii="Arial" w:hAnsi="Arial" w:cs="Arial"/>
          <w:bCs/>
          <w:sz w:val="20"/>
          <w:szCs w:val="20"/>
          <w:lang w:val="en-GB"/>
        </w:rPr>
        <w:t xml:space="preserve">The Group has issued no loan commitments that are measured at Fair value through profit or loss. </w:t>
      </w:r>
    </w:p>
    <w:p w14:paraId="36797A87" w14:textId="77777777" w:rsidR="00587444" w:rsidRPr="00587444" w:rsidRDefault="00587444" w:rsidP="00587932">
      <w:pPr>
        <w:autoSpaceDE w:val="0"/>
        <w:adjustRightInd w:val="0"/>
        <w:spacing w:after="120" w:line="191" w:lineRule="atLeast"/>
        <w:rPr>
          <w:rFonts w:ascii="Arial" w:hAnsi="Arial" w:cs="Arial"/>
          <w:bCs/>
          <w:sz w:val="20"/>
          <w:szCs w:val="20"/>
          <w:lang w:val="en-GB"/>
        </w:rPr>
      </w:pPr>
      <w:r w:rsidRPr="00587444">
        <w:rPr>
          <w:rFonts w:ascii="Arial" w:hAnsi="Arial" w:cs="Arial"/>
          <w:bCs/>
          <w:sz w:val="20"/>
          <w:szCs w:val="20"/>
          <w:lang w:val="en-GB"/>
        </w:rPr>
        <w:t xml:space="preserve">For other loan commitments: </w:t>
      </w:r>
    </w:p>
    <w:p w14:paraId="6D5E5B91" w14:textId="77777777" w:rsidR="00587444" w:rsidRPr="00587444" w:rsidRDefault="00587444" w:rsidP="00587932">
      <w:pPr>
        <w:numPr>
          <w:ilvl w:val="0"/>
          <w:numId w:val="56"/>
        </w:numPr>
        <w:autoSpaceDE w:val="0"/>
        <w:autoSpaceDN/>
        <w:adjustRightInd w:val="0"/>
        <w:contextualSpacing/>
        <w:rPr>
          <w:rFonts w:ascii="Arial" w:hAnsi="Arial" w:cs="Arial"/>
          <w:bCs/>
          <w:sz w:val="20"/>
          <w:szCs w:val="20"/>
          <w:lang w:val="en-GB"/>
        </w:rPr>
      </w:pPr>
      <w:r w:rsidRPr="00587444">
        <w:rPr>
          <w:rFonts w:ascii="Arial" w:hAnsi="Arial" w:cs="Arial"/>
          <w:bCs/>
          <w:sz w:val="20"/>
          <w:szCs w:val="20"/>
          <w:lang w:val="en-GB"/>
        </w:rPr>
        <w:t xml:space="preserve">from 1 January 2018: the Group recognises a loss allowance; </w:t>
      </w:r>
    </w:p>
    <w:p w14:paraId="57EBB14D" w14:textId="77777777" w:rsidR="00587444" w:rsidRPr="00587444" w:rsidRDefault="00587444" w:rsidP="00587932">
      <w:pPr>
        <w:numPr>
          <w:ilvl w:val="0"/>
          <w:numId w:val="56"/>
        </w:numPr>
        <w:autoSpaceDE w:val="0"/>
        <w:autoSpaceDN/>
        <w:adjustRightInd w:val="0"/>
        <w:contextualSpacing/>
        <w:rPr>
          <w:rFonts w:ascii="Arial" w:hAnsi="Arial" w:cs="Arial"/>
          <w:bCs/>
          <w:sz w:val="20"/>
          <w:szCs w:val="20"/>
          <w:lang w:val="en-GB"/>
        </w:rPr>
      </w:pPr>
      <w:r w:rsidRPr="00587444">
        <w:rPr>
          <w:rFonts w:ascii="Arial" w:hAnsi="Arial" w:cs="Arial"/>
          <w:bCs/>
          <w:sz w:val="20"/>
          <w:szCs w:val="20"/>
          <w:lang w:val="en-GB"/>
        </w:rPr>
        <w:t xml:space="preserve">before 1 January 2018: the Group recognised a provision in accordance with IAS 37 if the contract </w:t>
      </w:r>
      <w:proofErr w:type="gramStart"/>
      <w:r w:rsidRPr="00587444">
        <w:rPr>
          <w:rFonts w:ascii="Arial" w:hAnsi="Arial" w:cs="Arial"/>
          <w:bCs/>
          <w:sz w:val="20"/>
          <w:szCs w:val="20"/>
          <w:lang w:val="en-GB"/>
        </w:rPr>
        <w:t>was considered to be</w:t>
      </w:r>
      <w:proofErr w:type="gramEnd"/>
      <w:r w:rsidRPr="00587444">
        <w:rPr>
          <w:rFonts w:ascii="Arial" w:hAnsi="Arial" w:cs="Arial"/>
          <w:bCs/>
          <w:sz w:val="20"/>
          <w:szCs w:val="20"/>
          <w:lang w:val="en-GB"/>
        </w:rPr>
        <w:t xml:space="preserve"> onerous. </w:t>
      </w:r>
    </w:p>
    <w:p w14:paraId="07FDB8E8" w14:textId="77777777" w:rsidR="00587444" w:rsidRPr="00587444" w:rsidRDefault="00587444" w:rsidP="00587932">
      <w:pPr>
        <w:autoSpaceDE w:val="0"/>
        <w:adjustRightInd w:val="0"/>
        <w:ind w:left="720"/>
        <w:contextualSpacing/>
        <w:rPr>
          <w:rFonts w:ascii="Arial" w:hAnsi="Arial" w:cs="Arial"/>
          <w:bCs/>
          <w:sz w:val="20"/>
          <w:szCs w:val="20"/>
          <w:lang w:val="en-GB"/>
        </w:rPr>
      </w:pPr>
    </w:p>
    <w:p w14:paraId="2BAB5F45" w14:textId="77777777" w:rsidR="00587444" w:rsidRPr="00587444" w:rsidRDefault="00587444" w:rsidP="00587932">
      <w:pPr>
        <w:autoSpaceDE w:val="0"/>
        <w:adjustRightInd w:val="0"/>
        <w:rPr>
          <w:rFonts w:ascii="Arial" w:hAnsi="Arial" w:cs="Arial"/>
          <w:bCs/>
          <w:sz w:val="20"/>
          <w:szCs w:val="20"/>
          <w:lang w:val="en-GB"/>
        </w:rPr>
      </w:pPr>
      <w:r w:rsidRPr="00587444">
        <w:rPr>
          <w:rFonts w:ascii="Arial" w:hAnsi="Arial" w:cs="Arial"/>
          <w:bCs/>
          <w:sz w:val="20"/>
          <w:szCs w:val="20"/>
          <w:lang w:val="en-GB"/>
        </w:rPr>
        <w:t>Liabilities arising from loan commitments are included within provisions.</w:t>
      </w:r>
    </w:p>
    <w:p w14:paraId="68729C60" w14:textId="77777777" w:rsidR="00587444" w:rsidRPr="00587444" w:rsidRDefault="00587444" w:rsidP="00587932">
      <w:pPr>
        <w:keepNext/>
        <w:autoSpaceDN/>
        <w:jc w:val="both"/>
        <w:rPr>
          <w:rFonts w:ascii="Arial" w:hAnsi="Arial" w:cs="Arial"/>
          <w:sz w:val="20"/>
          <w:szCs w:val="20"/>
          <w:lang w:val="en-GB"/>
        </w:rPr>
      </w:pPr>
    </w:p>
    <w:p w14:paraId="0FE60591"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 xml:space="preserve">N. Employee benefits </w:t>
      </w:r>
    </w:p>
    <w:p w14:paraId="0670345E" w14:textId="77777777" w:rsidR="00587444" w:rsidRPr="00587444" w:rsidRDefault="00587444" w:rsidP="00587932">
      <w:pPr>
        <w:autoSpaceDN/>
        <w:jc w:val="both"/>
        <w:rPr>
          <w:rFonts w:ascii="Arial" w:hAnsi="Arial" w:cs="Arial"/>
          <w:b/>
          <w:sz w:val="20"/>
          <w:szCs w:val="20"/>
          <w:lang w:val="en-GB"/>
        </w:rPr>
      </w:pPr>
    </w:p>
    <w:p w14:paraId="19959F77" w14:textId="77777777" w:rsidR="00587444" w:rsidRPr="00587444" w:rsidRDefault="00587444" w:rsidP="00587932">
      <w:pPr>
        <w:autoSpaceDN/>
        <w:jc w:val="both"/>
        <w:rPr>
          <w:rFonts w:ascii="Arial" w:hAnsi="Arial" w:cs="Arial"/>
          <w:sz w:val="20"/>
          <w:szCs w:val="20"/>
          <w:lang w:val="en-GB"/>
        </w:rPr>
      </w:pPr>
      <w:r w:rsidRPr="00587444">
        <w:rPr>
          <w:rFonts w:ascii="Arial" w:hAnsi="Arial" w:cs="Arial"/>
          <w:sz w:val="20"/>
          <w:szCs w:val="20"/>
          <w:lang w:val="en-GB"/>
        </w:rPr>
        <w:t xml:space="preserve">The Group pays contributions to mandatory pension plans on a mandatory, contractual basis. The Group has no further payment obligations once the contributions have been paid. The contributions are recognised as employee benefit expense when they are due. </w:t>
      </w:r>
    </w:p>
    <w:p w14:paraId="1C135D3E" w14:textId="77777777" w:rsidR="00587444" w:rsidRPr="00587444" w:rsidRDefault="00587444" w:rsidP="00587932">
      <w:pPr>
        <w:keepNext/>
        <w:autoSpaceDN/>
        <w:jc w:val="both"/>
        <w:rPr>
          <w:rFonts w:ascii="Arial" w:hAnsi="Arial" w:cs="Arial"/>
          <w:bCs/>
          <w:sz w:val="20"/>
          <w:szCs w:val="20"/>
          <w:lang w:val="en-GB"/>
        </w:rPr>
      </w:pPr>
      <w:r w:rsidRPr="00587444">
        <w:rPr>
          <w:rFonts w:ascii="Arial" w:hAnsi="Arial" w:cs="Arial"/>
          <w:bCs/>
          <w:sz w:val="20"/>
          <w:szCs w:val="20"/>
          <w:lang w:val="en-GB"/>
        </w:rPr>
        <w:t>The Group recognizes provisions for other liabilities towards employees when there is a contractual obligation or practice in the past based on which the obligation has arisen. Further, the Group recognizes the liabilities for accumulated vacation allowances based on unutilised vacation days as of the date of the financial statements.</w:t>
      </w:r>
    </w:p>
    <w:p w14:paraId="2DECD22A" w14:textId="77777777" w:rsidR="00587444" w:rsidRPr="00587444" w:rsidRDefault="00587444" w:rsidP="00587932">
      <w:pPr>
        <w:keepNext/>
        <w:autoSpaceDN/>
        <w:jc w:val="both"/>
        <w:rPr>
          <w:rFonts w:ascii="Arial" w:hAnsi="Arial" w:cs="Arial"/>
          <w:bCs/>
          <w:sz w:val="20"/>
          <w:szCs w:val="20"/>
          <w:lang w:val="en-GB"/>
        </w:rPr>
      </w:pPr>
    </w:p>
    <w:p w14:paraId="71476966"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O. Segment reporting</w:t>
      </w:r>
    </w:p>
    <w:p w14:paraId="5BA36D95" w14:textId="77777777" w:rsidR="00587444" w:rsidRPr="00587444" w:rsidRDefault="00587444" w:rsidP="00587932">
      <w:pPr>
        <w:autoSpaceDN/>
        <w:jc w:val="both"/>
        <w:rPr>
          <w:rFonts w:ascii="Arial" w:hAnsi="Arial" w:cs="Arial"/>
          <w:sz w:val="20"/>
          <w:szCs w:val="20"/>
          <w:lang w:val="en-GB"/>
        </w:rPr>
      </w:pPr>
    </w:p>
    <w:p w14:paraId="27AFCCF7" w14:textId="77777777" w:rsidR="00587444" w:rsidRPr="00587444" w:rsidRDefault="00587444" w:rsidP="00587932">
      <w:pPr>
        <w:autoSpaceDN/>
        <w:jc w:val="both"/>
        <w:rPr>
          <w:rFonts w:ascii="Arial" w:hAnsi="Arial" w:cs="Arial"/>
          <w:sz w:val="20"/>
          <w:szCs w:val="20"/>
          <w:lang w:val="en-GB"/>
        </w:rPr>
      </w:pPr>
      <w:r w:rsidRPr="00587444">
        <w:rPr>
          <w:rFonts w:ascii="Arial" w:hAnsi="Arial" w:cs="Arial"/>
          <w:sz w:val="20"/>
          <w:szCs w:val="20"/>
          <w:lang w:val="en-GB"/>
        </w:rPr>
        <w:t>A segment is a distinguishable component of the Group that is engaged either in providing products or services (business segment), or in providing products or services within a particular economic environment (geographical segment), which are subject to risks and rewards that are different from those of other segments. Limited segment information is presented in respect of the Group’s business segments. The primary format of business segments is based on the Bank’s management and internal reporting structure.</w:t>
      </w:r>
    </w:p>
    <w:p w14:paraId="1E56DF6C" w14:textId="77777777" w:rsidR="00587444" w:rsidRPr="00587444" w:rsidRDefault="00587444" w:rsidP="00587932">
      <w:pPr>
        <w:autoSpaceDN/>
        <w:jc w:val="both"/>
        <w:rPr>
          <w:rFonts w:ascii="Arial" w:hAnsi="Arial" w:cs="Arial"/>
          <w:sz w:val="20"/>
          <w:szCs w:val="20"/>
          <w:lang w:val="en-GB"/>
        </w:rPr>
      </w:pPr>
    </w:p>
    <w:p w14:paraId="05C5F4D9" w14:textId="77777777" w:rsidR="00587444" w:rsidRPr="00587444" w:rsidRDefault="00587444" w:rsidP="00587932">
      <w:pPr>
        <w:autoSpaceDN/>
        <w:jc w:val="both"/>
        <w:rPr>
          <w:rFonts w:ascii="Arial" w:hAnsi="Arial" w:cs="Arial"/>
          <w:sz w:val="20"/>
          <w:szCs w:val="20"/>
          <w:lang w:val="en-GB"/>
        </w:rPr>
      </w:pPr>
      <w:r w:rsidRPr="00587444">
        <w:rPr>
          <w:rFonts w:ascii="Arial" w:hAnsi="Arial" w:cs="Arial"/>
          <w:sz w:val="20"/>
          <w:szCs w:val="20"/>
          <w:lang w:val="en-GB"/>
        </w:rPr>
        <w:t>The Group has identified three main segments: banking activities, insurance activities and other activities.</w:t>
      </w:r>
    </w:p>
    <w:p w14:paraId="164EEEAB" w14:textId="77777777" w:rsidR="00587444" w:rsidRPr="00587444" w:rsidRDefault="00587444" w:rsidP="00587932">
      <w:pPr>
        <w:autoSpaceDN/>
        <w:jc w:val="both"/>
        <w:rPr>
          <w:rFonts w:ascii="Arial" w:hAnsi="Arial" w:cs="Arial"/>
          <w:sz w:val="20"/>
          <w:szCs w:val="20"/>
          <w:lang w:val="en-GB"/>
        </w:rPr>
      </w:pPr>
    </w:p>
    <w:p w14:paraId="6D26D4AF" w14:textId="77777777" w:rsidR="00587444" w:rsidRPr="00587444" w:rsidRDefault="00587444" w:rsidP="00587932">
      <w:pPr>
        <w:autoSpaceDN/>
        <w:jc w:val="both"/>
        <w:rPr>
          <w:rFonts w:ascii="Arial" w:hAnsi="Arial" w:cs="Arial"/>
          <w:sz w:val="20"/>
          <w:szCs w:val="20"/>
          <w:lang w:val="en-GB"/>
        </w:rPr>
      </w:pPr>
      <w:r w:rsidRPr="00587444">
        <w:rPr>
          <w:rFonts w:ascii="Arial" w:hAnsi="Arial" w:cs="Arial"/>
          <w:sz w:val="20"/>
          <w:szCs w:val="20"/>
          <w:lang w:val="en-GB"/>
        </w:rPr>
        <w:t>Since the Group predominantly operates in the Republic of Croatia, there are no secondary (geographical) segments.</w:t>
      </w:r>
    </w:p>
    <w:p w14:paraId="05BA311E" w14:textId="77777777" w:rsidR="00587444" w:rsidRPr="00587444" w:rsidRDefault="00587444" w:rsidP="00587932">
      <w:pPr>
        <w:autoSpaceDN/>
        <w:jc w:val="both"/>
        <w:rPr>
          <w:rFonts w:ascii="Arial" w:hAnsi="Arial" w:cs="Arial"/>
          <w:b/>
          <w:bCs/>
          <w:sz w:val="20"/>
          <w:szCs w:val="20"/>
          <w:lang w:val="en-GB"/>
        </w:rPr>
      </w:pPr>
    </w:p>
    <w:p w14:paraId="52FB02F8"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P. Managed funds for and on behalf of third parties</w:t>
      </w:r>
    </w:p>
    <w:p w14:paraId="02ADD158" w14:textId="77777777" w:rsidR="00587444" w:rsidRPr="00587444" w:rsidRDefault="00587444" w:rsidP="00587932">
      <w:pPr>
        <w:autoSpaceDN/>
        <w:jc w:val="both"/>
        <w:rPr>
          <w:rFonts w:ascii="Arial" w:hAnsi="Arial" w:cs="Arial"/>
          <w:sz w:val="20"/>
          <w:szCs w:val="20"/>
          <w:lang w:val="en-GB"/>
        </w:rPr>
      </w:pPr>
    </w:p>
    <w:p w14:paraId="2FD32DDC" w14:textId="77777777" w:rsidR="00F36511" w:rsidRDefault="00587444" w:rsidP="00587932">
      <w:pPr>
        <w:autoSpaceDN/>
        <w:jc w:val="both"/>
        <w:rPr>
          <w:rFonts w:ascii="Arial" w:hAnsi="Arial" w:cs="Arial"/>
          <w:sz w:val="20"/>
          <w:szCs w:val="20"/>
          <w:lang w:val="en-GB"/>
        </w:rPr>
      </w:pPr>
      <w:r w:rsidRPr="00587444">
        <w:rPr>
          <w:rFonts w:ascii="Arial" w:hAnsi="Arial" w:cs="Arial"/>
          <w:sz w:val="20"/>
          <w:szCs w:val="20"/>
          <w:lang w:val="en-GB"/>
        </w:rPr>
        <w:t>The Bank manages significant assets for and on behalf of the Ministry of Finance, Ministry of the Economy and Sustainable Development,</w:t>
      </w:r>
      <w:r w:rsidRPr="00587444" w:rsidDel="00170518">
        <w:rPr>
          <w:rFonts w:ascii="Arial" w:hAnsi="Arial" w:cs="Arial"/>
          <w:sz w:val="20"/>
          <w:szCs w:val="20"/>
          <w:lang w:val="en-GB"/>
        </w:rPr>
        <w:t xml:space="preserve"> </w:t>
      </w:r>
      <w:r w:rsidRPr="00587444">
        <w:rPr>
          <w:rFonts w:ascii="Arial" w:hAnsi="Arial" w:cs="Arial"/>
          <w:sz w:val="20"/>
          <w:szCs w:val="20"/>
          <w:lang w:val="en-GB"/>
        </w:rPr>
        <w:t xml:space="preserve">Ministry of the Sea, Transport and Infrastructure, Ministry of Agriculture, Ministry of Regional Development and EU Funds, </w:t>
      </w:r>
      <w:proofErr w:type="spellStart"/>
      <w:r w:rsidRPr="00587444">
        <w:rPr>
          <w:rFonts w:ascii="Arial" w:hAnsi="Arial" w:cs="Arial"/>
          <w:sz w:val="20"/>
          <w:szCs w:val="20"/>
          <w:lang w:val="en-GB"/>
        </w:rPr>
        <w:t>Vodovod</w:t>
      </w:r>
      <w:proofErr w:type="spellEnd"/>
      <w:r w:rsidRPr="00587444">
        <w:rPr>
          <w:rFonts w:ascii="Arial" w:hAnsi="Arial" w:cs="Arial"/>
          <w:sz w:val="20"/>
          <w:szCs w:val="20"/>
          <w:lang w:val="en-GB"/>
        </w:rPr>
        <w:t xml:space="preserve"> i </w:t>
      </w:r>
      <w:proofErr w:type="spellStart"/>
      <w:r w:rsidRPr="00587444">
        <w:rPr>
          <w:rFonts w:ascii="Arial" w:hAnsi="Arial" w:cs="Arial"/>
          <w:sz w:val="20"/>
          <w:szCs w:val="20"/>
          <w:lang w:val="en-GB"/>
        </w:rPr>
        <w:t>kanalizacija</w:t>
      </w:r>
      <w:proofErr w:type="spellEnd"/>
      <w:r w:rsidRPr="00587444">
        <w:rPr>
          <w:rFonts w:ascii="Arial" w:hAnsi="Arial" w:cs="Arial"/>
          <w:sz w:val="20"/>
          <w:szCs w:val="20"/>
          <w:lang w:val="en-GB"/>
        </w:rPr>
        <w:t xml:space="preserve"> d.o.o., Split, the Croatian Agency for SMEs, </w:t>
      </w:r>
      <w:proofErr w:type="gramStart"/>
      <w:r w:rsidRPr="00587444">
        <w:rPr>
          <w:rFonts w:ascii="Arial" w:hAnsi="Arial" w:cs="Arial"/>
          <w:sz w:val="20"/>
          <w:szCs w:val="20"/>
          <w:lang w:val="en-GB"/>
        </w:rPr>
        <w:t>Innovation</w:t>
      </w:r>
      <w:proofErr w:type="gramEnd"/>
      <w:r w:rsidRPr="00587444" w:rsidDel="00446A78">
        <w:rPr>
          <w:rFonts w:ascii="Arial" w:hAnsi="Arial" w:cs="Arial"/>
          <w:sz w:val="20"/>
          <w:szCs w:val="20"/>
          <w:lang w:val="en-GB"/>
        </w:rPr>
        <w:t xml:space="preserve"> </w:t>
      </w:r>
      <w:r w:rsidRPr="00587444">
        <w:rPr>
          <w:rFonts w:ascii="Arial" w:hAnsi="Arial" w:cs="Arial"/>
          <w:sz w:val="20"/>
          <w:szCs w:val="20"/>
          <w:lang w:val="en-GB"/>
        </w:rPr>
        <w:t>and Investments (“HAMAG-BICRO”) and commercial banks, that are used for the</w:t>
      </w:r>
    </w:p>
    <w:p w14:paraId="6144CA00" w14:textId="53F28C94" w:rsidR="00587444" w:rsidRPr="00587444" w:rsidRDefault="00587444" w:rsidP="00587932">
      <w:pPr>
        <w:autoSpaceDN/>
        <w:rPr>
          <w:rFonts w:ascii="Arial" w:hAnsi="Arial" w:cs="Arial"/>
          <w:sz w:val="20"/>
          <w:szCs w:val="20"/>
          <w:lang w:val="en-GB"/>
        </w:rPr>
        <w:sectPr w:rsidR="00587444" w:rsidRPr="00587444" w:rsidSect="00DD69E7">
          <w:footerReference w:type="default" r:id="rId80"/>
          <w:pgSz w:w="11907" w:h="16840" w:code="9"/>
          <w:pgMar w:top="1418" w:right="992" w:bottom="1134" w:left="1418" w:header="851" w:footer="851" w:gutter="0"/>
          <w:cols w:space="720"/>
          <w:noEndnote/>
        </w:sectPr>
      </w:pPr>
      <w:r w:rsidRPr="00587444">
        <w:rPr>
          <w:rFonts w:ascii="Arial" w:hAnsi="Arial" w:cs="Arial"/>
          <w:sz w:val="20"/>
          <w:szCs w:val="20"/>
          <w:lang w:val="en-GB"/>
        </w:rPr>
        <w:t>financing of reconstruction and development programmes.</w:t>
      </w:r>
    </w:p>
    <w:p w14:paraId="27064236" w14:textId="77777777" w:rsidR="00587444" w:rsidRPr="00587444" w:rsidRDefault="00587444" w:rsidP="00587444">
      <w:pPr>
        <w:suppressAutoHyphens w:val="0"/>
        <w:autoSpaceDN/>
        <w:jc w:val="both"/>
        <w:rPr>
          <w:rFonts w:ascii="Arial" w:hAnsi="Arial" w:cs="Arial"/>
          <w:sz w:val="20"/>
          <w:szCs w:val="20"/>
          <w:lang w:val="en-GB"/>
        </w:rPr>
      </w:pPr>
    </w:p>
    <w:p w14:paraId="3626E4CA"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0D23E4B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3508FC78"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34CA5AD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20BBC6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P. Managed funds for and on behalf of third parties (continued)</w:t>
      </w:r>
    </w:p>
    <w:p w14:paraId="274699A6" w14:textId="77777777" w:rsidR="00587444" w:rsidRPr="00587444" w:rsidRDefault="00587444" w:rsidP="00587444">
      <w:pPr>
        <w:keepNext/>
        <w:suppressAutoHyphens w:val="0"/>
        <w:autoSpaceDN/>
        <w:jc w:val="both"/>
        <w:rPr>
          <w:rFonts w:ascii="Arial" w:hAnsi="Arial" w:cs="Arial"/>
          <w:sz w:val="20"/>
          <w:szCs w:val="20"/>
          <w:lang w:val="en-GB"/>
        </w:rPr>
      </w:pPr>
    </w:p>
    <w:p w14:paraId="5A8148EC" w14:textId="77777777" w:rsidR="00587444" w:rsidRPr="00587444" w:rsidRDefault="00587444" w:rsidP="00587932">
      <w:pPr>
        <w:keepNext/>
        <w:tabs>
          <w:tab w:val="left" w:pos="426"/>
        </w:tabs>
        <w:autoSpaceDN/>
        <w:jc w:val="both"/>
        <w:rPr>
          <w:rFonts w:ascii="Arial" w:hAnsi="Arial" w:cs="Arial"/>
          <w:sz w:val="20"/>
          <w:szCs w:val="20"/>
          <w:lang w:val="en-GB"/>
        </w:rPr>
      </w:pPr>
      <w:r w:rsidRPr="00587444">
        <w:rPr>
          <w:rFonts w:ascii="Arial" w:hAnsi="Arial" w:cs="Arial"/>
          <w:sz w:val="20"/>
          <w:szCs w:val="20"/>
          <w:lang w:val="en-GB"/>
        </w:rPr>
        <w:t>T</w:t>
      </w:r>
      <w:r w:rsidRPr="00587444">
        <w:rPr>
          <w:rFonts w:ascii="Arial" w:hAnsi="Arial" w:cs="Arial"/>
          <w:bCs/>
          <w:sz w:val="20"/>
          <w:szCs w:val="20"/>
          <w:lang w:val="en-GB"/>
        </w:rPr>
        <w:t xml:space="preserve">hese amounts do not represent assets of HBOR and are excluded from the Bank’s </w:t>
      </w:r>
      <w:r w:rsidRPr="00587444">
        <w:rPr>
          <w:rFonts w:ascii="Arial" w:hAnsi="Arial" w:cs="Arial"/>
          <w:sz w:val="20"/>
          <w:szCs w:val="20"/>
          <w:lang w:val="en-GB"/>
        </w:rPr>
        <w:t>Statement of financial position but are recorded separately from the Bank’s operations</w:t>
      </w:r>
      <w:r w:rsidRPr="00587444">
        <w:rPr>
          <w:rFonts w:ascii="Arial" w:hAnsi="Arial" w:cs="Arial"/>
          <w:bCs/>
          <w:sz w:val="20"/>
          <w:szCs w:val="20"/>
          <w:lang w:val="en-GB"/>
        </w:rPr>
        <w:t>.</w:t>
      </w:r>
      <w:r w:rsidRPr="00587444" w:rsidDel="00C35234">
        <w:rPr>
          <w:rFonts w:ascii="Arial" w:hAnsi="Arial" w:cs="Arial"/>
          <w:sz w:val="20"/>
          <w:szCs w:val="20"/>
          <w:lang w:val="en-GB"/>
        </w:rPr>
        <w:t xml:space="preserve"> </w:t>
      </w:r>
    </w:p>
    <w:p w14:paraId="2CD77AD9" w14:textId="77777777" w:rsidR="00587444" w:rsidRPr="00587444" w:rsidRDefault="00587444" w:rsidP="00587932">
      <w:pPr>
        <w:keepNext/>
        <w:tabs>
          <w:tab w:val="left" w:pos="426"/>
        </w:tabs>
        <w:autoSpaceDN/>
        <w:jc w:val="both"/>
        <w:rPr>
          <w:rFonts w:ascii="Arial" w:hAnsi="Arial" w:cs="Arial"/>
          <w:sz w:val="20"/>
          <w:szCs w:val="20"/>
          <w:lang w:val="en-GB"/>
        </w:rPr>
      </w:pPr>
    </w:p>
    <w:p w14:paraId="6190ACFF" w14:textId="77777777" w:rsidR="00587444" w:rsidRPr="00587444" w:rsidRDefault="00587444" w:rsidP="00587932">
      <w:pPr>
        <w:keepNext/>
        <w:tabs>
          <w:tab w:val="left" w:pos="426"/>
        </w:tabs>
        <w:autoSpaceDN/>
        <w:jc w:val="both"/>
        <w:rPr>
          <w:rFonts w:ascii="Arial" w:hAnsi="Arial" w:cs="Arial"/>
          <w:b/>
          <w:sz w:val="20"/>
          <w:szCs w:val="20"/>
          <w:lang w:val="en-GB"/>
        </w:rPr>
      </w:pPr>
      <w:r w:rsidRPr="00587444">
        <w:rPr>
          <w:rFonts w:ascii="Arial" w:hAnsi="Arial" w:cs="Arial"/>
          <w:sz w:val="20"/>
          <w:szCs w:val="20"/>
          <w:lang w:val="en-GB"/>
        </w:rPr>
        <w:t xml:space="preserve">Revenues and expense relating to this business activity are charged to third parties, and the Bank does not have other liabilities nor bears any risks. For services provided within the framework of some of the programmes, the Bank charges a fee, whereas other programmes are performed by the Bank free of charge </w:t>
      </w:r>
      <w:r w:rsidRPr="00587444">
        <w:rPr>
          <w:rFonts w:ascii="Arial" w:hAnsi="Arial" w:cs="Arial"/>
          <w:sz w:val="20"/>
          <w:szCs w:val="20"/>
          <w:lang w:val="en-GB"/>
        </w:rPr>
        <w:sym w:font="Symbol" w:char="F028"/>
      </w:r>
      <w:r w:rsidRPr="00587444">
        <w:rPr>
          <w:rFonts w:ascii="Arial" w:hAnsi="Arial" w:cs="Arial"/>
          <w:sz w:val="20"/>
          <w:szCs w:val="20"/>
          <w:lang w:val="en-GB"/>
        </w:rPr>
        <w:t>see Note 29.</w:t>
      </w:r>
      <w:r w:rsidRPr="00587444">
        <w:rPr>
          <w:rFonts w:ascii="Arial" w:hAnsi="Arial" w:cs="Arial"/>
          <w:sz w:val="20"/>
          <w:szCs w:val="20"/>
          <w:lang w:val="en-GB"/>
        </w:rPr>
        <w:sym w:font="Symbol" w:char="F029"/>
      </w:r>
      <w:r w:rsidRPr="00587444">
        <w:rPr>
          <w:rFonts w:ascii="Arial" w:hAnsi="Arial" w:cs="Arial"/>
          <w:sz w:val="20"/>
          <w:szCs w:val="20"/>
          <w:lang w:val="en-GB"/>
        </w:rPr>
        <w:t>.</w:t>
      </w:r>
    </w:p>
    <w:p w14:paraId="0649AE7F" w14:textId="77777777" w:rsidR="00587444" w:rsidRPr="00587444" w:rsidRDefault="00587444" w:rsidP="00587444">
      <w:pPr>
        <w:keepNext/>
        <w:tabs>
          <w:tab w:val="left" w:pos="0"/>
        </w:tabs>
        <w:suppressAutoHyphens w:val="0"/>
        <w:autoSpaceDN/>
        <w:contextualSpacing/>
        <w:jc w:val="both"/>
        <w:rPr>
          <w:rFonts w:ascii="Arial" w:hAnsi="Arial" w:cs="Arial"/>
          <w:b/>
          <w:bCs/>
          <w:sz w:val="20"/>
          <w:szCs w:val="20"/>
        </w:rPr>
      </w:pPr>
    </w:p>
    <w:p w14:paraId="53B7FB47" w14:textId="6AC7ADDA" w:rsidR="00587444" w:rsidRPr="00587444" w:rsidRDefault="00587444" w:rsidP="00587444">
      <w:pPr>
        <w:suppressAutoHyphens w:val="0"/>
        <w:autoSpaceDN/>
        <w:ind w:left="425" w:hanging="425"/>
        <w:jc w:val="both"/>
        <w:rPr>
          <w:rFonts w:ascii="Arial" w:eastAsia="Calibri" w:hAnsi="Arial" w:cs="Arial"/>
          <w:b/>
          <w:bCs/>
          <w:sz w:val="20"/>
          <w:szCs w:val="20"/>
        </w:rPr>
      </w:pPr>
      <w:r w:rsidRPr="00587444">
        <w:rPr>
          <w:rFonts w:ascii="Arial" w:eastAsia="Calibri" w:hAnsi="Arial" w:cs="Arial"/>
          <w:b/>
          <w:bCs/>
          <w:sz w:val="20"/>
          <w:szCs w:val="20"/>
        </w:rPr>
        <w:t>4.2. Adoption of new and amended International Financial Reporting Standards (“IFRS”) and Interpretations</w:t>
      </w:r>
    </w:p>
    <w:p w14:paraId="542FB506" w14:textId="77777777" w:rsidR="00587444" w:rsidRPr="00587444" w:rsidRDefault="00587444" w:rsidP="00587444">
      <w:pPr>
        <w:suppressAutoHyphens w:val="0"/>
        <w:autoSpaceDN/>
        <w:ind w:left="425" w:hanging="425"/>
        <w:jc w:val="both"/>
        <w:rPr>
          <w:rFonts w:ascii="Arial" w:eastAsia="Calibri" w:hAnsi="Arial" w:cs="Arial"/>
          <w:b/>
          <w:bCs/>
          <w:sz w:val="20"/>
          <w:szCs w:val="20"/>
        </w:rPr>
      </w:pPr>
    </w:p>
    <w:p w14:paraId="4540860A" w14:textId="77777777" w:rsidR="00587444" w:rsidRPr="00587444" w:rsidRDefault="00587444" w:rsidP="00587932">
      <w:pPr>
        <w:autoSpaceDN/>
        <w:ind w:left="425" w:hanging="425"/>
        <w:jc w:val="both"/>
        <w:rPr>
          <w:rFonts w:ascii="Arial" w:hAnsi="Arial" w:cs="Arial"/>
          <w:b/>
          <w:bCs/>
          <w:i/>
          <w:iCs/>
          <w:color w:val="3C4043"/>
          <w:sz w:val="20"/>
          <w:szCs w:val="20"/>
        </w:rPr>
      </w:pPr>
      <w:r w:rsidRPr="00587444">
        <w:rPr>
          <w:rFonts w:ascii="Arial" w:hAnsi="Arial" w:cs="Arial"/>
          <w:b/>
          <w:bCs/>
          <w:i/>
          <w:iCs/>
          <w:color w:val="3C4043"/>
          <w:sz w:val="20"/>
          <w:szCs w:val="20"/>
        </w:rPr>
        <w:t>First application of new and amendments to existing standards in force in the current reporting period</w:t>
      </w:r>
    </w:p>
    <w:p w14:paraId="576305D3" w14:textId="77777777" w:rsidR="00587444" w:rsidRPr="00587444" w:rsidRDefault="00587444" w:rsidP="00587932">
      <w:pPr>
        <w:autoSpaceDN/>
        <w:ind w:left="425" w:hanging="425"/>
        <w:jc w:val="both"/>
        <w:rPr>
          <w:rFonts w:ascii="Arial" w:eastAsia="Calibri" w:hAnsi="Arial" w:cs="Arial"/>
          <w:b/>
          <w:bCs/>
          <w:i/>
          <w:iCs/>
          <w:sz w:val="20"/>
          <w:szCs w:val="20"/>
        </w:rPr>
      </w:pPr>
    </w:p>
    <w:p w14:paraId="0CE3417A" w14:textId="77777777" w:rsidR="00587444" w:rsidRPr="00B24E04" w:rsidRDefault="00587444" w:rsidP="00587932">
      <w:pPr>
        <w:autoSpaceDN/>
        <w:jc w:val="both"/>
        <w:rPr>
          <w:rFonts w:ascii="Arial" w:eastAsia="Calibri" w:hAnsi="Arial" w:cs="Arial"/>
          <w:sz w:val="20"/>
          <w:szCs w:val="20"/>
          <w:lang w:val="pl-PL" w:eastAsia="hr-HR"/>
        </w:rPr>
      </w:pPr>
      <w:r w:rsidRPr="00B24E04">
        <w:rPr>
          <w:rFonts w:ascii="Arial" w:hAnsi="Arial" w:cs="Arial"/>
          <w:color w:val="3C4043"/>
          <w:sz w:val="20"/>
          <w:szCs w:val="20"/>
          <w:lang w:val="pl-PL"/>
        </w:rPr>
        <w:t>In the current reporting period, the following amendments to existing standards</w:t>
      </w:r>
      <w:r w:rsidRPr="00B24E04">
        <w:rPr>
          <w:rFonts w:ascii="Arial" w:hAnsi="Arial" w:cs="Arial"/>
          <w:color w:val="3C4043"/>
          <w:sz w:val="20"/>
          <w:szCs w:val="20"/>
        </w:rPr>
        <w:t xml:space="preserve"> are in force, published</w:t>
      </w:r>
      <w:r w:rsidRPr="00B24E04">
        <w:rPr>
          <w:rFonts w:ascii="Arial" w:hAnsi="Arial" w:cs="Arial"/>
          <w:color w:val="3C4043"/>
          <w:sz w:val="20"/>
          <w:szCs w:val="20"/>
          <w:lang w:val="pl-PL"/>
        </w:rPr>
        <w:t xml:space="preserve"> by the International Accounting Standards Board (“IASB”) and adopted by the European Union</w:t>
      </w:r>
      <w:r w:rsidRPr="00B24E04">
        <w:rPr>
          <w:rFonts w:ascii="Arial" w:hAnsi="Arial" w:cs="Arial"/>
          <w:color w:val="3C4043"/>
          <w:sz w:val="20"/>
          <w:szCs w:val="20"/>
        </w:rPr>
        <w:t>:</w:t>
      </w:r>
      <w:r w:rsidRPr="00B24E04" w:rsidDel="003F6AB0">
        <w:rPr>
          <w:rFonts w:ascii="Arial" w:eastAsia="Calibri" w:hAnsi="Arial" w:cs="Arial"/>
          <w:sz w:val="20"/>
          <w:szCs w:val="20"/>
          <w:lang w:eastAsia="hr-HR"/>
        </w:rPr>
        <w:t xml:space="preserve"> </w:t>
      </w:r>
    </w:p>
    <w:p w14:paraId="0553A649" w14:textId="77777777" w:rsidR="00587444" w:rsidRPr="00587444" w:rsidRDefault="00587444" w:rsidP="00587932">
      <w:pPr>
        <w:tabs>
          <w:tab w:val="left" w:pos="567"/>
        </w:tabs>
        <w:autoSpaceDN/>
        <w:ind w:left="709" w:hanging="283"/>
        <w:jc w:val="both"/>
        <w:rPr>
          <w:rFonts w:ascii="Arial" w:eastAsia="Calibri" w:hAnsi="Arial" w:cs="Arial"/>
          <w:sz w:val="20"/>
          <w:szCs w:val="20"/>
          <w:lang w:eastAsia="hr-HR"/>
        </w:rPr>
      </w:pPr>
      <w:r w:rsidRPr="00587444">
        <w:rPr>
          <w:rFonts w:ascii="Arial" w:eastAsia="Calibri" w:hAnsi="Arial" w:cs="Arial"/>
          <w:sz w:val="20"/>
          <w:szCs w:val="20"/>
          <w:lang w:eastAsia="hr-HR"/>
        </w:rPr>
        <w:tab/>
        <w:t xml:space="preserve">- </w:t>
      </w:r>
      <w:r w:rsidRPr="00587444">
        <w:rPr>
          <w:rFonts w:ascii="Arial" w:hAnsi="Arial" w:cs="Arial"/>
          <w:sz w:val="20"/>
          <w:szCs w:val="20"/>
        </w:rPr>
        <w:t>Annual Improvements 2018-2020 cycle – (effective for annual periods beginning on or after 1 January 2022</w:t>
      </w:r>
      <w:proofErr w:type="gramStart"/>
      <w:r w:rsidRPr="00587444">
        <w:rPr>
          <w:rFonts w:ascii="Arial" w:hAnsi="Arial" w:cs="Arial"/>
          <w:sz w:val="20"/>
          <w:szCs w:val="20"/>
        </w:rPr>
        <w:t>);</w:t>
      </w:r>
      <w:proofErr w:type="gramEnd"/>
    </w:p>
    <w:p w14:paraId="751F0480" w14:textId="77777777" w:rsidR="00587444" w:rsidRPr="00587444" w:rsidRDefault="00587444" w:rsidP="00587932">
      <w:pPr>
        <w:autoSpaceDN/>
        <w:ind w:left="709" w:hanging="142"/>
        <w:rPr>
          <w:rFonts w:ascii="Arial" w:eastAsia="Calibri" w:hAnsi="Arial" w:cs="Arial"/>
          <w:sz w:val="20"/>
          <w:szCs w:val="20"/>
          <w:lang w:eastAsia="hr-HR"/>
        </w:rPr>
      </w:pPr>
      <w:r w:rsidRPr="00587444">
        <w:rPr>
          <w:rFonts w:ascii="Arial" w:eastAsia="Calibri" w:hAnsi="Arial" w:cs="Arial"/>
          <w:sz w:val="20"/>
          <w:szCs w:val="20"/>
          <w:lang w:eastAsia="hr-HR"/>
        </w:rPr>
        <w:t>- IAS 37 Provisions, Contingent Liabilities and Contingent Assets (Amendment - Onerous Contracts – Cost of Fulfilling a Contract): amending the standard regarding costs a company should include as the cost of fulfilling a contract when assessing whether a contract is onerous (effective for annual periods beginning on or after 1 January 2022);</w:t>
      </w:r>
    </w:p>
    <w:p w14:paraId="41FC955E" w14:textId="77777777" w:rsidR="00587444" w:rsidRPr="00587444" w:rsidRDefault="00587444" w:rsidP="00587932">
      <w:pPr>
        <w:autoSpaceDN/>
        <w:ind w:left="709" w:hanging="142"/>
        <w:jc w:val="both"/>
        <w:rPr>
          <w:rFonts w:ascii="Arial" w:eastAsia="Calibri" w:hAnsi="Arial" w:cs="Arial"/>
          <w:sz w:val="20"/>
          <w:szCs w:val="20"/>
          <w:lang w:eastAsia="hr-HR"/>
        </w:rPr>
      </w:pPr>
      <w:r w:rsidRPr="00587444">
        <w:rPr>
          <w:rFonts w:ascii="Arial" w:hAnsi="Arial" w:cs="Arial"/>
          <w:sz w:val="20"/>
          <w:szCs w:val="20"/>
        </w:rPr>
        <w:t xml:space="preserve">- IAS 16 Property, Plant and Equipment (amendment – Proceeds before Intended Use): amends the standard to prohibit deducting from the cost of an item of property, plant and equipment any proceeds from selling items produced while bringing that asset to the location and condition necessary for it to be capable of operating in the manner intended by management. Instead, an entity </w:t>
      </w:r>
      <w:proofErr w:type="spellStart"/>
      <w:r w:rsidRPr="00587444">
        <w:rPr>
          <w:rFonts w:ascii="Arial" w:hAnsi="Arial" w:cs="Arial"/>
          <w:sz w:val="20"/>
          <w:szCs w:val="20"/>
        </w:rPr>
        <w:t>recognises</w:t>
      </w:r>
      <w:proofErr w:type="spellEnd"/>
      <w:r w:rsidRPr="00587444">
        <w:rPr>
          <w:rFonts w:ascii="Arial" w:hAnsi="Arial" w:cs="Arial"/>
          <w:sz w:val="20"/>
          <w:szCs w:val="20"/>
        </w:rPr>
        <w:t xml:space="preserve"> the proceeds from selling such items, and the cost of producing those items, in profit or loss </w:t>
      </w:r>
      <w:r w:rsidRPr="00587444">
        <w:rPr>
          <w:rFonts w:ascii="Arial" w:eastAsia="Calibri" w:hAnsi="Arial" w:cs="Arial"/>
          <w:sz w:val="20"/>
          <w:szCs w:val="20"/>
          <w:lang w:eastAsia="hr-HR"/>
        </w:rPr>
        <w:t>(effective for annual periods beginning on or after 1 January 2022);</w:t>
      </w:r>
    </w:p>
    <w:p w14:paraId="11FAFC29" w14:textId="77777777" w:rsidR="00587444" w:rsidRPr="00587444" w:rsidRDefault="00587444" w:rsidP="00587932">
      <w:pPr>
        <w:autoSpaceDN/>
        <w:ind w:left="709" w:hanging="142"/>
        <w:jc w:val="both"/>
        <w:rPr>
          <w:rFonts w:ascii="Arial" w:eastAsia="Calibri" w:hAnsi="Arial" w:cs="Arial"/>
          <w:sz w:val="20"/>
          <w:szCs w:val="20"/>
          <w:lang w:eastAsia="hr-HR"/>
        </w:rPr>
      </w:pPr>
      <w:r w:rsidRPr="00587444">
        <w:rPr>
          <w:rFonts w:ascii="Arial" w:eastAsia="Calibri" w:hAnsi="Arial" w:cs="Arial"/>
          <w:sz w:val="20"/>
          <w:szCs w:val="20"/>
          <w:lang w:eastAsia="hr-HR"/>
        </w:rPr>
        <w:t xml:space="preserve">- IFRS 3 </w:t>
      </w:r>
      <w:r w:rsidRPr="00587444">
        <w:rPr>
          <w:rFonts w:ascii="Arial" w:hAnsi="Arial" w:cs="Arial"/>
          <w:color w:val="000000"/>
          <w:sz w:val="20"/>
          <w:szCs w:val="20"/>
        </w:rPr>
        <w:t xml:space="preserve">Business Combinations - </w:t>
      </w:r>
      <w:r w:rsidRPr="00587444">
        <w:rPr>
          <w:rFonts w:ascii="Arial" w:hAnsi="Arial" w:cs="Arial"/>
          <w:sz w:val="20"/>
          <w:szCs w:val="20"/>
          <w:lang w:val="hr-HR" w:eastAsia="hr-HR"/>
        </w:rPr>
        <w:t xml:space="preserve">Reference to the Conceptual Framework </w:t>
      </w:r>
      <w:r w:rsidRPr="00587444">
        <w:rPr>
          <w:rFonts w:ascii="Arial" w:eastAsia="Calibri" w:hAnsi="Arial" w:cs="Arial"/>
          <w:sz w:val="20"/>
          <w:szCs w:val="20"/>
          <w:lang w:eastAsia="hr-HR"/>
        </w:rPr>
        <w:t>(effective for annual periods beginning on or after 1 January 2022).</w:t>
      </w:r>
    </w:p>
    <w:p w14:paraId="64A86F88" w14:textId="77777777" w:rsidR="00587444" w:rsidRPr="00587444" w:rsidRDefault="00587444" w:rsidP="00587932">
      <w:pPr>
        <w:shd w:val="clear" w:color="auto" w:fill="FFFFFF"/>
        <w:autoSpaceDN/>
        <w:jc w:val="both"/>
        <w:rPr>
          <w:rFonts w:ascii="Arial" w:hAnsi="Arial" w:cs="Arial"/>
          <w:color w:val="3C4043"/>
          <w:sz w:val="20"/>
          <w:szCs w:val="20"/>
        </w:rPr>
      </w:pPr>
    </w:p>
    <w:p w14:paraId="2CCBAEEA" w14:textId="77777777" w:rsidR="00587444" w:rsidRPr="00587444" w:rsidRDefault="00587444" w:rsidP="00587932">
      <w:pPr>
        <w:shd w:val="clear" w:color="auto" w:fill="FFFFFF"/>
        <w:autoSpaceDN/>
        <w:jc w:val="both"/>
        <w:rPr>
          <w:rFonts w:ascii="Arial" w:hAnsi="Arial" w:cs="Arial"/>
          <w:color w:val="3C4043"/>
          <w:sz w:val="20"/>
          <w:szCs w:val="20"/>
        </w:rPr>
      </w:pPr>
      <w:r w:rsidRPr="00587444">
        <w:rPr>
          <w:rFonts w:ascii="Arial" w:hAnsi="Arial" w:cs="Arial"/>
          <w:color w:val="3C4043"/>
          <w:sz w:val="20"/>
          <w:szCs w:val="20"/>
        </w:rPr>
        <w:t>The adoption of these amendments to existing standards did not result in significant changes in the Group's financial statements.</w:t>
      </w:r>
    </w:p>
    <w:p w14:paraId="1D02202D" w14:textId="77777777" w:rsidR="00587444" w:rsidRPr="00587444" w:rsidRDefault="00587444" w:rsidP="00587932">
      <w:pPr>
        <w:autoSpaceDN/>
        <w:jc w:val="both"/>
        <w:rPr>
          <w:rFonts w:ascii="Arial" w:hAnsi="Arial" w:cs="Arial"/>
          <w:b/>
          <w:bCs/>
          <w:i/>
          <w:iCs/>
          <w:color w:val="3C4043"/>
          <w:sz w:val="20"/>
          <w:szCs w:val="20"/>
        </w:rPr>
      </w:pPr>
    </w:p>
    <w:p w14:paraId="759917AA" w14:textId="77777777" w:rsidR="00587444" w:rsidRPr="00587444" w:rsidRDefault="00587444" w:rsidP="00587932">
      <w:pPr>
        <w:autoSpaceDN/>
        <w:jc w:val="both"/>
        <w:rPr>
          <w:rFonts w:ascii="Arial" w:hAnsi="Arial" w:cs="Arial"/>
          <w:b/>
          <w:bCs/>
          <w:i/>
          <w:iCs/>
          <w:color w:val="3C4043"/>
          <w:sz w:val="20"/>
          <w:szCs w:val="20"/>
        </w:rPr>
      </w:pPr>
      <w:r w:rsidRPr="00587444">
        <w:rPr>
          <w:rFonts w:ascii="Arial" w:hAnsi="Arial" w:cs="Arial"/>
          <w:b/>
          <w:bCs/>
          <w:i/>
          <w:iCs/>
          <w:color w:val="3C4043"/>
          <w:sz w:val="20"/>
          <w:szCs w:val="20"/>
        </w:rPr>
        <w:t>Standards and amendments to existing standards published by the IASB and adopted in the European Union, but not yet in force</w:t>
      </w:r>
    </w:p>
    <w:p w14:paraId="0D2DD33D" w14:textId="77777777" w:rsidR="00587444" w:rsidRPr="00587444" w:rsidRDefault="00587444" w:rsidP="00587932">
      <w:pPr>
        <w:autoSpaceDN/>
        <w:jc w:val="both"/>
        <w:rPr>
          <w:rFonts w:ascii="Arial" w:hAnsi="Arial" w:cs="Arial"/>
          <w:b/>
          <w:bCs/>
          <w:i/>
          <w:iCs/>
          <w:color w:val="3C4043"/>
          <w:sz w:val="20"/>
          <w:szCs w:val="20"/>
        </w:rPr>
      </w:pPr>
    </w:p>
    <w:p w14:paraId="320D9604" w14:textId="77777777" w:rsidR="00587444" w:rsidRPr="00587444" w:rsidRDefault="00587444" w:rsidP="00587932">
      <w:pPr>
        <w:autoSpaceDN/>
        <w:jc w:val="both"/>
        <w:rPr>
          <w:rFonts w:ascii="Arial" w:hAnsi="Arial" w:cs="Arial"/>
          <w:color w:val="3C4043"/>
          <w:sz w:val="20"/>
          <w:szCs w:val="20"/>
        </w:rPr>
      </w:pPr>
      <w:r w:rsidRPr="00587444">
        <w:rPr>
          <w:rFonts w:ascii="Arial" w:hAnsi="Arial" w:cs="Arial"/>
          <w:color w:val="3C4043"/>
          <w:sz w:val="20"/>
          <w:szCs w:val="20"/>
        </w:rPr>
        <w:t>At the date of approval of these financial statements, the following amendments to existing standards issued by the IASB and adopted by the European Union have been issued but are not effective:</w:t>
      </w:r>
    </w:p>
    <w:p w14:paraId="4E40DC89" w14:textId="77777777" w:rsidR="00587444" w:rsidRPr="00587444" w:rsidRDefault="00587444" w:rsidP="00587932">
      <w:pPr>
        <w:autoSpaceDN/>
        <w:ind w:left="720" w:hanging="153"/>
        <w:jc w:val="both"/>
        <w:rPr>
          <w:rFonts w:ascii="Arial" w:hAnsi="Arial" w:cs="Arial"/>
          <w:sz w:val="20"/>
          <w:szCs w:val="20"/>
        </w:rPr>
      </w:pPr>
      <w:r w:rsidRPr="00587444">
        <w:rPr>
          <w:rFonts w:ascii="Arial" w:hAnsi="Arial" w:cs="Arial"/>
          <w:sz w:val="20"/>
          <w:szCs w:val="20"/>
          <w:lang w:val="en-GB"/>
        </w:rPr>
        <w:t xml:space="preserve">- </w:t>
      </w:r>
      <w:r w:rsidRPr="00587444">
        <w:rPr>
          <w:rFonts w:ascii="Arial" w:hAnsi="Arial" w:cs="Arial"/>
          <w:sz w:val="20"/>
          <w:szCs w:val="20"/>
        </w:rPr>
        <w:t>IAS 1 Presentation of Financial Statements and IFRS Practice Statement 2 (amendment -  Disclosure of Accounting Policies)</w:t>
      </w:r>
      <w:bookmarkStart w:id="425" w:name="_Hlk128472778"/>
      <w:r w:rsidRPr="00587444">
        <w:t xml:space="preserve"> (</w:t>
      </w:r>
      <w:r w:rsidRPr="00587444">
        <w:rPr>
          <w:rFonts w:ascii="Arial" w:hAnsi="Arial" w:cs="Arial"/>
          <w:sz w:val="20"/>
          <w:szCs w:val="20"/>
        </w:rPr>
        <w:t>effective for annual periods beginning on or after 1 January 2023);</w:t>
      </w:r>
    </w:p>
    <w:bookmarkEnd w:id="425"/>
    <w:p w14:paraId="29595FBE" w14:textId="77777777" w:rsidR="00587444" w:rsidRPr="00587444" w:rsidRDefault="00587444" w:rsidP="00587932">
      <w:pPr>
        <w:autoSpaceDN/>
        <w:ind w:left="720" w:hanging="153"/>
        <w:jc w:val="both"/>
        <w:rPr>
          <w:rFonts w:ascii="Arial" w:hAnsi="Arial" w:cs="Arial"/>
          <w:sz w:val="20"/>
          <w:szCs w:val="20"/>
          <w:lang w:val="en-GB"/>
        </w:rPr>
      </w:pPr>
      <w:r w:rsidRPr="00587444">
        <w:rPr>
          <w:rFonts w:ascii="Arial" w:hAnsi="Arial" w:cs="Arial"/>
          <w:sz w:val="20"/>
          <w:szCs w:val="20"/>
          <w:lang w:val="en-GB"/>
        </w:rPr>
        <w:t>- IAS 8 Accounting Policies – Changes in Accounting Estimates and Errors (amendment – Definition of Accounting Estimates) (effective for annual periods beginning on or after 1 January 2023);</w:t>
      </w:r>
    </w:p>
    <w:p w14:paraId="64BACC0C" w14:textId="77777777" w:rsidR="00587444" w:rsidRPr="00587444" w:rsidRDefault="00587444" w:rsidP="00587932">
      <w:pPr>
        <w:autoSpaceDN/>
        <w:ind w:left="720" w:hanging="153"/>
        <w:jc w:val="both"/>
        <w:rPr>
          <w:rFonts w:ascii="Arial" w:hAnsi="Arial" w:cs="Arial"/>
          <w:sz w:val="20"/>
          <w:szCs w:val="20"/>
          <w:lang w:val="en-GB"/>
        </w:rPr>
      </w:pPr>
      <w:r w:rsidRPr="00587444">
        <w:rPr>
          <w:rFonts w:ascii="Arial" w:hAnsi="Arial" w:cs="Arial"/>
          <w:sz w:val="20"/>
          <w:szCs w:val="20"/>
          <w:lang w:val="en-GB"/>
        </w:rPr>
        <w:t xml:space="preserve">- </w:t>
      </w:r>
      <w:r w:rsidRPr="00587444">
        <w:rPr>
          <w:rFonts w:ascii="Arial" w:eastAsia="Calibri" w:hAnsi="Arial" w:cs="Arial"/>
          <w:sz w:val="20"/>
          <w:szCs w:val="20"/>
          <w:lang w:val="en-GB"/>
        </w:rPr>
        <w:t>IFRS 17 Insurance Contracts and amendments to IFRS 17 Insurance Contracts (effective for annual periods beginning on or after 1 January 2023);</w:t>
      </w:r>
    </w:p>
    <w:p w14:paraId="6D32C1E5" w14:textId="77777777" w:rsidR="00587444" w:rsidRPr="00587444" w:rsidRDefault="00587444" w:rsidP="00587932">
      <w:pPr>
        <w:autoSpaceDN/>
        <w:ind w:left="720" w:hanging="153"/>
        <w:jc w:val="both"/>
        <w:rPr>
          <w:rFonts w:ascii="Arial" w:hAnsi="Arial" w:cs="Arial"/>
          <w:sz w:val="20"/>
          <w:szCs w:val="20"/>
          <w:lang w:val="en-GB"/>
        </w:rPr>
      </w:pPr>
      <w:r w:rsidRPr="00587444">
        <w:rPr>
          <w:rFonts w:ascii="Arial" w:hAnsi="Arial" w:cs="Arial"/>
          <w:sz w:val="20"/>
          <w:szCs w:val="20"/>
          <w:lang w:val="en-GB"/>
        </w:rPr>
        <w:t>- IAS 12 Income Taxes (amendment – Deferred tax related to assets and liabilities arising from a single transaction)</w:t>
      </w:r>
      <w:r w:rsidRPr="00587444">
        <w:rPr>
          <w:lang w:val="en-GB"/>
        </w:rPr>
        <w:t xml:space="preserve"> (</w:t>
      </w:r>
      <w:r w:rsidRPr="00587444">
        <w:rPr>
          <w:rFonts w:ascii="Arial" w:hAnsi="Arial" w:cs="Arial"/>
          <w:sz w:val="20"/>
          <w:szCs w:val="20"/>
          <w:lang w:val="en-GB"/>
        </w:rPr>
        <w:t>effective for annual periods beginning on or after 1 January 2023);</w:t>
      </w:r>
    </w:p>
    <w:p w14:paraId="4F4570B7" w14:textId="09B7E03D" w:rsidR="00587444" w:rsidRPr="00587444" w:rsidRDefault="00587444" w:rsidP="00587932">
      <w:pPr>
        <w:numPr>
          <w:ilvl w:val="0"/>
          <w:numId w:val="30"/>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ind w:left="709" w:hanging="283"/>
        <w:jc w:val="both"/>
        <w:rPr>
          <w:rFonts w:ascii="Arial" w:eastAsia="SimSun" w:hAnsi="Arial" w:cs="Arial"/>
          <w:color w:val="000000"/>
          <w:sz w:val="20"/>
          <w:szCs w:val="20"/>
          <w:lang w:val="en-GB" w:eastAsia="hr-HR"/>
        </w:rPr>
        <w:sectPr w:rsidR="00587444" w:rsidRPr="00587444" w:rsidSect="00DD69E7">
          <w:pgSz w:w="11907" w:h="16840" w:code="9"/>
          <w:pgMar w:top="1418" w:right="1134" w:bottom="1134" w:left="1418" w:header="851" w:footer="851" w:gutter="0"/>
          <w:cols w:space="720"/>
          <w:noEndnote/>
        </w:sectPr>
      </w:pPr>
      <w:r w:rsidRPr="00587444">
        <w:rPr>
          <w:rFonts w:ascii="Arial" w:eastAsia="SimSun" w:hAnsi="Arial" w:cs="Arial"/>
          <w:sz w:val="20"/>
          <w:szCs w:val="20"/>
          <w:lang w:val="en-GB" w:eastAsia="hr-HR"/>
        </w:rPr>
        <w:t xml:space="preserve">Amendments to IFRS 17 Insurance Contracts: Initial Application of IFRS 17 and IFRS 9 – Comparative Information </w:t>
      </w:r>
      <w:r w:rsidRPr="00587444">
        <w:rPr>
          <w:rFonts w:ascii="Arial" w:eastAsia="SimSun" w:hAnsi="Arial" w:cs="Arial"/>
          <w:color w:val="000000"/>
          <w:sz w:val="20"/>
          <w:szCs w:val="20"/>
          <w:lang w:val="en-GB" w:eastAsia="hr-HR"/>
        </w:rPr>
        <w:t>(effective for annual periods beginning on or after 1 January 2023)</w:t>
      </w:r>
      <w:r w:rsidR="00AB6B1D">
        <w:rPr>
          <w:rFonts w:ascii="Arial" w:eastAsia="SimSun" w:hAnsi="Arial" w:cs="Arial"/>
          <w:color w:val="000000"/>
          <w:sz w:val="20"/>
          <w:szCs w:val="20"/>
          <w:lang w:val="en-GB" w:eastAsia="hr-HR"/>
        </w:rPr>
        <w:t>.</w:t>
      </w:r>
    </w:p>
    <w:p w14:paraId="36020681" w14:textId="77777777" w:rsidR="00587444" w:rsidRPr="00587444" w:rsidRDefault="00587444" w:rsidP="00587444">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ind w:left="709"/>
        <w:jc w:val="both"/>
        <w:rPr>
          <w:rFonts w:ascii="Arial" w:eastAsia="SimSun" w:hAnsi="Arial" w:cs="Arial"/>
          <w:color w:val="000000"/>
          <w:sz w:val="20"/>
          <w:szCs w:val="20"/>
          <w:highlight w:val="yellow"/>
          <w:lang w:val="hr-HR" w:eastAsia="hr-HR"/>
        </w:rPr>
      </w:pPr>
    </w:p>
    <w:p w14:paraId="06C05D88"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1CD0D5A4"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12A0C701" w14:textId="09656156" w:rsidR="00587444" w:rsidRPr="00587444" w:rsidRDefault="00587444" w:rsidP="00587444">
      <w:pPr>
        <w:suppressAutoHyphens w:val="0"/>
        <w:autoSpaceDN/>
        <w:ind w:left="425" w:hanging="425"/>
        <w:jc w:val="both"/>
        <w:rPr>
          <w:rFonts w:ascii="Arial" w:eastAsia="Calibri" w:hAnsi="Arial" w:cs="Arial"/>
          <w:b/>
          <w:bCs/>
          <w:sz w:val="20"/>
          <w:szCs w:val="20"/>
        </w:rPr>
      </w:pPr>
      <w:r w:rsidRPr="00587444">
        <w:rPr>
          <w:rFonts w:ascii="Arial" w:eastAsia="Calibri" w:hAnsi="Arial" w:cs="Arial"/>
          <w:b/>
          <w:bCs/>
          <w:sz w:val="20"/>
          <w:szCs w:val="20"/>
        </w:rPr>
        <w:t>4.2. Adoption of new and amended International Financial Reporting Standards (“IFRS”) and Interpretations (continued)</w:t>
      </w:r>
    </w:p>
    <w:p w14:paraId="3CFF1D59" w14:textId="77777777" w:rsidR="00587444" w:rsidRPr="00587444" w:rsidRDefault="00587444" w:rsidP="00587444">
      <w:pPr>
        <w:suppressAutoHyphens w:val="0"/>
        <w:autoSpaceDN/>
        <w:jc w:val="both"/>
        <w:rPr>
          <w:rFonts w:ascii="Arial" w:hAnsi="Arial" w:cs="Arial"/>
          <w:b/>
          <w:bCs/>
          <w:sz w:val="20"/>
          <w:szCs w:val="20"/>
          <w:lang w:val="en"/>
        </w:rPr>
      </w:pPr>
    </w:p>
    <w:p w14:paraId="2215AAB6" w14:textId="77777777" w:rsidR="00587444" w:rsidRPr="00587444" w:rsidRDefault="00587444" w:rsidP="00587932">
      <w:pPr>
        <w:shd w:val="clear" w:color="auto" w:fill="FFFFFF"/>
        <w:autoSpaceDN/>
        <w:jc w:val="both"/>
        <w:rPr>
          <w:rFonts w:ascii="Arial" w:hAnsi="Arial" w:cs="Arial"/>
          <w:color w:val="3C4043"/>
          <w:sz w:val="20"/>
          <w:szCs w:val="20"/>
        </w:rPr>
      </w:pPr>
      <w:r w:rsidRPr="00587444">
        <w:rPr>
          <w:rFonts w:ascii="Arial" w:hAnsi="Arial" w:cs="Arial"/>
          <w:color w:val="3C4043"/>
          <w:sz w:val="20"/>
          <w:szCs w:val="20"/>
        </w:rPr>
        <w:t>HBOR Group is currently preparing for the application of IFRS Insurance Contracts, including amendments to IFRS 17 and initial application of IFRS 17 and IFRS 9 – comparative information (in effect in the EU from 1 January 2023).</w:t>
      </w:r>
    </w:p>
    <w:p w14:paraId="3442D79E" w14:textId="77777777" w:rsidR="00587444" w:rsidRPr="00587444" w:rsidRDefault="00587444" w:rsidP="00587932">
      <w:pPr>
        <w:shd w:val="clear" w:color="auto" w:fill="FFFFFF"/>
        <w:autoSpaceDN/>
        <w:jc w:val="both"/>
        <w:rPr>
          <w:rFonts w:ascii="Arial" w:hAnsi="Arial" w:cs="Arial"/>
          <w:color w:val="3C4043"/>
          <w:sz w:val="20"/>
          <w:szCs w:val="20"/>
        </w:rPr>
      </w:pPr>
    </w:p>
    <w:p w14:paraId="03569787" w14:textId="77777777" w:rsidR="00587444" w:rsidRPr="00587444" w:rsidRDefault="00587444" w:rsidP="00587932">
      <w:pPr>
        <w:shd w:val="clear" w:color="auto" w:fill="FFFFFF"/>
        <w:autoSpaceDN/>
        <w:jc w:val="both"/>
        <w:rPr>
          <w:rFonts w:ascii="Arial" w:hAnsi="Arial" w:cs="Arial"/>
          <w:color w:val="3C4043"/>
          <w:sz w:val="20"/>
          <w:szCs w:val="20"/>
        </w:rPr>
      </w:pPr>
      <w:r w:rsidRPr="00587444">
        <w:rPr>
          <w:rFonts w:ascii="Arial" w:hAnsi="Arial" w:cs="Arial"/>
          <w:color w:val="3C4043"/>
          <w:sz w:val="20"/>
          <w:szCs w:val="20"/>
        </w:rPr>
        <w:t xml:space="preserve">According to the assessment, the application of the new standards to the subsidiary will have the effect of a slight increase in the profit of the subsidiary, which will be </w:t>
      </w:r>
      <w:proofErr w:type="spellStart"/>
      <w:r w:rsidRPr="00587444">
        <w:rPr>
          <w:rFonts w:ascii="Arial" w:hAnsi="Arial" w:cs="Arial"/>
          <w:color w:val="3C4043"/>
          <w:sz w:val="20"/>
          <w:szCs w:val="20"/>
        </w:rPr>
        <w:t>recognised</w:t>
      </w:r>
      <w:proofErr w:type="spellEnd"/>
      <w:r w:rsidRPr="00587444">
        <w:rPr>
          <w:rFonts w:ascii="Arial" w:hAnsi="Arial" w:cs="Arial"/>
          <w:color w:val="3C4043"/>
          <w:sz w:val="20"/>
          <w:szCs w:val="20"/>
        </w:rPr>
        <w:t xml:space="preserve"> in retained earnings and reserves on 1 January 2023 and will not have a significant impact on the result of the HBOR Group due to non-material impact of the subsidiary.</w:t>
      </w:r>
    </w:p>
    <w:p w14:paraId="2BFFC254" w14:textId="77777777" w:rsidR="00587444" w:rsidRPr="00587444" w:rsidRDefault="00587444" w:rsidP="00587932">
      <w:pPr>
        <w:shd w:val="clear" w:color="auto" w:fill="FFFFFF"/>
        <w:autoSpaceDN/>
        <w:jc w:val="both"/>
        <w:rPr>
          <w:color w:val="3C4043"/>
        </w:rPr>
      </w:pPr>
    </w:p>
    <w:p w14:paraId="0DCED168" w14:textId="77777777" w:rsidR="00587444" w:rsidRPr="00587444" w:rsidRDefault="00587444" w:rsidP="00587932">
      <w:pPr>
        <w:shd w:val="clear" w:color="auto" w:fill="FFFFFF"/>
        <w:autoSpaceDN/>
        <w:jc w:val="both"/>
        <w:rPr>
          <w:rFonts w:ascii="Arial" w:hAnsi="Arial" w:cs="Arial"/>
          <w:b/>
          <w:bCs/>
          <w:i/>
          <w:iCs/>
          <w:sz w:val="20"/>
          <w:szCs w:val="20"/>
          <w:lang w:val="en"/>
        </w:rPr>
      </w:pPr>
      <w:r w:rsidRPr="00587444">
        <w:rPr>
          <w:rFonts w:ascii="Arial" w:hAnsi="Arial" w:cs="Arial"/>
          <w:b/>
          <w:bCs/>
          <w:i/>
          <w:iCs/>
          <w:sz w:val="20"/>
          <w:szCs w:val="20"/>
          <w:lang w:val="en"/>
        </w:rPr>
        <w:t>New standards and amendments to existing standards published by the IASB, but not yet adopted in the European Union</w:t>
      </w:r>
    </w:p>
    <w:p w14:paraId="524441CC" w14:textId="77777777" w:rsidR="00587444" w:rsidRPr="00587444" w:rsidRDefault="00587444" w:rsidP="00587932">
      <w:pPr>
        <w:shd w:val="clear" w:color="auto" w:fill="FFFFFF"/>
        <w:autoSpaceDN/>
        <w:rPr>
          <w:rFonts w:ascii="Arial" w:hAnsi="Arial" w:cs="Arial"/>
          <w:sz w:val="20"/>
          <w:szCs w:val="20"/>
        </w:rPr>
      </w:pPr>
      <w:r w:rsidRPr="00587444">
        <w:rPr>
          <w:rFonts w:ascii="Arial" w:hAnsi="Arial" w:cs="Arial"/>
          <w:vanish/>
          <w:color w:val="202124"/>
          <w:sz w:val="20"/>
          <w:szCs w:val="20"/>
          <w:lang w:val="en"/>
        </w:rPr>
        <w:t>-</w:t>
      </w:r>
    </w:p>
    <w:p w14:paraId="1F9CFFBC" w14:textId="77777777" w:rsidR="00587444" w:rsidRPr="00587444" w:rsidRDefault="00587444" w:rsidP="00587932">
      <w:pPr>
        <w:shd w:val="clear" w:color="auto" w:fill="FFFFFF"/>
        <w:autoSpaceDN/>
        <w:jc w:val="both"/>
        <w:rPr>
          <w:rFonts w:ascii="Arial" w:hAnsi="Arial" w:cs="Arial"/>
          <w:sz w:val="20"/>
          <w:szCs w:val="20"/>
        </w:rPr>
      </w:pPr>
      <w:r w:rsidRPr="00587444">
        <w:rPr>
          <w:rFonts w:ascii="Arial" w:hAnsi="Arial" w:cs="Arial"/>
          <w:sz w:val="20"/>
          <w:szCs w:val="20"/>
        </w:rPr>
        <w:t>IFRS currently adopted in the European Union do not differ significantly from the regulations adopted by the International Accounting Standards Board (IASB), except for the following new standards and amendments to existing standards, the adoption of which the European Union on 31 December 2022 has not yet decided (the effective dates set out below refer to IFRSs issued by the IASB):</w:t>
      </w:r>
    </w:p>
    <w:p w14:paraId="650B93DB" w14:textId="77777777" w:rsidR="00587444" w:rsidRPr="00587444" w:rsidRDefault="00587444" w:rsidP="00587932">
      <w:pPr>
        <w:numPr>
          <w:ilvl w:val="0"/>
          <w:numId w:val="30"/>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ind w:left="709" w:hanging="283"/>
        <w:jc w:val="both"/>
        <w:rPr>
          <w:rFonts w:ascii="Arial" w:eastAsia="SimSun" w:hAnsi="Arial" w:cs="Arial"/>
          <w:sz w:val="20"/>
          <w:szCs w:val="20"/>
          <w:lang w:val="en-GB" w:eastAsia="hr-HR"/>
        </w:rPr>
      </w:pPr>
      <w:r w:rsidRPr="00587444">
        <w:rPr>
          <w:rFonts w:ascii="Arial" w:eastAsia="SimSun" w:hAnsi="Arial" w:cs="Arial"/>
          <w:sz w:val="20"/>
          <w:szCs w:val="20"/>
          <w:lang w:val="en-GB" w:eastAsia="hr-HR"/>
        </w:rPr>
        <w:t xml:space="preserve">Amendments to IFRS 16 Leases: Lease obligation in case of sale with leaseback (effective for annual periods beginning on or after 1 January 2024);IFRS 17 – Insurance Contracts and amendments to IFRS 17 (effective for annual periods beginning on or after 1 January 2023); </w:t>
      </w:r>
    </w:p>
    <w:p w14:paraId="08341A1E" w14:textId="77777777" w:rsidR="00587444" w:rsidRPr="00587444" w:rsidRDefault="00587444" w:rsidP="00587932">
      <w:pPr>
        <w:numPr>
          <w:ilvl w:val="0"/>
          <w:numId w:val="30"/>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ind w:left="709" w:hanging="283"/>
        <w:jc w:val="both"/>
        <w:rPr>
          <w:rFonts w:ascii="Arial" w:eastAsia="SimSun" w:hAnsi="Arial" w:cs="Arial"/>
          <w:sz w:val="20"/>
          <w:szCs w:val="20"/>
          <w:lang w:val="en-GB" w:eastAsia="hr-HR"/>
        </w:rPr>
      </w:pPr>
      <w:r w:rsidRPr="00587444">
        <w:rPr>
          <w:rFonts w:ascii="Arial" w:eastAsia="SimSun" w:hAnsi="Arial" w:cs="Arial"/>
          <w:sz w:val="20"/>
          <w:szCs w:val="20"/>
          <w:lang w:val="en-GB" w:eastAsia="hr-HR"/>
        </w:rPr>
        <w:t>Amendments to IAS 1 Presentation of Financial Statements (amendment – Classification of Liabilities as Current or Non-current) (effective for annual periods beginning on or after 1 January 2024);</w:t>
      </w:r>
    </w:p>
    <w:p w14:paraId="51DAB768" w14:textId="77777777" w:rsidR="00587444" w:rsidRPr="00587444" w:rsidRDefault="00587444" w:rsidP="00587932">
      <w:pPr>
        <w:numPr>
          <w:ilvl w:val="0"/>
          <w:numId w:val="30"/>
        </w:num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ind w:left="709" w:hanging="283"/>
        <w:jc w:val="both"/>
        <w:rPr>
          <w:rFonts w:ascii="Arial" w:eastAsia="SimSun" w:hAnsi="Arial" w:cs="Arial"/>
          <w:sz w:val="20"/>
          <w:szCs w:val="20"/>
          <w:lang w:val="en-GB" w:eastAsia="hr-HR"/>
        </w:rPr>
      </w:pPr>
      <w:r w:rsidRPr="00587444">
        <w:rPr>
          <w:rFonts w:ascii="Arial" w:eastAsia="SimSun" w:hAnsi="Arial" w:cs="Arial"/>
          <w:sz w:val="20"/>
          <w:szCs w:val="20"/>
          <w:lang w:val="en-GB" w:eastAsia="hr-HR"/>
        </w:rPr>
        <w:t>Amendments to IAS 1 Presentation of Financial Statements (amendment – Non-current liabilities with Covenants) (effective for annual periods beginning on or after 1 January 2024).</w:t>
      </w:r>
    </w:p>
    <w:p w14:paraId="4EBAE7B3" w14:textId="77777777" w:rsidR="00587444" w:rsidRPr="00587444" w:rsidRDefault="00587444" w:rsidP="00587932">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ind w:left="709"/>
        <w:jc w:val="both"/>
        <w:rPr>
          <w:rFonts w:ascii="Arial" w:eastAsia="SimSun" w:hAnsi="Arial" w:cs="Arial"/>
          <w:sz w:val="20"/>
          <w:szCs w:val="20"/>
          <w:lang w:val="hr-HR" w:eastAsia="hr-HR"/>
        </w:rPr>
      </w:pPr>
    </w:p>
    <w:p w14:paraId="281A3793" w14:textId="77777777" w:rsidR="00F36511" w:rsidRDefault="00587444" w:rsidP="00587932">
      <w:pPr>
        <w:shd w:val="clear" w:color="auto" w:fill="FFFFFF"/>
        <w:autoSpaceDN/>
        <w:rPr>
          <w:rFonts w:ascii="Arial" w:hAnsi="Arial" w:cs="Arial"/>
          <w:sz w:val="20"/>
          <w:szCs w:val="20"/>
        </w:rPr>
      </w:pPr>
      <w:r w:rsidRPr="00587444">
        <w:rPr>
          <w:rFonts w:ascii="Arial" w:hAnsi="Arial" w:cs="Arial"/>
          <w:sz w:val="20"/>
          <w:szCs w:val="20"/>
        </w:rPr>
        <w:t>Group expects that the adoption of the following new standards and amendments to existing standards</w:t>
      </w:r>
    </w:p>
    <w:p w14:paraId="73578C79" w14:textId="10D2B8A7" w:rsidR="00587444" w:rsidRPr="00587444" w:rsidRDefault="00587444" w:rsidP="00587932">
      <w:pPr>
        <w:shd w:val="clear" w:color="auto" w:fill="FFFFFF"/>
        <w:autoSpaceDN/>
        <w:rPr>
          <w:rFonts w:ascii="Arial" w:hAnsi="Arial" w:cs="Arial"/>
          <w:sz w:val="20"/>
          <w:szCs w:val="20"/>
        </w:rPr>
        <w:sectPr w:rsidR="00587444" w:rsidRPr="00587444" w:rsidSect="00DD69E7">
          <w:pgSz w:w="11907" w:h="16840" w:code="9"/>
          <w:pgMar w:top="1418" w:right="1134" w:bottom="1134" w:left="1418" w:header="851" w:footer="851" w:gutter="0"/>
          <w:cols w:space="720"/>
          <w:noEndnote/>
        </w:sectPr>
      </w:pPr>
      <w:r w:rsidRPr="00587444">
        <w:rPr>
          <w:rFonts w:ascii="Arial" w:hAnsi="Arial" w:cs="Arial"/>
          <w:sz w:val="20"/>
          <w:szCs w:val="20"/>
        </w:rPr>
        <w:t>will not lead to significant changes in the Group's financial statements.</w:t>
      </w:r>
    </w:p>
    <w:p w14:paraId="00B504FB" w14:textId="77777777" w:rsidR="00587444" w:rsidRPr="00587444" w:rsidRDefault="00587444" w:rsidP="00587444">
      <w:pPr>
        <w:tabs>
          <w:tab w:val="left" w:pos="567"/>
        </w:tabs>
        <w:suppressAutoHyphens w:val="0"/>
        <w:autoSpaceDN/>
        <w:jc w:val="both"/>
        <w:rPr>
          <w:rFonts w:ascii="Arial" w:hAnsi="Arial" w:cs="Arial"/>
          <w:b/>
          <w:sz w:val="20"/>
          <w:szCs w:val="20"/>
          <w:lang w:val="en-GB"/>
        </w:rPr>
      </w:pPr>
    </w:p>
    <w:p w14:paraId="3B8CD0F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bookmarkStart w:id="426" w:name="F15634947"/>
      <w:bookmarkStart w:id="427" w:name="para_42A_b"/>
      <w:bookmarkEnd w:id="426"/>
      <w:bookmarkEnd w:id="427"/>
      <w:r w:rsidRPr="00587444">
        <w:rPr>
          <w:rFonts w:ascii="Arial" w:hAnsi="Arial" w:cs="Arial"/>
          <w:b/>
          <w:bCs/>
          <w:sz w:val="20"/>
          <w:szCs w:val="20"/>
          <w:lang w:val="en-GB"/>
        </w:rPr>
        <w:t xml:space="preserve">5. </w:t>
      </w:r>
      <w:r w:rsidRPr="00587444">
        <w:rPr>
          <w:rFonts w:ascii="Arial" w:hAnsi="Arial" w:cs="Arial"/>
          <w:b/>
          <w:bCs/>
          <w:sz w:val="20"/>
          <w:szCs w:val="20"/>
          <w:lang w:val="en-GB"/>
        </w:rPr>
        <w:tab/>
        <w:t>Interest income calculated using the effective interest method</w:t>
      </w:r>
    </w:p>
    <w:p w14:paraId="2438C3DC" w14:textId="77777777" w:rsidR="00587444" w:rsidRPr="00587444" w:rsidRDefault="00587444" w:rsidP="00587444">
      <w:pPr>
        <w:suppressAutoHyphens w:val="0"/>
        <w:autoSpaceDN/>
        <w:rPr>
          <w:rFonts w:ascii="Arial" w:hAnsi="Arial" w:cs="Arial"/>
          <w:bCs/>
          <w:sz w:val="20"/>
          <w:szCs w:val="20"/>
          <w:lang w:val="en-GB"/>
        </w:rPr>
      </w:pPr>
    </w:p>
    <w:p w14:paraId="30BE9C19"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Interest income by borrowers:</w:t>
      </w:r>
    </w:p>
    <w:tbl>
      <w:tblPr>
        <w:tblW w:w="5081" w:type="pct"/>
        <w:tblLayout w:type="fixed"/>
        <w:tblLook w:val="0000" w:firstRow="0" w:lastRow="0" w:firstColumn="0" w:lastColumn="0" w:noHBand="0" w:noVBand="0"/>
      </w:tblPr>
      <w:tblGrid>
        <w:gridCol w:w="4230"/>
        <w:gridCol w:w="1375"/>
        <w:gridCol w:w="1377"/>
        <w:gridCol w:w="1375"/>
        <w:gridCol w:w="1369"/>
      </w:tblGrid>
      <w:tr w:rsidR="00587444" w:rsidRPr="00587444" w14:paraId="282C1930" w14:textId="77777777" w:rsidTr="00DD69E7">
        <w:trPr>
          <w:trHeight w:val="221"/>
        </w:trPr>
        <w:tc>
          <w:tcPr>
            <w:tcW w:w="2174" w:type="pct"/>
          </w:tcPr>
          <w:p w14:paraId="1B77485F" w14:textId="77777777" w:rsidR="00587444" w:rsidRPr="00587444" w:rsidRDefault="00587444" w:rsidP="00587444">
            <w:pPr>
              <w:tabs>
                <w:tab w:val="left" w:pos="-720"/>
              </w:tabs>
              <w:autoSpaceDN/>
              <w:ind w:right="4144"/>
              <w:jc w:val="right"/>
              <w:rPr>
                <w:rFonts w:ascii="Arial" w:hAnsi="Arial" w:cs="Arial"/>
                <w:sz w:val="20"/>
                <w:szCs w:val="20"/>
                <w:lang w:val="en-GB"/>
              </w:rPr>
            </w:pPr>
          </w:p>
        </w:tc>
        <w:tc>
          <w:tcPr>
            <w:tcW w:w="707" w:type="pct"/>
          </w:tcPr>
          <w:p w14:paraId="4A201D75"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p>
        </w:tc>
        <w:tc>
          <w:tcPr>
            <w:tcW w:w="708" w:type="pct"/>
          </w:tcPr>
          <w:p w14:paraId="4D16ED24"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bookmarkStart w:id="428" w:name="_Toc4057745"/>
            <w:r w:rsidRPr="00587444">
              <w:rPr>
                <w:rFonts w:ascii="Arial" w:hAnsi="Arial" w:cs="Arial"/>
                <w:b/>
                <w:sz w:val="20"/>
                <w:szCs w:val="20"/>
                <w:lang w:val="hr-HR"/>
              </w:rPr>
              <w:t>Group</w:t>
            </w:r>
            <w:bookmarkEnd w:id="428"/>
          </w:p>
        </w:tc>
        <w:tc>
          <w:tcPr>
            <w:tcW w:w="707" w:type="pct"/>
          </w:tcPr>
          <w:p w14:paraId="03945D8A"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p>
        </w:tc>
        <w:tc>
          <w:tcPr>
            <w:tcW w:w="704" w:type="pct"/>
          </w:tcPr>
          <w:p w14:paraId="6DD53A57"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bookmarkStart w:id="429" w:name="_Toc4057746"/>
            <w:r w:rsidRPr="00587444">
              <w:rPr>
                <w:rFonts w:ascii="Arial" w:hAnsi="Arial" w:cs="Arial"/>
                <w:b/>
                <w:sz w:val="20"/>
                <w:szCs w:val="20"/>
                <w:lang w:val="hr-HR"/>
              </w:rPr>
              <w:t>Bank</w:t>
            </w:r>
            <w:bookmarkEnd w:id="429"/>
          </w:p>
        </w:tc>
      </w:tr>
      <w:tr w:rsidR="00587444" w:rsidRPr="00587444" w14:paraId="016EAA0F" w14:textId="77777777" w:rsidTr="00DD69E7">
        <w:trPr>
          <w:trHeight w:val="298"/>
        </w:trPr>
        <w:tc>
          <w:tcPr>
            <w:tcW w:w="2174" w:type="pct"/>
          </w:tcPr>
          <w:p w14:paraId="3ECF0A66" w14:textId="77777777" w:rsidR="00587444" w:rsidRPr="00587444" w:rsidRDefault="00587444" w:rsidP="00587444">
            <w:pPr>
              <w:tabs>
                <w:tab w:val="left" w:pos="-720"/>
              </w:tabs>
              <w:autoSpaceDN/>
              <w:ind w:right="4144"/>
              <w:jc w:val="right"/>
              <w:rPr>
                <w:rFonts w:ascii="Arial" w:hAnsi="Arial" w:cs="Arial"/>
                <w:sz w:val="20"/>
                <w:szCs w:val="20"/>
                <w:lang w:val="en-GB"/>
              </w:rPr>
            </w:pPr>
          </w:p>
        </w:tc>
        <w:tc>
          <w:tcPr>
            <w:tcW w:w="707" w:type="pct"/>
            <w:vAlign w:val="bottom"/>
          </w:tcPr>
          <w:p w14:paraId="27CEBB3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708" w:type="pct"/>
            <w:vAlign w:val="bottom"/>
          </w:tcPr>
          <w:p w14:paraId="40F1878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2021</w:t>
            </w:r>
          </w:p>
        </w:tc>
        <w:tc>
          <w:tcPr>
            <w:tcW w:w="707" w:type="pct"/>
            <w:vAlign w:val="center"/>
          </w:tcPr>
          <w:p w14:paraId="0CE9D9C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704" w:type="pct"/>
            <w:vAlign w:val="center"/>
          </w:tcPr>
          <w:p w14:paraId="025491E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2021</w:t>
            </w:r>
          </w:p>
        </w:tc>
      </w:tr>
      <w:tr w:rsidR="00587444" w:rsidRPr="00587444" w14:paraId="5B6C1327" w14:textId="77777777" w:rsidTr="00DD69E7">
        <w:trPr>
          <w:trHeight w:val="183"/>
        </w:trPr>
        <w:tc>
          <w:tcPr>
            <w:tcW w:w="2174" w:type="pct"/>
          </w:tcPr>
          <w:p w14:paraId="0D7EB215" w14:textId="77777777" w:rsidR="00587444" w:rsidRPr="00587444" w:rsidRDefault="00587444" w:rsidP="00587444">
            <w:pPr>
              <w:tabs>
                <w:tab w:val="left" w:pos="-720"/>
              </w:tabs>
              <w:autoSpaceDN/>
              <w:ind w:right="4144"/>
              <w:jc w:val="right"/>
              <w:rPr>
                <w:rFonts w:ascii="Arial" w:hAnsi="Arial" w:cs="Arial"/>
                <w:sz w:val="20"/>
                <w:szCs w:val="20"/>
                <w:lang w:val="en-GB"/>
              </w:rPr>
            </w:pPr>
          </w:p>
        </w:tc>
        <w:tc>
          <w:tcPr>
            <w:tcW w:w="707" w:type="pct"/>
          </w:tcPr>
          <w:p w14:paraId="508295A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30" w:name="_Toc4057751"/>
            <w:r w:rsidRPr="00587444">
              <w:rPr>
                <w:rFonts w:ascii="Arial" w:hAnsi="Arial" w:cs="Arial"/>
                <w:b/>
                <w:sz w:val="20"/>
                <w:szCs w:val="20"/>
                <w:lang w:val="en-GB"/>
              </w:rPr>
              <w:t>HRK ‘000</w:t>
            </w:r>
            <w:bookmarkEnd w:id="430"/>
          </w:p>
        </w:tc>
        <w:tc>
          <w:tcPr>
            <w:tcW w:w="708" w:type="pct"/>
          </w:tcPr>
          <w:p w14:paraId="3CB51AE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31" w:name="_Toc4057752"/>
            <w:r w:rsidRPr="00587444">
              <w:rPr>
                <w:rFonts w:ascii="Arial" w:hAnsi="Arial" w:cs="Arial"/>
                <w:b/>
                <w:sz w:val="20"/>
                <w:szCs w:val="20"/>
                <w:lang w:val="en-GB"/>
              </w:rPr>
              <w:t>HRK ‘000</w:t>
            </w:r>
            <w:bookmarkEnd w:id="431"/>
          </w:p>
        </w:tc>
        <w:tc>
          <w:tcPr>
            <w:tcW w:w="707" w:type="pct"/>
          </w:tcPr>
          <w:p w14:paraId="0AD68C3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32" w:name="_Toc4057753"/>
            <w:r w:rsidRPr="00587444">
              <w:rPr>
                <w:rFonts w:ascii="Arial" w:hAnsi="Arial" w:cs="Arial"/>
                <w:b/>
                <w:sz w:val="20"/>
                <w:szCs w:val="20"/>
                <w:lang w:val="en-GB"/>
              </w:rPr>
              <w:t>HRK ‘000</w:t>
            </w:r>
            <w:bookmarkEnd w:id="432"/>
          </w:p>
        </w:tc>
        <w:tc>
          <w:tcPr>
            <w:tcW w:w="704" w:type="pct"/>
          </w:tcPr>
          <w:p w14:paraId="63CD70C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33" w:name="_Toc4057754"/>
            <w:r w:rsidRPr="00587444">
              <w:rPr>
                <w:rFonts w:ascii="Arial" w:hAnsi="Arial" w:cs="Arial"/>
                <w:b/>
                <w:sz w:val="20"/>
                <w:szCs w:val="20"/>
                <w:lang w:val="en-GB"/>
              </w:rPr>
              <w:t>HRK ‘000</w:t>
            </w:r>
            <w:bookmarkEnd w:id="433"/>
          </w:p>
        </w:tc>
      </w:tr>
      <w:tr w:rsidR="00587444" w:rsidRPr="00587444" w14:paraId="2D8764E8" w14:textId="77777777" w:rsidTr="00DD69E7">
        <w:trPr>
          <w:trHeight w:val="183"/>
        </w:trPr>
        <w:tc>
          <w:tcPr>
            <w:tcW w:w="2174" w:type="pct"/>
          </w:tcPr>
          <w:p w14:paraId="5C2793FC" w14:textId="77777777" w:rsidR="00587444" w:rsidRPr="00587444" w:rsidRDefault="00587444" w:rsidP="00587444">
            <w:pPr>
              <w:tabs>
                <w:tab w:val="left" w:pos="-720"/>
              </w:tabs>
              <w:autoSpaceDN/>
              <w:ind w:right="4144"/>
              <w:jc w:val="right"/>
              <w:rPr>
                <w:rFonts w:ascii="Arial" w:hAnsi="Arial" w:cs="Arial"/>
                <w:sz w:val="20"/>
                <w:szCs w:val="20"/>
                <w:lang w:val="en-GB"/>
              </w:rPr>
            </w:pPr>
          </w:p>
        </w:tc>
        <w:tc>
          <w:tcPr>
            <w:tcW w:w="707" w:type="pct"/>
          </w:tcPr>
          <w:p w14:paraId="75651C0F" w14:textId="77777777" w:rsidR="00587444" w:rsidRPr="00587444" w:rsidRDefault="00587444" w:rsidP="00587444">
            <w:pPr>
              <w:autoSpaceDN/>
              <w:jc w:val="right"/>
              <w:rPr>
                <w:rFonts w:ascii="Arial" w:hAnsi="Arial" w:cs="Arial"/>
                <w:b/>
                <w:sz w:val="20"/>
                <w:szCs w:val="20"/>
                <w:lang w:val="en-GB"/>
              </w:rPr>
            </w:pPr>
          </w:p>
        </w:tc>
        <w:tc>
          <w:tcPr>
            <w:tcW w:w="708" w:type="pct"/>
          </w:tcPr>
          <w:p w14:paraId="42F272C5" w14:textId="77777777" w:rsidR="00587444" w:rsidRPr="00587444" w:rsidRDefault="00587444" w:rsidP="00587444">
            <w:pPr>
              <w:autoSpaceDN/>
              <w:jc w:val="right"/>
              <w:rPr>
                <w:rFonts w:ascii="Arial" w:hAnsi="Arial" w:cs="Arial"/>
                <w:b/>
                <w:sz w:val="20"/>
                <w:szCs w:val="20"/>
                <w:lang w:val="en-GB"/>
              </w:rPr>
            </w:pPr>
          </w:p>
        </w:tc>
        <w:tc>
          <w:tcPr>
            <w:tcW w:w="707" w:type="pct"/>
          </w:tcPr>
          <w:p w14:paraId="6A29CB34" w14:textId="77777777" w:rsidR="00587444" w:rsidRPr="00587444" w:rsidRDefault="00587444" w:rsidP="00587444">
            <w:pPr>
              <w:autoSpaceDN/>
              <w:jc w:val="right"/>
              <w:rPr>
                <w:rFonts w:ascii="Arial" w:hAnsi="Arial" w:cs="Arial"/>
                <w:b/>
                <w:sz w:val="20"/>
                <w:szCs w:val="20"/>
                <w:lang w:val="en-GB"/>
              </w:rPr>
            </w:pPr>
          </w:p>
        </w:tc>
        <w:tc>
          <w:tcPr>
            <w:tcW w:w="704" w:type="pct"/>
          </w:tcPr>
          <w:p w14:paraId="60656959" w14:textId="77777777" w:rsidR="00587444" w:rsidRPr="00587444" w:rsidRDefault="00587444" w:rsidP="00587444">
            <w:pPr>
              <w:autoSpaceDN/>
              <w:jc w:val="right"/>
              <w:rPr>
                <w:rFonts w:ascii="Arial" w:hAnsi="Arial" w:cs="Arial"/>
                <w:b/>
                <w:sz w:val="20"/>
                <w:szCs w:val="20"/>
                <w:lang w:val="en-GB"/>
              </w:rPr>
            </w:pPr>
          </w:p>
        </w:tc>
      </w:tr>
      <w:tr w:rsidR="00587444" w:rsidRPr="00587444" w14:paraId="5A2299D9" w14:textId="77777777" w:rsidTr="00DD69E7">
        <w:trPr>
          <w:trHeight w:val="295"/>
        </w:trPr>
        <w:tc>
          <w:tcPr>
            <w:tcW w:w="2174" w:type="pct"/>
          </w:tcPr>
          <w:p w14:paraId="3E36EF80"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434" w:name="_Toc4057755"/>
            <w:r w:rsidRPr="00587444">
              <w:rPr>
                <w:rFonts w:ascii="Arial" w:hAnsi="Arial" w:cs="Arial"/>
                <w:sz w:val="20"/>
                <w:szCs w:val="20"/>
                <w:lang w:val="en-GB"/>
              </w:rPr>
              <w:t>Public sector</w:t>
            </w:r>
            <w:bookmarkEnd w:id="434"/>
          </w:p>
        </w:tc>
        <w:tc>
          <w:tcPr>
            <w:tcW w:w="707" w:type="pct"/>
            <w:tcBorders>
              <w:top w:val="nil"/>
              <w:left w:val="nil"/>
              <w:bottom w:val="nil"/>
              <w:right w:val="nil"/>
            </w:tcBorders>
            <w:shd w:val="clear" w:color="auto" w:fill="auto"/>
            <w:vAlign w:val="bottom"/>
          </w:tcPr>
          <w:p w14:paraId="5C8EC57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141,094 </w:t>
            </w:r>
          </w:p>
        </w:tc>
        <w:tc>
          <w:tcPr>
            <w:tcW w:w="708" w:type="pct"/>
            <w:tcBorders>
              <w:top w:val="nil"/>
              <w:left w:val="nil"/>
              <w:bottom w:val="nil"/>
              <w:right w:val="nil"/>
            </w:tcBorders>
            <w:shd w:val="clear" w:color="auto" w:fill="auto"/>
          </w:tcPr>
          <w:p w14:paraId="6C3A100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143,012</w:t>
            </w:r>
          </w:p>
        </w:tc>
        <w:tc>
          <w:tcPr>
            <w:tcW w:w="707" w:type="pct"/>
            <w:tcBorders>
              <w:top w:val="nil"/>
              <w:left w:val="nil"/>
              <w:bottom w:val="nil"/>
              <w:right w:val="nil"/>
            </w:tcBorders>
            <w:shd w:val="clear" w:color="auto" w:fill="auto"/>
            <w:vAlign w:val="bottom"/>
          </w:tcPr>
          <w:p w14:paraId="0A86371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139,792 </w:t>
            </w:r>
          </w:p>
        </w:tc>
        <w:tc>
          <w:tcPr>
            <w:tcW w:w="704" w:type="pct"/>
            <w:tcBorders>
              <w:top w:val="nil"/>
              <w:left w:val="nil"/>
              <w:bottom w:val="nil"/>
              <w:right w:val="nil"/>
            </w:tcBorders>
            <w:shd w:val="clear" w:color="auto" w:fill="auto"/>
          </w:tcPr>
          <w:p w14:paraId="59FD012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141,742</w:t>
            </w:r>
          </w:p>
        </w:tc>
      </w:tr>
      <w:tr w:rsidR="00587444" w:rsidRPr="00587444" w14:paraId="752D9E21" w14:textId="77777777" w:rsidTr="00DD69E7">
        <w:trPr>
          <w:trHeight w:val="295"/>
        </w:trPr>
        <w:tc>
          <w:tcPr>
            <w:tcW w:w="2174" w:type="pct"/>
          </w:tcPr>
          <w:p w14:paraId="7C7501C1"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435" w:name="_Toc4057760"/>
            <w:r w:rsidRPr="00587444">
              <w:rPr>
                <w:rFonts w:ascii="Arial" w:hAnsi="Arial" w:cs="Arial"/>
                <w:sz w:val="20"/>
                <w:szCs w:val="20"/>
                <w:lang w:val="en-GB"/>
              </w:rPr>
              <w:t>State-owned companies</w:t>
            </w:r>
            <w:bookmarkEnd w:id="435"/>
          </w:p>
        </w:tc>
        <w:tc>
          <w:tcPr>
            <w:tcW w:w="707" w:type="pct"/>
            <w:tcBorders>
              <w:top w:val="nil"/>
              <w:left w:val="nil"/>
              <w:bottom w:val="nil"/>
              <w:right w:val="nil"/>
            </w:tcBorders>
            <w:shd w:val="clear" w:color="auto" w:fill="auto"/>
            <w:vAlign w:val="bottom"/>
          </w:tcPr>
          <w:p w14:paraId="2FD146D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28,605 </w:t>
            </w:r>
          </w:p>
        </w:tc>
        <w:tc>
          <w:tcPr>
            <w:tcW w:w="708" w:type="pct"/>
            <w:tcBorders>
              <w:top w:val="nil"/>
              <w:left w:val="nil"/>
              <w:bottom w:val="nil"/>
              <w:right w:val="nil"/>
            </w:tcBorders>
            <w:shd w:val="clear" w:color="auto" w:fill="auto"/>
          </w:tcPr>
          <w:p w14:paraId="0A979E8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26,068</w:t>
            </w:r>
          </w:p>
        </w:tc>
        <w:tc>
          <w:tcPr>
            <w:tcW w:w="707" w:type="pct"/>
            <w:tcBorders>
              <w:top w:val="nil"/>
              <w:left w:val="nil"/>
              <w:bottom w:val="nil"/>
              <w:right w:val="nil"/>
            </w:tcBorders>
            <w:shd w:val="clear" w:color="auto" w:fill="auto"/>
            <w:vAlign w:val="bottom"/>
          </w:tcPr>
          <w:p w14:paraId="75A903D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28,605 </w:t>
            </w:r>
          </w:p>
        </w:tc>
        <w:tc>
          <w:tcPr>
            <w:tcW w:w="704" w:type="pct"/>
            <w:tcBorders>
              <w:top w:val="nil"/>
              <w:left w:val="nil"/>
              <w:bottom w:val="nil"/>
              <w:right w:val="nil"/>
            </w:tcBorders>
            <w:shd w:val="clear" w:color="auto" w:fill="auto"/>
          </w:tcPr>
          <w:p w14:paraId="70046F4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26,068</w:t>
            </w:r>
          </w:p>
        </w:tc>
      </w:tr>
      <w:tr w:rsidR="00587444" w:rsidRPr="00587444" w14:paraId="18AB8A71" w14:textId="77777777" w:rsidTr="00DD69E7">
        <w:trPr>
          <w:trHeight w:val="295"/>
        </w:trPr>
        <w:tc>
          <w:tcPr>
            <w:tcW w:w="2174" w:type="pct"/>
          </w:tcPr>
          <w:p w14:paraId="72183FC3"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436" w:name="_Toc4057765"/>
            <w:r w:rsidRPr="00587444">
              <w:rPr>
                <w:rFonts w:ascii="Arial" w:hAnsi="Arial" w:cs="Arial"/>
                <w:sz w:val="20"/>
                <w:szCs w:val="20"/>
                <w:lang w:val="en-GB"/>
              </w:rPr>
              <w:t>Foreign companies</w:t>
            </w:r>
            <w:bookmarkEnd w:id="436"/>
          </w:p>
        </w:tc>
        <w:tc>
          <w:tcPr>
            <w:tcW w:w="707" w:type="pct"/>
            <w:tcBorders>
              <w:top w:val="nil"/>
              <w:left w:val="nil"/>
              <w:bottom w:val="nil"/>
              <w:right w:val="nil"/>
            </w:tcBorders>
            <w:shd w:val="clear" w:color="auto" w:fill="auto"/>
            <w:vAlign w:val="bottom"/>
          </w:tcPr>
          <w:p w14:paraId="27530BB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9,761 </w:t>
            </w:r>
          </w:p>
        </w:tc>
        <w:tc>
          <w:tcPr>
            <w:tcW w:w="708" w:type="pct"/>
            <w:tcBorders>
              <w:top w:val="nil"/>
              <w:left w:val="nil"/>
              <w:bottom w:val="nil"/>
              <w:right w:val="nil"/>
            </w:tcBorders>
            <w:shd w:val="clear" w:color="auto" w:fill="auto"/>
          </w:tcPr>
          <w:p w14:paraId="37F4FFF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18,671</w:t>
            </w:r>
          </w:p>
        </w:tc>
        <w:tc>
          <w:tcPr>
            <w:tcW w:w="707" w:type="pct"/>
            <w:tcBorders>
              <w:top w:val="nil"/>
              <w:left w:val="nil"/>
              <w:bottom w:val="nil"/>
              <w:right w:val="nil"/>
            </w:tcBorders>
            <w:shd w:val="clear" w:color="auto" w:fill="auto"/>
            <w:vAlign w:val="bottom"/>
          </w:tcPr>
          <w:p w14:paraId="4D0B643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9,761 </w:t>
            </w:r>
          </w:p>
        </w:tc>
        <w:tc>
          <w:tcPr>
            <w:tcW w:w="704" w:type="pct"/>
            <w:tcBorders>
              <w:top w:val="nil"/>
              <w:left w:val="nil"/>
              <w:bottom w:val="nil"/>
              <w:right w:val="nil"/>
            </w:tcBorders>
            <w:shd w:val="clear" w:color="auto" w:fill="auto"/>
          </w:tcPr>
          <w:p w14:paraId="49107D8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18,671</w:t>
            </w:r>
          </w:p>
        </w:tc>
      </w:tr>
      <w:tr w:rsidR="00587444" w:rsidRPr="00587444" w14:paraId="27023D7D" w14:textId="77777777" w:rsidTr="00DD69E7">
        <w:trPr>
          <w:trHeight w:val="295"/>
        </w:trPr>
        <w:tc>
          <w:tcPr>
            <w:tcW w:w="2174" w:type="pct"/>
          </w:tcPr>
          <w:p w14:paraId="07EADCF5"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437" w:name="_Toc4057770"/>
            <w:r w:rsidRPr="00587444">
              <w:rPr>
                <w:rFonts w:ascii="Arial" w:hAnsi="Arial" w:cs="Arial"/>
                <w:sz w:val="20"/>
                <w:szCs w:val="20"/>
                <w:lang w:val="en-GB"/>
              </w:rPr>
              <w:t>Domestic companies</w:t>
            </w:r>
            <w:bookmarkEnd w:id="437"/>
          </w:p>
        </w:tc>
        <w:tc>
          <w:tcPr>
            <w:tcW w:w="707" w:type="pct"/>
            <w:tcBorders>
              <w:top w:val="nil"/>
              <w:left w:val="nil"/>
              <w:bottom w:val="nil"/>
              <w:right w:val="nil"/>
            </w:tcBorders>
            <w:shd w:val="clear" w:color="auto" w:fill="auto"/>
            <w:vAlign w:val="bottom"/>
          </w:tcPr>
          <w:p w14:paraId="582B568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317,539 </w:t>
            </w:r>
          </w:p>
        </w:tc>
        <w:tc>
          <w:tcPr>
            <w:tcW w:w="708" w:type="pct"/>
            <w:tcBorders>
              <w:top w:val="nil"/>
              <w:left w:val="nil"/>
              <w:bottom w:val="nil"/>
              <w:right w:val="nil"/>
            </w:tcBorders>
            <w:shd w:val="clear" w:color="auto" w:fill="auto"/>
          </w:tcPr>
          <w:p w14:paraId="11A45E3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312,150</w:t>
            </w:r>
          </w:p>
        </w:tc>
        <w:tc>
          <w:tcPr>
            <w:tcW w:w="707" w:type="pct"/>
            <w:tcBorders>
              <w:top w:val="nil"/>
              <w:left w:val="nil"/>
              <w:bottom w:val="nil"/>
              <w:right w:val="nil"/>
            </w:tcBorders>
            <w:shd w:val="clear" w:color="auto" w:fill="auto"/>
            <w:vAlign w:val="bottom"/>
          </w:tcPr>
          <w:p w14:paraId="69BFAC5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317,539 </w:t>
            </w:r>
          </w:p>
        </w:tc>
        <w:tc>
          <w:tcPr>
            <w:tcW w:w="704" w:type="pct"/>
            <w:tcBorders>
              <w:top w:val="nil"/>
              <w:left w:val="nil"/>
              <w:bottom w:val="nil"/>
              <w:right w:val="nil"/>
            </w:tcBorders>
            <w:shd w:val="clear" w:color="auto" w:fill="auto"/>
          </w:tcPr>
          <w:p w14:paraId="7943543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312,150</w:t>
            </w:r>
          </w:p>
        </w:tc>
      </w:tr>
      <w:tr w:rsidR="00587444" w:rsidRPr="00587444" w14:paraId="05024730" w14:textId="77777777" w:rsidTr="00DD69E7">
        <w:trPr>
          <w:trHeight w:val="295"/>
        </w:trPr>
        <w:tc>
          <w:tcPr>
            <w:tcW w:w="2174" w:type="pct"/>
          </w:tcPr>
          <w:p w14:paraId="1BFD9BC9"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438" w:name="_Toc4057775"/>
            <w:r w:rsidRPr="00587444">
              <w:rPr>
                <w:rFonts w:ascii="Arial" w:hAnsi="Arial" w:cs="Arial"/>
                <w:sz w:val="20"/>
                <w:szCs w:val="20"/>
                <w:lang w:val="en-GB"/>
              </w:rPr>
              <w:t>Domestic financial institutions</w:t>
            </w:r>
            <w:bookmarkEnd w:id="438"/>
          </w:p>
        </w:tc>
        <w:tc>
          <w:tcPr>
            <w:tcW w:w="707" w:type="pct"/>
            <w:tcBorders>
              <w:top w:val="nil"/>
              <w:left w:val="nil"/>
              <w:bottom w:val="nil"/>
              <w:right w:val="nil"/>
            </w:tcBorders>
            <w:shd w:val="clear" w:color="auto" w:fill="auto"/>
            <w:vAlign w:val="bottom"/>
          </w:tcPr>
          <w:p w14:paraId="6B4E2A6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82,211 </w:t>
            </w:r>
          </w:p>
        </w:tc>
        <w:tc>
          <w:tcPr>
            <w:tcW w:w="708" w:type="pct"/>
            <w:tcBorders>
              <w:top w:val="nil"/>
              <w:left w:val="nil"/>
              <w:bottom w:val="nil"/>
              <w:right w:val="nil"/>
            </w:tcBorders>
            <w:shd w:val="clear" w:color="auto" w:fill="auto"/>
          </w:tcPr>
          <w:p w14:paraId="30BDE76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116,437</w:t>
            </w:r>
          </w:p>
        </w:tc>
        <w:tc>
          <w:tcPr>
            <w:tcW w:w="707" w:type="pct"/>
            <w:tcBorders>
              <w:top w:val="nil"/>
              <w:left w:val="nil"/>
              <w:bottom w:val="nil"/>
              <w:right w:val="nil"/>
            </w:tcBorders>
            <w:shd w:val="clear" w:color="auto" w:fill="auto"/>
            <w:vAlign w:val="bottom"/>
          </w:tcPr>
          <w:p w14:paraId="0063D5A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82,201 </w:t>
            </w:r>
          </w:p>
        </w:tc>
        <w:tc>
          <w:tcPr>
            <w:tcW w:w="704" w:type="pct"/>
            <w:tcBorders>
              <w:top w:val="nil"/>
              <w:left w:val="nil"/>
              <w:bottom w:val="nil"/>
              <w:right w:val="nil"/>
            </w:tcBorders>
            <w:shd w:val="clear" w:color="auto" w:fill="auto"/>
          </w:tcPr>
          <w:p w14:paraId="1108431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116,437</w:t>
            </w:r>
          </w:p>
        </w:tc>
      </w:tr>
      <w:tr w:rsidR="00587444" w:rsidRPr="00587444" w14:paraId="7F165F99" w14:textId="77777777" w:rsidTr="00DD69E7">
        <w:trPr>
          <w:trHeight w:val="295"/>
        </w:trPr>
        <w:tc>
          <w:tcPr>
            <w:tcW w:w="2174" w:type="pct"/>
          </w:tcPr>
          <w:p w14:paraId="4371B404"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439" w:name="_Toc4057780"/>
            <w:r w:rsidRPr="00587444">
              <w:rPr>
                <w:rFonts w:ascii="Arial" w:hAnsi="Arial" w:cs="Arial"/>
                <w:sz w:val="20"/>
                <w:szCs w:val="20"/>
                <w:lang w:val="en-GB"/>
              </w:rPr>
              <w:t>Foreign financial institutions</w:t>
            </w:r>
            <w:bookmarkEnd w:id="439"/>
          </w:p>
        </w:tc>
        <w:tc>
          <w:tcPr>
            <w:tcW w:w="707" w:type="pct"/>
            <w:tcBorders>
              <w:top w:val="nil"/>
              <w:left w:val="nil"/>
              <w:bottom w:val="nil"/>
              <w:right w:val="nil"/>
            </w:tcBorders>
            <w:shd w:val="clear" w:color="auto" w:fill="auto"/>
            <w:vAlign w:val="bottom"/>
          </w:tcPr>
          <w:p w14:paraId="7C13D69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366 </w:t>
            </w:r>
          </w:p>
        </w:tc>
        <w:tc>
          <w:tcPr>
            <w:tcW w:w="708" w:type="pct"/>
            <w:tcBorders>
              <w:top w:val="nil"/>
              <w:left w:val="nil"/>
              <w:bottom w:val="nil"/>
              <w:right w:val="nil"/>
            </w:tcBorders>
            <w:shd w:val="clear" w:color="auto" w:fill="auto"/>
          </w:tcPr>
          <w:p w14:paraId="201C932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1,817</w:t>
            </w:r>
          </w:p>
        </w:tc>
        <w:tc>
          <w:tcPr>
            <w:tcW w:w="707" w:type="pct"/>
            <w:tcBorders>
              <w:top w:val="nil"/>
              <w:left w:val="nil"/>
              <w:bottom w:val="nil"/>
              <w:right w:val="nil"/>
            </w:tcBorders>
            <w:shd w:val="clear" w:color="auto" w:fill="auto"/>
            <w:vAlign w:val="bottom"/>
          </w:tcPr>
          <w:p w14:paraId="03455A6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366 </w:t>
            </w:r>
          </w:p>
        </w:tc>
        <w:tc>
          <w:tcPr>
            <w:tcW w:w="704" w:type="pct"/>
            <w:tcBorders>
              <w:top w:val="nil"/>
              <w:left w:val="nil"/>
              <w:bottom w:val="nil"/>
              <w:right w:val="nil"/>
            </w:tcBorders>
            <w:shd w:val="clear" w:color="auto" w:fill="auto"/>
          </w:tcPr>
          <w:p w14:paraId="16A97C6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1,817</w:t>
            </w:r>
          </w:p>
        </w:tc>
      </w:tr>
      <w:tr w:rsidR="00587444" w:rsidRPr="00587444" w14:paraId="2C90786F" w14:textId="77777777" w:rsidTr="00DD69E7">
        <w:trPr>
          <w:trHeight w:val="295"/>
        </w:trPr>
        <w:tc>
          <w:tcPr>
            <w:tcW w:w="2174" w:type="pct"/>
          </w:tcPr>
          <w:p w14:paraId="185E5BCF"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440" w:name="_Toc4057785"/>
            <w:r w:rsidRPr="00587444">
              <w:rPr>
                <w:rFonts w:ascii="Arial" w:hAnsi="Arial" w:cs="Arial"/>
                <w:sz w:val="20"/>
                <w:szCs w:val="20"/>
                <w:lang w:val="en-GB"/>
              </w:rPr>
              <w:t>Penalty interest</w:t>
            </w:r>
            <w:bookmarkEnd w:id="440"/>
          </w:p>
        </w:tc>
        <w:tc>
          <w:tcPr>
            <w:tcW w:w="707" w:type="pct"/>
            <w:tcBorders>
              <w:top w:val="nil"/>
              <w:left w:val="nil"/>
              <w:bottom w:val="nil"/>
              <w:right w:val="nil"/>
            </w:tcBorders>
            <w:shd w:val="clear" w:color="auto" w:fill="auto"/>
            <w:vAlign w:val="bottom"/>
          </w:tcPr>
          <w:p w14:paraId="76F4C4F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35,742 </w:t>
            </w:r>
          </w:p>
        </w:tc>
        <w:tc>
          <w:tcPr>
            <w:tcW w:w="708" w:type="pct"/>
            <w:tcBorders>
              <w:top w:val="nil"/>
              <w:left w:val="nil"/>
              <w:bottom w:val="nil"/>
              <w:right w:val="nil"/>
            </w:tcBorders>
            <w:shd w:val="clear" w:color="auto" w:fill="auto"/>
          </w:tcPr>
          <w:p w14:paraId="27358E2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42,576</w:t>
            </w:r>
          </w:p>
        </w:tc>
        <w:tc>
          <w:tcPr>
            <w:tcW w:w="707" w:type="pct"/>
            <w:tcBorders>
              <w:top w:val="nil"/>
              <w:left w:val="nil"/>
              <w:bottom w:val="nil"/>
              <w:right w:val="nil"/>
            </w:tcBorders>
            <w:shd w:val="clear" w:color="auto" w:fill="auto"/>
            <w:vAlign w:val="bottom"/>
          </w:tcPr>
          <w:p w14:paraId="4C9C28C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35,742 </w:t>
            </w:r>
          </w:p>
        </w:tc>
        <w:tc>
          <w:tcPr>
            <w:tcW w:w="704" w:type="pct"/>
            <w:tcBorders>
              <w:top w:val="nil"/>
              <w:left w:val="nil"/>
              <w:bottom w:val="nil"/>
              <w:right w:val="nil"/>
            </w:tcBorders>
            <w:shd w:val="clear" w:color="auto" w:fill="auto"/>
          </w:tcPr>
          <w:p w14:paraId="1DD5C26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42,576</w:t>
            </w:r>
          </w:p>
        </w:tc>
      </w:tr>
      <w:tr w:rsidR="00587444" w:rsidRPr="00587444" w14:paraId="6B3E2776" w14:textId="77777777" w:rsidTr="00DD69E7">
        <w:trPr>
          <w:trHeight w:val="295"/>
        </w:trPr>
        <w:tc>
          <w:tcPr>
            <w:tcW w:w="2174" w:type="pct"/>
          </w:tcPr>
          <w:p w14:paraId="3D6913F0"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441" w:name="_Toc4057790"/>
            <w:r w:rsidRPr="00587444">
              <w:rPr>
                <w:rFonts w:ascii="Arial" w:hAnsi="Arial" w:cs="Arial"/>
                <w:sz w:val="20"/>
                <w:szCs w:val="20"/>
                <w:lang w:val="en-GB"/>
              </w:rPr>
              <w:t>Other</w:t>
            </w:r>
            <w:bookmarkEnd w:id="441"/>
          </w:p>
        </w:tc>
        <w:tc>
          <w:tcPr>
            <w:tcW w:w="707" w:type="pct"/>
            <w:tcBorders>
              <w:top w:val="nil"/>
              <w:left w:val="nil"/>
              <w:bottom w:val="single" w:sz="4" w:space="0" w:color="auto"/>
              <w:right w:val="nil"/>
            </w:tcBorders>
            <w:shd w:val="clear" w:color="auto" w:fill="auto"/>
            <w:vAlign w:val="bottom"/>
          </w:tcPr>
          <w:p w14:paraId="032EC15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13,875 </w:t>
            </w:r>
          </w:p>
        </w:tc>
        <w:tc>
          <w:tcPr>
            <w:tcW w:w="708" w:type="pct"/>
            <w:tcBorders>
              <w:top w:val="nil"/>
              <w:left w:val="nil"/>
              <w:bottom w:val="single" w:sz="4" w:space="0" w:color="auto"/>
              <w:right w:val="nil"/>
            </w:tcBorders>
            <w:shd w:val="clear" w:color="auto" w:fill="auto"/>
            <w:vAlign w:val="bottom"/>
          </w:tcPr>
          <w:p w14:paraId="33BB262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16,706</w:t>
            </w:r>
          </w:p>
        </w:tc>
        <w:tc>
          <w:tcPr>
            <w:tcW w:w="707" w:type="pct"/>
            <w:tcBorders>
              <w:top w:val="nil"/>
              <w:left w:val="nil"/>
              <w:bottom w:val="single" w:sz="4" w:space="0" w:color="auto"/>
              <w:right w:val="nil"/>
            </w:tcBorders>
            <w:shd w:val="clear" w:color="auto" w:fill="auto"/>
            <w:vAlign w:val="bottom"/>
          </w:tcPr>
          <w:p w14:paraId="2DB47FD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13,875 </w:t>
            </w:r>
          </w:p>
        </w:tc>
        <w:tc>
          <w:tcPr>
            <w:tcW w:w="704" w:type="pct"/>
            <w:tcBorders>
              <w:top w:val="nil"/>
              <w:left w:val="nil"/>
              <w:bottom w:val="single" w:sz="4" w:space="0" w:color="auto"/>
              <w:right w:val="nil"/>
            </w:tcBorders>
            <w:shd w:val="clear" w:color="auto" w:fill="auto"/>
            <w:vAlign w:val="bottom"/>
          </w:tcPr>
          <w:p w14:paraId="00983BE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16,706</w:t>
            </w:r>
          </w:p>
        </w:tc>
      </w:tr>
      <w:tr w:rsidR="00587444" w:rsidRPr="00587444" w14:paraId="4CB42CED" w14:textId="77777777" w:rsidTr="00DD69E7">
        <w:trPr>
          <w:trHeight w:val="332"/>
        </w:trPr>
        <w:tc>
          <w:tcPr>
            <w:tcW w:w="2174" w:type="pct"/>
          </w:tcPr>
          <w:p w14:paraId="4A7CDC51"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p>
        </w:tc>
        <w:tc>
          <w:tcPr>
            <w:tcW w:w="707" w:type="pct"/>
            <w:tcBorders>
              <w:top w:val="single" w:sz="4" w:space="0" w:color="auto"/>
              <w:bottom w:val="single" w:sz="12" w:space="0" w:color="auto"/>
            </w:tcBorders>
            <w:vAlign w:val="bottom"/>
          </w:tcPr>
          <w:p w14:paraId="331CFDF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629,193</w:t>
            </w:r>
          </w:p>
        </w:tc>
        <w:tc>
          <w:tcPr>
            <w:tcW w:w="708" w:type="pct"/>
            <w:tcBorders>
              <w:top w:val="single" w:sz="4" w:space="0" w:color="auto"/>
              <w:bottom w:val="single" w:sz="12" w:space="0" w:color="auto"/>
            </w:tcBorders>
          </w:tcPr>
          <w:p w14:paraId="7A4703AE"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677,437</w:t>
            </w:r>
          </w:p>
        </w:tc>
        <w:tc>
          <w:tcPr>
            <w:tcW w:w="707" w:type="pct"/>
            <w:tcBorders>
              <w:top w:val="single" w:sz="4" w:space="0" w:color="auto"/>
              <w:bottom w:val="single" w:sz="12" w:space="0" w:color="auto"/>
            </w:tcBorders>
            <w:vAlign w:val="bottom"/>
          </w:tcPr>
          <w:p w14:paraId="1165111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627,881</w:t>
            </w:r>
          </w:p>
        </w:tc>
        <w:tc>
          <w:tcPr>
            <w:tcW w:w="704" w:type="pct"/>
            <w:tcBorders>
              <w:top w:val="single" w:sz="4" w:space="0" w:color="auto"/>
              <w:bottom w:val="single" w:sz="12" w:space="0" w:color="auto"/>
            </w:tcBorders>
          </w:tcPr>
          <w:p w14:paraId="6D4D61F7"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676,167</w:t>
            </w:r>
          </w:p>
        </w:tc>
      </w:tr>
    </w:tbl>
    <w:p w14:paraId="372C6507" w14:textId="77777777" w:rsidR="00587444" w:rsidRPr="00587444" w:rsidRDefault="00587444" w:rsidP="00587444">
      <w:pPr>
        <w:keepNext/>
        <w:suppressAutoHyphens w:val="0"/>
        <w:autoSpaceDN/>
        <w:jc w:val="both"/>
        <w:rPr>
          <w:rFonts w:ascii="Arial" w:hAnsi="Arial" w:cs="Arial"/>
          <w:sz w:val="20"/>
          <w:szCs w:val="20"/>
          <w:lang w:val="en-GB"/>
        </w:rPr>
      </w:pPr>
    </w:p>
    <w:p w14:paraId="3D2C8AB8"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Interest income by type of facility:</w:t>
      </w:r>
    </w:p>
    <w:tbl>
      <w:tblPr>
        <w:tblW w:w="5115" w:type="pct"/>
        <w:tblLayout w:type="fixed"/>
        <w:tblCellMar>
          <w:left w:w="122" w:type="dxa"/>
          <w:right w:w="122" w:type="dxa"/>
        </w:tblCellMar>
        <w:tblLook w:val="0000" w:firstRow="0" w:lastRow="0" w:firstColumn="0" w:lastColumn="0" w:noHBand="0" w:noVBand="0"/>
      </w:tblPr>
      <w:tblGrid>
        <w:gridCol w:w="4265"/>
        <w:gridCol w:w="1388"/>
        <w:gridCol w:w="1389"/>
        <w:gridCol w:w="1389"/>
        <w:gridCol w:w="1389"/>
      </w:tblGrid>
      <w:tr w:rsidR="00587444" w:rsidRPr="00587444" w14:paraId="5D6496C9" w14:textId="77777777" w:rsidTr="00DD69E7">
        <w:trPr>
          <w:trHeight w:val="125"/>
        </w:trPr>
        <w:tc>
          <w:tcPr>
            <w:tcW w:w="2172" w:type="pct"/>
          </w:tcPr>
          <w:p w14:paraId="70D29220" w14:textId="77777777" w:rsidR="00587444" w:rsidRPr="00587444" w:rsidRDefault="00587444" w:rsidP="00587444">
            <w:pPr>
              <w:tabs>
                <w:tab w:val="left" w:pos="-720"/>
              </w:tabs>
              <w:autoSpaceDN/>
              <w:jc w:val="right"/>
              <w:rPr>
                <w:rFonts w:ascii="Arial" w:hAnsi="Arial" w:cs="Arial"/>
                <w:spacing w:val="-3"/>
                <w:sz w:val="20"/>
                <w:szCs w:val="20"/>
                <w:lang w:val="en-GB"/>
              </w:rPr>
            </w:pPr>
          </w:p>
        </w:tc>
        <w:tc>
          <w:tcPr>
            <w:tcW w:w="707" w:type="pct"/>
          </w:tcPr>
          <w:p w14:paraId="593CDB4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7" w:type="pct"/>
          </w:tcPr>
          <w:p w14:paraId="0EB5CE4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42" w:name="_Toc4057799"/>
            <w:r w:rsidRPr="00587444">
              <w:rPr>
                <w:rFonts w:ascii="Arial" w:hAnsi="Arial" w:cs="Arial"/>
                <w:b/>
                <w:sz w:val="20"/>
                <w:szCs w:val="20"/>
                <w:lang w:val="hr-HR"/>
              </w:rPr>
              <w:t>Group</w:t>
            </w:r>
            <w:bookmarkEnd w:id="442"/>
          </w:p>
        </w:tc>
        <w:tc>
          <w:tcPr>
            <w:tcW w:w="707" w:type="pct"/>
          </w:tcPr>
          <w:p w14:paraId="6FB6265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7" w:type="pct"/>
          </w:tcPr>
          <w:p w14:paraId="39E9E78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43" w:name="_Toc4057800"/>
            <w:r w:rsidRPr="00587444">
              <w:rPr>
                <w:rFonts w:ascii="Arial" w:hAnsi="Arial" w:cs="Arial"/>
                <w:b/>
                <w:sz w:val="20"/>
                <w:szCs w:val="20"/>
                <w:lang w:val="hr-HR"/>
              </w:rPr>
              <w:t>Bank</w:t>
            </w:r>
            <w:bookmarkEnd w:id="443"/>
          </w:p>
        </w:tc>
      </w:tr>
      <w:tr w:rsidR="00587444" w:rsidRPr="00587444" w14:paraId="6374AC98" w14:textId="77777777" w:rsidTr="00DD69E7">
        <w:trPr>
          <w:trHeight w:val="219"/>
        </w:trPr>
        <w:tc>
          <w:tcPr>
            <w:tcW w:w="2172" w:type="pct"/>
          </w:tcPr>
          <w:p w14:paraId="76F98E4F" w14:textId="77777777" w:rsidR="00587444" w:rsidRPr="00587444" w:rsidRDefault="00587444" w:rsidP="00587444">
            <w:pPr>
              <w:tabs>
                <w:tab w:val="left" w:pos="-720"/>
              </w:tabs>
              <w:autoSpaceDN/>
              <w:jc w:val="right"/>
              <w:rPr>
                <w:rFonts w:ascii="Arial" w:hAnsi="Arial" w:cs="Arial"/>
                <w:spacing w:val="-3"/>
                <w:sz w:val="20"/>
                <w:szCs w:val="20"/>
                <w:lang w:val="en-GB"/>
              </w:rPr>
            </w:pPr>
          </w:p>
        </w:tc>
        <w:tc>
          <w:tcPr>
            <w:tcW w:w="707" w:type="pct"/>
            <w:vAlign w:val="bottom"/>
          </w:tcPr>
          <w:p w14:paraId="5ED55F1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707" w:type="pct"/>
            <w:vAlign w:val="bottom"/>
          </w:tcPr>
          <w:p w14:paraId="3AAEC37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2021</w:t>
            </w:r>
          </w:p>
        </w:tc>
        <w:tc>
          <w:tcPr>
            <w:tcW w:w="707" w:type="pct"/>
            <w:vAlign w:val="center"/>
          </w:tcPr>
          <w:p w14:paraId="5D8D5D3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707" w:type="pct"/>
            <w:vAlign w:val="center"/>
          </w:tcPr>
          <w:p w14:paraId="133E98B2"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2021</w:t>
            </w:r>
          </w:p>
        </w:tc>
      </w:tr>
      <w:tr w:rsidR="00587444" w:rsidRPr="00587444" w14:paraId="19A80DEE" w14:textId="77777777" w:rsidTr="00DD69E7">
        <w:tblPrEx>
          <w:tblCellMar>
            <w:left w:w="108" w:type="dxa"/>
            <w:right w:w="108" w:type="dxa"/>
          </w:tblCellMar>
        </w:tblPrEx>
        <w:trPr>
          <w:trHeight w:val="136"/>
        </w:trPr>
        <w:tc>
          <w:tcPr>
            <w:tcW w:w="2172" w:type="pct"/>
          </w:tcPr>
          <w:p w14:paraId="0E0E2B73" w14:textId="77777777" w:rsidR="00587444" w:rsidRPr="00587444" w:rsidRDefault="00587444" w:rsidP="00587444">
            <w:pPr>
              <w:tabs>
                <w:tab w:val="left" w:pos="-720"/>
              </w:tabs>
              <w:autoSpaceDN/>
              <w:ind w:right="4144"/>
              <w:jc w:val="right"/>
              <w:rPr>
                <w:rFonts w:ascii="Arial" w:hAnsi="Arial" w:cs="Arial"/>
                <w:sz w:val="20"/>
                <w:szCs w:val="20"/>
                <w:lang w:val="en-GB"/>
              </w:rPr>
            </w:pPr>
          </w:p>
        </w:tc>
        <w:tc>
          <w:tcPr>
            <w:tcW w:w="707" w:type="pct"/>
          </w:tcPr>
          <w:p w14:paraId="50A5814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44" w:name="_Toc4057805"/>
            <w:r w:rsidRPr="00587444">
              <w:rPr>
                <w:rFonts w:ascii="Arial" w:hAnsi="Arial" w:cs="Arial"/>
                <w:b/>
                <w:sz w:val="20"/>
                <w:szCs w:val="20"/>
                <w:lang w:val="en-GB"/>
              </w:rPr>
              <w:t>HRK ‘000</w:t>
            </w:r>
            <w:bookmarkEnd w:id="444"/>
          </w:p>
        </w:tc>
        <w:tc>
          <w:tcPr>
            <w:tcW w:w="707" w:type="pct"/>
          </w:tcPr>
          <w:p w14:paraId="785DDBA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45" w:name="_Toc4057806"/>
            <w:r w:rsidRPr="00587444">
              <w:rPr>
                <w:rFonts w:ascii="Arial" w:hAnsi="Arial" w:cs="Arial"/>
                <w:b/>
                <w:sz w:val="20"/>
                <w:szCs w:val="20"/>
                <w:lang w:val="en-GB"/>
              </w:rPr>
              <w:t>HRK ‘000</w:t>
            </w:r>
            <w:bookmarkEnd w:id="445"/>
          </w:p>
        </w:tc>
        <w:tc>
          <w:tcPr>
            <w:tcW w:w="707" w:type="pct"/>
          </w:tcPr>
          <w:p w14:paraId="43C0ABD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46" w:name="_Toc4057807"/>
            <w:r w:rsidRPr="00587444">
              <w:rPr>
                <w:rFonts w:ascii="Arial" w:hAnsi="Arial" w:cs="Arial"/>
                <w:b/>
                <w:sz w:val="20"/>
                <w:szCs w:val="20"/>
                <w:lang w:val="en-GB"/>
              </w:rPr>
              <w:t>HRK ‘000</w:t>
            </w:r>
            <w:bookmarkEnd w:id="446"/>
          </w:p>
        </w:tc>
        <w:tc>
          <w:tcPr>
            <w:tcW w:w="707" w:type="pct"/>
          </w:tcPr>
          <w:p w14:paraId="518C97C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47" w:name="_Toc4057808"/>
            <w:r w:rsidRPr="00587444">
              <w:rPr>
                <w:rFonts w:ascii="Arial" w:hAnsi="Arial" w:cs="Arial"/>
                <w:b/>
                <w:sz w:val="20"/>
                <w:szCs w:val="20"/>
                <w:lang w:val="en-GB"/>
              </w:rPr>
              <w:t>HRK ‘000</w:t>
            </w:r>
            <w:bookmarkEnd w:id="447"/>
          </w:p>
        </w:tc>
      </w:tr>
      <w:tr w:rsidR="00587444" w:rsidRPr="00587444" w14:paraId="06773070" w14:textId="77777777" w:rsidTr="00DD69E7">
        <w:trPr>
          <w:trHeight w:val="219"/>
        </w:trPr>
        <w:tc>
          <w:tcPr>
            <w:tcW w:w="2172" w:type="pct"/>
          </w:tcPr>
          <w:p w14:paraId="5F2B2C5D"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448" w:name="_Toc4057809"/>
            <w:r w:rsidRPr="00587444">
              <w:rPr>
                <w:rFonts w:ascii="Arial" w:hAnsi="Arial" w:cs="Arial"/>
                <w:sz w:val="20"/>
                <w:szCs w:val="20"/>
                <w:lang w:val="en-GB"/>
              </w:rPr>
              <w:t>Interest on loans</w:t>
            </w:r>
            <w:bookmarkEnd w:id="448"/>
          </w:p>
        </w:tc>
        <w:tc>
          <w:tcPr>
            <w:tcW w:w="707" w:type="pct"/>
          </w:tcPr>
          <w:p w14:paraId="1651E1E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en-GB"/>
              </w:rPr>
            </w:pPr>
          </w:p>
        </w:tc>
        <w:tc>
          <w:tcPr>
            <w:tcW w:w="707" w:type="pct"/>
          </w:tcPr>
          <w:p w14:paraId="5E530C0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en-GB"/>
              </w:rPr>
            </w:pPr>
          </w:p>
        </w:tc>
        <w:tc>
          <w:tcPr>
            <w:tcW w:w="707" w:type="pct"/>
            <w:vAlign w:val="bottom"/>
          </w:tcPr>
          <w:p w14:paraId="3301C84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en-GB"/>
              </w:rPr>
            </w:pPr>
          </w:p>
        </w:tc>
        <w:tc>
          <w:tcPr>
            <w:tcW w:w="707" w:type="pct"/>
            <w:vAlign w:val="bottom"/>
          </w:tcPr>
          <w:p w14:paraId="666D342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en-GB"/>
              </w:rPr>
            </w:pPr>
          </w:p>
        </w:tc>
      </w:tr>
      <w:tr w:rsidR="00587444" w:rsidRPr="00587444" w14:paraId="14624CDB" w14:textId="77777777" w:rsidTr="00DD69E7">
        <w:trPr>
          <w:trHeight w:val="219"/>
        </w:trPr>
        <w:tc>
          <w:tcPr>
            <w:tcW w:w="2172" w:type="pct"/>
          </w:tcPr>
          <w:p w14:paraId="2589F1DC"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449" w:name="_Toc4057810"/>
            <w:r w:rsidRPr="00587444">
              <w:rPr>
                <w:rFonts w:ascii="Arial" w:hAnsi="Arial" w:cs="Arial"/>
                <w:sz w:val="20"/>
                <w:szCs w:val="20"/>
                <w:lang w:val="en-GB"/>
              </w:rPr>
              <w:t>- financial institutions</w:t>
            </w:r>
            <w:bookmarkEnd w:id="449"/>
          </w:p>
        </w:tc>
        <w:tc>
          <w:tcPr>
            <w:tcW w:w="707" w:type="pct"/>
            <w:tcBorders>
              <w:top w:val="nil"/>
              <w:left w:val="nil"/>
              <w:bottom w:val="nil"/>
              <w:right w:val="nil"/>
            </w:tcBorders>
            <w:shd w:val="clear" w:color="auto" w:fill="auto"/>
            <w:vAlign w:val="bottom"/>
          </w:tcPr>
          <w:p w14:paraId="38104F1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82,203</w:t>
            </w:r>
          </w:p>
        </w:tc>
        <w:tc>
          <w:tcPr>
            <w:tcW w:w="707" w:type="pct"/>
            <w:tcBorders>
              <w:top w:val="nil"/>
              <w:left w:val="nil"/>
              <w:bottom w:val="nil"/>
              <w:right w:val="nil"/>
            </w:tcBorders>
            <w:shd w:val="clear" w:color="auto" w:fill="auto"/>
          </w:tcPr>
          <w:p w14:paraId="64B76B8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116,440</w:t>
            </w:r>
          </w:p>
        </w:tc>
        <w:tc>
          <w:tcPr>
            <w:tcW w:w="707" w:type="pct"/>
            <w:tcBorders>
              <w:top w:val="nil"/>
              <w:left w:val="nil"/>
              <w:bottom w:val="nil"/>
              <w:right w:val="nil"/>
            </w:tcBorders>
            <w:shd w:val="clear" w:color="auto" w:fill="auto"/>
            <w:vAlign w:val="bottom"/>
          </w:tcPr>
          <w:p w14:paraId="6BA577D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82,203</w:t>
            </w:r>
          </w:p>
        </w:tc>
        <w:tc>
          <w:tcPr>
            <w:tcW w:w="707" w:type="pct"/>
            <w:tcBorders>
              <w:top w:val="nil"/>
              <w:left w:val="nil"/>
              <w:bottom w:val="nil"/>
              <w:right w:val="nil"/>
            </w:tcBorders>
            <w:shd w:val="clear" w:color="auto" w:fill="auto"/>
          </w:tcPr>
          <w:p w14:paraId="45F2F30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hr-HR"/>
              </w:rPr>
            </w:pPr>
            <w:r w:rsidRPr="00587444">
              <w:rPr>
                <w:rFonts w:ascii="Arial" w:hAnsi="Arial" w:cs="Arial"/>
                <w:color w:val="000000"/>
                <w:sz w:val="20"/>
                <w:szCs w:val="20"/>
                <w:lang w:val="hr-HR"/>
              </w:rPr>
              <w:t>116,440</w:t>
            </w:r>
          </w:p>
        </w:tc>
      </w:tr>
      <w:tr w:rsidR="00587444" w:rsidRPr="00587444" w14:paraId="083E57B1" w14:textId="77777777" w:rsidTr="00DD69E7">
        <w:trPr>
          <w:trHeight w:val="219"/>
        </w:trPr>
        <w:tc>
          <w:tcPr>
            <w:tcW w:w="2172" w:type="pct"/>
          </w:tcPr>
          <w:p w14:paraId="1A2B23F6"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450" w:name="_Toc4057815"/>
            <w:r w:rsidRPr="00587444">
              <w:rPr>
                <w:rFonts w:ascii="Arial" w:hAnsi="Arial" w:cs="Arial"/>
                <w:sz w:val="20"/>
                <w:szCs w:val="20"/>
                <w:lang w:val="en-GB"/>
              </w:rPr>
              <w:t>- other customers</w:t>
            </w:r>
            <w:bookmarkEnd w:id="450"/>
            <w:r w:rsidRPr="00587444">
              <w:rPr>
                <w:rFonts w:ascii="Arial" w:hAnsi="Arial" w:cs="Arial"/>
                <w:sz w:val="20"/>
                <w:szCs w:val="20"/>
                <w:lang w:val="en-GB"/>
              </w:rPr>
              <w:t xml:space="preserve"> </w:t>
            </w:r>
          </w:p>
        </w:tc>
        <w:tc>
          <w:tcPr>
            <w:tcW w:w="707" w:type="pct"/>
            <w:tcBorders>
              <w:top w:val="nil"/>
              <w:left w:val="nil"/>
              <w:bottom w:val="nil"/>
              <w:right w:val="nil"/>
            </w:tcBorders>
            <w:shd w:val="clear" w:color="auto" w:fill="auto"/>
            <w:vAlign w:val="bottom"/>
          </w:tcPr>
          <w:p w14:paraId="040F42E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524,889</w:t>
            </w:r>
          </w:p>
        </w:tc>
        <w:tc>
          <w:tcPr>
            <w:tcW w:w="707" w:type="pct"/>
            <w:tcBorders>
              <w:top w:val="nil"/>
              <w:left w:val="nil"/>
              <w:bottom w:val="nil"/>
              <w:right w:val="nil"/>
            </w:tcBorders>
            <w:shd w:val="clear" w:color="auto" w:fill="auto"/>
          </w:tcPr>
          <w:p w14:paraId="588643A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hr-HR"/>
              </w:rPr>
            </w:pPr>
            <w:r w:rsidRPr="00587444">
              <w:rPr>
                <w:rFonts w:ascii="Arial" w:hAnsi="Arial" w:cs="Arial"/>
                <w:color w:val="000000"/>
                <w:sz w:val="20"/>
                <w:szCs w:val="20"/>
                <w:lang w:val="hr-HR"/>
              </w:rPr>
              <w:t>530,259</w:t>
            </w:r>
          </w:p>
        </w:tc>
        <w:tc>
          <w:tcPr>
            <w:tcW w:w="707" w:type="pct"/>
            <w:tcBorders>
              <w:top w:val="nil"/>
              <w:left w:val="nil"/>
              <w:bottom w:val="nil"/>
              <w:right w:val="nil"/>
            </w:tcBorders>
            <w:shd w:val="clear" w:color="auto" w:fill="auto"/>
            <w:vAlign w:val="bottom"/>
          </w:tcPr>
          <w:p w14:paraId="31DF20A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524,889</w:t>
            </w:r>
          </w:p>
        </w:tc>
        <w:tc>
          <w:tcPr>
            <w:tcW w:w="707" w:type="pct"/>
            <w:tcBorders>
              <w:top w:val="nil"/>
              <w:left w:val="nil"/>
              <w:bottom w:val="nil"/>
              <w:right w:val="nil"/>
            </w:tcBorders>
            <w:shd w:val="clear" w:color="auto" w:fill="auto"/>
          </w:tcPr>
          <w:p w14:paraId="57F5B56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hr-HR"/>
              </w:rPr>
            </w:pPr>
            <w:r w:rsidRPr="00587444">
              <w:rPr>
                <w:rFonts w:ascii="Arial" w:hAnsi="Arial" w:cs="Arial"/>
                <w:color w:val="000000"/>
                <w:sz w:val="20"/>
                <w:szCs w:val="20"/>
                <w:lang w:val="hr-HR"/>
              </w:rPr>
              <w:t>530,259</w:t>
            </w:r>
          </w:p>
        </w:tc>
      </w:tr>
      <w:tr w:rsidR="00587444" w:rsidRPr="00587444" w14:paraId="7D1CD806" w14:textId="77777777" w:rsidTr="00DD69E7">
        <w:trPr>
          <w:trHeight w:val="241"/>
        </w:trPr>
        <w:tc>
          <w:tcPr>
            <w:tcW w:w="2172" w:type="pct"/>
          </w:tcPr>
          <w:p w14:paraId="5AB6D826" w14:textId="77777777" w:rsidR="00587444" w:rsidRPr="00587444" w:rsidRDefault="00587444" w:rsidP="00587444">
            <w:pPr>
              <w:tabs>
                <w:tab w:val="right" w:pos="1202"/>
              </w:tabs>
              <w:suppressAutoHyphens w:val="0"/>
              <w:autoSpaceDN/>
              <w:spacing w:line="340" w:lineRule="exact"/>
              <w:outlineLvl w:val="0"/>
              <w:rPr>
                <w:rFonts w:ascii="Arial" w:hAnsi="Arial" w:cs="Arial"/>
                <w:sz w:val="20"/>
                <w:szCs w:val="20"/>
                <w:lang w:val="en-GB"/>
              </w:rPr>
            </w:pPr>
          </w:p>
        </w:tc>
        <w:tc>
          <w:tcPr>
            <w:tcW w:w="707" w:type="pct"/>
            <w:tcBorders>
              <w:top w:val="single" w:sz="4" w:space="0" w:color="auto"/>
              <w:bottom w:val="single" w:sz="12" w:space="0" w:color="auto"/>
            </w:tcBorders>
            <w:vAlign w:val="bottom"/>
          </w:tcPr>
          <w:p w14:paraId="338F022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607,092</w:t>
            </w:r>
          </w:p>
        </w:tc>
        <w:tc>
          <w:tcPr>
            <w:tcW w:w="707" w:type="pct"/>
            <w:tcBorders>
              <w:top w:val="single" w:sz="4" w:space="0" w:color="auto"/>
              <w:bottom w:val="single" w:sz="12" w:space="0" w:color="auto"/>
            </w:tcBorders>
          </w:tcPr>
          <w:p w14:paraId="10522534"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spacing w:val="-2"/>
                <w:sz w:val="20"/>
                <w:szCs w:val="20"/>
                <w:lang w:val="hr-HR"/>
              </w:rPr>
            </w:pPr>
            <w:r w:rsidRPr="00587444">
              <w:rPr>
                <w:rFonts w:ascii="Arial" w:hAnsi="Arial" w:cs="Arial"/>
                <w:color w:val="000000"/>
                <w:sz w:val="20"/>
                <w:szCs w:val="20"/>
                <w:lang w:val="hr-HR"/>
              </w:rPr>
              <w:t>646,699</w:t>
            </w:r>
          </w:p>
        </w:tc>
        <w:tc>
          <w:tcPr>
            <w:tcW w:w="707" w:type="pct"/>
            <w:tcBorders>
              <w:top w:val="single" w:sz="4" w:space="0" w:color="auto"/>
              <w:bottom w:val="single" w:sz="12" w:space="0" w:color="auto"/>
            </w:tcBorders>
            <w:vAlign w:val="bottom"/>
          </w:tcPr>
          <w:p w14:paraId="3A69F49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607,092</w:t>
            </w:r>
          </w:p>
        </w:tc>
        <w:tc>
          <w:tcPr>
            <w:tcW w:w="707" w:type="pct"/>
            <w:tcBorders>
              <w:top w:val="single" w:sz="4" w:space="0" w:color="auto"/>
              <w:bottom w:val="single" w:sz="12" w:space="0" w:color="auto"/>
            </w:tcBorders>
            <w:shd w:val="clear" w:color="auto" w:fill="auto"/>
          </w:tcPr>
          <w:p w14:paraId="0DD9F1C5"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spacing w:val="-2"/>
                <w:sz w:val="20"/>
                <w:szCs w:val="20"/>
                <w:lang w:val="hr-HR"/>
              </w:rPr>
            </w:pPr>
            <w:r w:rsidRPr="00587444">
              <w:rPr>
                <w:rFonts w:ascii="Arial" w:hAnsi="Arial" w:cs="Arial"/>
                <w:color w:val="000000"/>
                <w:sz w:val="20"/>
                <w:szCs w:val="20"/>
                <w:lang w:val="hr-HR"/>
              </w:rPr>
              <w:t>646,699</w:t>
            </w:r>
          </w:p>
        </w:tc>
      </w:tr>
      <w:tr w:rsidR="00587444" w:rsidRPr="00587444" w14:paraId="5CF82320" w14:textId="77777777" w:rsidTr="00DD69E7">
        <w:tblPrEx>
          <w:tblCellMar>
            <w:left w:w="119" w:type="dxa"/>
            <w:right w:w="119" w:type="dxa"/>
          </w:tblCellMar>
        </w:tblPrEx>
        <w:trPr>
          <w:trHeight w:val="219"/>
        </w:trPr>
        <w:tc>
          <w:tcPr>
            <w:tcW w:w="2172" w:type="pct"/>
          </w:tcPr>
          <w:p w14:paraId="569846A1"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p>
        </w:tc>
        <w:tc>
          <w:tcPr>
            <w:tcW w:w="707" w:type="pct"/>
            <w:tcBorders>
              <w:top w:val="single" w:sz="12" w:space="0" w:color="auto"/>
            </w:tcBorders>
            <w:vAlign w:val="bottom"/>
          </w:tcPr>
          <w:p w14:paraId="2ADA706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p>
        </w:tc>
        <w:tc>
          <w:tcPr>
            <w:tcW w:w="707" w:type="pct"/>
            <w:tcBorders>
              <w:top w:val="single" w:sz="12" w:space="0" w:color="auto"/>
            </w:tcBorders>
          </w:tcPr>
          <w:p w14:paraId="1917A239"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hr-HR"/>
              </w:rPr>
            </w:pPr>
          </w:p>
        </w:tc>
        <w:tc>
          <w:tcPr>
            <w:tcW w:w="707" w:type="pct"/>
            <w:tcBorders>
              <w:top w:val="single" w:sz="12" w:space="0" w:color="auto"/>
            </w:tcBorders>
            <w:vAlign w:val="bottom"/>
          </w:tcPr>
          <w:p w14:paraId="3AB7270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p>
        </w:tc>
        <w:tc>
          <w:tcPr>
            <w:tcW w:w="707" w:type="pct"/>
            <w:tcBorders>
              <w:top w:val="single" w:sz="12" w:space="0" w:color="auto"/>
            </w:tcBorders>
          </w:tcPr>
          <w:p w14:paraId="1F60BB24"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hr-HR"/>
              </w:rPr>
            </w:pPr>
          </w:p>
        </w:tc>
      </w:tr>
      <w:tr w:rsidR="00587444" w:rsidRPr="00587444" w14:paraId="48C95DF4" w14:textId="77777777" w:rsidTr="00DD69E7">
        <w:trPr>
          <w:trHeight w:val="219"/>
        </w:trPr>
        <w:tc>
          <w:tcPr>
            <w:tcW w:w="2172" w:type="pct"/>
          </w:tcPr>
          <w:p w14:paraId="366874AB"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451" w:name="_Toc4057824"/>
            <w:r w:rsidRPr="00587444">
              <w:rPr>
                <w:rFonts w:ascii="Arial" w:hAnsi="Arial" w:cs="Arial"/>
                <w:sz w:val="20"/>
                <w:szCs w:val="20"/>
                <w:lang w:val="en-GB"/>
              </w:rPr>
              <w:t>Investments in securities</w:t>
            </w:r>
            <w:bookmarkEnd w:id="451"/>
          </w:p>
        </w:tc>
        <w:tc>
          <w:tcPr>
            <w:tcW w:w="707" w:type="pct"/>
            <w:tcBorders>
              <w:top w:val="nil"/>
              <w:left w:val="nil"/>
              <w:bottom w:val="nil"/>
              <w:right w:val="nil"/>
            </w:tcBorders>
            <w:shd w:val="clear" w:color="auto" w:fill="auto"/>
            <w:vAlign w:val="bottom"/>
          </w:tcPr>
          <w:p w14:paraId="6050892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21,724 </w:t>
            </w:r>
          </w:p>
        </w:tc>
        <w:tc>
          <w:tcPr>
            <w:tcW w:w="707" w:type="pct"/>
            <w:tcBorders>
              <w:top w:val="nil"/>
              <w:left w:val="nil"/>
              <w:bottom w:val="nil"/>
              <w:right w:val="nil"/>
            </w:tcBorders>
            <w:shd w:val="clear" w:color="auto" w:fill="auto"/>
          </w:tcPr>
          <w:p w14:paraId="0CA99BF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28,911</w:t>
            </w:r>
          </w:p>
        </w:tc>
        <w:tc>
          <w:tcPr>
            <w:tcW w:w="707" w:type="pct"/>
            <w:tcBorders>
              <w:top w:val="nil"/>
              <w:left w:val="nil"/>
              <w:bottom w:val="nil"/>
              <w:right w:val="nil"/>
            </w:tcBorders>
            <w:shd w:val="clear" w:color="auto" w:fill="auto"/>
            <w:vAlign w:val="bottom"/>
          </w:tcPr>
          <w:p w14:paraId="61D2336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20,422 </w:t>
            </w:r>
          </w:p>
        </w:tc>
        <w:tc>
          <w:tcPr>
            <w:tcW w:w="707" w:type="pct"/>
            <w:tcBorders>
              <w:top w:val="nil"/>
              <w:left w:val="nil"/>
              <w:bottom w:val="nil"/>
              <w:right w:val="nil"/>
            </w:tcBorders>
            <w:shd w:val="clear" w:color="auto" w:fill="auto"/>
          </w:tcPr>
          <w:p w14:paraId="580B690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27,641</w:t>
            </w:r>
          </w:p>
        </w:tc>
      </w:tr>
      <w:tr w:rsidR="00587444" w:rsidRPr="00587444" w14:paraId="7943FEF8" w14:textId="77777777" w:rsidTr="00DD69E7">
        <w:trPr>
          <w:trHeight w:val="230"/>
        </w:trPr>
        <w:tc>
          <w:tcPr>
            <w:tcW w:w="2172" w:type="pct"/>
            <w:vAlign w:val="bottom"/>
          </w:tcPr>
          <w:p w14:paraId="702631C1"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452" w:name="_Toc4057829"/>
            <w:r w:rsidRPr="00587444">
              <w:rPr>
                <w:rFonts w:ascii="Arial" w:hAnsi="Arial" w:cs="Arial"/>
                <w:i/>
                <w:sz w:val="20"/>
                <w:szCs w:val="20"/>
              </w:rPr>
              <w:t>-  Bonds of the Republic of Croatia</w:t>
            </w:r>
            <w:bookmarkEnd w:id="452"/>
          </w:p>
        </w:tc>
        <w:tc>
          <w:tcPr>
            <w:tcW w:w="707" w:type="pct"/>
            <w:tcBorders>
              <w:top w:val="nil"/>
              <w:left w:val="nil"/>
              <w:bottom w:val="nil"/>
              <w:right w:val="nil"/>
            </w:tcBorders>
            <w:shd w:val="clear" w:color="auto" w:fill="auto"/>
            <w:vAlign w:val="bottom"/>
          </w:tcPr>
          <w:p w14:paraId="044FAA55" w14:textId="77777777" w:rsidR="00587444" w:rsidRPr="00587444" w:rsidDel="00781822" w:rsidRDefault="00587444" w:rsidP="00587444">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587444">
              <w:rPr>
                <w:rFonts w:ascii="Arial" w:hAnsi="Arial" w:cs="Arial"/>
                <w:i/>
                <w:iCs/>
                <w:color w:val="000000"/>
                <w:sz w:val="20"/>
                <w:szCs w:val="20"/>
                <w:lang w:val="hr-HR"/>
              </w:rPr>
              <w:t xml:space="preserve"> 20,993 </w:t>
            </w:r>
          </w:p>
        </w:tc>
        <w:tc>
          <w:tcPr>
            <w:tcW w:w="707" w:type="pct"/>
            <w:tcBorders>
              <w:top w:val="nil"/>
              <w:left w:val="nil"/>
              <w:bottom w:val="nil"/>
              <w:right w:val="nil"/>
            </w:tcBorders>
            <w:shd w:val="clear" w:color="auto" w:fill="auto"/>
          </w:tcPr>
          <w:p w14:paraId="7F46440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i/>
                <w:iCs/>
                <w:color w:val="000000"/>
                <w:sz w:val="20"/>
                <w:szCs w:val="20"/>
                <w:lang w:val="en-GB"/>
              </w:rPr>
            </w:pPr>
            <w:r w:rsidRPr="00587444">
              <w:rPr>
                <w:rFonts w:ascii="Arial" w:hAnsi="Arial" w:cs="Arial"/>
                <w:i/>
                <w:iCs/>
                <w:color w:val="000000"/>
                <w:sz w:val="20"/>
                <w:szCs w:val="20"/>
                <w:lang w:val="hr-HR"/>
              </w:rPr>
              <w:t>28,138</w:t>
            </w:r>
          </w:p>
        </w:tc>
        <w:tc>
          <w:tcPr>
            <w:tcW w:w="707" w:type="pct"/>
            <w:tcBorders>
              <w:top w:val="nil"/>
              <w:left w:val="nil"/>
              <w:bottom w:val="nil"/>
              <w:right w:val="nil"/>
            </w:tcBorders>
            <w:shd w:val="clear" w:color="auto" w:fill="auto"/>
            <w:vAlign w:val="bottom"/>
          </w:tcPr>
          <w:p w14:paraId="45AD0036" w14:textId="77777777" w:rsidR="00587444" w:rsidRPr="00587444" w:rsidDel="00781822" w:rsidRDefault="00587444" w:rsidP="00587444">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587444">
              <w:rPr>
                <w:rFonts w:ascii="Arial" w:hAnsi="Arial" w:cs="Arial"/>
                <w:i/>
                <w:iCs/>
                <w:color w:val="000000"/>
                <w:sz w:val="20"/>
                <w:szCs w:val="20"/>
                <w:lang w:val="hr-HR"/>
              </w:rPr>
              <w:t xml:space="preserve"> 19,722 </w:t>
            </w:r>
          </w:p>
        </w:tc>
        <w:tc>
          <w:tcPr>
            <w:tcW w:w="707" w:type="pct"/>
            <w:tcBorders>
              <w:top w:val="nil"/>
              <w:left w:val="nil"/>
              <w:bottom w:val="nil"/>
              <w:right w:val="nil"/>
            </w:tcBorders>
            <w:shd w:val="clear" w:color="auto" w:fill="auto"/>
          </w:tcPr>
          <w:p w14:paraId="18EDE3A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i/>
                <w:iCs/>
                <w:color w:val="000000"/>
                <w:sz w:val="20"/>
                <w:szCs w:val="20"/>
                <w:lang w:val="en-GB"/>
              </w:rPr>
            </w:pPr>
            <w:r w:rsidRPr="00587444">
              <w:rPr>
                <w:rFonts w:ascii="Arial" w:hAnsi="Arial" w:cs="Arial"/>
                <w:i/>
                <w:iCs/>
                <w:color w:val="000000"/>
                <w:sz w:val="20"/>
                <w:szCs w:val="20"/>
                <w:lang w:val="hr-HR"/>
              </w:rPr>
              <w:t>26,899</w:t>
            </w:r>
          </w:p>
        </w:tc>
      </w:tr>
      <w:tr w:rsidR="00587444" w:rsidRPr="00587444" w14:paraId="5DD4A485" w14:textId="77777777" w:rsidTr="00DD69E7">
        <w:trPr>
          <w:trHeight w:val="219"/>
        </w:trPr>
        <w:tc>
          <w:tcPr>
            <w:tcW w:w="2172" w:type="pct"/>
            <w:vAlign w:val="bottom"/>
          </w:tcPr>
          <w:p w14:paraId="409966DB"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453" w:name="_Toc4057834"/>
            <w:r w:rsidRPr="00587444">
              <w:rPr>
                <w:rFonts w:ascii="Arial" w:hAnsi="Arial" w:cs="Arial"/>
                <w:i/>
                <w:sz w:val="20"/>
                <w:szCs w:val="20"/>
              </w:rPr>
              <w:t>-  Corporate bonds</w:t>
            </w:r>
            <w:bookmarkEnd w:id="453"/>
          </w:p>
        </w:tc>
        <w:tc>
          <w:tcPr>
            <w:tcW w:w="707" w:type="pct"/>
            <w:tcBorders>
              <w:top w:val="nil"/>
              <w:left w:val="nil"/>
              <w:bottom w:val="nil"/>
              <w:right w:val="nil"/>
            </w:tcBorders>
            <w:shd w:val="clear" w:color="auto" w:fill="auto"/>
            <w:vAlign w:val="bottom"/>
          </w:tcPr>
          <w:p w14:paraId="580BB5A6" w14:textId="77777777" w:rsidR="00587444" w:rsidRPr="00587444" w:rsidDel="00781822" w:rsidRDefault="00587444" w:rsidP="00587444">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587444">
              <w:rPr>
                <w:rFonts w:ascii="Arial" w:hAnsi="Arial" w:cs="Arial"/>
                <w:i/>
                <w:iCs/>
                <w:color w:val="000000"/>
                <w:sz w:val="20"/>
                <w:szCs w:val="20"/>
                <w:lang w:val="hr-HR"/>
              </w:rPr>
              <w:t xml:space="preserve"> 100 </w:t>
            </w:r>
          </w:p>
        </w:tc>
        <w:tc>
          <w:tcPr>
            <w:tcW w:w="707" w:type="pct"/>
            <w:tcBorders>
              <w:top w:val="nil"/>
              <w:left w:val="nil"/>
              <w:bottom w:val="nil"/>
              <w:right w:val="nil"/>
            </w:tcBorders>
            <w:shd w:val="clear" w:color="auto" w:fill="auto"/>
          </w:tcPr>
          <w:p w14:paraId="5444963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587444">
              <w:rPr>
                <w:rFonts w:ascii="Arial" w:hAnsi="Arial" w:cs="Arial"/>
                <w:i/>
                <w:iCs/>
                <w:color w:val="000000"/>
                <w:sz w:val="20"/>
                <w:szCs w:val="20"/>
                <w:lang w:val="hr-HR"/>
              </w:rPr>
              <w:t>195</w:t>
            </w:r>
          </w:p>
        </w:tc>
        <w:tc>
          <w:tcPr>
            <w:tcW w:w="707" w:type="pct"/>
            <w:tcBorders>
              <w:top w:val="nil"/>
              <w:left w:val="nil"/>
              <w:bottom w:val="nil"/>
              <w:right w:val="nil"/>
            </w:tcBorders>
            <w:shd w:val="clear" w:color="auto" w:fill="auto"/>
            <w:vAlign w:val="bottom"/>
          </w:tcPr>
          <w:p w14:paraId="6642BD6D" w14:textId="77777777" w:rsidR="00587444" w:rsidRPr="00587444" w:rsidDel="00781822" w:rsidRDefault="00587444" w:rsidP="00587444">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587444">
              <w:rPr>
                <w:rFonts w:ascii="Arial" w:hAnsi="Arial" w:cs="Arial"/>
                <w:i/>
                <w:iCs/>
                <w:color w:val="000000"/>
                <w:sz w:val="20"/>
                <w:szCs w:val="20"/>
                <w:lang w:val="hr-HR"/>
              </w:rPr>
              <w:t xml:space="preserve"> 69 </w:t>
            </w:r>
          </w:p>
        </w:tc>
        <w:tc>
          <w:tcPr>
            <w:tcW w:w="707" w:type="pct"/>
            <w:tcBorders>
              <w:top w:val="nil"/>
              <w:left w:val="nil"/>
              <w:bottom w:val="nil"/>
              <w:right w:val="nil"/>
            </w:tcBorders>
            <w:shd w:val="clear" w:color="auto" w:fill="auto"/>
          </w:tcPr>
          <w:p w14:paraId="2969E07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587444">
              <w:rPr>
                <w:rFonts w:ascii="Arial" w:hAnsi="Arial" w:cs="Arial"/>
                <w:i/>
                <w:iCs/>
                <w:color w:val="000000"/>
                <w:sz w:val="20"/>
                <w:szCs w:val="20"/>
                <w:lang w:val="hr-HR"/>
              </w:rPr>
              <w:t>164</w:t>
            </w:r>
          </w:p>
        </w:tc>
      </w:tr>
      <w:tr w:rsidR="00587444" w:rsidRPr="00587444" w14:paraId="70F6C55D" w14:textId="77777777" w:rsidTr="00DD69E7">
        <w:trPr>
          <w:trHeight w:val="337"/>
        </w:trPr>
        <w:tc>
          <w:tcPr>
            <w:tcW w:w="2172" w:type="pct"/>
            <w:vAlign w:val="bottom"/>
          </w:tcPr>
          <w:p w14:paraId="41B86F1D" w14:textId="77777777" w:rsidR="00587444" w:rsidRPr="00587444" w:rsidRDefault="00587444" w:rsidP="00587444">
            <w:pPr>
              <w:tabs>
                <w:tab w:val="right" w:pos="1202"/>
              </w:tabs>
              <w:suppressAutoHyphens w:val="0"/>
              <w:autoSpaceDN/>
              <w:outlineLvl w:val="0"/>
              <w:rPr>
                <w:rFonts w:ascii="Arial" w:hAnsi="Arial" w:cs="Arial"/>
                <w:sz w:val="20"/>
                <w:szCs w:val="20"/>
              </w:rPr>
            </w:pPr>
            <w:bookmarkStart w:id="454" w:name="_Toc4057839"/>
            <w:r w:rsidRPr="00587444">
              <w:rPr>
                <w:rFonts w:ascii="Arial" w:hAnsi="Arial" w:cs="Arial"/>
                <w:i/>
                <w:sz w:val="20"/>
                <w:szCs w:val="20"/>
              </w:rPr>
              <w:t>-  Treasury bills of the Ministry of Finance</w:t>
            </w:r>
            <w:bookmarkEnd w:id="454"/>
          </w:p>
        </w:tc>
        <w:tc>
          <w:tcPr>
            <w:tcW w:w="707" w:type="pct"/>
            <w:tcBorders>
              <w:top w:val="nil"/>
              <w:left w:val="nil"/>
              <w:bottom w:val="nil"/>
              <w:right w:val="nil"/>
            </w:tcBorders>
            <w:shd w:val="clear" w:color="auto" w:fill="auto"/>
            <w:vAlign w:val="bottom"/>
          </w:tcPr>
          <w:p w14:paraId="5B8B7B7B" w14:textId="77777777" w:rsidR="00587444" w:rsidRPr="00587444" w:rsidDel="00781822" w:rsidRDefault="00587444" w:rsidP="00587444">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587444">
              <w:rPr>
                <w:rFonts w:ascii="Arial" w:hAnsi="Arial" w:cs="Arial"/>
                <w:i/>
                <w:iCs/>
                <w:color w:val="000000"/>
                <w:sz w:val="20"/>
                <w:szCs w:val="20"/>
                <w:lang w:val="hr-HR"/>
              </w:rPr>
              <w:t xml:space="preserve"> 631 </w:t>
            </w:r>
          </w:p>
        </w:tc>
        <w:tc>
          <w:tcPr>
            <w:tcW w:w="707" w:type="pct"/>
            <w:tcBorders>
              <w:top w:val="nil"/>
              <w:left w:val="nil"/>
              <w:bottom w:val="nil"/>
              <w:right w:val="nil"/>
            </w:tcBorders>
            <w:shd w:val="clear" w:color="auto" w:fill="auto"/>
          </w:tcPr>
          <w:p w14:paraId="110D169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587444">
              <w:rPr>
                <w:rFonts w:ascii="Arial" w:hAnsi="Arial" w:cs="Arial"/>
                <w:i/>
                <w:iCs/>
                <w:color w:val="000000"/>
                <w:sz w:val="20"/>
                <w:szCs w:val="20"/>
                <w:lang w:val="hr-HR"/>
              </w:rPr>
              <w:t>578</w:t>
            </w:r>
          </w:p>
        </w:tc>
        <w:tc>
          <w:tcPr>
            <w:tcW w:w="707" w:type="pct"/>
            <w:tcBorders>
              <w:top w:val="nil"/>
              <w:left w:val="nil"/>
              <w:bottom w:val="nil"/>
              <w:right w:val="nil"/>
            </w:tcBorders>
            <w:shd w:val="clear" w:color="auto" w:fill="auto"/>
            <w:vAlign w:val="bottom"/>
          </w:tcPr>
          <w:p w14:paraId="3E298BAF" w14:textId="77777777" w:rsidR="00587444" w:rsidRPr="00587444" w:rsidDel="00781822" w:rsidRDefault="00587444" w:rsidP="00587444">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587444">
              <w:rPr>
                <w:rFonts w:ascii="Arial" w:hAnsi="Arial" w:cs="Arial"/>
                <w:i/>
                <w:iCs/>
                <w:color w:val="000000"/>
                <w:sz w:val="20"/>
                <w:szCs w:val="20"/>
                <w:lang w:val="hr-HR"/>
              </w:rPr>
              <w:t xml:space="preserve"> 631 </w:t>
            </w:r>
          </w:p>
        </w:tc>
        <w:tc>
          <w:tcPr>
            <w:tcW w:w="707" w:type="pct"/>
            <w:tcBorders>
              <w:top w:val="nil"/>
              <w:left w:val="nil"/>
              <w:bottom w:val="nil"/>
              <w:right w:val="nil"/>
            </w:tcBorders>
            <w:shd w:val="clear" w:color="auto" w:fill="auto"/>
          </w:tcPr>
          <w:p w14:paraId="5AE07BB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587444">
              <w:rPr>
                <w:rFonts w:ascii="Arial" w:hAnsi="Arial" w:cs="Arial"/>
                <w:i/>
                <w:iCs/>
                <w:color w:val="000000"/>
                <w:sz w:val="20"/>
                <w:szCs w:val="20"/>
                <w:lang w:val="hr-HR"/>
              </w:rPr>
              <w:t>578</w:t>
            </w:r>
          </w:p>
        </w:tc>
      </w:tr>
      <w:tr w:rsidR="00587444" w:rsidRPr="00587444" w14:paraId="003EE925" w14:textId="77777777" w:rsidTr="00DD69E7">
        <w:trPr>
          <w:trHeight w:val="219"/>
        </w:trPr>
        <w:tc>
          <w:tcPr>
            <w:tcW w:w="2172" w:type="pct"/>
          </w:tcPr>
          <w:p w14:paraId="45FE6F3B"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455" w:name="_Toc4057844"/>
            <w:r w:rsidRPr="00587444">
              <w:rPr>
                <w:rFonts w:ascii="Arial" w:hAnsi="Arial" w:cs="Arial"/>
                <w:sz w:val="20"/>
                <w:szCs w:val="20"/>
                <w:lang w:val="en-GB"/>
              </w:rPr>
              <w:t>Deposits</w:t>
            </w:r>
            <w:bookmarkEnd w:id="455"/>
          </w:p>
        </w:tc>
        <w:tc>
          <w:tcPr>
            <w:tcW w:w="707" w:type="pct"/>
            <w:tcBorders>
              <w:top w:val="nil"/>
              <w:left w:val="nil"/>
              <w:bottom w:val="nil"/>
              <w:right w:val="nil"/>
            </w:tcBorders>
            <w:shd w:val="clear" w:color="auto" w:fill="auto"/>
            <w:vAlign w:val="bottom"/>
          </w:tcPr>
          <w:p w14:paraId="4CFDFA6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377 </w:t>
            </w:r>
          </w:p>
        </w:tc>
        <w:tc>
          <w:tcPr>
            <w:tcW w:w="707" w:type="pct"/>
            <w:tcBorders>
              <w:top w:val="nil"/>
              <w:left w:val="nil"/>
              <w:bottom w:val="nil"/>
              <w:right w:val="nil"/>
            </w:tcBorders>
            <w:shd w:val="clear" w:color="auto" w:fill="auto"/>
          </w:tcPr>
          <w:p w14:paraId="467B542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1,827</w:t>
            </w:r>
          </w:p>
        </w:tc>
        <w:tc>
          <w:tcPr>
            <w:tcW w:w="707" w:type="pct"/>
            <w:tcBorders>
              <w:top w:val="nil"/>
              <w:left w:val="nil"/>
              <w:bottom w:val="nil"/>
              <w:right w:val="nil"/>
            </w:tcBorders>
            <w:shd w:val="clear" w:color="auto" w:fill="auto"/>
            <w:vAlign w:val="bottom"/>
          </w:tcPr>
          <w:p w14:paraId="0458FC4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367 </w:t>
            </w:r>
          </w:p>
        </w:tc>
        <w:tc>
          <w:tcPr>
            <w:tcW w:w="707" w:type="pct"/>
            <w:tcBorders>
              <w:top w:val="nil"/>
              <w:left w:val="nil"/>
              <w:bottom w:val="nil"/>
              <w:right w:val="nil"/>
            </w:tcBorders>
            <w:shd w:val="clear" w:color="auto" w:fill="auto"/>
          </w:tcPr>
          <w:p w14:paraId="64D2A63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1,827</w:t>
            </w:r>
          </w:p>
        </w:tc>
      </w:tr>
      <w:tr w:rsidR="00587444" w:rsidRPr="00587444" w14:paraId="229302E2" w14:textId="77777777" w:rsidTr="00DD69E7">
        <w:trPr>
          <w:trHeight w:val="219"/>
        </w:trPr>
        <w:tc>
          <w:tcPr>
            <w:tcW w:w="2172" w:type="pct"/>
          </w:tcPr>
          <w:p w14:paraId="0882D22A"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pacing w:val="-2"/>
                <w:sz w:val="20"/>
                <w:szCs w:val="20"/>
                <w:lang w:val="en-GB"/>
              </w:rPr>
            </w:pPr>
          </w:p>
        </w:tc>
        <w:tc>
          <w:tcPr>
            <w:tcW w:w="707" w:type="pct"/>
            <w:tcBorders>
              <w:top w:val="single" w:sz="4" w:space="0" w:color="auto"/>
              <w:bottom w:val="single" w:sz="12" w:space="0" w:color="auto"/>
            </w:tcBorders>
            <w:vAlign w:val="bottom"/>
          </w:tcPr>
          <w:p w14:paraId="1DC53EB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629,193</w:t>
            </w:r>
          </w:p>
        </w:tc>
        <w:tc>
          <w:tcPr>
            <w:tcW w:w="707" w:type="pct"/>
            <w:tcBorders>
              <w:top w:val="single" w:sz="4" w:space="0" w:color="auto"/>
              <w:bottom w:val="single" w:sz="12" w:space="0" w:color="auto"/>
            </w:tcBorders>
            <w:vAlign w:val="bottom"/>
          </w:tcPr>
          <w:p w14:paraId="330305AD"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pacing w:val="-2"/>
                <w:sz w:val="20"/>
                <w:szCs w:val="20"/>
                <w:lang w:val="hr-HR"/>
              </w:rPr>
            </w:pPr>
            <w:r w:rsidRPr="00587444">
              <w:rPr>
                <w:rFonts w:ascii="Arial" w:hAnsi="Arial" w:cs="Arial"/>
                <w:b/>
                <w:bCs/>
                <w:color w:val="000000"/>
                <w:spacing w:val="-2"/>
                <w:sz w:val="20"/>
                <w:szCs w:val="20"/>
                <w:lang w:val="hr-HR"/>
              </w:rPr>
              <w:t>677,437</w:t>
            </w:r>
          </w:p>
        </w:tc>
        <w:tc>
          <w:tcPr>
            <w:tcW w:w="707" w:type="pct"/>
            <w:tcBorders>
              <w:top w:val="single" w:sz="4" w:space="0" w:color="auto"/>
              <w:bottom w:val="single" w:sz="12" w:space="0" w:color="auto"/>
            </w:tcBorders>
            <w:vAlign w:val="bottom"/>
          </w:tcPr>
          <w:p w14:paraId="15FD925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627,881</w:t>
            </w:r>
          </w:p>
        </w:tc>
        <w:tc>
          <w:tcPr>
            <w:tcW w:w="707" w:type="pct"/>
            <w:tcBorders>
              <w:top w:val="single" w:sz="4" w:space="0" w:color="auto"/>
              <w:bottom w:val="single" w:sz="12" w:space="0" w:color="auto"/>
            </w:tcBorders>
            <w:vAlign w:val="bottom"/>
          </w:tcPr>
          <w:p w14:paraId="3BE385DB"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pacing w:val="-2"/>
                <w:sz w:val="20"/>
                <w:szCs w:val="20"/>
                <w:lang w:val="hr-HR"/>
              </w:rPr>
            </w:pPr>
            <w:r w:rsidRPr="00587444">
              <w:rPr>
                <w:rFonts w:ascii="Arial" w:hAnsi="Arial" w:cs="Arial"/>
                <w:b/>
                <w:bCs/>
                <w:color w:val="000000"/>
                <w:sz w:val="20"/>
                <w:szCs w:val="20"/>
                <w:lang w:val="hr-HR"/>
              </w:rPr>
              <w:t>676,167</w:t>
            </w:r>
          </w:p>
        </w:tc>
      </w:tr>
    </w:tbl>
    <w:p w14:paraId="7CE24B80" w14:textId="77777777" w:rsidR="00587444" w:rsidRPr="00587444" w:rsidRDefault="00587444" w:rsidP="00587932">
      <w:pPr>
        <w:tabs>
          <w:tab w:val="left" w:pos="426"/>
        </w:tabs>
        <w:autoSpaceDN/>
        <w:jc w:val="both"/>
        <w:rPr>
          <w:rFonts w:ascii="Arial" w:hAnsi="Arial" w:cs="Arial"/>
          <w:bCs/>
          <w:sz w:val="20"/>
          <w:szCs w:val="20"/>
          <w:lang w:val="en-GB"/>
        </w:rPr>
      </w:pPr>
    </w:p>
    <w:p w14:paraId="10775E92" w14:textId="77777777" w:rsidR="00587444" w:rsidRPr="00587444" w:rsidRDefault="00587444" w:rsidP="00587932">
      <w:pPr>
        <w:tabs>
          <w:tab w:val="left" w:pos="426"/>
        </w:tabs>
        <w:autoSpaceDN/>
        <w:jc w:val="both"/>
        <w:rPr>
          <w:rFonts w:ascii="Arial" w:hAnsi="Arial" w:cs="Arial"/>
          <w:sz w:val="20"/>
          <w:szCs w:val="20"/>
          <w:lang w:val="en-GB"/>
        </w:rPr>
      </w:pPr>
      <w:r w:rsidRPr="00587444">
        <w:rPr>
          <w:rFonts w:ascii="Arial" w:hAnsi="Arial" w:cs="Arial"/>
          <w:bCs/>
          <w:sz w:val="20"/>
          <w:szCs w:val="20"/>
          <w:lang w:val="en-GB"/>
        </w:rPr>
        <w:t xml:space="preserve">The main difference between interest income and interest received or collected (see Statement of Cash Flows) mostly relates to the income in respect to interest subsidies inflows that are recorded upon payment. The discounted amount of the interest subsidies provided for the final user is presented as deferred interest income (see Note 25 Other liabilities) and is recognized in profit or loss on a time basis during the repayment of the loan. Interest income earned on this basis in 2022 amounts to HRK 58,896 thousand (31 December 2021: HRK 48,331 thousand). </w:t>
      </w:r>
    </w:p>
    <w:p w14:paraId="4E73BE43" w14:textId="77777777" w:rsidR="00587444" w:rsidRPr="00587444" w:rsidRDefault="00587444" w:rsidP="00587444">
      <w:pPr>
        <w:tabs>
          <w:tab w:val="left" w:pos="426"/>
        </w:tabs>
        <w:suppressAutoHyphens w:val="0"/>
        <w:autoSpaceDN/>
        <w:jc w:val="both"/>
        <w:rPr>
          <w:rFonts w:ascii="Arial" w:hAnsi="Arial" w:cs="Arial"/>
          <w:sz w:val="20"/>
          <w:szCs w:val="20"/>
          <w:lang w:val="en-GB"/>
        </w:rPr>
      </w:pPr>
    </w:p>
    <w:p w14:paraId="4956E529" w14:textId="77777777" w:rsidR="00587444" w:rsidRPr="00587444" w:rsidRDefault="00587444" w:rsidP="00587444">
      <w:pPr>
        <w:keepNext/>
        <w:suppressAutoHyphens w:val="0"/>
        <w:autoSpaceDN/>
        <w:spacing w:before="120" w:line="300" w:lineRule="exact"/>
        <w:jc w:val="both"/>
        <w:rPr>
          <w:rFonts w:ascii="Arial" w:hAnsi="Arial" w:cs="Arial"/>
          <w:b/>
          <w:bCs/>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25A2210D" w14:textId="77777777" w:rsidR="00587444" w:rsidRPr="00587444" w:rsidRDefault="00587444" w:rsidP="00587444">
      <w:pPr>
        <w:keepNext/>
        <w:tabs>
          <w:tab w:val="left" w:pos="567"/>
        </w:tabs>
        <w:suppressAutoHyphens w:val="0"/>
        <w:autoSpaceDN/>
        <w:jc w:val="both"/>
        <w:rPr>
          <w:rFonts w:ascii="Arial" w:hAnsi="Arial" w:cs="Arial"/>
          <w:b/>
          <w:sz w:val="20"/>
          <w:szCs w:val="20"/>
          <w:lang w:val="en-GB"/>
        </w:rPr>
      </w:pPr>
    </w:p>
    <w:p w14:paraId="57DAAA5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 xml:space="preserve">6. </w:t>
      </w:r>
      <w:r w:rsidRPr="00587444">
        <w:rPr>
          <w:rFonts w:ascii="Arial" w:hAnsi="Arial" w:cs="Arial"/>
          <w:b/>
          <w:bCs/>
          <w:sz w:val="20"/>
          <w:szCs w:val="20"/>
          <w:lang w:val="en-GB"/>
        </w:rPr>
        <w:tab/>
        <w:t>Interest expense</w:t>
      </w:r>
    </w:p>
    <w:p w14:paraId="7AC4C0E9" w14:textId="77777777" w:rsidR="00587444" w:rsidRPr="00587444" w:rsidRDefault="00587444" w:rsidP="00587444">
      <w:pPr>
        <w:keepNext/>
        <w:suppressAutoHyphens w:val="0"/>
        <w:autoSpaceDN/>
        <w:jc w:val="both"/>
        <w:rPr>
          <w:rFonts w:ascii="Arial" w:hAnsi="Arial" w:cs="Arial"/>
          <w:sz w:val="20"/>
          <w:szCs w:val="20"/>
          <w:lang w:val="en-GB"/>
        </w:rPr>
      </w:pPr>
    </w:p>
    <w:p w14:paraId="6929A287"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Interest expense by type of payee:</w:t>
      </w:r>
    </w:p>
    <w:tbl>
      <w:tblPr>
        <w:tblW w:w="5005" w:type="pct"/>
        <w:tblLayout w:type="fixed"/>
        <w:tblCellMar>
          <w:left w:w="122" w:type="dxa"/>
          <w:right w:w="122" w:type="dxa"/>
        </w:tblCellMar>
        <w:tblLook w:val="0000" w:firstRow="0" w:lastRow="0" w:firstColumn="0" w:lastColumn="0" w:noHBand="0" w:noVBand="0"/>
      </w:tblPr>
      <w:tblGrid>
        <w:gridCol w:w="4225"/>
        <w:gridCol w:w="1345"/>
        <w:gridCol w:w="1347"/>
        <w:gridCol w:w="1347"/>
        <w:gridCol w:w="1345"/>
      </w:tblGrid>
      <w:tr w:rsidR="00587444" w:rsidRPr="00587444" w14:paraId="230B6529" w14:textId="77777777" w:rsidTr="00DD69E7">
        <w:trPr>
          <w:trHeight w:val="266"/>
        </w:trPr>
        <w:tc>
          <w:tcPr>
            <w:tcW w:w="2198" w:type="pct"/>
          </w:tcPr>
          <w:p w14:paraId="7D4D06DB" w14:textId="77777777" w:rsidR="00587444" w:rsidRPr="00587444" w:rsidRDefault="00587444" w:rsidP="00587444">
            <w:pPr>
              <w:tabs>
                <w:tab w:val="left" w:pos="-720"/>
              </w:tabs>
              <w:autoSpaceDN/>
              <w:jc w:val="right"/>
              <w:rPr>
                <w:rFonts w:ascii="Arial" w:hAnsi="Arial" w:cs="Arial"/>
                <w:spacing w:val="-3"/>
                <w:sz w:val="20"/>
                <w:szCs w:val="20"/>
                <w:lang w:val="en-GB"/>
              </w:rPr>
            </w:pPr>
          </w:p>
        </w:tc>
        <w:tc>
          <w:tcPr>
            <w:tcW w:w="700" w:type="pct"/>
          </w:tcPr>
          <w:p w14:paraId="0F0CFC6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1" w:type="pct"/>
          </w:tcPr>
          <w:p w14:paraId="003B537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56" w:name="_Toc4057853"/>
            <w:r w:rsidRPr="00587444">
              <w:rPr>
                <w:rFonts w:ascii="Arial" w:hAnsi="Arial" w:cs="Arial"/>
                <w:b/>
                <w:sz w:val="20"/>
                <w:szCs w:val="20"/>
                <w:lang w:val="hr-HR"/>
              </w:rPr>
              <w:t>Group</w:t>
            </w:r>
            <w:bookmarkEnd w:id="456"/>
          </w:p>
        </w:tc>
        <w:tc>
          <w:tcPr>
            <w:tcW w:w="701" w:type="pct"/>
          </w:tcPr>
          <w:p w14:paraId="7EFE76A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0" w:type="pct"/>
          </w:tcPr>
          <w:p w14:paraId="031A4D12"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57" w:name="_Toc4057854"/>
            <w:r w:rsidRPr="00587444">
              <w:rPr>
                <w:rFonts w:ascii="Arial" w:hAnsi="Arial" w:cs="Arial"/>
                <w:b/>
                <w:sz w:val="20"/>
                <w:szCs w:val="20"/>
                <w:lang w:val="hr-HR"/>
              </w:rPr>
              <w:t>Bank</w:t>
            </w:r>
            <w:bookmarkEnd w:id="457"/>
          </w:p>
        </w:tc>
      </w:tr>
      <w:tr w:rsidR="00587444" w:rsidRPr="00587444" w14:paraId="41BE62A9" w14:textId="77777777" w:rsidTr="00DD69E7">
        <w:trPr>
          <w:trHeight w:val="266"/>
        </w:trPr>
        <w:tc>
          <w:tcPr>
            <w:tcW w:w="2198" w:type="pct"/>
          </w:tcPr>
          <w:p w14:paraId="0734A387" w14:textId="77777777" w:rsidR="00587444" w:rsidRPr="00587444" w:rsidRDefault="00587444" w:rsidP="00587444">
            <w:pPr>
              <w:tabs>
                <w:tab w:val="left" w:pos="-720"/>
              </w:tabs>
              <w:autoSpaceDN/>
              <w:jc w:val="right"/>
              <w:rPr>
                <w:rFonts w:ascii="Arial" w:hAnsi="Arial" w:cs="Arial"/>
                <w:spacing w:val="-3"/>
                <w:sz w:val="20"/>
                <w:szCs w:val="20"/>
                <w:lang w:val="en-GB"/>
              </w:rPr>
            </w:pPr>
          </w:p>
        </w:tc>
        <w:tc>
          <w:tcPr>
            <w:tcW w:w="700" w:type="pct"/>
            <w:vAlign w:val="center"/>
          </w:tcPr>
          <w:p w14:paraId="09721D0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701" w:type="pct"/>
            <w:vAlign w:val="center"/>
          </w:tcPr>
          <w:p w14:paraId="79D15F99"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2021</w:t>
            </w:r>
          </w:p>
        </w:tc>
        <w:tc>
          <w:tcPr>
            <w:tcW w:w="701" w:type="pct"/>
            <w:vAlign w:val="center"/>
          </w:tcPr>
          <w:p w14:paraId="704D75A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700" w:type="pct"/>
            <w:vAlign w:val="center"/>
          </w:tcPr>
          <w:p w14:paraId="66A7784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2021</w:t>
            </w:r>
          </w:p>
        </w:tc>
      </w:tr>
      <w:tr w:rsidR="00587444" w:rsidRPr="00587444" w14:paraId="1D7463DA" w14:textId="77777777" w:rsidTr="00DD69E7">
        <w:tblPrEx>
          <w:tblCellMar>
            <w:left w:w="108" w:type="dxa"/>
            <w:right w:w="108" w:type="dxa"/>
          </w:tblCellMar>
        </w:tblPrEx>
        <w:trPr>
          <w:trHeight w:val="166"/>
        </w:trPr>
        <w:tc>
          <w:tcPr>
            <w:tcW w:w="2198" w:type="pct"/>
          </w:tcPr>
          <w:p w14:paraId="3FDBB494" w14:textId="77777777" w:rsidR="00587444" w:rsidRPr="00587444" w:rsidRDefault="00587444" w:rsidP="00587444">
            <w:pPr>
              <w:tabs>
                <w:tab w:val="left" w:pos="-720"/>
              </w:tabs>
              <w:autoSpaceDN/>
              <w:ind w:right="4144"/>
              <w:jc w:val="right"/>
              <w:rPr>
                <w:rFonts w:ascii="Arial" w:hAnsi="Arial" w:cs="Arial"/>
                <w:sz w:val="20"/>
                <w:szCs w:val="20"/>
                <w:lang w:val="en-GB"/>
              </w:rPr>
            </w:pPr>
          </w:p>
        </w:tc>
        <w:tc>
          <w:tcPr>
            <w:tcW w:w="700" w:type="pct"/>
          </w:tcPr>
          <w:p w14:paraId="6AAB5AA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58" w:name="_Toc4057859"/>
            <w:r w:rsidRPr="00587444">
              <w:rPr>
                <w:rFonts w:ascii="Arial" w:hAnsi="Arial" w:cs="Arial"/>
                <w:b/>
                <w:sz w:val="20"/>
                <w:szCs w:val="20"/>
                <w:lang w:val="en-GB"/>
              </w:rPr>
              <w:t>HRK ‘000</w:t>
            </w:r>
            <w:bookmarkEnd w:id="458"/>
          </w:p>
        </w:tc>
        <w:tc>
          <w:tcPr>
            <w:tcW w:w="701" w:type="pct"/>
          </w:tcPr>
          <w:p w14:paraId="4AC2483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59" w:name="_Toc4057860"/>
            <w:r w:rsidRPr="00587444">
              <w:rPr>
                <w:rFonts w:ascii="Arial" w:hAnsi="Arial" w:cs="Arial"/>
                <w:b/>
                <w:sz w:val="20"/>
                <w:szCs w:val="20"/>
                <w:lang w:val="en-GB"/>
              </w:rPr>
              <w:t>HRK ‘000</w:t>
            </w:r>
            <w:bookmarkEnd w:id="459"/>
          </w:p>
        </w:tc>
        <w:tc>
          <w:tcPr>
            <w:tcW w:w="701" w:type="pct"/>
          </w:tcPr>
          <w:p w14:paraId="1A58FD49"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60" w:name="_Toc4057861"/>
            <w:r w:rsidRPr="00587444">
              <w:rPr>
                <w:rFonts w:ascii="Arial" w:hAnsi="Arial" w:cs="Arial"/>
                <w:b/>
                <w:sz w:val="20"/>
                <w:szCs w:val="20"/>
                <w:lang w:val="en-GB"/>
              </w:rPr>
              <w:t>HRK ‘000</w:t>
            </w:r>
            <w:bookmarkEnd w:id="460"/>
          </w:p>
        </w:tc>
        <w:tc>
          <w:tcPr>
            <w:tcW w:w="700" w:type="pct"/>
          </w:tcPr>
          <w:p w14:paraId="62F99FC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61" w:name="_Toc4057862"/>
            <w:r w:rsidRPr="00587444">
              <w:rPr>
                <w:rFonts w:ascii="Arial" w:hAnsi="Arial" w:cs="Arial"/>
                <w:b/>
                <w:sz w:val="20"/>
                <w:szCs w:val="20"/>
                <w:lang w:val="en-GB"/>
              </w:rPr>
              <w:t>HRK ‘000</w:t>
            </w:r>
            <w:bookmarkEnd w:id="461"/>
          </w:p>
        </w:tc>
      </w:tr>
      <w:tr w:rsidR="00587444" w:rsidRPr="00587444" w14:paraId="69C9FB05" w14:textId="77777777" w:rsidTr="00DD69E7">
        <w:tblPrEx>
          <w:tblCellMar>
            <w:left w:w="108" w:type="dxa"/>
            <w:right w:w="108" w:type="dxa"/>
          </w:tblCellMar>
        </w:tblPrEx>
        <w:trPr>
          <w:trHeight w:val="241"/>
        </w:trPr>
        <w:tc>
          <w:tcPr>
            <w:tcW w:w="2198" w:type="pct"/>
          </w:tcPr>
          <w:p w14:paraId="152756A6" w14:textId="77777777" w:rsidR="00587444" w:rsidRPr="00587444" w:rsidRDefault="00587444" w:rsidP="00587444">
            <w:pPr>
              <w:tabs>
                <w:tab w:val="left" w:pos="-720"/>
              </w:tabs>
              <w:autoSpaceDN/>
              <w:rPr>
                <w:rFonts w:ascii="Arial" w:hAnsi="Arial" w:cs="Arial"/>
                <w:spacing w:val="-3"/>
                <w:sz w:val="20"/>
                <w:szCs w:val="20"/>
                <w:lang w:val="en-GB"/>
              </w:rPr>
            </w:pPr>
          </w:p>
        </w:tc>
        <w:tc>
          <w:tcPr>
            <w:tcW w:w="700" w:type="pct"/>
          </w:tcPr>
          <w:p w14:paraId="2133D77A" w14:textId="77777777" w:rsidR="00587444" w:rsidRPr="00587444" w:rsidRDefault="00587444" w:rsidP="00587444">
            <w:pPr>
              <w:tabs>
                <w:tab w:val="left" w:pos="-720"/>
              </w:tabs>
              <w:autoSpaceDN/>
              <w:jc w:val="right"/>
              <w:rPr>
                <w:rFonts w:ascii="Arial" w:hAnsi="Arial" w:cs="Arial"/>
                <w:b/>
                <w:spacing w:val="-3"/>
                <w:sz w:val="20"/>
                <w:szCs w:val="20"/>
                <w:lang w:val="en-GB"/>
              </w:rPr>
            </w:pPr>
          </w:p>
        </w:tc>
        <w:tc>
          <w:tcPr>
            <w:tcW w:w="701" w:type="pct"/>
          </w:tcPr>
          <w:p w14:paraId="5CDE2D7F" w14:textId="77777777" w:rsidR="00587444" w:rsidRPr="00587444" w:rsidRDefault="00587444" w:rsidP="00587444">
            <w:pPr>
              <w:tabs>
                <w:tab w:val="left" w:pos="-720"/>
              </w:tabs>
              <w:autoSpaceDN/>
              <w:jc w:val="right"/>
              <w:rPr>
                <w:rFonts w:ascii="Arial" w:hAnsi="Arial" w:cs="Arial"/>
                <w:b/>
                <w:spacing w:val="-3"/>
                <w:sz w:val="20"/>
                <w:szCs w:val="20"/>
                <w:lang w:val="en-GB"/>
              </w:rPr>
            </w:pPr>
          </w:p>
        </w:tc>
        <w:tc>
          <w:tcPr>
            <w:tcW w:w="701" w:type="pct"/>
          </w:tcPr>
          <w:p w14:paraId="52845A98" w14:textId="77777777" w:rsidR="00587444" w:rsidRPr="00587444" w:rsidRDefault="00587444" w:rsidP="00587444">
            <w:pPr>
              <w:tabs>
                <w:tab w:val="left" w:pos="-720"/>
              </w:tabs>
              <w:autoSpaceDN/>
              <w:jc w:val="right"/>
              <w:rPr>
                <w:rFonts w:ascii="Arial" w:hAnsi="Arial" w:cs="Arial"/>
                <w:b/>
                <w:spacing w:val="-3"/>
                <w:sz w:val="20"/>
                <w:szCs w:val="20"/>
                <w:lang w:val="en-GB"/>
              </w:rPr>
            </w:pPr>
          </w:p>
        </w:tc>
        <w:tc>
          <w:tcPr>
            <w:tcW w:w="700" w:type="pct"/>
          </w:tcPr>
          <w:p w14:paraId="3A9463EB" w14:textId="77777777" w:rsidR="00587444" w:rsidRPr="00587444" w:rsidRDefault="00587444" w:rsidP="00587444">
            <w:pPr>
              <w:tabs>
                <w:tab w:val="left" w:pos="-720"/>
              </w:tabs>
              <w:autoSpaceDN/>
              <w:jc w:val="right"/>
              <w:rPr>
                <w:rFonts w:ascii="Arial" w:hAnsi="Arial" w:cs="Arial"/>
                <w:b/>
                <w:spacing w:val="-3"/>
                <w:sz w:val="20"/>
                <w:szCs w:val="20"/>
                <w:lang w:val="en-GB"/>
              </w:rPr>
            </w:pPr>
          </w:p>
        </w:tc>
      </w:tr>
      <w:tr w:rsidR="00587444" w:rsidRPr="00587444" w14:paraId="55039A55" w14:textId="77777777" w:rsidTr="00DD69E7">
        <w:trPr>
          <w:trHeight w:val="265"/>
        </w:trPr>
        <w:tc>
          <w:tcPr>
            <w:tcW w:w="2198" w:type="pct"/>
          </w:tcPr>
          <w:p w14:paraId="04AFE80E"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462" w:name="_Toc4057863"/>
            <w:r w:rsidRPr="00587444">
              <w:rPr>
                <w:rFonts w:ascii="Arial" w:hAnsi="Arial" w:cs="Arial"/>
                <w:sz w:val="20"/>
                <w:szCs w:val="20"/>
                <w:lang w:val="en-GB"/>
              </w:rPr>
              <w:t>Domestic financial institutions</w:t>
            </w:r>
            <w:bookmarkEnd w:id="462"/>
          </w:p>
        </w:tc>
        <w:tc>
          <w:tcPr>
            <w:tcW w:w="700" w:type="pct"/>
            <w:tcBorders>
              <w:top w:val="nil"/>
              <w:left w:val="nil"/>
              <w:bottom w:val="nil"/>
              <w:right w:val="nil"/>
            </w:tcBorders>
            <w:shd w:val="clear" w:color="auto" w:fill="auto"/>
            <w:vAlign w:val="bottom"/>
          </w:tcPr>
          <w:p w14:paraId="6B66108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609 </w:t>
            </w:r>
          </w:p>
        </w:tc>
        <w:tc>
          <w:tcPr>
            <w:tcW w:w="701" w:type="pct"/>
            <w:tcBorders>
              <w:top w:val="nil"/>
              <w:left w:val="nil"/>
              <w:bottom w:val="nil"/>
              <w:right w:val="nil"/>
            </w:tcBorders>
            <w:shd w:val="clear" w:color="auto" w:fill="auto"/>
          </w:tcPr>
          <w:p w14:paraId="459470F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6</w:t>
            </w:r>
          </w:p>
        </w:tc>
        <w:tc>
          <w:tcPr>
            <w:tcW w:w="701" w:type="pct"/>
            <w:tcBorders>
              <w:top w:val="nil"/>
              <w:left w:val="nil"/>
              <w:bottom w:val="nil"/>
              <w:right w:val="nil"/>
            </w:tcBorders>
            <w:shd w:val="clear" w:color="auto" w:fill="auto"/>
            <w:vAlign w:val="bottom"/>
          </w:tcPr>
          <w:p w14:paraId="6ABEABD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609 </w:t>
            </w:r>
          </w:p>
        </w:tc>
        <w:tc>
          <w:tcPr>
            <w:tcW w:w="700" w:type="pct"/>
            <w:tcBorders>
              <w:top w:val="nil"/>
              <w:left w:val="nil"/>
              <w:bottom w:val="nil"/>
              <w:right w:val="nil"/>
            </w:tcBorders>
            <w:shd w:val="clear" w:color="auto" w:fill="auto"/>
          </w:tcPr>
          <w:p w14:paraId="2FD3377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6</w:t>
            </w:r>
          </w:p>
        </w:tc>
      </w:tr>
      <w:tr w:rsidR="00587444" w:rsidRPr="00587444" w14:paraId="2FB1A392" w14:textId="77777777" w:rsidTr="00DD69E7">
        <w:trPr>
          <w:trHeight w:val="265"/>
        </w:trPr>
        <w:tc>
          <w:tcPr>
            <w:tcW w:w="2198" w:type="pct"/>
          </w:tcPr>
          <w:p w14:paraId="0644A160"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463" w:name="_Toc4057868"/>
            <w:r w:rsidRPr="00587444">
              <w:rPr>
                <w:rFonts w:ascii="Arial" w:hAnsi="Arial" w:cs="Arial"/>
                <w:sz w:val="20"/>
                <w:szCs w:val="20"/>
                <w:lang w:val="en-GB"/>
              </w:rPr>
              <w:t>Foreign financial institutions</w:t>
            </w:r>
            <w:bookmarkEnd w:id="463"/>
          </w:p>
        </w:tc>
        <w:tc>
          <w:tcPr>
            <w:tcW w:w="700" w:type="pct"/>
            <w:tcBorders>
              <w:top w:val="nil"/>
              <w:left w:val="nil"/>
              <w:bottom w:val="nil"/>
              <w:right w:val="nil"/>
            </w:tcBorders>
            <w:shd w:val="clear" w:color="auto" w:fill="auto"/>
            <w:vAlign w:val="bottom"/>
          </w:tcPr>
          <w:p w14:paraId="11EF81F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143,613 </w:t>
            </w:r>
          </w:p>
        </w:tc>
        <w:tc>
          <w:tcPr>
            <w:tcW w:w="701" w:type="pct"/>
            <w:tcBorders>
              <w:top w:val="nil"/>
              <w:left w:val="nil"/>
              <w:bottom w:val="nil"/>
              <w:right w:val="nil"/>
            </w:tcBorders>
            <w:shd w:val="clear" w:color="auto" w:fill="auto"/>
          </w:tcPr>
          <w:p w14:paraId="2C59D35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170,811</w:t>
            </w:r>
          </w:p>
        </w:tc>
        <w:tc>
          <w:tcPr>
            <w:tcW w:w="701" w:type="pct"/>
            <w:tcBorders>
              <w:top w:val="nil"/>
              <w:left w:val="nil"/>
              <w:bottom w:val="nil"/>
              <w:right w:val="nil"/>
            </w:tcBorders>
            <w:shd w:val="clear" w:color="auto" w:fill="auto"/>
            <w:vAlign w:val="bottom"/>
          </w:tcPr>
          <w:p w14:paraId="0D0EB9E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143,613 </w:t>
            </w:r>
          </w:p>
        </w:tc>
        <w:tc>
          <w:tcPr>
            <w:tcW w:w="700" w:type="pct"/>
            <w:tcBorders>
              <w:top w:val="nil"/>
              <w:left w:val="nil"/>
              <w:bottom w:val="nil"/>
              <w:right w:val="nil"/>
            </w:tcBorders>
            <w:shd w:val="clear" w:color="auto" w:fill="auto"/>
          </w:tcPr>
          <w:p w14:paraId="08FEBD5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170,811</w:t>
            </w:r>
          </w:p>
        </w:tc>
      </w:tr>
      <w:tr w:rsidR="00587444" w:rsidRPr="00587444" w14:paraId="6DAC7F53" w14:textId="77777777" w:rsidTr="00DD69E7">
        <w:trPr>
          <w:trHeight w:val="265"/>
        </w:trPr>
        <w:tc>
          <w:tcPr>
            <w:tcW w:w="2198" w:type="pct"/>
          </w:tcPr>
          <w:p w14:paraId="4CDCD508"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State units</w:t>
            </w:r>
          </w:p>
        </w:tc>
        <w:tc>
          <w:tcPr>
            <w:tcW w:w="700" w:type="pct"/>
            <w:tcBorders>
              <w:top w:val="nil"/>
              <w:left w:val="nil"/>
              <w:bottom w:val="nil"/>
              <w:right w:val="nil"/>
            </w:tcBorders>
            <w:shd w:val="clear" w:color="auto" w:fill="auto"/>
            <w:vAlign w:val="bottom"/>
          </w:tcPr>
          <w:p w14:paraId="4EE5683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14,101 </w:t>
            </w:r>
          </w:p>
        </w:tc>
        <w:tc>
          <w:tcPr>
            <w:tcW w:w="701" w:type="pct"/>
            <w:tcBorders>
              <w:top w:val="nil"/>
              <w:left w:val="nil"/>
              <w:bottom w:val="nil"/>
              <w:right w:val="nil"/>
            </w:tcBorders>
            <w:shd w:val="clear" w:color="auto" w:fill="auto"/>
          </w:tcPr>
          <w:p w14:paraId="51DB53A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sz w:val="20"/>
                <w:szCs w:val="20"/>
                <w:lang w:val="en-GB"/>
              </w:rPr>
              <w:t>13,737</w:t>
            </w:r>
          </w:p>
        </w:tc>
        <w:tc>
          <w:tcPr>
            <w:tcW w:w="701" w:type="pct"/>
            <w:tcBorders>
              <w:top w:val="nil"/>
              <w:left w:val="nil"/>
              <w:bottom w:val="nil"/>
              <w:right w:val="nil"/>
            </w:tcBorders>
            <w:shd w:val="clear" w:color="auto" w:fill="auto"/>
            <w:vAlign w:val="bottom"/>
          </w:tcPr>
          <w:p w14:paraId="66241EE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14,101 </w:t>
            </w:r>
          </w:p>
        </w:tc>
        <w:tc>
          <w:tcPr>
            <w:tcW w:w="700" w:type="pct"/>
            <w:tcBorders>
              <w:top w:val="nil"/>
              <w:left w:val="nil"/>
              <w:bottom w:val="nil"/>
              <w:right w:val="nil"/>
            </w:tcBorders>
            <w:shd w:val="clear" w:color="auto" w:fill="auto"/>
          </w:tcPr>
          <w:p w14:paraId="12C3695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13,737</w:t>
            </w:r>
          </w:p>
        </w:tc>
      </w:tr>
      <w:tr w:rsidR="00587444" w:rsidRPr="00587444" w14:paraId="3A06B481" w14:textId="77777777" w:rsidTr="00DD69E7">
        <w:trPr>
          <w:trHeight w:val="265"/>
        </w:trPr>
        <w:tc>
          <w:tcPr>
            <w:tcW w:w="2198" w:type="pct"/>
          </w:tcPr>
          <w:p w14:paraId="0D9D7BC1"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Other</w:t>
            </w:r>
          </w:p>
        </w:tc>
        <w:tc>
          <w:tcPr>
            <w:tcW w:w="700" w:type="pct"/>
            <w:tcBorders>
              <w:top w:val="nil"/>
              <w:left w:val="nil"/>
              <w:bottom w:val="nil"/>
              <w:right w:val="nil"/>
            </w:tcBorders>
            <w:shd w:val="clear" w:color="auto" w:fill="auto"/>
            <w:vAlign w:val="bottom"/>
          </w:tcPr>
          <w:p w14:paraId="6DA1647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93 </w:t>
            </w:r>
          </w:p>
        </w:tc>
        <w:tc>
          <w:tcPr>
            <w:tcW w:w="701" w:type="pct"/>
            <w:tcBorders>
              <w:top w:val="nil"/>
              <w:left w:val="nil"/>
              <w:bottom w:val="nil"/>
              <w:right w:val="nil"/>
            </w:tcBorders>
            <w:shd w:val="clear" w:color="auto" w:fill="auto"/>
          </w:tcPr>
          <w:p w14:paraId="639822C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72</w:t>
            </w:r>
          </w:p>
        </w:tc>
        <w:tc>
          <w:tcPr>
            <w:tcW w:w="701" w:type="pct"/>
            <w:tcBorders>
              <w:top w:val="nil"/>
              <w:left w:val="nil"/>
              <w:bottom w:val="nil"/>
              <w:right w:val="nil"/>
            </w:tcBorders>
            <w:shd w:val="clear" w:color="auto" w:fill="auto"/>
            <w:vAlign w:val="bottom"/>
          </w:tcPr>
          <w:p w14:paraId="5E7A84A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83 </w:t>
            </w:r>
          </w:p>
        </w:tc>
        <w:tc>
          <w:tcPr>
            <w:tcW w:w="700" w:type="pct"/>
            <w:tcBorders>
              <w:top w:val="nil"/>
              <w:left w:val="nil"/>
              <w:bottom w:val="nil"/>
              <w:right w:val="nil"/>
            </w:tcBorders>
            <w:shd w:val="clear" w:color="auto" w:fill="auto"/>
          </w:tcPr>
          <w:p w14:paraId="1D3FF78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56</w:t>
            </w:r>
          </w:p>
        </w:tc>
      </w:tr>
      <w:tr w:rsidR="00587444" w:rsidRPr="00587444" w14:paraId="73592D28" w14:textId="77777777" w:rsidTr="00DD69E7">
        <w:trPr>
          <w:trHeight w:val="301"/>
        </w:trPr>
        <w:tc>
          <w:tcPr>
            <w:tcW w:w="2198" w:type="pct"/>
          </w:tcPr>
          <w:p w14:paraId="2E478BE3"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p>
        </w:tc>
        <w:tc>
          <w:tcPr>
            <w:tcW w:w="700" w:type="pct"/>
            <w:tcBorders>
              <w:top w:val="single" w:sz="4" w:space="0" w:color="auto"/>
              <w:bottom w:val="single" w:sz="12" w:space="0" w:color="auto"/>
            </w:tcBorders>
            <w:vAlign w:val="bottom"/>
          </w:tcPr>
          <w:p w14:paraId="09CE40D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158,416</w:t>
            </w:r>
          </w:p>
        </w:tc>
        <w:tc>
          <w:tcPr>
            <w:tcW w:w="701" w:type="pct"/>
            <w:tcBorders>
              <w:top w:val="single" w:sz="4" w:space="0" w:color="auto"/>
              <w:bottom w:val="single" w:sz="12" w:space="0" w:color="auto"/>
            </w:tcBorders>
          </w:tcPr>
          <w:p w14:paraId="4899FC27"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184,626</w:t>
            </w:r>
          </w:p>
        </w:tc>
        <w:tc>
          <w:tcPr>
            <w:tcW w:w="701" w:type="pct"/>
            <w:tcBorders>
              <w:top w:val="single" w:sz="4" w:space="0" w:color="auto"/>
              <w:bottom w:val="single" w:sz="12" w:space="0" w:color="auto"/>
            </w:tcBorders>
            <w:vAlign w:val="bottom"/>
          </w:tcPr>
          <w:p w14:paraId="566B36A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158,406</w:t>
            </w:r>
          </w:p>
        </w:tc>
        <w:tc>
          <w:tcPr>
            <w:tcW w:w="700" w:type="pct"/>
            <w:tcBorders>
              <w:top w:val="single" w:sz="4" w:space="0" w:color="auto"/>
              <w:bottom w:val="single" w:sz="12" w:space="0" w:color="auto"/>
            </w:tcBorders>
          </w:tcPr>
          <w:p w14:paraId="6A1CF112"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184,610</w:t>
            </w:r>
          </w:p>
        </w:tc>
      </w:tr>
    </w:tbl>
    <w:p w14:paraId="3F264DC5"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Interest expense by type of facility:</w:t>
      </w:r>
    </w:p>
    <w:tbl>
      <w:tblPr>
        <w:tblW w:w="5012" w:type="pct"/>
        <w:tblLayout w:type="fixed"/>
        <w:tblCellMar>
          <w:left w:w="122" w:type="dxa"/>
          <w:right w:w="122" w:type="dxa"/>
        </w:tblCellMar>
        <w:tblLook w:val="0000" w:firstRow="0" w:lastRow="0" w:firstColumn="0" w:lastColumn="0" w:noHBand="0" w:noVBand="0"/>
      </w:tblPr>
      <w:tblGrid>
        <w:gridCol w:w="4227"/>
        <w:gridCol w:w="1350"/>
        <w:gridCol w:w="1349"/>
        <w:gridCol w:w="1349"/>
        <w:gridCol w:w="1347"/>
      </w:tblGrid>
      <w:tr w:rsidR="00587444" w:rsidRPr="00587444" w14:paraId="018B0AE1" w14:textId="77777777" w:rsidTr="00DD69E7">
        <w:trPr>
          <w:trHeight w:val="255"/>
        </w:trPr>
        <w:tc>
          <w:tcPr>
            <w:tcW w:w="2196" w:type="pct"/>
          </w:tcPr>
          <w:p w14:paraId="3B824A52" w14:textId="77777777" w:rsidR="00587444" w:rsidRPr="00587444" w:rsidRDefault="00587444" w:rsidP="00587444">
            <w:pPr>
              <w:tabs>
                <w:tab w:val="left" w:pos="-720"/>
              </w:tabs>
              <w:autoSpaceDN/>
              <w:jc w:val="right"/>
              <w:rPr>
                <w:rFonts w:ascii="Arial" w:hAnsi="Arial" w:cs="Arial"/>
                <w:spacing w:val="-3"/>
                <w:sz w:val="20"/>
                <w:szCs w:val="20"/>
                <w:lang w:val="en-GB"/>
              </w:rPr>
            </w:pPr>
          </w:p>
        </w:tc>
        <w:tc>
          <w:tcPr>
            <w:tcW w:w="701" w:type="pct"/>
          </w:tcPr>
          <w:p w14:paraId="1069F7C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1" w:type="pct"/>
          </w:tcPr>
          <w:p w14:paraId="4C52FB1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64" w:name="_Toc4057877"/>
            <w:r w:rsidRPr="00587444">
              <w:rPr>
                <w:rFonts w:ascii="Arial" w:hAnsi="Arial" w:cs="Arial"/>
                <w:b/>
                <w:sz w:val="20"/>
                <w:szCs w:val="20"/>
                <w:lang w:val="hr-HR"/>
              </w:rPr>
              <w:t>Group</w:t>
            </w:r>
            <w:bookmarkEnd w:id="464"/>
          </w:p>
        </w:tc>
        <w:tc>
          <w:tcPr>
            <w:tcW w:w="701" w:type="pct"/>
          </w:tcPr>
          <w:p w14:paraId="26774F8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0" w:type="pct"/>
          </w:tcPr>
          <w:p w14:paraId="4A322A3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65" w:name="_Toc4057878"/>
            <w:r w:rsidRPr="00587444">
              <w:rPr>
                <w:rFonts w:ascii="Arial" w:hAnsi="Arial" w:cs="Arial"/>
                <w:b/>
                <w:sz w:val="20"/>
                <w:szCs w:val="20"/>
                <w:lang w:val="hr-HR"/>
              </w:rPr>
              <w:t>Bank</w:t>
            </w:r>
            <w:bookmarkEnd w:id="465"/>
          </w:p>
        </w:tc>
      </w:tr>
      <w:tr w:rsidR="00587444" w:rsidRPr="00587444" w14:paraId="4E9009C2" w14:textId="77777777" w:rsidTr="00DD69E7">
        <w:trPr>
          <w:trHeight w:val="255"/>
        </w:trPr>
        <w:tc>
          <w:tcPr>
            <w:tcW w:w="2196" w:type="pct"/>
          </w:tcPr>
          <w:p w14:paraId="4E2D0D5D" w14:textId="77777777" w:rsidR="00587444" w:rsidRPr="00587444" w:rsidRDefault="00587444" w:rsidP="00587444">
            <w:pPr>
              <w:tabs>
                <w:tab w:val="left" w:pos="-720"/>
              </w:tabs>
              <w:autoSpaceDN/>
              <w:jc w:val="right"/>
              <w:rPr>
                <w:rFonts w:ascii="Arial" w:hAnsi="Arial" w:cs="Arial"/>
                <w:spacing w:val="-3"/>
                <w:sz w:val="20"/>
                <w:szCs w:val="20"/>
                <w:lang w:val="en-GB"/>
              </w:rPr>
            </w:pPr>
          </w:p>
        </w:tc>
        <w:tc>
          <w:tcPr>
            <w:tcW w:w="701" w:type="pct"/>
            <w:vAlign w:val="center"/>
          </w:tcPr>
          <w:p w14:paraId="3166886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701" w:type="pct"/>
            <w:vAlign w:val="center"/>
          </w:tcPr>
          <w:p w14:paraId="458B674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66" w:name="_Toc4057879"/>
            <w:r w:rsidRPr="00587444">
              <w:rPr>
                <w:rFonts w:ascii="Arial" w:hAnsi="Arial" w:cs="Arial"/>
                <w:b/>
                <w:sz w:val="20"/>
                <w:szCs w:val="20"/>
                <w:lang w:val="hr-HR"/>
              </w:rPr>
              <w:t>202</w:t>
            </w:r>
            <w:bookmarkEnd w:id="466"/>
            <w:r w:rsidRPr="00587444">
              <w:rPr>
                <w:rFonts w:ascii="Arial" w:hAnsi="Arial" w:cs="Arial"/>
                <w:b/>
                <w:sz w:val="20"/>
                <w:szCs w:val="20"/>
                <w:lang w:val="hr-HR"/>
              </w:rPr>
              <w:t>1</w:t>
            </w:r>
          </w:p>
        </w:tc>
        <w:tc>
          <w:tcPr>
            <w:tcW w:w="701" w:type="pct"/>
            <w:vAlign w:val="center"/>
          </w:tcPr>
          <w:p w14:paraId="1006E24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700" w:type="pct"/>
            <w:vAlign w:val="center"/>
          </w:tcPr>
          <w:p w14:paraId="7324319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67" w:name="_Toc4057881"/>
            <w:r w:rsidRPr="00587444">
              <w:rPr>
                <w:rFonts w:ascii="Arial" w:hAnsi="Arial" w:cs="Arial"/>
                <w:b/>
                <w:sz w:val="20"/>
                <w:szCs w:val="20"/>
                <w:lang w:val="hr-HR"/>
              </w:rPr>
              <w:t>202</w:t>
            </w:r>
            <w:bookmarkEnd w:id="467"/>
            <w:r w:rsidRPr="00587444">
              <w:rPr>
                <w:rFonts w:ascii="Arial" w:hAnsi="Arial" w:cs="Arial"/>
                <w:b/>
                <w:sz w:val="20"/>
                <w:szCs w:val="20"/>
                <w:lang w:val="hr-HR"/>
              </w:rPr>
              <w:t>1</w:t>
            </w:r>
          </w:p>
        </w:tc>
      </w:tr>
      <w:tr w:rsidR="00587444" w:rsidRPr="00587444" w14:paraId="4C28659E" w14:textId="77777777" w:rsidTr="00DD69E7">
        <w:tblPrEx>
          <w:tblCellMar>
            <w:left w:w="108" w:type="dxa"/>
            <w:right w:w="108" w:type="dxa"/>
          </w:tblCellMar>
        </w:tblPrEx>
        <w:trPr>
          <w:trHeight w:val="159"/>
        </w:trPr>
        <w:tc>
          <w:tcPr>
            <w:tcW w:w="2196" w:type="pct"/>
          </w:tcPr>
          <w:p w14:paraId="06D33A76" w14:textId="77777777" w:rsidR="00587444" w:rsidRPr="00587444" w:rsidRDefault="00587444" w:rsidP="00587444">
            <w:pPr>
              <w:tabs>
                <w:tab w:val="left" w:pos="-720"/>
              </w:tabs>
              <w:autoSpaceDN/>
              <w:ind w:right="4144"/>
              <w:jc w:val="right"/>
              <w:rPr>
                <w:rFonts w:ascii="Arial" w:hAnsi="Arial" w:cs="Arial"/>
                <w:sz w:val="20"/>
                <w:szCs w:val="20"/>
                <w:lang w:val="en-GB"/>
              </w:rPr>
            </w:pPr>
          </w:p>
        </w:tc>
        <w:tc>
          <w:tcPr>
            <w:tcW w:w="701" w:type="pct"/>
          </w:tcPr>
          <w:p w14:paraId="7076725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68" w:name="_Toc4057883"/>
            <w:r w:rsidRPr="00587444">
              <w:rPr>
                <w:rFonts w:ascii="Arial" w:hAnsi="Arial" w:cs="Arial"/>
                <w:b/>
                <w:sz w:val="20"/>
                <w:szCs w:val="20"/>
                <w:lang w:val="en-GB"/>
              </w:rPr>
              <w:t>HRK ‘000</w:t>
            </w:r>
            <w:bookmarkEnd w:id="468"/>
          </w:p>
        </w:tc>
        <w:tc>
          <w:tcPr>
            <w:tcW w:w="701" w:type="pct"/>
          </w:tcPr>
          <w:p w14:paraId="0B0C892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69" w:name="_Toc4057884"/>
            <w:r w:rsidRPr="00587444">
              <w:rPr>
                <w:rFonts w:ascii="Arial" w:hAnsi="Arial" w:cs="Arial"/>
                <w:b/>
                <w:sz w:val="20"/>
                <w:szCs w:val="20"/>
                <w:lang w:val="en-GB"/>
              </w:rPr>
              <w:t>HRK ‘000</w:t>
            </w:r>
            <w:bookmarkEnd w:id="469"/>
          </w:p>
        </w:tc>
        <w:tc>
          <w:tcPr>
            <w:tcW w:w="701" w:type="pct"/>
          </w:tcPr>
          <w:p w14:paraId="7AF5B2F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70" w:name="_Toc4057885"/>
            <w:r w:rsidRPr="00587444">
              <w:rPr>
                <w:rFonts w:ascii="Arial" w:hAnsi="Arial" w:cs="Arial"/>
                <w:b/>
                <w:sz w:val="20"/>
                <w:szCs w:val="20"/>
                <w:lang w:val="en-GB"/>
              </w:rPr>
              <w:t>HRK ‘000</w:t>
            </w:r>
            <w:bookmarkEnd w:id="470"/>
          </w:p>
        </w:tc>
        <w:tc>
          <w:tcPr>
            <w:tcW w:w="700" w:type="pct"/>
          </w:tcPr>
          <w:p w14:paraId="3EE0ABB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71" w:name="_Toc4057886"/>
            <w:r w:rsidRPr="00587444">
              <w:rPr>
                <w:rFonts w:ascii="Arial" w:hAnsi="Arial" w:cs="Arial"/>
                <w:b/>
                <w:sz w:val="20"/>
                <w:szCs w:val="20"/>
                <w:lang w:val="en-GB"/>
              </w:rPr>
              <w:t>HRK ‘000</w:t>
            </w:r>
            <w:bookmarkEnd w:id="471"/>
          </w:p>
        </w:tc>
      </w:tr>
      <w:tr w:rsidR="00587444" w:rsidRPr="00587444" w14:paraId="56048DDF" w14:textId="77777777" w:rsidTr="00DD69E7">
        <w:trPr>
          <w:trHeight w:val="102"/>
        </w:trPr>
        <w:tc>
          <w:tcPr>
            <w:tcW w:w="2196" w:type="pct"/>
          </w:tcPr>
          <w:p w14:paraId="44CF4BF2"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472" w:name="_Toc4057887"/>
            <w:r w:rsidRPr="00587444">
              <w:rPr>
                <w:rFonts w:ascii="Arial" w:hAnsi="Arial" w:cs="Arial"/>
                <w:sz w:val="20"/>
                <w:szCs w:val="20"/>
                <w:lang w:val="en-GB"/>
              </w:rPr>
              <w:t>Borrowings</w:t>
            </w:r>
            <w:bookmarkEnd w:id="472"/>
          </w:p>
        </w:tc>
        <w:tc>
          <w:tcPr>
            <w:tcW w:w="701" w:type="pct"/>
            <w:tcBorders>
              <w:top w:val="nil"/>
              <w:left w:val="nil"/>
              <w:bottom w:val="nil"/>
              <w:right w:val="nil"/>
            </w:tcBorders>
            <w:shd w:val="clear" w:color="auto" w:fill="auto"/>
            <w:vAlign w:val="bottom"/>
          </w:tcPr>
          <w:p w14:paraId="5FA14BD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156,894 </w:t>
            </w:r>
          </w:p>
        </w:tc>
        <w:tc>
          <w:tcPr>
            <w:tcW w:w="701" w:type="pct"/>
            <w:tcBorders>
              <w:top w:val="nil"/>
              <w:left w:val="nil"/>
              <w:bottom w:val="nil"/>
              <w:right w:val="nil"/>
            </w:tcBorders>
            <w:shd w:val="clear" w:color="auto" w:fill="auto"/>
          </w:tcPr>
          <w:p w14:paraId="49E68703" w14:textId="77777777" w:rsidR="00587444" w:rsidRPr="00587444" w:rsidRDefault="00587444" w:rsidP="00587444">
            <w:pPr>
              <w:tabs>
                <w:tab w:val="right" w:pos="1202"/>
              </w:tabs>
              <w:suppressAutoHyphens w:val="0"/>
              <w:autoSpaceDN/>
              <w:spacing w:line="301" w:lineRule="exact"/>
              <w:ind w:left="65"/>
              <w:jc w:val="right"/>
              <w:outlineLvl w:val="0"/>
              <w:rPr>
                <w:rFonts w:ascii="Arial" w:hAnsi="Arial" w:cs="Arial"/>
                <w:sz w:val="20"/>
                <w:szCs w:val="20"/>
                <w:lang w:val="hr-HR"/>
              </w:rPr>
            </w:pPr>
            <w:r w:rsidRPr="00587444">
              <w:rPr>
                <w:rFonts w:ascii="Arial" w:hAnsi="Arial" w:cs="Arial"/>
                <w:color w:val="000000"/>
                <w:sz w:val="20"/>
                <w:szCs w:val="20"/>
                <w:lang w:val="hr-HR"/>
              </w:rPr>
              <w:t>183,973</w:t>
            </w:r>
          </w:p>
        </w:tc>
        <w:tc>
          <w:tcPr>
            <w:tcW w:w="701" w:type="pct"/>
            <w:tcBorders>
              <w:top w:val="nil"/>
              <w:left w:val="nil"/>
              <w:bottom w:val="nil"/>
              <w:right w:val="nil"/>
            </w:tcBorders>
            <w:shd w:val="clear" w:color="auto" w:fill="auto"/>
            <w:vAlign w:val="bottom"/>
          </w:tcPr>
          <w:p w14:paraId="2BD6621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156,894 </w:t>
            </w:r>
          </w:p>
        </w:tc>
        <w:tc>
          <w:tcPr>
            <w:tcW w:w="700" w:type="pct"/>
            <w:tcBorders>
              <w:top w:val="nil"/>
              <w:left w:val="nil"/>
              <w:bottom w:val="nil"/>
              <w:right w:val="nil"/>
            </w:tcBorders>
            <w:shd w:val="clear" w:color="auto" w:fill="auto"/>
          </w:tcPr>
          <w:p w14:paraId="5A7F058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183,973</w:t>
            </w:r>
          </w:p>
        </w:tc>
      </w:tr>
      <w:tr w:rsidR="00587444" w:rsidRPr="00587444" w14:paraId="0BADC965" w14:textId="77777777" w:rsidTr="00DD69E7">
        <w:trPr>
          <w:trHeight w:val="102"/>
        </w:trPr>
        <w:tc>
          <w:tcPr>
            <w:tcW w:w="2196" w:type="pct"/>
          </w:tcPr>
          <w:p w14:paraId="07C37ED4"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473" w:name="_Toc4057892"/>
            <w:r w:rsidRPr="00587444">
              <w:rPr>
                <w:rFonts w:ascii="Arial" w:hAnsi="Arial" w:cs="Arial"/>
                <w:sz w:val="20"/>
                <w:szCs w:val="20"/>
                <w:lang w:val="en-GB"/>
              </w:rPr>
              <w:t>Debt securities</w:t>
            </w:r>
            <w:bookmarkEnd w:id="473"/>
          </w:p>
        </w:tc>
        <w:tc>
          <w:tcPr>
            <w:tcW w:w="701" w:type="pct"/>
            <w:tcBorders>
              <w:top w:val="nil"/>
              <w:left w:val="nil"/>
              <w:bottom w:val="nil"/>
              <w:right w:val="nil"/>
            </w:tcBorders>
            <w:shd w:val="clear" w:color="auto" w:fill="auto"/>
            <w:vAlign w:val="bottom"/>
          </w:tcPr>
          <w:p w14:paraId="71E5442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26 </w:t>
            </w:r>
          </w:p>
        </w:tc>
        <w:tc>
          <w:tcPr>
            <w:tcW w:w="701" w:type="pct"/>
            <w:tcBorders>
              <w:top w:val="nil"/>
              <w:left w:val="nil"/>
              <w:bottom w:val="nil"/>
              <w:right w:val="nil"/>
            </w:tcBorders>
            <w:shd w:val="clear" w:color="auto" w:fill="auto"/>
          </w:tcPr>
          <w:p w14:paraId="0375AF9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49</w:t>
            </w:r>
          </w:p>
        </w:tc>
        <w:tc>
          <w:tcPr>
            <w:tcW w:w="701" w:type="pct"/>
            <w:tcBorders>
              <w:top w:val="nil"/>
              <w:left w:val="nil"/>
              <w:bottom w:val="nil"/>
              <w:right w:val="nil"/>
            </w:tcBorders>
            <w:shd w:val="clear" w:color="auto" w:fill="auto"/>
            <w:vAlign w:val="bottom"/>
          </w:tcPr>
          <w:p w14:paraId="54DF13A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26 </w:t>
            </w:r>
          </w:p>
        </w:tc>
        <w:tc>
          <w:tcPr>
            <w:tcW w:w="700" w:type="pct"/>
            <w:tcBorders>
              <w:top w:val="nil"/>
              <w:left w:val="nil"/>
              <w:bottom w:val="nil"/>
              <w:right w:val="nil"/>
            </w:tcBorders>
            <w:shd w:val="clear" w:color="auto" w:fill="auto"/>
          </w:tcPr>
          <w:p w14:paraId="0D01733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49</w:t>
            </w:r>
          </w:p>
        </w:tc>
      </w:tr>
      <w:tr w:rsidR="00587444" w:rsidRPr="00587444" w14:paraId="2EC3BE94" w14:textId="77777777" w:rsidTr="00DD69E7">
        <w:trPr>
          <w:trHeight w:val="102"/>
        </w:trPr>
        <w:tc>
          <w:tcPr>
            <w:tcW w:w="2196" w:type="pct"/>
          </w:tcPr>
          <w:p w14:paraId="2513D4F3"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474" w:name="_Toc4057897"/>
            <w:r w:rsidRPr="00587444">
              <w:rPr>
                <w:rFonts w:ascii="Arial" w:hAnsi="Arial" w:cs="Arial"/>
                <w:sz w:val="20"/>
                <w:szCs w:val="20"/>
                <w:lang w:val="en-GB"/>
              </w:rPr>
              <w:t>Deposits</w:t>
            </w:r>
            <w:bookmarkEnd w:id="474"/>
            <w:r w:rsidRPr="00587444">
              <w:rPr>
                <w:rFonts w:ascii="Arial" w:hAnsi="Arial" w:cs="Arial"/>
                <w:sz w:val="20"/>
                <w:szCs w:val="20"/>
                <w:lang w:val="en-GB"/>
              </w:rPr>
              <w:t xml:space="preserve"> </w:t>
            </w:r>
          </w:p>
        </w:tc>
        <w:tc>
          <w:tcPr>
            <w:tcW w:w="701" w:type="pct"/>
            <w:tcBorders>
              <w:top w:val="nil"/>
              <w:left w:val="nil"/>
              <w:bottom w:val="nil"/>
              <w:right w:val="nil"/>
            </w:tcBorders>
            <w:shd w:val="clear" w:color="auto" w:fill="auto"/>
            <w:vAlign w:val="bottom"/>
          </w:tcPr>
          <w:p w14:paraId="04DD3D08" w14:textId="77777777" w:rsidR="00587444" w:rsidRPr="00587444" w:rsidDel="00C928D9"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1,403 </w:t>
            </w:r>
          </w:p>
        </w:tc>
        <w:tc>
          <w:tcPr>
            <w:tcW w:w="701" w:type="pct"/>
            <w:tcBorders>
              <w:top w:val="nil"/>
              <w:left w:val="nil"/>
              <w:bottom w:val="nil"/>
              <w:right w:val="nil"/>
            </w:tcBorders>
            <w:shd w:val="clear" w:color="auto" w:fill="auto"/>
          </w:tcPr>
          <w:p w14:paraId="367B0BB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532</w:t>
            </w:r>
          </w:p>
        </w:tc>
        <w:tc>
          <w:tcPr>
            <w:tcW w:w="701" w:type="pct"/>
            <w:tcBorders>
              <w:top w:val="nil"/>
              <w:left w:val="nil"/>
              <w:bottom w:val="nil"/>
              <w:right w:val="nil"/>
            </w:tcBorders>
            <w:shd w:val="clear" w:color="auto" w:fill="auto"/>
            <w:vAlign w:val="bottom"/>
          </w:tcPr>
          <w:p w14:paraId="297D1A9D" w14:textId="77777777" w:rsidR="00587444" w:rsidRPr="00587444" w:rsidDel="00C928D9"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1,403 </w:t>
            </w:r>
          </w:p>
        </w:tc>
        <w:tc>
          <w:tcPr>
            <w:tcW w:w="700" w:type="pct"/>
            <w:tcBorders>
              <w:top w:val="nil"/>
              <w:left w:val="nil"/>
              <w:bottom w:val="nil"/>
              <w:right w:val="nil"/>
            </w:tcBorders>
            <w:shd w:val="clear" w:color="auto" w:fill="auto"/>
          </w:tcPr>
          <w:p w14:paraId="3F72B62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532</w:t>
            </w:r>
          </w:p>
        </w:tc>
      </w:tr>
      <w:tr w:rsidR="00587444" w:rsidRPr="00587444" w14:paraId="00FAEFB3" w14:textId="77777777" w:rsidTr="00DD69E7">
        <w:trPr>
          <w:trHeight w:val="446"/>
        </w:trPr>
        <w:tc>
          <w:tcPr>
            <w:tcW w:w="2196" w:type="pct"/>
          </w:tcPr>
          <w:p w14:paraId="267312A0"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Leases – interest expenses on long term contracts</w:t>
            </w:r>
          </w:p>
        </w:tc>
        <w:tc>
          <w:tcPr>
            <w:tcW w:w="701" w:type="pct"/>
            <w:tcBorders>
              <w:top w:val="nil"/>
              <w:left w:val="nil"/>
              <w:bottom w:val="nil"/>
              <w:right w:val="nil"/>
            </w:tcBorders>
            <w:shd w:val="clear" w:color="auto" w:fill="auto"/>
            <w:vAlign w:val="bottom"/>
          </w:tcPr>
          <w:p w14:paraId="279E5C5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93 </w:t>
            </w:r>
          </w:p>
        </w:tc>
        <w:tc>
          <w:tcPr>
            <w:tcW w:w="701" w:type="pct"/>
            <w:tcBorders>
              <w:top w:val="nil"/>
              <w:left w:val="nil"/>
              <w:bottom w:val="nil"/>
              <w:right w:val="nil"/>
            </w:tcBorders>
            <w:shd w:val="clear" w:color="auto" w:fill="auto"/>
            <w:vAlign w:val="bottom"/>
          </w:tcPr>
          <w:p w14:paraId="0148614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72</w:t>
            </w:r>
          </w:p>
        </w:tc>
        <w:tc>
          <w:tcPr>
            <w:tcW w:w="701" w:type="pct"/>
            <w:tcBorders>
              <w:top w:val="nil"/>
              <w:left w:val="nil"/>
              <w:bottom w:val="nil"/>
              <w:right w:val="nil"/>
            </w:tcBorders>
            <w:shd w:val="clear" w:color="auto" w:fill="auto"/>
            <w:vAlign w:val="bottom"/>
          </w:tcPr>
          <w:p w14:paraId="50C7953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83 </w:t>
            </w:r>
          </w:p>
        </w:tc>
        <w:tc>
          <w:tcPr>
            <w:tcW w:w="700" w:type="pct"/>
            <w:tcBorders>
              <w:top w:val="nil"/>
              <w:left w:val="nil"/>
              <w:bottom w:val="nil"/>
              <w:right w:val="nil"/>
            </w:tcBorders>
            <w:shd w:val="clear" w:color="auto" w:fill="auto"/>
            <w:vAlign w:val="bottom"/>
          </w:tcPr>
          <w:p w14:paraId="13B424F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56</w:t>
            </w:r>
          </w:p>
        </w:tc>
      </w:tr>
      <w:tr w:rsidR="00587444" w:rsidRPr="00587444" w14:paraId="750A6AD0" w14:textId="77777777" w:rsidTr="00DD69E7">
        <w:trPr>
          <w:trHeight w:val="102"/>
        </w:trPr>
        <w:tc>
          <w:tcPr>
            <w:tcW w:w="2196" w:type="pct"/>
          </w:tcPr>
          <w:p w14:paraId="35CA62F2"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p>
        </w:tc>
        <w:tc>
          <w:tcPr>
            <w:tcW w:w="701" w:type="pct"/>
            <w:tcBorders>
              <w:top w:val="single" w:sz="4" w:space="0" w:color="auto"/>
              <w:bottom w:val="single" w:sz="12" w:space="0" w:color="auto"/>
            </w:tcBorders>
            <w:vAlign w:val="bottom"/>
          </w:tcPr>
          <w:p w14:paraId="3042AB3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158,416</w:t>
            </w:r>
          </w:p>
        </w:tc>
        <w:tc>
          <w:tcPr>
            <w:tcW w:w="701" w:type="pct"/>
            <w:tcBorders>
              <w:top w:val="single" w:sz="4" w:space="0" w:color="auto"/>
              <w:bottom w:val="single" w:sz="12" w:space="0" w:color="auto"/>
            </w:tcBorders>
          </w:tcPr>
          <w:p w14:paraId="08B039DA"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184,626</w:t>
            </w:r>
          </w:p>
        </w:tc>
        <w:tc>
          <w:tcPr>
            <w:tcW w:w="701" w:type="pct"/>
            <w:tcBorders>
              <w:top w:val="single" w:sz="4" w:space="0" w:color="auto"/>
              <w:bottom w:val="single" w:sz="12" w:space="0" w:color="auto"/>
            </w:tcBorders>
            <w:vAlign w:val="bottom"/>
          </w:tcPr>
          <w:p w14:paraId="6BA808E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158,406</w:t>
            </w:r>
          </w:p>
        </w:tc>
        <w:tc>
          <w:tcPr>
            <w:tcW w:w="700" w:type="pct"/>
            <w:tcBorders>
              <w:top w:val="single" w:sz="4" w:space="0" w:color="auto"/>
              <w:bottom w:val="single" w:sz="12" w:space="0" w:color="auto"/>
            </w:tcBorders>
          </w:tcPr>
          <w:p w14:paraId="286991C8"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184,610</w:t>
            </w:r>
          </w:p>
        </w:tc>
      </w:tr>
    </w:tbl>
    <w:p w14:paraId="2BB0A081" w14:textId="77777777" w:rsidR="00587444" w:rsidRPr="00587444" w:rsidRDefault="00587444" w:rsidP="00587444">
      <w:pPr>
        <w:keepNext/>
        <w:suppressAutoHyphens w:val="0"/>
        <w:autoSpaceDN/>
        <w:jc w:val="both"/>
        <w:rPr>
          <w:rFonts w:ascii="Arial" w:hAnsi="Arial" w:cs="Arial"/>
          <w:sz w:val="20"/>
          <w:szCs w:val="20"/>
          <w:lang w:val="en-GB"/>
        </w:rPr>
      </w:pPr>
    </w:p>
    <w:p w14:paraId="320A40EB" w14:textId="77777777" w:rsidR="00587444" w:rsidRPr="00587444" w:rsidRDefault="00587444" w:rsidP="00587932">
      <w:pPr>
        <w:keepNext/>
        <w:autoSpaceDN/>
        <w:jc w:val="both"/>
        <w:rPr>
          <w:rFonts w:ascii="Arial" w:hAnsi="Arial" w:cs="Arial"/>
          <w:sz w:val="20"/>
          <w:szCs w:val="20"/>
          <w:lang w:val="en-GB"/>
        </w:rPr>
      </w:pPr>
      <w:r w:rsidRPr="00587444">
        <w:rPr>
          <w:rFonts w:ascii="Arial" w:hAnsi="Arial" w:cs="Arial"/>
          <w:sz w:val="20"/>
          <w:szCs w:val="20"/>
          <w:lang w:val="en-GB"/>
        </w:rPr>
        <w:t xml:space="preserve">The difference between interest expense and interest paid (see the Statement of Cash Flows) mostly relates to the changes in the amount of the interest accrued in relation to the prior year and the amortisation of discount for issued debt securities. </w:t>
      </w:r>
    </w:p>
    <w:p w14:paraId="4E6938DC" w14:textId="77777777" w:rsidR="00587444" w:rsidRPr="00587444" w:rsidRDefault="00587444" w:rsidP="00587444">
      <w:pPr>
        <w:keepNext/>
        <w:tabs>
          <w:tab w:val="left" w:pos="567"/>
        </w:tabs>
        <w:suppressAutoHyphens w:val="0"/>
        <w:autoSpaceDN/>
        <w:jc w:val="both"/>
        <w:rPr>
          <w:rFonts w:ascii="Arial" w:hAnsi="Arial" w:cs="Arial"/>
          <w:b/>
          <w:sz w:val="20"/>
          <w:szCs w:val="20"/>
          <w:lang w:val="en-GB"/>
        </w:rPr>
      </w:pPr>
    </w:p>
    <w:p w14:paraId="35B7205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7.</w:t>
      </w:r>
      <w:r w:rsidRPr="00587444">
        <w:rPr>
          <w:rFonts w:ascii="Arial" w:hAnsi="Arial" w:cs="Arial"/>
          <w:b/>
          <w:bCs/>
          <w:sz w:val="20"/>
          <w:szCs w:val="20"/>
          <w:lang w:val="en-GB"/>
        </w:rPr>
        <w:tab/>
        <w:t>Net fee and commission income</w:t>
      </w:r>
      <w:bookmarkStart w:id="475" w:name="_Hlk3292907"/>
      <w:bookmarkStart w:id="476" w:name="_Hlk3292908"/>
    </w:p>
    <w:bookmarkEnd w:id="475"/>
    <w:bookmarkEnd w:id="476"/>
    <w:tbl>
      <w:tblPr>
        <w:tblW w:w="5000" w:type="pct"/>
        <w:tblLayout w:type="fixed"/>
        <w:tblCellMar>
          <w:left w:w="122" w:type="dxa"/>
          <w:right w:w="122" w:type="dxa"/>
        </w:tblCellMar>
        <w:tblLook w:val="0000" w:firstRow="0" w:lastRow="0" w:firstColumn="0" w:lastColumn="0" w:noHBand="0" w:noVBand="0"/>
      </w:tblPr>
      <w:tblGrid>
        <w:gridCol w:w="4364"/>
        <w:gridCol w:w="1455"/>
        <w:gridCol w:w="1311"/>
        <w:gridCol w:w="1311"/>
        <w:gridCol w:w="1158"/>
      </w:tblGrid>
      <w:tr w:rsidR="00587444" w:rsidRPr="00587444" w14:paraId="1B4CAC7B" w14:textId="77777777" w:rsidTr="00DD69E7">
        <w:trPr>
          <w:trHeight w:hRule="exact" w:val="301"/>
        </w:trPr>
        <w:tc>
          <w:tcPr>
            <w:tcW w:w="2273" w:type="pct"/>
          </w:tcPr>
          <w:p w14:paraId="4D5FBFCE" w14:textId="77777777" w:rsidR="00587444" w:rsidRPr="00587444" w:rsidRDefault="00587444" w:rsidP="00587444">
            <w:pPr>
              <w:tabs>
                <w:tab w:val="left" w:pos="-720"/>
              </w:tabs>
              <w:autoSpaceDN/>
              <w:jc w:val="right"/>
              <w:rPr>
                <w:rFonts w:ascii="Arial" w:hAnsi="Arial" w:cs="Arial"/>
                <w:spacing w:val="-3"/>
                <w:sz w:val="20"/>
                <w:szCs w:val="20"/>
                <w:lang w:val="hr-HR"/>
              </w:rPr>
            </w:pPr>
          </w:p>
        </w:tc>
        <w:tc>
          <w:tcPr>
            <w:tcW w:w="758" w:type="pct"/>
          </w:tcPr>
          <w:p w14:paraId="6D4E2FC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83" w:type="pct"/>
          </w:tcPr>
          <w:p w14:paraId="6B8AEAD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77" w:name="_Toc4057906"/>
            <w:r w:rsidRPr="00587444">
              <w:rPr>
                <w:rFonts w:ascii="Arial" w:hAnsi="Arial" w:cs="Arial"/>
                <w:b/>
                <w:sz w:val="20"/>
                <w:szCs w:val="20"/>
                <w:lang w:val="hr-HR"/>
              </w:rPr>
              <w:t>Group</w:t>
            </w:r>
            <w:bookmarkEnd w:id="477"/>
          </w:p>
        </w:tc>
        <w:tc>
          <w:tcPr>
            <w:tcW w:w="683" w:type="pct"/>
          </w:tcPr>
          <w:p w14:paraId="4B60DB8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03" w:type="pct"/>
          </w:tcPr>
          <w:p w14:paraId="5DD3A42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78" w:name="_Toc4057907"/>
            <w:r w:rsidRPr="00587444">
              <w:rPr>
                <w:rFonts w:ascii="Arial" w:hAnsi="Arial" w:cs="Arial"/>
                <w:b/>
                <w:sz w:val="20"/>
                <w:szCs w:val="20"/>
                <w:lang w:val="hr-HR"/>
              </w:rPr>
              <w:t>Bank</w:t>
            </w:r>
            <w:bookmarkEnd w:id="478"/>
          </w:p>
        </w:tc>
      </w:tr>
      <w:tr w:rsidR="00587444" w:rsidRPr="00587444" w14:paraId="637AEBD9" w14:textId="77777777" w:rsidTr="00DD69E7">
        <w:trPr>
          <w:trHeight w:hRule="exact" w:val="301"/>
        </w:trPr>
        <w:tc>
          <w:tcPr>
            <w:tcW w:w="2273" w:type="pct"/>
          </w:tcPr>
          <w:p w14:paraId="6781B563" w14:textId="77777777" w:rsidR="00587444" w:rsidRPr="00587444" w:rsidRDefault="00587444" w:rsidP="00587444">
            <w:pPr>
              <w:tabs>
                <w:tab w:val="left" w:pos="-720"/>
              </w:tabs>
              <w:autoSpaceDN/>
              <w:jc w:val="right"/>
              <w:rPr>
                <w:rFonts w:ascii="Arial" w:hAnsi="Arial" w:cs="Arial"/>
                <w:spacing w:val="-3"/>
                <w:sz w:val="20"/>
                <w:szCs w:val="20"/>
                <w:lang w:val="hr-HR"/>
              </w:rPr>
            </w:pPr>
          </w:p>
        </w:tc>
        <w:tc>
          <w:tcPr>
            <w:tcW w:w="758" w:type="pct"/>
            <w:vAlign w:val="center"/>
          </w:tcPr>
          <w:p w14:paraId="76187479"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683" w:type="pct"/>
            <w:vAlign w:val="center"/>
          </w:tcPr>
          <w:p w14:paraId="23393A2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2021</w:t>
            </w:r>
          </w:p>
        </w:tc>
        <w:tc>
          <w:tcPr>
            <w:tcW w:w="683" w:type="pct"/>
            <w:vAlign w:val="center"/>
          </w:tcPr>
          <w:p w14:paraId="6579795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603" w:type="pct"/>
            <w:vAlign w:val="center"/>
          </w:tcPr>
          <w:p w14:paraId="0030996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2021</w:t>
            </w:r>
          </w:p>
        </w:tc>
      </w:tr>
      <w:tr w:rsidR="00587444" w:rsidRPr="00587444" w14:paraId="512BDF7A" w14:textId="77777777" w:rsidTr="00DD69E7">
        <w:tblPrEx>
          <w:tblCellMar>
            <w:left w:w="108" w:type="dxa"/>
            <w:right w:w="108" w:type="dxa"/>
          </w:tblCellMar>
        </w:tblPrEx>
        <w:trPr>
          <w:trHeight w:hRule="exact" w:val="227"/>
        </w:trPr>
        <w:tc>
          <w:tcPr>
            <w:tcW w:w="2273" w:type="pct"/>
          </w:tcPr>
          <w:p w14:paraId="7DB6CA55" w14:textId="77777777" w:rsidR="00587444" w:rsidRPr="00587444" w:rsidRDefault="00587444" w:rsidP="00587444">
            <w:pPr>
              <w:tabs>
                <w:tab w:val="left" w:pos="-720"/>
              </w:tabs>
              <w:autoSpaceDN/>
              <w:ind w:right="4144"/>
              <w:jc w:val="right"/>
              <w:rPr>
                <w:rFonts w:ascii="Arial" w:hAnsi="Arial" w:cs="Arial"/>
                <w:sz w:val="20"/>
                <w:szCs w:val="20"/>
                <w:lang w:val="hr-HR"/>
              </w:rPr>
            </w:pPr>
          </w:p>
        </w:tc>
        <w:tc>
          <w:tcPr>
            <w:tcW w:w="758" w:type="pct"/>
          </w:tcPr>
          <w:p w14:paraId="687D19A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79" w:name="_Toc4057912"/>
            <w:r w:rsidRPr="00587444">
              <w:rPr>
                <w:rFonts w:ascii="Arial" w:hAnsi="Arial" w:cs="Arial"/>
                <w:b/>
                <w:sz w:val="20"/>
                <w:szCs w:val="20"/>
                <w:lang w:val="en-GB"/>
              </w:rPr>
              <w:t>HRK ‘000</w:t>
            </w:r>
            <w:bookmarkEnd w:id="479"/>
          </w:p>
        </w:tc>
        <w:tc>
          <w:tcPr>
            <w:tcW w:w="683" w:type="pct"/>
          </w:tcPr>
          <w:p w14:paraId="224F43B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80" w:name="_Toc4057913"/>
            <w:r w:rsidRPr="00587444">
              <w:rPr>
                <w:rFonts w:ascii="Arial" w:hAnsi="Arial" w:cs="Arial"/>
                <w:b/>
                <w:sz w:val="20"/>
                <w:szCs w:val="20"/>
                <w:lang w:val="en-GB"/>
              </w:rPr>
              <w:t>HRK ‘000</w:t>
            </w:r>
            <w:bookmarkEnd w:id="480"/>
          </w:p>
        </w:tc>
        <w:tc>
          <w:tcPr>
            <w:tcW w:w="683" w:type="pct"/>
          </w:tcPr>
          <w:p w14:paraId="55E48D1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81" w:name="_Toc4057914"/>
            <w:r w:rsidRPr="00587444">
              <w:rPr>
                <w:rFonts w:ascii="Arial" w:hAnsi="Arial" w:cs="Arial"/>
                <w:b/>
                <w:sz w:val="20"/>
                <w:szCs w:val="20"/>
                <w:lang w:val="en-GB"/>
              </w:rPr>
              <w:t>HRK ‘000</w:t>
            </w:r>
            <w:bookmarkEnd w:id="481"/>
          </w:p>
        </w:tc>
        <w:tc>
          <w:tcPr>
            <w:tcW w:w="603" w:type="pct"/>
          </w:tcPr>
          <w:p w14:paraId="3C061A4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82" w:name="_Toc4057915"/>
            <w:r w:rsidRPr="00587444">
              <w:rPr>
                <w:rFonts w:ascii="Arial" w:hAnsi="Arial" w:cs="Arial"/>
                <w:b/>
                <w:sz w:val="20"/>
                <w:szCs w:val="20"/>
                <w:lang w:val="en-GB"/>
              </w:rPr>
              <w:t>HRK ‘000</w:t>
            </w:r>
            <w:bookmarkEnd w:id="482"/>
          </w:p>
        </w:tc>
      </w:tr>
      <w:tr w:rsidR="00587444" w:rsidRPr="00587444" w14:paraId="1158BD7D" w14:textId="77777777" w:rsidTr="00DD69E7">
        <w:tblPrEx>
          <w:tblCellMar>
            <w:left w:w="108" w:type="dxa"/>
            <w:right w:w="108" w:type="dxa"/>
          </w:tblCellMar>
        </w:tblPrEx>
        <w:tc>
          <w:tcPr>
            <w:tcW w:w="2273" w:type="pct"/>
          </w:tcPr>
          <w:p w14:paraId="1B292D8E" w14:textId="77777777" w:rsidR="00587444" w:rsidRPr="00587444" w:rsidRDefault="00587444" w:rsidP="00587444">
            <w:pPr>
              <w:tabs>
                <w:tab w:val="left" w:pos="-720"/>
              </w:tabs>
              <w:autoSpaceDN/>
              <w:rPr>
                <w:rFonts w:ascii="Arial" w:hAnsi="Arial" w:cs="Arial"/>
                <w:b/>
                <w:spacing w:val="-3"/>
                <w:sz w:val="20"/>
                <w:szCs w:val="20"/>
              </w:rPr>
            </w:pPr>
            <w:r w:rsidRPr="00587444">
              <w:rPr>
                <w:rFonts w:ascii="Arial" w:hAnsi="Arial" w:cs="Arial"/>
                <w:b/>
                <w:sz w:val="20"/>
                <w:szCs w:val="20"/>
              </w:rPr>
              <w:t>Fee and commission income from contracts with customers</w:t>
            </w:r>
            <w:r w:rsidRPr="00587444">
              <w:rPr>
                <w:rFonts w:ascii="Arial" w:hAnsi="Arial" w:cs="Arial"/>
                <w:b/>
                <w:spacing w:val="-3"/>
                <w:sz w:val="20"/>
                <w:szCs w:val="20"/>
              </w:rPr>
              <w:t>:</w:t>
            </w:r>
          </w:p>
        </w:tc>
        <w:tc>
          <w:tcPr>
            <w:tcW w:w="758" w:type="pct"/>
          </w:tcPr>
          <w:p w14:paraId="15C55916" w14:textId="77777777" w:rsidR="00587444" w:rsidRPr="00587444" w:rsidRDefault="00587444" w:rsidP="00587444">
            <w:pPr>
              <w:tabs>
                <w:tab w:val="left" w:pos="-720"/>
              </w:tabs>
              <w:autoSpaceDN/>
              <w:jc w:val="right"/>
              <w:rPr>
                <w:rFonts w:ascii="Arial" w:hAnsi="Arial" w:cs="Arial"/>
                <w:b/>
                <w:spacing w:val="-3"/>
                <w:sz w:val="20"/>
                <w:szCs w:val="20"/>
                <w:lang w:val="hr-HR"/>
              </w:rPr>
            </w:pPr>
          </w:p>
        </w:tc>
        <w:tc>
          <w:tcPr>
            <w:tcW w:w="683" w:type="pct"/>
          </w:tcPr>
          <w:p w14:paraId="4EF752D2" w14:textId="77777777" w:rsidR="00587444" w:rsidRPr="00587444" w:rsidRDefault="00587444" w:rsidP="00587444">
            <w:pPr>
              <w:tabs>
                <w:tab w:val="left" w:pos="-720"/>
              </w:tabs>
              <w:autoSpaceDN/>
              <w:jc w:val="right"/>
              <w:rPr>
                <w:rFonts w:ascii="Arial" w:hAnsi="Arial" w:cs="Arial"/>
                <w:b/>
                <w:spacing w:val="-3"/>
                <w:sz w:val="20"/>
                <w:szCs w:val="20"/>
                <w:lang w:val="hr-HR"/>
              </w:rPr>
            </w:pPr>
          </w:p>
        </w:tc>
        <w:tc>
          <w:tcPr>
            <w:tcW w:w="683" w:type="pct"/>
          </w:tcPr>
          <w:p w14:paraId="0131141D" w14:textId="77777777" w:rsidR="00587444" w:rsidRPr="00587444" w:rsidRDefault="00587444" w:rsidP="00587444">
            <w:pPr>
              <w:tabs>
                <w:tab w:val="left" w:pos="-720"/>
              </w:tabs>
              <w:autoSpaceDN/>
              <w:jc w:val="right"/>
              <w:rPr>
                <w:rFonts w:ascii="Arial" w:hAnsi="Arial" w:cs="Arial"/>
                <w:b/>
                <w:spacing w:val="-3"/>
                <w:sz w:val="20"/>
                <w:szCs w:val="20"/>
                <w:lang w:val="hr-HR"/>
              </w:rPr>
            </w:pPr>
          </w:p>
        </w:tc>
        <w:tc>
          <w:tcPr>
            <w:tcW w:w="603" w:type="pct"/>
          </w:tcPr>
          <w:p w14:paraId="52DD5D7F" w14:textId="77777777" w:rsidR="00587444" w:rsidRPr="00587444" w:rsidRDefault="00587444" w:rsidP="00587444">
            <w:pPr>
              <w:tabs>
                <w:tab w:val="left" w:pos="-720"/>
              </w:tabs>
              <w:autoSpaceDN/>
              <w:jc w:val="right"/>
              <w:rPr>
                <w:rFonts w:ascii="Arial" w:hAnsi="Arial" w:cs="Arial"/>
                <w:b/>
                <w:spacing w:val="-3"/>
                <w:sz w:val="20"/>
                <w:szCs w:val="20"/>
                <w:lang w:val="hr-HR"/>
              </w:rPr>
            </w:pPr>
          </w:p>
        </w:tc>
      </w:tr>
      <w:tr w:rsidR="00587444" w:rsidRPr="00587444" w14:paraId="7A6C3D7E" w14:textId="77777777" w:rsidTr="00DD69E7">
        <w:trPr>
          <w:trHeight w:val="505"/>
        </w:trPr>
        <w:tc>
          <w:tcPr>
            <w:tcW w:w="2273" w:type="pct"/>
          </w:tcPr>
          <w:p w14:paraId="146A1604" w14:textId="77777777" w:rsidR="00587444" w:rsidRPr="00587444" w:rsidRDefault="00587444" w:rsidP="00587444">
            <w:pPr>
              <w:tabs>
                <w:tab w:val="right" w:pos="1202"/>
              </w:tabs>
              <w:suppressAutoHyphens w:val="0"/>
              <w:autoSpaceDN/>
              <w:outlineLvl w:val="0"/>
              <w:rPr>
                <w:rFonts w:ascii="Arial" w:hAnsi="Arial" w:cs="Arial"/>
                <w:sz w:val="20"/>
                <w:szCs w:val="20"/>
              </w:rPr>
            </w:pPr>
            <w:bookmarkStart w:id="483" w:name="_Toc4057916"/>
            <w:r w:rsidRPr="00587444">
              <w:rPr>
                <w:rFonts w:ascii="Arial" w:hAnsi="Arial" w:cs="Arial"/>
                <w:sz w:val="20"/>
                <w:szCs w:val="20"/>
              </w:rPr>
              <w:t>Asset management - from managed funds for and on behalf of third parties</w:t>
            </w:r>
            <w:bookmarkEnd w:id="483"/>
          </w:p>
        </w:tc>
        <w:tc>
          <w:tcPr>
            <w:tcW w:w="758" w:type="pct"/>
            <w:tcBorders>
              <w:top w:val="nil"/>
              <w:left w:val="nil"/>
              <w:bottom w:val="nil"/>
              <w:right w:val="nil"/>
            </w:tcBorders>
            <w:shd w:val="clear" w:color="auto" w:fill="auto"/>
            <w:vAlign w:val="bottom"/>
          </w:tcPr>
          <w:p w14:paraId="44DB545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17,554 </w:t>
            </w:r>
          </w:p>
        </w:tc>
        <w:tc>
          <w:tcPr>
            <w:tcW w:w="683" w:type="pct"/>
            <w:tcBorders>
              <w:top w:val="nil"/>
              <w:left w:val="nil"/>
              <w:bottom w:val="nil"/>
              <w:right w:val="nil"/>
            </w:tcBorders>
            <w:shd w:val="clear" w:color="auto" w:fill="auto"/>
            <w:vAlign w:val="bottom"/>
          </w:tcPr>
          <w:p w14:paraId="2D408DD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22,079</w:t>
            </w:r>
          </w:p>
        </w:tc>
        <w:tc>
          <w:tcPr>
            <w:tcW w:w="683" w:type="pct"/>
            <w:tcBorders>
              <w:top w:val="nil"/>
              <w:left w:val="nil"/>
              <w:bottom w:val="nil"/>
              <w:right w:val="nil"/>
            </w:tcBorders>
            <w:shd w:val="clear" w:color="auto" w:fill="auto"/>
            <w:vAlign w:val="bottom"/>
          </w:tcPr>
          <w:p w14:paraId="208E35F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17,554 </w:t>
            </w:r>
          </w:p>
        </w:tc>
        <w:tc>
          <w:tcPr>
            <w:tcW w:w="603" w:type="pct"/>
            <w:tcBorders>
              <w:top w:val="nil"/>
              <w:left w:val="nil"/>
              <w:bottom w:val="nil"/>
              <w:right w:val="nil"/>
            </w:tcBorders>
            <w:shd w:val="clear" w:color="auto" w:fill="auto"/>
            <w:vAlign w:val="bottom"/>
          </w:tcPr>
          <w:p w14:paraId="0AB91BC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22,079</w:t>
            </w:r>
          </w:p>
        </w:tc>
      </w:tr>
      <w:tr w:rsidR="00587444" w:rsidRPr="00587444" w14:paraId="2D4ABF3B" w14:textId="77777777" w:rsidTr="00DD69E7">
        <w:trPr>
          <w:trHeight w:hRule="exact" w:val="284"/>
        </w:trPr>
        <w:tc>
          <w:tcPr>
            <w:tcW w:w="2273" w:type="pct"/>
          </w:tcPr>
          <w:p w14:paraId="2580098E"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rPr>
            </w:pPr>
            <w:bookmarkStart w:id="484" w:name="_Toc4057921"/>
            <w:r w:rsidRPr="00587444">
              <w:rPr>
                <w:rFonts w:ascii="Arial" w:hAnsi="Arial" w:cs="Arial"/>
                <w:sz w:val="20"/>
                <w:szCs w:val="20"/>
              </w:rPr>
              <w:t>From payment operations</w:t>
            </w:r>
            <w:bookmarkEnd w:id="484"/>
          </w:p>
        </w:tc>
        <w:tc>
          <w:tcPr>
            <w:tcW w:w="758" w:type="pct"/>
            <w:tcBorders>
              <w:top w:val="nil"/>
              <w:left w:val="nil"/>
              <w:bottom w:val="nil"/>
              <w:right w:val="nil"/>
            </w:tcBorders>
            <w:shd w:val="clear" w:color="auto" w:fill="auto"/>
            <w:vAlign w:val="bottom"/>
          </w:tcPr>
          <w:p w14:paraId="3BFB4CF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244 </w:t>
            </w:r>
          </w:p>
        </w:tc>
        <w:tc>
          <w:tcPr>
            <w:tcW w:w="683" w:type="pct"/>
            <w:tcBorders>
              <w:top w:val="nil"/>
              <w:left w:val="nil"/>
              <w:bottom w:val="nil"/>
              <w:right w:val="nil"/>
            </w:tcBorders>
            <w:shd w:val="clear" w:color="auto" w:fill="auto"/>
            <w:vAlign w:val="bottom"/>
          </w:tcPr>
          <w:p w14:paraId="32C3E13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164</w:t>
            </w:r>
          </w:p>
        </w:tc>
        <w:tc>
          <w:tcPr>
            <w:tcW w:w="683" w:type="pct"/>
            <w:tcBorders>
              <w:top w:val="nil"/>
              <w:left w:val="nil"/>
              <w:bottom w:val="nil"/>
              <w:right w:val="nil"/>
            </w:tcBorders>
            <w:shd w:val="clear" w:color="auto" w:fill="auto"/>
            <w:vAlign w:val="bottom"/>
          </w:tcPr>
          <w:p w14:paraId="1FA4CEA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244 </w:t>
            </w:r>
          </w:p>
        </w:tc>
        <w:tc>
          <w:tcPr>
            <w:tcW w:w="603" w:type="pct"/>
            <w:tcBorders>
              <w:top w:val="nil"/>
              <w:left w:val="nil"/>
              <w:bottom w:val="nil"/>
              <w:right w:val="nil"/>
            </w:tcBorders>
            <w:shd w:val="clear" w:color="auto" w:fill="auto"/>
            <w:vAlign w:val="bottom"/>
          </w:tcPr>
          <w:p w14:paraId="1097DEC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164</w:t>
            </w:r>
          </w:p>
        </w:tc>
      </w:tr>
      <w:tr w:rsidR="00587444" w:rsidRPr="00587444" w14:paraId="447F8E75" w14:textId="77777777" w:rsidTr="00DD69E7">
        <w:trPr>
          <w:trHeight w:hRule="exact" w:val="284"/>
        </w:trPr>
        <w:tc>
          <w:tcPr>
            <w:tcW w:w="2273" w:type="pct"/>
          </w:tcPr>
          <w:p w14:paraId="2796F7BA"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rPr>
            </w:pPr>
            <w:bookmarkStart w:id="485" w:name="_Toc4057931"/>
            <w:r w:rsidRPr="00587444">
              <w:rPr>
                <w:rFonts w:ascii="Arial" w:hAnsi="Arial" w:cs="Arial"/>
                <w:sz w:val="20"/>
                <w:szCs w:val="20"/>
              </w:rPr>
              <w:t>Other</w:t>
            </w:r>
            <w:bookmarkEnd w:id="485"/>
          </w:p>
        </w:tc>
        <w:tc>
          <w:tcPr>
            <w:tcW w:w="758" w:type="pct"/>
            <w:tcBorders>
              <w:top w:val="nil"/>
              <w:left w:val="nil"/>
              <w:bottom w:val="nil"/>
              <w:right w:val="nil"/>
            </w:tcBorders>
            <w:shd w:val="clear" w:color="auto" w:fill="auto"/>
            <w:vAlign w:val="bottom"/>
          </w:tcPr>
          <w:p w14:paraId="65AA645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33 </w:t>
            </w:r>
          </w:p>
        </w:tc>
        <w:tc>
          <w:tcPr>
            <w:tcW w:w="683" w:type="pct"/>
            <w:tcBorders>
              <w:top w:val="nil"/>
              <w:left w:val="nil"/>
              <w:bottom w:val="nil"/>
              <w:right w:val="nil"/>
            </w:tcBorders>
            <w:shd w:val="clear" w:color="auto" w:fill="auto"/>
            <w:vAlign w:val="bottom"/>
          </w:tcPr>
          <w:p w14:paraId="54D98D7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36</w:t>
            </w:r>
          </w:p>
        </w:tc>
        <w:tc>
          <w:tcPr>
            <w:tcW w:w="683" w:type="pct"/>
            <w:tcBorders>
              <w:top w:val="nil"/>
              <w:left w:val="nil"/>
              <w:bottom w:val="single" w:sz="4" w:space="0" w:color="auto"/>
              <w:right w:val="nil"/>
            </w:tcBorders>
            <w:shd w:val="clear" w:color="auto" w:fill="auto"/>
            <w:vAlign w:val="bottom"/>
          </w:tcPr>
          <w:p w14:paraId="3915F3B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33 </w:t>
            </w:r>
          </w:p>
        </w:tc>
        <w:tc>
          <w:tcPr>
            <w:tcW w:w="603" w:type="pct"/>
            <w:tcBorders>
              <w:top w:val="nil"/>
              <w:left w:val="nil"/>
              <w:bottom w:val="nil"/>
              <w:right w:val="nil"/>
            </w:tcBorders>
            <w:shd w:val="clear" w:color="auto" w:fill="auto"/>
            <w:vAlign w:val="bottom"/>
          </w:tcPr>
          <w:p w14:paraId="1A337E4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36</w:t>
            </w:r>
          </w:p>
        </w:tc>
      </w:tr>
      <w:tr w:rsidR="00587444" w:rsidRPr="00587444" w14:paraId="47C49DCB" w14:textId="77777777" w:rsidTr="00DD69E7">
        <w:trPr>
          <w:trHeight w:hRule="exact" w:val="600"/>
        </w:trPr>
        <w:tc>
          <w:tcPr>
            <w:tcW w:w="2273" w:type="pct"/>
            <w:vAlign w:val="center"/>
          </w:tcPr>
          <w:p w14:paraId="6C88E83B" w14:textId="77777777" w:rsidR="00587444" w:rsidRPr="00587444" w:rsidRDefault="00587444" w:rsidP="00587444">
            <w:pPr>
              <w:tabs>
                <w:tab w:val="right" w:pos="1202"/>
              </w:tabs>
              <w:suppressAutoHyphens w:val="0"/>
              <w:autoSpaceDN/>
              <w:outlineLvl w:val="0"/>
              <w:rPr>
                <w:rFonts w:ascii="Arial" w:hAnsi="Arial" w:cs="Arial"/>
                <w:b/>
                <w:bCs/>
                <w:sz w:val="20"/>
                <w:szCs w:val="20"/>
              </w:rPr>
            </w:pPr>
            <w:bookmarkStart w:id="486" w:name="_Toc4057936"/>
            <w:r w:rsidRPr="00587444">
              <w:rPr>
                <w:rFonts w:ascii="Arial" w:hAnsi="Arial" w:cs="Arial"/>
                <w:b/>
                <w:sz w:val="20"/>
                <w:szCs w:val="20"/>
              </w:rPr>
              <w:t>Total fee and commission income from contracts with customers</w:t>
            </w:r>
            <w:bookmarkEnd w:id="486"/>
          </w:p>
        </w:tc>
        <w:tc>
          <w:tcPr>
            <w:tcW w:w="758" w:type="pct"/>
            <w:tcBorders>
              <w:top w:val="single" w:sz="4" w:space="0" w:color="auto"/>
              <w:bottom w:val="single" w:sz="12" w:space="0" w:color="auto"/>
            </w:tcBorders>
            <w:shd w:val="clear" w:color="auto" w:fill="auto"/>
            <w:vAlign w:val="bottom"/>
          </w:tcPr>
          <w:p w14:paraId="5B42157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17,831</w:t>
            </w:r>
          </w:p>
        </w:tc>
        <w:tc>
          <w:tcPr>
            <w:tcW w:w="683" w:type="pct"/>
            <w:tcBorders>
              <w:top w:val="single" w:sz="4" w:space="0" w:color="auto"/>
              <w:bottom w:val="single" w:sz="12" w:space="0" w:color="auto"/>
            </w:tcBorders>
            <w:shd w:val="clear" w:color="auto" w:fill="auto"/>
            <w:vAlign w:val="bottom"/>
          </w:tcPr>
          <w:p w14:paraId="113D938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color w:val="000000"/>
                <w:sz w:val="20"/>
                <w:szCs w:val="20"/>
                <w:lang w:val="en-GB"/>
              </w:rPr>
            </w:pPr>
            <w:r w:rsidRPr="00587444">
              <w:rPr>
                <w:rFonts w:ascii="Arial" w:hAnsi="Arial" w:cs="Arial"/>
                <w:b/>
                <w:bCs/>
                <w:color w:val="000000"/>
                <w:sz w:val="20"/>
                <w:szCs w:val="20"/>
                <w:lang w:val="en-GB"/>
              </w:rPr>
              <w:t>22,279</w:t>
            </w:r>
          </w:p>
        </w:tc>
        <w:tc>
          <w:tcPr>
            <w:tcW w:w="683" w:type="pct"/>
            <w:tcBorders>
              <w:top w:val="single" w:sz="4" w:space="0" w:color="auto"/>
              <w:left w:val="nil"/>
              <w:bottom w:val="single" w:sz="12" w:space="0" w:color="auto"/>
              <w:right w:val="nil"/>
            </w:tcBorders>
            <w:shd w:val="clear" w:color="auto" w:fill="auto"/>
            <w:vAlign w:val="bottom"/>
          </w:tcPr>
          <w:p w14:paraId="0252599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17,831</w:t>
            </w:r>
          </w:p>
        </w:tc>
        <w:tc>
          <w:tcPr>
            <w:tcW w:w="603" w:type="pct"/>
            <w:tcBorders>
              <w:top w:val="single" w:sz="4" w:space="0" w:color="auto"/>
              <w:bottom w:val="single" w:sz="12" w:space="0" w:color="auto"/>
            </w:tcBorders>
            <w:shd w:val="clear" w:color="auto" w:fill="auto"/>
            <w:vAlign w:val="bottom"/>
          </w:tcPr>
          <w:p w14:paraId="2C44001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color w:val="000000"/>
                <w:sz w:val="20"/>
                <w:szCs w:val="20"/>
                <w:lang w:val="en-GB"/>
              </w:rPr>
            </w:pPr>
            <w:r w:rsidRPr="00587444">
              <w:rPr>
                <w:rFonts w:ascii="Arial" w:hAnsi="Arial" w:cs="Arial"/>
                <w:b/>
                <w:bCs/>
                <w:color w:val="000000"/>
                <w:sz w:val="20"/>
                <w:szCs w:val="20"/>
                <w:lang w:val="en-GB"/>
              </w:rPr>
              <w:t>22,279</w:t>
            </w:r>
          </w:p>
        </w:tc>
      </w:tr>
      <w:tr w:rsidR="00587444" w:rsidRPr="00587444" w14:paraId="7FC8BD9B" w14:textId="77777777" w:rsidTr="00DD69E7">
        <w:trPr>
          <w:trHeight w:val="199"/>
        </w:trPr>
        <w:tc>
          <w:tcPr>
            <w:tcW w:w="2273" w:type="pct"/>
            <w:vAlign w:val="bottom"/>
          </w:tcPr>
          <w:p w14:paraId="5CE65600" w14:textId="77777777" w:rsidR="00587444" w:rsidRPr="00587444" w:rsidRDefault="00587444" w:rsidP="00587444">
            <w:pPr>
              <w:tabs>
                <w:tab w:val="right" w:pos="1202"/>
              </w:tabs>
              <w:suppressAutoHyphens w:val="0"/>
              <w:autoSpaceDN/>
              <w:outlineLvl w:val="0"/>
              <w:rPr>
                <w:rFonts w:ascii="Arial" w:hAnsi="Arial" w:cs="Arial"/>
                <w:b/>
                <w:bCs/>
                <w:sz w:val="20"/>
                <w:szCs w:val="20"/>
              </w:rPr>
            </w:pPr>
            <w:bookmarkStart w:id="487" w:name="_Toc4057941"/>
            <w:r w:rsidRPr="00587444">
              <w:rPr>
                <w:rFonts w:ascii="Arial" w:hAnsi="Arial" w:cs="Arial"/>
                <w:sz w:val="20"/>
                <w:szCs w:val="20"/>
              </w:rPr>
              <w:t>From issued guarantees</w:t>
            </w:r>
            <w:bookmarkEnd w:id="487"/>
          </w:p>
        </w:tc>
        <w:tc>
          <w:tcPr>
            <w:tcW w:w="758" w:type="pct"/>
            <w:tcBorders>
              <w:top w:val="single" w:sz="4" w:space="0" w:color="auto"/>
            </w:tcBorders>
            <w:shd w:val="clear" w:color="auto" w:fill="auto"/>
            <w:vAlign w:val="bottom"/>
          </w:tcPr>
          <w:p w14:paraId="0B7E355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5,471</w:t>
            </w:r>
          </w:p>
        </w:tc>
        <w:tc>
          <w:tcPr>
            <w:tcW w:w="683" w:type="pct"/>
            <w:tcBorders>
              <w:top w:val="single" w:sz="4" w:space="0" w:color="auto"/>
            </w:tcBorders>
            <w:shd w:val="clear" w:color="auto" w:fill="auto"/>
            <w:vAlign w:val="bottom"/>
          </w:tcPr>
          <w:p w14:paraId="03D1F1D4" w14:textId="77777777" w:rsidR="00587444" w:rsidRPr="00587444" w:rsidRDefault="00587444" w:rsidP="00587444">
            <w:pPr>
              <w:tabs>
                <w:tab w:val="right" w:pos="1202"/>
              </w:tabs>
              <w:suppressAutoHyphens w:val="0"/>
              <w:autoSpaceDN/>
              <w:jc w:val="right"/>
              <w:outlineLvl w:val="0"/>
              <w:rPr>
                <w:rFonts w:ascii="Arial" w:hAnsi="Arial" w:cs="Arial"/>
                <w:b/>
                <w:bCs/>
                <w:sz w:val="20"/>
                <w:szCs w:val="20"/>
                <w:lang w:val="hr-HR"/>
              </w:rPr>
            </w:pPr>
            <w:r w:rsidRPr="00587444">
              <w:rPr>
                <w:rFonts w:ascii="Arial" w:hAnsi="Arial" w:cs="Arial"/>
                <w:color w:val="000000"/>
                <w:sz w:val="20"/>
                <w:szCs w:val="20"/>
                <w:lang w:val="hr-HR"/>
              </w:rPr>
              <w:t>6,225</w:t>
            </w:r>
          </w:p>
        </w:tc>
        <w:tc>
          <w:tcPr>
            <w:tcW w:w="683" w:type="pct"/>
            <w:tcBorders>
              <w:top w:val="single" w:sz="12" w:space="0" w:color="auto"/>
              <w:left w:val="nil"/>
              <w:bottom w:val="nil"/>
              <w:right w:val="nil"/>
            </w:tcBorders>
            <w:shd w:val="clear" w:color="auto" w:fill="auto"/>
            <w:vAlign w:val="bottom"/>
          </w:tcPr>
          <w:p w14:paraId="2836F89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5,471</w:t>
            </w:r>
          </w:p>
        </w:tc>
        <w:tc>
          <w:tcPr>
            <w:tcW w:w="603" w:type="pct"/>
            <w:tcBorders>
              <w:top w:val="single" w:sz="4" w:space="0" w:color="auto"/>
            </w:tcBorders>
            <w:shd w:val="clear" w:color="auto" w:fill="auto"/>
            <w:vAlign w:val="bottom"/>
          </w:tcPr>
          <w:p w14:paraId="5FEC1AB0" w14:textId="77777777" w:rsidR="00587444" w:rsidRPr="00587444" w:rsidRDefault="00587444" w:rsidP="00587444">
            <w:pPr>
              <w:tabs>
                <w:tab w:val="right" w:pos="1202"/>
              </w:tabs>
              <w:suppressAutoHyphens w:val="0"/>
              <w:autoSpaceDN/>
              <w:jc w:val="right"/>
              <w:outlineLvl w:val="0"/>
              <w:rPr>
                <w:rFonts w:ascii="Arial" w:hAnsi="Arial" w:cs="Arial"/>
                <w:b/>
                <w:bCs/>
                <w:sz w:val="20"/>
                <w:szCs w:val="20"/>
                <w:lang w:val="hr-HR"/>
              </w:rPr>
            </w:pPr>
            <w:r w:rsidRPr="00587444">
              <w:rPr>
                <w:rFonts w:ascii="Arial" w:hAnsi="Arial" w:cs="Arial"/>
                <w:color w:val="000000"/>
                <w:sz w:val="20"/>
                <w:szCs w:val="20"/>
                <w:lang w:val="hr-HR"/>
              </w:rPr>
              <w:t>6,225</w:t>
            </w:r>
          </w:p>
        </w:tc>
      </w:tr>
      <w:tr w:rsidR="00587444" w:rsidRPr="00587444" w14:paraId="71AB2370" w14:textId="77777777" w:rsidTr="00DD69E7">
        <w:trPr>
          <w:trHeight w:hRule="exact" w:val="284"/>
        </w:trPr>
        <w:tc>
          <w:tcPr>
            <w:tcW w:w="2273" w:type="pct"/>
          </w:tcPr>
          <w:p w14:paraId="531EE42F"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rPr>
            </w:pPr>
            <w:bookmarkStart w:id="488" w:name="_Toc4057926"/>
            <w:r w:rsidRPr="00587444">
              <w:rPr>
                <w:rFonts w:ascii="Arial" w:hAnsi="Arial" w:cs="Arial"/>
                <w:sz w:val="20"/>
                <w:szCs w:val="20"/>
              </w:rPr>
              <w:t>Reinsurance commission income</w:t>
            </w:r>
            <w:bookmarkEnd w:id="488"/>
          </w:p>
        </w:tc>
        <w:tc>
          <w:tcPr>
            <w:tcW w:w="758" w:type="pct"/>
            <w:tcBorders>
              <w:top w:val="nil"/>
              <w:left w:val="nil"/>
              <w:bottom w:val="nil"/>
              <w:right w:val="nil"/>
            </w:tcBorders>
            <w:shd w:val="clear" w:color="auto" w:fill="auto"/>
            <w:vAlign w:val="bottom"/>
          </w:tcPr>
          <w:p w14:paraId="6324C91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3,877</w:t>
            </w:r>
          </w:p>
        </w:tc>
        <w:tc>
          <w:tcPr>
            <w:tcW w:w="683" w:type="pct"/>
            <w:tcBorders>
              <w:top w:val="nil"/>
              <w:left w:val="nil"/>
              <w:bottom w:val="nil"/>
              <w:right w:val="nil"/>
            </w:tcBorders>
            <w:shd w:val="clear" w:color="auto" w:fill="auto"/>
            <w:vAlign w:val="bottom"/>
          </w:tcPr>
          <w:p w14:paraId="15439EC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3,318</w:t>
            </w:r>
          </w:p>
        </w:tc>
        <w:tc>
          <w:tcPr>
            <w:tcW w:w="683" w:type="pct"/>
            <w:tcBorders>
              <w:top w:val="nil"/>
              <w:left w:val="nil"/>
              <w:bottom w:val="single" w:sz="4" w:space="0" w:color="auto"/>
              <w:right w:val="nil"/>
            </w:tcBorders>
            <w:shd w:val="clear" w:color="auto" w:fill="auto"/>
            <w:vAlign w:val="bottom"/>
          </w:tcPr>
          <w:p w14:paraId="5E2DD6F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w:t>
            </w:r>
          </w:p>
        </w:tc>
        <w:tc>
          <w:tcPr>
            <w:tcW w:w="603" w:type="pct"/>
            <w:tcBorders>
              <w:top w:val="nil"/>
              <w:left w:val="nil"/>
              <w:bottom w:val="nil"/>
              <w:right w:val="nil"/>
            </w:tcBorders>
            <w:shd w:val="clear" w:color="auto" w:fill="auto"/>
            <w:vAlign w:val="bottom"/>
          </w:tcPr>
          <w:p w14:paraId="1F9D53F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w:t>
            </w:r>
          </w:p>
        </w:tc>
      </w:tr>
      <w:tr w:rsidR="00587444" w:rsidRPr="00587444" w14:paraId="13BE08E1" w14:textId="77777777" w:rsidTr="00DD69E7">
        <w:trPr>
          <w:trHeight w:val="116"/>
        </w:trPr>
        <w:tc>
          <w:tcPr>
            <w:tcW w:w="2273" w:type="pct"/>
          </w:tcPr>
          <w:p w14:paraId="4D7B716E"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rPr>
            </w:pPr>
            <w:bookmarkStart w:id="489" w:name="_Toc4057946"/>
            <w:r w:rsidRPr="00587444">
              <w:rPr>
                <w:rFonts w:ascii="Arial" w:hAnsi="Arial" w:cs="Arial"/>
                <w:b/>
                <w:sz w:val="20"/>
                <w:szCs w:val="20"/>
              </w:rPr>
              <w:t>Total fee and commission income</w:t>
            </w:r>
            <w:bookmarkEnd w:id="489"/>
          </w:p>
        </w:tc>
        <w:tc>
          <w:tcPr>
            <w:tcW w:w="758" w:type="pct"/>
            <w:tcBorders>
              <w:top w:val="single" w:sz="4" w:space="0" w:color="auto"/>
            </w:tcBorders>
            <w:vAlign w:val="bottom"/>
          </w:tcPr>
          <w:p w14:paraId="13BB589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27,179</w:t>
            </w:r>
          </w:p>
        </w:tc>
        <w:tc>
          <w:tcPr>
            <w:tcW w:w="683" w:type="pct"/>
            <w:tcBorders>
              <w:top w:val="single" w:sz="4" w:space="0" w:color="auto"/>
            </w:tcBorders>
            <w:vAlign w:val="bottom"/>
          </w:tcPr>
          <w:p w14:paraId="154335BC"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31,822</w:t>
            </w:r>
          </w:p>
        </w:tc>
        <w:tc>
          <w:tcPr>
            <w:tcW w:w="683" w:type="pct"/>
            <w:tcBorders>
              <w:top w:val="single" w:sz="4" w:space="0" w:color="auto"/>
            </w:tcBorders>
            <w:vAlign w:val="bottom"/>
          </w:tcPr>
          <w:p w14:paraId="4E7137B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23,302</w:t>
            </w:r>
          </w:p>
        </w:tc>
        <w:tc>
          <w:tcPr>
            <w:tcW w:w="603" w:type="pct"/>
            <w:tcBorders>
              <w:top w:val="single" w:sz="4" w:space="0" w:color="auto"/>
            </w:tcBorders>
            <w:vAlign w:val="bottom"/>
          </w:tcPr>
          <w:p w14:paraId="6872B607"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28,504</w:t>
            </w:r>
          </w:p>
        </w:tc>
      </w:tr>
      <w:tr w:rsidR="00587444" w:rsidRPr="00587444" w14:paraId="38046F49" w14:textId="77777777" w:rsidTr="00DD69E7">
        <w:tblPrEx>
          <w:tblCellMar>
            <w:left w:w="119" w:type="dxa"/>
            <w:right w:w="119" w:type="dxa"/>
          </w:tblCellMar>
        </w:tblPrEx>
        <w:trPr>
          <w:trHeight w:val="340"/>
        </w:trPr>
        <w:tc>
          <w:tcPr>
            <w:tcW w:w="2273" w:type="pct"/>
            <w:vAlign w:val="bottom"/>
          </w:tcPr>
          <w:p w14:paraId="7C676D83" w14:textId="77777777" w:rsidR="00587444" w:rsidRPr="00587444" w:rsidRDefault="00587444" w:rsidP="00587444">
            <w:pPr>
              <w:tabs>
                <w:tab w:val="right" w:pos="1202"/>
              </w:tabs>
              <w:suppressAutoHyphens w:val="0"/>
              <w:autoSpaceDN/>
              <w:spacing w:line="280" w:lineRule="exact"/>
              <w:outlineLvl w:val="0"/>
              <w:rPr>
                <w:rFonts w:ascii="Arial" w:hAnsi="Arial" w:cs="Arial"/>
                <w:b/>
                <w:sz w:val="20"/>
                <w:szCs w:val="20"/>
                <w:lang w:val="en-GB"/>
              </w:rPr>
            </w:pPr>
            <w:bookmarkStart w:id="490" w:name="_Toc4057951"/>
            <w:r w:rsidRPr="00587444">
              <w:rPr>
                <w:rFonts w:ascii="Arial" w:hAnsi="Arial" w:cs="Arial"/>
                <w:sz w:val="20"/>
                <w:szCs w:val="20"/>
              </w:rPr>
              <w:t>Fee and commission expense</w:t>
            </w:r>
            <w:bookmarkEnd w:id="490"/>
            <w:r w:rsidRPr="00587444">
              <w:rPr>
                <w:rFonts w:ascii="Arial" w:hAnsi="Arial" w:cs="Arial"/>
                <w:b/>
                <w:sz w:val="20"/>
                <w:szCs w:val="20"/>
                <w:lang w:val="en-GB"/>
              </w:rPr>
              <w:t xml:space="preserve">  </w:t>
            </w:r>
          </w:p>
        </w:tc>
        <w:tc>
          <w:tcPr>
            <w:tcW w:w="758" w:type="pct"/>
            <w:tcBorders>
              <w:bottom w:val="single" w:sz="4" w:space="0" w:color="auto"/>
            </w:tcBorders>
            <w:vAlign w:val="bottom"/>
          </w:tcPr>
          <w:p w14:paraId="26E1294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(3,910)</w:t>
            </w:r>
          </w:p>
        </w:tc>
        <w:tc>
          <w:tcPr>
            <w:tcW w:w="683" w:type="pct"/>
            <w:tcBorders>
              <w:bottom w:val="single" w:sz="4" w:space="0" w:color="auto"/>
            </w:tcBorders>
            <w:vAlign w:val="bottom"/>
          </w:tcPr>
          <w:p w14:paraId="26F8ADC2"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sz w:val="20"/>
                <w:szCs w:val="20"/>
                <w:lang w:val="hr-HR"/>
              </w:rPr>
            </w:pPr>
            <w:r w:rsidRPr="00587444">
              <w:rPr>
                <w:rFonts w:ascii="Arial" w:hAnsi="Arial" w:cs="Arial"/>
                <w:color w:val="000000"/>
                <w:sz w:val="20"/>
                <w:szCs w:val="20"/>
                <w:lang w:val="hr-HR"/>
              </w:rPr>
              <w:t>(5,056)</w:t>
            </w:r>
          </w:p>
        </w:tc>
        <w:tc>
          <w:tcPr>
            <w:tcW w:w="683" w:type="pct"/>
            <w:vAlign w:val="bottom"/>
          </w:tcPr>
          <w:p w14:paraId="2D2EAAB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(3,910)</w:t>
            </w:r>
          </w:p>
        </w:tc>
        <w:tc>
          <w:tcPr>
            <w:tcW w:w="603" w:type="pct"/>
            <w:tcBorders>
              <w:bottom w:val="single" w:sz="4" w:space="0" w:color="auto"/>
            </w:tcBorders>
            <w:vAlign w:val="bottom"/>
          </w:tcPr>
          <w:p w14:paraId="72581401"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sz w:val="20"/>
                <w:szCs w:val="20"/>
                <w:lang w:val="hr-HR"/>
              </w:rPr>
            </w:pPr>
            <w:r w:rsidRPr="00587444">
              <w:rPr>
                <w:rFonts w:ascii="Arial" w:hAnsi="Arial" w:cs="Arial"/>
                <w:bCs/>
                <w:color w:val="000000"/>
                <w:sz w:val="20"/>
                <w:szCs w:val="20"/>
                <w:lang w:val="hr-HR"/>
              </w:rPr>
              <w:t>(5,056)</w:t>
            </w:r>
          </w:p>
        </w:tc>
      </w:tr>
      <w:tr w:rsidR="00587444" w:rsidRPr="00587444" w14:paraId="7F141005" w14:textId="77777777" w:rsidTr="00DD69E7">
        <w:tblPrEx>
          <w:tblCellMar>
            <w:left w:w="119" w:type="dxa"/>
            <w:right w:w="119" w:type="dxa"/>
          </w:tblCellMar>
        </w:tblPrEx>
        <w:trPr>
          <w:trHeight w:val="383"/>
        </w:trPr>
        <w:tc>
          <w:tcPr>
            <w:tcW w:w="2273" w:type="pct"/>
            <w:vAlign w:val="bottom"/>
          </w:tcPr>
          <w:p w14:paraId="1D2E265A" w14:textId="77777777" w:rsidR="00587444" w:rsidRPr="00587444" w:rsidRDefault="00587444" w:rsidP="00587444">
            <w:pPr>
              <w:suppressAutoHyphens w:val="0"/>
              <w:autoSpaceDN/>
              <w:rPr>
                <w:rFonts w:ascii="Arial" w:hAnsi="Arial" w:cs="Arial"/>
                <w:sz w:val="20"/>
                <w:szCs w:val="20"/>
              </w:rPr>
            </w:pPr>
            <w:r w:rsidRPr="00587444">
              <w:rPr>
                <w:rFonts w:ascii="Arial" w:hAnsi="Arial" w:cs="Arial"/>
                <w:b/>
                <w:sz w:val="20"/>
                <w:szCs w:val="20"/>
              </w:rPr>
              <w:t>Net fee and commission income</w:t>
            </w:r>
          </w:p>
        </w:tc>
        <w:tc>
          <w:tcPr>
            <w:tcW w:w="758" w:type="pct"/>
            <w:tcBorders>
              <w:top w:val="single" w:sz="4" w:space="0" w:color="auto"/>
              <w:bottom w:val="single" w:sz="12" w:space="0" w:color="auto"/>
            </w:tcBorders>
            <w:vAlign w:val="bottom"/>
          </w:tcPr>
          <w:p w14:paraId="0E82149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23,269</w:t>
            </w:r>
          </w:p>
        </w:tc>
        <w:tc>
          <w:tcPr>
            <w:tcW w:w="683" w:type="pct"/>
            <w:tcBorders>
              <w:top w:val="single" w:sz="4" w:space="0" w:color="auto"/>
              <w:bottom w:val="single" w:sz="12" w:space="0" w:color="auto"/>
            </w:tcBorders>
            <w:vAlign w:val="bottom"/>
          </w:tcPr>
          <w:p w14:paraId="2F5C28FD"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26,766</w:t>
            </w:r>
          </w:p>
        </w:tc>
        <w:tc>
          <w:tcPr>
            <w:tcW w:w="683" w:type="pct"/>
            <w:tcBorders>
              <w:top w:val="single" w:sz="4" w:space="0" w:color="auto"/>
              <w:bottom w:val="single" w:sz="12" w:space="0" w:color="auto"/>
            </w:tcBorders>
            <w:vAlign w:val="bottom"/>
          </w:tcPr>
          <w:p w14:paraId="7D9D46B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19,392</w:t>
            </w:r>
          </w:p>
        </w:tc>
        <w:tc>
          <w:tcPr>
            <w:tcW w:w="603" w:type="pct"/>
            <w:tcBorders>
              <w:top w:val="single" w:sz="4" w:space="0" w:color="auto"/>
              <w:bottom w:val="single" w:sz="12" w:space="0" w:color="auto"/>
            </w:tcBorders>
            <w:vAlign w:val="bottom"/>
          </w:tcPr>
          <w:p w14:paraId="15AF3F17"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23,448</w:t>
            </w:r>
          </w:p>
        </w:tc>
      </w:tr>
    </w:tbl>
    <w:p w14:paraId="3FB798A3" w14:textId="77777777" w:rsidR="00587444" w:rsidRPr="00587444" w:rsidRDefault="00587444" w:rsidP="00587444">
      <w:pPr>
        <w:suppressAutoHyphens w:val="0"/>
        <w:autoSpaceDN/>
        <w:rPr>
          <w:rFonts w:ascii="Arial" w:hAnsi="Arial" w:cs="Arial"/>
          <w:sz w:val="20"/>
          <w:szCs w:val="20"/>
          <w:highlight w:val="yellow"/>
          <w:lang w:val="hr-HR"/>
        </w:rPr>
        <w:sectPr w:rsidR="00587444" w:rsidRPr="00587444" w:rsidSect="00DD69E7">
          <w:pgSz w:w="11907" w:h="16840" w:code="9"/>
          <w:pgMar w:top="1418" w:right="1134" w:bottom="1134" w:left="1418" w:header="851" w:footer="851" w:gutter="0"/>
          <w:cols w:space="720"/>
          <w:noEndnote/>
        </w:sectPr>
      </w:pPr>
    </w:p>
    <w:p w14:paraId="016772C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8AAA2F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8.</w:t>
      </w:r>
      <w:r w:rsidRPr="00587444">
        <w:rPr>
          <w:rFonts w:ascii="Arial" w:hAnsi="Arial" w:cs="Arial"/>
          <w:b/>
          <w:bCs/>
          <w:sz w:val="20"/>
          <w:szCs w:val="20"/>
          <w:lang w:val="en-GB"/>
        </w:rPr>
        <w:tab/>
        <w:t xml:space="preserve">Net gains/(losses) on financial operations </w:t>
      </w:r>
    </w:p>
    <w:p w14:paraId="453ACECC" w14:textId="77777777" w:rsidR="00587444" w:rsidRPr="00587444" w:rsidRDefault="00587444" w:rsidP="00587444">
      <w:pPr>
        <w:keepNext/>
        <w:suppressAutoHyphens w:val="0"/>
        <w:autoSpaceDN/>
        <w:jc w:val="both"/>
        <w:rPr>
          <w:rFonts w:ascii="Arial" w:hAnsi="Arial" w:cs="Arial"/>
          <w:b/>
          <w:bCs/>
          <w:sz w:val="20"/>
          <w:szCs w:val="20"/>
          <w:lang w:val="en-GB"/>
        </w:rPr>
      </w:pPr>
    </w:p>
    <w:tbl>
      <w:tblPr>
        <w:tblW w:w="5076" w:type="pct"/>
        <w:jc w:val="right"/>
        <w:tblLayout w:type="fixed"/>
        <w:tblCellMar>
          <w:left w:w="122" w:type="dxa"/>
          <w:right w:w="122" w:type="dxa"/>
        </w:tblCellMar>
        <w:tblLook w:val="0000" w:firstRow="0" w:lastRow="0" w:firstColumn="0" w:lastColumn="0" w:noHBand="0" w:noVBand="0"/>
      </w:tblPr>
      <w:tblGrid>
        <w:gridCol w:w="4801"/>
        <w:gridCol w:w="1236"/>
        <w:gridCol w:w="1236"/>
        <w:gridCol w:w="1236"/>
        <w:gridCol w:w="1236"/>
      </w:tblGrid>
      <w:tr w:rsidR="00587444" w:rsidRPr="00587444" w14:paraId="42392808" w14:textId="77777777" w:rsidTr="00DD69E7">
        <w:trPr>
          <w:trHeight w:val="120"/>
          <w:jc w:val="right"/>
        </w:trPr>
        <w:tc>
          <w:tcPr>
            <w:tcW w:w="2463" w:type="pct"/>
          </w:tcPr>
          <w:p w14:paraId="7C1C513B" w14:textId="77777777" w:rsidR="00587444" w:rsidRPr="00587444" w:rsidRDefault="00587444" w:rsidP="00587444">
            <w:pPr>
              <w:tabs>
                <w:tab w:val="right" w:pos="1202"/>
              </w:tabs>
              <w:suppressAutoHyphens w:val="0"/>
              <w:autoSpaceDN/>
              <w:spacing w:line="240" w:lineRule="atLeast"/>
              <w:outlineLvl w:val="0"/>
              <w:rPr>
                <w:rFonts w:ascii="Arial" w:hAnsi="Arial" w:cs="Arial"/>
                <w:b/>
                <w:sz w:val="20"/>
                <w:szCs w:val="20"/>
                <w:lang w:val="en-GB"/>
              </w:rPr>
            </w:pPr>
          </w:p>
        </w:tc>
        <w:tc>
          <w:tcPr>
            <w:tcW w:w="634" w:type="pct"/>
          </w:tcPr>
          <w:p w14:paraId="65653E9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34" w:type="pct"/>
          </w:tcPr>
          <w:p w14:paraId="781E1D82"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91" w:name="_Toc4057960"/>
            <w:r w:rsidRPr="00587444">
              <w:rPr>
                <w:rFonts w:ascii="Arial" w:hAnsi="Arial" w:cs="Arial"/>
                <w:b/>
                <w:sz w:val="20"/>
                <w:szCs w:val="20"/>
                <w:lang w:val="hr-HR"/>
              </w:rPr>
              <w:t>Group</w:t>
            </w:r>
            <w:bookmarkEnd w:id="491"/>
          </w:p>
        </w:tc>
        <w:tc>
          <w:tcPr>
            <w:tcW w:w="634" w:type="pct"/>
          </w:tcPr>
          <w:p w14:paraId="365F067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34" w:type="pct"/>
          </w:tcPr>
          <w:p w14:paraId="76875E4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92" w:name="_Toc4057961"/>
            <w:r w:rsidRPr="00587444">
              <w:rPr>
                <w:rFonts w:ascii="Arial" w:hAnsi="Arial" w:cs="Arial"/>
                <w:b/>
                <w:sz w:val="20"/>
                <w:szCs w:val="20"/>
                <w:lang w:val="hr-HR"/>
              </w:rPr>
              <w:t>Bank</w:t>
            </w:r>
            <w:bookmarkEnd w:id="492"/>
          </w:p>
        </w:tc>
      </w:tr>
      <w:tr w:rsidR="00587444" w:rsidRPr="00587444" w14:paraId="607F79CE" w14:textId="77777777" w:rsidTr="00DD69E7">
        <w:trPr>
          <w:trHeight w:val="120"/>
          <w:jc w:val="right"/>
        </w:trPr>
        <w:tc>
          <w:tcPr>
            <w:tcW w:w="2463" w:type="pct"/>
          </w:tcPr>
          <w:p w14:paraId="25C18B28" w14:textId="77777777" w:rsidR="00587444" w:rsidRPr="00587444" w:rsidRDefault="00587444" w:rsidP="00587444">
            <w:pPr>
              <w:tabs>
                <w:tab w:val="right" w:pos="1202"/>
              </w:tabs>
              <w:suppressAutoHyphens w:val="0"/>
              <w:autoSpaceDN/>
              <w:spacing w:line="240" w:lineRule="atLeast"/>
              <w:outlineLvl w:val="0"/>
              <w:rPr>
                <w:rFonts w:ascii="Arial" w:hAnsi="Arial" w:cs="Arial"/>
                <w:b/>
                <w:sz w:val="20"/>
                <w:szCs w:val="20"/>
                <w:lang w:val="en-GB"/>
              </w:rPr>
            </w:pPr>
          </w:p>
        </w:tc>
        <w:tc>
          <w:tcPr>
            <w:tcW w:w="634" w:type="pct"/>
            <w:vAlign w:val="center"/>
          </w:tcPr>
          <w:p w14:paraId="0D04459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634" w:type="pct"/>
            <w:vAlign w:val="center"/>
          </w:tcPr>
          <w:p w14:paraId="77EF67D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2021</w:t>
            </w:r>
          </w:p>
        </w:tc>
        <w:tc>
          <w:tcPr>
            <w:tcW w:w="634" w:type="pct"/>
            <w:vAlign w:val="center"/>
          </w:tcPr>
          <w:p w14:paraId="366F416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634" w:type="pct"/>
            <w:vAlign w:val="center"/>
          </w:tcPr>
          <w:p w14:paraId="652BE86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2021</w:t>
            </w:r>
          </w:p>
        </w:tc>
      </w:tr>
      <w:tr w:rsidR="00587444" w:rsidRPr="00587444" w14:paraId="5138E758" w14:textId="77777777" w:rsidTr="00DD69E7">
        <w:trPr>
          <w:trHeight w:val="120"/>
          <w:jc w:val="right"/>
        </w:trPr>
        <w:tc>
          <w:tcPr>
            <w:tcW w:w="2463" w:type="pct"/>
          </w:tcPr>
          <w:p w14:paraId="1570AB21" w14:textId="77777777" w:rsidR="00587444" w:rsidRPr="00587444" w:rsidRDefault="00587444" w:rsidP="00587444">
            <w:pPr>
              <w:tabs>
                <w:tab w:val="right" w:pos="1202"/>
              </w:tabs>
              <w:suppressAutoHyphens w:val="0"/>
              <w:autoSpaceDN/>
              <w:spacing w:line="240" w:lineRule="atLeast"/>
              <w:outlineLvl w:val="0"/>
              <w:rPr>
                <w:rFonts w:ascii="Arial" w:hAnsi="Arial" w:cs="Arial"/>
                <w:b/>
                <w:sz w:val="20"/>
                <w:szCs w:val="20"/>
                <w:lang w:val="en-GB"/>
              </w:rPr>
            </w:pPr>
          </w:p>
        </w:tc>
        <w:tc>
          <w:tcPr>
            <w:tcW w:w="634" w:type="pct"/>
          </w:tcPr>
          <w:p w14:paraId="1E61DBE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93" w:name="_Toc4057966"/>
            <w:r w:rsidRPr="00587444">
              <w:rPr>
                <w:rFonts w:ascii="Arial" w:hAnsi="Arial" w:cs="Arial"/>
                <w:b/>
                <w:sz w:val="20"/>
                <w:szCs w:val="20"/>
                <w:lang w:val="en-GB"/>
              </w:rPr>
              <w:t>HRK ‘000</w:t>
            </w:r>
            <w:bookmarkEnd w:id="493"/>
          </w:p>
        </w:tc>
        <w:tc>
          <w:tcPr>
            <w:tcW w:w="634" w:type="pct"/>
          </w:tcPr>
          <w:p w14:paraId="2B3E926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94" w:name="_Toc4057967"/>
            <w:r w:rsidRPr="00587444">
              <w:rPr>
                <w:rFonts w:ascii="Arial" w:hAnsi="Arial" w:cs="Arial"/>
                <w:b/>
                <w:sz w:val="20"/>
                <w:szCs w:val="20"/>
                <w:lang w:val="en-GB"/>
              </w:rPr>
              <w:t>HRK ‘000</w:t>
            </w:r>
            <w:bookmarkEnd w:id="494"/>
          </w:p>
        </w:tc>
        <w:tc>
          <w:tcPr>
            <w:tcW w:w="634" w:type="pct"/>
          </w:tcPr>
          <w:p w14:paraId="1A84211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95" w:name="_Toc4057968"/>
            <w:r w:rsidRPr="00587444">
              <w:rPr>
                <w:rFonts w:ascii="Arial" w:hAnsi="Arial" w:cs="Arial"/>
                <w:b/>
                <w:sz w:val="20"/>
                <w:szCs w:val="20"/>
                <w:lang w:val="en-GB"/>
              </w:rPr>
              <w:t>HRK ‘000</w:t>
            </w:r>
            <w:bookmarkEnd w:id="495"/>
          </w:p>
        </w:tc>
        <w:tc>
          <w:tcPr>
            <w:tcW w:w="634" w:type="pct"/>
          </w:tcPr>
          <w:p w14:paraId="59F6196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496" w:name="_Toc4057969"/>
            <w:r w:rsidRPr="00587444">
              <w:rPr>
                <w:rFonts w:ascii="Arial" w:hAnsi="Arial" w:cs="Arial"/>
                <w:b/>
                <w:sz w:val="20"/>
                <w:szCs w:val="20"/>
                <w:lang w:val="en-GB"/>
              </w:rPr>
              <w:t>HRK ‘000</w:t>
            </w:r>
            <w:bookmarkEnd w:id="496"/>
          </w:p>
        </w:tc>
      </w:tr>
      <w:tr w:rsidR="00587444" w:rsidRPr="00587444" w14:paraId="33F01176" w14:textId="77777777" w:rsidTr="00DD69E7">
        <w:trPr>
          <w:trHeight w:val="120"/>
          <w:jc w:val="right"/>
        </w:trPr>
        <w:tc>
          <w:tcPr>
            <w:tcW w:w="2463" w:type="pct"/>
          </w:tcPr>
          <w:p w14:paraId="0F1008E4"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497" w:name="_Toc4057970"/>
            <w:r w:rsidRPr="00587444">
              <w:rPr>
                <w:rFonts w:ascii="Arial" w:hAnsi="Arial" w:cs="Arial"/>
                <w:sz w:val="20"/>
                <w:szCs w:val="20"/>
                <w:lang w:val="en-GB"/>
              </w:rPr>
              <w:t>Net foreign exchange gains/(losses) on foreign currency assets:</w:t>
            </w:r>
            <w:bookmarkEnd w:id="497"/>
          </w:p>
        </w:tc>
        <w:tc>
          <w:tcPr>
            <w:tcW w:w="634" w:type="pct"/>
          </w:tcPr>
          <w:p w14:paraId="7531D835" w14:textId="77777777" w:rsidR="00587444" w:rsidRPr="00587444" w:rsidRDefault="00587444" w:rsidP="00587444">
            <w:pPr>
              <w:suppressAutoHyphens w:val="0"/>
              <w:autoSpaceDN/>
              <w:jc w:val="right"/>
              <w:rPr>
                <w:rFonts w:ascii="Arial" w:hAnsi="Arial" w:cs="Arial"/>
                <w:bCs/>
                <w:sz w:val="20"/>
                <w:szCs w:val="20"/>
                <w:lang w:val="en-GB"/>
              </w:rPr>
            </w:pPr>
          </w:p>
        </w:tc>
        <w:tc>
          <w:tcPr>
            <w:tcW w:w="634" w:type="pct"/>
          </w:tcPr>
          <w:p w14:paraId="1440711A" w14:textId="77777777" w:rsidR="00587444" w:rsidRPr="00587444" w:rsidRDefault="00587444" w:rsidP="00587444">
            <w:pPr>
              <w:suppressAutoHyphens w:val="0"/>
              <w:autoSpaceDN/>
              <w:jc w:val="right"/>
              <w:rPr>
                <w:rFonts w:ascii="Arial" w:hAnsi="Arial" w:cs="Arial"/>
                <w:bCs/>
                <w:sz w:val="20"/>
                <w:szCs w:val="20"/>
                <w:lang w:val="en-GB"/>
              </w:rPr>
            </w:pPr>
          </w:p>
        </w:tc>
        <w:tc>
          <w:tcPr>
            <w:tcW w:w="634" w:type="pct"/>
            <w:vAlign w:val="bottom"/>
          </w:tcPr>
          <w:p w14:paraId="073FB210" w14:textId="77777777" w:rsidR="00587444" w:rsidRPr="00587444" w:rsidRDefault="00587444" w:rsidP="00587444">
            <w:pPr>
              <w:suppressAutoHyphens w:val="0"/>
              <w:autoSpaceDN/>
              <w:jc w:val="right"/>
              <w:rPr>
                <w:rFonts w:ascii="Arial" w:hAnsi="Arial" w:cs="Arial"/>
                <w:bCs/>
                <w:sz w:val="20"/>
                <w:szCs w:val="20"/>
                <w:lang w:val="en-GB"/>
              </w:rPr>
            </w:pPr>
          </w:p>
        </w:tc>
        <w:tc>
          <w:tcPr>
            <w:tcW w:w="634" w:type="pct"/>
            <w:vAlign w:val="bottom"/>
          </w:tcPr>
          <w:p w14:paraId="319ECB75" w14:textId="77777777" w:rsidR="00587444" w:rsidRPr="00587444" w:rsidRDefault="00587444" w:rsidP="00587444">
            <w:pPr>
              <w:suppressAutoHyphens w:val="0"/>
              <w:autoSpaceDN/>
              <w:jc w:val="right"/>
              <w:rPr>
                <w:rFonts w:ascii="Arial" w:hAnsi="Arial" w:cs="Arial"/>
                <w:bCs/>
                <w:sz w:val="20"/>
                <w:szCs w:val="20"/>
                <w:lang w:val="en-GB"/>
              </w:rPr>
            </w:pPr>
          </w:p>
        </w:tc>
      </w:tr>
      <w:tr w:rsidR="00587444" w:rsidRPr="00587444" w14:paraId="5EE6A918" w14:textId="77777777" w:rsidTr="00DD69E7">
        <w:trPr>
          <w:trHeight w:val="120"/>
          <w:jc w:val="right"/>
        </w:trPr>
        <w:tc>
          <w:tcPr>
            <w:tcW w:w="2463" w:type="pct"/>
          </w:tcPr>
          <w:p w14:paraId="1BDA9A0F" w14:textId="77777777" w:rsidR="00587444" w:rsidRPr="00587444" w:rsidRDefault="00587444" w:rsidP="00587444">
            <w:pPr>
              <w:tabs>
                <w:tab w:val="right" w:pos="1202"/>
              </w:tabs>
              <w:suppressAutoHyphens w:val="0"/>
              <w:autoSpaceDN/>
              <w:spacing w:line="301" w:lineRule="exact"/>
              <w:ind w:left="142" w:hanging="142"/>
              <w:outlineLvl w:val="0"/>
              <w:rPr>
                <w:rFonts w:ascii="Arial" w:hAnsi="Arial" w:cs="Arial"/>
                <w:sz w:val="20"/>
                <w:szCs w:val="20"/>
                <w:lang w:val="en-GB"/>
              </w:rPr>
            </w:pPr>
            <w:r w:rsidRPr="00587444">
              <w:rPr>
                <w:rFonts w:ascii="Arial" w:hAnsi="Arial" w:cs="Arial"/>
                <w:sz w:val="20"/>
                <w:szCs w:val="20"/>
                <w:lang w:val="en-GB"/>
              </w:rPr>
              <w:t xml:space="preserve">   </w:t>
            </w:r>
            <w:bookmarkStart w:id="498" w:name="_Toc4057971"/>
            <w:r w:rsidRPr="00587444">
              <w:rPr>
                <w:rFonts w:ascii="Arial" w:hAnsi="Arial" w:cs="Arial"/>
                <w:sz w:val="20"/>
                <w:szCs w:val="20"/>
                <w:lang w:val="en-GB"/>
              </w:rPr>
              <w:t>Cash on hand, accounts at banks and due from banks</w:t>
            </w:r>
            <w:bookmarkEnd w:id="498"/>
          </w:p>
        </w:tc>
        <w:tc>
          <w:tcPr>
            <w:tcW w:w="634" w:type="pct"/>
            <w:tcBorders>
              <w:top w:val="nil"/>
              <w:left w:val="nil"/>
              <w:bottom w:val="nil"/>
              <w:right w:val="nil"/>
            </w:tcBorders>
            <w:shd w:val="clear" w:color="auto" w:fill="auto"/>
            <w:vAlign w:val="bottom"/>
          </w:tcPr>
          <w:p w14:paraId="2C550226"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5,670 </w:t>
            </w:r>
          </w:p>
        </w:tc>
        <w:tc>
          <w:tcPr>
            <w:tcW w:w="634" w:type="pct"/>
            <w:tcBorders>
              <w:top w:val="nil"/>
              <w:left w:val="nil"/>
              <w:bottom w:val="nil"/>
              <w:right w:val="nil"/>
            </w:tcBorders>
            <w:shd w:val="clear" w:color="auto" w:fill="auto"/>
            <w:vAlign w:val="bottom"/>
          </w:tcPr>
          <w:p w14:paraId="54403755"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color w:val="000000"/>
                <w:sz w:val="20"/>
                <w:szCs w:val="20"/>
                <w:lang w:val="hr-HR"/>
              </w:rPr>
              <w:t>(1,976)</w:t>
            </w:r>
          </w:p>
        </w:tc>
        <w:tc>
          <w:tcPr>
            <w:tcW w:w="634" w:type="pct"/>
            <w:shd w:val="clear" w:color="auto" w:fill="auto"/>
            <w:vAlign w:val="bottom"/>
          </w:tcPr>
          <w:p w14:paraId="3E979551"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5,698 </w:t>
            </w:r>
          </w:p>
        </w:tc>
        <w:tc>
          <w:tcPr>
            <w:tcW w:w="634" w:type="pct"/>
            <w:tcBorders>
              <w:top w:val="nil"/>
              <w:left w:val="nil"/>
              <w:bottom w:val="nil"/>
              <w:right w:val="nil"/>
            </w:tcBorders>
            <w:shd w:val="clear" w:color="auto" w:fill="auto"/>
            <w:vAlign w:val="bottom"/>
          </w:tcPr>
          <w:p w14:paraId="58480B4F"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bCs/>
                <w:color w:val="000000"/>
                <w:sz w:val="20"/>
                <w:szCs w:val="20"/>
                <w:lang w:val="hr-HR"/>
              </w:rPr>
              <w:t>(1,976)</w:t>
            </w:r>
          </w:p>
        </w:tc>
      </w:tr>
      <w:tr w:rsidR="00587444" w:rsidRPr="00587444" w14:paraId="30B69F50" w14:textId="77777777" w:rsidTr="00DD69E7">
        <w:trPr>
          <w:trHeight w:val="120"/>
          <w:jc w:val="right"/>
        </w:trPr>
        <w:tc>
          <w:tcPr>
            <w:tcW w:w="2463" w:type="pct"/>
          </w:tcPr>
          <w:p w14:paraId="51F1DDED" w14:textId="77777777" w:rsidR="00587444" w:rsidRPr="00587444" w:rsidRDefault="00587444" w:rsidP="00587444">
            <w:pPr>
              <w:tabs>
                <w:tab w:val="right" w:pos="1202"/>
              </w:tabs>
              <w:suppressAutoHyphens w:val="0"/>
              <w:autoSpaceDN/>
              <w:spacing w:line="301" w:lineRule="exact"/>
              <w:ind w:left="142" w:hanging="142"/>
              <w:outlineLvl w:val="0"/>
              <w:rPr>
                <w:rFonts w:ascii="Arial" w:hAnsi="Arial" w:cs="Arial"/>
                <w:sz w:val="20"/>
                <w:szCs w:val="20"/>
                <w:lang w:val="en-GB"/>
              </w:rPr>
            </w:pPr>
            <w:r w:rsidRPr="00587444">
              <w:rPr>
                <w:rFonts w:ascii="Arial" w:hAnsi="Arial" w:cs="Arial"/>
                <w:sz w:val="20"/>
                <w:szCs w:val="20"/>
                <w:lang w:val="en-GB"/>
              </w:rPr>
              <w:t xml:space="preserve">   </w:t>
            </w:r>
            <w:bookmarkStart w:id="499" w:name="_Toc4057972"/>
            <w:r w:rsidRPr="00587444">
              <w:rPr>
                <w:rFonts w:ascii="Arial" w:hAnsi="Arial" w:cs="Arial"/>
                <w:sz w:val="20"/>
                <w:szCs w:val="20"/>
                <w:lang w:val="en-GB"/>
              </w:rPr>
              <w:t>Loans given to financial institutions and other   customers</w:t>
            </w:r>
            <w:bookmarkEnd w:id="499"/>
          </w:p>
        </w:tc>
        <w:tc>
          <w:tcPr>
            <w:tcW w:w="634" w:type="pct"/>
            <w:tcBorders>
              <w:top w:val="nil"/>
              <w:left w:val="nil"/>
              <w:bottom w:val="nil"/>
              <w:right w:val="nil"/>
            </w:tcBorders>
            <w:shd w:val="clear" w:color="auto" w:fill="auto"/>
            <w:vAlign w:val="bottom"/>
          </w:tcPr>
          <w:p w14:paraId="46DBAFA1"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27,891 </w:t>
            </w:r>
          </w:p>
        </w:tc>
        <w:tc>
          <w:tcPr>
            <w:tcW w:w="634" w:type="pct"/>
            <w:tcBorders>
              <w:top w:val="nil"/>
              <w:left w:val="nil"/>
              <w:bottom w:val="nil"/>
              <w:right w:val="nil"/>
            </w:tcBorders>
            <w:shd w:val="clear" w:color="auto" w:fill="auto"/>
            <w:vAlign w:val="bottom"/>
          </w:tcPr>
          <w:p w14:paraId="74ED87DB"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bCs/>
                <w:color w:val="000000"/>
                <w:sz w:val="20"/>
                <w:szCs w:val="20"/>
                <w:lang w:val="hr-HR"/>
              </w:rPr>
              <w:t>(20,858)</w:t>
            </w:r>
          </w:p>
        </w:tc>
        <w:tc>
          <w:tcPr>
            <w:tcW w:w="634" w:type="pct"/>
            <w:shd w:val="clear" w:color="auto" w:fill="auto"/>
            <w:vAlign w:val="bottom"/>
          </w:tcPr>
          <w:p w14:paraId="5781CAA1"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27,891 </w:t>
            </w:r>
          </w:p>
        </w:tc>
        <w:tc>
          <w:tcPr>
            <w:tcW w:w="634" w:type="pct"/>
            <w:tcBorders>
              <w:top w:val="nil"/>
              <w:left w:val="nil"/>
              <w:bottom w:val="nil"/>
              <w:right w:val="nil"/>
            </w:tcBorders>
            <w:shd w:val="clear" w:color="auto" w:fill="auto"/>
            <w:vAlign w:val="bottom"/>
          </w:tcPr>
          <w:p w14:paraId="294755E3"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bCs/>
                <w:color w:val="000000"/>
                <w:sz w:val="20"/>
                <w:szCs w:val="20"/>
                <w:lang w:val="hr-HR"/>
              </w:rPr>
              <w:t>(20,858)</w:t>
            </w:r>
          </w:p>
        </w:tc>
      </w:tr>
      <w:tr w:rsidR="00587444" w:rsidRPr="00587444" w14:paraId="290494E9" w14:textId="77777777" w:rsidTr="00DD69E7">
        <w:trPr>
          <w:trHeight w:val="120"/>
          <w:jc w:val="right"/>
        </w:trPr>
        <w:tc>
          <w:tcPr>
            <w:tcW w:w="2463" w:type="pct"/>
          </w:tcPr>
          <w:p w14:paraId="690A7C3A" w14:textId="77777777" w:rsidR="00587444" w:rsidRPr="00587444" w:rsidRDefault="00587444" w:rsidP="00587444">
            <w:pPr>
              <w:tabs>
                <w:tab w:val="right" w:pos="1202"/>
              </w:tabs>
              <w:suppressAutoHyphens w:val="0"/>
              <w:autoSpaceDN/>
              <w:spacing w:line="301" w:lineRule="exact"/>
              <w:ind w:left="162" w:hanging="162"/>
              <w:outlineLvl w:val="0"/>
              <w:rPr>
                <w:rFonts w:ascii="Arial" w:hAnsi="Arial" w:cs="Arial"/>
                <w:sz w:val="20"/>
                <w:szCs w:val="20"/>
                <w:lang w:val="en-GB"/>
              </w:rPr>
            </w:pPr>
            <w:r w:rsidRPr="00587444">
              <w:rPr>
                <w:rFonts w:ascii="Arial" w:hAnsi="Arial" w:cs="Arial"/>
                <w:sz w:val="20"/>
                <w:szCs w:val="20"/>
                <w:lang w:val="en-GB"/>
              </w:rPr>
              <w:t xml:space="preserve">   </w:t>
            </w:r>
            <w:bookmarkStart w:id="500" w:name="_Toc4057973"/>
            <w:r w:rsidRPr="00587444">
              <w:rPr>
                <w:rFonts w:ascii="Arial" w:hAnsi="Arial" w:cs="Arial"/>
                <w:sz w:val="20"/>
                <w:szCs w:val="20"/>
                <w:lang w:val="en-GB"/>
              </w:rPr>
              <w:t xml:space="preserve">Financial assets at fair value through profit </w:t>
            </w:r>
            <w:proofErr w:type="gramStart"/>
            <w:r w:rsidRPr="00587444">
              <w:rPr>
                <w:rFonts w:ascii="Arial" w:hAnsi="Arial" w:cs="Arial"/>
                <w:sz w:val="20"/>
                <w:szCs w:val="20"/>
                <w:lang w:val="en-GB"/>
              </w:rPr>
              <w:t>or  loss</w:t>
            </w:r>
            <w:bookmarkEnd w:id="500"/>
            <w:proofErr w:type="gramEnd"/>
          </w:p>
        </w:tc>
        <w:tc>
          <w:tcPr>
            <w:tcW w:w="634" w:type="pct"/>
            <w:tcBorders>
              <w:top w:val="nil"/>
              <w:left w:val="nil"/>
              <w:bottom w:val="nil"/>
              <w:right w:val="nil"/>
            </w:tcBorders>
            <w:shd w:val="clear" w:color="auto" w:fill="auto"/>
            <w:vAlign w:val="bottom"/>
          </w:tcPr>
          <w:p w14:paraId="524CB7CD"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2,035 </w:t>
            </w:r>
          </w:p>
        </w:tc>
        <w:tc>
          <w:tcPr>
            <w:tcW w:w="634" w:type="pct"/>
            <w:tcBorders>
              <w:top w:val="nil"/>
              <w:left w:val="nil"/>
              <w:bottom w:val="nil"/>
              <w:right w:val="nil"/>
            </w:tcBorders>
            <w:shd w:val="clear" w:color="auto" w:fill="auto"/>
            <w:vAlign w:val="bottom"/>
          </w:tcPr>
          <w:p w14:paraId="6434218A"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bCs/>
                <w:color w:val="000000"/>
                <w:sz w:val="20"/>
                <w:szCs w:val="20"/>
                <w:lang w:val="hr-HR"/>
              </w:rPr>
              <w:t>853</w:t>
            </w:r>
          </w:p>
        </w:tc>
        <w:tc>
          <w:tcPr>
            <w:tcW w:w="634" w:type="pct"/>
            <w:shd w:val="clear" w:color="auto" w:fill="auto"/>
            <w:vAlign w:val="bottom"/>
          </w:tcPr>
          <w:p w14:paraId="3EF7A4D1"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2,035 </w:t>
            </w:r>
          </w:p>
        </w:tc>
        <w:tc>
          <w:tcPr>
            <w:tcW w:w="634" w:type="pct"/>
            <w:tcBorders>
              <w:top w:val="nil"/>
              <w:left w:val="nil"/>
              <w:bottom w:val="nil"/>
              <w:right w:val="nil"/>
            </w:tcBorders>
            <w:shd w:val="clear" w:color="auto" w:fill="auto"/>
            <w:vAlign w:val="bottom"/>
          </w:tcPr>
          <w:p w14:paraId="3D7ABF2A"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bCs/>
                <w:color w:val="000000"/>
                <w:sz w:val="20"/>
                <w:szCs w:val="20"/>
                <w:lang w:val="hr-HR"/>
              </w:rPr>
              <w:t>853</w:t>
            </w:r>
          </w:p>
        </w:tc>
      </w:tr>
      <w:tr w:rsidR="00587444" w:rsidRPr="00587444" w14:paraId="4E47904F" w14:textId="77777777" w:rsidTr="00DD69E7">
        <w:trPr>
          <w:trHeight w:val="120"/>
          <w:jc w:val="right"/>
        </w:trPr>
        <w:tc>
          <w:tcPr>
            <w:tcW w:w="2463" w:type="pct"/>
          </w:tcPr>
          <w:p w14:paraId="2FD182A4"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 xml:space="preserve">   </w:t>
            </w:r>
            <w:bookmarkStart w:id="501" w:name="_Toc4057976"/>
            <w:r w:rsidRPr="00587444">
              <w:rPr>
                <w:rFonts w:ascii="Arial" w:hAnsi="Arial" w:cs="Arial"/>
                <w:sz w:val="20"/>
                <w:szCs w:val="20"/>
                <w:lang w:val="en-GB"/>
              </w:rPr>
              <w:t>Financial assets at fair value through other</w:t>
            </w:r>
            <w:bookmarkEnd w:id="501"/>
            <w:r w:rsidRPr="00587444">
              <w:rPr>
                <w:rFonts w:ascii="Arial" w:hAnsi="Arial" w:cs="Arial"/>
                <w:sz w:val="20"/>
                <w:szCs w:val="20"/>
                <w:lang w:val="en-GB"/>
              </w:rPr>
              <w:t xml:space="preserve">   </w:t>
            </w:r>
          </w:p>
          <w:p w14:paraId="138D98CF"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 xml:space="preserve">   </w:t>
            </w:r>
            <w:bookmarkStart w:id="502" w:name="_Toc4057977"/>
            <w:r w:rsidRPr="00587444">
              <w:rPr>
                <w:rFonts w:ascii="Arial" w:hAnsi="Arial" w:cs="Arial"/>
                <w:sz w:val="20"/>
                <w:szCs w:val="20"/>
                <w:lang w:val="en-GB"/>
              </w:rPr>
              <w:t>comprehensive income</w:t>
            </w:r>
            <w:bookmarkEnd w:id="502"/>
          </w:p>
        </w:tc>
        <w:tc>
          <w:tcPr>
            <w:tcW w:w="634" w:type="pct"/>
            <w:tcBorders>
              <w:top w:val="nil"/>
              <w:left w:val="nil"/>
              <w:bottom w:val="nil"/>
              <w:right w:val="nil"/>
            </w:tcBorders>
            <w:shd w:val="clear" w:color="auto" w:fill="auto"/>
            <w:vAlign w:val="bottom"/>
          </w:tcPr>
          <w:p w14:paraId="3A2BFEC3"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805 </w:t>
            </w:r>
          </w:p>
        </w:tc>
        <w:tc>
          <w:tcPr>
            <w:tcW w:w="634" w:type="pct"/>
            <w:tcBorders>
              <w:top w:val="nil"/>
              <w:left w:val="nil"/>
              <w:bottom w:val="nil"/>
              <w:right w:val="nil"/>
            </w:tcBorders>
            <w:shd w:val="clear" w:color="auto" w:fill="auto"/>
            <w:vAlign w:val="bottom"/>
          </w:tcPr>
          <w:p w14:paraId="44D95635"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bCs/>
                <w:color w:val="000000"/>
                <w:sz w:val="20"/>
                <w:szCs w:val="20"/>
                <w:lang w:val="hr-HR"/>
              </w:rPr>
              <w:t>(1,953)</w:t>
            </w:r>
          </w:p>
        </w:tc>
        <w:tc>
          <w:tcPr>
            <w:tcW w:w="634" w:type="pct"/>
            <w:shd w:val="clear" w:color="auto" w:fill="auto"/>
            <w:vAlign w:val="bottom"/>
          </w:tcPr>
          <w:p w14:paraId="60CD0126"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741 </w:t>
            </w:r>
          </w:p>
        </w:tc>
        <w:tc>
          <w:tcPr>
            <w:tcW w:w="634" w:type="pct"/>
            <w:tcBorders>
              <w:top w:val="nil"/>
              <w:left w:val="nil"/>
              <w:bottom w:val="nil"/>
              <w:right w:val="nil"/>
            </w:tcBorders>
            <w:shd w:val="clear" w:color="auto" w:fill="auto"/>
            <w:vAlign w:val="bottom"/>
          </w:tcPr>
          <w:p w14:paraId="33B1FD1A"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bCs/>
                <w:color w:val="000000"/>
                <w:sz w:val="20"/>
                <w:szCs w:val="20"/>
                <w:lang w:val="hr-HR"/>
              </w:rPr>
              <w:t>(1,905)</w:t>
            </w:r>
          </w:p>
        </w:tc>
      </w:tr>
      <w:tr w:rsidR="00587444" w:rsidRPr="00587444" w14:paraId="498A95F3" w14:textId="77777777" w:rsidTr="00DD69E7">
        <w:trPr>
          <w:trHeight w:val="120"/>
          <w:jc w:val="right"/>
        </w:trPr>
        <w:tc>
          <w:tcPr>
            <w:tcW w:w="2463" w:type="pct"/>
          </w:tcPr>
          <w:p w14:paraId="2A77F394"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 xml:space="preserve">   </w:t>
            </w:r>
            <w:bookmarkStart w:id="503" w:name="_Toc4057979"/>
            <w:r w:rsidRPr="00587444">
              <w:rPr>
                <w:rFonts w:ascii="Arial" w:hAnsi="Arial" w:cs="Arial"/>
                <w:sz w:val="20"/>
                <w:szCs w:val="20"/>
                <w:lang w:val="en-GB"/>
              </w:rPr>
              <w:t>Other</w:t>
            </w:r>
            <w:bookmarkEnd w:id="503"/>
          </w:p>
        </w:tc>
        <w:tc>
          <w:tcPr>
            <w:tcW w:w="634" w:type="pct"/>
            <w:tcBorders>
              <w:top w:val="nil"/>
              <w:left w:val="nil"/>
              <w:bottom w:val="single" w:sz="4" w:space="0" w:color="auto"/>
              <w:right w:val="nil"/>
            </w:tcBorders>
            <w:shd w:val="clear" w:color="auto" w:fill="auto"/>
            <w:vAlign w:val="bottom"/>
          </w:tcPr>
          <w:p w14:paraId="56C8362D"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7,817</w:t>
            </w:r>
          </w:p>
        </w:tc>
        <w:tc>
          <w:tcPr>
            <w:tcW w:w="634" w:type="pct"/>
            <w:tcBorders>
              <w:top w:val="nil"/>
              <w:left w:val="nil"/>
              <w:bottom w:val="single" w:sz="4" w:space="0" w:color="auto"/>
              <w:right w:val="nil"/>
            </w:tcBorders>
            <w:shd w:val="clear" w:color="auto" w:fill="auto"/>
            <w:vAlign w:val="bottom"/>
          </w:tcPr>
          <w:p w14:paraId="59D34C24"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bCs/>
                <w:color w:val="000000"/>
                <w:sz w:val="20"/>
                <w:szCs w:val="20"/>
                <w:lang w:val="hr-HR"/>
              </w:rPr>
              <w:t>4,606</w:t>
            </w:r>
          </w:p>
        </w:tc>
        <w:tc>
          <w:tcPr>
            <w:tcW w:w="634" w:type="pct"/>
            <w:tcBorders>
              <w:bottom w:val="single" w:sz="4" w:space="0" w:color="auto"/>
            </w:tcBorders>
            <w:shd w:val="clear" w:color="auto" w:fill="auto"/>
            <w:vAlign w:val="bottom"/>
          </w:tcPr>
          <w:p w14:paraId="1A1CDB38"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7,817 </w:t>
            </w:r>
          </w:p>
        </w:tc>
        <w:tc>
          <w:tcPr>
            <w:tcW w:w="634" w:type="pct"/>
            <w:tcBorders>
              <w:top w:val="nil"/>
              <w:left w:val="nil"/>
              <w:bottom w:val="single" w:sz="4" w:space="0" w:color="auto"/>
              <w:right w:val="nil"/>
            </w:tcBorders>
            <w:shd w:val="clear" w:color="auto" w:fill="auto"/>
            <w:vAlign w:val="bottom"/>
          </w:tcPr>
          <w:p w14:paraId="6012BA86"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bCs/>
                <w:color w:val="000000"/>
                <w:sz w:val="20"/>
                <w:szCs w:val="20"/>
                <w:lang w:val="hr-HR"/>
              </w:rPr>
              <w:t>4,606</w:t>
            </w:r>
          </w:p>
        </w:tc>
      </w:tr>
      <w:tr w:rsidR="00587444" w:rsidRPr="00587444" w14:paraId="250D5169" w14:textId="77777777" w:rsidTr="00DD69E7">
        <w:trPr>
          <w:trHeight w:val="391"/>
          <w:jc w:val="right"/>
        </w:trPr>
        <w:tc>
          <w:tcPr>
            <w:tcW w:w="2463" w:type="pct"/>
            <w:vAlign w:val="bottom"/>
          </w:tcPr>
          <w:p w14:paraId="64A75B00" w14:textId="77777777" w:rsidR="00587444" w:rsidRPr="00587444" w:rsidRDefault="00587444" w:rsidP="00587444">
            <w:pPr>
              <w:tabs>
                <w:tab w:val="right" w:pos="1202"/>
              </w:tabs>
              <w:suppressAutoHyphens w:val="0"/>
              <w:autoSpaceDN/>
              <w:spacing w:line="360" w:lineRule="auto"/>
              <w:jc w:val="right"/>
              <w:outlineLvl w:val="0"/>
              <w:rPr>
                <w:rFonts w:ascii="Arial" w:hAnsi="Arial" w:cs="Arial"/>
                <w:sz w:val="20"/>
                <w:szCs w:val="20"/>
                <w:lang w:val="en-GB"/>
              </w:rPr>
            </w:pPr>
          </w:p>
        </w:tc>
        <w:tc>
          <w:tcPr>
            <w:tcW w:w="634" w:type="pct"/>
            <w:tcBorders>
              <w:top w:val="single" w:sz="4" w:space="0" w:color="auto"/>
              <w:bottom w:val="single" w:sz="4" w:space="0" w:color="auto"/>
            </w:tcBorders>
            <w:vAlign w:val="bottom"/>
          </w:tcPr>
          <w:p w14:paraId="035AF309"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44,218</w:t>
            </w:r>
          </w:p>
        </w:tc>
        <w:tc>
          <w:tcPr>
            <w:tcW w:w="634" w:type="pct"/>
            <w:tcBorders>
              <w:top w:val="single" w:sz="4" w:space="0" w:color="auto"/>
              <w:bottom w:val="single" w:sz="4" w:space="0" w:color="auto"/>
            </w:tcBorders>
            <w:vAlign w:val="bottom"/>
          </w:tcPr>
          <w:p w14:paraId="532A4030"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bCs/>
                <w:color w:val="000000"/>
                <w:sz w:val="20"/>
                <w:szCs w:val="20"/>
                <w:lang w:val="hr-HR"/>
              </w:rPr>
              <w:t>(19,328)</w:t>
            </w:r>
          </w:p>
        </w:tc>
        <w:tc>
          <w:tcPr>
            <w:tcW w:w="634" w:type="pct"/>
            <w:tcBorders>
              <w:top w:val="single" w:sz="4" w:space="0" w:color="auto"/>
              <w:bottom w:val="single" w:sz="4" w:space="0" w:color="auto"/>
            </w:tcBorders>
            <w:vAlign w:val="bottom"/>
          </w:tcPr>
          <w:p w14:paraId="16ED59D1"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44,182</w:t>
            </w:r>
          </w:p>
        </w:tc>
        <w:tc>
          <w:tcPr>
            <w:tcW w:w="634" w:type="pct"/>
            <w:tcBorders>
              <w:top w:val="single" w:sz="4" w:space="0" w:color="auto"/>
              <w:bottom w:val="single" w:sz="4" w:space="0" w:color="auto"/>
            </w:tcBorders>
            <w:vAlign w:val="bottom"/>
          </w:tcPr>
          <w:p w14:paraId="2A9B5B61"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bCs/>
                <w:color w:val="000000"/>
                <w:sz w:val="20"/>
                <w:szCs w:val="20"/>
                <w:lang w:val="hr-HR"/>
              </w:rPr>
              <w:t>(19,280)</w:t>
            </w:r>
          </w:p>
        </w:tc>
      </w:tr>
      <w:tr w:rsidR="00587444" w:rsidRPr="00587444" w14:paraId="4BE028DB" w14:textId="77777777" w:rsidTr="00DD69E7">
        <w:trPr>
          <w:trHeight w:val="120"/>
          <w:jc w:val="right"/>
        </w:trPr>
        <w:tc>
          <w:tcPr>
            <w:tcW w:w="2463" w:type="pct"/>
          </w:tcPr>
          <w:p w14:paraId="0AF8F354"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504" w:name="_Toc4057980"/>
            <w:r w:rsidRPr="00587444">
              <w:rPr>
                <w:rFonts w:ascii="Arial" w:hAnsi="Arial" w:cs="Arial"/>
                <w:sz w:val="20"/>
                <w:szCs w:val="20"/>
                <w:lang w:val="en-GB"/>
              </w:rPr>
              <w:t>Net foreign exchange gains/(losses) on foreign currency liabilities:</w:t>
            </w:r>
            <w:bookmarkEnd w:id="504"/>
          </w:p>
        </w:tc>
        <w:tc>
          <w:tcPr>
            <w:tcW w:w="634" w:type="pct"/>
            <w:tcBorders>
              <w:top w:val="single" w:sz="4" w:space="0" w:color="auto"/>
            </w:tcBorders>
            <w:vAlign w:val="bottom"/>
          </w:tcPr>
          <w:p w14:paraId="0B9B8A40" w14:textId="77777777" w:rsidR="00587444" w:rsidRPr="00587444" w:rsidRDefault="00587444" w:rsidP="00587444">
            <w:pPr>
              <w:suppressAutoHyphens w:val="0"/>
              <w:autoSpaceDN/>
              <w:jc w:val="right"/>
              <w:rPr>
                <w:rFonts w:ascii="Arial" w:hAnsi="Arial" w:cs="Arial"/>
                <w:color w:val="000000"/>
                <w:sz w:val="20"/>
                <w:szCs w:val="20"/>
                <w:lang w:val="hr-HR"/>
              </w:rPr>
            </w:pPr>
          </w:p>
        </w:tc>
        <w:tc>
          <w:tcPr>
            <w:tcW w:w="634" w:type="pct"/>
            <w:tcBorders>
              <w:top w:val="single" w:sz="4" w:space="0" w:color="auto"/>
            </w:tcBorders>
          </w:tcPr>
          <w:p w14:paraId="69137D95" w14:textId="77777777" w:rsidR="00587444" w:rsidRPr="00587444" w:rsidRDefault="00587444" w:rsidP="00587444">
            <w:pPr>
              <w:suppressAutoHyphens w:val="0"/>
              <w:autoSpaceDN/>
              <w:jc w:val="right"/>
              <w:rPr>
                <w:rFonts w:ascii="Arial" w:hAnsi="Arial" w:cs="Arial"/>
                <w:bCs/>
                <w:sz w:val="20"/>
                <w:szCs w:val="20"/>
                <w:lang w:val="hr-HR"/>
              </w:rPr>
            </w:pPr>
          </w:p>
        </w:tc>
        <w:tc>
          <w:tcPr>
            <w:tcW w:w="634" w:type="pct"/>
            <w:tcBorders>
              <w:top w:val="single" w:sz="4" w:space="0" w:color="auto"/>
            </w:tcBorders>
            <w:vAlign w:val="bottom"/>
          </w:tcPr>
          <w:p w14:paraId="2BC5B025" w14:textId="77777777" w:rsidR="00587444" w:rsidRPr="00587444" w:rsidRDefault="00587444" w:rsidP="00587444">
            <w:pPr>
              <w:suppressAutoHyphens w:val="0"/>
              <w:autoSpaceDN/>
              <w:jc w:val="right"/>
              <w:rPr>
                <w:rFonts w:ascii="Arial" w:hAnsi="Arial" w:cs="Arial"/>
                <w:color w:val="000000"/>
                <w:sz w:val="20"/>
                <w:szCs w:val="20"/>
                <w:lang w:val="hr-HR"/>
              </w:rPr>
            </w:pPr>
          </w:p>
        </w:tc>
        <w:tc>
          <w:tcPr>
            <w:tcW w:w="634" w:type="pct"/>
            <w:tcBorders>
              <w:top w:val="single" w:sz="4" w:space="0" w:color="auto"/>
            </w:tcBorders>
            <w:vAlign w:val="bottom"/>
          </w:tcPr>
          <w:p w14:paraId="5A034E50" w14:textId="77777777" w:rsidR="00587444" w:rsidRPr="00587444" w:rsidRDefault="00587444" w:rsidP="00587444">
            <w:pPr>
              <w:suppressAutoHyphens w:val="0"/>
              <w:autoSpaceDN/>
              <w:jc w:val="right"/>
              <w:rPr>
                <w:rFonts w:ascii="Arial" w:hAnsi="Arial" w:cs="Arial"/>
                <w:bCs/>
                <w:sz w:val="20"/>
                <w:szCs w:val="20"/>
                <w:lang w:val="hr-HR"/>
              </w:rPr>
            </w:pPr>
          </w:p>
        </w:tc>
      </w:tr>
      <w:tr w:rsidR="00587444" w:rsidRPr="00587444" w14:paraId="2E21E2AB" w14:textId="77777777" w:rsidTr="00DD69E7">
        <w:trPr>
          <w:trHeight w:val="120"/>
          <w:jc w:val="right"/>
        </w:trPr>
        <w:tc>
          <w:tcPr>
            <w:tcW w:w="2463" w:type="pct"/>
          </w:tcPr>
          <w:p w14:paraId="718C3292"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 xml:space="preserve">   </w:t>
            </w:r>
            <w:bookmarkStart w:id="505" w:name="_Toc4057981"/>
            <w:r w:rsidRPr="00587444">
              <w:rPr>
                <w:rFonts w:ascii="Arial" w:hAnsi="Arial" w:cs="Arial"/>
                <w:sz w:val="20"/>
                <w:szCs w:val="20"/>
                <w:lang w:val="en-GB"/>
              </w:rPr>
              <w:t>Deposits</w:t>
            </w:r>
            <w:bookmarkEnd w:id="505"/>
          </w:p>
        </w:tc>
        <w:tc>
          <w:tcPr>
            <w:tcW w:w="634" w:type="pct"/>
            <w:tcBorders>
              <w:top w:val="nil"/>
              <w:left w:val="nil"/>
              <w:bottom w:val="nil"/>
              <w:right w:val="nil"/>
            </w:tcBorders>
            <w:shd w:val="clear" w:color="auto" w:fill="auto"/>
            <w:vAlign w:val="bottom"/>
          </w:tcPr>
          <w:p w14:paraId="2A7D0327"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(5,677)</w:t>
            </w:r>
          </w:p>
        </w:tc>
        <w:tc>
          <w:tcPr>
            <w:tcW w:w="634" w:type="pct"/>
            <w:tcBorders>
              <w:top w:val="nil"/>
              <w:left w:val="nil"/>
              <w:bottom w:val="nil"/>
              <w:right w:val="nil"/>
            </w:tcBorders>
            <w:shd w:val="clear" w:color="auto" w:fill="auto"/>
            <w:vAlign w:val="bottom"/>
          </w:tcPr>
          <w:p w14:paraId="18EEA93D"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bCs/>
                <w:color w:val="000000"/>
                <w:sz w:val="20"/>
                <w:szCs w:val="20"/>
                <w:lang w:val="hr-HR"/>
              </w:rPr>
              <w:t>(3,468)</w:t>
            </w:r>
          </w:p>
        </w:tc>
        <w:tc>
          <w:tcPr>
            <w:tcW w:w="634" w:type="pct"/>
            <w:shd w:val="clear" w:color="auto" w:fill="auto"/>
            <w:vAlign w:val="bottom"/>
          </w:tcPr>
          <w:p w14:paraId="16DF5A3C"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(5,677)</w:t>
            </w:r>
          </w:p>
        </w:tc>
        <w:tc>
          <w:tcPr>
            <w:tcW w:w="634" w:type="pct"/>
            <w:tcBorders>
              <w:top w:val="nil"/>
              <w:left w:val="nil"/>
              <w:bottom w:val="nil"/>
              <w:right w:val="nil"/>
            </w:tcBorders>
            <w:shd w:val="clear" w:color="auto" w:fill="auto"/>
            <w:vAlign w:val="bottom"/>
          </w:tcPr>
          <w:p w14:paraId="119577CE"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bCs/>
                <w:color w:val="000000"/>
                <w:sz w:val="20"/>
                <w:szCs w:val="20"/>
                <w:lang w:val="hr-HR"/>
              </w:rPr>
              <w:t>(3,468)</w:t>
            </w:r>
          </w:p>
        </w:tc>
      </w:tr>
      <w:tr w:rsidR="00587444" w:rsidRPr="00587444" w14:paraId="149B0115" w14:textId="77777777" w:rsidTr="00DD69E7">
        <w:trPr>
          <w:trHeight w:val="120"/>
          <w:jc w:val="right"/>
        </w:trPr>
        <w:tc>
          <w:tcPr>
            <w:tcW w:w="2463" w:type="pct"/>
          </w:tcPr>
          <w:p w14:paraId="650182E0"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 xml:space="preserve">   </w:t>
            </w:r>
            <w:bookmarkStart w:id="506" w:name="_Toc4057982"/>
            <w:r w:rsidRPr="00587444">
              <w:rPr>
                <w:rFonts w:ascii="Arial" w:hAnsi="Arial" w:cs="Arial"/>
                <w:sz w:val="20"/>
                <w:szCs w:val="20"/>
                <w:lang w:val="en-GB"/>
              </w:rPr>
              <w:t>Borrowings and issued long-term securities</w:t>
            </w:r>
            <w:bookmarkEnd w:id="506"/>
          </w:p>
        </w:tc>
        <w:tc>
          <w:tcPr>
            <w:tcW w:w="634" w:type="pct"/>
            <w:tcBorders>
              <w:top w:val="nil"/>
              <w:left w:val="nil"/>
              <w:right w:val="nil"/>
            </w:tcBorders>
            <w:shd w:val="clear" w:color="auto" w:fill="auto"/>
            <w:vAlign w:val="bottom"/>
          </w:tcPr>
          <w:p w14:paraId="0606B387"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(45,905)</w:t>
            </w:r>
          </w:p>
        </w:tc>
        <w:tc>
          <w:tcPr>
            <w:tcW w:w="634" w:type="pct"/>
            <w:tcBorders>
              <w:top w:val="nil"/>
              <w:left w:val="nil"/>
              <w:right w:val="nil"/>
            </w:tcBorders>
            <w:shd w:val="clear" w:color="auto" w:fill="auto"/>
            <w:vAlign w:val="bottom"/>
          </w:tcPr>
          <w:p w14:paraId="4A2207F3"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bCs/>
                <w:color w:val="000000"/>
                <w:sz w:val="20"/>
                <w:szCs w:val="20"/>
                <w:lang w:val="hr-HR"/>
              </w:rPr>
              <w:t>25,402</w:t>
            </w:r>
          </w:p>
        </w:tc>
        <w:tc>
          <w:tcPr>
            <w:tcW w:w="634" w:type="pct"/>
            <w:shd w:val="clear" w:color="auto" w:fill="auto"/>
            <w:vAlign w:val="bottom"/>
          </w:tcPr>
          <w:p w14:paraId="1697E12D"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(45,905)</w:t>
            </w:r>
          </w:p>
        </w:tc>
        <w:tc>
          <w:tcPr>
            <w:tcW w:w="634" w:type="pct"/>
            <w:tcBorders>
              <w:top w:val="nil"/>
              <w:left w:val="nil"/>
              <w:right w:val="nil"/>
            </w:tcBorders>
            <w:shd w:val="clear" w:color="auto" w:fill="auto"/>
            <w:vAlign w:val="bottom"/>
          </w:tcPr>
          <w:p w14:paraId="5BA64467"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bCs/>
                <w:color w:val="000000"/>
                <w:sz w:val="20"/>
                <w:szCs w:val="20"/>
                <w:lang w:val="hr-HR"/>
              </w:rPr>
              <w:t>25,402</w:t>
            </w:r>
          </w:p>
        </w:tc>
      </w:tr>
      <w:tr w:rsidR="00587444" w:rsidRPr="00587444" w14:paraId="4D27AB91" w14:textId="77777777" w:rsidTr="00DD69E7">
        <w:trPr>
          <w:trHeight w:val="120"/>
          <w:jc w:val="right"/>
        </w:trPr>
        <w:tc>
          <w:tcPr>
            <w:tcW w:w="2463" w:type="pct"/>
          </w:tcPr>
          <w:p w14:paraId="1985380E"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 xml:space="preserve">   </w:t>
            </w:r>
            <w:bookmarkStart w:id="507" w:name="_Toc4057983"/>
            <w:r w:rsidRPr="00587444">
              <w:rPr>
                <w:rFonts w:ascii="Arial" w:hAnsi="Arial" w:cs="Arial"/>
                <w:sz w:val="20"/>
                <w:szCs w:val="20"/>
                <w:lang w:val="en-GB"/>
              </w:rPr>
              <w:t>Other</w:t>
            </w:r>
            <w:bookmarkEnd w:id="507"/>
          </w:p>
        </w:tc>
        <w:tc>
          <w:tcPr>
            <w:tcW w:w="634" w:type="pct"/>
            <w:tcBorders>
              <w:top w:val="nil"/>
              <w:left w:val="nil"/>
              <w:bottom w:val="single" w:sz="4" w:space="0" w:color="auto"/>
              <w:right w:val="nil"/>
            </w:tcBorders>
            <w:shd w:val="clear" w:color="auto" w:fill="auto"/>
            <w:vAlign w:val="bottom"/>
          </w:tcPr>
          <w:p w14:paraId="26C4381F"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2,095 </w:t>
            </w:r>
          </w:p>
        </w:tc>
        <w:tc>
          <w:tcPr>
            <w:tcW w:w="634" w:type="pct"/>
            <w:tcBorders>
              <w:top w:val="nil"/>
              <w:left w:val="nil"/>
              <w:bottom w:val="single" w:sz="4" w:space="0" w:color="auto"/>
              <w:right w:val="nil"/>
            </w:tcBorders>
            <w:shd w:val="clear" w:color="auto" w:fill="auto"/>
            <w:vAlign w:val="bottom"/>
          </w:tcPr>
          <w:p w14:paraId="50A9B83B"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bCs/>
                <w:color w:val="000000"/>
                <w:sz w:val="20"/>
                <w:szCs w:val="20"/>
                <w:lang w:val="hr-HR"/>
              </w:rPr>
              <w:t>(1,626)</w:t>
            </w:r>
          </w:p>
        </w:tc>
        <w:tc>
          <w:tcPr>
            <w:tcW w:w="634" w:type="pct"/>
            <w:tcBorders>
              <w:bottom w:val="single" w:sz="4" w:space="0" w:color="auto"/>
            </w:tcBorders>
            <w:shd w:val="clear" w:color="auto" w:fill="auto"/>
            <w:vAlign w:val="bottom"/>
          </w:tcPr>
          <w:p w14:paraId="1A0D8767"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2,088 </w:t>
            </w:r>
          </w:p>
        </w:tc>
        <w:tc>
          <w:tcPr>
            <w:tcW w:w="634" w:type="pct"/>
            <w:tcBorders>
              <w:top w:val="nil"/>
              <w:left w:val="nil"/>
              <w:bottom w:val="single" w:sz="4" w:space="0" w:color="auto"/>
              <w:right w:val="nil"/>
            </w:tcBorders>
            <w:shd w:val="clear" w:color="auto" w:fill="auto"/>
            <w:vAlign w:val="bottom"/>
          </w:tcPr>
          <w:p w14:paraId="14103756"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bCs/>
                <w:color w:val="000000"/>
                <w:sz w:val="20"/>
                <w:szCs w:val="20"/>
                <w:lang w:val="hr-HR"/>
              </w:rPr>
              <w:t>(1,618)</w:t>
            </w:r>
          </w:p>
        </w:tc>
      </w:tr>
      <w:tr w:rsidR="00587444" w:rsidRPr="00587444" w14:paraId="0EA4B881" w14:textId="77777777" w:rsidTr="00DD69E7">
        <w:trPr>
          <w:trHeight w:val="235"/>
          <w:jc w:val="right"/>
        </w:trPr>
        <w:tc>
          <w:tcPr>
            <w:tcW w:w="2463" w:type="pct"/>
          </w:tcPr>
          <w:p w14:paraId="05EDC4E7" w14:textId="77777777" w:rsidR="00587444" w:rsidRPr="00587444" w:rsidRDefault="00587444" w:rsidP="00587444">
            <w:pPr>
              <w:tabs>
                <w:tab w:val="right" w:pos="1202"/>
              </w:tabs>
              <w:suppressAutoHyphens w:val="0"/>
              <w:autoSpaceDN/>
              <w:spacing w:line="360" w:lineRule="auto"/>
              <w:outlineLvl w:val="0"/>
              <w:rPr>
                <w:rFonts w:ascii="Arial" w:hAnsi="Arial" w:cs="Arial"/>
                <w:i/>
                <w:sz w:val="20"/>
                <w:szCs w:val="20"/>
                <w:lang w:val="en-GB"/>
              </w:rPr>
            </w:pPr>
          </w:p>
        </w:tc>
        <w:tc>
          <w:tcPr>
            <w:tcW w:w="634" w:type="pct"/>
            <w:tcBorders>
              <w:top w:val="single" w:sz="4" w:space="0" w:color="auto"/>
              <w:left w:val="nil"/>
              <w:bottom w:val="single" w:sz="4" w:space="0" w:color="auto"/>
              <w:right w:val="nil"/>
            </w:tcBorders>
            <w:shd w:val="clear" w:color="auto" w:fill="auto"/>
            <w:vAlign w:val="bottom"/>
          </w:tcPr>
          <w:p w14:paraId="0DA782A0"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(49,487)</w:t>
            </w:r>
          </w:p>
        </w:tc>
        <w:tc>
          <w:tcPr>
            <w:tcW w:w="634" w:type="pct"/>
            <w:tcBorders>
              <w:top w:val="single" w:sz="4" w:space="0" w:color="auto"/>
              <w:left w:val="nil"/>
              <w:bottom w:val="single" w:sz="4" w:space="0" w:color="auto"/>
              <w:right w:val="nil"/>
            </w:tcBorders>
            <w:shd w:val="clear" w:color="auto" w:fill="auto"/>
            <w:vAlign w:val="bottom"/>
          </w:tcPr>
          <w:p w14:paraId="6E4AEA25"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bCs/>
                <w:noProof/>
                <w:color w:val="000000"/>
                <w:sz w:val="20"/>
                <w:szCs w:val="20"/>
                <w:lang w:val="hr-HR" w:eastAsia="hr-HR"/>
              </w:rPr>
              <w:t>20,308</w:t>
            </w:r>
          </w:p>
        </w:tc>
        <w:tc>
          <w:tcPr>
            <w:tcW w:w="634" w:type="pct"/>
            <w:tcBorders>
              <w:top w:val="single" w:sz="4" w:space="0" w:color="auto"/>
              <w:bottom w:val="single" w:sz="4" w:space="0" w:color="auto"/>
            </w:tcBorders>
            <w:shd w:val="clear" w:color="auto" w:fill="auto"/>
            <w:vAlign w:val="bottom"/>
          </w:tcPr>
          <w:p w14:paraId="4B058C38"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(49,494)</w:t>
            </w:r>
          </w:p>
        </w:tc>
        <w:tc>
          <w:tcPr>
            <w:tcW w:w="634" w:type="pct"/>
            <w:tcBorders>
              <w:top w:val="single" w:sz="4" w:space="0" w:color="auto"/>
              <w:left w:val="nil"/>
              <w:bottom w:val="single" w:sz="4" w:space="0" w:color="auto"/>
              <w:right w:val="nil"/>
            </w:tcBorders>
            <w:shd w:val="clear" w:color="auto" w:fill="auto"/>
            <w:vAlign w:val="bottom"/>
          </w:tcPr>
          <w:p w14:paraId="2EE12712"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bCs/>
                <w:noProof/>
                <w:color w:val="000000"/>
                <w:sz w:val="20"/>
                <w:szCs w:val="20"/>
                <w:lang w:val="hr-HR" w:eastAsia="hr-HR"/>
              </w:rPr>
              <w:t>20,316</w:t>
            </w:r>
          </w:p>
        </w:tc>
      </w:tr>
      <w:tr w:rsidR="00587444" w:rsidRPr="00587444" w14:paraId="3684031C" w14:textId="77777777" w:rsidTr="00DD69E7">
        <w:trPr>
          <w:trHeight w:val="120"/>
          <w:jc w:val="right"/>
        </w:trPr>
        <w:tc>
          <w:tcPr>
            <w:tcW w:w="2463" w:type="pct"/>
          </w:tcPr>
          <w:p w14:paraId="6046F3F8" w14:textId="77777777" w:rsidR="00587444" w:rsidRPr="00587444" w:rsidRDefault="00587444" w:rsidP="00587444">
            <w:pPr>
              <w:tabs>
                <w:tab w:val="right" w:pos="1202"/>
              </w:tabs>
              <w:suppressAutoHyphens w:val="0"/>
              <w:autoSpaceDN/>
              <w:spacing w:line="301" w:lineRule="exact"/>
              <w:outlineLvl w:val="0"/>
              <w:rPr>
                <w:rFonts w:ascii="Arial" w:hAnsi="Arial" w:cs="Arial"/>
                <w:b/>
                <w:sz w:val="20"/>
                <w:szCs w:val="20"/>
                <w:lang w:val="en-GB"/>
              </w:rPr>
            </w:pPr>
            <w:bookmarkStart w:id="508" w:name="_Toc4057984"/>
            <w:r w:rsidRPr="00587444">
              <w:rPr>
                <w:rFonts w:ascii="Arial" w:hAnsi="Arial" w:cs="Arial"/>
                <w:b/>
                <w:sz w:val="20"/>
                <w:szCs w:val="20"/>
                <w:lang w:val="en-GB"/>
              </w:rPr>
              <w:t>Net foreign exchange gains/(losses) on foreign currency assets and liabilities</w:t>
            </w:r>
            <w:bookmarkEnd w:id="508"/>
            <w:r w:rsidRPr="00587444">
              <w:rPr>
                <w:rFonts w:ascii="Arial" w:hAnsi="Arial" w:cs="Arial"/>
                <w:b/>
                <w:sz w:val="20"/>
                <w:szCs w:val="20"/>
                <w:lang w:val="en-GB"/>
              </w:rPr>
              <w:t xml:space="preserve"> </w:t>
            </w:r>
          </w:p>
        </w:tc>
        <w:tc>
          <w:tcPr>
            <w:tcW w:w="634" w:type="pct"/>
            <w:tcBorders>
              <w:top w:val="single" w:sz="4" w:space="0" w:color="auto"/>
              <w:left w:val="nil"/>
              <w:bottom w:val="single" w:sz="12" w:space="0" w:color="auto"/>
              <w:right w:val="nil"/>
            </w:tcBorders>
            <w:shd w:val="clear" w:color="auto" w:fill="auto"/>
            <w:vAlign w:val="bottom"/>
          </w:tcPr>
          <w:p w14:paraId="1D0A5965" w14:textId="77777777" w:rsidR="00587444" w:rsidRPr="00587444" w:rsidRDefault="00587444" w:rsidP="00587444">
            <w:pPr>
              <w:suppressAutoHyphens w:val="0"/>
              <w:autoSpaceDN/>
              <w:jc w:val="right"/>
              <w:rPr>
                <w:rFonts w:ascii="Arial" w:hAnsi="Arial" w:cs="Arial"/>
                <w:b/>
                <w:bCs/>
                <w:color w:val="000000"/>
                <w:sz w:val="20"/>
                <w:szCs w:val="20"/>
                <w:lang w:val="hr-HR"/>
              </w:rPr>
            </w:pPr>
            <w:r w:rsidRPr="00587444">
              <w:rPr>
                <w:rFonts w:ascii="Arial" w:hAnsi="Arial" w:cs="Arial"/>
                <w:b/>
                <w:bCs/>
                <w:color w:val="000000"/>
                <w:sz w:val="20"/>
                <w:szCs w:val="20"/>
                <w:lang w:val="hr-HR"/>
              </w:rPr>
              <w:t>(5,269)</w:t>
            </w:r>
          </w:p>
        </w:tc>
        <w:tc>
          <w:tcPr>
            <w:tcW w:w="634" w:type="pct"/>
            <w:tcBorders>
              <w:top w:val="single" w:sz="4" w:space="0" w:color="auto"/>
              <w:left w:val="nil"/>
              <w:bottom w:val="single" w:sz="12" w:space="0" w:color="auto"/>
              <w:right w:val="nil"/>
            </w:tcBorders>
            <w:shd w:val="clear" w:color="auto" w:fill="auto"/>
            <w:vAlign w:val="bottom"/>
          </w:tcPr>
          <w:p w14:paraId="31144B8A" w14:textId="77777777" w:rsidR="00587444" w:rsidRPr="00587444" w:rsidRDefault="00587444" w:rsidP="00587444">
            <w:pPr>
              <w:suppressAutoHyphens w:val="0"/>
              <w:autoSpaceDN/>
              <w:jc w:val="right"/>
              <w:rPr>
                <w:rFonts w:ascii="Arial" w:hAnsi="Arial" w:cs="Arial"/>
                <w:b/>
                <w:color w:val="000000"/>
                <w:sz w:val="20"/>
                <w:szCs w:val="20"/>
              </w:rPr>
            </w:pPr>
            <w:r w:rsidRPr="00587444">
              <w:rPr>
                <w:rFonts w:ascii="Arial" w:hAnsi="Arial" w:cs="Arial"/>
                <w:b/>
                <w:bCs/>
                <w:color w:val="000000"/>
                <w:sz w:val="20"/>
                <w:szCs w:val="20"/>
                <w:lang w:val="hr-HR"/>
              </w:rPr>
              <w:t>980</w:t>
            </w:r>
          </w:p>
        </w:tc>
        <w:tc>
          <w:tcPr>
            <w:tcW w:w="634" w:type="pct"/>
            <w:tcBorders>
              <w:top w:val="single" w:sz="4" w:space="0" w:color="auto"/>
              <w:bottom w:val="single" w:sz="12" w:space="0" w:color="auto"/>
            </w:tcBorders>
            <w:shd w:val="clear" w:color="auto" w:fill="auto"/>
            <w:vAlign w:val="bottom"/>
          </w:tcPr>
          <w:p w14:paraId="72A2AA6C" w14:textId="77777777" w:rsidR="00587444" w:rsidRPr="00587444" w:rsidRDefault="00587444" w:rsidP="00587444">
            <w:pPr>
              <w:suppressAutoHyphens w:val="0"/>
              <w:autoSpaceDN/>
              <w:jc w:val="right"/>
              <w:rPr>
                <w:rFonts w:ascii="Arial" w:hAnsi="Arial" w:cs="Arial"/>
                <w:b/>
                <w:bCs/>
                <w:color w:val="000000"/>
                <w:sz w:val="20"/>
                <w:szCs w:val="20"/>
                <w:lang w:val="hr-HR"/>
              </w:rPr>
            </w:pPr>
            <w:r w:rsidRPr="00587444">
              <w:rPr>
                <w:rFonts w:ascii="Arial" w:hAnsi="Arial" w:cs="Arial"/>
                <w:b/>
                <w:bCs/>
                <w:color w:val="000000"/>
                <w:sz w:val="20"/>
                <w:szCs w:val="20"/>
                <w:lang w:val="hr-HR"/>
              </w:rPr>
              <w:t>(5,312)</w:t>
            </w:r>
          </w:p>
        </w:tc>
        <w:tc>
          <w:tcPr>
            <w:tcW w:w="634" w:type="pct"/>
            <w:tcBorders>
              <w:top w:val="single" w:sz="4" w:space="0" w:color="auto"/>
              <w:left w:val="nil"/>
              <w:bottom w:val="single" w:sz="12" w:space="0" w:color="auto"/>
              <w:right w:val="nil"/>
            </w:tcBorders>
            <w:shd w:val="clear" w:color="auto" w:fill="auto"/>
            <w:vAlign w:val="bottom"/>
          </w:tcPr>
          <w:p w14:paraId="6570E166" w14:textId="77777777" w:rsidR="00587444" w:rsidRPr="00587444" w:rsidRDefault="00587444" w:rsidP="00587444">
            <w:pPr>
              <w:suppressAutoHyphens w:val="0"/>
              <w:autoSpaceDN/>
              <w:jc w:val="right"/>
              <w:rPr>
                <w:rFonts w:ascii="Arial" w:hAnsi="Arial" w:cs="Arial"/>
                <w:b/>
                <w:color w:val="000000"/>
                <w:sz w:val="20"/>
                <w:szCs w:val="20"/>
              </w:rPr>
            </w:pPr>
            <w:r w:rsidRPr="00587444">
              <w:rPr>
                <w:rFonts w:ascii="Arial" w:hAnsi="Arial" w:cs="Arial"/>
                <w:b/>
                <w:bCs/>
                <w:color w:val="000000"/>
                <w:sz w:val="20"/>
                <w:szCs w:val="20"/>
                <w:lang w:val="hr-HR"/>
              </w:rPr>
              <w:t>1,036</w:t>
            </w:r>
          </w:p>
        </w:tc>
      </w:tr>
      <w:tr w:rsidR="00587444" w:rsidRPr="00587444" w14:paraId="410B715E" w14:textId="77777777" w:rsidTr="00DD69E7">
        <w:trPr>
          <w:trHeight w:val="120"/>
          <w:jc w:val="right"/>
        </w:trPr>
        <w:tc>
          <w:tcPr>
            <w:tcW w:w="2463" w:type="pct"/>
          </w:tcPr>
          <w:p w14:paraId="01782916"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509" w:name="_Toc4057985"/>
            <w:r w:rsidRPr="00587444">
              <w:rPr>
                <w:rFonts w:ascii="Arial" w:hAnsi="Arial" w:cs="Arial"/>
                <w:sz w:val="20"/>
                <w:szCs w:val="20"/>
                <w:lang w:val="en-GB"/>
              </w:rPr>
              <w:t>Gains/(losses) on assets at fair value through profit or loss</w:t>
            </w:r>
            <w:bookmarkEnd w:id="509"/>
            <w:r w:rsidRPr="00587444">
              <w:rPr>
                <w:rFonts w:ascii="Arial" w:hAnsi="Arial" w:cs="Arial"/>
                <w:sz w:val="20"/>
                <w:szCs w:val="20"/>
                <w:lang w:val="en-GB"/>
              </w:rPr>
              <w:t xml:space="preserve"> </w:t>
            </w:r>
          </w:p>
        </w:tc>
        <w:tc>
          <w:tcPr>
            <w:tcW w:w="634" w:type="pct"/>
            <w:tcBorders>
              <w:top w:val="single" w:sz="12" w:space="0" w:color="auto"/>
              <w:left w:val="nil"/>
              <w:right w:val="nil"/>
            </w:tcBorders>
            <w:shd w:val="clear" w:color="auto" w:fill="auto"/>
            <w:vAlign w:val="bottom"/>
          </w:tcPr>
          <w:p w14:paraId="79CCD148"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17,018</w:t>
            </w:r>
          </w:p>
        </w:tc>
        <w:tc>
          <w:tcPr>
            <w:tcW w:w="634" w:type="pct"/>
            <w:tcBorders>
              <w:top w:val="single" w:sz="12" w:space="0" w:color="auto"/>
              <w:left w:val="nil"/>
              <w:right w:val="nil"/>
            </w:tcBorders>
            <w:shd w:val="clear" w:color="auto" w:fill="auto"/>
            <w:vAlign w:val="bottom"/>
          </w:tcPr>
          <w:p w14:paraId="4185C260" w14:textId="77777777" w:rsidR="00587444" w:rsidRPr="00587444" w:rsidRDefault="00587444" w:rsidP="00587444">
            <w:pPr>
              <w:suppressAutoHyphens w:val="0"/>
              <w:autoSpaceDN/>
              <w:jc w:val="right"/>
              <w:rPr>
                <w:rFonts w:ascii="Arial" w:hAnsi="Arial" w:cs="Arial"/>
                <w:sz w:val="20"/>
                <w:szCs w:val="20"/>
              </w:rPr>
            </w:pPr>
            <w:r w:rsidRPr="00587444">
              <w:rPr>
                <w:rFonts w:ascii="Arial" w:eastAsia="Arial Unicode MS" w:hAnsi="Arial" w:cs="Arial"/>
                <w:color w:val="000000"/>
                <w:sz w:val="20"/>
                <w:szCs w:val="20"/>
                <w:lang w:val="hr-HR"/>
              </w:rPr>
              <w:t>(7,758)</w:t>
            </w:r>
          </w:p>
        </w:tc>
        <w:tc>
          <w:tcPr>
            <w:tcW w:w="634" w:type="pct"/>
            <w:tcBorders>
              <w:top w:val="single" w:sz="12" w:space="0" w:color="auto"/>
            </w:tcBorders>
            <w:shd w:val="clear" w:color="auto" w:fill="auto"/>
            <w:vAlign w:val="bottom"/>
          </w:tcPr>
          <w:p w14:paraId="437EAE9F"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17,018</w:t>
            </w:r>
          </w:p>
        </w:tc>
        <w:tc>
          <w:tcPr>
            <w:tcW w:w="634" w:type="pct"/>
            <w:tcBorders>
              <w:top w:val="single" w:sz="12" w:space="0" w:color="auto"/>
              <w:left w:val="nil"/>
              <w:right w:val="nil"/>
            </w:tcBorders>
            <w:shd w:val="clear" w:color="auto" w:fill="auto"/>
            <w:vAlign w:val="bottom"/>
          </w:tcPr>
          <w:p w14:paraId="6DFDEA1E" w14:textId="77777777" w:rsidR="00587444" w:rsidRPr="00587444" w:rsidRDefault="00587444" w:rsidP="00587444">
            <w:pPr>
              <w:suppressAutoHyphens w:val="0"/>
              <w:autoSpaceDN/>
              <w:jc w:val="right"/>
              <w:rPr>
                <w:rFonts w:ascii="Arial" w:hAnsi="Arial" w:cs="Arial"/>
                <w:sz w:val="20"/>
                <w:szCs w:val="20"/>
              </w:rPr>
            </w:pPr>
            <w:r w:rsidRPr="00587444">
              <w:rPr>
                <w:rFonts w:ascii="Arial" w:eastAsia="Arial Unicode MS" w:hAnsi="Arial" w:cs="Arial"/>
                <w:color w:val="000000"/>
                <w:sz w:val="20"/>
                <w:szCs w:val="20"/>
                <w:lang w:val="hr-HR"/>
              </w:rPr>
              <w:t>(7,758)</w:t>
            </w:r>
          </w:p>
        </w:tc>
      </w:tr>
      <w:tr w:rsidR="00587444" w:rsidRPr="00587444" w14:paraId="7AC025FE" w14:textId="77777777" w:rsidTr="00DD69E7">
        <w:trPr>
          <w:trHeight w:val="120"/>
          <w:jc w:val="right"/>
        </w:trPr>
        <w:tc>
          <w:tcPr>
            <w:tcW w:w="2463" w:type="pct"/>
            <w:shd w:val="clear" w:color="auto" w:fill="auto"/>
          </w:tcPr>
          <w:p w14:paraId="6F08EF59"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Gain/(Loss) from trading with derivative financial instruments</w:t>
            </w:r>
          </w:p>
        </w:tc>
        <w:tc>
          <w:tcPr>
            <w:tcW w:w="634" w:type="pct"/>
            <w:tcBorders>
              <w:left w:val="nil"/>
              <w:right w:val="nil"/>
            </w:tcBorders>
            <w:shd w:val="clear" w:color="auto" w:fill="auto"/>
            <w:vAlign w:val="bottom"/>
          </w:tcPr>
          <w:p w14:paraId="44D31F1F"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5,304</w:t>
            </w:r>
          </w:p>
        </w:tc>
        <w:tc>
          <w:tcPr>
            <w:tcW w:w="634" w:type="pct"/>
            <w:tcBorders>
              <w:left w:val="nil"/>
              <w:right w:val="nil"/>
            </w:tcBorders>
            <w:shd w:val="clear" w:color="auto" w:fill="auto"/>
            <w:vAlign w:val="bottom"/>
          </w:tcPr>
          <w:p w14:paraId="725DB06A"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(5,115)</w:t>
            </w:r>
          </w:p>
        </w:tc>
        <w:tc>
          <w:tcPr>
            <w:tcW w:w="634" w:type="pct"/>
            <w:shd w:val="clear" w:color="auto" w:fill="auto"/>
            <w:vAlign w:val="bottom"/>
          </w:tcPr>
          <w:p w14:paraId="0F45CFA4"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5,304</w:t>
            </w:r>
          </w:p>
        </w:tc>
        <w:tc>
          <w:tcPr>
            <w:tcW w:w="634" w:type="pct"/>
            <w:tcBorders>
              <w:left w:val="nil"/>
              <w:right w:val="nil"/>
            </w:tcBorders>
            <w:shd w:val="clear" w:color="auto" w:fill="auto"/>
            <w:vAlign w:val="bottom"/>
          </w:tcPr>
          <w:p w14:paraId="043B873F"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(5,115)</w:t>
            </w:r>
          </w:p>
        </w:tc>
      </w:tr>
      <w:tr w:rsidR="00587444" w:rsidRPr="00587444" w14:paraId="73E33C63" w14:textId="77777777" w:rsidTr="00DD69E7">
        <w:trPr>
          <w:trHeight w:val="120"/>
          <w:jc w:val="right"/>
        </w:trPr>
        <w:tc>
          <w:tcPr>
            <w:tcW w:w="2463" w:type="pct"/>
            <w:shd w:val="clear" w:color="auto" w:fill="auto"/>
          </w:tcPr>
          <w:p w14:paraId="387E84A0"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510" w:name="_Toc4057986"/>
            <w:r w:rsidRPr="00587444">
              <w:rPr>
                <w:rFonts w:ascii="Arial" w:hAnsi="Arial" w:cs="Arial"/>
                <w:sz w:val="20"/>
                <w:szCs w:val="20"/>
                <w:lang w:val="en-GB"/>
              </w:rPr>
              <w:t>Realized (losses) on financial assets at fair value through other comprehensive income</w:t>
            </w:r>
            <w:bookmarkEnd w:id="510"/>
          </w:p>
        </w:tc>
        <w:tc>
          <w:tcPr>
            <w:tcW w:w="634" w:type="pct"/>
            <w:tcBorders>
              <w:left w:val="nil"/>
              <w:right w:val="nil"/>
            </w:tcBorders>
            <w:shd w:val="clear" w:color="auto" w:fill="auto"/>
            <w:vAlign w:val="bottom"/>
          </w:tcPr>
          <w:p w14:paraId="68B2B1A2"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(285)</w:t>
            </w:r>
          </w:p>
        </w:tc>
        <w:tc>
          <w:tcPr>
            <w:tcW w:w="634" w:type="pct"/>
            <w:tcBorders>
              <w:left w:val="nil"/>
              <w:right w:val="nil"/>
            </w:tcBorders>
            <w:shd w:val="clear" w:color="auto" w:fill="auto"/>
            <w:vAlign w:val="bottom"/>
          </w:tcPr>
          <w:p w14:paraId="2A5586F1"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color w:val="000000"/>
                <w:sz w:val="20"/>
                <w:szCs w:val="20"/>
                <w:lang w:val="hr-HR"/>
              </w:rPr>
              <w:t xml:space="preserve">-    </w:t>
            </w:r>
          </w:p>
        </w:tc>
        <w:tc>
          <w:tcPr>
            <w:tcW w:w="634" w:type="pct"/>
            <w:tcBorders>
              <w:bottom w:val="single" w:sz="6" w:space="0" w:color="auto"/>
            </w:tcBorders>
            <w:shd w:val="clear" w:color="auto" w:fill="auto"/>
            <w:vAlign w:val="bottom"/>
          </w:tcPr>
          <w:p w14:paraId="2E26A564"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(285)</w:t>
            </w:r>
          </w:p>
        </w:tc>
        <w:tc>
          <w:tcPr>
            <w:tcW w:w="634" w:type="pct"/>
            <w:tcBorders>
              <w:left w:val="nil"/>
              <w:right w:val="nil"/>
            </w:tcBorders>
            <w:shd w:val="clear" w:color="auto" w:fill="auto"/>
            <w:vAlign w:val="bottom"/>
          </w:tcPr>
          <w:p w14:paraId="1BA3BF01"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color w:val="000000"/>
                <w:sz w:val="20"/>
                <w:szCs w:val="20"/>
                <w:lang w:val="hr-HR"/>
              </w:rPr>
              <w:t>-</w:t>
            </w:r>
          </w:p>
        </w:tc>
      </w:tr>
      <w:tr w:rsidR="00587444" w:rsidRPr="00587444" w14:paraId="2EF57885" w14:textId="77777777" w:rsidTr="00DD69E7">
        <w:trPr>
          <w:trHeight w:val="286"/>
          <w:jc w:val="right"/>
        </w:trPr>
        <w:tc>
          <w:tcPr>
            <w:tcW w:w="2463" w:type="pct"/>
            <w:vAlign w:val="bottom"/>
          </w:tcPr>
          <w:p w14:paraId="6F90968D"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bookmarkStart w:id="511" w:name="_Toc4057988"/>
            <w:r w:rsidRPr="00587444">
              <w:rPr>
                <w:rFonts w:ascii="Arial" w:hAnsi="Arial" w:cs="Arial"/>
                <w:b/>
                <w:bCs/>
                <w:sz w:val="20"/>
                <w:szCs w:val="20"/>
                <w:lang w:val="en-GB"/>
              </w:rPr>
              <w:t>Net gains/(losses) on financial operations</w:t>
            </w:r>
            <w:bookmarkEnd w:id="511"/>
          </w:p>
        </w:tc>
        <w:tc>
          <w:tcPr>
            <w:tcW w:w="634" w:type="pct"/>
            <w:tcBorders>
              <w:top w:val="single" w:sz="4" w:space="0" w:color="auto"/>
              <w:bottom w:val="single" w:sz="12" w:space="0" w:color="auto"/>
            </w:tcBorders>
            <w:shd w:val="clear" w:color="auto" w:fill="auto"/>
            <w:vAlign w:val="bottom"/>
          </w:tcPr>
          <w:p w14:paraId="18EC9157" w14:textId="77777777" w:rsidR="00587444" w:rsidRPr="00587444" w:rsidRDefault="00587444" w:rsidP="00587444">
            <w:pPr>
              <w:suppressAutoHyphens w:val="0"/>
              <w:autoSpaceDN/>
              <w:jc w:val="right"/>
              <w:rPr>
                <w:rFonts w:ascii="Arial" w:hAnsi="Arial" w:cs="Arial"/>
                <w:b/>
                <w:bCs/>
                <w:color w:val="000000"/>
                <w:sz w:val="20"/>
                <w:szCs w:val="20"/>
                <w:lang w:val="hr-HR"/>
              </w:rPr>
            </w:pPr>
            <w:r w:rsidRPr="00587444">
              <w:rPr>
                <w:rFonts w:ascii="Arial" w:hAnsi="Arial" w:cs="Arial"/>
                <w:b/>
                <w:bCs/>
                <w:color w:val="000000"/>
                <w:sz w:val="20"/>
                <w:szCs w:val="20"/>
                <w:lang w:val="hr-HR"/>
              </w:rPr>
              <w:t>16,768</w:t>
            </w:r>
          </w:p>
        </w:tc>
        <w:tc>
          <w:tcPr>
            <w:tcW w:w="634" w:type="pct"/>
            <w:tcBorders>
              <w:top w:val="single" w:sz="4" w:space="0" w:color="auto"/>
              <w:bottom w:val="single" w:sz="12" w:space="0" w:color="auto"/>
            </w:tcBorders>
            <w:shd w:val="clear" w:color="auto" w:fill="auto"/>
            <w:vAlign w:val="bottom"/>
          </w:tcPr>
          <w:p w14:paraId="469082A8" w14:textId="77777777" w:rsidR="00587444" w:rsidRPr="00587444" w:rsidRDefault="00587444" w:rsidP="00587444">
            <w:pPr>
              <w:suppressAutoHyphens w:val="0"/>
              <w:autoSpaceDN/>
              <w:jc w:val="right"/>
              <w:rPr>
                <w:rFonts w:ascii="Arial" w:hAnsi="Arial" w:cs="Arial"/>
                <w:b/>
                <w:color w:val="000000"/>
                <w:sz w:val="20"/>
                <w:szCs w:val="20"/>
              </w:rPr>
            </w:pPr>
            <w:r w:rsidRPr="00587444">
              <w:rPr>
                <w:rFonts w:ascii="Arial" w:hAnsi="Arial" w:cs="Arial"/>
                <w:b/>
                <w:bCs/>
                <w:color w:val="000000"/>
                <w:sz w:val="20"/>
                <w:szCs w:val="20"/>
                <w:lang w:val="hr-HR"/>
              </w:rPr>
              <w:t>(11,893)</w:t>
            </w:r>
          </w:p>
        </w:tc>
        <w:tc>
          <w:tcPr>
            <w:tcW w:w="634" w:type="pct"/>
            <w:tcBorders>
              <w:top w:val="single" w:sz="6" w:space="0" w:color="auto"/>
              <w:bottom w:val="single" w:sz="12" w:space="0" w:color="auto"/>
            </w:tcBorders>
            <w:vAlign w:val="bottom"/>
          </w:tcPr>
          <w:p w14:paraId="30F14EE2" w14:textId="77777777" w:rsidR="00587444" w:rsidRPr="00587444" w:rsidRDefault="00587444" w:rsidP="00587444">
            <w:pPr>
              <w:suppressAutoHyphens w:val="0"/>
              <w:autoSpaceDN/>
              <w:jc w:val="right"/>
              <w:rPr>
                <w:rFonts w:ascii="Arial" w:hAnsi="Arial" w:cs="Arial"/>
                <w:b/>
                <w:bCs/>
                <w:color w:val="000000"/>
                <w:sz w:val="20"/>
                <w:szCs w:val="20"/>
                <w:lang w:val="hr-HR"/>
              </w:rPr>
            </w:pPr>
            <w:r w:rsidRPr="00587444">
              <w:rPr>
                <w:rFonts w:ascii="Arial" w:hAnsi="Arial" w:cs="Arial"/>
                <w:b/>
                <w:bCs/>
                <w:color w:val="000000"/>
                <w:sz w:val="20"/>
                <w:szCs w:val="20"/>
                <w:lang w:val="hr-HR"/>
              </w:rPr>
              <w:t>16,725</w:t>
            </w:r>
          </w:p>
        </w:tc>
        <w:tc>
          <w:tcPr>
            <w:tcW w:w="634" w:type="pct"/>
            <w:tcBorders>
              <w:top w:val="single" w:sz="4" w:space="0" w:color="auto"/>
              <w:bottom w:val="single" w:sz="12" w:space="0" w:color="auto"/>
            </w:tcBorders>
            <w:vAlign w:val="bottom"/>
          </w:tcPr>
          <w:p w14:paraId="346C0480" w14:textId="77777777" w:rsidR="00587444" w:rsidRPr="00587444" w:rsidRDefault="00587444" w:rsidP="00587444">
            <w:pPr>
              <w:suppressAutoHyphens w:val="0"/>
              <w:autoSpaceDN/>
              <w:jc w:val="right"/>
              <w:rPr>
                <w:rFonts w:ascii="Arial" w:hAnsi="Arial" w:cs="Arial"/>
                <w:b/>
                <w:color w:val="000000"/>
                <w:sz w:val="20"/>
                <w:szCs w:val="20"/>
              </w:rPr>
            </w:pPr>
            <w:r w:rsidRPr="00587444">
              <w:rPr>
                <w:rFonts w:ascii="Arial" w:hAnsi="Arial" w:cs="Arial"/>
                <w:b/>
                <w:bCs/>
                <w:color w:val="000000"/>
                <w:sz w:val="20"/>
                <w:szCs w:val="20"/>
                <w:lang w:val="hr-HR"/>
              </w:rPr>
              <w:t>(11,837)</w:t>
            </w:r>
          </w:p>
        </w:tc>
      </w:tr>
    </w:tbl>
    <w:p w14:paraId="1A1D4DE0" w14:textId="77777777" w:rsidR="00587444" w:rsidRPr="00587444" w:rsidRDefault="00587444" w:rsidP="00587444">
      <w:pPr>
        <w:keepNext/>
        <w:suppressAutoHyphens w:val="0"/>
        <w:autoSpaceDN/>
        <w:spacing w:before="360" w:after="120" w:line="360" w:lineRule="auto"/>
        <w:jc w:val="both"/>
        <w:rPr>
          <w:rFonts w:ascii="Arial" w:hAnsi="Arial" w:cs="Arial"/>
          <w:b/>
          <w:bCs/>
          <w:sz w:val="20"/>
          <w:szCs w:val="20"/>
          <w:lang w:val="en-GB"/>
        </w:rPr>
        <w:sectPr w:rsidR="00587444" w:rsidRPr="00587444" w:rsidSect="00DD69E7">
          <w:pgSz w:w="11907" w:h="16840" w:code="9"/>
          <w:pgMar w:top="1418" w:right="1134" w:bottom="1134" w:left="1418" w:header="851" w:footer="851" w:gutter="0"/>
          <w:cols w:space="720"/>
          <w:noEndnote/>
        </w:sectPr>
      </w:pPr>
    </w:p>
    <w:p w14:paraId="71414FC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19DA6F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9.</w:t>
      </w:r>
      <w:r w:rsidRPr="00587444">
        <w:rPr>
          <w:rFonts w:ascii="Arial" w:hAnsi="Arial" w:cs="Arial"/>
          <w:b/>
          <w:bCs/>
          <w:sz w:val="20"/>
          <w:szCs w:val="20"/>
          <w:lang w:val="en-GB"/>
        </w:rPr>
        <w:tab/>
        <w:t>Operating expenses</w:t>
      </w:r>
    </w:p>
    <w:p w14:paraId="481AEAFB" w14:textId="77777777" w:rsidR="00587444" w:rsidRPr="00587444" w:rsidRDefault="00587444" w:rsidP="00587444">
      <w:pPr>
        <w:keepNext/>
        <w:suppressAutoHyphens w:val="0"/>
        <w:autoSpaceDN/>
        <w:jc w:val="both"/>
        <w:rPr>
          <w:rFonts w:ascii="Arial" w:hAnsi="Arial" w:cs="Arial"/>
          <w:b/>
          <w:bCs/>
          <w:sz w:val="20"/>
          <w:szCs w:val="20"/>
          <w:lang w:val="en-GB"/>
        </w:rPr>
      </w:pPr>
    </w:p>
    <w:p w14:paraId="4BB58144" w14:textId="77777777" w:rsidR="00587444" w:rsidRPr="00587444" w:rsidRDefault="00587444" w:rsidP="00587444">
      <w:pPr>
        <w:tabs>
          <w:tab w:val="left" w:pos="-720"/>
          <w:tab w:val="left" w:pos="8789"/>
          <w:tab w:val="left" w:pos="8931"/>
        </w:tabs>
        <w:autoSpaceDN/>
        <w:rPr>
          <w:rFonts w:ascii="Arial" w:hAnsi="Arial" w:cs="Arial"/>
          <w:spacing w:val="-3"/>
          <w:sz w:val="20"/>
          <w:szCs w:val="20"/>
          <w:lang w:val="en-GB"/>
        </w:rPr>
      </w:pPr>
      <w:r w:rsidRPr="00587444">
        <w:rPr>
          <w:rFonts w:ascii="Arial" w:hAnsi="Arial" w:cs="Arial"/>
          <w:spacing w:val="-3"/>
          <w:sz w:val="20"/>
          <w:szCs w:val="20"/>
          <w:lang w:val="en-GB"/>
        </w:rPr>
        <w:t>Operating expenses can be shown as follows:</w:t>
      </w:r>
    </w:p>
    <w:p w14:paraId="0D2CDEA1" w14:textId="77777777" w:rsidR="00587444" w:rsidRPr="00587444" w:rsidRDefault="00587444" w:rsidP="00587444">
      <w:pPr>
        <w:tabs>
          <w:tab w:val="left" w:pos="-720"/>
          <w:tab w:val="left" w:pos="8789"/>
          <w:tab w:val="left" w:pos="8931"/>
        </w:tabs>
        <w:autoSpaceDN/>
        <w:rPr>
          <w:rFonts w:ascii="Arial" w:hAnsi="Arial" w:cs="Arial"/>
          <w:spacing w:val="-3"/>
          <w:sz w:val="20"/>
          <w:szCs w:val="20"/>
          <w:lang w:val="en-GB"/>
        </w:rPr>
      </w:pPr>
    </w:p>
    <w:tbl>
      <w:tblPr>
        <w:tblW w:w="5027" w:type="pct"/>
        <w:tblLayout w:type="fixed"/>
        <w:tblCellMar>
          <w:left w:w="122" w:type="dxa"/>
          <w:right w:w="122" w:type="dxa"/>
        </w:tblCellMar>
        <w:tblLook w:val="0000" w:firstRow="0" w:lastRow="0" w:firstColumn="0" w:lastColumn="0" w:noHBand="0" w:noVBand="0"/>
      </w:tblPr>
      <w:tblGrid>
        <w:gridCol w:w="4074"/>
        <w:gridCol w:w="1393"/>
        <w:gridCol w:w="1394"/>
        <w:gridCol w:w="1394"/>
        <w:gridCol w:w="1396"/>
      </w:tblGrid>
      <w:tr w:rsidR="00587444" w:rsidRPr="00587444" w14:paraId="49E85013" w14:textId="77777777" w:rsidTr="00DD69E7">
        <w:trPr>
          <w:trHeight w:val="385"/>
        </w:trPr>
        <w:tc>
          <w:tcPr>
            <w:tcW w:w="2111" w:type="pct"/>
          </w:tcPr>
          <w:p w14:paraId="0D658090" w14:textId="77777777" w:rsidR="00587444" w:rsidRPr="00587444" w:rsidRDefault="00587444" w:rsidP="00587444">
            <w:pPr>
              <w:tabs>
                <w:tab w:val="left" w:pos="-720"/>
              </w:tabs>
              <w:autoSpaceDN/>
              <w:jc w:val="right"/>
              <w:rPr>
                <w:rFonts w:ascii="Arial" w:hAnsi="Arial" w:cs="Arial"/>
                <w:spacing w:val="-3"/>
                <w:sz w:val="20"/>
                <w:szCs w:val="20"/>
                <w:lang w:val="en-GB"/>
              </w:rPr>
            </w:pPr>
          </w:p>
        </w:tc>
        <w:tc>
          <w:tcPr>
            <w:tcW w:w="722" w:type="pct"/>
          </w:tcPr>
          <w:p w14:paraId="0A01BF06"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p>
        </w:tc>
        <w:tc>
          <w:tcPr>
            <w:tcW w:w="722" w:type="pct"/>
            <w:vAlign w:val="bottom"/>
          </w:tcPr>
          <w:p w14:paraId="000A1131"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bookmarkStart w:id="512" w:name="_Toc4057989"/>
            <w:r w:rsidRPr="00587444">
              <w:rPr>
                <w:rFonts w:ascii="Arial" w:hAnsi="Arial" w:cs="Arial"/>
                <w:b/>
                <w:sz w:val="20"/>
                <w:szCs w:val="20"/>
                <w:lang w:val="hr-HR"/>
              </w:rPr>
              <w:t>Group</w:t>
            </w:r>
            <w:bookmarkEnd w:id="512"/>
          </w:p>
        </w:tc>
        <w:tc>
          <w:tcPr>
            <w:tcW w:w="722" w:type="pct"/>
            <w:vAlign w:val="bottom"/>
          </w:tcPr>
          <w:p w14:paraId="1D422745"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p>
        </w:tc>
        <w:tc>
          <w:tcPr>
            <w:tcW w:w="723" w:type="pct"/>
            <w:vAlign w:val="bottom"/>
          </w:tcPr>
          <w:p w14:paraId="0DE94AD4"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bookmarkStart w:id="513" w:name="_Toc4057990"/>
            <w:r w:rsidRPr="00587444">
              <w:rPr>
                <w:rFonts w:ascii="Arial" w:hAnsi="Arial" w:cs="Arial"/>
                <w:b/>
                <w:sz w:val="20"/>
                <w:szCs w:val="20"/>
                <w:lang w:val="hr-HR"/>
              </w:rPr>
              <w:t>Bank</w:t>
            </w:r>
            <w:bookmarkEnd w:id="513"/>
          </w:p>
        </w:tc>
      </w:tr>
      <w:tr w:rsidR="00587444" w:rsidRPr="00587444" w14:paraId="4E46D3C7" w14:textId="77777777" w:rsidTr="00DD69E7">
        <w:trPr>
          <w:trHeight w:val="289"/>
        </w:trPr>
        <w:tc>
          <w:tcPr>
            <w:tcW w:w="2111" w:type="pct"/>
          </w:tcPr>
          <w:p w14:paraId="7054D76B" w14:textId="77777777" w:rsidR="00587444" w:rsidRPr="00587444" w:rsidRDefault="00587444" w:rsidP="00587444">
            <w:pPr>
              <w:tabs>
                <w:tab w:val="left" w:pos="-720"/>
              </w:tabs>
              <w:autoSpaceDN/>
              <w:jc w:val="right"/>
              <w:rPr>
                <w:rFonts w:ascii="Arial" w:hAnsi="Arial" w:cs="Arial"/>
                <w:spacing w:val="-3"/>
                <w:sz w:val="20"/>
                <w:szCs w:val="20"/>
                <w:lang w:val="en-GB"/>
              </w:rPr>
            </w:pPr>
          </w:p>
        </w:tc>
        <w:tc>
          <w:tcPr>
            <w:tcW w:w="722" w:type="pct"/>
            <w:vAlign w:val="center"/>
          </w:tcPr>
          <w:p w14:paraId="01D92101"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722" w:type="pct"/>
            <w:vAlign w:val="center"/>
          </w:tcPr>
          <w:p w14:paraId="01D3E408"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2021</w:t>
            </w:r>
          </w:p>
        </w:tc>
        <w:tc>
          <w:tcPr>
            <w:tcW w:w="722" w:type="pct"/>
            <w:vAlign w:val="center"/>
          </w:tcPr>
          <w:p w14:paraId="38DFB105"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723" w:type="pct"/>
            <w:vAlign w:val="center"/>
          </w:tcPr>
          <w:p w14:paraId="7896DA6F"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2021</w:t>
            </w:r>
          </w:p>
        </w:tc>
      </w:tr>
      <w:tr w:rsidR="00587444" w:rsidRPr="00587444" w14:paraId="436BB311" w14:textId="77777777" w:rsidTr="00DD69E7">
        <w:tblPrEx>
          <w:tblCellMar>
            <w:left w:w="108" w:type="dxa"/>
            <w:right w:w="108" w:type="dxa"/>
          </w:tblCellMar>
        </w:tblPrEx>
        <w:trPr>
          <w:trHeight w:val="239"/>
        </w:trPr>
        <w:tc>
          <w:tcPr>
            <w:tcW w:w="2111" w:type="pct"/>
          </w:tcPr>
          <w:p w14:paraId="0E375216" w14:textId="77777777" w:rsidR="00587444" w:rsidRPr="00587444" w:rsidRDefault="00587444" w:rsidP="00587444">
            <w:pPr>
              <w:tabs>
                <w:tab w:val="left" w:pos="-720"/>
              </w:tabs>
              <w:autoSpaceDN/>
              <w:ind w:right="4144"/>
              <w:jc w:val="right"/>
              <w:rPr>
                <w:rFonts w:ascii="Arial" w:hAnsi="Arial" w:cs="Arial"/>
                <w:sz w:val="20"/>
                <w:szCs w:val="20"/>
                <w:lang w:val="en-GB"/>
              </w:rPr>
            </w:pPr>
          </w:p>
        </w:tc>
        <w:tc>
          <w:tcPr>
            <w:tcW w:w="722" w:type="pct"/>
          </w:tcPr>
          <w:p w14:paraId="7B54D2D5"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en-GB"/>
              </w:rPr>
            </w:pPr>
            <w:bookmarkStart w:id="514" w:name="_Toc4057995"/>
            <w:r w:rsidRPr="00587444">
              <w:rPr>
                <w:rFonts w:ascii="Arial" w:hAnsi="Arial" w:cs="Arial"/>
                <w:b/>
                <w:sz w:val="20"/>
                <w:szCs w:val="20"/>
                <w:lang w:val="en-GB"/>
              </w:rPr>
              <w:t>HRK ‘000</w:t>
            </w:r>
            <w:bookmarkEnd w:id="514"/>
          </w:p>
        </w:tc>
        <w:tc>
          <w:tcPr>
            <w:tcW w:w="722" w:type="pct"/>
          </w:tcPr>
          <w:p w14:paraId="0029221B"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en-GB"/>
              </w:rPr>
            </w:pPr>
            <w:bookmarkStart w:id="515" w:name="_Toc4057996"/>
            <w:r w:rsidRPr="00587444">
              <w:rPr>
                <w:rFonts w:ascii="Arial" w:hAnsi="Arial" w:cs="Arial"/>
                <w:b/>
                <w:sz w:val="20"/>
                <w:szCs w:val="20"/>
                <w:lang w:val="en-GB"/>
              </w:rPr>
              <w:t>HRK ‘000</w:t>
            </w:r>
            <w:bookmarkEnd w:id="515"/>
          </w:p>
        </w:tc>
        <w:tc>
          <w:tcPr>
            <w:tcW w:w="722" w:type="pct"/>
          </w:tcPr>
          <w:p w14:paraId="450E0880"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en-GB"/>
              </w:rPr>
            </w:pPr>
            <w:bookmarkStart w:id="516" w:name="_Toc4057997"/>
            <w:r w:rsidRPr="00587444">
              <w:rPr>
                <w:rFonts w:ascii="Arial" w:hAnsi="Arial" w:cs="Arial"/>
                <w:b/>
                <w:sz w:val="20"/>
                <w:szCs w:val="20"/>
                <w:lang w:val="en-GB"/>
              </w:rPr>
              <w:t>HRK ‘000</w:t>
            </w:r>
            <w:bookmarkEnd w:id="516"/>
          </w:p>
        </w:tc>
        <w:tc>
          <w:tcPr>
            <w:tcW w:w="723" w:type="pct"/>
          </w:tcPr>
          <w:p w14:paraId="4668F429"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en-GB"/>
              </w:rPr>
            </w:pPr>
            <w:bookmarkStart w:id="517" w:name="_Toc4057998"/>
            <w:r w:rsidRPr="00587444">
              <w:rPr>
                <w:rFonts w:ascii="Arial" w:hAnsi="Arial" w:cs="Arial"/>
                <w:b/>
                <w:sz w:val="20"/>
                <w:szCs w:val="20"/>
                <w:lang w:val="en-GB"/>
              </w:rPr>
              <w:t>HRK ‘000</w:t>
            </w:r>
            <w:bookmarkEnd w:id="517"/>
          </w:p>
        </w:tc>
      </w:tr>
      <w:tr w:rsidR="00587444" w:rsidRPr="00587444" w14:paraId="60E92E38" w14:textId="77777777" w:rsidTr="00DD69E7">
        <w:trPr>
          <w:trHeight w:val="245"/>
        </w:trPr>
        <w:tc>
          <w:tcPr>
            <w:tcW w:w="2111" w:type="pct"/>
          </w:tcPr>
          <w:p w14:paraId="15C17BC7" w14:textId="77777777" w:rsidR="00587444" w:rsidRPr="00587444" w:rsidRDefault="00587444" w:rsidP="00587444">
            <w:pPr>
              <w:tabs>
                <w:tab w:val="left" w:pos="-720"/>
              </w:tabs>
              <w:autoSpaceDN/>
              <w:jc w:val="center"/>
              <w:rPr>
                <w:rFonts w:ascii="Arial" w:hAnsi="Arial" w:cs="Arial"/>
                <w:b/>
                <w:spacing w:val="-3"/>
                <w:sz w:val="20"/>
                <w:szCs w:val="20"/>
                <w:lang w:val="en-GB"/>
              </w:rPr>
            </w:pPr>
          </w:p>
        </w:tc>
        <w:tc>
          <w:tcPr>
            <w:tcW w:w="722" w:type="pct"/>
          </w:tcPr>
          <w:p w14:paraId="3AB64AA6" w14:textId="77777777" w:rsidR="00587444" w:rsidRPr="00587444" w:rsidRDefault="00587444" w:rsidP="00587444">
            <w:pPr>
              <w:tabs>
                <w:tab w:val="left" w:pos="-720"/>
              </w:tabs>
              <w:autoSpaceDN/>
              <w:jc w:val="right"/>
              <w:rPr>
                <w:rFonts w:ascii="Arial" w:hAnsi="Arial" w:cs="Arial"/>
                <w:b/>
                <w:spacing w:val="-3"/>
                <w:sz w:val="20"/>
                <w:szCs w:val="20"/>
                <w:lang w:val="en-GB"/>
              </w:rPr>
            </w:pPr>
          </w:p>
        </w:tc>
        <w:tc>
          <w:tcPr>
            <w:tcW w:w="722" w:type="pct"/>
          </w:tcPr>
          <w:p w14:paraId="7E5A9579" w14:textId="77777777" w:rsidR="00587444" w:rsidRPr="00587444" w:rsidRDefault="00587444" w:rsidP="00587444">
            <w:pPr>
              <w:tabs>
                <w:tab w:val="left" w:pos="-720"/>
              </w:tabs>
              <w:autoSpaceDN/>
              <w:jc w:val="right"/>
              <w:rPr>
                <w:rFonts w:ascii="Arial" w:hAnsi="Arial" w:cs="Arial"/>
                <w:b/>
                <w:spacing w:val="-3"/>
                <w:sz w:val="20"/>
                <w:szCs w:val="20"/>
                <w:lang w:val="en-GB"/>
              </w:rPr>
            </w:pPr>
          </w:p>
        </w:tc>
        <w:tc>
          <w:tcPr>
            <w:tcW w:w="722" w:type="pct"/>
          </w:tcPr>
          <w:p w14:paraId="7425349F" w14:textId="77777777" w:rsidR="00587444" w:rsidRPr="00587444" w:rsidRDefault="00587444" w:rsidP="00587444">
            <w:pPr>
              <w:tabs>
                <w:tab w:val="left" w:pos="-720"/>
              </w:tabs>
              <w:autoSpaceDN/>
              <w:jc w:val="right"/>
              <w:rPr>
                <w:rFonts w:ascii="Arial" w:hAnsi="Arial" w:cs="Arial"/>
                <w:b/>
                <w:spacing w:val="-3"/>
                <w:sz w:val="20"/>
                <w:szCs w:val="20"/>
                <w:lang w:val="en-GB"/>
              </w:rPr>
            </w:pPr>
          </w:p>
        </w:tc>
        <w:tc>
          <w:tcPr>
            <w:tcW w:w="723" w:type="pct"/>
          </w:tcPr>
          <w:p w14:paraId="5260A6BB" w14:textId="77777777" w:rsidR="00587444" w:rsidRPr="00587444" w:rsidRDefault="00587444" w:rsidP="00587444">
            <w:pPr>
              <w:tabs>
                <w:tab w:val="left" w:pos="-720"/>
              </w:tabs>
              <w:autoSpaceDN/>
              <w:jc w:val="right"/>
              <w:rPr>
                <w:rFonts w:ascii="Arial" w:hAnsi="Arial" w:cs="Arial"/>
                <w:b/>
                <w:spacing w:val="-3"/>
                <w:sz w:val="20"/>
                <w:szCs w:val="20"/>
                <w:lang w:val="en-GB"/>
              </w:rPr>
            </w:pPr>
          </w:p>
        </w:tc>
      </w:tr>
      <w:tr w:rsidR="00587444" w:rsidRPr="00587444" w14:paraId="0D75F175" w14:textId="77777777" w:rsidTr="00DD69E7">
        <w:trPr>
          <w:trHeight w:val="245"/>
        </w:trPr>
        <w:tc>
          <w:tcPr>
            <w:tcW w:w="2111" w:type="pct"/>
          </w:tcPr>
          <w:p w14:paraId="6C9F15D3" w14:textId="77777777" w:rsidR="00587444" w:rsidRPr="00587444" w:rsidRDefault="00587444" w:rsidP="00587444">
            <w:pPr>
              <w:tabs>
                <w:tab w:val="right" w:pos="1202"/>
              </w:tabs>
              <w:suppressAutoHyphens w:val="0"/>
              <w:autoSpaceDN/>
              <w:outlineLvl w:val="0"/>
              <w:rPr>
                <w:rFonts w:ascii="Arial" w:hAnsi="Arial" w:cs="Arial"/>
                <w:sz w:val="20"/>
                <w:szCs w:val="20"/>
                <w:lang w:val="en-GB"/>
              </w:rPr>
            </w:pPr>
          </w:p>
        </w:tc>
        <w:tc>
          <w:tcPr>
            <w:tcW w:w="722" w:type="pct"/>
          </w:tcPr>
          <w:p w14:paraId="2E1526AE" w14:textId="77777777" w:rsidR="00587444" w:rsidRPr="00587444" w:rsidRDefault="00587444" w:rsidP="00587444">
            <w:pPr>
              <w:tabs>
                <w:tab w:val="right" w:pos="1202"/>
              </w:tabs>
              <w:suppressAutoHyphens w:val="0"/>
              <w:autoSpaceDN/>
              <w:jc w:val="right"/>
              <w:outlineLvl w:val="0"/>
              <w:rPr>
                <w:rFonts w:ascii="Arial" w:hAnsi="Arial" w:cs="Arial"/>
                <w:spacing w:val="-3"/>
                <w:sz w:val="20"/>
                <w:szCs w:val="20"/>
                <w:lang w:val="en-GB"/>
              </w:rPr>
            </w:pPr>
          </w:p>
        </w:tc>
        <w:tc>
          <w:tcPr>
            <w:tcW w:w="722" w:type="pct"/>
            <w:vAlign w:val="bottom"/>
          </w:tcPr>
          <w:p w14:paraId="7C79B1C1" w14:textId="77777777" w:rsidR="00587444" w:rsidRPr="00587444" w:rsidRDefault="00587444" w:rsidP="00587444">
            <w:pPr>
              <w:tabs>
                <w:tab w:val="right" w:pos="1202"/>
              </w:tabs>
              <w:suppressAutoHyphens w:val="0"/>
              <w:autoSpaceDN/>
              <w:jc w:val="right"/>
              <w:outlineLvl w:val="0"/>
              <w:rPr>
                <w:rFonts w:ascii="Arial" w:hAnsi="Arial" w:cs="Arial"/>
                <w:spacing w:val="-3"/>
                <w:sz w:val="20"/>
                <w:szCs w:val="20"/>
                <w:lang w:val="en-GB"/>
              </w:rPr>
            </w:pPr>
          </w:p>
        </w:tc>
        <w:tc>
          <w:tcPr>
            <w:tcW w:w="722" w:type="pct"/>
            <w:vAlign w:val="bottom"/>
          </w:tcPr>
          <w:p w14:paraId="63A5436E" w14:textId="77777777" w:rsidR="00587444" w:rsidRPr="00587444" w:rsidRDefault="00587444" w:rsidP="00587444">
            <w:pPr>
              <w:tabs>
                <w:tab w:val="right" w:pos="1202"/>
              </w:tabs>
              <w:suppressAutoHyphens w:val="0"/>
              <w:autoSpaceDN/>
              <w:jc w:val="right"/>
              <w:outlineLvl w:val="0"/>
              <w:rPr>
                <w:rFonts w:ascii="Arial" w:hAnsi="Arial" w:cs="Arial"/>
                <w:spacing w:val="-3"/>
                <w:sz w:val="20"/>
                <w:szCs w:val="20"/>
                <w:lang w:val="en-GB"/>
              </w:rPr>
            </w:pPr>
          </w:p>
        </w:tc>
        <w:tc>
          <w:tcPr>
            <w:tcW w:w="723" w:type="pct"/>
            <w:vAlign w:val="bottom"/>
          </w:tcPr>
          <w:p w14:paraId="5618B8CA" w14:textId="77777777" w:rsidR="00587444" w:rsidRPr="00587444" w:rsidRDefault="00587444" w:rsidP="00587444">
            <w:pPr>
              <w:tabs>
                <w:tab w:val="right" w:pos="1202"/>
              </w:tabs>
              <w:suppressAutoHyphens w:val="0"/>
              <w:autoSpaceDN/>
              <w:jc w:val="right"/>
              <w:outlineLvl w:val="0"/>
              <w:rPr>
                <w:rFonts w:ascii="Arial" w:hAnsi="Arial" w:cs="Arial"/>
                <w:spacing w:val="-3"/>
                <w:sz w:val="20"/>
                <w:szCs w:val="20"/>
                <w:lang w:val="en-GB"/>
              </w:rPr>
            </w:pPr>
          </w:p>
        </w:tc>
      </w:tr>
      <w:tr w:rsidR="00587444" w:rsidRPr="00587444" w14:paraId="14AAFA58" w14:textId="77777777" w:rsidTr="00DD69E7">
        <w:trPr>
          <w:trHeight w:val="183"/>
        </w:trPr>
        <w:tc>
          <w:tcPr>
            <w:tcW w:w="2111" w:type="pct"/>
            <w:vAlign w:val="center"/>
          </w:tcPr>
          <w:p w14:paraId="00BCC157" w14:textId="77777777" w:rsidR="00587444" w:rsidRPr="00587444" w:rsidRDefault="00587444" w:rsidP="00587444">
            <w:pPr>
              <w:tabs>
                <w:tab w:val="right" w:pos="1202"/>
              </w:tabs>
              <w:suppressAutoHyphens w:val="0"/>
              <w:autoSpaceDN/>
              <w:spacing w:line="240" w:lineRule="atLeast"/>
              <w:outlineLvl w:val="0"/>
              <w:rPr>
                <w:rFonts w:ascii="Arial" w:hAnsi="Arial" w:cs="Arial"/>
                <w:sz w:val="20"/>
                <w:szCs w:val="20"/>
                <w:lang w:val="en-GB"/>
              </w:rPr>
            </w:pPr>
            <w:bookmarkStart w:id="518" w:name="_Toc4057999"/>
            <w:r w:rsidRPr="00587444">
              <w:rPr>
                <w:rFonts w:ascii="Arial" w:hAnsi="Arial" w:cs="Arial"/>
                <w:bCs/>
                <w:spacing w:val="-2"/>
                <w:sz w:val="20"/>
                <w:szCs w:val="20"/>
                <w:lang w:val="en-GB"/>
              </w:rPr>
              <w:t>9 a) Employee expenses</w:t>
            </w:r>
            <w:bookmarkEnd w:id="518"/>
          </w:p>
        </w:tc>
        <w:tc>
          <w:tcPr>
            <w:tcW w:w="722" w:type="pct"/>
            <w:tcBorders>
              <w:top w:val="nil"/>
              <w:left w:val="nil"/>
              <w:bottom w:val="nil"/>
              <w:right w:val="nil"/>
            </w:tcBorders>
            <w:shd w:val="clear" w:color="auto" w:fill="auto"/>
            <w:vAlign w:val="bottom"/>
          </w:tcPr>
          <w:p w14:paraId="6451E40B" w14:textId="77777777" w:rsidR="00587444" w:rsidRPr="00587444" w:rsidRDefault="00587444" w:rsidP="00587444">
            <w:pPr>
              <w:tabs>
                <w:tab w:val="right" w:pos="1202"/>
              </w:tabs>
              <w:suppressAutoHyphens w:val="0"/>
              <w:autoSpaceDN/>
              <w:jc w:val="right"/>
              <w:outlineLvl w:val="0"/>
              <w:rPr>
                <w:rFonts w:ascii="Arial" w:hAnsi="Arial" w:cs="Arial"/>
                <w:color w:val="000000"/>
                <w:spacing w:val="-3"/>
                <w:sz w:val="20"/>
                <w:szCs w:val="20"/>
                <w:lang w:val="hr-HR"/>
              </w:rPr>
            </w:pPr>
            <w:r w:rsidRPr="00587444">
              <w:rPr>
                <w:rFonts w:ascii="Arial" w:hAnsi="Arial" w:cs="Arial"/>
                <w:color w:val="000000"/>
                <w:spacing w:val="-3"/>
                <w:sz w:val="20"/>
                <w:szCs w:val="20"/>
                <w:lang w:val="hr-HR"/>
              </w:rPr>
              <w:t xml:space="preserve"> 105,193 </w:t>
            </w:r>
          </w:p>
        </w:tc>
        <w:tc>
          <w:tcPr>
            <w:tcW w:w="722" w:type="pct"/>
            <w:tcBorders>
              <w:top w:val="nil"/>
              <w:left w:val="nil"/>
              <w:bottom w:val="nil"/>
              <w:right w:val="nil"/>
            </w:tcBorders>
            <w:shd w:val="clear" w:color="auto" w:fill="auto"/>
            <w:vAlign w:val="bottom"/>
          </w:tcPr>
          <w:p w14:paraId="34A6781A" w14:textId="77777777" w:rsidR="00587444" w:rsidRPr="00587444" w:rsidRDefault="00587444" w:rsidP="00587444">
            <w:pPr>
              <w:tabs>
                <w:tab w:val="right" w:pos="1202"/>
              </w:tabs>
              <w:suppressAutoHyphens w:val="0"/>
              <w:autoSpaceDN/>
              <w:jc w:val="right"/>
              <w:outlineLvl w:val="0"/>
              <w:rPr>
                <w:rFonts w:ascii="Arial" w:hAnsi="Arial" w:cs="Arial"/>
                <w:spacing w:val="-3"/>
                <w:sz w:val="20"/>
                <w:szCs w:val="20"/>
                <w:lang w:val="hr-HR"/>
              </w:rPr>
            </w:pPr>
            <w:r w:rsidRPr="00587444">
              <w:rPr>
                <w:rFonts w:ascii="Arial" w:hAnsi="Arial" w:cs="Arial"/>
                <w:color w:val="000000"/>
                <w:spacing w:val="-3"/>
                <w:sz w:val="20"/>
                <w:szCs w:val="20"/>
                <w:lang w:val="hr-HR"/>
              </w:rPr>
              <w:t>100,095</w:t>
            </w:r>
          </w:p>
        </w:tc>
        <w:tc>
          <w:tcPr>
            <w:tcW w:w="722" w:type="pct"/>
            <w:tcBorders>
              <w:top w:val="nil"/>
              <w:left w:val="nil"/>
              <w:bottom w:val="nil"/>
              <w:right w:val="nil"/>
            </w:tcBorders>
            <w:shd w:val="clear" w:color="auto" w:fill="auto"/>
            <w:vAlign w:val="bottom"/>
          </w:tcPr>
          <w:p w14:paraId="715A5748" w14:textId="77777777" w:rsidR="00587444" w:rsidRPr="00587444" w:rsidRDefault="00587444" w:rsidP="00587444">
            <w:pPr>
              <w:tabs>
                <w:tab w:val="right" w:pos="1202"/>
              </w:tabs>
              <w:suppressAutoHyphens w:val="0"/>
              <w:autoSpaceDN/>
              <w:jc w:val="right"/>
              <w:outlineLvl w:val="0"/>
              <w:rPr>
                <w:rFonts w:ascii="Arial" w:hAnsi="Arial" w:cs="Arial"/>
                <w:color w:val="000000"/>
                <w:spacing w:val="-3"/>
                <w:sz w:val="20"/>
                <w:szCs w:val="20"/>
                <w:lang w:val="hr-HR"/>
              </w:rPr>
            </w:pPr>
            <w:r w:rsidRPr="00587444">
              <w:rPr>
                <w:rFonts w:ascii="Arial" w:hAnsi="Arial" w:cs="Arial"/>
                <w:color w:val="000000"/>
                <w:spacing w:val="-3"/>
                <w:sz w:val="20"/>
                <w:szCs w:val="20"/>
                <w:lang w:val="hr-HR"/>
              </w:rPr>
              <w:t>100,254</w:t>
            </w:r>
          </w:p>
        </w:tc>
        <w:tc>
          <w:tcPr>
            <w:tcW w:w="723" w:type="pct"/>
            <w:tcBorders>
              <w:top w:val="nil"/>
              <w:left w:val="nil"/>
              <w:bottom w:val="nil"/>
              <w:right w:val="nil"/>
            </w:tcBorders>
            <w:shd w:val="clear" w:color="auto" w:fill="auto"/>
            <w:vAlign w:val="bottom"/>
          </w:tcPr>
          <w:p w14:paraId="31D35D31" w14:textId="77777777" w:rsidR="00587444" w:rsidRPr="00587444" w:rsidRDefault="00587444" w:rsidP="00587444">
            <w:pPr>
              <w:tabs>
                <w:tab w:val="right" w:pos="1202"/>
              </w:tabs>
              <w:suppressAutoHyphens w:val="0"/>
              <w:autoSpaceDN/>
              <w:jc w:val="right"/>
              <w:outlineLvl w:val="0"/>
              <w:rPr>
                <w:rFonts w:ascii="Arial" w:hAnsi="Arial" w:cs="Arial"/>
                <w:spacing w:val="-3"/>
                <w:sz w:val="20"/>
                <w:szCs w:val="20"/>
                <w:lang w:val="hr-HR"/>
              </w:rPr>
            </w:pPr>
            <w:r w:rsidRPr="00587444">
              <w:rPr>
                <w:rFonts w:ascii="Arial" w:hAnsi="Arial" w:cs="Arial"/>
                <w:color w:val="000000"/>
                <w:spacing w:val="-3"/>
                <w:sz w:val="20"/>
                <w:szCs w:val="20"/>
                <w:lang w:val="hr-HR"/>
              </w:rPr>
              <w:t>95,219</w:t>
            </w:r>
          </w:p>
        </w:tc>
      </w:tr>
      <w:tr w:rsidR="00587444" w:rsidRPr="00587444" w14:paraId="1A5811D9" w14:textId="77777777" w:rsidTr="00DD69E7">
        <w:trPr>
          <w:trHeight w:val="80"/>
        </w:trPr>
        <w:tc>
          <w:tcPr>
            <w:tcW w:w="2111" w:type="pct"/>
            <w:vAlign w:val="center"/>
          </w:tcPr>
          <w:p w14:paraId="7E52B7C4" w14:textId="77777777" w:rsidR="00587444" w:rsidRPr="00587444" w:rsidRDefault="00587444" w:rsidP="00587444">
            <w:pPr>
              <w:tabs>
                <w:tab w:val="right" w:pos="1202"/>
              </w:tabs>
              <w:suppressAutoHyphens w:val="0"/>
              <w:autoSpaceDN/>
              <w:spacing w:line="240" w:lineRule="atLeast"/>
              <w:outlineLvl w:val="0"/>
              <w:rPr>
                <w:rFonts w:ascii="Arial" w:hAnsi="Arial" w:cs="Arial"/>
                <w:bCs/>
                <w:spacing w:val="-2"/>
                <w:sz w:val="20"/>
                <w:szCs w:val="20"/>
                <w:lang w:val="en-GB"/>
              </w:rPr>
            </w:pPr>
          </w:p>
        </w:tc>
        <w:tc>
          <w:tcPr>
            <w:tcW w:w="722" w:type="pct"/>
            <w:tcBorders>
              <w:top w:val="nil"/>
              <w:left w:val="nil"/>
              <w:bottom w:val="nil"/>
              <w:right w:val="nil"/>
            </w:tcBorders>
            <w:shd w:val="clear" w:color="auto" w:fill="auto"/>
            <w:vAlign w:val="bottom"/>
          </w:tcPr>
          <w:p w14:paraId="4660C414" w14:textId="77777777" w:rsidR="00587444" w:rsidRPr="00587444" w:rsidRDefault="00587444" w:rsidP="00587444">
            <w:pPr>
              <w:tabs>
                <w:tab w:val="right" w:pos="1202"/>
              </w:tabs>
              <w:suppressAutoHyphens w:val="0"/>
              <w:autoSpaceDN/>
              <w:jc w:val="right"/>
              <w:outlineLvl w:val="0"/>
              <w:rPr>
                <w:rFonts w:ascii="Arial" w:hAnsi="Arial" w:cs="Arial"/>
                <w:color w:val="000000"/>
                <w:spacing w:val="-3"/>
                <w:sz w:val="20"/>
                <w:szCs w:val="20"/>
                <w:lang w:val="hr-HR"/>
              </w:rPr>
            </w:pPr>
          </w:p>
        </w:tc>
        <w:tc>
          <w:tcPr>
            <w:tcW w:w="722" w:type="pct"/>
            <w:tcBorders>
              <w:top w:val="nil"/>
              <w:left w:val="nil"/>
              <w:bottom w:val="nil"/>
              <w:right w:val="nil"/>
            </w:tcBorders>
            <w:shd w:val="clear" w:color="auto" w:fill="auto"/>
            <w:vAlign w:val="bottom"/>
          </w:tcPr>
          <w:p w14:paraId="094F0012"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en-GB"/>
              </w:rPr>
            </w:pPr>
          </w:p>
        </w:tc>
        <w:tc>
          <w:tcPr>
            <w:tcW w:w="722" w:type="pct"/>
            <w:tcBorders>
              <w:top w:val="nil"/>
              <w:left w:val="nil"/>
              <w:bottom w:val="nil"/>
              <w:right w:val="nil"/>
            </w:tcBorders>
            <w:shd w:val="clear" w:color="auto" w:fill="auto"/>
            <w:vAlign w:val="bottom"/>
          </w:tcPr>
          <w:p w14:paraId="36C26CFC" w14:textId="77777777" w:rsidR="00587444" w:rsidRPr="00587444" w:rsidRDefault="00587444" w:rsidP="00587444">
            <w:pPr>
              <w:tabs>
                <w:tab w:val="right" w:pos="1202"/>
              </w:tabs>
              <w:suppressAutoHyphens w:val="0"/>
              <w:autoSpaceDN/>
              <w:jc w:val="right"/>
              <w:outlineLvl w:val="0"/>
              <w:rPr>
                <w:rFonts w:ascii="Arial" w:hAnsi="Arial" w:cs="Arial"/>
                <w:color w:val="000000"/>
                <w:spacing w:val="-3"/>
                <w:sz w:val="20"/>
                <w:szCs w:val="20"/>
                <w:lang w:val="hr-HR"/>
              </w:rPr>
            </w:pPr>
          </w:p>
        </w:tc>
        <w:tc>
          <w:tcPr>
            <w:tcW w:w="723" w:type="pct"/>
            <w:tcBorders>
              <w:top w:val="nil"/>
              <w:left w:val="nil"/>
              <w:bottom w:val="nil"/>
              <w:right w:val="nil"/>
            </w:tcBorders>
            <w:shd w:val="clear" w:color="auto" w:fill="auto"/>
            <w:vAlign w:val="bottom"/>
          </w:tcPr>
          <w:p w14:paraId="5BDBCD19"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en-GB"/>
              </w:rPr>
            </w:pPr>
          </w:p>
        </w:tc>
      </w:tr>
      <w:tr w:rsidR="00587444" w:rsidRPr="00587444" w14:paraId="318987E1" w14:textId="77777777" w:rsidTr="00DD69E7">
        <w:trPr>
          <w:trHeight w:val="385"/>
        </w:trPr>
        <w:tc>
          <w:tcPr>
            <w:tcW w:w="2111" w:type="pct"/>
            <w:vAlign w:val="center"/>
          </w:tcPr>
          <w:p w14:paraId="3FB17C89" w14:textId="77777777" w:rsidR="00587444" w:rsidRPr="00587444" w:rsidRDefault="00587444" w:rsidP="00587444">
            <w:pPr>
              <w:tabs>
                <w:tab w:val="right" w:pos="1202"/>
              </w:tabs>
              <w:suppressAutoHyphens w:val="0"/>
              <w:autoSpaceDN/>
              <w:spacing w:line="240" w:lineRule="atLeast"/>
              <w:outlineLvl w:val="0"/>
              <w:rPr>
                <w:rFonts w:ascii="Arial" w:hAnsi="Arial" w:cs="Arial"/>
                <w:sz w:val="20"/>
                <w:szCs w:val="20"/>
                <w:lang w:val="en-GB"/>
              </w:rPr>
            </w:pPr>
            <w:bookmarkStart w:id="519" w:name="_Toc4058004"/>
            <w:r w:rsidRPr="00587444">
              <w:rPr>
                <w:rFonts w:ascii="Arial" w:hAnsi="Arial" w:cs="Arial"/>
                <w:bCs/>
                <w:spacing w:val="-2"/>
                <w:sz w:val="20"/>
                <w:szCs w:val="20"/>
                <w:lang w:val="en-GB"/>
              </w:rPr>
              <w:t>9 b) Depreciation</w:t>
            </w:r>
            <w:bookmarkEnd w:id="519"/>
          </w:p>
        </w:tc>
        <w:tc>
          <w:tcPr>
            <w:tcW w:w="722" w:type="pct"/>
            <w:tcBorders>
              <w:top w:val="nil"/>
              <w:left w:val="nil"/>
              <w:bottom w:val="nil"/>
              <w:right w:val="nil"/>
            </w:tcBorders>
            <w:shd w:val="clear" w:color="auto" w:fill="auto"/>
            <w:vAlign w:val="bottom"/>
          </w:tcPr>
          <w:p w14:paraId="17037148" w14:textId="77777777" w:rsidR="00587444" w:rsidRPr="00587444" w:rsidRDefault="00587444" w:rsidP="00587444">
            <w:pPr>
              <w:tabs>
                <w:tab w:val="right" w:pos="1202"/>
              </w:tabs>
              <w:suppressAutoHyphens w:val="0"/>
              <w:autoSpaceDN/>
              <w:jc w:val="right"/>
              <w:outlineLvl w:val="0"/>
              <w:rPr>
                <w:rFonts w:ascii="Arial" w:hAnsi="Arial" w:cs="Arial"/>
                <w:color w:val="000000"/>
                <w:spacing w:val="-3"/>
                <w:sz w:val="20"/>
                <w:szCs w:val="20"/>
                <w:lang w:val="hr-HR"/>
              </w:rPr>
            </w:pPr>
            <w:r w:rsidRPr="00587444">
              <w:rPr>
                <w:rFonts w:ascii="Arial" w:hAnsi="Arial" w:cs="Arial"/>
                <w:color w:val="000000"/>
                <w:spacing w:val="-3"/>
                <w:sz w:val="20"/>
                <w:szCs w:val="20"/>
                <w:lang w:val="hr-HR"/>
              </w:rPr>
              <w:t xml:space="preserve"> 11,600 </w:t>
            </w:r>
          </w:p>
        </w:tc>
        <w:tc>
          <w:tcPr>
            <w:tcW w:w="722" w:type="pct"/>
            <w:tcBorders>
              <w:top w:val="nil"/>
              <w:left w:val="nil"/>
              <w:bottom w:val="nil"/>
              <w:right w:val="nil"/>
            </w:tcBorders>
            <w:shd w:val="clear" w:color="auto" w:fill="auto"/>
            <w:vAlign w:val="bottom"/>
          </w:tcPr>
          <w:p w14:paraId="7A1DA501" w14:textId="77777777" w:rsidR="00587444" w:rsidRPr="00587444" w:rsidRDefault="00587444" w:rsidP="00587444">
            <w:pPr>
              <w:tabs>
                <w:tab w:val="right" w:pos="1202"/>
              </w:tabs>
              <w:suppressAutoHyphens w:val="0"/>
              <w:autoSpaceDN/>
              <w:jc w:val="right"/>
              <w:outlineLvl w:val="0"/>
              <w:rPr>
                <w:rFonts w:ascii="Arial" w:hAnsi="Arial" w:cs="Arial"/>
                <w:spacing w:val="-3"/>
                <w:sz w:val="20"/>
                <w:szCs w:val="20"/>
                <w:lang w:val="hr-HR"/>
              </w:rPr>
            </w:pPr>
            <w:r w:rsidRPr="00587444">
              <w:rPr>
                <w:rFonts w:ascii="Arial" w:hAnsi="Arial" w:cs="Arial"/>
                <w:color w:val="000000"/>
                <w:spacing w:val="-3"/>
                <w:sz w:val="20"/>
                <w:szCs w:val="20"/>
                <w:lang w:val="hr-HR"/>
              </w:rPr>
              <w:t>11,304</w:t>
            </w:r>
          </w:p>
        </w:tc>
        <w:tc>
          <w:tcPr>
            <w:tcW w:w="722" w:type="pct"/>
            <w:tcBorders>
              <w:top w:val="nil"/>
              <w:left w:val="nil"/>
              <w:bottom w:val="nil"/>
              <w:right w:val="nil"/>
            </w:tcBorders>
            <w:shd w:val="clear" w:color="auto" w:fill="auto"/>
            <w:vAlign w:val="bottom"/>
          </w:tcPr>
          <w:p w14:paraId="5E500D00" w14:textId="77777777" w:rsidR="00587444" w:rsidRPr="00587444" w:rsidRDefault="00587444" w:rsidP="00587444">
            <w:pPr>
              <w:tabs>
                <w:tab w:val="right" w:pos="1202"/>
              </w:tabs>
              <w:suppressAutoHyphens w:val="0"/>
              <w:autoSpaceDN/>
              <w:jc w:val="right"/>
              <w:outlineLvl w:val="0"/>
              <w:rPr>
                <w:rFonts w:ascii="Arial" w:hAnsi="Arial" w:cs="Arial"/>
                <w:color w:val="000000"/>
                <w:spacing w:val="-3"/>
                <w:sz w:val="20"/>
                <w:szCs w:val="20"/>
                <w:lang w:val="hr-HR"/>
              </w:rPr>
            </w:pPr>
            <w:r w:rsidRPr="00587444">
              <w:rPr>
                <w:rFonts w:ascii="Arial" w:hAnsi="Arial" w:cs="Arial"/>
                <w:color w:val="000000"/>
                <w:spacing w:val="-3"/>
                <w:sz w:val="20"/>
                <w:szCs w:val="20"/>
                <w:lang w:val="hr-HR"/>
              </w:rPr>
              <w:t>11,248</w:t>
            </w:r>
          </w:p>
        </w:tc>
        <w:tc>
          <w:tcPr>
            <w:tcW w:w="723" w:type="pct"/>
            <w:tcBorders>
              <w:top w:val="nil"/>
              <w:left w:val="nil"/>
              <w:bottom w:val="nil"/>
              <w:right w:val="nil"/>
            </w:tcBorders>
            <w:shd w:val="clear" w:color="auto" w:fill="auto"/>
            <w:vAlign w:val="bottom"/>
          </w:tcPr>
          <w:p w14:paraId="400F99BC" w14:textId="77777777" w:rsidR="00587444" w:rsidRPr="00587444" w:rsidRDefault="00587444" w:rsidP="00587444">
            <w:pPr>
              <w:tabs>
                <w:tab w:val="right" w:pos="1202"/>
              </w:tabs>
              <w:suppressAutoHyphens w:val="0"/>
              <w:autoSpaceDN/>
              <w:jc w:val="right"/>
              <w:outlineLvl w:val="0"/>
              <w:rPr>
                <w:rFonts w:ascii="Arial" w:hAnsi="Arial" w:cs="Arial"/>
                <w:spacing w:val="-3"/>
                <w:sz w:val="20"/>
                <w:szCs w:val="20"/>
                <w:lang w:val="hr-HR"/>
              </w:rPr>
            </w:pPr>
            <w:r w:rsidRPr="00587444">
              <w:rPr>
                <w:rFonts w:ascii="Arial" w:hAnsi="Arial" w:cs="Arial"/>
                <w:color w:val="000000"/>
                <w:spacing w:val="-3"/>
                <w:sz w:val="20"/>
                <w:szCs w:val="20"/>
                <w:lang w:val="hr-HR"/>
              </w:rPr>
              <w:t>10,990</w:t>
            </w:r>
          </w:p>
        </w:tc>
      </w:tr>
      <w:tr w:rsidR="00587444" w:rsidRPr="00587444" w14:paraId="3DA9C277" w14:textId="77777777" w:rsidTr="00DD69E7">
        <w:trPr>
          <w:trHeight w:val="254"/>
        </w:trPr>
        <w:tc>
          <w:tcPr>
            <w:tcW w:w="2111" w:type="pct"/>
            <w:vAlign w:val="center"/>
          </w:tcPr>
          <w:p w14:paraId="042EA0A1" w14:textId="77777777" w:rsidR="00587444" w:rsidRPr="00587444" w:rsidRDefault="00587444" w:rsidP="00587444">
            <w:pPr>
              <w:tabs>
                <w:tab w:val="right" w:pos="1202"/>
              </w:tabs>
              <w:suppressAutoHyphens w:val="0"/>
              <w:autoSpaceDN/>
              <w:spacing w:line="240" w:lineRule="atLeast"/>
              <w:outlineLvl w:val="0"/>
              <w:rPr>
                <w:rFonts w:ascii="Arial" w:hAnsi="Arial" w:cs="Arial"/>
                <w:bCs/>
                <w:spacing w:val="-2"/>
                <w:sz w:val="20"/>
                <w:szCs w:val="20"/>
                <w:lang w:val="en-GB"/>
              </w:rPr>
            </w:pPr>
          </w:p>
        </w:tc>
        <w:tc>
          <w:tcPr>
            <w:tcW w:w="722" w:type="pct"/>
            <w:tcBorders>
              <w:top w:val="nil"/>
              <w:left w:val="nil"/>
              <w:bottom w:val="nil"/>
              <w:right w:val="nil"/>
            </w:tcBorders>
            <w:shd w:val="clear" w:color="auto" w:fill="auto"/>
            <w:vAlign w:val="bottom"/>
          </w:tcPr>
          <w:p w14:paraId="0BD4E475" w14:textId="77777777" w:rsidR="00587444" w:rsidRPr="00587444" w:rsidRDefault="00587444" w:rsidP="00587444">
            <w:pPr>
              <w:tabs>
                <w:tab w:val="right" w:pos="1202"/>
              </w:tabs>
              <w:suppressAutoHyphens w:val="0"/>
              <w:autoSpaceDN/>
              <w:jc w:val="right"/>
              <w:outlineLvl w:val="0"/>
              <w:rPr>
                <w:rFonts w:ascii="Arial" w:hAnsi="Arial" w:cs="Arial"/>
                <w:color w:val="000000"/>
                <w:spacing w:val="-3"/>
                <w:sz w:val="20"/>
                <w:szCs w:val="20"/>
                <w:lang w:val="hr-HR"/>
              </w:rPr>
            </w:pPr>
          </w:p>
        </w:tc>
        <w:tc>
          <w:tcPr>
            <w:tcW w:w="722" w:type="pct"/>
            <w:tcBorders>
              <w:top w:val="nil"/>
              <w:left w:val="nil"/>
              <w:bottom w:val="nil"/>
              <w:right w:val="nil"/>
            </w:tcBorders>
            <w:shd w:val="clear" w:color="auto" w:fill="auto"/>
            <w:vAlign w:val="bottom"/>
          </w:tcPr>
          <w:p w14:paraId="014D172D"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en-GB"/>
              </w:rPr>
            </w:pPr>
          </w:p>
        </w:tc>
        <w:tc>
          <w:tcPr>
            <w:tcW w:w="722" w:type="pct"/>
            <w:tcBorders>
              <w:top w:val="nil"/>
              <w:left w:val="nil"/>
              <w:bottom w:val="nil"/>
              <w:right w:val="nil"/>
            </w:tcBorders>
            <w:shd w:val="clear" w:color="auto" w:fill="auto"/>
            <w:vAlign w:val="bottom"/>
          </w:tcPr>
          <w:p w14:paraId="057ED572" w14:textId="77777777" w:rsidR="00587444" w:rsidRPr="00587444" w:rsidRDefault="00587444" w:rsidP="00587444">
            <w:pPr>
              <w:tabs>
                <w:tab w:val="right" w:pos="1202"/>
              </w:tabs>
              <w:suppressAutoHyphens w:val="0"/>
              <w:autoSpaceDN/>
              <w:jc w:val="right"/>
              <w:outlineLvl w:val="0"/>
              <w:rPr>
                <w:rFonts w:ascii="Arial" w:hAnsi="Arial" w:cs="Arial"/>
                <w:color w:val="000000"/>
                <w:spacing w:val="-3"/>
                <w:sz w:val="20"/>
                <w:szCs w:val="20"/>
                <w:lang w:val="hr-HR"/>
              </w:rPr>
            </w:pPr>
          </w:p>
        </w:tc>
        <w:tc>
          <w:tcPr>
            <w:tcW w:w="723" w:type="pct"/>
            <w:tcBorders>
              <w:top w:val="nil"/>
              <w:left w:val="nil"/>
              <w:bottom w:val="nil"/>
              <w:right w:val="nil"/>
            </w:tcBorders>
            <w:shd w:val="clear" w:color="auto" w:fill="auto"/>
            <w:vAlign w:val="bottom"/>
          </w:tcPr>
          <w:p w14:paraId="6DCF1D73"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lang w:val="en-GB"/>
              </w:rPr>
            </w:pPr>
          </w:p>
        </w:tc>
      </w:tr>
      <w:tr w:rsidR="00587444" w:rsidRPr="00587444" w14:paraId="4DD8225F" w14:textId="77777777" w:rsidTr="00DD69E7">
        <w:trPr>
          <w:trHeight w:val="271"/>
        </w:trPr>
        <w:tc>
          <w:tcPr>
            <w:tcW w:w="2111" w:type="pct"/>
            <w:vAlign w:val="center"/>
          </w:tcPr>
          <w:p w14:paraId="34962938" w14:textId="77777777" w:rsidR="00587444" w:rsidRPr="00587444" w:rsidRDefault="00587444" w:rsidP="00587444">
            <w:pPr>
              <w:tabs>
                <w:tab w:val="right" w:pos="1202"/>
              </w:tabs>
              <w:suppressAutoHyphens w:val="0"/>
              <w:autoSpaceDN/>
              <w:spacing w:line="240" w:lineRule="atLeast"/>
              <w:outlineLvl w:val="0"/>
              <w:rPr>
                <w:rFonts w:ascii="Arial" w:hAnsi="Arial" w:cs="Arial"/>
                <w:sz w:val="20"/>
                <w:szCs w:val="20"/>
                <w:lang w:val="en-GB"/>
              </w:rPr>
            </w:pPr>
            <w:bookmarkStart w:id="520" w:name="_Toc4058009"/>
            <w:r w:rsidRPr="00587444">
              <w:rPr>
                <w:rFonts w:ascii="Arial" w:hAnsi="Arial" w:cs="Arial"/>
                <w:bCs/>
                <w:spacing w:val="-2"/>
                <w:sz w:val="20"/>
                <w:szCs w:val="20"/>
                <w:lang w:val="en-GB"/>
              </w:rPr>
              <w:t>9 c) Other expenses</w:t>
            </w:r>
            <w:bookmarkEnd w:id="520"/>
          </w:p>
        </w:tc>
        <w:tc>
          <w:tcPr>
            <w:tcW w:w="722" w:type="pct"/>
            <w:tcBorders>
              <w:top w:val="nil"/>
              <w:left w:val="nil"/>
              <w:bottom w:val="nil"/>
              <w:right w:val="nil"/>
            </w:tcBorders>
            <w:shd w:val="clear" w:color="auto" w:fill="auto"/>
            <w:vAlign w:val="bottom"/>
          </w:tcPr>
          <w:p w14:paraId="7FB828F3" w14:textId="77777777" w:rsidR="00587444" w:rsidRPr="00587444" w:rsidRDefault="00587444" w:rsidP="00587444">
            <w:pPr>
              <w:tabs>
                <w:tab w:val="right" w:pos="1202"/>
              </w:tabs>
              <w:suppressAutoHyphens w:val="0"/>
              <w:autoSpaceDN/>
              <w:jc w:val="right"/>
              <w:outlineLvl w:val="0"/>
              <w:rPr>
                <w:rFonts w:ascii="Arial" w:hAnsi="Arial" w:cs="Arial"/>
                <w:color w:val="000000"/>
                <w:spacing w:val="-3"/>
                <w:sz w:val="20"/>
                <w:szCs w:val="20"/>
                <w:lang w:val="hr-HR"/>
              </w:rPr>
            </w:pPr>
            <w:r w:rsidRPr="00587444">
              <w:rPr>
                <w:rFonts w:ascii="Arial" w:hAnsi="Arial" w:cs="Arial"/>
                <w:color w:val="000000"/>
                <w:spacing w:val="-3"/>
                <w:sz w:val="20"/>
                <w:szCs w:val="20"/>
                <w:lang w:val="hr-HR"/>
              </w:rPr>
              <w:t xml:space="preserve"> 84,779 </w:t>
            </w:r>
          </w:p>
        </w:tc>
        <w:tc>
          <w:tcPr>
            <w:tcW w:w="722" w:type="pct"/>
            <w:tcBorders>
              <w:top w:val="nil"/>
              <w:left w:val="nil"/>
              <w:bottom w:val="nil"/>
              <w:right w:val="nil"/>
            </w:tcBorders>
            <w:shd w:val="clear" w:color="auto" w:fill="auto"/>
            <w:vAlign w:val="bottom"/>
          </w:tcPr>
          <w:p w14:paraId="5707E9C9" w14:textId="77777777" w:rsidR="00587444" w:rsidRPr="00587444" w:rsidRDefault="00587444" w:rsidP="00587444">
            <w:pPr>
              <w:tabs>
                <w:tab w:val="right" w:pos="1202"/>
              </w:tabs>
              <w:suppressAutoHyphens w:val="0"/>
              <w:autoSpaceDN/>
              <w:jc w:val="right"/>
              <w:outlineLvl w:val="0"/>
              <w:rPr>
                <w:rFonts w:ascii="Arial" w:hAnsi="Arial" w:cs="Arial"/>
                <w:spacing w:val="-3"/>
                <w:sz w:val="20"/>
                <w:szCs w:val="20"/>
                <w:lang w:val="hr-HR"/>
              </w:rPr>
            </w:pPr>
            <w:r w:rsidRPr="00587444">
              <w:rPr>
                <w:rFonts w:ascii="Arial" w:hAnsi="Arial" w:cs="Arial"/>
                <w:color w:val="000000"/>
                <w:sz w:val="20"/>
                <w:szCs w:val="20"/>
                <w:lang w:val="hr-HR"/>
              </w:rPr>
              <w:t>76,903</w:t>
            </w:r>
          </w:p>
        </w:tc>
        <w:tc>
          <w:tcPr>
            <w:tcW w:w="722" w:type="pct"/>
            <w:tcBorders>
              <w:top w:val="nil"/>
              <w:left w:val="nil"/>
              <w:bottom w:val="nil"/>
              <w:right w:val="nil"/>
            </w:tcBorders>
            <w:shd w:val="clear" w:color="auto" w:fill="auto"/>
            <w:vAlign w:val="bottom"/>
          </w:tcPr>
          <w:p w14:paraId="65A0B96E" w14:textId="77777777" w:rsidR="00587444" w:rsidRPr="00587444" w:rsidRDefault="00587444" w:rsidP="00587444">
            <w:pPr>
              <w:tabs>
                <w:tab w:val="right" w:pos="1202"/>
              </w:tabs>
              <w:suppressAutoHyphens w:val="0"/>
              <w:autoSpaceDN/>
              <w:jc w:val="right"/>
              <w:outlineLvl w:val="0"/>
              <w:rPr>
                <w:rFonts w:ascii="Arial" w:hAnsi="Arial" w:cs="Arial"/>
                <w:color w:val="000000"/>
                <w:spacing w:val="-3"/>
                <w:sz w:val="20"/>
                <w:szCs w:val="20"/>
                <w:lang w:val="hr-HR"/>
              </w:rPr>
            </w:pPr>
            <w:r w:rsidRPr="00587444">
              <w:rPr>
                <w:rFonts w:ascii="Arial" w:hAnsi="Arial" w:cs="Arial"/>
                <w:color w:val="000000"/>
                <w:spacing w:val="-3"/>
                <w:sz w:val="20"/>
                <w:szCs w:val="20"/>
                <w:lang w:val="hr-HR"/>
              </w:rPr>
              <w:t>77,646</w:t>
            </w:r>
          </w:p>
        </w:tc>
        <w:tc>
          <w:tcPr>
            <w:tcW w:w="723" w:type="pct"/>
            <w:tcBorders>
              <w:top w:val="nil"/>
              <w:left w:val="nil"/>
              <w:bottom w:val="nil"/>
              <w:right w:val="nil"/>
            </w:tcBorders>
            <w:shd w:val="clear" w:color="auto" w:fill="auto"/>
            <w:vAlign w:val="bottom"/>
          </w:tcPr>
          <w:p w14:paraId="61F6A300" w14:textId="77777777" w:rsidR="00587444" w:rsidRPr="00587444" w:rsidRDefault="00587444" w:rsidP="00587444">
            <w:pPr>
              <w:tabs>
                <w:tab w:val="right" w:pos="1202"/>
              </w:tabs>
              <w:suppressAutoHyphens w:val="0"/>
              <w:autoSpaceDN/>
              <w:jc w:val="right"/>
              <w:outlineLvl w:val="0"/>
              <w:rPr>
                <w:rFonts w:ascii="Arial" w:hAnsi="Arial" w:cs="Arial"/>
                <w:spacing w:val="-3"/>
                <w:sz w:val="20"/>
                <w:szCs w:val="20"/>
                <w:lang w:val="hr-HR"/>
              </w:rPr>
            </w:pPr>
            <w:r w:rsidRPr="00587444">
              <w:rPr>
                <w:rFonts w:ascii="Arial" w:hAnsi="Arial" w:cs="Arial"/>
                <w:color w:val="000000"/>
                <w:sz w:val="20"/>
                <w:szCs w:val="20"/>
                <w:lang w:val="hr-HR"/>
              </w:rPr>
              <w:t>70,845</w:t>
            </w:r>
          </w:p>
        </w:tc>
      </w:tr>
      <w:tr w:rsidR="00587444" w:rsidRPr="00587444" w14:paraId="6B925196" w14:textId="77777777" w:rsidTr="00DD69E7">
        <w:trPr>
          <w:trHeight w:val="134"/>
        </w:trPr>
        <w:tc>
          <w:tcPr>
            <w:tcW w:w="2111" w:type="pct"/>
            <w:vAlign w:val="center"/>
          </w:tcPr>
          <w:p w14:paraId="77AB7B83" w14:textId="77777777" w:rsidR="00587444" w:rsidRPr="00587444" w:rsidRDefault="00587444" w:rsidP="00587444">
            <w:pPr>
              <w:tabs>
                <w:tab w:val="right" w:pos="1202"/>
              </w:tabs>
              <w:suppressAutoHyphens w:val="0"/>
              <w:autoSpaceDN/>
              <w:outlineLvl w:val="0"/>
              <w:rPr>
                <w:rFonts w:ascii="Arial" w:hAnsi="Arial" w:cs="Arial"/>
                <w:bCs/>
                <w:i/>
                <w:spacing w:val="-2"/>
                <w:sz w:val="20"/>
                <w:szCs w:val="20"/>
                <w:lang w:val="en-GB"/>
              </w:rPr>
            </w:pPr>
          </w:p>
        </w:tc>
        <w:tc>
          <w:tcPr>
            <w:tcW w:w="722" w:type="pct"/>
            <w:tcBorders>
              <w:top w:val="nil"/>
              <w:left w:val="nil"/>
              <w:bottom w:val="nil"/>
              <w:right w:val="nil"/>
            </w:tcBorders>
            <w:shd w:val="clear" w:color="auto" w:fill="auto"/>
            <w:vAlign w:val="bottom"/>
          </w:tcPr>
          <w:p w14:paraId="08AE4B1A" w14:textId="77777777" w:rsidR="00587444" w:rsidRPr="00587444" w:rsidRDefault="00587444" w:rsidP="00587444">
            <w:pPr>
              <w:tabs>
                <w:tab w:val="right" w:pos="1202"/>
              </w:tabs>
              <w:suppressAutoHyphens w:val="0"/>
              <w:autoSpaceDN/>
              <w:jc w:val="right"/>
              <w:outlineLvl w:val="0"/>
              <w:rPr>
                <w:rFonts w:ascii="Arial" w:hAnsi="Arial" w:cs="Arial"/>
                <w:color w:val="000000"/>
                <w:spacing w:val="-3"/>
                <w:sz w:val="20"/>
                <w:szCs w:val="20"/>
                <w:lang w:val="hr-HR"/>
              </w:rPr>
            </w:pPr>
          </w:p>
        </w:tc>
        <w:tc>
          <w:tcPr>
            <w:tcW w:w="722" w:type="pct"/>
            <w:tcBorders>
              <w:top w:val="nil"/>
              <w:left w:val="nil"/>
              <w:bottom w:val="nil"/>
              <w:right w:val="nil"/>
            </w:tcBorders>
            <w:shd w:val="clear" w:color="auto" w:fill="auto"/>
            <w:vAlign w:val="bottom"/>
          </w:tcPr>
          <w:p w14:paraId="2183D753" w14:textId="77777777" w:rsidR="00587444" w:rsidRPr="00587444" w:rsidRDefault="00587444" w:rsidP="00587444">
            <w:pPr>
              <w:tabs>
                <w:tab w:val="right" w:pos="1202"/>
              </w:tabs>
              <w:suppressAutoHyphens w:val="0"/>
              <w:autoSpaceDN/>
              <w:jc w:val="right"/>
              <w:outlineLvl w:val="0"/>
              <w:rPr>
                <w:rFonts w:ascii="Arial" w:hAnsi="Arial" w:cs="Arial"/>
                <w:bCs/>
                <w:i/>
                <w:spacing w:val="-2"/>
                <w:sz w:val="20"/>
                <w:szCs w:val="20"/>
                <w:lang w:val="en-GB"/>
              </w:rPr>
            </w:pPr>
          </w:p>
        </w:tc>
        <w:tc>
          <w:tcPr>
            <w:tcW w:w="722" w:type="pct"/>
            <w:tcBorders>
              <w:top w:val="nil"/>
              <w:left w:val="nil"/>
              <w:bottom w:val="nil"/>
              <w:right w:val="nil"/>
            </w:tcBorders>
            <w:shd w:val="clear" w:color="auto" w:fill="auto"/>
            <w:vAlign w:val="bottom"/>
          </w:tcPr>
          <w:p w14:paraId="59E84B71" w14:textId="77777777" w:rsidR="00587444" w:rsidRPr="00587444" w:rsidRDefault="00587444" w:rsidP="00587444">
            <w:pPr>
              <w:tabs>
                <w:tab w:val="right" w:pos="1202"/>
              </w:tabs>
              <w:suppressAutoHyphens w:val="0"/>
              <w:autoSpaceDN/>
              <w:jc w:val="right"/>
              <w:outlineLvl w:val="0"/>
              <w:rPr>
                <w:rFonts w:ascii="Arial" w:hAnsi="Arial" w:cs="Arial"/>
                <w:color w:val="000000"/>
                <w:spacing w:val="-3"/>
                <w:sz w:val="20"/>
                <w:szCs w:val="20"/>
                <w:lang w:val="hr-HR"/>
              </w:rPr>
            </w:pPr>
          </w:p>
        </w:tc>
        <w:tc>
          <w:tcPr>
            <w:tcW w:w="723" w:type="pct"/>
            <w:tcBorders>
              <w:top w:val="nil"/>
              <w:left w:val="nil"/>
              <w:bottom w:val="nil"/>
              <w:right w:val="nil"/>
            </w:tcBorders>
            <w:shd w:val="clear" w:color="auto" w:fill="auto"/>
            <w:vAlign w:val="bottom"/>
          </w:tcPr>
          <w:p w14:paraId="3FA3020C" w14:textId="77777777" w:rsidR="00587444" w:rsidRPr="00587444" w:rsidRDefault="00587444" w:rsidP="00587444">
            <w:pPr>
              <w:tabs>
                <w:tab w:val="right" w:pos="1202"/>
              </w:tabs>
              <w:suppressAutoHyphens w:val="0"/>
              <w:autoSpaceDN/>
              <w:jc w:val="right"/>
              <w:outlineLvl w:val="0"/>
              <w:rPr>
                <w:rFonts w:ascii="Arial" w:hAnsi="Arial" w:cs="Arial"/>
                <w:bCs/>
                <w:i/>
                <w:spacing w:val="-2"/>
                <w:sz w:val="20"/>
                <w:szCs w:val="20"/>
                <w:lang w:val="en-GB"/>
              </w:rPr>
            </w:pPr>
          </w:p>
        </w:tc>
      </w:tr>
      <w:tr w:rsidR="00587444" w:rsidRPr="00587444" w14:paraId="7F9C3658" w14:textId="77777777" w:rsidTr="00DD69E7">
        <w:trPr>
          <w:trHeight w:val="333"/>
        </w:trPr>
        <w:tc>
          <w:tcPr>
            <w:tcW w:w="2111" w:type="pct"/>
            <w:vAlign w:val="center"/>
          </w:tcPr>
          <w:p w14:paraId="6750CF6A" w14:textId="77777777" w:rsidR="00587444" w:rsidRPr="00587444" w:rsidRDefault="00587444" w:rsidP="00587444">
            <w:pPr>
              <w:tabs>
                <w:tab w:val="right" w:pos="1202"/>
              </w:tabs>
              <w:suppressAutoHyphens w:val="0"/>
              <w:autoSpaceDN/>
              <w:outlineLvl w:val="0"/>
              <w:rPr>
                <w:rFonts w:ascii="Arial" w:hAnsi="Arial" w:cs="Arial"/>
                <w:i/>
                <w:sz w:val="20"/>
                <w:szCs w:val="20"/>
                <w:lang w:val="en-GB"/>
              </w:rPr>
            </w:pPr>
            <w:bookmarkStart w:id="521" w:name="_Toc4058014"/>
            <w:bookmarkStart w:id="522" w:name="_Hlk3202564"/>
            <w:r w:rsidRPr="00587444">
              <w:rPr>
                <w:rFonts w:ascii="Arial" w:hAnsi="Arial" w:cs="Arial"/>
                <w:i/>
                <w:sz w:val="20"/>
                <w:szCs w:val="20"/>
                <w:lang w:val="en-GB"/>
              </w:rPr>
              <w:t>From what:</w:t>
            </w:r>
            <w:bookmarkEnd w:id="521"/>
          </w:p>
        </w:tc>
        <w:tc>
          <w:tcPr>
            <w:tcW w:w="722" w:type="pct"/>
            <w:tcBorders>
              <w:top w:val="nil"/>
              <w:left w:val="nil"/>
              <w:bottom w:val="nil"/>
              <w:right w:val="nil"/>
            </w:tcBorders>
            <w:shd w:val="clear" w:color="auto" w:fill="auto"/>
            <w:vAlign w:val="bottom"/>
          </w:tcPr>
          <w:p w14:paraId="22321351" w14:textId="77777777" w:rsidR="00587444" w:rsidRPr="00587444" w:rsidRDefault="00587444" w:rsidP="00587444">
            <w:pPr>
              <w:tabs>
                <w:tab w:val="right" w:pos="1202"/>
              </w:tabs>
              <w:suppressAutoHyphens w:val="0"/>
              <w:autoSpaceDN/>
              <w:jc w:val="right"/>
              <w:outlineLvl w:val="0"/>
              <w:rPr>
                <w:rFonts w:ascii="Arial" w:hAnsi="Arial" w:cs="Arial"/>
                <w:color w:val="000000"/>
                <w:spacing w:val="-3"/>
                <w:sz w:val="20"/>
                <w:szCs w:val="20"/>
                <w:lang w:val="hr-HR"/>
              </w:rPr>
            </w:pPr>
          </w:p>
        </w:tc>
        <w:tc>
          <w:tcPr>
            <w:tcW w:w="722" w:type="pct"/>
            <w:tcBorders>
              <w:top w:val="nil"/>
              <w:left w:val="nil"/>
              <w:bottom w:val="nil"/>
              <w:right w:val="nil"/>
            </w:tcBorders>
            <w:shd w:val="clear" w:color="auto" w:fill="auto"/>
            <w:vAlign w:val="bottom"/>
          </w:tcPr>
          <w:p w14:paraId="761BBCED" w14:textId="77777777" w:rsidR="00587444" w:rsidRPr="00587444" w:rsidRDefault="00587444" w:rsidP="00587444">
            <w:pPr>
              <w:tabs>
                <w:tab w:val="right" w:pos="1202"/>
              </w:tabs>
              <w:suppressAutoHyphens w:val="0"/>
              <w:autoSpaceDN/>
              <w:jc w:val="right"/>
              <w:outlineLvl w:val="0"/>
              <w:rPr>
                <w:rFonts w:ascii="Arial" w:hAnsi="Arial" w:cs="Arial"/>
                <w:spacing w:val="-3"/>
                <w:sz w:val="20"/>
                <w:szCs w:val="20"/>
                <w:lang w:val="hr-HR"/>
              </w:rPr>
            </w:pPr>
          </w:p>
        </w:tc>
        <w:tc>
          <w:tcPr>
            <w:tcW w:w="722" w:type="pct"/>
            <w:vAlign w:val="bottom"/>
          </w:tcPr>
          <w:p w14:paraId="212BBA46" w14:textId="77777777" w:rsidR="00587444" w:rsidRPr="00587444" w:rsidRDefault="00587444" w:rsidP="00587444">
            <w:pPr>
              <w:tabs>
                <w:tab w:val="right" w:pos="1202"/>
              </w:tabs>
              <w:suppressAutoHyphens w:val="0"/>
              <w:autoSpaceDN/>
              <w:jc w:val="right"/>
              <w:outlineLvl w:val="0"/>
              <w:rPr>
                <w:rFonts w:ascii="Arial" w:hAnsi="Arial" w:cs="Arial"/>
                <w:color w:val="000000"/>
                <w:spacing w:val="-3"/>
                <w:sz w:val="20"/>
                <w:szCs w:val="20"/>
                <w:lang w:val="hr-HR"/>
              </w:rPr>
            </w:pPr>
          </w:p>
        </w:tc>
        <w:tc>
          <w:tcPr>
            <w:tcW w:w="723" w:type="pct"/>
            <w:tcBorders>
              <w:top w:val="nil"/>
              <w:left w:val="nil"/>
              <w:bottom w:val="nil"/>
              <w:right w:val="nil"/>
            </w:tcBorders>
            <w:shd w:val="clear" w:color="auto" w:fill="auto"/>
            <w:vAlign w:val="bottom"/>
          </w:tcPr>
          <w:p w14:paraId="2595D1BE" w14:textId="77777777" w:rsidR="00587444" w:rsidRPr="00587444" w:rsidRDefault="00587444" w:rsidP="00587444">
            <w:pPr>
              <w:tabs>
                <w:tab w:val="right" w:pos="1202"/>
              </w:tabs>
              <w:suppressAutoHyphens w:val="0"/>
              <w:autoSpaceDN/>
              <w:jc w:val="right"/>
              <w:outlineLvl w:val="0"/>
              <w:rPr>
                <w:rFonts w:ascii="Arial" w:hAnsi="Arial" w:cs="Arial"/>
                <w:spacing w:val="-3"/>
                <w:sz w:val="20"/>
                <w:szCs w:val="20"/>
                <w:lang w:val="hr-HR"/>
              </w:rPr>
            </w:pPr>
          </w:p>
        </w:tc>
      </w:tr>
      <w:tr w:rsidR="00587444" w:rsidRPr="00587444" w14:paraId="571F5894" w14:textId="77777777" w:rsidTr="00DD69E7">
        <w:trPr>
          <w:trHeight w:val="285"/>
        </w:trPr>
        <w:tc>
          <w:tcPr>
            <w:tcW w:w="2111" w:type="pct"/>
            <w:vAlign w:val="center"/>
          </w:tcPr>
          <w:p w14:paraId="26DDC362" w14:textId="77777777" w:rsidR="00587444" w:rsidRPr="00587444" w:rsidRDefault="00587444" w:rsidP="00587444">
            <w:pPr>
              <w:tabs>
                <w:tab w:val="right" w:pos="1202"/>
              </w:tabs>
              <w:suppressAutoHyphens w:val="0"/>
              <w:autoSpaceDN/>
              <w:outlineLvl w:val="0"/>
              <w:rPr>
                <w:rFonts w:ascii="Arial" w:hAnsi="Arial" w:cs="Arial"/>
                <w:bCs/>
                <w:i/>
                <w:spacing w:val="-2"/>
                <w:sz w:val="20"/>
                <w:szCs w:val="20"/>
                <w:lang w:val="en-GB"/>
              </w:rPr>
            </w:pPr>
            <w:bookmarkStart w:id="523" w:name="_Toc4058015"/>
            <w:bookmarkEnd w:id="522"/>
            <w:r w:rsidRPr="00587444">
              <w:rPr>
                <w:rFonts w:ascii="Arial" w:hAnsi="Arial" w:cs="Arial"/>
                <w:bCs/>
                <w:i/>
                <w:spacing w:val="-2"/>
                <w:sz w:val="20"/>
                <w:szCs w:val="20"/>
                <w:lang w:val="en-GB"/>
              </w:rPr>
              <w:t>Administration expenses</w:t>
            </w:r>
            <w:bookmarkEnd w:id="523"/>
          </w:p>
        </w:tc>
        <w:tc>
          <w:tcPr>
            <w:tcW w:w="722" w:type="pct"/>
            <w:tcBorders>
              <w:top w:val="nil"/>
              <w:left w:val="nil"/>
              <w:bottom w:val="nil"/>
              <w:right w:val="nil"/>
            </w:tcBorders>
            <w:shd w:val="clear" w:color="auto" w:fill="auto"/>
            <w:vAlign w:val="bottom"/>
          </w:tcPr>
          <w:p w14:paraId="249D525B" w14:textId="77777777" w:rsidR="00587444" w:rsidRPr="00587444" w:rsidRDefault="00587444" w:rsidP="00587444">
            <w:pPr>
              <w:tabs>
                <w:tab w:val="right" w:pos="1202"/>
              </w:tabs>
              <w:suppressAutoHyphens w:val="0"/>
              <w:autoSpaceDN/>
              <w:jc w:val="right"/>
              <w:outlineLvl w:val="0"/>
              <w:rPr>
                <w:rFonts w:ascii="Arial" w:hAnsi="Arial" w:cs="Arial"/>
                <w:i/>
                <w:iCs/>
                <w:color w:val="000000"/>
                <w:spacing w:val="-3"/>
                <w:sz w:val="20"/>
                <w:szCs w:val="20"/>
                <w:lang w:val="hr-HR"/>
              </w:rPr>
            </w:pPr>
            <w:r w:rsidRPr="00587444">
              <w:rPr>
                <w:rFonts w:ascii="Arial" w:hAnsi="Arial" w:cs="Arial"/>
                <w:i/>
                <w:iCs/>
                <w:color w:val="000000"/>
                <w:spacing w:val="-3"/>
                <w:sz w:val="20"/>
                <w:szCs w:val="20"/>
                <w:lang w:val="hr-HR"/>
              </w:rPr>
              <w:t xml:space="preserve"> 16,541 </w:t>
            </w:r>
          </w:p>
        </w:tc>
        <w:tc>
          <w:tcPr>
            <w:tcW w:w="722" w:type="pct"/>
            <w:tcBorders>
              <w:top w:val="nil"/>
              <w:left w:val="nil"/>
              <w:bottom w:val="nil"/>
              <w:right w:val="nil"/>
            </w:tcBorders>
            <w:shd w:val="clear" w:color="auto" w:fill="auto"/>
            <w:vAlign w:val="bottom"/>
          </w:tcPr>
          <w:p w14:paraId="426D3909" w14:textId="77777777" w:rsidR="00587444" w:rsidRPr="00587444" w:rsidRDefault="00587444" w:rsidP="00587444">
            <w:pPr>
              <w:tabs>
                <w:tab w:val="right" w:pos="1202"/>
              </w:tabs>
              <w:suppressAutoHyphens w:val="0"/>
              <w:autoSpaceDN/>
              <w:jc w:val="right"/>
              <w:outlineLvl w:val="0"/>
              <w:rPr>
                <w:rFonts w:ascii="Arial" w:hAnsi="Arial" w:cs="Arial"/>
                <w:i/>
                <w:color w:val="000000"/>
                <w:sz w:val="20"/>
                <w:szCs w:val="20"/>
                <w:lang w:val="hr-HR"/>
              </w:rPr>
            </w:pPr>
            <w:r w:rsidRPr="00587444">
              <w:rPr>
                <w:rFonts w:ascii="Arial" w:hAnsi="Arial" w:cs="Arial"/>
                <w:i/>
                <w:color w:val="000000"/>
                <w:sz w:val="20"/>
                <w:szCs w:val="20"/>
                <w:lang w:val="hr-HR"/>
              </w:rPr>
              <w:t>20,883</w:t>
            </w:r>
          </w:p>
        </w:tc>
        <w:tc>
          <w:tcPr>
            <w:tcW w:w="722" w:type="pct"/>
            <w:tcBorders>
              <w:top w:val="nil"/>
              <w:left w:val="nil"/>
              <w:bottom w:val="nil"/>
              <w:right w:val="nil"/>
            </w:tcBorders>
            <w:shd w:val="clear" w:color="auto" w:fill="auto"/>
            <w:vAlign w:val="bottom"/>
          </w:tcPr>
          <w:p w14:paraId="7331EF26" w14:textId="77777777" w:rsidR="00587444" w:rsidRPr="00587444" w:rsidRDefault="00587444" w:rsidP="00587444">
            <w:pPr>
              <w:tabs>
                <w:tab w:val="right" w:pos="1202"/>
              </w:tabs>
              <w:suppressAutoHyphens w:val="0"/>
              <w:autoSpaceDN/>
              <w:jc w:val="right"/>
              <w:outlineLvl w:val="0"/>
              <w:rPr>
                <w:rFonts w:ascii="Arial" w:hAnsi="Arial" w:cs="Arial"/>
                <w:i/>
                <w:iCs/>
                <w:color w:val="000000"/>
                <w:spacing w:val="-3"/>
                <w:sz w:val="20"/>
                <w:szCs w:val="20"/>
                <w:lang w:val="hr-HR"/>
              </w:rPr>
            </w:pPr>
            <w:r w:rsidRPr="00587444">
              <w:rPr>
                <w:rFonts w:ascii="Arial" w:hAnsi="Arial" w:cs="Arial"/>
                <w:i/>
                <w:iCs/>
                <w:color w:val="000000"/>
                <w:spacing w:val="-3"/>
                <w:sz w:val="20"/>
                <w:szCs w:val="20"/>
                <w:lang w:val="hr-HR"/>
              </w:rPr>
              <w:t xml:space="preserve"> 15,828 </w:t>
            </w:r>
          </w:p>
        </w:tc>
        <w:tc>
          <w:tcPr>
            <w:tcW w:w="723" w:type="pct"/>
            <w:tcBorders>
              <w:top w:val="nil"/>
              <w:left w:val="nil"/>
              <w:bottom w:val="nil"/>
              <w:right w:val="nil"/>
            </w:tcBorders>
            <w:shd w:val="clear" w:color="auto" w:fill="auto"/>
            <w:vAlign w:val="bottom"/>
          </w:tcPr>
          <w:p w14:paraId="5DB07FB0" w14:textId="77777777" w:rsidR="00587444" w:rsidRPr="00587444" w:rsidRDefault="00587444" w:rsidP="00587444">
            <w:pPr>
              <w:tabs>
                <w:tab w:val="right" w:pos="1202"/>
              </w:tabs>
              <w:suppressAutoHyphens w:val="0"/>
              <w:autoSpaceDN/>
              <w:jc w:val="right"/>
              <w:outlineLvl w:val="0"/>
              <w:rPr>
                <w:rFonts w:ascii="Arial" w:hAnsi="Arial" w:cs="Arial"/>
                <w:i/>
                <w:color w:val="000000"/>
                <w:sz w:val="20"/>
                <w:szCs w:val="20"/>
                <w:lang w:val="hr-HR"/>
              </w:rPr>
            </w:pPr>
            <w:r w:rsidRPr="00587444">
              <w:rPr>
                <w:rFonts w:ascii="Arial" w:hAnsi="Arial" w:cs="Arial"/>
                <w:i/>
                <w:color w:val="000000"/>
                <w:sz w:val="20"/>
                <w:szCs w:val="20"/>
                <w:lang w:val="hr-HR"/>
              </w:rPr>
              <w:t>20,354</w:t>
            </w:r>
          </w:p>
        </w:tc>
      </w:tr>
      <w:tr w:rsidR="00587444" w:rsidRPr="00587444" w14:paraId="041DBF09" w14:textId="77777777" w:rsidTr="00DD69E7">
        <w:trPr>
          <w:trHeight w:val="285"/>
        </w:trPr>
        <w:tc>
          <w:tcPr>
            <w:tcW w:w="2111" w:type="pct"/>
            <w:vAlign w:val="center"/>
          </w:tcPr>
          <w:p w14:paraId="68961734" w14:textId="77777777" w:rsidR="00587444" w:rsidRPr="00587444" w:rsidRDefault="00587444" w:rsidP="00587444">
            <w:pPr>
              <w:tabs>
                <w:tab w:val="right" w:pos="1202"/>
              </w:tabs>
              <w:suppressAutoHyphens w:val="0"/>
              <w:autoSpaceDN/>
              <w:outlineLvl w:val="0"/>
              <w:rPr>
                <w:rFonts w:ascii="Arial" w:hAnsi="Arial" w:cs="Arial"/>
                <w:bCs/>
                <w:i/>
                <w:spacing w:val="-2"/>
                <w:sz w:val="20"/>
                <w:szCs w:val="20"/>
                <w:lang w:val="en-GB"/>
              </w:rPr>
            </w:pPr>
            <w:bookmarkStart w:id="524" w:name="_Toc4058020"/>
            <w:r w:rsidRPr="00587444">
              <w:rPr>
                <w:rFonts w:ascii="Arial" w:hAnsi="Arial" w:cs="Arial"/>
                <w:bCs/>
                <w:i/>
                <w:spacing w:val="-2"/>
                <w:sz w:val="20"/>
                <w:szCs w:val="20"/>
                <w:lang w:val="en-GB"/>
              </w:rPr>
              <w:t>Material and services</w:t>
            </w:r>
            <w:bookmarkEnd w:id="524"/>
          </w:p>
        </w:tc>
        <w:tc>
          <w:tcPr>
            <w:tcW w:w="722" w:type="pct"/>
            <w:tcBorders>
              <w:top w:val="nil"/>
              <w:left w:val="nil"/>
              <w:bottom w:val="nil"/>
              <w:right w:val="nil"/>
            </w:tcBorders>
            <w:shd w:val="clear" w:color="auto" w:fill="auto"/>
            <w:vAlign w:val="bottom"/>
          </w:tcPr>
          <w:p w14:paraId="6105263E" w14:textId="77777777" w:rsidR="00587444" w:rsidRPr="00587444" w:rsidRDefault="00587444" w:rsidP="00587444">
            <w:pPr>
              <w:tabs>
                <w:tab w:val="right" w:pos="1202"/>
              </w:tabs>
              <w:suppressAutoHyphens w:val="0"/>
              <w:autoSpaceDN/>
              <w:jc w:val="right"/>
              <w:outlineLvl w:val="0"/>
              <w:rPr>
                <w:rFonts w:ascii="Arial" w:hAnsi="Arial" w:cs="Arial"/>
                <w:i/>
                <w:iCs/>
                <w:color w:val="000000"/>
                <w:spacing w:val="-3"/>
                <w:sz w:val="20"/>
                <w:szCs w:val="20"/>
                <w:lang w:val="hr-HR"/>
              </w:rPr>
            </w:pPr>
            <w:r w:rsidRPr="00587444">
              <w:rPr>
                <w:rFonts w:ascii="Arial" w:hAnsi="Arial" w:cs="Arial"/>
                <w:i/>
                <w:iCs/>
                <w:color w:val="000000"/>
                <w:spacing w:val="-3"/>
                <w:sz w:val="20"/>
                <w:szCs w:val="20"/>
                <w:lang w:val="hr-HR"/>
              </w:rPr>
              <w:t xml:space="preserve"> 34,440 </w:t>
            </w:r>
          </w:p>
        </w:tc>
        <w:tc>
          <w:tcPr>
            <w:tcW w:w="722" w:type="pct"/>
            <w:tcBorders>
              <w:top w:val="nil"/>
              <w:left w:val="nil"/>
              <w:bottom w:val="nil"/>
              <w:right w:val="nil"/>
            </w:tcBorders>
            <w:shd w:val="clear" w:color="auto" w:fill="auto"/>
            <w:vAlign w:val="bottom"/>
          </w:tcPr>
          <w:p w14:paraId="1D98F822" w14:textId="77777777" w:rsidR="00587444" w:rsidRPr="00587444" w:rsidRDefault="00587444" w:rsidP="00587444">
            <w:pPr>
              <w:tabs>
                <w:tab w:val="right" w:pos="1202"/>
              </w:tabs>
              <w:suppressAutoHyphens w:val="0"/>
              <w:autoSpaceDN/>
              <w:jc w:val="right"/>
              <w:outlineLvl w:val="0"/>
              <w:rPr>
                <w:rFonts w:ascii="Arial" w:hAnsi="Arial" w:cs="Arial"/>
                <w:i/>
                <w:color w:val="000000"/>
                <w:sz w:val="20"/>
                <w:szCs w:val="20"/>
                <w:lang w:val="hr-HR"/>
              </w:rPr>
            </w:pPr>
            <w:r w:rsidRPr="00587444">
              <w:rPr>
                <w:rFonts w:ascii="Arial" w:hAnsi="Arial" w:cs="Arial"/>
                <w:i/>
                <w:color w:val="000000"/>
                <w:sz w:val="20"/>
                <w:szCs w:val="20"/>
                <w:lang w:val="hr-HR"/>
              </w:rPr>
              <w:t>31,373</w:t>
            </w:r>
          </w:p>
        </w:tc>
        <w:tc>
          <w:tcPr>
            <w:tcW w:w="722" w:type="pct"/>
            <w:tcBorders>
              <w:top w:val="nil"/>
              <w:left w:val="nil"/>
              <w:bottom w:val="nil"/>
              <w:right w:val="nil"/>
            </w:tcBorders>
            <w:shd w:val="clear" w:color="auto" w:fill="auto"/>
            <w:vAlign w:val="bottom"/>
          </w:tcPr>
          <w:p w14:paraId="10740181" w14:textId="77777777" w:rsidR="00587444" w:rsidRPr="00587444" w:rsidRDefault="00587444" w:rsidP="00587444">
            <w:pPr>
              <w:tabs>
                <w:tab w:val="right" w:pos="1202"/>
              </w:tabs>
              <w:suppressAutoHyphens w:val="0"/>
              <w:autoSpaceDN/>
              <w:jc w:val="right"/>
              <w:outlineLvl w:val="0"/>
              <w:rPr>
                <w:rFonts w:ascii="Arial" w:hAnsi="Arial" w:cs="Arial"/>
                <w:i/>
                <w:iCs/>
                <w:color w:val="000000"/>
                <w:spacing w:val="-3"/>
                <w:sz w:val="20"/>
                <w:szCs w:val="20"/>
                <w:lang w:val="hr-HR"/>
              </w:rPr>
            </w:pPr>
            <w:r w:rsidRPr="00587444">
              <w:rPr>
                <w:rFonts w:ascii="Arial" w:hAnsi="Arial" w:cs="Arial"/>
                <w:i/>
                <w:iCs/>
                <w:color w:val="000000"/>
                <w:spacing w:val="-3"/>
                <w:sz w:val="20"/>
                <w:szCs w:val="20"/>
                <w:lang w:val="hr-HR"/>
              </w:rPr>
              <w:t xml:space="preserve"> 32,544 </w:t>
            </w:r>
          </w:p>
        </w:tc>
        <w:tc>
          <w:tcPr>
            <w:tcW w:w="723" w:type="pct"/>
            <w:tcBorders>
              <w:top w:val="nil"/>
              <w:left w:val="nil"/>
              <w:bottom w:val="nil"/>
              <w:right w:val="nil"/>
            </w:tcBorders>
            <w:shd w:val="clear" w:color="auto" w:fill="auto"/>
            <w:vAlign w:val="bottom"/>
          </w:tcPr>
          <w:p w14:paraId="4D6A5A79" w14:textId="77777777" w:rsidR="00587444" w:rsidRPr="00587444" w:rsidRDefault="00587444" w:rsidP="00587444">
            <w:pPr>
              <w:tabs>
                <w:tab w:val="right" w:pos="1202"/>
              </w:tabs>
              <w:suppressAutoHyphens w:val="0"/>
              <w:autoSpaceDN/>
              <w:jc w:val="right"/>
              <w:outlineLvl w:val="0"/>
              <w:rPr>
                <w:rFonts w:ascii="Arial" w:hAnsi="Arial" w:cs="Arial"/>
                <w:i/>
                <w:color w:val="000000"/>
                <w:sz w:val="20"/>
                <w:szCs w:val="20"/>
                <w:lang w:val="hr-HR"/>
              </w:rPr>
            </w:pPr>
            <w:r w:rsidRPr="00587444">
              <w:rPr>
                <w:rFonts w:ascii="Arial" w:hAnsi="Arial" w:cs="Arial"/>
                <w:i/>
                <w:color w:val="000000"/>
                <w:sz w:val="20"/>
                <w:szCs w:val="20"/>
                <w:lang w:val="hr-HR"/>
              </w:rPr>
              <w:t>29,643</w:t>
            </w:r>
          </w:p>
        </w:tc>
      </w:tr>
      <w:tr w:rsidR="00587444" w:rsidRPr="00587444" w14:paraId="1F8F64B2" w14:textId="77777777" w:rsidTr="00DD69E7">
        <w:trPr>
          <w:trHeight w:val="285"/>
        </w:trPr>
        <w:tc>
          <w:tcPr>
            <w:tcW w:w="2111" w:type="pct"/>
            <w:vAlign w:val="center"/>
          </w:tcPr>
          <w:p w14:paraId="04365F0A" w14:textId="77777777" w:rsidR="00587444" w:rsidRPr="00587444" w:rsidRDefault="00587444" w:rsidP="00587444">
            <w:pPr>
              <w:tabs>
                <w:tab w:val="right" w:pos="1202"/>
              </w:tabs>
              <w:suppressAutoHyphens w:val="0"/>
              <w:autoSpaceDN/>
              <w:outlineLvl w:val="0"/>
              <w:rPr>
                <w:rFonts w:ascii="Arial" w:hAnsi="Arial" w:cs="Arial"/>
                <w:bCs/>
                <w:i/>
                <w:spacing w:val="-2"/>
                <w:sz w:val="20"/>
                <w:szCs w:val="20"/>
                <w:lang w:val="en-GB"/>
              </w:rPr>
            </w:pPr>
            <w:bookmarkStart w:id="525" w:name="_Toc4058030"/>
            <w:r w:rsidRPr="00587444">
              <w:rPr>
                <w:rFonts w:ascii="Arial" w:hAnsi="Arial" w:cs="Arial"/>
                <w:bCs/>
                <w:i/>
                <w:spacing w:val="-2"/>
                <w:sz w:val="20"/>
                <w:szCs w:val="20"/>
                <w:lang w:val="en-GB"/>
              </w:rPr>
              <w:t>Other expenses</w:t>
            </w:r>
            <w:bookmarkEnd w:id="525"/>
          </w:p>
        </w:tc>
        <w:tc>
          <w:tcPr>
            <w:tcW w:w="722" w:type="pct"/>
            <w:tcBorders>
              <w:top w:val="nil"/>
              <w:left w:val="nil"/>
              <w:bottom w:val="nil"/>
              <w:right w:val="nil"/>
            </w:tcBorders>
            <w:shd w:val="clear" w:color="auto" w:fill="auto"/>
            <w:vAlign w:val="bottom"/>
          </w:tcPr>
          <w:p w14:paraId="34E8C0E6" w14:textId="77777777" w:rsidR="00587444" w:rsidRPr="00587444" w:rsidRDefault="00587444" w:rsidP="00587444">
            <w:pPr>
              <w:tabs>
                <w:tab w:val="right" w:pos="1202"/>
              </w:tabs>
              <w:suppressAutoHyphens w:val="0"/>
              <w:autoSpaceDN/>
              <w:jc w:val="right"/>
              <w:outlineLvl w:val="0"/>
              <w:rPr>
                <w:rFonts w:ascii="Arial" w:hAnsi="Arial" w:cs="Arial"/>
                <w:i/>
                <w:iCs/>
                <w:color w:val="000000"/>
                <w:spacing w:val="-3"/>
                <w:sz w:val="20"/>
                <w:szCs w:val="20"/>
                <w:lang w:val="hr-HR"/>
              </w:rPr>
            </w:pPr>
            <w:r w:rsidRPr="00587444">
              <w:rPr>
                <w:rFonts w:ascii="Arial" w:hAnsi="Arial" w:cs="Arial"/>
                <w:i/>
                <w:iCs/>
                <w:color w:val="000000"/>
                <w:spacing w:val="-3"/>
                <w:sz w:val="20"/>
                <w:szCs w:val="20"/>
                <w:lang w:val="hr-HR"/>
              </w:rPr>
              <w:t xml:space="preserve"> 33,798 </w:t>
            </w:r>
          </w:p>
        </w:tc>
        <w:tc>
          <w:tcPr>
            <w:tcW w:w="722" w:type="pct"/>
            <w:tcBorders>
              <w:top w:val="nil"/>
              <w:left w:val="nil"/>
              <w:bottom w:val="nil"/>
              <w:right w:val="nil"/>
            </w:tcBorders>
            <w:shd w:val="clear" w:color="auto" w:fill="auto"/>
            <w:vAlign w:val="bottom"/>
          </w:tcPr>
          <w:p w14:paraId="603D0F38" w14:textId="77777777" w:rsidR="00587444" w:rsidRPr="00587444" w:rsidRDefault="00587444" w:rsidP="00587444">
            <w:pPr>
              <w:tabs>
                <w:tab w:val="right" w:pos="1202"/>
              </w:tabs>
              <w:suppressAutoHyphens w:val="0"/>
              <w:autoSpaceDN/>
              <w:jc w:val="right"/>
              <w:outlineLvl w:val="0"/>
              <w:rPr>
                <w:rFonts w:ascii="Arial" w:hAnsi="Arial" w:cs="Arial"/>
                <w:i/>
                <w:color w:val="000000"/>
                <w:sz w:val="20"/>
                <w:szCs w:val="20"/>
                <w:lang w:val="hr-HR"/>
              </w:rPr>
            </w:pPr>
            <w:r w:rsidRPr="00587444">
              <w:rPr>
                <w:rFonts w:ascii="Arial" w:hAnsi="Arial" w:cs="Arial"/>
                <w:i/>
                <w:color w:val="000000"/>
                <w:sz w:val="20"/>
                <w:szCs w:val="20"/>
                <w:lang w:val="hr-HR"/>
              </w:rPr>
              <w:t>24,647</w:t>
            </w:r>
          </w:p>
        </w:tc>
        <w:tc>
          <w:tcPr>
            <w:tcW w:w="722" w:type="pct"/>
            <w:tcBorders>
              <w:top w:val="nil"/>
              <w:left w:val="nil"/>
              <w:bottom w:val="nil"/>
              <w:right w:val="nil"/>
            </w:tcBorders>
            <w:shd w:val="clear" w:color="auto" w:fill="auto"/>
            <w:vAlign w:val="bottom"/>
          </w:tcPr>
          <w:p w14:paraId="217DC51E" w14:textId="77777777" w:rsidR="00587444" w:rsidRPr="00587444" w:rsidRDefault="00587444" w:rsidP="00587444">
            <w:pPr>
              <w:tabs>
                <w:tab w:val="right" w:pos="1202"/>
              </w:tabs>
              <w:suppressAutoHyphens w:val="0"/>
              <w:autoSpaceDN/>
              <w:jc w:val="right"/>
              <w:outlineLvl w:val="0"/>
              <w:rPr>
                <w:rFonts w:ascii="Arial" w:hAnsi="Arial" w:cs="Arial"/>
                <w:i/>
                <w:iCs/>
                <w:color w:val="000000"/>
                <w:spacing w:val="-3"/>
                <w:sz w:val="20"/>
                <w:szCs w:val="20"/>
                <w:lang w:val="hr-HR"/>
              </w:rPr>
            </w:pPr>
            <w:r w:rsidRPr="00587444">
              <w:rPr>
                <w:rFonts w:ascii="Arial" w:hAnsi="Arial" w:cs="Arial"/>
                <w:i/>
                <w:iCs/>
                <w:color w:val="000000"/>
                <w:spacing w:val="-3"/>
                <w:sz w:val="20"/>
                <w:szCs w:val="20"/>
                <w:lang w:val="hr-HR"/>
              </w:rPr>
              <w:t xml:space="preserve"> 29,274 </w:t>
            </w:r>
          </w:p>
        </w:tc>
        <w:tc>
          <w:tcPr>
            <w:tcW w:w="723" w:type="pct"/>
            <w:tcBorders>
              <w:top w:val="nil"/>
              <w:left w:val="nil"/>
              <w:bottom w:val="nil"/>
              <w:right w:val="nil"/>
            </w:tcBorders>
            <w:shd w:val="clear" w:color="auto" w:fill="auto"/>
            <w:vAlign w:val="bottom"/>
          </w:tcPr>
          <w:p w14:paraId="70FFC758" w14:textId="77777777" w:rsidR="00587444" w:rsidRPr="00587444" w:rsidRDefault="00587444" w:rsidP="00587444">
            <w:pPr>
              <w:tabs>
                <w:tab w:val="right" w:pos="1202"/>
              </w:tabs>
              <w:suppressAutoHyphens w:val="0"/>
              <w:autoSpaceDN/>
              <w:jc w:val="right"/>
              <w:outlineLvl w:val="0"/>
              <w:rPr>
                <w:rFonts w:ascii="Arial" w:hAnsi="Arial" w:cs="Arial"/>
                <w:i/>
                <w:color w:val="000000"/>
                <w:sz w:val="20"/>
                <w:szCs w:val="20"/>
                <w:lang w:val="hr-HR"/>
              </w:rPr>
            </w:pPr>
            <w:r w:rsidRPr="00587444">
              <w:rPr>
                <w:rFonts w:ascii="Arial" w:hAnsi="Arial" w:cs="Arial"/>
                <w:i/>
                <w:color w:val="000000"/>
                <w:sz w:val="20"/>
                <w:szCs w:val="20"/>
                <w:lang w:val="hr-HR"/>
              </w:rPr>
              <w:t>20,848</w:t>
            </w:r>
          </w:p>
        </w:tc>
      </w:tr>
      <w:tr w:rsidR="00587444" w:rsidRPr="00587444" w14:paraId="6EDAE42F" w14:textId="77777777" w:rsidTr="00DD69E7">
        <w:trPr>
          <w:trHeight w:val="351"/>
        </w:trPr>
        <w:tc>
          <w:tcPr>
            <w:tcW w:w="2111" w:type="pct"/>
          </w:tcPr>
          <w:p w14:paraId="5B16BF87" w14:textId="77777777" w:rsidR="00587444" w:rsidRPr="00587444" w:rsidRDefault="00587444" w:rsidP="00587444">
            <w:pPr>
              <w:tabs>
                <w:tab w:val="right" w:pos="1202"/>
              </w:tabs>
              <w:suppressAutoHyphens w:val="0"/>
              <w:autoSpaceDN/>
              <w:outlineLvl w:val="0"/>
              <w:rPr>
                <w:rFonts w:ascii="Arial" w:hAnsi="Arial" w:cs="Arial"/>
                <w:b/>
                <w:bCs/>
                <w:sz w:val="20"/>
                <w:szCs w:val="20"/>
                <w:lang w:val="en-GB"/>
              </w:rPr>
            </w:pPr>
          </w:p>
        </w:tc>
        <w:tc>
          <w:tcPr>
            <w:tcW w:w="722" w:type="pct"/>
            <w:tcBorders>
              <w:top w:val="single" w:sz="4" w:space="0" w:color="auto"/>
              <w:left w:val="nil"/>
              <w:bottom w:val="single" w:sz="12" w:space="0" w:color="auto"/>
              <w:right w:val="nil"/>
            </w:tcBorders>
            <w:shd w:val="clear" w:color="auto" w:fill="auto"/>
            <w:vAlign w:val="bottom"/>
          </w:tcPr>
          <w:p w14:paraId="12BE8718" w14:textId="77777777" w:rsidR="00587444" w:rsidRPr="00587444" w:rsidRDefault="00587444" w:rsidP="00587444">
            <w:pPr>
              <w:tabs>
                <w:tab w:val="right" w:pos="1202"/>
              </w:tabs>
              <w:suppressAutoHyphens w:val="0"/>
              <w:autoSpaceDN/>
              <w:jc w:val="right"/>
              <w:outlineLvl w:val="0"/>
              <w:rPr>
                <w:rFonts w:ascii="Arial" w:hAnsi="Arial" w:cs="Arial"/>
                <w:b/>
                <w:bCs/>
                <w:color w:val="000000"/>
                <w:spacing w:val="-3"/>
                <w:sz w:val="20"/>
                <w:szCs w:val="20"/>
                <w:lang w:val="hr-HR"/>
              </w:rPr>
            </w:pPr>
            <w:r w:rsidRPr="00587444">
              <w:rPr>
                <w:rFonts w:ascii="Arial" w:hAnsi="Arial" w:cs="Arial"/>
                <w:b/>
                <w:bCs/>
                <w:color w:val="000000"/>
                <w:spacing w:val="-3"/>
                <w:sz w:val="20"/>
                <w:szCs w:val="20"/>
                <w:lang w:val="hr-HR"/>
              </w:rPr>
              <w:t>201,572</w:t>
            </w:r>
          </w:p>
        </w:tc>
        <w:tc>
          <w:tcPr>
            <w:tcW w:w="722" w:type="pct"/>
            <w:tcBorders>
              <w:top w:val="single" w:sz="4" w:space="0" w:color="auto"/>
              <w:left w:val="nil"/>
              <w:bottom w:val="single" w:sz="12" w:space="0" w:color="auto"/>
              <w:right w:val="nil"/>
            </w:tcBorders>
            <w:shd w:val="clear" w:color="auto" w:fill="auto"/>
            <w:vAlign w:val="bottom"/>
          </w:tcPr>
          <w:p w14:paraId="32517085" w14:textId="77777777" w:rsidR="00587444" w:rsidRPr="00587444" w:rsidRDefault="00587444" w:rsidP="00587444">
            <w:pPr>
              <w:tabs>
                <w:tab w:val="right" w:pos="1202"/>
              </w:tabs>
              <w:suppressAutoHyphens w:val="0"/>
              <w:autoSpaceDN/>
              <w:jc w:val="right"/>
              <w:outlineLvl w:val="0"/>
              <w:rPr>
                <w:rFonts w:ascii="Arial" w:hAnsi="Arial" w:cs="Arial"/>
                <w:b/>
                <w:bCs/>
                <w:spacing w:val="-3"/>
                <w:sz w:val="20"/>
                <w:szCs w:val="20"/>
                <w:lang w:val="hr-HR"/>
              </w:rPr>
            </w:pPr>
            <w:r w:rsidRPr="00587444">
              <w:rPr>
                <w:rFonts w:ascii="Arial" w:hAnsi="Arial" w:cs="Arial"/>
                <w:b/>
                <w:bCs/>
                <w:color w:val="000000"/>
                <w:sz w:val="20"/>
                <w:szCs w:val="20"/>
                <w:lang w:val="hr-HR"/>
              </w:rPr>
              <w:t>188,302</w:t>
            </w:r>
          </w:p>
        </w:tc>
        <w:tc>
          <w:tcPr>
            <w:tcW w:w="722" w:type="pct"/>
            <w:tcBorders>
              <w:top w:val="single" w:sz="4" w:space="0" w:color="auto"/>
              <w:bottom w:val="single" w:sz="12" w:space="0" w:color="auto"/>
            </w:tcBorders>
            <w:vAlign w:val="bottom"/>
          </w:tcPr>
          <w:p w14:paraId="79567F1F" w14:textId="77777777" w:rsidR="00587444" w:rsidRPr="00587444" w:rsidRDefault="00587444" w:rsidP="00587444">
            <w:pPr>
              <w:tabs>
                <w:tab w:val="right" w:pos="1202"/>
              </w:tabs>
              <w:suppressAutoHyphens w:val="0"/>
              <w:autoSpaceDN/>
              <w:jc w:val="right"/>
              <w:outlineLvl w:val="0"/>
              <w:rPr>
                <w:rFonts w:ascii="Arial" w:hAnsi="Arial" w:cs="Arial"/>
                <w:b/>
                <w:bCs/>
                <w:color w:val="000000"/>
                <w:spacing w:val="-3"/>
                <w:sz w:val="20"/>
                <w:szCs w:val="20"/>
                <w:lang w:val="hr-HR"/>
              </w:rPr>
            </w:pPr>
            <w:r w:rsidRPr="00587444">
              <w:rPr>
                <w:rFonts w:ascii="Arial" w:hAnsi="Arial" w:cs="Arial"/>
                <w:b/>
                <w:bCs/>
                <w:color w:val="000000"/>
                <w:spacing w:val="-3"/>
                <w:sz w:val="20"/>
                <w:szCs w:val="20"/>
                <w:lang w:val="hr-HR"/>
              </w:rPr>
              <w:t>189,148</w:t>
            </w:r>
          </w:p>
        </w:tc>
        <w:tc>
          <w:tcPr>
            <w:tcW w:w="723" w:type="pct"/>
            <w:tcBorders>
              <w:top w:val="single" w:sz="4" w:space="0" w:color="auto"/>
              <w:left w:val="nil"/>
              <w:bottom w:val="single" w:sz="12" w:space="0" w:color="auto"/>
              <w:right w:val="nil"/>
            </w:tcBorders>
            <w:shd w:val="clear" w:color="auto" w:fill="auto"/>
            <w:vAlign w:val="bottom"/>
          </w:tcPr>
          <w:p w14:paraId="0657BC2E" w14:textId="77777777" w:rsidR="00587444" w:rsidRPr="00587444" w:rsidRDefault="00587444" w:rsidP="00587444">
            <w:pPr>
              <w:tabs>
                <w:tab w:val="right" w:pos="1202"/>
              </w:tabs>
              <w:suppressAutoHyphens w:val="0"/>
              <w:autoSpaceDN/>
              <w:jc w:val="right"/>
              <w:outlineLvl w:val="0"/>
              <w:rPr>
                <w:rFonts w:ascii="Arial" w:hAnsi="Arial" w:cs="Arial"/>
                <w:b/>
                <w:bCs/>
                <w:spacing w:val="-3"/>
                <w:sz w:val="20"/>
                <w:szCs w:val="20"/>
                <w:lang w:val="hr-HR"/>
              </w:rPr>
            </w:pPr>
            <w:r w:rsidRPr="00587444">
              <w:rPr>
                <w:rFonts w:ascii="Arial" w:hAnsi="Arial" w:cs="Arial"/>
                <w:b/>
                <w:bCs/>
                <w:color w:val="000000"/>
                <w:sz w:val="20"/>
                <w:szCs w:val="20"/>
                <w:lang w:val="hr-HR"/>
              </w:rPr>
              <w:t>177,054</w:t>
            </w:r>
          </w:p>
        </w:tc>
      </w:tr>
    </w:tbl>
    <w:p w14:paraId="5E70D71C" w14:textId="77777777" w:rsidR="00587444" w:rsidRPr="00587444" w:rsidRDefault="00587444" w:rsidP="00587444">
      <w:pPr>
        <w:suppressAutoHyphens w:val="0"/>
        <w:autoSpaceDN/>
        <w:rPr>
          <w:rFonts w:ascii="Arial" w:hAnsi="Arial" w:cs="Arial"/>
          <w:sz w:val="20"/>
          <w:szCs w:val="20"/>
        </w:rPr>
      </w:pPr>
    </w:p>
    <w:p w14:paraId="29F926B6" w14:textId="77777777" w:rsidR="00587444" w:rsidRPr="00587444" w:rsidRDefault="00587444" w:rsidP="00587444">
      <w:pPr>
        <w:suppressAutoHyphens w:val="0"/>
        <w:autoSpaceDN/>
        <w:rPr>
          <w:rFonts w:ascii="Arial" w:hAnsi="Arial" w:cs="Arial"/>
          <w:sz w:val="20"/>
          <w:szCs w:val="20"/>
        </w:rPr>
      </w:pPr>
    </w:p>
    <w:p w14:paraId="564EF047" w14:textId="77777777" w:rsidR="00587444" w:rsidRPr="00587444" w:rsidRDefault="00587444" w:rsidP="00587444">
      <w:pPr>
        <w:suppressAutoHyphens w:val="0"/>
        <w:autoSpaceDN/>
        <w:rPr>
          <w:rFonts w:ascii="Arial" w:hAnsi="Arial" w:cs="Arial"/>
          <w:sz w:val="20"/>
          <w:szCs w:val="20"/>
        </w:rPr>
      </w:pPr>
      <w:r w:rsidRPr="00587444">
        <w:rPr>
          <w:rFonts w:ascii="Arial" w:hAnsi="Arial" w:cs="Arial"/>
          <w:sz w:val="20"/>
          <w:szCs w:val="20"/>
        </w:rPr>
        <w:t>Material and services contain audit costs as follows:</w:t>
      </w:r>
    </w:p>
    <w:p w14:paraId="2D64BDAB" w14:textId="77777777" w:rsidR="00587444" w:rsidRPr="00587444" w:rsidRDefault="00587444" w:rsidP="00587444">
      <w:pPr>
        <w:suppressAutoHyphens w:val="0"/>
        <w:autoSpaceDN/>
        <w:rPr>
          <w:rFonts w:ascii="Arial" w:hAnsi="Arial" w:cs="Arial"/>
          <w:sz w:val="20"/>
          <w:szCs w:val="20"/>
        </w:rPr>
      </w:pPr>
    </w:p>
    <w:tbl>
      <w:tblPr>
        <w:tblW w:w="5000" w:type="pct"/>
        <w:tblLayout w:type="fixed"/>
        <w:tblCellMar>
          <w:left w:w="122" w:type="dxa"/>
          <w:right w:w="122" w:type="dxa"/>
        </w:tblCellMar>
        <w:tblLook w:val="0000" w:firstRow="0" w:lastRow="0" w:firstColumn="0" w:lastColumn="0" w:noHBand="0" w:noVBand="0"/>
      </w:tblPr>
      <w:tblGrid>
        <w:gridCol w:w="4082"/>
        <w:gridCol w:w="1455"/>
        <w:gridCol w:w="1305"/>
        <w:gridCol w:w="1455"/>
        <w:gridCol w:w="1302"/>
      </w:tblGrid>
      <w:tr w:rsidR="00587444" w:rsidRPr="00587444" w14:paraId="183E3E1F" w14:textId="77777777" w:rsidTr="00DD69E7">
        <w:trPr>
          <w:trHeight w:val="300"/>
        </w:trPr>
        <w:tc>
          <w:tcPr>
            <w:tcW w:w="2126" w:type="pct"/>
            <w:shd w:val="clear" w:color="auto" w:fill="auto"/>
          </w:tcPr>
          <w:p w14:paraId="0CCD15DA" w14:textId="77777777" w:rsidR="00587444" w:rsidRPr="00587444" w:rsidRDefault="00587444" w:rsidP="00587444">
            <w:pPr>
              <w:tabs>
                <w:tab w:val="left" w:pos="-720"/>
              </w:tabs>
              <w:autoSpaceDN/>
              <w:jc w:val="right"/>
              <w:rPr>
                <w:rFonts w:ascii="Arial" w:hAnsi="Arial" w:cs="Arial"/>
                <w:spacing w:val="-3"/>
                <w:sz w:val="20"/>
                <w:szCs w:val="20"/>
                <w:lang w:val="hr-HR"/>
              </w:rPr>
            </w:pPr>
            <w:r w:rsidRPr="00587444">
              <w:rPr>
                <w:rFonts w:ascii="Arial" w:hAnsi="Arial" w:cs="Arial"/>
                <w:spacing w:val="-3"/>
                <w:sz w:val="20"/>
                <w:szCs w:val="20"/>
                <w:lang w:val="hr-HR"/>
              </w:rPr>
              <w:t xml:space="preserve">         </w:t>
            </w:r>
          </w:p>
        </w:tc>
        <w:tc>
          <w:tcPr>
            <w:tcW w:w="758" w:type="pct"/>
          </w:tcPr>
          <w:p w14:paraId="32CBFFAC"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p>
        </w:tc>
        <w:tc>
          <w:tcPr>
            <w:tcW w:w="680" w:type="pct"/>
            <w:shd w:val="clear" w:color="auto" w:fill="auto"/>
          </w:tcPr>
          <w:p w14:paraId="571C3B28"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bookmarkStart w:id="526" w:name="_Toc4058039"/>
            <w:r w:rsidRPr="00587444">
              <w:rPr>
                <w:rFonts w:ascii="Arial" w:hAnsi="Arial" w:cs="Arial"/>
                <w:b/>
                <w:sz w:val="20"/>
                <w:szCs w:val="20"/>
                <w:lang w:val="hr-HR"/>
              </w:rPr>
              <w:t>Group</w:t>
            </w:r>
            <w:bookmarkEnd w:id="526"/>
          </w:p>
        </w:tc>
        <w:tc>
          <w:tcPr>
            <w:tcW w:w="758" w:type="pct"/>
            <w:shd w:val="clear" w:color="auto" w:fill="auto"/>
          </w:tcPr>
          <w:p w14:paraId="711646EB"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p>
        </w:tc>
        <w:tc>
          <w:tcPr>
            <w:tcW w:w="678" w:type="pct"/>
            <w:shd w:val="clear" w:color="auto" w:fill="auto"/>
          </w:tcPr>
          <w:p w14:paraId="7EAB99F5"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bookmarkStart w:id="527" w:name="_Toc4058040"/>
            <w:r w:rsidRPr="00587444">
              <w:rPr>
                <w:rFonts w:ascii="Arial" w:hAnsi="Arial" w:cs="Arial"/>
                <w:b/>
                <w:sz w:val="20"/>
                <w:szCs w:val="20"/>
                <w:lang w:val="hr-HR"/>
              </w:rPr>
              <w:t>Bank</w:t>
            </w:r>
            <w:bookmarkEnd w:id="527"/>
          </w:p>
        </w:tc>
      </w:tr>
      <w:tr w:rsidR="00587444" w:rsidRPr="00587444" w14:paraId="6085AF4A" w14:textId="77777777" w:rsidTr="00DD69E7">
        <w:trPr>
          <w:trHeight w:val="211"/>
        </w:trPr>
        <w:tc>
          <w:tcPr>
            <w:tcW w:w="2126" w:type="pct"/>
            <w:shd w:val="clear" w:color="auto" w:fill="auto"/>
          </w:tcPr>
          <w:p w14:paraId="26E1F751" w14:textId="77777777" w:rsidR="00587444" w:rsidRPr="00587444" w:rsidRDefault="00587444" w:rsidP="00587444">
            <w:pPr>
              <w:tabs>
                <w:tab w:val="left" w:pos="-720"/>
              </w:tabs>
              <w:autoSpaceDN/>
              <w:jc w:val="right"/>
              <w:rPr>
                <w:rFonts w:ascii="Arial" w:hAnsi="Arial" w:cs="Arial"/>
                <w:spacing w:val="-3"/>
                <w:sz w:val="20"/>
                <w:szCs w:val="20"/>
                <w:lang w:val="hr-HR"/>
              </w:rPr>
            </w:pPr>
          </w:p>
        </w:tc>
        <w:tc>
          <w:tcPr>
            <w:tcW w:w="758" w:type="pct"/>
            <w:vAlign w:val="center"/>
          </w:tcPr>
          <w:p w14:paraId="45D99FEA"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680" w:type="pct"/>
            <w:vAlign w:val="center"/>
          </w:tcPr>
          <w:p w14:paraId="48D8A468"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2021</w:t>
            </w:r>
          </w:p>
        </w:tc>
        <w:tc>
          <w:tcPr>
            <w:tcW w:w="758" w:type="pct"/>
            <w:vAlign w:val="center"/>
          </w:tcPr>
          <w:p w14:paraId="3A27FFCD"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678" w:type="pct"/>
            <w:vAlign w:val="center"/>
          </w:tcPr>
          <w:p w14:paraId="2B8D2308"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2021</w:t>
            </w:r>
          </w:p>
        </w:tc>
      </w:tr>
      <w:tr w:rsidR="00587444" w:rsidRPr="00587444" w14:paraId="6D0E2B8C" w14:textId="77777777" w:rsidTr="00DD69E7">
        <w:tblPrEx>
          <w:tblCellMar>
            <w:left w:w="108" w:type="dxa"/>
            <w:right w:w="108" w:type="dxa"/>
          </w:tblCellMar>
        </w:tblPrEx>
        <w:trPr>
          <w:trHeight w:val="187"/>
        </w:trPr>
        <w:tc>
          <w:tcPr>
            <w:tcW w:w="2126" w:type="pct"/>
            <w:shd w:val="clear" w:color="auto" w:fill="auto"/>
          </w:tcPr>
          <w:p w14:paraId="03A28B5E" w14:textId="77777777" w:rsidR="00587444" w:rsidRPr="00587444" w:rsidRDefault="00587444" w:rsidP="00587444">
            <w:pPr>
              <w:tabs>
                <w:tab w:val="left" w:pos="-720"/>
              </w:tabs>
              <w:autoSpaceDN/>
              <w:ind w:right="4144"/>
              <w:jc w:val="right"/>
              <w:rPr>
                <w:rFonts w:ascii="Arial" w:hAnsi="Arial" w:cs="Arial"/>
                <w:sz w:val="20"/>
                <w:szCs w:val="20"/>
                <w:lang w:val="hr-HR"/>
              </w:rPr>
            </w:pPr>
          </w:p>
        </w:tc>
        <w:tc>
          <w:tcPr>
            <w:tcW w:w="758" w:type="pct"/>
          </w:tcPr>
          <w:p w14:paraId="0DC954B1" w14:textId="77777777" w:rsidR="00587444" w:rsidRPr="00587444" w:rsidRDefault="00587444" w:rsidP="00587444">
            <w:pPr>
              <w:suppressAutoHyphens w:val="0"/>
              <w:autoSpaceDN/>
              <w:jc w:val="right"/>
              <w:rPr>
                <w:rFonts w:ascii="Arial" w:hAnsi="Arial" w:cs="Arial"/>
                <w:b/>
                <w:sz w:val="20"/>
                <w:szCs w:val="20"/>
              </w:rPr>
            </w:pPr>
            <w:r w:rsidRPr="00587444">
              <w:rPr>
                <w:rFonts w:ascii="Arial" w:hAnsi="Arial" w:cs="Arial"/>
                <w:b/>
                <w:sz w:val="20"/>
                <w:szCs w:val="20"/>
              </w:rPr>
              <w:t>HRK ‘000</w:t>
            </w:r>
          </w:p>
        </w:tc>
        <w:tc>
          <w:tcPr>
            <w:tcW w:w="680" w:type="pct"/>
            <w:shd w:val="clear" w:color="auto" w:fill="auto"/>
          </w:tcPr>
          <w:p w14:paraId="7FC2BEF9" w14:textId="77777777" w:rsidR="00587444" w:rsidRPr="00587444" w:rsidRDefault="00587444" w:rsidP="00587444">
            <w:pPr>
              <w:suppressAutoHyphens w:val="0"/>
              <w:autoSpaceDN/>
              <w:jc w:val="right"/>
              <w:rPr>
                <w:rFonts w:ascii="Arial" w:hAnsi="Arial" w:cs="Arial"/>
                <w:b/>
                <w:sz w:val="20"/>
                <w:szCs w:val="20"/>
              </w:rPr>
            </w:pPr>
            <w:r w:rsidRPr="00587444">
              <w:rPr>
                <w:rFonts w:ascii="Arial" w:hAnsi="Arial" w:cs="Arial"/>
                <w:b/>
                <w:sz w:val="20"/>
                <w:szCs w:val="20"/>
              </w:rPr>
              <w:t>HRK ‘000</w:t>
            </w:r>
          </w:p>
        </w:tc>
        <w:tc>
          <w:tcPr>
            <w:tcW w:w="758" w:type="pct"/>
            <w:shd w:val="clear" w:color="auto" w:fill="auto"/>
          </w:tcPr>
          <w:p w14:paraId="6D254AE5" w14:textId="77777777" w:rsidR="00587444" w:rsidRPr="00587444" w:rsidRDefault="00587444" w:rsidP="00587444">
            <w:pPr>
              <w:suppressAutoHyphens w:val="0"/>
              <w:autoSpaceDN/>
              <w:jc w:val="right"/>
              <w:rPr>
                <w:rFonts w:ascii="Arial" w:hAnsi="Arial" w:cs="Arial"/>
                <w:b/>
                <w:sz w:val="20"/>
                <w:szCs w:val="20"/>
              </w:rPr>
            </w:pPr>
            <w:r w:rsidRPr="00587444">
              <w:rPr>
                <w:rFonts w:ascii="Arial" w:hAnsi="Arial" w:cs="Arial"/>
                <w:b/>
                <w:sz w:val="20"/>
                <w:szCs w:val="20"/>
              </w:rPr>
              <w:t>HRK ‘000</w:t>
            </w:r>
          </w:p>
        </w:tc>
        <w:tc>
          <w:tcPr>
            <w:tcW w:w="678" w:type="pct"/>
            <w:shd w:val="clear" w:color="auto" w:fill="auto"/>
          </w:tcPr>
          <w:p w14:paraId="4AB71785" w14:textId="77777777" w:rsidR="00587444" w:rsidRPr="00587444" w:rsidRDefault="00587444" w:rsidP="00587444">
            <w:pPr>
              <w:suppressAutoHyphens w:val="0"/>
              <w:autoSpaceDN/>
              <w:jc w:val="right"/>
              <w:rPr>
                <w:rFonts w:ascii="Arial" w:hAnsi="Arial" w:cs="Arial"/>
                <w:b/>
                <w:sz w:val="20"/>
                <w:szCs w:val="20"/>
              </w:rPr>
            </w:pPr>
            <w:r w:rsidRPr="00587444">
              <w:rPr>
                <w:rFonts w:ascii="Arial" w:hAnsi="Arial" w:cs="Arial"/>
                <w:b/>
                <w:sz w:val="20"/>
                <w:szCs w:val="20"/>
              </w:rPr>
              <w:t>HRK ‘000</w:t>
            </w:r>
          </w:p>
        </w:tc>
      </w:tr>
      <w:tr w:rsidR="00587444" w:rsidRPr="00587444" w14:paraId="58E2B730" w14:textId="77777777" w:rsidTr="00DD69E7">
        <w:trPr>
          <w:trHeight w:val="141"/>
        </w:trPr>
        <w:tc>
          <w:tcPr>
            <w:tcW w:w="2126" w:type="pct"/>
            <w:shd w:val="clear" w:color="auto" w:fill="auto"/>
            <w:vAlign w:val="bottom"/>
          </w:tcPr>
          <w:p w14:paraId="53A978B8" w14:textId="77777777" w:rsidR="00587444" w:rsidRPr="00587444" w:rsidRDefault="00587444" w:rsidP="00587444">
            <w:pPr>
              <w:suppressAutoHyphens w:val="0"/>
              <w:autoSpaceDN/>
              <w:rPr>
                <w:rFonts w:ascii="Arial" w:hAnsi="Arial" w:cs="Arial"/>
                <w:sz w:val="20"/>
                <w:szCs w:val="20"/>
              </w:rPr>
            </w:pPr>
            <w:r w:rsidRPr="00587444">
              <w:rPr>
                <w:rFonts w:ascii="Arial" w:hAnsi="Arial" w:cs="Arial"/>
                <w:sz w:val="20"/>
                <w:szCs w:val="20"/>
              </w:rPr>
              <w:t>Audit services</w:t>
            </w:r>
          </w:p>
        </w:tc>
        <w:tc>
          <w:tcPr>
            <w:tcW w:w="758" w:type="pct"/>
            <w:tcBorders>
              <w:top w:val="nil"/>
              <w:left w:val="nil"/>
              <w:bottom w:val="nil"/>
              <w:right w:val="nil"/>
            </w:tcBorders>
            <w:shd w:val="clear" w:color="auto" w:fill="auto"/>
          </w:tcPr>
          <w:p w14:paraId="27890330" w14:textId="77777777" w:rsidR="00587444" w:rsidRPr="00587444" w:rsidRDefault="00587444" w:rsidP="00587444">
            <w:pPr>
              <w:tabs>
                <w:tab w:val="right" w:pos="1202"/>
              </w:tabs>
              <w:suppressAutoHyphens w:val="0"/>
              <w:autoSpaceDN/>
              <w:ind w:left="65"/>
              <w:jc w:val="right"/>
              <w:outlineLvl w:val="0"/>
              <w:rPr>
                <w:rFonts w:ascii="Arial" w:hAnsi="Arial" w:cs="Arial"/>
                <w:sz w:val="20"/>
                <w:szCs w:val="20"/>
                <w:lang w:val="en-GB"/>
              </w:rPr>
            </w:pPr>
            <w:r w:rsidRPr="00587444">
              <w:rPr>
                <w:rFonts w:ascii="Arial" w:hAnsi="Arial" w:cs="Arial"/>
                <w:sz w:val="20"/>
                <w:szCs w:val="20"/>
                <w:lang w:val="en-GB"/>
              </w:rPr>
              <w:t>706</w:t>
            </w:r>
          </w:p>
        </w:tc>
        <w:tc>
          <w:tcPr>
            <w:tcW w:w="680" w:type="pct"/>
            <w:tcBorders>
              <w:top w:val="nil"/>
              <w:left w:val="nil"/>
              <w:bottom w:val="nil"/>
              <w:right w:val="nil"/>
            </w:tcBorders>
            <w:shd w:val="clear" w:color="auto" w:fill="auto"/>
          </w:tcPr>
          <w:p w14:paraId="4E4C01D5" w14:textId="77777777" w:rsidR="00587444" w:rsidRPr="00587444" w:rsidRDefault="00587444" w:rsidP="00587444">
            <w:pPr>
              <w:tabs>
                <w:tab w:val="right" w:pos="1202"/>
              </w:tabs>
              <w:suppressAutoHyphens w:val="0"/>
              <w:autoSpaceDN/>
              <w:ind w:left="65"/>
              <w:jc w:val="right"/>
              <w:outlineLvl w:val="0"/>
              <w:rPr>
                <w:rFonts w:ascii="Arial" w:hAnsi="Arial" w:cs="Arial"/>
                <w:sz w:val="20"/>
                <w:szCs w:val="20"/>
                <w:lang w:val="en-GB"/>
              </w:rPr>
            </w:pPr>
            <w:r w:rsidRPr="00587444">
              <w:rPr>
                <w:rFonts w:ascii="Arial" w:hAnsi="Arial" w:cs="Arial"/>
                <w:color w:val="000000"/>
                <w:spacing w:val="-3"/>
                <w:sz w:val="20"/>
                <w:szCs w:val="20"/>
                <w:lang w:val="hr-HR"/>
              </w:rPr>
              <w:t>701</w:t>
            </w:r>
          </w:p>
        </w:tc>
        <w:tc>
          <w:tcPr>
            <w:tcW w:w="758" w:type="pct"/>
            <w:tcBorders>
              <w:top w:val="nil"/>
              <w:left w:val="nil"/>
              <w:bottom w:val="nil"/>
              <w:right w:val="nil"/>
            </w:tcBorders>
            <w:shd w:val="clear" w:color="auto" w:fill="auto"/>
          </w:tcPr>
          <w:p w14:paraId="54EF2776"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hr-HR"/>
              </w:rPr>
            </w:pPr>
            <w:r w:rsidRPr="00587444">
              <w:rPr>
                <w:rFonts w:ascii="Arial" w:hAnsi="Arial" w:cs="Arial"/>
                <w:sz w:val="20"/>
                <w:szCs w:val="20"/>
                <w:lang w:val="hr-HR"/>
              </w:rPr>
              <w:t>563</w:t>
            </w:r>
          </w:p>
        </w:tc>
        <w:tc>
          <w:tcPr>
            <w:tcW w:w="678" w:type="pct"/>
            <w:tcBorders>
              <w:top w:val="nil"/>
              <w:left w:val="nil"/>
              <w:bottom w:val="nil"/>
              <w:right w:val="nil"/>
            </w:tcBorders>
            <w:shd w:val="clear" w:color="auto" w:fill="auto"/>
          </w:tcPr>
          <w:p w14:paraId="75C9C6F6"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hr-HR"/>
              </w:rPr>
            </w:pPr>
            <w:r w:rsidRPr="00587444">
              <w:rPr>
                <w:rFonts w:ascii="Arial" w:hAnsi="Arial" w:cs="Arial"/>
                <w:color w:val="000000"/>
                <w:spacing w:val="-3"/>
                <w:sz w:val="20"/>
                <w:szCs w:val="20"/>
                <w:lang w:val="hr-HR"/>
              </w:rPr>
              <w:t>563</w:t>
            </w:r>
          </w:p>
        </w:tc>
      </w:tr>
      <w:tr w:rsidR="00587444" w:rsidRPr="00587444" w14:paraId="3C93A266" w14:textId="77777777" w:rsidTr="00DD69E7">
        <w:trPr>
          <w:trHeight w:val="94"/>
        </w:trPr>
        <w:tc>
          <w:tcPr>
            <w:tcW w:w="2126" w:type="pct"/>
            <w:shd w:val="clear" w:color="auto" w:fill="auto"/>
            <w:vAlign w:val="bottom"/>
          </w:tcPr>
          <w:p w14:paraId="0C9A94F7" w14:textId="77777777" w:rsidR="00587444" w:rsidRPr="00587444" w:rsidRDefault="00587444" w:rsidP="00587444">
            <w:pPr>
              <w:suppressAutoHyphens w:val="0"/>
              <w:autoSpaceDN/>
              <w:rPr>
                <w:rFonts w:ascii="Arial" w:hAnsi="Arial" w:cs="Arial"/>
                <w:sz w:val="20"/>
                <w:szCs w:val="20"/>
              </w:rPr>
            </w:pPr>
            <w:r w:rsidRPr="00587444">
              <w:rPr>
                <w:rFonts w:ascii="Arial" w:hAnsi="Arial" w:cs="Arial"/>
                <w:sz w:val="20"/>
                <w:szCs w:val="20"/>
              </w:rPr>
              <w:t>Non-audit services</w:t>
            </w:r>
          </w:p>
        </w:tc>
        <w:tc>
          <w:tcPr>
            <w:tcW w:w="758" w:type="pct"/>
            <w:tcBorders>
              <w:top w:val="nil"/>
              <w:left w:val="nil"/>
              <w:bottom w:val="nil"/>
              <w:right w:val="nil"/>
            </w:tcBorders>
            <w:shd w:val="clear" w:color="auto" w:fill="auto"/>
          </w:tcPr>
          <w:p w14:paraId="21518A1E"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w:t>
            </w:r>
          </w:p>
        </w:tc>
        <w:tc>
          <w:tcPr>
            <w:tcW w:w="680" w:type="pct"/>
            <w:tcBorders>
              <w:top w:val="nil"/>
              <w:left w:val="nil"/>
              <w:bottom w:val="nil"/>
              <w:right w:val="nil"/>
            </w:tcBorders>
            <w:shd w:val="clear" w:color="auto" w:fill="auto"/>
          </w:tcPr>
          <w:p w14:paraId="502C7830"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color w:val="000000"/>
                <w:spacing w:val="-3"/>
                <w:sz w:val="20"/>
                <w:szCs w:val="20"/>
                <w:lang w:val="hr-HR"/>
              </w:rPr>
              <w:t>-</w:t>
            </w:r>
          </w:p>
        </w:tc>
        <w:tc>
          <w:tcPr>
            <w:tcW w:w="758" w:type="pct"/>
            <w:tcBorders>
              <w:top w:val="nil"/>
              <w:left w:val="nil"/>
              <w:bottom w:val="nil"/>
              <w:right w:val="nil"/>
            </w:tcBorders>
            <w:shd w:val="clear" w:color="auto" w:fill="auto"/>
          </w:tcPr>
          <w:p w14:paraId="550BBABA"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hr-HR"/>
              </w:rPr>
            </w:pPr>
            <w:r w:rsidRPr="00587444">
              <w:rPr>
                <w:rFonts w:ascii="Arial" w:hAnsi="Arial" w:cs="Arial"/>
                <w:sz w:val="20"/>
                <w:szCs w:val="20"/>
                <w:lang w:val="hr-HR"/>
              </w:rPr>
              <w:t>-</w:t>
            </w:r>
          </w:p>
        </w:tc>
        <w:tc>
          <w:tcPr>
            <w:tcW w:w="678" w:type="pct"/>
            <w:tcBorders>
              <w:top w:val="nil"/>
              <w:left w:val="nil"/>
              <w:bottom w:val="nil"/>
              <w:right w:val="nil"/>
            </w:tcBorders>
            <w:shd w:val="clear" w:color="auto" w:fill="auto"/>
          </w:tcPr>
          <w:p w14:paraId="3E0763FC"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hr-HR"/>
              </w:rPr>
            </w:pPr>
            <w:r w:rsidRPr="00587444">
              <w:rPr>
                <w:rFonts w:ascii="Arial" w:hAnsi="Arial" w:cs="Arial"/>
                <w:color w:val="000000"/>
                <w:spacing w:val="-3"/>
                <w:sz w:val="20"/>
                <w:szCs w:val="20"/>
                <w:lang w:val="hr-HR"/>
              </w:rPr>
              <w:t>-</w:t>
            </w:r>
          </w:p>
        </w:tc>
      </w:tr>
      <w:tr w:rsidR="00587444" w:rsidRPr="00587444" w14:paraId="626452CC" w14:textId="77777777" w:rsidTr="00DD69E7">
        <w:trPr>
          <w:trHeight w:val="120"/>
        </w:trPr>
        <w:tc>
          <w:tcPr>
            <w:tcW w:w="2126" w:type="pct"/>
            <w:shd w:val="clear" w:color="auto" w:fill="auto"/>
            <w:vAlign w:val="bottom"/>
          </w:tcPr>
          <w:p w14:paraId="06C9F375" w14:textId="77777777" w:rsidR="00587444" w:rsidRPr="00587444" w:rsidRDefault="00587444" w:rsidP="00587444">
            <w:pPr>
              <w:tabs>
                <w:tab w:val="right" w:pos="1202"/>
              </w:tabs>
              <w:suppressAutoHyphens w:val="0"/>
              <w:autoSpaceDN/>
              <w:outlineLvl w:val="0"/>
              <w:rPr>
                <w:rFonts w:ascii="Arial" w:hAnsi="Arial" w:cs="Arial"/>
                <w:b/>
                <w:bCs/>
                <w:sz w:val="20"/>
                <w:szCs w:val="20"/>
              </w:rPr>
            </w:pPr>
            <w:r w:rsidRPr="00587444">
              <w:rPr>
                <w:rFonts w:ascii="Arial" w:hAnsi="Arial" w:cs="Arial"/>
                <w:b/>
                <w:bCs/>
                <w:sz w:val="20"/>
                <w:szCs w:val="20"/>
              </w:rPr>
              <w:t>Audit expenses</w:t>
            </w:r>
          </w:p>
        </w:tc>
        <w:tc>
          <w:tcPr>
            <w:tcW w:w="758" w:type="pct"/>
            <w:tcBorders>
              <w:top w:val="single" w:sz="4" w:space="0" w:color="auto"/>
              <w:bottom w:val="single" w:sz="12" w:space="0" w:color="auto"/>
            </w:tcBorders>
            <w:vAlign w:val="bottom"/>
          </w:tcPr>
          <w:p w14:paraId="0C8D7F29" w14:textId="77777777" w:rsidR="00587444" w:rsidRPr="00587444" w:rsidRDefault="00587444" w:rsidP="00587444">
            <w:pPr>
              <w:tabs>
                <w:tab w:val="right" w:pos="1202"/>
              </w:tabs>
              <w:suppressAutoHyphens w:val="0"/>
              <w:autoSpaceDN/>
              <w:jc w:val="right"/>
              <w:outlineLvl w:val="0"/>
              <w:rPr>
                <w:rFonts w:ascii="Arial" w:hAnsi="Arial" w:cs="Arial"/>
                <w:b/>
                <w:bCs/>
                <w:sz w:val="20"/>
                <w:szCs w:val="20"/>
                <w:lang w:val="hr-HR"/>
              </w:rPr>
            </w:pPr>
            <w:r w:rsidRPr="00587444">
              <w:rPr>
                <w:rFonts w:ascii="Arial" w:hAnsi="Arial" w:cs="Arial"/>
                <w:b/>
                <w:bCs/>
                <w:sz w:val="20"/>
                <w:szCs w:val="20"/>
                <w:lang w:val="hr-HR"/>
              </w:rPr>
              <w:t>706</w:t>
            </w:r>
          </w:p>
        </w:tc>
        <w:tc>
          <w:tcPr>
            <w:tcW w:w="680" w:type="pct"/>
            <w:tcBorders>
              <w:top w:val="single" w:sz="4" w:space="0" w:color="auto"/>
              <w:bottom w:val="single" w:sz="12" w:space="0" w:color="auto"/>
            </w:tcBorders>
            <w:vAlign w:val="bottom"/>
          </w:tcPr>
          <w:p w14:paraId="2B540F74" w14:textId="77777777" w:rsidR="00587444" w:rsidRPr="00587444" w:rsidRDefault="00587444" w:rsidP="00587444">
            <w:pPr>
              <w:tabs>
                <w:tab w:val="right" w:pos="1202"/>
              </w:tabs>
              <w:suppressAutoHyphens w:val="0"/>
              <w:autoSpaceDN/>
              <w:jc w:val="right"/>
              <w:outlineLvl w:val="0"/>
              <w:rPr>
                <w:rFonts w:ascii="Arial" w:hAnsi="Arial" w:cs="Arial"/>
                <w:b/>
                <w:bCs/>
                <w:sz w:val="20"/>
                <w:szCs w:val="20"/>
                <w:lang w:val="hr-HR"/>
              </w:rPr>
            </w:pPr>
            <w:r w:rsidRPr="00587444">
              <w:rPr>
                <w:rFonts w:ascii="Arial" w:hAnsi="Arial" w:cs="Arial"/>
                <w:b/>
                <w:bCs/>
                <w:color w:val="000000"/>
                <w:sz w:val="20"/>
                <w:szCs w:val="20"/>
                <w:lang w:val="hr-HR"/>
              </w:rPr>
              <w:t>701</w:t>
            </w:r>
          </w:p>
        </w:tc>
        <w:tc>
          <w:tcPr>
            <w:tcW w:w="758" w:type="pct"/>
            <w:tcBorders>
              <w:top w:val="single" w:sz="4" w:space="0" w:color="auto"/>
              <w:bottom w:val="single" w:sz="12" w:space="0" w:color="auto"/>
            </w:tcBorders>
            <w:vAlign w:val="bottom"/>
          </w:tcPr>
          <w:p w14:paraId="52E19A86" w14:textId="77777777" w:rsidR="00587444" w:rsidRPr="00587444" w:rsidRDefault="00587444" w:rsidP="00587444">
            <w:pPr>
              <w:tabs>
                <w:tab w:val="right" w:pos="1202"/>
              </w:tabs>
              <w:suppressAutoHyphens w:val="0"/>
              <w:autoSpaceDN/>
              <w:jc w:val="right"/>
              <w:outlineLvl w:val="0"/>
              <w:rPr>
                <w:rFonts w:ascii="Arial" w:hAnsi="Arial" w:cs="Arial"/>
                <w:b/>
                <w:bCs/>
                <w:sz w:val="20"/>
                <w:szCs w:val="20"/>
                <w:lang w:val="hr-HR"/>
              </w:rPr>
            </w:pPr>
            <w:r w:rsidRPr="00587444">
              <w:rPr>
                <w:rFonts w:ascii="Arial" w:hAnsi="Arial" w:cs="Arial"/>
                <w:b/>
                <w:bCs/>
                <w:sz w:val="20"/>
                <w:szCs w:val="20"/>
                <w:lang w:val="hr-HR"/>
              </w:rPr>
              <w:t>563</w:t>
            </w:r>
          </w:p>
        </w:tc>
        <w:tc>
          <w:tcPr>
            <w:tcW w:w="678" w:type="pct"/>
            <w:tcBorders>
              <w:top w:val="single" w:sz="4" w:space="0" w:color="auto"/>
              <w:bottom w:val="single" w:sz="12" w:space="0" w:color="auto"/>
            </w:tcBorders>
            <w:shd w:val="clear" w:color="auto" w:fill="auto"/>
            <w:vAlign w:val="bottom"/>
          </w:tcPr>
          <w:p w14:paraId="33F1E82A" w14:textId="77777777" w:rsidR="00587444" w:rsidRPr="00587444" w:rsidRDefault="00587444" w:rsidP="00587444">
            <w:pPr>
              <w:tabs>
                <w:tab w:val="right" w:pos="1202"/>
              </w:tabs>
              <w:suppressAutoHyphens w:val="0"/>
              <w:autoSpaceDN/>
              <w:jc w:val="right"/>
              <w:outlineLvl w:val="0"/>
              <w:rPr>
                <w:rFonts w:ascii="Arial" w:hAnsi="Arial" w:cs="Arial"/>
                <w:b/>
                <w:bCs/>
                <w:sz w:val="20"/>
                <w:szCs w:val="20"/>
                <w:lang w:val="hr-HR"/>
              </w:rPr>
            </w:pPr>
            <w:r w:rsidRPr="00587444">
              <w:rPr>
                <w:rFonts w:ascii="Arial" w:hAnsi="Arial" w:cs="Arial"/>
                <w:b/>
                <w:bCs/>
                <w:color w:val="000000"/>
                <w:sz w:val="20"/>
                <w:szCs w:val="20"/>
                <w:lang w:val="hr-HR"/>
              </w:rPr>
              <w:t>563</w:t>
            </w:r>
          </w:p>
        </w:tc>
      </w:tr>
    </w:tbl>
    <w:p w14:paraId="3DC93726" w14:textId="77777777" w:rsidR="00587444" w:rsidRPr="00587444" w:rsidRDefault="00587444" w:rsidP="00587444">
      <w:pPr>
        <w:suppressAutoHyphens w:val="0"/>
        <w:autoSpaceDN/>
        <w:rPr>
          <w:rFonts w:ascii="Arial" w:hAnsi="Arial" w:cs="Arial"/>
          <w:sz w:val="20"/>
          <w:szCs w:val="20"/>
          <w:lang w:val="en-GB"/>
        </w:rPr>
      </w:pPr>
    </w:p>
    <w:p w14:paraId="6B557AE1" w14:textId="77777777" w:rsidR="00587444" w:rsidRPr="00587444" w:rsidRDefault="00587444" w:rsidP="00587444">
      <w:pPr>
        <w:suppressAutoHyphens w:val="0"/>
        <w:autoSpaceDN/>
        <w:rPr>
          <w:rFonts w:ascii="Arial" w:hAnsi="Arial" w:cs="Arial"/>
          <w:sz w:val="20"/>
          <w:szCs w:val="20"/>
          <w:lang w:val="en-GB"/>
        </w:rPr>
      </w:pPr>
      <w:r w:rsidRPr="00587444">
        <w:rPr>
          <w:rFonts w:ascii="Arial" w:hAnsi="Arial" w:cs="Arial"/>
          <w:sz w:val="20"/>
          <w:szCs w:val="20"/>
          <w:lang w:val="en-GB"/>
        </w:rPr>
        <w:t>Other expenses of the Group presented contain changes in technical reserves:</w:t>
      </w:r>
    </w:p>
    <w:p w14:paraId="4957EDEB" w14:textId="77777777" w:rsidR="00587444" w:rsidRPr="00587444" w:rsidRDefault="00587444" w:rsidP="00587444">
      <w:pPr>
        <w:suppressAutoHyphens w:val="0"/>
        <w:autoSpaceDN/>
        <w:rPr>
          <w:rFonts w:ascii="Arial" w:hAnsi="Arial" w:cs="Arial"/>
          <w:sz w:val="20"/>
          <w:szCs w:val="20"/>
          <w:lang w:val="en-GB"/>
        </w:rPr>
      </w:pPr>
    </w:p>
    <w:tbl>
      <w:tblPr>
        <w:tblW w:w="5007" w:type="pct"/>
        <w:tblLayout w:type="fixed"/>
        <w:tblCellMar>
          <w:left w:w="122" w:type="dxa"/>
          <w:right w:w="122" w:type="dxa"/>
        </w:tblCellMar>
        <w:tblLook w:val="0000" w:firstRow="0" w:lastRow="0" w:firstColumn="0" w:lastColumn="0" w:noHBand="0" w:noVBand="0"/>
      </w:tblPr>
      <w:tblGrid>
        <w:gridCol w:w="4088"/>
        <w:gridCol w:w="1457"/>
        <w:gridCol w:w="1307"/>
        <w:gridCol w:w="1457"/>
        <w:gridCol w:w="1303"/>
      </w:tblGrid>
      <w:tr w:rsidR="00587444" w:rsidRPr="00587444" w14:paraId="7A10C3CF" w14:textId="77777777" w:rsidTr="00DD69E7">
        <w:trPr>
          <w:trHeight w:val="289"/>
        </w:trPr>
        <w:tc>
          <w:tcPr>
            <w:tcW w:w="2126" w:type="pct"/>
            <w:shd w:val="clear" w:color="auto" w:fill="auto"/>
          </w:tcPr>
          <w:p w14:paraId="4D4F24AA" w14:textId="77777777" w:rsidR="00587444" w:rsidRPr="00587444" w:rsidRDefault="00587444" w:rsidP="00587444">
            <w:pPr>
              <w:tabs>
                <w:tab w:val="left" w:pos="-720"/>
              </w:tabs>
              <w:autoSpaceDN/>
              <w:jc w:val="right"/>
              <w:rPr>
                <w:rFonts w:ascii="Arial" w:hAnsi="Arial" w:cs="Arial"/>
                <w:spacing w:val="-3"/>
                <w:sz w:val="20"/>
                <w:szCs w:val="20"/>
                <w:lang w:val="hr-HR"/>
              </w:rPr>
            </w:pPr>
            <w:r w:rsidRPr="00587444">
              <w:rPr>
                <w:rFonts w:ascii="Arial" w:hAnsi="Arial" w:cs="Arial"/>
                <w:spacing w:val="-3"/>
                <w:sz w:val="20"/>
                <w:szCs w:val="20"/>
                <w:lang w:val="hr-HR"/>
              </w:rPr>
              <w:t xml:space="preserve">         </w:t>
            </w:r>
          </w:p>
        </w:tc>
        <w:tc>
          <w:tcPr>
            <w:tcW w:w="758" w:type="pct"/>
          </w:tcPr>
          <w:p w14:paraId="703E74DB"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p>
        </w:tc>
        <w:tc>
          <w:tcPr>
            <w:tcW w:w="680" w:type="pct"/>
            <w:shd w:val="clear" w:color="auto" w:fill="auto"/>
          </w:tcPr>
          <w:p w14:paraId="2715F35D"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bookmarkStart w:id="528" w:name="_Toc4058057"/>
            <w:r w:rsidRPr="00587444">
              <w:rPr>
                <w:rFonts w:ascii="Arial" w:hAnsi="Arial" w:cs="Arial"/>
                <w:b/>
                <w:sz w:val="20"/>
                <w:szCs w:val="20"/>
                <w:lang w:val="hr-HR"/>
              </w:rPr>
              <w:t>Group</w:t>
            </w:r>
            <w:bookmarkEnd w:id="528"/>
          </w:p>
        </w:tc>
        <w:tc>
          <w:tcPr>
            <w:tcW w:w="758" w:type="pct"/>
            <w:shd w:val="clear" w:color="auto" w:fill="auto"/>
          </w:tcPr>
          <w:p w14:paraId="10260FBA"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p>
        </w:tc>
        <w:tc>
          <w:tcPr>
            <w:tcW w:w="678" w:type="pct"/>
            <w:shd w:val="clear" w:color="auto" w:fill="auto"/>
          </w:tcPr>
          <w:p w14:paraId="1F361D5A"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bookmarkStart w:id="529" w:name="_Toc4058058"/>
            <w:r w:rsidRPr="00587444">
              <w:rPr>
                <w:rFonts w:ascii="Arial" w:hAnsi="Arial" w:cs="Arial"/>
                <w:b/>
                <w:sz w:val="20"/>
                <w:szCs w:val="20"/>
                <w:lang w:val="hr-HR"/>
              </w:rPr>
              <w:t>Bank</w:t>
            </w:r>
            <w:bookmarkEnd w:id="529"/>
          </w:p>
        </w:tc>
      </w:tr>
      <w:tr w:rsidR="00587444" w:rsidRPr="00587444" w14:paraId="3A93C3AE" w14:textId="77777777" w:rsidTr="00DD69E7">
        <w:trPr>
          <w:trHeight w:val="203"/>
        </w:trPr>
        <w:tc>
          <w:tcPr>
            <w:tcW w:w="2126" w:type="pct"/>
            <w:shd w:val="clear" w:color="auto" w:fill="auto"/>
          </w:tcPr>
          <w:p w14:paraId="7034CC4A" w14:textId="77777777" w:rsidR="00587444" w:rsidRPr="00587444" w:rsidRDefault="00587444" w:rsidP="00587444">
            <w:pPr>
              <w:tabs>
                <w:tab w:val="left" w:pos="-720"/>
              </w:tabs>
              <w:autoSpaceDN/>
              <w:jc w:val="right"/>
              <w:rPr>
                <w:rFonts w:ascii="Arial" w:hAnsi="Arial" w:cs="Arial"/>
                <w:spacing w:val="-3"/>
                <w:sz w:val="20"/>
                <w:szCs w:val="20"/>
                <w:lang w:val="hr-HR"/>
              </w:rPr>
            </w:pPr>
          </w:p>
        </w:tc>
        <w:tc>
          <w:tcPr>
            <w:tcW w:w="758" w:type="pct"/>
            <w:vAlign w:val="center"/>
          </w:tcPr>
          <w:p w14:paraId="348E28E5"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680" w:type="pct"/>
            <w:vAlign w:val="center"/>
          </w:tcPr>
          <w:p w14:paraId="4CC3B654"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2021</w:t>
            </w:r>
          </w:p>
        </w:tc>
        <w:tc>
          <w:tcPr>
            <w:tcW w:w="758" w:type="pct"/>
            <w:vAlign w:val="center"/>
          </w:tcPr>
          <w:p w14:paraId="0B3685E4"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678" w:type="pct"/>
            <w:vAlign w:val="center"/>
          </w:tcPr>
          <w:p w14:paraId="45BB3958"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2021</w:t>
            </w:r>
          </w:p>
        </w:tc>
      </w:tr>
      <w:tr w:rsidR="00587444" w:rsidRPr="00587444" w14:paraId="4518A480" w14:textId="77777777" w:rsidTr="00DD69E7">
        <w:tblPrEx>
          <w:tblCellMar>
            <w:left w:w="108" w:type="dxa"/>
            <w:right w:w="108" w:type="dxa"/>
          </w:tblCellMar>
        </w:tblPrEx>
        <w:trPr>
          <w:trHeight w:val="180"/>
        </w:trPr>
        <w:tc>
          <w:tcPr>
            <w:tcW w:w="2126" w:type="pct"/>
            <w:shd w:val="clear" w:color="auto" w:fill="auto"/>
          </w:tcPr>
          <w:p w14:paraId="51C6B477" w14:textId="77777777" w:rsidR="00587444" w:rsidRPr="00587444" w:rsidRDefault="00587444" w:rsidP="00587444">
            <w:pPr>
              <w:tabs>
                <w:tab w:val="left" w:pos="-720"/>
              </w:tabs>
              <w:autoSpaceDN/>
              <w:ind w:right="4144"/>
              <w:jc w:val="right"/>
              <w:rPr>
                <w:rFonts w:ascii="Arial" w:hAnsi="Arial" w:cs="Arial"/>
                <w:sz w:val="20"/>
                <w:szCs w:val="20"/>
                <w:lang w:val="hr-HR"/>
              </w:rPr>
            </w:pPr>
          </w:p>
        </w:tc>
        <w:tc>
          <w:tcPr>
            <w:tcW w:w="758" w:type="pct"/>
          </w:tcPr>
          <w:p w14:paraId="4F06134B" w14:textId="77777777" w:rsidR="00587444" w:rsidRPr="00587444" w:rsidRDefault="00587444" w:rsidP="00587444">
            <w:pPr>
              <w:suppressAutoHyphens w:val="0"/>
              <w:autoSpaceDN/>
              <w:jc w:val="right"/>
              <w:rPr>
                <w:rFonts w:ascii="Arial" w:hAnsi="Arial" w:cs="Arial"/>
                <w:b/>
                <w:sz w:val="20"/>
                <w:szCs w:val="20"/>
              </w:rPr>
            </w:pPr>
            <w:r w:rsidRPr="00587444">
              <w:rPr>
                <w:rFonts w:ascii="Arial" w:hAnsi="Arial" w:cs="Arial"/>
                <w:b/>
                <w:sz w:val="20"/>
                <w:szCs w:val="20"/>
              </w:rPr>
              <w:t>HRK ‘000</w:t>
            </w:r>
          </w:p>
        </w:tc>
        <w:tc>
          <w:tcPr>
            <w:tcW w:w="680" w:type="pct"/>
            <w:shd w:val="clear" w:color="auto" w:fill="auto"/>
          </w:tcPr>
          <w:p w14:paraId="371F0AD3" w14:textId="77777777" w:rsidR="00587444" w:rsidRPr="00587444" w:rsidRDefault="00587444" w:rsidP="00587444">
            <w:pPr>
              <w:suppressAutoHyphens w:val="0"/>
              <w:autoSpaceDN/>
              <w:jc w:val="right"/>
              <w:rPr>
                <w:rFonts w:ascii="Arial" w:hAnsi="Arial" w:cs="Arial"/>
                <w:b/>
                <w:sz w:val="20"/>
                <w:szCs w:val="20"/>
              </w:rPr>
            </w:pPr>
            <w:r w:rsidRPr="00587444">
              <w:rPr>
                <w:rFonts w:ascii="Arial" w:hAnsi="Arial" w:cs="Arial"/>
                <w:b/>
                <w:sz w:val="20"/>
                <w:szCs w:val="20"/>
              </w:rPr>
              <w:t>HRK ‘000</w:t>
            </w:r>
          </w:p>
        </w:tc>
        <w:tc>
          <w:tcPr>
            <w:tcW w:w="758" w:type="pct"/>
            <w:shd w:val="clear" w:color="auto" w:fill="auto"/>
          </w:tcPr>
          <w:p w14:paraId="3CEF0DAE" w14:textId="77777777" w:rsidR="00587444" w:rsidRPr="00587444" w:rsidRDefault="00587444" w:rsidP="00587444">
            <w:pPr>
              <w:suppressAutoHyphens w:val="0"/>
              <w:autoSpaceDN/>
              <w:jc w:val="right"/>
              <w:rPr>
                <w:rFonts w:ascii="Arial" w:hAnsi="Arial" w:cs="Arial"/>
                <w:b/>
                <w:sz w:val="20"/>
                <w:szCs w:val="20"/>
              </w:rPr>
            </w:pPr>
            <w:r w:rsidRPr="00587444">
              <w:rPr>
                <w:rFonts w:ascii="Arial" w:hAnsi="Arial" w:cs="Arial"/>
                <w:b/>
                <w:sz w:val="20"/>
                <w:szCs w:val="20"/>
              </w:rPr>
              <w:t>HRK ‘000</w:t>
            </w:r>
          </w:p>
        </w:tc>
        <w:tc>
          <w:tcPr>
            <w:tcW w:w="678" w:type="pct"/>
            <w:shd w:val="clear" w:color="auto" w:fill="auto"/>
          </w:tcPr>
          <w:p w14:paraId="39EC9B90" w14:textId="77777777" w:rsidR="00587444" w:rsidRPr="00587444" w:rsidRDefault="00587444" w:rsidP="00587444">
            <w:pPr>
              <w:suppressAutoHyphens w:val="0"/>
              <w:autoSpaceDN/>
              <w:jc w:val="right"/>
              <w:rPr>
                <w:rFonts w:ascii="Arial" w:hAnsi="Arial" w:cs="Arial"/>
                <w:b/>
                <w:sz w:val="20"/>
                <w:szCs w:val="20"/>
              </w:rPr>
            </w:pPr>
            <w:r w:rsidRPr="00587444">
              <w:rPr>
                <w:rFonts w:ascii="Arial" w:hAnsi="Arial" w:cs="Arial"/>
                <w:b/>
                <w:sz w:val="20"/>
                <w:szCs w:val="20"/>
              </w:rPr>
              <w:t>HRK ‘000</w:t>
            </w:r>
          </w:p>
        </w:tc>
      </w:tr>
      <w:tr w:rsidR="00587444" w:rsidRPr="00587444" w14:paraId="308549B4" w14:textId="77777777" w:rsidTr="00DD69E7">
        <w:trPr>
          <w:trHeight w:val="115"/>
        </w:trPr>
        <w:tc>
          <w:tcPr>
            <w:tcW w:w="2126" w:type="pct"/>
            <w:shd w:val="clear" w:color="auto" w:fill="auto"/>
            <w:vAlign w:val="bottom"/>
          </w:tcPr>
          <w:p w14:paraId="5D6B9D63" w14:textId="77777777" w:rsidR="00587444" w:rsidRPr="00587444" w:rsidRDefault="00587444" w:rsidP="00587444">
            <w:pPr>
              <w:suppressAutoHyphens w:val="0"/>
              <w:autoSpaceDN/>
              <w:rPr>
                <w:rFonts w:ascii="Arial" w:hAnsi="Arial" w:cs="Arial"/>
                <w:sz w:val="20"/>
                <w:szCs w:val="20"/>
              </w:rPr>
            </w:pPr>
            <w:r w:rsidRPr="00587444">
              <w:rPr>
                <w:rFonts w:ascii="Arial" w:hAnsi="Arial" w:cs="Arial"/>
                <w:sz w:val="20"/>
                <w:szCs w:val="20"/>
              </w:rPr>
              <w:t xml:space="preserve">Change in the claims provision </w:t>
            </w:r>
          </w:p>
        </w:tc>
        <w:tc>
          <w:tcPr>
            <w:tcW w:w="758" w:type="pct"/>
            <w:tcBorders>
              <w:top w:val="nil"/>
              <w:left w:val="nil"/>
              <w:bottom w:val="nil"/>
              <w:right w:val="nil"/>
            </w:tcBorders>
            <w:shd w:val="clear" w:color="auto" w:fill="auto"/>
          </w:tcPr>
          <w:p w14:paraId="0481C578" w14:textId="77777777" w:rsidR="00587444" w:rsidRPr="00587444" w:rsidRDefault="00587444" w:rsidP="00587444">
            <w:pPr>
              <w:tabs>
                <w:tab w:val="right" w:pos="1202"/>
              </w:tabs>
              <w:suppressAutoHyphens w:val="0"/>
              <w:autoSpaceDN/>
              <w:ind w:left="65"/>
              <w:jc w:val="right"/>
              <w:outlineLvl w:val="0"/>
              <w:rPr>
                <w:rFonts w:ascii="Arial" w:hAnsi="Arial" w:cs="Arial"/>
                <w:sz w:val="20"/>
                <w:szCs w:val="20"/>
                <w:lang w:val="en-GB"/>
              </w:rPr>
            </w:pPr>
            <w:r w:rsidRPr="00587444">
              <w:rPr>
                <w:rFonts w:ascii="Arial" w:hAnsi="Arial" w:cs="Arial"/>
                <w:sz w:val="20"/>
                <w:szCs w:val="20"/>
                <w:lang w:val="en-GB"/>
              </w:rPr>
              <w:t>(2,195)</w:t>
            </w:r>
          </w:p>
        </w:tc>
        <w:tc>
          <w:tcPr>
            <w:tcW w:w="680" w:type="pct"/>
            <w:tcBorders>
              <w:top w:val="nil"/>
              <w:left w:val="nil"/>
              <w:bottom w:val="nil"/>
              <w:right w:val="nil"/>
            </w:tcBorders>
            <w:shd w:val="clear" w:color="auto" w:fill="auto"/>
          </w:tcPr>
          <w:p w14:paraId="018152A8" w14:textId="77777777" w:rsidR="00587444" w:rsidRPr="00587444" w:rsidRDefault="00587444" w:rsidP="00587444">
            <w:pPr>
              <w:tabs>
                <w:tab w:val="right" w:pos="1202"/>
              </w:tabs>
              <w:suppressAutoHyphens w:val="0"/>
              <w:autoSpaceDN/>
              <w:ind w:left="65"/>
              <w:jc w:val="right"/>
              <w:outlineLvl w:val="0"/>
              <w:rPr>
                <w:rFonts w:ascii="Arial" w:hAnsi="Arial" w:cs="Arial"/>
                <w:sz w:val="20"/>
                <w:szCs w:val="20"/>
                <w:lang w:val="en-GB"/>
              </w:rPr>
            </w:pPr>
            <w:r w:rsidRPr="00587444">
              <w:rPr>
                <w:rFonts w:ascii="Arial" w:hAnsi="Arial" w:cs="Arial"/>
                <w:color w:val="000000"/>
                <w:sz w:val="20"/>
                <w:szCs w:val="20"/>
                <w:lang w:val="hr-HR"/>
              </w:rPr>
              <w:t>1,610</w:t>
            </w:r>
          </w:p>
        </w:tc>
        <w:tc>
          <w:tcPr>
            <w:tcW w:w="758" w:type="pct"/>
            <w:shd w:val="clear" w:color="auto" w:fill="auto"/>
            <w:vAlign w:val="bottom"/>
          </w:tcPr>
          <w:p w14:paraId="594CA423"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hr-HR"/>
              </w:rPr>
            </w:pPr>
            <w:bookmarkStart w:id="530" w:name="_Toc4058065"/>
            <w:r w:rsidRPr="00587444">
              <w:rPr>
                <w:rFonts w:ascii="Arial" w:hAnsi="Arial" w:cs="Arial"/>
                <w:sz w:val="20"/>
                <w:szCs w:val="20"/>
                <w:lang w:val="hr-HR"/>
              </w:rPr>
              <w:t>-</w:t>
            </w:r>
            <w:bookmarkEnd w:id="530"/>
          </w:p>
        </w:tc>
        <w:tc>
          <w:tcPr>
            <w:tcW w:w="678" w:type="pct"/>
            <w:shd w:val="clear" w:color="auto" w:fill="auto"/>
            <w:vAlign w:val="bottom"/>
          </w:tcPr>
          <w:p w14:paraId="6C41B9E4"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hr-HR"/>
              </w:rPr>
            </w:pPr>
            <w:bookmarkStart w:id="531" w:name="_Toc4058066"/>
            <w:r w:rsidRPr="00587444">
              <w:rPr>
                <w:rFonts w:ascii="Arial" w:hAnsi="Arial" w:cs="Arial"/>
                <w:sz w:val="20"/>
                <w:szCs w:val="20"/>
                <w:lang w:val="hr-HR"/>
              </w:rPr>
              <w:t>-</w:t>
            </w:r>
            <w:bookmarkEnd w:id="531"/>
          </w:p>
        </w:tc>
      </w:tr>
      <w:tr w:rsidR="00587444" w:rsidRPr="00587444" w14:paraId="0D467DFC" w14:textId="77777777" w:rsidTr="00DD69E7">
        <w:trPr>
          <w:trHeight w:val="466"/>
        </w:trPr>
        <w:tc>
          <w:tcPr>
            <w:tcW w:w="2126" w:type="pct"/>
            <w:shd w:val="clear" w:color="auto" w:fill="auto"/>
            <w:vAlign w:val="bottom"/>
          </w:tcPr>
          <w:p w14:paraId="039D2C0F" w14:textId="77777777" w:rsidR="004F10C3" w:rsidRDefault="00587444" w:rsidP="00587444">
            <w:pPr>
              <w:suppressAutoHyphens w:val="0"/>
              <w:autoSpaceDN/>
              <w:rPr>
                <w:rFonts w:ascii="Arial" w:hAnsi="Arial" w:cs="Arial"/>
                <w:sz w:val="20"/>
                <w:szCs w:val="20"/>
              </w:rPr>
            </w:pPr>
            <w:r w:rsidRPr="00587444">
              <w:rPr>
                <w:rFonts w:ascii="Arial" w:hAnsi="Arial" w:cs="Arial"/>
                <w:sz w:val="20"/>
                <w:szCs w:val="20"/>
              </w:rPr>
              <w:t xml:space="preserve">Change in the claims provision, </w:t>
            </w:r>
          </w:p>
          <w:p w14:paraId="04694B32" w14:textId="053955CC" w:rsidR="00587444" w:rsidRPr="00587444" w:rsidRDefault="00587444" w:rsidP="00587444">
            <w:pPr>
              <w:suppressAutoHyphens w:val="0"/>
              <w:autoSpaceDN/>
              <w:rPr>
                <w:rFonts w:ascii="Arial" w:hAnsi="Arial" w:cs="Arial"/>
                <w:sz w:val="20"/>
                <w:szCs w:val="20"/>
              </w:rPr>
            </w:pPr>
            <w:r w:rsidRPr="00587444">
              <w:rPr>
                <w:rFonts w:ascii="Arial" w:hAnsi="Arial" w:cs="Arial"/>
                <w:sz w:val="20"/>
                <w:szCs w:val="20"/>
              </w:rPr>
              <w:t>reinsurer’s share</w:t>
            </w:r>
          </w:p>
        </w:tc>
        <w:tc>
          <w:tcPr>
            <w:tcW w:w="758" w:type="pct"/>
            <w:tcBorders>
              <w:top w:val="nil"/>
              <w:left w:val="nil"/>
              <w:bottom w:val="nil"/>
              <w:right w:val="nil"/>
            </w:tcBorders>
            <w:shd w:val="clear" w:color="auto" w:fill="auto"/>
            <w:vAlign w:val="bottom"/>
          </w:tcPr>
          <w:p w14:paraId="5676779B"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sz w:val="20"/>
                <w:szCs w:val="20"/>
                <w:lang w:val="en-GB"/>
              </w:rPr>
              <w:t>754</w:t>
            </w:r>
          </w:p>
        </w:tc>
        <w:tc>
          <w:tcPr>
            <w:tcW w:w="680" w:type="pct"/>
            <w:tcBorders>
              <w:top w:val="nil"/>
              <w:left w:val="nil"/>
              <w:bottom w:val="nil"/>
              <w:right w:val="nil"/>
            </w:tcBorders>
            <w:shd w:val="clear" w:color="auto" w:fill="auto"/>
            <w:vAlign w:val="bottom"/>
          </w:tcPr>
          <w:p w14:paraId="19D7693A"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en-GB"/>
              </w:rPr>
            </w:pPr>
            <w:r w:rsidRPr="00587444">
              <w:rPr>
                <w:rFonts w:ascii="Arial" w:hAnsi="Arial" w:cs="Arial"/>
                <w:color w:val="000000"/>
                <w:sz w:val="20"/>
                <w:szCs w:val="20"/>
                <w:lang w:val="hr-HR"/>
              </w:rPr>
              <w:t>(61)</w:t>
            </w:r>
          </w:p>
        </w:tc>
        <w:tc>
          <w:tcPr>
            <w:tcW w:w="758" w:type="pct"/>
            <w:shd w:val="clear" w:color="auto" w:fill="auto"/>
            <w:vAlign w:val="bottom"/>
          </w:tcPr>
          <w:p w14:paraId="77EC8978"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hr-HR"/>
              </w:rPr>
            </w:pPr>
            <w:bookmarkStart w:id="532" w:name="_Toc4058069"/>
            <w:r w:rsidRPr="00587444">
              <w:rPr>
                <w:rFonts w:ascii="Arial" w:hAnsi="Arial" w:cs="Arial"/>
                <w:sz w:val="20"/>
                <w:szCs w:val="20"/>
                <w:lang w:val="hr-HR"/>
              </w:rPr>
              <w:t>-</w:t>
            </w:r>
            <w:bookmarkEnd w:id="532"/>
          </w:p>
        </w:tc>
        <w:tc>
          <w:tcPr>
            <w:tcW w:w="678" w:type="pct"/>
            <w:shd w:val="clear" w:color="auto" w:fill="auto"/>
            <w:vAlign w:val="bottom"/>
          </w:tcPr>
          <w:p w14:paraId="4862B1A9" w14:textId="77777777" w:rsidR="00587444" w:rsidRPr="00587444" w:rsidRDefault="00587444" w:rsidP="00587444">
            <w:pPr>
              <w:tabs>
                <w:tab w:val="right" w:pos="1202"/>
              </w:tabs>
              <w:suppressAutoHyphens w:val="0"/>
              <w:autoSpaceDN/>
              <w:jc w:val="right"/>
              <w:outlineLvl w:val="0"/>
              <w:rPr>
                <w:rFonts w:ascii="Arial" w:hAnsi="Arial" w:cs="Arial"/>
                <w:sz w:val="20"/>
                <w:szCs w:val="20"/>
                <w:lang w:val="hr-HR"/>
              </w:rPr>
            </w:pPr>
            <w:bookmarkStart w:id="533" w:name="_Toc4058070"/>
            <w:r w:rsidRPr="00587444">
              <w:rPr>
                <w:rFonts w:ascii="Arial" w:hAnsi="Arial" w:cs="Arial"/>
                <w:sz w:val="20"/>
                <w:szCs w:val="20"/>
                <w:lang w:val="hr-HR"/>
              </w:rPr>
              <w:t>-</w:t>
            </w:r>
            <w:bookmarkEnd w:id="533"/>
          </w:p>
        </w:tc>
      </w:tr>
      <w:tr w:rsidR="00587444" w:rsidRPr="00587444" w14:paraId="163F3FD5" w14:textId="77777777" w:rsidTr="00DD69E7">
        <w:trPr>
          <w:trHeight w:val="115"/>
        </w:trPr>
        <w:tc>
          <w:tcPr>
            <w:tcW w:w="2126" w:type="pct"/>
            <w:shd w:val="clear" w:color="auto" w:fill="auto"/>
            <w:vAlign w:val="bottom"/>
          </w:tcPr>
          <w:p w14:paraId="645BDB00" w14:textId="77777777" w:rsidR="00587444" w:rsidRPr="00587444" w:rsidRDefault="00587444" w:rsidP="00587444">
            <w:pPr>
              <w:tabs>
                <w:tab w:val="right" w:pos="1202"/>
              </w:tabs>
              <w:suppressAutoHyphens w:val="0"/>
              <w:autoSpaceDN/>
              <w:outlineLvl w:val="0"/>
              <w:rPr>
                <w:rFonts w:ascii="Arial" w:hAnsi="Arial" w:cs="Arial"/>
                <w:b/>
                <w:bCs/>
                <w:sz w:val="20"/>
                <w:szCs w:val="20"/>
              </w:rPr>
            </w:pPr>
            <w:bookmarkStart w:id="534" w:name="_Toc4058071"/>
            <w:r w:rsidRPr="00587444">
              <w:rPr>
                <w:rFonts w:ascii="Arial" w:hAnsi="Arial" w:cs="Arial"/>
                <w:b/>
                <w:sz w:val="20"/>
                <w:szCs w:val="20"/>
              </w:rPr>
              <w:t>Expenses of insurance operations</w:t>
            </w:r>
            <w:bookmarkEnd w:id="534"/>
          </w:p>
        </w:tc>
        <w:tc>
          <w:tcPr>
            <w:tcW w:w="758" w:type="pct"/>
            <w:tcBorders>
              <w:top w:val="single" w:sz="4" w:space="0" w:color="auto"/>
              <w:bottom w:val="single" w:sz="12" w:space="0" w:color="auto"/>
            </w:tcBorders>
          </w:tcPr>
          <w:p w14:paraId="32ED8084" w14:textId="77777777" w:rsidR="00587444" w:rsidRPr="00587444" w:rsidRDefault="00587444" w:rsidP="00587444">
            <w:pPr>
              <w:tabs>
                <w:tab w:val="right" w:pos="1202"/>
              </w:tabs>
              <w:suppressAutoHyphens w:val="0"/>
              <w:autoSpaceDN/>
              <w:jc w:val="right"/>
              <w:outlineLvl w:val="0"/>
              <w:rPr>
                <w:rFonts w:ascii="Arial" w:hAnsi="Arial" w:cs="Arial"/>
                <w:b/>
                <w:bCs/>
                <w:sz w:val="20"/>
                <w:szCs w:val="20"/>
                <w:lang w:val="hr-HR"/>
              </w:rPr>
            </w:pPr>
            <w:r w:rsidRPr="00587444">
              <w:rPr>
                <w:rFonts w:ascii="Arial" w:hAnsi="Arial" w:cs="Arial"/>
                <w:b/>
                <w:bCs/>
                <w:sz w:val="20"/>
                <w:szCs w:val="20"/>
                <w:lang w:val="hr-HR"/>
              </w:rPr>
              <w:t>(1,441)</w:t>
            </w:r>
          </w:p>
        </w:tc>
        <w:tc>
          <w:tcPr>
            <w:tcW w:w="680" w:type="pct"/>
            <w:tcBorders>
              <w:top w:val="single" w:sz="4" w:space="0" w:color="auto"/>
              <w:bottom w:val="single" w:sz="12" w:space="0" w:color="auto"/>
            </w:tcBorders>
          </w:tcPr>
          <w:p w14:paraId="5C6828E9" w14:textId="77777777" w:rsidR="00587444" w:rsidRPr="00587444" w:rsidRDefault="00587444" w:rsidP="00587444">
            <w:pPr>
              <w:tabs>
                <w:tab w:val="right" w:pos="1202"/>
              </w:tabs>
              <w:suppressAutoHyphens w:val="0"/>
              <w:autoSpaceDN/>
              <w:jc w:val="right"/>
              <w:outlineLvl w:val="0"/>
              <w:rPr>
                <w:rFonts w:ascii="Arial" w:hAnsi="Arial" w:cs="Arial"/>
                <w:b/>
                <w:bCs/>
                <w:sz w:val="20"/>
                <w:szCs w:val="20"/>
                <w:lang w:val="hr-HR"/>
              </w:rPr>
            </w:pPr>
            <w:r w:rsidRPr="00587444">
              <w:rPr>
                <w:rFonts w:ascii="Arial" w:hAnsi="Arial" w:cs="Arial"/>
                <w:b/>
                <w:bCs/>
                <w:color w:val="000000"/>
                <w:sz w:val="20"/>
                <w:szCs w:val="20"/>
                <w:lang w:val="hr-HR"/>
              </w:rPr>
              <w:t>1,549</w:t>
            </w:r>
          </w:p>
        </w:tc>
        <w:tc>
          <w:tcPr>
            <w:tcW w:w="758" w:type="pct"/>
            <w:tcBorders>
              <w:top w:val="single" w:sz="4" w:space="0" w:color="auto"/>
              <w:bottom w:val="single" w:sz="12" w:space="0" w:color="auto"/>
            </w:tcBorders>
            <w:shd w:val="clear" w:color="auto" w:fill="auto"/>
            <w:vAlign w:val="bottom"/>
          </w:tcPr>
          <w:p w14:paraId="22F64E22" w14:textId="77777777" w:rsidR="00587444" w:rsidRPr="00587444" w:rsidRDefault="00587444" w:rsidP="00587444">
            <w:pPr>
              <w:tabs>
                <w:tab w:val="right" w:pos="1202"/>
              </w:tabs>
              <w:suppressAutoHyphens w:val="0"/>
              <w:autoSpaceDN/>
              <w:jc w:val="right"/>
              <w:outlineLvl w:val="0"/>
              <w:rPr>
                <w:rFonts w:ascii="Arial" w:hAnsi="Arial" w:cs="Arial"/>
                <w:b/>
                <w:bCs/>
                <w:sz w:val="20"/>
                <w:szCs w:val="20"/>
                <w:lang w:val="hr-HR"/>
              </w:rPr>
            </w:pPr>
            <w:bookmarkStart w:id="535" w:name="_Toc4058074"/>
            <w:r w:rsidRPr="00587444">
              <w:rPr>
                <w:rFonts w:ascii="Arial" w:hAnsi="Arial" w:cs="Arial"/>
                <w:b/>
                <w:bCs/>
                <w:sz w:val="20"/>
                <w:szCs w:val="20"/>
                <w:lang w:val="hr-HR"/>
              </w:rPr>
              <w:t>-</w:t>
            </w:r>
            <w:bookmarkEnd w:id="535"/>
          </w:p>
        </w:tc>
        <w:tc>
          <w:tcPr>
            <w:tcW w:w="678" w:type="pct"/>
            <w:tcBorders>
              <w:top w:val="single" w:sz="4" w:space="0" w:color="auto"/>
              <w:bottom w:val="single" w:sz="12" w:space="0" w:color="auto"/>
            </w:tcBorders>
            <w:shd w:val="clear" w:color="auto" w:fill="auto"/>
            <w:vAlign w:val="bottom"/>
          </w:tcPr>
          <w:p w14:paraId="5E203FDF" w14:textId="77777777" w:rsidR="00587444" w:rsidRPr="00587444" w:rsidRDefault="00587444" w:rsidP="00587444">
            <w:pPr>
              <w:tabs>
                <w:tab w:val="right" w:pos="1202"/>
              </w:tabs>
              <w:suppressAutoHyphens w:val="0"/>
              <w:autoSpaceDN/>
              <w:jc w:val="right"/>
              <w:outlineLvl w:val="0"/>
              <w:rPr>
                <w:rFonts w:ascii="Arial" w:hAnsi="Arial" w:cs="Arial"/>
                <w:b/>
                <w:bCs/>
                <w:sz w:val="20"/>
                <w:szCs w:val="20"/>
                <w:lang w:val="hr-HR"/>
              </w:rPr>
            </w:pPr>
            <w:bookmarkStart w:id="536" w:name="_Toc4058075"/>
            <w:r w:rsidRPr="00587444">
              <w:rPr>
                <w:rFonts w:ascii="Arial" w:hAnsi="Arial" w:cs="Arial"/>
                <w:b/>
                <w:bCs/>
                <w:sz w:val="20"/>
                <w:szCs w:val="20"/>
                <w:lang w:val="hr-HR"/>
              </w:rPr>
              <w:t>-</w:t>
            </w:r>
            <w:bookmarkEnd w:id="536"/>
          </w:p>
        </w:tc>
      </w:tr>
    </w:tbl>
    <w:p w14:paraId="13807E7C" w14:textId="77777777" w:rsidR="00587444" w:rsidRPr="00587444" w:rsidRDefault="00587444" w:rsidP="00587444">
      <w:pPr>
        <w:keepNext/>
        <w:suppressAutoHyphens w:val="0"/>
        <w:autoSpaceDN/>
        <w:jc w:val="both"/>
        <w:rPr>
          <w:rFonts w:ascii="Arial" w:hAnsi="Arial" w:cs="Arial"/>
          <w:sz w:val="20"/>
          <w:szCs w:val="20"/>
        </w:rPr>
      </w:pPr>
    </w:p>
    <w:p w14:paraId="4381260D" w14:textId="77777777" w:rsidR="00587444" w:rsidRPr="00587444" w:rsidRDefault="00587444" w:rsidP="00587932">
      <w:pPr>
        <w:autoSpaceDN/>
        <w:jc w:val="both"/>
        <w:rPr>
          <w:rFonts w:ascii="Arial" w:hAnsi="Arial" w:cs="Arial"/>
          <w:color w:val="000000"/>
          <w:sz w:val="20"/>
          <w:szCs w:val="20"/>
          <w:lang w:val="en-GB"/>
        </w:rPr>
      </w:pPr>
      <w:r w:rsidRPr="00587444">
        <w:rPr>
          <w:rFonts w:ascii="Arial" w:hAnsi="Arial" w:cs="Arial"/>
          <w:color w:val="000000"/>
          <w:sz w:val="20"/>
          <w:szCs w:val="20"/>
          <w:lang w:val="en-GB"/>
        </w:rPr>
        <w:t xml:space="preserve">Provisions for losses as </w:t>
      </w:r>
      <w:proofErr w:type="gramStart"/>
      <w:r w:rsidRPr="00587444">
        <w:rPr>
          <w:rFonts w:ascii="Arial" w:hAnsi="Arial" w:cs="Arial"/>
          <w:color w:val="000000"/>
          <w:sz w:val="20"/>
          <w:szCs w:val="20"/>
          <w:lang w:val="en-GB"/>
        </w:rPr>
        <w:t>at</w:t>
      </w:r>
      <w:proofErr w:type="gramEnd"/>
      <w:r w:rsidRPr="00587444">
        <w:rPr>
          <w:rFonts w:ascii="Arial" w:hAnsi="Arial" w:cs="Arial"/>
          <w:color w:val="000000"/>
          <w:sz w:val="20"/>
          <w:szCs w:val="20"/>
          <w:lang w:val="en-GB"/>
        </w:rPr>
        <w:t xml:space="preserve"> 31 December 2024 consisted of reported and unreported losses in the framework proportion 25:75. </w:t>
      </w:r>
      <w:r w:rsidRPr="00587444">
        <w:rPr>
          <w:rFonts w:ascii="Arial" w:hAnsi="Arial" w:cs="Arial"/>
          <w:bCs/>
          <w:color w:val="000000"/>
          <w:sz w:val="20"/>
          <w:szCs w:val="20"/>
          <w:lang w:val="en-GB"/>
        </w:rPr>
        <w:t xml:space="preserve">At the end of 2022, total gross provisions for losses decreased compared to the end of 2021 by 26%. </w:t>
      </w:r>
      <w:r w:rsidRPr="00587444">
        <w:rPr>
          <w:rFonts w:ascii="Arial" w:hAnsi="Arial" w:cs="Arial"/>
          <w:color w:val="000000"/>
          <w:sz w:val="20"/>
          <w:szCs w:val="20"/>
          <w:lang w:val="en-GB"/>
        </w:rPr>
        <w:t xml:space="preserve">The </w:t>
      </w:r>
      <w:proofErr w:type="spellStart"/>
      <w:r w:rsidRPr="00587444">
        <w:rPr>
          <w:rFonts w:ascii="Arial" w:hAnsi="Arial" w:cs="Arial"/>
          <w:color w:val="000000"/>
          <w:sz w:val="20"/>
          <w:szCs w:val="20"/>
          <w:lang w:val="en-GB"/>
        </w:rPr>
        <w:t>Bornhuetter</w:t>
      </w:r>
      <w:proofErr w:type="spellEnd"/>
      <w:r w:rsidRPr="00587444">
        <w:rPr>
          <w:rFonts w:ascii="Arial" w:hAnsi="Arial" w:cs="Arial"/>
          <w:color w:val="000000"/>
          <w:sz w:val="20"/>
          <w:szCs w:val="20"/>
          <w:lang w:val="en-GB"/>
        </w:rPr>
        <w:t xml:space="preserve">-Ferguson method was used with respect to the gross </w:t>
      </w:r>
      <w:proofErr w:type="gramStart"/>
      <w:r w:rsidRPr="00587444">
        <w:rPr>
          <w:rFonts w:ascii="Arial" w:hAnsi="Arial" w:cs="Arial"/>
          <w:color w:val="000000"/>
          <w:sz w:val="20"/>
          <w:szCs w:val="20"/>
          <w:lang w:val="en-GB"/>
        </w:rPr>
        <w:t>amount</w:t>
      </w:r>
      <w:proofErr w:type="gramEnd"/>
      <w:r w:rsidRPr="00587444">
        <w:rPr>
          <w:rFonts w:ascii="Arial" w:hAnsi="Arial" w:cs="Arial"/>
          <w:color w:val="000000"/>
          <w:sz w:val="20"/>
          <w:szCs w:val="20"/>
          <w:lang w:val="en-GB"/>
        </w:rPr>
        <w:t xml:space="preserve"> of reserves for the losses not reported, whereas the amount of the actual losses incurred was used with respect to the reported losses. The reinsurance share was determined in accordance with the terms and conditions of reinsurance in force.</w:t>
      </w:r>
    </w:p>
    <w:p w14:paraId="4C9D93BE" w14:textId="77777777" w:rsidR="00587444" w:rsidRPr="00587444" w:rsidRDefault="00587444" w:rsidP="00587444">
      <w:pPr>
        <w:keepNext/>
        <w:suppressAutoHyphens w:val="0"/>
        <w:autoSpaceDN/>
        <w:spacing w:before="120"/>
        <w:jc w:val="both"/>
        <w:rPr>
          <w:rFonts w:ascii="Arial" w:hAnsi="Arial" w:cs="Arial"/>
          <w:b/>
          <w:bCs/>
          <w:sz w:val="20"/>
          <w:szCs w:val="20"/>
          <w:lang w:val="en-GB"/>
        </w:rPr>
        <w:sectPr w:rsidR="00587444" w:rsidRPr="00587444" w:rsidSect="00DD69E7">
          <w:pgSz w:w="11907" w:h="16840" w:code="9"/>
          <w:pgMar w:top="1418" w:right="1134" w:bottom="1134" w:left="1418" w:header="851" w:footer="851" w:gutter="0"/>
          <w:cols w:space="720"/>
          <w:noEndnote/>
        </w:sectPr>
      </w:pPr>
    </w:p>
    <w:p w14:paraId="5439C3C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471793E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10.</w:t>
      </w:r>
      <w:r w:rsidRPr="00587444">
        <w:rPr>
          <w:rFonts w:ascii="Arial" w:hAnsi="Arial" w:cs="Arial"/>
          <w:b/>
          <w:bCs/>
          <w:sz w:val="20"/>
          <w:szCs w:val="20"/>
          <w:lang w:val="en-GB"/>
        </w:rPr>
        <w:tab/>
        <w:t>Impairment loss and provisions</w:t>
      </w:r>
    </w:p>
    <w:p w14:paraId="6E913DF5" w14:textId="77777777" w:rsidR="00587444" w:rsidRPr="00587444" w:rsidRDefault="00587444" w:rsidP="00587444">
      <w:pPr>
        <w:keepNext/>
        <w:suppressAutoHyphens w:val="0"/>
        <w:autoSpaceDN/>
        <w:jc w:val="both"/>
        <w:rPr>
          <w:rFonts w:ascii="Arial" w:hAnsi="Arial" w:cs="Arial"/>
          <w:sz w:val="20"/>
          <w:szCs w:val="20"/>
          <w:lang w:val="en-GB"/>
        </w:rPr>
      </w:pPr>
    </w:p>
    <w:p w14:paraId="5502DFAE"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The provision for impairment losses/(gains) on placements may be summarized as follows:</w:t>
      </w:r>
    </w:p>
    <w:p w14:paraId="6A4C03D4" w14:textId="77777777" w:rsidR="00587444" w:rsidRPr="00587444" w:rsidRDefault="00587444">
      <w:pPr>
        <w:keepNext/>
        <w:numPr>
          <w:ilvl w:val="1"/>
          <w:numId w:val="41"/>
        </w:numPr>
        <w:suppressAutoHyphens w:val="0"/>
        <w:autoSpaceDN/>
        <w:spacing w:before="240" w:after="120" w:line="360" w:lineRule="auto"/>
        <w:ind w:left="284" w:hanging="284"/>
        <w:jc w:val="both"/>
        <w:rPr>
          <w:rFonts w:ascii="Arial" w:hAnsi="Arial" w:cs="Arial"/>
          <w:b/>
          <w:sz w:val="20"/>
          <w:szCs w:val="20"/>
          <w:lang w:val="en-GB"/>
        </w:rPr>
      </w:pPr>
      <w:r w:rsidRPr="00587444">
        <w:rPr>
          <w:rFonts w:ascii="Arial" w:hAnsi="Arial" w:cs="Arial"/>
          <w:b/>
          <w:bCs/>
          <w:sz w:val="20"/>
          <w:szCs w:val="20"/>
          <w:lang w:val="en-GB"/>
        </w:rPr>
        <w:t>Impairment loss and provisions on financial instruments in accordance with IFRS 9</w:t>
      </w:r>
    </w:p>
    <w:tbl>
      <w:tblPr>
        <w:tblW w:w="4858" w:type="pct"/>
        <w:tblInd w:w="-142" w:type="dxa"/>
        <w:tblLayout w:type="fixed"/>
        <w:tblCellMar>
          <w:left w:w="120" w:type="dxa"/>
          <w:right w:w="120" w:type="dxa"/>
        </w:tblCellMar>
        <w:tblLook w:val="0000" w:firstRow="0" w:lastRow="0" w:firstColumn="0" w:lastColumn="0" w:noHBand="0" w:noVBand="0"/>
      </w:tblPr>
      <w:tblGrid>
        <w:gridCol w:w="4168"/>
        <w:gridCol w:w="1387"/>
        <w:gridCol w:w="1225"/>
        <w:gridCol w:w="1262"/>
        <w:gridCol w:w="1281"/>
      </w:tblGrid>
      <w:tr w:rsidR="00587444" w:rsidRPr="00587444" w14:paraId="16CAE575" w14:textId="77777777" w:rsidTr="00DD69E7">
        <w:trPr>
          <w:trHeight w:val="293"/>
        </w:trPr>
        <w:tc>
          <w:tcPr>
            <w:tcW w:w="2235" w:type="pct"/>
          </w:tcPr>
          <w:p w14:paraId="013BD242" w14:textId="77777777" w:rsidR="00587444" w:rsidRPr="00587444" w:rsidRDefault="00587444" w:rsidP="00587444">
            <w:pPr>
              <w:tabs>
                <w:tab w:val="right" w:pos="1202"/>
              </w:tabs>
              <w:suppressAutoHyphens w:val="0"/>
              <w:autoSpaceDN/>
              <w:spacing w:line="300" w:lineRule="exact"/>
              <w:outlineLvl w:val="0"/>
              <w:rPr>
                <w:rFonts w:ascii="Arial" w:hAnsi="Arial" w:cs="Arial"/>
                <w:b/>
                <w:sz w:val="20"/>
                <w:szCs w:val="20"/>
                <w:lang w:val="en-GB"/>
              </w:rPr>
            </w:pPr>
          </w:p>
        </w:tc>
        <w:tc>
          <w:tcPr>
            <w:tcW w:w="744" w:type="pct"/>
          </w:tcPr>
          <w:p w14:paraId="6EFDD33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57" w:type="pct"/>
          </w:tcPr>
          <w:p w14:paraId="1A9CC96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37" w:name="_Toc4058076"/>
            <w:r w:rsidRPr="00587444">
              <w:rPr>
                <w:rFonts w:ascii="Arial" w:hAnsi="Arial" w:cs="Arial"/>
                <w:b/>
                <w:sz w:val="20"/>
                <w:szCs w:val="20"/>
                <w:lang w:val="hr-HR"/>
              </w:rPr>
              <w:t>Group</w:t>
            </w:r>
            <w:bookmarkEnd w:id="537"/>
          </w:p>
        </w:tc>
        <w:tc>
          <w:tcPr>
            <w:tcW w:w="677" w:type="pct"/>
          </w:tcPr>
          <w:p w14:paraId="0BE6A94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87" w:type="pct"/>
          </w:tcPr>
          <w:p w14:paraId="2AF8686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38" w:name="_Toc4058077"/>
            <w:r w:rsidRPr="00587444">
              <w:rPr>
                <w:rFonts w:ascii="Arial" w:hAnsi="Arial" w:cs="Arial"/>
                <w:b/>
                <w:sz w:val="20"/>
                <w:szCs w:val="20"/>
                <w:lang w:val="hr-HR"/>
              </w:rPr>
              <w:t>Bank</w:t>
            </w:r>
            <w:bookmarkEnd w:id="538"/>
          </w:p>
        </w:tc>
      </w:tr>
      <w:tr w:rsidR="00587444" w:rsidRPr="00587444" w14:paraId="0ECAA026" w14:textId="77777777" w:rsidTr="00DD69E7">
        <w:trPr>
          <w:trHeight w:hRule="exact" w:val="280"/>
        </w:trPr>
        <w:tc>
          <w:tcPr>
            <w:tcW w:w="2235" w:type="pct"/>
          </w:tcPr>
          <w:p w14:paraId="00D17467" w14:textId="77777777" w:rsidR="00587444" w:rsidRPr="00587444" w:rsidRDefault="00587444" w:rsidP="00587444">
            <w:pPr>
              <w:tabs>
                <w:tab w:val="right" w:pos="1202"/>
              </w:tabs>
              <w:suppressAutoHyphens w:val="0"/>
              <w:autoSpaceDN/>
              <w:spacing w:line="300" w:lineRule="exact"/>
              <w:outlineLvl w:val="0"/>
              <w:rPr>
                <w:rFonts w:ascii="Arial" w:hAnsi="Arial" w:cs="Arial"/>
                <w:b/>
                <w:sz w:val="20"/>
                <w:szCs w:val="20"/>
                <w:lang w:val="en-GB"/>
              </w:rPr>
            </w:pPr>
          </w:p>
        </w:tc>
        <w:tc>
          <w:tcPr>
            <w:tcW w:w="744" w:type="pct"/>
            <w:vAlign w:val="center"/>
          </w:tcPr>
          <w:p w14:paraId="7E6B3E0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657" w:type="pct"/>
            <w:vAlign w:val="center"/>
          </w:tcPr>
          <w:p w14:paraId="7338601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2021</w:t>
            </w:r>
          </w:p>
        </w:tc>
        <w:tc>
          <w:tcPr>
            <w:tcW w:w="677" w:type="pct"/>
            <w:vAlign w:val="center"/>
          </w:tcPr>
          <w:p w14:paraId="54CC841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687" w:type="pct"/>
            <w:vAlign w:val="center"/>
          </w:tcPr>
          <w:p w14:paraId="44F53A4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2021</w:t>
            </w:r>
          </w:p>
        </w:tc>
      </w:tr>
      <w:tr w:rsidR="00587444" w:rsidRPr="00587444" w14:paraId="372DA0E7" w14:textId="77777777" w:rsidTr="00DD69E7">
        <w:trPr>
          <w:trHeight w:val="293"/>
        </w:trPr>
        <w:tc>
          <w:tcPr>
            <w:tcW w:w="2235" w:type="pct"/>
          </w:tcPr>
          <w:p w14:paraId="0E6E952B" w14:textId="77777777" w:rsidR="00587444" w:rsidRPr="00587444" w:rsidRDefault="00587444" w:rsidP="00587444">
            <w:pPr>
              <w:tabs>
                <w:tab w:val="right" w:pos="1202"/>
              </w:tabs>
              <w:suppressAutoHyphens w:val="0"/>
              <w:autoSpaceDN/>
              <w:spacing w:line="300" w:lineRule="exact"/>
              <w:outlineLvl w:val="0"/>
              <w:rPr>
                <w:rFonts w:ascii="Arial" w:hAnsi="Arial" w:cs="Arial"/>
                <w:b/>
                <w:sz w:val="20"/>
                <w:szCs w:val="20"/>
                <w:lang w:val="en-GB"/>
              </w:rPr>
            </w:pPr>
          </w:p>
        </w:tc>
        <w:tc>
          <w:tcPr>
            <w:tcW w:w="744" w:type="pct"/>
          </w:tcPr>
          <w:p w14:paraId="435D5169" w14:textId="77777777" w:rsidR="00587444" w:rsidRPr="00587444" w:rsidRDefault="00587444" w:rsidP="00587444">
            <w:pPr>
              <w:tabs>
                <w:tab w:val="right" w:pos="1202"/>
              </w:tabs>
              <w:suppressAutoHyphens w:val="0"/>
              <w:autoSpaceDN/>
              <w:spacing w:line="300" w:lineRule="exact"/>
              <w:jc w:val="right"/>
              <w:outlineLvl w:val="0"/>
              <w:rPr>
                <w:rFonts w:ascii="Arial" w:hAnsi="Arial" w:cs="Arial"/>
                <w:b/>
                <w:sz w:val="20"/>
                <w:szCs w:val="20"/>
                <w:lang w:val="en-GB"/>
              </w:rPr>
            </w:pPr>
            <w:bookmarkStart w:id="539" w:name="_Toc4058082"/>
            <w:r w:rsidRPr="00587444">
              <w:rPr>
                <w:rFonts w:ascii="Arial" w:hAnsi="Arial" w:cs="Arial"/>
                <w:b/>
                <w:sz w:val="20"/>
                <w:szCs w:val="20"/>
                <w:lang w:val="en-GB"/>
              </w:rPr>
              <w:t>HRK ‘000</w:t>
            </w:r>
            <w:bookmarkEnd w:id="539"/>
          </w:p>
        </w:tc>
        <w:tc>
          <w:tcPr>
            <w:tcW w:w="657" w:type="pct"/>
          </w:tcPr>
          <w:p w14:paraId="6E090B39" w14:textId="77777777" w:rsidR="00587444" w:rsidRPr="00587444" w:rsidRDefault="00587444" w:rsidP="00587444">
            <w:pPr>
              <w:tabs>
                <w:tab w:val="right" w:pos="1202"/>
              </w:tabs>
              <w:suppressAutoHyphens w:val="0"/>
              <w:autoSpaceDN/>
              <w:spacing w:line="300" w:lineRule="exact"/>
              <w:jc w:val="right"/>
              <w:outlineLvl w:val="0"/>
              <w:rPr>
                <w:rFonts w:ascii="Arial" w:hAnsi="Arial" w:cs="Arial"/>
                <w:b/>
                <w:sz w:val="20"/>
                <w:szCs w:val="20"/>
                <w:lang w:val="en-GB"/>
              </w:rPr>
            </w:pPr>
            <w:bookmarkStart w:id="540" w:name="_Toc4058083"/>
            <w:r w:rsidRPr="00587444">
              <w:rPr>
                <w:rFonts w:ascii="Arial" w:hAnsi="Arial" w:cs="Arial"/>
                <w:b/>
                <w:sz w:val="20"/>
                <w:szCs w:val="20"/>
                <w:lang w:val="en-GB"/>
              </w:rPr>
              <w:t>HRK ‘000</w:t>
            </w:r>
            <w:bookmarkEnd w:id="540"/>
          </w:p>
        </w:tc>
        <w:tc>
          <w:tcPr>
            <w:tcW w:w="677" w:type="pct"/>
          </w:tcPr>
          <w:p w14:paraId="6C0080FE" w14:textId="77777777" w:rsidR="00587444" w:rsidRPr="00587444" w:rsidRDefault="00587444" w:rsidP="00587444">
            <w:pPr>
              <w:tabs>
                <w:tab w:val="right" w:pos="1202"/>
              </w:tabs>
              <w:suppressAutoHyphens w:val="0"/>
              <w:autoSpaceDN/>
              <w:spacing w:line="300" w:lineRule="exact"/>
              <w:jc w:val="right"/>
              <w:outlineLvl w:val="0"/>
              <w:rPr>
                <w:rFonts w:ascii="Arial" w:hAnsi="Arial" w:cs="Arial"/>
                <w:b/>
                <w:sz w:val="20"/>
                <w:szCs w:val="20"/>
                <w:lang w:val="en-GB"/>
              </w:rPr>
            </w:pPr>
            <w:bookmarkStart w:id="541" w:name="_Toc4058084"/>
            <w:r w:rsidRPr="00587444">
              <w:rPr>
                <w:rFonts w:ascii="Arial" w:hAnsi="Arial" w:cs="Arial"/>
                <w:b/>
                <w:sz w:val="20"/>
                <w:szCs w:val="20"/>
                <w:lang w:val="en-GB"/>
              </w:rPr>
              <w:t>HRK ‘000</w:t>
            </w:r>
            <w:bookmarkEnd w:id="541"/>
          </w:p>
        </w:tc>
        <w:tc>
          <w:tcPr>
            <w:tcW w:w="687" w:type="pct"/>
          </w:tcPr>
          <w:p w14:paraId="6A6170B4" w14:textId="77777777" w:rsidR="00587444" w:rsidRPr="00587444" w:rsidRDefault="00587444" w:rsidP="00587444">
            <w:pPr>
              <w:tabs>
                <w:tab w:val="right" w:pos="1202"/>
              </w:tabs>
              <w:suppressAutoHyphens w:val="0"/>
              <w:autoSpaceDN/>
              <w:spacing w:line="300" w:lineRule="exact"/>
              <w:jc w:val="right"/>
              <w:outlineLvl w:val="0"/>
              <w:rPr>
                <w:rFonts w:ascii="Arial" w:hAnsi="Arial" w:cs="Arial"/>
                <w:b/>
                <w:sz w:val="20"/>
                <w:szCs w:val="20"/>
                <w:lang w:val="en-GB"/>
              </w:rPr>
            </w:pPr>
            <w:bookmarkStart w:id="542" w:name="_Toc4058085"/>
            <w:r w:rsidRPr="00587444">
              <w:rPr>
                <w:rFonts w:ascii="Arial" w:hAnsi="Arial" w:cs="Arial"/>
                <w:b/>
                <w:sz w:val="20"/>
                <w:szCs w:val="20"/>
                <w:lang w:val="en-GB"/>
              </w:rPr>
              <w:t>HRK ‘000</w:t>
            </w:r>
            <w:bookmarkEnd w:id="542"/>
          </w:p>
        </w:tc>
      </w:tr>
      <w:tr w:rsidR="00587444" w:rsidRPr="00587444" w14:paraId="22F164C3" w14:textId="77777777" w:rsidTr="00DD69E7">
        <w:trPr>
          <w:trHeight w:val="586"/>
        </w:trPr>
        <w:tc>
          <w:tcPr>
            <w:tcW w:w="2235" w:type="pct"/>
            <w:vAlign w:val="bottom"/>
          </w:tcPr>
          <w:p w14:paraId="6C828CE4" w14:textId="77777777" w:rsidR="00587444" w:rsidRPr="00587444" w:rsidRDefault="00587444" w:rsidP="00587444">
            <w:pPr>
              <w:tabs>
                <w:tab w:val="right" w:pos="1202"/>
              </w:tabs>
              <w:suppressAutoHyphens w:val="0"/>
              <w:autoSpaceDN/>
              <w:spacing w:line="300" w:lineRule="exact"/>
              <w:outlineLvl w:val="0"/>
              <w:rPr>
                <w:rFonts w:ascii="Arial" w:hAnsi="Arial" w:cs="Arial"/>
                <w:sz w:val="20"/>
                <w:szCs w:val="20"/>
                <w:lang w:val="en-GB"/>
              </w:rPr>
            </w:pPr>
            <w:bookmarkStart w:id="543" w:name="_Toc4058086"/>
            <w:r w:rsidRPr="00587444">
              <w:rPr>
                <w:rFonts w:ascii="Arial" w:hAnsi="Arial" w:cs="Arial"/>
                <w:sz w:val="20"/>
                <w:szCs w:val="20"/>
                <w:lang w:val="en-GB"/>
              </w:rPr>
              <w:t>Impairment losses on cash on hand and due from financial institutions</w:t>
            </w:r>
            <w:bookmarkEnd w:id="543"/>
          </w:p>
        </w:tc>
        <w:tc>
          <w:tcPr>
            <w:tcW w:w="744" w:type="pct"/>
            <w:tcBorders>
              <w:top w:val="nil"/>
              <w:left w:val="nil"/>
              <w:bottom w:val="nil"/>
              <w:right w:val="nil"/>
            </w:tcBorders>
            <w:shd w:val="clear" w:color="auto" w:fill="auto"/>
            <w:vAlign w:val="bottom"/>
          </w:tcPr>
          <w:p w14:paraId="6763F1E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4,250 </w:t>
            </w:r>
          </w:p>
        </w:tc>
        <w:tc>
          <w:tcPr>
            <w:tcW w:w="657" w:type="pct"/>
            <w:tcBorders>
              <w:top w:val="nil"/>
              <w:left w:val="nil"/>
              <w:bottom w:val="nil"/>
              <w:right w:val="nil"/>
            </w:tcBorders>
            <w:shd w:val="clear" w:color="auto" w:fill="auto"/>
            <w:vAlign w:val="bottom"/>
          </w:tcPr>
          <w:p w14:paraId="0043F42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156</w:t>
            </w:r>
          </w:p>
        </w:tc>
        <w:tc>
          <w:tcPr>
            <w:tcW w:w="677" w:type="pct"/>
            <w:tcBorders>
              <w:top w:val="nil"/>
              <w:left w:val="nil"/>
              <w:bottom w:val="nil"/>
              <w:right w:val="nil"/>
            </w:tcBorders>
            <w:shd w:val="clear" w:color="auto" w:fill="auto"/>
            <w:vAlign w:val="bottom"/>
          </w:tcPr>
          <w:p w14:paraId="49F934D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4,250 </w:t>
            </w:r>
          </w:p>
        </w:tc>
        <w:tc>
          <w:tcPr>
            <w:tcW w:w="687" w:type="pct"/>
            <w:tcBorders>
              <w:top w:val="nil"/>
              <w:left w:val="nil"/>
              <w:bottom w:val="nil"/>
              <w:right w:val="nil"/>
            </w:tcBorders>
            <w:shd w:val="clear" w:color="auto" w:fill="auto"/>
            <w:vAlign w:val="bottom"/>
          </w:tcPr>
          <w:p w14:paraId="786DAF7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160</w:t>
            </w:r>
          </w:p>
        </w:tc>
      </w:tr>
      <w:tr w:rsidR="00587444" w:rsidRPr="00587444" w14:paraId="60059338" w14:textId="77777777" w:rsidTr="00DD69E7">
        <w:trPr>
          <w:trHeight w:val="293"/>
        </w:trPr>
        <w:tc>
          <w:tcPr>
            <w:tcW w:w="2235" w:type="pct"/>
            <w:vAlign w:val="bottom"/>
          </w:tcPr>
          <w:p w14:paraId="21B3627C" w14:textId="77777777" w:rsidR="00587444" w:rsidRPr="00587444" w:rsidRDefault="00587444" w:rsidP="00587444">
            <w:pPr>
              <w:tabs>
                <w:tab w:val="right" w:pos="1202"/>
              </w:tabs>
              <w:suppressAutoHyphens w:val="0"/>
              <w:autoSpaceDN/>
              <w:spacing w:line="300" w:lineRule="exact"/>
              <w:outlineLvl w:val="0"/>
              <w:rPr>
                <w:rFonts w:ascii="Arial" w:hAnsi="Arial" w:cs="Arial"/>
                <w:sz w:val="20"/>
                <w:szCs w:val="20"/>
                <w:lang w:val="en-GB"/>
              </w:rPr>
            </w:pPr>
            <w:bookmarkStart w:id="544" w:name="_Toc4058091"/>
            <w:r w:rsidRPr="00587444">
              <w:rPr>
                <w:rFonts w:ascii="Arial" w:hAnsi="Arial" w:cs="Arial"/>
                <w:sz w:val="20"/>
                <w:szCs w:val="20"/>
                <w:lang w:val="en-GB"/>
              </w:rPr>
              <w:t>Impairment losses on deposits with other banks</w:t>
            </w:r>
            <w:bookmarkEnd w:id="544"/>
          </w:p>
        </w:tc>
        <w:tc>
          <w:tcPr>
            <w:tcW w:w="744" w:type="pct"/>
            <w:tcBorders>
              <w:top w:val="nil"/>
              <w:left w:val="nil"/>
              <w:bottom w:val="nil"/>
              <w:right w:val="nil"/>
            </w:tcBorders>
            <w:shd w:val="clear" w:color="auto" w:fill="auto"/>
            <w:vAlign w:val="bottom"/>
          </w:tcPr>
          <w:p w14:paraId="79D5FA1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28 </w:t>
            </w:r>
          </w:p>
        </w:tc>
        <w:tc>
          <w:tcPr>
            <w:tcW w:w="657" w:type="pct"/>
            <w:tcBorders>
              <w:top w:val="nil"/>
              <w:left w:val="nil"/>
              <w:bottom w:val="nil"/>
              <w:right w:val="nil"/>
            </w:tcBorders>
            <w:shd w:val="clear" w:color="auto" w:fill="auto"/>
            <w:vAlign w:val="bottom"/>
          </w:tcPr>
          <w:p w14:paraId="20E9779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w:t>
            </w:r>
          </w:p>
        </w:tc>
        <w:tc>
          <w:tcPr>
            <w:tcW w:w="677" w:type="pct"/>
            <w:tcBorders>
              <w:top w:val="nil"/>
              <w:left w:val="nil"/>
              <w:bottom w:val="nil"/>
              <w:right w:val="nil"/>
            </w:tcBorders>
            <w:shd w:val="clear" w:color="auto" w:fill="auto"/>
            <w:vAlign w:val="bottom"/>
          </w:tcPr>
          <w:p w14:paraId="379EA1B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w:t>
            </w:r>
          </w:p>
        </w:tc>
        <w:tc>
          <w:tcPr>
            <w:tcW w:w="687" w:type="pct"/>
            <w:tcBorders>
              <w:top w:val="nil"/>
              <w:left w:val="nil"/>
              <w:bottom w:val="nil"/>
              <w:right w:val="nil"/>
            </w:tcBorders>
            <w:shd w:val="clear" w:color="auto" w:fill="auto"/>
            <w:vAlign w:val="bottom"/>
          </w:tcPr>
          <w:p w14:paraId="5BAEE7F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w:t>
            </w:r>
          </w:p>
        </w:tc>
      </w:tr>
      <w:tr w:rsidR="00587444" w:rsidRPr="00587444" w14:paraId="797DD0AD" w14:textId="77777777" w:rsidTr="00DD69E7">
        <w:trPr>
          <w:trHeight w:val="304"/>
        </w:trPr>
        <w:tc>
          <w:tcPr>
            <w:tcW w:w="2235" w:type="pct"/>
            <w:vAlign w:val="bottom"/>
          </w:tcPr>
          <w:p w14:paraId="5BB2C8AA" w14:textId="77777777" w:rsidR="004F10C3" w:rsidRDefault="00587444" w:rsidP="00587444">
            <w:pPr>
              <w:tabs>
                <w:tab w:val="right" w:pos="1202"/>
              </w:tabs>
              <w:suppressAutoHyphens w:val="0"/>
              <w:autoSpaceDN/>
              <w:spacing w:line="300" w:lineRule="exact"/>
              <w:outlineLvl w:val="0"/>
              <w:rPr>
                <w:rFonts w:ascii="Arial" w:hAnsi="Arial" w:cs="Arial"/>
                <w:sz w:val="20"/>
                <w:szCs w:val="20"/>
                <w:lang w:val="en-GB"/>
              </w:rPr>
            </w:pPr>
            <w:bookmarkStart w:id="545" w:name="_Toc4058096"/>
            <w:r w:rsidRPr="00587444">
              <w:rPr>
                <w:rFonts w:ascii="Arial" w:hAnsi="Arial" w:cs="Arial"/>
                <w:sz w:val="20"/>
                <w:szCs w:val="20"/>
                <w:lang w:val="en-GB"/>
              </w:rPr>
              <w:t xml:space="preserve">Impairment losses on loans to financial </w:t>
            </w:r>
          </w:p>
          <w:p w14:paraId="50EDB6CA" w14:textId="3FAFF0B9" w:rsidR="00587444" w:rsidRPr="00587444" w:rsidRDefault="00587444" w:rsidP="00587444">
            <w:pPr>
              <w:tabs>
                <w:tab w:val="right" w:pos="1202"/>
              </w:tabs>
              <w:suppressAutoHyphens w:val="0"/>
              <w:autoSpaceDN/>
              <w:spacing w:line="300" w:lineRule="exact"/>
              <w:outlineLvl w:val="0"/>
              <w:rPr>
                <w:rFonts w:ascii="Arial" w:hAnsi="Arial" w:cs="Arial"/>
                <w:sz w:val="20"/>
                <w:szCs w:val="20"/>
                <w:lang w:val="en-GB"/>
              </w:rPr>
            </w:pPr>
            <w:r w:rsidRPr="00587444">
              <w:rPr>
                <w:rFonts w:ascii="Arial" w:hAnsi="Arial" w:cs="Arial"/>
                <w:sz w:val="20"/>
                <w:szCs w:val="20"/>
                <w:lang w:val="en-GB"/>
              </w:rPr>
              <w:t>institutions</w:t>
            </w:r>
            <w:bookmarkEnd w:id="545"/>
          </w:p>
        </w:tc>
        <w:tc>
          <w:tcPr>
            <w:tcW w:w="744" w:type="pct"/>
            <w:tcBorders>
              <w:top w:val="nil"/>
              <w:left w:val="nil"/>
              <w:bottom w:val="nil"/>
              <w:right w:val="nil"/>
            </w:tcBorders>
            <w:shd w:val="clear" w:color="auto" w:fill="auto"/>
            <w:vAlign w:val="bottom"/>
          </w:tcPr>
          <w:p w14:paraId="4A8A4F5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1,906 </w:t>
            </w:r>
          </w:p>
        </w:tc>
        <w:tc>
          <w:tcPr>
            <w:tcW w:w="657" w:type="pct"/>
            <w:tcBorders>
              <w:top w:val="nil"/>
              <w:left w:val="nil"/>
              <w:bottom w:val="nil"/>
              <w:right w:val="nil"/>
            </w:tcBorders>
            <w:shd w:val="clear" w:color="auto" w:fill="auto"/>
            <w:vAlign w:val="bottom"/>
          </w:tcPr>
          <w:p w14:paraId="3713261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(23,698)</w:t>
            </w:r>
          </w:p>
        </w:tc>
        <w:tc>
          <w:tcPr>
            <w:tcW w:w="677" w:type="pct"/>
            <w:tcBorders>
              <w:top w:val="nil"/>
              <w:left w:val="nil"/>
              <w:bottom w:val="nil"/>
              <w:right w:val="nil"/>
            </w:tcBorders>
            <w:shd w:val="clear" w:color="auto" w:fill="auto"/>
            <w:vAlign w:val="bottom"/>
          </w:tcPr>
          <w:p w14:paraId="74A8CD2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1,906 </w:t>
            </w:r>
          </w:p>
        </w:tc>
        <w:tc>
          <w:tcPr>
            <w:tcW w:w="687" w:type="pct"/>
            <w:tcBorders>
              <w:top w:val="nil"/>
              <w:left w:val="nil"/>
              <w:bottom w:val="nil"/>
              <w:right w:val="nil"/>
            </w:tcBorders>
            <w:shd w:val="clear" w:color="auto" w:fill="auto"/>
            <w:vAlign w:val="bottom"/>
          </w:tcPr>
          <w:p w14:paraId="0AD3C6C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(23,698)</w:t>
            </w:r>
          </w:p>
        </w:tc>
      </w:tr>
      <w:tr w:rsidR="00587444" w:rsidRPr="00587444" w14:paraId="5240D4BF" w14:textId="77777777" w:rsidTr="00DD69E7">
        <w:trPr>
          <w:trHeight w:val="586"/>
        </w:trPr>
        <w:tc>
          <w:tcPr>
            <w:tcW w:w="2235" w:type="pct"/>
            <w:vAlign w:val="bottom"/>
          </w:tcPr>
          <w:p w14:paraId="5FC49318" w14:textId="77777777" w:rsidR="004F10C3" w:rsidRDefault="00587444" w:rsidP="00587444">
            <w:pPr>
              <w:tabs>
                <w:tab w:val="right" w:pos="1202"/>
              </w:tabs>
              <w:suppressAutoHyphens w:val="0"/>
              <w:autoSpaceDN/>
              <w:spacing w:line="300" w:lineRule="exact"/>
              <w:outlineLvl w:val="0"/>
              <w:rPr>
                <w:rFonts w:ascii="Arial" w:hAnsi="Arial" w:cs="Arial"/>
                <w:sz w:val="20"/>
                <w:szCs w:val="20"/>
                <w:lang w:val="en-GB"/>
              </w:rPr>
            </w:pPr>
            <w:bookmarkStart w:id="546" w:name="_Toc4058101"/>
            <w:r w:rsidRPr="00587444">
              <w:rPr>
                <w:rFonts w:ascii="Arial" w:hAnsi="Arial" w:cs="Arial"/>
                <w:sz w:val="20"/>
                <w:szCs w:val="20"/>
                <w:lang w:val="en-GB"/>
              </w:rPr>
              <w:t xml:space="preserve">Impairment losses on loans to other </w:t>
            </w:r>
          </w:p>
          <w:p w14:paraId="6ABB7DDF" w14:textId="74C90B54" w:rsidR="00587444" w:rsidRPr="00587444" w:rsidRDefault="00587444" w:rsidP="00587444">
            <w:pPr>
              <w:tabs>
                <w:tab w:val="right" w:pos="1202"/>
              </w:tabs>
              <w:suppressAutoHyphens w:val="0"/>
              <w:autoSpaceDN/>
              <w:spacing w:line="300" w:lineRule="exact"/>
              <w:outlineLvl w:val="0"/>
              <w:rPr>
                <w:rFonts w:ascii="Arial" w:hAnsi="Arial" w:cs="Arial"/>
                <w:sz w:val="20"/>
                <w:szCs w:val="20"/>
                <w:lang w:val="en-GB"/>
              </w:rPr>
            </w:pPr>
            <w:r w:rsidRPr="00587444">
              <w:rPr>
                <w:rFonts w:ascii="Arial" w:hAnsi="Arial" w:cs="Arial"/>
                <w:sz w:val="20"/>
                <w:szCs w:val="20"/>
                <w:lang w:val="en-GB"/>
              </w:rPr>
              <w:t>customers and interest</w:t>
            </w:r>
            <w:bookmarkEnd w:id="546"/>
          </w:p>
        </w:tc>
        <w:tc>
          <w:tcPr>
            <w:tcW w:w="744" w:type="pct"/>
            <w:tcBorders>
              <w:top w:val="nil"/>
              <w:left w:val="nil"/>
              <w:bottom w:val="nil"/>
              <w:right w:val="nil"/>
            </w:tcBorders>
            <w:shd w:val="clear" w:color="auto" w:fill="auto"/>
            <w:vAlign w:val="bottom"/>
          </w:tcPr>
          <w:p w14:paraId="35D8CC1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129,990 </w:t>
            </w:r>
          </w:p>
        </w:tc>
        <w:tc>
          <w:tcPr>
            <w:tcW w:w="657" w:type="pct"/>
            <w:tcBorders>
              <w:top w:val="nil"/>
              <w:left w:val="nil"/>
              <w:bottom w:val="nil"/>
              <w:right w:val="nil"/>
            </w:tcBorders>
            <w:shd w:val="clear" w:color="auto" w:fill="auto"/>
            <w:vAlign w:val="bottom"/>
          </w:tcPr>
          <w:p w14:paraId="591BA19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78,124</w:t>
            </w:r>
          </w:p>
        </w:tc>
        <w:tc>
          <w:tcPr>
            <w:tcW w:w="677" w:type="pct"/>
            <w:tcBorders>
              <w:top w:val="nil"/>
              <w:left w:val="nil"/>
              <w:bottom w:val="nil"/>
              <w:right w:val="nil"/>
            </w:tcBorders>
            <w:shd w:val="clear" w:color="auto" w:fill="auto"/>
            <w:vAlign w:val="bottom"/>
          </w:tcPr>
          <w:p w14:paraId="14141AD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129,990 </w:t>
            </w:r>
          </w:p>
        </w:tc>
        <w:tc>
          <w:tcPr>
            <w:tcW w:w="687" w:type="pct"/>
            <w:tcBorders>
              <w:top w:val="nil"/>
              <w:left w:val="nil"/>
              <w:bottom w:val="nil"/>
              <w:right w:val="nil"/>
            </w:tcBorders>
            <w:shd w:val="clear" w:color="auto" w:fill="auto"/>
            <w:vAlign w:val="bottom"/>
          </w:tcPr>
          <w:p w14:paraId="625782C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78,124</w:t>
            </w:r>
          </w:p>
        </w:tc>
      </w:tr>
      <w:tr w:rsidR="00587444" w:rsidRPr="00587444" w14:paraId="0C03DD9B" w14:textId="77777777" w:rsidTr="00DD69E7">
        <w:trPr>
          <w:trHeight w:val="305"/>
        </w:trPr>
        <w:tc>
          <w:tcPr>
            <w:tcW w:w="2235" w:type="pct"/>
            <w:vAlign w:val="bottom"/>
          </w:tcPr>
          <w:p w14:paraId="625E782B" w14:textId="77777777" w:rsidR="004F10C3" w:rsidRDefault="00587444" w:rsidP="00587444">
            <w:pPr>
              <w:tabs>
                <w:tab w:val="right" w:pos="1202"/>
              </w:tabs>
              <w:suppressAutoHyphens w:val="0"/>
              <w:autoSpaceDN/>
              <w:spacing w:line="300" w:lineRule="exact"/>
              <w:outlineLvl w:val="0"/>
              <w:rPr>
                <w:rFonts w:ascii="Arial" w:hAnsi="Arial" w:cs="Arial"/>
                <w:sz w:val="20"/>
                <w:szCs w:val="20"/>
                <w:lang w:val="en-GB"/>
              </w:rPr>
            </w:pPr>
            <w:bookmarkStart w:id="547" w:name="_Toc4058106"/>
            <w:r w:rsidRPr="00587444">
              <w:rPr>
                <w:rFonts w:ascii="Arial" w:hAnsi="Arial" w:cs="Arial"/>
                <w:sz w:val="20"/>
                <w:szCs w:val="20"/>
                <w:lang w:val="en-GB"/>
              </w:rPr>
              <w:t xml:space="preserve">Modification (gain)/loss – financial </w:t>
            </w:r>
          </w:p>
          <w:p w14:paraId="1C2E9608" w14:textId="134BEA0C" w:rsidR="00587444" w:rsidRPr="00587444" w:rsidRDefault="00587444" w:rsidP="00587444">
            <w:pPr>
              <w:tabs>
                <w:tab w:val="right" w:pos="1202"/>
              </w:tabs>
              <w:suppressAutoHyphens w:val="0"/>
              <w:autoSpaceDN/>
              <w:spacing w:line="300" w:lineRule="exact"/>
              <w:outlineLvl w:val="0"/>
              <w:rPr>
                <w:rFonts w:ascii="Arial" w:hAnsi="Arial" w:cs="Arial"/>
                <w:sz w:val="20"/>
                <w:szCs w:val="20"/>
                <w:lang w:val="en-GB"/>
              </w:rPr>
            </w:pPr>
            <w:r w:rsidRPr="00587444">
              <w:rPr>
                <w:rFonts w:ascii="Arial" w:hAnsi="Arial" w:cs="Arial"/>
                <w:sz w:val="20"/>
                <w:szCs w:val="20"/>
                <w:lang w:val="en-GB"/>
              </w:rPr>
              <w:t>institutions</w:t>
            </w:r>
            <w:bookmarkEnd w:id="547"/>
          </w:p>
        </w:tc>
        <w:tc>
          <w:tcPr>
            <w:tcW w:w="744" w:type="pct"/>
            <w:tcBorders>
              <w:top w:val="nil"/>
              <w:left w:val="nil"/>
              <w:bottom w:val="nil"/>
              <w:right w:val="nil"/>
            </w:tcBorders>
            <w:shd w:val="clear" w:color="auto" w:fill="auto"/>
            <w:vAlign w:val="bottom"/>
          </w:tcPr>
          <w:p w14:paraId="423E60E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(1,170)</w:t>
            </w:r>
          </w:p>
        </w:tc>
        <w:tc>
          <w:tcPr>
            <w:tcW w:w="657" w:type="pct"/>
            <w:tcBorders>
              <w:top w:val="nil"/>
              <w:left w:val="nil"/>
              <w:bottom w:val="nil"/>
              <w:right w:val="nil"/>
            </w:tcBorders>
            <w:shd w:val="clear" w:color="auto" w:fill="auto"/>
            <w:vAlign w:val="bottom"/>
          </w:tcPr>
          <w:p w14:paraId="6E199B3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(611)</w:t>
            </w:r>
          </w:p>
        </w:tc>
        <w:tc>
          <w:tcPr>
            <w:tcW w:w="677" w:type="pct"/>
            <w:tcBorders>
              <w:top w:val="nil"/>
              <w:left w:val="nil"/>
              <w:bottom w:val="nil"/>
              <w:right w:val="nil"/>
            </w:tcBorders>
            <w:shd w:val="clear" w:color="auto" w:fill="auto"/>
            <w:vAlign w:val="bottom"/>
          </w:tcPr>
          <w:p w14:paraId="6764B0D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(1,170)</w:t>
            </w:r>
          </w:p>
        </w:tc>
        <w:tc>
          <w:tcPr>
            <w:tcW w:w="687" w:type="pct"/>
            <w:tcBorders>
              <w:top w:val="nil"/>
              <w:left w:val="nil"/>
              <w:bottom w:val="nil"/>
              <w:right w:val="nil"/>
            </w:tcBorders>
            <w:shd w:val="clear" w:color="auto" w:fill="auto"/>
            <w:vAlign w:val="bottom"/>
          </w:tcPr>
          <w:p w14:paraId="1CE1584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(611)</w:t>
            </w:r>
          </w:p>
        </w:tc>
      </w:tr>
      <w:tr w:rsidR="00587444" w:rsidRPr="00587444" w14:paraId="17D27570" w14:textId="77777777" w:rsidTr="00DD69E7">
        <w:trPr>
          <w:trHeight w:val="78"/>
        </w:trPr>
        <w:tc>
          <w:tcPr>
            <w:tcW w:w="2235" w:type="pct"/>
            <w:vAlign w:val="bottom"/>
          </w:tcPr>
          <w:p w14:paraId="0B593FEE" w14:textId="77777777" w:rsidR="00587444" w:rsidRPr="00587444" w:rsidRDefault="00587444" w:rsidP="00587444">
            <w:pPr>
              <w:tabs>
                <w:tab w:val="right" w:pos="1202"/>
              </w:tabs>
              <w:suppressAutoHyphens w:val="0"/>
              <w:autoSpaceDN/>
              <w:spacing w:line="300" w:lineRule="exact"/>
              <w:outlineLvl w:val="0"/>
              <w:rPr>
                <w:rFonts w:ascii="Arial" w:hAnsi="Arial" w:cs="Arial"/>
                <w:sz w:val="20"/>
                <w:szCs w:val="20"/>
                <w:lang w:val="en-GB"/>
              </w:rPr>
            </w:pPr>
            <w:bookmarkStart w:id="548" w:name="_Toc4058111"/>
            <w:r w:rsidRPr="00587444">
              <w:rPr>
                <w:rFonts w:ascii="Arial" w:hAnsi="Arial" w:cs="Arial"/>
                <w:sz w:val="20"/>
                <w:szCs w:val="20"/>
                <w:lang w:val="en-GB"/>
              </w:rPr>
              <w:t>Modification (gain)/loss – other customers</w:t>
            </w:r>
            <w:bookmarkEnd w:id="548"/>
          </w:p>
        </w:tc>
        <w:tc>
          <w:tcPr>
            <w:tcW w:w="744" w:type="pct"/>
            <w:tcBorders>
              <w:top w:val="nil"/>
              <w:left w:val="nil"/>
              <w:bottom w:val="nil"/>
              <w:right w:val="nil"/>
            </w:tcBorders>
            <w:shd w:val="clear" w:color="auto" w:fill="auto"/>
            <w:vAlign w:val="bottom"/>
          </w:tcPr>
          <w:p w14:paraId="79F63EE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22,020 </w:t>
            </w:r>
          </w:p>
        </w:tc>
        <w:tc>
          <w:tcPr>
            <w:tcW w:w="657" w:type="pct"/>
            <w:tcBorders>
              <w:top w:val="nil"/>
              <w:left w:val="nil"/>
              <w:bottom w:val="nil"/>
              <w:right w:val="nil"/>
            </w:tcBorders>
            <w:shd w:val="clear" w:color="auto" w:fill="auto"/>
            <w:vAlign w:val="bottom"/>
          </w:tcPr>
          <w:p w14:paraId="76D86C5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(14,231)</w:t>
            </w:r>
          </w:p>
        </w:tc>
        <w:tc>
          <w:tcPr>
            <w:tcW w:w="677" w:type="pct"/>
            <w:tcBorders>
              <w:top w:val="nil"/>
              <w:left w:val="nil"/>
              <w:bottom w:val="nil"/>
              <w:right w:val="nil"/>
            </w:tcBorders>
            <w:shd w:val="clear" w:color="auto" w:fill="auto"/>
            <w:vAlign w:val="bottom"/>
          </w:tcPr>
          <w:p w14:paraId="67C18E5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22,020 </w:t>
            </w:r>
          </w:p>
        </w:tc>
        <w:tc>
          <w:tcPr>
            <w:tcW w:w="687" w:type="pct"/>
            <w:tcBorders>
              <w:top w:val="nil"/>
              <w:left w:val="nil"/>
              <w:bottom w:val="nil"/>
              <w:right w:val="nil"/>
            </w:tcBorders>
            <w:shd w:val="clear" w:color="auto" w:fill="auto"/>
            <w:vAlign w:val="bottom"/>
          </w:tcPr>
          <w:p w14:paraId="077E6AC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(14,231)</w:t>
            </w:r>
          </w:p>
        </w:tc>
      </w:tr>
      <w:tr w:rsidR="00587444" w:rsidRPr="00587444" w14:paraId="01C9ECD5" w14:textId="77777777" w:rsidTr="00DD69E7">
        <w:trPr>
          <w:trHeight w:val="586"/>
        </w:trPr>
        <w:tc>
          <w:tcPr>
            <w:tcW w:w="2235" w:type="pct"/>
            <w:vAlign w:val="bottom"/>
          </w:tcPr>
          <w:p w14:paraId="53122000" w14:textId="77777777" w:rsidR="004F10C3" w:rsidRDefault="00587444" w:rsidP="00587444">
            <w:pPr>
              <w:tabs>
                <w:tab w:val="right" w:pos="1202"/>
              </w:tabs>
              <w:suppressAutoHyphens w:val="0"/>
              <w:autoSpaceDN/>
              <w:spacing w:line="300" w:lineRule="exact"/>
              <w:outlineLvl w:val="0"/>
              <w:rPr>
                <w:rFonts w:ascii="Arial" w:hAnsi="Arial" w:cs="Arial"/>
                <w:sz w:val="20"/>
                <w:szCs w:val="20"/>
                <w:lang w:val="en-GB"/>
              </w:rPr>
            </w:pPr>
            <w:bookmarkStart w:id="549" w:name="_Toc4058116"/>
            <w:r w:rsidRPr="00587444">
              <w:rPr>
                <w:rFonts w:ascii="Arial" w:hAnsi="Arial" w:cs="Arial"/>
                <w:sz w:val="20"/>
                <w:szCs w:val="20"/>
                <w:lang w:val="en-GB"/>
              </w:rPr>
              <w:t xml:space="preserve">POCI assets – fair value adjustment at </w:t>
            </w:r>
          </w:p>
          <w:p w14:paraId="7FEFFECF" w14:textId="5D34F118" w:rsidR="00587444" w:rsidRPr="00587444" w:rsidRDefault="00587444" w:rsidP="00587444">
            <w:pPr>
              <w:tabs>
                <w:tab w:val="right" w:pos="1202"/>
              </w:tabs>
              <w:suppressAutoHyphens w:val="0"/>
              <w:autoSpaceDN/>
              <w:spacing w:line="300" w:lineRule="exact"/>
              <w:outlineLvl w:val="0"/>
              <w:rPr>
                <w:rFonts w:ascii="Arial" w:hAnsi="Arial" w:cs="Arial"/>
                <w:sz w:val="20"/>
                <w:szCs w:val="20"/>
                <w:lang w:val="en-GB"/>
              </w:rPr>
            </w:pPr>
            <w:r w:rsidRPr="00587444">
              <w:rPr>
                <w:rFonts w:ascii="Arial" w:hAnsi="Arial" w:cs="Arial"/>
                <w:sz w:val="20"/>
                <w:szCs w:val="20"/>
                <w:lang w:val="en-GB"/>
              </w:rPr>
              <w:t>initial recognition</w:t>
            </w:r>
            <w:bookmarkEnd w:id="549"/>
          </w:p>
        </w:tc>
        <w:tc>
          <w:tcPr>
            <w:tcW w:w="744" w:type="pct"/>
            <w:tcBorders>
              <w:top w:val="nil"/>
              <w:left w:val="nil"/>
              <w:bottom w:val="nil"/>
              <w:right w:val="nil"/>
            </w:tcBorders>
            <w:shd w:val="clear" w:color="auto" w:fill="auto"/>
            <w:vAlign w:val="bottom"/>
          </w:tcPr>
          <w:p w14:paraId="350F431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29,139 </w:t>
            </w:r>
          </w:p>
        </w:tc>
        <w:tc>
          <w:tcPr>
            <w:tcW w:w="657" w:type="pct"/>
            <w:tcBorders>
              <w:top w:val="nil"/>
              <w:left w:val="nil"/>
              <w:bottom w:val="nil"/>
              <w:right w:val="nil"/>
            </w:tcBorders>
            <w:shd w:val="clear" w:color="auto" w:fill="auto"/>
            <w:vAlign w:val="bottom"/>
          </w:tcPr>
          <w:p w14:paraId="258D6E7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45,151</w:t>
            </w:r>
          </w:p>
        </w:tc>
        <w:tc>
          <w:tcPr>
            <w:tcW w:w="677" w:type="pct"/>
            <w:tcBorders>
              <w:top w:val="nil"/>
              <w:left w:val="nil"/>
              <w:bottom w:val="nil"/>
              <w:right w:val="nil"/>
            </w:tcBorders>
            <w:shd w:val="clear" w:color="auto" w:fill="auto"/>
            <w:vAlign w:val="bottom"/>
          </w:tcPr>
          <w:p w14:paraId="3DD2E1E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29,139 </w:t>
            </w:r>
          </w:p>
        </w:tc>
        <w:tc>
          <w:tcPr>
            <w:tcW w:w="687" w:type="pct"/>
            <w:tcBorders>
              <w:top w:val="nil"/>
              <w:left w:val="nil"/>
              <w:bottom w:val="nil"/>
              <w:right w:val="nil"/>
            </w:tcBorders>
            <w:shd w:val="clear" w:color="auto" w:fill="auto"/>
            <w:vAlign w:val="bottom"/>
          </w:tcPr>
          <w:p w14:paraId="5E30661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45,151</w:t>
            </w:r>
          </w:p>
        </w:tc>
      </w:tr>
      <w:tr w:rsidR="00587444" w:rsidRPr="00587444" w14:paraId="7FE493A6" w14:textId="77777777" w:rsidTr="00DD69E7">
        <w:trPr>
          <w:trHeight w:val="586"/>
        </w:trPr>
        <w:tc>
          <w:tcPr>
            <w:tcW w:w="2235" w:type="pct"/>
            <w:vAlign w:val="bottom"/>
          </w:tcPr>
          <w:p w14:paraId="3A8F64BF" w14:textId="77777777" w:rsidR="00587444" w:rsidRPr="00587444" w:rsidRDefault="00587444" w:rsidP="00587444">
            <w:pPr>
              <w:tabs>
                <w:tab w:val="right" w:pos="1202"/>
              </w:tabs>
              <w:suppressAutoHyphens w:val="0"/>
              <w:autoSpaceDN/>
              <w:spacing w:line="300" w:lineRule="exact"/>
              <w:outlineLvl w:val="0"/>
              <w:rPr>
                <w:rFonts w:ascii="Arial" w:hAnsi="Arial" w:cs="Arial"/>
                <w:sz w:val="20"/>
                <w:szCs w:val="20"/>
                <w:lang w:val="en-GB"/>
              </w:rPr>
            </w:pPr>
            <w:bookmarkStart w:id="550" w:name="_Toc4058121"/>
            <w:r w:rsidRPr="00587444">
              <w:rPr>
                <w:rFonts w:ascii="Arial" w:hAnsi="Arial" w:cs="Arial"/>
                <w:sz w:val="20"/>
                <w:szCs w:val="20"/>
                <w:lang w:val="en-GB"/>
              </w:rPr>
              <w:t>Impairment of financial assets at fair value through other comprehensive income</w:t>
            </w:r>
            <w:bookmarkEnd w:id="550"/>
          </w:p>
        </w:tc>
        <w:tc>
          <w:tcPr>
            <w:tcW w:w="744" w:type="pct"/>
            <w:tcBorders>
              <w:top w:val="nil"/>
              <w:left w:val="nil"/>
              <w:bottom w:val="nil"/>
              <w:right w:val="nil"/>
            </w:tcBorders>
            <w:shd w:val="clear" w:color="auto" w:fill="auto"/>
            <w:vAlign w:val="bottom"/>
          </w:tcPr>
          <w:p w14:paraId="2A18C42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104 </w:t>
            </w:r>
          </w:p>
        </w:tc>
        <w:tc>
          <w:tcPr>
            <w:tcW w:w="657" w:type="pct"/>
            <w:tcBorders>
              <w:top w:val="nil"/>
              <w:left w:val="nil"/>
              <w:bottom w:val="nil"/>
              <w:right w:val="nil"/>
            </w:tcBorders>
            <w:shd w:val="clear" w:color="auto" w:fill="auto"/>
            <w:vAlign w:val="bottom"/>
          </w:tcPr>
          <w:p w14:paraId="132A426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(29)</w:t>
            </w:r>
          </w:p>
        </w:tc>
        <w:tc>
          <w:tcPr>
            <w:tcW w:w="677" w:type="pct"/>
            <w:tcBorders>
              <w:top w:val="nil"/>
              <w:left w:val="nil"/>
              <w:bottom w:val="nil"/>
              <w:right w:val="nil"/>
            </w:tcBorders>
            <w:shd w:val="clear" w:color="auto" w:fill="auto"/>
            <w:vAlign w:val="bottom"/>
          </w:tcPr>
          <w:p w14:paraId="5741ECF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107 </w:t>
            </w:r>
          </w:p>
        </w:tc>
        <w:tc>
          <w:tcPr>
            <w:tcW w:w="687" w:type="pct"/>
            <w:tcBorders>
              <w:top w:val="nil"/>
              <w:left w:val="nil"/>
              <w:bottom w:val="nil"/>
              <w:right w:val="nil"/>
            </w:tcBorders>
            <w:shd w:val="clear" w:color="auto" w:fill="auto"/>
            <w:vAlign w:val="bottom"/>
          </w:tcPr>
          <w:p w14:paraId="172BA1A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(36)</w:t>
            </w:r>
          </w:p>
        </w:tc>
      </w:tr>
      <w:tr w:rsidR="00587444" w:rsidRPr="00587444" w14:paraId="66F443CC" w14:textId="77777777" w:rsidTr="00DD69E7">
        <w:trPr>
          <w:trHeight w:val="378"/>
        </w:trPr>
        <w:tc>
          <w:tcPr>
            <w:tcW w:w="2235" w:type="pct"/>
            <w:vAlign w:val="bottom"/>
          </w:tcPr>
          <w:p w14:paraId="7F01324C" w14:textId="77777777" w:rsidR="00587444" w:rsidRPr="00587444" w:rsidRDefault="00587444" w:rsidP="00587444">
            <w:pPr>
              <w:tabs>
                <w:tab w:val="right" w:pos="1202"/>
              </w:tabs>
              <w:suppressAutoHyphens w:val="0"/>
              <w:autoSpaceDN/>
              <w:spacing w:line="300" w:lineRule="exact"/>
              <w:outlineLvl w:val="0"/>
              <w:rPr>
                <w:rFonts w:ascii="Arial" w:hAnsi="Arial" w:cs="Arial"/>
                <w:sz w:val="20"/>
                <w:szCs w:val="20"/>
                <w:lang w:val="en-GB"/>
              </w:rPr>
            </w:pPr>
            <w:bookmarkStart w:id="551" w:name="_Toc4058126"/>
            <w:r w:rsidRPr="00587444">
              <w:rPr>
                <w:rFonts w:ascii="Arial" w:hAnsi="Arial" w:cs="Arial"/>
                <w:sz w:val="20"/>
                <w:szCs w:val="20"/>
                <w:lang w:val="en-GB"/>
              </w:rPr>
              <w:t>Impairment losses on other assets</w:t>
            </w:r>
            <w:bookmarkEnd w:id="551"/>
          </w:p>
        </w:tc>
        <w:tc>
          <w:tcPr>
            <w:tcW w:w="744" w:type="pct"/>
            <w:tcBorders>
              <w:top w:val="nil"/>
              <w:left w:val="nil"/>
              <w:bottom w:val="nil"/>
              <w:right w:val="nil"/>
            </w:tcBorders>
            <w:shd w:val="clear" w:color="auto" w:fill="auto"/>
            <w:vAlign w:val="bottom"/>
          </w:tcPr>
          <w:p w14:paraId="6BF39C7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3,764 </w:t>
            </w:r>
          </w:p>
        </w:tc>
        <w:tc>
          <w:tcPr>
            <w:tcW w:w="657" w:type="pct"/>
            <w:tcBorders>
              <w:top w:val="nil"/>
              <w:left w:val="nil"/>
              <w:bottom w:val="nil"/>
              <w:right w:val="nil"/>
            </w:tcBorders>
            <w:shd w:val="clear" w:color="auto" w:fill="auto"/>
            <w:vAlign w:val="bottom"/>
          </w:tcPr>
          <w:p w14:paraId="7BC79CF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sz w:val="20"/>
                <w:szCs w:val="20"/>
                <w:lang w:val="en-GB"/>
              </w:rPr>
              <w:t>(2,542)</w:t>
            </w:r>
          </w:p>
        </w:tc>
        <w:tc>
          <w:tcPr>
            <w:tcW w:w="677" w:type="pct"/>
            <w:tcBorders>
              <w:top w:val="nil"/>
              <w:left w:val="nil"/>
              <w:bottom w:val="nil"/>
              <w:right w:val="nil"/>
            </w:tcBorders>
            <w:shd w:val="clear" w:color="auto" w:fill="auto"/>
            <w:vAlign w:val="bottom"/>
          </w:tcPr>
          <w:p w14:paraId="33DD67B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3,731 </w:t>
            </w:r>
          </w:p>
        </w:tc>
        <w:tc>
          <w:tcPr>
            <w:tcW w:w="687" w:type="pct"/>
            <w:tcBorders>
              <w:top w:val="nil"/>
              <w:left w:val="nil"/>
              <w:bottom w:val="nil"/>
              <w:right w:val="nil"/>
            </w:tcBorders>
            <w:shd w:val="clear" w:color="auto" w:fill="auto"/>
            <w:vAlign w:val="bottom"/>
          </w:tcPr>
          <w:p w14:paraId="4FE0323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(2,551)</w:t>
            </w:r>
          </w:p>
        </w:tc>
      </w:tr>
      <w:tr w:rsidR="00587444" w:rsidRPr="00587444" w14:paraId="413D698D" w14:textId="77777777" w:rsidTr="00DD69E7">
        <w:trPr>
          <w:trHeight w:val="229"/>
        </w:trPr>
        <w:tc>
          <w:tcPr>
            <w:tcW w:w="2235" w:type="pct"/>
            <w:vAlign w:val="bottom"/>
          </w:tcPr>
          <w:p w14:paraId="43D9C9B1" w14:textId="77777777" w:rsidR="00587444" w:rsidRPr="00587444" w:rsidRDefault="00587444" w:rsidP="00587444">
            <w:pPr>
              <w:tabs>
                <w:tab w:val="right" w:pos="1202"/>
              </w:tabs>
              <w:suppressAutoHyphens w:val="0"/>
              <w:autoSpaceDN/>
              <w:spacing w:line="300" w:lineRule="exact"/>
              <w:outlineLvl w:val="0"/>
              <w:rPr>
                <w:rFonts w:ascii="Arial" w:hAnsi="Arial" w:cs="Arial"/>
                <w:sz w:val="20"/>
                <w:szCs w:val="20"/>
                <w:lang w:val="en-GB"/>
              </w:rPr>
            </w:pPr>
            <w:bookmarkStart w:id="552" w:name="_Toc4058131"/>
            <w:r w:rsidRPr="00587444">
              <w:rPr>
                <w:rFonts w:ascii="Arial" w:hAnsi="Arial" w:cs="Arial"/>
                <w:sz w:val="20"/>
                <w:szCs w:val="20"/>
                <w:lang w:val="en-GB"/>
              </w:rPr>
              <w:t>Provisions for commitments</w:t>
            </w:r>
            <w:bookmarkEnd w:id="552"/>
          </w:p>
        </w:tc>
        <w:tc>
          <w:tcPr>
            <w:tcW w:w="744" w:type="pct"/>
            <w:tcBorders>
              <w:top w:val="nil"/>
              <w:left w:val="nil"/>
              <w:right w:val="nil"/>
            </w:tcBorders>
            <w:shd w:val="clear" w:color="auto" w:fill="auto"/>
            <w:vAlign w:val="bottom"/>
          </w:tcPr>
          <w:p w14:paraId="151B6A5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(14,440)</w:t>
            </w:r>
          </w:p>
        </w:tc>
        <w:tc>
          <w:tcPr>
            <w:tcW w:w="657" w:type="pct"/>
            <w:tcBorders>
              <w:top w:val="nil"/>
              <w:left w:val="nil"/>
              <w:right w:val="nil"/>
            </w:tcBorders>
            <w:shd w:val="clear" w:color="auto" w:fill="auto"/>
            <w:vAlign w:val="bottom"/>
          </w:tcPr>
          <w:p w14:paraId="57CA3ED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7,503</w:t>
            </w:r>
          </w:p>
        </w:tc>
        <w:tc>
          <w:tcPr>
            <w:tcW w:w="677" w:type="pct"/>
            <w:tcBorders>
              <w:top w:val="nil"/>
              <w:left w:val="nil"/>
              <w:right w:val="nil"/>
            </w:tcBorders>
            <w:shd w:val="clear" w:color="auto" w:fill="auto"/>
            <w:vAlign w:val="bottom"/>
          </w:tcPr>
          <w:p w14:paraId="04D9149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(14,440)</w:t>
            </w:r>
          </w:p>
        </w:tc>
        <w:tc>
          <w:tcPr>
            <w:tcW w:w="687" w:type="pct"/>
            <w:tcBorders>
              <w:top w:val="nil"/>
              <w:left w:val="nil"/>
              <w:right w:val="nil"/>
            </w:tcBorders>
            <w:shd w:val="clear" w:color="auto" w:fill="auto"/>
            <w:vAlign w:val="bottom"/>
          </w:tcPr>
          <w:p w14:paraId="16F7F34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7,503</w:t>
            </w:r>
          </w:p>
        </w:tc>
      </w:tr>
      <w:tr w:rsidR="00587444" w:rsidRPr="00587444" w14:paraId="66B0906E" w14:textId="77777777" w:rsidTr="00DD69E7">
        <w:trPr>
          <w:trHeight w:val="229"/>
        </w:trPr>
        <w:tc>
          <w:tcPr>
            <w:tcW w:w="2235" w:type="pct"/>
            <w:vAlign w:val="bottom"/>
          </w:tcPr>
          <w:p w14:paraId="6C070FE0" w14:textId="77777777" w:rsidR="00587444" w:rsidRPr="00587444" w:rsidRDefault="00587444" w:rsidP="00587444">
            <w:pPr>
              <w:tabs>
                <w:tab w:val="right" w:pos="1202"/>
              </w:tabs>
              <w:suppressAutoHyphens w:val="0"/>
              <w:autoSpaceDN/>
              <w:spacing w:line="300" w:lineRule="exact"/>
              <w:outlineLvl w:val="0"/>
              <w:rPr>
                <w:rFonts w:ascii="Arial" w:hAnsi="Arial" w:cs="Arial"/>
                <w:sz w:val="20"/>
                <w:szCs w:val="20"/>
                <w:lang w:val="en-GB"/>
              </w:rPr>
            </w:pPr>
            <w:r w:rsidRPr="00587444">
              <w:rPr>
                <w:rFonts w:ascii="Arial" w:hAnsi="Arial" w:cs="Arial"/>
                <w:sz w:val="20"/>
                <w:szCs w:val="20"/>
                <w:lang w:val="en-GB"/>
              </w:rPr>
              <w:t>Provision for guarantees</w:t>
            </w:r>
          </w:p>
        </w:tc>
        <w:tc>
          <w:tcPr>
            <w:tcW w:w="744" w:type="pct"/>
            <w:tcBorders>
              <w:top w:val="nil"/>
              <w:left w:val="nil"/>
              <w:bottom w:val="nil"/>
              <w:right w:val="nil"/>
            </w:tcBorders>
            <w:shd w:val="clear" w:color="auto" w:fill="auto"/>
            <w:vAlign w:val="bottom"/>
          </w:tcPr>
          <w:p w14:paraId="65F8F36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(33,742)</w:t>
            </w:r>
          </w:p>
        </w:tc>
        <w:tc>
          <w:tcPr>
            <w:tcW w:w="657" w:type="pct"/>
            <w:tcBorders>
              <w:top w:val="nil"/>
              <w:left w:val="nil"/>
              <w:bottom w:val="nil"/>
              <w:right w:val="nil"/>
            </w:tcBorders>
            <w:shd w:val="clear" w:color="auto" w:fill="auto"/>
            <w:vAlign w:val="bottom"/>
          </w:tcPr>
          <w:p w14:paraId="1A9F313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74,799</w:t>
            </w:r>
          </w:p>
        </w:tc>
        <w:tc>
          <w:tcPr>
            <w:tcW w:w="677" w:type="pct"/>
            <w:tcBorders>
              <w:top w:val="nil"/>
              <w:left w:val="nil"/>
              <w:bottom w:val="single" w:sz="6" w:space="0" w:color="auto"/>
              <w:right w:val="nil"/>
            </w:tcBorders>
            <w:shd w:val="clear" w:color="auto" w:fill="auto"/>
            <w:vAlign w:val="bottom"/>
          </w:tcPr>
          <w:p w14:paraId="682F6FD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(33,742)</w:t>
            </w:r>
          </w:p>
        </w:tc>
        <w:tc>
          <w:tcPr>
            <w:tcW w:w="687" w:type="pct"/>
            <w:tcBorders>
              <w:top w:val="nil"/>
              <w:left w:val="nil"/>
              <w:bottom w:val="nil"/>
              <w:right w:val="nil"/>
            </w:tcBorders>
            <w:shd w:val="clear" w:color="auto" w:fill="auto"/>
            <w:vAlign w:val="bottom"/>
          </w:tcPr>
          <w:p w14:paraId="7EE307D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74,799</w:t>
            </w:r>
          </w:p>
        </w:tc>
      </w:tr>
      <w:tr w:rsidR="00587444" w:rsidRPr="00587444" w14:paraId="49C7A229" w14:textId="77777777" w:rsidTr="00DD69E7">
        <w:trPr>
          <w:trHeight w:val="388"/>
        </w:trPr>
        <w:tc>
          <w:tcPr>
            <w:tcW w:w="2235" w:type="pct"/>
            <w:vAlign w:val="bottom"/>
          </w:tcPr>
          <w:p w14:paraId="1EA1B730" w14:textId="77777777" w:rsidR="00587444" w:rsidRPr="00587444" w:rsidRDefault="00587444" w:rsidP="00587444">
            <w:pPr>
              <w:tabs>
                <w:tab w:val="right" w:pos="1202"/>
              </w:tabs>
              <w:suppressAutoHyphens w:val="0"/>
              <w:autoSpaceDN/>
              <w:spacing w:line="300" w:lineRule="exact"/>
              <w:outlineLvl w:val="0"/>
              <w:rPr>
                <w:rFonts w:ascii="Arial" w:hAnsi="Arial" w:cs="Arial"/>
                <w:b/>
                <w:sz w:val="20"/>
                <w:szCs w:val="20"/>
                <w:lang w:val="en-GB"/>
              </w:rPr>
            </w:pPr>
            <w:bookmarkStart w:id="553" w:name="_Toc4058136"/>
            <w:r w:rsidRPr="00587444">
              <w:rPr>
                <w:rFonts w:ascii="Arial" w:hAnsi="Arial" w:cs="Arial"/>
                <w:b/>
                <w:sz w:val="20"/>
                <w:szCs w:val="20"/>
                <w:lang w:val="en-GB"/>
              </w:rPr>
              <w:t>Total</w:t>
            </w:r>
            <w:bookmarkEnd w:id="553"/>
          </w:p>
        </w:tc>
        <w:tc>
          <w:tcPr>
            <w:tcW w:w="744" w:type="pct"/>
            <w:tcBorders>
              <w:top w:val="single" w:sz="6" w:space="0" w:color="auto"/>
              <w:left w:val="nil"/>
              <w:bottom w:val="single" w:sz="12" w:space="0" w:color="auto"/>
              <w:right w:val="nil"/>
            </w:tcBorders>
            <w:shd w:val="clear" w:color="auto" w:fill="auto"/>
            <w:vAlign w:val="bottom"/>
          </w:tcPr>
          <w:p w14:paraId="3CFD5D2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141,849</w:t>
            </w:r>
          </w:p>
        </w:tc>
        <w:tc>
          <w:tcPr>
            <w:tcW w:w="657" w:type="pct"/>
            <w:tcBorders>
              <w:top w:val="single" w:sz="6" w:space="0" w:color="auto"/>
              <w:left w:val="nil"/>
              <w:bottom w:val="single" w:sz="12" w:space="0" w:color="auto"/>
              <w:right w:val="nil"/>
            </w:tcBorders>
            <w:shd w:val="clear" w:color="auto" w:fill="auto"/>
            <w:vAlign w:val="bottom"/>
          </w:tcPr>
          <w:p w14:paraId="5EEB0A7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sz w:val="20"/>
                <w:szCs w:val="20"/>
                <w:lang w:val="hr-HR"/>
              </w:rPr>
            </w:pPr>
            <w:r w:rsidRPr="00587444">
              <w:rPr>
                <w:rFonts w:ascii="Arial" w:hAnsi="Arial" w:cs="Arial"/>
                <w:b/>
                <w:bCs/>
                <w:color w:val="000000"/>
                <w:sz w:val="20"/>
                <w:szCs w:val="20"/>
                <w:lang w:val="hr-HR"/>
              </w:rPr>
              <w:t>164,621</w:t>
            </w:r>
          </w:p>
        </w:tc>
        <w:tc>
          <w:tcPr>
            <w:tcW w:w="677" w:type="pct"/>
            <w:tcBorders>
              <w:top w:val="single" w:sz="6" w:space="0" w:color="auto"/>
              <w:left w:val="nil"/>
              <w:bottom w:val="single" w:sz="12" w:space="0" w:color="auto"/>
              <w:right w:val="nil"/>
            </w:tcBorders>
            <w:shd w:val="clear" w:color="auto" w:fill="auto"/>
            <w:vAlign w:val="bottom"/>
          </w:tcPr>
          <w:p w14:paraId="79FD4FA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141,789</w:t>
            </w:r>
          </w:p>
        </w:tc>
        <w:tc>
          <w:tcPr>
            <w:tcW w:w="687" w:type="pct"/>
            <w:tcBorders>
              <w:top w:val="single" w:sz="6" w:space="0" w:color="auto"/>
              <w:left w:val="nil"/>
              <w:bottom w:val="single" w:sz="12" w:space="0" w:color="auto"/>
              <w:right w:val="nil"/>
            </w:tcBorders>
            <w:shd w:val="clear" w:color="auto" w:fill="auto"/>
            <w:vAlign w:val="bottom"/>
          </w:tcPr>
          <w:p w14:paraId="05E553A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sz w:val="20"/>
                <w:szCs w:val="20"/>
                <w:lang w:val="hr-HR"/>
              </w:rPr>
            </w:pPr>
            <w:r w:rsidRPr="00587444">
              <w:rPr>
                <w:rFonts w:ascii="Arial" w:hAnsi="Arial" w:cs="Arial"/>
                <w:b/>
                <w:bCs/>
                <w:color w:val="000000"/>
                <w:sz w:val="20"/>
                <w:szCs w:val="20"/>
                <w:lang w:val="hr-HR"/>
              </w:rPr>
              <w:t>164,609</w:t>
            </w:r>
          </w:p>
        </w:tc>
      </w:tr>
    </w:tbl>
    <w:p w14:paraId="0AA4CCF9" w14:textId="77777777" w:rsidR="00587444" w:rsidRPr="00587444" w:rsidRDefault="00587444">
      <w:pPr>
        <w:keepNext/>
        <w:numPr>
          <w:ilvl w:val="1"/>
          <w:numId w:val="41"/>
        </w:numPr>
        <w:suppressAutoHyphens w:val="0"/>
        <w:autoSpaceDN/>
        <w:spacing w:before="240" w:after="120" w:line="360" w:lineRule="auto"/>
        <w:ind w:left="284" w:hanging="284"/>
        <w:jc w:val="both"/>
        <w:rPr>
          <w:rFonts w:ascii="Arial" w:hAnsi="Arial" w:cs="Arial"/>
          <w:b/>
          <w:bCs/>
          <w:sz w:val="20"/>
          <w:szCs w:val="20"/>
          <w:lang w:val="en-GB"/>
        </w:rPr>
      </w:pPr>
      <w:r w:rsidRPr="00587444">
        <w:rPr>
          <w:rFonts w:ascii="Arial" w:hAnsi="Arial" w:cs="Arial"/>
          <w:b/>
          <w:bCs/>
          <w:sz w:val="20"/>
          <w:szCs w:val="20"/>
          <w:lang w:val="en-GB"/>
        </w:rPr>
        <w:t>Other impairment losses and provisions</w:t>
      </w:r>
    </w:p>
    <w:tbl>
      <w:tblPr>
        <w:tblW w:w="4882" w:type="pct"/>
        <w:tblInd w:w="-142" w:type="dxa"/>
        <w:tblLayout w:type="fixed"/>
        <w:tblCellMar>
          <w:left w:w="120" w:type="dxa"/>
          <w:right w:w="120" w:type="dxa"/>
        </w:tblCellMar>
        <w:tblLook w:val="0000" w:firstRow="0" w:lastRow="0" w:firstColumn="0" w:lastColumn="0" w:noHBand="0" w:noVBand="0"/>
      </w:tblPr>
      <w:tblGrid>
        <w:gridCol w:w="4196"/>
        <w:gridCol w:w="1398"/>
        <w:gridCol w:w="1233"/>
        <w:gridCol w:w="1270"/>
        <w:gridCol w:w="1272"/>
      </w:tblGrid>
      <w:tr w:rsidR="00587444" w:rsidRPr="00587444" w14:paraId="13F71A5C" w14:textId="77777777" w:rsidTr="00DD69E7">
        <w:trPr>
          <w:trHeight w:val="238"/>
        </w:trPr>
        <w:tc>
          <w:tcPr>
            <w:tcW w:w="2239" w:type="pct"/>
          </w:tcPr>
          <w:p w14:paraId="6F582A45" w14:textId="77777777" w:rsidR="00587444" w:rsidRPr="00587444" w:rsidRDefault="00587444" w:rsidP="00587444">
            <w:pPr>
              <w:tabs>
                <w:tab w:val="right" w:pos="1202"/>
              </w:tabs>
              <w:suppressAutoHyphens w:val="0"/>
              <w:autoSpaceDN/>
              <w:spacing w:line="300" w:lineRule="exact"/>
              <w:outlineLvl w:val="0"/>
              <w:rPr>
                <w:rFonts w:ascii="Arial" w:hAnsi="Arial" w:cs="Arial"/>
                <w:b/>
                <w:sz w:val="20"/>
                <w:szCs w:val="20"/>
                <w:lang w:val="en-GB"/>
              </w:rPr>
            </w:pPr>
          </w:p>
        </w:tc>
        <w:tc>
          <w:tcPr>
            <w:tcW w:w="746" w:type="pct"/>
          </w:tcPr>
          <w:p w14:paraId="245A93A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58" w:type="pct"/>
          </w:tcPr>
          <w:p w14:paraId="41DF277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54" w:name="_Toc4058141"/>
            <w:r w:rsidRPr="00587444">
              <w:rPr>
                <w:rFonts w:ascii="Arial" w:hAnsi="Arial" w:cs="Arial"/>
                <w:b/>
                <w:sz w:val="20"/>
                <w:szCs w:val="20"/>
                <w:lang w:val="hr-HR"/>
              </w:rPr>
              <w:t>Group</w:t>
            </w:r>
            <w:bookmarkEnd w:id="554"/>
          </w:p>
        </w:tc>
        <w:tc>
          <w:tcPr>
            <w:tcW w:w="678" w:type="pct"/>
          </w:tcPr>
          <w:p w14:paraId="28F8CF4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79" w:type="pct"/>
          </w:tcPr>
          <w:p w14:paraId="6C33A2B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55" w:name="_Toc4058142"/>
            <w:r w:rsidRPr="00587444">
              <w:rPr>
                <w:rFonts w:ascii="Arial" w:hAnsi="Arial" w:cs="Arial"/>
                <w:b/>
                <w:sz w:val="20"/>
                <w:szCs w:val="20"/>
                <w:lang w:val="hr-HR"/>
              </w:rPr>
              <w:t>Bank</w:t>
            </w:r>
            <w:bookmarkEnd w:id="555"/>
          </w:p>
        </w:tc>
      </w:tr>
      <w:tr w:rsidR="00587444" w:rsidRPr="00587444" w14:paraId="1D3593AE" w14:textId="77777777" w:rsidTr="00DD69E7">
        <w:trPr>
          <w:trHeight w:hRule="exact" w:val="227"/>
        </w:trPr>
        <w:tc>
          <w:tcPr>
            <w:tcW w:w="2239" w:type="pct"/>
          </w:tcPr>
          <w:p w14:paraId="09BAEBE7" w14:textId="77777777" w:rsidR="00587444" w:rsidRPr="00587444" w:rsidRDefault="00587444" w:rsidP="00587444">
            <w:pPr>
              <w:tabs>
                <w:tab w:val="right" w:pos="1202"/>
              </w:tabs>
              <w:suppressAutoHyphens w:val="0"/>
              <w:autoSpaceDN/>
              <w:spacing w:line="300" w:lineRule="exact"/>
              <w:outlineLvl w:val="0"/>
              <w:rPr>
                <w:rFonts w:ascii="Arial" w:hAnsi="Arial" w:cs="Arial"/>
                <w:b/>
                <w:sz w:val="20"/>
                <w:szCs w:val="20"/>
                <w:lang w:val="en-GB"/>
              </w:rPr>
            </w:pPr>
          </w:p>
        </w:tc>
        <w:tc>
          <w:tcPr>
            <w:tcW w:w="746" w:type="pct"/>
            <w:vAlign w:val="center"/>
          </w:tcPr>
          <w:p w14:paraId="62F8C46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658" w:type="pct"/>
            <w:vAlign w:val="center"/>
          </w:tcPr>
          <w:p w14:paraId="7C9361D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2021</w:t>
            </w:r>
          </w:p>
        </w:tc>
        <w:tc>
          <w:tcPr>
            <w:tcW w:w="678" w:type="pct"/>
            <w:vAlign w:val="center"/>
          </w:tcPr>
          <w:p w14:paraId="3D1D0DF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2022</w:t>
            </w:r>
          </w:p>
        </w:tc>
        <w:tc>
          <w:tcPr>
            <w:tcW w:w="679" w:type="pct"/>
            <w:vAlign w:val="center"/>
          </w:tcPr>
          <w:p w14:paraId="1EAE3BB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2021</w:t>
            </w:r>
          </w:p>
        </w:tc>
      </w:tr>
      <w:tr w:rsidR="00587444" w:rsidRPr="00587444" w14:paraId="559957FA" w14:textId="77777777" w:rsidTr="00DD69E7">
        <w:trPr>
          <w:trHeight w:val="324"/>
        </w:trPr>
        <w:tc>
          <w:tcPr>
            <w:tcW w:w="2239" w:type="pct"/>
          </w:tcPr>
          <w:p w14:paraId="2B6F3688" w14:textId="77777777" w:rsidR="00587444" w:rsidRPr="00587444" w:rsidRDefault="00587444" w:rsidP="00587444">
            <w:pPr>
              <w:tabs>
                <w:tab w:val="right" w:pos="1202"/>
              </w:tabs>
              <w:suppressAutoHyphens w:val="0"/>
              <w:autoSpaceDN/>
              <w:spacing w:line="300" w:lineRule="exact"/>
              <w:outlineLvl w:val="0"/>
              <w:rPr>
                <w:rFonts w:ascii="Arial" w:hAnsi="Arial" w:cs="Arial"/>
                <w:b/>
                <w:sz w:val="20"/>
                <w:szCs w:val="20"/>
                <w:lang w:val="en-GB"/>
              </w:rPr>
            </w:pPr>
          </w:p>
        </w:tc>
        <w:tc>
          <w:tcPr>
            <w:tcW w:w="746" w:type="pct"/>
          </w:tcPr>
          <w:p w14:paraId="648BBB59" w14:textId="77777777" w:rsidR="00587444" w:rsidRPr="00587444" w:rsidRDefault="00587444" w:rsidP="00587444">
            <w:pPr>
              <w:tabs>
                <w:tab w:val="right" w:pos="1202"/>
              </w:tabs>
              <w:suppressAutoHyphens w:val="0"/>
              <w:autoSpaceDN/>
              <w:spacing w:line="300" w:lineRule="exact"/>
              <w:jc w:val="right"/>
              <w:outlineLvl w:val="0"/>
              <w:rPr>
                <w:rFonts w:ascii="Arial" w:hAnsi="Arial" w:cs="Arial"/>
                <w:b/>
                <w:sz w:val="20"/>
                <w:szCs w:val="20"/>
                <w:lang w:val="en-GB"/>
              </w:rPr>
            </w:pPr>
            <w:bookmarkStart w:id="556" w:name="_Toc4058147"/>
            <w:r w:rsidRPr="00587444">
              <w:rPr>
                <w:rFonts w:ascii="Arial" w:hAnsi="Arial" w:cs="Arial"/>
                <w:b/>
                <w:sz w:val="20"/>
                <w:szCs w:val="20"/>
                <w:lang w:val="en-GB"/>
              </w:rPr>
              <w:t>HRK ‘000</w:t>
            </w:r>
            <w:bookmarkEnd w:id="556"/>
          </w:p>
        </w:tc>
        <w:tc>
          <w:tcPr>
            <w:tcW w:w="658" w:type="pct"/>
          </w:tcPr>
          <w:p w14:paraId="5F9F2B28" w14:textId="77777777" w:rsidR="00587444" w:rsidRPr="00587444" w:rsidRDefault="00587444" w:rsidP="00587444">
            <w:pPr>
              <w:tabs>
                <w:tab w:val="right" w:pos="1202"/>
              </w:tabs>
              <w:suppressAutoHyphens w:val="0"/>
              <w:autoSpaceDN/>
              <w:spacing w:line="300" w:lineRule="exact"/>
              <w:jc w:val="right"/>
              <w:outlineLvl w:val="0"/>
              <w:rPr>
                <w:rFonts w:ascii="Arial" w:hAnsi="Arial" w:cs="Arial"/>
                <w:b/>
                <w:sz w:val="20"/>
                <w:szCs w:val="20"/>
                <w:lang w:val="en-GB"/>
              </w:rPr>
            </w:pPr>
            <w:bookmarkStart w:id="557" w:name="_Toc4058148"/>
            <w:r w:rsidRPr="00587444">
              <w:rPr>
                <w:rFonts w:ascii="Arial" w:hAnsi="Arial" w:cs="Arial"/>
                <w:b/>
                <w:sz w:val="20"/>
                <w:szCs w:val="20"/>
                <w:lang w:val="en-GB"/>
              </w:rPr>
              <w:t>HRK ‘000</w:t>
            </w:r>
            <w:bookmarkEnd w:id="557"/>
          </w:p>
        </w:tc>
        <w:tc>
          <w:tcPr>
            <w:tcW w:w="678" w:type="pct"/>
          </w:tcPr>
          <w:p w14:paraId="784797F6" w14:textId="77777777" w:rsidR="00587444" w:rsidRPr="00587444" w:rsidRDefault="00587444" w:rsidP="00587444">
            <w:pPr>
              <w:tabs>
                <w:tab w:val="right" w:pos="1202"/>
              </w:tabs>
              <w:suppressAutoHyphens w:val="0"/>
              <w:autoSpaceDN/>
              <w:spacing w:line="300" w:lineRule="exact"/>
              <w:jc w:val="right"/>
              <w:outlineLvl w:val="0"/>
              <w:rPr>
                <w:rFonts w:ascii="Arial" w:hAnsi="Arial" w:cs="Arial"/>
                <w:b/>
                <w:sz w:val="20"/>
                <w:szCs w:val="20"/>
                <w:lang w:val="en-GB"/>
              </w:rPr>
            </w:pPr>
            <w:bookmarkStart w:id="558" w:name="_Toc4058149"/>
            <w:r w:rsidRPr="00587444">
              <w:rPr>
                <w:rFonts w:ascii="Arial" w:hAnsi="Arial" w:cs="Arial"/>
                <w:b/>
                <w:sz w:val="20"/>
                <w:szCs w:val="20"/>
                <w:lang w:val="en-GB"/>
              </w:rPr>
              <w:t>HRK ‘000</w:t>
            </w:r>
            <w:bookmarkEnd w:id="558"/>
          </w:p>
        </w:tc>
        <w:tc>
          <w:tcPr>
            <w:tcW w:w="679" w:type="pct"/>
          </w:tcPr>
          <w:p w14:paraId="6D9DB0ED" w14:textId="77777777" w:rsidR="00587444" w:rsidRPr="00587444" w:rsidRDefault="00587444" w:rsidP="00587444">
            <w:pPr>
              <w:tabs>
                <w:tab w:val="right" w:pos="1202"/>
              </w:tabs>
              <w:suppressAutoHyphens w:val="0"/>
              <w:autoSpaceDN/>
              <w:spacing w:line="300" w:lineRule="exact"/>
              <w:jc w:val="right"/>
              <w:outlineLvl w:val="0"/>
              <w:rPr>
                <w:rFonts w:ascii="Arial" w:hAnsi="Arial" w:cs="Arial"/>
                <w:b/>
                <w:sz w:val="20"/>
                <w:szCs w:val="20"/>
                <w:lang w:val="en-GB"/>
              </w:rPr>
            </w:pPr>
            <w:bookmarkStart w:id="559" w:name="_Toc4058150"/>
            <w:r w:rsidRPr="00587444">
              <w:rPr>
                <w:rFonts w:ascii="Arial" w:hAnsi="Arial" w:cs="Arial"/>
                <w:b/>
                <w:sz w:val="20"/>
                <w:szCs w:val="20"/>
                <w:lang w:val="en-GB"/>
              </w:rPr>
              <w:t>HRK ‘000</w:t>
            </w:r>
            <w:bookmarkEnd w:id="559"/>
          </w:p>
        </w:tc>
      </w:tr>
      <w:tr w:rsidR="00587444" w:rsidRPr="00587444" w14:paraId="0A173C08" w14:textId="77777777" w:rsidTr="00DD69E7">
        <w:trPr>
          <w:trHeight w:val="63"/>
        </w:trPr>
        <w:tc>
          <w:tcPr>
            <w:tcW w:w="2239" w:type="pct"/>
          </w:tcPr>
          <w:p w14:paraId="76D0F09A" w14:textId="77777777" w:rsidR="00587444" w:rsidRPr="00587444" w:rsidRDefault="00587444" w:rsidP="00587444">
            <w:pPr>
              <w:tabs>
                <w:tab w:val="right" w:pos="1202"/>
              </w:tabs>
              <w:suppressAutoHyphens w:val="0"/>
              <w:autoSpaceDN/>
              <w:spacing w:line="300" w:lineRule="exact"/>
              <w:outlineLvl w:val="0"/>
              <w:rPr>
                <w:rFonts w:ascii="Arial" w:hAnsi="Arial" w:cs="Arial"/>
                <w:sz w:val="20"/>
                <w:szCs w:val="20"/>
                <w:lang w:val="en-GB"/>
              </w:rPr>
            </w:pPr>
            <w:bookmarkStart w:id="560" w:name="_Toc4058156"/>
            <w:r w:rsidRPr="00587444">
              <w:rPr>
                <w:rFonts w:ascii="Arial" w:hAnsi="Arial" w:cs="Arial"/>
                <w:sz w:val="20"/>
                <w:szCs w:val="20"/>
                <w:lang w:val="en-GB"/>
              </w:rPr>
              <w:t xml:space="preserve">Impairment losses on </w:t>
            </w:r>
            <w:bookmarkEnd w:id="560"/>
            <w:r w:rsidRPr="00587444">
              <w:rPr>
                <w:rFonts w:ascii="Arial" w:hAnsi="Arial" w:cs="Arial"/>
                <w:sz w:val="20"/>
                <w:szCs w:val="20"/>
                <w:lang w:val="en-GB"/>
              </w:rPr>
              <w:t>foreclosed assets</w:t>
            </w:r>
          </w:p>
        </w:tc>
        <w:tc>
          <w:tcPr>
            <w:tcW w:w="746" w:type="pct"/>
            <w:tcBorders>
              <w:top w:val="nil"/>
              <w:left w:val="nil"/>
              <w:bottom w:val="nil"/>
              <w:right w:val="nil"/>
            </w:tcBorders>
            <w:shd w:val="clear" w:color="auto" w:fill="auto"/>
            <w:vAlign w:val="bottom"/>
          </w:tcPr>
          <w:p w14:paraId="48AB3B8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2,171</w:t>
            </w:r>
          </w:p>
        </w:tc>
        <w:tc>
          <w:tcPr>
            <w:tcW w:w="658" w:type="pct"/>
            <w:tcBorders>
              <w:top w:val="nil"/>
              <w:left w:val="nil"/>
              <w:bottom w:val="nil"/>
              <w:right w:val="nil"/>
            </w:tcBorders>
            <w:shd w:val="clear" w:color="auto" w:fill="auto"/>
            <w:vAlign w:val="bottom"/>
          </w:tcPr>
          <w:p w14:paraId="6C17A659" w14:textId="77777777" w:rsidR="00587444" w:rsidRPr="00587444" w:rsidDel="00271F69"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750</w:t>
            </w:r>
          </w:p>
        </w:tc>
        <w:tc>
          <w:tcPr>
            <w:tcW w:w="678" w:type="pct"/>
            <w:tcBorders>
              <w:top w:val="nil"/>
              <w:left w:val="nil"/>
              <w:right w:val="nil"/>
            </w:tcBorders>
            <w:shd w:val="clear" w:color="auto" w:fill="auto"/>
            <w:vAlign w:val="bottom"/>
          </w:tcPr>
          <w:p w14:paraId="62558B4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2,171</w:t>
            </w:r>
          </w:p>
        </w:tc>
        <w:tc>
          <w:tcPr>
            <w:tcW w:w="679" w:type="pct"/>
            <w:tcBorders>
              <w:top w:val="nil"/>
              <w:left w:val="nil"/>
              <w:bottom w:val="nil"/>
              <w:right w:val="nil"/>
            </w:tcBorders>
            <w:shd w:val="clear" w:color="auto" w:fill="auto"/>
            <w:vAlign w:val="bottom"/>
          </w:tcPr>
          <w:p w14:paraId="06CD392E" w14:textId="77777777" w:rsidR="00587444" w:rsidRPr="00587444" w:rsidDel="00271F69" w:rsidRDefault="00587444" w:rsidP="00587444">
            <w:pPr>
              <w:tabs>
                <w:tab w:val="right" w:pos="1202"/>
              </w:tabs>
              <w:suppressAutoHyphens w:val="0"/>
              <w:autoSpaceDN/>
              <w:spacing w:line="301" w:lineRule="exact"/>
              <w:jc w:val="right"/>
              <w:outlineLvl w:val="0"/>
              <w:rPr>
                <w:rFonts w:ascii="Arial" w:hAnsi="Arial" w:cs="Arial"/>
                <w:spacing w:val="-2"/>
                <w:sz w:val="20"/>
                <w:szCs w:val="20"/>
                <w:lang w:val="hr-HR"/>
              </w:rPr>
            </w:pPr>
            <w:r w:rsidRPr="00587444">
              <w:rPr>
                <w:rFonts w:ascii="Arial" w:hAnsi="Arial" w:cs="Arial"/>
                <w:color w:val="000000"/>
                <w:sz w:val="20"/>
                <w:szCs w:val="20"/>
                <w:lang w:val="hr-HR"/>
              </w:rPr>
              <w:t>750</w:t>
            </w:r>
          </w:p>
        </w:tc>
      </w:tr>
      <w:tr w:rsidR="00587444" w:rsidRPr="00587444" w14:paraId="5730AE90" w14:textId="77777777" w:rsidTr="00DD69E7">
        <w:trPr>
          <w:trHeight w:val="238"/>
        </w:trPr>
        <w:tc>
          <w:tcPr>
            <w:tcW w:w="2239" w:type="pct"/>
          </w:tcPr>
          <w:p w14:paraId="3866B9BA" w14:textId="77777777" w:rsidR="00587444" w:rsidRPr="00587444" w:rsidRDefault="00587444" w:rsidP="00587444">
            <w:pPr>
              <w:tabs>
                <w:tab w:val="right" w:pos="1202"/>
              </w:tabs>
              <w:suppressAutoHyphens w:val="0"/>
              <w:autoSpaceDN/>
              <w:spacing w:line="300" w:lineRule="exact"/>
              <w:outlineLvl w:val="0"/>
              <w:rPr>
                <w:rFonts w:ascii="Arial" w:hAnsi="Arial" w:cs="Arial"/>
                <w:sz w:val="20"/>
                <w:szCs w:val="20"/>
                <w:lang w:val="en-GB"/>
              </w:rPr>
            </w:pPr>
            <w:bookmarkStart w:id="561" w:name="_Toc4058161"/>
            <w:r w:rsidRPr="00587444">
              <w:rPr>
                <w:rFonts w:ascii="Arial" w:hAnsi="Arial" w:cs="Arial"/>
                <w:sz w:val="20"/>
                <w:szCs w:val="20"/>
                <w:lang w:val="en-GB"/>
              </w:rPr>
              <w:t>Provision for other liabilities</w:t>
            </w:r>
            <w:bookmarkEnd w:id="561"/>
          </w:p>
        </w:tc>
        <w:tc>
          <w:tcPr>
            <w:tcW w:w="746" w:type="pct"/>
            <w:tcBorders>
              <w:top w:val="nil"/>
              <w:left w:val="nil"/>
              <w:bottom w:val="nil"/>
              <w:right w:val="nil"/>
            </w:tcBorders>
            <w:shd w:val="clear" w:color="auto" w:fill="auto"/>
            <w:vAlign w:val="bottom"/>
          </w:tcPr>
          <w:p w14:paraId="57EFDE9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257</w:t>
            </w:r>
          </w:p>
        </w:tc>
        <w:tc>
          <w:tcPr>
            <w:tcW w:w="658" w:type="pct"/>
            <w:tcBorders>
              <w:top w:val="nil"/>
              <w:left w:val="nil"/>
              <w:bottom w:val="nil"/>
              <w:right w:val="nil"/>
            </w:tcBorders>
            <w:shd w:val="clear" w:color="auto" w:fill="auto"/>
            <w:vAlign w:val="bottom"/>
          </w:tcPr>
          <w:p w14:paraId="283B7F1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hr-HR"/>
              </w:rPr>
            </w:pPr>
            <w:r w:rsidRPr="00587444">
              <w:rPr>
                <w:rFonts w:ascii="Arial" w:hAnsi="Arial" w:cs="Arial"/>
                <w:color w:val="000000"/>
                <w:spacing w:val="-2"/>
                <w:sz w:val="20"/>
                <w:szCs w:val="20"/>
                <w:lang w:val="hr-HR"/>
              </w:rPr>
              <w:t>(2,358)</w:t>
            </w:r>
          </w:p>
        </w:tc>
        <w:tc>
          <w:tcPr>
            <w:tcW w:w="678" w:type="pct"/>
            <w:tcBorders>
              <w:top w:val="nil"/>
              <w:left w:val="nil"/>
              <w:bottom w:val="single" w:sz="4" w:space="0" w:color="auto"/>
              <w:right w:val="nil"/>
            </w:tcBorders>
            <w:shd w:val="clear" w:color="auto" w:fill="auto"/>
            <w:vAlign w:val="bottom"/>
          </w:tcPr>
          <w:p w14:paraId="0D87FB6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474</w:t>
            </w:r>
          </w:p>
        </w:tc>
        <w:tc>
          <w:tcPr>
            <w:tcW w:w="679" w:type="pct"/>
            <w:tcBorders>
              <w:top w:val="nil"/>
              <w:left w:val="nil"/>
              <w:bottom w:val="nil"/>
              <w:right w:val="nil"/>
            </w:tcBorders>
            <w:shd w:val="clear" w:color="auto" w:fill="auto"/>
            <w:vAlign w:val="bottom"/>
          </w:tcPr>
          <w:p w14:paraId="34C3D0D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hr-HR"/>
              </w:rPr>
            </w:pPr>
            <w:r w:rsidRPr="00587444">
              <w:rPr>
                <w:rFonts w:ascii="Arial" w:hAnsi="Arial" w:cs="Arial"/>
                <w:color w:val="000000"/>
                <w:spacing w:val="-2"/>
                <w:sz w:val="20"/>
                <w:szCs w:val="20"/>
                <w:lang w:val="hr-HR"/>
              </w:rPr>
              <w:t>(2,355)</w:t>
            </w:r>
          </w:p>
        </w:tc>
      </w:tr>
      <w:tr w:rsidR="00587444" w:rsidRPr="00587444" w14:paraId="6374ABE0" w14:textId="77777777" w:rsidTr="00DD69E7">
        <w:trPr>
          <w:trHeight w:val="306"/>
        </w:trPr>
        <w:tc>
          <w:tcPr>
            <w:tcW w:w="2239" w:type="pct"/>
            <w:vAlign w:val="bottom"/>
          </w:tcPr>
          <w:p w14:paraId="01A5A2F5" w14:textId="77777777" w:rsidR="00587444" w:rsidRPr="00587444" w:rsidRDefault="00587444" w:rsidP="00587444">
            <w:pPr>
              <w:tabs>
                <w:tab w:val="right" w:pos="1202"/>
              </w:tabs>
              <w:suppressAutoHyphens w:val="0"/>
              <w:autoSpaceDN/>
              <w:spacing w:line="300" w:lineRule="exact"/>
              <w:outlineLvl w:val="0"/>
              <w:rPr>
                <w:rFonts w:ascii="Arial" w:hAnsi="Arial" w:cs="Arial"/>
                <w:b/>
                <w:bCs/>
                <w:sz w:val="20"/>
                <w:szCs w:val="20"/>
                <w:lang w:val="en-GB"/>
              </w:rPr>
            </w:pPr>
            <w:bookmarkStart w:id="562" w:name="_Toc4058166"/>
            <w:r w:rsidRPr="00587444">
              <w:rPr>
                <w:rFonts w:ascii="Arial" w:hAnsi="Arial" w:cs="Arial"/>
                <w:b/>
                <w:bCs/>
                <w:sz w:val="20"/>
                <w:szCs w:val="20"/>
                <w:lang w:val="en-GB"/>
              </w:rPr>
              <w:t>Total</w:t>
            </w:r>
            <w:bookmarkEnd w:id="562"/>
            <w:r w:rsidRPr="00587444">
              <w:rPr>
                <w:rFonts w:ascii="Arial" w:hAnsi="Arial" w:cs="Arial"/>
                <w:b/>
                <w:bCs/>
                <w:sz w:val="20"/>
                <w:szCs w:val="20"/>
                <w:lang w:val="en-GB"/>
              </w:rPr>
              <w:t xml:space="preserve"> </w:t>
            </w:r>
          </w:p>
        </w:tc>
        <w:tc>
          <w:tcPr>
            <w:tcW w:w="746" w:type="pct"/>
            <w:tcBorders>
              <w:top w:val="single" w:sz="4" w:space="0" w:color="auto"/>
              <w:bottom w:val="single" w:sz="12" w:space="0" w:color="auto"/>
            </w:tcBorders>
            <w:vAlign w:val="bottom"/>
          </w:tcPr>
          <w:p w14:paraId="4A693FE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2,428</w:t>
            </w:r>
          </w:p>
        </w:tc>
        <w:tc>
          <w:tcPr>
            <w:tcW w:w="658" w:type="pct"/>
            <w:tcBorders>
              <w:top w:val="single" w:sz="4" w:space="0" w:color="auto"/>
              <w:bottom w:val="single" w:sz="12" w:space="0" w:color="auto"/>
            </w:tcBorders>
            <w:vAlign w:val="bottom"/>
          </w:tcPr>
          <w:p w14:paraId="42C59C3F"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pacing w:val="-2"/>
                <w:sz w:val="20"/>
                <w:szCs w:val="20"/>
                <w:lang w:val="hr-HR"/>
              </w:rPr>
            </w:pPr>
            <w:r w:rsidRPr="00587444">
              <w:rPr>
                <w:rFonts w:ascii="Arial" w:hAnsi="Arial" w:cs="Arial"/>
                <w:b/>
                <w:bCs/>
                <w:color w:val="000000"/>
                <w:spacing w:val="-2"/>
                <w:sz w:val="20"/>
                <w:szCs w:val="20"/>
                <w:lang w:val="hr-HR"/>
              </w:rPr>
              <w:t>(1,608)</w:t>
            </w:r>
          </w:p>
        </w:tc>
        <w:tc>
          <w:tcPr>
            <w:tcW w:w="678" w:type="pct"/>
            <w:tcBorders>
              <w:top w:val="single" w:sz="4" w:space="0" w:color="auto"/>
              <w:bottom w:val="single" w:sz="12" w:space="0" w:color="auto"/>
            </w:tcBorders>
            <w:vAlign w:val="bottom"/>
          </w:tcPr>
          <w:p w14:paraId="3207F09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2,645</w:t>
            </w:r>
          </w:p>
        </w:tc>
        <w:tc>
          <w:tcPr>
            <w:tcW w:w="679" w:type="pct"/>
            <w:tcBorders>
              <w:top w:val="single" w:sz="4" w:space="0" w:color="auto"/>
              <w:bottom w:val="single" w:sz="12" w:space="0" w:color="auto"/>
            </w:tcBorders>
            <w:vAlign w:val="bottom"/>
          </w:tcPr>
          <w:p w14:paraId="75A559D8"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pacing w:val="-2"/>
                <w:sz w:val="20"/>
                <w:szCs w:val="20"/>
                <w:lang w:val="hr-HR"/>
              </w:rPr>
            </w:pPr>
            <w:r w:rsidRPr="00587444">
              <w:rPr>
                <w:rFonts w:ascii="Arial" w:hAnsi="Arial" w:cs="Arial"/>
                <w:b/>
                <w:bCs/>
                <w:color w:val="000000"/>
                <w:spacing w:val="-2"/>
                <w:sz w:val="20"/>
                <w:szCs w:val="20"/>
                <w:lang w:val="hr-HR"/>
              </w:rPr>
              <w:t>(1,605)</w:t>
            </w:r>
          </w:p>
        </w:tc>
      </w:tr>
      <w:tr w:rsidR="00587444" w:rsidRPr="00587444" w14:paraId="648886E2" w14:textId="77777777" w:rsidTr="00DD69E7">
        <w:trPr>
          <w:trHeight w:hRule="exact" w:val="447"/>
        </w:trPr>
        <w:tc>
          <w:tcPr>
            <w:tcW w:w="2239" w:type="pct"/>
            <w:vAlign w:val="bottom"/>
          </w:tcPr>
          <w:p w14:paraId="0DF2ACAF" w14:textId="77777777" w:rsidR="00587444" w:rsidRPr="00587444" w:rsidRDefault="00587444" w:rsidP="00587444">
            <w:pPr>
              <w:tabs>
                <w:tab w:val="right" w:pos="1202"/>
              </w:tabs>
              <w:suppressAutoHyphens w:val="0"/>
              <w:autoSpaceDN/>
              <w:spacing w:line="300" w:lineRule="exact"/>
              <w:outlineLvl w:val="0"/>
              <w:rPr>
                <w:rFonts w:ascii="Arial" w:hAnsi="Arial" w:cs="Arial"/>
                <w:b/>
                <w:bCs/>
                <w:sz w:val="20"/>
                <w:szCs w:val="20"/>
                <w:lang w:val="en-GB"/>
              </w:rPr>
            </w:pPr>
            <w:bookmarkStart w:id="563" w:name="_Toc4058171"/>
            <w:r w:rsidRPr="00587444">
              <w:rPr>
                <w:rFonts w:ascii="Arial" w:hAnsi="Arial" w:cs="Arial"/>
                <w:b/>
                <w:bCs/>
                <w:sz w:val="20"/>
                <w:szCs w:val="20"/>
                <w:lang w:val="en-GB"/>
              </w:rPr>
              <w:t>Total</w:t>
            </w:r>
            <w:bookmarkEnd w:id="563"/>
          </w:p>
        </w:tc>
        <w:tc>
          <w:tcPr>
            <w:tcW w:w="746" w:type="pct"/>
            <w:tcBorders>
              <w:bottom w:val="single" w:sz="12" w:space="0" w:color="auto"/>
            </w:tcBorders>
            <w:vAlign w:val="bottom"/>
          </w:tcPr>
          <w:p w14:paraId="31D7762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144,277</w:t>
            </w:r>
          </w:p>
        </w:tc>
        <w:tc>
          <w:tcPr>
            <w:tcW w:w="658" w:type="pct"/>
            <w:tcBorders>
              <w:bottom w:val="single" w:sz="12" w:space="0" w:color="auto"/>
            </w:tcBorders>
            <w:vAlign w:val="bottom"/>
          </w:tcPr>
          <w:p w14:paraId="31DCF2C3"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pacing w:val="-2"/>
                <w:sz w:val="20"/>
                <w:szCs w:val="20"/>
                <w:lang w:val="hr-HR"/>
              </w:rPr>
            </w:pPr>
            <w:r w:rsidRPr="00587444">
              <w:rPr>
                <w:rFonts w:ascii="Arial" w:hAnsi="Arial" w:cs="Arial"/>
                <w:b/>
                <w:bCs/>
                <w:color w:val="000000"/>
                <w:spacing w:val="-2"/>
                <w:sz w:val="20"/>
                <w:szCs w:val="20"/>
                <w:lang w:val="hr-HR"/>
              </w:rPr>
              <w:t>163,013</w:t>
            </w:r>
          </w:p>
        </w:tc>
        <w:tc>
          <w:tcPr>
            <w:tcW w:w="678" w:type="pct"/>
            <w:tcBorders>
              <w:top w:val="single" w:sz="12" w:space="0" w:color="auto"/>
              <w:bottom w:val="single" w:sz="12" w:space="0" w:color="auto"/>
            </w:tcBorders>
            <w:vAlign w:val="bottom"/>
          </w:tcPr>
          <w:p w14:paraId="045A03F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144,434</w:t>
            </w:r>
          </w:p>
        </w:tc>
        <w:tc>
          <w:tcPr>
            <w:tcW w:w="679" w:type="pct"/>
            <w:tcBorders>
              <w:bottom w:val="single" w:sz="12" w:space="0" w:color="auto"/>
            </w:tcBorders>
            <w:vAlign w:val="bottom"/>
          </w:tcPr>
          <w:p w14:paraId="0C564457"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pacing w:val="-2"/>
                <w:sz w:val="20"/>
                <w:szCs w:val="20"/>
                <w:lang w:val="hr-HR"/>
              </w:rPr>
            </w:pPr>
            <w:r w:rsidRPr="00587444">
              <w:rPr>
                <w:rFonts w:ascii="Arial" w:hAnsi="Arial" w:cs="Arial"/>
                <w:b/>
                <w:bCs/>
                <w:color w:val="000000"/>
                <w:spacing w:val="-2"/>
                <w:sz w:val="20"/>
                <w:szCs w:val="20"/>
                <w:lang w:val="hr-HR"/>
              </w:rPr>
              <w:t>163,004</w:t>
            </w:r>
          </w:p>
        </w:tc>
      </w:tr>
    </w:tbl>
    <w:p w14:paraId="64AB7EAA" w14:textId="77777777" w:rsidR="00587444" w:rsidRPr="00587444" w:rsidRDefault="00587444" w:rsidP="00587444">
      <w:pPr>
        <w:keepNext/>
        <w:suppressAutoHyphens w:val="0"/>
        <w:autoSpaceDN/>
        <w:spacing w:before="240" w:after="120" w:line="360" w:lineRule="auto"/>
        <w:jc w:val="both"/>
        <w:rPr>
          <w:rFonts w:ascii="Arial" w:hAnsi="Arial" w:cs="Arial"/>
          <w:b/>
          <w:bCs/>
          <w:sz w:val="20"/>
          <w:szCs w:val="20"/>
          <w:highlight w:val="yellow"/>
          <w:lang w:val="en-GB"/>
        </w:rPr>
      </w:pPr>
    </w:p>
    <w:p w14:paraId="2227358C" w14:textId="77777777" w:rsidR="00587444" w:rsidRPr="00587444" w:rsidRDefault="00587444" w:rsidP="00587444">
      <w:pPr>
        <w:keepNext/>
        <w:suppressAutoHyphens w:val="0"/>
        <w:autoSpaceDN/>
        <w:spacing w:before="240" w:after="120" w:line="360" w:lineRule="auto"/>
        <w:jc w:val="both"/>
        <w:rPr>
          <w:rFonts w:ascii="Arial" w:hAnsi="Arial" w:cs="Arial"/>
          <w:b/>
          <w:bCs/>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553E0404"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472CE438"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11.</w:t>
      </w:r>
      <w:r w:rsidRPr="00587444">
        <w:rPr>
          <w:rFonts w:ascii="Arial" w:hAnsi="Arial" w:cs="Arial"/>
          <w:b/>
          <w:bCs/>
          <w:sz w:val="20"/>
          <w:szCs w:val="20"/>
          <w:lang w:val="en-GB"/>
        </w:rPr>
        <w:tab/>
        <w:t>Income tax</w:t>
      </w:r>
    </w:p>
    <w:p w14:paraId="203C1F39" w14:textId="77777777" w:rsidR="00587444" w:rsidRPr="00587444" w:rsidRDefault="00587444" w:rsidP="00587444">
      <w:pPr>
        <w:suppressAutoHyphens w:val="0"/>
        <w:autoSpaceDN/>
        <w:jc w:val="both"/>
        <w:rPr>
          <w:rFonts w:ascii="Arial" w:hAnsi="Arial" w:cs="Arial"/>
          <w:bCs/>
          <w:sz w:val="20"/>
          <w:szCs w:val="20"/>
          <w:lang w:val="en-GB"/>
        </w:rPr>
      </w:pPr>
    </w:p>
    <w:p w14:paraId="3D86903E" w14:textId="77777777" w:rsidR="00587444" w:rsidRPr="00587444" w:rsidRDefault="00587444" w:rsidP="00587444">
      <w:pPr>
        <w:suppressAutoHyphens w:val="0"/>
        <w:autoSpaceDN/>
        <w:jc w:val="both"/>
        <w:rPr>
          <w:rFonts w:ascii="Arial" w:hAnsi="Arial" w:cs="Arial"/>
          <w:sz w:val="20"/>
          <w:szCs w:val="20"/>
        </w:rPr>
      </w:pPr>
      <w:r w:rsidRPr="00587444">
        <w:rPr>
          <w:rFonts w:ascii="Arial" w:hAnsi="Arial" w:cs="Arial"/>
          <w:bCs/>
          <w:sz w:val="20"/>
          <w:szCs w:val="20"/>
          <w:lang w:val="en-GB"/>
        </w:rPr>
        <w:t xml:space="preserve">Based on Article 9 of the Act on the HBOR, the parent company is exempt from income tax, </w:t>
      </w:r>
      <w:r w:rsidRPr="00587444">
        <w:rPr>
          <w:rFonts w:ascii="Arial" w:hAnsi="Arial" w:cs="Arial"/>
          <w:sz w:val="20"/>
          <w:szCs w:val="20"/>
        </w:rPr>
        <w:t>Income tax liabilities arise exclusively from the activities of the other members of the Group.</w:t>
      </w:r>
    </w:p>
    <w:p w14:paraId="6E587FC0" w14:textId="77777777" w:rsidR="00587444" w:rsidRPr="00587444" w:rsidRDefault="00587444" w:rsidP="00587444">
      <w:pPr>
        <w:suppressAutoHyphens w:val="0"/>
        <w:autoSpaceDN/>
        <w:jc w:val="both"/>
        <w:rPr>
          <w:rFonts w:ascii="Arial" w:hAnsi="Arial" w:cs="Arial"/>
          <w:sz w:val="20"/>
          <w:szCs w:val="20"/>
        </w:rPr>
      </w:pPr>
    </w:p>
    <w:tbl>
      <w:tblPr>
        <w:tblW w:w="5000" w:type="pct"/>
        <w:tblLayout w:type="fixed"/>
        <w:tblCellMar>
          <w:left w:w="122" w:type="dxa"/>
          <w:right w:w="122" w:type="dxa"/>
        </w:tblCellMar>
        <w:tblLook w:val="0000" w:firstRow="0" w:lastRow="0" w:firstColumn="0" w:lastColumn="0" w:noHBand="0" w:noVBand="0"/>
      </w:tblPr>
      <w:tblGrid>
        <w:gridCol w:w="6926"/>
        <w:gridCol w:w="1277"/>
        <w:gridCol w:w="1396"/>
      </w:tblGrid>
      <w:tr w:rsidR="00587444" w:rsidRPr="00587444" w14:paraId="0B896D7F" w14:textId="77777777" w:rsidTr="00DD69E7">
        <w:trPr>
          <w:trHeight w:val="300"/>
        </w:trPr>
        <w:tc>
          <w:tcPr>
            <w:tcW w:w="3608" w:type="pct"/>
          </w:tcPr>
          <w:p w14:paraId="5429D1CC" w14:textId="77777777" w:rsidR="00587444" w:rsidRPr="00587444" w:rsidRDefault="00587444" w:rsidP="00587444">
            <w:pPr>
              <w:tabs>
                <w:tab w:val="left" w:pos="-720"/>
              </w:tabs>
              <w:autoSpaceDN/>
              <w:jc w:val="right"/>
              <w:rPr>
                <w:rFonts w:ascii="Arial" w:hAnsi="Arial" w:cs="Arial"/>
                <w:spacing w:val="-3"/>
                <w:sz w:val="20"/>
                <w:szCs w:val="20"/>
                <w:lang w:val="hr-HR"/>
              </w:rPr>
            </w:pPr>
          </w:p>
        </w:tc>
        <w:tc>
          <w:tcPr>
            <w:tcW w:w="665" w:type="pct"/>
          </w:tcPr>
          <w:p w14:paraId="6362726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27" w:type="pct"/>
            <w:vAlign w:val="center"/>
          </w:tcPr>
          <w:p w14:paraId="52CC87F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64" w:name="_Toc4058176"/>
            <w:r w:rsidRPr="00587444">
              <w:rPr>
                <w:rFonts w:ascii="Arial" w:hAnsi="Arial" w:cs="Arial"/>
                <w:b/>
                <w:sz w:val="20"/>
                <w:szCs w:val="20"/>
                <w:lang w:val="hr-HR"/>
              </w:rPr>
              <w:t>Group</w:t>
            </w:r>
            <w:bookmarkEnd w:id="564"/>
          </w:p>
        </w:tc>
      </w:tr>
      <w:tr w:rsidR="00587444" w:rsidRPr="00587444" w14:paraId="1A815C7F" w14:textId="77777777" w:rsidTr="00DD69E7">
        <w:trPr>
          <w:trHeight w:val="300"/>
        </w:trPr>
        <w:tc>
          <w:tcPr>
            <w:tcW w:w="3608" w:type="pct"/>
          </w:tcPr>
          <w:p w14:paraId="323A554A" w14:textId="77777777" w:rsidR="00587444" w:rsidRPr="00587444" w:rsidRDefault="00587444" w:rsidP="00587444">
            <w:pPr>
              <w:tabs>
                <w:tab w:val="left" w:pos="-720"/>
              </w:tabs>
              <w:autoSpaceDN/>
              <w:jc w:val="right"/>
              <w:rPr>
                <w:rFonts w:ascii="Arial" w:hAnsi="Arial" w:cs="Arial"/>
                <w:spacing w:val="-3"/>
                <w:sz w:val="20"/>
                <w:szCs w:val="20"/>
                <w:lang w:val="hr-HR"/>
              </w:rPr>
            </w:pPr>
          </w:p>
        </w:tc>
        <w:tc>
          <w:tcPr>
            <w:tcW w:w="665" w:type="pct"/>
            <w:vAlign w:val="center"/>
          </w:tcPr>
          <w:p w14:paraId="02E6BB8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2021</w:t>
            </w:r>
          </w:p>
        </w:tc>
        <w:tc>
          <w:tcPr>
            <w:tcW w:w="727" w:type="pct"/>
            <w:vAlign w:val="center"/>
          </w:tcPr>
          <w:p w14:paraId="68B59E2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2021</w:t>
            </w:r>
          </w:p>
        </w:tc>
      </w:tr>
      <w:tr w:rsidR="00587444" w:rsidRPr="00587444" w14:paraId="046C9396" w14:textId="77777777" w:rsidTr="00DD69E7">
        <w:tblPrEx>
          <w:tblCellMar>
            <w:left w:w="108" w:type="dxa"/>
            <w:right w:w="108" w:type="dxa"/>
          </w:tblCellMar>
        </w:tblPrEx>
        <w:trPr>
          <w:trHeight w:val="187"/>
        </w:trPr>
        <w:tc>
          <w:tcPr>
            <w:tcW w:w="3608" w:type="pct"/>
          </w:tcPr>
          <w:p w14:paraId="6FC63732" w14:textId="77777777" w:rsidR="00587444" w:rsidRPr="00587444" w:rsidRDefault="00587444" w:rsidP="00587444">
            <w:pPr>
              <w:tabs>
                <w:tab w:val="left" w:pos="-720"/>
              </w:tabs>
              <w:autoSpaceDN/>
              <w:ind w:right="4144"/>
              <w:jc w:val="right"/>
              <w:rPr>
                <w:rFonts w:ascii="Arial" w:hAnsi="Arial" w:cs="Arial"/>
                <w:sz w:val="20"/>
                <w:szCs w:val="20"/>
                <w:lang w:val="hr-HR"/>
              </w:rPr>
            </w:pPr>
          </w:p>
        </w:tc>
        <w:tc>
          <w:tcPr>
            <w:tcW w:w="665" w:type="pct"/>
            <w:vAlign w:val="center"/>
          </w:tcPr>
          <w:p w14:paraId="224068CF" w14:textId="77777777" w:rsidR="00587444" w:rsidRPr="00587444" w:rsidRDefault="00587444" w:rsidP="00587444">
            <w:pPr>
              <w:tabs>
                <w:tab w:val="right" w:pos="1202"/>
              </w:tabs>
              <w:suppressAutoHyphens w:val="0"/>
              <w:autoSpaceDN/>
              <w:spacing w:line="300" w:lineRule="exact"/>
              <w:jc w:val="right"/>
              <w:outlineLvl w:val="0"/>
              <w:rPr>
                <w:rFonts w:ascii="Arial" w:hAnsi="Arial" w:cs="Arial"/>
                <w:b/>
                <w:sz w:val="20"/>
                <w:szCs w:val="20"/>
                <w:lang w:val="en-GB"/>
              </w:rPr>
            </w:pPr>
            <w:bookmarkStart w:id="565" w:name="_Toc4058179"/>
            <w:r w:rsidRPr="00587444">
              <w:rPr>
                <w:rFonts w:ascii="Arial" w:hAnsi="Arial" w:cs="Arial"/>
                <w:b/>
                <w:sz w:val="20"/>
                <w:szCs w:val="20"/>
                <w:lang w:val="en-GB"/>
              </w:rPr>
              <w:t>HRK ‘000</w:t>
            </w:r>
            <w:bookmarkEnd w:id="565"/>
          </w:p>
        </w:tc>
        <w:tc>
          <w:tcPr>
            <w:tcW w:w="727" w:type="pct"/>
            <w:vAlign w:val="center"/>
          </w:tcPr>
          <w:p w14:paraId="1C01998E" w14:textId="77777777" w:rsidR="00587444" w:rsidRPr="00587444" w:rsidRDefault="00587444" w:rsidP="00587444">
            <w:pPr>
              <w:tabs>
                <w:tab w:val="right" w:pos="1202"/>
              </w:tabs>
              <w:suppressAutoHyphens w:val="0"/>
              <w:autoSpaceDN/>
              <w:spacing w:line="300" w:lineRule="exact"/>
              <w:jc w:val="right"/>
              <w:outlineLvl w:val="0"/>
              <w:rPr>
                <w:rFonts w:ascii="Arial" w:hAnsi="Arial" w:cs="Arial"/>
                <w:b/>
                <w:sz w:val="20"/>
                <w:szCs w:val="20"/>
                <w:lang w:val="en-GB"/>
              </w:rPr>
            </w:pPr>
            <w:bookmarkStart w:id="566" w:name="_Toc4058180"/>
            <w:r w:rsidRPr="00587444">
              <w:rPr>
                <w:rFonts w:ascii="Arial" w:hAnsi="Arial" w:cs="Arial"/>
                <w:b/>
                <w:sz w:val="20"/>
                <w:szCs w:val="20"/>
                <w:lang w:val="en-GB"/>
              </w:rPr>
              <w:t>HRK ‘000</w:t>
            </w:r>
            <w:bookmarkEnd w:id="566"/>
          </w:p>
        </w:tc>
      </w:tr>
      <w:tr w:rsidR="00587444" w:rsidRPr="00587444" w14:paraId="2C73E61B" w14:textId="77777777" w:rsidTr="00DD69E7">
        <w:tc>
          <w:tcPr>
            <w:tcW w:w="3608" w:type="pct"/>
          </w:tcPr>
          <w:p w14:paraId="5466A168" w14:textId="77777777" w:rsidR="00587444" w:rsidRPr="00587444" w:rsidRDefault="00587444" w:rsidP="00587444">
            <w:pPr>
              <w:tabs>
                <w:tab w:val="left" w:pos="-720"/>
              </w:tabs>
              <w:autoSpaceDN/>
              <w:spacing w:line="300" w:lineRule="exact"/>
              <w:rPr>
                <w:rFonts w:ascii="Arial" w:hAnsi="Arial" w:cs="Arial"/>
                <w:b/>
                <w:spacing w:val="-3"/>
                <w:sz w:val="20"/>
                <w:szCs w:val="20"/>
                <w:lang w:val="en-GB"/>
              </w:rPr>
            </w:pPr>
            <w:r w:rsidRPr="00587444">
              <w:rPr>
                <w:rFonts w:ascii="Arial" w:hAnsi="Arial" w:cs="Arial"/>
                <w:b/>
                <w:spacing w:val="-3"/>
                <w:sz w:val="20"/>
                <w:szCs w:val="20"/>
                <w:lang w:val="en-GB"/>
              </w:rPr>
              <w:t xml:space="preserve">Recognised in Income Statement </w:t>
            </w:r>
          </w:p>
        </w:tc>
        <w:tc>
          <w:tcPr>
            <w:tcW w:w="665" w:type="pct"/>
          </w:tcPr>
          <w:p w14:paraId="004AEA4D" w14:textId="77777777" w:rsidR="00587444" w:rsidRPr="00587444" w:rsidRDefault="00587444" w:rsidP="00587444">
            <w:pPr>
              <w:tabs>
                <w:tab w:val="left" w:pos="-720"/>
              </w:tabs>
              <w:autoSpaceDN/>
              <w:jc w:val="right"/>
              <w:rPr>
                <w:rFonts w:ascii="Arial" w:hAnsi="Arial" w:cs="Arial"/>
                <w:b/>
                <w:spacing w:val="-3"/>
                <w:sz w:val="20"/>
                <w:szCs w:val="20"/>
                <w:lang w:val="hr-HR"/>
              </w:rPr>
            </w:pPr>
          </w:p>
        </w:tc>
        <w:tc>
          <w:tcPr>
            <w:tcW w:w="727" w:type="pct"/>
          </w:tcPr>
          <w:p w14:paraId="550B4571" w14:textId="77777777" w:rsidR="00587444" w:rsidRPr="00587444" w:rsidRDefault="00587444" w:rsidP="00587444">
            <w:pPr>
              <w:tabs>
                <w:tab w:val="left" w:pos="-720"/>
              </w:tabs>
              <w:autoSpaceDN/>
              <w:jc w:val="right"/>
              <w:rPr>
                <w:rFonts w:ascii="Arial" w:hAnsi="Arial" w:cs="Arial"/>
                <w:b/>
                <w:spacing w:val="-3"/>
                <w:sz w:val="20"/>
                <w:szCs w:val="20"/>
                <w:lang w:val="hr-HR"/>
              </w:rPr>
            </w:pPr>
          </w:p>
        </w:tc>
      </w:tr>
      <w:tr w:rsidR="00587444" w:rsidRPr="00587444" w14:paraId="47B935EB" w14:textId="77777777" w:rsidTr="00DD69E7">
        <w:tc>
          <w:tcPr>
            <w:tcW w:w="3608" w:type="pct"/>
          </w:tcPr>
          <w:p w14:paraId="754F6ACE" w14:textId="77777777" w:rsidR="00587444" w:rsidRPr="00587444" w:rsidRDefault="00587444" w:rsidP="00587444">
            <w:pPr>
              <w:tabs>
                <w:tab w:val="left" w:pos="-720"/>
              </w:tabs>
              <w:autoSpaceDN/>
              <w:spacing w:line="300" w:lineRule="exact"/>
              <w:rPr>
                <w:rFonts w:ascii="Arial" w:hAnsi="Arial" w:cs="Arial"/>
                <w:spacing w:val="-3"/>
                <w:sz w:val="20"/>
                <w:szCs w:val="20"/>
                <w:lang w:val="en-GB"/>
              </w:rPr>
            </w:pPr>
            <w:r w:rsidRPr="00587444">
              <w:rPr>
                <w:rFonts w:ascii="Arial" w:hAnsi="Arial" w:cs="Arial"/>
                <w:color w:val="000000"/>
                <w:sz w:val="20"/>
                <w:szCs w:val="20"/>
                <w:lang w:val="en-GB"/>
              </w:rPr>
              <w:t>Current tax - recognised in</w:t>
            </w:r>
            <w:r w:rsidRPr="00587444">
              <w:rPr>
                <w:rFonts w:ascii="Arial" w:hAnsi="Arial" w:cs="Arial"/>
                <w:sz w:val="20"/>
                <w:szCs w:val="20"/>
              </w:rPr>
              <w:t xml:space="preserve"> </w:t>
            </w:r>
            <w:r w:rsidRPr="00587444">
              <w:rPr>
                <w:rFonts w:ascii="Arial" w:hAnsi="Arial" w:cs="Arial"/>
                <w:color w:val="000000"/>
                <w:sz w:val="20"/>
                <w:szCs w:val="20"/>
                <w:lang w:val="en-GB"/>
              </w:rPr>
              <w:t>Income Statement</w:t>
            </w:r>
          </w:p>
        </w:tc>
        <w:tc>
          <w:tcPr>
            <w:tcW w:w="665" w:type="pct"/>
            <w:tcBorders>
              <w:top w:val="nil"/>
              <w:left w:val="nil"/>
              <w:bottom w:val="single" w:sz="4" w:space="0" w:color="auto"/>
              <w:right w:val="nil"/>
            </w:tcBorders>
            <w:shd w:val="clear" w:color="auto" w:fill="auto"/>
            <w:vAlign w:val="bottom"/>
          </w:tcPr>
          <w:p w14:paraId="02C1483E" w14:textId="77777777" w:rsidR="00587444" w:rsidRPr="00587444" w:rsidRDefault="00587444" w:rsidP="00587444">
            <w:pPr>
              <w:tabs>
                <w:tab w:val="left" w:pos="-720"/>
              </w:tabs>
              <w:autoSpaceDN/>
              <w:jc w:val="right"/>
              <w:rPr>
                <w:rFonts w:ascii="Arial" w:hAnsi="Arial" w:cs="Arial"/>
                <w:spacing w:val="-3"/>
                <w:sz w:val="20"/>
                <w:szCs w:val="20"/>
                <w:lang w:val="hr-HR"/>
              </w:rPr>
            </w:pPr>
            <w:r w:rsidRPr="00587444">
              <w:rPr>
                <w:rFonts w:ascii="Arial" w:hAnsi="Arial" w:cs="Arial"/>
                <w:spacing w:val="-3"/>
                <w:sz w:val="20"/>
                <w:szCs w:val="20"/>
                <w:lang w:val="hr-HR"/>
              </w:rPr>
              <w:t>(672)</w:t>
            </w:r>
          </w:p>
        </w:tc>
        <w:tc>
          <w:tcPr>
            <w:tcW w:w="727" w:type="pct"/>
            <w:tcBorders>
              <w:top w:val="nil"/>
              <w:left w:val="nil"/>
              <w:bottom w:val="single" w:sz="4" w:space="0" w:color="auto"/>
              <w:right w:val="nil"/>
            </w:tcBorders>
            <w:shd w:val="clear" w:color="auto" w:fill="auto"/>
            <w:vAlign w:val="bottom"/>
          </w:tcPr>
          <w:p w14:paraId="4BFD191C" w14:textId="77777777" w:rsidR="00587444" w:rsidRPr="00587444" w:rsidRDefault="00587444" w:rsidP="00587444">
            <w:pPr>
              <w:tabs>
                <w:tab w:val="left" w:pos="-720"/>
              </w:tabs>
              <w:autoSpaceDN/>
              <w:jc w:val="right"/>
              <w:rPr>
                <w:rFonts w:ascii="Arial" w:hAnsi="Arial" w:cs="Arial"/>
                <w:b/>
                <w:spacing w:val="-3"/>
                <w:sz w:val="20"/>
                <w:szCs w:val="20"/>
                <w:lang w:val="hr-HR"/>
              </w:rPr>
            </w:pPr>
            <w:r w:rsidRPr="00587444">
              <w:rPr>
                <w:rFonts w:ascii="Arial" w:hAnsi="Arial" w:cs="Arial"/>
                <w:color w:val="000000"/>
                <w:sz w:val="20"/>
                <w:szCs w:val="20"/>
                <w:lang w:val="hr-HR"/>
              </w:rPr>
              <w:t>(214)</w:t>
            </w:r>
          </w:p>
        </w:tc>
      </w:tr>
      <w:tr w:rsidR="00587444" w:rsidRPr="00587444" w14:paraId="426F5D59" w14:textId="77777777" w:rsidTr="00DD69E7">
        <w:trPr>
          <w:trHeight w:val="329"/>
        </w:trPr>
        <w:tc>
          <w:tcPr>
            <w:tcW w:w="3608" w:type="pct"/>
          </w:tcPr>
          <w:p w14:paraId="275654AF" w14:textId="77777777" w:rsidR="00587444" w:rsidRPr="00587444" w:rsidRDefault="00587444" w:rsidP="00587444">
            <w:pPr>
              <w:tabs>
                <w:tab w:val="right" w:pos="1202"/>
              </w:tabs>
              <w:suppressAutoHyphens w:val="0"/>
              <w:autoSpaceDN/>
              <w:spacing w:line="300" w:lineRule="exact"/>
              <w:outlineLvl w:val="0"/>
              <w:rPr>
                <w:rFonts w:ascii="Arial" w:hAnsi="Arial" w:cs="Arial"/>
                <w:b/>
                <w:sz w:val="20"/>
                <w:szCs w:val="20"/>
                <w:lang w:val="en-GB"/>
              </w:rPr>
            </w:pPr>
            <w:bookmarkStart w:id="567" w:name="_Toc4058181"/>
            <w:r w:rsidRPr="00587444">
              <w:rPr>
                <w:rFonts w:ascii="Arial" w:hAnsi="Arial" w:cs="Arial"/>
                <w:b/>
                <w:sz w:val="20"/>
                <w:szCs w:val="20"/>
                <w:lang w:val="en-GB"/>
              </w:rPr>
              <w:t>Income tax</w:t>
            </w:r>
            <w:bookmarkEnd w:id="567"/>
          </w:p>
        </w:tc>
        <w:tc>
          <w:tcPr>
            <w:tcW w:w="665" w:type="pct"/>
            <w:tcBorders>
              <w:top w:val="single" w:sz="4" w:space="0" w:color="auto"/>
              <w:left w:val="nil"/>
              <w:bottom w:val="single" w:sz="4" w:space="0" w:color="auto"/>
              <w:right w:val="nil"/>
            </w:tcBorders>
            <w:shd w:val="clear" w:color="auto" w:fill="auto"/>
            <w:vAlign w:val="bottom"/>
          </w:tcPr>
          <w:p w14:paraId="35FB8F0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sz w:val="20"/>
                <w:szCs w:val="20"/>
                <w:lang w:val="hr-HR"/>
              </w:rPr>
            </w:pPr>
            <w:r w:rsidRPr="00587444">
              <w:rPr>
                <w:rFonts w:ascii="Arial" w:hAnsi="Arial" w:cs="Arial"/>
                <w:b/>
                <w:sz w:val="20"/>
                <w:szCs w:val="20"/>
                <w:lang w:val="hr-HR"/>
              </w:rPr>
              <w:t>(672)</w:t>
            </w:r>
          </w:p>
        </w:tc>
        <w:tc>
          <w:tcPr>
            <w:tcW w:w="727" w:type="pct"/>
            <w:tcBorders>
              <w:top w:val="single" w:sz="4" w:space="0" w:color="auto"/>
              <w:left w:val="nil"/>
              <w:bottom w:val="single" w:sz="4" w:space="0" w:color="auto"/>
              <w:right w:val="nil"/>
            </w:tcBorders>
            <w:shd w:val="clear" w:color="auto" w:fill="auto"/>
            <w:vAlign w:val="bottom"/>
          </w:tcPr>
          <w:p w14:paraId="0EAA9DA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sz w:val="20"/>
                <w:szCs w:val="20"/>
                <w:lang w:val="hr-HR"/>
              </w:rPr>
            </w:pPr>
            <w:r w:rsidRPr="00587444">
              <w:rPr>
                <w:rFonts w:ascii="Arial" w:hAnsi="Arial" w:cs="Arial"/>
                <w:b/>
                <w:color w:val="000000"/>
                <w:sz w:val="20"/>
                <w:szCs w:val="20"/>
                <w:lang w:val="hr-HR"/>
              </w:rPr>
              <w:t>(214)</w:t>
            </w:r>
          </w:p>
        </w:tc>
      </w:tr>
      <w:tr w:rsidR="00587444" w:rsidRPr="00587444" w14:paraId="2568E04D" w14:textId="77777777" w:rsidTr="00DD69E7">
        <w:trPr>
          <w:trHeight w:val="329"/>
        </w:trPr>
        <w:tc>
          <w:tcPr>
            <w:tcW w:w="3608" w:type="pct"/>
          </w:tcPr>
          <w:p w14:paraId="455CE9F6" w14:textId="77777777" w:rsidR="00587444" w:rsidRPr="00587444" w:rsidRDefault="00587444" w:rsidP="00587444">
            <w:pPr>
              <w:tabs>
                <w:tab w:val="right" w:pos="1202"/>
              </w:tabs>
              <w:suppressAutoHyphens w:val="0"/>
              <w:autoSpaceDN/>
              <w:spacing w:line="300" w:lineRule="exact"/>
              <w:outlineLvl w:val="0"/>
              <w:rPr>
                <w:rFonts w:ascii="Arial" w:hAnsi="Arial" w:cs="Arial"/>
                <w:b/>
                <w:sz w:val="20"/>
                <w:szCs w:val="20"/>
                <w:lang w:val="en-GB"/>
              </w:rPr>
            </w:pPr>
          </w:p>
        </w:tc>
        <w:tc>
          <w:tcPr>
            <w:tcW w:w="665" w:type="pct"/>
            <w:tcBorders>
              <w:top w:val="single" w:sz="4" w:space="0" w:color="auto"/>
              <w:left w:val="nil"/>
              <w:bottom w:val="nil"/>
              <w:right w:val="nil"/>
            </w:tcBorders>
            <w:shd w:val="clear" w:color="auto" w:fill="auto"/>
            <w:vAlign w:val="bottom"/>
          </w:tcPr>
          <w:p w14:paraId="188858E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sz w:val="20"/>
                <w:szCs w:val="20"/>
                <w:lang w:val="hr-HR"/>
              </w:rPr>
            </w:pPr>
          </w:p>
        </w:tc>
        <w:tc>
          <w:tcPr>
            <w:tcW w:w="727" w:type="pct"/>
            <w:tcBorders>
              <w:top w:val="single" w:sz="4" w:space="0" w:color="auto"/>
              <w:left w:val="nil"/>
              <w:bottom w:val="nil"/>
              <w:right w:val="nil"/>
            </w:tcBorders>
            <w:shd w:val="clear" w:color="auto" w:fill="auto"/>
            <w:vAlign w:val="bottom"/>
          </w:tcPr>
          <w:p w14:paraId="41C7B49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en-GB"/>
              </w:rPr>
            </w:pPr>
          </w:p>
        </w:tc>
      </w:tr>
      <w:tr w:rsidR="00587444" w:rsidRPr="00587444" w14:paraId="580712C6" w14:textId="77777777" w:rsidTr="00DD69E7">
        <w:tc>
          <w:tcPr>
            <w:tcW w:w="3608" w:type="pct"/>
            <w:vAlign w:val="bottom"/>
          </w:tcPr>
          <w:p w14:paraId="4371A7B7" w14:textId="77777777" w:rsidR="00587444" w:rsidRPr="00587444" w:rsidRDefault="00587444" w:rsidP="00587444">
            <w:pPr>
              <w:tabs>
                <w:tab w:val="right" w:pos="1202"/>
              </w:tabs>
              <w:suppressAutoHyphens w:val="0"/>
              <w:autoSpaceDN/>
              <w:spacing w:line="300" w:lineRule="exact"/>
              <w:outlineLvl w:val="0"/>
              <w:rPr>
                <w:rFonts w:ascii="Arial" w:hAnsi="Arial" w:cs="Arial"/>
                <w:b/>
                <w:sz w:val="20"/>
                <w:szCs w:val="20"/>
                <w:lang w:val="en-GB"/>
              </w:rPr>
            </w:pPr>
            <w:bookmarkStart w:id="568" w:name="_Toc4058184"/>
            <w:r w:rsidRPr="00587444">
              <w:rPr>
                <w:rFonts w:ascii="Arial" w:hAnsi="Arial" w:cs="Arial"/>
                <w:b/>
                <w:sz w:val="20"/>
                <w:szCs w:val="20"/>
                <w:lang w:val="en-GB"/>
              </w:rPr>
              <w:t>Income tax reconciliation</w:t>
            </w:r>
            <w:bookmarkEnd w:id="568"/>
          </w:p>
        </w:tc>
        <w:tc>
          <w:tcPr>
            <w:tcW w:w="665" w:type="pct"/>
            <w:tcBorders>
              <w:top w:val="nil"/>
              <w:left w:val="nil"/>
              <w:bottom w:val="nil"/>
              <w:right w:val="nil"/>
            </w:tcBorders>
            <w:shd w:val="clear" w:color="auto" w:fill="auto"/>
            <w:vAlign w:val="bottom"/>
          </w:tcPr>
          <w:p w14:paraId="7A3BE4B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p>
        </w:tc>
        <w:tc>
          <w:tcPr>
            <w:tcW w:w="727" w:type="pct"/>
            <w:tcBorders>
              <w:top w:val="nil"/>
              <w:left w:val="nil"/>
              <w:bottom w:val="nil"/>
              <w:right w:val="nil"/>
            </w:tcBorders>
            <w:shd w:val="clear" w:color="auto" w:fill="auto"/>
            <w:vAlign w:val="bottom"/>
          </w:tcPr>
          <w:p w14:paraId="66C2BE3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p>
        </w:tc>
      </w:tr>
      <w:tr w:rsidR="00587444" w:rsidRPr="00587444" w14:paraId="4EFDCE0B" w14:textId="77777777" w:rsidTr="00DD69E7">
        <w:tc>
          <w:tcPr>
            <w:tcW w:w="3608" w:type="pct"/>
          </w:tcPr>
          <w:p w14:paraId="22681FE1" w14:textId="77777777" w:rsidR="00587444" w:rsidRPr="00587444" w:rsidRDefault="00587444" w:rsidP="00587444">
            <w:pPr>
              <w:tabs>
                <w:tab w:val="right" w:pos="1202"/>
              </w:tabs>
              <w:suppressAutoHyphens w:val="0"/>
              <w:autoSpaceDN/>
              <w:spacing w:line="300" w:lineRule="exact"/>
              <w:outlineLvl w:val="0"/>
              <w:rPr>
                <w:rFonts w:ascii="Arial" w:hAnsi="Arial" w:cs="Arial"/>
                <w:b/>
                <w:sz w:val="20"/>
                <w:szCs w:val="20"/>
                <w:lang w:val="en-GB"/>
              </w:rPr>
            </w:pPr>
            <w:bookmarkStart w:id="569" w:name="_Toc4058185"/>
            <w:r w:rsidRPr="00587444">
              <w:rPr>
                <w:rFonts w:ascii="Arial" w:hAnsi="Arial" w:cs="Arial"/>
                <w:b/>
                <w:sz w:val="20"/>
                <w:szCs w:val="20"/>
                <w:lang w:val="en-GB"/>
              </w:rPr>
              <w:t>Profit before tax</w:t>
            </w:r>
            <w:bookmarkEnd w:id="569"/>
          </w:p>
        </w:tc>
        <w:tc>
          <w:tcPr>
            <w:tcW w:w="665" w:type="pct"/>
            <w:tcBorders>
              <w:top w:val="nil"/>
              <w:left w:val="nil"/>
              <w:right w:val="nil"/>
            </w:tcBorders>
            <w:shd w:val="clear" w:color="auto" w:fill="auto"/>
            <w:vAlign w:val="bottom"/>
          </w:tcPr>
          <w:p w14:paraId="0F9BCE7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190,130</w:t>
            </w:r>
          </w:p>
        </w:tc>
        <w:tc>
          <w:tcPr>
            <w:tcW w:w="727" w:type="pct"/>
            <w:tcBorders>
              <w:top w:val="nil"/>
              <w:left w:val="nil"/>
              <w:right w:val="nil"/>
            </w:tcBorders>
            <w:shd w:val="clear" w:color="auto" w:fill="auto"/>
            <w:vAlign w:val="bottom"/>
          </w:tcPr>
          <w:p w14:paraId="674B4E0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sz w:val="20"/>
                <w:szCs w:val="20"/>
                <w:lang w:val="hr-HR"/>
              </w:rPr>
            </w:pPr>
            <w:r w:rsidRPr="00587444">
              <w:rPr>
                <w:rFonts w:ascii="Arial" w:hAnsi="Arial" w:cs="Arial"/>
                <w:b/>
                <w:color w:val="000000"/>
                <w:sz w:val="20"/>
                <w:szCs w:val="20"/>
                <w:lang w:val="hr-HR"/>
              </w:rPr>
              <w:t>188,399</w:t>
            </w:r>
          </w:p>
        </w:tc>
      </w:tr>
      <w:tr w:rsidR="00587444" w:rsidRPr="00587444" w14:paraId="43045DE7" w14:textId="77777777" w:rsidTr="00DD69E7">
        <w:tc>
          <w:tcPr>
            <w:tcW w:w="3608" w:type="pct"/>
          </w:tcPr>
          <w:p w14:paraId="79D651DC" w14:textId="77777777" w:rsidR="00587444" w:rsidRPr="00587444" w:rsidRDefault="00587444" w:rsidP="00587444">
            <w:pPr>
              <w:tabs>
                <w:tab w:val="right" w:pos="1202"/>
              </w:tabs>
              <w:suppressAutoHyphens w:val="0"/>
              <w:autoSpaceDN/>
              <w:spacing w:line="300" w:lineRule="exact"/>
              <w:outlineLvl w:val="0"/>
              <w:rPr>
                <w:rFonts w:ascii="Arial" w:hAnsi="Arial" w:cs="Arial"/>
                <w:b/>
                <w:sz w:val="20"/>
                <w:szCs w:val="20"/>
                <w:lang w:val="en-GB"/>
              </w:rPr>
            </w:pPr>
            <w:bookmarkStart w:id="570" w:name="_Toc4058188"/>
            <w:r w:rsidRPr="00587444">
              <w:rPr>
                <w:rFonts w:ascii="Arial" w:hAnsi="Arial" w:cs="Arial"/>
                <w:sz w:val="20"/>
                <w:szCs w:val="20"/>
                <w:lang w:val="en-GB"/>
              </w:rPr>
              <w:t>Profit of the Bank not subject to income tax</w:t>
            </w:r>
            <w:bookmarkEnd w:id="570"/>
          </w:p>
        </w:tc>
        <w:tc>
          <w:tcPr>
            <w:tcW w:w="665" w:type="pct"/>
            <w:tcBorders>
              <w:left w:val="nil"/>
              <w:bottom w:val="single" w:sz="4" w:space="0" w:color="auto"/>
              <w:right w:val="nil"/>
            </w:tcBorders>
            <w:shd w:val="clear" w:color="auto" w:fill="auto"/>
            <w:vAlign w:val="bottom"/>
          </w:tcPr>
          <w:p w14:paraId="2E0F6B4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(186,173)</w:t>
            </w:r>
          </w:p>
        </w:tc>
        <w:tc>
          <w:tcPr>
            <w:tcW w:w="727" w:type="pct"/>
            <w:tcBorders>
              <w:left w:val="nil"/>
              <w:bottom w:val="single" w:sz="4" w:space="0" w:color="auto"/>
              <w:right w:val="nil"/>
            </w:tcBorders>
            <w:shd w:val="clear" w:color="auto" w:fill="auto"/>
            <w:vAlign w:val="bottom"/>
          </w:tcPr>
          <w:p w14:paraId="209303C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en-GB"/>
              </w:rPr>
            </w:pPr>
            <w:r w:rsidRPr="00587444">
              <w:rPr>
                <w:rFonts w:ascii="Arial" w:hAnsi="Arial" w:cs="Arial"/>
                <w:color w:val="000000"/>
                <w:sz w:val="20"/>
                <w:szCs w:val="20"/>
                <w:lang w:val="hr-HR"/>
              </w:rPr>
              <w:t>(187,082)</w:t>
            </w:r>
          </w:p>
        </w:tc>
      </w:tr>
      <w:tr w:rsidR="00587444" w:rsidRPr="00587444" w14:paraId="6C29B7F1" w14:textId="77777777" w:rsidTr="00DD69E7">
        <w:tc>
          <w:tcPr>
            <w:tcW w:w="3608" w:type="pct"/>
          </w:tcPr>
          <w:p w14:paraId="19934FBF" w14:textId="77777777" w:rsidR="00587444" w:rsidRPr="00587444" w:rsidRDefault="00587444" w:rsidP="00587444">
            <w:pPr>
              <w:tabs>
                <w:tab w:val="right" w:pos="1202"/>
              </w:tabs>
              <w:suppressAutoHyphens w:val="0"/>
              <w:autoSpaceDN/>
              <w:spacing w:line="300" w:lineRule="exact"/>
              <w:outlineLvl w:val="0"/>
              <w:rPr>
                <w:rFonts w:ascii="Arial" w:hAnsi="Arial" w:cs="Arial"/>
                <w:color w:val="7030A0"/>
                <w:sz w:val="20"/>
                <w:szCs w:val="20"/>
                <w:lang w:val="en-GB"/>
              </w:rPr>
            </w:pPr>
            <w:bookmarkStart w:id="571" w:name="_Toc4058191"/>
            <w:r w:rsidRPr="00587444">
              <w:rPr>
                <w:rFonts w:ascii="Arial" w:hAnsi="Arial" w:cs="Arial"/>
                <w:b/>
                <w:bCs/>
                <w:sz w:val="20"/>
                <w:szCs w:val="20"/>
                <w:lang w:val="en-GB"/>
              </w:rPr>
              <w:t>Profit before tax</w:t>
            </w:r>
            <w:r w:rsidRPr="00587444">
              <w:rPr>
                <w:rFonts w:ascii="Arial" w:hAnsi="Arial" w:cs="Arial"/>
                <w:b/>
                <w:bCs/>
                <w:color w:val="000000"/>
                <w:sz w:val="20"/>
                <w:szCs w:val="20"/>
                <w:lang w:val="en-GB"/>
              </w:rPr>
              <w:t xml:space="preserve"> subject to income tax</w:t>
            </w:r>
            <w:bookmarkEnd w:id="571"/>
          </w:p>
        </w:tc>
        <w:tc>
          <w:tcPr>
            <w:tcW w:w="665" w:type="pct"/>
            <w:tcBorders>
              <w:top w:val="single" w:sz="4" w:space="0" w:color="auto"/>
              <w:left w:val="nil"/>
              <w:bottom w:val="nil"/>
              <w:right w:val="nil"/>
            </w:tcBorders>
            <w:shd w:val="clear" w:color="auto" w:fill="auto"/>
            <w:vAlign w:val="bottom"/>
          </w:tcPr>
          <w:p w14:paraId="43670A4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3,957</w:t>
            </w:r>
          </w:p>
        </w:tc>
        <w:tc>
          <w:tcPr>
            <w:tcW w:w="727" w:type="pct"/>
            <w:tcBorders>
              <w:top w:val="single" w:sz="4" w:space="0" w:color="auto"/>
              <w:left w:val="nil"/>
              <w:bottom w:val="nil"/>
              <w:right w:val="nil"/>
            </w:tcBorders>
            <w:shd w:val="clear" w:color="auto" w:fill="auto"/>
            <w:vAlign w:val="bottom"/>
          </w:tcPr>
          <w:p w14:paraId="6302595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b/>
                <w:color w:val="000000"/>
                <w:sz w:val="20"/>
                <w:szCs w:val="20"/>
                <w:lang w:val="hr-HR"/>
              </w:rPr>
              <w:t>1,317</w:t>
            </w:r>
          </w:p>
        </w:tc>
      </w:tr>
      <w:tr w:rsidR="00587444" w:rsidRPr="00587444" w14:paraId="6985DDD4" w14:textId="77777777" w:rsidTr="00DD69E7">
        <w:trPr>
          <w:trHeight w:val="80"/>
        </w:trPr>
        <w:tc>
          <w:tcPr>
            <w:tcW w:w="3608" w:type="pct"/>
          </w:tcPr>
          <w:p w14:paraId="17827CE2" w14:textId="77777777" w:rsidR="00587444" w:rsidRPr="00587444" w:rsidRDefault="00587444" w:rsidP="00587444">
            <w:pPr>
              <w:tabs>
                <w:tab w:val="right" w:pos="1202"/>
              </w:tabs>
              <w:suppressAutoHyphens w:val="0"/>
              <w:autoSpaceDN/>
              <w:spacing w:line="300" w:lineRule="exact"/>
              <w:outlineLvl w:val="0"/>
              <w:rPr>
                <w:rFonts w:ascii="Arial" w:hAnsi="Arial" w:cs="Arial"/>
                <w:sz w:val="20"/>
                <w:szCs w:val="20"/>
                <w:lang w:val="en-GB"/>
              </w:rPr>
            </w:pPr>
            <w:bookmarkStart w:id="572" w:name="_Toc4058194"/>
            <w:r w:rsidRPr="00587444">
              <w:rPr>
                <w:rFonts w:ascii="Arial" w:hAnsi="Arial" w:cs="Arial"/>
                <w:sz w:val="20"/>
                <w:szCs w:val="20"/>
                <w:lang w:val="en-GB"/>
              </w:rPr>
              <w:t>Income tax at 18% rate</w:t>
            </w:r>
            <w:bookmarkEnd w:id="572"/>
          </w:p>
        </w:tc>
        <w:tc>
          <w:tcPr>
            <w:tcW w:w="665" w:type="pct"/>
            <w:tcBorders>
              <w:top w:val="nil"/>
              <w:left w:val="nil"/>
              <w:bottom w:val="nil"/>
              <w:right w:val="nil"/>
            </w:tcBorders>
            <w:shd w:val="clear" w:color="auto" w:fill="auto"/>
            <w:vAlign w:val="bottom"/>
          </w:tcPr>
          <w:p w14:paraId="03FDA5F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(628)</w:t>
            </w:r>
          </w:p>
        </w:tc>
        <w:tc>
          <w:tcPr>
            <w:tcW w:w="727" w:type="pct"/>
            <w:tcBorders>
              <w:top w:val="nil"/>
              <w:left w:val="nil"/>
              <w:bottom w:val="nil"/>
              <w:right w:val="nil"/>
            </w:tcBorders>
            <w:shd w:val="clear" w:color="auto" w:fill="auto"/>
            <w:vAlign w:val="bottom"/>
          </w:tcPr>
          <w:p w14:paraId="34D4F9F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bCs/>
                <w:color w:val="000000"/>
                <w:sz w:val="20"/>
                <w:szCs w:val="20"/>
                <w:lang w:val="hr-HR"/>
              </w:rPr>
              <w:t>(174)</w:t>
            </w:r>
          </w:p>
        </w:tc>
      </w:tr>
      <w:tr w:rsidR="00587444" w:rsidRPr="00587444" w14:paraId="4697BCFF" w14:textId="77777777" w:rsidTr="00DD69E7">
        <w:tc>
          <w:tcPr>
            <w:tcW w:w="3608" w:type="pct"/>
          </w:tcPr>
          <w:p w14:paraId="4F9C0633" w14:textId="77777777" w:rsidR="00587444" w:rsidRPr="00587444" w:rsidRDefault="00587444" w:rsidP="00587444">
            <w:pPr>
              <w:tabs>
                <w:tab w:val="right" w:pos="1202"/>
              </w:tabs>
              <w:suppressAutoHyphens w:val="0"/>
              <w:autoSpaceDN/>
              <w:spacing w:line="300" w:lineRule="exact"/>
              <w:outlineLvl w:val="0"/>
              <w:rPr>
                <w:rFonts w:ascii="Arial" w:hAnsi="Arial" w:cs="Arial"/>
                <w:sz w:val="20"/>
                <w:szCs w:val="20"/>
                <w:lang w:val="en-GB"/>
              </w:rPr>
            </w:pPr>
            <w:bookmarkStart w:id="573" w:name="_Toc4058197"/>
            <w:r w:rsidRPr="00587444">
              <w:rPr>
                <w:rFonts w:ascii="Arial" w:hAnsi="Arial" w:cs="Arial"/>
                <w:sz w:val="20"/>
                <w:szCs w:val="20"/>
                <w:lang w:val="en-GB"/>
              </w:rPr>
              <w:t>Income tax at 10% rate</w:t>
            </w:r>
            <w:bookmarkEnd w:id="573"/>
          </w:p>
        </w:tc>
        <w:tc>
          <w:tcPr>
            <w:tcW w:w="665" w:type="pct"/>
            <w:tcBorders>
              <w:top w:val="nil"/>
              <w:left w:val="nil"/>
              <w:bottom w:val="nil"/>
              <w:right w:val="nil"/>
            </w:tcBorders>
            <w:shd w:val="clear" w:color="auto" w:fill="auto"/>
            <w:vAlign w:val="bottom"/>
          </w:tcPr>
          <w:p w14:paraId="2FA6B9D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(47)</w:t>
            </w:r>
          </w:p>
        </w:tc>
        <w:tc>
          <w:tcPr>
            <w:tcW w:w="727" w:type="pct"/>
            <w:tcBorders>
              <w:top w:val="nil"/>
              <w:left w:val="nil"/>
              <w:bottom w:val="nil"/>
              <w:right w:val="nil"/>
            </w:tcBorders>
            <w:shd w:val="clear" w:color="auto" w:fill="auto"/>
            <w:vAlign w:val="bottom"/>
          </w:tcPr>
          <w:p w14:paraId="2A34CC8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bCs/>
                <w:color w:val="000000"/>
                <w:sz w:val="20"/>
                <w:szCs w:val="20"/>
                <w:lang w:val="hr-HR"/>
              </w:rPr>
              <w:t>(35)</w:t>
            </w:r>
          </w:p>
        </w:tc>
      </w:tr>
      <w:tr w:rsidR="00587444" w:rsidRPr="00587444" w14:paraId="3E93593A" w14:textId="77777777" w:rsidTr="00DD69E7">
        <w:tc>
          <w:tcPr>
            <w:tcW w:w="3608" w:type="pct"/>
            <w:vAlign w:val="bottom"/>
          </w:tcPr>
          <w:p w14:paraId="463A6DEF" w14:textId="77777777" w:rsidR="00587444" w:rsidRPr="00587444" w:rsidRDefault="00587444" w:rsidP="00587444">
            <w:pPr>
              <w:tabs>
                <w:tab w:val="right" w:pos="1202"/>
              </w:tabs>
              <w:suppressAutoHyphens w:val="0"/>
              <w:autoSpaceDN/>
              <w:spacing w:line="300" w:lineRule="exact"/>
              <w:outlineLvl w:val="0"/>
              <w:rPr>
                <w:rFonts w:ascii="Arial" w:hAnsi="Arial" w:cs="Arial"/>
                <w:bCs/>
                <w:sz w:val="20"/>
                <w:szCs w:val="20"/>
                <w:lang w:val="en-GB"/>
              </w:rPr>
            </w:pPr>
            <w:bookmarkStart w:id="574" w:name="_Toc4058200"/>
            <w:r w:rsidRPr="00587444">
              <w:rPr>
                <w:rFonts w:ascii="Arial" w:hAnsi="Arial" w:cs="Arial"/>
                <w:bCs/>
                <w:sz w:val="20"/>
                <w:szCs w:val="20"/>
                <w:lang w:val="en-GB"/>
              </w:rPr>
              <w:t>Non-deductible expense</w:t>
            </w:r>
            <w:bookmarkEnd w:id="574"/>
          </w:p>
        </w:tc>
        <w:tc>
          <w:tcPr>
            <w:tcW w:w="665" w:type="pct"/>
            <w:tcBorders>
              <w:top w:val="nil"/>
              <w:left w:val="nil"/>
              <w:bottom w:val="nil"/>
              <w:right w:val="nil"/>
            </w:tcBorders>
            <w:shd w:val="clear" w:color="auto" w:fill="auto"/>
            <w:vAlign w:val="bottom"/>
          </w:tcPr>
          <w:p w14:paraId="4A9847D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3</w:t>
            </w:r>
          </w:p>
        </w:tc>
        <w:tc>
          <w:tcPr>
            <w:tcW w:w="727" w:type="pct"/>
            <w:tcBorders>
              <w:top w:val="nil"/>
              <w:left w:val="nil"/>
              <w:bottom w:val="nil"/>
              <w:right w:val="nil"/>
            </w:tcBorders>
            <w:shd w:val="clear" w:color="auto" w:fill="auto"/>
            <w:vAlign w:val="bottom"/>
          </w:tcPr>
          <w:p w14:paraId="4F099B30"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Cs/>
                <w:sz w:val="20"/>
                <w:szCs w:val="20"/>
                <w:lang w:val="hr-HR"/>
              </w:rPr>
            </w:pPr>
            <w:r w:rsidRPr="00587444">
              <w:rPr>
                <w:rFonts w:ascii="Arial" w:hAnsi="Arial" w:cs="Arial"/>
                <w:bCs/>
                <w:color w:val="000000"/>
                <w:sz w:val="20"/>
                <w:szCs w:val="20"/>
                <w:lang w:val="hr-HR"/>
              </w:rPr>
              <w:t>(5)</w:t>
            </w:r>
          </w:p>
        </w:tc>
      </w:tr>
      <w:tr w:rsidR="00587444" w:rsidRPr="00587444" w14:paraId="3787CCA6" w14:textId="77777777" w:rsidTr="00DD69E7">
        <w:tblPrEx>
          <w:tblCellMar>
            <w:left w:w="119" w:type="dxa"/>
            <w:right w:w="119" w:type="dxa"/>
          </w:tblCellMar>
        </w:tblPrEx>
        <w:tc>
          <w:tcPr>
            <w:tcW w:w="3608" w:type="pct"/>
            <w:vAlign w:val="bottom"/>
          </w:tcPr>
          <w:p w14:paraId="35D2E947" w14:textId="77777777" w:rsidR="00587444" w:rsidRPr="00587444" w:rsidRDefault="00587444" w:rsidP="00587444">
            <w:pPr>
              <w:suppressAutoHyphens w:val="0"/>
              <w:autoSpaceDN/>
              <w:spacing w:line="300" w:lineRule="exact"/>
              <w:rPr>
                <w:rFonts w:ascii="Arial" w:hAnsi="Arial" w:cs="Arial"/>
                <w:b/>
                <w:bCs/>
                <w:sz w:val="20"/>
                <w:szCs w:val="20"/>
                <w:lang w:val="en-GB"/>
              </w:rPr>
            </w:pPr>
            <w:r w:rsidRPr="00587444">
              <w:rPr>
                <w:rFonts w:ascii="Arial" w:hAnsi="Arial" w:cs="Arial"/>
                <w:b/>
                <w:bCs/>
                <w:sz w:val="20"/>
                <w:szCs w:val="20"/>
                <w:lang w:val="en-GB"/>
              </w:rPr>
              <w:t>Total income tax expense</w:t>
            </w:r>
          </w:p>
        </w:tc>
        <w:tc>
          <w:tcPr>
            <w:tcW w:w="665" w:type="pct"/>
            <w:tcBorders>
              <w:top w:val="single" w:sz="4" w:space="0" w:color="auto"/>
              <w:left w:val="nil"/>
              <w:bottom w:val="single" w:sz="12" w:space="0" w:color="auto"/>
              <w:right w:val="nil"/>
            </w:tcBorders>
            <w:shd w:val="clear" w:color="auto" w:fill="auto"/>
            <w:vAlign w:val="bottom"/>
          </w:tcPr>
          <w:p w14:paraId="774C0F2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(672)</w:t>
            </w:r>
          </w:p>
        </w:tc>
        <w:tc>
          <w:tcPr>
            <w:tcW w:w="727" w:type="pct"/>
            <w:tcBorders>
              <w:top w:val="single" w:sz="4" w:space="0" w:color="auto"/>
              <w:left w:val="nil"/>
              <w:bottom w:val="single" w:sz="12" w:space="0" w:color="auto"/>
              <w:right w:val="nil"/>
            </w:tcBorders>
            <w:shd w:val="clear" w:color="auto" w:fill="auto"/>
            <w:vAlign w:val="bottom"/>
          </w:tcPr>
          <w:p w14:paraId="3BEE1426"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color w:val="000000"/>
                <w:sz w:val="20"/>
                <w:szCs w:val="20"/>
                <w:lang w:val="hr-HR"/>
              </w:rPr>
              <w:t>(214)</w:t>
            </w:r>
          </w:p>
        </w:tc>
      </w:tr>
    </w:tbl>
    <w:p w14:paraId="6FC2C3C9" w14:textId="77777777" w:rsidR="00587444" w:rsidRPr="00587444" w:rsidRDefault="00587444" w:rsidP="00587444">
      <w:pPr>
        <w:suppressAutoHyphens w:val="0"/>
        <w:autoSpaceDN/>
        <w:rPr>
          <w:rFonts w:ascii="Arial" w:hAnsi="Arial" w:cs="Arial"/>
          <w:sz w:val="20"/>
          <w:szCs w:val="20"/>
        </w:rPr>
      </w:pPr>
    </w:p>
    <w:p w14:paraId="1DDDDACD" w14:textId="77777777" w:rsidR="00587444" w:rsidRPr="00587444" w:rsidRDefault="00587444" w:rsidP="00587444">
      <w:pPr>
        <w:suppressAutoHyphens w:val="0"/>
        <w:autoSpaceDN/>
        <w:rPr>
          <w:rFonts w:ascii="Arial" w:hAnsi="Arial" w:cs="Arial"/>
          <w:sz w:val="20"/>
          <w:szCs w:val="20"/>
        </w:rPr>
      </w:pPr>
    </w:p>
    <w:p w14:paraId="631FA9C9" w14:textId="77777777" w:rsidR="00587444" w:rsidRPr="00587444" w:rsidRDefault="00587444" w:rsidP="00587444">
      <w:pPr>
        <w:suppressAutoHyphens w:val="0"/>
        <w:autoSpaceDN/>
        <w:rPr>
          <w:rFonts w:ascii="Arial" w:hAnsi="Arial" w:cs="Arial"/>
          <w:sz w:val="20"/>
          <w:szCs w:val="20"/>
        </w:rPr>
      </w:pPr>
    </w:p>
    <w:p w14:paraId="50C17084" w14:textId="77777777" w:rsidR="00587444" w:rsidRPr="00587444" w:rsidRDefault="00587444" w:rsidP="00587444">
      <w:pPr>
        <w:suppressAutoHyphens w:val="0"/>
        <w:autoSpaceDN/>
        <w:jc w:val="both"/>
        <w:rPr>
          <w:rFonts w:ascii="Arial" w:hAnsi="Arial" w:cs="Arial"/>
          <w:sz w:val="20"/>
          <w:szCs w:val="20"/>
          <w:lang w:val="hr-HR"/>
        </w:rPr>
      </w:pPr>
      <w:r w:rsidRPr="00587444">
        <w:rPr>
          <w:rFonts w:ascii="Arial" w:hAnsi="Arial" w:cs="Arial"/>
          <w:sz w:val="20"/>
          <w:szCs w:val="20"/>
        </w:rPr>
        <w:t xml:space="preserve">The determined tax liability is subject to different interpretations regarding the assessment of the eligibility of costs and the coverage of income for tax purposes. The Group has undertaken </w:t>
      </w:r>
      <w:proofErr w:type="gramStart"/>
      <w:r w:rsidRPr="00587444">
        <w:rPr>
          <w:rFonts w:ascii="Arial" w:hAnsi="Arial" w:cs="Arial"/>
          <w:sz w:val="20"/>
          <w:szCs w:val="20"/>
        </w:rPr>
        <w:t>a number of</w:t>
      </w:r>
      <w:proofErr w:type="gramEnd"/>
      <w:r w:rsidRPr="00587444">
        <w:rPr>
          <w:rFonts w:ascii="Arial" w:hAnsi="Arial" w:cs="Arial"/>
          <w:sz w:val="20"/>
          <w:szCs w:val="20"/>
        </w:rPr>
        <w:t xml:space="preserve"> activities to ensure that the determined current tax liability is entirely in compliance with the Income Tax Act.</w:t>
      </w:r>
    </w:p>
    <w:p w14:paraId="28065265" w14:textId="77777777" w:rsidR="00587444" w:rsidRPr="00587444" w:rsidRDefault="00587444" w:rsidP="00587444">
      <w:pPr>
        <w:keepNext/>
        <w:suppressAutoHyphens w:val="0"/>
        <w:autoSpaceDN/>
        <w:spacing w:before="240" w:after="120" w:line="360" w:lineRule="auto"/>
        <w:jc w:val="both"/>
        <w:rPr>
          <w:rFonts w:ascii="Arial" w:hAnsi="Arial" w:cs="Arial"/>
          <w:bCs/>
          <w:sz w:val="20"/>
          <w:szCs w:val="20"/>
          <w:highlight w:val="yellow"/>
          <w:lang w:val="en-GB"/>
        </w:rPr>
      </w:pPr>
    </w:p>
    <w:p w14:paraId="1593A963" w14:textId="77777777" w:rsidR="00587444" w:rsidRPr="00587444" w:rsidRDefault="00587444" w:rsidP="00587444">
      <w:pPr>
        <w:keepNext/>
        <w:suppressAutoHyphens w:val="0"/>
        <w:autoSpaceDN/>
        <w:spacing w:before="240" w:after="120" w:line="360" w:lineRule="auto"/>
        <w:jc w:val="both"/>
        <w:rPr>
          <w:rFonts w:ascii="Arial" w:hAnsi="Arial" w:cs="Arial"/>
          <w:bCs/>
          <w:sz w:val="20"/>
          <w:szCs w:val="20"/>
          <w:highlight w:val="yellow"/>
          <w:lang w:val="en-GB"/>
        </w:rPr>
      </w:pPr>
    </w:p>
    <w:p w14:paraId="5CD5F36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sectPr w:rsidR="00587444" w:rsidRPr="00587444" w:rsidSect="00DD69E7">
          <w:pgSz w:w="11907" w:h="16840" w:code="9"/>
          <w:pgMar w:top="1418" w:right="1134" w:bottom="1134" w:left="1418" w:header="851" w:footer="851" w:gutter="0"/>
          <w:cols w:space="720"/>
          <w:noEndnote/>
        </w:sectPr>
      </w:pPr>
    </w:p>
    <w:p w14:paraId="16E6EE3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344C7D6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 xml:space="preserve">12. </w:t>
      </w:r>
      <w:r w:rsidRPr="00587444">
        <w:rPr>
          <w:rFonts w:ascii="Arial" w:hAnsi="Arial" w:cs="Arial"/>
          <w:b/>
          <w:bCs/>
          <w:sz w:val="20"/>
          <w:szCs w:val="20"/>
          <w:lang w:val="en-GB"/>
        </w:rPr>
        <w:tab/>
        <w:t>Cash on hand and current accounts with banks</w:t>
      </w:r>
    </w:p>
    <w:p w14:paraId="7572D93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tbl>
      <w:tblPr>
        <w:tblW w:w="5140" w:type="pct"/>
        <w:tblInd w:w="-142" w:type="dxa"/>
        <w:tblLayout w:type="fixed"/>
        <w:tblLook w:val="0000" w:firstRow="0" w:lastRow="0" w:firstColumn="0" w:lastColumn="0" w:noHBand="0" w:noVBand="0"/>
      </w:tblPr>
      <w:tblGrid>
        <w:gridCol w:w="3663"/>
        <w:gridCol w:w="1545"/>
        <w:gridCol w:w="1545"/>
        <w:gridCol w:w="1545"/>
        <w:gridCol w:w="1541"/>
      </w:tblGrid>
      <w:tr w:rsidR="00587444" w:rsidRPr="00587444" w14:paraId="0A0D689A" w14:textId="77777777" w:rsidTr="00DD69E7">
        <w:trPr>
          <w:trHeight w:val="207"/>
        </w:trPr>
        <w:tc>
          <w:tcPr>
            <w:tcW w:w="1862" w:type="pct"/>
          </w:tcPr>
          <w:p w14:paraId="5202F64E" w14:textId="77777777" w:rsidR="00587444" w:rsidRPr="00587444" w:rsidRDefault="00587444" w:rsidP="00587444">
            <w:pPr>
              <w:tabs>
                <w:tab w:val="left" w:pos="-720"/>
              </w:tabs>
              <w:autoSpaceDN/>
              <w:spacing w:line="220" w:lineRule="exact"/>
              <w:rPr>
                <w:rFonts w:ascii="Arial" w:hAnsi="Arial" w:cs="Arial"/>
                <w:sz w:val="20"/>
                <w:szCs w:val="20"/>
                <w:lang w:val="en-GB"/>
              </w:rPr>
            </w:pPr>
          </w:p>
        </w:tc>
        <w:tc>
          <w:tcPr>
            <w:tcW w:w="785" w:type="pct"/>
          </w:tcPr>
          <w:p w14:paraId="56AFEF8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85" w:type="pct"/>
          </w:tcPr>
          <w:p w14:paraId="36848B59"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75" w:name="_Toc4058205"/>
            <w:r w:rsidRPr="00587444">
              <w:rPr>
                <w:rFonts w:ascii="Arial" w:hAnsi="Arial" w:cs="Arial"/>
                <w:b/>
                <w:sz w:val="20"/>
                <w:szCs w:val="20"/>
                <w:lang w:val="hr-HR"/>
              </w:rPr>
              <w:t>Group</w:t>
            </w:r>
            <w:bookmarkEnd w:id="575"/>
          </w:p>
        </w:tc>
        <w:tc>
          <w:tcPr>
            <w:tcW w:w="785" w:type="pct"/>
          </w:tcPr>
          <w:p w14:paraId="15E29A7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83" w:type="pct"/>
          </w:tcPr>
          <w:p w14:paraId="314DA05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76" w:name="_Toc4058206"/>
            <w:r w:rsidRPr="00587444">
              <w:rPr>
                <w:rFonts w:ascii="Arial" w:hAnsi="Arial" w:cs="Arial"/>
                <w:b/>
                <w:sz w:val="20"/>
                <w:szCs w:val="20"/>
                <w:lang w:val="hr-HR"/>
              </w:rPr>
              <w:t>Bank</w:t>
            </w:r>
            <w:bookmarkEnd w:id="576"/>
          </w:p>
        </w:tc>
      </w:tr>
      <w:tr w:rsidR="00587444" w:rsidRPr="00587444" w14:paraId="6B8C4EE5" w14:textId="77777777" w:rsidTr="00DD69E7">
        <w:trPr>
          <w:trHeight w:val="329"/>
        </w:trPr>
        <w:tc>
          <w:tcPr>
            <w:tcW w:w="1862" w:type="pct"/>
          </w:tcPr>
          <w:p w14:paraId="3F728F7F" w14:textId="77777777" w:rsidR="00587444" w:rsidRPr="00587444" w:rsidRDefault="00587444" w:rsidP="00587444">
            <w:pPr>
              <w:tabs>
                <w:tab w:val="left" w:pos="-720"/>
              </w:tabs>
              <w:autoSpaceDN/>
              <w:spacing w:line="220" w:lineRule="exact"/>
              <w:rPr>
                <w:rFonts w:ascii="Arial" w:hAnsi="Arial" w:cs="Arial"/>
                <w:sz w:val="20"/>
                <w:szCs w:val="20"/>
                <w:lang w:val="en-GB"/>
              </w:rPr>
            </w:pPr>
          </w:p>
        </w:tc>
        <w:tc>
          <w:tcPr>
            <w:tcW w:w="785" w:type="pct"/>
            <w:shd w:val="clear" w:color="auto" w:fill="auto"/>
            <w:vAlign w:val="center"/>
          </w:tcPr>
          <w:p w14:paraId="28F7D3C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31 December 2022</w:t>
            </w:r>
          </w:p>
        </w:tc>
        <w:tc>
          <w:tcPr>
            <w:tcW w:w="785" w:type="pct"/>
            <w:shd w:val="clear" w:color="auto" w:fill="auto"/>
            <w:vAlign w:val="center"/>
          </w:tcPr>
          <w:p w14:paraId="46844E9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77" w:name="_Toc4058207"/>
            <w:r w:rsidRPr="00587444">
              <w:rPr>
                <w:rFonts w:ascii="Arial" w:hAnsi="Arial" w:cs="Arial"/>
                <w:b/>
                <w:sz w:val="20"/>
                <w:szCs w:val="20"/>
                <w:lang w:val="hr-HR"/>
              </w:rPr>
              <w:t xml:space="preserve">31 December </w:t>
            </w:r>
            <w:bookmarkEnd w:id="577"/>
            <w:r w:rsidRPr="00587444">
              <w:rPr>
                <w:rFonts w:ascii="Arial" w:hAnsi="Arial" w:cs="Arial"/>
                <w:b/>
                <w:sz w:val="20"/>
                <w:szCs w:val="20"/>
                <w:lang w:val="hr-HR"/>
              </w:rPr>
              <w:t>2021</w:t>
            </w:r>
          </w:p>
        </w:tc>
        <w:tc>
          <w:tcPr>
            <w:tcW w:w="785" w:type="pct"/>
            <w:shd w:val="clear" w:color="auto" w:fill="auto"/>
            <w:vAlign w:val="center"/>
          </w:tcPr>
          <w:p w14:paraId="5CC6B8E9"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31 December 2022</w:t>
            </w:r>
          </w:p>
        </w:tc>
        <w:tc>
          <w:tcPr>
            <w:tcW w:w="783" w:type="pct"/>
            <w:shd w:val="clear" w:color="auto" w:fill="auto"/>
            <w:vAlign w:val="center"/>
          </w:tcPr>
          <w:p w14:paraId="4EB0B13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78" w:name="_Toc4058209"/>
            <w:r w:rsidRPr="00587444">
              <w:rPr>
                <w:rFonts w:ascii="Arial" w:hAnsi="Arial" w:cs="Arial"/>
                <w:b/>
                <w:sz w:val="20"/>
                <w:szCs w:val="20"/>
                <w:lang w:val="hr-HR"/>
              </w:rPr>
              <w:t>31 December 202</w:t>
            </w:r>
            <w:bookmarkEnd w:id="578"/>
            <w:r w:rsidRPr="00587444">
              <w:rPr>
                <w:rFonts w:ascii="Arial" w:hAnsi="Arial" w:cs="Arial"/>
                <w:b/>
                <w:sz w:val="20"/>
                <w:szCs w:val="20"/>
                <w:lang w:val="hr-HR"/>
              </w:rPr>
              <w:t>1</w:t>
            </w:r>
          </w:p>
        </w:tc>
      </w:tr>
      <w:tr w:rsidR="00587444" w:rsidRPr="00587444" w14:paraId="16045B5D" w14:textId="77777777" w:rsidTr="00DD69E7">
        <w:trPr>
          <w:trHeight w:val="223"/>
        </w:trPr>
        <w:tc>
          <w:tcPr>
            <w:tcW w:w="1862" w:type="pct"/>
          </w:tcPr>
          <w:p w14:paraId="00BB89F3" w14:textId="77777777" w:rsidR="00587444" w:rsidRPr="00587444" w:rsidRDefault="00587444" w:rsidP="00587444">
            <w:pPr>
              <w:tabs>
                <w:tab w:val="left" w:pos="-720"/>
              </w:tabs>
              <w:autoSpaceDN/>
              <w:spacing w:line="220" w:lineRule="exact"/>
              <w:rPr>
                <w:rFonts w:ascii="Arial" w:hAnsi="Arial" w:cs="Arial"/>
                <w:sz w:val="20"/>
                <w:szCs w:val="20"/>
                <w:lang w:val="en-GB"/>
              </w:rPr>
            </w:pPr>
          </w:p>
        </w:tc>
        <w:tc>
          <w:tcPr>
            <w:tcW w:w="785" w:type="pct"/>
          </w:tcPr>
          <w:p w14:paraId="35A7F25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20"/>
                <w:szCs w:val="20"/>
                <w:lang w:val="en-GB"/>
              </w:rPr>
            </w:pPr>
            <w:bookmarkStart w:id="579" w:name="_Toc4058211"/>
            <w:r w:rsidRPr="00587444">
              <w:rPr>
                <w:rFonts w:ascii="Arial" w:hAnsi="Arial" w:cs="Arial"/>
                <w:b/>
                <w:sz w:val="20"/>
                <w:szCs w:val="20"/>
                <w:lang w:val="en-GB"/>
              </w:rPr>
              <w:t>HRK ‘000</w:t>
            </w:r>
            <w:bookmarkEnd w:id="579"/>
          </w:p>
        </w:tc>
        <w:tc>
          <w:tcPr>
            <w:tcW w:w="785" w:type="pct"/>
          </w:tcPr>
          <w:p w14:paraId="0708BCE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20"/>
                <w:szCs w:val="20"/>
                <w:lang w:val="en-GB"/>
              </w:rPr>
            </w:pPr>
            <w:bookmarkStart w:id="580" w:name="_Toc4058212"/>
            <w:r w:rsidRPr="00587444">
              <w:rPr>
                <w:rFonts w:ascii="Arial" w:hAnsi="Arial" w:cs="Arial"/>
                <w:b/>
                <w:sz w:val="20"/>
                <w:szCs w:val="20"/>
                <w:lang w:val="en-GB"/>
              </w:rPr>
              <w:t>HRK ‘000</w:t>
            </w:r>
            <w:bookmarkEnd w:id="580"/>
          </w:p>
        </w:tc>
        <w:tc>
          <w:tcPr>
            <w:tcW w:w="785" w:type="pct"/>
          </w:tcPr>
          <w:p w14:paraId="7543282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20"/>
                <w:szCs w:val="20"/>
                <w:lang w:val="en-GB"/>
              </w:rPr>
            </w:pPr>
            <w:bookmarkStart w:id="581" w:name="_Toc4058213"/>
            <w:r w:rsidRPr="00587444">
              <w:rPr>
                <w:rFonts w:ascii="Arial" w:hAnsi="Arial" w:cs="Arial"/>
                <w:b/>
                <w:sz w:val="20"/>
                <w:szCs w:val="20"/>
                <w:lang w:val="en-GB"/>
              </w:rPr>
              <w:t>HRK ‘000</w:t>
            </w:r>
            <w:bookmarkEnd w:id="581"/>
          </w:p>
        </w:tc>
        <w:tc>
          <w:tcPr>
            <w:tcW w:w="783" w:type="pct"/>
          </w:tcPr>
          <w:p w14:paraId="2C6767C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20"/>
                <w:szCs w:val="20"/>
                <w:lang w:val="en-GB"/>
              </w:rPr>
            </w:pPr>
            <w:bookmarkStart w:id="582" w:name="_Toc4058214"/>
            <w:r w:rsidRPr="00587444">
              <w:rPr>
                <w:rFonts w:ascii="Arial" w:hAnsi="Arial" w:cs="Arial"/>
                <w:b/>
                <w:sz w:val="20"/>
                <w:szCs w:val="20"/>
                <w:lang w:val="en-GB"/>
              </w:rPr>
              <w:t>HRK ‘000</w:t>
            </w:r>
            <w:bookmarkEnd w:id="582"/>
          </w:p>
        </w:tc>
      </w:tr>
      <w:tr w:rsidR="00587444" w:rsidRPr="00587444" w14:paraId="38A6E77F" w14:textId="77777777" w:rsidTr="00DD69E7">
        <w:trPr>
          <w:trHeight w:val="438"/>
        </w:trPr>
        <w:tc>
          <w:tcPr>
            <w:tcW w:w="1862" w:type="pct"/>
            <w:vAlign w:val="bottom"/>
          </w:tcPr>
          <w:p w14:paraId="4031C91D" w14:textId="77777777" w:rsidR="00587444" w:rsidRPr="00587444" w:rsidRDefault="00587444" w:rsidP="00587444">
            <w:pPr>
              <w:tabs>
                <w:tab w:val="right" w:pos="1202"/>
              </w:tabs>
              <w:suppressAutoHyphens w:val="0"/>
              <w:autoSpaceDN/>
              <w:spacing w:line="240" w:lineRule="exact"/>
              <w:outlineLvl w:val="0"/>
              <w:rPr>
                <w:rFonts w:ascii="Arial" w:hAnsi="Arial" w:cs="Arial"/>
                <w:sz w:val="20"/>
                <w:szCs w:val="20"/>
                <w:lang w:val="en-GB"/>
              </w:rPr>
            </w:pPr>
            <w:bookmarkStart w:id="583" w:name="_Toc4058215"/>
            <w:r w:rsidRPr="00587444">
              <w:rPr>
                <w:rFonts w:ascii="Arial" w:hAnsi="Arial" w:cs="Arial"/>
                <w:sz w:val="20"/>
                <w:szCs w:val="20"/>
                <w:lang w:val="en-GB"/>
              </w:rPr>
              <w:t>Account with the Croatian National Bank</w:t>
            </w:r>
            <w:bookmarkEnd w:id="583"/>
          </w:p>
        </w:tc>
        <w:tc>
          <w:tcPr>
            <w:tcW w:w="785" w:type="pct"/>
            <w:tcBorders>
              <w:top w:val="nil"/>
              <w:left w:val="nil"/>
              <w:bottom w:val="nil"/>
              <w:right w:val="nil"/>
            </w:tcBorders>
            <w:shd w:val="clear" w:color="auto" w:fill="auto"/>
            <w:vAlign w:val="bottom"/>
          </w:tcPr>
          <w:p w14:paraId="50FD3E9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2,100</w:t>
            </w:r>
          </w:p>
        </w:tc>
        <w:tc>
          <w:tcPr>
            <w:tcW w:w="785" w:type="pct"/>
            <w:tcBorders>
              <w:top w:val="nil"/>
              <w:left w:val="nil"/>
              <w:bottom w:val="nil"/>
              <w:right w:val="nil"/>
            </w:tcBorders>
            <w:shd w:val="clear" w:color="auto" w:fill="auto"/>
            <w:vAlign w:val="bottom"/>
          </w:tcPr>
          <w:p w14:paraId="1E56232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20"/>
                <w:szCs w:val="20"/>
                <w:lang w:val="hr-HR"/>
              </w:rPr>
            </w:pPr>
            <w:r w:rsidRPr="00587444">
              <w:rPr>
                <w:rFonts w:ascii="Arial" w:hAnsi="Arial" w:cs="Arial"/>
                <w:color w:val="000000"/>
                <w:sz w:val="20"/>
                <w:szCs w:val="20"/>
                <w:lang w:val="hr-HR"/>
              </w:rPr>
              <w:t>1,879,493</w:t>
            </w:r>
          </w:p>
        </w:tc>
        <w:tc>
          <w:tcPr>
            <w:tcW w:w="785" w:type="pct"/>
            <w:tcBorders>
              <w:top w:val="nil"/>
              <w:left w:val="nil"/>
              <w:bottom w:val="nil"/>
              <w:right w:val="nil"/>
            </w:tcBorders>
            <w:shd w:val="clear" w:color="auto" w:fill="auto"/>
            <w:vAlign w:val="bottom"/>
          </w:tcPr>
          <w:p w14:paraId="698E9CC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2,100</w:t>
            </w:r>
          </w:p>
        </w:tc>
        <w:tc>
          <w:tcPr>
            <w:tcW w:w="783" w:type="pct"/>
            <w:tcBorders>
              <w:top w:val="nil"/>
              <w:left w:val="nil"/>
              <w:bottom w:val="nil"/>
              <w:right w:val="nil"/>
            </w:tcBorders>
            <w:shd w:val="clear" w:color="auto" w:fill="auto"/>
            <w:vAlign w:val="bottom"/>
          </w:tcPr>
          <w:p w14:paraId="1F2063F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20"/>
                <w:szCs w:val="20"/>
                <w:lang w:val="hr-HR"/>
              </w:rPr>
            </w:pPr>
            <w:r w:rsidRPr="00587444">
              <w:rPr>
                <w:rFonts w:ascii="Arial" w:hAnsi="Arial" w:cs="Arial"/>
                <w:color w:val="000000"/>
                <w:sz w:val="20"/>
                <w:szCs w:val="20"/>
                <w:lang w:val="hr-HR"/>
              </w:rPr>
              <w:t>1,879,493</w:t>
            </w:r>
          </w:p>
        </w:tc>
      </w:tr>
      <w:tr w:rsidR="00587444" w:rsidRPr="00587444" w14:paraId="279CD201" w14:textId="77777777" w:rsidTr="00DD69E7">
        <w:trPr>
          <w:trHeight w:val="438"/>
        </w:trPr>
        <w:tc>
          <w:tcPr>
            <w:tcW w:w="1862" w:type="pct"/>
            <w:vAlign w:val="bottom"/>
          </w:tcPr>
          <w:p w14:paraId="760BCFE5" w14:textId="77777777" w:rsidR="00587444" w:rsidRPr="00587444" w:rsidRDefault="00587444" w:rsidP="00587444">
            <w:pPr>
              <w:tabs>
                <w:tab w:val="right" w:pos="1202"/>
              </w:tabs>
              <w:suppressAutoHyphens w:val="0"/>
              <w:autoSpaceDN/>
              <w:spacing w:line="240" w:lineRule="exact"/>
              <w:outlineLvl w:val="0"/>
              <w:rPr>
                <w:rFonts w:ascii="Arial" w:hAnsi="Arial" w:cs="Arial"/>
                <w:sz w:val="20"/>
                <w:szCs w:val="20"/>
                <w:lang w:val="en-GB"/>
              </w:rPr>
            </w:pPr>
            <w:r w:rsidRPr="00587444">
              <w:rPr>
                <w:rFonts w:ascii="Arial" w:hAnsi="Arial" w:cs="Arial"/>
                <w:sz w:val="20"/>
                <w:szCs w:val="20"/>
                <w:lang w:val="en-GB"/>
              </w:rPr>
              <w:t>Accounts with the</w:t>
            </w:r>
            <w:r w:rsidRPr="00587444">
              <w:rPr>
                <w:rFonts w:ascii="Arial" w:hAnsi="Arial"/>
                <w:sz w:val="19"/>
                <w:szCs w:val="20"/>
                <w:lang w:val="en-GB"/>
              </w:rPr>
              <w:t xml:space="preserve"> </w:t>
            </w:r>
            <w:r w:rsidRPr="00587444">
              <w:rPr>
                <w:rFonts w:ascii="Arial" w:hAnsi="Arial" w:cs="Arial"/>
                <w:sz w:val="20"/>
                <w:szCs w:val="20"/>
                <w:lang w:val="en-GB"/>
              </w:rPr>
              <w:t>domestic banks</w:t>
            </w:r>
          </w:p>
        </w:tc>
        <w:tc>
          <w:tcPr>
            <w:tcW w:w="785" w:type="pct"/>
            <w:tcBorders>
              <w:top w:val="nil"/>
              <w:left w:val="nil"/>
              <w:bottom w:val="nil"/>
              <w:right w:val="nil"/>
            </w:tcBorders>
            <w:shd w:val="clear" w:color="auto" w:fill="auto"/>
            <w:vAlign w:val="bottom"/>
          </w:tcPr>
          <w:p w14:paraId="3E337F7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1,620,336</w:t>
            </w:r>
          </w:p>
        </w:tc>
        <w:tc>
          <w:tcPr>
            <w:tcW w:w="785" w:type="pct"/>
            <w:tcBorders>
              <w:top w:val="nil"/>
              <w:left w:val="nil"/>
              <w:bottom w:val="nil"/>
              <w:right w:val="nil"/>
            </w:tcBorders>
            <w:shd w:val="clear" w:color="auto" w:fill="auto"/>
            <w:vAlign w:val="bottom"/>
          </w:tcPr>
          <w:p w14:paraId="58AD30F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w:t>
            </w:r>
          </w:p>
        </w:tc>
        <w:tc>
          <w:tcPr>
            <w:tcW w:w="785" w:type="pct"/>
            <w:tcBorders>
              <w:top w:val="nil"/>
              <w:left w:val="nil"/>
              <w:bottom w:val="nil"/>
              <w:right w:val="nil"/>
            </w:tcBorders>
            <w:shd w:val="clear" w:color="auto" w:fill="auto"/>
            <w:vAlign w:val="bottom"/>
          </w:tcPr>
          <w:p w14:paraId="073CA44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1,620,336</w:t>
            </w:r>
          </w:p>
        </w:tc>
        <w:tc>
          <w:tcPr>
            <w:tcW w:w="783" w:type="pct"/>
            <w:tcBorders>
              <w:top w:val="nil"/>
              <w:left w:val="nil"/>
              <w:bottom w:val="nil"/>
              <w:right w:val="nil"/>
            </w:tcBorders>
            <w:shd w:val="clear" w:color="auto" w:fill="auto"/>
            <w:vAlign w:val="bottom"/>
          </w:tcPr>
          <w:p w14:paraId="3C76761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w:t>
            </w:r>
          </w:p>
        </w:tc>
      </w:tr>
      <w:tr w:rsidR="00587444" w:rsidRPr="00587444" w14:paraId="0C4DBB3A" w14:textId="77777777" w:rsidTr="00DD69E7">
        <w:trPr>
          <w:trHeight w:val="341"/>
        </w:trPr>
        <w:tc>
          <w:tcPr>
            <w:tcW w:w="1862" w:type="pct"/>
            <w:vAlign w:val="bottom"/>
          </w:tcPr>
          <w:p w14:paraId="46314A0D" w14:textId="77777777" w:rsidR="00587444" w:rsidRPr="00587444" w:rsidRDefault="00587444" w:rsidP="00587444">
            <w:pPr>
              <w:tabs>
                <w:tab w:val="right" w:pos="1202"/>
              </w:tabs>
              <w:suppressAutoHyphens w:val="0"/>
              <w:autoSpaceDN/>
              <w:spacing w:line="240" w:lineRule="exact"/>
              <w:outlineLvl w:val="0"/>
              <w:rPr>
                <w:rFonts w:ascii="Arial" w:hAnsi="Arial" w:cs="Arial"/>
                <w:sz w:val="20"/>
                <w:szCs w:val="20"/>
                <w:lang w:val="en-GB"/>
              </w:rPr>
            </w:pPr>
            <w:bookmarkStart w:id="584" w:name="_Toc4058220"/>
            <w:r w:rsidRPr="00587444">
              <w:rPr>
                <w:rFonts w:ascii="Arial" w:hAnsi="Arial" w:cs="Arial"/>
                <w:sz w:val="20"/>
                <w:szCs w:val="20"/>
                <w:lang w:val="en-GB"/>
              </w:rPr>
              <w:t>Cash on hand</w:t>
            </w:r>
            <w:bookmarkEnd w:id="584"/>
          </w:p>
        </w:tc>
        <w:tc>
          <w:tcPr>
            <w:tcW w:w="785" w:type="pct"/>
            <w:tcBorders>
              <w:top w:val="nil"/>
              <w:left w:val="nil"/>
              <w:bottom w:val="nil"/>
              <w:right w:val="nil"/>
            </w:tcBorders>
            <w:shd w:val="clear" w:color="auto" w:fill="auto"/>
            <w:vAlign w:val="bottom"/>
          </w:tcPr>
          <w:p w14:paraId="6BF2BED2" w14:textId="77777777" w:rsidR="00587444" w:rsidRPr="00587444" w:rsidDel="00711365" w:rsidRDefault="00587444" w:rsidP="00587444">
            <w:pPr>
              <w:tabs>
                <w:tab w:val="right" w:pos="1202"/>
              </w:tabs>
              <w:suppressAutoHyphens w:val="0"/>
              <w:autoSpaceDN/>
              <w:spacing w:line="240"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w:t>
            </w:r>
          </w:p>
        </w:tc>
        <w:tc>
          <w:tcPr>
            <w:tcW w:w="785" w:type="pct"/>
            <w:tcBorders>
              <w:top w:val="nil"/>
              <w:left w:val="nil"/>
              <w:bottom w:val="nil"/>
              <w:right w:val="nil"/>
            </w:tcBorders>
            <w:shd w:val="clear" w:color="auto" w:fill="auto"/>
            <w:vAlign w:val="bottom"/>
          </w:tcPr>
          <w:p w14:paraId="5A8F5FE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1</w:t>
            </w:r>
          </w:p>
        </w:tc>
        <w:tc>
          <w:tcPr>
            <w:tcW w:w="785" w:type="pct"/>
            <w:tcBorders>
              <w:top w:val="nil"/>
              <w:left w:val="nil"/>
              <w:bottom w:val="nil"/>
              <w:right w:val="nil"/>
            </w:tcBorders>
            <w:shd w:val="clear" w:color="auto" w:fill="auto"/>
            <w:vAlign w:val="bottom"/>
          </w:tcPr>
          <w:p w14:paraId="495FAE49" w14:textId="77777777" w:rsidR="00587444" w:rsidRPr="00587444" w:rsidDel="00711365" w:rsidRDefault="00587444" w:rsidP="00587444">
            <w:pPr>
              <w:tabs>
                <w:tab w:val="right" w:pos="1202"/>
              </w:tabs>
              <w:suppressAutoHyphens w:val="0"/>
              <w:autoSpaceDN/>
              <w:spacing w:line="240"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w:t>
            </w:r>
          </w:p>
        </w:tc>
        <w:tc>
          <w:tcPr>
            <w:tcW w:w="783" w:type="pct"/>
            <w:tcBorders>
              <w:top w:val="nil"/>
              <w:left w:val="nil"/>
              <w:bottom w:val="nil"/>
              <w:right w:val="nil"/>
            </w:tcBorders>
            <w:shd w:val="clear" w:color="auto" w:fill="auto"/>
            <w:vAlign w:val="bottom"/>
          </w:tcPr>
          <w:p w14:paraId="76AE004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1</w:t>
            </w:r>
          </w:p>
        </w:tc>
      </w:tr>
      <w:tr w:rsidR="00587444" w:rsidRPr="00587444" w14:paraId="2FA92EF0" w14:textId="77777777" w:rsidTr="00DD69E7">
        <w:trPr>
          <w:trHeight w:val="341"/>
        </w:trPr>
        <w:tc>
          <w:tcPr>
            <w:tcW w:w="1862" w:type="pct"/>
            <w:vAlign w:val="bottom"/>
          </w:tcPr>
          <w:p w14:paraId="1D14574C" w14:textId="77777777" w:rsidR="00587444" w:rsidRPr="00587444" w:rsidRDefault="00587444" w:rsidP="00587444">
            <w:pPr>
              <w:tabs>
                <w:tab w:val="right" w:pos="1202"/>
              </w:tabs>
              <w:suppressAutoHyphens w:val="0"/>
              <w:autoSpaceDN/>
              <w:spacing w:line="240" w:lineRule="exact"/>
              <w:outlineLvl w:val="0"/>
              <w:rPr>
                <w:rFonts w:ascii="Arial" w:hAnsi="Arial" w:cs="Arial"/>
                <w:sz w:val="20"/>
                <w:szCs w:val="20"/>
                <w:lang w:val="en-GB"/>
              </w:rPr>
            </w:pPr>
            <w:bookmarkStart w:id="585" w:name="_Toc4058225"/>
            <w:r w:rsidRPr="00587444">
              <w:rPr>
                <w:rFonts w:ascii="Arial" w:hAnsi="Arial" w:cs="Arial"/>
                <w:sz w:val="20"/>
                <w:szCs w:val="20"/>
                <w:lang w:val="en-GB"/>
              </w:rPr>
              <w:t>Foreign currency account - domestic banks</w:t>
            </w:r>
            <w:bookmarkEnd w:id="585"/>
          </w:p>
        </w:tc>
        <w:tc>
          <w:tcPr>
            <w:tcW w:w="785" w:type="pct"/>
            <w:tcBorders>
              <w:top w:val="nil"/>
              <w:left w:val="nil"/>
              <w:bottom w:val="nil"/>
              <w:right w:val="nil"/>
            </w:tcBorders>
            <w:shd w:val="clear" w:color="auto" w:fill="auto"/>
            <w:vAlign w:val="bottom"/>
          </w:tcPr>
          <w:p w14:paraId="3065AD1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11 </w:t>
            </w:r>
          </w:p>
        </w:tc>
        <w:tc>
          <w:tcPr>
            <w:tcW w:w="785" w:type="pct"/>
            <w:tcBorders>
              <w:top w:val="nil"/>
              <w:left w:val="nil"/>
              <w:bottom w:val="nil"/>
              <w:right w:val="nil"/>
            </w:tcBorders>
            <w:shd w:val="clear" w:color="auto" w:fill="auto"/>
            <w:vAlign w:val="bottom"/>
          </w:tcPr>
          <w:p w14:paraId="47AD305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20"/>
                <w:szCs w:val="20"/>
                <w:lang w:val="hr-HR"/>
              </w:rPr>
            </w:pPr>
            <w:r w:rsidRPr="00587444">
              <w:rPr>
                <w:rFonts w:ascii="Arial" w:hAnsi="Arial" w:cs="Arial"/>
                <w:color w:val="000000"/>
                <w:sz w:val="20"/>
                <w:szCs w:val="20"/>
                <w:lang w:val="hr-HR"/>
              </w:rPr>
              <w:t>9</w:t>
            </w:r>
          </w:p>
        </w:tc>
        <w:tc>
          <w:tcPr>
            <w:tcW w:w="785" w:type="pct"/>
            <w:tcBorders>
              <w:top w:val="nil"/>
              <w:left w:val="nil"/>
              <w:bottom w:val="nil"/>
              <w:right w:val="nil"/>
            </w:tcBorders>
            <w:shd w:val="clear" w:color="auto" w:fill="auto"/>
            <w:vAlign w:val="bottom"/>
          </w:tcPr>
          <w:p w14:paraId="5A23E77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w:t>
            </w:r>
          </w:p>
        </w:tc>
        <w:tc>
          <w:tcPr>
            <w:tcW w:w="783" w:type="pct"/>
            <w:tcBorders>
              <w:top w:val="nil"/>
              <w:left w:val="nil"/>
              <w:bottom w:val="nil"/>
              <w:right w:val="nil"/>
            </w:tcBorders>
            <w:shd w:val="clear" w:color="auto" w:fill="auto"/>
            <w:vAlign w:val="bottom"/>
          </w:tcPr>
          <w:p w14:paraId="2E73E87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w:t>
            </w:r>
          </w:p>
        </w:tc>
      </w:tr>
      <w:tr w:rsidR="00587444" w:rsidRPr="00587444" w14:paraId="7303EC72" w14:textId="77777777" w:rsidTr="00DD69E7">
        <w:trPr>
          <w:trHeight w:val="341"/>
        </w:trPr>
        <w:tc>
          <w:tcPr>
            <w:tcW w:w="1862" w:type="pct"/>
            <w:vAlign w:val="bottom"/>
          </w:tcPr>
          <w:p w14:paraId="087A78A5" w14:textId="77777777" w:rsidR="00587444" w:rsidRPr="00587444" w:rsidRDefault="00587444" w:rsidP="00587444">
            <w:pPr>
              <w:tabs>
                <w:tab w:val="right" w:pos="1202"/>
              </w:tabs>
              <w:suppressAutoHyphens w:val="0"/>
              <w:autoSpaceDN/>
              <w:spacing w:line="240" w:lineRule="exact"/>
              <w:outlineLvl w:val="0"/>
              <w:rPr>
                <w:rFonts w:ascii="Arial" w:hAnsi="Arial" w:cs="Arial"/>
                <w:sz w:val="20"/>
                <w:szCs w:val="20"/>
                <w:lang w:val="en-GB"/>
              </w:rPr>
            </w:pPr>
            <w:bookmarkStart w:id="586" w:name="_Toc4058230"/>
            <w:r w:rsidRPr="00587444">
              <w:rPr>
                <w:rFonts w:ascii="Arial" w:hAnsi="Arial" w:cs="Arial"/>
                <w:sz w:val="20"/>
                <w:szCs w:val="20"/>
                <w:lang w:val="en-GB"/>
              </w:rPr>
              <w:t>Foreign currency account - foreign banks</w:t>
            </w:r>
            <w:bookmarkEnd w:id="586"/>
          </w:p>
        </w:tc>
        <w:tc>
          <w:tcPr>
            <w:tcW w:w="785" w:type="pct"/>
            <w:tcBorders>
              <w:top w:val="nil"/>
              <w:left w:val="nil"/>
              <w:bottom w:val="nil"/>
              <w:right w:val="nil"/>
            </w:tcBorders>
            <w:shd w:val="clear" w:color="auto" w:fill="auto"/>
            <w:vAlign w:val="bottom"/>
          </w:tcPr>
          <w:p w14:paraId="5D73020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100,145 </w:t>
            </w:r>
          </w:p>
        </w:tc>
        <w:tc>
          <w:tcPr>
            <w:tcW w:w="785" w:type="pct"/>
            <w:tcBorders>
              <w:top w:val="nil"/>
              <w:left w:val="nil"/>
              <w:bottom w:val="nil"/>
              <w:right w:val="nil"/>
            </w:tcBorders>
            <w:shd w:val="clear" w:color="auto" w:fill="auto"/>
            <w:vAlign w:val="bottom"/>
          </w:tcPr>
          <w:p w14:paraId="2022515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20"/>
                <w:szCs w:val="20"/>
                <w:lang w:val="hr-HR"/>
              </w:rPr>
            </w:pPr>
            <w:r w:rsidRPr="00587444">
              <w:rPr>
                <w:rFonts w:ascii="Arial" w:hAnsi="Arial" w:cs="Arial"/>
                <w:color w:val="000000"/>
                <w:sz w:val="20"/>
                <w:szCs w:val="20"/>
                <w:lang w:val="hr-HR"/>
              </w:rPr>
              <w:t>80,938</w:t>
            </w:r>
          </w:p>
        </w:tc>
        <w:tc>
          <w:tcPr>
            <w:tcW w:w="785" w:type="pct"/>
            <w:tcBorders>
              <w:top w:val="nil"/>
              <w:left w:val="nil"/>
              <w:bottom w:val="nil"/>
              <w:right w:val="nil"/>
            </w:tcBorders>
            <w:shd w:val="clear" w:color="auto" w:fill="auto"/>
            <w:vAlign w:val="bottom"/>
          </w:tcPr>
          <w:p w14:paraId="5F982FC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100,142</w:t>
            </w:r>
          </w:p>
        </w:tc>
        <w:tc>
          <w:tcPr>
            <w:tcW w:w="783" w:type="pct"/>
            <w:tcBorders>
              <w:top w:val="nil"/>
              <w:left w:val="nil"/>
              <w:bottom w:val="nil"/>
              <w:right w:val="nil"/>
            </w:tcBorders>
            <w:shd w:val="clear" w:color="auto" w:fill="auto"/>
            <w:vAlign w:val="bottom"/>
          </w:tcPr>
          <w:p w14:paraId="6C6ED59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20"/>
                <w:szCs w:val="20"/>
                <w:lang w:val="hr-HR"/>
              </w:rPr>
            </w:pPr>
            <w:r w:rsidRPr="00587444">
              <w:rPr>
                <w:rFonts w:ascii="Arial" w:hAnsi="Arial" w:cs="Arial"/>
                <w:color w:val="000000"/>
                <w:sz w:val="20"/>
                <w:szCs w:val="20"/>
                <w:lang w:val="hr-HR"/>
              </w:rPr>
              <w:t>80,930</w:t>
            </w:r>
          </w:p>
        </w:tc>
      </w:tr>
      <w:tr w:rsidR="00587444" w:rsidRPr="00587444" w14:paraId="4A301CD5" w14:textId="77777777" w:rsidTr="00DD69E7">
        <w:trPr>
          <w:trHeight w:val="341"/>
        </w:trPr>
        <w:tc>
          <w:tcPr>
            <w:tcW w:w="1862" w:type="pct"/>
            <w:vAlign w:val="bottom"/>
          </w:tcPr>
          <w:p w14:paraId="24037027" w14:textId="15F1CC0F" w:rsidR="004E3773" w:rsidRDefault="00587444" w:rsidP="00587444">
            <w:pPr>
              <w:tabs>
                <w:tab w:val="right" w:pos="1202"/>
              </w:tabs>
              <w:suppressAutoHyphens w:val="0"/>
              <w:autoSpaceDN/>
              <w:spacing w:line="240" w:lineRule="exact"/>
              <w:outlineLvl w:val="0"/>
              <w:rPr>
                <w:rFonts w:ascii="Arial" w:hAnsi="Arial" w:cs="Arial"/>
                <w:sz w:val="20"/>
                <w:szCs w:val="20"/>
                <w:lang w:val="en-GB"/>
              </w:rPr>
            </w:pPr>
            <w:bookmarkStart w:id="587" w:name="_Toc4058235"/>
            <w:r w:rsidRPr="00587444">
              <w:rPr>
                <w:rFonts w:ascii="Arial" w:hAnsi="Arial" w:cs="Arial"/>
                <w:sz w:val="20"/>
                <w:szCs w:val="20"/>
                <w:lang w:val="en-GB"/>
              </w:rPr>
              <w:t xml:space="preserve">Domestic currency account </w:t>
            </w:r>
            <w:r w:rsidR="004E3773">
              <w:rPr>
                <w:rFonts w:ascii="Arial" w:hAnsi="Arial" w:cs="Arial"/>
                <w:sz w:val="20"/>
                <w:szCs w:val="20"/>
                <w:lang w:val="en-GB"/>
              </w:rPr>
              <w:t>–</w:t>
            </w:r>
            <w:r w:rsidRPr="00587444">
              <w:rPr>
                <w:rFonts w:ascii="Arial" w:hAnsi="Arial" w:cs="Arial"/>
                <w:sz w:val="20"/>
                <w:szCs w:val="20"/>
                <w:lang w:val="en-GB"/>
              </w:rPr>
              <w:t xml:space="preserve"> </w:t>
            </w:r>
          </w:p>
          <w:p w14:paraId="7892CA6C" w14:textId="74DB817C" w:rsidR="00587444" w:rsidRPr="00587444" w:rsidRDefault="00587444" w:rsidP="00587444">
            <w:pPr>
              <w:tabs>
                <w:tab w:val="right" w:pos="1202"/>
              </w:tabs>
              <w:suppressAutoHyphens w:val="0"/>
              <w:autoSpaceDN/>
              <w:spacing w:line="240" w:lineRule="exact"/>
              <w:outlineLvl w:val="0"/>
              <w:rPr>
                <w:rFonts w:ascii="Arial" w:hAnsi="Arial" w:cs="Arial"/>
                <w:sz w:val="20"/>
                <w:szCs w:val="20"/>
                <w:lang w:val="en-GB"/>
              </w:rPr>
            </w:pPr>
            <w:r w:rsidRPr="00587444">
              <w:rPr>
                <w:rFonts w:ascii="Arial" w:hAnsi="Arial" w:cs="Arial"/>
                <w:sz w:val="20"/>
                <w:szCs w:val="20"/>
                <w:lang w:val="en-GB"/>
              </w:rPr>
              <w:t>domestic banks</w:t>
            </w:r>
            <w:bookmarkEnd w:id="587"/>
          </w:p>
        </w:tc>
        <w:tc>
          <w:tcPr>
            <w:tcW w:w="785" w:type="pct"/>
            <w:tcBorders>
              <w:top w:val="nil"/>
              <w:left w:val="nil"/>
              <w:bottom w:val="nil"/>
              <w:right w:val="nil"/>
            </w:tcBorders>
            <w:shd w:val="clear" w:color="auto" w:fill="auto"/>
            <w:vAlign w:val="bottom"/>
          </w:tcPr>
          <w:p w14:paraId="326C789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5,391 </w:t>
            </w:r>
          </w:p>
        </w:tc>
        <w:tc>
          <w:tcPr>
            <w:tcW w:w="785" w:type="pct"/>
            <w:tcBorders>
              <w:top w:val="nil"/>
              <w:left w:val="nil"/>
              <w:bottom w:val="nil"/>
              <w:right w:val="nil"/>
            </w:tcBorders>
            <w:shd w:val="clear" w:color="auto" w:fill="auto"/>
            <w:vAlign w:val="bottom"/>
          </w:tcPr>
          <w:p w14:paraId="0659F26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20"/>
                <w:szCs w:val="20"/>
                <w:lang w:val="hr-HR"/>
              </w:rPr>
            </w:pPr>
            <w:r w:rsidRPr="00587444">
              <w:rPr>
                <w:rFonts w:ascii="Arial" w:hAnsi="Arial" w:cs="Arial"/>
                <w:color w:val="000000"/>
                <w:sz w:val="20"/>
                <w:szCs w:val="20"/>
                <w:lang w:val="hr-HR"/>
              </w:rPr>
              <w:t>3,354</w:t>
            </w:r>
          </w:p>
        </w:tc>
        <w:tc>
          <w:tcPr>
            <w:tcW w:w="785" w:type="pct"/>
            <w:tcBorders>
              <w:top w:val="nil"/>
              <w:left w:val="nil"/>
              <w:bottom w:val="nil"/>
              <w:right w:val="nil"/>
            </w:tcBorders>
            <w:shd w:val="clear" w:color="auto" w:fill="auto"/>
            <w:vAlign w:val="bottom"/>
          </w:tcPr>
          <w:p w14:paraId="43B3F9F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w:t>
            </w:r>
          </w:p>
        </w:tc>
        <w:tc>
          <w:tcPr>
            <w:tcW w:w="783" w:type="pct"/>
            <w:tcBorders>
              <w:top w:val="nil"/>
              <w:left w:val="nil"/>
              <w:bottom w:val="nil"/>
              <w:right w:val="nil"/>
            </w:tcBorders>
            <w:shd w:val="clear" w:color="auto" w:fill="auto"/>
            <w:vAlign w:val="bottom"/>
          </w:tcPr>
          <w:p w14:paraId="6A89F95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20"/>
                <w:szCs w:val="20"/>
                <w:lang w:val="hr-HR"/>
              </w:rPr>
            </w:pPr>
            <w:r w:rsidRPr="00587444">
              <w:rPr>
                <w:rFonts w:ascii="Arial" w:hAnsi="Arial" w:cs="Arial"/>
                <w:color w:val="000000"/>
                <w:sz w:val="20"/>
                <w:szCs w:val="20"/>
                <w:lang w:val="hr-HR"/>
              </w:rPr>
              <w:t>-</w:t>
            </w:r>
          </w:p>
        </w:tc>
      </w:tr>
      <w:tr w:rsidR="00587444" w:rsidRPr="00587444" w14:paraId="50FCA036" w14:textId="77777777" w:rsidTr="00DD69E7">
        <w:trPr>
          <w:trHeight w:val="341"/>
        </w:trPr>
        <w:tc>
          <w:tcPr>
            <w:tcW w:w="1862" w:type="pct"/>
            <w:vAlign w:val="bottom"/>
          </w:tcPr>
          <w:p w14:paraId="32CEEC20" w14:textId="77777777" w:rsidR="00587444" w:rsidRPr="00587444" w:rsidRDefault="00587444" w:rsidP="00587444">
            <w:pPr>
              <w:tabs>
                <w:tab w:val="right" w:pos="1202"/>
              </w:tabs>
              <w:suppressAutoHyphens w:val="0"/>
              <w:autoSpaceDN/>
              <w:spacing w:line="240" w:lineRule="exact"/>
              <w:outlineLvl w:val="0"/>
              <w:rPr>
                <w:rFonts w:ascii="Arial" w:hAnsi="Arial" w:cs="Arial"/>
                <w:iCs/>
                <w:sz w:val="20"/>
                <w:szCs w:val="20"/>
                <w:lang w:val="en-GB"/>
              </w:rPr>
            </w:pPr>
          </w:p>
        </w:tc>
        <w:tc>
          <w:tcPr>
            <w:tcW w:w="785" w:type="pct"/>
            <w:tcBorders>
              <w:top w:val="single" w:sz="4" w:space="0" w:color="auto"/>
              <w:bottom w:val="single" w:sz="4" w:space="0" w:color="auto"/>
            </w:tcBorders>
            <w:vAlign w:val="bottom"/>
          </w:tcPr>
          <w:p w14:paraId="47454BC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1,727,983</w:t>
            </w:r>
          </w:p>
        </w:tc>
        <w:tc>
          <w:tcPr>
            <w:tcW w:w="785" w:type="pct"/>
            <w:tcBorders>
              <w:top w:val="single" w:sz="4" w:space="0" w:color="auto"/>
              <w:bottom w:val="single" w:sz="4" w:space="0" w:color="auto"/>
            </w:tcBorders>
            <w:vAlign w:val="bottom"/>
          </w:tcPr>
          <w:p w14:paraId="487A294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20"/>
                <w:szCs w:val="20"/>
                <w:lang w:val="hr-HR"/>
              </w:rPr>
            </w:pPr>
            <w:r w:rsidRPr="00587444">
              <w:rPr>
                <w:rFonts w:ascii="Arial" w:hAnsi="Arial" w:cs="Arial"/>
                <w:color w:val="000000"/>
                <w:sz w:val="20"/>
                <w:szCs w:val="20"/>
                <w:lang w:val="hr-HR"/>
              </w:rPr>
              <w:t>1,963,795</w:t>
            </w:r>
          </w:p>
        </w:tc>
        <w:tc>
          <w:tcPr>
            <w:tcW w:w="785" w:type="pct"/>
            <w:tcBorders>
              <w:top w:val="single" w:sz="4" w:space="0" w:color="auto"/>
              <w:bottom w:val="single" w:sz="4" w:space="0" w:color="auto"/>
            </w:tcBorders>
            <w:vAlign w:val="bottom"/>
          </w:tcPr>
          <w:p w14:paraId="118E63E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1,722,578</w:t>
            </w:r>
          </w:p>
        </w:tc>
        <w:tc>
          <w:tcPr>
            <w:tcW w:w="783" w:type="pct"/>
            <w:tcBorders>
              <w:top w:val="single" w:sz="4" w:space="0" w:color="auto"/>
              <w:bottom w:val="single" w:sz="4" w:space="0" w:color="auto"/>
            </w:tcBorders>
            <w:vAlign w:val="bottom"/>
          </w:tcPr>
          <w:p w14:paraId="1E9B905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20"/>
                <w:szCs w:val="20"/>
                <w:lang w:val="hr-HR"/>
              </w:rPr>
            </w:pPr>
            <w:r w:rsidRPr="00587444">
              <w:rPr>
                <w:rFonts w:ascii="Arial" w:hAnsi="Arial" w:cs="Arial"/>
                <w:color w:val="000000"/>
                <w:sz w:val="20"/>
                <w:szCs w:val="20"/>
                <w:lang w:val="hr-HR"/>
              </w:rPr>
              <w:t>1,960,424</w:t>
            </w:r>
          </w:p>
        </w:tc>
      </w:tr>
      <w:tr w:rsidR="00587444" w:rsidRPr="00587444" w14:paraId="224CBEDF" w14:textId="77777777" w:rsidTr="00DD69E7">
        <w:trPr>
          <w:trHeight w:val="341"/>
        </w:trPr>
        <w:tc>
          <w:tcPr>
            <w:tcW w:w="1862" w:type="pct"/>
            <w:vAlign w:val="bottom"/>
          </w:tcPr>
          <w:p w14:paraId="069B0C37" w14:textId="77777777" w:rsidR="00587444" w:rsidRPr="00587444" w:rsidRDefault="00587444" w:rsidP="00587444">
            <w:pPr>
              <w:tabs>
                <w:tab w:val="right" w:pos="1202"/>
              </w:tabs>
              <w:suppressAutoHyphens w:val="0"/>
              <w:autoSpaceDN/>
              <w:spacing w:line="240" w:lineRule="exact"/>
              <w:outlineLvl w:val="0"/>
              <w:rPr>
                <w:rFonts w:ascii="Arial" w:hAnsi="Arial" w:cs="Arial"/>
                <w:sz w:val="20"/>
                <w:szCs w:val="20"/>
                <w:lang w:val="en-GB"/>
              </w:rPr>
            </w:pPr>
            <w:bookmarkStart w:id="588" w:name="_Toc4058244"/>
            <w:r w:rsidRPr="00587444">
              <w:rPr>
                <w:rFonts w:ascii="Arial" w:hAnsi="Arial" w:cs="Arial"/>
                <w:sz w:val="20"/>
                <w:szCs w:val="20"/>
                <w:lang w:val="en-GB"/>
              </w:rPr>
              <w:t>Loss allowances</w:t>
            </w:r>
            <w:bookmarkEnd w:id="588"/>
          </w:p>
        </w:tc>
        <w:tc>
          <w:tcPr>
            <w:tcW w:w="785" w:type="pct"/>
            <w:tcBorders>
              <w:top w:val="single" w:sz="4" w:space="0" w:color="auto"/>
              <w:bottom w:val="single" w:sz="4" w:space="0" w:color="auto"/>
            </w:tcBorders>
            <w:vAlign w:val="bottom"/>
          </w:tcPr>
          <w:p w14:paraId="0530503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(6,064)</w:t>
            </w:r>
          </w:p>
        </w:tc>
        <w:tc>
          <w:tcPr>
            <w:tcW w:w="785" w:type="pct"/>
            <w:tcBorders>
              <w:top w:val="single" w:sz="4" w:space="0" w:color="auto"/>
              <w:bottom w:val="single" w:sz="4" w:space="0" w:color="auto"/>
            </w:tcBorders>
            <w:vAlign w:val="bottom"/>
          </w:tcPr>
          <w:p w14:paraId="2982AE6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20"/>
                <w:szCs w:val="20"/>
                <w:lang w:val="hr-HR"/>
              </w:rPr>
            </w:pPr>
            <w:r w:rsidRPr="00587444">
              <w:rPr>
                <w:rFonts w:ascii="Arial" w:hAnsi="Arial" w:cs="Arial"/>
                <w:color w:val="000000"/>
                <w:sz w:val="20"/>
                <w:szCs w:val="20"/>
                <w:lang w:val="hr-HR"/>
              </w:rPr>
              <w:t>(1,809)</w:t>
            </w:r>
          </w:p>
        </w:tc>
        <w:tc>
          <w:tcPr>
            <w:tcW w:w="785" w:type="pct"/>
            <w:tcBorders>
              <w:top w:val="single" w:sz="4" w:space="0" w:color="auto"/>
              <w:bottom w:val="single" w:sz="4" w:space="0" w:color="auto"/>
            </w:tcBorders>
            <w:vAlign w:val="bottom"/>
          </w:tcPr>
          <w:p w14:paraId="15690CB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(6,059)</w:t>
            </w:r>
          </w:p>
        </w:tc>
        <w:tc>
          <w:tcPr>
            <w:tcW w:w="783" w:type="pct"/>
            <w:tcBorders>
              <w:top w:val="single" w:sz="4" w:space="0" w:color="auto"/>
              <w:bottom w:val="single" w:sz="4" w:space="0" w:color="auto"/>
            </w:tcBorders>
            <w:vAlign w:val="bottom"/>
          </w:tcPr>
          <w:p w14:paraId="7A18BE6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20"/>
                <w:szCs w:val="20"/>
                <w:lang w:val="hr-HR"/>
              </w:rPr>
            </w:pPr>
            <w:r w:rsidRPr="00587444">
              <w:rPr>
                <w:rFonts w:ascii="Arial" w:hAnsi="Arial" w:cs="Arial"/>
                <w:color w:val="000000"/>
                <w:sz w:val="20"/>
                <w:szCs w:val="20"/>
                <w:lang w:val="hr-HR"/>
              </w:rPr>
              <w:t>(1,804)</w:t>
            </w:r>
          </w:p>
        </w:tc>
      </w:tr>
      <w:tr w:rsidR="00587444" w:rsidRPr="00587444" w14:paraId="287B5C33" w14:textId="77777777" w:rsidTr="00DD69E7">
        <w:trPr>
          <w:trHeight w:val="341"/>
        </w:trPr>
        <w:tc>
          <w:tcPr>
            <w:tcW w:w="1862" w:type="pct"/>
            <w:vAlign w:val="bottom"/>
          </w:tcPr>
          <w:p w14:paraId="754341DB"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20"/>
                <w:szCs w:val="20"/>
                <w:lang w:val="en-GB"/>
              </w:rPr>
            </w:pPr>
          </w:p>
        </w:tc>
        <w:tc>
          <w:tcPr>
            <w:tcW w:w="785" w:type="pct"/>
            <w:tcBorders>
              <w:top w:val="single" w:sz="4" w:space="0" w:color="auto"/>
              <w:bottom w:val="single" w:sz="12" w:space="0" w:color="auto"/>
            </w:tcBorders>
            <w:vAlign w:val="bottom"/>
          </w:tcPr>
          <w:p w14:paraId="30426E6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1,721,919</w:t>
            </w:r>
          </w:p>
        </w:tc>
        <w:tc>
          <w:tcPr>
            <w:tcW w:w="785" w:type="pct"/>
            <w:tcBorders>
              <w:top w:val="single" w:sz="4" w:space="0" w:color="auto"/>
              <w:bottom w:val="single" w:sz="12" w:space="0" w:color="auto"/>
            </w:tcBorders>
            <w:vAlign w:val="bottom"/>
          </w:tcPr>
          <w:p w14:paraId="7F91A14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napToGrid w:val="0"/>
                <w:sz w:val="20"/>
                <w:szCs w:val="20"/>
                <w:lang w:val="hr-HR"/>
              </w:rPr>
            </w:pPr>
            <w:r w:rsidRPr="00587444">
              <w:rPr>
                <w:rFonts w:ascii="Arial" w:hAnsi="Arial" w:cs="Arial"/>
                <w:b/>
                <w:color w:val="000000"/>
                <w:sz w:val="20"/>
                <w:szCs w:val="20"/>
                <w:lang w:val="hr-HR"/>
              </w:rPr>
              <w:t>1,961,986</w:t>
            </w:r>
          </w:p>
        </w:tc>
        <w:tc>
          <w:tcPr>
            <w:tcW w:w="785" w:type="pct"/>
            <w:tcBorders>
              <w:top w:val="single" w:sz="4" w:space="0" w:color="auto"/>
              <w:bottom w:val="single" w:sz="12" w:space="0" w:color="auto"/>
            </w:tcBorders>
            <w:vAlign w:val="bottom"/>
          </w:tcPr>
          <w:p w14:paraId="10E6294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1,716,519</w:t>
            </w:r>
          </w:p>
        </w:tc>
        <w:tc>
          <w:tcPr>
            <w:tcW w:w="783" w:type="pct"/>
            <w:tcBorders>
              <w:top w:val="single" w:sz="4" w:space="0" w:color="auto"/>
              <w:bottom w:val="single" w:sz="12" w:space="0" w:color="auto"/>
            </w:tcBorders>
            <w:vAlign w:val="bottom"/>
          </w:tcPr>
          <w:p w14:paraId="68CA005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napToGrid w:val="0"/>
                <w:sz w:val="20"/>
                <w:szCs w:val="20"/>
                <w:lang w:val="hr-HR"/>
              </w:rPr>
            </w:pPr>
            <w:r w:rsidRPr="00587444">
              <w:rPr>
                <w:rFonts w:ascii="Arial" w:hAnsi="Arial" w:cs="Arial"/>
                <w:b/>
                <w:color w:val="000000"/>
                <w:sz w:val="20"/>
                <w:szCs w:val="20"/>
                <w:lang w:val="hr-HR"/>
              </w:rPr>
              <w:t>1,958,620</w:t>
            </w:r>
          </w:p>
        </w:tc>
      </w:tr>
    </w:tbl>
    <w:p w14:paraId="1F8CE785" w14:textId="77777777" w:rsidR="00587444" w:rsidRPr="00587444" w:rsidRDefault="00587444" w:rsidP="00587444">
      <w:pPr>
        <w:keepNext/>
        <w:suppressAutoHyphens w:val="0"/>
        <w:autoSpaceDN/>
        <w:jc w:val="both"/>
        <w:rPr>
          <w:rFonts w:ascii="Arial" w:hAnsi="Arial" w:cs="Arial"/>
          <w:bCs/>
          <w:sz w:val="20"/>
          <w:szCs w:val="20"/>
          <w:lang w:val="en-GB"/>
        </w:rPr>
      </w:pPr>
    </w:p>
    <w:p w14:paraId="7B9AAEBB" w14:textId="77777777" w:rsidR="00587444" w:rsidRPr="00587444" w:rsidRDefault="00587444" w:rsidP="00587444">
      <w:pPr>
        <w:keepNext/>
        <w:suppressAutoHyphens w:val="0"/>
        <w:autoSpaceDN/>
        <w:jc w:val="both"/>
        <w:rPr>
          <w:rFonts w:ascii="Arial" w:hAnsi="Arial" w:cs="Arial"/>
          <w:bCs/>
          <w:sz w:val="20"/>
          <w:szCs w:val="20"/>
          <w:lang w:val="en-GB"/>
        </w:rPr>
      </w:pPr>
    </w:p>
    <w:p w14:paraId="782E3ED5" w14:textId="77777777" w:rsidR="00587444" w:rsidRPr="00587444" w:rsidRDefault="00587444" w:rsidP="00587932">
      <w:pPr>
        <w:keepNext/>
        <w:autoSpaceDN/>
        <w:jc w:val="both"/>
        <w:rPr>
          <w:rFonts w:ascii="Arial" w:hAnsi="Arial" w:cs="Arial"/>
          <w:bCs/>
          <w:sz w:val="20"/>
          <w:szCs w:val="20"/>
          <w:lang w:val="en-GB"/>
        </w:rPr>
      </w:pPr>
      <w:bookmarkStart w:id="589" w:name="_Hlk534724271"/>
      <w:r w:rsidRPr="00587444">
        <w:rPr>
          <w:rFonts w:ascii="Arial" w:hAnsi="Arial" w:cs="Arial"/>
          <w:bCs/>
          <w:sz w:val="20"/>
          <w:szCs w:val="20"/>
          <w:lang w:val="en-GB"/>
        </w:rPr>
        <w:t>The following tables sets out information about the credit quality of financial assets measured at amortised cost, The amounts in the table represent gross carrying amounts:</w:t>
      </w:r>
      <w:bookmarkEnd w:id="589"/>
    </w:p>
    <w:p w14:paraId="212D57CF" w14:textId="77777777" w:rsidR="00587444" w:rsidRPr="00587444" w:rsidRDefault="00587444" w:rsidP="00587444">
      <w:pPr>
        <w:keepNext/>
        <w:suppressAutoHyphens w:val="0"/>
        <w:autoSpaceDN/>
        <w:jc w:val="both"/>
        <w:rPr>
          <w:rFonts w:ascii="Arial" w:hAnsi="Arial" w:cs="Arial"/>
          <w:bCs/>
          <w:sz w:val="20"/>
          <w:szCs w:val="20"/>
          <w:lang w:val="en-GB"/>
        </w:rPr>
      </w:pPr>
    </w:p>
    <w:tbl>
      <w:tblPr>
        <w:tblW w:w="5379" w:type="pct"/>
        <w:tblInd w:w="-142" w:type="dxa"/>
        <w:tblLayout w:type="fixed"/>
        <w:tblLook w:val="0000" w:firstRow="0" w:lastRow="0" w:firstColumn="0" w:lastColumn="0" w:noHBand="0" w:noVBand="0"/>
      </w:tblPr>
      <w:tblGrid>
        <w:gridCol w:w="1912"/>
        <w:gridCol w:w="1143"/>
        <w:gridCol w:w="1017"/>
        <w:gridCol w:w="1017"/>
        <w:gridCol w:w="1017"/>
        <w:gridCol w:w="1017"/>
        <w:gridCol w:w="1017"/>
        <w:gridCol w:w="1015"/>
        <w:gridCol w:w="1141"/>
      </w:tblGrid>
      <w:tr w:rsidR="00587444" w:rsidRPr="00587444" w14:paraId="73B1EC33" w14:textId="77777777" w:rsidTr="00DD69E7">
        <w:trPr>
          <w:trHeight w:val="239"/>
        </w:trPr>
        <w:tc>
          <w:tcPr>
            <w:tcW w:w="928" w:type="pct"/>
            <w:vAlign w:val="bottom"/>
          </w:tcPr>
          <w:p w14:paraId="638E5F5D" w14:textId="77777777" w:rsidR="00587444" w:rsidRPr="00587444" w:rsidRDefault="00587444" w:rsidP="00587444">
            <w:pPr>
              <w:tabs>
                <w:tab w:val="left" w:pos="-720"/>
              </w:tabs>
              <w:autoSpaceDN/>
              <w:spacing w:line="220" w:lineRule="exact"/>
              <w:rPr>
                <w:rFonts w:ascii="Arial" w:hAnsi="Arial" w:cs="Arial"/>
                <w:b/>
                <w:sz w:val="17"/>
                <w:szCs w:val="17"/>
                <w:lang w:val="en-GB"/>
              </w:rPr>
            </w:pPr>
            <w:r w:rsidRPr="00587444">
              <w:rPr>
                <w:rFonts w:ascii="Arial" w:hAnsi="Arial" w:cs="Arial"/>
                <w:b/>
                <w:sz w:val="17"/>
                <w:szCs w:val="17"/>
                <w:lang w:val="en-GB"/>
              </w:rPr>
              <w:t>31 December 2022</w:t>
            </w:r>
          </w:p>
        </w:tc>
        <w:tc>
          <w:tcPr>
            <w:tcW w:w="555" w:type="pct"/>
            <w:vAlign w:val="bottom"/>
          </w:tcPr>
          <w:p w14:paraId="67ED515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16567FA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0F6BE59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494" w:type="pct"/>
            <w:vAlign w:val="bottom"/>
          </w:tcPr>
          <w:p w14:paraId="3954778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bookmarkStart w:id="590" w:name="_Toc4058253"/>
            <w:r w:rsidRPr="00587444">
              <w:rPr>
                <w:rFonts w:ascii="Arial" w:hAnsi="Arial" w:cs="Arial"/>
                <w:b/>
                <w:sz w:val="17"/>
                <w:szCs w:val="17"/>
                <w:lang w:val="en-GB"/>
              </w:rPr>
              <w:t>Group</w:t>
            </w:r>
            <w:bookmarkEnd w:id="590"/>
          </w:p>
        </w:tc>
        <w:tc>
          <w:tcPr>
            <w:tcW w:w="494" w:type="pct"/>
            <w:vAlign w:val="bottom"/>
          </w:tcPr>
          <w:p w14:paraId="78793D9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5E3BDC3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3" w:type="pct"/>
            <w:shd w:val="clear" w:color="auto" w:fill="auto"/>
            <w:vAlign w:val="bottom"/>
          </w:tcPr>
          <w:p w14:paraId="397CCDA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55" w:type="pct"/>
            <w:vAlign w:val="bottom"/>
          </w:tcPr>
          <w:p w14:paraId="03EB449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91" w:name="_Toc4058254"/>
            <w:r w:rsidRPr="00587444">
              <w:rPr>
                <w:rFonts w:ascii="Arial" w:hAnsi="Arial" w:cs="Arial"/>
                <w:b/>
                <w:sz w:val="17"/>
                <w:szCs w:val="17"/>
                <w:lang w:val="en-GB"/>
              </w:rPr>
              <w:t>Bank</w:t>
            </w:r>
            <w:bookmarkEnd w:id="591"/>
          </w:p>
        </w:tc>
      </w:tr>
      <w:tr w:rsidR="00587444" w:rsidRPr="00587444" w14:paraId="4E9CE36E" w14:textId="77777777" w:rsidTr="00DD69E7">
        <w:trPr>
          <w:trHeight w:val="311"/>
        </w:trPr>
        <w:tc>
          <w:tcPr>
            <w:tcW w:w="928" w:type="pct"/>
            <w:vAlign w:val="bottom"/>
          </w:tcPr>
          <w:p w14:paraId="0BBF60F5" w14:textId="77777777" w:rsidR="00587444" w:rsidRPr="00587444" w:rsidRDefault="00587444" w:rsidP="00587444">
            <w:pPr>
              <w:tabs>
                <w:tab w:val="left" w:pos="-720"/>
              </w:tabs>
              <w:autoSpaceDN/>
              <w:spacing w:line="220" w:lineRule="exact"/>
              <w:rPr>
                <w:rFonts w:ascii="Arial" w:hAnsi="Arial" w:cs="Arial"/>
                <w:sz w:val="17"/>
                <w:szCs w:val="17"/>
                <w:lang w:val="en-GB"/>
              </w:rPr>
            </w:pPr>
          </w:p>
        </w:tc>
        <w:tc>
          <w:tcPr>
            <w:tcW w:w="555" w:type="pct"/>
            <w:vAlign w:val="bottom"/>
          </w:tcPr>
          <w:p w14:paraId="47F7575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92" w:name="_Toc4058255"/>
            <w:r w:rsidRPr="00587444">
              <w:rPr>
                <w:rFonts w:ascii="Arial" w:hAnsi="Arial" w:cs="Arial"/>
                <w:b/>
                <w:sz w:val="17"/>
                <w:szCs w:val="17"/>
                <w:lang w:val="en-GB"/>
              </w:rPr>
              <w:t>Stage 1</w:t>
            </w:r>
            <w:bookmarkEnd w:id="592"/>
          </w:p>
        </w:tc>
        <w:tc>
          <w:tcPr>
            <w:tcW w:w="494" w:type="pct"/>
            <w:vAlign w:val="bottom"/>
          </w:tcPr>
          <w:p w14:paraId="76DF8C1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93" w:name="_Toc4058256"/>
            <w:r w:rsidRPr="00587444">
              <w:rPr>
                <w:rFonts w:ascii="Arial" w:hAnsi="Arial" w:cs="Arial"/>
                <w:b/>
                <w:sz w:val="17"/>
                <w:szCs w:val="17"/>
                <w:lang w:val="en-GB"/>
              </w:rPr>
              <w:t>Stage 2</w:t>
            </w:r>
            <w:bookmarkEnd w:id="593"/>
          </w:p>
        </w:tc>
        <w:tc>
          <w:tcPr>
            <w:tcW w:w="494" w:type="pct"/>
            <w:vAlign w:val="bottom"/>
          </w:tcPr>
          <w:p w14:paraId="790EFBA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94" w:name="_Toc4058257"/>
            <w:r w:rsidRPr="00587444">
              <w:rPr>
                <w:rFonts w:ascii="Arial" w:hAnsi="Arial" w:cs="Arial"/>
                <w:b/>
                <w:sz w:val="17"/>
                <w:szCs w:val="17"/>
                <w:lang w:val="en-GB"/>
              </w:rPr>
              <w:t>Stage 3</w:t>
            </w:r>
            <w:bookmarkEnd w:id="594"/>
          </w:p>
        </w:tc>
        <w:tc>
          <w:tcPr>
            <w:tcW w:w="494" w:type="pct"/>
            <w:vAlign w:val="bottom"/>
          </w:tcPr>
          <w:p w14:paraId="4ED8AAF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95" w:name="_Toc4058258"/>
            <w:r w:rsidRPr="00587444">
              <w:rPr>
                <w:rFonts w:ascii="Arial" w:hAnsi="Arial" w:cs="Arial"/>
                <w:b/>
                <w:sz w:val="17"/>
                <w:szCs w:val="17"/>
                <w:lang w:val="en-GB"/>
              </w:rPr>
              <w:t>Total</w:t>
            </w:r>
            <w:bookmarkEnd w:id="595"/>
          </w:p>
        </w:tc>
        <w:tc>
          <w:tcPr>
            <w:tcW w:w="494" w:type="pct"/>
            <w:vAlign w:val="bottom"/>
          </w:tcPr>
          <w:p w14:paraId="69232D8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96" w:name="_Toc4058259"/>
            <w:r w:rsidRPr="00587444">
              <w:rPr>
                <w:rFonts w:ascii="Arial" w:hAnsi="Arial" w:cs="Arial"/>
                <w:b/>
                <w:sz w:val="17"/>
                <w:szCs w:val="17"/>
                <w:lang w:val="en-GB"/>
              </w:rPr>
              <w:t>Stage 1</w:t>
            </w:r>
            <w:bookmarkEnd w:id="596"/>
          </w:p>
        </w:tc>
        <w:tc>
          <w:tcPr>
            <w:tcW w:w="494" w:type="pct"/>
            <w:vAlign w:val="bottom"/>
          </w:tcPr>
          <w:p w14:paraId="05967A8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97" w:name="_Toc4058260"/>
            <w:r w:rsidRPr="00587444">
              <w:rPr>
                <w:rFonts w:ascii="Arial" w:hAnsi="Arial" w:cs="Arial"/>
                <w:b/>
                <w:sz w:val="17"/>
                <w:szCs w:val="17"/>
                <w:lang w:val="en-GB"/>
              </w:rPr>
              <w:t>Stage 2</w:t>
            </w:r>
            <w:bookmarkEnd w:id="597"/>
          </w:p>
        </w:tc>
        <w:tc>
          <w:tcPr>
            <w:tcW w:w="493" w:type="pct"/>
            <w:vAlign w:val="bottom"/>
          </w:tcPr>
          <w:p w14:paraId="78E812E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98" w:name="_Toc4058261"/>
            <w:r w:rsidRPr="00587444">
              <w:rPr>
                <w:rFonts w:ascii="Arial" w:hAnsi="Arial" w:cs="Arial"/>
                <w:b/>
                <w:sz w:val="17"/>
                <w:szCs w:val="17"/>
                <w:lang w:val="en-GB"/>
              </w:rPr>
              <w:t>Stage 3</w:t>
            </w:r>
            <w:bookmarkEnd w:id="598"/>
          </w:p>
        </w:tc>
        <w:tc>
          <w:tcPr>
            <w:tcW w:w="555" w:type="pct"/>
            <w:vAlign w:val="bottom"/>
          </w:tcPr>
          <w:p w14:paraId="7A2A94D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99" w:name="_Toc4058262"/>
            <w:r w:rsidRPr="00587444">
              <w:rPr>
                <w:rFonts w:ascii="Arial" w:hAnsi="Arial" w:cs="Arial"/>
                <w:b/>
                <w:sz w:val="17"/>
                <w:szCs w:val="17"/>
                <w:lang w:val="en-GB"/>
              </w:rPr>
              <w:t>Total</w:t>
            </w:r>
            <w:bookmarkEnd w:id="599"/>
          </w:p>
        </w:tc>
      </w:tr>
      <w:tr w:rsidR="00587444" w:rsidRPr="00587444" w14:paraId="53BEA418" w14:textId="77777777" w:rsidTr="00DD69E7">
        <w:trPr>
          <w:trHeight w:val="311"/>
        </w:trPr>
        <w:tc>
          <w:tcPr>
            <w:tcW w:w="928" w:type="pct"/>
            <w:vAlign w:val="bottom"/>
          </w:tcPr>
          <w:p w14:paraId="73CDDF61" w14:textId="77777777" w:rsidR="00587444" w:rsidRPr="00587444" w:rsidRDefault="00587444" w:rsidP="00587444">
            <w:pPr>
              <w:tabs>
                <w:tab w:val="left" w:pos="-720"/>
              </w:tabs>
              <w:autoSpaceDN/>
              <w:spacing w:line="220" w:lineRule="exact"/>
              <w:rPr>
                <w:rFonts w:ascii="Arial" w:hAnsi="Arial" w:cs="Arial"/>
                <w:sz w:val="17"/>
                <w:szCs w:val="17"/>
              </w:rPr>
            </w:pPr>
          </w:p>
        </w:tc>
        <w:tc>
          <w:tcPr>
            <w:tcW w:w="555" w:type="pct"/>
            <w:vAlign w:val="bottom"/>
          </w:tcPr>
          <w:p w14:paraId="3BFF861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600" w:name="_Toc4058263"/>
            <w:r w:rsidRPr="00587444">
              <w:rPr>
                <w:rFonts w:ascii="Arial" w:hAnsi="Arial" w:cs="Arial"/>
                <w:b/>
                <w:sz w:val="17"/>
                <w:szCs w:val="17"/>
                <w:lang w:val="en-GB"/>
              </w:rPr>
              <w:t>HRK ‘000</w:t>
            </w:r>
            <w:bookmarkEnd w:id="600"/>
          </w:p>
        </w:tc>
        <w:tc>
          <w:tcPr>
            <w:tcW w:w="494" w:type="pct"/>
            <w:vAlign w:val="bottom"/>
          </w:tcPr>
          <w:p w14:paraId="54C747D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601" w:name="_Toc4058264"/>
            <w:r w:rsidRPr="00587444">
              <w:rPr>
                <w:rFonts w:ascii="Arial" w:hAnsi="Arial" w:cs="Arial"/>
                <w:b/>
                <w:sz w:val="17"/>
                <w:szCs w:val="17"/>
                <w:lang w:val="en-GB"/>
              </w:rPr>
              <w:t>HRK ‘000</w:t>
            </w:r>
            <w:bookmarkEnd w:id="601"/>
          </w:p>
        </w:tc>
        <w:tc>
          <w:tcPr>
            <w:tcW w:w="494" w:type="pct"/>
            <w:vAlign w:val="bottom"/>
          </w:tcPr>
          <w:p w14:paraId="7C1CD5A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602" w:name="_Toc4058265"/>
            <w:r w:rsidRPr="00587444">
              <w:rPr>
                <w:rFonts w:ascii="Arial" w:hAnsi="Arial" w:cs="Arial"/>
                <w:b/>
                <w:sz w:val="17"/>
                <w:szCs w:val="17"/>
                <w:lang w:val="en-GB"/>
              </w:rPr>
              <w:t>HRK ‘000</w:t>
            </w:r>
            <w:bookmarkEnd w:id="602"/>
          </w:p>
        </w:tc>
        <w:tc>
          <w:tcPr>
            <w:tcW w:w="494" w:type="pct"/>
            <w:vAlign w:val="bottom"/>
          </w:tcPr>
          <w:p w14:paraId="793C745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603" w:name="_Toc4058266"/>
            <w:r w:rsidRPr="00587444">
              <w:rPr>
                <w:rFonts w:ascii="Arial" w:hAnsi="Arial" w:cs="Arial"/>
                <w:b/>
                <w:sz w:val="17"/>
                <w:szCs w:val="17"/>
                <w:lang w:val="en-GB"/>
              </w:rPr>
              <w:t>HRK ‘000</w:t>
            </w:r>
            <w:bookmarkEnd w:id="603"/>
          </w:p>
        </w:tc>
        <w:tc>
          <w:tcPr>
            <w:tcW w:w="494" w:type="pct"/>
            <w:vAlign w:val="bottom"/>
          </w:tcPr>
          <w:p w14:paraId="1F488C1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604" w:name="_Toc4058267"/>
            <w:r w:rsidRPr="00587444">
              <w:rPr>
                <w:rFonts w:ascii="Arial" w:hAnsi="Arial" w:cs="Arial"/>
                <w:b/>
                <w:sz w:val="17"/>
                <w:szCs w:val="17"/>
                <w:lang w:val="en-GB"/>
              </w:rPr>
              <w:t>HRK ‘000</w:t>
            </w:r>
            <w:bookmarkEnd w:id="604"/>
          </w:p>
        </w:tc>
        <w:tc>
          <w:tcPr>
            <w:tcW w:w="494" w:type="pct"/>
            <w:vAlign w:val="bottom"/>
          </w:tcPr>
          <w:p w14:paraId="3D324D4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605" w:name="_Toc4058268"/>
            <w:r w:rsidRPr="00587444">
              <w:rPr>
                <w:rFonts w:ascii="Arial" w:hAnsi="Arial" w:cs="Arial"/>
                <w:b/>
                <w:sz w:val="17"/>
                <w:szCs w:val="17"/>
                <w:lang w:val="en-GB"/>
              </w:rPr>
              <w:t>HRK ‘000</w:t>
            </w:r>
            <w:bookmarkEnd w:id="605"/>
          </w:p>
        </w:tc>
        <w:tc>
          <w:tcPr>
            <w:tcW w:w="493" w:type="pct"/>
            <w:vAlign w:val="bottom"/>
          </w:tcPr>
          <w:p w14:paraId="4DCA91B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606" w:name="_Toc4058269"/>
            <w:r w:rsidRPr="00587444">
              <w:rPr>
                <w:rFonts w:ascii="Arial" w:hAnsi="Arial" w:cs="Arial"/>
                <w:b/>
                <w:sz w:val="17"/>
                <w:szCs w:val="17"/>
                <w:lang w:val="en-GB"/>
              </w:rPr>
              <w:t>HRK ‘000</w:t>
            </w:r>
            <w:bookmarkEnd w:id="606"/>
          </w:p>
        </w:tc>
        <w:tc>
          <w:tcPr>
            <w:tcW w:w="555" w:type="pct"/>
            <w:vAlign w:val="bottom"/>
          </w:tcPr>
          <w:p w14:paraId="6F45619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607" w:name="_Toc4058270"/>
            <w:r w:rsidRPr="00587444">
              <w:rPr>
                <w:rFonts w:ascii="Arial" w:hAnsi="Arial" w:cs="Arial"/>
                <w:b/>
                <w:sz w:val="17"/>
                <w:szCs w:val="17"/>
                <w:lang w:val="en-GB"/>
              </w:rPr>
              <w:t>HRK ‘000</w:t>
            </w:r>
            <w:bookmarkEnd w:id="607"/>
          </w:p>
        </w:tc>
      </w:tr>
      <w:tr w:rsidR="00587444" w:rsidRPr="00587444" w14:paraId="000B2040" w14:textId="77777777" w:rsidTr="00DD69E7">
        <w:trPr>
          <w:trHeight w:val="417"/>
        </w:trPr>
        <w:tc>
          <w:tcPr>
            <w:tcW w:w="928" w:type="pct"/>
            <w:vAlign w:val="bottom"/>
          </w:tcPr>
          <w:p w14:paraId="53AA0176"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lang w:val="en-GB"/>
              </w:rPr>
            </w:pPr>
            <w:bookmarkStart w:id="608" w:name="_Toc4058271"/>
            <w:r w:rsidRPr="00587444">
              <w:rPr>
                <w:rFonts w:ascii="Arial" w:hAnsi="Arial" w:cs="Arial"/>
                <w:sz w:val="17"/>
                <w:szCs w:val="17"/>
                <w:lang w:val="en-GB"/>
              </w:rPr>
              <w:t>Gross amount</w:t>
            </w:r>
            <w:bookmarkEnd w:id="608"/>
          </w:p>
        </w:tc>
        <w:tc>
          <w:tcPr>
            <w:tcW w:w="555" w:type="pct"/>
            <w:tcBorders>
              <w:top w:val="nil"/>
              <w:left w:val="nil"/>
              <w:bottom w:val="nil"/>
              <w:right w:val="nil"/>
            </w:tcBorders>
            <w:shd w:val="clear" w:color="auto" w:fill="auto"/>
            <w:vAlign w:val="bottom"/>
          </w:tcPr>
          <w:p w14:paraId="3C06F66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1,727,983</w:t>
            </w:r>
          </w:p>
        </w:tc>
        <w:tc>
          <w:tcPr>
            <w:tcW w:w="494" w:type="pct"/>
            <w:tcBorders>
              <w:top w:val="nil"/>
              <w:left w:val="nil"/>
              <w:bottom w:val="nil"/>
              <w:right w:val="nil"/>
            </w:tcBorders>
            <w:shd w:val="clear" w:color="auto" w:fill="auto"/>
            <w:vAlign w:val="bottom"/>
          </w:tcPr>
          <w:p w14:paraId="7228259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 </w:t>
            </w:r>
          </w:p>
        </w:tc>
        <w:tc>
          <w:tcPr>
            <w:tcW w:w="494" w:type="pct"/>
            <w:tcBorders>
              <w:top w:val="nil"/>
              <w:left w:val="nil"/>
              <w:bottom w:val="nil"/>
              <w:right w:val="nil"/>
            </w:tcBorders>
            <w:shd w:val="clear" w:color="auto" w:fill="auto"/>
            <w:vAlign w:val="bottom"/>
          </w:tcPr>
          <w:p w14:paraId="0936C69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 </w:t>
            </w:r>
          </w:p>
        </w:tc>
        <w:tc>
          <w:tcPr>
            <w:tcW w:w="494" w:type="pct"/>
            <w:tcBorders>
              <w:top w:val="nil"/>
              <w:left w:val="nil"/>
              <w:bottom w:val="nil"/>
              <w:right w:val="nil"/>
            </w:tcBorders>
            <w:shd w:val="clear" w:color="auto" w:fill="auto"/>
            <w:vAlign w:val="bottom"/>
          </w:tcPr>
          <w:p w14:paraId="156DFD5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sz w:val="17"/>
                <w:szCs w:val="17"/>
                <w:lang w:val="en-GB"/>
              </w:rPr>
              <w:t>1,727,983</w:t>
            </w:r>
          </w:p>
        </w:tc>
        <w:tc>
          <w:tcPr>
            <w:tcW w:w="494" w:type="pct"/>
            <w:tcBorders>
              <w:top w:val="nil"/>
              <w:left w:val="nil"/>
              <w:bottom w:val="nil"/>
              <w:right w:val="nil"/>
            </w:tcBorders>
            <w:shd w:val="clear" w:color="auto" w:fill="auto"/>
            <w:vAlign w:val="bottom"/>
          </w:tcPr>
          <w:p w14:paraId="379D45C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1,722,578</w:t>
            </w:r>
          </w:p>
        </w:tc>
        <w:tc>
          <w:tcPr>
            <w:tcW w:w="494" w:type="pct"/>
            <w:tcBorders>
              <w:top w:val="nil"/>
              <w:left w:val="nil"/>
              <w:bottom w:val="nil"/>
              <w:right w:val="nil"/>
            </w:tcBorders>
            <w:shd w:val="clear" w:color="auto" w:fill="auto"/>
            <w:vAlign w:val="bottom"/>
          </w:tcPr>
          <w:p w14:paraId="2789D1B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 </w:t>
            </w:r>
          </w:p>
        </w:tc>
        <w:tc>
          <w:tcPr>
            <w:tcW w:w="493" w:type="pct"/>
            <w:tcBorders>
              <w:top w:val="nil"/>
              <w:left w:val="nil"/>
              <w:bottom w:val="nil"/>
              <w:right w:val="nil"/>
            </w:tcBorders>
            <w:shd w:val="clear" w:color="auto" w:fill="auto"/>
            <w:vAlign w:val="bottom"/>
          </w:tcPr>
          <w:p w14:paraId="6D3EE95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 </w:t>
            </w:r>
          </w:p>
        </w:tc>
        <w:tc>
          <w:tcPr>
            <w:tcW w:w="555" w:type="pct"/>
            <w:tcBorders>
              <w:top w:val="nil"/>
              <w:left w:val="nil"/>
              <w:bottom w:val="nil"/>
              <w:right w:val="nil"/>
            </w:tcBorders>
            <w:shd w:val="clear" w:color="auto" w:fill="auto"/>
            <w:vAlign w:val="bottom"/>
          </w:tcPr>
          <w:p w14:paraId="218B821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sz w:val="17"/>
                <w:szCs w:val="17"/>
                <w:lang w:val="en-GB"/>
              </w:rPr>
              <w:t>1,722,578</w:t>
            </w:r>
          </w:p>
        </w:tc>
      </w:tr>
      <w:tr w:rsidR="00587444" w:rsidRPr="00587444" w14:paraId="43F3D2E2" w14:textId="77777777" w:rsidTr="00DD69E7">
        <w:trPr>
          <w:trHeight w:val="417"/>
        </w:trPr>
        <w:tc>
          <w:tcPr>
            <w:tcW w:w="928" w:type="pct"/>
            <w:vAlign w:val="bottom"/>
          </w:tcPr>
          <w:p w14:paraId="45E0F3F1"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lang w:val="en-GB"/>
              </w:rPr>
            </w:pPr>
            <w:bookmarkStart w:id="609" w:name="_Toc4058280"/>
            <w:r w:rsidRPr="00587444">
              <w:rPr>
                <w:rFonts w:ascii="Arial" w:hAnsi="Arial" w:cs="Arial"/>
                <w:sz w:val="17"/>
                <w:szCs w:val="17"/>
                <w:lang w:val="en-GB"/>
              </w:rPr>
              <w:t>Loss allowances</w:t>
            </w:r>
            <w:bookmarkEnd w:id="609"/>
          </w:p>
        </w:tc>
        <w:tc>
          <w:tcPr>
            <w:tcW w:w="555" w:type="pct"/>
            <w:tcBorders>
              <w:top w:val="nil"/>
              <w:left w:val="nil"/>
              <w:bottom w:val="nil"/>
              <w:right w:val="nil"/>
            </w:tcBorders>
            <w:shd w:val="clear" w:color="auto" w:fill="auto"/>
            <w:vAlign w:val="bottom"/>
          </w:tcPr>
          <w:p w14:paraId="61FB435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(6,064)</w:t>
            </w:r>
          </w:p>
        </w:tc>
        <w:tc>
          <w:tcPr>
            <w:tcW w:w="494" w:type="pct"/>
            <w:tcBorders>
              <w:top w:val="nil"/>
              <w:left w:val="nil"/>
              <w:bottom w:val="nil"/>
              <w:right w:val="nil"/>
            </w:tcBorders>
            <w:shd w:val="clear" w:color="auto" w:fill="auto"/>
            <w:vAlign w:val="bottom"/>
          </w:tcPr>
          <w:p w14:paraId="7F53191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 </w:t>
            </w:r>
          </w:p>
        </w:tc>
        <w:tc>
          <w:tcPr>
            <w:tcW w:w="494" w:type="pct"/>
            <w:tcBorders>
              <w:top w:val="nil"/>
              <w:left w:val="nil"/>
              <w:bottom w:val="nil"/>
              <w:right w:val="nil"/>
            </w:tcBorders>
            <w:shd w:val="clear" w:color="auto" w:fill="auto"/>
            <w:vAlign w:val="bottom"/>
          </w:tcPr>
          <w:p w14:paraId="31F6D2A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 </w:t>
            </w:r>
          </w:p>
        </w:tc>
        <w:tc>
          <w:tcPr>
            <w:tcW w:w="494" w:type="pct"/>
            <w:tcBorders>
              <w:top w:val="nil"/>
              <w:left w:val="nil"/>
              <w:bottom w:val="nil"/>
              <w:right w:val="nil"/>
            </w:tcBorders>
            <w:shd w:val="clear" w:color="auto" w:fill="auto"/>
            <w:vAlign w:val="bottom"/>
          </w:tcPr>
          <w:p w14:paraId="64FB891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sz w:val="17"/>
                <w:szCs w:val="17"/>
                <w:lang w:val="en-GB"/>
              </w:rPr>
              <w:t>(6,064)</w:t>
            </w:r>
          </w:p>
        </w:tc>
        <w:tc>
          <w:tcPr>
            <w:tcW w:w="494" w:type="pct"/>
            <w:tcBorders>
              <w:top w:val="nil"/>
              <w:left w:val="nil"/>
              <w:bottom w:val="nil"/>
              <w:right w:val="nil"/>
            </w:tcBorders>
            <w:shd w:val="clear" w:color="auto" w:fill="auto"/>
            <w:vAlign w:val="bottom"/>
          </w:tcPr>
          <w:p w14:paraId="20C7E57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(6,059)</w:t>
            </w:r>
          </w:p>
        </w:tc>
        <w:tc>
          <w:tcPr>
            <w:tcW w:w="494" w:type="pct"/>
            <w:tcBorders>
              <w:top w:val="nil"/>
              <w:left w:val="nil"/>
              <w:bottom w:val="nil"/>
              <w:right w:val="nil"/>
            </w:tcBorders>
            <w:shd w:val="clear" w:color="auto" w:fill="auto"/>
            <w:vAlign w:val="bottom"/>
          </w:tcPr>
          <w:p w14:paraId="2FBAEE7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 </w:t>
            </w:r>
          </w:p>
        </w:tc>
        <w:tc>
          <w:tcPr>
            <w:tcW w:w="493" w:type="pct"/>
            <w:tcBorders>
              <w:top w:val="nil"/>
              <w:left w:val="nil"/>
              <w:bottom w:val="nil"/>
              <w:right w:val="nil"/>
            </w:tcBorders>
            <w:shd w:val="clear" w:color="auto" w:fill="auto"/>
            <w:vAlign w:val="bottom"/>
          </w:tcPr>
          <w:p w14:paraId="315ACB6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 </w:t>
            </w:r>
          </w:p>
        </w:tc>
        <w:tc>
          <w:tcPr>
            <w:tcW w:w="555" w:type="pct"/>
            <w:tcBorders>
              <w:top w:val="nil"/>
              <w:left w:val="nil"/>
              <w:bottom w:val="nil"/>
              <w:right w:val="nil"/>
            </w:tcBorders>
            <w:shd w:val="clear" w:color="auto" w:fill="auto"/>
            <w:vAlign w:val="bottom"/>
          </w:tcPr>
          <w:p w14:paraId="0339300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sz w:val="17"/>
                <w:szCs w:val="17"/>
                <w:lang w:val="en-GB"/>
              </w:rPr>
              <w:t>(6,059)</w:t>
            </w:r>
          </w:p>
        </w:tc>
      </w:tr>
      <w:tr w:rsidR="00587444" w:rsidRPr="00587444" w14:paraId="1F2245EB" w14:textId="77777777" w:rsidTr="00DD69E7">
        <w:trPr>
          <w:trHeight w:val="598"/>
        </w:trPr>
        <w:tc>
          <w:tcPr>
            <w:tcW w:w="928" w:type="pct"/>
            <w:vAlign w:val="bottom"/>
          </w:tcPr>
          <w:p w14:paraId="67227D8B" w14:textId="77777777" w:rsidR="00890EEB" w:rsidRDefault="00587444" w:rsidP="00587444">
            <w:pPr>
              <w:tabs>
                <w:tab w:val="right" w:pos="1202"/>
              </w:tabs>
              <w:suppressAutoHyphens w:val="0"/>
              <w:autoSpaceDN/>
              <w:spacing w:line="240" w:lineRule="exact"/>
              <w:outlineLvl w:val="0"/>
              <w:rPr>
                <w:rFonts w:ascii="Arial" w:hAnsi="Arial" w:cs="Arial"/>
                <w:b/>
                <w:iCs/>
                <w:sz w:val="17"/>
                <w:szCs w:val="17"/>
                <w:lang w:val="en-GB"/>
              </w:rPr>
            </w:pPr>
            <w:bookmarkStart w:id="610" w:name="_Toc4058289"/>
            <w:r w:rsidRPr="00587444">
              <w:rPr>
                <w:rFonts w:ascii="Arial" w:hAnsi="Arial" w:cs="Arial"/>
                <w:b/>
                <w:iCs/>
                <w:sz w:val="17"/>
                <w:szCs w:val="17"/>
                <w:lang w:val="en-GB"/>
              </w:rPr>
              <w:t xml:space="preserve">Balance as of </w:t>
            </w:r>
          </w:p>
          <w:p w14:paraId="7BEE023D" w14:textId="0A6BDDA3" w:rsidR="00587444" w:rsidRPr="00587444" w:rsidRDefault="00587444" w:rsidP="00587444">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31 December 202</w:t>
            </w:r>
            <w:bookmarkEnd w:id="610"/>
            <w:r w:rsidRPr="00587444">
              <w:rPr>
                <w:rFonts w:ascii="Arial" w:hAnsi="Arial" w:cs="Arial"/>
                <w:b/>
                <w:iCs/>
                <w:sz w:val="17"/>
                <w:szCs w:val="17"/>
                <w:lang w:val="en-GB"/>
              </w:rPr>
              <w:t>2</w:t>
            </w:r>
          </w:p>
        </w:tc>
        <w:tc>
          <w:tcPr>
            <w:tcW w:w="555" w:type="pct"/>
            <w:tcBorders>
              <w:top w:val="single" w:sz="4" w:space="0" w:color="auto"/>
              <w:left w:val="nil"/>
              <w:bottom w:val="single" w:sz="12" w:space="0" w:color="auto"/>
              <w:right w:val="nil"/>
            </w:tcBorders>
            <w:shd w:val="clear" w:color="auto" w:fill="auto"/>
            <w:vAlign w:val="bottom"/>
          </w:tcPr>
          <w:p w14:paraId="74D8E2B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sz w:val="17"/>
                <w:szCs w:val="17"/>
                <w:lang w:val="en-GB"/>
              </w:rPr>
              <w:t xml:space="preserve">1,721,919 </w:t>
            </w:r>
          </w:p>
        </w:tc>
        <w:tc>
          <w:tcPr>
            <w:tcW w:w="494" w:type="pct"/>
            <w:tcBorders>
              <w:top w:val="single" w:sz="4" w:space="0" w:color="auto"/>
              <w:left w:val="nil"/>
              <w:bottom w:val="single" w:sz="12" w:space="0" w:color="auto"/>
              <w:right w:val="nil"/>
            </w:tcBorders>
            <w:shd w:val="clear" w:color="auto" w:fill="auto"/>
            <w:vAlign w:val="bottom"/>
          </w:tcPr>
          <w:p w14:paraId="3F7E200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sz w:val="17"/>
                <w:szCs w:val="17"/>
                <w:lang w:val="en-GB"/>
              </w:rPr>
              <w:t xml:space="preserve"> - </w:t>
            </w:r>
          </w:p>
        </w:tc>
        <w:tc>
          <w:tcPr>
            <w:tcW w:w="494" w:type="pct"/>
            <w:tcBorders>
              <w:top w:val="single" w:sz="4" w:space="0" w:color="auto"/>
              <w:left w:val="nil"/>
              <w:bottom w:val="single" w:sz="12" w:space="0" w:color="auto"/>
              <w:right w:val="nil"/>
            </w:tcBorders>
            <w:shd w:val="clear" w:color="auto" w:fill="auto"/>
            <w:vAlign w:val="bottom"/>
          </w:tcPr>
          <w:p w14:paraId="649FAA7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sz w:val="17"/>
                <w:szCs w:val="17"/>
                <w:lang w:val="en-GB"/>
              </w:rPr>
              <w:t xml:space="preserve"> - </w:t>
            </w:r>
          </w:p>
        </w:tc>
        <w:tc>
          <w:tcPr>
            <w:tcW w:w="494" w:type="pct"/>
            <w:tcBorders>
              <w:top w:val="single" w:sz="4" w:space="0" w:color="auto"/>
              <w:left w:val="nil"/>
              <w:bottom w:val="single" w:sz="12" w:space="0" w:color="auto"/>
              <w:right w:val="nil"/>
            </w:tcBorders>
            <w:shd w:val="clear" w:color="auto" w:fill="auto"/>
            <w:vAlign w:val="bottom"/>
          </w:tcPr>
          <w:p w14:paraId="5C5CB0F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sz w:val="17"/>
                <w:szCs w:val="17"/>
                <w:lang w:val="en-GB"/>
              </w:rPr>
              <w:t xml:space="preserve">1,721,919 </w:t>
            </w:r>
          </w:p>
        </w:tc>
        <w:tc>
          <w:tcPr>
            <w:tcW w:w="494" w:type="pct"/>
            <w:tcBorders>
              <w:top w:val="single" w:sz="4" w:space="0" w:color="auto"/>
              <w:left w:val="nil"/>
              <w:bottom w:val="single" w:sz="12" w:space="0" w:color="auto"/>
              <w:right w:val="nil"/>
            </w:tcBorders>
            <w:shd w:val="clear" w:color="auto" w:fill="auto"/>
            <w:vAlign w:val="bottom"/>
          </w:tcPr>
          <w:p w14:paraId="6AFCC91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sz w:val="17"/>
                <w:szCs w:val="17"/>
                <w:lang w:val="en-GB"/>
              </w:rPr>
              <w:t xml:space="preserve">1,716,519 </w:t>
            </w:r>
          </w:p>
        </w:tc>
        <w:tc>
          <w:tcPr>
            <w:tcW w:w="494" w:type="pct"/>
            <w:tcBorders>
              <w:top w:val="single" w:sz="4" w:space="0" w:color="auto"/>
              <w:left w:val="nil"/>
              <w:bottom w:val="single" w:sz="12" w:space="0" w:color="auto"/>
              <w:right w:val="nil"/>
            </w:tcBorders>
            <w:shd w:val="clear" w:color="auto" w:fill="auto"/>
            <w:vAlign w:val="bottom"/>
          </w:tcPr>
          <w:p w14:paraId="7EBC6D3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sz w:val="17"/>
                <w:szCs w:val="17"/>
                <w:lang w:val="en-GB"/>
              </w:rPr>
              <w:t xml:space="preserve"> - </w:t>
            </w:r>
          </w:p>
        </w:tc>
        <w:tc>
          <w:tcPr>
            <w:tcW w:w="493" w:type="pct"/>
            <w:tcBorders>
              <w:top w:val="single" w:sz="4" w:space="0" w:color="auto"/>
              <w:left w:val="nil"/>
              <w:bottom w:val="single" w:sz="12" w:space="0" w:color="auto"/>
              <w:right w:val="nil"/>
            </w:tcBorders>
            <w:shd w:val="clear" w:color="auto" w:fill="auto"/>
            <w:vAlign w:val="bottom"/>
          </w:tcPr>
          <w:p w14:paraId="1DB7F2B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sz w:val="17"/>
                <w:szCs w:val="17"/>
                <w:lang w:val="en-GB"/>
              </w:rPr>
              <w:t xml:space="preserve"> - </w:t>
            </w:r>
          </w:p>
        </w:tc>
        <w:tc>
          <w:tcPr>
            <w:tcW w:w="555" w:type="pct"/>
            <w:tcBorders>
              <w:top w:val="single" w:sz="4" w:space="0" w:color="auto"/>
              <w:left w:val="nil"/>
              <w:bottom w:val="single" w:sz="12" w:space="0" w:color="auto"/>
              <w:right w:val="nil"/>
            </w:tcBorders>
            <w:shd w:val="clear" w:color="auto" w:fill="auto"/>
            <w:vAlign w:val="bottom"/>
          </w:tcPr>
          <w:p w14:paraId="34E70E7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sz w:val="17"/>
                <w:szCs w:val="17"/>
                <w:lang w:val="en-GB"/>
              </w:rPr>
              <w:t xml:space="preserve">1,716,519 </w:t>
            </w:r>
          </w:p>
        </w:tc>
      </w:tr>
    </w:tbl>
    <w:p w14:paraId="00E110AE" w14:textId="77777777" w:rsidR="00587444" w:rsidRPr="00587444" w:rsidRDefault="00587444" w:rsidP="00587444">
      <w:pPr>
        <w:keepNext/>
        <w:suppressAutoHyphens w:val="0"/>
        <w:autoSpaceDN/>
        <w:jc w:val="both"/>
        <w:rPr>
          <w:rFonts w:ascii="Arial" w:hAnsi="Arial" w:cs="Arial"/>
          <w:sz w:val="20"/>
          <w:szCs w:val="20"/>
          <w:lang w:val="en-GB"/>
        </w:rPr>
      </w:pPr>
    </w:p>
    <w:p w14:paraId="5549A18D" w14:textId="77777777" w:rsidR="00587444" w:rsidRPr="00587444" w:rsidRDefault="00587444" w:rsidP="00587444">
      <w:pPr>
        <w:keepNext/>
        <w:suppressAutoHyphens w:val="0"/>
        <w:autoSpaceDN/>
        <w:jc w:val="both"/>
        <w:rPr>
          <w:rFonts w:ascii="Arial" w:hAnsi="Arial" w:cs="Arial"/>
          <w:sz w:val="20"/>
          <w:szCs w:val="20"/>
          <w:lang w:val="en-GB"/>
        </w:rPr>
      </w:pPr>
    </w:p>
    <w:p w14:paraId="04C77CDD" w14:textId="77777777" w:rsidR="00587444" w:rsidRPr="00587444" w:rsidRDefault="00587444" w:rsidP="00587444">
      <w:pPr>
        <w:keepNext/>
        <w:suppressAutoHyphens w:val="0"/>
        <w:autoSpaceDN/>
        <w:jc w:val="both"/>
        <w:rPr>
          <w:rFonts w:ascii="Arial" w:hAnsi="Arial" w:cs="Arial"/>
          <w:sz w:val="20"/>
          <w:szCs w:val="20"/>
          <w:lang w:val="en-GB"/>
        </w:rPr>
      </w:pPr>
    </w:p>
    <w:tbl>
      <w:tblPr>
        <w:tblW w:w="5379" w:type="pct"/>
        <w:tblInd w:w="-142" w:type="dxa"/>
        <w:tblLayout w:type="fixed"/>
        <w:tblLook w:val="0000" w:firstRow="0" w:lastRow="0" w:firstColumn="0" w:lastColumn="0" w:noHBand="0" w:noVBand="0"/>
      </w:tblPr>
      <w:tblGrid>
        <w:gridCol w:w="1910"/>
        <w:gridCol w:w="1143"/>
        <w:gridCol w:w="1017"/>
        <w:gridCol w:w="1017"/>
        <w:gridCol w:w="1017"/>
        <w:gridCol w:w="1017"/>
        <w:gridCol w:w="1017"/>
        <w:gridCol w:w="1015"/>
        <w:gridCol w:w="1143"/>
      </w:tblGrid>
      <w:tr w:rsidR="00587444" w:rsidRPr="00587444" w14:paraId="3ADE5FBF" w14:textId="77777777" w:rsidTr="00DD69E7">
        <w:trPr>
          <w:trHeight w:val="239"/>
        </w:trPr>
        <w:tc>
          <w:tcPr>
            <w:tcW w:w="927" w:type="pct"/>
            <w:vAlign w:val="bottom"/>
          </w:tcPr>
          <w:p w14:paraId="740DD2AB" w14:textId="77777777" w:rsidR="00587444" w:rsidRPr="00587444" w:rsidRDefault="00587444" w:rsidP="00587444">
            <w:pPr>
              <w:tabs>
                <w:tab w:val="left" w:pos="-720"/>
              </w:tabs>
              <w:autoSpaceDN/>
              <w:spacing w:line="220" w:lineRule="exact"/>
              <w:rPr>
                <w:rFonts w:ascii="Arial" w:hAnsi="Arial" w:cs="Arial"/>
                <w:b/>
                <w:sz w:val="17"/>
                <w:szCs w:val="17"/>
                <w:lang w:val="en-GB"/>
              </w:rPr>
            </w:pPr>
            <w:r w:rsidRPr="00587444">
              <w:rPr>
                <w:rFonts w:ascii="Arial" w:hAnsi="Arial" w:cs="Arial"/>
                <w:b/>
                <w:sz w:val="17"/>
                <w:szCs w:val="17"/>
                <w:lang w:val="en-GB"/>
              </w:rPr>
              <w:t>31 December 2021</w:t>
            </w:r>
          </w:p>
        </w:tc>
        <w:tc>
          <w:tcPr>
            <w:tcW w:w="555" w:type="pct"/>
            <w:vAlign w:val="bottom"/>
          </w:tcPr>
          <w:p w14:paraId="5157E6A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34386A5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73534A2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494" w:type="pct"/>
            <w:vAlign w:val="bottom"/>
          </w:tcPr>
          <w:p w14:paraId="5D50211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r w:rsidRPr="00587444">
              <w:rPr>
                <w:rFonts w:ascii="Arial" w:hAnsi="Arial" w:cs="Arial"/>
                <w:b/>
                <w:sz w:val="17"/>
                <w:szCs w:val="17"/>
                <w:lang w:val="en-GB"/>
              </w:rPr>
              <w:t>Group</w:t>
            </w:r>
          </w:p>
        </w:tc>
        <w:tc>
          <w:tcPr>
            <w:tcW w:w="494" w:type="pct"/>
            <w:vAlign w:val="bottom"/>
          </w:tcPr>
          <w:p w14:paraId="661168D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44F0980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3" w:type="pct"/>
            <w:shd w:val="clear" w:color="auto" w:fill="auto"/>
            <w:vAlign w:val="bottom"/>
          </w:tcPr>
          <w:p w14:paraId="5D05827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56" w:type="pct"/>
            <w:vAlign w:val="bottom"/>
          </w:tcPr>
          <w:p w14:paraId="376BBA7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Bank</w:t>
            </w:r>
          </w:p>
        </w:tc>
      </w:tr>
      <w:tr w:rsidR="00587444" w:rsidRPr="00587444" w14:paraId="64FFE6D4" w14:textId="77777777" w:rsidTr="00DD69E7">
        <w:trPr>
          <w:trHeight w:val="311"/>
        </w:trPr>
        <w:tc>
          <w:tcPr>
            <w:tcW w:w="927" w:type="pct"/>
            <w:vAlign w:val="bottom"/>
          </w:tcPr>
          <w:p w14:paraId="000BF26A" w14:textId="77777777" w:rsidR="00587444" w:rsidRPr="00587444" w:rsidRDefault="00587444" w:rsidP="00587444">
            <w:pPr>
              <w:tabs>
                <w:tab w:val="left" w:pos="-720"/>
              </w:tabs>
              <w:autoSpaceDN/>
              <w:spacing w:line="220" w:lineRule="exact"/>
              <w:rPr>
                <w:rFonts w:ascii="Arial" w:hAnsi="Arial" w:cs="Arial"/>
                <w:sz w:val="17"/>
                <w:szCs w:val="17"/>
                <w:lang w:val="en-GB"/>
              </w:rPr>
            </w:pPr>
          </w:p>
        </w:tc>
        <w:tc>
          <w:tcPr>
            <w:tcW w:w="555" w:type="pct"/>
            <w:vAlign w:val="bottom"/>
          </w:tcPr>
          <w:p w14:paraId="655F7FA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1BB238B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4" w:type="pct"/>
            <w:vAlign w:val="bottom"/>
          </w:tcPr>
          <w:p w14:paraId="1F377BC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494" w:type="pct"/>
            <w:vAlign w:val="bottom"/>
          </w:tcPr>
          <w:p w14:paraId="2E95832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c>
          <w:tcPr>
            <w:tcW w:w="494" w:type="pct"/>
            <w:vAlign w:val="bottom"/>
          </w:tcPr>
          <w:p w14:paraId="38D61A0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08B27A9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3" w:type="pct"/>
            <w:vAlign w:val="bottom"/>
          </w:tcPr>
          <w:p w14:paraId="4215646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556" w:type="pct"/>
            <w:vAlign w:val="bottom"/>
          </w:tcPr>
          <w:p w14:paraId="49B94E5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587444" w:rsidRPr="00587444" w14:paraId="72D5191D" w14:textId="77777777" w:rsidTr="00DD69E7">
        <w:trPr>
          <w:trHeight w:val="311"/>
        </w:trPr>
        <w:tc>
          <w:tcPr>
            <w:tcW w:w="927" w:type="pct"/>
            <w:vAlign w:val="bottom"/>
          </w:tcPr>
          <w:p w14:paraId="484730D3" w14:textId="77777777" w:rsidR="00587444" w:rsidRPr="00587444" w:rsidRDefault="00587444" w:rsidP="00587444">
            <w:pPr>
              <w:tabs>
                <w:tab w:val="left" w:pos="-720"/>
              </w:tabs>
              <w:autoSpaceDN/>
              <w:spacing w:line="220" w:lineRule="exact"/>
              <w:rPr>
                <w:rFonts w:ascii="Arial" w:hAnsi="Arial" w:cs="Arial"/>
                <w:sz w:val="17"/>
                <w:szCs w:val="17"/>
              </w:rPr>
            </w:pPr>
          </w:p>
        </w:tc>
        <w:tc>
          <w:tcPr>
            <w:tcW w:w="555" w:type="pct"/>
            <w:vAlign w:val="bottom"/>
          </w:tcPr>
          <w:p w14:paraId="6E28F86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494" w:type="pct"/>
            <w:vAlign w:val="bottom"/>
          </w:tcPr>
          <w:p w14:paraId="34CD600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494" w:type="pct"/>
            <w:vAlign w:val="bottom"/>
          </w:tcPr>
          <w:p w14:paraId="45E9CEC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494" w:type="pct"/>
            <w:vAlign w:val="bottom"/>
          </w:tcPr>
          <w:p w14:paraId="35AE60C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494" w:type="pct"/>
            <w:vAlign w:val="bottom"/>
          </w:tcPr>
          <w:p w14:paraId="7DC3FD9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494" w:type="pct"/>
            <w:vAlign w:val="bottom"/>
          </w:tcPr>
          <w:p w14:paraId="62E3C23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493" w:type="pct"/>
            <w:vAlign w:val="bottom"/>
          </w:tcPr>
          <w:p w14:paraId="569EEC0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556" w:type="pct"/>
            <w:vAlign w:val="bottom"/>
          </w:tcPr>
          <w:p w14:paraId="29D1DB4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r>
      <w:tr w:rsidR="00587444" w:rsidRPr="00587444" w14:paraId="07C62736" w14:textId="77777777" w:rsidTr="00DD69E7">
        <w:trPr>
          <w:trHeight w:val="417"/>
        </w:trPr>
        <w:tc>
          <w:tcPr>
            <w:tcW w:w="927" w:type="pct"/>
            <w:vAlign w:val="bottom"/>
          </w:tcPr>
          <w:p w14:paraId="743158D4"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Gross amount</w:t>
            </w:r>
          </w:p>
        </w:tc>
        <w:tc>
          <w:tcPr>
            <w:tcW w:w="555" w:type="pct"/>
            <w:tcBorders>
              <w:top w:val="nil"/>
              <w:left w:val="nil"/>
              <w:bottom w:val="nil"/>
              <w:right w:val="nil"/>
            </w:tcBorders>
            <w:shd w:val="clear" w:color="auto" w:fill="auto"/>
            <w:vAlign w:val="bottom"/>
          </w:tcPr>
          <w:p w14:paraId="2429C16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 1,963,794 </w:t>
            </w:r>
          </w:p>
        </w:tc>
        <w:tc>
          <w:tcPr>
            <w:tcW w:w="494" w:type="pct"/>
            <w:tcBorders>
              <w:top w:val="nil"/>
              <w:left w:val="nil"/>
              <w:bottom w:val="nil"/>
              <w:right w:val="nil"/>
            </w:tcBorders>
            <w:shd w:val="clear" w:color="auto" w:fill="auto"/>
            <w:vAlign w:val="bottom"/>
          </w:tcPr>
          <w:p w14:paraId="70EDD7D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 - </w:t>
            </w:r>
          </w:p>
        </w:tc>
        <w:tc>
          <w:tcPr>
            <w:tcW w:w="494" w:type="pct"/>
            <w:tcBorders>
              <w:top w:val="nil"/>
              <w:left w:val="nil"/>
              <w:bottom w:val="nil"/>
              <w:right w:val="nil"/>
            </w:tcBorders>
            <w:shd w:val="clear" w:color="auto" w:fill="auto"/>
            <w:vAlign w:val="bottom"/>
          </w:tcPr>
          <w:p w14:paraId="6F7E7F9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 - </w:t>
            </w:r>
          </w:p>
        </w:tc>
        <w:tc>
          <w:tcPr>
            <w:tcW w:w="494" w:type="pct"/>
            <w:tcBorders>
              <w:top w:val="nil"/>
              <w:left w:val="nil"/>
              <w:bottom w:val="nil"/>
              <w:right w:val="nil"/>
            </w:tcBorders>
            <w:shd w:val="clear" w:color="auto" w:fill="auto"/>
            <w:vAlign w:val="bottom"/>
          </w:tcPr>
          <w:p w14:paraId="62F1A31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sz w:val="17"/>
                <w:szCs w:val="17"/>
                <w:lang w:val="en-GB"/>
              </w:rPr>
              <w:t xml:space="preserve"> 1,963,794 </w:t>
            </w:r>
          </w:p>
        </w:tc>
        <w:tc>
          <w:tcPr>
            <w:tcW w:w="494" w:type="pct"/>
            <w:tcBorders>
              <w:top w:val="nil"/>
              <w:left w:val="nil"/>
              <w:bottom w:val="nil"/>
              <w:right w:val="nil"/>
            </w:tcBorders>
            <w:shd w:val="clear" w:color="auto" w:fill="auto"/>
            <w:vAlign w:val="bottom"/>
          </w:tcPr>
          <w:p w14:paraId="6B0A7E1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 1,960,423 </w:t>
            </w:r>
          </w:p>
        </w:tc>
        <w:tc>
          <w:tcPr>
            <w:tcW w:w="494" w:type="pct"/>
            <w:tcBorders>
              <w:top w:val="nil"/>
              <w:left w:val="nil"/>
              <w:bottom w:val="nil"/>
              <w:right w:val="nil"/>
            </w:tcBorders>
            <w:shd w:val="clear" w:color="auto" w:fill="auto"/>
            <w:vAlign w:val="bottom"/>
          </w:tcPr>
          <w:p w14:paraId="0C946FA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 - </w:t>
            </w:r>
          </w:p>
        </w:tc>
        <w:tc>
          <w:tcPr>
            <w:tcW w:w="493" w:type="pct"/>
            <w:tcBorders>
              <w:top w:val="nil"/>
              <w:left w:val="nil"/>
              <w:bottom w:val="nil"/>
              <w:right w:val="nil"/>
            </w:tcBorders>
            <w:shd w:val="clear" w:color="auto" w:fill="auto"/>
            <w:vAlign w:val="bottom"/>
          </w:tcPr>
          <w:p w14:paraId="358B58B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 - </w:t>
            </w:r>
          </w:p>
        </w:tc>
        <w:tc>
          <w:tcPr>
            <w:tcW w:w="556" w:type="pct"/>
            <w:tcBorders>
              <w:top w:val="nil"/>
              <w:left w:val="nil"/>
              <w:bottom w:val="nil"/>
              <w:right w:val="nil"/>
            </w:tcBorders>
            <w:shd w:val="clear" w:color="auto" w:fill="auto"/>
            <w:vAlign w:val="bottom"/>
          </w:tcPr>
          <w:p w14:paraId="3DD74D8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sz w:val="17"/>
                <w:szCs w:val="17"/>
                <w:lang w:val="hr-HR"/>
              </w:rPr>
            </w:pPr>
            <w:r w:rsidRPr="00587444">
              <w:rPr>
                <w:rFonts w:ascii="Arial" w:hAnsi="Arial" w:cs="Arial"/>
                <w:b/>
                <w:bCs/>
                <w:sz w:val="17"/>
                <w:szCs w:val="17"/>
                <w:lang w:val="en-GB"/>
              </w:rPr>
              <w:t xml:space="preserve"> 1,960,423 </w:t>
            </w:r>
          </w:p>
        </w:tc>
      </w:tr>
      <w:tr w:rsidR="00587444" w:rsidRPr="00587444" w14:paraId="1A08069C" w14:textId="77777777" w:rsidTr="00DD69E7">
        <w:trPr>
          <w:trHeight w:val="417"/>
        </w:trPr>
        <w:tc>
          <w:tcPr>
            <w:tcW w:w="927" w:type="pct"/>
            <w:vAlign w:val="bottom"/>
          </w:tcPr>
          <w:p w14:paraId="57DAFD0F"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Loss allowances</w:t>
            </w:r>
          </w:p>
        </w:tc>
        <w:tc>
          <w:tcPr>
            <w:tcW w:w="555" w:type="pct"/>
            <w:tcBorders>
              <w:top w:val="nil"/>
              <w:left w:val="nil"/>
              <w:bottom w:val="nil"/>
              <w:right w:val="nil"/>
            </w:tcBorders>
            <w:shd w:val="clear" w:color="auto" w:fill="auto"/>
            <w:vAlign w:val="bottom"/>
          </w:tcPr>
          <w:p w14:paraId="072B1C5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 (1,809)</w:t>
            </w:r>
          </w:p>
        </w:tc>
        <w:tc>
          <w:tcPr>
            <w:tcW w:w="494" w:type="pct"/>
            <w:tcBorders>
              <w:top w:val="nil"/>
              <w:left w:val="nil"/>
              <w:bottom w:val="nil"/>
              <w:right w:val="nil"/>
            </w:tcBorders>
            <w:shd w:val="clear" w:color="auto" w:fill="auto"/>
            <w:vAlign w:val="bottom"/>
          </w:tcPr>
          <w:p w14:paraId="1BEBF58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 - </w:t>
            </w:r>
          </w:p>
        </w:tc>
        <w:tc>
          <w:tcPr>
            <w:tcW w:w="494" w:type="pct"/>
            <w:tcBorders>
              <w:top w:val="nil"/>
              <w:left w:val="nil"/>
              <w:bottom w:val="nil"/>
              <w:right w:val="nil"/>
            </w:tcBorders>
            <w:shd w:val="clear" w:color="auto" w:fill="auto"/>
            <w:vAlign w:val="bottom"/>
          </w:tcPr>
          <w:p w14:paraId="4637ECE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 - </w:t>
            </w:r>
          </w:p>
        </w:tc>
        <w:tc>
          <w:tcPr>
            <w:tcW w:w="494" w:type="pct"/>
            <w:tcBorders>
              <w:top w:val="nil"/>
              <w:left w:val="nil"/>
              <w:bottom w:val="nil"/>
              <w:right w:val="nil"/>
            </w:tcBorders>
            <w:shd w:val="clear" w:color="auto" w:fill="auto"/>
            <w:vAlign w:val="bottom"/>
          </w:tcPr>
          <w:p w14:paraId="6A891D9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sz w:val="17"/>
                <w:szCs w:val="17"/>
                <w:lang w:val="en-GB"/>
              </w:rPr>
              <w:t xml:space="preserve"> (1,809)</w:t>
            </w:r>
          </w:p>
        </w:tc>
        <w:tc>
          <w:tcPr>
            <w:tcW w:w="494" w:type="pct"/>
            <w:tcBorders>
              <w:top w:val="nil"/>
              <w:left w:val="nil"/>
              <w:bottom w:val="nil"/>
              <w:right w:val="nil"/>
            </w:tcBorders>
            <w:shd w:val="clear" w:color="auto" w:fill="auto"/>
            <w:vAlign w:val="bottom"/>
          </w:tcPr>
          <w:p w14:paraId="2941B78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 (1,804)</w:t>
            </w:r>
          </w:p>
        </w:tc>
        <w:tc>
          <w:tcPr>
            <w:tcW w:w="494" w:type="pct"/>
            <w:tcBorders>
              <w:top w:val="nil"/>
              <w:left w:val="nil"/>
              <w:bottom w:val="nil"/>
              <w:right w:val="nil"/>
            </w:tcBorders>
            <w:shd w:val="clear" w:color="auto" w:fill="auto"/>
            <w:vAlign w:val="bottom"/>
          </w:tcPr>
          <w:p w14:paraId="592A5EF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 - </w:t>
            </w:r>
          </w:p>
        </w:tc>
        <w:tc>
          <w:tcPr>
            <w:tcW w:w="493" w:type="pct"/>
            <w:tcBorders>
              <w:top w:val="nil"/>
              <w:left w:val="nil"/>
              <w:bottom w:val="nil"/>
              <w:right w:val="nil"/>
            </w:tcBorders>
            <w:shd w:val="clear" w:color="auto" w:fill="auto"/>
            <w:vAlign w:val="bottom"/>
          </w:tcPr>
          <w:p w14:paraId="4989973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 - </w:t>
            </w:r>
          </w:p>
        </w:tc>
        <w:tc>
          <w:tcPr>
            <w:tcW w:w="556" w:type="pct"/>
            <w:tcBorders>
              <w:top w:val="nil"/>
              <w:left w:val="nil"/>
              <w:bottom w:val="nil"/>
              <w:right w:val="nil"/>
            </w:tcBorders>
            <w:shd w:val="clear" w:color="auto" w:fill="auto"/>
            <w:vAlign w:val="bottom"/>
          </w:tcPr>
          <w:p w14:paraId="3E7B44B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sz w:val="17"/>
                <w:szCs w:val="17"/>
                <w:lang w:val="hr-HR"/>
              </w:rPr>
            </w:pPr>
            <w:r w:rsidRPr="00587444">
              <w:rPr>
                <w:rFonts w:ascii="Arial" w:hAnsi="Arial" w:cs="Arial"/>
                <w:b/>
                <w:bCs/>
                <w:sz w:val="17"/>
                <w:szCs w:val="17"/>
                <w:lang w:val="en-GB"/>
              </w:rPr>
              <w:t xml:space="preserve"> (1,804)</w:t>
            </w:r>
          </w:p>
        </w:tc>
      </w:tr>
      <w:tr w:rsidR="00587444" w:rsidRPr="00587444" w14:paraId="61E85425" w14:textId="77777777" w:rsidTr="00DD69E7">
        <w:trPr>
          <w:trHeight w:val="598"/>
        </w:trPr>
        <w:tc>
          <w:tcPr>
            <w:tcW w:w="927" w:type="pct"/>
            <w:vAlign w:val="bottom"/>
          </w:tcPr>
          <w:p w14:paraId="2ED3D2E0" w14:textId="77777777" w:rsidR="00890EEB" w:rsidRDefault="00587444" w:rsidP="00587444">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 xml:space="preserve">Balance as of </w:t>
            </w:r>
          </w:p>
          <w:p w14:paraId="40F25840" w14:textId="31373AB4" w:rsidR="00587444" w:rsidRPr="00587444" w:rsidRDefault="00587444" w:rsidP="00587444">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31 December 2021</w:t>
            </w:r>
          </w:p>
        </w:tc>
        <w:tc>
          <w:tcPr>
            <w:tcW w:w="555" w:type="pct"/>
            <w:tcBorders>
              <w:top w:val="single" w:sz="4" w:space="0" w:color="auto"/>
              <w:left w:val="nil"/>
              <w:bottom w:val="single" w:sz="12" w:space="0" w:color="auto"/>
              <w:right w:val="nil"/>
            </w:tcBorders>
            <w:shd w:val="clear" w:color="auto" w:fill="auto"/>
            <w:vAlign w:val="bottom"/>
          </w:tcPr>
          <w:p w14:paraId="2C30775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sz w:val="17"/>
                <w:szCs w:val="17"/>
                <w:lang w:val="en-GB"/>
              </w:rPr>
              <w:t xml:space="preserve"> 1,961,985 </w:t>
            </w:r>
          </w:p>
        </w:tc>
        <w:tc>
          <w:tcPr>
            <w:tcW w:w="494" w:type="pct"/>
            <w:tcBorders>
              <w:top w:val="single" w:sz="4" w:space="0" w:color="auto"/>
              <w:left w:val="nil"/>
              <w:bottom w:val="single" w:sz="12" w:space="0" w:color="auto"/>
              <w:right w:val="nil"/>
            </w:tcBorders>
            <w:shd w:val="clear" w:color="auto" w:fill="auto"/>
            <w:vAlign w:val="bottom"/>
          </w:tcPr>
          <w:p w14:paraId="5A5E907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sz w:val="17"/>
                <w:szCs w:val="17"/>
                <w:lang w:val="en-GB"/>
              </w:rPr>
              <w:t xml:space="preserve"> - </w:t>
            </w:r>
          </w:p>
        </w:tc>
        <w:tc>
          <w:tcPr>
            <w:tcW w:w="494" w:type="pct"/>
            <w:tcBorders>
              <w:top w:val="single" w:sz="4" w:space="0" w:color="auto"/>
              <w:left w:val="nil"/>
              <w:bottom w:val="single" w:sz="12" w:space="0" w:color="auto"/>
              <w:right w:val="nil"/>
            </w:tcBorders>
            <w:shd w:val="clear" w:color="auto" w:fill="auto"/>
            <w:vAlign w:val="bottom"/>
          </w:tcPr>
          <w:p w14:paraId="78D8A22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sz w:val="17"/>
                <w:szCs w:val="17"/>
                <w:lang w:val="en-GB"/>
              </w:rPr>
              <w:t xml:space="preserve"> - </w:t>
            </w:r>
          </w:p>
        </w:tc>
        <w:tc>
          <w:tcPr>
            <w:tcW w:w="494" w:type="pct"/>
            <w:tcBorders>
              <w:top w:val="single" w:sz="4" w:space="0" w:color="auto"/>
              <w:left w:val="nil"/>
              <w:bottom w:val="single" w:sz="12" w:space="0" w:color="auto"/>
              <w:right w:val="nil"/>
            </w:tcBorders>
            <w:shd w:val="clear" w:color="auto" w:fill="auto"/>
            <w:vAlign w:val="bottom"/>
          </w:tcPr>
          <w:p w14:paraId="29D1C79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sz w:val="17"/>
                <w:szCs w:val="17"/>
                <w:lang w:val="en-GB"/>
              </w:rPr>
              <w:t xml:space="preserve"> 1,961,985 </w:t>
            </w:r>
          </w:p>
        </w:tc>
        <w:tc>
          <w:tcPr>
            <w:tcW w:w="494" w:type="pct"/>
            <w:tcBorders>
              <w:top w:val="single" w:sz="4" w:space="0" w:color="auto"/>
              <w:left w:val="nil"/>
              <w:bottom w:val="single" w:sz="12" w:space="0" w:color="auto"/>
              <w:right w:val="nil"/>
            </w:tcBorders>
            <w:shd w:val="clear" w:color="auto" w:fill="auto"/>
            <w:vAlign w:val="bottom"/>
          </w:tcPr>
          <w:p w14:paraId="6FE233B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sz w:val="17"/>
                <w:szCs w:val="17"/>
                <w:lang w:val="en-GB"/>
              </w:rPr>
              <w:t xml:space="preserve"> 1,958,619 </w:t>
            </w:r>
          </w:p>
        </w:tc>
        <w:tc>
          <w:tcPr>
            <w:tcW w:w="494" w:type="pct"/>
            <w:tcBorders>
              <w:top w:val="single" w:sz="4" w:space="0" w:color="auto"/>
              <w:left w:val="nil"/>
              <w:bottom w:val="single" w:sz="12" w:space="0" w:color="auto"/>
              <w:right w:val="nil"/>
            </w:tcBorders>
            <w:shd w:val="clear" w:color="auto" w:fill="auto"/>
            <w:vAlign w:val="bottom"/>
          </w:tcPr>
          <w:p w14:paraId="53E78B4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sz w:val="17"/>
                <w:szCs w:val="17"/>
                <w:lang w:val="en-GB"/>
              </w:rPr>
              <w:t xml:space="preserve"> - </w:t>
            </w:r>
          </w:p>
        </w:tc>
        <w:tc>
          <w:tcPr>
            <w:tcW w:w="493" w:type="pct"/>
            <w:tcBorders>
              <w:top w:val="single" w:sz="4" w:space="0" w:color="auto"/>
              <w:left w:val="nil"/>
              <w:bottom w:val="single" w:sz="12" w:space="0" w:color="auto"/>
              <w:right w:val="nil"/>
            </w:tcBorders>
            <w:shd w:val="clear" w:color="auto" w:fill="auto"/>
            <w:vAlign w:val="bottom"/>
          </w:tcPr>
          <w:p w14:paraId="74D66CC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sz w:val="17"/>
                <w:szCs w:val="17"/>
                <w:lang w:val="en-GB"/>
              </w:rPr>
              <w:t xml:space="preserve"> - </w:t>
            </w:r>
          </w:p>
        </w:tc>
        <w:tc>
          <w:tcPr>
            <w:tcW w:w="556" w:type="pct"/>
            <w:tcBorders>
              <w:top w:val="single" w:sz="4" w:space="0" w:color="auto"/>
              <w:left w:val="nil"/>
              <w:bottom w:val="single" w:sz="12" w:space="0" w:color="auto"/>
              <w:right w:val="nil"/>
            </w:tcBorders>
            <w:shd w:val="clear" w:color="auto" w:fill="auto"/>
            <w:vAlign w:val="bottom"/>
          </w:tcPr>
          <w:p w14:paraId="61179CD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sz w:val="17"/>
                <w:szCs w:val="17"/>
                <w:lang w:val="en-GB"/>
              </w:rPr>
              <w:t xml:space="preserve"> 1,958,619 </w:t>
            </w:r>
          </w:p>
        </w:tc>
      </w:tr>
    </w:tbl>
    <w:p w14:paraId="28F0F532" w14:textId="77777777" w:rsidR="00587444" w:rsidRPr="00587444" w:rsidRDefault="00587444" w:rsidP="00587444">
      <w:pPr>
        <w:keepNext/>
        <w:suppressAutoHyphens w:val="0"/>
        <w:autoSpaceDN/>
        <w:jc w:val="both"/>
        <w:rPr>
          <w:rFonts w:ascii="Arial" w:hAnsi="Arial" w:cs="Arial"/>
          <w:sz w:val="20"/>
          <w:szCs w:val="20"/>
          <w:lang w:val="en-GB"/>
        </w:rPr>
      </w:pPr>
    </w:p>
    <w:p w14:paraId="3EFB4C44" w14:textId="77777777" w:rsidR="00587444" w:rsidRPr="00587444" w:rsidRDefault="00587444" w:rsidP="00587444">
      <w:pPr>
        <w:keepNext/>
        <w:suppressAutoHyphens w:val="0"/>
        <w:autoSpaceDN/>
        <w:jc w:val="both"/>
        <w:rPr>
          <w:rFonts w:ascii="Arial" w:hAnsi="Arial" w:cs="Arial"/>
          <w:sz w:val="20"/>
          <w:szCs w:val="20"/>
          <w:lang w:val="en-GB"/>
        </w:rPr>
      </w:pPr>
    </w:p>
    <w:p w14:paraId="49A9A305" w14:textId="77777777" w:rsidR="00587444" w:rsidRPr="00587444" w:rsidRDefault="00587444" w:rsidP="00587444">
      <w:pPr>
        <w:keepNext/>
        <w:tabs>
          <w:tab w:val="left" w:pos="567"/>
        </w:tabs>
        <w:suppressAutoHyphens w:val="0"/>
        <w:autoSpaceDN/>
        <w:jc w:val="both"/>
        <w:rPr>
          <w:rFonts w:ascii="Arial" w:hAnsi="Arial" w:cs="Arial"/>
          <w:sz w:val="20"/>
          <w:szCs w:val="20"/>
          <w:lang w:val="en-GB"/>
        </w:rPr>
      </w:pPr>
    </w:p>
    <w:p w14:paraId="0BDFDA40" w14:textId="77777777" w:rsidR="00587444" w:rsidRPr="00587444" w:rsidRDefault="00587444" w:rsidP="00587444">
      <w:pPr>
        <w:keepNext/>
        <w:tabs>
          <w:tab w:val="left" w:pos="567"/>
        </w:tabs>
        <w:suppressAutoHyphens w:val="0"/>
        <w:autoSpaceDN/>
        <w:jc w:val="both"/>
        <w:rPr>
          <w:rFonts w:ascii="Arial" w:hAnsi="Arial" w:cs="Arial"/>
          <w:sz w:val="20"/>
          <w:szCs w:val="20"/>
          <w:lang w:val="en-GB"/>
        </w:rPr>
      </w:pPr>
      <w:r w:rsidRPr="00587444">
        <w:rPr>
          <w:rFonts w:ascii="Arial" w:hAnsi="Arial" w:cs="Arial"/>
          <w:sz w:val="20"/>
          <w:szCs w:val="20"/>
          <w:lang w:val="pl-PL"/>
        </w:rPr>
        <w:t>The difference in relation to the total gross and net balance of Cash on Hand and Deposits with other Banks relates to the balance of cash on hand that does not represent credit risk.</w:t>
      </w:r>
    </w:p>
    <w:p w14:paraId="25C47E27" w14:textId="77777777" w:rsidR="00587444" w:rsidRPr="00587444" w:rsidRDefault="00587444" w:rsidP="00587444">
      <w:pPr>
        <w:keepNext/>
        <w:tabs>
          <w:tab w:val="left" w:pos="567"/>
        </w:tabs>
        <w:suppressAutoHyphens w:val="0"/>
        <w:autoSpaceDN/>
        <w:jc w:val="both"/>
        <w:rPr>
          <w:rFonts w:ascii="Arial" w:hAnsi="Arial" w:cs="Arial"/>
          <w:sz w:val="20"/>
          <w:szCs w:val="20"/>
          <w:lang w:val="en-GB"/>
        </w:rPr>
      </w:pPr>
    </w:p>
    <w:p w14:paraId="7E285AC8" w14:textId="77777777" w:rsidR="00587444" w:rsidRPr="00587444" w:rsidRDefault="00587444" w:rsidP="00587444">
      <w:pPr>
        <w:keepNext/>
        <w:tabs>
          <w:tab w:val="left" w:pos="567"/>
        </w:tabs>
        <w:suppressAutoHyphens w:val="0"/>
        <w:autoSpaceDN/>
        <w:jc w:val="both"/>
        <w:rPr>
          <w:rFonts w:ascii="Arial" w:hAnsi="Arial" w:cs="Arial"/>
          <w:sz w:val="20"/>
          <w:szCs w:val="20"/>
          <w:lang w:val="en-GB"/>
        </w:rPr>
        <w:sectPr w:rsidR="00587444" w:rsidRPr="00587444" w:rsidSect="00DD69E7">
          <w:pgSz w:w="11907" w:h="16840" w:code="9"/>
          <w:pgMar w:top="1418" w:right="1134" w:bottom="1134" w:left="1418" w:header="851" w:footer="851" w:gutter="0"/>
          <w:cols w:space="720"/>
          <w:noEndnote/>
        </w:sectPr>
      </w:pPr>
    </w:p>
    <w:p w14:paraId="6D2FA8D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86CEF1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12.</w:t>
      </w:r>
      <w:r w:rsidRPr="00587444">
        <w:rPr>
          <w:rFonts w:ascii="Arial" w:hAnsi="Arial" w:cs="Arial"/>
          <w:b/>
          <w:bCs/>
          <w:sz w:val="20"/>
          <w:szCs w:val="20"/>
          <w:lang w:val="en-GB"/>
        </w:rPr>
        <w:tab/>
        <w:t>Cash on hand and current accounts with banks (continued)</w:t>
      </w:r>
    </w:p>
    <w:p w14:paraId="661CF4A2" w14:textId="77777777" w:rsidR="00587444" w:rsidRPr="00587444" w:rsidRDefault="00587444" w:rsidP="00587444">
      <w:pPr>
        <w:keepNext/>
        <w:suppressAutoHyphens w:val="0"/>
        <w:autoSpaceDN/>
        <w:jc w:val="both"/>
        <w:rPr>
          <w:rFonts w:ascii="Arial" w:hAnsi="Arial" w:cs="Arial"/>
          <w:sz w:val="20"/>
          <w:szCs w:val="20"/>
          <w:lang w:val="en-GB"/>
        </w:rPr>
      </w:pPr>
    </w:p>
    <w:p w14:paraId="7FE1DC4A" w14:textId="77777777" w:rsidR="00587444" w:rsidRPr="00587444" w:rsidRDefault="00587444" w:rsidP="00587444">
      <w:pPr>
        <w:keepNext/>
        <w:suppressAutoHyphens w:val="0"/>
        <w:autoSpaceDN/>
        <w:jc w:val="both"/>
        <w:rPr>
          <w:rFonts w:ascii="Arial" w:hAnsi="Arial" w:cs="Arial"/>
          <w:sz w:val="20"/>
          <w:szCs w:val="20"/>
          <w:lang w:val="hr-HR"/>
        </w:rPr>
      </w:pPr>
      <w:r w:rsidRPr="00587444">
        <w:rPr>
          <w:rFonts w:ascii="Arial" w:hAnsi="Arial" w:cs="Arial"/>
          <w:sz w:val="20"/>
          <w:szCs w:val="20"/>
          <w:lang w:val="en-GB"/>
        </w:rPr>
        <w:t>The movements in the loss allowances on amounts due from banks may be summarized as follows:</w:t>
      </w:r>
    </w:p>
    <w:p w14:paraId="16CD033D" w14:textId="77777777" w:rsidR="00587444" w:rsidRPr="00587444" w:rsidRDefault="00587444" w:rsidP="00587444">
      <w:pPr>
        <w:suppressAutoHyphens w:val="0"/>
        <w:autoSpaceDN/>
        <w:jc w:val="both"/>
        <w:rPr>
          <w:rFonts w:ascii="Arial" w:hAnsi="Arial" w:cs="Arial"/>
          <w:b/>
          <w:bCs/>
          <w:sz w:val="20"/>
          <w:szCs w:val="20"/>
          <w:lang w:val="hr-HR"/>
        </w:rPr>
      </w:pPr>
    </w:p>
    <w:tbl>
      <w:tblPr>
        <w:tblW w:w="4999" w:type="pct"/>
        <w:tblLayout w:type="fixed"/>
        <w:tblLook w:val="0000" w:firstRow="0" w:lastRow="0" w:firstColumn="0" w:lastColumn="0" w:noHBand="0" w:noVBand="0"/>
      </w:tblPr>
      <w:tblGrid>
        <w:gridCol w:w="3769"/>
        <w:gridCol w:w="45"/>
        <w:gridCol w:w="1440"/>
        <w:gridCol w:w="1439"/>
        <w:gridCol w:w="1439"/>
        <w:gridCol w:w="1437"/>
      </w:tblGrid>
      <w:tr w:rsidR="00587444" w:rsidRPr="00587444" w14:paraId="595DB859" w14:textId="77777777" w:rsidTr="00DD69E7">
        <w:trPr>
          <w:trHeight w:val="308"/>
        </w:trPr>
        <w:tc>
          <w:tcPr>
            <w:tcW w:w="1992" w:type="pct"/>
            <w:gridSpan w:val="2"/>
          </w:tcPr>
          <w:p w14:paraId="5201F47B" w14:textId="77777777" w:rsidR="00587444" w:rsidRPr="00587444" w:rsidRDefault="00587444" w:rsidP="00587444">
            <w:pPr>
              <w:tabs>
                <w:tab w:val="left" w:pos="-720"/>
              </w:tabs>
              <w:autoSpaceDN/>
              <w:spacing w:line="220" w:lineRule="exact"/>
              <w:rPr>
                <w:rFonts w:ascii="Arial" w:eastAsia="Calibri" w:hAnsi="Arial" w:cs="Arial"/>
                <w:b/>
                <w:noProof/>
                <w:spacing w:val="-3"/>
                <w:sz w:val="18"/>
                <w:szCs w:val="18"/>
                <w:lang w:val="en-GB"/>
              </w:rPr>
            </w:pPr>
          </w:p>
        </w:tc>
        <w:tc>
          <w:tcPr>
            <w:tcW w:w="752" w:type="pct"/>
            <w:vAlign w:val="bottom"/>
          </w:tcPr>
          <w:p w14:paraId="300CEACD"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noProof/>
                <w:sz w:val="18"/>
                <w:szCs w:val="18"/>
                <w:lang w:val="en-GB"/>
              </w:rPr>
            </w:pPr>
          </w:p>
        </w:tc>
        <w:tc>
          <w:tcPr>
            <w:tcW w:w="752" w:type="pct"/>
            <w:vAlign w:val="bottom"/>
          </w:tcPr>
          <w:p w14:paraId="7A988553"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noProof/>
                <w:sz w:val="18"/>
                <w:szCs w:val="18"/>
                <w:lang w:val="en-GB"/>
              </w:rPr>
            </w:pPr>
            <w:r w:rsidRPr="00587444">
              <w:rPr>
                <w:rFonts w:ascii="Arial" w:eastAsia="Calibri" w:hAnsi="Arial" w:cs="Arial"/>
                <w:b/>
                <w:noProof/>
                <w:sz w:val="18"/>
                <w:szCs w:val="18"/>
                <w:lang w:val="en-GB"/>
              </w:rPr>
              <w:t>Group</w:t>
            </w:r>
          </w:p>
        </w:tc>
        <w:tc>
          <w:tcPr>
            <w:tcW w:w="752" w:type="pct"/>
            <w:vAlign w:val="bottom"/>
          </w:tcPr>
          <w:p w14:paraId="483FAC99"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noProof/>
                <w:sz w:val="18"/>
                <w:szCs w:val="18"/>
                <w:lang w:val="en-GB"/>
              </w:rPr>
            </w:pPr>
          </w:p>
        </w:tc>
        <w:tc>
          <w:tcPr>
            <w:tcW w:w="751" w:type="pct"/>
            <w:vAlign w:val="bottom"/>
          </w:tcPr>
          <w:p w14:paraId="4DCD55B4"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noProof/>
                <w:sz w:val="18"/>
                <w:szCs w:val="18"/>
                <w:lang w:val="en-GB"/>
              </w:rPr>
            </w:pPr>
            <w:r w:rsidRPr="00587444">
              <w:rPr>
                <w:rFonts w:ascii="Arial" w:eastAsia="Calibri" w:hAnsi="Arial" w:cs="Arial"/>
                <w:b/>
                <w:noProof/>
                <w:sz w:val="18"/>
                <w:szCs w:val="18"/>
                <w:lang w:val="en-GB"/>
              </w:rPr>
              <w:t>Bank</w:t>
            </w:r>
          </w:p>
        </w:tc>
      </w:tr>
      <w:tr w:rsidR="00587444" w:rsidRPr="00587444" w14:paraId="0ECC4465" w14:textId="77777777" w:rsidTr="00DD69E7">
        <w:trPr>
          <w:trHeight w:val="283"/>
        </w:trPr>
        <w:tc>
          <w:tcPr>
            <w:tcW w:w="1969" w:type="pct"/>
          </w:tcPr>
          <w:p w14:paraId="7B7625FD" w14:textId="77777777" w:rsidR="00587444" w:rsidRPr="00587444" w:rsidRDefault="00587444" w:rsidP="00587444">
            <w:pPr>
              <w:tabs>
                <w:tab w:val="left" w:pos="-720"/>
              </w:tabs>
              <w:autoSpaceDN/>
              <w:spacing w:line="220" w:lineRule="exact"/>
              <w:rPr>
                <w:rFonts w:ascii="Arial" w:eastAsia="Calibri" w:hAnsi="Arial" w:cs="Arial"/>
                <w:b/>
                <w:noProof/>
                <w:spacing w:val="-3"/>
                <w:sz w:val="18"/>
                <w:szCs w:val="18"/>
                <w:lang w:val="en-GB"/>
              </w:rPr>
            </w:pPr>
          </w:p>
        </w:tc>
        <w:tc>
          <w:tcPr>
            <w:tcW w:w="775" w:type="pct"/>
            <w:gridSpan w:val="2"/>
            <w:vAlign w:val="bottom"/>
          </w:tcPr>
          <w:p w14:paraId="7E9C5E2E" w14:textId="77777777" w:rsidR="00587444" w:rsidRPr="00587444" w:rsidRDefault="00587444" w:rsidP="00587444">
            <w:pPr>
              <w:tabs>
                <w:tab w:val="right" w:pos="1202"/>
              </w:tabs>
              <w:suppressAutoHyphens w:val="0"/>
              <w:autoSpaceDN/>
              <w:spacing w:line="220" w:lineRule="exact"/>
              <w:jc w:val="right"/>
              <w:outlineLvl w:val="0"/>
              <w:rPr>
                <w:rFonts w:ascii="Arial" w:eastAsia="Calibri" w:hAnsi="Arial" w:cs="Arial"/>
                <w:b/>
                <w:noProof/>
                <w:sz w:val="18"/>
                <w:szCs w:val="18"/>
                <w:lang w:val="en-GB"/>
              </w:rPr>
            </w:pPr>
            <w:r w:rsidRPr="00587444">
              <w:rPr>
                <w:rFonts w:ascii="Arial" w:eastAsia="Calibri" w:hAnsi="Arial" w:cs="Arial"/>
                <w:b/>
                <w:bCs/>
                <w:noProof/>
                <w:sz w:val="18"/>
                <w:szCs w:val="18"/>
                <w:lang w:val="hr-HR"/>
              </w:rPr>
              <w:t>Jan 1 – Dec 31, 2022</w:t>
            </w:r>
          </w:p>
        </w:tc>
        <w:tc>
          <w:tcPr>
            <w:tcW w:w="752" w:type="pct"/>
            <w:shd w:val="clear" w:color="auto" w:fill="auto"/>
            <w:vAlign w:val="bottom"/>
          </w:tcPr>
          <w:p w14:paraId="4FD613E7" w14:textId="77777777" w:rsidR="00587444" w:rsidRPr="00587444" w:rsidRDefault="00587444" w:rsidP="00587444">
            <w:pPr>
              <w:tabs>
                <w:tab w:val="right" w:pos="1202"/>
              </w:tabs>
              <w:suppressAutoHyphens w:val="0"/>
              <w:autoSpaceDN/>
              <w:spacing w:line="220" w:lineRule="exact"/>
              <w:jc w:val="right"/>
              <w:outlineLvl w:val="0"/>
              <w:rPr>
                <w:rFonts w:ascii="Arial" w:eastAsia="Calibri" w:hAnsi="Arial" w:cs="Arial"/>
                <w:b/>
                <w:noProof/>
                <w:sz w:val="18"/>
                <w:szCs w:val="18"/>
                <w:lang w:val="en-GB"/>
              </w:rPr>
            </w:pPr>
            <w:r w:rsidRPr="00587444">
              <w:rPr>
                <w:rFonts w:ascii="Arial" w:eastAsia="Calibri" w:hAnsi="Arial" w:cs="Arial"/>
                <w:b/>
                <w:bCs/>
                <w:noProof/>
                <w:sz w:val="18"/>
                <w:szCs w:val="18"/>
                <w:lang w:val="hr-HR"/>
              </w:rPr>
              <w:t>Jan 1 - Dec 31, 2021</w:t>
            </w:r>
          </w:p>
        </w:tc>
        <w:tc>
          <w:tcPr>
            <w:tcW w:w="752" w:type="pct"/>
            <w:shd w:val="clear" w:color="auto" w:fill="auto"/>
            <w:vAlign w:val="bottom"/>
          </w:tcPr>
          <w:p w14:paraId="62C6753C" w14:textId="77777777" w:rsidR="00587444" w:rsidRPr="00587444" w:rsidRDefault="00587444" w:rsidP="00587444">
            <w:pPr>
              <w:tabs>
                <w:tab w:val="right" w:pos="1202"/>
              </w:tabs>
              <w:suppressAutoHyphens w:val="0"/>
              <w:autoSpaceDN/>
              <w:spacing w:line="220" w:lineRule="exact"/>
              <w:jc w:val="right"/>
              <w:outlineLvl w:val="0"/>
              <w:rPr>
                <w:rFonts w:ascii="Arial" w:eastAsia="Calibri" w:hAnsi="Arial" w:cs="Arial"/>
                <w:b/>
                <w:noProof/>
                <w:sz w:val="18"/>
                <w:szCs w:val="18"/>
                <w:lang w:val="en-GB"/>
              </w:rPr>
            </w:pPr>
            <w:r w:rsidRPr="00587444">
              <w:rPr>
                <w:rFonts w:ascii="Arial" w:eastAsia="Calibri" w:hAnsi="Arial" w:cs="Arial"/>
                <w:b/>
                <w:bCs/>
                <w:noProof/>
                <w:sz w:val="18"/>
                <w:szCs w:val="18"/>
                <w:lang w:val="hr-HR"/>
              </w:rPr>
              <w:t>Jan 1 - Dec 31, 2022</w:t>
            </w:r>
          </w:p>
        </w:tc>
        <w:tc>
          <w:tcPr>
            <w:tcW w:w="751" w:type="pct"/>
            <w:shd w:val="clear" w:color="auto" w:fill="auto"/>
            <w:vAlign w:val="bottom"/>
          </w:tcPr>
          <w:p w14:paraId="728C6359" w14:textId="77777777" w:rsidR="00587444" w:rsidRPr="00587444" w:rsidRDefault="00587444" w:rsidP="00587444">
            <w:pPr>
              <w:tabs>
                <w:tab w:val="right" w:pos="1202"/>
              </w:tabs>
              <w:suppressAutoHyphens w:val="0"/>
              <w:autoSpaceDN/>
              <w:spacing w:line="220" w:lineRule="exact"/>
              <w:jc w:val="right"/>
              <w:outlineLvl w:val="0"/>
              <w:rPr>
                <w:rFonts w:ascii="Arial" w:eastAsia="Calibri" w:hAnsi="Arial" w:cs="Arial"/>
                <w:b/>
                <w:noProof/>
                <w:sz w:val="18"/>
                <w:szCs w:val="18"/>
                <w:lang w:val="en-GB"/>
              </w:rPr>
            </w:pPr>
            <w:r w:rsidRPr="00587444">
              <w:rPr>
                <w:rFonts w:ascii="Arial" w:eastAsia="Calibri" w:hAnsi="Arial" w:cs="Arial"/>
                <w:b/>
                <w:bCs/>
                <w:noProof/>
                <w:sz w:val="18"/>
                <w:szCs w:val="18"/>
                <w:lang w:val="hr-HR"/>
              </w:rPr>
              <w:t>Jan 1 - Dec 31, 2021</w:t>
            </w:r>
          </w:p>
        </w:tc>
      </w:tr>
      <w:tr w:rsidR="00587444" w:rsidRPr="00587444" w14:paraId="317B5A6E" w14:textId="77777777" w:rsidTr="00DD69E7">
        <w:trPr>
          <w:trHeight w:val="293"/>
        </w:trPr>
        <w:tc>
          <w:tcPr>
            <w:tcW w:w="1969" w:type="pct"/>
          </w:tcPr>
          <w:p w14:paraId="4D68A24B" w14:textId="77777777" w:rsidR="00587444" w:rsidRPr="00587444" w:rsidRDefault="00587444" w:rsidP="00587444">
            <w:pPr>
              <w:tabs>
                <w:tab w:val="left" w:pos="-720"/>
              </w:tabs>
              <w:autoSpaceDN/>
              <w:spacing w:line="140" w:lineRule="exact"/>
              <w:rPr>
                <w:rFonts w:ascii="Arial" w:eastAsia="Calibri" w:hAnsi="Arial" w:cs="Arial"/>
                <w:b/>
                <w:noProof/>
                <w:spacing w:val="-3"/>
                <w:sz w:val="18"/>
                <w:szCs w:val="18"/>
                <w:lang w:val="en-GB"/>
              </w:rPr>
            </w:pPr>
          </w:p>
        </w:tc>
        <w:tc>
          <w:tcPr>
            <w:tcW w:w="775" w:type="pct"/>
            <w:gridSpan w:val="2"/>
            <w:vAlign w:val="bottom"/>
          </w:tcPr>
          <w:p w14:paraId="4226FBA6" w14:textId="77777777" w:rsidR="00587444" w:rsidRPr="00587444" w:rsidRDefault="00587444" w:rsidP="00587444">
            <w:pPr>
              <w:suppressAutoHyphens w:val="0"/>
              <w:autoSpaceDN/>
              <w:spacing w:line="240" w:lineRule="exact"/>
              <w:jc w:val="right"/>
              <w:outlineLvl w:val="0"/>
              <w:rPr>
                <w:rFonts w:ascii="Arial" w:eastAsia="Calibri" w:hAnsi="Arial" w:cs="Arial"/>
                <w:b/>
                <w:bCs/>
                <w:noProof/>
                <w:sz w:val="18"/>
                <w:szCs w:val="18"/>
                <w:lang w:val="en-GB"/>
              </w:rPr>
            </w:pPr>
            <w:r w:rsidRPr="00587444">
              <w:rPr>
                <w:rFonts w:ascii="Arial" w:eastAsia="Calibri" w:hAnsi="Arial" w:cs="Arial"/>
                <w:b/>
                <w:bCs/>
                <w:noProof/>
                <w:sz w:val="18"/>
                <w:szCs w:val="18"/>
                <w:lang w:val="en-GB"/>
              </w:rPr>
              <w:t xml:space="preserve">HRK </w:t>
            </w:r>
            <w:r w:rsidRPr="00587444">
              <w:rPr>
                <w:rFonts w:ascii="Arial" w:hAnsi="Arial" w:cs="Arial"/>
                <w:sz w:val="18"/>
                <w:szCs w:val="18"/>
              </w:rPr>
              <w:t>‘</w:t>
            </w:r>
            <w:r w:rsidRPr="00587444">
              <w:rPr>
                <w:rFonts w:ascii="Arial" w:eastAsia="Calibri" w:hAnsi="Arial" w:cs="Arial"/>
                <w:b/>
                <w:bCs/>
                <w:noProof/>
                <w:sz w:val="18"/>
                <w:szCs w:val="18"/>
                <w:lang w:val="en-GB"/>
              </w:rPr>
              <w:t>000</w:t>
            </w:r>
          </w:p>
        </w:tc>
        <w:tc>
          <w:tcPr>
            <w:tcW w:w="752" w:type="pct"/>
            <w:vAlign w:val="bottom"/>
          </w:tcPr>
          <w:p w14:paraId="6C90F86D" w14:textId="77777777" w:rsidR="00587444" w:rsidRPr="00587444" w:rsidRDefault="00587444" w:rsidP="00587444">
            <w:pPr>
              <w:suppressAutoHyphens w:val="0"/>
              <w:autoSpaceDN/>
              <w:spacing w:line="240" w:lineRule="exact"/>
              <w:jc w:val="right"/>
              <w:outlineLvl w:val="0"/>
              <w:rPr>
                <w:rFonts w:ascii="Arial" w:eastAsia="Calibri" w:hAnsi="Arial" w:cs="Arial"/>
                <w:b/>
                <w:bCs/>
                <w:noProof/>
                <w:sz w:val="18"/>
                <w:szCs w:val="18"/>
                <w:lang w:val="en-GB"/>
              </w:rPr>
            </w:pPr>
            <w:r w:rsidRPr="00587444">
              <w:rPr>
                <w:rFonts w:ascii="Arial" w:eastAsia="Calibri" w:hAnsi="Arial" w:cs="Arial"/>
                <w:b/>
                <w:bCs/>
                <w:noProof/>
                <w:sz w:val="18"/>
                <w:szCs w:val="18"/>
                <w:lang w:val="en-GB"/>
              </w:rPr>
              <w:t xml:space="preserve">HRK </w:t>
            </w:r>
            <w:r w:rsidRPr="00587444">
              <w:rPr>
                <w:rFonts w:ascii="Arial" w:hAnsi="Arial" w:cs="Arial"/>
                <w:sz w:val="18"/>
                <w:szCs w:val="18"/>
              </w:rPr>
              <w:t>‘</w:t>
            </w:r>
            <w:r w:rsidRPr="00587444">
              <w:rPr>
                <w:rFonts w:ascii="Arial" w:eastAsia="Calibri" w:hAnsi="Arial" w:cs="Arial"/>
                <w:b/>
                <w:bCs/>
                <w:noProof/>
                <w:sz w:val="18"/>
                <w:szCs w:val="18"/>
                <w:lang w:val="en-GB"/>
              </w:rPr>
              <w:t>000</w:t>
            </w:r>
          </w:p>
        </w:tc>
        <w:tc>
          <w:tcPr>
            <w:tcW w:w="752" w:type="pct"/>
            <w:vAlign w:val="bottom"/>
          </w:tcPr>
          <w:p w14:paraId="109767BC" w14:textId="77777777" w:rsidR="00587444" w:rsidRPr="00587444" w:rsidRDefault="00587444" w:rsidP="00587444">
            <w:pPr>
              <w:suppressAutoHyphens w:val="0"/>
              <w:autoSpaceDN/>
              <w:spacing w:line="240" w:lineRule="exact"/>
              <w:jc w:val="right"/>
              <w:outlineLvl w:val="0"/>
              <w:rPr>
                <w:rFonts w:ascii="Arial" w:eastAsia="Calibri" w:hAnsi="Arial" w:cs="Arial"/>
                <w:b/>
                <w:bCs/>
                <w:noProof/>
                <w:sz w:val="18"/>
                <w:szCs w:val="18"/>
                <w:lang w:val="en-GB"/>
              </w:rPr>
            </w:pPr>
            <w:r w:rsidRPr="00587444">
              <w:rPr>
                <w:rFonts w:ascii="Arial" w:eastAsia="Calibri" w:hAnsi="Arial" w:cs="Arial"/>
                <w:b/>
                <w:bCs/>
                <w:noProof/>
                <w:sz w:val="18"/>
                <w:szCs w:val="18"/>
                <w:lang w:val="en-GB"/>
              </w:rPr>
              <w:t xml:space="preserve">HRK </w:t>
            </w:r>
            <w:r w:rsidRPr="00587444">
              <w:rPr>
                <w:rFonts w:ascii="Arial" w:hAnsi="Arial" w:cs="Arial"/>
                <w:sz w:val="18"/>
                <w:szCs w:val="18"/>
              </w:rPr>
              <w:t>‘</w:t>
            </w:r>
            <w:r w:rsidRPr="00587444">
              <w:rPr>
                <w:rFonts w:ascii="Arial" w:eastAsia="Calibri" w:hAnsi="Arial" w:cs="Arial"/>
                <w:b/>
                <w:bCs/>
                <w:noProof/>
                <w:sz w:val="18"/>
                <w:szCs w:val="18"/>
                <w:lang w:val="en-GB"/>
              </w:rPr>
              <w:t>000</w:t>
            </w:r>
          </w:p>
        </w:tc>
        <w:tc>
          <w:tcPr>
            <w:tcW w:w="751" w:type="pct"/>
            <w:vAlign w:val="bottom"/>
          </w:tcPr>
          <w:p w14:paraId="1B734DC6" w14:textId="77777777" w:rsidR="00587444" w:rsidRPr="00587444" w:rsidRDefault="00587444" w:rsidP="00587444">
            <w:pPr>
              <w:suppressAutoHyphens w:val="0"/>
              <w:autoSpaceDN/>
              <w:spacing w:line="240" w:lineRule="exact"/>
              <w:jc w:val="right"/>
              <w:outlineLvl w:val="0"/>
              <w:rPr>
                <w:rFonts w:ascii="Arial" w:eastAsia="Calibri" w:hAnsi="Arial" w:cs="Arial"/>
                <w:b/>
                <w:bCs/>
                <w:noProof/>
                <w:sz w:val="18"/>
                <w:szCs w:val="18"/>
                <w:lang w:val="en-GB"/>
              </w:rPr>
            </w:pPr>
            <w:r w:rsidRPr="00587444">
              <w:rPr>
                <w:rFonts w:ascii="Arial" w:eastAsia="Calibri" w:hAnsi="Arial" w:cs="Arial"/>
                <w:b/>
                <w:bCs/>
                <w:noProof/>
                <w:sz w:val="18"/>
                <w:szCs w:val="18"/>
                <w:lang w:val="en-GB"/>
              </w:rPr>
              <w:t xml:space="preserve">HRK </w:t>
            </w:r>
            <w:r w:rsidRPr="00587444">
              <w:rPr>
                <w:rFonts w:ascii="Arial" w:hAnsi="Arial" w:cs="Arial"/>
                <w:sz w:val="18"/>
                <w:szCs w:val="18"/>
              </w:rPr>
              <w:t>‘</w:t>
            </w:r>
            <w:r w:rsidRPr="00587444">
              <w:rPr>
                <w:rFonts w:ascii="Arial" w:eastAsia="Calibri" w:hAnsi="Arial" w:cs="Arial"/>
                <w:b/>
                <w:bCs/>
                <w:noProof/>
                <w:sz w:val="18"/>
                <w:szCs w:val="18"/>
                <w:lang w:val="en-GB"/>
              </w:rPr>
              <w:t>000</w:t>
            </w:r>
          </w:p>
        </w:tc>
      </w:tr>
      <w:tr w:rsidR="00587444" w:rsidRPr="00587444" w14:paraId="01EB6E94" w14:textId="77777777" w:rsidTr="00DD69E7">
        <w:trPr>
          <w:trHeight w:val="383"/>
        </w:trPr>
        <w:tc>
          <w:tcPr>
            <w:tcW w:w="1969" w:type="pct"/>
            <w:vAlign w:val="bottom"/>
          </w:tcPr>
          <w:p w14:paraId="6448FBF6"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noProof/>
                <w:sz w:val="18"/>
                <w:szCs w:val="18"/>
                <w:lang w:val="en-GB"/>
              </w:rPr>
            </w:pPr>
            <w:r w:rsidRPr="00587444">
              <w:rPr>
                <w:rFonts w:ascii="Arial" w:eastAsia="Calibri" w:hAnsi="Arial" w:cs="Arial"/>
                <w:noProof/>
                <w:sz w:val="18"/>
                <w:szCs w:val="18"/>
                <w:lang w:val="en-GB"/>
              </w:rPr>
              <w:t>Balance as of 1 January</w:t>
            </w:r>
          </w:p>
        </w:tc>
        <w:tc>
          <w:tcPr>
            <w:tcW w:w="775" w:type="pct"/>
            <w:gridSpan w:val="2"/>
            <w:tcBorders>
              <w:top w:val="nil"/>
              <w:left w:val="nil"/>
              <w:bottom w:val="nil"/>
              <w:right w:val="nil"/>
            </w:tcBorders>
            <w:shd w:val="clear" w:color="auto" w:fill="auto"/>
            <w:vAlign w:val="bottom"/>
          </w:tcPr>
          <w:p w14:paraId="5EF6E994" w14:textId="77777777" w:rsidR="00587444" w:rsidRPr="00587444" w:rsidRDefault="00587444" w:rsidP="00587444">
            <w:pPr>
              <w:suppressAutoHyphens w:val="0"/>
              <w:autoSpaceDN/>
              <w:spacing w:line="240" w:lineRule="exact"/>
              <w:jc w:val="right"/>
              <w:outlineLvl w:val="0"/>
              <w:rPr>
                <w:rFonts w:ascii="Arial" w:hAnsi="Arial" w:cs="Arial"/>
                <w:color w:val="000000"/>
                <w:sz w:val="18"/>
                <w:szCs w:val="18"/>
              </w:rPr>
            </w:pPr>
            <w:r w:rsidRPr="00587444">
              <w:rPr>
                <w:rFonts w:ascii="Arial" w:hAnsi="Arial" w:cs="Arial"/>
                <w:color w:val="000000"/>
                <w:sz w:val="18"/>
                <w:szCs w:val="18"/>
              </w:rPr>
              <w:t>1,809</w:t>
            </w:r>
          </w:p>
        </w:tc>
        <w:tc>
          <w:tcPr>
            <w:tcW w:w="752" w:type="pct"/>
            <w:tcBorders>
              <w:top w:val="nil"/>
              <w:left w:val="nil"/>
              <w:bottom w:val="nil"/>
              <w:right w:val="nil"/>
            </w:tcBorders>
            <w:shd w:val="clear" w:color="auto" w:fill="auto"/>
            <w:vAlign w:val="bottom"/>
          </w:tcPr>
          <w:p w14:paraId="416BAB1B" w14:textId="77777777" w:rsidR="00587444" w:rsidRPr="00587444" w:rsidRDefault="00587444" w:rsidP="00587444">
            <w:pPr>
              <w:suppressAutoHyphens w:val="0"/>
              <w:autoSpaceDN/>
              <w:spacing w:line="240" w:lineRule="exact"/>
              <w:jc w:val="right"/>
              <w:outlineLvl w:val="0"/>
              <w:rPr>
                <w:rFonts w:ascii="Arial" w:eastAsia="Calibri" w:hAnsi="Arial" w:cs="Arial"/>
                <w:bCs/>
                <w:noProof/>
                <w:sz w:val="18"/>
                <w:szCs w:val="18"/>
                <w:lang w:val="en-GB"/>
              </w:rPr>
            </w:pPr>
            <w:r w:rsidRPr="00587444">
              <w:rPr>
                <w:rFonts w:ascii="Arial" w:hAnsi="Arial" w:cs="Arial"/>
                <w:color w:val="000000"/>
                <w:sz w:val="18"/>
                <w:szCs w:val="18"/>
              </w:rPr>
              <w:t>1,652</w:t>
            </w:r>
          </w:p>
        </w:tc>
        <w:tc>
          <w:tcPr>
            <w:tcW w:w="752" w:type="pct"/>
            <w:vAlign w:val="bottom"/>
          </w:tcPr>
          <w:p w14:paraId="5A900A91" w14:textId="77777777" w:rsidR="00587444" w:rsidRPr="00587444" w:rsidRDefault="00587444" w:rsidP="00587444">
            <w:pPr>
              <w:suppressAutoHyphens w:val="0"/>
              <w:autoSpaceDN/>
              <w:spacing w:line="240" w:lineRule="exact"/>
              <w:jc w:val="right"/>
              <w:outlineLvl w:val="0"/>
              <w:rPr>
                <w:rFonts w:ascii="Arial" w:hAnsi="Arial" w:cs="Arial"/>
                <w:color w:val="000000"/>
                <w:sz w:val="18"/>
                <w:szCs w:val="18"/>
              </w:rPr>
            </w:pPr>
            <w:r w:rsidRPr="00587444">
              <w:rPr>
                <w:rFonts w:ascii="Arial" w:hAnsi="Arial" w:cs="Arial"/>
                <w:color w:val="000000"/>
                <w:sz w:val="18"/>
                <w:szCs w:val="18"/>
              </w:rPr>
              <w:t>1,804</w:t>
            </w:r>
          </w:p>
        </w:tc>
        <w:tc>
          <w:tcPr>
            <w:tcW w:w="751" w:type="pct"/>
            <w:tcBorders>
              <w:top w:val="nil"/>
              <w:left w:val="nil"/>
              <w:bottom w:val="nil"/>
              <w:right w:val="nil"/>
            </w:tcBorders>
            <w:shd w:val="clear" w:color="auto" w:fill="auto"/>
            <w:vAlign w:val="bottom"/>
          </w:tcPr>
          <w:p w14:paraId="62F23BC2" w14:textId="77777777" w:rsidR="00587444" w:rsidRPr="00587444" w:rsidRDefault="00587444" w:rsidP="00587444">
            <w:pPr>
              <w:suppressAutoHyphens w:val="0"/>
              <w:autoSpaceDN/>
              <w:spacing w:line="240" w:lineRule="exact"/>
              <w:jc w:val="right"/>
              <w:outlineLvl w:val="0"/>
              <w:rPr>
                <w:rFonts w:ascii="Arial" w:eastAsia="Calibri" w:hAnsi="Arial" w:cs="Arial"/>
                <w:bCs/>
                <w:noProof/>
                <w:sz w:val="18"/>
                <w:szCs w:val="18"/>
                <w:lang w:val="en-GB"/>
              </w:rPr>
            </w:pPr>
            <w:r w:rsidRPr="00587444">
              <w:rPr>
                <w:rFonts w:ascii="Arial" w:hAnsi="Arial" w:cs="Arial"/>
                <w:color w:val="000000"/>
                <w:sz w:val="18"/>
                <w:szCs w:val="18"/>
              </w:rPr>
              <w:t>1,643</w:t>
            </w:r>
          </w:p>
        </w:tc>
      </w:tr>
      <w:tr w:rsidR="00587444" w:rsidRPr="00587444" w14:paraId="176ED91A" w14:textId="77777777" w:rsidTr="00DD69E7">
        <w:trPr>
          <w:trHeight w:val="383"/>
        </w:trPr>
        <w:tc>
          <w:tcPr>
            <w:tcW w:w="1969" w:type="pct"/>
            <w:vAlign w:val="bottom"/>
          </w:tcPr>
          <w:p w14:paraId="3FFDC2DC"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noProof/>
                <w:sz w:val="18"/>
                <w:szCs w:val="18"/>
                <w:lang w:val="en-GB"/>
              </w:rPr>
            </w:pPr>
            <w:r w:rsidRPr="00587444">
              <w:rPr>
                <w:rFonts w:ascii="Arial" w:eastAsia="Calibri" w:hAnsi="Arial" w:cs="Arial"/>
                <w:noProof/>
                <w:sz w:val="18"/>
                <w:szCs w:val="18"/>
                <w:lang w:val="en-GB"/>
              </w:rPr>
              <w:t>Net increase of loss allowances on amounts due from banks</w:t>
            </w:r>
          </w:p>
        </w:tc>
        <w:tc>
          <w:tcPr>
            <w:tcW w:w="775" w:type="pct"/>
            <w:gridSpan w:val="2"/>
            <w:tcBorders>
              <w:top w:val="nil"/>
              <w:left w:val="nil"/>
              <w:right w:val="nil"/>
            </w:tcBorders>
            <w:shd w:val="clear" w:color="auto" w:fill="auto"/>
            <w:vAlign w:val="bottom"/>
          </w:tcPr>
          <w:p w14:paraId="05295A61" w14:textId="77777777" w:rsidR="00587444" w:rsidRPr="00587444" w:rsidRDefault="00587444" w:rsidP="00587444">
            <w:pPr>
              <w:suppressAutoHyphens w:val="0"/>
              <w:autoSpaceDN/>
              <w:spacing w:line="240" w:lineRule="exact"/>
              <w:jc w:val="right"/>
              <w:outlineLvl w:val="0"/>
              <w:rPr>
                <w:rFonts w:ascii="Arial" w:hAnsi="Arial" w:cs="Arial"/>
                <w:color w:val="000000"/>
                <w:sz w:val="18"/>
                <w:szCs w:val="18"/>
              </w:rPr>
            </w:pPr>
            <w:r w:rsidRPr="00587444">
              <w:rPr>
                <w:rFonts w:ascii="Arial" w:hAnsi="Arial" w:cs="Arial"/>
                <w:color w:val="000000"/>
                <w:sz w:val="18"/>
                <w:szCs w:val="18"/>
              </w:rPr>
              <w:t>4,250</w:t>
            </w:r>
          </w:p>
        </w:tc>
        <w:tc>
          <w:tcPr>
            <w:tcW w:w="752" w:type="pct"/>
            <w:tcBorders>
              <w:top w:val="nil"/>
              <w:left w:val="nil"/>
              <w:right w:val="nil"/>
            </w:tcBorders>
            <w:shd w:val="clear" w:color="auto" w:fill="auto"/>
            <w:vAlign w:val="bottom"/>
          </w:tcPr>
          <w:p w14:paraId="1E7CE74C" w14:textId="77777777" w:rsidR="00587444" w:rsidRPr="00587444" w:rsidRDefault="00587444" w:rsidP="00587444">
            <w:pPr>
              <w:suppressAutoHyphens w:val="0"/>
              <w:autoSpaceDN/>
              <w:spacing w:line="240" w:lineRule="exact"/>
              <w:jc w:val="right"/>
              <w:outlineLvl w:val="0"/>
              <w:rPr>
                <w:rFonts w:ascii="Arial" w:eastAsia="Calibri" w:hAnsi="Arial" w:cs="Arial"/>
                <w:bCs/>
                <w:noProof/>
                <w:sz w:val="18"/>
                <w:szCs w:val="18"/>
                <w:lang w:val="en-GB"/>
              </w:rPr>
            </w:pPr>
            <w:r w:rsidRPr="00587444">
              <w:rPr>
                <w:rFonts w:ascii="Arial" w:hAnsi="Arial" w:cs="Arial"/>
                <w:color w:val="000000"/>
                <w:sz w:val="18"/>
                <w:szCs w:val="18"/>
              </w:rPr>
              <w:t>156</w:t>
            </w:r>
          </w:p>
        </w:tc>
        <w:tc>
          <w:tcPr>
            <w:tcW w:w="752" w:type="pct"/>
            <w:tcBorders>
              <w:bottom w:val="single" w:sz="4" w:space="0" w:color="auto"/>
            </w:tcBorders>
            <w:vAlign w:val="bottom"/>
          </w:tcPr>
          <w:p w14:paraId="38C220F5" w14:textId="77777777" w:rsidR="00587444" w:rsidRPr="00587444" w:rsidRDefault="00587444" w:rsidP="00587444">
            <w:pPr>
              <w:suppressAutoHyphens w:val="0"/>
              <w:autoSpaceDN/>
              <w:spacing w:line="240" w:lineRule="exact"/>
              <w:jc w:val="right"/>
              <w:outlineLvl w:val="0"/>
              <w:rPr>
                <w:rFonts w:ascii="Arial" w:hAnsi="Arial" w:cs="Arial"/>
                <w:color w:val="000000"/>
                <w:sz w:val="18"/>
                <w:szCs w:val="18"/>
              </w:rPr>
            </w:pPr>
            <w:r w:rsidRPr="00587444">
              <w:rPr>
                <w:rFonts w:ascii="Arial" w:hAnsi="Arial" w:cs="Arial"/>
                <w:color w:val="000000"/>
                <w:sz w:val="18"/>
                <w:szCs w:val="18"/>
              </w:rPr>
              <w:t>4,250</w:t>
            </w:r>
          </w:p>
        </w:tc>
        <w:tc>
          <w:tcPr>
            <w:tcW w:w="751" w:type="pct"/>
            <w:tcBorders>
              <w:top w:val="nil"/>
              <w:left w:val="nil"/>
              <w:bottom w:val="nil"/>
              <w:right w:val="nil"/>
            </w:tcBorders>
            <w:shd w:val="clear" w:color="auto" w:fill="auto"/>
            <w:vAlign w:val="bottom"/>
          </w:tcPr>
          <w:p w14:paraId="0A772263" w14:textId="77777777" w:rsidR="00587444" w:rsidRPr="00587444" w:rsidRDefault="00587444" w:rsidP="00587444">
            <w:pPr>
              <w:suppressAutoHyphens w:val="0"/>
              <w:autoSpaceDN/>
              <w:spacing w:line="240" w:lineRule="exact"/>
              <w:jc w:val="right"/>
              <w:outlineLvl w:val="0"/>
              <w:rPr>
                <w:rFonts w:ascii="Arial" w:eastAsia="Calibri" w:hAnsi="Arial" w:cs="Arial"/>
                <w:bCs/>
                <w:noProof/>
                <w:sz w:val="18"/>
                <w:szCs w:val="18"/>
                <w:lang w:val="en-GB"/>
              </w:rPr>
            </w:pPr>
            <w:r w:rsidRPr="00587444">
              <w:rPr>
                <w:rFonts w:ascii="Arial" w:hAnsi="Arial" w:cs="Arial"/>
                <w:color w:val="000000"/>
                <w:sz w:val="18"/>
                <w:szCs w:val="18"/>
              </w:rPr>
              <w:t>160</w:t>
            </w:r>
          </w:p>
        </w:tc>
      </w:tr>
      <w:tr w:rsidR="00587444" w:rsidRPr="00587444" w14:paraId="6AF878F7" w14:textId="77777777" w:rsidTr="00DD69E7">
        <w:trPr>
          <w:trHeight w:val="383"/>
        </w:trPr>
        <w:tc>
          <w:tcPr>
            <w:tcW w:w="1969" w:type="pct"/>
            <w:vAlign w:val="bottom"/>
          </w:tcPr>
          <w:p w14:paraId="128B8993"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i/>
                <w:noProof/>
                <w:sz w:val="18"/>
                <w:szCs w:val="18"/>
                <w:lang w:val="en-GB"/>
              </w:rPr>
            </w:pPr>
            <w:r w:rsidRPr="00587444">
              <w:rPr>
                <w:rFonts w:ascii="Arial" w:eastAsia="Calibri" w:hAnsi="Arial" w:cs="Arial"/>
                <w:i/>
                <w:noProof/>
                <w:sz w:val="18"/>
                <w:szCs w:val="18"/>
                <w:lang w:val="en-GB"/>
              </w:rPr>
              <w:t>Total recognised through Income Statement (Note 10)</w:t>
            </w:r>
          </w:p>
        </w:tc>
        <w:tc>
          <w:tcPr>
            <w:tcW w:w="775" w:type="pct"/>
            <w:gridSpan w:val="2"/>
            <w:tcBorders>
              <w:top w:val="single" w:sz="4" w:space="0" w:color="auto"/>
              <w:left w:val="nil"/>
              <w:bottom w:val="single" w:sz="4" w:space="0" w:color="auto"/>
              <w:right w:val="nil"/>
            </w:tcBorders>
            <w:shd w:val="clear" w:color="auto" w:fill="auto"/>
            <w:vAlign w:val="bottom"/>
          </w:tcPr>
          <w:p w14:paraId="0E2978B0" w14:textId="77777777" w:rsidR="00587444" w:rsidRPr="00587444" w:rsidRDefault="00587444" w:rsidP="00587444">
            <w:pPr>
              <w:suppressAutoHyphens w:val="0"/>
              <w:autoSpaceDN/>
              <w:spacing w:line="240" w:lineRule="exact"/>
              <w:jc w:val="right"/>
              <w:outlineLvl w:val="0"/>
              <w:rPr>
                <w:rFonts w:ascii="Arial" w:hAnsi="Arial" w:cs="Arial"/>
                <w:color w:val="000000"/>
                <w:sz w:val="18"/>
                <w:szCs w:val="18"/>
              </w:rPr>
            </w:pPr>
            <w:r w:rsidRPr="00587444">
              <w:rPr>
                <w:rFonts w:ascii="Arial" w:hAnsi="Arial" w:cs="Arial"/>
                <w:color w:val="000000"/>
                <w:sz w:val="18"/>
                <w:szCs w:val="18"/>
              </w:rPr>
              <w:t>4,250</w:t>
            </w:r>
          </w:p>
        </w:tc>
        <w:tc>
          <w:tcPr>
            <w:tcW w:w="752" w:type="pct"/>
            <w:tcBorders>
              <w:top w:val="single" w:sz="4" w:space="0" w:color="auto"/>
              <w:left w:val="nil"/>
              <w:bottom w:val="single" w:sz="4" w:space="0" w:color="auto"/>
              <w:right w:val="nil"/>
            </w:tcBorders>
            <w:shd w:val="clear" w:color="auto" w:fill="auto"/>
            <w:vAlign w:val="bottom"/>
          </w:tcPr>
          <w:p w14:paraId="6807B8D3" w14:textId="77777777" w:rsidR="00587444" w:rsidRPr="00587444" w:rsidRDefault="00587444" w:rsidP="00587444">
            <w:pPr>
              <w:suppressAutoHyphens w:val="0"/>
              <w:autoSpaceDN/>
              <w:spacing w:line="240" w:lineRule="exact"/>
              <w:jc w:val="right"/>
              <w:outlineLvl w:val="0"/>
              <w:rPr>
                <w:rFonts w:ascii="Arial" w:eastAsia="Calibri" w:hAnsi="Arial" w:cs="Arial"/>
                <w:i/>
                <w:noProof/>
                <w:sz w:val="18"/>
                <w:szCs w:val="18"/>
                <w:lang w:val="en-GB"/>
              </w:rPr>
            </w:pPr>
            <w:r w:rsidRPr="00587444">
              <w:rPr>
                <w:rFonts w:ascii="Arial" w:hAnsi="Arial" w:cs="Arial"/>
                <w:bCs/>
                <w:i/>
                <w:color w:val="000000"/>
                <w:sz w:val="18"/>
                <w:szCs w:val="18"/>
              </w:rPr>
              <w:t>156</w:t>
            </w:r>
          </w:p>
        </w:tc>
        <w:tc>
          <w:tcPr>
            <w:tcW w:w="752" w:type="pct"/>
            <w:tcBorders>
              <w:top w:val="single" w:sz="4" w:space="0" w:color="auto"/>
              <w:bottom w:val="single" w:sz="4" w:space="0" w:color="auto"/>
            </w:tcBorders>
            <w:vAlign w:val="bottom"/>
          </w:tcPr>
          <w:p w14:paraId="0B4A5C09" w14:textId="77777777" w:rsidR="00587444" w:rsidRPr="00587444" w:rsidRDefault="00587444" w:rsidP="00587444">
            <w:pPr>
              <w:suppressAutoHyphens w:val="0"/>
              <w:autoSpaceDN/>
              <w:spacing w:line="240" w:lineRule="exact"/>
              <w:jc w:val="right"/>
              <w:outlineLvl w:val="0"/>
              <w:rPr>
                <w:rFonts w:ascii="Arial" w:hAnsi="Arial" w:cs="Arial"/>
                <w:color w:val="000000"/>
                <w:sz w:val="18"/>
                <w:szCs w:val="18"/>
              </w:rPr>
            </w:pPr>
            <w:r w:rsidRPr="00587444">
              <w:rPr>
                <w:rFonts w:ascii="Arial" w:hAnsi="Arial" w:cs="Arial"/>
                <w:color w:val="000000"/>
                <w:sz w:val="18"/>
                <w:szCs w:val="18"/>
              </w:rPr>
              <w:t>4,250</w:t>
            </w:r>
          </w:p>
        </w:tc>
        <w:tc>
          <w:tcPr>
            <w:tcW w:w="751" w:type="pct"/>
            <w:tcBorders>
              <w:top w:val="single" w:sz="4" w:space="0" w:color="auto"/>
              <w:left w:val="nil"/>
              <w:bottom w:val="single" w:sz="4" w:space="0" w:color="auto"/>
              <w:right w:val="nil"/>
            </w:tcBorders>
            <w:shd w:val="clear" w:color="auto" w:fill="auto"/>
            <w:vAlign w:val="bottom"/>
          </w:tcPr>
          <w:p w14:paraId="3EB96F88" w14:textId="77777777" w:rsidR="00587444" w:rsidRPr="00587444" w:rsidRDefault="00587444" w:rsidP="00587444">
            <w:pPr>
              <w:suppressAutoHyphens w:val="0"/>
              <w:autoSpaceDN/>
              <w:spacing w:line="240" w:lineRule="exact"/>
              <w:jc w:val="right"/>
              <w:outlineLvl w:val="0"/>
              <w:rPr>
                <w:rFonts w:ascii="Arial" w:eastAsia="Calibri" w:hAnsi="Arial" w:cs="Arial"/>
                <w:i/>
                <w:noProof/>
                <w:sz w:val="18"/>
                <w:szCs w:val="18"/>
                <w:lang w:val="en-GB"/>
              </w:rPr>
            </w:pPr>
            <w:r w:rsidRPr="00587444">
              <w:rPr>
                <w:rFonts w:ascii="Arial" w:hAnsi="Arial" w:cs="Arial"/>
                <w:bCs/>
                <w:i/>
                <w:color w:val="000000"/>
                <w:sz w:val="18"/>
                <w:szCs w:val="18"/>
              </w:rPr>
              <w:t>160</w:t>
            </w:r>
          </w:p>
        </w:tc>
      </w:tr>
      <w:tr w:rsidR="00587444" w:rsidRPr="00587444" w14:paraId="2EA39F45" w14:textId="77777777" w:rsidTr="00DD69E7">
        <w:trPr>
          <w:trHeight w:val="383"/>
        </w:trPr>
        <w:tc>
          <w:tcPr>
            <w:tcW w:w="1969" w:type="pct"/>
            <w:vAlign w:val="bottom"/>
          </w:tcPr>
          <w:p w14:paraId="59457D49"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i/>
                <w:noProof/>
                <w:sz w:val="18"/>
                <w:szCs w:val="18"/>
                <w:lang w:val="en-GB"/>
              </w:rPr>
            </w:pPr>
            <w:r w:rsidRPr="00587444">
              <w:rPr>
                <w:rFonts w:ascii="Arial" w:eastAsia="Calibri" w:hAnsi="Arial" w:cs="Arial"/>
                <w:noProof/>
                <w:sz w:val="18"/>
                <w:szCs w:val="18"/>
                <w:lang w:val="en-GB"/>
              </w:rPr>
              <w:t>Net foreign exchange gain/loss on loss allowances</w:t>
            </w:r>
          </w:p>
        </w:tc>
        <w:tc>
          <w:tcPr>
            <w:tcW w:w="775" w:type="pct"/>
            <w:gridSpan w:val="2"/>
            <w:tcBorders>
              <w:top w:val="single" w:sz="4" w:space="0" w:color="auto"/>
              <w:left w:val="nil"/>
              <w:bottom w:val="single" w:sz="4" w:space="0" w:color="auto"/>
              <w:right w:val="nil"/>
            </w:tcBorders>
            <w:shd w:val="clear" w:color="auto" w:fill="auto"/>
            <w:vAlign w:val="bottom"/>
          </w:tcPr>
          <w:p w14:paraId="59E4468A" w14:textId="77777777" w:rsidR="00587444" w:rsidRPr="00587444" w:rsidDel="00A24340" w:rsidRDefault="00587444" w:rsidP="00587444">
            <w:pPr>
              <w:suppressAutoHyphens w:val="0"/>
              <w:autoSpaceDN/>
              <w:spacing w:line="240" w:lineRule="exact"/>
              <w:jc w:val="right"/>
              <w:outlineLvl w:val="0"/>
              <w:rPr>
                <w:rFonts w:ascii="Arial" w:hAnsi="Arial" w:cs="Arial"/>
                <w:color w:val="000000"/>
                <w:sz w:val="18"/>
                <w:szCs w:val="18"/>
              </w:rPr>
            </w:pPr>
            <w:r w:rsidRPr="00587444">
              <w:rPr>
                <w:rFonts w:ascii="Arial" w:hAnsi="Arial" w:cs="Arial"/>
                <w:color w:val="000000"/>
                <w:sz w:val="18"/>
                <w:szCs w:val="18"/>
              </w:rPr>
              <w:t>5</w:t>
            </w:r>
          </w:p>
        </w:tc>
        <w:tc>
          <w:tcPr>
            <w:tcW w:w="752" w:type="pct"/>
            <w:tcBorders>
              <w:top w:val="single" w:sz="4" w:space="0" w:color="auto"/>
              <w:left w:val="nil"/>
              <w:bottom w:val="single" w:sz="4" w:space="0" w:color="auto"/>
              <w:right w:val="nil"/>
            </w:tcBorders>
            <w:shd w:val="clear" w:color="auto" w:fill="auto"/>
            <w:vAlign w:val="bottom"/>
          </w:tcPr>
          <w:p w14:paraId="257300FD" w14:textId="77777777" w:rsidR="00587444" w:rsidRPr="00587444" w:rsidDel="00A24340" w:rsidRDefault="00587444" w:rsidP="00587444">
            <w:pPr>
              <w:suppressAutoHyphens w:val="0"/>
              <w:autoSpaceDN/>
              <w:spacing w:line="240" w:lineRule="exact"/>
              <w:jc w:val="right"/>
              <w:outlineLvl w:val="0"/>
              <w:rPr>
                <w:rFonts w:ascii="Arial" w:eastAsia="Calibri" w:hAnsi="Arial" w:cs="Arial"/>
                <w:noProof/>
                <w:sz w:val="18"/>
                <w:szCs w:val="18"/>
                <w:lang w:val="en-GB"/>
              </w:rPr>
            </w:pPr>
            <w:r w:rsidRPr="00587444">
              <w:rPr>
                <w:rFonts w:ascii="Arial" w:hAnsi="Arial" w:cs="Arial"/>
                <w:color w:val="000000"/>
                <w:sz w:val="18"/>
                <w:szCs w:val="18"/>
              </w:rPr>
              <w:t>1</w:t>
            </w:r>
          </w:p>
        </w:tc>
        <w:tc>
          <w:tcPr>
            <w:tcW w:w="752" w:type="pct"/>
            <w:tcBorders>
              <w:top w:val="single" w:sz="4" w:space="0" w:color="auto"/>
              <w:bottom w:val="single" w:sz="4" w:space="0" w:color="auto"/>
            </w:tcBorders>
            <w:vAlign w:val="bottom"/>
          </w:tcPr>
          <w:p w14:paraId="47F9B01E" w14:textId="77777777" w:rsidR="00587444" w:rsidRPr="00587444" w:rsidDel="00A24340" w:rsidRDefault="00587444" w:rsidP="00587444">
            <w:pPr>
              <w:suppressAutoHyphens w:val="0"/>
              <w:autoSpaceDN/>
              <w:spacing w:line="240" w:lineRule="exact"/>
              <w:jc w:val="right"/>
              <w:outlineLvl w:val="0"/>
              <w:rPr>
                <w:rFonts w:ascii="Arial" w:hAnsi="Arial" w:cs="Arial"/>
                <w:color w:val="000000"/>
                <w:sz w:val="18"/>
                <w:szCs w:val="18"/>
              </w:rPr>
            </w:pPr>
            <w:r w:rsidRPr="00587444">
              <w:rPr>
                <w:rFonts w:ascii="Arial" w:hAnsi="Arial" w:cs="Arial"/>
                <w:color w:val="000000"/>
                <w:sz w:val="18"/>
                <w:szCs w:val="18"/>
              </w:rPr>
              <w:t>5</w:t>
            </w:r>
          </w:p>
        </w:tc>
        <w:tc>
          <w:tcPr>
            <w:tcW w:w="751" w:type="pct"/>
            <w:tcBorders>
              <w:top w:val="single" w:sz="4" w:space="0" w:color="auto"/>
              <w:left w:val="nil"/>
              <w:bottom w:val="single" w:sz="4" w:space="0" w:color="auto"/>
              <w:right w:val="nil"/>
            </w:tcBorders>
            <w:shd w:val="clear" w:color="auto" w:fill="auto"/>
            <w:vAlign w:val="bottom"/>
          </w:tcPr>
          <w:p w14:paraId="50E6504E" w14:textId="77777777" w:rsidR="00587444" w:rsidRPr="00587444" w:rsidDel="00A24340" w:rsidRDefault="00587444" w:rsidP="00587444">
            <w:pPr>
              <w:suppressAutoHyphens w:val="0"/>
              <w:autoSpaceDN/>
              <w:spacing w:line="240" w:lineRule="exact"/>
              <w:jc w:val="right"/>
              <w:outlineLvl w:val="0"/>
              <w:rPr>
                <w:rFonts w:ascii="Arial" w:eastAsia="Calibri" w:hAnsi="Arial" w:cs="Arial"/>
                <w:noProof/>
                <w:sz w:val="18"/>
                <w:szCs w:val="18"/>
                <w:lang w:val="en-GB"/>
              </w:rPr>
            </w:pPr>
            <w:r w:rsidRPr="00587444">
              <w:rPr>
                <w:rFonts w:ascii="Arial" w:hAnsi="Arial" w:cs="Arial"/>
                <w:color w:val="000000"/>
                <w:sz w:val="18"/>
                <w:szCs w:val="18"/>
              </w:rPr>
              <w:t>1</w:t>
            </w:r>
          </w:p>
        </w:tc>
      </w:tr>
      <w:tr w:rsidR="00587444" w:rsidRPr="00587444" w14:paraId="4DF5B125" w14:textId="77777777" w:rsidTr="00DD69E7">
        <w:trPr>
          <w:trHeight w:hRule="exact" w:val="513"/>
        </w:trPr>
        <w:tc>
          <w:tcPr>
            <w:tcW w:w="1969" w:type="pct"/>
            <w:vAlign w:val="bottom"/>
          </w:tcPr>
          <w:p w14:paraId="5621F939"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noProof/>
                <w:sz w:val="18"/>
                <w:szCs w:val="18"/>
                <w:highlight w:val="yellow"/>
                <w:lang w:val="en-GB"/>
              </w:rPr>
            </w:pPr>
            <w:r w:rsidRPr="00587444">
              <w:rPr>
                <w:rFonts w:ascii="Arial" w:eastAsia="Calibri" w:hAnsi="Arial" w:cs="Arial"/>
                <w:b/>
                <w:bCs/>
                <w:noProof/>
                <w:sz w:val="18"/>
                <w:szCs w:val="18"/>
                <w:lang w:val="en-GB"/>
              </w:rPr>
              <w:t>Balance at the end of the reporting period</w:t>
            </w:r>
          </w:p>
        </w:tc>
        <w:tc>
          <w:tcPr>
            <w:tcW w:w="775" w:type="pct"/>
            <w:gridSpan w:val="2"/>
            <w:tcBorders>
              <w:top w:val="single" w:sz="4" w:space="0" w:color="auto"/>
              <w:left w:val="nil"/>
              <w:bottom w:val="single" w:sz="12" w:space="0" w:color="auto"/>
              <w:right w:val="nil"/>
            </w:tcBorders>
            <w:shd w:val="clear" w:color="auto" w:fill="auto"/>
            <w:vAlign w:val="bottom"/>
          </w:tcPr>
          <w:p w14:paraId="7062F3C5" w14:textId="77777777" w:rsidR="00587444" w:rsidRPr="00587444" w:rsidRDefault="00587444" w:rsidP="00587444">
            <w:pPr>
              <w:suppressAutoHyphens w:val="0"/>
              <w:autoSpaceDN/>
              <w:spacing w:line="240" w:lineRule="exact"/>
              <w:jc w:val="right"/>
              <w:outlineLvl w:val="0"/>
              <w:rPr>
                <w:rFonts w:ascii="Arial" w:hAnsi="Arial" w:cs="Arial"/>
                <w:b/>
                <w:bCs/>
                <w:color w:val="000000"/>
                <w:sz w:val="18"/>
                <w:szCs w:val="18"/>
              </w:rPr>
            </w:pPr>
            <w:r w:rsidRPr="00587444">
              <w:rPr>
                <w:rFonts w:ascii="Arial" w:hAnsi="Arial" w:cs="Arial"/>
                <w:b/>
                <w:bCs/>
                <w:color w:val="000000"/>
                <w:sz w:val="18"/>
                <w:szCs w:val="18"/>
              </w:rPr>
              <w:t>6,064</w:t>
            </w:r>
          </w:p>
        </w:tc>
        <w:tc>
          <w:tcPr>
            <w:tcW w:w="752" w:type="pct"/>
            <w:tcBorders>
              <w:top w:val="single" w:sz="4" w:space="0" w:color="auto"/>
              <w:left w:val="nil"/>
              <w:bottom w:val="single" w:sz="12" w:space="0" w:color="auto"/>
              <w:right w:val="nil"/>
            </w:tcBorders>
            <w:shd w:val="clear" w:color="auto" w:fill="auto"/>
            <w:vAlign w:val="bottom"/>
          </w:tcPr>
          <w:p w14:paraId="1F2EB445" w14:textId="77777777" w:rsidR="00587444" w:rsidRPr="00587444" w:rsidRDefault="00587444" w:rsidP="00587444">
            <w:pPr>
              <w:suppressAutoHyphens w:val="0"/>
              <w:autoSpaceDN/>
              <w:spacing w:line="240" w:lineRule="exact"/>
              <w:jc w:val="right"/>
              <w:outlineLvl w:val="0"/>
              <w:rPr>
                <w:rFonts w:ascii="Arial" w:eastAsia="Calibri" w:hAnsi="Arial" w:cs="Arial"/>
                <w:b/>
                <w:bCs/>
                <w:noProof/>
                <w:sz w:val="18"/>
                <w:szCs w:val="18"/>
                <w:lang w:val="en-GB"/>
              </w:rPr>
            </w:pPr>
            <w:r w:rsidRPr="00587444">
              <w:rPr>
                <w:rFonts w:ascii="Arial" w:hAnsi="Arial" w:cs="Arial"/>
                <w:b/>
                <w:color w:val="000000"/>
                <w:sz w:val="18"/>
                <w:szCs w:val="18"/>
              </w:rPr>
              <w:t>1,809</w:t>
            </w:r>
          </w:p>
        </w:tc>
        <w:tc>
          <w:tcPr>
            <w:tcW w:w="752" w:type="pct"/>
            <w:tcBorders>
              <w:top w:val="single" w:sz="4" w:space="0" w:color="auto"/>
              <w:bottom w:val="single" w:sz="12" w:space="0" w:color="auto"/>
            </w:tcBorders>
            <w:vAlign w:val="bottom"/>
          </w:tcPr>
          <w:p w14:paraId="5DC67D87" w14:textId="77777777" w:rsidR="00587444" w:rsidRPr="00587444" w:rsidRDefault="00587444" w:rsidP="00587444">
            <w:pPr>
              <w:suppressAutoHyphens w:val="0"/>
              <w:autoSpaceDN/>
              <w:spacing w:line="240" w:lineRule="exact"/>
              <w:jc w:val="right"/>
              <w:outlineLvl w:val="0"/>
              <w:rPr>
                <w:rFonts w:ascii="Arial" w:hAnsi="Arial" w:cs="Arial"/>
                <w:b/>
                <w:bCs/>
                <w:color w:val="000000"/>
                <w:sz w:val="18"/>
                <w:szCs w:val="18"/>
              </w:rPr>
            </w:pPr>
            <w:r w:rsidRPr="00587444">
              <w:rPr>
                <w:rFonts w:ascii="Arial" w:hAnsi="Arial" w:cs="Arial"/>
                <w:b/>
                <w:bCs/>
                <w:color w:val="000000"/>
                <w:sz w:val="18"/>
                <w:szCs w:val="18"/>
              </w:rPr>
              <w:t>6,059</w:t>
            </w:r>
          </w:p>
        </w:tc>
        <w:tc>
          <w:tcPr>
            <w:tcW w:w="751" w:type="pct"/>
            <w:tcBorders>
              <w:top w:val="single" w:sz="4" w:space="0" w:color="auto"/>
              <w:left w:val="nil"/>
              <w:bottom w:val="single" w:sz="12" w:space="0" w:color="auto"/>
              <w:right w:val="nil"/>
            </w:tcBorders>
            <w:shd w:val="clear" w:color="auto" w:fill="auto"/>
            <w:vAlign w:val="bottom"/>
          </w:tcPr>
          <w:p w14:paraId="22CA824E" w14:textId="77777777" w:rsidR="00587444" w:rsidRPr="00587444" w:rsidRDefault="00587444" w:rsidP="00587444">
            <w:pPr>
              <w:suppressAutoHyphens w:val="0"/>
              <w:autoSpaceDN/>
              <w:spacing w:line="240" w:lineRule="exact"/>
              <w:jc w:val="right"/>
              <w:outlineLvl w:val="0"/>
              <w:rPr>
                <w:rFonts w:ascii="Arial" w:eastAsia="Calibri" w:hAnsi="Arial" w:cs="Arial"/>
                <w:b/>
                <w:bCs/>
                <w:noProof/>
                <w:sz w:val="18"/>
                <w:szCs w:val="18"/>
                <w:lang w:val="en-GB"/>
              </w:rPr>
            </w:pPr>
            <w:r w:rsidRPr="00587444">
              <w:rPr>
                <w:rFonts w:ascii="Arial" w:hAnsi="Arial" w:cs="Arial"/>
                <w:b/>
                <w:color w:val="000000"/>
                <w:sz w:val="18"/>
                <w:szCs w:val="18"/>
              </w:rPr>
              <w:t>1,804</w:t>
            </w:r>
          </w:p>
        </w:tc>
      </w:tr>
    </w:tbl>
    <w:p w14:paraId="6599A4DE" w14:textId="77777777" w:rsidR="00587444" w:rsidRPr="00587444" w:rsidRDefault="00587444" w:rsidP="00587444">
      <w:pPr>
        <w:suppressAutoHyphens w:val="0"/>
        <w:autoSpaceDN/>
        <w:jc w:val="both"/>
        <w:rPr>
          <w:rFonts w:ascii="Arial" w:hAnsi="Arial" w:cs="Arial"/>
          <w:b/>
          <w:bCs/>
          <w:sz w:val="20"/>
          <w:szCs w:val="20"/>
          <w:lang w:val="hr-HR"/>
        </w:rPr>
      </w:pPr>
    </w:p>
    <w:p w14:paraId="5256BCFA" w14:textId="77777777" w:rsidR="00587444" w:rsidRPr="00587444" w:rsidRDefault="00587444" w:rsidP="00BB5943">
      <w:pPr>
        <w:suppressAutoHyphens w:val="0"/>
        <w:autoSpaceDN/>
        <w:rPr>
          <w:rFonts w:ascii="Arial" w:hAnsi="Arial" w:cs="Arial"/>
          <w:bCs/>
          <w:sz w:val="20"/>
          <w:szCs w:val="20"/>
          <w:highlight w:val="yellow"/>
          <w:lang w:val="en-GB"/>
        </w:rPr>
        <w:sectPr w:rsidR="00587444" w:rsidRPr="00587444" w:rsidSect="00DD69E7">
          <w:pgSz w:w="11907" w:h="16840" w:code="9"/>
          <w:pgMar w:top="1418" w:right="1134" w:bottom="1134" w:left="1418" w:header="851" w:footer="851" w:gutter="0"/>
          <w:cols w:space="720"/>
          <w:noEndnote/>
        </w:sectPr>
      </w:pPr>
      <w:r w:rsidRPr="00587444">
        <w:rPr>
          <w:rFonts w:ascii="Arial" w:hAnsi="Arial" w:cs="Arial"/>
          <w:bCs/>
          <w:sz w:val="20"/>
          <w:szCs w:val="20"/>
          <w:lang w:val="en-GB"/>
        </w:rPr>
        <w:t>Net foreign exchange gain/loss on loss allowances are shown within net gains/(losses) from financial activities in the Income Statement.</w:t>
      </w:r>
    </w:p>
    <w:p w14:paraId="649CA4F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bookmarkStart w:id="611" w:name="_Hlk29295719"/>
    </w:p>
    <w:p w14:paraId="6871E2B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13.</w:t>
      </w:r>
      <w:r w:rsidRPr="00587444">
        <w:rPr>
          <w:rFonts w:ascii="Arial" w:hAnsi="Arial" w:cs="Arial"/>
          <w:b/>
          <w:bCs/>
          <w:sz w:val="20"/>
          <w:szCs w:val="20"/>
          <w:lang w:val="en-GB"/>
        </w:rPr>
        <w:tab/>
        <w:t>Deposits with other banks</w:t>
      </w:r>
    </w:p>
    <w:bookmarkEnd w:id="611"/>
    <w:p w14:paraId="74133C6D" w14:textId="77777777" w:rsidR="00587444" w:rsidRPr="00587444" w:rsidRDefault="00587444" w:rsidP="00587444">
      <w:pPr>
        <w:tabs>
          <w:tab w:val="left" w:pos="-720"/>
        </w:tabs>
        <w:autoSpaceDN/>
        <w:rPr>
          <w:rFonts w:ascii="Arial" w:hAnsi="Arial" w:cs="Arial"/>
          <w:sz w:val="20"/>
          <w:szCs w:val="20"/>
          <w:lang w:val="en-GB"/>
        </w:rPr>
      </w:pPr>
    </w:p>
    <w:tbl>
      <w:tblPr>
        <w:tblW w:w="4908" w:type="pct"/>
        <w:tblLayout w:type="fixed"/>
        <w:tblCellMar>
          <w:left w:w="122" w:type="dxa"/>
          <w:right w:w="122" w:type="dxa"/>
        </w:tblCellMar>
        <w:tblLook w:val="0000" w:firstRow="0" w:lastRow="0" w:firstColumn="0" w:lastColumn="0" w:noHBand="0" w:noVBand="0"/>
      </w:tblPr>
      <w:tblGrid>
        <w:gridCol w:w="2910"/>
        <w:gridCol w:w="1628"/>
        <w:gridCol w:w="1628"/>
        <w:gridCol w:w="1628"/>
        <w:gridCol w:w="1628"/>
      </w:tblGrid>
      <w:tr w:rsidR="00587444" w:rsidRPr="00587444" w14:paraId="5D615DA3" w14:textId="77777777" w:rsidTr="00DD69E7">
        <w:trPr>
          <w:trHeight w:val="112"/>
        </w:trPr>
        <w:tc>
          <w:tcPr>
            <w:tcW w:w="1544" w:type="pct"/>
          </w:tcPr>
          <w:p w14:paraId="21021969" w14:textId="77777777" w:rsidR="00587444" w:rsidRPr="00587444" w:rsidRDefault="00587444" w:rsidP="00587444">
            <w:pPr>
              <w:tabs>
                <w:tab w:val="left" w:pos="-720"/>
              </w:tabs>
              <w:autoSpaceDN/>
              <w:rPr>
                <w:rFonts w:ascii="Arial" w:hAnsi="Arial" w:cs="Arial"/>
                <w:b/>
                <w:sz w:val="20"/>
                <w:szCs w:val="20"/>
                <w:lang w:val="en-GB"/>
              </w:rPr>
            </w:pPr>
          </w:p>
        </w:tc>
        <w:tc>
          <w:tcPr>
            <w:tcW w:w="864" w:type="pct"/>
          </w:tcPr>
          <w:p w14:paraId="689595B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864" w:type="pct"/>
          </w:tcPr>
          <w:p w14:paraId="4D9CFBF2"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Group</w:t>
            </w:r>
          </w:p>
        </w:tc>
        <w:tc>
          <w:tcPr>
            <w:tcW w:w="864" w:type="pct"/>
          </w:tcPr>
          <w:p w14:paraId="1A7A5FC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864" w:type="pct"/>
          </w:tcPr>
          <w:p w14:paraId="63B978E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612" w:name="_Toc4058336"/>
            <w:r w:rsidRPr="00587444">
              <w:rPr>
                <w:rFonts w:ascii="Arial" w:hAnsi="Arial" w:cs="Arial"/>
                <w:b/>
                <w:sz w:val="20"/>
                <w:szCs w:val="20"/>
                <w:lang w:val="hr-HR"/>
              </w:rPr>
              <w:t>Bank</w:t>
            </w:r>
            <w:bookmarkEnd w:id="612"/>
          </w:p>
        </w:tc>
      </w:tr>
      <w:tr w:rsidR="00587444" w:rsidRPr="00587444" w14:paraId="034932BC" w14:textId="77777777" w:rsidTr="00DD69E7">
        <w:trPr>
          <w:trHeight w:val="112"/>
        </w:trPr>
        <w:tc>
          <w:tcPr>
            <w:tcW w:w="1544" w:type="pct"/>
          </w:tcPr>
          <w:p w14:paraId="7B5216DE" w14:textId="77777777" w:rsidR="00587444" w:rsidRPr="00587444" w:rsidRDefault="00587444" w:rsidP="00587444">
            <w:pPr>
              <w:tabs>
                <w:tab w:val="left" w:pos="-720"/>
              </w:tabs>
              <w:autoSpaceDN/>
              <w:rPr>
                <w:rFonts w:ascii="Arial" w:hAnsi="Arial" w:cs="Arial"/>
                <w:b/>
                <w:sz w:val="20"/>
                <w:szCs w:val="20"/>
                <w:lang w:val="en-GB"/>
              </w:rPr>
            </w:pPr>
          </w:p>
        </w:tc>
        <w:tc>
          <w:tcPr>
            <w:tcW w:w="864" w:type="pct"/>
            <w:shd w:val="clear" w:color="auto" w:fill="auto"/>
            <w:vAlign w:val="center"/>
          </w:tcPr>
          <w:p w14:paraId="17444EF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31 December 2022</w:t>
            </w:r>
          </w:p>
        </w:tc>
        <w:tc>
          <w:tcPr>
            <w:tcW w:w="864" w:type="pct"/>
            <w:shd w:val="clear" w:color="auto" w:fill="auto"/>
            <w:vAlign w:val="center"/>
          </w:tcPr>
          <w:p w14:paraId="329721F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31 December 2021</w:t>
            </w:r>
          </w:p>
        </w:tc>
        <w:tc>
          <w:tcPr>
            <w:tcW w:w="864" w:type="pct"/>
            <w:shd w:val="clear" w:color="auto" w:fill="auto"/>
            <w:vAlign w:val="center"/>
          </w:tcPr>
          <w:p w14:paraId="6AFFDE32"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613" w:name="_Toc4058339"/>
            <w:r w:rsidRPr="00587444">
              <w:rPr>
                <w:rFonts w:ascii="Arial" w:hAnsi="Arial" w:cs="Arial"/>
                <w:b/>
                <w:sz w:val="20"/>
                <w:szCs w:val="20"/>
                <w:lang w:val="hr-HR"/>
              </w:rPr>
              <w:t xml:space="preserve">31 December </w:t>
            </w:r>
            <w:bookmarkEnd w:id="613"/>
            <w:r w:rsidRPr="00587444">
              <w:rPr>
                <w:rFonts w:ascii="Arial" w:hAnsi="Arial" w:cs="Arial"/>
                <w:b/>
                <w:sz w:val="20"/>
                <w:szCs w:val="20"/>
                <w:lang w:val="hr-HR"/>
              </w:rPr>
              <w:t>2022</w:t>
            </w:r>
          </w:p>
        </w:tc>
        <w:tc>
          <w:tcPr>
            <w:tcW w:w="864" w:type="pct"/>
            <w:shd w:val="clear" w:color="auto" w:fill="auto"/>
            <w:vAlign w:val="center"/>
          </w:tcPr>
          <w:p w14:paraId="74FC049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614" w:name="_Toc4058340"/>
            <w:r w:rsidRPr="00587444">
              <w:rPr>
                <w:rFonts w:ascii="Arial" w:hAnsi="Arial" w:cs="Arial"/>
                <w:b/>
                <w:sz w:val="20"/>
                <w:szCs w:val="20"/>
                <w:lang w:val="hr-HR"/>
              </w:rPr>
              <w:t xml:space="preserve">31 December </w:t>
            </w:r>
            <w:bookmarkEnd w:id="614"/>
            <w:r w:rsidRPr="00587444">
              <w:rPr>
                <w:rFonts w:ascii="Arial" w:hAnsi="Arial" w:cs="Arial"/>
                <w:b/>
                <w:sz w:val="20"/>
                <w:szCs w:val="20"/>
                <w:lang w:val="hr-HR"/>
              </w:rPr>
              <w:t>2021</w:t>
            </w:r>
          </w:p>
        </w:tc>
      </w:tr>
      <w:tr w:rsidR="00587444" w:rsidRPr="00587444" w14:paraId="64E0F507" w14:textId="77777777" w:rsidTr="00DD69E7">
        <w:trPr>
          <w:trHeight w:val="229"/>
        </w:trPr>
        <w:tc>
          <w:tcPr>
            <w:tcW w:w="1544" w:type="pct"/>
          </w:tcPr>
          <w:p w14:paraId="2A2BFEFC" w14:textId="77777777" w:rsidR="00587444" w:rsidRPr="00587444" w:rsidRDefault="00587444" w:rsidP="00587444">
            <w:pPr>
              <w:tabs>
                <w:tab w:val="left" w:pos="-720"/>
              </w:tabs>
              <w:autoSpaceDN/>
              <w:rPr>
                <w:rFonts w:ascii="Arial" w:hAnsi="Arial" w:cs="Arial"/>
                <w:b/>
                <w:sz w:val="20"/>
                <w:szCs w:val="20"/>
                <w:lang w:val="en-GB"/>
              </w:rPr>
            </w:pPr>
          </w:p>
        </w:tc>
        <w:tc>
          <w:tcPr>
            <w:tcW w:w="864" w:type="pct"/>
          </w:tcPr>
          <w:p w14:paraId="74E1D539"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r w:rsidRPr="00587444">
              <w:rPr>
                <w:rFonts w:ascii="Arial" w:hAnsi="Arial" w:cs="Arial"/>
                <w:b/>
                <w:sz w:val="20"/>
                <w:szCs w:val="20"/>
                <w:lang w:val="en-GB"/>
              </w:rPr>
              <w:t>HRK ‘000</w:t>
            </w:r>
          </w:p>
        </w:tc>
        <w:tc>
          <w:tcPr>
            <w:tcW w:w="864" w:type="pct"/>
          </w:tcPr>
          <w:p w14:paraId="16BDEE1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r w:rsidRPr="00587444">
              <w:rPr>
                <w:rFonts w:ascii="Arial" w:hAnsi="Arial" w:cs="Arial"/>
                <w:b/>
                <w:sz w:val="20"/>
                <w:szCs w:val="20"/>
                <w:lang w:val="en-GB"/>
              </w:rPr>
              <w:t>HRK ‘000</w:t>
            </w:r>
          </w:p>
        </w:tc>
        <w:tc>
          <w:tcPr>
            <w:tcW w:w="864" w:type="pct"/>
          </w:tcPr>
          <w:p w14:paraId="0F637792"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15" w:name="_Toc4058343"/>
            <w:r w:rsidRPr="00587444">
              <w:rPr>
                <w:rFonts w:ascii="Arial" w:hAnsi="Arial" w:cs="Arial"/>
                <w:b/>
                <w:sz w:val="20"/>
                <w:szCs w:val="20"/>
                <w:lang w:val="en-GB"/>
              </w:rPr>
              <w:t>HRK ‘000</w:t>
            </w:r>
            <w:bookmarkEnd w:id="615"/>
          </w:p>
        </w:tc>
        <w:tc>
          <w:tcPr>
            <w:tcW w:w="864" w:type="pct"/>
          </w:tcPr>
          <w:p w14:paraId="75EECAA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16" w:name="_Toc4058344"/>
            <w:r w:rsidRPr="00587444">
              <w:rPr>
                <w:rFonts w:ascii="Arial" w:hAnsi="Arial" w:cs="Arial"/>
                <w:b/>
                <w:sz w:val="20"/>
                <w:szCs w:val="20"/>
                <w:lang w:val="en-GB"/>
              </w:rPr>
              <w:t>HRK ‘000</w:t>
            </w:r>
            <w:bookmarkEnd w:id="616"/>
          </w:p>
        </w:tc>
      </w:tr>
      <w:tr w:rsidR="00587444" w:rsidRPr="00587444" w14:paraId="57FC4A23" w14:textId="77777777" w:rsidTr="00DD69E7">
        <w:tc>
          <w:tcPr>
            <w:tcW w:w="1544" w:type="pct"/>
          </w:tcPr>
          <w:p w14:paraId="25250CB3" w14:textId="77777777" w:rsidR="00587444" w:rsidRPr="00587444" w:rsidRDefault="00587444" w:rsidP="00587444">
            <w:pPr>
              <w:tabs>
                <w:tab w:val="left" w:pos="-720"/>
              </w:tabs>
              <w:autoSpaceDN/>
              <w:rPr>
                <w:rFonts w:ascii="Arial" w:hAnsi="Arial" w:cs="Arial"/>
                <w:sz w:val="20"/>
                <w:szCs w:val="20"/>
                <w:lang w:val="en-GB"/>
              </w:rPr>
            </w:pPr>
          </w:p>
        </w:tc>
        <w:tc>
          <w:tcPr>
            <w:tcW w:w="864" w:type="pct"/>
          </w:tcPr>
          <w:p w14:paraId="1964EBDF" w14:textId="77777777" w:rsidR="00587444" w:rsidRPr="00587444" w:rsidRDefault="00587444" w:rsidP="00587444">
            <w:pPr>
              <w:tabs>
                <w:tab w:val="left" w:pos="-720"/>
              </w:tabs>
              <w:autoSpaceDN/>
              <w:jc w:val="right"/>
              <w:rPr>
                <w:rFonts w:ascii="Arial" w:hAnsi="Arial" w:cs="Arial"/>
                <w:sz w:val="20"/>
                <w:szCs w:val="20"/>
                <w:lang w:val="en-GB"/>
              </w:rPr>
            </w:pPr>
          </w:p>
        </w:tc>
        <w:tc>
          <w:tcPr>
            <w:tcW w:w="864" w:type="pct"/>
            <w:vAlign w:val="bottom"/>
          </w:tcPr>
          <w:p w14:paraId="4FB9905E" w14:textId="77777777" w:rsidR="00587444" w:rsidRPr="00587444" w:rsidRDefault="00587444" w:rsidP="00587444">
            <w:pPr>
              <w:tabs>
                <w:tab w:val="left" w:pos="-720"/>
              </w:tabs>
              <w:autoSpaceDN/>
              <w:jc w:val="right"/>
              <w:rPr>
                <w:rFonts w:ascii="Arial" w:hAnsi="Arial" w:cs="Arial"/>
                <w:sz w:val="20"/>
                <w:szCs w:val="20"/>
                <w:lang w:val="en-GB"/>
              </w:rPr>
            </w:pPr>
          </w:p>
        </w:tc>
        <w:tc>
          <w:tcPr>
            <w:tcW w:w="864" w:type="pct"/>
          </w:tcPr>
          <w:p w14:paraId="1CE4557F" w14:textId="77777777" w:rsidR="00587444" w:rsidRPr="00587444" w:rsidRDefault="00587444" w:rsidP="00587444">
            <w:pPr>
              <w:tabs>
                <w:tab w:val="left" w:pos="-720"/>
              </w:tabs>
              <w:autoSpaceDN/>
              <w:jc w:val="right"/>
              <w:rPr>
                <w:rFonts w:ascii="Arial" w:hAnsi="Arial" w:cs="Arial"/>
                <w:sz w:val="20"/>
                <w:szCs w:val="20"/>
                <w:lang w:val="en-GB"/>
              </w:rPr>
            </w:pPr>
          </w:p>
        </w:tc>
        <w:tc>
          <w:tcPr>
            <w:tcW w:w="864" w:type="pct"/>
            <w:vAlign w:val="bottom"/>
          </w:tcPr>
          <w:p w14:paraId="7EB09976" w14:textId="77777777" w:rsidR="00587444" w:rsidRPr="00587444" w:rsidRDefault="00587444" w:rsidP="00587444">
            <w:pPr>
              <w:tabs>
                <w:tab w:val="left" w:pos="-720"/>
              </w:tabs>
              <w:autoSpaceDN/>
              <w:jc w:val="right"/>
              <w:rPr>
                <w:rFonts w:ascii="Arial" w:hAnsi="Arial" w:cs="Arial"/>
                <w:sz w:val="20"/>
                <w:szCs w:val="20"/>
                <w:lang w:val="en-GB"/>
              </w:rPr>
            </w:pPr>
          </w:p>
        </w:tc>
      </w:tr>
      <w:tr w:rsidR="00587444" w:rsidRPr="00587444" w14:paraId="61AF1A83" w14:textId="77777777" w:rsidTr="00DD69E7">
        <w:tc>
          <w:tcPr>
            <w:tcW w:w="1544" w:type="pct"/>
          </w:tcPr>
          <w:p w14:paraId="04B50DBD" w14:textId="77777777" w:rsidR="00587444" w:rsidRPr="00587444" w:rsidRDefault="00587444" w:rsidP="00587444">
            <w:pPr>
              <w:tabs>
                <w:tab w:val="left" w:pos="-720"/>
              </w:tabs>
              <w:autoSpaceDN/>
              <w:rPr>
                <w:rFonts w:ascii="Arial" w:hAnsi="Arial" w:cs="Arial"/>
                <w:sz w:val="20"/>
                <w:szCs w:val="20"/>
                <w:lang w:val="en-GB"/>
              </w:rPr>
            </w:pPr>
            <w:r w:rsidRPr="00587444">
              <w:rPr>
                <w:rFonts w:ascii="Arial" w:hAnsi="Arial" w:cs="Arial"/>
                <w:sz w:val="20"/>
                <w:szCs w:val="20"/>
                <w:lang w:val="en-GB"/>
              </w:rPr>
              <w:t>Deposits with foreign banks</w:t>
            </w:r>
          </w:p>
        </w:tc>
        <w:tc>
          <w:tcPr>
            <w:tcW w:w="864" w:type="pct"/>
            <w:tcBorders>
              <w:top w:val="nil"/>
              <w:left w:val="nil"/>
              <w:bottom w:val="nil"/>
              <w:right w:val="nil"/>
            </w:tcBorders>
            <w:shd w:val="clear" w:color="auto" w:fill="auto"/>
            <w:vAlign w:val="bottom"/>
          </w:tcPr>
          <w:p w14:paraId="30DCCA27" w14:textId="77777777" w:rsidR="00587444" w:rsidRPr="00587444" w:rsidRDefault="00587444" w:rsidP="00587444">
            <w:pPr>
              <w:tabs>
                <w:tab w:val="left" w:pos="-720"/>
              </w:tabs>
              <w:autoSpaceDN/>
              <w:jc w:val="right"/>
              <w:rPr>
                <w:rFonts w:ascii="Arial" w:hAnsi="Arial" w:cs="Arial"/>
                <w:color w:val="000000"/>
                <w:sz w:val="20"/>
                <w:szCs w:val="20"/>
                <w:lang w:val="hr-HR"/>
              </w:rPr>
            </w:pPr>
            <w:r w:rsidRPr="00587444">
              <w:rPr>
                <w:rFonts w:ascii="Arial" w:hAnsi="Arial" w:cs="Arial"/>
                <w:color w:val="000000"/>
                <w:sz w:val="20"/>
                <w:szCs w:val="20"/>
                <w:lang w:val="hr-HR"/>
              </w:rPr>
              <w:t>10,597</w:t>
            </w:r>
          </w:p>
        </w:tc>
        <w:tc>
          <w:tcPr>
            <w:tcW w:w="864" w:type="pct"/>
            <w:tcBorders>
              <w:top w:val="nil"/>
              <w:left w:val="nil"/>
              <w:bottom w:val="nil"/>
              <w:right w:val="nil"/>
            </w:tcBorders>
            <w:shd w:val="clear" w:color="auto" w:fill="auto"/>
            <w:vAlign w:val="bottom"/>
          </w:tcPr>
          <w:p w14:paraId="21440061" w14:textId="77777777" w:rsidR="00587444" w:rsidRPr="00587444" w:rsidRDefault="00587444" w:rsidP="00587444">
            <w:pPr>
              <w:tabs>
                <w:tab w:val="left" w:pos="-720"/>
              </w:tabs>
              <w:autoSpaceDN/>
              <w:jc w:val="right"/>
              <w:rPr>
                <w:rFonts w:ascii="Arial" w:hAnsi="Arial" w:cs="Arial"/>
                <w:sz w:val="20"/>
                <w:szCs w:val="20"/>
                <w:lang w:val="en-GB"/>
              </w:rPr>
            </w:pPr>
            <w:r w:rsidRPr="00587444">
              <w:rPr>
                <w:rFonts w:ascii="Arial" w:hAnsi="Arial" w:cs="Arial"/>
                <w:color w:val="000000"/>
                <w:sz w:val="20"/>
                <w:szCs w:val="20"/>
                <w:lang w:val="hr-HR"/>
              </w:rPr>
              <w:t>7,501</w:t>
            </w:r>
          </w:p>
        </w:tc>
        <w:tc>
          <w:tcPr>
            <w:tcW w:w="864" w:type="pct"/>
            <w:tcBorders>
              <w:top w:val="nil"/>
              <w:left w:val="nil"/>
              <w:bottom w:val="nil"/>
              <w:right w:val="nil"/>
            </w:tcBorders>
            <w:shd w:val="clear" w:color="auto" w:fill="auto"/>
            <w:vAlign w:val="bottom"/>
          </w:tcPr>
          <w:p w14:paraId="48CF4448" w14:textId="77777777" w:rsidR="00587444" w:rsidRPr="00587444" w:rsidRDefault="00587444" w:rsidP="00587444">
            <w:pPr>
              <w:tabs>
                <w:tab w:val="left" w:pos="-720"/>
              </w:tabs>
              <w:autoSpaceDN/>
              <w:jc w:val="right"/>
              <w:rPr>
                <w:rFonts w:ascii="Arial" w:hAnsi="Arial" w:cs="Arial"/>
                <w:color w:val="000000"/>
                <w:sz w:val="20"/>
                <w:szCs w:val="20"/>
                <w:lang w:val="hr-HR"/>
              </w:rPr>
            </w:pPr>
            <w:r w:rsidRPr="00587444">
              <w:rPr>
                <w:rFonts w:ascii="Arial" w:hAnsi="Arial" w:cs="Arial"/>
                <w:color w:val="000000"/>
                <w:sz w:val="20"/>
                <w:szCs w:val="20"/>
                <w:lang w:val="hr-HR"/>
              </w:rPr>
              <w:t>10,597</w:t>
            </w:r>
          </w:p>
        </w:tc>
        <w:tc>
          <w:tcPr>
            <w:tcW w:w="864" w:type="pct"/>
            <w:tcBorders>
              <w:top w:val="nil"/>
              <w:left w:val="nil"/>
              <w:bottom w:val="nil"/>
              <w:right w:val="nil"/>
            </w:tcBorders>
            <w:shd w:val="clear" w:color="auto" w:fill="auto"/>
            <w:vAlign w:val="bottom"/>
          </w:tcPr>
          <w:p w14:paraId="527B5D17" w14:textId="77777777" w:rsidR="00587444" w:rsidRPr="00587444" w:rsidRDefault="00587444" w:rsidP="00587444">
            <w:pPr>
              <w:tabs>
                <w:tab w:val="left" w:pos="-720"/>
              </w:tabs>
              <w:autoSpaceDN/>
              <w:jc w:val="right"/>
              <w:rPr>
                <w:rFonts w:ascii="Arial" w:hAnsi="Arial" w:cs="Arial"/>
                <w:sz w:val="20"/>
                <w:szCs w:val="20"/>
                <w:lang w:val="en-GB"/>
              </w:rPr>
            </w:pPr>
            <w:r w:rsidRPr="00587444">
              <w:rPr>
                <w:rFonts w:ascii="Arial" w:hAnsi="Arial" w:cs="Arial"/>
                <w:color w:val="000000"/>
                <w:sz w:val="20"/>
                <w:szCs w:val="20"/>
                <w:lang w:val="hr-HR"/>
              </w:rPr>
              <w:t>7,501</w:t>
            </w:r>
          </w:p>
        </w:tc>
      </w:tr>
      <w:tr w:rsidR="00587444" w:rsidRPr="00587444" w14:paraId="74E00518" w14:textId="77777777" w:rsidTr="00DD69E7">
        <w:tc>
          <w:tcPr>
            <w:tcW w:w="1544" w:type="pct"/>
          </w:tcPr>
          <w:p w14:paraId="159907A8" w14:textId="77777777" w:rsidR="00587444" w:rsidRPr="00587444" w:rsidRDefault="00587444" w:rsidP="00587444">
            <w:pPr>
              <w:tabs>
                <w:tab w:val="left" w:pos="-720"/>
              </w:tabs>
              <w:autoSpaceDN/>
              <w:rPr>
                <w:rFonts w:ascii="Arial" w:hAnsi="Arial" w:cs="Arial"/>
                <w:sz w:val="20"/>
                <w:szCs w:val="20"/>
                <w:lang w:val="en-GB"/>
              </w:rPr>
            </w:pPr>
            <w:r w:rsidRPr="00587444">
              <w:rPr>
                <w:rFonts w:ascii="Arial" w:hAnsi="Arial" w:cs="Arial"/>
                <w:sz w:val="20"/>
                <w:szCs w:val="20"/>
                <w:lang w:val="en-GB"/>
              </w:rPr>
              <w:t>Deposits with domestic banks</w:t>
            </w:r>
          </w:p>
        </w:tc>
        <w:tc>
          <w:tcPr>
            <w:tcW w:w="864" w:type="pct"/>
            <w:tcBorders>
              <w:top w:val="nil"/>
              <w:left w:val="nil"/>
              <w:bottom w:val="nil"/>
              <w:right w:val="nil"/>
            </w:tcBorders>
            <w:shd w:val="clear" w:color="auto" w:fill="auto"/>
            <w:vAlign w:val="bottom"/>
          </w:tcPr>
          <w:p w14:paraId="2AC7795F" w14:textId="77777777" w:rsidR="00587444" w:rsidRPr="00587444" w:rsidRDefault="00587444" w:rsidP="00587444">
            <w:pPr>
              <w:tabs>
                <w:tab w:val="left" w:pos="-720"/>
              </w:tabs>
              <w:autoSpaceDN/>
              <w:jc w:val="right"/>
              <w:rPr>
                <w:rFonts w:ascii="Arial" w:hAnsi="Arial" w:cs="Arial"/>
                <w:color w:val="000000"/>
                <w:sz w:val="20"/>
                <w:szCs w:val="20"/>
                <w:lang w:val="hr-HR"/>
              </w:rPr>
            </w:pPr>
            <w:r w:rsidRPr="00587444">
              <w:rPr>
                <w:rFonts w:ascii="Arial" w:hAnsi="Arial" w:cs="Arial"/>
                <w:color w:val="000000"/>
                <w:sz w:val="20"/>
                <w:szCs w:val="20"/>
                <w:lang w:val="hr-HR"/>
              </w:rPr>
              <w:t>22,604</w:t>
            </w:r>
          </w:p>
        </w:tc>
        <w:tc>
          <w:tcPr>
            <w:tcW w:w="864" w:type="pct"/>
            <w:tcBorders>
              <w:top w:val="nil"/>
              <w:left w:val="nil"/>
              <w:bottom w:val="nil"/>
              <w:right w:val="nil"/>
            </w:tcBorders>
            <w:shd w:val="clear" w:color="auto" w:fill="auto"/>
            <w:vAlign w:val="bottom"/>
          </w:tcPr>
          <w:p w14:paraId="4187F3F9" w14:textId="77777777" w:rsidR="00587444" w:rsidRPr="00587444" w:rsidRDefault="00587444" w:rsidP="00587444">
            <w:pPr>
              <w:tabs>
                <w:tab w:val="left" w:pos="-720"/>
              </w:tabs>
              <w:autoSpaceDN/>
              <w:jc w:val="right"/>
              <w:rPr>
                <w:rFonts w:ascii="Arial" w:hAnsi="Arial" w:cs="Arial"/>
                <w:color w:val="000000"/>
                <w:sz w:val="20"/>
                <w:szCs w:val="20"/>
                <w:lang w:val="hr-HR"/>
              </w:rPr>
            </w:pPr>
            <w:r w:rsidRPr="00587444">
              <w:rPr>
                <w:rFonts w:ascii="Arial" w:hAnsi="Arial" w:cs="Arial"/>
                <w:color w:val="000000"/>
                <w:sz w:val="20"/>
                <w:szCs w:val="20"/>
                <w:lang w:val="hr-HR"/>
              </w:rPr>
              <w:t>-</w:t>
            </w:r>
          </w:p>
        </w:tc>
        <w:tc>
          <w:tcPr>
            <w:tcW w:w="864" w:type="pct"/>
            <w:tcBorders>
              <w:top w:val="nil"/>
              <w:left w:val="nil"/>
              <w:bottom w:val="nil"/>
              <w:right w:val="nil"/>
            </w:tcBorders>
            <w:shd w:val="clear" w:color="auto" w:fill="auto"/>
            <w:vAlign w:val="bottom"/>
          </w:tcPr>
          <w:p w14:paraId="17A775B8" w14:textId="77777777" w:rsidR="00587444" w:rsidRPr="00587444" w:rsidRDefault="00587444" w:rsidP="00587444">
            <w:pPr>
              <w:tabs>
                <w:tab w:val="left" w:pos="-720"/>
              </w:tabs>
              <w:autoSpaceDN/>
              <w:jc w:val="right"/>
              <w:rPr>
                <w:rFonts w:ascii="Arial" w:hAnsi="Arial" w:cs="Arial"/>
                <w:color w:val="000000"/>
                <w:sz w:val="20"/>
                <w:szCs w:val="20"/>
                <w:lang w:val="hr-HR"/>
              </w:rPr>
            </w:pPr>
            <w:r w:rsidRPr="00587444">
              <w:rPr>
                <w:rFonts w:ascii="Arial" w:hAnsi="Arial" w:cs="Arial"/>
                <w:color w:val="000000"/>
                <w:sz w:val="20"/>
                <w:szCs w:val="20"/>
                <w:lang w:val="hr-HR"/>
              </w:rPr>
              <w:t>-</w:t>
            </w:r>
          </w:p>
        </w:tc>
        <w:tc>
          <w:tcPr>
            <w:tcW w:w="864" w:type="pct"/>
            <w:tcBorders>
              <w:top w:val="nil"/>
              <w:left w:val="nil"/>
              <w:bottom w:val="nil"/>
              <w:right w:val="nil"/>
            </w:tcBorders>
            <w:shd w:val="clear" w:color="auto" w:fill="auto"/>
            <w:vAlign w:val="bottom"/>
          </w:tcPr>
          <w:p w14:paraId="0E5BDAA8" w14:textId="77777777" w:rsidR="00587444" w:rsidRPr="00587444" w:rsidRDefault="00587444" w:rsidP="00587444">
            <w:pPr>
              <w:tabs>
                <w:tab w:val="left" w:pos="-720"/>
              </w:tabs>
              <w:autoSpaceDN/>
              <w:jc w:val="right"/>
              <w:rPr>
                <w:rFonts w:ascii="Arial" w:hAnsi="Arial" w:cs="Arial"/>
                <w:color w:val="000000"/>
                <w:sz w:val="20"/>
                <w:szCs w:val="20"/>
                <w:lang w:val="hr-HR"/>
              </w:rPr>
            </w:pPr>
            <w:r w:rsidRPr="00587444">
              <w:rPr>
                <w:rFonts w:ascii="Arial" w:hAnsi="Arial" w:cs="Arial"/>
                <w:color w:val="000000"/>
                <w:sz w:val="20"/>
                <w:szCs w:val="20"/>
                <w:lang w:val="hr-HR"/>
              </w:rPr>
              <w:t>-</w:t>
            </w:r>
          </w:p>
        </w:tc>
      </w:tr>
      <w:tr w:rsidR="00587444" w:rsidRPr="00587444" w14:paraId="5166F2A9" w14:textId="77777777" w:rsidTr="00DD69E7">
        <w:tc>
          <w:tcPr>
            <w:tcW w:w="1544" w:type="pct"/>
          </w:tcPr>
          <w:p w14:paraId="51304E0C"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17" w:name="_Toc4058350"/>
            <w:r w:rsidRPr="00587444">
              <w:rPr>
                <w:rFonts w:ascii="Arial" w:hAnsi="Arial" w:cs="Arial"/>
                <w:sz w:val="20"/>
                <w:szCs w:val="20"/>
                <w:lang w:val="en-GB"/>
              </w:rPr>
              <w:t>Accrued interest</w:t>
            </w:r>
            <w:bookmarkEnd w:id="617"/>
            <w:r w:rsidRPr="00587444">
              <w:rPr>
                <w:rFonts w:ascii="Arial" w:hAnsi="Arial" w:cs="Arial"/>
                <w:sz w:val="20"/>
                <w:szCs w:val="20"/>
                <w:lang w:val="en-GB"/>
              </w:rPr>
              <w:t xml:space="preserve"> </w:t>
            </w:r>
          </w:p>
        </w:tc>
        <w:tc>
          <w:tcPr>
            <w:tcW w:w="864" w:type="pct"/>
            <w:tcBorders>
              <w:top w:val="nil"/>
              <w:left w:val="nil"/>
              <w:bottom w:val="single" w:sz="4" w:space="0" w:color="auto"/>
              <w:right w:val="nil"/>
            </w:tcBorders>
            <w:shd w:val="clear" w:color="auto" w:fill="auto"/>
            <w:vAlign w:val="bottom"/>
          </w:tcPr>
          <w:p w14:paraId="452F0497" w14:textId="77777777" w:rsidR="00587444" w:rsidRPr="00587444" w:rsidRDefault="00587444" w:rsidP="00587444">
            <w:pPr>
              <w:tabs>
                <w:tab w:val="left" w:pos="-720"/>
              </w:tabs>
              <w:autoSpaceDN/>
              <w:jc w:val="right"/>
              <w:rPr>
                <w:rFonts w:ascii="Arial" w:hAnsi="Arial" w:cs="Arial"/>
                <w:color w:val="000000"/>
                <w:sz w:val="20"/>
                <w:szCs w:val="20"/>
                <w:lang w:val="hr-HR"/>
              </w:rPr>
            </w:pPr>
            <w:r w:rsidRPr="00587444">
              <w:rPr>
                <w:rFonts w:ascii="Arial" w:hAnsi="Arial" w:cs="Arial"/>
                <w:color w:val="000000"/>
                <w:sz w:val="20"/>
                <w:szCs w:val="20"/>
                <w:lang w:val="hr-HR"/>
              </w:rPr>
              <w:t>10</w:t>
            </w:r>
          </w:p>
        </w:tc>
        <w:tc>
          <w:tcPr>
            <w:tcW w:w="864" w:type="pct"/>
            <w:tcBorders>
              <w:top w:val="nil"/>
              <w:left w:val="nil"/>
              <w:bottom w:val="single" w:sz="4" w:space="0" w:color="auto"/>
              <w:right w:val="nil"/>
            </w:tcBorders>
            <w:shd w:val="clear" w:color="auto" w:fill="auto"/>
            <w:vAlign w:val="bottom"/>
          </w:tcPr>
          <w:p w14:paraId="37CFF3B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w:t>
            </w:r>
          </w:p>
        </w:tc>
        <w:tc>
          <w:tcPr>
            <w:tcW w:w="864" w:type="pct"/>
            <w:tcBorders>
              <w:top w:val="nil"/>
              <w:left w:val="nil"/>
              <w:bottom w:val="single" w:sz="4" w:space="0" w:color="auto"/>
              <w:right w:val="nil"/>
            </w:tcBorders>
            <w:shd w:val="clear" w:color="auto" w:fill="auto"/>
            <w:vAlign w:val="bottom"/>
          </w:tcPr>
          <w:p w14:paraId="3FC58BAC" w14:textId="77777777" w:rsidR="00587444" w:rsidRPr="00587444" w:rsidRDefault="00587444" w:rsidP="00587444">
            <w:pPr>
              <w:tabs>
                <w:tab w:val="left" w:pos="-720"/>
              </w:tabs>
              <w:autoSpaceDN/>
              <w:jc w:val="right"/>
              <w:rPr>
                <w:rFonts w:ascii="Arial" w:hAnsi="Arial" w:cs="Arial"/>
                <w:color w:val="000000"/>
                <w:sz w:val="20"/>
                <w:szCs w:val="20"/>
                <w:lang w:val="hr-HR"/>
              </w:rPr>
            </w:pPr>
            <w:r w:rsidRPr="00587444">
              <w:rPr>
                <w:rFonts w:ascii="Arial" w:hAnsi="Arial" w:cs="Arial"/>
                <w:color w:val="000000"/>
                <w:sz w:val="20"/>
                <w:szCs w:val="20"/>
                <w:lang w:val="hr-HR"/>
              </w:rPr>
              <w:t>-</w:t>
            </w:r>
          </w:p>
        </w:tc>
        <w:tc>
          <w:tcPr>
            <w:tcW w:w="864" w:type="pct"/>
            <w:tcBorders>
              <w:top w:val="nil"/>
              <w:left w:val="nil"/>
              <w:bottom w:val="single" w:sz="4" w:space="0" w:color="auto"/>
              <w:right w:val="nil"/>
            </w:tcBorders>
            <w:shd w:val="clear" w:color="auto" w:fill="auto"/>
            <w:vAlign w:val="bottom"/>
          </w:tcPr>
          <w:p w14:paraId="188C174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w:t>
            </w:r>
          </w:p>
        </w:tc>
      </w:tr>
      <w:tr w:rsidR="00587444" w:rsidRPr="00587444" w14:paraId="335865A5" w14:textId="77777777" w:rsidTr="00DD69E7">
        <w:tc>
          <w:tcPr>
            <w:tcW w:w="1544" w:type="pct"/>
          </w:tcPr>
          <w:p w14:paraId="757829BD" w14:textId="77777777" w:rsidR="00587444" w:rsidRPr="00587444" w:rsidRDefault="00587444" w:rsidP="00587444">
            <w:pPr>
              <w:tabs>
                <w:tab w:val="right" w:pos="1202"/>
              </w:tabs>
              <w:suppressAutoHyphens w:val="0"/>
              <w:autoSpaceDN/>
              <w:spacing w:line="340" w:lineRule="exact"/>
              <w:outlineLvl w:val="0"/>
              <w:rPr>
                <w:rFonts w:ascii="Arial" w:hAnsi="Arial" w:cs="Arial"/>
                <w:sz w:val="20"/>
                <w:szCs w:val="20"/>
                <w:lang w:val="en-GB"/>
              </w:rPr>
            </w:pPr>
          </w:p>
        </w:tc>
        <w:tc>
          <w:tcPr>
            <w:tcW w:w="864" w:type="pct"/>
            <w:tcBorders>
              <w:top w:val="single" w:sz="4" w:space="0" w:color="auto"/>
              <w:left w:val="nil"/>
              <w:bottom w:val="single" w:sz="12" w:space="0" w:color="auto"/>
              <w:right w:val="nil"/>
            </w:tcBorders>
            <w:shd w:val="clear" w:color="auto" w:fill="auto"/>
            <w:vAlign w:val="bottom"/>
          </w:tcPr>
          <w:p w14:paraId="1DE62A87" w14:textId="77777777" w:rsidR="00587444" w:rsidRPr="00587444" w:rsidRDefault="00587444" w:rsidP="00587444">
            <w:pPr>
              <w:tabs>
                <w:tab w:val="left" w:pos="-720"/>
              </w:tabs>
              <w:autoSpaceDN/>
              <w:jc w:val="right"/>
              <w:rPr>
                <w:rFonts w:ascii="Arial" w:hAnsi="Arial" w:cs="Arial"/>
                <w:b/>
                <w:bCs/>
                <w:color w:val="000000"/>
                <w:sz w:val="20"/>
                <w:szCs w:val="20"/>
                <w:lang w:val="hr-HR"/>
              </w:rPr>
            </w:pPr>
            <w:r w:rsidRPr="00587444">
              <w:rPr>
                <w:rFonts w:ascii="Arial" w:hAnsi="Arial" w:cs="Arial"/>
                <w:b/>
                <w:bCs/>
                <w:color w:val="000000"/>
                <w:sz w:val="20"/>
                <w:szCs w:val="20"/>
                <w:lang w:val="hr-HR"/>
              </w:rPr>
              <w:t>33,211</w:t>
            </w:r>
          </w:p>
        </w:tc>
        <w:tc>
          <w:tcPr>
            <w:tcW w:w="864" w:type="pct"/>
            <w:tcBorders>
              <w:top w:val="single" w:sz="4" w:space="0" w:color="auto"/>
              <w:left w:val="nil"/>
              <w:bottom w:val="single" w:sz="12" w:space="0" w:color="auto"/>
              <w:right w:val="nil"/>
            </w:tcBorders>
            <w:shd w:val="clear" w:color="auto" w:fill="auto"/>
            <w:vAlign w:val="bottom"/>
          </w:tcPr>
          <w:p w14:paraId="21FA420E"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sz w:val="20"/>
                <w:szCs w:val="20"/>
                <w:lang w:val="hr-HR"/>
              </w:rPr>
            </w:pPr>
            <w:r w:rsidRPr="00587444">
              <w:rPr>
                <w:rFonts w:ascii="Arial" w:hAnsi="Arial" w:cs="Arial"/>
                <w:b/>
                <w:color w:val="000000"/>
                <w:sz w:val="20"/>
                <w:szCs w:val="20"/>
                <w:lang w:val="hr-HR"/>
              </w:rPr>
              <w:t>7,501</w:t>
            </w:r>
          </w:p>
        </w:tc>
        <w:tc>
          <w:tcPr>
            <w:tcW w:w="864" w:type="pct"/>
            <w:tcBorders>
              <w:top w:val="single" w:sz="4" w:space="0" w:color="auto"/>
              <w:left w:val="nil"/>
              <w:bottom w:val="single" w:sz="12" w:space="0" w:color="auto"/>
              <w:right w:val="nil"/>
            </w:tcBorders>
            <w:shd w:val="clear" w:color="auto" w:fill="auto"/>
            <w:vAlign w:val="bottom"/>
          </w:tcPr>
          <w:p w14:paraId="18C4D1BB" w14:textId="77777777" w:rsidR="00587444" w:rsidRPr="00587444" w:rsidRDefault="00587444" w:rsidP="00587444">
            <w:pPr>
              <w:tabs>
                <w:tab w:val="left" w:pos="-720"/>
              </w:tabs>
              <w:autoSpaceDN/>
              <w:jc w:val="right"/>
              <w:rPr>
                <w:rFonts w:ascii="Arial" w:hAnsi="Arial" w:cs="Arial"/>
                <w:b/>
                <w:bCs/>
                <w:color w:val="000000"/>
                <w:sz w:val="20"/>
                <w:szCs w:val="20"/>
                <w:lang w:val="hr-HR"/>
              </w:rPr>
            </w:pPr>
            <w:r w:rsidRPr="00587444">
              <w:rPr>
                <w:rFonts w:ascii="Arial" w:hAnsi="Arial" w:cs="Arial"/>
                <w:b/>
                <w:bCs/>
                <w:color w:val="000000"/>
                <w:sz w:val="20"/>
                <w:szCs w:val="20"/>
                <w:lang w:val="hr-HR"/>
              </w:rPr>
              <w:t>10,597</w:t>
            </w:r>
          </w:p>
        </w:tc>
        <w:tc>
          <w:tcPr>
            <w:tcW w:w="864" w:type="pct"/>
            <w:tcBorders>
              <w:top w:val="single" w:sz="4" w:space="0" w:color="auto"/>
              <w:left w:val="nil"/>
              <w:bottom w:val="single" w:sz="12" w:space="0" w:color="auto"/>
              <w:right w:val="nil"/>
            </w:tcBorders>
            <w:shd w:val="clear" w:color="auto" w:fill="auto"/>
            <w:vAlign w:val="bottom"/>
          </w:tcPr>
          <w:p w14:paraId="51AEA0B7"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sz w:val="20"/>
                <w:szCs w:val="20"/>
                <w:lang w:val="hr-HR"/>
              </w:rPr>
            </w:pPr>
            <w:r w:rsidRPr="00587444">
              <w:rPr>
                <w:rFonts w:ascii="Arial" w:hAnsi="Arial" w:cs="Arial"/>
                <w:b/>
                <w:color w:val="000000"/>
                <w:sz w:val="20"/>
                <w:szCs w:val="20"/>
                <w:lang w:val="hr-HR"/>
              </w:rPr>
              <w:t>7,501</w:t>
            </w:r>
          </w:p>
        </w:tc>
      </w:tr>
      <w:tr w:rsidR="00587444" w:rsidRPr="00587444" w14:paraId="1DC02EA1" w14:textId="77777777" w:rsidTr="00DD69E7">
        <w:tc>
          <w:tcPr>
            <w:tcW w:w="1544" w:type="pct"/>
          </w:tcPr>
          <w:p w14:paraId="61404AA0" w14:textId="77777777" w:rsidR="00587444" w:rsidRPr="00587444" w:rsidRDefault="00587444" w:rsidP="00587444">
            <w:pPr>
              <w:tabs>
                <w:tab w:val="left" w:pos="-720"/>
              </w:tabs>
              <w:autoSpaceDN/>
              <w:rPr>
                <w:rFonts w:ascii="Arial" w:hAnsi="Arial" w:cs="Arial"/>
                <w:spacing w:val="-2"/>
                <w:sz w:val="20"/>
                <w:szCs w:val="20"/>
                <w:lang w:val="en-GB"/>
              </w:rPr>
            </w:pPr>
          </w:p>
        </w:tc>
        <w:tc>
          <w:tcPr>
            <w:tcW w:w="864" w:type="pct"/>
            <w:tcBorders>
              <w:top w:val="nil"/>
              <w:left w:val="nil"/>
              <w:right w:val="nil"/>
            </w:tcBorders>
            <w:shd w:val="clear" w:color="auto" w:fill="auto"/>
            <w:vAlign w:val="bottom"/>
          </w:tcPr>
          <w:p w14:paraId="7A7BB43D" w14:textId="77777777" w:rsidR="00587444" w:rsidRPr="00587444" w:rsidRDefault="00587444" w:rsidP="00587444">
            <w:pPr>
              <w:tabs>
                <w:tab w:val="left" w:pos="-720"/>
              </w:tabs>
              <w:autoSpaceDN/>
              <w:jc w:val="right"/>
              <w:rPr>
                <w:rFonts w:ascii="Arial" w:hAnsi="Arial" w:cs="Arial"/>
                <w:color w:val="000000"/>
                <w:sz w:val="20"/>
                <w:szCs w:val="20"/>
                <w:lang w:val="hr-HR"/>
              </w:rPr>
            </w:pPr>
          </w:p>
        </w:tc>
        <w:tc>
          <w:tcPr>
            <w:tcW w:w="864" w:type="pct"/>
            <w:tcBorders>
              <w:top w:val="nil"/>
              <w:left w:val="nil"/>
              <w:right w:val="nil"/>
            </w:tcBorders>
            <w:shd w:val="clear" w:color="auto" w:fill="auto"/>
            <w:vAlign w:val="bottom"/>
          </w:tcPr>
          <w:p w14:paraId="76BE7960" w14:textId="77777777" w:rsidR="00587444" w:rsidRPr="00587444" w:rsidRDefault="00587444" w:rsidP="00587444">
            <w:pPr>
              <w:autoSpaceDN/>
              <w:jc w:val="right"/>
              <w:rPr>
                <w:rFonts w:ascii="Arial" w:hAnsi="Arial" w:cs="Arial"/>
                <w:spacing w:val="-2"/>
                <w:sz w:val="20"/>
                <w:szCs w:val="20"/>
                <w:lang w:val="hr-HR"/>
              </w:rPr>
            </w:pPr>
          </w:p>
        </w:tc>
        <w:tc>
          <w:tcPr>
            <w:tcW w:w="864" w:type="pct"/>
            <w:tcBorders>
              <w:top w:val="nil"/>
              <w:left w:val="nil"/>
              <w:right w:val="nil"/>
            </w:tcBorders>
            <w:shd w:val="clear" w:color="auto" w:fill="auto"/>
            <w:vAlign w:val="bottom"/>
          </w:tcPr>
          <w:p w14:paraId="04434367" w14:textId="77777777" w:rsidR="00587444" w:rsidRPr="00587444" w:rsidRDefault="00587444" w:rsidP="00587444">
            <w:pPr>
              <w:tabs>
                <w:tab w:val="left" w:pos="-720"/>
              </w:tabs>
              <w:autoSpaceDN/>
              <w:jc w:val="right"/>
              <w:rPr>
                <w:rFonts w:ascii="Arial" w:hAnsi="Arial" w:cs="Arial"/>
                <w:color w:val="000000"/>
                <w:sz w:val="20"/>
                <w:szCs w:val="20"/>
                <w:lang w:val="hr-HR"/>
              </w:rPr>
            </w:pPr>
          </w:p>
        </w:tc>
        <w:tc>
          <w:tcPr>
            <w:tcW w:w="864" w:type="pct"/>
            <w:tcBorders>
              <w:top w:val="nil"/>
              <w:left w:val="nil"/>
              <w:right w:val="nil"/>
            </w:tcBorders>
            <w:shd w:val="clear" w:color="auto" w:fill="auto"/>
            <w:vAlign w:val="bottom"/>
          </w:tcPr>
          <w:p w14:paraId="237D6CB5" w14:textId="77777777" w:rsidR="00587444" w:rsidRPr="00587444" w:rsidRDefault="00587444" w:rsidP="00587444">
            <w:pPr>
              <w:autoSpaceDN/>
              <w:jc w:val="right"/>
              <w:rPr>
                <w:rFonts w:ascii="Arial" w:hAnsi="Arial" w:cs="Arial"/>
                <w:spacing w:val="-2"/>
                <w:sz w:val="20"/>
                <w:szCs w:val="20"/>
                <w:lang w:val="hr-HR"/>
              </w:rPr>
            </w:pPr>
          </w:p>
        </w:tc>
      </w:tr>
      <w:tr w:rsidR="00587444" w:rsidRPr="00587444" w14:paraId="6ED85F9D" w14:textId="77777777" w:rsidTr="00DD69E7">
        <w:tc>
          <w:tcPr>
            <w:tcW w:w="1544" w:type="pct"/>
          </w:tcPr>
          <w:p w14:paraId="70C985EA"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18" w:name="_Toc4058359"/>
            <w:r w:rsidRPr="00587444">
              <w:rPr>
                <w:rFonts w:ascii="Arial" w:hAnsi="Arial" w:cs="Arial"/>
                <w:sz w:val="20"/>
                <w:szCs w:val="20"/>
                <w:lang w:val="en-GB"/>
              </w:rPr>
              <w:t>Loss allowances</w:t>
            </w:r>
            <w:bookmarkEnd w:id="618"/>
          </w:p>
        </w:tc>
        <w:tc>
          <w:tcPr>
            <w:tcW w:w="864" w:type="pct"/>
            <w:tcBorders>
              <w:top w:val="nil"/>
              <w:left w:val="nil"/>
              <w:bottom w:val="single" w:sz="4" w:space="0" w:color="auto"/>
              <w:right w:val="nil"/>
            </w:tcBorders>
            <w:shd w:val="clear" w:color="auto" w:fill="auto"/>
            <w:vAlign w:val="bottom"/>
          </w:tcPr>
          <w:p w14:paraId="7E236162" w14:textId="77777777" w:rsidR="00587444" w:rsidRPr="00587444" w:rsidRDefault="00587444" w:rsidP="00587444">
            <w:pPr>
              <w:tabs>
                <w:tab w:val="left" w:pos="-720"/>
              </w:tabs>
              <w:autoSpaceDN/>
              <w:jc w:val="right"/>
              <w:rPr>
                <w:rFonts w:ascii="Arial" w:hAnsi="Arial" w:cs="Arial"/>
                <w:color w:val="000000"/>
                <w:sz w:val="20"/>
                <w:szCs w:val="20"/>
                <w:lang w:val="hr-HR"/>
              </w:rPr>
            </w:pPr>
            <w:r w:rsidRPr="00587444">
              <w:rPr>
                <w:rFonts w:ascii="Arial" w:hAnsi="Arial" w:cs="Arial"/>
                <w:color w:val="000000"/>
                <w:sz w:val="20"/>
                <w:szCs w:val="20"/>
                <w:lang w:val="hr-HR"/>
              </w:rPr>
              <w:t>(31)</w:t>
            </w:r>
          </w:p>
        </w:tc>
        <w:tc>
          <w:tcPr>
            <w:tcW w:w="864" w:type="pct"/>
            <w:tcBorders>
              <w:top w:val="nil"/>
              <w:left w:val="nil"/>
              <w:bottom w:val="single" w:sz="4" w:space="0" w:color="auto"/>
              <w:right w:val="nil"/>
            </w:tcBorders>
            <w:shd w:val="clear" w:color="auto" w:fill="auto"/>
            <w:vAlign w:val="bottom"/>
          </w:tcPr>
          <w:p w14:paraId="2E5BE4B7" w14:textId="77777777" w:rsidR="00587444" w:rsidRPr="00587444" w:rsidRDefault="00587444" w:rsidP="00587444">
            <w:pPr>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(1)</w:t>
            </w:r>
          </w:p>
        </w:tc>
        <w:tc>
          <w:tcPr>
            <w:tcW w:w="864" w:type="pct"/>
            <w:tcBorders>
              <w:top w:val="nil"/>
              <w:left w:val="nil"/>
              <w:bottom w:val="single" w:sz="4" w:space="0" w:color="auto"/>
              <w:right w:val="nil"/>
            </w:tcBorders>
            <w:shd w:val="clear" w:color="auto" w:fill="auto"/>
            <w:vAlign w:val="bottom"/>
          </w:tcPr>
          <w:p w14:paraId="1661FA8E" w14:textId="77777777" w:rsidR="00587444" w:rsidRPr="00587444" w:rsidRDefault="00587444" w:rsidP="00587444">
            <w:pPr>
              <w:tabs>
                <w:tab w:val="left" w:pos="-720"/>
              </w:tabs>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(1)</w:t>
            </w:r>
          </w:p>
        </w:tc>
        <w:tc>
          <w:tcPr>
            <w:tcW w:w="864" w:type="pct"/>
            <w:tcBorders>
              <w:top w:val="nil"/>
              <w:left w:val="nil"/>
              <w:bottom w:val="single" w:sz="4" w:space="0" w:color="auto"/>
              <w:right w:val="nil"/>
            </w:tcBorders>
            <w:shd w:val="clear" w:color="auto" w:fill="auto"/>
            <w:vAlign w:val="bottom"/>
          </w:tcPr>
          <w:p w14:paraId="47D5C44B" w14:textId="77777777" w:rsidR="00587444" w:rsidRPr="00587444" w:rsidRDefault="00587444" w:rsidP="00587444">
            <w:pPr>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w:t>
            </w:r>
          </w:p>
        </w:tc>
      </w:tr>
      <w:tr w:rsidR="00587444" w:rsidRPr="00587444" w14:paraId="05E9F7AA" w14:textId="77777777" w:rsidTr="00DD69E7">
        <w:tc>
          <w:tcPr>
            <w:tcW w:w="1544" w:type="pct"/>
          </w:tcPr>
          <w:p w14:paraId="7DD8F93A" w14:textId="77777777" w:rsidR="00587444" w:rsidRPr="00587444" w:rsidRDefault="00587444" w:rsidP="00587444">
            <w:pPr>
              <w:tabs>
                <w:tab w:val="left" w:pos="-720"/>
              </w:tabs>
              <w:autoSpaceDN/>
              <w:rPr>
                <w:rFonts w:ascii="Arial" w:hAnsi="Arial" w:cs="Arial"/>
                <w:b/>
                <w:bCs/>
                <w:spacing w:val="-2"/>
                <w:sz w:val="20"/>
                <w:szCs w:val="20"/>
                <w:lang w:val="en-GB"/>
              </w:rPr>
            </w:pPr>
          </w:p>
        </w:tc>
        <w:tc>
          <w:tcPr>
            <w:tcW w:w="864" w:type="pct"/>
            <w:tcBorders>
              <w:top w:val="single" w:sz="4" w:space="0" w:color="auto"/>
              <w:left w:val="nil"/>
              <w:bottom w:val="single" w:sz="12" w:space="0" w:color="auto"/>
              <w:right w:val="nil"/>
            </w:tcBorders>
            <w:shd w:val="clear" w:color="auto" w:fill="auto"/>
            <w:vAlign w:val="bottom"/>
          </w:tcPr>
          <w:p w14:paraId="07DE1531" w14:textId="77777777" w:rsidR="00587444" w:rsidRPr="00587444" w:rsidRDefault="00587444" w:rsidP="00587444">
            <w:pPr>
              <w:tabs>
                <w:tab w:val="left" w:pos="-720"/>
              </w:tabs>
              <w:autoSpaceDN/>
              <w:jc w:val="right"/>
              <w:rPr>
                <w:rFonts w:ascii="Arial" w:hAnsi="Arial" w:cs="Arial"/>
                <w:b/>
                <w:bCs/>
                <w:color w:val="000000"/>
                <w:sz w:val="20"/>
                <w:szCs w:val="20"/>
                <w:lang w:val="hr-HR"/>
              </w:rPr>
            </w:pPr>
            <w:r w:rsidRPr="00587444">
              <w:rPr>
                <w:rFonts w:ascii="Arial" w:hAnsi="Arial" w:cs="Arial"/>
                <w:b/>
                <w:bCs/>
                <w:color w:val="000000"/>
                <w:sz w:val="20"/>
                <w:szCs w:val="20"/>
                <w:lang w:val="hr-HR"/>
              </w:rPr>
              <w:t>33,180</w:t>
            </w:r>
          </w:p>
        </w:tc>
        <w:tc>
          <w:tcPr>
            <w:tcW w:w="864" w:type="pct"/>
            <w:tcBorders>
              <w:top w:val="single" w:sz="4" w:space="0" w:color="auto"/>
              <w:left w:val="nil"/>
              <w:bottom w:val="single" w:sz="12" w:space="0" w:color="auto"/>
              <w:right w:val="nil"/>
            </w:tcBorders>
            <w:shd w:val="clear" w:color="auto" w:fill="auto"/>
            <w:vAlign w:val="bottom"/>
          </w:tcPr>
          <w:p w14:paraId="6DDFBAA9"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7,500</w:t>
            </w:r>
          </w:p>
        </w:tc>
        <w:tc>
          <w:tcPr>
            <w:tcW w:w="864" w:type="pct"/>
            <w:tcBorders>
              <w:top w:val="single" w:sz="4" w:space="0" w:color="auto"/>
              <w:left w:val="nil"/>
              <w:bottom w:val="single" w:sz="12" w:space="0" w:color="auto"/>
              <w:right w:val="nil"/>
            </w:tcBorders>
            <w:shd w:val="clear" w:color="auto" w:fill="auto"/>
            <w:vAlign w:val="bottom"/>
          </w:tcPr>
          <w:p w14:paraId="3B08D8A3" w14:textId="77777777" w:rsidR="00587444" w:rsidRPr="00587444" w:rsidRDefault="00587444" w:rsidP="00587444">
            <w:pPr>
              <w:tabs>
                <w:tab w:val="left" w:pos="-720"/>
              </w:tabs>
              <w:autoSpaceDN/>
              <w:jc w:val="right"/>
              <w:rPr>
                <w:rFonts w:ascii="Arial" w:hAnsi="Arial" w:cs="Arial"/>
                <w:b/>
                <w:bCs/>
                <w:color w:val="000000"/>
                <w:sz w:val="20"/>
                <w:szCs w:val="20"/>
                <w:lang w:val="hr-HR"/>
              </w:rPr>
            </w:pPr>
            <w:r w:rsidRPr="00587444">
              <w:rPr>
                <w:rFonts w:ascii="Arial" w:hAnsi="Arial" w:cs="Arial"/>
                <w:b/>
                <w:bCs/>
                <w:color w:val="000000"/>
                <w:sz w:val="20"/>
                <w:szCs w:val="20"/>
                <w:lang w:val="hr-HR"/>
              </w:rPr>
              <w:t>10,596</w:t>
            </w:r>
          </w:p>
        </w:tc>
        <w:tc>
          <w:tcPr>
            <w:tcW w:w="864" w:type="pct"/>
            <w:tcBorders>
              <w:top w:val="single" w:sz="4" w:space="0" w:color="auto"/>
              <w:left w:val="nil"/>
              <w:bottom w:val="single" w:sz="12" w:space="0" w:color="auto"/>
              <w:right w:val="nil"/>
            </w:tcBorders>
            <w:shd w:val="clear" w:color="auto" w:fill="auto"/>
            <w:vAlign w:val="bottom"/>
          </w:tcPr>
          <w:p w14:paraId="5D6BA6C7"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7,500</w:t>
            </w:r>
          </w:p>
        </w:tc>
      </w:tr>
    </w:tbl>
    <w:p w14:paraId="7BCEE04A" w14:textId="77777777" w:rsidR="00587444" w:rsidRPr="00587444" w:rsidRDefault="00587444" w:rsidP="00587444">
      <w:pPr>
        <w:keepNext/>
        <w:suppressAutoHyphens w:val="0"/>
        <w:autoSpaceDN/>
        <w:jc w:val="both"/>
        <w:rPr>
          <w:rFonts w:ascii="Arial" w:hAnsi="Arial" w:cs="Arial"/>
          <w:sz w:val="20"/>
          <w:szCs w:val="20"/>
          <w:lang w:val="en-GB"/>
        </w:rPr>
      </w:pPr>
    </w:p>
    <w:p w14:paraId="4A7F652D" w14:textId="77777777" w:rsidR="00587444" w:rsidRPr="00587444" w:rsidRDefault="00587444" w:rsidP="00587444">
      <w:pPr>
        <w:keepNext/>
        <w:suppressAutoHyphens w:val="0"/>
        <w:autoSpaceDN/>
        <w:jc w:val="both"/>
        <w:rPr>
          <w:rFonts w:ascii="Arial" w:hAnsi="Arial" w:cs="Arial"/>
          <w:sz w:val="20"/>
          <w:szCs w:val="20"/>
          <w:lang w:val="en-GB"/>
        </w:rPr>
      </w:pPr>
    </w:p>
    <w:p w14:paraId="14595793" w14:textId="77777777" w:rsidR="00587444" w:rsidRPr="00587444" w:rsidRDefault="00587444" w:rsidP="00587932">
      <w:pPr>
        <w:keepNext/>
        <w:autoSpaceDN/>
        <w:jc w:val="both"/>
        <w:rPr>
          <w:rFonts w:ascii="Arial" w:hAnsi="Arial" w:cs="Arial"/>
          <w:bCs/>
          <w:sz w:val="20"/>
          <w:szCs w:val="20"/>
          <w:lang w:val="en-GB"/>
        </w:rPr>
      </w:pPr>
      <w:r w:rsidRPr="00587444">
        <w:rPr>
          <w:rFonts w:ascii="Arial" w:hAnsi="Arial" w:cs="Arial"/>
          <w:bCs/>
          <w:sz w:val="20"/>
          <w:szCs w:val="20"/>
          <w:lang w:val="en-GB"/>
        </w:rPr>
        <w:t>The following tables sets out information about the credit quality of financial assets measured at amortised cost. The amounts in the table represent gross carrying amounts:</w:t>
      </w:r>
    </w:p>
    <w:p w14:paraId="42816F47" w14:textId="77777777" w:rsidR="00587444" w:rsidRPr="00587444" w:rsidRDefault="00587444" w:rsidP="00587444">
      <w:pPr>
        <w:keepNext/>
        <w:suppressAutoHyphens w:val="0"/>
        <w:autoSpaceDN/>
        <w:jc w:val="both"/>
        <w:rPr>
          <w:rFonts w:ascii="Arial" w:hAnsi="Arial" w:cs="Arial"/>
          <w:sz w:val="20"/>
          <w:szCs w:val="20"/>
          <w:lang w:val="en-GB"/>
        </w:rPr>
      </w:pPr>
    </w:p>
    <w:tbl>
      <w:tblPr>
        <w:tblW w:w="5379" w:type="pct"/>
        <w:tblInd w:w="-142" w:type="dxa"/>
        <w:tblLayout w:type="fixed"/>
        <w:tblLook w:val="0000" w:firstRow="0" w:lastRow="0" w:firstColumn="0" w:lastColumn="0" w:noHBand="0" w:noVBand="0"/>
      </w:tblPr>
      <w:tblGrid>
        <w:gridCol w:w="1914"/>
        <w:gridCol w:w="1143"/>
        <w:gridCol w:w="1017"/>
        <w:gridCol w:w="1017"/>
        <w:gridCol w:w="1017"/>
        <w:gridCol w:w="1017"/>
        <w:gridCol w:w="1017"/>
        <w:gridCol w:w="1015"/>
        <w:gridCol w:w="1139"/>
      </w:tblGrid>
      <w:tr w:rsidR="00587444" w:rsidRPr="00587444" w14:paraId="1E66E33B" w14:textId="77777777" w:rsidTr="00DD69E7">
        <w:trPr>
          <w:trHeight w:val="239"/>
        </w:trPr>
        <w:tc>
          <w:tcPr>
            <w:tcW w:w="929" w:type="pct"/>
            <w:vAlign w:val="bottom"/>
          </w:tcPr>
          <w:p w14:paraId="7A96DE91" w14:textId="77777777" w:rsidR="00587444" w:rsidRPr="00587444" w:rsidRDefault="00587444" w:rsidP="00587444">
            <w:pPr>
              <w:tabs>
                <w:tab w:val="left" w:pos="-720"/>
              </w:tabs>
              <w:autoSpaceDN/>
              <w:spacing w:line="220" w:lineRule="exact"/>
              <w:rPr>
                <w:rFonts w:ascii="Arial" w:hAnsi="Arial" w:cs="Arial"/>
                <w:b/>
                <w:sz w:val="17"/>
                <w:szCs w:val="17"/>
                <w:lang w:val="en-GB"/>
              </w:rPr>
            </w:pPr>
            <w:r w:rsidRPr="00587444">
              <w:rPr>
                <w:rFonts w:ascii="Arial" w:hAnsi="Arial" w:cs="Arial"/>
                <w:b/>
                <w:sz w:val="17"/>
                <w:szCs w:val="17"/>
                <w:lang w:val="en-GB"/>
              </w:rPr>
              <w:t>31 December 2022</w:t>
            </w:r>
          </w:p>
        </w:tc>
        <w:tc>
          <w:tcPr>
            <w:tcW w:w="555" w:type="pct"/>
            <w:vAlign w:val="bottom"/>
          </w:tcPr>
          <w:p w14:paraId="08E55079"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604CE5B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0116247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494" w:type="pct"/>
            <w:vAlign w:val="bottom"/>
          </w:tcPr>
          <w:p w14:paraId="49824B9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r w:rsidRPr="00587444">
              <w:rPr>
                <w:rFonts w:ascii="Arial" w:hAnsi="Arial" w:cs="Arial"/>
                <w:b/>
                <w:sz w:val="17"/>
                <w:szCs w:val="17"/>
                <w:lang w:val="en-GB"/>
              </w:rPr>
              <w:t>Group</w:t>
            </w:r>
          </w:p>
        </w:tc>
        <w:tc>
          <w:tcPr>
            <w:tcW w:w="494" w:type="pct"/>
            <w:vAlign w:val="bottom"/>
          </w:tcPr>
          <w:p w14:paraId="269AAF9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174EB04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3" w:type="pct"/>
            <w:shd w:val="clear" w:color="auto" w:fill="auto"/>
            <w:vAlign w:val="bottom"/>
          </w:tcPr>
          <w:p w14:paraId="40CCB89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54" w:type="pct"/>
            <w:vAlign w:val="bottom"/>
          </w:tcPr>
          <w:p w14:paraId="08D2E9F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Bank</w:t>
            </w:r>
          </w:p>
        </w:tc>
      </w:tr>
      <w:tr w:rsidR="00587444" w:rsidRPr="00587444" w14:paraId="5B1D9D90" w14:textId="77777777" w:rsidTr="00DD69E7">
        <w:trPr>
          <w:trHeight w:val="311"/>
        </w:trPr>
        <w:tc>
          <w:tcPr>
            <w:tcW w:w="929" w:type="pct"/>
            <w:vAlign w:val="bottom"/>
          </w:tcPr>
          <w:p w14:paraId="6C2805E1" w14:textId="77777777" w:rsidR="00587444" w:rsidRPr="00587444" w:rsidRDefault="00587444" w:rsidP="00587444">
            <w:pPr>
              <w:tabs>
                <w:tab w:val="left" w:pos="-720"/>
              </w:tabs>
              <w:autoSpaceDN/>
              <w:spacing w:line="220" w:lineRule="exact"/>
              <w:rPr>
                <w:rFonts w:ascii="Arial" w:hAnsi="Arial" w:cs="Arial"/>
                <w:sz w:val="17"/>
                <w:szCs w:val="17"/>
                <w:lang w:val="en-GB"/>
              </w:rPr>
            </w:pPr>
          </w:p>
        </w:tc>
        <w:tc>
          <w:tcPr>
            <w:tcW w:w="555" w:type="pct"/>
            <w:vAlign w:val="bottom"/>
          </w:tcPr>
          <w:p w14:paraId="5676727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1911FE1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4" w:type="pct"/>
            <w:vAlign w:val="bottom"/>
          </w:tcPr>
          <w:p w14:paraId="624DC7C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494" w:type="pct"/>
            <w:vAlign w:val="bottom"/>
          </w:tcPr>
          <w:p w14:paraId="5CF59D5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c>
          <w:tcPr>
            <w:tcW w:w="494" w:type="pct"/>
            <w:vAlign w:val="bottom"/>
          </w:tcPr>
          <w:p w14:paraId="55A2FFF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6942278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3" w:type="pct"/>
            <w:vAlign w:val="bottom"/>
          </w:tcPr>
          <w:p w14:paraId="29F44C5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554" w:type="pct"/>
            <w:vAlign w:val="bottom"/>
          </w:tcPr>
          <w:p w14:paraId="1C21E36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587444" w:rsidRPr="00587444" w14:paraId="68A7D210" w14:textId="77777777" w:rsidTr="00DD69E7">
        <w:trPr>
          <w:trHeight w:val="311"/>
        </w:trPr>
        <w:tc>
          <w:tcPr>
            <w:tcW w:w="929" w:type="pct"/>
            <w:vAlign w:val="bottom"/>
          </w:tcPr>
          <w:p w14:paraId="1A329187" w14:textId="77777777" w:rsidR="00587444" w:rsidRPr="00587444" w:rsidRDefault="00587444" w:rsidP="00587444">
            <w:pPr>
              <w:tabs>
                <w:tab w:val="left" w:pos="-720"/>
              </w:tabs>
              <w:autoSpaceDN/>
              <w:spacing w:line="220" w:lineRule="exact"/>
              <w:rPr>
                <w:rFonts w:ascii="Arial" w:hAnsi="Arial" w:cs="Arial"/>
                <w:sz w:val="17"/>
                <w:szCs w:val="17"/>
              </w:rPr>
            </w:pPr>
          </w:p>
        </w:tc>
        <w:tc>
          <w:tcPr>
            <w:tcW w:w="555" w:type="pct"/>
            <w:vAlign w:val="bottom"/>
          </w:tcPr>
          <w:p w14:paraId="2105B75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494" w:type="pct"/>
            <w:vAlign w:val="bottom"/>
          </w:tcPr>
          <w:p w14:paraId="73567F0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494" w:type="pct"/>
            <w:vAlign w:val="bottom"/>
          </w:tcPr>
          <w:p w14:paraId="58534EB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494" w:type="pct"/>
            <w:vAlign w:val="bottom"/>
          </w:tcPr>
          <w:p w14:paraId="0F00686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494" w:type="pct"/>
            <w:vAlign w:val="bottom"/>
          </w:tcPr>
          <w:p w14:paraId="1DB2E72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494" w:type="pct"/>
            <w:vAlign w:val="bottom"/>
          </w:tcPr>
          <w:p w14:paraId="735B916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493" w:type="pct"/>
            <w:vAlign w:val="bottom"/>
          </w:tcPr>
          <w:p w14:paraId="1AE6C18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554" w:type="pct"/>
            <w:vAlign w:val="bottom"/>
          </w:tcPr>
          <w:p w14:paraId="219B94C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r>
      <w:tr w:rsidR="00587444" w:rsidRPr="00587444" w14:paraId="392CB9F7" w14:textId="77777777" w:rsidTr="00DD69E7">
        <w:trPr>
          <w:trHeight w:val="417"/>
        </w:trPr>
        <w:tc>
          <w:tcPr>
            <w:tcW w:w="929" w:type="pct"/>
            <w:vAlign w:val="bottom"/>
          </w:tcPr>
          <w:p w14:paraId="09329100"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Gross amount</w:t>
            </w:r>
          </w:p>
        </w:tc>
        <w:tc>
          <w:tcPr>
            <w:tcW w:w="555" w:type="pct"/>
            <w:tcBorders>
              <w:top w:val="nil"/>
              <w:left w:val="nil"/>
              <w:bottom w:val="nil"/>
              <w:right w:val="nil"/>
            </w:tcBorders>
            <w:shd w:val="clear" w:color="auto" w:fill="auto"/>
            <w:vAlign w:val="bottom"/>
          </w:tcPr>
          <w:p w14:paraId="73F150A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color w:val="000000"/>
                <w:sz w:val="17"/>
                <w:szCs w:val="17"/>
                <w:lang w:val="hr-HR"/>
              </w:rPr>
              <w:t xml:space="preserve"> 33,211 </w:t>
            </w:r>
          </w:p>
        </w:tc>
        <w:tc>
          <w:tcPr>
            <w:tcW w:w="494" w:type="pct"/>
            <w:tcBorders>
              <w:top w:val="nil"/>
              <w:left w:val="nil"/>
              <w:bottom w:val="nil"/>
              <w:right w:val="nil"/>
            </w:tcBorders>
            <w:shd w:val="clear" w:color="auto" w:fill="auto"/>
            <w:vAlign w:val="bottom"/>
          </w:tcPr>
          <w:p w14:paraId="0BB0754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 </w:t>
            </w:r>
          </w:p>
        </w:tc>
        <w:tc>
          <w:tcPr>
            <w:tcW w:w="494" w:type="pct"/>
            <w:tcBorders>
              <w:top w:val="nil"/>
              <w:left w:val="nil"/>
              <w:bottom w:val="nil"/>
              <w:right w:val="nil"/>
            </w:tcBorders>
            <w:shd w:val="clear" w:color="auto" w:fill="auto"/>
            <w:vAlign w:val="bottom"/>
          </w:tcPr>
          <w:p w14:paraId="0B9017D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 </w:t>
            </w:r>
          </w:p>
        </w:tc>
        <w:tc>
          <w:tcPr>
            <w:tcW w:w="494" w:type="pct"/>
            <w:tcBorders>
              <w:top w:val="nil"/>
              <w:left w:val="nil"/>
              <w:bottom w:val="nil"/>
              <w:right w:val="nil"/>
            </w:tcBorders>
            <w:shd w:val="clear" w:color="auto" w:fill="auto"/>
            <w:vAlign w:val="bottom"/>
          </w:tcPr>
          <w:p w14:paraId="31EE331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color w:val="000000"/>
                <w:sz w:val="17"/>
                <w:szCs w:val="17"/>
                <w:lang w:val="hr-HR"/>
              </w:rPr>
              <w:t xml:space="preserve"> 33,211 </w:t>
            </w:r>
          </w:p>
        </w:tc>
        <w:tc>
          <w:tcPr>
            <w:tcW w:w="494" w:type="pct"/>
            <w:tcBorders>
              <w:top w:val="nil"/>
              <w:left w:val="nil"/>
              <w:bottom w:val="nil"/>
              <w:right w:val="nil"/>
            </w:tcBorders>
            <w:shd w:val="clear" w:color="auto" w:fill="auto"/>
            <w:vAlign w:val="bottom"/>
          </w:tcPr>
          <w:p w14:paraId="1A2A0F5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color w:val="000000"/>
                <w:sz w:val="17"/>
                <w:szCs w:val="17"/>
                <w:lang w:val="hr-HR"/>
              </w:rPr>
              <w:t>10,597</w:t>
            </w:r>
          </w:p>
        </w:tc>
        <w:tc>
          <w:tcPr>
            <w:tcW w:w="494" w:type="pct"/>
            <w:tcBorders>
              <w:top w:val="nil"/>
              <w:left w:val="nil"/>
              <w:bottom w:val="nil"/>
              <w:right w:val="nil"/>
            </w:tcBorders>
            <w:shd w:val="clear" w:color="auto" w:fill="auto"/>
            <w:vAlign w:val="bottom"/>
          </w:tcPr>
          <w:p w14:paraId="5A9B08E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 </w:t>
            </w:r>
          </w:p>
        </w:tc>
        <w:tc>
          <w:tcPr>
            <w:tcW w:w="493" w:type="pct"/>
            <w:tcBorders>
              <w:top w:val="nil"/>
              <w:left w:val="nil"/>
              <w:bottom w:val="nil"/>
              <w:right w:val="nil"/>
            </w:tcBorders>
            <w:shd w:val="clear" w:color="auto" w:fill="auto"/>
            <w:vAlign w:val="bottom"/>
          </w:tcPr>
          <w:p w14:paraId="08B10AF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 </w:t>
            </w:r>
          </w:p>
        </w:tc>
        <w:tc>
          <w:tcPr>
            <w:tcW w:w="554" w:type="pct"/>
            <w:tcBorders>
              <w:top w:val="nil"/>
              <w:left w:val="nil"/>
              <w:bottom w:val="nil"/>
              <w:right w:val="nil"/>
            </w:tcBorders>
            <w:shd w:val="clear" w:color="auto" w:fill="auto"/>
            <w:vAlign w:val="bottom"/>
          </w:tcPr>
          <w:p w14:paraId="0AFD798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color w:val="000000"/>
                <w:sz w:val="17"/>
                <w:szCs w:val="17"/>
                <w:lang w:val="hr-HR"/>
              </w:rPr>
              <w:t>10,597</w:t>
            </w:r>
          </w:p>
        </w:tc>
      </w:tr>
      <w:tr w:rsidR="00587444" w:rsidRPr="00587444" w14:paraId="629FEAF7" w14:textId="77777777" w:rsidTr="00DD69E7">
        <w:trPr>
          <w:trHeight w:val="417"/>
        </w:trPr>
        <w:tc>
          <w:tcPr>
            <w:tcW w:w="929" w:type="pct"/>
            <w:vAlign w:val="bottom"/>
          </w:tcPr>
          <w:p w14:paraId="03E704DD"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Loss allowances</w:t>
            </w:r>
          </w:p>
        </w:tc>
        <w:tc>
          <w:tcPr>
            <w:tcW w:w="555" w:type="pct"/>
            <w:tcBorders>
              <w:top w:val="nil"/>
              <w:left w:val="nil"/>
              <w:bottom w:val="nil"/>
              <w:right w:val="nil"/>
            </w:tcBorders>
            <w:shd w:val="clear" w:color="auto" w:fill="auto"/>
            <w:vAlign w:val="bottom"/>
          </w:tcPr>
          <w:p w14:paraId="50B2346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color w:val="000000"/>
                <w:sz w:val="17"/>
                <w:szCs w:val="17"/>
                <w:lang w:val="hr-HR"/>
              </w:rPr>
              <w:t xml:space="preserve"> (31)</w:t>
            </w:r>
          </w:p>
        </w:tc>
        <w:tc>
          <w:tcPr>
            <w:tcW w:w="494" w:type="pct"/>
            <w:tcBorders>
              <w:top w:val="nil"/>
              <w:left w:val="nil"/>
              <w:bottom w:val="nil"/>
              <w:right w:val="nil"/>
            </w:tcBorders>
            <w:shd w:val="clear" w:color="auto" w:fill="auto"/>
            <w:vAlign w:val="bottom"/>
          </w:tcPr>
          <w:p w14:paraId="5F90398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 </w:t>
            </w:r>
          </w:p>
        </w:tc>
        <w:tc>
          <w:tcPr>
            <w:tcW w:w="494" w:type="pct"/>
            <w:tcBorders>
              <w:top w:val="nil"/>
              <w:left w:val="nil"/>
              <w:bottom w:val="nil"/>
              <w:right w:val="nil"/>
            </w:tcBorders>
            <w:shd w:val="clear" w:color="auto" w:fill="auto"/>
            <w:vAlign w:val="bottom"/>
          </w:tcPr>
          <w:p w14:paraId="3AFB535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 </w:t>
            </w:r>
          </w:p>
        </w:tc>
        <w:tc>
          <w:tcPr>
            <w:tcW w:w="494" w:type="pct"/>
            <w:tcBorders>
              <w:top w:val="nil"/>
              <w:left w:val="nil"/>
              <w:bottom w:val="nil"/>
              <w:right w:val="nil"/>
            </w:tcBorders>
            <w:shd w:val="clear" w:color="auto" w:fill="auto"/>
            <w:vAlign w:val="bottom"/>
          </w:tcPr>
          <w:p w14:paraId="56B9415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color w:val="000000"/>
                <w:sz w:val="17"/>
                <w:szCs w:val="17"/>
                <w:lang w:val="hr-HR"/>
              </w:rPr>
              <w:t xml:space="preserve"> (31)</w:t>
            </w:r>
          </w:p>
        </w:tc>
        <w:tc>
          <w:tcPr>
            <w:tcW w:w="494" w:type="pct"/>
            <w:tcBorders>
              <w:top w:val="nil"/>
              <w:left w:val="nil"/>
              <w:bottom w:val="nil"/>
              <w:right w:val="nil"/>
            </w:tcBorders>
            <w:shd w:val="clear" w:color="auto" w:fill="auto"/>
            <w:vAlign w:val="bottom"/>
          </w:tcPr>
          <w:p w14:paraId="1C0D8A4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color w:val="000000"/>
                <w:sz w:val="17"/>
                <w:szCs w:val="17"/>
                <w:lang w:val="hr-HR"/>
              </w:rPr>
              <w:t>(1)</w:t>
            </w:r>
          </w:p>
        </w:tc>
        <w:tc>
          <w:tcPr>
            <w:tcW w:w="494" w:type="pct"/>
            <w:tcBorders>
              <w:top w:val="nil"/>
              <w:left w:val="nil"/>
              <w:bottom w:val="nil"/>
              <w:right w:val="nil"/>
            </w:tcBorders>
            <w:shd w:val="clear" w:color="auto" w:fill="auto"/>
            <w:vAlign w:val="bottom"/>
          </w:tcPr>
          <w:p w14:paraId="4E7F1C3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 </w:t>
            </w:r>
          </w:p>
        </w:tc>
        <w:tc>
          <w:tcPr>
            <w:tcW w:w="493" w:type="pct"/>
            <w:tcBorders>
              <w:top w:val="nil"/>
              <w:left w:val="nil"/>
              <w:bottom w:val="nil"/>
              <w:right w:val="nil"/>
            </w:tcBorders>
            <w:shd w:val="clear" w:color="auto" w:fill="auto"/>
            <w:vAlign w:val="bottom"/>
          </w:tcPr>
          <w:p w14:paraId="7D6B247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 </w:t>
            </w:r>
          </w:p>
        </w:tc>
        <w:tc>
          <w:tcPr>
            <w:tcW w:w="554" w:type="pct"/>
            <w:tcBorders>
              <w:top w:val="nil"/>
              <w:left w:val="nil"/>
              <w:bottom w:val="nil"/>
              <w:right w:val="nil"/>
            </w:tcBorders>
            <w:shd w:val="clear" w:color="auto" w:fill="auto"/>
            <w:vAlign w:val="bottom"/>
          </w:tcPr>
          <w:p w14:paraId="12625D3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color w:val="000000"/>
                <w:sz w:val="17"/>
                <w:szCs w:val="17"/>
                <w:lang w:val="hr-HR"/>
              </w:rPr>
              <w:t>(1)</w:t>
            </w:r>
          </w:p>
        </w:tc>
      </w:tr>
      <w:tr w:rsidR="00587444" w:rsidRPr="00587444" w14:paraId="60CE88F5" w14:textId="77777777" w:rsidTr="00DD69E7">
        <w:trPr>
          <w:trHeight w:val="598"/>
        </w:trPr>
        <w:tc>
          <w:tcPr>
            <w:tcW w:w="929" w:type="pct"/>
            <w:vAlign w:val="bottom"/>
          </w:tcPr>
          <w:p w14:paraId="249E1108" w14:textId="77777777" w:rsidR="00890EEB" w:rsidRDefault="00587444" w:rsidP="00587444">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 xml:space="preserve">Balance as of </w:t>
            </w:r>
          </w:p>
          <w:p w14:paraId="2C05DE99" w14:textId="186CE51C" w:rsidR="00587444" w:rsidRPr="00587444" w:rsidRDefault="00587444" w:rsidP="00587444">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31 December 2022</w:t>
            </w:r>
          </w:p>
        </w:tc>
        <w:tc>
          <w:tcPr>
            <w:tcW w:w="555" w:type="pct"/>
            <w:tcBorders>
              <w:top w:val="single" w:sz="4" w:space="0" w:color="auto"/>
              <w:left w:val="nil"/>
              <w:bottom w:val="single" w:sz="12" w:space="0" w:color="auto"/>
              <w:right w:val="nil"/>
            </w:tcBorders>
            <w:shd w:val="clear" w:color="auto" w:fill="auto"/>
            <w:vAlign w:val="bottom"/>
          </w:tcPr>
          <w:p w14:paraId="7839576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color w:val="000000"/>
                <w:sz w:val="17"/>
                <w:szCs w:val="17"/>
                <w:lang w:val="hr-HR"/>
              </w:rPr>
              <w:t xml:space="preserve"> 33,180 </w:t>
            </w:r>
          </w:p>
        </w:tc>
        <w:tc>
          <w:tcPr>
            <w:tcW w:w="494" w:type="pct"/>
            <w:tcBorders>
              <w:top w:val="single" w:sz="4" w:space="0" w:color="auto"/>
              <w:left w:val="nil"/>
              <w:bottom w:val="single" w:sz="12" w:space="0" w:color="auto"/>
              <w:right w:val="nil"/>
            </w:tcBorders>
            <w:shd w:val="clear" w:color="auto" w:fill="auto"/>
            <w:vAlign w:val="bottom"/>
          </w:tcPr>
          <w:p w14:paraId="4ADA7FE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sz w:val="17"/>
                <w:szCs w:val="17"/>
                <w:lang w:val="en-GB"/>
              </w:rPr>
              <w:t xml:space="preserve"> - </w:t>
            </w:r>
          </w:p>
        </w:tc>
        <w:tc>
          <w:tcPr>
            <w:tcW w:w="494" w:type="pct"/>
            <w:tcBorders>
              <w:top w:val="single" w:sz="4" w:space="0" w:color="auto"/>
              <w:left w:val="nil"/>
              <w:bottom w:val="single" w:sz="12" w:space="0" w:color="auto"/>
              <w:right w:val="nil"/>
            </w:tcBorders>
            <w:shd w:val="clear" w:color="auto" w:fill="auto"/>
            <w:vAlign w:val="bottom"/>
          </w:tcPr>
          <w:p w14:paraId="3B6A96D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sz w:val="17"/>
                <w:szCs w:val="17"/>
                <w:lang w:val="en-GB"/>
              </w:rPr>
              <w:t xml:space="preserve"> - </w:t>
            </w:r>
          </w:p>
        </w:tc>
        <w:tc>
          <w:tcPr>
            <w:tcW w:w="494" w:type="pct"/>
            <w:tcBorders>
              <w:top w:val="single" w:sz="4" w:space="0" w:color="auto"/>
              <w:left w:val="nil"/>
              <w:bottom w:val="single" w:sz="12" w:space="0" w:color="auto"/>
              <w:right w:val="nil"/>
            </w:tcBorders>
            <w:shd w:val="clear" w:color="auto" w:fill="auto"/>
            <w:vAlign w:val="bottom"/>
          </w:tcPr>
          <w:p w14:paraId="0328A31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color w:val="000000"/>
                <w:sz w:val="17"/>
                <w:szCs w:val="17"/>
                <w:lang w:val="hr-HR"/>
              </w:rPr>
              <w:t xml:space="preserve"> 33,180 </w:t>
            </w:r>
          </w:p>
        </w:tc>
        <w:tc>
          <w:tcPr>
            <w:tcW w:w="494" w:type="pct"/>
            <w:tcBorders>
              <w:top w:val="single" w:sz="4" w:space="0" w:color="auto"/>
              <w:left w:val="nil"/>
              <w:bottom w:val="single" w:sz="12" w:space="0" w:color="auto"/>
              <w:right w:val="nil"/>
            </w:tcBorders>
            <w:shd w:val="clear" w:color="auto" w:fill="auto"/>
            <w:vAlign w:val="bottom"/>
          </w:tcPr>
          <w:p w14:paraId="4905C162" w14:textId="77777777" w:rsidR="00587444" w:rsidRPr="00643BC6"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643BC6">
              <w:rPr>
                <w:rFonts w:ascii="Arial" w:hAnsi="Arial" w:cs="Arial"/>
                <w:b/>
                <w:bCs/>
                <w:color w:val="000000"/>
                <w:sz w:val="17"/>
                <w:szCs w:val="17"/>
                <w:lang w:val="hr-HR"/>
              </w:rPr>
              <w:t xml:space="preserve">10,596 </w:t>
            </w:r>
          </w:p>
        </w:tc>
        <w:tc>
          <w:tcPr>
            <w:tcW w:w="494" w:type="pct"/>
            <w:tcBorders>
              <w:top w:val="single" w:sz="4" w:space="0" w:color="auto"/>
              <w:left w:val="nil"/>
              <w:bottom w:val="single" w:sz="12" w:space="0" w:color="auto"/>
              <w:right w:val="nil"/>
            </w:tcBorders>
            <w:shd w:val="clear" w:color="auto" w:fill="auto"/>
            <w:vAlign w:val="bottom"/>
          </w:tcPr>
          <w:p w14:paraId="7CD8BB7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sz w:val="17"/>
                <w:szCs w:val="17"/>
                <w:lang w:val="en-GB"/>
              </w:rPr>
              <w:t xml:space="preserve"> - </w:t>
            </w:r>
          </w:p>
        </w:tc>
        <w:tc>
          <w:tcPr>
            <w:tcW w:w="493" w:type="pct"/>
            <w:tcBorders>
              <w:top w:val="single" w:sz="4" w:space="0" w:color="auto"/>
              <w:left w:val="nil"/>
              <w:bottom w:val="single" w:sz="12" w:space="0" w:color="auto"/>
              <w:right w:val="nil"/>
            </w:tcBorders>
            <w:shd w:val="clear" w:color="auto" w:fill="auto"/>
            <w:vAlign w:val="bottom"/>
          </w:tcPr>
          <w:p w14:paraId="219DE16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sz w:val="17"/>
                <w:szCs w:val="17"/>
                <w:lang w:val="en-GB"/>
              </w:rPr>
              <w:t xml:space="preserve"> - </w:t>
            </w:r>
          </w:p>
        </w:tc>
        <w:tc>
          <w:tcPr>
            <w:tcW w:w="554" w:type="pct"/>
            <w:tcBorders>
              <w:top w:val="single" w:sz="4" w:space="0" w:color="auto"/>
              <w:left w:val="nil"/>
              <w:bottom w:val="single" w:sz="12" w:space="0" w:color="auto"/>
              <w:right w:val="nil"/>
            </w:tcBorders>
            <w:shd w:val="clear" w:color="auto" w:fill="auto"/>
            <w:vAlign w:val="bottom"/>
          </w:tcPr>
          <w:p w14:paraId="40DC5C5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color w:val="000000"/>
                <w:sz w:val="17"/>
                <w:szCs w:val="17"/>
                <w:lang w:val="hr-HR"/>
              </w:rPr>
              <w:t xml:space="preserve">10,596 </w:t>
            </w:r>
          </w:p>
        </w:tc>
      </w:tr>
    </w:tbl>
    <w:p w14:paraId="6E6910AB" w14:textId="77777777" w:rsidR="00587444" w:rsidRPr="00587444" w:rsidRDefault="00587444" w:rsidP="00587444">
      <w:pPr>
        <w:keepNext/>
        <w:suppressAutoHyphens w:val="0"/>
        <w:autoSpaceDN/>
        <w:jc w:val="both"/>
        <w:rPr>
          <w:rFonts w:ascii="Arial" w:hAnsi="Arial" w:cs="Arial"/>
          <w:sz w:val="20"/>
          <w:szCs w:val="20"/>
          <w:lang w:val="en-GB"/>
        </w:rPr>
      </w:pPr>
    </w:p>
    <w:p w14:paraId="4FB15F04" w14:textId="77777777" w:rsidR="00587444" w:rsidRPr="00587444" w:rsidRDefault="00587444" w:rsidP="00587444">
      <w:pPr>
        <w:keepNext/>
        <w:suppressAutoHyphens w:val="0"/>
        <w:autoSpaceDN/>
        <w:jc w:val="both"/>
        <w:rPr>
          <w:rFonts w:ascii="Arial" w:hAnsi="Arial" w:cs="Arial"/>
          <w:sz w:val="20"/>
          <w:szCs w:val="20"/>
          <w:lang w:val="en-GB"/>
        </w:rPr>
      </w:pPr>
    </w:p>
    <w:p w14:paraId="6296EFB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tbl>
      <w:tblPr>
        <w:tblW w:w="5379" w:type="pct"/>
        <w:tblInd w:w="-142" w:type="dxa"/>
        <w:tblLayout w:type="fixed"/>
        <w:tblLook w:val="0000" w:firstRow="0" w:lastRow="0" w:firstColumn="0" w:lastColumn="0" w:noHBand="0" w:noVBand="0"/>
      </w:tblPr>
      <w:tblGrid>
        <w:gridCol w:w="1916"/>
        <w:gridCol w:w="1143"/>
        <w:gridCol w:w="1017"/>
        <w:gridCol w:w="1017"/>
        <w:gridCol w:w="1017"/>
        <w:gridCol w:w="1017"/>
        <w:gridCol w:w="1017"/>
        <w:gridCol w:w="1015"/>
        <w:gridCol w:w="1137"/>
      </w:tblGrid>
      <w:tr w:rsidR="00587444" w:rsidRPr="00587444" w14:paraId="4ADB2456" w14:textId="77777777" w:rsidTr="00DD69E7">
        <w:trPr>
          <w:trHeight w:val="239"/>
        </w:trPr>
        <w:tc>
          <w:tcPr>
            <w:tcW w:w="930" w:type="pct"/>
            <w:vAlign w:val="bottom"/>
          </w:tcPr>
          <w:p w14:paraId="5376784C" w14:textId="77777777" w:rsidR="00587444" w:rsidRPr="00587444" w:rsidRDefault="00587444" w:rsidP="00587444">
            <w:pPr>
              <w:tabs>
                <w:tab w:val="left" w:pos="-720"/>
              </w:tabs>
              <w:autoSpaceDN/>
              <w:spacing w:line="220" w:lineRule="exact"/>
              <w:rPr>
                <w:rFonts w:ascii="Arial" w:hAnsi="Arial" w:cs="Arial"/>
                <w:b/>
                <w:sz w:val="17"/>
                <w:szCs w:val="17"/>
                <w:lang w:val="en-GB"/>
              </w:rPr>
            </w:pPr>
            <w:r w:rsidRPr="00587444">
              <w:rPr>
                <w:rFonts w:ascii="Arial" w:hAnsi="Arial" w:cs="Arial"/>
                <w:b/>
                <w:sz w:val="17"/>
                <w:szCs w:val="17"/>
                <w:lang w:val="en-GB"/>
              </w:rPr>
              <w:t>31 December 2021</w:t>
            </w:r>
          </w:p>
        </w:tc>
        <w:tc>
          <w:tcPr>
            <w:tcW w:w="555" w:type="pct"/>
            <w:vAlign w:val="bottom"/>
          </w:tcPr>
          <w:p w14:paraId="02F1E66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15201139"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0A41867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494" w:type="pct"/>
            <w:vAlign w:val="bottom"/>
          </w:tcPr>
          <w:p w14:paraId="0ED023A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r w:rsidRPr="00587444">
              <w:rPr>
                <w:rFonts w:ascii="Arial" w:hAnsi="Arial" w:cs="Arial"/>
                <w:b/>
                <w:sz w:val="17"/>
                <w:szCs w:val="17"/>
                <w:lang w:val="en-GB"/>
              </w:rPr>
              <w:t>Group</w:t>
            </w:r>
          </w:p>
        </w:tc>
        <w:tc>
          <w:tcPr>
            <w:tcW w:w="494" w:type="pct"/>
            <w:vAlign w:val="bottom"/>
          </w:tcPr>
          <w:p w14:paraId="61F5704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1FE111C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3" w:type="pct"/>
            <w:shd w:val="clear" w:color="auto" w:fill="auto"/>
            <w:vAlign w:val="bottom"/>
          </w:tcPr>
          <w:p w14:paraId="187321A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53" w:type="pct"/>
            <w:vAlign w:val="bottom"/>
          </w:tcPr>
          <w:p w14:paraId="13DE1BB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Bank</w:t>
            </w:r>
          </w:p>
        </w:tc>
      </w:tr>
      <w:tr w:rsidR="00587444" w:rsidRPr="00587444" w14:paraId="357F6EAF" w14:textId="77777777" w:rsidTr="00DD69E7">
        <w:trPr>
          <w:trHeight w:val="311"/>
        </w:trPr>
        <w:tc>
          <w:tcPr>
            <w:tcW w:w="930" w:type="pct"/>
            <w:vAlign w:val="bottom"/>
          </w:tcPr>
          <w:p w14:paraId="540DC8B0" w14:textId="77777777" w:rsidR="00587444" w:rsidRPr="00587444" w:rsidRDefault="00587444" w:rsidP="00587444">
            <w:pPr>
              <w:tabs>
                <w:tab w:val="left" w:pos="-720"/>
              </w:tabs>
              <w:autoSpaceDN/>
              <w:spacing w:line="220" w:lineRule="exact"/>
              <w:rPr>
                <w:rFonts w:ascii="Arial" w:hAnsi="Arial" w:cs="Arial"/>
                <w:sz w:val="17"/>
                <w:szCs w:val="17"/>
                <w:lang w:val="en-GB"/>
              </w:rPr>
            </w:pPr>
          </w:p>
        </w:tc>
        <w:tc>
          <w:tcPr>
            <w:tcW w:w="555" w:type="pct"/>
            <w:vAlign w:val="bottom"/>
          </w:tcPr>
          <w:p w14:paraId="2FD8F2C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30E6E39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4" w:type="pct"/>
            <w:vAlign w:val="bottom"/>
          </w:tcPr>
          <w:p w14:paraId="24B6A24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494" w:type="pct"/>
            <w:vAlign w:val="bottom"/>
          </w:tcPr>
          <w:p w14:paraId="0D7D3A8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c>
          <w:tcPr>
            <w:tcW w:w="494" w:type="pct"/>
            <w:vAlign w:val="bottom"/>
          </w:tcPr>
          <w:p w14:paraId="183AABE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1DE2720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3" w:type="pct"/>
            <w:vAlign w:val="bottom"/>
          </w:tcPr>
          <w:p w14:paraId="133C27B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553" w:type="pct"/>
            <w:vAlign w:val="bottom"/>
          </w:tcPr>
          <w:p w14:paraId="05CD714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587444" w:rsidRPr="00587444" w14:paraId="5D4B59D9" w14:textId="77777777" w:rsidTr="00DD69E7">
        <w:trPr>
          <w:trHeight w:val="311"/>
        </w:trPr>
        <w:tc>
          <w:tcPr>
            <w:tcW w:w="930" w:type="pct"/>
            <w:vAlign w:val="bottom"/>
          </w:tcPr>
          <w:p w14:paraId="74C60AC2" w14:textId="77777777" w:rsidR="00587444" w:rsidRPr="00587444" w:rsidRDefault="00587444" w:rsidP="00587444">
            <w:pPr>
              <w:tabs>
                <w:tab w:val="left" w:pos="-720"/>
              </w:tabs>
              <w:autoSpaceDN/>
              <w:spacing w:line="220" w:lineRule="exact"/>
              <w:rPr>
                <w:rFonts w:ascii="Arial" w:hAnsi="Arial" w:cs="Arial"/>
                <w:sz w:val="17"/>
                <w:szCs w:val="17"/>
              </w:rPr>
            </w:pPr>
          </w:p>
        </w:tc>
        <w:tc>
          <w:tcPr>
            <w:tcW w:w="555" w:type="pct"/>
            <w:vAlign w:val="bottom"/>
          </w:tcPr>
          <w:p w14:paraId="6C97B6D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494" w:type="pct"/>
            <w:vAlign w:val="bottom"/>
          </w:tcPr>
          <w:p w14:paraId="134EA52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494" w:type="pct"/>
            <w:vAlign w:val="bottom"/>
          </w:tcPr>
          <w:p w14:paraId="4B21DE6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494" w:type="pct"/>
            <w:vAlign w:val="bottom"/>
          </w:tcPr>
          <w:p w14:paraId="6D5DA8B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494" w:type="pct"/>
            <w:vAlign w:val="bottom"/>
          </w:tcPr>
          <w:p w14:paraId="3D1FA25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494" w:type="pct"/>
            <w:vAlign w:val="bottom"/>
          </w:tcPr>
          <w:p w14:paraId="01A3E6A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493" w:type="pct"/>
            <w:vAlign w:val="bottom"/>
          </w:tcPr>
          <w:p w14:paraId="07D488F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553" w:type="pct"/>
            <w:vAlign w:val="bottom"/>
          </w:tcPr>
          <w:p w14:paraId="7F96F53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r>
      <w:tr w:rsidR="00587444" w:rsidRPr="00587444" w14:paraId="2ED31B90" w14:textId="77777777" w:rsidTr="00DD69E7">
        <w:trPr>
          <w:trHeight w:val="417"/>
        </w:trPr>
        <w:tc>
          <w:tcPr>
            <w:tcW w:w="930" w:type="pct"/>
            <w:vAlign w:val="bottom"/>
          </w:tcPr>
          <w:p w14:paraId="2EC2C7E7"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Gross amount</w:t>
            </w:r>
          </w:p>
        </w:tc>
        <w:tc>
          <w:tcPr>
            <w:tcW w:w="555" w:type="pct"/>
            <w:tcBorders>
              <w:top w:val="nil"/>
              <w:left w:val="nil"/>
              <w:bottom w:val="nil"/>
              <w:right w:val="nil"/>
            </w:tcBorders>
            <w:shd w:val="clear" w:color="auto" w:fill="auto"/>
            <w:vAlign w:val="bottom"/>
          </w:tcPr>
          <w:p w14:paraId="017BBC3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sz w:val="17"/>
                <w:szCs w:val="20"/>
                <w:lang w:val="en-GB"/>
              </w:rPr>
              <w:t xml:space="preserve"> 7,501 </w:t>
            </w:r>
          </w:p>
        </w:tc>
        <w:tc>
          <w:tcPr>
            <w:tcW w:w="494" w:type="pct"/>
            <w:tcBorders>
              <w:top w:val="nil"/>
              <w:left w:val="nil"/>
              <w:bottom w:val="nil"/>
              <w:right w:val="nil"/>
            </w:tcBorders>
            <w:shd w:val="clear" w:color="auto" w:fill="auto"/>
            <w:vAlign w:val="bottom"/>
          </w:tcPr>
          <w:p w14:paraId="02F1496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sz w:val="17"/>
                <w:szCs w:val="20"/>
                <w:lang w:val="en-GB"/>
              </w:rPr>
              <w:t xml:space="preserve"> - </w:t>
            </w:r>
          </w:p>
        </w:tc>
        <w:tc>
          <w:tcPr>
            <w:tcW w:w="494" w:type="pct"/>
            <w:tcBorders>
              <w:top w:val="nil"/>
              <w:left w:val="nil"/>
              <w:bottom w:val="nil"/>
              <w:right w:val="nil"/>
            </w:tcBorders>
            <w:shd w:val="clear" w:color="auto" w:fill="auto"/>
            <w:vAlign w:val="bottom"/>
          </w:tcPr>
          <w:p w14:paraId="7D99B4B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sz w:val="17"/>
                <w:szCs w:val="20"/>
                <w:lang w:val="en-GB"/>
              </w:rPr>
              <w:t xml:space="preserve"> - </w:t>
            </w:r>
          </w:p>
        </w:tc>
        <w:tc>
          <w:tcPr>
            <w:tcW w:w="494" w:type="pct"/>
            <w:tcBorders>
              <w:top w:val="nil"/>
              <w:left w:val="nil"/>
              <w:bottom w:val="nil"/>
              <w:right w:val="nil"/>
            </w:tcBorders>
            <w:shd w:val="clear" w:color="auto" w:fill="auto"/>
            <w:vAlign w:val="bottom"/>
          </w:tcPr>
          <w:p w14:paraId="0CB6634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b/>
                <w:sz w:val="17"/>
                <w:szCs w:val="20"/>
                <w:lang w:val="en-GB"/>
              </w:rPr>
              <w:t xml:space="preserve"> 7,501 </w:t>
            </w:r>
          </w:p>
        </w:tc>
        <w:tc>
          <w:tcPr>
            <w:tcW w:w="494" w:type="pct"/>
            <w:tcBorders>
              <w:top w:val="nil"/>
              <w:left w:val="nil"/>
              <w:bottom w:val="nil"/>
              <w:right w:val="nil"/>
            </w:tcBorders>
            <w:shd w:val="clear" w:color="auto" w:fill="auto"/>
            <w:vAlign w:val="bottom"/>
          </w:tcPr>
          <w:p w14:paraId="4C0A512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7,501 </w:t>
            </w:r>
          </w:p>
        </w:tc>
        <w:tc>
          <w:tcPr>
            <w:tcW w:w="494" w:type="pct"/>
            <w:tcBorders>
              <w:top w:val="nil"/>
              <w:left w:val="nil"/>
              <w:bottom w:val="nil"/>
              <w:right w:val="nil"/>
            </w:tcBorders>
            <w:shd w:val="clear" w:color="auto" w:fill="auto"/>
            <w:vAlign w:val="bottom"/>
          </w:tcPr>
          <w:p w14:paraId="42D8739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 </w:t>
            </w:r>
          </w:p>
        </w:tc>
        <w:tc>
          <w:tcPr>
            <w:tcW w:w="493" w:type="pct"/>
            <w:tcBorders>
              <w:top w:val="nil"/>
              <w:left w:val="nil"/>
              <w:bottom w:val="nil"/>
              <w:right w:val="nil"/>
            </w:tcBorders>
            <w:shd w:val="clear" w:color="auto" w:fill="auto"/>
            <w:vAlign w:val="bottom"/>
          </w:tcPr>
          <w:p w14:paraId="04D7AF6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 </w:t>
            </w:r>
          </w:p>
        </w:tc>
        <w:tc>
          <w:tcPr>
            <w:tcW w:w="553" w:type="pct"/>
            <w:tcBorders>
              <w:top w:val="nil"/>
              <w:left w:val="nil"/>
              <w:bottom w:val="nil"/>
              <w:right w:val="nil"/>
            </w:tcBorders>
            <w:shd w:val="clear" w:color="auto" w:fill="auto"/>
            <w:vAlign w:val="bottom"/>
          </w:tcPr>
          <w:p w14:paraId="61705E0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sz w:val="17"/>
                <w:szCs w:val="17"/>
                <w:lang w:val="en-GB"/>
              </w:rPr>
              <w:t xml:space="preserve"> 7,501 </w:t>
            </w:r>
          </w:p>
        </w:tc>
      </w:tr>
      <w:tr w:rsidR="00587444" w:rsidRPr="00587444" w14:paraId="65F5A037" w14:textId="77777777" w:rsidTr="00DD69E7">
        <w:trPr>
          <w:trHeight w:val="417"/>
        </w:trPr>
        <w:tc>
          <w:tcPr>
            <w:tcW w:w="930" w:type="pct"/>
            <w:vAlign w:val="bottom"/>
          </w:tcPr>
          <w:p w14:paraId="73D53CED"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Loss allowances</w:t>
            </w:r>
          </w:p>
        </w:tc>
        <w:tc>
          <w:tcPr>
            <w:tcW w:w="555" w:type="pct"/>
            <w:tcBorders>
              <w:top w:val="nil"/>
              <w:left w:val="nil"/>
              <w:bottom w:val="nil"/>
              <w:right w:val="nil"/>
            </w:tcBorders>
            <w:shd w:val="clear" w:color="auto" w:fill="auto"/>
            <w:vAlign w:val="bottom"/>
          </w:tcPr>
          <w:p w14:paraId="568F333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sz w:val="17"/>
                <w:szCs w:val="20"/>
                <w:lang w:val="en-GB"/>
              </w:rPr>
              <w:t xml:space="preserve"> (1)</w:t>
            </w:r>
          </w:p>
        </w:tc>
        <w:tc>
          <w:tcPr>
            <w:tcW w:w="494" w:type="pct"/>
            <w:tcBorders>
              <w:top w:val="nil"/>
              <w:left w:val="nil"/>
              <w:bottom w:val="nil"/>
              <w:right w:val="nil"/>
            </w:tcBorders>
            <w:shd w:val="clear" w:color="auto" w:fill="auto"/>
            <w:vAlign w:val="bottom"/>
          </w:tcPr>
          <w:p w14:paraId="4EAD1DE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sz w:val="17"/>
                <w:szCs w:val="20"/>
                <w:lang w:val="en-GB"/>
              </w:rPr>
              <w:t xml:space="preserve"> - </w:t>
            </w:r>
          </w:p>
        </w:tc>
        <w:tc>
          <w:tcPr>
            <w:tcW w:w="494" w:type="pct"/>
            <w:tcBorders>
              <w:top w:val="nil"/>
              <w:left w:val="nil"/>
              <w:bottom w:val="nil"/>
              <w:right w:val="nil"/>
            </w:tcBorders>
            <w:shd w:val="clear" w:color="auto" w:fill="auto"/>
            <w:vAlign w:val="bottom"/>
          </w:tcPr>
          <w:p w14:paraId="6260D49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sz w:val="17"/>
                <w:szCs w:val="20"/>
                <w:lang w:val="en-GB"/>
              </w:rPr>
              <w:t xml:space="preserve"> - </w:t>
            </w:r>
          </w:p>
        </w:tc>
        <w:tc>
          <w:tcPr>
            <w:tcW w:w="494" w:type="pct"/>
            <w:tcBorders>
              <w:top w:val="nil"/>
              <w:left w:val="nil"/>
              <w:bottom w:val="nil"/>
              <w:right w:val="nil"/>
            </w:tcBorders>
            <w:shd w:val="clear" w:color="auto" w:fill="auto"/>
            <w:vAlign w:val="bottom"/>
          </w:tcPr>
          <w:p w14:paraId="37C9D05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b/>
                <w:sz w:val="17"/>
                <w:szCs w:val="20"/>
                <w:lang w:val="en-GB"/>
              </w:rPr>
              <w:t xml:space="preserve"> (1)</w:t>
            </w:r>
          </w:p>
        </w:tc>
        <w:tc>
          <w:tcPr>
            <w:tcW w:w="494" w:type="pct"/>
            <w:tcBorders>
              <w:top w:val="nil"/>
              <w:left w:val="nil"/>
              <w:bottom w:val="nil"/>
              <w:right w:val="nil"/>
            </w:tcBorders>
            <w:shd w:val="clear" w:color="auto" w:fill="auto"/>
            <w:vAlign w:val="bottom"/>
          </w:tcPr>
          <w:p w14:paraId="5449BD9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(1)</w:t>
            </w:r>
          </w:p>
        </w:tc>
        <w:tc>
          <w:tcPr>
            <w:tcW w:w="494" w:type="pct"/>
            <w:tcBorders>
              <w:top w:val="nil"/>
              <w:left w:val="nil"/>
              <w:bottom w:val="nil"/>
              <w:right w:val="nil"/>
            </w:tcBorders>
            <w:shd w:val="clear" w:color="auto" w:fill="auto"/>
            <w:vAlign w:val="bottom"/>
          </w:tcPr>
          <w:p w14:paraId="2BFB47F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 </w:t>
            </w:r>
          </w:p>
        </w:tc>
        <w:tc>
          <w:tcPr>
            <w:tcW w:w="493" w:type="pct"/>
            <w:tcBorders>
              <w:top w:val="nil"/>
              <w:left w:val="nil"/>
              <w:bottom w:val="nil"/>
              <w:right w:val="nil"/>
            </w:tcBorders>
            <w:shd w:val="clear" w:color="auto" w:fill="auto"/>
            <w:vAlign w:val="bottom"/>
          </w:tcPr>
          <w:p w14:paraId="620476B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en-GB"/>
              </w:rPr>
            </w:pPr>
            <w:r w:rsidRPr="00587444">
              <w:rPr>
                <w:rFonts w:ascii="Arial" w:hAnsi="Arial" w:cs="Arial"/>
                <w:sz w:val="17"/>
                <w:szCs w:val="17"/>
                <w:lang w:val="en-GB"/>
              </w:rPr>
              <w:t xml:space="preserve"> - </w:t>
            </w:r>
          </w:p>
        </w:tc>
        <w:tc>
          <w:tcPr>
            <w:tcW w:w="553" w:type="pct"/>
            <w:tcBorders>
              <w:top w:val="nil"/>
              <w:left w:val="nil"/>
              <w:bottom w:val="nil"/>
              <w:right w:val="nil"/>
            </w:tcBorders>
            <w:shd w:val="clear" w:color="auto" w:fill="auto"/>
            <w:vAlign w:val="bottom"/>
          </w:tcPr>
          <w:p w14:paraId="604C30B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587444">
              <w:rPr>
                <w:rFonts w:ascii="Arial" w:hAnsi="Arial" w:cs="Arial"/>
                <w:b/>
                <w:bCs/>
                <w:sz w:val="17"/>
                <w:szCs w:val="17"/>
                <w:lang w:val="en-GB"/>
              </w:rPr>
              <w:t xml:space="preserve"> (1)</w:t>
            </w:r>
          </w:p>
        </w:tc>
      </w:tr>
      <w:tr w:rsidR="00587444" w:rsidRPr="00587444" w14:paraId="1EB723E0" w14:textId="77777777" w:rsidTr="00DD69E7">
        <w:trPr>
          <w:trHeight w:val="598"/>
        </w:trPr>
        <w:tc>
          <w:tcPr>
            <w:tcW w:w="930" w:type="pct"/>
            <w:vAlign w:val="bottom"/>
          </w:tcPr>
          <w:p w14:paraId="21E5DD6A" w14:textId="77777777" w:rsidR="00890EEB" w:rsidRDefault="00587444" w:rsidP="00587444">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 xml:space="preserve">Balance as of </w:t>
            </w:r>
          </w:p>
          <w:p w14:paraId="1B103F9D" w14:textId="5F0019AD" w:rsidR="00587444" w:rsidRPr="00587444" w:rsidRDefault="00587444" w:rsidP="00587444">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31 December 202</w:t>
            </w:r>
            <w:r w:rsidR="00AB6B1D">
              <w:rPr>
                <w:rFonts w:ascii="Arial" w:hAnsi="Arial" w:cs="Arial"/>
                <w:b/>
                <w:iCs/>
                <w:sz w:val="17"/>
                <w:szCs w:val="17"/>
                <w:lang w:val="en-GB"/>
              </w:rPr>
              <w:t>1</w:t>
            </w:r>
          </w:p>
        </w:tc>
        <w:tc>
          <w:tcPr>
            <w:tcW w:w="555" w:type="pct"/>
            <w:tcBorders>
              <w:top w:val="single" w:sz="4" w:space="0" w:color="auto"/>
              <w:left w:val="nil"/>
              <w:bottom w:val="single" w:sz="12" w:space="0" w:color="auto"/>
              <w:right w:val="nil"/>
            </w:tcBorders>
            <w:shd w:val="clear" w:color="auto" w:fill="auto"/>
            <w:vAlign w:val="bottom"/>
          </w:tcPr>
          <w:p w14:paraId="59653783" w14:textId="77777777" w:rsidR="00587444" w:rsidRPr="00643BC6"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643BC6">
              <w:rPr>
                <w:rFonts w:ascii="Arial" w:hAnsi="Arial"/>
                <w:b/>
                <w:bCs/>
                <w:sz w:val="17"/>
                <w:szCs w:val="20"/>
                <w:lang w:val="en-GB"/>
              </w:rPr>
              <w:t xml:space="preserve"> 7,500 </w:t>
            </w:r>
          </w:p>
        </w:tc>
        <w:tc>
          <w:tcPr>
            <w:tcW w:w="494" w:type="pct"/>
            <w:tcBorders>
              <w:top w:val="single" w:sz="4" w:space="0" w:color="auto"/>
              <w:left w:val="nil"/>
              <w:bottom w:val="single" w:sz="12" w:space="0" w:color="auto"/>
              <w:right w:val="nil"/>
            </w:tcBorders>
            <w:shd w:val="clear" w:color="auto" w:fill="auto"/>
            <w:vAlign w:val="bottom"/>
          </w:tcPr>
          <w:p w14:paraId="1B0F6F63" w14:textId="77777777" w:rsidR="00587444" w:rsidRPr="00643BC6"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643BC6">
              <w:rPr>
                <w:rFonts w:ascii="Arial" w:hAnsi="Arial"/>
                <w:b/>
                <w:bCs/>
                <w:sz w:val="17"/>
                <w:szCs w:val="20"/>
                <w:lang w:val="en-GB"/>
              </w:rPr>
              <w:t xml:space="preserve"> - </w:t>
            </w:r>
          </w:p>
        </w:tc>
        <w:tc>
          <w:tcPr>
            <w:tcW w:w="494" w:type="pct"/>
            <w:tcBorders>
              <w:top w:val="single" w:sz="4" w:space="0" w:color="auto"/>
              <w:left w:val="nil"/>
              <w:bottom w:val="single" w:sz="12" w:space="0" w:color="auto"/>
              <w:right w:val="nil"/>
            </w:tcBorders>
            <w:shd w:val="clear" w:color="auto" w:fill="auto"/>
            <w:vAlign w:val="bottom"/>
          </w:tcPr>
          <w:p w14:paraId="3A30F7CA" w14:textId="77777777" w:rsidR="00587444" w:rsidRPr="00643BC6"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643BC6">
              <w:rPr>
                <w:rFonts w:ascii="Arial" w:hAnsi="Arial"/>
                <w:b/>
                <w:bCs/>
                <w:sz w:val="17"/>
                <w:szCs w:val="20"/>
                <w:lang w:val="en-GB"/>
              </w:rPr>
              <w:t xml:space="preserve"> - </w:t>
            </w:r>
          </w:p>
        </w:tc>
        <w:tc>
          <w:tcPr>
            <w:tcW w:w="494" w:type="pct"/>
            <w:tcBorders>
              <w:top w:val="single" w:sz="4" w:space="0" w:color="auto"/>
              <w:left w:val="nil"/>
              <w:bottom w:val="single" w:sz="12" w:space="0" w:color="auto"/>
              <w:right w:val="nil"/>
            </w:tcBorders>
            <w:shd w:val="clear" w:color="auto" w:fill="auto"/>
            <w:vAlign w:val="bottom"/>
          </w:tcPr>
          <w:p w14:paraId="039EDD86" w14:textId="77777777" w:rsidR="00587444" w:rsidRPr="00643BC6"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643BC6">
              <w:rPr>
                <w:rFonts w:ascii="Arial" w:hAnsi="Arial"/>
                <w:b/>
                <w:bCs/>
                <w:sz w:val="17"/>
                <w:szCs w:val="20"/>
                <w:lang w:val="en-GB"/>
              </w:rPr>
              <w:t xml:space="preserve"> 7,500 </w:t>
            </w:r>
          </w:p>
        </w:tc>
        <w:tc>
          <w:tcPr>
            <w:tcW w:w="494" w:type="pct"/>
            <w:tcBorders>
              <w:top w:val="single" w:sz="4" w:space="0" w:color="auto"/>
              <w:left w:val="nil"/>
              <w:bottom w:val="single" w:sz="12" w:space="0" w:color="auto"/>
              <w:right w:val="nil"/>
            </w:tcBorders>
            <w:shd w:val="clear" w:color="auto" w:fill="auto"/>
            <w:vAlign w:val="bottom"/>
          </w:tcPr>
          <w:p w14:paraId="00A508B1" w14:textId="77777777" w:rsidR="00587444" w:rsidRPr="00643BC6"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643BC6">
              <w:rPr>
                <w:rFonts w:ascii="Arial" w:hAnsi="Arial" w:cs="Arial"/>
                <w:b/>
                <w:bCs/>
                <w:sz w:val="17"/>
                <w:szCs w:val="17"/>
                <w:lang w:val="en-GB"/>
              </w:rPr>
              <w:t xml:space="preserve"> 7,500 </w:t>
            </w:r>
          </w:p>
        </w:tc>
        <w:tc>
          <w:tcPr>
            <w:tcW w:w="494" w:type="pct"/>
            <w:tcBorders>
              <w:top w:val="single" w:sz="4" w:space="0" w:color="auto"/>
              <w:left w:val="nil"/>
              <w:bottom w:val="single" w:sz="12" w:space="0" w:color="auto"/>
              <w:right w:val="nil"/>
            </w:tcBorders>
            <w:shd w:val="clear" w:color="auto" w:fill="auto"/>
            <w:vAlign w:val="bottom"/>
          </w:tcPr>
          <w:p w14:paraId="564B2BD1" w14:textId="77777777" w:rsidR="00587444" w:rsidRPr="00643BC6"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643BC6">
              <w:rPr>
                <w:rFonts w:ascii="Arial" w:hAnsi="Arial" w:cs="Arial"/>
                <w:b/>
                <w:bCs/>
                <w:sz w:val="17"/>
                <w:szCs w:val="17"/>
                <w:lang w:val="en-GB"/>
              </w:rPr>
              <w:t xml:space="preserve"> - </w:t>
            </w:r>
          </w:p>
        </w:tc>
        <w:tc>
          <w:tcPr>
            <w:tcW w:w="493" w:type="pct"/>
            <w:tcBorders>
              <w:top w:val="single" w:sz="4" w:space="0" w:color="auto"/>
              <w:left w:val="nil"/>
              <w:bottom w:val="single" w:sz="12" w:space="0" w:color="auto"/>
              <w:right w:val="nil"/>
            </w:tcBorders>
            <w:shd w:val="clear" w:color="auto" w:fill="auto"/>
            <w:vAlign w:val="bottom"/>
          </w:tcPr>
          <w:p w14:paraId="1CDCCFA4" w14:textId="77777777" w:rsidR="00587444" w:rsidRPr="00643BC6"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643BC6">
              <w:rPr>
                <w:rFonts w:ascii="Arial" w:hAnsi="Arial" w:cs="Arial"/>
                <w:b/>
                <w:bCs/>
                <w:sz w:val="17"/>
                <w:szCs w:val="17"/>
                <w:lang w:val="en-GB"/>
              </w:rPr>
              <w:t xml:space="preserve"> - </w:t>
            </w:r>
          </w:p>
        </w:tc>
        <w:tc>
          <w:tcPr>
            <w:tcW w:w="553" w:type="pct"/>
            <w:tcBorders>
              <w:top w:val="single" w:sz="4" w:space="0" w:color="auto"/>
              <w:left w:val="nil"/>
              <w:bottom w:val="single" w:sz="12" w:space="0" w:color="auto"/>
              <w:right w:val="nil"/>
            </w:tcBorders>
            <w:shd w:val="clear" w:color="auto" w:fill="auto"/>
            <w:vAlign w:val="bottom"/>
          </w:tcPr>
          <w:p w14:paraId="5E1675EE" w14:textId="77777777" w:rsidR="00587444" w:rsidRPr="00643BC6" w:rsidRDefault="00587444" w:rsidP="00587444">
            <w:pPr>
              <w:tabs>
                <w:tab w:val="right" w:pos="1202"/>
              </w:tabs>
              <w:suppressAutoHyphens w:val="0"/>
              <w:autoSpaceDN/>
              <w:spacing w:line="240" w:lineRule="exact"/>
              <w:jc w:val="right"/>
              <w:outlineLvl w:val="0"/>
              <w:rPr>
                <w:rFonts w:ascii="Arial" w:hAnsi="Arial" w:cs="Arial"/>
                <w:b/>
                <w:bCs/>
                <w:sz w:val="17"/>
                <w:szCs w:val="17"/>
                <w:lang w:val="en-GB"/>
              </w:rPr>
            </w:pPr>
            <w:r w:rsidRPr="00643BC6">
              <w:rPr>
                <w:rFonts w:ascii="Arial" w:hAnsi="Arial" w:cs="Arial"/>
                <w:b/>
                <w:bCs/>
                <w:sz w:val="17"/>
                <w:szCs w:val="17"/>
                <w:lang w:val="en-GB"/>
              </w:rPr>
              <w:t xml:space="preserve"> 7,500 </w:t>
            </w:r>
          </w:p>
        </w:tc>
      </w:tr>
    </w:tbl>
    <w:p w14:paraId="72E7F7E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481D52B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7FB50E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6F5BBBFB"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D477502" w14:textId="77777777" w:rsidR="00587444" w:rsidRPr="00587444" w:rsidRDefault="00587444" w:rsidP="00587444">
      <w:pPr>
        <w:keepNext/>
        <w:suppressAutoHyphens w:val="0"/>
        <w:autoSpaceDN/>
        <w:jc w:val="both"/>
        <w:rPr>
          <w:rFonts w:ascii="Arial" w:hAnsi="Arial" w:cs="Arial"/>
          <w:sz w:val="20"/>
          <w:szCs w:val="20"/>
          <w:lang w:val="en-GB"/>
        </w:rPr>
        <w:sectPr w:rsidR="00587444" w:rsidRPr="00587444" w:rsidSect="00DD69E7">
          <w:pgSz w:w="11907" w:h="16840" w:code="9"/>
          <w:pgMar w:top="1418" w:right="1134" w:bottom="1134" w:left="1418" w:header="851" w:footer="851" w:gutter="0"/>
          <w:cols w:space="720"/>
          <w:noEndnote/>
        </w:sectPr>
      </w:pPr>
    </w:p>
    <w:p w14:paraId="2960AC1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CB5AF9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13.</w:t>
      </w:r>
      <w:r w:rsidRPr="00587444">
        <w:rPr>
          <w:rFonts w:ascii="Arial" w:hAnsi="Arial" w:cs="Arial"/>
          <w:b/>
          <w:bCs/>
          <w:sz w:val="20"/>
          <w:szCs w:val="20"/>
          <w:lang w:val="en-GB"/>
        </w:rPr>
        <w:tab/>
        <w:t>Deposits with other banks (continued)</w:t>
      </w:r>
    </w:p>
    <w:p w14:paraId="611DFC29" w14:textId="77777777" w:rsidR="00587444" w:rsidRPr="00587444" w:rsidRDefault="00587444" w:rsidP="00587444">
      <w:pPr>
        <w:keepNext/>
        <w:suppressAutoHyphens w:val="0"/>
        <w:autoSpaceDN/>
        <w:jc w:val="both"/>
        <w:rPr>
          <w:rFonts w:ascii="Arial" w:hAnsi="Arial" w:cs="Arial"/>
          <w:sz w:val="20"/>
          <w:szCs w:val="20"/>
          <w:lang w:val="en-GB"/>
        </w:rPr>
      </w:pPr>
    </w:p>
    <w:p w14:paraId="565F95AC" w14:textId="77777777" w:rsidR="00587444" w:rsidRPr="00587444" w:rsidRDefault="00587444" w:rsidP="00587444">
      <w:pPr>
        <w:tabs>
          <w:tab w:val="left" w:pos="-720"/>
        </w:tabs>
        <w:autoSpaceDN/>
        <w:rPr>
          <w:rFonts w:ascii="Arial" w:hAnsi="Arial" w:cs="Arial"/>
          <w:spacing w:val="-3"/>
          <w:sz w:val="20"/>
          <w:szCs w:val="20"/>
          <w:highlight w:val="yellow"/>
          <w:lang w:val="en-GB"/>
        </w:rPr>
      </w:pPr>
      <w:r w:rsidRPr="00587444">
        <w:rPr>
          <w:rFonts w:ascii="Arial" w:hAnsi="Arial" w:cs="Arial"/>
          <w:sz w:val="20"/>
          <w:szCs w:val="20"/>
          <w:lang w:val="en-GB"/>
        </w:rPr>
        <w:t>The movements in the loss allowances on deposits with other banks may be summarized as follows:</w:t>
      </w:r>
    </w:p>
    <w:p w14:paraId="2BFDCD17" w14:textId="77777777" w:rsidR="00587444" w:rsidRPr="00587444" w:rsidRDefault="00587444" w:rsidP="00587444">
      <w:pPr>
        <w:tabs>
          <w:tab w:val="left" w:pos="-720"/>
        </w:tabs>
        <w:autoSpaceDN/>
        <w:ind w:right="-612"/>
        <w:rPr>
          <w:rFonts w:ascii="Arial" w:hAnsi="Arial" w:cs="Arial"/>
          <w:sz w:val="20"/>
          <w:szCs w:val="20"/>
          <w:lang w:val="en-GB"/>
        </w:rPr>
      </w:pPr>
    </w:p>
    <w:tbl>
      <w:tblPr>
        <w:tblW w:w="5000" w:type="pct"/>
        <w:tblLayout w:type="fixed"/>
        <w:tblLook w:val="0000" w:firstRow="0" w:lastRow="0" w:firstColumn="0" w:lastColumn="0" w:noHBand="0" w:noVBand="0"/>
      </w:tblPr>
      <w:tblGrid>
        <w:gridCol w:w="3462"/>
        <w:gridCol w:w="1527"/>
        <w:gridCol w:w="1528"/>
        <w:gridCol w:w="1528"/>
        <w:gridCol w:w="1526"/>
      </w:tblGrid>
      <w:tr w:rsidR="00587444" w:rsidRPr="00587444" w14:paraId="3487319A" w14:textId="77777777" w:rsidTr="00DD69E7">
        <w:trPr>
          <w:trHeight w:val="295"/>
        </w:trPr>
        <w:tc>
          <w:tcPr>
            <w:tcW w:w="1809" w:type="pct"/>
          </w:tcPr>
          <w:p w14:paraId="42B1AA85" w14:textId="77777777" w:rsidR="00587444" w:rsidRPr="00587444" w:rsidRDefault="00587444" w:rsidP="00587444">
            <w:pPr>
              <w:tabs>
                <w:tab w:val="left" w:pos="-720"/>
              </w:tabs>
              <w:autoSpaceDN/>
              <w:rPr>
                <w:rFonts w:ascii="Arial" w:eastAsia="Calibri" w:hAnsi="Arial" w:cs="Arial"/>
                <w:b/>
                <w:noProof/>
                <w:spacing w:val="-3"/>
                <w:sz w:val="19"/>
                <w:szCs w:val="19"/>
                <w:lang w:val="en-GB"/>
              </w:rPr>
            </w:pPr>
          </w:p>
        </w:tc>
        <w:tc>
          <w:tcPr>
            <w:tcW w:w="798" w:type="pct"/>
            <w:vAlign w:val="bottom"/>
          </w:tcPr>
          <w:p w14:paraId="34E78EE0"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p>
        </w:tc>
        <w:tc>
          <w:tcPr>
            <w:tcW w:w="798" w:type="pct"/>
            <w:vAlign w:val="bottom"/>
          </w:tcPr>
          <w:p w14:paraId="32610A0F"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noProof/>
                <w:sz w:val="19"/>
                <w:szCs w:val="19"/>
                <w:lang w:val="en-GB"/>
              </w:rPr>
              <w:t xml:space="preserve">Group </w:t>
            </w:r>
          </w:p>
        </w:tc>
        <w:tc>
          <w:tcPr>
            <w:tcW w:w="798" w:type="pct"/>
            <w:vAlign w:val="bottom"/>
          </w:tcPr>
          <w:p w14:paraId="4FCB9D64"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p>
        </w:tc>
        <w:tc>
          <w:tcPr>
            <w:tcW w:w="797" w:type="pct"/>
            <w:vAlign w:val="bottom"/>
          </w:tcPr>
          <w:p w14:paraId="5161EB28"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noProof/>
                <w:sz w:val="19"/>
                <w:szCs w:val="19"/>
                <w:lang w:val="en-GB"/>
              </w:rPr>
              <w:t>Bank</w:t>
            </w:r>
          </w:p>
        </w:tc>
      </w:tr>
      <w:tr w:rsidR="00587444" w:rsidRPr="00587444" w14:paraId="1D21D4B5" w14:textId="77777777" w:rsidTr="00DD69E7">
        <w:trPr>
          <w:trHeight w:val="295"/>
        </w:trPr>
        <w:tc>
          <w:tcPr>
            <w:tcW w:w="1809" w:type="pct"/>
          </w:tcPr>
          <w:p w14:paraId="4186B324" w14:textId="77777777" w:rsidR="00587444" w:rsidRPr="00587444" w:rsidRDefault="00587444" w:rsidP="00587444">
            <w:pPr>
              <w:tabs>
                <w:tab w:val="left" w:pos="-720"/>
              </w:tabs>
              <w:autoSpaceDN/>
              <w:rPr>
                <w:rFonts w:ascii="Arial" w:eastAsia="Calibri" w:hAnsi="Arial" w:cs="Arial"/>
                <w:b/>
                <w:noProof/>
                <w:spacing w:val="-3"/>
                <w:sz w:val="19"/>
                <w:szCs w:val="19"/>
                <w:lang w:val="en-GB"/>
              </w:rPr>
            </w:pPr>
          </w:p>
        </w:tc>
        <w:tc>
          <w:tcPr>
            <w:tcW w:w="798" w:type="pct"/>
            <w:vAlign w:val="bottom"/>
          </w:tcPr>
          <w:p w14:paraId="67934FE1"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19"/>
                <w:szCs w:val="19"/>
                <w:lang w:val="hr-HR"/>
              </w:rPr>
            </w:pPr>
            <w:r w:rsidRPr="00587444">
              <w:rPr>
                <w:rFonts w:ascii="Arial" w:eastAsia="Calibri" w:hAnsi="Arial" w:cs="Arial"/>
                <w:b/>
                <w:bCs/>
                <w:noProof/>
                <w:sz w:val="19"/>
                <w:szCs w:val="19"/>
                <w:lang w:val="hr-HR"/>
              </w:rPr>
              <w:t>Jan 1 – Dec 31, 2022</w:t>
            </w:r>
          </w:p>
        </w:tc>
        <w:tc>
          <w:tcPr>
            <w:tcW w:w="798" w:type="pct"/>
            <w:vAlign w:val="bottom"/>
          </w:tcPr>
          <w:p w14:paraId="196C68D8"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19"/>
                <w:szCs w:val="19"/>
                <w:lang w:val="hr-HR"/>
              </w:rPr>
            </w:pPr>
            <w:r w:rsidRPr="00587444">
              <w:rPr>
                <w:rFonts w:ascii="Arial" w:eastAsia="Calibri" w:hAnsi="Arial" w:cs="Arial"/>
                <w:b/>
                <w:bCs/>
                <w:noProof/>
                <w:sz w:val="19"/>
                <w:szCs w:val="19"/>
                <w:lang w:val="hr-HR"/>
              </w:rPr>
              <w:t>Jan 1 - Dec 31, 2021</w:t>
            </w:r>
          </w:p>
        </w:tc>
        <w:tc>
          <w:tcPr>
            <w:tcW w:w="798" w:type="pct"/>
            <w:vAlign w:val="bottom"/>
          </w:tcPr>
          <w:p w14:paraId="6EFEF4D7"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2022</w:t>
            </w:r>
          </w:p>
        </w:tc>
        <w:tc>
          <w:tcPr>
            <w:tcW w:w="797" w:type="pct"/>
            <w:vAlign w:val="bottom"/>
          </w:tcPr>
          <w:p w14:paraId="4603DC28"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2021</w:t>
            </w:r>
          </w:p>
        </w:tc>
      </w:tr>
      <w:tr w:rsidR="00587444" w:rsidRPr="00587444" w14:paraId="7CB30731" w14:textId="77777777" w:rsidTr="00DD69E7">
        <w:trPr>
          <w:trHeight w:val="295"/>
        </w:trPr>
        <w:tc>
          <w:tcPr>
            <w:tcW w:w="1809" w:type="pct"/>
          </w:tcPr>
          <w:p w14:paraId="35E9E5FE" w14:textId="77777777" w:rsidR="00587444" w:rsidRPr="00587444" w:rsidRDefault="00587444" w:rsidP="00587444">
            <w:pPr>
              <w:tabs>
                <w:tab w:val="left" w:pos="-720"/>
              </w:tabs>
              <w:autoSpaceDN/>
              <w:rPr>
                <w:rFonts w:ascii="Arial" w:eastAsia="Calibri" w:hAnsi="Arial" w:cs="Arial"/>
                <w:b/>
                <w:noProof/>
                <w:spacing w:val="-3"/>
                <w:sz w:val="19"/>
                <w:szCs w:val="19"/>
                <w:lang w:val="en-GB"/>
              </w:rPr>
            </w:pPr>
          </w:p>
        </w:tc>
        <w:tc>
          <w:tcPr>
            <w:tcW w:w="798" w:type="pct"/>
            <w:vAlign w:val="bottom"/>
          </w:tcPr>
          <w:p w14:paraId="69290AA0"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19"/>
                <w:szCs w:val="19"/>
                <w:lang w:val="en-GB"/>
              </w:rPr>
            </w:pPr>
            <w:r w:rsidRPr="00587444">
              <w:rPr>
                <w:rFonts w:ascii="Arial" w:eastAsia="Calibri" w:hAnsi="Arial" w:cs="Arial"/>
                <w:b/>
                <w:bCs/>
                <w:noProof/>
                <w:sz w:val="19"/>
                <w:szCs w:val="19"/>
                <w:lang w:val="en-GB"/>
              </w:rPr>
              <w:t xml:space="preserve">HRK </w:t>
            </w:r>
            <w:r w:rsidRPr="00587444">
              <w:rPr>
                <w:rFonts w:ascii="Arial" w:hAnsi="Arial" w:cs="Arial"/>
                <w:sz w:val="19"/>
                <w:szCs w:val="19"/>
              </w:rPr>
              <w:t>‘</w:t>
            </w:r>
            <w:r w:rsidRPr="00587444">
              <w:rPr>
                <w:rFonts w:ascii="Arial" w:eastAsia="Calibri" w:hAnsi="Arial" w:cs="Arial"/>
                <w:b/>
                <w:bCs/>
                <w:noProof/>
                <w:sz w:val="19"/>
                <w:szCs w:val="19"/>
                <w:lang w:val="en-GB"/>
              </w:rPr>
              <w:t>000</w:t>
            </w:r>
          </w:p>
        </w:tc>
        <w:tc>
          <w:tcPr>
            <w:tcW w:w="798" w:type="pct"/>
            <w:vAlign w:val="bottom"/>
          </w:tcPr>
          <w:p w14:paraId="668995A8"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19"/>
                <w:szCs w:val="19"/>
                <w:lang w:val="en-GB"/>
              </w:rPr>
            </w:pPr>
            <w:r w:rsidRPr="00587444">
              <w:rPr>
                <w:rFonts w:ascii="Arial" w:eastAsia="Calibri" w:hAnsi="Arial" w:cs="Arial"/>
                <w:b/>
                <w:bCs/>
                <w:noProof/>
                <w:sz w:val="19"/>
                <w:szCs w:val="19"/>
                <w:lang w:val="en-GB"/>
              </w:rPr>
              <w:t xml:space="preserve">HRK </w:t>
            </w:r>
            <w:r w:rsidRPr="00587444">
              <w:rPr>
                <w:rFonts w:ascii="Arial" w:hAnsi="Arial" w:cs="Arial"/>
                <w:sz w:val="19"/>
                <w:szCs w:val="19"/>
              </w:rPr>
              <w:t>‘</w:t>
            </w:r>
            <w:r w:rsidRPr="00587444">
              <w:rPr>
                <w:rFonts w:ascii="Arial" w:eastAsia="Calibri" w:hAnsi="Arial" w:cs="Arial"/>
                <w:b/>
                <w:bCs/>
                <w:noProof/>
                <w:sz w:val="19"/>
                <w:szCs w:val="19"/>
                <w:lang w:val="en-GB"/>
              </w:rPr>
              <w:t>000</w:t>
            </w:r>
          </w:p>
        </w:tc>
        <w:tc>
          <w:tcPr>
            <w:tcW w:w="798" w:type="pct"/>
            <w:vAlign w:val="bottom"/>
          </w:tcPr>
          <w:p w14:paraId="473F3FB3"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en-GB"/>
              </w:rPr>
              <w:t xml:space="preserve">HRK </w:t>
            </w:r>
            <w:r w:rsidRPr="00587444">
              <w:rPr>
                <w:rFonts w:ascii="Arial" w:hAnsi="Arial" w:cs="Arial"/>
                <w:sz w:val="19"/>
                <w:szCs w:val="19"/>
              </w:rPr>
              <w:t>‘</w:t>
            </w:r>
            <w:r w:rsidRPr="00587444">
              <w:rPr>
                <w:rFonts w:ascii="Arial" w:eastAsia="Calibri" w:hAnsi="Arial" w:cs="Arial"/>
                <w:b/>
                <w:bCs/>
                <w:noProof/>
                <w:sz w:val="19"/>
                <w:szCs w:val="19"/>
                <w:lang w:val="en-GB"/>
              </w:rPr>
              <w:t>000</w:t>
            </w:r>
          </w:p>
        </w:tc>
        <w:tc>
          <w:tcPr>
            <w:tcW w:w="797" w:type="pct"/>
            <w:vAlign w:val="bottom"/>
          </w:tcPr>
          <w:p w14:paraId="607B7E8E"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en-GB"/>
              </w:rPr>
              <w:t xml:space="preserve">HRK </w:t>
            </w:r>
            <w:r w:rsidRPr="00587444">
              <w:rPr>
                <w:rFonts w:ascii="Arial" w:hAnsi="Arial" w:cs="Arial"/>
                <w:sz w:val="19"/>
                <w:szCs w:val="19"/>
              </w:rPr>
              <w:t>‘</w:t>
            </w:r>
            <w:r w:rsidRPr="00587444">
              <w:rPr>
                <w:rFonts w:ascii="Arial" w:eastAsia="Calibri" w:hAnsi="Arial" w:cs="Arial"/>
                <w:b/>
                <w:bCs/>
                <w:noProof/>
                <w:sz w:val="19"/>
                <w:szCs w:val="19"/>
                <w:lang w:val="en-GB"/>
              </w:rPr>
              <w:t>000</w:t>
            </w:r>
          </w:p>
        </w:tc>
      </w:tr>
      <w:tr w:rsidR="00587444" w:rsidRPr="00587444" w14:paraId="37E17252" w14:textId="77777777" w:rsidTr="00DD69E7">
        <w:trPr>
          <w:trHeight w:val="395"/>
        </w:trPr>
        <w:tc>
          <w:tcPr>
            <w:tcW w:w="1809" w:type="pct"/>
            <w:vAlign w:val="bottom"/>
          </w:tcPr>
          <w:p w14:paraId="7B27DB6F" w14:textId="77777777" w:rsidR="00587444" w:rsidRPr="00587444" w:rsidRDefault="00587444" w:rsidP="00587444">
            <w:pPr>
              <w:tabs>
                <w:tab w:val="right" w:pos="1202"/>
              </w:tabs>
              <w:suppressAutoHyphens w:val="0"/>
              <w:autoSpaceDN/>
              <w:outlineLvl w:val="0"/>
              <w:rPr>
                <w:rFonts w:ascii="Arial" w:eastAsia="Calibri" w:hAnsi="Arial" w:cs="Arial"/>
                <w:bCs/>
                <w:noProof/>
                <w:sz w:val="19"/>
                <w:szCs w:val="19"/>
                <w:lang w:val="en-GB"/>
              </w:rPr>
            </w:pPr>
            <w:r w:rsidRPr="00587444">
              <w:rPr>
                <w:rFonts w:ascii="Arial" w:eastAsia="Calibri" w:hAnsi="Arial" w:cs="Arial"/>
                <w:bCs/>
                <w:noProof/>
                <w:sz w:val="19"/>
                <w:szCs w:val="19"/>
                <w:lang w:val="en-GB"/>
              </w:rPr>
              <w:t xml:space="preserve">Balance as of 1 January </w:t>
            </w:r>
          </w:p>
        </w:tc>
        <w:tc>
          <w:tcPr>
            <w:tcW w:w="798" w:type="pct"/>
            <w:tcBorders>
              <w:top w:val="nil"/>
              <w:left w:val="nil"/>
              <w:bottom w:val="nil"/>
              <w:right w:val="nil"/>
            </w:tcBorders>
            <w:shd w:val="clear" w:color="auto" w:fill="auto"/>
            <w:vAlign w:val="bottom"/>
          </w:tcPr>
          <w:p w14:paraId="431A1C3F" w14:textId="77777777" w:rsidR="00587444" w:rsidRPr="00587444" w:rsidRDefault="00587444" w:rsidP="00587444">
            <w:pPr>
              <w:suppressAutoHyphens w:val="0"/>
              <w:autoSpaceDN/>
              <w:jc w:val="right"/>
              <w:outlineLvl w:val="0"/>
              <w:rPr>
                <w:rFonts w:ascii="Arial" w:eastAsia="Calibri" w:hAnsi="Arial" w:cs="Arial"/>
                <w:bCs/>
                <w:noProof/>
                <w:sz w:val="19"/>
                <w:szCs w:val="19"/>
                <w:lang w:val="en-GB"/>
              </w:rPr>
            </w:pPr>
            <w:r w:rsidRPr="00587444">
              <w:rPr>
                <w:rFonts w:ascii="Arial" w:hAnsi="Arial" w:cs="Arial"/>
                <w:color w:val="000000"/>
                <w:sz w:val="19"/>
                <w:szCs w:val="19"/>
                <w:lang w:val="hr-HR"/>
              </w:rPr>
              <w:t>1</w:t>
            </w:r>
          </w:p>
        </w:tc>
        <w:tc>
          <w:tcPr>
            <w:tcW w:w="798" w:type="pct"/>
            <w:tcBorders>
              <w:top w:val="nil"/>
              <w:left w:val="nil"/>
              <w:bottom w:val="nil"/>
              <w:right w:val="nil"/>
            </w:tcBorders>
            <w:shd w:val="clear" w:color="auto" w:fill="auto"/>
            <w:vAlign w:val="bottom"/>
          </w:tcPr>
          <w:p w14:paraId="5BBA7E84" w14:textId="77777777" w:rsidR="00587444" w:rsidRPr="00587444" w:rsidRDefault="00587444" w:rsidP="00587444">
            <w:pPr>
              <w:suppressAutoHyphens w:val="0"/>
              <w:autoSpaceDN/>
              <w:jc w:val="right"/>
              <w:outlineLvl w:val="0"/>
              <w:rPr>
                <w:rFonts w:ascii="Arial" w:eastAsia="Calibri" w:hAnsi="Arial" w:cs="Arial"/>
                <w:bCs/>
                <w:noProof/>
                <w:sz w:val="19"/>
                <w:szCs w:val="19"/>
                <w:lang w:val="en-GB"/>
              </w:rPr>
            </w:pPr>
            <w:r w:rsidRPr="00587444">
              <w:rPr>
                <w:rFonts w:ascii="Arial" w:hAnsi="Arial" w:cs="Arial"/>
                <w:color w:val="000000"/>
                <w:sz w:val="19"/>
                <w:szCs w:val="19"/>
                <w:lang w:val="hr-HR"/>
              </w:rPr>
              <w:t>1</w:t>
            </w:r>
          </w:p>
        </w:tc>
        <w:tc>
          <w:tcPr>
            <w:tcW w:w="798" w:type="pct"/>
            <w:tcBorders>
              <w:top w:val="nil"/>
              <w:left w:val="nil"/>
              <w:bottom w:val="nil"/>
              <w:right w:val="nil"/>
            </w:tcBorders>
            <w:shd w:val="clear" w:color="auto" w:fill="auto"/>
            <w:vAlign w:val="bottom"/>
          </w:tcPr>
          <w:p w14:paraId="1C9481CB" w14:textId="77777777" w:rsidR="00587444" w:rsidRPr="00587444" w:rsidRDefault="00587444" w:rsidP="00587444">
            <w:pPr>
              <w:suppressAutoHyphens w:val="0"/>
              <w:autoSpaceDN/>
              <w:jc w:val="right"/>
              <w:outlineLvl w:val="0"/>
              <w:rPr>
                <w:rFonts w:ascii="Arial" w:eastAsia="Calibri" w:hAnsi="Arial" w:cs="Arial"/>
                <w:bCs/>
                <w:noProof/>
                <w:sz w:val="19"/>
                <w:szCs w:val="19"/>
                <w:lang w:val="en-GB"/>
              </w:rPr>
            </w:pPr>
            <w:r w:rsidRPr="00587444">
              <w:rPr>
                <w:rFonts w:ascii="Arial" w:hAnsi="Arial" w:cs="Arial"/>
                <w:color w:val="000000"/>
                <w:sz w:val="19"/>
                <w:szCs w:val="19"/>
                <w:lang w:val="hr-HR"/>
              </w:rPr>
              <w:t>1</w:t>
            </w:r>
          </w:p>
        </w:tc>
        <w:tc>
          <w:tcPr>
            <w:tcW w:w="797" w:type="pct"/>
            <w:tcBorders>
              <w:top w:val="nil"/>
              <w:left w:val="nil"/>
              <w:bottom w:val="nil"/>
              <w:right w:val="nil"/>
            </w:tcBorders>
            <w:shd w:val="clear" w:color="auto" w:fill="auto"/>
            <w:vAlign w:val="bottom"/>
          </w:tcPr>
          <w:p w14:paraId="08441B8C" w14:textId="77777777" w:rsidR="00587444" w:rsidRPr="00587444" w:rsidRDefault="00587444" w:rsidP="00587444">
            <w:pPr>
              <w:suppressAutoHyphens w:val="0"/>
              <w:autoSpaceDN/>
              <w:jc w:val="right"/>
              <w:outlineLvl w:val="0"/>
              <w:rPr>
                <w:rFonts w:ascii="Arial" w:eastAsia="Calibri" w:hAnsi="Arial" w:cs="Arial"/>
                <w:bCs/>
                <w:noProof/>
                <w:sz w:val="19"/>
                <w:szCs w:val="19"/>
                <w:lang w:val="en-GB"/>
              </w:rPr>
            </w:pPr>
            <w:r w:rsidRPr="00587444">
              <w:rPr>
                <w:rFonts w:ascii="Arial" w:hAnsi="Arial" w:cs="Arial"/>
                <w:color w:val="000000"/>
                <w:sz w:val="19"/>
                <w:szCs w:val="19"/>
              </w:rPr>
              <w:t>1</w:t>
            </w:r>
          </w:p>
        </w:tc>
      </w:tr>
      <w:tr w:rsidR="00587444" w:rsidRPr="00587444" w14:paraId="4F71CEF0" w14:textId="77777777" w:rsidTr="00DD69E7">
        <w:trPr>
          <w:trHeight w:val="291"/>
        </w:trPr>
        <w:tc>
          <w:tcPr>
            <w:tcW w:w="1809" w:type="pct"/>
            <w:vAlign w:val="bottom"/>
          </w:tcPr>
          <w:p w14:paraId="5EEB90EC" w14:textId="77777777" w:rsidR="00587444" w:rsidRPr="00587444" w:rsidRDefault="00587444" w:rsidP="00587444">
            <w:pPr>
              <w:tabs>
                <w:tab w:val="right" w:pos="1202"/>
              </w:tabs>
              <w:suppressAutoHyphens w:val="0"/>
              <w:autoSpaceDN/>
              <w:outlineLvl w:val="0"/>
              <w:rPr>
                <w:rFonts w:ascii="Arial" w:eastAsia="Calibri" w:hAnsi="Arial" w:cs="Arial"/>
                <w:b/>
                <w:bCs/>
                <w:noProof/>
                <w:sz w:val="19"/>
                <w:szCs w:val="19"/>
                <w:lang w:val="en-GB"/>
              </w:rPr>
            </w:pPr>
            <w:r w:rsidRPr="00587444">
              <w:rPr>
                <w:rFonts w:ascii="Arial" w:eastAsia="Calibri" w:hAnsi="Arial" w:cs="Arial"/>
                <w:noProof/>
                <w:color w:val="000000"/>
                <w:sz w:val="19"/>
                <w:szCs w:val="19"/>
                <w:lang w:val="en-GB"/>
              </w:rPr>
              <w:t xml:space="preserve">Net increase/(decrease) of </w:t>
            </w:r>
            <w:r w:rsidRPr="00587444">
              <w:rPr>
                <w:rFonts w:ascii="Arial" w:eastAsia="Calibri" w:hAnsi="Arial" w:cs="Arial"/>
                <w:noProof/>
                <w:sz w:val="19"/>
                <w:szCs w:val="19"/>
                <w:lang w:val="en-GB"/>
              </w:rPr>
              <w:t xml:space="preserve">loss allowances </w:t>
            </w:r>
            <w:r w:rsidRPr="00587444">
              <w:rPr>
                <w:rFonts w:ascii="Arial" w:eastAsia="Calibri" w:hAnsi="Arial" w:cs="Arial"/>
                <w:noProof/>
                <w:color w:val="000000"/>
                <w:sz w:val="19"/>
                <w:szCs w:val="19"/>
                <w:lang w:val="en-GB"/>
              </w:rPr>
              <w:t>on deposits with other banks</w:t>
            </w:r>
          </w:p>
        </w:tc>
        <w:tc>
          <w:tcPr>
            <w:tcW w:w="798" w:type="pct"/>
            <w:tcBorders>
              <w:top w:val="nil"/>
              <w:left w:val="nil"/>
              <w:bottom w:val="nil"/>
              <w:right w:val="nil"/>
            </w:tcBorders>
            <w:shd w:val="clear" w:color="auto" w:fill="auto"/>
            <w:vAlign w:val="bottom"/>
          </w:tcPr>
          <w:p w14:paraId="0E23A579" w14:textId="77777777" w:rsidR="00587444" w:rsidRPr="00587444" w:rsidRDefault="00587444" w:rsidP="00587444">
            <w:pPr>
              <w:suppressAutoHyphens w:val="0"/>
              <w:autoSpaceDN/>
              <w:jc w:val="right"/>
              <w:outlineLvl w:val="0"/>
              <w:rPr>
                <w:rFonts w:ascii="Arial" w:eastAsia="Calibri" w:hAnsi="Arial" w:cs="Arial"/>
                <w:bCs/>
                <w:noProof/>
                <w:sz w:val="19"/>
                <w:szCs w:val="19"/>
                <w:lang w:val="en-GB"/>
              </w:rPr>
            </w:pPr>
            <w:r w:rsidRPr="00587444">
              <w:rPr>
                <w:rFonts w:ascii="Arial" w:hAnsi="Arial" w:cs="Arial"/>
                <w:color w:val="000000"/>
                <w:sz w:val="19"/>
                <w:szCs w:val="19"/>
                <w:lang w:val="hr-HR"/>
              </w:rPr>
              <w:t>28</w:t>
            </w:r>
          </w:p>
        </w:tc>
        <w:tc>
          <w:tcPr>
            <w:tcW w:w="798" w:type="pct"/>
            <w:tcBorders>
              <w:top w:val="nil"/>
              <w:left w:val="nil"/>
              <w:bottom w:val="nil"/>
              <w:right w:val="nil"/>
            </w:tcBorders>
            <w:shd w:val="clear" w:color="auto" w:fill="auto"/>
            <w:vAlign w:val="bottom"/>
          </w:tcPr>
          <w:p w14:paraId="088FD07A" w14:textId="77777777" w:rsidR="00587444" w:rsidRPr="00587444" w:rsidRDefault="00587444" w:rsidP="00587444">
            <w:pPr>
              <w:suppressAutoHyphens w:val="0"/>
              <w:autoSpaceDN/>
              <w:jc w:val="right"/>
              <w:outlineLvl w:val="0"/>
              <w:rPr>
                <w:rFonts w:ascii="Arial" w:eastAsia="Calibri" w:hAnsi="Arial" w:cs="Arial"/>
                <w:bCs/>
                <w:noProof/>
                <w:sz w:val="19"/>
                <w:szCs w:val="19"/>
                <w:lang w:val="en-GB"/>
              </w:rPr>
            </w:pPr>
            <w:r w:rsidRPr="00587444">
              <w:rPr>
                <w:rFonts w:ascii="Arial" w:hAnsi="Arial" w:cs="Arial"/>
                <w:color w:val="000000"/>
                <w:sz w:val="19"/>
                <w:szCs w:val="19"/>
                <w:lang w:val="hr-HR"/>
              </w:rPr>
              <w:t>(1)</w:t>
            </w:r>
          </w:p>
        </w:tc>
        <w:tc>
          <w:tcPr>
            <w:tcW w:w="798" w:type="pct"/>
            <w:tcBorders>
              <w:top w:val="nil"/>
              <w:left w:val="nil"/>
              <w:bottom w:val="nil"/>
              <w:right w:val="nil"/>
            </w:tcBorders>
            <w:shd w:val="clear" w:color="auto" w:fill="auto"/>
            <w:vAlign w:val="bottom"/>
          </w:tcPr>
          <w:p w14:paraId="103D90AB" w14:textId="77777777" w:rsidR="00587444" w:rsidRPr="00587444" w:rsidRDefault="00587444" w:rsidP="00587444">
            <w:pPr>
              <w:suppressAutoHyphens w:val="0"/>
              <w:autoSpaceDN/>
              <w:jc w:val="right"/>
              <w:outlineLvl w:val="0"/>
              <w:rPr>
                <w:rFonts w:ascii="Arial" w:eastAsia="Calibri" w:hAnsi="Arial" w:cs="Arial"/>
                <w:bCs/>
                <w:noProof/>
                <w:sz w:val="19"/>
                <w:szCs w:val="19"/>
                <w:lang w:val="en-GB"/>
              </w:rPr>
            </w:pPr>
            <w:r w:rsidRPr="00587444">
              <w:rPr>
                <w:rFonts w:ascii="Arial" w:hAnsi="Arial" w:cs="Arial"/>
                <w:color w:val="000000"/>
                <w:sz w:val="19"/>
                <w:szCs w:val="19"/>
                <w:lang w:val="hr-HR"/>
              </w:rPr>
              <w:t>(2)</w:t>
            </w:r>
          </w:p>
        </w:tc>
        <w:tc>
          <w:tcPr>
            <w:tcW w:w="797" w:type="pct"/>
            <w:tcBorders>
              <w:top w:val="nil"/>
              <w:left w:val="nil"/>
              <w:bottom w:val="nil"/>
              <w:right w:val="nil"/>
            </w:tcBorders>
            <w:shd w:val="clear" w:color="auto" w:fill="auto"/>
            <w:vAlign w:val="bottom"/>
          </w:tcPr>
          <w:p w14:paraId="24E3BA61" w14:textId="77777777" w:rsidR="00587444" w:rsidRPr="00587444" w:rsidRDefault="00587444" w:rsidP="00587444">
            <w:pPr>
              <w:suppressAutoHyphens w:val="0"/>
              <w:autoSpaceDN/>
              <w:jc w:val="right"/>
              <w:outlineLvl w:val="0"/>
              <w:rPr>
                <w:rFonts w:ascii="Arial" w:eastAsia="Calibri" w:hAnsi="Arial" w:cs="Arial"/>
                <w:bCs/>
                <w:noProof/>
                <w:sz w:val="19"/>
                <w:szCs w:val="19"/>
                <w:lang w:val="en-GB"/>
              </w:rPr>
            </w:pPr>
            <w:r w:rsidRPr="00587444">
              <w:rPr>
                <w:rFonts w:ascii="Arial" w:hAnsi="Arial" w:cs="Arial"/>
                <w:color w:val="000000"/>
                <w:sz w:val="19"/>
                <w:szCs w:val="19"/>
              </w:rPr>
              <w:t>(1)</w:t>
            </w:r>
          </w:p>
        </w:tc>
      </w:tr>
      <w:tr w:rsidR="00587444" w:rsidRPr="00587444" w14:paraId="10362895" w14:textId="77777777" w:rsidTr="00DD69E7">
        <w:trPr>
          <w:trHeight w:val="335"/>
        </w:trPr>
        <w:tc>
          <w:tcPr>
            <w:tcW w:w="1809" w:type="pct"/>
            <w:vAlign w:val="bottom"/>
          </w:tcPr>
          <w:p w14:paraId="5C1CB3C3" w14:textId="77777777" w:rsidR="00587444" w:rsidRPr="00587444" w:rsidRDefault="00587444" w:rsidP="00587444">
            <w:pPr>
              <w:tabs>
                <w:tab w:val="right" w:pos="1202"/>
              </w:tabs>
              <w:suppressAutoHyphens w:val="0"/>
              <w:autoSpaceDN/>
              <w:outlineLvl w:val="0"/>
              <w:rPr>
                <w:rFonts w:ascii="Arial" w:eastAsia="Calibri" w:hAnsi="Arial" w:cs="Arial"/>
                <w:i/>
                <w:noProof/>
                <w:sz w:val="19"/>
                <w:szCs w:val="19"/>
                <w:lang w:val="en-GB"/>
              </w:rPr>
            </w:pPr>
            <w:r w:rsidRPr="00587444">
              <w:rPr>
                <w:rFonts w:ascii="Arial" w:eastAsia="Calibri" w:hAnsi="Arial" w:cs="Arial"/>
                <w:i/>
                <w:noProof/>
                <w:sz w:val="19"/>
                <w:szCs w:val="19"/>
                <w:lang w:val="en-GB"/>
              </w:rPr>
              <w:t>Total recognised through Income Statement (Note 10)</w:t>
            </w:r>
          </w:p>
        </w:tc>
        <w:tc>
          <w:tcPr>
            <w:tcW w:w="798" w:type="pct"/>
            <w:tcBorders>
              <w:top w:val="single" w:sz="4" w:space="0" w:color="auto"/>
              <w:left w:val="nil"/>
              <w:bottom w:val="single" w:sz="4" w:space="0" w:color="auto"/>
              <w:right w:val="nil"/>
            </w:tcBorders>
            <w:shd w:val="clear" w:color="auto" w:fill="auto"/>
            <w:vAlign w:val="bottom"/>
          </w:tcPr>
          <w:p w14:paraId="5429333A" w14:textId="77777777" w:rsidR="00587444" w:rsidRPr="00587444" w:rsidRDefault="00587444" w:rsidP="00587444">
            <w:pPr>
              <w:suppressAutoHyphens w:val="0"/>
              <w:autoSpaceDN/>
              <w:jc w:val="right"/>
              <w:outlineLvl w:val="0"/>
              <w:rPr>
                <w:rFonts w:ascii="Arial" w:eastAsia="Calibri" w:hAnsi="Arial" w:cs="Arial"/>
                <w:bCs/>
                <w:i/>
                <w:noProof/>
                <w:sz w:val="19"/>
                <w:szCs w:val="19"/>
                <w:lang w:val="en-GB"/>
              </w:rPr>
            </w:pPr>
            <w:r w:rsidRPr="00587444">
              <w:rPr>
                <w:rFonts w:ascii="Arial" w:hAnsi="Arial" w:cs="Arial"/>
                <w:bCs/>
                <w:i/>
                <w:color w:val="000000"/>
                <w:sz w:val="19"/>
                <w:szCs w:val="19"/>
                <w:lang w:val="hr-HR"/>
              </w:rPr>
              <w:t>28</w:t>
            </w:r>
          </w:p>
        </w:tc>
        <w:tc>
          <w:tcPr>
            <w:tcW w:w="798" w:type="pct"/>
            <w:tcBorders>
              <w:top w:val="single" w:sz="4" w:space="0" w:color="auto"/>
              <w:left w:val="nil"/>
              <w:bottom w:val="single" w:sz="4" w:space="0" w:color="auto"/>
              <w:right w:val="nil"/>
            </w:tcBorders>
            <w:shd w:val="clear" w:color="auto" w:fill="auto"/>
            <w:vAlign w:val="bottom"/>
          </w:tcPr>
          <w:p w14:paraId="4B9F2DC8" w14:textId="77777777" w:rsidR="00587444" w:rsidRPr="00587444" w:rsidRDefault="00587444" w:rsidP="00587444">
            <w:pPr>
              <w:suppressAutoHyphens w:val="0"/>
              <w:autoSpaceDN/>
              <w:jc w:val="right"/>
              <w:outlineLvl w:val="0"/>
              <w:rPr>
                <w:rFonts w:ascii="Arial" w:eastAsia="Calibri" w:hAnsi="Arial" w:cs="Arial"/>
                <w:bCs/>
                <w:i/>
                <w:noProof/>
                <w:sz w:val="19"/>
                <w:szCs w:val="19"/>
                <w:lang w:val="en-GB"/>
              </w:rPr>
            </w:pPr>
            <w:r w:rsidRPr="00587444">
              <w:rPr>
                <w:rFonts w:ascii="Arial" w:hAnsi="Arial" w:cs="Arial"/>
                <w:bCs/>
                <w:i/>
                <w:color w:val="000000"/>
                <w:sz w:val="19"/>
                <w:szCs w:val="19"/>
                <w:lang w:val="hr-HR"/>
              </w:rPr>
              <w:t>(1)</w:t>
            </w:r>
          </w:p>
        </w:tc>
        <w:tc>
          <w:tcPr>
            <w:tcW w:w="798" w:type="pct"/>
            <w:tcBorders>
              <w:top w:val="single" w:sz="4" w:space="0" w:color="auto"/>
              <w:left w:val="nil"/>
              <w:bottom w:val="single" w:sz="4" w:space="0" w:color="auto"/>
              <w:right w:val="nil"/>
            </w:tcBorders>
            <w:shd w:val="clear" w:color="auto" w:fill="auto"/>
            <w:vAlign w:val="bottom"/>
          </w:tcPr>
          <w:p w14:paraId="34AC3935" w14:textId="77777777" w:rsidR="00587444" w:rsidRPr="00587444" w:rsidRDefault="00587444" w:rsidP="00587444">
            <w:pPr>
              <w:suppressAutoHyphens w:val="0"/>
              <w:autoSpaceDN/>
              <w:jc w:val="right"/>
              <w:outlineLvl w:val="0"/>
              <w:rPr>
                <w:rFonts w:ascii="Arial" w:eastAsia="Calibri" w:hAnsi="Arial" w:cs="Arial"/>
                <w:bCs/>
                <w:i/>
                <w:noProof/>
                <w:sz w:val="19"/>
                <w:szCs w:val="19"/>
                <w:lang w:val="en-GB"/>
              </w:rPr>
            </w:pPr>
            <w:r w:rsidRPr="00587444">
              <w:rPr>
                <w:rFonts w:ascii="Arial" w:hAnsi="Arial" w:cs="Arial"/>
                <w:bCs/>
                <w:i/>
                <w:color w:val="000000"/>
                <w:sz w:val="19"/>
                <w:szCs w:val="19"/>
                <w:lang w:val="hr-HR"/>
              </w:rPr>
              <w:t>(2)</w:t>
            </w:r>
          </w:p>
        </w:tc>
        <w:tc>
          <w:tcPr>
            <w:tcW w:w="797" w:type="pct"/>
            <w:tcBorders>
              <w:top w:val="single" w:sz="4" w:space="0" w:color="auto"/>
              <w:left w:val="nil"/>
              <w:bottom w:val="single" w:sz="4" w:space="0" w:color="auto"/>
              <w:right w:val="nil"/>
            </w:tcBorders>
            <w:shd w:val="clear" w:color="auto" w:fill="auto"/>
            <w:vAlign w:val="bottom"/>
          </w:tcPr>
          <w:p w14:paraId="4E1B8124" w14:textId="77777777" w:rsidR="00587444" w:rsidRPr="00587444" w:rsidRDefault="00587444" w:rsidP="00587444">
            <w:pPr>
              <w:suppressAutoHyphens w:val="0"/>
              <w:autoSpaceDN/>
              <w:jc w:val="right"/>
              <w:outlineLvl w:val="0"/>
              <w:rPr>
                <w:rFonts w:ascii="Arial" w:eastAsia="Calibri" w:hAnsi="Arial" w:cs="Arial"/>
                <w:bCs/>
                <w:i/>
                <w:noProof/>
                <w:sz w:val="19"/>
                <w:szCs w:val="19"/>
                <w:lang w:val="en-GB"/>
              </w:rPr>
            </w:pPr>
            <w:r w:rsidRPr="00587444">
              <w:rPr>
                <w:rFonts w:ascii="Arial" w:hAnsi="Arial" w:cs="Arial"/>
                <w:bCs/>
                <w:i/>
                <w:color w:val="000000"/>
                <w:sz w:val="19"/>
                <w:szCs w:val="19"/>
              </w:rPr>
              <w:t>(1)</w:t>
            </w:r>
          </w:p>
        </w:tc>
      </w:tr>
      <w:tr w:rsidR="00587444" w:rsidRPr="00587444" w14:paraId="3D948C60" w14:textId="77777777" w:rsidTr="00DD69E7">
        <w:trPr>
          <w:trHeight w:val="291"/>
        </w:trPr>
        <w:tc>
          <w:tcPr>
            <w:tcW w:w="1809" w:type="pct"/>
            <w:vAlign w:val="bottom"/>
          </w:tcPr>
          <w:p w14:paraId="08BFA231" w14:textId="77777777" w:rsidR="00587444" w:rsidRPr="00587444" w:rsidRDefault="00587444" w:rsidP="00587444">
            <w:pPr>
              <w:tabs>
                <w:tab w:val="right" w:pos="1202"/>
              </w:tabs>
              <w:suppressAutoHyphens w:val="0"/>
              <w:autoSpaceDN/>
              <w:outlineLvl w:val="0"/>
              <w:rPr>
                <w:rFonts w:ascii="Arial" w:eastAsia="Calibri" w:hAnsi="Arial" w:cs="Arial"/>
                <w:noProof/>
                <w:sz w:val="19"/>
                <w:szCs w:val="19"/>
                <w:lang w:val="en-GB"/>
              </w:rPr>
            </w:pPr>
            <w:r w:rsidRPr="00587444">
              <w:rPr>
                <w:rFonts w:ascii="Arial" w:eastAsia="Calibri" w:hAnsi="Arial" w:cs="Arial"/>
                <w:noProof/>
                <w:sz w:val="19"/>
                <w:szCs w:val="19"/>
                <w:lang w:val="en-GB"/>
              </w:rPr>
              <w:t>Net foreign exchange gain/loss on loss allowances</w:t>
            </w:r>
          </w:p>
        </w:tc>
        <w:tc>
          <w:tcPr>
            <w:tcW w:w="798" w:type="pct"/>
            <w:tcBorders>
              <w:top w:val="single" w:sz="4" w:space="0" w:color="auto"/>
              <w:left w:val="nil"/>
              <w:bottom w:val="single" w:sz="4" w:space="0" w:color="auto"/>
              <w:right w:val="nil"/>
            </w:tcBorders>
            <w:vAlign w:val="bottom"/>
          </w:tcPr>
          <w:p w14:paraId="3ABDDEE9" w14:textId="77777777" w:rsidR="00587444" w:rsidRPr="00587444" w:rsidRDefault="00587444" w:rsidP="00587444">
            <w:pPr>
              <w:suppressAutoHyphens w:val="0"/>
              <w:autoSpaceDN/>
              <w:jc w:val="right"/>
              <w:outlineLvl w:val="0"/>
              <w:rPr>
                <w:rFonts w:ascii="Arial" w:eastAsia="Calibri" w:hAnsi="Arial" w:cs="Arial"/>
                <w:bCs/>
                <w:noProof/>
                <w:sz w:val="19"/>
                <w:szCs w:val="19"/>
                <w:lang w:val="en-GB"/>
              </w:rPr>
            </w:pPr>
            <w:r w:rsidRPr="00587444">
              <w:rPr>
                <w:rFonts w:ascii="Arial" w:hAnsi="Arial" w:cs="Arial"/>
                <w:color w:val="000000"/>
                <w:sz w:val="19"/>
                <w:szCs w:val="19"/>
                <w:lang w:val="hr-HR"/>
              </w:rPr>
              <w:t>2</w:t>
            </w:r>
          </w:p>
        </w:tc>
        <w:tc>
          <w:tcPr>
            <w:tcW w:w="798" w:type="pct"/>
            <w:tcBorders>
              <w:top w:val="single" w:sz="4" w:space="0" w:color="auto"/>
              <w:left w:val="nil"/>
              <w:bottom w:val="single" w:sz="4" w:space="0" w:color="auto"/>
              <w:right w:val="nil"/>
            </w:tcBorders>
            <w:vAlign w:val="bottom"/>
          </w:tcPr>
          <w:p w14:paraId="211D5176" w14:textId="77777777" w:rsidR="00587444" w:rsidRPr="00587444" w:rsidRDefault="00587444" w:rsidP="00587444">
            <w:pPr>
              <w:suppressAutoHyphens w:val="0"/>
              <w:autoSpaceDN/>
              <w:jc w:val="right"/>
              <w:outlineLvl w:val="0"/>
              <w:rPr>
                <w:rFonts w:ascii="Arial" w:eastAsia="Calibri" w:hAnsi="Arial" w:cs="Arial"/>
                <w:bCs/>
                <w:noProof/>
                <w:sz w:val="19"/>
                <w:szCs w:val="19"/>
                <w:lang w:val="en-GB"/>
              </w:rPr>
            </w:pPr>
            <w:r w:rsidRPr="00587444">
              <w:rPr>
                <w:rFonts w:ascii="Arial" w:hAnsi="Arial" w:cs="Arial"/>
                <w:color w:val="000000"/>
                <w:sz w:val="19"/>
                <w:szCs w:val="19"/>
                <w:lang w:val="hr-HR"/>
              </w:rPr>
              <w:t>1</w:t>
            </w:r>
          </w:p>
        </w:tc>
        <w:tc>
          <w:tcPr>
            <w:tcW w:w="798" w:type="pct"/>
            <w:tcBorders>
              <w:top w:val="single" w:sz="4" w:space="0" w:color="auto"/>
              <w:left w:val="nil"/>
              <w:bottom w:val="single" w:sz="4" w:space="0" w:color="auto"/>
              <w:right w:val="nil"/>
            </w:tcBorders>
            <w:vAlign w:val="bottom"/>
          </w:tcPr>
          <w:p w14:paraId="7CCAD3E9" w14:textId="77777777" w:rsidR="00587444" w:rsidRPr="00587444" w:rsidRDefault="00587444" w:rsidP="00587444">
            <w:pPr>
              <w:suppressAutoHyphens w:val="0"/>
              <w:autoSpaceDN/>
              <w:jc w:val="right"/>
              <w:outlineLvl w:val="0"/>
              <w:rPr>
                <w:rFonts w:ascii="Arial" w:eastAsia="Calibri" w:hAnsi="Arial" w:cs="Arial"/>
                <w:bCs/>
                <w:noProof/>
                <w:sz w:val="19"/>
                <w:szCs w:val="19"/>
                <w:lang w:val="en-GB"/>
              </w:rPr>
            </w:pPr>
            <w:r w:rsidRPr="00587444">
              <w:rPr>
                <w:rFonts w:ascii="Arial" w:hAnsi="Arial" w:cs="Arial"/>
                <w:color w:val="000000"/>
                <w:sz w:val="19"/>
                <w:szCs w:val="19"/>
                <w:lang w:val="hr-HR"/>
              </w:rPr>
              <w:t>2</w:t>
            </w:r>
          </w:p>
        </w:tc>
        <w:tc>
          <w:tcPr>
            <w:tcW w:w="797" w:type="pct"/>
            <w:tcBorders>
              <w:top w:val="single" w:sz="4" w:space="0" w:color="auto"/>
              <w:left w:val="nil"/>
              <w:bottom w:val="single" w:sz="4" w:space="0" w:color="auto"/>
              <w:right w:val="nil"/>
            </w:tcBorders>
            <w:vAlign w:val="bottom"/>
          </w:tcPr>
          <w:p w14:paraId="0C308CC1" w14:textId="77777777" w:rsidR="00587444" w:rsidRPr="00587444" w:rsidRDefault="00587444" w:rsidP="00587444">
            <w:pPr>
              <w:suppressAutoHyphens w:val="0"/>
              <w:autoSpaceDN/>
              <w:jc w:val="right"/>
              <w:outlineLvl w:val="0"/>
              <w:rPr>
                <w:rFonts w:ascii="Arial" w:eastAsia="Calibri" w:hAnsi="Arial" w:cs="Arial"/>
                <w:bCs/>
                <w:noProof/>
                <w:sz w:val="19"/>
                <w:szCs w:val="19"/>
                <w:lang w:val="en-GB"/>
              </w:rPr>
            </w:pPr>
            <w:r w:rsidRPr="00587444">
              <w:rPr>
                <w:rFonts w:ascii="Arial" w:hAnsi="Arial" w:cs="Arial"/>
                <w:color w:val="000000"/>
                <w:sz w:val="19"/>
                <w:szCs w:val="19"/>
              </w:rPr>
              <w:t>1</w:t>
            </w:r>
          </w:p>
        </w:tc>
      </w:tr>
      <w:tr w:rsidR="00587444" w:rsidRPr="00587444" w14:paraId="0F58EC98" w14:textId="77777777" w:rsidTr="00DD69E7">
        <w:trPr>
          <w:trHeight w:val="291"/>
        </w:trPr>
        <w:tc>
          <w:tcPr>
            <w:tcW w:w="1809" w:type="pct"/>
            <w:vAlign w:val="bottom"/>
          </w:tcPr>
          <w:p w14:paraId="06DA0490" w14:textId="77777777" w:rsidR="00587444" w:rsidRPr="00587444" w:rsidRDefault="00587444" w:rsidP="00587444">
            <w:pPr>
              <w:tabs>
                <w:tab w:val="right" w:pos="1202"/>
              </w:tabs>
              <w:suppressAutoHyphens w:val="0"/>
              <w:autoSpaceDN/>
              <w:outlineLvl w:val="0"/>
              <w:rPr>
                <w:rFonts w:ascii="Arial" w:eastAsia="Calibri" w:hAnsi="Arial" w:cs="Arial"/>
                <w:noProof/>
                <w:sz w:val="19"/>
                <w:szCs w:val="19"/>
                <w:lang w:val="en-GB"/>
              </w:rPr>
            </w:pPr>
            <w:r w:rsidRPr="00587444">
              <w:rPr>
                <w:rFonts w:ascii="Arial" w:eastAsia="Calibri" w:hAnsi="Arial" w:cs="Arial"/>
                <w:b/>
                <w:bCs/>
                <w:noProof/>
                <w:sz w:val="19"/>
                <w:szCs w:val="19"/>
                <w:lang w:val="en-GB"/>
              </w:rPr>
              <w:t>Balance at the end of the reporting period</w:t>
            </w:r>
          </w:p>
        </w:tc>
        <w:tc>
          <w:tcPr>
            <w:tcW w:w="798" w:type="pct"/>
            <w:tcBorders>
              <w:top w:val="single" w:sz="4" w:space="0" w:color="auto"/>
              <w:left w:val="nil"/>
              <w:bottom w:val="single" w:sz="12" w:space="0" w:color="auto"/>
              <w:right w:val="nil"/>
            </w:tcBorders>
            <w:vAlign w:val="bottom"/>
          </w:tcPr>
          <w:p w14:paraId="74EDB8F0" w14:textId="77777777" w:rsidR="00587444" w:rsidRPr="00587444" w:rsidRDefault="00587444" w:rsidP="00587444">
            <w:pPr>
              <w:suppressAutoHyphens w:val="0"/>
              <w:autoSpaceDN/>
              <w:jc w:val="right"/>
              <w:outlineLvl w:val="0"/>
              <w:rPr>
                <w:rFonts w:ascii="Arial" w:eastAsia="Calibri" w:hAnsi="Arial" w:cs="Arial"/>
                <w:b/>
                <w:bCs/>
                <w:noProof/>
                <w:sz w:val="19"/>
                <w:szCs w:val="19"/>
                <w:lang w:val="en-GB"/>
              </w:rPr>
            </w:pPr>
            <w:r w:rsidRPr="00587444">
              <w:rPr>
                <w:rFonts w:ascii="Arial" w:hAnsi="Arial" w:cs="Arial"/>
                <w:b/>
                <w:color w:val="000000"/>
                <w:sz w:val="19"/>
                <w:szCs w:val="19"/>
                <w:lang w:val="hr-HR"/>
              </w:rPr>
              <w:t>31</w:t>
            </w:r>
          </w:p>
        </w:tc>
        <w:tc>
          <w:tcPr>
            <w:tcW w:w="798" w:type="pct"/>
            <w:tcBorders>
              <w:top w:val="single" w:sz="4" w:space="0" w:color="auto"/>
              <w:left w:val="nil"/>
              <w:bottom w:val="single" w:sz="12" w:space="0" w:color="auto"/>
              <w:right w:val="nil"/>
            </w:tcBorders>
            <w:vAlign w:val="bottom"/>
          </w:tcPr>
          <w:p w14:paraId="5EDCCAF8" w14:textId="77777777" w:rsidR="00587444" w:rsidRPr="00587444" w:rsidRDefault="00587444" w:rsidP="00587444">
            <w:pPr>
              <w:suppressAutoHyphens w:val="0"/>
              <w:autoSpaceDN/>
              <w:jc w:val="right"/>
              <w:outlineLvl w:val="0"/>
              <w:rPr>
                <w:rFonts w:ascii="Arial" w:eastAsia="Calibri" w:hAnsi="Arial" w:cs="Arial"/>
                <w:b/>
                <w:bCs/>
                <w:noProof/>
                <w:sz w:val="19"/>
                <w:szCs w:val="19"/>
                <w:lang w:val="en-GB"/>
              </w:rPr>
            </w:pPr>
            <w:r w:rsidRPr="00587444">
              <w:rPr>
                <w:rFonts w:ascii="Arial" w:hAnsi="Arial" w:cs="Arial"/>
                <w:b/>
                <w:color w:val="000000"/>
                <w:sz w:val="19"/>
                <w:szCs w:val="19"/>
                <w:lang w:val="hr-HR"/>
              </w:rPr>
              <w:t>1</w:t>
            </w:r>
          </w:p>
        </w:tc>
        <w:tc>
          <w:tcPr>
            <w:tcW w:w="798" w:type="pct"/>
            <w:tcBorders>
              <w:top w:val="single" w:sz="4" w:space="0" w:color="auto"/>
              <w:left w:val="nil"/>
              <w:bottom w:val="single" w:sz="12" w:space="0" w:color="auto"/>
              <w:right w:val="nil"/>
            </w:tcBorders>
            <w:vAlign w:val="bottom"/>
          </w:tcPr>
          <w:p w14:paraId="576368A1" w14:textId="77777777" w:rsidR="00587444" w:rsidRPr="00587444" w:rsidRDefault="00587444" w:rsidP="00587444">
            <w:pPr>
              <w:suppressAutoHyphens w:val="0"/>
              <w:autoSpaceDN/>
              <w:jc w:val="right"/>
              <w:outlineLvl w:val="0"/>
              <w:rPr>
                <w:rFonts w:ascii="Arial" w:eastAsia="Calibri" w:hAnsi="Arial" w:cs="Arial"/>
                <w:b/>
                <w:bCs/>
                <w:noProof/>
                <w:sz w:val="19"/>
                <w:szCs w:val="19"/>
                <w:lang w:val="en-GB"/>
              </w:rPr>
            </w:pPr>
            <w:r w:rsidRPr="00587444">
              <w:rPr>
                <w:rFonts w:ascii="Arial" w:hAnsi="Arial" w:cs="Arial"/>
                <w:b/>
                <w:color w:val="000000"/>
                <w:sz w:val="19"/>
                <w:szCs w:val="19"/>
                <w:lang w:val="hr-HR"/>
              </w:rPr>
              <w:t>1</w:t>
            </w:r>
          </w:p>
        </w:tc>
        <w:tc>
          <w:tcPr>
            <w:tcW w:w="797" w:type="pct"/>
            <w:tcBorders>
              <w:top w:val="single" w:sz="4" w:space="0" w:color="auto"/>
              <w:left w:val="nil"/>
              <w:bottom w:val="single" w:sz="12" w:space="0" w:color="auto"/>
              <w:right w:val="nil"/>
            </w:tcBorders>
            <w:vAlign w:val="bottom"/>
          </w:tcPr>
          <w:p w14:paraId="1BB1CED8" w14:textId="77777777" w:rsidR="00587444" w:rsidRPr="00587444" w:rsidRDefault="00587444" w:rsidP="00587444">
            <w:pPr>
              <w:suppressAutoHyphens w:val="0"/>
              <w:autoSpaceDN/>
              <w:jc w:val="right"/>
              <w:outlineLvl w:val="0"/>
              <w:rPr>
                <w:rFonts w:ascii="Arial" w:eastAsia="Calibri" w:hAnsi="Arial" w:cs="Arial"/>
                <w:b/>
                <w:bCs/>
                <w:noProof/>
                <w:sz w:val="19"/>
                <w:szCs w:val="19"/>
                <w:lang w:val="en-GB"/>
              </w:rPr>
            </w:pPr>
            <w:r w:rsidRPr="00587444">
              <w:rPr>
                <w:rFonts w:ascii="Arial" w:hAnsi="Arial" w:cs="Arial"/>
                <w:b/>
                <w:color w:val="000000"/>
                <w:sz w:val="19"/>
                <w:szCs w:val="19"/>
              </w:rPr>
              <w:t>1</w:t>
            </w:r>
          </w:p>
        </w:tc>
      </w:tr>
    </w:tbl>
    <w:p w14:paraId="61793891" w14:textId="77777777" w:rsidR="00587444" w:rsidRPr="00587444" w:rsidRDefault="00587444" w:rsidP="00587444">
      <w:pPr>
        <w:tabs>
          <w:tab w:val="left" w:pos="-720"/>
        </w:tabs>
        <w:autoSpaceDN/>
        <w:ind w:right="-612"/>
        <w:rPr>
          <w:rFonts w:ascii="Arial" w:hAnsi="Arial" w:cs="Arial"/>
          <w:sz w:val="20"/>
          <w:szCs w:val="20"/>
          <w:lang w:val="en-GB"/>
        </w:rPr>
      </w:pPr>
    </w:p>
    <w:p w14:paraId="027BF91B" w14:textId="77777777" w:rsidR="00587444" w:rsidRPr="00587444" w:rsidRDefault="00587444" w:rsidP="00587444">
      <w:pPr>
        <w:tabs>
          <w:tab w:val="left" w:pos="-720"/>
        </w:tabs>
        <w:autoSpaceDN/>
        <w:ind w:right="-612"/>
        <w:rPr>
          <w:rFonts w:ascii="Arial" w:hAnsi="Arial" w:cs="Arial"/>
          <w:sz w:val="20"/>
          <w:szCs w:val="20"/>
          <w:lang w:val="en-GB"/>
        </w:rPr>
      </w:pPr>
    </w:p>
    <w:p w14:paraId="2398C57E" w14:textId="77777777" w:rsidR="00F36511"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Net foreign exchange gain/loss on loss allowances are shown within net gains/(losses) from financial</w:t>
      </w:r>
    </w:p>
    <w:p w14:paraId="69103FE5" w14:textId="36DD28A6" w:rsidR="00587444" w:rsidRPr="00587444" w:rsidRDefault="00587444" w:rsidP="00F36511">
      <w:pPr>
        <w:keepNext/>
        <w:suppressAutoHyphens w:val="0"/>
        <w:autoSpaceDN/>
        <w:rPr>
          <w:rFonts w:ascii="Arial" w:hAnsi="Arial" w:cs="Arial"/>
          <w:b/>
          <w:bCs/>
          <w:sz w:val="20"/>
          <w:szCs w:val="20"/>
          <w:lang w:val="pl-PL"/>
        </w:rPr>
        <w:sectPr w:rsidR="00587444" w:rsidRPr="00587444" w:rsidSect="00DD69E7">
          <w:pgSz w:w="11907" w:h="16840" w:code="9"/>
          <w:pgMar w:top="1418" w:right="1134" w:bottom="1134" w:left="1418" w:header="851" w:footer="851" w:gutter="0"/>
          <w:cols w:space="720"/>
          <w:noEndnote/>
        </w:sectPr>
      </w:pPr>
      <w:r w:rsidRPr="00587444">
        <w:rPr>
          <w:rFonts w:ascii="Arial" w:hAnsi="Arial" w:cs="Arial"/>
          <w:bCs/>
          <w:sz w:val="20"/>
          <w:szCs w:val="20"/>
          <w:lang w:val="en-GB"/>
        </w:rPr>
        <w:t>activities in the Income Statement.</w:t>
      </w:r>
    </w:p>
    <w:p w14:paraId="2F70322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E40B33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14.</w:t>
      </w:r>
      <w:r w:rsidRPr="00587444">
        <w:rPr>
          <w:rFonts w:ascii="Arial" w:hAnsi="Arial" w:cs="Arial"/>
          <w:b/>
          <w:bCs/>
          <w:sz w:val="20"/>
          <w:szCs w:val="20"/>
          <w:lang w:val="en-GB"/>
        </w:rPr>
        <w:tab/>
        <w:t>Loans to financial institutions</w:t>
      </w:r>
    </w:p>
    <w:p w14:paraId="132950C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330BC013" w14:textId="77777777" w:rsidR="00587444" w:rsidRPr="00587444" w:rsidRDefault="00587444" w:rsidP="00587444">
      <w:pPr>
        <w:keepNext/>
        <w:tabs>
          <w:tab w:val="left" w:pos="567"/>
        </w:tabs>
        <w:suppressAutoHyphens w:val="0"/>
        <w:autoSpaceDN/>
        <w:jc w:val="both"/>
        <w:rPr>
          <w:rFonts w:ascii="Arial" w:hAnsi="Arial" w:cs="Arial"/>
          <w:b/>
          <w:bCs/>
          <w:sz w:val="20"/>
          <w:szCs w:val="20"/>
          <w:lang w:val="pl-PL"/>
        </w:rPr>
      </w:pPr>
    </w:p>
    <w:tbl>
      <w:tblPr>
        <w:tblW w:w="4440" w:type="pct"/>
        <w:tblInd w:w="567" w:type="dxa"/>
        <w:tblLayout w:type="fixed"/>
        <w:tblCellMar>
          <w:left w:w="119" w:type="dxa"/>
          <w:right w:w="119" w:type="dxa"/>
        </w:tblCellMar>
        <w:tblLook w:val="0000" w:firstRow="0" w:lastRow="0" w:firstColumn="0" w:lastColumn="0" w:noHBand="0" w:noVBand="0"/>
      </w:tblPr>
      <w:tblGrid>
        <w:gridCol w:w="4989"/>
        <w:gridCol w:w="1767"/>
        <w:gridCol w:w="1763"/>
      </w:tblGrid>
      <w:tr w:rsidR="00587444" w:rsidRPr="00587444" w14:paraId="199F8E29" w14:textId="77777777" w:rsidTr="00DD69E7">
        <w:trPr>
          <w:trHeight w:val="134"/>
        </w:trPr>
        <w:tc>
          <w:tcPr>
            <w:tcW w:w="2928" w:type="pct"/>
          </w:tcPr>
          <w:p w14:paraId="64D46913" w14:textId="77777777" w:rsidR="00587444" w:rsidRPr="00587444" w:rsidRDefault="00587444" w:rsidP="00587444">
            <w:pPr>
              <w:tabs>
                <w:tab w:val="left" w:pos="-720"/>
              </w:tabs>
              <w:autoSpaceDN/>
              <w:spacing w:line="280" w:lineRule="exact"/>
              <w:jc w:val="right"/>
              <w:rPr>
                <w:rFonts w:ascii="Arial" w:hAnsi="Arial" w:cs="Arial"/>
                <w:spacing w:val="-3"/>
                <w:sz w:val="20"/>
                <w:szCs w:val="20"/>
                <w:lang w:val="en-GB"/>
              </w:rPr>
            </w:pPr>
          </w:p>
        </w:tc>
        <w:tc>
          <w:tcPr>
            <w:tcW w:w="2072" w:type="pct"/>
            <w:gridSpan w:val="2"/>
          </w:tcPr>
          <w:p w14:paraId="43CFE56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619" w:name="_Toc4058450"/>
            <w:r w:rsidRPr="00587444">
              <w:rPr>
                <w:rFonts w:ascii="Arial" w:hAnsi="Arial" w:cs="Arial"/>
                <w:b/>
                <w:sz w:val="20"/>
                <w:szCs w:val="20"/>
                <w:lang w:val="hr-HR"/>
              </w:rPr>
              <w:t>Group and Bank</w:t>
            </w:r>
            <w:bookmarkEnd w:id="619"/>
          </w:p>
        </w:tc>
      </w:tr>
      <w:tr w:rsidR="00587444" w:rsidRPr="00587444" w14:paraId="210DC8E1" w14:textId="77777777" w:rsidTr="00DD69E7">
        <w:trPr>
          <w:trHeight w:val="75"/>
        </w:trPr>
        <w:tc>
          <w:tcPr>
            <w:tcW w:w="2928" w:type="pct"/>
          </w:tcPr>
          <w:p w14:paraId="191D7F28" w14:textId="77777777" w:rsidR="00587444" w:rsidRPr="00587444" w:rsidRDefault="00587444" w:rsidP="00587444">
            <w:pPr>
              <w:tabs>
                <w:tab w:val="left" w:pos="-720"/>
              </w:tabs>
              <w:autoSpaceDN/>
              <w:spacing w:line="280" w:lineRule="exact"/>
              <w:jc w:val="right"/>
              <w:rPr>
                <w:rFonts w:ascii="Arial" w:hAnsi="Arial" w:cs="Arial"/>
                <w:spacing w:val="-3"/>
                <w:sz w:val="20"/>
                <w:szCs w:val="20"/>
                <w:lang w:val="en-GB"/>
              </w:rPr>
            </w:pPr>
          </w:p>
        </w:tc>
        <w:tc>
          <w:tcPr>
            <w:tcW w:w="1037" w:type="pct"/>
            <w:shd w:val="clear" w:color="auto" w:fill="auto"/>
            <w:vAlign w:val="center"/>
          </w:tcPr>
          <w:p w14:paraId="1BA3E73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620" w:name="_Toc4058451"/>
            <w:r w:rsidRPr="00587444">
              <w:rPr>
                <w:rFonts w:ascii="Arial" w:hAnsi="Arial" w:cs="Arial"/>
                <w:b/>
                <w:sz w:val="20"/>
                <w:szCs w:val="20"/>
                <w:lang w:val="hr-HR"/>
              </w:rPr>
              <w:t xml:space="preserve">31 December </w:t>
            </w:r>
            <w:bookmarkEnd w:id="620"/>
            <w:r w:rsidRPr="00587444">
              <w:rPr>
                <w:rFonts w:ascii="Arial" w:hAnsi="Arial" w:cs="Arial"/>
                <w:b/>
                <w:sz w:val="20"/>
                <w:szCs w:val="20"/>
                <w:lang w:val="hr-HR"/>
              </w:rPr>
              <w:t>2022</w:t>
            </w:r>
          </w:p>
        </w:tc>
        <w:tc>
          <w:tcPr>
            <w:tcW w:w="1035" w:type="pct"/>
            <w:shd w:val="clear" w:color="auto" w:fill="auto"/>
            <w:vAlign w:val="center"/>
          </w:tcPr>
          <w:p w14:paraId="79E9FFF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621" w:name="_Toc4058452"/>
            <w:r w:rsidRPr="00587444">
              <w:rPr>
                <w:rFonts w:ascii="Arial" w:hAnsi="Arial" w:cs="Arial"/>
                <w:b/>
                <w:sz w:val="20"/>
                <w:szCs w:val="20"/>
                <w:lang w:val="hr-HR"/>
              </w:rPr>
              <w:t xml:space="preserve">31 December </w:t>
            </w:r>
            <w:bookmarkEnd w:id="621"/>
            <w:r w:rsidRPr="00587444">
              <w:rPr>
                <w:rFonts w:ascii="Arial" w:hAnsi="Arial" w:cs="Arial"/>
                <w:b/>
                <w:sz w:val="20"/>
                <w:szCs w:val="20"/>
                <w:lang w:val="hr-HR"/>
              </w:rPr>
              <w:t>2021</w:t>
            </w:r>
          </w:p>
        </w:tc>
      </w:tr>
      <w:tr w:rsidR="00587444" w:rsidRPr="00587444" w14:paraId="12A0DAFA" w14:textId="77777777" w:rsidTr="00DD69E7">
        <w:trPr>
          <w:trHeight w:val="134"/>
        </w:trPr>
        <w:tc>
          <w:tcPr>
            <w:tcW w:w="2928" w:type="pct"/>
          </w:tcPr>
          <w:p w14:paraId="28E015EA" w14:textId="77777777" w:rsidR="00587444" w:rsidRPr="00587444" w:rsidRDefault="00587444" w:rsidP="00587444">
            <w:pPr>
              <w:tabs>
                <w:tab w:val="left" w:pos="-720"/>
              </w:tabs>
              <w:autoSpaceDN/>
              <w:spacing w:line="280" w:lineRule="exact"/>
              <w:jc w:val="right"/>
              <w:rPr>
                <w:rFonts w:ascii="Arial" w:hAnsi="Arial" w:cs="Arial"/>
                <w:spacing w:val="-3"/>
                <w:sz w:val="20"/>
                <w:szCs w:val="20"/>
                <w:lang w:val="en-GB"/>
              </w:rPr>
            </w:pPr>
          </w:p>
        </w:tc>
        <w:tc>
          <w:tcPr>
            <w:tcW w:w="1037" w:type="pct"/>
          </w:tcPr>
          <w:p w14:paraId="37B571FF"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b/>
                <w:sz w:val="20"/>
                <w:szCs w:val="20"/>
                <w:lang w:val="en-GB"/>
              </w:rPr>
            </w:pPr>
            <w:bookmarkStart w:id="622" w:name="_Toc4058453"/>
            <w:r w:rsidRPr="00587444">
              <w:rPr>
                <w:rFonts w:ascii="Arial" w:hAnsi="Arial" w:cs="Arial"/>
                <w:b/>
                <w:sz w:val="20"/>
                <w:szCs w:val="20"/>
                <w:lang w:val="en-GB"/>
              </w:rPr>
              <w:t>HRK ‘000</w:t>
            </w:r>
            <w:bookmarkEnd w:id="622"/>
          </w:p>
        </w:tc>
        <w:tc>
          <w:tcPr>
            <w:tcW w:w="1035" w:type="pct"/>
          </w:tcPr>
          <w:p w14:paraId="46E3221F"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b/>
                <w:sz w:val="20"/>
                <w:szCs w:val="20"/>
                <w:lang w:val="en-GB"/>
              </w:rPr>
            </w:pPr>
            <w:bookmarkStart w:id="623" w:name="_Toc4058454"/>
            <w:r w:rsidRPr="00587444">
              <w:rPr>
                <w:rFonts w:ascii="Arial" w:hAnsi="Arial" w:cs="Arial"/>
                <w:b/>
                <w:sz w:val="20"/>
                <w:szCs w:val="20"/>
                <w:lang w:val="en-GB"/>
              </w:rPr>
              <w:t>HRK ‘000</w:t>
            </w:r>
            <w:bookmarkEnd w:id="623"/>
          </w:p>
        </w:tc>
      </w:tr>
      <w:tr w:rsidR="00587444" w:rsidRPr="00587444" w14:paraId="52F40B39" w14:textId="77777777" w:rsidTr="00DD69E7">
        <w:trPr>
          <w:trHeight w:val="155"/>
        </w:trPr>
        <w:tc>
          <w:tcPr>
            <w:tcW w:w="2928" w:type="pct"/>
            <w:vAlign w:val="bottom"/>
          </w:tcPr>
          <w:p w14:paraId="3FFD68E2" w14:textId="77777777" w:rsidR="00587444" w:rsidRPr="00587444" w:rsidRDefault="00587444" w:rsidP="00587444">
            <w:pPr>
              <w:tabs>
                <w:tab w:val="left" w:pos="-720"/>
              </w:tabs>
              <w:autoSpaceDN/>
              <w:spacing w:line="280" w:lineRule="exact"/>
              <w:rPr>
                <w:rFonts w:ascii="Arial" w:hAnsi="Arial" w:cs="Arial"/>
                <w:spacing w:val="-2"/>
                <w:sz w:val="20"/>
                <w:szCs w:val="20"/>
                <w:lang w:val="en-GB"/>
              </w:rPr>
            </w:pPr>
          </w:p>
        </w:tc>
        <w:tc>
          <w:tcPr>
            <w:tcW w:w="1037" w:type="pct"/>
            <w:vAlign w:val="bottom"/>
          </w:tcPr>
          <w:p w14:paraId="77AD8B8D" w14:textId="77777777" w:rsidR="00587444" w:rsidRPr="00587444" w:rsidRDefault="00587444" w:rsidP="00587444">
            <w:pPr>
              <w:tabs>
                <w:tab w:val="left" w:pos="-720"/>
              </w:tabs>
              <w:autoSpaceDN/>
              <w:spacing w:line="280" w:lineRule="exact"/>
              <w:jc w:val="right"/>
              <w:rPr>
                <w:rFonts w:ascii="Arial" w:hAnsi="Arial" w:cs="Arial"/>
                <w:spacing w:val="-2"/>
                <w:sz w:val="20"/>
                <w:szCs w:val="20"/>
                <w:lang w:val="en-GB"/>
              </w:rPr>
            </w:pPr>
          </w:p>
        </w:tc>
        <w:tc>
          <w:tcPr>
            <w:tcW w:w="1035" w:type="pct"/>
            <w:vAlign w:val="bottom"/>
          </w:tcPr>
          <w:p w14:paraId="57CF9E2D" w14:textId="77777777" w:rsidR="00587444" w:rsidRPr="00587444" w:rsidRDefault="00587444" w:rsidP="00587444">
            <w:pPr>
              <w:tabs>
                <w:tab w:val="left" w:pos="-720"/>
              </w:tabs>
              <w:autoSpaceDN/>
              <w:spacing w:line="280" w:lineRule="exact"/>
              <w:jc w:val="right"/>
              <w:rPr>
                <w:rFonts w:ascii="Arial" w:hAnsi="Arial" w:cs="Arial"/>
                <w:spacing w:val="-2"/>
                <w:sz w:val="20"/>
                <w:szCs w:val="20"/>
                <w:lang w:val="en-GB"/>
              </w:rPr>
            </w:pPr>
          </w:p>
        </w:tc>
      </w:tr>
      <w:tr w:rsidR="00587444" w:rsidRPr="00587444" w14:paraId="642165F6" w14:textId="77777777" w:rsidTr="00DD69E7">
        <w:trPr>
          <w:trHeight w:val="134"/>
        </w:trPr>
        <w:tc>
          <w:tcPr>
            <w:tcW w:w="2928" w:type="pct"/>
            <w:vAlign w:val="bottom"/>
          </w:tcPr>
          <w:p w14:paraId="775F729B" w14:textId="77777777" w:rsidR="00587444" w:rsidRPr="00587444" w:rsidRDefault="00587444" w:rsidP="00587444">
            <w:pPr>
              <w:tabs>
                <w:tab w:val="right" w:pos="1202"/>
              </w:tabs>
              <w:suppressAutoHyphens w:val="0"/>
              <w:autoSpaceDN/>
              <w:spacing w:line="280" w:lineRule="exact"/>
              <w:outlineLvl w:val="0"/>
              <w:rPr>
                <w:rFonts w:ascii="Arial" w:hAnsi="Arial" w:cs="Arial"/>
                <w:sz w:val="20"/>
                <w:szCs w:val="20"/>
                <w:highlight w:val="yellow"/>
                <w:lang w:val="en-GB"/>
              </w:rPr>
            </w:pPr>
            <w:bookmarkStart w:id="624" w:name="_Toc4058455"/>
            <w:r w:rsidRPr="00587444">
              <w:rPr>
                <w:rFonts w:ascii="Arial" w:hAnsi="Arial" w:cs="Arial"/>
                <w:sz w:val="20"/>
                <w:szCs w:val="20"/>
                <w:lang w:val="en-GB"/>
              </w:rPr>
              <w:t>Long-term loans under loan programmes</w:t>
            </w:r>
            <w:bookmarkEnd w:id="624"/>
          </w:p>
        </w:tc>
        <w:tc>
          <w:tcPr>
            <w:tcW w:w="1037" w:type="pct"/>
            <w:tcBorders>
              <w:top w:val="nil"/>
              <w:left w:val="nil"/>
              <w:bottom w:val="nil"/>
              <w:right w:val="nil"/>
            </w:tcBorders>
            <w:shd w:val="clear" w:color="auto" w:fill="auto"/>
            <w:vAlign w:val="bottom"/>
          </w:tcPr>
          <w:p w14:paraId="23BC898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6,937,011 </w:t>
            </w:r>
          </w:p>
        </w:tc>
        <w:tc>
          <w:tcPr>
            <w:tcW w:w="1035" w:type="pct"/>
            <w:tcBorders>
              <w:top w:val="nil"/>
              <w:left w:val="nil"/>
              <w:bottom w:val="nil"/>
              <w:right w:val="nil"/>
            </w:tcBorders>
            <w:shd w:val="clear" w:color="auto" w:fill="auto"/>
            <w:vAlign w:val="center"/>
          </w:tcPr>
          <w:p w14:paraId="12F535E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7,043,581</w:t>
            </w:r>
          </w:p>
        </w:tc>
      </w:tr>
      <w:tr w:rsidR="00587444" w:rsidRPr="00587444" w14:paraId="7E309469" w14:textId="77777777" w:rsidTr="00DD69E7">
        <w:trPr>
          <w:trHeight w:val="250"/>
        </w:trPr>
        <w:tc>
          <w:tcPr>
            <w:tcW w:w="2928" w:type="pct"/>
            <w:vAlign w:val="bottom"/>
          </w:tcPr>
          <w:p w14:paraId="70516B0D" w14:textId="77777777" w:rsidR="00587444" w:rsidRPr="00587444" w:rsidRDefault="00587444" w:rsidP="00587444">
            <w:pPr>
              <w:tabs>
                <w:tab w:val="right" w:pos="1202"/>
              </w:tabs>
              <w:suppressAutoHyphens w:val="0"/>
              <w:autoSpaceDN/>
              <w:spacing w:line="280" w:lineRule="exact"/>
              <w:outlineLvl w:val="0"/>
              <w:rPr>
                <w:rFonts w:ascii="Arial" w:hAnsi="Arial" w:cs="Arial"/>
                <w:sz w:val="20"/>
                <w:szCs w:val="20"/>
                <w:highlight w:val="yellow"/>
                <w:lang w:val="en-GB"/>
              </w:rPr>
            </w:pPr>
            <w:r w:rsidRPr="00587444">
              <w:rPr>
                <w:rFonts w:ascii="Arial" w:hAnsi="Arial" w:cs="Arial"/>
                <w:sz w:val="20"/>
                <w:szCs w:val="20"/>
                <w:lang w:val="en-GB"/>
              </w:rPr>
              <w:tab/>
            </w:r>
            <w:bookmarkStart w:id="625" w:name="_Toc4058458"/>
            <w:r w:rsidRPr="00587444">
              <w:rPr>
                <w:rFonts w:ascii="Arial" w:hAnsi="Arial" w:cs="Arial"/>
                <w:sz w:val="20"/>
                <w:szCs w:val="20"/>
                <w:lang w:val="en-GB"/>
              </w:rPr>
              <w:t>Short-term loans and reverse repo transactions</w:t>
            </w:r>
            <w:bookmarkEnd w:id="625"/>
          </w:p>
        </w:tc>
        <w:tc>
          <w:tcPr>
            <w:tcW w:w="1037" w:type="pct"/>
            <w:tcBorders>
              <w:top w:val="nil"/>
              <w:left w:val="nil"/>
              <w:bottom w:val="nil"/>
              <w:right w:val="nil"/>
            </w:tcBorders>
            <w:shd w:val="clear" w:color="auto" w:fill="auto"/>
            <w:vAlign w:val="bottom"/>
          </w:tcPr>
          <w:p w14:paraId="7E84C60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120,000 </w:t>
            </w:r>
          </w:p>
        </w:tc>
        <w:tc>
          <w:tcPr>
            <w:tcW w:w="1035" w:type="pct"/>
            <w:tcBorders>
              <w:top w:val="nil"/>
              <w:left w:val="nil"/>
              <w:bottom w:val="nil"/>
              <w:right w:val="nil"/>
            </w:tcBorders>
            <w:shd w:val="clear" w:color="auto" w:fill="auto"/>
            <w:vAlign w:val="center"/>
          </w:tcPr>
          <w:p w14:paraId="46AD375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83,239</w:t>
            </w:r>
          </w:p>
        </w:tc>
      </w:tr>
      <w:tr w:rsidR="00587444" w:rsidRPr="00587444" w14:paraId="4EC76AFB" w14:textId="77777777" w:rsidTr="00DD69E7">
        <w:trPr>
          <w:trHeight w:val="134"/>
        </w:trPr>
        <w:tc>
          <w:tcPr>
            <w:tcW w:w="2928" w:type="pct"/>
            <w:vAlign w:val="bottom"/>
          </w:tcPr>
          <w:p w14:paraId="28BA8CDD" w14:textId="77777777" w:rsidR="00587444" w:rsidRPr="00587444" w:rsidRDefault="00587444" w:rsidP="00587444">
            <w:pPr>
              <w:tabs>
                <w:tab w:val="right" w:pos="1202"/>
              </w:tabs>
              <w:suppressAutoHyphens w:val="0"/>
              <w:autoSpaceDN/>
              <w:spacing w:line="280" w:lineRule="exact"/>
              <w:outlineLvl w:val="0"/>
              <w:rPr>
                <w:rFonts w:ascii="Arial" w:hAnsi="Arial" w:cs="Arial"/>
                <w:sz w:val="20"/>
                <w:szCs w:val="20"/>
                <w:lang w:val="en-GB"/>
              </w:rPr>
            </w:pPr>
            <w:bookmarkStart w:id="626" w:name="_Toc4058461"/>
            <w:r w:rsidRPr="00587444">
              <w:rPr>
                <w:rFonts w:ascii="Arial" w:hAnsi="Arial" w:cs="Arial"/>
                <w:sz w:val="20"/>
                <w:szCs w:val="20"/>
                <w:lang w:val="en-GB"/>
              </w:rPr>
              <w:t>Accrued interest</w:t>
            </w:r>
            <w:bookmarkEnd w:id="626"/>
          </w:p>
        </w:tc>
        <w:tc>
          <w:tcPr>
            <w:tcW w:w="1037" w:type="pct"/>
            <w:tcBorders>
              <w:top w:val="nil"/>
              <w:left w:val="nil"/>
              <w:bottom w:val="nil"/>
              <w:right w:val="nil"/>
            </w:tcBorders>
            <w:shd w:val="clear" w:color="auto" w:fill="auto"/>
            <w:vAlign w:val="bottom"/>
          </w:tcPr>
          <w:p w14:paraId="17BAB28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7,016 </w:t>
            </w:r>
          </w:p>
        </w:tc>
        <w:tc>
          <w:tcPr>
            <w:tcW w:w="1035" w:type="pct"/>
            <w:tcBorders>
              <w:top w:val="nil"/>
              <w:left w:val="nil"/>
              <w:bottom w:val="nil"/>
              <w:right w:val="nil"/>
            </w:tcBorders>
            <w:shd w:val="clear" w:color="auto" w:fill="auto"/>
          </w:tcPr>
          <w:p w14:paraId="7060DB3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3,418</w:t>
            </w:r>
          </w:p>
        </w:tc>
      </w:tr>
      <w:tr w:rsidR="00587444" w:rsidRPr="00587444" w14:paraId="1D07CA61" w14:textId="77777777" w:rsidTr="00DD69E7">
        <w:trPr>
          <w:trHeight w:val="134"/>
        </w:trPr>
        <w:tc>
          <w:tcPr>
            <w:tcW w:w="2928" w:type="pct"/>
            <w:vAlign w:val="bottom"/>
          </w:tcPr>
          <w:p w14:paraId="53600576" w14:textId="77777777" w:rsidR="00587444" w:rsidRPr="00587444" w:rsidRDefault="00587444" w:rsidP="00587444">
            <w:pPr>
              <w:tabs>
                <w:tab w:val="right" w:pos="1202"/>
              </w:tabs>
              <w:suppressAutoHyphens w:val="0"/>
              <w:autoSpaceDN/>
              <w:spacing w:line="280" w:lineRule="exact"/>
              <w:outlineLvl w:val="0"/>
              <w:rPr>
                <w:rFonts w:ascii="Arial" w:hAnsi="Arial" w:cs="Arial"/>
                <w:sz w:val="20"/>
                <w:szCs w:val="20"/>
                <w:lang w:val="en-GB"/>
              </w:rPr>
            </w:pPr>
            <w:bookmarkStart w:id="627" w:name="_Toc4058464"/>
            <w:r w:rsidRPr="00587444">
              <w:rPr>
                <w:rFonts w:ascii="Arial" w:hAnsi="Arial" w:cs="Arial"/>
                <w:sz w:val="20"/>
                <w:szCs w:val="20"/>
                <w:lang w:val="en-GB"/>
              </w:rPr>
              <w:t>Deferred recognition of loan origination fees</w:t>
            </w:r>
            <w:bookmarkEnd w:id="627"/>
            <w:r w:rsidRPr="00587444">
              <w:rPr>
                <w:rFonts w:ascii="Arial" w:hAnsi="Arial" w:cs="Arial"/>
                <w:sz w:val="20"/>
                <w:szCs w:val="20"/>
                <w:lang w:val="en-GB"/>
              </w:rPr>
              <w:t xml:space="preserve"> </w:t>
            </w:r>
          </w:p>
        </w:tc>
        <w:tc>
          <w:tcPr>
            <w:tcW w:w="1037" w:type="pct"/>
            <w:tcBorders>
              <w:top w:val="nil"/>
              <w:left w:val="nil"/>
              <w:right w:val="nil"/>
            </w:tcBorders>
            <w:shd w:val="clear" w:color="auto" w:fill="auto"/>
            <w:vAlign w:val="bottom"/>
          </w:tcPr>
          <w:p w14:paraId="25BE576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(18,453)</w:t>
            </w:r>
          </w:p>
        </w:tc>
        <w:tc>
          <w:tcPr>
            <w:tcW w:w="1035" w:type="pct"/>
            <w:tcBorders>
              <w:top w:val="nil"/>
              <w:left w:val="nil"/>
              <w:right w:val="nil"/>
            </w:tcBorders>
            <w:shd w:val="clear" w:color="auto" w:fill="auto"/>
          </w:tcPr>
          <w:p w14:paraId="122B2A7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(21,195)</w:t>
            </w:r>
          </w:p>
        </w:tc>
      </w:tr>
      <w:tr w:rsidR="00587444" w:rsidRPr="00587444" w14:paraId="73D29621" w14:textId="77777777" w:rsidTr="00DD69E7">
        <w:trPr>
          <w:trHeight w:val="215"/>
        </w:trPr>
        <w:tc>
          <w:tcPr>
            <w:tcW w:w="2928" w:type="pct"/>
            <w:vAlign w:val="bottom"/>
          </w:tcPr>
          <w:p w14:paraId="4EEBADD9" w14:textId="77777777" w:rsidR="00587444" w:rsidRPr="00587444" w:rsidRDefault="00587444" w:rsidP="00587444">
            <w:pPr>
              <w:tabs>
                <w:tab w:val="left" w:pos="-720"/>
              </w:tabs>
              <w:autoSpaceDN/>
              <w:spacing w:line="280" w:lineRule="exact"/>
              <w:rPr>
                <w:rFonts w:ascii="Arial" w:hAnsi="Arial" w:cs="Arial"/>
                <w:iCs/>
                <w:spacing w:val="-2"/>
                <w:sz w:val="20"/>
                <w:szCs w:val="20"/>
                <w:lang w:val="en-GB"/>
              </w:rPr>
            </w:pPr>
          </w:p>
        </w:tc>
        <w:tc>
          <w:tcPr>
            <w:tcW w:w="1037" w:type="pct"/>
            <w:tcBorders>
              <w:top w:val="single" w:sz="4" w:space="0" w:color="auto"/>
              <w:bottom w:val="single" w:sz="4" w:space="0" w:color="auto"/>
            </w:tcBorders>
            <w:vAlign w:val="bottom"/>
          </w:tcPr>
          <w:p w14:paraId="42794A07"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sz w:val="20"/>
                <w:szCs w:val="20"/>
                <w:lang w:val="hr-HR"/>
              </w:rPr>
            </w:pPr>
            <w:r w:rsidRPr="00587444">
              <w:rPr>
                <w:rFonts w:ascii="Arial" w:hAnsi="Arial" w:cs="Arial"/>
                <w:color w:val="000000"/>
                <w:sz w:val="20"/>
                <w:szCs w:val="20"/>
                <w:lang w:val="hr-HR"/>
              </w:rPr>
              <w:t>7,045,574</w:t>
            </w:r>
          </w:p>
        </w:tc>
        <w:tc>
          <w:tcPr>
            <w:tcW w:w="1035" w:type="pct"/>
            <w:tcBorders>
              <w:top w:val="single" w:sz="4" w:space="0" w:color="auto"/>
              <w:bottom w:val="single" w:sz="4" w:space="0" w:color="auto"/>
            </w:tcBorders>
          </w:tcPr>
          <w:p w14:paraId="4219D379"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sz w:val="20"/>
                <w:szCs w:val="20"/>
                <w:lang w:val="hr-HR"/>
              </w:rPr>
            </w:pPr>
            <w:r w:rsidRPr="00587444">
              <w:rPr>
                <w:rFonts w:ascii="Arial" w:hAnsi="Arial" w:cs="Arial"/>
                <w:color w:val="000000"/>
                <w:sz w:val="20"/>
                <w:szCs w:val="20"/>
                <w:lang w:val="hr-HR"/>
              </w:rPr>
              <w:t>7,109,043</w:t>
            </w:r>
          </w:p>
        </w:tc>
      </w:tr>
      <w:tr w:rsidR="00587444" w:rsidRPr="00587444" w14:paraId="5C6667B8" w14:textId="77777777" w:rsidTr="00DD69E7">
        <w:trPr>
          <w:trHeight w:val="215"/>
        </w:trPr>
        <w:tc>
          <w:tcPr>
            <w:tcW w:w="2928" w:type="pct"/>
            <w:vAlign w:val="bottom"/>
          </w:tcPr>
          <w:p w14:paraId="70D673A2" w14:textId="77777777" w:rsidR="00587444" w:rsidRPr="00587444" w:rsidRDefault="00587444" w:rsidP="00587444">
            <w:pPr>
              <w:tabs>
                <w:tab w:val="left" w:pos="-720"/>
              </w:tabs>
              <w:autoSpaceDN/>
              <w:spacing w:line="280" w:lineRule="exact"/>
              <w:rPr>
                <w:rFonts w:ascii="Arial" w:hAnsi="Arial" w:cs="Arial"/>
                <w:iCs/>
                <w:spacing w:val="-2"/>
                <w:sz w:val="20"/>
                <w:szCs w:val="20"/>
                <w:lang w:val="en-GB"/>
              </w:rPr>
            </w:pPr>
          </w:p>
        </w:tc>
        <w:tc>
          <w:tcPr>
            <w:tcW w:w="1037" w:type="pct"/>
            <w:tcBorders>
              <w:top w:val="single" w:sz="4" w:space="0" w:color="auto"/>
            </w:tcBorders>
            <w:vAlign w:val="bottom"/>
          </w:tcPr>
          <w:p w14:paraId="6E1F1399"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sz w:val="20"/>
                <w:szCs w:val="20"/>
                <w:lang w:val="hr-HR"/>
              </w:rPr>
            </w:pPr>
          </w:p>
        </w:tc>
        <w:tc>
          <w:tcPr>
            <w:tcW w:w="1035" w:type="pct"/>
            <w:tcBorders>
              <w:top w:val="single" w:sz="4" w:space="0" w:color="auto"/>
            </w:tcBorders>
          </w:tcPr>
          <w:p w14:paraId="393FB743"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sz w:val="20"/>
                <w:szCs w:val="20"/>
                <w:lang w:val="hr-HR"/>
              </w:rPr>
            </w:pPr>
          </w:p>
        </w:tc>
      </w:tr>
      <w:tr w:rsidR="00587444" w:rsidRPr="00587444" w14:paraId="00936D79" w14:textId="77777777" w:rsidTr="00DD69E7">
        <w:trPr>
          <w:trHeight w:val="263"/>
        </w:trPr>
        <w:tc>
          <w:tcPr>
            <w:tcW w:w="2928" w:type="pct"/>
            <w:vAlign w:val="bottom"/>
          </w:tcPr>
          <w:p w14:paraId="5FA5EAA3" w14:textId="77777777" w:rsidR="00587444" w:rsidRPr="00587444" w:rsidRDefault="00587444" w:rsidP="00587444">
            <w:pPr>
              <w:tabs>
                <w:tab w:val="right" w:pos="1202"/>
              </w:tabs>
              <w:suppressAutoHyphens w:val="0"/>
              <w:autoSpaceDN/>
              <w:spacing w:line="280" w:lineRule="exact"/>
              <w:outlineLvl w:val="0"/>
              <w:rPr>
                <w:rFonts w:ascii="Arial" w:hAnsi="Arial" w:cs="Arial"/>
                <w:sz w:val="20"/>
                <w:szCs w:val="20"/>
                <w:lang w:val="en-GB"/>
              </w:rPr>
            </w:pPr>
            <w:bookmarkStart w:id="628" w:name="_Toc4058469"/>
            <w:r w:rsidRPr="00587444">
              <w:rPr>
                <w:rFonts w:ascii="Arial" w:hAnsi="Arial" w:cs="Arial"/>
                <w:sz w:val="20"/>
                <w:szCs w:val="20"/>
                <w:lang w:val="en-GB"/>
              </w:rPr>
              <w:t>Loss allowances</w:t>
            </w:r>
            <w:bookmarkEnd w:id="628"/>
          </w:p>
        </w:tc>
        <w:tc>
          <w:tcPr>
            <w:tcW w:w="1037" w:type="pct"/>
            <w:tcBorders>
              <w:bottom w:val="single" w:sz="4" w:space="0" w:color="auto"/>
            </w:tcBorders>
            <w:vAlign w:val="bottom"/>
          </w:tcPr>
          <w:p w14:paraId="7B276586" w14:textId="77777777" w:rsidR="00587444" w:rsidRPr="00587444" w:rsidRDefault="00587444" w:rsidP="00587444">
            <w:pPr>
              <w:tabs>
                <w:tab w:val="left" w:pos="-720"/>
              </w:tabs>
              <w:autoSpaceDN/>
              <w:jc w:val="right"/>
              <w:rPr>
                <w:rFonts w:ascii="Arial" w:hAnsi="Arial" w:cs="Arial"/>
                <w:sz w:val="20"/>
                <w:szCs w:val="20"/>
                <w:lang w:val="hr-HR"/>
              </w:rPr>
            </w:pPr>
            <w:r w:rsidRPr="00587444">
              <w:rPr>
                <w:rFonts w:ascii="Arial" w:hAnsi="Arial" w:cs="Arial"/>
                <w:color w:val="000000"/>
                <w:sz w:val="20"/>
                <w:szCs w:val="20"/>
                <w:lang w:val="hr-HR"/>
              </w:rPr>
              <w:t>(60,862)</w:t>
            </w:r>
          </w:p>
        </w:tc>
        <w:tc>
          <w:tcPr>
            <w:tcW w:w="1035" w:type="pct"/>
            <w:tcBorders>
              <w:bottom w:val="single" w:sz="4" w:space="0" w:color="auto"/>
            </w:tcBorders>
            <w:vAlign w:val="bottom"/>
          </w:tcPr>
          <w:p w14:paraId="316EBE9D" w14:textId="77777777" w:rsidR="00587444" w:rsidRPr="00587444" w:rsidRDefault="00587444" w:rsidP="00587444">
            <w:pPr>
              <w:tabs>
                <w:tab w:val="left" w:pos="-720"/>
              </w:tabs>
              <w:autoSpaceDN/>
              <w:jc w:val="right"/>
              <w:rPr>
                <w:rFonts w:ascii="Arial" w:hAnsi="Arial" w:cs="Arial"/>
                <w:sz w:val="20"/>
                <w:szCs w:val="20"/>
                <w:lang w:val="hr-HR"/>
              </w:rPr>
            </w:pPr>
            <w:r w:rsidRPr="00587444">
              <w:rPr>
                <w:rFonts w:ascii="Arial" w:hAnsi="Arial" w:cs="Arial"/>
                <w:color w:val="000000"/>
                <w:sz w:val="20"/>
                <w:szCs w:val="20"/>
                <w:lang w:val="hr-HR"/>
              </w:rPr>
              <w:t>(58,900)</w:t>
            </w:r>
          </w:p>
        </w:tc>
      </w:tr>
      <w:tr w:rsidR="00587444" w:rsidRPr="00587444" w14:paraId="7C12B031" w14:textId="77777777" w:rsidTr="00DD69E7">
        <w:trPr>
          <w:trHeight w:val="34"/>
        </w:trPr>
        <w:tc>
          <w:tcPr>
            <w:tcW w:w="2928" w:type="pct"/>
            <w:vAlign w:val="bottom"/>
          </w:tcPr>
          <w:p w14:paraId="32DB65AB" w14:textId="77777777" w:rsidR="00587444" w:rsidRPr="00587444" w:rsidRDefault="00587444" w:rsidP="00587444">
            <w:pPr>
              <w:tabs>
                <w:tab w:val="left" w:pos="-720"/>
              </w:tabs>
              <w:autoSpaceDN/>
              <w:spacing w:line="280" w:lineRule="exact"/>
              <w:rPr>
                <w:rFonts w:ascii="Arial" w:hAnsi="Arial" w:cs="Arial"/>
                <w:b/>
                <w:bCs/>
                <w:sz w:val="20"/>
                <w:szCs w:val="20"/>
                <w:lang w:val="en-GB"/>
              </w:rPr>
            </w:pPr>
          </w:p>
        </w:tc>
        <w:tc>
          <w:tcPr>
            <w:tcW w:w="1037" w:type="pct"/>
            <w:tcBorders>
              <w:top w:val="single" w:sz="4" w:space="0" w:color="auto"/>
              <w:bottom w:val="single" w:sz="12" w:space="0" w:color="auto"/>
            </w:tcBorders>
            <w:vAlign w:val="bottom"/>
          </w:tcPr>
          <w:p w14:paraId="25D81921"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6,984,712</w:t>
            </w:r>
          </w:p>
        </w:tc>
        <w:tc>
          <w:tcPr>
            <w:tcW w:w="1035" w:type="pct"/>
            <w:tcBorders>
              <w:top w:val="single" w:sz="4" w:space="0" w:color="auto"/>
              <w:bottom w:val="single" w:sz="12" w:space="0" w:color="auto"/>
            </w:tcBorders>
            <w:vAlign w:val="bottom"/>
          </w:tcPr>
          <w:p w14:paraId="6E48DB51"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7,050,143</w:t>
            </w:r>
          </w:p>
        </w:tc>
      </w:tr>
    </w:tbl>
    <w:p w14:paraId="73FE3079"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799688B7"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1F07D0F0" w14:textId="77777777" w:rsidR="00587444" w:rsidRPr="00587444" w:rsidRDefault="00587444" w:rsidP="00587444">
      <w:pPr>
        <w:tabs>
          <w:tab w:val="left" w:pos="-720"/>
        </w:tabs>
        <w:autoSpaceDN/>
        <w:ind w:right="-612"/>
        <w:rPr>
          <w:rFonts w:ascii="Arial" w:hAnsi="Arial" w:cs="Arial"/>
          <w:b/>
          <w:sz w:val="20"/>
          <w:szCs w:val="20"/>
          <w:lang w:val="en-GB"/>
        </w:rPr>
      </w:pPr>
    </w:p>
    <w:p w14:paraId="09E755CA" w14:textId="77777777" w:rsidR="00587444" w:rsidRPr="00587444" w:rsidRDefault="00587444" w:rsidP="00587932">
      <w:pPr>
        <w:keepNext/>
        <w:autoSpaceDN/>
        <w:jc w:val="both"/>
        <w:rPr>
          <w:rFonts w:ascii="Arial" w:hAnsi="Arial" w:cs="Arial"/>
          <w:bCs/>
          <w:sz w:val="20"/>
          <w:szCs w:val="20"/>
          <w:lang w:val="pl-PL"/>
        </w:rPr>
      </w:pPr>
      <w:r w:rsidRPr="00587444">
        <w:rPr>
          <w:rFonts w:ascii="Arial" w:hAnsi="Arial" w:cs="Arial"/>
          <w:bCs/>
          <w:sz w:val="20"/>
          <w:szCs w:val="20"/>
          <w:lang w:val="en-GB"/>
        </w:rPr>
        <w:t>The following tables sets out information about the credit quality of financial assets measured at amortised cost. The amounts in the table represent gross carrying amounts:</w:t>
      </w:r>
    </w:p>
    <w:p w14:paraId="0AD2EE9E"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5918DAC5"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tbl>
      <w:tblPr>
        <w:tblW w:w="4469" w:type="pct"/>
        <w:tblInd w:w="567" w:type="dxa"/>
        <w:tblLayout w:type="fixed"/>
        <w:tblLook w:val="0000" w:firstRow="0" w:lastRow="0" w:firstColumn="0" w:lastColumn="0" w:noHBand="0" w:noVBand="0"/>
      </w:tblPr>
      <w:tblGrid>
        <w:gridCol w:w="2321"/>
        <w:gridCol w:w="1559"/>
        <w:gridCol w:w="1559"/>
        <w:gridCol w:w="1559"/>
        <w:gridCol w:w="1557"/>
      </w:tblGrid>
      <w:tr w:rsidR="00587444" w:rsidRPr="00587444" w14:paraId="382CF984" w14:textId="77777777" w:rsidTr="00DD69E7">
        <w:trPr>
          <w:trHeight w:val="364"/>
        </w:trPr>
        <w:tc>
          <w:tcPr>
            <w:tcW w:w="1357" w:type="pct"/>
            <w:vAlign w:val="bottom"/>
          </w:tcPr>
          <w:p w14:paraId="298D9A53" w14:textId="77777777" w:rsidR="00587444" w:rsidRPr="00587444" w:rsidRDefault="00587444" w:rsidP="00587444">
            <w:pPr>
              <w:tabs>
                <w:tab w:val="left" w:pos="-720"/>
              </w:tabs>
              <w:autoSpaceDN/>
              <w:spacing w:line="220" w:lineRule="exact"/>
              <w:rPr>
                <w:rFonts w:ascii="Arial" w:hAnsi="Arial" w:cs="Arial"/>
                <w:b/>
                <w:sz w:val="18"/>
                <w:szCs w:val="18"/>
                <w:lang w:val="en-GB"/>
              </w:rPr>
            </w:pPr>
            <w:r w:rsidRPr="00587444">
              <w:rPr>
                <w:rFonts w:ascii="Arial" w:hAnsi="Arial" w:cs="Arial"/>
                <w:b/>
                <w:sz w:val="18"/>
                <w:szCs w:val="18"/>
                <w:lang w:val="en-GB"/>
              </w:rPr>
              <w:t>31 December 2022</w:t>
            </w:r>
          </w:p>
        </w:tc>
        <w:tc>
          <w:tcPr>
            <w:tcW w:w="911" w:type="pct"/>
            <w:vAlign w:val="bottom"/>
          </w:tcPr>
          <w:p w14:paraId="3866251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hr-HR"/>
              </w:rPr>
            </w:pPr>
          </w:p>
        </w:tc>
        <w:tc>
          <w:tcPr>
            <w:tcW w:w="911" w:type="pct"/>
            <w:shd w:val="clear" w:color="auto" w:fill="auto"/>
            <w:vAlign w:val="bottom"/>
          </w:tcPr>
          <w:p w14:paraId="41A8B88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hr-HR"/>
              </w:rPr>
            </w:pPr>
          </w:p>
        </w:tc>
        <w:tc>
          <w:tcPr>
            <w:tcW w:w="1821" w:type="pct"/>
            <w:gridSpan w:val="2"/>
            <w:shd w:val="clear" w:color="auto" w:fill="auto"/>
            <w:vAlign w:val="center"/>
          </w:tcPr>
          <w:p w14:paraId="00BB9AC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629" w:name="_Toc4058472"/>
            <w:r w:rsidRPr="00587444">
              <w:rPr>
                <w:rFonts w:ascii="Arial" w:hAnsi="Arial" w:cs="Arial"/>
                <w:b/>
                <w:sz w:val="18"/>
                <w:szCs w:val="18"/>
                <w:lang w:val="en-GB"/>
              </w:rPr>
              <w:t>Group and Bank</w:t>
            </w:r>
            <w:bookmarkEnd w:id="629"/>
          </w:p>
        </w:tc>
      </w:tr>
      <w:tr w:rsidR="00587444" w:rsidRPr="00587444" w14:paraId="2578BDAF" w14:textId="77777777" w:rsidTr="00DD69E7">
        <w:trPr>
          <w:trHeight w:val="280"/>
        </w:trPr>
        <w:tc>
          <w:tcPr>
            <w:tcW w:w="1357" w:type="pct"/>
            <w:vAlign w:val="bottom"/>
          </w:tcPr>
          <w:p w14:paraId="306D0C28" w14:textId="77777777" w:rsidR="00587444" w:rsidRPr="00587444" w:rsidRDefault="00587444" w:rsidP="00587444">
            <w:pPr>
              <w:tabs>
                <w:tab w:val="left" w:pos="-720"/>
              </w:tabs>
              <w:autoSpaceDN/>
              <w:spacing w:line="220" w:lineRule="exact"/>
              <w:rPr>
                <w:rFonts w:ascii="Arial" w:hAnsi="Arial" w:cs="Arial"/>
                <w:sz w:val="18"/>
                <w:szCs w:val="18"/>
                <w:lang w:val="en-GB"/>
              </w:rPr>
            </w:pPr>
          </w:p>
        </w:tc>
        <w:tc>
          <w:tcPr>
            <w:tcW w:w="911" w:type="pct"/>
            <w:vAlign w:val="bottom"/>
          </w:tcPr>
          <w:p w14:paraId="6278193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630" w:name="_Toc4058473"/>
            <w:r w:rsidRPr="00587444">
              <w:rPr>
                <w:rFonts w:ascii="Arial" w:hAnsi="Arial" w:cs="Arial"/>
                <w:b/>
                <w:sz w:val="18"/>
                <w:szCs w:val="18"/>
                <w:lang w:val="en-GB"/>
              </w:rPr>
              <w:t>Stage 1</w:t>
            </w:r>
            <w:bookmarkEnd w:id="630"/>
          </w:p>
        </w:tc>
        <w:tc>
          <w:tcPr>
            <w:tcW w:w="911" w:type="pct"/>
            <w:vAlign w:val="bottom"/>
          </w:tcPr>
          <w:p w14:paraId="346D610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631" w:name="_Toc4058474"/>
            <w:r w:rsidRPr="00587444">
              <w:rPr>
                <w:rFonts w:ascii="Arial" w:hAnsi="Arial" w:cs="Arial"/>
                <w:b/>
                <w:sz w:val="18"/>
                <w:szCs w:val="18"/>
                <w:lang w:val="en-GB"/>
              </w:rPr>
              <w:t>Stage 2</w:t>
            </w:r>
            <w:bookmarkEnd w:id="631"/>
          </w:p>
        </w:tc>
        <w:tc>
          <w:tcPr>
            <w:tcW w:w="911" w:type="pct"/>
            <w:vAlign w:val="bottom"/>
          </w:tcPr>
          <w:p w14:paraId="632F120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632" w:name="_Toc4058475"/>
            <w:r w:rsidRPr="00587444">
              <w:rPr>
                <w:rFonts w:ascii="Arial" w:hAnsi="Arial" w:cs="Arial"/>
                <w:b/>
                <w:sz w:val="18"/>
                <w:szCs w:val="18"/>
                <w:lang w:val="en-GB"/>
              </w:rPr>
              <w:t>Stage 3</w:t>
            </w:r>
            <w:bookmarkEnd w:id="632"/>
          </w:p>
        </w:tc>
        <w:tc>
          <w:tcPr>
            <w:tcW w:w="910" w:type="pct"/>
            <w:vAlign w:val="bottom"/>
          </w:tcPr>
          <w:p w14:paraId="1FD4100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633" w:name="_Toc4058476"/>
            <w:r w:rsidRPr="00587444">
              <w:rPr>
                <w:rFonts w:ascii="Arial" w:hAnsi="Arial" w:cs="Arial"/>
                <w:b/>
                <w:sz w:val="18"/>
                <w:szCs w:val="18"/>
                <w:lang w:val="en-GB"/>
              </w:rPr>
              <w:t>Total</w:t>
            </w:r>
            <w:bookmarkEnd w:id="633"/>
          </w:p>
        </w:tc>
      </w:tr>
      <w:tr w:rsidR="00587444" w:rsidRPr="00587444" w14:paraId="6C731693" w14:textId="77777777" w:rsidTr="00DD69E7">
        <w:trPr>
          <w:trHeight w:val="280"/>
        </w:trPr>
        <w:tc>
          <w:tcPr>
            <w:tcW w:w="1357" w:type="pct"/>
            <w:vAlign w:val="bottom"/>
          </w:tcPr>
          <w:p w14:paraId="241198D3" w14:textId="77777777" w:rsidR="00587444" w:rsidRPr="00587444" w:rsidRDefault="00587444" w:rsidP="00587444">
            <w:pPr>
              <w:tabs>
                <w:tab w:val="left" w:pos="-720"/>
              </w:tabs>
              <w:autoSpaceDN/>
              <w:spacing w:line="220" w:lineRule="exact"/>
              <w:rPr>
                <w:rFonts w:ascii="Arial" w:hAnsi="Arial" w:cs="Arial"/>
                <w:sz w:val="18"/>
                <w:szCs w:val="18"/>
              </w:rPr>
            </w:pPr>
          </w:p>
        </w:tc>
        <w:tc>
          <w:tcPr>
            <w:tcW w:w="911" w:type="pct"/>
            <w:vAlign w:val="bottom"/>
          </w:tcPr>
          <w:p w14:paraId="52209D9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634" w:name="_Toc4058477"/>
            <w:r w:rsidRPr="00587444">
              <w:rPr>
                <w:rFonts w:ascii="Arial" w:hAnsi="Arial" w:cs="Arial"/>
                <w:b/>
                <w:sz w:val="18"/>
                <w:szCs w:val="18"/>
                <w:lang w:val="en-GB"/>
              </w:rPr>
              <w:t>HRK ‘000</w:t>
            </w:r>
            <w:bookmarkEnd w:id="634"/>
          </w:p>
        </w:tc>
        <w:tc>
          <w:tcPr>
            <w:tcW w:w="911" w:type="pct"/>
            <w:vAlign w:val="bottom"/>
          </w:tcPr>
          <w:p w14:paraId="484B440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635" w:name="_Toc4058478"/>
            <w:r w:rsidRPr="00587444">
              <w:rPr>
                <w:rFonts w:ascii="Arial" w:hAnsi="Arial" w:cs="Arial"/>
                <w:b/>
                <w:sz w:val="18"/>
                <w:szCs w:val="18"/>
                <w:lang w:val="en-GB"/>
              </w:rPr>
              <w:t>HRK ‘000</w:t>
            </w:r>
            <w:bookmarkEnd w:id="635"/>
          </w:p>
        </w:tc>
        <w:tc>
          <w:tcPr>
            <w:tcW w:w="911" w:type="pct"/>
            <w:vAlign w:val="bottom"/>
          </w:tcPr>
          <w:p w14:paraId="0A7DE95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636" w:name="_Toc4058479"/>
            <w:r w:rsidRPr="00587444">
              <w:rPr>
                <w:rFonts w:ascii="Arial" w:hAnsi="Arial" w:cs="Arial"/>
                <w:b/>
                <w:sz w:val="18"/>
                <w:szCs w:val="18"/>
                <w:lang w:val="en-GB"/>
              </w:rPr>
              <w:t>HRK ‘000</w:t>
            </w:r>
            <w:bookmarkEnd w:id="636"/>
          </w:p>
        </w:tc>
        <w:tc>
          <w:tcPr>
            <w:tcW w:w="910" w:type="pct"/>
            <w:vAlign w:val="bottom"/>
          </w:tcPr>
          <w:p w14:paraId="1B6E2AF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637" w:name="_Toc4058480"/>
            <w:r w:rsidRPr="00587444">
              <w:rPr>
                <w:rFonts w:ascii="Arial" w:hAnsi="Arial" w:cs="Arial"/>
                <w:b/>
                <w:sz w:val="18"/>
                <w:szCs w:val="18"/>
                <w:lang w:val="en-GB"/>
              </w:rPr>
              <w:t>HRK ‘000</w:t>
            </w:r>
            <w:bookmarkEnd w:id="637"/>
          </w:p>
        </w:tc>
      </w:tr>
      <w:tr w:rsidR="00587444" w:rsidRPr="00587444" w14:paraId="671959B4" w14:textId="77777777" w:rsidTr="00DD69E7">
        <w:trPr>
          <w:trHeight w:val="181"/>
        </w:trPr>
        <w:tc>
          <w:tcPr>
            <w:tcW w:w="1357" w:type="pct"/>
            <w:vAlign w:val="bottom"/>
          </w:tcPr>
          <w:p w14:paraId="1636053C" w14:textId="77777777" w:rsidR="00587444" w:rsidRPr="00587444" w:rsidRDefault="00587444" w:rsidP="00587444">
            <w:pPr>
              <w:tabs>
                <w:tab w:val="left" w:pos="-720"/>
              </w:tabs>
              <w:autoSpaceDN/>
              <w:spacing w:line="220" w:lineRule="exact"/>
              <w:rPr>
                <w:rFonts w:ascii="Arial" w:hAnsi="Arial" w:cs="Arial"/>
                <w:sz w:val="18"/>
                <w:szCs w:val="18"/>
              </w:rPr>
            </w:pPr>
          </w:p>
        </w:tc>
        <w:tc>
          <w:tcPr>
            <w:tcW w:w="911" w:type="pct"/>
            <w:vAlign w:val="bottom"/>
          </w:tcPr>
          <w:p w14:paraId="31737DC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911" w:type="pct"/>
            <w:vAlign w:val="bottom"/>
          </w:tcPr>
          <w:p w14:paraId="36AD10D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911" w:type="pct"/>
            <w:vAlign w:val="bottom"/>
          </w:tcPr>
          <w:p w14:paraId="286CB26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910" w:type="pct"/>
            <w:vAlign w:val="bottom"/>
          </w:tcPr>
          <w:p w14:paraId="6D04AAC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r>
      <w:tr w:rsidR="00587444" w:rsidRPr="00587444" w14:paraId="33DFFBFA" w14:textId="77777777" w:rsidTr="00DD69E7">
        <w:trPr>
          <w:trHeight w:val="383"/>
        </w:trPr>
        <w:tc>
          <w:tcPr>
            <w:tcW w:w="1357" w:type="pct"/>
            <w:vAlign w:val="bottom"/>
          </w:tcPr>
          <w:p w14:paraId="5293497F" w14:textId="77777777" w:rsidR="00587444" w:rsidRPr="00587444" w:rsidRDefault="00587444" w:rsidP="00587444">
            <w:pPr>
              <w:tabs>
                <w:tab w:val="right" w:pos="1202"/>
              </w:tabs>
              <w:suppressAutoHyphens w:val="0"/>
              <w:autoSpaceDN/>
              <w:spacing w:line="240" w:lineRule="exact"/>
              <w:outlineLvl w:val="0"/>
              <w:rPr>
                <w:rFonts w:ascii="Arial" w:hAnsi="Arial" w:cs="Arial"/>
                <w:sz w:val="18"/>
                <w:szCs w:val="18"/>
                <w:lang w:val="en-GB"/>
              </w:rPr>
            </w:pPr>
            <w:bookmarkStart w:id="638" w:name="_Toc4058481"/>
            <w:r w:rsidRPr="00587444">
              <w:rPr>
                <w:rFonts w:ascii="Arial" w:hAnsi="Arial" w:cs="Arial"/>
                <w:sz w:val="18"/>
                <w:szCs w:val="18"/>
                <w:lang w:val="en-GB"/>
              </w:rPr>
              <w:t>Gross amount</w:t>
            </w:r>
            <w:bookmarkEnd w:id="638"/>
          </w:p>
        </w:tc>
        <w:tc>
          <w:tcPr>
            <w:tcW w:w="911" w:type="pct"/>
            <w:tcBorders>
              <w:top w:val="nil"/>
              <w:left w:val="nil"/>
              <w:bottom w:val="nil"/>
              <w:right w:val="nil"/>
            </w:tcBorders>
            <w:shd w:val="clear" w:color="auto" w:fill="auto"/>
            <w:vAlign w:val="bottom"/>
          </w:tcPr>
          <w:p w14:paraId="777777A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6,733,206</w:t>
            </w:r>
          </w:p>
        </w:tc>
        <w:tc>
          <w:tcPr>
            <w:tcW w:w="911" w:type="pct"/>
            <w:tcBorders>
              <w:top w:val="nil"/>
              <w:left w:val="nil"/>
              <w:bottom w:val="nil"/>
              <w:right w:val="nil"/>
            </w:tcBorders>
            <w:shd w:val="clear" w:color="auto" w:fill="auto"/>
            <w:vAlign w:val="bottom"/>
          </w:tcPr>
          <w:p w14:paraId="3D3759A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303,254</w:t>
            </w:r>
          </w:p>
        </w:tc>
        <w:tc>
          <w:tcPr>
            <w:tcW w:w="911" w:type="pct"/>
            <w:tcBorders>
              <w:top w:val="nil"/>
              <w:left w:val="nil"/>
              <w:bottom w:val="nil"/>
              <w:right w:val="nil"/>
            </w:tcBorders>
            <w:shd w:val="clear" w:color="auto" w:fill="auto"/>
            <w:vAlign w:val="bottom"/>
          </w:tcPr>
          <w:p w14:paraId="0F7736D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9,114</w:t>
            </w:r>
          </w:p>
        </w:tc>
        <w:tc>
          <w:tcPr>
            <w:tcW w:w="910" w:type="pct"/>
            <w:tcBorders>
              <w:top w:val="nil"/>
              <w:left w:val="nil"/>
              <w:bottom w:val="nil"/>
              <w:right w:val="nil"/>
            </w:tcBorders>
            <w:shd w:val="clear" w:color="auto" w:fill="auto"/>
            <w:vAlign w:val="bottom"/>
          </w:tcPr>
          <w:p w14:paraId="6B804B9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7,045,574 </w:t>
            </w:r>
          </w:p>
        </w:tc>
      </w:tr>
      <w:tr w:rsidR="00587444" w:rsidRPr="00587444" w14:paraId="14498674" w14:textId="77777777" w:rsidTr="00DD69E7">
        <w:trPr>
          <w:trHeight w:val="377"/>
        </w:trPr>
        <w:tc>
          <w:tcPr>
            <w:tcW w:w="1357" w:type="pct"/>
            <w:vAlign w:val="bottom"/>
          </w:tcPr>
          <w:p w14:paraId="32D27ADD" w14:textId="77777777" w:rsidR="00587444" w:rsidRPr="00587444" w:rsidRDefault="00587444" w:rsidP="00587444">
            <w:pPr>
              <w:tabs>
                <w:tab w:val="right" w:pos="1202"/>
              </w:tabs>
              <w:suppressAutoHyphens w:val="0"/>
              <w:autoSpaceDN/>
              <w:spacing w:line="240" w:lineRule="exact"/>
              <w:outlineLvl w:val="0"/>
              <w:rPr>
                <w:rFonts w:ascii="Arial" w:hAnsi="Arial" w:cs="Arial"/>
                <w:sz w:val="18"/>
                <w:szCs w:val="18"/>
                <w:lang w:val="en-GB"/>
              </w:rPr>
            </w:pPr>
            <w:bookmarkStart w:id="639" w:name="_Toc4058486"/>
            <w:r w:rsidRPr="00587444">
              <w:rPr>
                <w:rFonts w:ascii="Arial" w:hAnsi="Arial" w:cs="Arial"/>
                <w:sz w:val="18"/>
                <w:szCs w:val="18"/>
                <w:lang w:val="en-GB"/>
              </w:rPr>
              <w:t>Loss allowances</w:t>
            </w:r>
            <w:bookmarkEnd w:id="639"/>
          </w:p>
        </w:tc>
        <w:tc>
          <w:tcPr>
            <w:tcW w:w="911" w:type="pct"/>
            <w:tcBorders>
              <w:top w:val="nil"/>
              <w:left w:val="nil"/>
              <w:bottom w:val="nil"/>
              <w:right w:val="nil"/>
            </w:tcBorders>
            <w:shd w:val="clear" w:color="auto" w:fill="auto"/>
            <w:vAlign w:val="bottom"/>
          </w:tcPr>
          <w:p w14:paraId="4FC0505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 xml:space="preserve"> (26,699)</w:t>
            </w:r>
          </w:p>
        </w:tc>
        <w:tc>
          <w:tcPr>
            <w:tcW w:w="911" w:type="pct"/>
            <w:tcBorders>
              <w:top w:val="nil"/>
              <w:left w:val="nil"/>
              <w:bottom w:val="nil"/>
              <w:right w:val="nil"/>
            </w:tcBorders>
            <w:shd w:val="clear" w:color="auto" w:fill="auto"/>
            <w:vAlign w:val="bottom"/>
          </w:tcPr>
          <w:p w14:paraId="1FD7149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 xml:space="preserve"> (27,390)</w:t>
            </w:r>
          </w:p>
        </w:tc>
        <w:tc>
          <w:tcPr>
            <w:tcW w:w="911" w:type="pct"/>
            <w:tcBorders>
              <w:top w:val="nil"/>
              <w:left w:val="nil"/>
              <w:bottom w:val="nil"/>
              <w:right w:val="nil"/>
            </w:tcBorders>
            <w:shd w:val="clear" w:color="auto" w:fill="auto"/>
            <w:vAlign w:val="bottom"/>
          </w:tcPr>
          <w:p w14:paraId="193CB4E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 xml:space="preserve"> (6,773)</w:t>
            </w:r>
          </w:p>
        </w:tc>
        <w:tc>
          <w:tcPr>
            <w:tcW w:w="910" w:type="pct"/>
            <w:tcBorders>
              <w:top w:val="nil"/>
              <w:left w:val="nil"/>
              <w:bottom w:val="nil"/>
              <w:right w:val="nil"/>
            </w:tcBorders>
            <w:shd w:val="clear" w:color="auto" w:fill="auto"/>
            <w:vAlign w:val="bottom"/>
          </w:tcPr>
          <w:p w14:paraId="48F5AF0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(60,862)</w:t>
            </w:r>
          </w:p>
        </w:tc>
      </w:tr>
      <w:tr w:rsidR="00587444" w:rsidRPr="00587444" w14:paraId="3183ED79" w14:textId="77777777" w:rsidTr="00DD69E7">
        <w:trPr>
          <w:trHeight w:val="554"/>
        </w:trPr>
        <w:tc>
          <w:tcPr>
            <w:tcW w:w="1357" w:type="pct"/>
            <w:vAlign w:val="bottom"/>
          </w:tcPr>
          <w:p w14:paraId="04FA7BD2" w14:textId="77777777" w:rsidR="00890EEB" w:rsidRDefault="00587444" w:rsidP="00587444">
            <w:pPr>
              <w:tabs>
                <w:tab w:val="right" w:pos="1202"/>
              </w:tabs>
              <w:suppressAutoHyphens w:val="0"/>
              <w:autoSpaceDN/>
              <w:spacing w:line="240" w:lineRule="exact"/>
              <w:outlineLvl w:val="0"/>
              <w:rPr>
                <w:rFonts w:ascii="Arial" w:hAnsi="Arial" w:cs="Arial"/>
                <w:b/>
                <w:iCs/>
                <w:sz w:val="18"/>
                <w:szCs w:val="18"/>
                <w:lang w:val="en-GB"/>
              </w:rPr>
            </w:pPr>
            <w:bookmarkStart w:id="640" w:name="_Toc4058491"/>
            <w:r w:rsidRPr="00587444">
              <w:rPr>
                <w:rFonts w:ascii="Arial" w:hAnsi="Arial" w:cs="Arial"/>
                <w:b/>
                <w:iCs/>
                <w:sz w:val="18"/>
                <w:szCs w:val="18"/>
                <w:lang w:val="en-GB"/>
              </w:rPr>
              <w:t xml:space="preserve">Balance as of </w:t>
            </w:r>
          </w:p>
          <w:p w14:paraId="63B7C5DD" w14:textId="5D724CD5" w:rsidR="00587444" w:rsidRPr="00587444" w:rsidRDefault="00587444" w:rsidP="00587444">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31 December 202</w:t>
            </w:r>
            <w:bookmarkEnd w:id="640"/>
            <w:r w:rsidRPr="00587444">
              <w:rPr>
                <w:rFonts w:ascii="Arial" w:hAnsi="Arial" w:cs="Arial"/>
                <w:b/>
                <w:iCs/>
                <w:sz w:val="18"/>
                <w:szCs w:val="18"/>
                <w:lang w:val="en-GB"/>
              </w:rPr>
              <w:t>2</w:t>
            </w:r>
          </w:p>
        </w:tc>
        <w:tc>
          <w:tcPr>
            <w:tcW w:w="911" w:type="pct"/>
            <w:tcBorders>
              <w:top w:val="single" w:sz="8" w:space="0" w:color="auto"/>
              <w:left w:val="nil"/>
              <w:bottom w:val="single" w:sz="12" w:space="0" w:color="000000"/>
              <w:right w:val="nil"/>
            </w:tcBorders>
            <w:shd w:val="clear" w:color="auto" w:fill="auto"/>
            <w:vAlign w:val="bottom"/>
          </w:tcPr>
          <w:p w14:paraId="1C2E923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6,706,507 </w:t>
            </w:r>
          </w:p>
        </w:tc>
        <w:tc>
          <w:tcPr>
            <w:tcW w:w="911" w:type="pct"/>
            <w:tcBorders>
              <w:top w:val="single" w:sz="8" w:space="0" w:color="auto"/>
              <w:left w:val="nil"/>
              <w:bottom w:val="single" w:sz="12" w:space="0" w:color="000000"/>
              <w:right w:val="nil"/>
            </w:tcBorders>
            <w:shd w:val="clear" w:color="auto" w:fill="auto"/>
            <w:vAlign w:val="bottom"/>
          </w:tcPr>
          <w:p w14:paraId="41AB32A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275,864 </w:t>
            </w:r>
          </w:p>
        </w:tc>
        <w:tc>
          <w:tcPr>
            <w:tcW w:w="911" w:type="pct"/>
            <w:tcBorders>
              <w:top w:val="single" w:sz="8" w:space="0" w:color="auto"/>
              <w:left w:val="nil"/>
              <w:bottom w:val="single" w:sz="12" w:space="0" w:color="000000"/>
              <w:right w:val="nil"/>
            </w:tcBorders>
            <w:shd w:val="clear" w:color="auto" w:fill="auto"/>
            <w:vAlign w:val="bottom"/>
          </w:tcPr>
          <w:p w14:paraId="5FC2E3C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2,341 </w:t>
            </w:r>
          </w:p>
        </w:tc>
        <w:tc>
          <w:tcPr>
            <w:tcW w:w="910" w:type="pct"/>
            <w:tcBorders>
              <w:top w:val="single" w:sz="8" w:space="0" w:color="auto"/>
              <w:left w:val="nil"/>
              <w:bottom w:val="single" w:sz="12" w:space="0" w:color="000000"/>
              <w:right w:val="nil"/>
            </w:tcBorders>
            <w:shd w:val="clear" w:color="auto" w:fill="auto"/>
            <w:vAlign w:val="bottom"/>
          </w:tcPr>
          <w:p w14:paraId="52A8D1C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6,984,712 </w:t>
            </w:r>
          </w:p>
        </w:tc>
      </w:tr>
    </w:tbl>
    <w:p w14:paraId="2D3A074F"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26373F10"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307B08BA"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tbl>
      <w:tblPr>
        <w:tblW w:w="4469" w:type="pct"/>
        <w:tblInd w:w="567" w:type="dxa"/>
        <w:tblLayout w:type="fixed"/>
        <w:tblLook w:val="0000" w:firstRow="0" w:lastRow="0" w:firstColumn="0" w:lastColumn="0" w:noHBand="0" w:noVBand="0"/>
      </w:tblPr>
      <w:tblGrid>
        <w:gridCol w:w="2321"/>
        <w:gridCol w:w="1559"/>
        <w:gridCol w:w="1559"/>
        <w:gridCol w:w="1559"/>
        <w:gridCol w:w="1557"/>
      </w:tblGrid>
      <w:tr w:rsidR="00587444" w:rsidRPr="00587444" w14:paraId="355FA9E0" w14:textId="77777777" w:rsidTr="00DD69E7">
        <w:trPr>
          <w:trHeight w:val="364"/>
        </w:trPr>
        <w:tc>
          <w:tcPr>
            <w:tcW w:w="1357" w:type="pct"/>
            <w:vAlign w:val="bottom"/>
          </w:tcPr>
          <w:p w14:paraId="7B0A9F15" w14:textId="77777777" w:rsidR="00587444" w:rsidRPr="00587444" w:rsidRDefault="00587444" w:rsidP="00587444">
            <w:pPr>
              <w:tabs>
                <w:tab w:val="left" w:pos="-720"/>
              </w:tabs>
              <w:autoSpaceDN/>
              <w:spacing w:line="220" w:lineRule="exact"/>
              <w:rPr>
                <w:rFonts w:ascii="Arial" w:hAnsi="Arial" w:cs="Arial"/>
                <w:b/>
                <w:sz w:val="18"/>
                <w:szCs w:val="18"/>
                <w:lang w:val="en-GB"/>
              </w:rPr>
            </w:pPr>
            <w:r w:rsidRPr="00587444">
              <w:rPr>
                <w:rFonts w:ascii="Arial" w:hAnsi="Arial" w:cs="Arial"/>
                <w:b/>
                <w:sz w:val="18"/>
                <w:szCs w:val="18"/>
                <w:lang w:val="en-GB"/>
              </w:rPr>
              <w:t>31 December 2021</w:t>
            </w:r>
          </w:p>
        </w:tc>
        <w:tc>
          <w:tcPr>
            <w:tcW w:w="911" w:type="pct"/>
            <w:vAlign w:val="bottom"/>
          </w:tcPr>
          <w:p w14:paraId="6185EED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hr-HR"/>
              </w:rPr>
            </w:pPr>
          </w:p>
        </w:tc>
        <w:tc>
          <w:tcPr>
            <w:tcW w:w="911" w:type="pct"/>
            <w:shd w:val="clear" w:color="auto" w:fill="auto"/>
            <w:vAlign w:val="bottom"/>
          </w:tcPr>
          <w:p w14:paraId="6A27FAC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hr-HR"/>
              </w:rPr>
            </w:pPr>
          </w:p>
        </w:tc>
        <w:tc>
          <w:tcPr>
            <w:tcW w:w="1821" w:type="pct"/>
            <w:gridSpan w:val="2"/>
            <w:shd w:val="clear" w:color="auto" w:fill="auto"/>
            <w:vAlign w:val="center"/>
          </w:tcPr>
          <w:p w14:paraId="1ACC943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Group and Bank</w:t>
            </w:r>
          </w:p>
        </w:tc>
      </w:tr>
      <w:tr w:rsidR="00587444" w:rsidRPr="00587444" w14:paraId="0642FC2B" w14:textId="77777777" w:rsidTr="00DD69E7">
        <w:trPr>
          <w:trHeight w:val="280"/>
        </w:trPr>
        <w:tc>
          <w:tcPr>
            <w:tcW w:w="1357" w:type="pct"/>
            <w:vAlign w:val="bottom"/>
          </w:tcPr>
          <w:p w14:paraId="3204B551" w14:textId="77777777" w:rsidR="00587444" w:rsidRPr="00587444" w:rsidRDefault="00587444" w:rsidP="00587444">
            <w:pPr>
              <w:tabs>
                <w:tab w:val="left" w:pos="-720"/>
              </w:tabs>
              <w:autoSpaceDN/>
              <w:spacing w:line="220" w:lineRule="exact"/>
              <w:rPr>
                <w:rFonts w:ascii="Arial" w:hAnsi="Arial" w:cs="Arial"/>
                <w:sz w:val="18"/>
                <w:szCs w:val="18"/>
                <w:lang w:val="en-GB"/>
              </w:rPr>
            </w:pPr>
          </w:p>
        </w:tc>
        <w:tc>
          <w:tcPr>
            <w:tcW w:w="911" w:type="pct"/>
            <w:vAlign w:val="bottom"/>
          </w:tcPr>
          <w:p w14:paraId="79ACAE1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1</w:t>
            </w:r>
          </w:p>
        </w:tc>
        <w:tc>
          <w:tcPr>
            <w:tcW w:w="911" w:type="pct"/>
            <w:vAlign w:val="bottom"/>
          </w:tcPr>
          <w:p w14:paraId="709F244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2</w:t>
            </w:r>
          </w:p>
        </w:tc>
        <w:tc>
          <w:tcPr>
            <w:tcW w:w="911" w:type="pct"/>
            <w:vAlign w:val="bottom"/>
          </w:tcPr>
          <w:p w14:paraId="2440CC0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3</w:t>
            </w:r>
          </w:p>
        </w:tc>
        <w:tc>
          <w:tcPr>
            <w:tcW w:w="910" w:type="pct"/>
            <w:vAlign w:val="bottom"/>
          </w:tcPr>
          <w:p w14:paraId="64E026F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Total</w:t>
            </w:r>
          </w:p>
        </w:tc>
      </w:tr>
      <w:tr w:rsidR="00587444" w:rsidRPr="00587444" w14:paraId="39F3FFA9" w14:textId="77777777" w:rsidTr="00DD69E7">
        <w:trPr>
          <w:trHeight w:val="280"/>
        </w:trPr>
        <w:tc>
          <w:tcPr>
            <w:tcW w:w="1357" w:type="pct"/>
            <w:vAlign w:val="bottom"/>
          </w:tcPr>
          <w:p w14:paraId="52D0A076" w14:textId="77777777" w:rsidR="00587444" w:rsidRPr="00587444" w:rsidRDefault="00587444" w:rsidP="00587444">
            <w:pPr>
              <w:tabs>
                <w:tab w:val="left" w:pos="-720"/>
              </w:tabs>
              <w:autoSpaceDN/>
              <w:spacing w:line="220" w:lineRule="exact"/>
              <w:rPr>
                <w:rFonts w:ascii="Arial" w:hAnsi="Arial" w:cs="Arial"/>
                <w:sz w:val="18"/>
                <w:szCs w:val="18"/>
              </w:rPr>
            </w:pPr>
          </w:p>
        </w:tc>
        <w:tc>
          <w:tcPr>
            <w:tcW w:w="911" w:type="pct"/>
            <w:vAlign w:val="bottom"/>
          </w:tcPr>
          <w:p w14:paraId="28A8BA7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HRK ‘000</w:t>
            </w:r>
          </w:p>
        </w:tc>
        <w:tc>
          <w:tcPr>
            <w:tcW w:w="911" w:type="pct"/>
            <w:vAlign w:val="bottom"/>
          </w:tcPr>
          <w:p w14:paraId="6C063AC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HRK ‘000</w:t>
            </w:r>
          </w:p>
        </w:tc>
        <w:tc>
          <w:tcPr>
            <w:tcW w:w="911" w:type="pct"/>
            <w:vAlign w:val="bottom"/>
          </w:tcPr>
          <w:p w14:paraId="4609AC1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HRK ‘000</w:t>
            </w:r>
          </w:p>
        </w:tc>
        <w:tc>
          <w:tcPr>
            <w:tcW w:w="910" w:type="pct"/>
            <w:vAlign w:val="bottom"/>
          </w:tcPr>
          <w:p w14:paraId="7C1B2F5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HRK ‘000</w:t>
            </w:r>
          </w:p>
        </w:tc>
      </w:tr>
      <w:tr w:rsidR="00587444" w:rsidRPr="00587444" w14:paraId="21E19231" w14:textId="77777777" w:rsidTr="00DD69E7">
        <w:trPr>
          <w:trHeight w:val="181"/>
        </w:trPr>
        <w:tc>
          <w:tcPr>
            <w:tcW w:w="1357" w:type="pct"/>
            <w:vAlign w:val="bottom"/>
          </w:tcPr>
          <w:p w14:paraId="60A3D554" w14:textId="77777777" w:rsidR="00587444" w:rsidRPr="00587444" w:rsidRDefault="00587444" w:rsidP="00587444">
            <w:pPr>
              <w:tabs>
                <w:tab w:val="left" w:pos="-720"/>
              </w:tabs>
              <w:autoSpaceDN/>
              <w:spacing w:line="220" w:lineRule="exact"/>
              <w:rPr>
                <w:rFonts w:ascii="Arial" w:hAnsi="Arial" w:cs="Arial"/>
                <w:sz w:val="18"/>
                <w:szCs w:val="18"/>
              </w:rPr>
            </w:pPr>
          </w:p>
        </w:tc>
        <w:tc>
          <w:tcPr>
            <w:tcW w:w="911" w:type="pct"/>
            <w:vAlign w:val="bottom"/>
          </w:tcPr>
          <w:p w14:paraId="083BD6A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911" w:type="pct"/>
            <w:vAlign w:val="bottom"/>
          </w:tcPr>
          <w:p w14:paraId="7AA7788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911" w:type="pct"/>
            <w:vAlign w:val="bottom"/>
          </w:tcPr>
          <w:p w14:paraId="05C87A9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910" w:type="pct"/>
            <w:vAlign w:val="bottom"/>
          </w:tcPr>
          <w:p w14:paraId="7712A8C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r>
      <w:tr w:rsidR="00587444" w:rsidRPr="00587444" w14:paraId="3E41092C" w14:textId="77777777" w:rsidTr="00DD69E7">
        <w:trPr>
          <w:trHeight w:val="383"/>
        </w:trPr>
        <w:tc>
          <w:tcPr>
            <w:tcW w:w="1357" w:type="pct"/>
            <w:vAlign w:val="bottom"/>
          </w:tcPr>
          <w:p w14:paraId="65B228C2" w14:textId="77777777" w:rsidR="00587444" w:rsidRPr="00587444" w:rsidRDefault="00587444" w:rsidP="00587444">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Gross amount</w:t>
            </w:r>
          </w:p>
        </w:tc>
        <w:tc>
          <w:tcPr>
            <w:tcW w:w="911" w:type="pct"/>
            <w:tcBorders>
              <w:top w:val="nil"/>
              <w:left w:val="nil"/>
              <w:bottom w:val="nil"/>
              <w:right w:val="nil"/>
            </w:tcBorders>
            <w:shd w:val="clear" w:color="auto" w:fill="auto"/>
            <w:vAlign w:val="bottom"/>
          </w:tcPr>
          <w:p w14:paraId="7ED274D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6,895,375</w:t>
            </w:r>
          </w:p>
        </w:tc>
        <w:tc>
          <w:tcPr>
            <w:tcW w:w="911" w:type="pct"/>
            <w:tcBorders>
              <w:top w:val="nil"/>
              <w:left w:val="nil"/>
              <w:bottom w:val="nil"/>
              <w:right w:val="nil"/>
            </w:tcBorders>
            <w:shd w:val="clear" w:color="auto" w:fill="auto"/>
            <w:vAlign w:val="bottom"/>
          </w:tcPr>
          <w:p w14:paraId="6AD9383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203,944</w:t>
            </w:r>
          </w:p>
        </w:tc>
        <w:tc>
          <w:tcPr>
            <w:tcW w:w="911" w:type="pct"/>
            <w:tcBorders>
              <w:top w:val="nil"/>
              <w:left w:val="nil"/>
              <w:bottom w:val="nil"/>
              <w:right w:val="nil"/>
            </w:tcBorders>
            <w:shd w:val="clear" w:color="auto" w:fill="auto"/>
            <w:vAlign w:val="bottom"/>
          </w:tcPr>
          <w:p w14:paraId="2A4D92C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9,724</w:t>
            </w:r>
          </w:p>
        </w:tc>
        <w:tc>
          <w:tcPr>
            <w:tcW w:w="910" w:type="pct"/>
            <w:tcBorders>
              <w:top w:val="nil"/>
              <w:left w:val="nil"/>
              <w:bottom w:val="nil"/>
              <w:right w:val="nil"/>
            </w:tcBorders>
            <w:shd w:val="clear" w:color="auto" w:fill="auto"/>
            <w:vAlign w:val="bottom"/>
          </w:tcPr>
          <w:p w14:paraId="7D04DA8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7,109,043 </w:t>
            </w:r>
          </w:p>
        </w:tc>
      </w:tr>
      <w:tr w:rsidR="00587444" w:rsidRPr="00587444" w14:paraId="00904EB8" w14:textId="77777777" w:rsidTr="00DD69E7">
        <w:trPr>
          <w:trHeight w:val="377"/>
        </w:trPr>
        <w:tc>
          <w:tcPr>
            <w:tcW w:w="1357" w:type="pct"/>
            <w:vAlign w:val="bottom"/>
          </w:tcPr>
          <w:p w14:paraId="6009AE6E" w14:textId="77777777" w:rsidR="00587444" w:rsidRPr="00587444" w:rsidRDefault="00587444" w:rsidP="00587444">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Loss allowances</w:t>
            </w:r>
          </w:p>
        </w:tc>
        <w:tc>
          <w:tcPr>
            <w:tcW w:w="911" w:type="pct"/>
            <w:tcBorders>
              <w:top w:val="nil"/>
              <w:left w:val="nil"/>
              <w:bottom w:val="nil"/>
              <w:right w:val="nil"/>
            </w:tcBorders>
            <w:shd w:val="clear" w:color="auto" w:fill="auto"/>
            <w:vAlign w:val="bottom"/>
          </w:tcPr>
          <w:p w14:paraId="6E759CC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 xml:space="preserve"> (29,554)</w:t>
            </w:r>
          </w:p>
        </w:tc>
        <w:tc>
          <w:tcPr>
            <w:tcW w:w="911" w:type="pct"/>
            <w:tcBorders>
              <w:top w:val="nil"/>
              <w:left w:val="nil"/>
              <w:bottom w:val="nil"/>
              <w:right w:val="nil"/>
            </w:tcBorders>
            <w:shd w:val="clear" w:color="auto" w:fill="auto"/>
            <w:vAlign w:val="bottom"/>
          </w:tcPr>
          <w:p w14:paraId="310D8BC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 xml:space="preserve"> (23,184)</w:t>
            </w:r>
          </w:p>
        </w:tc>
        <w:tc>
          <w:tcPr>
            <w:tcW w:w="911" w:type="pct"/>
            <w:tcBorders>
              <w:top w:val="nil"/>
              <w:left w:val="nil"/>
              <w:bottom w:val="nil"/>
              <w:right w:val="nil"/>
            </w:tcBorders>
            <w:shd w:val="clear" w:color="auto" w:fill="auto"/>
            <w:vAlign w:val="bottom"/>
          </w:tcPr>
          <w:p w14:paraId="6FB88F1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 xml:space="preserve"> (6,162)</w:t>
            </w:r>
          </w:p>
        </w:tc>
        <w:tc>
          <w:tcPr>
            <w:tcW w:w="910" w:type="pct"/>
            <w:tcBorders>
              <w:top w:val="nil"/>
              <w:left w:val="nil"/>
              <w:bottom w:val="nil"/>
              <w:right w:val="nil"/>
            </w:tcBorders>
            <w:shd w:val="clear" w:color="auto" w:fill="auto"/>
            <w:vAlign w:val="bottom"/>
          </w:tcPr>
          <w:p w14:paraId="16561C8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(58,900)</w:t>
            </w:r>
          </w:p>
        </w:tc>
      </w:tr>
      <w:tr w:rsidR="00587444" w:rsidRPr="00587444" w14:paraId="1EC5FA23" w14:textId="77777777" w:rsidTr="00DD69E7">
        <w:trPr>
          <w:trHeight w:val="554"/>
        </w:trPr>
        <w:tc>
          <w:tcPr>
            <w:tcW w:w="1357" w:type="pct"/>
            <w:vAlign w:val="bottom"/>
          </w:tcPr>
          <w:p w14:paraId="469F043C" w14:textId="77777777" w:rsidR="00890EEB" w:rsidRDefault="00587444" w:rsidP="00587444">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 xml:space="preserve">Balance as of </w:t>
            </w:r>
          </w:p>
          <w:p w14:paraId="3B2891C1" w14:textId="0EBB685A" w:rsidR="00587444" w:rsidRPr="00587444" w:rsidRDefault="00587444" w:rsidP="00587444">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31 December 2021</w:t>
            </w:r>
          </w:p>
        </w:tc>
        <w:tc>
          <w:tcPr>
            <w:tcW w:w="911" w:type="pct"/>
            <w:tcBorders>
              <w:top w:val="single" w:sz="8" w:space="0" w:color="auto"/>
              <w:left w:val="nil"/>
              <w:bottom w:val="single" w:sz="12" w:space="0" w:color="000000"/>
              <w:right w:val="nil"/>
            </w:tcBorders>
            <w:shd w:val="clear" w:color="auto" w:fill="auto"/>
            <w:vAlign w:val="bottom"/>
          </w:tcPr>
          <w:p w14:paraId="1E6C79B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6,865,821 </w:t>
            </w:r>
          </w:p>
        </w:tc>
        <w:tc>
          <w:tcPr>
            <w:tcW w:w="911" w:type="pct"/>
            <w:tcBorders>
              <w:top w:val="single" w:sz="8" w:space="0" w:color="auto"/>
              <w:left w:val="nil"/>
              <w:bottom w:val="single" w:sz="12" w:space="0" w:color="000000"/>
              <w:right w:val="nil"/>
            </w:tcBorders>
            <w:shd w:val="clear" w:color="auto" w:fill="auto"/>
            <w:vAlign w:val="bottom"/>
          </w:tcPr>
          <w:p w14:paraId="42858C2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180,760 </w:t>
            </w:r>
          </w:p>
        </w:tc>
        <w:tc>
          <w:tcPr>
            <w:tcW w:w="911" w:type="pct"/>
            <w:tcBorders>
              <w:top w:val="single" w:sz="8" w:space="0" w:color="auto"/>
              <w:left w:val="nil"/>
              <w:bottom w:val="single" w:sz="12" w:space="0" w:color="000000"/>
              <w:right w:val="nil"/>
            </w:tcBorders>
            <w:shd w:val="clear" w:color="auto" w:fill="auto"/>
            <w:vAlign w:val="bottom"/>
          </w:tcPr>
          <w:p w14:paraId="185DF8D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3,562 </w:t>
            </w:r>
          </w:p>
        </w:tc>
        <w:tc>
          <w:tcPr>
            <w:tcW w:w="910" w:type="pct"/>
            <w:tcBorders>
              <w:top w:val="single" w:sz="8" w:space="0" w:color="auto"/>
              <w:left w:val="nil"/>
              <w:bottom w:val="single" w:sz="12" w:space="0" w:color="000000"/>
              <w:right w:val="nil"/>
            </w:tcBorders>
            <w:shd w:val="clear" w:color="auto" w:fill="auto"/>
            <w:vAlign w:val="bottom"/>
          </w:tcPr>
          <w:p w14:paraId="681F95E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7,050,143 </w:t>
            </w:r>
          </w:p>
        </w:tc>
      </w:tr>
    </w:tbl>
    <w:p w14:paraId="2C19CDEF"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74FE0CA8"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51388A22" w14:textId="77777777" w:rsidR="00587444" w:rsidRPr="00587444" w:rsidRDefault="00587444" w:rsidP="00587444">
      <w:pPr>
        <w:keepNext/>
        <w:tabs>
          <w:tab w:val="left" w:pos="1134"/>
        </w:tabs>
        <w:suppressAutoHyphens w:val="0"/>
        <w:autoSpaceDN/>
        <w:rPr>
          <w:rFonts w:ascii="Arial" w:hAnsi="Arial" w:cs="Arial"/>
          <w:bCs/>
          <w:sz w:val="20"/>
          <w:szCs w:val="20"/>
          <w:lang w:val="en-GB"/>
        </w:rPr>
        <w:sectPr w:rsidR="00587444" w:rsidRPr="00587444" w:rsidSect="00DD69E7">
          <w:pgSz w:w="11907" w:h="16840" w:code="9"/>
          <w:pgMar w:top="1418" w:right="1134" w:bottom="1134" w:left="1418" w:header="851" w:footer="851" w:gutter="0"/>
          <w:cols w:space="720"/>
          <w:noEndnote/>
        </w:sectPr>
      </w:pPr>
    </w:p>
    <w:p w14:paraId="011812F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139D6F8B" w14:textId="77777777" w:rsidR="00587444" w:rsidRPr="00587444" w:rsidRDefault="00587444" w:rsidP="00587444">
      <w:pPr>
        <w:keepNext/>
        <w:tabs>
          <w:tab w:val="left" w:pos="567"/>
        </w:tabs>
        <w:suppressAutoHyphens w:val="0"/>
        <w:autoSpaceDN/>
        <w:jc w:val="both"/>
        <w:rPr>
          <w:rFonts w:ascii="Arial" w:hAnsi="Arial" w:cs="Arial"/>
          <w:b/>
          <w:bCs/>
          <w:sz w:val="20"/>
          <w:szCs w:val="20"/>
          <w:lang w:val="pl-PL"/>
        </w:rPr>
      </w:pPr>
      <w:r w:rsidRPr="00587444">
        <w:rPr>
          <w:rFonts w:ascii="Arial" w:hAnsi="Arial" w:cs="Arial"/>
          <w:b/>
          <w:bCs/>
          <w:sz w:val="20"/>
          <w:szCs w:val="20"/>
          <w:lang w:val="en-GB"/>
        </w:rPr>
        <w:t>14.</w:t>
      </w:r>
      <w:r w:rsidRPr="00587444">
        <w:rPr>
          <w:rFonts w:ascii="Arial" w:hAnsi="Arial" w:cs="Arial"/>
          <w:b/>
          <w:bCs/>
          <w:sz w:val="20"/>
          <w:szCs w:val="20"/>
          <w:lang w:val="en-GB"/>
        </w:rPr>
        <w:tab/>
        <w:t>Loans to financial institutions (continued)</w:t>
      </w:r>
    </w:p>
    <w:p w14:paraId="19CCF61A"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6709F0D0"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036847F3" w14:textId="77777777" w:rsidR="00587444" w:rsidRPr="00587444" w:rsidRDefault="00587444" w:rsidP="00587444">
      <w:pPr>
        <w:keepNext/>
        <w:tabs>
          <w:tab w:val="left" w:pos="1134"/>
        </w:tabs>
        <w:suppressAutoHyphens w:val="0"/>
        <w:autoSpaceDN/>
        <w:rPr>
          <w:rFonts w:ascii="Arial" w:hAnsi="Arial" w:cs="Arial"/>
          <w:sz w:val="20"/>
          <w:szCs w:val="20"/>
          <w:lang w:val="en-GB"/>
        </w:rPr>
      </w:pPr>
      <w:r w:rsidRPr="00587444">
        <w:rPr>
          <w:rFonts w:ascii="Arial" w:hAnsi="Arial" w:cs="Arial"/>
          <w:sz w:val="20"/>
          <w:szCs w:val="20"/>
          <w:lang w:val="en-GB"/>
        </w:rPr>
        <w:t>The movements in the loss allowances on loans to financial institutions may be summarized as follows:</w:t>
      </w:r>
    </w:p>
    <w:p w14:paraId="529CF21E" w14:textId="77777777" w:rsidR="00587444" w:rsidRPr="00587444" w:rsidRDefault="00587444" w:rsidP="00587444">
      <w:pPr>
        <w:keepNext/>
        <w:tabs>
          <w:tab w:val="left" w:pos="1134"/>
        </w:tabs>
        <w:suppressAutoHyphens w:val="0"/>
        <w:autoSpaceDN/>
        <w:rPr>
          <w:rFonts w:ascii="Arial" w:hAnsi="Arial" w:cs="Arial"/>
          <w:b/>
          <w:bCs/>
          <w:sz w:val="20"/>
          <w:szCs w:val="20"/>
          <w:lang w:val="pl-PL"/>
        </w:rPr>
      </w:pPr>
    </w:p>
    <w:tbl>
      <w:tblPr>
        <w:tblW w:w="4887" w:type="pct"/>
        <w:tblInd w:w="50" w:type="dxa"/>
        <w:tblLayout w:type="fixed"/>
        <w:tblLook w:val="0000" w:firstRow="0" w:lastRow="0" w:firstColumn="0" w:lastColumn="0" w:noHBand="0" w:noVBand="0"/>
      </w:tblPr>
      <w:tblGrid>
        <w:gridCol w:w="5394"/>
        <w:gridCol w:w="1981"/>
        <w:gridCol w:w="1980"/>
      </w:tblGrid>
      <w:tr w:rsidR="00587444" w:rsidRPr="00587444" w14:paraId="013D2465" w14:textId="77777777" w:rsidTr="00DD69E7">
        <w:trPr>
          <w:trHeight w:hRule="exact" w:val="241"/>
        </w:trPr>
        <w:tc>
          <w:tcPr>
            <w:tcW w:w="2883" w:type="pct"/>
            <w:vAlign w:val="bottom"/>
          </w:tcPr>
          <w:p w14:paraId="6A01559E" w14:textId="77777777" w:rsidR="00587444" w:rsidRPr="00587444" w:rsidRDefault="00587444" w:rsidP="00587444">
            <w:pPr>
              <w:tabs>
                <w:tab w:val="left" w:pos="-720"/>
              </w:tabs>
              <w:autoSpaceDN/>
              <w:spacing w:line="280" w:lineRule="exact"/>
              <w:rPr>
                <w:rFonts w:ascii="Arial" w:eastAsia="Calibri" w:hAnsi="Arial" w:cs="Arial"/>
                <w:b/>
                <w:noProof/>
                <w:spacing w:val="-3"/>
                <w:sz w:val="20"/>
                <w:szCs w:val="20"/>
                <w:lang w:val="en-GB"/>
              </w:rPr>
            </w:pPr>
          </w:p>
        </w:tc>
        <w:tc>
          <w:tcPr>
            <w:tcW w:w="1059" w:type="pct"/>
            <w:vAlign w:val="bottom"/>
          </w:tcPr>
          <w:p w14:paraId="503E7DBE" w14:textId="77777777" w:rsidR="00587444" w:rsidRPr="00587444" w:rsidRDefault="00587444" w:rsidP="00587444">
            <w:pPr>
              <w:autoSpaceDN/>
              <w:spacing w:line="280" w:lineRule="exact"/>
              <w:ind w:hanging="108"/>
              <w:jc w:val="right"/>
              <w:rPr>
                <w:rFonts w:ascii="Arial" w:eastAsia="Calibri" w:hAnsi="Arial" w:cs="Arial"/>
                <w:b/>
                <w:noProof/>
                <w:spacing w:val="-3"/>
                <w:sz w:val="20"/>
                <w:szCs w:val="20"/>
                <w:lang w:val="en-GB"/>
              </w:rPr>
            </w:pPr>
          </w:p>
        </w:tc>
        <w:tc>
          <w:tcPr>
            <w:tcW w:w="1058" w:type="pct"/>
            <w:vAlign w:val="bottom"/>
          </w:tcPr>
          <w:p w14:paraId="086AB8B8" w14:textId="77777777" w:rsidR="00587444" w:rsidRPr="00587444" w:rsidRDefault="00587444" w:rsidP="00587444">
            <w:pPr>
              <w:autoSpaceDN/>
              <w:spacing w:line="280" w:lineRule="exact"/>
              <w:ind w:hanging="108"/>
              <w:jc w:val="right"/>
              <w:rPr>
                <w:rFonts w:ascii="Arial" w:eastAsia="Calibri" w:hAnsi="Arial" w:cs="Arial"/>
                <w:b/>
                <w:noProof/>
                <w:spacing w:val="-3"/>
                <w:sz w:val="20"/>
                <w:szCs w:val="20"/>
                <w:lang w:val="en-GB"/>
              </w:rPr>
            </w:pPr>
            <w:r w:rsidRPr="00587444">
              <w:rPr>
                <w:rFonts w:ascii="Arial" w:eastAsia="Calibri" w:hAnsi="Arial" w:cs="Arial"/>
                <w:b/>
                <w:noProof/>
                <w:sz w:val="20"/>
                <w:szCs w:val="20"/>
                <w:lang w:val="en-GB"/>
              </w:rPr>
              <w:t>Group and Bank</w:t>
            </w:r>
          </w:p>
        </w:tc>
      </w:tr>
      <w:tr w:rsidR="00587444" w:rsidRPr="00587444" w14:paraId="37DBF1E6" w14:textId="77777777" w:rsidTr="00DD69E7">
        <w:trPr>
          <w:trHeight w:hRule="exact" w:val="532"/>
        </w:trPr>
        <w:tc>
          <w:tcPr>
            <w:tcW w:w="2883" w:type="pct"/>
            <w:vAlign w:val="bottom"/>
          </w:tcPr>
          <w:p w14:paraId="21A9D6FD" w14:textId="77777777" w:rsidR="00587444" w:rsidRPr="00587444" w:rsidRDefault="00587444" w:rsidP="00587444">
            <w:pPr>
              <w:tabs>
                <w:tab w:val="left" w:pos="-720"/>
              </w:tabs>
              <w:autoSpaceDN/>
              <w:spacing w:line="280" w:lineRule="exact"/>
              <w:rPr>
                <w:rFonts w:ascii="Arial" w:eastAsia="Calibri" w:hAnsi="Arial" w:cs="Arial"/>
                <w:b/>
                <w:noProof/>
                <w:spacing w:val="-3"/>
                <w:sz w:val="20"/>
                <w:szCs w:val="20"/>
                <w:lang w:val="en-GB"/>
              </w:rPr>
            </w:pPr>
          </w:p>
        </w:tc>
        <w:tc>
          <w:tcPr>
            <w:tcW w:w="1059" w:type="pct"/>
            <w:vAlign w:val="bottom"/>
          </w:tcPr>
          <w:p w14:paraId="0BA96668" w14:textId="77777777" w:rsidR="00587444" w:rsidRPr="00587444" w:rsidRDefault="00587444" w:rsidP="00587444">
            <w:pPr>
              <w:autoSpaceDN/>
              <w:spacing w:line="280" w:lineRule="exact"/>
              <w:ind w:hanging="108"/>
              <w:jc w:val="right"/>
              <w:rPr>
                <w:rFonts w:ascii="Arial" w:eastAsia="Calibri" w:hAnsi="Arial" w:cs="Arial"/>
                <w:b/>
                <w:bCs/>
                <w:noProof/>
                <w:sz w:val="20"/>
                <w:szCs w:val="20"/>
                <w:lang w:val="hr-HR"/>
              </w:rPr>
            </w:pPr>
            <w:r w:rsidRPr="00587444">
              <w:rPr>
                <w:rFonts w:ascii="Arial" w:eastAsia="Calibri" w:hAnsi="Arial" w:cs="Arial"/>
                <w:b/>
                <w:bCs/>
                <w:noProof/>
                <w:sz w:val="20"/>
                <w:szCs w:val="20"/>
                <w:lang w:val="hr-HR"/>
              </w:rPr>
              <w:t xml:space="preserve">Jan 1 - Dec 31, </w:t>
            </w:r>
          </w:p>
          <w:p w14:paraId="7CCA4F20" w14:textId="77777777" w:rsidR="00587444" w:rsidRPr="00587444" w:rsidRDefault="00587444" w:rsidP="00587444">
            <w:pPr>
              <w:autoSpaceDN/>
              <w:spacing w:line="280" w:lineRule="exact"/>
              <w:ind w:hanging="108"/>
              <w:jc w:val="right"/>
              <w:rPr>
                <w:rFonts w:ascii="Arial" w:eastAsia="Calibri" w:hAnsi="Arial" w:cs="Arial"/>
                <w:b/>
                <w:noProof/>
                <w:spacing w:val="-3"/>
                <w:sz w:val="20"/>
                <w:szCs w:val="20"/>
                <w:lang w:val="en-GB"/>
              </w:rPr>
            </w:pPr>
            <w:r w:rsidRPr="00587444">
              <w:rPr>
                <w:rFonts w:ascii="Arial" w:eastAsia="Calibri" w:hAnsi="Arial" w:cs="Arial"/>
                <w:b/>
                <w:bCs/>
                <w:noProof/>
                <w:sz w:val="20"/>
                <w:szCs w:val="20"/>
                <w:lang w:val="hr-HR"/>
              </w:rPr>
              <w:t>2022</w:t>
            </w:r>
          </w:p>
        </w:tc>
        <w:tc>
          <w:tcPr>
            <w:tcW w:w="1058" w:type="pct"/>
            <w:vAlign w:val="bottom"/>
          </w:tcPr>
          <w:p w14:paraId="784A6EAD" w14:textId="77777777" w:rsidR="00587444" w:rsidRPr="00587444" w:rsidRDefault="00587444" w:rsidP="00587444">
            <w:pPr>
              <w:autoSpaceDN/>
              <w:spacing w:line="280" w:lineRule="exact"/>
              <w:ind w:hanging="108"/>
              <w:jc w:val="right"/>
              <w:rPr>
                <w:rFonts w:ascii="Arial" w:eastAsia="Calibri" w:hAnsi="Arial" w:cs="Arial"/>
                <w:b/>
                <w:bCs/>
                <w:noProof/>
                <w:sz w:val="20"/>
                <w:szCs w:val="20"/>
                <w:lang w:val="hr-HR"/>
              </w:rPr>
            </w:pPr>
            <w:r w:rsidRPr="00587444">
              <w:rPr>
                <w:rFonts w:ascii="Arial" w:eastAsia="Calibri" w:hAnsi="Arial" w:cs="Arial"/>
                <w:b/>
                <w:bCs/>
                <w:noProof/>
                <w:sz w:val="20"/>
                <w:szCs w:val="20"/>
                <w:lang w:val="hr-HR"/>
              </w:rPr>
              <w:t xml:space="preserve">Jan 1 - Dec 31, </w:t>
            </w:r>
          </w:p>
          <w:p w14:paraId="5A84E898" w14:textId="77777777" w:rsidR="00587444" w:rsidRPr="00587444" w:rsidRDefault="00587444" w:rsidP="00587444">
            <w:pPr>
              <w:autoSpaceDN/>
              <w:spacing w:line="280" w:lineRule="exact"/>
              <w:ind w:hanging="108"/>
              <w:jc w:val="right"/>
              <w:rPr>
                <w:rFonts w:ascii="Arial" w:eastAsia="Calibri" w:hAnsi="Arial" w:cs="Arial"/>
                <w:b/>
                <w:noProof/>
                <w:spacing w:val="-3"/>
                <w:sz w:val="20"/>
                <w:szCs w:val="20"/>
                <w:lang w:val="en-GB"/>
              </w:rPr>
            </w:pPr>
            <w:r w:rsidRPr="00587444">
              <w:rPr>
                <w:rFonts w:ascii="Arial" w:eastAsia="Calibri" w:hAnsi="Arial" w:cs="Arial"/>
                <w:b/>
                <w:bCs/>
                <w:noProof/>
                <w:sz w:val="20"/>
                <w:szCs w:val="20"/>
                <w:lang w:val="hr-HR"/>
              </w:rPr>
              <w:t>2021</w:t>
            </w:r>
          </w:p>
        </w:tc>
      </w:tr>
      <w:tr w:rsidR="00587444" w:rsidRPr="00587444" w14:paraId="5525E27C" w14:textId="77777777" w:rsidTr="00DD69E7">
        <w:trPr>
          <w:trHeight w:hRule="exact" w:val="241"/>
        </w:trPr>
        <w:tc>
          <w:tcPr>
            <w:tcW w:w="2883" w:type="pct"/>
            <w:vAlign w:val="bottom"/>
          </w:tcPr>
          <w:p w14:paraId="0BDBE6DD" w14:textId="77777777" w:rsidR="00587444" w:rsidRPr="00587444" w:rsidRDefault="00587444" w:rsidP="00587444">
            <w:pPr>
              <w:tabs>
                <w:tab w:val="left" w:pos="-720"/>
              </w:tabs>
              <w:autoSpaceDN/>
              <w:spacing w:line="280" w:lineRule="exact"/>
              <w:rPr>
                <w:rFonts w:ascii="Arial" w:eastAsia="Calibri" w:hAnsi="Arial" w:cs="Arial"/>
                <w:b/>
                <w:noProof/>
                <w:spacing w:val="-3"/>
                <w:sz w:val="20"/>
                <w:szCs w:val="20"/>
                <w:lang w:val="en-GB"/>
              </w:rPr>
            </w:pPr>
          </w:p>
        </w:tc>
        <w:tc>
          <w:tcPr>
            <w:tcW w:w="1059" w:type="pct"/>
            <w:vAlign w:val="bottom"/>
          </w:tcPr>
          <w:p w14:paraId="0E346BC1" w14:textId="77777777" w:rsidR="00587444" w:rsidRPr="00587444" w:rsidRDefault="00587444" w:rsidP="00587444">
            <w:pPr>
              <w:autoSpaceDN/>
              <w:spacing w:line="280" w:lineRule="exact"/>
              <w:ind w:hanging="108"/>
              <w:jc w:val="right"/>
              <w:rPr>
                <w:rFonts w:ascii="Arial" w:eastAsia="Calibri" w:hAnsi="Arial" w:cs="Arial"/>
                <w:b/>
                <w:noProof/>
                <w:spacing w:val="-3"/>
                <w:sz w:val="20"/>
                <w:szCs w:val="20"/>
                <w:lang w:val="en-GB"/>
              </w:rPr>
            </w:pPr>
            <w:r w:rsidRPr="00587444">
              <w:rPr>
                <w:rFonts w:ascii="Arial" w:eastAsia="Calibri" w:hAnsi="Arial" w:cs="Arial"/>
                <w:b/>
                <w:bCs/>
                <w:noProof/>
                <w:sz w:val="20"/>
                <w:szCs w:val="20"/>
                <w:lang w:val="en-GB"/>
              </w:rPr>
              <w:t xml:space="preserve">HRK </w:t>
            </w:r>
            <w:r w:rsidRPr="00587444">
              <w:rPr>
                <w:rFonts w:ascii="Arial" w:hAnsi="Arial" w:cs="Arial"/>
                <w:sz w:val="20"/>
                <w:szCs w:val="20"/>
              </w:rPr>
              <w:t>‘</w:t>
            </w:r>
            <w:r w:rsidRPr="00587444">
              <w:rPr>
                <w:rFonts w:ascii="Arial" w:eastAsia="Calibri" w:hAnsi="Arial" w:cs="Arial"/>
                <w:b/>
                <w:bCs/>
                <w:noProof/>
                <w:sz w:val="20"/>
                <w:szCs w:val="20"/>
                <w:lang w:val="en-GB"/>
              </w:rPr>
              <w:t>000</w:t>
            </w:r>
          </w:p>
        </w:tc>
        <w:tc>
          <w:tcPr>
            <w:tcW w:w="1058" w:type="pct"/>
            <w:vAlign w:val="bottom"/>
          </w:tcPr>
          <w:p w14:paraId="0C1678D3" w14:textId="77777777" w:rsidR="00587444" w:rsidRPr="00587444" w:rsidRDefault="00587444" w:rsidP="00587444">
            <w:pPr>
              <w:autoSpaceDN/>
              <w:spacing w:line="280" w:lineRule="exact"/>
              <w:ind w:hanging="108"/>
              <w:jc w:val="right"/>
              <w:rPr>
                <w:rFonts w:ascii="Arial" w:eastAsia="Calibri" w:hAnsi="Arial" w:cs="Arial"/>
                <w:b/>
                <w:noProof/>
                <w:spacing w:val="-3"/>
                <w:sz w:val="20"/>
                <w:szCs w:val="20"/>
                <w:lang w:val="en-GB"/>
              </w:rPr>
            </w:pPr>
            <w:r w:rsidRPr="00587444">
              <w:rPr>
                <w:rFonts w:ascii="Arial" w:eastAsia="Calibri" w:hAnsi="Arial" w:cs="Arial"/>
                <w:b/>
                <w:bCs/>
                <w:noProof/>
                <w:sz w:val="20"/>
                <w:szCs w:val="20"/>
                <w:lang w:val="en-GB"/>
              </w:rPr>
              <w:t xml:space="preserve">HRK </w:t>
            </w:r>
            <w:r w:rsidRPr="00587444">
              <w:rPr>
                <w:rFonts w:ascii="Arial" w:hAnsi="Arial" w:cs="Arial"/>
                <w:sz w:val="20"/>
                <w:szCs w:val="20"/>
              </w:rPr>
              <w:t>‘</w:t>
            </w:r>
            <w:r w:rsidRPr="00587444">
              <w:rPr>
                <w:rFonts w:ascii="Arial" w:eastAsia="Calibri" w:hAnsi="Arial" w:cs="Arial"/>
                <w:b/>
                <w:bCs/>
                <w:noProof/>
                <w:sz w:val="20"/>
                <w:szCs w:val="20"/>
                <w:lang w:val="en-GB"/>
              </w:rPr>
              <w:t>000</w:t>
            </w:r>
          </w:p>
        </w:tc>
      </w:tr>
      <w:tr w:rsidR="00587444" w:rsidRPr="00587444" w14:paraId="2E05EB01" w14:textId="77777777" w:rsidTr="00DD69E7">
        <w:trPr>
          <w:trHeight w:val="486"/>
        </w:trPr>
        <w:tc>
          <w:tcPr>
            <w:tcW w:w="2883" w:type="pct"/>
            <w:vAlign w:val="bottom"/>
          </w:tcPr>
          <w:p w14:paraId="296E92DA"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bCs/>
                <w:noProof/>
                <w:sz w:val="20"/>
                <w:szCs w:val="20"/>
                <w:lang w:val="en-GB"/>
              </w:rPr>
            </w:pPr>
            <w:r w:rsidRPr="00587444">
              <w:rPr>
                <w:rFonts w:ascii="Arial" w:eastAsia="Calibri" w:hAnsi="Arial" w:cs="Arial"/>
                <w:bCs/>
                <w:noProof/>
                <w:sz w:val="20"/>
                <w:szCs w:val="20"/>
                <w:lang w:val="en-GB"/>
              </w:rPr>
              <w:t xml:space="preserve">Balance as of 1 January </w:t>
            </w:r>
          </w:p>
        </w:tc>
        <w:tc>
          <w:tcPr>
            <w:tcW w:w="1059" w:type="pct"/>
            <w:tcBorders>
              <w:top w:val="nil"/>
              <w:left w:val="nil"/>
              <w:right w:val="nil"/>
            </w:tcBorders>
            <w:shd w:val="clear" w:color="auto" w:fill="auto"/>
            <w:vAlign w:val="bottom"/>
          </w:tcPr>
          <w:p w14:paraId="12048CF1"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noProof/>
                <w:sz w:val="20"/>
                <w:szCs w:val="20"/>
                <w:lang w:val="en-GB"/>
              </w:rPr>
            </w:pPr>
            <w:r w:rsidRPr="00587444">
              <w:rPr>
                <w:rFonts w:ascii="Arial" w:hAnsi="Arial" w:cs="Arial"/>
                <w:color w:val="000000"/>
                <w:sz w:val="20"/>
                <w:szCs w:val="20"/>
                <w:lang w:val="hr-HR"/>
              </w:rPr>
              <w:t>58,900</w:t>
            </w:r>
          </w:p>
        </w:tc>
        <w:tc>
          <w:tcPr>
            <w:tcW w:w="1058" w:type="pct"/>
            <w:tcBorders>
              <w:top w:val="nil"/>
              <w:left w:val="nil"/>
              <w:right w:val="nil"/>
            </w:tcBorders>
            <w:shd w:val="clear" w:color="auto" w:fill="auto"/>
            <w:vAlign w:val="bottom"/>
          </w:tcPr>
          <w:p w14:paraId="539FA190"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noProof/>
                <w:sz w:val="20"/>
                <w:szCs w:val="20"/>
                <w:lang w:val="en-GB"/>
              </w:rPr>
            </w:pPr>
            <w:r w:rsidRPr="00587444">
              <w:rPr>
                <w:rFonts w:ascii="Arial" w:hAnsi="Arial" w:cs="Arial"/>
                <w:color w:val="000000"/>
                <w:sz w:val="20"/>
                <w:szCs w:val="20"/>
              </w:rPr>
              <w:t>82,797</w:t>
            </w:r>
          </w:p>
        </w:tc>
      </w:tr>
      <w:tr w:rsidR="00587444" w:rsidRPr="00587444" w14:paraId="27E44BCD" w14:textId="77777777" w:rsidTr="00DD69E7">
        <w:trPr>
          <w:trHeight w:val="348"/>
        </w:trPr>
        <w:tc>
          <w:tcPr>
            <w:tcW w:w="2883" w:type="pct"/>
            <w:vAlign w:val="bottom"/>
          </w:tcPr>
          <w:p w14:paraId="34154919"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b/>
                <w:bCs/>
                <w:noProof/>
                <w:sz w:val="20"/>
                <w:szCs w:val="20"/>
                <w:lang w:val="en-GB"/>
              </w:rPr>
            </w:pPr>
            <w:r w:rsidRPr="00587444">
              <w:rPr>
                <w:rFonts w:ascii="Arial" w:eastAsia="Calibri" w:hAnsi="Arial" w:cs="Arial"/>
                <w:noProof/>
                <w:sz w:val="20"/>
                <w:szCs w:val="20"/>
                <w:lang w:val="en-GB"/>
              </w:rPr>
              <w:t>Net increase/(decrease) of loss allowances on loans to financial institutions</w:t>
            </w:r>
          </w:p>
        </w:tc>
        <w:tc>
          <w:tcPr>
            <w:tcW w:w="1059" w:type="pct"/>
            <w:tcBorders>
              <w:left w:val="nil"/>
              <w:bottom w:val="single" w:sz="4" w:space="0" w:color="auto"/>
              <w:right w:val="nil"/>
            </w:tcBorders>
            <w:shd w:val="clear" w:color="auto" w:fill="auto"/>
            <w:vAlign w:val="bottom"/>
          </w:tcPr>
          <w:p w14:paraId="2FA225B7"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noProof/>
                <w:sz w:val="20"/>
                <w:szCs w:val="20"/>
                <w:lang w:val="en-GB"/>
              </w:rPr>
            </w:pPr>
            <w:r w:rsidRPr="00587444">
              <w:rPr>
                <w:rFonts w:ascii="Arial" w:hAnsi="Arial" w:cs="Arial"/>
                <w:color w:val="000000"/>
                <w:sz w:val="20"/>
                <w:szCs w:val="20"/>
                <w:lang w:val="hr-HR"/>
              </w:rPr>
              <w:t>1,906</w:t>
            </w:r>
          </w:p>
        </w:tc>
        <w:tc>
          <w:tcPr>
            <w:tcW w:w="1058" w:type="pct"/>
            <w:tcBorders>
              <w:left w:val="nil"/>
              <w:bottom w:val="single" w:sz="4" w:space="0" w:color="auto"/>
              <w:right w:val="nil"/>
            </w:tcBorders>
            <w:shd w:val="clear" w:color="auto" w:fill="auto"/>
            <w:vAlign w:val="bottom"/>
          </w:tcPr>
          <w:p w14:paraId="7A8DAAF4"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noProof/>
                <w:sz w:val="20"/>
                <w:szCs w:val="20"/>
                <w:lang w:val="en-GB"/>
              </w:rPr>
            </w:pPr>
            <w:r w:rsidRPr="00587444">
              <w:rPr>
                <w:rFonts w:ascii="Arial" w:hAnsi="Arial" w:cs="Arial"/>
                <w:color w:val="000000"/>
                <w:sz w:val="20"/>
                <w:szCs w:val="20"/>
              </w:rPr>
              <w:t>(23,698)</w:t>
            </w:r>
          </w:p>
        </w:tc>
      </w:tr>
      <w:tr w:rsidR="00587444" w:rsidRPr="00587444" w14:paraId="2A4E148F" w14:textId="77777777" w:rsidTr="00DD69E7">
        <w:trPr>
          <w:trHeight w:val="348"/>
        </w:trPr>
        <w:tc>
          <w:tcPr>
            <w:tcW w:w="2883" w:type="pct"/>
            <w:vAlign w:val="bottom"/>
          </w:tcPr>
          <w:p w14:paraId="7C3CC65E"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b/>
                <w:noProof/>
                <w:sz w:val="20"/>
                <w:szCs w:val="20"/>
                <w:lang w:val="en-GB"/>
              </w:rPr>
            </w:pPr>
            <w:r w:rsidRPr="00587444">
              <w:rPr>
                <w:rFonts w:ascii="Arial" w:eastAsia="Calibri" w:hAnsi="Arial" w:cs="Arial"/>
                <w:i/>
                <w:noProof/>
                <w:sz w:val="20"/>
                <w:szCs w:val="20"/>
                <w:lang w:val="en-GB"/>
              </w:rPr>
              <w:t>Total recognised through Income Statement (Note 10)</w:t>
            </w:r>
          </w:p>
        </w:tc>
        <w:tc>
          <w:tcPr>
            <w:tcW w:w="1059" w:type="pct"/>
            <w:tcBorders>
              <w:top w:val="single" w:sz="4" w:space="0" w:color="auto"/>
              <w:left w:val="nil"/>
              <w:bottom w:val="single" w:sz="4" w:space="0" w:color="auto"/>
              <w:right w:val="nil"/>
            </w:tcBorders>
            <w:shd w:val="clear" w:color="auto" w:fill="auto"/>
            <w:vAlign w:val="bottom"/>
          </w:tcPr>
          <w:p w14:paraId="42930E9E"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noProof/>
                <w:sz w:val="20"/>
                <w:szCs w:val="20"/>
                <w:lang w:val="en-GB"/>
              </w:rPr>
            </w:pPr>
            <w:r w:rsidRPr="00587444">
              <w:rPr>
                <w:rFonts w:ascii="Arial" w:hAnsi="Arial" w:cs="Arial"/>
                <w:bCs/>
                <w:i/>
                <w:color w:val="000000"/>
                <w:sz w:val="20"/>
                <w:szCs w:val="20"/>
                <w:lang w:val="hr-HR"/>
              </w:rPr>
              <w:t>1,906</w:t>
            </w:r>
          </w:p>
        </w:tc>
        <w:tc>
          <w:tcPr>
            <w:tcW w:w="1058" w:type="pct"/>
            <w:tcBorders>
              <w:top w:val="single" w:sz="4" w:space="0" w:color="auto"/>
              <w:left w:val="nil"/>
              <w:bottom w:val="single" w:sz="4" w:space="0" w:color="auto"/>
              <w:right w:val="nil"/>
            </w:tcBorders>
            <w:shd w:val="clear" w:color="auto" w:fill="auto"/>
            <w:vAlign w:val="bottom"/>
          </w:tcPr>
          <w:p w14:paraId="1EA490A7"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noProof/>
                <w:sz w:val="20"/>
                <w:szCs w:val="20"/>
                <w:lang w:val="en-GB"/>
              </w:rPr>
            </w:pPr>
            <w:r w:rsidRPr="00587444">
              <w:rPr>
                <w:rFonts w:ascii="Arial" w:hAnsi="Arial" w:cs="Arial"/>
                <w:bCs/>
                <w:i/>
                <w:color w:val="000000"/>
                <w:sz w:val="20"/>
                <w:szCs w:val="20"/>
              </w:rPr>
              <w:t>(23,698)</w:t>
            </w:r>
          </w:p>
        </w:tc>
      </w:tr>
      <w:tr w:rsidR="00587444" w:rsidRPr="00587444" w14:paraId="78946A31" w14:textId="77777777" w:rsidTr="00DD69E7">
        <w:trPr>
          <w:trHeight w:val="348"/>
        </w:trPr>
        <w:tc>
          <w:tcPr>
            <w:tcW w:w="2883" w:type="pct"/>
            <w:vAlign w:val="bottom"/>
          </w:tcPr>
          <w:p w14:paraId="10778D24"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noProof/>
                <w:sz w:val="20"/>
                <w:szCs w:val="20"/>
                <w:lang w:val="en-GB"/>
              </w:rPr>
            </w:pPr>
            <w:r w:rsidRPr="00587444">
              <w:rPr>
                <w:rFonts w:ascii="Arial" w:eastAsia="Calibri" w:hAnsi="Arial" w:cs="Arial"/>
                <w:noProof/>
                <w:sz w:val="20"/>
                <w:szCs w:val="20"/>
                <w:lang w:val="en-GB"/>
              </w:rPr>
              <w:t>Net foreign exchange gain/loss on loss allowances</w:t>
            </w:r>
          </w:p>
        </w:tc>
        <w:tc>
          <w:tcPr>
            <w:tcW w:w="1059" w:type="pct"/>
            <w:tcBorders>
              <w:top w:val="single" w:sz="4" w:space="0" w:color="auto"/>
              <w:left w:val="nil"/>
              <w:right w:val="nil"/>
            </w:tcBorders>
            <w:shd w:val="clear" w:color="auto" w:fill="auto"/>
            <w:vAlign w:val="bottom"/>
          </w:tcPr>
          <w:p w14:paraId="556E53BA"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noProof/>
                <w:sz w:val="20"/>
                <w:szCs w:val="20"/>
                <w:lang w:val="en-GB"/>
              </w:rPr>
            </w:pPr>
            <w:r w:rsidRPr="00587444">
              <w:rPr>
                <w:rFonts w:ascii="Arial" w:hAnsi="Arial" w:cs="Arial"/>
                <w:color w:val="000000"/>
                <w:sz w:val="20"/>
                <w:szCs w:val="20"/>
                <w:lang w:val="hr-HR"/>
              </w:rPr>
              <w:t>61</w:t>
            </w:r>
          </w:p>
        </w:tc>
        <w:tc>
          <w:tcPr>
            <w:tcW w:w="1058" w:type="pct"/>
            <w:tcBorders>
              <w:top w:val="single" w:sz="4" w:space="0" w:color="auto"/>
              <w:left w:val="nil"/>
              <w:right w:val="nil"/>
            </w:tcBorders>
            <w:shd w:val="clear" w:color="auto" w:fill="auto"/>
            <w:vAlign w:val="bottom"/>
          </w:tcPr>
          <w:p w14:paraId="048EE283"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noProof/>
                <w:sz w:val="20"/>
                <w:szCs w:val="20"/>
                <w:lang w:val="en-GB"/>
              </w:rPr>
            </w:pPr>
            <w:r w:rsidRPr="00587444">
              <w:rPr>
                <w:rFonts w:ascii="Arial" w:hAnsi="Arial" w:cs="Arial"/>
                <w:color w:val="000000"/>
                <w:sz w:val="20"/>
                <w:szCs w:val="20"/>
              </w:rPr>
              <w:t>(97)</w:t>
            </w:r>
          </w:p>
        </w:tc>
      </w:tr>
      <w:tr w:rsidR="00587444" w:rsidRPr="00587444" w14:paraId="0C456D5B" w14:textId="77777777" w:rsidTr="00DD69E7">
        <w:trPr>
          <w:trHeight w:val="348"/>
        </w:trPr>
        <w:tc>
          <w:tcPr>
            <w:tcW w:w="2883" w:type="pct"/>
            <w:vAlign w:val="bottom"/>
          </w:tcPr>
          <w:p w14:paraId="70BAD940"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noProof/>
                <w:sz w:val="20"/>
                <w:szCs w:val="20"/>
                <w:lang w:val="en-GB"/>
              </w:rPr>
            </w:pPr>
            <w:r w:rsidRPr="00587444">
              <w:rPr>
                <w:rFonts w:ascii="Arial" w:eastAsia="Calibri" w:hAnsi="Arial" w:cs="Arial"/>
                <w:noProof/>
                <w:sz w:val="20"/>
                <w:szCs w:val="20"/>
                <w:lang w:val="en-GB"/>
              </w:rPr>
              <w:t>Loss allowances transferred to loans to other customers</w:t>
            </w:r>
          </w:p>
        </w:tc>
        <w:tc>
          <w:tcPr>
            <w:tcW w:w="1059" w:type="pct"/>
            <w:tcBorders>
              <w:left w:val="nil"/>
              <w:right w:val="nil"/>
            </w:tcBorders>
            <w:shd w:val="clear" w:color="auto" w:fill="auto"/>
            <w:vAlign w:val="bottom"/>
          </w:tcPr>
          <w:p w14:paraId="4B2D6B67"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noProof/>
                <w:sz w:val="20"/>
                <w:szCs w:val="20"/>
                <w:lang w:val="en-GB"/>
              </w:rPr>
            </w:pPr>
            <w:r w:rsidRPr="00587444">
              <w:rPr>
                <w:rFonts w:ascii="Arial" w:hAnsi="Arial" w:cs="Arial"/>
                <w:color w:val="000000"/>
                <w:sz w:val="20"/>
                <w:szCs w:val="20"/>
                <w:lang w:val="hr-HR"/>
              </w:rPr>
              <w:t>-</w:t>
            </w:r>
          </w:p>
        </w:tc>
        <w:tc>
          <w:tcPr>
            <w:tcW w:w="1058" w:type="pct"/>
            <w:tcBorders>
              <w:left w:val="nil"/>
              <w:right w:val="nil"/>
            </w:tcBorders>
            <w:shd w:val="clear" w:color="auto" w:fill="auto"/>
            <w:vAlign w:val="bottom"/>
          </w:tcPr>
          <w:p w14:paraId="287E31B3" w14:textId="77777777" w:rsidR="00587444" w:rsidRPr="00587444" w:rsidDel="00573DC9" w:rsidRDefault="00587444" w:rsidP="00587444">
            <w:pPr>
              <w:tabs>
                <w:tab w:val="right" w:pos="1202"/>
              </w:tabs>
              <w:suppressAutoHyphens w:val="0"/>
              <w:autoSpaceDN/>
              <w:spacing w:line="340" w:lineRule="exact"/>
              <w:jc w:val="right"/>
              <w:outlineLvl w:val="0"/>
              <w:rPr>
                <w:rFonts w:ascii="Arial" w:eastAsia="Calibri" w:hAnsi="Arial" w:cs="Arial"/>
                <w:bCs/>
                <w:noProof/>
                <w:sz w:val="20"/>
                <w:szCs w:val="20"/>
                <w:lang w:val="en-GB"/>
              </w:rPr>
            </w:pPr>
            <w:r w:rsidRPr="00587444">
              <w:rPr>
                <w:rFonts w:ascii="Arial" w:hAnsi="Arial" w:cs="Arial"/>
                <w:color w:val="000000"/>
                <w:sz w:val="20"/>
                <w:szCs w:val="20"/>
              </w:rPr>
              <w:t>(16)</w:t>
            </w:r>
          </w:p>
        </w:tc>
      </w:tr>
      <w:tr w:rsidR="00587444" w:rsidRPr="00587444" w14:paraId="40E8A051" w14:textId="77777777" w:rsidTr="00DD69E7">
        <w:trPr>
          <w:trHeight w:val="348"/>
        </w:trPr>
        <w:tc>
          <w:tcPr>
            <w:tcW w:w="2883" w:type="pct"/>
            <w:vAlign w:val="bottom"/>
          </w:tcPr>
          <w:p w14:paraId="5E8100EB"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noProof/>
                <w:sz w:val="20"/>
                <w:szCs w:val="20"/>
                <w:lang w:val="en-GB"/>
              </w:rPr>
            </w:pPr>
            <w:r w:rsidRPr="00587444">
              <w:rPr>
                <w:rFonts w:ascii="Arial" w:eastAsia="Calibri" w:hAnsi="Arial" w:cs="Arial"/>
                <w:noProof/>
                <w:sz w:val="20"/>
                <w:szCs w:val="20"/>
                <w:lang w:val="en-GB"/>
              </w:rPr>
              <w:t>Unwinding – changes due to the lapse of time</w:t>
            </w:r>
          </w:p>
        </w:tc>
        <w:tc>
          <w:tcPr>
            <w:tcW w:w="1059" w:type="pct"/>
            <w:tcBorders>
              <w:left w:val="nil"/>
              <w:bottom w:val="single" w:sz="4" w:space="0" w:color="auto"/>
              <w:right w:val="nil"/>
            </w:tcBorders>
            <w:shd w:val="clear" w:color="auto" w:fill="auto"/>
            <w:vAlign w:val="bottom"/>
          </w:tcPr>
          <w:p w14:paraId="160D0E71"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noProof/>
                <w:sz w:val="20"/>
                <w:szCs w:val="20"/>
                <w:lang w:val="en-GB"/>
              </w:rPr>
            </w:pPr>
            <w:r w:rsidRPr="00587444">
              <w:rPr>
                <w:rFonts w:ascii="Arial" w:hAnsi="Arial" w:cs="Arial"/>
                <w:color w:val="000000"/>
                <w:sz w:val="20"/>
                <w:szCs w:val="20"/>
                <w:lang w:val="hr-HR"/>
              </w:rPr>
              <w:t>(5)</w:t>
            </w:r>
          </w:p>
        </w:tc>
        <w:tc>
          <w:tcPr>
            <w:tcW w:w="1058" w:type="pct"/>
            <w:tcBorders>
              <w:left w:val="nil"/>
              <w:bottom w:val="single" w:sz="4" w:space="0" w:color="auto"/>
              <w:right w:val="nil"/>
            </w:tcBorders>
            <w:shd w:val="clear" w:color="auto" w:fill="auto"/>
            <w:vAlign w:val="bottom"/>
          </w:tcPr>
          <w:p w14:paraId="0DEFBB14"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noProof/>
                <w:sz w:val="20"/>
                <w:szCs w:val="20"/>
                <w:lang w:val="en-GB"/>
              </w:rPr>
            </w:pPr>
            <w:r w:rsidRPr="00587444">
              <w:rPr>
                <w:rFonts w:ascii="Arial" w:hAnsi="Arial" w:cs="Arial"/>
                <w:color w:val="000000"/>
                <w:sz w:val="20"/>
                <w:szCs w:val="20"/>
              </w:rPr>
              <w:t>(86)</w:t>
            </w:r>
          </w:p>
        </w:tc>
      </w:tr>
      <w:tr w:rsidR="00587444" w:rsidRPr="00587444" w14:paraId="2023D0CE" w14:textId="77777777" w:rsidTr="00DD69E7">
        <w:trPr>
          <w:trHeight w:val="348"/>
        </w:trPr>
        <w:tc>
          <w:tcPr>
            <w:tcW w:w="2883" w:type="pct"/>
            <w:vAlign w:val="bottom"/>
          </w:tcPr>
          <w:p w14:paraId="375B2A27"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b/>
                <w:bCs/>
                <w:noProof/>
                <w:sz w:val="20"/>
                <w:szCs w:val="20"/>
                <w:lang w:val="en-GB"/>
              </w:rPr>
            </w:pPr>
            <w:r w:rsidRPr="00587444">
              <w:rPr>
                <w:rFonts w:ascii="Arial" w:eastAsia="Calibri" w:hAnsi="Arial" w:cs="Arial"/>
                <w:b/>
                <w:bCs/>
                <w:noProof/>
                <w:sz w:val="20"/>
                <w:szCs w:val="20"/>
                <w:lang w:val="en-GB"/>
              </w:rPr>
              <w:t>Balance at the end of the reporting period</w:t>
            </w:r>
          </w:p>
        </w:tc>
        <w:tc>
          <w:tcPr>
            <w:tcW w:w="1059" w:type="pct"/>
            <w:tcBorders>
              <w:top w:val="single" w:sz="4" w:space="0" w:color="auto"/>
              <w:left w:val="nil"/>
              <w:bottom w:val="single" w:sz="12" w:space="0" w:color="auto"/>
              <w:right w:val="nil"/>
            </w:tcBorders>
            <w:shd w:val="clear" w:color="auto" w:fill="auto"/>
            <w:vAlign w:val="bottom"/>
          </w:tcPr>
          <w:p w14:paraId="3F6CF522"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
                <w:bCs/>
                <w:noProof/>
                <w:sz w:val="20"/>
                <w:szCs w:val="20"/>
                <w:lang w:val="en-GB"/>
              </w:rPr>
            </w:pPr>
            <w:r w:rsidRPr="00587444">
              <w:rPr>
                <w:rFonts w:ascii="Arial" w:hAnsi="Arial" w:cs="Arial"/>
                <w:b/>
                <w:color w:val="000000"/>
                <w:sz w:val="20"/>
                <w:szCs w:val="20"/>
                <w:lang w:val="hr-HR"/>
              </w:rPr>
              <w:t>60,862</w:t>
            </w:r>
          </w:p>
        </w:tc>
        <w:tc>
          <w:tcPr>
            <w:tcW w:w="1058" w:type="pct"/>
            <w:tcBorders>
              <w:top w:val="single" w:sz="4" w:space="0" w:color="auto"/>
              <w:left w:val="nil"/>
              <w:bottom w:val="single" w:sz="12" w:space="0" w:color="auto"/>
              <w:right w:val="nil"/>
            </w:tcBorders>
            <w:shd w:val="clear" w:color="auto" w:fill="auto"/>
            <w:vAlign w:val="bottom"/>
          </w:tcPr>
          <w:p w14:paraId="5204E075"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
                <w:bCs/>
                <w:noProof/>
                <w:sz w:val="20"/>
                <w:szCs w:val="20"/>
                <w:lang w:val="en-GB"/>
              </w:rPr>
            </w:pPr>
            <w:r w:rsidRPr="00587444">
              <w:rPr>
                <w:rFonts w:ascii="Arial" w:hAnsi="Arial" w:cs="Arial"/>
                <w:b/>
                <w:color w:val="000000"/>
                <w:sz w:val="20"/>
                <w:szCs w:val="20"/>
              </w:rPr>
              <w:t>58,900</w:t>
            </w:r>
          </w:p>
        </w:tc>
      </w:tr>
    </w:tbl>
    <w:p w14:paraId="190E42AF" w14:textId="77777777" w:rsidR="00587444" w:rsidRPr="00587444" w:rsidRDefault="00587444" w:rsidP="00587444">
      <w:pPr>
        <w:keepNext/>
        <w:suppressAutoHyphens w:val="0"/>
        <w:autoSpaceDN/>
        <w:jc w:val="both"/>
        <w:rPr>
          <w:rFonts w:ascii="Arial" w:hAnsi="Arial" w:cs="Arial"/>
          <w:bCs/>
          <w:sz w:val="20"/>
          <w:szCs w:val="20"/>
          <w:lang w:val="en-GB"/>
        </w:rPr>
      </w:pPr>
    </w:p>
    <w:p w14:paraId="5320F0DD" w14:textId="77777777" w:rsidR="00587444" w:rsidRPr="00587444" w:rsidRDefault="00587444" w:rsidP="00587444">
      <w:pPr>
        <w:keepNext/>
        <w:suppressAutoHyphens w:val="0"/>
        <w:autoSpaceDN/>
        <w:jc w:val="both"/>
        <w:rPr>
          <w:rFonts w:ascii="Arial" w:hAnsi="Arial" w:cs="Arial"/>
          <w:bCs/>
          <w:sz w:val="20"/>
          <w:szCs w:val="20"/>
          <w:lang w:val="hr-HR"/>
        </w:rPr>
      </w:pPr>
    </w:p>
    <w:p w14:paraId="414211A0" w14:textId="77777777" w:rsidR="00F36511"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 xml:space="preserve">Net foreign exchange gain/loss on loss allowances are shown within net gains/(losses) from financial </w:t>
      </w:r>
    </w:p>
    <w:p w14:paraId="31C53E74" w14:textId="5D6D32C8" w:rsidR="00587444" w:rsidRPr="00587444" w:rsidRDefault="00587444" w:rsidP="00F36511">
      <w:pPr>
        <w:keepNext/>
        <w:suppressAutoHyphens w:val="0"/>
        <w:autoSpaceDN/>
        <w:rPr>
          <w:rFonts w:ascii="Arial" w:hAnsi="Arial" w:cs="Arial"/>
          <w:bCs/>
          <w:sz w:val="20"/>
          <w:szCs w:val="20"/>
          <w:highlight w:val="yellow"/>
          <w:lang w:val="en-GB"/>
        </w:rPr>
        <w:sectPr w:rsidR="00587444" w:rsidRPr="00587444" w:rsidSect="00DD69E7">
          <w:pgSz w:w="11907" w:h="16840" w:code="9"/>
          <w:pgMar w:top="1418" w:right="1134" w:bottom="1134" w:left="1418" w:header="851" w:footer="851" w:gutter="0"/>
          <w:cols w:space="720"/>
          <w:noEndnote/>
        </w:sectPr>
      </w:pPr>
      <w:r w:rsidRPr="00587444">
        <w:rPr>
          <w:rFonts w:ascii="Arial" w:hAnsi="Arial" w:cs="Arial"/>
          <w:bCs/>
          <w:sz w:val="20"/>
          <w:szCs w:val="20"/>
          <w:lang w:val="en-GB"/>
        </w:rPr>
        <w:t>activities in the Income Statement.</w:t>
      </w:r>
    </w:p>
    <w:p w14:paraId="76F9BEC1" w14:textId="77777777" w:rsidR="00587444" w:rsidRPr="00587444" w:rsidRDefault="00587444" w:rsidP="00587444">
      <w:pPr>
        <w:keepNext/>
        <w:tabs>
          <w:tab w:val="left" w:pos="567"/>
        </w:tabs>
        <w:suppressAutoHyphens w:val="0"/>
        <w:autoSpaceDN/>
        <w:jc w:val="both"/>
        <w:rPr>
          <w:rFonts w:ascii="Arial" w:hAnsi="Arial" w:cs="Arial"/>
          <w:b/>
          <w:bCs/>
          <w:sz w:val="20"/>
          <w:szCs w:val="20"/>
          <w:lang w:val="hr-HR"/>
        </w:rPr>
      </w:pPr>
    </w:p>
    <w:p w14:paraId="6617F16A"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hr-HR"/>
        </w:rPr>
        <w:t>14.</w:t>
      </w:r>
      <w:r w:rsidRPr="00587444">
        <w:rPr>
          <w:rFonts w:ascii="Arial" w:hAnsi="Arial" w:cs="Arial"/>
          <w:b/>
          <w:bCs/>
          <w:sz w:val="20"/>
          <w:szCs w:val="20"/>
          <w:lang w:val="hr-HR"/>
        </w:rPr>
        <w:tab/>
      </w:r>
      <w:r w:rsidRPr="00587444">
        <w:rPr>
          <w:rFonts w:ascii="Arial" w:hAnsi="Arial" w:cs="Arial"/>
          <w:b/>
          <w:bCs/>
          <w:sz w:val="20"/>
          <w:szCs w:val="20"/>
          <w:lang w:val="en-GB"/>
        </w:rPr>
        <w:t>Loans to financial institutions (continued)</w:t>
      </w:r>
    </w:p>
    <w:p w14:paraId="3F9560BA" w14:textId="77777777" w:rsidR="00587444" w:rsidRPr="00587444" w:rsidRDefault="00587444" w:rsidP="00587444">
      <w:pPr>
        <w:keepNext/>
        <w:suppressAutoHyphens w:val="0"/>
        <w:autoSpaceDN/>
        <w:jc w:val="both"/>
        <w:rPr>
          <w:rFonts w:ascii="Arial" w:hAnsi="Arial" w:cs="Arial"/>
          <w:sz w:val="20"/>
          <w:szCs w:val="20"/>
          <w:lang w:val="en-GB"/>
        </w:rPr>
      </w:pPr>
    </w:p>
    <w:p w14:paraId="60AC84A7" w14:textId="77777777" w:rsidR="00587444" w:rsidRPr="00587444" w:rsidRDefault="00587444" w:rsidP="00587444">
      <w:pPr>
        <w:tabs>
          <w:tab w:val="left" w:pos="-720"/>
        </w:tabs>
        <w:autoSpaceDN/>
        <w:rPr>
          <w:rFonts w:ascii="Arial" w:hAnsi="Arial" w:cs="Arial"/>
          <w:spacing w:val="-3"/>
          <w:sz w:val="20"/>
          <w:szCs w:val="20"/>
          <w:lang w:val="hr-HR"/>
        </w:rPr>
      </w:pPr>
      <w:r w:rsidRPr="00587444">
        <w:rPr>
          <w:rFonts w:ascii="Arial" w:hAnsi="Arial" w:cs="Arial"/>
          <w:bCs/>
          <w:sz w:val="20"/>
          <w:szCs w:val="20"/>
          <w:lang w:val="en-GB"/>
        </w:rPr>
        <w:t>Loans to financial institutions, impaired for loss allowances, by purpose of the loan programs:</w:t>
      </w:r>
    </w:p>
    <w:p w14:paraId="5569E6A3" w14:textId="77777777" w:rsidR="00587444" w:rsidRPr="00587444" w:rsidRDefault="00587444" w:rsidP="00587444">
      <w:pPr>
        <w:tabs>
          <w:tab w:val="left" w:pos="-720"/>
        </w:tabs>
        <w:autoSpaceDN/>
        <w:rPr>
          <w:rFonts w:ascii="Arial" w:hAnsi="Arial" w:cs="Arial"/>
          <w:spacing w:val="-3"/>
          <w:sz w:val="20"/>
          <w:szCs w:val="20"/>
          <w:lang w:val="hr-HR"/>
        </w:rPr>
      </w:pPr>
    </w:p>
    <w:tbl>
      <w:tblPr>
        <w:tblW w:w="4773" w:type="pct"/>
        <w:tblInd w:w="142" w:type="dxa"/>
        <w:tblLayout w:type="fixed"/>
        <w:tblCellMar>
          <w:left w:w="107" w:type="dxa"/>
          <w:right w:w="107" w:type="dxa"/>
        </w:tblCellMar>
        <w:tblLook w:val="0000" w:firstRow="0" w:lastRow="0" w:firstColumn="0" w:lastColumn="0" w:noHBand="0" w:noVBand="0"/>
      </w:tblPr>
      <w:tblGrid>
        <w:gridCol w:w="5655"/>
        <w:gridCol w:w="1741"/>
        <w:gridCol w:w="1739"/>
      </w:tblGrid>
      <w:tr w:rsidR="00587444" w:rsidRPr="00587444" w14:paraId="0C8DC336" w14:textId="77777777" w:rsidTr="00DD69E7">
        <w:trPr>
          <w:trHeight w:val="163"/>
        </w:trPr>
        <w:tc>
          <w:tcPr>
            <w:tcW w:w="3095" w:type="pct"/>
          </w:tcPr>
          <w:p w14:paraId="5AC1F19A" w14:textId="77777777" w:rsidR="00587444" w:rsidRPr="00587444" w:rsidRDefault="00587444" w:rsidP="00587444">
            <w:pPr>
              <w:tabs>
                <w:tab w:val="left" w:pos="-720"/>
              </w:tabs>
              <w:autoSpaceDN/>
              <w:ind w:firstLine="35"/>
              <w:rPr>
                <w:rFonts w:ascii="Arial" w:hAnsi="Arial" w:cs="Arial"/>
                <w:spacing w:val="-3"/>
                <w:sz w:val="20"/>
                <w:szCs w:val="20"/>
                <w:lang w:val="hr-HR"/>
              </w:rPr>
            </w:pPr>
          </w:p>
        </w:tc>
        <w:tc>
          <w:tcPr>
            <w:tcW w:w="1905" w:type="pct"/>
            <w:gridSpan w:val="2"/>
          </w:tcPr>
          <w:p w14:paraId="5D5E7A7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641" w:name="_Toc4058532"/>
            <w:r w:rsidRPr="00587444">
              <w:rPr>
                <w:rFonts w:ascii="Arial" w:hAnsi="Arial" w:cs="Arial"/>
                <w:b/>
                <w:sz w:val="20"/>
                <w:szCs w:val="20"/>
                <w:lang w:val="hr-HR"/>
              </w:rPr>
              <w:t>Group and Bank</w:t>
            </w:r>
            <w:bookmarkEnd w:id="641"/>
          </w:p>
        </w:tc>
      </w:tr>
      <w:tr w:rsidR="00587444" w:rsidRPr="00587444" w14:paraId="0C043177" w14:textId="77777777" w:rsidTr="00DD69E7">
        <w:trPr>
          <w:trHeight w:val="163"/>
        </w:trPr>
        <w:tc>
          <w:tcPr>
            <w:tcW w:w="3095" w:type="pct"/>
          </w:tcPr>
          <w:p w14:paraId="3586B221" w14:textId="77777777" w:rsidR="00587444" w:rsidRPr="00587444" w:rsidRDefault="00587444" w:rsidP="00587444">
            <w:pPr>
              <w:tabs>
                <w:tab w:val="left" w:pos="-720"/>
              </w:tabs>
              <w:autoSpaceDN/>
              <w:ind w:firstLine="35"/>
              <w:rPr>
                <w:rFonts w:ascii="Arial" w:hAnsi="Arial" w:cs="Arial"/>
                <w:spacing w:val="-3"/>
                <w:sz w:val="20"/>
                <w:szCs w:val="20"/>
                <w:lang w:val="en-GB"/>
              </w:rPr>
            </w:pPr>
          </w:p>
        </w:tc>
        <w:tc>
          <w:tcPr>
            <w:tcW w:w="953" w:type="pct"/>
            <w:vAlign w:val="center"/>
          </w:tcPr>
          <w:p w14:paraId="0B6C68B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642" w:name="_Toc4058533"/>
            <w:r w:rsidRPr="00587444">
              <w:rPr>
                <w:rFonts w:ascii="Arial" w:hAnsi="Arial" w:cs="Arial"/>
                <w:b/>
                <w:sz w:val="20"/>
                <w:szCs w:val="20"/>
                <w:lang w:val="hr-HR"/>
              </w:rPr>
              <w:t xml:space="preserve">31 December </w:t>
            </w:r>
            <w:bookmarkEnd w:id="642"/>
            <w:r w:rsidRPr="00587444">
              <w:rPr>
                <w:rFonts w:ascii="Arial" w:hAnsi="Arial" w:cs="Arial"/>
                <w:b/>
                <w:sz w:val="20"/>
                <w:szCs w:val="20"/>
                <w:lang w:val="hr-HR"/>
              </w:rPr>
              <w:t>2022</w:t>
            </w:r>
          </w:p>
        </w:tc>
        <w:tc>
          <w:tcPr>
            <w:tcW w:w="952" w:type="pct"/>
            <w:shd w:val="clear" w:color="auto" w:fill="auto"/>
            <w:vAlign w:val="center"/>
          </w:tcPr>
          <w:p w14:paraId="58FA0E5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643" w:name="_Toc4058534"/>
            <w:r w:rsidRPr="00587444">
              <w:rPr>
                <w:rFonts w:ascii="Arial" w:hAnsi="Arial" w:cs="Arial"/>
                <w:b/>
                <w:sz w:val="20"/>
                <w:szCs w:val="20"/>
                <w:lang w:val="hr-HR"/>
              </w:rPr>
              <w:t xml:space="preserve">31 December </w:t>
            </w:r>
            <w:bookmarkEnd w:id="643"/>
            <w:r w:rsidRPr="00587444">
              <w:rPr>
                <w:rFonts w:ascii="Arial" w:hAnsi="Arial" w:cs="Arial"/>
                <w:b/>
                <w:sz w:val="20"/>
                <w:szCs w:val="20"/>
                <w:lang w:val="hr-HR"/>
              </w:rPr>
              <w:t>2021</w:t>
            </w:r>
          </w:p>
        </w:tc>
      </w:tr>
      <w:tr w:rsidR="00587444" w:rsidRPr="00587444" w14:paraId="6D1B6EEB" w14:textId="77777777" w:rsidTr="00DD69E7">
        <w:trPr>
          <w:trHeight w:val="153"/>
        </w:trPr>
        <w:tc>
          <w:tcPr>
            <w:tcW w:w="3095" w:type="pct"/>
          </w:tcPr>
          <w:p w14:paraId="17EA5542" w14:textId="77777777" w:rsidR="00587444" w:rsidRPr="00587444" w:rsidRDefault="00587444" w:rsidP="00587444">
            <w:pPr>
              <w:tabs>
                <w:tab w:val="left" w:pos="-720"/>
              </w:tabs>
              <w:autoSpaceDN/>
              <w:ind w:firstLine="35"/>
              <w:rPr>
                <w:rFonts w:ascii="Arial" w:hAnsi="Arial" w:cs="Arial"/>
                <w:spacing w:val="-3"/>
                <w:sz w:val="20"/>
                <w:szCs w:val="20"/>
                <w:lang w:val="en-GB"/>
              </w:rPr>
            </w:pPr>
          </w:p>
        </w:tc>
        <w:tc>
          <w:tcPr>
            <w:tcW w:w="953" w:type="pct"/>
          </w:tcPr>
          <w:p w14:paraId="13D5933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44" w:name="_Toc4058535"/>
            <w:r w:rsidRPr="00587444">
              <w:rPr>
                <w:rFonts w:ascii="Arial" w:hAnsi="Arial" w:cs="Arial"/>
                <w:b/>
                <w:sz w:val="20"/>
                <w:szCs w:val="20"/>
                <w:lang w:val="en-GB"/>
              </w:rPr>
              <w:t>HRK ‘000</w:t>
            </w:r>
            <w:bookmarkEnd w:id="644"/>
          </w:p>
        </w:tc>
        <w:tc>
          <w:tcPr>
            <w:tcW w:w="952" w:type="pct"/>
          </w:tcPr>
          <w:p w14:paraId="037CFDA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45" w:name="_Toc4058536"/>
            <w:r w:rsidRPr="00587444">
              <w:rPr>
                <w:rFonts w:ascii="Arial" w:hAnsi="Arial" w:cs="Arial"/>
                <w:b/>
                <w:sz w:val="20"/>
                <w:szCs w:val="20"/>
                <w:lang w:val="en-GB"/>
              </w:rPr>
              <w:t>HRK ‘000</w:t>
            </w:r>
            <w:bookmarkEnd w:id="645"/>
          </w:p>
        </w:tc>
      </w:tr>
      <w:tr w:rsidR="00587444" w:rsidRPr="00587444" w14:paraId="24046C9C" w14:textId="77777777" w:rsidTr="00DD69E7">
        <w:trPr>
          <w:trHeight w:val="128"/>
        </w:trPr>
        <w:tc>
          <w:tcPr>
            <w:tcW w:w="3095" w:type="pct"/>
          </w:tcPr>
          <w:p w14:paraId="507B0E41" w14:textId="77777777" w:rsidR="00587444" w:rsidRPr="00587444" w:rsidRDefault="00587444" w:rsidP="00587444">
            <w:pPr>
              <w:tabs>
                <w:tab w:val="left" w:pos="-720"/>
              </w:tabs>
              <w:autoSpaceDN/>
              <w:ind w:firstLine="35"/>
              <w:rPr>
                <w:rFonts w:ascii="Arial" w:hAnsi="Arial" w:cs="Arial"/>
                <w:spacing w:val="-3"/>
                <w:sz w:val="20"/>
                <w:szCs w:val="20"/>
                <w:lang w:val="en-GB"/>
              </w:rPr>
            </w:pPr>
          </w:p>
        </w:tc>
        <w:tc>
          <w:tcPr>
            <w:tcW w:w="953" w:type="pct"/>
          </w:tcPr>
          <w:p w14:paraId="1BDEA836" w14:textId="77777777" w:rsidR="00587444" w:rsidRPr="00587444" w:rsidRDefault="00587444" w:rsidP="00587444">
            <w:pPr>
              <w:tabs>
                <w:tab w:val="left" w:pos="-720"/>
              </w:tabs>
              <w:autoSpaceDN/>
              <w:jc w:val="right"/>
              <w:rPr>
                <w:rFonts w:ascii="Arial" w:hAnsi="Arial" w:cs="Arial"/>
                <w:b/>
                <w:spacing w:val="-3"/>
                <w:sz w:val="20"/>
                <w:szCs w:val="20"/>
                <w:lang w:val="en-GB"/>
              </w:rPr>
            </w:pPr>
          </w:p>
        </w:tc>
        <w:tc>
          <w:tcPr>
            <w:tcW w:w="952" w:type="pct"/>
          </w:tcPr>
          <w:p w14:paraId="47E7D5DD" w14:textId="77777777" w:rsidR="00587444" w:rsidRPr="00587444" w:rsidRDefault="00587444" w:rsidP="00587444">
            <w:pPr>
              <w:tabs>
                <w:tab w:val="left" w:pos="-720"/>
              </w:tabs>
              <w:autoSpaceDN/>
              <w:jc w:val="right"/>
              <w:rPr>
                <w:rFonts w:ascii="Arial" w:hAnsi="Arial" w:cs="Arial"/>
                <w:b/>
                <w:spacing w:val="-3"/>
                <w:sz w:val="20"/>
                <w:szCs w:val="20"/>
                <w:lang w:val="en-GB"/>
              </w:rPr>
            </w:pPr>
          </w:p>
        </w:tc>
      </w:tr>
      <w:tr w:rsidR="00587444" w:rsidRPr="00587444" w14:paraId="3717ADC3" w14:textId="77777777" w:rsidTr="00DD69E7">
        <w:tc>
          <w:tcPr>
            <w:tcW w:w="3095" w:type="pct"/>
            <w:vAlign w:val="bottom"/>
          </w:tcPr>
          <w:p w14:paraId="58C750AC"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EU Projects</w:t>
            </w:r>
          </w:p>
        </w:tc>
        <w:tc>
          <w:tcPr>
            <w:tcW w:w="953" w:type="pct"/>
            <w:tcBorders>
              <w:top w:val="nil"/>
              <w:left w:val="nil"/>
              <w:bottom w:val="nil"/>
              <w:right w:val="nil"/>
            </w:tcBorders>
            <w:shd w:val="clear" w:color="auto" w:fill="auto"/>
            <w:vAlign w:val="bottom"/>
          </w:tcPr>
          <w:p w14:paraId="716EB29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252,822 </w:t>
            </w:r>
          </w:p>
        </w:tc>
        <w:tc>
          <w:tcPr>
            <w:tcW w:w="952" w:type="pct"/>
            <w:tcBorders>
              <w:top w:val="nil"/>
              <w:left w:val="nil"/>
              <w:bottom w:val="nil"/>
              <w:right w:val="nil"/>
            </w:tcBorders>
            <w:shd w:val="clear" w:color="auto" w:fill="auto"/>
            <w:vAlign w:val="bottom"/>
          </w:tcPr>
          <w:p w14:paraId="3EC56DF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205,630</w:t>
            </w:r>
          </w:p>
        </w:tc>
      </w:tr>
      <w:tr w:rsidR="00587444" w:rsidRPr="00587444" w14:paraId="5A7334FC" w14:textId="77777777" w:rsidTr="00DD69E7">
        <w:tc>
          <w:tcPr>
            <w:tcW w:w="3095" w:type="pct"/>
            <w:vAlign w:val="bottom"/>
          </w:tcPr>
          <w:p w14:paraId="2271EB4E"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Financial Restructuring</w:t>
            </w:r>
          </w:p>
        </w:tc>
        <w:tc>
          <w:tcPr>
            <w:tcW w:w="953" w:type="pct"/>
            <w:tcBorders>
              <w:top w:val="nil"/>
              <w:left w:val="nil"/>
              <w:bottom w:val="nil"/>
              <w:right w:val="nil"/>
            </w:tcBorders>
            <w:shd w:val="clear" w:color="auto" w:fill="auto"/>
            <w:vAlign w:val="bottom"/>
          </w:tcPr>
          <w:p w14:paraId="075CE48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28,953 </w:t>
            </w:r>
          </w:p>
        </w:tc>
        <w:tc>
          <w:tcPr>
            <w:tcW w:w="952" w:type="pct"/>
            <w:tcBorders>
              <w:top w:val="nil"/>
              <w:left w:val="nil"/>
              <w:bottom w:val="nil"/>
              <w:right w:val="nil"/>
            </w:tcBorders>
            <w:shd w:val="clear" w:color="auto" w:fill="auto"/>
            <w:vAlign w:val="bottom"/>
          </w:tcPr>
          <w:p w14:paraId="11B7FD0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23,247</w:t>
            </w:r>
          </w:p>
        </w:tc>
      </w:tr>
      <w:tr w:rsidR="00587444" w:rsidRPr="00587444" w14:paraId="12B4D411" w14:textId="77777777" w:rsidTr="00DD69E7">
        <w:tc>
          <w:tcPr>
            <w:tcW w:w="3095" w:type="pct"/>
            <w:vAlign w:val="bottom"/>
          </w:tcPr>
          <w:p w14:paraId="10C484E9"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Pre-Export Finance</w:t>
            </w:r>
          </w:p>
        </w:tc>
        <w:tc>
          <w:tcPr>
            <w:tcW w:w="953" w:type="pct"/>
            <w:tcBorders>
              <w:top w:val="nil"/>
              <w:left w:val="nil"/>
              <w:bottom w:val="nil"/>
              <w:right w:val="nil"/>
            </w:tcBorders>
            <w:shd w:val="clear" w:color="auto" w:fill="auto"/>
            <w:vAlign w:val="bottom"/>
          </w:tcPr>
          <w:p w14:paraId="5E2B9E8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1,015 </w:t>
            </w:r>
          </w:p>
        </w:tc>
        <w:tc>
          <w:tcPr>
            <w:tcW w:w="952" w:type="pct"/>
            <w:tcBorders>
              <w:top w:val="nil"/>
              <w:left w:val="nil"/>
              <w:bottom w:val="nil"/>
              <w:right w:val="nil"/>
            </w:tcBorders>
            <w:shd w:val="clear" w:color="auto" w:fill="auto"/>
            <w:vAlign w:val="bottom"/>
          </w:tcPr>
          <w:p w14:paraId="4A6EAB7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1,013</w:t>
            </w:r>
          </w:p>
        </w:tc>
      </w:tr>
      <w:tr w:rsidR="00587444" w:rsidRPr="00587444" w14:paraId="325D16EA" w14:textId="77777777" w:rsidTr="00DD69E7">
        <w:tc>
          <w:tcPr>
            <w:tcW w:w="3095" w:type="pct"/>
            <w:vAlign w:val="bottom"/>
          </w:tcPr>
          <w:p w14:paraId="3E384FDE"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Public Sector Investment</w:t>
            </w:r>
          </w:p>
        </w:tc>
        <w:tc>
          <w:tcPr>
            <w:tcW w:w="953" w:type="pct"/>
            <w:tcBorders>
              <w:top w:val="nil"/>
              <w:left w:val="nil"/>
              <w:bottom w:val="nil"/>
              <w:right w:val="nil"/>
            </w:tcBorders>
            <w:shd w:val="clear" w:color="auto" w:fill="auto"/>
            <w:vAlign w:val="bottom"/>
          </w:tcPr>
          <w:p w14:paraId="115CBA4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912,570 </w:t>
            </w:r>
          </w:p>
        </w:tc>
        <w:tc>
          <w:tcPr>
            <w:tcW w:w="952" w:type="pct"/>
            <w:tcBorders>
              <w:top w:val="nil"/>
              <w:left w:val="nil"/>
              <w:bottom w:val="nil"/>
              <w:right w:val="nil"/>
            </w:tcBorders>
            <w:shd w:val="clear" w:color="auto" w:fill="auto"/>
            <w:vAlign w:val="bottom"/>
          </w:tcPr>
          <w:p w14:paraId="2D62622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826,013</w:t>
            </w:r>
          </w:p>
        </w:tc>
      </w:tr>
      <w:tr w:rsidR="00587444" w:rsidRPr="00587444" w14:paraId="2EE95D92" w14:textId="77777777" w:rsidTr="00DD69E7">
        <w:tc>
          <w:tcPr>
            <w:tcW w:w="3095" w:type="pct"/>
            <w:vAlign w:val="bottom"/>
          </w:tcPr>
          <w:p w14:paraId="3844DC2F"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Private Sector Investment</w:t>
            </w:r>
          </w:p>
        </w:tc>
        <w:tc>
          <w:tcPr>
            <w:tcW w:w="953" w:type="pct"/>
            <w:tcBorders>
              <w:top w:val="nil"/>
              <w:left w:val="nil"/>
              <w:bottom w:val="nil"/>
              <w:right w:val="nil"/>
            </w:tcBorders>
            <w:shd w:val="clear" w:color="auto" w:fill="auto"/>
            <w:vAlign w:val="bottom"/>
          </w:tcPr>
          <w:p w14:paraId="44BFD45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260,251 </w:t>
            </w:r>
          </w:p>
        </w:tc>
        <w:tc>
          <w:tcPr>
            <w:tcW w:w="952" w:type="pct"/>
            <w:tcBorders>
              <w:top w:val="nil"/>
              <w:left w:val="nil"/>
              <w:bottom w:val="nil"/>
              <w:right w:val="nil"/>
            </w:tcBorders>
            <w:shd w:val="clear" w:color="auto" w:fill="auto"/>
            <w:vAlign w:val="bottom"/>
          </w:tcPr>
          <w:p w14:paraId="0E42ACB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201,419</w:t>
            </w:r>
          </w:p>
        </w:tc>
      </w:tr>
      <w:tr w:rsidR="00587444" w:rsidRPr="00587444" w14:paraId="5B991633" w14:textId="77777777" w:rsidTr="00DD69E7">
        <w:tc>
          <w:tcPr>
            <w:tcW w:w="3095" w:type="pct"/>
            <w:vAlign w:val="bottom"/>
          </w:tcPr>
          <w:p w14:paraId="49B7897F"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Youth, Female, Start-up Entrepreneurship</w:t>
            </w:r>
          </w:p>
        </w:tc>
        <w:tc>
          <w:tcPr>
            <w:tcW w:w="953" w:type="pct"/>
            <w:tcBorders>
              <w:top w:val="nil"/>
              <w:left w:val="nil"/>
              <w:bottom w:val="nil"/>
              <w:right w:val="nil"/>
            </w:tcBorders>
            <w:shd w:val="clear" w:color="auto" w:fill="auto"/>
            <w:vAlign w:val="bottom"/>
          </w:tcPr>
          <w:p w14:paraId="2122B6B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77,736 </w:t>
            </w:r>
          </w:p>
        </w:tc>
        <w:tc>
          <w:tcPr>
            <w:tcW w:w="952" w:type="pct"/>
            <w:tcBorders>
              <w:top w:val="nil"/>
              <w:left w:val="nil"/>
              <w:bottom w:val="nil"/>
              <w:right w:val="nil"/>
            </w:tcBorders>
            <w:shd w:val="clear" w:color="auto" w:fill="auto"/>
            <w:vAlign w:val="bottom"/>
          </w:tcPr>
          <w:p w14:paraId="4BC83B5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57,234</w:t>
            </w:r>
          </w:p>
        </w:tc>
      </w:tr>
      <w:tr w:rsidR="00587444" w:rsidRPr="00587444" w14:paraId="7EC81718" w14:textId="77777777" w:rsidTr="00DD69E7">
        <w:tc>
          <w:tcPr>
            <w:tcW w:w="3095" w:type="pct"/>
            <w:vAlign w:val="bottom"/>
          </w:tcPr>
          <w:p w14:paraId="1AF59911"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Working Capital</w:t>
            </w:r>
          </w:p>
        </w:tc>
        <w:tc>
          <w:tcPr>
            <w:tcW w:w="953" w:type="pct"/>
            <w:tcBorders>
              <w:top w:val="nil"/>
              <w:left w:val="nil"/>
              <w:bottom w:val="nil"/>
              <w:right w:val="nil"/>
            </w:tcBorders>
            <w:shd w:val="clear" w:color="auto" w:fill="auto"/>
            <w:vAlign w:val="bottom"/>
          </w:tcPr>
          <w:p w14:paraId="5AFDE24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17,230 </w:t>
            </w:r>
          </w:p>
        </w:tc>
        <w:tc>
          <w:tcPr>
            <w:tcW w:w="952" w:type="pct"/>
            <w:tcBorders>
              <w:top w:val="nil"/>
              <w:left w:val="nil"/>
              <w:bottom w:val="nil"/>
              <w:right w:val="nil"/>
            </w:tcBorders>
            <w:shd w:val="clear" w:color="auto" w:fill="auto"/>
            <w:vAlign w:val="bottom"/>
          </w:tcPr>
          <w:p w14:paraId="58DF04C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12,556</w:t>
            </w:r>
          </w:p>
        </w:tc>
      </w:tr>
      <w:tr w:rsidR="00587444" w:rsidRPr="00587444" w14:paraId="3774EC73" w14:textId="77777777" w:rsidTr="00DD69E7">
        <w:tc>
          <w:tcPr>
            <w:tcW w:w="3095" w:type="pct"/>
            <w:vAlign w:val="bottom"/>
          </w:tcPr>
          <w:p w14:paraId="5D2ADFC4"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Working Capital – COVID 19 measures and CRISIS 2022</w:t>
            </w:r>
            <w:r w:rsidRPr="00587444">
              <w:rPr>
                <w:rFonts w:ascii="Arial" w:hAnsi="Arial" w:cs="Arial"/>
                <w:color w:val="000000"/>
                <w:spacing w:val="-3"/>
                <w:sz w:val="20"/>
                <w:szCs w:val="20"/>
                <w:vertAlign w:val="superscript"/>
              </w:rPr>
              <w:footnoteReference w:id="2"/>
            </w:r>
          </w:p>
        </w:tc>
        <w:tc>
          <w:tcPr>
            <w:tcW w:w="953" w:type="pct"/>
            <w:tcBorders>
              <w:top w:val="nil"/>
              <w:left w:val="nil"/>
              <w:bottom w:val="nil"/>
              <w:right w:val="nil"/>
            </w:tcBorders>
            <w:shd w:val="clear" w:color="auto" w:fill="auto"/>
            <w:vAlign w:val="bottom"/>
          </w:tcPr>
          <w:p w14:paraId="50D7395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59,228</w:t>
            </w:r>
          </w:p>
        </w:tc>
        <w:tc>
          <w:tcPr>
            <w:tcW w:w="952" w:type="pct"/>
            <w:tcBorders>
              <w:top w:val="nil"/>
              <w:left w:val="nil"/>
              <w:bottom w:val="nil"/>
              <w:right w:val="nil"/>
            </w:tcBorders>
            <w:shd w:val="clear" w:color="auto" w:fill="auto"/>
            <w:vAlign w:val="bottom"/>
          </w:tcPr>
          <w:p w14:paraId="6BBFC85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72,067</w:t>
            </w:r>
          </w:p>
        </w:tc>
      </w:tr>
      <w:tr w:rsidR="00587444" w:rsidRPr="00587444" w14:paraId="1BB91FF7" w14:textId="77777777" w:rsidTr="00DD69E7">
        <w:tc>
          <w:tcPr>
            <w:tcW w:w="3095" w:type="pct"/>
            <w:vAlign w:val="bottom"/>
          </w:tcPr>
          <w:p w14:paraId="1B9FB898"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46" w:name="_Toc4058537"/>
            <w:r w:rsidRPr="00587444">
              <w:rPr>
                <w:rFonts w:ascii="Arial" w:hAnsi="Arial" w:cs="Arial"/>
                <w:sz w:val="20"/>
                <w:szCs w:val="20"/>
                <w:lang w:val="en-GB"/>
              </w:rPr>
              <w:t>Loan programme for reconstruction and development of the economy</w:t>
            </w:r>
            <w:bookmarkEnd w:id="646"/>
          </w:p>
        </w:tc>
        <w:tc>
          <w:tcPr>
            <w:tcW w:w="953" w:type="pct"/>
            <w:tcBorders>
              <w:top w:val="nil"/>
              <w:left w:val="nil"/>
              <w:bottom w:val="nil"/>
              <w:right w:val="nil"/>
            </w:tcBorders>
            <w:shd w:val="clear" w:color="auto" w:fill="auto"/>
            <w:vAlign w:val="bottom"/>
          </w:tcPr>
          <w:p w14:paraId="5979574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720,790 </w:t>
            </w:r>
          </w:p>
        </w:tc>
        <w:tc>
          <w:tcPr>
            <w:tcW w:w="952" w:type="pct"/>
            <w:tcBorders>
              <w:top w:val="nil"/>
              <w:left w:val="nil"/>
              <w:bottom w:val="nil"/>
              <w:right w:val="nil"/>
            </w:tcBorders>
            <w:shd w:val="clear" w:color="auto" w:fill="auto"/>
            <w:vAlign w:val="bottom"/>
          </w:tcPr>
          <w:p w14:paraId="1F15A07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926,987</w:t>
            </w:r>
          </w:p>
        </w:tc>
      </w:tr>
      <w:tr w:rsidR="00587444" w:rsidRPr="00587444" w14:paraId="1E488521" w14:textId="77777777" w:rsidTr="00DD69E7">
        <w:tc>
          <w:tcPr>
            <w:tcW w:w="3095" w:type="pct"/>
          </w:tcPr>
          <w:p w14:paraId="280C0572"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47" w:name="_Toc4058540"/>
            <w:r w:rsidRPr="00587444">
              <w:rPr>
                <w:rFonts w:ascii="Arial" w:hAnsi="Arial" w:cs="Arial"/>
                <w:sz w:val="20"/>
                <w:szCs w:val="20"/>
                <w:lang w:val="en-GB"/>
              </w:rPr>
              <w:t>Export financing</w:t>
            </w:r>
            <w:bookmarkEnd w:id="647"/>
          </w:p>
        </w:tc>
        <w:tc>
          <w:tcPr>
            <w:tcW w:w="953" w:type="pct"/>
            <w:tcBorders>
              <w:top w:val="nil"/>
              <w:left w:val="nil"/>
              <w:bottom w:val="nil"/>
              <w:right w:val="nil"/>
            </w:tcBorders>
            <w:shd w:val="clear" w:color="auto" w:fill="auto"/>
            <w:vAlign w:val="bottom"/>
          </w:tcPr>
          <w:p w14:paraId="7039C18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1,261,944 </w:t>
            </w:r>
          </w:p>
        </w:tc>
        <w:tc>
          <w:tcPr>
            <w:tcW w:w="952" w:type="pct"/>
            <w:tcBorders>
              <w:top w:val="nil"/>
              <w:left w:val="nil"/>
              <w:bottom w:val="nil"/>
              <w:right w:val="nil"/>
            </w:tcBorders>
            <w:shd w:val="clear" w:color="auto" w:fill="auto"/>
            <w:vAlign w:val="center"/>
          </w:tcPr>
          <w:p w14:paraId="72C22D1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1,459,505</w:t>
            </w:r>
          </w:p>
        </w:tc>
      </w:tr>
      <w:tr w:rsidR="00587444" w:rsidRPr="00587444" w14:paraId="71BE88CA" w14:textId="77777777" w:rsidTr="00DD69E7">
        <w:tc>
          <w:tcPr>
            <w:tcW w:w="3095" w:type="pct"/>
          </w:tcPr>
          <w:p w14:paraId="1BD116D2" w14:textId="77777777" w:rsidR="004E3773"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48" w:name="_Toc4058543"/>
            <w:r w:rsidRPr="00587444">
              <w:rPr>
                <w:rFonts w:ascii="Arial" w:hAnsi="Arial" w:cs="Arial"/>
                <w:sz w:val="20"/>
                <w:szCs w:val="20"/>
                <w:lang w:val="en-GB"/>
              </w:rPr>
              <w:t xml:space="preserve">Loan programme for reconstruction and development of </w:t>
            </w:r>
          </w:p>
          <w:p w14:paraId="5F27F843" w14:textId="782E1B0F"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infrastructure in the Republic of Croatia</w:t>
            </w:r>
            <w:bookmarkEnd w:id="648"/>
          </w:p>
        </w:tc>
        <w:tc>
          <w:tcPr>
            <w:tcW w:w="953" w:type="pct"/>
            <w:tcBorders>
              <w:top w:val="nil"/>
              <w:left w:val="nil"/>
              <w:bottom w:val="nil"/>
              <w:right w:val="nil"/>
            </w:tcBorders>
            <w:shd w:val="clear" w:color="auto" w:fill="auto"/>
            <w:vAlign w:val="bottom"/>
          </w:tcPr>
          <w:p w14:paraId="1B6C01C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809,354 </w:t>
            </w:r>
          </w:p>
        </w:tc>
        <w:tc>
          <w:tcPr>
            <w:tcW w:w="952" w:type="pct"/>
            <w:tcBorders>
              <w:top w:val="nil"/>
              <w:left w:val="nil"/>
              <w:bottom w:val="nil"/>
              <w:right w:val="nil"/>
            </w:tcBorders>
            <w:shd w:val="clear" w:color="auto" w:fill="auto"/>
            <w:vAlign w:val="bottom"/>
          </w:tcPr>
          <w:p w14:paraId="198DD8B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968,724</w:t>
            </w:r>
          </w:p>
        </w:tc>
      </w:tr>
      <w:tr w:rsidR="00587444" w:rsidRPr="00587444" w14:paraId="3F84BE37" w14:textId="77777777" w:rsidTr="00DD69E7">
        <w:tc>
          <w:tcPr>
            <w:tcW w:w="3095" w:type="pct"/>
          </w:tcPr>
          <w:p w14:paraId="359297B5"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49" w:name="_Toc4058546"/>
            <w:r w:rsidRPr="00587444">
              <w:rPr>
                <w:rFonts w:ascii="Arial" w:hAnsi="Arial" w:cs="Arial"/>
                <w:sz w:val="20"/>
                <w:szCs w:val="20"/>
                <w:lang w:val="en-GB"/>
              </w:rPr>
              <w:t>Loan programme for small and medium-sized enterprises</w:t>
            </w:r>
            <w:bookmarkEnd w:id="649"/>
          </w:p>
        </w:tc>
        <w:tc>
          <w:tcPr>
            <w:tcW w:w="953" w:type="pct"/>
            <w:tcBorders>
              <w:top w:val="nil"/>
              <w:left w:val="nil"/>
              <w:bottom w:val="nil"/>
              <w:right w:val="nil"/>
            </w:tcBorders>
            <w:shd w:val="clear" w:color="auto" w:fill="auto"/>
            <w:vAlign w:val="bottom"/>
          </w:tcPr>
          <w:p w14:paraId="53D2CB0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2,532,328 </w:t>
            </w:r>
          </w:p>
        </w:tc>
        <w:tc>
          <w:tcPr>
            <w:tcW w:w="952" w:type="pct"/>
            <w:tcBorders>
              <w:top w:val="nil"/>
              <w:left w:val="nil"/>
              <w:bottom w:val="nil"/>
              <w:right w:val="nil"/>
            </w:tcBorders>
            <w:shd w:val="clear" w:color="auto" w:fill="auto"/>
            <w:vAlign w:val="center"/>
          </w:tcPr>
          <w:p w14:paraId="58C2AD7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2,285,623</w:t>
            </w:r>
          </w:p>
        </w:tc>
      </w:tr>
      <w:tr w:rsidR="00587444" w:rsidRPr="00587444" w14:paraId="30BD3752" w14:textId="77777777" w:rsidTr="00DD69E7">
        <w:tc>
          <w:tcPr>
            <w:tcW w:w="3095" w:type="pct"/>
            <w:vAlign w:val="bottom"/>
          </w:tcPr>
          <w:p w14:paraId="6282089D"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50" w:name="_Toc4058549"/>
            <w:r w:rsidRPr="00587444">
              <w:rPr>
                <w:rFonts w:ascii="Arial" w:hAnsi="Arial" w:cs="Arial"/>
                <w:sz w:val="20"/>
                <w:szCs w:val="20"/>
                <w:lang w:val="en-GB"/>
              </w:rPr>
              <w:t>Loan programme for war-torn and demolished housing and business facilities</w:t>
            </w:r>
            <w:bookmarkEnd w:id="650"/>
          </w:p>
        </w:tc>
        <w:tc>
          <w:tcPr>
            <w:tcW w:w="953" w:type="pct"/>
            <w:tcBorders>
              <w:top w:val="nil"/>
              <w:left w:val="nil"/>
              <w:bottom w:val="nil"/>
              <w:right w:val="nil"/>
            </w:tcBorders>
            <w:shd w:val="clear" w:color="auto" w:fill="auto"/>
            <w:vAlign w:val="bottom"/>
          </w:tcPr>
          <w:p w14:paraId="3191579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2,790 </w:t>
            </w:r>
          </w:p>
        </w:tc>
        <w:tc>
          <w:tcPr>
            <w:tcW w:w="952" w:type="pct"/>
            <w:tcBorders>
              <w:top w:val="nil"/>
              <w:left w:val="nil"/>
              <w:bottom w:val="nil"/>
              <w:right w:val="nil"/>
            </w:tcBorders>
            <w:shd w:val="clear" w:color="auto" w:fill="auto"/>
            <w:vAlign w:val="bottom"/>
          </w:tcPr>
          <w:p w14:paraId="2FD8F1B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3,563</w:t>
            </w:r>
          </w:p>
        </w:tc>
      </w:tr>
      <w:tr w:rsidR="00587444" w:rsidRPr="00587444" w14:paraId="267C4465" w14:textId="77777777" w:rsidTr="00DD69E7">
        <w:tc>
          <w:tcPr>
            <w:tcW w:w="3095" w:type="pct"/>
          </w:tcPr>
          <w:p w14:paraId="66000FB7"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51" w:name="_Toc4058552"/>
            <w:r w:rsidRPr="00587444">
              <w:rPr>
                <w:rFonts w:ascii="Arial" w:hAnsi="Arial" w:cs="Arial"/>
                <w:sz w:val="20"/>
                <w:szCs w:val="20"/>
                <w:lang w:val="en-GB"/>
              </w:rPr>
              <w:t>Other</w:t>
            </w:r>
            <w:bookmarkEnd w:id="651"/>
          </w:p>
        </w:tc>
        <w:tc>
          <w:tcPr>
            <w:tcW w:w="953" w:type="pct"/>
            <w:tcBorders>
              <w:top w:val="nil"/>
              <w:left w:val="nil"/>
              <w:bottom w:val="nil"/>
              <w:right w:val="nil"/>
            </w:tcBorders>
            <w:shd w:val="clear" w:color="auto" w:fill="auto"/>
            <w:vAlign w:val="bottom"/>
          </w:tcPr>
          <w:p w14:paraId="2B67D1E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120,000 </w:t>
            </w:r>
          </w:p>
        </w:tc>
        <w:tc>
          <w:tcPr>
            <w:tcW w:w="952" w:type="pct"/>
            <w:tcBorders>
              <w:top w:val="nil"/>
              <w:left w:val="nil"/>
              <w:bottom w:val="nil"/>
              <w:right w:val="nil"/>
            </w:tcBorders>
            <w:shd w:val="clear" w:color="auto" w:fill="auto"/>
            <w:vAlign w:val="center"/>
          </w:tcPr>
          <w:p w14:paraId="48EC260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83,239</w:t>
            </w:r>
          </w:p>
        </w:tc>
      </w:tr>
      <w:tr w:rsidR="00587444" w:rsidRPr="00587444" w14:paraId="01B6F3EB" w14:textId="77777777" w:rsidTr="00DD69E7">
        <w:tc>
          <w:tcPr>
            <w:tcW w:w="3095" w:type="pct"/>
          </w:tcPr>
          <w:p w14:paraId="0858ACB6"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52" w:name="_Toc4058555"/>
            <w:r w:rsidRPr="00587444">
              <w:rPr>
                <w:rFonts w:ascii="Arial" w:hAnsi="Arial" w:cs="Arial"/>
                <w:sz w:val="20"/>
                <w:szCs w:val="20"/>
                <w:lang w:val="en-GB"/>
              </w:rPr>
              <w:t>Accrued interest</w:t>
            </w:r>
            <w:bookmarkEnd w:id="652"/>
          </w:p>
        </w:tc>
        <w:tc>
          <w:tcPr>
            <w:tcW w:w="953" w:type="pct"/>
            <w:tcBorders>
              <w:top w:val="nil"/>
              <w:left w:val="nil"/>
              <w:bottom w:val="nil"/>
              <w:right w:val="nil"/>
            </w:tcBorders>
            <w:shd w:val="clear" w:color="auto" w:fill="auto"/>
            <w:vAlign w:val="bottom"/>
          </w:tcPr>
          <w:p w14:paraId="4CE689A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7,016 </w:t>
            </w:r>
          </w:p>
        </w:tc>
        <w:tc>
          <w:tcPr>
            <w:tcW w:w="952" w:type="pct"/>
            <w:tcBorders>
              <w:top w:val="nil"/>
              <w:left w:val="nil"/>
              <w:bottom w:val="nil"/>
              <w:right w:val="nil"/>
            </w:tcBorders>
            <w:shd w:val="clear" w:color="auto" w:fill="auto"/>
            <w:vAlign w:val="center"/>
          </w:tcPr>
          <w:p w14:paraId="433C773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3,418</w:t>
            </w:r>
          </w:p>
        </w:tc>
      </w:tr>
      <w:tr w:rsidR="00587444" w:rsidRPr="00587444" w14:paraId="0303A5C9" w14:textId="77777777" w:rsidTr="00DD69E7">
        <w:tc>
          <w:tcPr>
            <w:tcW w:w="3095" w:type="pct"/>
          </w:tcPr>
          <w:p w14:paraId="62B83DE9"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53" w:name="_Toc4058558"/>
            <w:r w:rsidRPr="00587444">
              <w:rPr>
                <w:rFonts w:ascii="Arial" w:hAnsi="Arial" w:cs="Arial"/>
                <w:sz w:val="20"/>
                <w:szCs w:val="20"/>
                <w:lang w:val="en-GB"/>
              </w:rPr>
              <w:t>Deferred recognition of loan fees</w:t>
            </w:r>
            <w:bookmarkEnd w:id="653"/>
          </w:p>
        </w:tc>
        <w:tc>
          <w:tcPr>
            <w:tcW w:w="953" w:type="pct"/>
            <w:tcBorders>
              <w:top w:val="nil"/>
              <w:left w:val="nil"/>
              <w:bottom w:val="nil"/>
              <w:right w:val="nil"/>
            </w:tcBorders>
            <w:shd w:val="clear" w:color="auto" w:fill="auto"/>
            <w:vAlign w:val="bottom"/>
          </w:tcPr>
          <w:p w14:paraId="512BEEA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(18,453)</w:t>
            </w:r>
          </w:p>
        </w:tc>
        <w:tc>
          <w:tcPr>
            <w:tcW w:w="952" w:type="pct"/>
            <w:tcBorders>
              <w:top w:val="nil"/>
              <w:left w:val="nil"/>
              <w:bottom w:val="nil"/>
              <w:right w:val="nil"/>
            </w:tcBorders>
            <w:shd w:val="clear" w:color="auto" w:fill="auto"/>
            <w:vAlign w:val="center"/>
          </w:tcPr>
          <w:p w14:paraId="1D7094A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(21,195)</w:t>
            </w:r>
          </w:p>
        </w:tc>
      </w:tr>
      <w:tr w:rsidR="00587444" w:rsidRPr="00587444" w14:paraId="02DEB068" w14:textId="77777777" w:rsidTr="00DD69E7">
        <w:tc>
          <w:tcPr>
            <w:tcW w:w="3095" w:type="pct"/>
          </w:tcPr>
          <w:p w14:paraId="3DFBBEB3"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sz w:val="20"/>
                <w:szCs w:val="20"/>
                <w:lang w:val="en-GB"/>
              </w:rPr>
            </w:pPr>
          </w:p>
        </w:tc>
        <w:tc>
          <w:tcPr>
            <w:tcW w:w="953" w:type="pct"/>
            <w:tcBorders>
              <w:top w:val="single" w:sz="4" w:space="0" w:color="auto"/>
              <w:bottom w:val="single" w:sz="4" w:space="0" w:color="auto"/>
            </w:tcBorders>
            <w:vAlign w:val="bottom"/>
          </w:tcPr>
          <w:p w14:paraId="7DCFB916"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sz w:val="20"/>
                <w:szCs w:val="20"/>
                <w:lang w:val="hr-HR"/>
              </w:rPr>
            </w:pPr>
            <w:r w:rsidRPr="00587444">
              <w:rPr>
                <w:rFonts w:ascii="Arial" w:hAnsi="Arial" w:cs="Arial"/>
                <w:color w:val="000000"/>
                <w:sz w:val="20"/>
                <w:szCs w:val="20"/>
                <w:lang w:val="hr-HR"/>
              </w:rPr>
              <w:t>7,045,574</w:t>
            </w:r>
          </w:p>
        </w:tc>
        <w:tc>
          <w:tcPr>
            <w:tcW w:w="952" w:type="pct"/>
            <w:tcBorders>
              <w:top w:val="single" w:sz="4" w:space="0" w:color="auto"/>
              <w:bottom w:val="single" w:sz="4" w:space="0" w:color="auto"/>
            </w:tcBorders>
            <w:vAlign w:val="bottom"/>
          </w:tcPr>
          <w:p w14:paraId="24FC6C97"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sz w:val="20"/>
                <w:szCs w:val="20"/>
                <w:lang w:val="hr-HR"/>
              </w:rPr>
            </w:pPr>
            <w:r w:rsidRPr="00587444">
              <w:rPr>
                <w:rFonts w:ascii="Arial" w:hAnsi="Arial" w:cs="Arial"/>
                <w:color w:val="000000"/>
                <w:sz w:val="20"/>
                <w:szCs w:val="20"/>
                <w:lang w:val="hr-HR"/>
              </w:rPr>
              <w:t>7,109,043</w:t>
            </w:r>
          </w:p>
        </w:tc>
      </w:tr>
      <w:tr w:rsidR="00587444" w:rsidRPr="00587444" w14:paraId="4994E152" w14:textId="77777777" w:rsidTr="00DD69E7">
        <w:trPr>
          <w:trHeight w:val="352"/>
        </w:trPr>
        <w:tc>
          <w:tcPr>
            <w:tcW w:w="3095" w:type="pct"/>
            <w:vAlign w:val="bottom"/>
          </w:tcPr>
          <w:p w14:paraId="34222733"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54" w:name="_Toc4058563"/>
            <w:r w:rsidRPr="00587444">
              <w:rPr>
                <w:rFonts w:ascii="Arial" w:hAnsi="Arial" w:cs="Arial"/>
                <w:sz w:val="20"/>
                <w:szCs w:val="20"/>
                <w:lang w:val="en-GB"/>
              </w:rPr>
              <w:t>Loss allowances</w:t>
            </w:r>
            <w:bookmarkEnd w:id="654"/>
          </w:p>
        </w:tc>
        <w:tc>
          <w:tcPr>
            <w:tcW w:w="953" w:type="pct"/>
            <w:tcBorders>
              <w:top w:val="single" w:sz="4" w:space="0" w:color="auto"/>
              <w:bottom w:val="single" w:sz="4" w:space="0" w:color="auto"/>
            </w:tcBorders>
            <w:vAlign w:val="bottom"/>
          </w:tcPr>
          <w:p w14:paraId="1D46A9D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(60,862)</w:t>
            </w:r>
          </w:p>
        </w:tc>
        <w:tc>
          <w:tcPr>
            <w:tcW w:w="952" w:type="pct"/>
            <w:tcBorders>
              <w:top w:val="single" w:sz="4" w:space="0" w:color="auto"/>
              <w:bottom w:val="single" w:sz="4" w:space="0" w:color="auto"/>
            </w:tcBorders>
            <w:vAlign w:val="bottom"/>
          </w:tcPr>
          <w:p w14:paraId="3AEDA30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(58,900)</w:t>
            </w:r>
          </w:p>
        </w:tc>
      </w:tr>
      <w:tr w:rsidR="00587444" w:rsidRPr="00587444" w14:paraId="0C4AAFA2" w14:textId="77777777" w:rsidTr="00DD69E7">
        <w:tc>
          <w:tcPr>
            <w:tcW w:w="3095" w:type="pct"/>
          </w:tcPr>
          <w:p w14:paraId="6F94D815"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en-GB"/>
              </w:rPr>
            </w:pPr>
          </w:p>
        </w:tc>
        <w:tc>
          <w:tcPr>
            <w:tcW w:w="953" w:type="pct"/>
            <w:tcBorders>
              <w:top w:val="single" w:sz="4" w:space="0" w:color="auto"/>
              <w:bottom w:val="single" w:sz="12" w:space="0" w:color="auto"/>
            </w:tcBorders>
            <w:vAlign w:val="bottom"/>
          </w:tcPr>
          <w:p w14:paraId="3C32A0E7"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6,984,712</w:t>
            </w:r>
          </w:p>
        </w:tc>
        <w:tc>
          <w:tcPr>
            <w:tcW w:w="952" w:type="pct"/>
            <w:tcBorders>
              <w:top w:val="single" w:sz="4" w:space="0" w:color="auto"/>
              <w:bottom w:val="single" w:sz="12" w:space="0" w:color="auto"/>
            </w:tcBorders>
            <w:vAlign w:val="bottom"/>
          </w:tcPr>
          <w:p w14:paraId="7D53A0BF"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7,050,143</w:t>
            </w:r>
          </w:p>
        </w:tc>
      </w:tr>
    </w:tbl>
    <w:p w14:paraId="2840913A" w14:textId="77777777" w:rsidR="00587444" w:rsidRPr="00587444" w:rsidRDefault="00587444" w:rsidP="00587444">
      <w:pPr>
        <w:tabs>
          <w:tab w:val="left" w:pos="-720"/>
        </w:tabs>
        <w:autoSpaceDN/>
        <w:rPr>
          <w:rFonts w:ascii="Arial" w:hAnsi="Arial" w:cs="Arial"/>
          <w:b/>
          <w:sz w:val="20"/>
          <w:szCs w:val="20"/>
          <w:u w:val="single"/>
          <w:lang w:val="hr-HR"/>
        </w:rPr>
      </w:pPr>
    </w:p>
    <w:p w14:paraId="50101A76"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 xml:space="preserve">Average interest rates for total loans to financial institutions are stated at 0.28% (31 December 2021: 0.41%) and are equal to average </w:t>
      </w:r>
      <w:proofErr w:type="gramStart"/>
      <w:r w:rsidRPr="00587444">
        <w:rPr>
          <w:rFonts w:ascii="Arial" w:hAnsi="Arial" w:cs="Arial"/>
          <w:sz w:val="20"/>
          <w:szCs w:val="20"/>
          <w:lang w:val="en-GB"/>
        </w:rPr>
        <w:t>interests</w:t>
      </w:r>
      <w:proofErr w:type="gramEnd"/>
      <w:r w:rsidRPr="00587444">
        <w:rPr>
          <w:rFonts w:ascii="Arial" w:hAnsi="Arial" w:cs="Arial"/>
          <w:sz w:val="20"/>
          <w:szCs w:val="20"/>
          <w:lang w:val="en-GB"/>
        </w:rPr>
        <w:t xml:space="preserve"> rates for loans under HBOR loan programmes excluding the liquidity reserve.</w:t>
      </w:r>
    </w:p>
    <w:p w14:paraId="14D40A25" w14:textId="77777777" w:rsidR="00587444" w:rsidRPr="00587444" w:rsidRDefault="00587444" w:rsidP="00587444">
      <w:pPr>
        <w:keepNext/>
        <w:suppressAutoHyphens w:val="0"/>
        <w:autoSpaceDN/>
        <w:jc w:val="both"/>
        <w:rPr>
          <w:rFonts w:ascii="Arial" w:hAnsi="Arial" w:cs="Arial"/>
          <w:sz w:val="20"/>
          <w:szCs w:val="20"/>
          <w:lang w:val="en-GB"/>
        </w:rPr>
      </w:pPr>
    </w:p>
    <w:p w14:paraId="2595E8C9"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Average interest rates reflect the ratio of interest income generated from the mentioned placements and average assets.</w:t>
      </w:r>
    </w:p>
    <w:p w14:paraId="03103B78" w14:textId="77777777" w:rsidR="00587444" w:rsidRPr="00587444" w:rsidRDefault="00587444" w:rsidP="00587444">
      <w:pPr>
        <w:keepNext/>
        <w:suppressAutoHyphens w:val="0"/>
        <w:autoSpaceDN/>
        <w:jc w:val="both"/>
        <w:rPr>
          <w:rFonts w:ascii="Arial" w:hAnsi="Arial" w:cs="Arial"/>
          <w:sz w:val="20"/>
          <w:szCs w:val="20"/>
          <w:lang w:val="en-GB"/>
        </w:rPr>
      </w:pPr>
    </w:p>
    <w:p w14:paraId="20C612E8" w14:textId="77777777"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sz w:val="20"/>
          <w:szCs w:val="20"/>
          <w:lang w:val="en-GB"/>
        </w:rPr>
        <w:t>Item “Other” refers to reverse repo agreements in the total amount of HRK 0 thousand (31 December 2021: HRK 8,239</w:t>
      </w:r>
      <w:r w:rsidRPr="00587444">
        <w:rPr>
          <w:rFonts w:ascii="Arial" w:hAnsi="Arial" w:cs="Arial"/>
          <w:bCs/>
          <w:sz w:val="20"/>
          <w:szCs w:val="20"/>
          <w:lang w:val="hr-HR"/>
        </w:rPr>
        <w:t xml:space="preserve"> </w:t>
      </w:r>
      <w:r w:rsidRPr="00587444">
        <w:rPr>
          <w:rFonts w:ascii="Arial" w:hAnsi="Arial" w:cs="Arial"/>
          <w:sz w:val="20"/>
          <w:szCs w:val="20"/>
          <w:lang w:val="en-GB"/>
        </w:rPr>
        <w:t>thousand). The above placements are collateralized by securities in the amount of HRK 0 thousand (31 December 2021: HRK</w:t>
      </w:r>
      <w:r w:rsidRPr="00587444">
        <w:rPr>
          <w:rFonts w:ascii="Arial" w:hAnsi="Arial" w:cs="Arial"/>
          <w:bCs/>
          <w:sz w:val="20"/>
          <w:szCs w:val="20"/>
          <w:lang w:val="en-GB"/>
        </w:rPr>
        <w:t xml:space="preserve"> </w:t>
      </w:r>
      <w:r w:rsidRPr="00587444">
        <w:rPr>
          <w:rFonts w:ascii="Arial" w:hAnsi="Arial" w:cs="Arial"/>
          <w:sz w:val="20"/>
          <w:szCs w:val="20"/>
          <w:lang w:val="en-GB"/>
        </w:rPr>
        <w:t>8,660</w:t>
      </w:r>
      <w:r w:rsidRPr="00587444">
        <w:rPr>
          <w:rFonts w:ascii="Arial" w:hAnsi="Arial" w:cs="Arial"/>
          <w:bCs/>
          <w:sz w:val="20"/>
          <w:szCs w:val="20"/>
          <w:lang w:val="en-GB"/>
        </w:rPr>
        <w:t xml:space="preserve"> thousand).</w:t>
      </w:r>
    </w:p>
    <w:p w14:paraId="69D01D7B" w14:textId="77777777" w:rsidR="00587444" w:rsidRPr="00587444" w:rsidRDefault="00587444" w:rsidP="00587444">
      <w:pPr>
        <w:keepNext/>
        <w:suppressAutoHyphens w:val="0"/>
        <w:autoSpaceDN/>
        <w:jc w:val="both"/>
        <w:rPr>
          <w:rFonts w:ascii="Arial" w:hAnsi="Arial" w:cs="Arial"/>
          <w:bCs/>
          <w:sz w:val="20"/>
          <w:szCs w:val="20"/>
          <w:lang w:val="en-GB"/>
        </w:rPr>
      </w:pPr>
    </w:p>
    <w:p w14:paraId="7007E84C" w14:textId="77777777" w:rsidR="00587444" w:rsidRPr="00587444" w:rsidRDefault="00587444" w:rsidP="00587444">
      <w:pPr>
        <w:keepNext/>
        <w:suppressAutoHyphens w:val="0"/>
        <w:autoSpaceDN/>
        <w:jc w:val="both"/>
        <w:rPr>
          <w:rFonts w:ascii="Arial" w:hAnsi="Arial" w:cs="Arial"/>
          <w:bCs/>
          <w:sz w:val="20"/>
          <w:szCs w:val="20"/>
          <w:lang w:val="en-GB"/>
        </w:rPr>
      </w:pPr>
    </w:p>
    <w:p w14:paraId="7A67AC09" w14:textId="77777777" w:rsidR="00587444" w:rsidRPr="00587444" w:rsidRDefault="00587444" w:rsidP="00587444">
      <w:pPr>
        <w:keepNext/>
        <w:suppressAutoHyphens w:val="0"/>
        <w:autoSpaceDN/>
        <w:jc w:val="both"/>
        <w:rPr>
          <w:rFonts w:ascii="Arial" w:hAnsi="Arial" w:cs="Arial"/>
          <w:b/>
          <w:bCs/>
          <w:sz w:val="20"/>
          <w:szCs w:val="20"/>
          <w:highlight w:val="yellow"/>
          <w:lang w:val="hr-HR"/>
        </w:rPr>
        <w:sectPr w:rsidR="00587444" w:rsidRPr="00587444" w:rsidSect="00DD69E7">
          <w:pgSz w:w="11907" w:h="16840" w:code="9"/>
          <w:pgMar w:top="1418" w:right="1134" w:bottom="1134" w:left="1418" w:header="851" w:footer="851" w:gutter="0"/>
          <w:cols w:space="720"/>
          <w:noEndnote/>
        </w:sectPr>
      </w:pPr>
    </w:p>
    <w:p w14:paraId="763FBBF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061C00A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15.</w:t>
      </w:r>
      <w:r w:rsidRPr="00587444">
        <w:rPr>
          <w:rFonts w:ascii="Arial" w:hAnsi="Arial" w:cs="Arial"/>
          <w:b/>
          <w:bCs/>
          <w:sz w:val="20"/>
          <w:szCs w:val="20"/>
          <w:lang w:val="en-GB"/>
        </w:rPr>
        <w:tab/>
        <w:t xml:space="preserve">Loans to other customers </w:t>
      </w:r>
    </w:p>
    <w:p w14:paraId="7B52BAF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FDCB3C9" w14:textId="77777777" w:rsidR="00587444" w:rsidRPr="00587444" w:rsidRDefault="00587444" w:rsidP="00587444">
      <w:pPr>
        <w:keepNext/>
        <w:tabs>
          <w:tab w:val="left" w:pos="567"/>
        </w:tabs>
        <w:suppressAutoHyphens w:val="0"/>
        <w:autoSpaceDN/>
        <w:jc w:val="both"/>
        <w:rPr>
          <w:rFonts w:ascii="Arial" w:hAnsi="Arial" w:cs="Arial"/>
          <w:bCs/>
          <w:sz w:val="20"/>
          <w:szCs w:val="20"/>
          <w:lang w:val="en-GB"/>
        </w:rPr>
      </w:pPr>
      <w:bookmarkStart w:id="655" w:name="_Hlk3202346"/>
      <w:r w:rsidRPr="00587444">
        <w:rPr>
          <w:rFonts w:ascii="Arial" w:hAnsi="Arial" w:cs="Arial"/>
          <w:bCs/>
          <w:sz w:val="20"/>
          <w:szCs w:val="20"/>
          <w:lang w:val="en-GB"/>
        </w:rPr>
        <w:t>Loans to other customers, impaired for loss allowances, may be summarized by sectors as follows:</w:t>
      </w:r>
    </w:p>
    <w:bookmarkEnd w:id="655"/>
    <w:p w14:paraId="40E9F645" w14:textId="77777777" w:rsidR="00587444" w:rsidRPr="00587444" w:rsidRDefault="00587444" w:rsidP="00587444">
      <w:pPr>
        <w:keepNext/>
        <w:suppressAutoHyphens w:val="0"/>
        <w:autoSpaceDN/>
        <w:jc w:val="both"/>
        <w:rPr>
          <w:rFonts w:ascii="Arial" w:hAnsi="Arial" w:cs="Arial"/>
          <w:sz w:val="20"/>
          <w:szCs w:val="20"/>
          <w:lang w:val="en-GB"/>
        </w:rPr>
      </w:pPr>
    </w:p>
    <w:tbl>
      <w:tblPr>
        <w:tblW w:w="4619" w:type="pct"/>
        <w:tblInd w:w="426" w:type="dxa"/>
        <w:tblLayout w:type="fixed"/>
        <w:tblCellMar>
          <w:left w:w="119" w:type="dxa"/>
          <w:right w:w="119" w:type="dxa"/>
        </w:tblCellMar>
        <w:tblLook w:val="0000" w:firstRow="0" w:lastRow="0" w:firstColumn="0" w:lastColumn="0" w:noHBand="0" w:noVBand="0"/>
      </w:tblPr>
      <w:tblGrid>
        <w:gridCol w:w="5544"/>
        <w:gridCol w:w="1659"/>
        <w:gridCol w:w="1659"/>
      </w:tblGrid>
      <w:tr w:rsidR="00587444" w:rsidRPr="00587444" w14:paraId="76CF00F1" w14:textId="77777777" w:rsidTr="00DD69E7">
        <w:trPr>
          <w:trHeight w:val="347"/>
        </w:trPr>
        <w:tc>
          <w:tcPr>
            <w:tcW w:w="3128" w:type="pct"/>
          </w:tcPr>
          <w:p w14:paraId="6A997D25" w14:textId="77777777" w:rsidR="00587444" w:rsidRPr="00587444" w:rsidRDefault="00587444" w:rsidP="00587444">
            <w:pPr>
              <w:tabs>
                <w:tab w:val="left" w:pos="-720"/>
              </w:tabs>
              <w:autoSpaceDN/>
              <w:rPr>
                <w:rFonts w:ascii="Arial" w:hAnsi="Arial" w:cs="Arial"/>
                <w:spacing w:val="-2"/>
                <w:sz w:val="20"/>
                <w:szCs w:val="20"/>
                <w:lang w:val="en-GB"/>
              </w:rPr>
            </w:pPr>
          </w:p>
        </w:tc>
        <w:tc>
          <w:tcPr>
            <w:tcW w:w="1872" w:type="pct"/>
            <w:gridSpan w:val="2"/>
          </w:tcPr>
          <w:p w14:paraId="1D62EA9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656" w:name="_Toc4058568"/>
            <w:r w:rsidRPr="00587444">
              <w:rPr>
                <w:rFonts w:ascii="Arial" w:hAnsi="Arial" w:cs="Arial"/>
                <w:b/>
                <w:sz w:val="20"/>
                <w:szCs w:val="20"/>
                <w:lang w:val="hr-HR"/>
              </w:rPr>
              <w:t>Group and Bank</w:t>
            </w:r>
            <w:bookmarkEnd w:id="656"/>
          </w:p>
        </w:tc>
      </w:tr>
      <w:tr w:rsidR="00587444" w:rsidRPr="00587444" w14:paraId="7389E20E" w14:textId="77777777" w:rsidTr="00DD69E7">
        <w:trPr>
          <w:trHeight w:val="347"/>
        </w:trPr>
        <w:tc>
          <w:tcPr>
            <w:tcW w:w="3128" w:type="pct"/>
          </w:tcPr>
          <w:p w14:paraId="7E640613" w14:textId="77777777" w:rsidR="00587444" w:rsidRPr="00587444" w:rsidRDefault="00587444" w:rsidP="00587444">
            <w:pPr>
              <w:tabs>
                <w:tab w:val="left" w:pos="-720"/>
              </w:tabs>
              <w:autoSpaceDN/>
              <w:rPr>
                <w:rFonts w:ascii="Arial" w:hAnsi="Arial" w:cs="Arial"/>
                <w:spacing w:val="-2"/>
                <w:sz w:val="20"/>
                <w:szCs w:val="20"/>
                <w:lang w:val="en-GB"/>
              </w:rPr>
            </w:pPr>
          </w:p>
        </w:tc>
        <w:tc>
          <w:tcPr>
            <w:tcW w:w="936" w:type="pct"/>
            <w:shd w:val="clear" w:color="auto" w:fill="auto"/>
            <w:vAlign w:val="center"/>
          </w:tcPr>
          <w:p w14:paraId="5E49EFB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657" w:name="_Toc4058569"/>
            <w:r w:rsidRPr="00587444">
              <w:rPr>
                <w:rFonts w:ascii="Arial" w:hAnsi="Arial" w:cs="Arial"/>
                <w:b/>
                <w:sz w:val="20"/>
                <w:szCs w:val="20"/>
                <w:lang w:val="hr-HR"/>
              </w:rPr>
              <w:t xml:space="preserve">31 December </w:t>
            </w:r>
            <w:bookmarkEnd w:id="657"/>
            <w:r w:rsidRPr="00587444">
              <w:rPr>
                <w:rFonts w:ascii="Arial" w:hAnsi="Arial" w:cs="Arial"/>
                <w:b/>
                <w:sz w:val="20"/>
                <w:szCs w:val="20"/>
                <w:lang w:val="hr-HR"/>
              </w:rPr>
              <w:t>2022</w:t>
            </w:r>
          </w:p>
        </w:tc>
        <w:tc>
          <w:tcPr>
            <w:tcW w:w="936" w:type="pct"/>
            <w:shd w:val="clear" w:color="auto" w:fill="auto"/>
            <w:vAlign w:val="center"/>
          </w:tcPr>
          <w:p w14:paraId="557E90E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658" w:name="_Toc4058570"/>
            <w:r w:rsidRPr="00587444">
              <w:rPr>
                <w:rFonts w:ascii="Arial" w:hAnsi="Arial" w:cs="Arial"/>
                <w:b/>
                <w:sz w:val="20"/>
                <w:szCs w:val="20"/>
                <w:lang w:val="hr-HR"/>
              </w:rPr>
              <w:t xml:space="preserve">31 December </w:t>
            </w:r>
            <w:bookmarkEnd w:id="658"/>
            <w:r w:rsidRPr="00587444">
              <w:rPr>
                <w:rFonts w:ascii="Arial" w:hAnsi="Arial" w:cs="Arial"/>
                <w:b/>
                <w:sz w:val="20"/>
                <w:szCs w:val="20"/>
                <w:lang w:val="hr-HR"/>
              </w:rPr>
              <w:t>2021</w:t>
            </w:r>
          </w:p>
        </w:tc>
      </w:tr>
      <w:tr w:rsidR="00587444" w:rsidRPr="00587444" w14:paraId="713D267C" w14:textId="77777777" w:rsidTr="00DD69E7">
        <w:trPr>
          <w:trHeight w:val="347"/>
        </w:trPr>
        <w:tc>
          <w:tcPr>
            <w:tcW w:w="3128" w:type="pct"/>
          </w:tcPr>
          <w:p w14:paraId="0BB221C2" w14:textId="77777777" w:rsidR="00587444" w:rsidRPr="00587444" w:rsidRDefault="00587444" w:rsidP="00587444">
            <w:pPr>
              <w:tabs>
                <w:tab w:val="left" w:pos="-720"/>
              </w:tabs>
              <w:autoSpaceDN/>
              <w:rPr>
                <w:rFonts w:ascii="Arial" w:hAnsi="Arial" w:cs="Arial"/>
                <w:spacing w:val="-2"/>
                <w:sz w:val="20"/>
                <w:szCs w:val="20"/>
                <w:lang w:val="en-GB"/>
              </w:rPr>
            </w:pPr>
          </w:p>
        </w:tc>
        <w:tc>
          <w:tcPr>
            <w:tcW w:w="936" w:type="pct"/>
          </w:tcPr>
          <w:p w14:paraId="4BC5CDE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59" w:name="_Toc4058571"/>
            <w:r w:rsidRPr="00587444">
              <w:rPr>
                <w:rFonts w:ascii="Arial" w:hAnsi="Arial" w:cs="Arial"/>
                <w:b/>
                <w:sz w:val="20"/>
                <w:szCs w:val="20"/>
                <w:lang w:val="en-GB"/>
              </w:rPr>
              <w:t>HRK ‘000</w:t>
            </w:r>
            <w:bookmarkEnd w:id="659"/>
          </w:p>
        </w:tc>
        <w:tc>
          <w:tcPr>
            <w:tcW w:w="936" w:type="pct"/>
          </w:tcPr>
          <w:p w14:paraId="7E78896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60" w:name="_Toc4058572"/>
            <w:r w:rsidRPr="00587444">
              <w:rPr>
                <w:rFonts w:ascii="Arial" w:hAnsi="Arial" w:cs="Arial"/>
                <w:b/>
                <w:sz w:val="20"/>
                <w:szCs w:val="20"/>
                <w:lang w:val="en-GB"/>
              </w:rPr>
              <w:t>HRK ‘000</w:t>
            </w:r>
            <w:bookmarkEnd w:id="660"/>
          </w:p>
        </w:tc>
      </w:tr>
      <w:tr w:rsidR="00587444" w:rsidRPr="00587444" w14:paraId="1CB5A2B8" w14:textId="77777777" w:rsidTr="00DD69E7">
        <w:trPr>
          <w:trHeight w:hRule="exact" w:val="159"/>
        </w:trPr>
        <w:tc>
          <w:tcPr>
            <w:tcW w:w="3128" w:type="pct"/>
          </w:tcPr>
          <w:p w14:paraId="51FA680B" w14:textId="77777777" w:rsidR="00587444" w:rsidRPr="00587444" w:rsidRDefault="00587444" w:rsidP="00587444">
            <w:pPr>
              <w:tabs>
                <w:tab w:val="left" w:pos="-720"/>
              </w:tabs>
              <w:autoSpaceDN/>
              <w:rPr>
                <w:rFonts w:ascii="Arial" w:hAnsi="Arial" w:cs="Arial"/>
                <w:spacing w:val="-2"/>
                <w:sz w:val="20"/>
                <w:szCs w:val="20"/>
                <w:lang w:val="en-GB"/>
              </w:rPr>
            </w:pPr>
          </w:p>
        </w:tc>
        <w:tc>
          <w:tcPr>
            <w:tcW w:w="936" w:type="pct"/>
            <w:vAlign w:val="bottom"/>
          </w:tcPr>
          <w:p w14:paraId="0E7657B9" w14:textId="77777777" w:rsidR="00587444" w:rsidRPr="00587444" w:rsidRDefault="00587444" w:rsidP="00587444">
            <w:pPr>
              <w:tabs>
                <w:tab w:val="left" w:pos="-720"/>
              </w:tabs>
              <w:autoSpaceDN/>
              <w:jc w:val="right"/>
              <w:rPr>
                <w:rFonts w:ascii="Arial" w:hAnsi="Arial" w:cs="Arial"/>
                <w:b/>
                <w:spacing w:val="-2"/>
                <w:sz w:val="20"/>
                <w:szCs w:val="20"/>
                <w:lang w:val="en-GB"/>
              </w:rPr>
            </w:pPr>
          </w:p>
        </w:tc>
        <w:tc>
          <w:tcPr>
            <w:tcW w:w="936" w:type="pct"/>
            <w:vAlign w:val="bottom"/>
          </w:tcPr>
          <w:p w14:paraId="6D1012FF" w14:textId="77777777" w:rsidR="00587444" w:rsidRPr="00587444" w:rsidRDefault="00587444" w:rsidP="00587444">
            <w:pPr>
              <w:tabs>
                <w:tab w:val="left" w:pos="-720"/>
              </w:tabs>
              <w:autoSpaceDN/>
              <w:jc w:val="right"/>
              <w:rPr>
                <w:rFonts w:ascii="Arial" w:hAnsi="Arial" w:cs="Arial"/>
                <w:b/>
                <w:spacing w:val="-2"/>
                <w:sz w:val="20"/>
                <w:szCs w:val="20"/>
                <w:lang w:val="en-GB"/>
              </w:rPr>
            </w:pPr>
          </w:p>
        </w:tc>
      </w:tr>
      <w:tr w:rsidR="00587444" w:rsidRPr="00587444" w14:paraId="7A675D2A" w14:textId="77777777" w:rsidTr="00DD69E7">
        <w:trPr>
          <w:trHeight w:hRule="exact" w:val="363"/>
        </w:trPr>
        <w:tc>
          <w:tcPr>
            <w:tcW w:w="3128" w:type="pct"/>
            <w:vAlign w:val="bottom"/>
          </w:tcPr>
          <w:p w14:paraId="7F303DD6"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61" w:name="_Toc4058573"/>
            <w:r w:rsidRPr="00587444">
              <w:rPr>
                <w:rFonts w:ascii="Arial" w:hAnsi="Arial" w:cs="Arial"/>
                <w:sz w:val="20"/>
                <w:szCs w:val="20"/>
                <w:lang w:val="en-GB"/>
              </w:rPr>
              <w:t>Domestic companies</w:t>
            </w:r>
            <w:bookmarkEnd w:id="661"/>
          </w:p>
        </w:tc>
        <w:tc>
          <w:tcPr>
            <w:tcW w:w="936" w:type="pct"/>
            <w:tcBorders>
              <w:top w:val="nil"/>
              <w:left w:val="nil"/>
              <w:bottom w:val="nil"/>
              <w:right w:val="nil"/>
            </w:tcBorders>
            <w:shd w:val="clear" w:color="auto" w:fill="auto"/>
            <w:vAlign w:val="bottom"/>
          </w:tcPr>
          <w:p w14:paraId="78C1488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sz w:val="20"/>
                <w:szCs w:val="20"/>
              </w:rPr>
              <w:t xml:space="preserve"> 12,524,118 </w:t>
            </w:r>
          </w:p>
        </w:tc>
        <w:tc>
          <w:tcPr>
            <w:tcW w:w="936" w:type="pct"/>
            <w:tcBorders>
              <w:top w:val="nil"/>
              <w:left w:val="nil"/>
              <w:bottom w:val="nil"/>
              <w:right w:val="nil"/>
            </w:tcBorders>
            <w:shd w:val="clear" w:color="auto" w:fill="auto"/>
            <w:vAlign w:val="bottom"/>
          </w:tcPr>
          <w:p w14:paraId="2A07702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sz w:val="20"/>
                <w:szCs w:val="20"/>
              </w:rPr>
              <w:t>11,570,002</w:t>
            </w:r>
          </w:p>
        </w:tc>
      </w:tr>
      <w:tr w:rsidR="00587444" w:rsidRPr="00587444" w14:paraId="5729F0FC" w14:textId="77777777" w:rsidTr="00DD69E7">
        <w:trPr>
          <w:trHeight w:hRule="exact" w:val="363"/>
        </w:trPr>
        <w:tc>
          <w:tcPr>
            <w:tcW w:w="3128" w:type="pct"/>
            <w:vAlign w:val="bottom"/>
          </w:tcPr>
          <w:p w14:paraId="6A6E06E5"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62" w:name="_Toc4058576"/>
            <w:r w:rsidRPr="00587444">
              <w:rPr>
                <w:rFonts w:ascii="Arial" w:hAnsi="Arial" w:cs="Arial"/>
                <w:sz w:val="20"/>
                <w:szCs w:val="20"/>
                <w:lang w:val="en-GB"/>
              </w:rPr>
              <w:t>State-owned companies</w:t>
            </w:r>
            <w:bookmarkEnd w:id="662"/>
          </w:p>
        </w:tc>
        <w:tc>
          <w:tcPr>
            <w:tcW w:w="936" w:type="pct"/>
            <w:tcBorders>
              <w:top w:val="nil"/>
              <w:left w:val="nil"/>
              <w:bottom w:val="nil"/>
              <w:right w:val="nil"/>
            </w:tcBorders>
            <w:shd w:val="clear" w:color="auto" w:fill="auto"/>
            <w:vAlign w:val="bottom"/>
          </w:tcPr>
          <w:p w14:paraId="1A0B7C1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sz w:val="20"/>
                <w:szCs w:val="20"/>
              </w:rPr>
              <w:t xml:space="preserve"> 1,575,527 </w:t>
            </w:r>
          </w:p>
        </w:tc>
        <w:tc>
          <w:tcPr>
            <w:tcW w:w="936" w:type="pct"/>
            <w:tcBorders>
              <w:top w:val="nil"/>
              <w:left w:val="nil"/>
              <w:bottom w:val="nil"/>
              <w:right w:val="nil"/>
            </w:tcBorders>
            <w:shd w:val="clear" w:color="auto" w:fill="auto"/>
            <w:vAlign w:val="bottom"/>
          </w:tcPr>
          <w:p w14:paraId="45A49D0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sz w:val="20"/>
                <w:szCs w:val="20"/>
              </w:rPr>
              <w:t>917,403</w:t>
            </w:r>
          </w:p>
        </w:tc>
      </w:tr>
      <w:tr w:rsidR="00587444" w:rsidRPr="00587444" w14:paraId="125F6243" w14:textId="77777777" w:rsidTr="00DD69E7">
        <w:trPr>
          <w:trHeight w:hRule="exact" w:val="363"/>
        </w:trPr>
        <w:tc>
          <w:tcPr>
            <w:tcW w:w="3128" w:type="pct"/>
            <w:vAlign w:val="bottom"/>
          </w:tcPr>
          <w:p w14:paraId="7F0ED7A6"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63" w:name="_Toc4058579"/>
            <w:r w:rsidRPr="00587444">
              <w:rPr>
                <w:rFonts w:ascii="Arial" w:hAnsi="Arial" w:cs="Arial"/>
                <w:sz w:val="20"/>
                <w:szCs w:val="20"/>
                <w:lang w:val="en-GB"/>
              </w:rPr>
              <w:t>Public sector</w:t>
            </w:r>
            <w:bookmarkEnd w:id="663"/>
          </w:p>
        </w:tc>
        <w:tc>
          <w:tcPr>
            <w:tcW w:w="936" w:type="pct"/>
            <w:tcBorders>
              <w:top w:val="nil"/>
              <w:left w:val="nil"/>
              <w:bottom w:val="nil"/>
              <w:right w:val="nil"/>
            </w:tcBorders>
            <w:shd w:val="clear" w:color="auto" w:fill="auto"/>
            <w:vAlign w:val="bottom"/>
          </w:tcPr>
          <w:p w14:paraId="7773EEE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sz w:val="20"/>
                <w:szCs w:val="20"/>
              </w:rPr>
              <w:t xml:space="preserve"> 5,940,309 </w:t>
            </w:r>
          </w:p>
        </w:tc>
        <w:tc>
          <w:tcPr>
            <w:tcW w:w="936" w:type="pct"/>
            <w:tcBorders>
              <w:top w:val="nil"/>
              <w:left w:val="nil"/>
              <w:bottom w:val="nil"/>
              <w:right w:val="nil"/>
            </w:tcBorders>
            <w:shd w:val="clear" w:color="auto" w:fill="auto"/>
            <w:vAlign w:val="bottom"/>
          </w:tcPr>
          <w:p w14:paraId="35A191B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sz w:val="20"/>
                <w:szCs w:val="20"/>
              </w:rPr>
              <w:t>5,545,114</w:t>
            </w:r>
          </w:p>
        </w:tc>
      </w:tr>
      <w:tr w:rsidR="00587444" w:rsidRPr="00587444" w14:paraId="5E761823" w14:textId="77777777" w:rsidTr="00DD69E7">
        <w:trPr>
          <w:trHeight w:hRule="exact" w:val="363"/>
        </w:trPr>
        <w:tc>
          <w:tcPr>
            <w:tcW w:w="3128" w:type="pct"/>
            <w:vAlign w:val="bottom"/>
          </w:tcPr>
          <w:p w14:paraId="70495CD5"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64" w:name="_Toc4058582"/>
            <w:r w:rsidRPr="00587444">
              <w:rPr>
                <w:rFonts w:ascii="Arial" w:hAnsi="Arial" w:cs="Arial"/>
                <w:sz w:val="20"/>
                <w:szCs w:val="20"/>
                <w:lang w:val="en-GB"/>
              </w:rPr>
              <w:t>Foreign companies</w:t>
            </w:r>
            <w:bookmarkEnd w:id="664"/>
          </w:p>
        </w:tc>
        <w:tc>
          <w:tcPr>
            <w:tcW w:w="936" w:type="pct"/>
            <w:tcBorders>
              <w:top w:val="nil"/>
              <w:left w:val="nil"/>
              <w:bottom w:val="nil"/>
              <w:right w:val="nil"/>
            </w:tcBorders>
            <w:shd w:val="clear" w:color="auto" w:fill="auto"/>
            <w:vAlign w:val="bottom"/>
          </w:tcPr>
          <w:p w14:paraId="497B55E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sz w:val="20"/>
                <w:szCs w:val="20"/>
              </w:rPr>
              <w:t xml:space="preserve"> 96,453 </w:t>
            </w:r>
          </w:p>
        </w:tc>
        <w:tc>
          <w:tcPr>
            <w:tcW w:w="936" w:type="pct"/>
            <w:tcBorders>
              <w:top w:val="nil"/>
              <w:left w:val="nil"/>
              <w:bottom w:val="nil"/>
              <w:right w:val="nil"/>
            </w:tcBorders>
            <w:shd w:val="clear" w:color="auto" w:fill="auto"/>
            <w:vAlign w:val="bottom"/>
          </w:tcPr>
          <w:p w14:paraId="1B9C83B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sz w:val="20"/>
                <w:szCs w:val="20"/>
              </w:rPr>
              <w:t>377,281</w:t>
            </w:r>
          </w:p>
        </w:tc>
      </w:tr>
      <w:tr w:rsidR="00587444" w:rsidRPr="00587444" w14:paraId="0114250D" w14:textId="77777777" w:rsidTr="00DD69E7">
        <w:trPr>
          <w:trHeight w:hRule="exact" w:val="363"/>
        </w:trPr>
        <w:tc>
          <w:tcPr>
            <w:tcW w:w="3128" w:type="pct"/>
            <w:vAlign w:val="bottom"/>
          </w:tcPr>
          <w:p w14:paraId="7388DEF0"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65" w:name="_Toc4058588"/>
            <w:r w:rsidRPr="00587444">
              <w:rPr>
                <w:rFonts w:ascii="Arial" w:hAnsi="Arial" w:cs="Arial"/>
                <w:sz w:val="20"/>
                <w:szCs w:val="20"/>
                <w:lang w:val="en-GB"/>
              </w:rPr>
              <w:t>Other</w:t>
            </w:r>
            <w:bookmarkEnd w:id="665"/>
          </w:p>
        </w:tc>
        <w:tc>
          <w:tcPr>
            <w:tcW w:w="936" w:type="pct"/>
            <w:tcBorders>
              <w:top w:val="nil"/>
              <w:left w:val="nil"/>
              <w:bottom w:val="nil"/>
              <w:right w:val="nil"/>
            </w:tcBorders>
            <w:shd w:val="clear" w:color="auto" w:fill="auto"/>
            <w:vAlign w:val="bottom"/>
          </w:tcPr>
          <w:p w14:paraId="64DD906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sz w:val="20"/>
                <w:szCs w:val="20"/>
              </w:rPr>
              <w:t xml:space="preserve"> 469,801 </w:t>
            </w:r>
          </w:p>
        </w:tc>
        <w:tc>
          <w:tcPr>
            <w:tcW w:w="936" w:type="pct"/>
            <w:tcBorders>
              <w:top w:val="nil"/>
              <w:left w:val="nil"/>
              <w:bottom w:val="nil"/>
              <w:right w:val="nil"/>
            </w:tcBorders>
            <w:shd w:val="clear" w:color="auto" w:fill="auto"/>
            <w:vAlign w:val="bottom"/>
          </w:tcPr>
          <w:p w14:paraId="22FA8D8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sz w:val="20"/>
                <w:szCs w:val="20"/>
              </w:rPr>
              <w:t>498,027</w:t>
            </w:r>
          </w:p>
        </w:tc>
      </w:tr>
      <w:tr w:rsidR="00587444" w:rsidRPr="00587444" w14:paraId="6FCDFE42" w14:textId="77777777" w:rsidTr="00DD69E7">
        <w:trPr>
          <w:trHeight w:hRule="exact" w:val="363"/>
        </w:trPr>
        <w:tc>
          <w:tcPr>
            <w:tcW w:w="3128" w:type="pct"/>
            <w:vAlign w:val="bottom"/>
          </w:tcPr>
          <w:p w14:paraId="7CDE0F41"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66" w:name="_Toc4058591"/>
            <w:r w:rsidRPr="00587444">
              <w:rPr>
                <w:rFonts w:ascii="Arial" w:hAnsi="Arial" w:cs="Arial"/>
                <w:sz w:val="20"/>
                <w:szCs w:val="20"/>
                <w:lang w:val="en-GB"/>
              </w:rPr>
              <w:t>Accrued interest</w:t>
            </w:r>
            <w:bookmarkEnd w:id="666"/>
            <w:r w:rsidRPr="00587444">
              <w:rPr>
                <w:rFonts w:ascii="Arial" w:hAnsi="Arial" w:cs="Arial"/>
                <w:sz w:val="20"/>
                <w:szCs w:val="20"/>
                <w:lang w:val="en-GB"/>
              </w:rPr>
              <w:t xml:space="preserve"> </w:t>
            </w:r>
          </w:p>
        </w:tc>
        <w:tc>
          <w:tcPr>
            <w:tcW w:w="936" w:type="pct"/>
            <w:tcBorders>
              <w:top w:val="nil"/>
              <w:left w:val="nil"/>
              <w:bottom w:val="nil"/>
              <w:right w:val="nil"/>
            </w:tcBorders>
            <w:shd w:val="clear" w:color="auto" w:fill="auto"/>
            <w:vAlign w:val="bottom"/>
          </w:tcPr>
          <w:p w14:paraId="6DFC1EE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sz w:val="20"/>
                <w:szCs w:val="20"/>
              </w:rPr>
              <w:t xml:space="preserve"> 326,389 </w:t>
            </w:r>
          </w:p>
        </w:tc>
        <w:tc>
          <w:tcPr>
            <w:tcW w:w="936" w:type="pct"/>
            <w:tcBorders>
              <w:top w:val="nil"/>
              <w:left w:val="nil"/>
              <w:bottom w:val="nil"/>
              <w:right w:val="nil"/>
            </w:tcBorders>
            <w:shd w:val="clear" w:color="auto" w:fill="auto"/>
            <w:vAlign w:val="bottom"/>
          </w:tcPr>
          <w:p w14:paraId="7C3A9E0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sz w:val="20"/>
                <w:szCs w:val="20"/>
              </w:rPr>
              <w:t>393,345</w:t>
            </w:r>
          </w:p>
        </w:tc>
      </w:tr>
      <w:tr w:rsidR="00587444" w:rsidRPr="00587444" w14:paraId="570B08CB" w14:textId="77777777" w:rsidTr="00DD69E7">
        <w:trPr>
          <w:trHeight w:hRule="exact" w:val="363"/>
        </w:trPr>
        <w:tc>
          <w:tcPr>
            <w:tcW w:w="3128" w:type="pct"/>
            <w:vAlign w:val="bottom"/>
          </w:tcPr>
          <w:p w14:paraId="4CA02A54"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67" w:name="_Toc4058594"/>
            <w:r w:rsidRPr="00587444">
              <w:rPr>
                <w:rFonts w:ascii="Arial" w:hAnsi="Arial" w:cs="Arial"/>
                <w:sz w:val="20"/>
                <w:szCs w:val="20"/>
                <w:lang w:val="en-GB"/>
              </w:rPr>
              <w:t>Deferred recognition of loan origination fees</w:t>
            </w:r>
            <w:bookmarkEnd w:id="667"/>
          </w:p>
        </w:tc>
        <w:tc>
          <w:tcPr>
            <w:tcW w:w="936" w:type="pct"/>
            <w:tcBorders>
              <w:top w:val="nil"/>
              <w:left w:val="nil"/>
              <w:right w:val="nil"/>
            </w:tcBorders>
            <w:shd w:val="clear" w:color="auto" w:fill="auto"/>
            <w:vAlign w:val="bottom"/>
          </w:tcPr>
          <w:p w14:paraId="3784B83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sz w:val="20"/>
                <w:szCs w:val="20"/>
              </w:rPr>
              <w:t xml:space="preserve"> (74,906)</w:t>
            </w:r>
          </w:p>
        </w:tc>
        <w:tc>
          <w:tcPr>
            <w:tcW w:w="936" w:type="pct"/>
            <w:tcBorders>
              <w:top w:val="nil"/>
              <w:left w:val="nil"/>
              <w:right w:val="nil"/>
            </w:tcBorders>
            <w:shd w:val="clear" w:color="auto" w:fill="auto"/>
            <w:vAlign w:val="bottom"/>
          </w:tcPr>
          <w:p w14:paraId="799B54A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sz w:val="20"/>
                <w:szCs w:val="20"/>
              </w:rPr>
              <w:t>(80,880)</w:t>
            </w:r>
          </w:p>
        </w:tc>
      </w:tr>
      <w:tr w:rsidR="00587444" w:rsidRPr="00587444" w14:paraId="19983F63" w14:textId="77777777" w:rsidTr="00DD69E7">
        <w:trPr>
          <w:trHeight w:hRule="exact" w:val="315"/>
        </w:trPr>
        <w:tc>
          <w:tcPr>
            <w:tcW w:w="3128" w:type="pct"/>
            <w:vAlign w:val="bottom"/>
          </w:tcPr>
          <w:p w14:paraId="5D5D3F44" w14:textId="77777777" w:rsidR="00587444" w:rsidRPr="00587444" w:rsidRDefault="00587444" w:rsidP="00587444">
            <w:pPr>
              <w:tabs>
                <w:tab w:val="right" w:pos="1202"/>
              </w:tabs>
              <w:suppressAutoHyphens w:val="0"/>
              <w:autoSpaceDN/>
              <w:spacing w:line="340" w:lineRule="exact"/>
              <w:outlineLvl w:val="0"/>
              <w:rPr>
                <w:rFonts w:ascii="Arial" w:hAnsi="Arial" w:cs="Arial"/>
                <w:spacing w:val="-3"/>
                <w:sz w:val="20"/>
                <w:szCs w:val="20"/>
                <w:lang w:val="en-GB"/>
              </w:rPr>
            </w:pPr>
          </w:p>
        </w:tc>
        <w:tc>
          <w:tcPr>
            <w:tcW w:w="936" w:type="pct"/>
            <w:tcBorders>
              <w:top w:val="single" w:sz="4" w:space="0" w:color="auto"/>
              <w:bottom w:val="single" w:sz="4" w:space="0" w:color="auto"/>
            </w:tcBorders>
            <w:vAlign w:val="bottom"/>
          </w:tcPr>
          <w:p w14:paraId="5D5106A4"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sz w:val="20"/>
                <w:szCs w:val="20"/>
                <w:lang w:val="hr-HR"/>
              </w:rPr>
            </w:pPr>
            <w:r w:rsidRPr="00587444">
              <w:rPr>
                <w:rFonts w:ascii="Arial" w:hAnsi="Arial" w:cs="Arial"/>
                <w:sz w:val="20"/>
                <w:szCs w:val="20"/>
              </w:rPr>
              <w:t>20,857,691</w:t>
            </w:r>
          </w:p>
        </w:tc>
        <w:tc>
          <w:tcPr>
            <w:tcW w:w="936" w:type="pct"/>
            <w:tcBorders>
              <w:top w:val="single" w:sz="4" w:space="0" w:color="auto"/>
              <w:bottom w:val="single" w:sz="4" w:space="0" w:color="auto"/>
            </w:tcBorders>
            <w:vAlign w:val="bottom"/>
          </w:tcPr>
          <w:p w14:paraId="0878B3D9"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sz w:val="20"/>
                <w:szCs w:val="20"/>
                <w:lang w:val="hr-HR"/>
              </w:rPr>
            </w:pPr>
            <w:r w:rsidRPr="00587444">
              <w:rPr>
                <w:rFonts w:ascii="Arial" w:hAnsi="Arial" w:cs="Arial"/>
                <w:sz w:val="20"/>
                <w:szCs w:val="20"/>
              </w:rPr>
              <w:t>19,220,292</w:t>
            </w:r>
          </w:p>
        </w:tc>
      </w:tr>
      <w:tr w:rsidR="00587444" w:rsidRPr="00587444" w14:paraId="4719AA10" w14:textId="77777777" w:rsidTr="00DD69E7">
        <w:trPr>
          <w:trHeight w:val="377"/>
        </w:trPr>
        <w:tc>
          <w:tcPr>
            <w:tcW w:w="3128" w:type="pct"/>
            <w:vAlign w:val="bottom"/>
          </w:tcPr>
          <w:p w14:paraId="00C46B3F"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68" w:name="_Toc4058599"/>
            <w:r w:rsidRPr="00587444">
              <w:rPr>
                <w:rFonts w:ascii="Arial" w:hAnsi="Arial" w:cs="Arial"/>
                <w:sz w:val="20"/>
                <w:szCs w:val="20"/>
                <w:lang w:val="en-GB"/>
              </w:rPr>
              <w:t>Loss allowances</w:t>
            </w:r>
            <w:bookmarkEnd w:id="668"/>
          </w:p>
        </w:tc>
        <w:tc>
          <w:tcPr>
            <w:tcW w:w="936" w:type="pct"/>
            <w:tcBorders>
              <w:top w:val="single" w:sz="4" w:space="0" w:color="auto"/>
              <w:bottom w:val="single" w:sz="4" w:space="0" w:color="auto"/>
            </w:tcBorders>
            <w:vAlign w:val="bottom"/>
          </w:tcPr>
          <w:p w14:paraId="0A52FEC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hr-HR"/>
              </w:rPr>
            </w:pPr>
            <w:r w:rsidRPr="00587444">
              <w:rPr>
                <w:rFonts w:ascii="Arial" w:hAnsi="Arial" w:cs="Arial"/>
                <w:sz w:val="20"/>
                <w:szCs w:val="20"/>
              </w:rPr>
              <w:t>(3,455,025)</w:t>
            </w:r>
          </w:p>
        </w:tc>
        <w:tc>
          <w:tcPr>
            <w:tcW w:w="936" w:type="pct"/>
            <w:tcBorders>
              <w:top w:val="single" w:sz="4" w:space="0" w:color="auto"/>
              <w:bottom w:val="single" w:sz="4" w:space="0" w:color="auto"/>
            </w:tcBorders>
            <w:vAlign w:val="bottom"/>
          </w:tcPr>
          <w:p w14:paraId="2D05805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hr-HR"/>
              </w:rPr>
            </w:pPr>
            <w:r w:rsidRPr="00587444">
              <w:rPr>
                <w:rFonts w:ascii="Arial" w:hAnsi="Arial" w:cs="Arial"/>
                <w:sz w:val="20"/>
                <w:szCs w:val="20"/>
              </w:rPr>
              <w:t>(3,255,916)</w:t>
            </w:r>
          </w:p>
        </w:tc>
      </w:tr>
      <w:tr w:rsidR="00587444" w:rsidRPr="00587444" w14:paraId="2C8438F8" w14:textId="77777777" w:rsidTr="00DD69E7">
        <w:trPr>
          <w:trHeight w:hRule="exact" w:val="430"/>
        </w:trPr>
        <w:tc>
          <w:tcPr>
            <w:tcW w:w="3128" w:type="pct"/>
            <w:vAlign w:val="bottom"/>
          </w:tcPr>
          <w:p w14:paraId="3E9E1432"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p>
          <w:p w14:paraId="5179A55E"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p>
        </w:tc>
        <w:tc>
          <w:tcPr>
            <w:tcW w:w="936" w:type="pct"/>
            <w:tcBorders>
              <w:top w:val="single" w:sz="4" w:space="0" w:color="auto"/>
              <w:bottom w:val="single" w:sz="12" w:space="0" w:color="auto"/>
            </w:tcBorders>
            <w:vAlign w:val="bottom"/>
          </w:tcPr>
          <w:p w14:paraId="42C9F3DF"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rPr>
              <w:t>17,402,666</w:t>
            </w:r>
          </w:p>
        </w:tc>
        <w:tc>
          <w:tcPr>
            <w:tcW w:w="936" w:type="pct"/>
            <w:tcBorders>
              <w:top w:val="single" w:sz="4" w:space="0" w:color="auto"/>
              <w:bottom w:val="single" w:sz="12" w:space="0" w:color="auto"/>
            </w:tcBorders>
            <w:vAlign w:val="bottom"/>
          </w:tcPr>
          <w:p w14:paraId="589D7AFE"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rPr>
              <w:t>15,964,376</w:t>
            </w:r>
          </w:p>
        </w:tc>
      </w:tr>
    </w:tbl>
    <w:p w14:paraId="678A3BA3"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p w14:paraId="3D1EC93C" w14:textId="77777777" w:rsidR="00587444" w:rsidRPr="00587444" w:rsidRDefault="00587444" w:rsidP="00880B90">
      <w:pPr>
        <w:tabs>
          <w:tab w:val="left" w:pos="-720"/>
          <w:tab w:val="left" w:pos="6765"/>
          <w:tab w:val="left" w:pos="8518"/>
        </w:tabs>
        <w:autoSpaceDN/>
        <w:rPr>
          <w:rFonts w:ascii="Arial" w:hAnsi="Arial" w:cs="Arial"/>
          <w:sz w:val="20"/>
          <w:szCs w:val="20"/>
          <w:lang w:val="en-GB"/>
        </w:rPr>
      </w:pPr>
    </w:p>
    <w:p w14:paraId="611AE7A6" w14:textId="77777777" w:rsidR="00587444" w:rsidRPr="00587444" w:rsidRDefault="00587444" w:rsidP="00880B90">
      <w:pPr>
        <w:keepNext/>
        <w:suppressAutoHyphens w:val="0"/>
        <w:autoSpaceDN/>
        <w:jc w:val="both"/>
        <w:rPr>
          <w:rFonts w:ascii="Arial" w:hAnsi="Arial" w:cs="Arial"/>
          <w:b/>
          <w:bCs/>
          <w:sz w:val="20"/>
          <w:szCs w:val="20"/>
          <w:lang w:val="pl-PL"/>
        </w:rPr>
      </w:pPr>
      <w:r w:rsidRPr="00587444">
        <w:rPr>
          <w:rFonts w:ascii="Arial" w:hAnsi="Arial" w:cs="Arial"/>
          <w:sz w:val="20"/>
          <w:szCs w:val="20"/>
          <w:lang w:val="en-GB"/>
        </w:rPr>
        <w:t>The following tables sets out information about the credit quality of financial assets measured at amortised cost. The amounts in the table represent gross carrying amounts:</w:t>
      </w:r>
    </w:p>
    <w:p w14:paraId="6035B7E0"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tbl>
      <w:tblPr>
        <w:tblW w:w="4757" w:type="pct"/>
        <w:tblInd w:w="284" w:type="dxa"/>
        <w:tblLayout w:type="fixed"/>
        <w:tblLook w:val="0000" w:firstRow="0" w:lastRow="0" w:firstColumn="0" w:lastColumn="0" w:noHBand="0" w:noVBand="0"/>
      </w:tblPr>
      <w:tblGrid>
        <w:gridCol w:w="2466"/>
        <w:gridCol w:w="1328"/>
        <w:gridCol w:w="1328"/>
        <w:gridCol w:w="1328"/>
        <w:gridCol w:w="1328"/>
        <w:gridCol w:w="1328"/>
      </w:tblGrid>
      <w:tr w:rsidR="00587444" w:rsidRPr="00587444" w14:paraId="21BADF7A" w14:textId="77777777" w:rsidTr="00890EEB">
        <w:trPr>
          <w:trHeight w:val="205"/>
        </w:trPr>
        <w:tc>
          <w:tcPr>
            <w:tcW w:w="1354" w:type="pct"/>
            <w:vAlign w:val="bottom"/>
          </w:tcPr>
          <w:p w14:paraId="07DBEDC9" w14:textId="77777777" w:rsidR="00587444" w:rsidRPr="00587444" w:rsidRDefault="00587444" w:rsidP="00587444">
            <w:pPr>
              <w:tabs>
                <w:tab w:val="left" w:pos="-720"/>
              </w:tabs>
              <w:autoSpaceDN/>
              <w:spacing w:line="220" w:lineRule="exact"/>
              <w:rPr>
                <w:rFonts w:ascii="Arial" w:hAnsi="Arial" w:cs="Arial"/>
                <w:b/>
                <w:sz w:val="18"/>
                <w:szCs w:val="18"/>
                <w:lang w:val="en-GB"/>
              </w:rPr>
            </w:pPr>
            <w:r w:rsidRPr="00587444">
              <w:rPr>
                <w:rFonts w:ascii="Arial" w:hAnsi="Arial" w:cs="Arial"/>
                <w:b/>
                <w:sz w:val="18"/>
                <w:szCs w:val="18"/>
                <w:lang w:val="en-GB"/>
              </w:rPr>
              <w:t>31 December 2022</w:t>
            </w:r>
          </w:p>
        </w:tc>
        <w:tc>
          <w:tcPr>
            <w:tcW w:w="729" w:type="pct"/>
            <w:vAlign w:val="bottom"/>
          </w:tcPr>
          <w:p w14:paraId="1B3DF09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hr-HR"/>
              </w:rPr>
            </w:pPr>
          </w:p>
        </w:tc>
        <w:tc>
          <w:tcPr>
            <w:tcW w:w="729" w:type="pct"/>
            <w:shd w:val="clear" w:color="auto" w:fill="auto"/>
            <w:vAlign w:val="bottom"/>
          </w:tcPr>
          <w:p w14:paraId="3243B00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hr-HR"/>
              </w:rPr>
            </w:pPr>
          </w:p>
        </w:tc>
        <w:tc>
          <w:tcPr>
            <w:tcW w:w="729" w:type="pct"/>
            <w:shd w:val="clear" w:color="auto" w:fill="auto"/>
            <w:vAlign w:val="bottom"/>
          </w:tcPr>
          <w:p w14:paraId="69C4572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1458" w:type="pct"/>
            <w:gridSpan w:val="2"/>
            <w:vAlign w:val="bottom"/>
          </w:tcPr>
          <w:p w14:paraId="2C505AD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hr-HR"/>
              </w:rPr>
            </w:pPr>
            <w:bookmarkStart w:id="669" w:name="_Toc4058604"/>
            <w:r w:rsidRPr="00587444">
              <w:rPr>
                <w:rFonts w:ascii="Arial" w:hAnsi="Arial" w:cs="Arial"/>
                <w:b/>
                <w:sz w:val="18"/>
                <w:szCs w:val="18"/>
                <w:lang w:val="en-GB"/>
              </w:rPr>
              <w:t>Group and Bank</w:t>
            </w:r>
            <w:bookmarkEnd w:id="669"/>
          </w:p>
        </w:tc>
      </w:tr>
      <w:tr w:rsidR="00587444" w:rsidRPr="00587444" w14:paraId="2C58F348" w14:textId="77777777" w:rsidTr="00890EEB">
        <w:trPr>
          <w:trHeight w:val="304"/>
        </w:trPr>
        <w:tc>
          <w:tcPr>
            <w:tcW w:w="1354" w:type="pct"/>
            <w:vAlign w:val="bottom"/>
          </w:tcPr>
          <w:p w14:paraId="191C0338" w14:textId="77777777" w:rsidR="00587444" w:rsidRPr="00587444" w:rsidRDefault="00587444" w:rsidP="00587444">
            <w:pPr>
              <w:tabs>
                <w:tab w:val="left" w:pos="-720"/>
              </w:tabs>
              <w:autoSpaceDN/>
              <w:spacing w:line="220" w:lineRule="exact"/>
              <w:rPr>
                <w:rFonts w:ascii="Arial" w:hAnsi="Arial" w:cs="Arial"/>
                <w:sz w:val="18"/>
                <w:szCs w:val="18"/>
                <w:lang w:val="en-GB"/>
              </w:rPr>
            </w:pPr>
          </w:p>
        </w:tc>
        <w:tc>
          <w:tcPr>
            <w:tcW w:w="729" w:type="pct"/>
            <w:vAlign w:val="bottom"/>
          </w:tcPr>
          <w:p w14:paraId="62B4422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670" w:name="_Toc4058605"/>
            <w:r w:rsidRPr="00587444">
              <w:rPr>
                <w:rFonts w:ascii="Arial" w:hAnsi="Arial" w:cs="Arial"/>
                <w:b/>
                <w:sz w:val="18"/>
                <w:szCs w:val="18"/>
                <w:lang w:val="en-GB"/>
              </w:rPr>
              <w:t>Stage 1</w:t>
            </w:r>
            <w:bookmarkEnd w:id="670"/>
          </w:p>
        </w:tc>
        <w:tc>
          <w:tcPr>
            <w:tcW w:w="729" w:type="pct"/>
            <w:vAlign w:val="bottom"/>
          </w:tcPr>
          <w:p w14:paraId="385A9E9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671" w:name="_Toc4058606"/>
            <w:r w:rsidRPr="00587444">
              <w:rPr>
                <w:rFonts w:ascii="Arial" w:hAnsi="Arial" w:cs="Arial"/>
                <w:b/>
                <w:sz w:val="18"/>
                <w:szCs w:val="18"/>
                <w:lang w:val="en-GB"/>
              </w:rPr>
              <w:t>Stage 2</w:t>
            </w:r>
            <w:bookmarkEnd w:id="671"/>
          </w:p>
        </w:tc>
        <w:tc>
          <w:tcPr>
            <w:tcW w:w="729" w:type="pct"/>
            <w:vAlign w:val="bottom"/>
          </w:tcPr>
          <w:p w14:paraId="0783118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672" w:name="_Toc4058607"/>
            <w:r w:rsidRPr="00587444">
              <w:rPr>
                <w:rFonts w:ascii="Arial" w:hAnsi="Arial" w:cs="Arial"/>
                <w:b/>
                <w:sz w:val="18"/>
                <w:szCs w:val="18"/>
                <w:lang w:val="en-GB"/>
              </w:rPr>
              <w:t>Stage 3</w:t>
            </w:r>
            <w:bookmarkEnd w:id="672"/>
          </w:p>
        </w:tc>
        <w:tc>
          <w:tcPr>
            <w:tcW w:w="729" w:type="pct"/>
            <w:vAlign w:val="bottom"/>
          </w:tcPr>
          <w:p w14:paraId="4A450A0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673" w:name="_Toc4058608"/>
            <w:r w:rsidRPr="00587444">
              <w:rPr>
                <w:rFonts w:ascii="Arial" w:hAnsi="Arial" w:cs="Arial"/>
                <w:b/>
                <w:sz w:val="18"/>
                <w:szCs w:val="18"/>
                <w:lang w:val="en-GB"/>
              </w:rPr>
              <w:t>POCI</w:t>
            </w:r>
            <w:bookmarkEnd w:id="673"/>
          </w:p>
        </w:tc>
        <w:tc>
          <w:tcPr>
            <w:tcW w:w="729" w:type="pct"/>
            <w:vAlign w:val="bottom"/>
          </w:tcPr>
          <w:p w14:paraId="559E135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674" w:name="_Toc4058609"/>
            <w:r w:rsidRPr="00587444">
              <w:rPr>
                <w:rFonts w:ascii="Arial" w:hAnsi="Arial" w:cs="Arial"/>
                <w:b/>
                <w:sz w:val="18"/>
                <w:szCs w:val="18"/>
                <w:lang w:val="en-GB"/>
              </w:rPr>
              <w:t>Total</w:t>
            </w:r>
            <w:bookmarkEnd w:id="674"/>
          </w:p>
        </w:tc>
      </w:tr>
      <w:tr w:rsidR="00587444" w:rsidRPr="00587444" w14:paraId="3852C896" w14:textId="77777777" w:rsidTr="00890EEB">
        <w:trPr>
          <w:trHeight w:val="304"/>
        </w:trPr>
        <w:tc>
          <w:tcPr>
            <w:tcW w:w="1354" w:type="pct"/>
            <w:vAlign w:val="bottom"/>
          </w:tcPr>
          <w:p w14:paraId="6B79E29A" w14:textId="77777777" w:rsidR="00587444" w:rsidRPr="00587444" w:rsidRDefault="00587444" w:rsidP="00587444">
            <w:pPr>
              <w:tabs>
                <w:tab w:val="left" w:pos="-720"/>
              </w:tabs>
              <w:autoSpaceDN/>
              <w:spacing w:line="220" w:lineRule="exact"/>
              <w:rPr>
                <w:rFonts w:ascii="Arial" w:hAnsi="Arial" w:cs="Arial"/>
                <w:sz w:val="18"/>
                <w:szCs w:val="18"/>
              </w:rPr>
            </w:pPr>
          </w:p>
        </w:tc>
        <w:tc>
          <w:tcPr>
            <w:tcW w:w="729" w:type="pct"/>
            <w:vAlign w:val="bottom"/>
          </w:tcPr>
          <w:p w14:paraId="3DF718C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675" w:name="_Toc4058610"/>
            <w:r w:rsidRPr="00587444">
              <w:rPr>
                <w:rFonts w:ascii="Arial" w:hAnsi="Arial" w:cs="Arial"/>
                <w:b/>
                <w:sz w:val="18"/>
                <w:szCs w:val="18"/>
                <w:lang w:val="en-GB"/>
              </w:rPr>
              <w:t>HRK ‘000</w:t>
            </w:r>
            <w:bookmarkEnd w:id="675"/>
          </w:p>
        </w:tc>
        <w:tc>
          <w:tcPr>
            <w:tcW w:w="729" w:type="pct"/>
            <w:vAlign w:val="bottom"/>
          </w:tcPr>
          <w:p w14:paraId="4B7EFE7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676" w:name="_Toc4058611"/>
            <w:r w:rsidRPr="00587444">
              <w:rPr>
                <w:rFonts w:ascii="Arial" w:hAnsi="Arial" w:cs="Arial"/>
                <w:b/>
                <w:sz w:val="18"/>
                <w:szCs w:val="18"/>
                <w:lang w:val="en-GB"/>
              </w:rPr>
              <w:t>HRK ‘000</w:t>
            </w:r>
            <w:bookmarkEnd w:id="676"/>
          </w:p>
        </w:tc>
        <w:tc>
          <w:tcPr>
            <w:tcW w:w="729" w:type="pct"/>
            <w:vAlign w:val="bottom"/>
          </w:tcPr>
          <w:p w14:paraId="61F5B39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677" w:name="_Toc4058612"/>
            <w:r w:rsidRPr="00587444">
              <w:rPr>
                <w:rFonts w:ascii="Arial" w:hAnsi="Arial" w:cs="Arial"/>
                <w:b/>
                <w:sz w:val="18"/>
                <w:szCs w:val="18"/>
                <w:lang w:val="en-GB"/>
              </w:rPr>
              <w:t>HRK ‘000</w:t>
            </w:r>
            <w:bookmarkEnd w:id="677"/>
          </w:p>
        </w:tc>
        <w:tc>
          <w:tcPr>
            <w:tcW w:w="729" w:type="pct"/>
            <w:vAlign w:val="bottom"/>
          </w:tcPr>
          <w:p w14:paraId="29F85C5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678" w:name="_Toc4058613"/>
            <w:r w:rsidRPr="00587444">
              <w:rPr>
                <w:rFonts w:ascii="Arial" w:hAnsi="Arial" w:cs="Arial"/>
                <w:b/>
                <w:sz w:val="18"/>
                <w:szCs w:val="18"/>
                <w:lang w:val="en-GB"/>
              </w:rPr>
              <w:t>HRK ‘000</w:t>
            </w:r>
            <w:bookmarkEnd w:id="678"/>
          </w:p>
        </w:tc>
        <w:tc>
          <w:tcPr>
            <w:tcW w:w="729" w:type="pct"/>
            <w:vAlign w:val="bottom"/>
          </w:tcPr>
          <w:p w14:paraId="37FB21F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679" w:name="_Toc4058614"/>
            <w:r w:rsidRPr="00587444">
              <w:rPr>
                <w:rFonts w:ascii="Arial" w:hAnsi="Arial" w:cs="Arial"/>
                <w:b/>
                <w:sz w:val="18"/>
                <w:szCs w:val="18"/>
                <w:lang w:val="en-GB"/>
              </w:rPr>
              <w:t>HRK ‘000</w:t>
            </w:r>
            <w:bookmarkEnd w:id="679"/>
          </w:p>
        </w:tc>
      </w:tr>
      <w:tr w:rsidR="00587444" w:rsidRPr="00587444" w14:paraId="567D0BD6" w14:textId="77777777" w:rsidTr="00890EEB">
        <w:trPr>
          <w:trHeight w:val="213"/>
        </w:trPr>
        <w:tc>
          <w:tcPr>
            <w:tcW w:w="1354" w:type="pct"/>
            <w:vAlign w:val="bottom"/>
          </w:tcPr>
          <w:p w14:paraId="5AE603BF" w14:textId="77777777" w:rsidR="00587444" w:rsidRPr="00587444" w:rsidRDefault="00587444" w:rsidP="00587444">
            <w:pPr>
              <w:tabs>
                <w:tab w:val="left" w:pos="-720"/>
              </w:tabs>
              <w:autoSpaceDN/>
              <w:spacing w:line="140" w:lineRule="exact"/>
              <w:rPr>
                <w:rFonts w:ascii="Arial" w:hAnsi="Arial" w:cs="Arial"/>
                <w:sz w:val="18"/>
                <w:szCs w:val="18"/>
                <w:lang w:val="en-GB"/>
              </w:rPr>
            </w:pPr>
          </w:p>
        </w:tc>
        <w:tc>
          <w:tcPr>
            <w:tcW w:w="729" w:type="pct"/>
            <w:vAlign w:val="bottom"/>
          </w:tcPr>
          <w:p w14:paraId="452AADBF"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8"/>
                <w:szCs w:val="18"/>
                <w:lang w:val="en-GB"/>
              </w:rPr>
            </w:pPr>
          </w:p>
        </w:tc>
        <w:tc>
          <w:tcPr>
            <w:tcW w:w="729" w:type="pct"/>
            <w:vAlign w:val="bottom"/>
          </w:tcPr>
          <w:p w14:paraId="11585FCA"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8"/>
                <w:szCs w:val="18"/>
                <w:lang w:val="en-GB"/>
              </w:rPr>
            </w:pPr>
          </w:p>
        </w:tc>
        <w:tc>
          <w:tcPr>
            <w:tcW w:w="729" w:type="pct"/>
            <w:vAlign w:val="bottom"/>
          </w:tcPr>
          <w:p w14:paraId="065F9557"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8"/>
                <w:szCs w:val="18"/>
                <w:lang w:val="en-GB"/>
              </w:rPr>
            </w:pPr>
          </w:p>
        </w:tc>
        <w:tc>
          <w:tcPr>
            <w:tcW w:w="729" w:type="pct"/>
            <w:vAlign w:val="bottom"/>
          </w:tcPr>
          <w:p w14:paraId="1BF0CCA0"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8"/>
                <w:szCs w:val="18"/>
                <w:lang w:val="en-GB"/>
              </w:rPr>
            </w:pPr>
          </w:p>
        </w:tc>
        <w:tc>
          <w:tcPr>
            <w:tcW w:w="729" w:type="pct"/>
            <w:vAlign w:val="bottom"/>
          </w:tcPr>
          <w:p w14:paraId="7FE6DB6E"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8"/>
                <w:szCs w:val="18"/>
                <w:lang w:val="en-GB"/>
              </w:rPr>
            </w:pPr>
          </w:p>
        </w:tc>
      </w:tr>
      <w:tr w:rsidR="00587444" w:rsidRPr="00587444" w14:paraId="7CEA5E4E" w14:textId="77777777" w:rsidTr="00890EEB">
        <w:trPr>
          <w:trHeight w:val="408"/>
        </w:trPr>
        <w:tc>
          <w:tcPr>
            <w:tcW w:w="1354" w:type="pct"/>
            <w:vAlign w:val="bottom"/>
          </w:tcPr>
          <w:p w14:paraId="163BFAC5" w14:textId="4DF2A2A9" w:rsidR="00587444" w:rsidRPr="00587444" w:rsidRDefault="00587444" w:rsidP="00587444">
            <w:pPr>
              <w:tabs>
                <w:tab w:val="right" w:pos="1202"/>
              </w:tabs>
              <w:suppressAutoHyphens w:val="0"/>
              <w:autoSpaceDN/>
              <w:spacing w:line="240" w:lineRule="exact"/>
              <w:outlineLvl w:val="0"/>
              <w:rPr>
                <w:rFonts w:ascii="Arial" w:hAnsi="Arial" w:cs="Arial"/>
                <w:sz w:val="18"/>
                <w:szCs w:val="18"/>
                <w:lang w:val="en-GB"/>
              </w:rPr>
            </w:pPr>
            <w:bookmarkStart w:id="680" w:name="_Toc4058615"/>
            <w:r w:rsidRPr="00587444">
              <w:rPr>
                <w:rFonts w:ascii="Arial" w:hAnsi="Arial" w:cs="Arial"/>
                <w:sz w:val="18"/>
                <w:szCs w:val="18"/>
                <w:lang w:val="en-GB"/>
              </w:rPr>
              <w:t>Gross amount</w:t>
            </w:r>
            <w:bookmarkEnd w:id="680"/>
          </w:p>
        </w:tc>
        <w:tc>
          <w:tcPr>
            <w:tcW w:w="729" w:type="pct"/>
            <w:tcBorders>
              <w:top w:val="nil"/>
              <w:left w:val="nil"/>
              <w:bottom w:val="nil"/>
              <w:right w:val="nil"/>
            </w:tcBorders>
            <w:shd w:val="clear" w:color="auto" w:fill="auto"/>
            <w:vAlign w:val="bottom"/>
          </w:tcPr>
          <w:p w14:paraId="16100BD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13,994,014</w:t>
            </w:r>
          </w:p>
        </w:tc>
        <w:tc>
          <w:tcPr>
            <w:tcW w:w="729" w:type="pct"/>
            <w:tcBorders>
              <w:top w:val="nil"/>
              <w:left w:val="nil"/>
              <w:bottom w:val="nil"/>
              <w:right w:val="nil"/>
            </w:tcBorders>
            <w:shd w:val="clear" w:color="auto" w:fill="auto"/>
            <w:vAlign w:val="bottom"/>
          </w:tcPr>
          <w:p w14:paraId="00A4154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2,218,779</w:t>
            </w:r>
          </w:p>
        </w:tc>
        <w:tc>
          <w:tcPr>
            <w:tcW w:w="729" w:type="pct"/>
            <w:tcBorders>
              <w:top w:val="nil"/>
              <w:left w:val="nil"/>
              <w:bottom w:val="nil"/>
              <w:right w:val="nil"/>
            </w:tcBorders>
            <w:shd w:val="clear" w:color="auto" w:fill="auto"/>
            <w:vAlign w:val="bottom"/>
          </w:tcPr>
          <w:p w14:paraId="31CFE44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3,237,261</w:t>
            </w:r>
          </w:p>
        </w:tc>
        <w:tc>
          <w:tcPr>
            <w:tcW w:w="729" w:type="pct"/>
            <w:tcBorders>
              <w:top w:val="nil"/>
              <w:left w:val="nil"/>
              <w:bottom w:val="nil"/>
              <w:right w:val="nil"/>
            </w:tcBorders>
            <w:shd w:val="clear" w:color="auto" w:fill="auto"/>
            <w:vAlign w:val="bottom"/>
          </w:tcPr>
          <w:p w14:paraId="0F767D0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1,407,637</w:t>
            </w:r>
          </w:p>
        </w:tc>
        <w:tc>
          <w:tcPr>
            <w:tcW w:w="729" w:type="pct"/>
            <w:tcBorders>
              <w:top w:val="nil"/>
              <w:left w:val="nil"/>
              <w:bottom w:val="nil"/>
              <w:right w:val="nil"/>
            </w:tcBorders>
            <w:shd w:val="clear" w:color="auto" w:fill="auto"/>
            <w:vAlign w:val="bottom"/>
          </w:tcPr>
          <w:p w14:paraId="4FA80C3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20,857,691 </w:t>
            </w:r>
          </w:p>
        </w:tc>
      </w:tr>
      <w:tr w:rsidR="00587444" w:rsidRPr="00587444" w14:paraId="554BCC60" w14:textId="77777777" w:rsidTr="00890EEB">
        <w:trPr>
          <w:trHeight w:val="408"/>
        </w:trPr>
        <w:tc>
          <w:tcPr>
            <w:tcW w:w="1354" w:type="pct"/>
            <w:vAlign w:val="bottom"/>
          </w:tcPr>
          <w:p w14:paraId="4630CC46" w14:textId="170B03DE" w:rsidR="00587444" w:rsidRPr="00587444" w:rsidRDefault="00587444" w:rsidP="00587444">
            <w:pPr>
              <w:tabs>
                <w:tab w:val="right" w:pos="1202"/>
              </w:tabs>
              <w:suppressAutoHyphens w:val="0"/>
              <w:autoSpaceDN/>
              <w:spacing w:line="240" w:lineRule="exact"/>
              <w:outlineLvl w:val="0"/>
              <w:rPr>
                <w:rFonts w:ascii="Arial" w:hAnsi="Arial" w:cs="Arial"/>
                <w:sz w:val="18"/>
                <w:szCs w:val="18"/>
                <w:lang w:val="en-GB"/>
              </w:rPr>
            </w:pPr>
            <w:bookmarkStart w:id="681" w:name="_Toc4058621"/>
            <w:r w:rsidRPr="00587444">
              <w:rPr>
                <w:rFonts w:ascii="Arial" w:hAnsi="Arial" w:cs="Arial"/>
                <w:sz w:val="18"/>
                <w:szCs w:val="18"/>
                <w:lang w:val="en-GB"/>
              </w:rPr>
              <w:t>Loss allowances</w:t>
            </w:r>
            <w:bookmarkEnd w:id="681"/>
          </w:p>
        </w:tc>
        <w:tc>
          <w:tcPr>
            <w:tcW w:w="729" w:type="pct"/>
            <w:tcBorders>
              <w:top w:val="nil"/>
              <w:left w:val="nil"/>
              <w:bottom w:val="nil"/>
              <w:right w:val="nil"/>
            </w:tcBorders>
            <w:shd w:val="clear" w:color="auto" w:fill="auto"/>
            <w:vAlign w:val="bottom"/>
          </w:tcPr>
          <w:p w14:paraId="59196FA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 xml:space="preserve"> (356,231)</w:t>
            </w:r>
          </w:p>
        </w:tc>
        <w:tc>
          <w:tcPr>
            <w:tcW w:w="729" w:type="pct"/>
            <w:tcBorders>
              <w:top w:val="nil"/>
              <w:left w:val="nil"/>
              <w:bottom w:val="nil"/>
              <w:right w:val="nil"/>
            </w:tcBorders>
            <w:shd w:val="clear" w:color="auto" w:fill="auto"/>
            <w:vAlign w:val="bottom"/>
          </w:tcPr>
          <w:p w14:paraId="3FDDF5F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 xml:space="preserve"> (784,089)</w:t>
            </w:r>
          </w:p>
        </w:tc>
        <w:tc>
          <w:tcPr>
            <w:tcW w:w="729" w:type="pct"/>
            <w:tcBorders>
              <w:top w:val="nil"/>
              <w:left w:val="nil"/>
              <w:bottom w:val="nil"/>
              <w:right w:val="nil"/>
            </w:tcBorders>
            <w:shd w:val="clear" w:color="auto" w:fill="auto"/>
            <w:vAlign w:val="bottom"/>
          </w:tcPr>
          <w:p w14:paraId="4131244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 xml:space="preserve"> (2,091,863)</w:t>
            </w:r>
          </w:p>
        </w:tc>
        <w:tc>
          <w:tcPr>
            <w:tcW w:w="729" w:type="pct"/>
            <w:tcBorders>
              <w:top w:val="nil"/>
              <w:left w:val="nil"/>
              <w:bottom w:val="nil"/>
              <w:right w:val="nil"/>
            </w:tcBorders>
            <w:shd w:val="clear" w:color="auto" w:fill="auto"/>
            <w:vAlign w:val="bottom"/>
          </w:tcPr>
          <w:p w14:paraId="154A5A3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 xml:space="preserve"> (222,842)</w:t>
            </w:r>
          </w:p>
        </w:tc>
        <w:tc>
          <w:tcPr>
            <w:tcW w:w="729" w:type="pct"/>
            <w:tcBorders>
              <w:top w:val="nil"/>
              <w:left w:val="nil"/>
              <w:bottom w:val="nil"/>
              <w:right w:val="nil"/>
            </w:tcBorders>
            <w:shd w:val="clear" w:color="auto" w:fill="auto"/>
            <w:vAlign w:val="bottom"/>
          </w:tcPr>
          <w:p w14:paraId="6073CB5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(3,455,025)</w:t>
            </w:r>
          </w:p>
        </w:tc>
      </w:tr>
      <w:tr w:rsidR="00587444" w:rsidRPr="00587444" w14:paraId="4869D573" w14:textId="77777777" w:rsidTr="00890EEB">
        <w:trPr>
          <w:trHeight w:val="564"/>
        </w:trPr>
        <w:tc>
          <w:tcPr>
            <w:tcW w:w="1354" w:type="pct"/>
            <w:vAlign w:val="bottom"/>
          </w:tcPr>
          <w:p w14:paraId="08D9DF52" w14:textId="77777777" w:rsidR="00890EEB" w:rsidRDefault="00587444" w:rsidP="00587444">
            <w:pPr>
              <w:tabs>
                <w:tab w:val="right" w:pos="1202"/>
              </w:tabs>
              <w:suppressAutoHyphens w:val="0"/>
              <w:autoSpaceDN/>
              <w:spacing w:line="240" w:lineRule="exact"/>
              <w:outlineLvl w:val="0"/>
              <w:rPr>
                <w:rFonts w:ascii="Arial" w:hAnsi="Arial" w:cs="Arial"/>
                <w:b/>
                <w:iCs/>
                <w:sz w:val="18"/>
                <w:szCs w:val="18"/>
                <w:lang w:val="en-GB"/>
              </w:rPr>
            </w:pPr>
            <w:bookmarkStart w:id="682" w:name="_Toc4058627"/>
            <w:r w:rsidRPr="00587444">
              <w:rPr>
                <w:rFonts w:ascii="Arial" w:hAnsi="Arial" w:cs="Arial"/>
                <w:b/>
                <w:iCs/>
                <w:sz w:val="18"/>
                <w:szCs w:val="18"/>
                <w:lang w:val="en-GB"/>
              </w:rPr>
              <w:t xml:space="preserve">Balance as of </w:t>
            </w:r>
          </w:p>
          <w:p w14:paraId="57EC5292" w14:textId="2958F268" w:rsidR="00587444" w:rsidRPr="00587444" w:rsidRDefault="00587444" w:rsidP="00587444">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 xml:space="preserve">31 December </w:t>
            </w:r>
            <w:bookmarkEnd w:id="682"/>
            <w:r w:rsidRPr="00587444">
              <w:rPr>
                <w:rFonts w:ascii="Arial" w:hAnsi="Arial" w:cs="Arial"/>
                <w:b/>
                <w:iCs/>
                <w:sz w:val="18"/>
                <w:szCs w:val="18"/>
                <w:lang w:val="en-GB"/>
              </w:rPr>
              <w:t>2022</w:t>
            </w:r>
          </w:p>
        </w:tc>
        <w:tc>
          <w:tcPr>
            <w:tcW w:w="729" w:type="pct"/>
            <w:tcBorders>
              <w:top w:val="single" w:sz="8" w:space="0" w:color="auto"/>
              <w:left w:val="nil"/>
              <w:bottom w:val="single" w:sz="12" w:space="0" w:color="000000"/>
              <w:right w:val="nil"/>
            </w:tcBorders>
            <w:shd w:val="clear" w:color="auto" w:fill="auto"/>
            <w:vAlign w:val="bottom"/>
          </w:tcPr>
          <w:p w14:paraId="202880C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13,637,783 </w:t>
            </w:r>
          </w:p>
        </w:tc>
        <w:tc>
          <w:tcPr>
            <w:tcW w:w="729" w:type="pct"/>
            <w:tcBorders>
              <w:top w:val="single" w:sz="8" w:space="0" w:color="auto"/>
              <w:left w:val="nil"/>
              <w:bottom w:val="single" w:sz="12" w:space="0" w:color="000000"/>
              <w:right w:val="nil"/>
            </w:tcBorders>
            <w:shd w:val="clear" w:color="auto" w:fill="auto"/>
            <w:vAlign w:val="bottom"/>
          </w:tcPr>
          <w:p w14:paraId="4CE0648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1,434,690 </w:t>
            </w:r>
          </w:p>
        </w:tc>
        <w:tc>
          <w:tcPr>
            <w:tcW w:w="729" w:type="pct"/>
            <w:tcBorders>
              <w:top w:val="single" w:sz="8" w:space="0" w:color="auto"/>
              <w:left w:val="nil"/>
              <w:bottom w:val="single" w:sz="12" w:space="0" w:color="000000"/>
              <w:right w:val="nil"/>
            </w:tcBorders>
            <w:shd w:val="clear" w:color="auto" w:fill="auto"/>
            <w:vAlign w:val="bottom"/>
          </w:tcPr>
          <w:p w14:paraId="577D3E8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1,145,398 </w:t>
            </w:r>
          </w:p>
        </w:tc>
        <w:tc>
          <w:tcPr>
            <w:tcW w:w="729" w:type="pct"/>
            <w:tcBorders>
              <w:top w:val="single" w:sz="8" w:space="0" w:color="auto"/>
              <w:left w:val="nil"/>
              <w:bottom w:val="single" w:sz="12" w:space="0" w:color="000000"/>
              <w:right w:val="nil"/>
            </w:tcBorders>
            <w:shd w:val="clear" w:color="auto" w:fill="auto"/>
            <w:vAlign w:val="bottom"/>
          </w:tcPr>
          <w:p w14:paraId="7AD560D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1,184,795 </w:t>
            </w:r>
          </w:p>
        </w:tc>
        <w:tc>
          <w:tcPr>
            <w:tcW w:w="729" w:type="pct"/>
            <w:tcBorders>
              <w:top w:val="single" w:sz="8" w:space="0" w:color="auto"/>
              <w:left w:val="nil"/>
              <w:bottom w:val="single" w:sz="12" w:space="0" w:color="000000"/>
              <w:right w:val="nil"/>
            </w:tcBorders>
            <w:shd w:val="clear" w:color="auto" w:fill="auto"/>
            <w:vAlign w:val="bottom"/>
          </w:tcPr>
          <w:p w14:paraId="66F10C1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17,402,666 </w:t>
            </w:r>
          </w:p>
        </w:tc>
      </w:tr>
    </w:tbl>
    <w:p w14:paraId="1F2E89BA"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p w14:paraId="57665C17"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p w14:paraId="0CE7CF0D"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tbl>
      <w:tblPr>
        <w:tblW w:w="4757" w:type="pct"/>
        <w:tblInd w:w="284" w:type="dxa"/>
        <w:tblLayout w:type="fixed"/>
        <w:tblLook w:val="0000" w:firstRow="0" w:lastRow="0" w:firstColumn="0" w:lastColumn="0" w:noHBand="0" w:noVBand="0"/>
      </w:tblPr>
      <w:tblGrid>
        <w:gridCol w:w="2466"/>
        <w:gridCol w:w="1328"/>
        <w:gridCol w:w="1328"/>
        <w:gridCol w:w="1328"/>
        <w:gridCol w:w="1328"/>
        <w:gridCol w:w="1328"/>
      </w:tblGrid>
      <w:tr w:rsidR="00587444" w:rsidRPr="00587444" w14:paraId="61CF943C" w14:textId="77777777" w:rsidTr="00890EEB">
        <w:trPr>
          <w:trHeight w:val="205"/>
        </w:trPr>
        <w:tc>
          <w:tcPr>
            <w:tcW w:w="1354" w:type="pct"/>
            <w:vAlign w:val="bottom"/>
          </w:tcPr>
          <w:p w14:paraId="33FEE064" w14:textId="77777777" w:rsidR="00587444" w:rsidRPr="00587444" w:rsidRDefault="00587444" w:rsidP="00587444">
            <w:pPr>
              <w:tabs>
                <w:tab w:val="left" w:pos="-720"/>
              </w:tabs>
              <w:autoSpaceDN/>
              <w:spacing w:line="220" w:lineRule="exact"/>
              <w:rPr>
                <w:rFonts w:ascii="Arial" w:hAnsi="Arial" w:cs="Arial"/>
                <w:b/>
                <w:sz w:val="18"/>
                <w:szCs w:val="18"/>
                <w:lang w:val="en-GB"/>
              </w:rPr>
            </w:pPr>
            <w:r w:rsidRPr="00587444">
              <w:rPr>
                <w:rFonts w:ascii="Arial" w:hAnsi="Arial" w:cs="Arial"/>
                <w:b/>
                <w:sz w:val="18"/>
                <w:szCs w:val="18"/>
                <w:lang w:val="en-GB"/>
              </w:rPr>
              <w:t>31 December 2021</w:t>
            </w:r>
          </w:p>
        </w:tc>
        <w:tc>
          <w:tcPr>
            <w:tcW w:w="729" w:type="pct"/>
            <w:vAlign w:val="bottom"/>
          </w:tcPr>
          <w:p w14:paraId="53F33EC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hr-HR"/>
              </w:rPr>
            </w:pPr>
          </w:p>
        </w:tc>
        <w:tc>
          <w:tcPr>
            <w:tcW w:w="729" w:type="pct"/>
            <w:shd w:val="clear" w:color="auto" w:fill="auto"/>
            <w:vAlign w:val="bottom"/>
          </w:tcPr>
          <w:p w14:paraId="35BC726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hr-HR"/>
              </w:rPr>
            </w:pPr>
          </w:p>
        </w:tc>
        <w:tc>
          <w:tcPr>
            <w:tcW w:w="729" w:type="pct"/>
            <w:shd w:val="clear" w:color="auto" w:fill="auto"/>
            <w:vAlign w:val="bottom"/>
          </w:tcPr>
          <w:p w14:paraId="197E651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1458" w:type="pct"/>
            <w:gridSpan w:val="2"/>
            <w:vAlign w:val="bottom"/>
          </w:tcPr>
          <w:p w14:paraId="20F7E9C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hr-HR"/>
              </w:rPr>
            </w:pPr>
            <w:r w:rsidRPr="00587444">
              <w:rPr>
                <w:rFonts w:ascii="Arial" w:hAnsi="Arial" w:cs="Arial"/>
                <w:b/>
                <w:sz w:val="18"/>
                <w:szCs w:val="18"/>
                <w:lang w:val="en-GB"/>
              </w:rPr>
              <w:t>Group and Bank</w:t>
            </w:r>
          </w:p>
        </w:tc>
      </w:tr>
      <w:tr w:rsidR="00587444" w:rsidRPr="00587444" w14:paraId="5B4223B4" w14:textId="77777777" w:rsidTr="00890EEB">
        <w:trPr>
          <w:trHeight w:val="304"/>
        </w:trPr>
        <w:tc>
          <w:tcPr>
            <w:tcW w:w="1354" w:type="pct"/>
            <w:vAlign w:val="bottom"/>
          </w:tcPr>
          <w:p w14:paraId="7376BD0D" w14:textId="77777777" w:rsidR="00587444" w:rsidRPr="00587444" w:rsidRDefault="00587444" w:rsidP="00587444">
            <w:pPr>
              <w:tabs>
                <w:tab w:val="left" w:pos="-720"/>
              </w:tabs>
              <w:autoSpaceDN/>
              <w:spacing w:line="220" w:lineRule="exact"/>
              <w:rPr>
                <w:rFonts w:ascii="Arial" w:hAnsi="Arial" w:cs="Arial"/>
                <w:sz w:val="18"/>
                <w:szCs w:val="18"/>
                <w:lang w:val="en-GB"/>
              </w:rPr>
            </w:pPr>
          </w:p>
        </w:tc>
        <w:tc>
          <w:tcPr>
            <w:tcW w:w="729" w:type="pct"/>
            <w:vAlign w:val="bottom"/>
          </w:tcPr>
          <w:p w14:paraId="2D3F943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1</w:t>
            </w:r>
          </w:p>
        </w:tc>
        <w:tc>
          <w:tcPr>
            <w:tcW w:w="729" w:type="pct"/>
            <w:vAlign w:val="bottom"/>
          </w:tcPr>
          <w:p w14:paraId="7B25921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2</w:t>
            </w:r>
          </w:p>
        </w:tc>
        <w:tc>
          <w:tcPr>
            <w:tcW w:w="729" w:type="pct"/>
            <w:vAlign w:val="bottom"/>
          </w:tcPr>
          <w:p w14:paraId="6B62583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3</w:t>
            </w:r>
          </w:p>
        </w:tc>
        <w:tc>
          <w:tcPr>
            <w:tcW w:w="729" w:type="pct"/>
            <w:vAlign w:val="bottom"/>
          </w:tcPr>
          <w:p w14:paraId="36DF2A7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POCI</w:t>
            </w:r>
          </w:p>
        </w:tc>
        <w:tc>
          <w:tcPr>
            <w:tcW w:w="729" w:type="pct"/>
            <w:vAlign w:val="bottom"/>
          </w:tcPr>
          <w:p w14:paraId="2A6E0EF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Total</w:t>
            </w:r>
          </w:p>
        </w:tc>
      </w:tr>
      <w:tr w:rsidR="00587444" w:rsidRPr="00587444" w14:paraId="31454D76" w14:textId="77777777" w:rsidTr="00890EEB">
        <w:trPr>
          <w:trHeight w:val="304"/>
        </w:trPr>
        <w:tc>
          <w:tcPr>
            <w:tcW w:w="1354" w:type="pct"/>
            <w:vAlign w:val="bottom"/>
          </w:tcPr>
          <w:p w14:paraId="13608CC8" w14:textId="77777777" w:rsidR="00587444" w:rsidRPr="00587444" w:rsidRDefault="00587444" w:rsidP="00587444">
            <w:pPr>
              <w:tabs>
                <w:tab w:val="left" w:pos="-720"/>
              </w:tabs>
              <w:autoSpaceDN/>
              <w:spacing w:line="220" w:lineRule="exact"/>
              <w:rPr>
                <w:rFonts w:ascii="Arial" w:hAnsi="Arial" w:cs="Arial"/>
                <w:sz w:val="18"/>
                <w:szCs w:val="18"/>
              </w:rPr>
            </w:pPr>
          </w:p>
        </w:tc>
        <w:tc>
          <w:tcPr>
            <w:tcW w:w="729" w:type="pct"/>
            <w:vAlign w:val="bottom"/>
          </w:tcPr>
          <w:p w14:paraId="7A0586B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HRK ‘000</w:t>
            </w:r>
          </w:p>
        </w:tc>
        <w:tc>
          <w:tcPr>
            <w:tcW w:w="729" w:type="pct"/>
            <w:vAlign w:val="bottom"/>
          </w:tcPr>
          <w:p w14:paraId="410DB47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HRK ‘000</w:t>
            </w:r>
          </w:p>
        </w:tc>
        <w:tc>
          <w:tcPr>
            <w:tcW w:w="729" w:type="pct"/>
            <w:vAlign w:val="bottom"/>
          </w:tcPr>
          <w:p w14:paraId="45D1ADB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HRK ‘000</w:t>
            </w:r>
          </w:p>
        </w:tc>
        <w:tc>
          <w:tcPr>
            <w:tcW w:w="729" w:type="pct"/>
            <w:vAlign w:val="bottom"/>
          </w:tcPr>
          <w:p w14:paraId="1802604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HRK ‘000</w:t>
            </w:r>
          </w:p>
        </w:tc>
        <w:tc>
          <w:tcPr>
            <w:tcW w:w="729" w:type="pct"/>
            <w:vAlign w:val="bottom"/>
          </w:tcPr>
          <w:p w14:paraId="2E348E5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HRK ‘000</w:t>
            </w:r>
          </w:p>
        </w:tc>
      </w:tr>
      <w:tr w:rsidR="00587444" w:rsidRPr="00587444" w14:paraId="332BD00C" w14:textId="77777777" w:rsidTr="00890EEB">
        <w:trPr>
          <w:trHeight w:val="213"/>
        </w:trPr>
        <w:tc>
          <w:tcPr>
            <w:tcW w:w="1354" w:type="pct"/>
            <w:vAlign w:val="bottom"/>
          </w:tcPr>
          <w:p w14:paraId="4AB98800" w14:textId="77777777" w:rsidR="00587444" w:rsidRPr="00587444" w:rsidRDefault="00587444" w:rsidP="00587444">
            <w:pPr>
              <w:tabs>
                <w:tab w:val="left" w:pos="-720"/>
              </w:tabs>
              <w:autoSpaceDN/>
              <w:spacing w:line="140" w:lineRule="exact"/>
              <w:rPr>
                <w:rFonts w:ascii="Arial" w:hAnsi="Arial" w:cs="Arial"/>
                <w:sz w:val="18"/>
                <w:szCs w:val="18"/>
                <w:lang w:val="en-GB"/>
              </w:rPr>
            </w:pPr>
          </w:p>
        </w:tc>
        <w:tc>
          <w:tcPr>
            <w:tcW w:w="729" w:type="pct"/>
            <w:vAlign w:val="bottom"/>
          </w:tcPr>
          <w:p w14:paraId="4AA34390"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8"/>
                <w:szCs w:val="18"/>
                <w:lang w:val="en-GB"/>
              </w:rPr>
            </w:pPr>
          </w:p>
        </w:tc>
        <w:tc>
          <w:tcPr>
            <w:tcW w:w="729" w:type="pct"/>
            <w:vAlign w:val="bottom"/>
          </w:tcPr>
          <w:p w14:paraId="7463C3CD"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8"/>
                <w:szCs w:val="18"/>
                <w:lang w:val="en-GB"/>
              </w:rPr>
            </w:pPr>
          </w:p>
        </w:tc>
        <w:tc>
          <w:tcPr>
            <w:tcW w:w="729" w:type="pct"/>
            <w:vAlign w:val="bottom"/>
          </w:tcPr>
          <w:p w14:paraId="325B7D2B"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8"/>
                <w:szCs w:val="18"/>
                <w:lang w:val="en-GB"/>
              </w:rPr>
            </w:pPr>
          </w:p>
        </w:tc>
        <w:tc>
          <w:tcPr>
            <w:tcW w:w="729" w:type="pct"/>
            <w:vAlign w:val="bottom"/>
          </w:tcPr>
          <w:p w14:paraId="7ADDB176"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8"/>
                <w:szCs w:val="18"/>
                <w:lang w:val="en-GB"/>
              </w:rPr>
            </w:pPr>
          </w:p>
        </w:tc>
        <w:tc>
          <w:tcPr>
            <w:tcW w:w="729" w:type="pct"/>
            <w:vAlign w:val="bottom"/>
          </w:tcPr>
          <w:p w14:paraId="25EDE9B7"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8"/>
                <w:szCs w:val="18"/>
                <w:lang w:val="en-GB"/>
              </w:rPr>
            </w:pPr>
          </w:p>
        </w:tc>
      </w:tr>
      <w:tr w:rsidR="00587444" w:rsidRPr="00587444" w14:paraId="2ADEE920" w14:textId="77777777" w:rsidTr="00890EEB">
        <w:trPr>
          <w:trHeight w:val="408"/>
        </w:trPr>
        <w:tc>
          <w:tcPr>
            <w:tcW w:w="1354" w:type="pct"/>
            <w:vAlign w:val="bottom"/>
          </w:tcPr>
          <w:p w14:paraId="32D92989" w14:textId="77777777" w:rsidR="00587444" w:rsidRPr="00587444" w:rsidRDefault="00587444" w:rsidP="00587444">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Gross amount</w:t>
            </w:r>
          </w:p>
        </w:tc>
        <w:tc>
          <w:tcPr>
            <w:tcW w:w="729" w:type="pct"/>
            <w:tcBorders>
              <w:top w:val="nil"/>
              <w:left w:val="nil"/>
              <w:bottom w:val="nil"/>
              <w:right w:val="nil"/>
            </w:tcBorders>
            <w:shd w:val="clear" w:color="auto" w:fill="auto"/>
            <w:vAlign w:val="bottom"/>
          </w:tcPr>
          <w:p w14:paraId="501B4A0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13,160,690</w:t>
            </w:r>
          </w:p>
        </w:tc>
        <w:tc>
          <w:tcPr>
            <w:tcW w:w="729" w:type="pct"/>
            <w:tcBorders>
              <w:top w:val="nil"/>
              <w:left w:val="nil"/>
              <w:bottom w:val="nil"/>
              <w:right w:val="nil"/>
            </w:tcBorders>
            <w:shd w:val="clear" w:color="auto" w:fill="auto"/>
            <w:vAlign w:val="bottom"/>
          </w:tcPr>
          <w:p w14:paraId="41F4DA6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1,383,772</w:t>
            </w:r>
          </w:p>
        </w:tc>
        <w:tc>
          <w:tcPr>
            <w:tcW w:w="729" w:type="pct"/>
            <w:tcBorders>
              <w:top w:val="nil"/>
              <w:left w:val="nil"/>
              <w:bottom w:val="nil"/>
              <w:right w:val="nil"/>
            </w:tcBorders>
            <w:shd w:val="clear" w:color="auto" w:fill="auto"/>
            <w:vAlign w:val="bottom"/>
          </w:tcPr>
          <w:p w14:paraId="696B305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3,262,835</w:t>
            </w:r>
          </w:p>
        </w:tc>
        <w:tc>
          <w:tcPr>
            <w:tcW w:w="729" w:type="pct"/>
            <w:tcBorders>
              <w:top w:val="nil"/>
              <w:left w:val="nil"/>
              <w:bottom w:val="nil"/>
              <w:right w:val="nil"/>
            </w:tcBorders>
            <w:shd w:val="clear" w:color="auto" w:fill="auto"/>
            <w:vAlign w:val="bottom"/>
          </w:tcPr>
          <w:p w14:paraId="5029E5F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1,412,995</w:t>
            </w:r>
          </w:p>
        </w:tc>
        <w:tc>
          <w:tcPr>
            <w:tcW w:w="729" w:type="pct"/>
            <w:tcBorders>
              <w:top w:val="nil"/>
              <w:left w:val="nil"/>
              <w:bottom w:val="nil"/>
              <w:right w:val="nil"/>
            </w:tcBorders>
            <w:shd w:val="clear" w:color="auto" w:fill="auto"/>
            <w:vAlign w:val="bottom"/>
          </w:tcPr>
          <w:p w14:paraId="72686B0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19,220,292 </w:t>
            </w:r>
          </w:p>
        </w:tc>
      </w:tr>
      <w:tr w:rsidR="00587444" w:rsidRPr="00587444" w14:paraId="5C54D0C4" w14:textId="77777777" w:rsidTr="00890EEB">
        <w:trPr>
          <w:trHeight w:val="408"/>
        </w:trPr>
        <w:tc>
          <w:tcPr>
            <w:tcW w:w="1354" w:type="pct"/>
            <w:vAlign w:val="bottom"/>
          </w:tcPr>
          <w:p w14:paraId="44A23496" w14:textId="77777777" w:rsidR="00587444" w:rsidRPr="00587444" w:rsidRDefault="00587444" w:rsidP="00587444">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Loss allowances</w:t>
            </w:r>
          </w:p>
        </w:tc>
        <w:tc>
          <w:tcPr>
            <w:tcW w:w="729" w:type="pct"/>
            <w:tcBorders>
              <w:top w:val="nil"/>
              <w:left w:val="nil"/>
              <w:bottom w:val="nil"/>
              <w:right w:val="nil"/>
            </w:tcBorders>
            <w:shd w:val="clear" w:color="auto" w:fill="auto"/>
            <w:vAlign w:val="bottom"/>
          </w:tcPr>
          <w:p w14:paraId="1DC82EA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 xml:space="preserve"> (381,609)</w:t>
            </w:r>
          </w:p>
        </w:tc>
        <w:tc>
          <w:tcPr>
            <w:tcW w:w="729" w:type="pct"/>
            <w:tcBorders>
              <w:top w:val="nil"/>
              <w:left w:val="nil"/>
              <w:bottom w:val="nil"/>
              <w:right w:val="nil"/>
            </w:tcBorders>
            <w:shd w:val="clear" w:color="auto" w:fill="auto"/>
            <w:vAlign w:val="bottom"/>
          </w:tcPr>
          <w:p w14:paraId="23B3173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 xml:space="preserve"> (555,807)</w:t>
            </w:r>
          </w:p>
        </w:tc>
        <w:tc>
          <w:tcPr>
            <w:tcW w:w="729" w:type="pct"/>
            <w:tcBorders>
              <w:top w:val="nil"/>
              <w:left w:val="nil"/>
              <w:bottom w:val="nil"/>
              <w:right w:val="nil"/>
            </w:tcBorders>
            <w:shd w:val="clear" w:color="auto" w:fill="auto"/>
            <w:vAlign w:val="bottom"/>
          </w:tcPr>
          <w:p w14:paraId="288F2CB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 xml:space="preserve"> (2,099,064)</w:t>
            </w:r>
          </w:p>
        </w:tc>
        <w:tc>
          <w:tcPr>
            <w:tcW w:w="729" w:type="pct"/>
            <w:tcBorders>
              <w:top w:val="nil"/>
              <w:left w:val="nil"/>
              <w:bottom w:val="nil"/>
              <w:right w:val="nil"/>
            </w:tcBorders>
            <w:shd w:val="clear" w:color="auto" w:fill="auto"/>
            <w:vAlign w:val="bottom"/>
          </w:tcPr>
          <w:p w14:paraId="17B3531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sz w:val="18"/>
                <w:szCs w:val="18"/>
                <w:lang w:val="en-GB"/>
              </w:rPr>
              <w:t xml:space="preserve"> (219,436)</w:t>
            </w:r>
          </w:p>
        </w:tc>
        <w:tc>
          <w:tcPr>
            <w:tcW w:w="729" w:type="pct"/>
            <w:tcBorders>
              <w:top w:val="nil"/>
              <w:left w:val="nil"/>
              <w:bottom w:val="nil"/>
              <w:right w:val="nil"/>
            </w:tcBorders>
            <w:shd w:val="clear" w:color="auto" w:fill="auto"/>
            <w:vAlign w:val="bottom"/>
          </w:tcPr>
          <w:p w14:paraId="5587F87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(3,255,916)</w:t>
            </w:r>
          </w:p>
        </w:tc>
      </w:tr>
      <w:tr w:rsidR="00587444" w:rsidRPr="00587444" w14:paraId="695F5134" w14:textId="77777777" w:rsidTr="00890EEB">
        <w:trPr>
          <w:trHeight w:val="564"/>
        </w:trPr>
        <w:tc>
          <w:tcPr>
            <w:tcW w:w="1354" w:type="pct"/>
            <w:vAlign w:val="bottom"/>
          </w:tcPr>
          <w:p w14:paraId="597AACA4" w14:textId="77777777" w:rsidR="00890EEB" w:rsidRDefault="00587444" w:rsidP="00587444">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 xml:space="preserve">Balance as of </w:t>
            </w:r>
          </w:p>
          <w:p w14:paraId="3CD9C49F" w14:textId="6392B876" w:rsidR="00587444" w:rsidRPr="00587444" w:rsidRDefault="00587444" w:rsidP="00587444">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31</w:t>
            </w:r>
            <w:r w:rsidR="00890EEB">
              <w:rPr>
                <w:rFonts w:ascii="Arial" w:hAnsi="Arial" w:cs="Arial"/>
                <w:b/>
                <w:iCs/>
                <w:sz w:val="18"/>
                <w:szCs w:val="18"/>
                <w:lang w:val="en-GB"/>
              </w:rPr>
              <w:t xml:space="preserve"> </w:t>
            </w:r>
            <w:r w:rsidRPr="00587444">
              <w:rPr>
                <w:rFonts w:ascii="Arial" w:hAnsi="Arial" w:cs="Arial"/>
                <w:b/>
                <w:iCs/>
                <w:sz w:val="18"/>
                <w:szCs w:val="18"/>
                <w:lang w:val="en-GB"/>
              </w:rPr>
              <w:t>December 2021</w:t>
            </w:r>
          </w:p>
        </w:tc>
        <w:tc>
          <w:tcPr>
            <w:tcW w:w="729" w:type="pct"/>
            <w:tcBorders>
              <w:top w:val="single" w:sz="8" w:space="0" w:color="auto"/>
              <w:left w:val="nil"/>
              <w:bottom w:val="single" w:sz="12" w:space="0" w:color="000000"/>
              <w:right w:val="nil"/>
            </w:tcBorders>
            <w:shd w:val="clear" w:color="auto" w:fill="auto"/>
            <w:vAlign w:val="bottom"/>
          </w:tcPr>
          <w:p w14:paraId="0958E44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12,779,081 </w:t>
            </w:r>
          </w:p>
        </w:tc>
        <w:tc>
          <w:tcPr>
            <w:tcW w:w="729" w:type="pct"/>
            <w:tcBorders>
              <w:top w:val="single" w:sz="8" w:space="0" w:color="auto"/>
              <w:left w:val="nil"/>
              <w:bottom w:val="single" w:sz="12" w:space="0" w:color="000000"/>
              <w:right w:val="nil"/>
            </w:tcBorders>
            <w:shd w:val="clear" w:color="auto" w:fill="auto"/>
            <w:vAlign w:val="bottom"/>
          </w:tcPr>
          <w:p w14:paraId="323B1DF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827,965 </w:t>
            </w:r>
          </w:p>
        </w:tc>
        <w:tc>
          <w:tcPr>
            <w:tcW w:w="729" w:type="pct"/>
            <w:tcBorders>
              <w:top w:val="single" w:sz="8" w:space="0" w:color="auto"/>
              <w:left w:val="nil"/>
              <w:bottom w:val="single" w:sz="12" w:space="0" w:color="000000"/>
              <w:right w:val="nil"/>
            </w:tcBorders>
            <w:shd w:val="clear" w:color="auto" w:fill="auto"/>
            <w:vAlign w:val="bottom"/>
          </w:tcPr>
          <w:p w14:paraId="20F944D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1,163,771 </w:t>
            </w:r>
          </w:p>
        </w:tc>
        <w:tc>
          <w:tcPr>
            <w:tcW w:w="729" w:type="pct"/>
            <w:tcBorders>
              <w:top w:val="single" w:sz="8" w:space="0" w:color="auto"/>
              <w:left w:val="nil"/>
              <w:bottom w:val="single" w:sz="12" w:space="0" w:color="000000"/>
              <w:right w:val="nil"/>
            </w:tcBorders>
            <w:shd w:val="clear" w:color="auto" w:fill="auto"/>
            <w:vAlign w:val="bottom"/>
          </w:tcPr>
          <w:p w14:paraId="15D33AE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1,193,559 </w:t>
            </w:r>
          </w:p>
        </w:tc>
        <w:tc>
          <w:tcPr>
            <w:tcW w:w="729" w:type="pct"/>
            <w:tcBorders>
              <w:top w:val="single" w:sz="8" w:space="0" w:color="auto"/>
              <w:left w:val="nil"/>
              <w:bottom w:val="single" w:sz="12" w:space="0" w:color="000000"/>
              <w:right w:val="nil"/>
            </w:tcBorders>
            <w:shd w:val="clear" w:color="auto" w:fill="auto"/>
            <w:vAlign w:val="bottom"/>
          </w:tcPr>
          <w:p w14:paraId="6387BCB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hr-HR"/>
              </w:rPr>
            </w:pPr>
            <w:r w:rsidRPr="00587444">
              <w:rPr>
                <w:rFonts w:ascii="Arial" w:hAnsi="Arial" w:cs="Arial"/>
                <w:b/>
                <w:bCs/>
                <w:sz w:val="18"/>
                <w:szCs w:val="18"/>
                <w:lang w:val="en-GB"/>
              </w:rPr>
              <w:t xml:space="preserve"> 15,964,376 </w:t>
            </w:r>
          </w:p>
        </w:tc>
      </w:tr>
    </w:tbl>
    <w:p w14:paraId="08BB35D9" w14:textId="77777777" w:rsidR="00587444" w:rsidRPr="00587444" w:rsidRDefault="00587444" w:rsidP="00587444">
      <w:pPr>
        <w:tabs>
          <w:tab w:val="left" w:pos="-720"/>
          <w:tab w:val="left" w:pos="6765"/>
          <w:tab w:val="left" w:pos="8518"/>
        </w:tabs>
        <w:autoSpaceDN/>
        <w:rPr>
          <w:rFonts w:ascii="Arial" w:hAnsi="Arial" w:cs="Arial"/>
          <w:sz w:val="20"/>
          <w:szCs w:val="20"/>
          <w:lang w:val="en-GB"/>
        </w:rPr>
        <w:sectPr w:rsidR="00587444" w:rsidRPr="00587444" w:rsidSect="00DD69E7">
          <w:pgSz w:w="11907" w:h="16840" w:code="9"/>
          <w:pgMar w:top="1418" w:right="1134" w:bottom="1134" w:left="1418" w:header="851" w:footer="851" w:gutter="0"/>
          <w:cols w:space="720"/>
          <w:noEndnote/>
        </w:sectPr>
      </w:pPr>
    </w:p>
    <w:p w14:paraId="110D8646"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p w14:paraId="4EE4E6F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15.</w:t>
      </w:r>
      <w:r w:rsidRPr="00587444">
        <w:rPr>
          <w:rFonts w:ascii="Arial" w:hAnsi="Arial" w:cs="Arial"/>
          <w:b/>
          <w:bCs/>
          <w:sz w:val="20"/>
          <w:szCs w:val="20"/>
          <w:lang w:val="en-GB"/>
        </w:rPr>
        <w:tab/>
        <w:t xml:space="preserve">Loans to other customers (continued) </w:t>
      </w:r>
    </w:p>
    <w:p w14:paraId="3E7EADFC"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p w14:paraId="1CE58539"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r w:rsidRPr="00587444">
        <w:rPr>
          <w:rFonts w:ascii="Arial" w:hAnsi="Arial" w:cs="Arial"/>
          <w:sz w:val="20"/>
          <w:szCs w:val="20"/>
          <w:lang w:val="en-GB"/>
        </w:rPr>
        <w:tab/>
      </w:r>
      <w:r w:rsidRPr="00587444">
        <w:rPr>
          <w:rFonts w:ascii="Arial" w:hAnsi="Arial" w:cs="Arial"/>
          <w:sz w:val="20"/>
          <w:szCs w:val="20"/>
          <w:lang w:val="en-GB"/>
        </w:rPr>
        <w:tab/>
      </w:r>
    </w:p>
    <w:p w14:paraId="2C34AC08"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The movements in the loss allowances on loans to other customers may be summarized as follows:</w:t>
      </w:r>
    </w:p>
    <w:p w14:paraId="7BB87DF4" w14:textId="77777777" w:rsidR="00587444" w:rsidRPr="00587444" w:rsidRDefault="00587444" w:rsidP="00587444">
      <w:pPr>
        <w:keepNext/>
        <w:suppressAutoHyphens w:val="0"/>
        <w:autoSpaceDN/>
        <w:jc w:val="both"/>
        <w:rPr>
          <w:rFonts w:ascii="Arial" w:hAnsi="Arial" w:cs="Arial"/>
          <w:sz w:val="20"/>
          <w:szCs w:val="20"/>
          <w:lang w:val="en-GB"/>
        </w:rPr>
      </w:pPr>
    </w:p>
    <w:tbl>
      <w:tblPr>
        <w:tblW w:w="4990" w:type="pct"/>
        <w:tblLayout w:type="fixed"/>
        <w:tblLook w:val="0000" w:firstRow="0" w:lastRow="0" w:firstColumn="0" w:lastColumn="0" w:noHBand="0" w:noVBand="0"/>
      </w:tblPr>
      <w:tblGrid>
        <w:gridCol w:w="5479"/>
        <w:gridCol w:w="2038"/>
        <w:gridCol w:w="2035"/>
      </w:tblGrid>
      <w:tr w:rsidR="00587444" w:rsidRPr="00587444" w14:paraId="62775A39" w14:textId="77777777" w:rsidTr="00DD69E7">
        <w:trPr>
          <w:trHeight w:hRule="exact" w:val="234"/>
        </w:trPr>
        <w:tc>
          <w:tcPr>
            <w:tcW w:w="2868" w:type="pct"/>
          </w:tcPr>
          <w:p w14:paraId="6FC4EBAE" w14:textId="77777777" w:rsidR="00587444" w:rsidRPr="00587444" w:rsidRDefault="00587444" w:rsidP="00587444">
            <w:pPr>
              <w:tabs>
                <w:tab w:val="left" w:pos="-720"/>
              </w:tabs>
              <w:autoSpaceDN/>
              <w:rPr>
                <w:rFonts w:ascii="Arial" w:eastAsia="Calibri" w:hAnsi="Arial" w:cs="Arial"/>
                <w:b/>
                <w:noProof/>
                <w:spacing w:val="-3"/>
                <w:sz w:val="20"/>
                <w:szCs w:val="20"/>
                <w:lang w:val="en-GB"/>
              </w:rPr>
            </w:pPr>
          </w:p>
        </w:tc>
        <w:tc>
          <w:tcPr>
            <w:tcW w:w="1067" w:type="pct"/>
            <w:vAlign w:val="bottom"/>
          </w:tcPr>
          <w:p w14:paraId="70925DBB"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p>
        </w:tc>
        <w:tc>
          <w:tcPr>
            <w:tcW w:w="1065" w:type="pct"/>
            <w:vAlign w:val="bottom"/>
          </w:tcPr>
          <w:p w14:paraId="3A22C1F3"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noProof/>
                <w:sz w:val="20"/>
                <w:szCs w:val="20"/>
                <w:lang w:val="en-GB"/>
              </w:rPr>
              <w:t>Group and Bank</w:t>
            </w:r>
          </w:p>
        </w:tc>
      </w:tr>
      <w:tr w:rsidR="00587444" w:rsidRPr="00587444" w14:paraId="6984D5F7" w14:textId="77777777" w:rsidTr="00DD69E7">
        <w:trPr>
          <w:trHeight w:hRule="exact" w:val="502"/>
        </w:trPr>
        <w:tc>
          <w:tcPr>
            <w:tcW w:w="2868" w:type="pct"/>
          </w:tcPr>
          <w:p w14:paraId="17CD1979" w14:textId="77777777" w:rsidR="00587444" w:rsidRPr="00587444" w:rsidRDefault="00587444" w:rsidP="00587444">
            <w:pPr>
              <w:tabs>
                <w:tab w:val="left" w:pos="-720"/>
              </w:tabs>
              <w:autoSpaceDN/>
              <w:rPr>
                <w:rFonts w:ascii="Arial" w:eastAsia="Calibri" w:hAnsi="Arial" w:cs="Arial"/>
                <w:b/>
                <w:noProof/>
                <w:spacing w:val="-3"/>
                <w:sz w:val="20"/>
                <w:szCs w:val="20"/>
                <w:lang w:val="en-GB"/>
              </w:rPr>
            </w:pPr>
          </w:p>
        </w:tc>
        <w:tc>
          <w:tcPr>
            <w:tcW w:w="1067" w:type="pct"/>
            <w:vAlign w:val="bottom"/>
          </w:tcPr>
          <w:p w14:paraId="3256E57D"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hr-HR"/>
              </w:rPr>
            </w:pPr>
            <w:r w:rsidRPr="00587444">
              <w:rPr>
                <w:rFonts w:ascii="Arial" w:eastAsia="Calibri" w:hAnsi="Arial" w:cs="Arial"/>
                <w:b/>
                <w:bCs/>
                <w:noProof/>
                <w:sz w:val="20"/>
                <w:szCs w:val="20"/>
                <w:lang w:val="hr-HR"/>
              </w:rPr>
              <w:t>Jan 1 - Dec 31,</w:t>
            </w:r>
          </w:p>
          <w:p w14:paraId="4AAEBE88"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bCs/>
                <w:noProof/>
                <w:sz w:val="20"/>
                <w:szCs w:val="20"/>
                <w:lang w:val="hr-HR"/>
              </w:rPr>
              <w:t xml:space="preserve"> 2022</w:t>
            </w:r>
          </w:p>
        </w:tc>
        <w:tc>
          <w:tcPr>
            <w:tcW w:w="1065" w:type="pct"/>
            <w:vAlign w:val="bottom"/>
          </w:tcPr>
          <w:p w14:paraId="2CD0443E"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hr-HR"/>
              </w:rPr>
            </w:pPr>
            <w:r w:rsidRPr="00587444">
              <w:rPr>
                <w:rFonts w:ascii="Arial" w:eastAsia="Calibri" w:hAnsi="Arial" w:cs="Arial"/>
                <w:b/>
                <w:bCs/>
                <w:noProof/>
                <w:sz w:val="20"/>
                <w:szCs w:val="20"/>
                <w:lang w:val="hr-HR"/>
              </w:rPr>
              <w:t xml:space="preserve">Jan 1 - Dec 31, </w:t>
            </w:r>
          </w:p>
          <w:p w14:paraId="4CD6DA63"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hr-HR"/>
              </w:rPr>
            </w:pPr>
            <w:r w:rsidRPr="00587444">
              <w:rPr>
                <w:rFonts w:ascii="Arial" w:eastAsia="Calibri" w:hAnsi="Arial" w:cs="Arial"/>
                <w:b/>
                <w:bCs/>
                <w:noProof/>
                <w:sz w:val="20"/>
                <w:szCs w:val="20"/>
                <w:lang w:val="hr-HR"/>
              </w:rPr>
              <w:t>2021</w:t>
            </w:r>
          </w:p>
        </w:tc>
      </w:tr>
      <w:tr w:rsidR="00587444" w:rsidRPr="00587444" w14:paraId="16259D94" w14:textId="77777777" w:rsidTr="00DD69E7">
        <w:trPr>
          <w:trHeight w:hRule="exact" w:val="244"/>
        </w:trPr>
        <w:tc>
          <w:tcPr>
            <w:tcW w:w="2868" w:type="pct"/>
          </w:tcPr>
          <w:p w14:paraId="281141F1" w14:textId="77777777" w:rsidR="00587444" w:rsidRPr="00587444" w:rsidRDefault="00587444" w:rsidP="00587444">
            <w:pPr>
              <w:tabs>
                <w:tab w:val="left" w:pos="-720"/>
              </w:tabs>
              <w:autoSpaceDN/>
              <w:rPr>
                <w:rFonts w:ascii="Arial" w:eastAsia="Calibri" w:hAnsi="Arial" w:cs="Arial"/>
                <w:b/>
                <w:noProof/>
                <w:spacing w:val="-3"/>
                <w:sz w:val="20"/>
                <w:szCs w:val="20"/>
                <w:lang w:val="en-GB"/>
              </w:rPr>
            </w:pPr>
          </w:p>
        </w:tc>
        <w:tc>
          <w:tcPr>
            <w:tcW w:w="1067" w:type="pct"/>
            <w:vAlign w:val="bottom"/>
          </w:tcPr>
          <w:p w14:paraId="391B92E4"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bCs/>
                <w:noProof/>
                <w:sz w:val="20"/>
                <w:szCs w:val="20"/>
                <w:lang w:val="en-GB"/>
              </w:rPr>
              <w:t xml:space="preserve">HRK </w:t>
            </w:r>
            <w:r w:rsidRPr="00587444">
              <w:rPr>
                <w:rFonts w:ascii="Arial" w:hAnsi="Arial" w:cs="Arial"/>
                <w:sz w:val="20"/>
                <w:szCs w:val="20"/>
              </w:rPr>
              <w:t>‘</w:t>
            </w:r>
            <w:r w:rsidRPr="00587444">
              <w:rPr>
                <w:rFonts w:ascii="Arial" w:eastAsia="Calibri" w:hAnsi="Arial" w:cs="Arial"/>
                <w:b/>
                <w:bCs/>
                <w:noProof/>
                <w:sz w:val="20"/>
                <w:szCs w:val="20"/>
                <w:lang w:val="en-GB"/>
              </w:rPr>
              <w:t>000</w:t>
            </w:r>
          </w:p>
        </w:tc>
        <w:tc>
          <w:tcPr>
            <w:tcW w:w="1065" w:type="pct"/>
            <w:vAlign w:val="bottom"/>
          </w:tcPr>
          <w:p w14:paraId="71DF1495"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bCs/>
                <w:noProof/>
                <w:sz w:val="20"/>
                <w:szCs w:val="20"/>
                <w:lang w:val="en-GB"/>
              </w:rPr>
              <w:t xml:space="preserve">HRK </w:t>
            </w:r>
            <w:r w:rsidRPr="00587444">
              <w:rPr>
                <w:rFonts w:ascii="Arial" w:hAnsi="Arial" w:cs="Arial"/>
                <w:sz w:val="20"/>
                <w:szCs w:val="20"/>
              </w:rPr>
              <w:t>‘</w:t>
            </w:r>
            <w:r w:rsidRPr="00587444">
              <w:rPr>
                <w:rFonts w:ascii="Arial" w:eastAsia="Calibri" w:hAnsi="Arial" w:cs="Arial"/>
                <w:b/>
                <w:bCs/>
                <w:noProof/>
                <w:sz w:val="20"/>
                <w:szCs w:val="20"/>
                <w:lang w:val="en-GB"/>
              </w:rPr>
              <w:t>000</w:t>
            </w:r>
          </w:p>
        </w:tc>
      </w:tr>
      <w:tr w:rsidR="00587444" w:rsidRPr="00587444" w14:paraId="55B71333" w14:textId="77777777" w:rsidTr="00DD69E7">
        <w:trPr>
          <w:trHeight w:val="403"/>
        </w:trPr>
        <w:tc>
          <w:tcPr>
            <w:tcW w:w="2868" w:type="pct"/>
            <w:vAlign w:val="bottom"/>
          </w:tcPr>
          <w:p w14:paraId="3C1AFD93" w14:textId="77777777" w:rsidR="00587444" w:rsidRPr="00587444" w:rsidRDefault="00587444" w:rsidP="00587444">
            <w:pPr>
              <w:tabs>
                <w:tab w:val="right" w:pos="1202"/>
              </w:tabs>
              <w:suppressAutoHyphens w:val="0"/>
              <w:autoSpaceDN/>
              <w:outlineLvl w:val="0"/>
              <w:rPr>
                <w:rFonts w:ascii="Arial" w:eastAsia="Calibri" w:hAnsi="Arial" w:cs="Arial"/>
                <w:bCs/>
                <w:noProof/>
                <w:sz w:val="20"/>
                <w:szCs w:val="20"/>
                <w:lang w:val="en-GB"/>
              </w:rPr>
            </w:pPr>
            <w:r w:rsidRPr="00587444">
              <w:rPr>
                <w:rFonts w:ascii="Arial" w:eastAsia="Calibri" w:hAnsi="Arial" w:cs="Arial"/>
                <w:bCs/>
                <w:noProof/>
                <w:sz w:val="20"/>
                <w:szCs w:val="20"/>
                <w:lang w:val="en-GB"/>
              </w:rPr>
              <w:t xml:space="preserve">Balance as of 1 January </w:t>
            </w:r>
          </w:p>
        </w:tc>
        <w:tc>
          <w:tcPr>
            <w:tcW w:w="1067" w:type="pct"/>
            <w:tcBorders>
              <w:top w:val="nil"/>
              <w:left w:val="nil"/>
              <w:right w:val="nil"/>
            </w:tcBorders>
            <w:shd w:val="clear" w:color="auto" w:fill="auto"/>
            <w:vAlign w:val="bottom"/>
          </w:tcPr>
          <w:p w14:paraId="727EBCD4"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z w:val="20"/>
                <w:szCs w:val="20"/>
                <w:lang w:val="hr-HR"/>
              </w:rPr>
            </w:pPr>
            <w:r w:rsidRPr="00587444">
              <w:rPr>
                <w:rFonts w:ascii="Arial" w:hAnsi="Arial" w:cs="Arial"/>
                <w:color w:val="000000"/>
                <w:sz w:val="20"/>
                <w:szCs w:val="20"/>
              </w:rPr>
              <w:t>3,255,916</w:t>
            </w:r>
          </w:p>
        </w:tc>
        <w:tc>
          <w:tcPr>
            <w:tcW w:w="1065" w:type="pct"/>
            <w:tcBorders>
              <w:top w:val="nil"/>
              <w:left w:val="nil"/>
              <w:right w:val="nil"/>
            </w:tcBorders>
            <w:shd w:val="clear" w:color="auto" w:fill="auto"/>
            <w:vAlign w:val="bottom"/>
          </w:tcPr>
          <w:p w14:paraId="031EF559"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z w:val="20"/>
                <w:szCs w:val="20"/>
                <w:lang w:val="hr-HR"/>
              </w:rPr>
            </w:pPr>
            <w:r w:rsidRPr="00587444">
              <w:rPr>
                <w:rFonts w:ascii="Arial" w:hAnsi="Arial" w:cs="Arial"/>
                <w:color w:val="000000"/>
                <w:sz w:val="20"/>
                <w:szCs w:val="20"/>
              </w:rPr>
              <w:t>3,475,730</w:t>
            </w:r>
          </w:p>
        </w:tc>
      </w:tr>
      <w:tr w:rsidR="00587444" w:rsidRPr="00587444" w14:paraId="0E4CA075" w14:textId="77777777" w:rsidTr="00DD69E7">
        <w:trPr>
          <w:trHeight w:val="289"/>
        </w:trPr>
        <w:tc>
          <w:tcPr>
            <w:tcW w:w="2868" w:type="pct"/>
            <w:vAlign w:val="bottom"/>
          </w:tcPr>
          <w:p w14:paraId="6B686A63" w14:textId="77777777" w:rsidR="00587444" w:rsidRPr="00587444" w:rsidRDefault="00587444" w:rsidP="00587444">
            <w:pPr>
              <w:tabs>
                <w:tab w:val="right" w:pos="1202"/>
              </w:tabs>
              <w:suppressAutoHyphens w:val="0"/>
              <w:autoSpaceDN/>
              <w:outlineLvl w:val="0"/>
              <w:rPr>
                <w:rFonts w:ascii="Arial" w:eastAsia="Calibri" w:hAnsi="Arial" w:cs="Arial"/>
                <w:b/>
                <w:bCs/>
                <w:noProof/>
                <w:sz w:val="20"/>
                <w:szCs w:val="20"/>
                <w:lang w:val="en-GB"/>
              </w:rPr>
            </w:pPr>
            <w:r w:rsidRPr="00587444">
              <w:rPr>
                <w:rFonts w:ascii="Arial" w:eastAsia="Calibri" w:hAnsi="Arial" w:cs="Arial"/>
                <w:noProof/>
                <w:sz w:val="20"/>
                <w:szCs w:val="20"/>
                <w:lang w:val="en-GB"/>
              </w:rPr>
              <w:t>Net increase of loss allowances on loans to other customers and interest</w:t>
            </w:r>
          </w:p>
        </w:tc>
        <w:tc>
          <w:tcPr>
            <w:tcW w:w="1067" w:type="pct"/>
            <w:tcBorders>
              <w:left w:val="nil"/>
              <w:bottom w:val="single" w:sz="4" w:space="0" w:color="auto"/>
              <w:right w:val="nil"/>
            </w:tcBorders>
            <w:shd w:val="clear" w:color="auto" w:fill="auto"/>
            <w:vAlign w:val="bottom"/>
          </w:tcPr>
          <w:p w14:paraId="1FC64729"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hAnsi="Arial" w:cs="Arial"/>
                <w:color w:val="000000"/>
                <w:sz w:val="20"/>
                <w:szCs w:val="20"/>
              </w:rPr>
              <w:t>129,990</w:t>
            </w:r>
          </w:p>
        </w:tc>
        <w:tc>
          <w:tcPr>
            <w:tcW w:w="1065" w:type="pct"/>
            <w:tcBorders>
              <w:left w:val="nil"/>
              <w:bottom w:val="single" w:sz="4" w:space="0" w:color="auto"/>
              <w:right w:val="nil"/>
            </w:tcBorders>
            <w:shd w:val="clear" w:color="auto" w:fill="auto"/>
            <w:vAlign w:val="bottom"/>
          </w:tcPr>
          <w:p w14:paraId="14A4B8A7"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hAnsi="Arial" w:cs="Arial"/>
                <w:color w:val="000000"/>
                <w:sz w:val="20"/>
                <w:szCs w:val="20"/>
              </w:rPr>
              <w:t>78,124</w:t>
            </w:r>
          </w:p>
        </w:tc>
      </w:tr>
      <w:tr w:rsidR="00587444" w:rsidRPr="00587444" w14:paraId="5CC53162" w14:textId="77777777" w:rsidTr="00DD69E7">
        <w:trPr>
          <w:trHeight w:val="289"/>
        </w:trPr>
        <w:tc>
          <w:tcPr>
            <w:tcW w:w="2868" w:type="pct"/>
            <w:vAlign w:val="bottom"/>
          </w:tcPr>
          <w:p w14:paraId="2CB46E6A" w14:textId="77777777" w:rsidR="00587444" w:rsidRPr="00587444" w:rsidRDefault="00587444" w:rsidP="00587444">
            <w:pPr>
              <w:tabs>
                <w:tab w:val="right" w:pos="1202"/>
              </w:tabs>
              <w:suppressAutoHyphens w:val="0"/>
              <w:autoSpaceDN/>
              <w:outlineLvl w:val="0"/>
              <w:rPr>
                <w:rFonts w:ascii="Arial" w:eastAsia="Calibri" w:hAnsi="Arial" w:cs="Arial"/>
                <w:b/>
                <w:bCs/>
                <w:i/>
                <w:noProof/>
                <w:sz w:val="20"/>
                <w:szCs w:val="20"/>
                <w:lang w:val="en-GB"/>
              </w:rPr>
            </w:pPr>
            <w:r w:rsidRPr="00587444">
              <w:rPr>
                <w:rFonts w:ascii="Arial" w:eastAsia="Calibri" w:hAnsi="Arial" w:cs="Arial"/>
                <w:i/>
                <w:noProof/>
                <w:sz w:val="20"/>
                <w:szCs w:val="20"/>
                <w:lang w:val="en-GB"/>
              </w:rPr>
              <w:t>Total recognised through Income Statement (Note 10)</w:t>
            </w:r>
          </w:p>
        </w:tc>
        <w:tc>
          <w:tcPr>
            <w:tcW w:w="1067" w:type="pct"/>
            <w:tcBorders>
              <w:top w:val="single" w:sz="4" w:space="0" w:color="auto"/>
              <w:left w:val="nil"/>
              <w:bottom w:val="single" w:sz="4" w:space="0" w:color="auto"/>
              <w:right w:val="nil"/>
            </w:tcBorders>
            <w:shd w:val="clear" w:color="auto" w:fill="auto"/>
            <w:vAlign w:val="bottom"/>
          </w:tcPr>
          <w:p w14:paraId="20FC9E0B" w14:textId="77777777" w:rsidR="00587444" w:rsidRPr="00587444" w:rsidRDefault="00587444" w:rsidP="00587444">
            <w:pPr>
              <w:tabs>
                <w:tab w:val="right" w:pos="1202"/>
              </w:tabs>
              <w:suppressAutoHyphens w:val="0"/>
              <w:autoSpaceDN/>
              <w:jc w:val="right"/>
              <w:outlineLvl w:val="0"/>
              <w:rPr>
                <w:rFonts w:ascii="Arial" w:eastAsia="Calibri" w:hAnsi="Arial" w:cs="Arial"/>
                <w:bCs/>
                <w:i/>
                <w:noProof/>
                <w:sz w:val="20"/>
                <w:szCs w:val="20"/>
                <w:lang w:val="en-GB"/>
              </w:rPr>
            </w:pPr>
            <w:r w:rsidRPr="00587444">
              <w:rPr>
                <w:rFonts w:ascii="Arial" w:hAnsi="Arial" w:cs="Arial"/>
                <w:bCs/>
                <w:i/>
                <w:color w:val="000000"/>
                <w:sz w:val="20"/>
                <w:szCs w:val="20"/>
              </w:rPr>
              <w:t>129,990</w:t>
            </w:r>
          </w:p>
        </w:tc>
        <w:tc>
          <w:tcPr>
            <w:tcW w:w="1065" w:type="pct"/>
            <w:tcBorders>
              <w:top w:val="single" w:sz="4" w:space="0" w:color="auto"/>
              <w:left w:val="nil"/>
              <w:bottom w:val="single" w:sz="4" w:space="0" w:color="auto"/>
              <w:right w:val="nil"/>
            </w:tcBorders>
            <w:shd w:val="clear" w:color="auto" w:fill="auto"/>
            <w:vAlign w:val="bottom"/>
          </w:tcPr>
          <w:p w14:paraId="1647D50E" w14:textId="77777777" w:rsidR="00587444" w:rsidRPr="00587444" w:rsidRDefault="00587444" w:rsidP="00587444">
            <w:pPr>
              <w:tabs>
                <w:tab w:val="right" w:pos="1202"/>
              </w:tabs>
              <w:suppressAutoHyphens w:val="0"/>
              <w:autoSpaceDN/>
              <w:jc w:val="right"/>
              <w:outlineLvl w:val="0"/>
              <w:rPr>
                <w:rFonts w:ascii="Arial" w:eastAsia="Calibri" w:hAnsi="Arial" w:cs="Arial"/>
                <w:bCs/>
                <w:i/>
                <w:noProof/>
                <w:sz w:val="20"/>
                <w:szCs w:val="20"/>
                <w:lang w:val="en-GB"/>
              </w:rPr>
            </w:pPr>
            <w:r w:rsidRPr="00587444">
              <w:rPr>
                <w:rFonts w:ascii="Arial" w:hAnsi="Arial" w:cs="Arial"/>
                <w:bCs/>
                <w:i/>
                <w:color w:val="000000"/>
                <w:sz w:val="20"/>
                <w:szCs w:val="20"/>
              </w:rPr>
              <w:t>78,124</w:t>
            </w:r>
          </w:p>
        </w:tc>
      </w:tr>
      <w:tr w:rsidR="00587444" w:rsidRPr="00587444" w14:paraId="7EAE5913" w14:textId="77777777" w:rsidTr="00DD69E7">
        <w:trPr>
          <w:trHeight w:val="289"/>
        </w:trPr>
        <w:tc>
          <w:tcPr>
            <w:tcW w:w="2868" w:type="pct"/>
            <w:vAlign w:val="bottom"/>
          </w:tcPr>
          <w:p w14:paraId="14045864" w14:textId="77777777" w:rsidR="00587444" w:rsidRPr="00587444" w:rsidRDefault="00587444" w:rsidP="00587444">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noProof/>
                <w:sz w:val="20"/>
                <w:szCs w:val="20"/>
                <w:lang w:val="en-GB"/>
              </w:rPr>
              <w:t>Net foreign exchange gain/loss on loss allowances</w:t>
            </w:r>
          </w:p>
        </w:tc>
        <w:tc>
          <w:tcPr>
            <w:tcW w:w="1067" w:type="pct"/>
            <w:tcBorders>
              <w:top w:val="single" w:sz="4" w:space="0" w:color="auto"/>
              <w:left w:val="nil"/>
              <w:right w:val="nil"/>
            </w:tcBorders>
            <w:shd w:val="clear" w:color="auto" w:fill="auto"/>
            <w:vAlign w:val="bottom"/>
          </w:tcPr>
          <w:p w14:paraId="05BFBB5D"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hAnsi="Arial" w:cs="Arial"/>
                <w:color w:val="000000"/>
                <w:sz w:val="20"/>
                <w:szCs w:val="20"/>
              </w:rPr>
              <w:t xml:space="preserve"> 10,178 </w:t>
            </w:r>
          </w:p>
        </w:tc>
        <w:tc>
          <w:tcPr>
            <w:tcW w:w="1065" w:type="pct"/>
            <w:tcBorders>
              <w:top w:val="single" w:sz="4" w:space="0" w:color="auto"/>
              <w:left w:val="nil"/>
              <w:right w:val="nil"/>
            </w:tcBorders>
            <w:shd w:val="clear" w:color="auto" w:fill="auto"/>
            <w:vAlign w:val="bottom"/>
          </w:tcPr>
          <w:p w14:paraId="278399C1"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hAnsi="Arial" w:cs="Arial"/>
                <w:color w:val="000000"/>
                <w:sz w:val="20"/>
                <w:szCs w:val="20"/>
              </w:rPr>
              <w:t>10,478</w:t>
            </w:r>
          </w:p>
        </w:tc>
      </w:tr>
      <w:tr w:rsidR="00587444" w:rsidRPr="00587444" w14:paraId="34562908" w14:textId="77777777" w:rsidTr="00DD69E7">
        <w:trPr>
          <w:trHeight w:val="289"/>
        </w:trPr>
        <w:tc>
          <w:tcPr>
            <w:tcW w:w="2868" w:type="pct"/>
            <w:vAlign w:val="bottom"/>
          </w:tcPr>
          <w:p w14:paraId="019C378D" w14:textId="77777777" w:rsidR="00587444" w:rsidRPr="00587444" w:rsidRDefault="00587444" w:rsidP="00587444">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noProof/>
                <w:sz w:val="20"/>
                <w:szCs w:val="20"/>
                <w:lang w:val="en-GB"/>
              </w:rPr>
              <w:t>Write-offs</w:t>
            </w:r>
          </w:p>
        </w:tc>
        <w:tc>
          <w:tcPr>
            <w:tcW w:w="1067" w:type="pct"/>
            <w:tcBorders>
              <w:left w:val="nil"/>
              <w:right w:val="nil"/>
            </w:tcBorders>
            <w:shd w:val="clear" w:color="auto" w:fill="auto"/>
            <w:vAlign w:val="bottom"/>
          </w:tcPr>
          <w:p w14:paraId="610BC342"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hAnsi="Arial" w:cs="Arial"/>
                <w:color w:val="000000"/>
                <w:sz w:val="20"/>
                <w:szCs w:val="20"/>
              </w:rPr>
              <w:t xml:space="preserve"> (28,183)</w:t>
            </w:r>
          </w:p>
        </w:tc>
        <w:tc>
          <w:tcPr>
            <w:tcW w:w="1065" w:type="pct"/>
            <w:tcBorders>
              <w:left w:val="nil"/>
              <w:right w:val="nil"/>
            </w:tcBorders>
            <w:shd w:val="clear" w:color="auto" w:fill="auto"/>
            <w:vAlign w:val="bottom"/>
          </w:tcPr>
          <w:p w14:paraId="1B4EAD2C"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hAnsi="Arial" w:cs="Arial"/>
                <w:color w:val="000000"/>
                <w:sz w:val="20"/>
                <w:szCs w:val="20"/>
              </w:rPr>
              <w:t>(35,053)</w:t>
            </w:r>
          </w:p>
        </w:tc>
      </w:tr>
      <w:tr w:rsidR="00587444" w:rsidRPr="00587444" w14:paraId="7166DE8A" w14:textId="77777777" w:rsidTr="00DD69E7">
        <w:trPr>
          <w:trHeight w:val="289"/>
        </w:trPr>
        <w:tc>
          <w:tcPr>
            <w:tcW w:w="2868" w:type="pct"/>
            <w:vAlign w:val="bottom"/>
          </w:tcPr>
          <w:p w14:paraId="6870ECA6" w14:textId="77777777" w:rsidR="00587444" w:rsidRPr="00587444" w:rsidRDefault="00587444" w:rsidP="00587444">
            <w:pPr>
              <w:tabs>
                <w:tab w:val="right" w:pos="1202"/>
              </w:tabs>
              <w:suppressAutoHyphens w:val="0"/>
              <w:autoSpaceDN/>
              <w:outlineLvl w:val="0"/>
              <w:rPr>
                <w:rFonts w:ascii="Arial" w:eastAsia="Calibri" w:hAnsi="Arial" w:cs="Arial"/>
                <w:noProof/>
                <w:sz w:val="20"/>
                <w:szCs w:val="20"/>
                <w:lang w:val="en-GB"/>
              </w:rPr>
            </w:pPr>
            <w:r w:rsidRPr="00587444">
              <w:rPr>
                <w:rFonts w:ascii="Arial" w:eastAsia="Calibri" w:hAnsi="Arial" w:cs="Arial"/>
                <w:noProof/>
                <w:sz w:val="20"/>
                <w:szCs w:val="20"/>
                <w:lang w:val="en-GB"/>
              </w:rPr>
              <w:t>Transfer to off-balance sheet records</w:t>
            </w:r>
          </w:p>
        </w:tc>
        <w:tc>
          <w:tcPr>
            <w:tcW w:w="1067" w:type="pct"/>
            <w:tcBorders>
              <w:left w:val="nil"/>
              <w:right w:val="nil"/>
            </w:tcBorders>
            <w:shd w:val="clear" w:color="auto" w:fill="auto"/>
            <w:vAlign w:val="bottom"/>
          </w:tcPr>
          <w:p w14:paraId="4F3386DA"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hAnsi="Arial" w:cs="Arial"/>
                <w:color w:val="000000"/>
                <w:sz w:val="20"/>
                <w:szCs w:val="20"/>
              </w:rPr>
              <w:t xml:space="preserve"> (20,121)</w:t>
            </w:r>
          </w:p>
        </w:tc>
        <w:tc>
          <w:tcPr>
            <w:tcW w:w="1065" w:type="pct"/>
            <w:tcBorders>
              <w:left w:val="nil"/>
              <w:right w:val="nil"/>
            </w:tcBorders>
            <w:shd w:val="clear" w:color="auto" w:fill="auto"/>
            <w:vAlign w:val="bottom"/>
          </w:tcPr>
          <w:p w14:paraId="06C93E47"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z w:val="20"/>
                <w:szCs w:val="20"/>
                <w:lang w:val="hr-HR"/>
              </w:rPr>
            </w:pPr>
            <w:r w:rsidRPr="00587444">
              <w:rPr>
                <w:rFonts w:ascii="Arial" w:hAnsi="Arial" w:cs="Arial"/>
                <w:color w:val="000000"/>
                <w:sz w:val="20"/>
                <w:szCs w:val="20"/>
              </w:rPr>
              <w:t>(271,036)</w:t>
            </w:r>
          </w:p>
        </w:tc>
      </w:tr>
      <w:tr w:rsidR="00587444" w:rsidRPr="00587444" w14:paraId="3A6A6E32" w14:textId="77777777" w:rsidTr="00DD69E7">
        <w:trPr>
          <w:trHeight w:val="289"/>
        </w:trPr>
        <w:tc>
          <w:tcPr>
            <w:tcW w:w="2868" w:type="pct"/>
            <w:vAlign w:val="bottom"/>
          </w:tcPr>
          <w:p w14:paraId="05826C87" w14:textId="77777777" w:rsidR="00AE4D68" w:rsidRDefault="00587444" w:rsidP="00587444">
            <w:pPr>
              <w:tabs>
                <w:tab w:val="right" w:pos="1202"/>
              </w:tabs>
              <w:suppressAutoHyphens w:val="0"/>
              <w:autoSpaceDN/>
              <w:outlineLvl w:val="0"/>
              <w:rPr>
                <w:rFonts w:ascii="Arial" w:hAnsi="Arial" w:cs="Arial"/>
                <w:sz w:val="20"/>
                <w:szCs w:val="20"/>
              </w:rPr>
            </w:pPr>
            <w:r w:rsidRPr="00587444">
              <w:rPr>
                <w:rFonts w:ascii="Arial" w:hAnsi="Arial" w:cs="Arial"/>
                <w:sz w:val="20"/>
                <w:szCs w:val="20"/>
              </w:rPr>
              <w:t xml:space="preserve">Derecognition due to the reduction to fair value </w:t>
            </w:r>
            <w:proofErr w:type="gramStart"/>
            <w:r w:rsidRPr="00587444">
              <w:rPr>
                <w:rFonts w:ascii="Arial" w:hAnsi="Arial" w:cs="Arial"/>
                <w:sz w:val="20"/>
                <w:szCs w:val="20"/>
              </w:rPr>
              <w:t>as a result of</w:t>
            </w:r>
            <w:proofErr w:type="gramEnd"/>
            <w:r w:rsidRPr="00587444">
              <w:rPr>
                <w:rFonts w:ascii="Arial" w:hAnsi="Arial" w:cs="Arial"/>
                <w:sz w:val="20"/>
                <w:szCs w:val="20"/>
              </w:rPr>
              <w:t xml:space="preserve"> the transfer to the portfolio of financial assets at fair </w:t>
            </w:r>
          </w:p>
          <w:p w14:paraId="12744F8B" w14:textId="59C8C034" w:rsidR="00587444" w:rsidRPr="00587444" w:rsidRDefault="00587444" w:rsidP="00587444">
            <w:pPr>
              <w:tabs>
                <w:tab w:val="right" w:pos="1202"/>
              </w:tabs>
              <w:suppressAutoHyphens w:val="0"/>
              <w:autoSpaceDN/>
              <w:outlineLvl w:val="0"/>
              <w:rPr>
                <w:rFonts w:ascii="Arial" w:eastAsia="Calibri" w:hAnsi="Arial" w:cs="Arial"/>
                <w:noProof/>
                <w:sz w:val="20"/>
                <w:szCs w:val="20"/>
                <w:lang w:val="en-GB"/>
              </w:rPr>
            </w:pPr>
            <w:r w:rsidRPr="00587444">
              <w:rPr>
                <w:rFonts w:ascii="Arial" w:hAnsi="Arial" w:cs="Arial"/>
                <w:sz w:val="20"/>
                <w:szCs w:val="20"/>
              </w:rPr>
              <w:t>value through profit or loss</w:t>
            </w:r>
          </w:p>
        </w:tc>
        <w:tc>
          <w:tcPr>
            <w:tcW w:w="1067" w:type="pct"/>
            <w:tcBorders>
              <w:left w:val="nil"/>
              <w:right w:val="nil"/>
            </w:tcBorders>
            <w:shd w:val="clear" w:color="auto" w:fill="auto"/>
            <w:vAlign w:val="bottom"/>
          </w:tcPr>
          <w:p w14:paraId="131C4145" w14:textId="77777777" w:rsidR="00587444" w:rsidRPr="00587444" w:rsidDel="00273FBF"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rPr>
              <w:t>-</w:t>
            </w:r>
          </w:p>
        </w:tc>
        <w:tc>
          <w:tcPr>
            <w:tcW w:w="1065" w:type="pct"/>
            <w:tcBorders>
              <w:left w:val="nil"/>
              <w:right w:val="nil"/>
            </w:tcBorders>
            <w:shd w:val="clear" w:color="auto" w:fill="auto"/>
            <w:vAlign w:val="bottom"/>
          </w:tcPr>
          <w:p w14:paraId="3E00A944"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rPr>
              <w:t>(48,019)</w:t>
            </w:r>
          </w:p>
        </w:tc>
      </w:tr>
      <w:tr w:rsidR="00587444" w:rsidRPr="00587444" w14:paraId="6BAB27AF" w14:textId="77777777" w:rsidTr="00DD69E7">
        <w:trPr>
          <w:trHeight w:val="289"/>
        </w:trPr>
        <w:tc>
          <w:tcPr>
            <w:tcW w:w="2868" w:type="pct"/>
            <w:vAlign w:val="bottom"/>
          </w:tcPr>
          <w:p w14:paraId="20123B80" w14:textId="77777777" w:rsidR="00587444" w:rsidRPr="00587444" w:rsidRDefault="00587444" w:rsidP="00587444">
            <w:pPr>
              <w:tabs>
                <w:tab w:val="right" w:pos="1202"/>
              </w:tabs>
              <w:suppressAutoHyphens w:val="0"/>
              <w:autoSpaceDN/>
              <w:outlineLvl w:val="0"/>
              <w:rPr>
                <w:rFonts w:ascii="Arial" w:eastAsia="Calibri" w:hAnsi="Arial" w:cs="Arial"/>
                <w:noProof/>
                <w:sz w:val="20"/>
                <w:szCs w:val="20"/>
                <w:lang w:val="en-GB"/>
              </w:rPr>
            </w:pPr>
            <w:r w:rsidRPr="00587444">
              <w:rPr>
                <w:rFonts w:ascii="Arial" w:hAnsi="Arial" w:cs="Arial"/>
                <w:color w:val="3C4043"/>
                <w:sz w:val="20"/>
                <w:szCs w:val="20"/>
              </w:rPr>
              <w:t>Derecognition due to sale of receivables</w:t>
            </w:r>
          </w:p>
        </w:tc>
        <w:tc>
          <w:tcPr>
            <w:tcW w:w="1067" w:type="pct"/>
            <w:tcBorders>
              <w:left w:val="nil"/>
              <w:right w:val="nil"/>
            </w:tcBorders>
            <w:shd w:val="clear" w:color="auto" w:fill="auto"/>
            <w:vAlign w:val="bottom"/>
          </w:tcPr>
          <w:p w14:paraId="76814DFA" w14:textId="77777777" w:rsidR="00587444" w:rsidRPr="00587444" w:rsidDel="00273FBF"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rPr>
              <w:t>-</w:t>
            </w:r>
          </w:p>
        </w:tc>
        <w:tc>
          <w:tcPr>
            <w:tcW w:w="1065" w:type="pct"/>
            <w:tcBorders>
              <w:left w:val="nil"/>
              <w:right w:val="nil"/>
            </w:tcBorders>
            <w:shd w:val="clear" w:color="auto" w:fill="auto"/>
            <w:vAlign w:val="bottom"/>
          </w:tcPr>
          <w:p w14:paraId="59995DAA"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rPr>
              <w:t>(737)</w:t>
            </w:r>
          </w:p>
        </w:tc>
      </w:tr>
      <w:tr w:rsidR="00587444" w:rsidRPr="00587444" w14:paraId="48B18D00" w14:textId="77777777" w:rsidTr="00DD69E7">
        <w:trPr>
          <w:trHeight w:val="289"/>
        </w:trPr>
        <w:tc>
          <w:tcPr>
            <w:tcW w:w="2868" w:type="pct"/>
            <w:vAlign w:val="bottom"/>
          </w:tcPr>
          <w:p w14:paraId="201E581E" w14:textId="77777777" w:rsidR="00587444" w:rsidRPr="00587444" w:rsidRDefault="00587444" w:rsidP="00587444">
            <w:pPr>
              <w:tabs>
                <w:tab w:val="right" w:pos="1202"/>
              </w:tabs>
              <w:suppressAutoHyphens w:val="0"/>
              <w:autoSpaceDN/>
              <w:outlineLvl w:val="0"/>
              <w:rPr>
                <w:rFonts w:ascii="Arial" w:eastAsia="Calibri" w:hAnsi="Arial" w:cs="Arial"/>
                <w:noProof/>
                <w:sz w:val="20"/>
                <w:szCs w:val="20"/>
                <w:lang w:val="en-GB"/>
              </w:rPr>
            </w:pPr>
            <w:r w:rsidRPr="00587444">
              <w:rPr>
                <w:rFonts w:ascii="Arial" w:eastAsia="Calibri" w:hAnsi="Arial" w:cs="Arial"/>
                <w:noProof/>
                <w:sz w:val="20"/>
                <w:szCs w:val="20"/>
                <w:lang w:val="en-GB"/>
              </w:rPr>
              <w:t xml:space="preserve">Loss allowances transferred from loans to financial institutions </w:t>
            </w:r>
          </w:p>
        </w:tc>
        <w:tc>
          <w:tcPr>
            <w:tcW w:w="1067" w:type="pct"/>
            <w:tcBorders>
              <w:left w:val="nil"/>
              <w:right w:val="nil"/>
            </w:tcBorders>
            <w:shd w:val="clear" w:color="auto" w:fill="auto"/>
            <w:vAlign w:val="bottom"/>
          </w:tcPr>
          <w:p w14:paraId="47272DF8"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z w:val="20"/>
                <w:szCs w:val="20"/>
                <w:lang w:val="hr-HR"/>
              </w:rPr>
            </w:pPr>
            <w:r w:rsidRPr="00587444">
              <w:rPr>
                <w:rFonts w:ascii="Arial" w:hAnsi="Arial" w:cs="Arial"/>
                <w:color w:val="000000"/>
                <w:sz w:val="20"/>
                <w:szCs w:val="20"/>
              </w:rPr>
              <w:t>-</w:t>
            </w:r>
          </w:p>
        </w:tc>
        <w:tc>
          <w:tcPr>
            <w:tcW w:w="1065" w:type="pct"/>
            <w:tcBorders>
              <w:left w:val="nil"/>
              <w:right w:val="nil"/>
            </w:tcBorders>
            <w:shd w:val="clear" w:color="auto" w:fill="auto"/>
            <w:vAlign w:val="bottom"/>
          </w:tcPr>
          <w:p w14:paraId="451B7057"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hAnsi="Arial" w:cs="Arial"/>
                <w:color w:val="000000"/>
                <w:sz w:val="20"/>
                <w:szCs w:val="20"/>
              </w:rPr>
              <w:t>16</w:t>
            </w:r>
          </w:p>
        </w:tc>
      </w:tr>
      <w:tr w:rsidR="00587444" w:rsidRPr="00587444" w14:paraId="08D8330A" w14:textId="77777777" w:rsidTr="00DD69E7">
        <w:trPr>
          <w:trHeight w:val="289"/>
        </w:trPr>
        <w:tc>
          <w:tcPr>
            <w:tcW w:w="2868" w:type="pct"/>
            <w:vAlign w:val="bottom"/>
          </w:tcPr>
          <w:p w14:paraId="5E7B1935" w14:textId="77777777" w:rsidR="00587444" w:rsidRPr="00587444" w:rsidRDefault="00587444" w:rsidP="00587444">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noProof/>
                <w:sz w:val="20"/>
                <w:szCs w:val="20"/>
                <w:lang w:val="en-GB"/>
              </w:rPr>
              <w:t>Unwinding – changes due to the lapse of time</w:t>
            </w:r>
          </w:p>
        </w:tc>
        <w:tc>
          <w:tcPr>
            <w:tcW w:w="1067" w:type="pct"/>
            <w:tcBorders>
              <w:left w:val="nil"/>
              <w:right w:val="nil"/>
            </w:tcBorders>
            <w:shd w:val="clear" w:color="auto" w:fill="auto"/>
            <w:vAlign w:val="bottom"/>
          </w:tcPr>
          <w:p w14:paraId="3382E8C9"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hAnsi="Arial" w:cs="Arial"/>
                <w:color w:val="000000"/>
                <w:sz w:val="20"/>
                <w:szCs w:val="20"/>
              </w:rPr>
              <w:t>13,859</w:t>
            </w:r>
          </w:p>
        </w:tc>
        <w:tc>
          <w:tcPr>
            <w:tcW w:w="1065" w:type="pct"/>
            <w:tcBorders>
              <w:left w:val="nil"/>
              <w:right w:val="nil"/>
            </w:tcBorders>
            <w:shd w:val="clear" w:color="auto" w:fill="auto"/>
            <w:vAlign w:val="bottom"/>
          </w:tcPr>
          <w:p w14:paraId="40293B64"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hAnsi="Arial" w:cs="Arial"/>
                <w:color w:val="000000"/>
                <w:sz w:val="20"/>
                <w:szCs w:val="20"/>
              </w:rPr>
              <w:t>25,087</w:t>
            </w:r>
          </w:p>
        </w:tc>
      </w:tr>
      <w:tr w:rsidR="00587444" w:rsidRPr="00587444" w14:paraId="5B8D7C81" w14:textId="77777777" w:rsidTr="00DD69E7">
        <w:trPr>
          <w:trHeight w:val="289"/>
        </w:trPr>
        <w:tc>
          <w:tcPr>
            <w:tcW w:w="2868" w:type="pct"/>
            <w:vAlign w:val="bottom"/>
          </w:tcPr>
          <w:p w14:paraId="692AB396" w14:textId="77777777" w:rsidR="00587444" w:rsidRPr="00587444" w:rsidRDefault="00587444" w:rsidP="00587444">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noProof/>
                <w:sz w:val="20"/>
                <w:szCs w:val="20"/>
                <w:lang w:val="en-GB"/>
              </w:rPr>
              <w:t>Acquisition of immovable property</w:t>
            </w:r>
          </w:p>
        </w:tc>
        <w:tc>
          <w:tcPr>
            <w:tcW w:w="1067" w:type="pct"/>
            <w:tcBorders>
              <w:left w:val="nil"/>
              <w:right w:val="nil"/>
            </w:tcBorders>
            <w:shd w:val="clear" w:color="auto" w:fill="auto"/>
            <w:vAlign w:val="bottom"/>
          </w:tcPr>
          <w:p w14:paraId="26388119"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hAnsi="Arial" w:cs="Arial"/>
                <w:color w:val="000000"/>
                <w:sz w:val="20"/>
                <w:szCs w:val="20"/>
              </w:rPr>
              <w:t>-</w:t>
            </w:r>
          </w:p>
        </w:tc>
        <w:tc>
          <w:tcPr>
            <w:tcW w:w="1065" w:type="pct"/>
            <w:tcBorders>
              <w:left w:val="nil"/>
              <w:right w:val="nil"/>
            </w:tcBorders>
            <w:shd w:val="clear" w:color="auto" w:fill="auto"/>
            <w:vAlign w:val="bottom"/>
          </w:tcPr>
          <w:p w14:paraId="60BD5C5E"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hAnsi="Arial" w:cs="Arial"/>
                <w:color w:val="000000"/>
                <w:sz w:val="20"/>
                <w:szCs w:val="20"/>
              </w:rPr>
              <w:t>-</w:t>
            </w:r>
          </w:p>
        </w:tc>
      </w:tr>
      <w:tr w:rsidR="00587444" w:rsidRPr="00587444" w14:paraId="318C5165" w14:textId="77777777" w:rsidTr="00DD69E7">
        <w:trPr>
          <w:trHeight w:val="289"/>
        </w:trPr>
        <w:tc>
          <w:tcPr>
            <w:tcW w:w="2868" w:type="pct"/>
            <w:vAlign w:val="bottom"/>
          </w:tcPr>
          <w:p w14:paraId="5DEE5274" w14:textId="77777777" w:rsidR="00587444" w:rsidRPr="00587444" w:rsidRDefault="00587444" w:rsidP="00587444">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noProof/>
                <w:sz w:val="20"/>
                <w:szCs w:val="20"/>
                <w:lang w:val="en-GB"/>
              </w:rPr>
              <w:t>Interest transferred from the off-balance sheet records and other</w:t>
            </w:r>
          </w:p>
        </w:tc>
        <w:tc>
          <w:tcPr>
            <w:tcW w:w="1067" w:type="pct"/>
            <w:tcBorders>
              <w:left w:val="nil"/>
              <w:bottom w:val="single" w:sz="4" w:space="0" w:color="auto"/>
              <w:right w:val="nil"/>
            </w:tcBorders>
            <w:shd w:val="clear" w:color="auto" w:fill="auto"/>
            <w:vAlign w:val="bottom"/>
          </w:tcPr>
          <w:p w14:paraId="1ADE1412"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hAnsi="Arial" w:cs="Arial"/>
                <w:color w:val="000000"/>
                <w:sz w:val="20"/>
                <w:szCs w:val="20"/>
              </w:rPr>
              <w:t>93,386</w:t>
            </w:r>
          </w:p>
        </w:tc>
        <w:tc>
          <w:tcPr>
            <w:tcW w:w="1065" w:type="pct"/>
            <w:tcBorders>
              <w:left w:val="nil"/>
              <w:bottom w:val="single" w:sz="4" w:space="0" w:color="auto"/>
              <w:right w:val="nil"/>
            </w:tcBorders>
            <w:shd w:val="clear" w:color="auto" w:fill="auto"/>
            <w:vAlign w:val="bottom"/>
          </w:tcPr>
          <w:p w14:paraId="54B4A78B"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hAnsi="Arial" w:cs="Arial"/>
                <w:color w:val="000000"/>
                <w:sz w:val="20"/>
                <w:szCs w:val="20"/>
              </w:rPr>
              <w:t>21,326</w:t>
            </w:r>
          </w:p>
        </w:tc>
      </w:tr>
      <w:tr w:rsidR="00587444" w:rsidRPr="00587444" w14:paraId="33048AAB" w14:textId="77777777" w:rsidTr="00DD69E7">
        <w:trPr>
          <w:trHeight w:val="289"/>
        </w:trPr>
        <w:tc>
          <w:tcPr>
            <w:tcW w:w="2868" w:type="pct"/>
            <w:vAlign w:val="bottom"/>
          </w:tcPr>
          <w:p w14:paraId="6F1B579F" w14:textId="77777777" w:rsidR="00587444" w:rsidRPr="00587444" w:rsidRDefault="00587444" w:rsidP="00587444">
            <w:pPr>
              <w:tabs>
                <w:tab w:val="right" w:pos="1202"/>
              </w:tabs>
              <w:suppressAutoHyphens w:val="0"/>
              <w:autoSpaceDN/>
              <w:outlineLvl w:val="0"/>
              <w:rPr>
                <w:rFonts w:ascii="Arial" w:eastAsia="Calibri" w:hAnsi="Arial" w:cs="Arial"/>
                <w:b/>
                <w:bCs/>
                <w:noProof/>
                <w:sz w:val="20"/>
                <w:szCs w:val="20"/>
                <w:lang w:val="en-GB"/>
              </w:rPr>
            </w:pPr>
            <w:r w:rsidRPr="00587444">
              <w:rPr>
                <w:rFonts w:ascii="Arial" w:eastAsia="Calibri" w:hAnsi="Arial" w:cs="Arial"/>
                <w:b/>
                <w:bCs/>
                <w:noProof/>
                <w:sz w:val="20"/>
                <w:szCs w:val="20"/>
                <w:lang w:val="en-GB"/>
              </w:rPr>
              <w:t>Balance at the end of the reporting period</w:t>
            </w:r>
          </w:p>
        </w:tc>
        <w:tc>
          <w:tcPr>
            <w:tcW w:w="1067" w:type="pct"/>
            <w:tcBorders>
              <w:top w:val="single" w:sz="4" w:space="0" w:color="auto"/>
              <w:left w:val="nil"/>
              <w:bottom w:val="single" w:sz="12" w:space="0" w:color="auto"/>
              <w:right w:val="nil"/>
            </w:tcBorders>
            <w:shd w:val="clear" w:color="auto" w:fill="auto"/>
            <w:vAlign w:val="bottom"/>
          </w:tcPr>
          <w:p w14:paraId="06FD56FE"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en-GB"/>
              </w:rPr>
            </w:pPr>
            <w:r w:rsidRPr="00587444">
              <w:rPr>
                <w:rFonts w:ascii="Arial" w:hAnsi="Arial" w:cs="Arial"/>
                <w:b/>
                <w:color w:val="000000"/>
                <w:sz w:val="20"/>
                <w:szCs w:val="20"/>
              </w:rPr>
              <w:t>3,455,025</w:t>
            </w:r>
          </w:p>
        </w:tc>
        <w:tc>
          <w:tcPr>
            <w:tcW w:w="1065" w:type="pct"/>
            <w:tcBorders>
              <w:top w:val="single" w:sz="4" w:space="0" w:color="auto"/>
              <w:left w:val="nil"/>
              <w:bottom w:val="single" w:sz="12" w:space="0" w:color="auto"/>
              <w:right w:val="nil"/>
            </w:tcBorders>
            <w:shd w:val="clear" w:color="auto" w:fill="auto"/>
            <w:vAlign w:val="bottom"/>
          </w:tcPr>
          <w:p w14:paraId="3FFEF4DD"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en-GB"/>
              </w:rPr>
            </w:pPr>
            <w:r w:rsidRPr="00587444">
              <w:rPr>
                <w:rFonts w:ascii="Arial" w:hAnsi="Arial" w:cs="Arial"/>
                <w:b/>
                <w:color w:val="000000"/>
                <w:sz w:val="20"/>
                <w:szCs w:val="20"/>
              </w:rPr>
              <w:t>3,255,916</w:t>
            </w:r>
          </w:p>
        </w:tc>
      </w:tr>
    </w:tbl>
    <w:p w14:paraId="5048876E" w14:textId="77777777" w:rsidR="00587444" w:rsidRPr="00587444" w:rsidRDefault="00587444" w:rsidP="00587444">
      <w:pPr>
        <w:keepNext/>
        <w:suppressAutoHyphens w:val="0"/>
        <w:autoSpaceDN/>
        <w:jc w:val="both"/>
        <w:rPr>
          <w:rFonts w:ascii="Arial" w:hAnsi="Arial" w:cs="Arial"/>
          <w:sz w:val="20"/>
          <w:szCs w:val="20"/>
          <w:lang w:val="en-GB"/>
        </w:rPr>
      </w:pPr>
    </w:p>
    <w:p w14:paraId="0980617A" w14:textId="77777777" w:rsidR="00587444" w:rsidRPr="00587444" w:rsidRDefault="00587444" w:rsidP="00587444">
      <w:pPr>
        <w:suppressAutoHyphens w:val="0"/>
        <w:autoSpaceDN/>
        <w:jc w:val="both"/>
        <w:rPr>
          <w:rFonts w:ascii="Arial" w:hAnsi="Arial" w:cs="Arial"/>
          <w:bCs/>
          <w:sz w:val="20"/>
          <w:szCs w:val="20"/>
          <w:lang w:val="en-GB"/>
        </w:rPr>
      </w:pPr>
    </w:p>
    <w:p w14:paraId="1D2848FC" w14:textId="77777777" w:rsidR="00587444" w:rsidRPr="00587444" w:rsidRDefault="00587444" w:rsidP="00880B90">
      <w:pPr>
        <w:autoSpaceDN/>
        <w:jc w:val="both"/>
        <w:rPr>
          <w:rFonts w:ascii="Arial" w:hAnsi="Arial" w:cs="Arial"/>
          <w:bCs/>
          <w:sz w:val="20"/>
          <w:szCs w:val="20"/>
          <w:lang w:val="en-GB"/>
        </w:rPr>
      </w:pPr>
      <w:r w:rsidRPr="00587444">
        <w:rPr>
          <w:rFonts w:ascii="Arial" w:hAnsi="Arial" w:cs="Arial"/>
          <w:bCs/>
          <w:sz w:val="20"/>
          <w:szCs w:val="20"/>
          <w:lang w:val="en-GB"/>
        </w:rPr>
        <w:t>Net foreign exchange gain/loss on loss allowances are shown within net gains/(losses) from financial activities in the Income Statement.</w:t>
      </w:r>
    </w:p>
    <w:p w14:paraId="2D849FD9" w14:textId="77777777" w:rsidR="00587444" w:rsidRPr="00587444" w:rsidRDefault="00587444" w:rsidP="00880B90">
      <w:pPr>
        <w:autoSpaceDN/>
        <w:jc w:val="both"/>
        <w:rPr>
          <w:rFonts w:ascii="Arial" w:hAnsi="Arial" w:cs="Arial"/>
          <w:sz w:val="20"/>
          <w:szCs w:val="20"/>
          <w:lang w:val="en-GB"/>
        </w:rPr>
      </w:pPr>
    </w:p>
    <w:p w14:paraId="53F5196E" w14:textId="77777777"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The write-off of receivables in the amount of HRK 28,183 thousand relates mostly to the permanent removal from the business records due to the sale of receivables, due to the debtor's bankruptcy proceedings and termination of operations, as well as due to the pre-bankruptcy settlement.</w:t>
      </w:r>
    </w:p>
    <w:p w14:paraId="7CDD6361" w14:textId="77777777" w:rsidR="00587444" w:rsidRPr="00587444" w:rsidRDefault="00587444" w:rsidP="00880B90">
      <w:pPr>
        <w:autoSpaceDN/>
        <w:jc w:val="both"/>
        <w:rPr>
          <w:rFonts w:ascii="Arial" w:hAnsi="Arial" w:cs="Arial"/>
          <w:sz w:val="20"/>
          <w:szCs w:val="20"/>
          <w:lang w:val="en-GB"/>
        </w:rPr>
      </w:pPr>
    </w:p>
    <w:p w14:paraId="543A78F2" w14:textId="77777777"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 xml:space="preserve">The transfer to the off-balance sheet records in the amount of HRK 20,121 thousand was performed </w:t>
      </w:r>
      <w:proofErr w:type="gramStart"/>
      <w:r w:rsidRPr="00587444">
        <w:rPr>
          <w:rFonts w:ascii="Arial" w:hAnsi="Arial" w:cs="Arial"/>
          <w:sz w:val="20"/>
          <w:szCs w:val="20"/>
          <w:lang w:val="en-GB"/>
        </w:rPr>
        <w:t>on the basis of</w:t>
      </w:r>
      <w:proofErr w:type="gramEnd"/>
      <w:r w:rsidRPr="00587444">
        <w:rPr>
          <w:rFonts w:ascii="Arial" w:hAnsi="Arial" w:cs="Arial"/>
          <w:sz w:val="20"/>
          <w:szCs w:val="20"/>
          <w:lang w:val="en-GB"/>
        </w:rPr>
        <w:t xml:space="preserve"> the prescribed criteria in the Methodology for the Write-off of Receivables.</w:t>
      </w:r>
    </w:p>
    <w:p w14:paraId="623ECDBA" w14:textId="77777777" w:rsidR="00587444" w:rsidRPr="00587444" w:rsidRDefault="00587444" w:rsidP="00880B90">
      <w:pPr>
        <w:autoSpaceDN/>
        <w:jc w:val="both"/>
        <w:rPr>
          <w:rFonts w:ascii="Arial" w:hAnsi="Arial" w:cs="Arial"/>
          <w:sz w:val="20"/>
          <w:szCs w:val="20"/>
          <w:lang w:val="en-GB"/>
        </w:rPr>
      </w:pPr>
    </w:p>
    <w:p w14:paraId="1E675567" w14:textId="77777777"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In 2021 the cancellation of provisions due to the reduction to fair value in the amount of HRK 48,019 thousand was carried out after the pre-bankruptcy settlement of the debtor, based on which 50% of the debt was converted into senior debt, and 50% into mezzanine debt. When reducing the mezzanine debt to fair value, the previously formed provisions were cancelled.</w:t>
      </w:r>
    </w:p>
    <w:p w14:paraId="7D441B6B" w14:textId="77777777" w:rsidR="00587444" w:rsidRPr="00587444" w:rsidRDefault="00587444" w:rsidP="00587444">
      <w:pPr>
        <w:suppressAutoHyphens w:val="0"/>
        <w:autoSpaceDN/>
        <w:rPr>
          <w:rFonts w:ascii="Arial" w:hAnsi="Arial" w:cs="Arial"/>
          <w:sz w:val="20"/>
          <w:szCs w:val="20"/>
          <w:lang w:val="hr-HR"/>
        </w:rPr>
      </w:pPr>
    </w:p>
    <w:p w14:paraId="38DCD141" w14:textId="77777777" w:rsidR="00587444" w:rsidRPr="00587444" w:rsidRDefault="00587444" w:rsidP="00587444">
      <w:pPr>
        <w:suppressAutoHyphens w:val="0"/>
        <w:autoSpaceDN/>
        <w:spacing w:before="120" w:after="100" w:line="260" w:lineRule="exact"/>
        <w:jc w:val="both"/>
        <w:rPr>
          <w:rFonts w:ascii="Arial" w:hAnsi="Arial" w:cs="Arial"/>
          <w:bCs/>
          <w:sz w:val="20"/>
          <w:szCs w:val="20"/>
          <w:lang w:val="en-GB"/>
        </w:rPr>
      </w:pPr>
    </w:p>
    <w:p w14:paraId="0A548E59" w14:textId="77777777" w:rsidR="00587444" w:rsidRPr="00587444" w:rsidRDefault="00587444" w:rsidP="00587444">
      <w:pPr>
        <w:suppressAutoHyphens w:val="0"/>
        <w:autoSpaceDN/>
        <w:spacing w:before="120" w:after="100" w:line="260" w:lineRule="exact"/>
        <w:jc w:val="both"/>
        <w:rPr>
          <w:rFonts w:ascii="Arial" w:hAnsi="Arial" w:cs="Arial"/>
          <w:bCs/>
          <w:sz w:val="20"/>
          <w:szCs w:val="20"/>
          <w:lang w:val="en-GB"/>
        </w:rPr>
      </w:pPr>
    </w:p>
    <w:p w14:paraId="68E596BD" w14:textId="77777777" w:rsidR="00587444" w:rsidRPr="00587444" w:rsidRDefault="00587444" w:rsidP="00587444">
      <w:pPr>
        <w:suppressAutoHyphens w:val="0"/>
        <w:autoSpaceDN/>
        <w:spacing w:before="120" w:after="100" w:line="260" w:lineRule="exact"/>
        <w:jc w:val="both"/>
        <w:rPr>
          <w:rFonts w:ascii="Arial" w:hAnsi="Arial" w:cs="Arial"/>
          <w:bCs/>
          <w:sz w:val="20"/>
          <w:szCs w:val="20"/>
          <w:lang w:val="en-GB"/>
        </w:rPr>
        <w:sectPr w:rsidR="00587444" w:rsidRPr="00587444" w:rsidSect="00DD69E7">
          <w:pgSz w:w="11907" w:h="16840" w:code="9"/>
          <w:pgMar w:top="1418" w:right="1134" w:bottom="1134" w:left="1418" w:header="851" w:footer="851" w:gutter="0"/>
          <w:cols w:space="720"/>
          <w:noEndnote/>
        </w:sectPr>
      </w:pPr>
    </w:p>
    <w:p w14:paraId="4AD4C98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6043CCA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15.</w:t>
      </w:r>
      <w:r w:rsidRPr="00587444">
        <w:rPr>
          <w:rFonts w:ascii="Arial" w:hAnsi="Arial" w:cs="Arial"/>
          <w:b/>
          <w:bCs/>
          <w:sz w:val="20"/>
          <w:szCs w:val="20"/>
          <w:lang w:val="en-GB"/>
        </w:rPr>
        <w:tab/>
        <w:t xml:space="preserve">Loans to other customers (continued) </w:t>
      </w:r>
    </w:p>
    <w:p w14:paraId="240E2A1C" w14:textId="77777777" w:rsidR="00587444" w:rsidRPr="00587444" w:rsidRDefault="00587444" w:rsidP="00587444">
      <w:pPr>
        <w:keepNext/>
        <w:suppressAutoHyphens w:val="0"/>
        <w:autoSpaceDN/>
        <w:jc w:val="both"/>
        <w:rPr>
          <w:rFonts w:ascii="Arial" w:eastAsia="Calibri" w:hAnsi="Arial" w:cs="Arial"/>
          <w:sz w:val="20"/>
          <w:szCs w:val="20"/>
        </w:rPr>
      </w:pPr>
      <w:bookmarkStart w:id="683" w:name="_Hlk522010752"/>
    </w:p>
    <w:bookmarkEnd w:id="683"/>
    <w:p w14:paraId="4E72440B" w14:textId="77777777" w:rsidR="00587444" w:rsidRPr="00587444" w:rsidRDefault="00587444" w:rsidP="00587444">
      <w:pPr>
        <w:tabs>
          <w:tab w:val="left" w:pos="-720"/>
          <w:tab w:val="left" w:pos="0"/>
          <w:tab w:val="left" w:pos="851"/>
        </w:tabs>
        <w:suppressAutoHyphens w:val="0"/>
        <w:autoSpaceDN/>
        <w:spacing w:after="120"/>
        <w:contextualSpacing/>
        <w:jc w:val="both"/>
        <w:rPr>
          <w:rFonts w:ascii="Arial" w:hAnsi="Arial" w:cs="Arial"/>
          <w:sz w:val="20"/>
          <w:szCs w:val="20"/>
          <w:lang w:eastAsia="hr-HR"/>
        </w:rPr>
      </w:pPr>
      <w:r w:rsidRPr="00587444">
        <w:rPr>
          <w:rFonts w:ascii="Arial" w:hAnsi="Arial" w:cs="Arial"/>
          <w:sz w:val="20"/>
          <w:szCs w:val="20"/>
          <w:lang w:eastAsia="hr-HR"/>
        </w:rPr>
        <w:t xml:space="preserve">Loans to other customers, net of loss allowances, may be summarized by loan </w:t>
      </w:r>
      <w:proofErr w:type="spellStart"/>
      <w:r w:rsidRPr="00587444">
        <w:rPr>
          <w:rFonts w:ascii="Arial" w:hAnsi="Arial" w:cs="Arial"/>
          <w:sz w:val="20"/>
          <w:szCs w:val="20"/>
          <w:lang w:eastAsia="hr-HR"/>
        </w:rPr>
        <w:t>programme</w:t>
      </w:r>
      <w:proofErr w:type="spellEnd"/>
      <w:r w:rsidRPr="00587444">
        <w:rPr>
          <w:rFonts w:ascii="Arial" w:hAnsi="Arial" w:cs="Arial"/>
          <w:sz w:val="20"/>
          <w:szCs w:val="20"/>
          <w:lang w:eastAsia="hr-HR"/>
        </w:rPr>
        <w:t xml:space="preserve"> as follows:</w:t>
      </w:r>
    </w:p>
    <w:tbl>
      <w:tblPr>
        <w:tblpPr w:leftFromText="180" w:rightFromText="180" w:vertAnchor="text" w:horzAnchor="margin" w:tblpY="351"/>
        <w:tblW w:w="4797" w:type="pct"/>
        <w:tblLayout w:type="fixed"/>
        <w:tblCellMar>
          <w:left w:w="107" w:type="dxa"/>
          <w:right w:w="107" w:type="dxa"/>
        </w:tblCellMar>
        <w:tblLook w:val="0000" w:firstRow="0" w:lastRow="0" w:firstColumn="0" w:lastColumn="0" w:noHBand="0" w:noVBand="0"/>
      </w:tblPr>
      <w:tblGrid>
        <w:gridCol w:w="6090"/>
        <w:gridCol w:w="1544"/>
        <w:gridCol w:w="1546"/>
      </w:tblGrid>
      <w:tr w:rsidR="00587444" w:rsidRPr="00587444" w14:paraId="652E6EB0" w14:textId="77777777" w:rsidTr="00DD69E7">
        <w:trPr>
          <w:trHeight w:val="290"/>
        </w:trPr>
        <w:tc>
          <w:tcPr>
            <w:tcW w:w="3317" w:type="pct"/>
          </w:tcPr>
          <w:p w14:paraId="10A94BF7" w14:textId="77777777" w:rsidR="00587444" w:rsidRPr="00587444" w:rsidRDefault="00587444" w:rsidP="00587444">
            <w:pPr>
              <w:tabs>
                <w:tab w:val="left" w:pos="-720"/>
              </w:tabs>
              <w:autoSpaceDN/>
              <w:rPr>
                <w:rFonts w:ascii="Arial" w:hAnsi="Arial" w:cs="Arial"/>
                <w:spacing w:val="-3"/>
                <w:sz w:val="20"/>
                <w:szCs w:val="20"/>
                <w:lang w:val="en-GB"/>
              </w:rPr>
            </w:pPr>
          </w:p>
        </w:tc>
        <w:tc>
          <w:tcPr>
            <w:tcW w:w="1683" w:type="pct"/>
            <w:gridSpan w:val="2"/>
          </w:tcPr>
          <w:p w14:paraId="49D400C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684" w:name="_Toc4058681"/>
            <w:r w:rsidRPr="00587444">
              <w:rPr>
                <w:rFonts w:ascii="Arial" w:hAnsi="Arial" w:cs="Arial"/>
                <w:b/>
                <w:sz w:val="20"/>
                <w:szCs w:val="20"/>
                <w:lang w:val="hr-HR"/>
              </w:rPr>
              <w:t>Group and Bank</w:t>
            </w:r>
            <w:bookmarkEnd w:id="684"/>
          </w:p>
        </w:tc>
      </w:tr>
      <w:tr w:rsidR="00587444" w:rsidRPr="00587444" w14:paraId="0CBEA9E2" w14:textId="77777777" w:rsidTr="00DD69E7">
        <w:trPr>
          <w:trHeight w:val="232"/>
        </w:trPr>
        <w:tc>
          <w:tcPr>
            <w:tcW w:w="3317" w:type="pct"/>
          </w:tcPr>
          <w:p w14:paraId="41595012" w14:textId="77777777" w:rsidR="00587444" w:rsidRPr="00587444" w:rsidRDefault="00587444" w:rsidP="00587444">
            <w:pPr>
              <w:tabs>
                <w:tab w:val="left" w:pos="-720"/>
              </w:tabs>
              <w:autoSpaceDN/>
              <w:rPr>
                <w:rFonts w:ascii="Arial" w:hAnsi="Arial" w:cs="Arial"/>
                <w:spacing w:val="-3"/>
                <w:sz w:val="20"/>
                <w:szCs w:val="20"/>
                <w:lang w:val="en-GB"/>
              </w:rPr>
            </w:pPr>
          </w:p>
        </w:tc>
        <w:tc>
          <w:tcPr>
            <w:tcW w:w="841" w:type="pct"/>
            <w:vAlign w:val="center"/>
          </w:tcPr>
          <w:p w14:paraId="1A619F3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685" w:name="_Toc4058682"/>
            <w:r w:rsidRPr="00587444">
              <w:rPr>
                <w:rFonts w:ascii="Arial" w:hAnsi="Arial" w:cs="Arial"/>
                <w:b/>
                <w:sz w:val="20"/>
                <w:szCs w:val="20"/>
                <w:lang w:val="hr-HR"/>
              </w:rPr>
              <w:t xml:space="preserve">31 December </w:t>
            </w:r>
            <w:bookmarkEnd w:id="685"/>
            <w:r w:rsidRPr="00587444">
              <w:rPr>
                <w:rFonts w:ascii="Arial" w:hAnsi="Arial" w:cs="Arial"/>
                <w:b/>
                <w:sz w:val="20"/>
                <w:szCs w:val="20"/>
                <w:lang w:val="hr-HR"/>
              </w:rPr>
              <w:t>2022</w:t>
            </w:r>
          </w:p>
        </w:tc>
        <w:tc>
          <w:tcPr>
            <w:tcW w:w="842" w:type="pct"/>
            <w:vAlign w:val="center"/>
          </w:tcPr>
          <w:p w14:paraId="2E2641F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686" w:name="_Toc4058683"/>
            <w:r w:rsidRPr="00587444">
              <w:rPr>
                <w:rFonts w:ascii="Arial" w:hAnsi="Arial" w:cs="Arial"/>
                <w:b/>
                <w:sz w:val="20"/>
                <w:szCs w:val="20"/>
                <w:lang w:val="hr-HR"/>
              </w:rPr>
              <w:t xml:space="preserve">31 December </w:t>
            </w:r>
            <w:bookmarkEnd w:id="686"/>
            <w:r w:rsidRPr="00587444">
              <w:rPr>
                <w:rFonts w:ascii="Arial" w:hAnsi="Arial" w:cs="Arial"/>
                <w:b/>
                <w:sz w:val="20"/>
                <w:szCs w:val="20"/>
                <w:lang w:val="hr-HR"/>
              </w:rPr>
              <w:t>2021</w:t>
            </w:r>
          </w:p>
        </w:tc>
      </w:tr>
      <w:tr w:rsidR="00587444" w:rsidRPr="00587444" w14:paraId="5DE3A396" w14:textId="77777777" w:rsidTr="00DD69E7">
        <w:trPr>
          <w:trHeight w:val="161"/>
        </w:trPr>
        <w:tc>
          <w:tcPr>
            <w:tcW w:w="3317" w:type="pct"/>
          </w:tcPr>
          <w:p w14:paraId="0987F934" w14:textId="77777777" w:rsidR="00587444" w:rsidRPr="00587444" w:rsidRDefault="00587444" w:rsidP="00587444">
            <w:pPr>
              <w:tabs>
                <w:tab w:val="left" w:pos="-720"/>
              </w:tabs>
              <w:autoSpaceDN/>
              <w:rPr>
                <w:rFonts w:ascii="Arial" w:hAnsi="Arial" w:cs="Arial"/>
                <w:spacing w:val="-3"/>
                <w:sz w:val="20"/>
                <w:szCs w:val="20"/>
                <w:lang w:val="en-GB"/>
              </w:rPr>
            </w:pPr>
          </w:p>
        </w:tc>
        <w:tc>
          <w:tcPr>
            <w:tcW w:w="841" w:type="pct"/>
            <w:vAlign w:val="center"/>
          </w:tcPr>
          <w:p w14:paraId="406FF8E9"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842" w:type="pct"/>
            <w:vAlign w:val="center"/>
          </w:tcPr>
          <w:p w14:paraId="22ACE54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r>
      <w:tr w:rsidR="00587444" w:rsidRPr="00587444" w14:paraId="5853C35B" w14:textId="77777777" w:rsidTr="00DD69E7">
        <w:trPr>
          <w:trHeight w:val="190"/>
        </w:trPr>
        <w:tc>
          <w:tcPr>
            <w:tcW w:w="3317" w:type="pct"/>
          </w:tcPr>
          <w:p w14:paraId="01079B72" w14:textId="77777777" w:rsidR="00587444" w:rsidRPr="00587444" w:rsidRDefault="00587444" w:rsidP="00587444">
            <w:pPr>
              <w:tabs>
                <w:tab w:val="left" w:pos="-720"/>
              </w:tabs>
              <w:autoSpaceDN/>
              <w:rPr>
                <w:rFonts w:ascii="Arial" w:hAnsi="Arial" w:cs="Arial"/>
                <w:spacing w:val="-3"/>
                <w:sz w:val="20"/>
                <w:szCs w:val="20"/>
                <w:lang w:val="en-GB"/>
              </w:rPr>
            </w:pPr>
          </w:p>
        </w:tc>
        <w:tc>
          <w:tcPr>
            <w:tcW w:w="841" w:type="pct"/>
          </w:tcPr>
          <w:p w14:paraId="1BE311C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87" w:name="_Toc4058684"/>
            <w:r w:rsidRPr="00587444">
              <w:rPr>
                <w:rFonts w:ascii="Arial" w:hAnsi="Arial" w:cs="Arial"/>
                <w:b/>
                <w:sz w:val="20"/>
                <w:szCs w:val="20"/>
                <w:lang w:val="en-GB"/>
              </w:rPr>
              <w:t>HRK ‘000</w:t>
            </w:r>
            <w:bookmarkEnd w:id="687"/>
          </w:p>
        </w:tc>
        <w:tc>
          <w:tcPr>
            <w:tcW w:w="842" w:type="pct"/>
          </w:tcPr>
          <w:p w14:paraId="712CA21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88" w:name="_Toc4058685"/>
            <w:r w:rsidRPr="00587444">
              <w:rPr>
                <w:rFonts w:ascii="Arial" w:hAnsi="Arial" w:cs="Arial"/>
                <w:b/>
                <w:sz w:val="20"/>
                <w:szCs w:val="20"/>
                <w:lang w:val="en-GB"/>
              </w:rPr>
              <w:t>HRK ‘000</w:t>
            </w:r>
            <w:bookmarkEnd w:id="688"/>
          </w:p>
        </w:tc>
      </w:tr>
      <w:tr w:rsidR="00587444" w:rsidRPr="00587444" w14:paraId="539BAC4A" w14:textId="77777777" w:rsidTr="00DD69E7">
        <w:trPr>
          <w:trHeight w:val="359"/>
        </w:trPr>
        <w:tc>
          <w:tcPr>
            <w:tcW w:w="3317" w:type="pct"/>
            <w:vAlign w:val="bottom"/>
          </w:tcPr>
          <w:p w14:paraId="207A5EB1"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EU Projects</w:t>
            </w:r>
          </w:p>
        </w:tc>
        <w:tc>
          <w:tcPr>
            <w:tcW w:w="841" w:type="pct"/>
            <w:tcBorders>
              <w:top w:val="nil"/>
              <w:left w:val="nil"/>
              <w:bottom w:val="nil"/>
              <w:right w:val="nil"/>
            </w:tcBorders>
            <w:shd w:val="clear" w:color="auto" w:fill="auto"/>
            <w:vAlign w:val="bottom"/>
          </w:tcPr>
          <w:p w14:paraId="118F5D9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412,237</w:t>
            </w:r>
          </w:p>
        </w:tc>
        <w:tc>
          <w:tcPr>
            <w:tcW w:w="842" w:type="pct"/>
            <w:tcBorders>
              <w:top w:val="nil"/>
              <w:left w:val="nil"/>
              <w:bottom w:val="nil"/>
              <w:right w:val="nil"/>
            </w:tcBorders>
            <w:shd w:val="clear" w:color="auto" w:fill="auto"/>
            <w:vAlign w:val="bottom"/>
          </w:tcPr>
          <w:p w14:paraId="4406CAB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308,294</w:t>
            </w:r>
          </w:p>
        </w:tc>
      </w:tr>
      <w:tr w:rsidR="00587444" w:rsidRPr="00587444" w14:paraId="45AE4E33" w14:textId="77777777" w:rsidTr="00DD69E7">
        <w:trPr>
          <w:trHeight w:val="359"/>
        </w:trPr>
        <w:tc>
          <w:tcPr>
            <w:tcW w:w="3317" w:type="pct"/>
            <w:vAlign w:val="bottom"/>
          </w:tcPr>
          <w:p w14:paraId="162D7C9C"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Financial Restructuring</w:t>
            </w:r>
          </w:p>
        </w:tc>
        <w:tc>
          <w:tcPr>
            <w:tcW w:w="841" w:type="pct"/>
            <w:tcBorders>
              <w:top w:val="nil"/>
              <w:left w:val="nil"/>
              <w:bottom w:val="nil"/>
              <w:right w:val="nil"/>
            </w:tcBorders>
            <w:shd w:val="clear" w:color="auto" w:fill="auto"/>
            <w:vAlign w:val="bottom"/>
          </w:tcPr>
          <w:p w14:paraId="6A122B7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1,203,663</w:t>
            </w:r>
          </w:p>
        </w:tc>
        <w:tc>
          <w:tcPr>
            <w:tcW w:w="842" w:type="pct"/>
            <w:tcBorders>
              <w:top w:val="nil"/>
              <w:left w:val="nil"/>
              <w:bottom w:val="nil"/>
              <w:right w:val="nil"/>
            </w:tcBorders>
            <w:shd w:val="clear" w:color="auto" w:fill="auto"/>
            <w:vAlign w:val="bottom"/>
          </w:tcPr>
          <w:p w14:paraId="561A2FF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1,186,514</w:t>
            </w:r>
          </w:p>
        </w:tc>
      </w:tr>
      <w:tr w:rsidR="00587444" w:rsidRPr="00587444" w14:paraId="56B26347" w14:textId="77777777" w:rsidTr="00DD69E7">
        <w:trPr>
          <w:trHeight w:val="359"/>
        </w:trPr>
        <w:tc>
          <w:tcPr>
            <w:tcW w:w="3317" w:type="pct"/>
            <w:vAlign w:val="bottom"/>
          </w:tcPr>
          <w:p w14:paraId="4AFADAF6"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Pre-Export Finance</w:t>
            </w:r>
          </w:p>
        </w:tc>
        <w:tc>
          <w:tcPr>
            <w:tcW w:w="841" w:type="pct"/>
            <w:tcBorders>
              <w:top w:val="nil"/>
              <w:left w:val="nil"/>
              <w:bottom w:val="nil"/>
              <w:right w:val="nil"/>
            </w:tcBorders>
            <w:shd w:val="clear" w:color="auto" w:fill="auto"/>
            <w:vAlign w:val="bottom"/>
          </w:tcPr>
          <w:p w14:paraId="14AEE07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134,084</w:t>
            </w:r>
          </w:p>
        </w:tc>
        <w:tc>
          <w:tcPr>
            <w:tcW w:w="842" w:type="pct"/>
            <w:tcBorders>
              <w:top w:val="nil"/>
              <w:left w:val="nil"/>
              <w:bottom w:val="nil"/>
              <w:right w:val="nil"/>
            </w:tcBorders>
            <w:shd w:val="clear" w:color="auto" w:fill="auto"/>
            <w:vAlign w:val="bottom"/>
          </w:tcPr>
          <w:p w14:paraId="13E5170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96,193</w:t>
            </w:r>
          </w:p>
        </w:tc>
      </w:tr>
      <w:tr w:rsidR="00587444" w:rsidRPr="00587444" w14:paraId="72700C59" w14:textId="77777777" w:rsidTr="00DD69E7">
        <w:trPr>
          <w:trHeight w:val="359"/>
        </w:trPr>
        <w:tc>
          <w:tcPr>
            <w:tcW w:w="3317" w:type="pct"/>
            <w:vAlign w:val="bottom"/>
          </w:tcPr>
          <w:p w14:paraId="149789EA"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Public Sector Investment</w:t>
            </w:r>
          </w:p>
        </w:tc>
        <w:tc>
          <w:tcPr>
            <w:tcW w:w="841" w:type="pct"/>
            <w:tcBorders>
              <w:top w:val="nil"/>
              <w:left w:val="nil"/>
              <w:bottom w:val="nil"/>
              <w:right w:val="nil"/>
            </w:tcBorders>
            <w:shd w:val="clear" w:color="auto" w:fill="auto"/>
            <w:vAlign w:val="bottom"/>
          </w:tcPr>
          <w:p w14:paraId="149297C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2,142,558</w:t>
            </w:r>
          </w:p>
        </w:tc>
        <w:tc>
          <w:tcPr>
            <w:tcW w:w="842" w:type="pct"/>
            <w:tcBorders>
              <w:top w:val="nil"/>
              <w:left w:val="nil"/>
              <w:bottom w:val="nil"/>
              <w:right w:val="nil"/>
            </w:tcBorders>
            <w:shd w:val="clear" w:color="auto" w:fill="auto"/>
            <w:vAlign w:val="bottom"/>
          </w:tcPr>
          <w:p w14:paraId="56D6330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1,478,380</w:t>
            </w:r>
          </w:p>
        </w:tc>
      </w:tr>
      <w:tr w:rsidR="00587444" w:rsidRPr="00587444" w14:paraId="3E04FCBF" w14:textId="77777777" w:rsidTr="00DD69E7">
        <w:trPr>
          <w:trHeight w:val="359"/>
        </w:trPr>
        <w:tc>
          <w:tcPr>
            <w:tcW w:w="3317" w:type="pct"/>
            <w:vAlign w:val="bottom"/>
          </w:tcPr>
          <w:p w14:paraId="4F96A1C0"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Private Sector Investment</w:t>
            </w:r>
          </w:p>
        </w:tc>
        <w:tc>
          <w:tcPr>
            <w:tcW w:w="841" w:type="pct"/>
            <w:tcBorders>
              <w:top w:val="nil"/>
              <w:left w:val="nil"/>
              <w:bottom w:val="nil"/>
              <w:right w:val="nil"/>
            </w:tcBorders>
            <w:shd w:val="clear" w:color="auto" w:fill="auto"/>
            <w:vAlign w:val="bottom"/>
          </w:tcPr>
          <w:p w14:paraId="60C8207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1,217,719</w:t>
            </w:r>
          </w:p>
        </w:tc>
        <w:tc>
          <w:tcPr>
            <w:tcW w:w="842" w:type="pct"/>
            <w:tcBorders>
              <w:top w:val="nil"/>
              <w:left w:val="nil"/>
              <w:bottom w:val="nil"/>
              <w:right w:val="nil"/>
            </w:tcBorders>
            <w:shd w:val="clear" w:color="auto" w:fill="auto"/>
            <w:vAlign w:val="bottom"/>
          </w:tcPr>
          <w:p w14:paraId="789317C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730,358</w:t>
            </w:r>
          </w:p>
        </w:tc>
      </w:tr>
      <w:tr w:rsidR="00587444" w:rsidRPr="00587444" w14:paraId="688EDB39" w14:textId="77777777" w:rsidTr="00DD69E7">
        <w:trPr>
          <w:trHeight w:val="359"/>
        </w:trPr>
        <w:tc>
          <w:tcPr>
            <w:tcW w:w="3317" w:type="pct"/>
            <w:vAlign w:val="bottom"/>
          </w:tcPr>
          <w:p w14:paraId="60610D2B"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Youth, Female, Start-up Entrepreneurship</w:t>
            </w:r>
          </w:p>
        </w:tc>
        <w:tc>
          <w:tcPr>
            <w:tcW w:w="841" w:type="pct"/>
            <w:tcBorders>
              <w:top w:val="nil"/>
              <w:left w:val="nil"/>
              <w:bottom w:val="nil"/>
              <w:right w:val="nil"/>
            </w:tcBorders>
            <w:shd w:val="clear" w:color="auto" w:fill="auto"/>
            <w:vAlign w:val="bottom"/>
          </w:tcPr>
          <w:p w14:paraId="0643060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50,564</w:t>
            </w:r>
          </w:p>
        </w:tc>
        <w:tc>
          <w:tcPr>
            <w:tcW w:w="842" w:type="pct"/>
            <w:tcBorders>
              <w:top w:val="nil"/>
              <w:left w:val="nil"/>
              <w:bottom w:val="nil"/>
              <w:right w:val="nil"/>
            </w:tcBorders>
            <w:shd w:val="clear" w:color="auto" w:fill="auto"/>
            <w:vAlign w:val="bottom"/>
          </w:tcPr>
          <w:p w14:paraId="544B51D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31,287</w:t>
            </w:r>
          </w:p>
        </w:tc>
      </w:tr>
      <w:tr w:rsidR="00587444" w:rsidRPr="00587444" w14:paraId="2E001B04" w14:textId="77777777" w:rsidTr="00DD69E7">
        <w:trPr>
          <w:trHeight w:val="359"/>
        </w:trPr>
        <w:tc>
          <w:tcPr>
            <w:tcW w:w="3317" w:type="pct"/>
            <w:vAlign w:val="bottom"/>
          </w:tcPr>
          <w:p w14:paraId="4B7D162A"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Working Capital</w:t>
            </w:r>
          </w:p>
        </w:tc>
        <w:tc>
          <w:tcPr>
            <w:tcW w:w="841" w:type="pct"/>
            <w:tcBorders>
              <w:top w:val="nil"/>
              <w:left w:val="nil"/>
              <w:bottom w:val="nil"/>
              <w:right w:val="nil"/>
            </w:tcBorders>
            <w:shd w:val="clear" w:color="auto" w:fill="auto"/>
            <w:vAlign w:val="bottom"/>
          </w:tcPr>
          <w:p w14:paraId="18C817C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1,919,588</w:t>
            </w:r>
          </w:p>
        </w:tc>
        <w:tc>
          <w:tcPr>
            <w:tcW w:w="842" w:type="pct"/>
            <w:tcBorders>
              <w:top w:val="nil"/>
              <w:left w:val="nil"/>
              <w:bottom w:val="nil"/>
              <w:right w:val="nil"/>
            </w:tcBorders>
            <w:shd w:val="clear" w:color="auto" w:fill="auto"/>
            <w:vAlign w:val="bottom"/>
          </w:tcPr>
          <w:p w14:paraId="4F453B4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690,681</w:t>
            </w:r>
          </w:p>
        </w:tc>
      </w:tr>
      <w:tr w:rsidR="00587444" w:rsidRPr="00587444" w14:paraId="42A26E5D" w14:textId="77777777" w:rsidTr="00DD69E7">
        <w:trPr>
          <w:trHeight w:val="359"/>
        </w:trPr>
        <w:tc>
          <w:tcPr>
            <w:tcW w:w="3317" w:type="pct"/>
            <w:vAlign w:val="bottom"/>
          </w:tcPr>
          <w:p w14:paraId="55192478"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Working Capital – COVID 19 measures and CRISIS 2022</w:t>
            </w:r>
            <w:r w:rsidRPr="00587444">
              <w:rPr>
                <w:rFonts w:ascii="Arial" w:hAnsi="Arial" w:cs="Arial"/>
                <w:color w:val="000000"/>
                <w:spacing w:val="-3"/>
                <w:sz w:val="20"/>
                <w:szCs w:val="20"/>
                <w:vertAlign w:val="superscript"/>
              </w:rPr>
              <w:footnoteReference w:id="3"/>
            </w:r>
          </w:p>
        </w:tc>
        <w:tc>
          <w:tcPr>
            <w:tcW w:w="841" w:type="pct"/>
            <w:tcBorders>
              <w:top w:val="nil"/>
              <w:left w:val="nil"/>
              <w:bottom w:val="nil"/>
              <w:right w:val="nil"/>
            </w:tcBorders>
            <w:shd w:val="clear" w:color="auto" w:fill="auto"/>
            <w:vAlign w:val="bottom"/>
          </w:tcPr>
          <w:p w14:paraId="4098FC6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2,639,314</w:t>
            </w:r>
          </w:p>
        </w:tc>
        <w:tc>
          <w:tcPr>
            <w:tcW w:w="842" w:type="pct"/>
            <w:tcBorders>
              <w:top w:val="nil"/>
              <w:left w:val="nil"/>
              <w:bottom w:val="nil"/>
              <w:right w:val="nil"/>
            </w:tcBorders>
            <w:shd w:val="clear" w:color="auto" w:fill="auto"/>
            <w:vAlign w:val="bottom"/>
          </w:tcPr>
          <w:p w14:paraId="4817584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1,645,736</w:t>
            </w:r>
          </w:p>
        </w:tc>
      </w:tr>
      <w:tr w:rsidR="00587444" w:rsidRPr="00587444" w14:paraId="1698EB2A" w14:textId="77777777" w:rsidTr="00DD69E7">
        <w:trPr>
          <w:trHeight w:val="359"/>
        </w:trPr>
        <w:tc>
          <w:tcPr>
            <w:tcW w:w="3317" w:type="pct"/>
            <w:vAlign w:val="bottom"/>
          </w:tcPr>
          <w:p w14:paraId="08B3B755" w14:textId="77777777" w:rsidR="00AE4D68"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89" w:name="_Toc4058686"/>
            <w:r w:rsidRPr="00587444">
              <w:rPr>
                <w:rFonts w:ascii="Arial" w:hAnsi="Arial" w:cs="Arial"/>
                <w:sz w:val="20"/>
                <w:szCs w:val="20"/>
                <w:lang w:val="en-GB"/>
              </w:rPr>
              <w:t xml:space="preserve">Loan programme for reconstruction and development of the </w:t>
            </w:r>
          </w:p>
          <w:p w14:paraId="6C70C611" w14:textId="778A1E2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economy</w:t>
            </w:r>
            <w:bookmarkEnd w:id="689"/>
          </w:p>
        </w:tc>
        <w:tc>
          <w:tcPr>
            <w:tcW w:w="841" w:type="pct"/>
            <w:tcBorders>
              <w:top w:val="nil"/>
              <w:left w:val="nil"/>
              <w:bottom w:val="nil"/>
              <w:right w:val="nil"/>
            </w:tcBorders>
            <w:shd w:val="clear" w:color="auto" w:fill="auto"/>
            <w:vAlign w:val="bottom"/>
          </w:tcPr>
          <w:p w14:paraId="3D6B63A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1,849,921</w:t>
            </w:r>
          </w:p>
        </w:tc>
        <w:tc>
          <w:tcPr>
            <w:tcW w:w="842" w:type="pct"/>
            <w:tcBorders>
              <w:top w:val="nil"/>
              <w:left w:val="nil"/>
              <w:bottom w:val="nil"/>
              <w:right w:val="nil"/>
            </w:tcBorders>
            <w:shd w:val="clear" w:color="auto" w:fill="auto"/>
            <w:vAlign w:val="bottom"/>
          </w:tcPr>
          <w:p w14:paraId="5BDBB41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2,254,094</w:t>
            </w:r>
          </w:p>
        </w:tc>
      </w:tr>
      <w:tr w:rsidR="00587444" w:rsidRPr="00587444" w14:paraId="31965CEB" w14:textId="77777777" w:rsidTr="00DD69E7">
        <w:trPr>
          <w:trHeight w:val="359"/>
        </w:trPr>
        <w:tc>
          <w:tcPr>
            <w:tcW w:w="3317" w:type="pct"/>
            <w:vAlign w:val="bottom"/>
          </w:tcPr>
          <w:p w14:paraId="03827A0F"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90" w:name="_Toc4058689"/>
            <w:r w:rsidRPr="00587444">
              <w:rPr>
                <w:rFonts w:ascii="Arial" w:hAnsi="Arial" w:cs="Arial"/>
                <w:sz w:val="20"/>
                <w:szCs w:val="20"/>
                <w:lang w:val="en-GB"/>
              </w:rPr>
              <w:t>Export financing</w:t>
            </w:r>
            <w:bookmarkEnd w:id="690"/>
          </w:p>
        </w:tc>
        <w:tc>
          <w:tcPr>
            <w:tcW w:w="841" w:type="pct"/>
            <w:tcBorders>
              <w:top w:val="nil"/>
              <w:left w:val="nil"/>
              <w:bottom w:val="nil"/>
              <w:right w:val="nil"/>
            </w:tcBorders>
            <w:shd w:val="clear" w:color="auto" w:fill="auto"/>
            <w:vAlign w:val="bottom"/>
          </w:tcPr>
          <w:p w14:paraId="3F91561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3,592,053 </w:t>
            </w:r>
          </w:p>
        </w:tc>
        <w:tc>
          <w:tcPr>
            <w:tcW w:w="842" w:type="pct"/>
            <w:tcBorders>
              <w:top w:val="nil"/>
              <w:left w:val="nil"/>
              <w:bottom w:val="nil"/>
              <w:right w:val="nil"/>
            </w:tcBorders>
            <w:shd w:val="clear" w:color="auto" w:fill="auto"/>
            <w:vAlign w:val="bottom"/>
          </w:tcPr>
          <w:p w14:paraId="45A04C2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4,375,411</w:t>
            </w:r>
          </w:p>
        </w:tc>
      </w:tr>
      <w:tr w:rsidR="00587444" w:rsidRPr="00587444" w14:paraId="2DB436C3" w14:textId="77777777" w:rsidTr="00DD69E7">
        <w:trPr>
          <w:trHeight w:val="616"/>
        </w:trPr>
        <w:tc>
          <w:tcPr>
            <w:tcW w:w="3317" w:type="pct"/>
            <w:vAlign w:val="bottom"/>
          </w:tcPr>
          <w:p w14:paraId="5DB379DD" w14:textId="77777777" w:rsidR="00AE4D68"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91" w:name="_Toc4058692"/>
            <w:r w:rsidRPr="00587444">
              <w:rPr>
                <w:rFonts w:ascii="Arial" w:hAnsi="Arial" w:cs="Arial"/>
                <w:sz w:val="20"/>
                <w:szCs w:val="20"/>
                <w:lang w:val="en-GB"/>
              </w:rPr>
              <w:t xml:space="preserve">Loan programme for reconstruction and development of </w:t>
            </w:r>
          </w:p>
          <w:p w14:paraId="70777AA9" w14:textId="42309AE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infrastructure in the Republic of Croatia</w:t>
            </w:r>
            <w:bookmarkEnd w:id="691"/>
          </w:p>
        </w:tc>
        <w:tc>
          <w:tcPr>
            <w:tcW w:w="841" w:type="pct"/>
            <w:tcBorders>
              <w:top w:val="nil"/>
              <w:left w:val="nil"/>
              <w:bottom w:val="nil"/>
              <w:right w:val="nil"/>
            </w:tcBorders>
            <w:shd w:val="clear" w:color="auto" w:fill="auto"/>
            <w:vAlign w:val="bottom"/>
          </w:tcPr>
          <w:p w14:paraId="32A996B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4,233,452 </w:t>
            </w:r>
          </w:p>
        </w:tc>
        <w:tc>
          <w:tcPr>
            <w:tcW w:w="842" w:type="pct"/>
            <w:tcBorders>
              <w:top w:val="nil"/>
              <w:left w:val="nil"/>
              <w:bottom w:val="nil"/>
              <w:right w:val="nil"/>
            </w:tcBorders>
            <w:shd w:val="clear" w:color="auto" w:fill="auto"/>
            <w:vAlign w:val="bottom"/>
          </w:tcPr>
          <w:p w14:paraId="2F06A9F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4,713,628</w:t>
            </w:r>
          </w:p>
        </w:tc>
      </w:tr>
      <w:tr w:rsidR="00587444" w:rsidRPr="00587444" w14:paraId="3C4C2587" w14:textId="77777777" w:rsidTr="00DD69E7">
        <w:trPr>
          <w:trHeight w:val="340"/>
        </w:trPr>
        <w:tc>
          <w:tcPr>
            <w:tcW w:w="3317" w:type="pct"/>
            <w:vAlign w:val="bottom"/>
          </w:tcPr>
          <w:p w14:paraId="75A5A73C"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92" w:name="_Toc4058695"/>
            <w:r w:rsidRPr="00587444">
              <w:rPr>
                <w:rFonts w:ascii="Arial" w:hAnsi="Arial" w:cs="Arial"/>
                <w:sz w:val="20"/>
                <w:szCs w:val="20"/>
                <w:lang w:val="en-GB"/>
              </w:rPr>
              <w:t>Loan programme for small and medium-sized enterprises</w:t>
            </w:r>
            <w:bookmarkEnd w:id="692"/>
          </w:p>
        </w:tc>
        <w:tc>
          <w:tcPr>
            <w:tcW w:w="841" w:type="pct"/>
            <w:tcBorders>
              <w:top w:val="nil"/>
              <w:left w:val="nil"/>
              <w:bottom w:val="nil"/>
              <w:right w:val="nil"/>
            </w:tcBorders>
            <w:shd w:val="clear" w:color="auto" w:fill="auto"/>
            <w:vAlign w:val="bottom"/>
          </w:tcPr>
          <w:p w14:paraId="6F0DA52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923,028 </w:t>
            </w:r>
          </w:p>
        </w:tc>
        <w:tc>
          <w:tcPr>
            <w:tcW w:w="842" w:type="pct"/>
            <w:tcBorders>
              <w:top w:val="nil"/>
              <w:left w:val="nil"/>
              <w:bottom w:val="nil"/>
              <w:right w:val="nil"/>
            </w:tcBorders>
            <w:shd w:val="clear" w:color="auto" w:fill="auto"/>
            <w:vAlign w:val="bottom"/>
          </w:tcPr>
          <w:p w14:paraId="79869D4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1,140,626</w:t>
            </w:r>
          </w:p>
        </w:tc>
      </w:tr>
      <w:tr w:rsidR="00587444" w:rsidRPr="00587444" w14:paraId="6F4368F0" w14:textId="77777777" w:rsidTr="00DD69E7">
        <w:trPr>
          <w:trHeight w:val="340"/>
        </w:trPr>
        <w:tc>
          <w:tcPr>
            <w:tcW w:w="3317" w:type="pct"/>
            <w:vAlign w:val="bottom"/>
          </w:tcPr>
          <w:p w14:paraId="50486E34"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93" w:name="_Toc4058698"/>
            <w:r w:rsidRPr="00587444">
              <w:rPr>
                <w:rFonts w:ascii="Arial" w:hAnsi="Arial" w:cs="Arial"/>
                <w:sz w:val="20"/>
                <w:szCs w:val="20"/>
                <w:lang w:val="en-GB"/>
              </w:rPr>
              <w:t>Other</w:t>
            </w:r>
            <w:bookmarkEnd w:id="693"/>
          </w:p>
        </w:tc>
        <w:tc>
          <w:tcPr>
            <w:tcW w:w="841" w:type="pct"/>
            <w:tcBorders>
              <w:top w:val="nil"/>
              <w:left w:val="nil"/>
              <w:bottom w:val="nil"/>
              <w:right w:val="nil"/>
            </w:tcBorders>
            <w:shd w:val="clear" w:color="auto" w:fill="auto"/>
            <w:vAlign w:val="bottom"/>
          </w:tcPr>
          <w:p w14:paraId="05B8A9A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288,027 </w:t>
            </w:r>
          </w:p>
        </w:tc>
        <w:tc>
          <w:tcPr>
            <w:tcW w:w="842" w:type="pct"/>
            <w:tcBorders>
              <w:top w:val="nil"/>
              <w:left w:val="nil"/>
              <w:bottom w:val="nil"/>
              <w:right w:val="nil"/>
            </w:tcBorders>
            <w:shd w:val="clear" w:color="auto" w:fill="auto"/>
            <w:vAlign w:val="bottom"/>
          </w:tcPr>
          <w:p w14:paraId="1850CFD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256,625</w:t>
            </w:r>
          </w:p>
        </w:tc>
      </w:tr>
      <w:tr w:rsidR="00587444" w:rsidRPr="00587444" w14:paraId="3B20DD49" w14:textId="77777777" w:rsidTr="00DD69E7">
        <w:trPr>
          <w:trHeight w:val="340"/>
        </w:trPr>
        <w:tc>
          <w:tcPr>
            <w:tcW w:w="3317" w:type="pct"/>
            <w:vAlign w:val="bottom"/>
          </w:tcPr>
          <w:p w14:paraId="081DB19B"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94" w:name="_Toc4058701"/>
            <w:r w:rsidRPr="00587444">
              <w:rPr>
                <w:rFonts w:ascii="Arial" w:hAnsi="Arial" w:cs="Arial"/>
                <w:sz w:val="20"/>
                <w:szCs w:val="20"/>
                <w:lang w:val="en-GB"/>
              </w:rPr>
              <w:t>Accrued interest</w:t>
            </w:r>
            <w:bookmarkEnd w:id="694"/>
          </w:p>
        </w:tc>
        <w:tc>
          <w:tcPr>
            <w:tcW w:w="841" w:type="pct"/>
            <w:tcBorders>
              <w:top w:val="nil"/>
              <w:left w:val="nil"/>
              <w:bottom w:val="nil"/>
              <w:right w:val="nil"/>
            </w:tcBorders>
            <w:shd w:val="clear" w:color="auto" w:fill="auto"/>
            <w:vAlign w:val="bottom"/>
          </w:tcPr>
          <w:p w14:paraId="763348D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 xml:space="preserve"> 326,389 </w:t>
            </w:r>
          </w:p>
        </w:tc>
        <w:tc>
          <w:tcPr>
            <w:tcW w:w="842" w:type="pct"/>
            <w:tcBorders>
              <w:top w:val="nil"/>
              <w:left w:val="nil"/>
              <w:bottom w:val="nil"/>
              <w:right w:val="nil"/>
            </w:tcBorders>
            <w:shd w:val="clear" w:color="auto" w:fill="auto"/>
            <w:vAlign w:val="bottom"/>
          </w:tcPr>
          <w:p w14:paraId="287F6A6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393,345</w:t>
            </w:r>
          </w:p>
        </w:tc>
      </w:tr>
      <w:tr w:rsidR="00587444" w:rsidRPr="00587444" w14:paraId="7D85C185" w14:textId="77777777" w:rsidTr="00DD69E7">
        <w:trPr>
          <w:trHeight w:val="340"/>
        </w:trPr>
        <w:tc>
          <w:tcPr>
            <w:tcW w:w="3317" w:type="pct"/>
            <w:vAlign w:val="bottom"/>
          </w:tcPr>
          <w:p w14:paraId="76D60F62"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95" w:name="_Toc4058704"/>
            <w:r w:rsidRPr="00587444">
              <w:rPr>
                <w:rFonts w:ascii="Arial" w:hAnsi="Arial" w:cs="Arial"/>
                <w:sz w:val="20"/>
                <w:szCs w:val="20"/>
                <w:lang w:val="en-GB"/>
              </w:rPr>
              <w:t>Deferred recognition of loan origination fees</w:t>
            </w:r>
            <w:bookmarkEnd w:id="695"/>
          </w:p>
        </w:tc>
        <w:tc>
          <w:tcPr>
            <w:tcW w:w="841" w:type="pct"/>
            <w:tcBorders>
              <w:top w:val="nil"/>
              <w:left w:val="nil"/>
              <w:right w:val="nil"/>
            </w:tcBorders>
            <w:shd w:val="clear" w:color="auto" w:fill="auto"/>
            <w:vAlign w:val="bottom"/>
          </w:tcPr>
          <w:p w14:paraId="0D1928F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20"/>
                <w:szCs w:val="20"/>
                <w:lang w:val="hr-HR"/>
              </w:rPr>
            </w:pPr>
            <w:r w:rsidRPr="00587444">
              <w:rPr>
                <w:rFonts w:ascii="Arial" w:hAnsi="Arial" w:cs="Arial"/>
                <w:color w:val="000000"/>
                <w:sz w:val="20"/>
                <w:szCs w:val="20"/>
                <w:lang w:val="hr-HR"/>
              </w:rPr>
              <w:t xml:space="preserve"> (74,906)</w:t>
            </w:r>
          </w:p>
        </w:tc>
        <w:tc>
          <w:tcPr>
            <w:tcW w:w="842" w:type="pct"/>
            <w:tcBorders>
              <w:top w:val="nil"/>
              <w:left w:val="nil"/>
              <w:right w:val="nil"/>
            </w:tcBorders>
            <w:shd w:val="clear" w:color="auto" w:fill="auto"/>
            <w:vAlign w:val="bottom"/>
          </w:tcPr>
          <w:p w14:paraId="1944BFF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20"/>
                <w:szCs w:val="20"/>
                <w:lang w:val="hr-HR"/>
              </w:rPr>
            </w:pPr>
            <w:r w:rsidRPr="00587444">
              <w:rPr>
                <w:rFonts w:ascii="Arial" w:hAnsi="Arial" w:cs="Arial"/>
                <w:color w:val="000000"/>
                <w:spacing w:val="-3"/>
                <w:sz w:val="20"/>
                <w:szCs w:val="20"/>
                <w:lang w:val="hr-HR"/>
              </w:rPr>
              <w:t>(80,880)</w:t>
            </w:r>
          </w:p>
        </w:tc>
      </w:tr>
      <w:tr w:rsidR="00587444" w:rsidRPr="00587444" w14:paraId="3FE707D3" w14:textId="77777777" w:rsidTr="00DD69E7">
        <w:trPr>
          <w:trHeight w:val="340"/>
        </w:trPr>
        <w:tc>
          <w:tcPr>
            <w:tcW w:w="3317" w:type="pct"/>
            <w:vAlign w:val="bottom"/>
          </w:tcPr>
          <w:p w14:paraId="0F5DF425"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spacing w:val="-3"/>
                <w:sz w:val="20"/>
                <w:szCs w:val="20"/>
                <w:lang w:val="en-GB"/>
              </w:rPr>
            </w:pPr>
          </w:p>
        </w:tc>
        <w:tc>
          <w:tcPr>
            <w:tcW w:w="841" w:type="pct"/>
            <w:tcBorders>
              <w:top w:val="single" w:sz="4" w:space="0" w:color="auto"/>
              <w:left w:val="nil"/>
              <w:bottom w:val="single" w:sz="4" w:space="0" w:color="auto"/>
              <w:right w:val="nil"/>
            </w:tcBorders>
            <w:shd w:val="clear" w:color="auto" w:fill="auto"/>
            <w:vAlign w:val="bottom"/>
          </w:tcPr>
          <w:p w14:paraId="226BE76A"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sz w:val="20"/>
                <w:szCs w:val="20"/>
                <w:lang w:val="hr-HR"/>
              </w:rPr>
            </w:pPr>
            <w:r w:rsidRPr="00587444">
              <w:rPr>
                <w:rFonts w:ascii="Arial" w:hAnsi="Arial" w:cs="Arial"/>
                <w:color w:val="000000"/>
                <w:sz w:val="20"/>
                <w:szCs w:val="20"/>
                <w:lang w:val="hr-HR"/>
              </w:rPr>
              <w:t>20,857,691</w:t>
            </w:r>
          </w:p>
        </w:tc>
        <w:tc>
          <w:tcPr>
            <w:tcW w:w="842" w:type="pct"/>
            <w:tcBorders>
              <w:top w:val="single" w:sz="4" w:space="0" w:color="auto"/>
              <w:left w:val="nil"/>
              <w:bottom w:val="single" w:sz="4" w:space="0" w:color="auto"/>
              <w:right w:val="nil"/>
            </w:tcBorders>
            <w:shd w:val="clear" w:color="auto" w:fill="auto"/>
            <w:vAlign w:val="bottom"/>
          </w:tcPr>
          <w:p w14:paraId="20999B49"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sz w:val="20"/>
                <w:szCs w:val="20"/>
                <w:lang w:val="hr-HR"/>
              </w:rPr>
            </w:pPr>
            <w:r w:rsidRPr="00587444">
              <w:rPr>
                <w:rFonts w:ascii="Arial" w:hAnsi="Arial" w:cs="Arial"/>
                <w:color w:val="000000"/>
                <w:sz w:val="20"/>
                <w:szCs w:val="20"/>
                <w:lang w:val="hr-HR"/>
              </w:rPr>
              <w:t>19,220,292</w:t>
            </w:r>
          </w:p>
        </w:tc>
      </w:tr>
      <w:tr w:rsidR="00587444" w:rsidRPr="00587444" w14:paraId="31AF2A77" w14:textId="77777777" w:rsidTr="00DD69E7">
        <w:trPr>
          <w:trHeight w:val="399"/>
        </w:trPr>
        <w:tc>
          <w:tcPr>
            <w:tcW w:w="3317" w:type="pct"/>
            <w:vAlign w:val="bottom"/>
          </w:tcPr>
          <w:p w14:paraId="1D240E5C"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696" w:name="_Toc4058709"/>
            <w:r w:rsidRPr="00587444">
              <w:rPr>
                <w:rFonts w:ascii="Arial" w:hAnsi="Arial" w:cs="Arial"/>
                <w:sz w:val="20"/>
                <w:szCs w:val="20"/>
                <w:lang w:val="en-GB"/>
              </w:rPr>
              <w:t>Loss allowances</w:t>
            </w:r>
            <w:bookmarkEnd w:id="696"/>
          </w:p>
        </w:tc>
        <w:tc>
          <w:tcPr>
            <w:tcW w:w="841" w:type="pct"/>
            <w:tcBorders>
              <w:top w:val="nil"/>
              <w:left w:val="nil"/>
              <w:bottom w:val="nil"/>
              <w:right w:val="nil"/>
            </w:tcBorders>
            <w:shd w:val="clear" w:color="auto" w:fill="auto"/>
            <w:vAlign w:val="bottom"/>
          </w:tcPr>
          <w:p w14:paraId="0B4797B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(3,455,025)</w:t>
            </w:r>
          </w:p>
        </w:tc>
        <w:tc>
          <w:tcPr>
            <w:tcW w:w="842" w:type="pct"/>
            <w:tcBorders>
              <w:top w:val="nil"/>
              <w:left w:val="nil"/>
              <w:bottom w:val="nil"/>
              <w:right w:val="nil"/>
            </w:tcBorders>
            <w:shd w:val="clear" w:color="auto" w:fill="auto"/>
            <w:vAlign w:val="bottom"/>
          </w:tcPr>
          <w:p w14:paraId="54934AF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(3,255,916)</w:t>
            </w:r>
          </w:p>
        </w:tc>
      </w:tr>
      <w:tr w:rsidR="00587444" w:rsidRPr="00587444" w14:paraId="4BD94A97" w14:textId="77777777" w:rsidTr="00DD69E7">
        <w:tblPrEx>
          <w:tblCellMar>
            <w:left w:w="119" w:type="dxa"/>
            <w:right w:w="119" w:type="dxa"/>
          </w:tblCellMar>
        </w:tblPrEx>
        <w:trPr>
          <w:trHeight w:val="211"/>
        </w:trPr>
        <w:tc>
          <w:tcPr>
            <w:tcW w:w="3317" w:type="pct"/>
          </w:tcPr>
          <w:p w14:paraId="27FCD712"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p>
        </w:tc>
        <w:tc>
          <w:tcPr>
            <w:tcW w:w="841" w:type="pct"/>
            <w:tcBorders>
              <w:top w:val="single" w:sz="4" w:space="0" w:color="auto"/>
              <w:left w:val="nil"/>
              <w:bottom w:val="single" w:sz="12" w:space="0" w:color="auto"/>
              <w:right w:val="nil"/>
            </w:tcBorders>
            <w:shd w:val="clear" w:color="auto" w:fill="auto"/>
            <w:vAlign w:val="bottom"/>
          </w:tcPr>
          <w:p w14:paraId="29D39E17"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pacing w:val="-2"/>
                <w:sz w:val="20"/>
                <w:szCs w:val="20"/>
                <w:lang w:val="hr-HR"/>
              </w:rPr>
            </w:pPr>
            <w:r w:rsidRPr="00587444">
              <w:rPr>
                <w:rFonts w:ascii="Arial" w:hAnsi="Arial" w:cs="Arial"/>
                <w:b/>
                <w:bCs/>
                <w:color w:val="000000"/>
                <w:spacing w:val="-2"/>
                <w:sz w:val="20"/>
                <w:szCs w:val="20"/>
                <w:lang w:val="hr-HR"/>
              </w:rPr>
              <w:t>17,402,666</w:t>
            </w:r>
          </w:p>
        </w:tc>
        <w:tc>
          <w:tcPr>
            <w:tcW w:w="842" w:type="pct"/>
            <w:tcBorders>
              <w:top w:val="single" w:sz="4" w:space="0" w:color="auto"/>
              <w:left w:val="nil"/>
              <w:bottom w:val="single" w:sz="12" w:space="0" w:color="auto"/>
              <w:right w:val="nil"/>
            </w:tcBorders>
            <w:shd w:val="clear" w:color="auto" w:fill="auto"/>
            <w:vAlign w:val="bottom"/>
          </w:tcPr>
          <w:p w14:paraId="366495F3"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pacing w:val="-2"/>
                <w:sz w:val="20"/>
                <w:szCs w:val="20"/>
                <w:lang w:val="hr-HR"/>
              </w:rPr>
            </w:pPr>
            <w:r w:rsidRPr="00587444">
              <w:rPr>
                <w:rFonts w:ascii="Arial" w:hAnsi="Arial" w:cs="Arial"/>
                <w:b/>
                <w:bCs/>
                <w:color w:val="000000"/>
                <w:spacing w:val="-2"/>
                <w:sz w:val="20"/>
                <w:szCs w:val="20"/>
                <w:lang w:val="hr-HR"/>
              </w:rPr>
              <w:t>15,964,376</w:t>
            </w:r>
          </w:p>
        </w:tc>
      </w:tr>
    </w:tbl>
    <w:p w14:paraId="6A0F6F59" w14:textId="77777777" w:rsidR="00587444" w:rsidRPr="00587444" w:rsidRDefault="00587444" w:rsidP="00587444">
      <w:pPr>
        <w:tabs>
          <w:tab w:val="left" w:pos="-720"/>
          <w:tab w:val="left" w:pos="0"/>
          <w:tab w:val="left" w:pos="851"/>
        </w:tabs>
        <w:suppressAutoHyphens w:val="0"/>
        <w:autoSpaceDN/>
        <w:contextualSpacing/>
        <w:jc w:val="both"/>
        <w:rPr>
          <w:rFonts w:ascii="Arial" w:hAnsi="Arial" w:cs="Arial"/>
          <w:sz w:val="20"/>
          <w:szCs w:val="20"/>
          <w:lang w:eastAsia="hr-HR"/>
        </w:rPr>
      </w:pPr>
    </w:p>
    <w:p w14:paraId="6D2FAA22" w14:textId="77777777" w:rsidR="00587444" w:rsidRPr="00587444" w:rsidRDefault="00587444" w:rsidP="00587444">
      <w:pPr>
        <w:keepNext/>
        <w:suppressAutoHyphens w:val="0"/>
        <w:autoSpaceDN/>
        <w:jc w:val="both"/>
        <w:rPr>
          <w:rFonts w:ascii="Arial" w:hAnsi="Arial" w:cs="Arial"/>
          <w:sz w:val="20"/>
          <w:szCs w:val="20"/>
          <w:lang w:val="en-GB"/>
        </w:rPr>
      </w:pPr>
    </w:p>
    <w:p w14:paraId="589EBD68" w14:textId="77777777" w:rsidR="00587444" w:rsidRPr="00587444" w:rsidRDefault="00587444" w:rsidP="00587444">
      <w:pPr>
        <w:suppressAutoHyphens w:val="0"/>
        <w:autoSpaceDN/>
        <w:jc w:val="both"/>
        <w:rPr>
          <w:rFonts w:ascii="Arial" w:hAnsi="Arial" w:cs="Arial"/>
          <w:bCs/>
          <w:sz w:val="20"/>
          <w:szCs w:val="20"/>
          <w:lang w:val="en-GB"/>
        </w:rPr>
      </w:pPr>
    </w:p>
    <w:p w14:paraId="5CD51DB7"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Cs/>
          <w:sz w:val="20"/>
          <w:szCs w:val="20"/>
          <w:lang w:val="en-GB"/>
        </w:rPr>
        <w:t>Average interest rates on loans to other customers are stated at 1.83% (31 December 2021: 1.86%).</w:t>
      </w:r>
    </w:p>
    <w:p w14:paraId="76E1D4A3"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Cs/>
          <w:sz w:val="20"/>
          <w:szCs w:val="20"/>
          <w:lang w:val="en-GB"/>
        </w:rPr>
        <w:t>Average interest rates reflect the ratio of interest income from generated the mentioned placements and average assets.</w:t>
      </w:r>
    </w:p>
    <w:p w14:paraId="50A76547" w14:textId="77777777" w:rsidR="00587444" w:rsidRPr="00587444" w:rsidRDefault="00587444" w:rsidP="00587444">
      <w:pPr>
        <w:suppressAutoHyphens w:val="0"/>
        <w:autoSpaceDN/>
        <w:jc w:val="both"/>
        <w:rPr>
          <w:rFonts w:ascii="Arial" w:hAnsi="Arial" w:cs="Arial"/>
          <w:b/>
          <w:bCs/>
          <w:sz w:val="20"/>
          <w:szCs w:val="20"/>
          <w:lang w:val="hr-HR"/>
        </w:rPr>
        <w:sectPr w:rsidR="00587444" w:rsidRPr="00587444" w:rsidSect="00DD69E7">
          <w:pgSz w:w="11907" w:h="16840" w:code="9"/>
          <w:pgMar w:top="1418" w:right="1134" w:bottom="1134" w:left="1418" w:header="851" w:footer="851" w:gutter="0"/>
          <w:cols w:space="720"/>
          <w:noEndnote/>
        </w:sectPr>
      </w:pPr>
    </w:p>
    <w:p w14:paraId="40E53C92" w14:textId="77777777" w:rsidR="00587444" w:rsidRPr="00587444" w:rsidRDefault="00587444" w:rsidP="00587444">
      <w:pPr>
        <w:suppressAutoHyphens w:val="0"/>
        <w:autoSpaceDN/>
        <w:jc w:val="both"/>
        <w:rPr>
          <w:rFonts w:ascii="Arial" w:hAnsi="Arial" w:cs="Arial"/>
          <w:b/>
          <w:bCs/>
          <w:sz w:val="20"/>
          <w:szCs w:val="20"/>
          <w:lang w:val="hr-HR"/>
        </w:rPr>
      </w:pPr>
    </w:p>
    <w:p w14:paraId="35517678"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16.</w:t>
      </w:r>
      <w:r w:rsidRPr="00587444">
        <w:rPr>
          <w:rFonts w:ascii="Arial" w:hAnsi="Arial" w:cs="Arial"/>
          <w:b/>
          <w:bCs/>
          <w:sz w:val="20"/>
          <w:szCs w:val="20"/>
          <w:lang w:val="en-GB"/>
        </w:rPr>
        <w:tab/>
        <w:t>Financial assets at fair value through profit or loss</w:t>
      </w:r>
    </w:p>
    <w:p w14:paraId="113AB3BC"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XSpec="center" w:tblpY="-44"/>
        <w:tblW w:w="4546" w:type="pct"/>
        <w:tblLayout w:type="fixed"/>
        <w:tblCellMar>
          <w:left w:w="122" w:type="dxa"/>
          <w:right w:w="122" w:type="dxa"/>
        </w:tblCellMar>
        <w:tblLook w:val="0000" w:firstRow="0" w:lastRow="0" w:firstColumn="0" w:lastColumn="0" w:noHBand="0" w:noVBand="0"/>
      </w:tblPr>
      <w:tblGrid>
        <w:gridCol w:w="5091"/>
        <w:gridCol w:w="1744"/>
        <w:gridCol w:w="1892"/>
      </w:tblGrid>
      <w:tr w:rsidR="00587444" w:rsidRPr="00587444" w14:paraId="2E2FB595" w14:textId="77777777" w:rsidTr="00DD69E7">
        <w:trPr>
          <w:trHeight w:hRule="exact" w:val="284"/>
        </w:trPr>
        <w:tc>
          <w:tcPr>
            <w:tcW w:w="2917" w:type="pct"/>
          </w:tcPr>
          <w:p w14:paraId="140DFA7B" w14:textId="77777777" w:rsidR="00587444" w:rsidRPr="00587444" w:rsidRDefault="00587444" w:rsidP="00587444">
            <w:pPr>
              <w:tabs>
                <w:tab w:val="right" w:pos="1202"/>
              </w:tabs>
              <w:suppressAutoHyphens w:val="0"/>
              <w:autoSpaceDN/>
              <w:spacing w:line="260" w:lineRule="exact"/>
              <w:jc w:val="center"/>
              <w:outlineLvl w:val="0"/>
              <w:rPr>
                <w:rFonts w:ascii="Arial" w:hAnsi="Arial" w:cs="Arial"/>
                <w:b/>
                <w:spacing w:val="-2"/>
                <w:sz w:val="20"/>
                <w:szCs w:val="20"/>
              </w:rPr>
            </w:pPr>
          </w:p>
        </w:tc>
        <w:tc>
          <w:tcPr>
            <w:tcW w:w="2083" w:type="pct"/>
            <w:gridSpan w:val="2"/>
            <w:vAlign w:val="center"/>
          </w:tcPr>
          <w:p w14:paraId="774F0996"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697" w:name="_Toc4058715"/>
            <w:r w:rsidRPr="00587444">
              <w:rPr>
                <w:rFonts w:ascii="Arial" w:hAnsi="Arial" w:cs="Arial"/>
                <w:b/>
                <w:sz w:val="20"/>
                <w:szCs w:val="20"/>
              </w:rPr>
              <w:t>Group and Bank</w:t>
            </w:r>
            <w:bookmarkEnd w:id="697"/>
          </w:p>
        </w:tc>
      </w:tr>
      <w:tr w:rsidR="00587444" w:rsidRPr="00587444" w14:paraId="0BE499F3" w14:textId="77777777" w:rsidTr="00DD69E7">
        <w:trPr>
          <w:trHeight w:hRule="exact" w:val="567"/>
        </w:trPr>
        <w:tc>
          <w:tcPr>
            <w:tcW w:w="2917" w:type="pct"/>
          </w:tcPr>
          <w:p w14:paraId="7755D2CB"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p>
        </w:tc>
        <w:tc>
          <w:tcPr>
            <w:tcW w:w="999" w:type="pct"/>
            <w:shd w:val="clear" w:color="auto" w:fill="auto"/>
            <w:vAlign w:val="center"/>
          </w:tcPr>
          <w:p w14:paraId="3284A265"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bookmarkStart w:id="698" w:name="_Toc4058718"/>
            <w:r w:rsidRPr="00587444">
              <w:rPr>
                <w:rFonts w:ascii="Arial" w:eastAsia="Calibri" w:hAnsi="Arial" w:cs="Arial"/>
                <w:b/>
                <w:bCs/>
                <w:sz w:val="20"/>
                <w:szCs w:val="20"/>
              </w:rPr>
              <w:t xml:space="preserve">31 December </w:t>
            </w:r>
            <w:bookmarkEnd w:id="698"/>
            <w:r w:rsidRPr="00587444">
              <w:rPr>
                <w:rFonts w:ascii="Arial" w:eastAsia="Calibri" w:hAnsi="Arial" w:cs="Arial"/>
                <w:b/>
                <w:bCs/>
                <w:sz w:val="20"/>
                <w:szCs w:val="20"/>
              </w:rPr>
              <w:t>2022</w:t>
            </w:r>
          </w:p>
        </w:tc>
        <w:tc>
          <w:tcPr>
            <w:tcW w:w="1084" w:type="pct"/>
            <w:shd w:val="clear" w:color="auto" w:fill="auto"/>
            <w:vAlign w:val="center"/>
          </w:tcPr>
          <w:p w14:paraId="2556BEDB"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bCs/>
                <w:sz w:val="20"/>
                <w:szCs w:val="20"/>
              </w:rPr>
            </w:pPr>
            <w:bookmarkStart w:id="699" w:name="_Toc4058719"/>
            <w:r w:rsidRPr="00587444">
              <w:rPr>
                <w:rFonts w:ascii="Arial" w:hAnsi="Arial" w:cs="Arial"/>
                <w:b/>
                <w:bCs/>
                <w:sz w:val="20"/>
                <w:szCs w:val="20"/>
                <w:lang w:val="hr-HR"/>
              </w:rPr>
              <w:t>31 December 202</w:t>
            </w:r>
            <w:bookmarkEnd w:id="699"/>
            <w:r w:rsidRPr="00587444">
              <w:rPr>
                <w:rFonts w:ascii="Arial" w:hAnsi="Arial" w:cs="Arial"/>
                <w:b/>
                <w:bCs/>
                <w:sz w:val="20"/>
                <w:szCs w:val="20"/>
                <w:lang w:val="hr-HR"/>
              </w:rPr>
              <w:t>1</w:t>
            </w:r>
          </w:p>
        </w:tc>
      </w:tr>
      <w:tr w:rsidR="00587444" w:rsidRPr="00587444" w14:paraId="2E81DA7A" w14:textId="77777777" w:rsidTr="00DD69E7">
        <w:trPr>
          <w:trHeight w:hRule="exact" w:val="284"/>
        </w:trPr>
        <w:tc>
          <w:tcPr>
            <w:tcW w:w="2917" w:type="pct"/>
          </w:tcPr>
          <w:p w14:paraId="5BF2B034"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p>
        </w:tc>
        <w:tc>
          <w:tcPr>
            <w:tcW w:w="999" w:type="pct"/>
          </w:tcPr>
          <w:p w14:paraId="085EAC30"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bookmarkStart w:id="700" w:name="_Toc4058722"/>
            <w:r w:rsidRPr="00587444">
              <w:rPr>
                <w:rFonts w:ascii="Arial" w:hAnsi="Arial" w:cs="Arial"/>
                <w:b/>
                <w:sz w:val="20"/>
                <w:szCs w:val="20"/>
              </w:rPr>
              <w:t>HRK ‘000</w:t>
            </w:r>
            <w:bookmarkEnd w:id="700"/>
          </w:p>
        </w:tc>
        <w:tc>
          <w:tcPr>
            <w:tcW w:w="1084" w:type="pct"/>
          </w:tcPr>
          <w:p w14:paraId="33005321"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bookmarkStart w:id="701" w:name="_Toc4058723"/>
            <w:r w:rsidRPr="00587444">
              <w:rPr>
                <w:rFonts w:ascii="Arial" w:hAnsi="Arial" w:cs="Arial"/>
                <w:b/>
                <w:sz w:val="20"/>
                <w:szCs w:val="20"/>
              </w:rPr>
              <w:t>HRK ‘000</w:t>
            </w:r>
            <w:bookmarkEnd w:id="701"/>
          </w:p>
        </w:tc>
      </w:tr>
      <w:tr w:rsidR="00587444" w:rsidRPr="00587444" w14:paraId="1B6D6EDB" w14:textId="77777777" w:rsidTr="00DD69E7">
        <w:trPr>
          <w:trHeight w:hRule="exact" w:val="271"/>
        </w:trPr>
        <w:tc>
          <w:tcPr>
            <w:tcW w:w="2917" w:type="pct"/>
            <w:vAlign w:val="center"/>
          </w:tcPr>
          <w:p w14:paraId="46A74AB8" w14:textId="77777777" w:rsidR="00587444" w:rsidRPr="00587444" w:rsidRDefault="00587444" w:rsidP="00587444">
            <w:pPr>
              <w:tabs>
                <w:tab w:val="right" w:pos="1202"/>
              </w:tabs>
              <w:suppressAutoHyphens w:val="0"/>
              <w:autoSpaceDN/>
              <w:spacing w:line="260" w:lineRule="exact"/>
              <w:outlineLvl w:val="0"/>
              <w:rPr>
                <w:rFonts w:ascii="Arial" w:hAnsi="Arial" w:cs="Arial"/>
                <w:b/>
                <w:i/>
                <w:spacing w:val="-2"/>
                <w:sz w:val="20"/>
                <w:szCs w:val="20"/>
              </w:rPr>
            </w:pPr>
            <w:bookmarkStart w:id="702" w:name="_Toc4058724"/>
            <w:r w:rsidRPr="00587444">
              <w:rPr>
                <w:rFonts w:ascii="Arial" w:hAnsi="Arial" w:cs="Arial"/>
                <w:b/>
                <w:i/>
                <w:spacing w:val="-2"/>
                <w:sz w:val="20"/>
                <w:szCs w:val="20"/>
              </w:rPr>
              <w:t>Loans at FVPL:</w:t>
            </w:r>
            <w:bookmarkEnd w:id="702"/>
          </w:p>
        </w:tc>
        <w:tc>
          <w:tcPr>
            <w:tcW w:w="999" w:type="pct"/>
            <w:vAlign w:val="bottom"/>
          </w:tcPr>
          <w:p w14:paraId="1AEA4ADD"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c>
          <w:tcPr>
            <w:tcW w:w="1084" w:type="pct"/>
          </w:tcPr>
          <w:p w14:paraId="2946C7D8"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r>
      <w:tr w:rsidR="00587444" w:rsidRPr="00587444" w14:paraId="7C6B9F74" w14:textId="77777777" w:rsidTr="00DD69E7">
        <w:trPr>
          <w:trHeight w:hRule="exact" w:val="284"/>
        </w:trPr>
        <w:tc>
          <w:tcPr>
            <w:tcW w:w="2917" w:type="pct"/>
            <w:vAlign w:val="center"/>
          </w:tcPr>
          <w:p w14:paraId="504282AD" w14:textId="77777777" w:rsidR="00587444" w:rsidRPr="00587444" w:rsidRDefault="00587444" w:rsidP="00587444">
            <w:pPr>
              <w:tabs>
                <w:tab w:val="right" w:pos="1202"/>
              </w:tabs>
              <w:suppressAutoHyphens w:val="0"/>
              <w:autoSpaceDN/>
              <w:spacing w:line="260" w:lineRule="exact"/>
              <w:outlineLvl w:val="0"/>
              <w:rPr>
                <w:rFonts w:ascii="Arial" w:hAnsi="Arial" w:cs="Arial"/>
                <w:spacing w:val="-2"/>
                <w:sz w:val="20"/>
                <w:szCs w:val="20"/>
              </w:rPr>
            </w:pPr>
            <w:bookmarkStart w:id="703" w:name="_Toc4058725"/>
            <w:r w:rsidRPr="00587444">
              <w:rPr>
                <w:rFonts w:ascii="Arial" w:hAnsi="Arial" w:cs="Arial"/>
                <w:spacing w:val="-2"/>
                <w:sz w:val="20"/>
                <w:szCs w:val="20"/>
              </w:rPr>
              <w:t>Mezzanine loans</w:t>
            </w:r>
            <w:bookmarkEnd w:id="703"/>
          </w:p>
        </w:tc>
        <w:tc>
          <w:tcPr>
            <w:tcW w:w="999" w:type="pct"/>
            <w:tcBorders>
              <w:top w:val="nil"/>
              <w:left w:val="nil"/>
              <w:bottom w:val="nil"/>
              <w:right w:val="nil"/>
            </w:tcBorders>
            <w:shd w:val="clear" w:color="auto" w:fill="auto"/>
            <w:vAlign w:val="center"/>
          </w:tcPr>
          <w:p w14:paraId="229C0CC1"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22,831</w:t>
            </w:r>
          </w:p>
        </w:tc>
        <w:tc>
          <w:tcPr>
            <w:tcW w:w="1084" w:type="pct"/>
            <w:tcBorders>
              <w:top w:val="nil"/>
              <w:left w:val="nil"/>
              <w:bottom w:val="nil"/>
              <w:right w:val="nil"/>
            </w:tcBorders>
            <w:shd w:val="clear" w:color="auto" w:fill="auto"/>
            <w:vAlign w:val="center"/>
          </w:tcPr>
          <w:p w14:paraId="57A1FCC9"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16,375</w:t>
            </w:r>
          </w:p>
        </w:tc>
      </w:tr>
      <w:tr w:rsidR="00587444" w:rsidRPr="00587444" w14:paraId="3F615C31" w14:textId="77777777" w:rsidTr="00DD69E7">
        <w:trPr>
          <w:trHeight w:hRule="exact" w:val="284"/>
        </w:trPr>
        <w:tc>
          <w:tcPr>
            <w:tcW w:w="2917" w:type="pct"/>
            <w:vAlign w:val="center"/>
          </w:tcPr>
          <w:p w14:paraId="47D12FAF" w14:textId="77777777" w:rsidR="00587444" w:rsidRPr="00587444" w:rsidRDefault="00587444" w:rsidP="00587444">
            <w:pPr>
              <w:tabs>
                <w:tab w:val="right" w:pos="1202"/>
              </w:tabs>
              <w:suppressAutoHyphens w:val="0"/>
              <w:autoSpaceDN/>
              <w:spacing w:line="260" w:lineRule="exact"/>
              <w:outlineLvl w:val="0"/>
              <w:rPr>
                <w:rFonts w:ascii="Arial" w:hAnsi="Arial" w:cs="Arial"/>
                <w:spacing w:val="-2"/>
                <w:sz w:val="20"/>
                <w:szCs w:val="20"/>
              </w:rPr>
            </w:pPr>
          </w:p>
        </w:tc>
        <w:tc>
          <w:tcPr>
            <w:tcW w:w="999" w:type="pct"/>
            <w:tcBorders>
              <w:top w:val="single" w:sz="4" w:space="0" w:color="auto"/>
              <w:left w:val="nil"/>
              <w:bottom w:val="single" w:sz="12" w:space="0" w:color="auto"/>
              <w:right w:val="nil"/>
            </w:tcBorders>
            <w:shd w:val="clear" w:color="auto" w:fill="auto"/>
            <w:vAlign w:val="bottom"/>
          </w:tcPr>
          <w:p w14:paraId="3F1F20DE"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22,831</w:t>
            </w:r>
          </w:p>
        </w:tc>
        <w:tc>
          <w:tcPr>
            <w:tcW w:w="1084" w:type="pct"/>
            <w:tcBorders>
              <w:top w:val="single" w:sz="4" w:space="0" w:color="auto"/>
              <w:left w:val="nil"/>
              <w:bottom w:val="single" w:sz="12" w:space="0" w:color="auto"/>
              <w:right w:val="nil"/>
            </w:tcBorders>
            <w:shd w:val="clear" w:color="auto" w:fill="auto"/>
            <w:vAlign w:val="center"/>
          </w:tcPr>
          <w:p w14:paraId="283CCBC0"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16,375</w:t>
            </w:r>
          </w:p>
        </w:tc>
      </w:tr>
      <w:tr w:rsidR="00587444" w:rsidRPr="00587444" w14:paraId="7E265D2A" w14:textId="77777777" w:rsidTr="00DD69E7">
        <w:trPr>
          <w:trHeight w:hRule="exact" w:val="284"/>
        </w:trPr>
        <w:tc>
          <w:tcPr>
            <w:tcW w:w="2917" w:type="pct"/>
            <w:vAlign w:val="center"/>
          </w:tcPr>
          <w:p w14:paraId="151A9CAB" w14:textId="77777777" w:rsidR="00587444" w:rsidRPr="00587444" w:rsidRDefault="00587444" w:rsidP="00587444">
            <w:pPr>
              <w:tabs>
                <w:tab w:val="right" w:pos="1202"/>
              </w:tabs>
              <w:suppressAutoHyphens w:val="0"/>
              <w:autoSpaceDN/>
              <w:spacing w:line="260" w:lineRule="exact"/>
              <w:outlineLvl w:val="0"/>
              <w:rPr>
                <w:rFonts w:ascii="Arial" w:hAnsi="Arial" w:cs="Arial"/>
                <w:spacing w:val="-2"/>
                <w:sz w:val="20"/>
                <w:szCs w:val="20"/>
              </w:rPr>
            </w:pPr>
          </w:p>
        </w:tc>
        <w:tc>
          <w:tcPr>
            <w:tcW w:w="999" w:type="pct"/>
            <w:tcBorders>
              <w:top w:val="single" w:sz="12" w:space="0" w:color="auto"/>
              <w:left w:val="nil"/>
              <w:bottom w:val="nil"/>
              <w:right w:val="nil"/>
            </w:tcBorders>
            <w:shd w:val="clear" w:color="auto" w:fill="auto"/>
            <w:vAlign w:val="center"/>
          </w:tcPr>
          <w:p w14:paraId="38F90FEF" w14:textId="77777777" w:rsidR="00587444" w:rsidRPr="00587444" w:rsidDel="003F59CB" w:rsidRDefault="00587444" w:rsidP="00587444">
            <w:pPr>
              <w:tabs>
                <w:tab w:val="right" w:pos="1202"/>
              </w:tabs>
              <w:suppressAutoHyphens w:val="0"/>
              <w:autoSpaceDN/>
              <w:spacing w:line="260" w:lineRule="exact"/>
              <w:jc w:val="right"/>
              <w:outlineLvl w:val="0"/>
              <w:rPr>
                <w:rFonts w:ascii="Arial" w:hAnsi="Arial" w:cs="Arial"/>
                <w:b/>
                <w:sz w:val="20"/>
                <w:szCs w:val="20"/>
              </w:rPr>
            </w:pPr>
          </w:p>
        </w:tc>
        <w:tc>
          <w:tcPr>
            <w:tcW w:w="1084" w:type="pct"/>
            <w:tcBorders>
              <w:top w:val="single" w:sz="12" w:space="0" w:color="auto"/>
              <w:left w:val="nil"/>
              <w:bottom w:val="nil"/>
              <w:right w:val="nil"/>
            </w:tcBorders>
            <w:shd w:val="clear" w:color="auto" w:fill="auto"/>
            <w:vAlign w:val="center"/>
          </w:tcPr>
          <w:p w14:paraId="45E50610"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p>
        </w:tc>
      </w:tr>
      <w:tr w:rsidR="00587444" w:rsidRPr="00587444" w14:paraId="6E85C3A3" w14:textId="77777777" w:rsidTr="00DD69E7">
        <w:trPr>
          <w:trHeight w:hRule="exact" w:val="284"/>
        </w:trPr>
        <w:tc>
          <w:tcPr>
            <w:tcW w:w="2917" w:type="pct"/>
            <w:vAlign w:val="center"/>
          </w:tcPr>
          <w:p w14:paraId="20D10DCB" w14:textId="77777777" w:rsidR="00587444" w:rsidRPr="00587444" w:rsidRDefault="00587444" w:rsidP="00587444">
            <w:pPr>
              <w:tabs>
                <w:tab w:val="right" w:pos="1202"/>
              </w:tabs>
              <w:suppressAutoHyphens w:val="0"/>
              <w:autoSpaceDN/>
              <w:spacing w:line="260" w:lineRule="exact"/>
              <w:outlineLvl w:val="0"/>
              <w:rPr>
                <w:rFonts w:ascii="Arial" w:eastAsia="Calibri" w:hAnsi="Arial" w:cs="Arial"/>
                <w:sz w:val="20"/>
                <w:szCs w:val="20"/>
              </w:rPr>
            </w:pPr>
            <w:bookmarkStart w:id="704" w:name="_Toc4058734"/>
            <w:r w:rsidRPr="00587444">
              <w:rPr>
                <w:rFonts w:ascii="Arial" w:eastAsia="Calibri" w:hAnsi="Arial" w:cs="Arial"/>
                <w:b/>
                <w:i/>
                <w:spacing w:val="-2"/>
                <w:sz w:val="20"/>
                <w:szCs w:val="20"/>
              </w:rPr>
              <w:t>Investments in investment funds:</w:t>
            </w:r>
            <w:bookmarkEnd w:id="704"/>
          </w:p>
        </w:tc>
        <w:tc>
          <w:tcPr>
            <w:tcW w:w="999" w:type="pct"/>
            <w:tcBorders>
              <w:top w:val="nil"/>
              <w:left w:val="nil"/>
              <w:bottom w:val="nil"/>
              <w:right w:val="nil"/>
            </w:tcBorders>
            <w:shd w:val="clear" w:color="auto" w:fill="auto"/>
            <w:vAlign w:val="center"/>
          </w:tcPr>
          <w:p w14:paraId="0F0AF034"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c>
          <w:tcPr>
            <w:tcW w:w="1084" w:type="pct"/>
            <w:tcBorders>
              <w:top w:val="nil"/>
              <w:left w:val="nil"/>
              <w:bottom w:val="nil"/>
              <w:right w:val="nil"/>
            </w:tcBorders>
            <w:shd w:val="clear" w:color="auto" w:fill="auto"/>
            <w:vAlign w:val="center"/>
          </w:tcPr>
          <w:p w14:paraId="31ADAAFF"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r>
      <w:tr w:rsidR="00587444" w:rsidRPr="00587444" w14:paraId="0F1DA73E" w14:textId="77777777" w:rsidTr="00DD69E7">
        <w:trPr>
          <w:trHeight w:hRule="exact" w:val="573"/>
        </w:trPr>
        <w:tc>
          <w:tcPr>
            <w:tcW w:w="2917" w:type="pct"/>
            <w:vAlign w:val="center"/>
          </w:tcPr>
          <w:p w14:paraId="1CAF3D9A" w14:textId="77777777" w:rsidR="00587444" w:rsidRPr="00587444" w:rsidRDefault="00587444" w:rsidP="00587444">
            <w:pPr>
              <w:tabs>
                <w:tab w:val="right" w:pos="1202"/>
              </w:tabs>
              <w:suppressAutoHyphens w:val="0"/>
              <w:autoSpaceDN/>
              <w:spacing w:line="260" w:lineRule="exact"/>
              <w:outlineLvl w:val="0"/>
              <w:rPr>
                <w:rFonts w:ascii="Arial" w:eastAsia="Calibri" w:hAnsi="Arial" w:cs="Arial"/>
                <w:sz w:val="20"/>
                <w:szCs w:val="20"/>
              </w:rPr>
            </w:pPr>
            <w:bookmarkStart w:id="705" w:name="_Toc4058735"/>
            <w:r w:rsidRPr="00587444">
              <w:rPr>
                <w:rFonts w:ascii="Arial" w:eastAsia="Calibri" w:hAnsi="Arial" w:cs="Arial"/>
                <w:spacing w:val="-2"/>
                <w:sz w:val="20"/>
                <w:szCs w:val="20"/>
              </w:rPr>
              <w:t>Investments in investment funds</w:t>
            </w:r>
            <w:bookmarkEnd w:id="705"/>
            <w:r w:rsidRPr="00587444">
              <w:rPr>
                <w:rFonts w:ascii="Arial" w:eastAsia="Calibri" w:hAnsi="Arial" w:cs="Arial"/>
                <w:spacing w:val="-2"/>
                <w:sz w:val="20"/>
                <w:szCs w:val="20"/>
              </w:rPr>
              <w:t xml:space="preserve"> at FVPL</w:t>
            </w:r>
          </w:p>
        </w:tc>
        <w:tc>
          <w:tcPr>
            <w:tcW w:w="999" w:type="pct"/>
            <w:tcBorders>
              <w:top w:val="nil"/>
              <w:left w:val="nil"/>
              <w:bottom w:val="nil"/>
              <w:right w:val="nil"/>
            </w:tcBorders>
            <w:shd w:val="clear" w:color="auto" w:fill="auto"/>
            <w:vAlign w:val="bottom"/>
          </w:tcPr>
          <w:p w14:paraId="09DAFA51"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107,303</w:t>
            </w:r>
          </w:p>
        </w:tc>
        <w:tc>
          <w:tcPr>
            <w:tcW w:w="1084" w:type="pct"/>
            <w:tcBorders>
              <w:top w:val="nil"/>
              <w:left w:val="nil"/>
              <w:bottom w:val="nil"/>
              <w:right w:val="nil"/>
            </w:tcBorders>
            <w:shd w:val="clear" w:color="auto" w:fill="auto"/>
            <w:vAlign w:val="bottom"/>
          </w:tcPr>
          <w:p w14:paraId="30C19FD6"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202,260</w:t>
            </w:r>
          </w:p>
        </w:tc>
      </w:tr>
      <w:tr w:rsidR="00587444" w:rsidRPr="00587444" w14:paraId="745E370C" w14:textId="77777777" w:rsidTr="00DD69E7">
        <w:trPr>
          <w:trHeight w:hRule="exact" w:val="284"/>
        </w:trPr>
        <w:tc>
          <w:tcPr>
            <w:tcW w:w="2917" w:type="pct"/>
            <w:vAlign w:val="center"/>
          </w:tcPr>
          <w:p w14:paraId="7FA5A879" w14:textId="77777777" w:rsidR="00587444" w:rsidRPr="00587444" w:rsidRDefault="00587444" w:rsidP="00587444">
            <w:pPr>
              <w:tabs>
                <w:tab w:val="right" w:pos="1202"/>
              </w:tabs>
              <w:suppressAutoHyphens w:val="0"/>
              <w:autoSpaceDN/>
              <w:spacing w:line="260" w:lineRule="exact"/>
              <w:outlineLvl w:val="0"/>
              <w:rPr>
                <w:rFonts w:ascii="Arial" w:eastAsia="Calibri" w:hAnsi="Arial" w:cs="Arial"/>
                <w:sz w:val="20"/>
                <w:szCs w:val="20"/>
              </w:rPr>
            </w:pPr>
          </w:p>
        </w:tc>
        <w:tc>
          <w:tcPr>
            <w:tcW w:w="999" w:type="pct"/>
            <w:tcBorders>
              <w:top w:val="single" w:sz="4" w:space="0" w:color="auto"/>
              <w:left w:val="nil"/>
              <w:bottom w:val="single" w:sz="12" w:space="0" w:color="auto"/>
              <w:right w:val="nil"/>
            </w:tcBorders>
            <w:shd w:val="clear" w:color="auto" w:fill="auto"/>
            <w:vAlign w:val="bottom"/>
          </w:tcPr>
          <w:p w14:paraId="113D1795"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107,303</w:t>
            </w:r>
          </w:p>
        </w:tc>
        <w:tc>
          <w:tcPr>
            <w:tcW w:w="1084" w:type="pct"/>
            <w:tcBorders>
              <w:top w:val="single" w:sz="4" w:space="0" w:color="auto"/>
              <w:left w:val="nil"/>
              <w:bottom w:val="single" w:sz="12" w:space="0" w:color="auto"/>
              <w:right w:val="nil"/>
            </w:tcBorders>
            <w:shd w:val="clear" w:color="auto" w:fill="auto"/>
            <w:vAlign w:val="bottom"/>
          </w:tcPr>
          <w:p w14:paraId="6FBE58B6"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202,260</w:t>
            </w:r>
          </w:p>
        </w:tc>
      </w:tr>
      <w:tr w:rsidR="00587444" w:rsidRPr="00587444" w14:paraId="21859D26" w14:textId="77777777" w:rsidTr="00DD69E7">
        <w:trPr>
          <w:trHeight w:hRule="exact" w:val="284"/>
        </w:trPr>
        <w:tc>
          <w:tcPr>
            <w:tcW w:w="2917" w:type="pct"/>
            <w:vAlign w:val="center"/>
          </w:tcPr>
          <w:p w14:paraId="5D72CE27" w14:textId="77777777" w:rsidR="00587444" w:rsidRPr="00587444" w:rsidRDefault="00587444" w:rsidP="00587444">
            <w:pPr>
              <w:tabs>
                <w:tab w:val="right" w:pos="1202"/>
              </w:tabs>
              <w:suppressAutoHyphens w:val="0"/>
              <w:autoSpaceDN/>
              <w:spacing w:line="260" w:lineRule="exact"/>
              <w:outlineLvl w:val="0"/>
              <w:rPr>
                <w:rFonts w:ascii="Arial" w:eastAsia="Calibri" w:hAnsi="Arial" w:cs="Arial"/>
                <w:sz w:val="20"/>
                <w:szCs w:val="20"/>
              </w:rPr>
            </w:pPr>
          </w:p>
        </w:tc>
        <w:tc>
          <w:tcPr>
            <w:tcW w:w="999" w:type="pct"/>
            <w:tcBorders>
              <w:top w:val="single" w:sz="12" w:space="0" w:color="auto"/>
              <w:left w:val="nil"/>
              <w:right w:val="nil"/>
            </w:tcBorders>
            <w:shd w:val="clear" w:color="auto" w:fill="auto"/>
            <w:vAlign w:val="center"/>
          </w:tcPr>
          <w:p w14:paraId="185BA5AE" w14:textId="77777777" w:rsidR="00587444" w:rsidRPr="00587444" w:rsidDel="003F59CB" w:rsidRDefault="00587444" w:rsidP="00587444">
            <w:pPr>
              <w:tabs>
                <w:tab w:val="right" w:pos="1202"/>
              </w:tabs>
              <w:suppressAutoHyphens w:val="0"/>
              <w:autoSpaceDN/>
              <w:spacing w:line="260" w:lineRule="exact"/>
              <w:jc w:val="right"/>
              <w:outlineLvl w:val="0"/>
              <w:rPr>
                <w:rFonts w:ascii="Arial" w:hAnsi="Arial" w:cs="Arial"/>
                <w:b/>
                <w:sz w:val="20"/>
                <w:szCs w:val="20"/>
              </w:rPr>
            </w:pPr>
          </w:p>
        </w:tc>
        <w:tc>
          <w:tcPr>
            <w:tcW w:w="1084" w:type="pct"/>
            <w:tcBorders>
              <w:top w:val="single" w:sz="12" w:space="0" w:color="auto"/>
              <w:left w:val="nil"/>
              <w:right w:val="nil"/>
            </w:tcBorders>
            <w:shd w:val="clear" w:color="auto" w:fill="auto"/>
            <w:vAlign w:val="center"/>
          </w:tcPr>
          <w:p w14:paraId="0EEFD330"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p>
        </w:tc>
      </w:tr>
      <w:tr w:rsidR="00587444" w:rsidRPr="00587444" w14:paraId="10682D9C" w14:textId="77777777" w:rsidTr="00DD69E7">
        <w:trPr>
          <w:trHeight w:hRule="exact" w:val="284"/>
        </w:trPr>
        <w:tc>
          <w:tcPr>
            <w:tcW w:w="2917" w:type="pct"/>
            <w:vAlign w:val="center"/>
          </w:tcPr>
          <w:p w14:paraId="1DEA83F0" w14:textId="77777777" w:rsidR="00587444" w:rsidRPr="00587444" w:rsidRDefault="00587444" w:rsidP="00587444">
            <w:pPr>
              <w:tabs>
                <w:tab w:val="right" w:pos="1202"/>
              </w:tabs>
              <w:suppressAutoHyphens w:val="0"/>
              <w:autoSpaceDN/>
              <w:spacing w:line="260" w:lineRule="exact"/>
              <w:outlineLvl w:val="0"/>
              <w:rPr>
                <w:rFonts w:ascii="Arial" w:hAnsi="Arial" w:cs="Arial"/>
                <w:b/>
                <w:i/>
                <w:spacing w:val="-2"/>
                <w:sz w:val="20"/>
                <w:szCs w:val="20"/>
              </w:rPr>
            </w:pPr>
            <w:bookmarkStart w:id="706" w:name="_Toc4058754"/>
            <w:r w:rsidRPr="00587444">
              <w:rPr>
                <w:rFonts w:ascii="Arial" w:eastAsia="Calibri" w:hAnsi="Arial" w:cs="Arial"/>
                <w:b/>
                <w:i/>
                <w:spacing w:val="-2"/>
                <w:sz w:val="20"/>
                <w:szCs w:val="20"/>
              </w:rPr>
              <w:t>Unlisted equity instruments:</w:t>
            </w:r>
            <w:bookmarkEnd w:id="706"/>
          </w:p>
        </w:tc>
        <w:tc>
          <w:tcPr>
            <w:tcW w:w="999" w:type="pct"/>
            <w:tcBorders>
              <w:top w:val="nil"/>
              <w:left w:val="nil"/>
              <w:bottom w:val="nil"/>
              <w:right w:val="nil"/>
            </w:tcBorders>
            <w:shd w:val="clear" w:color="auto" w:fill="auto"/>
            <w:vAlign w:val="center"/>
          </w:tcPr>
          <w:p w14:paraId="48D44C74"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c>
          <w:tcPr>
            <w:tcW w:w="1084" w:type="pct"/>
            <w:tcBorders>
              <w:top w:val="nil"/>
              <w:left w:val="nil"/>
              <w:bottom w:val="nil"/>
              <w:right w:val="nil"/>
            </w:tcBorders>
            <w:shd w:val="clear" w:color="auto" w:fill="auto"/>
            <w:vAlign w:val="center"/>
          </w:tcPr>
          <w:p w14:paraId="1385D5CF"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r>
      <w:tr w:rsidR="00587444" w:rsidRPr="00587444" w14:paraId="0EE5A818" w14:textId="77777777" w:rsidTr="00DD69E7">
        <w:trPr>
          <w:trHeight w:hRule="exact" w:val="284"/>
        </w:trPr>
        <w:tc>
          <w:tcPr>
            <w:tcW w:w="2917" w:type="pct"/>
            <w:vAlign w:val="center"/>
          </w:tcPr>
          <w:p w14:paraId="07AA711F" w14:textId="77777777" w:rsidR="00587444" w:rsidRPr="00587444" w:rsidRDefault="00587444" w:rsidP="00587444">
            <w:pPr>
              <w:tabs>
                <w:tab w:val="right" w:pos="1202"/>
              </w:tabs>
              <w:suppressAutoHyphens w:val="0"/>
              <w:autoSpaceDN/>
              <w:spacing w:line="260" w:lineRule="exact"/>
              <w:outlineLvl w:val="0"/>
              <w:rPr>
                <w:rFonts w:ascii="Arial" w:eastAsia="Calibri" w:hAnsi="Arial" w:cs="Arial"/>
                <w:b/>
                <w:i/>
                <w:spacing w:val="-2"/>
                <w:sz w:val="20"/>
                <w:szCs w:val="20"/>
              </w:rPr>
            </w:pPr>
            <w:bookmarkStart w:id="707" w:name="_Toc4058755"/>
            <w:r w:rsidRPr="00587444">
              <w:rPr>
                <w:rFonts w:ascii="Arial" w:eastAsia="Calibri" w:hAnsi="Arial" w:cs="Arial"/>
                <w:spacing w:val="-2"/>
                <w:sz w:val="20"/>
                <w:szCs w:val="20"/>
              </w:rPr>
              <w:t>Investments in corporate shares</w:t>
            </w:r>
            <w:bookmarkEnd w:id="707"/>
          </w:p>
        </w:tc>
        <w:tc>
          <w:tcPr>
            <w:tcW w:w="999" w:type="pct"/>
            <w:tcBorders>
              <w:top w:val="nil"/>
              <w:left w:val="nil"/>
              <w:bottom w:val="nil"/>
              <w:right w:val="nil"/>
            </w:tcBorders>
            <w:shd w:val="clear" w:color="auto" w:fill="auto"/>
            <w:vAlign w:val="bottom"/>
          </w:tcPr>
          <w:p w14:paraId="30C275A0"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31</w:t>
            </w:r>
          </w:p>
        </w:tc>
        <w:tc>
          <w:tcPr>
            <w:tcW w:w="1084" w:type="pct"/>
            <w:tcBorders>
              <w:top w:val="nil"/>
              <w:left w:val="nil"/>
              <w:bottom w:val="nil"/>
              <w:right w:val="nil"/>
            </w:tcBorders>
            <w:shd w:val="clear" w:color="auto" w:fill="auto"/>
            <w:vAlign w:val="bottom"/>
          </w:tcPr>
          <w:p w14:paraId="2F2739EB"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31</w:t>
            </w:r>
          </w:p>
        </w:tc>
      </w:tr>
      <w:tr w:rsidR="00587444" w:rsidRPr="00587444" w14:paraId="45D8A899" w14:textId="77777777" w:rsidTr="00DD69E7">
        <w:trPr>
          <w:trHeight w:hRule="exact" w:val="284"/>
        </w:trPr>
        <w:tc>
          <w:tcPr>
            <w:tcW w:w="2917" w:type="pct"/>
            <w:vAlign w:val="center"/>
          </w:tcPr>
          <w:p w14:paraId="1B6E4B48" w14:textId="77777777" w:rsidR="00587444" w:rsidRPr="00587444" w:rsidRDefault="00587444" w:rsidP="00587444">
            <w:pPr>
              <w:tabs>
                <w:tab w:val="right" w:pos="1202"/>
              </w:tabs>
              <w:suppressAutoHyphens w:val="0"/>
              <w:autoSpaceDN/>
              <w:spacing w:line="260" w:lineRule="exact"/>
              <w:outlineLvl w:val="0"/>
              <w:rPr>
                <w:rFonts w:ascii="Arial" w:eastAsia="Calibri" w:hAnsi="Arial" w:cs="Arial"/>
                <w:spacing w:val="-2"/>
                <w:sz w:val="20"/>
                <w:szCs w:val="20"/>
              </w:rPr>
            </w:pPr>
            <w:r w:rsidRPr="00587444">
              <w:rPr>
                <w:rFonts w:ascii="Arial" w:eastAsia="Calibri" w:hAnsi="Arial" w:cs="Arial"/>
                <w:spacing w:val="-2"/>
                <w:sz w:val="20"/>
                <w:szCs w:val="20"/>
              </w:rPr>
              <w:t>Depository receipt - DR</w:t>
            </w:r>
          </w:p>
        </w:tc>
        <w:tc>
          <w:tcPr>
            <w:tcW w:w="999" w:type="pct"/>
            <w:tcBorders>
              <w:top w:val="nil"/>
              <w:left w:val="nil"/>
              <w:bottom w:val="nil"/>
              <w:right w:val="nil"/>
            </w:tcBorders>
            <w:shd w:val="clear" w:color="auto" w:fill="auto"/>
            <w:vAlign w:val="bottom"/>
          </w:tcPr>
          <w:p w14:paraId="714AC339"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319</w:t>
            </w:r>
          </w:p>
        </w:tc>
        <w:tc>
          <w:tcPr>
            <w:tcW w:w="1084" w:type="pct"/>
            <w:tcBorders>
              <w:top w:val="nil"/>
              <w:left w:val="nil"/>
              <w:bottom w:val="nil"/>
              <w:right w:val="nil"/>
            </w:tcBorders>
            <w:shd w:val="clear" w:color="auto" w:fill="auto"/>
            <w:vAlign w:val="bottom"/>
          </w:tcPr>
          <w:p w14:paraId="5C305924"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lang w:val="en-GB"/>
              </w:rPr>
            </w:pPr>
            <w:r w:rsidRPr="00587444">
              <w:rPr>
                <w:rFonts w:ascii="Arial" w:eastAsia="Calibri" w:hAnsi="Arial" w:cs="Arial"/>
                <w:color w:val="000000"/>
                <w:sz w:val="20"/>
                <w:szCs w:val="20"/>
                <w:lang w:val="hr-HR"/>
              </w:rPr>
              <w:t>318</w:t>
            </w:r>
          </w:p>
        </w:tc>
      </w:tr>
      <w:tr w:rsidR="00587444" w:rsidRPr="00587444" w14:paraId="69F0D065" w14:textId="77777777" w:rsidTr="00DD69E7">
        <w:trPr>
          <w:trHeight w:hRule="exact" w:val="284"/>
        </w:trPr>
        <w:tc>
          <w:tcPr>
            <w:tcW w:w="2917" w:type="pct"/>
          </w:tcPr>
          <w:p w14:paraId="23C8CC5A" w14:textId="77777777" w:rsidR="00587444" w:rsidRPr="00587444" w:rsidRDefault="00587444" w:rsidP="00587444">
            <w:pPr>
              <w:tabs>
                <w:tab w:val="right" w:pos="1202"/>
              </w:tabs>
              <w:suppressAutoHyphens w:val="0"/>
              <w:autoSpaceDN/>
              <w:spacing w:line="260" w:lineRule="exact"/>
              <w:outlineLvl w:val="0"/>
              <w:rPr>
                <w:rFonts w:ascii="Arial" w:hAnsi="Arial" w:cs="Arial"/>
                <w:spacing w:val="-2"/>
                <w:sz w:val="20"/>
                <w:szCs w:val="20"/>
              </w:rPr>
            </w:pPr>
          </w:p>
        </w:tc>
        <w:tc>
          <w:tcPr>
            <w:tcW w:w="999" w:type="pct"/>
            <w:tcBorders>
              <w:top w:val="single" w:sz="4" w:space="0" w:color="auto"/>
              <w:left w:val="nil"/>
              <w:bottom w:val="single" w:sz="12" w:space="0" w:color="auto"/>
              <w:right w:val="nil"/>
            </w:tcBorders>
            <w:shd w:val="clear" w:color="auto" w:fill="auto"/>
            <w:vAlign w:val="bottom"/>
          </w:tcPr>
          <w:p w14:paraId="69545935"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350</w:t>
            </w:r>
          </w:p>
        </w:tc>
        <w:tc>
          <w:tcPr>
            <w:tcW w:w="1084" w:type="pct"/>
            <w:tcBorders>
              <w:top w:val="single" w:sz="4" w:space="0" w:color="auto"/>
              <w:left w:val="nil"/>
              <w:bottom w:val="single" w:sz="12" w:space="0" w:color="auto"/>
              <w:right w:val="nil"/>
            </w:tcBorders>
            <w:shd w:val="clear" w:color="auto" w:fill="auto"/>
            <w:vAlign w:val="bottom"/>
          </w:tcPr>
          <w:p w14:paraId="63EF2F27"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349</w:t>
            </w:r>
          </w:p>
        </w:tc>
      </w:tr>
      <w:tr w:rsidR="00587444" w:rsidRPr="00587444" w14:paraId="3DE8D36B" w14:textId="77777777" w:rsidTr="00DD69E7">
        <w:trPr>
          <w:trHeight w:hRule="exact" w:val="284"/>
        </w:trPr>
        <w:tc>
          <w:tcPr>
            <w:tcW w:w="2917" w:type="pct"/>
          </w:tcPr>
          <w:p w14:paraId="56779BBD" w14:textId="77777777" w:rsidR="00587444" w:rsidRPr="00587444" w:rsidRDefault="00587444" w:rsidP="00587444">
            <w:pPr>
              <w:tabs>
                <w:tab w:val="right" w:pos="1202"/>
              </w:tabs>
              <w:suppressAutoHyphens w:val="0"/>
              <w:autoSpaceDN/>
              <w:spacing w:line="260" w:lineRule="exact"/>
              <w:outlineLvl w:val="0"/>
              <w:rPr>
                <w:rFonts w:ascii="Arial" w:hAnsi="Arial" w:cs="Arial"/>
                <w:spacing w:val="-2"/>
                <w:sz w:val="20"/>
                <w:szCs w:val="20"/>
              </w:rPr>
            </w:pPr>
          </w:p>
        </w:tc>
        <w:tc>
          <w:tcPr>
            <w:tcW w:w="999" w:type="pct"/>
            <w:tcBorders>
              <w:top w:val="single" w:sz="4" w:space="0" w:color="auto"/>
              <w:left w:val="nil"/>
              <w:right w:val="nil"/>
            </w:tcBorders>
            <w:shd w:val="clear" w:color="auto" w:fill="auto"/>
            <w:vAlign w:val="bottom"/>
          </w:tcPr>
          <w:p w14:paraId="459E94D3"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p>
        </w:tc>
        <w:tc>
          <w:tcPr>
            <w:tcW w:w="1084" w:type="pct"/>
            <w:tcBorders>
              <w:top w:val="single" w:sz="4" w:space="0" w:color="auto"/>
              <w:left w:val="nil"/>
              <w:right w:val="nil"/>
            </w:tcBorders>
            <w:shd w:val="clear" w:color="auto" w:fill="auto"/>
            <w:vAlign w:val="bottom"/>
          </w:tcPr>
          <w:p w14:paraId="6FC04375" w14:textId="77777777" w:rsidR="00587444" w:rsidRPr="00587444" w:rsidRDefault="00587444" w:rsidP="00587444">
            <w:pPr>
              <w:tabs>
                <w:tab w:val="right" w:pos="1202"/>
              </w:tabs>
              <w:suppressAutoHyphens w:val="0"/>
              <w:autoSpaceDN/>
              <w:spacing w:line="260" w:lineRule="exact"/>
              <w:jc w:val="right"/>
              <w:outlineLvl w:val="0"/>
              <w:rPr>
                <w:rFonts w:ascii="Arial" w:eastAsia="Calibri" w:hAnsi="Arial" w:cs="Arial"/>
                <w:b/>
                <w:bCs/>
                <w:color w:val="000000"/>
                <w:sz w:val="20"/>
                <w:szCs w:val="20"/>
                <w:lang w:val="hr-HR"/>
              </w:rPr>
            </w:pPr>
          </w:p>
        </w:tc>
      </w:tr>
      <w:tr w:rsidR="00587444" w:rsidRPr="00587444" w14:paraId="6AD71C27" w14:textId="77777777" w:rsidTr="00DD69E7">
        <w:trPr>
          <w:trHeight w:hRule="exact" w:val="637"/>
        </w:trPr>
        <w:tc>
          <w:tcPr>
            <w:tcW w:w="2917" w:type="pct"/>
            <w:vAlign w:val="bottom"/>
          </w:tcPr>
          <w:p w14:paraId="280389B6" w14:textId="77777777" w:rsidR="00587444" w:rsidRPr="00587444" w:rsidRDefault="00587444" w:rsidP="00587444">
            <w:pPr>
              <w:tabs>
                <w:tab w:val="right" w:pos="1202"/>
              </w:tabs>
              <w:suppressAutoHyphens w:val="0"/>
              <w:autoSpaceDN/>
              <w:spacing w:line="260" w:lineRule="exact"/>
              <w:outlineLvl w:val="0"/>
              <w:rPr>
                <w:rFonts w:ascii="Arial" w:hAnsi="Arial" w:cs="Arial"/>
                <w:b/>
                <w:bCs/>
                <w:spacing w:val="-2"/>
                <w:sz w:val="20"/>
                <w:szCs w:val="20"/>
              </w:rPr>
            </w:pPr>
            <w:r w:rsidRPr="00587444">
              <w:rPr>
                <w:rFonts w:ascii="Arial" w:hAnsi="Arial" w:cs="Arial"/>
                <w:b/>
                <w:bCs/>
                <w:spacing w:val="-2"/>
                <w:sz w:val="20"/>
                <w:szCs w:val="20"/>
              </w:rPr>
              <w:t>Derivative financial assets-positive fair value</w:t>
            </w:r>
          </w:p>
        </w:tc>
        <w:tc>
          <w:tcPr>
            <w:tcW w:w="999" w:type="pct"/>
            <w:tcBorders>
              <w:left w:val="nil"/>
              <w:bottom w:val="single" w:sz="12" w:space="0" w:color="auto"/>
              <w:right w:val="nil"/>
            </w:tcBorders>
            <w:shd w:val="clear" w:color="auto" w:fill="auto"/>
            <w:vAlign w:val="bottom"/>
          </w:tcPr>
          <w:p w14:paraId="2AC6DCCA"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bCs/>
                <w:sz w:val="20"/>
                <w:szCs w:val="20"/>
              </w:rPr>
            </w:pPr>
            <w:r w:rsidRPr="00587444">
              <w:rPr>
                <w:rFonts w:ascii="Arial" w:eastAsia="Calibri" w:hAnsi="Arial" w:cs="Arial"/>
                <w:b/>
                <w:bCs/>
                <w:color w:val="000000"/>
                <w:sz w:val="20"/>
                <w:szCs w:val="20"/>
                <w:lang w:val="hr-HR"/>
              </w:rPr>
              <w:t>1,039</w:t>
            </w:r>
          </w:p>
        </w:tc>
        <w:tc>
          <w:tcPr>
            <w:tcW w:w="1084" w:type="pct"/>
            <w:tcBorders>
              <w:left w:val="nil"/>
              <w:bottom w:val="single" w:sz="12" w:space="0" w:color="auto"/>
              <w:right w:val="nil"/>
            </w:tcBorders>
            <w:shd w:val="clear" w:color="auto" w:fill="auto"/>
            <w:vAlign w:val="bottom"/>
          </w:tcPr>
          <w:p w14:paraId="2A110AC6" w14:textId="77777777" w:rsidR="00587444" w:rsidRPr="00587444" w:rsidRDefault="00587444" w:rsidP="00587444">
            <w:pPr>
              <w:tabs>
                <w:tab w:val="right" w:pos="1202"/>
              </w:tabs>
              <w:suppressAutoHyphens w:val="0"/>
              <w:autoSpaceDN/>
              <w:spacing w:line="260" w:lineRule="exact"/>
              <w:jc w:val="right"/>
              <w:outlineLvl w:val="0"/>
              <w:rPr>
                <w:rFonts w:ascii="Arial" w:eastAsia="Calibri" w:hAnsi="Arial" w:cs="Arial"/>
                <w:b/>
                <w:bCs/>
                <w:color w:val="000000"/>
                <w:sz w:val="20"/>
                <w:szCs w:val="20"/>
                <w:lang w:val="hr-HR"/>
              </w:rPr>
            </w:pPr>
            <w:r w:rsidRPr="00587444">
              <w:rPr>
                <w:rFonts w:ascii="Arial" w:eastAsia="Calibri" w:hAnsi="Arial" w:cs="Arial"/>
                <w:b/>
                <w:bCs/>
                <w:color w:val="000000"/>
                <w:sz w:val="20"/>
                <w:szCs w:val="20"/>
                <w:lang w:val="hr-HR"/>
              </w:rPr>
              <w:t>-</w:t>
            </w:r>
          </w:p>
        </w:tc>
      </w:tr>
      <w:tr w:rsidR="00587444" w:rsidRPr="00587444" w14:paraId="29000D3A" w14:textId="77777777" w:rsidTr="00DD69E7">
        <w:trPr>
          <w:trHeight w:hRule="exact" w:val="284"/>
        </w:trPr>
        <w:tc>
          <w:tcPr>
            <w:tcW w:w="2917" w:type="pct"/>
          </w:tcPr>
          <w:p w14:paraId="595FF648" w14:textId="77777777" w:rsidR="00587444" w:rsidRPr="00587444" w:rsidRDefault="00587444" w:rsidP="00587444">
            <w:pPr>
              <w:tabs>
                <w:tab w:val="right" w:pos="1202"/>
              </w:tabs>
              <w:suppressAutoHyphens w:val="0"/>
              <w:autoSpaceDN/>
              <w:spacing w:line="260" w:lineRule="exact"/>
              <w:outlineLvl w:val="0"/>
              <w:rPr>
                <w:rFonts w:ascii="Arial" w:hAnsi="Arial" w:cs="Arial"/>
                <w:spacing w:val="-2"/>
                <w:sz w:val="20"/>
                <w:szCs w:val="20"/>
              </w:rPr>
            </w:pPr>
          </w:p>
        </w:tc>
        <w:tc>
          <w:tcPr>
            <w:tcW w:w="999" w:type="pct"/>
            <w:tcBorders>
              <w:top w:val="single" w:sz="12" w:space="0" w:color="auto"/>
              <w:left w:val="nil"/>
              <w:bottom w:val="single" w:sz="12" w:space="0" w:color="auto"/>
              <w:right w:val="nil"/>
            </w:tcBorders>
            <w:shd w:val="clear" w:color="auto" w:fill="auto"/>
            <w:vAlign w:val="bottom"/>
          </w:tcPr>
          <w:p w14:paraId="51781A92"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131,523</w:t>
            </w:r>
          </w:p>
        </w:tc>
        <w:tc>
          <w:tcPr>
            <w:tcW w:w="1084" w:type="pct"/>
            <w:tcBorders>
              <w:top w:val="single" w:sz="12" w:space="0" w:color="auto"/>
              <w:left w:val="nil"/>
              <w:bottom w:val="single" w:sz="12" w:space="0" w:color="auto"/>
              <w:right w:val="nil"/>
            </w:tcBorders>
            <w:shd w:val="clear" w:color="auto" w:fill="auto"/>
            <w:vAlign w:val="bottom"/>
          </w:tcPr>
          <w:p w14:paraId="07A03AE5"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218,984</w:t>
            </w:r>
          </w:p>
        </w:tc>
      </w:tr>
    </w:tbl>
    <w:p w14:paraId="02084018" w14:textId="77777777" w:rsidR="00587444" w:rsidRPr="00587444" w:rsidRDefault="00587444" w:rsidP="00880B90">
      <w:pPr>
        <w:autoSpaceDN/>
        <w:jc w:val="both"/>
        <w:rPr>
          <w:rFonts w:ascii="Arial" w:hAnsi="Arial" w:cs="Arial"/>
          <w:sz w:val="20"/>
          <w:szCs w:val="20"/>
          <w:lang w:val="en-GB"/>
        </w:rPr>
      </w:pPr>
      <w:bookmarkStart w:id="708" w:name="_Hlk529873781"/>
      <w:r w:rsidRPr="00587444">
        <w:rPr>
          <w:rFonts w:ascii="Arial" w:hAnsi="Arial" w:cs="Arial"/>
          <w:sz w:val="20"/>
          <w:szCs w:val="20"/>
          <w:lang w:val="en-GB"/>
        </w:rPr>
        <w:t xml:space="preserve">The shares of companies not listed on the stock exchange in the amount of HRK 31 thousand (31 December 2021: HRK 31 thousand) (0.03% portion) relate to the shares of the company Helios Faros </w:t>
      </w:r>
      <w:proofErr w:type="spellStart"/>
      <w:r w:rsidRPr="00587444">
        <w:rPr>
          <w:rFonts w:ascii="Arial" w:hAnsi="Arial" w:cs="Arial"/>
          <w:sz w:val="20"/>
          <w:szCs w:val="20"/>
          <w:lang w:val="en-GB"/>
        </w:rPr>
        <w:t>d.d.</w:t>
      </w:r>
      <w:proofErr w:type="spellEnd"/>
      <w:r w:rsidRPr="00587444">
        <w:rPr>
          <w:rFonts w:ascii="Arial" w:hAnsi="Arial" w:cs="Arial"/>
          <w:sz w:val="20"/>
          <w:szCs w:val="20"/>
          <w:lang w:val="en-GB"/>
        </w:rPr>
        <w:t>, in bankruptcy, acquired by HBOR in substitution for a portion of receivables by accepting the company’s bankruptcy restructuring plan.</w:t>
      </w:r>
    </w:p>
    <w:p w14:paraId="118F79EA" w14:textId="77777777" w:rsidR="00587444" w:rsidRPr="00587444" w:rsidRDefault="00587444" w:rsidP="00880B90">
      <w:pPr>
        <w:autoSpaceDN/>
        <w:jc w:val="both"/>
        <w:rPr>
          <w:rFonts w:ascii="Arial" w:hAnsi="Arial" w:cs="Arial"/>
          <w:sz w:val="20"/>
          <w:szCs w:val="20"/>
          <w:lang w:val="en-GB"/>
        </w:rPr>
      </w:pPr>
    </w:p>
    <w:p w14:paraId="4844CB65" w14:textId="77777777"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Non-listed equity securities in the amount of HRK 319 thousand (31 December 2021 HRK 318 thousand) relate to depository receipts (DR) of the </w:t>
      </w:r>
      <w:proofErr w:type="spellStart"/>
      <w:r w:rsidRPr="00587444">
        <w:rPr>
          <w:rFonts w:ascii="Arial" w:hAnsi="Arial" w:cs="Arial"/>
          <w:sz w:val="20"/>
          <w:szCs w:val="20"/>
          <w:lang w:val="en-GB"/>
        </w:rPr>
        <w:t>Fortenova</w:t>
      </w:r>
      <w:proofErr w:type="spellEnd"/>
      <w:r w:rsidRPr="00587444">
        <w:rPr>
          <w:rFonts w:ascii="Arial" w:hAnsi="Arial" w:cs="Arial"/>
          <w:sz w:val="20"/>
          <w:szCs w:val="20"/>
          <w:lang w:val="en-GB"/>
        </w:rPr>
        <w:t xml:space="preserve"> Group STAK </w:t>
      </w:r>
      <w:proofErr w:type="spellStart"/>
      <w:r w:rsidRPr="00587444">
        <w:rPr>
          <w:rFonts w:ascii="Arial" w:hAnsi="Arial" w:cs="Arial"/>
          <w:sz w:val="20"/>
          <w:szCs w:val="20"/>
          <w:lang w:val="en-GB"/>
        </w:rPr>
        <w:t>Stichting</w:t>
      </w:r>
      <w:proofErr w:type="spellEnd"/>
      <w:r w:rsidRPr="00587444">
        <w:rPr>
          <w:rFonts w:ascii="Arial" w:hAnsi="Arial" w:cs="Arial"/>
          <w:sz w:val="20"/>
          <w:szCs w:val="20"/>
          <w:lang w:val="en-GB"/>
        </w:rPr>
        <w:t xml:space="preserve"> taken over through the Settlement under the Extraordinary Administration Proceedings against the company </w:t>
      </w:r>
      <w:proofErr w:type="spellStart"/>
      <w:r w:rsidRPr="00587444">
        <w:rPr>
          <w:rFonts w:ascii="Arial" w:hAnsi="Arial" w:cs="Arial"/>
          <w:sz w:val="20"/>
          <w:szCs w:val="20"/>
          <w:lang w:val="en-GB"/>
        </w:rPr>
        <w:t>Agrokor</w:t>
      </w:r>
      <w:proofErr w:type="spellEnd"/>
      <w:r w:rsidRPr="00587444">
        <w:rPr>
          <w:rFonts w:ascii="Arial" w:hAnsi="Arial" w:cs="Arial"/>
          <w:sz w:val="20"/>
          <w:szCs w:val="20"/>
          <w:lang w:val="en-GB"/>
        </w:rPr>
        <w:t xml:space="preserve"> </w:t>
      </w:r>
      <w:proofErr w:type="spellStart"/>
      <w:r w:rsidRPr="00587444">
        <w:rPr>
          <w:rFonts w:ascii="Arial" w:hAnsi="Arial" w:cs="Arial"/>
          <w:sz w:val="20"/>
          <w:szCs w:val="20"/>
          <w:lang w:val="en-GB"/>
        </w:rPr>
        <w:t>d.d.</w:t>
      </w:r>
      <w:proofErr w:type="spellEnd"/>
      <w:r w:rsidRPr="00587444">
        <w:rPr>
          <w:rFonts w:ascii="Arial" w:hAnsi="Arial" w:cs="Arial"/>
          <w:sz w:val="20"/>
          <w:szCs w:val="20"/>
          <w:lang w:val="en-GB"/>
        </w:rPr>
        <w:t xml:space="preserve"> et al.</w:t>
      </w:r>
    </w:p>
    <w:bookmarkEnd w:id="708"/>
    <w:p w14:paraId="123BB3D1" w14:textId="77777777" w:rsidR="00587444" w:rsidRPr="00587444" w:rsidRDefault="00587444" w:rsidP="00880B90">
      <w:pPr>
        <w:autoSpaceDN/>
        <w:jc w:val="both"/>
        <w:rPr>
          <w:rFonts w:ascii="Arial" w:eastAsia="Calibri" w:hAnsi="Arial" w:cs="Arial"/>
          <w:sz w:val="20"/>
          <w:szCs w:val="20"/>
        </w:rPr>
      </w:pPr>
    </w:p>
    <w:p w14:paraId="176E0F67" w14:textId="77777777" w:rsidR="00587444" w:rsidRPr="00587444" w:rsidRDefault="00587444" w:rsidP="00880B90">
      <w:pPr>
        <w:autoSpaceDN/>
        <w:jc w:val="both"/>
        <w:rPr>
          <w:rFonts w:ascii="Arial" w:hAnsi="Arial" w:cs="Arial"/>
          <w:sz w:val="20"/>
          <w:szCs w:val="20"/>
          <w:highlight w:val="yellow"/>
          <w:lang w:val="en-GB"/>
        </w:rPr>
      </w:pPr>
      <w:r w:rsidRPr="00587444">
        <w:rPr>
          <w:rFonts w:ascii="Arial" w:eastAsia="Calibri" w:hAnsi="Arial" w:cs="Arial"/>
          <w:color w:val="000000"/>
          <w:sz w:val="20"/>
          <w:szCs w:val="20"/>
          <w:lang w:val="en-GB"/>
        </w:rPr>
        <w:t xml:space="preserve">As </w:t>
      </w:r>
      <w:proofErr w:type="gramStart"/>
      <w:r w:rsidRPr="00587444">
        <w:rPr>
          <w:rFonts w:ascii="Arial" w:eastAsia="Calibri" w:hAnsi="Arial" w:cs="Arial"/>
          <w:color w:val="000000"/>
          <w:sz w:val="20"/>
          <w:szCs w:val="20"/>
          <w:lang w:val="en-GB"/>
        </w:rPr>
        <w:t>at</w:t>
      </w:r>
      <w:proofErr w:type="gramEnd"/>
      <w:r w:rsidRPr="00587444">
        <w:rPr>
          <w:rFonts w:ascii="Arial" w:eastAsia="Calibri" w:hAnsi="Arial" w:cs="Arial"/>
          <w:color w:val="000000"/>
          <w:sz w:val="20"/>
          <w:szCs w:val="20"/>
          <w:lang w:val="en-GB"/>
        </w:rPr>
        <w:t xml:space="preserve"> 31 December 2022, a positive fair value of derivative financial instruments was stated in the amount of HRK 1,039 thousand (31 December 2021: HRK 0 thousand).</w:t>
      </w:r>
    </w:p>
    <w:p w14:paraId="745197EA" w14:textId="77777777" w:rsidR="00587444" w:rsidRPr="00587444" w:rsidRDefault="00587444" w:rsidP="00587444">
      <w:pPr>
        <w:suppressAutoHyphens w:val="0"/>
        <w:autoSpaceDN/>
        <w:spacing w:before="240" w:after="120" w:line="360" w:lineRule="auto"/>
        <w:jc w:val="both"/>
        <w:rPr>
          <w:rFonts w:ascii="Arial" w:hAnsi="Arial" w:cs="Arial"/>
          <w:b/>
          <w:bCs/>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793DE05E" w14:textId="77777777" w:rsidR="00587444" w:rsidRPr="00587444" w:rsidRDefault="00587444" w:rsidP="00587444">
      <w:pPr>
        <w:keepNext/>
        <w:suppressAutoHyphens w:val="0"/>
        <w:autoSpaceDN/>
        <w:jc w:val="both"/>
        <w:rPr>
          <w:rFonts w:ascii="Arial" w:hAnsi="Arial" w:cs="Arial"/>
          <w:b/>
          <w:bCs/>
          <w:sz w:val="20"/>
          <w:szCs w:val="20"/>
          <w:lang w:val="en-GB"/>
        </w:rPr>
      </w:pPr>
    </w:p>
    <w:p w14:paraId="55D579CC"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17.</w:t>
      </w:r>
      <w:r w:rsidRPr="00587444">
        <w:rPr>
          <w:rFonts w:ascii="Arial" w:hAnsi="Arial" w:cs="Arial"/>
          <w:b/>
          <w:bCs/>
          <w:sz w:val="20"/>
          <w:szCs w:val="20"/>
          <w:lang w:val="en-GB"/>
        </w:rPr>
        <w:tab/>
        <w:t>Financial assets at fair value through other comprehensive income</w:t>
      </w:r>
    </w:p>
    <w:p w14:paraId="79AE667D" w14:textId="77777777" w:rsidR="00587444" w:rsidRPr="00587444" w:rsidRDefault="00587444" w:rsidP="00587444">
      <w:pPr>
        <w:keepNext/>
        <w:tabs>
          <w:tab w:val="left" w:pos="567"/>
        </w:tabs>
        <w:suppressAutoHyphens w:val="0"/>
        <w:autoSpaceDN/>
        <w:ind w:left="573"/>
        <w:jc w:val="both"/>
        <w:rPr>
          <w:rFonts w:ascii="Arial" w:hAnsi="Arial" w:cs="Arial"/>
          <w:b/>
          <w:bCs/>
          <w:sz w:val="20"/>
          <w:szCs w:val="20"/>
          <w:lang w:val="en-GB"/>
        </w:rPr>
      </w:pPr>
    </w:p>
    <w:tbl>
      <w:tblPr>
        <w:tblpPr w:leftFromText="180" w:rightFromText="180" w:vertAnchor="text" w:horzAnchor="margin" w:tblpXSpec="center" w:tblpY="134"/>
        <w:tblW w:w="5273" w:type="pct"/>
        <w:tblLayout w:type="fixed"/>
        <w:tblCellMar>
          <w:left w:w="122" w:type="dxa"/>
          <w:right w:w="122" w:type="dxa"/>
        </w:tblCellMar>
        <w:tblLook w:val="0000" w:firstRow="0" w:lastRow="0" w:firstColumn="0" w:lastColumn="0" w:noHBand="0" w:noVBand="0"/>
      </w:tblPr>
      <w:tblGrid>
        <w:gridCol w:w="3839"/>
        <w:gridCol w:w="1571"/>
        <w:gridCol w:w="1571"/>
        <w:gridCol w:w="1571"/>
        <w:gridCol w:w="1571"/>
      </w:tblGrid>
      <w:tr w:rsidR="00587444" w:rsidRPr="00587444" w14:paraId="6B117B63" w14:textId="77777777" w:rsidTr="00DD69E7">
        <w:trPr>
          <w:trHeight w:hRule="exact" w:val="278"/>
        </w:trPr>
        <w:tc>
          <w:tcPr>
            <w:tcW w:w="1896" w:type="pct"/>
          </w:tcPr>
          <w:p w14:paraId="329ED261"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p>
        </w:tc>
        <w:tc>
          <w:tcPr>
            <w:tcW w:w="1552" w:type="pct"/>
            <w:gridSpan w:val="2"/>
          </w:tcPr>
          <w:p w14:paraId="11F9AE94"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709" w:name="_Toc4058773"/>
            <w:r w:rsidRPr="00587444">
              <w:rPr>
                <w:rFonts w:ascii="Arial" w:eastAsia="Calibri" w:hAnsi="Arial" w:cs="Arial"/>
                <w:b/>
                <w:sz w:val="20"/>
                <w:szCs w:val="20"/>
              </w:rPr>
              <w:t>Group</w:t>
            </w:r>
            <w:bookmarkEnd w:id="709"/>
          </w:p>
        </w:tc>
        <w:tc>
          <w:tcPr>
            <w:tcW w:w="1552" w:type="pct"/>
            <w:gridSpan w:val="2"/>
          </w:tcPr>
          <w:p w14:paraId="32AB275A"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710" w:name="_Toc4058774"/>
            <w:r w:rsidRPr="00587444">
              <w:rPr>
                <w:rFonts w:ascii="Arial" w:eastAsia="Calibri" w:hAnsi="Arial" w:cs="Arial"/>
                <w:b/>
                <w:sz w:val="20"/>
                <w:szCs w:val="20"/>
              </w:rPr>
              <w:t>Bank</w:t>
            </w:r>
            <w:bookmarkEnd w:id="710"/>
          </w:p>
        </w:tc>
      </w:tr>
      <w:tr w:rsidR="00587444" w:rsidRPr="00587444" w14:paraId="654F71F5" w14:textId="77777777" w:rsidTr="00DD69E7">
        <w:trPr>
          <w:trHeight w:hRule="exact" w:val="500"/>
        </w:trPr>
        <w:tc>
          <w:tcPr>
            <w:tcW w:w="1896" w:type="pct"/>
          </w:tcPr>
          <w:p w14:paraId="18B7810C"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p>
        </w:tc>
        <w:tc>
          <w:tcPr>
            <w:tcW w:w="776" w:type="pct"/>
            <w:vAlign w:val="center"/>
          </w:tcPr>
          <w:p w14:paraId="52DE7B68"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bookmarkStart w:id="711" w:name="_Toc4058775"/>
            <w:r w:rsidRPr="00587444">
              <w:rPr>
                <w:rFonts w:ascii="Arial" w:eastAsia="Calibri" w:hAnsi="Arial" w:cs="Arial"/>
                <w:b/>
                <w:bCs/>
                <w:sz w:val="20"/>
                <w:szCs w:val="20"/>
              </w:rPr>
              <w:t xml:space="preserve">31 December </w:t>
            </w:r>
            <w:bookmarkEnd w:id="711"/>
            <w:r w:rsidRPr="00587444">
              <w:rPr>
                <w:rFonts w:ascii="Arial" w:eastAsia="Calibri" w:hAnsi="Arial" w:cs="Arial"/>
                <w:b/>
                <w:bCs/>
                <w:sz w:val="20"/>
                <w:szCs w:val="20"/>
              </w:rPr>
              <w:t>2022</w:t>
            </w:r>
          </w:p>
        </w:tc>
        <w:tc>
          <w:tcPr>
            <w:tcW w:w="776" w:type="pct"/>
            <w:shd w:val="clear" w:color="auto" w:fill="auto"/>
            <w:vAlign w:val="center"/>
          </w:tcPr>
          <w:p w14:paraId="3C311AA6"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bookmarkStart w:id="712" w:name="_Toc4058776"/>
            <w:r w:rsidRPr="00587444">
              <w:rPr>
                <w:rFonts w:ascii="Arial" w:eastAsia="Calibri" w:hAnsi="Arial" w:cs="Arial"/>
                <w:b/>
                <w:bCs/>
                <w:sz w:val="20"/>
                <w:szCs w:val="20"/>
              </w:rPr>
              <w:t xml:space="preserve">31 December </w:t>
            </w:r>
            <w:bookmarkEnd w:id="712"/>
            <w:r w:rsidRPr="00587444">
              <w:rPr>
                <w:rFonts w:ascii="Arial" w:eastAsia="Calibri" w:hAnsi="Arial" w:cs="Arial"/>
                <w:b/>
                <w:bCs/>
                <w:sz w:val="20"/>
                <w:szCs w:val="20"/>
              </w:rPr>
              <w:t>2021</w:t>
            </w:r>
          </w:p>
        </w:tc>
        <w:tc>
          <w:tcPr>
            <w:tcW w:w="776" w:type="pct"/>
            <w:shd w:val="clear" w:color="auto" w:fill="auto"/>
            <w:vAlign w:val="center"/>
          </w:tcPr>
          <w:p w14:paraId="42D8324A"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bookmarkStart w:id="713" w:name="_Toc4058777"/>
            <w:r w:rsidRPr="00587444">
              <w:rPr>
                <w:rFonts w:ascii="Arial" w:eastAsia="Calibri" w:hAnsi="Arial" w:cs="Arial"/>
                <w:b/>
                <w:bCs/>
                <w:sz w:val="20"/>
                <w:szCs w:val="20"/>
              </w:rPr>
              <w:t xml:space="preserve">31 December </w:t>
            </w:r>
            <w:bookmarkEnd w:id="713"/>
            <w:r w:rsidRPr="00587444">
              <w:rPr>
                <w:rFonts w:ascii="Arial" w:eastAsia="Calibri" w:hAnsi="Arial" w:cs="Arial"/>
                <w:b/>
                <w:bCs/>
                <w:sz w:val="20"/>
                <w:szCs w:val="20"/>
              </w:rPr>
              <w:t>2022</w:t>
            </w:r>
          </w:p>
        </w:tc>
        <w:tc>
          <w:tcPr>
            <w:tcW w:w="776" w:type="pct"/>
            <w:shd w:val="clear" w:color="auto" w:fill="auto"/>
            <w:vAlign w:val="center"/>
          </w:tcPr>
          <w:p w14:paraId="7B0E0E81"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bookmarkStart w:id="714" w:name="_Toc4058778"/>
            <w:r w:rsidRPr="00587444">
              <w:rPr>
                <w:rFonts w:ascii="Arial" w:eastAsia="Calibri" w:hAnsi="Arial" w:cs="Arial"/>
                <w:b/>
                <w:bCs/>
                <w:sz w:val="20"/>
                <w:szCs w:val="20"/>
              </w:rPr>
              <w:t xml:space="preserve">31 December </w:t>
            </w:r>
            <w:bookmarkEnd w:id="714"/>
            <w:r w:rsidRPr="00587444">
              <w:rPr>
                <w:rFonts w:ascii="Arial" w:eastAsia="Calibri" w:hAnsi="Arial" w:cs="Arial"/>
                <w:b/>
                <w:bCs/>
                <w:sz w:val="20"/>
                <w:szCs w:val="20"/>
              </w:rPr>
              <w:t>2021</w:t>
            </w:r>
          </w:p>
        </w:tc>
      </w:tr>
      <w:tr w:rsidR="00587444" w:rsidRPr="00587444" w14:paraId="47429E06" w14:textId="77777777" w:rsidTr="00DD69E7">
        <w:trPr>
          <w:trHeight w:hRule="exact" w:val="286"/>
        </w:trPr>
        <w:tc>
          <w:tcPr>
            <w:tcW w:w="1896" w:type="pct"/>
          </w:tcPr>
          <w:p w14:paraId="33D3B107"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p>
        </w:tc>
        <w:tc>
          <w:tcPr>
            <w:tcW w:w="776" w:type="pct"/>
            <w:vAlign w:val="center"/>
          </w:tcPr>
          <w:p w14:paraId="5B3B1808"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bookmarkStart w:id="715" w:name="_Toc4058779"/>
            <w:r w:rsidRPr="00587444">
              <w:rPr>
                <w:rFonts w:ascii="Arial" w:hAnsi="Arial" w:cs="Arial"/>
                <w:b/>
                <w:bCs/>
                <w:sz w:val="20"/>
                <w:szCs w:val="20"/>
              </w:rPr>
              <w:t>HRK ‘000</w:t>
            </w:r>
            <w:bookmarkEnd w:id="715"/>
          </w:p>
        </w:tc>
        <w:tc>
          <w:tcPr>
            <w:tcW w:w="776" w:type="pct"/>
            <w:vAlign w:val="center"/>
          </w:tcPr>
          <w:p w14:paraId="0515D77B"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bookmarkStart w:id="716" w:name="_Toc4058780"/>
            <w:r w:rsidRPr="00587444">
              <w:rPr>
                <w:rFonts w:ascii="Arial" w:hAnsi="Arial" w:cs="Arial"/>
                <w:b/>
                <w:sz w:val="20"/>
                <w:szCs w:val="20"/>
              </w:rPr>
              <w:t>HRK ‘000</w:t>
            </w:r>
            <w:bookmarkEnd w:id="716"/>
          </w:p>
        </w:tc>
        <w:tc>
          <w:tcPr>
            <w:tcW w:w="776" w:type="pct"/>
            <w:vAlign w:val="center"/>
          </w:tcPr>
          <w:p w14:paraId="31F844BA"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bookmarkStart w:id="717" w:name="_Toc4058781"/>
            <w:r w:rsidRPr="00587444">
              <w:rPr>
                <w:rFonts w:ascii="Arial" w:hAnsi="Arial" w:cs="Arial"/>
                <w:b/>
                <w:sz w:val="20"/>
                <w:szCs w:val="20"/>
              </w:rPr>
              <w:t>HRK ‘000</w:t>
            </w:r>
            <w:bookmarkEnd w:id="717"/>
          </w:p>
        </w:tc>
        <w:tc>
          <w:tcPr>
            <w:tcW w:w="776" w:type="pct"/>
            <w:vAlign w:val="center"/>
          </w:tcPr>
          <w:p w14:paraId="1C717282"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bookmarkStart w:id="718" w:name="_Toc4058782"/>
            <w:r w:rsidRPr="00587444">
              <w:rPr>
                <w:rFonts w:ascii="Arial" w:hAnsi="Arial" w:cs="Arial"/>
                <w:b/>
                <w:sz w:val="20"/>
                <w:szCs w:val="20"/>
              </w:rPr>
              <w:t>HRK ‘000</w:t>
            </w:r>
            <w:bookmarkEnd w:id="718"/>
          </w:p>
        </w:tc>
      </w:tr>
      <w:tr w:rsidR="00587444" w:rsidRPr="00587444" w14:paraId="13F4C68E" w14:textId="77777777" w:rsidTr="00DD69E7">
        <w:trPr>
          <w:trHeight w:val="275"/>
        </w:trPr>
        <w:tc>
          <w:tcPr>
            <w:tcW w:w="1896" w:type="pct"/>
          </w:tcPr>
          <w:p w14:paraId="61B519E1" w14:textId="77777777" w:rsidR="00587444" w:rsidRPr="00587444" w:rsidRDefault="00587444" w:rsidP="00587444">
            <w:pPr>
              <w:tabs>
                <w:tab w:val="right" w:pos="1202"/>
              </w:tabs>
              <w:suppressAutoHyphens w:val="0"/>
              <w:autoSpaceDN/>
              <w:spacing w:line="260" w:lineRule="exact"/>
              <w:outlineLvl w:val="0"/>
              <w:rPr>
                <w:rFonts w:ascii="Arial" w:hAnsi="Arial" w:cs="Arial"/>
                <w:b/>
                <w:i/>
                <w:spacing w:val="-2"/>
                <w:sz w:val="20"/>
                <w:szCs w:val="20"/>
              </w:rPr>
            </w:pPr>
            <w:bookmarkStart w:id="719" w:name="_Toc4058783"/>
            <w:r w:rsidRPr="00587444">
              <w:rPr>
                <w:rFonts w:ascii="Arial" w:hAnsi="Arial" w:cs="Arial"/>
                <w:b/>
                <w:i/>
                <w:spacing w:val="-2"/>
                <w:sz w:val="20"/>
                <w:szCs w:val="20"/>
              </w:rPr>
              <w:t>Debt instruments:</w:t>
            </w:r>
            <w:bookmarkEnd w:id="719"/>
          </w:p>
        </w:tc>
        <w:tc>
          <w:tcPr>
            <w:tcW w:w="776" w:type="pct"/>
          </w:tcPr>
          <w:p w14:paraId="7BAEB470"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bCs/>
                <w:sz w:val="20"/>
                <w:szCs w:val="20"/>
              </w:rPr>
            </w:pPr>
          </w:p>
        </w:tc>
        <w:tc>
          <w:tcPr>
            <w:tcW w:w="776" w:type="pct"/>
          </w:tcPr>
          <w:p w14:paraId="784D1582"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p>
        </w:tc>
        <w:tc>
          <w:tcPr>
            <w:tcW w:w="776" w:type="pct"/>
          </w:tcPr>
          <w:p w14:paraId="403F20ED"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p>
        </w:tc>
        <w:tc>
          <w:tcPr>
            <w:tcW w:w="776" w:type="pct"/>
          </w:tcPr>
          <w:p w14:paraId="50DEF1F3"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p>
        </w:tc>
      </w:tr>
      <w:tr w:rsidR="00587444" w:rsidRPr="00587444" w14:paraId="4AD1BE23" w14:textId="77777777" w:rsidTr="00DD69E7">
        <w:trPr>
          <w:trHeight w:val="275"/>
        </w:trPr>
        <w:tc>
          <w:tcPr>
            <w:tcW w:w="1896" w:type="pct"/>
          </w:tcPr>
          <w:p w14:paraId="3071EFCE"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bookmarkStart w:id="720" w:name="_Toc4058784"/>
            <w:r w:rsidRPr="00587444">
              <w:rPr>
                <w:rFonts w:ascii="Arial" w:eastAsia="Calibri" w:hAnsi="Arial" w:cs="Arial"/>
                <w:b/>
                <w:spacing w:val="-2"/>
                <w:sz w:val="20"/>
                <w:szCs w:val="20"/>
              </w:rPr>
              <w:t>Listed debt instruments:</w:t>
            </w:r>
            <w:bookmarkEnd w:id="720"/>
          </w:p>
        </w:tc>
        <w:tc>
          <w:tcPr>
            <w:tcW w:w="776" w:type="pct"/>
          </w:tcPr>
          <w:p w14:paraId="1E0990D9"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c>
          <w:tcPr>
            <w:tcW w:w="776" w:type="pct"/>
          </w:tcPr>
          <w:p w14:paraId="70069498"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c>
          <w:tcPr>
            <w:tcW w:w="776" w:type="pct"/>
          </w:tcPr>
          <w:p w14:paraId="477F7B29"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c>
          <w:tcPr>
            <w:tcW w:w="776" w:type="pct"/>
          </w:tcPr>
          <w:p w14:paraId="00A4BC20"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r>
      <w:tr w:rsidR="00587444" w:rsidRPr="00587444" w14:paraId="6684949C" w14:textId="77777777" w:rsidTr="00DD69E7">
        <w:trPr>
          <w:trHeight w:val="275"/>
        </w:trPr>
        <w:tc>
          <w:tcPr>
            <w:tcW w:w="1896" w:type="pct"/>
            <w:vAlign w:val="center"/>
          </w:tcPr>
          <w:p w14:paraId="6B782C7D" w14:textId="77777777" w:rsidR="00587444" w:rsidRPr="00587444" w:rsidRDefault="00587444" w:rsidP="00587444">
            <w:pPr>
              <w:tabs>
                <w:tab w:val="right" w:pos="1202"/>
              </w:tabs>
              <w:suppressAutoHyphens w:val="0"/>
              <w:autoSpaceDN/>
              <w:spacing w:line="260" w:lineRule="exact"/>
              <w:outlineLvl w:val="0"/>
              <w:rPr>
                <w:rFonts w:ascii="Arial" w:hAnsi="Arial" w:cs="Arial"/>
                <w:spacing w:val="-2"/>
                <w:sz w:val="20"/>
                <w:szCs w:val="20"/>
              </w:rPr>
            </w:pPr>
            <w:bookmarkStart w:id="721" w:name="_Toc4058785"/>
            <w:r w:rsidRPr="00587444">
              <w:rPr>
                <w:rFonts w:ascii="Arial" w:hAnsi="Arial" w:cs="Arial"/>
                <w:spacing w:val="-2"/>
                <w:sz w:val="20"/>
                <w:szCs w:val="20"/>
              </w:rPr>
              <w:t>Bonds of the Republic of Croatia</w:t>
            </w:r>
            <w:bookmarkEnd w:id="721"/>
          </w:p>
        </w:tc>
        <w:tc>
          <w:tcPr>
            <w:tcW w:w="776" w:type="pct"/>
            <w:tcBorders>
              <w:top w:val="nil"/>
              <w:left w:val="nil"/>
              <w:bottom w:val="nil"/>
              <w:right w:val="nil"/>
            </w:tcBorders>
            <w:shd w:val="clear" w:color="auto" w:fill="auto"/>
            <w:vAlign w:val="bottom"/>
          </w:tcPr>
          <w:p w14:paraId="7C4FB2AA"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 xml:space="preserve"> 1,333,611 </w:t>
            </w:r>
          </w:p>
        </w:tc>
        <w:tc>
          <w:tcPr>
            <w:tcW w:w="776" w:type="pct"/>
            <w:tcBorders>
              <w:top w:val="nil"/>
              <w:left w:val="nil"/>
              <w:bottom w:val="nil"/>
              <w:right w:val="nil"/>
            </w:tcBorders>
            <w:shd w:val="clear" w:color="auto" w:fill="auto"/>
          </w:tcPr>
          <w:p w14:paraId="18861C52"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1,358,981</w:t>
            </w:r>
          </w:p>
        </w:tc>
        <w:tc>
          <w:tcPr>
            <w:tcW w:w="776" w:type="pct"/>
            <w:tcBorders>
              <w:top w:val="nil"/>
              <w:left w:val="nil"/>
              <w:bottom w:val="nil"/>
              <w:right w:val="nil"/>
            </w:tcBorders>
            <w:shd w:val="clear" w:color="auto" w:fill="auto"/>
          </w:tcPr>
          <w:p w14:paraId="6BF9334E" w14:textId="77777777" w:rsidR="00587444" w:rsidRPr="00587444" w:rsidRDefault="00587444" w:rsidP="00587444">
            <w:pPr>
              <w:tabs>
                <w:tab w:val="center" w:pos="586"/>
                <w:tab w:val="right" w:pos="1172"/>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1,289,066</w:t>
            </w:r>
          </w:p>
        </w:tc>
        <w:tc>
          <w:tcPr>
            <w:tcW w:w="776" w:type="pct"/>
            <w:tcBorders>
              <w:top w:val="nil"/>
              <w:left w:val="nil"/>
              <w:bottom w:val="nil"/>
              <w:right w:val="nil"/>
            </w:tcBorders>
            <w:shd w:val="clear" w:color="auto" w:fill="auto"/>
          </w:tcPr>
          <w:p w14:paraId="5232160B"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1,304,974</w:t>
            </w:r>
          </w:p>
        </w:tc>
      </w:tr>
      <w:tr w:rsidR="00587444" w:rsidRPr="00587444" w14:paraId="65D3781A" w14:textId="77777777" w:rsidTr="00DD69E7">
        <w:trPr>
          <w:trHeight w:val="275"/>
        </w:trPr>
        <w:tc>
          <w:tcPr>
            <w:tcW w:w="1896" w:type="pct"/>
            <w:vAlign w:val="center"/>
          </w:tcPr>
          <w:p w14:paraId="0746251A" w14:textId="77777777" w:rsidR="00587444" w:rsidRPr="00587444" w:rsidRDefault="00587444" w:rsidP="00587444">
            <w:pPr>
              <w:tabs>
                <w:tab w:val="right" w:pos="1202"/>
              </w:tabs>
              <w:suppressAutoHyphens w:val="0"/>
              <w:autoSpaceDN/>
              <w:spacing w:line="260" w:lineRule="exact"/>
              <w:outlineLvl w:val="0"/>
              <w:rPr>
                <w:rFonts w:ascii="Arial" w:hAnsi="Arial" w:cs="Arial"/>
                <w:spacing w:val="-2"/>
                <w:sz w:val="20"/>
                <w:szCs w:val="20"/>
              </w:rPr>
            </w:pPr>
            <w:bookmarkStart w:id="722" w:name="_Toc4058790"/>
            <w:r w:rsidRPr="00587444">
              <w:rPr>
                <w:rFonts w:ascii="Arial" w:hAnsi="Arial" w:cs="Arial"/>
                <w:spacing w:val="-2"/>
                <w:sz w:val="20"/>
                <w:szCs w:val="20"/>
              </w:rPr>
              <w:t>Corporate bonds</w:t>
            </w:r>
            <w:bookmarkEnd w:id="722"/>
          </w:p>
        </w:tc>
        <w:tc>
          <w:tcPr>
            <w:tcW w:w="776" w:type="pct"/>
            <w:tcBorders>
              <w:top w:val="nil"/>
              <w:left w:val="nil"/>
              <w:bottom w:val="nil"/>
              <w:right w:val="nil"/>
            </w:tcBorders>
            <w:shd w:val="clear" w:color="auto" w:fill="auto"/>
            <w:vAlign w:val="bottom"/>
          </w:tcPr>
          <w:p w14:paraId="290A16A9"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 xml:space="preserve"> 2,179 </w:t>
            </w:r>
          </w:p>
        </w:tc>
        <w:tc>
          <w:tcPr>
            <w:tcW w:w="776" w:type="pct"/>
            <w:tcBorders>
              <w:top w:val="nil"/>
              <w:left w:val="nil"/>
              <w:bottom w:val="nil"/>
              <w:right w:val="nil"/>
            </w:tcBorders>
            <w:shd w:val="clear" w:color="auto" w:fill="auto"/>
          </w:tcPr>
          <w:p w14:paraId="03141E6D"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2,393</w:t>
            </w:r>
          </w:p>
        </w:tc>
        <w:tc>
          <w:tcPr>
            <w:tcW w:w="776" w:type="pct"/>
            <w:tcBorders>
              <w:top w:val="nil"/>
              <w:left w:val="nil"/>
              <w:bottom w:val="nil"/>
              <w:right w:val="nil"/>
            </w:tcBorders>
            <w:shd w:val="clear" w:color="auto" w:fill="auto"/>
          </w:tcPr>
          <w:p w14:paraId="35DFE496"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w:t>
            </w:r>
          </w:p>
        </w:tc>
        <w:tc>
          <w:tcPr>
            <w:tcW w:w="776" w:type="pct"/>
            <w:tcBorders>
              <w:top w:val="nil"/>
              <w:left w:val="nil"/>
              <w:bottom w:val="nil"/>
              <w:right w:val="nil"/>
            </w:tcBorders>
            <w:shd w:val="clear" w:color="auto" w:fill="auto"/>
          </w:tcPr>
          <w:p w14:paraId="69510FAE"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w:t>
            </w:r>
          </w:p>
        </w:tc>
      </w:tr>
      <w:tr w:rsidR="00587444" w:rsidRPr="00587444" w14:paraId="79E08B80" w14:textId="77777777" w:rsidTr="00DD69E7">
        <w:trPr>
          <w:trHeight w:val="275"/>
        </w:trPr>
        <w:tc>
          <w:tcPr>
            <w:tcW w:w="1896" w:type="pct"/>
            <w:vAlign w:val="bottom"/>
          </w:tcPr>
          <w:p w14:paraId="7CB35AE1" w14:textId="77777777" w:rsidR="00587444" w:rsidRPr="00587444" w:rsidRDefault="00587444" w:rsidP="00587444">
            <w:pPr>
              <w:tabs>
                <w:tab w:val="right" w:pos="1202"/>
              </w:tabs>
              <w:suppressAutoHyphens w:val="0"/>
              <w:autoSpaceDN/>
              <w:outlineLvl w:val="0"/>
              <w:rPr>
                <w:rFonts w:ascii="Arial" w:hAnsi="Arial" w:cs="Arial"/>
                <w:spacing w:val="-2"/>
                <w:sz w:val="20"/>
                <w:szCs w:val="20"/>
              </w:rPr>
            </w:pPr>
            <w:bookmarkStart w:id="723" w:name="_Toc4058795"/>
            <w:r w:rsidRPr="00587444">
              <w:rPr>
                <w:rFonts w:ascii="Arial" w:eastAsia="Calibri" w:hAnsi="Arial" w:cs="Arial"/>
                <w:spacing w:val="-2"/>
                <w:sz w:val="20"/>
                <w:szCs w:val="20"/>
              </w:rPr>
              <w:t>Treasury bills of the Ministry of Finance</w:t>
            </w:r>
            <w:bookmarkEnd w:id="723"/>
            <w:r w:rsidRPr="00587444">
              <w:rPr>
                <w:rFonts w:ascii="Arial" w:eastAsia="Calibri" w:hAnsi="Arial" w:cs="Arial"/>
                <w:spacing w:val="-2"/>
                <w:sz w:val="20"/>
                <w:szCs w:val="20"/>
              </w:rPr>
              <w:t xml:space="preserve"> </w:t>
            </w:r>
          </w:p>
        </w:tc>
        <w:tc>
          <w:tcPr>
            <w:tcW w:w="776" w:type="pct"/>
            <w:tcBorders>
              <w:top w:val="nil"/>
              <w:left w:val="nil"/>
              <w:bottom w:val="nil"/>
              <w:right w:val="nil"/>
            </w:tcBorders>
            <w:shd w:val="clear" w:color="auto" w:fill="auto"/>
            <w:vAlign w:val="bottom"/>
          </w:tcPr>
          <w:p w14:paraId="07B256FD"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 xml:space="preserve"> 1,281,368 </w:t>
            </w:r>
          </w:p>
        </w:tc>
        <w:tc>
          <w:tcPr>
            <w:tcW w:w="776" w:type="pct"/>
            <w:tcBorders>
              <w:top w:val="nil"/>
              <w:left w:val="nil"/>
              <w:bottom w:val="nil"/>
              <w:right w:val="nil"/>
            </w:tcBorders>
            <w:shd w:val="clear" w:color="auto" w:fill="auto"/>
          </w:tcPr>
          <w:p w14:paraId="5FBFD517"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1,550,344</w:t>
            </w:r>
          </w:p>
        </w:tc>
        <w:tc>
          <w:tcPr>
            <w:tcW w:w="776" w:type="pct"/>
            <w:tcBorders>
              <w:top w:val="nil"/>
              <w:left w:val="nil"/>
              <w:bottom w:val="nil"/>
              <w:right w:val="nil"/>
            </w:tcBorders>
            <w:shd w:val="clear" w:color="auto" w:fill="auto"/>
          </w:tcPr>
          <w:p w14:paraId="5D5EC180"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1,281,368</w:t>
            </w:r>
          </w:p>
        </w:tc>
        <w:tc>
          <w:tcPr>
            <w:tcW w:w="776" w:type="pct"/>
            <w:tcBorders>
              <w:top w:val="nil"/>
              <w:left w:val="nil"/>
              <w:bottom w:val="nil"/>
              <w:right w:val="nil"/>
            </w:tcBorders>
            <w:shd w:val="clear" w:color="auto" w:fill="auto"/>
          </w:tcPr>
          <w:p w14:paraId="173225CB"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1,550,344</w:t>
            </w:r>
          </w:p>
        </w:tc>
      </w:tr>
      <w:tr w:rsidR="00587444" w:rsidRPr="00587444" w14:paraId="1E11FB74" w14:textId="77777777" w:rsidTr="00DD69E7">
        <w:trPr>
          <w:trHeight w:val="275"/>
        </w:trPr>
        <w:tc>
          <w:tcPr>
            <w:tcW w:w="1896" w:type="pct"/>
            <w:vAlign w:val="center"/>
          </w:tcPr>
          <w:p w14:paraId="36549487" w14:textId="77777777" w:rsidR="00587444" w:rsidRPr="00587444" w:rsidRDefault="00587444" w:rsidP="00587444">
            <w:pPr>
              <w:tabs>
                <w:tab w:val="right" w:pos="1202"/>
              </w:tabs>
              <w:suppressAutoHyphens w:val="0"/>
              <w:autoSpaceDN/>
              <w:spacing w:line="260" w:lineRule="exact"/>
              <w:outlineLvl w:val="0"/>
              <w:rPr>
                <w:rFonts w:ascii="Arial" w:hAnsi="Arial" w:cs="Arial"/>
                <w:spacing w:val="-2"/>
                <w:sz w:val="20"/>
                <w:szCs w:val="20"/>
              </w:rPr>
            </w:pPr>
            <w:bookmarkStart w:id="724" w:name="_Toc4058800"/>
            <w:r w:rsidRPr="00587444">
              <w:rPr>
                <w:rFonts w:ascii="Arial" w:eastAsia="Calibri" w:hAnsi="Arial" w:cs="Arial"/>
                <w:spacing w:val="-2"/>
                <w:sz w:val="20"/>
                <w:szCs w:val="20"/>
              </w:rPr>
              <w:t>Accrued interest</w:t>
            </w:r>
            <w:bookmarkEnd w:id="724"/>
          </w:p>
        </w:tc>
        <w:tc>
          <w:tcPr>
            <w:tcW w:w="776" w:type="pct"/>
            <w:tcBorders>
              <w:top w:val="nil"/>
              <w:left w:val="nil"/>
              <w:bottom w:val="nil"/>
              <w:right w:val="nil"/>
            </w:tcBorders>
            <w:shd w:val="clear" w:color="auto" w:fill="auto"/>
            <w:vAlign w:val="bottom"/>
          </w:tcPr>
          <w:p w14:paraId="65D2CF97"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 xml:space="preserve"> 14,321 </w:t>
            </w:r>
          </w:p>
        </w:tc>
        <w:tc>
          <w:tcPr>
            <w:tcW w:w="776" w:type="pct"/>
            <w:tcBorders>
              <w:top w:val="nil"/>
              <w:left w:val="nil"/>
              <w:bottom w:val="nil"/>
              <w:right w:val="nil"/>
            </w:tcBorders>
            <w:shd w:val="clear" w:color="auto" w:fill="auto"/>
          </w:tcPr>
          <w:p w14:paraId="6372B7CF"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15,620</w:t>
            </w:r>
          </w:p>
        </w:tc>
        <w:tc>
          <w:tcPr>
            <w:tcW w:w="776" w:type="pct"/>
            <w:tcBorders>
              <w:top w:val="nil"/>
              <w:left w:val="nil"/>
              <w:bottom w:val="nil"/>
              <w:right w:val="nil"/>
            </w:tcBorders>
            <w:shd w:val="clear" w:color="auto" w:fill="auto"/>
          </w:tcPr>
          <w:p w14:paraId="430265E1"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13,895</w:t>
            </w:r>
          </w:p>
        </w:tc>
        <w:tc>
          <w:tcPr>
            <w:tcW w:w="776" w:type="pct"/>
            <w:tcBorders>
              <w:top w:val="nil"/>
              <w:left w:val="nil"/>
              <w:bottom w:val="nil"/>
              <w:right w:val="nil"/>
            </w:tcBorders>
            <w:shd w:val="clear" w:color="auto" w:fill="auto"/>
          </w:tcPr>
          <w:p w14:paraId="4E0B2EDF"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15,194</w:t>
            </w:r>
          </w:p>
        </w:tc>
      </w:tr>
      <w:tr w:rsidR="00587444" w:rsidRPr="00587444" w14:paraId="1B4DA8C6" w14:textId="77777777" w:rsidTr="00DD69E7">
        <w:trPr>
          <w:trHeight w:val="275"/>
        </w:trPr>
        <w:tc>
          <w:tcPr>
            <w:tcW w:w="1896" w:type="pct"/>
          </w:tcPr>
          <w:p w14:paraId="32E84DD5" w14:textId="77777777" w:rsidR="00587444" w:rsidRPr="00587444" w:rsidRDefault="00587444" w:rsidP="00587444">
            <w:pPr>
              <w:tabs>
                <w:tab w:val="right" w:pos="1202"/>
              </w:tabs>
              <w:suppressAutoHyphens w:val="0"/>
              <w:autoSpaceDN/>
              <w:spacing w:line="260" w:lineRule="exact"/>
              <w:outlineLvl w:val="0"/>
              <w:rPr>
                <w:rFonts w:ascii="Arial" w:hAnsi="Arial" w:cs="Arial"/>
                <w:spacing w:val="-2"/>
                <w:sz w:val="20"/>
                <w:szCs w:val="20"/>
              </w:rPr>
            </w:pPr>
          </w:p>
        </w:tc>
        <w:tc>
          <w:tcPr>
            <w:tcW w:w="776" w:type="pct"/>
            <w:tcBorders>
              <w:top w:val="single" w:sz="4" w:space="0" w:color="auto"/>
              <w:left w:val="nil"/>
              <w:bottom w:val="single" w:sz="12" w:space="0" w:color="auto"/>
              <w:right w:val="nil"/>
            </w:tcBorders>
            <w:shd w:val="clear" w:color="auto" w:fill="auto"/>
            <w:vAlign w:val="bottom"/>
          </w:tcPr>
          <w:p w14:paraId="14FEC32B"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2,631,479</w:t>
            </w:r>
          </w:p>
        </w:tc>
        <w:tc>
          <w:tcPr>
            <w:tcW w:w="776" w:type="pct"/>
            <w:tcBorders>
              <w:top w:val="single" w:sz="4" w:space="0" w:color="auto"/>
              <w:left w:val="nil"/>
              <w:bottom w:val="single" w:sz="12" w:space="0" w:color="auto"/>
              <w:right w:val="nil"/>
            </w:tcBorders>
            <w:shd w:val="clear" w:color="auto" w:fill="auto"/>
            <w:vAlign w:val="bottom"/>
          </w:tcPr>
          <w:p w14:paraId="0C91F37C"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2,927,338</w:t>
            </w:r>
          </w:p>
        </w:tc>
        <w:tc>
          <w:tcPr>
            <w:tcW w:w="776" w:type="pct"/>
            <w:tcBorders>
              <w:top w:val="single" w:sz="4" w:space="0" w:color="auto"/>
              <w:left w:val="nil"/>
              <w:bottom w:val="single" w:sz="12" w:space="0" w:color="auto"/>
              <w:right w:val="nil"/>
            </w:tcBorders>
            <w:shd w:val="clear" w:color="auto" w:fill="auto"/>
            <w:vAlign w:val="bottom"/>
          </w:tcPr>
          <w:p w14:paraId="56368BA0"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2,584,329</w:t>
            </w:r>
          </w:p>
        </w:tc>
        <w:tc>
          <w:tcPr>
            <w:tcW w:w="776" w:type="pct"/>
            <w:tcBorders>
              <w:top w:val="single" w:sz="4" w:space="0" w:color="auto"/>
              <w:left w:val="nil"/>
              <w:bottom w:val="single" w:sz="12" w:space="0" w:color="auto"/>
              <w:right w:val="nil"/>
            </w:tcBorders>
            <w:shd w:val="clear" w:color="auto" w:fill="auto"/>
            <w:vAlign w:val="bottom"/>
          </w:tcPr>
          <w:p w14:paraId="05976015"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2,870,512</w:t>
            </w:r>
          </w:p>
        </w:tc>
      </w:tr>
      <w:tr w:rsidR="00587444" w:rsidRPr="00587444" w14:paraId="5C2B6A36" w14:textId="77777777" w:rsidTr="00DD69E7">
        <w:trPr>
          <w:trHeight w:val="90"/>
        </w:trPr>
        <w:tc>
          <w:tcPr>
            <w:tcW w:w="1896" w:type="pct"/>
          </w:tcPr>
          <w:p w14:paraId="0D506EAD" w14:textId="77777777" w:rsidR="00587444" w:rsidRPr="00587444" w:rsidRDefault="00587444" w:rsidP="00587444">
            <w:pPr>
              <w:suppressAutoHyphens w:val="0"/>
              <w:autoSpaceDN/>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61B2A5E8" w14:textId="77777777" w:rsidR="00587444" w:rsidRPr="00587444" w:rsidRDefault="00587444" w:rsidP="00587444">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1D93A4ED" w14:textId="77777777" w:rsidR="00587444" w:rsidRPr="00587444" w:rsidRDefault="00587444" w:rsidP="00587444">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442AE44D" w14:textId="77777777" w:rsidR="00587444" w:rsidRPr="00587444" w:rsidRDefault="00587444" w:rsidP="00587444">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right w:val="nil"/>
            </w:tcBorders>
            <w:shd w:val="clear" w:color="auto" w:fill="auto"/>
            <w:vAlign w:val="bottom"/>
          </w:tcPr>
          <w:p w14:paraId="3C852D66" w14:textId="77777777" w:rsidR="00587444" w:rsidRPr="00587444" w:rsidRDefault="00587444" w:rsidP="00587444">
            <w:pPr>
              <w:suppressAutoHyphens w:val="0"/>
              <w:autoSpaceDN/>
              <w:jc w:val="right"/>
              <w:rPr>
                <w:rFonts w:ascii="Arial" w:eastAsia="Calibri" w:hAnsi="Arial" w:cs="Arial"/>
                <w:color w:val="000000"/>
                <w:sz w:val="4"/>
                <w:szCs w:val="4"/>
                <w:lang w:val="hr-HR"/>
              </w:rPr>
            </w:pPr>
          </w:p>
        </w:tc>
      </w:tr>
      <w:tr w:rsidR="00587444" w:rsidRPr="00587444" w14:paraId="6396ED07" w14:textId="77777777" w:rsidTr="00DD69E7">
        <w:trPr>
          <w:trHeight w:val="275"/>
        </w:trPr>
        <w:tc>
          <w:tcPr>
            <w:tcW w:w="1896" w:type="pct"/>
            <w:vAlign w:val="bottom"/>
          </w:tcPr>
          <w:p w14:paraId="08967063"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bookmarkStart w:id="725" w:name="_Toc4058809"/>
            <w:r w:rsidRPr="00587444">
              <w:rPr>
                <w:rFonts w:ascii="Arial" w:eastAsia="Calibri" w:hAnsi="Arial" w:cs="Arial"/>
                <w:b/>
                <w:spacing w:val="-2"/>
                <w:sz w:val="20"/>
                <w:szCs w:val="20"/>
              </w:rPr>
              <w:t>Unlisted debt instruments:</w:t>
            </w:r>
            <w:bookmarkEnd w:id="725"/>
          </w:p>
        </w:tc>
        <w:tc>
          <w:tcPr>
            <w:tcW w:w="776" w:type="pct"/>
            <w:tcBorders>
              <w:top w:val="nil"/>
              <w:left w:val="nil"/>
              <w:bottom w:val="nil"/>
              <w:right w:val="nil"/>
            </w:tcBorders>
            <w:shd w:val="clear" w:color="auto" w:fill="auto"/>
            <w:vAlign w:val="bottom"/>
          </w:tcPr>
          <w:p w14:paraId="0E62467B"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shd w:val="clear" w:color="auto" w:fill="auto"/>
            <w:vAlign w:val="bottom"/>
          </w:tcPr>
          <w:p w14:paraId="6B369F38"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shd w:val="clear" w:color="auto" w:fill="auto"/>
            <w:vAlign w:val="bottom"/>
          </w:tcPr>
          <w:p w14:paraId="29870C93"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c>
          <w:tcPr>
            <w:tcW w:w="776" w:type="pct"/>
            <w:vAlign w:val="center"/>
          </w:tcPr>
          <w:p w14:paraId="3CFA262A"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r>
      <w:tr w:rsidR="00587444" w:rsidRPr="00587444" w14:paraId="3FC7B311" w14:textId="77777777" w:rsidTr="00DD69E7">
        <w:trPr>
          <w:trHeight w:val="275"/>
        </w:trPr>
        <w:tc>
          <w:tcPr>
            <w:tcW w:w="1896" w:type="pct"/>
            <w:vAlign w:val="center"/>
          </w:tcPr>
          <w:p w14:paraId="3010023B"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bookmarkStart w:id="726" w:name="_Toc4058810"/>
            <w:r w:rsidRPr="00587444">
              <w:rPr>
                <w:rFonts w:ascii="Arial" w:eastAsia="Calibri" w:hAnsi="Arial" w:cs="Arial"/>
                <w:sz w:val="20"/>
                <w:szCs w:val="20"/>
              </w:rPr>
              <w:t>Corporate bonds</w:t>
            </w:r>
            <w:bookmarkEnd w:id="726"/>
          </w:p>
        </w:tc>
        <w:tc>
          <w:tcPr>
            <w:tcW w:w="776" w:type="pct"/>
            <w:tcBorders>
              <w:top w:val="nil"/>
              <w:left w:val="nil"/>
              <w:bottom w:val="nil"/>
              <w:right w:val="nil"/>
            </w:tcBorders>
            <w:shd w:val="clear" w:color="auto" w:fill="auto"/>
          </w:tcPr>
          <w:p w14:paraId="71325F5B"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464</w:t>
            </w:r>
          </w:p>
        </w:tc>
        <w:tc>
          <w:tcPr>
            <w:tcW w:w="776" w:type="pct"/>
            <w:tcBorders>
              <w:top w:val="nil"/>
              <w:left w:val="nil"/>
              <w:bottom w:val="nil"/>
              <w:right w:val="nil"/>
            </w:tcBorders>
            <w:shd w:val="clear" w:color="auto" w:fill="auto"/>
          </w:tcPr>
          <w:p w14:paraId="348122AA"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532</w:t>
            </w:r>
          </w:p>
        </w:tc>
        <w:tc>
          <w:tcPr>
            <w:tcW w:w="776" w:type="pct"/>
            <w:tcBorders>
              <w:top w:val="nil"/>
              <w:left w:val="nil"/>
              <w:bottom w:val="nil"/>
              <w:right w:val="nil"/>
            </w:tcBorders>
            <w:shd w:val="clear" w:color="auto" w:fill="auto"/>
          </w:tcPr>
          <w:p w14:paraId="591BB04B" w14:textId="77777777" w:rsidR="00587444" w:rsidRPr="00587444" w:rsidRDefault="00587444" w:rsidP="00587444">
            <w:pPr>
              <w:tabs>
                <w:tab w:val="center" w:pos="586"/>
                <w:tab w:val="right" w:pos="1172"/>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464</w:t>
            </w:r>
          </w:p>
        </w:tc>
        <w:tc>
          <w:tcPr>
            <w:tcW w:w="776" w:type="pct"/>
            <w:tcBorders>
              <w:top w:val="nil"/>
              <w:left w:val="nil"/>
              <w:bottom w:val="nil"/>
              <w:right w:val="nil"/>
            </w:tcBorders>
            <w:shd w:val="clear" w:color="auto" w:fill="auto"/>
          </w:tcPr>
          <w:p w14:paraId="1647139A"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532</w:t>
            </w:r>
          </w:p>
        </w:tc>
      </w:tr>
      <w:tr w:rsidR="00587444" w:rsidRPr="00587444" w14:paraId="2479AA93" w14:textId="77777777" w:rsidTr="00DD69E7">
        <w:trPr>
          <w:trHeight w:val="275"/>
        </w:trPr>
        <w:tc>
          <w:tcPr>
            <w:tcW w:w="1896" w:type="pct"/>
            <w:vAlign w:val="center"/>
          </w:tcPr>
          <w:p w14:paraId="6B2D6EE3" w14:textId="77777777" w:rsidR="00587444" w:rsidRPr="00587444" w:rsidRDefault="00587444" w:rsidP="00587444">
            <w:pPr>
              <w:tabs>
                <w:tab w:val="right" w:pos="1202"/>
              </w:tabs>
              <w:suppressAutoHyphens w:val="0"/>
              <w:autoSpaceDN/>
              <w:spacing w:line="260" w:lineRule="exact"/>
              <w:outlineLvl w:val="0"/>
              <w:rPr>
                <w:rFonts w:ascii="Arial" w:eastAsia="Calibri" w:hAnsi="Arial" w:cs="Arial"/>
                <w:sz w:val="20"/>
                <w:szCs w:val="20"/>
              </w:rPr>
            </w:pPr>
            <w:r w:rsidRPr="00587444">
              <w:rPr>
                <w:rFonts w:ascii="Arial" w:eastAsia="Calibri" w:hAnsi="Arial" w:cs="Arial"/>
                <w:sz w:val="20"/>
                <w:szCs w:val="20"/>
              </w:rPr>
              <w:t>Convertible bonds - CB</w:t>
            </w:r>
          </w:p>
        </w:tc>
        <w:tc>
          <w:tcPr>
            <w:tcW w:w="776" w:type="pct"/>
            <w:tcBorders>
              <w:top w:val="nil"/>
              <w:left w:val="nil"/>
              <w:bottom w:val="nil"/>
              <w:right w:val="nil"/>
            </w:tcBorders>
            <w:shd w:val="clear" w:color="auto" w:fill="auto"/>
          </w:tcPr>
          <w:p w14:paraId="4903E0E4"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1,472</w:t>
            </w:r>
          </w:p>
        </w:tc>
        <w:tc>
          <w:tcPr>
            <w:tcW w:w="776" w:type="pct"/>
            <w:tcBorders>
              <w:top w:val="nil"/>
              <w:left w:val="nil"/>
              <w:bottom w:val="nil"/>
              <w:right w:val="nil"/>
            </w:tcBorders>
            <w:shd w:val="clear" w:color="auto" w:fill="auto"/>
          </w:tcPr>
          <w:p w14:paraId="34D7705B"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color w:val="000000"/>
                <w:sz w:val="20"/>
                <w:szCs w:val="20"/>
              </w:rPr>
            </w:pPr>
            <w:r w:rsidRPr="00587444">
              <w:rPr>
                <w:rFonts w:ascii="Arial" w:eastAsia="Calibri" w:hAnsi="Arial" w:cs="Arial"/>
                <w:color w:val="000000"/>
                <w:sz w:val="20"/>
                <w:szCs w:val="20"/>
                <w:lang w:val="hr-HR"/>
              </w:rPr>
              <w:t>1,397</w:t>
            </w:r>
          </w:p>
        </w:tc>
        <w:tc>
          <w:tcPr>
            <w:tcW w:w="776" w:type="pct"/>
            <w:tcBorders>
              <w:top w:val="nil"/>
              <w:left w:val="nil"/>
              <w:bottom w:val="nil"/>
              <w:right w:val="nil"/>
            </w:tcBorders>
            <w:shd w:val="clear" w:color="auto" w:fill="auto"/>
          </w:tcPr>
          <w:p w14:paraId="47FE319E" w14:textId="77777777" w:rsidR="00587444" w:rsidRPr="00587444" w:rsidRDefault="00587444" w:rsidP="00587444">
            <w:pPr>
              <w:tabs>
                <w:tab w:val="center" w:pos="586"/>
                <w:tab w:val="right" w:pos="1172"/>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1,472</w:t>
            </w:r>
          </w:p>
        </w:tc>
        <w:tc>
          <w:tcPr>
            <w:tcW w:w="776" w:type="pct"/>
            <w:tcBorders>
              <w:top w:val="nil"/>
              <w:left w:val="nil"/>
              <w:bottom w:val="nil"/>
              <w:right w:val="nil"/>
            </w:tcBorders>
            <w:shd w:val="clear" w:color="auto" w:fill="auto"/>
          </w:tcPr>
          <w:p w14:paraId="7DC25D13"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color w:val="000000"/>
                <w:sz w:val="20"/>
                <w:szCs w:val="20"/>
              </w:rPr>
            </w:pPr>
            <w:r w:rsidRPr="00587444">
              <w:rPr>
                <w:rFonts w:ascii="Arial" w:eastAsia="Calibri" w:hAnsi="Arial" w:cs="Arial"/>
                <w:color w:val="000000"/>
                <w:sz w:val="20"/>
                <w:szCs w:val="20"/>
                <w:lang w:val="hr-HR"/>
              </w:rPr>
              <w:t>1,397</w:t>
            </w:r>
          </w:p>
        </w:tc>
      </w:tr>
      <w:tr w:rsidR="00587444" w:rsidRPr="00587444" w14:paraId="0DE0083B" w14:textId="77777777" w:rsidTr="00DD69E7">
        <w:trPr>
          <w:trHeight w:val="275"/>
        </w:trPr>
        <w:tc>
          <w:tcPr>
            <w:tcW w:w="1896" w:type="pct"/>
            <w:vAlign w:val="center"/>
          </w:tcPr>
          <w:p w14:paraId="6A9188DD"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bookmarkStart w:id="727" w:name="_Toc4058815"/>
            <w:r w:rsidRPr="00587444">
              <w:rPr>
                <w:rFonts w:ascii="Arial" w:eastAsia="Calibri" w:hAnsi="Arial" w:cs="Arial"/>
                <w:sz w:val="20"/>
                <w:szCs w:val="20"/>
              </w:rPr>
              <w:t>Accrued interest</w:t>
            </w:r>
            <w:bookmarkEnd w:id="727"/>
          </w:p>
        </w:tc>
        <w:tc>
          <w:tcPr>
            <w:tcW w:w="776" w:type="pct"/>
            <w:tcBorders>
              <w:top w:val="nil"/>
              <w:left w:val="nil"/>
              <w:bottom w:val="nil"/>
              <w:right w:val="nil"/>
            </w:tcBorders>
            <w:shd w:val="clear" w:color="auto" w:fill="auto"/>
          </w:tcPr>
          <w:p w14:paraId="6C3C80B7"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32</w:t>
            </w:r>
          </w:p>
        </w:tc>
        <w:tc>
          <w:tcPr>
            <w:tcW w:w="776" w:type="pct"/>
            <w:tcBorders>
              <w:top w:val="nil"/>
              <w:left w:val="nil"/>
              <w:bottom w:val="nil"/>
              <w:right w:val="nil"/>
            </w:tcBorders>
            <w:shd w:val="clear" w:color="auto" w:fill="auto"/>
          </w:tcPr>
          <w:p w14:paraId="6822E50A"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247</w:t>
            </w:r>
          </w:p>
        </w:tc>
        <w:tc>
          <w:tcPr>
            <w:tcW w:w="776" w:type="pct"/>
            <w:tcBorders>
              <w:top w:val="nil"/>
              <w:left w:val="nil"/>
              <w:bottom w:val="nil"/>
              <w:right w:val="nil"/>
            </w:tcBorders>
            <w:shd w:val="clear" w:color="auto" w:fill="auto"/>
          </w:tcPr>
          <w:p w14:paraId="1DB99484"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32</w:t>
            </w:r>
          </w:p>
        </w:tc>
        <w:tc>
          <w:tcPr>
            <w:tcW w:w="776" w:type="pct"/>
            <w:tcBorders>
              <w:top w:val="nil"/>
              <w:left w:val="nil"/>
              <w:bottom w:val="nil"/>
              <w:right w:val="nil"/>
            </w:tcBorders>
            <w:shd w:val="clear" w:color="auto" w:fill="auto"/>
          </w:tcPr>
          <w:p w14:paraId="7383444C"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247</w:t>
            </w:r>
          </w:p>
        </w:tc>
      </w:tr>
      <w:tr w:rsidR="00587444" w:rsidRPr="00587444" w14:paraId="00A87E57" w14:textId="77777777" w:rsidTr="00DD69E7">
        <w:trPr>
          <w:trHeight w:val="275"/>
        </w:trPr>
        <w:tc>
          <w:tcPr>
            <w:tcW w:w="1896" w:type="pct"/>
          </w:tcPr>
          <w:p w14:paraId="66A87335" w14:textId="77777777" w:rsidR="00587444" w:rsidRPr="00587444" w:rsidRDefault="00587444" w:rsidP="00587444">
            <w:pPr>
              <w:tabs>
                <w:tab w:val="right" w:pos="1202"/>
              </w:tabs>
              <w:suppressAutoHyphens w:val="0"/>
              <w:autoSpaceDN/>
              <w:spacing w:line="260" w:lineRule="exact"/>
              <w:outlineLvl w:val="0"/>
              <w:rPr>
                <w:rFonts w:ascii="Arial" w:hAnsi="Arial" w:cs="Arial"/>
                <w:b/>
                <w:i/>
                <w:spacing w:val="-2"/>
                <w:sz w:val="20"/>
                <w:szCs w:val="20"/>
              </w:rPr>
            </w:pPr>
          </w:p>
        </w:tc>
        <w:tc>
          <w:tcPr>
            <w:tcW w:w="776" w:type="pct"/>
            <w:tcBorders>
              <w:top w:val="single" w:sz="4" w:space="0" w:color="auto"/>
              <w:left w:val="nil"/>
              <w:bottom w:val="single" w:sz="12" w:space="0" w:color="auto"/>
              <w:right w:val="nil"/>
            </w:tcBorders>
            <w:shd w:val="clear" w:color="auto" w:fill="auto"/>
            <w:vAlign w:val="bottom"/>
          </w:tcPr>
          <w:p w14:paraId="6758A5CC"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1,968</w:t>
            </w:r>
          </w:p>
        </w:tc>
        <w:tc>
          <w:tcPr>
            <w:tcW w:w="776" w:type="pct"/>
            <w:tcBorders>
              <w:top w:val="single" w:sz="4" w:space="0" w:color="auto"/>
              <w:left w:val="nil"/>
              <w:bottom w:val="single" w:sz="12" w:space="0" w:color="auto"/>
              <w:right w:val="nil"/>
            </w:tcBorders>
            <w:shd w:val="clear" w:color="auto" w:fill="auto"/>
            <w:vAlign w:val="bottom"/>
          </w:tcPr>
          <w:p w14:paraId="4EDD7261"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2,176</w:t>
            </w:r>
          </w:p>
        </w:tc>
        <w:tc>
          <w:tcPr>
            <w:tcW w:w="776" w:type="pct"/>
            <w:tcBorders>
              <w:top w:val="single" w:sz="4" w:space="0" w:color="auto"/>
              <w:left w:val="nil"/>
              <w:bottom w:val="single" w:sz="12" w:space="0" w:color="auto"/>
              <w:right w:val="nil"/>
            </w:tcBorders>
            <w:shd w:val="clear" w:color="auto" w:fill="auto"/>
            <w:vAlign w:val="bottom"/>
          </w:tcPr>
          <w:p w14:paraId="2079C2F7"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1,968</w:t>
            </w:r>
          </w:p>
        </w:tc>
        <w:tc>
          <w:tcPr>
            <w:tcW w:w="776" w:type="pct"/>
            <w:tcBorders>
              <w:top w:val="single" w:sz="4" w:space="0" w:color="auto"/>
              <w:left w:val="nil"/>
              <w:bottom w:val="single" w:sz="12" w:space="0" w:color="auto"/>
              <w:right w:val="nil"/>
            </w:tcBorders>
            <w:shd w:val="clear" w:color="auto" w:fill="auto"/>
            <w:vAlign w:val="bottom"/>
          </w:tcPr>
          <w:p w14:paraId="7A393B65"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2,176</w:t>
            </w:r>
          </w:p>
        </w:tc>
      </w:tr>
      <w:tr w:rsidR="00587444" w:rsidRPr="00587444" w14:paraId="080CE423" w14:textId="77777777" w:rsidTr="00DD69E7">
        <w:trPr>
          <w:trHeight w:val="100"/>
        </w:trPr>
        <w:tc>
          <w:tcPr>
            <w:tcW w:w="1896" w:type="pct"/>
          </w:tcPr>
          <w:p w14:paraId="5B0391C4" w14:textId="77777777" w:rsidR="00587444" w:rsidRPr="00587444" w:rsidRDefault="00587444" w:rsidP="00587444">
            <w:pPr>
              <w:suppressAutoHyphens w:val="0"/>
              <w:autoSpaceDN/>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32FBF4F5" w14:textId="77777777" w:rsidR="00587444" w:rsidRPr="00587444" w:rsidRDefault="00587444" w:rsidP="00587444">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06F11766" w14:textId="77777777" w:rsidR="00587444" w:rsidRPr="00587444" w:rsidRDefault="00587444" w:rsidP="00587444">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6A1B66F7" w14:textId="77777777" w:rsidR="00587444" w:rsidRPr="00587444" w:rsidRDefault="00587444" w:rsidP="00587444">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right w:val="nil"/>
            </w:tcBorders>
            <w:shd w:val="clear" w:color="auto" w:fill="auto"/>
            <w:vAlign w:val="bottom"/>
          </w:tcPr>
          <w:p w14:paraId="3849F370" w14:textId="77777777" w:rsidR="00587444" w:rsidRPr="00587444" w:rsidRDefault="00587444" w:rsidP="00587444">
            <w:pPr>
              <w:suppressAutoHyphens w:val="0"/>
              <w:autoSpaceDN/>
              <w:jc w:val="right"/>
              <w:rPr>
                <w:rFonts w:ascii="Arial" w:eastAsia="Calibri" w:hAnsi="Arial" w:cs="Arial"/>
                <w:color w:val="000000"/>
                <w:sz w:val="4"/>
                <w:szCs w:val="4"/>
                <w:lang w:val="hr-HR"/>
              </w:rPr>
            </w:pPr>
          </w:p>
        </w:tc>
      </w:tr>
      <w:tr w:rsidR="00587444" w:rsidRPr="00587444" w14:paraId="3F6CCB83" w14:textId="77777777" w:rsidTr="00DD69E7">
        <w:trPr>
          <w:trHeight w:val="275"/>
        </w:trPr>
        <w:tc>
          <w:tcPr>
            <w:tcW w:w="1896" w:type="pct"/>
          </w:tcPr>
          <w:p w14:paraId="7198BB06" w14:textId="77777777" w:rsidR="00587444" w:rsidRPr="00587444" w:rsidRDefault="00587444" w:rsidP="00587444">
            <w:pPr>
              <w:tabs>
                <w:tab w:val="right" w:pos="1202"/>
              </w:tabs>
              <w:suppressAutoHyphens w:val="0"/>
              <w:autoSpaceDN/>
              <w:spacing w:line="260" w:lineRule="exact"/>
              <w:outlineLvl w:val="0"/>
              <w:rPr>
                <w:rFonts w:ascii="Arial" w:hAnsi="Arial" w:cs="Arial"/>
                <w:b/>
                <w:i/>
                <w:spacing w:val="-2"/>
                <w:sz w:val="20"/>
                <w:szCs w:val="20"/>
              </w:rPr>
            </w:pPr>
            <w:bookmarkStart w:id="728" w:name="_Toc4058824"/>
            <w:r w:rsidRPr="00587444">
              <w:rPr>
                <w:rFonts w:ascii="Arial" w:hAnsi="Arial" w:cs="Arial"/>
                <w:b/>
                <w:i/>
                <w:spacing w:val="-2"/>
                <w:sz w:val="20"/>
                <w:szCs w:val="20"/>
              </w:rPr>
              <w:t>Equity instruments:</w:t>
            </w:r>
            <w:bookmarkEnd w:id="728"/>
          </w:p>
        </w:tc>
        <w:tc>
          <w:tcPr>
            <w:tcW w:w="776" w:type="pct"/>
            <w:tcBorders>
              <w:top w:val="nil"/>
              <w:left w:val="nil"/>
              <w:bottom w:val="nil"/>
              <w:right w:val="nil"/>
            </w:tcBorders>
            <w:shd w:val="clear" w:color="auto" w:fill="auto"/>
            <w:vAlign w:val="bottom"/>
          </w:tcPr>
          <w:p w14:paraId="0B4BCABF"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p>
        </w:tc>
        <w:tc>
          <w:tcPr>
            <w:tcW w:w="776" w:type="pct"/>
            <w:tcBorders>
              <w:top w:val="nil"/>
              <w:left w:val="nil"/>
              <w:bottom w:val="nil"/>
              <w:right w:val="nil"/>
            </w:tcBorders>
            <w:shd w:val="clear" w:color="auto" w:fill="auto"/>
            <w:vAlign w:val="bottom"/>
          </w:tcPr>
          <w:p w14:paraId="75ADB4B6"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p>
        </w:tc>
        <w:tc>
          <w:tcPr>
            <w:tcW w:w="776" w:type="pct"/>
            <w:tcBorders>
              <w:top w:val="nil"/>
              <w:left w:val="nil"/>
              <w:bottom w:val="nil"/>
              <w:right w:val="nil"/>
            </w:tcBorders>
            <w:shd w:val="clear" w:color="auto" w:fill="auto"/>
            <w:vAlign w:val="bottom"/>
          </w:tcPr>
          <w:p w14:paraId="23FA9438"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p>
        </w:tc>
        <w:tc>
          <w:tcPr>
            <w:tcW w:w="776" w:type="pct"/>
            <w:vAlign w:val="bottom"/>
          </w:tcPr>
          <w:p w14:paraId="5F14E39C"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p>
        </w:tc>
      </w:tr>
      <w:tr w:rsidR="00587444" w:rsidRPr="00587444" w14:paraId="1FDA43A3" w14:textId="77777777" w:rsidTr="00DD69E7">
        <w:trPr>
          <w:trHeight w:val="275"/>
        </w:trPr>
        <w:tc>
          <w:tcPr>
            <w:tcW w:w="1896" w:type="pct"/>
          </w:tcPr>
          <w:p w14:paraId="4BC83363"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bookmarkStart w:id="729" w:name="_Toc4058825"/>
            <w:r w:rsidRPr="00587444">
              <w:rPr>
                <w:rFonts w:ascii="Arial" w:eastAsia="Calibri" w:hAnsi="Arial" w:cs="Arial"/>
                <w:b/>
                <w:spacing w:val="-2"/>
                <w:sz w:val="20"/>
                <w:szCs w:val="20"/>
              </w:rPr>
              <w:t>Unlisted equity instruments:</w:t>
            </w:r>
            <w:bookmarkEnd w:id="729"/>
          </w:p>
        </w:tc>
        <w:tc>
          <w:tcPr>
            <w:tcW w:w="776" w:type="pct"/>
            <w:tcBorders>
              <w:top w:val="nil"/>
              <w:left w:val="nil"/>
              <w:bottom w:val="nil"/>
              <w:right w:val="nil"/>
            </w:tcBorders>
            <w:shd w:val="clear" w:color="auto" w:fill="auto"/>
            <w:vAlign w:val="bottom"/>
          </w:tcPr>
          <w:p w14:paraId="5A682BCA"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shd w:val="clear" w:color="auto" w:fill="auto"/>
            <w:vAlign w:val="bottom"/>
          </w:tcPr>
          <w:p w14:paraId="6964C184"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shd w:val="clear" w:color="auto" w:fill="auto"/>
            <w:vAlign w:val="bottom"/>
          </w:tcPr>
          <w:p w14:paraId="5960DCB0"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c>
          <w:tcPr>
            <w:tcW w:w="776" w:type="pct"/>
            <w:vAlign w:val="bottom"/>
          </w:tcPr>
          <w:p w14:paraId="73FF2FD0"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r>
      <w:tr w:rsidR="00587444" w:rsidRPr="00587444" w14:paraId="273B336E" w14:textId="77777777" w:rsidTr="00DD69E7">
        <w:trPr>
          <w:trHeight w:hRule="exact" w:val="506"/>
        </w:trPr>
        <w:tc>
          <w:tcPr>
            <w:tcW w:w="1896" w:type="pct"/>
            <w:vAlign w:val="bottom"/>
          </w:tcPr>
          <w:p w14:paraId="13618E79" w14:textId="77777777" w:rsidR="00587444" w:rsidRPr="00587444" w:rsidRDefault="00587444" w:rsidP="00587444">
            <w:pPr>
              <w:tabs>
                <w:tab w:val="right" w:pos="1202"/>
              </w:tabs>
              <w:suppressAutoHyphens w:val="0"/>
              <w:autoSpaceDN/>
              <w:spacing w:line="260" w:lineRule="exact"/>
              <w:outlineLvl w:val="0"/>
              <w:rPr>
                <w:rFonts w:ascii="Arial" w:hAnsi="Arial" w:cs="Arial"/>
                <w:spacing w:val="-2"/>
                <w:sz w:val="20"/>
                <w:szCs w:val="20"/>
              </w:rPr>
            </w:pPr>
            <w:bookmarkStart w:id="730" w:name="_Toc4058826"/>
            <w:r w:rsidRPr="00587444">
              <w:rPr>
                <w:rFonts w:ascii="Arial" w:eastAsia="Calibri" w:hAnsi="Arial" w:cs="Arial"/>
                <w:sz w:val="20"/>
                <w:szCs w:val="20"/>
              </w:rPr>
              <w:t>Investments in shares of foreign legal entities - SWIFT</w:t>
            </w:r>
            <w:bookmarkEnd w:id="730"/>
          </w:p>
        </w:tc>
        <w:tc>
          <w:tcPr>
            <w:tcW w:w="776" w:type="pct"/>
            <w:tcBorders>
              <w:top w:val="nil"/>
              <w:left w:val="nil"/>
              <w:bottom w:val="nil"/>
              <w:right w:val="nil"/>
            </w:tcBorders>
            <w:shd w:val="clear" w:color="auto" w:fill="auto"/>
            <w:vAlign w:val="bottom"/>
          </w:tcPr>
          <w:p w14:paraId="20A36BA9"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55</w:t>
            </w:r>
          </w:p>
        </w:tc>
        <w:tc>
          <w:tcPr>
            <w:tcW w:w="776" w:type="pct"/>
            <w:tcBorders>
              <w:top w:val="nil"/>
              <w:left w:val="nil"/>
              <w:bottom w:val="nil"/>
              <w:right w:val="nil"/>
            </w:tcBorders>
            <w:shd w:val="clear" w:color="auto" w:fill="auto"/>
            <w:vAlign w:val="bottom"/>
          </w:tcPr>
          <w:p w14:paraId="3865F29C"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45</w:t>
            </w:r>
          </w:p>
        </w:tc>
        <w:tc>
          <w:tcPr>
            <w:tcW w:w="776" w:type="pct"/>
            <w:tcBorders>
              <w:top w:val="nil"/>
              <w:left w:val="nil"/>
              <w:bottom w:val="nil"/>
              <w:right w:val="nil"/>
            </w:tcBorders>
            <w:shd w:val="clear" w:color="auto" w:fill="auto"/>
            <w:vAlign w:val="bottom"/>
          </w:tcPr>
          <w:p w14:paraId="3A1917B3"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55</w:t>
            </w:r>
          </w:p>
        </w:tc>
        <w:tc>
          <w:tcPr>
            <w:tcW w:w="776" w:type="pct"/>
            <w:tcBorders>
              <w:top w:val="nil"/>
              <w:left w:val="nil"/>
              <w:bottom w:val="nil"/>
              <w:right w:val="nil"/>
            </w:tcBorders>
            <w:shd w:val="clear" w:color="auto" w:fill="auto"/>
            <w:vAlign w:val="bottom"/>
          </w:tcPr>
          <w:p w14:paraId="6FAEFD60"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45</w:t>
            </w:r>
          </w:p>
        </w:tc>
      </w:tr>
      <w:tr w:rsidR="00587444" w:rsidRPr="00587444" w14:paraId="07F34946" w14:textId="77777777" w:rsidTr="00DD69E7">
        <w:trPr>
          <w:trHeight w:hRule="exact" w:val="525"/>
        </w:trPr>
        <w:tc>
          <w:tcPr>
            <w:tcW w:w="1896" w:type="pct"/>
            <w:vAlign w:val="bottom"/>
          </w:tcPr>
          <w:p w14:paraId="2530B7A3" w14:textId="77777777" w:rsidR="00587444" w:rsidRPr="00587444" w:rsidRDefault="00587444" w:rsidP="00587444">
            <w:pPr>
              <w:tabs>
                <w:tab w:val="right" w:pos="1202"/>
              </w:tabs>
              <w:suppressAutoHyphens w:val="0"/>
              <w:autoSpaceDN/>
              <w:spacing w:line="260" w:lineRule="exact"/>
              <w:outlineLvl w:val="0"/>
              <w:rPr>
                <w:rFonts w:ascii="Arial" w:eastAsia="Calibri" w:hAnsi="Arial" w:cs="Arial"/>
                <w:sz w:val="20"/>
                <w:szCs w:val="20"/>
              </w:rPr>
            </w:pPr>
            <w:bookmarkStart w:id="731" w:name="_Toc4058831"/>
            <w:r w:rsidRPr="00587444">
              <w:rPr>
                <w:rFonts w:ascii="Arial" w:eastAsia="Calibri" w:hAnsi="Arial" w:cs="Arial"/>
                <w:sz w:val="20"/>
                <w:szCs w:val="20"/>
              </w:rPr>
              <w:t>Shares of foreign financial institutions – EIF</w:t>
            </w:r>
            <w:bookmarkEnd w:id="731"/>
            <w:r w:rsidRPr="00587444">
              <w:rPr>
                <w:rFonts w:ascii="Arial" w:eastAsia="Calibri" w:hAnsi="Arial" w:cs="Arial"/>
                <w:sz w:val="20"/>
                <w:szCs w:val="20"/>
              </w:rPr>
              <w:t xml:space="preserve"> </w:t>
            </w:r>
          </w:p>
        </w:tc>
        <w:tc>
          <w:tcPr>
            <w:tcW w:w="776" w:type="pct"/>
            <w:tcBorders>
              <w:top w:val="nil"/>
              <w:left w:val="nil"/>
              <w:bottom w:val="nil"/>
              <w:right w:val="nil"/>
            </w:tcBorders>
            <w:shd w:val="clear" w:color="auto" w:fill="auto"/>
            <w:vAlign w:val="bottom"/>
          </w:tcPr>
          <w:p w14:paraId="5901B64A"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53,120</w:t>
            </w:r>
          </w:p>
        </w:tc>
        <w:tc>
          <w:tcPr>
            <w:tcW w:w="776" w:type="pct"/>
            <w:tcBorders>
              <w:top w:val="nil"/>
              <w:left w:val="nil"/>
              <w:bottom w:val="nil"/>
              <w:right w:val="nil"/>
            </w:tcBorders>
            <w:shd w:val="clear" w:color="auto" w:fill="auto"/>
            <w:vAlign w:val="bottom"/>
          </w:tcPr>
          <w:p w14:paraId="31BB1910"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42,971</w:t>
            </w:r>
          </w:p>
        </w:tc>
        <w:tc>
          <w:tcPr>
            <w:tcW w:w="776" w:type="pct"/>
            <w:tcBorders>
              <w:top w:val="nil"/>
              <w:left w:val="nil"/>
              <w:bottom w:val="nil"/>
              <w:right w:val="nil"/>
            </w:tcBorders>
            <w:shd w:val="clear" w:color="auto" w:fill="auto"/>
            <w:vAlign w:val="bottom"/>
          </w:tcPr>
          <w:p w14:paraId="71BD4F07"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53,120</w:t>
            </w:r>
          </w:p>
        </w:tc>
        <w:tc>
          <w:tcPr>
            <w:tcW w:w="776" w:type="pct"/>
            <w:tcBorders>
              <w:top w:val="nil"/>
              <w:left w:val="nil"/>
              <w:bottom w:val="nil"/>
              <w:right w:val="nil"/>
            </w:tcBorders>
            <w:shd w:val="clear" w:color="auto" w:fill="auto"/>
            <w:vAlign w:val="bottom"/>
          </w:tcPr>
          <w:p w14:paraId="068DC60B"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42,971</w:t>
            </w:r>
          </w:p>
        </w:tc>
      </w:tr>
      <w:tr w:rsidR="00587444" w:rsidRPr="00587444" w14:paraId="347936A4" w14:textId="77777777" w:rsidTr="00DD69E7">
        <w:trPr>
          <w:trHeight w:hRule="exact" w:val="316"/>
        </w:trPr>
        <w:tc>
          <w:tcPr>
            <w:tcW w:w="1896" w:type="pct"/>
          </w:tcPr>
          <w:p w14:paraId="1B4EBB87" w14:textId="77777777" w:rsidR="00587444" w:rsidRPr="00587444" w:rsidRDefault="00587444" w:rsidP="00587444">
            <w:pPr>
              <w:tabs>
                <w:tab w:val="right" w:pos="1202"/>
              </w:tabs>
              <w:suppressAutoHyphens w:val="0"/>
              <w:autoSpaceDN/>
              <w:spacing w:line="260" w:lineRule="exact"/>
              <w:outlineLvl w:val="0"/>
              <w:rPr>
                <w:rFonts w:ascii="Arial" w:hAnsi="Arial" w:cs="Arial"/>
                <w:spacing w:val="-2"/>
                <w:sz w:val="20"/>
                <w:szCs w:val="20"/>
              </w:rPr>
            </w:pPr>
          </w:p>
        </w:tc>
        <w:tc>
          <w:tcPr>
            <w:tcW w:w="776" w:type="pct"/>
            <w:tcBorders>
              <w:top w:val="single" w:sz="4" w:space="0" w:color="auto"/>
              <w:left w:val="nil"/>
              <w:bottom w:val="single" w:sz="12" w:space="0" w:color="auto"/>
              <w:right w:val="nil"/>
            </w:tcBorders>
            <w:shd w:val="clear" w:color="auto" w:fill="auto"/>
            <w:vAlign w:val="bottom"/>
          </w:tcPr>
          <w:p w14:paraId="367CED41"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53,175</w:t>
            </w:r>
          </w:p>
        </w:tc>
        <w:tc>
          <w:tcPr>
            <w:tcW w:w="776" w:type="pct"/>
            <w:tcBorders>
              <w:top w:val="single" w:sz="4" w:space="0" w:color="auto"/>
              <w:left w:val="nil"/>
              <w:bottom w:val="single" w:sz="12" w:space="0" w:color="auto"/>
              <w:right w:val="nil"/>
            </w:tcBorders>
            <w:shd w:val="clear" w:color="auto" w:fill="auto"/>
            <w:vAlign w:val="bottom"/>
          </w:tcPr>
          <w:p w14:paraId="71A6ADD4"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bCs/>
                <w:sz w:val="20"/>
                <w:szCs w:val="20"/>
              </w:rPr>
            </w:pPr>
            <w:r w:rsidRPr="00587444">
              <w:rPr>
                <w:rFonts w:ascii="Arial" w:eastAsia="Calibri" w:hAnsi="Arial" w:cs="Arial"/>
                <w:b/>
                <w:bCs/>
                <w:color w:val="000000"/>
                <w:sz w:val="20"/>
                <w:szCs w:val="20"/>
                <w:lang w:val="hr-HR"/>
              </w:rPr>
              <w:t>43,016</w:t>
            </w:r>
          </w:p>
        </w:tc>
        <w:tc>
          <w:tcPr>
            <w:tcW w:w="776" w:type="pct"/>
            <w:tcBorders>
              <w:top w:val="single" w:sz="4" w:space="0" w:color="auto"/>
              <w:left w:val="nil"/>
              <w:bottom w:val="single" w:sz="12" w:space="0" w:color="auto"/>
              <w:right w:val="nil"/>
            </w:tcBorders>
            <w:shd w:val="clear" w:color="auto" w:fill="auto"/>
            <w:vAlign w:val="bottom"/>
          </w:tcPr>
          <w:p w14:paraId="22678857"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bCs/>
                <w:sz w:val="20"/>
                <w:szCs w:val="20"/>
              </w:rPr>
            </w:pPr>
            <w:r w:rsidRPr="00587444">
              <w:rPr>
                <w:rFonts w:ascii="Arial" w:eastAsia="Calibri" w:hAnsi="Arial" w:cs="Arial"/>
                <w:b/>
                <w:bCs/>
                <w:color w:val="000000"/>
                <w:sz w:val="20"/>
                <w:szCs w:val="20"/>
                <w:lang w:val="hr-HR"/>
              </w:rPr>
              <w:t>53,175</w:t>
            </w:r>
          </w:p>
        </w:tc>
        <w:tc>
          <w:tcPr>
            <w:tcW w:w="776" w:type="pct"/>
            <w:tcBorders>
              <w:top w:val="single" w:sz="4" w:space="0" w:color="auto"/>
              <w:left w:val="nil"/>
              <w:bottom w:val="single" w:sz="12" w:space="0" w:color="auto"/>
              <w:right w:val="nil"/>
            </w:tcBorders>
            <w:shd w:val="clear" w:color="auto" w:fill="auto"/>
            <w:vAlign w:val="bottom"/>
          </w:tcPr>
          <w:p w14:paraId="78E641DA"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43,016</w:t>
            </w:r>
          </w:p>
        </w:tc>
      </w:tr>
      <w:tr w:rsidR="00587444" w:rsidRPr="00587444" w14:paraId="4859054E" w14:textId="77777777" w:rsidTr="00DD69E7">
        <w:trPr>
          <w:trHeight w:hRule="exact" w:val="316"/>
        </w:trPr>
        <w:tc>
          <w:tcPr>
            <w:tcW w:w="1896" w:type="pct"/>
          </w:tcPr>
          <w:p w14:paraId="29320187" w14:textId="77777777" w:rsidR="00587444" w:rsidRPr="00587444" w:rsidRDefault="00587444" w:rsidP="00587444">
            <w:pPr>
              <w:tabs>
                <w:tab w:val="right" w:pos="1202"/>
              </w:tabs>
              <w:suppressAutoHyphens w:val="0"/>
              <w:autoSpaceDN/>
              <w:spacing w:line="260" w:lineRule="exact"/>
              <w:outlineLvl w:val="0"/>
              <w:rPr>
                <w:rFonts w:ascii="Arial" w:hAnsi="Arial" w:cs="Arial"/>
                <w:spacing w:val="-2"/>
                <w:sz w:val="20"/>
                <w:szCs w:val="20"/>
              </w:rPr>
            </w:pPr>
          </w:p>
        </w:tc>
        <w:tc>
          <w:tcPr>
            <w:tcW w:w="776" w:type="pct"/>
            <w:tcBorders>
              <w:top w:val="single" w:sz="12" w:space="0" w:color="auto"/>
              <w:left w:val="nil"/>
              <w:bottom w:val="single" w:sz="12" w:space="0" w:color="auto"/>
              <w:right w:val="nil"/>
            </w:tcBorders>
            <w:shd w:val="clear" w:color="auto" w:fill="auto"/>
            <w:vAlign w:val="bottom"/>
          </w:tcPr>
          <w:p w14:paraId="7E716A9C"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2,686,622</w:t>
            </w:r>
          </w:p>
        </w:tc>
        <w:tc>
          <w:tcPr>
            <w:tcW w:w="776" w:type="pct"/>
            <w:tcBorders>
              <w:top w:val="single" w:sz="12" w:space="0" w:color="auto"/>
              <w:left w:val="nil"/>
              <w:bottom w:val="single" w:sz="12" w:space="0" w:color="auto"/>
              <w:right w:val="nil"/>
            </w:tcBorders>
            <w:shd w:val="clear" w:color="auto" w:fill="auto"/>
            <w:vAlign w:val="bottom"/>
          </w:tcPr>
          <w:p w14:paraId="6013E951"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2,972,530</w:t>
            </w:r>
          </w:p>
        </w:tc>
        <w:tc>
          <w:tcPr>
            <w:tcW w:w="776" w:type="pct"/>
            <w:tcBorders>
              <w:top w:val="single" w:sz="12" w:space="0" w:color="auto"/>
              <w:left w:val="nil"/>
              <w:bottom w:val="single" w:sz="12" w:space="0" w:color="auto"/>
              <w:right w:val="nil"/>
            </w:tcBorders>
            <w:shd w:val="clear" w:color="auto" w:fill="auto"/>
            <w:vAlign w:val="bottom"/>
          </w:tcPr>
          <w:p w14:paraId="76EAB1FF"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2,639,472</w:t>
            </w:r>
          </w:p>
        </w:tc>
        <w:tc>
          <w:tcPr>
            <w:tcW w:w="776" w:type="pct"/>
            <w:tcBorders>
              <w:top w:val="single" w:sz="12" w:space="0" w:color="auto"/>
              <w:left w:val="nil"/>
              <w:bottom w:val="single" w:sz="12" w:space="0" w:color="auto"/>
              <w:right w:val="nil"/>
            </w:tcBorders>
            <w:shd w:val="clear" w:color="auto" w:fill="auto"/>
            <w:vAlign w:val="bottom"/>
          </w:tcPr>
          <w:p w14:paraId="24BB8138"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bCs/>
                <w:color w:val="000000"/>
                <w:sz w:val="20"/>
                <w:szCs w:val="20"/>
                <w:lang w:val="hr-HR"/>
              </w:rPr>
              <w:t>2,915,704</w:t>
            </w:r>
          </w:p>
        </w:tc>
      </w:tr>
    </w:tbl>
    <w:p w14:paraId="1A2D5183" w14:textId="77777777" w:rsidR="00587444" w:rsidRPr="00587444" w:rsidRDefault="00587444" w:rsidP="00587444">
      <w:pPr>
        <w:suppressAutoHyphens w:val="0"/>
        <w:autoSpaceDN/>
        <w:rPr>
          <w:rFonts w:ascii="Arial" w:eastAsia="Calibri" w:hAnsi="Arial" w:cs="Arial"/>
          <w:sz w:val="20"/>
          <w:szCs w:val="20"/>
        </w:rPr>
      </w:pPr>
    </w:p>
    <w:p w14:paraId="579CCFB4" w14:textId="77777777" w:rsidR="00587444" w:rsidRPr="00587444" w:rsidRDefault="00587444" w:rsidP="00587444">
      <w:pPr>
        <w:suppressAutoHyphens w:val="0"/>
        <w:autoSpaceDN/>
        <w:jc w:val="both"/>
        <w:rPr>
          <w:rFonts w:ascii="Arial" w:hAnsi="Arial" w:cs="Arial"/>
          <w:sz w:val="20"/>
          <w:szCs w:val="20"/>
          <w:lang w:val="en-GB"/>
        </w:rPr>
      </w:pPr>
      <w:bookmarkStart w:id="732" w:name="_Hlk32916405"/>
    </w:p>
    <w:p w14:paraId="35D90050" w14:textId="77777777"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 xml:space="preserve">Non-listed convertible bonds (CB) of the </w:t>
      </w:r>
      <w:proofErr w:type="spellStart"/>
      <w:r w:rsidRPr="00587444">
        <w:rPr>
          <w:rFonts w:ascii="Arial" w:hAnsi="Arial" w:cs="Arial"/>
          <w:sz w:val="20"/>
          <w:szCs w:val="20"/>
          <w:lang w:val="en-GB"/>
        </w:rPr>
        <w:t>Fortenova</w:t>
      </w:r>
      <w:proofErr w:type="spellEnd"/>
      <w:r w:rsidRPr="00587444">
        <w:rPr>
          <w:rFonts w:ascii="Arial" w:hAnsi="Arial" w:cs="Arial"/>
          <w:sz w:val="20"/>
          <w:szCs w:val="20"/>
          <w:lang w:val="en-GB"/>
        </w:rPr>
        <w:t xml:space="preserve"> Group </w:t>
      </w:r>
      <w:proofErr w:type="spellStart"/>
      <w:r w:rsidRPr="00587444">
        <w:rPr>
          <w:rFonts w:ascii="Arial" w:hAnsi="Arial" w:cs="Arial"/>
          <w:sz w:val="20"/>
          <w:szCs w:val="20"/>
          <w:lang w:val="en-GB"/>
        </w:rPr>
        <w:t>TopCo</w:t>
      </w:r>
      <w:proofErr w:type="spellEnd"/>
      <w:r w:rsidRPr="00587444">
        <w:rPr>
          <w:rFonts w:ascii="Arial" w:hAnsi="Arial" w:cs="Arial"/>
          <w:sz w:val="20"/>
          <w:szCs w:val="20"/>
          <w:lang w:val="en-GB"/>
        </w:rPr>
        <w:t xml:space="preserve"> B.V. in the amount of HRK 1,472 thousand (31 December 2021: HRK 1,397 thousand) have been taken over through the Settlement under the Extraordinary Administration Proceedings against the company </w:t>
      </w:r>
      <w:proofErr w:type="spellStart"/>
      <w:r w:rsidRPr="00587444">
        <w:rPr>
          <w:rFonts w:ascii="Arial" w:hAnsi="Arial" w:cs="Arial"/>
          <w:sz w:val="20"/>
          <w:szCs w:val="20"/>
          <w:lang w:val="en-GB"/>
        </w:rPr>
        <w:t>Agrokor</w:t>
      </w:r>
      <w:proofErr w:type="spellEnd"/>
      <w:r w:rsidRPr="00587444">
        <w:rPr>
          <w:rFonts w:ascii="Arial" w:hAnsi="Arial" w:cs="Arial"/>
          <w:sz w:val="20"/>
          <w:szCs w:val="20"/>
          <w:lang w:val="en-GB"/>
        </w:rPr>
        <w:t xml:space="preserve"> </w:t>
      </w:r>
      <w:proofErr w:type="spellStart"/>
      <w:r w:rsidRPr="00587444">
        <w:rPr>
          <w:rFonts w:ascii="Arial" w:hAnsi="Arial" w:cs="Arial"/>
          <w:sz w:val="20"/>
          <w:szCs w:val="20"/>
          <w:lang w:val="en-GB"/>
        </w:rPr>
        <w:t>d.d.</w:t>
      </w:r>
      <w:proofErr w:type="spellEnd"/>
      <w:r w:rsidRPr="00587444">
        <w:rPr>
          <w:rFonts w:ascii="Arial" w:hAnsi="Arial" w:cs="Arial"/>
          <w:sz w:val="20"/>
          <w:szCs w:val="20"/>
          <w:lang w:val="en-GB"/>
        </w:rPr>
        <w:t xml:space="preserve"> et al.</w:t>
      </w:r>
    </w:p>
    <w:p w14:paraId="60EDC152" w14:textId="77777777" w:rsidR="00587444" w:rsidRPr="00587444" w:rsidRDefault="00587444" w:rsidP="00587444">
      <w:pPr>
        <w:suppressAutoHyphens w:val="0"/>
        <w:autoSpaceDN/>
        <w:jc w:val="both"/>
        <w:rPr>
          <w:rFonts w:ascii="Arial" w:hAnsi="Arial" w:cs="Arial"/>
          <w:sz w:val="20"/>
          <w:szCs w:val="20"/>
        </w:rPr>
        <w:sectPr w:rsidR="00587444" w:rsidRPr="00587444" w:rsidSect="00DD69E7">
          <w:headerReference w:type="default" r:id="rId81"/>
          <w:pgSz w:w="11907" w:h="16840" w:code="9"/>
          <w:pgMar w:top="1418" w:right="1134" w:bottom="1134" w:left="1418" w:header="851" w:footer="851" w:gutter="0"/>
          <w:cols w:space="720"/>
          <w:noEndnote/>
        </w:sectPr>
      </w:pPr>
    </w:p>
    <w:bookmarkEnd w:id="732"/>
    <w:p w14:paraId="1C1E52D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25CB2BC"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17.</w:t>
      </w:r>
      <w:r w:rsidRPr="00587444">
        <w:rPr>
          <w:rFonts w:ascii="Arial" w:hAnsi="Arial" w:cs="Arial"/>
          <w:b/>
          <w:bCs/>
          <w:sz w:val="20"/>
          <w:szCs w:val="20"/>
          <w:lang w:val="en-GB"/>
        </w:rPr>
        <w:tab/>
        <w:t>Financial assets at fair value through other comprehensive income (continued)</w:t>
      </w:r>
    </w:p>
    <w:p w14:paraId="4941ABB7" w14:textId="77777777" w:rsidR="00587444" w:rsidRPr="00587444" w:rsidRDefault="00587444" w:rsidP="00587444">
      <w:pPr>
        <w:keepNext/>
        <w:suppressAutoHyphens w:val="0"/>
        <w:autoSpaceDN/>
        <w:jc w:val="both"/>
        <w:rPr>
          <w:rFonts w:ascii="Arial" w:hAnsi="Arial" w:cs="Arial"/>
          <w:bCs/>
          <w:sz w:val="20"/>
          <w:szCs w:val="20"/>
          <w:lang w:val="en-GB"/>
        </w:rPr>
      </w:pPr>
    </w:p>
    <w:p w14:paraId="77656804" w14:textId="77777777" w:rsidR="00587444" w:rsidRPr="00587444" w:rsidRDefault="00587444" w:rsidP="00587444">
      <w:pPr>
        <w:keepNext/>
        <w:suppressAutoHyphens w:val="0"/>
        <w:autoSpaceDN/>
        <w:jc w:val="both"/>
        <w:rPr>
          <w:rFonts w:ascii="Arial" w:hAnsi="Arial" w:cs="Arial"/>
          <w:bCs/>
          <w:sz w:val="20"/>
          <w:szCs w:val="20"/>
          <w:lang w:val="en-GB"/>
        </w:rPr>
      </w:pPr>
    </w:p>
    <w:p w14:paraId="085447CF" w14:textId="77777777"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The following tables sets out information about the credit quality of financial assets measured at FVOCI. The amounts in the table represent gross carrying amounts:</w:t>
      </w:r>
    </w:p>
    <w:p w14:paraId="24538879" w14:textId="77777777" w:rsidR="00587444" w:rsidRPr="00587444" w:rsidRDefault="00587444" w:rsidP="00587444">
      <w:pPr>
        <w:suppressAutoHyphens w:val="0"/>
        <w:autoSpaceDN/>
        <w:rPr>
          <w:rFonts w:ascii="Arial" w:eastAsia="Calibri" w:hAnsi="Arial" w:cs="Arial"/>
          <w:sz w:val="20"/>
          <w:szCs w:val="20"/>
        </w:rPr>
      </w:pPr>
    </w:p>
    <w:tbl>
      <w:tblPr>
        <w:tblW w:w="5213" w:type="pct"/>
        <w:tblInd w:w="-142" w:type="dxa"/>
        <w:tblLayout w:type="fixed"/>
        <w:tblLook w:val="0000" w:firstRow="0" w:lastRow="0" w:firstColumn="0" w:lastColumn="0" w:noHBand="0" w:noVBand="0"/>
      </w:tblPr>
      <w:tblGrid>
        <w:gridCol w:w="1937"/>
        <w:gridCol w:w="1006"/>
        <w:gridCol w:w="1006"/>
        <w:gridCol w:w="1006"/>
        <w:gridCol w:w="1006"/>
        <w:gridCol w:w="1006"/>
        <w:gridCol w:w="1006"/>
        <w:gridCol w:w="1006"/>
        <w:gridCol w:w="1000"/>
      </w:tblGrid>
      <w:tr w:rsidR="00587444" w:rsidRPr="00587444" w14:paraId="2F6FC430" w14:textId="77777777" w:rsidTr="00DD69E7">
        <w:trPr>
          <w:trHeight w:val="326"/>
        </w:trPr>
        <w:tc>
          <w:tcPr>
            <w:tcW w:w="970" w:type="pct"/>
            <w:vAlign w:val="bottom"/>
          </w:tcPr>
          <w:p w14:paraId="33A74D3E" w14:textId="77777777" w:rsidR="00587444" w:rsidRPr="00587444" w:rsidRDefault="00587444" w:rsidP="00587444">
            <w:pPr>
              <w:tabs>
                <w:tab w:val="left" w:pos="-720"/>
              </w:tabs>
              <w:autoSpaceDN/>
              <w:spacing w:line="220" w:lineRule="exact"/>
              <w:rPr>
                <w:rFonts w:ascii="Arial" w:hAnsi="Arial" w:cs="Arial"/>
                <w:b/>
                <w:sz w:val="17"/>
                <w:szCs w:val="17"/>
                <w:lang w:val="en-GB"/>
              </w:rPr>
            </w:pPr>
            <w:bookmarkStart w:id="733" w:name="_Hlk97296266"/>
            <w:r w:rsidRPr="00587444">
              <w:rPr>
                <w:rFonts w:ascii="Arial" w:hAnsi="Arial" w:cs="Arial"/>
                <w:b/>
                <w:sz w:val="17"/>
                <w:szCs w:val="17"/>
                <w:lang w:val="en-GB"/>
              </w:rPr>
              <w:t>31 December 2022</w:t>
            </w:r>
          </w:p>
        </w:tc>
        <w:tc>
          <w:tcPr>
            <w:tcW w:w="504" w:type="pct"/>
            <w:vAlign w:val="bottom"/>
          </w:tcPr>
          <w:p w14:paraId="344B21B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415902F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0ED3418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04" w:type="pct"/>
            <w:vAlign w:val="bottom"/>
          </w:tcPr>
          <w:p w14:paraId="5986A22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bookmarkStart w:id="734" w:name="_Toc4058844"/>
            <w:r w:rsidRPr="00587444">
              <w:rPr>
                <w:rFonts w:ascii="Arial" w:hAnsi="Arial" w:cs="Arial"/>
                <w:b/>
                <w:sz w:val="17"/>
                <w:szCs w:val="17"/>
                <w:lang w:val="en-GB"/>
              </w:rPr>
              <w:t>Group</w:t>
            </w:r>
            <w:bookmarkEnd w:id="734"/>
          </w:p>
        </w:tc>
        <w:tc>
          <w:tcPr>
            <w:tcW w:w="504" w:type="pct"/>
            <w:vAlign w:val="bottom"/>
          </w:tcPr>
          <w:p w14:paraId="1D087E0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69D798A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0F08FF4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01" w:type="pct"/>
            <w:vAlign w:val="bottom"/>
          </w:tcPr>
          <w:p w14:paraId="6736769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735" w:name="_Toc4058845"/>
            <w:r w:rsidRPr="00587444">
              <w:rPr>
                <w:rFonts w:ascii="Arial" w:hAnsi="Arial" w:cs="Arial"/>
                <w:b/>
                <w:sz w:val="17"/>
                <w:szCs w:val="17"/>
                <w:lang w:val="en-GB"/>
              </w:rPr>
              <w:t>Bank</w:t>
            </w:r>
            <w:bookmarkEnd w:id="735"/>
          </w:p>
        </w:tc>
      </w:tr>
      <w:tr w:rsidR="00587444" w:rsidRPr="00587444" w14:paraId="39E9BA69" w14:textId="77777777" w:rsidTr="00DD69E7">
        <w:trPr>
          <w:trHeight w:val="251"/>
        </w:trPr>
        <w:tc>
          <w:tcPr>
            <w:tcW w:w="970" w:type="pct"/>
            <w:vAlign w:val="bottom"/>
          </w:tcPr>
          <w:p w14:paraId="6DC636A8" w14:textId="77777777" w:rsidR="00587444" w:rsidRPr="00587444" w:rsidRDefault="00587444" w:rsidP="00587444">
            <w:pPr>
              <w:tabs>
                <w:tab w:val="left" w:pos="-720"/>
              </w:tabs>
              <w:autoSpaceDN/>
              <w:spacing w:line="220" w:lineRule="exact"/>
              <w:rPr>
                <w:rFonts w:ascii="Arial" w:hAnsi="Arial" w:cs="Arial"/>
                <w:sz w:val="17"/>
                <w:szCs w:val="17"/>
                <w:lang w:val="en-GB"/>
              </w:rPr>
            </w:pPr>
          </w:p>
        </w:tc>
        <w:tc>
          <w:tcPr>
            <w:tcW w:w="504" w:type="pct"/>
            <w:vAlign w:val="bottom"/>
          </w:tcPr>
          <w:p w14:paraId="682BC75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736" w:name="_Toc4058846"/>
            <w:r w:rsidRPr="00587444">
              <w:rPr>
                <w:rFonts w:ascii="Arial" w:hAnsi="Arial" w:cs="Arial"/>
                <w:b/>
                <w:sz w:val="17"/>
                <w:szCs w:val="17"/>
                <w:lang w:val="en-GB"/>
              </w:rPr>
              <w:t>Stage 1</w:t>
            </w:r>
            <w:bookmarkEnd w:id="736"/>
          </w:p>
        </w:tc>
        <w:tc>
          <w:tcPr>
            <w:tcW w:w="504" w:type="pct"/>
            <w:vAlign w:val="bottom"/>
          </w:tcPr>
          <w:p w14:paraId="728B154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737" w:name="_Toc4058847"/>
            <w:r w:rsidRPr="00587444">
              <w:rPr>
                <w:rFonts w:ascii="Arial" w:hAnsi="Arial" w:cs="Arial"/>
                <w:b/>
                <w:sz w:val="17"/>
                <w:szCs w:val="17"/>
                <w:lang w:val="en-GB"/>
              </w:rPr>
              <w:t>Stage 2</w:t>
            </w:r>
            <w:bookmarkEnd w:id="737"/>
          </w:p>
        </w:tc>
        <w:tc>
          <w:tcPr>
            <w:tcW w:w="504" w:type="pct"/>
            <w:vAlign w:val="bottom"/>
          </w:tcPr>
          <w:p w14:paraId="5CBBC88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738" w:name="_Toc4058848"/>
            <w:r w:rsidRPr="00587444">
              <w:rPr>
                <w:rFonts w:ascii="Arial" w:hAnsi="Arial" w:cs="Arial"/>
                <w:b/>
                <w:sz w:val="17"/>
                <w:szCs w:val="17"/>
                <w:lang w:val="en-GB"/>
              </w:rPr>
              <w:t>Stage 3</w:t>
            </w:r>
            <w:bookmarkEnd w:id="738"/>
          </w:p>
        </w:tc>
        <w:tc>
          <w:tcPr>
            <w:tcW w:w="504" w:type="pct"/>
            <w:vAlign w:val="bottom"/>
          </w:tcPr>
          <w:p w14:paraId="2B09334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739" w:name="_Toc4058849"/>
            <w:r w:rsidRPr="00587444">
              <w:rPr>
                <w:rFonts w:ascii="Arial" w:hAnsi="Arial" w:cs="Arial"/>
                <w:b/>
                <w:sz w:val="17"/>
                <w:szCs w:val="17"/>
                <w:lang w:val="en-GB"/>
              </w:rPr>
              <w:t>Total</w:t>
            </w:r>
            <w:bookmarkEnd w:id="739"/>
          </w:p>
        </w:tc>
        <w:tc>
          <w:tcPr>
            <w:tcW w:w="504" w:type="pct"/>
            <w:vAlign w:val="bottom"/>
          </w:tcPr>
          <w:p w14:paraId="1B00AF7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740" w:name="_Toc4058850"/>
            <w:r w:rsidRPr="00587444">
              <w:rPr>
                <w:rFonts w:ascii="Arial" w:hAnsi="Arial" w:cs="Arial"/>
                <w:b/>
                <w:sz w:val="17"/>
                <w:szCs w:val="17"/>
                <w:lang w:val="en-GB"/>
              </w:rPr>
              <w:t>Stage 1</w:t>
            </w:r>
            <w:bookmarkEnd w:id="740"/>
          </w:p>
        </w:tc>
        <w:tc>
          <w:tcPr>
            <w:tcW w:w="504" w:type="pct"/>
            <w:vAlign w:val="bottom"/>
          </w:tcPr>
          <w:p w14:paraId="04573F9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741" w:name="_Toc4058851"/>
            <w:r w:rsidRPr="00587444">
              <w:rPr>
                <w:rFonts w:ascii="Arial" w:hAnsi="Arial" w:cs="Arial"/>
                <w:b/>
                <w:sz w:val="17"/>
                <w:szCs w:val="17"/>
                <w:lang w:val="en-GB"/>
              </w:rPr>
              <w:t>Stage 2</w:t>
            </w:r>
            <w:bookmarkEnd w:id="741"/>
          </w:p>
        </w:tc>
        <w:tc>
          <w:tcPr>
            <w:tcW w:w="504" w:type="pct"/>
            <w:vAlign w:val="bottom"/>
          </w:tcPr>
          <w:p w14:paraId="222E7C6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742" w:name="_Toc4058852"/>
            <w:r w:rsidRPr="00587444">
              <w:rPr>
                <w:rFonts w:ascii="Arial" w:hAnsi="Arial" w:cs="Arial"/>
                <w:b/>
                <w:sz w:val="17"/>
                <w:szCs w:val="17"/>
                <w:lang w:val="en-GB"/>
              </w:rPr>
              <w:t>Stage 3</w:t>
            </w:r>
            <w:bookmarkEnd w:id="742"/>
          </w:p>
        </w:tc>
        <w:tc>
          <w:tcPr>
            <w:tcW w:w="501" w:type="pct"/>
            <w:vAlign w:val="bottom"/>
          </w:tcPr>
          <w:p w14:paraId="6C66AC3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743" w:name="_Toc4058853"/>
            <w:r w:rsidRPr="00587444">
              <w:rPr>
                <w:rFonts w:ascii="Arial" w:hAnsi="Arial" w:cs="Arial"/>
                <w:b/>
                <w:sz w:val="17"/>
                <w:szCs w:val="17"/>
                <w:lang w:val="en-GB"/>
              </w:rPr>
              <w:t>Total</w:t>
            </w:r>
            <w:bookmarkEnd w:id="743"/>
          </w:p>
        </w:tc>
      </w:tr>
      <w:tr w:rsidR="00587444" w:rsidRPr="00587444" w14:paraId="3E9EF282" w14:textId="77777777" w:rsidTr="00DD69E7">
        <w:trPr>
          <w:trHeight w:val="251"/>
        </w:trPr>
        <w:tc>
          <w:tcPr>
            <w:tcW w:w="970" w:type="pct"/>
            <w:vAlign w:val="bottom"/>
          </w:tcPr>
          <w:p w14:paraId="56A10E82" w14:textId="77777777" w:rsidR="00587444" w:rsidRPr="00587444" w:rsidRDefault="00587444" w:rsidP="00587444">
            <w:pPr>
              <w:tabs>
                <w:tab w:val="left" w:pos="-720"/>
              </w:tabs>
              <w:autoSpaceDN/>
              <w:spacing w:line="220" w:lineRule="exact"/>
              <w:rPr>
                <w:rFonts w:ascii="Arial" w:hAnsi="Arial" w:cs="Arial"/>
                <w:sz w:val="17"/>
                <w:szCs w:val="17"/>
              </w:rPr>
            </w:pPr>
          </w:p>
        </w:tc>
        <w:tc>
          <w:tcPr>
            <w:tcW w:w="504" w:type="pct"/>
            <w:vAlign w:val="bottom"/>
          </w:tcPr>
          <w:p w14:paraId="7BB66C3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744" w:name="_Toc4058854"/>
            <w:r w:rsidRPr="00587444">
              <w:rPr>
                <w:rFonts w:ascii="Arial" w:hAnsi="Arial" w:cs="Arial"/>
                <w:b/>
                <w:sz w:val="17"/>
                <w:szCs w:val="17"/>
                <w:lang w:val="en-GB"/>
              </w:rPr>
              <w:t>HRK ‘000</w:t>
            </w:r>
            <w:bookmarkEnd w:id="744"/>
          </w:p>
        </w:tc>
        <w:tc>
          <w:tcPr>
            <w:tcW w:w="504" w:type="pct"/>
            <w:vAlign w:val="bottom"/>
          </w:tcPr>
          <w:p w14:paraId="20615AE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745" w:name="_Toc4058855"/>
            <w:r w:rsidRPr="00587444">
              <w:rPr>
                <w:rFonts w:ascii="Arial" w:hAnsi="Arial" w:cs="Arial"/>
                <w:b/>
                <w:sz w:val="17"/>
                <w:szCs w:val="17"/>
                <w:lang w:val="en-GB"/>
              </w:rPr>
              <w:t>HRK ‘000</w:t>
            </w:r>
            <w:bookmarkEnd w:id="745"/>
          </w:p>
        </w:tc>
        <w:tc>
          <w:tcPr>
            <w:tcW w:w="504" w:type="pct"/>
            <w:vAlign w:val="bottom"/>
          </w:tcPr>
          <w:p w14:paraId="51E95EA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746" w:name="_Toc4058856"/>
            <w:r w:rsidRPr="00587444">
              <w:rPr>
                <w:rFonts w:ascii="Arial" w:hAnsi="Arial" w:cs="Arial"/>
                <w:b/>
                <w:sz w:val="17"/>
                <w:szCs w:val="17"/>
                <w:lang w:val="en-GB"/>
              </w:rPr>
              <w:t>HRK ‘000</w:t>
            </w:r>
            <w:bookmarkEnd w:id="746"/>
          </w:p>
        </w:tc>
        <w:tc>
          <w:tcPr>
            <w:tcW w:w="504" w:type="pct"/>
            <w:vAlign w:val="bottom"/>
          </w:tcPr>
          <w:p w14:paraId="00E12DD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747" w:name="_Toc4058857"/>
            <w:r w:rsidRPr="00587444">
              <w:rPr>
                <w:rFonts w:ascii="Arial" w:hAnsi="Arial" w:cs="Arial"/>
                <w:b/>
                <w:sz w:val="17"/>
                <w:szCs w:val="17"/>
                <w:lang w:val="en-GB"/>
              </w:rPr>
              <w:t>HRK ‘000</w:t>
            </w:r>
            <w:bookmarkEnd w:id="747"/>
          </w:p>
        </w:tc>
        <w:tc>
          <w:tcPr>
            <w:tcW w:w="504" w:type="pct"/>
            <w:vAlign w:val="bottom"/>
          </w:tcPr>
          <w:p w14:paraId="59A8970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748" w:name="_Toc4058858"/>
            <w:r w:rsidRPr="00587444">
              <w:rPr>
                <w:rFonts w:ascii="Arial" w:hAnsi="Arial" w:cs="Arial"/>
                <w:b/>
                <w:sz w:val="17"/>
                <w:szCs w:val="17"/>
                <w:lang w:val="en-GB"/>
              </w:rPr>
              <w:t>HRK ‘000</w:t>
            </w:r>
            <w:bookmarkEnd w:id="748"/>
          </w:p>
        </w:tc>
        <w:tc>
          <w:tcPr>
            <w:tcW w:w="504" w:type="pct"/>
            <w:vAlign w:val="bottom"/>
          </w:tcPr>
          <w:p w14:paraId="33B5CB8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749" w:name="_Toc4058859"/>
            <w:r w:rsidRPr="00587444">
              <w:rPr>
                <w:rFonts w:ascii="Arial" w:hAnsi="Arial" w:cs="Arial"/>
                <w:b/>
                <w:sz w:val="17"/>
                <w:szCs w:val="17"/>
                <w:lang w:val="en-GB"/>
              </w:rPr>
              <w:t>HRK ‘000</w:t>
            </w:r>
            <w:bookmarkEnd w:id="749"/>
          </w:p>
        </w:tc>
        <w:tc>
          <w:tcPr>
            <w:tcW w:w="504" w:type="pct"/>
            <w:vAlign w:val="bottom"/>
          </w:tcPr>
          <w:p w14:paraId="604E720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750" w:name="_Toc4058860"/>
            <w:r w:rsidRPr="00587444">
              <w:rPr>
                <w:rFonts w:ascii="Arial" w:hAnsi="Arial" w:cs="Arial"/>
                <w:b/>
                <w:sz w:val="17"/>
                <w:szCs w:val="17"/>
                <w:lang w:val="en-GB"/>
              </w:rPr>
              <w:t>HRK ‘000</w:t>
            </w:r>
            <w:bookmarkEnd w:id="750"/>
          </w:p>
        </w:tc>
        <w:tc>
          <w:tcPr>
            <w:tcW w:w="501" w:type="pct"/>
            <w:vAlign w:val="bottom"/>
          </w:tcPr>
          <w:p w14:paraId="3C7A65C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751" w:name="_Toc4058861"/>
            <w:r w:rsidRPr="00587444">
              <w:rPr>
                <w:rFonts w:ascii="Arial" w:hAnsi="Arial" w:cs="Arial"/>
                <w:b/>
                <w:sz w:val="17"/>
                <w:szCs w:val="17"/>
                <w:lang w:val="en-GB"/>
              </w:rPr>
              <w:t>HRK ‘000</w:t>
            </w:r>
            <w:bookmarkEnd w:id="751"/>
          </w:p>
        </w:tc>
      </w:tr>
      <w:tr w:rsidR="00587444" w:rsidRPr="00587444" w14:paraId="21EF1521" w14:textId="77777777" w:rsidTr="00DD69E7">
        <w:trPr>
          <w:trHeight w:val="177"/>
        </w:trPr>
        <w:tc>
          <w:tcPr>
            <w:tcW w:w="970" w:type="pct"/>
            <w:vAlign w:val="bottom"/>
          </w:tcPr>
          <w:p w14:paraId="72CA4B0D" w14:textId="77777777" w:rsidR="00587444" w:rsidRPr="00587444" w:rsidRDefault="00587444" w:rsidP="00587444">
            <w:pPr>
              <w:tabs>
                <w:tab w:val="left" w:pos="-720"/>
              </w:tabs>
              <w:autoSpaceDN/>
              <w:spacing w:line="140" w:lineRule="exact"/>
              <w:rPr>
                <w:rFonts w:ascii="Arial" w:hAnsi="Arial" w:cs="Arial"/>
                <w:sz w:val="17"/>
                <w:szCs w:val="17"/>
                <w:lang w:val="en-GB"/>
              </w:rPr>
            </w:pPr>
          </w:p>
        </w:tc>
        <w:tc>
          <w:tcPr>
            <w:tcW w:w="504" w:type="pct"/>
            <w:vAlign w:val="bottom"/>
          </w:tcPr>
          <w:p w14:paraId="55AE2C28"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15E0CCE1"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6C209F1D"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3A851166"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1DF94542"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7EE2A839"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585C9C33"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7"/>
                <w:szCs w:val="17"/>
                <w:lang w:val="en-GB"/>
              </w:rPr>
            </w:pPr>
          </w:p>
        </w:tc>
        <w:tc>
          <w:tcPr>
            <w:tcW w:w="501" w:type="pct"/>
            <w:vAlign w:val="bottom"/>
          </w:tcPr>
          <w:p w14:paraId="73E1365A"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7"/>
                <w:szCs w:val="17"/>
                <w:lang w:val="en-GB"/>
              </w:rPr>
            </w:pPr>
          </w:p>
        </w:tc>
      </w:tr>
      <w:tr w:rsidR="00587444" w:rsidRPr="00587444" w14:paraId="3AD3AA04" w14:textId="77777777" w:rsidTr="00DD69E7">
        <w:trPr>
          <w:trHeight w:val="337"/>
        </w:trPr>
        <w:tc>
          <w:tcPr>
            <w:tcW w:w="970" w:type="pct"/>
            <w:vAlign w:val="bottom"/>
          </w:tcPr>
          <w:p w14:paraId="6C0A6555"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lang w:val="en-GB"/>
              </w:rPr>
            </w:pPr>
            <w:bookmarkStart w:id="752" w:name="_Toc4058862"/>
            <w:r w:rsidRPr="00587444">
              <w:rPr>
                <w:rFonts w:ascii="Arial" w:hAnsi="Arial" w:cs="Arial"/>
                <w:sz w:val="17"/>
                <w:szCs w:val="17"/>
                <w:lang w:val="en-GB"/>
              </w:rPr>
              <w:t>Gross amount</w:t>
            </w:r>
            <w:bookmarkEnd w:id="752"/>
          </w:p>
        </w:tc>
        <w:tc>
          <w:tcPr>
            <w:tcW w:w="504" w:type="pct"/>
            <w:tcBorders>
              <w:top w:val="nil"/>
              <w:left w:val="nil"/>
              <w:bottom w:val="nil"/>
              <w:right w:val="nil"/>
            </w:tcBorders>
            <w:shd w:val="clear" w:color="auto" w:fill="auto"/>
            <w:vAlign w:val="bottom"/>
          </w:tcPr>
          <w:p w14:paraId="65DE5F9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2,631,479 </w:t>
            </w:r>
          </w:p>
        </w:tc>
        <w:tc>
          <w:tcPr>
            <w:tcW w:w="504" w:type="pct"/>
            <w:tcBorders>
              <w:top w:val="nil"/>
              <w:left w:val="nil"/>
              <w:bottom w:val="nil"/>
              <w:right w:val="nil"/>
            </w:tcBorders>
            <w:shd w:val="clear" w:color="auto" w:fill="auto"/>
            <w:vAlign w:val="bottom"/>
          </w:tcPr>
          <w:p w14:paraId="1F07266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 496 </w:t>
            </w:r>
          </w:p>
        </w:tc>
        <w:tc>
          <w:tcPr>
            <w:tcW w:w="504" w:type="pct"/>
            <w:tcBorders>
              <w:top w:val="nil"/>
              <w:left w:val="nil"/>
              <w:bottom w:val="nil"/>
              <w:right w:val="nil"/>
            </w:tcBorders>
            <w:shd w:val="clear" w:color="auto" w:fill="auto"/>
            <w:vAlign w:val="bottom"/>
          </w:tcPr>
          <w:p w14:paraId="7059673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 1,472 </w:t>
            </w:r>
          </w:p>
        </w:tc>
        <w:tc>
          <w:tcPr>
            <w:tcW w:w="504" w:type="pct"/>
            <w:tcBorders>
              <w:top w:val="nil"/>
              <w:left w:val="nil"/>
              <w:bottom w:val="nil"/>
              <w:right w:val="nil"/>
            </w:tcBorders>
            <w:shd w:val="clear" w:color="auto" w:fill="auto"/>
            <w:vAlign w:val="bottom"/>
          </w:tcPr>
          <w:p w14:paraId="30D926A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hr-HR"/>
              </w:rPr>
            </w:pPr>
            <w:r w:rsidRPr="00587444">
              <w:rPr>
                <w:rFonts w:ascii="Arial" w:hAnsi="Arial" w:cs="Arial"/>
                <w:b/>
                <w:bCs/>
                <w:sz w:val="17"/>
                <w:szCs w:val="17"/>
                <w:lang w:val="en-GB"/>
              </w:rPr>
              <w:t xml:space="preserve">2,633,447 </w:t>
            </w:r>
          </w:p>
        </w:tc>
        <w:tc>
          <w:tcPr>
            <w:tcW w:w="504" w:type="pct"/>
            <w:tcBorders>
              <w:top w:val="nil"/>
              <w:left w:val="nil"/>
              <w:bottom w:val="nil"/>
              <w:right w:val="nil"/>
            </w:tcBorders>
            <w:shd w:val="clear" w:color="auto" w:fill="auto"/>
            <w:vAlign w:val="bottom"/>
          </w:tcPr>
          <w:p w14:paraId="15ACE31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2,584,329 </w:t>
            </w:r>
          </w:p>
        </w:tc>
        <w:tc>
          <w:tcPr>
            <w:tcW w:w="504" w:type="pct"/>
            <w:tcBorders>
              <w:top w:val="nil"/>
              <w:left w:val="nil"/>
              <w:bottom w:val="nil"/>
              <w:right w:val="nil"/>
            </w:tcBorders>
            <w:shd w:val="clear" w:color="auto" w:fill="auto"/>
            <w:vAlign w:val="bottom"/>
          </w:tcPr>
          <w:p w14:paraId="2491681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 496 </w:t>
            </w:r>
          </w:p>
        </w:tc>
        <w:tc>
          <w:tcPr>
            <w:tcW w:w="504" w:type="pct"/>
            <w:tcBorders>
              <w:top w:val="nil"/>
              <w:left w:val="nil"/>
              <w:bottom w:val="nil"/>
              <w:right w:val="nil"/>
            </w:tcBorders>
            <w:shd w:val="clear" w:color="auto" w:fill="auto"/>
            <w:vAlign w:val="bottom"/>
          </w:tcPr>
          <w:p w14:paraId="7953EA3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 1,472 </w:t>
            </w:r>
          </w:p>
        </w:tc>
        <w:tc>
          <w:tcPr>
            <w:tcW w:w="501" w:type="pct"/>
            <w:tcBorders>
              <w:top w:val="nil"/>
              <w:left w:val="nil"/>
              <w:bottom w:val="nil"/>
              <w:right w:val="nil"/>
            </w:tcBorders>
            <w:shd w:val="clear" w:color="auto" w:fill="auto"/>
            <w:vAlign w:val="bottom"/>
          </w:tcPr>
          <w:p w14:paraId="234C227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hr-HR"/>
              </w:rPr>
            </w:pPr>
            <w:r w:rsidRPr="00587444">
              <w:rPr>
                <w:rFonts w:ascii="Arial" w:hAnsi="Arial" w:cs="Arial"/>
                <w:b/>
                <w:bCs/>
                <w:sz w:val="17"/>
                <w:szCs w:val="17"/>
                <w:lang w:val="en-GB"/>
              </w:rPr>
              <w:t xml:space="preserve">2,586,297 </w:t>
            </w:r>
          </w:p>
        </w:tc>
      </w:tr>
      <w:tr w:rsidR="00587444" w:rsidRPr="00587444" w14:paraId="7A54EA69" w14:textId="77777777" w:rsidTr="00DD69E7">
        <w:trPr>
          <w:trHeight w:val="158"/>
        </w:trPr>
        <w:tc>
          <w:tcPr>
            <w:tcW w:w="970" w:type="pct"/>
            <w:vAlign w:val="bottom"/>
          </w:tcPr>
          <w:p w14:paraId="2F11BFFD" w14:textId="77777777" w:rsidR="00890EEB" w:rsidRDefault="00587444" w:rsidP="00587444">
            <w:pPr>
              <w:tabs>
                <w:tab w:val="right" w:pos="1202"/>
              </w:tabs>
              <w:suppressAutoHyphens w:val="0"/>
              <w:autoSpaceDN/>
              <w:spacing w:line="240" w:lineRule="exact"/>
              <w:outlineLvl w:val="0"/>
              <w:rPr>
                <w:rFonts w:ascii="Arial" w:hAnsi="Arial" w:cs="Arial"/>
                <w:b/>
                <w:iCs/>
                <w:sz w:val="17"/>
                <w:szCs w:val="17"/>
                <w:lang w:val="en-GB"/>
              </w:rPr>
            </w:pPr>
            <w:bookmarkStart w:id="753" w:name="_Toc4058871"/>
            <w:r w:rsidRPr="00587444">
              <w:rPr>
                <w:rFonts w:ascii="Arial" w:hAnsi="Arial" w:cs="Arial"/>
                <w:b/>
                <w:iCs/>
                <w:sz w:val="17"/>
                <w:szCs w:val="17"/>
                <w:lang w:val="en-GB"/>
              </w:rPr>
              <w:t xml:space="preserve">Balance as of </w:t>
            </w:r>
          </w:p>
          <w:p w14:paraId="652E336B" w14:textId="0F4D99CB" w:rsidR="00587444" w:rsidRPr="00587444" w:rsidRDefault="00587444" w:rsidP="00587444">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 xml:space="preserve">31 December </w:t>
            </w:r>
            <w:bookmarkEnd w:id="753"/>
            <w:r w:rsidRPr="00587444">
              <w:rPr>
                <w:rFonts w:ascii="Arial" w:hAnsi="Arial" w:cs="Arial"/>
                <w:b/>
                <w:iCs/>
                <w:sz w:val="17"/>
                <w:szCs w:val="17"/>
                <w:lang w:val="en-GB"/>
              </w:rPr>
              <w:t>2022</w:t>
            </w:r>
          </w:p>
        </w:tc>
        <w:tc>
          <w:tcPr>
            <w:tcW w:w="504" w:type="pct"/>
            <w:tcBorders>
              <w:top w:val="single" w:sz="4" w:space="0" w:color="auto"/>
              <w:left w:val="nil"/>
              <w:bottom w:val="single" w:sz="12" w:space="0" w:color="auto"/>
              <w:right w:val="nil"/>
            </w:tcBorders>
            <w:shd w:val="clear" w:color="auto" w:fill="auto"/>
            <w:vAlign w:val="bottom"/>
          </w:tcPr>
          <w:p w14:paraId="3877732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sz w:val="17"/>
                <w:szCs w:val="17"/>
                <w:lang w:val="en-GB"/>
              </w:rPr>
              <w:t xml:space="preserve">2,631,479 </w:t>
            </w:r>
          </w:p>
        </w:tc>
        <w:tc>
          <w:tcPr>
            <w:tcW w:w="504" w:type="pct"/>
            <w:tcBorders>
              <w:top w:val="single" w:sz="4" w:space="0" w:color="auto"/>
              <w:left w:val="nil"/>
              <w:bottom w:val="single" w:sz="12" w:space="0" w:color="auto"/>
              <w:right w:val="nil"/>
            </w:tcBorders>
            <w:shd w:val="clear" w:color="auto" w:fill="auto"/>
            <w:vAlign w:val="bottom"/>
          </w:tcPr>
          <w:p w14:paraId="59896C7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sz w:val="17"/>
                <w:szCs w:val="17"/>
                <w:lang w:val="en-GB"/>
              </w:rPr>
              <w:t xml:space="preserve"> 496 </w:t>
            </w:r>
          </w:p>
        </w:tc>
        <w:tc>
          <w:tcPr>
            <w:tcW w:w="504" w:type="pct"/>
            <w:tcBorders>
              <w:top w:val="single" w:sz="4" w:space="0" w:color="auto"/>
              <w:left w:val="nil"/>
              <w:bottom w:val="single" w:sz="12" w:space="0" w:color="auto"/>
              <w:right w:val="nil"/>
            </w:tcBorders>
            <w:shd w:val="clear" w:color="auto" w:fill="auto"/>
            <w:vAlign w:val="bottom"/>
          </w:tcPr>
          <w:p w14:paraId="0814090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sz w:val="17"/>
                <w:szCs w:val="17"/>
                <w:lang w:val="en-GB"/>
              </w:rPr>
              <w:t xml:space="preserve"> 1,472 </w:t>
            </w:r>
          </w:p>
        </w:tc>
        <w:tc>
          <w:tcPr>
            <w:tcW w:w="504" w:type="pct"/>
            <w:tcBorders>
              <w:top w:val="single" w:sz="4" w:space="0" w:color="auto"/>
              <w:left w:val="nil"/>
              <w:bottom w:val="single" w:sz="12" w:space="0" w:color="auto"/>
              <w:right w:val="nil"/>
            </w:tcBorders>
            <w:shd w:val="clear" w:color="auto" w:fill="auto"/>
            <w:vAlign w:val="bottom"/>
          </w:tcPr>
          <w:p w14:paraId="03A9F5B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hr-HR"/>
              </w:rPr>
            </w:pPr>
            <w:r w:rsidRPr="00587444">
              <w:rPr>
                <w:rFonts w:ascii="Arial" w:hAnsi="Arial" w:cs="Arial"/>
                <w:b/>
                <w:bCs/>
                <w:sz w:val="17"/>
                <w:szCs w:val="17"/>
                <w:lang w:val="en-GB"/>
              </w:rPr>
              <w:t xml:space="preserve">2,633,447 </w:t>
            </w:r>
          </w:p>
        </w:tc>
        <w:tc>
          <w:tcPr>
            <w:tcW w:w="504" w:type="pct"/>
            <w:tcBorders>
              <w:top w:val="single" w:sz="4" w:space="0" w:color="auto"/>
              <w:left w:val="nil"/>
              <w:bottom w:val="single" w:sz="12" w:space="0" w:color="auto"/>
              <w:right w:val="nil"/>
            </w:tcBorders>
            <w:shd w:val="clear" w:color="auto" w:fill="auto"/>
            <w:vAlign w:val="bottom"/>
          </w:tcPr>
          <w:p w14:paraId="2A43D6C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sz w:val="17"/>
                <w:szCs w:val="17"/>
                <w:lang w:val="en-GB"/>
              </w:rPr>
              <w:t xml:space="preserve">2,584,329 </w:t>
            </w:r>
          </w:p>
        </w:tc>
        <w:tc>
          <w:tcPr>
            <w:tcW w:w="504" w:type="pct"/>
            <w:tcBorders>
              <w:top w:val="single" w:sz="4" w:space="0" w:color="auto"/>
              <w:left w:val="nil"/>
              <w:bottom w:val="single" w:sz="12" w:space="0" w:color="auto"/>
              <w:right w:val="nil"/>
            </w:tcBorders>
            <w:shd w:val="clear" w:color="auto" w:fill="auto"/>
            <w:vAlign w:val="bottom"/>
          </w:tcPr>
          <w:p w14:paraId="079368B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sz w:val="17"/>
                <w:szCs w:val="17"/>
                <w:lang w:val="en-GB"/>
              </w:rPr>
              <w:t xml:space="preserve"> 496 </w:t>
            </w:r>
          </w:p>
        </w:tc>
        <w:tc>
          <w:tcPr>
            <w:tcW w:w="504" w:type="pct"/>
            <w:tcBorders>
              <w:top w:val="single" w:sz="4" w:space="0" w:color="auto"/>
              <w:left w:val="nil"/>
              <w:bottom w:val="single" w:sz="12" w:space="0" w:color="auto"/>
              <w:right w:val="nil"/>
            </w:tcBorders>
            <w:shd w:val="clear" w:color="auto" w:fill="auto"/>
            <w:vAlign w:val="bottom"/>
          </w:tcPr>
          <w:p w14:paraId="3D24CE7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sz w:val="17"/>
                <w:szCs w:val="17"/>
                <w:lang w:val="en-GB"/>
              </w:rPr>
              <w:t xml:space="preserve"> 1,472 </w:t>
            </w:r>
          </w:p>
        </w:tc>
        <w:tc>
          <w:tcPr>
            <w:tcW w:w="501" w:type="pct"/>
            <w:tcBorders>
              <w:top w:val="single" w:sz="4" w:space="0" w:color="auto"/>
              <w:left w:val="nil"/>
              <w:bottom w:val="single" w:sz="12" w:space="0" w:color="auto"/>
              <w:right w:val="nil"/>
            </w:tcBorders>
            <w:shd w:val="clear" w:color="auto" w:fill="auto"/>
            <w:vAlign w:val="bottom"/>
          </w:tcPr>
          <w:p w14:paraId="48121FA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hr-HR"/>
              </w:rPr>
            </w:pPr>
            <w:r w:rsidRPr="00587444">
              <w:rPr>
                <w:rFonts w:ascii="Arial" w:hAnsi="Arial" w:cs="Arial"/>
                <w:b/>
                <w:bCs/>
                <w:sz w:val="17"/>
                <w:szCs w:val="17"/>
                <w:lang w:val="en-GB"/>
              </w:rPr>
              <w:t xml:space="preserve">2,586,297 </w:t>
            </w:r>
          </w:p>
        </w:tc>
      </w:tr>
      <w:bookmarkEnd w:id="733"/>
    </w:tbl>
    <w:p w14:paraId="26B1A672" w14:textId="77777777" w:rsidR="00587444" w:rsidRPr="00587444" w:rsidRDefault="00587444" w:rsidP="00587444">
      <w:pPr>
        <w:keepNext/>
        <w:suppressAutoHyphens w:val="0"/>
        <w:autoSpaceDN/>
        <w:jc w:val="both"/>
        <w:rPr>
          <w:rFonts w:ascii="Arial" w:eastAsia="Calibri" w:hAnsi="Arial" w:cs="Arial"/>
          <w:sz w:val="20"/>
          <w:szCs w:val="20"/>
        </w:rPr>
      </w:pPr>
    </w:p>
    <w:p w14:paraId="084B3743" w14:textId="77777777" w:rsidR="00587444" w:rsidRPr="00587444" w:rsidRDefault="00587444" w:rsidP="00587444">
      <w:pPr>
        <w:keepNext/>
        <w:suppressAutoHyphens w:val="0"/>
        <w:autoSpaceDN/>
        <w:jc w:val="both"/>
        <w:rPr>
          <w:rFonts w:ascii="Arial" w:eastAsia="Calibri" w:hAnsi="Arial" w:cs="Arial"/>
          <w:sz w:val="20"/>
          <w:szCs w:val="20"/>
        </w:rPr>
      </w:pPr>
    </w:p>
    <w:tbl>
      <w:tblPr>
        <w:tblW w:w="5213" w:type="pct"/>
        <w:tblInd w:w="-142" w:type="dxa"/>
        <w:tblLayout w:type="fixed"/>
        <w:tblLook w:val="0000" w:firstRow="0" w:lastRow="0" w:firstColumn="0" w:lastColumn="0" w:noHBand="0" w:noVBand="0"/>
      </w:tblPr>
      <w:tblGrid>
        <w:gridCol w:w="1937"/>
        <w:gridCol w:w="1006"/>
        <w:gridCol w:w="1006"/>
        <w:gridCol w:w="1006"/>
        <w:gridCol w:w="1006"/>
        <w:gridCol w:w="1006"/>
        <w:gridCol w:w="1006"/>
        <w:gridCol w:w="1006"/>
        <w:gridCol w:w="1000"/>
      </w:tblGrid>
      <w:tr w:rsidR="00587444" w:rsidRPr="00587444" w14:paraId="5171FBBE" w14:textId="77777777" w:rsidTr="00DD69E7">
        <w:trPr>
          <w:trHeight w:val="326"/>
        </w:trPr>
        <w:tc>
          <w:tcPr>
            <w:tcW w:w="970" w:type="pct"/>
            <w:vAlign w:val="bottom"/>
          </w:tcPr>
          <w:p w14:paraId="4893C2A2" w14:textId="77777777" w:rsidR="00587444" w:rsidRPr="00587444" w:rsidRDefault="00587444" w:rsidP="00587444">
            <w:pPr>
              <w:tabs>
                <w:tab w:val="left" w:pos="-720"/>
              </w:tabs>
              <w:autoSpaceDN/>
              <w:spacing w:line="220" w:lineRule="exact"/>
              <w:rPr>
                <w:rFonts w:ascii="Arial" w:hAnsi="Arial" w:cs="Arial"/>
                <w:b/>
                <w:sz w:val="17"/>
                <w:szCs w:val="17"/>
                <w:lang w:val="en-GB"/>
              </w:rPr>
            </w:pPr>
            <w:r w:rsidRPr="00587444">
              <w:rPr>
                <w:rFonts w:ascii="Arial" w:hAnsi="Arial" w:cs="Arial"/>
                <w:b/>
                <w:sz w:val="17"/>
                <w:szCs w:val="17"/>
                <w:lang w:val="en-GB"/>
              </w:rPr>
              <w:t>31 December 2021</w:t>
            </w:r>
          </w:p>
        </w:tc>
        <w:tc>
          <w:tcPr>
            <w:tcW w:w="504" w:type="pct"/>
            <w:vAlign w:val="bottom"/>
          </w:tcPr>
          <w:p w14:paraId="679E8AA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483A25A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79C32A3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04" w:type="pct"/>
            <w:vAlign w:val="bottom"/>
          </w:tcPr>
          <w:p w14:paraId="4F387DA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r w:rsidRPr="00587444">
              <w:rPr>
                <w:rFonts w:ascii="Arial" w:hAnsi="Arial" w:cs="Arial"/>
                <w:b/>
                <w:sz w:val="17"/>
                <w:szCs w:val="17"/>
                <w:lang w:val="en-GB"/>
              </w:rPr>
              <w:t>Group</w:t>
            </w:r>
          </w:p>
        </w:tc>
        <w:tc>
          <w:tcPr>
            <w:tcW w:w="504" w:type="pct"/>
            <w:vAlign w:val="bottom"/>
          </w:tcPr>
          <w:p w14:paraId="4539C76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54A2F8A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0B29264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01" w:type="pct"/>
            <w:vAlign w:val="bottom"/>
          </w:tcPr>
          <w:p w14:paraId="44AD8FC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Bank</w:t>
            </w:r>
          </w:p>
        </w:tc>
      </w:tr>
      <w:tr w:rsidR="00587444" w:rsidRPr="00587444" w14:paraId="16332AF9" w14:textId="77777777" w:rsidTr="00DD69E7">
        <w:trPr>
          <w:trHeight w:val="251"/>
        </w:trPr>
        <w:tc>
          <w:tcPr>
            <w:tcW w:w="970" w:type="pct"/>
            <w:vAlign w:val="bottom"/>
          </w:tcPr>
          <w:p w14:paraId="1CD38D2E" w14:textId="77777777" w:rsidR="00587444" w:rsidRPr="00587444" w:rsidRDefault="00587444" w:rsidP="00587444">
            <w:pPr>
              <w:tabs>
                <w:tab w:val="left" w:pos="-720"/>
              </w:tabs>
              <w:autoSpaceDN/>
              <w:spacing w:line="220" w:lineRule="exact"/>
              <w:rPr>
                <w:rFonts w:ascii="Arial" w:hAnsi="Arial" w:cs="Arial"/>
                <w:sz w:val="17"/>
                <w:szCs w:val="17"/>
                <w:lang w:val="en-GB"/>
              </w:rPr>
            </w:pPr>
          </w:p>
        </w:tc>
        <w:tc>
          <w:tcPr>
            <w:tcW w:w="504" w:type="pct"/>
            <w:vAlign w:val="bottom"/>
          </w:tcPr>
          <w:p w14:paraId="7ADBD96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504" w:type="pct"/>
            <w:vAlign w:val="bottom"/>
          </w:tcPr>
          <w:p w14:paraId="5F3121E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504" w:type="pct"/>
            <w:vAlign w:val="bottom"/>
          </w:tcPr>
          <w:p w14:paraId="7AEDBB8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504" w:type="pct"/>
            <w:vAlign w:val="bottom"/>
          </w:tcPr>
          <w:p w14:paraId="0D4047D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c>
          <w:tcPr>
            <w:tcW w:w="504" w:type="pct"/>
            <w:vAlign w:val="bottom"/>
          </w:tcPr>
          <w:p w14:paraId="7610F19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504" w:type="pct"/>
            <w:vAlign w:val="bottom"/>
          </w:tcPr>
          <w:p w14:paraId="03125DE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504" w:type="pct"/>
            <w:vAlign w:val="bottom"/>
          </w:tcPr>
          <w:p w14:paraId="72A8DAD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501" w:type="pct"/>
            <w:vAlign w:val="bottom"/>
          </w:tcPr>
          <w:p w14:paraId="52E0D40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587444" w:rsidRPr="00587444" w14:paraId="41A5E98B" w14:textId="77777777" w:rsidTr="00DD69E7">
        <w:trPr>
          <w:trHeight w:val="251"/>
        </w:trPr>
        <w:tc>
          <w:tcPr>
            <w:tcW w:w="970" w:type="pct"/>
            <w:vAlign w:val="bottom"/>
          </w:tcPr>
          <w:p w14:paraId="440453CB" w14:textId="77777777" w:rsidR="00587444" w:rsidRPr="00587444" w:rsidRDefault="00587444" w:rsidP="00587444">
            <w:pPr>
              <w:tabs>
                <w:tab w:val="left" w:pos="-720"/>
              </w:tabs>
              <w:autoSpaceDN/>
              <w:spacing w:line="220" w:lineRule="exact"/>
              <w:rPr>
                <w:rFonts w:ascii="Arial" w:hAnsi="Arial" w:cs="Arial"/>
                <w:sz w:val="17"/>
                <w:szCs w:val="17"/>
              </w:rPr>
            </w:pPr>
          </w:p>
        </w:tc>
        <w:tc>
          <w:tcPr>
            <w:tcW w:w="504" w:type="pct"/>
            <w:vAlign w:val="bottom"/>
          </w:tcPr>
          <w:p w14:paraId="750F7B9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504" w:type="pct"/>
            <w:vAlign w:val="bottom"/>
          </w:tcPr>
          <w:p w14:paraId="6E046E4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504" w:type="pct"/>
            <w:vAlign w:val="bottom"/>
          </w:tcPr>
          <w:p w14:paraId="3B0846E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504" w:type="pct"/>
            <w:vAlign w:val="bottom"/>
          </w:tcPr>
          <w:p w14:paraId="4795F2E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504" w:type="pct"/>
            <w:vAlign w:val="bottom"/>
          </w:tcPr>
          <w:p w14:paraId="5E94449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504" w:type="pct"/>
            <w:vAlign w:val="bottom"/>
          </w:tcPr>
          <w:p w14:paraId="7918F37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504" w:type="pct"/>
            <w:vAlign w:val="bottom"/>
          </w:tcPr>
          <w:p w14:paraId="4D40A0B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c>
          <w:tcPr>
            <w:tcW w:w="501" w:type="pct"/>
            <w:vAlign w:val="bottom"/>
          </w:tcPr>
          <w:p w14:paraId="4362D58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HRK ‘000</w:t>
            </w:r>
          </w:p>
        </w:tc>
      </w:tr>
      <w:tr w:rsidR="00587444" w:rsidRPr="00587444" w14:paraId="0950F608" w14:textId="77777777" w:rsidTr="00DD69E7">
        <w:trPr>
          <w:trHeight w:val="177"/>
        </w:trPr>
        <w:tc>
          <w:tcPr>
            <w:tcW w:w="970" w:type="pct"/>
            <w:vAlign w:val="bottom"/>
          </w:tcPr>
          <w:p w14:paraId="14FD4301" w14:textId="77777777" w:rsidR="00587444" w:rsidRPr="00587444" w:rsidRDefault="00587444" w:rsidP="00587444">
            <w:pPr>
              <w:tabs>
                <w:tab w:val="left" w:pos="-720"/>
              </w:tabs>
              <w:autoSpaceDN/>
              <w:spacing w:line="140" w:lineRule="exact"/>
              <w:rPr>
                <w:rFonts w:ascii="Arial" w:hAnsi="Arial" w:cs="Arial"/>
                <w:sz w:val="17"/>
                <w:szCs w:val="17"/>
                <w:lang w:val="en-GB"/>
              </w:rPr>
            </w:pPr>
          </w:p>
        </w:tc>
        <w:tc>
          <w:tcPr>
            <w:tcW w:w="504" w:type="pct"/>
            <w:vAlign w:val="bottom"/>
          </w:tcPr>
          <w:p w14:paraId="5300381B"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4A754D3B"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1120C014"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30758B78"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28744A05"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104869FA"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45164C39"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7"/>
                <w:szCs w:val="17"/>
                <w:lang w:val="en-GB"/>
              </w:rPr>
            </w:pPr>
          </w:p>
        </w:tc>
        <w:tc>
          <w:tcPr>
            <w:tcW w:w="501" w:type="pct"/>
            <w:vAlign w:val="bottom"/>
          </w:tcPr>
          <w:p w14:paraId="03770D96"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7"/>
                <w:szCs w:val="17"/>
                <w:lang w:val="en-GB"/>
              </w:rPr>
            </w:pPr>
          </w:p>
        </w:tc>
      </w:tr>
      <w:tr w:rsidR="00587444" w:rsidRPr="00587444" w14:paraId="4682C05C" w14:textId="77777777" w:rsidTr="00DD69E7">
        <w:trPr>
          <w:trHeight w:val="337"/>
        </w:trPr>
        <w:tc>
          <w:tcPr>
            <w:tcW w:w="970" w:type="pct"/>
            <w:vAlign w:val="bottom"/>
          </w:tcPr>
          <w:p w14:paraId="01FB4FC6"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Gross amount</w:t>
            </w:r>
          </w:p>
        </w:tc>
        <w:tc>
          <w:tcPr>
            <w:tcW w:w="504" w:type="pct"/>
            <w:tcBorders>
              <w:top w:val="nil"/>
              <w:left w:val="nil"/>
              <w:bottom w:val="nil"/>
              <w:right w:val="nil"/>
            </w:tcBorders>
            <w:shd w:val="clear" w:color="auto" w:fill="auto"/>
            <w:vAlign w:val="bottom"/>
          </w:tcPr>
          <w:p w14:paraId="2130219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 2,928,045 </w:t>
            </w:r>
          </w:p>
        </w:tc>
        <w:tc>
          <w:tcPr>
            <w:tcW w:w="504" w:type="pct"/>
            <w:tcBorders>
              <w:top w:val="nil"/>
              <w:left w:val="nil"/>
              <w:bottom w:val="nil"/>
              <w:right w:val="nil"/>
            </w:tcBorders>
            <w:shd w:val="clear" w:color="auto" w:fill="auto"/>
            <w:vAlign w:val="bottom"/>
          </w:tcPr>
          <w:p w14:paraId="4E86773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color w:val="000000"/>
                <w:sz w:val="17"/>
                <w:szCs w:val="17"/>
                <w:lang w:val="hr-HR"/>
              </w:rPr>
              <w:t>-</w:t>
            </w:r>
          </w:p>
        </w:tc>
        <w:tc>
          <w:tcPr>
            <w:tcW w:w="504" w:type="pct"/>
            <w:tcBorders>
              <w:top w:val="nil"/>
              <w:left w:val="nil"/>
              <w:bottom w:val="nil"/>
              <w:right w:val="nil"/>
            </w:tcBorders>
            <w:shd w:val="clear" w:color="auto" w:fill="auto"/>
            <w:vAlign w:val="bottom"/>
          </w:tcPr>
          <w:p w14:paraId="1797D75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 1,469 </w:t>
            </w:r>
          </w:p>
        </w:tc>
        <w:tc>
          <w:tcPr>
            <w:tcW w:w="504" w:type="pct"/>
            <w:tcBorders>
              <w:top w:val="nil"/>
              <w:left w:val="nil"/>
              <w:bottom w:val="nil"/>
              <w:right w:val="nil"/>
            </w:tcBorders>
            <w:shd w:val="clear" w:color="auto" w:fill="auto"/>
            <w:vAlign w:val="bottom"/>
          </w:tcPr>
          <w:p w14:paraId="372CE91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hr-HR"/>
              </w:rPr>
            </w:pPr>
            <w:r w:rsidRPr="00587444">
              <w:rPr>
                <w:rFonts w:ascii="Arial" w:hAnsi="Arial" w:cs="Arial"/>
                <w:b/>
                <w:bCs/>
                <w:sz w:val="17"/>
                <w:szCs w:val="17"/>
                <w:lang w:val="en-GB"/>
              </w:rPr>
              <w:t xml:space="preserve"> 2,929,514 </w:t>
            </w:r>
          </w:p>
        </w:tc>
        <w:tc>
          <w:tcPr>
            <w:tcW w:w="504" w:type="pct"/>
            <w:tcBorders>
              <w:top w:val="nil"/>
              <w:left w:val="nil"/>
              <w:bottom w:val="nil"/>
              <w:right w:val="nil"/>
            </w:tcBorders>
            <w:shd w:val="clear" w:color="auto" w:fill="auto"/>
            <w:vAlign w:val="bottom"/>
          </w:tcPr>
          <w:p w14:paraId="50F6F1F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 2,871,219 </w:t>
            </w:r>
          </w:p>
        </w:tc>
        <w:tc>
          <w:tcPr>
            <w:tcW w:w="504" w:type="pct"/>
            <w:tcBorders>
              <w:top w:val="nil"/>
              <w:left w:val="nil"/>
              <w:bottom w:val="nil"/>
              <w:right w:val="nil"/>
            </w:tcBorders>
            <w:shd w:val="clear" w:color="auto" w:fill="auto"/>
            <w:vAlign w:val="bottom"/>
          </w:tcPr>
          <w:p w14:paraId="2CAC9B8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 - </w:t>
            </w:r>
          </w:p>
        </w:tc>
        <w:tc>
          <w:tcPr>
            <w:tcW w:w="504" w:type="pct"/>
            <w:tcBorders>
              <w:top w:val="nil"/>
              <w:left w:val="nil"/>
              <w:bottom w:val="nil"/>
              <w:right w:val="nil"/>
            </w:tcBorders>
            <w:shd w:val="clear" w:color="auto" w:fill="auto"/>
            <w:vAlign w:val="bottom"/>
          </w:tcPr>
          <w:p w14:paraId="74D7FA0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sz w:val="17"/>
                <w:szCs w:val="17"/>
                <w:lang w:val="en-GB"/>
              </w:rPr>
              <w:t xml:space="preserve"> 1,469 </w:t>
            </w:r>
          </w:p>
        </w:tc>
        <w:tc>
          <w:tcPr>
            <w:tcW w:w="501" w:type="pct"/>
            <w:tcBorders>
              <w:top w:val="nil"/>
              <w:left w:val="nil"/>
              <w:bottom w:val="nil"/>
              <w:right w:val="nil"/>
            </w:tcBorders>
            <w:shd w:val="clear" w:color="auto" w:fill="auto"/>
            <w:vAlign w:val="bottom"/>
          </w:tcPr>
          <w:p w14:paraId="1CA0239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hr-HR"/>
              </w:rPr>
            </w:pPr>
            <w:r w:rsidRPr="00587444">
              <w:rPr>
                <w:rFonts w:ascii="Arial" w:hAnsi="Arial" w:cs="Arial"/>
                <w:b/>
                <w:bCs/>
                <w:sz w:val="17"/>
                <w:szCs w:val="17"/>
                <w:lang w:val="en-GB"/>
              </w:rPr>
              <w:t xml:space="preserve"> 2,872,688 </w:t>
            </w:r>
          </w:p>
        </w:tc>
      </w:tr>
      <w:tr w:rsidR="00587444" w:rsidRPr="00587444" w14:paraId="2ACE7E69" w14:textId="77777777" w:rsidTr="00DD69E7">
        <w:trPr>
          <w:trHeight w:val="158"/>
        </w:trPr>
        <w:tc>
          <w:tcPr>
            <w:tcW w:w="970" w:type="pct"/>
            <w:vAlign w:val="bottom"/>
          </w:tcPr>
          <w:p w14:paraId="117F1377" w14:textId="77777777" w:rsidR="00890EEB" w:rsidRDefault="00587444" w:rsidP="00587444">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 xml:space="preserve">Balance as of </w:t>
            </w:r>
          </w:p>
          <w:p w14:paraId="211A551A" w14:textId="56FF0C13" w:rsidR="00587444" w:rsidRPr="00587444" w:rsidRDefault="00587444" w:rsidP="00587444">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31 December 2021</w:t>
            </w:r>
          </w:p>
        </w:tc>
        <w:tc>
          <w:tcPr>
            <w:tcW w:w="504" w:type="pct"/>
            <w:tcBorders>
              <w:top w:val="single" w:sz="4" w:space="0" w:color="auto"/>
              <w:left w:val="nil"/>
              <w:bottom w:val="single" w:sz="12" w:space="0" w:color="auto"/>
              <w:right w:val="nil"/>
            </w:tcBorders>
            <w:shd w:val="clear" w:color="auto" w:fill="auto"/>
            <w:vAlign w:val="bottom"/>
          </w:tcPr>
          <w:p w14:paraId="0A3F8B7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sz w:val="17"/>
                <w:szCs w:val="17"/>
                <w:lang w:val="en-GB"/>
              </w:rPr>
              <w:t xml:space="preserve"> 2,928,045 </w:t>
            </w:r>
          </w:p>
        </w:tc>
        <w:tc>
          <w:tcPr>
            <w:tcW w:w="504" w:type="pct"/>
            <w:tcBorders>
              <w:top w:val="single" w:sz="4" w:space="0" w:color="auto"/>
              <w:left w:val="nil"/>
              <w:bottom w:val="single" w:sz="12" w:space="0" w:color="auto"/>
              <w:right w:val="nil"/>
            </w:tcBorders>
            <w:shd w:val="clear" w:color="auto" w:fill="auto"/>
            <w:vAlign w:val="bottom"/>
          </w:tcPr>
          <w:p w14:paraId="42D5C62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color w:val="000000"/>
                <w:sz w:val="17"/>
                <w:szCs w:val="17"/>
                <w:lang w:val="hr-HR"/>
              </w:rPr>
              <w:t>-</w:t>
            </w:r>
          </w:p>
        </w:tc>
        <w:tc>
          <w:tcPr>
            <w:tcW w:w="504" w:type="pct"/>
            <w:tcBorders>
              <w:top w:val="single" w:sz="4" w:space="0" w:color="auto"/>
              <w:left w:val="nil"/>
              <w:bottom w:val="single" w:sz="12" w:space="0" w:color="auto"/>
              <w:right w:val="nil"/>
            </w:tcBorders>
            <w:shd w:val="clear" w:color="auto" w:fill="auto"/>
            <w:vAlign w:val="bottom"/>
          </w:tcPr>
          <w:p w14:paraId="1E1F4D9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sz w:val="17"/>
                <w:szCs w:val="17"/>
                <w:lang w:val="en-GB"/>
              </w:rPr>
              <w:t xml:space="preserve"> 1,469 </w:t>
            </w:r>
          </w:p>
        </w:tc>
        <w:tc>
          <w:tcPr>
            <w:tcW w:w="504" w:type="pct"/>
            <w:tcBorders>
              <w:top w:val="single" w:sz="4" w:space="0" w:color="auto"/>
              <w:left w:val="nil"/>
              <w:bottom w:val="single" w:sz="12" w:space="0" w:color="auto"/>
              <w:right w:val="nil"/>
            </w:tcBorders>
            <w:shd w:val="clear" w:color="auto" w:fill="auto"/>
            <w:vAlign w:val="bottom"/>
          </w:tcPr>
          <w:p w14:paraId="31F04CA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hr-HR"/>
              </w:rPr>
            </w:pPr>
            <w:r w:rsidRPr="00587444">
              <w:rPr>
                <w:rFonts w:ascii="Arial" w:hAnsi="Arial" w:cs="Arial"/>
                <w:b/>
                <w:bCs/>
                <w:sz w:val="17"/>
                <w:szCs w:val="17"/>
                <w:lang w:val="en-GB"/>
              </w:rPr>
              <w:t xml:space="preserve"> 2,929,514 </w:t>
            </w:r>
          </w:p>
        </w:tc>
        <w:tc>
          <w:tcPr>
            <w:tcW w:w="504" w:type="pct"/>
            <w:tcBorders>
              <w:top w:val="single" w:sz="4" w:space="0" w:color="auto"/>
              <w:left w:val="nil"/>
              <w:bottom w:val="single" w:sz="12" w:space="0" w:color="auto"/>
              <w:right w:val="nil"/>
            </w:tcBorders>
            <w:shd w:val="clear" w:color="auto" w:fill="auto"/>
            <w:vAlign w:val="bottom"/>
          </w:tcPr>
          <w:p w14:paraId="6AB9A8B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sz w:val="17"/>
                <w:szCs w:val="17"/>
                <w:lang w:val="en-GB"/>
              </w:rPr>
              <w:t xml:space="preserve"> 2,871,219 </w:t>
            </w:r>
          </w:p>
        </w:tc>
        <w:tc>
          <w:tcPr>
            <w:tcW w:w="504" w:type="pct"/>
            <w:tcBorders>
              <w:top w:val="single" w:sz="4" w:space="0" w:color="auto"/>
              <w:left w:val="nil"/>
              <w:bottom w:val="single" w:sz="12" w:space="0" w:color="auto"/>
              <w:right w:val="nil"/>
            </w:tcBorders>
            <w:shd w:val="clear" w:color="auto" w:fill="auto"/>
            <w:vAlign w:val="bottom"/>
          </w:tcPr>
          <w:p w14:paraId="6F8A4C9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sz w:val="17"/>
                <w:szCs w:val="17"/>
                <w:lang w:val="en-GB"/>
              </w:rPr>
              <w:t xml:space="preserve"> - </w:t>
            </w:r>
          </w:p>
        </w:tc>
        <w:tc>
          <w:tcPr>
            <w:tcW w:w="504" w:type="pct"/>
            <w:tcBorders>
              <w:top w:val="single" w:sz="4" w:space="0" w:color="auto"/>
              <w:left w:val="nil"/>
              <w:bottom w:val="single" w:sz="12" w:space="0" w:color="auto"/>
              <w:right w:val="nil"/>
            </w:tcBorders>
            <w:shd w:val="clear" w:color="auto" w:fill="auto"/>
            <w:vAlign w:val="bottom"/>
          </w:tcPr>
          <w:p w14:paraId="27A9547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7"/>
                <w:szCs w:val="17"/>
                <w:lang w:val="hr-HR"/>
              </w:rPr>
            </w:pPr>
            <w:r w:rsidRPr="00587444">
              <w:rPr>
                <w:rFonts w:ascii="Arial" w:hAnsi="Arial" w:cs="Arial"/>
                <w:b/>
                <w:bCs/>
                <w:sz w:val="17"/>
                <w:szCs w:val="17"/>
                <w:lang w:val="en-GB"/>
              </w:rPr>
              <w:t xml:space="preserve"> 1,469 </w:t>
            </w:r>
          </w:p>
        </w:tc>
        <w:tc>
          <w:tcPr>
            <w:tcW w:w="501" w:type="pct"/>
            <w:tcBorders>
              <w:top w:val="single" w:sz="4" w:space="0" w:color="auto"/>
              <w:left w:val="nil"/>
              <w:bottom w:val="single" w:sz="12" w:space="0" w:color="auto"/>
              <w:right w:val="nil"/>
            </w:tcBorders>
            <w:shd w:val="clear" w:color="auto" w:fill="auto"/>
            <w:vAlign w:val="bottom"/>
          </w:tcPr>
          <w:p w14:paraId="261911D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7"/>
                <w:szCs w:val="17"/>
                <w:lang w:val="hr-HR"/>
              </w:rPr>
            </w:pPr>
            <w:r w:rsidRPr="00587444">
              <w:rPr>
                <w:rFonts w:ascii="Arial" w:hAnsi="Arial" w:cs="Arial"/>
                <w:b/>
                <w:bCs/>
                <w:sz w:val="17"/>
                <w:szCs w:val="17"/>
                <w:lang w:val="en-GB"/>
              </w:rPr>
              <w:t xml:space="preserve"> 2,872,688 </w:t>
            </w:r>
          </w:p>
        </w:tc>
      </w:tr>
    </w:tbl>
    <w:p w14:paraId="4ED44E0C" w14:textId="77777777" w:rsidR="00587444" w:rsidRPr="00587444" w:rsidRDefault="00587444" w:rsidP="00587444">
      <w:pPr>
        <w:keepNext/>
        <w:suppressAutoHyphens w:val="0"/>
        <w:autoSpaceDN/>
        <w:jc w:val="both"/>
        <w:rPr>
          <w:rFonts w:ascii="Arial" w:eastAsia="Calibri" w:hAnsi="Arial" w:cs="Arial"/>
          <w:sz w:val="20"/>
          <w:szCs w:val="20"/>
        </w:rPr>
      </w:pPr>
    </w:p>
    <w:p w14:paraId="41C2FC46" w14:textId="77777777" w:rsidR="00587444" w:rsidRPr="00587444" w:rsidRDefault="00587444" w:rsidP="00587444">
      <w:pPr>
        <w:suppressAutoHyphens w:val="0"/>
        <w:autoSpaceDN/>
        <w:rPr>
          <w:rFonts w:ascii="Arial" w:hAnsi="Arial" w:cs="Arial"/>
          <w:b/>
          <w:sz w:val="20"/>
          <w:szCs w:val="20"/>
        </w:rPr>
      </w:pPr>
    </w:p>
    <w:p w14:paraId="7054E211" w14:textId="77777777" w:rsidR="00587444" w:rsidRPr="00587444" w:rsidRDefault="00587444" w:rsidP="00587444">
      <w:pPr>
        <w:tabs>
          <w:tab w:val="left" w:pos="567"/>
        </w:tabs>
        <w:suppressAutoHyphens w:val="0"/>
        <w:autoSpaceDN/>
        <w:rPr>
          <w:rFonts w:ascii="Arial" w:eastAsia="Calibri" w:hAnsi="Arial" w:cs="Arial"/>
          <w:sz w:val="20"/>
          <w:szCs w:val="20"/>
        </w:rPr>
      </w:pPr>
    </w:p>
    <w:p w14:paraId="0371A1D0" w14:textId="77777777" w:rsidR="00587444" w:rsidRPr="00587444" w:rsidRDefault="00587444" w:rsidP="00587444">
      <w:pPr>
        <w:keepNext/>
        <w:suppressAutoHyphens w:val="0"/>
        <w:autoSpaceDN/>
        <w:jc w:val="both"/>
        <w:rPr>
          <w:rFonts w:ascii="Arial" w:hAnsi="Arial" w:cs="Arial"/>
          <w:sz w:val="20"/>
          <w:szCs w:val="20"/>
        </w:rPr>
      </w:pPr>
      <w:r w:rsidRPr="00587444">
        <w:rPr>
          <w:rFonts w:ascii="Arial" w:eastAsia="Calibri" w:hAnsi="Arial" w:cs="Arial"/>
          <w:sz w:val="20"/>
          <w:szCs w:val="20"/>
        </w:rPr>
        <w:t xml:space="preserve">Changes in the loss allowances of financial assets at fair value through other comprehensive income, do not impair the carrying value of financial assets, </w:t>
      </w:r>
      <w:r w:rsidRPr="00587444">
        <w:rPr>
          <w:rFonts w:ascii="Arial" w:hAnsi="Arial" w:cs="Arial"/>
          <w:sz w:val="20"/>
          <w:szCs w:val="20"/>
        </w:rPr>
        <w:t>may be summarized as follows:</w:t>
      </w:r>
    </w:p>
    <w:p w14:paraId="395950F3" w14:textId="77777777" w:rsidR="00587444" w:rsidRPr="00587444" w:rsidRDefault="00587444" w:rsidP="00587444">
      <w:pPr>
        <w:keepNext/>
        <w:suppressAutoHyphens w:val="0"/>
        <w:autoSpaceDN/>
        <w:jc w:val="both"/>
        <w:rPr>
          <w:rFonts w:ascii="Arial" w:hAnsi="Arial" w:cs="Arial"/>
          <w:sz w:val="20"/>
          <w:szCs w:val="20"/>
        </w:rPr>
      </w:pPr>
    </w:p>
    <w:p w14:paraId="32835072" w14:textId="77777777" w:rsidR="00587444" w:rsidRPr="00587444" w:rsidRDefault="00587444" w:rsidP="00587444">
      <w:pPr>
        <w:suppressAutoHyphens w:val="0"/>
        <w:autoSpaceDN/>
        <w:rPr>
          <w:rFonts w:ascii="Arial" w:eastAsia="Calibri" w:hAnsi="Arial" w:cs="Arial"/>
          <w:noProof/>
          <w:sz w:val="20"/>
          <w:szCs w:val="20"/>
          <w:lang w:val="en-GB"/>
        </w:rPr>
      </w:pPr>
    </w:p>
    <w:tbl>
      <w:tblPr>
        <w:tblW w:w="5104" w:type="pct"/>
        <w:tblLayout w:type="fixed"/>
        <w:tblLook w:val="0000" w:firstRow="0" w:lastRow="0" w:firstColumn="0" w:lastColumn="0" w:noHBand="0" w:noVBand="0"/>
      </w:tblPr>
      <w:tblGrid>
        <w:gridCol w:w="3770"/>
        <w:gridCol w:w="1306"/>
        <w:gridCol w:w="1594"/>
        <w:gridCol w:w="1593"/>
        <w:gridCol w:w="1507"/>
      </w:tblGrid>
      <w:tr w:rsidR="00587444" w:rsidRPr="00587444" w14:paraId="525AD41C" w14:textId="77777777" w:rsidTr="00DD69E7">
        <w:trPr>
          <w:trHeight w:val="338"/>
        </w:trPr>
        <w:tc>
          <w:tcPr>
            <w:tcW w:w="1929" w:type="pct"/>
          </w:tcPr>
          <w:p w14:paraId="72B1FAE8" w14:textId="77777777" w:rsidR="00587444" w:rsidRPr="00587444" w:rsidRDefault="00587444" w:rsidP="00587444">
            <w:pPr>
              <w:tabs>
                <w:tab w:val="left" w:pos="-720"/>
              </w:tabs>
              <w:autoSpaceDN/>
              <w:rPr>
                <w:rFonts w:ascii="Arial" w:eastAsia="Calibri" w:hAnsi="Arial" w:cs="Arial"/>
                <w:b/>
                <w:noProof/>
                <w:spacing w:val="-3"/>
                <w:sz w:val="19"/>
                <w:szCs w:val="19"/>
                <w:lang w:val="en-GB"/>
              </w:rPr>
            </w:pPr>
          </w:p>
        </w:tc>
        <w:tc>
          <w:tcPr>
            <w:tcW w:w="1484" w:type="pct"/>
            <w:gridSpan w:val="2"/>
          </w:tcPr>
          <w:p w14:paraId="30F379CA"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noProof/>
                <w:sz w:val="19"/>
                <w:szCs w:val="19"/>
                <w:lang w:val="en-GB"/>
              </w:rPr>
              <w:t>Group</w:t>
            </w:r>
          </w:p>
        </w:tc>
        <w:tc>
          <w:tcPr>
            <w:tcW w:w="1586" w:type="pct"/>
            <w:gridSpan w:val="2"/>
          </w:tcPr>
          <w:p w14:paraId="0793F641"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noProof/>
                <w:sz w:val="19"/>
                <w:szCs w:val="19"/>
                <w:lang w:val="en-GB"/>
              </w:rPr>
              <w:t>Bank</w:t>
            </w:r>
          </w:p>
        </w:tc>
      </w:tr>
      <w:tr w:rsidR="00587444" w:rsidRPr="00587444" w14:paraId="086A851E" w14:textId="77777777" w:rsidTr="00DD69E7">
        <w:trPr>
          <w:trHeight w:val="278"/>
        </w:trPr>
        <w:tc>
          <w:tcPr>
            <w:tcW w:w="1929" w:type="pct"/>
            <w:vAlign w:val="bottom"/>
          </w:tcPr>
          <w:p w14:paraId="01880E5E" w14:textId="77777777" w:rsidR="00587444" w:rsidRPr="00587444" w:rsidRDefault="00587444" w:rsidP="00587444">
            <w:pPr>
              <w:tabs>
                <w:tab w:val="left" w:pos="-720"/>
              </w:tabs>
              <w:autoSpaceDN/>
              <w:rPr>
                <w:rFonts w:ascii="Arial" w:eastAsia="Calibri" w:hAnsi="Arial" w:cs="Arial"/>
                <w:b/>
                <w:noProof/>
                <w:spacing w:val="-3"/>
                <w:sz w:val="19"/>
                <w:szCs w:val="19"/>
                <w:lang w:val="en-GB"/>
              </w:rPr>
            </w:pPr>
          </w:p>
        </w:tc>
        <w:tc>
          <w:tcPr>
            <w:tcW w:w="668" w:type="pct"/>
            <w:vAlign w:val="bottom"/>
          </w:tcPr>
          <w:p w14:paraId="5B9BD79B"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2022</w:t>
            </w:r>
          </w:p>
        </w:tc>
        <w:tc>
          <w:tcPr>
            <w:tcW w:w="816" w:type="pct"/>
            <w:shd w:val="clear" w:color="auto" w:fill="auto"/>
            <w:vAlign w:val="bottom"/>
          </w:tcPr>
          <w:p w14:paraId="04AB3CA4"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2021</w:t>
            </w:r>
          </w:p>
        </w:tc>
        <w:tc>
          <w:tcPr>
            <w:tcW w:w="815" w:type="pct"/>
            <w:shd w:val="clear" w:color="auto" w:fill="auto"/>
            <w:vAlign w:val="bottom"/>
          </w:tcPr>
          <w:p w14:paraId="38420AAA"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2022</w:t>
            </w:r>
          </w:p>
        </w:tc>
        <w:tc>
          <w:tcPr>
            <w:tcW w:w="771" w:type="pct"/>
            <w:shd w:val="clear" w:color="auto" w:fill="auto"/>
            <w:vAlign w:val="bottom"/>
          </w:tcPr>
          <w:p w14:paraId="589FE03E"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2021</w:t>
            </w:r>
          </w:p>
        </w:tc>
      </w:tr>
      <w:tr w:rsidR="00587444" w:rsidRPr="00587444" w14:paraId="2A78C0F8" w14:textId="77777777" w:rsidTr="00DD69E7">
        <w:trPr>
          <w:trHeight w:hRule="exact" w:val="278"/>
        </w:trPr>
        <w:tc>
          <w:tcPr>
            <w:tcW w:w="1929" w:type="pct"/>
            <w:vAlign w:val="bottom"/>
          </w:tcPr>
          <w:p w14:paraId="79817429" w14:textId="77777777" w:rsidR="00587444" w:rsidRPr="00587444" w:rsidRDefault="00587444" w:rsidP="00587444">
            <w:pPr>
              <w:tabs>
                <w:tab w:val="left" w:pos="-720"/>
              </w:tabs>
              <w:autoSpaceDN/>
              <w:rPr>
                <w:rFonts w:ascii="Arial" w:eastAsia="Calibri" w:hAnsi="Arial" w:cs="Arial"/>
                <w:b/>
                <w:noProof/>
                <w:spacing w:val="-3"/>
                <w:sz w:val="19"/>
                <w:szCs w:val="19"/>
                <w:lang w:val="en-GB"/>
              </w:rPr>
            </w:pPr>
          </w:p>
        </w:tc>
        <w:tc>
          <w:tcPr>
            <w:tcW w:w="668" w:type="pct"/>
            <w:vAlign w:val="bottom"/>
          </w:tcPr>
          <w:p w14:paraId="765245CC"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en-GB"/>
              </w:rPr>
              <w:t xml:space="preserve">HRK </w:t>
            </w:r>
            <w:r w:rsidRPr="00587444">
              <w:rPr>
                <w:rFonts w:ascii="Arial" w:hAnsi="Arial" w:cs="Arial"/>
                <w:sz w:val="19"/>
                <w:szCs w:val="19"/>
              </w:rPr>
              <w:t>‘</w:t>
            </w:r>
            <w:r w:rsidRPr="00587444">
              <w:rPr>
                <w:rFonts w:ascii="Arial" w:eastAsia="Calibri" w:hAnsi="Arial" w:cs="Arial"/>
                <w:b/>
                <w:bCs/>
                <w:noProof/>
                <w:sz w:val="19"/>
                <w:szCs w:val="19"/>
                <w:lang w:val="en-GB"/>
              </w:rPr>
              <w:t>000</w:t>
            </w:r>
          </w:p>
        </w:tc>
        <w:tc>
          <w:tcPr>
            <w:tcW w:w="816" w:type="pct"/>
            <w:vAlign w:val="bottom"/>
          </w:tcPr>
          <w:p w14:paraId="4D4C9B85"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en-GB"/>
              </w:rPr>
              <w:t xml:space="preserve">HRK </w:t>
            </w:r>
            <w:r w:rsidRPr="00587444">
              <w:rPr>
                <w:rFonts w:ascii="Arial" w:hAnsi="Arial" w:cs="Arial"/>
                <w:sz w:val="19"/>
                <w:szCs w:val="19"/>
              </w:rPr>
              <w:t>‘</w:t>
            </w:r>
            <w:r w:rsidRPr="00587444">
              <w:rPr>
                <w:rFonts w:ascii="Arial" w:eastAsia="Calibri" w:hAnsi="Arial" w:cs="Arial"/>
                <w:b/>
                <w:bCs/>
                <w:noProof/>
                <w:sz w:val="19"/>
                <w:szCs w:val="19"/>
                <w:lang w:val="en-GB"/>
              </w:rPr>
              <w:t>000</w:t>
            </w:r>
          </w:p>
        </w:tc>
        <w:tc>
          <w:tcPr>
            <w:tcW w:w="815" w:type="pct"/>
            <w:vAlign w:val="bottom"/>
          </w:tcPr>
          <w:p w14:paraId="0EF71343"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en-GB"/>
              </w:rPr>
              <w:t xml:space="preserve">HRK </w:t>
            </w:r>
            <w:r w:rsidRPr="00587444">
              <w:rPr>
                <w:rFonts w:ascii="Arial" w:hAnsi="Arial" w:cs="Arial"/>
                <w:sz w:val="19"/>
                <w:szCs w:val="19"/>
              </w:rPr>
              <w:t>‘</w:t>
            </w:r>
            <w:r w:rsidRPr="00587444">
              <w:rPr>
                <w:rFonts w:ascii="Arial" w:eastAsia="Calibri" w:hAnsi="Arial" w:cs="Arial"/>
                <w:b/>
                <w:bCs/>
                <w:noProof/>
                <w:sz w:val="19"/>
                <w:szCs w:val="19"/>
                <w:lang w:val="en-GB"/>
              </w:rPr>
              <w:t>000</w:t>
            </w:r>
          </w:p>
        </w:tc>
        <w:tc>
          <w:tcPr>
            <w:tcW w:w="771" w:type="pct"/>
            <w:vAlign w:val="bottom"/>
          </w:tcPr>
          <w:p w14:paraId="37AAB1EE"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en-GB"/>
              </w:rPr>
              <w:t xml:space="preserve">HRK </w:t>
            </w:r>
            <w:r w:rsidRPr="00587444">
              <w:rPr>
                <w:rFonts w:ascii="Arial" w:hAnsi="Arial" w:cs="Arial"/>
                <w:sz w:val="19"/>
                <w:szCs w:val="19"/>
              </w:rPr>
              <w:t>‘</w:t>
            </w:r>
            <w:r w:rsidRPr="00587444">
              <w:rPr>
                <w:rFonts w:ascii="Arial" w:eastAsia="Calibri" w:hAnsi="Arial" w:cs="Arial"/>
                <w:b/>
                <w:bCs/>
                <w:noProof/>
                <w:sz w:val="19"/>
                <w:szCs w:val="19"/>
                <w:lang w:val="en-GB"/>
              </w:rPr>
              <w:t>000</w:t>
            </w:r>
          </w:p>
        </w:tc>
      </w:tr>
      <w:tr w:rsidR="00587444" w:rsidRPr="00587444" w14:paraId="484FB74C" w14:textId="77777777" w:rsidTr="00DD69E7">
        <w:trPr>
          <w:trHeight w:hRule="exact" w:val="401"/>
        </w:trPr>
        <w:tc>
          <w:tcPr>
            <w:tcW w:w="1929" w:type="pct"/>
            <w:vAlign w:val="bottom"/>
          </w:tcPr>
          <w:p w14:paraId="758FA4D6" w14:textId="77777777" w:rsidR="00587444" w:rsidRPr="00587444" w:rsidRDefault="00587444" w:rsidP="00587444">
            <w:pPr>
              <w:tabs>
                <w:tab w:val="right" w:pos="1202"/>
              </w:tabs>
              <w:suppressAutoHyphens w:val="0"/>
              <w:autoSpaceDN/>
              <w:outlineLvl w:val="0"/>
              <w:rPr>
                <w:rFonts w:ascii="Arial" w:eastAsia="Calibri" w:hAnsi="Arial" w:cs="Arial"/>
                <w:bCs/>
                <w:noProof/>
                <w:sz w:val="19"/>
                <w:szCs w:val="19"/>
                <w:lang w:val="en-GB"/>
              </w:rPr>
            </w:pPr>
            <w:r w:rsidRPr="00587444">
              <w:rPr>
                <w:rFonts w:ascii="Arial" w:eastAsia="Calibri" w:hAnsi="Arial" w:cs="Arial"/>
                <w:bCs/>
                <w:noProof/>
                <w:sz w:val="19"/>
                <w:szCs w:val="19"/>
                <w:lang w:val="en-GB"/>
              </w:rPr>
              <w:t xml:space="preserve">Balance as of 1 January </w:t>
            </w:r>
          </w:p>
        </w:tc>
        <w:tc>
          <w:tcPr>
            <w:tcW w:w="668" w:type="pct"/>
            <w:tcBorders>
              <w:top w:val="nil"/>
              <w:left w:val="nil"/>
              <w:bottom w:val="nil"/>
              <w:right w:val="nil"/>
            </w:tcBorders>
            <w:shd w:val="clear" w:color="auto" w:fill="auto"/>
            <w:vAlign w:val="bottom"/>
          </w:tcPr>
          <w:p w14:paraId="22B38F2B"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19"/>
                <w:szCs w:val="19"/>
                <w:lang w:val="en-GB"/>
              </w:rPr>
            </w:pPr>
            <w:r w:rsidRPr="00587444">
              <w:rPr>
                <w:rFonts w:ascii="Arial" w:eastAsia="Calibri" w:hAnsi="Arial" w:cs="Arial"/>
                <w:color w:val="000000"/>
                <w:sz w:val="19"/>
                <w:szCs w:val="19"/>
                <w:lang w:val="hr-HR"/>
              </w:rPr>
              <w:t>4,545</w:t>
            </w:r>
          </w:p>
        </w:tc>
        <w:tc>
          <w:tcPr>
            <w:tcW w:w="816" w:type="pct"/>
            <w:tcBorders>
              <w:top w:val="nil"/>
              <w:left w:val="nil"/>
              <w:bottom w:val="nil"/>
              <w:right w:val="nil"/>
            </w:tcBorders>
            <w:shd w:val="clear" w:color="auto" w:fill="auto"/>
            <w:vAlign w:val="bottom"/>
          </w:tcPr>
          <w:p w14:paraId="5D882DF9"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19"/>
                <w:szCs w:val="19"/>
                <w:lang w:val="en-GB"/>
              </w:rPr>
            </w:pPr>
            <w:r w:rsidRPr="00587444">
              <w:rPr>
                <w:rFonts w:ascii="Arial" w:eastAsia="Calibri" w:hAnsi="Arial" w:cs="Arial"/>
                <w:color w:val="000000"/>
                <w:sz w:val="19"/>
                <w:szCs w:val="19"/>
                <w:lang w:val="hr-HR"/>
              </w:rPr>
              <w:t>4,582</w:t>
            </w:r>
          </w:p>
        </w:tc>
        <w:tc>
          <w:tcPr>
            <w:tcW w:w="815" w:type="pct"/>
            <w:tcBorders>
              <w:top w:val="nil"/>
              <w:left w:val="nil"/>
              <w:bottom w:val="nil"/>
              <w:right w:val="nil"/>
            </w:tcBorders>
            <w:shd w:val="clear" w:color="auto" w:fill="auto"/>
            <w:vAlign w:val="bottom"/>
          </w:tcPr>
          <w:p w14:paraId="4C58A2FE"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19"/>
                <w:szCs w:val="19"/>
                <w:lang w:val="en-GB"/>
              </w:rPr>
            </w:pPr>
            <w:r w:rsidRPr="00587444">
              <w:rPr>
                <w:rFonts w:ascii="Arial" w:eastAsia="Calibri" w:hAnsi="Arial" w:cs="Arial"/>
                <w:color w:val="000000"/>
                <w:sz w:val="19"/>
                <w:szCs w:val="19"/>
                <w:lang w:val="hr-HR"/>
              </w:rPr>
              <w:t>4,455</w:t>
            </w:r>
          </w:p>
        </w:tc>
        <w:tc>
          <w:tcPr>
            <w:tcW w:w="771" w:type="pct"/>
            <w:tcBorders>
              <w:top w:val="nil"/>
              <w:left w:val="nil"/>
              <w:bottom w:val="nil"/>
              <w:right w:val="nil"/>
            </w:tcBorders>
            <w:shd w:val="clear" w:color="auto" w:fill="auto"/>
            <w:vAlign w:val="bottom"/>
          </w:tcPr>
          <w:p w14:paraId="7F71B593"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19"/>
                <w:szCs w:val="19"/>
                <w:lang w:val="en-GB"/>
              </w:rPr>
            </w:pPr>
            <w:r w:rsidRPr="00587444">
              <w:rPr>
                <w:rFonts w:ascii="Arial" w:eastAsia="Calibri" w:hAnsi="Arial" w:cs="Arial"/>
                <w:color w:val="000000"/>
                <w:sz w:val="19"/>
                <w:szCs w:val="19"/>
                <w:lang w:val="hr-HR"/>
              </w:rPr>
              <w:t>4,499</w:t>
            </w:r>
          </w:p>
        </w:tc>
      </w:tr>
      <w:tr w:rsidR="00587444" w:rsidRPr="00587444" w14:paraId="3B692BB4" w14:textId="77777777" w:rsidTr="00DD69E7">
        <w:trPr>
          <w:trHeight w:val="335"/>
        </w:trPr>
        <w:tc>
          <w:tcPr>
            <w:tcW w:w="1929" w:type="pct"/>
            <w:vAlign w:val="center"/>
          </w:tcPr>
          <w:p w14:paraId="3537B1DB" w14:textId="77777777" w:rsidR="00587444" w:rsidRPr="00587444" w:rsidRDefault="00587444" w:rsidP="00587444">
            <w:pPr>
              <w:tabs>
                <w:tab w:val="right" w:pos="1202"/>
              </w:tabs>
              <w:suppressAutoHyphens w:val="0"/>
              <w:autoSpaceDN/>
              <w:outlineLvl w:val="0"/>
              <w:rPr>
                <w:rFonts w:ascii="Arial" w:eastAsia="Calibri" w:hAnsi="Arial" w:cs="Arial"/>
                <w:b/>
                <w:bCs/>
                <w:noProof/>
                <w:sz w:val="19"/>
                <w:szCs w:val="19"/>
                <w:lang w:val="en-GB"/>
              </w:rPr>
            </w:pPr>
            <w:r w:rsidRPr="00587444">
              <w:rPr>
                <w:rFonts w:ascii="Arial" w:eastAsia="Calibri" w:hAnsi="Arial" w:cs="Arial"/>
                <w:noProof/>
                <w:sz w:val="19"/>
                <w:szCs w:val="19"/>
                <w:lang w:val="en-GB"/>
              </w:rPr>
              <w:t xml:space="preserve">Net increase/(release) of loss allowances </w:t>
            </w:r>
          </w:p>
        </w:tc>
        <w:tc>
          <w:tcPr>
            <w:tcW w:w="668" w:type="pct"/>
            <w:tcBorders>
              <w:top w:val="nil"/>
              <w:left w:val="nil"/>
              <w:right w:val="nil"/>
            </w:tcBorders>
            <w:shd w:val="clear" w:color="auto" w:fill="auto"/>
            <w:vAlign w:val="bottom"/>
          </w:tcPr>
          <w:p w14:paraId="34AEF0D5"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19"/>
                <w:szCs w:val="19"/>
                <w:lang w:val="en-GB"/>
              </w:rPr>
            </w:pPr>
            <w:r w:rsidRPr="00587444">
              <w:rPr>
                <w:rFonts w:ascii="Arial" w:eastAsia="Calibri" w:hAnsi="Arial" w:cs="Arial"/>
                <w:color w:val="000000"/>
                <w:sz w:val="19"/>
                <w:szCs w:val="19"/>
                <w:lang w:val="hr-HR"/>
              </w:rPr>
              <w:t>104</w:t>
            </w:r>
          </w:p>
        </w:tc>
        <w:tc>
          <w:tcPr>
            <w:tcW w:w="816" w:type="pct"/>
            <w:tcBorders>
              <w:top w:val="nil"/>
              <w:left w:val="nil"/>
              <w:right w:val="nil"/>
            </w:tcBorders>
            <w:shd w:val="clear" w:color="auto" w:fill="auto"/>
            <w:vAlign w:val="bottom"/>
          </w:tcPr>
          <w:p w14:paraId="3659DFCA"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19"/>
                <w:szCs w:val="19"/>
                <w:lang w:val="en-GB"/>
              </w:rPr>
            </w:pPr>
            <w:r w:rsidRPr="00587444">
              <w:rPr>
                <w:rFonts w:ascii="Arial" w:eastAsia="Calibri" w:hAnsi="Arial" w:cs="Arial"/>
                <w:color w:val="000000"/>
                <w:sz w:val="19"/>
                <w:szCs w:val="19"/>
                <w:lang w:val="hr-HR"/>
              </w:rPr>
              <w:t>(29)</w:t>
            </w:r>
          </w:p>
        </w:tc>
        <w:tc>
          <w:tcPr>
            <w:tcW w:w="815" w:type="pct"/>
            <w:tcBorders>
              <w:top w:val="nil"/>
              <w:left w:val="nil"/>
              <w:right w:val="nil"/>
            </w:tcBorders>
            <w:shd w:val="clear" w:color="auto" w:fill="auto"/>
            <w:vAlign w:val="bottom"/>
          </w:tcPr>
          <w:p w14:paraId="30EB1C01"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19"/>
                <w:szCs w:val="19"/>
                <w:lang w:val="en-GB"/>
              </w:rPr>
            </w:pPr>
            <w:r w:rsidRPr="00587444">
              <w:rPr>
                <w:rFonts w:ascii="Arial" w:eastAsia="Calibri" w:hAnsi="Arial" w:cs="Arial"/>
                <w:color w:val="000000"/>
                <w:sz w:val="19"/>
                <w:szCs w:val="19"/>
                <w:lang w:val="hr-HR"/>
              </w:rPr>
              <w:t>107</w:t>
            </w:r>
          </w:p>
        </w:tc>
        <w:tc>
          <w:tcPr>
            <w:tcW w:w="771" w:type="pct"/>
            <w:tcBorders>
              <w:top w:val="nil"/>
              <w:left w:val="nil"/>
              <w:bottom w:val="nil"/>
              <w:right w:val="nil"/>
            </w:tcBorders>
            <w:shd w:val="clear" w:color="auto" w:fill="auto"/>
            <w:vAlign w:val="bottom"/>
          </w:tcPr>
          <w:p w14:paraId="469E211D"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19"/>
                <w:szCs w:val="19"/>
                <w:lang w:val="en-GB"/>
              </w:rPr>
            </w:pPr>
            <w:r w:rsidRPr="00587444">
              <w:rPr>
                <w:rFonts w:ascii="Arial" w:eastAsia="Calibri" w:hAnsi="Arial" w:cs="Arial"/>
                <w:color w:val="000000"/>
                <w:sz w:val="19"/>
                <w:szCs w:val="19"/>
                <w:lang w:val="hr-HR"/>
              </w:rPr>
              <w:t>(36)</w:t>
            </w:r>
          </w:p>
        </w:tc>
      </w:tr>
      <w:tr w:rsidR="00587444" w:rsidRPr="00587444" w14:paraId="7D7DE10C" w14:textId="77777777" w:rsidTr="00DD69E7">
        <w:trPr>
          <w:trHeight w:hRule="exact" w:val="459"/>
        </w:trPr>
        <w:tc>
          <w:tcPr>
            <w:tcW w:w="1929" w:type="pct"/>
            <w:vAlign w:val="bottom"/>
          </w:tcPr>
          <w:p w14:paraId="4CBE6DE2" w14:textId="77777777" w:rsidR="00587444" w:rsidRPr="00587444" w:rsidRDefault="00587444" w:rsidP="00587444">
            <w:pPr>
              <w:tabs>
                <w:tab w:val="right" w:pos="1202"/>
              </w:tabs>
              <w:suppressAutoHyphens w:val="0"/>
              <w:autoSpaceDN/>
              <w:outlineLvl w:val="0"/>
              <w:rPr>
                <w:rFonts w:ascii="Arial" w:eastAsia="Calibri" w:hAnsi="Arial" w:cs="Arial"/>
                <w:noProof/>
                <w:spacing w:val="-2"/>
                <w:sz w:val="19"/>
                <w:szCs w:val="19"/>
                <w:lang w:val="en-GB"/>
              </w:rPr>
            </w:pPr>
            <w:r w:rsidRPr="00587444">
              <w:rPr>
                <w:rFonts w:ascii="Arial" w:eastAsia="Calibri" w:hAnsi="Arial" w:cs="Arial"/>
                <w:i/>
                <w:noProof/>
                <w:sz w:val="19"/>
                <w:szCs w:val="19"/>
                <w:lang w:val="en-GB"/>
              </w:rPr>
              <w:t>Total recognised through Income Statement (Note 10)</w:t>
            </w:r>
          </w:p>
        </w:tc>
        <w:tc>
          <w:tcPr>
            <w:tcW w:w="668" w:type="pct"/>
            <w:tcBorders>
              <w:top w:val="single" w:sz="4" w:space="0" w:color="auto"/>
              <w:left w:val="nil"/>
              <w:bottom w:val="single" w:sz="4" w:space="0" w:color="auto"/>
              <w:right w:val="nil"/>
            </w:tcBorders>
            <w:shd w:val="clear" w:color="auto" w:fill="auto"/>
            <w:vAlign w:val="bottom"/>
          </w:tcPr>
          <w:p w14:paraId="408A5A9B" w14:textId="77777777" w:rsidR="00587444" w:rsidRPr="00587444" w:rsidRDefault="00587444" w:rsidP="00587444">
            <w:pPr>
              <w:tabs>
                <w:tab w:val="right" w:pos="1202"/>
              </w:tabs>
              <w:suppressAutoHyphens w:val="0"/>
              <w:autoSpaceDN/>
              <w:jc w:val="right"/>
              <w:outlineLvl w:val="0"/>
              <w:rPr>
                <w:rFonts w:ascii="Arial" w:eastAsia="Calibri" w:hAnsi="Arial" w:cs="Arial"/>
                <w:bCs/>
                <w:i/>
                <w:noProof/>
                <w:sz w:val="19"/>
                <w:szCs w:val="19"/>
                <w:lang w:val="en-GB"/>
              </w:rPr>
            </w:pPr>
            <w:r w:rsidRPr="00587444">
              <w:rPr>
                <w:rFonts w:ascii="Arial" w:eastAsia="Calibri" w:hAnsi="Arial" w:cs="Arial"/>
                <w:bCs/>
                <w:i/>
                <w:color w:val="000000"/>
                <w:sz w:val="19"/>
                <w:szCs w:val="19"/>
                <w:lang w:val="hr-HR"/>
              </w:rPr>
              <w:t>104</w:t>
            </w:r>
          </w:p>
        </w:tc>
        <w:tc>
          <w:tcPr>
            <w:tcW w:w="816" w:type="pct"/>
            <w:tcBorders>
              <w:top w:val="single" w:sz="4" w:space="0" w:color="auto"/>
              <w:left w:val="nil"/>
              <w:bottom w:val="single" w:sz="4" w:space="0" w:color="auto"/>
              <w:right w:val="nil"/>
            </w:tcBorders>
            <w:shd w:val="clear" w:color="auto" w:fill="auto"/>
            <w:vAlign w:val="bottom"/>
          </w:tcPr>
          <w:p w14:paraId="16C2CE8B" w14:textId="77777777" w:rsidR="00587444" w:rsidRPr="00587444" w:rsidRDefault="00587444" w:rsidP="00587444">
            <w:pPr>
              <w:tabs>
                <w:tab w:val="right" w:pos="1202"/>
              </w:tabs>
              <w:suppressAutoHyphens w:val="0"/>
              <w:autoSpaceDN/>
              <w:jc w:val="right"/>
              <w:outlineLvl w:val="0"/>
              <w:rPr>
                <w:rFonts w:ascii="Arial" w:eastAsia="Calibri" w:hAnsi="Arial" w:cs="Arial"/>
                <w:bCs/>
                <w:i/>
                <w:noProof/>
                <w:sz w:val="19"/>
                <w:szCs w:val="19"/>
                <w:lang w:val="en-GB"/>
              </w:rPr>
            </w:pPr>
            <w:r w:rsidRPr="00587444">
              <w:rPr>
                <w:rFonts w:ascii="Arial" w:eastAsia="Calibri" w:hAnsi="Arial" w:cs="Arial"/>
                <w:bCs/>
                <w:i/>
                <w:color w:val="000000"/>
                <w:sz w:val="19"/>
                <w:szCs w:val="19"/>
                <w:lang w:val="hr-HR"/>
              </w:rPr>
              <w:t>(29)</w:t>
            </w:r>
          </w:p>
        </w:tc>
        <w:tc>
          <w:tcPr>
            <w:tcW w:w="815" w:type="pct"/>
            <w:tcBorders>
              <w:top w:val="single" w:sz="4" w:space="0" w:color="auto"/>
              <w:left w:val="nil"/>
              <w:bottom w:val="single" w:sz="4" w:space="0" w:color="auto"/>
              <w:right w:val="nil"/>
            </w:tcBorders>
            <w:shd w:val="clear" w:color="auto" w:fill="auto"/>
            <w:vAlign w:val="bottom"/>
          </w:tcPr>
          <w:p w14:paraId="4A7A62FE" w14:textId="77777777" w:rsidR="00587444" w:rsidRPr="00587444" w:rsidRDefault="00587444" w:rsidP="00587444">
            <w:pPr>
              <w:tabs>
                <w:tab w:val="right" w:pos="1202"/>
              </w:tabs>
              <w:suppressAutoHyphens w:val="0"/>
              <w:autoSpaceDN/>
              <w:jc w:val="right"/>
              <w:outlineLvl w:val="0"/>
              <w:rPr>
                <w:rFonts w:ascii="Arial" w:eastAsia="Calibri" w:hAnsi="Arial" w:cs="Arial"/>
                <w:bCs/>
                <w:i/>
                <w:noProof/>
                <w:sz w:val="19"/>
                <w:szCs w:val="19"/>
                <w:lang w:val="en-GB"/>
              </w:rPr>
            </w:pPr>
            <w:r w:rsidRPr="00587444">
              <w:rPr>
                <w:rFonts w:ascii="Arial" w:eastAsia="Calibri" w:hAnsi="Arial" w:cs="Arial"/>
                <w:bCs/>
                <w:i/>
                <w:color w:val="000000"/>
                <w:sz w:val="19"/>
                <w:szCs w:val="19"/>
                <w:lang w:val="hr-HR"/>
              </w:rPr>
              <w:t>107</w:t>
            </w:r>
          </w:p>
        </w:tc>
        <w:tc>
          <w:tcPr>
            <w:tcW w:w="771" w:type="pct"/>
            <w:tcBorders>
              <w:top w:val="single" w:sz="4" w:space="0" w:color="auto"/>
              <w:left w:val="nil"/>
              <w:bottom w:val="single" w:sz="4" w:space="0" w:color="auto"/>
              <w:right w:val="nil"/>
            </w:tcBorders>
            <w:shd w:val="clear" w:color="auto" w:fill="auto"/>
            <w:vAlign w:val="bottom"/>
          </w:tcPr>
          <w:p w14:paraId="54348277" w14:textId="77777777" w:rsidR="00587444" w:rsidRPr="00587444" w:rsidRDefault="00587444" w:rsidP="00587444">
            <w:pPr>
              <w:tabs>
                <w:tab w:val="right" w:pos="1202"/>
              </w:tabs>
              <w:suppressAutoHyphens w:val="0"/>
              <w:autoSpaceDN/>
              <w:jc w:val="right"/>
              <w:outlineLvl w:val="0"/>
              <w:rPr>
                <w:rFonts w:ascii="Arial" w:eastAsia="Calibri" w:hAnsi="Arial" w:cs="Arial"/>
                <w:bCs/>
                <w:i/>
                <w:noProof/>
                <w:sz w:val="19"/>
                <w:szCs w:val="19"/>
                <w:lang w:val="en-GB"/>
              </w:rPr>
            </w:pPr>
            <w:r w:rsidRPr="00587444">
              <w:rPr>
                <w:rFonts w:ascii="Arial" w:eastAsia="Calibri" w:hAnsi="Arial" w:cs="Arial"/>
                <w:bCs/>
                <w:i/>
                <w:color w:val="000000"/>
                <w:sz w:val="19"/>
                <w:szCs w:val="19"/>
                <w:lang w:val="hr-HR"/>
              </w:rPr>
              <w:t>(36)</w:t>
            </w:r>
          </w:p>
        </w:tc>
      </w:tr>
      <w:tr w:rsidR="00587444" w:rsidRPr="00587444" w14:paraId="1A58C5A1" w14:textId="77777777" w:rsidTr="00DD69E7">
        <w:trPr>
          <w:trHeight w:hRule="exact" w:val="465"/>
        </w:trPr>
        <w:tc>
          <w:tcPr>
            <w:tcW w:w="1929" w:type="pct"/>
            <w:vAlign w:val="bottom"/>
          </w:tcPr>
          <w:p w14:paraId="612F970C" w14:textId="77777777" w:rsidR="00587444" w:rsidRPr="00587444" w:rsidRDefault="00587444" w:rsidP="00587444">
            <w:pPr>
              <w:tabs>
                <w:tab w:val="right" w:pos="1202"/>
              </w:tabs>
              <w:suppressAutoHyphens w:val="0"/>
              <w:autoSpaceDN/>
              <w:outlineLvl w:val="0"/>
              <w:rPr>
                <w:rFonts w:ascii="Arial" w:eastAsia="Calibri" w:hAnsi="Arial" w:cs="Arial"/>
                <w:noProof/>
                <w:sz w:val="19"/>
                <w:szCs w:val="19"/>
                <w:lang w:val="en-GB"/>
              </w:rPr>
            </w:pPr>
            <w:r w:rsidRPr="00587444">
              <w:rPr>
                <w:rFonts w:ascii="Arial" w:eastAsia="Calibri" w:hAnsi="Arial" w:cs="Arial"/>
                <w:noProof/>
                <w:sz w:val="19"/>
                <w:szCs w:val="19"/>
                <w:lang w:val="en-GB"/>
              </w:rPr>
              <w:t>Net foreign exchange gain/loss on loss allowances</w:t>
            </w:r>
          </w:p>
        </w:tc>
        <w:tc>
          <w:tcPr>
            <w:tcW w:w="668" w:type="pct"/>
            <w:tcBorders>
              <w:top w:val="single" w:sz="4" w:space="0" w:color="auto"/>
              <w:left w:val="nil"/>
              <w:right w:val="nil"/>
            </w:tcBorders>
            <w:shd w:val="clear" w:color="auto" w:fill="auto"/>
            <w:vAlign w:val="bottom"/>
          </w:tcPr>
          <w:p w14:paraId="79C293C7"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19"/>
                <w:szCs w:val="19"/>
                <w:lang w:val="en-GB"/>
              </w:rPr>
            </w:pPr>
            <w:r w:rsidRPr="00587444">
              <w:rPr>
                <w:rFonts w:ascii="Arial" w:eastAsia="Calibri" w:hAnsi="Arial" w:cs="Arial"/>
                <w:color w:val="000000"/>
                <w:sz w:val="19"/>
                <w:szCs w:val="19"/>
                <w:lang w:val="hr-HR"/>
              </w:rPr>
              <w:t>4</w:t>
            </w:r>
          </w:p>
        </w:tc>
        <w:tc>
          <w:tcPr>
            <w:tcW w:w="816" w:type="pct"/>
            <w:tcBorders>
              <w:top w:val="single" w:sz="4" w:space="0" w:color="auto"/>
              <w:left w:val="nil"/>
              <w:right w:val="nil"/>
            </w:tcBorders>
            <w:shd w:val="clear" w:color="auto" w:fill="auto"/>
            <w:vAlign w:val="bottom"/>
          </w:tcPr>
          <w:p w14:paraId="38AC3321"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19"/>
                <w:szCs w:val="19"/>
                <w:lang w:val="en-GB"/>
              </w:rPr>
            </w:pPr>
            <w:r w:rsidRPr="00587444">
              <w:rPr>
                <w:rFonts w:ascii="Arial" w:eastAsia="Calibri" w:hAnsi="Arial" w:cs="Arial"/>
                <w:color w:val="000000"/>
                <w:sz w:val="19"/>
                <w:szCs w:val="19"/>
                <w:lang w:val="hr-HR"/>
              </w:rPr>
              <w:t>(8)</w:t>
            </w:r>
          </w:p>
        </w:tc>
        <w:tc>
          <w:tcPr>
            <w:tcW w:w="815" w:type="pct"/>
            <w:tcBorders>
              <w:top w:val="single" w:sz="4" w:space="0" w:color="auto"/>
              <w:left w:val="nil"/>
              <w:right w:val="nil"/>
            </w:tcBorders>
            <w:shd w:val="clear" w:color="auto" w:fill="auto"/>
            <w:vAlign w:val="bottom"/>
          </w:tcPr>
          <w:p w14:paraId="413239F4"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19"/>
                <w:szCs w:val="19"/>
                <w:lang w:val="en-GB"/>
              </w:rPr>
            </w:pPr>
            <w:r w:rsidRPr="00587444">
              <w:rPr>
                <w:rFonts w:ascii="Arial" w:eastAsia="Calibri" w:hAnsi="Arial" w:cs="Arial"/>
                <w:color w:val="000000"/>
                <w:sz w:val="19"/>
                <w:szCs w:val="19"/>
                <w:lang w:val="hr-HR"/>
              </w:rPr>
              <w:t>4</w:t>
            </w:r>
          </w:p>
        </w:tc>
        <w:tc>
          <w:tcPr>
            <w:tcW w:w="771" w:type="pct"/>
            <w:tcBorders>
              <w:top w:val="single" w:sz="4" w:space="0" w:color="auto"/>
              <w:left w:val="nil"/>
              <w:right w:val="nil"/>
            </w:tcBorders>
            <w:shd w:val="clear" w:color="auto" w:fill="auto"/>
            <w:vAlign w:val="bottom"/>
          </w:tcPr>
          <w:p w14:paraId="3EE60BA0"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19"/>
                <w:szCs w:val="19"/>
                <w:lang w:val="en-GB"/>
              </w:rPr>
            </w:pPr>
            <w:r w:rsidRPr="00587444">
              <w:rPr>
                <w:rFonts w:ascii="Arial" w:eastAsia="Calibri" w:hAnsi="Arial" w:cs="Arial"/>
                <w:color w:val="000000"/>
                <w:sz w:val="19"/>
                <w:szCs w:val="19"/>
                <w:lang w:val="hr-HR"/>
              </w:rPr>
              <w:t>(8)</w:t>
            </w:r>
          </w:p>
        </w:tc>
      </w:tr>
      <w:tr w:rsidR="00587444" w:rsidRPr="00587444" w14:paraId="43CDB6E0" w14:textId="77777777" w:rsidTr="00DD69E7">
        <w:trPr>
          <w:trHeight w:val="381"/>
        </w:trPr>
        <w:tc>
          <w:tcPr>
            <w:tcW w:w="1929" w:type="pct"/>
            <w:vAlign w:val="bottom"/>
          </w:tcPr>
          <w:p w14:paraId="5AA2766C" w14:textId="77777777" w:rsidR="00587444" w:rsidRPr="00587444" w:rsidRDefault="00587444" w:rsidP="00587444">
            <w:pPr>
              <w:tabs>
                <w:tab w:val="right" w:pos="1202"/>
              </w:tabs>
              <w:suppressAutoHyphens w:val="0"/>
              <w:autoSpaceDN/>
              <w:outlineLvl w:val="0"/>
              <w:rPr>
                <w:rFonts w:ascii="Arial" w:eastAsia="Calibri" w:hAnsi="Arial" w:cs="Arial"/>
                <w:b/>
                <w:bCs/>
                <w:noProof/>
                <w:sz w:val="19"/>
                <w:szCs w:val="19"/>
                <w:lang w:val="en-GB"/>
              </w:rPr>
            </w:pPr>
            <w:r w:rsidRPr="00587444">
              <w:rPr>
                <w:rFonts w:ascii="Arial" w:eastAsia="Calibri" w:hAnsi="Arial" w:cs="Arial"/>
                <w:b/>
                <w:bCs/>
                <w:noProof/>
                <w:sz w:val="19"/>
                <w:szCs w:val="19"/>
                <w:lang w:val="en-GB"/>
              </w:rPr>
              <w:t>Balance at the end of the reporting period</w:t>
            </w:r>
          </w:p>
        </w:tc>
        <w:tc>
          <w:tcPr>
            <w:tcW w:w="668" w:type="pct"/>
            <w:tcBorders>
              <w:top w:val="single" w:sz="4" w:space="0" w:color="auto"/>
              <w:left w:val="nil"/>
              <w:bottom w:val="single" w:sz="12" w:space="0" w:color="auto"/>
              <w:right w:val="nil"/>
            </w:tcBorders>
            <w:shd w:val="clear" w:color="auto" w:fill="auto"/>
            <w:vAlign w:val="bottom"/>
          </w:tcPr>
          <w:p w14:paraId="25A5EB45"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19"/>
                <w:szCs w:val="19"/>
                <w:lang w:val="en-GB"/>
              </w:rPr>
            </w:pPr>
            <w:r w:rsidRPr="00587444">
              <w:rPr>
                <w:rFonts w:ascii="Arial" w:eastAsia="Calibri" w:hAnsi="Arial" w:cs="Arial"/>
                <w:b/>
                <w:color w:val="000000"/>
                <w:sz w:val="19"/>
                <w:szCs w:val="19"/>
                <w:lang w:val="hr-HR"/>
              </w:rPr>
              <w:t>4,653</w:t>
            </w:r>
          </w:p>
        </w:tc>
        <w:tc>
          <w:tcPr>
            <w:tcW w:w="816" w:type="pct"/>
            <w:tcBorders>
              <w:top w:val="single" w:sz="4" w:space="0" w:color="auto"/>
              <w:left w:val="nil"/>
              <w:bottom w:val="single" w:sz="12" w:space="0" w:color="auto"/>
              <w:right w:val="nil"/>
            </w:tcBorders>
            <w:shd w:val="clear" w:color="auto" w:fill="auto"/>
            <w:vAlign w:val="bottom"/>
          </w:tcPr>
          <w:p w14:paraId="693F8E54"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19"/>
                <w:szCs w:val="19"/>
                <w:lang w:val="en-GB"/>
              </w:rPr>
            </w:pPr>
            <w:r w:rsidRPr="00587444">
              <w:rPr>
                <w:rFonts w:ascii="Arial" w:eastAsia="Calibri" w:hAnsi="Arial" w:cs="Arial"/>
                <w:b/>
                <w:color w:val="000000"/>
                <w:sz w:val="19"/>
                <w:szCs w:val="19"/>
                <w:lang w:val="hr-HR"/>
              </w:rPr>
              <w:t>4,545</w:t>
            </w:r>
          </w:p>
        </w:tc>
        <w:tc>
          <w:tcPr>
            <w:tcW w:w="815" w:type="pct"/>
            <w:tcBorders>
              <w:top w:val="single" w:sz="4" w:space="0" w:color="auto"/>
              <w:left w:val="nil"/>
              <w:bottom w:val="single" w:sz="12" w:space="0" w:color="auto"/>
              <w:right w:val="nil"/>
            </w:tcBorders>
            <w:shd w:val="clear" w:color="auto" w:fill="auto"/>
            <w:vAlign w:val="bottom"/>
          </w:tcPr>
          <w:p w14:paraId="46442BAB"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19"/>
                <w:szCs w:val="19"/>
                <w:lang w:val="en-GB"/>
              </w:rPr>
            </w:pPr>
            <w:r w:rsidRPr="00587444">
              <w:rPr>
                <w:rFonts w:ascii="Arial" w:eastAsia="Calibri" w:hAnsi="Arial" w:cs="Arial"/>
                <w:b/>
                <w:color w:val="000000"/>
                <w:sz w:val="19"/>
                <w:szCs w:val="19"/>
                <w:lang w:val="hr-HR"/>
              </w:rPr>
              <w:t>4,566</w:t>
            </w:r>
          </w:p>
        </w:tc>
        <w:tc>
          <w:tcPr>
            <w:tcW w:w="771" w:type="pct"/>
            <w:tcBorders>
              <w:top w:val="single" w:sz="4" w:space="0" w:color="auto"/>
              <w:left w:val="nil"/>
              <w:bottom w:val="single" w:sz="12" w:space="0" w:color="auto"/>
              <w:right w:val="nil"/>
            </w:tcBorders>
            <w:shd w:val="clear" w:color="auto" w:fill="auto"/>
            <w:vAlign w:val="bottom"/>
          </w:tcPr>
          <w:p w14:paraId="404C2254"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19"/>
                <w:szCs w:val="19"/>
                <w:lang w:val="en-GB"/>
              </w:rPr>
            </w:pPr>
            <w:r w:rsidRPr="00587444">
              <w:rPr>
                <w:rFonts w:ascii="Arial" w:eastAsia="Calibri" w:hAnsi="Arial" w:cs="Arial"/>
                <w:b/>
                <w:color w:val="000000"/>
                <w:sz w:val="19"/>
                <w:szCs w:val="19"/>
                <w:lang w:val="hr-HR"/>
              </w:rPr>
              <w:t>4,455</w:t>
            </w:r>
          </w:p>
        </w:tc>
      </w:tr>
    </w:tbl>
    <w:p w14:paraId="45ED785B" w14:textId="77777777" w:rsidR="00587444" w:rsidRPr="00587444" w:rsidRDefault="00587444" w:rsidP="00587444">
      <w:pPr>
        <w:suppressAutoHyphens w:val="0"/>
        <w:autoSpaceDN/>
        <w:rPr>
          <w:rFonts w:ascii="Arial" w:eastAsia="Calibri" w:hAnsi="Arial" w:cs="Arial"/>
          <w:noProof/>
          <w:sz w:val="20"/>
          <w:szCs w:val="20"/>
          <w:lang w:val="en-GB"/>
        </w:rPr>
      </w:pPr>
    </w:p>
    <w:p w14:paraId="422F11C0" w14:textId="77777777" w:rsidR="00587444" w:rsidRPr="00587444" w:rsidRDefault="00587444" w:rsidP="00587444">
      <w:pPr>
        <w:suppressAutoHyphens w:val="0"/>
        <w:autoSpaceDN/>
        <w:rPr>
          <w:rFonts w:ascii="Arial" w:eastAsia="Calibri" w:hAnsi="Arial" w:cs="Arial"/>
          <w:sz w:val="20"/>
          <w:szCs w:val="20"/>
        </w:rPr>
      </w:pPr>
    </w:p>
    <w:p w14:paraId="22C8D2A9"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eastAsia="Calibri" w:hAnsi="Arial" w:cs="Arial"/>
          <w:sz w:val="20"/>
          <w:szCs w:val="20"/>
        </w:rPr>
        <w:t>Net foreign exchange gain/loss on loss allowances are shown within net gains/(losses) from financial activities in the Income Statement.</w:t>
      </w:r>
    </w:p>
    <w:p w14:paraId="0D46640E" w14:textId="77777777" w:rsidR="00587444" w:rsidRPr="00587444" w:rsidRDefault="00587444" w:rsidP="00587444">
      <w:pPr>
        <w:keepNext/>
        <w:suppressAutoHyphens w:val="0"/>
        <w:autoSpaceDN/>
        <w:jc w:val="both"/>
        <w:rPr>
          <w:rFonts w:ascii="Arial" w:hAnsi="Arial" w:cs="Arial"/>
          <w:b/>
          <w:bCs/>
          <w:sz w:val="20"/>
          <w:szCs w:val="20"/>
          <w:lang w:val="en-GB"/>
        </w:rPr>
        <w:sectPr w:rsidR="00587444" w:rsidRPr="00587444" w:rsidSect="00DD69E7">
          <w:pgSz w:w="11907" w:h="16840" w:code="9"/>
          <w:pgMar w:top="1418" w:right="1134" w:bottom="1134" w:left="1418" w:header="851" w:footer="851" w:gutter="0"/>
          <w:cols w:space="720"/>
          <w:noEndnote/>
        </w:sectPr>
      </w:pPr>
    </w:p>
    <w:p w14:paraId="60792B93" w14:textId="77777777" w:rsidR="00587444" w:rsidRPr="00587444" w:rsidRDefault="00587444" w:rsidP="00587444">
      <w:pPr>
        <w:suppressAutoHyphens w:val="0"/>
        <w:autoSpaceDN/>
        <w:rPr>
          <w:rFonts w:ascii="Arial" w:hAnsi="Arial" w:cs="Arial"/>
          <w:b/>
          <w:sz w:val="20"/>
          <w:szCs w:val="20"/>
        </w:rPr>
      </w:pPr>
    </w:p>
    <w:p w14:paraId="238992FA" w14:textId="77777777" w:rsidR="00587444" w:rsidRPr="00587444" w:rsidRDefault="00587444" w:rsidP="00587444">
      <w:pPr>
        <w:tabs>
          <w:tab w:val="left" w:pos="567"/>
        </w:tabs>
        <w:suppressAutoHyphens w:val="0"/>
        <w:autoSpaceDN/>
        <w:rPr>
          <w:rFonts w:ascii="Arial" w:hAnsi="Arial" w:cs="Arial"/>
          <w:b/>
          <w:sz w:val="20"/>
          <w:szCs w:val="20"/>
        </w:rPr>
      </w:pPr>
      <w:r w:rsidRPr="00587444">
        <w:rPr>
          <w:rFonts w:ascii="Arial" w:hAnsi="Arial" w:cs="Arial"/>
          <w:b/>
          <w:sz w:val="20"/>
          <w:szCs w:val="20"/>
        </w:rPr>
        <w:t xml:space="preserve">17. </w:t>
      </w:r>
      <w:r w:rsidRPr="00587444">
        <w:rPr>
          <w:rFonts w:ascii="Arial" w:hAnsi="Arial" w:cs="Arial"/>
          <w:b/>
          <w:sz w:val="20"/>
          <w:szCs w:val="20"/>
        </w:rPr>
        <w:tab/>
        <w:t>Financial assets</w:t>
      </w:r>
      <w:r w:rsidRPr="00587444">
        <w:rPr>
          <w:rFonts w:ascii="Arial" w:eastAsia="Calibri" w:hAnsi="Arial" w:cs="Arial"/>
          <w:b/>
          <w:sz w:val="20"/>
          <w:szCs w:val="20"/>
        </w:rPr>
        <w:t xml:space="preserve"> at fair value through other comprehensive income</w:t>
      </w:r>
      <w:r w:rsidRPr="00587444">
        <w:rPr>
          <w:rFonts w:ascii="Arial" w:hAnsi="Arial" w:cs="Arial"/>
          <w:b/>
          <w:sz w:val="20"/>
          <w:szCs w:val="20"/>
        </w:rPr>
        <w:t xml:space="preserve"> (continued)</w:t>
      </w:r>
    </w:p>
    <w:p w14:paraId="6FD83BDC" w14:textId="77777777" w:rsidR="00587444" w:rsidRPr="00587444" w:rsidRDefault="00587444" w:rsidP="00587444">
      <w:pPr>
        <w:suppressAutoHyphens w:val="0"/>
        <w:autoSpaceDN/>
        <w:rPr>
          <w:rFonts w:ascii="Arial" w:hAnsi="Arial" w:cs="Arial"/>
          <w:b/>
          <w:sz w:val="20"/>
          <w:szCs w:val="20"/>
        </w:rPr>
      </w:pPr>
    </w:p>
    <w:p w14:paraId="557D6C38" w14:textId="77777777" w:rsidR="00587444" w:rsidRPr="00587444" w:rsidRDefault="00587444" w:rsidP="00587444">
      <w:pPr>
        <w:tabs>
          <w:tab w:val="left" w:pos="-720"/>
        </w:tabs>
        <w:autoSpaceDN/>
        <w:rPr>
          <w:rFonts w:ascii="Arial" w:hAnsi="Arial" w:cs="Arial"/>
          <w:spacing w:val="-3"/>
          <w:sz w:val="20"/>
          <w:szCs w:val="20"/>
        </w:rPr>
      </w:pPr>
      <w:r w:rsidRPr="00587444">
        <w:rPr>
          <w:rFonts w:ascii="Arial" w:hAnsi="Arial" w:cs="Arial"/>
          <w:spacing w:val="-3"/>
          <w:sz w:val="20"/>
          <w:szCs w:val="20"/>
        </w:rPr>
        <w:t>The following text contains investment breakdown:</w:t>
      </w:r>
    </w:p>
    <w:p w14:paraId="47AD7F94" w14:textId="77777777" w:rsidR="00587444" w:rsidRPr="00587444" w:rsidRDefault="00587444" w:rsidP="00587444">
      <w:pPr>
        <w:tabs>
          <w:tab w:val="left" w:pos="-720"/>
        </w:tabs>
        <w:autoSpaceDN/>
        <w:rPr>
          <w:rFonts w:ascii="Arial" w:hAnsi="Arial" w:cs="Arial"/>
          <w:spacing w:val="-3"/>
          <w:sz w:val="20"/>
          <w:szCs w:val="20"/>
        </w:rPr>
      </w:pPr>
    </w:p>
    <w:p w14:paraId="6604256F" w14:textId="77777777" w:rsidR="00587444" w:rsidRPr="00587444" w:rsidRDefault="00587444" w:rsidP="00587444">
      <w:pPr>
        <w:keepNext/>
        <w:suppressAutoHyphens w:val="0"/>
        <w:autoSpaceDN/>
        <w:jc w:val="both"/>
        <w:rPr>
          <w:rFonts w:ascii="Arial" w:hAnsi="Arial" w:cs="Arial"/>
          <w:b/>
          <w:bCs/>
          <w:sz w:val="20"/>
          <w:szCs w:val="20"/>
          <w:lang w:val="en-GB"/>
        </w:rPr>
      </w:pPr>
    </w:p>
    <w:tbl>
      <w:tblPr>
        <w:tblpPr w:leftFromText="180" w:rightFromText="180" w:vertAnchor="text" w:horzAnchor="page" w:tblpX="710" w:tblpY="132"/>
        <w:tblW w:w="10631" w:type="dxa"/>
        <w:tblLayout w:type="fixed"/>
        <w:tblLook w:val="04A0" w:firstRow="1" w:lastRow="0" w:firstColumn="1" w:lastColumn="0" w:noHBand="0" w:noVBand="1"/>
      </w:tblPr>
      <w:tblGrid>
        <w:gridCol w:w="1979"/>
        <w:gridCol w:w="345"/>
        <w:gridCol w:w="789"/>
        <w:gridCol w:w="118"/>
        <w:gridCol w:w="454"/>
        <w:gridCol w:w="279"/>
        <w:gridCol w:w="288"/>
        <w:gridCol w:w="1136"/>
        <w:gridCol w:w="278"/>
        <w:gridCol w:w="995"/>
        <w:gridCol w:w="1417"/>
        <w:gridCol w:w="1136"/>
        <w:gridCol w:w="142"/>
        <w:gridCol w:w="1275"/>
      </w:tblGrid>
      <w:tr w:rsidR="00587444" w:rsidRPr="00587444" w14:paraId="66B6C54C" w14:textId="77777777" w:rsidTr="00DD69E7">
        <w:trPr>
          <w:trHeight w:val="175"/>
        </w:trPr>
        <w:tc>
          <w:tcPr>
            <w:tcW w:w="1979" w:type="dxa"/>
            <w:tcBorders>
              <w:top w:val="nil"/>
              <w:left w:val="nil"/>
              <w:bottom w:val="nil"/>
              <w:right w:val="nil"/>
            </w:tcBorders>
            <w:shd w:val="clear" w:color="auto" w:fill="auto"/>
            <w:noWrap/>
            <w:vAlign w:val="bottom"/>
            <w:hideMark/>
          </w:tcPr>
          <w:p w14:paraId="481CF6E7" w14:textId="77777777" w:rsidR="00587444" w:rsidRPr="00587444" w:rsidRDefault="00587444" w:rsidP="00587444">
            <w:pPr>
              <w:suppressAutoHyphens w:val="0"/>
              <w:autoSpaceDN/>
              <w:rPr>
                <w:rFonts w:ascii="Arial" w:eastAsia="Calibri" w:hAnsi="Arial" w:cs="Arial"/>
                <w:sz w:val="16"/>
                <w:szCs w:val="16"/>
              </w:rPr>
            </w:pPr>
            <w:r w:rsidRPr="00587444">
              <w:rPr>
                <w:rFonts w:ascii="Arial" w:eastAsia="Calibri" w:hAnsi="Arial" w:cs="Arial"/>
                <w:sz w:val="16"/>
                <w:szCs w:val="16"/>
              </w:rPr>
              <w:t xml:space="preserve">        </w:t>
            </w:r>
          </w:p>
        </w:tc>
        <w:tc>
          <w:tcPr>
            <w:tcW w:w="1134" w:type="dxa"/>
            <w:gridSpan w:val="2"/>
            <w:tcBorders>
              <w:top w:val="nil"/>
              <w:left w:val="nil"/>
              <w:bottom w:val="nil"/>
              <w:right w:val="nil"/>
            </w:tcBorders>
            <w:shd w:val="clear" w:color="auto" w:fill="auto"/>
            <w:vAlign w:val="center"/>
            <w:hideMark/>
          </w:tcPr>
          <w:p w14:paraId="1A38E51F" w14:textId="77777777" w:rsidR="00587444" w:rsidRPr="00587444" w:rsidRDefault="00587444" w:rsidP="00587444">
            <w:pPr>
              <w:suppressAutoHyphens w:val="0"/>
              <w:autoSpaceDN/>
              <w:rPr>
                <w:rFonts w:ascii="Arial" w:eastAsia="Calibri" w:hAnsi="Arial" w:cs="Arial"/>
                <w:sz w:val="16"/>
                <w:szCs w:val="16"/>
              </w:rPr>
            </w:pPr>
          </w:p>
        </w:tc>
        <w:tc>
          <w:tcPr>
            <w:tcW w:w="1139" w:type="dxa"/>
            <w:gridSpan w:val="4"/>
            <w:tcBorders>
              <w:top w:val="nil"/>
              <w:left w:val="nil"/>
              <w:bottom w:val="nil"/>
              <w:right w:val="nil"/>
            </w:tcBorders>
            <w:shd w:val="clear" w:color="auto" w:fill="auto"/>
            <w:vAlign w:val="center"/>
            <w:hideMark/>
          </w:tcPr>
          <w:p w14:paraId="13BA8AA4" w14:textId="77777777" w:rsidR="00587444" w:rsidRPr="00587444" w:rsidRDefault="00587444" w:rsidP="00587444">
            <w:pPr>
              <w:suppressAutoHyphens w:val="0"/>
              <w:autoSpaceDN/>
              <w:jc w:val="center"/>
              <w:rPr>
                <w:rFonts w:ascii="Arial" w:eastAsia="Calibri" w:hAnsi="Arial" w:cs="Arial"/>
                <w:sz w:val="16"/>
                <w:szCs w:val="16"/>
              </w:rPr>
            </w:pPr>
          </w:p>
        </w:tc>
        <w:tc>
          <w:tcPr>
            <w:tcW w:w="1136" w:type="dxa"/>
            <w:tcBorders>
              <w:top w:val="nil"/>
              <w:left w:val="nil"/>
              <w:bottom w:val="nil"/>
              <w:right w:val="nil"/>
            </w:tcBorders>
            <w:shd w:val="clear" w:color="auto" w:fill="auto"/>
            <w:vAlign w:val="center"/>
            <w:hideMark/>
          </w:tcPr>
          <w:p w14:paraId="766567C7" w14:textId="77777777" w:rsidR="00587444" w:rsidRPr="00587444" w:rsidRDefault="00587444" w:rsidP="00587444">
            <w:pPr>
              <w:suppressAutoHyphens w:val="0"/>
              <w:autoSpaceDN/>
              <w:jc w:val="center"/>
              <w:rPr>
                <w:rFonts w:ascii="Arial" w:eastAsia="Calibri" w:hAnsi="Arial" w:cs="Arial"/>
                <w:sz w:val="16"/>
                <w:szCs w:val="16"/>
              </w:rPr>
            </w:pPr>
          </w:p>
        </w:tc>
        <w:tc>
          <w:tcPr>
            <w:tcW w:w="2690" w:type="dxa"/>
            <w:gridSpan w:val="3"/>
            <w:tcBorders>
              <w:top w:val="nil"/>
              <w:left w:val="nil"/>
              <w:bottom w:val="nil"/>
              <w:right w:val="nil"/>
            </w:tcBorders>
            <w:shd w:val="clear" w:color="auto" w:fill="auto"/>
            <w:vAlign w:val="center"/>
            <w:hideMark/>
          </w:tcPr>
          <w:p w14:paraId="2B4B31F5" w14:textId="77777777"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color w:val="000000"/>
                <w:sz w:val="16"/>
                <w:szCs w:val="16"/>
              </w:rPr>
              <w:t>Group</w:t>
            </w:r>
          </w:p>
        </w:tc>
        <w:tc>
          <w:tcPr>
            <w:tcW w:w="2553" w:type="dxa"/>
            <w:gridSpan w:val="3"/>
            <w:tcBorders>
              <w:top w:val="nil"/>
              <w:left w:val="nil"/>
              <w:bottom w:val="nil"/>
              <w:right w:val="nil"/>
            </w:tcBorders>
            <w:shd w:val="clear" w:color="auto" w:fill="auto"/>
            <w:vAlign w:val="center"/>
            <w:hideMark/>
          </w:tcPr>
          <w:p w14:paraId="7EC856CC" w14:textId="77777777"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color w:val="000000"/>
                <w:sz w:val="16"/>
                <w:szCs w:val="16"/>
              </w:rPr>
              <w:t>Bank</w:t>
            </w:r>
          </w:p>
        </w:tc>
      </w:tr>
      <w:tr w:rsidR="00587444" w:rsidRPr="00587444" w14:paraId="68FF671D" w14:textId="77777777" w:rsidTr="00DD69E7">
        <w:trPr>
          <w:trHeight w:val="320"/>
        </w:trPr>
        <w:tc>
          <w:tcPr>
            <w:tcW w:w="1979" w:type="dxa"/>
            <w:tcBorders>
              <w:top w:val="nil"/>
              <w:left w:val="nil"/>
              <w:bottom w:val="nil"/>
              <w:right w:val="nil"/>
            </w:tcBorders>
            <w:shd w:val="clear" w:color="auto" w:fill="auto"/>
            <w:noWrap/>
            <w:vAlign w:val="center"/>
            <w:hideMark/>
          </w:tcPr>
          <w:p w14:paraId="0CBBD1C0" w14:textId="77777777" w:rsidR="00587444" w:rsidRPr="00587444" w:rsidRDefault="00587444" w:rsidP="00587444">
            <w:pPr>
              <w:suppressAutoHyphens w:val="0"/>
              <w:autoSpaceDN/>
              <w:jc w:val="right"/>
              <w:rPr>
                <w:rFonts w:ascii="Arial" w:eastAsia="Calibri" w:hAnsi="Arial" w:cs="Arial"/>
                <w:b/>
                <w:bCs/>
                <w:color w:val="000000"/>
                <w:sz w:val="16"/>
                <w:szCs w:val="16"/>
              </w:rPr>
            </w:pPr>
          </w:p>
        </w:tc>
        <w:tc>
          <w:tcPr>
            <w:tcW w:w="1134" w:type="dxa"/>
            <w:gridSpan w:val="2"/>
            <w:tcBorders>
              <w:left w:val="nil"/>
              <w:right w:val="nil"/>
            </w:tcBorders>
            <w:shd w:val="clear" w:color="auto" w:fill="auto"/>
            <w:vAlign w:val="center"/>
            <w:hideMark/>
          </w:tcPr>
          <w:p w14:paraId="1C6A5DC3" w14:textId="77777777" w:rsidR="00587444" w:rsidRPr="00587444" w:rsidRDefault="00587444" w:rsidP="00587444">
            <w:pPr>
              <w:suppressAutoHyphens w:val="0"/>
              <w:autoSpaceDN/>
              <w:jc w:val="center"/>
              <w:rPr>
                <w:rFonts w:ascii="Arial" w:eastAsia="Calibri" w:hAnsi="Arial" w:cs="Arial"/>
                <w:b/>
                <w:bCs/>
                <w:color w:val="000000"/>
                <w:sz w:val="16"/>
                <w:szCs w:val="16"/>
              </w:rPr>
            </w:pPr>
            <w:r w:rsidRPr="00587444">
              <w:rPr>
                <w:rFonts w:ascii="Arial" w:eastAsia="Calibri" w:hAnsi="Arial" w:cs="Arial"/>
                <w:b/>
                <w:color w:val="000000"/>
                <w:sz w:val="16"/>
                <w:szCs w:val="16"/>
                <w:lang w:eastAsia="hr-HR"/>
              </w:rPr>
              <w:t>Date of issue</w:t>
            </w:r>
          </w:p>
        </w:tc>
        <w:tc>
          <w:tcPr>
            <w:tcW w:w="1139" w:type="dxa"/>
            <w:gridSpan w:val="4"/>
            <w:tcBorders>
              <w:left w:val="nil"/>
              <w:right w:val="nil"/>
            </w:tcBorders>
            <w:shd w:val="clear" w:color="auto" w:fill="auto"/>
            <w:vAlign w:val="center"/>
            <w:hideMark/>
          </w:tcPr>
          <w:p w14:paraId="379BBF5B" w14:textId="77777777" w:rsidR="00587444" w:rsidRPr="00587444" w:rsidRDefault="00587444" w:rsidP="00587444">
            <w:pPr>
              <w:suppressAutoHyphens w:val="0"/>
              <w:autoSpaceDN/>
              <w:jc w:val="center"/>
              <w:rPr>
                <w:rFonts w:ascii="Arial" w:eastAsia="Calibri" w:hAnsi="Arial" w:cs="Arial"/>
                <w:b/>
                <w:bCs/>
                <w:color w:val="000000"/>
                <w:sz w:val="16"/>
                <w:szCs w:val="16"/>
              </w:rPr>
            </w:pPr>
            <w:r w:rsidRPr="00587444">
              <w:rPr>
                <w:rFonts w:ascii="Arial" w:eastAsia="Calibri" w:hAnsi="Arial" w:cs="Arial"/>
                <w:b/>
                <w:color w:val="000000"/>
                <w:sz w:val="16"/>
                <w:szCs w:val="16"/>
                <w:lang w:eastAsia="hr-HR"/>
              </w:rPr>
              <w:t>Date of maturity</w:t>
            </w:r>
          </w:p>
        </w:tc>
        <w:tc>
          <w:tcPr>
            <w:tcW w:w="1136" w:type="dxa"/>
            <w:tcBorders>
              <w:left w:val="nil"/>
              <w:right w:val="nil"/>
            </w:tcBorders>
            <w:shd w:val="clear" w:color="auto" w:fill="auto"/>
            <w:vAlign w:val="center"/>
            <w:hideMark/>
          </w:tcPr>
          <w:p w14:paraId="6D08E4C4" w14:textId="77777777" w:rsidR="00587444" w:rsidRPr="00587444" w:rsidRDefault="00587444" w:rsidP="00587444">
            <w:pPr>
              <w:suppressAutoHyphens w:val="0"/>
              <w:autoSpaceDN/>
              <w:jc w:val="center"/>
              <w:rPr>
                <w:rFonts w:ascii="Arial" w:eastAsia="Calibri" w:hAnsi="Arial" w:cs="Arial"/>
                <w:b/>
                <w:color w:val="000000"/>
                <w:sz w:val="16"/>
                <w:szCs w:val="16"/>
                <w:lang w:eastAsia="hr-HR"/>
              </w:rPr>
            </w:pPr>
            <w:r w:rsidRPr="00587444">
              <w:rPr>
                <w:rFonts w:ascii="Arial" w:eastAsia="Calibri" w:hAnsi="Arial" w:cs="Arial"/>
                <w:b/>
                <w:color w:val="000000"/>
                <w:sz w:val="16"/>
                <w:szCs w:val="16"/>
                <w:lang w:eastAsia="hr-HR"/>
              </w:rPr>
              <w:t>Interest rate</w:t>
            </w:r>
          </w:p>
          <w:p w14:paraId="093D23D3" w14:textId="77777777" w:rsidR="00587444" w:rsidRPr="00587444" w:rsidRDefault="00587444" w:rsidP="00587444">
            <w:pPr>
              <w:suppressAutoHyphens w:val="0"/>
              <w:autoSpaceDN/>
              <w:jc w:val="center"/>
              <w:rPr>
                <w:rFonts w:ascii="Arial" w:eastAsia="Calibri" w:hAnsi="Arial" w:cs="Arial"/>
                <w:b/>
                <w:bCs/>
                <w:color w:val="000000"/>
                <w:sz w:val="16"/>
                <w:szCs w:val="16"/>
              </w:rPr>
            </w:pPr>
            <w:r w:rsidRPr="00587444">
              <w:rPr>
                <w:rFonts w:ascii="Arial" w:eastAsia="Calibri" w:hAnsi="Arial" w:cs="Arial"/>
                <w:b/>
                <w:color w:val="000000"/>
                <w:sz w:val="16"/>
                <w:szCs w:val="16"/>
                <w:lang w:eastAsia="hr-HR"/>
              </w:rPr>
              <w:t>(%)</w:t>
            </w:r>
          </w:p>
        </w:tc>
        <w:tc>
          <w:tcPr>
            <w:tcW w:w="1273" w:type="dxa"/>
            <w:gridSpan w:val="2"/>
            <w:vAlign w:val="center"/>
            <w:hideMark/>
          </w:tcPr>
          <w:p w14:paraId="0994096E" w14:textId="77777777"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sz w:val="16"/>
                <w:szCs w:val="16"/>
              </w:rPr>
              <w:t>31 December 2022</w:t>
            </w:r>
          </w:p>
        </w:tc>
        <w:tc>
          <w:tcPr>
            <w:tcW w:w="1417" w:type="dxa"/>
            <w:vAlign w:val="center"/>
            <w:hideMark/>
          </w:tcPr>
          <w:p w14:paraId="0F3A8825" w14:textId="77777777"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sz w:val="16"/>
                <w:szCs w:val="16"/>
              </w:rPr>
              <w:t>31 December 2021</w:t>
            </w:r>
          </w:p>
        </w:tc>
        <w:tc>
          <w:tcPr>
            <w:tcW w:w="1278" w:type="dxa"/>
            <w:gridSpan w:val="2"/>
            <w:vAlign w:val="center"/>
            <w:hideMark/>
          </w:tcPr>
          <w:p w14:paraId="5385BC59" w14:textId="77777777"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sz w:val="16"/>
                <w:szCs w:val="16"/>
              </w:rPr>
              <w:t>30 December    2022</w:t>
            </w:r>
          </w:p>
        </w:tc>
        <w:tc>
          <w:tcPr>
            <w:tcW w:w="1275" w:type="dxa"/>
            <w:vAlign w:val="center"/>
            <w:hideMark/>
          </w:tcPr>
          <w:p w14:paraId="4C97720E" w14:textId="77777777"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sz w:val="16"/>
                <w:szCs w:val="16"/>
              </w:rPr>
              <w:t>31 December 2021</w:t>
            </w:r>
          </w:p>
        </w:tc>
      </w:tr>
      <w:tr w:rsidR="00587444" w:rsidRPr="00587444" w14:paraId="13AF0D0F" w14:textId="77777777" w:rsidTr="00DD69E7">
        <w:trPr>
          <w:trHeight w:val="261"/>
        </w:trPr>
        <w:tc>
          <w:tcPr>
            <w:tcW w:w="1979" w:type="dxa"/>
            <w:tcBorders>
              <w:top w:val="nil"/>
              <w:left w:val="nil"/>
              <w:bottom w:val="nil"/>
              <w:right w:val="nil"/>
            </w:tcBorders>
            <w:shd w:val="clear" w:color="auto" w:fill="auto"/>
            <w:noWrap/>
            <w:vAlign w:val="bottom"/>
          </w:tcPr>
          <w:p w14:paraId="2923B02F" w14:textId="77777777" w:rsidR="00587444" w:rsidRPr="00587444" w:rsidRDefault="00587444" w:rsidP="00587444">
            <w:pPr>
              <w:suppressAutoHyphens w:val="0"/>
              <w:autoSpaceDN/>
              <w:jc w:val="right"/>
              <w:rPr>
                <w:rFonts w:ascii="Arial" w:eastAsia="Calibri" w:hAnsi="Arial" w:cs="Arial"/>
                <w:b/>
                <w:bCs/>
                <w:color w:val="000000"/>
                <w:sz w:val="16"/>
                <w:szCs w:val="16"/>
              </w:rPr>
            </w:pPr>
          </w:p>
        </w:tc>
        <w:tc>
          <w:tcPr>
            <w:tcW w:w="1134" w:type="dxa"/>
            <w:gridSpan w:val="2"/>
            <w:tcBorders>
              <w:top w:val="nil"/>
              <w:left w:val="nil"/>
              <w:bottom w:val="nil"/>
              <w:right w:val="nil"/>
            </w:tcBorders>
            <w:shd w:val="clear" w:color="auto" w:fill="auto"/>
            <w:vAlign w:val="bottom"/>
          </w:tcPr>
          <w:p w14:paraId="592ABD16" w14:textId="77777777" w:rsidR="00587444" w:rsidRPr="00587444" w:rsidRDefault="00587444" w:rsidP="00587444">
            <w:pPr>
              <w:suppressAutoHyphens w:val="0"/>
              <w:autoSpaceDN/>
              <w:jc w:val="center"/>
              <w:rPr>
                <w:rFonts w:ascii="Arial" w:eastAsia="Calibri" w:hAnsi="Arial" w:cs="Arial"/>
                <w:b/>
                <w:bCs/>
                <w:color w:val="000000"/>
                <w:sz w:val="16"/>
                <w:szCs w:val="16"/>
              </w:rPr>
            </w:pPr>
          </w:p>
        </w:tc>
        <w:tc>
          <w:tcPr>
            <w:tcW w:w="851" w:type="dxa"/>
            <w:gridSpan w:val="3"/>
            <w:tcBorders>
              <w:top w:val="nil"/>
              <w:left w:val="nil"/>
              <w:bottom w:val="nil"/>
              <w:right w:val="nil"/>
            </w:tcBorders>
            <w:shd w:val="clear" w:color="auto" w:fill="auto"/>
            <w:vAlign w:val="bottom"/>
          </w:tcPr>
          <w:p w14:paraId="57A4CFCE" w14:textId="77777777" w:rsidR="00587444" w:rsidRPr="00587444" w:rsidRDefault="00587444" w:rsidP="00587444">
            <w:pPr>
              <w:suppressAutoHyphens w:val="0"/>
              <w:autoSpaceDN/>
              <w:jc w:val="center"/>
              <w:rPr>
                <w:rFonts w:ascii="Arial" w:eastAsia="Calibri" w:hAnsi="Arial" w:cs="Arial"/>
                <w:b/>
                <w:bCs/>
                <w:color w:val="000000"/>
                <w:sz w:val="16"/>
                <w:szCs w:val="16"/>
              </w:rPr>
            </w:pPr>
          </w:p>
        </w:tc>
        <w:tc>
          <w:tcPr>
            <w:tcW w:w="1702" w:type="dxa"/>
            <w:gridSpan w:val="3"/>
            <w:tcBorders>
              <w:top w:val="nil"/>
              <w:left w:val="nil"/>
              <w:bottom w:val="nil"/>
              <w:right w:val="nil"/>
            </w:tcBorders>
            <w:shd w:val="clear" w:color="auto" w:fill="auto"/>
            <w:vAlign w:val="bottom"/>
          </w:tcPr>
          <w:p w14:paraId="68C4F15E" w14:textId="77777777" w:rsidR="00587444" w:rsidRPr="00587444" w:rsidRDefault="00587444" w:rsidP="00587444">
            <w:pPr>
              <w:suppressAutoHyphens w:val="0"/>
              <w:autoSpaceDN/>
              <w:ind w:left="-329"/>
              <w:jc w:val="center"/>
              <w:rPr>
                <w:rFonts w:ascii="Arial" w:eastAsia="Calibri" w:hAnsi="Arial" w:cs="Arial"/>
                <w:b/>
                <w:bCs/>
                <w:color w:val="000000"/>
                <w:sz w:val="16"/>
                <w:szCs w:val="16"/>
              </w:rPr>
            </w:pPr>
          </w:p>
        </w:tc>
        <w:tc>
          <w:tcPr>
            <w:tcW w:w="995" w:type="dxa"/>
            <w:shd w:val="clear" w:color="auto" w:fill="auto"/>
            <w:vAlign w:val="bottom"/>
          </w:tcPr>
          <w:p w14:paraId="666C93B0" w14:textId="77777777" w:rsidR="00587444" w:rsidRPr="00587444" w:rsidRDefault="00587444" w:rsidP="00587444">
            <w:pPr>
              <w:suppressAutoHyphens w:val="0"/>
              <w:autoSpaceDN/>
              <w:jc w:val="right"/>
              <w:rPr>
                <w:rFonts w:ascii="Arial" w:eastAsia="Calibri" w:hAnsi="Arial" w:cs="Arial"/>
                <w:b/>
                <w:sz w:val="16"/>
                <w:szCs w:val="16"/>
              </w:rPr>
            </w:pPr>
            <w:r w:rsidRPr="00587444">
              <w:rPr>
                <w:rFonts w:ascii="Arial" w:eastAsia="Calibri" w:hAnsi="Arial" w:cs="Arial"/>
                <w:b/>
                <w:bCs/>
                <w:sz w:val="16"/>
                <w:szCs w:val="16"/>
              </w:rPr>
              <w:t>HRK ‘000</w:t>
            </w:r>
          </w:p>
        </w:tc>
        <w:tc>
          <w:tcPr>
            <w:tcW w:w="1417" w:type="dxa"/>
            <w:shd w:val="clear" w:color="auto" w:fill="auto"/>
            <w:vAlign w:val="bottom"/>
          </w:tcPr>
          <w:p w14:paraId="6E6AC065" w14:textId="77777777" w:rsidR="00587444" w:rsidRPr="00587444" w:rsidRDefault="00587444" w:rsidP="00587444">
            <w:pPr>
              <w:suppressAutoHyphens w:val="0"/>
              <w:autoSpaceDN/>
              <w:jc w:val="right"/>
              <w:rPr>
                <w:rFonts w:ascii="Arial" w:eastAsia="Calibri" w:hAnsi="Arial" w:cs="Arial"/>
                <w:b/>
                <w:sz w:val="16"/>
                <w:szCs w:val="16"/>
              </w:rPr>
            </w:pPr>
            <w:r w:rsidRPr="00587444">
              <w:rPr>
                <w:rFonts w:ascii="Arial" w:eastAsia="Calibri" w:hAnsi="Arial" w:cs="Arial"/>
                <w:b/>
                <w:bCs/>
                <w:sz w:val="16"/>
                <w:szCs w:val="16"/>
              </w:rPr>
              <w:t xml:space="preserve">   HRK ‘000</w:t>
            </w:r>
          </w:p>
        </w:tc>
        <w:tc>
          <w:tcPr>
            <w:tcW w:w="1278" w:type="dxa"/>
            <w:gridSpan w:val="2"/>
            <w:shd w:val="clear" w:color="auto" w:fill="auto"/>
            <w:vAlign w:val="bottom"/>
          </w:tcPr>
          <w:p w14:paraId="1063CD64" w14:textId="77777777" w:rsidR="00587444" w:rsidRPr="00587444" w:rsidRDefault="00587444" w:rsidP="00587444">
            <w:pPr>
              <w:suppressAutoHyphens w:val="0"/>
              <w:autoSpaceDN/>
              <w:jc w:val="right"/>
              <w:rPr>
                <w:rFonts w:ascii="Arial" w:eastAsia="Calibri" w:hAnsi="Arial" w:cs="Arial"/>
                <w:b/>
                <w:sz w:val="16"/>
                <w:szCs w:val="16"/>
              </w:rPr>
            </w:pPr>
            <w:r w:rsidRPr="00587444">
              <w:rPr>
                <w:rFonts w:ascii="Arial" w:eastAsia="Calibri" w:hAnsi="Arial" w:cs="Arial"/>
                <w:b/>
                <w:bCs/>
                <w:sz w:val="16"/>
                <w:szCs w:val="16"/>
              </w:rPr>
              <w:t>HRK ‘000</w:t>
            </w:r>
          </w:p>
        </w:tc>
        <w:tc>
          <w:tcPr>
            <w:tcW w:w="1275" w:type="dxa"/>
            <w:shd w:val="clear" w:color="auto" w:fill="auto"/>
            <w:vAlign w:val="bottom"/>
          </w:tcPr>
          <w:p w14:paraId="5FCB41FA" w14:textId="77777777" w:rsidR="00587444" w:rsidRPr="00587444" w:rsidRDefault="00587444" w:rsidP="00587444">
            <w:pPr>
              <w:suppressAutoHyphens w:val="0"/>
              <w:autoSpaceDN/>
              <w:jc w:val="right"/>
              <w:rPr>
                <w:rFonts w:ascii="Arial" w:eastAsia="Calibri" w:hAnsi="Arial" w:cs="Arial"/>
                <w:b/>
                <w:sz w:val="16"/>
                <w:szCs w:val="16"/>
              </w:rPr>
            </w:pPr>
            <w:r w:rsidRPr="00587444">
              <w:rPr>
                <w:rFonts w:ascii="Arial" w:eastAsia="Calibri" w:hAnsi="Arial" w:cs="Arial"/>
                <w:b/>
                <w:sz w:val="16"/>
                <w:szCs w:val="16"/>
              </w:rPr>
              <w:t>HRK ‘000</w:t>
            </w:r>
          </w:p>
        </w:tc>
      </w:tr>
      <w:tr w:rsidR="00587444" w:rsidRPr="00587444" w14:paraId="5E61F100" w14:textId="77777777" w:rsidTr="00DD69E7">
        <w:trPr>
          <w:trHeight w:val="227"/>
        </w:trPr>
        <w:tc>
          <w:tcPr>
            <w:tcW w:w="3113" w:type="dxa"/>
            <w:gridSpan w:val="3"/>
            <w:tcBorders>
              <w:top w:val="nil"/>
              <w:left w:val="nil"/>
              <w:bottom w:val="nil"/>
              <w:right w:val="nil"/>
            </w:tcBorders>
            <w:shd w:val="clear" w:color="auto" w:fill="auto"/>
            <w:noWrap/>
            <w:vAlign w:val="bottom"/>
            <w:hideMark/>
          </w:tcPr>
          <w:p w14:paraId="3D94A7E1" w14:textId="77777777" w:rsidR="00587444" w:rsidRPr="00587444" w:rsidRDefault="00587444" w:rsidP="00587444">
            <w:pPr>
              <w:suppressAutoHyphens w:val="0"/>
              <w:autoSpaceDN/>
              <w:jc w:val="both"/>
              <w:rPr>
                <w:rFonts w:ascii="Arial" w:eastAsia="Calibri" w:hAnsi="Arial" w:cs="Arial"/>
                <w:b/>
                <w:color w:val="000000"/>
                <w:sz w:val="16"/>
                <w:szCs w:val="16"/>
              </w:rPr>
            </w:pPr>
            <w:r w:rsidRPr="00587444">
              <w:rPr>
                <w:rFonts w:ascii="Arial" w:eastAsia="Calibri" w:hAnsi="Arial" w:cs="Arial"/>
                <w:b/>
                <w:color w:val="000000"/>
                <w:sz w:val="16"/>
                <w:szCs w:val="16"/>
              </w:rPr>
              <w:t>Debt instruments:</w:t>
            </w:r>
          </w:p>
        </w:tc>
        <w:tc>
          <w:tcPr>
            <w:tcW w:w="1139" w:type="dxa"/>
            <w:gridSpan w:val="4"/>
            <w:tcBorders>
              <w:top w:val="nil"/>
              <w:left w:val="nil"/>
              <w:bottom w:val="nil"/>
              <w:right w:val="nil"/>
            </w:tcBorders>
            <w:shd w:val="clear" w:color="auto" w:fill="auto"/>
            <w:noWrap/>
            <w:vAlign w:val="bottom"/>
            <w:hideMark/>
          </w:tcPr>
          <w:p w14:paraId="0AF93BC2" w14:textId="77777777" w:rsidR="00587444" w:rsidRPr="00587444" w:rsidRDefault="00587444" w:rsidP="00587444">
            <w:pPr>
              <w:suppressAutoHyphens w:val="0"/>
              <w:autoSpaceDN/>
              <w:jc w:val="center"/>
              <w:rPr>
                <w:rFonts w:ascii="Arial" w:eastAsia="Calibri" w:hAnsi="Arial" w:cs="Arial"/>
                <w:sz w:val="16"/>
                <w:szCs w:val="16"/>
              </w:rPr>
            </w:pPr>
          </w:p>
        </w:tc>
        <w:tc>
          <w:tcPr>
            <w:tcW w:w="1136" w:type="dxa"/>
            <w:tcBorders>
              <w:top w:val="nil"/>
              <w:left w:val="nil"/>
              <w:bottom w:val="nil"/>
              <w:right w:val="nil"/>
            </w:tcBorders>
            <w:shd w:val="clear" w:color="auto" w:fill="auto"/>
            <w:vAlign w:val="bottom"/>
            <w:hideMark/>
          </w:tcPr>
          <w:p w14:paraId="16762CDD" w14:textId="77777777" w:rsidR="00587444" w:rsidRPr="00587444" w:rsidRDefault="00587444" w:rsidP="00587444">
            <w:pPr>
              <w:suppressAutoHyphens w:val="0"/>
              <w:autoSpaceDN/>
              <w:jc w:val="right"/>
              <w:rPr>
                <w:rFonts w:ascii="Arial" w:eastAsia="Calibri" w:hAnsi="Arial" w:cs="Arial"/>
                <w:sz w:val="16"/>
                <w:szCs w:val="16"/>
              </w:rPr>
            </w:pPr>
          </w:p>
        </w:tc>
        <w:tc>
          <w:tcPr>
            <w:tcW w:w="1273" w:type="dxa"/>
            <w:gridSpan w:val="2"/>
            <w:tcBorders>
              <w:top w:val="nil"/>
              <w:left w:val="nil"/>
              <w:bottom w:val="nil"/>
              <w:right w:val="nil"/>
            </w:tcBorders>
            <w:shd w:val="clear" w:color="auto" w:fill="auto"/>
            <w:vAlign w:val="bottom"/>
            <w:hideMark/>
          </w:tcPr>
          <w:p w14:paraId="4EA3D447" w14:textId="77777777" w:rsidR="00587444" w:rsidRPr="00587444" w:rsidRDefault="00587444" w:rsidP="00587444">
            <w:pPr>
              <w:suppressAutoHyphens w:val="0"/>
              <w:autoSpaceDN/>
              <w:jc w:val="right"/>
              <w:rPr>
                <w:rFonts w:ascii="Arial" w:eastAsia="Calibri" w:hAnsi="Arial" w:cs="Arial"/>
                <w:sz w:val="16"/>
                <w:szCs w:val="16"/>
              </w:rPr>
            </w:pPr>
          </w:p>
        </w:tc>
        <w:tc>
          <w:tcPr>
            <w:tcW w:w="1417" w:type="dxa"/>
            <w:tcBorders>
              <w:top w:val="nil"/>
              <w:left w:val="nil"/>
              <w:bottom w:val="nil"/>
              <w:right w:val="nil"/>
            </w:tcBorders>
            <w:shd w:val="clear" w:color="auto" w:fill="auto"/>
            <w:vAlign w:val="bottom"/>
            <w:hideMark/>
          </w:tcPr>
          <w:p w14:paraId="7E139842" w14:textId="77777777" w:rsidR="00587444" w:rsidRPr="00587444" w:rsidRDefault="00587444" w:rsidP="00587444">
            <w:pPr>
              <w:suppressAutoHyphens w:val="0"/>
              <w:autoSpaceDN/>
              <w:jc w:val="right"/>
              <w:rPr>
                <w:rFonts w:ascii="Arial" w:eastAsia="Calibri" w:hAnsi="Arial" w:cs="Arial"/>
                <w:sz w:val="16"/>
                <w:szCs w:val="16"/>
              </w:rPr>
            </w:pPr>
          </w:p>
        </w:tc>
        <w:tc>
          <w:tcPr>
            <w:tcW w:w="1278" w:type="dxa"/>
            <w:gridSpan w:val="2"/>
            <w:tcBorders>
              <w:top w:val="nil"/>
              <w:left w:val="nil"/>
              <w:bottom w:val="nil"/>
              <w:right w:val="nil"/>
            </w:tcBorders>
            <w:shd w:val="clear" w:color="auto" w:fill="auto"/>
            <w:vAlign w:val="bottom"/>
            <w:hideMark/>
          </w:tcPr>
          <w:p w14:paraId="50C50E77" w14:textId="77777777" w:rsidR="00587444" w:rsidRPr="00587444" w:rsidRDefault="00587444" w:rsidP="00587444">
            <w:pPr>
              <w:suppressAutoHyphens w:val="0"/>
              <w:autoSpaceDN/>
              <w:jc w:val="right"/>
              <w:rPr>
                <w:rFonts w:ascii="Arial" w:eastAsia="Calibri" w:hAnsi="Arial" w:cs="Arial"/>
                <w:sz w:val="16"/>
                <w:szCs w:val="16"/>
              </w:rPr>
            </w:pPr>
          </w:p>
        </w:tc>
        <w:tc>
          <w:tcPr>
            <w:tcW w:w="1275" w:type="dxa"/>
            <w:tcBorders>
              <w:top w:val="nil"/>
              <w:left w:val="nil"/>
              <w:bottom w:val="nil"/>
              <w:right w:val="nil"/>
            </w:tcBorders>
            <w:shd w:val="clear" w:color="auto" w:fill="auto"/>
            <w:vAlign w:val="bottom"/>
            <w:hideMark/>
          </w:tcPr>
          <w:p w14:paraId="32C8DA0D" w14:textId="77777777" w:rsidR="00587444" w:rsidRPr="00587444" w:rsidRDefault="00587444" w:rsidP="00587444">
            <w:pPr>
              <w:suppressAutoHyphens w:val="0"/>
              <w:autoSpaceDN/>
              <w:jc w:val="right"/>
              <w:rPr>
                <w:rFonts w:ascii="Arial" w:eastAsia="Calibri" w:hAnsi="Arial" w:cs="Arial"/>
                <w:sz w:val="16"/>
                <w:szCs w:val="16"/>
              </w:rPr>
            </w:pPr>
          </w:p>
        </w:tc>
      </w:tr>
      <w:tr w:rsidR="00587444" w:rsidRPr="00587444" w14:paraId="356F8410" w14:textId="77777777" w:rsidTr="00DD69E7">
        <w:trPr>
          <w:trHeight w:val="227"/>
        </w:trPr>
        <w:tc>
          <w:tcPr>
            <w:tcW w:w="3113" w:type="dxa"/>
            <w:gridSpan w:val="3"/>
            <w:tcBorders>
              <w:top w:val="nil"/>
              <w:left w:val="nil"/>
              <w:bottom w:val="nil"/>
              <w:right w:val="nil"/>
            </w:tcBorders>
            <w:shd w:val="clear" w:color="auto" w:fill="auto"/>
            <w:noWrap/>
            <w:vAlign w:val="bottom"/>
          </w:tcPr>
          <w:p w14:paraId="6E676364" w14:textId="77777777" w:rsidR="00587444" w:rsidRPr="00587444" w:rsidRDefault="00587444" w:rsidP="00587444">
            <w:pPr>
              <w:suppressAutoHyphens w:val="0"/>
              <w:autoSpaceDN/>
              <w:jc w:val="both"/>
              <w:rPr>
                <w:rFonts w:ascii="Arial" w:eastAsia="Calibri" w:hAnsi="Arial" w:cs="Arial"/>
                <w:sz w:val="16"/>
                <w:szCs w:val="16"/>
                <w:lang w:eastAsia="hr-HR"/>
              </w:rPr>
            </w:pPr>
            <w:r w:rsidRPr="00587444">
              <w:rPr>
                <w:rFonts w:ascii="Arial" w:eastAsia="Calibri" w:hAnsi="Arial" w:cs="Arial"/>
                <w:sz w:val="16"/>
                <w:szCs w:val="16"/>
                <w:lang w:eastAsia="hr-HR"/>
              </w:rPr>
              <w:t>Listed debt instruments:</w:t>
            </w:r>
          </w:p>
        </w:tc>
        <w:tc>
          <w:tcPr>
            <w:tcW w:w="1139" w:type="dxa"/>
            <w:gridSpan w:val="4"/>
            <w:tcBorders>
              <w:top w:val="nil"/>
              <w:left w:val="nil"/>
              <w:bottom w:val="nil"/>
              <w:right w:val="nil"/>
            </w:tcBorders>
            <w:shd w:val="clear" w:color="auto" w:fill="auto"/>
            <w:noWrap/>
            <w:vAlign w:val="bottom"/>
          </w:tcPr>
          <w:p w14:paraId="0F5CDDBB" w14:textId="77777777" w:rsidR="00587444" w:rsidRPr="00587444" w:rsidRDefault="00587444" w:rsidP="00587444">
            <w:pPr>
              <w:suppressAutoHyphens w:val="0"/>
              <w:autoSpaceDN/>
              <w:jc w:val="center"/>
              <w:rPr>
                <w:rFonts w:ascii="Arial" w:eastAsia="Calibri" w:hAnsi="Arial" w:cs="Arial"/>
                <w:sz w:val="16"/>
                <w:szCs w:val="16"/>
              </w:rPr>
            </w:pPr>
          </w:p>
        </w:tc>
        <w:tc>
          <w:tcPr>
            <w:tcW w:w="1136" w:type="dxa"/>
            <w:tcBorders>
              <w:top w:val="nil"/>
              <w:left w:val="nil"/>
              <w:bottom w:val="nil"/>
              <w:right w:val="nil"/>
            </w:tcBorders>
            <w:shd w:val="clear" w:color="auto" w:fill="auto"/>
            <w:vAlign w:val="bottom"/>
          </w:tcPr>
          <w:p w14:paraId="78B2FFB5" w14:textId="77777777" w:rsidR="00587444" w:rsidRPr="00587444" w:rsidRDefault="00587444" w:rsidP="00587444">
            <w:pPr>
              <w:suppressAutoHyphens w:val="0"/>
              <w:autoSpaceDN/>
              <w:jc w:val="both"/>
              <w:rPr>
                <w:rFonts w:ascii="Arial" w:eastAsia="Calibri" w:hAnsi="Arial" w:cs="Arial"/>
                <w:sz w:val="16"/>
                <w:szCs w:val="16"/>
              </w:rPr>
            </w:pPr>
          </w:p>
        </w:tc>
        <w:tc>
          <w:tcPr>
            <w:tcW w:w="1273" w:type="dxa"/>
            <w:gridSpan w:val="2"/>
            <w:tcBorders>
              <w:top w:val="nil"/>
              <w:left w:val="nil"/>
              <w:bottom w:val="nil"/>
              <w:right w:val="nil"/>
            </w:tcBorders>
            <w:shd w:val="clear" w:color="auto" w:fill="auto"/>
            <w:vAlign w:val="bottom"/>
          </w:tcPr>
          <w:p w14:paraId="0608CC7A" w14:textId="77777777" w:rsidR="00587444" w:rsidRPr="00587444" w:rsidRDefault="00587444" w:rsidP="00587444">
            <w:pPr>
              <w:suppressAutoHyphens w:val="0"/>
              <w:autoSpaceDN/>
              <w:jc w:val="both"/>
              <w:rPr>
                <w:rFonts w:ascii="Arial" w:eastAsia="Calibri" w:hAnsi="Arial" w:cs="Arial"/>
                <w:sz w:val="16"/>
                <w:szCs w:val="16"/>
              </w:rPr>
            </w:pPr>
          </w:p>
        </w:tc>
        <w:tc>
          <w:tcPr>
            <w:tcW w:w="1417" w:type="dxa"/>
            <w:tcBorders>
              <w:top w:val="nil"/>
              <w:left w:val="nil"/>
              <w:bottom w:val="nil"/>
              <w:right w:val="nil"/>
            </w:tcBorders>
            <w:shd w:val="clear" w:color="auto" w:fill="auto"/>
            <w:vAlign w:val="bottom"/>
          </w:tcPr>
          <w:p w14:paraId="1A991267" w14:textId="77777777" w:rsidR="00587444" w:rsidRPr="00587444" w:rsidRDefault="00587444" w:rsidP="00587444">
            <w:pPr>
              <w:suppressAutoHyphens w:val="0"/>
              <w:autoSpaceDN/>
              <w:jc w:val="both"/>
              <w:rPr>
                <w:rFonts w:ascii="Arial" w:eastAsia="Calibri" w:hAnsi="Arial" w:cs="Arial"/>
                <w:sz w:val="16"/>
                <w:szCs w:val="16"/>
              </w:rPr>
            </w:pPr>
          </w:p>
        </w:tc>
        <w:tc>
          <w:tcPr>
            <w:tcW w:w="1278" w:type="dxa"/>
            <w:gridSpan w:val="2"/>
            <w:tcBorders>
              <w:top w:val="nil"/>
              <w:left w:val="nil"/>
              <w:bottom w:val="nil"/>
              <w:right w:val="nil"/>
            </w:tcBorders>
            <w:shd w:val="clear" w:color="auto" w:fill="auto"/>
            <w:vAlign w:val="bottom"/>
          </w:tcPr>
          <w:p w14:paraId="7D63C817" w14:textId="77777777" w:rsidR="00587444" w:rsidRPr="00587444" w:rsidRDefault="00587444" w:rsidP="00587444">
            <w:pPr>
              <w:suppressAutoHyphens w:val="0"/>
              <w:autoSpaceDN/>
              <w:jc w:val="both"/>
              <w:rPr>
                <w:rFonts w:ascii="Arial" w:eastAsia="Calibri" w:hAnsi="Arial" w:cs="Arial"/>
                <w:sz w:val="16"/>
                <w:szCs w:val="16"/>
              </w:rPr>
            </w:pPr>
          </w:p>
        </w:tc>
        <w:tc>
          <w:tcPr>
            <w:tcW w:w="1275" w:type="dxa"/>
            <w:tcBorders>
              <w:top w:val="nil"/>
              <w:left w:val="nil"/>
              <w:bottom w:val="nil"/>
              <w:right w:val="nil"/>
            </w:tcBorders>
            <w:shd w:val="clear" w:color="auto" w:fill="auto"/>
            <w:vAlign w:val="bottom"/>
          </w:tcPr>
          <w:p w14:paraId="78000FEA" w14:textId="77777777" w:rsidR="00587444" w:rsidRPr="00587444" w:rsidRDefault="00587444" w:rsidP="00587444">
            <w:pPr>
              <w:suppressAutoHyphens w:val="0"/>
              <w:autoSpaceDN/>
              <w:jc w:val="both"/>
              <w:rPr>
                <w:rFonts w:ascii="Arial" w:eastAsia="Calibri" w:hAnsi="Arial" w:cs="Arial"/>
                <w:sz w:val="16"/>
                <w:szCs w:val="16"/>
              </w:rPr>
            </w:pPr>
          </w:p>
        </w:tc>
      </w:tr>
      <w:tr w:rsidR="00587444" w:rsidRPr="00587444" w14:paraId="4F246659" w14:textId="77777777" w:rsidTr="00DD69E7">
        <w:trPr>
          <w:trHeight w:val="227"/>
        </w:trPr>
        <w:tc>
          <w:tcPr>
            <w:tcW w:w="4252" w:type="dxa"/>
            <w:gridSpan w:val="7"/>
            <w:tcBorders>
              <w:top w:val="nil"/>
              <w:left w:val="nil"/>
              <w:bottom w:val="nil"/>
              <w:right w:val="nil"/>
            </w:tcBorders>
            <w:shd w:val="clear" w:color="auto" w:fill="auto"/>
            <w:noWrap/>
            <w:vAlign w:val="bottom"/>
            <w:hideMark/>
          </w:tcPr>
          <w:p w14:paraId="122A1DA0" w14:textId="77777777" w:rsidR="00587444" w:rsidRPr="00587444" w:rsidRDefault="00587444" w:rsidP="00587444">
            <w:pPr>
              <w:suppressAutoHyphens w:val="0"/>
              <w:autoSpaceDN/>
              <w:jc w:val="both"/>
              <w:rPr>
                <w:rFonts w:ascii="Arial" w:eastAsia="Calibri" w:hAnsi="Arial" w:cs="Arial"/>
                <w:i/>
                <w:iCs/>
                <w:color w:val="000000"/>
                <w:sz w:val="16"/>
                <w:szCs w:val="16"/>
              </w:rPr>
            </w:pPr>
            <w:r w:rsidRPr="00587444">
              <w:rPr>
                <w:rFonts w:ascii="Arial" w:eastAsia="Calibri" w:hAnsi="Arial" w:cs="Arial"/>
                <w:i/>
                <w:color w:val="000000"/>
                <w:sz w:val="16"/>
                <w:szCs w:val="16"/>
                <w:lang w:eastAsia="hr-HR"/>
              </w:rPr>
              <w:t>Bonds of the Republic of Croatia with a currency clause:</w:t>
            </w:r>
          </w:p>
        </w:tc>
        <w:tc>
          <w:tcPr>
            <w:tcW w:w="1136" w:type="dxa"/>
            <w:tcBorders>
              <w:top w:val="nil"/>
              <w:left w:val="nil"/>
              <w:bottom w:val="nil"/>
              <w:right w:val="nil"/>
            </w:tcBorders>
            <w:shd w:val="clear" w:color="auto" w:fill="auto"/>
            <w:noWrap/>
            <w:vAlign w:val="bottom"/>
            <w:hideMark/>
          </w:tcPr>
          <w:p w14:paraId="74BF455C" w14:textId="77777777" w:rsidR="00587444" w:rsidRPr="00587444" w:rsidRDefault="00587444" w:rsidP="00587444">
            <w:pPr>
              <w:suppressAutoHyphens w:val="0"/>
              <w:autoSpaceDN/>
              <w:jc w:val="both"/>
              <w:rPr>
                <w:rFonts w:ascii="Arial" w:eastAsia="Calibri" w:hAnsi="Arial" w:cs="Arial"/>
                <w:i/>
                <w:iCs/>
                <w:color w:val="000000"/>
                <w:sz w:val="16"/>
                <w:szCs w:val="16"/>
              </w:rPr>
            </w:pPr>
          </w:p>
        </w:tc>
        <w:tc>
          <w:tcPr>
            <w:tcW w:w="1273" w:type="dxa"/>
            <w:gridSpan w:val="2"/>
            <w:tcBorders>
              <w:top w:val="nil"/>
              <w:left w:val="nil"/>
              <w:bottom w:val="nil"/>
              <w:right w:val="nil"/>
            </w:tcBorders>
            <w:shd w:val="clear" w:color="auto" w:fill="auto"/>
            <w:vAlign w:val="bottom"/>
            <w:hideMark/>
          </w:tcPr>
          <w:p w14:paraId="68D4CA23" w14:textId="77777777" w:rsidR="00587444" w:rsidRPr="00587444" w:rsidRDefault="00587444" w:rsidP="00587444">
            <w:pPr>
              <w:suppressAutoHyphens w:val="0"/>
              <w:autoSpaceDN/>
              <w:jc w:val="right"/>
              <w:rPr>
                <w:rFonts w:ascii="Arial" w:eastAsia="Calibri" w:hAnsi="Arial" w:cs="Arial"/>
                <w:sz w:val="16"/>
                <w:szCs w:val="16"/>
              </w:rPr>
            </w:pPr>
          </w:p>
        </w:tc>
        <w:tc>
          <w:tcPr>
            <w:tcW w:w="1417" w:type="dxa"/>
            <w:tcBorders>
              <w:top w:val="nil"/>
              <w:left w:val="nil"/>
              <w:bottom w:val="nil"/>
              <w:right w:val="nil"/>
            </w:tcBorders>
            <w:shd w:val="clear" w:color="auto" w:fill="auto"/>
            <w:vAlign w:val="bottom"/>
            <w:hideMark/>
          </w:tcPr>
          <w:p w14:paraId="465B9A53" w14:textId="77777777" w:rsidR="00587444" w:rsidRPr="00587444" w:rsidRDefault="00587444" w:rsidP="00587444">
            <w:pPr>
              <w:suppressAutoHyphens w:val="0"/>
              <w:autoSpaceDN/>
              <w:jc w:val="right"/>
              <w:rPr>
                <w:rFonts w:ascii="Arial" w:eastAsia="Calibri" w:hAnsi="Arial" w:cs="Arial"/>
                <w:sz w:val="16"/>
                <w:szCs w:val="16"/>
              </w:rPr>
            </w:pPr>
          </w:p>
        </w:tc>
        <w:tc>
          <w:tcPr>
            <w:tcW w:w="1136" w:type="dxa"/>
            <w:tcBorders>
              <w:top w:val="nil"/>
              <w:left w:val="nil"/>
              <w:bottom w:val="nil"/>
              <w:right w:val="nil"/>
            </w:tcBorders>
            <w:shd w:val="clear" w:color="auto" w:fill="auto"/>
            <w:noWrap/>
            <w:vAlign w:val="bottom"/>
            <w:hideMark/>
          </w:tcPr>
          <w:p w14:paraId="433C346C" w14:textId="77777777" w:rsidR="00587444" w:rsidRPr="00587444" w:rsidRDefault="00587444" w:rsidP="00587444">
            <w:pPr>
              <w:suppressAutoHyphens w:val="0"/>
              <w:autoSpaceDN/>
              <w:jc w:val="right"/>
              <w:rPr>
                <w:rFonts w:ascii="Arial" w:eastAsia="Calibri" w:hAnsi="Arial" w:cs="Arial"/>
                <w:sz w:val="16"/>
                <w:szCs w:val="16"/>
              </w:rPr>
            </w:pPr>
          </w:p>
        </w:tc>
        <w:tc>
          <w:tcPr>
            <w:tcW w:w="1417" w:type="dxa"/>
            <w:gridSpan w:val="2"/>
            <w:tcBorders>
              <w:top w:val="nil"/>
              <w:left w:val="nil"/>
              <w:bottom w:val="nil"/>
              <w:right w:val="nil"/>
            </w:tcBorders>
            <w:shd w:val="clear" w:color="auto" w:fill="auto"/>
            <w:vAlign w:val="bottom"/>
            <w:hideMark/>
          </w:tcPr>
          <w:p w14:paraId="77B3FE01" w14:textId="77777777" w:rsidR="00587444" w:rsidRPr="00587444" w:rsidRDefault="00587444" w:rsidP="00587444">
            <w:pPr>
              <w:suppressAutoHyphens w:val="0"/>
              <w:autoSpaceDN/>
              <w:jc w:val="right"/>
              <w:rPr>
                <w:rFonts w:ascii="Arial" w:eastAsia="Calibri" w:hAnsi="Arial" w:cs="Arial"/>
                <w:sz w:val="16"/>
                <w:szCs w:val="16"/>
              </w:rPr>
            </w:pPr>
          </w:p>
        </w:tc>
      </w:tr>
      <w:tr w:rsidR="00587444" w:rsidRPr="00587444" w14:paraId="7B8126A9" w14:textId="77777777" w:rsidTr="00DD69E7">
        <w:trPr>
          <w:trHeight w:val="227"/>
        </w:trPr>
        <w:tc>
          <w:tcPr>
            <w:tcW w:w="1979" w:type="dxa"/>
            <w:tcBorders>
              <w:top w:val="nil"/>
              <w:left w:val="nil"/>
              <w:bottom w:val="nil"/>
              <w:right w:val="nil"/>
            </w:tcBorders>
            <w:shd w:val="clear" w:color="auto" w:fill="auto"/>
            <w:noWrap/>
            <w:vAlign w:val="bottom"/>
            <w:hideMark/>
          </w:tcPr>
          <w:p w14:paraId="42773315"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RHMF-O-227E</w:t>
            </w:r>
          </w:p>
        </w:tc>
        <w:tc>
          <w:tcPr>
            <w:tcW w:w="1134" w:type="dxa"/>
            <w:gridSpan w:val="2"/>
            <w:tcBorders>
              <w:top w:val="nil"/>
              <w:left w:val="nil"/>
              <w:bottom w:val="nil"/>
              <w:right w:val="nil"/>
            </w:tcBorders>
            <w:shd w:val="clear" w:color="auto" w:fill="auto"/>
            <w:noWrap/>
            <w:vAlign w:val="bottom"/>
            <w:hideMark/>
          </w:tcPr>
          <w:p w14:paraId="71EF82CB"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22.7.2011.</w:t>
            </w:r>
          </w:p>
        </w:tc>
        <w:tc>
          <w:tcPr>
            <w:tcW w:w="1139" w:type="dxa"/>
            <w:gridSpan w:val="4"/>
            <w:tcBorders>
              <w:top w:val="nil"/>
              <w:left w:val="nil"/>
              <w:bottom w:val="nil"/>
              <w:right w:val="nil"/>
            </w:tcBorders>
            <w:shd w:val="clear" w:color="auto" w:fill="auto"/>
            <w:noWrap/>
            <w:vAlign w:val="bottom"/>
            <w:hideMark/>
          </w:tcPr>
          <w:p w14:paraId="0C79A19B"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22.7.2022.</w:t>
            </w:r>
          </w:p>
        </w:tc>
        <w:tc>
          <w:tcPr>
            <w:tcW w:w="1136" w:type="dxa"/>
            <w:tcBorders>
              <w:top w:val="nil"/>
              <w:left w:val="nil"/>
              <w:bottom w:val="nil"/>
              <w:right w:val="nil"/>
            </w:tcBorders>
            <w:shd w:val="clear" w:color="auto" w:fill="auto"/>
            <w:noWrap/>
            <w:vAlign w:val="bottom"/>
            <w:hideMark/>
          </w:tcPr>
          <w:p w14:paraId="31397487" w14:textId="77777777" w:rsidR="00587444" w:rsidRPr="00587444" w:rsidRDefault="00587444" w:rsidP="00587444">
            <w:pPr>
              <w:suppressAutoHyphens w:val="0"/>
              <w:autoSpaceDN/>
              <w:jc w:val="center"/>
              <w:rPr>
                <w:rFonts w:ascii="Arial" w:eastAsia="Calibri" w:hAnsi="Arial" w:cs="Arial"/>
                <w:color w:val="000000"/>
                <w:sz w:val="16"/>
                <w:szCs w:val="16"/>
              </w:rPr>
            </w:pPr>
            <w:r w:rsidRPr="00587444">
              <w:rPr>
                <w:rFonts w:ascii="Arial" w:eastAsia="Calibri" w:hAnsi="Arial" w:cs="Arial"/>
                <w:color w:val="000000"/>
                <w:sz w:val="16"/>
                <w:szCs w:val="16"/>
              </w:rPr>
              <w:t>6.5</w:t>
            </w:r>
          </w:p>
        </w:tc>
        <w:tc>
          <w:tcPr>
            <w:tcW w:w="1273" w:type="dxa"/>
            <w:gridSpan w:val="2"/>
            <w:tcBorders>
              <w:top w:val="nil"/>
              <w:left w:val="nil"/>
              <w:bottom w:val="nil"/>
              <w:right w:val="nil"/>
            </w:tcBorders>
            <w:vAlign w:val="bottom"/>
          </w:tcPr>
          <w:p w14:paraId="043821E2" w14:textId="77777777" w:rsidR="00587444" w:rsidRPr="00587444" w:rsidRDefault="00587444" w:rsidP="00587444">
            <w:pPr>
              <w:suppressAutoHyphens w:val="0"/>
              <w:autoSpaceDN/>
              <w:jc w:val="right"/>
              <w:rPr>
                <w:rFonts w:ascii="Arial" w:eastAsia="Calibri" w:hAnsi="Arial" w:cs="Arial"/>
                <w:sz w:val="16"/>
                <w:szCs w:val="16"/>
                <w:lang w:val="hr-HR"/>
              </w:rPr>
            </w:pPr>
            <w:r w:rsidRPr="00587444">
              <w:rPr>
                <w:rFonts w:ascii="Arial" w:eastAsia="Calibri" w:hAnsi="Arial" w:cs="Arial"/>
                <w:color w:val="000000"/>
                <w:sz w:val="16"/>
                <w:szCs w:val="16"/>
                <w:lang w:val="hr-HR"/>
              </w:rPr>
              <w:t>-</w:t>
            </w:r>
          </w:p>
        </w:tc>
        <w:tc>
          <w:tcPr>
            <w:tcW w:w="1417" w:type="dxa"/>
            <w:tcBorders>
              <w:top w:val="nil"/>
              <w:left w:val="nil"/>
              <w:bottom w:val="nil"/>
              <w:right w:val="nil"/>
            </w:tcBorders>
            <w:vAlign w:val="bottom"/>
          </w:tcPr>
          <w:p w14:paraId="78788F79"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148,536</w:t>
            </w:r>
          </w:p>
        </w:tc>
        <w:tc>
          <w:tcPr>
            <w:tcW w:w="1136" w:type="dxa"/>
            <w:tcBorders>
              <w:top w:val="nil"/>
              <w:left w:val="nil"/>
              <w:bottom w:val="nil"/>
              <w:right w:val="nil"/>
            </w:tcBorders>
            <w:shd w:val="clear" w:color="auto" w:fill="auto"/>
            <w:vAlign w:val="bottom"/>
          </w:tcPr>
          <w:p w14:paraId="442513E3"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eastAsia="hr-HR"/>
              </w:rPr>
              <w:t>-</w:t>
            </w:r>
          </w:p>
        </w:tc>
        <w:tc>
          <w:tcPr>
            <w:tcW w:w="1417" w:type="dxa"/>
            <w:gridSpan w:val="2"/>
            <w:tcBorders>
              <w:top w:val="nil"/>
              <w:left w:val="nil"/>
              <w:bottom w:val="nil"/>
              <w:right w:val="nil"/>
            </w:tcBorders>
            <w:vAlign w:val="bottom"/>
          </w:tcPr>
          <w:p w14:paraId="5D78B9EA"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eastAsia="hr-HR"/>
              </w:rPr>
              <w:t>148,536</w:t>
            </w:r>
          </w:p>
        </w:tc>
      </w:tr>
      <w:tr w:rsidR="00587444" w:rsidRPr="00587444" w14:paraId="49F0B64C" w14:textId="77777777" w:rsidTr="00DD69E7">
        <w:trPr>
          <w:trHeight w:val="227"/>
        </w:trPr>
        <w:tc>
          <w:tcPr>
            <w:tcW w:w="1979" w:type="dxa"/>
            <w:tcBorders>
              <w:top w:val="nil"/>
              <w:left w:val="nil"/>
              <w:bottom w:val="nil"/>
              <w:right w:val="nil"/>
            </w:tcBorders>
            <w:shd w:val="clear" w:color="auto" w:fill="auto"/>
            <w:noWrap/>
            <w:vAlign w:val="bottom"/>
            <w:hideMark/>
          </w:tcPr>
          <w:p w14:paraId="24B52DBD"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RHMF-O-247E</w:t>
            </w:r>
          </w:p>
        </w:tc>
        <w:tc>
          <w:tcPr>
            <w:tcW w:w="1134" w:type="dxa"/>
            <w:gridSpan w:val="2"/>
            <w:tcBorders>
              <w:top w:val="nil"/>
              <w:left w:val="nil"/>
              <w:bottom w:val="nil"/>
              <w:right w:val="nil"/>
            </w:tcBorders>
            <w:shd w:val="clear" w:color="auto" w:fill="auto"/>
            <w:noWrap/>
            <w:vAlign w:val="bottom"/>
            <w:hideMark/>
          </w:tcPr>
          <w:p w14:paraId="55A86761"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10.7.2013.</w:t>
            </w:r>
          </w:p>
        </w:tc>
        <w:tc>
          <w:tcPr>
            <w:tcW w:w="1139" w:type="dxa"/>
            <w:gridSpan w:val="4"/>
            <w:tcBorders>
              <w:top w:val="nil"/>
              <w:left w:val="nil"/>
              <w:bottom w:val="nil"/>
              <w:right w:val="nil"/>
            </w:tcBorders>
            <w:shd w:val="clear" w:color="auto" w:fill="auto"/>
            <w:noWrap/>
            <w:vAlign w:val="bottom"/>
            <w:hideMark/>
          </w:tcPr>
          <w:p w14:paraId="3892C529"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10.7.2024.</w:t>
            </w:r>
          </w:p>
        </w:tc>
        <w:tc>
          <w:tcPr>
            <w:tcW w:w="1136" w:type="dxa"/>
            <w:tcBorders>
              <w:top w:val="nil"/>
              <w:left w:val="nil"/>
              <w:bottom w:val="nil"/>
              <w:right w:val="nil"/>
            </w:tcBorders>
            <w:shd w:val="clear" w:color="auto" w:fill="auto"/>
            <w:noWrap/>
            <w:vAlign w:val="bottom"/>
            <w:hideMark/>
          </w:tcPr>
          <w:p w14:paraId="71A29653" w14:textId="77777777" w:rsidR="00587444" w:rsidRPr="00587444" w:rsidRDefault="00587444" w:rsidP="00587444">
            <w:pPr>
              <w:suppressAutoHyphens w:val="0"/>
              <w:autoSpaceDN/>
              <w:jc w:val="center"/>
              <w:rPr>
                <w:rFonts w:ascii="Arial" w:eastAsia="Calibri" w:hAnsi="Arial" w:cs="Arial"/>
                <w:color w:val="000000"/>
                <w:sz w:val="16"/>
                <w:szCs w:val="16"/>
              </w:rPr>
            </w:pPr>
            <w:r w:rsidRPr="00587444">
              <w:rPr>
                <w:rFonts w:ascii="Arial" w:eastAsia="Calibri" w:hAnsi="Arial" w:cs="Arial"/>
                <w:color w:val="000000"/>
                <w:sz w:val="16"/>
                <w:szCs w:val="16"/>
              </w:rPr>
              <w:t>5.75</w:t>
            </w:r>
          </w:p>
        </w:tc>
        <w:tc>
          <w:tcPr>
            <w:tcW w:w="1273" w:type="dxa"/>
            <w:gridSpan w:val="2"/>
            <w:tcBorders>
              <w:top w:val="nil"/>
              <w:left w:val="nil"/>
              <w:bottom w:val="nil"/>
              <w:right w:val="nil"/>
            </w:tcBorders>
            <w:vAlign w:val="bottom"/>
          </w:tcPr>
          <w:p w14:paraId="056DE598" w14:textId="77777777" w:rsidR="00587444" w:rsidRPr="00587444" w:rsidRDefault="00587444" w:rsidP="00587444">
            <w:pPr>
              <w:suppressAutoHyphens w:val="0"/>
              <w:autoSpaceDN/>
              <w:jc w:val="right"/>
              <w:rPr>
                <w:rFonts w:ascii="Arial" w:eastAsia="Calibri" w:hAnsi="Arial" w:cs="Arial"/>
                <w:sz w:val="16"/>
                <w:szCs w:val="16"/>
                <w:lang w:val="hr-HR"/>
              </w:rPr>
            </w:pPr>
            <w:r w:rsidRPr="00587444">
              <w:rPr>
                <w:rFonts w:ascii="Arial" w:eastAsia="Calibri" w:hAnsi="Arial" w:cs="Arial"/>
                <w:color w:val="000000"/>
                <w:sz w:val="16"/>
                <w:szCs w:val="16"/>
                <w:lang w:val="hr-HR"/>
              </w:rPr>
              <w:t>159,870</w:t>
            </w:r>
          </w:p>
        </w:tc>
        <w:tc>
          <w:tcPr>
            <w:tcW w:w="1417" w:type="dxa"/>
            <w:tcBorders>
              <w:top w:val="nil"/>
              <w:left w:val="nil"/>
              <w:bottom w:val="nil"/>
              <w:right w:val="nil"/>
            </w:tcBorders>
            <w:vAlign w:val="bottom"/>
          </w:tcPr>
          <w:p w14:paraId="640D9A02"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48,638</w:t>
            </w:r>
          </w:p>
        </w:tc>
        <w:tc>
          <w:tcPr>
            <w:tcW w:w="1136" w:type="dxa"/>
            <w:tcBorders>
              <w:top w:val="nil"/>
              <w:left w:val="nil"/>
              <w:bottom w:val="nil"/>
              <w:right w:val="nil"/>
            </w:tcBorders>
            <w:shd w:val="clear" w:color="auto" w:fill="auto"/>
            <w:vAlign w:val="bottom"/>
          </w:tcPr>
          <w:p w14:paraId="78DA3BDB"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eastAsia="hr-HR"/>
              </w:rPr>
              <w:t>155,238</w:t>
            </w:r>
          </w:p>
        </w:tc>
        <w:tc>
          <w:tcPr>
            <w:tcW w:w="1417" w:type="dxa"/>
            <w:gridSpan w:val="2"/>
            <w:tcBorders>
              <w:top w:val="nil"/>
              <w:left w:val="nil"/>
              <w:bottom w:val="nil"/>
              <w:right w:val="nil"/>
            </w:tcBorders>
            <w:vAlign w:val="bottom"/>
          </w:tcPr>
          <w:p w14:paraId="6737276F"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eastAsia="hr-HR"/>
              </w:rPr>
              <w:t>43,668</w:t>
            </w:r>
          </w:p>
        </w:tc>
      </w:tr>
      <w:tr w:rsidR="00587444" w:rsidRPr="00587444" w14:paraId="4DE4A61B" w14:textId="77777777" w:rsidTr="00DD69E7">
        <w:trPr>
          <w:trHeight w:val="227"/>
        </w:trPr>
        <w:tc>
          <w:tcPr>
            <w:tcW w:w="1979" w:type="dxa"/>
            <w:tcBorders>
              <w:top w:val="nil"/>
              <w:left w:val="nil"/>
              <w:bottom w:val="nil"/>
              <w:right w:val="nil"/>
            </w:tcBorders>
            <w:shd w:val="clear" w:color="auto" w:fill="auto"/>
            <w:noWrap/>
            <w:vAlign w:val="bottom"/>
          </w:tcPr>
          <w:p w14:paraId="328E6DCF"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hAnsi="Arial" w:cs="Arial"/>
                <w:sz w:val="16"/>
                <w:szCs w:val="16"/>
                <w:lang w:eastAsia="hr-HR"/>
              </w:rPr>
              <w:t>RHMF-O222E</w:t>
            </w:r>
          </w:p>
        </w:tc>
        <w:tc>
          <w:tcPr>
            <w:tcW w:w="1134" w:type="dxa"/>
            <w:gridSpan w:val="2"/>
            <w:tcBorders>
              <w:top w:val="nil"/>
              <w:left w:val="nil"/>
              <w:bottom w:val="nil"/>
              <w:right w:val="nil"/>
            </w:tcBorders>
            <w:shd w:val="clear" w:color="auto" w:fill="auto"/>
            <w:noWrap/>
            <w:vAlign w:val="bottom"/>
          </w:tcPr>
          <w:p w14:paraId="1D175CC4"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hAnsi="Arial" w:cs="Arial"/>
                <w:sz w:val="16"/>
                <w:szCs w:val="16"/>
                <w:lang w:eastAsia="hr-HR"/>
              </w:rPr>
              <w:t>5.2.2019.</w:t>
            </w:r>
          </w:p>
        </w:tc>
        <w:tc>
          <w:tcPr>
            <w:tcW w:w="1139" w:type="dxa"/>
            <w:gridSpan w:val="4"/>
            <w:tcBorders>
              <w:top w:val="nil"/>
              <w:left w:val="nil"/>
              <w:bottom w:val="nil"/>
              <w:right w:val="nil"/>
            </w:tcBorders>
            <w:shd w:val="clear" w:color="auto" w:fill="auto"/>
            <w:noWrap/>
            <w:vAlign w:val="bottom"/>
          </w:tcPr>
          <w:p w14:paraId="244E9862"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hAnsi="Arial" w:cs="Arial"/>
                <w:sz w:val="16"/>
                <w:szCs w:val="16"/>
                <w:lang w:eastAsia="hr-HR"/>
              </w:rPr>
              <w:t>5.2.2022.</w:t>
            </w:r>
          </w:p>
        </w:tc>
        <w:tc>
          <w:tcPr>
            <w:tcW w:w="1136" w:type="dxa"/>
            <w:tcBorders>
              <w:top w:val="nil"/>
              <w:left w:val="nil"/>
              <w:bottom w:val="nil"/>
              <w:right w:val="nil"/>
            </w:tcBorders>
            <w:shd w:val="clear" w:color="auto" w:fill="auto"/>
            <w:noWrap/>
            <w:vAlign w:val="bottom"/>
          </w:tcPr>
          <w:p w14:paraId="76389E85" w14:textId="77777777" w:rsidR="00587444" w:rsidRPr="00587444" w:rsidRDefault="00587444" w:rsidP="00587444">
            <w:pPr>
              <w:suppressAutoHyphens w:val="0"/>
              <w:autoSpaceDN/>
              <w:jc w:val="center"/>
              <w:rPr>
                <w:rFonts w:ascii="Arial" w:eastAsia="Calibri" w:hAnsi="Arial" w:cs="Arial"/>
                <w:sz w:val="16"/>
                <w:szCs w:val="16"/>
              </w:rPr>
            </w:pPr>
            <w:r w:rsidRPr="00587444">
              <w:rPr>
                <w:rFonts w:ascii="Arial" w:hAnsi="Arial" w:cs="Arial"/>
                <w:sz w:val="16"/>
                <w:szCs w:val="16"/>
                <w:lang w:eastAsia="hr-HR"/>
              </w:rPr>
              <w:t>0.5</w:t>
            </w:r>
          </w:p>
        </w:tc>
        <w:tc>
          <w:tcPr>
            <w:tcW w:w="1273" w:type="dxa"/>
            <w:gridSpan w:val="2"/>
            <w:tcBorders>
              <w:top w:val="nil"/>
              <w:left w:val="nil"/>
              <w:bottom w:val="nil"/>
              <w:right w:val="nil"/>
            </w:tcBorders>
            <w:vAlign w:val="bottom"/>
          </w:tcPr>
          <w:p w14:paraId="752659FC" w14:textId="77777777" w:rsidR="00587444" w:rsidRPr="00587444" w:rsidRDefault="00587444" w:rsidP="00587444">
            <w:pPr>
              <w:suppressAutoHyphens w:val="0"/>
              <w:autoSpaceDN/>
              <w:jc w:val="right"/>
              <w:rPr>
                <w:rFonts w:ascii="Arial" w:eastAsia="Calibri" w:hAnsi="Arial" w:cs="Arial"/>
                <w:sz w:val="16"/>
                <w:szCs w:val="16"/>
                <w:lang w:val="hr-HR"/>
              </w:rPr>
            </w:pPr>
            <w:r w:rsidRPr="00587444">
              <w:rPr>
                <w:rFonts w:ascii="Arial" w:eastAsia="Calibri" w:hAnsi="Arial" w:cs="Arial"/>
                <w:color w:val="000000"/>
                <w:sz w:val="16"/>
                <w:szCs w:val="16"/>
                <w:lang w:val="hr-HR"/>
              </w:rPr>
              <w:t>-</w:t>
            </w:r>
          </w:p>
        </w:tc>
        <w:tc>
          <w:tcPr>
            <w:tcW w:w="1417" w:type="dxa"/>
            <w:tcBorders>
              <w:top w:val="nil"/>
              <w:left w:val="nil"/>
              <w:bottom w:val="nil"/>
              <w:right w:val="nil"/>
            </w:tcBorders>
            <w:vAlign w:val="bottom"/>
          </w:tcPr>
          <w:p w14:paraId="5B571A8C"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15,032</w:t>
            </w:r>
          </w:p>
        </w:tc>
        <w:tc>
          <w:tcPr>
            <w:tcW w:w="1136" w:type="dxa"/>
            <w:tcBorders>
              <w:top w:val="nil"/>
              <w:left w:val="nil"/>
              <w:bottom w:val="nil"/>
              <w:right w:val="nil"/>
            </w:tcBorders>
            <w:shd w:val="clear" w:color="auto" w:fill="auto"/>
            <w:vAlign w:val="bottom"/>
          </w:tcPr>
          <w:p w14:paraId="37A24C65"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eastAsia="hr-HR"/>
              </w:rPr>
              <w:t>-</w:t>
            </w:r>
          </w:p>
        </w:tc>
        <w:tc>
          <w:tcPr>
            <w:tcW w:w="1417" w:type="dxa"/>
            <w:gridSpan w:val="2"/>
            <w:tcBorders>
              <w:top w:val="nil"/>
              <w:left w:val="nil"/>
              <w:bottom w:val="nil"/>
              <w:right w:val="nil"/>
            </w:tcBorders>
            <w:vAlign w:val="bottom"/>
          </w:tcPr>
          <w:p w14:paraId="685988DE"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eastAsia="hr-HR"/>
              </w:rPr>
              <w:t>15,032</w:t>
            </w:r>
          </w:p>
        </w:tc>
      </w:tr>
      <w:tr w:rsidR="00587444" w:rsidRPr="00587444" w14:paraId="7D004855" w14:textId="77777777" w:rsidTr="00DD69E7">
        <w:trPr>
          <w:trHeight w:val="227"/>
        </w:trPr>
        <w:tc>
          <w:tcPr>
            <w:tcW w:w="1979" w:type="dxa"/>
            <w:tcBorders>
              <w:top w:val="nil"/>
              <w:left w:val="nil"/>
              <w:bottom w:val="nil"/>
              <w:right w:val="nil"/>
            </w:tcBorders>
            <w:shd w:val="clear" w:color="auto" w:fill="auto"/>
            <w:noWrap/>
            <w:vAlign w:val="bottom"/>
          </w:tcPr>
          <w:p w14:paraId="57C54481" w14:textId="77777777" w:rsidR="00587444" w:rsidRPr="00587444" w:rsidRDefault="00587444" w:rsidP="00587444">
            <w:pPr>
              <w:suppressAutoHyphens w:val="0"/>
              <w:autoSpaceDN/>
              <w:jc w:val="right"/>
              <w:rPr>
                <w:rFonts w:ascii="Arial" w:hAnsi="Arial" w:cs="Arial"/>
                <w:sz w:val="16"/>
                <w:szCs w:val="16"/>
                <w:lang w:eastAsia="hr-HR"/>
              </w:rPr>
            </w:pPr>
            <w:r w:rsidRPr="00587444">
              <w:rPr>
                <w:rFonts w:ascii="Arial" w:eastAsia="Calibri" w:hAnsi="Arial" w:cs="Arial"/>
                <w:color w:val="000000"/>
                <w:sz w:val="16"/>
                <w:szCs w:val="16"/>
                <w:lang w:val="hr-HR" w:eastAsia="hr-HR"/>
              </w:rPr>
              <w:t>RHMF-O-267E</w:t>
            </w:r>
          </w:p>
        </w:tc>
        <w:tc>
          <w:tcPr>
            <w:tcW w:w="1134" w:type="dxa"/>
            <w:gridSpan w:val="2"/>
            <w:tcBorders>
              <w:top w:val="nil"/>
              <w:left w:val="nil"/>
              <w:bottom w:val="nil"/>
              <w:right w:val="nil"/>
            </w:tcBorders>
            <w:shd w:val="clear" w:color="auto" w:fill="auto"/>
            <w:noWrap/>
            <w:vAlign w:val="bottom"/>
          </w:tcPr>
          <w:p w14:paraId="45E1FBE1" w14:textId="77777777" w:rsidR="00587444" w:rsidRPr="00587444" w:rsidRDefault="00587444" w:rsidP="00587444">
            <w:pPr>
              <w:suppressAutoHyphens w:val="0"/>
              <w:autoSpaceDN/>
              <w:jc w:val="right"/>
              <w:rPr>
                <w:rFonts w:ascii="Arial" w:hAnsi="Arial" w:cs="Arial"/>
                <w:sz w:val="16"/>
                <w:szCs w:val="16"/>
                <w:lang w:eastAsia="hr-HR"/>
              </w:rPr>
            </w:pPr>
            <w:r w:rsidRPr="00587444">
              <w:rPr>
                <w:rFonts w:ascii="Arial" w:eastAsia="Calibri" w:hAnsi="Arial" w:cs="Arial"/>
                <w:color w:val="000000"/>
                <w:sz w:val="16"/>
                <w:szCs w:val="16"/>
                <w:lang w:val="hr-HR" w:eastAsia="hr-HR"/>
              </w:rPr>
              <w:t>15.7.2022.</w:t>
            </w:r>
          </w:p>
        </w:tc>
        <w:tc>
          <w:tcPr>
            <w:tcW w:w="1139" w:type="dxa"/>
            <w:gridSpan w:val="4"/>
            <w:tcBorders>
              <w:top w:val="nil"/>
              <w:left w:val="nil"/>
              <w:bottom w:val="nil"/>
              <w:right w:val="nil"/>
            </w:tcBorders>
            <w:shd w:val="clear" w:color="auto" w:fill="auto"/>
            <w:noWrap/>
            <w:vAlign w:val="bottom"/>
          </w:tcPr>
          <w:p w14:paraId="0988B99D" w14:textId="77777777" w:rsidR="00587444" w:rsidRPr="00587444" w:rsidRDefault="00587444" w:rsidP="00587444">
            <w:pPr>
              <w:suppressAutoHyphens w:val="0"/>
              <w:autoSpaceDN/>
              <w:jc w:val="right"/>
              <w:rPr>
                <w:rFonts w:ascii="Arial" w:hAnsi="Arial" w:cs="Arial"/>
                <w:sz w:val="16"/>
                <w:szCs w:val="16"/>
                <w:lang w:eastAsia="hr-HR"/>
              </w:rPr>
            </w:pPr>
            <w:r w:rsidRPr="00587444">
              <w:rPr>
                <w:rFonts w:ascii="Arial" w:eastAsia="Calibri" w:hAnsi="Arial" w:cs="Arial"/>
                <w:color w:val="000000"/>
                <w:sz w:val="16"/>
                <w:szCs w:val="16"/>
                <w:lang w:val="hr-HR" w:eastAsia="hr-HR"/>
              </w:rPr>
              <w:t>15.7.2026</w:t>
            </w:r>
          </w:p>
        </w:tc>
        <w:tc>
          <w:tcPr>
            <w:tcW w:w="1136" w:type="dxa"/>
            <w:tcBorders>
              <w:top w:val="nil"/>
              <w:left w:val="nil"/>
              <w:bottom w:val="nil"/>
              <w:right w:val="nil"/>
            </w:tcBorders>
            <w:shd w:val="clear" w:color="auto" w:fill="auto"/>
            <w:noWrap/>
            <w:vAlign w:val="bottom"/>
          </w:tcPr>
          <w:p w14:paraId="5D456B77" w14:textId="77777777" w:rsidR="00587444" w:rsidRPr="00587444" w:rsidRDefault="00587444" w:rsidP="00587444">
            <w:pPr>
              <w:suppressAutoHyphens w:val="0"/>
              <w:autoSpaceDN/>
              <w:jc w:val="center"/>
              <w:rPr>
                <w:rFonts w:ascii="Arial" w:hAnsi="Arial" w:cs="Arial"/>
                <w:sz w:val="16"/>
                <w:szCs w:val="16"/>
                <w:lang w:eastAsia="hr-HR"/>
              </w:rPr>
            </w:pPr>
            <w:r w:rsidRPr="00587444">
              <w:rPr>
                <w:rFonts w:ascii="Arial" w:eastAsia="Calibri" w:hAnsi="Arial" w:cs="Arial"/>
                <w:color w:val="000000"/>
                <w:sz w:val="16"/>
                <w:szCs w:val="16"/>
                <w:lang w:val="hr-HR" w:eastAsia="hr-HR"/>
              </w:rPr>
              <w:t>2.13</w:t>
            </w:r>
          </w:p>
        </w:tc>
        <w:tc>
          <w:tcPr>
            <w:tcW w:w="1273" w:type="dxa"/>
            <w:gridSpan w:val="2"/>
            <w:tcBorders>
              <w:top w:val="nil"/>
              <w:left w:val="nil"/>
              <w:bottom w:val="nil"/>
              <w:right w:val="nil"/>
            </w:tcBorders>
            <w:vAlign w:val="bottom"/>
          </w:tcPr>
          <w:p w14:paraId="4B388D3F" w14:textId="77777777" w:rsidR="00587444" w:rsidRPr="00587444" w:rsidRDefault="00587444" w:rsidP="00587444">
            <w:pPr>
              <w:suppressAutoHyphens w:val="0"/>
              <w:autoSpaceDN/>
              <w:jc w:val="right"/>
              <w:rPr>
                <w:rFonts w:ascii="Arial" w:eastAsia="Calibri" w:hAnsi="Arial" w:cs="Arial"/>
                <w:sz w:val="16"/>
                <w:szCs w:val="16"/>
                <w:lang w:val="hr-HR"/>
              </w:rPr>
            </w:pPr>
            <w:r w:rsidRPr="00587444">
              <w:rPr>
                <w:rFonts w:ascii="Arial" w:eastAsia="Calibri" w:hAnsi="Arial" w:cs="Arial"/>
                <w:color w:val="000000"/>
                <w:sz w:val="16"/>
                <w:szCs w:val="16"/>
                <w:lang w:val="hr-HR"/>
              </w:rPr>
              <w:t>153,961</w:t>
            </w:r>
          </w:p>
        </w:tc>
        <w:tc>
          <w:tcPr>
            <w:tcW w:w="1417" w:type="dxa"/>
            <w:tcBorders>
              <w:top w:val="nil"/>
              <w:left w:val="nil"/>
              <w:bottom w:val="nil"/>
              <w:right w:val="nil"/>
            </w:tcBorders>
            <w:vAlign w:val="bottom"/>
          </w:tcPr>
          <w:p w14:paraId="538F7BA2" w14:textId="77777777" w:rsidR="00587444" w:rsidRPr="00587444" w:rsidRDefault="00587444" w:rsidP="00587444">
            <w:pPr>
              <w:suppressAutoHyphens w:val="0"/>
              <w:autoSpaceDN/>
              <w:jc w:val="right"/>
              <w:rPr>
                <w:rFonts w:ascii="Arial" w:eastAsia="Calibri" w:hAnsi="Arial" w:cs="Arial"/>
                <w:color w:val="000000"/>
                <w:sz w:val="16"/>
                <w:szCs w:val="16"/>
                <w:lang w:val="hr-HR"/>
              </w:rPr>
            </w:pPr>
            <w:r w:rsidRPr="00587444">
              <w:rPr>
                <w:rFonts w:ascii="Arial" w:eastAsia="Calibri" w:hAnsi="Arial" w:cs="Arial"/>
                <w:color w:val="000000"/>
                <w:sz w:val="16"/>
                <w:szCs w:val="16"/>
                <w:lang w:val="hr-HR"/>
              </w:rPr>
              <w:t>-</w:t>
            </w:r>
          </w:p>
        </w:tc>
        <w:tc>
          <w:tcPr>
            <w:tcW w:w="1136" w:type="dxa"/>
            <w:tcBorders>
              <w:top w:val="nil"/>
              <w:left w:val="nil"/>
              <w:bottom w:val="nil"/>
              <w:right w:val="nil"/>
            </w:tcBorders>
            <w:shd w:val="clear" w:color="auto" w:fill="auto"/>
            <w:vAlign w:val="bottom"/>
          </w:tcPr>
          <w:p w14:paraId="4286D636"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eastAsia="hr-HR"/>
              </w:rPr>
              <w:t>153,961</w:t>
            </w:r>
          </w:p>
        </w:tc>
        <w:tc>
          <w:tcPr>
            <w:tcW w:w="1417" w:type="dxa"/>
            <w:gridSpan w:val="2"/>
            <w:tcBorders>
              <w:top w:val="nil"/>
              <w:left w:val="nil"/>
              <w:bottom w:val="nil"/>
              <w:right w:val="nil"/>
            </w:tcBorders>
            <w:vAlign w:val="bottom"/>
          </w:tcPr>
          <w:p w14:paraId="49D49FB9" w14:textId="77777777" w:rsidR="00587444" w:rsidRPr="00587444" w:rsidRDefault="00587444" w:rsidP="00587444">
            <w:pPr>
              <w:suppressAutoHyphens w:val="0"/>
              <w:autoSpaceDN/>
              <w:jc w:val="right"/>
              <w:rPr>
                <w:rFonts w:ascii="Arial" w:eastAsia="Calibri" w:hAnsi="Arial" w:cs="Arial"/>
                <w:color w:val="000000"/>
                <w:sz w:val="16"/>
                <w:szCs w:val="16"/>
                <w:lang w:val="hr-HR" w:eastAsia="hr-HR"/>
              </w:rPr>
            </w:pPr>
            <w:r w:rsidRPr="00587444">
              <w:rPr>
                <w:rFonts w:ascii="Arial" w:eastAsia="Calibri" w:hAnsi="Arial" w:cs="Arial"/>
                <w:color w:val="000000"/>
                <w:sz w:val="16"/>
                <w:szCs w:val="16"/>
                <w:lang w:val="hr-HR" w:eastAsia="hr-HR"/>
              </w:rPr>
              <w:t>-</w:t>
            </w:r>
          </w:p>
        </w:tc>
      </w:tr>
      <w:tr w:rsidR="00587444" w:rsidRPr="00587444" w14:paraId="47B6965E" w14:textId="77777777" w:rsidTr="00DD69E7">
        <w:trPr>
          <w:trHeight w:val="113"/>
        </w:trPr>
        <w:tc>
          <w:tcPr>
            <w:tcW w:w="4252" w:type="dxa"/>
            <w:gridSpan w:val="7"/>
            <w:tcBorders>
              <w:top w:val="nil"/>
              <w:left w:val="nil"/>
              <w:bottom w:val="nil"/>
              <w:right w:val="nil"/>
            </w:tcBorders>
            <w:shd w:val="clear" w:color="auto" w:fill="auto"/>
            <w:noWrap/>
            <w:vAlign w:val="bottom"/>
          </w:tcPr>
          <w:p w14:paraId="0EE3D3B4" w14:textId="77777777" w:rsidR="00587444" w:rsidRPr="00587444" w:rsidRDefault="00587444" w:rsidP="00587444">
            <w:pPr>
              <w:suppressAutoHyphens w:val="0"/>
              <w:autoSpaceDN/>
              <w:rPr>
                <w:rFonts w:ascii="Arial" w:eastAsia="Calibri" w:hAnsi="Arial" w:cs="Arial"/>
                <w:i/>
                <w:sz w:val="16"/>
                <w:szCs w:val="16"/>
              </w:rPr>
            </w:pPr>
            <w:r w:rsidRPr="00587444">
              <w:rPr>
                <w:rFonts w:ascii="Arial" w:eastAsia="Calibri" w:hAnsi="Arial" w:cs="Arial"/>
                <w:i/>
                <w:sz w:val="16"/>
                <w:szCs w:val="16"/>
                <w:lang w:eastAsia="hr-HR"/>
              </w:rPr>
              <w:t>Bonds of the Republic of Croatia in foreign currency:</w:t>
            </w:r>
          </w:p>
        </w:tc>
        <w:tc>
          <w:tcPr>
            <w:tcW w:w="1136" w:type="dxa"/>
            <w:tcBorders>
              <w:top w:val="nil"/>
              <w:left w:val="nil"/>
              <w:bottom w:val="nil"/>
              <w:right w:val="nil"/>
            </w:tcBorders>
            <w:shd w:val="clear" w:color="auto" w:fill="auto"/>
            <w:noWrap/>
            <w:vAlign w:val="bottom"/>
          </w:tcPr>
          <w:p w14:paraId="553D4661" w14:textId="77777777" w:rsidR="00587444" w:rsidRPr="00587444" w:rsidRDefault="00587444" w:rsidP="00587444">
            <w:pPr>
              <w:suppressAutoHyphens w:val="0"/>
              <w:autoSpaceDN/>
              <w:jc w:val="center"/>
              <w:rPr>
                <w:rFonts w:ascii="Arial" w:eastAsia="Calibri" w:hAnsi="Arial" w:cs="Arial"/>
                <w:sz w:val="16"/>
                <w:szCs w:val="16"/>
              </w:rPr>
            </w:pPr>
          </w:p>
        </w:tc>
        <w:tc>
          <w:tcPr>
            <w:tcW w:w="1273" w:type="dxa"/>
            <w:gridSpan w:val="2"/>
            <w:tcBorders>
              <w:top w:val="nil"/>
              <w:left w:val="nil"/>
              <w:bottom w:val="nil"/>
              <w:right w:val="nil"/>
            </w:tcBorders>
            <w:shd w:val="clear" w:color="auto" w:fill="auto"/>
            <w:vAlign w:val="bottom"/>
          </w:tcPr>
          <w:p w14:paraId="2AC1D49A" w14:textId="77777777" w:rsidR="00587444" w:rsidRPr="00587444" w:rsidRDefault="00587444" w:rsidP="00587444">
            <w:pPr>
              <w:suppressAutoHyphens w:val="0"/>
              <w:autoSpaceDN/>
              <w:jc w:val="right"/>
              <w:rPr>
                <w:rFonts w:ascii="Arial" w:eastAsia="Calibri" w:hAnsi="Arial" w:cs="Arial"/>
                <w:sz w:val="16"/>
                <w:szCs w:val="16"/>
                <w:lang w:val="hr-HR"/>
              </w:rPr>
            </w:pPr>
          </w:p>
        </w:tc>
        <w:tc>
          <w:tcPr>
            <w:tcW w:w="1417" w:type="dxa"/>
            <w:tcBorders>
              <w:top w:val="nil"/>
              <w:left w:val="nil"/>
              <w:bottom w:val="nil"/>
              <w:right w:val="nil"/>
            </w:tcBorders>
            <w:shd w:val="clear" w:color="auto" w:fill="auto"/>
            <w:vAlign w:val="bottom"/>
          </w:tcPr>
          <w:p w14:paraId="6905D7DB" w14:textId="77777777" w:rsidR="00587444" w:rsidRPr="00587444" w:rsidRDefault="00587444" w:rsidP="00587444">
            <w:pPr>
              <w:suppressAutoHyphens w:val="0"/>
              <w:autoSpaceDN/>
              <w:jc w:val="right"/>
              <w:rPr>
                <w:rFonts w:ascii="Arial" w:eastAsia="Calibri" w:hAnsi="Arial" w:cs="Arial"/>
                <w:sz w:val="16"/>
                <w:szCs w:val="16"/>
              </w:rPr>
            </w:pPr>
          </w:p>
        </w:tc>
        <w:tc>
          <w:tcPr>
            <w:tcW w:w="1136" w:type="dxa"/>
            <w:tcBorders>
              <w:top w:val="nil"/>
              <w:left w:val="nil"/>
              <w:bottom w:val="nil"/>
              <w:right w:val="nil"/>
            </w:tcBorders>
            <w:vAlign w:val="bottom"/>
          </w:tcPr>
          <w:p w14:paraId="2036EA71" w14:textId="77777777" w:rsidR="00587444" w:rsidRPr="00587444" w:rsidRDefault="00587444" w:rsidP="00587444">
            <w:pPr>
              <w:suppressAutoHyphens w:val="0"/>
              <w:autoSpaceDN/>
              <w:jc w:val="right"/>
              <w:rPr>
                <w:rFonts w:ascii="Arial" w:eastAsia="Calibri" w:hAnsi="Arial" w:cs="Arial"/>
                <w:sz w:val="16"/>
                <w:szCs w:val="16"/>
              </w:rPr>
            </w:pPr>
          </w:p>
        </w:tc>
        <w:tc>
          <w:tcPr>
            <w:tcW w:w="1417" w:type="dxa"/>
            <w:gridSpan w:val="2"/>
            <w:tcBorders>
              <w:top w:val="nil"/>
              <w:left w:val="nil"/>
              <w:bottom w:val="nil"/>
              <w:right w:val="nil"/>
            </w:tcBorders>
            <w:shd w:val="clear" w:color="auto" w:fill="auto"/>
            <w:vAlign w:val="bottom"/>
          </w:tcPr>
          <w:p w14:paraId="75CCAA85" w14:textId="77777777" w:rsidR="00587444" w:rsidRPr="00587444" w:rsidRDefault="00587444" w:rsidP="00587444">
            <w:pPr>
              <w:suppressAutoHyphens w:val="0"/>
              <w:autoSpaceDN/>
              <w:jc w:val="right"/>
              <w:rPr>
                <w:rFonts w:ascii="Arial" w:eastAsia="Calibri" w:hAnsi="Arial" w:cs="Arial"/>
                <w:sz w:val="16"/>
                <w:szCs w:val="16"/>
              </w:rPr>
            </w:pPr>
          </w:p>
        </w:tc>
      </w:tr>
      <w:tr w:rsidR="00587444" w:rsidRPr="00587444" w14:paraId="5812D5AA" w14:textId="77777777" w:rsidTr="00DD69E7">
        <w:trPr>
          <w:trHeight w:val="227"/>
        </w:trPr>
        <w:tc>
          <w:tcPr>
            <w:tcW w:w="1979" w:type="dxa"/>
            <w:tcBorders>
              <w:top w:val="nil"/>
              <w:left w:val="nil"/>
              <w:bottom w:val="nil"/>
              <w:right w:val="nil"/>
            </w:tcBorders>
            <w:shd w:val="clear" w:color="auto" w:fill="auto"/>
            <w:noWrap/>
            <w:vAlign w:val="bottom"/>
            <w:hideMark/>
          </w:tcPr>
          <w:p w14:paraId="42B37D46"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XS1117298916</w:t>
            </w:r>
          </w:p>
        </w:tc>
        <w:tc>
          <w:tcPr>
            <w:tcW w:w="1134" w:type="dxa"/>
            <w:gridSpan w:val="2"/>
            <w:tcBorders>
              <w:top w:val="nil"/>
              <w:left w:val="nil"/>
              <w:bottom w:val="nil"/>
              <w:right w:val="nil"/>
            </w:tcBorders>
            <w:shd w:val="clear" w:color="auto" w:fill="auto"/>
            <w:noWrap/>
            <w:vAlign w:val="bottom"/>
            <w:hideMark/>
          </w:tcPr>
          <w:p w14:paraId="7AD9BA32"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11.3.2015.</w:t>
            </w:r>
          </w:p>
        </w:tc>
        <w:tc>
          <w:tcPr>
            <w:tcW w:w="1139" w:type="dxa"/>
            <w:gridSpan w:val="4"/>
            <w:tcBorders>
              <w:top w:val="nil"/>
              <w:left w:val="nil"/>
              <w:bottom w:val="nil"/>
              <w:right w:val="nil"/>
            </w:tcBorders>
            <w:shd w:val="clear" w:color="auto" w:fill="auto"/>
            <w:noWrap/>
            <w:vAlign w:val="bottom"/>
            <w:hideMark/>
          </w:tcPr>
          <w:p w14:paraId="0DC91338"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11.3.2025.</w:t>
            </w:r>
          </w:p>
        </w:tc>
        <w:tc>
          <w:tcPr>
            <w:tcW w:w="1136" w:type="dxa"/>
            <w:tcBorders>
              <w:top w:val="nil"/>
              <w:left w:val="nil"/>
              <w:bottom w:val="nil"/>
              <w:right w:val="nil"/>
            </w:tcBorders>
            <w:shd w:val="clear" w:color="auto" w:fill="auto"/>
            <w:noWrap/>
            <w:vAlign w:val="bottom"/>
            <w:hideMark/>
          </w:tcPr>
          <w:p w14:paraId="75F2F2FA" w14:textId="77777777" w:rsidR="00587444" w:rsidRPr="00587444" w:rsidRDefault="00587444" w:rsidP="00587444">
            <w:pPr>
              <w:suppressAutoHyphens w:val="0"/>
              <w:autoSpaceDN/>
              <w:jc w:val="center"/>
              <w:rPr>
                <w:rFonts w:ascii="Arial" w:eastAsia="Calibri" w:hAnsi="Arial" w:cs="Arial"/>
                <w:sz w:val="16"/>
                <w:szCs w:val="16"/>
              </w:rPr>
            </w:pPr>
            <w:r w:rsidRPr="00587444">
              <w:rPr>
                <w:rFonts w:ascii="Arial" w:eastAsia="Calibri" w:hAnsi="Arial" w:cs="Arial"/>
                <w:sz w:val="16"/>
                <w:szCs w:val="16"/>
              </w:rPr>
              <w:t>3.0</w:t>
            </w:r>
          </w:p>
        </w:tc>
        <w:tc>
          <w:tcPr>
            <w:tcW w:w="1273" w:type="dxa"/>
            <w:gridSpan w:val="2"/>
            <w:tcBorders>
              <w:top w:val="nil"/>
              <w:left w:val="nil"/>
              <w:bottom w:val="nil"/>
              <w:right w:val="nil"/>
            </w:tcBorders>
            <w:vAlign w:val="bottom"/>
          </w:tcPr>
          <w:p w14:paraId="04606466" w14:textId="77777777" w:rsidR="00587444" w:rsidRPr="00587444" w:rsidRDefault="00587444" w:rsidP="00587444">
            <w:pPr>
              <w:suppressAutoHyphens w:val="0"/>
              <w:autoSpaceDN/>
              <w:jc w:val="right"/>
              <w:rPr>
                <w:rFonts w:ascii="Arial" w:eastAsia="Calibri" w:hAnsi="Arial" w:cs="Arial"/>
                <w:sz w:val="16"/>
                <w:szCs w:val="16"/>
                <w:lang w:val="hr-HR"/>
              </w:rPr>
            </w:pPr>
            <w:r w:rsidRPr="00587444">
              <w:rPr>
                <w:rFonts w:ascii="Arial" w:eastAsia="Calibri" w:hAnsi="Arial" w:cs="Arial"/>
                <w:color w:val="000000"/>
                <w:sz w:val="16"/>
                <w:szCs w:val="16"/>
                <w:lang w:val="hr-HR"/>
              </w:rPr>
              <w:t>285,076</w:t>
            </w:r>
          </w:p>
        </w:tc>
        <w:tc>
          <w:tcPr>
            <w:tcW w:w="1417" w:type="dxa"/>
            <w:tcBorders>
              <w:top w:val="nil"/>
              <w:left w:val="nil"/>
              <w:bottom w:val="nil"/>
              <w:right w:val="nil"/>
            </w:tcBorders>
            <w:vAlign w:val="bottom"/>
          </w:tcPr>
          <w:p w14:paraId="00F84F09"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312,397</w:t>
            </w:r>
          </w:p>
        </w:tc>
        <w:tc>
          <w:tcPr>
            <w:tcW w:w="1136" w:type="dxa"/>
            <w:tcBorders>
              <w:top w:val="nil"/>
              <w:left w:val="nil"/>
              <w:bottom w:val="nil"/>
              <w:right w:val="nil"/>
            </w:tcBorders>
            <w:shd w:val="clear" w:color="auto" w:fill="auto"/>
            <w:vAlign w:val="bottom"/>
          </w:tcPr>
          <w:p w14:paraId="50FCC5AA"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eastAsia="hr-HR"/>
              </w:rPr>
              <w:t>285,076</w:t>
            </w:r>
          </w:p>
        </w:tc>
        <w:tc>
          <w:tcPr>
            <w:tcW w:w="1417" w:type="dxa"/>
            <w:gridSpan w:val="2"/>
            <w:tcBorders>
              <w:top w:val="nil"/>
              <w:left w:val="nil"/>
              <w:bottom w:val="nil"/>
              <w:right w:val="nil"/>
            </w:tcBorders>
            <w:shd w:val="clear" w:color="auto" w:fill="auto"/>
            <w:vAlign w:val="bottom"/>
          </w:tcPr>
          <w:p w14:paraId="0C37E9D9"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eastAsia="hr-HR"/>
              </w:rPr>
              <w:t>312,397</w:t>
            </w:r>
          </w:p>
        </w:tc>
      </w:tr>
      <w:tr w:rsidR="00587444" w:rsidRPr="00587444" w14:paraId="2DD29380" w14:textId="77777777" w:rsidTr="00DD69E7">
        <w:trPr>
          <w:trHeight w:val="227"/>
        </w:trPr>
        <w:tc>
          <w:tcPr>
            <w:tcW w:w="1979" w:type="dxa"/>
            <w:tcBorders>
              <w:top w:val="nil"/>
              <w:left w:val="nil"/>
              <w:bottom w:val="nil"/>
              <w:right w:val="nil"/>
            </w:tcBorders>
            <w:shd w:val="clear" w:color="auto" w:fill="auto"/>
            <w:noWrap/>
            <w:vAlign w:val="bottom"/>
          </w:tcPr>
          <w:p w14:paraId="659BBE8F"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XS1843434876</w:t>
            </w:r>
          </w:p>
        </w:tc>
        <w:tc>
          <w:tcPr>
            <w:tcW w:w="1134" w:type="dxa"/>
            <w:gridSpan w:val="2"/>
            <w:tcBorders>
              <w:top w:val="nil"/>
              <w:left w:val="nil"/>
              <w:bottom w:val="nil"/>
              <w:right w:val="nil"/>
            </w:tcBorders>
            <w:shd w:val="clear" w:color="auto" w:fill="auto"/>
            <w:noWrap/>
            <w:vAlign w:val="bottom"/>
          </w:tcPr>
          <w:p w14:paraId="22EA720E"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19.6.2019.</w:t>
            </w:r>
          </w:p>
        </w:tc>
        <w:tc>
          <w:tcPr>
            <w:tcW w:w="1139" w:type="dxa"/>
            <w:gridSpan w:val="4"/>
            <w:tcBorders>
              <w:top w:val="nil"/>
              <w:left w:val="nil"/>
              <w:bottom w:val="nil"/>
              <w:right w:val="nil"/>
            </w:tcBorders>
            <w:shd w:val="clear" w:color="auto" w:fill="auto"/>
            <w:noWrap/>
            <w:vAlign w:val="bottom"/>
          </w:tcPr>
          <w:p w14:paraId="17265177"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19.6.2029.</w:t>
            </w:r>
          </w:p>
        </w:tc>
        <w:tc>
          <w:tcPr>
            <w:tcW w:w="1136" w:type="dxa"/>
            <w:tcBorders>
              <w:top w:val="nil"/>
              <w:left w:val="nil"/>
              <w:bottom w:val="nil"/>
              <w:right w:val="nil"/>
            </w:tcBorders>
            <w:shd w:val="clear" w:color="auto" w:fill="auto"/>
            <w:noWrap/>
            <w:vAlign w:val="bottom"/>
          </w:tcPr>
          <w:p w14:paraId="340FF58F" w14:textId="77777777" w:rsidR="00587444" w:rsidRPr="00587444" w:rsidRDefault="00587444" w:rsidP="00587444">
            <w:pPr>
              <w:suppressAutoHyphens w:val="0"/>
              <w:autoSpaceDN/>
              <w:jc w:val="center"/>
              <w:rPr>
                <w:rFonts w:ascii="Arial" w:eastAsia="Calibri" w:hAnsi="Arial" w:cs="Arial"/>
                <w:sz w:val="16"/>
                <w:szCs w:val="16"/>
              </w:rPr>
            </w:pPr>
            <w:r w:rsidRPr="00587444">
              <w:rPr>
                <w:rFonts w:ascii="Arial" w:eastAsia="Calibri" w:hAnsi="Arial" w:cs="Arial"/>
                <w:sz w:val="16"/>
                <w:szCs w:val="16"/>
              </w:rPr>
              <w:t>1.125</w:t>
            </w:r>
          </w:p>
        </w:tc>
        <w:tc>
          <w:tcPr>
            <w:tcW w:w="1273" w:type="dxa"/>
            <w:gridSpan w:val="2"/>
            <w:tcBorders>
              <w:top w:val="nil"/>
              <w:left w:val="nil"/>
              <w:bottom w:val="nil"/>
              <w:right w:val="nil"/>
            </w:tcBorders>
            <w:shd w:val="clear" w:color="auto" w:fill="auto"/>
            <w:vAlign w:val="bottom"/>
          </w:tcPr>
          <w:p w14:paraId="634C32AF" w14:textId="77777777" w:rsidR="00587444" w:rsidRPr="00587444" w:rsidRDefault="00587444" w:rsidP="00587444">
            <w:pPr>
              <w:suppressAutoHyphens w:val="0"/>
              <w:autoSpaceDN/>
              <w:jc w:val="right"/>
              <w:rPr>
                <w:rFonts w:ascii="Arial" w:eastAsia="Calibri" w:hAnsi="Arial" w:cs="Arial"/>
                <w:sz w:val="16"/>
                <w:szCs w:val="16"/>
                <w:lang w:val="hr-HR"/>
              </w:rPr>
            </w:pPr>
            <w:r w:rsidRPr="00587444">
              <w:rPr>
                <w:rFonts w:ascii="Arial" w:eastAsia="Calibri" w:hAnsi="Arial" w:cs="Arial"/>
                <w:color w:val="000000"/>
                <w:sz w:val="16"/>
                <w:szCs w:val="16"/>
                <w:lang w:val="hr-HR"/>
              </w:rPr>
              <w:t>12,776</w:t>
            </w:r>
          </w:p>
        </w:tc>
        <w:tc>
          <w:tcPr>
            <w:tcW w:w="1417" w:type="dxa"/>
            <w:tcBorders>
              <w:top w:val="nil"/>
              <w:left w:val="nil"/>
              <w:bottom w:val="nil"/>
              <w:right w:val="nil"/>
            </w:tcBorders>
            <w:vAlign w:val="bottom"/>
          </w:tcPr>
          <w:p w14:paraId="7D414534"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15,301</w:t>
            </w:r>
          </w:p>
        </w:tc>
        <w:tc>
          <w:tcPr>
            <w:tcW w:w="1136" w:type="dxa"/>
            <w:tcBorders>
              <w:top w:val="nil"/>
              <w:left w:val="nil"/>
              <w:bottom w:val="nil"/>
              <w:right w:val="nil"/>
            </w:tcBorders>
            <w:shd w:val="clear" w:color="auto" w:fill="auto"/>
            <w:vAlign w:val="bottom"/>
          </w:tcPr>
          <w:p w14:paraId="4C08CFBB"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eastAsia="hr-HR"/>
              </w:rPr>
              <w:t>12,776</w:t>
            </w:r>
          </w:p>
        </w:tc>
        <w:tc>
          <w:tcPr>
            <w:tcW w:w="1417" w:type="dxa"/>
            <w:gridSpan w:val="2"/>
            <w:tcBorders>
              <w:top w:val="nil"/>
              <w:left w:val="nil"/>
              <w:bottom w:val="nil"/>
              <w:right w:val="nil"/>
            </w:tcBorders>
            <w:shd w:val="clear" w:color="auto" w:fill="auto"/>
            <w:vAlign w:val="bottom"/>
          </w:tcPr>
          <w:p w14:paraId="09160BE2"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eastAsia="hr-HR"/>
              </w:rPr>
              <w:t>15,301</w:t>
            </w:r>
          </w:p>
        </w:tc>
      </w:tr>
      <w:tr w:rsidR="00587444" w:rsidRPr="00587444" w14:paraId="2B109AD8" w14:textId="77777777" w:rsidTr="00DD69E7">
        <w:trPr>
          <w:trHeight w:val="227"/>
        </w:trPr>
        <w:tc>
          <w:tcPr>
            <w:tcW w:w="1979" w:type="dxa"/>
            <w:tcBorders>
              <w:top w:val="nil"/>
              <w:left w:val="nil"/>
              <w:bottom w:val="nil"/>
              <w:right w:val="nil"/>
            </w:tcBorders>
            <w:shd w:val="clear" w:color="auto" w:fill="auto"/>
            <w:noWrap/>
            <w:vAlign w:val="bottom"/>
          </w:tcPr>
          <w:p w14:paraId="02716A66"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XS1028953989</w:t>
            </w:r>
          </w:p>
        </w:tc>
        <w:tc>
          <w:tcPr>
            <w:tcW w:w="1134" w:type="dxa"/>
            <w:gridSpan w:val="2"/>
            <w:tcBorders>
              <w:top w:val="nil"/>
              <w:left w:val="nil"/>
              <w:bottom w:val="nil"/>
              <w:right w:val="nil"/>
            </w:tcBorders>
            <w:shd w:val="clear" w:color="auto" w:fill="auto"/>
            <w:noWrap/>
            <w:vAlign w:val="bottom"/>
          </w:tcPr>
          <w:p w14:paraId="540B76D0"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29.5.2014.</w:t>
            </w:r>
          </w:p>
        </w:tc>
        <w:tc>
          <w:tcPr>
            <w:tcW w:w="1139" w:type="dxa"/>
            <w:gridSpan w:val="4"/>
            <w:tcBorders>
              <w:top w:val="nil"/>
              <w:left w:val="nil"/>
              <w:bottom w:val="nil"/>
              <w:right w:val="nil"/>
            </w:tcBorders>
            <w:shd w:val="clear" w:color="auto" w:fill="auto"/>
            <w:noWrap/>
            <w:vAlign w:val="bottom"/>
          </w:tcPr>
          <w:p w14:paraId="56D9E666"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30.5.2022.</w:t>
            </w:r>
          </w:p>
        </w:tc>
        <w:tc>
          <w:tcPr>
            <w:tcW w:w="1136" w:type="dxa"/>
            <w:tcBorders>
              <w:top w:val="nil"/>
              <w:left w:val="nil"/>
              <w:bottom w:val="nil"/>
              <w:right w:val="nil"/>
            </w:tcBorders>
            <w:shd w:val="clear" w:color="auto" w:fill="auto"/>
            <w:noWrap/>
            <w:vAlign w:val="bottom"/>
          </w:tcPr>
          <w:p w14:paraId="0068C9ED" w14:textId="77777777" w:rsidR="00587444" w:rsidRPr="00587444" w:rsidRDefault="00587444" w:rsidP="00587444">
            <w:pPr>
              <w:suppressAutoHyphens w:val="0"/>
              <w:autoSpaceDN/>
              <w:jc w:val="center"/>
              <w:rPr>
                <w:rFonts w:ascii="Arial" w:eastAsia="Calibri" w:hAnsi="Arial" w:cs="Arial"/>
                <w:sz w:val="16"/>
                <w:szCs w:val="16"/>
              </w:rPr>
            </w:pPr>
            <w:r w:rsidRPr="00587444">
              <w:rPr>
                <w:rFonts w:ascii="Arial" w:eastAsia="Calibri" w:hAnsi="Arial" w:cs="Arial"/>
                <w:sz w:val="16"/>
                <w:szCs w:val="16"/>
              </w:rPr>
              <w:t>3.875</w:t>
            </w:r>
          </w:p>
        </w:tc>
        <w:tc>
          <w:tcPr>
            <w:tcW w:w="1273" w:type="dxa"/>
            <w:gridSpan w:val="2"/>
            <w:tcBorders>
              <w:top w:val="nil"/>
              <w:left w:val="nil"/>
              <w:bottom w:val="nil"/>
              <w:right w:val="nil"/>
            </w:tcBorders>
            <w:shd w:val="clear" w:color="auto" w:fill="auto"/>
            <w:vAlign w:val="bottom"/>
          </w:tcPr>
          <w:p w14:paraId="4F1727AB" w14:textId="77777777" w:rsidR="00587444" w:rsidRPr="00587444" w:rsidRDefault="00587444" w:rsidP="00587444">
            <w:pPr>
              <w:suppressAutoHyphens w:val="0"/>
              <w:autoSpaceDN/>
              <w:jc w:val="right"/>
              <w:rPr>
                <w:rFonts w:ascii="Arial" w:eastAsia="Calibri" w:hAnsi="Arial" w:cs="Arial"/>
                <w:sz w:val="16"/>
                <w:szCs w:val="16"/>
                <w:lang w:val="hr-HR"/>
              </w:rPr>
            </w:pPr>
            <w:r w:rsidRPr="00587444">
              <w:rPr>
                <w:rFonts w:ascii="Arial" w:eastAsia="Calibri" w:hAnsi="Arial" w:cs="Arial"/>
                <w:color w:val="000000"/>
                <w:sz w:val="16"/>
                <w:szCs w:val="16"/>
                <w:lang w:val="hr-HR"/>
              </w:rPr>
              <w:t>-</w:t>
            </w:r>
          </w:p>
        </w:tc>
        <w:tc>
          <w:tcPr>
            <w:tcW w:w="1417" w:type="dxa"/>
            <w:tcBorders>
              <w:top w:val="nil"/>
              <w:left w:val="nil"/>
              <w:bottom w:val="nil"/>
              <w:right w:val="nil"/>
            </w:tcBorders>
            <w:vAlign w:val="bottom"/>
          </w:tcPr>
          <w:p w14:paraId="4659A928"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lang w:val="hr-HR"/>
              </w:rPr>
              <w:t>54,241</w:t>
            </w:r>
          </w:p>
        </w:tc>
        <w:tc>
          <w:tcPr>
            <w:tcW w:w="1136" w:type="dxa"/>
            <w:tcBorders>
              <w:top w:val="nil"/>
              <w:left w:val="nil"/>
              <w:bottom w:val="nil"/>
              <w:right w:val="nil"/>
            </w:tcBorders>
            <w:shd w:val="clear" w:color="auto" w:fill="auto"/>
            <w:vAlign w:val="bottom"/>
          </w:tcPr>
          <w:p w14:paraId="78BB4A2E"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eastAsia="hr-HR"/>
              </w:rPr>
              <w:t>-</w:t>
            </w:r>
          </w:p>
        </w:tc>
        <w:tc>
          <w:tcPr>
            <w:tcW w:w="1417" w:type="dxa"/>
            <w:gridSpan w:val="2"/>
            <w:tcBorders>
              <w:top w:val="nil"/>
              <w:left w:val="nil"/>
              <w:bottom w:val="nil"/>
              <w:right w:val="nil"/>
            </w:tcBorders>
            <w:shd w:val="clear" w:color="auto" w:fill="auto"/>
            <w:vAlign w:val="bottom"/>
          </w:tcPr>
          <w:p w14:paraId="4419C112"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lang w:val="hr-HR" w:eastAsia="hr-HR"/>
              </w:rPr>
              <w:t>54,241</w:t>
            </w:r>
          </w:p>
        </w:tc>
      </w:tr>
      <w:tr w:rsidR="00587444" w:rsidRPr="00587444" w14:paraId="5E31F648" w14:textId="77777777" w:rsidTr="00DD69E7">
        <w:trPr>
          <w:trHeight w:val="227"/>
        </w:trPr>
        <w:tc>
          <w:tcPr>
            <w:tcW w:w="4252" w:type="dxa"/>
            <w:gridSpan w:val="7"/>
            <w:tcBorders>
              <w:top w:val="nil"/>
              <w:left w:val="nil"/>
              <w:bottom w:val="nil"/>
              <w:right w:val="nil"/>
            </w:tcBorders>
            <w:shd w:val="clear" w:color="auto" w:fill="auto"/>
            <w:noWrap/>
            <w:vAlign w:val="bottom"/>
          </w:tcPr>
          <w:p w14:paraId="37111900" w14:textId="77777777" w:rsidR="00587444" w:rsidRPr="00587444" w:rsidRDefault="00587444" w:rsidP="00587444">
            <w:pPr>
              <w:suppressAutoHyphens w:val="0"/>
              <w:autoSpaceDN/>
              <w:rPr>
                <w:rFonts w:ascii="Arial" w:eastAsia="Calibri" w:hAnsi="Arial" w:cs="Arial"/>
                <w:sz w:val="16"/>
                <w:szCs w:val="16"/>
              </w:rPr>
            </w:pPr>
            <w:r w:rsidRPr="00587444">
              <w:rPr>
                <w:rFonts w:ascii="Arial" w:eastAsia="Calibri" w:hAnsi="Arial" w:cs="Arial"/>
                <w:sz w:val="16"/>
                <w:szCs w:val="16"/>
              </w:rPr>
              <w:t>Bonds of the Republic of Croatia in HRK:</w:t>
            </w:r>
          </w:p>
        </w:tc>
        <w:tc>
          <w:tcPr>
            <w:tcW w:w="1136" w:type="dxa"/>
            <w:tcBorders>
              <w:top w:val="nil"/>
              <w:left w:val="nil"/>
              <w:bottom w:val="nil"/>
              <w:right w:val="nil"/>
            </w:tcBorders>
            <w:shd w:val="clear" w:color="auto" w:fill="auto"/>
            <w:noWrap/>
            <w:vAlign w:val="bottom"/>
          </w:tcPr>
          <w:p w14:paraId="25F8E83F" w14:textId="77777777" w:rsidR="00587444" w:rsidRPr="00587444" w:rsidRDefault="00587444" w:rsidP="00587444">
            <w:pPr>
              <w:suppressAutoHyphens w:val="0"/>
              <w:autoSpaceDN/>
              <w:jc w:val="center"/>
              <w:rPr>
                <w:rFonts w:ascii="Arial" w:eastAsia="Calibri" w:hAnsi="Arial" w:cs="Arial"/>
                <w:sz w:val="16"/>
                <w:szCs w:val="16"/>
              </w:rPr>
            </w:pPr>
          </w:p>
        </w:tc>
        <w:tc>
          <w:tcPr>
            <w:tcW w:w="1273" w:type="dxa"/>
            <w:gridSpan w:val="2"/>
            <w:tcBorders>
              <w:top w:val="nil"/>
              <w:left w:val="nil"/>
              <w:bottom w:val="nil"/>
              <w:right w:val="nil"/>
            </w:tcBorders>
            <w:shd w:val="clear" w:color="auto" w:fill="auto"/>
            <w:vAlign w:val="bottom"/>
          </w:tcPr>
          <w:p w14:paraId="58F28B28" w14:textId="77777777" w:rsidR="00587444" w:rsidRPr="00587444" w:rsidRDefault="00587444" w:rsidP="00587444">
            <w:pPr>
              <w:suppressAutoHyphens w:val="0"/>
              <w:autoSpaceDN/>
              <w:jc w:val="right"/>
              <w:rPr>
                <w:rFonts w:ascii="Arial" w:eastAsia="Calibri" w:hAnsi="Arial" w:cs="Arial"/>
                <w:sz w:val="16"/>
                <w:szCs w:val="16"/>
                <w:lang w:val="hr-HR"/>
              </w:rPr>
            </w:pPr>
          </w:p>
        </w:tc>
        <w:tc>
          <w:tcPr>
            <w:tcW w:w="1417" w:type="dxa"/>
            <w:tcBorders>
              <w:top w:val="nil"/>
              <w:left w:val="nil"/>
              <w:bottom w:val="nil"/>
              <w:right w:val="nil"/>
            </w:tcBorders>
            <w:vAlign w:val="bottom"/>
          </w:tcPr>
          <w:p w14:paraId="6BD1684D" w14:textId="77777777" w:rsidR="00587444" w:rsidRPr="00587444" w:rsidRDefault="00587444" w:rsidP="00587444">
            <w:pPr>
              <w:suppressAutoHyphens w:val="0"/>
              <w:autoSpaceDN/>
              <w:jc w:val="right"/>
              <w:rPr>
                <w:rFonts w:ascii="Arial" w:eastAsia="Calibri" w:hAnsi="Arial" w:cs="Arial"/>
                <w:color w:val="000000"/>
                <w:sz w:val="16"/>
                <w:szCs w:val="16"/>
                <w:lang w:val="hr-HR"/>
              </w:rPr>
            </w:pPr>
          </w:p>
        </w:tc>
        <w:tc>
          <w:tcPr>
            <w:tcW w:w="1136" w:type="dxa"/>
            <w:tcBorders>
              <w:top w:val="nil"/>
              <w:left w:val="nil"/>
              <w:bottom w:val="nil"/>
              <w:right w:val="nil"/>
            </w:tcBorders>
            <w:vAlign w:val="bottom"/>
          </w:tcPr>
          <w:p w14:paraId="5B9B4BF4" w14:textId="77777777" w:rsidR="00587444" w:rsidRPr="00587444" w:rsidRDefault="00587444" w:rsidP="00587444">
            <w:pPr>
              <w:suppressAutoHyphens w:val="0"/>
              <w:autoSpaceDN/>
              <w:jc w:val="right"/>
              <w:rPr>
                <w:rFonts w:ascii="Arial" w:eastAsia="Calibri" w:hAnsi="Arial" w:cs="Arial"/>
                <w:sz w:val="16"/>
                <w:szCs w:val="16"/>
              </w:rPr>
            </w:pPr>
          </w:p>
        </w:tc>
        <w:tc>
          <w:tcPr>
            <w:tcW w:w="1417" w:type="dxa"/>
            <w:gridSpan w:val="2"/>
            <w:tcBorders>
              <w:top w:val="nil"/>
              <w:left w:val="nil"/>
              <w:bottom w:val="nil"/>
              <w:right w:val="nil"/>
            </w:tcBorders>
            <w:shd w:val="clear" w:color="auto" w:fill="auto"/>
            <w:vAlign w:val="bottom"/>
          </w:tcPr>
          <w:p w14:paraId="6FBDC4C0" w14:textId="77777777" w:rsidR="00587444" w:rsidRPr="00587444" w:rsidRDefault="00587444" w:rsidP="00587444">
            <w:pPr>
              <w:suppressAutoHyphens w:val="0"/>
              <w:autoSpaceDN/>
              <w:jc w:val="right"/>
              <w:rPr>
                <w:rFonts w:ascii="Arial" w:eastAsia="Calibri" w:hAnsi="Arial" w:cs="Arial"/>
                <w:color w:val="000000"/>
                <w:sz w:val="16"/>
                <w:szCs w:val="16"/>
                <w:lang w:val="hr-HR" w:eastAsia="hr-HR"/>
              </w:rPr>
            </w:pPr>
          </w:p>
        </w:tc>
      </w:tr>
      <w:tr w:rsidR="00587444" w:rsidRPr="00587444" w14:paraId="385E3952" w14:textId="77777777" w:rsidTr="00DD69E7">
        <w:trPr>
          <w:trHeight w:val="227"/>
        </w:trPr>
        <w:tc>
          <w:tcPr>
            <w:tcW w:w="1979" w:type="dxa"/>
            <w:tcBorders>
              <w:top w:val="nil"/>
              <w:left w:val="nil"/>
              <w:bottom w:val="nil"/>
              <w:right w:val="nil"/>
            </w:tcBorders>
            <w:shd w:val="clear" w:color="auto" w:fill="auto"/>
            <w:noWrap/>
            <w:vAlign w:val="bottom"/>
            <w:hideMark/>
          </w:tcPr>
          <w:p w14:paraId="3DC1FDCD"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RHMF-O-257A</w:t>
            </w:r>
          </w:p>
        </w:tc>
        <w:tc>
          <w:tcPr>
            <w:tcW w:w="1134" w:type="dxa"/>
            <w:gridSpan w:val="2"/>
            <w:tcBorders>
              <w:top w:val="nil"/>
              <w:left w:val="nil"/>
              <w:bottom w:val="nil"/>
              <w:right w:val="nil"/>
            </w:tcBorders>
            <w:shd w:val="clear" w:color="auto" w:fill="auto"/>
            <w:noWrap/>
            <w:vAlign w:val="bottom"/>
            <w:hideMark/>
          </w:tcPr>
          <w:p w14:paraId="56326C8D"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9.7.2015.</w:t>
            </w:r>
          </w:p>
        </w:tc>
        <w:tc>
          <w:tcPr>
            <w:tcW w:w="1139" w:type="dxa"/>
            <w:gridSpan w:val="4"/>
            <w:tcBorders>
              <w:top w:val="nil"/>
              <w:left w:val="nil"/>
              <w:bottom w:val="nil"/>
              <w:right w:val="nil"/>
            </w:tcBorders>
            <w:shd w:val="clear" w:color="auto" w:fill="auto"/>
            <w:noWrap/>
            <w:vAlign w:val="bottom"/>
            <w:hideMark/>
          </w:tcPr>
          <w:p w14:paraId="677B3736"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9.7.2025.</w:t>
            </w:r>
          </w:p>
        </w:tc>
        <w:tc>
          <w:tcPr>
            <w:tcW w:w="1136" w:type="dxa"/>
            <w:tcBorders>
              <w:top w:val="nil"/>
              <w:left w:val="nil"/>
              <w:bottom w:val="nil"/>
              <w:right w:val="nil"/>
            </w:tcBorders>
            <w:shd w:val="clear" w:color="auto" w:fill="auto"/>
            <w:noWrap/>
            <w:vAlign w:val="bottom"/>
            <w:hideMark/>
          </w:tcPr>
          <w:p w14:paraId="7D01F239" w14:textId="77777777" w:rsidR="00587444" w:rsidRPr="00587444" w:rsidRDefault="00587444" w:rsidP="00587444">
            <w:pPr>
              <w:suppressAutoHyphens w:val="0"/>
              <w:autoSpaceDN/>
              <w:jc w:val="center"/>
              <w:rPr>
                <w:rFonts w:ascii="Arial" w:eastAsia="Calibri" w:hAnsi="Arial" w:cs="Arial"/>
                <w:sz w:val="16"/>
                <w:szCs w:val="16"/>
              </w:rPr>
            </w:pPr>
            <w:r w:rsidRPr="00587444">
              <w:rPr>
                <w:rFonts w:ascii="Arial" w:eastAsia="Calibri" w:hAnsi="Arial" w:cs="Arial"/>
                <w:sz w:val="16"/>
                <w:szCs w:val="16"/>
              </w:rPr>
              <w:t>4.5</w:t>
            </w:r>
          </w:p>
        </w:tc>
        <w:tc>
          <w:tcPr>
            <w:tcW w:w="1273" w:type="dxa"/>
            <w:gridSpan w:val="2"/>
            <w:tcBorders>
              <w:top w:val="nil"/>
              <w:left w:val="nil"/>
              <w:bottom w:val="nil"/>
              <w:right w:val="nil"/>
            </w:tcBorders>
            <w:vAlign w:val="bottom"/>
          </w:tcPr>
          <w:p w14:paraId="4EB66C38" w14:textId="77777777" w:rsidR="00587444" w:rsidRPr="00587444" w:rsidRDefault="00587444" w:rsidP="00587444">
            <w:pPr>
              <w:suppressAutoHyphens w:val="0"/>
              <w:autoSpaceDN/>
              <w:jc w:val="right"/>
              <w:rPr>
                <w:rFonts w:ascii="Arial" w:eastAsia="Calibri" w:hAnsi="Arial" w:cs="Arial"/>
                <w:sz w:val="16"/>
                <w:szCs w:val="16"/>
                <w:lang w:val="hr-HR"/>
              </w:rPr>
            </w:pPr>
            <w:r w:rsidRPr="00587444">
              <w:rPr>
                <w:rFonts w:ascii="Arial" w:eastAsia="Calibri" w:hAnsi="Arial" w:cs="Arial"/>
                <w:color w:val="000000"/>
                <w:sz w:val="16"/>
                <w:szCs w:val="16"/>
                <w:lang w:val="hr-HR"/>
              </w:rPr>
              <w:t>8,716</w:t>
            </w:r>
          </w:p>
        </w:tc>
        <w:tc>
          <w:tcPr>
            <w:tcW w:w="1417" w:type="dxa"/>
            <w:tcBorders>
              <w:top w:val="nil"/>
              <w:left w:val="nil"/>
              <w:bottom w:val="nil"/>
              <w:right w:val="nil"/>
            </w:tcBorders>
            <w:vAlign w:val="bottom"/>
          </w:tcPr>
          <w:p w14:paraId="47626F65"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9,648</w:t>
            </w:r>
          </w:p>
        </w:tc>
        <w:tc>
          <w:tcPr>
            <w:tcW w:w="1136" w:type="dxa"/>
            <w:tcBorders>
              <w:top w:val="nil"/>
              <w:left w:val="nil"/>
              <w:bottom w:val="nil"/>
              <w:right w:val="nil"/>
            </w:tcBorders>
            <w:shd w:val="clear" w:color="auto" w:fill="auto"/>
            <w:vAlign w:val="bottom"/>
          </w:tcPr>
          <w:p w14:paraId="2658415F"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eastAsia="hr-HR"/>
              </w:rPr>
              <w:t>-</w:t>
            </w:r>
          </w:p>
        </w:tc>
        <w:tc>
          <w:tcPr>
            <w:tcW w:w="1417" w:type="dxa"/>
            <w:gridSpan w:val="2"/>
            <w:tcBorders>
              <w:top w:val="nil"/>
              <w:left w:val="nil"/>
              <w:bottom w:val="nil"/>
              <w:right w:val="nil"/>
            </w:tcBorders>
            <w:shd w:val="clear" w:color="auto" w:fill="auto"/>
            <w:vAlign w:val="bottom"/>
          </w:tcPr>
          <w:p w14:paraId="22D09E86"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eastAsia="hr-HR"/>
              </w:rPr>
              <w:t>-</w:t>
            </w:r>
          </w:p>
        </w:tc>
      </w:tr>
      <w:tr w:rsidR="00587444" w:rsidRPr="00587444" w14:paraId="0374F140" w14:textId="77777777" w:rsidTr="00DD69E7">
        <w:trPr>
          <w:trHeight w:val="227"/>
        </w:trPr>
        <w:tc>
          <w:tcPr>
            <w:tcW w:w="1979" w:type="dxa"/>
            <w:tcBorders>
              <w:top w:val="nil"/>
              <w:left w:val="nil"/>
              <w:bottom w:val="nil"/>
              <w:right w:val="nil"/>
            </w:tcBorders>
            <w:shd w:val="clear" w:color="auto" w:fill="auto"/>
            <w:noWrap/>
            <w:vAlign w:val="bottom"/>
            <w:hideMark/>
          </w:tcPr>
          <w:p w14:paraId="11C9D2F0"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RHMF-O-26CA</w:t>
            </w:r>
          </w:p>
        </w:tc>
        <w:tc>
          <w:tcPr>
            <w:tcW w:w="1134" w:type="dxa"/>
            <w:gridSpan w:val="2"/>
            <w:tcBorders>
              <w:top w:val="nil"/>
              <w:left w:val="nil"/>
              <w:bottom w:val="nil"/>
              <w:right w:val="nil"/>
            </w:tcBorders>
            <w:shd w:val="clear" w:color="auto" w:fill="auto"/>
            <w:noWrap/>
            <w:vAlign w:val="bottom"/>
            <w:hideMark/>
          </w:tcPr>
          <w:p w14:paraId="06ADF3FE"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14.12.2015.</w:t>
            </w:r>
          </w:p>
        </w:tc>
        <w:tc>
          <w:tcPr>
            <w:tcW w:w="1139" w:type="dxa"/>
            <w:gridSpan w:val="4"/>
            <w:tcBorders>
              <w:top w:val="nil"/>
              <w:left w:val="nil"/>
              <w:bottom w:val="nil"/>
              <w:right w:val="nil"/>
            </w:tcBorders>
            <w:shd w:val="clear" w:color="auto" w:fill="auto"/>
            <w:noWrap/>
            <w:vAlign w:val="bottom"/>
            <w:hideMark/>
          </w:tcPr>
          <w:p w14:paraId="5A761098"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14.12.2026.</w:t>
            </w:r>
          </w:p>
        </w:tc>
        <w:tc>
          <w:tcPr>
            <w:tcW w:w="1136" w:type="dxa"/>
            <w:tcBorders>
              <w:top w:val="nil"/>
              <w:left w:val="nil"/>
              <w:bottom w:val="nil"/>
              <w:right w:val="nil"/>
            </w:tcBorders>
            <w:shd w:val="clear" w:color="auto" w:fill="auto"/>
            <w:noWrap/>
            <w:vAlign w:val="bottom"/>
            <w:hideMark/>
          </w:tcPr>
          <w:p w14:paraId="7E676F55" w14:textId="77777777" w:rsidR="00587444" w:rsidRPr="00587444" w:rsidRDefault="00587444" w:rsidP="00587444">
            <w:pPr>
              <w:suppressAutoHyphens w:val="0"/>
              <w:autoSpaceDN/>
              <w:jc w:val="center"/>
              <w:rPr>
                <w:rFonts w:ascii="Arial" w:eastAsia="Calibri" w:hAnsi="Arial" w:cs="Arial"/>
                <w:sz w:val="16"/>
                <w:szCs w:val="16"/>
              </w:rPr>
            </w:pPr>
            <w:r w:rsidRPr="00587444">
              <w:rPr>
                <w:rFonts w:ascii="Arial" w:eastAsia="Calibri" w:hAnsi="Arial" w:cs="Arial"/>
                <w:sz w:val="16"/>
                <w:szCs w:val="16"/>
              </w:rPr>
              <w:t>4.25</w:t>
            </w:r>
          </w:p>
        </w:tc>
        <w:tc>
          <w:tcPr>
            <w:tcW w:w="1273" w:type="dxa"/>
            <w:gridSpan w:val="2"/>
            <w:tcBorders>
              <w:top w:val="nil"/>
              <w:left w:val="nil"/>
              <w:bottom w:val="nil"/>
              <w:right w:val="nil"/>
            </w:tcBorders>
            <w:vAlign w:val="bottom"/>
          </w:tcPr>
          <w:p w14:paraId="61270118" w14:textId="77777777" w:rsidR="00587444" w:rsidRPr="00587444" w:rsidRDefault="00587444" w:rsidP="00587444">
            <w:pPr>
              <w:suppressAutoHyphens w:val="0"/>
              <w:autoSpaceDN/>
              <w:jc w:val="right"/>
              <w:rPr>
                <w:rFonts w:ascii="Arial" w:eastAsia="Calibri" w:hAnsi="Arial" w:cs="Arial"/>
                <w:sz w:val="16"/>
                <w:szCs w:val="16"/>
                <w:lang w:val="hr-HR"/>
              </w:rPr>
            </w:pPr>
            <w:r w:rsidRPr="00587444">
              <w:rPr>
                <w:rFonts w:ascii="Arial" w:eastAsia="Calibri" w:hAnsi="Arial" w:cs="Arial"/>
                <w:color w:val="000000"/>
                <w:sz w:val="16"/>
                <w:szCs w:val="16"/>
                <w:lang w:val="hr-HR"/>
              </w:rPr>
              <w:t>39,294</w:t>
            </w:r>
          </w:p>
        </w:tc>
        <w:tc>
          <w:tcPr>
            <w:tcW w:w="1417" w:type="dxa"/>
            <w:tcBorders>
              <w:top w:val="nil"/>
              <w:left w:val="nil"/>
              <w:bottom w:val="nil"/>
              <w:right w:val="nil"/>
            </w:tcBorders>
            <w:vAlign w:val="bottom"/>
          </w:tcPr>
          <w:p w14:paraId="3061E13E"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45,344</w:t>
            </w:r>
          </w:p>
        </w:tc>
        <w:tc>
          <w:tcPr>
            <w:tcW w:w="1136" w:type="dxa"/>
            <w:tcBorders>
              <w:top w:val="nil"/>
              <w:left w:val="nil"/>
              <w:bottom w:val="nil"/>
              <w:right w:val="nil"/>
            </w:tcBorders>
            <w:shd w:val="clear" w:color="auto" w:fill="auto"/>
            <w:vAlign w:val="bottom"/>
          </w:tcPr>
          <w:p w14:paraId="360AD41A"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31,041</w:t>
            </w:r>
          </w:p>
        </w:tc>
        <w:tc>
          <w:tcPr>
            <w:tcW w:w="1417" w:type="dxa"/>
            <w:gridSpan w:val="2"/>
            <w:tcBorders>
              <w:top w:val="nil"/>
              <w:left w:val="nil"/>
              <w:bottom w:val="nil"/>
              <w:right w:val="nil"/>
            </w:tcBorders>
            <w:shd w:val="clear" w:color="auto" w:fill="auto"/>
            <w:vAlign w:val="bottom"/>
          </w:tcPr>
          <w:p w14:paraId="5877B559"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35,815</w:t>
            </w:r>
          </w:p>
        </w:tc>
      </w:tr>
      <w:tr w:rsidR="00587444" w:rsidRPr="00587444" w14:paraId="7B2A03A2" w14:textId="77777777" w:rsidTr="00DD69E7">
        <w:trPr>
          <w:trHeight w:val="227"/>
        </w:trPr>
        <w:tc>
          <w:tcPr>
            <w:tcW w:w="1979" w:type="dxa"/>
            <w:tcBorders>
              <w:top w:val="nil"/>
              <w:left w:val="nil"/>
              <w:bottom w:val="nil"/>
              <w:right w:val="nil"/>
            </w:tcBorders>
            <w:shd w:val="clear" w:color="auto" w:fill="auto"/>
            <w:noWrap/>
            <w:vAlign w:val="bottom"/>
          </w:tcPr>
          <w:p w14:paraId="3857D687"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RHMF-O-222A</w:t>
            </w:r>
          </w:p>
        </w:tc>
        <w:tc>
          <w:tcPr>
            <w:tcW w:w="1134" w:type="dxa"/>
            <w:gridSpan w:val="2"/>
            <w:tcBorders>
              <w:top w:val="nil"/>
              <w:left w:val="nil"/>
              <w:bottom w:val="nil"/>
              <w:right w:val="nil"/>
            </w:tcBorders>
            <w:shd w:val="clear" w:color="auto" w:fill="auto"/>
            <w:noWrap/>
            <w:vAlign w:val="bottom"/>
          </w:tcPr>
          <w:p w14:paraId="1CCDCE50"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7.2.2017.</w:t>
            </w:r>
          </w:p>
        </w:tc>
        <w:tc>
          <w:tcPr>
            <w:tcW w:w="1139" w:type="dxa"/>
            <w:gridSpan w:val="4"/>
            <w:tcBorders>
              <w:top w:val="nil"/>
              <w:left w:val="nil"/>
              <w:bottom w:val="nil"/>
              <w:right w:val="nil"/>
            </w:tcBorders>
            <w:shd w:val="clear" w:color="auto" w:fill="auto"/>
            <w:noWrap/>
            <w:vAlign w:val="bottom"/>
          </w:tcPr>
          <w:p w14:paraId="1E70A1AA"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7.2.2022.</w:t>
            </w:r>
          </w:p>
        </w:tc>
        <w:tc>
          <w:tcPr>
            <w:tcW w:w="1136" w:type="dxa"/>
            <w:tcBorders>
              <w:top w:val="nil"/>
              <w:left w:val="nil"/>
              <w:bottom w:val="nil"/>
              <w:right w:val="nil"/>
            </w:tcBorders>
            <w:shd w:val="clear" w:color="auto" w:fill="auto"/>
            <w:noWrap/>
            <w:vAlign w:val="bottom"/>
          </w:tcPr>
          <w:p w14:paraId="61F6BEFD" w14:textId="77777777" w:rsidR="00587444" w:rsidRPr="00587444" w:rsidRDefault="00587444" w:rsidP="00587444">
            <w:pPr>
              <w:suppressAutoHyphens w:val="0"/>
              <w:autoSpaceDN/>
              <w:jc w:val="center"/>
              <w:rPr>
                <w:rFonts w:ascii="Arial" w:eastAsia="Calibri" w:hAnsi="Arial" w:cs="Arial"/>
                <w:sz w:val="16"/>
                <w:szCs w:val="16"/>
              </w:rPr>
            </w:pPr>
            <w:r w:rsidRPr="00587444">
              <w:rPr>
                <w:rFonts w:ascii="Arial" w:eastAsia="Calibri" w:hAnsi="Arial" w:cs="Arial"/>
                <w:sz w:val="16"/>
                <w:szCs w:val="16"/>
              </w:rPr>
              <w:t>2.25</w:t>
            </w:r>
          </w:p>
        </w:tc>
        <w:tc>
          <w:tcPr>
            <w:tcW w:w="1273" w:type="dxa"/>
            <w:gridSpan w:val="2"/>
            <w:tcBorders>
              <w:top w:val="nil"/>
              <w:left w:val="nil"/>
              <w:bottom w:val="nil"/>
              <w:right w:val="nil"/>
            </w:tcBorders>
            <w:vAlign w:val="bottom"/>
          </w:tcPr>
          <w:p w14:paraId="5209CDA5" w14:textId="77777777" w:rsidR="00587444" w:rsidRPr="00587444" w:rsidRDefault="00587444" w:rsidP="00587444">
            <w:pPr>
              <w:suppressAutoHyphens w:val="0"/>
              <w:autoSpaceDN/>
              <w:jc w:val="right"/>
              <w:rPr>
                <w:rFonts w:ascii="Arial" w:eastAsia="Calibri" w:hAnsi="Arial" w:cs="Arial"/>
                <w:sz w:val="16"/>
                <w:szCs w:val="16"/>
                <w:lang w:val="hr-HR"/>
              </w:rPr>
            </w:pPr>
            <w:r w:rsidRPr="00587444">
              <w:rPr>
                <w:rFonts w:ascii="Arial" w:eastAsia="Calibri" w:hAnsi="Arial" w:cs="Arial"/>
                <w:color w:val="000000"/>
                <w:sz w:val="16"/>
                <w:szCs w:val="16"/>
                <w:lang w:val="hr-HR"/>
              </w:rPr>
              <w:t>-</w:t>
            </w:r>
          </w:p>
        </w:tc>
        <w:tc>
          <w:tcPr>
            <w:tcW w:w="1417" w:type="dxa"/>
            <w:tcBorders>
              <w:top w:val="nil"/>
              <w:left w:val="nil"/>
              <w:bottom w:val="nil"/>
              <w:right w:val="nil"/>
            </w:tcBorders>
            <w:vAlign w:val="bottom"/>
          </w:tcPr>
          <w:p w14:paraId="5D2315B2"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70,165</w:t>
            </w:r>
          </w:p>
        </w:tc>
        <w:tc>
          <w:tcPr>
            <w:tcW w:w="1136" w:type="dxa"/>
            <w:tcBorders>
              <w:top w:val="nil"/>
              <w:left w:val="nil"/>
              <w:bottom w:val="nil"/>
              <w:right w:val="nil"/>
            </w:tcBorders>
            <w:shd w:val="clear" w:color="auto" w:fill="auto"/>
            <w:vAlign w:val="bottom"/>
          </w:tcPr>
          <w:p w14:paraId="260436F1"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w:t>
            </w:r>
          </w:p>
        </w:tc>
        <w:tc>
          <w:tcPr>
            <w:tcW w:w="1417" w:type="dxa"/>
            <w:gridSpan w:val="2"/>
            <w:tcBorders>
              <w:top w:val="nil"/>
              <w:left w:val="nil"/>
              <w:bottom w:val="nil"/>
              <w:right w:val="nil"/>
            </w:tcBorders>
            <w:shd w:val="clear" w:color="auto" w:fill="auto"/>
            <w:vAlign w:val="bottom"/>
          </w:tcPr>
          <w:p w14:paraId="0ABC76E6"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70,165</w:t>
            </w:r>
          </w:p>
        </w:tc>
      </w:tr>
      <w:tr w:rsidR="00587444" w:rsidRPr="00587444" w14:paraId="53610295" w14:textId="77777777" w:rsidTr="00DD69E7">
        <w:trPr>
          <w:trHeight w:val="227"/>
        </w:trPr>
        <w:tc>
          <w:tcPr>
            <w:tcW w:w="1979" w:type="dxa"/>
            <w:tcBorders>
              <w:top w:val="nil"/>
              <w:left w:val="nil"/>
              <w:bottom w:val="nil"/>
              <w:right w:val="nil"/>
            </w:tcBorders>
            <w:shd w:val="clear" w:color="auto" w:fill="auto"/>
            <w:noWrap/>
            <w:vAlign w:val="bottom"/>
          </w:tcPr>
          <w:p w14:paraId="15DA52E4"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RHMF-O-282A</w:t>
            </w:r>
          </w:p>
        </w:tc>
        <w:tc>
          <w:tcPr>
            <w:tcW w:w="1134" w:type="dxa"/>
            <w:gridSpan w:val="2"/>
            <w:tcBorders>
              <w:top w:val="nil"/>
              <w:left w:val="nil"/>
              <w:bottom w:val="nil"/>
              <w:right w:val="nil"/>
            </w:tcBorders>
            <w:shd w:val="clear" w:color="auto" w:fill="auto"/>
            <w:noWrap/>
            <w:vAlign w:val="bottom"/>
          </w:tcPr>
          <w:p w14:paraId="73AAC42D"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7.2.2017.</w:t>
            </w:r>
          </w:p>
        </w:tc>
        <w:tc>
          <w:tcPr>
            <w:tcW w:w="1139" w:type="dxa"/>
            <w:gridSpan w:val="4"/>
            <w:tcBorders>
              <w:top w:val="nil"/>
              <w:left w:val="nil"/>
              <w:bottom w:val="nil"/>
              <w:right w:val="nil"/>
            </w:tcBorders>
            <w:shd w:val="clear" w:color="auto" w:fill="auto"/>
            <w:noWrap/>
            <w:vAlign w:val="bottom"/>
          </w:tcPr>
          <w:p w14:paraId="7934D9E5"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7.2.2028.</w:t>
            </w:r>
          </w:p>
        </w:tc>
        <w:tc>
          <w:tcPr>
            <w:tcW w:w="1136" w:type="dxa"/>
            <w:tcBorders>
              <w:top w:val="nil"/>
              <w:left w:val="nil"/>
              <w:bottom w:val="nil"/>
              <w:right w:val="nil"/>
            </w:tcBorders>
            <w:shd w:val="clear" w:color="auto" w:fill="auto"/>
            <w:noWrap/>
            <w:vAlign w:val="bottom"/>
          </w:tcPr>
          <w:p w14:paraId="7B982797" w14:textId="77777777" w:rsidR="00587444" w:rsidRPr="00587444" w:rsidRDefault="00587444" w:rsidP="00587444">
            <w:pPr>
              <w:suppressAutoHyphens w:val="0"/>
              <w:autoSpaceDN/>
              <w:jc w:val="center"/>
              <w:rPr>
                <w:rFonts w:ascii="Arial" w:eastAsia="Calibri" w:hAnsi="Arial" w:cs="Arial"/>
                <w:sz w:val="16"/>
                <w:szCs w:val="16"/>
              </w:rPr>
            </w:pPr>
            <w:r w:rsidRPr="00587444">
              <w:rPr>
                <w:rFonts w:ascii="Arial" w:eastAsia="Calibri" w:hAnsi="Arial" w:cs="Arial"/>
                <w:sz w:val="16"/>
                <w:szCs w:val="16"/>
              </w:rPr>
              <w:t>2.875</w:t>
            </w:r>
          </w:p>
        </w:tc>
        <w:tc>
          <w:tcPr>
            <w:tcW w:w="1273" w:type="dxa"/>
            <w:gridSpan w:val="2"/>
            <w:tcBorders>
              <w:top w:val="nil"/>
              <w:left w:val="nil"/>
              <w:bottom w:val="nil"/>
              <w:right w:val="nil"/>
            </w:tcBorders>
            <w:vAlign w:val="bottom"/>
          </w:tcPr>
          <w:p w14:paraId="1733C05F" w14:textId="77777777" w:rsidR="00587444" w:rsidRPr="00587444" w:rsidRDefault="00587444" w:rsidP="00587444">
            <w:pPr>
              <w:suppressAutoHyphens w:val="0"/>
              <w:autoSpaceDN/>
              <w:jc w:val="right"/>
              <w:rPr>
                <w:rFonts w:ascii="Arial" w:eastAsia="Calibri" w:hAnsi="Arial" w:cs="Arial"/>
                <w:sz w:val="16"/>
                <w:szCs w:val="16"/>
                <w:lang w:val="hr-HR"/>
              </w:rPr>
            </w:pPr>
            <w:r w:rsidRPr="00587444">
              <w:rPr>
                <w:rFonts w:ascii="Arial" w:eastAsia="Calibri" w:hAnsi="Arial" w:cs="Arial"/>
                <w:color w:val="000000"/>
                <w:sz w:val="16"/>
                <w:szCs w:val="16"/>
                <w:lang w:val="hr-HR"/>
              </w:rPr>
              <w:t>11,491</w:t>
            </w:r>
          </w:p>
        </w:tc>
        <w:tc>
          <w:tcPr>
            <w:tcW w:w="1417" w:type="dxa"/>
            <w:tcBorders>
              <w:top w:val="nil"/>
              <w:left w:val="nil"/>
              <w:bottom w:val="nil"/>
              <w:right w:val="nil"/>
            </w:tcBorders>
            <w:vAlign w:val="bottom"/>
          </w:tcPr>
          <w:p w14:paraId="3767C15F"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13,583</w:t>
            </w:r>
          </w:p>
        </w:tc>
        <w:tc>
          <w:tcPr>
            <w:tcW w:w="1136" w:type="dxa"/>
            <w:tcBorders>
              <w:top w:val="nil"/>
              <w:left w:val="nil"/>
              <w:bottom w:val="nil"/>
              <w:right w:val="nil"/>
            </w:tcBorders>
            <w:shd w:val="clear" w:color="auto" w:fill="auto"/>
            <w:vAlign w:val="bottom"/>
          </w:tcPr>
          <w:p w14:paraId="22723095"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9,640</w:t>
            </w:r>
          </w:p>
        </w:tc>
        <w:tc>
          <w:tcPr>
            <w:tcW w:w="1417" w:type="dxa"/>
            <w:gridSpan w:val="2"/>
            <w:tcBorders>
              <w:top w:val="nil"/>
              <w:left w:val="nil"/>
              <w:bottom w:val="nil"/>
              <w:right w:val="nil"/>
            </w:tcBorders>
            <w:shd w:val="clear" w:color="auto" w:fill="auto"/>
            <w:vAlign w:val="bottom"/>
          </w:tcPr>
          <w:p w14:paraId="11BE7A28"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11,422</w:t>
            </w:r>
          </w:p>
        </w:tc>
      </w:tr>
      <w:tr w:rsidR="00587444" w:rsidRPr="00587444" w14:paraId="78709CD2" w14:textId="77777777" w:rsidTr="00DD69E7">
        <w:trPr>
          <w:trHeight w:val="227"/>
        </w:trPr>
        <w:tc>
          <w:tcPr>
            <w:tcW w:w="1979" w:type="dxa"/>
            <w:tcBorders>
              <w:top w:val="nil"/>
              <w:left w:val="nil"/>
              <w:bottom w:val="nil"/>
              <w:right w:val="nil"/>
            </w:tcBorders>
            <w:shd w:val="clear" w:color="auto" w:fill="auto"/>
            <w:noWrap/>
            <w:vAlign w:val="bottom"/>
          </w:tcPr>
          <w:p w14:paraId="4BACF4DB"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RHMF-O-023BA</w:t>
            </w:r>
          </w:p>
        </w:tc>
        <w:tc>
          <w:tcPr>
            <w:tcW w:w="1134" w:type="dxa"/>
            <w:gridSpan w:val="2"/>
            <w:tcBorders>
              <w:top w:val="nil"/>
              <w:left w:val="nil"/>
              <w:bottom w:val="nil"/>
              <w:right w:val="nil"/>
            </w:tcBorders>
            <w:shd w:val="clear" w:color="auto" w:fill="auto"/>
            <w:noWrap/>
            <w:vAlign w:val="bottom"/>
          </w:tcPr>
          <w:p w14:paraId="453A5086"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27.11.2017.</w:t>
            </w:r>
          </w:p>
        </w:tc>
        <w:tc>
          <w:tcPr>
            <w:tcW w:w="1139" w:type="dxa"/>
            <w:gridSpan w:val="4"/>
            <w:tcBorders>
              <w:top w:val="nil"/>
              <w:left w:val="nil"/>
              <w:bottom w:val="nil"/>
              <w:right w:val="nil"/>
            </w:tcBorders>
            <w:shd w:val="clear" w:color="auto" w:fill="auto"/>
            <w:noWrap/>
            <w:vAlign w:val="bottom"/>
          </w:tcPr>
          <w:p w14:paraId="692FEBC9"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27.11.2023.</w:t>
            </w:r>
          </w:p>
        </w:tc>
        <w:tc>
          <w:tcPr>
            <w:tcW w:w="1136" w:type="dxa"/>
            <w:tcBorders>
              <w:top w:val="nil"/>
              <w:left w:val="nil"/>
              <w:bottom w:val="nil"/>
              <w:right w:val="nil"/>
            </w:tcBorders>
            <w:shd w:val="clear" w:color="auto" w:fill="auto"/>
            <w:noWrap/>
            <w:vAlign w:val="bottom"/>
          </w:tcPr>
          <w:p w14:paraId="6E756651" w14:textId="77777777" w:rsidR="00587444" w:rsidRPr="00587444" w:rsidRDefault="00587444" w:rsidP="00587444">
            <w:pPr>
              <w:suppressAutoHyphens w:val="0"/>
              <w:autoSpaceDN/>
              <w:jc w:val="center"/>
              <w:rPr>
                <w:rFonts w:ascii="Arial" w:eastAsia="Calibri" w:hAnsi="Arial" w:cs="Arial"/>
                <w:sz w:val="16"/>
                <w:szCs w:val="16"/>
              </w:rPr>
            </w:pPr>
            <w:r w:rsidRPr="00587444">
              <w:rPr>
                <w:rFonts w:ascii="Arial" w:eastAsia="Calibri" w:hAnsi="Arial" w:cs="Arial"/>
                <w:sz w:val="16"/>
                <w:szCs w:val="16"/>
              </w:rPr>
              <w:t>1.75</w:t>
            </w:r>
          </w:p>
        </w:tc>
        <w:tc>
          <w:tcPr>
            <w:tcW w:w="1273" w:type="dxa"/>
            <w:gridSpan w:val="2"/>
            <w:tcBorders>
              <w:top w:val="nil"/>
              <w:left w:val="nil"/>
              <w:bottom w:val="nil"/>
              <w:right w:val="nil"/>
            </w:tcBorders>
            <w:shd w:val="clear" w:color="auto" w:fill="auto"/>
            <w:vAlign w:val="bottom"/>
          </w:tcPr>
          <w:p w14:paraId="28E32BA3" w14:textId="77777777" w:rsidR="00587444" w:rsidRPr="00587444" w:rsidRDefault="00587444" w:rsidP="00587444">
            <w:pPr>
              <w:suppressAutoHyphens w:val="0"/>
              <w:autoSpaceDN/>
              <w:jc w:val="right"/>
              <w:rPr>
                <w:rFonts w:ascii="Arial" w:eastAsia="Calibri" w:hAnsi="Arial" w:cs="Arial"/>
                <w:sz w:val="16"/>
                <w:szCs w:val="16"/>
                <w:lang w:val="hr-HR"/>
              </w:rPr>
            </w:pPr>
            <w:r w:rsidRPr="00587444">
              <w:rPr>
                <w:rFonts w:ascii="Arial" w:eastAsia="Calibri" w:hAnsi="Arial" w:cs="Arial"/>
                <w:color w:val="000000"/>
                <w:sz w:val="16"/>
                <w:szCs w:val="16"/>
                <w:lang w:val="hr-HR"/>
              </w:rPr>
              <w:t>556,993</w:t>
            </w:r>
          </w:p>
        </w:tc>
        <w:tc>
          <w:tcPr>
            <w:tcW w:w="1417" w:type="dxa"/>
            <w:tcBorders>
              <w:top w:val="nil"/>
              <w:left w:val="nil"/>
              <w:bottom w:val="nil"/>
              <w:right w:val="nil"/>
            </w:tcBorders>
            <w:vAlign w:val="bottom"/>
          </w:tcPr>
          <w:p w14:paraId="2E0DC995"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508,648</w:t>
            </w:r>
          </w:p>
        </w:tc>
        <w:tc>
          <w:tcPr>
            <w:tcW w:w="1136" w:type="dxa"/>
            <w:tcBorders>
              <w:top w:val="nil"/>
              <w:left w:val="nil"/>
              <w:bottom w:val="nil"/>
              <w:right w:val="nil"/>
            </w:tcBorders>
            <w:shd w:val="clear" w:color="auto" w:fill="auto"/>
            <w:vAlign w:val="bottom"/>
          </w:tcPr>
          <w:p w14:paraId="61FB29E6"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556,993</w:t>
            </w:r>
          </w:p>
        </w:tc>
        <w:tc>
          <w:tcPr>
            <w:tcW w:w="1417" w:type="dxa"/>
            <w:gridSpan w:val="2"/>
            <w:tcBorders>
              <w:top w:val="nil"/>
              <w:left w:val="nil"/>
              <w:bottom w:val="nil"/>
              <w:right w:val="nil"/>
            </w:tcBorders>
            <w:shd w:val="clear" w:color="auto" w:fill="auto"/>
            <w:vAlign w:val="bottom"/>
          </w:tcPr>
          <w:p w14:paraId="7B835569"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508,648</w:t>
            </w:r>
          </w:p>
        </w:tc>
      </w:tr>
      <w:tr w:rsidR="00587444" w:rsidRPr="00587444" w14:paraId="47C8EE19" w14:textId="77777777" w:rsidTr="00DD69E7">
        <w:trPr>
          <w:trHeight w:val="227"/>
        </w:trPr>
        <w:tc>
          <w:tcPr>
            <w:tcW w:w="1979" w:type="dxa"/>
            <w:tcBorders>
              <w:top w:val="nil"/>
              <w:left w:val="nil"/>
              <w:bottom w:val="nil"/>
              <w:right w:val="nil"/>
            </w:tcBorders>
            <w:shd w:val="clear" w:color="auto" w:fill="auto"/>
            <w:noWrap/>
            <w:vAlign w:val="bottom"/>
          </w:tcPr>
          <w:p w14:paraId="133D11EA"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RHMF-O-297A</w:t>
            </w:r>
          </w:p>
        </w:tc>
        <w:tc>
          <w:tcPr>
            <w:tcW w:w="1134" w:type="dxa"/>
            <w:gridSpan w:val="2"/>
            <w:tcBorders>
              <w:top w:val="nil"/>
              <w:left w:val="nil"/>
              <w:bottom w:val="nil"/>
              <w:right w:val="nil"/>
            </w:tcBorders>
            <w:shd w:val="clear" w:color="auto" w:fill="auto"/>
            <w:noWrap/>
            <w:vAlign w:val="bottom"/>
          </w:tcPr>
          <w:p w14:paraId="28E4E798"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9.7.2018.</w:t>
            </w:r>
          </w:p>
        </w:tc>
        <w:tc>
          <w:tcPr>
            <w:tcW w:w="1139" w:type="dxa"/>
            <w:gridSpan w:val="4"/>
            <w:tcBorders>
              <w:top w:val="nil"/>
              <w:left w:val="nil"/>
              <w:bottom w:val="nil"/>
              <w:right w:val="nil"/>
            </w:tcBorders>
            <w:shd w:val="clear" w:color="auto" w:fill="auto"/>
            <w:noWrap/>
            <w:vAlign w:val="bottom"/>
          </w:tcPr>
          <w:p w14:paraId="709584C9"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9.7.2029.</w:t>
            </w:r>
          </w:p>
        </w:tc>
        <w:tc>
          <w:tcPr>
            <w:tcW w:w="1136" w:type="dxa"/>
            <w:tcBorders>
              <w:top w:val="nil"/>
              <w:left w:val="nil"/>
              <w:bottom w:val="nil"/>
              <w:right w:val="nil"/>
            </w:tcBorders>
            <w:shd w:val="clear" w:color="auto" w:fill="auto"/>
            <w:noWrap/>
            <w:vAlign w:val="bottom"/>
          </w:tcPr>
          <w:p w14:paraId="331419AB" w14:textId="77777777" w:rsidR="00587444" w:rsidRPr="00587444" w:rsidRDefault="00587444" w:rsidP="00587444">
            <w:pPr>
              <w:suppressAutoHyphens w:val="0"/>
              <w:autoSpaceDN/>
              <w:jc w:val="center"/>
              <w:rPr>
                <w:rFonts w:ascii="Arial" w:eastAsia="Calibri" w:hAnsi="Arial" w:cs="Arial"/>
                <w:sz w:val="16"/>
                <w:szCs w:val="16"/>
              </w:rPr>
            </w:pPr>
            <w:r w:rsidRPr="00587444">
              <w:rPr>
                <w:rFonts w:ascii="Arial" w:eastAsia="Calibri" w:hAnsi="Arial" w:cs="Arial"/>
                <w:sz w:val="16"/>
                <w:szCs w:val="16"/>
              </w:rPr>
              <w:t>2.38</w:t>
            </w:r>
          </w:p>
        </w:tc>
        <w:tc>
          <w:tcPr>
            <w:tcW w:w="1273" w:type="dxa"/>
            <w:gridSpan w:val="2"/>
            <w:tcBorders>
              <w:top w:val="nil"/>
              <w:left w:val="nil"/>
              <w:bottom w:val="nil"/>
              <w:right w:val="nil"/>
            </w:tcBorders>
            <w:vAlign w:val="bottom"/>
          </w:tcPr>
          <w:p w14:paraId="25297855" w14:textId="77777777" w:rsidR="00587444" w:rsidRPr="00587444" w:rsidRDefault="00587444" w:rsidP="00587444">
            <w:pPr>
              <w:suppressAutoHyphens w:val="0"/>
              <w:autoSpaceDN/>
              <w:jc w:val="right"/>
              <w:rPr>
                <w:rFonts w:ascii="Arial" w:eastAsia="Calibri" w:hAnsi="Arial" w:cs="Arial"/>
                <w:sz w:val="16"/>
                <w:szCs w:val="16"/>
                <w:lang w:val="hr-HR"/>
              </w:rPr>
            </w:pPr>
            <w:r w:rsidRPr="00587444">
              <w:rPr>
                <w:rFonts w:ascii="Arial" w:eastAsia="Calibri" w:hAnsi="Arial" w:cs="Arial"/>
                <w:color w:val="000000"/>
                <w:sz w:val="16"/>
                <w:szCs w:val="16"/>
                <w:lang w:val="hr-HR"/>
              </w:rPr>
              <w:t>2,826</w:t>
            </w:r>
          </w:p>
        </w:tc>
        <w:tc>
          <w:tcPr>
            <w:tcW w:w="1417" w:type="dxa"/>
            <w:tcBorders>
              <w:top w:val="nil"/>
              <w:left w:val="nil"/>
              <w:bottom w:val="nil"/>
              <w:right w:val="nil"/>
            </w:tcBorders>
            <w:vAlign w:val="bottom"/>
          </w:tcPr>
          <w:p w14:paraId="42FA2C18"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3,456</w:t>
            </w:r>
          </w:p>
        </w:tc>
        <w:tc>
          <w:tcPr>
            <w:tcW w:w="1136" w:type="dxa"/>
            <w:tcBorders>
              <w:top w:val="nil"/>
              <w:left w:val="nil"/>
              <w:bottom w:val="nil"/>
              <w:right w:val="nil"/>
            </w:tcBorders>
            <w:shd w:val="clear" w:color="auto" w:fill="auto"/>
            <w:vAlign w:val="bottom"/>
          </w:tcPr>
          <w:p w14:paraId="127A7F0C"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w:t>
            </w:r>
          </w:p>
        </w:tc>
        <w:tc>
          <w:tcPr>
            <w:tcW w:w="1417" w:type="dxa"/>
            <w:gridSpan w:val="2"/>
            <w:tcBorders>
              <w:top w:val="nil"/>
              <w:left w:val="nil"/>
              <w:bottom w:val="nil"/>
              <w:right w:val="nil"/>
            </w:tcBorders>
            <w:shd w:val="clear" w:color="auto" w:fill="auto"/>
            <w:vAlign w:val="bottom"/>
          </w:tcPr>
          <w:p w14:paraId="0068992C"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eastAsia="hr-HR"/>
              </w:rPr>
              <w:t>-</w:t>
            </w:r>
          </w:p>
        </w:tc>
      </w:tr>
      <w:tr w:rsidR="00587444" w:rsidRPr="00587444" w14:paraId="60B34A54" w14:textId="77777777" w:rsidTr="00DD69E7">
        <w:trPr>
          <w:trHeight w:val="227"/>
        </w:trPr>
        <w:tc>
          <w:tcPr>
            <w:tcW w:w="1979" w:type="dxa"/>
            <w:tcBorders>
              <w:top w:val="nil"/>
              <w:left w:val="nil"/>
              <w:bottom w:val="nil"/>
              <w:right w:val="nil"/>
            </w:tcBorders>
            <w:shd w:val="clear" w:color="auto" w:fill="auto"/>
            <w:noWrap/>
            <w:vAlign w:val="bottom"/>
          </w:tcPr>
          <w:p w14:paraId="02630902"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rPr>
              <w:t>RHMF-O-34BA</w:t>
            </w:r>
          </w:p>
        </w:tc>
        <w:tc>
          <w:tcPr>
            <w:tcW w:w="1134" w:type="dxa"/>
            <w:gridSpan w:val="2"/>
            <w:tcBorders>
              <w:top w:val="nil"/>
              <w:left w:val="nil"/>
              <w:bottom w:val="nil"/>
              <w:right w:val="nil"/>
            </w:tcBorders>
            <w:shd w:val="clear" w:color="auto" w:fill="auto"/>
            <w:noWrap/>
            <w:vAlign w:val="bottom"/>
          </w:tcPr>
          <w:p w14:paraId="2C5D3E03"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rPr>
              <w:t>27.11.2019.</w:t>
            </w:r>
          </w:p>
        </w:tc>
        <w:tc>
          <w:tcPr>
            <w:tcW w:w="1139" w:type="dxa"/>
            <w:gridSpan w:val="4"/>
            <w:tcBorders>
              <w:top w:val="nil"/>
              <w:left w:val="nil"/>
              <w:bottom w:val="nil"/>
              <w:right w:val="nil"/>
            </w:tcBorders>
            <w:shd w:val="clear" w:color="auto" w:fill="auto"/>
            <w:noWrap/>
            <w:vAlign w:val="bottom"/>
          </w:tcPr>
          <w:p w14:paraId="1020B9FC"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rPr>
              <w:t>27.11.2034.</w:t>
            </w:r>
          </w:p>
        </w:tc>
        <w:tc>
          <w:tcPr>
            <w:tcW w:w="1136" w:type="dxa"/>
            <w:tcBorders>
              <w:top w:val="nil"/>
              <w:left w:val="nil"/>
              <w:bottom w:val="nil"/>
              <w:right w:val="nil"/>
            </w:tcBorders>
            <w:shd w:val="clear" w:color="auto" w:fill="auto"/>
            <w:noWrap/>
            <w:vAlign w:val="bottom"/>
          </w:tcPr>
          <w:p w14:paraId="528BA833" w14:textId="77777777" w:rsidR="00587444" w:rsidRPr="00587444" w:rsidRDefault="00587444" w:rsidP="00587444">
            <w:pPr>
              <w:suppressAutoHyphens w:val="0"/>
              <w:autoSpaceDN/>
              <w:jc w:val="center"/>
              <w:rPr>
                <w:rFonts w:ascii="Arial" w:eastAsia="Calibri" w:hAnsi="Arial" w:cs="Arial"/>
                <w:sz w:val="16"/>
                <w:szCs w:val="16"/>
              </w:rPr>
            </w:pPr>
            <w:r w:rsidRPr="00587444">
              <w:rPr>
                <w:rFonts w:ascii="Arial" w:eastAsia="Calibri" w:hAnsi="Arial" w:cs="Arial"/>
                <w:color w:val="000000"/>
                <w:sz w:val="16"/>
                <w:szCs w:val="16"/>
              </w:rPr>
              <w:t>1.00</w:t>
            </w:r>
          </w:p>
        </w:tc>
        <w:tc>
          <w:tcPr>
            <w:tcW w:w="1273" w:type="dxa"/>
            <w:gridSpan w:val="2"/>
            <w:tcBorders>
              <w:top w:val="nil"/>
              <w:left w:val="nil"/>
              <w:bottom w:val="nil"/>
              <w:right w:val="nil"/>
            </w:tcBorders>
            <w:vAlign w:val="bottom"/>
          </w:tcPr>
          <w:p w14:paraId="52C09A72" w14:textId="77777777" w:rsidR="00587444" w:rsidRPr="00587444" w:rsidRDefault="00587444" w:rsidP="00587444">
            <w:pPr>
              <w:suppressAutoHyphens w:val="0"/>
              <w:autoSpaceDN/>
              <w:jc w:val="right"/>
              <w:rPr>
                <w:rFonts w:ascii="Arial" w:eastAsia="Calibri" w:hAnsi="Arial" w:cs="Arial"/>
                <w:sz w:val="16"/>
                <w:szCs w:val="16"/>
                <w:lang w:val="hr-HR"/>
              </w:rPr>
            </w:pPr>
            <w:r w:rsidRPr="00587444">
              <w:rPr>
                <w:rFonts w:ascii="Arial" w:eastAsia="Calibri" w:hAnsi="Arial" w:cs="Arial"/>
                <w:color w:val="000000"/>
                <w:sz w:val="16"/>
                <w:szCs w:val="16"/>
                <w:lang w:val="hr-HR"/>
              </w:rPr>
              <w:t>11,885</w:t>
            </w:r>
          </w:p>
        </w:tc>
        <w:tc>
          <w:tcPr>
            <w:tcW w:w="1417" w:type="dxa"/>
            <w:tcBorders>
              <w:top w:val="nil"/>
              <w:left w:val="nil"/>
              <w:bottom w:val="nil"/>
              <w:right w:val="nil"/>
            </w:tcBorders>
            <w:vAlign w:val="bottom"/>
          </w:tcPr>
          <w:p w14:paraId="41F1F329"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15,743</w:t>
            </w:r>
          </w:p>
        </w:tc>
        <w:tc>
          <w:tcPr>
            <w:tcW w:w="1136" w:type="dxa"/>
            <w:tcBorders>
              <w:top w:val="nil"/>
              <w:left w:val="nil"/>
              <w:bottom w:val="nil"/>
              <w:right w:val="nil"/>
            </w:tcBorders>
            <w:shd w:val="clear" w:color="auto" w:fill="auto"/>
            <w:vAlign w:val="bottom"/>
          </w:tcPr>
          <w:p w14:paraId="7A0A4D5F"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lang w:val="hr-HR"/>
              </w:rPr>
              <w:t>-</w:t>
            </w:r>
          </w:p>
        </w:tc>
        <w:tc>
          <w:tcPr>
            <w:tcW w:w="1417" w:type="dxa"/>
            <w:gridSpan w:val="2"/>
            <w:tcBorders>
              <w:top w:val="nil"/>
              <w:left w:val="nil"/>
              <w:bottom w:val="nil"/>
              <w:right w:val="nil"/>
            </w:tcBorders>
            <w:shd w:val="clear" w:color="auto" w:fill="auto"/>
            <w:vAlign w:val="bottom"/>
          </w:tcPr>
          <w:p w14:paraId="784741C6"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w:t>
            </w:r>
          </w:p>
        </w:tc>
      </w:tr>
      <w:tr w:rsidR="00587444" w:rsidRPr="00587444" w14:paraId="1BB1BB77" w14:textId="77777777" w:rsidTr="00DD69E7">
        <w:trPr>
          <w:trHeight w:val="227"/>
        </w:trPr>
        <w:tc>
          <w:tcPr>
            <w:tcW w:w="1979" w:type="dxa"/>
            <w:tcBorders>
              <w:top w:val="nil"/>
              <w:left w:val="nil"/>
              <w:bottom w:val="nil"/>
              <w:right w:val="nil"/>
            </w:tcBorders>
            <w:shd w:val="clear" w:color="auto" w:fill="auto"/>
            <w:noWrap/>
            <w:vAlign w:val="bottom"/>
          </w:tcPr>
          <w:p w14:paraId="59376D07"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RHMF-O-403E</w:t>
            </w:r>
          </w:p>
        </w:tc>
        <w:tc>
          <w:tcPr>
            <w:tcW w:w="1134" w:type="dxa"/>
            <w:gridSpan w:val="2"/>
            <w:tcBorders>
              <w:top w:val="nil"/>
              <w:left w:val="nil"/>
              <w:bottom w:val="nil"/>
              <w:right w:val="nil"/>
            </w:tcBorders>
            <w:shd w:val="clear" w:color="auto" w:fill="auto"/>
            <w:noWrap/>
            <w:vAlign w:val="bottom"/>
          </w:tcPr>
          <w:p w14:paraId="3E5E90B1"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3.3.2020.</w:t>
            </w:r>
          </w:p>
        </w:tc>
        <w:tc>
          <w:tcPr>
            <w:tcW w:w="1139" w:type="dxa"/>
            <w:gridSpan w:val="4"/>
            <w:tcBorders>
              <w:top w:val="nil"/>
              <w:left w:val="nil"/>
              <w:bottom w:val="nil"/>
              <w:right w:val="nil"/>
            </w:tcBorders>
            <w:shd w:val="clear" w:color="auto" w:fill="auto"/>
            <w:noWrap/>
            <w:vAlign w:val="bottom"/>
          </w:tcPr>
          <w:p w14:paraId="4CE1A666"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3.3.2040.</w:t>
            </w:r>
          </w:p>
        </w:tc>
        <w:tc>
          <w:tcPr>
            <w:tcW w:w="1136" w:type="dxa"/>
            <w:tcBorders>
              <w:top w:val="nil"/>
              <w:left w:val="nil"/>
              <w:bottom w:val="nil"/>
              <w:right w:val="nil"/>
            </w:tcBorders>
            <w:shd w:val="clear" w:color="auto" w:fill="auto"/>
            <w:noWrap/>
            <w:vAlign w:val="bottom"/>
          </w:tcPr>
          <w:p w14:paraId="07B97791" w14:textId="77777777" w:rsidR="00587444" w:rsidRPr="00587444" w:rsidRDefault="00587444" w:rsidP="00587444">
            <w:pPr>
              <w:suppressAutoHyphens w:val="0"/>
              <w:autoSpaceDN/>
              <w:jc w:val="center"/>
              <w:rPr>
                <w:rFonts w:ascii="Arial" w:eastAsia="Calibri" w:hAnsi="Arial" w:cs="Arial"/>
                <w:color w:val="000000"/>
                <w:sz w:val="16"/>
                <w:szCs w:val="16"/>
              </w:rPr>
            </w:pPr>
            <w:r w:rsidRPr="00587444">
              <w:rPr>
                <w:rFonts w:ascii="Arial" w:eastAsia="Calibri" w:hAnsi="Arial" w:cs="Arial"/>
                <w:color w:val="000000"/>
                <w:sz w:val="16"/>
                <w:szCs w:val="16"/>
              </w:rPr>
              <w:t>1.25</w:t>
            </w:r>
          </w:p>
        </w:tc>
        <w:tc>
          <w:tcPr>
            <w:tcW w:w="1273" w:type="dxa"/>
            <w:gridSpan w:val="2"/>
            <w:tcBorders>
              <w:top w:val="nil"/>
              <w:left w:val="nil"/>
              <w:bottom w:val="nil"/>
              <w:right w:val="nil"/>
            </w:tcBorders>
            <w:vAlign w:val="bottom"/>
          </w:tcPr>
          <w:p w14:paraId="712CA75A" w14:textId="77777777" w:rsidR="00587444" w:rsidRPr="00587444" w:rsidRDefault="00587444" w:rsidP="00587444">
            <w:pPr>
              <w:suppressAutoHyphens w:val="0"/>
              <w:autoSpaceDN/>
              <w:jc w:val="right"/>
              <w:rPr>
                <w:rFonts w:ascii="Arial" w:eastAsia="Calibri" w:hAnsi="Arial" w:cs="Arial"/>
                <w:sz w:val="16"/>
                <w:szCs w:val="16"/>
                <w:lang w:val="hr-HR"/>
              </w:rPr>
            </w:pPr>
            <w:r w:rsidRPr="00587444">
              <w:rPr>
                <w:rFonts w:ascii="Arial" w:eastAsia="Calibri" w:hAnsi="Arial" w:cs="Arial"/>
                <w:color w:val="000000"/>
                <w:sz w:val="16"/>
                <w:szCs w:val="16"/>
                <w:lang w:val="hr-HR"/>
              </w:rPr>
              <w:t>6,382</w:t>
            </w:r>
          </w:p>
        </w:tc>
        <w:tc>
          <w:tcPr>
            <w:tcW w:w="1417" w:type="dxa"/>
            <w:tcBorders>
              <w:top w:val="nil"/>
              <w:left w:val="nil"/>
              <w:bottom w:val="nil"/>
              <w:right w:val="nil"/>
            </w:tcBorders>
            <w:vAlign w:val="bottom"/>
          </w:tcPr>
          <w:p w14:paraId="591D11F1"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lang w:val="hr-HR"/>
              </w:rPr>
              <w:t>8,500</w:t>
            </w:r>
          </w:p>
        </w:tc>
        <w:tc>
          <w:tcPr>
            <w:tcW w:w="1136" w:type="dxa"/>
            <w:tcBorders>
              <w:top w:val="nil"/>
              <w:left w:val="nil"/>
              <w:bottom w:val="nil"/>
              <w:right w:val="nil"/>
            </w:tcBorders>
            <w:shd w:val="clear" w:color="auto" w:fill="auto"/>
            <w:vAlign w:val="bottom"/>
          </w:tcPr>
          <w:p w14:paraId="4B463A45"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lang w:val="hr-HR"/>
              </w:rPr>
              <w:t>-</w:t>
            </w:r>
          </w:p>
        </w:tc>
        <w:tc>
          <w:tcPr>
            <w:tcW w:w="1417" w:type="dxa"/>
            <w:gridSpan w:val="2"/>
            <w:tcBorders>
              <w:top w:val="nil"/>
              <w:left w:val="nil"/>
              <w:bottom w:val="nil"/>
              <w:right w:val="nil"/>
            </w:tcBorders>
            <w:shd w:val="clear" w:color="auto" w:fill="auto"/>
            <w:vAlign w:val="bottom"/>
          </w:tcPr>
          <w:p w14:paraId="60363C3C"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w:t>
            </w:r>
          </w:p>
        </w:tc>
      </w:tr>
      <w:tr w:rsidR="00587444" w:rsidRPr="00587444" w14:paraId="4AF8928E" w14:textId="77777777" w:rsidTr="00DD69E7">
        <w:trPr>
          <w:trHeight w:val="227"/>
        </w:trPr>
        <w:tc>
          <w:tcPr>
            <w:tcW w:w="1979" w:type="dxa"/>
            <w:tcBorders>
              <w:top w:val="nil"/>
              <w:left w:val="nil"/>
              <w:bottom w:val="nil"/>
              <w:right w:val="nil"/>
            </w:tcBorders>
            <w:shd w:val="clear" w:color="auto" w:fill="auto"/>
            <w:noWrap/>
            <w:vAlign w:val="bottom"/>
          </w:tcPr>
          <w:p w14:paraId="0C718CC4"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RHMF-O-253A</w:t>
            </w:r>
          </w:p>
        </w:tc>
        <w:tc>
          <w:tcPr>
            <w:tcW w:w="1134" w:type="dxa"/>
            <w:gridSpan w:val="2"/>
            <w:tcBorders>
              <w:top w:val="nil"/>
              <w:left w:val="nil"/>
              <w:bottom w:val="nil"/>
              <w:right w:val="nil"/>
            </w:tcBorders>
            <w:shd w:val="clear" w:color="auto" w:fill="auto"/>
            <w:noWrap/>
            <w:vAlign w:val="bottom"/>
          </w:tcPr>
          <w:p w14:paraId="7B31E815"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3.3.2020.</w:t>
            </w:r>
          </w:p>
        </w:tc>
        <w:tc>
          <w:tcPr>
            <w:tcW w:w="1139" w:type="dxa"/>
            <w:gridSpan w:val="4"/>
            <w:tcBorders>
              <w:top w:val="nil"/>
              <w:left w:val="nil"/>
              <w:bottom w:val="nil"/>
              <w:right w:val="nil"/>
            </w:tcBorders>
            <w:shd w:val="clear" w:color="auto" w:fill="auto"/>
            <w:noWrap/>
            <w:vAlign w:val="bottom"/>
          </w:tcPr>
          <w:p w14:paraId="44A16643"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3.3.2025.</w:t>
            </w:r>
          </w:p>
        </w:tc>
        <w:tc>
          <w:tcPr>
            <w:tcW w:w="1136" w:type="dxa"/>
            <w:tcBorders>
              <w:top w:val="nil"/>
              <w:left w:val="nil"/>
              <w:bottom w:val="nil"/>
              <w:right w:val="nil"/>
            </w:tcBorders>
            <w:shd w:val="clear" w:color="auto" w:fill="auto"/>
            <w:noWrap/>
            <w:vAlign w:val="bottom"/>
          </w:tcPr>
          <w:p w14:paraId="7EDD0342" w14:textId="77777777" w:rsidR="00587444" w:rsidRPr="00587444" w:rsidRDefault="00587444" w:rsidP="00587444">
            <w:pPr>
              <w:suppressAutoHyphens w:val="0"/>
              <w:autoSpaceDN/>
              <w:jc w:val="center"/>
              <w:rPr>
                <w:rFonts w:ascii="Arial" w:eastAsia="Calibri" w:hAnsi="Arial" w:cs="Arial"/>
                <w:color w:val="000000"/>
                <w:sz w:val="16"/>
                <w:szCs w:val="16"/>
              </w:rPr>
            </w:pPr>
            <w:r w:rsidRPr="00587444">
              <w:rPr>
                <w:rFonts w:ascii="Arial" w:eastAsia="Calibri" w:hAnsi="Arial" w:cs="Arial"/>
                <w:color w:val="000000"/>
                <w:sz w:val="16"/>
                <w:szCs w:val="16"/>
              </w:rPr>
              <w:t>0.25</w:t>
            </w:r>
          </w:p>
        </w:tc>
        <w:tc>
          <w:tcPr>
            <w:tcW w:w="1273" w:type="dxa"/>
            <w:gridSpan w:val="2"/>
            <w:tcBorders>
              <w:top w:val="nil"/>
              <w:left w:val="nil"/>
              <w:bottom w:val="nil"/>
              <w:right w:val="nil"/>
            </w:tcBorders>
            <w:shd w:val="clear" w:color="auto" w:fill="auto"/>
            <w:vAlign w:val="bottom"/>
          </w:tcPr>
          <w:p w14:paraId="7FD302E5" w14:textId="77777777" w:rsidR="00587444" w:rsidRPr="00587444" w:rsidRDefault="00587444" w:rsidP="00587444">
            <w:pPr>
              <w:suppressAutoHyphens w:val="0"/>
              <w:autoSpaceDN/>
              <w:jc w:val="right"/>
              <w:rPr>
                <w:rFonts w:ascii="Arial" w:eastAsia="Calibri" w:hAnsi="Arial" w:cs="Arial"/>
                <w:sz w:val="16"/>
                <w:szCs w:val="16"/>
                <w:lang w:val="hr-HR"/>
              </w:rPr>
            </w:pPr>
            <w:r w:rsidRPr="00587444">
              <w:rPr>
                <w:rFonts w:ascii="Arial" w:eastAsia="Calibri" w:hAnsi="Arial" w:cs="Arial"/>
                <w:color w:val="000000"/>
                <w:sz w:val="16"/>
                <w:szCs w:val="16"/>
                <w:lang w:val="hr-HR"/>
              </w:rPr>
              <w:t>75,146</w:t>
            </w:r>
          </w:p>
        </w:tc>
        <w:tc>
          <w:tcPr>
            <w:tcW w:w="1417" w:type="dxa"/>
            <w:tcBorders>
              <w:top w:val="nil"/>
              <w:left w:val="nil"/>
              <w:bottom w:val="nil"/>
              <w:right w:val="nil"/>
            </w:tcBorders>
            <w:vAlign w:val="bottom"/>
          </w:tcPr>
          <w:p w14:paraId="5D22F836"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lang w:val="hr-HR"/>
              </w:rPr>
              <w:t>80,082</w:t>
            </w:r>
          </w:p>
        </w:tc>
        <w:tc>
          <w:tcPr>
            <w:tcW w:w="1136" w:type="dxa"/>
            <w:tcBorders>
              <w:top w:val="nil"/>
              <w:left w:val="nil"/>
              <w:bottom w:val="nil"/>
              <w:right w:val="nil"/>
            </w:tcBorders>
            <w:shd w:val="clear" w:color="auto" w:fill="auto"/>
            <w:vAlign w:val="bottom"/>
          </w:tcPr>
          <w:p w14:paraId="2199148C"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lang w:val="hr-HR"/>
              </w:rPr>
              <w:t>75,146</w:t>
            </w:r>
          </w:p>
        </w:tc>
        <w:tc>
          <w:tcPr>
            <w:tcW w:w="1417" w:type="dxa"/>
            <w:gridSpan w:val="2"/>
            <w:tcBorders>
              <w:top w:val="nil"/>
              <w:left w:val="nil"/>
              <w:bottom w:val="nil"/>
              <w:right w:val="nil"/>
            </w:tcBorders>
            <w:shd w:val="clear" w:color="auto" w:fill="auto"/>
            <w:vAlign w:val="bottom"/>
          </w:tcPr>
          <w:p w14:paraId="08B60C0A"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80,082</w:t>
            </w:r>
          </w:p>
        </w:tc>
      </w:tr>
      <w:tr w:rsidR="00587444" w:rsidRPr="00587444" w14:paraId="07279338" w14:textId="77777777" w:rsidTr="00DD69E7">
        <w:trPr>
          <w:trHeight w:val="227"/>
        </w:trPr>
        <w:tc>
          <w:tcPr>
            <w:tcW w:w="1979" w:type="dxa"/>
            <w:tcBorders>
              <w:top w:val="nil"/>
              <w:left w:val="nil"/>
              <w:bottom w:val="nil"/>
              <w:right w:val="nil"/>
            </w:tcBorders>
            <w:shd w:val="clear" w:color="auto" w:fill="auto"/>
            <w:noWrap/>
            <w:vAlign w:val="bottom"/>
          </w:tcPr>
          <w:p w14:paraId="3D1B30E5"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RHMFO-24BA</w:t>
            </w:r>
          </w:p>
        </w:tc>
        <w:tc>
          <w:tcPr>
            <w:tcW w:w="1134" w:type="dxa"/>
            <w:gridSpan w:val="2"/>
            <w:tcBorders>
              <w:top w:val="nil"/>
              <w:left w:val="nil"/>
              <w:bottom w:val="nil"/>
              <w:right w:val="nil"/>
            </w:tcBorders>
            <w:shd w:val="clear" w:color="auto" w:fill="auto"/>
            <w:noWrap/>
            <w:vAlign w:val="bottom"/>
          </w:tcPr>
          <w:p w14:paraId="572F9CD4" w14:textId="77777777" w:rsidR="00587444" w:rsidRPr="00587444" w:rsidRDefault="00587444" w:rsidP="00587444">
            <w:pPr>
              <w:suppressAutoHyphens w:val="0"/>
              <w:autoSpaceDN/>
              <w:jc w:val="right"/>
              <w:rPr>
                <w:rFonts w:ascii="Arial" w:eastAsia="Calibri" w:hAnsi="Arial" w:cs="Arial"/>
                <w:iCs/>
                <w:color w:val="000000"/>
                <w:sz w:val="16"/>
                <w:szCs w:val="16"/>
              </w:rPr>
            </w:pPr>
            <w:r w:rsidRPr="00587444">
              <w:rPr>
                <w:rFonts w:ascii="Arial" w:eastAsia="Calibri" w:hAnsi="Arial" w:cs="Arial"/>
                <w:iCs/>
                <w:color w:val="000000"/>
                <w:sz w:val="16"/>
                <w:szCs w:val="16"/>
              </w:rPr>
              <w:t xml:space="preserve">27.11.2019.             </w:t>
            </w:r>
          </w:p>
        </w:tc>
        <w:tc>
          <w:tcPr>
            <w:tcW w:w="1139" w:type="dxa"/>
            <w:gridSpan w:val="4"/>
            <w:shd w:val="clear" w:color="auto" w:fill="auto"/>
            <w:noWrap/>
            <w:vAlign w:val="bottom"/>
          </w:tcPr>
          <w:p w14:paraId="58A05079"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iCs/>
                <w:color w:val="000000"/>
                <w:sz w:val="16"/>
                <w:szCs w:val="16"/>
              </w:rPr>
              <w:t>27.11.2024.</w:t>
            </w:r>
          </w:p>
        </w:tc>
        <w:tc>
          <w:tcPr>
            <w:tcW w:w="1136" w:type="dxa"/>
            <w:tcBorders>
              <w:top w:val="nil"/>
              <w:left w:val="nil"/>
              <w:bottom w:val="nil"/>
              <w:right w:val="nil"/>
            </w:tcBorders>
            <w:shd w:val="clear" w:color="auto" w:fill="auto"/>
            <w:noWrap/>
            <w:vAlign w:val="bottom"/>
          </w:tcPr>
          <w:p w14:paraId="193C1B89" w14:textId="77777777" w:rsidR="00587444" w:rsidRPr="00587444" w:rsidRDefault="00587444" w:rsidP="00587444">
            <w:pPr>
              <w:suppressAutoHyphens w:val="0"/>
              <w:autoSpaceDN/>
              <w:jc w:val="center"/>
              <w:rPr>
                <w:rFonts w:ascii="Arial" w:eastAsia="Calibri" w:hAnsi="Arial" w:cs="Arial"/>
                <w:color w:val="000000"/>
                <w:sz w:val="16"/>
                <w:szCs w:val="16"/>
              </w:rPr>
            </w:pPr>
            <w:r w:rsidRPr="00587444">
              <w:rPr>
                <w:rFonts w:ascii="Arial" w:eastAsia="Calibri" w:hAnsi="Arial" w:cs="Arial"/>
                <w:iCs/>
                <w:color w:val="000000"/>
                <w:sz w:val="16"/>
                <w:szCs w:val="16"/>
              </w:rPr>
              <w:t>0.25</w:t>
            </w:r>
          </w:p>
        </w:tc>
        <w:tc>
          <w:tcPr>
            <w:tcW w:w="1273" w:type="dxa"/>
            <w:gridSpan w:val="2"/>
            <w:tcBorders>
              <w:top w:val="nil"/>
              <w:left w:val="nil"/>
              <w:bottom w:val="nil"/>
              <w:right w:val="nil"/>
            </w:tcBorders>
            <w:vAlign w:val="bottom"/>
          </w:tcPr>
          <w:p w14:paraId="31F907A0" w14:textId="77777777" w:rsidR="00587444" w:rsidRPr="00587444" w:rsidRDefault="00587444" w:rsidP="00587444">
            <w:pPr>
              <w:suppressAutoHyphens w:val="0"/>
              <w:autoSpaceDN/>
              <w:jc w:val="right"/>
              <w:rPr>
                <w:rFonts w:ascii="Arial" w:eastAsia="Calibri" w:hAnsi="Arial" w:cs="Arial"/>
                <w:sz w:val="16"/>
                <w:szCs w:val="16"/>
                <w:lang w:val="hr-HR"/>
              </w:rPr>
            </w:pPr>
            <w:r w:rsidRPr="00587444">
              <w:rPr>
                <w:rFonts w:ascii="Arial" w:eastAsia="Calibri" w:hAnsi="Arial" w:cs="Arial"/>
                <w:color w:val="000000"/>
                <w:sz w:val="16"/>
                <w:szCs w:val="16"/>
                <w:lang w:val="hr-HR" w:eastAsia="hr-HR"/>
              </w:rPr>
              <w:t>9,195</w:t>
            </w:r>
          </w:p>
        </w:tc>
        <w:tc>
          <w:tcPr>
            <w:tcW w:w="1417" w:type="dxa"/>
            <w:tcBorders>
              <w:top w:val="nil"/>
              <w:left w:val="nil"/>
              <w:bottom w:val="nil"/>
              <w:right w:val="nil"/>
            </w:tcBorders>
            <w:shd w:val="clear" w:color="auto" w:fill="auto"/>
            <w:vAlign w:val="bottom"/>
          </w:tcPr>
          <w:p w14:paraId="39A64916"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lang w:val="hr-HR"/>
              </w:rPr>
              <w:t>9,667</w:t>
            </w:r>
          </w:p>
        </w:tc>
        <w:tc>
          <w:tcPr>
            <w:tcW w:w="1136" w:type="dxa"/>
            <w:tcBorders>
              <w:top w:val="nil"/>
              <w:left w:val="nil"/>
              <w:bottom w:val="nil"/>
              <w:right w:val="nil"/>
            </w:tcBorders>
            <w:vAlign w:val="bottom"/>
          </w:tcPr>
          <w:p w14:paraId="3B4EA12B"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lang w:val="hr-HR"/>
              </w:rPr>
              <w:t>9,195</w:t>
            </w:r>
          </w:p>
        </w:tc>
        <w:tc>
          <w:tcPr>
            <w:tcW w:w="1417" w:type="dxa"/>
            <w:gridSpan w:val="2"/>
            <w:tcBorders>
              <w:top w:val="nil"/>
              <w:left w:val="nil"/>
              <w:bottom w:val="nil"/>
              <w:right w:val="nil"/>
            </w:tcBorders>
            <w:vAlign w:val="bottom"/>
          </w:tcPr>
          <w:p w14:paraId="5289AFBC"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eastAsia="hr-HR"/>
              </w:rPr>
              <w:t>9,667</w:t>
            </w:r>
          </w:p>
        </w:tc>
      </w:tr>
      <w:tr w:rsidR="00587444" w:rsidRPr="00587444" w14:paraId="2B1B2D5A" w14:textId="77777777" w:rsidTr="00DD69E7">
        <w:trPr>
          <w:trHeight w:val="227"/>
        </w:trPr>
        <w:tc>
          <w:tcPr>
            <w:tcW w:w="4252" w:type="dxa"/>
            <w:gridSpan w:val="7"/>
            <w:shd w:val="clear" w:color="auto" w:fill="auto"/>
            <w:noWrap/>
            <w:vAlign w:val="bottom"/>
          </w:tcPr>
          <w:p w14:paraId="14478F9B" w14:textId="77777777" w:rsidR="00587444" w:rsidRPr="00587444" w:rsidRDefault="00587444" w:rsidP="00587444">
            <w:pPr>
              <w:suppressAutoHyphens w:val="0"/>
              <w:autoSpaceDN/>
              <w:rPr>
                <w:rFonts w:ascii="Arial" w:eastAsia="Calibri" w:hAnsi="Arial" w:cs="Arial"/>
                <w:i/>
                <w:sz w:val="16"/>
                <w:szCs w:val="16"/>
              </w:rPr>
            </w:pPr>
            <w:r w:rsidRPr="00587444">
              <w:rPr>
                <w:rFonts w:ascii="Arial" w:eastAsia="Calibri" w:hAnsi="Arial" w:cs="Arial"/>
                <w:i/>
                <w:sz w:val="16"/>
                <w:szCs w:val="16"/>
                <w:lang w:eastAsia="hr-HR"/>
              </w:rPr>
              <w:t>Corporate bonds in HRK:</w:t>
            </w:r>
          </w:p>
        </w:tc>
        <w:tc>
          <w:tcPr>
            <w:tcW w:w="1136" w:type="dxa"/>
            <w:tcBorders>
              <w:top w:val="nil"/>
              <w:left w:val="nil"/>
              <w:bottom w:val="nil"/>
              <w:right w:val="nil"/>
            </w:tcBorders>
            <w:shd w:val="clear" w:color="auto" w:fill="auto"/>
            <w:noWrap/>
            <w:vAlign w:val="bottom"/>
          </w:tcPr>
          <w:p w14:paraId="185CF2FF" w14:textId="77777777" w:rsidR="00587444" w:rsidRPr="00587444" w:rsidRDefault="00587444" w:rsidP="00587444">
            <w:pPr>
              <w:suppressAutoHyphens w:val="0"/>
              <w:autoSpaceDN/>
              <w:jc w:val="center"/>
              <w:rPr>
                <w:rFonts w:ascii="Arial" w:eastAsia="Calibri" w:hAnsi="Arial" w:cs="Arial"/>
                <w:sz w:val="16"/>
                <w:szCs w:val="16"/>
              </w:rPr>
            </w:pPr>
          </w:p>
        </w:tc>
        <w:tc>
          <w:tcPr>
            <w:tcW w:w="1273" w:type="dxa"/>
            <w:gridSpan w:val="2"/>
            <w:tcBorders>
              <w:top w:val="nil"/>
              <w:left w:val="nil"/>
              <w:bottom w:val="nil"/>
              <w:right w:val="nil"/>
            </w:tcBorders>
            <w:shd w:val="clear" w:color="auto" w:fill="auto"/>
            <w:vAlign w:val="bottom"/>
          </w:tcPr>
          <w:p w14:paraId="40E2D144" w14:textId="77777777" w:rsidR="00587444" w:rsidRPr="00587444" w:rsidRDefault="00587444" w:rsidP="00587444">
            <w:pPr>
              <w:suppressAutoHyphens w:val="0"/>
              <w:autoSpaceDN/>
              <w:jc w:val="right"/>
              <w:rPr>
                <w:rFonts w:ascii="Arial" w:eastAsia="Calibri" w:hAnsi="Arial" w:cs="Arial"/>
                <w:sz w:val="16"/>
                <w:szCs w:val="16"/>
              </w:rPr>
            </w:pPr>
          </w:p>
        </w:tc>
        <w:tc>
          <w:tcPr>
            <w:tcW w:w="1417" w:type="dxa"/>
            <w:tcBorders>
              <w:top w:val="nil"/>
              <w:left w:val="nil"/>
              <w:bottom w:val="nil"/>
              <w:right w:val="nil"/>
            </w:tcBorders>
            <w:shd w:val="clear" w:color="auto" w:fill="auto"/>
            <w:vAlign w:val="bottom"/>
          </w:tcPr>
          <w:p w14:paraId="5882F31F" w14:textId="77777777" w:rsidR="00587444" w:rsidRPr="00587444" w:rsidRDefault="00587444" w:rsidP="00587444">
            <w:pPr>
              <w:suppressAutoHyphens w:val="0"/>
              <w:autoSpaceDN/>
              <w:jc w:val="right"/>
              <w:rPr>
                <w:rFonts w:ascii="Arial" w:eastAsia="Calibri" w:hAnsi="Arial" w:cs="Arial"/>
                <w:sz w:val="16"/>
                <w:szCs w:val="16"/>
              </w:rPr>
            </w:pPr>
          </w:p>
        </w:tc>
        <w:tc>
          <w:tcPr>
            <w:tcW w:w="1136" w:type="dxa"/>
            <w:tcBorders>
              <w:top w:val="nil"/>
              <w:left w:val="nil"/>
              <w:bottom w:val="nil"/>
              <w:right w:val="nil"/>
            </w:tcBorders>
            <w:shd w:val="clear" w:color="auto" w:fill="auto"/>
            <w:vAlign w:val="bottom"/>
          </w:tcPr>
          <w:p w14:paraId="32B5C8CD" w14:textId="77777777" w:rsidR="00587444" w:rsidRPr="00587444" w:rsidRDefault="00587444" w:rsidP="00587444">
            <w:pPr>
              <w:suppressAutoHyphens w:val="0"/>
              <w:autoSpaceDN/>
              <w:jc w:val="right"/>
              <w:rPr>
                <w:rFonts w:ascii="Arial" w:eastAsia="Calibri" w:hAnsi="Arial" w:cs="Arial"/>
                <w:sz w:val="16"/>
                <w:szCs w:val="16"/>
              </w:rPr>
            </w:pPr>
          </w:p>
        </w:tc>
        <w:tc>
          <w:tcPr>
            <w:tcW w:w="1417" w:type="dxa"/>
            <w:gridSpan w:val="2"/>
            <w:tcBorders>
              <w:top w:val="nil"/>
              <w:left w:val="nil"/>
              <w:bottom w:val="nil"/>
              <w:right w:val="nil"/>
            </w:tcBorders>
            <w:shd w:val="clear" w:color="auto" w:fill="auto"/>
            <w:vAlign w:val="bottom"/>
          </w:tcPr>
          <w:p w14:paraId="02E52077" w14:textId="77777777" w:rsidR="00587444" w:rsidRPr="00587444" w:rsidRDefault="00587444" w:rsidP="00587444">
            <w:pPr>
              <w:suppressAutoHyphens w:val="0"/>
              <w:autoSpaceDN/>
              <w:jc w:val="right"/>
              <w:rPr>
                <w:rFonts w:ascii="Arial" w:eastAsia="Calibri" w:hAnsi="Arial" w:cs="Arial"/>
                <w:sz w:val="16"/>
                <w:szCs w:val="16"/>
              </w:rPr>
            </w:pPr>
          </w:p>
        </w:tc>
      </w:tr>
      <w:tr w:rsidR="00587444" w:rsidRPr="00587444" w14:paraId="0A30DB33" w14:textId="77777777" w:rsidTr="00DD69E7">
        <w:trPr>
          <w:trHeight w:val="227"/>
        </w:trPr>
        <w:tc>
          <w:tcPr>
            <w:tcW w:w="1979" w:type="dxa"/>
            <w:tcBorders>
              <w:top w:val="nil"/>
              <w:left w:val="nil"/>
              <w:bottom w:val="nil"/>
              <w:right w:val="nil"/>
            </w:tcBorders>
            <w:shd w:val="clear" w:color="auto" w:fill="auto"/>
            <w:noWrap/>
            <w:vAlign w:val="bottom"/>
          </w:tcPr>
          <w:p w14:paraId="4CA7B169" w14:textId="77777777" w:rsidR="00587444" w:rsidRPr="00587444" w:rsidRDefault="00587444" w:rsidP="00587444">
            <w:pPr>
              <w:suppressAutoHyphens w:val="0"/>
              <w:autoSpaceDN/>
              <w:jc w:val="right"/>
              <w:rPr>
                <w:rFonts w:ascii="Arial" w:eastAsia="Calibri" w:hAnsi="Arial" w:cs="Arial"/>
                <w:sz w:val="16"/>
                <w:szCs w:val="16"/>
                <w:lang w:eastAsia="hr-HR"/>
              </w:rPr>
            </w:pPr>
            <w:r w:rsidRPr="00587444">
              <w:rPr>
                <w:rFonts w:ascii="Arial" w:eastAsia="Calibri" w:hAnsi="Arial" w:cs="Arial"/>
                <w:color w:val="000000"/>
                <w:sz w:val="16"/>
                <w:szCs w:val="16"/>
                <w:lang w:eastAsia="hr-HR"/>
              </w:rPr>
              <w:t>JDGL-O-24XA</w:t>
            </w:r>
          </w:p>
        </w:tc>
        <w:tc>
          <w:tcPr>
            <w:tcW w:w="1134" w:type="dxa"/>
            <w:gridSpan w:val="2"/>
            <w:tcBorders>
              <w:top w:val="nil"/>
              <w:left w:val="nil"/>
              <w:bottom w:val="nil"/>
              <w:right w:val="nil"/>
            </w:tcBorders>
            <w:shd w:val="clear" w:color="auto" w:fill="auto"/>
            <w:noWrap/>
            <w:vAlign w:val="bottom"/>
          </w:tcPr>
          <w:p w14:paraId="584DE036" w14:textId="77777777" w:rsidR="00587444" w:rsidRPr="00587444" w:rsidRDefault="00587444" w:rsidP="00587444">
            <w:pPr>
              <w:suppressAutoHyphens w:val="0"/>
              <w:autoSpaceDN/>
              <w:jc w:val="right"/>
              <w:rPr>
                <w:rFonts w:ascii="Arial" w:eastAsia="Calibri" w:hAnsi="Arial" w:cs="Arial"/>
                <w:sz w:val="16"/>
                <w:szCs w:val="16"/>
                <w:lang w:eastAsia="hr-HR"/>
              </w:rPr>
            </w:pPr>
            <w:r w:rsidRPr="00587444">
              <w:rPr>
                <w:rFonts w:ascii="Arial" w:eastAsia="Calibri" w:hAnsi="Arial" w:cs="Arial"/>
                <w:color w:val="000000"/>
                <w:sz w:val="16"/>
                <w:szCs w:val="16"/>
                <w:lang w:eastAsia="hr-HR"/>
              </w:rPr>
              <w:t>18.12.2019.</w:t>
            </w:r>
          </w:p>
        </w:tc>
        <w:tc>
          <w:tcPr>
            <w:tcW w:w="1139" w:type="dxa"/>
            <w:gridSpan w:val="4"/>
            <w:tcBorders>
              <w:top w:val="nil"/>
              <w:left w:val="nil"/>
              <w:bottom w:val="nil"/>
              <w:right w:val="nil"/>
            </w:tcBorders>
            <w:shd w:val="clear" w:color="auto" w:fill="auto"/>
            <w:noWrap/>
            <w:vAlign w:val="bottom"/>
          </w:tcPr>
          <w:p w14:paraId="3E9F5401" w14:textId="77777777" w:rsidR="00587444" w:rsidRPr="00587444" w:rsidRDefault="00587444" w:rsidP="00587444">
            <w:pPr>
              <w:suppressAutoHyphens w:val="0"/>
              <w:autoSpaceDN/>
              <w:jc w:val="right"/>
              <w:rPr>
                <w:rFonts w:ascii="Arial" w:eastAsia="Calibri" w:hAnsi="Arial" w:cs="Arial"/>
                <w:sz w:val="16"/>
                <w:szCs w:val="16"/>
                <w:lang w:eastAsia="hr-HR"/>
              </w:rPr>
            </w:pPr>
            <w:r w:rsidRPr="00587444">
              <w:rPr>
                <w:rFonts w:ascii="Arial" w:eastAsia="Calibri" w:hAnsi="Arial" w:cs="Arial"/>
                <w:color w:val="000000"/>
                <w:sz w:val="16"/>
                <w:szCs w:val="16"/>
                <w:lang w:eastAsia="hr-HR"/>
              </w:rPr>
              <w:t>18.12.2024.</w:t>
            </w:r>
          </w:p>
        </w:tc>
        <w:tc>
          <w:tcPr>
            <w:tcW w:w="1136" w:type="dxa"/>
            <w:tcBorders>
              <w:top w:val="nil"/>
              <w:left w:val="nil"/>
              <w:bottom w:val="nil"/>
              <w:right w:val="nil"/>
            </w:tcBorders>
            <w:shd w:val="clear" w:color="auto" w:fill="auto"/>
            <w:noWrap/>
            <w:vAlign w:val="bottom"/>
          </w:tcPr>
          <w:p w14:paraId="016682C8" w14:textId="77777777" w:rsidR="00587444" w:rsidRPr="00587444" w:rsidRDefault="00587444" w:rsidP="00587444">
            <w:pPr>
              <w:suppressAutoHyphens w:val="0"/>
              <w:autoSpaceDN/>
              <w:jc w:val="center"/>
              <w:rPr>
                <w:rFonts w:ascii="Arial" w:eastAsia="Calibri" w:hAnsi="Arial" w:cs="Arial"/>
                <w:sz w:val="16"/>
                <w:szCs w:val="16"/>
                <w:lang w:eastAsia="hr-HR"/>
              </w:rPr>
            </w:pPr>
            <w:r w:rsidRPr="00587444">
              <w:rPr>
                <w:rFonts w:ascii="Arial" w:eastAsia="Calibri" w:hAnsi="Arial" w:cs="Arial"/>
                <w:color w:val="000000"/>
                <w:sz w:val="16"/>
                <w:szCs w:val="16"/>
              </w:rPr>
              <w:t>1.75</w:t>
            </w:r>
          </w:p>
        </w:tc>
        <w:tc>
          <w:tcPr>
            <w:tcW w:w="1273" w:type="dxa"/>
            <w:gridSpan w:val="2"/>
            <w:tcBorders>
              <w:top w:val="nil"/>
              <w:left w:val="nil"/>
              <w:bottom w:val="nil"/>
              <w:right w:val="nil"/>
            </w:tcBorders>
            <w:shd w:val="clear" w:color="auto" w:fill="auto"/>
            <w:vAlign w:val="bottom"/>
          </w:tcPr>
          <w:p w14:paraId="54B3F305"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801</w:t>
            </w:r>
          </w:p>
        </w:tc>
        <w:tc>
          <w:tcPr>
            <w:tcW w:w="1417" w:type="dxa"/>
            <w:tcBorders>
              <w:top w:val="nil"/>
              <w:left w:val="nil"/>
              <w:bottom w:val="nil"/>
              <w:right w:val="nil"/>
            </w:tcBorders>
            <w:vAlign w:val="bottom"/>
          </w:tcPr>
          <w:p w14:paraId="167EE1C9"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eastAsia="hr-HR"/>
              </w:rPr>
              <w:t>1,015</w:t>
            </w:r>
          </w:p>
        </w:tc>
        <w:tc>
          <w:tcPr>
            <w:tcW w:w="1136" w:type="dxa"/>
            <w:tcBorders>
              <w:top w:val="nil"/>
              <w:left w:val="nil"/>
              <w:bottom w:val="nil"/>
              <w:right w:val="nil"/>
            </w:tcBorders>
            <w:shd w:val="clear" w:color="auto" w:fill="auto"/>
            <w:vAlign w:val="bottom"/>
          </w:tcPr>
          <w:p w14:paraId="1CA8883B"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w:t>
            </w:r>
          </w:p>
        </w:tc>
        <w:tc>
          <w:tcPr>
            <w:tcW w:w="1417" w:type="dxa"/>
            <w:gridSpan w:val="2"/>
            <w:tcBorders>
              <w:top w:val="nil"/>
              <w:left w:val="nil"/>
              <w:bottom w:val="nil"/>
              <w:right w:val="nil"/>
            </w:tcBorders>
            <w:vAlign w:val="bottom"/>
          </w:tcPr>
          <w:p w14:paraId="087EF95B"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rPr>
              <w:t>-</w:t>
            </w:r>
          </w:p>
        </w:tc>
      </w:tr>
      <w:tr w:rsidR="00587444" w:rsidRPr="00587444" w14:paraId="164640D7" w14:textId="77777777" w:rsidTr="00DD69E7">
        <w:trPr>
          <w:trHeight w:val="227"/>
        </w:trPr>
        <w:tc>
          <w:tcPr>
            <w:tcW w:w="1979" w:type="dxa"/>
            <w:tcBorders>
              <w:top w:val="nil"/>
              <w:left w:val="nil"/>
              <w:bottom w:val="nil"/>
              <w:right w:val="nil"/>
            </w:tcBorders>
            <w:shd w:val="clear" w:color="auto" w:fill="auto"/>
            <w:noWrap/>
            <w:vAlign w:val="bottom"/>
          </w:tcPr>
          <w:p w14:paraId="0F55DD6A" w14:textId="77777777" w:rsidR="00587444" w:rsidRPr="00587444" w:rsidRDefault="00587444" w:rsidP="00587444">
            <w:pPr>
              <w:suppressAutoHyphens w:val="0"/>
              <w:autoSpaceDN/>
              <w:jc w:val="right"/>
              <w:rPr>
                <w:rFonts w:ascii="Arial" w:eastAsia="Calibri" w:hAnsi="Arial" w:cs="Arial"/>
                <w:color w:val="000000"/>
                <w:sz w:val="16"/>
                <w:szCs w:val="16"/>
                <w:lang w:eastAsia="hr-HR"/>
              </w:rPr>
            </w:pPr>
            <w:r w:rsidRPr="00587444">
              <w:rPr>
                <w:rFonts w:ascii="Arial" w:eastAsia="Calibri" w:hAnsi="Arial" w:cs="Arial"/>
                <w:color w:val="000000"/>
                <w:sz w:val="16"/>
                <w:szCs w:val="16"/>
              </w:rPr>
              <w:t>HRATGRO25CA5</w:t>
            </w:r>
          </w:p>
        </w:tc>
        <w:tc>
          <w:tcPr>
            <w:tcW w:w="1134" w:type="dxa"/>
            <w:gridSpan w:val="2"/>
            <w:tcBorders>
              <w:top w:val="nil"/>
              <w:left w:val="nil"/>
              <w:bottom w:val="nil"/>
              <w:right w:val="nil"/>
            </w:tcBorders>
            <w:shd w:val="clear" w:color="auto" w:fill="auto"/>
            <w:noWrap/>
            <w:vAlign w:val="bottom"/>
          </w:tcPr>
          <w:p w14:paraId="6C1BF396" w14:textId="77777777" w:rsidR="00587444" w:rsidRPr="00587444" w:rsidRDefault="00587444" w:rsidP="00587444">
            <w:pPr>
              <w:suppressAutoHyphens w:val="0"/>
              <w:autoSpaceDN/>
              <w:jc w:val="right"/>
              <w:rPr>
                <w:rFonts w:ascii="Arial" w:eastAsia="Calibri" w:hAnsi="Arial" w:cs="Arial"/>
                <w:color w:val="000000"/>
                <w:sz w:val="16"/>
                <w:szCs w:val="16"/>
                <w:lang w:eastAsia="hr-HR"/>
              </w:rPr>
            </w:pPr>
            <w:r w:rsidRPr="00587444">
              <w:rPr>
                <w:rFonts w:ascii="Arial" w:eastAsia="Calibri" w:hAnsi="Arial" w:cs="Arial"/>
                <w:color w:val="000000"/>
                <w:sz w:val="16"/>
                <w:szCs w:val="16"/>
              </w:rPr>
              <w:t xml:space="preserve">11.12.2020.      </w:t>
            </w:r>
          </w:p>
        </w:tc>
        <w:tc>
          <w:tcPr>
            <w:tcW w:w="1139" w:type="dxa"/>
            <w:gridSpan w:val="4"/>
            <w:tcBorders>
              <w:top w:val="nil"/>
              <w:left w:val="nil"/>
              <w:bottom w:val="nil"/>
              <w:right w:val="nil"/>
            </w:tcBorders>
            <w:shd w:val="clear" w:color="auto" w:fill="auto"/>
            <w:noWrap/>
            <w:vAlign w:val="bottom"/>
          </w:tcPr>
          <w:p w14:paraId="075CB7A8" w14:textId="77777777" w:rsidR="00587444" w:rsidRPr="00587444" w:rsidRDefault="00587444" w:rsidP="00587444">
            <w:pPr>
              <w:suppressAutoHyphens w:val="0"/>
              <w:autoSpaceDN/>
              <w:jc w:val="right"/>
              <w:rPr>
                <w:rFonts w:ascii="Arial" w:eastAsia="Calibri" w:hAnsi="Arial" w:cs="Arial"/>
                <w:color w:val="000000"/>
                <w:sz w:val="16"/>
                <w:szCs w:val="16"/>
                <w:lang w:eastAsia="hr-HR"/>
              </w:rPr>
            </w:pPr>
            <w:r w:rsidRPr="00587444">
              <w:rPr>
                <w:rFonts w:ascii="Arial" w:eastAsia="Calibri" w:hAnsi="Arial" w:cs="Arial"/>
                <w:color w:val="000000"/>
                <w:sz w:val="16"/>
                <w:szCs w:val="16"/>
              </w:rPr>
              <w:t>11.12.2025.</w:t>
            </w:r>
          </w:p>
        </w:tc>
        <w:tc>
          <w:tcPr>
            <w:tcW w:w="1136" w:type="dxa"/>
            <w:tcBorders>
              <w:top w:val="nil"/>
              <w:left w:val="nil"/>
              <w:bottom w:val="nil"/>
              <w:right w:val="nil"/>
            </w:tcBorders>
            <w:shd w:val="clear" w:color="auto" w:fill="auto"/>
            <w:noWrap/>
            <w:vAlign w:val="bottom"/>
          </w:tcPr>
          <w:p w14:paraId="0AFE6CBE" w14:textId="77777777" w:rsidR="00587444" w:rsidRPr="00587444" w:rsidRDefault="00587444" w:rsidP="00587444">
            <w:pPr>
              <w:suppressAutoHyphens w:val="0"/>
              <w:autoSpaceDN/>
              <w:jc w:val="center"/>
              <w:rPr>
                <w:rFonts w:ascii="Arial" w:eastAsia="Calibri" w:hAnsi="Arial" w:cs="Arial"/>
                <w:color w:val="000000"/>
                <w:sz w:val="16"/>
                <w:szCs w:val="16"/>
              </w:rPr>
            </w:pPr>
            <w:r w:rsidRPr="00587444">
              <w:rPr>
                <w:rFonts w:ascii="Arial" w:eastAsia="Calibri" w:hAnsi="Arial" w:cs="Arial"/>
                <w:color w:val="000000"/>
                <w:sz w:val="16"/>
                <w:szCs w:val="16"/>
              </w:rPr>
              <w:t xml:space="preserve"> 0.88</w:t>
            </w:r>
          </w:p>
        </w:tc>
        <w:tc>
          <w:tcPr>
            <w:tcW w:w="1273" w:type="dxa"/>
            <w:gridSpan w:val="2"/>
            <w:tcBorders>
              <w:top w:val="nil"/>
              <w:left w:val="nil"/>
              <w:bottom w:val="nil"/>
              <w:right w:val="nil"/>
            </w:tcBorders>
            <w:shd w:val="clear" w:color="auto" w:fill="auto"/>
            <w:vAlign w:val="bottom"/>
          </w:tcPr>
          <w:p w14:paraId="5D9E7E27"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1,378</w:t>
            </w:r>
          </w:p>
        </w:tc>
        <w:tc>
          <w:tcPr>
            <w:tcW w:w="1417" w:type="dxa"/>
            <w:tcBorders>
              <w:top w:val="nil"/>
              <w:left w:val="nil"/>
              <w:bottom w:val="nil"/>
              <w:right w:val="nil"/>
            </w:tcBorders>
            <w:vAlign w:val="bottom"/>
          </w:tcPr>
          <w:p w14:paraId="245A82CC" w14:textId="77777777" w:rsidR="00587444" w:rsidRPr="00587444" w:rsidRDefault="00587444" w:rsidP="00587444">
            <w:pPr>
              <w:suppressAutoHyphens w:val="0"/>
              <w:autoSpaceDN/>
              <w:jc w:val="right"/>
              <w:rPr>
                <w:rFonts w:ascii="Arial" w:hAnsi="Arial" w:cs="Arial"/>
                <w:color w:val="000000"/>
                <w:sz w:val="16"/>
                <w:szCs w:val="16"/>
                <w:lang w:eastAsia="hr-HR"/>
              </w:rPr>
            </w:pPr>
            <w:r w:rsidRPr="00587444">
              <w:rPr>
                <w:rFonts w:ascii="Arial" w:eastAsia="Calibri" w:hAnsi="Arial" w:cs="Arial"/>
                <w:color w:val="000000"/>
                <w:sz w:val="16"/>
                <w:szCs w:val="16"/>
                <w:lang w:val="hr-HR" w:eastAsia="hr-HR"/>
              </w:rPr>
              <w:t>1,378</w:t>
            </w:r>
          </w:p>
        </w:tc>
        <w:tc>
          <w:tcPr>
            <w:tcW w:w="1136" w:type="dxa"/>
            <w:tcBorders>
              <w:top w:val="nil"/>
              <w:left w:val="nil"/>
              <w:bottom w:val="nil"/>
              <w:right w:val="nil"/>
            </w:tcBorders>
            <w:shd w:val="clear" w:color="auto" w:fill="auto"/>
            <w:vAlign w:val="bottom"/>
          </w:tcPr>
          <w:p w14:paraId="3F58A3C7"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w:t>
            </w:r>
          </w:p>
        </w:tc>
        <w:tc>
          <w:tcPr>
            <w:tcW w:w="1417" w:type="dxa"/>
            <w:gridSpan w:val="2"/>
            <w:tcBorders>
              <w:top w:val="nil"/>
              <w:left w:val="nil"/>
              <w:bottom w:val="nil"/>
              <w:right w:val="nil"/>
            </w:tcBorders>
            <w:vAlign w:val="bottom"/>
          </w:tcPr>
          <w:p w14:paraId="468FD0B3"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lang w:val="hr-HR" w:eastAsia="hr-HR"/>
              </w:rPr>
              <w:t>-</w:t>
            </w:r>
          </w:p>
        </w:tc>
      </w:tr>
      <w:tr w:rsidR="00587444" w:rsidRPr="00587444" w14:paraId="49FBEF67" w14:textId="77777777" w:rsidTr="00DD69E7">
        <w:trPr>
          <w:trHeight w:val="227"/>
        </w:trPr>
        <w:tc>
          <w:tcPr>
            <w:tcW w:w="3113" w:type="dxa"/>
            <w:gridSpan w:val="3"/>
            <w:tcBorders>
              <w:top w:val="nil"/>
              <w:left w:val="nil"/>
              <w:bottom w:val="nil"/>
              <w:right w:val="nil"/>
            </w:tcBorders>
            <w:shd w:val="clear" w:color="auto" w:fill="auto"/>
            <w:noWrap/>
            <w:vAlign w:val="bottom"/>
            <w:hideMark/>
          </w:tcPr>
          <w:p w14:paraId="20323B78" w14:textId="77777777" w:rsidR="00587444" w:rsidRPr="00587444" w:rsidRDefault="00587444" w:rsidP="00587444">
            <w:pPr>
              <w:suppressAutoHyphens w:val="0"/>
              <w:autoSpaceDN/>
              <w:rPr>
                <w:rFonts w:ascii="Arial" w:eastAsia="Calibri" w:hAnsi="Arial" w:cs="Arial"/>
                <w:color w:val="000000"/>
                <w:sz w:val="16"/>
                <w:szCs w:val="16"/>
              </w:rPr>
            </w:pPr>
            <w:r w:rsidRPr="00587444">
              <w:rPr>
                <w:rFonts w:ascii="Arial" w:eastAsia="Calibri" w:hAnsi="Arial" w:cs="Arial"/>
                <w:color w:val="000000"/>
                <w:sz w:val="16"/>
                <w:szCs w:val="16"/>
              </w:rPr>
              <w:t>Treasury bills in HRK up to 364 days</w:t>
            </w:r>
          </w:p>
        </w:tc>
        <w:tc>
          <w:tcPr>
            <w:tcW w:w="1139" w:type="dxa"/>
            <w:gridSpan w:val="4"/>
            <w:tcBorders>
              <w:top w:val="nil"/>
              <w:left w:val="nil"/>
              <w:bottom w:val="nil"/>
              <w:right w:val="nil"/>
            </w:tcBorders>
            <w:shd w:val="clear" w:color="auto" w:fill="auto"/>
            <w:noWrap/>
            <w:vAlign w:val="bottom"/>
            <w:hideMark/>
          </w:tcPr>
          <w:p w14:paraId="42202962" w14:textId="77777777" w:rsidR="00587444" w:rsidRPr="00587444" w:rsidRDefault="00587444" w:rsidP="00587444">
            <w:pPr>
              <w:suppressAutoHyphens w:val="0"/>
              <w:autoSpaceDN/>
              <w:jc w:val="right"/>
              <w:rPr>
                <w:rFonts w:ascii="Arial" w:eastAsia="Calibri" w:hAnsi="Arial" w:cs="Arial"/>
                <w:sz w:val="16"/>
                <w:szCs w:val="16"/>
              </w:rPr>
            </w:pPr>
          </w:p>
        </w:tc>
        <w:tc>
          <w:tcPr>
            <w:tcW w:w="1136" w:type="dxa"/>
            <w:tcBorders>
              <w:top w:val="nil"/>
              <w:left w:val="nil"/>
              <w:bottom w:val="nil"/>
              <w:right w:val="nil"/>
            </w:tcBorders>
            <w:shd w:val="clear" w:color="auto" w:fill="auto"/>
            <w:noWrap/>
            <w:vAlign w:val="bottom"/>
          </w:tcPr>
          <w:p w14:paraId="66E076AE" w14:textId="77777777" w:rsidR="00587444" w:rsidRPr="00587444" w:rsidRDefault="00587444" w:rsidP="00587444">
            <w:pPr>
              <w:suppressAutoHyphens w:val="0"/>
              <w:autoSpaceDN/>
              <w:rPr>
                <w:rFonts w:ascii="Arial" w:eastAsia="Calibri" w:hAnsi="Arial" w:cs="Arial"/>
                <w:color w:val="000000"/>
                <w:sz w:val="16"/>
                <w:szCs w:val="16"/>
              </w:rPr>
            </w:pPr>
            <w:r w:rsidRPr="00587444">
              <w:rPr>
                <w:rFonts w:ascii="Arial" w:eastAsia="Calibri" w:hAnsi="Arial" w:cs="Arial"/>
                <w:color w:val="000000"/>
                <w:sz w:val="16"/>
                <w:szCs w:val="16"/>
                <w:lang w:val="hr-HR"/>
              </w:rPr>
              <w:t>0.000-0.184</w:t>
            </w:r>
          </w:p>
        </w:tc>
        <w:tc>
          <w:tcPr>
            <w:tcW w:w="1273" w:type="dxa"/>
            <w:gridSpan w:val="2"/>
            <w:tcBorders>
              <w:top w:val="nil"/>
              <w:left w:val="nil"/>
              <w:bottom w:val="nil"/>
              <w:right w:val="nil"/>
            </w:tcBorders>
            <w:shd w:val="clear" w:color="auto" w:fill="auto"/>
            <w:vAlign w:val="bottom"/>
          </w:tcPr>
          <w:p w14:paraId="4C35E87F"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1,281,368</w:t>
            </w:r>
          </w:p>
        </w:tc>
        <w:tc>
          <w:tcPr>
            <w:tcW w:w="1417" w:type="dxa"/>
            <w:tcBorders>
              <w:top w:val="nil"/>
              <w:left w:val="nil"/>
              <w:bottom w:val="nil"/>
              <w:right w:val="nil"/>
            </w:tcBorders>
            <w:shd w:val="clear" w:color="auto" w:fill="auto"/>
            <w:vAlign w:val="bottom"/>
          </w:tcPr>
          <w:p w14:paraId="4B253092"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1,400,000</w:t>
            </w:r>
          </w:p>
        </w:tc>
        <w:tc>
          <w:tcPr>
            <w:tcW w:w="1136" w:type="dxa"/>
            <w:tcBorders>
              <w:top w:val="nil"/>
              <w:left w:val="nil"/>
              <w:bottom w:val="nil"/>
              <w:right w:val="nil"/>
            </w:tcBorders>
            <w:shd w:val="clear" w:color="auto" w:fill="auto"/>
            <w:vAlign w:val="bottom"/>
          </w:tcPr>
          <w:p w14:paraId="6CC5221C"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1,281,368</w:t>
            </w:r>
          </w:p>
        </w:tc>
        <w:tc>
          <w:tcPr>
            <w:tcW w:w="1417" w:type="dxa"/>
            <w:gridSpan w:val="2"/>
            <w:tcBorders>
              <w:top w:val="nil"/>
              <w:left w:val="nil"/>
              <w:bottom w:val="nil"/>
              <w:right w:val="nil"/>
            </w:tcBorders>
            <w:shd w:val="clear" w:color="auto" w:fill="auto"/>
            <w:vAlign w:val="bottom"/>
          </w:tcPr>
          <w:p w14:paraId="61BA7A8A"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1,400,000</w:t>
            </w:r>
          </w:p>
        </w:tc>
      </w:tr>
      <w:tr w:rsidR="00587444" w:rsidRPr="00587444" w14:paraId="1BB2AC34" w14:textId="77777777" w:rsidTr="00DD69E7">
        <w:trPr>
          <w:trHeight w:val="227"/>
        </w:trPr>
        <w:tc>
          <w:tcPr>
            <w:tcW w:w="3685" w:type="dxa"/>
            <w:gridSpan w:val="5"/>
            <w:tcBorders>
              <w:top w:val="nil"/>
              <w:left w:val="nil"/>
              <w:bottom w:val="nil"/>
              <w:right w:val="nil"/>
            </w:tcBorders>
            <w:shd w:val="clear" w:color="auto" w:fill="auto"/>
            <w:noWrap/>
            <w:vAlign w:val="bottom"/>
            <w:hideMark/>
          </w:tcPr>
          <w:p w14:paraId="611C1224" w14:textId="77777777" w:rsidR="00587444" w:rsidRPr="00587444" w:rsidRDefault="00587444" w:rsidP="00587444">
            <w:pPr>
              <w:suppressAutoHyphens w:val="0"/>
              <w:autoSpaceDN/>
              <w:rPr>
                <w:rFonts w:ascii="Arial" w:eastAsia="Calibri" w:hAnsi="Arial" w:cs="Arial"/>
                <w:color w:val="000000"/>
                <w:sz w:val="16"/>
                <w:szCs w:val="16"/>
              </w:rPr>
            </w:pPr>
            <w:r w:rsidRPr="00587444">
              <w:rPr>
                <w:rFonts w:ascii="Arial" w:eastAsia="Calibri" w:hAnsi="Arial" w:cs="Arial"/>
                <w:color w:val="000000"/>
                <w:sz w:val="16"/>
                <w:szCs w:val="16"/>
              </w:rPr>
              <w:t>Treasury bills in foreign currency up to 364 days</w:t>
            </w:r>
          </w:p>
        </w:tc>
        <w:tc>
          <w:tcPr>
            <w:tcW w:w="567" w:type="dxa"/>
            <w:gridSpan w:val="2"/>
            <w:tcBorders>
              <w:top w:val="nil"/>
              <w:left w:val="nil"/>
              <w:bottom w:val="nil"/>
              <w:right w:val="nil"/>
            </w:tcBorders>
            <w:shd w:val="clear" w:color="auto" w:fill="auto"/>
            <w:noWrap/>
            <w:vAlign w:val="bottom"/>
            <w:hideMark/>
          </w:tcPr>
          <w:p w14:paraId="0CF0D31C" w14:textId="77777777" w:rsidR="00587444" w:rsidRPr="00587444" w:rsidRDefault="00587444" w:rsidP="00587444">
            <w:pPr>
              <w:suppressAutoHyphens w:val="0"/>
              <w:autoSpaceDN/>
              <w:jc w:val="right"/>
              <w:rPr>
                <w:rFonts w:ascii="Arial" w:eastAsia="Calibri" w:hAnsi="Arial" w:cs="Arial"/>
                <w:sz w:val="16"/>
                <w:szCs w:val="16"/>
              </w:rPr>
            </w:pPr>
          </w:p>
        </w:tc>
        <w:tc>
          <w:tcPr>
            <w:tcW w:w="1136" w:type="dxa"/>
            <w:tcBorders>
              <w:top w:val="nil"/>
              <w:left w:val="nil"/>
              <w:right w:val="nil"/>
            </w:tcBorders>
            <w:shd w:val="clear" w:color="auto" w:fill="auto"/>
            <w:noWrap/>
            <w:vAlign w:val="bottom"/>
          </w:tcPr>
          <w:p w14:paraId="0DDF9F75" w14:textId="77777777" w:rsidR="00587444" w:rsidRPr="00587444" w:rsidRDefault="00587444" w:rsidP="00587444">
            <w:pPr>
              <w:suppressAutoHyphens w:val="0"/>
              <w:autoSpaceDN/>
              <w:jc w:val="center"/>
              <w:rPr>
                <w:rFonts w:ascii="Arial" w:eastAsia="Calibri" w:hAnsi="Arial" w:cs="Arial"/>
                <w:color w:val="000000"/>
                <w:sz w:val="16"/>
                <w:szCs w:val="16"/>
              </w:rPr>
            </w:pPr>
            <w:r w:rsidRPr="00587444">
              <w:rPr>
                <w:rFonts w:ascii="Arial" w:eastAsia="Calibri" w:hAnsi="Arial" w:cs="Arial"/>
                <w:color w:val="000000"/>
                <w:sz w:val="16"/>
                <w:szCs w:val="16"/>
              </w:rPr>
              <w:t xml:space="preserve"> 0.000</w:t>
            </w:r>
          </w:p>
        </w:tc>
        <w:tc>
          <w:tcPr>
            <w:tcW w:w="1273" w:type="dxa"/>
            <w:gridSpan w:val="2"/>
            <w:tcBorders>
              <w:top w:val="nil"/>
              <w:left w:val="nil"/>
              <w:right w:val="nil"/>
            </w:tcBorders>
            <w:shd w:val="clear" w:color="auto" w:fill="auto"/>
            <w:vAlign w:val="bottom"/>
          </w:tcPr>
          <w:p w14:paraId="56F50D84"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w:t>
            </w:r>
          </w:p>
        </w:tc>
        <w:tc>
          <w:tcPr>
            <w:tcW w:w="1417" w:type="dxa"/>
            <w:tcBorders>
              <w:top w:val="nil"/>
              <w:left w:val="nil"/>
              <w:bottom w:val="nil"/>
              <w:right w:val="nil"/>
            </w:tcBorders>
            <w:shd w:val="clear" w:color="auto" w:fill="auto"/>
            <w:vAlign w:val="bottom"/>
          </w:tcPr>
          <w:p w14:paraId="12145BC5"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150,344</w:t>
            </w:r>
          </w:p>
        </w:tc>
        <w:tc>
          <w:tcPr>
            <w:tcW w:w="1136" w:type="dxa"/>
            <w:tcBorders>
              <w:top w:val="nil"/>
              <w:left w:val="nil"/>
              <w:right w:val="nil"/>
            </w:tcBorders>
            <w:shd w:val="clear" w:color="auto" w:fill="auto"/>
            <w:vAlign w:val="bottom"/>
          </w:tcPr>
          <w:p w14:paraId="32114DBD"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w:t>
            </w:r>
          </w:p>
        </w:tc>
        <w:tc>
          <w:tcPr>
            <w:tcW w:w="1417" w:type="dxa"/>
            <w:gridSpan w:val="2"/>
            <w:tcBorders>
              <w:top w:val="nil"/>
              <w:left w:val="nil"/>
              <w:bottom w:val="nil"/>
              <w:right w:val="nil"/>
            </w:tcBorders>
            <w:shd w:val="clear" w:color="auto" w:fill="auto"/>
            <w:vAlign w:val="bottom"/>
          </w:tcPr>
          <w:p w14:paraId="5CE015D6"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150,344</w:t>
            </w:r>
          </w:p>
        </w:tc>
      </w:tr>
      <w:tr w:rsidR="00587444" w:rsidRPr="00587444" w14:paraId="0C0C07DF" w14:textId="77777777" w:rsidTr="00DD69E7">
        <w:trPr>
          <w:trHeight w:val="227"/>
        </w:trPr>
        <w:tc>
          <w:tcPr>
            <w:tcW w:w="1979" w:type="dxa"/>
            <w:tcBorders>
              <w:top w:val="nil"/>
              <w:left w:val="nil"/>
              <w:bottom w:val="single" w:sz="4" w:space="0" w:color="auto"/>
              <w:right w:val="nil"/>
            </w:tcBorders>
            <w:shd w:val="clear" w:color="auto" w:fill="auto"/>
            <w:noWrap/>
            <w:vAlign w:val="bottom"/>
            <w:hideMark/>
          </w:tcPr>
          <w:p w14:paraId="30850B3A" w14:textId="77777777" w:rsidR="00587444" w:rsidRPr="00587444" w:rsidRDefault="00587444" w:rsidP="00587444">
            <w:pPr>
              <w:suppressAutoHyphens w:val="0"/>
              <w:autoSpaceDN/>
              <w:rPr>
                <w:rFonts w:ascii="Arial" w:eastAsia="Calibri" w:hAnsi="Arial" w:cs="Arial"/>
                <w:color w:val="000000"/>
                <w:sz w:val="16"/>
                <w:szCs w:val="16"/>
              </w:rPr>
            </w:pPr>
            <w:r w:rsidRPr="00587444">
              <w:rPr>
                <w:rFonts w:ascii="Arial" w:eastAsia="Calibri" w:hAnsi="Arial" w:cs="Arial"/>
                <w:bCs/>
                <w:color w:val="000000"/>
                <w:sz w:val="16"/>
                <w:szCs w:val="16"/>
                <w:lang w:eastAsia="hr-HR"/>
              </w:rPr>
              <w:t>Accrued interest</w:t>
            </w:r>
          </w:p>
        </w:tc>
        <w:tc>
          <w:tcPr>
            <w:tcW w:w="1134" w:type="dxa"/>
            <w:gridSpan w:val="2"/>
            <w:tcBorders>
              <w:top w:val="nil"/>
              <w:left w:val="nil"/>
              <w:bottom w:val="nil"/>
              <w:right w:val="nil"/>
            </w:tcBorders>
            <w:shd w:val="clear" w:color="auto" w:fill="auto"/>
            <w:noWrap/>
            <w:vAlign w:val="bottom"/>
            <w:hideMark/>
          </w:tcPr>
          <w:p w14:paraId="7B0C7CB8" w14:textId="77777777" w:rsidR="00587444" w:rsidRPr="00587444" w:rsidRDefault="00587444" w:rsidP="00587444">
            <w:pPr>
              <w:suppressAutoHyphens w:val="0"/>
              <w:autoSpaceDN/>
              <w:rPr>
                <w:rFonts w:ascii="Arial" w:eastAsia="Calibri" w:hAnsi="Arial" w:cs="Arial"/>
                <w:color w:val="000000"/>
                <w:sz w:val="16"/>
                <w:szCs w:val="16"/>
              </w:rPr>
            </w:pPr>
          </w:p>
        </w:tc>
        <w:tc>
          <w:tcPr>
            <w:tcW w:w="1139" w:type="dxa"/>
            <w:gridSpan w:val="4"/>
            <w:tcBorders>
              <w:top w:val="nil"/>
              <w:left w:val="nil"/>
              <w:bottom w:val="nil"/>
              <w:right w:val="nil"/>
            </w:tcBorders>
            <w:shd w:val="clear" w:color="auto" w:fill="auto"/>
            <w:noWrap/>
            <w:vAlign w:val="bottom"/>
            <w:hideMark/>
          </w:tcPr>
          <w:p w14:paraId="29199814" w14:textId="77777777" w:rsidR="00587444" w:rsidRPr="00587444" w:rsidRDefault="00587444" w:rsidP="00587444">
            <w:pPr>
              <w:suppressAutoHyphens w:val="0"/>
              <w:autoSpaceDN/>
              <w:rPr>
                <w:rFonts w:ascii="Arial" w:eastAsia="Calibri" w:hAnsi="Arial" w:cs="Arial"/>
                <w:sz w:val="16"/>
                <w:szCs w:val="16"/>
              </w:rPr>
            </w:pPr>
          </w:p>
        </w:tc>
        <w:tc>
          <w:tcPr>
            <w:tcW w:w="1136" w:type="dxa"/>
            <w:tcBorders>
              <w:left w:val="nil"/>
              <w:bottom w:val="nil"/>
              <w:right w:val="nil"/>
            </w:tcBorders>
            <w:shd w:val="clear" w:color="auto" w:fill="auto"/>
            <w:noWrap/>
            <w:vAlign w:val="bottom"/>
            <w:hideMark/>
          </w:tcPr>
          <w:p w14:paraId="55EC0D35" w14:textId="77777777" w:rsidR="00587444" w:rsidRPr="00587444" w:rsidRDefault="00587444" w:rsidP="00587444">
            <w:pPr>
              <w:suppressAutoHyphens w:val="0"/>
              <w:autoSpaceDN/>
              <w:rPr>
                <w:rFonts w:ascii="Arial" w:eastAsia="Calibri" w:hAnsi="Arial" w:cs="Arial"/>
                <w:sz w:val="16"/>
                <w:szCs w:val="16"/>
              </w:rPr>
            </w:pPr>
          </w:p>
        </w:tc>
        <w:tc>
          <w:tcPr>
            <w:tcW w:w="1273" w:type="dxa"/>
            <w:gridSpan w:val="2"/>
            <w:tcBorders>
              <w:top w:val="nil"/>
              <w:left w:val="nil"/>
              <w:bottom w:val="single" w:sz="4" w:space="0" w:color="auto"/>
              <w:right w:val="nil"/>
            </w:tcBorders>
            <w:shd w:val="clear" w:color="auto" w:fill="auto"/>
            <w:vAlign w:val="bottom"/>
          </w:tcPr>
          <w:p w14:paraId="5BC39134"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14,321</w:t>
            </w:r>
          </w:p>
        </w:tc>
        <w:tc>
          <w:tcPr>
            <w:tcW w:w="1417" w:type="dxa"/>
            <w:tcBorders>
              <w:top w:val="nil"/>
              <w:left w:val="nil"/>
              <w:bottom w:val="single" w:sz="4" w:space="0" w:color="auto"/>
              <w:right w:val="nil"/>
            </w:tcBorders>
            <w:shd w:val="clear" w:color="auto" w:fill="auto"/>
            <w:vAlign w:val="bottom"/>
          </w:tcPr>
          <w:p w14:paraId="78A667C1"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15,620</w:t>
            </w:r>
          </w:p>
        </w:tc>
        <w:tc>
          <w:tcPr>
            <w:tcW w:w="1136" w:type="dxa"/>
            <w:tcBorders>
              <w:top w:val="nil"/>
              <w:left w:val="nil"/>
              <w:bottom w:val="single" w:sz="4" w:space="0" w:color="auto"/>
              <w:right w:val="nil"/>
            </w:tcBorders>
            <w:shd w:val="clear" w:color="auto" w:fill="auto"/>
            <w:vAlign w:val="bottom"/>
          </w:tcPr>
          <w:p w14:paraId="22E75E96"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13,895</w:t>
            </w:r>
          </w:p>
        </w:tc>
        <w:tc>
          <w:tcPr>
            <w:tcW w:w="1417" w:type="dxa"/>
            <w:gridSpan w:val="2"/>
            <w:tcBorders>
              <w:top w:val="nil"/>
              <w:left w:val="nil"/>
              <w:bottom w:val="single" w:sz="4" w:space="0" w:color="auto"/>
              <w:right w:val="nil"/>
            </w:tcBorders>
            <w:shd w:val="clear" w:color="auto" w:fill="auto"/>
            <w:vAlign w:val="bottom"/>
          </w:tcPr>
          <w:p w14:paraId="2124638E"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15,194</w:t>
            </w:r>
          </w:p>
        </w:tc>
      </w:tr>
      <w:tr w:rsidR="00587444" w:rsidRPr="00587444" w14:paraId="6D3954C7" w14:textId="77777777" w:rsidTr="00DD69E7">
        <w:trPr>
          <w:trHeight w:val="227"/>
        </w:trPr>
        <w:tc>
          <w:tcPr>
            <w:tcW w:w="1979" w:type="dxa"/>
            <w:tcBorders>
              <w:top w:val="single" w:sz="4" w:space="0" w:color="auto"/>
              <w:left w:val="nil"/>
              <w:bottom w:val="single" w:sz="12" w:space="0" w:color="auto"/>
              <w:right w:val="nil"/>
            </w:tcBorders>
            <w:shd w:val="clear" w:color="auto" w:fill="auto"/>
            <w:noWrap/>
            <w:vAlign w:val="bottom"/>
            <w:hideMark/>
          </w:tcPr>
          <w:p w14:paraId="44969BDA" w14:textId="77777777" w:rsidR="00587444" w:rsidRPr="00587444" w:rsidRDefault="00587444" w:rsidP="00587444">
            <w:pPr>
              <w:suppressAutoHyphens w:val="0"/>
              <w:autoSpaceDN/>
              <w:jc w:val="both"/>
              <w:rPr>
                <w:rFonts w:ascii="Arial" w:eastAsia="Calibri" w:hAnsi="Arial" w:cs="Arial"/>
                <w:b/>
                <w:bCs/>
                <w:color w:val="000000"/>
                <w:sz w:val="16"/>
                <w:szCs w:val="16"/>
              </w:rPr>
            </w:pPr>
            <w:r w:rsidRPr="00587444">
              <w:rPr>
                <w:rFonts w:ascii="Arial" w:eastAsia="Calibri" w:hAnsi="Arial" w:cs="Arial"/>
                <w:b/>
                <w:bCs/>
                <w:color w:val="000000"/>
                <w:sz w:val="16"/>
                <w:szCs w:val="16"/>
              </w:rPr>
              <w:t> </w:t>
            </w:r>
          </w:p>
        </w:tc>
        <w:tc>
          <w:tcPr>
            <w:tcW w:w="1134" w:type="dxa"/>
            <w:gridSpan w:val="2"/>
            <w:tcBorders>
              <w:top w:val="single" w:sz="4" w:space="0" w:color="auto"/>
              <w:left w:val="nil"/>
              <w:bottom w:val="single" w:sz="12" w:space="0" w:color="auto"/>
              <w:right w:val="nil"/>
            </w:tcBorders>
            <w:shd w:val="clear" w:color="auto" w:fill="auto"/>
            <w:noWrap/>
            <w:vAlign w:val="bottom"/>
            <w:hideMark/>
          </w:tcPr>
          <w:p w14:paraId="60E5C99E"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 </w:t>
            </w:r>
          </w:p>
        </w:tc>
        <w:tc>
          <w:tcPr>
            <w:tcW w:w="1139" w:type="dxa"/>
            <w:gridSpan w:val="4"/>
            <w:tcBorders>
              <w:top w:val="single" w:sz="4" w:space="0" w:color="auto"/>
              <w:left w:val="nil"/>
              <w:bottom w:val="single" w:sz="12" w:space="0" w:color="auto"/>
              <w:right w:val="nil"/>
            </w:tcBorders>
            <w:shd w:val="clear" w:color="auto" w:fill="auto"/>
            <w:noWrap/>
            <w:vAlign w:val="bottom"/>
            <w:hideMark/>
          </w:tcPr>
          <w:p w14:paraId="6A74A0EA"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 </w:t>
            </w:r>
          </w:p>
        </w:tc>
        <w:tc>
          <w:tcPr>
            <w:tcW w:w="1136" w:type="dxa"/>
            <w:tcBorders>
              <w:top w:val="single" w:sz="4" w:space="0" w:color="auto"/>
              <w:left w:val="nil"/>
              <w:bottom w:val="single" w:sz="12" w:space="0" w:color="auto"/>
              <w:right w:val="nil"/>
            </w:tcBorders>
            <w:shd w:val="clear" w:color="auto" w:fill="auto"/>
            <w:noWrap/>
            <w:vAlign w:val="bottom"/>
            <w:hideMark/>
          </w:tcPr>
          <w:p w14:paraId="174E2E24" w14:textId="77777777" w:rsidR="00587444" w:rsidRPr="00587444" w:rsidRDefault="00587444" w:rsidP="00587444">
            <w:pPr>
              <w:suppressAutoHyphens w:val="0"/>
              <w:autoSpaceDN/>
              <w:jc w:val="both"/>
              <w:rPr>
                <w:rFonts w:ascii="Arial" w:eastAsia="Calibri" w:hAnsi="Arial" w:cs="Arial"/>
                <w:color w:val="000000"/>
                <w:sz w:val="16"/>
                <w:szCs w:val="16"/>
              </w:rPr>
            </w:pPr>
            <w:r w:rsidRPr="00587444">
              <w:rPr>
                <w:rFonts w:ascii="Arial" w:eastAsia="Calibri" w:hAnsi="Arial" w:cs="Arial"/>
                <w:color w:val="000000"/>
                <w:sz w:val="16"/>
                <w:szCs w:val="16"/>
              </w:rPr>
              <w:t> </w:t>
            </w:r>
          </w:p>
        </w:tc>
        <w:tc>
          <w:tcPr>
            <w:tcW w:w="1273" w:type="dxa"/>
            <w:gridSpan w:val="2"/>
            <w:tcBorders>
              <w:top w:val="single" w:sz="4" w:space="0" w:color="auto"/>
              <w:left w:val="nil"/>
              <w:bottom w:val="single" w:sz="12" w:space="0" w:color="auto"/>
              <w:right w:val="nil"/>
            </w:tcBorders>
            <w:shd w:val="clear" w:color="auto" w:fill="auto"/>
            <w:vAlign w:val="bottom"/>
          </w:tcPr>
          <w:p w14:paraId="2D4CDB98" w14:textId="77777777"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color w:val="000000"/>
                <w:sz w:val="16"/>
                <w:szCs w:val="16"/>
              </w:rPr>
              <w:t>2,631,479</w:t>
            </w:r>
          </w:p>
        </w:tc>
        <w:tc>
          <w:tcPr>
            <w:tcW w:w="1417" w:type="dxa"/>
            <w:tcBorders>
              <w:top w:val="single" w:sz="4" w:space="0" w:color="auto"/>
              <w:left w:val="nil"/>
              <w:bottom w:val="single" w:sz="12" w:space="0" w:color="auto"/>
              <w:right w:val="nil"/>
            </w:tcBorders>
            <w:shd w:val="clear" w:color="auto" w:fill="auto"/>
            <w:vAlign w:val="bottom"/>
          </w:tcPr>
          <w:p w14:paraId="789118C0" w14:textId="77777777"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color w:val="000000"/>
                <w:sz w:val="16"/>
                <w:szCs w:val="16"/>
              </w:rPr>
              <w:t>2,927,338</w:t>
            </w:r>
          </w:p>
        </w:tc>
        <w:tc>
          <w:tcPr>
            <w:tcW w:w="1136" w:type="dxa"/>
            <w:tcBorders>
              <w:top w:val="single" w:sz="4" w:space="0" w:color="auto"/>
              <w:left w:val="nil"/>
              <w:bottom w:val="single" w:sz="12" w:space="0" w:color="auto"/>
              <w:right w:val="nil"/>
            </w:tcBorders>
            <w:shd w:val="clear" w:color="auto" w:fill="auto"/>
            <w:vAlign w:val="bottom"/>
          </w:tcPr>
          <w:p w14:paraId="716F8957" w14:textId="77777777"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color w:val="000000"/>
                <w:sz w:val="16"/>
                <w:szCs w:val="16"/>
              </w:rPr>
              <w:t>2,584,329</w:t>
            </w:r>
          </w:p>
        </w:tc>
        <w:tc>
          <w:tcPr>
            <w:tcW w:w="1417" w:type="dxa"/>
            <w:gridSpan w:val="2"/>
            <w:tcBorders>
              <w:top w:val="single" w:sz="4" w:space="0" w:color="auto"/>
              <w:left w:val="nil"/>
              <w:bottom w:val="single" w:sz="12" w:space="0" w:color="auto"/>
              <w:right w:val="nil"/>
            </w:tcBorders>
            <w:shd w:val="clear" w:color="auto" w:fill="auto"/>
            <w:vAlign w:val="bottom"/>
          </w:tcPr>
          <w:p w14:paraId="5EF4B7BA" w14:textId="77777777"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color w:val="000000"/>
                <w:sz w:val="16"/>
                <w:szCs w:val="16"/>
              </w:rPr>
              <w:t xml:space="preserve">  2,870,512</w:t>
            </w:r>
          </w:p>
        </w:tc>
      </w:tr>
      <w:tr w:rsidR="00587444" w:rsidRPr="00587444" w14:paraId="71BFF4ED" w14:textId="77777777" w:rsidTr="00DD69E7">
        <w:trPr>
          <w:trHeight w:hRule="exact" w:val="278"/>
        </w:trPr>
        <w:tc>
          <w:tcPr>
            <w:tcW w:w="1979" w:type="dxa"/>
            <w:tcBorders>
              <w:top w:val="single" w:sz="12" w:space="0" w:color="auto"/>
              <w:left w:val="nil"/>
              <w:right w:val="nil"/>
            </w:tcBorders>
            <w:shd w:val="clear" w:color="auto" w:fill="auto"/>
            <w:vAlign w:val="bottom"/>
            <w:hideMark/>
          </w:tcPr>
          <w:p w14:paraId="4B7639F2" w14:textId="77777777" w:rsidR="00587444" w:rsidRPr="00587444" w:rsidRDefault="00587444" w:rsidP="00587444">
            <w:pPr>
              <w:suppressAutoHyphens w:val="0"/>
              <w:autoSpaceDN/>
              <w:jc w:val="right"/>
              <w:rPr>
                <w:rFonts w:ascii="Arial" w:eastAsia="Calibri" w:hAnsi="Arial" w:cs="Arial"/>
                <w:sz w:val="16"/>
                <w:szCs w:val="16"/>
              </w:rPr>
            </w:pPr>
          </w:p>
        </w:tc>
        <w:tc>
          <w:tcPr>
            <w:tcW w:w="1134" w:type="dxa"/>
            <w:gridSpan w:val="2"/>
            <w:tcBorders>
              <w:top w:val="single" w:sz="12" w:space="0" w:color="auto"/>
              <w:left w:val="nil"/>
              <w:right w:val="nil"/>
            </w:tcBorders>
            <w:shd w:val="clear" w:color="auto" w:fill="auto"/>
            <w:vAlign w:val="bottom"/>
            <w:hideMark/>
          </w:tcPr>
          <w:p w14:paraId="1199E93C" w14:textId="77777777" w:rsidR="00587444" w:rsidRPr="00587444" w:rsidRDefault="00587444" w:rsidP="00587444">
            <w:pPr>
              <w:suppressAutoHyphens w:val="0"/>
              <w:autoSpaceDN/>
              <w:jc w:val="both"/>
              <w:rPr>
                <w:rFonts w:ascii="Arial" w:eastAsia="Calibri" w:hAnsi="Arial" w:cs="Arial"/>
                <w:sz w:val="16"/>
                <w:szCs w:val="16"/>
              </w:rPr>
            </w:pPr>
          </w:p>
        </w:tc>
        <w:tc>
          <w:tcPr>
            <w:tcW w:w="1139" w:type="dxa"/>
            <w:gridSpan w:val="4"/>
            <w:tcBorders>
              <w:top w:val="single" w:sz="12" w:space="0" w:color="auto"/>
              <w:left w:val="nil"/>
              <w:bottom w:val="nil"/>
              <w:right w:val="nil"/>
            </w:tcBorders>
            <w:shd w:val="clear" w:color="auto" w:fill="auto"/>
            <w:noWrap/>
            <w:vAlign w:val="bottom"/>
            <w:hideMark/>
          </w:tcPr>
          <w:p w14:paraId="589560FC" w14:textId="77777777" w:rsidR="00587444" w:rsidRPr="00587444" w:rsidRDefault="00587444" w:rsidP="00587444">
            <w:pPr>
              <w:suppressAutoHyphens w:val="0"/>
              <w:autoSpaceDN/>
              <w:rPr>
                <w:rFonts w:ascii="Arial" w:eastAsia="Calibri" w:hAnsi="Arial" w:cs="Arial"/>
                <w:sz w:val="16"/>
                <w:szCs w:val="16"/>
              </w:rPr>
            </w:pPr>
          </w:p>
        </w:tc>
        <w:tc>
          <w:tcPr>
            <w:tcW w:w="1136" w:type="dxa"/>
            <w:tcBorders>
              <w:top w:val="single" w:sz="12" w:space="0" w:color="auto"/>
              <w:left w:val="nil"/>
              <w:bottom w:val="nil"/>
              <w:right w:val="nil"/>
            </w:tcBorders>
            <w:shd w:val="clear" w:color="auto" w:fill="auto"/>
            <w:noWrap/>
            <w:vAlign w:val="bottom"/>
            <w:hideMark/>
          </w:tcPr>
          <w:p w14:paraId="75B69A9B" w14:textId="77777777" w:rsidR="00587444" w:rsidRPr="00587444" w:rsidRDefault="00587444" w:rsidP="00587444">
            <w:pPr>
              <w:suppressAutoHyphens w:val="0"/>
              <w:autoSpaceDN/>
              <w:jc w:val="right"/>
              <w:rPr>
                <w:rFonts w:ascii="Arial" w:eastAsia="Calibri" w:hAnsi="Arial" w:cs="Arial"/>
                <w:sz w:val="16"/>
                <w:szCs w:val="16"/>
              </w:rPr>
            </w:pPr>
          </w:p>
        </w:tc>
        <w:tc>
          <w:tcPr>
            <w:tcW w:w="1273" w:type="dxa"/>
            <w:gridSpan w:val="2"/>
            <w:tcBorders>
              <w:top w:val="single" w:sz="12" w:space="0" w:color="auto"/>
              <w:left w:val="nil"/>
              <w:right w:val="nil"/>
            </w:tcBorders>
            <w:shd w:val="clear" w:color="auto" w:fill="auto"/>
            <w:vAlign w:val="bottom"/>
          </w:tcPr>
          <w:p w14:paraId="79561E32" w14:textId="77777777" w:rsidR="00587444" w:rsidRPr="00587444" w:rsidRDefault="00587444" w:rsidP="00587444">
            <w:pPr>
              <w:suppressAutoHyphens w:val="0"/>
              <w:autoSpaceDN/>
              <w:jc w:val="right"/>
              <w:rPr>
                <w:rFonts w:ascii="Arial" w:eastAsia="Calibri" w:hAnsi="Arial" w:cs="Arial"/>
                <w:sz w:val="16"/>
                <w:szCs w:val="16"/>
              </w:rPr>
            </w:pPr>
          </w:p>
        </w:tc>
        <w:tc>
          <w:tcPr>
            <w:tcW w:w="1417" w:type="dxa"/>
            <w:tcBorders>
              <w:top w:val="single" w:sz="12" w:space="0" w:color="auto"/>
              <w:left w:val="nil"/>
              <w:right w:val="nil"/>
            </w:tcBorders>
            <w:shd w:val="clear" w:color="auto" w:fill="auto"/>
            <w:vAlign w:val="bottom"/>
          </w:tcPr>
          <w:p w14:paraId="77D167F6" w14:textId="77777777" w:rsidR="00587444" w:rsidRPr="00587444" w:rsidRDefault="00587444" w:rsidP="00587444">
            <w:pPr>
              <w:suppressAutoHyphens w:val="0"/>
              <w:autoSpaceDN/>
              <w:jc w:val="right"/>
              <w:rPr>
                <w:rFonts w:ascii="Arial" w:eastAsia="Calibri" w:hAnsi="Arial" w:cs="Arial"/>
                <w:sz w:val="16"/>
                <w:szCs w:val="16"/>
              </w:rPr>
            </w:pPr>
          </w:p>
        </w:tc>
        <w:tc>
          <w:tcPr>
            <w:tcW w:w="1136" w:type="dxa"/>
            <w:tcBorders>
              <w:top w:val="single" w:sz="12" w:space="0" w:color="auto"/>
              <w:left w:val="nil"/>
              <w:bottom w:val="nil"/>
              <w:right w:val="nil"/>
            </w:tcBorders>
            <w:shd w:val="clear" w:color="auto" w:fill="auto"/>
            <w:vAlign w:val="bottom"/>
          </w:tcPr>
          <w:p w14:paraId="378E35B0" w14:textId="77777777" w:rsidR="00587444" w:rsidRPr="00587444" w:rsidRDefault="00587444" w:rsidP="00587444">
            <w:pPr>
              <w:suppressAutoHyphens w:val="0"/>
              <w:autoSpaceDN/>
              <w:jc w:val="right"/>
              <w:rPr>
                <w:rFonts w:ascii="Arial" w:eastAsia="Calibri" w:hAnsi="Arial" w:cs="Arial"/>
                <w:sz w:val="16"/>
                <w:szCs w:val="16"/>
              </w:rPr>
            </w:pPr>
          </w:p>
        </w:tc>
        <w:tc>
          <w:tcPr>
            <w:tcW w:w="1417" w:type="dxa"/>
            <w:gridSpan w:val="2"/>
            <w:tcBorders>
              <w:top w:val="single" w:sz="12" w:space="0" w:color="auto"/>
              <w:left w:val="nil"/>
              <w:right w:val="nil"/>
            </w:tcBorders>
            <w:shd w:val="clear" w:color="auto" w:fill="auto"/>
            <w:vAlign w:val="bottom"/>
          </w:tcPr>
          <w:p w14:paraId="65AE7B60" w14:textId="77777777" w:rsidR="00587444" w:rsidRPr="00587444" w:rsidRDefault="00587444" w:rsidP="00587444">
            <w:pPr>
              <w:suppressAutoHyphens w:val="0"/>
              <w:autoSpaceDN/>
              <w:jc w:val="right"/>
              <w:rPr>
                <w:rFonts w:ascii="Arial" w:eastAsia="Calibri" w:hAnsi="Arial" w:cs="Arial"/>
                <w:sz w:val="16"/>
                <w:szCs w:val="16"/>
              </w:rPr>
            </w:pPr>
          </w:p>
        </w:tc>
      </w:tr>
      <w:tr w:rsidR="00587444" w:rsidRPr="00587444" w14:paraId="7A5CD6B4" w14:textId="77777777" w:rsidTr="00DD69E7">
        <w:trPr>
          <w:trHeight w:val="58"/>
        </w:trPr>
        <w:tc>
          <w:tcPr>
            <w:tcW w:w="3113" w:type="dxa"/>
            <w:gridSpan w:val="3"/>
            <w:tcBorders>
              <w:left w:val="nil"/>
              <w:right w:val="nil"/>
            </w:tcBorders>
            <w:shd w:val="clear" w:color="auto" w:fill="auto"/>
            <w:noWrap/>
            <w:vAlign w:val="bottom"/>
            <w:hideMark/>
          </w:tcPr>
          <w:p w14:paraId="6C242D3E" w14:textId="77777777" w:rsidR="00587444" w:rsidRPr="00587444" w:rsidRDefault="00587444" w:rsidP="00587444">
            <w:pPr>
              <w:suppressAutoHyphens w:val="0"/>
              <w:autoSpaceDN/>
              <w:rPr>
                <w:rFonts w:ascii="Arial" w:eastAsia="Calibri" w:hAnsi="Arial" w:cs="Arial"/>
                <w:color w:val="000000"/>
                <w:sz w:val="16"/>
                <w:szCs w:val="16"/>
              </w:rPr>
            </w:pPr>
            <w:r w:rsidRPr="00587444">
              <w:rPr>
                <w:rFonts w:ascii="Arial" w:eastAsia="Calibri" w:hAnsi="Arial" w:cs="Arial"/>
                <w:bCs/>
                <w:color w:val="000000"/>
                <w:sz w:val="16"/>
                <w:szCs w:val="16"/>
                <w:lang w:eastAsia="hr-HR"/>
              </w:rPr>
              <w:t>Unlisted debt instruments:</w:t>
            </w:r>
          </w:p>
        </w:tc>
        <w:tc>
          <w:tcPr>
            <w:tcW w:w="1139" w:type="dxa"/>
            <w:gridSpan w:val="4"/>
            <w:tcBorders>
              <w:top w:val="nil"/>
              <w:left w:val="nil"/>
              <w:bottom w:val="nil"/>
              <w:right w:val="nil"/>
            </w:tcBorders>
            <w:shd w:val="clear" w:color="auto" w:fill="auto"/>
            <w:noWrap/>
            <w:vAlign w:val="bottom"/>
            <w:hideMark/>
          </w:tcPr>
          <w:p w14:paraId="42E89B2F" w14:textId="77777777" w:rsidR="00587444" w:rsidRPr="00587444" w:rsidRDefault="00587444" w:rsidP="00587444">
            <w:pPr>
              <w:suppressAutoHyphens w:val="0"/>
              <w:autoSpaceDN/>
              <w:rPr>
                <w:rFonts w:ascii="Arial" w:eastAsia="Calibri" w:hAnsi="Arial" w:cs="Arial"/>
                <w:color w:val="000000"/>
                <w:sz w:val="16"/>
                <w:szCs w:val="16"/>
              </w:rPr>
            </w:pPr>
          </w:p>
        </w:tc>
        <w:tc>
          <w:tcPr>
            <w:tcW w:w="1136" w:type="dxa"/>
            <w:tcBorders>
              <w:top w:val="nil"/>
              <w:left w:val="nil"/>
              <w:bottom w:val="nil"/>
              <w:right w:val="nil"/>
            </w:tcBorders>
            <w:shd w:val="clear" w:color="auto" w:fill="auto"/>
            <w:noWrap/>
            <w:vAlign w:val="bottom"/>
            <w:hideMark/>
          </w:tcPr>
          <w:p w14:paraId="7096370F" w14:textId="77777777" w:rsidR="00587444" w:rsidRPr="00587444" w:rsidRDefault="00587444" w:rsidP="00587444">
            <w:pPr>
              <w:suppressAutoHyphens w:val="0"/>
              <w:autoSpaceDN/>
              <w:rPr>
                <w:rFonts w:ascii="Arial" w:eastAsia="Calibri" w:hAnsi="Arial" w:cs="Arial"/>
                <w:sz w:val="16"/>
                <w:szCs w:val="16"/>
              </w:rPr>
            </w:pPr>
          </w:p>
        </w:tc>
        <w:tc>
          <w:tcPr>
            <w:tcW w:w="1273" w:type="dxa"/>
            <w:gridSpan w:val="2"/>
            <w:tcBorders>
              <w:top w:val="nil"/>
              <w:left w:val="nil"/>
              <w:bottom w:val="nil"/>
              <w:right w:val="nil"/>
            </w:tcBorders>
            <w:shd w:val="clear" w:color="auto" w:fill="auto"/>
            <w:vAlign w:val="bottom"/>
          </w:tcPr>
          <w:p w14:paraId="4DCB243F" w14:textId="77777777" w:rsidR="00587444" w:rsidRPr="00587444" w:rsidRDefault="00587444" w:rsidP="00587444">
            <w:pPr>
              <w:suppressAutoHyphens w:val="0"/>
              <w:autoSpaceDN/>
              <w:jc w:val="right"/>
              <w:rPr>
                <w:rFonts w:ascii="Arial" w:eastAsia="Calibri" w:hAnsi="Arial" w:cs="Arial"/>
                <w:sz w:val="16"/>
                <w:szCs w:val="16"/>
              </w:rPr>
            </w:pPr>
          </w:p>
        </w:tc>
        <w:tc>
          <w:tcPr>
            <w:tcW w:w="1417" w:type="dxa"/>
            <w:tcBorders>
              <w:top w:val="nil"/>
              <w:left w:val="nil"/>
              <w:bottom w:val="nil"/>
              <w:right w:val="nil"/>
            </w:tcBorders>
            <w:shd w:val="clear" w:color="auto" w:fill="auto"/>
            <w:vAlign w:val="bottom"/>
          </w:tcPr>
          <w:p w14:paraId="053A7103" w14:textId="77777777" w:rsidR="00587444" w:rsidRPr="00587444" w:rsidRDefault="00587444" w:rsidP="00587444">
            <w:pPr>
              <w:suppressAutoHyphens w:val="0"/>
              <w:autoSpaceDN/>
              <w:jc w:val="right"/>
              <w:rPr>
                <w:rFonts w:ascii="Arial" w:eastAsia="Calibri" w:hAnsi="Arial" w:cs="Arial"/>
                <w:sz w:val="16"/>
                <w:szCs w:val="16"/>
              </w:rPr>
            </w:pPr>
          </w:p>
        </w:tc>
        <w:tc>
          <w:tcPr>
            <w:tcW w:w="1136" w:type="dxa"/>
            <w:tcBorders>
              <w:top w:val="nil"/>
              <w:left w:val="nil"/>
              <w:bottom w:val="nil"/>
              <w:right w:val="nil"/>
            </w:tcBorders>
            <w:shd w:val="clear" w:color="auto" w:fill="auto"/>
            <w:vAlign w:val="bottom"/>
          </w:tcPr>
          <w:p w14:paraId="2E0E37B0" w14:textId="77777777" w:rsidR="00587444" w:rsidRPr="00587444" w:rsidRDefault="00587444" w:rsidP="00587444">
            <w:pPr>
              <w:suppressAutoHyphens w:val="0"/>
              <w:autoSpaceDN/>
              <w:jc w:val="right"/>
              <w:rPr>
                <w:rFonts w:ascii="Arial" w:eastAsia="Calibri" w:hAnsi="Arial" w:cs="Arial"/>
                <w:sz w:val="16"/>
                <w:szCs w:val="16"/>
              </w:rPr>
            </w:pPr>
          </w:p>
        </w:tc>
        <w:tc>
          <w:tcPr>
            <w:tcW w:w="1417" w:type="dxa"/>
            <w:gridSpan w:val="2"/>
            <w:tcBorders>
              <w:top w:val="nil"/>
              <w:left w:val="nil"/>
              <w:bottom w:val="nil"/>
              <w:right w:val="nil"/>
            </w:tcBorders>
            <w:shd w:val="clear" w:color="auto" w:fill="auto"/>
            <w:vAlign w:val="bottom"/>
          </w:tcPr>
          <w:p w14:paraId="727B2C3B" w14:textId="77777777" w:rsidR="00587444" w:rsidRPr="00587444" w:rsidRDefault="00587444" w:rsidP="00587444">
            <w:pPr>
              <w:suppressAutoHyphens w:val="0"/>
              <w:autoSpaceDN/>
              <w:jc w:val="right"/>
              <w:rPr>
                <w:rFonts w:ascii="Arial" w:eastAsia="Calibri" w:hAnsi="Arial" w:cs="Arial"/>
                <w:sz w:val="16"/>
                <w:szCs w:val="16"/>
              </w:rPr>
            </w:pPr>
          </w:p>
        </w:tc>
      </w:tr>
      <w:tr w:rsidR="00587444" w:rsidRPr="00587444" w14:paraId="4345CB88" w14:textId="77777777" w:rsidTr="00DD69E7">
        <w:trPr>
          <w:trHeight w:hRule="exact" w:val="227"/>
        </w:trPr>
        <w:tc>
          <w:tcPr>
            <w:tcW w:w="4252" w:type="dxa"/>
            <w:gridSpan w:val="7"/>
            <w:tcBorders>
              <w:left w:val="nil"/>
              <w:right w:val="nil"/>
            </w:tcBorders>
            <w:shd w:val="clear" w:color="auto" w:fill="auto"/>
            <w:vAlign w:val="bottom"/>
            <w:hideMark/>
          </w:tcPr>
          <w:p w14:paraId="56A5C095" w14:textId="77777777" w:rsidR="00587444" w:rsidRPr="00587444" w:rsidRDefault="00587444" w:rsidP="00587444">
            <w:pPr>
              <w:suppressAutoHyphens w:val="0"/>
              <w:autoSpaceDN/>
              <w:jc w:val="both"/>
              <w:rPr>
                <w:rFonts w:ascii="Arial" w:eastAsia="Calibri" w:hAnsi="Arial" w:cs="Arial"/>
                <w:i/>
                <w:iCs/>
                <w:color w:val="000000"/>
                <w:sz w:val="16"/>
                <w:szCs w:val="16"/>
              </w:rPr>
            </w:pPr>
            <w:r w:rsidRPr="00587444">
              <w:rPr>
                <w:rFonts w:ascii="Arial" w:eastAsia="Calibri" w:hAnsi="Arial" w:cs="Arial"/>
                <w:bCs/>
                <w:i/>
                <w:color w:val="000000"/>
                <w:sz w:val="16"/>
                <w:szCs w:val="16"/>
                <w:lang w:eastAsia="hr-HR"/>
              </w:rPr>
              <w:t>Corporate bonds with a currency clause:</w:t>
            </w:r>
          </w:p>
        </w:tc>
        <w:tc>
          <w:tcPr>
            <w:tcW w:w="1136" w:type="dxa"/>
            <w:tcBorders>
              <w:top w:val="nil"/>
              <w:left w:val="nil"/>
              <w:bottom w:val="nil"/>
              <w:right w:val="nil"/>
            </w:tcBorders>
            <w:shd w:val="clear" w:color="auto" w:fill="auto"/>
            <w:noWrap/>
            <w:vAlign w:val="bottom"/>
            <w:hideMark/>
          </w:tcPr>
          <w:p w14:paraId="2FDA0473" w14:textId="77777777" w:rsidR="00587444" w:rsidRPr="00587444" w:rsidRDefault="00587444" w:rsidP="00587444">
            <w:pPr>
              <w:suppressAutoHyphens w:val="0"/>
              <w:autoSpaceDN/>
              <w:rPr>
                <w:rFonts w:ascii="Arial" w:eastAsia="Calibri" w:hAnsi="Arial" w:cs="Arial"/>
                <w:sz w:val="16"/>
                <w:szCs w:val="16"/>
              </w:rPr>
            </w:pPr>
          </w:p>
        </w:tc>
        <w:tc>
          <w:tcPr>
            <w:tcW w:w="1273" w:type="dxa"/>
            <w:gridSpan w:val="2"/>
            <w:tcBorders>
              <w:top w:val="nil"/>
              <w:left w:val="nil"/>
              <w:bottom w:val="nil"/>
              <w:right w:val="nil"/>
            </w:tcBorders>
            <w:shd w:val="clear" w:color="auto" w:fill="auto"/>
            <w:vAlign w:val="bottom"/>
          </w:tcPr>
          <w:p w14:paraId="59E96DF7" w14:textId="77777777" w:rsidR="00587444" w:rsidRPr="00587444" w:rsidRDefault="00587444" w:rsidP="00587444">
            <w:pPr>
              <w:suppressAutoHyphens w:val="0"/>
              <w:autoSpaceDN/>
              <w:jc w:val="right"/>
              <w:rPr>
                <w:rFonts w:ascii="Arial" w:eastAsia="Calibri" w:hAnsi="Arial" w:cs="Arial"/>
                <w:sz w:val="16"/>
                <w:szCs w:val="16"/>
              </w:rPr>
            </w:pPr>
          </w:p>
        </w:tc>
        <w:tc>
          <w:tcPr>
            <w:tcW w:w="1417" w:type="dxa"/>
            <w:tcBorders>
              <w:top w:val="nil"/>
              <w:left w:val="nil"/>
              <w:bottom w:val="nil"/>
              <w:right w:val="nil"/>
            </w:tcBorders>
            <w:shd w:val="clear" w:color="auto" w:fill="auto"/>
            <w:vAlign w:val="bottom"/>
          </w:tcPr>
          <w:p w14:paraId="6B2C93CA" w14:textId="77777777" w:rsidR="00587444" w:rsidRPr="00587444" w:rsidRDefault="00587444" w:rsidP="00587444">
            <w:pPr>
              <w:suppressAutoHyphens w:val="0"/>
              <w:autoSpaceDN/>
              <w:jc w:val="right"/>
              <w:rPr>
                <w:rFonts w:ascii="Arial" w:eastAsia="Calibri" w:hAnsi="Arial" w:cs="Arial"/>
                <w:sz w:val="16"/>
                <w:szCs w:val="16"/>
              </w:rPr>
            </w:pPr>
          </w:p>
        </w:tc>
        <w:tc>
          <w:tcPr>
            <w:tcW w:w="1136" w:type="dxa"/>
            <w:tcBorders>
              <w:top w:val="nil"/>
              <w:left w:val="nil"/>
              <w:bottom w:val="nil"/>
              <w:right w:val="nil"/>
            </w:tcBorders>
            <w:shd w:val="clear" w:color="auto" w:fill="auto"/>
            <w:vAlign w:val="bottom"/>
          </w:tcPr>
          <w:p w14:paraId="282E9E47" w14:textId="77777777" w:rsidR="00587444" w:rsidRPr="00587444" w:rsidRDefault="00587444" w:rsidP="00587444">
            <w:pPr>
              <w:suppressAutoHyphens w:val="0"/>
              <w:autoSpaceDN/>
              <w:jc w:val="right"/>
              <w:rPr>
                <w:rFonts w:ascii="Arial" w:eastAsia="Calibri" w:hAnsi="Arial" w:cs="Arial"/>
                <w:sz w:val="16"/>
                <w:szCs w:val="16"/>
              </w:rPr>
            </w:pPr>
          </w:p>
        </w:tc>
        <w:tc>
          <w:tcPr>
            <w:tcW w:w="1417" w:type="dxa"/>
            <w:gridSpan w:val="2"/>
            <w:tcBorders>
              <w:top w:val="nil"/>
              <w:left w:val="nil"/>
              <w:bottom w:val="nil"/>
              <w:right w:val="nil"/>
            </w:tcBorders>
            <w:shd w:val="clear" w:color="auto" w:fill="auto"/>
            <w:vAlign w:val="bottom"/>
          </w:tcPr>
          <w:p w14:paraId="1F7AC0DE" w14:textId="77777777" w:rsidR="00587444" w:rsidRPr="00587444" w:rsidRDefault="00587444" w:rsidP="00587444">
            <w:pPr>
              <w:suppressAutoHyphens w:val="0"/>
              <w:autoSpaceDN/>
              <w:rPr>
                <w:rFonts w:ascii="Arial" w:eastAsia="Calibri" w:hAnsi="Arial" w:cs="Arial"/>
                <w:sz w:val="16"/>
                <w:szCs w:val="16"/>
              </w:rPr>
            </w:pPr>
          </w:p>
        </w:tc>
      </w:tr>
      <w:tr w:rsidR="00587444" w:rsidRPr="00587444" w14:paraId="553C1B6E" w14:textId="77777777" w:rsidTr="00DD69E7">
        <w:trPr>
          <w:trHeight w:hRule="exact" w:val="227"/>
        </w:trPr>
        <w:tc>
          <w:tcPr>
            <w:tcW w:w="1979" w:type="dxa"/>
            <w:tcBorders>
              <w:top w:val="nil"/>
              <w:left w:val="nil"/>
              <w:bottom w:val="nil"/>
              <w:right w:val="nil"/>
            </w:tcBorders>
            <w:shd w:val="clear" w:color="auto" w:fill="auto"/>
            <w:noWrap/>
            <w:vAlign w:val="bottom"/>
            <w:hideMark/>
          </w:tcPr>
          <w:p w14:paraId="679DF3CD"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LNGU-O-31AE</w:t>
            </w:r>
          </w:p>
        </w:tc>
        <w:tc>
          <w:tcPr>
            <w:tcW w:w="1134" w:type="dxa"/>
            <w:gridSpan w:val="2"/>
            <w:tcBorders>
              <w:top w:val="nil"/>
              <w:left w:val="nil"/>
              <w:bottom w:val="nil"/>
              <w:right w:val="nil"/>
            </w:tcBorders>
            <w:shd w:val="clear" w:color="auto" w:fill="auto"/>
            <w:noWrap/>
            <w:vAlign w:val="bottom"/>
            <w:hideMark/>
          </w:tcPr>
          <w:p w14:paraId="319EDFAF"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24.7.2015.</w:t>
            </w:r>
          </w:p>
        </w:tc>
        <w:tc>
          <w:tcPr>
            <w:tcW w:w="1139" w:type="dxa"/>
            <w:gridSpan w:val="4"/>
            <w:tcBorders>
              <w:top w:val="nil"/>
              <w:left w:val="nil"/>
              <w:bottom w:val="nil"/>
              <w:right w:val="nil"/>
            </w:tcBorders>
            <w:shd w:val="clear" w:color="auto" w:fill="auto"/>
            <w:noWrap/>
            <w:vAlign w:val="bottom"/>
            <w:hideMark/>
          </w:tcPr>
          <w:p w14:paraId="36F7F8BE"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15.10.2031.</w:t>
            </w:r>
          </w:p>
        </w:tc>
        <w:tc>
          <w:tcPr>
            <w:tcW w:w="1136" w:type="dxa"/>
            <w:tcBorders>
              <w:top w:val="nil"/>
              <w:left w:val="nil"/>
              <w:bottom w:val="nil"/>
              <w:right w:val="nil"/>
            </w:tcBorders>
            <w:shd w:val="clear" w:color="auto" w:fill="auto"/>
            <w:noWrap/>
            <w:vAlign w:val="bottom"/>
            <w:hideMark/>
          </w:tcPr>
          <w:p w14:paraId="620E6564" w14:textId="77777777" w:rsidR="00587444" w:rsidRPr="00587444" w:rsidRDefault="00587444" w:rsidP="00587444">
            <w:pPr>
              <w:suppressAutoHyphens w:val="0"/>
              <w:autoSpaceDN/>
              <w:jc w:val="center"/>
              <w:rPr>
                <w:rFonts w:ascii="Arial" w:eastAsia="Calibri" w:hAnsi="Arial" w:cs="Arial"/>
                <w:sz w:val="16"/>
                <w:szCs w:val="16"/>
              </w:rPr>
            </w:pPr>
            <w:r w:rsidRPr="00587444">
              <w:rPr>
                <w:rFonts w:ascii="Arial" w:eastAsia="Calibri" w:hAnsi="Arial" w:cs="Arial"/>
                <w:sz w:val="16"/>
                <w:szCs w:val="16"/>
              </w:rPr>
              <w:t>4.5</w:t>
            </w:r>
          </w:p>
        </w:tc>
        <w:tc>
          <w:tcPr>
            <w:tcW w:w="1273" w:type="dxa"/>
            <w:gridSpan w:val="2"/>
            <w:tcBorders>
              <w:top w:val="nil"/>
              <w:left w:val="nil"/>
              <w:bottom w:val="nil"/>
              <w:right w:val="nil"/>
            </w:tcBorders>
            <w:vAlign w:val="bottom"/>
          </w:tcPr>
          <w:p w14:paraId="5D549B65"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lang w:val="hr-HR"/>
              </w:rPr>
              <w:t>464</w:t>
            </w:r>
          </w:p>
        </w:tc>
        <w:tc>
          <w:tcPr>
            <w:tcW w:w="1417" w:type="dxa"/>
            <w:tcBorders>
              <w:top w:val="nil"/>
              <w:left w:val="nil"/>
              <w:bottom w:val="nil"/>
              <w:right w:val="nil"/>
            </w:tcBorders>
            <w:vAlign w:val="bottom"/>
          </w:tcPr>
          <w:p w14:paraId="11DA6B61"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olor w:val="000000"/>
                <w:sz w:val="16"/>
                <w:lang w:val="hr-HR"/>
              </w:rPr>
              <w:t>532</w:t>
            </w:r>
          </w:p>
        </w:tc>
        <w:tc>
          <w:tcPr>
            <w:tcW w:w="1136" w:type="dxa"/>
            <w:tcBorders>
              <w:top w:val="nil"/>
              <w:left w:val="nil"/>
              <w:bottom w:val="nil"/>
              <w:right w:val="nil"/>
            </w:tcBorders>
            <w:shd w:val="clear" w:color="auto" w:fill="auto"/>
            <w:vAlign w:val="bottom"/>
          </w:tcPr>
          <w:p w14:paraId="03561B1E"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lang w:val="hr-HR"/>
              </w:rPr>
              <w:t>464</w:t>
            </w:r>
          </w:p>
        </w:tc>
        <w:tc>
          <w:tcPr>
            <w:tcW w:w="1417" w:type="dxa"/>
            <w:gridSpan w:val="2"/>
            <w:tcBorders>
              <w:top w:val="nil"/>
              <w:left w:val="nil"/>
              <w:bottom w:val="nil"/>
              <w:right w:val="nil"/>
            </w:tcBorders>
            <w:vAlign w:val="bottom"/>
          </w:tcPr>
          <w:p w14:paraId="195B0E31"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lang w:val="hr-HR"/>
              </w:rPr>
              <w:t>532</w:t>
            </w:r>
          </w:p>
        </w:tc>
      </w:tr>
      <w:tr w:rsidR="00587444" w:rsidRPr="00587444" w14:paraId="3A98BC56" w14:textId="77777777" w:rsidTr="00DD69E7">
        <w:trPr>
          <w:trHeight w:hRule="exact" w:val="227"/>
        </w:trPr>
        <w:tc>
          <w:tcPr>
            <w:tcW w:w="5388" w:type="dxa"/>
            <w:gridSpan w:val="8"/>
            <w:tcBorders>
              <w:top w:val="nil"/>
              <w:left w:val="nil"/>
              <w:bottom w:val="nil"/>
              <w:right w:val="nil"/>
            </w:tcBorders>
            <w:shd w:val="clear" w:color="auto" w:fill="auto"/>
            <w:noWrap/>
            <w:vAlign w:val="bottom"/>
          </w:tcPr>
          <w:p w14:paraId="7DF53C8C" w14:textId="77777777" w:rsidR="00587444" w:rsidRPr="00587444" w:rsidRDefault="00587444" w:rsidP="00587444">
            <w:pPr>
              <w:suppressAutoHyphens w:val="0"/>
              <w:autoSpaceDN/>
              <w:rPr>
                <w:rFonts w:ascii="Arial" w:eastAsia="Calibri" w:hAnsi="Arial" w:cs="Arial"/>
                <w:i/>
                <w:sz w:val="16"/>
                <w:szCs w:val="16"/>
              </w:rPr>
            </w:pPr>
            <w:r w:rsidRPr="00587444">
              <w:rPr>
                <w:rFonts w:ascii="Arial" w:eastAsia="Calibri" w:hAnsi="Arial" w:cs="Arial"/>
                <w:i/>
                <w:color w:val="000000"/>
                <w:sz w:val="16"/>
                <w:szCs w:val="16"/>
              </w:rPr>
              <w:t>Bonds of foreign corporate in foreign currency</w:t>
            </w:r>
          </w:p>
        </w:tc>
        <w:tc>
          <w:tcPr>
            <w:tcW w:w="1273" w:type="dxa"/>
            <w:gridSpan w:val="2"/>
            <w:tcBorders>
              <w:top w:val="nil"/>
              <w:left w:val="nil"/>
              <w:bottom w:val="nil"/>
              <w:right w:val="nil"/>
            </w:tcBorders>
            <w:shd w:val="clear" w:color="auto" w:fill="auto"/>
            <w:vAlign w:val="bottom"/>
          </w:tcPr>
          <w:p w14:paraId="4420D526" w14:textId="77777777" w:rsidR="00587444" w:rsidRPr="00587444" w:rsidRDefault="00587444" w:rsidP="00587444">
            <w:pPr>
              <w:suppressAutoHyphens w:val="0"/>
              <w:autoSpaceDN/>
              <w:jc w:val="right"/>
              <w:rPr>
                <w:rFonts w:ascii="Arial" w:eastAsia="Calibri" w:hAnsi="Arial" w:cs="Arial"/>
                <w:color w:val="000000"/>
                <w:sz w:val="16"/>
                <w:szCs w:val="16"/>
              </w:rPr>
            </w:pPr>
          </w:p>
        </w:tc>
        <w:tc>
          <w:tcPr>
            <w:tcW w:w="1417" w:type="dxa"/>
            <w:tcBorders>
              <w:top w:val="nil"/>
              <w:left w:val="nil"/>
              <w:bottom w:val="nil"/>
              <w:right w:val="nil"/>
            </w:tcBorders>
            <w:shd w:val="clear" w:color="auto" w:fill="auto"/>
            <w:vAlign w:val="bottom"/>
          </w:tcPr>
          <w:p w14:paraId="3A9DEA3F" w14:textId="77777777" w:rsidR="00587444" w:rsidRPr="00587444" w:rsidRDefault="00587444" w:rsidP="00587444">
            <w:pPr>
              <w:suppressAutoHyphens w:val="0"/>
              <w:autoSpaceDN/>
              <w:jc w:val="right"/>
              <w:rPr>
                <w:rFonts w:ascii="Arial" w:eastAsia="Calibri" w:hAnsi="Arial" w:cs="Arial"/>
                <w:color w:val="000000"/>
                <w:sz w:val="16"/>
                <w:szCs w:val="16"/>
              </w:rPr>
            </w:pPr>
          </w:p>
        </w:tc>
        <w:tc>
          <w:tcPr>
            <w:tcW w:w="1136" w:type="dxa"/>
            <w:tcBorders>
              <w:top w:val="nil"/>
              <w:left w:val="nil"/>
              <w:bottom w:val="nil"/>
              <w:right w:val="nil"/>
            </w:tcBorders>
            <w:shd w:val="clear" w:color="auto" w:fill="auto"/>
            <w:vAlign w:val="bottom"/>
          </w:tcPr>
          <w:p w14:paraId="57304BC0" w14:textId="77777777" w:rsidR="00587444" w:rsidRPr="00587444" w:rsidRDefault="00587444" w:rsidP="00587444">
            <w:pPr>
              <w:suppressAutoHyphens w:val="0"/>
              <w:autoSpaceDN/>
              <w:jc w:val="right"/>
              <w:rPr>
                <w:rFonts w:ascii="Arial" w:eastAsia="Calibri" w:hAnsi="Arial" w:cs="Arial"/>
                <w:color w:val="000000"/>
                <w:sz w:val="16"/>
                <w:szCs w:val="16"/>
              </w:rPr>
            </w:pPr>
          </w:p>
        </w:tc>
        <w:tc>
          <w:tcPr>
            <w:tcW w:w="1417" w:type="dxa"/>
            <w:gridSpan w:val="2"/>
            <w:tcBorders>
              <w:top w:val="nil"/>
              <w:left w:val="nil"/>
              <w:bottom w:val="nil"/>
              <w:right w:val="nil"/>
            </w:tcBorders>
            <w:vAlign w:val="bottom"/>
          </w:tcPr>
          <w:p w14:paraId="72D6EEEC" w14:textId="77777777" w:rsidR="00587444" w:rsidRPr="00587444" w:rsidRDefault="00587444" w:rsidP="00587444">
            <w:pPr>
              <w:suppressAutoHyphens w:val="0"/>
              <w:autoSpaceDN/>
              <w:rPr>
                <w:rFonts w:ascii="Arial" w:eastAsia="Calibri" w:hAnsi="Arial" w:cs="Arial"/>
                <w:color w:val="000000"/>
                <w:sz w:val="16"/>
                <w:szCs w:val="16"/>
              </w:rPr>
            </w:pPr>
          </w:p>
        </w:tc>
      </w:tr>
      <w:tr w:rsidR="00587444" w:rsidRPr="00587444" w14:paraId="687296FA" w14:textId="77777777" w:rsidTr="00DD69E7">
        <w:trPr>
          <w:trHeight w:val="175"/>
        </w:trPr>
        <w:tc>
          <w:tcPr>
            <w:tcW w:w="2324" w:type="dxa"/>
            <w:gridSpan w:val="2"/>
            <w:tcBorders>
              <w:top w:val="nil"/>
              <w:left w:val="nil"/>
              <w:bottom w:val="nil"/>
              <w:right w:val="nil"/>
            </w:tcBorders>
            <w:shd w:val="clear" w:color="auto" w:fill="auto"/>
            <w:noWrap/>
            <w:vAlign w:val="bottom"/>
          </w:tcPr>
          <w:p w14:paraId="107DF89A" w14:textId="77777777" w:rsidR="00587444" w:rsidRPr="00587444" w:rsidRDefault="00587444" w:rsidP="00587444">
            <w:pPr>
              <w:suppressAutoHyphens w:val="0"/>
              <w:autoSpaceDN/>
              <w:rPr>
                <w:rFonts w:ascii="Arial" w:eastAsia="Calibri" w:hAnsi="Arial" w:cs="Arial"/>
                <w:color w:val="000000"/>
                <w:sz w:val="16"/>
                <w:szCs w:val="16"/>
              </w:rPr>
            </w:pPr>
            <w:proofErr w:type="spellStart"/>
            <w:r w:rsidRPr="00587444">
              <w:rPr>
                <w:rFonts w:ascii="Arial" w:eastAsia="Calibri" w:hAnsi="Arial" w:cs="Arial"/>
                <w:color w:val="000000"/>
                <w:sz w:val="16"/>
                <w:szCs w:val="16"/>
              </w:rPr>
              <w:t>Fortenova</w:t>
            </w:r>
            <w:proofErr w:type="spellEnd"/>
            <w:r w:rsidRPr="00587444">
              <w:rPr>
                <w:rFonts w:ascii="Arial" w:eastAsia="Calibri" w:hAnsi="Arial" w:cs="Arial"/>
                <w:color w:val="000000"/>
                <w:sz w:val="16"/>
                <w:szCs w:val="16"/>
              </w:rPr>
              <w:t xml:space="preserve"> Group </w:t>
            </w:r>
            <w:proofErr w:type="spellStart"/>
            <w:r w:rsidRPr="00587444">
              <w:rPr>
                <w:rFonts w:ascii="Arial" w:eastAsia="Calibri" w:hAnsi="Arial" w:cs="Arial"/>
                <w:color w:val="000000"/>
                <w:sz w:val="16"/>
                <w:szCs w:val="16"/>
              </w:rPr>
              <w:t>TopCo</w:t>
            </w:r>
            <w:proofErr w:type="spellEnd"/>
            <w:r w:rsidRPr="00587444">
              <w:rPr>
                <w:rFonts w:ascii="Arial" w:eastAsia="Calibri" w:hAnsi="Arial" w:cs="Arial"/>
                <w:color w:val="000000"/>
                <w:sz w:val="16"/>
                <w:szCs w:val="16"/>
              </w:rPr>
              <w:t xml:space="preserve"> B.V.</w:t>
            </w:r>
          </w:p>
        </w:tc>
        <w:tc>
          <w:tcPr>
            <w:tcW w:w="907" w:type="dxa"/>
            <w:gridSpan w:val="2"/>
            <w:tcBorders>
              <w:top w:val="nil"/>
              <w:left w:val="nil"/>
              <w:bottom w:val="nil"/>
              <w:right w:val="nil"/>
            </w:tcBorders>
            <w:shd w:val="clear" w:color="auto" w:fill="auto"/>
            <w:noWrap/>
            <w:vAlign w:val="bottom"/>
          </w:tcPr>
          <w:p w14:paraId="4BB6D8C1"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1.4.2019.</w:t>
            </w:r>
          </w:p>
        </w:tc>
        <w:tc>
          <w:tcPr>
            <w:tcW w:w="1021" w:type="dxa"/>
            <w:gridSpan w:val="3"/>
            <w:tcBorders>
              <w:top w:val="nil"/>
              <w:left w:val="nil"/>
              <w:bottom w:val="nil"/>
              <w:right w:val="nil"/>
            </w:tcBorders>
            <w:shd w:val="clear" w:color="auto" w:fill="auto"/>
            <w:noWrap/>
            <w:vAlign w:val="bottom"/>
          </w:tcPr>
          <w:p w14:paraId="40A62F6B" w14:textId="77777777" w:rsidR="00587444" w:rsidRPr="00587444" w:rsidRDefault="00587444" w:rsidP="00587444">
            <w:pPr>
              <w:suppressAutoHyphens w:val="0"/>
              <w:autoSpaceDN/>
              <w:jc w:val="right"/>
              <w:rPr>
                <w:rFonts w:ascii="Arial" w:eastAsia="Calibri" w:hAnsi="Arial" w:cs="Arial"/>
                <w:sz w:val="16"/>
                <w:szCs w:val="16"/>
              </w:rPr>
            </w:pPr>
            <w:r w:rsidRPr="00587444">
              <w:rPr>
                <w:rFonts w:ascii="Arial" w:eastAsia="Calibri" w:hAnsi="Arial" w:cs="Arial"/>
                <w:sz w:val="16"/>
                <w:szCs w:val="16"/>
              </w:rPr>
              <w:t>1.4.2029.</w:t>
            </w:r>
          </w:p>
        </w:tc>
        <w:tc>
          <w:tcPr>
            <w:tcW w:w="1136" w:type="dxa"/>
            <w:tcBorders>
              <w:top w:val="nil"/>
              <w:left w:val="nil"/>
              <w:bottom w:val="nil"/>
              <w:right w:val="nil"/>
            </w:tcBorders>
            <w:shd w:val="clear" w:color="auto" w:fill="auto"/>
            <w:noWrap/>
            <w:vAlign w:val="bottom"/>
          </w:tcPr>
          <w:p w14:paraId="4275E467" w14:textId="77777777" w:rsidR="00587444" w:rsidRPr="00587444" w:rsidRDefault="00587444" w:rsidP="00587444">
            <w:pPr>
              <w:suppressAutoHyphens w:val="0"/>
              <w:autoSpaceDN/>
              <w:jc w:val="center"/>
              <w:rPr>
                <w:rFonts w:ascii="Arial" w:eastAsia="Calibri" w:hAnsi="Arial" w:cs="Arial"/>
                <w:sz w:val="16"/>
                <w:szCs w:val="16"/>
              </w:rPr>
            </w:pPr>
            <w:r w:rsidRPr="00587444">
              <w:rPr>
                <w:rFonts w:ascii="Arial" w:eastAsia="Calibri" w:hAnsi="Arial" w:cs="Arial"/>
                <w:sz w:val="16"/>
                <w:szCs w:val="16"/>
              </w:rPr>
              <w:t>2.5</w:t>
            </w:r>
          </w:p>
        </w:tc>
        <w:tc>
          <w:tcPr>
            <w:tcW w:w="1273" w:type="dxa"/>
            <w:gridSpan w:val="2"/>
            <w:tcBorders>
              <w:top w:val="nil"/>
              <w:left w:val="nil"/>
              <w:bottom w:val="nil"/>
              <w:right w:val="nil"/>
            </w:tcBorders>
            <w:vAlign w:val="bottom"/>
          </w:tcPr>
          <w:p w14:paraId="3FC816AA"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lang w:val="hr-HR"/>
              </w:rPr>
              <w:t>1,472</w:t>
            </w:r>
          </w:p>
        </w:tc>
        <w:tc>
          <w:tcPr>
            <w:tcW w:w="1417" w:type="dxa"/>
            <w:tcBorders>
              <w:top w:val="nil"/>
              <w:left w:val="nil"/>
              <w:bottom w:val="nil"/>
              <w:right w:val="nil"/>
            </w:tcBorders>
            <w:vAlign w:val="bottom"/>
          </w:tcPr>
          <w:p w14:paraId="7A1A4A07"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olor w:val="000000"/>
                <w:sz w:val="16"/>
                <w:lang w:val="hr-HR"/>
              </w:rPr>
              <w:t>1,397</w:t>
            </w:r>
          </w:p>
        </w:tc>
        <w:tc>
          <w:tcPr>
            <w:tcW w:w="1136" w:type="dxa"/>
            <w:tcBorders>
              <w:top w:val="nil"/>
              <w:left w:val="nil"/>
              <w:bottom w:val="nil"/>
              <w:right w:val="nil"/>
            </w:tcBorders>
            <w:shd w:val="clear" w:color="auto" w:fill="auto"/>
            <w:vAlign w:val="bottom"/>
          </w:tcPr>
          <w:p w14:paraId="5D96D950"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lang w:val="hr-HR"/>
              </w:rPr>
              <w:t>1,472</w:t>
            </w:r>
          </w:p>
        </w:tc>
        <w:tc>
          <w:tcPr>
            <w:tcW w:w="1417" w:type="dxa"/>
            <w:gridSpan w:val="2"/>
            <w:tcBorders>
              <w:top w:val="nil"/>
              <w:left w:val="nil"/>
              <w:bottom w:val="nil"/>
              <w:right w:val="nil"/>
            </w:tcBorders>
            <w:vAlign w:val="bottom"/>
          </w:tcPr>
          <w:p w14:paraId="7F1BCC1E"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lang w:val="hr-HR"/>
              </w:rPr>
              <w:t>1,397</w:t>
            </w:r>
          </w:p>
        </w:tc>
      </w:tr>
      <w:tr w:rsidR="00587444" w:rsidRPr="00587444" w14:paraId="15F6D522" w14:textId="77777777" w:rsidTr="00DD69E7">
        <w:trPr>
          <w:trHeight w:val="227"/>
        </w:trPr>
        <w:tc>
          <w:tcPr>
            <w:tcW w:w="1979" w:type="dxa"/>
            <w:tcBorders>
              <w:left w:val="nil"/>
              <w:bottom w:val="single" w:sz="4" w:space="0" w:color="auto"/>
              <w:right w:val="nil"/>
            </w:tcBorders>
            <w:shd w:val="clear" w:color="auto" w:fill="auto"/>
            <w:noWrap/>
            <w:vAlign w:val="bottom"/>
            <w:hideMark/>
          </w:tcPr>
          <w:p w14:paraId="0F16ED3C" w14:textId="77777777" w:rsidR="00587444" w:rsidRPr="00587444" w:rsidRDefault="00587444" w:rsidP="00587444">
            <w:pPr>
              <w:suppressAutoHyphens w:val="0"/>
              <w:autoSpaceDN/>
              <w:rPr>
                <w:rFonts w:ascii="Arial" w:eastAsia="Calibri" w:hAnsi="Arial" w:cs="Arial"/>
                <w:color w:val="000000"/>
                <w:sz w:val="16"/>
                <w:szCs w:val="16"/>
              </w:rPr>
            </w:pPr>
            <w:r w:rsidRPr="00587444">
              <w:rPr>
                <w:rFonts w:ascii="Arial" w:eastAsia="Calibri" w:hAnsi="Arial" w:cs="Arial"/>
                <w:bCs/>
                <w:color w:val="000000"/>
                <w:sz w:val="16"/>
                <w:szCs w:val="16"/>
                <w:lang w:eastAsia="hr-HR"/>
              </w:rPr>
              <w:t>Accrued interest</w:t>
            </w:r>
          </w:p>
        </w:tc>
        <w:tc>
          <w:tcPr>
            <w:tcW w:w="1134" w:type="dxa"/>
            <w:gridSpan w:val="2"/>
            <w:tcBorders>
              <w:top w:val="nil"/>
              <w:left w:val="nil"/>
              <w:bottom w:val="single" w:sz="4" w:space="0" w:color="auto"/>
              <w:right w:val="nil"/>
            </w:tcBorders>
            <w:shd w:val="clear" w:color="auto" w:fill="auto"/>
            <w:noWrap/>
            <w:vAlign w:val="bottom"/>
            <w:hideMark/>
          </w:tcPr>
          <w:p w14:paraId="7D97C64C" w14:textId="77777777" w:rsidR="00587444" w:rsidRPr="00587444" w:rsidRDefault="00587444" w:rsidP="00587444">
            <w:pPr>
              <w:suppressAutoHyphens w:val="0"/>
              <w:autoSpaceDN/>
              <w:rPr>
                <w:rFonts w:ascii="Arial" w:eastAsia="Calibri" w:hAnsi="Arial" w:cs="Arial"/>
                <w:color w:val="000000"/>
                <w:sz w:val="16"/>
                <w:szCs w:val="16"/>
              </w:rPr>
            </w:pPr>
          </w:p>
        </w:tc>
        <w:tc>
          <w:tcPr>
            <w:tcW w:w="1139" w:type="dxa"/>
            <w:gridSpan w:val="4"/>
            <w:tcBorders>
              <w:top w:val="nil"/>
              <w:left w:val="nil"/>
              <w:bottom w:val="single" w:sz="4" w:space="0" w:color="auto"/>
              <w:right w:val="nil"/>
            </w:tcBorders>
            <w:shd w:val="clear" w:color="auto" w:fill="auto"/>
            <w:noWrap/>
            <w:vAlign w:val="bottom"/>
            <w:hideMark/>
          </w:tcPr>
          <w:p w14:paraId="429F57F5" w14:textId="77777777" w:rsidR="00587444" w:rsidRPr="00587444" w:rsidRDefault="00587444" w:rsidP="00587444">
            <w:pPr>
              <w:suppressAutoHyphens w:val="0"/>
              <w:autoSpaceDN/>
              <w:rPr>
                <w:rFonts w:ascii="Arial" w:eastAsia="Calibri" w:hAnsi="Arial" w:cs="Arial"/>
                <w:sz w:val="16"/>
                <w:szCs w:val="16"/>
              </w:rPr>
            </w:pPr>
          </w:p>
        </w:tc>
        <w:tc>
          <w:tcPr>
            <w:tcW w:w="1136" w:type="dxa"/>
            <w:tcBorders>
              <w:top w:val="nil"/>
              <w:left w:val="nil"/>
              <w:bottom w:val="single" w:sz="4" w:space="0" w:color="auto"/>
              <w:right w:val="nil"/>
            </w:tcBorders>
            <w:shd w:val="clear" w:color="auto" w:fill="auto"/>
            <w:noWrap/>
            <w:vAlign w:val="bottom"/>
            <w:hideMark/>
          </w:tcPr>
          <w:p w14:paraId="75FE1FB4" w14:textId="77777777" w:rsidR="00587444" w:rsidRPr="00587444" w:rsidRDefault="00587444" w:rsidP="00587444">
            <w:pPr>
              <w:suppressAutoHyphens w:val="0"/>
              <w:autoSpaceDN/>
              <w:rPr>
                <w:rFonts w:ascii="Arial" w:eastAsia="Calibri" w:hAnsi="Arial" w:cs="Arial"/>
                <w:sz w:val="16"/>
                <w:szCs w:val="16"/>
              </w:rPr>
            </w:pPr>
          </w:p>
        </w:tc>
        <w:tc>
          <w:tcPr>
            <w:tcW w:w="1273" w:type="dxa"/>
            <w:gridSpan w:val="2"/>
            <w:tcBorders>
              <w:top w:val="nil"/>
              <w:left w:val="nil"/>
              <w:bottom w:val="single" w:sz="4" w:space="0" w:color="auto"/>
              <w:right w:val="nil"/>
            </w:tcBorders>
            <w:vAlign w:val="bottom"/>
          </w:tcPr>
          <w:p w14:paraId="31132418"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lang w:val="hr-HR"/>
              </w:rPr>
              <w:t>32</w:t>
            </w:r>
          </w:p>
        </w:tc>
        <w:tc>
          <w:tcPr>
            <w:tcW w:w="1417" w:type="dxa"/>
            <w:tcBorders>
              <w:top w:val="nil"/>
              <w:left w:val="nil"/>
              <w:bottom w:val="single" w:sz="4" w:space="0" w:color="auto"/>
              <w:right w:val="nil"/>
            </w:tcBorders>
            <w:vAlign w:val="bottom"/>
          </w:tcPr>
          <w:p w14:paraId="465C6F2E"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olor w:val="000000"/>
                <w:sz w:val="16"/>
                <w:lang w:val="hr-HR"/>
              </w:rPr>
              <w:t>247</w:t>
            </w:r>
          </w:p>
        </w:tc>
        <w:tc>
          <w:tcPr>
            <w:tcW w:w="1136" w:type="dxa"/>
            <w:tcBorders>
              <w:top w:val="nil"/>
              <w:left w:val="nil"/>
              <w:bottom w:val="single" w:sz="4" w:space="0" w:color="auto"/>
              <w:right w:val="nil"/>
            </w:tcBorders>
            <w:shd w:val="clear" w:color="auto" w:fill="auto"/>
            <w:vAlign w:val="bottom"/>
          </w:tcPr>
          <w:p w14:paraId="632215F8"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lang w:val="hr-HR"/>
              </w:rPr>
              <w:t>32</w:t>
            </w:r>
          </w:p>
        </w:tc>
        <w:tc>
          <w:tcPr>
            <w:tcW w:w="1417" w:type="dxa"/>
            <w:gridSpan w:val="2"/>
            <w:tcBorders>
              <w:top w:val="nil"/>
              <w:left w:val="nil"/>
              <w:bottom w:val="single" w:sz="4" w:space="0" w:color="auto"/>
              <w:right w:val="nil"/>
            </w:tcBorders>
            <w:vAlign w:val="bottom"/>
          </w:tcPr>
          <w:p w14:paraId="2DB1B844"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lang w:val="hr-HR"/>
              </w:rPr>
              <w:t>247</w:t>
            </w:r>
          </w:p>
        </w:tc>
      </w:tr>
      <w:tr w:rsidR="00587444" w:rsidRPr="00587444" w14:paraId="4B1CC45B" w14:textId="77777777" w:rsidTr="00DD69E7">
        <w:trPr>
          <w:trHeight w:val="227"/>
        </w:trPr>
        <w:tc>
          <w:tcPr>
            <w:tcW w:w="1979" w:type="dxa"/>
            <w:tcBorders>
              <w:top w:val="single" w:sz="4" w:space="0" w:color="auto"/>
              <w:left w:val="nil"/>
              <w:bottom w:val="single" w:sz="12" w:space="0" w:color="auto"/>
              <w:right w:val="nil"/>
            </w:tcBorders>
            <w:shd w:val="clear" w:color="auto" w:fill="auto"/>
            <w:noWrap/>
            <w:vAlign w:val="bottom"/>
            <w:hideMark/>
          </w:tcPr>
          <w:p w14:paraId="395B3751" w14:textId="77777777" w:rsidR="00587444" w:rsidRPr="00587444" w:rsidRDefault="00587444" w:rsidP="00587444">
            <w:pPr>
              <w:suppressAutoHyphens w:val="0"/>
              <w:autoSpaceDN/>
              <w:jc w:val="both"/>
              <w:rPr>
                <w:rFonts w:ascii="Arial" w:eastAsia="Calibri" w:hAnsi="Arial" w:cs="Arial"/>
                <w:b/>
                <w:bCs/>
                <w:color w:val="000000"/>
                <w:sz w:val="16"/>
                <w:szCs w:val="16"/>
              </w:rPr>
            </w:pPr>
            <w:r w:rsidRPr="00587444">
              <w:rPr>
                <w:rFonts w:ascii="Arial" w:eastAsia="Calibri" w:hAnsi="Arial" w:cs="Arial"/>
                <w:b/>
                <w:bCs/>
                <w:color w:val="000000"/>
                <w:sz w:val="16"/>
                <w:szCs w:val="16"/>
              </w:rPr>
              <w:t> </w:t>
            </w:r>
          </w:p>
        </w:tc>
        <w:tc>
          <w:tcPr>
            <w:tcW w:w="1134" w:type="dxa"/>
            <w:gridSpan w:val="2"/>
            <w:tcBorders>
              <w:top w:val="single" w:sz="4" w:space="0" w:color="auto"/>
              <w:left w:val="nil"/>
              <w:bottom w:val="single" w:sz="12" w:space="0" w:color="auto"/>
              <w:right w:val="nil"/>
            </w:tcBorders>
            <w:shd w:val="clear" w:color="auto" w:fill="auto"/>
            <w:noWrap/>
            <w:vAlign w:val="bottom"/>
            <w:hideMark/>
          </w:tcPr>
          <w:p w14:paraId="7B660094"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 </w:t>
            </w:r>
          </w:p>
        </w:tc>
        <w:tc>
          <w:tcPr>
            <w:tcW w:w="1139" w:type="dxa"/>
            <w:gridSpan w:val="4"/>
            <w:tcBorders>
              <w:top w:val="single" w:sz="4" w:space="0" w:color="auto"/>
              <w:left w:val="nil"/>
              <w:bottom w:val="single" w:sz="12" w:space="0" w:color="auto"/>
              <w:right w:val="nil"/>
            </w:tcBorders>
            <w:shd w:val="clear" w:color="auto" w:fill="auto"/>
            <w:noWrap/>
            <w:vAlign w:val="bottom"/>
            <w:hideMark/>
          </w:tcPr>
          <w:p w14:paraId="13312C06" w14:textId="77777777" w:rsidR="00587444" w:rsidRPr="00587444" w:rsidRDefault="00587444" w:rsidP="00587444">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 </w:t>
            </w:r>
          </w:p>
        </w:tc>
        <w:tc>
          <w:tcPr>
            <w:tcW w:w="1136" w:type="dxa"/>
            <w:tcBorders>
              <w:top w:val="single" w:sz="4" w:space="0" w:color="auto"/>
              <w:left w:val="nil"/>
              <w:bottom w:val="single" w:sz="12" w:space="0" w:color="auto"/>
              <w:right w:val="nil"/>
            </w:tcBorders>
            <w:shd w:val="clear" w:color="auto" w:fill="auto"/>
            <w:noWrap/>
            <w:vAlign w:val="bottom"/>
            <w:hideMark/>
          </w:tcPr>
          <w:p w14:paraId="60729834" w14:textId="77777777" w:rsidR="00587444" w:rsidRPr="00587444" w:rsidRDefault="00587444" w:rsidP="00587444">
            <w:pPr>
              <w:suppressAutoHyphens w:val="0"/>
              <w:autoSpaceDN/>
              <w:jc w:val="both"/>
              <w:rPr>
                <w:rFonts w:ascii="Arial" w:eastAsia="Calibri" w:hAnsi="Arial" w:cs="Arial"/>
                <w:color w:val="000000"/>
                <w:sz w:val="16"/>
                <w:szCs w:val="16"/>
              </w:rPr>
            </w:pPr>
            <w:r w:rsidRPr="00587444">
              <w:rPr>
                <w:rFonts w:ascii="Arial" w:eastAsia="Calibri" w:hAnsi="Arial" w:cs="Arial"/>
                <w:color w:val="000000"/>
                <w:sz w:val="16"/>
                <w:szCs w:val="16"/>
              </w:rPr>
              <w:t> </w:t>
            </w:r>
          </w:p>
        </w:tc>
        <w:tc>
          <w:tcPr>
            <w:tcW w:w="1273" w:type="dxa"/>
            <w:gridSpan w:val="2"/>
            <w:tcBorders>
              <w:top w:val="single" w:sz="4" w:space="0" w:color="auto"/>
              <w:left w:val="nil"/>
              <w:bottom w:val="single" w:sz="12" w:space="0" w:color="auto"/>
              <w:right w:val="nil"/>
            </w:tcBorders>
            <w:vAlign w:val="bottom"/>
          </w:tcPr>
          <w:p w14:paraId="2745DB4F" w14:textId="77777777"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color w:val="000000"/>
                <w:sz w:val="16"/>
                <w:szCs w:val="16"/>
                <w:lang w:val="hr-HR"/>
              </w:rPr>
              <w:t>1,968</w:t>
            </w:r>
          </w:p>
        </w:tc>
        <w:tc>
          <w:tcPr>
            <w:tcW w:w="1417" w:type="dxa"/>
            <w:tcBorders>
              <w:top w:val="single" w:sz="4" w:space="0" w:color="auto"/>
              <w:left w:val="nil"/>
              <w:bottom w:val="single" w:sz="12" w:space="0" w:color="auto"/>
              <w:right w:val="nil"/>
            </w:tcBorders>
            <w:vAlign w:val="bottom"/>
          </w:tcPr>
          <w:p w14:paraId="3DFB2610" w14:textId="77777777"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b/>
                <w:color w:val="000000"/>
                <w:sz w:val="16"/>
                <w:lang w:val="hr-HR"/>
              </w:rPr>
              <w:t>2,176</w:t>
            </w:r>
          </w:p>
        </w:tc>
        <w:tc>
          <w:tcPr>
            <w:tcW w:w="1136" w:type="dxa"/>
            <w:tcBorders>
              <w:top w:val="single" w:sz="4" w:space="0" w:color="auto"/>
              <w:left w:val="nil"/>
              <w:bottom w:val="single" w:sz="12" w:space="0" w:color="auto"/>
              <w:right w:val="nil"/>
            </w:tcBorders>
            <w:shd w:val="clear" w:color="auto" w:fill="auto"/>
            <w:vAlign w:val="bottom"/>
          </w:tcPr>
          <w:p w14:paraId="66F00EC6" w14:textId="77777777"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color w:val="000000"/>
                <w:sz w:val="16"/>
                <w:szCs w:val="16"/>
                <w:lang w:val="hr-HR"/>
              </w:rPr>
              <w:t>1,968</w:t>
            </w:r>
          </w:p>
        </w:tc>
        <w:tc>
          <w:tcPr>
            <w:tcW w:w="1417" w:type="dxa"/>
            <w:gridSpan w:val="2"/>
            <w:tcBorders>
              <w:top w:val="single" w:sz="4" w:space="0" w:color="auto"/>
              <w:left w:val="nil"/>
              <w:bottom w:val="single" w:sz="12" w:space="0" w:color="auto"/>
              <w:right w:val="nil"/>
            </w:tcBorders>
            <w:vAlign w:val="bottom"/>
          </w:tcPr>
          <w:p w14:paraId="2273AF67" w14:textId="77777777"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color w:val="000000"/>
                <w:sz w:val="16"/>
                <w:szCs w:val="16"/>
                <w:lang w:val="hr-HR"/>
              </w:rPr>
              <w:t>2,176</w:t>
            </w:r>
          </w:p>
        </w:tc>
      </w:tr>
      <w:tr w:rsidR="00587444" w:rsidRPr="00587444" w14:paraId="296F4540" w14:textId="77777777" w:rsidTr="00DD69E7">
        <w:trPr>
          <w:trHeight w:hRule="exact" w:val="281"/>
        </w:trPr>
        <w:tc>
          <w:tcPr>
            <w:tcW w:w="1979" w:type="dxa"/>
            <w:tcBorders>
              <w:top w:val="single" w:sz="12" w:space="0" w:color="auto"/>
              <w:left w:val="nil"/>
              <w:right w:val="nil"/>
            </w:tcBorders>
            <w:shd w:val="clear" w:color="auto" w:fill="auto"/>
            <w:noWrap/>
            <w:vAlign w:val="bottom"/>
          </w:tcPr>
          <w:p w14:paraId="29A5AAE8" w14:textId="77777777" w:rsidR="00587444" w:rsidRPr="00587444" w:rsidRDefault="00587444" w:rsidP="00587444">
            <w:pPr>
              <w:suppressAutoHyphens w:val="0"/>
              <w:autoSpaceDN/>
              <w:jc w:val="both"/>
              <w:rPr>
                <w:rFonts w:ascii="Arial" w:eastAsia="Calibri" w:hAnsi="Arial" w:cs="Arial"/>
                <w:b/>
                <w:bCs/>
                <w:color w:val="000000"/>
                <w:sz w:val="16"/>
                <w:szCs w:val="16"/>
              </w:rPr>
            </w:pPr>
          </w:p>
        </w:tc>
        <w:tc>
          <w:tcPr>
            <w:tcW w:w="1134" w:type="dxa"/>
            <w:gridSpan w:val="2"/>
            <w:tcBorders>
              <w:top w:val="single" w:sz="12" w:space="0" w:color="auto"/>
              <w:left w:val="nil"/>
              <w:right w:val="nil"/>
            </w:tcBorders>
            <w:shd w:val="clear" w:color="auto" w:fill="auto"/>
            <w:noWrap/>
            <w:vAlign w:val="bottom"/>
          </w:tcPr>
          <w:p w14:paraId="539A4392" w14:textId="77777777" w:rsidR="00587444" w:rsidRPr="00587444" w:rsidRDefault="00587444" w:rsidP="00587444">
            <w:pPr>
              <w:suppressAutoHyphens w:val="0"/>
              <w:autoSpaceDN/>
              <w:jc w:val="right"/>
              <w:rPr>
                <w:rFonts w:ascii="Arial" w:eastAsia="Calibri" w:hAnsi="Arial" w:cs="Arial"/>
                <w:color w:val="000000"/>
                <w:sz w:val="16"/>
                <w:szCs w:val="16"/>
              </w:rPr>
            </w:pPr>
          </w:p>
        </w:tc>
        <w:tc>
          <w:tcPr>
            <w:tcW w:w="1139" w:type="dxa"/>
            <w:gridSpan w:val="4"/>
            <w:tcBorders>
              <w:top w:val="single" w:sz="12" w:space="0" w:color="auto"/>
              <w:left w:val="nil"/>
              <w:right w:val="nil"/>
            </w:tcBorders>
            <w:shd w:val="clear" w:color="auto" w:fill="auto"/>
            <w:noWrap/>
            <w:vAlign w:val="bottom"/>
          </w:tcPr>
          <w:p w14:paraId="601F2835" w14:textId="77777777" w:rsidR="00587444" w:rsidRPr="00587444" w:rsidRDefault="00587444" w:rsidP="00587444">
            <w:pPr>
              <w:suppressAutoHyphens w:val="0"/>
              <w:autoSpaceDN/>
              <w:jc w:val="right"/>
              <w:rPr>
                <w:rFonts w:ascii="Arial" w:eastAsia="Calibri" w:hAnsi="Arial" w:cs="Arial"/>
                <w:color w:val="000000"/>
                <w:sz w:val="16"/>
                <w:szCs w:val="16"/>
              </w:rPr>
            </w:pPr>
          </w:p>
        </w:tc>
        <w:tc>
          <w:tcPr>
            <w:tcW w:w="1136" w:type="dxa"/>
            <w:tcBorders>
              <w:top w:val="single" w:sz="12" w:space="0" w:color="auto"/>
              <w:left w:val="nil"/>
              <w:right w:val="nil"/>
            </w:tcBorders>
            <w:shd w:val="clear" w:color="auto" w:fill="auto"/>
            <w:noWrap/>
            <w:vAlign w:val="bottom"/>
          </w:tcPr>
          <w:p w14:paraId="26564FDF" w14:textId="77777777" w:rsidR="00587444" w:rsidRPr="00587444" w:rsidRDefault="00587444" w:rsidP="00587444">
            <w:pPr>
              <w:suppressAutoHyphens w:val="0"/>
              <w:autoSpaceDN/>
              <w:jc w:val="both"/>
              <w:rPr>
                <w:rFonts w:ascii="Arial" w:eastAsia="Calibri" w:hAnsi="Arial" w:cs="Arial"/>
                <w:color w:val="000000"/>
                <w:sz w:val="16"/>
                <w:szCs w:val="16"/>
              </w:rPr>
            </w:pPr>
          </w:p>
        </w:tc>
        <w:tc>
          <w:tcPr>
            <w:tcW w:w="1273" w:type="dxa"/>
            <w:gridSpan w:val="2"/>
            <w:tcBorders>
              <w:top w:val="single" w:sz="12" w:space="0" w:color="auto"/>
              <w:left w:val="nil"/>
              <w:right w:val="nil"/>
            </w:tcBorders>
            <w:vAlign w:val="bottom"/>
          </w:tcPr>
          <w:p w14:paraId="5842F6F3" w14:textId="77777777" w:rsidR="00587444" w:rsidRPr="00587444" w:rsidRDefault="00587444" w:rsidP="00587444">
            <w:pPr>
              <w:suppressAutoHyphens w:val="0"/>
              <w:autoSpaceDN/>
              <w:jc w:val="right"/>
              <w:rPr>
                <w:rFonts w:ascii="Arial" w:eastAsia="Calibri" w:hAnsi="Arial" w:cs="Arial"/>
                <w:b/>
                <w:bCs/>
                <w:color w:val="000000"/>
                <w:sz w:val="16"/>
                <w:szCs w:val="16"/>
              </w:rPr>
            </w:pPr>
          </w:p>
        </w:tc>
        <w:tc>
          <w:tcPr>
            <w:tcW w:w="1417" w:type="dxa"/>
            <w:tcBorders>
              <w:top w:val="single" w:sz="12" w:space="0" w:color="auto"/>
              <w:left w:val="nil"/>
              <w:right w:val="nil"/>
            </w:tcBorders>
            <w:vAlign w:val="bottom"/>
          </w:tcPr>
          <w:p w14:paraId="1C08B96C" w14:textId="77777777" w:rsidR="00587444" w:rsidRPr="00587444" w:rsidRDefault="00587444" w:rsidP="00587444">
            <w:pPr>
              <w:suppressAutoHyphens w:val="0"/>
              <w:autoSpaceDN/>
              <w:jc w:val="right"/>
              <w:rPr>
                <w:rFonts w:ascii="Arial" w:eastAsia="Calibri" w:hAnsi="Arial" w:cs="Arial"/>
                <w:b/>
                <w:bCs/>
                <w:color w:val="000000"/>
                <w:sz w:val="16"/>
                <w:szCs w:val="16"/>
              </w:rPr>
            </w:pPr>
          </w:p>
        </w:tc>
        <w:tc>
          <w:tcPr>
            <w:tcW w:w="1136" w:type="dxa"/>
            <w:tcBorders>
              <w:top w:val="single" w:sz="12" w:space="0" w:color="auto"/>
              <w:left w:val="nil"/>
              <w:right w:val="nil"/>
            </w:tcBorders>
            <w:shd w:val="clear" w:color="auto" w:fill="auto"/>
            <w:vAlign w:val="bottom"/>
          </w:tcPr>
          <w:p w14:paraId="15BE225A" w14:textId="77777777" w:rsidR="00587444" w:rsidRPr="00587444" w:rsidRDefault="00587444" w:rsidP="00587444">
            <w:pPr>
              <w:suppressAutoHyphens w:val="0"/>
              <w:autoSpaceDN/>
              <w:jc w:val="right"/>
              <w:rPr>
                <w:rFonts w:ascii="Arial" w:eastAsia="Calibri" w:hAnsi="Arial" w:cs="Arial"/>
                <w:b/>
                <w:bCs/>
                <w:color w:val="000000"/>
                <w:sz w:val="16"/>
                <w:szCs w:val="16"/>
              </w:rPr>
            </w:pPr>
          </w:p>
        </w:tc>
        <w:tc>
          <w:tcPr>
            <w:tcW w:w="1417" w:type="dxa"/>
            <w:gridSpan w:val="2"/>
            <w:tcBorders>
              <w:top w:val="single" w:sz="12" w:space="0" w:color="auto"/>
              <w:left w:val="nil"/>
              <w:right w:val="nil"/>
            </w:tcBorders>
            <w:shd w:val="clear" w:color="auto" w:fill="auto"/>
            <w:vAlign w:val="bottom"/>
          </w:tcPr>
          <w:p w14:paraId="3A38A06D" w14:textId="77777777" w:rsidR="00587444" w:rsidRPr="00587444" w:rsidRDefault="00587444" w:rsidP="00587444">
            <w:pPr>
              <w:suppressAutoHyphens w:val="0"/>
              <w:autoSpaceDN/>
              <w:jc w:val="right"/>
              <w:rPr>
                <w:rFonts w:ascii="Arial" w:eastAsia="Calibri" w:hAnsi="Arial" w:cs="Arial"/>
                <w:b/>
                <w:bCs/>
                <w:color w:val="000000"/>
                <w:sz w:val="16"/>
                <w:szCs w:val="16"/>
              </w:rPr>
            </w:pPr>
          </w:p>
        </w:tc>
      </w:tr>
      <w:tr w:rsidR="00587444" w:rsidRPr="00587444" w14:paraId="4FF46799" w14:textId="77777777" w:rsidTr="00DD69E7">
        <w:trPr>
          <w:trHeight w:val="187"/>
        </w:trPr>
        <w:tc>
          <w:tcPr>
            <w:tcW w:w="1979" w:type="dxa"/>
            <w:tcBorders>
              <w:left w:val="nil"/>
              <w:right w:val="nil"/>
            </w:tcBorders>
            <w:shd w:val="clear" w:color="auto" w:fill="auto"/>
            <w:noWrap/>
            <w:vAlign w:val="bottom"/>
          </w:tcPr>
          <w:p w14:paraId="2CC05EF3" w14:textId="77777777" w:rsidR="00587444" w:rsidRPr="00587444" w:rsidRDefault="00587444" w:rsidP="00587444">
            <w:pPr>
              <w:suppressAutoHyphens w:val="0"/>
              <w:autoSpaceDN/>
              <w:jc w:val="both"/>
              <w:rPr>
                <w:rFonts w:ascii="Arial" w:eastAsia="Calibri" w:hAnsi="Arial" w:cs="Arial"/>
                <w:b/>
                <w:bCs/>
                <w:color w:val="000000"/>
                <w:sz w:val="16"/>
                <w:szCs w:val="16"/>
              </w:rPr>
            </w:pPr>
            <w:r w:rsidRPr="00587444">
              <w:rPr>
                <w:rFonts w:ascii="Arial" w:eastAsia="Calibri" w:hAnsi="Arial" w:cs="Arial"/>
                <w:b/>
                <w:bCs/>
                <w:sz w:val="16"/>
                <w:szCs w:val="16"/>
                <w:lang w:eastAsia="hr-HR"/>
              </w:rPr>
              <w:t>Equity instruments:</w:t>
            </w:r>
          </w:p>
        </w:tc>
        <w:tc>
          <w:tcPr>
            <w:tcW w:w="1134" w:type="dxa"/>
            <w:gridSpan w:val="2"/>
            <w:tcBorders>
              <w:left w:val="nil"/>
              <w:right w:val="nil"/>
            </w:tcBorders>
            <w:shd w:val="clear" w:color="auto" w:fill="auto"/>
            <w:noWrap/>
            <w:vAlign w:val="bottom"/>
          </w:tcPr>
          <w:p w14:paraId="6B075AAE" w14:textId="77777777" w:rsidR="00587444" w:rsidRPr="00587444" w:rsidRDefault="00587444" w:rsidP="00587444">
            <w:pPr>
              <w:suppressAutoHyphens w:val="0"/>
              <w:autoSpaceDN/>
              <w:jc w:val="right"/>
              <w:rPr>
                <w:rFonts w:ascii="Arial" w:eastAsia="Calibri" w:hAnsi="Arial" w:cs="Arial"/>
                <w:color w:val="000000"/>
                <w:sz w:val="16"/>
                <w:szCs w:val="16"/>
              </w:rPr>
            </w:pPr>
          </w:p>
        </w:tc>
        <w:tc>
          <w:tcPr>
            <w:tcW w:w="1139" w:type="dxa"/>
            <w:gridSpan w:val="4"/>
            <w:tcBorders>
              <w:left w:val="nil"/>
              <w:right w:val="nil"/>
            </w:tcBorders>
            <w:shd w:val="clear" w:color="auto" w:fill="auto"/>
            <w:noWrap/>
            <w:vAlign w:val="bottom"/>
          </w:tcPr>
          <w:p w14:paraId="142EAD37" w14:textId="77777777" w:rsidR="00587444" w:rsidRPr="00587444" w:rsidRDefault="00587444" w:rsidP="00587444">
            <w:pPr>
              <w:suppressAutoHyphens w:val="0"/>
              <w:autoSpaceDN/>
              <w:jc w:val="right"/>
              <w:rPr>
                <w:rFonts w:ascii="Arial" w:eastAsia="Calibri" w:hAnsi="Arial" w:cs="Arial"/>
                <w:color w:val="000000"/>
                <w:sz w:val="16"/>
                <w:szCs w:val="16"/>
              </w:rPr>
            </w:pPr>
          </w:p>
        </w:tc>
        <w:tc>
          <w:tcPr>
            <w:tcW w:w="1136" w:type="dxa"/>
            <w:tcBorders>
              <w:left w:val="nil"/>
              <w:right w:val="nil"/>
            </w:tcBorders>
            <w:shd w:val="clear" w:color="auto" w:fill="auto"/>
            <w:noWrap/>
            <w:vAlign w:val="bottom"/>
          </w:tcPr>
          <w:p w14:paraId="5DB7CEF3" w14:textId="77777777" w:rsidR="00587444" w:rsidRPr="00587444" w:rsidRDefault="00587444" w:rsidP="00587444">
            <w:pPr>
              <w:suppressAutoHyphens w:val="0"/>
              <w:autoSpaceDN/>
              <w:jc w:val="both"/>
              <w:rPr>
                <w:rFonts w:ascii="Arial" w:eastAsia="Calibri" w:hAnsi="Arial" w:cs="Arial"/>
                <w:color w:val="000000"/>
                <w:sz w:val="16"/>
                <w:szCs w:val="16"/>
              </w:rPr>
            </w:pPr>
          </w:p>
        </w:tc>
        <w:tc>
          <w:tcPr>
            <w:tcW w:w="1273" w:type="dxa"/>
            <w:gridSpan w:val="2"/>
            <w:tcBorders>
              <w:left w:val="nil"/>
              <w:right w:val="nil"/>
            </w:tcBorders>
            <w:vAlign w:val="bottom"/>
          </w:tcPr>
          <w:p w14:paraId="6F8B346A" w14:textId="77777777" w:rsidR="00587444" w:rsidRPr="00587444" w:rsidRDefault="00587444" w:rsidP="00587444">
            <w:pPr>
              <w:suppressAutoHyphens w:val="0"/>
              <w:autoSpaceDN/>
              <w:jc w:val="right"/>
              <w:rPr>
                <w:rFonts w:ascii="Arial" w:eastAsia="Calibri" w:hAnsi="Arial" w:cs="Arial"/>
                <w:b/>
                <w:bCs/>
                <w:color w:val="000000"/>
                <w:sz w:val="16"/>
                <w:szCs w:val="16"/>
              </w:rPr>
            </w:pPr>
          </w:p>
        </w:tc>
        <w:tc>
          <w:tcPr>
            <w:tcW w:w="1417" w:type="dxa"/>
            <w:tcBorders>
              <w:left w:val="nil"/>
              <w:right w:val="nil"/>
            </w:tcBorders>
            <w:vAlign w:val="bottom"/>
          </w:tcPr>
          <w:p w14:paraId="4A66B52D" w14:textId="77777777" w:rsidR="00587444" w:rsidRPr="00587444" w:rsidRDefault="00587444" w:rsidP="00587444">
            <w:pPr>
              <w:suppressAutoHyphens w:val="0"/>
              <w:autoSpaceDN/>
              <w:jc w:val="right"/>
              <w:rPr>
                <w:rFonts w:ascii="Arial" w:eastAsia="Calibri" w:hAnsi="Arial" w:cs="Arial"/>
                <w:b/>
                <w:bCs/>
                <w:color w:val="000000"/>
                <w:sz w:val="16"/>
                <w:szCs w:val="16"/>
              </w:rPr>
            </w:pPr>
          </w:p>
        </w:tc>
        <w:tc>
          <w:tcPr>
            <w:tcW w:w="1136" w:type="dxa"/>
            <w:tcBorders>
              <w:left w:val="nil"/>
              <w:right w:val="nil"/>
            </w:tcBorders>
            <w:shd w:val="clear" w:color="auto" w:fill="auto"/>
            <w:vAlign w:val="bottom"/>
          </w:tcPr>
          <w:p w14:paraId="61416420" w14:textId="77777777" w:rsidR="00587444" w:rsidRPr="00587444" w:rsidRDefault="00587444" w:rsidP="00587444">
            <w:pPr>
              <w:suppressAutoHyphens w:val="0"/>
              <w:autoSpaceDN/>
              <w:jc w:val="right"/>
              <w:rPr>
                <w:rFonts w:ascii="Arial" w:eastAsia="Calibri" w:hAnsi="Arial" w:cs="Arial"/>
                <w:b/>
                <w:bCs/>
                <w:color w:val="000000"/>
                <w:sz w:val="16"/>
                <w:szCs w:val="16"/>
              </w:rPr>
            </w:pPr>
          </w:p>
        </w:tc>
        <w:tc>
          <w:tcPr>
            <w:tcW w:w="1417" w:type="dxa"/>
            <w:gridSpan w:val="2"/>
            <w:tcBorders>
              <w:left w:val="nil"/>
              <w:right w:val="nil"/>
            </w:tcBorders>
            <w:shd w:val="clear" w:color="auto" w:fill="auto"/>
            <w:vAlign w:val="bottom"/>
          </w:tcPr>
          <w:p w14:paraId="24AB053B" w14:textId="77777777" w:rsidR="00587444" w:rsidRPr="00587444" w:rsidRDefault="00587444" w:rsidP="00587444">
            <w:pPr>
              <w:suppressAutoHyphens w:val="0"/>
              <w:autoSpaceDN/>
              <w:jc w:val="right"/>
              <w:rPr>
                <w:rFonts w:ascii="Arial" w:eastAsia="Calibri" w:hAnsi="Arial" w:cs="Arial"/>
                <w:b/>
                <w:bCs/>
                <w:color w:val="000000"/>
                <w:sz w:val="16"/>
                <w:szCs w:val="16"/>
              </w:rPr>
            </w:pPr>
          </w:p>
        </w:tc>
      </w:tr>
      <w:tr w:rsidR="00587444" w:rsidRPr="00587444" w14:paraId="30487567" w14:textId="77777777" w:rsidTr="00DD69E7">
        <w:trPr>
          <w:trHeight w:val="187"/>
        </w:trPr>
        <w:tc>
          <w:tcPr>
            <w:tcW w:w="3113" w:type="dxa"/>
            <w:gridSpan w:val="3"/>
            <w:tcBorders>
              <w:left w:val="nil"/>
              <w:bottom w:val="nil"/>
              <w:right w:val="nil"/>
            </w:tcBorders>
            <w:shd w:val="clear" w:color="auto" w:fill="auto"/>
            <w:noWrap/>
            <w:vAlign w:val="bottom"/>
          </w:tcPr>
          <w:p w14:paraId="6E373724" w14:textId="77777777" w:rsidR="00587444" w:rsidRPr="00587444" w:rsidRDefault="00587444" w:rsidP="00587444">
            <w:pPr>
              <w:suppressAutoHyphens w:val="0"/>
              <w:autoSpaceDN/>
              <w:rPr>
                <w:rFonts w:ascii="Arial" w:eastAsia="Calibri" w:hAnsi="Arial" w:cs="Arial"/>
                <w:i/>
                <w:color w:val="000000"/>
                <w:sz w:val="16"/>
                <w:szCs w:val="16"/>
              </w:rPr>
            </w:pPr>
            <w:r w:rsidRPr="00587444">
              <w:rPr>
                <w:rFonts w:ascii="Arial" w:eastAsia="Calibri" w:hAnsi="Arial" w:cs="Arial"/>
                <w:bCs/>
                <w:i/>
                <w:sz w:val="16"/>
                <w:szCs w:val="16"/>
                <w:lang w:eastAsia="hr-HR"/>
              </w:rPr>
              <w:t>Unlisted</w:t>
            </w:r>
            <w:r w:rsidRPr="00587444" w:rsidDel="003A499C">
              <w:rPr>
                <w:rFonts w:ascii="Arial" w:eastAsia="Calibri" w:hAnsi="Arial" w:cs="Arial"/>
                <w:bCs/>
                <w:i/>
                <w:sz w:val="16"/>
                <w:szCs w:val="16"/>
                <w:lang w:eastAsia="hr-HR"/>
              </w:rPr>
              <w:t xml:space="preserve"> </w:t>
            </w:r>
            <w:r w:rsidRPr="00587444">
              <w:rPr>
                <w:rFonts w:ascii="Arial" w:eastAsia="Calibri" w:hAnsi="Arial" w:cs="Arial"/>
                <w:bCs/>
                <w:i/>
                <w:sz w:val="16"/>
                <w:szCs w:val="16"/>
                <w:lang w:eastAsia="hr-HR"/>
              </w:rPr>
              <w:t>equity instruments:</w:t>
            </w:r>
          </w:p>
        </w:tc>
        <w:tc>
          <w:tcPr>
            <w:tcW w:w="1139" w:type="dxa"/>
            <w:gridSpan w:val="4"/>
            <w:tcBorders>
              <w:left w:val="nil"/>
              <w:right w:val="nil"/>
            </w:tcBorders>
            <w:shd w:val="clear" w:color="auto" w:fill="auto"/>
            <w:noWrap/>
            <w:vAlign w:val="bottom"/>
          </w:tcPr>
          <w:p w14:paraId="574B42C2" w14:textId="77777777" w:rsidR="00587444" w:rsidRPr="00587444" w:rsidRDefault="00587444" w:rsidP="00587444">
            <w:pPr>
              <w:suppressAutoHyphens w:val="0"/>
              <w:autoSpaceDN/>
              <w:jc w:val="right"/>
              <w:rPr>
                <w:rFonts w:ascii="Arial" w:eastAsia="Calibri" w:hAnsi="Arial" w:cs="Arial"/>
                <w:color w:val="000000"/>
                <w:sz w:val="16"/>
                <w:szCs w:val="16"/>
              </w:rPr>
            </w:pPr>
          </w:p>
        </w:tc>
        <w:tc>
          <w:tcPr>
            <w:tcW w:w="1136" w:type="dxa"/>
            <w:tcBorders>
              <w:left w:val="nil"/>
              <w:right w:val="nil"/>
            </w:tcBorders>
            <w:shd w:val="clear" w:color="auto" w:fill="auto"/>
            <w:noWrap/>
            <w:vAlign w:val="bottom"/>
          </w:tcPr>
          <w:p w14:paraId="7D4CEEDB" w14:textId="77777777" w:rsidR="00587444" w:rsidRPr="00587444" w:rsidRDefault="00587444" w:rsidP="00587444">
            <w:pPr>
              <w:suppressAutoHyphens w:val="0"/>
              <w:autoSpaceDN/>
              <w:jc w:val="both"/>
              <w:rPr>
                <w:rFonts w:ascii="Arial" w:eastAsia="Calibri" w:hAnsi="Arial" w:cs="Arial"/>
                <w:color w:val="000000"/>
                <w:sz w:val="16"/>
                <w:szCs w:val="16"/>
              </w:rPr>
            </w:pPr>
          </w:p>
        </w:tc>
        <w:tc>
          <w:tcPr>
            <w:tcW w:w="1273" w:type="dxa"/>
            <w:gridSpan w:val="2"/>
            <w:tcBorders>
              <w:left w:val="nil"/>
              <w:right w:val="nil"/>
            </w:tcBorders>
            <w:shd w:val="clear" w:color="auto" w:fill="auto"/>
            <w:vAlign w:val="bottom"/>
          </w:tcPr>
          <w:p w14:paraId="0B74345C" w14:textId="77777777" w:rsidR="00587444" w:rsidRPr="00587444" w:rsidRDefault="00587444" w:rsidP="00587444">
            <w:pPr>
              <w:suppressAutoHyphens w:val="0"/>
              <w:autoSpaceDN/>
              <w:jc w:val="right"/>
              <w:rPr>
                <w:rFonts w:ascii="Arial" w:eastAsia="Calibri" w:hAnsi="Arial" w:cs="Arial"/>
                <w:b/>
                <w:bCs/>
                <w:color w:val="000000"/>
                <w:sz w:val="16"/>
                <w:szCs w:val="16"/>
              </w:rPr>
            </w:pPr>
          </w:p>
        </w:tc>
        <w:tc>
          <w:tcPr>
            <w:tcW w:w="1417" w:type="dxa"/>
            <w:tcBorders>
              <w:left w:val="nil"/>
              <w:right w:val="nil"/>
            </w:tcBorders>
            <w:vAlign w:val="bottom"/>
          </w:tcPr>
          <w:p w14:paraId="04095703" w14:textId="77777777" w:rsidR="00587444" w:rsidRPr="00587444" w:rsidRDefault="00587444" w:rsidP="00587444">
            <w:pPr>
              <w:suppressAutoHyphens w:val="0"/>
              <w:autoSpaceDN/>
              <w:jc w:val="right"/>
              <w:rPr>
                <w:rFonts w:ascii="Arial" w:eastAsia="Calibri" w:hAnsi="Arial" w:cs="Arial"/>
                <w:b/>
                <w:bCs/>
                <w:color w:val="000000"/>
                <w:sz w:val="16"/>
                <w:szCs w:val="16"/>
              </w:rPr>
            </w:pPr>
          </w:p>
        </w:tc>
        <w:tc>
          <w:tcPr>
            <w:tcW w:w="1136" w:type="dxa"/>
            <w:tcBorders>
              <w:left w:val="nil"/>
              <w:right w:val="nil"/>
            </w:tcBorders>
            <w:shd w:val="clear" w:color="auto" w:fill="auto"/>
            <w:vAlign w:val="bottom"/>
          </w:tcPr>
          <w:p w14:paraId="755BBA4B" w14:textId="77777777" w:rsidR="00587444" w:rsidRPr="00587444" w:rsidRDefault="00587444" w:rsidP="00587444">
            <w:pPr>
              <w:suppressAutoHyphens w:val="0"/>
              <w:autoSpaceDN/>
              <w:jc w:val="right"/>
              <w:rPr>
                <w:rFonts w:ascii="Arial" w:eastAsia="Calibri" w:hAnsi="Arial" w:cs="Arial"/>
                <w:b/>
                <w:bCs/>
                <w:color w:val="000000"/>
                <w:sz w:val="16"/>
                <w:szCs w:val="16"/>
              </w:rPr>
            </w:pPr>
          </w:p>
        </w:tc>
        <w:tc>
          <w:tcPr>
            <w:tcW w:w="1417" w:type="dxa"/>
            <w:gridSpan w:val="2"/>
            <w:tcBorders>
              <w:left w:val="nil"/>
              <w:right w:val="nil"/>
            </w:tcBorders>
            <w:vAlign w:val="bottom"/>
          </w:tcPr>
          <w:p w14:paraId="5B06D5E4" w14:textId="77777777" w:rsidR="00587444" w:rsidRPr="00587444" w:rsidRDefault="00587444" w:rsidP="00587444">
            <w:pPr>
              <w:suppressAutoHyphens w:val="0"/>
              <w:autoSpaceDN/>
              <w:jc w:val="right"/>
              <w:rPr>
                <w:rFonts w:ascii="Arial" w:eastAsia="Calibri" w:hAnsi="Arial" w:cs="Arial"/>
                <w:b/>
                <w:bCs/>
                <w:color w:val="000000"/>
                <w:sz w:val="16"/>
                <w:szCs w:val="16"/>
              </w:rPr>
            </w:pPr>
          </w:p>
        </w:tc>
      </w:tr>
      <w:tr w:rsidR="00587444" w:rsidRPr="00587444" w14:paraId="729C2348" w14:textId="77777777" w:rsidTr="00DD69E7">
        <w:trPr>
          <w:trHeight w:val="187"/>
        </w:trPr>
        <w:tc>
          <w:tcPr>
            <w:tcW w:w="4252" w:type="dxa"/>
            <w:gridSpan w:val="7"/>
            <w:tcBorders>
              <w:top w:val="nil"/>
              <w:left w:val="nil"/>
              <w:bottom w:val="nil"/>
            </w:tcBorders>
            <w:shd w:val="clear" w:color="auto" w:fill="auto"/>
            <w:noWrap/>
            <w:vAlign w:val="bottom"/>
          </w:tcPr>
          <w:p w14:paraId="66CCC7A2" w14:textId="77777777" w:rsidR="00587444" w:rsidRPr="00587444" w:rsidRDefault="00587444" w:rsidP="00587444">
            <w:pPr>
              <w:suppressAutoHyphens w:val="0"/>
              <w:autoSpaceDN/>
              <w:jc w:val="both"/>
              <w:rPr>
                <w:rFonts w:ascii="Arial" w:eastAsia="Calibri" w:hAnsi="Arial" w:cs="Arial"/>
                <w:color w:val="000000"/>
                <w:sz w:val="16"/>
                <w:szCs w:val="16"/>
              </w:rPr>
            </w:pPr>
            <w:r w:rsidRPr="00587444">
              <w:rPr>
                <w:rFonts w:ascii="Arial" w:eastAsia="Calibri" w:hAnsi="Arial" w:cs="Arial"/>
                <w:iCs/>
                <w:sz w:val="16"/>
                <w:szCs w:val="16"/>
                <w:lang w:eastAsia="hr-HR"/>
              </w:rPr>
              <w:t>Investments in shares of foreign legal entities - SWIFT</w:t>
            </w:r>
          </w:p>
        </w:tc>
        <w:tc>
          <w:tcPr>
            <w:tcW w:w="1136" w:type="dxa"/>
            <w:tcBorders>
              <w:top w:val="nil"/>
              <w:bottom w:val="nil"/>
              <w:right w:val="nil"/>
            </w:tcBorders>
            <w:shd w:val="clear" w:color="auto" w:fill="auto"/>
            <w:vAlign w:val="bottom"/>
          </w:tcPr>
          <w:p w14:paraId="59137C2C" w14:textId="77777777" w:rsidR="00587444" w:rsidRPr="00587444" w:rsidRDefault="00587444" w:rsidP="00587444">
            <w:pPr>
              <w:suppressAutoHyphens w:val="0"/>
              <w:autoSpaceDN/>
              <w:jc w:val="both"/>
              <w:rPr>
                <w:rFonts w:ascii="Arial" w:eastAsia="Calibri" w:hAnsi="Arial" w:cs="Arial"/>
                <w:color w:val="000000"/>
                <w:sz w:val="16"/>
                <w:szCs w:val="16"/>
              </w:rPr>
            </w:pPr>
          </w:p>
        </w:tc>
        <w:tc>
          <w:tcPr>
            <w:tcW w:w="1273" w:type="dxa"/>
            <w:gridSpan w:val="2"/>
            <w:tcBorders>
              <w:left w:val="nil"/>
              <w:right w:val="nil"/>
            </w:tcBorders>
            <w:vAlign w:val="bottom"/>
          </w:tcPr>
          <w:p w14:paraId="5B8F9A85" w14:textId="77777777" w:rsidR="00587444" w:rsidRPr="00587444" w:rsidRDefault="00587444" w:rsidP="00587444">
            <w:pPr>
              <w:suppressAutoHyphens w:val="0"/>
              <w:autoSpaceDN/>
              <w:jc w:val="right"/>
              <w:rPr>
                <w:rFonts w:ascii="Arial" w:eastAsia="Calibri" w:hAnsi="Arial" w:cs="Arial"/>
                <w:bCs/>
                <w:color w:val="000000"/>
                <w:sz w:val="16"/>
                <w:szCs w:val="16"/>
              </w:rPr>
            </w:pPr>
            <w:r w:rsidRPr="00587444">
              <w:rPr>
                <w:rFonts w:ascii="Arial" w:eastAsia="Calibri" w:hAnsi="Arial" w:cs="Arial"/>
                <w:bCs/>
                <w:color w:val="000000"/>
                <w:sz w:val="16"/>
                <w:szCs w:val="16"/>
              </w:rPr>
              <w:t>55</w:t>
            </w:r>
          </w:p>
        </w:tc>
        <w:tc>
          <w:tcPr>
            <w:tcW w:w="1417" w:type="dxa"/>
            <w:tcBorders>
              <w:top w:val="nil"/>
              <w:left w:val="nil"/>
              <w:bottom w:val="nil"/>
              <w:right w:val="nil"/>
            </w:tcBorders>
            <w:shd w:val="clear" w:color="auto" w:fill="auto"/>
            <w:vAlign w:val="bottom"/>
          </w:tcPr>
          <w:p w14:paraId="2F27C7CB" w14:textId="77777777" w:rsidR="00587444" w:rsidRPr="00587444" w:rsidRDefault="00587444" w:rsidP="00587444">
            <w:pPr>
              <w:suppressAutoHyphens w:val="0"/>
              <w:autoSpaceDN/>
              <w:jc w:val="right"/>
              <w:rPr>
                <w:rFonts w:ascii="Arial" w:eastAsia="Calibri" w:hAnsi="Arial" w:cs="Arial"/>
                <w:bCs/>
                <w:color w:val="000000"/>
                <w:sz w:val="16"/>
                <w:szCs w:val="16"/>
              </w:rPr>
            </w:pPr>
            <w:r w:rsidRPr="00587444">
              <w:rPr>
                <w:rFonts w:ascii="Arial" w:eastAsia="Calibri" w:hAnsi="Arial" w:cs="Arial"/>
                <w:bCs/>
                <w:color w:val="000000"/>
                <w:sz w:val="16"/>
                <w:szCs w:val="16"/>
              </w:rPr>
              <w:t>45</w:t>
            </w:r>
          </w:p>
        </w:tc>
        <w:tc>
          <w:tcPr>
            <w:tcW w:w="1136" w:type="dxa"/>
            <w:tcBorders>
              <w:left w:val="nil"/>
              <w:right w:val="nil"/>
            </w:tcBorders>
            <w:vAlign w:val="bottom"/>
          </w:tcPr>
          <w:p w14:paraId="24288AAB" w14:textId="77777777" w:rsidR="00587444" w:rsidRPr="00587444" w:rsidRDefault="00587444" w:rsidP="00587444">
            <w:pPr>
              <w:suppressAutoHyphens w:val="0"/>
              <w:autoSpaceDN/>
              <w:jc w:val="right"/>
              <w:rPr>
                <w:rFonts w:ascii="Arial" w:eastAsia="Calibri" w:hAnsi="Arial" w:cs="Arial"/>
                <w:bCs/>
                <w:color w:val="000000"/>
                <w:sz w:val="16"/>
                <w:szCs w:val="16"/>
              </w:rPr>
            </w:pPr>
            <w:r w:rsidRPr="00587444">
              <w:rPr>
                <w:rFonts w:ascii="Arial" w:eastAsia="Calibri" w:hAnsi="Arial" w:cs="Arial"/>
                <w:bCs/>
                <w:color w:val="000000"/>
                <w:sz w:val="16"/>
                <w:szCs w:val="16"/>
                <w:lang w:val="hr-HR"/>
              </w:rPr>
              <w:t>55</w:t>
            </w:r>
          </w:p>
        </w:tc>
        <w:tc>
          <w:tcPr>
            <w:tcW w:w="1417" w:type="dxa"/>
            <w:gridSpan w:val="2"/>
            <w:tcBorders>
              <w:top w:val="nil"/>
              <w:left w:val="nil"/>
              <w:bottom w:val="nil"/>
              <w:right w:val="nil"/>
            </w:tcBorders>
            <w:shd w:val="clear" w:color="auto" w:fill="auto"/>
            <w:vAlign w:val="bottom"/>
          </w:tcPr>
          <w:p w14:paraId="425C8662" w14:textId="77777777" w:rsidR="00587444" w:rsidRPr="00587444" w:rsidRDefault="00587444" w:rsidP="00587444">
            <w:pPr>
              <w:suppressAutoHyphens w:val="0"/>
              <w:autoSpaceDN/>
              <w:jc w:val="right"/>
              <w:rPr>
                <w:rFonts w:ascii="Arial" w:eastAsia="Calibri" w:hAnsi="Arial" w:cs="Arial"/>
                <w:bCs/>
                <w:color w:val="000000"/>
                <w:sz w:val="16"/>
                <w:szCs w:val="16"/>
              </w:rPr>
            </w:pPr>
            <w:r w:rsidRPr="00587444">
              <w:rPr>
                <w:rFonts w:ascii="Arial" w:eastAsia="Calibri" w:hAnsi="Arial"/>
                <w:color w:val="000000"/>
                <w:sz w:val="16"/>
                <w:lang w:val="hr-HR"/>
              </w:rPr>
              <w:t>45</w:t>
            </w:r>
          </w:p>
        </w:tc>
      </w:tr>
      <w:tr w:rsidR="00587444" w:rsidRPr="00587444" w14:paraId="36EAFEC9" w14:textId="77777777" w:rsidTr="00DD69E7">
        <w:trPr>
          <w:trHeight w:val="227"/>
        </w:trPr>
        <w:tc>
          <w:tcPr>
            <w:tcW w:w="4252" w:type="dxa"/>
            <w:gridSpan w:val="7"/>
            <w:tcBorders>
              <w:top w:val="nil"/>
              <w:left w:val="nil"/>
            </w:tcBorders>
            <w:shd w:val="clear" w:color="auto" w:fill="auto"/>
            <w:noWrap/>
            <w:vAlign w:val="bottom"/>
          </w:tcPr>
          <w:p w14:paraId="6B027E82" w14:textId="77777777" w:rsidR="00587444" w:rsidRPr="00587444" w:rsidRDefault="00587444" w:rsidP="00587444">
            <w:pPr>
              <w:suppressAutoHyphens w:val="0"/>
              <w:autoSpaceDN/>
              <w:jc w:val="both"/>
              <w:rPr>
                <w:rFonts w:ascii="Arial" w:eastAsia="Calibri" w:hAnsi="Arial" w:cs="Arial"/>
                <w:color w:val="000000"/>
                <w:sz w:val="16"/>
                <w:szCs w:val="16"/>
              </w:rPr>
            </w:pPr>
            <w:r w:rsidRPr="00587444">
              <w:rPr>
                <w:rFonts w:ascii="Arial" w:eastAsia="Calibri" w:hAnsi="Arial" w:cs="Arial"/>
                <w:iCs/>
                <w:sz w:val="16"/>
                <w:szCs w:val="16"/>
                <w:lang w:eastAsia="hr-HR"/>
              </w:rPr>
              <w:t>Investments in shares of foreign financial institutions - EIF</w:t>
            </w:r>
          </w:p>
        </w:tc>
        <w:tc>
          <w:tcPr>
            <w:tcW w:w="1136" w:type="dxa"/>
            <w:tcBorders>
              <w:top w:val="nil"/>
              <w:right w:val="nil"/>
            </w:tcBorders>
            <w:shd w:val="clear" w:color="auto" w:fill="auto"/>
            <w:vAlign w:val="bottom"/>
          </w:tcPr>
          <w:p w14:paraId="59BC3D15" w14:textId="77777777" w:rsidR="00587444" w:rsidRPr="00587444" w:rsidRDefault="00587444" w:rsidP="00587444">
            <w:pPr>
              <w:suppressAutoHyphens w:val="0"/>
              <w:autoSpaceDN/>
              <w:jc w:val="both"/>
              <w:rPr>
                <w:rFonts w:ascii="Arial" w:eastAsia="Calibri" w:hAnsi="Arial" w:cs="Arial"/>
                <w:color w:val="000000"/>
                <w:sz w:val="16"/>
                <w:szCs w:val="16"/>
              </w:rPr>
            </w:pPr>
          </w:p>
        </w:tc>
        <w:tc>
          <w:tcPr>
            <w:tcW w:w="1273" w:type="dxa"/>
            <w:gridSpan w:val="2"/>
            <w:tcBorders>
              <w:left w:val="nil"/>
              <w:bottom w:val="single" w:sz="4" w:space="0" w:color="auto"/>
              <w:right w:val="nil"/>
            </w:tcBorders>
            <w:vAlign w:val="bottom"/>
          </w:tcPr>
          <w:p w14:paraId="25803236" w14:textId="77777777" w:rsidR="00587444" w:rsidRPr="00587444" w:rsidRDefault="00587444" w:rsidP="00587444">
            <w:pPr>
              <w:suppressAutoHyphens w:val="0"/>
              <w:autoSpaceDN/>
              <w:jc w:val="right"/>
              <w:rPr>
                <w:rFonts w:ascii="Arial" w:eastAsia="Calibri" w:hAnsi="Arial" w:cs="Arial"/>
                <w:bCs/>
                <w:color w:val="000000"/>
                <w:sz w:val="16"/>
                <w:szCs w:val="16"/>
              </w:rPr>
            </w:pPr>
            <w:r w:rsidRPr="00587444">
              <w:rPr>
                <w:rFonts w:ascii="Arial" w:eastAsia="Calibri" w:hAnsi="Arial" w:cs="Arial"/>
                <w:bCs/>
                <w:color w:val="000000"/>
                <w:sz w:val="16"/>
                <w:szCs w:val="16"/>
              </w:rPr>
              <w:t>53,120</w:t>
            </w:r>
          </w:p>
        </w:tc>
        <w:tc>
          <w:tcPr>
            <w:tcW w:w="1417" w:type="dxa"/>
            <w:tcBorders>
              <w:top w:val="nil"/>
              <w:left w:val="nil"/>
              <w:bottom w:val="single" w:sz="4" w:space="0" w:color="auto"/>
              <w:right w:val="nil"/>
            </w:tcBorders>
            <w:shd w:val="clear" w:color="auto" w:fill="auto"/>
            <w:vAlign w:val="bottom"/>
          </w:tcPr>
          <w:p w14:paraId="42130474" w14:textId="77777777" w:rsidR="00587444" w:rsidRPr="00587444" w:rsidRDefault="00587444" w:rsidP="00587444">
            <w:pPr>
              <w:suppressAutoHyphens w:val="0"/>
              <w:autoSpaceDN/>
              <w:jc w:val="right"/>
              <w:rPr>
                <w:rFonts w:ascii="Arial" w:eastAsia="Calibri" w:hAnsi="Arial" w:cs="Arial"/>
                <w:bCs/>
                <w:color w:val="000000"/>
                <w:sz w:val="16"/>
                <w:szCs w:val="16"/>
              </w:rPr>
            </w:pPr>
            <w:r w:rsidRPr="00587444">
              <w:rPr>
                <w:rFonts w:ascii="Arial" w:eastAsia="Calibri" w:hAnsi="Arial" w:cs="Arial"/>
                <w:bCs/>
                <w:color w:val="000000"/>
                <w:sz w:val="16"/>
                <w:szCs w:val="16"/>
              </w:rPr>
              <w:t>42,971</w:t>
            </w:r>
          </w:p>
        </w:tc>
        <w:tc>
          <w:tcPr>
            <w:tcW w:w="1136" w:type="dxa"/>
            <w:tcBorders>
              <w:left w:val="nil"/>
              <w:bottom w:val="single" w:sz="4" w:space="0" w:color="auto"/>
              <w:right w:val="nil"/>
            </w:tcBorders>
            <w:vAlign w:val="bottom"/>
          </w:tcPr>
          <w:p w14:paraId="6E9EB0E0" w14:textId="77777777" w:rsidR="00587444" w:rsidRPr="00587444" w:rsidRDefault="00587444" w:rsidP="00587444">
            <w:pPr>
              <w:suppressAutoHyphens w:val="0"/>
              <w:autoSpaceDN/>
              <w:jc w:val="right"/>
              <w:rPr>
                <w:rFonts w:ascii="Arial" w:eastAsia="Calibri" w:hAnsi="Arial" w:cs="Arial"/>
                <w:bCs/>
                <w:color w:val="000000"/>
                <w:sz w:val="16"/>
                <w:szCs w:val="16"/>
              </w:rPr>
            </w:pPr>
            <w:r w:rsidRPr="00587444">
              <w:rPr>
                <w:rFonts w:ascii="Arial" w:eastAsia="Calibri" w:hAnsi="Arial" w:cs="Arial"/>
                <w:bCs/>
                <w:color w:val="000000"/>
                <w:sz w:val="16"/>
                <w:szCs w:val="16"/>
                <w:lang w:val="hr-HR"/>
              </w:rPr>
              <w:t>53,120</w:t>
            </w:r>
          </w:p>
        </w:tc>
        <w:tc>
          <w:tcPr>
            <w:tcW w:w="1417" w:type="dxa"/>
            <w:gridSpan w:val="2"/>
            <w:tcBorders>
              <w:top w:val="nil"/>
              <w:left w:val="nil"/>
              <w:bottom w:val="single" w:sz="4" w:space="0" w:color="auto"/>
              <w:right w:val="nil"/>
            </w:tcBorders>
            <w:shd w:val="clear" w:color="auto" w:fill="auto"/>
            <w:vAlign w:val="bottom"/>
          </w:tcPr>
          <w:p w14:paraId="58F4804D" w14:textId="77777777" w:rsidR="00587444" w:rsidRPr="00587444" w:rsidRDefault="00587444" w:rsidP="00587444">
            <w:pPr>
              <w:suppressAutoHyphens w:val="0"/>
              <w:autoSpaceDN/>
              <w:jc w:val="right"/>
              <w:rPr>
                <w:rFonts w:ascii="Arial" w:eastAsia="Calibri" w:hAnsi="Arial" w:cs="Arial"/>
                <w:bCs/>
                <w:color w:val="000000"/>
                <w:sz w:val="16"/>
                <w:szCs w:val="16"/>
              </w:rPr>
            </w:pPr>
            <w:r w:rsidRPr="00587444">
              <w:rPr>
                <w:rFonts w:ascii="Arial" w:eastAsia="Calibri" w:hAnsi="Arial"/>
                <w:color w:val="000000"/>
                <w:sz w:val="16"/>
                <w:lang w:val="hr-HR"/>
              </w:rPr>
              <w:t>42,971</w:t>
            </w:r>
          </w:p>
        </w:tc>
      </w:tr>
      <w:tr w:rsidR="00587444" w:rsidRPr="00587444" w14:paraId="1C959F73" w14:textId="77777777" w:rsidTr="00DD69E7">
        <w:trPr>
          <w:trHeight w:val="227"/>
        </w:trPr>
        <w:tc>
          <w:tcPr>
            <w:tcW w:w="1979" w:type="dxa"/>
            <w:tcBorders>
              <w:top w:val="single" w:sz="4" w:space="0" w:color="auto"/>
              <w:bottom w:val="single" w:sz="12" w:space="0" w:color="auto"/>
            </w:tcBorders>
            <w:noWrap/>
            <w:vAlign w:val="bottom"/>
          </w:tcPr>
          <w:p w14:paraId="703D45AD" w14:textId="77777777" w:rsidR="00587444" w:rsidRPr="00587444" w:rsidRDefault="00587444" w:rsidP="00587444">
            <w:pPr>
              <w:suppressAutoHyphens w:val="0"/>
              <w:autoSpaceDN/>
              <w:jc w:val="both"/>
              <w:rPr>
                <w:rFonts w:ascii="Arial" w:eastAsia="Calibri" w:hAnsi="Arial" w:cs="Arial"/>
                <w:spacing w:val="-2"/>
                <w:sz w:val="16"/>
                <w:szCs w:val="16"/>
              </w:rPr>
            </w:pPr>
          </w:p>
        </w:tc>
        <w:tc>
          <w:tcPr>
            <w:tcW w:w="1134" w:type="dxa"/>
            <w:gridSpan w:val="2"/>
            <w:tcBorders>
              <w:top w:val="single" w:sz="4" w:space="0" w:color="auto"/>
              <w:left w:val="nil"/>
              <w:bottom w:val="single" w:sz="12" w:space="0" w:color="auto"/>
              <w:right w:val="nil"/>
            </w:tcBorders>
            <w:shd w:val="clear" w:color="auto" w:fill="auto"/>
            <w:noWrap/>
            <w:vAlign w:val="bottom"/>
          </w:tcPr>
          <w:p w14:paraId="79A6E3D2" w14:textId="77777777" w:rsidR="00587444" w:rsidRPr="00587444" w:rsidRDefault="00587444" w:rsidP="00587444">
            <w:pPr>
              <w:suppressAutoHyphens w:val="0"/>
              <w:autoSpaceDN/>
              <w:jc w:val="right"/>
              <w:rPr>
                <w:rFonts w:ascii="Arial" w:eastAsia="Calibri" w:hAnsi="Arial" w:cs="Arial"/>
                <w:color w:val="000000"/>
                <w:sz w:val="16"/>
                <w:szCs w:val="16"/>
              </w:rPr>
            </w:pPr>
          </w:p>
        </w:tc>
        <w:tc>
          <w:tcPr>
            <w:tcW w:w="1139" w:type="dxa"/>
            <w:gridSpan w:val="4"/>
            <w:tcBorders>
              <w:top w:val="single" w:sz="4" w:space="0" w:color="auto"/>
              <w:left w:val="nil"/>
              <w:bottom w:val="single" w:sz="12" w:space="0" w:color="auto"/>
            </w:tcBorders>
            <w:shd w:val="clear" w:color="auto" w:fill="auto"/>
            <w:noWrap/>
            <w:vAlign w:val="bottom"/>
          </w:tcPr>
          <w:p w14:paraId="127EF7BD" w14:textId="77777777" w:rsidR="00587444" w:rsidRPr="00587444" w:rsidRDefault="00587444" w:rsidP="00587444">
            <w:pPr>
              <w:suppressAutoHyphens w:val="0"/>
              <w:autoSpaceDN/>
              <w:jc w:val="right"/>
              <w:rPr>
                <w:rFonts w:ascii="Arial" w:eastAsia="Calibri" w:hAnsi="Arial" w:cs="Arial"/>
                <w:color w:val="000000"/>
                <w:sz w:val="16"/>
                <w:szCs w:val="16"/>
              </w:rPr>
            </w:pPr>
          </w:p>
        </w:tc>
        <w:tc>
          <w:tcPr>
            <w:tcW w:w="1136" w:type="dxa"/>
            <w:tcBorders>
              <w:top w:val="single" w:sz="4" w:space="0" w:color="auto"/>
              <w:bottom w:val="single" w:sz="12" w:space="0" w:color="auto"/>
              <w:right w:val="nil"/>
            </w:tcBorders>
            <w:shd w:val="clear" w:color="auto" w:fill="auto"/>
            <w:noWrap/>
            <w:vAlign w:val="bottom"/>
          </w:tcPr>
          <w:p w14:paraId="2BF2B84C" w14:textId="77777777" w:rsidR="00587444" w:rsidRPr="00587444" w:rsidRDefault="00587444" w:rsidP="00587444">
            <w:pPr>
              <w:suppressAutoHyphens w:val="0"/>
              <w:autoSpaceDN/>
              <w:jc w:val="both"/>
              <w:rPr>
                <w:rFonts w:ascii="Arial" w:eastAsia="Calibri" w:hAnsi="Arial" w:cs="Arial"/>
                <w:color w:val="000000"/>
                <w:sz w:val="16"/>
                <w:szCs w:val="16"/>
              </w:rPr>
            </w:pPr>
          </w:p>
        </w:tc>
        <w:tc>
          <w:tcPr>
            <w:tcW w:w="1273" w:type="dxa"/>
            <w:gridSpan w:val="2"/>
            <w:tcBorders>
              <w:top w:val="single" w:sz="4" w:space="0" w:color="auto"/>
              <w:left w:val="nil"/>
              <w:bottom w:val="single" w:sz="12" w:space="0" w:color="auto"/>
              <w:right w:val="nil"/>
            </w:tcBorders>
            <w:vAlign w:val="bottom"/>
          </w:tcPr>
          <w:p w14:paraId="1994FCA6" w14:textId="77777777" w:rsidR="00587444" w:rsidRPr="00587444" w:rsidRDefault="00587444" w:rsidP="00587444">
            <w:pPr>
              <w:suppressAutoHyphens w:val="0"/>
              <w:autoSpaceDN/>
              <w:jc w:val="right"/>
              <w:rPr>
                <w:rFonts w:ascii="Arial" w:eastAsia="Calibri" w:hAnsi="Arial" w:cs="Arial"/>
                <w:b/>
                <w:sz w:val="16"/>
                <w:szCs w:val="16"/>
              </w:rPr>
            </w:pPr>
            <w:r w:rsidRPr="00587444">
              <w:rPr>
                <w:rFonts w:ascii="Arial" w:eastAsia="Calibri" w:hAnsi="Arial" w:cs="Arial"/>
                <w:b/>
                <w:bCs/>
                <w:color w:val="000000"/>
                <w:sz w:val="16"/>
                <w:szCs w:val="16"/>
                <w:lang w:val="hr-HR"/>
              </w:rPr>
              <w:t>53,175</w:t>
            </w:r>
          </w:p>
        </w:tc>
        <w:tc>
          <w:tcPr>
            <w:tcW w:w="1417" w:type="dxa"/>
            <w:tcBorders>
              <w:top w:val="single" w:sz="4" w:space="0" w:color="auto"/>
              <w:left w:val="nil"/>
              <w:bottom w:val="single" w:sz="12" w:space="0" w:color="auto"/>
              <w:right w:val="nil"/>
            </w:tcBorders>
            <w:vAlign w:val="bottom"/>
          </w:tcPr>
          <w:p w14:paraId="03AD3943" w14:textId="77777777" w:rsidR="00587444" w:rsidRPr="00587444" w:rsidRDefault="00587444" w:rsidP="00587444">
            <w:pPr>
              <w:suppressAutoHyphens w:val="0"/>
              <w:autoSpaceDN/>
              <w:jc w:val="right"/>
              <w:rPr>
                <w:rFonts w:ascii="Arial" w:eastAsia="Calibri" w:hAnsi="Arial" w:cs="Arial"/>
                <w:b/>
                <w:sz w:val="16"/>
                <w:szCs w:val="16"/>
              </w:rPr>
            </w:pPr>
            <w:r w:rsidRPr="00587444">
              <w:rPr>
                <w:rFonts w:ascii="Arial" w:eastAsia="Calibri" w:hAnsi="Arial"/>
                <w:b/>
                <w:color w:val="000000"/>
                <w:sz w:val="16"/>
                <w:lang w:val="hr-HR"/>
              </w:rPr>
              <w:t>43,016</w:t>
            </w:r>
          </w:p>
        </w:tc>
        <w:tc>
          <w:tcPr>
            <w:tcW w:w="1136" w:type="dxa"/>
            <w:tcBorders>
              <w:top w:val="single" w:sz="4" w:space="0" w:color="auto"/>
              <w:left w:val="nil"/>
              <w:bottom w:val="single" w:sz="12" w:space="0" w:color="auto"/>
              <w:right w:val="nil"/>
            </w:tcBorders>
            <w:shd w:val="clear" w:color="auto" w:fill="auto"/>
            <w:vAlign w:val="bottom"/>
          </w:tcPr>
          <w:p w14:paraId="277A615C" w14:textId="77777777" w:rsidR="00587444" w:rsidRPr="00587444" w:rsidRDefault="00587444" w:rsidP="00587444">
            <w:pPr>
              <w:suppressAutoHyphens w:val="0"/>
              <w:autoSpaceDN/>
              <w:jc w:val="right"/>
              <w:rPr>
                <w:rFonts w:ascii="Arial" w:eastAsia="Calibri" w:hAnsi="Arial" w:cs="Arial"/>
                <w:b/>
                <w:sz w:val="16"/>
                <w:szCs w:val="16"/>
              </w:rPr>
            </w:pPr>
            <w:r w:rsidRPr="00587444">
              <w:rPr>
                <w:rFonts w:ascii="Arial" w:eastAsia="Calibri" w:hAnsi="Arial" w:cs="Arial"/>
                <w:b/>
                <w:bCs/>
                <w:color w:val="000000"/>
                <w:sz w:val="16"/>
                <w:szCs w:val="16"/>
                <w:lang w:val="hr-HR"/>
              </w:rPr>
              <w:t>53,175</w:t>
            </w:r>
          </w:p>
        </w:tc>
        <w:tc>
          <w:tcPr>
            <w:tcW w:w="1417" w:type="dxa"/>
            <w:gridSpan w:val="2"/>
            <w:tcBorders>
              <w:top w:val="single" w:sz="4" w:space="0" w:color="auto"/>
              <w:left w:val="nil"/>
              <w:bottom w:val="single" w:sz="12" w:space="0" w:color="auto"/>
              <w:right w:val="nil"/>
            </w:tcBorders>
            <w:shd w:val="clear" w:color="auto" w:fill="auto"/>
            <w:vAlign w:val="bottom"/>
          </w:tcPr>
          <w:p w14:paraId="1CF5CBBC" w14:textId="77777777" w:rsidR="00587444" w:rsidRPr="00587444" w:rsidRDefault="00587444" w:rsidP="00587444">
            <w:pPr>
              <w:suppressAutoHyphens w:val="0"/>
              <w:autoSpaceDN/>
              <w:jc w:val="right"/>
              <w:rPr>
                <w:rFonts w:ascii="Arial" w:eastAsia="Calibri" w:hAnsi="Arial" w:cs="Arial"/>
                <w:b/>
                <w:sz w:val="16"/>
                <w:szCs w:val="16"/>
              </w:rPr>
            </w:pPr>
            <w:r w:rsidRPr="00587444">
              <w:rPr>
                <w:rFonts w:ascii="Arial" w:eastAsia="Calibri" w:hAnsi="Arial" w:cs="Arial"/>
                <w:b/>
                <w:bCs/>
                <w:color w:val="000000"/>
                <w:sz w:val="16"/>
                <w:szCs w:val="16"/>
              </w:rPr>
              <w:t>43,016</w:t>
            </w:r>
          </w:p>
        </w:tc>
      </w:tr>
      <w:tr w:rsidR="00587444" w:rsidRPr="00587444" w14:paraId="6FDB486E" w14:textId="77777777" w:rsidTr="00DD69E7">
        <w:trPr>
          <w:trHeight w:hRule="exact" w:val="283"/>
        </w:trPr>
        <w:tc>
          <w:tcPr>
            <w:tcW w:w="1979" w:type="dxa"/>
            <w:tcBorders>
              <w:top w:val="single" w:sz="12" w:space="0" w:color="auto"/>
              <w:bottom w:val="single" w:sz="12" w:space="0" w:color="auto"/>
            </w:tcBorders>
            <w:noWrap/>
            <w:vAlign w:val="bottom"/>
          </w:tcPr>
          <w:p w14:paraId="3312C270" w14:textId="77777777" w:rsidR="00587444" w:rsidRPr="00587444" w:rsidRDefault="00587444" w:rsidP="00587444">
            <w:pPr>
              <w:suppressAutoHyphens w:val="0"/>
              <w:autoSpaceDN/>
              <w:jc w:val="both"/>
              <w:rPr>
                <w:rFonts w:ascii="Arial" w:eastAsia="Calibri" w:hAnsi="Arial" w:cs="Arial"/>
                <w:b/>
                <w:spacing w:val="-2"/>
                <w:sz w:val="16"/>
                <w:szCs w:val="16"/>
              </w:rPr>
            </w:pPr>
            <w:r w:rsidRPr="00587444">
              <w:rPr>
                <w:rFonts w:ascii="Arial" w:eastAsia="Calibri" w:hAnsi="Arial" w:cs="Arial"/>
                <w:b/>
                <w:spacing w:val="-2"/>
                <w:sz w:val="16"/>
                <w:szCs w:val="16"/>
              </w:rPr>
              <w:t>Total</w:t>
            </w:r>
          </w:p>
        </w:tc>
        <w:tc>
          <w:tcPr>
            <w:tcW w:w="1134" w:type="dxa"/>
            <w:gridSpan w:val="2"/>
            <w:tcBorders>
              <w:top w:val="single" w:sz="12" w:space="0" w:color="auto"/>
              <w:left w:val="nil"/>
              <w:bottom w:val="single" w:sz="12" w:space="0" w:color="auto"/>
              <w:right w:val="nil"/>
            </w:tcBorders>
            <w:shd w:val="clear" w:color="auto" w:fill="auto"/>
            <w:noWrap/>
            <w:vAlign w:val="bottom"/>
          </w:tcPr>
          <w:p w14:paraId="71BA1D59" w14:textId="77777777" w:rsidR="00587444" w:rsidRPr="00587444" w:rsidRDefault="00587444" w:rsidP="00587444">
            <w:pPr>
              <w:suppressAutoHyphens w:val="0"/>
              <w:autoSpaceDN/>
              <w:jc w:val="right"/>
              <w:rPr>
                <w:rFonts w:ascii="Arial" w:eastAsia="Calibri" w:hAnsi="Arial" w:cs="Arial"/>
                <w:color w:val="000000"/>
                <w:sz w:val="16"/>
                <w:szCs w:val="16"/>
              </w:rPr>
            </w:pPr>
          </w:p>
        </w:tc>
        <w:tc>
          <w:tcPr>
            <w:tcW w:w="1139" w:type="dxa"/>
            <w:gridSpan w:val="4"/>
            <w:tcBorders>
              <w:top w:val="single" w:sz="12" w:space="0" w:color="auto"/>
              <w:left w:val="nil"/>
              <w:bottom w:val="single" w:sz="12" w:space="0" w:color="auto"/>
              <w:right w:val="nil"/>
            </w:tcBorders>
            <w:shd w:val="clear" w:color="auto" w:fill="auto"/>
            <w:noWrap/>
            <w:vAlign w:val="bottom"/>
          </w:tcPr>
          <w:p w14:paraId="0C04D74C" w14:textId="77777777" w:rsidR="00587444" w:rsidRPr="00587444" w:rsidRDefault="00587444" w:rsidP="00587444">
            <w:pPr>
              <w:suppressAutoHyphens w:val="0"/>
              <w:autoSpaceDN/>
              <w:jc w:val="right"/>
              <w:rPr>
                <w:rFonts w:ascii="Arial" w:eastAsia="Calibri" w:hAnsi="Arial" w:cs="Arial"/>
                <w:color w:val="000000"/>
                <w:sz w:val="16"/>
                <w:szCs w:val="16"/>
              </w:rPr>
            </w:pPr>
          </w:p>
        </w:tc>
        <w:tc>
          <w:tcPr>
            <w:tcW w:w="1136" w:type="dxa"/>
            <w:tcBorders>
              <w:top w:val="single" w:sz="12" w:space="0" w:color="auto"/>
              <w:left w:val="nil"/>
              <w:bottom w:val="single" w:sz="12" w:space="0" w:color="auto"/>
              <w:right w:val="nil"/>
            </w:tcBorders>
            <w:shd w:val="clear" w:color="auto" w:fill="auto"/>
            <w:noWrap/>
            <w:vAlign w:val="bottom"/>
          </w:tcPr>
          <w:p w14:paraId="30C42ABE" w14:textId="77777777" w:rsidR="00587444" w:rsidRPr="00587444" w:rsidRDefault="00587444" w:rsidP="00587444">
            <w:pPr>
              <w:suppressAutoHyphens w:val="0"/>
              <w:autoSpaceDN/>
              <w:jc w:val="both"/>
              <w:rPr>
                <w:rFonts w:ascii="Arial" w:eastAsia="Calibri" w:hAnsi="Arial" w:cs="Arial"/>
                <w:color w:val="000000"/>
                <w:sz w:val="16"/>
                <w:szCs w:val="16"/>
              </w:rPr>
            </w:pPr>
          </w:p>
        </w:tc>
        <w:tc>
          <w:tcPr>
            <w:tcW w:w="1273" w:type="dxa"/>
            <w:gridSpan w:val="2"/>
            <w:tcBorders>
              <w:top w:val="single" w:sz="12" w:space="0" w:color="auto"/>
              <w:left w:val="nil"/>
              <w:bottom w:val="single" w:sz="12" w:space="0" w:color="auto"/>
              <w:right w:val="nil"/>
            </w:tcBorders>
            <w:vAlign w:val="bottom"/>
          </w:tcPr>
          <w:p w14:paraId="70A89456" w14:textId="77777777" w:rsidR="00587444" w:rsidRPr="00587444" w:rsidRDefault="00587444" w:rsidP="00587444">
            <w:pPr>
              <w:suppressAutoHyphens w:val="0"/>
              <w:autoSpaceDN/>
              <w:jc w:val="right"/>
              <w:rPr>
                <w:rFonts w:ascii="Arial" w:eastAsia="Calibri" w:hAnsi="Arial" w:cs="Arial"/>
                <w:b/>
                <w:sz w:val="16"/>
                <w:szCs w:val="16"/>
              </w:rPr>
            </w:pPr>
            <w:r w:rsidRPr="00587444">
              <w:rPr>
                <w:rFonts w:ascii="Arial" w:eastAsia="Calibri" w:hAnsi="Arial" w:cs="Arial"/>
                <w:b/>
                <w:color w:val="000000"/>
                <w:sz w:val="16"/>
                <w:szCs w:val="16"/>
                <w:lang w:val="hr-HR"/>
              </w:rPr>
              <w:t>2,686,622</w:t>
            </w:r>
          </w:p>
        </w:tc>
        <w:tc>
          <w:tcPr>
            <w:tcW w:w="1417" w:type="dxa"/>
            <w:tcBorders>
              <w:top w:val="single" w:sz="12" w:space="0" w:color="auto"/>
              <w:left w:val="nil"/>
              <w:bottom w:val="single" w:sz="12" w:space="0" w:color="auto"/>
              <w:right w:val="nil"/>
            </w:tcBorders>
            <w:vAlign w:val="bottom"/>
          </w:tcPr>
          <w:p w14:paraId="0E4F94DE" w14:textId="77777777" w:rsidR="00587444" w:rsidRPr="00587444" w:rsidRDefault="00587444" w:rsidP="00587444">
            <w:pPr>
              <w:suppressAutoHyphens w:val="0"/>
              <w:autoSpaceDN/>
              <w:jc w:val="right"/>
              <w:rPr>
                <w:rFonts w:ascii="Arial" w:eastAsia="Calibri" w:hAnsi="Arial" w:cs="Arial"/>
                <w:b/>
                <w:sz w:val="16"/>
                <w:szCs w:val="16"/>
              </w:rPr>
            </w:pPr>
            <w:r w:rsidRPr="00587444">
              <w:rPr>
                <w:rFonts w:ascii="Arial" w:eastAsia="Calibri" w:hAnsi="Arial"/>
                <w:b/>
                <w:color w:val="000000"/>
                <w:sz w:val="16"/>
                <w:lang w:val="hr-HR"/>
              </w:rPr>
              <w:t>2,972,530</w:t>
            </w:r>
          </w:p>
        </w:tc>
        <w:tc>
          <w:tcPr>
            <w:tcW w:w="1136" w:type="dxa"/>
            <w:tcBorders>
              <w:top w:val="single" w:sz="12" w:space="0" w:color="auto"/>
              <w:left w:val="nil"/>
              <w:bottom w:val="single" w:sz="12" w:space="0" w:color="auto"/>
              <w:right w:val="nil"/>
            </w:tcBorders>
            <w:shd w:val="clear" w:color="auto" w:fill="auto"/>
            <w:vAlign w:val="bottom"/>
          </w:tcPr>
          <w:p w14:paraId="1E0EB23C" w14:textId="77777777" w:rsidR="00587444" w:rsidRPr="00587444" w:rsidRDefault="00587444" w:rsidP="00587444">
            <w:pPr>
              <w:suppressAutoHyphens w:val="0"/>
              <w:autoSpaceDN/>
              <w:jc w:val="right"/>
              <w:rPr>
                <w:rFonts w:ascii="Arial" w:eastAsia="Calibri" w:hAnsi="Arial" w:cs="Arial"/>
                <w:b/>
                <w:sz w:val="16"/>
                <w:szCs w:val="16"/>
              </w:rPr>
            </w:pPr>
            <w:r w:rsidRPr="00587444">
              <w:rPr>
                <w:rFonts w:ascii="Arial" w:eastAsia="Calibri" w:hAnsi="Arial" w:cs="Arial"/>
                <w:b/>
                <w:color w:val="000000"/>
                <w:sz w:val="16"/>
                <w:szCs w:val="16"/>
                <w:lang w:val="hr-HR"/>
              </w:rPr>
              <w:t>2,639,472</w:t>
            </w:r>
          </w:p>
        </w:tc>
        <w:tc>
          <w:tcPr>
            <w:tcW w:w="1417" w:type="dxa"/>
            <w:gridSpan w:val="2"/>
            <w:tcBorders>
              <w:top w:val="single" w:sz="12" w:space="0" w:color="auto"/>
              <w:left w:val="nil"/>
              <w:bottom w:val="single" w:sz="12" w:space="0" w:color="auto"/>
              <w:right w:val="nil"/>
            </w:tcBorders>
            <w:shd w:val="clear" w:color="auto" w:fill="auto"/>
            <w:vAlign w:val="bottom"/>
          </w:tcPr>
          <w:p w14:paraId="34D87A5E" w14:textId="77777777" w:rsidR="00587444" w:rsidRPr="00587444" w:rsidRDefault="00587444" w:rsidP="00587444">
            <w:pPr>
              <w:suppressAutoHyphens w:val="0"/>
              <w:autoSpaceDN/>
              <w:jc w:val="right"/>
              <w:rPr>
                <w:rFonts w:ascii="Arial" w:eastAsia="Calibri" w:hAnsi="Arial" w:cs="Arial"/>
                <w:b/>
                <w:sz w:val="16"/>
                <w:szCs w:val="16"/>
              </w:rPr>
            </w:pPr>
            <w:r w:rsidRPr="00587444">
              <w:rPr>
                <w:rFonts w:ascii="Arial" w:eastAsia="Calibri" w:hAnsi="Arial" w:cs="Arial"/>
                <w:b/>
                <w:color w:val="000000"/>
                <w:sz w:val="16"/>
                <w:szCs w:val="16"/>
              </w:rPr>
              <w:t>2,915,704</w:t>
            </w:r>
          </w:p>
        </w:tc>
      </w:tr>
    </w:tbl>
    <w:p w14:paraId="4A768D76" w14:textId="77777777" w:rsidR="00587444" w:rsidRPr="00587444" w:rsidRDefault="00587444" w:rsidP="00587444">
      <w:pPr>
        <w:keepNext/>
        <w:suppressAutoHyphens w:val="0"/>
        <w:autoSpaceDN/>
        <w:jc w:val="both"/>
        <w:rPr>
          <w:rFonts w:ascii="Arial" w:hAnsi="Arial" w:cs="Arial"/>
          <w:b/>
          <w:bCs/>
          <w:sz w:val="20"/>
          <w:szCs w:val="20"/>
          <w:lang w:val="en-GB"/>
        </w:rPr>
        <w:sectPr w:rsidR="00587444" w:rsidRPr="00587444" w:rsidSect="00DD69E7">
          <w:pgSz w:w="11907" w:h="16840" w:code="9"/>
          <w:pgMar w:top="1418" w:right="1134" w:bottom="1134" w:left="1418" w:header="851" w:footer="851" w:gutter="0"/>
          <w:cols w:space="720"/>
          <w:noEndnote/>
        </w:sectPr>
      </w:pPr>
    </w:p>
    <w:p w14:paraId="411DB81E" w14:textId="77777777" w:rsidR="00587444" w:rsidRPr="00587444" w:rsidRDefault="00587444" w:rsidP="00587444">
      <w:pPr>
        <w:keepNext/>
        <w:suppressAutoHyphens w:val="0"/>
        <w:autoSpaceDN/>
        <w:jc w:val="both"/>
        <w:rPr>
          <w:rFonts w:ascii="Arial" w:hAnsi="Arial" w:cs="Arial"/>
          <w:b/>
          <w:bCs/>
          <w:sz w:val="20"/>
          <w:szCs w:val="20"/>
          <w:lang w:val="en-GB"/>
        </w:rPr>
      </w:pPr>
    </w:p>
    <w:p w14:paraId="2C2D1EFB"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18.</w:t>
      </w:r>
      <w:r w:rsidRPr="00587444">
        <w:rPr>
          <w:rFonts w:ascii="Arial" w:hAnsi="Arial" w:cs="Arial"/>
          <w:b/>
          <w:bCs/>
          <w:sz w:val="20"/>
          <w:szCs w:val="20"/>
          <w:lang w:val="en-GB"/>
        </w:rPr>
        <w:tab/>
        <w:t>Investments in subsidiaries</w:t>
      </w:r>
    </w:p>
    <w:p w14:paraId="5A0A52FB"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91E522E" w14:textId="77777777" w:rsidR="00587444" w:rsidRPr="00587444"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 xml:space="preserve">As </w:t>
      </w:r>
      <w:proofErr w:type="gramStart"/>
      <w:r w:rsidRPr="00587444">
        <w:rPr>
          <w:rFonts w:ascii="Arial" w:hAnsi="Arial" w:cs="Arial"/>
          <w:sz w:val="20"/>
          <w:szCs w:val="20"/>
          <w:lang w:val="en-GB"/>
        </w:rPr>
        <w:t>at</w:t>
      </w:r>
      <w:proofErr w:type="gramEnd"/>
      <w:r w:rsidRPr="00587444">
        <w:rPr>
          <w:rFonts w:ascii="Arial" w:hAnsi="Arial" w:cs="Arial"/>
          <w:sz w:val="20"/>
          <w:szCs w:val="20"/>
          <w:lang w:val="en-GB"/>
        </w:rPr>
        <w:t xml:space="preserve"> 31 December 2022, the Bank's subsidiaries are as follows:</w:t>
      </w:r>
    </w:p>
    <w:p w14:paraId="7B43973C" w14:textId="77777777" w:rsidR="00587444" w:rsidRPr="00587444" w:rsidRDefault="00587444" w:rsidP="00587444">
      <w:pPr>
        <w:suppressAutoHyphens w:val="0"/>
        <w:autoSpaceDN/>
        <w:jc w:val="both"/>
        <w:rPr>
          <w:rFonts w:ascii="Arial" w:hAnsi="Arial" w:cs="Arial"/>
          <w:sz w:val="20"/>
          <w:szCs w:val="20"/>
          <w:lang w:val="en-GB"/>
        </w:rPr>
      </w:pPr>
    </w:p>
    <w:tbl>
      <w:tblPr>
        <w:tblW w:w="0" w:type="auto"/>
        <w:jc w:val="center"/>
        <w:tblLook w:val="01E0" w:firstRow="1" w:lastRow="1" w:firstColumn="1" w:lastColumn="1" w:noHBand="0" w:noVBand="0"/>
      </w:tblPr>
      <w:tblGrid>
        <w:gridCol w:w="1825"/>
        <w:gridCol w:w="1577"/>
        <w:gridCol w:w="1457"/>
        <w:gridCol w:w="1480"/>
        <w:gridCol w:w="1481"/>
        <w:gridCol w:w="1535"/>
      </w:tblGrid>
      <w:tr w:rsidR="00587444" w:rsidRPr="00587444" w14:paraId="4EB5BA94" w14:textId="77777777" w:rsidTr="00DD69E7">
        <w:trPr>
          <w:trHeight w:hRule="exact" w:val="986"/>
          <w:jc w:val="center"/>
        </w:trPr>
        <w:tc>
          <w:tcPr>
            <w:tcW w:w="1825" w:type="dxa"/>
            <w:shd w:val="clear" w:color="auto" w:fill="auto"/>
            <w:vAlign w:val="center"/>
          </w:tcPr>
          <w:p w14:paraId="6B0DC18B" w14:textId="77777777" w:rsidR="00587444" w:rsidRPr="00587444" w:rsidRDefault="00587444" w:rsidP="00587444">
            <w:pPr>
              <w:tabs>
                <w:tab w:val="right" w:pos="1202"/>
              </w:tabs>
              <w:suppressAutoHyphens w:val="0"/>
              <w:autoSpaceDN/>
              <w:outlineLvl w:val="0"/>
              <w:rPr>
                <w:rFonts w:ascii="Arial" w:hAnsi="Arial" w:cs="Arial"/>
                <w:sz w:val="19"/>
                <w:szCs w:val="19"/>
                <w:lang w:val="en-GB"/>
              </w:rPr>
            </w:pPr>
            <w:bookmarkStart w:id="754" w:name="_Toc4059150"/>
            <w:r w:rsidRPr="00587444">
              <w:rPr>
                <w:rFonts w:ascii="Arial" w:hAnsi="Arial" w:cs="Arial"/>
                <w:sz w:val="19"/>
                <w:szCs w:val="19"/>
                <w:lang w:val="en-GB"/>
              </w:rPr>
              <w:t>Consolidated company</w:t>
            </w:r>
            <w:bookmarkEnd w:id="754"/>
          </w:p>
        </w:tc>
        <w:tc>
          <w:tcPr>
            <w:tcW w:w="1577" w:type="dxa"/>
            <w:shd w:val="clear" w:color="auto" w:fill="auto"/>
            <w:vAlign w:val="center"/>
          </w:tcPr>
          <w:p w14:paraId="09C6EF4E" w14:textId="77777777"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Activity</w:t>
            </w:r>
          </w:p>
        </w:tc>
        <w:tc>
          <w:tcPr>
            <w:tcW w:w="1457" w:type="dxa"/>
            <w:shd w:val="clear" w:color="auto" w:fill="auto"/>
            <w:vAlign w:val="center"/>
          </w:tcPr>
          <w:p w14:paraId="2FD735EA" w14:textId="77777777"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Ownership 31 December 2022</w:t>
            </w:r>
          </w:p>
        </w:tc>
        <w:tc>
          <w:tcPr>
            <w:tcW w:w="1480" w:type="dxa"/>
            <w:shd w:val="clear" w:color="auto" w:fill="auto"/>
            <w:vAlign w:val="center"/>
          </w:tcPr>
          <w:p w14:paraId="6E3C1CC9" w14:textId="77777777"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Ownership 31 December 2021</w:t>
            </w:r>
          </w:p>
        </w:tc>
        <w:tc>
          <w:tcPr>
            <w:tcW w:w="1481" w:type="dxa"/>
            <w:shd w:val="clear" w:color="auto" w:fill="auto"/>
            <w:vAlign w:val="center"/>
          </w:tcPr>
          <w:p w14:paraId="13292F80" w14:textId="77777777"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Investment 31 December 2022</w:t>
            </w:r>
          </w:p>
        </w:tc>
        <w:tc>
          <w:tcPr>
            <w:tcW w:w="1535" w:type="dxa"/>
            <w:shd w:val="clear" w:color="auto" w:fill="auto"/>
            <w:vAlign w:val="center"/>
          </w:tcPr>
          <w:p w14:paraId="2E100B4E" w14:textId="77777777"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 xml:space="preserve">Investment </w:t>
            </w:r>
          </w:p>
          <w:p w14:paraId="388E85F4" w14:textId="77777777"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31 December 2021</w:t>
            </w:r>
          </w:p>
        </w:tc>
      </w:tr>
      <w:tr w:rsidR="00587444" w:rsidRPr="00587444" w14:paraId="3DBDD276" w14:textId="77777777" w:rsidTr="00DD69E7">
        <w:trPr>
          <w:trHeight w:hRule="exact" w:val="313"/>
          <w:jc w:val="center"/>
        </w:trPr>
        <w:tc>
          <w:tcPr>
            <w:tcW w:w="1825" w:type="dxa"/>
            <w:shd w:val="clear" w:color="auto" w:fill="auto"/>
            <w:vAlign w:val="center"/>
          </w:tcPr>
          <w:p w14:paraId="2CC3B0E9" w14:textId="77777777" w:rsidR="00587444" w:rsidRPr="00587444" w:rsidRDefault="00587444" w:rsidP="00587444">
            <w:pPr>
              <w:tabs>
                <w:tab w:val="right" w:pos="1202"/>
              </w:tabs>
              <w:suppressAutoHyphens w:val="0"/>
              <w:autoSpaceDN/>
              <w:outlineLvl w:val="0"/>
              <w:rPr>
                <w:rFonts w:ascii="Arial" w:hAnsi="Arial" w:cs="Arial"/>
                <w:b/>
                <w:sz w:val="19"/>
                <w:szCs w:val="19"/>
                <w:lang w:val="en-GB"/>
              </w:rPr>
            </w:pPr>
            <w:bookmarkStart w:id="755" w:name="_Toc4059151"/>
            <w:r w:rsidRPr="00587444">
              <w:rPr>
                <w:rFonts w:ascii="Arial" w:hAnsi="Arial" w:cs="Arial"/>
                <w:b/>
                <w:sz w:val="19"/>
                <w:szCs w:val="19"/>
                <w:lang w:val="en-GB"/>
              </w:rPr>
              <w:t>Direct share</w:t>
            </w:r>
            <w:bookmarkEnd w:id="755"/>
          </w:p>
        </w:tc>
        <w:tc>
          <w:tcPr>
            <w:tcW w:w="1577" w:type="dxa"/>
            <w:shd w:val="clear" w:color="auto" w:fill="auto"/>
            <w:vAlign w:val="center"/>
          </w:tcPr>
          <w:p w14:paraId="6A6698C2" w14:textId="77777777" w:rsidR="00587444" w:rsidRPr="00587444" w:rsidRDefault="00587444" w:rsidP="00587444">
            <w:pPr>
              <w:suppressAutoHyphens w:val="0"/>
              <w:autoSpaceDN/>
              <w:rPr>
                <w:rFonts w:ascii="Arial" w:hAnsi="Arial" w:cs="Arial"/>
                <w:b/>
                <w:sz w:val="19"/>
                <w:szCs w:val="19"/>
                <w:lang w:val="en-GB"/>
              </w:rPr>
            </w:pPr>
          </w:p>
        </w:tc>
        <w:tc>
          <w:tcPr>
            <w:tcW w:w="1457" w:type="dxa"/>
            <w:shd w:val="clear" w:color="auto" w:fill="auto"/>
            <w:vAlign w:val="center"/>
          </w:tcPr>
          <w:p w14:paraId="7CFF3A91" w14:textId="77777777" w:rsidR="00587444" w:rsidRPr="00587444" w:rsidRDefault="00587444" w:rsidP="00587444">
            <w:pPr>
              <w:suppressAutoHyphens w:val="0"/>
              <w:autoSpaceDN/>
              <w:rPr>
                <w:rFonts w:ascii="Arial" w:hAnsi="Arial" w:cs="Arial"/>
                <w:b/>
                <w:sz w:val="19"/>
                <w:szCs w:val="19"/>
                <w:lang w:val="en-GB"/>
              </w:rPr>
            </w:pPr>
          </w:p>
        </w:tc>
        <w:tc>
          <w:tcPr>
            <w:tcW w:w="1480" w:type="dxa"/>
            <w:shd w:val="clear" w:color="auto" w:fill="auto"/>
            <w:vAlign w:val="center"/>
          </w:tcPr>
          <w:p w14:paraId="6676C2B0" w14:textId="77777777" w:rsidR="00587444" w:rsidRPr="00587444" w:rsidRDefault="00587444" w:rsidP="00587444">
            <w:pPr>
              <w:suppressAutoHyphens w:val="0"/>
              <w:autoSpaceDN/>
              <w:rPr>
                <w:rFonts w:ascii="Arial" w:hAnsi="Arial" w:cs="Arial"/>
                <w:b/>
                <w:sz w:val="19"/>
                <w:szCs w:val="19"/>
                <w:lang w:val="en-GB"/>
              </w:rPr>
            </w:pPr>
          </w:p>
        </w:tc>
        <w:tc>
          <w:tcPr>
            <w:tcW w:w="1481" w:type="dxa"/>
            <w:shd w:val="clear" w:color="auto" w:fill="auto"/>
            <w:vAlign w:val="center"/>
          </w:tcPr>
          <w:p w14:paraId="7517B712" w14:textId="77777777" w:rsidR="00587444" w:rsidRPr="00587444" w:rsidRDefault="00587444" w:rsidP="00587444">
            <w:pPr>
              <w:suppressAutoHyphens w:val="0"/>
              <w:autoSpaceDN/>
              <w:rPr>
                <w:rFonts w:ascii="Arial" w:hAnsi="Arial" w:cs="Arial"/>
                <w:b/>
                <w:sz w:val="19"/>
                <w:szCs w:val="19"/>
                <w:lang w:val="en-GB"/>
              </w:rPr>
            </w:pPr>
          </w:p>
        </w:tc>
        <w:tc>
          <w:tcPr>
            <w:tcW w:w="1535" w:type="dxa"/>
            <w:shd w:val="clear" w:color="auto" w:fill="auto"/>
            <w:vAlign w:val="center"/>
          </w:tcPr>
          <w:p w14:paraId="29D72547" w14:textId="77777777" w:rsidR="00587444" w:rsidRPr="00587444" w:rsidRDefault="00587444" w:rsidP="00587444">
            <w:pPr>
              <w:suppressAutoHyphens w:val="0"/>
              <w:autoSpaceDN/>
              <w:rPr>
                <w:rFonts w:ascii="Arial" w:hAnsi="Arial" w:cs="Arial"/>
                <w:b/>
                <w:sz w:val="19"/>
                <w:szCs w:val="19"/>
                <w:lang w:val="en-GB"/>
              </w:rPr>
            </w:pPr>
          </w:p>
        </w:tc>
      </w:tr>
      <w:tr w:rsidR="00587444" w:rsidRPr="00587444" w14:paraId="0B22C3B0" w14:textId="77777777" w:rsidTr="00DD69E7">
        <w:trPr>
          <w:trHeight w:val="2104"/>
          <w:jc w:val="center"/>
        </w:trPr>
        <w:tc>
          <w:tcPr>
            <w:tcW w:w="1825" w:type="dxa"/>
            <w:shd w:val="clear" w:color="auto" w:fill="auto"/>
          </w:tcPr>
          <w:p w14:paraId="363FBF27" w14:textId="77777777" w:rsidR="00587444" w:rsidRPr="00587444" w:rsidRDefault="00587444" w:rsidP="00587444">
            <w:pPr>
              <w:suppressAutoHyphens w:val="0"/>
              <w:autoSpaceDN/>
              <w:ind w:left="33" w:hanging="33"/>
              <w:rPr>
                <w:rFonts w:ascii="Arial" w:hAnsi="Arial" w:cs="Arial"/>
                <w:sz w:val="19"/>
                <w:szCs w:val="19"/>
                <w:lang w:val="en-GB"/>
              </w:rPr>
            </w:pPr>
            <w:r w:rsidRPr="00587444">
              <w:rPr>
                <w:rFonts w:ascii="Arial" w:hAnsi="Arial" w:cs="Arial"/>
                <w:sz w:val="19"/>
                <w:szCs w:val="19"/>
                <w:lang w:val="en-GB"/>
              </w:rPr>
              <w:t xml:space="preserve"> </w:t>
            </w:r>
            <w:r w:rsidRPr="00587444">
              <w:rPr>
                <w:rFonts w:ascii="Arial" w:hAnsi="Arial" w:cs="Arial"/>
                <w:sz w:val="19"/>
                <w:szCs w:val="19"/>
                <w:lang w:val="hr-HR"/>
              </w:rPr>
              <w:t>Hrvatsko kreditno osiguranje d.d.</w:t>
            </w:r>
            <w:r w:rsidRPr="00587444">
              <w:rPr>
                <w:rFonts w:ascii="Arial" w:hAnsi="Arial" w:cs="Arial"/>
                <w:sz w:val="19"/>
                <w:szCs w:val="19"/>
                <w:lang w:val="en-GB"/>
              </w:rPr>
              <w:t xml:space="preserve"> Zagreb, Republic of Croatia</w:t>
            </w:r>
          </w:p>
        </w:tc>
        <w:tc>
          <w:tcPr>
            <w:tcW w:w="1577" w:type="dxa"/>
            <w:shd w:val="clear" w:color="auto" w:fill="auto"/>
            <w:vAlign w:val="center"/>
          </w:tcPr>
          <w:p w14:paraId="21651A71" w14:textId="77777777" w:rsidR="00D75982" w:rsidRDefault="00587444" w:rsidP="00587444">
            <w:pPr>
              <w:suppressAutoHyphens w:val="0"/>
              <w:autoSpaceDN/>
              <w:jc w:val="right"/>
              <w:rPr>
                <w:rFonts w:ascii="Arial" w:hAnsi="Arial" w:cs="Arial"/>
                <w:sz w:val="19"/>
                <w:szCs w:val="19"/>
                <w:lang w:val="en-GB"/>
              </w:rPr>
            </w:pPr>
            <w:r w:rsidRPr="00587444">
              <w:rPr>
                <w:rFonts w:ascii="Arial" w:hAnsi="Arial" w:cs="Arial"/>
                <w:sz w:val="19"/>
                <w:szCs w:val="19"/>
                <w:lang w:val="en-GB"/>
              </w:rPr>
              <w:t xml:space="preserve">Providing insurance for company’s foreign and domestic </w:t>
            </w:r>
          </w:p>
          <w:p w14:paraId="213BC5E9" w14:textId="77777777" w:rsidR="00D75982" w:rsidRDefault="00587444" w:rsidP="00587444">
            <w:pPr>
              <w:suppressAutoHyphens w:val="0"/>
              <w:autoSpaceDN/>
              <w:jc w:val="right"/>
              <w:rPr>
                <w:rFonts w:ascii="Arial" w:hAnsi="Arial" w:cs="Arial"/>
                <w:sz w:val="19"/>
                <w:szCs w:val="19"/>
                <w:lang w:val="en-GB"/>
              </w:rPr>
            </w:pPr>
            <w:r w:rsidRPr="00587444">
              <w:rPr>
                <w:rFonts w:ascii="Arial" w:hAnsi="Arial" w:cs="Arial"/>
                <w:sz w:val="19"/>
                <w:szCs w:val="19"/>
                <w:lang w:val="en-GB"/>
              </w:rPr>
              <w:t xml:space="preserve">short-term </w:t>
            </w:r>
          </w:p>
          <w:p w14:paraId="42ABCD5A" w14:textId="77777777" w:rsidR="00D75982" w:rsidRDefault="00587444" w:rsidP="00587444">
            <w:pPr>
              <w:suppressAutoHyphens w:val="0"/>
              <w:autoSpaceDN/>
              <w:jc w:val="right"/>
              <w:rPr>
                <w:rFonts w:ascii="Arial" w:hAnsi="Arial" w:cs="Arial"/>
                <w:sz w:val="19"/>
                <w:szCs w:val="19"/>
                <w:lang w:val="en-GB"/>
              </w:rPr>
            </w:pPr>
            <w:r w:rsidRPr="00587444">
              <w:rPr>
                <w:rFonts w:ascii="Arial" w:hAnsi="Arial" w:cs="Arial"/>
                <w:sz w:val="19"/>
                <w:szCs w:val="19"/>
                <w:lang w:val="en-GB"/>
              </w:rPr>
              <w:t xml:space="preserve">receivables </w:t>
            </w:r>
          </w:p>
          <w:p w14:paraId="00209C05" w14:textId="77777777" w:rsidR="00D75982" w:rsidRDefault="00587444" w:rsidP="00587444">
            <w:pPr>
              <w:suppressAutoHyphens w:val="0"/>
              <w:autoSpaceDN/>
              <w:jc w:val="right"/>
              <w:rPr>
                <w:rFonts w:ascii="Arial" w:hAnsi="Arial" w:cs="Arial"/>
                <w:sz w:val="19"/>
                <w:szCs w:val="19"/>
                <w:lang w:val="en-GB"/>
              </w:rPr>
            </w:pPr>
            <w:r w:rsidRPr="00587444">
              <w:rPr>
                <w:rFonts w:ascii="Arial" w:hAnsi="Arial" w:cs="Arial"/>
                <w:sz w:val="19"/>
                <w:szCs w:val="19"/>
                <w:lang w:val="en-GB"/>
              </w:rPr>
              <w:t xml:space="preserve">regarding </w:t>
            </w:r>
          </w:p>
          <w:p w14:paraId="00D01B08" w14:textId="77777777" w:rsidR="00D75982" w:rsidRDefault="00587444" w:rsidP="00587444">
            <w:pPr>
              <w:suppressAutoHyphens w:val="0"/>
              <w:autoSpaceDN/>
              <w:jc w:val="right"/>
              <w:rPr>
                <w:rFonts w:ascii="Arial" w:hAnsi="Arial" w:cs="Arial"/>
                <w:sz w:val="19"/>
                <w:szCs w:val="19"/>
                <w:lang w:val="en-GB"/>
              </w:rPr>
            </w:pPr>
            <w:r w:rsidRPr="00587444">
              <w:rPr>
                <w:rFonts w:ascii="Arial" w:hAnsi="Arial" w:cs="Arial"/>
                <w:sz w:val="19"/>
                <w:szCs w:val="19"/>
                <w:lang w:val="en-GB"/>
              </w:rPr>
              <w:t xml:space="preserve">shipments of goods and </w:t>
            </w:r>
          </w:p>
          <w:p w14:paraId="4694FD2E" w14:textId="7E0E2C8D" w:rsidR="00587444" w:rsidRPr="00587444" w:rsidRDefault="00587444" w:rsidP="00587444">
            <w:pPr>
              <w:suppressAutoHyphens w:val="0"/>
              <w:autoSpaceDN/>
              <w:jc w:val="right"/>
              <w:rPr>
                <w:rFonts w:ascii="Arial" w:hAnsi="Arial" w:cs="Arial"/>
                <w:sz w:val="19"/>
                <w:szCs w:val="19"/>
                <w:lang w:val="en-GB"/>
              </w:rPr>
            </w:pPr>
            <w:r w:rsidRPr="00587444">
              <w:rPr>
                <w:rFonts w:ascii="Arial" w:hAnsi="Arial" w:cs="Arial"/>
                <w:sz w:val="19"/>
                <w:szCs w:val="19"/>
                <w:lang w:val="en-GB"/>
              </w:rPr>
              <w:t>services</w:t>
            </w:r>
          </w:p>
        </w:tc>
        <w:tc>
          <w:tcPr>
            <w:tcW w:w="1457" w:type="dxa"/>
            <w:shd w:val="clear" w:color="auto" w:fill="auto"/>
            <w:vAlign w:val="center"/>
          </w:tcPr>
          <w:p w14:paraId="5CC1A886" w14:textId="77777777" w:rsidR="00587444" w:rsidRPr="00587444" w:rsidRDefault="00587444" w:rsidP="00587444">
            <w:pPr>
              <w:suppressAutoHyphens w:val="0"/>
              <w:autoSpaceDN/>
              <w:jc w:val="right"/>
              <w:rPr>
                <w:rFonts w:ascii="Arial" w:hAnsi="Arial" w:cs="Arial"/>
                <w:sz w:val="19"/>
                <w:szCs w:val="19"/>
                <w:lang w:val="en-GB"/>
              </w:rPr>
            </w:pPr>
            <w:r w:rsidRPr="00587444">
              <w:rPr>
                <w:rFonts w:ascii="Arial" w:hAnsi="Arial" w:cs="Arial"/>
                <w:sz w:val="19"/>
                <w:szCs w:val="19"/>
                <w:lang w:val="en-GB"/>
              </w:rPr>
              <w:t>100%</w:t>
            </w:r>
          </w:p>
        </w:tc>
        <w:tc>
          <w:tcPr>
            <w:tcW w:w="1480" w:type="dxa"/>
            <w:shd w:val="clear" w:color="auto" w:fill="auto"/>
            <w:vAlign w:val="center"/>
          </w:tcPr>
          <w:p w14:paraId="0C6AFC37" w14:textId="77777777" w:rsidR="00587444" w:rsidRPr="00587444" w:rsidRDefault="00587444" w:rsidP="00587444">
            <w:pPr>
              <w:suppressAutoHyphens w:val="0"/>
              <w:autoSpaceDN/>
              <w:jc w:val="right"/>
              <w:rPr>
                <w:rFonts w:ascii="Arial" w:hAnsi="Arial" w:cs="Arial"/>
                <w:sz w:val="19"/>
                <w:szCs w:val="19"/>
                <w:lang w:val="en-GB"/>
              </w:rPr>
            </w:pPr>
            <w:r w:rsidRPr="00587444">
              <w:rPr>
                <w:rFonts w:ascii="Arial" w:hAnsi="Arial" w:cs="Arial"/>
                <w:sz w:val="19"/>
                <w:szCs w:val="19"/>
                <w:lang w:val="en-GB"/>
              </w:rPr>
              <w:t>100%</w:t>
            </w:r>
          </w:p>
        </w:tc>
        <w:tc>
          <w:tcPr>
            <w:tcW w:w="1481" w:type="dxa"/>
            <w:shd w:val="clear" w:color="auto" w:fill="auto"/>
            <w:vAlign w:val="center"/>
          </w:tcPr>
          <w:p w14:paraId="7F5A9428" w14:textId="77777777" w:rsidR="00587444" w:rsidRPr="00587444" w:rsidRDefault="00587444" w:rsidP="00587444">
            <w:pPr>
              <w:suppressAutoHyphens w:val="0"/>
              <w:autoSpaceDN/>
              <w:jc w:val="right"/>
              <w:rPr>
                <w:rFonts w:ascii="Arial" w:hAnsi="Arial" w:cs="Arial"/>
                <w:sz w:val="19"/>
                <w:szCs w:val="19"/>
              </w:rPr>
            </w:pPr>
            <w:r w:rsidRPr="00587444">
              <w:rPr>
                <w:rFonts w:ascii="Arial" w:hAnsi="Arial" w:cs="Arial"/>
                <w:sz w:val="19"/>
                <w:szCs w:val="19"/>
              </w:rPr>
              <w:t>56,124</w:t>
            </w:r>
          </w:p>
        </w:tc>
        <w:tc>
          <w:tcPr>
            <w:tcW w:w="1535" w:type="dxa"/>
            <w:shd w:val="clear" w:color="auto" w:fill="auto"/>
            <w:vAlign w:val="center"/>
          </w:tcPr>
          <w:p w14:paraId="50F2BBFD" w14:textId="77777777" w:rsidR="00587444" w:rsidRPr="00587444" w:rsidRDefault="00587444" w:rsidP="00587444">
            <w:pPr>
              <w:suppressAutoHyphens w:val="0"/>
              <w:autoSpaceDN/>
              <w:jc w:val="right"/>
              <w:rPr>
                <w:rFonts w:ascii="Arial" w:hAnsi="Arial" w:cs="Arial"/>
                <w:sz w:val="19"/>
                <w:szCs w:val="19"/>
                <w:lang w:val="en-GB"/>
              </w:rPr>
            </w:pPr>
            <w:r w:rsidRPr="00587444">
              <w:rPr>
                <w:rFonts w:ascii="Arial" w:hAnsi="Arial" w:cs="Arial"/>
                <w:sz w:val="19"/>
                <w:szCs w:val="19"/>
                <w:lang w:val="en-GB"/>
              </w:rPr>
              <w:t>36,124</w:t>
            </w:r>
          </w:p>
        </w:tc>
      </w:tr>
      <w:tr w:rsidR="00587444" w:rsidRPr="00587444" w14:paraId="5CC8BFC7" w14:textId="77777777" w:rsidTr="00DD69E7">
        <w:trPr>
          <w:trHeight w:hRule="exact" w:val="386"/>
          <w:jc w:val="center"/>
        </w:trPr>
        <w:tc>
          <w:tcPr>
            <w:tcW w:w="1825" w:type="dxa"/>
            <w:shd w:val="clear" w:color="auto" w:fill="auto"/>
            <w:vAlign w:val="bottom"/>
          </w:tcPr>
          <w:p w14:paraId="4FB9E432" w14:textId="77777777" w:rsidR="00587444" w:rsidRPr="00587444" w:rsidRDefault="00587444" w:rsidP="00587444">
            <w:pPr>
              <w:suppressAutoHyphens w:val="0"/>
              <w:autoSpaceDN/>
              <w:ind w:left="188"/>
              <w:rPr>
                <w:rFonts w:ascii="Arial" w:hAnsi="Arial" w:cs="Arial"/>
                <w:b/>
                <w:sz w:val="19"/>
                <w:szCs w:val="19"/>
                <w:lang w:val="en-GB"/>
              </w:rPr>
            </w:pPr>
            <w:r w:rsidRPr="00587444">
              <w:rPr>
                <w:rFonts w:ascii="Arial" w:hAnsi="Arial" w:cs="Arial"/>
                <w:b/>
                <w:sz w:val="19"/>
                <w:szCs w:val="19"/>
                <w:lang w:val="en-GB"/>
              </w:rPr>
              <w:t>Total</w:t>
            </w:r>
          </w:p>
        </w:tc>
        <w:tc>
          <w:tcPr>
            <w:tcW w:w="1577" w:type="dxa"/>
            <w:shd w:val="clear" w:color="auto" w:fill="auto"/>
            <w:vAlign w:val="bottom"/>
          </w:tcPr>
          <w:p w14:paraId="297420EA" w14:textId="77777777" w:rsidR="00587444" w:rsidRPr="00587444" w:rsidRDefault="00587444" w:rsidP="00587444">
            <w:pPr>
              <w:suppressAutoHyphens w:val="0"/>
              <w:autoSpaceDN/>
              <w:jc w:val="both"/>
              <w:rPr>
                <w:rFonts w:ascii="Arial" w:hAnsi="Arial" w:cs="Arial"/>
                <w:b/>
                <w:sz w:val="19"/>
                <w:szCs w:val="19"/>
                <w:lang w:val="en-GB"/>
              </w:rPr>
            </w:pPr>
          </w:p>
        </w:tc>
        <w:tc>
          <w:tcPr>
            <w:tcW w:w="1457" w:type="dxa"/>
            <w:shd w:val="clear" w:color="auto" w:fill="auto"/>
            <w:vAlign w:val="bottom"/>
          </w:tcPr>
          <w:p w14:paraId="671F872C" w14:textId="77777777" w:rsidR="00587444" w:rsidRPr="00587444" w:rsidRDefault="00587444" w:rsidP="00587444">
            <w:pPr>
              <w:suppressAutoHyphens w:val="0"/>
              <w:autoSpaceDN/>
              <w:jc w:val="both"/>
              <w:rPr>
                <w:rFonts w:ascii="Arial" w:hAnsi="Arial" w:cs="Arial"/>
                <w:b/>
                <w:sz w:val="19"/>
                <w:szCs w:val="19"/>
                <w:lang w:val="en-GB"/>
              </w:rPr>
            </w:pPr>
          </w:p>
        </w:tc>
        <w:tc>
          <w:tcPr>
            <w:tcW w:w="1480" w:type="dxa"/>
            <w:shd w:val="clear" w:color="auto" w:fill="auto"/>
            <w:vAlign w:val="bottom"/>
          </w:tcPr>
          <w:p w14:paraId="3F919ED7" w14:textId="77777777" w:rsidR="00587444" w:rsidRPr="00587444" w:rsidRDefault="00587444" w:rsidP="00587444">
            <w:pPr>
              <w:suppressAutoHyphens w:val="0"/>
              <w:autoSpaceDN/>
              <w:jc w:val="both"/>
              <w:rPr>
                <w:rFonts w:ascii="Arial" w:hAnsi="Arial" w:cs="Arial"/>
                <w:b/>
                <w:sz w:val="19"/>
                <w:szCs w:val="19"/>
                <w:lang w:val="en-GB"/>
              </w:rPr>
            </w:pPr>
          </w:p>
        </w:tc>
        <w:tc>
          <w:tcPr>
            <w:tcW w:w="1481" w:type="dxa"/>
            <w:tcBorders>
              <w:top w:val="single" w:sz="4" w:space="0" w:color="auto"/>
              <w:bottom w:val="single" w:sz="12" w:space="0" w:color="auto"/>
            </w:tcBorders>
            <w:shd w:val="clear" w:color="auto" w:fill="auto"/>
            <w:vAlign w:val="bottom"/>
          </w:tcPr>
          <w:p w14:paraId="5087819C" w14:textId="77777777" w:rsidR="00587444" w:rsidRPr="00587444" w:rsidRDefault="00587444" w:rsidP="00587444">
            <w:pPr>
              <w:suppressAutoHyphens w:val="0"/>
              <w:autoSpaceDN/>
              <w:spacing w:line="300" w:lineRule="exact"/>
              <w:jc w:val="right"/>
              <w:rPr>
                <w:rFonts w:ascii="Arial" w:hAnsi="Arial" w:cs="Arial"/>
                <w:b/>
                <w:sz w:val="19"/>
                <w:szCs w:val="19"/>
                <w:lang w:val="hr-HR"/>
              </w:rPr>
            </w:pPr>
            <w:r w:rsidRPr="00587444">
              <w:rPr>
                <w:rFonts w:ascii="Arial" w:hAnsi="Arial" w:cs="Arial"/>
                <w:b/>
                <w:sz w:val="19"/>
                <w:szCs w:val="19"/>
                <w:lang w:val="hr-HR"/>
              </w:rPr>
              <w:t>56,124</w:t>
            </w:r>
          </w:p>
        </w:tc>
        <w:tc>
          <w:tcPr>
            <w:tcW w:w="1535" w:type="dxa"/>
            <w:tcBorders>
              <w:top w:val="single" w:sz="4" w:space="0" w:color="auto"/>
              <w:bottom w:val="single" w:sz="12" w:space="0" w:color="auto"/>
            </w:tcBorders>
            <w:shd w:val="clear" w:color="auto" w:fill="auto"/>
            <w:vAlign w:val="bottom"/>
          </w:tcPr>
          <w:p w14:paraId="79841FE6" w14:textId="77777777" w:rsidR="00587444" w:rsidRPr="00587444" w:rsidRDefault="00587444" w:rsidP="00587444">
            <w:pPr>
              <w:suppressAutoHyphens w:val="0"/>
              <w:autoSpaceDN/>
              <w:spacing w:line="300" w:lineRule="exact"/>
              <w:jc w:val="right"/>
              <w:rPr>
                <w:rFonts w:ascii="Arial" w:hAnsi="Arial" w:cs="Arial"/>
                <w:b/>
                <w:sz w:val="19"/>
                <w:szCs w:val="19"/>
                <w:lang w:val="hr-HR"/>
              </w:rPr>
            </w:pPr>
            <w:r w:rsidRPr="00587444">
              <w:rPr>
                <w:rFonts w:ascii="Arial" w:hAnsi="Arial" w:cs="Arial"/>
                <w:b/>
                <w:sz w:val="19"/>
                <w:szCs w:val="19"/>
                <w:lang w:val="hr-HR"/>
              </w:rPr>
              <w:t>36,124</w:t>
            </w:r>
          </w:p>
        </w:tc>
      </w:tr>
    </w:tbl>
    <w:p w14:paraId="1C720DA3" w14:textId="77777777" w:rsidR="00587444" w:rsidRPr="00587444" w:rsidRDefault="00587444" w:rsidP="00880B90">
      <w:pPr>
        <w:keepNext/>
        <w:tabs>
          <w:tab w:val="left" w:pos="1260"/>
        </w:tabs>
        <w:autoSpaceDN/>
        <w:rPr>
          <w:rFonts w:ascii="Arial" w:hAnsi="Arial" w:cs="Arial"/>
          <w:bCs/>
          <w:spacing w:val="-3"/>
          <w:sz w:val="20"/>
          <w:szCs w:val="20"/>
          <w:lang w:val="en-GB"/>
        </w:rPr>
      </w:pPr>
    </w:p>
    <w:p w14:paraId="5E81DF9C" w14:textId="77777777" w:rsidR="00587444" w:rsidRPr="00587444" w:rsidRDefault="00587444" w:rsidP="00880B90">
      <w:pPr>
        <w:keepNext/>
        <w:autoSpaceDN/>
        <w:jc w:val="both"/>
        <w:rPr>
          <w:rFonts w:ascii="Arial" w:hAnsi="Arial" w:cs="Arial"/>
          <w:bCs/>
          <w:color w:val="000000"/>
          <w:sz w:val="20"/>
          <w:szCs w:val="20"/>
          <w:lang w:val="en-GB"/>
        </w:rPr>
      </w:pPr>
      <w:r w:rsidRPr="00587444">
        <w:rPr>
          <w:rFonts w:ascii="Arial" w:hAnsi="Arial" w:cs="Arial"/>
          <w:bCs/>
          <w:color w:val="000000"/>
          <w:sz w:val="20"/>
          <w:szCs w:val="20"/>
          <w:lang w:val="en-GB"/>
        </w:rPr>
        <w:t xml:space="preserve">By the Decision of the Supervisory Board of HBOR made on the 7th meeting held on 27 September 2022, the payment in cash by HBOR of new ordinary shares of </w:t>
      </w:r>
      <w:proofErr w:type="spellStart"/>
      <w:r w:rsidRPr="00587444">
        <w:rPr>
          <w:rFonts w:ascii="Arial" w:hAnsi="Arial" w:cs="Arial"/>
          <w:bCs/>
          <w:color w:val="000000"/>
          <w:sz w:val="20"/>
          <w:szCs w:val="20"/>
          <w:lang w:val="en-GB"/>
        </w:rPr>
        <w:t>Hrvatsko</w:t>
      </w:r>
      <w:proofErr w:type="spellEnd"/>
      <w:r w:rsidRPr="00587444">
        <w:rPr>
          <w:rFonts w:ascii="Arial" w:hAnsi="Arial" w:cs="Arial"/>
          <w:bCs/>
          <w:color w:val="000000"/>
          <w:sz w:val="20"/>
          <w:szCs w:val="20"/>
          <w:lang w:val="en-GB"/>
        </w:rPr>
        <w:t xml:space="preserve"> </w:t>
      </w:r>
      <w:proofErr w:type="spellStart"/>
      <w:r w:rsidRPr="00587444">
        <w:rPr>
          <w:rFonts w:ascii="Arial" w:hAnsi="Arial" w:cs="Arial"/>
          <w:bCs/>
          <w:color w:val="000000"/>
          <w:sz w:val="20"/>
          <w:szCs w:val="20"/>
          <w:lang w:val="en-GB"/>
        </w:rPr>
        <w:t>kreditno</w:t>
      </w:r>
      <w:proofErr w:type="spellEnd"/>
      <w:r w:rsidRPr="00587444">
        <w:rPr>
          <w:rFonts w:ascii="Arial" w:hAnsi="Arial" w:cs="Arial"/>
          <w:bCs/>
          <w:color w:val="000000"/>
          <w:sz w:val="20"/>
          <w:szCs w:val="20"/>
          <w:lang w:val="en-GB"/>
        </w:rPr>
        <w:t xml:space="preserve"> </w:t>
      </w:r>
      <w:proofErr w:type="spellStart"/>
      <w:r w:rsidRPr="00587444">
        <w:rPr>
          <w:rFonts w:ascii="Arial" w:hAnsi="Arial" w:cs="Arial"/>
          <w:bCs/>
          <w:color w:val="000000"/>
          <w:sz w:val="20"/>
          <w:szCs w:val="20"/>
          <w:lang w:val="en-GB"/>
        </w:rPr>
        <w:t>osiguranje</w:t>
      </w:r>
      <w:proofErr w:type="spellEnd"/>
      <w:r w:rsidRPr="00587444">
        <w:rPr>
          <w:rFonts w:ascii="Arial" w:hAnsi="Arial" w:cs="Arial"/>
          <w:bCs/>
          <w:color w:val="000000"/>
          <w:sz w:val="20"/>
          <w:szCs w:val="20"/>
          <w:lang w:val="en-GB"/>
        </w:rPr>
        <w:t xml:space="preserve"> </w:t>
      </w:r>
      <w:proofErr w:type="spellStart"/>
      <w:r w:rsidRPr="00587444">
        <w:rPr>
          <w:rFonts w:ascii="Arial" w:hAnsi="Arial" w:cs="Arial"/>
          <w:bCs/>
          <w:color w:val="000000"/>
          <w:sz w:val="20"/>
          <w:szCs w:val="20"/>
          <w:lang w:val="en-GB"/>
        </w:rPr>
        <w:t>d.d.</w:t>
      </w:r>
      <w:proofErr w:type="spellEnd"/>
      <w:r w:rsidRPr="00587444">
        <w:rPr>
          <w:rFonts w:ascii="Arial" w:hAnsi="Arial" w:cs="Arial"/>
          <w:bCs/>
          <w:color w:val="000000"/>
          <w:sz w:val="20"/>
          <w:szCs w:val="20"/>
          <w:lang w:val="en-GB"/>
        </w:rPr>
        <w:t>, Zagreb in the amount of HRK 20,000 thousand has been approved.</w:t>
      </w:r>
    </w:p>
    <w:p w14:paraId="376C42C2" w14:textId="77777777" w:rsidR="00587444" w:rsidRPr="00587444" w:rsidRDefault="00587444" w:rsidP="00880B90">
      <w:pPr>
        <w:keepNext/>
        <w:autoSpaceDN/>
        <w:jc w:val="both"/>
        <w:rPr>
          <w:rFonts w:ascii="Arial" w:hAnsi="Arial" w:cs="Arial"/>
          <w:bCs/>
          <w:color w:val="000000"/>
          <w:sz w:val="20"/>
          <w:szCs w:val="20"/>
          <w:highlight w:val="yellow"/>
          <w:lang w:val="en-GB"/>
        </w:rPr>
      </w:pPr>
    </w:p>
    <w:p w14:paraId="4F49D335" w14:textId="77777777" w:rsidR="00587444" w:rsidRPr="00587444" w:rsidRDefault="00587444" w:rsidP="00880B90">
      <w:pPr>
        <w:keepNext/>
        <w:tabs>
          <w:tab w:val="left" w:pos="1260"/>
        </w:tabs>
        <w:autoSpaceDN/>
        <w:jc w:val="both"/>
        <w:rPr>
          <w:rFonts w:ascii="Arial" w:hAnsi="Arial" w:cs="Arial"/>
          <w:bCs/>
          <w:spacing w:val="-3"/>
          <w:sz w:val="20"/>
          <w:szCs w:val="20"/>
          <w:lang w:val="en-GB"/>
        </w:rPr>
      </w:pPr>
      <w:r w:rsidRPr="00587444">
        <w:rPr>
          <w:rFonts w:ascii="Arial" w:hAnsi="Arial" w:cs="Arial"/>
          <w:bCs/>
          <w:color w:val="000000"/>
          <w:sz w:val="20"/>
          <w:szCs w:val="20"/>
          <w:lang w:val="en-GB"/>
        </w:rPr>
        <w:t>The General Assembly of HKO took place on 29 September 2022, when a Decision was made to increase the equity capital of the company by HRK 20,000 thousand to be paid-in by HBOR on 4 October 2022. On 13 October 2022, the Commercial Court in Zagreb issued a Resolution on the Amendments to the Statutes and the Increase in the Equity Capital of the HKO Company.</w:t>
      </w:r>
    </w:p>
    <w:p w14:paraId="5E388413" w14:textId="77777777" w:rsidR="00587444" w:rsidRPr="00587444" w:rsidRDefault="00587444" w:rsidP="00880B90">
      <w:pPr>
        <w:keepNext/>
        <w:tabs>
          <w:tab w:val="left" w:pos="1260"/>
        </w:tabs>
        <w:autoSpaceDN/>
        <w:rPr>
          <w:rFonts w:ascii="Arial" w:hAnsi="Arial" w:cs="Arial"/>
          <w:bCs/>
          <w:spacing w:val="-3"/>
          <w:sz w:val="20"/>
          <w:szCs w:val="20"/>
          <w:lang w:val="en-GB"/>
        </w:rPr>
      </w:pPr>
    </w:p>
    <w:p w14:paraId="392FB55A" w14:textId="77777777" w:rsidR="00587444" w:rsidRPr="00587444" w:rsidRDefault="00587444" w:rsidP="00880B90">
      <w:pPr>
        <w:keepNext/>
        <w:tabs>
          <w:tab w:val="left" w:pos="1260"/>
        </w:tabs>
        <w:autoSpaceDN/>
        <w:rPr>
          <w:rFonts w:ascii="Arial" w:hAnsi="Arial" w:cs="Arial"/>
          <w:bCs/>
          <w:spacing w:val="-3"/>
          <w:sz w:val="20"/>
          <w:szCs w:val="20"/>
          <w:lang w:val="en-GB"/>
        </w:rPr>
      </w:pPr>
      <w:r w:rsidRPr="00587444">
        <w:rPr>
          <w:rFonts w:ascii="Arial" w:hAnsi="Arial" w:cs="Arial"/>
          <w:bCs/>
          <w:spacing w:val="-3"/>
          <w:sz w:val="20"/>
          <w:szCs w:val="20"/>
          <w:lang w:val="en-GB"/>
        </w:rPr>
        <w:t>Result of the subsidiary has been disclosed in Appendix – Financial performance of the HKO Group.</w:t>
      </w:r>
    </w:p>
    <w:p w14:paraId="764D1F79"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07BD66BD"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081B04DB"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0F95EEC6"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05F5D1AA"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42790EEB"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393E34FF"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sectPr w:rsidR="00587444" w:rsidRPr="00587444" w:rsidSect="00DD69E7">
          <w:pgSz w:w="11907" w:h="16840" w:code="9"/>
          <w:pgMar w:top="1418" w:right="1134" w:bottom="1134" w:left="1418" w:header="851" w:footer="851" w:gutter="0"/>
          <w:cols w:space="720"/>
          <w:noEndnote/>
        </w:sectPr>
      </w:pPr>
    </w:p>
    <w:p w14:paraId="2283FC7F" w14:textId="77777777" w:rsidR="00587444" w:rsidRPr="00587444" w:rsidRDefault="00587444" w:rsidP="00587444">
      <w:pPr>
        <w:keepNext/>
        <w:tabs>
          <w:tab w:val="left" w:pos="567"/>
        </w:tabs>
        <w:suppressAutoHyphens w:val="0"/>
        <w:autoSpaceDN/>
        <w:jc w:val="both"/>
        <w:rPr>
          <w:rFonts w:ascii="Arial" w:hAnsi="Arial" w:cs="Arial"/>
          <w:spacing w:val="-3"/>
          <w:sz w:val="20"/>
          <w:szCs w:val="20"/>
          <w:lang w:val="hr-HR"/>
        </w:rPr>
      </w:pPr>
    </w:p>
    <w:p w14:paraId="3C7A5028"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19.</w:t>
      </w:r>
      <w:r w:rsidRPr="00587444">
        <w:rPr>
          <w:rFonts w:ascii="Arial" w:hAnsi="Arial" w:cs="Arial"/>
          <w:b/>
          <w:bCs/>
          <w:sz w:val="20"/>
          <w:szCs w:val="20"/>
          <w:lang w:val="en-GB"/>
        </w:rPr>
        <w:tab/>
        <w:t>Property, plant and equipment and intangible assets</w:t>
      </w:r>
    </w:p>
    <w:p w14:paraId="3B61D4F7" w14:textId="77777777" w:rsidR="00587444" w:rsidRPr="00587444" w:rsidRDefault="00587444" w:rsidP="00587444">
      <w:pPr>
        <w:tabs>
          <w:tab w:val="right" w:pos="1202"/>
        </w:tabs>
        <w:suppressAutoHyphens w:val="0"/>
        <w:autoSpaceDN/>
        <w:outlineLvl w:val="0"/>
        <w:rPr>
          <w:rFonts w:ascii="Arial" w:hAnsi="Arial" w:cs="Arial"/>
          <w:b/>
          <w:sz w:val="20"/>
          <w:szCs w:val="20"/>
          <w:highlight w:val="yellow"/>
          <w:lang w:val="en-GB"/>
        </w:rPr>
      </w:pPr>
    </w:p>
    <w:tbl>
      <w:tblPr>
        <w:tblpPr w:leftFromText="181" w:rightFromText="181" w:vertAnchor="text" w:horzAnchor="margin" w:tblpX="-426" w:tblpY="32"/>
        <w:tblW w:w="5461" w:type="pct"/>
        <w:tblLayout w:type="fixed"/>
        <w:tblCellMar>
          <w:left w:w="119" w:type="dxa"/>
          <w:right w:w="119" w:type="dxa"/>
        </w:tblCellMar>
        <w:tblLook w:val="0000" w:firstRow="0" w:lastRow="0" w:firstColumn="0" w:lastColumn="0" w:noHBand="0" w:noVBand="0"/>
      </w:tblPr>
      <w:tblGrid>
        <w:gridCol w:w="2945"/>
        <w:gridCol w:w="1050"/>
        <w:gridCol w:w="1163"/>
        <w:gridCol w:w="1090"/>
        <w:gridCol w:w="1090"/>
        <w:gridCol w:w="1106"/>
        <w:gridCol w:w="1046"/>
        <w:gridCol w:w="987"/>
      </w:tblGrid>
      <w:tr w:rsidR="00587444" w:rsidRPr="00587444" w14:paraId="2C79FE8B" w14:textId="77777777" w:rsidTr="00DD69E7">
        <w:trPr>
          <w:trHeight w:val="1981"/>
        </w:trPr>
        <w:tc>
          <w:tcPr>
            <w:tcW w:w="1405" w:type="pct"/>
          </w:tcPr>
          <w:p w14:paraId="3333D7AE"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bookmarkStart w:id="756" w:name="_Toc4059221"/>
            <w:r w:rsidRPr="00587444">
              <w:rPr>
                <w:rFonts w:ascii="Arial" w:hAnsi="Arial" w:cs="Arial"/>
                <w:b/>
                <w:sz w:val="16"/>
                <w:szCs w:val="16"/>
                <w:lang w:val="en-GB"/>
              </w:rPr>
              <w:t>Group</w:t>
            </w:r>
            <w:bookmarkEnd w:id="756"/>
          </w:p>
          <w:p w14:paraId="66E600C8"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20B8D8F1"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6E6758AF"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bookmarkStart w:id="757" w:name="_Toc4059222"/>
            <w:r w:rsidRPr="00587444">
              <w:rPr>
                <w:rFonts w:ascii="Arial" w:hAnsi="Arial" w:cs="Arial"/>
                <w:b/>
                <w:sz w:val="16"/>
                <w:szCs w:val="16"/>
                <w:lang w:val="en-GB"/>
              </w:rPr>
              <w:t>31 December 202</w:t>
            </w:r>
            <w:bookmarkEnd w:id="757"/>
            <w:r w:rsidRPr="00587444">
              <w:rPr>
                <w:rFonts w:ascii="Arial" w:hAnsi="Arial" w:cs="Arial"/>
                <w:b/>
                <w:sz w:val="16"/>
                <w:szCs w:val="16"/>
                <w:lang w:val="en-GB"/>
              </w:rPr>
              <w:t>2</w:t>
            </w:r>
          </w:p>
          <w:p w14:paraId="0DC22830" w14:textId="77777777" w:rsidR="00587444" w:rsidRPr="00587444" w:rsidRDefault="00587444" w:rsidP="00587444">
            <w:pPr>
              <w:tabs>
                <w:tab w:val="right" w:pos="1202"/>
              </w:tabs>
              <w:suppressAutoHyphens w:val="0"/>
              <w:autoSpaceDN/>
              <w:spacing w:line="240" w:lineRule="atLeast"/>
              <w:outlineLvl w:val="0"/>
              <w:rPr>
                <w:rFonts w:ascii="Arial" w:hAnsi="Arial" w:cs="Arial"/>
                <w:color w:val="FF0000"/>
                <w:spacing w:val="-2"/>
                <w:sz w:val="16"/>
                <w:szCs w:val="16"/>
                <w:lang w:val="en-GB"/>
              </w:rPr>
            </w:pPr>
          </w:p>
        </w:tc>
        <w:tc>
          <w:tcPr>
            <w:tcW w:w="501" w:type="pct"/>
          </w:tcPr>
          <w:p w14:paraId="6C8C819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bCs/>
                <w:sz w:val="16"/>
                <w:szCs w:val="16"/>
                <w:lang w:val="en-GB"/>
              </w:rPr>
            </w:pPr>
            <w:bookmarkStart w:id="758" w:name="_Toc4059223"/>
            <w:r w:rsidRPr="00587444">
              <w:rPr>
                <w:rFonts w:ascii="Arial" w:hAnsi="Arial" w:cs="Arial"/>
                <w:b/>
                <w:sz w:val="16"/>
                <w:szCs w:val="16"/>
                <w:lang w:val="en-GB"/>
              </w:rPr>
              <w:t>Buildings</w:t>
            </w:r>
            <w:bookmarkEnd w:id="758"/>
          </w:p>
        </w:tc>
        <w:tc>
          <w:tcPr>
            <w:tcW w:w="555" w:type="pct"/>
          </w:tcPr>
          <w:p w14:paraId="65547AF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59" w:name="_Toc4059224"/>
            <w:r w:rsidRPr="00587444">
              <w:rPr>
                <w:rFonts w:ascii="Arial" w:hAnsi="Arial" w:cs="Arial"/>
                <w:b/>
                <w:sz w:val="16"/>
                <w:szCs w:val="16"/>
                <w:lang w:val="en-GB"/>
              </w:rPr>
              <w:t>Computers</w:t>
            </w:r>
            <w:bookmarkEnd w:id="759"/>
          </w:p>
        </w:tc>
        <w:tc>
          <w:tcPr>
            <w:tcW w:w="520" w:type="pct"/>
          </w:tcPr>
          <w:p w14:paraId="74FEFC92"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60" w:name="_Toc4059225"/>
            <w:r w:rsidRPr="00587444">
              <w:rPr>
                <w:rFonts w:ascii="Arial" w:hAnsi="Arial" w:cs="Arial"/>
                <w:b/>
                <w:sz w:val="16"/>
                <w:szCs w:val="16"/>
                <w:lang w:val="en-GB"/>
              </w:rPr>
              <w:t xml:space="preserve">Furniture, </w:t>
            </w:r>
            <w:proofErr w:type="gramStart"/>
            <w:r w:rsidRPr="00587444">
              <w:rPr>
                <w:rFonts w:ascii="Arial" w:hAnsi="Arial" w:cs="Arial"/>
                <w:b/>
                <w:sz w:val="16"/>
                <w:szCs w:val="16"/>
                <w:lang w:val="en-GB"/>
              </w:rPr>
              <w:t>equipment</w:t>
            </w:r>
            <w:proofErr w:type="gramEnd"/>
            <w:r w:rsidRPr="00587444">
              <w:rPr>
                <w:rFonts w:ascii="Arial" w:hAnsi="Arial" w:cs="Arial"/>
                <w:b/>
                <w:sz w:val="16"/>
                <w:szCs w:val="16"/>
                <w:lang w:val="en-GB"/>
              </w:rPr>
              <w:t xml:space="preserve"> and vehicles</w:t>
            </w:r>
            <w:bookmarkEnd w:id="760"/>
          </w:p>
        </w:tc>
        <w:tc>
          <w:tcPr>
            <w:tcW w:w="520" w:type="pct"/>
          </w:tcPr>
          <w:p w14:paraId="752C63D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61" w:name="_Toc4059226"/>
            <w:r w:rsidRPr="00587444">
              <w:rPr>
                <w:rFonts w:ascii="Arial" w:hAnsi="Arial" w:cs="Arial"/>
                <w:b/>
                <w:sz w:val="16"/>
                <w:szCs w:val="16"/>
                <w:lang w:val="en-GB"/>
              </w:rPr>
              <w:t xml:space="preserve">Property, </w:t>
            </w:r>
            <w:proofErr w:type="gramStart"/>
            <w:r w:rsidRPr="00587444">
              <w:rPr>
                <w:rFonts w:ascii="Arial" w:hAnsi="Arial" w:cs="Arial"/>
                <w:b/>
                <w:sz w:val="16"/>
                <w:szCs w:val="16"/>
                <w:lang w:val="en-GB"/>
              </w:rPr>
              <w:t>plant</w:t>
            </w:r>
            <w:proofErr w:type="gramEnd"/>
            <w:r w:rsidRPr="00587444">
              <w:rPr>
                <w:rFonts w:ascii="Arial" w:hAnsi="Arial" w:cs="Arial"/>
                <w:b/>
                <w:sz w:val="16"/>
                <w:szCs w:val="16"/>
                <w:lang w:val="en-GB"/>
              </w:rPr>
              <w:t xml:space="preserve"> and equipment and</w:t>
            </w:r>
            <w:bookmarkEnd w:id="761"/>
            <w:r w:rsidRPr="00587444">
              <w:rPr>
                <w:rFonts w:ascii="Arial" w:hAnsi="Arial" w:cs="Arial"/>
                <w:b/>
                <w:sz w:val="16"/>
                <w:szCs w:val="16"/>
                <w:lang w:val="en-GB"/>
              </w:rPr>
              <w:t xml:space="preserve"> </w:t>
            </w:r>
          </w:p>
          <w:p w14:paraId="4300658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62" w:name="_Toc4059227"/>
            <w:r w:rsidRPr="00587444">
              <w:rPr>
                <w:rFonts w:ascii="Arial" w:hAnsi="Arial" w:cs="Arial"/>
                <w:b/>
                <w:sz w:val="16"/>
                <w:szCs w:val="16"/>
                <w:lang w:val="en-GB"/>
              </w:rPr>
              <w:t>intangible assets not ready for use</w:t>
            </w:r>
            <w:bookmarkEnd w:id="762"/>
          </w:p>
        </w:tc>
        <w:tc>
          <w:tcPr>
            <w:tcW w:w="528" w:type="pct"/>
          </w:tcPr>
          <w:p w14:paraId="45087398" w14:textId="77777777" w:rsidR="004E3773"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63" w:name="_Toc4059228"/>
            <w:r w:rsidRPr="00587444">
              <w:rPr>
                <w:rFonts w:ascii="Arial" w:hAnsi="Arial" w:cs="Arial"/>
                <w:b/>
                <w:sz w:val="16"/>
                <w:szCs w:val="16"/>
                <w:lang w:val="en-GB"/>
              </w:rPr>
              <w:t xml:space="preserve">Total </w:t>
            </w:r>
          </w:p>
          <w:p w14:paraId="0143240B" w14:textId="13FBFC3D"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 xml:space="preserve">property, </w:t>
            </w:r>
            <w:proofErr w:type="gramStart"/>
            <w:r w:rsidRPr="00587444">
              <w:rPr>
                <w:rFonts w:ascii="Arial" w:hAnsi="Arial" w:cs="Arial"/>
                <w:b/>
                <w:sz w:val="16"/>
                <w:szCs w:val="16"/>
                <w:lang w:val="en-GB"/>
              </w:rPr>
              <w:t>plant</w:t>
            </w:r>
            <w:proofErr w:type="gramEnd"/>
            <w:r w:rsidRPr="00587444">
              <w:rPr>
                <w:rFonts w:ascii="Arial" w:hAnsi="Arial" w:cs="Arial"/>
                <w:b/>
                <w:sz w:val="16"/>
                <w:szCs w:val="16"/>
                <w:lang w:val="en-GB"/>
              </w:rPr>
              <w:t xml:space="preserve"> and equipment</w:t>
            </w:r>
            <w:bookmarkEnd w:id="763"/>
            <w:r w:rsidRPr="00587444">
              <w:rPr>
                <w:rFonts w:ascii="Arial" w:hAnsi="Arial" w:cs="Arial"/>
                <w:b/>
                <w:sz w:val="16"/>
                <w:szCs w:val="16"/>
                <w:lang w:val="en-GB"/>
              </w:rPr>
              <w:t xml:space="preserve"> </w:t>
            </w:r>
          </w:p>
        </w:tc>
        <w:tc>
          <w:tcPr>
            <w:tcW w:w="499" w:type="pct"/>
          </w:tcPr>
          <w:p w14:paraId="07CA581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64" w:name="_Toc4059229"/>
            <w:r w:rsidRPr="00587444">
              <w:rPr>
                <w:rFonts w:ascii="Arial" w:hAnsi="Arial" w:cs="Arial"/>
                <w:b/>
                <w:sz w:val="16"/>
                <w:szCs w:val="16"/>
                <w:lang w:val="en-GB"/>
              </w:rPr>
              <w:t>Intangible assets</w:t>
            </w:r>
            <w:bookmarkEnd w:id="764"/>
          </w:p>
        </w:tc>
        <w:tc>
          <w:tcPr>
            <w:tcW w:w="471" w:type="pct"/>
          </w:tcPr>
          <w:p w14:paraId="78A3517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65" w:name="_Toc4059230"/>
            <w:r w:rsidRPr="00587444">
              <w:rPr>
                <w:rFonts w:ascii="Arial" w:hAnsi="Arial" w:cs="Arial"/>
                <w:b/>
                <w:sz w:val="16"/>
                <w:szCs w:val="16"/>
                <w:lang w:val="en-GB"/>
              </w:rPr>
              <w:t>Total</w:t>
            </w:r>
            <w:bookmarkEnd w:id="765"/>
          </w:p>
        </w:tc>
      </w:tr>
      <w:tr w:rsidR="00587444" w:rsidRPr="00587444" w14:paraId="73A28416" w14:textId="77777777" w:rsidTr="00DD69E7">
        <w:trPr>
          <w:trHeight w:val="271"/>
        </w:trPr>
        <w:tc>
          <w:tcPr>
            <w:tcW w:w="1405" w:type="pct"/>
            <w:vAlign w:val="bottom"/>
          </w:tcPr>
          <w:p w14:paraId="5F26D95C" w14:textId="77777777" w:rsidR="00587444" w:rsidRPr="00587444" w:rsidRDefault="00587444" w:rsidP="00587444">
            <w:pPr>
              <w:tabs>
                <w:tab w:val="left" w:pos="-1559"/>
              </w:tabs>
              <w:autoSpaceDN/>
              <w:rPr>
                <w:rFonts w:ascii="Arial" w:hAnsi="Arial" w:cs="Arial"/>
                <w:spacing w:val="-2"/>
                <w:sz w:val="16"/>
                <w:szCs w:val="16"/>
                <w:lang w:val="en-GB"/>
              </w:rPr>
            </w:pPr>
          </w:p>
        </w:tc>
        <w:tc>
          <w:tcPr>
            <w:tcW w:w="501" w:type="pct"/>
            <w:vAlign w:val="bottom"/>
          </w:tcPr>
          <w:p w14:paraId="706D877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66" w:name="_Toc4059231"/>
            <w:r w:rsidRPr="00587444">
              <w:rPr>
                <w:rFonts w:ascii="Arial" w:hAnsi="Arial" w:cs="Arial"/>
                <w:b/>
                <w:sz w:val="16"/>
                <w:szCs w:val="16"/>
                <w:lang w:val="en-GB"/>
              </w:rPr>
              <w:t>HRK ‘000</w:t>
            </w:r>
            <w:bookmarkEnd w:id="766"/>
          </w:p>
        </w:tc>
        <w:tc>
          <w:tcPr>
            <w:tcW w:w="555" w:type="pct"/>
            <w:vAlign w:val="bottom"/>
          </w:tcPr>
          <w:p w14:paraId="34F2F9C2"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67" w:name="_Toc4059232"/>
            <w:r w:rsidRPr="00587444">
              <w:rPr>
                <w:rFonts w:ascii="Arial" w:hAnsi="Arial" w:cs="Arial"/>
                <w:b/>
                <w:sz w:val="16"/>
                <w:szCs w:val="16"/>
                <w:lang w:val="en-GB"/>
              </w:rPr>
              <w:t>HRK ‘000</w:t>
            </w:r>
            <w:bookmarkEnd w:id="767"/>
          </w:p>
        </w:tc>
        <w:tc>
          <w:tcPr>
            <w:tcW w:w="520" w:type="pct"/>
            <w:vAlign w:val="bottom"/>
          </w:tcPr>
          <w:p w14:paraId="6864685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68" w:name="_Toc4059233"/>
            <w:r w:rsidRPr="00587444">
              <w:rPr>
                <w:rFonts w:ascii="Arial" w:hAnsi="Arial" w:cs="Arial"/>
                <w:b/>
                <w:sz w:val="16"/>
                <w:szCs w:val="16"/>
                <w:lang w:val="en-GB"/>
              </w:rPr>
              <w:t>HRK ‘000</w:t>
            </w:r>
            <w:bookmarkEnd w:id="768"/>
          </w:p>
        </w:tc>
        <w:tc>
          <w:tcPr>
            <w:tcW w:w="520" w:type="pct"/>
            <w:vAlign w:val="bottom"/>
          </w:tcPr>
          <w:p w14:paraId="6F0465F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69" w:name="_Toc4059234"/>
            <w:r w:rsidRPr="00587444">
              <w:rPr>
                <w:rFonts w:ascii="Arial" w:hAnsi="Arial" w:cs="Arial"/>
                <w:b/>
                <w:sz w:val="16"/>
                <w:szCs w:val="16"/>
                <w:lang w:val="en-GB"/>
              </w:rPr>
              <w:t>HRK ‘000</w:t>
            </w:r>
            <w:bookmarkEnd w:id="769"/>
          </w:p>
        </w:tc>
        <w:tc>
          <w:tcPr>
            <w:tcW w:w="528" w:type="pct"/>
            <w:vAlign w:val="bottom"/>
          </w:tcPr>
          <w:p w14:paraId="16C7A432"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70" w:name="_Toc4059235"/>
            <w:r w:rsidRPr="00587444">
              <w:rPr>
                <w:rFonts w:ascii="Arial" w:hAnsi="Arial" w:cs="Arial"/>
                <w:b/>
                <w:sz w:val="16"/>
                <w:szCs w:val="16"/>
                <w:lang w:val="en-GB"/>
              </w:rPr>
              <w:t>HRK ‘000</w:t>
            </w:r>
            <w:bookmarkEnd w:id="770"/>
          </w:p>
        </w:tc>
        <w:tc>
          <w:tcPr>
            <w:tcW w:w="499" w:type="pct"/>
            <w:vAlign w:val="bottom"/>
          </w:tcPr>
          <w:p w14:paraId="03F2DD52"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71" w:name="_Toc4059236"/>
            <w:r w:rsidRPr="00587444">
              <w:rPr>
                <w:rFonts w:ascii="Arial" w:hAnsi="Arial" w:cs="Arial"/>
                <w:b/>
                <w:sz w:val="16"/>
                <w:szCs w:val="16"/>
                <w:lang w:val="en-GB"/>
              </w:rPr>
              <w:t>HRK ‘000</w:t>
            </w:r>
            <w:bookmarkEnd w:id="771"/>
          </w:p>
        </w:tc>
        <w:tc>
          <w:tcPr>
            <w:tcW w:w="471" w:type="pct"/>
            <w:vAlign w:val="bottom"/>
          </w:tcPr>
          <w:p w14:paraId="17214D6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72" w:name="_Toc4059237"/>
            <w:r w:rsidRPr="00587444">
              <w:rPr>
                <w:rFonts w:ascii="Arial" w:hAnsi="Arial" w:cs="Arial"/>
                <w:b/>
                <w:sz w:val="16"/>
                <w:szCs w:val="16"/>
                <w:lang w:val="en-GB"/>
              </w:rPr>
              <w:t>HRK ‘000</w:t>
            </w:r>
            <w:bookmarkEnd w:id="772"/>
          </w:p>
        </w:tc>
      </w:tr>
      <w:tr w:rsidR="00587444" w:rsidRPr="00587444" w14:paraId="4F69B04F" w14:textId="77777777" w:rsidTr="00DD69E7">
        <w:trPr>
          <w:trHeight w:val="340"/>
        </w:trPr>
        <w:tc>
          <w:tcPr>
            <w:tcW w:w="1405" w:type="pct"/>
            <w:vAlign w:val="bottom"/>
          </w:tcPr>
          <w:p w14:paraId="3CB237E1"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bookmarkStart w:id="773" w:name="_Toc4059238"/>
            <w:r w:rsidRPr="00587444">
              <w:rPr>
                <w:rFonts w:ascii="Arial" w:hAnsi="Arial" w:cs="Arial"/>
                <w:b/>
                <w:bCs/>
                <w:sz w:val="16"/>
                <w:szCs w:val="16"/>
                <w:lang w:val="en-GB"/>
              </w:rPr>
              <w:t>Cost</w:t>
            </w:r>
            <w:bookmarkEnd w:id="773"/>
            <w:r w:rsidRPr="00587444">
              <w:rPr>
                <w:rFonts w:ascii="Arial" w:hAnsi="Arial" w:cs="Arial"/>
                <w:b/>
                <w:bCs/>
                <w:sz w:val="16"/>
                <w:szCs w:val="16"/>
                <w:lang w:val="en-GB"/>
              </w:rPr>
              <w:t xml:space="preserve">  </w:t>
            </w:r>
          </w:p>
        </w:tc>
        <w:tc>
          <w:tcPr>
            <w:tcW w:w="501" w:type="pct"/>
            <w:vAlign w:val="bottom"/>
          </w:tcPr>
          <w:p w14:paraId="1C167E3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55" w:type="pct"/>
            <w:vAlign w:val="bottom"/>
          </w:tcPr>
          <w:p w14:paraId="25F3F44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20" w:type="pct"/>
            <w:vAlign w:val="bottom"/>
          </w:tcPr>
          <w:p w14:paraId="1AEEC61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20" w:type="pct"/>
            <w:vAlign w:val="bottom"/>
          </w:tcPr>
          <w:p w14:paraId="5531738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28" w:type="pct"/>
            <w:vAlign w:val="bottom"/>
          </w:tcPr>
          <w:p w14:paraId="652B18A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99" w:type="pct"/>
            <w:vAlign w:val="bottom"/>
          </w:tcPr>
          <w:p w14:paraId="415E9BF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71" w:type="pct"/>
            <w:vAlign w:val="bottom"/>
          </w:tcPr>
          <w:p w14:paraId="6592E50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r>
      <w:tr w:rsidR="00587444" w:rsidRPr="00587444" w14:paraId="1A6825D8" w14:textId="77777777" w:rsidTr="00DD69E7">
        <w:trPr>
          <w:trHeight w:val="340"/>
        </w:trPr>
        <w:tc>
          <w:tcPr>
            <w:tcW w:w="1405" w:type="pct"/>
            <w:vAlign w:val="bottom"/>
          </w:tcPr>
          <w:p w14:paraId="249DB452"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bookmarkStart w:id="774" w:name="_Toc4059239"/>
            <w:proofErr w:type="gramStart"/>
            <w:r w:rsidRPr="00587444">
              <w:rPr>
                <w:rFonts w:ascii="Arial" w:hAnsi="Arial" w:cs="Arial"/>
                <w:b/>
                <w:bCs/>
                <w:sz w:val="16"/>
                <w:szCs w:val="16"/>
                <w:lang w:val="en-GB"/>
              </w:rPr>
              <w:t>At</w:t>
            </w:r>
            <w:proofErr w:type="gramEnd"/>
            <w:r w:rsidRPr="00587444">
              <w:rPr>
                <w:rFonts w:ascii="Arial" w:hAnsi="Arial" w:cs="Arial"/>
                <w:b/>
                <w:bCs/>
                <w:sz w:val="16"/>
                <w:szCs w:val="16"/>
                <w:lang w:val="en-GB"/>
              </w:rPr>
              <w:t xml:space="preserve"> 31 December </w:t>
            </w:r>
            <w:bookmarkEnd w:id="774"/>
            <w:r w:rsidRPr="00587444">
              <w:rPr>
                <w:rFonts w:ascii="Arial" w:hAnsi="Arial" w:cs="Arial"/>
                <w:b/>
                <w:bCs/>
                <w:sz w:val="16"/>
                <w:szCs w:val="16"/>
                <w:lang w:val="en-GB"/>
              </w:rPr>
              <w:t>2021</w:t>
            </w:r>
          </w:p>
        </w:tc>
        <w:tc>
          <w:tcPr>
            <w:tcW w:w="501" w:type="pct"/>
            <w:tcBorders>
              <w:left w:val="nil"/>
              <w:right w:val="nil"/>
            </w:tcBorders>
            <w:shd w:val="clear" w:color="auto" w:fill="auto"/>
          </w:tcPr>
          <w:p w14:paraId="511B7DA9"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r w:rsidRPr="00587444">
              <w:rPr>
                <w:rFonts w:ascii="Arial" w:hAnsi="Arial" w:cs="Arial"/>
                <w:b/>
                <w:bCs/>
                <w:color w:val="000000"/>
                <w:sz w:val="16"/>
                <w:szCs w:val="16"/>
                <w:lang w:val="hr-HR"/>
              </w:rPr>
              <w:t xml:space="preserve"> 78,020 </w:t>
            </w:r>
          </w:p>
        </w:tc>
        <w:tc>
          <w:tcPr>
            <w:tcW w:w="555" w:type="pct"/>
            <w:tcBorders>
              <w:left w:val="nil"/>
              <w:right w:val="nil"/>
            </w:tcBorders>
            <w:shd w:val="clear" w:color="auto" w:fill="auto"/>
          </w:tcPr>
          <w:p w14:paraId="26B0AE5D"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r w:rsidRPr="00587444">
              <w:rPr>
                <w:rFonts w:ascii="Arial" w:hAnsi="Arial" w:cs="Arial"/>
                <w:b/>
                <w:bCs/>
                <w:color w:val="000000"/>
                <w:sz w:val="16"/>
                <w:szCs w:val="16"/>
                <w:lang w:val="hr-HR"/>
              </w:rPr>
              <w:t xml:space="preserve"> 13,851 </w:t>
            </w:r>
          </w:p>
        </w:tc>
        <w:tc>
          <w:tcPr>
            <w:tcW w:w="520" w:type="pct"/>
            <w:tcBorders>
              <w:left w:val="nil"/>
              <w:right w:val="nil"/>
            </w:tcBorders>
            <w:shd w:val="clear" w:color="auto" w:fill="auto"/>
          </w:tcPr>
          <w:p w14:paraId="631DE3D3"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r w:rsidRPr="00587444">
              <w:rPr>
                <w:rFonts w:ascii="Arial" w:hAnsi="Arial" w:cs="Arial"/>
                <w:b/>
                <w:bCs/>
                <w:color w:val="000000"/>
                <w:sz w:val="16"/>
                <w:szCs w:val="16"/>
                <w:lang w:val="hr-HR"/>
              </w:rPr>
              <w:t xml:space="preserve"> 12,929 </w:t>
            </w:r>
          </w:p>
        </w:tc>
        <w:tc>
          <w:tcPr>
            <w:tcW w:w="520" w:type="pct"/>
            <w:tcBorders>
              <w:left w:val="nil"/>
              <w:right w:val="nil"/>
            </w:tcBorders>
            <w:shd w:val="clear" w:color="auto" w:fill="auto"/>
          </w:tcPr>
          <w:p w14:paraId="0CB9FEC8"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r w:rsidRPr="00587444">
              <w:rPr>
                <w:rFonts w:ascii="Arial" w:hAnsi="Arial" w:cs="Arial"/>
                <w:b/>
                <w:bCs/>
                <w:color w:val="000000"/>
                <w:sz w:val="16"/>
                <w:szCs w:val="16"/>
                <w:lang w:val="hr-HR"/>
              </w:rPr>
              <w:t xml:space="preserve"> 55 </w:t>
            </w:r>
          </w:p>
        </w:tc>
        <w:tc>
          <w:tcPr>
            <w:tcW w:w="528" w:type="pct"/>
            <w:tcBorders>
              <w:left w:val="nil"/>
              <w:right w:val="nil"/>
            </w:tcBorders>
            <w:shd w:val="clear" w:color="auto" w:fill="auto"/>
          </w:tcPr>
          <w:p w14:paraId="566FEC10"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r w:rsidRPr="00587444">
              <w:rPr>
                <w:rFonts w:ascii="Arial" w:hAnsi="Arial" w:cs="Arial"/>
                <w:b/>
                <w:bCs/>
                <w:color w:val="000000"/>
                <w:sz w:val="16"/>
                <w:szCs w:val="16"/>
                <w:lang w:val="hr-HR"/>
              </w:rPr>
              <w:t xml:space="preserve"> 104,855 </w:t>
            </w:r>
          </w:p>
        </w:tc>
        <w:tc>
          <w:tcPr>
            <w:tcW w:w="499" w:type="pct"/>
            <w:tcBorders>
              <w:left w:val="nil"/>
              <w:right w:val="nil"/>
            </w:tcBorders>
            <w:shd w:val="clear" w:color="auto" w:fill="auto"/>
          </w:tcPr>
          <w:p w14:paraId="1EBFFE80"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r w:rsidRPr="00587444">
              <w:rPr>
                <w:rFonts w:ascii="Arial" w:hAnsi="Arial" w:cs="Arial"/>
                <w:b/>
                <w:bCs/>
                <w:color w:val="000000"/>
                <w:sz w:val="16"/>
                <w:szCs w:val="16"/>
                <w:lang w:val="hr-HR"/>
              </w:rPr>
              <w:t xml:space="preserve"> 35,922 </w:t>
            </w:r>
          </w:p>
        </w:tc>
        <w:tc>
          <w:tcPr>
            <w:tcW w:w="471" w:type="pct"/>
            <w:tcBorders>
              <w:left w:val="nil"/>
              <w:right w:val="nil"/>
            </w:tcBorders>
            <w:shd w:val="clear" w:color="auto" w:fill="auto"/>
          </w:tcPr>
          <w:p w14:paraId="4693426D"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r w:rsidRPr="00587444">
              <w:rPr>
                <w:rFonts w:ascii="Arial" w:hAnsi="Arial" w:cs="Arial"/>
                <w:b/>
                <w:bCs/>
                <w:color w:val="000000"/>
                <w:sz w:val="16"/>
                <w:szCs w:val="16"/>
                <w:lang w:val="hr-HR"/>
              </w:rPr>
              <w:t xml:space="preserve"> 140,777 </w:t>
            </w:r>
          </w:p>
        </w:tc>
      </w:tr>
      <w:tr w:rsidR="00587444" w:rsidRPr="00587444" w14:paraId="7E2EB98A" w14:textId="77777777" w:rsidTr="00DD69E7">
        <w:trPr>
          <w:trHeight w:val="340"/>
        </w:trPr>
        <w:tc>
          <w:tcPr>
            <w:tcW w:w="1405" w:type="pct"/>
            <w:vAlign w:val="bottom"/>
          </w:tcPr>
          <w:p w14:paraId="28808592" w14:textId="77777777" w:rsidR="00587444" w:rsidRPr="00587444" w:rsidRDefault="00587444" w:rsidP="00587444">
            <w:pPr>
              <w:tabs>
                <w:tab w:val="right" w:pos="1202"/>
              </w:tabs>
              <w:suppressAutoHyphens w:val="0"/>
              <w:autoSpaceDN/>
              <w:spacing w:line="240" w:lineRule="exact"/>
              <w:outlineLvl w:val="0"/>
              <w:rPr>
                <w:rFonts w:ascii="Arial" w:hAnsi="Arial" w:cs="Arial"/>
                <w:sz w:val="16"/>
                <w:szCs w:val="16"/>
                <w:lang w:val="en-GB"/>
              </w:rPr>
            </w:pPr>
            <w:bookmarkStart w:id="775" w:name="_Toc4059247"/>
            <w:r w:rsidRPr="00587444">
              <w:rPr>
                <w:rFonts w:ascii="Arial" w:hAnsi="Arial" w:cs="Arial"/>
                <w:sz w:val="16"/>
                <w:szCs w:val="16"/>
                <w:lang w:val="en-GB"/>
              </w:rPr>
              <w:t>Additions</w:t>
            </w:r>
            <w:bookmarkEnd w:id="775"/>
          </w:p>
        </w:tc>
        <w:tc>
          <w:tcPr>
            <w:tcW w:w="501" w:type="pct"/>
            <w:tcBorders>
              <w:left w:val="nil"/>
              <w:bottom w:val="nil"/>
              <w:right w:val="nil"/>
            </w:tcBorders>
            <w:shd w:val="clear" w:color="auto" w:fill="auto"/>
            <w:vAlign w:val="bottom"/>
          </w:tcPr>
          <w:p w14:paraId="6590EB0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w:t>
            </w:r>
          </w:p>
        </w:tc>
        <w:tc>
          <w:tcPr>
            <w:tcW w:w="555" w:type="pct"/>
            <w:tcBorders>
              <w:left w:val="nil"/>
              <w:bottom w:val="nil"/>
              <w:right w:val="nil"/>
            </w:tcBorders>
            <w:shd w:val="clear" w:color="auto" w:fill="auto"/>
            <w:vAlign w:val="bottom"/>
          </w:tcPr>
          <w:p w14:paraId="0396810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24 </w:t>
            </w:r>
          </w:p>
        </w:tc>
        <w:tc>
          <w:tcPr>
            <w:tcW w:w="520" w:type="pct"/>
            <w:tcBorders>
              <w:left w:val="nil"/>
              <w:bottom w:val="nil"/>
              <w:right w:val="nil"/>
            </w:tcBorders>
            <w:shd w:val="clear" w:color="auto" w:fill="auto"/>
            <w:vAlign w:val="bottom"/>
          </w:tcPr>
          <w:p w14:paraId="3FE1D16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12 </w:t>
            </w:r>
          </w:p>
        </w:tc>
        <w:tc>
          <w:tcPr>
            <w:tcW w:w="520" w:type="pct"/>
            <w:tcBorders>
              <w:left w:val="nil"/>
              <w:bottom w:val="nil"/>
              <w:right w:val="nil"/>
            </w:tcBorders>
            <w:shd w:val="clear" w:color="auto" w:fill="auto"/>
            <w:vAlign w:val="bottom"/>
          </w:tcPr>
          <w:p w14:paraId="552C062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4,502 </w:t>
            </w:r>
          </w:p>
        </w:tc>
        <w:tc>
          <w:tcPr>
            <w:tcW w:w="528" w:type="pct"/>
            <w:tcBorders>
              <w:left w:val="nil"/>
              <w:bottom w:val="nil"/>
              <w:right w:val="nil"/>
            </w:tcBorders>
            <w:shd w:val="clear" w:color="auto" w:fill="auto"/>
            <w:vAlign w:val="bottom"/>
          </w:tcPr>
          <w:p w14:paraId="14F60CC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4,538 </w:t>
            </w:r>
          </w:p>
        </w:tc>
        <w:tc>
          <w:tcPr>
            <w:tcW w:w="499" w:type="pct"/>
            <w:tcBorders>
              <w:left w:val="nil"/>
              <w:bottom w:val="nil"/>
              <w:right w:val="nil"/>
            </w:tcBorders>
            <w:shd w:val="clear" w:color="auto" w:fill="auto"/>
            <w:vAlign w:val="bottom"/>
          </w:tcPr>
          <w:p w14:paraId="3E54B74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45 </w:t>
            </w:r>
          </w:p>
        </w:tc>
        <w:tc>
          <w:tcPr>
            <w:tcW w:w="471" w:type="pct"/>
            <w:tcBorders>
              <w:left w:val="nil"/>
              <w:bottom w:val="nil"/>
              <w:right w:val="nil"/>
            </w:tcBorders>
            <w:shd w:val="clear" w:color="auto" w:fill="auto"/>
            <w:vAlign w:val="bottom"/>
          </w:tcPr>
          <w:p w14:paraId="53083D9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4,583 </w:t>
            </w:r>
          </w:p>
        </w:tc>
      </w:tr>
      <w:tr w:rsidR="00587444" w:rsidRPr="00587444" w14:paraId="15B195DC" w14:textId="77777777" w:rsidTr="00DD69E7">
        <w:trPr>
          <w:trHeight w:val="441"/>
        </w:trPr>
        <w:tc>
          <w:tcPr>
            <w:tcW w:w="1405" w:type="pct"/>
            <w:vAlign w:val="bottom"/>
          </w:tcPr>
          <w:p w14:paraId="6190E97A" w14:textId="77777777" w:rsidR="00587444" w:rsidRPr="00587444" w:rsidRDefault="00587444" w:rsidP="00587444">
            <w:pPr>
              <w:tabs>
                <w:tab w:val="right" w:pos="1202"/>
              </w:tabs>
              <w:suppressAutoHyphens w:val="0"/>
              <w:autoSpaceDN/>
              <w:spacing w:line="240" w:lineRule="exact"/>
              <w:outlineLvl w:val="0"/>
              <w:rPr>
                <w:rFonts w:ascii="Arial" w:hAnsi="Arial" w:cs="Arial"/>
                <w:sz w:val="16"/>
                <w:szCs w:val="16"/>
                <w:lang w:val="en-GB"/>
              </w:rPr>
            </w:pPr>
            <w:bookmarkStart w:id="776" w:name="_Toc4059255"/>
            <w:r w:rsidRPr="00587444">
              <w:rPr>
                <w:rFonts w:ascii="Arial" w:hAnsi="Arial" w:cs="Arial"/>
                <w:sz w:val="16"/>
                <w:szCs w:val="16"/>
                <w:lang w:val="en-GB"/>
              </w:rPr>
              <w:t>Transfer from assets not yet ready for use</w:t>
            </w:r>
            <w:bookmarkEnd w:id="776"/>
            <w:r w:rsidRPr="00587444" w:rsidDel="004F4367">
              <w:rPr>
                <w:rFonts w:ascii="Arial" w:hAnsi="Arial" w:cs="Arial"/>
                <w:sz w:val="16"/>
                <w:szCs w:val="16"/>
                <w:lang w:val="en-GB"/>
              </w:rPr>
              <w:t xml:space="preserve"> </w:t>
            </w:r>
          </w:p>
        </w:tc>
        <w:tc>
          <w:tcPr>
            <w:tcW w:w="501" w:type="pct"/>
            <w:tcBorders>
              <w:top w:val="nil"/>
              <w:left w:val="nil"/>
              <w:right w:val="nil"/>
            </w:tcBorders>
            <w:shd w:val="clear" w:color="auto" w:fill="auto"/>
            <w:vAlign w:val="bottom"/>
          </w:tcPr>
          <w:p w14:paraId="0F59E16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 </w:t>
            </w:r>
          </w:p>
        </w:tc>
        <w:tc>
          <w:tcPr>
            <w:tcW w:w="555" w:type="pct"/>
            <w:tcBorders>
              <w:top w:val="nil"/>
              <w:left w:val="nil"/>
              <w:right w:val="nil"/>
            </w:tcBorders>
            <w:shd w:val="clear" w:color="auto" w:fill="auto"/>
            <w:vAlign w:val="bottom"/>
          </w:tcPr>
          <w:p w14:paraId="0628544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466 </w:t>
            </w:r>
          </w:p>
        </w:tc>
        <w:tc>
          <w:tcPr>
            <w:tcW w:w="520" w:type="pct"/>
            <w:tcBorders>
              <w:top w:val="nil"/>
              <w:left w:val="nil"/>
              <w:right w:val="nil"/>
            </w:tcBorders>
            <w:shd w:val="clear" w:color="auto" w:fill="auto"/>
            <w:vAlign w:val="bottom"/>
          </w:tcPr>
          <w:p w14:paraId="5436F6C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1,649 </w:t>
            </w:r>
          </w:p>
        </w:tc>
        <w:tc>
          <w:tcPr>
            <w:tcW w:w="520" w:type="pct"/>
            <w:tcBorders>
              <w:top w:val="nil"/>
              <w:left w:val="nil"/>
              <w:right w:val="nil"/>
            </w:tcBorders>
            <w:shd w:val="clear" w:color="auto" w:fill="auto"/>
            <w:vAlign w:val="bottom"/>
          </w:tcPr>
          <w:p w14:paraId="5BA6CE5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(4,494)</w:t>
            </w:r>
          </w:p>
        </w:tc>
        <w:tc>
          <w:tcPr>
            <w:tcW w:w="528" w:type="pct"/>
            <w:tcBorders>
              <w:top w:val="nil"/>
              <w:left w:val="nil"/>
              <w:right w:val="nil"/>
            </w:tcBorders>
            <w:shd w:val="clear" w:color="auto" w:fill="auto"/>
            <w:vAlign w:val="bottom"/>
          </w:tcPr>
          <w:p w14:paraId="2947D95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(2,379)</w:t>
            </w:r>
          </w:p>
        </w:tc>
        <w:tc>
          <w:tcPr>
            <w:tcW w:w="499" w:type="pct"/>
            <w:tcBorders>
              <w:top w:val="nil"/>
              <w:left w:val="nil"/>
              <w:right w:val="nil"/>
            </w:tcBorders>
            <w:shd w:val="clear" w:color="auto" w:fill="auto"/>
            <w:vAlign w:val="bottom"/>
          </w:tcPr>
          <w:p w14:paraId="4468EB3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2,379 </w:t>
            </w:r>
          </w:p>
        </w:tc>
        <w:tc>
          <w:tcPr>
            <w:tcW w:w="471" w:type="pct"/>
            <w:tcBorders>
              <w:top w:val="nil"/>
              <w:left w:val="nil"/>
              <w:right w:val="nil"/>
            </w:tcBorders>
            <w:shd w:val="clear" w:color="auto" w:fill="auto"/>
            <w:vAlign w:val="bottom"/>
          </w:tcPr>
          <w:p w14:paraId="0814815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 </w:t>
            </w:r>
          </w:p>
        </w:tc>
      </w:tr>
      <w:tr w:rsidR="00587444" w:rsidRPr="00587444" w14:paraId="3498E9B3" w14:textId="77777777" w:rsidTr="00DD69E7">
        <w:trPr>
          <w:trHeight w:val="346"/>
        </w:trPr>
        <w:tc>
          <w:tcPr>
            <w:tcW w:w="1405" w:type="pct"/>
            <w:vAlign w:val="bottom"/>
          </w:tcPr>
          <w:p w14:paraId="58CECA73" w14:textId="77777777" w:rsidR="00587444" w:rsidRPr="00587444" w:rsidRDefault="00587444" w:rsidP="00587444">
            <w:pPr>
              <w:tabs>
                <w:tab w:val="right" w:pos="1202"/>
              </w:tabs>
              <w:suppressAutoHyphens w:val="0"/>
              <w:autoSpaceDN/>
              <w:spacing w:line="240" w:lineRule="exact"/>
              <w:outlineLvl w:val="0"/>
              <w:rPr>
                <w:rFonts w:ascii="Arial" w:hAnsi="Arial" w:cs="Arial"/>
                <w:sz w:val="16"/>
                <w:szCs w:val="16"/>
                <w:lang w:val="en-GB"/>
              </w:rPr>
            </w:pPr>
            <w:bookmarkStart w:id="777" w:name="_Toc4059263"/>
            <w:r w:rsidRPr="00587444">
              <w:rPr>
                <w:rFonts w:ascii="Arial" w:hAnsi="Arial" w:cs="Arial"/>
                <w:sz w:val="16"/>
                <w:szCs w:val="16"/>
                <w:lang w:val="en-GB"/>
              </w:rPr>
              <w:t>Disposals and write-offs</w:t>
            </w:r>
            <w:bookmarkEnd w:id="777"/>
          </w:p>
        </w:tc>
        <w:tc>
          <w:tcPr>
            <w:tcW w:w="501" w:type="pct"/>
            <w:tcBorders>
              <w:top w:val="nil"/>
              <w:left w:val="nil"/>
              <w:right w:val="nil"/>
            </w:tcBorders>
            <w:shd w:val="clear" w:color="auto" w:fill="auto"/>
            <w:vAlign w:val="bottom"/>
          </w:tcPr>
          <w:p w14:paraId="10397A18"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 </w:t>
            </w:r>
          </w:p>
        </w:tc>
        <w:tc>
          <w:tcPr>
            <w:tcW w:w="555" w:type="pct"/>
            <w:tcBorders>
              <w:top w:val="nil"/>
              <w:left w:val="nil"/>
              <w:right w:val="nil"/>
            </w:tcBorders>
            <w:shd w:val="clear" w:color="auto" w:fill="auto"/>
            <w:vAlign w:val="bottom"/>
          </w:tcPr>
          <w:p w14:paraId="080D95CE"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(3,802)</w:t>
            </w:r>
          </w:p>
        </w:tc>
        <w:tc>
          <w:tcPr>
            <w:tcW w:w="520" w:type="pct"/>
            <w:tcBorders>
              <w:top w:val="nil"/>
              <w:left w:val="nil"/>
              <w:right w:val="nil"/>
            </w:tcBorders>
            <w:shd w:val="clear" w:color="auto" w:fill="auto"/>
            <w:vAlign w:val="bottom"/>
          </w:tcPr>
          <w:p w14:paraId="0C38C453"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(2,808)</w:t>
            </w:r>
          </w:p>
        </w:tc>
        <w:tc>
          <w:tcPr>
            <w:tcW w:w="520" w:type="pct"/>
            <w:tcBorders>
              <w:top w:val="nil"/>
              <w:left w:val="nil"/>
              <w:right w:val="nil"/>
            </w:tcBorders>
            <w:shd w:val="clear" w:color="auto" w:fill="auto"/>
            <w:vAlign w:val="bottom"/>
          </w:tcPr>
          <w:p w14:paraId="78D05860"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  </w:t>
            </w:r>
          </w:p>
        </w:tc>
        <w:tc>
          <w:tcPr>
            <w:tcW w:w="528" w:type="pct"/>
            <w:tcBorders>
              <w:top w:val="nil"/>
              <w:left w:val="nil"/>
              <w:right w:val="nil"/>
            </w:tcBorders>
            <w:shd w:val="clear" w:color="auto" w:fill="auto"/>
            <w:vAlign w:val="bottom"/>
          </w:tcPr>
          <w:p w14:paraId="6BDB4BDD"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(6,610)</w:t>
            </w:r>
          </w:p>
        </w:tc>
        <w:tc>
          <w:tcPr>
            <w:tcW w:w="499" w:type="pct"/>
            <w:tcBorders>
              <w:top w:val="nil"/>
              <w:left w:val="nil"/>
              <w:right w:val="nil"/>
            </w:tcBorders>
            <w:shd w:val="clear" w:color="auto" w:fill="auto"/>
            <w:vAlign w:val="bottom"/>
          </w:tcPr>
          <w:p w14:paraId="56FA5A31"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(306)</w:t>
            </w:r>
          </w:p>
        </w:tc>
        <w:tc>
          <w:tcPr>
            <w:tcW w:w="471" w:type="pct"/>
            <w:tcBorders>
              <w:top w:val="nil"/>
              <w:left w:val="nil"/>
              <w:right w:val="nil"/>
            </w:tcBorders>
            <w:shd w:val="clear" w:color="auto" w:fill="auto"/>
            <w:vAlign w:val="bottom"/>
          </w:tcPr>
          <w:p w14:paraId="5D62DBD9"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(6,916)</w:t>
            </w:r>
          </w:p>
        </w:tc>
      </w:tr>
      <w:tr w:rsidR="00587444" w:rsidRPr="00587444" w14:paraId="00CB2C78" w14:textId="77777777" w:rsidTr="00DD69E7">
        <w:trPr>
          <w:trHeight w:val="346"/>
        </w:trPr>
        <w:tc>
          <w:tcPr>
            <w:tcW w:w="1405" w:type="pct"/>
            <w:vAlign w:val="bottom"/>
          </w:tcPr>
          <w:p w14:paraId="694A5802" w14:textId="77777777" w:rsidR="00587444" w:rsidRPr="00587444" w:rsidRDefault="00587444" w:rsidP="00587444">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Returned to use</w:t>
            </w:r>
          </w:p>
        </w:tc>
        <w:tc>
          <w:tcPr>
            <w:tcW w:w="501" w:type="pct"/>
            <w:tcBorders>
              <w:top w:val="nil"/>
              <w:left w:val="nil"/>
              <w:right w:val="nil"/>
            </w:tcBorders>
            <w:shd w:val="clear" w:color="auto" w:fill="auto"/>
            <w:vAlign w:val="bottom"/>
          </w:tcPr>
          <w:p w14:paraId="641F38B7"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 </w:t>
            </w:r>
          </w:p>
        </w:tc>
        <w:tc>
          <w:tcPr>
            <w:tcW w:w="555" w:type="pct"/>
            <w:tcBorders>
              <w:top w:val="nil"/>
              <w:left w:val="nil"/>
              <w:right w:val="nil"/>
            </w:tcBorders>
            <w:shd w:val="clear" w:color="auto" w:fill="auto"/>
            <w:vAlign w:val="bottom"/>
          </w:tcPr>
          <w:p w14:paraId="1CCFA537"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 </w:t>
            </w:r>
          </w:p>
        </w:tc>
        <w:tc>
          <w:tcPr>
            <w:tcW w:w="520" w:type="pct"/>
            <w:tcBorders>
              <w:top w:val="nil"/>
              <w:left w:val="nil"/>
              <w:right w:val="nil"/>
            </w:tcBorders>
            <w:shd w:val="clear" w:color="auto" w:fill="auto"/>
            <w:vAlign w:val="bottom"/>
          </w:tcPr>
          <w:p w14:paraId="6501F590"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25 </w:t>
            </w:r>
          </w:p>
        </w:tc>
        <w:tc>
          <w:tcPr>
            <w:tcW w:w="520" w:type="pct"/>
            <w:tcBorders>
              <w:top w:val="nil"/>
              <w:left w:val="nil"/>
              <w:right w:val="nil"/>
            </w:tcBorders>
            <w:shd w:val="clear" w:color="auto" w:fill="auto"/>
            <w:vAlign w:val="bottom"/>
          </w:tcPr>
          <w:p w14:paraId="17367333"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 </w:t>
            </w:r>
          </w:p>
        </w:tc>
        <w:tc>
          <w:tcPr>
            <w:tcW w:w="528" w:type="pct"/>
            <w:tcBorders>
              <w:top w:val="nil"/>
              <w:left w:val="nil"/>
              <w:right w:val="nil"/>
            </w:tcBorders>
            <w:shd w:val="clear" w:color="auto" w:fill="auto"/>
            <w:vAlign w:val="bottom"/>
          </w:tcPr>
          <w:p w14:paraId="1EEE35DC"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27 </w:t>
            </w:r>
          </w:p>
        </w:tc>
        <w:tc>
          <w:tcPr>
            <w:tcW w:w="499" w:type="pct"/>
            <w:tcBorders>
              <w:top w:val="nil"/>
              <w:left w:val="nil"/>
              <w:right w:val="nil"/>
            </w:tcBorders>
            <w:shd w:val="clear" w:color="auto" w:fill="auto"/>
            <w:vAlign w:val="bottom"/>
          </w:tcPr>
          <w:p w14:paraId="3394F398"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 </w:t>
            </w:r>
          </w:p>
        </w:tc>
        <w:tc>
          <w:tcPr>
            <w:tcW w:w="471" w:type="pct"/>
            <w:tcBorders>
              <w:top w:val="nil"/>
              <w:left w:val="nil"/>
              <w:right w:val="nil"/>
            </w:tcBorders>
            <w:shd w:val="clear" w:color="auto" w:fill="auto"/>
            <w:vAlign w:val="bottom"/>
          </w:tcPr>
          <w:p w14:paraId="7451CA4F"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27 </w:t>
            </w:r>
          </w:p>
        </w:tc>
      </w:tr>
      <w:tr w:rsidR="00587444" w:rsidRPr="00587444" w14:paraId="6148D0D2" w14:textId="77777777" w:rsidTr="00DD69E7">
        <w:trPr>
          <w:trHeight w:val="346"/>
        </w:trPr>
        <w:tc>
          <w:tcPr>
            <w:tcW w:w="1405" w:type="pct"/>
            <w:vAlign w:val="bottom"/>
          </w:tcPr>
          <w:p w14:paraId="0D759D23"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bookmarkStart w:id="778" w:name="_Toc4059271"/>
            <w:proofErr w:type="gramStart"/>
            <w:r w:rsidRPr="00587444">
              <w:rPr>
                <w:rFonts w:ascii="Arial" w:hAnsi="Arial" w:cs="Arial"/>
                <w:b/>
                <w:bCs/>
                <w:sz w:val="16"/>
                <w:szCs w:val="16"/>
                <w:lang w:val="en-GB"/>
              </w:rPr>
              <w:t>At</w:t>
            </w:r>
            <w:proofErr w:type="gramEnd"/>
            <w:r w:rsidRPr="00587444">
              <w:rPr>
                <w:rFonts w:ascii="Arial" w:hAnsi="Arial" w:cs="Arial"/>
                <w:b/>
                <w:bCs/>
                <w:sz w:val="16"/>
                <w:szCs w:val="16"/>
                <w:lang w:val="en-GB"/>
              </w:rPr>
              <w:t xml:space="preserve"> 31 December </w:t>
            </w:r>
            <w:bookmarkEnd w:id="778"/>
            <w:r w:rsidRPr="00587444">
              <w:rPr>
                <w:rFonts w:ascii="Arial" w:hAnsi="Arial" w:cs="Arial"/>
                <w:b/>
                <w:bCs/>
                <w:sz w:val="16"/>
                <w:szCs w:val="16"/>
                <w:lang w:val="en-GB"/>
              </w:rPr>
              <w:t>2022</w:t>
            </w:r>
          </w:p>
        </w:tc>
        <w:tc>
          <w:tcPr>
            <w:tcW w:w="501" w:type="pct"/>
            <w:tcBorders>
              <w:top w:val="single" w:sz="4" w:space="0" w:color="auto"/>
              <w:left w:val="nil"/>
              <w:bottom w:val="single" w:sz="12" w:space="0" w:color="auto"/>
              <w:right w:val="nil"/>
            </w:tcBorders>
            <w:shd w:val="clear" w:color="auto" w:fill="auto"/>
            <w:vAlign w:val="bottom"/>
          </w:tcPr>
          <w:p w14:paraId="7419FB44"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78,020 </w:t>
            </w:r>
          </w:p>
        </w:tc>
        <w:tc>
          <w:tcPr>
            <w:tcW w:w="555" w:type="pct"/>
            <w:tcBorders>
              <w:top w:val="single" w:sz="4" w:space="0" w:color="auto"/>
              <w:left w:val="nil"/>
              <w:bottom w:val="single" w:sz="12" w:space="0" w:color="auto"/>
              <w:right w:val="nil"/>
            </w:tcBorders>
            <w:shd w:val="clear" w:color="auto" w:fill="auto"/>
            <w:vAlign w:val="bottom"/>
          </w:tcPr>
          <w:p w14:paraId="23C943D9"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10,541 </w:t>
            </w:r>
          </w:p>
        </w:tc>
        <w:tc>
          <w:tcPr>
            <w:tcW w:w="520" w:type="pct"/>
            <w:tcBorders>
              <w:top w:val="single" w:sz="4" w:space="0" w:color="auto"/>
              <w:left w:val="nil"/>
              <w:bottom w:val="single" w:sz="12" w:space="0" w:color="auto"/>
              <w:right w:val="nil"/>
            </w:tcBorders>
            <w:shd w:val="clear" w:color="auto" w:fill="auto"/>
            <w:vAlign w:val="bottom"/>
          </w:tcPr>
          <w:p w14:paraId="7B3C997F"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11,807 </w:t>
            </w:r>
          </w:p>
        </w:tc>
        <w:tc>
          <w:tcPr>
            <w:tcW w:w="520" w:type="pct"/>
            <w:tcBorders>
              <w:top w:val="single" w:sz="4" w:space="0" w:color="auto"/>
              <w:left w:val="nil"/>
              <w:bottom w:val="single" w:sz="12" w:space="0" w:color="auto"/>
              <w:right w:val="nil"/>
            </w:tcBorders>
            <w:shd w:val="clear" w:color="auto" w:fill="auto"/>
            <w:vAlign w:val="bottom"/>
          </w:tcPr>
          <w:p w14:paraId="5ED989C8"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63 </w:t>
            </w:r>
          </w:p>
        </w:tc>
        <w:tc>
          <w:tcPr>
            <w:tcW w:w="528" w:type="pct"/>
            <w:tcBorders>
              <w:top w:val="single" w:sz="4" w:space="0" w:color="auto"/>
              <w:left w:val="nil"/>
              <w:bottom w:val="single" w:sz="12" w:space="0" w:color="auto"/>
              <w:right w:val="nil"/>
            </w:tcBorders>
            <w:shd w:val="clear" w:color="auto" w:fill="auto"/>
            <w:vAlign w:val="bottom"/>
          </w:tcPr>
          <w:p w14:paraId="5A87A62E"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100,431 </w:t>
            </w:r>
          </w:p>
        </w:tc>
        <w:tc>
          <w:tcPr>
            <w:tcW w:w="499" w:type="pct"/>
            <w:tcBorders>
              <w:top w:val="single" w:sz="4" w:space="0" w:color="auto"/>
              <w:left w:val="nil"/>
              <w:bottom w:val="single" w:sz="12" w:space="0" w:color="auto"/>
              <w:right w:val="nil"/>
            </w:tcBorders>
            <w:shd w:val="clear" w:color="auto" w:fill="auto"/>
            <w:vAlign w:val="bottom"/>
          </w:tcPr>
          <w:p w14:paraId="20FF1B77"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38,040 </w:t>
            </w:r>
          </w:p>
        </w:tc>
        <w:tc>
          <w:tcPr>
            <w:tcW w:w="471" w:type="pct"/>
            <w:tcBorders>
              <w:top w:val="single" w:sz="4" w:space="0" w:color="auto"/>
              <w:left w:val="nil"/>
              <w:bottom w:val="single" w:sz="12" w:space="0" w:color="auto"/>
              <w:right w:val="nil"/>
            </w:tcBorders>
            <w:shd w:val="clear" w:color="auto" w:fill="auto"/>
            <w:vAlign w:val="bottom"/>
          </w:tcPr>
          <w:p w14:paraId="75CD5528"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138,471 </w:t>
            </w:r>
          </w:p>
        </w:tc>
      </w:tr>
      <w:tr w:rsidR="00587444" w:rsidRPr="00587444" w14:paraId="365014CC" w14:textId="77777777" w:rsidTr="00DD69E7">
        <w:trPr>
          <w:trHeight w:val="371"/>
        </w:trPr>
        <w:tc>
          <w:tcPr>
            <w:tcW w:w="1405" w:type="pct"/>
            <w:vAlign w:val="bottom"/>
          </w:tcPr>
          <w:p w14:paraId="417FFAB4"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bookmarkStart w:id="779" w:name="_Toc4059279"/>
            <w:r w:rsidRPr="00587444">
              <w:rPr>
                <w:rFonts w:ascii="Arial" w:hAnsi="Arial" w:cs="Arial"/>
                <w:b/>
                <w:bCs/>
                <w:sz w:val="16"/>
                <w:szCs w:val="16"/>
                <w:lang w:val="en-GB"/>
              </w:rPr>
              <w:t>Accumulated depreciation</w:t>
            </w:r>
            <w:bookmarkEnd w:id="779"/>
            <w:r w:rsidRPr="00587444">
              <w:rPr>
                <w:rFonts w:ascii="Arial" w:hAnsi="Arial" w:cs="Arial"/>
                <w:b/>
                <w:bCs/>
                <w:sz w:val="16"/>
                <w:szCs w:val="16"/>
                <w:lang w:val="en-GB"/>
              </w:rPr>
              <w:t xml:space="preserve"> and write-off</w:t>
            </w:r>
          </w:p>
        </w:tc>
        <w:tc>
          <w:tcPr>
            <w:tcW w:w="501" w:type="pct"/>
            <w:tcBorders>
              <w:top w:val="single" w:sz="12" w:space="0" w:color="auto"/>
            </w:tcBorders>
            <w:vAlign w:val="center"/>
          </w:tcPr>
          <w:p w14:paraId="65C1B33D"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555" w:type="pct"/>
            <w:tcBorders>
              <w:top w:val="single" w:sz="12" w:space="0" w:color="auto"/>
            </w:tcBorders>
            <w:vAlign w:val="center"/>
          </w:tcPr>
          <w:p w14:paraId="530621EC"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520" w:type="pct"/>
            <w:tcBorders>
              <w:top w:val="single" w:sz="12" w:space="0" w:color="auto"/>
            </w:tcBorders>
            <w:vAlign w:val="center"/>
          </w:tcPr>
          <w:p w14:paraId="2D5030C1"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520" w:type="pct"/>
            <w:tcBorders>
              <w:top w:val="single" w:sz="12" w:space="0" w:color="auto"/>
            </w:tcBorders>
            <w:vAlign w:val="center"/>
          </w:tcPr>
          <w:p w14:paraId="786B23AB"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528" w:type="pct"/>
            <w:tcBorders>
              <w:top w:val="single" w:sz="12" w:space="0" w:color="auto"/>
            </w:tcBorders>
            <w:vAlign w:val="center"/>
          </w:tcPr>
          <w:p w14:paraId="414442DE"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499" w:type="pct"/>
            <w:tcBorders>
              <w:top w:val="single" w:sz="12" w:space="0" w:color="auto"/>
            </w:tcBorders>
            <w:vAlign w:val="center"/>
          </w:tcPr>
          <w:p w14:paraId="72C62047"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471" w:type="pct"/>
            <w:tcBorders>
              <w:top w:val="single" w:sz="12" w:space="0" w:color="auto"/>
            </w:tcBorders>
            <w:vAlign w:val="center"/>
          </w:tcPr>
          <w:p w14:paraId="35D137A2"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r>
      <w:tr w:rsidR="00587444" w:rsidRPr="00587444" w14:paraId="45AB4DBC" w14:textId="77777777" w:rsidTr="00DD69E7">
        <w:trPr>
          <w:trHeight w:val="346"/>
        </w:trPr>
        <w:tc>
          <w:tcPr>
            <w:tcW w:w="1405" w:type="pct"/>
            <w:vAlign w:val="bottom"/>
          </w:tcPr>
          <w:p w14:paraId="393AB2DF"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bookmarkStart w:id="780" w:name="_Toc4059280"/>
            <w:proofErr w:type="gramStart"/>
            <w:r w:rsidRPr="00587444">
              <w:rPr>
                <w:rFonts w:ascii="Arial" w:hAnsi="Arial" w:cs="Arial"/>
                <w:b/>
                <w:bCs/>
                <w:sz w:val="16"/>
                <w:szCs w:val="16"/>
                <w:lang w:val="en-GB"/>
              </w:rPr>
              <w:t>At</w:t>
            </w:r>
            <w:proofErr w:type="gramEnd"/>
            <w:r w:rsidRPr="00587444">
              <w:rPr>
                <w:rFonts w:ascii="Arial" w:hAnsi="Arial" w:cs="Arial"/>
                <w:b/>
                <w:bCs/>
                <w:sz w:val="16"/>
                <w:szCs w:val="16"/>
                <w:lang w:val="en-GB"/>
              </w:rPr>
              <w:t xml:space="preserve"> 31 December </w:t>
            </w:r>
            <w:bookmarkEnd w:id="780"/>
            <w:r w:rsidRPr="00587444">
              <w:rPr>
                <w:rFonts w:ascii="Arial" w:hAnsi="Arial" w:cs="Arial"/>
                <w:b/>
                <w:bCs/>
                <w:sz w:val="16"/>
                <w:szCs w:val="16"/>
                <w:lang w:val="en-GB"/>
              </w:rPr>
              <w:t>2021</w:t>
            </w:r>
          </w:p>
        </w:tc>
        <w:tc>
          <w:tcPr>
            <w:tcW w:w="501" w:type="pct"/>
            <w:tcBorders>
              <w:left w:val="nil"/>
              <w:right w:val="nil"/>
            </w:tcBorders>
            <w:shd w:val="clear" w:color="auto" w:fill="auto"/>
            <w:vAlign w:val="bottom"/>
          </w:tcPr>
          <w:p w14:paraId="1BECE9E8"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r w:rsidRPr="00587444">
              <w:rPr>
                <w:rFonts w:ascii="Arial" w:hAnsi="Arial" w:cs="Arial"/>
                <w:b/>
                <w:bCs/>
                <w:sz w:val="16"/>
                <w:szCs w:val="16"/>
                <w:lang w:val="en-GB"/>
              </w:rPr>
              <w:t xml:space="preserve"> 44,971 </w:t>
            </w:r>
          </w:p>
        </w:tc>
        <w:tc>
          <w:tcPr>
            <w:tcW w:w="555" w:type="pct"/>
            <w:tcBorders>
              <w:left w:val="nil"/>
              <w:right w:val="nil"/>
            </w:tcBorders>
            <w:shd w:val="clear" w:color="auto" w:fill="auto"/>
            <w:vAlign w:val="bottom"/>
          </w:tcPr>
          <w:p w14:paraId="6AD63B66"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r w:rsidRPr="00587444">
              <w:rPr>
                <w:rFonts w:ascii="Arial" w:hAnsi="Arial" w:cs="Arial"/>
                <w:b/>
                <w:bCs/>
                <w:sz w:val="16"/>
                <w:szCs w:val="16"/>
                <w:lang w:val="en-GB"/>
              </w:rPr>
              <w:t xml:space="preserve"> 11,525 </w:t>
            </w:r>
          </w:p>
        </w:tc>
        <w:tc>
          <w:tcPr>
            <w:tcW w:w="520" w:type="pct"/>
            <w:tcBorders>
              <w:left w:val="nil"/>
              <w:right w:val="nil"/>
            </w:tcBorders>
            <w:shd w:val="clear" w:color="auto" w:fill="auto"/>
            <w:vAlign w:val="bottom"/>
          </w:tcPr>
          <w:p w14:paraId="37B1BB41"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r w:rsidRPr="00587444">
              <w:rPr>
                <w:rFonts w:ascii="Arial" w:hAnsi="Arial" w:cs="Arial"/>
                <w:b/>
                <w:bCs/>
                <w:sz w:val="16"/>
                <w:szCs w:val="16"/>
                <w:lang w:val="en-GB"/>
              </w:rPr>
              <w:t xml:space="preserve"> 10,771 </w:t>
            </w:r>
          </w:p>
        </w:tc>
        <w:tc>
          <w:tcPr>
            <w:tcW w:w="520" w:type="pct"/>
            <w:tcBorders>
              <w:left w:val="nil"/>
              <w:right w:val="nil"/>
            </w:tcBorders>
            <w:shd w:val="clear" w:color="auto" w:fill="auto"/>
            <w:vAlign w:val="bottom"/>
          </w:tcPr>
          <w:p w14:paraId="3869888D"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r w:rsidRPr="00587444">
              <w:rPr>
                <w:rFonts w:ascii="Arial" w:hAnsi="Arial" w:cs="Arial"/>
                <w:b/>
                <w:bCs/>
                <w:sz w:val="16"/>
                <w:szCs w:val="16"/>
                <w:lang w:val="en-GB"/>
              </w:rPr>
              <w:t xml:space="preserve"> - </w:t>
            </w:r>
          </w:p>
        </w:tc>
        <w:tc>
          <w:tcPr>
            <w:tcW w:w="528" w:type="pct"/>
            <w:tcBorders>
              <w:left w:val="nil"/>
              <w:right w:val="nil"/>
            </w:tcBorders>
            <w:shd w:val="clear" w:color="auto" w:fill="auto"/>
            <w:vAlign w:val="bottom"/>
          </w:tcPr>
          <w:p w14:paraId="43A85E31"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r w:rsidRPr="00587444">
              <w:rPr>
                <w:rFonts w:ascii="Arial" w:hAnsi="Arial" w:cs="Arial"/>
                <w:b/>
                <w:bCs/>
                <w:sz w:val="16"/>
                <w:szCs w:val="16"/>
                <w:lang w:val="en-GB"/>
              </w:rPr>
              <w:t xml:space="preserve"> 67,267 </w:t>
            </w:r>
          </w:p>
        </w:tc>
        <w:tc>
          <w:tcPr>
            <w:tcW w:w="499" w:type="pct"/>
            <w:tcBorders>
              <w:left w:val="nil"/>
              <w:right w:val="nil"/>
            </w:tcBorders>
            <w:shd w:val="clear" w:color="auto" w:fill="auto"/>
            <w:vAlign w:val="bottom"/>
          </w:tcPr>
          <w:p w14:paraId="2D3256E4"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r w:rsidRPr="00587444">
              <w:rPr>
                <w:rFonts w:ascii="Arial" w:hAnsi="Arial" w:cs="Arial"/>
                <w:b/>
                <w:bCs/>
                <w:sz w:val="16"/>
                <w:szCs w:val="16"/>
                <w:lang w:val="en-GB"/>
              </w:rPr>
              <w:t xml:space="preserve"> 29,573 </w:t>
            </w:r>
          </w:p>
        </w:tc>
        <w:tc>
          <w:tcPr>
            <w:tcW w:w="471" w:type="pct"/>
            <w:tcBorders>
              <w:left w:val="nil"/>
              <w:right w:val="nil"/>
            </w:tcBorders>
            <w:shd w:val="clear" w:color="auto" w:fill="auto"/>
            <w:vAlign w:val="bottom"/>
          </w:tcPr>
          <w:p w14:paraId="7F3C418A"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r w:rsidRPr="00587444">
              <w:rPr>
                <w:rFonts w:ascii="Arial" w:hAnsi="Arial" w:cs="Arial"/>
                <w:b/>
                <w:bCs/>
                <w:sz w:val="16"/>
                <w:szCs w:val="16"/>
                <w:lang w:val="en-GB"/>
              </w:rPr>
              <w:t xml:space="preserve"> 96,840 </w:t>
            </w:r>
          </w:p>
        </w:tc>
      </w:tr>
      <w:tr w:rsidR="00587444" w:rsidRPr="00587444" w14:paraId="5E88828C" w14:textId="77777777" w:rsidTr="00DD69E7">
        <w:trPr>
          <w:trHeight w:val="346"/>
        </w:trPr>
        <w:tc>
          <w:tcPr>
            <w:tcW w:w="1405" w:type="pct"/>
            <w:vAlign w:val="bottom"/>
          </w:tcPr>
          <w:p w14:paraId="57D1EFD9" w14:textId="77777777" w:rsidR="00587444" w:rsidRPr="00587444" w:rsidRDefault="00587444" w:rsidP="00587444">
            <w:pPr>
              <w:tabs>
                <w:tab w:val="right" w:pos="1202"/>
              </w:tabs>
              <w:suppressAutoHyphens w:val="0"/>
              <w:autoSpaceDN/>
              <w:spacing w:line="240" w:lineRule="exact"/>
              <w:outlineLvl w:val="0"/>
              <w:rPr>
                <w:rFonts w:ascii="Arial" w:hAnsi="Arial" w:cs="Arial"/>
                <w:bCs/>
                <w:sz w:val="16"/>
                <w:szCs w:val="16"/>
                <w:lang w:val="en-GB"/>
              </w:rPr>
            </w:pPr>
            <w:bookmarkStart w:id="781" w:name="_Toc4059288"/>
            <w:r w:rsidRPr="00587444">
              <w:rPr>
                <w:rFonts w:ascii="Arial" w:hAnsi="Arial" w:cs="Arial"/>
                <w:bCs/>
                <w:sz w:val="16"/>
                <w:szCs w:val="16"/>
                <w:lang w:val="en-GB"/>
              </w:rPr>
              <w:t>Depreciation for 202</w:t>
            </w:r>
            <w:bookmarkEnd w:id="781"/>
            <w:r w:rsidRPr="00587444">
              <w:rPr>
                <w:rFonts w:ascii="Arial" w:hAnsi="Arial" w:cs="Arial"/>
                <w:bCs/>
                <w:sz w:val="16"/>
                <w:szCs w:val="16"/>
                <w:lang w:val="en-GB"/>
              </w:rPr>
              <w:t>2</w:t>
            </w:r>
          </w:p>
        </w:tc>
        <w:tc>
          <w:tcPr>
            <w:tcW w:w="501" w:type="pct"/>
            <w:tcBorders>
              <w:left w:val="nil"/>
              <w:bottom w:val="nil"/>
              <w:right w:val="nil"/>
            </w:tcBorders>
            <w:shd w:val="clear" w:color="auto" w:fill="auto"/>
          </w:tcPr>
          <w:p w14:paraId="2BEB4DC5"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color w:val="000000"/>
                <w:sz w:val="16"/>
                <w:szCs w:val="16"/>
                <w:lang w:val="hr-HR"/>
              </w:rPr>
              <w:t xml:space="preserve"> 4,017 </w:t>
            </w:r>
          </w:p>
        </w:tc>
        <w:tc>
          <w:tcPr>
            <w:tcW w:w="555" w:type="pct"/>
            <w:tcBorders>
              <w:left w:val="nil"/>
              <w:bottom w:val="nil"/>
              <w:right w:val="nil"/>
            </w:tcBorders>
            <w:shd w:val="clear" w:color="auto" w:fill="auto"/>
          </w:tcPr>
          <w:p w14:paraId="7D1354A8"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color w:val="000000"/>
                <w:sz w:val="16"/>
                <w:szCs w:val="16"/>
                <w:lang w:val="hr-HR"/>
              </w:rPr>
              <w:t xml:space="preserve"> 2,110 </w:t>
            </w:r>
          </w:p>
        </w:tc>
        <w:tc>
          <w:tcPr>
            <w:tcW w:w="520" w:type="pct"/>
            <w:tcBorders>
              <w:left w:val="nil"/>
              <w:bottom w:val="nil"/>
              <w:right w:val="nil"/>
            </w:tcBorders>
            <w:shd w:val="clear" w:color="auto" w:fill="auto"/>
          </w:tcPr>
          <w:p w14:paraId="69A3A5EB"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color w:val="000000"/>
                <w:sz w:val="16"/>
                <w:szCs w:val="16"/>
                <w:lang w:val="hr-HR"/>
              </w:rPr>
              <w:t xml:space="preserve"> 862 </w:t>
            </w:r>
          </w:p>
        </w:tc>
        <w:tc>
          <w:tcPr>
            <w:tcW w:w="520" w:type="pct"/>
            <w:tcBorders>
              <w:left w:val="nil"/>
              <w:bottom w:val="nil"/>
              <w:right w:val="nil"/>
            </w:tcBorders>
            <w:shd w:val="clear" w:color="auto" w:fill="auto"/>
          </w:tcPr>
          <w:p w14:paraId="46210FFF"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p>
        </w:tc>
        <w:tc>
          <w:tcPr>
            <w:tcW w:w="528" w:type="pct"/>
            <w:tcBorders>
              <w:left w:val="nil"/>
              <w:bottom w:val="nil"/>
              <w:right w:val="nil"/>
            </w:tcBorders>
            <w:shd w:val="clear" w:color="auto" w:fill="auto"/>
          </w:tcPr>
          <w:p w14:paraId="7D6F8B7D"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color w:val="000000"/>
                <w:sz w:val="16"/>
                <w:szCs w:val="16"/>
                <w:lang w:val="hr-HR"/>
              </w:rPr>
              <w:t xml:space="preserve"> 6,989 </w:t>
            </w:r>
          </w:p>
        </w:tc>
        <w:tc>
          <w:tcPr>
            <w:tcW w:w="499" w:type="pct"/>
            <w:tcBorders>
              <w:left w:val="nil"/>
              <w:bottom w:val="nil"/>
              <w:right w:val="nil"/>
            </w:tcBorders>
            <w:shd w:val="clear" w:color="auto" w:fill="auto"/>
          </w:tcPr>
          <w:p w14:paraId="3B474328"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color w:val="000000"/>
                <w:sz w:val="16"/>
                <w:szCs w:val="16"/>
                <w:lang w:val="hr-HR"/>
              </w:rPr>
              <w:t xml:space="preserve"> 2,691 </w:t>
            </w:r>
          </w:p>
        </w:tc>
        <w:tc>
          <w:tcPr>
            <w:tcW w:w="471" w:type="pct"/>
            <w:tcBorders>
              <w:left w:val="nil"/>
              <w:bottom w:val="nil"/>
              <w:right w:val="nil"/>
            </w:tcBorders>
            <w:shd w:val="clear" w:color="auto" w:fill="auto"/>
          </w:tcPr>
          <w:p w14:paraId="37E81C0A"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color w:val="000000"/>
                <w:sz w:val="16"/>
                <w:szCs w:val="16"/>
                <w:lang w:val="hr-HR"/>
              </w:rPr>
              <w:t xml:space="preserve"> 9,680 </w:t>
            </w:r>
          </w:p>
        </w:tc>
      </w:tr>
      <w:tr w:rsidR="00587444" w:rsidRPr="00587444" w14:paraId="7FE47532" w14:textId="77777777" w:rsidTr="00DD69E7">
        <w:trPr>
          <w:trHeight w:val="346"/>
        </w:trPr>
        <w:tc>
          <w:tcPr>
            <w:tcW w:w="1405" w:type="pct"/>
            <w:vAlign w:val="bottom"/>
          </w:tcPr>
          <w:p w14:paraId="360529AC" w14:textId="77777777" w:rsidR="00587444" w:rsidRPr="00587444" w:rsidRDefault="00587444" w:rsidP="00587444">
            <w:pPr>
              <w:suppressAutoHyphens w:val="0"/>
              <w:autoSpaceDN/>
              <w:rPr>
                <w:rFonts w:ascii="Arial" w:eastAsia="Calibri" w:hAnsi="Arial" w:cs="Arial"/>
                <w:sz w:val="16"/>
                <w:szCs w:val="16"/>
              </w:rPr>
            </w:pPr>
            <w:r w:rsidRPr="00587444">
              <w:rPr>
                <w:rFonts w:ascii="Arial" w:hAnsi="Arial" w:cs="Arial"/>
                <w:sz w:val="16"/>
                <w:szCs w:val="16"/>
              </w:rPr>
              <w:t xml:space="preserve">Disposals and write-offs  </w:t>
            </w:r>
          </w:p>
        </w:tc>
        <w:tc>
          <w:tcPr>
            <w:tcW w:w="501" w:type="pct"/>
            <w:tcBorders>
              <w:top w:val="nil"/>
              <w:left w:val="nil"/>
              <w:right w:val="nil"/>
            </w:tcBorders>
            <w:shd w:val="clear" w:color="auto" w:fill="auto"/>
          </w:tcPr>
          <w:p w14:paraId="7F1C8C23"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color w:val="000000"/>
                <w:sz w:val="16"/>
                <w:szCs w:val="16"/>
                <w:lang w:val="hr-HR"/>
              </w:rPr>
              <w:t xml:space="preserve"> -  </w:t>
            </w:r>
          </w:p>
        </w:tc>
        <w:tc>
          <w:tcPr>
            <w:tcW w:w="555" w:type="pct"/>
            <w:tcBorders>
              <w:top w:val="nil"/>
              <w:left w:val="nil"/>
              <w:right w:val="nil"/>
            </w:tcBorders>
            <w:shd w:val="clear" w:color="auto" w:fill="auto"/>
          </w:tcPr>
          <w:p w14:paraId="0539270F"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color w:val="000000"/>
                <w:sz w:val="16"/>
                <w:szCs w:val="16"/>
                <w:lang w:val="hr-HR"/>
              </w:rPr>
              <w:t xml:space="preserve"> (3,802)</w:t>
            </w:r>
          </w:p>
        </w:tc>
        <w:tc>
          <w:tcPr>
            <w:tcW w:w="520" w:type="pct"/>
            <w:tcBorders>
              <w:top w:val="nil"/>
              <w:left w:val="nil"/>
              <w:right w:val="nil"/>
            </w:tcBorders>
            <w:shd w:val="clear" w:color="auto" w:fill="auto"/>
          </w:tcPr>
          <w:p w14:paraId="7C9C262A"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color w:val="000000"/>
                <w:sz w:val="16"/>
                <w:szCs w:val="16"/>
                <w:lang w:val="hr-HR"/>
              </w:rPr>
              <w:t xml:space="preserve"> (2,799)</w:t>
            </w:r>
          </w:p>
        </w:tc>
        <w:tc>
          <w:tcPr>
            <w:tcW w:w="520" w:type="pct"/>
            <w:tcBorders>
              <w:top w:val="nil"/>
              <w:left w:val="nil"/>
              <w:right w:val="nil"/>
            </w:tcBorders>
            <w:shd w:val="clear" w:color="auto" w:fill="auto"/>
          </w:tcPr>
          <w:p w14:paraId="0D71108C"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color w:val="000000"/>
                <w:sz w:val="16"/>
                <w:szCs w:val="16"/>
                <w:lang w:val="hr-HR"/>
              </w:rPr>
              <w:t xml:space="preserve"> -  </w:t>
            </w:r>
          </w:p>
        </w:tc>
        <w:tc>
          <w:tcPr>
            <w:tcW w:w="528" w:type="pct"/>
            <w:tcBorders>
              <w:top w:val="nil"/>
              <w:left w:val="nil"/>
              <w:right w:val="nil"/>
            </w:tcBorders>
            <w:shd w:val="clear" w:color="auto" w:fill="auto"/>
          </w:tcPr>
          <w:p w14:paraId="459484EE"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color w:val="000000"/>
                <w:sz w:val="16"/>
                <w:szCs w:val="16"/>
                <w:lang w:val="hr-HR"/>
              </w:rPr>
              <w:t xml:space="preserve"> (6,601)</w:t>
            </w:r>
          </w:p>
        </w:tc>
        <w:tc>
          <w:tcPr>
            <w:tcW w:w="499" w:type="pct"/>
            <w:tcBorders>
              <w:top w:val="nil"/>
              <w:left w:val="nil"/>
              <w:right w:val="nil"/>
            </w:tcBorders>
            <w:shd w:val="clear" w:color="auto" w:fill="auto"/>
          </w:tcPr>
          <w:p w14:paraId="6DBC6F88"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color w:val="000000"/>
                <w:sz w:val="16"/>
                <w:szCs w:val="16"/>
                <w:lang w:val="hr-HR"/>
              </w:rPr>
              <w:t xml:space="preserve"> (306)</w:t>
            </w:r>
          </w:p>
        </w:tc>
        <w:tc>
          <w:tcPr>
            <w:tcW w:w="471" w:type="pct"/>
            <w:tcBorders>
              <w:top w:val="nil"/>
              <w:left w:val="nil"/>
              <w:right w:val="nil"/>
            </w:tcBorders>
            <w:shd w:val="clear" w:color="auto" w:fill="auto"/>
          </w:tcPr>
          <w:p w14:paraId="710FA2C6"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color w:val="000000"/>
                <w:sz w:val="16"/>
                <w:szCs w:val="16"/>
                <w:lang w:val="hr-HR"/>
              </w:rPr>
              <w:t xml:space="preserve"> (6,907)</w:t>
            </w:r>
          </w:p>
        </w:tc>
      </w:tr>
      <w:tr w:rsidR="00587444" w:rsidRPr="00587444" w14:paraId="5251A67E" w14:textId="77777777" w:rsidTr="00DD69E7">
        <w:trPr>
          <w:trHeight w:val="346"/>
        </w:trPr>
        <w:tc>
          <w:tcPr>
            <w:tcW w:w="1405" w:type="pct"/>
            <w:vAlign w:val="bottom"/>
          </w:tcPr>
          <w:p w14:paraId="7A70F553" w14:textId="77777777" w:rsidR="00587444" w:rsidRPr="00587444" w:rsidRDefault="00587444" w:rsidP="00587444">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Returned to use</w:t>
            </w:r>
          </w:p>
        </w:tc>
        <w:tc>
          <w:tcPr>
            <w:tcW w:w="501" w:type="pct"/>
            <w:tcBorders>
              <w:top w:val="nil"/>
              <w:left w:val="nil"/>
              <w:right w:val="nil"/>
            </w:tcBorders>
            <w:shd w:val="clear" w:color="auto" w:fill="auto"/>
            <w:vAlign w:val="bottom"/>
          </w:tcPr>
          <w:p w14:paraId="5A805C39"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 </w:t>
            </w:r>
          </w:p>
        </w:tc>
        <w:tc>
          <w:tcPr>
            <w:tcW w:w="555" w:type="pct"/>
            <w:tcBorders>
              <w:top w:val="nil"/>
              <w:left w:val="nil"/>
              <w:right w:val="nil"/>
            </w:tcBorders>
            <w:shd w:val="clear" w:color="auto" w:fill="auto"/>
            <w:vAlign w:val="bottom"/>
          </w:tcPr>
          <w:p w14:paraId="095EE647"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 </w:t>
            </w:r>
          </w:p>
        </w:tc>
        <w:tc>
          <w:tcPr>
            <w:tcW w:w="520" w:type="pct"/>
            <w:tcBorders>
              <w:top w:val="nil"/>
              <w:left w:val="nil"/>
              <w:right w:val="nil"/>
            </w:tcBorders>
            <w:shd w:val="clear" w:color="auto" w:fill="auto"/>
            <w:vAlign w:val="bottom"/>
          </w:tcPr>
          <w:p w14:paraId="18B4F708"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25 </w:t>
            </w:r>
          </w:p>
        </w:tc>
        <w:tc>
          <w:tcPr>
            <w:tcW w:w="520" w:type="pct"/>
            <w:tcBorders>
              <w:top w:val="nil"/>
              <w:left w:val="nil"/>
              <w:right w:val="nil"/>
            </w:tcBorders>
            <w:shd w:val="clear" w:color="auto" w:fill="auto"/>
            <w:vAlign w:val="bottom"/>
          </w:tcPr>
          <w:p w14:paraId="71759B16"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 </w:t>
            </w:r>
          </w:p>
        </w:tc>
        <w:tc>
          <w:tcPr>
            <w:tcW w:w="528" w:type="pct"/>
            <w:tcBorders>
              <w:top w:val="nil"/>
              <w:left w:val="nil"/>
              <w:right w:val="nil"/>
            </w:tcBorders>
            <w:shd w:val="clear" w:color="auto" w:fill="auto"/>
            <w:vAlign w:val="bottom"/>
          </w:tcPr>
          <w:p w14:paraId="47CB8923"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27 </w:t>
            </w:r>
          </w:p>
        </w:tc>
        <w:tc>
          <w:tcPr>
            <w:tcW w:w="499" w:type="pct"/>
            <w:tcBorders>
              <w:top w:val="nil"/>
              <w:left w:val="nil"/>
              <w:right w:val="nil"/>
            </w:tcBorders>
            <w:shd w:val="clear" w:color="auto" w:fill="auto"/>
            <w:vAlign w:val="bottom"/>
          </w:tcPr>
          <w:p w14:paraId="6658DE27"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w:t>
            </w:r>
          </w:p>
        </w:tc>
        <w:tc>
          <w:tcPr>
            <w:tcW w:w="471" w:type="pct"/>
            <w:tcBorders>
              <w:top w:val="nil"/>
              <w:left w:val="nil"/>
              <w:right w:val="nil"/>
            </w:tcBorders>
            <w:shd w:val="clear" w:color="auto" w:fill="auto"/>
            <w:vAlign w:val="bottom"/>
          </w:tcPr>
          <w:p w14:paraId="7A4F6138"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27 </w:t>
            </w:r>
          </w:p>
        </w:tc>
      </w:tr>
      <w:tr w:rsidR="00587444" w:rsidRPr="00587444" w14:paraId="43F59643" w14:textId="77777777" w:rsidTr="00DD69E7">
        <w:trPr>
          <w:trHeight w:val="346"/>
        </w:trPr>
        <w:tc>
          <w:tcPr>
            <w:tcW w:w="1405" w:type="pct"/>
            <w:vAlign w:val="bottom"/>
          </w:tcPr>
          <w:p w14:paraId="216D0113"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bookmarkStart w:id="782" w:name="_Toc4059304"/>
            <w:proofErr w:type="gramStart"/>
            <w:r w:rsidRPr="00587444">
              <w:rPr>
                <w:rFonts w:ascii="Arial" w:hAnsi="Arial" w:cs="Arial"/>
                <w:b/>
                <w:bCs/>
                <w:sz w:val="16"/>
                <w:szCs w:val="16"/>
                <w:lang w:val="en-GB"/>
              </w:rPr>
              <w:t>At</w:t>
            </w:r>
            <w:proofErr w:type="gramEnd"/>
            <w:r w:rsidRPr="00587444">
              <w:rPr>
                <w:rFonts w:ascii="Arial" w:hAnsi="Arial" w:cs="Arial"/>
                <w:b/>
                <w:bCs/>
                <w:sz w:val="16"/>
                <w:szCs w:val="16"/>
                <w:lang w:val="en-GB"/>
              </w:rPr>
              <w:t xml:space="preserve"> 31 December </w:t>
            </w:r>
            <w:bookmarkEnd w:id="782"/>
            <w:r w:rsidRPr="00587444">
              <w:rPr>
                <w:rFonts w:ascii="Arial" w:hAnsi="Arial" w:cs="Arial"/>
                <w:b/>
                <w:bCs/>
                <w:sz w:val="16"/>
                <w:szCs w:val="16"/>
                <w:lang w:val="en-GB"/>
              </w:rPr>
              <w:t>2022</w:t>
            </w:r>
          </w:p>
        </w:tc>
        <w:tc>
          <w:tcPr>
            <w:tcW w:w="501" w:type="pct"/>
            <w:tcBorders>
              <w:top w:val="single" w:sz="4" w:space="0" w:color="auto"/>
              <w:left w:val="nil"/>
              <w:bottom w:val="single" w:sz="12" w:space="0" w:color="auto"/>
              <w:right w:val="nil"/>
            </w:tcBorders>
            <w:shd w:val="clear" w:color="auto" w:fill="auto"/>
            <w:vAlign w:val="bottom"/>
          </w:tcPr>
          <w:p w14:paraId="6DCEEC73"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48,988 </w:t>
            </w:r>
          </w:p>
        </w:tc>
        <w:tc>
          <w:tcPr>
            <w:tcW w:w="555" w:type="pct"/>
            <w:tcBorders>
              <w:top w:val="single" w:sz="4" w:space="0" w:color="auto"/>
              <w:left w:val="nil"/>
              <w:bottom w:val="single" w:sz="12" w:space="0" w:color="auto"/>
              <w:right w:val="nil"/>
            </w:tcBorders>
            <w:shd w:val="clear" w:color="auto" w:fill="auto"/>
            <w:vAlign w:val="bottom"/>
          </w:tcPr>
          <w:p w14:paraId="3651DA9C"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9,835 </w:t>
            </w:r>
          </w:p>
        </w:tc>
        <w:tc>
          <w:tcPr>
            <w:tcW w:w="520" w:type="pct"/>
            <w:tcBorders>
              <w:top w:val="single" w:sz="4" w:space="0" w:color="auto"/>
              <w:left w:val="nil"/>
              <w:bottom w:val="single" w:sz="12" w:space="0" w:color="auto"/>
              <w:right w:val="nil"/>
            </w:tcBorders>
            <w:shd w:val="clear" w:color="auto" w:fill="auto"/>
            <w:vAlign w:val="bottom"/>
          </w:tcPr>
          <w:p w14:paraId="7D3C5C9F"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8,859 </w:t>
            </w:r>
          </w:p>
        </w:tc>
        <w:tc>
          <w:tcPr>
            <w:tcW w:w="520" w:type="pct"/>
            <w:tcBorders>
              <w:top w:val="single" w:sz="4" w:space="0" w:color="auto"/>
              <w:left w:val="nil"/>
              <w:bottom w:val="single" w:sz="12" w:space="0" w:color="auto"/>
              <w:right w:val="nil"/>
            </w:tcBorders>
            <w:shd w:val="clear" w:color="auto" w:fill="auto"/>
            <w:vAlign w:val="bottom"/>
          </w:tcPr>
          <w:p w14:paraId="0FBA4AAF"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 </w:t>
            </w:r>
          </w:p>
        </w:tc>
        <w:tc>
          <w:tcPr>
            <w:tcW w:w="528" w:type="pct"/>
            <w:tcBorders>
              <w:top w:val="single" w:sz="4" w:space="0" w:color="auto"/>
              <w:left w:val="nil"/>
              <w:bottom w:val="single" w:sz="12" w:space="0" w:color="auto"/>
              <w:right w:val="nil"/>
            </w:tcBorders>
            <w:shd w:val="clear" w:color="auto" w:fill="auto"/>
            <w:vAlign w:val="bottom"/>
          </w:tcPr>
          <w:p w14:paraId="78CFC60E"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67,682 </w:t>
            </w:r>
          </w:p>
        </w:tc>
        <w:tc>
          <w:tcPr>
            <w:tcW w:w="499" w:type="pct"/>
            <w:tcBorders>
              <w:top w:val="single" w:sz="4" w:space="0" w:color="auto"/>
              <w:left w:val="nil"/>
              <w:bottom w:val="single" w:sz="12" w:space="0" w:color="auto"/>
              <w:right w:val="nil"/>
            </w:tcBorders>
            <w:shd w:val="clear" w:color="auto" w:fill="auto"/>
            <w:vAlign w:val="bottom"/>
          </w:tcPr>
          <w:p w14:paraId="55EE06EA"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31,958 </w:t>
            </w:r>
          </w:p>
        </w:tc>
        <w:tc>
          <w:tcPr>
            <w:tcW w:w="471" w:type="pct"/>
            <w:tcBorders>
              <w:top w:val="single" w:sz="4" w:space="0" w:color="auto"/>
              <w:left w:val="nil"/>
              <w:bottom w:val="single" w:sz="12" w:space="0" w:color="auto"/>
              <w:right w:val="nil"/>
            </w:tcBorders>
            <w:shd w:val="clear" w:color="auto" w:fill="auto"/>
            <w:vAlign w:val="bottom"/>
          </w:tcPr>
          <w:p w14:paraId="278C145A"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99,640 </w:t>
            </w:r>
          </w:p>
        </w:tc>
      </w:tr>
      <w:tr w:rsidR="00587444" w:rsidRPr="00587444" w14:paraId="4F0DA6D5" w14:textId="77777777" w:rsidTr="00DD69E7">
        <w:trPr>
          <w:trHeight w:val="694"/>
        </w:trPr>
        <w:tc>
          <w:tcPr>
            <w:tcW w:w="1405" w:type="pct"/>
            <w:vAlign w:val="bottom"/>
          </w:tcPr>
          <w:p w14:paraId="7A85B4AD" w14:textId="77777777" w:rsidR="00890EEB" w:rsidRDefault="00587444" w:rsidP="00587444">
            <w:pPr>
              <w:tabs>
                <w:tab w:val="right" w:pos="1202"/>
              </w:tabs>
              <w:suppressAutoHyphens w:val="0"/>
              <w:autoSpaceDN/>
              <w:spacing w:line="240" w:lineRule="exact"/>
              <w:outlineLvl w:val="0"/>
              <w:rPr>
                <w:rFonts w:ascii="Arial" w:hAnsi="Arial" w:cs="Arial"/>
                <w:b/>
                <w:bCs/>
                <w:sz w:val="16"/>
                <w:szCs w:val="16"/>
                <w:lang w:val="en-GB"/>
              </w:rPr>
            </w:pPr>
            <w:bookmarkStart w:id="783" w:name="_Toc4059312"/>
            <w:r w:rsidRPr="00587444">
              <w:rPr>
                <w:rFonts w:ascii="Arial" w:hAnsi="Arial" w:cs="Arial"/>
                <w:b/>
                <w:bCs/>
                <w:sz w:val="16"/>
                <w:szCs w:val="16"/>
                <w:lang w:val="en-GB"/>
              </w:rPr>
              <w:t xml:space="preserve">Net book value at </w:t>
            </w:r>
          </w:p>
          <w:p w14:paraId="704B73AB" w14:textId="76713EC4"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w:t>
            </w:r>
            <w:bookmarkEnd w:id="783"/>
            <w:r w:rsidRPr="00587444">
              <w:rPr>
                <w:rFonts w:ascii="Arial" w:hAnsi="Arial" w:cs="Arial"/>
                <w:b/>
                <w:bCs/>
                <w:sz w:val="16"/>
                <w:szCs w:val="16"/>
                <w:lang w:val="en-GB"/>
              </w:rPr>
              <w:t xml:space="preserve"> </w:t>
            </w:r>
            <w:bookmarkStart w:id="784" w:name="_Toc4059313"/>
            <w:r w:rsidRPr="00587444">
              <w:rPr>
                <w:rFonts w:ascii="Arial" w:hAnsi="Arial" w:cs="Arial"/>
                <w:b/>
                <w:bCs/>
                <w:sz w:val="16"/>
                <w:szCs w:val="16"/>
                <w:lang w:val="en-GB"/>
              </w:rPr>
              <w:t xml:space="preserve">December </w:t>
            </w:r>
            <w:bookmarkEnd w:id="784"/>
            <w:r w:rsidRPr="00587444">
              <w:rPr>
                <w:rFonts w:ascii="Arial" w:hAnsi="Arial" w:cs="Arial"/>
                <w:b/>
                <w:bCs/>
                <w:sz w:val="16"/>
                <w:szCs w:val="16"/>
                <w:lang w:val="en-GB"/>
              </w:rPr>
              <w:t>2022</w:t>
            </w:r>
          </w:p>
        </w:tc>
        <w:tc>
          <w:tcPr>
            <w:tcW w:w="501" w:type="pct"/>
            <w:tcBorders>
              <w:top w:val="nil"/>
              <w:left w:val="nil"/>
              <w:bottom w:val="single" w:sz="12" w:space="0" w:color="auto"/>
              <w:right w:val="nil"/>
            </w:tcBorders>
            <w:shd w:val="clear" w:color="auto" w:fill="auto"/>
            <w:vAlign w:val="bottom"/>
          </w:tcPr>
          <w:p w14:paraId="19A16CB9"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29,032 </w:t>
            </w:r>
          </w:p>
        </w:tc>
        <w:tc>
          <w:tcPr>
            <w:tcW w:w="555" w:type="pct"/>
            <w:tcBorders>
              <w:top w:val="nil"/>
              <w:left w:val="nil"/>
              <w:bottom w:val="single" w:sz="12" w:space="0" w:color="auto"/>
              <w:right w:val="nil"/>
            </w:tcBorders>
            <w:shd w:val="clear" w:color="auto" w:fill="auto"/>
            <w:vAlign w:val="bottom"/>
          </w:tcPr>
          <w:p w14:paraId="60D4A396"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706 </w:t>
            </w:r>
          </w:p>
        </w:tc>
        <w:tc>
          <w:tcPr>
            <w:tcW w:w="520" w:type="pct"/>
            <w:tcBorders>
              <w:top w:val="nil"/>
              <w:left w:val="nil"/>
              <w:bottom w:val="single" w:sz="12" w:space="0" w:color="auto"/>
              <w:right w:val="nil"/>
            </w:tcBorders>
            <w:shd w:val="clear" w:color="auto" w:fill="auto"/>
            <w:vAlign w:val="bottom"/>
          </w:tcPr>
          <w:p w14:paraId="58949C0A"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2,948 </w:t>
            </w:r>
          </w:p>
        </w:tc>
        <w:tc>
          <w:tcPr>
            <w:tcW w:w="520" w:type="pct"/>
            <w:tcBorders>
              <w:top w:val="nil"/>
              <w:left w:val="nil"/>
              <w:bottom w:val="single" w:sz="12" w:space="0" w:color="auto"/>
              <w:right w:val="nil"/>
            </w:tcBorders>
            <w:shd w:val="clear" w:color="auto" w:fill="auto"/>
            <w:vAlign w:val="bottom"/>
          </w:tcPr>
          <w:p w14:paraId="583310B6"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63 </w:t>
            </w:r>
          </w:p>
        </w:tc>
        <w:tc>
          <w:tcPr>
            <w:tcW w:w="528" w:type="pct"/>
            <w:tcBorders>
              <w:top w:val="nil"/>
              <w:left w:val="nil"/>
              <w:bottom w:val="single" w:sz="12" w:space="0" w:color="auto"/>
              <w:right w:val="nil"/>
            </w:tcBorders>
            <w:shd w:val="clear" w:color="auto" w:fill="auto"/>
            <w:vAlign w:val="bottom"/>
          </w:tcPr>
          <w:p w14:paraId="3A14F13B"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32,749 </w:t>
            </w:r>
          </w:p>
        </w:tc>
        <w:tc>
          <w:tcPr>
            <w:tcW w:w="499" w:type="pct"/>
            <w:tcBorders>
              <w:top w:val="nil"/>
              <w:left w:val="nil"/>
              <w:bottom w:val="single" w:sz="12" w:space="0" w:color="auto"/>
              <w:right w:val="nil"/>
            </w:tcBorders>
            <w:shd w:val="clear" w:color="auto" w:fill="auto"/>
            <w:vAlign w:val="bottom"/>
          </w:tcPr>
          <w:p w14:paraId="5077397A"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6,082 </w:t>
            </w:r>
          </w:p>
        </w:tc>
        <w:tc>
          <w:tcPr>
            <w:tcW w:w="471" w:type="pct"/>
            <w:tcBorders>
              <w:top w:val="nil"/>
              <w:left w:val="nil"/>
              <w:bottom w:val="single" w:sz="12" w:space="0" w:color="auto"/>
              <w:right w:val="nil"/>
            </w:tcBorders>
            <w:shd w:val="clear" w:color="auto" w:fill="auto"/>
            <w:vAlign w:val="bottom"/>
          </w:tcPr>
          <w:p w14:paraId="08E4DD62"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38,831 </w:t>
            </w:r>
          </w:p>
        </w:tc>
      </w:tr>
      <w:tr w:rsidR="00587444" w:rsidRPr="00587444" w14:paraId="4BD1C784" w14:textId="77777777" w:rsidTr="00DD69E7">
        <w:trPr>
          <w:trHeight w:val="764"/>
        </w:trPr>
        <w:tc>
          <w:tcPr>
            <w:tcW w:w="1405" w:type="pct"/>
            <w:vAlign w:val="bottom"/>
          </w:tcPr>
          <w:p w14:paraId="398F752A" w14:textId="77777777" w:rsidR="00890EEB" w:rsidRDefault="00587444" w:rsidP="00587444">
            <w:pPr>
              <w:tabs>
                <w:tab w:val="right" w:pos="1202"/>
              </w:tabs>
              <w:suppressAutoHyphens w:val="0"/>
              <w:autoSpaceDN/>
              <w:spacing w:line="240" w:lineRule="exact"/>
              <w:outlineLvl w:val="0"/>
              <w:rPr>
                <w:rFonts w:ascii="Arial" w:hAnsi="Arial" w:cs="Arial"/>
                <w:b/>
                <w:bCs/>
                <w:sz w:val="16"/>
                <w:szCs w:val="16"/>
                <w:lang w:val="en-GB"/>
              </w:rPr>
            </w:pPr>
            <w:bookmarkStart w:id="785" w:name="_Toc4059321"/>
            <w:r w:rsidRPr="00587444">
              <w:rPr>
                <w:rFonts w:ascii="Arial" w:hAnsi="Arial" w:cs="Arial"/>
                <w:b/>
                <w:bCs/>
                <w:sz w:val="16"/>
                <w:szCs w:val="16"/>
                <w:lang w:val="en-GB"/>
              </w:rPr>
              <w:t xml:space="preserve">Net book value at </w:t>
            </w:r>
          </w:p>
          <w:p w14:paraId="1F46783C" w14:textId="4F8EB216"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w:t>
            </w:r>
            <w:bookmarkEnd w:id="785"/>
            <w:r w:rsidRPr="00587444">
              <w:rPr>
                <w:rFonts w:ascii="Arial" w:hAnsi="Arial" w:cs="Arial"/>
                <w:b/>
                <w:bCs/>
                <w:sz w:val="16"/>
                <w:szCs w:val="16"/>
                <w:lang w:val="en-GB"/>
              </w:rPr>
              <w:t xml:space="preserve"> </w:t>
            </w:r>
            <w:bookmarkStart w:id="786" w:name="_Toc4059322"/>
            <w:r w:rsidRPr="00587444">
              <w:rPr>
                <w:rFonts w:ascii="Arial" w:hAnsi="Arial" w:cs="Arial"/>
                <w:b/>
                <w:bCs/>
                <w:sz w:val="16"/>
                <w:szCs w:val="16"/>
                <w:lang w:val="en-GB"/>
              </w:rPr>
              <w:t>December 202</w:t>
            </w:r>
            <w:bookmarkEnd w:id="786"/>
            <w:r w:rsidRPr="00587444">
              <w:rPr>
                <w:rFonts w:ascii="Arial" w:hAnsi="Arial" w:cs="Arial"/>
                <w:b/>
                <w:bCs/>
                <w:sz w:val="16"/>
                <w:szCs w:val="16"/>
                <w:lang w:val="en-GB"/>
              </w:rPr>
              <w:t>1</w:t>
            </w:r>
          </w:p>
        </w:tc>
        <w:tc>
          <w:tcPr>
            <w:tcW w:w="501" w:type="pct"/>
            <w:tcBorders>
              <w:top w:val="nil"/>
              <w:left w:val="nil"/>
              <w:bottom w:val="single" w:sz="12" w:space="0" w:color="auto"/>
              <w:right w:val="nil"/>
            </w:tcBorders>
            <w:shd w:val="clear" w:color="auto" w:fill="auto"/>
            <w:vAlign w:val="bottom"/>
          </w:tcPr>
          <w:p w14:paraId="6D7F49CB"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33,049 </w:t>
            </w:r>
          </w:p>
        </w:tc>
        <w:tc>
          <w:tcPr>
            <w:tcW w:w="555" w:type="pct"/>
            <w:tcBorders>
              <w:top w:val="nil"/>
              <w:left w:val="nil"/>
              <w:bottom w:val="single" w:sz="12" w:space="0" w:color="auto"/>
              <w:right w:val="nil"/>
            </w:tcBorders>
            <w:shd w:val="clear" w:color="auto" w:fill="auto"/>
            <w:vAlign w:val="bottom"/>
          </w:tcPr>
          <w:p w14:paraId="473EF332"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2,326 </w:t>
            </w:r>
          </w:p>
        </w:tc>
        <w:tc>
          <w:tcPr>
            <w:tcW w:w="520" w:type="pct"/>
            <w:tcBorders>
              <w:top w:val="nil"/>
              <w:left w:val="nil"/>
              <w:bottom w:val="single" w:sz="12" w:space="0" w:color="auto"/>
              <w:right w:val="nil"/>
            </w:tcBorders>
            <w:shd w:val="clear" w:color="auto" w:fill="auto"/>
            <w:vAlign w:val="bottom"/>
          </w:tcPr>
          <w:p w14:paraId="5504A825"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2,158 </w:t>
            </w:r>
          </w:p>
        </w:tc>
        <w:tc>
          <w:tcPr>
            <w:tcW w:w="520" w:type="pct"/>
            <w:tcBorders>
              <w:top w:val="nil"/>
              <w:left w:val="nil"/>
              <w:bottom w:val="single" w:sz="12" w:space="0" w:color="auto"/>
              <w:right w:val="nil"/>
            </w:tcBorders>
            <w:shd w:val="clear" w:color="auto" w:fill="auto"/>
            <w:vAlign w:val="bottom"/>
          </w:tcPr>
          <w:p w14:paraId="2EB36B42"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55 </w:t>
            </w:r>
          </w:p>
        </w:tc>
        <w:tc>
          <w:tcPr>
            <w:tcW w:w="528" w:type="pct"/>
            <w:tcBorders>
              <w:top w:val="nil"/>
              <w:left w:val="nil"/>
              <w:bottom w:val="single" w:sz="12" w:space="0" w:color="auto"/>
              <w:right w:val="nil"/>
            </w:tcBorders>
            <w:shd w:val="clear" w:color="auto" w:fill="auto"/>
            <w:vAlign w:val="bottom"/>
          </w:tcPr>
          <w:p w14:paraId="34269852"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37,588 </w:t>
            </w:r>
          </w:p>
        </w:tc>
        <w:tc>
          <w:tcPr>
            <w:tcW w:w="499" w:type="pct"/>
            <w:tcBorders>
              <w:top w:val="nil"/>
              <w:left w:val="nil"/>
              <w:bottom w:val="single" w:sz="12" w:space="0" w:color="auto"/>
              <w:right w:val="nil"/>
            </w:tcBorders>
            <w:shd w:val="clear" w:color="auto" w:fill="auto"/>
            <w:vAlign w:val="bottom"/>
          </w:tcPr>
          <w:p w14:paraId="47AE575B"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6,349 </w:t>
            </w:r>
          </w:p>
        </w:tc>
        <w:tc>
          <w:tcPr>
            <w:tcW w:w="471" w:type="pct"/>
            <w:tcBorders>
              <w:top w:val="nil"/>
              <w:left w:val="nil"/>
              <w:bottom w:val="single" w:sz="12" w:space="0" w:color="auto"/>
              <w:right w:val="nil"/>
            </w:tcBorders>
            <w:shd w:val="clear" w:color="auto" w:fill="auto"/>
            <w:vAlign w:val="bottom"/>
          </w:tcPr>
          <w:p w14:paraId="065A2889"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43,937 </w:t>
            </w:r>
          </w:p>
        </w:tc>
      </w:tr>
    </w:tbl>
    <w:p w14:paraId="49DFF230" w14:textId="77777777" w:rsidR="00587444" w:rsidRPr="00587444" w:rsidRDefault="00587444" w:rsidP="00587444">
      <w:pPr>
        <w:tabs>
          <w:tab w:val="right" w:pos="1202"/>
        </w:tabs>
        <w:suppressAutoHyphens w:val="0"/>
        <w:autoSpaceDN/>
        <w:outlineLvl w:val="0"/>
        <w:rPr>
          <w:rFonts w:ascii="Arial" w:hAnsi="Arial" w:cs="Arial"/>
          <w:b/>
          <w:sz w:val="20"/>
          <w:szCs w:val="20"/>
          <w:highlight w:val="yellow"/>
          <w:lang w:val="en-GB"/>
        </w:rPr>
      </w:pPr>
    </w:p>
    <w:p w14:paraId="2F5AF01C" w14:textId="77777777" w:rsidR="00587444" w:rsidRPr="00587444" w:rsidRDefault="00587444" w:rsidP="00587444">
      <w:pPr>
        <w:tabs>
          <w:tab w:val="right" w:pos="1202"/>
        </w:tabs>
        <w:suppressAutoHyphens w:val="0"/>
        <w:autoSpaceDN/>
        <w:outlineLvl w:val="0"/>
        <w:rPr>
          <w:rFonts w:ascii="Arial" w:hAnsi="Arial" w:cs="Arial"/>
          <w:b/>
          <w:sz w:val="20"/>
          <w:szCs w:val="20"/>
          <w:highlight w:val="yellow"/>
          <w:lang w:val="en-GB"/>
        </w:rPr>
      </w:pPr>
    </w:p>
    <w:p w14:paraId="4EBA1F63" w14:textId="77777777" w:rsidR="00587444" w:rsidRPr="00587444" w:rsidRDefault="00587444" w:rsidP="00587444">
      <w:pPr>
        <w:tabs>
          <w:tab w:val="right" w:pos="1202"/>
        </w:tabs>
        <w:suppressAutoHyphens w:val="0"/>
        <w:autoSpaceDN/>
        <w:outlineLvl w:val="0"/>
        <w:rPr>
          <w:rFonts w:ascii="Arial" w:hAnsi="Arial" w:cs="Arial"/>
          <w:b/>
          <w:sz w:val="20"/>
          <w:szCs w:val="20"/>
          <w:highlight w:val="yellow"/>
          <w:lang w:val="en-GB"/>
        </w:rPr>
      </w:pPr>
    </w:p>
    <w:p w14:paraId="5553022A" w14:textId="77777777" w:rsidR="00587444" w:rsidRPr="00587444" w:rsidRDefault="00587444" w:rsidP="00587444">
      <w:pPr>
        <w:tabs>
          <w:tab w:val="right" w:pos="1202"/>
        </w:tabs>
        <w:suppressAutoHyphens w:val="0"/>
        <w:autoSpaceDN/>
        <w:outlineLvl w:val="0"/>
        <w:rPr>
          <w:rFonts w:ascii="Arial" w:hAnsi="Arial" w:cs="Arial"/>
          <w:b/>
          <w:sz w:val="20"/>
          <w:szCs w:val="20"/>
          <w:highlight w:val="yellow"/>
          <w:lang w:val="en-GB"/>
        </w:rPr>
      </w:pPr>
    </w:p>
    <w:p w14:paraId="6C86DFFE" w14:textId="77777777" w:rsidR="00587444" w:rsidRPr="00587444" w:rsidRDefault="00587444" w:rsidP="00587444">
      <w:pPr>
        <w:tabs>
          <w:tab w:val="right" w:pos="1202"/>
        </w:tabs>
        <w:suppressAutoHyphens w:val="0"/>
        <w:autoSpaceDN/>
        <w:spacing w:line="240" w:lineRule="atLeast"/>
        <w:outlineLvl w:val="0"/>
        <w:rPr>
          <w:rFonts w:ascii="Arial" w:hAnsi="Arial" w:cs="Arial"/>
          <w:b/>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0D4C1235"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p w14:paraId="3A632357"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19.</w:t>
      </w:r>
      <w:r w:rsidRPr="00587444">
        <w:rPr>
          <w:rFonts w:ascii="Arial" w:hAnsi="Arial" w:cs="Arial"/>
          <w:b/>
          <w:bCs/>
          <w:sz w:val="20"/>
          <w:szCs w:val="20"/>
          <w:lang w:val="en-GB"/>
        </w:rPr>
        <w:tab/>
        <w:t>Property, plant and equipment and intangible assets (continued)</w:t>
      </w:r>
    </w:p>
    <w:p w14:paraId="084FA144"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p w14:paraId="71EA6D51"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tbl>
      <w:tblPr>
        <w:tblpPr w:leftFromText="181" w:rightFromText="181" w:vertAnchor="text" w:horzAnchor="margin" w:tblpX="-426" w:tblpY="32"/>
        <w:tblW w:w="5478" w:type="pct"/>
        <w:tblLayout w:type="fixed"/>
        <w:tblCellMar>
          <w:left w:w="119" w:type="dxa"/>
          <w:right w:w="119" w:type="dxa"/>
        </w:tblCellMar>
        <w:tblLook w:val="0000" w:firstRow="0" w:lastRow="0" w:firstColumn="0" w:lastColumn="0" w:noHBand="0" w:noVBand="0"/>
      </w:tblPr>
      <w:tblGrid>
        <w:gridCol w:w="2938"/>
        <w:gridCol w:w="1047"/>
        <w:gridCol w:w="1165"/>
        <w:gridCol w:w="1093"/>
        <w:gridCol w:w="1093"/>
        <w:gridCol w:w="1093"/>
        <w:gridCol w:w="1093"/>
        <w:gridCol w:w="988"/>
      </w:tblGrid>
      <w:tr w:rsidR="00587444" w:rsidRPr="00587444" w14:paraId="38471DA3" w14:textId="77777777" w:rsidTr="00DD69E7">
        <w:trPr>
          <w:trHeight w:val="1981"/>
        </w:trPr>
        <w:tc>
          <w:tcPr>
            <w:tcW w:w="1398" w:type="pct"/>
          </w:tcPr>
          <w:p w14:paraId="49709E6F"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r w:rsidRPr="00587444">
              <w:rPr>
                <w:rFonts w:ascii="Arial" w:hAnsi="Arial" w:cs="Arial"/>
                <w:b/>
                <w:sz w:val="16"/>
                <w:szCs w:val="16"/>
                <w:lang w:val="en-GB"/>
              </w:rPr>
              <w:t>Group</w:t>
            </w:r>
          </w:p>
          <w:p w14:paraId="007AD248"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02E1D25A"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2C4F7108"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r w:rsidRPr="00587444">
              <w:rPr>
                <w:rFonts w:ascii="Arial" w:hAnsi="Arial" w:cs="Arial"/>
                <w:b/>
                <w:sz w:val="16"/>
                <w:szCs w:val="16"/>
                <w:lang w:val="en-GB"/>
              </w:rPr>
              <w:t>31 December 2021</w:t>
            </w:r>
          </w:p>
          <w:p w14:paraId="7EB016EE" w14:textId="77777777" w:rsidR="00587444" w:rsidRPr="00587444" w:rsidRDefault="00587444" w:rsidP="00587444">
            <w:pPr>
              <w:tabs>
                <w:tab w:val="right" w:pos="1202"/>
              </w:tabs>
              <w:suppressAutoHyphens w:val="0"/>
              <w:autoSpaceDN/>
              <w:spacing w:line="240" w:lineRule="atLeast"/>
              <w:outlineLvl w:val="0"/>
              <w:rPr>
                <w:rFonts w:ascii="Arial" w:hAnsi="Arial" w:cs="Arial"/>
                <w:color w:val="FF0000"/>
                <w:spacing w:val="-2"/>
                <w:sz w:val="16"/>
                <w:szCs w:val="16"/>
                <w:lang w:val="en-GB"/>
              </w:rPr>
            </w:pPr>
          </w:p>
        </w:tc>
        <w:tc>
          <w:tcPr>
            <w:tcW w:w="498" w:type="pct"/>
          </w:tcPr>
          <w:p w14:paraId="446CA3E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bCs/>
                <w:sz w:val="16"/>
                <w:szCs w:val="16"/>
                <w:lang w:val="en-GB"/>
              </w:rPr>
            </w:pPr>
            <w:r w:rsidRPr="00587444">
              <w:rPr>
                <w:rFonts w:ascii="Arial" w:hAnsi="Arial" w:cs="Arial"/>
                <w:b/>
                <w:sz w:val="16"/>
                <w:szCs w:val="16"/>
                <w:lang w:val="en-GB"/>
              </w:rPr>
              <w:t>Buildings</w:t>
            </w:r>
          </w:p>
        </w:tc>
        <w:tc>
          <w:tcPr>
            <w:tcW w:w="554" w:type="pct"/>
          </w:tcPr>
          <w:p w14:paraId="16D8CBA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Computers</w:t>
            </w:r>
          </w:p>
        </w:tc>
        <w:tc>
          <w:tcPr>
            <w:tcW w:w="520" w:type="pct"/>
          </w:tcPr>
          <w:p w14:paraId="160AA83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 xml:space="preserve">Furniture, </w:t>
            </w:r>
            <w:proofErr w:type="gramStart"/>
            <w:r w:rsidRPr="00587444">
              <w:rPr>
                <w:rFonts w:ascii="Arial" w:hAnsi="Arial" w:cs="Arial"/>
                <w:b/>
                <w:sz w:val="16"/>
                <w:szCs w:val="16"/>
                <w:lang w:val="en-GB"/>
              </w:rPr>
              <w:t>equipment</w:t>
            </w:r>
            <w:proofErr w:type="gramEnd"/>
            <w:r w:rsidRPr="00587444">
              <w:rPr>
                <w:rFonts w:ascii="Arial" w:hAnsi="Arial" w:cs="Arial"/>
                <w:b/>
                <w:sz w:val="16"/>
                <w:szCs w:val="16"/>
                <w:lang w:val="en-GB"/>
              </w:rPr>
              <w:t xml:space="preserve"> and vehicles</w:t>
            </w:r>
          </w:p>
        </w:tc>
        <w:tc>
          <w:tcPr>
            <w:tcW w:w="520" w:type="pct"/>
          </w:tcPr>
          <w:p w14:paraId="31E4A6F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 xml:space="preserve">Property, </w:t>
            </w:r>
            <w:proofErr w:type="gramStart"/>
            <w:r w:rsidRPr="00587444">
              <w:rPr>
                <w:rFonts w:ascii="Arial" w:hAnsi="Arial" w:cs="Arial"/>
                <w:b/>
                <w:sz w:val="16"/>
                <w:szCs w:val="16"/>
                <w:lang w:val="en-GB"/>
              </w:rPr>
              <w:t>plant</w:t>
            </w:r>
            <w:proofErr w:type="gramEnd"/>
            <w:r w:rsidRPr="00587444">
              <w:rPr>
                <w:rFonts w:ascii="Arial" w:hAnsi="Arial" w:cs="Arial"/>
                <w:b/>
                <w:sz w:val="16"/>
                <w:szCs w:val="16"/>
                <w:lang w:val="en-GB"/>
              </w:rPr>
              <w:t xml:space="preserve"> and equipment and </w:t>
            </w:r>
          </w:p>
          <w:p w14:paraId="2BE723A9"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intangible assets not ready for use</w:t>
            </w:r>
          </w:p>
        </w:tc>
        <w:tc>
          <w:tcPr>
            <w:tcW w:w="520" w:type="pct"/>
          </w:tcPr>
          <w:p w14:paraId="5D4FC58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 xml:space="preserve">Total property, </w:t>
            </w:r>
            <w:proofErr w:type="gramStart"/>
            <w:r w:rsidRPr="00587444">
              <w:rPr>
                <w:rFonts w:ascii="Arial" w:hAnsi="Arial" w:cs="Arial"/>
                <w:b/>
                <w:sz w:val="16"/>
                <w:szCs w:val="16"/>
                <w:lang w:val="en-GB"/>
              </w:rPr>
              <w:t>plant</w:t>
            </w:r>
            <w:proofErr w:type="gramEnd"/>
            <w:r w:rsidRPr="00587444">
              <w:rPr>
                <w:rFonts w:ascii="Arial" w:hAnsi="Arial" w:cs="Arial"/>
                <w:b/>
                <w:sz w:val="16"/>
                <w:szCs w:val="16"/>
                <w:lang w:val="en-GB"/>
              </w:rPr>
              <w:t xml:space="preserve"> and equipment </w:t>
            </w:r>
          </w:p>
        </w:tc>
        <w:tc>
          <w:tcPr>
            <w:tcW w:w="520" w:type="pct"/>
          </w:tcPr>
          <w:p w14:paraId="5859187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Intangible assets</w:t>
            </w:r>
          </w:p>
        </w:tc>
        <w:tc>
          <w:tcPr>
            <w:tcW w:w="470" w:type="pct"/>
          </w:tcPr>
          <w:p w14:paraId="6D0D74C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Total</w:t>
            </w:r>
          </w:p>
        </w:tc>
      </w:tr>
      <w:tr w:rsidR="00587444" w:rsidRPr="00587444" w14:paraId="600D18EC" w14:textId="77777777" w:rsidTr="00DD69E7">
        <w:trPr>
          <w:trHeight w:val="271"/>
        </w:trPr>
        <w:tc>
          <w:tcPr>
            <w:tcW w:w="1398" w:type="pct"/>
            <w:vAlign w:val="bottom"/>
          </w:tcPr>
          <w:p w14:paraId="1B48DA8C" w14:textId="77777777" w:rsidR="00587444" w:rsidRPr="00587444" w:rsidRDefault="00587444" w:rsidP="00587444">
            <w:pPr>
              <w:tabs>
                <w:tab w:val="left" w:pos="-1559"/>
              </w:tabs>
              <w:autoSpaceDN/>
              <w:rPr>
                <w:rFonts w:ascii="Arial" w:hAnsi="Arial" w:cs="Arial"/>
                <w:spacing w:val="-2"/>
                <w:sz w:val="16"/>
                <w:szCs w:val="16"/>
                <w:lang w:val="en-GB"/>
              </w:rPr>
            </w:pPr>
          </w:p>
        </w:tc>
        <w:tc>
          <w:tcPr>
            <w:tcW w:w="498" w:type="pct"/>
            <w:vAlign w:val="bottom"/>
          </w:tcPr>
          <w:p w14:paraId="54F4E8A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HRK ‘000</w:t>
            </w:r>
          </w:p>
        </w:tc>
        <w:tc>
          <w:tcPr>
            <w:tcW w:w="554" w:type="pct"/>
            <w:vAlign w:val="bottom"/>
          </w:tcPr>
          <w:p w14:paraId="528E268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HRK ‘000</w:t>
            </w:r>
          </w:p>
        </w:tc>
        <w:tc>
          <w:tcPr>
            <w:tcW w:w="520" w:type="pct"/>
            <w:vAlign w:val="bottom"/>
          </w:tcPr>
          <w:p w14:paraId="326A184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HRK ‘000</w:t>
            </w:r>
          </w:p>
        </w:tc>
        <w:tc>
          <w:tcPr>
            <w:tcW w:w="520" w:type="pct"/>
            <w:vAlign w:val="bottom"/>
          </w:tcPr>
          <w:p w14:paraId="2B3193C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HRK ‘000</w:t>
            </w:r>
          </w:p>
        </w:tc>
        <w:tc>
          <w:tcPr>
            <w:tcW w:w="520" w:type="pct"/>
            <w:vAlign w:val="bottom"/>
          </w:tcPr>
          <w:p w14:paraId="27FF70D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HRK ‘000</w:t>
            </w:r>
          </w:p>
        </w:tc>
        <w:tc>
          <w:tcPr>
            <w:tcW w:w="520" w:type="pct"/>
            <w:vAlign w:val="bottom"/>
          </w:tcPr>
          <w:p w14:paraId="0D99CF3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HRK ‘000</w:t>
            </w:r>
          </w:p>
        </w:tc>
        <w:tc>
          <w:tcPr>
            <w:tcW w:w="470" w:type="pct"/>
            <w:vAlign w:val="bottom"/>
          </w:tcPr>
          <w:p w14:paraId="60B021C9"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HRK ‘000</w:t>
            </w:r>
          </w:p>
        </w:tc>
      </w:tr>
      <w:tr w:rsidR="00587444" w:rsidRPr="00587444" w14:paraId="40C78FBF" w14:textId="77777777" w:rsidTr="00DD69E7">
        <w:trPr>
          <w:trHeight w:val="340"/>
        </w:trPr>
        <w:tc>
          <w:tcPr>
            <w:tcW w:w="1398" w:type="pct"/>
            <w:vAlign w:val="bottom"/>
          </w:tcPr>
          <w:p w14:paraId="71820E11"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Cost  </w:t>
            </w:r>
          </w:p>
        </w:tc>
        <w:tc>
          <w:tcPr>
            <w:tcW w:w="498" w:type="pct"/>
            <w:vAlign w:val="bottom"/>
          </w:tcPr>
          <w:p w14:paraId="2562977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54" w:type="pct"/>
            <w:vAlign w:val="bottom"/>
          </w:tcPr>
          <w:p w14:paraId="525887D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20" w:type="pct"/>
            <w:vAlign w:val="bottom"/>
          </w:tcPr>
          <w:p w14:paraId="296123D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20" w:type="pct"/>
            <w:vAlign w:val="bottom"/>
          </w:tcPr>
          <w:p w14:paraId="0EA9DBC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20" w:type="pct"/>
            <w:vAlign w:val="bottom"/>
          </w:tcPr>
          <w:p w14:paraId="2561633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20" w:type="pct"/>
            <w:vAlign w:val="bottom"/>
          </w:tcPr>
          <w:p w14:paraId="242833D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70" w:type="pct"/>
            <w:vAlign w:val="bottom"/>
          </w:tcPr>
          <w:p w14:paraId="3559601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r>
      <w:tr w:rsidR="00587444" w:rsidRPr="00587444" w14:paraId="55248FE3" w14:textId="77777777" w:rsidTr="00DD69E7">
        <w:trPr>
          <w:trHeight w:val="340"/>
        </w:trPr>
        <w:tc>
          <w:tcPr>
            <w:tcW w:w="1398" w:type="pct"/>
            <w:vAlign w:val="bottom"/>
          </w:tcPr>
          <w:p w14:paraId="42E259DE"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proofErr w:type="gramStart"/>
            <w:r w:rsidRPr="00587444">
              <w:rPr>
                <w:rFonts w:ascii="Arial" w:hAnsi="Arial" w:cs="Arial"/>
                <w:b/>
                <w:bCs/>
                <w:sz w:val="16"/>
                <w:szCs w:val="16"/>
                <w:lang w:val="en-GB"/>
              </w:rPr>
              <w:t>At</w:t>
            </w:r>
            <w:proofErr w:type="gramEnd"/>
            <w:r w:rsidRPr="00587444">
              <w:rPr>
                <w:rFonts w:ascii="Arial" w:hAnsi="Arial" w:cs="Arial"/>
                <w:b/>
                <w:bCs/>
                <w:sz w:val="16"/>
                <w:szCs w:val="16"/>
                <w:lang w:val="en-GB"/>
              </w:rPr>
              <w:t xml:space="preserve"> 31 December 2020</w:t>
            </w:r>
          </w:p>
        </w:tc>
        <w:tc>
          <w:tcPr>
            <w:tcW w:w="498" w:type="pct"/>
            <w:tcBorders>
              <w:left w:val="nil"/>
              <w:right w:val="nil"/>
            </w:tcBorders>
            <w:shd w:val="clear" w:color="auto" w:fill="auto"/>
            <w:vAlign w:val="bottom"/>
          </w:tcPr>
          <w:p w14:paraId="009E7E6E"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 xml:space="preserve"> 78,020 </w:t>
            </w:r>
          </w:p>
        </w:tc>
        <w:tc>
          <w:tcPr>
            <w:tcW w:w="554" w:type="pct"/>
            <w:tcBorders>
              <w:left w:val="nil"/>
              <w:right w:val="nil"/>
            </w:tcBorders>
            <w:shd w:val="clear" w:color="auto" w:fill="auto"/>
            <w:vAlign w:val="bottom"/>
          </w:tcPr>
          <w:p w14:paraId="5B650133"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 xml:space="preserve"> 10,037 </w:t>
            </w:r>
          </w:p>
        </w:tc>
        <w:tc>
          <w:tcPr>
            <w:tcW w:w="520" w:type="pct"/>
            <w:tcBorders>
              <w:left w:val="nil"/>
              <w:right w:val="nil"/>
            </w:tcBorders>
            <w:shd w:val="clear" w:color="auto" w:fill="auto"/>
            <w:vAlign w:val="bottom"/>
          </w:tcPr>
          <w:p w14:paraId="4CEBE70E"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 xml:space="preserve"> 13,788 </w:t>
            </w:r>
          </w:p>
        </w:tc>
        <w:tc>
          <w:tcPr>
            <w:tcW w:w="520" w:type="pct"/>
            <w:tcBorders>
              <w:left w:val="nil"/>
              <w:right w:val="nil"/>
            </w:tcBorders>
            <w:shd w:val="clear" w:color="auto" w:fill="auto"/>
            <w:vAlign w:val="bottom"/>
          </w:tcPr>
          <w:p w14:paraId="110BEE1D"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 xml:space="preserve"> 49 </w:t>
            </w:r>
          </w:p>
        </w:tc>
        <w:tc>
          <w:tcPr>
            <w:tcW w:w="520" w:type="pct"/>
            <w:tcBorders>
              <w:left w:val="nil"/>
              <w:right w:val="nil"/>
            </w:tcBorders>
            <w:shd w:val="clear" w:color="auto" w:fill="auto"/>
            <w:vAlign w:val="bottom"/>
          </w:tcPr>
          <w:p w14:paraId="11BA82D7"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 xml:space="preserve"> 101,894 </w:t>
            </w:r>
          </w:p>
        </w:tc>
        <w:tc>
          <w:tcPr>
            <w:tcW w:w="520" w:type="pct"/>
            <w:tcBorders>
              <w:left w:val="nil"/>
              <w:right w:val="nil"/>
            </w:tcBorders>
            <w:shd w:val="clear" w:color="auto" w:fill="auto"/>
            <w:vAlign w:val="bottom"/>
          </w:tcPr>
          <w:p w14:paraId="3B3A1D57"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 xml:space="preserve"> 37,117 </w:t>
            </w:r>
          </w:p>
        </w:tc>
        <w:tc>
          <w:tcPr>
            <w:tcW w:w="470" w:type="pct"/>
            <w:tcBorders>
              <w:left w:val="nil"/>
              <w:right w:val="nil"/>
            </w:tcBorders>
            <w:shd w:val="clear" w:color="auto" w:fill="auto"/>
            <w:vAlign w:val="bottom"/>
          </w:tcPr>
          <w:p w14:paraId="3F846507"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 xml:space="preserve"> 139,011 </w:t>
            </w:r>
          </w:p>
        </w:tc>
      </w:tr>
      <w:tr w:rsidR="00587444" w:rsidRPr="00587444" w14:paraId="0779FCF1" w14:textId="77777777" w:rsidTr="00DD69E7">
        <w:trPr>
          <w:trHeight w:val="340"/>
        </w:trPr>
        <w:tc>
          <w:tcPr>
            <w:tcW w:w="1398" w:type="pct"/>
            <w:vAlign w:val="bottom"/>
          </w:tcPr>
          <w:p w14:paraId="76B0E934" w14:textId="77777777" w:rsidR="00587444" w:rsidRPr="00587444" w:rsidRDefault="00587444" w:rsidP="00587444">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Additions</w:t>
            </w:r>
          </w:p>
        </w:tc>
        <w:tc>
          <w:tcPr>
            <w:tcW w:w="498" w:type="pct"/>
            <w:tcBorders>
              <w:left w:val="nil"/>
              <w:bottom w:val="nil"/>
              <w:right w:val="nil"/>
            </w:tcBorders>
            <w:shd w:val="clear" w:color="auto" w:fill="auto"/>
            <w:vAlign w:val="bottom"/>
          </w:tcPr>
          <w:p w14:paraId="7BEF65C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 </w:t>
            </w:r>
          </w:p>
        </w:tc>
        <w:tc>
          <w:tcPr>
            <w:tcW w:w="554" w:type="pct"/>
            <w:tcBorders>
              <w:left w:val="nil"/>
              <w:bottom w:val="nil"/>
              <w:right w:val="nil"/>
            </w:tcBorders>
            <w:shd w:val="clear" w:color="auto" w:fill="auto"/>
            <w:vAlign w:val="bottom"/>
          </w:tcPr>
          <w:p w14:paraId="2A1F6C5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93 </w:t>
            </w:r>
          </w:p>
        </w:tc>
        <w:tc>
          <w:tcPr>
            <w:tcW w:w="520" w:type="pct"/>
            <w:tcBorders>
              <w:left w:val="nil"/>
              <w:bottom w:val="nil"/>
              <w:right w:val="nil"/>
            </w:tcBorders>
            <w:shd w:val="clear" w:color="auto" w:fill="auto"/>
            <w:vAlign w:val="bottom"/>
          </w:tcPr>
          <w:p w14:paraId="128B12C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374 </w:t>
            </w:r>
          </w:p>
        </w:tc>
        <w:tc>
          <w:tcPr>
            <w:tcW w:w="520" w:type="pct"/>
            <w:tcBorders>
              <w:left w:val="nil"/>
              <w:bottom w:val="nil"/>
              <w:right w:val="nil"/>
            </w:tcBorders>
            <w:shd w:val="clear" w:color="auto" w:fill="auto"/>
            <w:vAlign w:val="bottom"/>
          </w:tcPr>
          <w:p w14:paraId="7C5B39D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6,083 </w:t>
            </w:r>
          </w:p>
        </w:tc>
        <w:tc>
          <w:tcPr>
            <w:tcW w:w="520" w:type="pct"/>
            <w:tcBorders>
              <w:left w:val="nil"/>
              <w:bottom w:val="nil"/>
              <w:right w:val="nil"/>
            </w:tcBorders>
            <w:shd w:val="clear" w:color="auto" w:fill="auto"/>
            <w:vAlign w:val="bottom"/>
          </w:tcPr>
          <w:p w14:paraId="52C71B7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6,550 </w:t>
            </w:r>
          </w:p>
        </w:tc>
        <w:tc>
          <w:tcPr>
            <w:tcW w:w="520" w:type="pct"/>
            <w:tcBorders>
              <w:left w:val="nil"/>
              <w:bottom w:val="nil"/>
              <w:right w:val="nil"/>
            </w:tcBorders>
            <w:shd w:val="clear" w:color="auto" w:fill="auto"/>
            <w:vAlign w:val="bottom"/>
          </w:tcPr>
          <w:p w14:paraId="3B7571C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23 </w:t>
            </w:r>
          </w:p>
        </w:tc>
        <w:tc>
          <w:tcPr>
            <w:tcW w:w="470" w:type="pct"/>
            <w:tcBorders>
              <w:left w:val="nil"/>
              <w:bottom w:val="nil"/>
              <w:right w:val="nil"/>
            </w:tcBorders>
            <w:shd w:val="clear" w:color="auto" w:fill="auto"/>
            <w:vAlign w:val="bottom"/>
          </w:tcPr>
          <w:p w14:paraId="239ADF6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6,573 </w:t>
            </w:r>
          </w:p>
        </w:tc>
      </w:tr>
      <w:tr w:rsidR="00587444" w:rsidRPr="00587444" w14:paraId="4CE43A47" w14:textId="77777777" w:rsidTr="00DD69E7">
        <w:trPr>
          <w:trHeight w:val="441"/>
        </w:trPr>
        <w:tc>
          <w:tcPr>
            <w:tcW w:w="1398" w:type="pct"/>
            <w:vAlign w:val="bottom"/>
          </w:tcPr>
          <w:p w14:paraId="6DE960B2" w14:textId="77777777" w:rsidR="00587444" w:rsidRPr="00587444" w:rsidRDefault="00587444" w:rsidP="00587444">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Transfer from assets not yet ready for use</w:t>
            </w:r>
            <w:r w:rsidRPr="00587444" w:rsidDel="004F4367">
              <w:rPr>
                <w:rFonts w:ascii="Arial" w:hAnsi="Arial" w:cs="Arial"/>
                <w:sz w:val="16"/>
                <w:szCs w:val="16"/>
                <w:lang w:val="en-GB"/>
              </w:rPr>
              <w:t xml:space="preserve"> </w:t>
            </w:r>
          </w:p>
        </w:tc>
        <w:tc>
          <w:tcPr>
            <w:tcW w:w="498" w:type="pct"/>
            <w:tcBorders>
              <w:top w:val="nil"/>
              <w:left w:val="nil"/>
              <w:right w:val="nil"/>
            </w:tcBorders>
            <w:shd w:val="clear" w:color="auto" w:fill="auto"/>
            <w:vAlign w:val="bottom"/>
          </w:tcPr>
          <w:p w14:paraId="2D2F80E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 </w:t>
            </w:r>
          </w:p>
        </w:tc>
        <w:tc>
          <w:tcPr>
            <w:tcW w:w="554" w:type="pct"/>
            <w:tcBorders>
              <w:top w:val="nil"/>
              <w:left w:val="nil"/>
              <w:right w:val="nil"/>
            </w:tcBorders>
            <w:shd w:val="clear" w:color="auto" w:fill="auto"/>
            <w:vAlign w:val="bottom"/>
          </w:tcPr>
          <w:p w14:paraId="1270071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3,919 </w:t>
            </w:r>
          </w:p>
        </w:tc>
        <w:tc>
          <w:tcPr>
            <w:tcW w:w="520" w:type="pct"/>
            <w:tcBorders>
              <w:top w:val="nil"/>
              <w:left w:val="nil"/>
              <w:right w:val="nil"/>
            </w:tcBorders>
            <w:shd w:val="clear" w:color="auto" w:fill="auto"/>
            <w:vAlign w:val="bottom"/>
          </w:tcPr>
          <w:p w14:paraId="6ECCBE8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40 </w:t>
            </w:r>
          </w:p>
        </w:tc>
        <w:tc>
          <w:tcPr>
            <w:tcW w:w="520" w:type="pct"/>
            <w:tcBorders>
              <w:top w:val="nil"/>
              <w:left w:val="nil"/>
              <w:right w:val="nil"/>
            </w:tcBorders>
            <w:shd w:val="clear" w:color="auto" w:fill="auto"/>
            <w:vAlign w:val="bottom"/>
          </w:tcPr>
          <w:p w14:paraId="3FB6B56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(6,077)</w:t>
            </w:r>
          </w:p>
        </w:tc>
        <w:tc>
          <w:tcPr>
            <w:tcW w:w="520" w:type="pct"/>
            <w:tcBorders>
              <w:top w:val="nil"/>
              <w:left w:val="nil"/>
              <w:right w:val="nil"/>
            </w:tcBorders>
            <w:shd w:val="clear" w:color="auto" w:fill="auto"/>
            <w:vAlign w:val="bottom"/>
          </w:tcPr>
          <w:p w14:paraId="5F59572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(2,118)</w:t>
            </w:r>
          </w:p>
        </w:tc>
        <w:tc>
          <w:tcPr>
            <w:tcW w:w="520" w:type="pct"/>
            <w:tcBorders>
              <w:top w:val="nil"/>
              <w:left w:val="nil"/>
              <w:right w:val="nil"/>
            </w:tcBorders>
            <w:shd w:val="clear" w:color="auto" w:fill="auto"/>
            <w:vAlign w:val="bottom"/>
          </w:tcPr>
          <w:p w14:paraId="01724CB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2,118 </w:t>
            </w:r>
          </w:p>
        </w:tc>
        <w:tc>
          <w:tcPr>
            <w:tcW w:w="470" w:type="pct"/>
            <w:tcBorders>
              <w:top w:val="nil"/>
              <w:left w:val="nil"/>
              <w:right w:val="nil"/>
            </w:tcBorders>
            <w:shd w:val="clear" w:color="auto" w:fill="auto"/>
            <w:vAlign w:val="bottom"/>
          </w:tcPr>
          <w:p w14:paraId="18F6BE0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 </w:t>
            </w:r>
          </w:p>
        </w:tc>
      </w:tr>
      <w:tr w:rsidR="00587444" w:rsidRPr="00587444" w14:paraId="7753FAE7" w14:textId="77777777" w:rsidTr="00DD69E7">
        <w:trPr>
          <w:trHeight w:val="346"/>
        </w:trPr>
        <w:tc>
          <w:tcPr>
            <w:tcW w:w="1398" w:type="pct"/>
            <w:vAlign w:val="bottom"/>
          </w:tcPr>
          <w:p w14:paraId="6A9C9C2E" w14:textId="77777777" w:rsidR="00587444" w:rsidRPr="00587444" w:rsidRDefault="00587444" w:rsidP="00587444">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Disposals and write-offs</w:t>
            </w:r>
          </w:p>
        </w:tc>
        <w:tc>
          <w:tcPr>
            <w:tcW w:w="498" w:type="pct"/>
            <w:tcBorders>
              <w:top w:val="nil"/>
              <w:left w:val="nil"/>
              <w:right w:val="nil"/>
            </w:tcBorders>
            <w:shd w:val="clear" w:color="auto" w:fill="auto"/>
            <w:vAlign w:val="bottom"/>
          </w:tcPr>
          <w:p w14:paraId="152085E7"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w:t>
            </w:r>
          </w:p>
        </w:tc>
        <w:tc>
          <w:tcPr>
            <w:tcW w:w="554" w:type="pct"/>
            <w:tcBorders>
              <w:top w:val="nil"/>
              <w:left w:val="nil"/>
              <w:right w:val="nil"/>
            </w:tcBorders>
            <w:shd w:val="clear" w:color="auto" w:fill="auto"/>
            <w:vAlign w:val="bottom"/>
          </w:tcPr>
          <w:p w14:paraId="1BBDA5B1"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(198)</w:t>
            </w:r>
          </w:p>
        </w:tc>
        <w:tc>
          <w:tcPr>
            <w:tcW w:w="520" w:type="pct"/>
            <w:tcBorders>
              <w:top w:val="nil"/>
              <w:left w:val="nil"/>
              <w:right w:val="nil"/>
            </w:tcBorders>
            <w:shd w:val="clear" w:color="auto" w:fill="auto"/>
            <w:vAlign w:val="bottom"/>
          </w:tcPr>
          <w:p w14:paraId="558A48AC"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(1,273)</w:t>
            </w:r>
          </w:p>
        </w:tc>
        <w:tc>
          <w:tcPr>
            <w:tcW w:w="520" w:type="pct"/>
            <w:tcBorders>
              <w:top w:val="nil"/>
              <w:left w:val="nil"/>
              <w:right w:val="nil"/>
            </w:tcBorders>
            <w:shd w:val="clear" w:color="auto" w:fill="auto"/>
            <w:vAlign w:val="bottom"/>
          </w:tcPr>
          <w:p w14:paraId="3512D25D"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 </w:t>
            </w:r>
          </w:p>
        </w:tc>
        <w:tc>
          <w:tcPr>
            <w:tcW w:w="520" w:type="pct"/>
            <w:tcBorders>
              <w:top w:val="nil"/>
              <w:left w:val="nil"/>
              <w:right w:val="nil"/>
            </w:tcBorders>
            <w:shd w:val="clear" w:color="auto" w:fill="auto"/>
            <w:vAlign w:val="bottom"/>
          </w:tcPr>
          <w:p w14:paraId="2E1D187F"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(1,471)</w:t>
            </w:r>
          </w:p>
        </w:tc>
        <w:tc>
          <w:tcPr>
            <w:tcW w:w="520" w:type="pct"/>
            <w:tcBorders>
              <w:top w:val="nil"/>
              <w:left w:val="nil"/>
              <w:right w:val="nil"/>
            </w:tcBorders>
            <w:shd w:val="clear" w:color="auto" w:fill="auto"/>
            <w:vAlign w:val="bottom"/>
          </w:tcPr>
          <w:p w14:paraId="2D418A64"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(3,337)</w:t>
            </w:r>
          </w:p>
        </w:tc>
        <w:tc>
          <w:tcPr>
            <w:tcW w:w="470" w:type="pct"/>
            <w:tcBorders>
              <w:top w:val="nil"/>
              <w:left w:val="nil"/>
              <w:right w:val="nil"/>
            </w:tcBorders>
            <w:shd w:val="clear" w:color="auto" w:fill="auto"/>
            <w:vAlign w:val="bottom"/>
          </w:tcPr>
          <w:p w14:paraId="4666F864"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(4,808)</w:t>
            </w:r>
          </w:p>
        </w:tc>
      </w:tr>
      <w:tr w:rsidR="00587444" w:rsidRPr="00587444" w14:paraId="01A6B0A6" w14:textId="77777777" w:rsidTr="00DD69E7">
        <w:trPr>
          <w:trHeight w:val="346"/>
        </w:trPr>
        <w:tc>
          <w:tcPr>
            <w:tcW w:w="1398" w:type="pct"/>
            <w:vAlign w:val="bottom"/>
          </w:tcPr>
          <w:p w14:paraId="6BCD634E" w14:textId="77777777" w:rsidR="00587444" w:rsidRPr="00587444" w:rsidRDefault="00587444" w:rsidP="00587444">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 xml:space="preserve">Reclassification (+/-)   </w:t>
            </w:r>
          </w:p>
        </w:tc>
        <w:tc>
          <w:tcPr>
            <w:tcW w:w="498" w:type="pct"/>
            <w:tcBorders>
              <w:top w:val="nil"/>
              <w:left w:val="nil"/>
              <w:right w:val="nil"/>
            </w:tcBorders>
            <w:shd w:val="clear" w:color="auto" w:fill="auto"/>
            <w:vAlign w:val="bottom"/>
          </w:tcPr>
          <w:p w14:paraId="41679D0C"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w:t>
            </w:r>
          </w:p>
        </w:tc>
        <w:tc>
          <w:tcPr>
            <w:tcW w:w="554" w:type="pct"/>
            <w:tcBorders>
              <w:top w:val="nil"/>
              <w:left w:val="nil"/>
              <w:right w:val="nil"/>
            </w:tcBorders>
            <w:shd w:val="clear" w:color="auto" w:fill="auto"/>
            <w:vAlign w:val="bottom"/>
          </w:tcPr>
          <w:p w14:paraId="3F00BCFC"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w:t>
            </w:r>
          </w:p>
        </w:tc>
        <w:tc>
          <w:tcPr>
            <w:tcW w:w="520" w:type="pct"/>
            <w:tcBorders>
              <w:top w:val="nil"/>
              <w:left w:val="nil"/>
              <w:right w:val="nil"/>
            </w:tcBorders>
            <w:shd w:val="clear" w:color="auto" w:fill="auto"/>
            <w:vAlign w:val="bottom"/>
          </w:tcPr>
          <w:p w14:paraId="1A5EF168"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w:t>
            </w:r>
          </w:p>
        </w:tc>
        <w:tc>
          <w:tcPr>
            <w:tcW w:w="520" w:type="pct"/>
            <w:tcBorders>
              <w:top w:val="nil"/>
              <w:left w:val="nil"/>
              <w:right w:val="nil"/>
            </w:tcBorders>
            <w:shd w:val="clear" w:color="auto" w:fill="auto"/>
            <w:vAlign w:val="bottom"/>
          </w:tcPr>
          <w:p w14:paraId="475FDECC"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w:t>
            </w:r>
          </w:p>
        </w:tc>
        <w:tc>
          <w:tcPr>
            <w:tcW w:w="520" w:type="pct"/>
            <w:tcBorders>
              <w:top w:val="nil"/>
              <w:left w:val="nil"/>
              <w:right w:val="nil"/>
            </w:tcBorders>
            <w:shd w:val="clear" w:color="auto" w:fill="auto"/>
            <w:vAlign w:val="bottom"/>
          </w:tcPr>
          <w:p w14:paraId="43F324E8"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w:t>
            </w:r>
          </w:p>
        </w:tc>
        <w:tc>
          <w:tcPr>
            <w:tcW w:w="520" w:type="pct"/>
            <w:tcBorders>
              <w:top w:val="nil"/>
              <w:left w:val="nil"/>
              <w:right w:val="nil"/>
            </w:tcBorders>
            <w:shd w:val="clear" w:color="auto" w:fill="auto"/>
            <w:vAlign w:val="bottom"/>
          </w:tcPr>
          <w:p w14:paraId="61DBA83A"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1 </w:t>
            </w:r>
          </w:p>
        </w:tc>
        <w:tc>
          <w:tcPr>
            <w:tcW w:w="470" w:type="pct"/>
            <w:tcBorders>
              <w:top w:val="nil"/>
              <w:left w:val="nil"/>
              <w:right w:val="nil"/>
            </w:tcBorders>
            <w:shd w:val="clear" w:color="auto" w:fill="auto"/>
            <w:vAlign w:val="bottom"/>
          </w:tcPr>
          <w:p w14:paraId="42D1B201"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1</w:t>
            </w:r>
          </w:p>
        </w:tc>
      </w:tr>
      <w:tr w:rsidR="00587444" w:rsidRPr="00587444" w14:paraId="0E3438C4" w14:textId="77777777" w:rsidTr="00DD69E7">
        <w:trPr>
          <w:trHeight w:val="346"/>
        </w:trPr>
        <w:tc>
          <w:tcPr>
            <w:tcW w:w="1398" w:type="pct"/>
            <w:vAlign w:val="bottom"/>
          </w:tcPr>
          <w:p w14:paraId="72D39370"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proofErr w:type="gramStart"/>
            <w:r w:rsidRPr="00587444">
              <w:rPr>
                <w:rFonts w:ascii="Arial" w:hAnsi="Arial" w:cs="Arial"/>
                <w:b/>
                <w:bCs/>
                <w:sz w:val="16"/>
                <w:szCs w:val="16"/>
                <w:lang w:val="en-GB"/>
              </w:rPr>
              <w:t>At</w:t>
            </w:r>
            <w:proofErr w:type="gramEnd"/>
            <w:r w:rsidRPr="00587444">
              <w:rPr>
                <w:rFonts w:ascii="Arial" w:hAnsi="Arial" w:cs="Arial"/>
                <w:b/>
                <w:bCs/>
                <w:sz w:val="16"/>
                <w:szCs w:val="16"/>
                <w:lang w:val="en-GB"/>
              </w:rPr>
              <w:t xml:space="preserve"> 31 December 2021</w:t>
            </w:r>
          </w:p>
        </w:tc>
        <w:tc>
          <w:tcPr>
            <w:tcW w:w="498" w:type="pct"/>
            <w:tcBorders>
              <w:top w:val="single" w:sz="4" w:space="0" w:color="auto"/>
              <w:left w:val="nil"/>
              <w:bottom w:val="single" w:sz="12" w:space="0" w:color="auto"/>
              <w:right w:val="nil"/>
            </w:tcBorders>
            <w:shd w:val="clear" w:color="auto" w:fill="auto"/>
            <w:vAlign w:val="bottom"/>
          </w:tcPr>
          <w:p w14:paraId="39CC264D"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78,020 </w:t>
            </w:r>
          </w:p>
        </w:tc>
        <w:tc>
          <w:tcPr>
            <w:tcW w:w="554" w:type="pct"/>
            <w:tcBorders>
              <w:top w:val="single" w:sz="4" w:space="0" w:color="auto"/>
              <w:left w:val="nil"/>
              <w:bottom w:val="single" w:sz="12" w:space="0" w:color="auto"/>
              <w:right w:val="nil"/>
            </w:tcBorders>
            <w:shd w:val="clear" w:color="auto" w:fill="auto"/>
            <w:vAlign w:val="bottom"/>
          </w:tcPr>
          <w:p w14:paraId="67E62BAA"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13,851 </w:t>
            </w:r>
          </w:p>
        </w:tc>
        <w:tc>
          <w:tcPr>
            <w:tcW w:w="520" w:type="pct"/>
            <w:tcBorders>
              <w:top w:val="single" w:sz="4" w:space="0" w:color="auto"/>
              <w:left w:val="nil"/>
              <w:bottom w:val="single" w:sz="12" w:space="0" w:color="auto"/>
              <w:right w:val="nil"/>
            </w:tcBorders>
            <w:shd w:val="clear" w:color="auto" w:fill="auto"/>
            <w:vAlign w:val="bottom"/>
          </w:tcPr>
          <w:p w14:paraId="042614D8"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12,929 </w:t>
            </w:r>
          </w:p>
        </w:tc>
        <w:tc>
          <w:tcPr>
            <w:tcW w:w="520" w:type="pct"/>
            <w:tcBorders>
              <w:top w:val="single" w:sz="4" w:space="0" w:color="auto"/>
              <w:left w:val="nil"/>
              <w:bottom w:val="single" w:sz="12" w:space="0" w:color="auto"/>
              <w:right w:val="nil"/>
            </w:tcBorders>
            <w:shd w:val="clear" w:color="auto" w:fill="auto"/>
            <w:vAlign w:val="bottom"/>
          </w:tcPr>
          <w:p w14:paraId="43FA4E27"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55 </w:t>
            </w:r>
          </w:p>
        </w:tc>
        <w:tc>
          <w:tcPr>
            <w:tcW w:w="520" w:type="pct"/>
            <w:tcBorders>
              <w:top w:val="single" w:sz="4" w:space="0" w:color="auto"/>
              <w:left w:val="nil"/>
              <w:bottom w:val="single" w:sz="12" w:space="0" w:color="auto"/>
              <w:right w:val="nil"/>
            </w:tcBorders>
            <w:shd w:val="clear" w:color="auto" w:fill="auto"/>
            <w:vAlign w:val="bottom"/>
          </w:tcPr>
          <w:p w14:paraId="74950408"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104,855 </w:t>
            </w:r>
          </w:p>
        </w:tc>
        <w:tc>
          <w:tcPr>
            <w:tcW w:w="520" w:type="pct"/>
            <w:tcBorders>
              <w:top w:val="single" w:sz="4" w:space="0" w:color="auto"/>
              <w:left w:val="nil"/>
              <w:bottom w:val="single" w:sz="12" w:space="0" w:color="auto"/>
              <w:right w:val="nil"/>
            </w:tcBorders>
            <w:shd w:val="clear" w:color="auto" w:fill="auto"/>
            <w:vAlign w:val="bottom"/>
          </w:tcPr>
          <w:p w14:paraId="13C8AD41"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35,922 </w:t>
            </w:r>
          </w:p>
        </w:tc>
        <w:tc>
          <w:tcPr>
            <w:tcW w:w="470" w:type="pct"/>
            <w:tcBorders>
              <w:top w:val="single" w:sz="4" w:space="0" w:color="auto"/>
              <w:left w:val="nil"/>
              <w:bottom w:val="single" w:sz="12" w:space="0" w:color="auto"/>
              <w:right w:val="nil"/>
            </w:tcBorders>
            <w:shd w:val="clear" w:color="auto" w:fill="auto"/>
            <w:vAlign w:val="bottom"/>
          </w:tcPr>
          <w:p w14:paraId="14AB6451"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140,777 </w:t>
            </w:r>
          </w:p>
        </w:tc>
      </w:tr>
      <w:tr w:rsidR="00587444" w:rsidRPr="00587444" w14:paraId="66A6ED83" w14:textId="77777777" w:rsidTr="00DD69E7">
        <w:trPr>
          <w:trHeight w:val="371"/>
        </w:trPr>
        <w:tc>
          <w:tcPr>
            <w:tcW w:w="1398" w:type="pct"/>
            <w:vAlign w:val="bottom"/>
          </w:tcPr>
          <w:p w14:paraId="047279AB"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Accumulated depreciation and write-off</w:t>
            </w:r>
          </w:p>
        </w:tc>
        <w:tc>
          <w:tcPr>
            <w:tcW w:w="498" w:type="pct"/>
            <w:tcBorders>
              <w:top w:val="single" w:sz="12" w:space="0" w:color="auto"/>
            </w:tcBorders>
            <w:vAlign w:val="bottom"/>
          </w:tcPr>
          <w:p w14:paraId="36B24D05"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554" w:type="pct"/>
            <w:tcBorders>
              <w:top w:val="single" w:sz="12" w:space="0" w:color="auto"/>
            </w:tcBorders>
            <w:vAlign w:val="bottom"/>
          </w:tcPr>
          <w:p w14:paraId="71417F9F"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520" w:type="pct"/>
            <w:tcBorders>
              <w:top w:val="single" w:sz="12" w:space="0" w:color="auto"/>
            </w:tcBorders>
            <w:vAlign w:val="bottom"/>
          </w:tcPr>
          <w:p w14:paraId="78C9E98C"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520" w:type="pct"/>
            <w:tcBorders>
              <w:top w:val="single" w:sz="12" w:space="0" w:color="auto"/>
            </w:tcBorders>
            <w:vAlign w:val="bottom"/>
          </w:tcPr>
          <w:p w14:paraId="7511AA8C"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520" w:type="pct"/>
            <w:tcBorders>
              <w:top w:val="single" w:sz="12" w:space="0" w:color="auto"/>
            </w:tcBorders>
            <w:vAlign w:val="bottom"/>
          </w:tcPr>
          <w:p w14:paraId="41C8C574"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520" w:type="pct"/>
            <w:tcBorders>
              <w:top w:val="single" w:sz="12" w:space="0" w:color="auto"/>
            </w:tcBorders>
            <w:vAlign w:val="bottom"/>
          </w:tcPr>
          <w:p w14:paraId="4E4BD213"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470" w:type="pct"/>
            <w:tcBorders>
              <w:top w:val="single" w:sz="12" w:space="0" w:color="auto"/>
            </w:tcBorders>
            <w:vAlign w:val="bottom"/>
          </w:tcPr>
          <w:p w14:paraId="4DC70210"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r>
      <w:tr w:rsidR="00587444" w:rsidRPr="00587444" w14:paraId="78038403" w14:textId="77777777" w:rsidTr="00DD69E7">
        <w:trPr>
          <w:trHeight w:val="346"/>
        </w:trPr>
        <w:tc>
          <w:tcPr>
            <w:tcW w:w="1398" w:type="pct"/>
            <w:vAlign w:val="bottom"/>
          </w:tcPr>
          <w:p w14:paraId="2CF2A24B"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proofErr w:type="gramStart"/>
            <w:r w:rsidRPr="00587444">
              <w:rPr>
                <w:rFonts w:ascii="Arial" w:hAnsi="Arial" w:cs="Arial"/>
                <w:b/>
                <w:bCs/>
                <w:sz w:val="16"/>
                <w:szCs w:val="16"/>
                <w:lang w:val="en-GB"/>
              </w:rPr>
              <w:t>At</w:t>
            </w:r>
            <w:proofErr w:type="gramEnd"/>
            <w:r w:rsidRPr="00587444">
              <w:rPr>
                <w:rFonts w:ascii="Arial" w:hAnsi="Arial" w:cs="Arial"/>
                <w:b/>
                <w:bCs/>
                <w:sz w:val="16"/>
                <w:szCs w:val="16"/>
                <w:lang w:val="en-GB"/>
              </w:rPr>
              <w:t xml:space="preserve"> 31 December 2020</w:t>
            </w:r>
          </w:p>
        </w:tc>
        <w:tc>
          <w:tcPr>
            <w:tcW w:w="498" w:type="pct"/>
            <w:tcBorders>
              <w:left w:val="nil"/>
              <w:right w:val="nil"/>
            </w:tcBorders>
            <w:shd w:val="clear" w:color="auto" w:fill="auto"/>
            <w:vAlign w:val="bottom"/>
          </w:tcPr>
          <w:p w14:paraId="7348D9B4"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 xml:space="preserve"> 40,955 </w:t>
            </w:r>
          </w:p>
        </w:tc>
        <w:tc>
          <w:tcPr>
            <w:tcW w:w="554" w:type="pct"/>
            <w:tcBorders>
              <w:left w:val="nil"/>
              <w:right w:val="nil"/>
            </w:tcBorders>
            <w:shd w:val="clear" w:color="auto" w:fill="auto"/>
            <w:vAlign w:val="bottom"/>
          </w:tcPr>
          <w:p w14:paraId="4CD4D303"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 xml:space="preserve"> 9,531 </w:t>
            </w:r>
          </w:p>
        </w:tc>
        <w:tc>
          <w:tcPr>
            <w:tcW w:w="520" w:type="pct"/>
            <w:tcBorders>
              <w:left w:val="nil"/>
              <w:right w:val="nil"/>
            </w:tcBorders>
            <w:shd w:val="clear" w:color="auto" w:fill="auto"/>
            <w:vAlign w:val="bottom"/>
          </w:tcPr>
          <w:p w14:paraId="1BB0076A"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 xml:space="preserve"> 11,466 </w:t>
            </w:r>
          </w:p>
        </w:tc>
        <w:tc>
          <w:tcPr>
            <w:tcW w:w="520" w:type="pct"/>
            <w:tcBorders>
              <w:left w:val="nil"/>
              <w:right w:val="nil"/>
            </w:tcBorders>
            <w:shd w:val="clear" w:color="auto" w:fill="auto"/>
            <w:vAlign w:val="bottom"/>
          </w:tcPr>
          <w:p w14:paraId="4B192182"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 xml:space="preserve"> - </w:t>
            </w:r>
          </w:p>
        </w:tc>
        <w:tc>
          <w:tcPr>
            <w:tcW w:w="520" w:type="pct"/>
            <w:tcBorders>
              <w:left w:val="nil"/>
              <w:right w:val="nil"/>
            </w:tcBorders>
            <w:shd w:val="clear" w:color="auto" w:fill="auto"/>
            <w:vAlign w:val="bottom"/>
          </w:tcPr>
          <w:p w14:paraId="1E275451"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 xml:space="preserve"> 61,952 </w:t>
            </w:r>
          </w:p>
        </w:tc>
        <w:tc>
          <w:tcPr>
            <w:tcW w:w="520" w:type="pct"/>
            <w:tcBorders>
              <w:left w:val="nil"/>
              <w:right w:val="nil"/>
            </w:tcBorders>
            <w:shd w:val="clear" w:color="auto" w:fill="auto"/>
            <w:vAlign w:val="bottom"/>
          </w:tcPr>
          <w:p w14:paraId="65DA63F7"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 xml:space="preserve"> 30,611 </w:t>
            </w:r>
          </w:p>
        </w:tc>
        <w:tc>
          <w:tcPr>
            <w:tcW w:w="470" w:type="pct"/>
            <w:tcBorders>
              <w:left w:val="nil"/>
              <w:right w:val="nil"/>
            </w:tcBorders>
            <w:shd w:val="clear" w:color="auto" w:fill="auto"/>
            <w:vAlign w:val="bottom"/>
          </w:tcPr>
          <w:p w14:paraId="0639F1F2"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 xml:space="preserve"> 92,563 </w:t>
            </w:r>
          </w:p>
        </w:tc>
      </w:tr>
      <w:tr w:rsidR="00587444" w:rsidRPr="00587444" w14:paraId="3C1AA875" w14:textId="77777777" w:rsidTr="00DD69E7">
        <w:trPr>
          <w:trHeight w:val="346"/>
        </w:trPr>
        <w:tc>
          <w:tcPr>
            <w:tcW w:w="1398" w:type="pct"/>
            <w:vAlign w:val="bottom"/>
          </w:tcPr>
          <w:p w14:paraId="39EC62A6" w14:textId="77777777" w:rsidR="00587444" w:rsidRPr="00587444" w:rsidRDefault="00587444" w:rsidP="00587444">
            <w:pPr>
              <w:tabs>
                <w:tab w:val="right" w:pos="1202"/>
              </w:tabs>
              <w:suppressAutoHyphens w:val="0"/>
              <w:autoSpaceDN/>
              <w:spacing w:line="240" w:lineRule="exact"/>
              <w:outlineLvl w:val="0"/>
              <w:rPr>
                <w:rFonts w:ascii="Arial" w:hAnsi="Arial" w:cs="Arial"/>
                <w:bCs/>
                <w:sz w:val="16"/>
                <w:szCs w:val="16"/>
                <w:lang w:val="en-GB"/>
              </w:rPr>
            </w:pPr>
            <w:r w:rsidRPr="00587444">
              <w:rPr>
                <w:rFonts w:ascii="Arial" w:hAnsi="Arial" w:cs="Arial"/>
                <w:bCs/>
                <w:sz w:val="16"/>
                <w:szCs w:val="16"/>
                <w:lang w:val="en-GB"/>
              </w:rPr>
              <w:t>Depreciation for 2021</w:t>
            </w:r>
          </w:p>
        </w:tc>
        <w:tc>
          <w:tcPr>
            <w:tcW w:w="498" w:type="pct"/>
            <w:tcBorders>
              <w:left w:val="nil"/>
              <w:bottom w:val="nil"/>
              <w:right w:val="nil"/>
            </w:tcBorders>
            <w:shd w:val="clear" w:color="auto" w:fill="auto"/>
            <w:vAlign w:val="bottom"/>
          </w:tcPr>
          <w:p w14:paraId="3C914203"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sz w:val="16"/>
                <w:szCs w:val="16"/>
                <w:lang w:val="en-GB"/>
              </w:rPr>
              <w:t xml:space="preserve"> 4,016 </w:t>
            </w:r>
          </w:p>
        </w:tc>
        <w:tc>
          <w:tcPr>
            <w:tcW w:w="554" w:type="pct"/>
            <w:tcBorders>
              <w:left w:val="nil"/>
              <w:bottom w:val="nil"/>
              <w:right w:val="nil"/>
            </w:tcBorders>
            <w:shd w:val="clear" w:color="auto" w:fill="auto"/>
            <w:vAlign w:val="bottom"/>
          </w:tcPr>
          <w:p w14:paraId="2B9E4069"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sz w:val="16"/>
                <w:szCs w:val="16"/>
                <w:lang w:val="en-GB"/>
              </w:rPr>
              <w:t xml:space="preserve"> 2,192 </w:t>
            </w:r>
          </w:p>
        </w:tc>
        <w:tc>
          <w:tcPr>
            <w:tcW w:w="520" w:type="pct"/>
            <w:tcBorders>
              <w:left w:val="nil"/>
              <w:bottom w:val="nil"/>
              <w:right w:val="nil"/>
            </w:tcBorders>
            <w:shd w:val="clear" w:color="auto" w:fill="auto"/>
            <w:vAlign w:val="bottom"/>
          </w:tcPr>
          <w:p w14:paraId="7119D562"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sz w:val="16"/>
                <w:szCs w:val="16"/>
                <w:lang w:val="en-GB"/>
              </w:rPr>
              <w:t xml:space="preserve"> 599 </w:t>
            </w:r>
          </w:p>
        </w:tc>
        <w:tc>
          <w:tcPr>
            <w:tcW w:w="520" w:type="pct"/>
            <w:tcBorders>
              <w:left w:val="nil"/>
              <w:bottom w:val="nil"/>
              <w:right w:val="nil"/>
            </w:tcBorders>
            <w:shd w:val="clear" w:color="auto" w:fill="auto"/>
            <w:vAlign w:val="bottom"/>
          </w:tcPr>
          <w:p w14:paraId="071BF742"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sz w:val="16"/>
                <w:szCs w:val="16"/>
                <w:lang w:val="en-GB"/>
              </w:rPr>
              <w:t xml:space="preserve"> - </w:t>
            </w:r>
          </w:p>
        </w:tc>
        <w:tc>
          <w:tcPr>
            <w:tcW w:w="520" w:type="pct"/>
            <w:tcBorders>
              <w:left w:val="nil"/>
              <w:bottom w:val="nil"/>
              <w:right w:val="nil"/>
            </w:tcBorders>
            <w:shd w:val="clear" w:color="auto" w:fill="auto"/>
            <w:vAlign w:val="bottom"/>
          </w:tcPr>
          <w:p w14:paraId="56E94CC2"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sz w:val="16"/>
                <w:szCs w:val="16"/>
                <w:lang w:val="en-GB"/>
              </w:rPr>
              <w:t xml:space="preserve"> 6,807 </w:t>
            </w:r>
          </w:p>
        </w:tc>
        <w:tc>
          <w:tcPr>
            <w:tcW w:w="520" w:type="pct"/>
            <w:tcBorders>
              <w:left w:val="nil"/>
              <w:bottom w:val="nil"/>
              <w:right w:val="nil"/>
            </w:tcBorders>
            <w:shd w:val="clear" w:color="auto" w:fill="auto"/>
            <w:vAlign w:val="bottom"/>
          </w:tcPr>
          <w:p w14:paraId="4F3287A4"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sz w:val="16"/>
                <w:szCs w:val="16"/>
                <w:lang w:val="en-GB"/>
              </w:rPr>
              <w:t xml:space="preserve"> 2,299 </w:t>
            </w:r>
          </w:p>
        </w:tc>
        <w:tc>
          <w:tcPr>
            <w:tcW w:w="470" w:type="pct"/>
            <w:tcBorders>
              <w:left w:val="nil"/>
              <w:bottom w:val="nil"/>
              <w:right w:val="nil"/>
            </w:tcBorders>
            <w:shd w:val="clear" w:color="auto" w:fill="auto"/>
            <w:vAlign w:val="bottom"/>
          </w:tcPr>
          <w:p w14:paraId="608A7E43"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sz w:val="16"/>
                <w:szCs w:val="16"/>
                <w:lang w:val="en-GB"/>
              </w:rPr>
              <w:t xml:space="preserve"> 9,106 </w:t>
            </w:r>
          </w:p>
        </w:tc>
      </w:tr>
      <w:tr w:rsidR="00587444" w:rsidRPr="00587444" w14:paraId="2A45115E" w14:textId="77777777" w:rsidTr="00DD69E7">
        <w:trPr>
          <w:trHeight w:val="346"/>
        </w:trPr>
        <w:tc>
          <w:tcPr>
            <w:tcW w:w="1398" w:type="pct"/>
            <w:vAlign w:val="bottom"/>
          </w:tcPr>
          <w:p w14:paraId="65BD5B5B" w14:textId="77777777" w:rsidR="00587444" w:rsidRPr="00587444" w:rsidRDefault="00587444" w:rsidP="00587444">
            <w:pPr>
              <w:suppressAutoHyphens w:val="0"/>
              <w:autoSpaceDN/>
              <w:rPr>
                <w:rFonts w:ascii="Arial" w:eastAsia="Calibri" w:hAnsi="Arial" w:cs="Arial"/>
                <w:sz w:val="16"/>
                <w:szCs w:val="16"/>
              </w:rPr>
            </w:pPr>
            <w:r w:rsidRPr="00587444">
              <w:rPr>
                <w:rFonts w:ascii="Arial" w:hAnsi="Arial" w:cs="Arial"/>
                <w:sz w:val="16"/>
                <w:szCs w:val="16"/>
              </w:rPr>
              <w:t xml:space="preserve">Disposals and write-offs  </w:t>
            </w:r>
          </w:p>
        </w:tc>
        <w:tc>
          <w:tcPr>
            <w:tcW w:w="498" w:type="pct"/>
            <w:tcBorders>
              <w:top w:val="nil"/>
              <w:left w:val="nil"/>
              <w:right w:val="nil"/>
            </w:tcBorders>
            <w:shd w:val="clear" w:color="auto" w:fill="auto"/>
            <w:vAlign w:val="bottom"/>
          </w:tcPr>
          <w:p w14:paraId="2C669D82"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sz w:val="16"/>
                <w:szCs w:val="16"/>
                <w:lang w:val="en-GB"/>
              </w:rPr>
              <w:t xml:space="preserve"> - </w:t>
            </w:r>
          </w:p>
        </w:tc>
        <w:tc>
          <w:tcPr>
            <w:tcW w:w="554" w:type="pct"/>
            <w:tcBorders>
              <w:top w:val="nil"/>
              <w:left w:val="nil"/>
              <w:right w:val="nil"/>
            </w:tcBorders>
            <w:shd w:val="clear" w:color="auto" w:fill="auto"/>
            <w:vAlign w:val="bottom"/>
          </w:tcPr>
          <w:p w14:paraId="77B549D5"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sz w:val="16"/>
                <w:szCs w:val="16"/>
                <w:lang w:val="en-GB"/>
              </w:rPr>
              <w:t xml:space="preserve"> (198)</w:t>
            </w:r>
          </w:p>
        </w:tc>
        <w:tc>
          <w:tcPr>
            <w:tcW w:w="520" w:type="pct"/>
            <w:tcBorders>
              <w:top w:val="nil"/>
              <w:left w:val="nil"/>
              <w:right w:val="nil"/>
            </w:tcBorders>
            <w:shd w:val="clear" w:color="auto" w:fill="auto"/>
            <w:vAlign w:val="bottom"/>
          </w:tcPr>
          <w:p w14:paraId="00DE66C5"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sz w:val="16"/>
                <w:szCs w:val="16"/>
                <w:lang w:val="en-GB"/>
              </w:rPr>
              <w:t xml:space="preserve"> (1,273)</w:t>
            </w:r>
          </w:p>
        </w:tc>
        <w:tc>
          <w:tcPr>
            <w:tcW w:w="520" w:type="pct"/>
            <w:tcBorders>
              <w:top w:val="nil"/>
              <w:left w:val="nil"/>
              <w:right w:val="nil"/>
            </w:tcBorders>
            <w:shd w:val="clear" w:color="auto" w:fill="auto"/>
            <w:vAlign w:val="bottom"/>
          </w:tcPr>
          <w:p w14:paraId="6F1946BD"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color w:val="000000"/>
                <w:sz w:val="16"/>
                <w:szCs w:val="16"/>
                <w:lang w:val="hr-HR"/>
              </w:rPr>
              <w:t>-</w:t>
            </w:r>
          </w:p>
        </w:tc>
        <w:tc>
          <w:tcPr>
            <w:tcW w:w="520" w:type="pct"/>
            <w:tcBorders>
              <w:top w:val="nil"/>
              <w:left w:val="nil"/>
              <w:right w:val="nil"/>
            </w:tcBorders>
            <w:shd w:val="clear" w:color="auto" w:fill="auto"/>
            <w:vAlign w:val="bottom"/>
          </w:tcPr>
          <w:p w14:paraId="37BBC330"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sz w:val="16"/>
                <w:szCs w:val="16"/>
                <w:lang w:val="en-GB"/>
              </w:rPr>
              <w:t xml:space="preserve"> (1,471)</w:t>
            </w:r>
          </w:p>
        </w:tc>
        <w:tc>
          <w:tcPr>
            <w:tcW w:w="520" w:type="pct"/>
            <w:tcBorders>
              <w:top w:val="nil"/>
              <w:left w:val="nil"/>
              <w:right w:val="nil"/>
            </w:tcBorders>
            <w:shd w:val="clear" w:color="auto" w:fill="auto"/>
            <w:vAlign w:val="bottom"/>
          </w:tcPr>
          <w:p w14:paraId="393BD77D"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sz w:val="16"/>
                <w:szCs w:val="16"/>
                <w:lang w:val="en-GB"/>
              </w:rPr>
              <w:t xml:space="preserve"> (3,337)</w:t>
            </w:r>
          </w:p>
        </w:tc>
        <w:tc>
          <w:tcPr>
            <w:tcW w:w="470" w:type="pct"/>
            <w:tcBorders>
              <w:top w:val="nil"/>
              <w:left w:val="nil"/>
              <w:right w:val="nil"/>
            </w:tcBorders>
            <w:shd w:val="clear" w:color="auto" w:fill="auto"/>
            <w:vAlign w:val="bottom"/>
          </w:tcPr>
          <w:p w14:paraId="47C6A216"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sz w:val="16"/>
                <w:szCs w:val="16"/>
                <w:lang w:val="en-GB"/>
              </w:rPr>
              <w:t xml:space="preserve"> (4,808)</w:t>
            </w:r>
          </w:p>
        </w:tc>
      </w:tr>
      <w:tr w:rsidR="00587444" w:rsidRPr="00587444" w14:paraId="62268D4C" w14:textId="77777777" w:rsidTr="00DD69E7">
        <w:trPr>
          <w:trHeight w:val="346"/>
        </w:trPr>
        <w:tc>
          <w:tcPr>
            <w:tcW w:w="1398" w:type="pct"/>
            <w:vAlign w:val="bottom"/>
          </w:tcPr>
          <w:p w14:paraId="36B801CA" w14:textId="77777777" w:rsidR="00587444" w:rsidRPr="00587444" w:rsidRDefault="00587444" w:rsidP="00587444">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Reclassification</w:t>
            </w:r>
            <w:r w:rsidRPr="00587444">
              <w:rPr>
                <w:rFonts w:ascii="Arial" w:hAnsi="Arial" w:cs="Arial"/>
                <w:color w:val="000000"/>
                <w:sz w:val="16"/>
                <w:szCs w:val="16"/>
                <w:lang w:val="hr-HR"/>
              </w:rPr>
              <w:t xml:space="preserve"> (+/-)</w:t>
            </w:r>
            <w:r w:rsidRPr="00587444">
              <w:rPr>
                <w:rFonts w:ascii="Arial" w:hAnsi="Arial" w:cs="Arial"/>
                <w:sz w:val="16"/>
                <w:szCs w:val="16"/>
                <w:lang w:val="en-GB"/>
              </w:rPr>
              <w:t xml:space="preserve"> </w:t>
            </w:r>
          </w:p>
        </w:tc>
        <w:tc>
          <w:tcPr>
            <w:tcW w:w="498" w:type="pct"/>
            <w:tcBorders>
              <w:top w:val="nil"/>
              <w:left w:val="nil"/>
              <w:right w:val="nil"/>
            </w:tcBorders>
            <w:shd w:val="clear" w:color="auto" w:fill="auto"/>
            <w:vAlign w:val="bottom"/>
          </w:tcPr>
          <w:p w14:paraId="4C297687"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w:t>
            </w:r>
          </w:p>
        </w:tc>
        <w:tc>
          <w:tcPr>
            <w:tcW w:w="554" w:type="pct"/>
            <w:tcBorders>
              <w:top w:val="nil"/>
              <w:left w:val="nil"/>
              <w:right w:val="nil"/>
            </w:tcBorders>
            <w:shd w:val="clear" w:color="auto" w:fill="auto"/>
            <w:vAlign w:val="bottom"/>
          </w:tcPr>
          <w:p w14:paraId="6DB4F235"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w:t>
            </w:r>
          </w:p>
        </w:tc>
        <w:tc>
          <w:tcPr>
            <w:tcW w:w="520" w:type="pct"/>
            <w:tcBorders>
              <w:top w:val="nil"/>
              <w:left w:val="nil"/>
              <w:right w:val="nil"/>
            </w:tcBorders>
            <w:shd w:val="clear" w:color="auto" w:fill="auto"/>
            <w:vAlign w:val="bottom"/>
          </w:tcPr>
          <w:p w14:paraId="51BCBAF0"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(21)</w:t>
            </w:r>
          </w:p>
        </w:tc>
        <w:tc>
          <w:tcPr>
            <w:tcW w:w="520" w:type="pct"/>
            <w:tcBorders>
              <w:top w:val="nil"/>
              <w:left w:val="nil"/>
              <w:right w:val="nil"/>
            </w:tcBorders>
            <w:shd w:val="clear" w:color="auto" w:fill="auto"/>
            <w:vAlign w:val="bottom"/>
          </w:tcPr>
          <w:p w14:paraId="505C6161"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w:t>
            </w:r>
          </w:p>
        </w:tc>
        <w:tc>
          <w:tcPr>
            <w:tcW w:w="520" w:type="pct"/>
            <w:tcBorders>
              <w:top w:val="nil"/>
              <w:left w:val="nil"/>
              <w:right w:val="nil"/>
            </w:tcBorders>
            <w:shd w:val="clear" w:color="auto" w:fill="auto"/>
            <w:vAlign w:val="bottom"/>
          </w:tcPr>
          <w:p w14:paraId="03109810"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(21)</w:t>
            </w:r>
          </w:p>
        </w:tc>
        <w:tc>
          <w:tcPr>
            <w:tcW w:w="520" w:type="pct"/>
            <w:tcBorders>
              <w:top w:val="nil"/>
              <w:left w:val="nil"/>
              <w:right w:val="nil"/>
            </w:tcBorders>
            <w:shd w:val="clear" w:color="auto" w:fill="auto"/>
            <w:vAlign w:val="bottom"/>
          </w:tcPr>
          <w:p w14:paraId="2EA65EC7"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w:t>
            </w:r>
          </w:p>
        </w:tc>
        <w:tc>
          <w:tcPr>
            <w:tcW w:w="470" w:type="pct"/>
            <w:tcBorders>
              <w:top w:val="nil"/>
              <w:left w:val="nil"/>
              <w:right w:val="nil"/>
            </w:tcBorders>
            <w:shd w:val="clear" w:color="auto" w:fill="auto"/>
            <w:vAlign w:val="bottom"/>
          </w:tcPr>
          <w:p w14:paraId="3F8EBE47"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(21)</w:t>
            </w:r>
          </w:p>
        </w:tc>
      </w:tr>
      <w:tr w:rsidR="00587444" w:rsidRPr="00587444" w14:paraId="74765490" w14:textId="77777777" w:rsidTr="00DD69E7">
        <w:trPr>
          <w:trHeight w:val="346"/>
        </w:trPr>
        <w:tc>
          <w:tcPr>
            <w:tcW w:w="1398" w:type="pct"/>
            <w:vAlign w:val="bottom"/>
          </w:tcPr>
          <w:p w14:paraId="7C077ED6"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proofErr w:type="gramStart"/>
            <w:r w:rsidRPr="00587444">
              <w:rPr>
                <w:rFonts w:ascii="Arial" w:hAnsi="Arial" w:cs="Arial"/>
                <w:b/>
                <w:bCs/>
                <w:sz w:val="16"/>
                <w:szCs w:val="16"/>
                <w:lang w:val="en-GB"/>
              </w:rPr>
              <w:t>At</w:t>
            </w:r>
            <w:proofErr w:type="gramEnd"/>
            <w:r w:rsidRPr="00587444">
              <w:rPr>
                <w:rFonts w:ascii="Arial" w:hAnsi="Arial" w:cs="Arial"/>
                <w:b/>
                <w:bCs/>
                <w:sz w:val="16"/>
                <w:szCs w:val="16"/>
                <w:lang w:val="en-GB"/>
              </w:rPr>
              <w:t xml:space="preserve"> 31 December 2021</w:t>
            </w:r>
          </w:p>
        </w:tc>
        <w:tc>
          <w:tcPr>
            <w:tcW w:w="498" w:type="pct"/>
            <w:tcBorders>
              <w:top w:val="single" w:sz="4" w:space="0" w:color="auto"/>
              <w:left w:val="nil"/>
              <w:bottom w:val="single" w:sz="12" w:space="0" w:color="auto"/>
              <w:right w:val="nil"/>
            </w:tcBorders>
            <w:shd w:val="clear" w:color="auto" w:fill="auto"/>
            <w:vAlign w:val="bottom"/>
          </w:tcPr>
          <w:p w14:paraId="4699DCF7"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44,971 </w:t>
            </w:r>
          </w:p>
        </w:tc>
        <w:tc>
          <w:tcPr>
            <w:tcW w:w="554" w:type="pct"/>
            <w:tcBorders>
              <w:top w:val="single" w:sz="4" w:space="0" w:color="auto"/>
              <w:left w:val="nil"/>
              <w:bottom w:val="single" w:sz="12" w:space="0" w:color="auto"/>
              <w:right w:val="nil"/>
            </w:tcBorders>
            <w:shd w:val="clear" w:color="auto" w:fill="auto"/>
            <w:vAlign w:val="bottom"/>
          </w:tcPr>
          <w:p w14:paraId="17BEC813"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11,525 </w:t>
            </w:r>
          </w:p>
        </w:tc>
        <w:tc>
          <w:tcPr>
            <w:tcW w:w="520" w:type="pct"/>
            <w:tcBorders>
              <w:top w:val="single" w:sz="4" w:space="0" w:color="auto"/>
              <w:left w:val="nil"/>
              <w:bottom w:val="single" w:sz="12" w:space="0" w:color="auto"/>
              <w:right w:val="nil"/>
            </w:tcBorders>
            <w:shd w:val="clear" w:color="auto" w:fill="auto"/>
            <w:vAlign w:val="bottom"/>
          </w:tcPr>
          <w:p w14:paraId="0D0E3A4D"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10,771 </w:t>
            </w:r>
          </w:p>
        </w:tc>
        <w:tc>
          <w:tcPr>
            <w:tcW w:w="520" w:type="pct"/>
            <w:tcBorders>
              <w:top w:val="single" w:sz="4" w:space="0" w:color="auto"/>
              <w:left w:val="nil"/>
              <w:bottom w:val="single" w:sz="12" w:space="0" w:color="auto"/>
              <w:right w:val="nil"/>
            </w:tcBorders>
            <w:shd w:val="clear" w:color="auto" w:fill="auto"/>
            <w:vAlign w:val="bottom"/>
          </w:tcPr>
          <w:p w14:paraId="75DF54B1"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 </w:t>
            </w:r>
          </w:p>
        </w:tc>
        <w:tc>
          <w:tcPr>
            <w:tcW w:w="520" w:type="pct"/>
            <w:tcBorders>
              <w:top w:val="single" w:sz="4" w:space="0" w:color="auto"/>
              <w:left w:val="nil"/>
              <w:bottom w:val="single" w:sz="12" w:space="0" w:color="auto"/>
              <w:right w:val="nil"/>
            </w:tcBorders>
            <w:shd w:val="clear" w:color="auto" w:fill="auto"/>
            <w:vAlign w:val="bottom"/>
          </w:tcPr>
          <w:p w14:paraId="13C0F766"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67,267 </w:t>
            </w:r>
          </w:p>
        </w:tc>
        <w:tc>
          <w:tcPr>
            <w:tcW w:w="520" w:type="pct"/>
            <w:tcBorders>
              <w:top w:val="single" w:sz="4" w:space="0" w:color="auto"/>
              <w:left w:val="nil"/>
              <w:bottom w:val="single" w:sz="12" w:space="0" w:color="auto"/>
              <w:right w:val="nil"/>
            </w:tcBorders>
            <w:shd w:val="clear" w:color="auto" w:fill="auto"/>
            <w:vAlign w:val="bottom"/>
          </w:tcPr>
          <w:p w14:paraId="6CDFC983"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29,573 </w:t>
            </w:r>
          </w:p>
        </w:tc>
        <w:tc>
          <w:tcPr>
            <w:tcW w:w="470" w:type="pct"/>
            <w:tcBorders>
              <w:top w:val="single" w:sz="4" w:space="0" w:color="auto"/>
              <w:left w:val="nil"/>
              <w:bottom w:val="single" w:sz="12" w:space="0" w:color="auto"/>
              <w:right w:val="nil"/>
            </w:tcBorders>
            <w:shd w:val="clear" w:color="auto" w:fill="auto"/>
            <w:vAlign w:val="bottom"/>
          </w:tcPr>
          <w:p w14:paraId="60428F0A"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96,840 </w:t>
            </w:r>
          </w:p>
        </w:tc>
      </w:tr>
      <w:tr w:rsidR="00587444" w:rsidRPr="00587444" w14:paraId="580A88A5" w14:textId="77777777" w:rsidTr="00DD69E7">
        <w:trPr>
          <w:trHeight w:val="694"/>
        </w:trPr>
        <w:tc>
          <w:tcPr>
            <w:tcW w:w="1398" w:type="pct"/>
            <w:vAlign w:val="bottom"/>
          </w:tcPr>
          <w:p w14:paraId="1C3CBBB5" w14:textId="77777777" w:rsidR="00890EEB" w:rsidRDefault="00587444" w:rsidP="00587444">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Net book value at </w:t>
            </w:r>
          </w:p>
          <w:p w14:paraId="0E279939" w14:textId="60F9D13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 December 2021</w:t>
            </w:r>
          </w:p>
        </w:tc>
        <w:tc>
          <w:tcPr>
            <w:tcW w:w="498" w:type="pct"/>
            <w:tcBorders>
              <w:top w:val="nil"/>
              <w:left w:val="nil"/>
              <w:bottom w:val="single" w:sz="12" w:space="0" w:color="auto"/>
              <w:right w:val="nil"/>
            </w:tcBorders>
            <w:shd w:val="clear" w:color="auto" w:fill="auto"/>
            <w:vAlign w:val="bottom"/>
          </w:tcPr>
          <w:p w14:paraId="202DD7AE"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33,049 </w:t>
            </w:r>
          </w:p>
        </w:tc>
        <w:tc>
          <w:tcPr>
            <w:tcW w:w="554" w:type="pct"/>
            <w:tcBorders>
              <w:top w:val="nil"/>
              <w:left w:val="nil"/>
              <w:bottom w:val="single" w:sz="12" w:space="0" w:color="auto"/>
              <w:right w:val="nil"/>
            </w:tcBorders>
            <w:shd w:val="clear" w:color="auto" w:fill="auto"/>
            <w:vAlign w:val="bottom"/>
          </w:tcPr>
          <w:p w14:paraId="19B7FBFD"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2,326 </w:t>
            </w:r>
          </w:p>
        </w:tc>
        <w:tc>
          <w:tcPr>
            <w:tcW w:w="520" w:type="pct"/>
            <w:tcBorders>
              <w:top w:val="nil"/>
              <w:left w:val="nil"/>
              <w:bottom w:val="single" w:sz="12" w:space="0" w:color="auto"/>
              <w:right w:val="nil"/>
            </w:tcBorders>
            <w:shd w:val="clear" w:color="auto" w:fill="auto"/>
            <w:vAlign w:val="bottom"/>
          </w:tcPr>
          <w:p w14:paraId="424AE137"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2,158 </w:t>
            </w:r>
          </w:p>
        </w:tc>
        <w:tc>
          <w:tcPr>
            <w:tcW w:w="520" w:type="pct"/>
            <w:tcBorders>
              <w:top w:val="nil"/>
              <w:left w:val="nil"/>
              <w:bottom w:val="single" w:sz="12" w:space="0" w:color="auto"/>
              <w:right w:val="nil"/>
            </w:tcBorders>
            <w:shd w:val="clear" w:color="auto" w:fill="auto"/>
            <w:vAlign w:val="bottom"/>
          </w:tcPr>
          <w:p w14:paraId="4DAEDFAF"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55 </w:t>
            </w:r>
          </w:p>
        </w:tc>
        <w:tc>
          <w:tcPr>
            <w:tcW w:w="520" w:type="pct"/>
            <w:tcBorders>
              <w:top w:val="nil"/>
              <w:left w:val="nil"/>
              <w:bottom w:val="single" w:sz="12" w:space="0" w:color="auto"/>
              <w:right w:val="nil"/>
            </w:tcBorders>
            <w:shd w:val="clear" w:color="auto" w:fill="auto"/>
            <w:vAlign w:val="bottom"/>
          </w:tcPr>
          <w:p w14:paraId="48C81B35"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37,588 </w:t>
            </w:r>
          </w:p>
        </w:tc>
        <w:tc>
          <w:tcPr>
            <w:tcW w:w="520" w:type="pct"/>
            <w:tcBorders>
              <w:top w:val="nil"/>
              <w:left w:val="nil"/>
              <w:bottom w:val="single" w:sz="12" w:space="0" w:color="auto"/>
              <w:right w:val="nil"/>
            </w:tcBorders>
            <w:shd w:val="clear" w:color="auto" w:fill="auto"/>
            <w:vAlign w:val="bottom"/>
          </w:tcPr>
          <w:p w14:paraId="3FC8A9E7"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6,349 </w:t>
            </w:r>
          </w:p>
        </w:tc>
        <w:tc>
          <w:tcPr>
            <w:tcW w:w="470" w:type="pct"/>
            <w:tcBorders>
              <w:top w:val="nil"/>
              <w:left w:val="nil"/>
              <w:bottom w:val="single" w:sz="12" w:space="0" w:color="auto"/>
              <w:right w:val="nil"/>
            </w:tcBorders>
            <w:shd w:val="clear" w:color="auto" w:fill="auto"/>
            <w:vAlign w:val="bottom"/>
          </w:tcPr>
          <w:p w14:paraId="102AE11B"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43,937 </w:t>
            </w:r>
          </w:p>
        </w:tc>
      </w:tr>
      <w:tr w:rsidR="00587444" w:rsidRPr="00587444" w14:paraId="266EADF3" w14:textId="77777777" w:rsidTr="00DD69E7">
        <w:trPr>
          <w:trHeight w:val="764"/>
        </w:trPr>
        <w:tc>
          <w:tcPr>
            <w:tcW w:w="1398" w:type="pct"/>
            <w:vAlign w:val="bottom"/>
          </w:tcPr>
          <w:p w14:paraId="165B5655" w14:textId="77777777" w:rsidR="00890EEB" w:rsidRDefault="00587444" w:rsidP="00587444">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Net book value at </w:t>
            </w:r>
          </w:p>
          <w:p w14:paraId="6EAB4726" w14:textId="490BC761"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 December 2020</w:t>
            </w:r>
          </w:p>
        </w:tc>
        <w:tc>
          <w:tcPr>
            <w:tcW w:w="498" w:type="pct"/>
            <w:tcBorders>
              <w:top w:val="nil"/>
              <w:left w:val="nil"/>
              <w:bottom w:val="single" w:sz="12" w:space="0" w:color="auto"/>
              <w:right w:val="nil"/>
            </w:tcBorders>
            <w:shd w:val="clear" w:color="auto" w:fill="auto"/>
            <w:vAlign w:val="bottom"/>
          </w:tcPr>
          <w:p w14:paraId="3BD5627C"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 xml:space="preserve"> 37,065 </w:t>
            </w:r>
          </w:p>
        </w:tc>
        <w:tc>
          <w:tcPr>
            <w:tcW w:w="554" w:type="pct"/>
            <w:tcBorders>
              <w:top w:val="nil"/>
              <w:left w:val="nil"/>
              <w:bottom w:val="single" w:sz="12" w:space="0" w:color="auto"/>
              <w:right w:val="nil"/>
            </w:tcBorders>
            <w:shd w:val="clear" w:color="auto" w:fill="auto"/>
            <w:vAlign w:val="bottom"/>
          </w:tcPr>
          <w:p w14:paraId="042FF542"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 xml:space="preserve"> 506 </w:t>
            </w:r>
          </w:p>
        </w:tc>
        <w:tc>
          <w:tcPr>
            <w:tcW w:w="520" w:type="pct"/>
            <w:tcBorders>
              <w:top w:val="nil"/>
              <w:left w:val="nil"/>
              <w:bottom w:val="single" w:sz="12" w:space="0" w:color="auto"/>
              <w:right w:val="nil"/>
            </w:tcBorders>
            <w:shd w:val="clear" w:color="auto" w:fill="auto"/>
            <w:vAlign w:val="bottom"/>
          </w:tcPr>
          <w:p w14:paraId="3EE0A005"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 xml:space="preserve"> 2,322 </w:t>
            </w:r>
          </w:p>
        </w:tc>
        <w:tc>
          <w:tcPr>
            <w:tcW w:w="520" w:type="pct"/>
            <w:tcBorders>
              <w:top w:val="nil"/>
              <w:left w:val="nil"/>
              <w:bottom w:val="single" w:sz="12" w:space="0" w:color="auto"/>
              <w:right w:val="nil"/>
            </w:tcBorders>
            <w:shd w:val="clear" w:color="auto" w:fill="auto"/>
            <w:vAlign w:val="bottom"/>
          </w:tcPr>
          <w:p w14:paraId="4A67BEC0"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 xml:space="preserve"> 49 </w:t>
            </w:r>
          </w:p>
        </w:tc>
        <w:tc>
          <w:tcPr>
            <w:tcW w:w="520" w:type="pct"/>
            <w:tcBorders>
              <w:top w:val="nil"/>
              <w:left w:val="nil"/>
              <w:bottom w:val="single" w:sz="12" w:space="0" w:color="auto"/>
              <w:right w:val="nil"/>
            </w:tcBorders>
            <w:shd w:val="clear" w:color="auto" w:fill="auto"/>
            <w:vAlign w:val="bottom"/>
          </w:tcPr>
          <w:p w14:paraId="090DAAEA"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 xml:space="preserve"> 39,942 </w:t>
            </w:r>
          </w:p>
        </w:tc>
        <w:tc>
          <w:tcPr>
            <w:tcW w:w="520" w:type="pct"/>
            <w:tcBorders>
              <w:top w:val="nil"/>
              <w:left w:val="nil"/>
              <w:bottom w:val="single" w:sz="12" w:space="0" w:color="auto"/>
              <w:right w:val="nil"/>
            </w:tcBorders>
            <w:shd w:val="clear" w:color="auto" w:fill="auto"/>
            <w:vAlign w:val="bottom"/>
          </w:tcPr>
          <w:p w14:paraId="6C627A58"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 xml:space="preserve"> 6,506 </w:t>
            </w:r>
          </w:p>
        </w:tc>
        <w:tc>
          <w:tcPr>
            <w:tcW w:w="470" w:type="pct"/>
            <w:tcBorders>
              <w:top w:val="nil"/>
              <w:left w:val="nil"/>
              <w:bottom w:val="single" w:sz="12" w:space="0" w:color="auto"/>
              <w:right w:val="nil"/>
            </w:tcBorders>
            <w:shd w:val="clear" w:color="auto" w:fill="auto"/>
            <w:vAlign w:val="bottom"/>
          </w:tcPr>
          <w:p w14:paraId="18FC69AC"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 xml:space="preserve"> 46,448 </w:t>
            </w:r>
          </w:p>
        </w:tc>
      </w:tr>
    </w:tbl>
    <w:p w14:paraId="7F13FB2C"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p w14:paraId="3C97B428" w14:textId="77777777" w:rsidR="00587444" w:rsidRPr="00587444" w:rsidRDefault="00587444" w:rsidP="00587444">
      <w:pPr>
        <w:keepNext/>
        <w:tabs>
          <w:tab w:val="left" w:pos="720"/>
        </w:tabs>
        <w:suppressAutoHyphens w:val="0"/>
        <w:autoSpaceDN/>
        <w:spacing w:before="240" w:after="120" w:line="300" w:lineRule="exact"/>
        <w:jc w:val="both"/>
        <w:rPr>
          <w:rFonts w:ascii="Arial" w:hAnsi="Arial" w:cs="Arial"/>
          <w:b/>
          <w:bCs/>
          <w:sz w:val="20"/>
          <w:szCs w:val="20"/>
          <w:highlight w:val="yellow"/>
          <w:lang w:val="en-GB"/>
        </w:rPr>
      </w:pPr>
    </w:p>
    <w:p w14:paraId="22E72F09" w14:textId="77777777" w:rsidR="00587444" w:rsidRPr="00587444" w:rsidRDefault="00587444" w:rsidP="00587444">
      <w:pPr>
        <w:keepNext/>
        <w:tabs>
          <w:tab w:val="left" w:pos="720"/>
        </w:tabs>
        <w:suppressAutoHyphens w:val="0"/>
        <w:autoSpaceDN/>
        <w:spacing w:before="240" w:after="120" w:line="300" w:lineRule="exact"/>
        <w:jc w:val="both"/>
        <w:rPr>
          <w:rFonts w:ascii="Arial" w:hAnsi="Arial" w:cs="Arial"/>
          <w:b/>
          <w:bCs/>
          <w:sz w:val="20"/>
          <w:szCs w:val="20"/>
          <w:highlight w:val="yellow"/>
          <w:lang w:val="en-GB"/>
        </w:rPr>
      </w:pPr>
    </w:p>
    <w:p w14:paraId="1A043135" w14:textId="77777777" w:rsidR="00587444" w:rsidRPr="00587444" w:rsidRDefault="00587444" w:rsidP="00587444">
      <w:pPr>
        <w:keepNext/>
        <w:tabs>
          <w:tab w:val="left" w:pos="720"/>
        </w:tabs>
        <w:suppressAutoHyphens w:val="0"/>
        <w:autoSpaceDN/>
        <w:spacing w:before="240" w:after="120" w:line="300" w:lineRule="exact"/>
        <w:jc w:val="both"/>
        <w:rPr>
          <w:rFonts w:ascii="Arial" w:hAnsi="Arial" w:cs="Arial"/>
          <w:b/>
          <w:bCs/>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2DE075ED"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p w14:paraId="1718DD5E"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19.</w:t>
      </w:r>
      <w:r w:rsidRPr="00587444">
        <w:rPr>
          <w:rFonts w:ascii="Arial" w:hAnsi="Arial" w:cs="Arial"/>
          <w:b/>
          <w:bCs/>
          <w:sz w:val="20"/>
          <w:szCs w:val="20"/>
          <w:lang w:val="en-GB"/>
        </w:rPr>
        <w:tab/>
        <w:t>Property, plant and equipment and intangible assets (continued)</w:t>
      </w:r>
    </w:p>
    <w:p w14:paraId="2FF11194"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tbl>
      <w:tblPr>
        <w:tblW w:w="5205" w:type="pct"/>
        <w:tblInd w:w="-284" w:type="dxa"/>
        <w:tblLayout w:type="fixed"/>
        <w:tblCellMar>
          <w:left w:w="119" w:type="dxa"/>
          <w:right w:w="119" w:type="dxa"/>
        </w:tblCellMar>
        <w:tblLook w:val="0000" w:firstRow="0" w:lastRow="0" w:firstColumn="0" w:lastColumn="0" w:noHBand="0" w:noVBand="0"/>
      </w:tblPr>
      <w:tblGrid>
        <w:gridCol w:w="2330"/>
        <w:gridCol w:w="1103"/>
        <w:gridCol w:w="1166"/>
        <w:gridCol w:w="1100"/>
        <w:gridCol w:w="1100"/>
        <w:gridCol w:w="1100"/>
        <w:gridCol w:w="1100"/>
        <w:gridCol w:w="987"/>
      </w:tblGrid>
      <w:tr w:rsidR="00587444" w:rsidRPr="00587444" w14:paraId="26595C91" w14:textId="77777777" w:rsidTr="00DD69E7">
        <w:trPr>
          <w:trHeight w:val="1283"/>
        </w:trPr>
        <w:tc>
          <w:tcPr>
            <w:tcW w:w="1166" w:type="pct"/>
          </w:tcPr>
          <w:p w14:paraId="4E3C179B"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bookmarkStart w:id="787" w:name="_Toc4059437"/>
            <w:r w:rsidRPr="00587444">
              <w:rPr>
                <w:rFonts w:ascii="Arial" w:hAnsi="Arial" w:cs="Arial"/>
                <w:b/>
                <w:sz w:val="16"/>
                <w:szCs w:val="16"/>
                <w:lang w:val="en-GB"/>
              </w:rPr>
              <w:t>Bank</w:t>
            </w:r>
            <w:bookmarkEnd w:id="787"/>
          </w:p>
          <w:p w14:paraId="72628207"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482335E3"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09D71C4F"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bookmarkStart w:id="788" w:name="_Toc4059438"/>
            <w:r w:rsidRPr="00587444">
              <w:rPr>
                <w:rFonts w:ascii="Arial" w:hAnsi="Arial" w:cs="Arial"/>
                <w:b/>
                <w:sz w:val="16"/>
                <w:szCs w:val="16"/>
                <w:lang w:val="en-GB"/>
              </w:rPr>
              <w:t>31 December 202</w:t>
            </w:r>
            <w:bookmarkEnd w:id="788"/>
            <w:r w:rsidRPr="00587444">
              <w:rPr>
                <w:rFonts w:ascii="Arial" w:hAnsi="Arial" w:cs="Arial"/>
                <w:b/>
                <w:sz w:val="16"/>
                <w:szCs w:val="16"/>
                <w:lang w:val="en-GB"/>
              </w:rPr>
              <w:t>2</w:t>
            </w:r>
          </w:p>
        </w:tc>
        <w:tc>
          <w:tcPr>
            <w:tcW w:w="552" w:type="pct"/>
          </w:tcPr>
          <w:p w14:paraId="1C65CA2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bCs/>
                <w:sz w:val="16"/>
                <w:szCs w:val="16"/>
                <w:lang w:val="en-GB"/>
              </w:rPr>
            </w:pPr>
            <w:bookmarkStart w:id="789" w:name="_Toc4059439"/>
            <w:r w:rsidRPr="00587444">
              <w:rPr>
                <w:rFonts w:ascii="Arial" w:hAnsi="Arial" w:cs="Arial"/>
                <w:b/>
                <w:sz w:val="16"/>
                <w:szCs w:val="16"/>
                <w:lang w:val="en-GB"/>
              </w:rPr>
              <w:t>Buildings</w:t>
            </w:r>
            <w:bookmarkEnd w:id="789"/>
          </w:p>
        </w:tc>
        <w:tc>
          <w:tcPr>
            <w:tcW w:w="584" w:type="pct"/>
          </w:tcPr>
          <w:p w14:paraId="080A2B7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90" w:name="_Toc4059440"/>
            <w:r w:rsidRPr="00587444">
              <w:rPr>
                <w:rFonts w:ascii="Arial" w:hAnsi="Arial" w:cs="Arial"/>
                <w:b/>
                <w:sz w:val="16"/>
                <w:szCs w:val="16"/>
                <w:lang w:val="en-GB"/>
              </w:rPr>
              <w:t>Computers</w:t>
            </w:r>
            <w:bookmarkEnd w:id="790"/>
          </w:p>
        </w:tc>
        <w:tc>
          <w:tcPr>
            <w:tcW w:w="551" w:type="pct"/>
          </w:tcPr>
          <w:p w14:paraId="0933400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91" w:name="_Toc4059441"/>
            <w:r w:rsidRPr="00587444">
              <w:rPr>
                <w:rFonts w:ascii="Arial" w:hAnsi="Arial" w:cs="Arial"/>
                <w:b/>
                <w:sz w:val="16"/>
                <w:szCs w:val="16"/>
                <w:lang w:val="en-GB"/>
              </w:rPr>
              <w:t xml:space="preserve">Furniture, </w:t>
            </w:r>
            <w:proofErr w:type="gramStart"/>
            <w:r w:rsidRPr="00587444">
              <w:rPr>
                <w:rFonts w:ascii="Arial" w:hAnsi="Arial" w:cs="Arial"/>
                <w:b/>
                <w:sz w:val="16"/>
                <w:szCs w:val="16"/>
                <w:lang w:val="en-GB"/>
              </w:rPr>
              <w:t>equipment</w:t>
            </w:r>
            <w:proofErr w:type="gramEnd"/>
            <w:r w:rsidRPr="00587444">
              <w:rPr>
                <w:rFonts w:ascii="Arial" w:hAnsi="Arial" w:cs="Arial"/>
                <w:b/>
                <w:sz w:val="16"/>
                <w:szCs w:val="16"/>
                <w:lang w:val="en-GB"/>
              </w:rPr>
              <w:t xml:space="preserve"> and vehicles</w:t>
            </w:r>
            <w:bookmarkEnd w:id="791"/>
          </w:p>
        </w:tc>
        <w:tc>
          <w:tcPr>
            <w:tcW w:w="551" w:type="pct"/>
          </w:tcPr>
          <w:p w14:paraId="0E2B989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92" w:name="_Toc4059442"/>
            <w:r w:rsidRPr="00587444">
              <w:rPr>
                <w:rFonts w:ascii="Arial" w:hAnsi="Arial" w:cs="Arial"/>
                <w:b/>
                <w:sz w:val="16"/>
                <w:szCs w:val="16"/>
                <w:lang w:val="en-GB"/>
              </w:rPr>
              <w:t>Property, plant and equipment and intangible assets not ready for use</w:t>
            </w:r>
            <w:bookmarkEnd w:id="792"/>
          </w:p>
        </w:tc>
        <w:tc>
          <w:tcPr>
            <w:tcW w:w="551" w:type="pct"/>
          </w:tcPr>
          <w:p w14:paraId="398AC3F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93" w:name="_Toc4059443"/>
            <w:r w:rsidRPr="00587444">
              <w:rPr>
                <w:rFonts w:ascii="Arial" w:hAnsi="Arial" w:cs="Arial"/>
                <w:b/>
                <w:sz w:val="16"/>
                <w:szCs w:val="16"/>
                <w:lang w:val="en-GB"/>
              </w:rPr>
              <w:t xml:space="preserve">Total property, </w:t>
            </w:r>
            <w:proofErr w:type="gramStart"/>
            <w:r w:rsidRPr="00587444">
              <w:rPr>
                <w:rFonts w:ascii="Arial" w:hAnsi="Arial" w:cs="Arial"/>
                <w:b/>
                <w:sz w:val="16"/>
                <w:szCs w:val="16"/>
                <w:lang w:val="en-GB"/>
              </w:rPr>
              <w:t>plant</w:t>
            </w:r>
            <w:proofErr w:type="gramEnd"/>
            <w:r w:rsidRPr="00587444">
              <w:rPr>
                <w:rFonts w:ascii="Arial" w:hAnsi="Arial" w:cs="Arial"/>
                <w:b/>
                <w:sz w:val="16"/>
                <w:szCs w:val="16"/>
                <w:lang w:val="en-GB"/>
              </w:rPr>
              <w:t xml:space="preserve"> and equipment</w:t>
            </w:r>
            <w:bookmarkEnd w:id="793"/>
            <w:r w:rsidRPr="00587444">
              <w:rPr>
                <w:rFonts w:ascii="Arial" w:hAnsi="Arial" w:cs="Arial"/>
                <w:b/>
                <w:sz w:val="16"/>
                <w:szCs w:val="16"/>
                <w:lang w:val="en-GB"/>
              </w:rPr>
              <w:t xml:space="preserve"> </w:t>
            </w:r>
          </w:p>
        </w:tc>
        <w:tc>
          <w:tcPr>
            <w:tcW w:w="551" w:type="pct"/>
          </w:tcPr>
          <w:p w14:paraId="1B8C70B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94" w:name="_Toc4059444"/>
            <w:r w:rsidRPr="00587444">
              <w:rPr>
                <w:rFonts w:ascii="Arial" w:hAnsi="Arial" w:cs="Arial"/>
                <w:b/>
                <w:sz w:val="16"/>
                <w:szCs w:val="16"/>
                <w:lang w:val="en-GB"/>
              </w:rPr>
              <w:t>Intangible assets</w:t>
            </w:r>
            <w:bookmarkEnd w:id="794"/>
          </w:p>
        </w:tc>
        <w:tc>
          <w:tcPr>
            <w:tcW w:w="494" w:type="pct"/>
          </w:tcPr>
          <w:p w14:paraId="75CBCBE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95" w:name="_Toc4059445"/>
            <w:r w:rsidRPr="00587444">
              <w:rPr>
                <w:rFonts w:ascii="Arial" w:hAnsi="Arial" w:cs="Arial"/>
                <w:b/>
                <w:sz w:val="16"/>
                <w:szCs w:val="16"/>
                <w:lang w:val="en-GB"/>
              </w:rPr>
              <w:t>Total</w:t>
            </w:r>
            <w:bookmarkEnd w:id="795"/>
          </w:p>
        </w:tc>
      </w:tr>
      <w:tr w:rsidR="00587444" w:rsidRPr="00587444" w14:paraId="4AAE1EC0" w14:textId="77777777" w:rsidTr="00DD69E7">
        <w:trPr>
          <w:trHeight w:val="269"/>
        </w:trPr>
        <w:tc>
          <w:tcPr>
            <w:tcW w:w="1166" w:type="pct"/>
            <w:vAlign w:val="bottom"/>
          </w:tcPr>
          <w:p w14:paraId="4D40FAD2" w14:textId="77777777" w:rsidR="00587444" w:rsidRPr="00587444" w:rsidRDefault="00587444" w:rsidP="00587444">
            <w:pPr>
              <w:tabs>
                <w:tab w:val="left" w:pos="-1559"/>
              </w:tabs>
              <w:autoSpaceDN/>
              <w:rPr>
                <w:rFonts w:ascii="Arial" w:hAnsi="Arial" w:cs="Arial"/>
                <w:spacing w:val="-2"/>
                <w:sz w:val="16"/>
                <w:szCs w:val="16"/>
                <w:lang w:val="en-GB"/>
              </w:rPr>
            </w:pPr>
          </w:p>
        </w:tc>
        <w:tc>
          <w:tcPr>
            <w:tcW w:w="552" w:type="pct"/>
            <w:vAlign w:val="bottom"/>
          </w:tcPr>
          <w:p w14:paraId="50E3237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96" w:name="_Toc4059446"/>
            <w:r w:rsidRPr="00587444">
              <w:rPr>
                <w:rFonts w:ascii="Arial" w:hAnsi="Arial" w:cs="Arial"/>
                <w:b/>
                <w:sz w:val="16"/>
                <w:szCs w:val="16"/>
                <w:lang w:val="en-GB"/>
              </w:rPr>
              <w:t>HRK ‘000</w:t>
            </w:r>
            <w:bookmarkEnd w:id="796"/>
          </w:p>
        </w:tc>
        <w:tc>
          <w:tcPr>
            <w:tcW w:w="584" w:type="pct"/>
            <w:vAlign w:val="bottom"/>
          </w:tcPr>
          <w:p w14:paraId="34D3F8D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97" w:name="_Toc4059447"/>
            <w:r w:rsidRPr="00587444">
              <w:rPr>
                <w:rFonts w:ascii="Arial" w:hAnsi="Arial" w:cs="Arial"/>
                <w:b/>
                <w:sz w:val="16"/>
                <w:szCs w:val="16"/>
                <w:lang w:val="en-GB"/>
              </w:rPr>
              <w:t>HRK ‘000</w:t>
            </w:r>
            <w:bookmarkEnd w:id="797"/>
          </w:p>
        </w:tc>
        <w:tc>
          <w:tcPr>
            <w:tcW w:w="551" w:type="pct"/>
            <w:vAlign w:val="bottom"/>
          </w:tcPr>
          <w:p w14:paraId="42FD8EC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98" w:name="_Toc4059448"/>
            <w:r w:rsidRPr="00587444">
              <w:rPr>
                <w:rFonts w:ascii="Arial" w:hAnsi="Arial" w:cs="Arial"/>
                <w:b/>
                <w:sz w:val="16"/>
                <w:szCs w:val="16"/>
                <w:lang w:val="en-GB"/>
              </w:rPr>
              <w:t>HRK ‘000</w:t>
            </w:r>
            <w:bookmarkEnd w:id="798"/>
          </w:p>
        </w:tc>
        <w:tc>
          <w:tcPr>
            <w:tcW w:w="551" w:type="pct"/>
            <w:vAlign w:val="bottom"/>
          </w:tcPr>
          <w:p w14:paraId="145AE66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799" w:name="_Toc4059449"/>
            <w:r w:rsidRPr="00587444">
              <w:rPr>
                <w:rFonts w:ascii="Arial" w:hAnsi="Arial" w:cs="Arial"/>
                <w:b/>
                <w:sz w:val="16"/>
                <w:szCs w:val="16"/>
                <w:lang w:val="en-GB"/>
              </w:rPr>
              <w:t>HRK ‘000</w:t>
            </w:r>
            <w:bookmarkEnd w:id="799"/>
          </w:p>
        </w:tc>
        <w:tc>
          <w:tcPr>
            <w:tcW w:w="551" w:type="pct"/>
            <w:vAlign w:val="bottom"/>
          </w:tcPr>
          <w:p w14:paraId="7E46825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800" w:name="_Toc4059450"/>
            <w:r w:rsidRPr="00587444">
              <w:rPr>
                <w:rFonts w:ascii="Arial" w:hAnsi="Arial" w:cs="Arial"/>
                <w:b/>
                <w:sz w:val="16"/>
                <w:szCs w:val="16"/>
                <w:lang w:val="en-GB"/>
              </w:rPr>
              <w:t>HRK ‘000</w:t>
            </w:r>
            <w:bookmarkEnd w:id="800"/>
          </w:p>
        </w:tc>
        <w:tc>
          <w:tcPr>
            <w:tcW w:w="551" w:type="pct"/>
            <w:vAlign w:val="bottom"/>
          </w:tcPr>
          <w:p w14:paraId="7202496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801" w:name="_Toc4059451"/>
            <w:r w:rsidRPr="00587444">
              <w:rPr>
                <w:rFonts w:ascii="Arial" w:hAnsi="Arial" w:cs="Arial"/>
                <w:b/>
                <w:sz w:val="16"/>
                <w:szCs w:val="16"/>
                <w:lang w:val="en-GB"/>
              </w:rPr>
              <w:t>HRK ‘000</w:t>
            </w:r>
            <w:bookmarkEnd w:id="801"/>
          </w:p>
        </w:tc>
        <w:tc>
          <w:tcPr>
            <w:tcW w:w="494" w:type="pct"/>
            <w:vAlign w:val="bottom"/>
          </w:tcPr>
          <w:p w14:paraId="5CC69E2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802" w:name="_Toc4059452"/>
            <w:r w:rsidRPr="00587444">
              <w:rPr>
                <w:rFonts w:ascii="Arial" w:hAnsi="Arial" w:cs="Arial"/>
                <w:b/>
                <w:sz w:val="16"/>
                <w:szCs w:val="16"/>
                <w:lang w:val="en-GB"/>
              </w:rPr>
              <w:t>HRK ‘000</w:t>
            </w:r>
            <w:bookmarkEnd w:id="802"/>
          </w:p>
        </w:tc>
      </w:tr>
      <w:tr w:rsidR="00587444" w:rsidRPr="00587444" w14:paraId="1A3D2071" w14:textId="77777777" w:rsidTr="00DD69E7">
        <w:trPr>
          <w:trHeight w:val="324"/>
        </w:trPr>
        <w:tc>
          <w:tcPr>
            <w:tcW w:w="1166" w:type="pct"/>
            <w:vAlign w:val="bottom"/>
          </w:tcPr>
          <w:p w14:paraId="14DE8AC3"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bookmarkStart w:id="803" w:name="_Toc4059453"/>
            <w:r w:rsidRPr="00587444">
              <w:rPr>
                <w:rFonts w:ascii="Arial" w:hAnsi="Arial" w:cs="Arial"/>
                <w:b/>
                <w:bCs/>
                <w:sz w:val="16"/>
                <w:szCs w:val="16"/>
                <w:lang w:val="en-GB"/>
              </w:rPr>
              <w:t>Cost</w:t>
            </w:r>
            <w:bookmarkEnd w:id="803"/>
            <w:r w:rsidRPr="00587444">
              <w:rPr>
                <w:rFonts w:ascii="Arial" w:hAnsi="Arial" w:cs="Arial"/>
                <w:b/>
                <w:bCs/>
                <w:sz w:val="16"/>
                <w:szCs w:val="16"/>
                <w:lang w:val="en-GB"/>
              </w:rPr>
              <w:t xml:space="preserve">  </w:t>
            </w:r>
          </w:p>
        </w:tc>
        <w:tc>
          <w:tcPr>
            <w:tcW w:w="552" w:type="pct"/>
            <w:vAlign w:val="bottom"/>
          </w:tcPr>
          <w:p w14:paraId="387E1A9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84" w:type="pct"/>
            <w:vAlign w:val="bottom"/>
          </w:tcPr>
          <w:p w14:paraId="58CF75E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51" w:type="pct"/>
            <w:vAlign w:val="bottom"/>
          </w:tcPr>
          <w:p w14:paraId="29EA6D8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51" w:type="pct"/>
            <w:vAlign w:val="bottom"/>
          </w:tcPr>
          <w:p w14:paraId="21792C7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51" w:type="pct"/>
            <w:vAlign w:val="bottom"/>
          </w:tcPr>
          <w:p w14:paraId="40AA8E5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51" w:type="pct"/>
            <w:vAlign w:val="bottom"/>
          </w:tcPr>
          <w:p w14:paraId="6A238EA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94" w:type="pct"/>
            <w:vAlign w:val="bottom"/>
          </w:tcPr>
          <w:p w14:paraId="7124577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r>
      <w:tr w:rsidR="00587444" w:rsidRPr="00587444" w14:paraId="7DE813DF" w14:textId="77777777" w:rsidTr="00D75982">
        <w:trPr>
          <w:trHeight w:val="364"/>
        </w:trPr>
        <w:tc>
          <w:tcPr>
            <w:tcW w:w="1166" w:type="pct"/>
            <w:vAlign w:val="bottom"/>
          </w:tcPr>
          <w:p w14:paraId="36125436"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bookmarkStart w:id="804" w:name="_Toc4059454"/>
            <w:proofErr w:type="gramStart"/>
            <w:r w:rsidRPr="00587444">
              <w:rPr>
                <w:rFonts w:ascii="Arial" w:hAnsi="Arial" w:cs="Arial"/>
                <w:b/>
                <w:bCs/>
                <w:sz w:val="16"/>
                <w:szCs w:val="16"/>
                <w:lang w:val="en-GB"/>
              </w:rPr>
              <w:t>At</w:t>
            </w:r>
            <w:proofErr w:type="gramEnd"/>
            <w:r w:rsidRPr="00587444">
              <w:rPr>
                <w:rFonts w:ascii="Arial" w:hAnsi="Arial" w:cs="Arial"/>
                <w:b/>
                <w:bCs/>
                <w:sz w:val="16"/>
                <w:szCs w:val="16"/>
                <w:lang w:val="en-GB"/>
              </w:rPr>
              <w:t xml:space="preserve"> 31 December </w:t>
            </w:r>
            <w:bookmarkEnd w:id="804"/>
            <w:r w:rsidRPr="00587444">
              <w:rPr>
                <w:rFonts w:ascii="Arial" w:hAnsi="Arial" w:cs="Arial"/>
                <w:b/>
                <w:bCs/>
                <w:sz w:val="16"/>
                <w:szCs w:val="16"/>
                <w:lang w:val="en-GB"/>
              </w:rPr>
              <w:t>2021</w:t>
            </w:r>
          </w:p>
        </w:tc>
        <w:tc>
          <w:tcPr>
            <w:tcW w:w="552" w:type="pct"/>
            <w:tcBorders>
              <w:left w:val="nil"/>
              <w:right w:val="nil"/>
            </w:tcBorders>
            <w:shd w:val="clear" w:color="auto" w:fill="auto"/>
            <w:vAlign w:val="bottom"/>
          </w:tcPr>
          <w:p w14:paraId="78356831"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r w:rsidRPr="00587444">
              <w:rPr>
                <w:rFonts w:ascii="Arial" w:hAnsi="Arial" w:cs="Arial"/>
                <w:b/>
                <w:bCs/>
                <w:color w:val="000000"/>
                <w:sz w:val="16"/>
                <w:szCs w:val="16"/>
                <w:lang w:val="hr-HR"/>
              </w:rPr>
              <w:t xml:space="preserve"> 77,102 </w:t>
            </w:r>
          </w:p>
        </w:tc>
        <w:tc>
          <w:tcPr>
            <w:tcW w:w="584" w:type="pct"/>
            <w:tcBorders>
              <w:left w:val="nil"/>
              <w:right w:val="nil"/>
            </w:tcBorders>
            <w:shd w:val="clear" w:color="auto" w:fill="auto"/>
            <w:vAlign w:val="bottom"/>
          </w:tcPr>
          <w:p w14:paraId="33EB1211"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r w:rsidRPr="00587444">
              <w:rPr>
                <w:rFonts w:ascii="Arial" w:hAnsi="Arial" w:cs="Arial"/>
                <w:b/>
                <w:bCs/>
                <w:color w:val="000000"/>
                <w:sz w:val="16"/>
                <w:szCs w:val="16"/>
                <w:lang w:val="hr-HR"/>
              </w:rPr>
              <w:t xml:space="preserve"> 13,201 </w:t>
            </w:r>
          </w:p>
        </w:tc>
        <w:tc>
          <w:tcPr>
            <w:tcW w:w="551" w:type="pct"/>
            <w:tcBorders>
              <w:left w:val="nil"/>
              <w:right w:val="nil"/>
            </w:tcBorders>
            <w:shd w:val="clear" w:color="auto" w:fill="auto"/>
            <w:vAlign w:val="bottom"/>
          </w:tcPr>
          <w:p w14:paraId="5C20F02A"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r w:rsidRPr="00587444">
              <w:rPr>
                <w:rFonts w:ascii="Arial" w:hAnsi="Arial" w:cs="Arial"/>
                <w:b/>
                <w:bCs/>
                <w:color w:val="000000"/>
                <w:sz w:val="16"/>
                <w:szCs w:val="16"/>
                <w:lang w:val="hr-HR"/>
              </w:rPr>
              <w:t xml:space="preserve"> 12,320 </w:t>
            </w:r>
          </w:p>
        </w:tc>
        <w:tc>
          <w:tcPr>
            <w:tcW w:w="551" w:type="pct"/>
            <w:tcBorders>
              <w:left w:val="nil"/>
              <w:right w:val="nil"/>
            </w:tcBorders>
            <w:shd w:val="clear" w:color="auto" w:fill="auto"/>
            <w:vAlign w:val="bottom"/>
          </w:tcPr>
          <w:p w14:paraId="76AA5ADD"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r w:rsidRPr="00587444">
              <w:rPr>
                <w:rFonts w:ascii="Arial" w:hAnsi="Arial" w:cs="Arial"/>
                <w:b/>
                <w:bCs/>
                <w:color w:val="000000"/>
                <w:sz w:val="16"/>
                <w:szCs w:val="16"/>
                <w:lang w:val="hr-HR"/>
              </w:rPr>
              <w:t xml:space="preserve"> 55 </w:t>
            </w:r>
          </w:p>
        </w:tc>
        <w:tc>
          <w:tcPr>
            <w:tcW w:w="551" w:type="pct"/>
            <w:tcBorders>
              <w:left w:val="nil"/>
              <w:right w:val="nil"/>
            </w:tcBorders>
            <w:shd w:val="clear" w:color="auto" w:fill="auto"/>
            <w:vAlign w:val="bottom"/>
          </w:tcPr>
          <w:p w14:paraId="006CC7CD"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r w:rsidRPr="00587444">
              <w:rPr>
                <w:rFonts w:ascii="Arial" w:hAnsi="Arial" w:cs="Arial"/>
                <w:b/>
                <w:bCs/>
                <w:color w:val="000000"/>
                <w:sz w:val="16"/>
                <w:szCs w:val="16"/>
                <w:lang w:val="hr-HR"/>
              </w:rPr>
              <w:t xml:space="preserve"> 102,678 </w:t>
            </w:r>
          </w:p>
        </w:tc>
        <w:tc>
          <w:tcPr>
            <w:tcW w:w="551" w:type="pct"/>
            <w:tcBorders>
              <w:left w:val="nil"/>
              <w:right w:val="nil"/>
            </w:tcBorders>
            <w:shd w:val="clear" w:color="auto" w:fill="auto"/>
            <w:vAlign w:val="bottom"/>
          </w:tcPr>
          <w:p w14:paraId="6839AC28"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r w:rsidRPr="00587444">
              <w:rPr>
                <w:rFonts w:ascii="Arial" w:hAnsi="Arial" w:cs="Arial"/>
                <w:b/>
                <w:bCs/>
                <w:color w:val="000000"/>
                <w:sz w:val="16"/>
                <w:szCs w:val="16"/>
                <w:lang w:val="hr-HR"/>
              </w:rPr>
              <w:t xml:space="preserve"> 34,801 </w:t>
            </w:r>
          </w:p>
        </w:tc>
        <w:tc>
          <w:tcPr>
            <w:tcW w:w="494" w:type="pct"/>
            <w:tcBorders>
              <w:left w:val="nil"/>
              <w:right w:val="nil"/>
            </w:tcBorders>
            <w:shd w:val="clear" w:color="auto" w:fill="auto"/>
            <w:vAlign w:val="bottom"/>
          </w:tcPr>
          <w:p w14:paraId="078E6C94"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r w:rsidRPr="00587444">
              <w:rPr>
                <w:rFonts w:ascii="Arial" w:hAnsi="Arial" w:cs="Arial"/>
                <w:b/>
                <w:bCs/>
                <w:color w:val="000000"/>
                <w:sz w:val="16"/>
                <w:szCs w:val="16"/>
                <w:lang w:val="hr-HR"/>
              </w:rPr>
              <w:t xml:space="preserve"> 137,479 </w:t>
            </w:r>
          </w:p>
        </w:tc>
      </w:tr>
      <w:tr w:rsidR="00587444" w:rsidRPr="00587444" w14:paraId="40B84185" w14:textId="77777777" w:rsidTr="00DD69E7">
        <w:trPr>
          <w:trHeight w:val="324"/>
        </w:trPr>
        <w:tc>
          <w:tcPr>
            <w:tcW w:w="1166" w:type="pct"/>
            <w:vAlign w:val="bottom"/>
          </w:tcPr>
          <w:p w14:paraId="4B4F555C" w14:textId="77777777" w:rsidR="00587444" w:rsidRPr="00587444" w:rsidRDefault="00587444" w:rsidP="00587444">
            <w:pPr>
              <w:tabs>
                <w:tab w:val="right" w:pos="1202"/>
              </w:tabs>
              <w:suppressAutoHyphens w:val="0"/>
              <w:autoSpaceDN/>
              <w:spacing w:line="240" w:lineRule="exact"/>
              <w:outlineLvl w:val="0"/>
              <w:rPr>
                <w:rFonts w:ascii="Arial" w:hAnsi="Arial" w:cs="Arial"/>
                <w:sz w:val="16"/>
                <w:szCs w:val="16"/>
                <w:lang w:val="en-GB"/>
              </w:rPr>
            </w:pPr>
            <w:bookmarkStart w:id="805" w:name="_Toc4059462"/>
            <w:r w:rsidRPr="00587444">
              <w:rPr>
                <w:rFonts w:ascii="Arial" w:hAnsi="Arial" w:cs="Arial"/>
                <w:sz w:val="16"/>
                <w:szCs w:val="16"/>
                <w:lang w:val="en-GB"/>
              </w:rPr>
              <w:t>Additions</w:t>
            </w:r>
            <w:bookmarkEnd w:id="805"/>
          </w:p>
        </w:tc>
        <w:tc>
          <w:tcPr>
            <w:tcW w:w="552" w:type="pct"/>
            <w:tcBorders>
              <w:top w:val="nil"/>
              <w:left w:val="nil"/>
              <w:bottom w:val="nil"/>
              <w:right w:val="nil"/>
            </w:tcBorders>
            <w:shd w:val="clear" w:color="auto" w:fill="auto"/>
            <w:vAlign w:val="bottom"/>
          </w:tcPr>
          <w:p w14:paraId="3D8A944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  </w:t>
            </w:r>
          </w:p>
        </w:tc>
        <w:tc>
          <w:tcPr>
            <w:tcW w:w="584" w:type="pct"/>
            <w:tcBorders>
              <w:top w:val="nil"/>
              <w:left w:val="nil"/>
              <w:bottom w:val="nil"/>
              <w:right w:val="nil"/>
            </w:tcBorders>
            <w:shd w:val="clear" w:color="auto" w:fill="auto"/>
            <w:vAlign w:val="bottom"/>
          </w:tcPr>
          <w:p w14:paraId="0867F45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  </w:t>
            </w:r>
          </w:p>
        </w:tc>
        <w:tc>
          <w:tcPr>
            <w:tcW w:w="551" w:type="pct"/>
            <w:tcBorders>
              <w:top w:val="nil"/>
              <w:left w:val="nil"/>
              <w:bottom w:val="nil"/>
              <w:right w:val="nil"/>
            </w:tcBorders>
            <w:shd w:val="clear" w:color="auto" w:fill="auto"/>
            <w:vAlign w:val="bottom"/>
          </w:tcPr>
          <w:p w14:paraId="1715611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  </w:t>
            </w:r>
          </w:p>
        </w:tc>
        <w:tc>
          <w:tcPr>
            <w:tcW w:w="551" w:type="pct"/>
            <w:tcBorders>
              <w:top w:val="nil"/>
              <w:left w:val="nil"/>
              <w:bottom w:val="nil"/>
              <w:right w:val="nil"/>
            </w:tcBorders>
            <w:shd w:val="clear" w:color="auto" w:fill="auto"/>
            <w:vAlign w:val="bottom"/>
          </w:tcPr>
          <w:p w14:paraId="2A3A344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4,389 </w:t>
            </w:r>
          </w:p>
        </w:tc>
        <w:tc>
          <w:tcPr>
            <w:tcW w:w="551" w:type="pct"/>
            <w:tcBorders>
              <w:top w:val="nil"/>
              <w:left w:val="nil"/>
              <w:bottom w:val="nil"/>
              <w:right w:val="nil"/>
            </w:tcBorders>
            <w:shd w:val="clear" w:color="auto" w:fill="auto"/>
            <w:vAlign w:val="bottom"/>
          </w:tcPr>
          <w:p w14:paraId="15F5475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4,389 </w:t>
            </w:r>
          </w:p>
        </w:tc>
        <w:tc>
          <w:tcPr>
            <w:tcW w:w="551" w:type="pct"/>
            <w:tcBorders>
              <w:top w:val="nil"/>
              <w:left w:val="nil"/>
              <w:bottom w:val="nil"/>
              <w:right w:val="nil"/>
            </w:tcBorders>
            <w:shd w:val="clear" w:color="auto" w:fill="auto"/>
            <w:vAlign w:val="bottom"/>
          </w:tcPr>
          <w:p w14:paraId="7DBF890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 </w:t>
            </w:r>
          </w:p>
        </w:tc>
        <w:tc>
          <w:tcPr>
            <w:tcW w:w="494" w:type="pct"/>
            <w:tcBorders>
              <w:top w:val="nil"/>
              <w:left w:val="nil"/>
              <w:bottom w:val="nil"/>
              <w:right w:val="nil"/>
            </w:tcBorders>
            <w:shd w:val="clear" w:color="auto" w:fill="auto"/>
            <w:vAlign w:val="bottom"/>
          </w:tcPr>
          <w:p w14:paraId="37F803D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4,389 </w:t>
            </w:r>
          </w:p>
        </w:tc>
      </w:tr>
      <w:tr w:rsidR="00587444" w:rsidRPr="00587444" w14:paraId="438272A8" w14:textId="77777777" w:rsidTr="00DD69E7">
        <w:trPr>
          <w:trHeight w:val="512"/>
        </w:trPr>
        <w:tc>
          <w:tcPr>
            <w:tcW w:w="1166" w:type="pct"/>
            <w:vAlign w:val="bottom"/>
          </w:tcPr>
          <w:p w14:paraId="77B6732A" w14:textId="77777777" w:rsidR="00587444" w:rsidRPr="00587444" w:rsidRDefault="00587444" w:rsidP="00587444">
            <w:pPr>
              <w:tabs>
                <w:tab w:val="right" w:pos="1202"/>
              </w:tabs>
              <w:suppressAutoHyphens w:val="0"/>
              <w:autoSpaceDN/>
              <w:spacing w:line="240" w:lineRule="exact"/>
              <w:outlineLvl w:val="0"/>
              <w:rPr>
                <w:rFonts w:ascii="Arial" w:hAnsi="Arial" w:cs="Arial"/>
                <w:sz w:val="16"/>
                <w:szCs w:val="16"/>
                <w:lang w:val="en-GB"/>
              </w:rPr>
            </w:pPr>
            <w:bookmarkStart w:id="806" w:name="_Toc4059470"/>
            <w:r w:rsidRPr="00587444">
              <w:rPr>
                <w:rFonts w:ascii="Arial" w:hAnsi="Arial" w:cs="Arial"/>
                <w:sz w:val="16"/>
                <w:szCs w:val="16"/>
                <w:lang w:val="en-GB"/>
              </w:rPr>
              <w:t>Transfer from assets not ready for use</w:t>
            </w:r>
            <w:bookmarkEnd w:id="806"/>
            <w:r w:rsidRPr="00587444" w:rsidDel="004F4367">
              <w:rPr>
                <w:rFonts w:ascii="Arial" w:hAnsi="Arial" w:cs="Arial"/>
                <w:sz w:val="16"/>
                <w:szCs w:val="16"/>
                <w:lang w:val="en-GB"/>
              </w:rPr>
              <w:t xml:space="preserve"> </w:t>
            </w:r>
          </w:p>
        </w:tc>
        <w:tc>
          <w:tcPr>
            <w:tcW w:w="552" w:type="pct"/>
            <w:tcBorders>
              <w:top w:val="nil"/>
              <w:left w:val="nil"/>
              <w:right w:val="nil"/>
            </w:tcBorders>
            <w:shd w:val="clear" w:color="auto" w:fill="auto"/>
            <w:vAlign w:val="bottom"/>
          </w:tcPr>
          <w:p w14:paraId="2D6D090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  </w:t>
            </w:r>
          </w:p>
        </w:tc>
        <w:tc>
          <w:tcPr>
            <w:tcW w:w="584" w:type="pct"/>
            <w:tcBorders>
              <w:top w:val="nil"/>
              <w:left w:val="nil"/>
              <w:right w:val="nil"/>
            </w:tcBorders>
            <w:shd w:val="clear" w:color="auto" w:fill="auto"/>
            <w:vAlign w:val="bottom"/>
          </w:tcPr>
          <w:p w14:paraId="4AFFDAE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466 </w:t>
            </w:r>
          </w:p>
        </w:tc>
        <w:tc>
          <w:tcPr>
            <w:tcW w:w="551" w:type="pct"/>
            <w:tcBorders>
              <w:top w:val="nil"/>
              <w:left w:val="nil"/>
              <w:right w:val="nil"/>
            </w:tcBorders>
            <w:shd w:val="clear" w:color="auto" w:fill="auto"/>
            <w:vAlign w:val="bottom"/>
          </w:tcPr>
          <w:p w14:paraId="547DEB2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1,649 </w:t>
            </w:r>
          </w:p>
        </w:tc>
        <w:tc>
          <w:tcPr>
            <w:tcW w:w="551" w:type="pct"/>
            <w:tcBorders>
              <w:top w:val="nil"/>
              <w:left w:val="nil"/>
              <w:right w:val="nil"/>
            </w:tcBorders>
            <w:shd w:val="clear" w:color="auto" w:fill="auto"/>
            <w:vAlign w:val="bottom"/>
          </w:tcPr>
          <w:p w14:paraId="7DB3B83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(4,381)</w:t>
            </w:r>
          </w:p>
        </w:tc>
        <w:tc>
          <w:tcPr>
            <w:tcW w:w="551" w:type="pct"/>
            <w:tcBorders>
              <w:top w:val="nil"/>
              <w:left w:val="nil"/>
              <w:right w:val="nil"/>
            </w:tcBorders>
            <w:shd w:val="clear" w:color="auto" w:fill="auto"/>
            <w:vAlign w:val="bottom"/>
          </w:tcPr>
          <w:p w14:paraId="72B02AB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(2,266)</w:t>
            </w:r>
          </w:p>
        </w:tc>
        <w:tc>
          <w:tcPr>
            <w:tcW w:w="551" w:type="pct"/>
            <w:tcBorders>
              <w:top w:val="nil"/>
              <w:left w:val="nil"/>
              <w:right w:val="nil"/>
            </w:tcBorders>
            <w:shd w:val="clear" w:color="auto" w:fill="auto"/>
            <w:vAlign w:val="bottom"/>
          </w:tcPr>
          <w:p w14:paraId="6B649D8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2,266 </w:t>
            </w:r>
          </w:p>
        </w:tc>
        <w:tc>
          <w:tcPr>
            <w:tcW w:w="494" w:type="pct"/>
            <w:tcBorders>
              <w:top w:val="nil"/>
              <w:left w:val="nil"/>
              <w:right w:val="nil"/>
            </w:tcBorders>
            <w:shd w:val="clear" w:color="auto" w:fill="auto"/>
            <w:vAlign w:val="bottom"/>
          </w:tcPr>
          <w:p w14:paraId="0DFD250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 </w:t>
            </w:r>
          </w:p>
        </w:tc>
      </w:tr>
      <w:tr w:rsidR="00587444" w:rsidRPr="00587444" w14:paraId="655CEFA3" w14:textId="77777777" w:rsidTr="00DD69E7">
        <w:trPr>
          <w:trHeight w:val="324"/>
        </w:trPr>
        <w:tc>
          <w:tcPr>
            <w:tcW w:w="1166" w:type="pct"/>
            <w:vAlign w:val="bottom"/>
          </w:tcPr>
          <w:p w14:paraId="7E756D32" w14:textId="77777777" w:rsidR="00587444" w:rsidRPr="00587444" w:rsidRDefault="00587444" w:rsidP="00587444">
            <w:pPr>
              <w:tabs>
                <w:tab w:val="right" w:pos="1202"/>
              </w:tabs>
              <w:suppressAutoHyphens w:val="0"/>
              <w:autoSpaceDN/>
              <w:spacing w:line="240" w:lineRule="exact"/>
              <w:outlineLvl w:val="0"/>
              <w:rPr>
                <w:rFonts w:ascii="Arial" w:hAnsi="Arial" w:cs="Arial"/>
                <w:sz w:val="16"/>
                <w:szCs w:val="16"/>
                <w:lang w:val="en-GB"/>
              </w:rPr>
            </w:pPr>
            <w:bookmarkStart w:id="807" w:name="_Toc4059478"/>
            <w:r w:rsidRPr="00587444">
              <w:rPr>
                <w:rFonts w:ascii="Arial" w:hAnsi="Arial" w:cs="Arial"/>
                <w:sz w:val="16"/>
                <w:szCs w:val="16"/>
                <w:lang w:val="en-GB"/>
              </w:rPr>
              <w:t>Disposals and write-offs</w:t>
            </w:r>
            <w:bookmarkEnd w:id="807"/>
          </w:p>
        </w:tc>
        <w:tc>
          <w:tcPr>
            <w:tcW w:w="552" w:type="pct"/>
            <w:tcBorders>
              <w:left w:val="nil"/>
              <w:right w:val="nil"/>
            </w:tcBorders>
            <w:shd w:val="clear" w:color="auto" w:fill="auto"/>
            <w:vAlign w:val="bottom"/>
          </w:tcPr>
          <w:p w14:paraId="79EB1304"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  </w:t>
            </w:r>
          </w:p>
        </w:tc>
        <w:tc>
          <w:tcPr>
            <w:tcW w:w="584" w:type="pct"/>
            <w:tcBorders>
              <w:left w:val="nil"/>
              <w:right w:val="nil"/>
            </w:tcBorders>
            <w:shd w:val="clear" w:color="auto" w:fill="auto"/>
            <w:vAlign w:val="bottom"/>
          </w:tcPr>
          <w:p w14:paraId="4A458A65"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(3,802)</w:t>
            </w:r>
          </w:p>
        </w:tc>
        <w:tc>
          <w:tcPr>
            <w:tcW w:w="551" w:type="pct"/>
            <w:tcBorders>
              <w:left w:val="nil"/>
              <w:right w:val="nil"/>
            </w:tcBorders>
            <w:shd w:val="clear" w:color="auto" w:fill="auto"/>
            <w:vAlign w:val="bottom"/>
          </w:tcPr>
          <w:p w14:paraId="68DB2DF7"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(2,803)</w:t>
            </w:r>
          </w:p>
        </w:tc>
        <w:tc>
          <w:tcPr>
            <w:tcW w:w="551" w:type="pct"/>
            <w:tcBorders>
              <w:left w:val="nil"/>
              <w:right w:val="nil"/>
            </w:tcBorders>
            <w:shd w:val="clear" w:color="auto" w:fill="auto"/>
            <w:vAlign w:val="bottom"/>
          </w:tcPr>
          <w:p w14:paraId="3B7F3E70"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 </w:t>
            </w:r>
          </w:p>
        </w:tc>
        <w:tc>
          <w:tcPr>
            <w:tcW w:w="551" w:type="pct"/>
            <w:tcBorders>
              <w:left w:val="nil"/>
              <w:right w:val="nil"/>
            </w:tcBorders>
            <w:shd w:val="clear" w:color="auto" w:fill="auto"/>
            <w:vAlign w:val="bottom"/>
          </w:tcPr>
          <w:p w14:paraId="1B8B2322"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(6,605)</w:t>
            </w:r>
          </w:p>
        </w:tc>
        <w:tc>
          <w:tcPr>
            <w:tcW w:w="551" w:type="pct"/>
            <w:tcBorders>
              <w:left w:val="nil"/>
              <w:right w:val="nil"/>
            </w:tcBorders>
            <w:shd w:val="clear" w:color="auto" w:fill="auto"/>
            <w:vAlign w:val="bottom"/>
          </w:tcPr>
          <w:p w14:paraId="43CF9E07"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(306)</w:t>
            </w:r>
          </w:p>
        </w:tc>
        <w:tc>
          <w:tcPr>
            <w:tcW w:w="494" w:type="pct"/>
            <w:tcBorders>
              <w:left w:val="nil"/>
              <w:right w:val="nil"/>
            </w:tcBorders>
            <w:shd w:val="clear" w:color="auto" w:fill="auto"/>
            <w:vAlign w:val="bottom"/>
          </w:tcPr>
          <w:p w14:paraId="0EEE41BF"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(6,911)</w:t>
            </w:r>
          </w:p>
        </w:tc>
      </w:tr>
      <w:tr w:rsidR="00587444" w:rsidRPr="00587444" w14:paraId="58964629" w14:textId="77777777" w:rsidTr="00DD69E7">
        <w:trPr>
          <w:trHeight w:val="324"/>
        </w:trPr>
        <w:tc>
          <w:tcPr>
            <w:tcW w:w="1166" w:type="pct"/>
            <w:vAlign w:val="bottom"/>
          </w:tcPr>
          <w:p w14:paraId="39622358" w14:textId="77777777" w:rsidR="00587444" w:rsidRPr="00587444" w:rsidRDefault="00587444" w:rsidP="00587444">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Returned to use</w:t>
            </w:r>
          </w:p>
        </w:tc>
        <w:tc>
          <w:tcPr>
            <w:tcW w:w="552" w:type="pct"/>
            <w:tcBorders>
              <w:left w:val="nil"/>
              <w:bottom w:val="single" w:sz="4" w:space="0" w:color="auto"/>
              <w:right w:val="nil"/>
            </w:tcBorders>
            <w:shd w:val="clear" w:color="auto" w:fill="auto"/>
            <w:vAlign w:val="bottom"/>
          </w:tcPr>
          <w:p w14:paraId="04F2CCBA"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w:t>
            </w:r>
          </w:p>
        </w:tc>
        <w:tc>
          <w:tcPr>
            <w:tcW w:w="584" w:type="pct"/>
            <w:tcBorders>
              <w:left w:val="nil"/>
              <w:bottom w:val="single" w:sz="4" w:space="0" w:color="auto"/>
              <w:right w:val="nil"/>
            </w:tcBorders>
            <w:shd w:val="clear" w:color="auto" w:fill="auto"/>
            <w:vAlign w:val="bottom"/>
          </w:tcPr>
          <w:p w14:paraId="71A4A24E"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 </w:t>
            </w:r>
          </w:p>
        </w:tc>
        <w:tc>
          <w:tcPr>
            <w:tcW w:w="551" w:type="pct"/>
            <w:tcBorders>
              <w:left w:val="nil"/>
              <w:bottom w:val="single" w:sz="4" w:space="0" w:color="auto"/>
              <w:right w:val="nil"/>
            </w:tcBorders>
            <w:shd w:val="clear" w:color="auto" w:fill="auto"/>
            <w:vAlign w:val="bottom"/>
          </w:tcPr>
          <w:p w14:paraId="53F38704"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25 </w:t>
            </w:r>
          </w:p>
        </w:tc>
        <w:tc>
          <w:tcPr>
            <w:tcW w:w="551" w:type="pct"/>
            <w:tcBorders>
              <w:left w:val="nil"/>
              <w:bottom w:val="single" w:sz="4" w:space="0" w:color="auto"/>
              <w:right w:val="nil"/>
            </w:tcBorders>
            <w:shd w:val="clear" w:color="auto" w:fill="auto"/>
            <w:vAlign w:val="bottom"/>
          </w:tcPr>
          <w:p w14:paraId="408F87E2"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w:t>
            </w:r>
          </w:p>
        </w:tc>
        <w:tc>
          <w:tcPr>
            <w:tcW w:w="551" w:type="pct"/>
            <w:tcBorders>
              <w:left w:val="nil"/>
              <w:bottom w:val="single" w:sz="4" w:space="0" w:color="auto"/>
              <w:right w:val="nil"/>
            </w:tcBorders>
            <w:shd w:val="clear" w:color="auto" w:fill="auto"/>
            <w:vAlign w:val="bottom"/>
          </w:tcPr>
          <w:p w14:paraId="5D5CC45D"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27 </w:t>
            </w:r>
          </w:p>
        </w:tc>
        <w:tc>
          <w:tcPr>
            <w:tcW w:w="551" w:type="pct"/>
            <w:tcBorders>
              <w:left w:val="nil"/>
              <w:bottom w:val="single" w:sz="4" w:space="0" w:color="auto"/>
              <w:right w:val="nil"/>
            </w:tcBorders>
            <w:shd w:val="clear" w:color="auto" w:fill="auto"/>
            <w:vAlign w:val="bottom"/>
          </w:tcPr>
          <w:p w14:paraId="4AE606C4"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w:t>
            </w:r>
          </w:p>
        </w:tc>
        <w:tc>
          <w:tcPr>
            <w:tcW w:w="494" w:type="pct"/>
            <w:tcBorders>
              <w:left w:val="nil"/>
              <w:bottom w:val="single" w:sz="4" w:space="0" w:color="auto"/>
              <w:right w:val="nil"/>
            </w:tcBorders>
            <w:shd w:val="clear" w:color="auto" w:fill="auto"/>
            <w:vAlign w:val="bottom"/>
          </w:tcPr>
          <w:p w14:paraId="759E6504"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27 </w:t>
            </w:r>
          </w:p>
        </w:tc>
      </w:tr>
      <w:tr w:rsidR="00587444" w:rsidRPr="00587444" w14:paraId="405184A1" w14:textId="77777777" w:rsidTr="00DD69E7">
        <w:trPr>
          <w:trHeight w:val="364"/>
        </w:trPr>
        <w:tc>
          <w:tcPr>
            <w:tcW w:w="1166" w:type="pct"/>
            <w:vAlign w:val="bottom"/>
          </w:tcPr>
          <w:p w14:paraId="180E688A"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bookmarkStart w:id="808" w:name="_Toc4059486"/>
            <w:proofErr w:type="gramStart"/>
            <w:r w:rsidRPr="00587444">
              <w:rPr>
                <w:rFonts w:ascii="Arial" w:hAnsi="Arial" w:cs="Arial"/>
                <w:b/>
                <w:bCs/>
                <w:sz w:val="16"/>
                <w:szCs w:val="16"/>
                <w:lang w:val="en-GB"/>
              </w:rPr>
              <w:t>At</w:t>
            </w:r>
            <w:proofErr w:type="gramEnd"/>
            <w:r w:rsidRPr="00587444">
              <w:rPr>
                <w:rFonts w:ascii="Arial" w:hAnsi="Arial" w:cs="Arial"/>
                <w:b/>
                <w:bCs/>
                <w:sz w:val="16"/>
                <w:szCs w:val="16"/>
                <w:lang w:val="en-GB"/>
              </w:rPr>
              <w:t xml:space="preserve"> 31 December 202</w:t>
            </w:r>
            <w:bookmarkEnd w:id="808"/>
            <w:r w:rsidRPr="00587444">
              <w:rPr>
                <w:rFonts w:ascii="Arial" w:hAnsi="Arial" w:cs="Arial"/>
                <w:b/>
                <w:bCs/>
                <w:sz w:val="16"/>
                <w:szCs w:val="16"/>
                <w:lang w:val="en-GB"/>
              </w:rPr>
              <w:t>2</w:t>
            </w:r>
          </w:p>
        </w:tc>
        <w:tc>
          <w:tcPr>
            <w:tcW w:w="552" w:type="pct"/>
            <w:tcBorders>
              <w:top w:val="single" w:sz="4" w:space="0" w:color="auto"/>
              <w:left w:val="nil"/>
              <w:bottom w:val="single" w:sz="12" w:space="0" w:color="auto"/>
              <w:right w:val="nil"/>
            </w:tcBorders>
            <w:shd w:val="clear" w:color="auto" w:fill="auto"/>
            <w:vAlign w:val="bottom"/>
          </w:tcPr>
          <w:p w14:paraId="7BCD4135"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77,102 </w:t>
            </w:r>
          </w:p>
        </w:tc>
        <w:tc>
          <w:tcPr>
            <w:tcW w:w="584" w:type="pct"/>
            <w:tcBorders>
              <w:top w:val="single" w:sz="4" w:space="0" w:color="auto"/>
              <w:left w:val="nil"/>
              <w:bottom w:val="single" w:sz="12" w:space="0" w:color="auto"/>
              <w:right w:val="nil"/>
            </w:tcBorders>
            <w:shd w:val="clear" w:color="auto" w:fill="auto"/>
            <w:vAlign w:val="bottom"/>
          </w:tcPr>
          <w:p w14:paraId="0C4B8E9C"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9,867 </w:t>
            </w:r>
          </w:p>
        </w:tc>
        <w:tc>
          <w:tcPr>
            <w:tcW w:w="551" w:type="pct"/>
            <w:tcBorders>
              <w:top w:val="single" w:sz="4" w:space="0" w:color="auto"/>
              <w:left w:val="nil"/>
              <w:bottom w:val="single" w:sz="12" w:space="0" w:color="auto"/>
              <w:right w:val="nil"/>
            </w:tcBorders>
            <w:shd w:val="clear" w:color="auto" w:fill="auto"/>
            <w:vAlign w:val="bottom"/>
          </w:tcPr>
          <w:p w14:paraId="49AAAFFE"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11,191 </w:t>
            </w:r>
          </w:p>
        </w:tc>
        <w:tc>
          <w:tcPr>
            <w:tcW w:w="551" w:type="pct"/>
            <w:tcBorders>
              <w:top w:val="single" w:sz="4" w:space="0" w:color="auto"/>
              <w:left w:val="nil"/>
              <w:bottom w:val="single" w:sz="12" w:space="0" w:color="auto"/>
              <w:right w:val="nil"/>
            </w:tcBorders>
            <w:shd w:val="clear" w:color="auto" w:fill="auto"/>
            <w:vAlign w:val="bottom"/>
          </w:tcPr>
          <w:p w14:paraId="342E7B64"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63 </w:t>
            </w:r>
          </w:p>
        </w:tc>
        <w:tc>
          <w:tcPr>
            <w:tcW w:w="551" w:type="pct"/>
            <w:tcBorders>
              <w:top w:val="single" w:sz="4" w:space="0" w:color="auto"/>
              <w:left w:val="nil"/>
              <w:bottom w:val="single" w:sz="12" w:space="0" w:color="auto"/>
              <w:right w:val="nil"/>
            </w:tcBorders>
            <w:shd w:val="clear" w:color="auto" w:fill="auto"/>
            <w:vAlign w:val="bottom"/>
          </w:tcPr>
          <w:p w14:paraId="7640762E"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98,223 </w:t>
            </w:r>
          </w:p>
        </w:tc>
        <w:tc>
          <w:tcPr>
            <w:tcW w:w="551" w:type="pct"/>
            <w:tcBorders>
              <w:top w:val="single" w:sz="4" w:space="0" w:color="auto"/>
              <w:left w:val="nil"/>
              <w:bottom w:val="single" w:sz="12" w:space="0" w:color="auto"/>
              <w:right w:val="nil"/>
            </w:tcBorders>
            <w:shd w:val="clear" w:color="auto" w:fill="auto"/>
            <w:vAlign w:val="bottom"/>
          </w:tcPr>
          <w:p w14:paraId="2202AE29"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36,761 </w:t>
            </w:r>
          </w:p>
        </w:tc>
        <w:tc>
          <w:tcPr>
            <w:tcW w:w="494" w:type="pct"/>
            <w:tcBorders>
              <w:top w:val="single" w:sz="4" w:space="0" w:color="auto"/>
              <w:left w:val="nil"/>
              <w:bottom w:val="single" w:sz="12" w:space="0" w:color="auto"/>
              <w:right w:val="nil"/>
            </w:tcBorders>
            <w:shd w:val="clear" w:color="auto" w:fill="auto"/>
            <w:vAlign w:val="bottom"/>
          </w:tcPr>
          <w:p w14:paraId="5BE020A7"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134,984 </w:t>
            </w:r>
          </w:p>
        </w:tc>
      </w:tr>
      <w:tr w:rsidR="00587444" w:rsidRPr="00587444" w14:paraId="14CAC0E9" w14:textId="77777777" w:rsidTr="00DD69E7">
        <w:trPr>
          <w:trHeight w:val="351"/>
        </w:trPr>
        <w:tc>
          <w:tcPr>
            <w:tcW w:w="1166" w:type="pct"/>
            <w:vAlign w:val="bottom"/>
          </w:tcPr>
          <w:p w14:paraId="1259E5CA"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Accumulated depreciation and write-off</w:t>
            </w:r>
          </w:p>
        </w:tc>
        <w:tc>
          <w:tcPr>
            <w:tcW w:w="552" w:type="pct"/>
            <w:tcBorders>
              <w:top w:val="single" w:sz="12" w:space="0" w:color="auto"/>
            </w:tcBorders>
            <w:shd w:val="clear" w:color="auto" w:fill="auto"/>
            <w:vAlign w:val="bottom"/>
          </w:tcPr>
          <w:p w14:paraId="1DD12CEF"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584" w:type="pct"/>
            <w:tcBorders>
              <w:top w:val="single" w:sz="12" w:space="0" w:color="auto"/>
            </w:tcBorders>
            <w:shd w:val="clear" w:color="auto" w:fill="auto"/>
            <w:vAlign w:val="bottom"/>
          </w:tcPr>
          <w:p w14:paraId="7CB5894A"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551" w:type="pct"/>
            <w:tcBorders>
              <w:top w:val="single" w:sz="12" w:space="0" w:color="auto"/>
            </w:tcBorders>
            <w:shd w:val="clear" w:color="auto" w:fill="auto"/>
            <w:vAlign w:val="bottom"/>
          </w:tcPr>
          <w:p w14:paraId="5B60CC20"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551" w:type="pct"/>
            <w:tcBorders>
              <w:top w:val="single" w:sz="12" w:space="0" w:color="auto"/>
            </w:tcBorders>
            <w:shd w:val="clear" w:color="auto" w:fill="auto"/>
            <w:vAlign w:val="bottom"/>
          </w:tcPr>
          <w:p w14:paraId="2B83C55D"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551" w:type="pct"/>
            <w:tcBorders>
              <w:top w:val="single" w:sz="12" w:space="0" w:color="auto"/>
            </w:tcBorders>
            <w:shd w:val="clear" w:color="auto" w:fill="auto"/>
            <w:vAlign w:val="bottom"/>
          </w:tcPr>
          <w:p w14:paraId="79373D2D"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551" w:type="pct"/>
            <w:tcBorders>
              <w:top w:val="single" w:sz="12" w:space="0" w:color="auto"/>
            </w:tcBorders>
            <w:shd w:val="clear" w:color="auto" w:fill="auto"/>
            <w:vAlign w:val="bottom"/>
          </w:tcPr>
          <w:p w14:paraId="5732D09F"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494" w:type="pct"/>
            <w:tcBorders>
              <w:top w:val="single" w:sz="12" w:space="0" w:color="auto"/>
            </w:tcBorders>
            <w:shd w:val="clear" w:color="auto" w:fill="auto"/>
            <w:vAlign w:val="bottom"/>
          </w:tcPr>
          <w:p w14:paraId="537A458B"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r>
      <w:tr w:rsidR="00587444" w:rsidRPr="00587444" w14:paraId="06F57787" w14:textId="77777777" w:rsidTr="00DD69E7">
        <w:trPr>
          <w:trHeight w:val="364"/>
        </w:trPr>
        <w:tc>
          <w:tcPr>
            <w:tcW w:w="1166" w:type="pct"/>
            <w:vAlign w:val="bottom"/>
          </w:tcPr>
          <w:p w14:paraId="41577533"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bookmarkStart w:id="809" w:name="_Toc4059495"/>
            <w:proofErr w:type="gramStart"/>
            <w:r w:rsidRPr="00587444">
              <w:rPr>
                <w:rFonts w:ascii="Arial" w:hAnsi="Arial" w:cs="Arial"/>
                <w:b/>
                <w:bCs/>
                <w:sz w:val="16"/>
                <w:szCs w:val="16"/>
                <w:lang w:val="en-GB"/>
              </w:rPr>
              <w:t>At</w:t>
            </w:r>
            <w:proofErr w:type="gramEnd"/>
            <w:r w:rsidRPr="00587444">
              <w:rPr>
                <w:rFonts w:ascii="Arial" w:hAnsi="Arial" w:cs="Arial"/>
                <w:b/>
                <w:bCs/>
                <w:sz w:val="16"/>
                <w:szCs w:val="16"/>
                <w:lang w:val="en-GB"/>
              </w:rPr>
              <w:t xml:space="preserve"> 31 December </w:t>
            </w:r>
            <w:bookmarkEnd w:id="809"/>
            <w:r w:rsidRPr="00587444">
              <w:rPr>
                <w:rFonts w:ascii="Arial" w:hAnsi="Arial" w:cs="Arial"/>
                <w:b/>
                <w:bCs/>
                <w:sz w:val="16"/>
                <w:szCs w:val="16"/>
                <w:lang w:val="en-GB"/>
              </w:rPr>
              <w:t>2021</w:t>
            </w:r>
          </w:p>
        </w:tc>
        <w:tc>
          <w:tcPr>
            <w:tcW w:w="552" w:type="pct"/>
            <w:tcBorders>
              <w:top w:val="nil"/>
              <w:left w:val="nil"/>
              <w:bottom w:val="nil"/>
              <w:right w:val="nil"/>
            </w:tcBorders>
            <w:shd w:val="clear" w:color="auto" w:fill="auto"/>
            <w:vAlign w:val="bottom"/>
          </w:tcPr>
          <w:p w14:paraId="5337F51A"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bookmarkStart w:id="810" w:name="_Toc67328529"/>
            <w:r w:rsidRPr="00587444">
              <w:rPr>
                <w:rFonts w:ascii="Arial" w:hAnsi="Arial" w:cs="Arial"/>
                <w:b/>
                <w:bCs/>
                <w:sz w:val="16"/>
                <w:szCs w:val="16"/>
                <w:lang w:val="en-GB"/>
              </w:rPr>
              <w:t xml:space="preserve"> 44,383 </w:t>
            </w:r>
            <w:bookmarkEnd w:id="810"/>
          </w:p>
        </w:tc>
        <w:tc>
          <w:tcPr>
            <w:tcW w:w="584" w:type="pct"/>
            <w:tcBorders>
              <w:top w:val="nil"/>
              <w:left w:val="nil"/>
              <w:bottom w:val="nil"/>
              <w:right w:val="nil"/>
            </w:tcBorders>
            <w:shd w:val="clear" w:color="auto" w:fill="auto"/>
            <w:vAlign w:val="bottom"/>
          </w:tcPr>
          <w:p w14:paraId="24C2BC8A"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bookmarkStart w:id="811" w:name="_Toc67328530"/>
            <w:r w:rsidRPr="00587444">
              <w:rPr>
                <w:rFonts w:ascii="Arial" w:hAnsi="Arial" w:cs="Arial"/>
                <w:b/>
                <w:bCs/>
                <w:sz w:val="16"/>
                <w:szCs w:val="16"/>
                <w:lang w:val="en-GB"/>
              </w:rPr>
              <w:t xml:space="preserve"> 10,975</w:t>
            </w:r>
            <w:bookmarkEnd w:id="811"/>
          </w:p>
        </w:tc>
        <w:tc>
          <w:tcPr>
            <w:tcW w:w="551" w:type="pct"/>
            <w:tcBorders>
              <w:top w:val="nil"/>
              <w:left w:val="nil"/>
              <w:bottom w:val="nil"/>
              <w:right w:val="nil"/>
            </w:tcBorders>
            <w:shd w:val="clear" w:color="auto" w:fill="auto"/>
            <w:vAlign w:val="bottom"/>
          </w:tcPr>
          <w:p w14:paraId="5DC7C8A8"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bookmarkStart w:id="812" w:name="_Toc67328531"/>
            <w:r w:rsidRPr="00587444">
              <w:rPr>
                <w:rFonts w:ascii="Arial" w:hAnsi="Arial" w:cs="Arial"/>
                <w:b/>
                <w:bCs/>
                <w:sz w:val="16"/>
                <w:szCs w:val="16"/>
                <w:lang w:val="en-GB"/>
              </w:rPr>
              <w:t xml:space="preserve"> 10,557 </w:t>
            </w:r>
            <w:bookmarkEnd w:id="812"/>
          </w:p>
        </w:tc>
        <w:tc>
          <w:tcPr>
            <w:tcW w:w="551" w:type="pct"/>
            <w:tcBorders>
              <w:top w:val="nil"/>
              <w:left w:val="nil"/>
              <w:bottom w:val="nil"/>
              <w:right w:val="nil"/>
            </w:tcBorders>
            <w:shd w:val="clear" w:color="auto" w:fill="auto"/>
            <w:vAlign w:val="bottom"/>
          </w:tcPr>
          <w:p w14:paraId="5469BCA8"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bookmarkStart w:id="813" w:name="_Toc67328532"/>
            <w:r w:rsidRPr="00587444">
              <w:rPr>
                <w:rFonts w:ascii="Arial" w:hAnsi="Arial" w:cs="Arial"/>
                <w:b/>
                <w:bCs/>
                <w:sz w:val="16"/>
                <w:szCs w:val="16"/>
                <w:lang w:val="en-GB"/>
              </w:rPr>
              <w:t xml:space="preserve"> - </w:t>
            </w:r>
            <w:bookmarkEnd w:id="813"/>
          </w:p>
        </w:tc>
        <w:tc>
          <w:tcPr>
            <w:tcW w:w="551" w:type="pct"/>
            <w:tcBorders>
              <w:top w:val="nil"/>
              <w:left w:val="nil"/>
              <w:bottom w:val="nil"/>
              <w:right w:val="nil"/>
            </w:tcBorders>
            <w:shd w:val="clear" w:color="auto" w:fill="auto"/>
            <w:vAlign w:val="bottom"/>
          </w:tcPr>
          <w:p w14:paraId="77775AE2"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bookmarkStart w:id="814" w:name="_Toc67328533"/>
            <w:r w:rsidRPr="00587444">
              <w:rPr>
                <w:rFonts w:ascii="Arial" w:hAnsi="Arial" w:cs="Arial"/>
                <w:b/>
                <w:bCs/>
                <w:sz w:val="16"/>
                <w:szCs w:val="16"/>
                <w:lang w:val="en-GB"/>
              </w:rPr>
              <w:t xml:space="preserve"> 65,915 </w:t>
            </w:r>
            <w:bookmarkEnd w:id="814"/>
          </w:p>
        </w:tc>
        <w:tc>
          <w:tcPr>
            <w:tcW w:w="551" w:type="pct"/>
            <w:tcBorders>
              <w:top w:val="nil"/>
              <w:left w:val="nil"/>
              <w:bottom w:val="nil"/>
              <w:right w:val="nil"/>
            </w:tcBorders>
            <w:shd w:val="clear" w:color="auto" w:fill="auto"/>
            <w:vAlign w:val="bottom"/>
          </w:tcPr>
          <w:p w14:paraId="38E698D9"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bookmarkStart w:id="815" w:name="_Toc67328534"/>
            <w:r w:rsidRPr="00587444">
              <w:rPr>
                <w:rFonts w:ascii="Arial" w:hAnsi="Arial" w:cs="Arial"/>
                <w:b/>
                <w:bCs/>
                <w:sz w:val="16"/>
                <w:szCs w:val="16"/>
                <w:lang w:val="en-GB"/>
              </w:rPr>
              <w:t xml:space="preserve"> 28,890 </w:t>
            </w:r>
            <w:bookmarkEnd w:id="815"/>
          </w:p>
        </w:tc>
        <w:tc>
          <w:tcPr>
            <w:tcW w:w="494" w:type="pct"/>
            <w:tcBorders>
              <w:top w:val="nil"/>
              <w:left w:val="nil"/>
              <w:bottom w:val="nil"/>
              <w:right w:val="nil"/>
            </w:tcBorders>
            <w:shd w:val="clear" w:color="auto" w:fill="auto"/>
            <w:vAlign w:val="bottom"/>
          </w:tcPr>
          <w:p w14:paraId="01828358" w14:textId="77777777" w:rsidR="00587444" w:rsidRPr="00587444" w:rsidRDefault="00587444" w:rsidP="00587444">
            <w:pPr>
              <w:suppressAutoHyphens w:val="0"/>
              <w:autoSpaceDN/>
              <w:spacing w:line="340" w:lineRule="exact"/>
              <w:jc w:val="right"/>
              <w:outlineLvl w:val="0"/>
              <w:rPr>
                <w:rFonts w:ascii="Arial" w:hAnsi="Arial" w:cs="Arial"/>
                <w:b/>
                <w:bCs/>
                <w:color w:val="000000"/>
                <w:sz w:val="16"/>
                <w:szCs w:val="16"/>
                <w:lang w:val="hr-HR"/>
              </w:rPr>
            </w:pPr>
            <w:bookmarkStart w:id="816" w:name="_Toc67328535"/>
            <w:r w:rsidRPr="00587444">
              <w:rPr>
                <w:rFonts w:ascii="Arial" w:hAnsi="Arial" w:cs="Arial"/>
                <w:b/>
                <w:bCs/>
                <w:sz w:val="16"/>
                <w:szCs w:val="16"/>
                <w:lang w:val="en-GB"/>
              </w:rPr>
              <w:t xml:space="preserve"> 94,805 </w:t>
            </w:r>
            <w:bookmarkEnd w:id="816"/>
          </w:p>
        </w:tc>
      </w:tr>
      <w:tr w:rsidR="00587444" w:rsidRPr="00587444" w14:paraId="3EB1F8F3" w14:textId="77777777" w:rsidTr="00DD69E7">
        <w:trPr>
          <w:trHeight w:val="324"/>
        </w:trPr>
        <w:tc>
          <w:tcPr>
            <w:tcW w:w="1166" w:type="pct"/>
            <w:vAlign w:val="bottom"/>
          </w:tcPr>
          <w:p w14:paraId="11F71E22" w14:textId="77777777" w:rsidR="00587444" w:rsidRPr="00587444" w:rsidRDefault="00587444" w:rsidP="00587444">
            <w:pPr>
              <w:tabs>
                <w:tab w:val="right" w:pos="1202"/>
              </w:tabs>
              <w:suppressAutoHyphens w:val="0"/>
              <w:autoSpaceDN/>
              <w:spacing w:line="240" w:lineRule="exact"/>
              <w:outlineLvl w:val="0"/>
              <w:rPr>
                <w:rFonts w:ascii="Arial" w:hAnsi="Arial" w:cs="Arial"/>
                <w:bCs/>
                <w:sz w:val="16"/>
                <w:szCs w:val="16"/>
                <w:lang w:val="en-GB"/>
              </w:rPr>
            </w:pPr>
            <w:bookmarkStart w:id="817" w:name="_Toc4059503"/>
            <w:r w:rsidRPr="00587444">
              <w:rPr>
                <w:rFonts w:ascii="Arial" w:hAnsi="Arial" w:cs="Arial"/>
                <w:bCs/>
                <w:sz w:val="16"/>
                <w:szCs w:val="16"/>
                <w:lang w:val="en-GB"/>
              </w:rPr>
              <w:t>Depreciation for 202</w:t>
            </w:r>
            <w:bookmarkEnd w:id="817"/>
            <w:r w:rsidRPr="00587444">
              <w:rPr>
                <w:rFonts w:ascii="Arial" w:hAnsi="Arial" w:cs="Arial"/>
                <w:bCs/>
                <w:sz w:val="16"/>
                <w:szCs w:val="16"/>
                <w:lang w:val="en-GB"/>
              </w:rPr>
              <w:t>2</w:t>
            </w:r>
          </w:p>
        </w:tc>
        <w:tc>
          <w:tcPr>
            <w:tcW w:w="552" w:type="pct"/>
            <w:tcBorders>
              <w:top w:val="nil"/>
              <w:left w:val="nil"/>
              <w:right w:val="nil"/>
            </w:tcBorders>
            <w:shd w:val="clear" w:color="auto" w:fill="auto"/>
            <w:vAlign w:val="bottom"/>
          </w:tcPr>
          <w:p w14:paraId="504BC426"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3,855 </w:t>
            </w:r>
          </w:p>
        </w:tc>
        <w:tc>
          <w:tcPr>
            <w:tcW w:w="584" w:type="pct"/>
            <w:tcBorders>
              <w:top w:val="nil"/>
              <w:left w:val="nil"/>
              <w:right w:val="nil"/>
            </w:tcBorders>
            <w:shd w:val="clear" w:color="auto" w:fill="auto"/>
            <w:vAlign w:val="bottom"/>
          </w:tcPr>
          <w:p w14:paraId="05B0B412"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2,038 </w:t>
            </w:r>
          </w:p>
        </w:tc>
        <w:tc>
          <w:tcPr>
            <w:tcW w:w="551" w:type="pct"/>
            <w:tcBorders>
              <w:top w:val="nil"/>
              <w:left w:val="nil"/>
              <w:right w:val="nil"/>
            </w:tcBorders>
            <w:shd w:val="clear" w:color="auto" w:fill="auto"/>
            <w:vAlign w:val="bottom"/>
          </w:tcPr>
          <w:p w14:paraId="66F8D2A1"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768 </w:t>
            </w:r>
          </w:p>
        </w:tc>
        <w:tc>
          <w:tcPr>
            <w:tcW w:w="551" w:type="pct"/>
            <w:tcBorders>
              <w:top w:val="nil"/>
              <w:left w:val="nil"/>
              <w:right w:val="nil"/>
            </w:tcBorders>
            <w:shd w:val="clear" w:color="auto" w:fill="auto"/>
            <w:vAlign w:val="bottom"/>
          </w:tcPr>
          <w:p w14:paraId="72B55E40"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  </w:t>
            </w:r>
          </w:p>
        </w:tc>
        <w:tc>
          <w:tcPr>
            <w:tcW w:w="551" w:type="pct"/>
            <w:tcBorders>
              <w:top w:val="nil"/>
              <w:left w:val="nil"/>
              <w:right w:val="nil"/>
            </w:tcBorders>
            <w:shd w:val="clear" w:color="auto" w:fill="auto"/>
            <w:vAlign w:val="bottom"/>
          </w:tcPr>
          <w:p w14:paraId="32EDAF71"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6,661 </w:t>
            </w:r>
          </w:p>
        </w:tc>
        <w:tc>
          <w:tcPr>
            <w:tcW w:w="551" w:type="pct"/>
            <w:tcBorders>
              <w:top w:val="nil"/>
              <w:left w:val="nil"/>
              <w:right w:val="nil"/>
            </w:tcBorders>
            <w:shd w:val="clear" w:color="auto" w:fill="auto"/>
            <w:vAlign w:val="bottom"/>
          </w:tcPr>
          <w:p w14:paraId="637054FF"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2,666 </w:t>
            </w:r>
          </w:p>
        </w:tc>
        <w:tc>
          <w:tcPr>
            <w:tcW w:w="494" w:type="pct"/>
            <w:tcBorders>
              <w:top w:val="nil"/>
              <w:left w:val="nil"/>
              <w:right w:val="nil"/>
            </w:tcBorders>
            <w:shd w:val="clear" w:color="auto" w:fill="auto"/>
            <w:vAlign w:val="bottom"/>
          </w:tcPr>
          <w:p w14:paraId="67799765"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9,327 </w:t>
            </w:r>
          </w:p>
        </w:tc>
      </w:tr>
      <w:tr w:rsidR="00587444" w:rsidRPr="00587444" w14:paraId="1D8013EE" w14:textId="77777777" w:rsidTr="00DD69E7">
        <w:trPr>
          <w:trHeight w:val="324"/>
        </w:trPr>
        <w:tc>
          <w:tcPr>
            <w:tcW w:w="1166" w:type="pct"/>
            <w:vAlign w:val="bottom"/>
          </w:tcPr>
          <w:p w14:paraId="4CA85466" w14:textId="77777777" w:rsidR="00587444" w:rsidRPr="00587444" w:rsidRDefault="00587444" w:rsidP="00587444">
            <w:pPr>
              <w:tabs>
                <w:tab w:val="right" w:pos="1202"/>
              </w:tabs>
              <w:suppressAutoHyphens w:val="0"/>
              <w:autoSpaceDN/>
              <w:spacing w:line="240" w:lineRule="exact"/>
              <w:outlineLvl w:val="0"/>
              <w:rPr>
                <w:rFonts w:ascii="Arial" w:hAnsi="Arial" w:cs="Arial"/>
                <w:sz w:val="16"/>
                <w:szCs w:val="16"/>
                <w:lang w:val="en-GB"/>
              </w:rPr>
            </w:pPr>
            <w:bookmarkStart w:id="818" w:name="_Toc4059511"/>
            <w:r w:rsidRPr="00587444">
              <w:rPr>
                <w:rFonts w:ascii="Arial" w:hAnsi="Arial" w:cs="Arial"/>
                <w:sz w:val="16"/>
                <w:szCs w:val="16"/>
                <w:lang w:val="en-GB"/>
              </w:rPr>
              <w:t>Disposals and write-offs</w:t>
            </w:r>
            <w:bookmarkEnd w:id="818"/>
          </w:p>
        </w:tc>
        <w:tc>
          <w:tcPr>
            <w:tcW w:w="552" w:type="pct"/>
            <w:tcBorders>
              <w:left w:val="nil"/>
              <w:right w:val="nil"/>
            </w:tcBorders>
            <w:shd w:val="clear" w:color="auto" w:fill="auto"/>
            <w:vAlign w:val="bottom"/>
          </w:tcPr>
          <w:p w14:paraId="70BAA9E3"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  </w:t>
            </w:r>
          </w:p>
        </w:tc>
        <w:tc>
          <w:tcPr>
            <w:tcW w:w="584" w:type="pct"/>
            <w:tcBorders>
              <w:left w:val="nil"/>
              <w:right w:val="nil"/>
            </w:tcBorders>
            <w:shd w:val="clear" w:color="auto" w:fill="auto"/>
            <w:vAlign w:val="bottom"/>
          </w:tcPr>
          <w:p w14:paraId="44146BB1"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(3,802)</w:t>
            </w:r>
          </w:p>
        </w:tc>
        <w:tc>
          <w:tcPr>
            <w:tcW w:w="551" w:type="pct"/>
            <w:tcBorders>
              <w:left w:val="nil"/>
              <w:right w:val="nil"/>
            </w:tcBorders>
            <w:shd w:val="clear" w:color="auto" w:fill="auto"/>
            <w:vAlign w:val="bottom"/>
          </w:tcPr>
          <w:p w14:paraId="5E743373"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(2,794)</w:t>
            </w:r>
          </w:p>
        </w:tc>
        <w:tc>
          <w:tcPr>
            <w:tcW w:w="551" w:type="pct"/>
            <w:tcBorders>
              <w:left w:val="nil"/>
              <w:right w:val="nil"/>
            </w:tcBorders>
            <w:shd w:val="clear" w:color="auto" w:fill="auto"/>
            <w:vAlign w:val="bottom"/>
          </w:tcPr>
          <w:p w14:paraId="2AE6ADED"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  </w:t>
            </w:r>
          </w:p>
        </w:tc>
        <w:tc>
          <w:tcPr>
            <w:tcW w:w="551" w:type="pct"/>
            <w:tcBorders>
              <w:left w:val="nil"/>
              <w:right w:val="nil"/>
            </w:tcBorders>
            <w:shd w:val="clear" w:color="auto" w:fill="auto"/>
            <w:vAlign w:val="bottom"/>
          </w:tcPr>
          <w:p w14:paraId="6EAB2D32"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(6,596)</w:t>
            </w:r>
          </w:p>
        </w:tc>
        <w:tc>
          <w:tcPr>
            <w:tcW w:w="551" w:type="pct"/>
            <w:tcBorders>
              <w:left w:val="nil"/>
              <w:right w:val="nil"/>
            </w:tcBorders>
            <w:shd w:val="clear" w:color="auto" w:fill="auto"/>
            <w:vAlign w:val="bottom"/>
          </w:tcPr>
          <w:p w14:paraId="37F1B7AC"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(306)</w:t>
            </w:r>
          </w:p>
        </w:tc>
        <w:tc>
          <w:tcPr>
            <w:tcW w:w="494" w:type="pct"/>
            <w:tcBorders>
              <w:left w:val="nil"/>
              <w:right w:val="nil"/>
            </w:tcBorders>
            <w:shd w:val="clear" w:color="auto" w:fill="auto"/>
            <w:vAlign w:val="bottom"/>
          </w:tcPr>
          <w:p w14:paraId="4F201986"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(6,902)</w:t>
            </w:r>
          </w:p>
        </w:tc>
      </w:tr>
      <w:tr w:rsidR="00587444" w:rsidRPr="00587444" w14:paraId="2C35F0BC" w14:textId="77777777" w:rsidTr="00DD69E7">
        <w:trPr>
          <w:trHeight w:val="324"/>
        </w:trPr>
        <w:tc>
          <w:tcPr>
            <w:tcW w:w="1166" w:type="pct"/>
            <w:vAlign w:val="bottom"/>
          </w:tcPr>
          <w:p w14:paraId="55895AAA" w14:textId="77777777" w:rsidR="00587444" w:rsidRPr="00587444" w:rsidRDefault="00587444" w:rsidP="00587444">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Returned to use</w:t>
            </w:r>
          </w:p>
        </w:tc>
        <w:tc>
          <w:tcPr>
            <w:tcW w:w="552" w:type="pct"/>
            <w:tcBorders>
              <w:left w:val="nil"/>
              <w:bottom w:val="single" w:sz="4" w:space="0" w:color="auto"/>
              <w:right w:val="nil"/>
            </w:tcBorders>
            <w:shd w:val="clear" w:color="auto" w:fill="auto"/>
            <w:vAlign w:val="bottom"/>
          </w:tcPr>
          <w:p w14:paraId="1168175C"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w:t>
            </w:r>
          </w:p>
        </w:tc>
        <w:tc>
          <w:tcPr>
            <w:tcW w:w="584" w:type="pct"/>
            <w:tcBorders>
              <w:left w:val="nil"/>
              <w:bottom w:val="single" w:sz="4" w:space="0" w:color="auto"/>
              <w:right w:val="nil"/>
            </w:tcBorders>
            <w:shd w:val="clear" w:color="auto" w:fill="auto"/>
            <w:vAlign w:val="bottom"/>
          </w:tcPr>
          <w:p w14:paraId="6154D19A"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 </w:t>
            </w:r>
          </w:p>
        </w:tc>
        <w:tc>
          <w:tcPr>
            <w:tcW w:w="551" w:type="pct"/>
            <w:tcBorders>
              <w:left w:val="nil"/>
              <w:bottom w:val="single" w:sz="4" w:space="0" w:color="auto"/>
              <w:right w:val="nil"/>
            </w:tcBorders>
            <w:shd w:val="clear" w:color="auto" w:fill="auto"/>
            <w:vAlign w:val="bottom"/>
          </w:tcPr>
          <w:p w14:paraId="0DF9EF18"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25 </w:t>
            </w:r>
          </w:p>
        </w:tc>
        <w:tc>
          <w:tcPr>
            <w:tcW w:w="551" w:type="pct"/>
            <w:tcBorders>
              <w:left w:val="nil"/>
              <w:bottom w:val="single" w:sz="4" w:space="0" w:color="auto"/>
              <w:right w:val="nil"/>
            </w:tcBorders>
            <w:shd w:val="clear" w:color="auto" w:fill="auto"/>
            <w:vAlign w:val="bottom"/>
          </w:tcPr>
          <w:p w14:paraId="48561FA5"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w:t>
            </w:r>
          </w:p>
        </w:tc>
        <w:tc>
          <w:tcPr>
            <w:tcW w:w="551" w:type="pct"/>
            <w:tcBorders>
              <w:left w:val="nil"/>
              <w:bottom w:val="single" w:sz="4" w:space="0" w:color="auto"/>
              <w:right w:val="nil"/>
            </w:tcBorders>
            <w:shd w:val="clear" w:color="auto" w:fill="auto"/>
            <w:vAlign w:val="bottom"/>
          </w:tcPr>
          <w:p w14:paraId="2B08D210"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 xml:space="preserve"> 27 </w:t>
            </w:r>
          </w:p>
        </w:tc>
        <w:tc>
          <w:tcPr>
            <w:tcW w:w="551" w:type="pct"/>
            <w:tcBorders>
              <w:left w:val="nil"/>
              <w:bottom w:val="single" w:sz="4" w:space="0" w:color="auto"/>
              <w:right w:val="nil"/>
            </w:tcBorders>
            <w:shd w:val="clear" w:color="auto" w:fill="auto"/>
            <w:vAlign w:val="bottom"/>
          </w:tcPr>
          <w:p w14:paraId="0C6F707B"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w:t>
            </w:r>
          </w:p>
        </w:tc>
        <w:tc>
          <w:tcPr>
            <w:tcW w:w="494" w:type="pct"/>
            <w:tcBorders>
              <w:left w:val="nil"/>
              <w:bottom w:val="single" w:sz="4" w:space="0" w:color="auto"/>
              <w:right w:val="nil"/>
            </w:tcBorders>
            <w:shd w:val="clear" w:color="auto" w:fill="auto"/>
            <w:vAlign w:val="bottom"/>
          </w:tcPr>
          <w:p w14:paraId="2A3AC8CC"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27</w:t>
            </w:r>
          </w:p>
        </w:tc>
      </w:tr>
      <w:tr w:rsidR="00587444" w:rsidRPr="00587444" w14:paraId="778BB2A0" w14:textId="77777777" w:rsidTr="00DD69E7">
        <w:trPr>
          <w:trHeight w:val="378"/>
        </w:trPr>
        <w:tc>
          <w:tcPr>
            <w:tcW w:w="1166" w:type="pct"/>
            <w:vAlign w:val="bottom"/>
          </w:tcPr>
          <w:p w14:paraId="2C611FBC"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bookmarkStart w:id="819" w:name="_Toc4059519"/>
            <w:proofErr w:type="gramStart"/>
            <w:r w:rsidRPr="00587444">
              <w:rPr>
                <w:rFonts w:ascii="Arial" w:hAnsi="Arial" w:cs="Arial"/>
                <w:b/>
                <w:bCs/>
                <w:sz w:val="16"/>
                <w:szCs w:val="16"/>
                <w:lang w:val="en-GB"/>
              </w:rPr>
              <w:t>At</w:t>
            </w:r>
            <w:proofErr w:type="gramEnd"/>
            <w:r w:rsidRPr="00587444">
              <w:rPr>
                <w:rFonts w:ascii="Arial" w:hAnsi="Arial" w:cs="Arial"/>
                <w:b/>
                <w:bCs/>
                <w:sz w:val="16"/>
                <w:szCs w:val="16"/>
                <w:lang w:val="en-GB"/>
              </w:rPr>
              <w:t xml:space="preserve"> 31 December </w:t>
            </w:r>
            <w:bookmarkEnd w:id="819"/>
            <w:r w:rsidRPr="00587444">
              <w:rPr>
                <w:rFonts w:ascii="Arial" w:hAnsi="Arial" w:cs="Arial"/>
                <w:b/>
                <w:bCs/>
                <w:sz w:val="16"/>
                <w:szCs w:val="16"/>
                <w:lang w:val="en-GB"/>
              </w:rPr>
              <w:t>2022</w:t>
            </w:r>
          </w:p>
        </w:tc>
        <w:tc>
          <w:tcPr>
            <w:tcW w:w="552" w:type="pct"/>
            <w:tcBorders>
              <w:top w:val="single" w:sz="4" w:space="0" w:color="auto"/>
              <w:left w:val="nil"/>
              <w:bottom w:val="single" w:sz="12" w:space="0" w:color="auto"/>
              <w:right w:val="nil"/>
            </w:tcBorders>
            <w:shd w:val="clear" w:color="auto" w:fill="auto"/>
            <w:vAlign w:val="bottom"/>
          </w:tcPr>
          <w:p w14:paraId="250B350F"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48,238 </w:t>
            </w:r>
          </w:p>
        </w:tc>
        <w:tc>
          <w:tcPr>
            <w:tcW w:w="584" w:type="pct"/>
            <w:tcBorders>
              <w:top w:val="single" w:sz="4" w:space="0" w:color="auto"/>
              <w:left w:val="nil"/>
              <w:bottom w:val="single" w:sz="12" w:space="0" w:color="auto"/>
              <w:right w:val="nil"/>
            </w:tcBorders>
            <w:shd w:val="clear" w:color="auto" w:fill="auto"/>
            <w:vAlign w:val="bottom"/>
          </w:tcPr>
          <w:p w14:paraId="39FF380C"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9,213 </w:t>
            </w:r>
          </w:p>
        </w:tc>
        <w:tc>
          <w:tcPr>
            <w:tcW w:w="551" w:type="pct"/>
            <w:tcBorders>
              <w:top w:val="single" w:sz="4" w:space="0" w:color="auto"/>
              <w:left w:val="nil"/>
              <w:bottom w:val="single" w:sz="12" w:space="0" w:color="auto"/>
              <w:right w:val="nil"/>
            </w:tcBorders>
            <w:shd w:val="clear" w:color="auto" w:fill="auto"/>
            <w:vAlign w:val="bottom"/>
          </w:tcPr>
          <w:p w14:paraId="0F15F5A9"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8,556 </w:t>
            </w:r>
          </w:p>
        </w:tc>
        <w:tc>
          <w:tcPr>
            <w:tcW w:w="551" w:type="pct"/>
            <w:tcBorders>
              <w:top w:val="single" w:sz="4" w:space="0" w:color="auto"/>
              <w:left w:val="nil"/>
              <w:bottom w:val="single" w:sz="12" w:space="0" w:color="auto"/>
              <w:right w:val="nil"/>
            </w:tcBorders>
            <w:shd w:val="clear" w:color="auto" w:fill="auto"/>
            <w:vAlign w:val="bottom"/>
          </w:tcPr>
          <w:p w14:paraId="587E0AF1"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 </w:t>
            </w:r>
          </w:p>
        </w:tc>
        <w:tc>
          <w:tcPr>
            <w:tcW w:w="551" w:type="pct"/>
            <w:tcBorders>
              <w:top w:val="single" w:sz="4" w:space="0" w:color="auto"/>
              <w:left w:val="nil"/>
              <w:bottom w:val="single" w:sz="12" w:space="0" w:color="auto"/>
              <w:right w:val="nil"/>
            </w:tcBorders>
            <w:shd w:val="clear" w:color="auto" w:fill="auto"/>
            <w:vAlign w:val="bottom"/>
          </w:tcPr>
          <w:p w14:paraId="7676A261"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66,007 </w:t>
            </w:r>
          </w:p>
        </w:tc>
        <w:tc>
          <w:tcPr>
            <w:tcW w:w="551" w:type="pct"/>
            <w:tcBorders>
              <w:top w:val="single" w:sz="4" w:space="0" w:color="auto"/>
              <w:left w:val="nil"/>
              <w:bottom w:val="single" w:sz="12" w:space="0" w:color="auto"/>
              <w:right w:val="nil"/>
            </w:tcBorders>
            <w:shd w:val="clear" w:color="auto" w:fill="auto"/>
            <w:vAlign w:val="bottom"/>
          </w:tcPr>
          <w:p w14:paraId="4040537B"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31,250 </w:t>
            </w:r>
          </w:p>
        </w:tc>
        <w:tc>
          <w:tcPr>
            <w:tcW w:w="494" w:type="pct"/>
            <w:tcBorders>
              <w:top w:val="single" w:sz="4" w:space="0" w:color="auto"/>
              <w:left w:val="nil"/>
              <w:bottom w:val="single" w:sz="12" w:space="0" w:color="auto"/>
              <w:right w:val="nil"/>
            </w:tcBorders>
            <w:shd w:val="clear" w:color="auto" w:fill="auto"/>
            <w:vAlign w:val="bottom"/>
          </w:tcPr>
          <w:p w14:paraId="7ECF736A"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97,257 </w:t>
            </w:r>
          </w:p>
        </w:tc>
      </w:tr>
      <w:tr w:rsidR="00587444" w:rsidRPr="00587444" w14:paraId="6E0686F6" w14:textId="77777777" w:rsidTr="00DD69E7">
        <w:trPr>
          <w:trHeight w:val="688"/>
        </w:trPr>
        <w:tc>
          <w:tcPr>
            <w:tcW w:w="1166" w:type="pct"/>
            <w:vAlign w:val="bottom"/>
          </w:tcPr>
          <w:p w14:paraId="45508D8D"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bookmarkStart w:id="820" w:name="_Toc4059527"/>
            <w:r w:rsidRPr="00587444">
              <w:rPr>
                <w:rFonts w:ascii="Arial" w:hAnsi="Arial" w:cs="Arial"/>
                <w:b/>
                <w:bCs/>
                <w:sz w:val="16"/>
                <w:szCs w:val="16"/>
                <w:lang w:val="en-GB"/>
              </w:rPr>
              <w:t>Net book value at</w:t>
            </w:r>
            <w:bookmarkEnd w:id="820"/>
            <w:r w:rsidRPr="00587444">
              <w:rPr>
                <w:rFonts w:ascii="Arial" w:hAnsi="Arial" w:cs="Arial"/>
                <w:b/>
                <w:bCs/>
                <w:sz w:val="16"/>
                <w:szCs w:val="16"/>
                <w:lang w:val="en-GB"/>
              </w:rPr>
              <w:t xml:space="preserve"> </w:t>
            </w:r>
          </w:p>
          <w:p w14:paraId="3E532394"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bookmarkStart w:id="821" w:name="_Toc4059528"/>
            <w:r w:rsidRPr="00587444">
              <w:rPr>
                <w:rFonts w:ascii="Arial" w:hAnsi="Arial" w:cs="Arial"/>
                <w:b/>
                <w:bCs/>
                <w:sz w:val="16"/>
                <w:szCs w:val="16"/>
                <w:lang w:val="en-GB"/>
              </w:rPr>
              <w:t xml:space="preserve">31 December </w:t>
            </w:r>
            <w:bookmarkEnd w:id="821"/>
            <w:r w:rsidRPr="00587444">
              <w:rPr>
                <w:rFonts w:ascii="Arial" w:hAnsi="Arial" w:cs="Arial"/>
                <w:b/>
                <w:bCs/>
                <w:sz w:val="16"/>
                <w:szCs w:val="16"/>
                <w:lang w:val="en-GB"/>
              </w:rPr>
              <w:t>2022</w:t>
            </w:r>
          </w:p>
        </w:tc>
        <w:tc>
          <w:tcPr>
            <w:tcW w:w="552" w:type="pct"/>
            <w:tcBorders>
              <w:left w:val="nil"/>
              <w:bottom w:val="single" w:sz="12" w:space="0" w:color="auto"/>
              <w:right w:val="nil"/>
            </w:tcBorders>
            <w:shd w:val="clear" w:color="auto" w:fill="auto"/>
            <w:vAlign w:val="bottom"/>
          </w:tcPr>
          <w:p w14:paraId="1688B7F0"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28,864 </w:t>
            </w:r>
          </w:p>
        </w:tc>
        <w:tc>
          <w:tcPr>
            <w:tcW w:w="584" w:type="pct"/>
            <w:tcBorders>
              <w:left w:val="nil"/>
              <w:bottom w:val="single" w:sz="12" w:space="0" w:color="auto"/>
              <w:right w:val="nil"/>
            </w:tcBorders>
            <w:shd w:val="clear" w:color="auto" w:fill="auto"/>
            <w:vAlign w:val="bottom"/>
          </w:tcPr>
          <w:p w14:paraId="16053D7E"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654 </w:t>
            </w:r>
          </w:p>
        </w:tc>
        <w:tc>
          <w:tcPr>
            <w:tcW w:w="551" w:type="pct"/>
            <w:tcBorders>
              <w:left w:val="nil"/>
              <w:bottom w:val="single" w:sz="12" w:space="0" w:color="auto"/>
              <w:right w:val="nil"/>
            </w:tcBorders>
            <w:shd w:val="clear" w:color="auto" w:fill="auto"/>
            <w:vAlign w:val="bottom"/>
          </w:tcPr>
          <w:p w14:paraId="6214D34D"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2,635 </w:t>
            </w:r>
          </w:p>
        </w:tc>
        <w:tc>
          <w:tcPr>
            <w:tcW w:w="551" w:type="pct"/>
            <w:tcBorders>
              <w:left w:val="nil"/>
              <w:bottom w:val="single" w:sz="12" w:space="0" w:color="auto"/>
              <w:right w:val="nil"/>
            </w:tcBorders>
            <w:shd w:val="clear" w:color="auto" w:fill="auto"/>
            <w:vAlign w:val="bottom"/>
          </w:tcPr>
          <w:p w14:paraId="53FB2A95"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63 </w:t>
            </w:r>
          </w:p>
        </w:tc>
        <w:tc>
          <w:tcPr>
            <w:tcW w:w="551" w:type="pct"/>
            <w:tcBorders>
              <w:left w:val="nil"/>
              <w:bottom w:val="single" w:sz="12" w:space="0" w:color="auto"/>
              <w:right w:val="nil"/>
            </w:tcBorders>
            <w:shd w:val="clear" w:color="auto" w:fill="auto"/>
            <w:vAlign w:val="bottom"/>
          </w:tcPr>
          <w:p w14:paraId="659D6866"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32,216 </w:t>
            </w:r>
          </w:p>
        </w:tc>
        <w:tc>
          <w:tcPr>
            <w:tcW w:w="551" w:type="pct"/>
            <w:tcBorders>
              <w:left w:val="nil"/>
              <w:bottom w:val="single" w:sz="12" w:space="0" w:color="auto"/>
              <w:right w:val="nil"/>
            </w:tcBorders>
            <w:shd w:val="clear" w:color="auto" w:fill="auto"/>
            <w:vAlign w:val="bottom"/>
          </w:tcPr>
          <w:p w14:paraId="62BAFBD3"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5,511 </w:t>
            </w:r>
          </w:p>
        </w:tc>
        <w:tc>
          <w:tcPr>
            <w:tcW w:w="494" w:type="pct"/>
            <w:tcBorders>
              <w:left w:val="nil"/>
              <w:bottom w:val="single" w:sz="12" w:space="0" w:color="auto"/>
              <w:right w:val="nil"/>
            </w:tcBorders>
            <w:shd w:val="clear" w:color="auto" w:fill="auto"/>
            <w:vAlign w:val="bottom"/>
          </w:tcPr>
          <w:p w14:paraId="3A5BC7A3"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37,727 </w:t>
            </w:r>
          </w:p>
        </w:tc>
      </w:tr>
      <w:tr w:rsidR="00587444" w:rsidRPr="00587444" w14:paraId="7B52D343" w14:textId="77777777" w:rsidTr="00DD69E7">
        <w:trPr>
          <w:trHeight w:val="684"/>
        </w:trPr>
        <w:tc>
          <w:tcPr>
            <w:tcW w:w="1166" w:type="pct"/>
            <w:vAlign w:val="bottom"/>
          </w:tcPr>
          <w:p w14:paraId="0B7487E7"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bookmarkStart w:id="822" w:name="_Toc4059536"/>
            <w:r w:rsidRPr="00587444">
              <w:rPr>
                <w:rFonts w:ascii="Arial" w:hAnsi="Arial" w:cs="Arial"/>
                <w:b/>
                <w:bCs/>
                <w:sz w:val="16"/>
                <w:szCs w:val="16"/>
                <w:lang w:val="en-GB"/>
              </w:rPr>
              <w:t>Net book value at</w:t>
            </w:r>
            <w:bookmarkEnd w:id="822"/>
            <w:r w:rsidRPr="00587444">
              <w:rPr>
                <w:rFonts w:ascii="Arial" w:hAnsi="Arial" w:cs="Arial"/>
                <w:b/>
                <w:bCs/>
                <w:sz w:val="16"/>
                <w:szCs w:val="16"/>
                <w:lang w:val="en-GB"/>
              </w:rPr>
              <w:t xml:space="preserve"> </w:t>
            </w:r>
          </w:p>
          <w:p w14:paraId="108E5833"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bookmarkStart w:id="823" w:name="_Toc4059537"/>
            <w:r w:rsidRPr="00587444">
              <w:rPr>
                <w:rFonts w:ascii="Arial" w:hAnsi="Arial" w:cs="Arial"/>
                <w:b/>
                <w:bCs/>
                <w:sz w:val="16"/>
                <w:szCs w:val="16"/>
                <w:lang w:val="en-GB"/>
              </w:rPr>
              <w:t xml:space="preserve">31 December </w:t>
            </w:r>
            <w:bookmarkEnd w:id="823"/>
            <w:r w:rsidRPr="00587444">
              <w:rPr>
                <w:rFonts w:ascii="Arial" w:hAnsi="Arial" w:cs="Arial"/>
                <w:b/>
                <w:bCs/>
                <w:sz w:val="16"/>
                <w:szCs w:val="16"/>
                <w:lang w:val="en-GB"/>
              </w:rPr>
              <w:t>2021</w:t>
            </w:r>
          </w:p>
        </w:tc>
        <w:tc>
          <w:tcPr>
            <w:tcW w:w="552" w:type="pct"/>
            <w:tcBorders>
              <w:left w:val="nil"/>
              <w:bottom w:val="single" w:sz="12" w:space="0" w:color="auto"/>
              <w:right w:val="nil"/>
            </w:tcBorders>
            <w:shd w:val="clear" w:color="auto" w:fill="auto"/>
            <w:vAlign w:val="bottom"/>
          </w:tcPr>
          <w:p w14:paraId="3FDA679B"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32,719 </w:t>
            </w:r>
          </w:p>
        </w:tc>
        <w:tc>
          <w:tcPr>
            <w:tcW w:w="584" w:type="pct"/>
            <w:tcBorders>
              <w:left w:val="nil"/>
              <w:bottom w:val="single" w:sz="12" w:space="0" w:color="auto"/>
              <w:right w:val="nil"/>
            </w:tcBorders>
            <w:shd w:val="clear" w:color="auto" w:fill="auto"/>
            <w:vAlign w:val="bottom"/>
          </w:tcPr>
          <w:p w14:paraId="38C57F4C"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2,226</w:t>
            </w:r>
          </w:p>
        </w:tc>
        <w:tc>
          <w:tcPr>
            <w:tcW w:w="551" w:type="pct"/>
            <w:tcBorders>
              <w:left w:val="nil"/>
              <w:bottom w:val="single" w:sz="12" w:space="0" w:color="auto"/>
              <w:right w:val="nil"/>
            </w:tcBorders>
            <w:shd w:val="clear" w:color="auto" w:fill="auto"/>
            <w:vAlign w:val="bottom"/>
          </w:tcPr>
          <w:p w14:paraId="0BB16639"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1,763</w:t>
            </w:r>
          </w:p>
        </w:tc>
        <w:tc>
          <w:tcPr>
            <w:tcW w:w="551" w:type="pct"/>
            <w:tcBorders>
              <w:left w:val="nil"/>
              <w:bottom w:val="single" w:sz="12" w:space="0" w:color="auto"/>
              <w:right w:val="nil"/>
            </w:tcBorders>
            <w:shd w:val="clear" w:color="auto" w:fill="auto"/>
            <w:vAlign w:val="bottom"/>
          </w:tcPr>
          <w:p w14:paraId="2FAB437E"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55 </w:t>
            </w:r>
          </w:p>
        </w:tc>
        <w:tc>
          <w:tcPr>
            <w:tcW w:w="551" w:type="pct"/>
            <w:tcBorders>
              <w:left w:val="nil"/>
              <w:bottom w:val="single" w:sz="12" w:space="0" w:color="auto"/>
              <w:right w:val="nil"/>
            </w:tcBorders>
            <w:shd w:val="clear" w:color="auto" w:fill="auto"/>
            <w:vAlign w:val="bottom"/>
          </w:tcPr>
          <w:p w14:paraId="584907BF"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36,763 </w:t>
            </w:r>
          </w:p>
        </w:tc>
        <w:tc>
          <w:tcPr>
            <w:tcW w:w="551" w:type="pct"/>
            <w:tcBorders>
              <w:left w:val="nil"/>
              <w:bottom w:val="single" w:sz="12" w:space="0" w:color="auto"/>
              <w:right w:val="nil"/>
            </w:tcBorders>
            <w:shd w:val="clear" w:color="auto" w:fill="auto"/>
            <w:vAlign w:val="bottom"/>
          </w:tcPr>
          <w:p w14:paraId="04BB1577"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5,911 </w:t>
            </w:r>
          </w:p>
        </w:tc>
        <w:tc>
          <w:tcPr>
            <w:tcW w:w="494" w:type="pct"/>
            <w:tcBorders>
              <w:left w:val="nil"/>
              <w:bottom w:val="single" w:sz="12" w:space="0" w:color="auto"/>
              <w:right w:val="nil"/>
            </w:tcBorders>
            <w:shd w:val="clear" w:color="auto" w:fill="auto"/>
            <w:vAlign w:val="bottom"/>
          </w:tcPr>
          <w:p w14:paraId="18331900"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42,674 </w:t>
            </w:r>
          </w:p>
        </w:tc>
      </w:tr>
    </w:tbl>
    <w:p w14:paraId="337FAF5F" w14:textId="77777777" w:rsidR="00587444" w:rsidRPr="00587444" w:rsidRDefault="00587444" w:rsidP="00587444">
      <w:pPr>
        <w:keepNext/>
        <w:tabs>
          <w:tab w:val="left" w:pos="720"/>
        </w:tabs>
        <w:suppressAutoHyphens w:val="0"/>
        <w:autoSpaceDN/>
        <w:spacing w:before="240"/>
        <w:jc w:val="both"/>
        <w:rPr>
          <w:rFonts w:ascii="Arial" w:hAnsi="Arial" w:cs="Arial"/>
          <w:b/>
          <w:bCs/>
          <w:sz w:val="20"/>
          <w:szCs w:val="20"/>
          <w:lang w:val="en-GB"/>
        </w:rPr>
      </w:pPr>
    </w:p>
    <w:p w14:paraId="44779711" w14:textId="77777777" w:rsidR="00587444" w:rsidRPr="00587444" w:rsidRDefault="00587444" w:rsidP="00587444">
      <w:pPr>
        <w:keepNext/>
        <w:tabs>
          <w:tab w:val="left" w:pos="720"/>
        </w:tabs>
        <w:suppressAutoHyphens w:val="0"/>
        <w:autoSpaceDN/>
        <w:spacing w:before="240"/>
        <w:jc w:val="both"/>
        <w:rPr>
          <w:rFonts w:ascii="Arial" w:hAnsi="Arial" w:cs="Arial"/>
          <w:b/>
          <w:bCs/>
          <w:sz w:val="20"/>
          <w:szCs w:val="20"/>
          <w:lang w:val="en-GB"/>
        </w:rPr>
      </w:pPr>
    </w:p>
    <w:p w14:paraId="3AEB52EC" w14:textId="77777777" w:rsidR="00587444" w:rsidRPr="00587444" w:rsidRDefault="00587444" w:rsidP="00587444">
      <w:pPr>
        <w:suppressAutoHyphens w:val="0"/>
        <w:autoSpaceDN/>
        <w:spacing w:before="240" w:after="120" w:line="360" w:lineRule="auto"/>
        <w:jc w:val="both"/>
        <w:rPr>
          <w:rFonts w:ascii="Arial" w:hAnsi="Arial" w:cs="Arial"/>
          <w:b/>
          <w:bCs/>
          <w:sz w:val="20"/>
          <w:szCs w:val="20"/>
          <w:lang w:val="en-GB"/>
        </w:rPr>
        <w:sectPr w:rsidR="00587444" w:rsidRPr="00587444" w:rsidSect="00DD69E7">
          <w:pgSz w:w="11907" w:h="16840" w:code="9"/>
          <w:pgMar w:top="1418" w:right="1134" w:bottom="1134" w:left="1418" w:header="851" w:footer="851" w:gutter="0"/>
          <w:cols w:space="720"/>
          <w:noEndnote/>
        </w:sectPr>
      </w:pPr>
    </w:p>
    <w:p w14:paraId="70D9093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14368E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 xml:space="preserve">19. </w:t>
      </w:r>
      <w:r w:rsidRPr="00587444">
        <w:rPr>
          <w:rFonts w:ascii="Arial" w:hAnsi="Arial" w:cs="Arial"/>
          <w:b/>
          <w:bCs/>
          <w:sz w:val="20"/>
          <w:szCs w:val="20"/>
          <w:lang w:val="en-GB"/>
        </w:rPr>
        <w:tab/>
        <w:t>Property, plant and equipment and intangible assets (continued)</w:t>
      </w:r>
    </w:p>
    <w:p w14:paraId="221B8124"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tbl>
      <w:tblPr>
        <w:tblW w:w="5205" w:type="pct"/>
        <w:tblInd w:w="-284" w:type="dxa"/>
        <w:tblLayout w:type="fixed"/>
        <w:tblCellMar>
          <w:left w:w="119" w:type="dxa"/>
          <w:right w:w="119" w:type="dxa"/>
        </w:tblCellMar>
        <w:tblLook w:val="0000" w:firstRow="0" w:lastRow="0" w:firstColumn="0" w:lastColumn="0" w:noHBand="0" w:noVBand="0"/>
      </w:tblPr>
      <w:tblGrid>
        <w:gridCol w:w="2330"/>
        <w:gridCol w:w="1103"/>
        <w:gridCol w:w="1163"/>
        <w:gridCol w:w="1101"/>
        <w:gridCol w:w="1101"/>
        <w:gridCol w:w="1101"/>
        <w:gridCol w:w="1100"/>
        <w:gridCol w:w="987"/>
      </w:tblGrid>
      <w:tr w:rsidR="00587444" w:rsidRPr="00587444" w14:paraId="42D667B4" w14:textId="77777777" w:rsidTr="00DD69E7">
        <w:trPr>
          <w:trHeight w:val="1283"/>
        </w:trPr>
        <w:tc>
          <w:tcPr>
            <w:tcW w:w="1166" w:type="pct"/>
          </w:tcPr>
          <w:p w14:paraId="14361028"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r w:rsidRPr="00587444">
              <w:rPr>
                <w:rFonts w:ascii="Arial" w:hAnsi="Arial" w:cs="Arial"/>
                <w:b/>
                <w:sz w:val="16"/>
                <w:szCs w:val="16"/>
                <w:lang w:val="en-GB"/>
              </w:rPr>
              <w:t>Bank</w:t>
            </w:r>
          </w:p>
          <w:p w14:paraId="79168C58"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7113068C"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01EF2F5C"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r w:rsidRPr="00587444">
              <w:rPr>
                <w:rFonts w:ascii="Arial" w:hAnsi="Arial" w:cs="Arial"/>
                <w:b/>
                <w:sz w:val="16"/>
                <w:szCs w:val="16"/>
                <w:lang w:val="en-GB"/>
              </w:rPr>
              <w:t>31 December 2021</w:t>
            </w:r>
          </w:p>
        </w:tc>
        <w:tc>
          <w:tcPr>
            <w:tcW w:w="552" w:type="pct"/>
          </w:tcPr>
          <w:p w14:paraId="4FF891B2"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bCs/>
                <w:sz w:val="16"/>
                <w:szCs w:val="16"/>
                <w:lang w:val="en-GB"/>
              </w:rPr>
            </w:pPr>
            <w:r w:rsidRPr="00587444">
              <w:rPr>
                <w:rFonts w:ascii="Arial" w:hAnsi="Arial" w:cs="Arial"/>
                <w:b/>
                <w:sz w:val="16"/>
                <w:szCs w:val="16"/>
                <w:lang w:val="en-GB"/>
              </w:rPr>
              <w:t>Buildings</w:t>
            </w:r>
          </w:p>
        </w:tc>
        <w:tc>
          <w:tcPr>
            <w:tcW w:w="582" w:type="pct"/>
          </w:tcPr>
          <w:p w14:paraId="0DFA392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Computers</w:t>
            </w:r>
          </w:p>
        </w:tc>
        <w:tc>
          <w:tcPr>
            <w:tcW w:w="551" w:type="pct"/>
          </w:tcPr>
          <w:p w14:paraId="536E5AD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 xml:space="preserve">Furniture, </w:t>
            </w:r>
            <w:proofErr w:type="gramStart"/>
            <w:r w:rsidRPr="00587444">
              <w:rPr>
                <w:rFonts w:ascii="Arial" w:hAnsi="Arial" w:cs="Arial"/>
                <w:b/>
                <w:sz w:val="16"/>
                <w:szCs w:val="16"/>
                <w:lang w:val="en-GB"/>
              </w:rPr>
              <w:t>equipment</w:t>
            </w:r>
            <w:proofErr w:type="gramEnd"/>
            <w:r w:rsidRPr="00587444">
              <w:rPr>
                <w:rFonts w:ascii="Arial" w:hAnsi="Arial" w:cs="Arial"/>
                <w:b/>
                <w:sz w:val="16"/>
                <w:szCs w:val="16"/>
                <w:lang w:val="en-GB"/>
              </w:rPr>
              <w:t xml:space="preserve"> and vehicles</w:t>
            </w:r>
          </w:p>
        </w:tc>
        <w:tc>
          <w:tcPr>
            <w:tcW w:w="551" w:type="pct"/>
          </w:tcPr>
          <w:p w14:paraId="4B9FB84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Property, plant and equipment and intangible assets not ready for use</w:t>
            </w:r>
          </w:p>
        </w:tc>
        <w:tc>
          <w:tcPr>
            <w:tcW w:w="551" w:type="pct"/>
          </w:tcPr>
          <w:p w14:paraId="496C80C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 xml:space="preserve">Total property, </w:t>
            </w:r>
            <w:proofErr w:type="gramStart"/>
            <w:r w:rsidRPr="00587444">
              <w:rPr>
                <w:rFonts w:ascii="Arial" w:hAnsi="Arial" w:cs="Arial"/>
                <w:b/>
                <w:sz w:val="16"/>
                <w:szCs w:val="16"/>
                <w:lang w:val="en-GB"/>
              </w:rPr>
              <w:t>plant</w:t>
            </w:r>
            <w:proofErr w:type="gramEnd"/>
            <w:r w:rsidRPr="00587444">
              <w:rPr>
                <w:rFonts w:ascii="Arial" w:hAnsi="Arial" w:cs="Arial"/>
                <w:b/>
                <w:sz w:val="16"/>
                <w:szCs w:val="16"/>
                <w:lang w:val="en-GB"/>
              </w:rPr>
              <w:t xml:space="preserve"> and equipment </w:t>
            </w:r>
          </w:p>
        </w:tc>
        <w:tc>
          <w:tcPr>
            <w:tcW w:w="551" w:type="pct"/>
          </w:tcPr>
          <w:p w14:paraId="629488F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Intangible assets</w:t>
            </w:r>
          </w:p>
        </w:tc>
        <w:tc>
          <w:tcPr>
            <w:tcW w:w="494" w:type="pct"/>
          </w:tcPr>
          <w:p w14:paraId="77563FB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Total</w:t>
            </w:r>
          </w:p>
        </w:tc>
      </w:tr>
      <w:tr w:rsidR="00587444" w:rsidRPr="00587444" w14:paraId="30637156" w14:textId="77777777" w:rsidTr="00DD69E7">
        <w:trPr>
          <w:trHeight w:val="269"/>
        </w:trPr>
        <w:tc>
          <w:tcPr>
            <w:tcW w:w="1166" w:type="pct"/>
            <w:vAlign w:val="bottom"/>
          </w:tcPr>
          <w:p w14:paraId="36554EB7" w14:textId="77777777" w:rsidR="00587444" w:rsidRPr="00587444" w:rsidRDefault="00587444" w:rsidP="00587444">
            <w:pPr>
              <w:tabs>
                <w:tab w:val="left" w:pos="-1559"/>
              </w:tabs>
              <w:autoSpaceDN/>
              <w:rPr>
                <w:rFonts w:ascii="Arial" w:hAnsi="Arial" w:cs="Arial"/>
                <w:spacing w:val="-2"/>
                <w:sz w:val="16"/>
                <w:szCs w:val="16"/>
                <w:lang w:val="en-GB"/>
              </w:rPr>
            </w:pPr>
          </w:p>
        </w:tc>
        <w:tc>
          <w:tcPr>
            <w:tcW w:w="552" w:type="pct"/>
            <w:vAlign w:val="bottom"/>
          </w:tcPr>
          <w:p w14:paraId="01B992A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HRK ‘000</w:t>
            </w:r>
          </w:p>
        </w:tc>
        <w:tc>
          <w:tcPr>
            <w:tcW w:w="582" w:type="pct"/>
            <w:vAlign w:val="bottom"/>
          </w:tcPr>
          <w:p w14:paraId="473BF82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HRK ‘000</w:t>
            </w:r>
          </w:p>
        </w:tc>
        <w:tc>
          <w:tcPr>
            <w:tcW w:w="551" w:type="pct"/>
            <w:vAlign w:val="bottom"/>
          </w:tcPr>
          <w:p w14:paraId="62AB775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HRK ‘000</w:t>
            </w:r>
          </w:p>
        </w:tc>
        <w:tc>
          <w:tcPr>
            <w:tcW w:w="551" w:type="pct"/>
            <w:vAlign w:val="bottom"/>
          </w:tcPr>
          <w:p w14:paraId="670F060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HRK ‘000</w:t>
            </w:r>
          </w:p>
        </w:tc>
        <w:tc>
          <w:tcPr>
            <w:tcW w:w="551" w:type="pct"/>
            <w:vAlign w:val="bottom"/>
          </w:tcPr>
          <w:p w14:paraId="4667DD5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HRK ‘000</w:t>
            </w:r>
          </w:p>
        </w:tc>
        <w:tc>
          <w:tcPr>
            <w:tcW w:w="551" w:type="pct"/>
            <w:vAlign w:val="bottom"/>
          </w:tcPr>
          <w:p w14:paraId="19A32A6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HRK ‘000</w:t>
            </w:r>
          </w:p>
        </w:tc>
        <w:tc>
          <w:tcPr>
            <w:tcW w:w="494" w:type="pct"/>
            <w:vAlign w:val="bottom"/>
          </w:tcPr>
          <w:p w14:paraId="239F469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HRK ‘000</w:t>
            </w:r>
          </w:p>
        </w:tc>
      </w:tr>
      <w:tr w:rsidR="00587444" w:rsidRPr="00587444" w14:paraId="74825C89" w14:textId="77777777" w:rsidTr="00DD69E7">
        <w:trPr>
          <w:trHeight w:val="324"/>
        </w:trPr>
        <w:tc>
          <w:tcPr>
            <w:tcW w:w="1166" w:type="pct"/>
            <w:vAlign w:val="bottom"/>
          </w:tcPr>
          <w:p w14:paraId="71FFB459"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Cost  </w:t>
            </w:r>
          </w:p>
        </w:tc>
        <w:tc>
          <w:tcPr>
            <w:tcW w:w="552" w:type="pct"/>
            <w:vAlign w:val="bottom"/>
          </w:tcPr>
          <w:p w14:paraId="79B6BEC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82" w:type="pct"/>
            <w:vAlign w:val="bottom"/>
          </w:tcPr>
          <w:p w14:paraId="72C2C41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51" w:type="pct"/>
            <w:vAlign w:val="bottom"/>
          </w:tcPr>
          <w:p w14:paraId="34E8BB4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51" w:type="pct"/>
            <w:vAlign w:val="bottom"/>
          </w:tcPr>
          <w:p w14:paraId="5F65A3C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51" w:type="pct"/>
            <w:vAlign w:val="bottom"/>
          </w:tcPr>
          <w:p w14:paraId="5948F55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51" w:type="pct"/>
            <w:vAlign w:val="bottom"/>
          </w:tcPr>
          <w:p w14:paraId="5EF8E19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94" w:type="pct"/>
            <w:vAlign w:val="bottom"/>
          </w:tcPr>
          <w:p w14:paraId="0CF3800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3"/>
                <w:sz w:val="16"/>
                <w:szCs w:val="16"/>
                <w:lang w:val="en-GB"/>
              </w:rPr>
            </w:pPr>
          </w:p>
        </w:tc>
      </w:tr>
      <w:tr w:rsidR="00587444" w:rsidRPr="00587444" w14:paraId="34A0F59E" w14:textId="77777777" w:rsidTr="00DD69E7">
        <w:trPr>
          <w:trHeight w:val="364"/>
        </w:trPr>
        <w:tc>
          <w:tcPr>
            <w:tcW w:w="1166" w:type="pct"/>
            <w:vAlign w:val="bottom"/>
          </w:tcPr>
          <w:p w14:paraId="4824DA1F"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proofErr w:type="gramStart"/>
            <w:r w:rsidRPr="00587444">
              <w:rPr>
                <w:rFonts w:ascii="Arial" w:hAnsi="Arial" w:cs="Arial"/>
                <w:b/>
                <w:bCs/>
                <w:sz w:val="16"/>
                <w:szCs w:val="16"/>
                <w:lang w:val="en-GB"/>
              </w:rPr>
              <w:t>At</w:t>
            </w:r>
            <w:proofErr w:type="gramEnd"/>
            <w:r w:rsidRPr="00587444">
              <w:rPr>
                <w:rFonts w:ascii="Arial" w:hAnsi="Arial" w:cs="Arial"/>
                <w:b/>
                <w:bCs/>
                <w:sz w:val="16"/>
                <w:szCs w:val="16"/>
                <w:lang w:val="en-GB"/>
              </w:rPr>
              <w:t xml:space="preserve"> 31 December 2020</w:t>
            </w:r>
          </w:p>
        </w:tc>
        <w:tc>
          <w:tcPr>
            <w:tcW w:w="552" w:type="pct"/>
            <w:tcBorders>
              <w:left w:val="nil"/>
              <w:right w:val="nil"/>
            </w:tcBorders>
            <w:shd w:val="clear" w:color="auto" w:fill="auto"/>
            <w:vAlign w:val="bottom"/>
          </w:tcPr>
          <w:p w14:paraId="48D0B5E5"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77,102</w:t>
            </w:r>
          </w:p>
        </w:tc>
        <w:tc>
          <w:tcPr>
            <w:tcW w:w="582" w:type="pct"/>
            <w:tcBorders>
              <w:left w:val="nil"/>
              <w:right w:val="nil"/>
            </w:tcBorders>
            <w:shd w:val="clear" w:color="auto" w:fill="auto"/>
            <w:vAlign w:val="bottom"/>
          </w:tcPr>
          <w:p w14:paraId="09DEFBD8"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9,480</w:t>
            </w:r>
          </w:p>
        </w:tc>
        <w:tc>
          <w:tcPr>
            <w:tcW w:w="551" w:type="pct"/>
            <w:tcBorders>
              <w:left w:val="nil"/>
              <w:right w:val="nil"/>
            </w:tcBorders>
            <w:shd w:val="clear" w:color="auto" w:fill="auto"/>
            <w:vAlign w:val="bottom"/>
          </w:tcPr>
          <w:p w14:paraId="4A70454A"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13,547</w:t>
            </w:r>
          </w:p>
        </w:tc>
        <w:tc>
          <w:tcPr>
            <w:tcW w:w="551" w:type="pct"/>
            <w:tcBorders>
              <w:left w:val="nil"/>
              <w:right w:val="nil"/>
            </w:tcBorders>
            <w:shd w:val="clear" w:color="auto" w:fill="auto"/>
            <w:vAlign w:val="bottom"/>
          </w:tcPr>
          <w:p w14:paraId="501F0E16"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49</w:t>
            </w:r>
          </w:p>
        </w:tc>
        <w:tc>
          <w:tcPr>
            <w:tcW w:w="551" w:type="pct"/>
            <w:tcBorders>
              <w:left w:val="nil"/>
              <w:right w:val="nil"/>
            </w:tcBorders>
            <w:shd w:val="clear" w:color="auto" w:fill="auto"/>
            <w:vAlign w:val="bottom"/>
          </w:tcPr>
          <w:p w14:paraId="526C328A"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100,178</w:t>
            </w:r>
          </w:p>
        </w:tc>
        <w:tc>
          <w:tcPr>
            <w:tcW w:w="551" w:type="pct"/>
            <w:tcBorders>
              <w:left w:val="nil"/>
              <w:right w:val="nil"/>
            </w:tcBorders>
            <w:shd w:val="clear" w:color="auto" w:fill="auto"/>
            <w:vAlign w:val="bottom"/>
          </w:tcPr>
          <w:p w14:paraId="1BDBBC17"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36,191</w:t>
            </w:r>
          </w:p>
        </w:tc>
        <w:tc>
          <w:tcPr>
            <w:tcW w:w="494" w:type="pct"/>
            <w:tcBorders>
              <w:left w:val="nil"/>
              <w:right w:val="nil"/>
            </w:tcBorders>
            <w:shd w:val="clear" w:color="auto" w:fill="auto"/>
            <w:vAlign w:val="bottom"/>
          </w:tcPr>
          <w:p w14:paraId="57CB7DAB"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136,369</w:t>
            </w:r>
          </w:p>
        </w:tc>
      </w:tr>
      <w:tr w:rsidR="00587444" w:rsidRPr="00587444" w14:paraId="074B192D" w14:textId="77777777" w:rsidTr="00DD69E7">
        <w:trPr>
          <w:trHeight w:val="324"/>
        </w:trPr>
        <w:tc>
          <w:tcPr>
            <w:tcW w:w="1166" w:type="pct"/>
            <w:vAlign w:val="bottom"/>
          </w:tcPr>
          <w:p w14:paraId="1DFB88D7" w14:textId="77777777" w:rsidR="00587444" w:rsidRPr="00587444" w:rsidRDefault="00587444" w:rsidP="00587444">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Additions</w:t>
            </w:r>
          </w:p>
        </w:tc>
        <w:tc>
          <w:tcPr>
            <w:tcW w:w="552" w:type="pct"/>
            <w:tcBorders>
              <w:top w:val="nil"/>
              <w:left w:val="nil"/>
              <w:bottom w:val="nil"/>
              <w:right w:val="nil"/>
            </w:tcBorders>
            <w:shd w:val="clear" w:color="auto" w:fill="auto"/>
            <w:vAlign w:val="bottom"/>
          </w:tcPr>
          <w:p w14:paraId="55BD5CC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  </w:t>
            </w:r>
          </w:p>
        </w:tc>
        <w:tc>
          <w:tcPr>
            <w:tcW w:w="582" w:type="pct"/>
            <w:tcBorders>
              <w:top w:val="nil"/>
              <w:left w:val="nil"/>
              <w:bottom w:val="nil"/>
              <w:right w:val="nil"/>
            </w:tcBorders>
            <w:shd w:val="clear" w:color="auto" w:fill="auto"/>
            <w:vAlign w:val="bottom"/>
          </w:tcPr>
          <w:p w14:paraId="5C9DDCE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  </w:t>
            </w:r>
          </w:p>
        </w:tc>
        <w:tc>
          <w:tcPr>
            <w:tcW w:w="551" w:type="pct"/>
            <w:tcBorders>
              <w:top w:val="nil"/>
              <w:left w:val="nil"/>
              <w:bottom w:val="nil"/>
              <w:right w:val="nil"/>
            </w:tcBorders>
            <w:shd w:val="clear" w:color="auto" w:fill="auto"/>
            <w:vAlign w:val="bottom"/>
          </w:tcPr>
          <w:p w14:paraId="2F300E6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  </w:t>
            </w:r>
          </w:p>
        </w:tc>
        <w:tc>
          <w:tcPr>
            <w:tcW w:w="551" w:type="pct"/>
            <w:tcBorders>
              <w:top w:val="nil"/>
              <w:left w:val="nil"/>
              <w:bottom w:val="nil"/>
              <w:right w:val="nil"/>
            </w:tcBorders>
            <w:shd w:val="clear" w:color="auto" w:fill="auto"/>
            <w:vAlign w:val="bottom"/>
          </w:tcPr>
          <w:p w14:paraId="61A5CE7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5,912 </w:t>
            </w:r>
          </w:p>
        </w:tc>
        <w:tc>
          <w:tcPr>
            <w:tcW w:w="551" w:type="pct"/>
            <w:tcBorders>
              <w:top w:val="nil"/>
              <w:left w:val="nil"/>
              <w:bottom w:val="nil"/>
              <w:right w:val="nil"/>
            </w:tcBorders>
            <w:shd w:val="clear" w:color="auto" w:fill="auto"/>
            <w:vAlign w:val="bottom"/>
          </w:tcPr>
          <w:p w14:paraId="30EDF8B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5,912 </w:t>
            </w:r>
          </w:p>
        </w:tc>
        <w:tc>
          <w:tcPr>
            <w:tcW w:w="551" w:type="pct"/>
            <w:tcBorders>
              <w:top w:val="nil"/>
              <w:left w:val="nil"/>
              <w:bottom w:val="nil"/>
              <w:right w:val="nil"/>
            </w:tcBorders>
            <w:shd w:val="clear" w:color="auto" w:fill="auto"/>
            <w:vAlign w:val="bottom"/>
          </w:tcPr>
          <w:p w14:paraId="346BE77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 </w:t>
            </w:r>
          </w:p>
        </w:tc>
        <w:tc>
          <w:tcPr>
            <w:tcW w:w="494" w:type="pct"/>
            <w:tcBorders>
              <w:top w:val="nil"/>
              <w:left w:val="nil"/>
              <w:bottom w:val="nil"/>
              <w:right w:val="nil"/>
            </w:tcBorders>
            <w:shd w:val="clear" w:color="auto" w:fill="auto"/>
            <w:vAlign w:val="bottom"/>
          </w:tcPr>
          <w:p w14:paraId="2A9A94C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5,912 </w:t>
            </w:r>
          </w:p>
        </w:tc>
      </w:tr>
      <w:tr w:rsidR="00587444" w:rsidRPr="00587444" w14:paraId="6DFB35CD" w14:textId="77777777" w:rsidTr="00DD69E7">
        <w:trPr>
          <w:trHeight w:val="512"/>
        </w:trPr>
        <w:tc>
          <w:tcPr>
            <w:tcW w:w="1166" w:type="pct"/>
            <w:vAlign w:val="bottom"/>
          </w:tcPr>
          <w:p w14:paraId="67117643" w14:textId="77777777" w:rsidR="00587444" w:rsidRPr="00587444" w:rsidRDefault="00587444" w:rsidP="00587444">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Transfer from assets not ready for use</w:t>
            </w:r>
            <w:r w:rsidRPr="00587444" w:rsidDel="004F4367">
              <w:rPr>
                <w:rFonts w:ascii="Arial" w:hAnsi="Arial" w:cs="Arial"/>
                <w:sz w:val="16"/>
                <w:szCs w:val="16"/>
                <w:lang w:val="en-GB"/>
              </w:rPr>
              <w:t xml:space="preserve"> </w:t>
            </w:r>
          </w:p>
        </w:tc>
        <w:tc>
          <w:tcPr>
            <w:tcW w:w="552" w:type="pct"/>
            <w:tcBorders>
              <w:top w:val="nil"/>
              <w:left w:val="nil"/>
              <w:right w:val="nil"/>
            </w:tcBorders>
            <w:shd w:val="clear" w:color="auto" w:fill="auto"/>
            <w:vAlign w:val="bottom"/>
          </w:tcPr>
          <w:p w14:paraId="23F2DAE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  </w:t>
            </w:r>
          </w:p>
        </w:tc>
        <w:tc>
          <w:tcPr>
            <w:tcW w:w="582" w:type="pct"/>
            <w:tcBorders>
              <w:top w:val="nil"/>
              <w:left w:val="nil"/>
              <w:right w:val="nil"/>
            </w:tcBorders>
            <w:shd w:val="clear" w:color="auto" w:fill="auto"/>
            <w:vAlign w:val="bottom"/>
          </w:tcPr>
          <w:p w14:paraId="36C4C5B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3,919 </w:t>
            </w:r>
          </w:p>
        </w:tc>
        <w:tc>
          <w:tcPr>
            <w:tcW w:w="551" w:type="pct"/>
            <w:tcBorders>
              <w:top w:val="nil"/>
              <w:left w:val="nil"/>
              <w:right w:val="nil"/>
            </w:tcBorders>
            <w:shd w:val="clear" w:color="auto" w:fill="auto"/>
            <w:vAlign w:val="bottom"/>
          </w:tcPr>
          <w:p w14:paraId="35E178E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40 </w:t>
            </w:r>
          </w:p>
        </w:tc>
        <w:tc>
          <w:tcPr>
            <w:tcW w:w="551" w:type="pct"/>
            <w:tcBorders>
              <w:top w:val="nil"/>
              <w:left w:val="nil"/>
              <w:right w:val="nil"/>
            </w:tcBorders>
            <w:shd w:val="clear" w:color="auto" w:fill="auto"/>
            <w:vAlign w:val="bottom"/>
          </w:tcPr>
          <w:p w14:paraId="25E8596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(5,906)</w:t>
            </w:r>
          </w:p>
        </w:tc>
        <w:tc>
          <w:tcPr>
            <w:tcW w:w="551" w:type="pct"/>
            <w:tcBorders>
              <w:top w:val="nil"/>
              <w:left w:val="nil"/>
              <w:right w:val="nil"/>
            </w:tcBorders>
            <w:shd w:val="clear" w:color="auto" w:fill="auto"/>
            <w:vAlign w:val="bottom"/>
          </w:tcPr>
          <w:p w14:paraId="5DBAF80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(1,947)</w:t>
            </w:r>
          </w:p>
        </w:tc>
        <w:tc>
          <w:tcPr>
            <w:tcW w:w="551" w:type="pct"/>
            <w:tcBorders>
              <w:top w:val="nil"/>
              <w:left w:val="nil"/>
              <w:right w:val="nil"/>
            </w:tcBorders>
            <w:shd w:val="clear" w:color="auto" w:fill="auto"/>
            <w:vAlign w:val="bottom"/>
          </w:tcPr>
          <w:p w14:paraId="68C9C0B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1,947 </w:t>
            </w:r>
          </w:p>
        </w:tc>
        <w:tc>
          <w:tcPr>
            <w:tcW w:w="494" w:type="pct"/>
            <w:tcBorders>
              <w:top w:val="nil"/>
              <w:left w:val="nil"/>
              <w:right w:val="nil"/>
            </w:tcBorders>
            <w:shd w:val="clear" w:color="auto" w:fill="auto"/>
            <w:vAlign w:val="bottom"/>
          </w:tcPr>
          <w:p w14:paraId="1EF311B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 </w:t>
            </w:r>
          </w:p>
        </w:tc>
      </w:tr>
      <w:tr w:rsidR="00587444" w:rsidRPr="00587444" w14:paraId="2D8D3E54" w14:textId="77777777" w:rsidTr="00DD69E7">
        <w:trPr>
          <w:trHeight w:val="324"/>
        </w:trPr>
        <w:tc>
          <w:tcPr>
            <w:tcW w:w="1166" w:type="pct"/>
            <w:vAlign w:val="bottom"/>
          </w:tcPr>
          <w:p w14:paraId="594BECA3" w14:textId="77777777" w:rsidR="00587444" w:rsidRPr="00587444" w:rsidRDefault="00587444" w:rsidP="00587444">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Disposals and write-offs</w:t>
            </w:r>
          </w:p>
        </w:tc>
        <w:tc>
          <w:tcPr>
            <w:tcW w:w="552" w:type="pct"/>
            <w:tcBorders>
              <w:left w:val="nil"/>
              <w:bottom w:val="single" w:sz="4" w:space="0" w:color="auto"/>
              <w:right w:val="nil"/>
            </w:tcBorders>
            <w:shd w:val="clear" w:color="auto" w:fill="auto"/>
            <w:vAlign w:val="bottom"/>
          </w:tcPr>
          <w:p w14:paraId="50C20A19"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  </w:t>
            </w:r>
          </w:p>
        </w:tc>
        <w:tc>
          <w:tcPr>
            <w:tcW w:w="582" w:type="pct"/>
            <w:tcBorders>
              <w:left w:val="nil"/>
              <w:bottom w:val="single" w:sz="4" w:space="0" w:color="auto"/>
              <w:right w:val="nil"/>
            </w:tcBorders>
            <w:shd w:val="clear" w:color="auto" w:fill="auto"/>
            <w:vAlign w:val="bottom"/>
          </w:tcPr>
          <w:p w14:paraId="3F0A359A"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(198)</w:t>
            </w:r>
          </w:p>
        </w:tc>
        <w:tc>
          <w:tcPr>
            <w:tcW w:w="551" w:type="pct"/>
            <w:tcBorders>
              <w:left w:val="nil"/>
              <w:bottom w:val="single" w:sz="4" w:space="0" w:color="auto"/>
              <w:right w:val="nil"/>
            </w:tcBorders>
            <w:shd w:val="clear" w:color="auto" w:fill="auto"/>
            <w:vAlign w:val="bottom"/>
          </w:tcPr>
          <w:p w14:paraId="05B72A98"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(1,267)</w:t>
            </w:r>
          </w:p>
        </w:tc>
        <w:tc>
          <w:tcPr>
            <w:tcW w:w="551" w:type="pct"/>
            <w:tcBorders>
              <w:left w:val="nil"/>
              <w:bottom w:val="single" w:sz="4" w:space="0" w:color="auto"/>
              <w:right w:val="nil"/>
            </w:tcBorders>
            <w:shd w:val="clear" w:color="auto" w:fill="auto"/>
            <w:vAlign w:val="bottom"/>
          </w:tcPr>
          <w:p w14:paraId="5EE9ADEF"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color w:val="000000"/>
                <w:sz w:val="16"/>
                <w:szCs w:val="16"/>
                <w:lang w:val="hr-HR"/>
              </w:rPr>
              <w:t>-</w:t>
            </w:r>
          </w:p>
        </w:tc>
        <w:tc>
          <w:tcPr>
            <w:tcW w:w="551" w:type="pct"/>
            <w:tcBorders>
              <w:left w:val="nil"/>
              <w:bottom w:val="single" w:sz="4" w:space="0" w:color="auto"/>
              <w:right w:val="nil"/>
            </w:tcBorders>
            <w:shd w:val="clear" w:color="auto" w:fill="auto"/>
            <w:vAlign w:val="bottom"/>
          </w:tcPr>
          <w:p w14:paraId="45C283D0"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(1,465)</w:t>
            </w:r>
          </w:p>
        </w:tc>
        <w:tc>
          <w:tcPr>
            <w:tcW w:w="551" w:type="pct"/>
            <w:tcBorders>
              <w:left w:val="nil"/>
              <w:bottom w:val="single" w:sz="4" w:space="0" w:color="auto"/>
              <w:right w:val="nil"/>
            </w:tcBorders>
            <w:shd w:val="clear" w:color="auto" w:fill="auto"/>
            <w:vAlign w:val="bottom"/>
          </w:tcPr>
          <w:p w14:paraId="5247A22C"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(3,337)</w:t>
            </w:r>
          </w:p>
        </w:tc>
        <w:tc>
          <w:tcPr>
            <w:tcW w:w="494" w:type="pct"/>
            <w:tcBorders>
              <w:left w:val="nil"/>
              <w:bottom w:val="single" w:sz="4" w:space="0" w:color="auto"/>
              <w:right w:val="nil"/>
            </w:tcBorders>
            <w:shd w:val="clear" w:color="auto" w:fill="auto"/>
            <w:vAlign w:val="bottom"/>
          </w:tcPr>
          <w:p w14:paraId="21254322"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(4,802)</w:t>
            </w:r>
          </w:p>
        </w:tc>
      </w:tr>
      <w:tr w:rsidR="00587444" w:rsidRPr="00587444" w14:paraId="72EC58AA" w14:textId="77777777" w:rsidTr="00DD69E7">
        <w:trPr>
          <w:trHeight w:val="364"/>
        </w:trPr>
        <w:tc>
          <w:tcPr>
            <w:tcW w:w="1166" w:type="pct"/>
            <w:vAlign w:val="bottom"/>
          </w:tcPr>
          <w:p w14:paraId="1E9CE13A"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proofErr w:type="gramStart"/>
            <w:r w:rsidRPr="00587444">
              <w:rPr>
                <w:rFonts w:ascii="Arial" w:hAnsi="Arial" w:cs="Arial"/>
                <w:b/>
                <w:bCs/>
                <w:sz w:val="16"/>
                <w:szCs w:val="16"/>
                <w:lang w:val="en-GB"/>
              </w:rPr>
              <w:t>At</w:t>
            </w:r>
            <w:proofErr w:type="gramEnd"/>
            <w:r w:rsidRPr="00587444">
              <w:rPr>
                <w:rFonts w:ascii="Arial" w:hAnsi="Arial" w:cs="Arial"/>
                <w:b/>
                <w:bCs/>
                <w:sz w:val="16"/>
                <w:szCs w:val="16"/>
                <w:lang w:val="en-GB"/>
              </w:rPr>
              <w:t xml:space="preserve"> 31 December 2021</w:t>
            </w:r>
          </w:p>
        </w:tc>
        <w:tc>
          <w:tcPr>
            <w:tcW w:w="552" w:type="pct"/>
            <w:tcBorders>
              <w:top w:val="single" w:sz="4" w:space="0" w:color="auto"/>
              <w:left w:val="nil"/>
              <w:bottom w:val="single" w:sz="12" w:space="0" w:color="auto"/>
              <w:right w:val="nil"/>
            </w:tcBorders>
            <w:shd w:val="clear" w:color="auto" w:fill="auto"/>
            <w:vAlign w:val="bottom"/>
          </w:tcPr>
          <w:p w14:paraId="03793734"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77,102 </w:t>
            </w:r>
          </w:p>
        </w:tc>
        <w:tc>
          <w:tcPr>
            <w:tcW w:w="582" w:type="pct"/>
            <w:tcBorders>
              <w:top w:val="single" w:sz="4" w:space="0" w:color="auto"/>
              <w:left w:val="nil"/>
              <w:bottom w:val="single" w:sz="12" w:space="0" w:color="auto"/>
              <w:right w:val="nil"/>
            </w:tcBorders>
            <w:shd w:val="clear" w:color="auto" w:fill="auto"/>
            <w:vAlign w:val="bottom"/>
          </w:tcPr>
          <w:p w14:paraId="5C478428"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13,201 </w:t>
            </w:r>
          </w:p>
        </w:tc>
        <w:tc>
          <w:tcPr>
            <w:tcW w:w="551" w:type="pct"/>
            <w:tcBorders>
              <w:top w:val="single" w:sz="4" w:space="0" w:color="auto"/>
              <w:left w:val="nil"/>
              <w:bottom w:val="single" w:sz="12" w:space="0" w:color="auto"/>
              <w:right w:val="nil"/>
            </w:tcBorders>
            <w:shd w:val="clear" w:color="auto" w:fill="auto"/>
            <w:vAlign w:val="bottom"/>
          </w:tcPr>
          <w:p w14:paraId="3EA5CA33"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12,320 </w:t>
            </w:r>
          </w:p>
        </w:tc>
        <w:tc>
          <w:tcPr>
            <w:tcW w:w="551" w:type="pct"/>
            <w:tcBorders>
              <w:top w:val="single" w:sz="4" w:space="0" w:color="auto"/>
              <w:left w:val="nil"/>
              <w:bottom w:val="single" w:sz="12" w:space="0" w:color="auto"/>
              <w:right w:val="nil"/>
            </w:tcBorders>
            <w:shd w:val="clear" w:color="auto" w:fill="auto"/>
            <w:vAlign w:val="bottom"/>
          </w:tcPr>
          <w:p w14:paraId="794ACDEE"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55 </w:t>
            </w:r>
          </w:p>
        </w:tc>
        <w:tc>
          <w:tcPr>
            <w:tcW w:w="551" w:type="pct"/>
            <w:tcBorders>
              <w:top w:val="single" w:sz="4" w:space="0" w:color="auto"/>
              <w:left w:val="nil"/>
              <w:bottom w:val="single" w:sz="12" w:space="0" w:color="auto"/>
              <w:right w:val="nil"/>
            </w:tcBorders>
            <w:shd w:val="clear" w:color="auto" w:fill="auto"/>
            <w:vAlign w:val="bottom"/>
          </w:tcPr>
          <w:p w14:paraId="45CB27A2"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102,678 </w:t>
            </w:r>
          </w:p>
        </w:tc>
        <w:tc>
          <w:tcPr>
            <w:tcW w:w="551" w:type="pct"/>
            <w:tcBorders>
              <w:top w:val="single" w:sz="4" w:space="0" w:color="auto"/>
              <w:left w:val="nil"/>
              <w:bottom w:val="single" w:sz="12" w:space="0" w:color="auto"/>
              <w:right w:val="nil"/>
            </w:tcBorders>
            <w:shd w:val="clear" w:color="auto" w:fill="auto"/>
            <w:vAlign w:val="bottom"/>
          </w:tcPr>
          <w:p w14:paraId="1DBC5B94"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34,801 </w:t>
            </w:r>
          </w:p>
        </w:tc>
        <w:tc>
          <w:tcPr>
            <w:tcW w:w="494" w:type="pct"/>
            <w:tcBorders>
              <w:top w:val="single" w:sz="4" w:space="0" w:color="auto"/>
              <w:left w:val="nil"/>
              <w:bottom w:val="single" w:sz="12" w:space="0" w:color="auto"/>
              <w:right w:val="nil"/>
            </w:tcBorders>
            <w:shd w:val="clear" w:color="auto" w:fill="auto"/>
            <w:vAlign w:val="bottom"/>
          </w:tcPr>
          <w:p w14:paraId="5E11FB8E"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137,479 </w:t>
            </w:r>
          </w:p>
        </w:tc>
      </w:tr>
      <w:tr w:rsidR="00587444" w:rsidRPr="00587444" w14:paraId="0A3ACE39" w14:textId="77777777" w:rsidTr="00DD69E7">
        <w:trPr>
          <w:trHeight w:val="351"/>
        </w:trPr>
        <w:tc>
          <w:tcPr>
            <w:tcW w:w="1166" w:type="pct"/>
            <w:vAlign w:val="bottom"/>
          </w:tcPr>
          <w:p w14:paraId="7012690B"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Accumulated depreciation and write-off</w:t>
            </w:r>
          </w:p>
        </w:tc>
        <w:tc>
          <w:tcPr>
            <w:tcW w:w="552" w:type="pct"/>
            <w:tcBorders>
              <w:top w:val="single" w:sz="12" w:space="0" w:color="auto"/>
            </w:tcBorders>
            <w:vAlign w:val="bottom"/>
          </w:tcPr>
          <w:p w14:paraId="0D54AB6F"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582" w:type="pct"/>
            <w:tcBorders>
              <w:top w:val="single" w:sz="12" w:space="0" w:color="auto"/>
            </w:tcBorders>
            <w:vAlign w:val="bottom"/>
          </w:tcPr>
          <w:p w14:paraId="04416C1D"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551" w:type="pct"/>
            <w:tcBorders>
              <w:top w:val="single" w:sz="12" w:space="0" w:color="auto"/>
            </w:tcBorders>
            <w:vAlign w:val="bottom"/>
          </w:tcPr>
          <w:p w14:paraId="5CDD3D25"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551" w:type="pct"/>
            <w:tcBorders>
              <w:top w:val="single" w:sz="12" w:space="0" w:color="auto"/>
            </w:tcBorders>
            <w:vAlign w:val="bottom"/>
          </w:tcPr>
          <w:p w14:paraId="2E7F9F84"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551" w:type="pct"/>
            <w:tcBorders>
              <w:top w:val="single" w:sz="12" w:space="0" w:color="auto"/>
            </w:tcBorders>
            <w:vAlign w:val="bottom"/>
          </w:tcPr>
          <w:p w14:paraId="71175415"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551" w:type="pct"/>
            <w:tcBorders>
              <w:top w:val="single" w:sz="12" w:space="0" w:color="auto"/>
            </w:tcBorders>
            <w:vAlign w:val="bottom"/>
          </w:tcPr>
          <w:p w14:paraId="27018E42"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c>
          <w:tcPr>
            <w:tcW w:w="494" w:type="pct"/>
            <w:tcBorders>
              <w:top w:val="single" w:sz="12" w:space="0" w:color="auto"/>
            </w:tcBorders>
            <w:vAlign w:val="bottom"/>
          </w:tcPr>
          <w:p w14:paraId="01BB51B9"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p>
        </w:tc>
      </w:tr>
      <w:tr w:rsidR="00587444" w:rsidRPr="00587444" w14:paraId="77F98486" w14:textId="77777777" w:rsidTr="00DD69E7">
        <w:trPr>
          <w:trHeight w:val="364"/>
        </w:trPr>
        <w:tc>
          <w:tcPr>
            <w:tcW w:w="1166" w:type="pct"/>
            <w:vAlign w:val="bottom"/>
          </w:tcPr>
          <w:p w14:paraId="0D06140A"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proofErr w:type="gramStart"/>
            <w:r w:rsidRPr="00587444">
              <w:rPr>
                <w:rFonts w:ascii="Arial" w:hAnsi="Arial" w:cs="Arial"/>
                <w:b/>
                <w:bCs/>
                <w:sz w:val="16"/>
                <w:szCs w:val="16"/>
                <w:lang w:val="en-GB"/>
              </w:rPr>
              <w:t>At</w:t>
            </w:r>
            <w:proofErr w:type="gramEnd"/>
            <w:r w:rsidRPr="00587444">
              <w:rPr>
                <w:rFonts w:ascii="Arial" w:hAnsi="Arial" w:cs="Arial"/>
                <w:b/>
                <w:bCs/>
                <w:sz w:val="16"/>
                <w:szCs w:val="16"/>
                <w:lang w:val="en-GB"/>
              </w:rPr>
              <w:t xml:space="preserve"> 31 December 2020</w:t>
            </w:r>
          </w:p>
        </w:tc>
        <w:tc>
          <w:tcPr>
            <w:tcW w:w="552" w:type="pct"/>
            <w:tcBorders>
              <w:top w:val="nil"/>
              <w:left w:val="nil"/>
              <w:bottom w:val="nil"/>
              <w:right w:val="nil"/>
            </w:tcBorders>
            <w:shd w:val="clear" w:color="auto" w:fill="auto"/>
            <w:vAlign w:val="bottom"/>
          </w:tcPr>
          <w:p w14:paraId="3D3B7800"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40,528</w:t>
            </w:r>
          </w:p>
        </w:tc>
        <w:tc>
          <w:tcPr>
            <w:tcW w:w="582" w:type="pct"/>
            <w:tcBorders>
              <w:top w:val="nil"/>
              <w:left w:val="nil"/>
              <w:bottom w:val="nil"/>
              <w:right w:val="nil"/>
            </w:tcBorders>
            <w:shd w:val="clear" w:color="auto" w:fill="auto"/>
            <w:vAlign w:val="bottom"/>
          </w:tcPr>
          <w:p w14:paraId="2D77614F"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9,051</w:t>
            </w:r>
          </w:p>
        </w:tc>
        <w:tc>
          <w:tcPr>
            <w:tcW w:w="551" w:type="pct"/>
            <w:tcBorders>
              <w:top w:val="nil"/>
              <w:left w:val="nil"/>
              <w:bottom w:val="nil"/>
              <w:right w:val="nil"/>
            </w:tcBorders>
            <w:shd w:val="clear" w:color="auto" w:fill="auto"/>
            <w:vAlign w:val="bottom"/>
          </w:tcPr>
          <w:p w14:paraId="57DCE751"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11,251</w:t>
            </w:r>
          </w:p>
        </w:tc>
        <w:tc>
          <w:tcPr>
            <w:tcW w:w="551" w:type="pct"/>
            <w:tcBorders>
              <w:top w:val="nil"/>
              <w:left w:val="nil"/>
              <w:bottom w:val="nil"/>
              <w:right w:val="nil"/>
            </w:tcBorders>
            <w:shd w:val="clear" w:color="auto" w:fill="auto"/>
            <w:vAlign w:val="bottom"/>
          </w:tcPr>
          <w:p w14:paraId="50A3038A"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w:t>
            </w:r>
          </w:p>
        </w:tc>
        <w:tc>
          <w:tcPr>
            <w:tcW w:w="551" w:type="pct"/>
            <w:tcBorders>
              <w:top w:val="nil"/>
              <w:left w:val="nil"/>
              <w:bottom w:val="nil"/>
              <w:right w:val="nil"/>
            </w:tcBorders>
            <w:shd w:val="clear" w:color="auto" w:fill="auto"/>
            <w:vAlign w:val="bottom"/>
          </w:tcPr>
          <w:p w14:paraId="18CB9B4E"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60,830</w:t>
            </w:r>
          </w:p>
        </w:tc>
        <w:tc>
          <w:tcPr>
            <w:tcW w:w="551" w:type="pct"/>
            <w:tcBorders>
              <w:top w:val="nil"/>
              <w:left w:val="nil"/>
              <w:bottom w:val="nil"/>
              <w:right w:val="nil"/>
            </w:tcBorders>
            <w:shd w:val="clear" w:color="auto" w:fill="auto"/>
            <w:vAlign w:val="bottom"/>
          </w:tcPr>
          <w:p w14:paraId="5611AE77"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29,947</w:t>
            </w:r>
          </w:p>
        </w:tc>
        <w:tc>
          <w:tcPr>
            <w:tcW w:w="494" w:type="pct"/>
            <w:tcBorders>
              <w:top w:val="nil"/>
              <w:left w:val="nil"/>
              <w:bottom w:val="nil"/>
              <w:right w:val="nil"/>
            </w:tcBorders>
            <w:shd w:val="clear" w:color="auto" w:fill="auto"/>
            <w:vAlign w:val="bottom"/>
          </w:tcPr>
          <w:p w14:paraId="7F5EEEBB"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90,777</w:t>
            </w:r>
          </w:p>
        </w:tc>
      </w:tr>
      <w:tr w:rsidR="00587444" w:rsidRPr="00587444" w14:paraId="399C991A" w14:textId="77777777" w:rsidTr="00DD69E7">
        <w:trPr>
          <w:trHeight w:val="324"/>
        </w:trPr>
        <w:tc>
          <w:tcPr>
            <w:tcW w:w="1166" w:type="pct"/>
            <w:vAlign w:val="bottom"/>
          </w:tcPr>
          <w:p w14:paraId="3A5E0DFA" w14:textId="77777777" w:rsidR="00587444" w:rsidRPr="00587444" w:rsidRDefault="00587444" w:rsidP="00587444">
            <w:pPr>
              <w:tabs>
                <w:tab w:val="right" w:pos="1202"/>
              </w:tabs>
              <w:suppressAutoHyphens w:val="0"/>
              <w:autoSpaceDN/>
              <w:spacing w:line="240" w:lineRule="exact"/>
              <w:outlineLvl w:val="0"/>
              <w:rPr>
                <w:rFonts w:ascii="Arial" w:hAnsi="Arial" w:cs="Arial"/>
                <w:bCs/>
                <w:sz w:val="16"/>
                <w:szCs w:val="16"/>
                <w:lang w:val="en-GB"/>
              </w:rPr>
            </w:pPr>
            <w:r w:rsidRPr="00587444">
              <w:rPr>
                <w:rFonts w:ascii="Arial" w:hAnsi="Arial" w:cs="Arial"/>
                <w:bCs/>
                <w:sz w:val="16"/>
                <w:szCs w:val="16"/>
                <w:lang w:val="en-GB"/>
              </w:rPr>
              <w:t>Depreciation for 2021</w:t>
            </w:r>
          </w:p>
        </w:tc>
        <w:tc>
          <w:tcPr>
            <w:tcW w:w="552" w:type="pct"/>
            <w:tcBorders>
              <w:top w:val="nil"/>
              <w:left w:val="nil"/>
              <w:right w:val="nil"/>
            </w:tcBorders>
            <w:shd w:val="clear" w:color="auto" w:fill="auto"/>
            <w:vAlign w:val="bottom"/>
          </w:tcPr>
          <w:p w14:paraId="454B0F0E"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3,855 </w:t>
            </w:r>
          </w:p>
        </w:tc>
        <w:tc>
          <w:tcPr>
            <w:tcW w:w="582" w:type="pct"/>
            <w:tcBorders>
              <w:top w:val="nil"/>
              <w:left w:val="nil"/>
              <w:right w:val="nil"/>
            </w:tcBorders>
            <w:shd w:val="clear" w:color="auto" w:fill="auto"/>
            <w:vAlign w:val="bottom"/>
          </w:tcPr>
          <w:p w14:paraId="6B8D60C1"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2,122 </w:t>
            </w:r>
          </w:p>
        </w:tc>
        <w:tc>
          <w:tcPr>
            <w:tcW w:w="551" w:type="pct"/>
            <w:tcBorders>
              <w:top w:val="nil"/>
              <w:left w:val="nil"/>
              <w:right w:val="nil"/>
            </w:tcBorders>
            <w:shd w:val="clear" w:color="auto" w:fill="auto"/>
            <w:vAlign w:val="bottom"/>
          </w:tcPr>
          <w:p w14:paraId="29C5AFB2"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573 </w:t>
            </w:r>
          </w:p>
        </w:tc>
        <w:tc>
          <w:tcPr>
            <w:tcW w:w="551" w:type="pct"/>
            <w:tcBorders>
              <w:top w:val="nil"/>
              <w:left w:val="nil"/>
              <w:right w:val="nil"/>
            </w:tcBorders>
            <w:shd w:val="clear" w:color="auto" w:fill="auto"/>
            <w:vAlign w:val="bottom"/>
          </w:tcPr>
          <w:p w14:paraId="1FF20294"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  </w:t>
            </w:r>
          </w:p>
        </w:tc>
        <w:tc>
          <w:tcPr>
            <w:tcW w:w="551" w:type="pct"/>
            <w:tcBorders>
              <w:top w:val="nil"/>
              <w:left w:val="nil"/>
              <w:right w:val="nil"/>
            </w:tcBorders>
            <w:shd w:val="clear" w:color="auto" w:fill="auto"/>
            <w:vAlign w:val="bottom"/>
          </w:tcPr>
          <w:p w14:paraId="2259A31C"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6,550 </w:t>
            </w:r>
          </w:p>
        </w:tc>
        <w:tc>
          <w:tcPr>
            <w:tcW w:w="551" w:type="pct"/>
            <w:tcBorders>
              <w:top w:val="nil"/>
              <w:left w:val="nil"/>
              <w:right w:val="nil"/>
            </w:tcBorders>
            <w:shd w:val="clear" w:color="auto" w:fill="auto"/>
            <w:vAlign w:val="bottom"/>
          </w:tcPr>
          <w:p w14:paraId="63D33D9D"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2,280 </w:t>
            </w:r>
          </w:p>
        </w:tc>
        <w:tc>
          <w:tcPr>
            <w:tcW w:w="494" w:type="pct"/>
            <w:tcBorders>
              <w:top w:val="nil"/>
              <w:left w:val="nil"/>
              <w:right w:val="nil"/>
            </w:tcBorders>
            <w:shd w:val="clear" w:color="auto" w:fill="auto"/>
            <w:vAlign w:val="bottom"/>
          </w:tcPr>
          <w:p w14:paraId="39EFA513"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8,830 </w:t>
            </w:r>
          </w:p>
        </w:tc>
      </w:tr>
      <w:tr w:rsidR="00587444" w:rsidRPr="00587444" w14:paraId="235E32C2" w14:textId="77777777" w:rsidTr="00DD69E7">
        <w:trPr>
          <w:trHeight w:val="324"/>
        </w:trPr>
        <w:tc>
          <w:tcPr>
            <w:tcW w:w="1166" w:type="pct"/>
            <w:vAlign w:val="bottom"/>
          </w:tcPr>
          <w:p w14:paraId="47AA540F" w14:textId="77777777" w:rsidR="00587444" w:rsidRPr="00587444" w:rsidRDefault="00587444" w:rsidP="00587444">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Disposals and write-offs</w:t>
            </w:r>
          </w:p>
        </w:tc>
        <w:tc>
          <w:tcPr>
            <w:tcW w:w="552" w:type="pct"/>
            <w:tcBorders>
              <w:left w:val="nil"/>
              <w:bottom w:val="single" w:sz="4" w:space="0" w:color="auto"/>
              <w:right w:val="nil"/>
            </w:tcBorders>
            <w:shd w:val="clear" w:color="auto" w:fill="auto"/>
            <w:vAlign w:val="bottom"/>
          </w:tcPr>
          <w:p w14:paraId="6C67A694"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  </w:t>
            </w:r>
          </w:p>
        </w:tc>
        <w:tc>
          <w:tcPr>
            <w:tcW w:w="582" w:type="pct"/>
            <w:tcBorders>
              <w:left w:val="nil"/>
              <w:bottom w:val="single" w:sz="4" w:space="0" w:color="auto"/>
              <w:right w:val="nil"/>
            </w:tcBorders>
            <w:shd w:val="clear" w:color="auto" w:fill="auto"/>
            <w:vAlign w:val="bottom"/>
          </w:tcPr>
          <w:p w14:paraId="5F6E6184"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(198)</w:t>
            </w:r>
          </w:p>
        </w:tc>
        <w:tc>
          <w:tcPr>
            <w:tcW w:w="551" w:type="pct"/>
            <w:tcBorders>
              <w:left w:val="nil"/>
              <w:bottom w:val="single" w:sz="4" w:space="0" w:color="auto"/>
              <w:right w:val="nil"/>
            </w:tcBorders>
            <w:shd w:val="clear" w:color="auto" w:fill="auto"/>
            <w:vAlign w:val="bottom"/>
          </w:tcPr>
          <w:p w14:paraId="289FF892"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(1,267)</w:t>
            </w:r>
          </w:p>
        </w:tc>
        <w:tc>
          <w:tcPr>
            <w:tcW w:w="551" w:type="pct"/>
            <w:tcBorders>
              <w:left w:val="nil"/>
              <w:bottom w:val="single" w:sz="4" w:space="0" w:color="auto"/>
              <w:right w:val="nil"/>
            </w:tcBorders>
            <w:shd w:val="clear" w:color="auto" w:fill="auto"/>
            <w:vAlign w:val="bottom"/>
          </w:tcPr>
          <w:p w14:paraId="1C0FB6EF"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  </w:t>
            </w:r>
          </w:p>
        </w:tc>
        <w:tc>
          <w:tcPr>
            <w:tcW w:w="551" w:type="pct"/>
            <w:tcBorders>
              <w:left w:val="nil"/>
              <w:bottom w:val="single" w:sz="4" w:space="0" w:color="auto"/>
              <w:right w:val="nil"/>
            </w:tcBorders>
            <w:shd w:val="clear" w:color="auto" w:fill="auto"/>
            <w:vAlign w:val="bottom"/>
          </w:tcPr>
          <w:p w14:paraId="21E9A3A7"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(1,465)</w:t>
            </w:r>
          </w:p>
        </w:tc>
        <w:tc>
          <w:tcPr>
            <w:tcW w:w="551" w:type="pct"/>
            <w:tcBorders>
              <w:left w:val="nil"/>
              <w:bottom w:val="single" w:sz="4" w:space="0" w:color="auto"/>
              <w:right w:val="nil"/>
            </w:tcBorders>
            <w:shd w:val="clear" w:color="auto" w:fill="auto"/>
            <w:vAlign w:val="bottom"/>
          </w:tcPr>
          <w:p w14:paraId="1B37F352"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(3,337)</w:t>
            </w:r>
          </w:p>
        </w:tc>
        <w:tc>
          <w:tcPr>
            <w:tcW w:w="494" w:type="pct"/>
            <w:tcBorders>
              <w:left w:val="nil"/>
              <w:bottom w:val="single" w:sz="4" w:space="0" w:color="auto"/>
              <w:right w:val="nil"/>
            </w:tcBorders>
            <w:shd w:val="clear" w:color="auto" w:fill="auto"/>
            <w:vAlign w:val="bottom"/>
          </w:tcPr>
          <w:p w14:paraId="4C7E465D" w14:textId="77777777" w:rsidR="00587444" w:rsidRPr="00587444" w:rsidRDefault="00587444" w:rsidP="00587444">
            <w:pPr>
              <w:suppressAutoHyphens w:val="0"/>
              <w:autoSpaceDN/>
              <w:spacing w:line="301" w:lineRule="exact"/>
              <w:jc w:val="right"/>
              <w:outlineLvl w:val="0"/>
              <w:rPr>
                <w:rFonts w:ascii="Arial" w:hAnsi="Arial" w:cs="Arial"/>
                <w:sz w:val="16"/>
                <w:szCs w:val="16"/>
                <w:lang w:val="hr-HR"/>
              </w:rPr>
            </w:pPr>
            <w:r w:rsidRPr="00587444">
              <w:rPr>
                <w:rFonts w:ascii="Arial" w:hAnsi="Arial" w:cs="Arial"/>
                <w:sz w:val="16"/>
                <w:szCs w:val="16"/>
                <w:lang w:val="en-GB"/>
              </w:rPr>
              <w:t xml:space="preserve"> (4,802)</w:t>
            </w:r>
          </w:p>
        </w:tc>
      </w:tr>
      <w:tr w:rsidR="00587444" w:rsidRPr="00587444" w14:paraId="0883E31B" w14:textId="77777777" w:rsidTr="00DD69E7">
        <w:trPr>
          <w:trHeight w:val="378"/>
        </w:trPr>
        <w:tc>
          <w:tcPr>
            <w:tcW w:w="1166" w:type="pct"/>
            <w:vAlign w:val="bottom"/>
          </w:tcPr>
          <w:p w14:paraId="6FCDEF33"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proofErr w:type="gramStart"/>
            <w:r w:rsidRPr="00587444">
              <w:rPr>
                <w:rFonts w:ascii="Arial" w:hAnsi="Arial" w:cs="Arial"/>
                <w:b/>
                <w:bCs/>
                <w:sz w:val="16"/>
                <w:szCs w:val="16"/>
                <w:lang w:val="en-GB"/>
              </w:rPr>
              <w:t>At</w:t>
            </w:r>
            <w:proofErr w:type="gramEnd"/>
            <w:r w:rsidRPr="00587444">
              <w:rPr>
                <w:rFonts w:ascii="Arial" w:hAnsi="Arial" w:cs="Arial"/>
                <w:b/>
                <w:bCs/>
                <w:sz w:val="16"/>
                <w:szCs w:val="16"/>
                <w:lang w:val="en-GB"/>
              </w:rPr>
              <w:t xml:space="preserve"> 31 December 2021</w:t>
            </w:r>
          </w:p>
        </w:tc>
        <w:tc>
          <w:tcPr>
            <w:tcW w:w="552" w:type="pct"/>
            <w:tcBorders>
              <w:top w:val="single" w:sz="4" w:space="0" w:color="auto"/>
              <w:left w:val="nil"/>
              <w:bottom w:val="single" w:sz="12" w:space="0" w:color="auto"/>
              <w:right w:val="nil"/>
            </w:tcBorders>
            <w:shd w:val="clear" w:color="auto" w:fill="auto"/>
            <w:vAlign w:val="bottom"/>
          </w:tcPr>
          <w:p w14:paraId="4A5E769B"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44,383 </w:t>
            </w:r>
          </w:p>
        </w:tc>
        <w:tc>
          <w:tcPr>
            <w:tcW w:w="582" w:type="pct"/>
            <w:tcBorders>
              <w:top w:val="single" w:sz="4" w:space="0" w:color="auto"/>
              <w:left w:val="nil"/>
              <w:bottom w:val="single" w:sz="12" w:space="0" w:color="auto"/>
              <w:right w:val="nil"/>
            </w:tcBorders>
            <w:shd w:val="clear" w:color="auto" w:fill="auto"/>
            <w:vAlign w:val="bottom"/>
          </w:tcPr>
          <w:p w14:paraId="24F8F48C"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10,975</w:t>
            </w:r>
          </w:p>
        </w:tc>
        <w:tc>
          <w:tcPr>
            <w:tcW w:w="551" w:type="pct"/>
            <w:tcBorders>
              <w:top w:val="single" w:sz="4" w:space="0" w:color="auto"/>
              <w:left w:val="nil"/>
              <w:bottom w:val="single" w:sz="12" w:space="0" w:color="auto"/>
              <w:right w:val="nil"/>
            </w:tcBorders>
            <w:shd w:val="clear" w:color="auto" w:fill="auto"/>
            <w:vAlign w:val="bottom"/>
          </w:tcPr>
          <w:p w14:paraId="7DCA6956"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10,557 </w:t>
            </w:r>
          </w:p>
        </w:tc>
        <w:tc>
          <w:tcPr>
            <w:tcW w:w="551" w:type="pct"/>
            <w:tcBorders>
              <w:top w:val="single" w:sz="4" w:space="0" w:color="auto"/>
              <w:left w:val="nil"/>
              <w:bottom w:val="single" w:sz="12" w:space="0" w:color="auto"/>
              <w:right w:val="nil"/>
            </w:tcBorders>
            <w:shd w:val="clear" w:color="auto" w:fill="auto"/>
            <w:vAlign w:val="bottom"/>
          </w:tcPr>
          <w:p w14:paraId="5937F736"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 </w:t>
            </w:r>
          </w:p>
        </w:tc>
        <w:tc>
          <w:tcPr>
            <w:tcW w:w="551" w:type="pct"/>
            <w:tcBorders>
              <w:top w:val="single" w:sz="4" w:space="0" w:color="auto"/>
              <w:left w:val="nil"/>
              <w:bottom w:val="single" w:sz="12" w:space="0" w:color="auto"/>
              <w:right w:val="nil"/>
            </w:tcBorders>
            <w:shd w:val="clear" w:color="auto" w:fill="auto"/>
            <w:vAlign w:val="bottom"/>
          </w:tcPr>
          <w:p w14:paraId="5313ACE8"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65,915 </w:t>
            </w:r>
          </w:p>
        </w:tc>
        <w:tc>
          <w:tcPr>
            <w:tcW w:w="551" w:type="pct"/>
            <w:tcBorders>
              <w:top w:val="single" w:sz="4" w:space="0" w:color="auto"/>
              <w:left w:val="nil"/>
              <w:bottom w:val="single" w:sz="12" w:space="0" w:color="auto"/>
              <w:right w:val="nil"/>
            </w:tcBorders>
            <w:shd w:val="clear" w:color="auto" w:fill="auto"/>
            <w:vAlign w:val="bottom"/>
          </w:tcPr>
          <w:p w14:paraId="34DD1567"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28,890 </w:t>
            </w:r>
          </w:p>
        </w:tc>
        <w:tc>
          <w:tcPr>
            <w:tcW w:w="494" w:type="pct"/>
            <w:tcBorders>
              <w:top w:val="single" w:sz="4" w:space="0" w:color="auto"/>
              <w:left w:val="nil"/>
              <w:bottom w:val="single" w:sz="12" w:space="0" w:color="auto"/>
              <w:right w:val="nil"/>
            </w:tcBorders>
            <w:shd w:val="clear" w:color="auto" w:fill="auto"/>
            <w:vAlign w:val="bottom"/>
          </w:tcPr>
          <w:p w14:paraId="208AD115"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94,805 </w:t>
            </w:r>
          </w:p>
        </w:tc>
      </w:tr>
      <w:tr w:rsidR="00587444" w:rsidRPr="00587444" w14:paraId="3A22276A" w14:textId="77777777" w:rsidTr="00DD69E7">
        <w:trPr>
          <w:trHeight w:val="688"/>
        </w:trPr>
        <w:tc>
          <w:tcPr>
            <w:tcW w:w="1166" w:type="pct"/>
            <w:vAlign w:val="bottom"/>
          </w:tcPr>
          <w:p w14:paraId="46AC396E"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Net book value at </w:t>
            </w:r>
          </w:p>
          <w:p w14:paraId="58241AC2"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 December 2021</w:t>
            </w:r>
          </w:p>
        </w:tc>
        <w:tc>
          <w:tcPr>
            <w:tcW w:w="552" w:type="pct"/>
            <w:tcBorders>
              <w:left w:val="nil"/>
              <w:bottom w:val="single" w:sz="12" w:space="0" w:color="auto"/>
              <w:right w:val="nil"/>
            </w:tcBorders>
            <w:shd w:val="clear" w:color="auto" w:fill="auto"/>
            <w:vAlign w:val="bottom"/>
          </w:tcPr>
          <w:p w14:paraId="7C237098"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32,719 </w:t>
            </w:r>
          </w:p>
        </w:tc>
        <w:tc>
          <w:tcPr>
            <w:tcW w:w="582" w:type="pct"/>
            <w:tcBorders>
              <w:left w:val="nil"/>
              <w:bottom w:val="single" w:sz="12" w:space="0" w:color="auto"/>
              <w:right w:val="nil"/>
            </w:tcBorders>
            <w:shd w:val="clear" w:color="auto" w:fill="auto"/>
            <w:vAlign w:val="bottom"/>
          </w:tcPr>
          <w:p w14:paraId="76A37B8A"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2,226</w:t>
            </w:r>
          </w:p>
        </w:tc>
        <w:tc>
          <w:tcPr>
            <w:tcW w:w="551" w:type="pct"/>
            <w:tcBorders>
              <w:left w:val="nil"/>
              <w:bottom w:val="single" w:sz="12" w:space="0" w:color="auto"/>
              <w:right w:val="nil"/>
            </w:tcBorders>
            <w:shd w:val="clear" w:color="auto" w:fill="auto"/>
            <w:vAlign w:val="bottom"/>
          </w:tcPr>
          <w:p w14:paraId="78C754F1"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1,763</w:t>
            </w:r>
          </w:p>
        </w:tc>
        <w:tc>
          <w:tcPr>
            <w:tcW w:w="551" w:type="pct"/>
            <w:tcBorders>
              <w:left w:val="nil"/>
              <w:bottom w:val="single" w:sz="12" w:space="0" w:color="auto"/>
              <w:right w:val="nil"/>
            </w:tcBorders>
            <w:shd w:val="clear" w:color="auto" w:fill="auto"/>
            <w:vAlign w:val="bottom"/>
          </w:tcPr>
          <w:p w14:paraId="12128C7A"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55 </w:t>
            </w:r>
          </w:p>
        </w:tc>
        <w:tc>
          <w:tcPr>
            <w:tcW w:w="551" w:type="pct"/>
            <w:tcBorders>
              <w:left w:val="nil"/>
              <w:bottom w:val="single" w:sz="12" w:space="0" w:color="auto"/>
              <w:right w:val="nil"/>
            </w:tcBorders>
            <w:shd w:val="clear" w:color="auto" w:fill="auto"/>
            <w:vAlign w:val="bottom"/>
          </w:tcPr>
          <w:p w14:paraId="6CA3DF96"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36,763 </w:t>
            </w:r>
          </w:p>
        </w:tc>
        <w:tc>
          <w:tcPr>
            <w:tcW w:w="551" w:type="pct"/>
            <w:tcBorders>
              <w:left w:val="nil"/>
              <w:bottom w:val="single" w:sz="12" w:space="0" w:color="auto"/>
              <w:right w:val="nil"/>
            </w:tcBorders>
            <w:shd w:val="clear" w:color="auto" w:fill="auto"/>
            <w:vAlign w:val="bottom"/>
          </w:tcPr>
          <w:p w14:paraId="65C57154"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5,911 </w:t>
            </w:r>
          </w:p>
        </w:tc>
        <w:tc>
          <w:tcPr>
            <w:tcW w:w="494" w:type="pct"/>
            <w:tcBorders>
              <w:left w:val="nil"/>
              <w:bottom w:val="single" w:sz="12" w:space="0" w:color="auto"/>
              <w:right w:val="nil"/>
            </w:tcBorders>
            <w:shd w:val="clear" w:color="auto" w:fill="auto"/>
            <w:vAlign w:val="bottom"/>
          </w:tcPr>
          <w:p w14:paraId="62999CD3"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sz w:val="16"/>
                <w:szCs w:val="16"/>
                <w:lang w:val="en-GB"/>
              </w:rPr>
              <w:t xml:space="preserve"> 42,674 </w:t>
            </w:r>
          </w:p>
        </w:tc>
      </w:tr>
      <w:tr w:rsidR="00587444" w:rsidRPr="00587444" w14:paraId="598B4320" w14:textId="77777777" w:rsidTr="00DD69E7">
        <w:trPr>
          <w:trHeight w:val="684"/>
        </w:trPr>
        <w:tc>
          <w:tcPr>
            <w:tcW w:w="1166" w:type="pct"/>
            <w:vAlign w:val="bottom"/>
          </w:tcPr>
          <w:p w14:paraId="4B4EE267"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Net book value at </w:t>
            </w:r>
          </w:p>
          <w:p w14:paraId="2C505B8A"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 December 2020</w:t>
            </w:r>
          </w:p>
        </w:tc>
        <w:tc>
          <w:tcPr>
            <w:tcW w:w="552" w:type="pct"/>
            <w:tcBorders>
              <w:left w:val="nil"/>
              <w:bottom w:val="single" w:sz="12" w:space="0" w:color="auto"/>
              <w:right w:val="nil"/>
            </w:tcBorders>
            <w:shd w:val="clear" w:color="auto" w:fill="auto"/>
            <w:vAlign w:val="bottom"/>
          </w:tcPr>
          <w:p w14:paraId="21D499F9"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36,574</w:t>
            </w:r>
          </w:p>
        </w:tc>
        <w:tc>
          <w:tcPr>
            <w:tcW w:w="582" w:type="pct"/>
            <w:tcBorders>
              <w:left w:val="nil"/>
              <w:bottom w:val="single" w:sz="12" w:space="0" w:color="auto"/>
              <w:right w:val="nil"/>
            </w:tcBorders>
            <w:shd w:val="clear" w:color="auto" w:fill="auto"/>
            <w:vAlign w:val="bottom"/>
          </w:tcPr>
          <w:p w14:paraId="74239AF4"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429</w:t>
            </w:r>
          </w:p>
        </w:tc>
        <w:tc>
          <w:tcPr>
            <w:tcW w:w="551" w:type="pct"/>
            <w:tcBorders>
              <w:left w:val="nil"/>
              <w:bottom w:val="single" w:sz="12" w:space="0" w:color="auto"/>
              <w:right w:val="nil"/>
            </w:tcBorders>
            <w:shd w:val="clear" w:color="auto" w:fill="auto"/>
            <w:vAlign w:val="bottom"/>
          </w:tcPr>
          <w:p w14:paraId="14FC7702"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2,296</w:t>
            </w:r>
          </w:p>
        </w:tc>
        <w:tc>
          <w:tcPr>
            <w:tcW w:w="551" w:type="pct"/>
            <w:tcBorders>
              <w:left w:val="nil"/>
              <w:bottom w:val="single" w:sz="12" w:space="0" w:color="auto"/>
              <w:right w:val="nil"/>
            </w:tcBorders>
            <w:shd w:val="clear" w:color="auto" w:fill="auto"/>
            <w:vAlign w:val="bottom"/>
          </w:tcPr>
          <w:p w14:paraId="346E3EA6"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49</w:t>
            </w:r>
          </w:p>
        </w:tc>
        <w:tc>
          <w:tcPr>
            <w:tcW w:w="551" w:type="pct"/>
            <w:tcBorders>
              <w:left w:val="nil"/>
              <w:bottom w:val="single" w:sz="12" w:space="0" w:color="auto"/>
              <w:right w:val="nil"/>
            </w:tcBorders>
            <w:shd w:val="clear" w:color="auto" w:fill="auto"/>
            <w:vAlign w:val="bottom"/>
          </w:tcPr>
          <w:p w14:paraId="0466459E"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39,348</w:t>
            </w:r>
          </w:p>
        </w:tc>
        <w:tc>
          <w:tcPr>
            <w:tcW w:w="551" w:type="pct"/>
            <w:tcBorders>
              <w:left w:val="nil"/>
              <w:bottom w:val="single" w:sz="12" w:space="0" w:color="auto"/>
              <w:right w:val="nil"/>
            </w:tcBorders>
            <w:shd w:val="clear" w:color="auto" w:fill="auto"/>
            <w:vAlign w:val="bottom"/>
          </w:tcPr>
          <w:p w14:paraId="628973AC"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6,244</w:t>
            </w:r>
          </w:p>
        </w:tc>
        <w:tc>
          <w:tcPr>
            <w:tcW w:w="494" w:type="pct"/>
            <w:tcBorders>
              <w:left w:val="nil"/>
              <w:bottom w:val="single" w:sz="12" w:space="0" w:color="auto"/>
              <w:right w:val="nil"/>
            </w:tcBorders>
            <w:shd w:val="clear" w:color="auto" w:fill="auto"/>
            <w:vAlign w:val="bottom"/>
          </w:tcPr>
          <w:p w14:paraId="4E276CF1" w14:textId="77777777" w:rsidR="00587444" w:rsidRPr="00587444" w:rsidRDefault="00587444" w:rsidP="00587444">
            <w:pPr>
              <w:suppressAutoHyphens w:val="0"/>
              <w:autoSpaceDN/>
              <w:spacing w:line="340" w:lineRule="exact"/>
              <w:jc w:val="right"/>
              <w:outlineLvl w:val="0"/>
              <w:rPr>
                <w:rFonts w:ascii="Arial" w:hAnsi="Arial" w:cs="Arial"/>
                <w:b/>
                <w:sz w:val="16"/>
                <w:szCs w:val="16"/>
                <w:lang w:val="hr-HR"/>
              </w:rPr>
            </w:pPr>
            <w:r w:rsidRPr="00587444">
              <w:rPr>
                <w:rFonts w:ascii="Arial" w:hAnsi="Arial" w:cs="Arial"/>
                <w:b/>
                <w:bCs/>
                <w:color w:val="000000"/>
                <w:sz w:val="16"/>
                <w:szCs w:val="16"/>
                <w:lang w:val="hr-HR"/>
              </w:rPr>
              <w:t>45,592</w:t>
            </w:r>
          </w:p>
        </w:tc>
      </w:tr>
    </w:tbl>
    <w:p w14:paraId="4E9AF9D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A6F976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1611272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B172AD4" w14:textId="77777777" w:rsidR="00587444" w:rsidRPr="00587444" w:rsidRDefault="00587444" w:rsidP="00587444">
      <w:pPr>
        <w:keepNext/>
        <w:suppressAutoHyphens w:val="0"/>
        <w:autoSpaceDN/>
        <w:spacing w:before="120" w:line="300" w:lineRule="exact"/>
        <w:jc w:val="both"/>
        <w:rPr>
          <w:rFonts w:ascii="Arial" w:hAnsi="Arial" w:cs="Arial"/>
          <w:b/>
          <w:bCs/>
          <w:sz w:val="20"/>
          <w:szCs w:val="20"/>
          <w:highlight w:val="yellow"/>
          <w:lang w:val="en-GB"/>
        </w:rPr>
      </w:pPr>
    </w:p>
    <w:p w14:paraId="32D2DAF0" w14:textId="77777777" w:rsidR="00587444" w:rsidRPr="00587444" w:rsidRDefault="00587444" w:rsidP="00587444">
      <w:pPr>
        <w:keepNext/>
        <w:suppressAutoHyphens w:val="0"/>
        <w:autoSpaceDN/>
        <w:spacing w:before="120" w:line="300" w:lineRule="exact"/>
        <w:jc w:val="both"/>
        <w:rPr>
          <w:rFonts w:ascii="Arial" w:hAnsi="Arial" w:cs="Arial"/>
          <w:b/>
          <w:bCs/>
          <w:sz w:val="20"/>
          <w:szCs w:val="20"/>
          <w:highlight w:val="yellow"/>
          <w:lang w:val="en-GB"/>
        </w:rPr>
      </w:pPr>
    </w:p>
    <w:p w14:paraId="5E25ED72" w14:textId="77777777" w:rsidR="00587444" w:rsidRPr="00587444" w:rsidRDefault="00587444" w:rsidP="00587444">
      <w:pPr>
        <w:keepNext/>
        <w:suppressAutoHyphens w:val="0"/>
        <w:autoSpaceDN/>
        <w:spacing w:before="120" w:line="300" w:lineRule="exact"/>
        <w:jc w:val="both"/>
        <w:rPr>
          <w:rFonts w:ascii="Arial" w:hAnsi="Arial" w:cs="Arial"/>
          <w:b/>
          <w:bCs/>
          <w:sz w:val="20"/>
          <w:szCs w:val="20"/>
          <w:highlight w:val="yellow"/>
          <w:lang w:val="en-GB"/>
        </w:rPr>
      </w:pPr>
    </w:p>
    <w:p w14:paraId="70131A75" w14:textId="77777777" w:rsidR="00587444" w:rsidRPr="00587444" w:rsidRDefault="00587444" w:rsidP="00587444">
      <w:pPr>
        <w:suppressAutoHyphens w:val="0"/>
        <w:autoSpaceDN/>
        <w:rPr>
          <w:rFonts w:ascii="Arial" w:hAnsi="Arial" w:cs="Arial"/>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27EAF7DC"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C33886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20.</w:t>
      </w:r>
      <w:r w:rsidRPr="00587444">
        <w:rPr>
          <w:rFonts w:ascii="Arial" w:hAnsi="Arial" w:cs="Arial"/>
          <w:b/>
          <w:bCs/>
          <w:sz w:val="20"/>
          <w:szCs w:val="20"/>
          <w:lang w:val="en-GB"/>
        </w:rPr>
        <w:tab/>
        <w:t>Foreclosed assets</w:t>
      </w:r>
    </w:p>
    <w:p w14:paraId="60052E03" w14:textId="77777777" w:rsidR="00587444" w:rsidRPr="00587444" w:rsidRDefault="00587444" w:rsidP="00587444">
      <w:pPr>
        <w:tabs>
          <w:tab w:val="left" w:pos="-1985"/>
        </w:tabs>
        <w:autoSpaceDN/>
        <w:rPr>
          <w:rFonts w:ascii="Arial" w:hAnsi="Arial" w:cs="Arial"/>
          <w:b/>
          <w:sz w:val="20"/>
          <w:szCs w:val="20"/>
          <w:u w:val="single"/>
          <w:lang w:val="en-GB"/>
        </w:rPr>
      </w:pPr>
    </w:p>
    <w:tbl>
      <w:tblPr>
        <w:tblW w:w="4873" w:type="pct"/>
        <w:tblLayout w:type="fixed"/>
        <w:tblCellMar>
          <w:left w:w="119" w:type="dxa"/>
          <w:right w:w="119" w:type="dxa"/>
        </w:tblCellMar>
        <w:tblLook w:val="0000" w:firstRow="0" w:lastRow="0" w:firstColumn="0" w:lastColumn="0" w:noHBand="0" w:noVBand="0"/>
      </w:tblPr>
      <w:tblGrid>
        <w:gridCol w:w="5115"/>
        <w:gridCol w:w="2117"/>
        <w:gridCol w:w="2117"/>
      </w:tblGrid>
      <w:tr w:rsidR="00587444" w:rsidRPr="00587444" w14:paraId="057BE380" w14:textId="77777777" w:rsidTr="00DD69E7">
        <w:trPr>
          <w:trHeight w:val="231"/>
        </w:trPr>
        <w:tc>
          <w:tcPr>
            <w:tcW w:w="2736" w:type="pct"/>
          </w:tcPr>
          <w:p w14:paraId="41C30B52" w14:textId="77777777" w:rsidR="00587444" w:rsidRPr="00587444" w:rsidRDefault="00587444" w:rsidP="00587444">
            <w:pPr>
              <w:tabs>
                <w:tab w:val="left" w:pos="-720"/>
              </w:tabs>
              <w:autoSpaceDN/>
              <w:rPr>
                <w:rFonts w:ascii="Arial" w:hAnsi="Arial" w:cs="Arial"/>
                <w:spacing w:val="-2"/>
                <w:sz w:val="20"/>
                <w:szCs w:val="20"/>
                <w:lang w:val="en-GB"/>
              </w:rPr>
            </w:pPr>
          </w:p>
        </w:tc>
        <w:tc>
          <w:tcPr>
            <w:tcW w:w="2264" w:type="pct"/>
            <w:gridSpan w:val="2"/>
          </w:tcPr>
          <w:p w14:paraId="729627A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824" w:name="_Toc4059654"/>
            <w:r w:rsidRPr="00587444">
              <w:rPr>
                <w:rFonts w:ascii="Arial" w:hAnsi="Arial" w:cs="Arial"/>
                <w:b/>
                <w:sz w:val="20"/>
                <w:szCs w:val="20"/>
                <w:lang w:val="en-GB"/>
              </w:rPr>
              <w:t>Group and Bank</w:t>
            </w:r>
            <w:bookmarkEnd w:id="824"/>
          </w:p>
        </w:tc>
      </w:tr>
      <w:tr w:rsidR="00587444" w:rsidRPr="00587444" w14:paraId="1BF6F81C" w14:textId="77777777" w:rsidTr="00DD69E7">
        <w:trPr>
          <w:trHeight w:val="481"/>
        </w:trPr>
        <w:tc>
          <w:tcPr>
            <w:tcW w:w="2736" w:type="pct"/>
          </w:tcPr>
          <w:p w14:paraId="7CD35108" w14:textId="77777777" w:rsidR="00587444" w:rsidRPr="00587444" w:rsidRDefault="00587444" w:rsidP="00587444">
            <w:pPr>
              <w:tabs>
                <w:tab w:val="left" w:pos="-720"/>
              </w:tabs>
              <w:autoSpaceDN/>
              <w:rPr>
                <w:rFonts w:ascii="Arial" w:hAnsi="Arial" w:cs="Arial"/>
                <w:spacing w:val="-2"/>
                <w:sz w:val="20"/>
                <w:szCs w:val="20"/>
                <w:lang w:val="en-GB"/>
              </w:rPr>
            </w:pPr>
          </w:p>
        </w:tc>
        <w:tc>
          <w:tcPr>
            <w:tcW w:w="1132" w:type="pct"/>
          </w:tcPr>
          <w:p w14:paraId="51D88E3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825" w:name="_Toc4059657"/>
            <w:r w:rsidRPr="00587444">
              <w:rPr>
                <w:rFonts w:ascii="Arial" w:hAnsi="Arial" w:cs="Arial"/>
                <w:b/>
                <w:sz w:val="20"/>
                <w:szCs w:val="20"/>
                <w:lang w:val="en-GB"/>
              </w:rPr>
              <w:t xml:space="preserve">31 December </w:t>
            </w:r>
            <w:bookmarkEnd w:id="825"/>
          </w:p>
          <w:p w14:paraId="7BD422C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r w:rsidRPr="00587444">
              <w:rPr>
                <w:rFonts w:ascii="Arial" w:hAnsi="Arial" w:cs="Arial"/>
                <w:b/>
                <w:sz w:val="20"/>
                <w:szCs w:val="20"/>
                <w:lang w:val="en-GB"/>
              </w:rPr>
              <w:t>2022</w:t>
            </w:r>
          </w:p>
        </w:tc>
        <w:tc>
          <w:tcPr>
            <w:tcW w:w="1132" w:type="pct"/>
          </w:tcPr>
          <w:p w14:paraId="144612F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826" w:name="_Toc4059658"/>
            <w:r w:rsidRPr="00587444">
              <w:rPr>
                <w:rFonts w:ascii="Arial" w:hAnsi="Arial" w:cs="Arial"/>
                <w:b/>
                <w:sz w:val="20"/>
                <w:szCs w:val="20"/>
                <w:lang w:val="en-GB"/>
              </w:rPr>
              <w:t xml:space="preserve">31 December </w:t>
            </w:r>
            <w:bookmarkEnd w:id="826"/>
          </w:p>
          <w:p w14:paraId="5F535BD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r w:rsidRPr="00587444">
              <w:rPr>
                <w:rFonts w:ascii="Arial" w:hAnsi="Arial" w:cs="Arial"/>
                <w:b/>
                <w:sz w:val="20"/>
                <w:szCs w:val="20"/>
                <w:lang w:val="en-GB"/>
              </w:rPr>
              <w:t>2021</w:t>
            </w:r>
          </w:p>
        </w:tc>
      </w:tr>
      <w:tr w:rsidR="00587444" w:rsidRPr="00587444" w14:paraId="0E2D122B" w14:textId="77777777" w:rsidTr="00DD69E7">
        <w:trPr>
          <w:trHeight w:val="231"/>
        </w:trPr>
        <w:tc>
          <w:tcPr>
            <w:tcW w:w="2736" w:type="pct"/>
          </w:tcPr>
          <w:p w14:paraId="6C991C11" w14:textId="77777777" w:rsidR="00587444" w:rsidRPr="00587444" w:rsidRDefault="00587444" w:rsidP="00587444">
            <w:pPr>
              <w:tabs>
                <w:tab w:val="left" w:pos="-720"/>
              </w:tabs>
              <w:autoSpaceDN/>
              <w:rPr>
                <w:rFonts w:ascii="Arial" w:hAnsi="Arial" w:cs="Arial"/>
                <w:spacing w:val="-2"/>
                <w:sz w:val="20"/>
                <w:szCs w:val="20"/>
                <w:lang w:val="en-GB"/>
              </w:rPr>
            </w:pPr>
          </w:p>
        </w:tc>
        <w:tc>
          <w:tcPr>
            <w:tcW w:w="1132" w:type="pct"/>
            <w:vAlign w:val="bottom"/>
          </w:tcPr>
          <w:p w14:paraId="48D6A67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827" w:name="_Toc4059661"/>
            <w:r w:rsidRPr="00587444">
              <w:rPr>
                <w:rFonts w:ascii="Arial" w:hAnsi="Arial" w:cs="Arial"/>
                <w:b/>
                <w:sz w:val="20"/>
                <w:szCs w:val="20"/>
                <w:lang w:val="en-GB"/>
              </w:rPr>
              <w:t>HRK ‘000</w:t>
            </w:r>
            <w:bookmarkEnd w:id="827"/>
          </w:p>
        </w:tc>
        <w:tc>
          <w:tcPr>
            <w:tcW w:w="1132" w:type="pct"/>
            <w:vAlign w:val="bottom"/>
          </w:tcPr>
          <w:p w14:paraId="6DBD31D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828" w:name="_Toc4059662"/>
            <w:r w:rsidRPr="00587444">
              <w:rPr>
                <w:rFonts w:ascii="Arial" w:hAnsi="Arial" w:cs="Arial"/>
                <w:b/>
                <w:sz w:val="20"/>
                <w:szCs w:val="20"/>
                <w:lang w:val="en-GB"/>
              </w:rPr>
              <w:t>HRK ‘000</w:t>
            </w:r>
            <w:bookmarkEnd w:id="828"/>
          </w:p>
        </w:tc>
      </w:tr>
      <w:tr w:rsidR="00587444" w:rsidRPr="00587444" w14:paraId="733DD4F2" w14:textId="77777777" w:rsidTr="00DD69E7">
        <w:trPr>
          <w:trHeight w:val="231"/>
        </w:trPr>
        <w:tc>
          <w:tcPr>
            <w:tcW w:w="2736" w:type="pct"/>
          </w:tcPr>
          <w:p w14:paraId="721EBD2E" w14:textId="77777777" w:rsidR="00587444" w:rsidRPr="00587444" w:rsidRDefault="00587444" w:rsidP="00587444">
            <w:pPr>
              <w:tabs>
                <w:tab w:val="left" w:pos="-720"/>
              </w:tabs>
              <w:autoSpaceDN/>
              <w:rPr>
                <w:rFonts w:ascii="Arial" w:hAnsi="Arial" w:cs="Arial"/>
                <w:spacing w:val="-2"/>
                <w:sz w:val="20"/>
                <w:szCs w:val="20"/>
                <w:lang w:val="en-GB"/>
              </w:rPr>
            </w:pPr>
          </w:p>
        </w:tc>
        <w:tc>
          <w:tcPr>
            <w:tcW w:w="1132" w:type="pct"/>
            <w:vAlign w:val="bottom"/>
          </w:tcPr>
          <w:p w14:paraId="204C8B71" w14:textId="77777777" w:rsidR="00587444" w:rsidRPr="00587444" w:rsidRDefault="00587444" w:rsidP="00587444">
            <w:pPr>
              <w:tabs>
                <w:tab w:val="left" w:pos="-720"/>
              </w:tabs>
              <w:autoSpaceDN/>
              <w:jc w:val="right"/>
              <w:rPr>
                <w:rFonts w:ascii="Arial" w:hAnsi="Arial" w:cs="Arial"/>
                <w:b/>
                <w:spacing w:val="-2"/>
                <w:sz w:val="20"/>
                <w:szCs w:val="20"/>
                <w:lang w:val="en-GB"/>
              </w:rPr>
            </w:pPr>
          </w:p>
        </w:tc>
        <w:tc>
          <w:tcPr>
            <w:tcW w:w="1132" w:type="pct"/>
            <w:vAlign w:val="bottom"/>
          </w:tcPr>
          <w:p w14:paraId="338E4019" w14:textId="77777777" w:rsidR="00587444" w:rsidRPr="00587444" w:rsidRDefault="00587444" w:rsidP="00587444">
            <w:pPr>
              <w:tabs>
                <w:tab w:val="left" w:pos="-720"/>
              </w:tabs>
              <w:autoSpaceDN/>
              <w:jc w:val="right"/>
              <w:rPr>
                <w:rFonts w:ascii="Arial" w:hAnsi="Arial" w:cs="Arial"/>
                <w:b/>
                <w:spacing w:val="-2"/>
                <w:sz w:val="20"/>
                <w:szCs w:val="20"/>
                <w:lang w:val="en-GB"/>
              </w:rPr>
            </w:pPr>
          </w:p>
        </w:tc>
      </w:tr>
      <w:tr w:rsidR="00587444" w:rsidRPr="00587444" w14:paraId="5A932EB4" w14:textId="77777777" w:rsidTr="00DD69E7">
        <w:trPr>
          <w:trHeight w:val="298"/>
        </w:trPr>
        <w:tc>
          <w:tcPr>
            <w:tcW w:w="2736" w:type="pct"/>
          </w:tcPr>
          <w:p w14:paraId="261F4E43" w14:textId="77777777" w:rsidR="00587444" w:rsidRPr="00587444" w:rsidRDefault="00587444" w:rsidP="00587444">
            <w:pPr>
              <w:tabs>
                <w:tab w:val="right" w:pos="1202"/>
              </w:tabs>
              <w:suppressAutoHyphens w:val="0"/>
              <w:autoSpaceDN/>
              <w:spacing w:line="301" w:lineRule="exact"/>
              <w:ind w:left="300" w:hanging="300"/>
              <w:outlineLvl w:val="0"/>
              <w:rPr>
                <w:rFonts w:ascii="Arial" w:hAnsi="Arial" w:cs="Arial"/>
                <w:sz w:val="20"/>
                <w:szCs w:val="20"/>
                <w:lang w:val="en-GB"/>
              </w:rPr>
            </w:pPr>
            <w:r w:rsidRPr="00587444">
              <w:rPr>
                <w:rFonts w:ascii="Arial" w:hAnsi="Arial" w:cs="Arial"/>
                <w:sz w:val="20"/>
                <w:szCs w:val="20"/>
                <w:lang w:val="en-GB"/>
              </w:rPr>
              <w:t>Foreclosed assets, net</w:t>
            </w:r>
          </w:p>
        </w:tc>
        <w:tc>
          <w:tcPr>
            <w:tcW w:w="1132" w:type="pct"/>
            <w:tcBorders>
              <w:bottom w:val="single" w:sz="2" w:space="0" w:color="auto"/>
            </w:tcBorders>
            <w:vAlign w:val="bottom"/>
          </w:tcPr>
          <w:p w14:paraId="1A0A2E0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en-GB"/>
              </w:rPr>
              <w:t>24,776</w:t>
            </w:r>
          </w:p>
        </w:tc>
        <w:tc>
          <w:tcPr>
            <w:tcW w:w="1132" w:type="pct"/>
            <w:tcBorders>
              <w:bottom w:val="single" w:sz="2" w:space="0" w:color="auto"/>
            </w:tcBorders>
            <w:vAlign w:val="bottom"/>
          </w:tcPr>
          <w:p w14:paraId="13951D5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en-GB"/>
              </w:rPr>
              <w:t>21,369</w:t>
            </w:r>
          </w:p>
        </w:tc>
      </w:tr>
      <w:tr w:rsidR="00587444" w:rsidRPr="00587444" w14:paraId="04DC7DB8" w14:textId="77777777" w:rsidTr="00DD69E7">
        <w:trPr>
          <w:trHeight w:val="331"/>
        </w:trPr>
        <w:tc>
          <w:tcPr>
            <w:tcW w:w="2736" w:type="pct"/>
          </w:tcPr>
          <w:p w14:paraId="5B738DA6" w14:textId="77777777" w:rsidR="00587444" w:rsidRPr="00587444" w:rsidRDefault="00587444" w:rsidP="00587444">
            <w:pPr>
              <w:tabs>
                <w:tab w:val="left" w:pos="-720"/>
              </w:tabs>
              <w:autoSpaceDN/>
              <w:rPr>
                <w:rFonts w:ascii="Arial" w:hAnsi="Arial" w:cs="Arial"/>
                <w:b/>
                <w:bCs/>
                <w:spacing w:val="-2"/>
                <w:sz w:val="20"/>
                <w:szCs w:val="20"/>
                <w:lang w:val="en-GB"/>
              </w:rPr>
            </w:pPr>
          </w:p>
        </w:tc>
        <w:tc>
          <w:tcPr>
            <w:tcW w:w="1132" w:type="pct"/>
            <w:tcBorders>
              <w:top w:val="single" w:sz="4" w:space="0" w:color="auto"/>
              <w:bottom w:val="single" w:sz="12" w:space="0" w:color="auto"/>
            </w:tcBorders>
            <w:vAlign w:val="bottom"/>
          </w:tcPr>
          <w:p w14:paraId="7B0E0679"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sz w:val="20"/>
                <w:szCs w:val="20"/>
                <w:lang w:val="hr-HR"/>
              </w:rPr>
              <w:t>24,776</w:t>
            </w:r>
          </w:p>
        </w:tc>
        <w:tc>
          <w:tcPr>
            <w:tcW w:w="1132" w:type="pct"/>
            <w:tcBorders>
              <w:top w:val="single" w:sz="4" w:space="0" w:color="auto"/>
              <w:bottom w:val="single" w:sz="12" w:space="0" w:color="auto"/>
            </w:tcBorders>
            <w:vAlign w:val="bottom"/>
          </w:tcPr>
          <w:p w14:paraId="641B42BF"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21,369</w:t>
            </w:r>
          </w:p>
        </w:tc>
      </w:tr>
    </w:tbl>
    <w:p w14:paraId="19CFB7A4" w14:textId="77777777" w:rsidR="00587444" w:rsidRPr="00587444" w:rsidRDefault="00587444" w:rsidP="00880B90">
      <w:pPr>
        <w:keepNext/>
        <w:suppressAutoHyphens w:val="0"/>
        <w:autoSpaceDN/>
        <w:jc w:val="both"/>
        <w:rPr>
          <w:rFonts w:ascii="Arial" w:hAnsi="Arial" w:cs="Arial"/>
          <w:sz w:val="20"/>
          <w:szCs w:val="20"/>
          <w:highlight w:val="yellow"/>
          <w:lang w:val="en-GB"/>
        </w:rPr>
      </w:pPr>
    </w:p>
    <w:p w14:paraId="50C4C01B" w14:textId="77777777" w:rsidR="00587444" w:rsidRPr="00587444" w:rsidRDefault="00587444" w:rsidP="00880B90">
      <w:pPr>
        <w:keepNext/>
        <w:autoSpaceDN/>
        <w:jc w:val="both"/>
        <w:rPr>
          <w:rFonts w:ascii="Arial" w:hAnsi="Arial" w:cs="Arial"/>
          <w:sz w:val="20"/>
          <w:szCs w:val="20"/>
          <w:lang w:val="en-GB"/>
        </w:rPr>
      </w:pPr>
      <w:bookmarkStart w:id="829" w:name="_Hlk3202062"/>
      <w:r w:rsidRPr="00587444">
        <w:rPr>
          <w:rFonts w:ascii="Arial" w:hAnsi="Arial" w:cs="Arial"/>
          <w:sz w:val="20"/>
          <w:szCs w:val="20"/>
          <w:lang w:val="en-GB"/>
        </w:rPr>
        <w:t xml:space="preserve">In 2022, acquisition of property took place with present value in the amount of HRK 4,487 thousand, acquisition value of HRK 4,487 thousand and provisions of HRK 0 thousand, and relates to land plot in the amount of HRK 234 thousand, acquisition value of HRK 234 thousand and provisions of HRK 0 thousand, and buildings in the amount of HRK 4,253 thousand, acquisition value of HRK 4,253 thousand and provisions of HRK 0 thousand (in 2021, acquisition of property took place with present value in the amount of HRK 8,185 thousand, acquisition value of HRK 8,508 thousand and provisions of HRK 323 thousand, and relates to land plot in the amount of HRK 1,900 thousand, acquisition value of HRK 2,074 thousand and provisions of HRK 174 thousand, buildings in the amount of HRK 4,717 thousand, acquisition value of HRK 4,866 thousand and provisions of HRK 149 thousand and apartments in the amount of HRK 1,568 thousand, acquisition value of HRK 1,568 </w:t>
      </w:r>
      <w:proofErr w:type="spellStart"/>
      <w:r w:rsidRPr="00587444">
        <w:rPr>
          <w:rFonts w:ascii="Arial" w:hAnsi="Arial" w:cs="Arial"/>
          <w:sz w:val="20"/>
          <w:szCs w:val="20"/>
          <w:lang w:val="en-GB"/>
        </w:rPr>
        <w:t>housand</w:t>
      </w:r>
      <w:proofErr w:type="spellEnd"/>
      <w:r w:rsidRPr="00587444">
        <w:rPr>
          <w:rFonts w:ascii="Arial" w:hAnsi="Arial" w:cs="Arial"/>
          <w:sz w:val="20"/>
          <w:szCs w:val="20"/>
          <w:lang w:val="en-GB"/>
        </w:rPr>
        <w:t xml:space="preserve"> and provisions of HRK 0 thousand). </w:t>
      </w:r>
    </w:p>
    <w:p w14:paraId="270AA81F" w14:textId="77777777" w:rsidR="00587444" w:rsidRPr="00587444" w:rsidRDefault="00587444" w:rsidP="00880B90">
      <w:pPr>
        <w:tabs>
          <w:tab w:val="left" w:pos="-1985"/>
        </w:tabs>
        <w:autoSpaceDN/>
        <w:jc w:val="both"/>
        <w:rPr>
          <w:rFonts w:ascii="Arial" w:hAnsi="Arial" w:cs="Arial"/>
          <w:sz w:val="20"/>
          <w:szCs w:val="20"/>
          <w:lang w:val="en-GB"/>
        </w:rPr>
      </w:pPr>
      <w:r w:rsidRPr="00587444">
        <w:rPr>
          <w:rFonts w:ascii="Arial" w:hAnsi="Arial" w:cs="Arial"/>
          <w:sz w:val="20"/>
          <w:szCs w:val="20"/>
          <w:lang w:val="en-GB"/>
        </w:rPr>
        <w:t>Fair value of property acquired in 2022 amounted to HRK 12,398 thousand at the end of 2022.</w:t>
      </w:r>
    </w:p>
    <w:p w14:paraId="5EE07EB5" w14:textId="77777777" w:rsidR="00587444" w:rsidRPr="00587444" w:rsidRDefault="00587444" w:rsidP="00880B90">
      <w:pPr>
        <w:tabs>
          <w:tab w:val="left" w:pos="-1985"/>
        </w:tabs>
        <w:autoSpaceDN/>
        <w:jc w:val="both"/>
        <w:rPr>
          <w:rFonts w:ascii="Arial" w:hAnsi="Arial" w:cs="Arial"/>
          <w:sz w:val="20"/>
          <w:szCs w:val="20"/>
          <w:lang w:val="en-GB"/>
        </w:rPr>
      </w:pPr>
    </w:p>
    <w:p w14:paraId="6569D09A" w14:textId="77777777" w:rsidR="00587444" w:rsidRPr="00587444" w:rsidRDefault="00587444" w:rsidP="00880B90">
      <w:pPr>
        <w:tabs>
          <w:tab w:val="left" w:pos="-1985"/>
        </w:tabs>
        <w:autoSpaceDN/>
        <w:jc w:val="both"/>
        <w:rPr>
          <w:rFonts w:ascii="Arial" w:hAnsi="Arial" w:cs="Arial"/>
          <w:sz w:val="20"/>
          <w:szCs w:val="20"/>
          <w:lang w:val="en-GB"/>
        </w:rPr>
      </w:pPr>
      <w:r w:rsidRPr="00587444">
        <w:rPr>
          <w:rFonts w:ascii="Arial" w:hAnsi="Arial" w:cs="Arial"/>
          <w:sz w:val="20"/>
          <w:szCs w:val="20"/>
          <w:lang w:val="en-GB"/>
        </w:rPr>
        <w:t>In 2022, sale of foreclosed assets took place with present value in the amount of HRK 243 thousand, acquisition value and provisions of HRK 820 thousand and provisions of HRK 577 thousand, and relates to land plot in the amount of HRK 87 thousand and apartments in the amount of HRK 156 thousand (in 2021, sale of foreclosed assets took place with present value in the amount of HRK 10,156 thousand, acquisition value and provisions of HRK 24,218 thousand and provisions of HRK 14,062 thousand, and relates to land plot in the amount of HRK 486 thousand, buildings in the amount of HRK 2,886 thousand and apartments in the amount of HRK 6,784 thousand).</w:t>
      </w:r>
    </w:p>
    <w:p w14:paraId="27747E89" w14:textId="77777777" w:rsidR="00587444" w:rsidRPr="00587444" w:rsidRDefault="00587444" w:rsidP="00880B90">
      <w:pPr>
        <w:tabs>
          <w:tab w:val="left" w:pos="-1985"/>
        </w:tabs>
        <w:autoSpaceDN/>
        <w:jc w:val="both"/>
        <w:rPr>
          <w:rFonts w:ascii="Arial" w:hAnsi="Arial" w:cs="Arial"/>
          <w:sz w:val="20"/>
          <w:szCs w:val="20"/>
          <w:lang w:val="en-GB"/>
        </w:rPr>
      </w:pPr>
    </w:p>
    <w:p w14:paraId="3B271866" w14:textId="77777777" w:rsidR="00587444" w:rsidRPr="00587444" w:rsidRDefault="00587444" w:rsidP="00880B90">
      <w:pPr>
        <w:tabs>
          <w:tab w:val="left" w:pos="-1985"/>
        </w:tabs>
        <w:autoSpaceDN/>
        <w:jc w:val="both"/>
        <w:rPr>
          <w:rFonts w:ascii="Arial" w:hAnsi="Arial" w:cs="Arial"/>
          <w:sz w:val="20"/>
          <w:szCs w:val="20"/>
          <w:lang w:val="en-GB"/>
        </w:rPr>
      </w:pPr>
      <w:r w:rsidRPr="00587444">
        <w:rPr>
          <w:rFonts w:ascii="Arial" w:hAnsi="Arial" w:cs="Arial"/>
          <w:sz w:val="20"/>
          <w:szCs w:val="20"/>
          <w:lang w:val="en-GB"/>
        </w:rPr>
        <w:t xml:space="preserve">In 2022, foreclosed assets </w:t>
      </w:r>
      <w:proofErr w:type="gramStart"/>
      <w:r w:rsidRPr="00587444">
        <w:rPr>
          <w:rFonts w:ascii="Arial" w:hAnsi="Arial" w:cs="Arial"/>
          <w:sz w:val="20"/>
          <w:szCs w:val="20"/>
          <w:lang w:val="en-GB"/>
        </w:rPr>
        <w:t>was</w:t>
      </w:r>
      <w:proofErr w:type="gramEnd"/>
      <w:r w:rsidRPr="00587444">
        <w:rPr>
          <w:rFonts w:ascii="Arial" w:hAnsi="Arial" w:cs="Arial"/>
          <w:sz w:val="20"/>
          <w:szCs w:val="20"/>
          <w:lang w:val="en-GB"/>
        </w:rPr>
        <w:t xml:space="preserve"> transferred to lease on the item Investments in property in the amount of HRK 1,290 thousand (2021: HRK 2,757 thousand), which is presented under Other assets due to immaterial significance. In 2022, this property was depreciated in the amount of HRK 133 thousand (2021: HRK 133 thousand).</w:t>
      </w:r>
    </w:p>
    <w:p w14:paraId="65DFD798" w14:textId="77777777" w:rsidR="00587444" w:rsidRPr="00587444" w:rsidRDefault="00587444" w:rsidP="00880B90">
      <w:pPr>
        <w:tabs>
          <w:tab w:val="left" w:pos="-1985"/>
        </w:tabs>
        <w:autoSpaceDN/>
        <w:jc w:val="both"/>
        <w:rPr>
          <w:rFonts w:ascii="Arial" w:hAnsi="Arial" w:cs="Arial"/>
          <w:sz w:val="20"/>
          <w:szCs w:val="20"/>
          <w:lang w:val="en-GB"/>
        </w:rPr>
      </w:pPr>
    </w:p>
    <w:p w14:paraId="575EDA8D" w14:textId="77777777" w:rsidR="00587444" w:rsidRPr="00587444" w:rsidRDefault="00587444" w:rsidP="00880B90">
      <w:pPr>
        <w:tabs>
          <w:tab w:val="left" w:pos="-1985"/>
        </w:tabs>
        <w:autoSpaceDN/>
        <w:jc w:val="both"/>
        <w:rPr>
          <w:rFonts w:ascii="Arial" w:hAnsi="Arial" w:cs="Arial"/>
          <w:sz w:val="20"/>
          <w:szCs w:val="20"/>
          <w:lang w:val="hr-HR"/>
        </w:rPr>
      </w:pPr>
      <w:r w:rsidRPr="00587444">
        <w:rPr>
          <w:rFonts w:ascii="Arial" w:hAnsi="Arial" w:cs="Arial"/>
          <w:sz w:val="20"/>
          <w:szCs w:val="20"/>
          <w:lang w:val="en-GB"/>
        </w:rPr>
        <w:t>The fair value of total foreclosed assets at the beginning of the reporting period stood at HRK 29,951 thousand and the end of the reporting period at HRK 42,122 thousand</w:t>
      </w:r>
      <w:r w:rsidRPr="00587444">
        <w:rPr>
          <w:rFonts w:ascii="Arial" w:hAnsi="Arial" w:cs="Arial"/>
          <w:sz w:val="20"/>
          <w:szCs w:val="20"/>
          <w:lang w:val="hr-HR"/>
        </w:rPr>
        <w:t>.</w:t>
      </w:r>
    </w:p>
    <w:p w14:paraId="6CF3487C" w14:textId="77777777" w:rsidR="00587444" w:rsidRPr="00587444" w:rsidRDefault="00587444" w:rsidP="00880B90">
      <w:pPr>
        <w:tabs>
          <w:tab w:val="left" w:pos="-1985"/>
        </w:tabs>
        <w:autoSpaceDN/>
        <w:jc w:val="both"/>
        <w:rPr>
          <w:rFonts w:ascii="Arial" w:hAnsi="Arial" w:cs="Arial"/>
          <w:sz w:val="20"/>
          <w:szCs w:val="20"/>
          <w:lang w:val="hr-HR"/>
        </w:rPr>
      </w:pPr>
    </w:p>
    <w:p w14:paraId="4C30A127" w14:textId="77777777" w:rsidR="00587444" w:rsidRPr="00587444" w:rsidRDefault="00587444" w:rsidP="00880B90">
      <w:pPr>
        <w:tabs>
          <w:tab w:val="left" w:pos="-1985"/>
        </w:tabs>
        <w:autoSpaceDN/>
        <w:jc w:val="both"/>
        <w:rPr>
          <w:rFonts w:ascii="Arial" w:hAnsi="Arial" w:cs="Arial"/>
          <w:sz w:val="20"/>
          <w:szCs w:val="20"/>
          <w:lang w:val="en-GB"/>
        </w:rPr>
      </w:pPr>
      <w:r w:rsidRPr="00587444">
        <w:rPr>
          <w:rFonts w:ascii="Arial" w:hAnsi="Arial" w:cs="Arial"/>
          <w:sz w:val="20"/>
          <w:szCs w:val="20"/>
          <w:lang w:val="en-GB"/>
        </w:rPr>
        <w:t xml:space="preserve">Adjustment increase amount for the Group and the Bank that </w:t>
      </w:r>
      <w:proofErr w:type="gramStart"/>
      <w:r w:rsidRPr="00587444">
        <w:rPr>
          <w:rFonts w:ascii="Arial" w:hAnsi="Arial" w:cs="Arial"/>
          <w:sz w:val="20"/>
          <w:szCs w:val="20"/>
          <w:lang w:val="en-GB"/>
        </w:rPr>
        <w:t>has an effect on</w:t>
      </w:r>
      <w:proofErr w:type="gramEnd"/>
      <w:r w:rsidRPr="00587444">
        <w:rPr>
          <w:rFonts w:ascii="Arial" w:hAnsi="Arial" w:cs="Arial"/>
          <w:sz w:val="20"/>
          <w:szCs w:val="20"/>
          <w:lang w:val="en-GB"/>
        </w:rPr>
        <w:t xml:space="preserve"> the profit or loss stood at HRK 2,171 thousand in 2022 (in 2021: increase of HRK 750 thousand).</w:t>
      </w:r>
    </w:p>
    <w:bookmarkEnd w:id="829"/>
    <w:p w14:paraId="00A3226C" w14:textId="77777777" w:rsidR="00587444" w:rsidRPr="00587444" w:rsidRDefault="00587444" w:rsidP="00587444">
      <w:pPr>
        <w:tabs>
          <w:tab w:val="left" w:pos="-1985"/>
        </w:tabs>
        <w:autoSpaceDN/>
        <w:jc w:val="both"/>
        <w:rPr>
          <w:rFonts w:ascii="Arial" w:hAnsi="Arial" w:cs="Arial"/>
          <w:sz w:val="20"/>
          <w:szCs w:val="20"/>
          <w:lang w:val="hr-HR"/>
        </w:rPr>
      </w:pPr>
    </w:p>
    <w:p w14:paraId="0D6C4721" w14:textId="77777777" w:rsidR="00587444" w:rsidRPr="00587444" w:rsidRDefault="00587444" w:rsidP="00587444">
      <w:pPr>
        <w:keepNext/>
        <w:suppressAutoHyphens w:val="0"/>
        <w:autoSpaceDN/>
        <w:jc w:val="both"/>
        <w:rPr>
          <w:rFonts w:ascii="Arial" w:hAnsi="Arial" w:cs="Arial"/>
          <w:sz w:val="20"/>
          <w:szCs w:val="20"/>
          <w:lang w:val="en-GB"/>
        </w:rPr>
      </w:pPr>
    </w:p>
    <w:p w14:paraId="0DF171D1" w14:textId="77777777" w:rsidR="00587444" w:rsidRPr="00587444" w:rsidRDefault="00587444" w:rsidP="00587444">
      <w:pPr>
        <w:keepNext/>
        <w:tabs>
          <w:tab w:val="left" w:pos="720"/>
        </w:tabs>
        <w:suppressAutoHyphens w:val="0"/>
        <w:autoSpaceDN/>
        <w:spacing w:before="240" w:after="120" w:line="360" w:lineRule="auto"/>
        <w:jc w:val="both"/>
        <w:rPr>
          <w:rFonts w:ascii="Arial" w:hAnsi="Arial" w:cs="Arial"/>
          <w:b/>
          <w:bCs/>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02A82014"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06E3637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21.</w:t>
      </w:r>
      <w:r w:rsidRPr="00587444">
        <w:rPr>
          <w:rFonts w:ascii="Arial" w:hAnsi="Arial" w:cs="Arial"/>
          <w:b/>
          <w:bCs/>
          <w:sz w:val="20"/>
          <w:szCs w:val="20"/>
          <w:lang w:val="en-GB"/>
        </w:rPr>
        <w:tab/>
        <w:t>Other assets</w:t>
      </w:r>
    </w:p>
    <w:p w14:paraId="5C6C87CB" w14:textId="77777777" w:rsidR="00587444" w:rsidRPr="00587444" w:rsidRDefault="00587444" w:rsidP="00587444">
      <w:pPr>
        <w:tabs>
          <w:tab w:val="left" w:pos="-1985"/>
        </w:tabs>
        <w:autoSpaceDN/>
        <w:rPr>
          <w:rFonts w:ascii="Arial" w:hAnsi="Arial" w:cs="Arial"/>
          <w:b/>
          <w:sz w:val="20"/>
          <w:szCs w:val="20"/>
          <w:u w:val="single"/>
          <w:lang w:val="en-GB"/>
        </w:rPr>
      </w:pPr>
    </w:p>
    <w:tbl>
      <w:tblPr>
        <w:tblW w:w="4987" w:type="pct"/>
        <w:tblLayout w:type="fixed"/>
        <w:tblCellMar>
          <w:left w:w="119" w:type="dxa"/>
          <w:right w:w="119" w:type="dxa"/>
        </w:tblCellMar>
        <w:tblLook w:val="0000" w:firstRow="0" w:lastRow="0" w:firstColumn="0" w:lastColumn="0" w:noHBand="0" w:noVBand="0"/>
      </w:tblPr>
      <w:tblGrid>
        <w:gridCol w:w="3343"/>
        <w:gridCol w:w="1556"/>
        <w:gridCol w:w="1556"/>
        <w:gridCol w:w="170"/>
        <w:gridCol w:w="1385"/>
        <w:gridCol w:w="1558"/>
      </w:tblGrid>
      <w:tr w:rsidR="00587444" w:rsidRPr="00587444" w14:paraId="10E1F1F5" w14:textId="77777777" w:rsidTr="00DD69E7">
        <w:trPr>
          <w:trHeight w:val="185"/>
        </w:trPr>
        <w:tc>
          <w:tcPr>
            <w:tcW w:w="1747" w:type="pct"/>
          </w:tcPr>
          <w:p w14:paraId="4AA2539C" w14:textId="77777777" w:rsidR="00587444" w:rsidRPr="00587444" w:rsidRDefault="00587444" w:rsidP="00587444">
            <w:pPr>
              <w:tabs>
                <w:tab w:val="left" w:pos="-720"/>
              </w:tabs>
              <w:autoSpaceDN/>
              <w:rPr>
                <w:rFonts w:ascii="Arial" w:eastAsia="Calibri" w:hAnsi="Arial" w:cs="Arial"/>
                <w:spacing w:val="-2"/>
                <w:sz w:val="20"/>
                <w:szCs w:val="20"/>
              </w:rPr>
            </w:pPr>
          </w:p>
        </w:tc>
        <w:tc>
          <w:tcPr>
            <w:tcW w:w="1715" w:type="pct"/>
            <w:gridSpan w:val="3"/>
          </w:tcPr>
          <w:p w14:paraId="506E6AF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830" w:name="_Toc4059672"/>
            <w:r w:rsidRPr="00587444">
              <w:rPr>
                <w:rFonts w:ascii="Arial" w:hAnsi="Arial" w:cs="Arial"/>
                <w:b/>
                <w:sz w:val="20"/>
                <w:szCs w:val="20"/>
              </w:rPr>
              <w:t>Group</w:t>
            </w:r>
            <w:bookmarkEnd w:id="830"/>
          </w:p>
        </w:tc>
        <w:tc>
          <w:tcPr>
            <w:tcW w:w="1538" w:type="pct"/>
            <w:gridSpan w:val="2"/>
          </w:tcPr>
          <w:p w14:paraId="3709DFF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831" w:name="_Toc4059673"/>
            <w:r w:rsidRPr="00587444">
              <w:rPr>
                <w:rFonts w:ascii="Arial" w:hAnsi="Arial" w:cs="Arial"/>
                <w:b/>
                <w:sz w:val="20"/>
                <w:szCs w:val="20"/>
              </w:rPr>
              <w:t>Bank</w:t>
            </w:r>
            <w:bookmarkEnd w:id="831"/>
          </w:p>
        </w:tc>
      </w:tr>
      <w:tr w:rsidR="00587444" w:rsidRPr="00587444" w14:paraId="6700BA56" w14:textId="77777777" w:rsidTr="00DD69E7">
        <w:trPr>
          <w:trHeight w:val="185"/>
        </w:trPr>
        <w:tc>
          <w:tcPr>
            <w:tcW w:w="1747" w:type="pct"/>
          </w:tcPr>
          <w:p w14:paraId="470BF4B5" w14:textId="77777777" w:rsidR="00587444" w:rsidRPr="00587444" w:rsidRDefault="00587444" w:rsidP="00587444">
            <w:pPr>
              <w:tabs>
                <w:tab w:val="left" w:pos="-720"/>
              </w:tabs>
              <w:autoSpaceDN/>
              <w:rPr>
                <w:rFonts w:ascii="Arial" w:eastAsia="Calibri" w:hAnsi="Arial" w:cs="Arial"/>
                <w:spacing w:val="-2"/>
                <w:sz w:val="20"/>
                <w:szCs w:val="20"/>
              </w:rPr>
            </w:pPr>
          </w:p>
        </w:tc>
        <w:tc>
          <w:tcPr>
            <w:tcW w:w="813" w:type="pct"/>
          </w:tcPr>
          <w:p w14:paraId="30B7A02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832" w:name="_Toc4059674"/>
            <w:r w:rsidRPr="00587444">
              <w:rPr>
                <w:rFonts w:ascii="Arial" w:hAnsi="Arial" w:cs="Arial"/>
                <w:b/>
                <w:sz w:val="20"/>
                <w:szCs w:val="20"/>
              </w:rPr>
              <w:t xml:space="preserve">31 December </w:t>
            </w:r>
            <w:bookmarkEnd w:id="832"/>
            <w:r w:rsidRPr="00587444">
              <w:rPr>
                <w:rFonts w:ascii="Arial" w:hAnsi="Arial" w:cs="Arial"/>
                <w:b/>
                <w:sz w:val="20"/>
                <w:szCs w:val="20"/>
              </w:rPr>
              <w:t>2022</w:t>
            </w:r>
          </w:p>
        </w:tc>
        <w:tc>
          <w:tcPr>
            <w:tcW w:w="813" w:type="pct"/>
            <w:shd w:val="clear" w:color="auto" w:fill="auto"/>
          </w:tcPr>
          <w:p w14:paraId="0F875D7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833" w:name="_Toc4059675"/>
            <w:r w:rsidRPr="00587444">
              <w:rPr>
                <w:rFonts w:ascii="Arial" w:hAnsi="Arial" w:cs="Arial"/>
                <w:b/>
                <w:sz w:val="20"/>
                <w:szCs w:val="20"/>
              </w:rPr>
              <w:t xml:space="preserve">31 December </w:t>
            </w:r>
            <w:bookmarkEnd w:id="833"/>
            <w:r w:rsidRPr="00587444">
              <w:rPr>
                <w:rFonts w:ascii="Arial" w:hAnsi="Arial" w:cs="Arial"/>
                <w:b/>
                <w:sz w:val="20"/>
                <w:szCs w:val="20"/>
              </w:rPr>
              <w:t>2021</w:t>
            </w:r>
          </w:p>
        </w:tc>
        <w:tc>
          <w:tcPr>
            <w:tcW w:w="813" w:type="pct"/>
            <w:gridSpan w:val="2"/>
            <w:shd w:val="clear" w:color="auto" w:fill="auto"/>
          </w:tcPr>
          <w:p w14:paraId="571A918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834" w:name="_Toc4059676"/>
            <w:r w:rsidRPr="00587444">
              <w:rPr>
                <w:rFonts w:ascii="Arial" w:hAnsi="Arial" w:cs="Arial"/>
                <w:b/>
                <w:sz w:val="20"/>
                <w:szCs w:val="20"/>
              </w:rPr>
              <w:t>31 December 202</w:t>
            </w:r>
            <w:bookmarkEnd w:id="834"/>
            <w:r w:rsidRPr="00587444">
              <w:rPr>
                <w:rFonts w:ascii="Arial" w:hAnsi="Arial" w:cs="Arial"/>
                <w:b/>
                <w:sz w:val="20"/>
                <w:szCs w:val="20"/>
              </w:rPr>
              <w:t>2</w:t>
            </w:r>
          </w:p>
        </w:tc>
        <w:tc>
          <w:tcPr>
            <w:tcW w:w="814" w:type="pct"/>
            <w:shd w:val="clear" w:color="auto" w:fill="auto"/>
          </w:tcPr>
          <w:p w14:paraId="314CB67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835" w:name="_Toc4059677"/>
            <w:r w:rsidRPr="00587444">
              <w:rPr>
                <w:rFonts w:ascii="Arial" w:hAnsi="Arial" w:cs="Arial"/>
                <w:b/>
                <w:sz w:val="20"/>
                <w:szCs w:val="20"/>
              </w:rPr>
              <w:t xml:space="preserve">31 December </w:t>
            </w:r>
            <w:bookmarkEnd w:id="835"/>
            <w:r w:rsidRPr="00587444">
              <w:rPr>
                <w:rFonts w:ascii="Arial" w:hAnsi="Arial" w:cs="Arial"/>
                <w:b/>
                <w:sz w:val="20"/>
                <w:szCs w:val="20"/>
              </w:rPr>
              <w:t>2021</w:t>
            </w:r>
          </w:p>
        </w:tc>
      </w:tr>
      <w:tr w:rsidR="00587444" w:rsidRPr="00587444" w14:paraId="6E28DC51" w14:textId="77777777" w:rsidTr="00DD69E7">
        <w:trPr>
          <w:trHeight w:val="234"/>
        </w:trPr>
        <w:tc>
          <w:tcPr>
            <w:tcW w:w="1747" w:type="pct"/>
          </w:tcPr>
          <w:p w14:paraId="21F95D8B" w14:textId="77777777" w:rsidR="00587444" w:rsidRPr="00587444" w:rsidRDefault="00587444" w:rsidP="00587444">
            <w:pPr>
              <w:tabs>
                <w:tab w:val="left" w:pos="-720"/>
              </w:tabs>
              <w:autoSpaceDN/>
              <w:rPr>
                <w:rFonts w:ascii="Arial" w:eastAsia="Calibri" w:hAnsi="Arial" w:cs="Arial"/>
                <w:spacing w:val="-2"/>
                <w:sz w:val="20"/>
                <w:szCs w:val="20"/>
              </w:rPr>
            </w:pPr>
          </w:p>
        </w:tc>
        <w:tc>
          <w:tcPr>
            <w:tcW w:w="813" w:type="pct"/>
          </w:tcPr>
          <w:p w14:paraId="7686715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836" w:name="_Toc4059678"/>
            <w:r w:rsidRPr="00587444">
              <w:rPr>
                <w:rFonts w:ascii="Arial" w:hAnsi="Arial" w:cs="Arial"/>
                <w:b/>
                <w:sz w:val="20"/>
                <w:szCs w:val="20"/>
              </w:rPr>
              <w:t>HRK ‘000</w:t>
            </w:r>
            <w:bookmarkEnd w:id="836"/>
          </w:p>
        </w:tc>
        <w:tc>
          <w:tcPr>
            <w:tcW w:w="813" w:type="pct"/>
          </w:tcPr>
          <w:p w14:paraId="1EB6FA4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837" w:name="_Toc4059679"/>
            <w:r w:rsidRPr="00587444">
              <w:rPr>
                <w:rFonts w:ascii="Arial" w:hAnsi="Arial" w:cs="Arial"/>
                <w:b/>
                <w:sz w:val="20"/>
                <w:szCs w:val="20"/>
              </w:rPr>
              <w:t>HRK ‘000</w:t>
            </w:r>
            <w:bookmarkEnd w:id="837"/>
          </w:p>
        </w:tc>
        <w:tc>
          <w:tcPr>
            <w:tcW w:w="813" w:type="pct"/>
            <w:gridSpan w:val="2"/>
          </w:tcPr>
          <w:p w14:paraId="6CABA64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838" w:name="_Toc4059680"/>
            <w:r w:rsidRPr="00587444">
              <w:rPr>
                <w:rFonts w:ascii="Arial" w:hAnsi="Arial" w:cs="Arial"/>
                <w:b/>
                <w:sz w:val="20"/>
                <w:szCs w:val="20"/>
              </w:rPr>
              <w:t>HRK ‘000</w:t>
            </w:r>
            <w:bookmarkEnd w:id="838"/>
          </w:p>
        </w:tc>
        <w:tc>
          <w:tcPr>
            <w:tcW w:w="814" w:type="pct"/>
          </w:tcPr>
          <w:p w14:paraId="10176FC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839" w:name="_Toc4059681"/>
            <w:r w:rsidRPr="00587444">
              <w:rPr>
                <w:rFonts w:ascii="Arial" w:hAnsi="Arial" w:cs="Arial"/>
                <w:b/>
                <w:sz w:val="20"/>
                <w:szCs w:val="20"/>
              </w:rPr>
              <w:t>HRK ‘000</w:t>
            </w:r>
            <w:bookmarkEnd w:id="839"/>
          </w:p>
        </w:tc>
      </w:tr>
      <w:tr w:rsidR="00587444" w:rsidRPr="00587444" w14:paraId="42C6DD0B" w14:textId="77777777" w:rsidTr="00DD69E7">
        <w:trPr>
          <w:trHeight w:val="251"/>
        </w:trPr>
        <w:tc>
          <w:tcPr>
            <w:tcW w:w="1747" w:type="pct"/>
          </w:tcPr>
          <w:p w14:paraId="30990F41" w14:textId="77777777" w:rsidR="00587444" w:rsidRPr="00587444" w:rsidRDefault="00587444" w:rsidP="00587444">
            <w:pPr>
              <w:tabs>
                <w:tab w:val="left" w:pos="-720"/>
              </w:tabs>
              <w:autoSpaceDN/>
              <w:rPr>
                <w:rFonts w:ascii="Arial" w:eastAsia="Calibri" w:hAnsi="Arial" w:cs="Arial"/>
                <w:spacing w:val="-2"/>
                <w:sz w:val="20"/>
                <w:szCs w:val="20"/>
              </w:rPr>
            </w:pPr>
          </w:p>
        </w:tc>
        <w:tc>
          <w:tcPr>
            <w:tcW w:w="813" w:type="pct"/>
          </w:tcPr>
          <w:p w14:paraId="7AEB05F4" w14:textId="77777777" w:rsidR="00587444" w:rsidRPr="00587444" w:rsidRDefault="00587444" w:rsidP="00587444">
            <w:pPr>
              <w:tabs>
                <w:tab w:val="left" w:pos="-720"/>
              </w:tabs>
              <w:autoSpaceDN/>
              <w:jc w:val="right"/>
              <w:rPr>
                <w:rFonts w:ascii="Arial" w:eastAsia="Calibri" w:hAnsi="Arial" w:cs="Arial"/>
                <w:b/>
                <w:spacing w:val="-2"/>
                <w:sz w:val="20"/>
                <w:szCs w:val="20"/>
              </w:rPr>
            </w:pPr>
          </w:p>
        </w:tc>
        <w:tc>
          <w:tcPr>
            <w:tcW w:w="813" w:type="pct"/>
          </w:tcPr>
          <w:p w14:paraId="25505D93" w14:textId="77777777" w:rsidR="00587444" w:rsidRPr="00587444" w:rsidRDefault="00587444" w:rsidP="00587444">
            <w:pPr>
              <w:tabs>
                <w:tab w:val="left" w:pos="-720"/>
              </w:tabs>
              <w:autoSpaceDN/>
              <w:jc w:val="right"/>
              <w:rPr>
                <w:rFonts w:ascii="Arial" w:eastAsia="Calibri" w:hAnsi="Arial" w:cs="Arial"/>
                <w:b/>
                <w:spacing w:val="-2"/>
                <w:sz w:val="20"/>
                <w:szCs w:val="20"/>
              </w:rPr>
            </w:pPr>
          </w:p>
        </w:tc>
        <w:tc>
          <w:tcPr>
            <w:tcW w:w="813" w:type="pct"/>
            <w:gridSpan w:val="2"/>
            <w:vAlign w:val="bottom"/>
          </w:tcPr>
          <w:p w14:paraId="172294AA" w14:textId="77777777" w:rsidR="00587444" w:rsidRPr="00587444" w:rsidRDefault="00587444" w:rsidP="00587444">
            <w:pPr>
              <w:tabs>
                <w:tab w:val="left" w:pos="-720"/>
              </w:tabs>
              <w:autoSpaceDN/>
              <w:jc w:val="right"/>
              <w:rPr>
                <w:rFonts w:ascii="Arial" w:eastAsia="Calibri" w:hAnsi="Arial" w:cs="Arial"/>
                <w:b/>
                <w:spacing w:val="-2"/>
                <w:sz w:val="20"/>
                <w:szCs w:val="20"/>
              </w:rPr>
            </w:pPr>
          </w:p>
        </w:tc>
        <w:tc>
          <w:tcPr>
            <w:tcW w:w="814" w:type="pct"/>
            <w:vAlign w:val="bottom"/>
          </w:tcPr>
          <w:p w14:paraId="24AE0371" w14:textId="77777777" w:rsidR="00587444" w:rsidRPr="00587444" w:rsidRDefault="00587444" w:rsidP="00587444">
            <w:pPr>
              <w:tabs>
                <w:tab w:val="left" w:pos="-720"/>
              </w:tabs>
              <w:autoSpaceDN/>
              <w:jc w:val="right"/>
              <w:rPr>
                <w:rFonts w:ascii="Arial" w:eastAsia="Calibri" w:hAnsi="Arial" w:cs="Arial"/>
                <w:b/>
                <w:spacing w:val="-2"/>
                <w:sz w:val="20"/>
                <w:szCs w:val="20"/>
              </w:rPr>
            </w:pPr>
          </w:p>
        </w:tc>
      </w:tr>
      <w:tr w:rsidR="00587444" w:rsidRPr="00587444" w14:paraId="03879FA5" w14:textId="77777777" w:rsidTr="00DD69E7">
        <w:trPr>
          <w:trHeight w:val="301"/>
        </w:trPr>
        <w:tc>
          <w:tcPr>
            <w:tcW w:w="1747" w:type="pct"/>
          </w:tcPr>
          <w:p w14:paraId="621AC46A" w14:textId="77777777" w:rsidR="00587444" w:rsidRPr="00587444" w:rsidRDefault="00587444" w:rsidP="00587444">
            <w:pPr>
              <w:suppressAutoHyphens w:val="0"/>
              <w:autoSpaceDN/>
              <w:spacing w:line="301" w:lineRule="exact"/>
              <w:outlineLvl w:val="0"/>
              <w:rPr>
                <w:rFonts w:ascii="Arial" w:hAnsi="Arial" w:cs="Arial"/>
                <w:sz w:val="20"/>
                <w:szCs w:val="20"/>
              </w:rPr>
            </w:pPr>
            <w:bookmarkStart w:id="840" w:name="_Toc4059682"/>
            <w:r w:rsidRPr="00587444">
              <w:rPr>
                <w:rFonts w:ascii="Arial" w:hAnsi="Arial" w:cs="Arial"/>
                <w:sz w:val="20"/>
                <w:szCs w:val="20"/>
              </w:rPr>
              <w:t>Fees receivable</w:t>
            </w:r>
            <w:bookmarkEnd w:id="840"/>
          </w:p>
        </w:tc>
        <w:tc>
          <w:tcPr>
            <w:tcW w:w="813" w:type="pct"/>
            <w:tcBorders>
              <w:top w:val="nil"/>
              <w:left w:val="nil"/>
              <w:bottom w:val="nil"/>
              <w:right w:val="nil"/>
            </w:tcBorders>
            <w:shd w:val="clear" w:color="auto" w:fill="auto"/>
            <w:vAlign w:val="bottom"/>
          </w:tcPr>
          <w:p w14:paraId="37EDF30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26,676 </w:t>
            </w:r>
          </w:p>
        </w:tc>
        <w:tc>
          <w:tcPr>
            <w:tcW w:w="813" w:type="pct"/>
            <w:tcBorders>
              <w:top w:val="nil"/>
              <w:left w:val="nil"/>
              <w:bottom w:val="nil"/>
              <w:right w:val="nil"/>
            </w:tcBorders>
            <w:shd w:val="clear" w:color="auto" w:fill="auto"/>
            <w:vAlign w:val="bottom"/>
          </w:tcPr>
          <w:p w14:paraId="3E91D35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25,787</w:t>
            </w:r>
          </w:p>
        </w:tc>
        <w:tc>
          <w:tcPr>
            <w:tcW w:w="813" w:type="pct"/>
            <w:gridSpan w:val="2"/>
            <w:tcBorders>
              <w:top w:val="nil"/>
              <w:left w:val="nil"/>
              <w:bottom w:val="nil"/>
              <w:right w:val="nil"/>
            </w:tcBorders>
            <w:shd w:val="clear" w:color="auto" w:fill="auto"/>
            <w:vAlign w:val="bottom"/>
          </w:tcPr>
          <w:p w14:paraId="7B65DBD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26,676 </w:t>
            </w:r>
          </w:p>
        </w:tc>
        <w:tc>
          <w:tcPr>
            <w:tcW w:w="814" w:type="pct"/>
            <w:tcBorders>
              <w:top w:val="nil"/>
              <w:left w:val="nil"/>
              <w:bottom w:val="nil"/>
              <w:right w:val="nil"/>
            </w:tcBorders>
            <w:shd w:val="clear" w:color="auto" w:fill="auto"/>
            <w:vAlign w:val="bottom"/>
          </w:tcPr>
          <w:p w14:paraId="0DAEBCA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hAnsi="Arial" w:cs="Arial"/>
                <w:color w:val="000000"/>
                <w:sz w:val="20"/>
                <w:szCs w:val="20"/>
                <w:lang w:val="hr-HR"/>
              </w:rPr>
              <w:t>25,787</w:t>
            </w:r>
          </w:p>
        </w:tc>
      </w:tr>
      <w:tr w:rsidR="00587444" w:rsidRPr="00587444" w14:paraId="7F6FDE8F" w14:textId="77777777" w:rsidTr="00DD69E7">
        <w:trPr>
          <w:trHeight w:val="301"/>
        </w:trPr>
        <w:tc>
          <w:tcPr>
            <w:tcW w:w="1747" w:type="pct"/>
          </w:tcPr>
          <w:p w14:paraId="05043C09" w14:textId="77777777" w:rsidR="00587444" w:rsidRPr="00587444" w:rsidRDefault="00587444" w:rsidP="00587444">
            <w:pPr>
              <w:suppressAutoHyphens w:val="0"/>
              <w:autoSpaceDN/>
              <w:spacing w:line="301" w:lineRule="exact"/>
              <w:outlineLvl w:val="0"/>
              <w:rPr>
                <w:rFonts w:ascii="Arial" w:hAnsi="Arial" w:cs="Arial"/>
                <w:sz w:val="20"/>
                <w:szCs w:val="20"/>
              </w:rPr>
            </w:pPr>
            <w:bookmarkStart w:id="841" w:name="_Toc4059687"/>
            <w:r w:rsidRPr="00587444">
              <w:rPr>
                <w:rFonts w:ascii="Arial" w:hAnsi="Arial" w:cs="Arial"/>
                <w:sz w:val="20"/>
                <w:szCs w:val="20"/>
              </w:rPr>
              <w:t>Other receivables</w:t>
            </w:r>
            <w:bookmarkEnd w:id="841"/>
          </w:p>
        </w:tc>
        <w:tc>
          <w:tcPr>
            <w:tcW w:w="813" w:type="pct"/>
            <w:tcBorders>
              <w:top w:val="nil"/>
              <w:left w:val="nil"/>
              <w:bottom w:val="nil"/>
              <w:right w:val="nil"/>
            </w:tcBorders>
            <w:shd w:val="clear" w:color="auto" w:fill="auto"/>
            <w:vAlign w:val="bottom"/>
          </w:tcPr>
          <w:p w14:paraId="0E7FD68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12,244 </w:t>
            </w:r>
          </w:p>
        </w:tc>
        <w:tc>
          <w:tcPr>
            <w:tcW w:w="813" w:type="pct"/>
            <w:tcBorders>
              <w:top w:val="nil"/>
              <w:left w:val="nil"/>
              <w:bottom w:val="nil"/>
              <w:right w:val="nil"/>
            </w:tcBorders>
            <w:shd w:val="clear" w:color="auto" w:fill="auto"/>
            <w:vAlign w:val="bottom"/>
          </w:tcPr>
          <w:p w14:paraId="5954ACF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10,609</w:t>
            </w:r>
          </w:p>
        </w:tc>
        <w:tc>
          <w:tcPr>
            <w:tcW w:w="813" w:type="pct"/>
            <w:gridSpan w:val="2"/>
            <w:tcBorders>
              <w:top w:val="nil"/>
              <w:left w:val="nil"/>
              <w:bottom w:val="nil"/>
              <w:right w:val="nil"/>
            </w:tcBorders>
            <w:shd w:val="clear" w:color="auto" w:fill="auto"/>
            <w:vAlign w:val="bottom"/>
          </w:tcPr>
          <w:p w14:paraId="207B551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12,244 </w:t>
            </w:r>
          </w:p>
        </w:tc>
        <w:tc>
          <w:tcPr>
            <w:tcW w:w="814" w:type="pct"/>
            <w:tcBorders>
              <w:top w:val="nil"/>
              <w:left w:val="nil"/>
              <w:bottom w:val="nil"/>
              <w:right w:val="nil"/>
            </w:tcBorders>
            <w:shd w:val="clear" w:color="auto" w:fill="auto"/>
            <w:vAlign w:val="bottom"/>
          </w:tcPr>
          <w:p w14:paraId="367D494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hAnsi="Arial" w:cs="Arial"/>
                <w:color w:val="000000"/>
                <w:sz w:val="20"/>
                <w:szCs w:val="20"/>
                <w:lang w:val="hr-HR"/>
              </w:rPr>
              <w:t>10,609</w:t>
            </w:r>
          </w:p>
        </w:tc>
      </w:tr>
      <w:tr w:rsidR="00587444" w:rsidRPr="00587444" w14:paraId="0AA50C6E" w14:textId="77777777" w:rsidTr="00DD69E7">
        <w:trPr>
          <w:trHeight w:val="301"/>
        </w:trPr>
        <w:tc>
          <w:tcPr>
            <w:tcW w:w="1747" w:type="pct"/>
          </w:tcPr>
          <w:p w14:paraId="01BA0AA4" w14:textId="77777777" w:rsidR="00587444" w:rsidRPr="00587444" w:rsidRDefault="00587444" w:rsidP="00587444">
            <w:pPr>
              <w:suppressAutoHyphens w:val="0"/>
              <w:autoSpaceDN/>
              <w:spacing w:line="301" w:lineRule="exact"/>
              <w:outlineLvl w:val="0"/>
              <w:rPr>
                <w:rFonts w:ascii="Arial" w:hAnsi="Arial" w:cs="Arial"/>
                <w:sz w:val="20"/>
                <w:szCs w:val="20"/>
              </w:rPr>
            </w:pPr>
            <w:bookmarkStart w:id="842" w:name="_Toc4059692"/>
            <w:r w:rsidRPr="00587444">
              <w:rPr>
                <w:rFonts w:ascii="Arial" w:hAnsi="Arial" w:cs="Arial"/>
                <w:sz w:val="20"/>
                <w:szCs w:val="20"/>
              </w:rPr>
              <w:t>Prepaid expenses</w:t>
            </w:r>
            <w:bookmarkEnd w:id="842"/>
          </w:p>
        </w:tc>
        <w:tc>
          <w:tcPr>
            <w:tcW w:w="813" w:type="pct"/>
            <w:tcBorders>
              <w:top w:val="nil"/>
              <w:left w:val="nil"/>
              <w:bottom w:val="nil"/>
              <w:right w:val="nil"/>
            </w:tcBorders>
            <w:shd w:val="clear" w:color="auto" w:fill="auto"/>
            <w:vAlign w:val="bottom"/>
          </w:tcPr>
          <w:p w14:paraId="5936DE4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2,913 </w:t>
            </w:r>
          </w:p>
        </w:tc>
        <w:tc>
          <w:tcPr>
            <w:tcW w:w="813" w:type="pct"/>
            <w:tcBorders>
              <w:top w:val="nil"/>
              <w:left w:val="nil"/>
              <w:bottom w:val="nil"/>
              <w:right w:val="nil"/>
            </w:tcBorders>
            <w:shd w:val="clear" w:color="auto" w:fill="auto"/>
            <w:vAlign w:val="bottom"/>
          </w:tcPr>
          <w:p w14:paraId="28F9A26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3,344</w:t>
            </w:r>
          </w:p>
        </w:tc>
        <w:tc>
          <w:tcPr>
            <w:tcW w:w="813" w:type="pct"/>
            <w:gridSpan w:val="2"/>
            <w:tcBorders>
              <w:top w:val="nil"/>
              <w:left w:val="nil"/>
              <w:bottom w:val="nil"/>
              <w:right w:val="nil"/>
            </w:tcBorders>
            <w:shd w:val="clear" w:color="auto" w:fill="auto"/>
            <w:vAlign w:val="bottom"/>
          </w:tcPr>
          <w:p w14:paraId="0BD7659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2,514 </w:t>
            </w:r>
          </w:p>
        </w:tc>
        <w:tc>
          <w:tcPr>
            <w:tcW w:w="814" w:type="pct"/>
            <w:tcBorders>
              <w:top w:val="nil"/>
              <w:left w:val="nil"/>
              <w:bottom w:val="nil"/>
              <w:right w:val="nil"/>
            </w:tcBorders>
            <w:shd w:val="clear" w:color="auto" w:fill="auto"/>
            <w:vAlign w:val="bottom"/>
          </w:tcPr>
          <w:p w14:paraId="616213F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hAnsi="Arial" w:cs="Arial"/>
                <w:color w:val="000000"/>
                <w:sz w:val="20"/>
                <w:szCs w:val="20"/>
                <w:lang w:val="hr-HR"/>
              </w:rPr>
              <w:t>3,018</w:t>
            </w:r>
          </w:p>
        </w:tc>
      </w:tr>
      <w:tr w:rsidR="00587444" w:rsidRPr="00587444" w14:paraId="0E7FF878" w14:textId="77777777" w:rsidTr="00DD69E7">
        <w:trPr>
          <w:trHeight w:val="301"/>
        </w:trPr>
        <w:tc>
          <w:tcPr>
            <w:tcW w:w="1747" w:type="pct"/>
          </w:tcPr>
          <w:p w14:paraId="78DA8AAF" w14:textId="77777777" w:rsidR="00587444" w:rsidRPr="00587444" w:rsidRDefault="00587444" w:rsidP="00587444">
            <w:pPr>
              <w:suppressAutoHyphens w:val="0"/>
              <w:autoSpaceDN/>
              <w:spacing w:line="301" w:lineRule="exact"/>
              <w:outlineLvl w:val="0"/>
              <w:rPr>
                <w:rFonts w:ascii="Arial" w:hAnsi="Arial" w:cs="Arial"/>
                <w:sz w:val="20"/>
                <w:szCs w:val="20"/>
              </w:rPr>
            </w:pPr>
            <w:bookmarkStart w:id="843" w:name="_Toc4059697"/>
            <w:r w:rsidRPr="00587444">
              <w:rPr>
                <w:rFonts w:ascii="Arial" w:hAnsi="Arial" w:cs="Arial"/>
                <w:color w:val="000000"/>
                <w:sz w:val="20"/>
                <w:szCs w:val="20"/>
              </w:rPr>
              <w:t>Accrued income</w:t>
            </w:r>
            <w:bookmarkEnd w:id="843"/>
          </w:p>
        </w:tc>
        <w:tc>
          <w:tcPr>
            <w:tcW w:w="813" w:type="pct"/>
            <w:tcBorders>
              <w:top w:val="nil"/>
              <w:left w:val="nil"/>
              <w:bottom w:val="nil"/>
              <w:right w:val="nil"/>
            </w:tcBorders>
            <w:shd w:val="clear" w:color="auto" w:fill="auto"/>
            <w:vAlign w:val="bottom"/>
          </w:tcPr>
          <w:p w14:paraId="73075AA6" w14:textId="77777777" w:rsidR="00587444" w:rsidRPr="00587444" w:rsidDel="00C4485D"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16,551 </w:t>
            </w:r>
          </w:p>
        </w:tc>
        <w:tc>
          <w:tcPr>
            <w:tcW w:w="813" w:type="pct"/>
            <w:tcBorders>
              <w:top w:val="nil"/>
              <w:left w:val="nil"/>
              <w:bottom w:val="nil"/>
              <w:right w:val="nil"/>
            </w:tcBorders>
            <w:shd w:val="clear" w:color="auto" w:fill="auto"/>
            <w:vAlign w:val="bottom"/>
          </w:tcPr>
          <w:p w14:paraId="7C2D94E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22,923</w:t>
            </w:r>
          </w:p>
        </w:tc>
        <w:tc>
          <w:tcPr>
            <w:tcW w:w="813" w:type="pct"/>
            <w:gridSpan w:val="2"/>
            <w:tcBorders>
              <w:top w:val="nil"/>
              <w:left w:val="nil"/>
              <w:bottom w:val="nil"/>
              <w:right w:val="nil"/>
            </w:tcBorders>
            <w:shd w:val="clear" w:color="auto" w:fill="auto"/>
            <w:vAlign w:val="bottom"/>
          </w:tcPr>
          <w:p w14:paraId="7BB652D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16,550 </w:t>
            </w:r>
          </w:p>
        </w:tc>
        <w:tc>
          <w:tcPr>
            <w:tcW w:w="814" w:type="pct"/>
            <w:tcBorders>
              <w:top w:val="nil"/>
              <w:left w:val="nil"/>
              <w:bottom w:val="nil"/>
              <w:right w:val="nil"/>
            </w:tcBorders>
            <w:shd w:val="clear" w:color="auto" w:fill="auto"/>
            <w:vAlign w:val="bottom"/>
          </w:tcPr>
          <w:p w14:paraId="1C94AB6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rPr>
            </w:pPr>
            <w:r w:rsidRPr="00587444">
              <w:rPr>
                <w:rFonts w:ascii="Arial" w:hAnsi="Arial" w:cs="Arial"/>
                <w:color w:val="000000"/>
                <w:sz w:val="20"/>
                <w:szCs w:val="20"/>
                <w:lang w:val="hr-HR"/>
              </w:rPr>
              <w:t>22,921</w:t>
            </w:r>
          </w:p>
        </w:tc>
      </w:tr>
      <w:tr w:rsidR="00587444" w:rsidRPr="00587444" w14:paraId="586CF03D" w14:textId="77777777" w:rsidTr="00DD69E7">
        <w:trPr>
          <w:trHeight w:val="301"/>
        </w:trPr>
        <w:tc>
          <w:tcPr>
            <w:tcW w:w="1747" w:type="pct"/>
          </w:tcPr>
          <w:p w14:paraId="5E6BBE9A" w14:textId="77777777" w:rsidR="00587444" w:rsidRPr="00587444" w:rsidRDefault="00587444" w:rsidP="00587444">
            <w:pPr>
              <w:suppressAutoHyphens w:val="0"/>
              <w:autoSpaceDN/>
              <w:spacing w:line="301" w:lineRule="exact"/>
              <w:outlineLvl w:val="0"/>
              <w:rPr>
                <w:rFonts w:ascii="Arial" w:hAnsi="Arial" w:cs="Arial"/>
                <w:sz w:val="20"/>
                <w:szCs w:val="20"/>
              </w:rPr>
            </w:pPr>
            <w:bookmarkStart w:id="844" w:name="_Toc4059702"/>
            <w:r w:rsidRPr="00587444">
              <w:rPr>
                <w:rFonts w:ascii="Arial" w:hAnsi="Arial" w:cs="Arial"/>
                <w:sz w:val="20"/>
                <w:szCs w:val="20"/>
              </w:rPr>
              <w:t>Premium receivables</w:t>
            </w:r>
            <w:bookmarkEnd w:id="844"/>
          </w:p>
        </w:tc>
        <w:tc>
          <w:tcPr>
            <w:tcW w:w="813" w:type="pct"/>
            <w:tcBorders>
              <w:top w:val="nil"/>
              <w:left w:val="nil"/>
              <w:bottom w:val="nil"/>
              <w:right w:val="nil"/>
            </w:tcBorders>
            <w:shd w:val="clear" w:color="auto" w:fill="auto"/>
            <w:vAlign w:val="bottom"/>
          </w:tcPr>
          <w:p w14:paraId="667BFDD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3,575 </w:t>
            </w:r>
          </w:p>
        </w:tc>
        <w:tc>
          <w:tcPr>
            <w:tcW w:w="813" w:type="pct"/>
            <w:tcBorders>
              <w:top w:val="nil"/>
              <w:left w:val="nil"/>
              <w:bottom w:val="nil"/>
              <w:right w:val="nil"/>
            </w:tcBorders>
            <w:shd w:val="clear" w:color="auto" w:fill="auto"/>
            <w:vAlign w:val="bottom"/>
          </w:tcPr>
          <w:p w14:paraId="3DC5665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1,797</w:t>
            </w:r>
          </w:p>
        </w:tc>
        <w:tc>
          <w:tcPr>
            <w:tcW w:w="813" w:type="pct"/>
            <w:gridSpan w:val="2"/>
            <w:tcBorders>
              <w:top w:val="nil"/>
              <w:left w:val="nil"/>
              <w:bottom w:val="nil"/>
              <w:right w:val="nil"/>
            </w:tcBorders>
            <w:shd w:val="clear" w:color="auto" w:fill="auto"/>
            <w:vAlign w:val="bottom"/>
          </w:tcPr>
          <w:p w14:paraId="58F4C80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 </w:t>
            </w:r>
          </w:p>
        </w:tc>
        <w:tc>
          <w:tcPr>
            <w:tcW w:w="814" w:type="pct"/>
            <w:tcBorders>
              <w:top w:val="nil"/>
              <w:left w:val="nil"/>
              <w:bottom w:val="nil"/>
              <w:right w:val="nil"/>
            </w:tcBorders>
            <w:shd w:val="clear" w:color="auto" w:fill="auto"/>
            <w:vAlign w:val="bottom"/>
          </w:tcPr>
          <w:p w14:paraId="41AB01B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hAnsi="Arial" w:cs="Arial"/>
                <w:color w:val="000000"/>
                <w:sz w:val="20"/>
                <w:szCs w:val="20"/>
                <w:lang w:val="hr-HR"/>
              </w:rPr>
              <w:t>-</w:t>
            </w:r>
          </w:p>
        </w:tc>
      </w:tr>
      <w:tr w:rsidR="00587444" w:rsidRPr="00587444" w14:paraId="011AAA1B" w14:textId="77777777" w:rsidTr="00DD69E7">
        <w:trPr>
          <w:trHeight w:val="301"/>
        </w:trPr>
        <w:tc>
          <w:tcPr>
            <w:tcW w:w="1747" w:type="pct"/>
          </w:tcPr>
          <w:p w14:paraId="546CE1CF" w14:textId="77777777" w:rsidR="004F10C3" w:rsidRDefault="00587444" w:rsidP="00587444">
            <w:pPr>
              <w:suppressAutoHyphens w:val="0"/>
              <w:autoSpaceDN/>
              <w:spacing w:line="301" w:lineRule="exact"/>
              <w:outlineLvl w:val="0"/>
              <w:rPr>
                <w:rFonts w:ascii="Arial" w:hAnsi="Arial" w:cs="Arial"/>
                <w:sz w:val="20"/>
                <w:szCs w:val="20"/>
              </w:rPr>
            </w:pPr>
            <w:bookmarkStart w:id="845" w:name="_Toc4059707"/>
            <w:r w:rsidRPr="00587444">
              <w:rPr>
                <w:rFonts w:ascii="Arial" w:hAnsi="Arial" w:cs="Arial"/>
                <w:sz w:val="20"/>
                <w:szCs w:val="20"/>
              </w:rPr>
              <w:t xml:space="preserve">Receivables for reinsurance </w:t>
            </w:r>
          </w:p>
          <w:p w14:paraId="6649478C" w14:textId="79628A9F" w:rsidR="00587444" w:rsidRPr="00587444" w:rsidRDefault="00587444" w:rsidP="00587444">
            <w:pPr>
              <w:suppressAutoHyphens w:val="0"/>
              <w:autoSpaceDN/>
              <w:spacing w:line="301" w:lineRule="exact"/>
              <w:outlineLvl w:val="0"/>
              <w:rPr>
                <w:rFonts w:ascii="Arial" w:hAnsi="Arial" w:cs="Arial"/>
                <w:sz w:val="20"/>
                <w:szCs w:val="20"/>
              </w:rPr>
            </w:pPr>
            <w:r w:rsidRPr="00587444">
              <w:rPr>
                <w:rFonts w:ascii="Arial" w:hAnsi="Arial" w:cs="Arial"/>
                <w:sz w:val="20"/>
                <w:szCs w:val="20"/>
              </w:rPr>
              <w:t>commissions</w:t>
            </w:r>
            <w:bookmarkEnd w:id="845"/>
          </w:p>
        </w:tc>
        <w:tc>
          <w:tcPr>
            <w:tcW w:w="813" w:type="pct"/>
            <w:tcBorders>
              <w:top w:val="nil"/>
              <w:left w:val="nil"/>
              <w:bottom w:val="nil"/>
              <w:right w:val="nil"/>
            </w:tcBorders>
            <w:shd w:val="clear" w:color="auto" w:fill="auto"/>
            <w:vAlign w:val="bottom"/>
          </w:tcPr>
          <w:p w14:paraId="244ABB9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2,259 </w:t>
            </w:r>
          </w:p>
        </w:tc>
        <w:tc>
          <w:tcPr>
            <w:tcW w:w="813" w:type="pct"/>
            <w:tcBorders>
              <w:top w:val="nil"/>
              <w:left w:val="nil"/>
              <w:bottom w:val="nil"/>
              <w:right w:val="nil"/>
            </w:tcBorders>
            <w:shd w:val="clear" w:color="auto" w:fill="auto"/>
            <w:vAlign w:val="bottom"/>
          </w:tcPr>
          <w:p w14:paraId="620AB79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645</w:t>
            </w:r>
          </w:p>
        </w:tc>
        <w:tc>
          <w:tcPr>
            <w:tcW w:w="813" w:type="pct"/>
            <w:gridSpan w:val="2"/>
            <w:tcBorders>
              <w:top w:val="nil"/>
              <w:left w:val="nil"/>
              <w:bottom w:val="nil"/>
              <w:right w:val="nil"/>
            </w:tcBorders>
            <w:shd w:val="clear" w:color="auto" w:fill="auto"/>
            <w:vAlign w:val="bottom"/>
          </w:tcPr>
          <w:p w14:paraId="5031F6B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   </w:t>
            </w:r>
          </w:p>
        </w:tc>
        <w:tc>
          <w:tcPr>
            <w:tcW w:w="814" w:type="pct"/>
            <w:tcBorders>
              <w:top w:val="nil"/>
              <w:left w:val="nil"/>
              <w:bottom w:val="nil"/>
              <w:right w:val="nil"/>
            </w:tcBorders>
            <w:shd w:val="clear" w:color="auto" w:fill="auto"/>
            <w:vAlign w:val="bottom"/>
          </w:tcPr>
          <w:p w14:paraId="27D3BD8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hAnsi="Arial" w:cs="Arial"/>
                <w:color w:val="000000"/>
                <w:sz w:val="20"/>
                <w:szCs w:val="20"/>
                <w:lang w:val="hr-HR"/>
              </w:rPr>
              <w:t>-</w:t>
            </w:r>
          </w:p>
        </w:tc>
      </w:tr>
      <w:tr w:rsidR="00587444" w:rsidRPr="00587444" w14:paraId="51F559B5" w14:textId="77777777" w:rsidTr="00DD69E7">
        <w:trPr>
          <w:trHeight w:val="301"/>
        </w:trPr>
        <w:tc>
          <w:tcPr>
            <w:tcW w:w="1747" w:type="pct"/>
          </w:tcPr>
          <w:p w14:paraId="76FC7AEA" w14:textId="77777777" w:rsidR="00587444" w:rsidRPr="00587444" w:rsidRDefault="00587444" w:rsidP="00587444">
            <w:pPr>
              <w:suppressAutoHyphens w:val="0"/>
              <w:autoSpaceDN/>
              <w:spacing w:line="301" w:lineRule="exact"/>
              <w:outlineLvl w:val="0"/>
              <w:rPr>
                <w:rFonts w:ascii="Arial" w:hAnsi="Arial" w:cs="Arial"/>
                <w:sz w:val="20"/>
                <w:szCs w:val="20"/>
              </w:rPr>
            </w:pPr>
            <w:bookmarkStart w:id="846" w:name="_Toc4059712"/>
            <w:r w:rsidRPr="00587444">
              <w:rPr>
                <w:rFonts w:ascii="Arial" w:hAnsi="Arial" w:cs="Arial"/>
                <w:sz w:val="20"/>
                <w:szCs w:val="20"/>
              </w:rPr>
              <w:t>Receivables for risk assessment fees</w:t>
            </w:r>
            <w:bookmarkEnd w:id="846"/>
          </w:p>
        </w:tc>
        <w:tc>
          <w:tcPr>
            <w:tcW w:w="813" w:type="pct"/>
            <w:tcBorders>
              <w:top w:val="nil"/>
              <w:left w:val="nil"/>
              <w:bottom w:val="nil"/>
              <w:right w:val="nil"/>
            </w:tcBorders>
            <w:shd w:val="clear" w:color="auto" w:fill="auto"/>
            <w:vAlign w:val="bottom"/>
          </w:tcPr>
          <w:p w14:paraId="4F044A2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312 </w:t>
            </w:r>
          </w:p>
        </w:tc>
        <w:tc>
          <w:tcPr>
            <w:tcW w:w="813" w:type="pct"/>
            <w:tcBorders>
              <w:top w:val="nil"/>
              <w:left w:val="nil"/>
              <w:bottom w:val="nil"/>
              <w:right w:val="nil"/>
            </w:tcBorders>
            <w:shd w:val="clear" w:color="auto" w:fill="auto"/>
            <w:vAlign w:val="bottom"/>
          </w:tcPr>
          <w:p w14:paraId="729ED71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324</w:t>
            </w:r>
          </w:p>
        </w:tc>
        <w:tc>
          <w:tcPr>
            <w:tcW w:w="813" w:type="pct"/>
            <w:gridSpan w:val="2"/>
            <w:tcBorders>
              <w:top w:val="nil"/>
              <w:left w:val="nil"/>
              <w:bottom w:val="nil"/>
              <w:right w:val="nil"/>
            </w:tcBorders>
            <w:shd w:val="clear" w:color="auto" w:fill="auto"/>
            <w:vAlign w:val="bottom"/>
          </w:tcPr>
          <w:p w14:paraId="52AEB4B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   </w:t>
            </w:r>
          </w:p>
        </w:tc>
        <w:tc>
          <w:tcPr>
            <w:tcW w:w="814" w:type="pct"/>
            <w:tcBorders>
              <w:top w:val="nil"/>
              <w:left w:val="nil"/>
              <w:bottom w:val="nil"/>
              <w:right w:val="nil"/>
            </w:tcBorders>
            <w:shd w:val="clear" w:color="auto" w:fill="auto"/>
            <w:vAlign w:val="bottom"/>
          </w:tcPr>
          <w:p w14:paraId="1358D52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hAnsi="Arial" w:cs="Arial"/>
                <w:color w:val="000000"/>
                <w:sz w:val="20"/>
                <w:szCs w:val="20"/>
                <w:lang w:val="hr-HR"/>
              </w:rPr>
              <w:t>-</w:t>
            </w:r>
          </w:p>
        </w:tc>
      </w:tr>
      <w:tr w:rsidR="00587444" w:rsidRPr="00587444" w14:paraId="18E24579" w14:textId="77777777" w:rsidTr="00DD69E7">
        <w:trPr>
          <w:trHeight w:val="301"/>
        </w:trPr>
        <w:tc>
          <w:tcPr>
            <w:tcW w:w="1747" w:type="pct"/>
          </w:tcPr>
          <w:p w14:paraId="4C7F6539" w14:textId="77777777" w:rsidR="00587444" w:rsidRPr="00587444" w:rsidRDefault="00587444" w:rsidP="00587444">
            <w:pPr>
              <w:suppressAutoHyphens w:val="0"/>
              <w:autoSpaceDN/>
              <w:spacing w:line="301" w:lineRule="exact"/>
              <w:outlineLvl w:val="0"/>
              <w:rPr>
                <w:rFonts w:ascii="Arial" w:hAnsi="Arial" w:cs="Arial"/>
                <w:sz w:val="20"/>
                <w:szCs w:val="20"/>
              </w:rPr>
            </w:pPr>
            <w:r w:rsidRPr="00587444">
              <w:rPr>
                <w:rFonts w:ascii="Arial" w:hAnsi="Arial" w:cs="Arial"/>
                <w:sz w:val="20"/>
                <w:szCs w:val="20"/>
              </w:rPr>
              <w:t>Deferred tax assets</w:t>
            </w:r>
          </w:p>
        </w:tc>
        <w:tc>
          <w:tcPr>
            <w:tcW w:w="813" w:type="pct"/>
            <w:tcBorders>
              <w:top w:val="nil"/>
              <w:left w:val="nil"/>
              <w:bottom w:val="nil"/>
              <w:right w:val="nil"/>
            </w:tcBorders>
            <w:shd w:val="clear" w:color="auto" w:fill="auto"/>
            <w:vAlign w:val="bottom"/>
          </w:tcPr>
          <w:p w14:paraId="4E5B07D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1,174 </w:t>
            </w:r>
          </w:p>
        </w:tc>
        <w:tc>
          <w:tcPr>
            <w:tcW w:w="813" w:type="pct"/>
            <w:tcBorders>
              <w:top w:val="nil"/>
              <w:left w:val="nil"/>
              <w:bottom w:val="nil"/>
              <w:right w:val="nil"/>
            </w:tcBorders>
            <w:shd w:val="clear" w:color="auto" w:fill="auto"/>
            <w:vAlign w:val="bottom"/>
          </w:tcPr>
          <w:p w14:paraId="15486533" w14:textId="78AFBCB8" w:rsidR="00587444" w:rsidRPr="00587444" w:rsidRDefault="00D75982"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Pr>
                <w:rFonts w:ascii="Arial" w:hAnsi="Arial" w:cs="Arial"/>
                <w:color w:val="000000"/>
                <w:sz w:val="20"/>
                <w:szCs w:val="20"/>
                <w:lang w:val="hr-HR"/>
              </w:rPr>
              <w:t>-</w:t>
            </w:r>
          </w:p>
        </w:tc>
        <w:tc>
          <w:tcPr>
            <w:tcW w:w="813" w:type="pct"/>
            <w:gridSpan w:val="2"/>
            <w:tcBorders>
              <w:top w:val="nil"/>
              <w:left w:val="nil"/>
              <w:bottom w:val="nil"/>
              <w:right w:val="nil"/>
            </w:tcBorders>
            <w:shd w:val="clear" w:color="auto" w:fill="auto"/>
            <w:vAlign w:val="bottom"/>
          </w:tcPr>
          <w:p w14:paraId="155F21C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   </w:t>
            </w:r>
          </w:p>
        </w:tc>
        <w:tc>
          <w:tcPr>
            <w:tcW w:w="814" w:type="pct"/>
            <w:tcBorders>
              <w:top w:val="nil"/>
              <w:left w:val="nil"/>
              <w:bottom w:val="nil"/>
              <w:right w:val="nil"/>
            </w:tcBorders>
            <w:shd w:val="clear" w:color="auto" w:fill="auto"/>
            <w:vAlign w:val="bottom"/>
          </w:tcPr>
          <w:p w14:paraId="7DA0B23A" w14:textId="08E7C4AD" w:rsidR="00587444" w:rsidRPr="00587444" w:rsidRDefault="00D75982"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Pr>
                <w:rFonts w:ascii="Arial" w:hAnsi="Arial" w:cs="Arial"/>
                <w:color w:val="000000"/>
                <w:sz w:val="20"/>
                <w:szCs w:val="20"/>
                <w:lang w:val="hr-HR"/>
              </w:rPr>
              <w:t>-</w:t>
            </w:r>
          </w:p>
        </w:tc>
      </w:tr>
      <w:tr w:rsidR="00587444" w:rsidRPr="00587444" w14:paraId="4EDE6522" w14:textId="77777777" w:rsidTr="00DD69E7">
        <w:trPr>
          <w:trHeight w:val="301"/>
        </w:trPr>
        <w:tc>
          <w:tcPr>
            <w:tcW w:w="1747" w:type="pct"/>
          </w:tcPr>
          <w:p w14:paraId="3B8FE3BC" w14:textId="77777777" w:rsidR="00587444" w:rsidRPr="00587444" w:rsidRDefault="00587444" w:rsidP="00587444">
            <w:pPr>
              <w:suppressAutoHyphens w:val="0"/>
              <w:autoSpaceDN/>
              <w:spacing w:line="301" w:lineRule="exact"/>
              <w:outlineLvl w:val="0"/>
              <w:rPr>
                <w:rFonts w:ascii="Arial" w:hAnsi="Arial" w:cs="Arial"/>
                <w:sz w:val="20"/>
                <w:szCs w:val="20"/>
              </w:rPr>
            </w:pPr>
            <w:r w:rsidRPr="00587444">
              <w:rPr>
                <w:rFonts w:ascii="Arial" w:hAnsi="Arial" w:cs="Arial"/>
                <w:sz w:val="20"/>
                <w:szCs w:val="20"/>
              </w:rPr>
              <w:t>Leased assets</w:t>
            </w:r>
          </w:p>
        </w:tc>
        <w:tc>
          <w:tcPr>
            <w:tcW w:w="813" w:type="pct"/>
            <w:tcBorders>
              <w:top w:val="nil"/>
              <w:left w:val="nil"/>
              <w:bottom w:val="nil"/>
              <w:right w:val="nil"/>
            </w:tcBorders>
            <w:shd w:val="clear" w:color="auto" w:fill="auto"/>
            <w:vAlign w:val="bottom"/>
          </w:tcPr>
          <w:p w14:paraId="1A2086A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3,815 </w:t>
            </w:r>
          </w:p>
        </w:tc>
        <w:tc>
          <w:tcPr>
            <w:tcW w:w="813" w:type="pct"/>
            <w:tcBorders>
              <w:top w:val="nil"/>
              <w:left w:val="nil"/>
              <w:bottom w:val="nil"/>
              <w:right w:val="nil"/>
            </w:tcBorders>
            <w:shd w:val="clear" w:color="auto" w:fill="auto"/>
            <w:vAlign w:val="bottom"/>
          </w:tcPr>
          <w:p w14:paraId="6CDA88F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801</w:t>
            </w:r>
          </w:p>
        </w:tc>
        <w:tc>
          <w:tcPr>
            <w:tcW w:w="813" w:type="pct"/>
            <w:gridSpan w:val="2"/>
            <w:tcBorders>
              <w:top w:val="nil"/>
              <w:left w:val="nil"/>
              <w:bottom w:val="nil"/>
              <w:right w:val="nil"/>
            </w:tcBorders>
            <w:shd w:val="clear" w:color="auto" w:fill="auto"/>
            <w:vAlign w:val="bottom"/>
          </w:tcPr>
          <w:p w14:paraId="16C52C7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3,815 </w:t>
            </w:r>
          </w:p>
        </w:tc>
        <w:tc>
          <w:tcPr>
            <w:tcW w:w="814" w:type="pct"/>
            <w:tcBorders>
              <w:top w:val="nil"/>
              <w:left w:val="nil"/>
              <w:bottom w:val="nil"/>
              <w:right w:val="nil"/>
            </w:tcBorders>
            <w:shd w:val="clear" w:color="auto" w:fill="auto"/>
            <w:vAlign w:val="bottom"/>
          </w:tcPr>
          <w:p w14:paraId="2547CF0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rPr>
            </w:pPr>
            <w:r w:rsidRPr="00587444">
              <w:rPr>
                <w:rFonts w:ascii="Arial" w:hAnsi="Arial" w:cs="Arial"/>
                <w:color w:val="000000"/>
                <w:sz w:val="20"/>
                <w:szCs w:val="20"/>
                <w:lang w:val="hr-HR"/>
              </w:rPr>
              <w:t>801</w:t>
            </w:r>
          </w:p>
        </w:tc>
      </w:tr>
      <w:tr w:rsidR="00587444" w:rsidRPr="00587444" w14:paraId="2F05BEB7" w14:textId="77777777" w:rsidTr="00DD69E7">
        <w:trPr>
          <w:trHeight w:hRule="exact" w:val="265"/>
        </w:trPr>
        <w:tc>
          <w:tcPr>
            <w:tcW w:w="1747" w:type="pct"/>
            <w:vAlign w:val="bottom"/>
          </w:tcPr>
          <w:p w14:paraId="44DAB386" w14:textId="77777777" w:rsidR="00587444" w:rsidRPr="00587444" w:rsidRDefault="00587444" w:rsidP="00587444">
            <w:pPr>
              <w:suppressAutoHyphens w:val="0"/>
              <w:autoSpaceDN/>
              <w:outlineLvl w:val="0"/>
              <w:rPr>
                <w:rFonts w:ascii="Arial" w:hAnsi="Arial" w:cs="Arial"/>
                <w:sz w:val="20"/>
                <w:szCs w:val="20"/>
              </w:rPr>
            </w:pPr>
            <w:bookmarkStart w:id="847" w:name="_Toc4059722"/>
            <w:r w:rsidRPr="00587444">
              <w:rPr>
                <w:rFonts w:ascii="Arial" w:hAnsi="Arial" w:cs="Arial"/>
                <w:sz w:val="20"/>
                <w:szCs w:val="20"/>
              </w:rPr>
              <w:t>Other assets</w:t>
            </w:r>
            <w:bookmarkEnd w:id="847"/>
          </w:p>
        </w:tc>
        <w:tc>
          <w:tcPr>
            <w:tcW w:w="813" w:type="pct"/>
            <w:tcBorders>
              <w:top w:val="nil"/>
              <w:left w:val="nil"/>
              <w:bottom w:val="nil"/>
              <w:right w:val="nil"/>
            </w:tcBorders>
            <w:shd w:val="clear" w:color="auto" w:fill="auto"/>
            <w:vAlign w:val="bottom"/>
          </w:tcPr>
          <w:p w14:paraId="1526044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1,763 </w:t>
            </w:r>
          </w:p>
        </w:tc>
        <w:tc>
          <w:tcPr>
            <w:tcW w:w="813" w:type="pct"/>
            <w:tcBorders>
              <w:top w:val="nil"/>
              <w:left w:val="nil"/>
              <w:bottom w:val="nil"/>
              <w:right w:val="nil"/>
            </w:tcBorders>
            <w:shd w:val="clear" w:color="auto" w:fill="auto"/>
            <w:vAlign w:val="bottom"/>
          </w:tcPr>
          <w:p w14:paraId="6E7F078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3,158</w:t>
            </w:r>
          </w:p>
        </w:tc>
        <w:tc>
          <w:tcPr>
            <w:tcW w:w="813" w:type="pct"/>
            <w:gridSpan w:val="2"/>
            <w:tcBorders>
              <w:top w:val="nil"/>
              <w:left w:val="nil"/>
              <w:bottom w:val="nil"/>
              <w:right w:val="nil"/>
            </w:tcBorders>
            <w:shd w:val="clear" w:color="auto" w:fill="auto"/>
            <w:vAlign w:val="bottom"/>
          </w:tcPr>
          <w:p w14:paraId="1A4FFFC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1,568 </w:t>
            </w:r>
          </w:p>
        </w:tc>
        <w:tc>
          <w:tcPr>
            <w:tcW w:w="814" w:type="pct"/>
            <w:tcBorders>
              <w:top w:val="nil"/>
              <w:left w:val="nil"/>
              <w:bottom w:val="nil"/>
              <w:right w:val="nil"/>
            </w:tcBorders>
            <w:shd w:val="clear" w:color="auto" w:fill="auto"/>
            <w:vAlign w:val="bottom"/>
          </w:tcPr>
          <w:p w14:paraId="0A13A74C" w14:textId="77777777" w:rsidR="00587444" w:rsidRPr="00587444" w:rsidRDefault="00587444" w:rsidP="00587444">
            <w:pPr>
              <w:tabs>
                <w:tab w:val="right" w:pos="1202"/>
              </w:tabs>
              <w:suppressAutoHyphens w:val="0"/>
              <w:autoSpaceDN/>
              <w:jc w:val="right"/>
              <w:outlineLvl w:val="0"/>
              <w:rPr>
                <w:rFonts w:ascii="Arial" w:hAnsi="Arial" w:cs="Arial"/>
                <w:sz w:val="20"/>
                <w:szCs w:val="20"/>
              </w:rPr>
            </w:pPr>
            <w:r w:rsidRPr="00587444">
              <w:rPr>
                <w:rFonts w:ascii="Arial" w:hAnsi="Arial" w:cs="Arial"/>
                <w:color w:val="000000"/>
                <w:sz w:val="20"/>
                <w:szCs w:val="20"/>
                <w:lang w:val="hr-HR"/>
              </w:rPr>
              <w:t>3,055</w:t>
            </w:r>
          </w:p>
        </w:tc>
      </w:tr>
      <w:tr w:rsidR="00587444" w:rsidRPr="00587444" w14:paraId="2BDD1572" w14:textId="77777777" w:rsidTr="00DD69E7">
        <w:trPr>
          <w:trHeight w:val="63"/>
        </w:trPr>
        <w:tc>
          <w:tcPr>
            <w:tcW w:w="1747" w:type="pct"/>
          </w:tcPr>
          <w:p w14:paraId="0A723D7D" w14:textId="77777777" w:rsidR="00587444" w:rsidRPr="00587444" w:rsidRDefault="00587444" w:rsidP="00587444">
            <w:pPr>
              <w:tabs>
                <w:tab w:val="right" w:pos="1202"/>
              </w:tabs>
              <w:suppressAutoHyphens w:val="0"/>
              <w:autoSpaceDN/>
              <w:spacing w:line="340" w:lineRule="exact"/>
              <w:outlineLvl w:val="0"/>
              <w:rPr>
                <w:rFonts w:ascii="Arial" w:hAnsi="Arial" w:cs="Arial"/>
                <w:sz w:val="20"/>
                <w:szCs w:val="20"/>
              </w:rPr>
            </w:pPr>
          </w:p>
        </w:tc>
        <w:tc>
          <w:tcPr>
            <w:tcW w:w="813" w:type="pct"/>
            <w:tcBorders>
              <w:top w:val="single" w:sz="4" w:space="0" w:color="auto"/>
              <w:bottom w:val="single" w:sz="4" w:space="0" w:color="auto"/>
            </w:tcBorders>
            <w:vAlign w:val="bottom"/>
          </w:tcPr>
          <w:p w14:paraId="5BAD911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71,282</w:t>
            </w:r>
          </w:p>
        </w:tc>
        <w:tc>
          <w:tcPr>
            <w:tcW w:w="813" w:type="pct"/>
            <w:tcBorders>
              <w:top w:val="single" w:sz="4" w:space="0" w:color="auto"/>
              <w:bottom w:val="single" w:sz="4" w:space="0" w:color="auto"/>
            </w:tcBorders>
            <w:vAlign w:val="bottom"/>
          </w:tcPr>
          <w:p w14:paraId="2CA31CE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69,388</w:t>
            </w:r>
          </w:p>
        </w:tc>
        <w:tc>
          <w:tcPr>
            <w:tcW w:w="813" w:type="pct"/>
            <w:gridSpan w:val="2"/>
            <w:tcBorders>
              <w:top w:val="single" w:sz="4" w:space="0" w:color="auto"/>
              <w:bottom w:val="single" w:sz="4" w:space="0" w:color="auto"/>
            </w:tcBorders>
            <w:vAlign w:val="bottom"/>
          </w:tcPr>
          <w:p w14:paraId="0898C10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63,367</w:t>
            </w:r>
          </w:p>
        </w:tc>
        <w:tc>
          <w:tcPr>
            <w:tcW w:w="814" w:type="pct"/>
            <w:tcBorders>
              <w:top w:val="single" w:sz="4" w:space="0" w:color="auto"/>
              <w:bottom w:val="single" w:sz="4" w:space="0" w:color="auto"/>
            </w:tcBorders>
            <w:vAlign w:val="bottom"/>
          </w:tcPr>
          <w:p w14:paraId="67330894"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Cs/>
                <w:sz w:val="20"/>
                <w:szCs w:val="20"/>
              </w:rPr>
            </w:pPr>
            <w:r w:rsidRPr="00587444">
              <w:rPr>
                <w:rFonts w:ascii="Arial" w:hAnsi="Arial" w:cs="Arial"/>
                <w:bCs/>
                <w:color w:val="000000"/>
                <w:sz w:val="20"/>
                <w:szCs w:val="20"/>
                <w:lang w:val="hr-HR"/>
              </w:rPr>
              <w:t>66,191</w:t>
            </w:r>
          </w:p>
        </w:tc>
      </w:tr>
      <w:tr w:rsidR="00587444" w:rsidRPr="00587444" w14:paraId="428A6C62" w14:textId="77777777" w:rsidTr="00DD69E7">
        <w:trPr>
          <w:trHeight w:val="301"/>
        </w:trPr>
        <w:tc>
          <w:tcPr>
            <w:tcW w:w="1747" w:type="pct"/>
          </w:tcPr>
          <w:p w14:paraId="5B8C7DAB"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rPr>
            </w:pPr>
            <w:bookmarkStart w:id="848" w:name="_Toc4059730"/>
            <w:r w:rsidRPr="00587444">
              <w:rPr>
                <w:rFonts w:ascii="Arial" w:hAnsi="Arial" w:cs="Arial"/>
                <w:sz w:val="20"/>
                <w:szCs w:val="20"/>
              </w:rPr>
              <w:t>Loss allowances</w:t>
            </w:r>
            <w:bookmarkEnd w:id="848"/>
          </w:p>
        </w:tc>
        <w:tc>
          <w:tcPr>
            <w:tcW w:w="813" w:type="pct"/>
            <w:tcBorders>
              <w:bottom w:val="single" w:sz="4" w:space="0" w:color="auto"/>
            </w:tcBorders>
            <w:vAlign w:val="bottom"/>
          </w:tcPr>
          <w:p w14:paraId="37BDFF5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(35,348)</w:t>
            </w:r>
          </w:p>
        </w:tc>
        <w:tc>
          <w:tcPr>
            <w:tcW w:w="813" w:type="pct"/>
            <w:tcBorders>
              <w:bottom w:val="single" w:sz="4" w:space="0" w:color="auto"/>
            </w:tcBorders>
            <w:vAlign w:val="bottom"/>
          </w:tcPr>
          <w:p w14:paraId="0EFA380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(31,851)</w:t>
            </w:r>
          </w:p>
        </w:tc>
        <w:tc>
          <w:tcPr>
            <w:tcW w:w="813" w:type="pct"/>
            <w:gridSpan w:val="2"/>
            <w:tcBorders>
              <w:bottom w:val="single" w:sz="4" w:space="0" w:color="auto"/>
            </w:tcBorders>
            <w:vAlign w:val="bottom"/>
          </w:tcPr>
          <w:p w14:paraId="3044229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(35,175)</w:t>
            </w:r>
          </w:p>
        </w:tc>
        <w:tc>
          <w:tcPr>
            <w:tcW w:w="814" w:type="pct"/>
            <w:tcBorders>
              <w:bottom w:val="single" w:sz="4" w:space="0" w:color="auto"/>
            </w:tcBorders>
            <w:vAlign w:val="bottom"/>
          </w:tcPr>
          <w:p w14:paraId="40EF974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hAnsi="Arial" w:cs="Arial"/>
                <w:color w:val="000000"/>
                <w:sz w:val="20"/>
                <w:szCs w:val="20"/>
                <w:lang w:val="hr-HR"/>
              </w:rPr>
              <w:t>(31,697)</w:t>
            </w:r>
          </w:p>
        </w:tc>
      </w:tr>
      <w:tr w:rsidR="00587444" w:rsidRPr="00587444" w14:paraId="1D09A924" w14:textId="77777777" w:rsidTr="00DD69E7">
        <w:trPr>
          <w:trHeight w:val="335"/>
        </w:trPr>
        <w:tc>
          <w:tcPr>
            <w:tcW w:w="1747" w:type="pct"/>
            <w:vAlign w:val="bottom"/>
          </w:tcPr>
          <w:p w14:paraId="536CC849" w14:textId="77777777" w:rsidR="00587444" w:rsidRPr="00587444" w:rsidRDefault="00587444" w:rsidP="00587444">
            <w:pPr>
              <w:tabs>
                <w:tab w:val="right" w:pos="1202"/>
              </w:tabs>
              <w:suppressAutoHyphens w:val="0"/>
              <w:autoSpaceDN/>
              <w:outlineLvl w:val="0"/>
              <w:rPr>
                <w:rFonts w:ascii="Arial" w:hAnsi="Arial" w:cs="Arial"/>
                <w:b/>
                <w:bCs/>
                <w:sz w:val="20"/>
                <w:szCs w:val="20"/>
              </w:rPr>
            </w:pPr>
          </w:p>
        </w:tc>
        <w:tc>
          <w:tcPr>
            <w:tcW w:w="813" w:type="pct"/>
            <w:tcBorders>
              <w:top w:val="single" w:sz="4" w:space="0" w:color="auto"/>
              <w:bottom w:val="single" w:sz="12" w:space="0" w:color="auto"/>
            </w:tcBorders>
            <w:vAlign w:val="bottom"/>
          </w:tcPr>
          <w:p w14:paraId="0F4C8CD0"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35,934</w:t>
            </w:r>
          </w:p>
        </w:tc>
        <w:tc>
          <w:tcPr>
            <w:tcW w:w="813" w:type="pct"/>
            <w:tcBorders>
              <w:top w:val="single" w:sz="4" w:space="0" w:color="auto"/>
              <w:bottom w:val="single" w:sz="12" w:space="0" w:color="auto"/>
            </w:tcBorders>
            <w:vAlign w:val="bottom"/>
          </w:tcPr>
          <w:p w14:paraId="06C2B772"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37,537</w:t>
            </w:r>
          </w:p>
        </w:tc>
        <w:tc>
          <w:tcPr>
            <w:tcW w:w="813" w:type="pct"/>
            <w:gridSpan w:val="2"/>
            <w:tcBorders>
              <w:top w:val="single" w:sz="4" w:space="0" w:color="auto"/>
              <w:bottom w:val="single" w:sz="12" w:space="0" w:color="auto"/>
            </w:tcBorders>
            <w:vAlign w:val="bottom"/>
          </w:tcPr>
          <w:p w14:paraId="77044682"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28,192</w:t>
            </w:r>
          </w:p>
        </w:tc>
        <w:tc>
          <w:tcPr>
            <w:tcW w:w="814" w:type="pct"/>
            <w:tcBorders>
              <w:top w:val="single" w:sz="4" w:space="0" w:color="auto"/>
              <w:bottom w:val="single" w:sz="12" w:space="0" w:color="auto"/>
            </w:tcBorders>
            <w:vAlign w:val="bottom"/>
          </w:tcPr>
          <w:p w14:paraId="7A11EEF8"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rPr>
            </w:pPr>
            <w:r w:rsidRPr="00587444">
              <w:rPr>
                <w:rFonts w:ascii="Arial" w:hAnsi="Arial" w:cs="Arial"/>
                <w:b/>
                <w:bCs/>
                <w:color w:val="000000"/>
                <w:sz w:val="20"/>
                <w:szCs w:val="20"/>
                <w:lang w:val="hr-HR"/>
              </w:rPr>
              <w:t>34,494</w:t>
            </w:r>
          </w:p>
        </w:tc>
      </w:tr>
    </w:tbl>
    <w:p w14:paraId="16AA8619" w14:textId="77777777" w:rsidR="00587444" w:rsidRPr="00587444" w:rsidRDefault="00587444" w:rsidP="00587444">
      <w:pPr>
        <w:suppressAutoHyphens w:val="0"/>
        <w:autoSpaceDN/>
        <w:rPr>
          <w:rFonts w:ascii="Arial" w:eastAsia="Calibri" w:hAnsi="Arial" w:cs="Arial"/>
          <w:sz w:val="20"/>
          <w:szCs w:val="20"/>
        </w:rPr>
      </w:pPr>
    </w:p>
    <w:p w14:paraId="26E73384" w14:textId="77777777" w:rsidR="00587444" w:rsidRPr="00587444" w:rsidRDefault="00587444" w:rsidP="00587444">
      <w:pPr>
        <w:keepNext/>
        <w:suppressAutoHyphens w:val="0"/>
        <w:autoSpaceDN/>
        <w:jc w:val="both"/>
        <w:rPr>
          <w:rFonts w:ascii="Arial" w:hAnsi="Arial" w:cs="Arial"/>
          <w:color w:val="000000"/>
          <w:sz w:val="20"/>
          <w:szCs w:val="20"/>
          <w:lang w:val="en-GB"/>
        </w:rPr>
      </w:pPr>
      <w:r w:rsidRPr="00587444">
        <w:rPr>
          <w:rFonts w:ascii="Arial" w:hAnsi="Arial" w:cs="Arial"/>
          <w:color w:val="000000"/>
          <w:sz w:val="20"/>
          <w:szCs w:val="20"/>
          <w:lang w:val="en-GB"/>
        </w:rPr>
        <w:t>Lease assets are recognised in accordance with the application of the IFRS 16 and depreciation during the year stood at HRK 1,788 thousand for the Group and Bank.</w:t>
      </w:r>
    </w:p>
    <w:p w14:paraId="0EB01EE8" w14:textId="77777777" w:rsidR="00587444" w:rsidRPr="00587444" w:rsidRDefault="00587444" w:rsidP="00587444">
      <w:pPr>
        <w:keepNext/>
        <w:suppressAutoHyphens w:val="0"/>
        <w:autoSpaceDN/>
        <w:jc w:val="both"/>
        <w:rPr>
          <w:rFonts w:ascii="Arial" w:hAnsi="Arial" w:cs="Arial"/>
          <w:bCs/>
          <w:sz w:val="20"/>
          <w:szCs w:val="20"/>
          <w:lang w:val="en-GB"/>
        </w:rPr>
      </w:pPr>
    </w:p>
    <w:p w14:paraId="159E567E" w14:textId="77777777" w:rsidR="00587444" w:rsidRPr="00587444" w:rsidRDefault="00587444" w:rsidP="00880B90">
      <w:pPr>
        <w:keepNext/>
        <w:autoSpaceDN/>
        <w:jc w:val="both"/>
        <w:rPr>
          <w:rFonts w:ascii="Arial" w:hAnsi="Arial" w:cs="Arial"/>
          <w:bCs/>
          <w:sz w:val="20"/>
          <w:szCs w:val="20"/>
          <w:lang w:val="en-GB"/>
        </w:rPr>
      </w:pPr>
      <w:r w:rsidRPr="00587444">
        <w:rPr>
          <w:rFonts w:ascii="Arial" w:hAnsi="Arial" w:cs="Arial"/>
          <w:bCs/>
          <w:sz w:val="20"/>
          <w:szCs w:val="20"/>
          <w:lang w:val="en-GB"/>
        </w:rPr>
        <w:t>The following tables sets out information about the credit quality of financial assets measured at amortised cost. The amounts in the table represent gross carrying amounts:</w:t>
      </w:r>
    </w:p>
    <w:p w14:paraId="7668D9B1" w14:textId="77777777" w:rsidR="00587444" w:rsidRPr="00587444" w:rsidRDefault="00587444" w:rsidP="00587444">
      <w:pPr>
        <w:suppressAutoHyphens w:val="0"/>
        <w:autoSpaceDN/>
        <w:rPr>
          <w:rFonts w:ascii="Arial" w:eastAsia="Calibri" w:hAnsi="Arial" w:cs="Arial"/>
          <w:sz w:val="20"/>
          <w:szCs w:val="20"/>
        </w:rPr>
      </w:pPr>
    </w:p>
    <w:tbl>
      <w:tblPr>
        <w:tblW w:w="5113" w:type="pct"/>
        <w:tblInd w:w="-142" w:type="dxa"/>
        <w:tblLayout w:type="fixed"/>
        <w:tblLook w:val="0000" w:firstRow="0" w:lastRow="0" w:firstColumn="0" w:lastColumn="0" w:noHBand="0" w:noVBand="0"/>
      </w:tblPr>
      <w:tblGrid>
        <w:gridCol w:w="1507"/>
        <w:gridCol w:w="828"/>
        <w:gridCol w:w="828"/>
        <w:gridCol w:w="830"/>
        <w:gridCol w:w="830"/>
        <w:gridCol w:w="830"/>
        <w:gridCol w:w="830"/>
        <w:gridCol w:w="830"/>
        <w:gridCol w:w="828"/>
        <w:gridCol w:w="824"/>
        <w:gridCol w:w="822"/>
      </w:tblGrid>
      <w:tr w:rsidR="00587444" w:rsidRPr="00587444" w14:paraId="06C5E081" w14:textId="77777777" w:rsidTr="00DD69E7">
        <w:trPr>
          <w:trHeight w:val="314"/>
        </w:trPr>
        <w:tc>
          <w:tcPr>
            <w:tcW w:w="770" w:type="pct"/>
            <w:vAlign w:val="bottom"/>
          </w:tcPr>
          <w:p w14:paraId="2F7444CD" w14:textId="77777777" w:rsidR="00587444" w:rsidRPr="00587444" w:rsidRDefault="00587444" w:rsidP="00587444">
            <w:pPr>
              <w:tabs>
                <w:tab w:val="left" w:pos="-720"/>
              </w:tabs>
              <w:autoSpaceDN/>
              <w:spacing w:line="220" w:lineRule="exact"/>
              <w:rPr>
                <w:rFonts w:ascii="Arial" w:hAnsi="Arial" w:cs="Arial"/>
                <w:b/>
                <w:sz w:val="14"/>
                <w:szCs w:val="14"/>
                <w:lang w:val="en-GB"/>
              </w:rPr>
            </w:pPr>
            <w:bookmarkStart w:id="849" w:name="_Hlk97567424"/>
            <w:r w:rsidRPr="00587444">
              <w:rPr>
                <w:rFonts w:ascii="Arial" w:hAnsi="Arial" w:cs="Arial"/>
                <w:b/>
                <w:sz w:val="14"/>
                <w:szCs w:val="14"/>
                <w:lang w:val="en-GB"/>
              </w:rPr>
              <w:t>31 December 2022</w:t>
            </w:r>
          </w:p>
        </w:tc>
        <w:tc>
          <w:tcPr>
            <w:tcW w:w="423" w:type="pct"/>
            <w:vAlign w:val="bottom"/>
          </w:tcPr>
          <w:p w14:paraId="1A803CB9"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p>
        </w:tc>
        <w:tc>
          <w:tcPr>
            <w:tcW w:w="423" w:type="pct"/>
            <w:shd w:val="clear" w:color="auto" w:fill="auto"/>
            <w:vAlign w:val="bottom"/>
          </w:tcPr>
          <w:p w14:paraId="44A64D4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p>
        </w:tc>
        <w:tc>
          <w:tcPr>
            <w:tcW w:w="424" w:type="pct"/>
            <w:shd w:val="clear" w:color="auto" w:fill="auto"/>
            <w:vAlign w:val="bottom"/>
          </w:tcPr>
          <w:p w14:paraId="3AEFDFA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tcPr>
          <w:p w14:paraId="1F65013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en-GB"/>
              </w:rPr>
            </w:pPr>
          </w:p>
        </w:tc>
        <w:tc>
          <w:tcPr>
            <w:tcW w:w="424" w:type="pct"/>
            <w:vAlign w:val="bottom"/>
          </w:tcPr>
          <w:p w14:paraId="00EC36C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bookmarkStart w:id="850" w:name="_Toc4059739"/>
            <w:r w:rsidRPr="00587444">
              <w:rPr>
                <w:rFonts w:ascii="Arial" w:hAnsi="Arial" w:cs="Arial"/>
                <w:b/>
                <w:sz w:val="14"/>
                <w:szCs w:val="14"/>
                <w:lang w:val="en-GB"/>
              </w:rPr>
              <w:t>Group</w:t>
            </w:r>
            <w:bookmarkEnd w:id="850"/>
          </w:p>
        </w:tc>
        <w:tc>
          <w:tcPr>
            <w:tcW w:w="424" w:type="pct"/>
            <w:vAlign w:val="bottom"/>
          </w:tcPr>
          <w:p w14:paraId="00FE590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p>
        </w:tc>
        <w:tc>
          <w:tcPr>
            <w:tcW w:w="424" w:type="pct"/>
            <w:shd w:val="clear" w:color="auto" w:fill="auto"/>
            <w:vAlign w:val="bottom"/>
          </w:tcPr>
          <w:p w14:paraId="38AAD24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p>
        </w:tc>
        <w:tc>
          <w:tcPr>
            <w:tcW w:w="423" w:type="pct"/>
            <w:shd w:val="clear" w:color="auto" w:fill="auto"/>
            <w:vAlign w:val="bottom"/>
          </w:tcPr>
          <w:p w14:paraId="0C52375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p>
        </w:tc>
        <w:tc>
          <w:tcPr>
            <w:tcW w:w="421" w:type="pct"/>
          </w:tcPr>
          <w:p w14:paraId="4920BBC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p>
        </w:tc>
        <w:tc>
          <w:tcPr>
            <w:tcW w:w="420" w:type="pct"/>
            <w:vAlign w:val="bottom"/>
          </w:tcPr>
          <w:p w14:paraId="07D162B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851" w:name="_Toc4059740"/>
            <w:r w:rsidRPr="00587444">
              <w:rPr>
                <w:rFonts w:ascii="Arial" w:hAnsi="Arial" w:cs="Arial"/>
                <w:b/>
                <w:sz w:val="14"/>
                <w:szCs w:val="14"/>
                <w:lang w:val="en-GB"/>
              </w:rPr>
              <w:t>Bank</w:t>
            </w:r>
            <w:bookmarkEnd w:id="851"/>
          </w:p>
        </w:tc>
      </w:tr>
      <w:tr w:rsidR="00587444" w:rsidRPr="00587444" w14:paraId="2762786B" w14:textId="77777777" w:rsidTr="00DD69E7">
        <w:trPr>
          <w:trHeight w:val="242"/>
        </w:trPr>
        <w:tc>
          <w:tcPr>
            <w:tcW w:w="770" w:type="pct"/>
            <w:vAlign w:val="bottom"/>
          </w:tcPr>
          <w:p w14:paraId="7042614B" w14:textId="77777777" w:rsidR="00587444" w:rsidRPr="00587444" w:rsidRDefault="00587444" w:rsidP="00587444">
            <w:pPr>
              <w:tabs>
                <w:tab w:val="left" w:pos="-720"/>
              </w:tabs>
              <w:autoSpaceDN/>
              <w:spacing w:line="220" w:lineRule="exact"/>
              <w:rPr>
                <w:rFonts w:ascii="Arial" w:hAnsi="Arial" w:cs="Arial"/>
                <w:sz w:val="14"/>
                <w:szCs w:val="14"/>
                <w:lang w:val="en-GB"/>
              </w:rPr>
            </w:pPr>
          </w:p>
        </w:tc>
        <w:tc>
          <w:tcPr>
            <w:tcW w:w="423" w:type="pct"/>
            <w:vAlign w:val="bottom"/>
          </w:tcPr>
          <w:p w14:paraId="3D9B6F6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852" w:name="_Toc4059741"/>
            <w:r w:rsidRPr="00587444">
              <w:rPr>
                <w:rFonts w:ascii="Arial" w:hAnsi="Arial" w:cs="Arial"/>
                <w:b/>
                <w:sz w:val="14"/>
                <w:szCs w:val="14"/>
                <w:lang w:val="en-GB"/>
              </w:rPr>
              <w:t>Stage 1</w:t>
            </w:r>
            <w:bookmarkEnd w:id="852"/>
          </w:p>
        </w:tc>
        <w:tc>
          <w:tcPr>
            <w:tcW w:w="423" w:type="pct"/>
            <w:vAlign w:val="bottom"/>
          </w:tcPr>
          <w:p w14:paraId="0F0ED27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853" w:name="_Toc4059742"/>
            <w:r w:rsidRPr="00587444">
              <w:rPr>
                <w:rFonts w:ascii="Arial" w:hAnsi="Arial" w:cs="Arial"/>
                <w:b/>
                <w:sz w:val="14"/>
                <w:szCs w:val="14"/>
                <w:lang w:val="en-GB"/>
              </w:rPr>
              <w:t>Stage 2</w:t>
            </w:r>
            <w:bookmarkEnd w:id="853"/>
          </w:p>
        </w:tc>
        <w:tc>
          <w:tcPr>
            <w:tcW w:w="424" w:type="pct"/>
            <w:vAlign w:val="bottom"/>
          </w:tcPr>
          <w:p w14:paraId="46ACCA3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854" w:name="_Toc4059743"/>
            <w:r w:rsidRPr="00587444">
              <w:rPr>
                <w:rFonts w:ascii="Arial" w:hAnsi="Arial" w:cs="Arial"/>
                <w:b/>
                <w:sz w:val="14"/>
                <w:szCs w:val="14"/>
                <w:lang w:val="en-GB"/>
              </w:rPr>
              <w:t>Stage 3</w:t>
            </w:r>
            <w:bookmarkEnd w:id="854"/>
          </w:p>
        </w:tc>
        <w:tc>
          <w:tcPr>
            <w:tcW w:w="424" w:type="pct"/>
          </w:tcPr>
          <w:p w14:paraId="6DD76A0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POCI</w:t>
            </w:r>
          </w:p>
        </w:tc>
        <w:tc>
          <w:tcPr>
            <w:tcW w:w="424" w:type="pct"/>
            <w:vAlign w:val="bottom"/>
          </w:tcPr>
          <w:p w14:paraId="7C0BE05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855" w:name="_Toc4059744"/>
            <w:r w:rsidRPr="00587444">
              <w:rPr>
                <w:rFonts w:ascii="Arial" w:hAnsi="Arial" w:cs="Arial"/>
                <w:b/>
                <w:sz w:val="14"/>
                <w:szCs w:val="14"/>
                <w:lang w:val="en-GB"/>
              </w:rPr>
              <w:t>Total</w:t>
            </w:r>
            <w:bookmarkEnd w:id="855"/>
          </w:p>
        </w:tc>
        <w:tc>
          <w:tcPr>
            <w:tcW w:w="424" w:type="pct"/>
            <w:vAlign w:val="bottom"/>
          </w:tcPr>
          <w:p w14:paraId="6EAA5A3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856" w:name="_Toc4059745"/>
            <w:r w:rsidRPr="00587444">
              <w:rPr>
                <w:rFonts w:ascii="Arial" w:hAnsi="Arial" w:cs="Arial"/>
                <w:b/>
                <w:sz w:val="14"/>
                <w:szCs w:val="14"/>
                <w:lang w:val="en-GB"/>
              </w:rPr>
              <w:t>Stage 1</w:t>
            </w:r>
            <w:bookmarkEnd w:id="856"/>
          </w:p>
        </w:tc>
        <w:tc>
          <w:tcPr>
            <w:tcW w:w="424" w:type="pct"/>
            <w:vAlign w:val="bottom"/>
          </w:tcPr>
          <w:p w14:paraId="185416D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857" w:name="_Toc4059746"/>
            <w:r w:rsidRPr="00587444">
              <w:rPr>
                <w:rFonts w:ascii="Arial" w:hAnsi="Arial" w:cs="Arial"/>
                <w:b/>
                <w:sz w:val="14"/>
                <w:szCs w:val="14"/>
                <w:lang w:val="en-GB"/>
              </w:rPr>
              <w:t>Stage 2</w:t>
            </w:r>
            <w:bookmarkEnd w:id="857"/>
          </w:p>
        </w:tc>
        <w:tc>
          <w:tcPr>
            <w:tcW w:w="423" w:type="pct"/>
            <w:vAlign w:val="bottom"/>
          </w:tcPr>
          <w:p w14:paraId="6CFD4A1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858" w:name="_Toc4059747"/>
            <w:r w:rsidRPr="00587444">
              <w:rPr>
                <w:rFonts w:ascii="Arial" w:hAnsi="Arial" w:cs="Arial"/>
                <w:b/>
                <w:sz w:val="14"/>
                <w:szCs w:val="14"/>
                <w:lang w:val="en-GB"/>
              </w:rPr>
              <w:t>Stage 3</w:t>
            </w:r>
            <w:bookmarkEnd w:id="858"/>
          </w:p>
        </w:tc>
        <w:tc>
          <w:tcPr>
            <w:tcW w:w="421" w:type="pct"/>
          </w:tcPr>
          <w:p w14:paraId="4C10243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POCI</w:t>
            </w:r>
          </w:p>
        </w:tc>
        <w:tc>
          <w:tcPr>
            <w:tcW w:w="420" w:type="pct"/>
            <w:vAlign w:val="bottom"/>
          </w:tcPr>
          <w:p w14:paraId="224AB73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859" w:name="_Toc4059748"/>
            <w:r w:rsidRPr="00587444">
              <w:rPr>
                <w:rFonts w:ascii="Arial" w:hAnsi="Arial" w:cs="Arial"/>
                <w:b/>
                <w:sz w:val="14"/>
                <w:szCs w:val="14"/>
                <w:lang w:val="en-GB"/>
              </w:rPr>
              <w:t>Total</w:t>
            </w:r>
            <w:bookmarkEnd w:id="859"/>
          </w:p>
        </w:tc>
      </w:tr>
      <w:tr w:rsidR="00587444" w:rsidRPr="00587444" w14:paraId="70D40E9E" w14:textId="77777777" w:rsidTr="00DD69E7">
        <w:trPr>
          <w:trHeight w:val="242"/>
        </w:trPr>
        <w:tc>
          <w:tcPr>
            <w:tcW w:w="770" w:type="pct"/>
            <w:vAlign w:val="bottom"/>
          </w:tcPr>
          <w:p w14:paraId="07B25B65" w14:textId="77777777" w:rsidR="00587444" w:rsidRPr="00587444" w:rsidRDefault="00587444" w:rsidP="00587444">
            <w:pPr>
              <w:tabs>
                <w:tab w:val="left" w:pos="-720"/>
              </w:tabs>
              <w:autoSpaceDN/>
              <w:spacing w:line="220" w:lineRule="exact"/>
              <w:rPr>
                <w:rFonts w:ascii="Arial" w:hAnsi="Arial" w:cs="Arial"/>
                <w:sz w:val="14"/>
                <w:szCs w:val="14"/>
              </w:rPr>
            </w:pPr>
          </w:p>
        </w:tc>
        <w:tc>
          <w:tcPr>
            <w:tcW w:w="423" w:type="pct"/>
            <w:vAlign w:val="bottom"/>
          </w:tcPr>
          <w:p w14:paraId="6068DFD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860" w:name="_Toc4059749"/>
            <w:r w:rsidRPr="00587444">
              <w:rPr>
                <w:rFonts w:ascii="Arial" w:hAnsi="Arial" w:cs="Arial"/>
                <w:b/>
                <w:sz w:val="14"/>
                <w:szCs w:val="14"/>
                <w:lang w:val="en-GB"/>
              </w:rPr>
              <w:t>HRK ‘000</w:t>
            </w:r>
            <w:bookmarkEnd w:id="860"/>
          </w:p>
        </w:tc>
        <w:tc>
          <w:tcPr>
            <w:tcW w:w="423" w:type="pct"/>
            <w:vAlign w:val="bottom"/>
          </w:tcPr>
          <w:p w14:paraId="32605D7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861" w:name="_Toc4059750"/>
            <w:r w:rsidRPr="00587444">
              <w:rPr>
                <w:rFonts w:ascii="Arial" w:hAnsi="Arial" w:cs="Arial"/>
                <w:b/>
                <w:sz w:val="14"/>
                <w:szCs w:val="14"/>
                <w:lang w:val="en-GB"/>
              </w:rPr>
              <w:t>HRK ‘000</w:t>
            </w:r>
            <w:bookmarkEnd w:id="861"/>
          </w:p>
        </w:tc>
        <w:tc>
          <w:tcPr>
            <w:tcW w:w="424" w:type="pct"/>
            <w:vAlign w:val="bottom"/>
          </w:tcPr>
          <w:p w14:paraId="35EEDC6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862" w:name="_Toc4059751"/>
            <w:r w:rsidRPr="00587444">
              <w:rPr>
                <w:rFonts w:ascii="Arial" w:hAnsi="Arial" w:cs="Arial"/>
                <w:b/>
                <w:sz w:val="14"/>
                <w:szCs w:val="14"/>
                <w:lang w:val="en-GB"/>
              </w:rPr>
              <w:t>HRK ‘000</w:t>
            </w:r>
            <w:bookmarkEnd w:id="862"/>
          </w:p>
        </w:tc>
        <w:tc>
          <w:tcPr>
            <w:tcW w:w="424" w:type="pct"/>
          </w:tcPr>
          <w:p w14:paraId="278A0F0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HRK ‘000</w:t>
            </w:r>
          </w:p>
        </w:tc>
        <w:tc>
          <w:tcPr>
            <w:tcW w:w="424" w:type="pct"/>
            <w:vAlign w:val="bottom"/>
          </w:tcPr>
          <w:p w14:paraId="766FF89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863" w:name="_Toc4059752"/>
            <w:r w:rsidRPr="00587444">
              <w:rPr>
                <w:rFonts w:ascii="Arial" w:hAnsi="Arial" w:cs="Arial"/>
                <w:b/>
                <w:sz w:val="14"/>
                <w:szCs w:val="14"/>
                <w:lang w:val="en-GB"/>
              </w:rPr>
              <w:t>HRK ‘000</w:t>
            </w:r>
            <w:bookmarkEnd w:id="863"/>
          </w:p>
        </w:tc>
        <w:tc>
          <w:tcPr>
            <w:tcW w:w="424" w:type="pct"/>
            <w:vAlign w:val="bottom"/>
          </w:tcPr>
          <w:p w14:paraId="40A1237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864" w:name="_Toc4059753"/>
            <w:r w:rsidRPr="00587444">
              <w:rPr>
                <w:rFonts w:ascii="Arial" w:hAnsi="Arial" w:cs="Arial"/>
                <w:b/>
                <w:sz w:val="14"/>
                <w:szCs w:val="14"/>
                <w:lang w:val="en-GB"/>
              </w:rPr>
              <w:t>HRK ‘000</w:t>
            </w:r>
            <w:bookmarkEnd w:id="864"/>
          </w:p>
        </w:tc>
        <w:tc>
          <w:tcPr>
            <w:tcW w:w="424" w:type="pct"/>
            <w:vAlign w:val="bottom"/>
          </w:tcPr>
          <w:p w14:paraId="00DA0E8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865" w:name="_Toc4059754"/>
            <w:r w:rsidRPr="00587444">
              <w:rPr>
                <w:rFonts w:ascii="Arial" w:hAnsi="Arial" w:cs="Arial"/>
                <w:b/>
                <w:sz w:val="14"/>
                <w:szCs w:val="14"/>
                <w:lang w:val="en-GB"/>
              </w:rPr>
              <w:t>HRK ‘000</w:t>
            </w:r>
            <w:bookmarkEnd w:id="865"/>
          </w:p>
        </w:tc>
        <w:tc>
          <w:tcPr>
            <w:tcW w:w="423" w:type="pct"/>
            <w:vAlign w:val="bottom"/>
          </w:tcPr>
          <w:p w14:paraId="486D294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866" w:name="_Toc4059755"/>
            <w:r w:rsidRPr="00587444">
              <w:rPr>
                <w:rFonts w:ascii="Arial" w:hAnsi="Arial" w:cs="Arial"/>
                <w:b/>
                <w:sz w:val="14"/>
                <w:szCs w:val="14"/>
                <w:lang w:val="en-GB"/>
              </w:rPr>
              <w:t>HRK ‘000</w:t>
            </w:r>
            <w:bookmarkEnd w:id="866"/>
          </w:p>
        </w:tc>
        <w:tc>
          <w:tcPr>
            <w:tcW w:w="421" w:type="pct"/>
          </w:tcPr>
          <w:p w14:paraId="1ED4DAB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HRK ‘000</w:t>
            </w:r>
          </w:p>
        </w:tc>
        <w:tc>
          <w:tcPr>
            <w:tcW w:w="420" w:type="pct"/>
            <w:vAlign w:val="bottom"/>
          </w:tcPr>
          <w:p w14:paraId="66D7689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867" w:name="_Toc4059756"/>
            <w:r w:rsidRPr="00587444">
              <w:rPr>
                <w:rFonts w:ascii="Arial" w:hAnsi="Arial" w:cs="Arial"/>
                <w:b/>
                <w:sz w:val="14"/>
                <w:szCs w:val="14"/>
                <w:lang w:val="en-GB"/>
              </w:rPr>
              <w:t>HRK ‘000</w:t>
            </w:r>
            <w:bookmarkEnd w:id="867"/>
          </w:p>
        </w:tc>
      </w:tr>
      <w:tr w:rsidR="00587444" w:rsidRPr="00587444" w14:paraId="5C389401" w14:textId="77777777" w:rsidTr="00DD69E7">
        <w:trPr>
          <w:trHeight w:val="171"/>
        </w:trPr>
        <w:tc>
          <w:tcPr>
            <w:tcW w:w="770" w:type="pct"/>
            <w:vAlign w:val="bottom"/>
          </w:tcPr>
          <w:p w14:paraId="1241B238" w14:textId="77777777" w:rsidR="00587444" w:rsidRPr="00587444" w:rsidRDefault="00587444" w:rsidP="00587444">
            <w:pPr>
              <w:tabs>
                <w:tab w:val="left" w:pos="-720"/>
              </w:tabs>
              <w:autoSpaceDN/>
              <w:spacing w:line="140" w:lineRule="exact"/>
              <w:rPr>
                <w:rFonts w:ascii="Arial" w:hAnsi="Arial" w:cs="Arial"/>
                <w:sz w:val="14"/>
                <w:szCs w:val="14"/>
                <w:lang w:val="en-GB"/>
              </w:rPr>
            </w:pPr>
          </w:p>
        </w:tc>
        <w:tc>
          <w:tcPr>
            <w:tcW w:w="423" w:type="pct"/>
            <w:vAlign w:val="bottom"/>
          </w:tcPr>
          <w:p w14:paraId="7D5EDAB1"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4"/>
                <w:szCs w:val="14"/>
                <w:lang w:val="en-GB"/>
              </w:rPr>
            </w:pPr>
          </w:p>
        </w:tc>
        <w:tc>
          <w:tcPr>
            <w:tcW w:w="423" w:type="pct"/>
            <w:vAlign w:val="bottom"/>
          </w:tcPr>
          <w:p w14:paraId="3AF8BC06"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7352189B"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tcPr>
          <w:p w14:paraId="2F86D7C3"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63102B94"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7E64C180"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7A604B8D"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4"/>
                <w:szCs w:val="14"/>
                <w:lang w:val="en-GB"/>
              </w:rPr>
            </w:pPr>
          </w:p>
        </w:tc>
        <w:tc>
          <w:tcPr>
            <w:tcW w:w="423" w:type="pct"/>
            <w:vAlign w:val="bottom"/>
          </w:tcPr>
          <w:p w14:paraId="5B3F4A65"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4"/>
                <w:szCs w:val="14"/>
                <w:lang w:val="en-GB"/>
              </w:rPr>
            </w:pPr>
          </w:p>
        </w:tc>
        <w:tc>
          <w:tcPr>
            <w:tcW w:w="421" w:type="pct"/>
          </w:tcPr>
          <w:p w14:paraId="2615ED5E"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4"/>
                <w:szCs w:val="14"/>
                <w:lang w:val="en-GB"/>
              </w:rPr>
            </w:pPr>
          </w:p>
        </w:tc>
        <w:tc>
          <w:tcPr>
            <w:tcW w:w="420" w:type="pct"/>
            <w:vAlign w:val="bottom"/>
          </w:tcPr>
          <w:p w14:paraId="323FFF79"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4"/>
                <w:szCs w:val="14"/>
                <w:lang w:val="en-GB"/>
              </w:rPr>
            </w:pPr>
          </w:p>
        </w:tc>
      </w:tr>
      <w:tr w:rsidR="00587444" w:rsidRPr="00587444" w14:paraId="34A60E22" w14:textId="77777777" w:rsidTr="00DD69E7">
        <w:trPr>
          <w:trHeight w:val="325"/>
        </w:trPr>
        <w:tc>
          <w:tcPr>
            <w:tcW w:w="770" w:type="pct"/>
            <w:vAlign w:val="bottom"/>
          </w:tcPr>
          <w:p w14:paraId="0192DC69" w14:textId="77777777" w:rsidR="00587444" w:rsidRPr="00587444" w:rsidRDefault="00587444" w:rsidP="00587444">
            <w:pPr>
              <w:tabs>
                <w:tab w:val="right" w:pos="1202"/>
              </w:tabs>
              <w:suppressAutoHyphens w:val="0"/>
              <w:autoSpaceDN/>
              <w:spacing w:line="240" w:lineRule="exact"/>
              <w:outlineLvl w:val="0"/>
              <w:rPr>
                <w:rFonts w:ascii="Arial" w:hAnsi="Arial" w:cs="Arial"/>
                <w:sz w:val="14"/>
                <w:szCs w:val="14"/>
                <w:lang w:val="en-GB"/>
              </w:rPr>
            </w:pPr>
            <w:bookmarkStart w:id="868" w:name="_Toc4059757"/>
            <w:r w:rsidRPr="00587444">
              <w:rPr>
                <w:rFonts w:ascii="Arial" w:hAnsi="Arial" w:cs="Arial"/>
                <w:sz w:val="14"/>
                <w:szCs w:val="14"/>
                <w:lang w:val="en-GB"/>
              </w:rPr>
              <w:t>Gross amount</w:t>
            </w:r>
            <w:bookmarkEnd w:id="868"/>
          </w:p>
        </w:tc>
        <w:tc>
          <w:tcPr>
            <w:tcW w:w="423" w:type="pct"/>
            <w:tcBorders>
              <w:top w:val="nil"/>
              <w:left w:val="nil"/>
              <w:bottom w:val="nil"/>
              <w:right w:val="nil"/>
            </w:tcBorders>
            <w:shd w:val="clear" w:color="auto" w:fill="auto"/>
            <w:vAlign w:val="bottom"/>
          </w:tcPr>
          <w:p w14:paraId="7A1E46C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8,423 </w:t>
            </w:r>
          </w:p>
        </w:tc>
        <w:tc>
          <w:tcPr>
            <w:tcW w:w="423" w:type="pct"/>
            <w:tcBorders>
              <w:top w:val="nil"/>
              <w:left w:val="nil"/>
              <w:bottom w:val="nil"/>
              <w:right w:val="nil"/>
            </w:tcBorders>
            <w:shd w:val="clear" w:color="auto" w:fill="auto"/>
            <w:vAlign w:val="bottom"/>
          </w:tcPr>
          <w:p w14:paraId="768E986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3 </w:t>
            </w:r>
          </w:p>
        </w:tc>
        <w:tc>
          <w:tcPr>
            <w:tcW w:w="424" w:type="pct"/>
            <w:tcBorders>
              <w:top w:val="nil"/>
              <w:left w:val="nil"/>
              <w:bottom w:val="nil"/>
              <w:right w:val="nil"/>
            </w:tcBorders>
            <w:shd w:val="clear" w:color="auto" w:fill="auto"/>
            <w:vAlign w:val="bottom"/>
          </w:tcPr>
          <w:p w14:paraId="5778EDA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36,321 </w:t>
            </w:r>
          </w:p>
        </w:tc>
        <w:tc>
          <w:tcPr>
            <w:tcW w:w="424" w:type="pct"/>
            <w:tcBorders>
              <w:top w:val="nil"/>
              <w:left w:val="nil"/>
              <w:bottom w:val="nil"/>
              <w:right w:val="nil"/>
            </w:tcBorders>
            <w:vAlign w:val="bottom"/>
          </w:tcPr>
          <w:p w14:paraId="5541D17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319 </w:t>
            </w:r>
          </w:p>
        </w:tc>
        <w:tc>
          <w:tcPr>
            <w:tcW w:w="424" w:type="pct"/>
            <w:tcBorders>
              <w:top w:val="nil"/>
              <w:left w:val="nil"/>
              <w:bottom w:val="nil"/>
              <w:right w:val="nil"/>
            </w:tcBorders>
            <w:shd w:val="clear" w:color="auto" w:fill="auto"/>
            <w:vAlign w:val="bottom"/>
          </w:tcPr>
          <w:p w14:paraId="590EC6F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4"/>
                <w:szCs w:val="14"/>
                <w:lang w:val="hr-HR"/>
              </w:rPr>
            </w:pPr>
            <w:r w:rsidRPr="00587444">
              <w:rPr>
                <w:rFonts w:ascii="Arial" w:hAnsi="Arial" w:cs="Arial"/>
                <w:b/>
                <w:bCs/>
                <w:sz w:val="14"/>
                <w:szCs w:val="14"/>
                <w:lang w:val="en-GB"/>
              </w:rPr>
              <w:t xml:space="preserve"> 45,066 </w:t>
            </w:r>
          </w:p>
        </w:tc>
        <w:tc>
          <w:tcPr>
            <w:tcW w:w="424" w:type="pct"/>
            <w:tcBorders>
              <w:top w:val="nil"/>
              <w:left w:val="nil"/>
              <w:bottom w:val="nil"/>
              <w:right w:val="nil"/>
            </w:tcBorders>
            <w:shd w:val="clear" w:color="auto" w:fill="auto"/>
            <w:vAlign w:val="bottom"/>
          </w:tcPr>
          <w:p w14:paraId="26F38C5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2,277 </w:t>
            </w:r>
          </w:p>
        </w:tc>
        <w:tc>
          <w:tcPr>
            <w:tcW w:w="424" w:type="pct"/>
            <w:tcBorders>
              <w:top w:val="nil"/>
              <w:left w:val="nil"/>
              <w:bottom w:val="nil"/>
              <w:right w:val="nil"/>
            </w:tcBorders>
            <w:shd w:val="clear" w:color="auto" w:fill="auto"/>
            <w:vAlign w:val="bottom"/>
          </w:tcPr>
          <w:p w14:paraId="685B5ED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3 </w:t>
            </w:r>
          </w:p>
        </w:tc>
        <w:tc>
          <w:tcPr>
            <w:tcW w:w="423" w:type="pct"/>
            <w:tcBorders>
              <w:top w:val="nil"/>
              <w:left w:val="nil"/>
              <w:bottom w:val="nil"/>
              <w:right w:val="nil"/>
            </w:tcBorders>
            <w:shd w:val="clear" w:color="auto" w:fill="auto"/>
            <w:vAlign w:val="bottom"/>
          </w:tcPr>
          <w:p w14:paraId="145310C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36,321 </w:t>
            </w:r>
          </w:p>
        </w:tc>
        <w:tc>
          <w:tcPr>
            <w:tcW w:w="421" w:type="pct"/>
            <w:tcBorders>
              <w:top w:val="nil"/>
              <w:left w:val="nil"/>
              <w:bottom w:val="nil"/>
              <w:right w:val="nil"/>
            </w:tcBorders>
            <w:vAlign w:val="bottom"/>
          </w:tcPr>
          <w:p w14:paraId="51B7DA5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319 </w:t>
            </w:r>
          </w:p>
        </w:tc>
        <w:tc>
          <w:tcPr>
            <w:tcW w:w="420" w:type="pct"/>
            <w:tcBorders>
              <w:top w:val="nil"/>
              <w:left w:val="nil"/>
              <w:bottom w:val="nil"/>
              <w:right w:val="nil"/>
            </w:tcBorders>
            <w:shd w:val="clear" w:color="auto" w:fill="auto"/>
            <w:vAlign w:val="bottom"/>
          </w:tcPr>
          <w:p w14:paraId="153F337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4"/>
                <w:szCs w:val="14"/>
                <w:lang w:val="hr-HR"/>
              </w:rPr>
            </w:pPr>
            <w:r w:rsidRPr="00587444">
              <w:rPr>
                <w:rFonts w:ascii="Arial" w:hAnsi="Arial" w:cs="Arial"/>
                <w:b/>
                <w:bCs/>
                <w:sz w:val="14"/>
                <w:szCs w:val="14"/>
                <w:lang w:val="en-GB"/>
              </w:rPr>
              <w:t xml:space="preserve"> 38,920</w:t>
            </w:r>
          </w:p>
        </w:tc>
      </w:tr>
      <w:tr w:rsidR="00587444" w:rsidRPr="00587444" w14:paraId="3D6288CA" w14:textId="77777777" w:rsidTr="00DD69E7">
        <w:trPr>
          <w:trHeight w:val="349"/>
        </w:trPr>
        <w:tc>
          <w:tcPr>
            <w:tcW w:w="770" w:type="pct"/>
            <w:vAlign w:val="bottom"/>
          </w:tcPr>
          <w:p w14:paraId="61790724" w14:textId="77777777" w:rsidR="00587444" w:rsidRPr="00587444" w:rsidRDefault="00587444" w:rsidP="00587444">
            <w:pPr>
              <w:tabs>
                <w:tab w:val="right" w:pos="1202"/>
              </w:tabs>
              <w:suppressAutoHyphens w:val="0"/>
              <w:autoSpaceDN/>
              <w:spacing w:line="240" w:lineRule="exact"/>
              <w:outlineLvl w:val="0"/>
              <w:rPr>
                <w:rFonts w:ascii="Arial" w:hAnsi="Arial" w:cs="Arial"/>
                <w:sz w:val="14"/>
                <w:szCs w:val="14"/>
                <w:lang w:val="en-GB"/>
              </w:rPr>
            </w:pPr>
            <w:bookmarkStart w:id="869" w:name="_Toc4059766"/>
            <w:r w:rsidRPr="00587444">
              <w:rPr>
                <w:rFonts w:ascii="Arial" w:hAnsi="Arial" w:cs="Arial"/>
                <w:sz w:val="14"/>
                <w:szCs w:val="14"/>
                <w:lang w:val="en-GB"/>
              </w:rPr>
              <w:t>Loss allowances</w:t>
            </w:r>
            <w:bookmarkEnd w:id="869"/>
          </w:p>
        </w:tc>
        <w:tc>
          <w:tcPr>
            <w:tcW w:w="423" w:type="pct"/>
            <w:tcBorders>
              <w:top w:val="nil"/>
              <w:left w:val="nil"/>
              <w:bottom w:val="nil"/>
              <w:right w:val="nil"/>
            </w:tcBorders>
            <w:shd w:val="clear" w:color="auto" w:fill="auto"/>
            <w:vAlign w:val="bottom"/>
          </w:tcPr>
          <w:p w14:paraId="7B13D34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(195)</w:t>
            </w:r>
          </w:p>
        </w:tc>
        <w:tc>
          <w:tcPr>
            <w:tcW w:w="423" w:type="pct"/>
            <w:tcBorders>
              <w:top w:val="nil"/>
              <w:left w:val="nil"/>
              <w:bottom w:val="nil"/>
              <w:right w:val="nil"/>
            </w:tcBorders>
            <w:shd w:val="clear" w:color="auto" w:fill="auto"/>
            <w:vAlign w:val="bottom"/>
          </w:tcPr>
          <w:p w14:paraId="429D5DE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(1)</w:t>
            </w:r>
          </w:p>
        </w:tc>
        <w:tc>
          <w:tcPr>
            <w:tcW w:w="424" w:type="pct"/>
            <w:tcBorders>
              <w:top w:val="nil"/>
              <w:left w:val="nil"/>
              <w:bottom w:val="nil"/>
              <w:right w:val="nil"/>
            </w:tcBorders>
            <w:shd w:val="clear" w:color="auto" w:fill="auto"/>
            <w:vAlign w:val="bottom"/>
          </w:tcPr>
          <w:p w14:paraId="2A2749C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(34,891)</w:t>
            </w:r>
          </w:p>
        </w:tc>
        <w:tc>
          <w:tcPr>
            <w:tcW w:w="424" w:type="pct"/>
            <w:tcBorders>
              <w:top w:val="nil"/>
              <w:left w:val="nil"/>
              <w:bottom w:val="nil"/>
              <w:right w:val="nil"/>
            </w:tcBorders>
            <w:vAlign w:val="bottom"/>
          </w:tcPr>
          <w:p w14:paraId="4046CE6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(261)</w:t>
            </w:r>
          </w:p>
        </w:tc>
        <w:tc>
          <w:tcPr>
            <w:tcW w:w="424" w:type="pct"/>
            <w:tcBorders>
              <w:top w:val="nil"/>
              <w:left w:val="nil"/>
              <w:bottom w:val="nil"/>
              <w:right w:val="nil"/>
            </w:tcBorders>
            <w:shd w:val="clear" w:color="auto" w:fill="auto"/>
            <w:vAlign w:val="bottom"/>
          </w:tcPr>
          <w:p w14:paraId="7769479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4"/>
                <w:szCs w:val="14"/>
                <w:lang w:val="hr-HR"/>
              </w:rPr>
            </w:pPr>
            <w:r w:rsidRPr="00587444">
              <w:rPr>
                <w:rFonts w:ascii="Arial" w:hAnsi="Arial" w:cs="Arial"/>
                <w:b/>
                <w:bCs/>
                <w:sz w:val="14"/>
                <w:szCs w:val="14"/>
                <w:lang w:val="en-GB"/>
              </w:rPr>
              <w:t xml:space="preserve"> (35,348)</w:t>
            </w:r>
          </w:p>
        </w:tc>
        <w:tc>
          <w:tcPr>
            <w:tcW w:w="424" w:type="pct"/>
            <w:tcBorders>
              <w:top w:val="nil"/>
              <w:left w:val="nil"/>
              <w:bottom w:val="nil"/>
              <w:right w:val="nil"/>
            </w:tcBorders>
            <w:shd w:val="clear" w:color="auto" w:fill="auto"/>
            <w:vAlign w:val="bottom"/>
          </w:tcPr>
          <w:p w14:paraId="1CEB731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(22)</w:t>
            </w:r>
          </w:p>
        </w:tc>
        <w:tc>
          <w:tcPr>
            <w:tcW w:w="424" w:type="pct"/>
            <w:tcBorders>
              <w:top w:val="nil"/>
              <w:left w:val="nil"/>
              <w:bottom w:val="nil"/>
              <w:right w:val="nil"/>
            </w:tcBorders>
            <w:shd w:val="clear" w:color="auto" w:fill="auto"/>
            <w:vAlign w:val="bottom"/>
          </w:tcPr>
          <w:p w14:paraId="0FAA5AE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(1)</w:t>
            </w:r>
          </w:p>
        </w:tc>
        <w:tc>
          <w:tcPr>
            <w:tcW w:w="423" w:type="pct"/>
            <w:tcBorders>
              <w:top w:val="nil"/>
              <w:left w:val="nil"/>
              <w:bottom w:val="nil"/>
              <w:right w:val="nil"/>
            </w:tcBorders>
            <w:shd w:val="clear" w:color="auto" w:fill="auto"/>
            <w:vAlign w:val="bottom"/>
          </w:tcPr>
          <w:p w14:paraId="156CF4F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(34,891)</w:t>
            </w:r>
          </w:p>
        </w:tc>
        <w:tc>
          <w:tcPr>
            <w:tcW w:w="421" w:type="pct"/>
            <w:tcBorders>
              <w:top w:val="nil"/>
              <w:left w:val="nil"/>
              <w:bottom w:val="nil"/>
              <w:right w:val="nil"/>
            </w:tcBorders>
            <w:vAlign w:val="bottom"/>
          </w:tcPr>
          <w:p w14:paraId="0FFEFE1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(261)</w:t>
            </w:r>
          </w:p>
        </w:tc>
        <w:tc>
          <w:tcPr>
            <w:tcW w:w="420" w:type="pct"/>
            <w:tcBorders>
              <w:top w:val="nil"/>
              <w:left w:val="nil"/>
              <w:bottom w:val="nil"/>
              <w:right w:val="nil"/>
            </w:tcBorders>
            <w:shd w:val="clear" w:color="auto" w:fill="auto"/>
            <w:vAlign w:val="bottom"/>
          </w:tcPr>
          <w:p w14:paraId="4466F8C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4"/>
                <w:szCs w:val="14"/>
                <w:lang w:val="hr-HR"/>
              </w:rPr>
            </w:pPr>
            <w:r w:rsidRPr="00587444">
              <w:rPr>
                <w:rFonts w:ascii="Arial" w:hAnsi="Arial" w:cs="Arial"/>
                <w:b/>
                <w:bCs/>
                <w:sz w:val="14"/>
                <w:szCs w:val="14"/>
                <w:lang w:val="en-GB"/>
              </w:rPr>
              <w:t xml:space="preserve"> (35,175)</w:t>
            </w:r>
          </w:p>
        </w:tc>
      </w:tr>
      <w:tr w:rsidR="00587444" w:rsidRPr="00587444" w14:paraId="7040E8B8" w14:textId="77777777" w:rsidTr="00DD69E7">
        <w:trPr>
          <w:trHeight w:val="444"/>
        </w:trPr>
        <w:tc>
          <w:tcPr>
            <w:tcW w:w="770" w:type="pct"/>
            <w:vAlign w:val="bottom"/>
          </w:tcPr>
          <w:p w14:paraId="79FAB2B8" w14:textId="77777777" w:rsidR="00890EEB" w:rsidRDefault="00587444" w:rsidP="00587444">
            <w:pPr>
              <w:tabs>
                <w:tab w:val="right" w:pos="1202"/>
              </w:tabs>
              <w:suppressAutoHyphens w:val="0"/>
              <w:autoSpaceDN/>
              <w:spacing w:line="240" w:lineRule="exact"/>
              <w:outlineLvl w:val="0"/>
              <w:rPr>
                <w:rFonts w:ascii="Arial" w:hAnsi="Arial" w:cs="Arial"/>
                <w:b/>
                <w:iCs/>
                <w:sz w:val="14"/>
                <w:szCs w:val="14"/>
                <w:lang w:val="en-GB"/>
              </w:rPr>
            </w:pPr>
            <w:bookmarkStart w:id="870" w:name="_Toc4059775"/>
            <w:r w:rsidRPr="00587444">
              <w:rPr>
                <w:rFonts w:ascii="Arial" w:hAnsi="Arial" w:cs="Arial"/>
                <w:b/>
                <w:iCs/>
                <w:sz w:val="14"/>
                <w:szCs w:val="14"/>
                <w:lang w:val="en-GB"/>
              </w:rPr>
              <w:t xml:space="preserve">Balance as of </w:t>
            </w:r>
          </w:p>
          <w:p w14:paraId="08268474" w14:textId="237C7E01" w:rsidR="00587444" w:rsidRPr="00587444" w:rsidRDefault="00587444" w:rsidP="00587444">
            <w:pPr>
              <w:tabs>
                <w:tab w:val="right" w:pos="1202"/>
              </w:tabs>
              <w:suppressAutoHyphens w:val="0"/>
              <w:autoSpaceDN/>
              <w:spacing w:line="240" w:lineRule="exact"/>
              <w:outlineLvl w:val="0"/>
              <w:rPr>
                <w:rFonts w:ascii="Arial" w:hAnsi="Arial" w:cs="Arial"/>
                <w:b/>
                <w:iCs/>
                <w:sz w:val="14"/>
                <w:szCs w:val="14"/>
                <w:lang w:val="en-GB"/>
              </w:rPr>
            </w:pPr>
            <w:r w:rsidRPr="00587444">
              <w:rPr>
                <w:rFonts w:ascii="Arial" w:hAnsi="Arial" w:cs="Arial"/>
                <w:b/>
                <w:iCs/>
                <w:sz w:val="14"/>
                <w:szCs w:val="14"/>
                <w:lang w:val="en-GB"/>
              </w:rPr>
              <w:t xml:space="preserve">31 December </w:t>
            </w:r>
            <w:bookmarkEnd w:id="870"/>
            <w:r w:rsidRPr="00587444">
              <w:rPr>
                <w:rFonts w:ascii="Arial" w:hAnsi="Arial" w:cs="Arial"/>
                <w:b/>
                <w:iCs/>
                <w:sz w:val="14"/>
                <w:szCs w:val="14"/>
                <w:lang w:val="en-GB"/>
              </w:rPr>
              <w:t>2022</w:t>
            </w:r>
          </w:p>
        </w:tc>
        <w:tc>
          <w:tcPr>
            <w:tcW w:w="423" w:type="pct"/>
            <w:tcBorders>
              <w:top w:val="single" w:sz="4" w:space="0" w:color="auto"/>
              <w:left w:val="nil"/>
              <w:bottom w:val="single" w:sz="12" w:space="0" w:color="auto"/>
              <w:right w:val="nil"/>
            </w:tcBorders>
            <w:shd w:val="clear" w:color="auto" w:fill="auto"/>
            <w:vAlign w:val="bottom"/>
          </w:tcPr>
          <w:p w14:paraId="48B40C2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8,228 </w:t>
            </w:r>
          </w:p>
        </w:tc>
        <w:tc>
          <w:tcPr>
            <w:tcW w:w="423" w:type="pct"/>
            <w:tcBorders>
              <w:top w:val="single" w:sz="4" w:space="0" w:color="auto"/>
              <w:left w:val="nil"/>
              <w:bottom w:val="single" w:sz="12" w:space="0" w:color="auto"/>
              <w:right w:val="nil"/>
            </w:tcBorders>
            <w:shd w:val="clear" w:color="auto" w:fill="auto"/>
            <w:vAlign w:val="bottom"/>
          </w:tcPr>
          <w:p w14:paraId="3E437FA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2 </w:t>
            </w:r>
          </w:p>
        </w:tc>
        <w:tc>
          <w:tcPr>
            <w:tcW w:w="424" w:type="pct"/>
            <w:tcBorders>
              <w:top w:val="single" w:sz="4" w:space="0" w:color="auto"/>
              <w:left w:val="nil"/>
              <w:bottom w:val="single" w:sz="12" w:space="0" w:color="auto"/>
              <w:right w:val="nil"/>
            </w:tcBorders>
            <w:shd w:val="clear" w:color="auto" w:fill="auto"/>
            <w:vAlign w:val="bottom"/>
          </w:tcPr>
          <w:p w14:paraId="3E85D03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1,430 </w:t>
            </w:r>
          </w:p>
        </w:tc>
        <w:tc>
          <w:tcPr>
            <w:tcW w:w="424" w:type="pct"/>
            <w:tcBorders>
              <w:top w:val="single" w:sz="4" w:space="0" w:color="auto"/>
              <w:left w:val="nil"/>
              <w:bottom w:val="single" w:sz="12" w:space="0" w:color="auto"/>
              <w:right w:val="nil"/>
            </w:tcBorders>
            <w:vAlign w:val="bottom"/>
          </w:tcPr>
          <w:p w14:paraId="2E91829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58 </w:t>
            </w:r>
          </w:p>
        </w:tc>
        <w:tc>
          <w:tcPr>
            <w:tcW w:w="424" w:type="pct"/>
            <w:tcBorders>
              <w:top w:val="single" w:sz="4" w:space="0" w:color="auto"/>
              <w:left w:val="nil"/>
              <w:bottom w:val="single" w:sz="12" w:space="0" w:color="auto"/>
              <w:right w:val="nil"/>
            </w:tcBorders>
            <w:shd w:val="clear" w:color="auto" w:fill="auto"/>
            <w:vAlign w:val="bottom"/>
          </w:tcPr>
          <w:p w14:paraId="1F4B553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b/>
                <w:bCs/>
                <w:sz w:val="14"/>
                <w:szCs w:val="14"/>
                <w:lang w:val="en-GB"/>
              </w:rPr>
              <w:t xml:space="preserve"> 9,718 </w:t>
            </w:r>
          </w:p>
        </w:tc>
        <w:tc>
          <w:tcPr>
            <w:tcW w:w="424" w:type="pct"/>
            <w:tcBorders>
              <w:top w:val="single" w:sz="4" w:space="0" w:color="auto"/>
              <w:left w:val="nil"/>
              <w:bottom w:val="single" w:sz="12" w:space="0" w:color="auto"/>
              <w:right w:val="nil"/>
            </w:tcBorders>
            <w:shd w:val="clear" w:color="auto" w:fill="auto"/>
            <w:vAlign w:val="bottom"/>
          </w:tcPr>
          <w:p w14:paraId="2811C71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2,255 </w:t>
            </w:r>
          </w:p>
        </w:tc>
        <w:tc>
          <w:tcPr>
            <w:tcW w:w="424" w:type="pct"/>
            <w:tcBorders>
              <w:top w:val="single" w:sz="4" w:space="0" w:color="auto"/>
              <w:left w:val="nil"/>
              <w:bottom w:val="single" w:sz="12" w:space="0" w:color="auto"/>
              <w:right w:val="nil"/>
            </w:tcBorders>
            <w:shd w:val="clear" w:color="auto" w:fill="auto"/>
            <w:vAlign w:val="bottom"/>
          </w:tcPr>
          <w:p w14:paraId="4D0FDDE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2 </w:t>
            </w:r>
          </w:p>
        </w:tc>
        <w:tc>
          <w:tcPr>
            <w:tcW w:w="423" w:type="pct"/>
            <w:tcBorders>
              <w:top w:val="single" w:sz="4" w:space="0" w:color="auto"/>
              <w:left w:val="nil"/>
              <w:bottom w:val="single" w:sz="12" w:space="0" w:color="auto"/>
              <w:right w:val="nil"/>
            </w:tcBorders>
            <w:shd w:val="clear" w:color="auto" w:fill="auto"/>
            <w:vAlign w:val="bottom"/>
          </w:tcPr>
          <w:p w14:paraId="74C1B0C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1,430 </w:t>
            </w:r>
          </w:p>
        </w:tc>
        <w:tc>
          <w:tcPr>
            <w:tcW w:w="421" w:type="pct"/>
            <w:tcBorders>
              <w:top w:val="single" w:sz="4" w:space="0" w:color="auto"/>
              <w:left w:val="nil"/>
              <w:bottom w:val="single" w:sz="12" w:space="0" w:color="auto"/>
              <w:right w:val="nil"/>
            </w:tcBorders>
            <w:vAlign w:val="bottom"/>
          </w:tcPr>
          <w:p w14:paraId="45A6A5E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58 </w:t>
            </w:r>
          </w:p>
        </w:tc>
        <w:tc>
          <w:tcPr>
            <w:tcW w:w="420" w:type="pct"/>
            <w:tcBorders>
              <w:top w:val="single" w:sz="4" w:space="0" w:color="auto"/>
              <w:left w:val="nil"/>
              <w:bottom w:val="single" w:sz="12" w:space="0" w:color="auto"/>
              <w:right w:val="nil"/>
            </w:tcBorders>
            <w:shd w:val="clear" w:color="auto" w:fill="auto"/>
            <w:vAlign w:val="bottom"/>
          </w:tcPr>
          <w:p w14:paraId="2537FF1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b/>
                <w:bCs/>
                <w:sz w:val="14"/>
                <w:szCs w:val="14"/>
                <w:lang w:val="en-GB"/>
              </w:rPr>
              <w:t xml:space="preserve"> 3,745 </w:t>
            </w:r>
          </w:p>
        </w:tc>
      </w:tr>
      <w:bookmarkEnd w:id="849"/>
    </w:tbl>
    <w:p w14:paraId="21FC4E37" w14:textId="77777777" w:rsidR="00587444" w:rsidRPr="00587444" w:rsidRDefault="00587444" w:rsidP="00587444">
      <w:pPr>
        <w:keepNext/>
        <w:suppressAutoHyphens w:val="0"/>
        <w:autoSpaceDN/>
        <w:spacing w:before="120" w:line="360" w:lineRule="auto"/>
        <w:jc w:val="both"/>
        <w:rPr>
          <w:rFonts w:ascii="Arial" w:hAnsi="Arial" w:cs="Arial"/>
          <w:sz w:val="20"/>
          <w:szCs w:val="20"/>
          <w:lang w:val="en-GB"/>
        </w:rPr>
      </w:pPr>
    </w:p>
    <w:tbl>
      <w:tblPr>
        <w:tblW w:w="5113" w:type="pct"/>
        <w:tblInd w:w="-142" w:type="dxa"/>
        <w:tblLayout w:type="fixed"/>
        <w:tblLook w:val="0000" w:firstRow="0" w:lastRow="0" w:firstColumn="0" w:lastColumn="0" w:noHBand="0" w:noVBand="0"/>
      </w:tblPr>
      <w:tblGrid>
        <w:gridCol w:w="1507"/>
        <w:gridCol w:w="828"/>
        <w:gridCol w:w="828"/>
        <w:gridCol w:w="830"/>
        <w:gridCol w:w="830"/>
        <w:gridCol w:w="830"/>
        <w:gridCol w:w="830"/>
        <w:gridCol w:w="830"/>
        <w:gridCol w:w="828"/>
        <w:gridCol w:w="824"/>
        <w:gridCol w:w="822"/>
      </w:tblGrid>
      <w:tr w:rsidR="00587444" w:rsidRPr="00587444" w14:paraId="78D50DDD" w14:textId="77777777" w:rsidTr="00DD69E7">
        <w:trPr>
          <w:trHeight w:val="314"/>
        </w:trPr>
        <w:tc>
          <w:tcPr>
            <w:tcW w:w="770" w:type="pct"/>
            <w:vAlign w:val="bottom"/>
          </w:tcPr>
          <w:p w14:paraId="67516128" w14:textId="77777777" w:rsidR="00587444" w:rsidRPr="00587444" w:rsidRDefault="00587444" w:rsidP="00587444">
            <w:pPr>
              <w:tabs>
                <w:tab w:val="left" w:pos="-720"/>
              </w:tabs>
              <w:autoSpaceDN/>
              <w:spacing w:line="220" w:lineRule="exact"/>
              <w:rPr>
                <w:rFonts w:ascii="Arial" w:hAnsi="Arial" w:cs="Arial"/>
                <w:b/>
                <w:sz w:val="14"/>
                <w:szCs w:val="14"/>
                <w:lang w:val="en-GB"/>
              </w:rPr>
            </w:pPr>
            <w:r w:rsidRPr="00587444">
              <w:rPr>
                <w:rFonts w:ascii="Arial" w:hAnsi="Arial" w:cs="Arial"/>
                <w:b/>
                <w:sz w:val="14"/>
                <w:szCs w:val="14"/>
                <w:lang w:val="en-GB"/>
              </w:rPr>
              <w:t>31 December 2021</w:t>
            </w:r>
          </w:p>
        </w:tc>
        <w:tc>
          <w:tcPr>
            <w:tcW w:w="423" w:type="pct"/>
            <w:vAlign w:val="bottom"/>
          </w:tcPr>
          <w:p w14:paraId="380918D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p>
        </w:tc>
        <w:tc>
          <w:tcPr>
            <w:tcW w:w="423" w:type="pct"/>
            <w:shd w:val="clear" w:color="auto" w:fill="auto"/>
            <w:vAlign w:val="bottom"/>
          </w:tcPr>
          <w:p w14:paraId="5009E93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p>
        </w:tc>
        <w:tc>
          <w:tcPr>
            <w:tcW w:w="424" w:type="pct"/>
            <w:shd w:val="clear" w:color="auto" w:fill="auto"/>
            <w:vAlign w:val="bottom"/>
          </w:tcPr>
          <w:p w14:paraId="27457E7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tcPr>
          <w:p w14:paraId="301047C9"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en-GB"/>
              </w:rPr>
            </w:pPr>
          </w:p>
        </w:tc>
        <w:tc>
          <w:tcPr>
            <w:tcW w:w="424" w:type="pct"/>
            <w:vAlign w:val="bottom"/>
          </w:tcPr>
          <w:p w14:paraId="7B9EAD3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r w:rsidRPr="00587444">
              <w:rPr>
                <w:rFonts w:ascii="Arial" w:hAnsi="Arial" w:cs="Arial"/>
                <w:b/>
                <w:sz w:val="14"/>
                <w:szCs w:val="14"/>
                <w:lang w:val="en-GB"/>
              </w:rPr>
              <w:t>Group</w:t>
            </w:r>
          </w:p>
        </w:tc>
        <w:tc>
          <w:tcPr>
            <w:tcW w:w="424" w:type="pct"/>
            <w:vAlign w:val="bottom"/>
          </w:tcPr>
          <w:p w14:paraId="116887A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p>
        </w:tc>
        <w:tc>
          <w:tcPr>
            <w:tcW w:w="424" w:type="pct"/>
            <w:shd w:val="clear" w:color="auto" w:fill="auto"/>
            <w:vAlign w:val="bottom"/>
          </w:tcPr>
          <w:p w14:paraId="7228D5A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p>
        </w:tc>
        <w:tc>
          <w:tcPr>
            <w:tcW w:w="423" w:type="pct"/>
            <w:shd w:val="clear" w:color="auto" w:fill="auto"/>
            <w:vAlign w:val="bottom"/>
          </w:tcPr>
          <w:p w14:paraId="239851A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p>
        </w:tc>
        <w:tc>
          <w:tcPr>
            <w:tcW w:w="421" w:type="pct"/>
          </w:tcPr>
          <w:p w14:paraId="2581A80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p>
        </w:tc>
        <w:tc>
          <w:tcPr>
            <w:tcW w:w="420" w:type="pct"/>
            <w:vAlign w:val="bottom"/>
          </w:tcPr>
          <w:p w14:paraId="7A17A9A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Bank</w:t>
            </w:r>
          </w:p>
        </w:tc>
      </w:tr>
      <w:tr w:rsidR="00587444" w:rsidRPr="00587444" w14:paraId="60BFD4E0" w14:textId="77777777" w:rsidTr="00DD69E7">
        <w:trPr>
          <w:trHeight w:val="242"/>
        </w:trPr>
        <w:tc>
          <w:tcPr>
            <w:tcW w:w="770" w:type="pct"/>
            <w:vAlign w:val="bottom"/>
          </w:tcPr>
          <w:p w14:paraId="2081C429" w14:textId="77777777" w:rsidR="00587444" w:rsidRPr="00587444" w:rsidRDefault="00587444" w:rsidP="00587444">
            <w:pPr>
              <w:tabs>
                <w:tab w:val="left" w:pos="-720"/>
              </w:tabs>
              <w:autoSpaceDN/>
              <w:spacing w:line="220" w:lineRule="exact"/>
              <w:rPr>
                <w:rFonts w:ascii="Arial" w:hAnsi="Arial" w:cs="Arial"/>
                <w:sz w:val="14"/>
                <w:szCs w:val="14"/>
                <w:lang w:val="en-GB"/>
              </w:rPr>
            </w:pPr>
          </w:p>
        </w:tc>
        <w:tc>
          <w:tcPr>
            <w:tcW w:w="423" w:type="pct"/>
            <w:vAlign w:val="bottom"/>
          </w:tcPr>
          <w:p w14:paraId="2D4F098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1</w:t>
            </w:r>
          </w:p>
        </w:tc>
        <w:tc>
          <w:tcPr>
            <w:tcW w:w="423" w:type="pct"/>
            <w:vAlign w:val="bottom"/>
          </w:tcPr>
          <w:p w14:paraId="4C2D2F1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2</w:t>
            </w:r>
          </w:p>
        </w:tc>
        <w:tc>
          <w:tcPr>
            <w:tcW w:w="424" w:type="pct"/>
            <w:vAlign w:val="bottom"/>
          </w:tcPr>
          <w:p w14:paraId="7C74AE9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3</w:t>
            </w:r>
          </w:p>
        </w:tc>
        <w:tc>
          <w:tcPr>
            <w:tcW w:w="424" w:type="pct"/>
          </w:tcPr>
          <w:p w14:paraId="235BC9C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POCI</w:t>
            </w:r>
          </w:p>
        </w:tc>
        <w:tc>
          <w:tcPr>
            <w:tcW w:w="424" w:type="pct"/>
            <w:vAlign w:val="bottom"/>
          </w:tcPr>
          <w:p w14:paraId="1357A96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Total</w:t>
            </w:r>
          </w:p>
        </w:tc>
        <w:tc>
          <w:tcPr>
            <w:tcW w:w="424" w:type="pct"/>
            <w:vAlign w:val="bottom"/>
          </w:tcPr>
          <w:p w14:paraId="2509FE4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1</w:t>
            </w:r>
          </w:p>
        </w:tc>
        <w:tc>
          <w:tcPr>
            <w:tcW w:w="424" w:type="pct"/>
            <w:vAlign w:val="bottom"/>
          </w:tcPr>
          <w:p w14:paraId="0B6BBB7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2</w:t>
            </w:r>
          </w:p>
        </w:tc>
        <w:tc>
          <w:tcPr>
            <w:tcW w:w="423" w:type="pct"/>
            <w:vAlign w:val="bottom"/>
          </w:tcPr>
          <w:p w14:paraId="3F02778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3</w:t>
            </w:r>
          </w:p>
        </w:tc>
        <w:tc>
          <w:tcPr>
            <w:tcW w:w="421" w:type="pct"/>
          </w:tcPr>
          <w:p w14:paraId="5CB0469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POCI</w:t>
            </w:r>
          </w:p>
        </w:tc>
        <w:tc>
          <w:tcPr>
            <w:tcW w:w="420" w:type="pct"/>
            <w:vAlign w:val="bottom"/>
          </w:tcPr>
          <w:p w14:paraId="7190F2C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Total</w:t>
            </w:r>
          </w:p>
        </w:tc>
      </w:tr>
      <w:tr w:rsidR="00587444" w:rsidRPr="00587444" w14:paraId="378608B4" w14:textId="77777777" w:rsidTr="00DD69E7">
        <w:trPr>
          <w:trHeight w:val="242"/>
        </w:trPr>
        <w:tc>
          <w:tcPr>
            <w:tcW w:w="770" w:type="pct"/>
            <w:vAlign w:val="bottom"/>
          </w:tcPr>
          <w:p w14:paraId="3A5681F2" w14:textId="77777777" w:rsidR="00587444" w:rsidRPr="00587444" w:rsidRDefault="00587444" w:rsidP="00587444">
            <w:pPr>
              <w:tabs>
                <w:tab w:val="left" w:pos="-720"/>
              </w:tabs>
              <w:autoSpaceDN/>
              <w:spacing w:line="220" w:lineRule="exact"/>
              <w:rPr>
                <w:rFonts w:ascii="Arial" w:hAnsi="Arial" w:cs="Arial"/>
                <w:sz w:val="14"/>
                <w:szCs w:val="14"/>
              </w:rPr>
            </w:pPr>
          </w:p>
        </w:tc>
        <w:tc>
          <w:tcPr>
            <w:tcW w:w="423" w:type="pct"/>
            <w:vAlign w:val="bottom"/>
          </w:tcPr>
          <w:p w14:paraId="23C4025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HRK ‘000</w:t>
            </w:r>
          </w:p>
        </w:tc>
        <w:tc>
          <w:tcPr>
            <w:tcW w:w="423" w:type="pct"/>
            <w:vAlign w:val="bottom"/>
          </w:tcPr>
          <w:p w14:paraId="3199E2B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HRK ‘000</w:t>
            </w:r>
          </w:p>
        </w:tc>
        <w:tc>
          <w:tcPr>
            <w:tcW w:w="424" w:type="pct"/>
            <w:vAlign w:val="bottom"/>
          </w:tcPr>
          <w:p w14:paraId="779BB25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HRK ‘000</w:t>
            </w:r>
          </w:p>
        </w:tc>
        <w:tc>
          <w:tcPr>
            <w:tcW w:w="424" w:type="pct"/>
          </w:tcPr>
          <w:p w14:paraId="2B168DD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HRK ‘000</w:t>
            </w:r>
          </w:p>
        </w:tc>
        <w:tc>
          <w:tcPr>
            <w:tcW w:w="424" w:type="pct"/>
            <w:vAlign w:val="bottom"/>
          </w:tcPr>
          <w:p w14:paraId="1B4CA59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HRK ‘000</w:t>
            </w:r>
          </w:p>
        </w:tc>
        <w:tc>
          <w:tcPr>
            <w:tcW w:w="424" w:type="pct"/>
            <w:vAlign w:val="bottom"/>
          </w:tcPr>
          <w:p w14:paraId="667A1B1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HRK ‘000</w:t>
            </w:r>
          </w:p>
        </w:tc>
        <w:tc>
          <w:tcPr>
            <w:tcW w:w="424" w:type="pct"/>
            <w:vAlign w:val="bottom"/>
          </w:tcPr>
          <w:p w14:paraId="756E8E9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HRK ‘000</w:t>
            </w:r>
          </w:p>
        </w:tc>
        <w:tc>
          <w:tcPr>
            <w:tcW w:w="423" w:type="pct"/>
            <w:vAlign w:val="bottom"/>
          </w:tcPr>
          <w:p w14:paraId="2D60D7A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HRK ‘000</w:t>
            </w:r>
          </w:p>
        </w:tc>
        <w:tc>
          <w:tcPr>
            <w:tcW w:w="421" w:type="pct"/>
          </w:tcPr>
          <w:p w14:paraId="773ED0E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HRK ‘000</w:t>
            </w:r>
          </w:p>
        </w:tc>
        <w:tc>
          <w:tcPr>
            <w:tcW w:w="420" w:type="pct"/>
            <w:vAlign w:val="bottom"/>
          </w:tcPr>
          <w:p w14:paraId="3FE10B9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HRK ‘000</w:t>
            </w:r>
          </w:p>
        </w:tc>
      </w:tr>
      <w:tr w:rsidR="00587444" w:rsidRPr="00587444" w14:paraId="5C1FB0E7" w14:textId="77777777" w:rsidTr="00DD69E7">
        <w:trPr>
          <w:trHeight w:val="171"/>
        </w:trPr>
        <w:tc>
          <w:tcPr>
            <w:tcW w:w="770" w:type="pct"/>
            <w:vAlign w:val="bottom"/>
          </w:tcPr>
          <w:p w14:paraId="2C08B65C" w14:textId="77777777" w:rsidR="00587444" w:rsidRPr="00587444" w:rsidRDefault="00587444" w:rsidP="00587444">
            <w:pPr>
              <w:tabs>
                <w:tab w:val="left" w:pos="-720"/>
              </w:tabs>
              <w:autoSpaceDN/>
              <w:spacing w:line="140" w:lineRule="exact"/>
              <w:rPr>
                <w:rFonts w:ascii="Arial" w:hAnsi="Arial" w:cs="Arial"/>
                <w:sz w:val="14"/>
                <w:szCs w:val="14"/>
                <w:lang w:val="en-GB"/>
              </w:rPr>
            </w:pPr>
          </w:p>
        </w:tc>
        <w:tc>
          <w:tcPr>
            <w:tcW w:w="423" w:type="pct"/>
            <w:vAlign w:val="bottom"/>
          </w:tcPr>
          <w:p w14:paraId="6548C082"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4"/>
                <w:szCs w:val="14"/>
                <w:lang w:val="en-GB"/>
              </w:rPr>
            </w:pPr>
          </w:p>
        </w:tc>
        <w:tc>
          <w:tcPr>
            <w:tcW w:w="423" w:type="pct"/>
            <w:vAlign w:val="bottom"/>
          </w:tcPr>
          <w:p w14:paraId="330E3A4E"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43DF9E93"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tcPr>
          <w:p w14:paraId="74D337E1"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6613A1B5"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1A2F770C"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29F6B61E"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4"/>
                <w:szCs w:val="14"/>
                <w:lang w:val="en-GB"/>
              </w:rPr>
            </w:pPr>
          </w:p>
        </w:tc>
        <w:tc>
          <w:tcPr>
            <w:tcW w:w="423" w:type="pct"/>
            <w:vAlign w:val="bottom"/>
          </w:tcPr>
          <w:p w14:paraId="78B55D8F"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4"/>
                <w:szCs w:val="14"/>
                <w:lang w:val="en-GB"/>
              </w:rPr>
            </w:pPr>
          </w:p>
        </w:tc>
        <w:tc>
          <w:tcPr>
            <w:tcW w:w="421" w:type="pct"/>
          </w:tcPr>
          <w:p w14:paraId="60D32DC9"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4"/>
                <w:szCs w:val="14"/>
                <w:lang w:val="en-GB"/>
              </w:rPr>
            </w:pPr>
          </w:p>
        </w:tc>
        <w:tc>
          <w:tcPr>
            <w:tcW w:w="420" w:type="pct"/>
            <w:vAlign w:val="bottom"/>
          </w:tcPr>
          <w:p w14:paraId="20905528"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b/>
                <w:sz w:val="14"/>
                <w:szCs w:val="14"/>
                <w:lang w:val="en-GB"/>
              </w:rPr>
            </w:pPr>
          </w:p>
        </w:tc>
      </w:tr>
      <w:tr w:rsidR="00587444" w:rsidRPr="00587444" w14:paraId="3E5A3956" w14:textId="77777777" w:rsidTr="00DD69E7">
        <w:trPr>
          <w:trHeight w:val="325"/>
        </w:trPr>
        <w:tc>
          <w:tcPr>
            <w:tcW w:w="770" w:type="pct"/>
            <w:vAlign w:val="bottom"/>
          </w:tcPr>
          <w:p w14:paraId="46D271CC" w14:textId="77777777" w:rsidR="00587444" w:rsidRPr="00587444" w:rsidRDefault="00587444" w:rsidP="00587444">
            <w:pPr>
              <w:tabs>
                <w:tab w:val="right" w:pos="1202"/>
              </w:tabs>
              <w:suppressAutoHyphens w:val="0"/>
              <w:autoSpaceDN/>
              <w:spacing w:line="240" w:lineRule="exact"/>
              <w:outlineLvl w:val="0"/>
              <w:rPr>
                <w:rFonts w:ascii="Arial" w:hAnsi="Arial" w:cs="Arial"/>
                <w:sz w:val="14"/>
                <w:szCs w:val="14"/>
                <w:lang w:val="en-GB"/>
              </w:rPr>
            </w:pPr>
            <w:r w:rsidRPr="00587444">
              <w:rPr>
                <w:rFonts w:ascii="Arial" w:hAnsi="Arial" w:cs="Arial"/>
                <w:sz w:val="14"/>
                <w:szCs w:val="14"/>
                <w:lang w:val="en-GB"/>
              </w:rPr>
              <w:t>Gross amount</w:t>
            </w:r>
          </w:p>
        </w:tc>
        <w:tc>
          <w:tcPr>
            <w:tcW w:w="423" w:type="pct"/>
            <w:tcBorders>
              <w:top w:val="nil"/>
              <w:left w:val="nil"/>
              <w:bottom w:val="nil"/>
              <w:right w:val="nil"/>
            </w:tcBorders>
            <w:shd w:val="clear" w:color="auto" w:fill="auto"/>
            <w:vAlign w:val="bottom"/>
          </w:tcPr>
          <w:p w14:paraId="12647DD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6,117 </w:t>
            </w:r>
          </w:p>
        </w:tc>
        <w:tc>
          <w:tcPr>
            <w:tcW w:w="423" w:type="pct"/>
            <w:tcBorders>
              <w:top w:val="nil"/>
              <w:left w:val="nil"/>
              <w:bottom w:val="nil"/>
              <w:right w:val="nil"/>
            </w:tcBorders>
            <w:shd w:val="clear" w:color="auto" w:fill="auto"/>
            <w:vAlign w:val="bottom"/>
          </w:tcPr>
          <w:p w14:paraId="343BAB8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16 </w:t>
            </w:r>
          </w:p>
        </w:tc>
        <w:tc>
          <w:tcPr>
            <w:tcW w:w="424" w:type="pct"/>
            <w:tcBorders>
              <w:top w:val="nil"/>
              <w:left w:val="nil"/>
              <w:bottom w:val="nil"/>
              <w:right w:val="nil"/>
            </w:tcBorders>
            <w:shd w:val="clear" w:color="auto" w:fill="auto"/>
            <w:vAlign w:val="bottom"/>
          </w:tcPr>
          <w:p w14:paraId="7030CD8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32,728 </w:t>
            </w:r>
          </w:p>
        </w:tc>
        <w:tc>
          <w:tcPr>
            <w:tcW w:w="424" w:type="pct"/>
            <w:tcBorders>
              <w:top w:val="nil"/>
              <w:left w:val="nil"/>
              <w:bottom w:val="nil"/>
              <w:right w:val="nil"/>
            </w:tcBorders>
            <w:vAlign w:val="bottom"/>
          </w:tcPr>
          <w:p w14:paraId="1B4ACD8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301 </w:t>
            </w:r>
          </w:p>
        </w:tc>
        <w:tc>
          <w:tcPr>
            <w:tcW w:w="424" w:type="pct"/>
            <w:tcBorders>
              <w:top w:val="nil"/>
              <w:left w:val="nil"/>
              <w:bottom w:val="nil"/>
              <w:right w:val="nil"/>
            </w:tcBorders>
            <w:shd w:val="clear" w:color="auto" w:fill="auto"/>
            <w:vAlign w:val="bottom"/>
          </w:tcPr>
          <w:p w14:paraId="1FBB812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4"/>
                <w:szCs w:val="14"/>
                <w:lang w:val="hr-HR"/>
              </w:rPr>
            </w:pPr>
            <w:r w:rsidRPr="00587444">
              <w:rPr>
                <w:rFonts w:ascii="Arial" w:hAnsi="Arial" w:cs="Arial"/>
                <w:b/>
                <w:bCs/>
                <w:sz w:val="14"/>
                <w:szCs w:val="14"/>
                <w:lang w:val="en-GB"/>
              </w:rPr>
              <w:t xml:space="preserve"> 39,162 </w:t>
            </w:r>
          </w:p>
        </w:tc>
        <w:tc>
          <w:tcPr>
            <w:tcW w:w="424" w:type="pct"/>
            <w:tcBorders>
              <w:top w:val="nil"/>
              <w:left w:val="nil"/>
              <w:bottom w:val="nil"/>
              <w:right w:val="nil"/>
            </w:tcBorders>
            <w:shd w:val="clear" w:color="auto" w:fill="auto"/>
            <w:vAlign w:val="bottom"/>
          </w:tcPr>
          <w:p w14:paraId="77563EC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3,351 </w:t>
            </w:r>
          </w:p>
        </w:tc>
        <w:tc>
          <w:tcPr>
            <w:tcW w:w="424" w:type="pct"/>
            <w:tcBorders>
              <w:top w:val="nil"/>
              <w:left w:val="nil"/>
              <w:bottom w:val="nil"/>
              <w:right w:val="nil"/>
            </w:tcBorders>
            <w:shd w:val="clear" w:color="auto" w:fill="auto"/>
            <w:vAlign w:val="bottom"/>
          </w:tcPr>
          <w:p w14:paraId="42B27BE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16 </w:t>
            </w:r>
          </w:p>
        </w:tc>
        <w:tc>
          <w:tcPr>
            <w:tcW w:w="423" w:type="pct"/>
            <w:tcBorders>
              <w:top w:val="nil"/>
              <w:left w:val="nil"/>
              <w:bottom w:val="nil"/>
              <w:right w:val="nil"/>
            </w:tcBorders>
            <w:shd w:val="clear" w:color="auto" w:fill="auto"/>
            <w:vAlign w:val="bottom"/>
          </w:tcPr>
          <w:p w14:paraId="54484E9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32,728 </w:t>
            </w:r>
          </w:p>
        </w:tc>
        <w:tc>
          <w:tcPr>
            <w:tcW w:w="421" w:type="pct"/>
            <w:tcBorders>
              <w:top w:val="nil"/>
              <w:left w:val="nil"/>
              <w:bottom w:val="nil"/>
              <w:right w:val="nil"/>
            </w:tcBorders>
            <w:vAlign w:val="bottom"/>
          </w:tcPr>
          <w:p w14:paraId="74FCED5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301 </w:t>
            </w:r>
          </w:p>
        </w:tc>
        <w:tc>
          <w:tcPr>
            <w:tcW w:w="420" w:type="pct"/>
            <w:tcBorders>
              <w:top w:val="nil"/>
              <w:left w:val="nil"/>
              <w:bottom w:val="nil"/>
              <w:right w:val="nil"/>
            </w:tcBorders>
            <w:shd w:val="clear" w:color="auto" w:fill="auto"/>
            <w:vAlign w:val="bottom"/>
          </w:tcPr>
          <w:p w14:paraId="262A430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4"/>
                <w:szCs w:val="14"/>
                <w:lang w:val="hr-HR"/>
              </w:rPr>
            </w:pPr>
            <w:r w:rsidRPr="00587444">
              <w:rPr>
                <w:rFonts w:ascii="Arial" w:hAnsi="Arial" w:cs="Arial"/>
                <w:b/>
                <w:bCs/>
                <w:sz w:val="14"/>
                <w:szCs w:val="14"/>
                <w:lang w:val="en-GB"/>
              </w:rPr>
              <w:t xml:space="preserve"> 36,396 </w:t>
            </w:r>
          </w:p>
        </w:tc>
      </w:tr>
      <w:tr w:rsidR="00587444" w:rsidRPr="00587444" w14:paraId="406450E5" w14:textId="77777777" w:rsidTr="00DD69E7">
        <w:trPr>
          <w:trHeight w:val="349"/>
        </w:trPr>
        <w:tc>
          <w:tcPr>
            <w:tcW w:w="770" w:type="pct"/>
            <w:vAlign w:val="bottom"/>
          </w:tcPr>
          <w:p w14:paraId="26567142" w14:textId="77777777" w:rsidR="00587444" w:rsidRPr="00587444" w:rsidRDefault="00587444" w:rsidP="00587444">
            <w:pPr>
              <w:tabs>
                <w:tab w:val="right" w:pos="1202"/>
              </w:tabs>
              <w:suppressAutoHyphens w:val="0"/>
              <w:autoSpaceDN/>
              <w:spacing w:line="240" w:lineRule="exact"/>
              <w:outlineLvl w:val="0"/>
              <w:rPr>
                <w:rFonts w:ascii="Arial" w:hAnsi="Arial" w:cs="Arial"/>
                <w:sz w:val="14"/>
                <w:szCs w:val="14"/>
                <w:lang w:val="en-GB"/>
              </w:rPr>
            </w:pPr>
            <w:r w:rsidRPr="00587444">
              <w:rPr>
                <w:rFonts w:ascii="Arial" w:hAnsi="Arial" w:cs="Arial"/>
                <w:sz w:val="14"/>
                <w:szCs w:val="14"/>
                <w:lang w:val="en-GB"/>
              </w:rPr>
              <w:t>Loss allowances</w:t>
            </w:r>
          </w:p>
        </w:tc>
        <w:tc>
          <w:tcPr>
            <w:tcW w:w="423" w:type="pct"/>
            <w:tcBorders>
              <w:top w:val="nil"/>
              <w:left w:val="nil"/>
              <w:bottom w:val="nil"/>
              <w:right w:val="nil"/>
            </w:tcBorders>
            <w:shd w:val="clear" w:color="auto" w:fill="auto"/>
            <w:vAlign w:val="bottom"/>
          </w:tcPr>
          <w:p w14:paraId="5D43C2B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(179)</w:t>
            </w:r>
          </w:p>
        </w:tc>
        <w:tc>
          <w:tcPr>
            <w:tcW w:w="423" w:type="pct"/>
            <w:tcBorders>
              <w:top w:val="nil"/>
              <w:left w:val="nil"/>
              <w:bottom w:val="nil"/>
              <w:right w:val="nil"/>
            </w:tcBorders>
            <w:shd w:val="clear" w:color="auto" w:fill="auto"/>
            <w:vAlign w:val="bottom"/>
          </w:tcPr>
          <w:p w14:paraId="0B92139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(4)</w:t>
            </w:r>
          </w:p>
        </w:tc>
        <w:tc>
          <w:tcPr>
            <w:tcW w:w="424" w:type="pct"/>
            <w:tcBorders>
              <w:top w:val="nil"/>
              <w:left w:val="nil"/>
              <w:bottom w:val="nil"/>
              <w:right w:val="nil"/>
            </w:tcBorders>
            <w:shd w:val="clear" w:color="auto" w:fill="auto"/>
            <w:vAlign w:val="bottom"/>
          </w:tcPr>
          <w:p w14:paraId="7E056BC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(31,418)</w:t>
            </w:r>
          </w:p>
        </w:tc>
        <w:tc>
          <w:tcPr>
            <w:tcW w:w="424" w:type="pct"/>
            <w:tcBorders>
              <w:top w:val="nil"/>
              <w:left w:val="nil"/>
              <w:bottom w:val="nil"/>
              <w:right w:val="nil"/>
            </w:tcBorders>
            <w:vAlign w:val="bottom"/>
          </w:tcPr>
          <w:p w14:paraId="3104A3C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(250)</w:t>
            </w:r>
          </w:p>
        </w:tc>
        <w:tc>
          <w:tcPr>
            <w:tcW w:w="424" w:type="pct"/>
            <w:tcBorders>
              <w:top w:val="nil"/>
              <w:left w:val="nil"/>
              <w:bottom w:val="nil"/>
              <w:right w:val="nil"/>
            </w:tcBorders>
            <w:shd w:val="clear" w:color="auto" w:fill="auto"/>
            <w:vAlign w:val="bottom"/>
          </w:tcPr>
          <w:p w14:paraId="1A0C1E7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4"/>
                <w:szCs w:val="14"/>
                <w:lang w:val="hr-HR"/>
              </w:rPr>
            </w:pPr>
            <w:r w:rsidRPr="00587444">
              <w:rPr>
                <w:rFonts w:ascii="Arial" w:hAnsi="Arial" w:cs="Arial"/>
                <w:b/>
                <w:bCs/>
                <w:sz w:val="14"/>
                <w:szCs w:val="14"/>
                <w:lang w:val="en-GB"/>
              </w:rPr>
              <w:t xml:space="preserve"> (31,851)</w:t>
            </w:r>
          </w:p>
        </w:tc>
        <w:tc>
          <w:tcPr>
            <w:tcW w:w="424" w:type="pct"/>
            <w:tcBorders>
              <w:top w:val="nil"/>
              <w:left w:val="nil"/>
              <w:bottom w:val="nil"/>
              <w:right w:val="nil"/>
            </w:tcBorders>
            <w:shd w:val="clear" w:color="auto" w:fill="auto"/>
            <w:vAlign w:val="bottom"/>
          </w:tcPr>
          <w:p w14:paraId="5DF9FA9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(25)</w:t>
            </w:r>
          </w:p>
        </w:tc>
        <w:tc>
          <w:tcPr>
            <w:tcW w:w="424" w:type="pct"/>
            <w:tcBorders>
              <w:top w:val="nil"/>
              <w:left w:val="nil"/>
              <w:bottom w:val="nil"/>
              <w:right w:val="nil"/>
            </w:tcBorders>
            <w:shd w:val="clear" w:color="auto" w:fill="auto"/>
            <w:vAlign w:val="bottom"/>
          </w:tcPr>
          <w:p w14:paraId="5A0F95F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(4)</w:t>
            </w:r>
          </w:p>
        </w:tc>
        <w:tc>
          <w:tcPr>
            <w:tcW w:w="423" w:type="pct"/>
            <w:tcBorders>
              <w:top w:val="nil"/>
              <w:left w:val="nil"/>
              <w:bottom w:val="nil"/>
              <w:right w:val="nil"/>
            </w:tcBorders>
            <w:shd w:val="clear" w:color="auto" w:fill="auto"/>
            <w:vAlign w:val="bottom"/>
          </w:tcPr>
          <w:p w14:paraId="22F95BD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(31,418)</w:t>
            </w:r>
          </w:p>
        </w:tc>
        <w:tc>
          <w:tcPr>
            <w:tcW w:w="421" w:type="pct"/>
            <w:tcBorders>
              <w:top w:val="nil"/>
              <w:left w:val="nil"/>
              <w:bottom w:val="nil"/>
              <w:right w:val="nil"/>
            </w:tcBorders>
            <w:vAlign w:val="bottom"/>
          </w:tcPr>
          <w:p w14:paraId="5345B7B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(250)</w:t>
            </w:r>
          </w:p>
        </w:tc>
        <w:tc>
          <w:tcPr>
            <w:tcW w:w="420" w:type="pct"/>
            <w:tcBorders>
              <w:top w:val="nil"/>
              <w:left w:val="nil"/>
              <w:bottom w:val="nil"/>
              <w:right w:val="nil"/>
            </w:tcBorders>
            <w:shd w:val="clear" w:color="auto" w:fill="auto"/>
            <w:vAlign w:val="bottom"/>
          </w:tcPr>
          <w:p w14:paraId="34A5316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4"/>
                <w:szCs w:val="14"/>
                <w:lang w:val="hr-HR"/>
              </w:rPr>
            </w:pPr>
            <w:r w:rsidRPr="00587444">
              <w:rPr>
                <w:rFonts w:ascii="Arial" w:hAnsi="Arial" w:cs="Arial"/>
                <w:b/>
                <w:bCs/>
                <w:sz w:val="14"/>
                <w:szCs w:val="14"/>
                <w:lang w:val="en-GB"/>
              </w:rPr>
              <w:t xml:space="preserve"> (31,697)</w:t>
            </w:r>
          </w:p>
        </w:tc>
      </w:tr>
      <w:tr w:rsidR="00587444" w:rsidRPr="00587444" w14:paraId="5275ECAA" w14:textId="77777777" w:rsidTr="00DD69E7">
        <w:trPr>
          <w:trHeight w:val="444"/>
        </w:trPr>
        <w:tc>
          <w:tcPr>
            <w:tcW w:w="770" w:type="pct"/>
            <w:vAlign w:val="bottom"/>
          </w:tcPr>
          <w:p w14:paraId="25570448" w14:textId="77777777" w:rsidR="00890EEB" w:rsidRDefault="00587444" w:rsidP="00587444">
            <w:pPr>
              <w:tabs>
                <w:tab w:val="right" w:pos="1202"/>
              </w:tabs>
              <w:suppressAutoHyphens w:val="0"/>
              <w:autoSpaceDN/>
              <w:spacing w:line="240" w:lineRule="exact"/>
              <w:outlineLvl w:val="0"/>
              <w:rPr>
                <w:rFonts w:ascii="Arial" w:hAnsi="Arial" w:cs="Arial"/>
                <w:b/>
                <w:iCs/>
                <w:sz w:val="14"/>
                <w:szCs w:val="14"/>
                <w:lang w:val="en-GB"/>
              </w:rPr>
            </w:pPr>
            <w:r w:rsidRPr="00587444">
              <w:rPr>
                <w:rFonts w:ascii="Arial" w:hAnsi="Arial" w:cs="Arial"/>
                <w:b/>
                <w:iCs/>
                <w:sz w:val="14"/>
                <w:szCs w:val="14"/>
                <w:lang w:val="en-GB"/>
              </w:rPr>
              <w:t xml:space="preserve">Balance as of </w:t>
            </w:r>
          </w:p>
          <w:p w14:paraId="6380484A" w14:textId="21A72C30" w:rsidR="00587444" w:rsidRPr="00587444" w:rsidRDefault="00587444" w:rsidP="00587444">
            <w:pPr>
              <w:tabs>
                <w:tab w:val="right" w:pos="1202"/>
              </w:tabs>
              <w:suppressAutoHyphens w:val="0"/>
              <w:autoSpaceDN/>
              <w:spacing w:line="240" w:lineRule="exact"/>
              <w:outlineLvl w:val="0"/>
              <w:rPr>
                <w:rFonts w:ascii="Arial" w:hAnsi="Arial" w:cs="Arial"/>
                <w:b/>
                <w:iCs/>
                <w:sz w:val="14"/>
                <w:szCs w:val="14"/>
                <w:lang w:val="en-GB"/>
              </w:rPr>
            </w:pPr>
            <w:r w:rsidRPr="00587444">
              <w:rPr>
                <w:rFonts w:ascii="Arial" w:hAnsi="Arial" w:cs="Arial"/>
                <w:b/>
                <w:iCs/>
                <w:sz w:val="14"/>
                <w:szCs w:val="14"/>
                <w:lang w:val="en-GB"/>
              </w:rPr>
              <w:t>31 December 2021</w:t>
            </w:r>
          </w:p>
        </w:tc>
        <w:tc>
          <w:tcPr>
            <w:tcW w:w="423" w:type="pct"/>
            <w:tcBorders>
              <w:top w:val="single" w:sz="4" w:space="0" w:color="auto"/>
              <w:left w:val="nil"/>
              <w:bottom w:val="single" w:sz="12" w:space="0" w:color="auto"/>
              <w:right w:val="nil"/>
            </w:tcBorders>
            <w:shd w:val="clear" w:color="auto" w:fill="auto"/>
            <w:vAlign w:val="bottom"/>
          </w:tcPr>
          <w:p w14:paraId="4B623CB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5,938 </w:t>
            </w:r>
          </w:p>
        </w:tc>
        <w:tc>
          <w:tcPr>
            <w:tcW w:w="423" w:type="pct"/>
            <w:tcBorders>
              <w:top w:val="single" w:sz="4" w:space="0" w:color="auto"/>
              <w:left w:val="nil"/>
              <w:bottom w:val="single" w:sz="12" w:space="0" w:color="auto"/>
              <w:right w:val="nil"/>
            </w:tcBorders>
            <w:shd w:val="clear" w:color="auto" w:fill="auto"/>
            <w:vAlign w:val="bottom"/>
          </w:tcPr>
          <w:p w14:paraId="12BF04C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12 </w:t>
            </w:r>
          </w:p>
        </w:tc>
        <w:tc>
          <w:tcPr>
            <w:tcW w:w="424" w:type="pct"/>
            <w:tcBorders>
              <w:top w:val="single" w:sz="4" w:space="0" w:color="auto"/>
              <w:left w:val="nil"/>
              <w:bottom w:val="single" w:sz="12" w:space="0" w:color="auto"/>
              <w:right w:val="nil"/>
            </w:tcBorders>
            <w:shd w:val="clear" w:color="auto" w:fill="auto"/>
            <w:vAlign w:val="bottom"/>
          </w:tcPr>
          <w:p w14:paraId="452816A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1,310 </w:t>
            </w:r>
          </w:p>
        </w:tc>
        <w:tc>
          <w:tcPr>
            <w:tcW w:w="424" w:type="pct"/>
            <w:tcBorders>
              <w:top w:val="single" w:sz="4" w:space="0" w:color="auto"/>
              <w:left w:val="nil"/>
              <w:bottom w:val="single" w:sz="12" w:space="0" w:color="auto"/>
              <w:right w:val="nil"/>
            </w:tcBorders>
            <w:vAlign w:val="bottom"/>
          </w:tcPr>
          <w:p w14:paraId="2DF9A08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51 </w:t>
            </w:r>
          </w:p>
        </w:tc>
        <w:tc>
          <w:tcPr>
            <w:tcW w:w="424" w:type="pct"/>
            <w:tcBorders>
              <w:top w:val="single" w:sz="4" w:space="0" w:color="auto"/>
              <w:left w:val="nil"/>
              <w:bottom w:val="single" w:sz="12" w:space="0" w:color="auto"/>
              <w:right w:val="nil"/>
            </w:tcBorders>
            <w:shd w:val="clear" w:color="auto" w:fill="auto"/>
            <w:vAlign w:val="bottom"/>
          </w:tcPr>
          <w:p w14:paraId="5C90BDD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b/>
                <w:bCs/>
                <w:sz w:val="14"/>
                <w:szCs w:val="14"/>
                <w:lang w:val="en-GB"/>
              </w:rPr>
              <w:t xml:space="preserve"> 7,311 </w:t>
            </w:r>
          </w:p>
        </w:tc>
        <w:tc>
          <w:tcPr>
            <w:tcW w:w="424" w:type="pct"/>
            <w:tcBorders>
              <w:top w:val="single" w:sz="4" w:space="0" w:color="auto"/>
              <w:left w:val="nil"/>
              <w:bottom w:val="single" w:sz="12" w:space="0" w:color="auto"/>
              <w:right w:val="nil"/>
            </w:tcBorders>
            <w:shd w:val="clear" w:color="auto" w:fill="auto"/>
            <w:vAlign w:val="bottom"/>
          </w:tcPr>
          <w:p w14:paraId="37D0275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3,326 </w:t>
            </w:r>
          </w:p>
        </w:tc>
        <w:tc>
          <w:tcPr>
            <w:tcW w:w="424" w:type="pct"/>
            <w:tcBorders>
              <w:top w:val="single" w:sz="4" w:space="0" w:color="auto"/>
              <w:left w:val="nil"/>
              <w:bottom w:val="single" w:sz="12" w:space="0" w:color="auto"/>
              <w:right w:val="nil"/>
            </w:tcBorders>
            <w:shd w:val="clear" w:color="auto" w:fill="auto"/>
            <w:vAlign w:val="bottom"/>
          </w:tcPr>
          <w:p w14:paraId="47830C7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12 </w:t>
            </w:r>
          </w:p>
        </w:tc>
        <w:tc>
          <w:tcPr>
            <w:tcW w:w="423" w:type="pct"/>
            <w:tcBorders>
              <w:top w:val="single" w:sz="4" w:space="0" w:color="auto"/>
              <w:left w:val="nil"/>
              <w:bottom w:val="single" w:sz="12" w:space="0" w:color="auto"/>
              <w:right w:val="nil"/>
            </w:tcBorders>
            <w:shd w:val="clear" w:color="auto" w:fill="auto"/>
            <w:vAlign w:val="bottom"/>
          </w:tcPr>
          <w:p w14:paraId="098186A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1,310 </w:t>
            </w:r>
          </w:p>
        </w:tc>
        <w:tc>
          <w:tcPr>
            <w:tcW w:w="421" w:type="pct"/>
            <w:tcBorders>
              <w:top w:val="single" w:sz="4" w:space="0" w:color="auto"/>
              <w:left w:val="nil"/>
              <w:bottom w:val="single" w:sz="12" w:space="0" w:color="auto"/>
              <w:right w:val="nil"/>
            </w:tcBorders>
            <w:vAlign w:val="bottom"/>
          </w:tcPr>
          <w:p w14:paraId="491847B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sz w:val="14"/>
                <w:szCs w:val="14"/>
                <w:lang w:val="en-GB"/>
              </w:rPr>
              <w:t xml:space="preserve"> 51 </w:t>
            </w:r>
          </w:p>
        </w:tc>
        <w:tc>
          <w:tcPr>
            <w:tcW w:w="420" w:type="pct"/>
            <w:tcBorders>
              <w:top w:val="single" w:sz="4" w:space="0" w:color="auto"/>
              <w:left w:val="nil"/>
              <w:bottom w:val="single" w:sz="12" w:space="0" w:color="auto"/>
              <w:right w:val="nil"/>
            </w:tcBorders>
            <w:shd w:val="clear" w:color="auto" w:fill="auto"/>
            <w:vAlign w:val="bottom"/>
          </w:tcPr>
          <w:p w14:paraId="4384A33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4"/>
                <w:szCs w:val="14"/>
                <w:lang w:val="hr-HR"/>
              </w:rPr>
            </w:pPr>
            <w:r w:rsidRPr="00587444">
              <w:rPr>
                <w:rFonts w:ascii="Arial" w:hAnsi="Arial" w:cs="Arial"/>
                <w:b/>
                <w:bCs/>
                <w:sz w:val="14"/>
                <w:szCs w:val="14"/>
                <w:lang w:val="en-GB"/>
              </w:rPr>
              <w:t xml:space="preserve"> 4,699 </w:t>
            </w:r>
          </w:p>
        </w:tc>
      </w:tr>
    </w:tbl>
    <w:p w14:paraId="11050962" w14:textId="77777777" w:rsidR="00587444" w:rsidRPr="00587444" w:rsidRDefault="00587444" w:rsidP="00587444">
      <w:pPr>
        <w:keepNext/>
        <w:suppressAutoHyphens w:val="0"/>
        <w:autoSpaceDN/>
        <w:spacing w:before="120" w:line="360" w:lineRule="auto"/>
        <w:jc w:val="both"/>
        <w:rPr>
          <w:rFonts w:ascii="Arial" w:hAnsi="Arial" w:cs="Arial"/>
          <w:sz w:val="20"/>
          <w:szCs w:val="20"/>
          <w:lang w:val="en-GB"/>
        </w:rPr>
        <w:sectPr w:rsidR="00587444" w:rsidRPr="00587444" w:rsidSect="00DD69E7">
          <w:pgSz w:w="11907" w:h="16840" w:code="9"/>
          <w:pgMar w:top="1418" w:right="1134" w:bottom="1134" w:left="1418" w:header="851" w:footer="851" w:gutter="0"/>
          <w:cols w:space="720"/>
          <w:noEndnote/>
        </w:sectPr>
      </w:pPr>
    </w:p>
    <w:p w14:paraId="09459CFE" w14:textId="77777777" w:rsidR="00587444" w:rsidRPr="00587444" w:rsidRDefault="00587444" w:rsidP="00587444">
      <w:pPr>
        <w:keepNext/>
        <w:suppressAutoHyphens w:val="0"/>
        <w:autoSpaceDN/>
        <w:jc w:val="both"/>
        <w:rPr>
          <w:rFonts w:ascii="Arial" w:hAnsi="Arial" w:cs="Arial"/>
          <w:sz w:val="20"/>
          <w:szCs w:val="20"/>
          <w:lang w:val="en-GB"/>
        </w:rPr>
      </w:pPr>
    </w:p>
    <w:p w14:paraId="4EA46C14" w14:textId="77777777" w:rsidR="00587444" w:rsidRPr="00587444" w:rsidRDefault="00587444" w:rsidP="00587444">
      <w:pPr>
        <w:keepNext/>
        <w:tabs>
          <w:tab w:val="left" w:pos="567"/>
        </w:tabs>
        <w:suppressAutoHyphens w:val="0"/>
        <w:autoSpaceDN/>
        <w:jc w:val="both"/>
        <w:rPr>
          <w:rFonts w:ascii="Arial" w:hAnsi="Arial" w:cs="Arial"/>
          <w:b/>
          <w:bCs/>
          <w:sz w:val="20"/>
          <w:szCs w:val="20"/>
        </w:rPr>
      </w:pPr>
      <w:r w:rsidRPr="00587444">
        <w:rPr>
          <w:rFonts w:ascii="Arial" w:hAnsi="Arial" w:cs="Arial"/>
          <w:b/>
          <w:bCs/>
          <w:sz w:val="20"/>
          <w:szCs w:val="20"/>
        </w:rPr>
        <w:t>21.</w:t>
      </w:r>
      <w:r w:rsidRPr="00587444">
        <w:rPr>
          <w:rFonts w:ascii="Arial" w:hAnsi="Arial" w:cs="Arial"/>
          <w:b/>
          <w:bCs/>
          <w:sz w:val="20"/>
          <w:szCs w:val="20"/>
        </w:rPr>
        <w:tab/>
        <w:t>Other assets (continued)</w:t>
      </w:r>
    </w:p>
    <w:p w14:paraId="14D310C3" w14:textId="77777777" w:rsidR="00587444" w:rsidRPr="00587444" w:rsidRDefault="00587444" w:rsidP="00587444">
      <w:pPr>
        <w:keepNext/>
        <w:tabs>
          <w:tab w:val="left" w:pos="567"/>
        </w:tabs>
        <w:suppressAutoHyphens w:val="0"/>
        <w:autoSpaceDN/>
        <w:jc w:val="both"/>
        <w:rPr>
          <w:rFonts w:ascii="Arial" w:hAnsi="Arial" w:cs="Arial"/>
          <w:sz w:val="20"/>
          <w:szCs w:val="20"/>
          <w:lang w:val="en-GB"/>
        </w:rPr>
      </w:pPr>
    </w:p>
    <w:p w14:paraId="0036C5FC" w14:textId="77777777" w:rsidR="00587444" w:rsidRPr="00587444" w:rsidRDefault="00587444" w:rsidP="00587444">
      <w:pPr>
        <w:suppressAutoHyphens w:val="0"/>
        <w:autoSpaceDN/>
        <w:rPr>
          <w:rFonts w:ascii="Arial" w:hAnsi="Arial" w:cs="Arial"/>
          <w:b/>
          <w:sz w:val="20"/>
          <w:szCs w:val="20"/>
          <w:lang w:eastAsia="hr-HR"/>
        </w:rPr>
      </w:pPr>
      <w:r w:rsidRPr="00587444">
        <w:rPr>
          <w:rFonts w:ascii="Arial" w:eastAsia="Calibri" w:hAnsi="Arial" w:cs="Arial"/>
          <w:sz w:val="20"/>
          <w:szCs w:val="20"/>
        </w:rPr>
        <w:t>The following text contains the breakdown of positions stated as credit risk:</w:t>
      </w:r>
    </w:p>
    <w:p w14:paraId="5056106A" w14:textId="77777777" w:rsidR="00587444" w:rsidRPr="00587444" w:rsidRDefault="00587444" w:rsidP="00587444">
      <w:pPr>
        <w:tabs>
          <w:tab w:val="left" w:pos="-720"/>
        </w:tabs>
        <w:suppressAutoHyphens w:val="0"/>
        <w:autoSpaceDN/>
        <w:jc w:val="both"/>
        <w:rPr>
          <w:rFonts w:ascii="Arial" w:hAnsi="Arial" w:cs="Arial"/>
          <w:b/>
          <w:sz w:val="20"/>
          <w:szCs w:val="20"/>
          <w:lang w:eastAsia="hr-HR"/>
        </w:rPr>
      </w:pPr>
    </w:p>
    <w:tbl>
      <w:tblPr>
        <w:tblW w:w="5119" w:type="pct"/>
        <w:tblLayout w:type="fixed"/>
        <w:tblCellMar>
          <w:left w:w="119" w:type="dxa"/>
          <w:right w:w="119" w:type="dxa"/>
        </w:tblCellMar>
        <w:tblLook w:val="0000" w:firstRow="0" w:lastRow="0" w:firstColumn="0" w:lastColumn="0" w:noHBand="0" w:noVBand="0"/>
      </w:tblPr>
      <w:tblGrid>
        <w:gridCol w:w="3548"/>
        <w:gridCol w:w="1565"/>
        <w:gridCol w:w="1624"/>
        <w:gridCol w:w="1542"/>
        <w:gridCol w:w="1542"/>
      </w:tblGrid>
      <w:tr w:rsidR="00587444" w:rsidRPr="00587444" w14:paraId="02B8E9EF" w14:textId="77777777" w:rsidTr="00DD69E7">
        <w:trPr>
          <w:trHeight w:val="227"/>
        </w:trPr>
        <w:tc>
          <w:tcPr>
            <w:tcW w:w="1806" w:type="pct"/>
          </w:tcPr>
          <w:p w14:paraId="10C0915F" w14:textId="77777777" w:rsidR="00587444" w:rsidRPr="00587444" w:rsidRDefault="00587444" w:rsidP="00587444">
            <w:pPr>
              <w:tabs>
                <w:tab w:val="left" w:pos="-720"/>
              </w:tabs>
              <w:autoSpaceDN/>
              <w:rPr>
                <w:rFonts w:ascii="Arial" w:eastAsia="Calibri" w:hAnsi="Arial" w:cs="Arial"/>
                <w:spacing w:val="-2"/>
                <w:sz w:val="20"/>
                <w:szCs w:val="20"/>
              </w:rPr>
            </w:pPr>
          </w:p>
        </w:tc>
        <w:tc>
          <w:tcPr>
            <w:tcW w:w="1624" w:type="pct"/>
            <w:gridSpan w:val="2"/>
          </w:tcPr>
          <w:p w14:paraId="4695A9B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871" w:name="_Toc4059784"/>
            <w:r w:rsidRPr="00587444">
              <w:rPr>
                <w:rFonts w:ascii="Arial" w:hAnsi="Arial" w:cs="Arial"/>
                <w:b/>
                <w:sz w:val="20"/>
                <w:szCs w:val="20"/>
              </w:rPr>
              <w:t>Group</w:t>
            </w:r>
            <w:bookmarkEnd w:id="871"/>
          </w:p>
        </w:tc>
        <w:tc>
          <w:tcPr>
            <w:tcW w:w="1570" w:type="pct"/>
            <w:gridSpan w:val="2"/>
          </w:tcPr>
          <w:p w14:paraId="769D119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872" w:name="_Toc4059785"/>
            <w:r w:rsidRPr="00587444">
              <w:rPr>
                <w:rFonts w:ascii="Arial" w:hAnsi="Arial" w:cs="Arial"/>
                <w:b/>
                <w:sz w:val="20"/>
                <w:szCs w:val="20"/>
              </w:rPr>
              <w:t>Bank</w:t>
            </w:r>
            <w:bookmarkEnd w:id="872"/>
          </w:p>
        </w:tc>
      </w:tr>
      <w:tr w:rsidR="00587444" w:rsidRPr="00587444" w14:paraId="6D874588" w14:textId="77777777" w:rsidTr="00DD69E7">
        <w:trPr>
          <w:trHeight w:val="190"/>
        </w:trPr>
        <w:tc>
          <w:tcPr>
            <w:tcW w:w="1806" w:type="pct"/>
          </w:tcPr>
          <w:p w14:paraId="0AF33717" w14:textId="77777777" w:rsidR="00587444" w:rsidRPr="00587444" w:rsidRDefault="00587444" w:rsidP="00587444">
            <w:pPr>
              <w:tabs>
                <w:tab w:val="left" w:pos="-720"/>
              </w:tabs>
              <w:autoSpaceDN/>
              <w:rPr>
                <w:rFonts w:ascii="Arial" w:eastAsia="Calibri" w:hAnsi="Arial" w:cs="Arial"/>
                <w:spacing w:val="-2"/>
                <w:sz w:val="20"/>
                <w:szCs w:val="20"/>
              </w:rPr>
            </w:pPr>
          </w:p>
        </w:tc>
        <w:tc>
          <w:tcPr>
            <w:tcW w:w="797" w:type="pct"/>
            <w:vAlign w:val="bottom"/>
          </w:tcPr>
          <w:p w14:paraId="2F9528D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873" w:name="_Toc4059786"/>
            <w:r w:rsidRPr="00587444">
              <w:rPr>
                <w:rFonts w:ascii="Arial" w:hAnsi="Arial" w:cs="Arial"/>
                <w:b/>
                <w:bCs/>
                <w:sz w:val="20"/>
                <w:szCs w:val="20"/>
              </w:rPr>
              <w:t xml:space="preserve">31 December </w:t>
            </w:r>
            <w:bookmarkEnd w:id="873"/>
            <w:r w:rsidRPr="00587444">
              <w:rPr>
                <w:rFonts w:ascii="Arial" w:hAnsi="Arial" w:cs="Arial"/>
                <w:b/>
                <w:bCs/>
                <w:sz w:val="20"/>
                <w:szCs w:val="20"/>
              </w:rPr>
              <w:t>2022</w:t>
            </w:r>
          </w:p>
        </w:tc>
        <w:tc>
          <w:tcPr>
            <w:tcW w:w="827" w:type="pct"/>
            <w:shd w:val="clear" w:color="auto" w:fill="auto"/>
            <w:vAlign w:val="bottom"/>
          </w:tcPr>
          <w:p w14:paraId="084D063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874" w:name="_Toc4059787"/>
            <w:r w:rsidRPr="00587444">
              <w:rPr>
                <w:rFonts w:ascii="Arial" w:hAnsi="Arial" w:cs="Arial"/>
                <w:b/>
                <w:bCs/>
                <w:sz w:val="20"/>
                <w:szCs w:val="20"/>
              </w:rPr>
              <w:t xml:space="preserve">31 December </w:t>
            </w:r>
            <w:bookmarkEnd w:id="874"/>
            <w:r w:rsidRPr="00587444">
              <w:rPr>
                <w:rFonts w:ascii="Arial" w:hAnsi="Arial" w:cs="Arial"/>
                <w:b/>
                <w:bCs/>
                <w:sz w:val="20"/>
                <w:szCs w:val="20"/>
              </w:rPr>
              <w:t>2021</w:t>
            </w:r>
          </w:p>
        </w:tc>
        <w:tc>
          <w:tcPr>
            <w:tcW w:w="785" w:type="pct"/>
            <w:shd w:val="clear" w:color="auto" w:fill="auto"/>
            <w:vAlign w:val="bottom"/>
          </w:tcPr>
          <w:p w14:paraId="0DF3F3B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875" w:name="_Toc4059788"/>
            <w:r w:rsidRPr="00587444">
              <w:rPr>
                <w:rFonts w:ascii="Arial" w:hAnsi="Arial" w:cs="Arial"/>
                <w:b/>
                <w:bCs/>
                <w:sz w:val="20"/>
                <w:szCs w:val="20"/>
              </w:rPr>
              <w:t xml:space="preserve">31 December </w:t>
            </w:r>
            <w:bookmarkEnd w:id="875"/>
            <w:r w:rsidRPr="00587444">
              <w:rPr>
                <w:rFonts w:ascii="Arial" w:hAnsi="Arial" w:cs="Arial"/>
                <w:b/>
                <w:bCs/>
                <w:sz w:val="20"/>
                <w:szCs w:val="20"/>
              </w:rPr>
              <w:t>2022</w:t>
            </w:r>
          </w:p>
        </w:tc>
        <w:tc>
          <w:tcPr>
            <w:tcW w:w="785" w:type="pct"/>
            <w:shd w:val="clear" w:color="auto" w:fill="auto"/>
            <w:vAlign w:val="bottom"/>
          </w:tcPr>
          <w:p w14:paraId="62DA58A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876" w:name="_Toc4059789"/>
            <w:r w:rsidRPr="00587444">
              <w:rPr>
                <w:rFonts w:ascii="Arial" w:hAnsi="Arial" w:cs="Arial"/>
                <w:b/>
                <w:bCs/>
                <w:sz w:val="20"/>
                <w:szCs w:val="20"/>
              </w:rPr>
              <w:t xml:space="preserve">31 December </w:t>
            </w:r>
            <w:bookmarkEnd w:id="876"/>
            <w:r w:rsidRPr="00587444">
              <w:rPr>
                <w:rFonts w:ascii="Arial" w:hAnsi="Arial" w:cs="Arial"/>
                <w:b/>
                <w:bCs/>
                <w:sz w:val="20"/>
                <w:szCs w:val="20"/>
              </w:rPr>
              <w:t>2021</w:t>
            </w:r>
          </w:p>
        </w:tc>
      </w:tr>
      <w:tr w:rsidR="00587444" w:rsidRPr="00587444" w14:paraId="2E675B76" w14:textId="77777777" w:rsidTr="00DD69E7">
        <w:trPr>
          <w:trHeight w:val="241"/>
        </w:trPr>
        <w:tc>
          <w:tcPr>
            <w:tcW w:w="1806" w:type="pct"/>
          </w:tcPr>
          <w:p w14:paraId="79837288" w14:textId="77777777" w:rsidR="00587444" w:rsidRPr="00587444" w:rsidRDefault="00587444" w:rsidP="00587444">
            <w:pPr>
              <w:tabs>
                <w:tab w:val="left" w:pos="-720"/>
              </w:tabs>
              <w:autoSpaceDN/>
              <w:rPr>
                <w:rFonts w:ascii="Arial" w:eastAsia="Calibri" w:hAnsi="Arial" w:cs="Arial"/>
                <w:spacing w:val="-2"/>
                <w:sz w:val="20"/>
                <w:szCs w:val="20"/>
              </w:rPr>
            </w:pPr>
          </w:p>
        </w:tc>
        <w:tc>
          <w:tcPr>
            <w:tcW w:w="797" w:type="pct"/>
          </w:tcPr>
          <w:p w14:paraId="42CDBCA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877" w:name="_Toc4059790"/>
            <w:r w:rsidRPr="00587444">
              <w:rPr>
                <w:rFonts w:ascii="Arial" w:hAnsi="Arial" w:cs="Arial"/>
                <w:b/>
                <w:sz w:val="20"/>
                <w:szCs w:val="20"/>
              </w:rPr>
              <w:t>HRK ‘000</w:t>
            </w:r>
            <w:bookmarkEnd w:id="877"/>
          </w:p>
        </w:tc>
        <w:tc>
          <w:tcPr>
            <w:tcW w:w="827" w:type="pct"/>
          </w:tcPr>
          <w:p w14:paraId="69CA0B4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878" w:name="_Toc4059791"/>
            <w:r w:rsidRPr="00587444">
              <w:rPr>
                <w:rFonts w:ascii="Arial" w:hAnsi="Arial" w:cs="Arial"/>
                <w:b/>
                <w:sz w:val="20"/>
                <w:szCs w:val="20"/>
              </w:rPr>
              <w:t>HRK ‘000</w:t>
            </w:r>
            <w:bookmarkEnd w:id="878"/>
          </w:p>
        </w:tc>
        <w:tc>
          <w:tcPr>
            <w:tcW w:w="785" w:type="pct"/>
          </w:tcPr>
          <w:p w14:paraId="071FBC1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879" w:name="_Toc4059792"/>
            <w:r w:rsidRPr="00587444">
              <w:rPr>
                <w:rFonts w:ascii="Arial" w:hAnsi="Arial" w:cs="Arial"/>
                <w:b/>
                <w:sz w:val="20"/>
                <w:szCs w:val="20"/>
              </w:rPr>
              <w:t>HRK ‘000</w:t>
            </w:r>
            <w:bookmarkEnd w:id="879"/>
          </w:p>
        </w:tc>
        <w:tc>
          <w:tcPr>
            <w:tcW w:w="785" w:type="pct"/>
          </w:tcPr>
          <w:p w14:paraId="677FD6F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880" w:name="_Toc4059793"/>
            <w:r w:rsidRPr="00587444">
              <w:rPr>
                <w:rFonts w:ascii="Arial" w:hAnsi="Arial" w:cs="Arial"/>
                <w:b/>
                <w:sz w:val="20"/>
                <w:szCs w:val="20"/>
              </w:rPr>
              <w:t>HRK ‘000</w:t>
            </w:r>
            <w:bookmarkEnd w:id="880"/>
          </w:p>
        </w:tc>
      </w:tr>
      <w:tr w:rsidR="00587444" w:rsidRPr="00587444" w14:paraId="07AF2512" w14:textId="77777777" w:rsidTr="00DD69E7">
        <w:trPr>
          <w:trHeight w:val="259"/>
        </w:trPr>
        <w:tc>
          <w:tcPr>
            <w:tcW w:w="1806" w:type="pct"/>
          </w:tcPr>
          <w:p w14:paraId="4E2C9682" w14:textId="77777777" w:rsidR="00587444" w:rsidRPr="00587444" w:rsidRDefault="00587444" w:rsidP="00587444">
            <w:pPr>
              <w:tabs>
                <w:tab w:val="left" w:pos="-720"/>
              </w:tabs>
              <w:autoSpaceDN/>
              <w:rPr>
                <w:rFonts w:ascii="Arial" w:eastAsia="Calibri" w:hAnsi="Arial" w:cs="Arial"/>
                <w:spacing w:val="-2"/>
                <w:sz w:val="20"/>
                <w:szCs w:val="20"/>
              </w:rPr>
            </w:pPr>
          </w:p>
        </w:tc>
        <w:tc>
          <w:tcPr>
            <w:tcW w:w="797" w:type="pct"/>
          </w:tcPr>
          <w:p w14:paraId="1F96CE7F" w14:textId="77777777" w:rsidR="00587444" w:rsidRPr="00587444" w:rsidRDefault="00587444" w:rsidP="00587444">
            <w:pPr>
              <w:tabs>
                <w:tab w:val="left" w:pos="-720"/>
              </w:tabs>
              <w:autoSpaceDN/>
              <w:jc w:val="right"/>
              <w:rPr>
                <w:rFonts w:ascii="Arial" w:eastAsia="Calibri" w:hAnsi="Arial" w:cs="Arial"/>
                <w:b/>
                <w:spacing w:val="-2"/>
                <w:sz w:val="20"/>
                <w:szCs w:val="20"/>
              </w:rPr>
            </w:pPr>
          </w:p>
        </w:tc>
        <w:tc>
          <w:tcPr>
            <w:tcW w:w="827" w:type="pct"/>
          </w:tcPr>
          <w:p w14:paraId="777CACBC" w14:textId="77777777" w:rsidR="00587444" w:rsidRPr="00587444" w:rsidRDefault="00587444" w:rsidP="00587444">
            <w:pPr>
              <w:tabs>
                <w:tab w:val="left" w:pos="-720"/>
              </w:tabs>
              <w:autoSpaceDN/>
              <w:jc w:val="right"/>
              <w:rPr>
                <w:rFonts w:ascii="Arial" w:eastAsia="Calibri" w:hAnsi="Arial" w:cs="Arial"/>
                <w:b/>
                <w:spacing w:val="-2"/>
                <w:sz w:val="20"/>
                <w:szCs w:val="20"/>
              </w:rPr>
            </w:pPr>
          </w:p>
        </w:tc>
        <w:tc>
          <w:tcPr>
            <w:tcW w:w="785" w:type="pct"/>
            <w:vAlign w:val="bottom"/>
          </w:tcPr>
          <w:p w14:paraId="04FB96E5" w14:textId="77777777" w:rsidR="00587444" w:rsidRPr="00587444" w:rsidRDefault="00587444" w:rsidP="00587444">
            <w:pPr>
              <w:tabs>
                <w:tab w:val="left" w:pos="-720"/>
              </w:tabs>
              <w:autoSpaceDN/>
              <w:jc w:val="right"/>
              <w:rPr>
                <w:rFonts w:ascii="Arial" w:eastAsia="Calibri" w:hAnsi="Arial" w:cs="Arial"/>
                <w:b/>
                <w:spacing w:val="-2"/>
                <w:sz w:val="20"/>
                <w:szCs w:val="20"/>
              </w:rPr>
            </w:pPr>
          </w:p>
        </w:tc>
        <w:tc>
          <w:tcPr>
            <w:tcW w:w="785" w:type="pct"/>
            <w:vAlign w:val="bottom"/>
          </w:tcPr>
          <w:p w14:paraId="42D88690" w14:textId="77777777" w:rsidR="00587444" w:rsidRPr="00587444" w:rsidRDefault="00587444" w:rsidP="00587444">
            <w:pPr>
              <w:tabs>
                <w:tab w:val="left" w:pos="-720"/>
              </w:tabs>
              <w:autoSpaceDN/>
              <w:jc w:val="right"/>
              <w:rPr>
                <w:rFonts w:ascii="Arial" w:eastAsia="Calibri" w:hAnsi="Arial" w:cs="Arial"/>
                <w:b/>
                <w:spacing w:val="-2"/>
                <w:sz w:val="20"/>
                <w:szCs w:val="20"/>
              </w:rPr>
            </w:pPr>
          </w:p>
        </w:tc>
      </w:tr>
      <w:tr w:rsidR="00587444" w:rsidRPr="00587444" w14:paraId="1DB4CA70" w14:textId="77777777" w:rsidTr="00DD69E7">
        <w:trPr>
          <w:trHeight w:hRule="exact" w:val="292"/>
        </w:trPr>
        <w:tc>
          <w:tcPr>
            <w:tcW w:w="1806" w:type="pct"/>
            <w:vAlign w:val="center"/>
          </w:tcPr>
          <w:p w14:paraId="652DE673" w14:textId="77777777" w:rsidR="00587444" w:rsidRPr="00587444" w:rsidRDefault="00587444" w:rsidP="00587444">
            <w:pPr>
              <w:tabs>
                <w:tab w:val="right" w:pos="1202"/>
              </w:tabs>
              <w:suppressAutoHyphens w:val="0"/>
              <w:autoSpaceDN/>
              <w:outlineLvl w:val="0"/>
              <w:rPr>
                <w:rFonts w:ascii="Arial" w:hAnsi="Arial" w:cs="Arial"/>
                <w:sz w:val="20"/>
                <w:szCs w:val="20"/>
              </w:rPr>
            </w:pPr>
            <w:bookmarkStart w:id="881" w:name="_Toc4059794"/>
            <w:r w:rsidRPr="00587444">
              <w:rPr>
                <w:rFonts w:ascii="Arial" w:hAnsi="Arial" w:cs="Arial"/>
                <w:sz w:val="20"/>
                <w:szCs w:val="20"/>
              </w:rPr>
              <w:t>Fees receivable</w:t>
            </w:r>
            <w:bookmarkEnd w:id="881"/>
          </w:p>
        </w:tc>
        <w:tc>
          <w:tcPr>
            <w:tcW w:w="797" w:type="pct"/>
            <w:tcBorders>
              <w:top w:val="nil"/>
              <w:left w:val="nil"/>
              <w:bottom w:val="nil"/>
              <w:right w:val="nil"/>
            </w:tcBorders>
            <w:shd w:val="clear" w:color="auto" w:fill="auto"/>
            <w:vAlign w:val="bottom"/>
          </w:tcPr>
          <w:p w14:paraId="2CEEAB7C"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 xml:space="preserve"> 26,676 </w:t>
            </w:r>
          </w:p>
        </w:tc>
        <w:tc>
          <w:tcPr>
            <w:tcW w:w="827" w:type="pct"/>
            <w:tcBorders>
              <w:top w:val="nil"/>
              <w:left w:val="nil"/>
              <w:bottom w:val="nil"/>
              <w:right w:val="nil"/>
            </w:tcBorders>
            <w:shd w:val="clear" w:color="auto" w:fill="auto"/>
            <w:vAlign w:val="bottom"/>
          </w:tcPr>
          <w:p w14:paraId="5B35887D" w14:textId="77777777" w:rsidR="00587444" w:rsidRPr="00587444" w:rsidRDefault="00587444" w:rsidP="00587444">
            <w:pPr>
              <w:tabs>
                <w:tab w:val="right" w:pos="1202"/>
              </w:tabs>
              <w:suppressAutoHyphens w:val="0"/>
              <w:autoSpaceDN/>
              <w:jc w:val="right"/>
              <w:outlineLvl w:val="0"/>
              <w:rPr>
                <w:rFonts w:ascii="Arial" w:hAnsi="Arial" w:cs="Arial"/>
                <w:sz w:val="20"/>
                <w:szCs w:val="20"/>
              </w:rPr>
            </w:pPr>
            <w:r w:rsidRPr="00587444">
              <w:rPr>
                <w:rFonts w:ascii="Arial" w:hAnsi="Arial" w:cs="Arial"/>
                <w:color w:val="000000"/>
                <w:sz w:val="20"/>
                <w:szCs w:val="20"/>
                <w:lang w:val="hr-HR"/>
              </w:rPr>
              <w:t>25,787</w:t>
            </w:r>
          </w:p>
        </w:tc>
        <w:tc>
          <w:tcPr>
            <w:tcW w:w="785" w:type="pct"/>
            <w:tcBorders>
              <w:top w:val="nil"/>
              <w:left w:val="nil"/>
              <w:bottom w:val="nil"/>
              <w:right w:val="nil"/>
            </w:tcBorders>
            <w:shd w:val="clear" w:color="auto" w:fill="auto"/>
            <w:vAlign w:val="bottom"/>
          </w:tcPr>
          <w:p w14:paraId="2FC21873"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 xml:space="preserve"> 26,676 </w:t>
            </w:r>
          </w:p>
        </w:tc>
        <w:tc>
          <w:tcPr>
            <w:tcW w:w="785" w:type="pct"/>
            <w:tcBorders>
              <w:top w:val="nil"/>
              <w:left w:val="nil"/>
              <w:bottom w:val="nil"/>
              <w:right w:val="nil"/>
            </w:tcBorders>
            <w:shd w:val="clear" w:color="auto" w:fill="auto"/>
            <w:vAlign w:val="bottom"/>
          </w:tcPr>
          <w:p w14:paraId="4430C2FA" w14:textId="77777777" w:rsidR="00587444" w:rsidRPr="00587444" w:rsidRDefault="00587444" w:rsidP="00587444">
            <w:pPr>
              <w:tabs>
                <w:tab w:val="right" w:pos="1202"/>
              </w:tabs>
              <w:suppressAutoHyphens w:val="0"/>
              <w:autoSpaceDN/>
              <w:jc w:val="right"/>
              <w:outlineLvl w:val="0"/>
              <w:rPr>
                <w:rFonts w:ascii="Arial" w:hAnsi="Arial" w:cs="Arial"/>
                <w:sz w:val="20"/>
                <w:szCs w:val="20"/>
              </w:rPr>
            </w:pPr>
            <w:r w:rsidRPr="00587444">
              <w:rPr>
                <w:rFonts w:ascii="Arial" w:hAnsi="Arial" w:cs="Arial"/>
                <w:color w:val="000000"/>
                <w:sz w:val="20"/>
                <w:szCs w:val="20"/>
                <w:lang w:val="hr-HR"/>
              </w:rPr>
              <w:t>25,787</w:t>
            </w:r>
          </w:p>
        </w:tc>
      </w:tr>
      <w:tr w:rsidR="00587444" w:rsidRPr="00587444" w14:paraId="7BB2E248" w14:textId="77777777" w:rsidTr="00DD69E7">
        <w:trPr>
          <w:trHeight w:hRule="exact" w:val="292"/>
        </w:trPr>
        <w:tc>
          <w:tcPr>
            <w:tcW w:w="1806" w:type="pct"/>
            <w:vAlign w:val="center"/>
          </w:tcPr>
          <w:p w14:paraId="3BC6E774" w14:textId="77777777" w:rsidR="00587444" w:rsidRPr="00587444" w:rsidRDefault="00587444" w:rsidP="00587444">
            <w:pPr>
              <w:tabs>
                <w:tab w:val="right" w:pos="1202"/>
              </w:tabs>
              <w:suppressAutoHyphens w:val="0"/>
              <w:autoSpaceDN/>
              <w:outlineLvl w:val="0"/>
              <w:rPr>
                <w:rFonts w:ascii="Arial" w:hAnsi="Arial" w:cs="Arial"/>
                <w:sz w:val="20"/>
                <w:szCs w:val="20"/>
              </w:rPr>
            </w:pPr>
            <w:bookmarkStart w:id="882" w:name="_Toc4059799"/>
            <w:r w:rsidRPr="00587444">
              <w:rPr>
                <w:rFonts w:ascii="Arial" w:hAnsi="Arial" w:cs="Arial"/>
                <w:sz w:val="20"/>
                <w:szCs w:val="20"/>
              </w:rPr>
              <w:t>Other receivables</w:t>
            </w:r>
            <w:bookmarkEnd w:id="882"/>
          </w:p>
        </w:tc>
        <w:tc>
          <w:tcPr>
            <w:tcW w:w="797" w:type="pct"/>
            <w:tcBorders>
              <w:top w:val="nil"/>
              <w:left w:val="nil"/>
              <w:bottom w:val="nil"/>
              <w:right w:val="nil"/>
            </w:tcBorders>
            <w:shd w:val="clear" w:color="auto" w:fill="auto"/>
            <w:vAlign w:val="bottom"/>
          </w:tcPr>
          <w:p w14:paraId="58AA32E4"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 xml:space="preserve"> 12,244 </w:t>
            </w:r>
          </w:p>
        </w:tc>
        <w:tc>
          <w:tcPr>
            <w:tcW w:w="827" w:type="pct"/>
            <w:tcBorders>
              <w:top w:val="nil"/>
              <w:left w:val="nil"/>
              <w:bottom w:val="nil"/>
              <w:right w:val="nil"/>
            </w:tcBorders>
            <w:shd w:val="clear" w:color="auto" w:fill="auto"/>
            <w:vAlign w:val="bottom"/>
          </w:tcPr>
          <w:p w14:paraId="146F484C"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10,609</w:t>
            </w:r>
          </w:p>
        </w:tc>
        <w:tc>
          <w:tcPr>
            <w:tcW w:w="785" w:type="pct"/>
            <w:tcBorders>
              <w:top w:val="nil"/>
              <w:left w:val="nil"/>
              <w:bottom w:val="nil"/>
              <w:right w:val="nil"/>
            </w:tcBorders>
            <w:shd w:val="clear" w:color="auto" w:fill="auto"/>
            <w:vAlign w:val="bottom"/>
          </w:tcPr>
          <w:p w14:paraId="0C353B91"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 xml:space="preserve"> 12,244 </w:t>
            </w:r>
          </w:p>
        </w:tc>
        <w:tc>
          <w:tcPr>
            <w:tcW w:w="785" w:type="pct"/>
            <w:tcBorders>
              <w:top w:val="nil"/>
              <w:left w:val="nil"/>
              <w:bottom w:val="nil"/>
              <w:right w:val="nil"/>
            </w:tcBorders>
            <w:shd w:val="clear" w:color="auto" w:fill="auto"/>
            <w:vAlign w:val="bottom"/>
          </w:tcPr>
          <w:p w14:paraId="713AE6BD"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10,609</w:t>
            </w:r>
          </w:p>
        </w:tc>
      </w:tr>
      <w:tr w:rsidR="00587444" w:rsidRPr="00587444" w14:paraId="3FC72DF2" w14:textId="77777777" w:rsidTr="00DD69E7">
        <w:trPr>
          <w:trHeight w:hRule="exact" w:val="292"/>
        </w:trPr>
        <w:tc>
          <w:tcPr>
            <w:tcW w:w="1806" w:type="pct"/>
            <w:vAlign w:val="center"/>
          </w:tcPr>
          <w:p w14:paraId="189FEDA7" w14:textId="77777777" w:rsidR="00587444" w:rsidRPr="00587444" w:rsidRDefault="00587444" w:rsidP="00587444">
            <w:pPr>
              <w:tabs>
                <w:tab w:val="right" w:pos="1202"/>
              </w:tabs>
              <w:suppressAutoHyphens w:val="0"/>
              <w:autoSpaceDN/>
              <w:outlineLvl w:val="0"/>
              <w:rPr>
                <w:rFonts w:ascii="Arial" w:hAnsi="Arial" w:cs="Arial"/>
                <w:sz w:val="20"/>
                <w:szCs w:val="20"/>
              </w:rPr>
            </w:pPr>
            <w:bookmarkStart w:id="883" w:name="_Toc4059804"/>
            <w:r w:rsidRPr="00587444">
              <w:rPr>
                <w:rFonts w:ascii="Arial" w:hAnsi="Arial" w:cs="Arial"/>
                <w:sz w:val="20"/>
                <w:szCs w:val="20"/>
              </w:rPr>
              <w:t>Premium receivables</w:t>
            </w:r>
            <w:bookmarkEnd w:id="883"/>
          </w:p>
        </w:tc>
        <w:tc>
          <w:tcPr>
            <w:tcW w:w="797" w:type="pct"/>
            <w:tcBorders>
              <w:top w:val="nil"/>
              <w:left w:val="nil"/>
              <w:bottom w:val="nil"/>
              <w:right w:val="nil"/>
            </w:tcBorders>
            <w:shd w:val="clear" w:color="auto" w:fill="auto"/>
            <w:vAlign w:val="bottom"/>
          </w:tcPr>
          <w:p w14:paraId="4A6CDF22"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 xml:space="preserve"> 3,575 </w:t>
            </w:r>
          </w:p>
        </w:tc>
        <w:tc>
          <w:tcPr>
            <w:tcW w:w="827" w:type="pct"/>
            <w:tcBorders>
              <w:top w:val="nil"/>
              <w:left w:val="nil"/>
              <w:bottom w:val="nil"/>
              <w:right w:val="nil"/>
            </w:tcBorders>
            <w:shd w:val="clear" w:color="auto" w:fill="auto"/>
            <w:vAlign w:val="bottom"/>
          </w:tcPr>
          <w:p w14:paraId="4DB8EF6C"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1,797</w:t>
            </w:r>
          </w:p>
        </w:tc>
        <w:tc>
          <w:tcPr>
            <w:tcW w:w="785" w:type="pct"/>
            <w:tcBorders>
              <w:top w:val="nil"/>
              <w:left w:val="nil"/>
              <w:bottom w:val="nil"/>
              <w:right w:val="nil"/>
            </w:tcBorders>
            <w:shd w:val="clear" w:color="auto" w:fill="auto"/>
            <w:vAlign w:val="bottom"/>
          </w:tcPr>
          <w:p w14:paraId="4AC5D46E"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 xml:space="preserve"> -    </w:t>
            </w:r>
          </w:p>
        </w:tc>
        <w:tc>
          <w:tcPr>
            <w:tcW w:w="785" w:type="pct"/>
            <w:tcBorders>
              <w:top w:val="nil"/>
              <w:left w:val="nil"/>
              <w:bottom w:val="nil"/>
              <w:right w:val="nil"/>
            </w:tcBorders>
            <w:shd w:val="clear" w:color="auto" w:fill="auto"/>
            <w:vAlign w:val="bottom"/>
          </w:tcPr>
          <w:p w14:paraId="227363C4"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w:t>
            </w:r>
          </w:p>
        </w:tc>
      </w:tr>
      <w:tr w:rsidR="00587444" w:rsidRPr="00587444" w14:paraId="00C484DF" w14:textId="77777777" w:rsidTr="00DD69E7">
        <w:trPr>
          <w:trHeight w:val="567"/>
        </w:trPr>
        <w:tc>
          <w:tcPr>
            <w:tcW w:w="1806" w:type="pct"/>
            <w:vAlign w:val="bottom"/>
          </w:tcPr>
          <w:p w14:paraId="4B3FB53F" w14:textId="77777777" w:rsidR="00F13492" w:rsidRDefault="00587444" w:rsidP="00587444">
            <w:pPr>
              <w:tabs>
                <w:tab w:val="right" w:pos="1202"/>
              </w:tabs>
              <w:suppressAutoHyphens w:val="0"/>
              <w:autoSpaceDN/>
              <w:outlineLvl w:val="0"/>
              <w:rPr>
                <w:rFonts w:ascii="Arial" w:hAnsi="Arial" w:cs="Arial"/>
                <w:sz w:val="20"/>
                <w:szCs w:val="20"/>
              </w:rPr>
            </w:pPr>
            <w:bookmarkStart w:id="884" w:name="_Toc4059809"/>
            <w:r w:rsidRPr="00587444">
              <w:rPr>
                <w:rFonts w:ascii="Arial" w:hAnsi="Arial" w:cs="Arial"/>
                <w:sz w:val="20"/>
                <w:szCs w:val="20"/>
              </w:rPr>
              <w:t xml:space="preserve">Receivables for reinsurance </w:t>
            </w:r>
          </w:p>
          <w:p w14:paraId="573A6B4A" w14:textId="6BE85632" w:rsidR="00587444" w:rsidRPr="00587444" w:rsidRDefault="00587444" w:rsidP="00587444">
            <w:pPr>
              <w:tabs>
                <w:tab w:val="right" w:pos="1202"/>
              </w:tabs>
              <w:suppressAutoHyphens w:val="0"/>
              <w:autoSpaceDN/>
              <w:outlineLvl w:val="0"/>
              <w:rPr>
                <w:rFonts w:ascii="Arial" w:hAnsi="Arial" w:cs="Arial"/>
                <w:sz w:val="20"/>
                <w:szCs w:val="20"/>
              </w:rPr>
            </w:pPr>
            <w:r w:rsidRPr="00587444">
              <w:rPr>
                <w:rFonts w:ascii="Arial" w:hAnsi="Arial" w:cs="Arial"/>
                <w:sz w:val="20"/>
                <w:szCs w:val="20"/>
              </w:rPr>
              <w:t>commissions</w:t>
            </w:r>
            <w:bookmarkEnd w:id="884"/>
          </w:p>
        </w:tc>
        <w:tc>
          <w:tcPr>
            <w:tcW w:w="797" w:type="pct"/>
            <w:tcBorders>
              <w:top w:val="nil"/>
              <w:left w:val="nil"/>
              <w:bottom w:val="nil"/>
              <w:right w:val="nil"/>
            </w:tcBorders>
            <w:shd w:val="clear" w:color="auto" w:fill="auto"/>
            <w:vAlign w:val="bottom"/>
          </w:tcPr>
          <w:p w14:paraId="7732CF92"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 xml:space="preserve"> 2,259 </w:t>
            </w:r>
          </w:p>
        </w:tc>
        <w:tc>
          <w:tcPr>
            <w:tcW w:w="827" w:type="pct"/>
            <w:tcBorders>
              <w:top w:val="nil"/>
              <w:left w:val="nil"/>
              <w:bottom w:val="nil"/>
              <w:right w:val="nil"/>
            </w:tcBorders>
            <w:shd w:val="clear" w:color="auto" w:fill="auto"/>
            <w:vAlign w:val="bottom"/>
          </w:tcPr>
          <w:p w14:paraId="7351FE22"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645</w:t>
            </w:r>
          </w:p>
        </w:tc>
        <w:tc>
          <w:tcPr>
            <w:tcW w:w="785" w:type="pct"/>
            <w:tcBorders>
              <w:top w:val="nil"/>
              <w:left w:val="nil"/>
              <w:bottom w:val="nil"/>
              <w:right w:val="nil"/>
            </w:tcBorders>
            <w:shd w:val="clear" w:color="auto" w:fill="auto"/>
            <w:vAlign w:val="bottom"/>
          </w:tcPr>
          <w:p w14:paraId="2B8F6659"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 xml:space="preserve"> -    </w:t>
            </w:r>
          </w:p>
        </w:tc>
        <w:tc>
          <w:tcPr>
            <w:tcW w:w="785" w:type="pct"/>
            <w:tcBorders>
              <w:top w:val="nil"/>
              <w:left w:val="nil"/>
              <w:bottom w:val="nil"/>
              <w:right w:val="nil"/>
            </w:tcBorders>
            <w:shd w:val="clear" w:color="auto" w:fill="auto"/>
            <w:vAlign w:val="bottom"/>
          </w:tcPr>
          <w:p w14:paraId="375631E2"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w:t>
            </w:r>
          </w:p>
        </w:tc>
      </w:tr>
      <w:tr w:rsidR="00587444" w:rsidRPr="00587444" w14:paraId="6CD3C9BC" w14:textId="77777777" w:rsidTr="00DD69E7">
        <w:trPr>
          <w:trHeight w:val="567"/>
        </w:trPr>
        <w:tc>
          <w:tcPr>
            <w:tcW w:w="1806" w:type="pct"/>
            <w:vAlign w:val="bottom"/>
          </w:tcPr>
          <w:p w14:paraId="0E2A035B" w14:textId="77777777" w:rsidR="00587444" w:rsidRPr="00587444" w:rsidRDefault="00587444" w:rsidP="00587444">
            <w:pPr>
              <w:tabs>
                <w:tab w:val="right" w:pos="1202"/>
              </w:tabs>
              <w:suppressAutoHyphens w:val="0"/>
              <w:autoSpaceDN/>
              <w:outlineLvl w:val="0"/>
              <w:rPr>
                <w:rFonts w:ascii="Arial" w:hAnsi="Arial" w:cs="Arial"/>
                <w:sz w:val="20"/>
                <w:szCs w:val="20"/>
              </w:rPr>
            </w:pPr>
            <w:bookmarkStart w:id="885" w:name="_Toc4059814"/>
            <w:r w:rsidRPr="00587444">
              <w:rPr>
                <w:rFonts w:ascii="Arial" w:hAnsi="Arial" w:cs="Arial"/>
                <w:sz w:val="20"/>
                <w:szCs w:val="20"/>
              </w:rPr>
              <w:t>Receivables for risk assessment fees</w:t>
            </w:r>
            <w:bookmarkEnd w:id="885"/>
          </w:p>
        </w:tc>
        <w:tc>
          <w:tcPr>
            <w:tcW w:w="797" w:type="pct"/>
            <w:tcBorders>
              <w:top w:val="nil"/>
              <w:left w:val="nil"/>
              <w:bottom w:val="single" w:sz="4" w:space="0" w:color="auto"/>
              <w:right w:val="nil"/>
            </w:tcBorders>
            <w:shd w:val="clear" w:color="auto" w:fill="auto"/>
            <w:vAlign w:val="bottom"/>
          </w:tcPr>
          <w:p w14:paraId="7CCF7134"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 xml:space="preserve"> 312 </w:t>
            </w:r>
          </w:p>
        </w:tc>
        <w:tc>
          <w:tcPr>
            <w:tcW w:w="827" w:type="pct"/>
            <w:tcBorders>
              <w:top w:val="nil"/>
              <w:left w:val="nil"/>
              <w:bottom w:val="single" w:sz="4" w:space="0" w:color="auto"/>
              <w:right w:val="nil"/>
            </w:tcBorders>
            <w:shd w:val="clear" w:color="auto" w:fill="auto"/>
            <w:vAlign w:val="bottom"/>
          </w:tcPr>
          <w:p w14:paraId="3D36D79B"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324</w:t>
            </w:r>
          </w:p>
        </w:tc>
        <w:tc>
          <w:tcPr>
            <w:tcW w:w="785" w:type="pct"/>
            <w:tcBorders>
              <w:top w:val="nil"/>
              <w:left w:val="nil"/>
              <w:bottom w:val="single" w:sz="4" w:space="0" w:color="auto"/>
              <w:right w:val="nil"/>
            </w:tcBorders>
            <w:shd w:val="clear" w:color="auto" w:fill="auto"/>
            <w:vAlign w:val="bottom"/>
          </w:tcPr>
          <w:p w14:paraId="7BFA3357"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 xml:space="preserve"> -    </w:t>
            </w:r>
          </w:p>
        </w:tc>
        <w:tc>
          <w:tcPr>
            <w:tcW w:w="785" w:type="pct"/>
            <w:tcBorders>
              <w:top w:val="nil"/>
              <w:left w:val="nil"/>
              <w:bottom w:val="single" w:sz="4" w:space="0" w:color="auto"/>
              <w:right w:val="nil"/>
            </w:tcBorders>
            <w:shd w:val="clear" w:color="auto" w:fill="auto"/>
            <w:vAlign w:val="bottom"/>
          </w:tcPr>
          <w:p w14:paraId="48908F3C"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w:t>
            </w:r>
          </w:p>
        </w:tc>
      </w:tr>
      <w:tr w:rsidR="00587444" w:rsidRPr="00587444" w14:paraId="5420CEEB" w14:textId="77777777" w:rsidTr="00DD69E7">
        <w:trPr>
          <w:trHeight w:hRule="exact" w:val="292"/>
        </w:trPr>
        <w:tc>
          <w:tcPr>
            <w:tcW w:w="1806" w:type="pct"/>
            <w:vAlign w:val="center"/>
          </w:tcPr>
          <w:p w14:paraId="13EF2271" w14:textId="77777777" w:rsidR="00587444" w:rsidRPr="00587444" w:rsidRDefault="00587444" w:rsidP="00587444">
            <w:pPr>
              <w:tabs>
                <w:tab w:val="right" w:pos="1202"/>
              </w:tabs>
              <w:suppressAutoHyphens w:val="0"/>
              <w:autoSpaceDN/>
              <w:outlineLvl w:val="0"/>
              <w:rPr>
                <w:rFonts w:ascii="Arial" w:hAnsi="Arial" w:cs="Arial"/>
                <w:sz w:val="20"/>
                <w:szCs w:val="20"/>
              </w:rPr>
            </w:pPr>
          </w:p>
        </w:tc>
        <w:tc>
          <w:tcPr>
            <w:tcW w:w="797" w:type="pct"/>
            <w:tcBorders>
              <w:top w:val="nil"/>
              <w:left w:val="nil"/>
              <w:bottom w:val="single" w:sz="4" w:space="0" w:color="auto"/>
              <w:right w:val="nil"/>
            </w:tcBorders>
            <w:shd w:val="clear" w:color="auto" w:fill="auto"/>
            <w:vAlign w:val="bottom"/>
          </w:tcPr>
          <w:p w14:paraId="58090751"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45,066</w:t>
            </w:r>
          </w:p>
        </w:tc>
        <w:tc>
          <w:tcPr>
            <w:tcW w:w="827" w:type="pct"/>
            <w:tcBorders>
              <w:top w:val="nil"/>
              <w:left w:val="nil"/>
              <w:bottom w:val="single" w:sz="4" w:space="0" w:color="auto"/>
              <w:right w:val="nil"/>
            </w:tcBorders>
            <w:shd w:val="clear" w:color="auto" w:fill="auto"/>
            <w:vAlign w:val="bottom"/>
          </w:tcPr>
          <w:p w14:paraId="6D6A8617"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39,162</w:t>
            </w:r>
          </w:p>
        </w:tc>
        <w:tc>
          <w:tcPr>
            <w:tcW w:w="785" w:type="pct"/>
            <w:tcBorders>
              <w:top w:val="nil"/>
              <w:left w:val="nil"/>
              <w:bottom w:val="single" w:sz="4" w:space="0" w:color="auto"/>
              <w:right w:val="nil"/>
            </w:tcBorders>
            <w:shd w:val="clear" w:color="auto" w:fill="auto"/>
            <w:vAlign w:val="bottom"/>
          </w:tcPr>
          <w:p w14:paraId="2AA70E21"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38,920</w:t>
            </w:r>
          </w:p>
        </w:tc>
        <w:tc>
          <w:tcPr>
            <w:tcW w:w="785" w:type="pct"/>
            <w:tcBorders>
              <w:top w:val="nil"/>
              <w:left w:val="nil"/>
              <w:bottom w:val="single" w:sz="4" w:space="0" w:color="auto"/>
              <w:right w:val="nil"/>
            </w:tcBorders>
            <w:shd w:val="clear" w:color="auto" w:fill="auto"/>
            <w:vAlign w:val="bottom"/>
          </w:tcPr>
          <w:p w14:paraId="65D5BF82"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36,396</w:t>
            </w:r>
          </w:p>
        </w:tc>
      </w:tr>
      <w:tr w:rsidR="00587444" w:rsidRPr="00587444" w14:paraId="4920C104" w14:textId="77777777" w:rsidTr="00DD69E7">
        <w:trPr>
          <w:trHeight w:hRule="exact" w:val="292"/>
        </w:trPr>
        <w:tc>
          <w:tcPr>
            <w:tcW w:w="1806" w:type="pct"/>
            <w:vAlign w:val="center"/>
          </w:tcPr>
          <w:p w14:paraId="09AEEE68" w14:textId="77777777" w:rsidR="00587444" w:rsidRPr="00587444" w:rsidRDefault="00587444" w:rsidP="00587444">
            <w:pPr>
              <w:tabs>
                <w:tab w:val="right" w:pos="1202"/>
              </w:tabs>
              <w:suppressAutoHyphens w:val="0"/>
              <w:autoSpaceDN/>
              <w:outlineLvl w:val="0"/>
              <w:rPr>
                <w:rFonts w:ascii="Arial" w:hAnsi="Arial" w:cs="Arial"/>
                <w:sz w:val="20"/>
                <w:szCs w:val="20"/>
              </w:rPr>
            </w:pPr>
            <w:bookmarkStart w:id="886" w:name="_Toc4059819"/>
            <w:r w:rsidRPr="00587444">
              <w:rPr>
                <w:rFonts w:ascii="Arial" w:hAnsi="Arial" w:cs="Arial"/>
                <w:sz w:val="20"/>
                <w:szCs w:val="20"/>
              </w:rPr>
              <w:t>Loss allowance</w:t>
            </w:r>
            <w:bookmarkEnd w:id="886"/>
          </w:p>
        </w:tc>
        <w:tc>
          <w:tcPr>
            <w:tcW w:w="797" w:type="pct"/>
            <w:tcBorders>
              <w:top w:val="single" w:sz="4" w:space="0" w:color="auto"/>
              <w:left w:val="nil"/>
              <w:bottom w:val="nil"/>
              <w:right w:val="nil"/>
            </w:tcBorders>
            <w:shd w:val="clear" w:color="auto" w:fill="auto"/>
            <w:vAlign w:val="bottom"/>
          </w:tcPr>
          <w:p w14:paraId="16FCC7E0"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(35,348)</w:t>
            </w:r>
          </w:p>
        </w:tc>
        <w:tc>
          <w:tcPr>
            <w:tcW w:w="827" w:type="pct"/>
            <w:tcBorders>
              <w:top w:val="single" w:sz="4" w:space="0" w:color="auto"/>
              <w:left w:val="nil"/>
              <w:bottom w:val="nil"/>
              <w:right w:val="nil"/>
            </w:tcBorders>
            <w:shd w:val="clear" w:color="auto" w:fill="auto"/>
            <w:vAlign w:val="bottom"/>
          </w:tcPr>
          <w:p w14:paraId="7A8CA9C6"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(31,851)</w:t>
            </w:r>
          </w:p>
        </w:tc>
        <w:tc>
          <w:tcPr>
            <w:tcW w:w="785" w:type="pct"/>
            <w:tcBorders>
              <w:top w:val="single" w:sz="4" w:space="0" w:color="auto"/>
              <w:left w:val="nil"/>
              <w:bottom w:val="nil"/>
              <w:right w:val="nil"/>
            </w:tcBorders>
            <w:shd w:val="clear" w:color="auto" w:fill="auto"/>
            <w:vAlign w:val="bottom"/>
          </w:tcPr>
          <w:p w14:paraId="015A0320"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(35,175)</w:t>
            </w:r>
          </w:p>
        </w:tc>
        <w:tc>
          <w:tcPr>
            <w:tcW w:w="785" w:type="pct"/>
            <w:tcBorders>
              <w:top w:val="single" w:sz="4" w:space="0" w:color="auto"/>
              <w:left w:val="nil"/>
              <w:bottom w:val="nil"/>
              <w:right w:val="nil"/>
            </w:tcBorders>
            <w:shd w:val="clear" w:color="auto" w:fill="auto"/>
            <w:vAlign w:val="bottom"/>
          </w:tcPr>
          <w:p w14:paraId="75368F34" w14:textId="77777777" w:rsidR="00587444" w:rsidRPr="00587444" w:rsidRDefault="00587444" w:rsidP="00587444">
            <w:pPr>
              <w:tabs>
                <w:tab w:val="right" w:pos="1202"/>
              </w:tabs>
              <w:suppressAutoHyphens w:val="0"/>
              <w:autoSpaceDN/>
              <w:jc w:val="right"/>
              <w:outlineLvl w:val="0"/>
              <w:rPr>
                <w:rFonts w:ascii="Arial" w:hAnsi="Arial" w:cs="Arial"/>
                <w:color w:val="000000"/>
                <w:sz w:val="20"/>
                <w:szCs w:val="20"/>
              </w:rPr>
            </w:pPr>
            <w:r w:rsidRPr="00587444">
              <w:rPr>
                <w:rFonts w:ascii="Arial" w:hAnsi="Arial" w:cs="Arial"/>
                <w:color w:val="000000"/>
                <w:sz w:val="20"/>
                <w:szCs w:val="20"/>
                <w:lang w:val="hr-HR"/>
              </w:rPr>
              <w:t>(31,697)</w:t>
            </w:r>
          </w:p>
        </w:tc>
      </w:tr>
      <w:tr w:rsidR="00587444" w:rsidRPr="00587444" w14:paraId="1A9E9E35" w14:textId="77777777" w:rsidTr="00DD69E7">
        <w:trPr>
          <w:trHeight w:val="374"/>
        </w:trPr>
        <w:tc>
          <w:tcPr>
            <w:tcW w:w="1806" w:type="pct"/>
            <w:vAlign w:val="bottom"/>
          </w:tcPr>
          <w:p w14:paraId="089996E4" w14:textId="77777777" w:rsidR="00587444" w:rsidRPr="00587444" w:rsidRDefault="00587444" w:rsidP="00587444">
            <w:pPr>
              <w:tabs>
                <w:tab w:val="right" w:pos="1202"/>
              </w:tabs>
              <w:suppressAutoHyphens w:val="0"/>
              <w:autoSpaceDN/>
              <w:spacing w:line="301" w:lineRule="exact"/>
              <w:outlineLvl w:val="0"/>
              <w:rPr>
                <w:rFonts w:ascii="Arial" w:hAnsi="Arial" w:cs="Arial"/>
                <w:b/>
                <w:sz w:val="20"/>
                <w:szCs w:val="20"/>
              </w:rPr>
            </w:pPr>
            <w:bookmarkStart w:id="887" w:name="_Toc4059824"/>
            <w:r w:rsidRPr="00587444">
              <w:rPr>
                <w:rFonts w:ascii="Arial" w:hAnsi="Arial" w:cs="Arial"/>
                <w:b/>
                <w:sz w:val="20"/>
                <w:szCs w:val="20"/>
              </w:rPr>
              <w:t xml:space="preserve">Subtotal – </w:t>
            </w:r>
            <w:bookmarkEnd w:id="887"/>
            <w:r w:rsidRPr="00587444">
              <w:rPr>
                <w:rFonts w:ascii="Arial" w:hAnsi="Arial" w:cs="Arial"/>
                <w:b/>
                <w:sz w:val="20"/>
                <w:szCs w:val="20"/>
              </w:rPr>
              <w:t>assets exposed to credit risk</w:t>
            </w:r>
          </w:p>
        </w:tc>
        <w:tc>
          <w:tcPr>
            <w:tcW w:w="797" w:type="pct"/>
            <w:tcBorders>
              <w:top w:val="single" w:sz="4" w:space="0" w:color="auto"/>
              <w:left w:val="nil"/>
              <w:bottom w:val="single" w:sz="12" w:space="0" w:color="auto"/>
              <w:right w:val="nil"/>
            </w:tcBorders>
            <w:shd w:val="clear" w:color="auto" w:fill="auto"/>
            <w:vAlign w:val="bottom"/>
          </w:tcPr>
          <w:p w14:paraId="073E538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color w:val="000000"/>
                <w:sz w:val="20"/>
                <w:szCs w:val="20"/>
              </w:rPr>
            </w:pPr>
            <w:r w:rsidRPr="00587444">
              <w:rPr>
                <w:rFonts w:ascii="Arial" w:hAnsi="Arial" w:cs="Arial"/>
                <w:b/>
                <w:bCs/>
                <w:color w:val="000000"/>
                <w:sz w:val="20"/>
                <w:szCs w:val="20"/>
                <w:lang w:val="hr-HR"/>
              </w:rPr>
              <w:t>9,718</w:t>
            </w:r>
          </w:p>
        </w:tc>
        <w:tc>
          <w:tcPr>
            <w:tcW w:w="827" w:type="pct"/>
            <w:tcBorders>
              <w:top w:val="single" w:sz="4" w:space="0" w:color="auto"/>
              <w:left w:val="nil"/>
              <w:bottom w:val="single" w:sz="12" w:space="0" w:color="auto"/>
              <w:right w:val="nil"/>
            </w:tcBorders>
            <w:shd w:val="clear" w:color="auto" w:fill="auto"/>
            <w:vAlign w:val="bottom"/>
          </w:tcPr>
          <w:p w14:paraId="7D179D2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color w:val="000000"/>
                <w:sz w:val="20"/>
                <w:szCs w:val="20"/>
              </w:rPr>
            </w:pPr>
            <w:r w:rsidRPr="00587444">
              <w:rPr>
                <w:rFonts w:ascii="Arial" w:hAnsi="Arial" w:cs="Arial"/>
                <w:b/>
                <w:bCs/>
                <w:color w:val="000000"/>
                <w:sz w:val="20"/>
                <w:szCs w:val="20"/>
                <w:lang w:val="hr-HR"/>
              </w:rPr>
              <w:t>7,311</w:t>
            </w:r>
          </w:p>
        </w:tc>
        <w:tc>
          <w:tcPr>
            <w:tcW w:w="785" w:type="pct"/>
            <w:tcBorders>
              <w:top w:val="single" w:sz="4" w:space="0" w:color="auto"/>
              <w:left w:val="nil"/>
              <w:bottom w:val="single" w:sz="12" w:space="0" w:color="auto"/>
              <w:right w:val="nil"/>
            </w:tcBorders>
            <w:shd w:val="clear" w:color="auto" w:fill="auto"/>
            <w:vAlign w:val="bottom"/>
          </w:tcPr>
          <w:p w14:paraId="0DF436E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color w:val="000000"/>
                <w:sz w:val="20"/>
                <w:szCs w:val="20"/>
              </w:rPr>
            </w:pPr>
            <w:r w:rsidRPr="00587444">
              <w:rPr>
                <w:rFonts w:ascii="Arial" w:hAnsi="Arial" w:cs="Arial"/>
                <w:b/>
                <w:bCs/>
                <w:color w:val="000000"/>
                <w:sz w:val="20"/>
                <w:szCs w:val="20"/>
                <w:lang w:val="hr-HR"/>
              </w:rPr>
              <w:t>3,745</w:t>
            </w:r>
          </w:p>
        </w:tc>
        <w:tc>
          <w:tcPr>
            <w:tcW w:w="785" w:type="pct"/>
            <w:tcBorders>
              <w:top w:val="single" w:sz="4" w:space="0" w:color="auto"/>
              <w:left w:val="nil"/>
              <w:bottom w:val="single" w:sz="12" w:space="0" w:color="auto"/>
              <w:right w:val="nil"/>
            </w:tcBorders>
            <w:shd w:val="clear" w:color="auto" w:fill="auto"/>
            <w:vAlign w:val="bottom"/>
          </w:tcPr>
          <w:p w14:paraId="6CEB516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color w:val="000000"/>
                <w:sz w:val="20"/>
                <w:szCs w:val="20"/>
              </w:rPr>
            </w:pPr>
            <w:r w:rsidRPr="00587444">
              <w:rPr>
                <w:rFonts w:ascii="Arial" w:hAnsi="Arial" w:cs="Arial"/>
                <w:b/>
                <w:bCs/>
                <w:color w:val="000000"/>
                <w:sz w:val="20"/>
                <w:szCs w:val="20"/>
                <w:lang w:val="hr-HR"/>
              </w:rPr>
              <w:t>4,699</w:t>
            </w:r>
          </w:p>
        </w:tc>
      </w:tr>
    </w:tbl>
    <w:p w14:paraId="52281D50" w14:textId="77777777" w:rsidR="00587444" w:rsidRPr="00587444" w:rsidRDefault="00587444" w:rsidP="00587444">
      <w:pPr>
        <w:keepNext/>
        <w:suppressAutoHyphens w:val="0"/>
        <w:autoSpaceDN/>
        <w:spacing w:line="360" w:lineRule="auto"/>
        <w:jc w:val="both"/>
        <w:rPr>
          <w:rFonts w:ascii="Arial" w:hAnsi="Arial" w:cs="Arial"/>
          <w:sz w:val="20"/>
          <w:szCs w:val="20"/>
          <w:lang w:val="en-GB"/>
        </w:rPr>
      </w:pPr>
    </w:p>
    <w:p w14:paraId="67F95988"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The movements in the loss allowances on other assets may be summarized as follows:</w:t>
      </w:r>
    </w:p>
    <w:p w14:paraId="63EC9D95" w14:textId="77777777" w:rsidR="00587444" w:rsidRPr="00587444" w:rsidRDefault="00587444" w:rsidP="00587444">
      <w:pPr>
        <w:keepNext/>
        <w:suppressAutoHyphens w:val="0"/>
        <w:autoSpaceDN/>
        <w:jc w:val="both"/>
        <w:rPr>
          <w:rFonts w:ascii="Arial" w:hAnsi="Arial" w:cs="Arial"/>
          <w:sz w:val="20"/>
          <w:szCs w:val="20"/>
          <w:lang w:val="en-GB"/>
        </w:rPr>
      </w:pPr>
    </w:p>
    <w:tbl>
      <w:tblPr>
        <w:tblW w:w="5188" w:type="pct"/>
        <w:tblCellMar>
          <w:left w:w="107" w:type="dxa"/>
          <w:right w:w="107" w:type="dxa"/>
        </w:tblCellMar>
        <w:tblLook w:val="0000" w:firstRow="0" w:lastRow="0" w:firstColumn="0" w:lastColumn="0" w:noHBand="0" w:noVBand="0"/>
      </w:tblPr>
      <w:tblGrid>
        <w:gridCol w:w="4299"/>
        <w:gridCol w:w="1334"/>
        <w:gridCol w:w="1422"/>
        <w:gridCol w:w="1460"/>
        <w:gridCol w:w="1414"/>
      </w:tblGrid>
      <w:tr w:rsidR="00587444" w:rsidRPr="00587444" w14:paraId="38D5BDAC" w14:textId="77777777" w:rsidTr="00DD69E7">
        <w:trPr>
          <w:trHeight w:val="217"/>
        </w:trPr>
        <w:tc>
          <w:tcPr>
            <w:tcW w:w="2165" w:type="pct"/>
          </w:tcPr>
          <w:p w14:paraId="07663B8B" w14:textId="77777777" w:rsidR="00587444" w:rsidRPr="00587444" w:rsidRDefault="00587444" w:rsidP="00587444">
            <w:pPr>
              <w:suppressAutoHyphens w:val="0"/>
              <w:autoSpaceDN/>
              <w:rPr>
                <w:rFonts w:ascii="Arial" w:eastAsia="Calibri" w:hAnsi="Arial" w:cs="Arial"/>
                <w:b/>
                <w:spacing w:val="-3"/>
                <w:sz w:val="20"/>
                <w:szCs w:val="20"/>
                <w:lang w:val="en-GB"/>
              </w:rPr>
            </w:pPr>
          </w:p>
        </w:tc>
        <w:tc>
          <w:tcPr>
            <w:tcW w:w="672" w:type="pct"/>
          </w:tcPr>
          <w:p w14:paraId="7806F1E0"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p>
        </w:tc>
        <w:tc>
          <w:tcPr>
            <w:tcW w:w="716" w:type="pct"/>
          </w:tcPr>
          <w:p w14:paraId="3D7A08EC"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sz w:val="20"/>
                <w:szCs w:val="20"/>
                <w:lang w:val="en-GB"/>
              </w:rPr>
              <w:t>Group</w:t>
            </w:r>
          </w:p>
        </w:tc>
        <w:tc>
          <w:tcPr>
            <w:tcW w:w="735" w:type="pct"/>
            <w:vAlign w:val="center"/>
          </w:tcPr>
          <w:p w14:paraId="0DB52AF7"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p>
        </w:tc>
        <w:tc>
          <w:tcPr>
            <w:tcW w:w="712" w:type="pct"/>
            <w:shd w:val="clear" w:color="auto" w:fill="auto"/>
            <w:vAlign w:val="center"/>
          </w:tcPr>
          <w:p w14:paraId="7A3E086A"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sz w:val="20"/>
                <w:szCs w:val="20"/>
                <w:lang w:val="en-GB"/>
              </w:rPr>
              <w:t>Bank</w:t>
            </w:r>
          </w:p>
        </w:tc>
      </w:tr>
      <w:tr w:rsidR="00587444" w:rsidRPr="00587444" w14:paraId="66415C0C" w14:textId="77777777" w:rsidTr="00DD69E7">
        <w:trPr>
          <w:trHeight w:val="217"/>
        </w:trPr>
        <w:tc>
          <w:tcPr>
            <w:tcW w:w="2165" w:type="pct"/>
          </w:tcPr>
          <w:p w14:paraId="7ADA505D" w14:textId="77777777" w:rsidR="00587444" w:rsidRPr="00587444" w:rsidRDefault="00587444" w:rsidP="00587444">
            <w:pPr>
              <w:suppressAutoHyphens w:val="0"/>
              <w:autoSpaceDN/>
              <w:rPr>
                <w:rFonts w:ascii="Arial" w:eastAsia="Calibri" w:hAnsi="Arial" w:cs="Arial"/>
                <w:b/>
                <w:spacing w:val="-3"/>
                <w:sz w:val="20"/>
                <w:szCs w:val="20"/>
                <w:lang w:val="en-GB"/>
              </w:rPr>
            </w:pPr>
          </w:p>
        </w:tc>
        <w:tc>
          <w:tcPr>
            <w:tcW w:w="672" w:type="pct"/>
            <w:vAlign w:val="bottom"/>
          </w:tcPr>
          <w:p w14:paraId="2449FAAB"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bCs/>
                <w:noProof/>
                <w:sz w:val="20"/>
                <w:szCs w:val="20"/>
                <w:lang w:val="hr-HR"/>
              </w:rPr>
              <w:t>Jan 1 - Dec 31, 2022</w:t>
            </w:r>
          </w:p>
        </w:tc>
        <w:tc>
          <w:tcPr>
            <w:tcW w:w="716" w:type="pct"/>
            <w:vAlign w:val="bottom"/>
          </w:tcPr>
          <w:p w14:paraId="452247C4"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bCs/>
                <w:noProof/>
                <w:sz w:val="20"/>
                <w:szCs w:val="20"/>
                <w:lang w:val="hr-HR"/>
              </w:rPr>
              <w:t>Jan 1 - Dec 31, 2021</w:t>
            </w:r>
          </w:p>
        </w:tc>
        <w:tc>
          <w:tcPr>
            <w:tcW w:w="735" w:type="pct"/>
            <w:vAlign w:val="bottom"/>
          </w:tcPr>
          <w:p w14:paraId="4F27F548"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bCs/>
                <w:noProof/>
                <w:sz w:val="20"/>
                <w:szCs w:val="20"/>
                <w:lang w:val="hr-HR"/>
              </w:rPr>
              <w:t>Jan 1 - Dec 31, 2022</w:t>
            </w:r>
          </w:p>
        </w:tc>
        <w:tc>
          <w:tcPr>
            <w:tcW w:w="712" w:type="pct"/>
            <w:vAlign w:val="bottom"/>
          </w:tcPr>
          <w:p w14:paraId="4AF9A525"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bCs/>
                <w:noProof/>
                <w:sz w:val="20"/>
                <w:szCs w:val="20"/>
                <w:lang w:val="hr-HR"/>
              </w:rPr>
              <w:t>Jan 1 - Dec 31, 2021</w:t>
            </w:r>
          </w:p>
        </w:tc>
      </w:tr>
      <w:tr w:rsidR="00587444" w:rsidRPr="00587444" w14:paraId="7D8D6192" w14:textId="77777777" w:rsidTr="00DD69E7">
        <w:trPr>
          <w:trHeight w:val="217"/>
        </w:trPr>
        <w:tc>
          <w:tcPr>
            <w:tcW w:w="2165" w:type="pct"/>
          </w:tcPr>
          <w:p w14:paraId="74752FDE" w14:textId="77777777" w:rsidR="00587444" w:rsidRPr="00587444" w:rsidRDefault="00587444" w:rsidP="00587444">
            <w:pPr>
              <w:suppressAutoHyphens w:val="0"/>
              <w:autoSpaceDN/>
              <w:rPr>
                <w:rFonts w:ascii="Arial" w:eastAsia="Calibri" w:hAnsi="Arial" w:cs="Arial"/>
                <w:b/>
                <w:spacing w:val="-3"/>
                <w:sz w:val="20"/>
                <w:szCs w:val="20"/>
                <w:lang w:val="en-GB"/>
              </w:rPr>
            </w:pPr>
          </w:p>
        </w:tc>
        <w:tc>
          <w:tcPr>
            <w:tcW w:w="672" w:type="pct"/>
            <w:vAlign w:val="bottom"/>
          </w:tcPr>
          <w:p w14:paraId="4EBA4CFC"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bCs/>
                <w:noProof/>
                <w:sz w:val="20"/>
                <w:szCs w:val="20"/>
                <w:lang w:val="en-GB"/>
              </w:rPr>
              <w:t xml:space="preserve">HRK </w:t>
            </w:r>
            <w:r w:rsidRPr="00587444">
              <w:rPr>
                <w:rFonts w:ascii="Arial" w:hAnsi="Arial" w:cs="Arial"/>
                <w:sz w:val="20"/>
                <w:szCs w:val="20"/>
              </w:rPr>
              <w:t>‘</w:t>
            </w:r>
            <w:r w:rsidRPr="00587444">
              <w:rPr>
                <w:rFonts w:ascii="Arial" w:eastAsia="Calibri" w:hAnsi="Arial" w:cs="Arial"/>
                <w:b/>
                <w:bCs/>
                <w:noProof/>
                <w:sz w:val="20"/>
                <w:szCs w:val="20"/>
                <w:lang w:val="en-GB"/>
              </w:rPr>
              <w:t>000</w:t>
            </w:r>
          </w:p>
        </w:tc>
        <w:tc>
          <w:tcPr>
            <w:tcW w:w="716" w:type="pct"/>
            <w:vAlign w:val="bottom"/>
          </w:tcPr>
          <w:p w14:paraId="5C284AC5"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bCs/>
                <w:noProof/>
                <w:sz w:val="20"/>
                <w:szCs w:val="20"/>
                <w:lang w:val="en-GB"/>
              </w:rPr>
              <w:t xml:space="preserve">HRK </w:t>
            </w:r>
            <w:r w:rsidRPr="00587444">
              <w:rPr>
                <w:rFonts w:ascii="Arial" w:hAnsi="Arial" w:cs="Arial"/>
                <w:sz w:val="20"/>
                <w:szCs w:val="20"/>
              </w:rPr>
              <w:t>‘</w:t>
            </w:r>
            <w:r w:rsidRPr="00587444">
              <w:rPr>
                <w:rFonts w:ascii="Arial" w:eastAsia="Calibri" w:hAnsi="Arial" w:cs="Arial"/>
                <w:b/>
                <w:bCs/>
                <w:noProof/>
                <w:sz w:val="20"/>
                <w:szCs w:val="20"/>
                <w:lang w:val="en-GB"/>
              </w:rPr>
              <w:t>000</w:t>
            </w:r>
          </w:p>
        </w:tc>
        <w:tc>
          <w:tcPr>
            <w:tcW w:w="735" w:type="pct"/>
            <w:vAlign w:val="bottom"/>
          </w:tcPr>
          <w:p w14:paraId="10C93EA3"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bCs/>
                <w:noProof/>
                <w:sz w:val="20"/>
                <w:szCs w:val="20"/>
                <w:lang w:val="en-GB"/>
              </w:rPr>
              <w:t xml:space="preserve">HRK </w:t>
            </w:r>
            <w:r w:rsidRPr="00587444">
              <w:rPr>
                <w:rFonts w:ascii="Arial" w:hAnsi="Arial" w:cs="Arial"/>
                <w:sz w:val="20"/>
                <w:szCs w:val="20"/>
              </w:rPr>
              <w:t>‘</w:t>
            </w:r>
            <w:r w:rsidRPr="00587444">
              <w:rPr>
                <w:rFonts w:ascii="Arial" w:eastAsia="Calibri" w:hAnsi="Arial" w:cs="Arial"/>
                <w:b/>
                <w:bCs/>
                <w:noProof/>
                <w:sz w:val="20"/>
                <w:szCs w:val="20"/>
                <w:lang w:val="en-GB"/>
              </w:rPr>
              <w:t>000</w:t>
            </w:r>
          </w:p>
        </w:tc>
        <w:tc>
          <w:tcPr>
            <w:tcW w:w="712" w:type="pct"/>
            <w:vAlign w:val="bottom"/>
          </w:tcPr>
          <w:p w14:paraId="1374A93E"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bCs/>
                <w:noProof/>
                <w:sz w:val="20"/>
                <w:szCs w:val="20"/>
                <w:lang w:val="en-GB"/>
              </w:rPr>
              <w:t xml:space="preserve">HRK </w:t>
            </w:r>
            <w:r w:rsidRPr="00587444">
              <w:rPr>
                <w:rFonts w:ascii="Arial" w:hAnsi="Arial" w:cs="Arial"/>
                <w:sz w:val="20"/>
                <w:szCs w:val="20"/>
              </w:rPr>
              <w:t>‘</w:t>
            </w:r>
            <w:r w:rsidRPr="00587444">
              <w:rPr>
                <w:rFonts w:ascii="Arial" w:eastAsia="Calibri" w:hAnsi="Arial" w:cs="Arial"/>
                <w:b/>
                <w:bCs/>
                <w:noProof/>
                <w:sz w:val="20"/>
                <w:szCs w:val="20"/>
                <w:lang w:val="en-GB"/>
              </w:rPr>
              <w:t>000</w:t>
            </w:r>
          </w:p>
        </w:tc>
      </w:tr>
      <w:tr w:rsidR="00587444" w:rsidRPr="00587444" w14:paraId="7EB51B75" w14:textId="77777777" w:rsidTr="00DD69E7">
        <w:trPr>
          <w:trHeight w:val="495"/>
        </w:trPr>
        <w:tc>
          <w:tcPr>
            <w:tcW w:w="2165" w:type="pct"/>
            <w:vAlign w:val="bottom"/>
          </w:tcPr>
          <w:p w14:paraId="33E52B21" w14:textId="77777777" w:rsidR="00587444" w:rsidRPr="00587444" w:rsidRDefault="00587444" w:rsidP="00587444">
            <w:pPr>
              <w:tabs>
                <w:tab w:val="right" w:pos="1202"/>
              </w:tabs>
              <w:suppressAutoHyphens w:val="0"/>
              <w:autoSpaceDN/>
              <w:spacing w:line="340" w:lineRule="exact"/>
              <w:outlineLvl w:val="0"/>
              <w:rPr>
                <w:rFonts w:ascii="Arial" w:eastAsia="Calibri" w:hAnsi="Arial" w:cs="Arial"/>
                <w:bCs/>
                <w:sz w:val="20"/>
                <w:szCs w:val="20"/>
                <w:lang w:val="en-GB"/>
              </w:rPr>
            </w:pPr>
            <w:r w:rsidRPr="00587444">
              <w:rPr>
                <w:rFonts w:ascii="Arial" w:eastAsia="Calibri" w:hAnsi="Arial" w:cs="Arial"/>
                <w:bCs/>
                <w:sz w:val="20"/>
                <w:szCs w:val="20"/>
                <w:lang w:val="en-GB"/>
              </w:rPr>
              <w:t xml:space="preserve">Balance as of 1 January </w:t>
            </w:r>
          </w:p>
        </w:tc>
        <w:tc>
          <w:tcPr>
            <w:tcW w:w="672" w:type="pct"/>
            <w:tcBorders>
              <w:top w:val="nil"/>
              <w:left w:val="nil"/>
              <w:bottom w:val="nil"/>
              <w:right w:val="nil"/>
            </w:tcBorders>
            <w:shd w:val="clear" w:color="auto" w:fill="auto"/>
            <w:vAlign w:val="bottom"/>
          </w:tcPr>
          <w:p w14:paraId="79B46C06"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31,851</w:t>
            </w:r>
          </w:p>
        </w:tc>
        <w:tc>
          <w:tcPr>
            <w:tcW w:w="716" w:type="pct"/>
            <w:tcBorders>
              <w:top w:val="nil"/>
              <w:left w:val="nil"/>
              <w:bottom w:val="nil"/>
              <w:right w:val="nil"/>
            </w:tcBorders>
            <w:shd w:val="clear" w:color="auto" w:fill="auto"/>
            <w:vAlign w:val="bottom"/>
          </w:tcPr>
          <w:p w14:paraId="19A1169F"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34,536</w:t>
            </w:r>
          </w:p>
        </w:tc>
        <w:tc>
          <w:tcPr>
            <w:tcW w:w="735" w:type="pct"/>
            <w:tcBorders>
              <w:top w:val="nil"/>
              <w:left w:val="nil"/>
              <w:bottom w:val="nil"/>
              <w:right w:val="nil"/>
            </w:tcBorders>
            <w:shd w:val="clear" w:color="auto" w:fill="auto"/>
            <w:vAlign w:val="bottom"/>
          </w:tcPr>
          <w:p w14:paraId="53ED8FBA"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31,697</w:t>
            </w:r>
          </w:p>
        </w:tc>
        <w:tc>
          <w:tcPr>
            <w:tcW w:w="712" w:type="pct"/>
            <w:tcBorders>
              <w:top w:val="nil"/>
              <w:left w:val="nil"/>
              <w:bottom w:val="nil"/>
              <w:right w:val="nil"/>
            </w:tcBorders>
            <w:shd w:val="clear" w:color="000000" w:fill="auto"/>
            <w:vAlign w:val="bottom"/>
          </w:tcPr>
          <w:p w14:paraId="5BAFB4BA"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34,396</w:t>
            </w:r>
          </w:p>
        </w:tc>
      </w:tr>
      <w:tr w:rsidR="00587444" w:rsidRPr="00587444" w14:paraId="26D9B37C" w14:textId="77777777" w:rsidTr="00DD69E7">
        <w:trPr>
          <w:trHeight w:val="370"/>
        </w:trPr>
        <w:tc>
          <w:tcPr>
            <w:tcW w:w="2165" w:type="pct"/>
            <w:vAlign w:val="bottom"/>
          </w:tcPr>
          <w:p w14:paraId="04EB5A2F" w14:textId="77777777" w:rsidR="00587444" w:rsidRPr="00587444" w:rsidRDefault="00587444" w:rsidP="00587444">
            <w:pPr>
              <w:tabs>
                <w:tab w:val="right" w:pos="1202"/>
              </w:tabs>
              <w:suppressAutoHyphens w:val="0"/>
              <w:autoSpaceDN/>
              <w:outlineLvl w:val="0"/>
              <w:rPr>
                <w:rFonts w:ascii="Arial" w:eastAsia="Calibri" w:hAnsi="Arial" w:cs="Arial"/>
                <w:b/>
                <w:bCs/>
                <w:sz w:val="20"/>
                <w:szCs w:val="20"/>
                <w:lang w:val="en-GB"/>
              </w:rPr>
            </w:pPr>
            <w:r w:rsidRPr="00587444">
              <w:rPr>
                <w:rFonts w:ascii="Arial" w:eastAsia="Calibri" w:hAnsi="Arial" w:cs="Arial"/>
                <w:sz w:val="20"/>
                <w:szCs w:val="20"/>
                <w:lang w:val="en-GB"/>
              </w:rPr>
              <w:t>Net increase/(r</w:t>
            </w:r>
            <w:proofErr w:type="spellStart"/>
            <w:r w:rsidRPr="00587444">
              <w:rPr>
                <w:rFonts w:ascii="Arial" w:hAnsi="Arial" w:cs="Arial"/>
                <w:bCs/>
                <w:sz w:val="20"/>
                <w:szCs w:val="20"/>
              </w:rPr>
              <w:t>elease</w:t>
            </w:r>
            <w:proofErr w:type="spellEnd"/>
            <w:r w:rsidRPr="00587444">
              <w:rPr>
                <w:rFonts w:ascii="Arial" w:hAnsi="Arial" w:cs="Arial"/>
                <w:bCs/>
                <w:sz w:val="20"/>
                <w:szCs w:val="20"/>
              </w:rPr>
              <w:t>)</w:t>
            </w:r>
            <w:r w:rsidRPr="00587444">
              <w:rPr>
                <w:rFonts w:ascii="Arial" w:eastAsia="Calibri" w:hAnsi="Arial" w:cs="Arial"/>
                <w:sz w:val="20"/>
                <w:szCs w:val="20"/>
                <w:lang w:val="en-GB"/>
              </w:rPr>
              <w:t xml:space="preserve"> of loss allowances on other assets</w:t>
            </w:r>
          </w:p>
        </w:tc>
        <w:tc>
          <w:tcPr>
            <w:tcW w:w="672" w:type="pct"/>
            <w:tcBorders>
              <w:top w:val="nil"/>
              <w:left w:val="nil"/>
              <w:bottom w:val="nil"/>
              <w:right w:val="nil"/>
            </w:tcBorders>
            <w:shd w:val="clear" w:color="auto" w:fill="auto"/>
            <w:vAlign w:val="bottom"/>
          </w:tcPr>
          <w:p w14:paraId="53EF6828"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3,764</w:t>
            </w:r>
          </w:p>
        </w:tc>
        <w:tc>
          <w:tcPr>
            <w:tcW w:w="716" w:type="pct"/>
            <w:tcBorders>
              <w:top w:val="nil"/>
              <w:left w:val="nil"/>
              <w:bottom w:val="nil"/>
              <w:right w:val="nil"/>
            </w:tcBorders>
            <w:shd w:val="clear" w:color="auto" w:fill="auto"/>
            <w:vAlign w:val="bottom"/>
          </w:tcPr>
          <w:p w14:paraId="227BB162"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(2,542)</w:t>
            </w:r>
          </w:p>
        </w:tc>
        <w:tc>
          <w:tcPr>
            <w:tcW w:w="735" w:type="pct"/>
            <w:tcBorders>
              <w:top w:val="nil"/>
              <w:left w:val="nil"/>
              <w:bottom w:val="nil"/>
              <w:right w:val="nil"/>
            </w:tcBorders>
            <w:shd w:val="clear" w:color="auto" w:fill="auto"/>
            <w:vAlign w:val="bottom"/>
          </w:tcPr>
          <w:p w14:paraId="7E50B0D3"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3,731</w:t>
            </w:r>
          </w:p>
        </w:tc>
        <w:tc>
          <w:tcPr>
            <w:tcW w:w="712" w:type="pct"/>
            <w:tcBorders>
              <w:top w:val="nil"/>
              <w:left w:val="nil"/>
              <w:bottom w:val="nil"/>
              <w:right w:val="nil"/>
            </w:tcBorders>
            <w:shd w:val="clear" w:color="auto" w:fill="auto"/>
            <w:vAlign w:val="bottom"/>
          </w:tcPr>
          <w:p w14:paraId="789C7FA4"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(2,551)</w:t>
            </w:r>
          </w:p>
        </w:tc>
      </w:tr>
      <w:tr w:rsidR="00587444" w:rsidRPr="00587444" w14:paraId="52559DE3" w14:textId="77777777" w:rsidTr="00DD69E7">
        <w:trPr>
          <w:trHeight w:val="527"/>
        </w:trPr>
        <w:tc>
          <w:tcPr>
            <w:tcW w:w="2165" w:type="pct"/>
            <w:vAlign w:val="bottom"/>
          </w:tcPr>
          <w:p w14:paraId="08C76E19" w14:textId="77777777" w:rsidR="00587444" w:rsidRPr="00587444" w:rsidRDefault="00587444" w:rsidP="00587444">
            <w:pPr>
              <w:tabs>
                <w:tab w:val="right" w:pos="1202"/>
              </w:tabs>
              <w:suppressAutoHyphens w:val="0"/>
              <w:autoSpaceDN/>
              <w:outlineLvl w:val="0"/>
              <w:rPr>
                <w:rFonts w:ascii="Arial" w:eastAsia="Calibri" w:hAnsi="Arial" w:cs="Arial"/>
                <w:i/>
                <w:sz w:val="20"/>
                <w:szCs w:val="20"/>
                <w:lang w:val="en-GB"/>
              </w:rPr>
            </w:pPr>
            <w:r w:rsidRPr="00587444">
              <w:rPr>
                <w:rFonts w:ascii="Arial" w:eastAsia="Calibri" w:hAnsi="Arial" w:cs="Arial"/>
                <w:i/>
                <w:sz w:val="20"/>
                <w:szCs w:val="20"/>
                <w:lang w:val="en-GB"/>
              </w:rPr>
              <w:t>Total recognised through Income statement (Note 10)</w:t>
            </w:r>
          </w:p>
        </w:tc>
        <w:tc>
          <w:tcPr>
            <w:tcW w:w="672" w:type="pct"/>
            <w:tcBorders>
              <w:top w:val="single" w:sz="4" w:space="0" w:color="auto"/>
              <w:left w:val="nil"/>
              <w:bottom w:val="single" w:sz="4" w:space="0" w:color="auto"/>
              <w:right w:val="nil"/>
            </w:tcBorders>
            <w:shd w:val="clear" w:color="auto" w:fill="auto"/>
            <w:vAlign w:val="bottom"/>
          </w:tcPr>
          <w:p w14:paraId="65D76496"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i/>
                <w:sz w:val="20"/>
                <w:szCs w:val="20"/>
                <w:lang w:val="en-GB"/>
              </w:rPr>
            </w:pPr>
            <w:r w:rsidRPr="00587444">
              <w:rPr>
                <w:rFonts w:ascii="Arial" w:eastAsia="Calibri" w:hAnsi="Arial" w:cs="Arial"/>
                <w:bCs/>
                <w:i/>
                <w:color w:val="000000"/>
                <w:sz w:val="20"/>
                <w:szCs w:val="20"/>
                <w:lang w:val="hr-HR"/>
              </w:rPr>
              <w:t>3,764</w:t>
            </w:r>
          </w:p>
        </w:tc>
        <w:tc>
          <w:tcPr>
            <w:tcW w:w="716" w:type="pct"/>
            <w:tcBorders>
              <w:top w:val="single" w:sz="4" w:space="0" w:color="auto"/>
              <w:left w:val="nil"/>
              <w:bottom w:val="single" w:sz="4" w:space="0" w:color="auto"/>
              <w:right w:val="nil"/>
            </w:tcBorders>
            <w:shd w:val="clear" w:color="auto" w:fill="auto"/>
            <w:vAlign w:val="bottom"/>
          </w:tcPr>
          <w:p w14:paraId="133AAE7A"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i/>
                <w:sz w:val="20"/>
                <w:szCs w:val="20"/>
                <w:lang w:val="en-GB"/>
              </w:rPr>
            </w:pPr>
            <w:r w:rsidRPr="00587444">
              <w:rPr>
                <w:rFonts w:ascii="Arial" w:eastAsia="Calibri" w:hAnsi="Arial" w:cs="Arial"/>
                <w:bCs/>
                <w:i/>
                <w:color w:val="000000"/>
                <w:sz w:val="20"/>
                <w:szCs w:val="20"/>
                <w:lang w:val="hr-HR"/>
              </w:rPr>
              <w:t>(2,542)</w:t>
            </w:r>
          </w:p>
        </w:tc>
        <w:tc>
          <w:tcPr>
            <w:tcW w:w="735" w:type="pct"/>
            <w:tcBorders>
              <w:top w:val="single" w:sz="4" w:space="0" w:color="auto"/>
              <w:left w:val="nil"/>
              <w:bottom w:val="single" w:sz="4" w:space="0" w:color="auto"/>
              <w:right w:val="nil"/>
            </w:tcBorders>
            <w:shd w:val="clear" w:color="auto" w:fill="auto"/>
            <w:vAlign w:val="bottom"/>
          </w:tcPr>
          <w:p w14:paraId="4D444BF2"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i/>
                <w:sz w:val="20"/>
                <w:szCs w:val="20"/>
                <w:lang w:val="en-GB"/>
              </w:rPr>
            </w:pPr>
            <w:r w:rsidRPr="00587444">
              <w:rPr>
                <w:rFonts w:ascii="Arial" w:eastAsia="Calibri" w:hAnsi="Arial" w:cs="Arial"/>
                <w:bCs/>
                <w:i/>
                <w:color w:val="000000"/>
                <w:sz w:val="20"/>
                <w:szCs w:val="20"/>
                <w:lang w:val="hr-HR"/>
              </w:rPr>
              <w:t>3,731</w:t>
            </w:r>
          </w:p>
        </w:tc>
        <w:tc>
          <w:tcPr>
            <w:tcW w:w="712" w:type="pct"/>
            <w:tcBorders>
              <w:top w:val="single" w:sz="4" w:space="0" w:color="auto"/>
              <w:left w:val="nil"/>
              <w:bottom w:val="single" w:sz="4" w:space="0" w:color="auto"/>
              <w:right w:val="nil"/>
            </w:tcBorders>
            <w:shd w:val="clear" w:color="auto" w:fill="auto"/>
            <w:vAlign w:val="bottom"/>
          </w:tcPr>
          <w:p w14:paraId="502263A5"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i/>
                <w:sz w:val="20"/>
                <w:szCs w:val="20"/>
                <w:lang w:val="en-GB"/>
              </w:rPr>
            </w:pPr>
            <w:r w:rsidRPr="00587444">
              <w:rPr>
                <w:rFonts w:ascii="Arial" w:eastAsia="Calibri" w:hAnsi="Arial" w:cs="Arial"/>
                <w:bCs/>
                <w:i/>
                <w:color w:val="000000"/>
                <w:sz w:val="20"/>
                <w:szCs w:val="20"/>
                <w:lang w:val="hr-HR"/>
              </w:rPr>
              <w:t>(2,551)</w:t>
            </w:r>
          </w:p>
        </w:tc>
      </w:tr>
      <w:tr w:rsidR="00587444" w:rsidRPr="00587444" w14:paraId="38C9E70E" w14:textId="77777777" w:rsidTr="00DD69E7">
        <w:trPr>
          <w:trHeight w:val="370"/>
        </w:trPr>
        <w:tc>
          <w:tcPr>
            <w:tcW w:w="2165" w:type="pct"/>
            <w:vAlign w:val="bottom"/>
          </w:tcPr>
          <w:p w14:paraId="3996EB5A" w14:textId="77777777" w:rsidR="00587444" w:rsidRPr="00587444" w:rsidRDefault="00587444" w:rsidP="00587444">
            <w:pPr>
              <w:tabs>
                <w:tab w:val="right" w:pos="1202"/>
              </w:tabs>
              <w:suppressAutoHyphens w:val="0"/>
              <w:autoSpaceDN/>
              <w:spacing w:line="340" w:lineRule="exact"/>
              <w:outlineLvl w:val="0"/>
              <w:rPr>
                <w:rFonts w:ascii="Arial" w:eastAsia="Calibri" w:hAnsi="Arial" w:cs="Arial"/>
                <w:i/>
                <w:sz w:val="20"/>
                <w:szCs w:val="20"/>
                <w:lang w:val="en-GB"/>
              </w:rPr>
            </w:pPr>
            <w:r w:rsidRPr="00587444">
              <w:rPr>
                <w:rFonts w:ascii="Arial" w:eastAsia="Calibri" w:hAnsi="Arial" w:cs="Arial"/>
                <w:sz w:val="20"/>
                <w:szCs w:val="20"/>
                <w:lang w:val="en-GB"/>
              </w:rPr>
              <w:t>Write-offs</w:t>
            </w:r>
          </w:p>
        </w:tc>
        <w:tc>
          <w:tcPr>
            <w:tcW w:w="672" w:type="pct"/>
            <w:tcBorders>
              <w:top w:val="single" w:sz="4" w:space="0" w:color="auto"/>
              <w:left w:val="nil"/>
              <w:right w:val="nil"/>
            </w:tcBorders>
            <w:shd w:val="clear" w:color="auto" w:fill="auto"/>
            <w:vAlign w:val="bottom"/>
          </w:tcPr>
          <w:p w14:paraId="6DCFA606"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(47)</w:t>
            </w:r>
          </w:p>
        </w:tc>
        <w:tc>
          <w:tcPr>
            <w:tcW w:w="716" w:type="pct"/>
            <w:tcBorders>
              <w:top w:val="single" w:sz="4" w:space="0" w:color="auto"/>
              <w:left w:val="nil"/>
              <w:right w:val="nil"/>
            </w:tcBorders>
            <w:shd w:val="clear" w:color="auto" w:fill="auto"/>
            <w:vAlign w:val="bottom"/>
          </w:tcPr>
          <w:p w14:paraId="52211536"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(14)</w:t>
            </w:r>
          </w:p>
        </w:tc>
        <w:tc>
          <w:tcPr>
            <w:tcW w:w="735" w:type="pct"/>
            <w:tcBorders>
              <w:top w:val="single" w:sz="4" w:space="0" w:color="auto"/>
              <w:left w:val="nil"/>
              <w:right w:val="nil"/>
            </w:tcBorders>
            <w:shd w:val="clear" w:color="auto" w:fill="auto"/>
            <w:vAlign w:val="bottom"/>
          </w:tcPr>
          <w:p w14:paraId="5A379B26"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(35)</w:t>
            </w:r>
          </w:p>
        </w:tc>
        <w:tc>
          <w:tcPr>
            <w:tcW w:w="712" w:type="pct"/>
            <w:tcBorders>
              <w:top w:val="single" w:sz="4" w:space="0" w:color="auto"/>
              <w:left w:val="nil"/>
              <w:right w:val="nil"/>
            </w:tcBorders>
            <w:shd w:val="clear" w:color="auto" w:fill="auto"/>
            <w:vAlign w:val="bottom"/>
          </w:tcPr>
          <w:p w14:paraId="2247D52D"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(2)</w:t>
            </w:r>
          </w:p>
        </w:tc>
      </w:tr>
      <w:tr w:rsidR="00587444" w:rsidRPr="00587444" w14:paraId="2E55B88E" w14:textId="77777777" w:rsidTr="00DD69E7">
        <w:trPr>
          <w:trHeight w:val="370"/>
        </w:trPr>
        <w:tc>
          <w:tcPr>
            <w:tcW w:w="2165" w:type="pct"/>
            <w:vAlign w:val="bottom"/>
          </w:tcPr>
          <w:p w14:paraId="34B1D768" w14:textId="77777777" w:rsidR="00587444" w:rsidRPr="00587444" w:rsidRDefault="00587444" w:rsidP="00587444">
            <w:pPr>
              <w:tabs>
                <w:tab w:val="right" w:pos="1202"/>
              </w:tabs>
              <w:suppressAutoHyphens w:val="0"/>
              <w:autoSpaceDN/>
              <w:spacing w:line="340" w:lineRule="exact"/>
              <w:outlineLvl w:val="0"/>
              <w:rPr>
                <w:rFonts w:ascii="Arial" w:eastAsia="Calibri" w:hAnsi="Arial" w:cs="Arial"/>
                <w:sz w:val="20"/>
                <w:szCs w:val="20"/>
                <w:lang w:val="en-GB"/>
              </w:rPr>
            </w:pPr>
            <w:r w:rsidRPr="00587444">
              <w:rPr>
                <w:rFonts w:ascii="Arial" w:eastAsia="Calibri" w:hAnsi="Arial" w:cs="Arial"/>
                <w:sz w:val="20"/>
                <w:szCs w:val="20"/>
                <w:lang w:val="en-GB"/>
              </w:rPr>
              <w:t>Transfer to off-balance sheet records</w:t>
            </w:r>
          </w:p>
        </w:tc>
        <w:tc>
          <w:tcPr>
            <w:tcW w:w="672" w:type="pct"/>
            <w:tcBorders>
              <w:left w:val="nil"/>
              <w:right w:val="nil"/>
            </w:tcBorders>
            <w:shd w:val="clear" w:color="auto" w:fill="auto"/>
            <w:vAlign w:val="bottom"/>
          </w:tcPr>
          <w:p w14:paraId="25A18A06"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color w:val="000000"/>
                <w:sz w:val="20"/>
                <w:szCs w:val="20"/>
                <w:lang w:val="hr-HR"/>
              </w:rPr>
            </w:pPr>
            <w:r w:rsidRPr="00587444">
              <w:rPr>
                <w:rFonts w:ascii="Arial" w:eastAsia="Calibri" w:hAnsi="Arial" w:cs="Arial"/>
                <w:color w:val="000000"/>
                <w:sz w:val="20"/>
                <w:szCs w:val="20"/>
                <w:lang w:val="hr-HR"/>
              </w:rPr>
              <w:t>-</w:t>
            </w:r>
          </w:p>
        </w:tc>
        <w:tc>
          <w:tcPr>
            <w:tcW w:w="716" w:type="pct"/>
            <w:tcBorders>
              <w:left w:val="nil"/>
              <w:right w:val="nil"/>
            </w:tcBorders>
            <w:shd w:val="clear" w:color="auto" w:fill="auto"/>
            <w:vAlign w:val="bottom"/>
          </w:tcPr>
          <w:p w14:paraId="4138C878"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color w:val="000000"/>
                <w:sz w:val="20"/>
                <w:szCs w:val="20"/>
                <w:lang w:val="hr-HR"/>
              </w:rPr>
            </w:pPr>
            <w:r w:rsidRPr="00587444">
              <w:rPr>
                <w:rFonts w:ascii="Arial" w:eastAsia="Calibri" w:hAnsi="Arial" w:cs="Arial"/>
                <w:color w:val="000000"/>
                <w:sz w:val="20"/>
                <w:szCs w:val="20"/>
                <w:lang w:val="hr-HR"/>
              </w:rPr>
              <w:t>(149)</w:t>
            </w:r>
          </w:p>
        </w:tc>
        <w:tc>
          <w:tcPr>
            <w:tcW w:w="735" w:type="pct"/>
            <w:tcBorders>
              <w:left w:val="nil"/>
              <w:right w:val="nil"/>
            </w:tcBorders>
            <w:shd w:val="clear" w:color="auto" w:fill="auto"/>
            <w:vAlign w:val="bottom"/>
          </w:tcPr>
          <w:p w14:paraId="3A6F7797"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color w:val="000000"/>
                <w:sz w:val="20"/>
                <w:szCs w:val="20"/>
                <w:lang w:val="hr-HR"/>
              </w:rPr>
            </w:pPr>
            <w:r w:rsidRPr="00587444">
              <w:rPr>
                <w:rFonts w:ascii="Arial" w:eastAsia="Calibri" w:hAnsi="Arial" w:cs="Arial"/>
                <w:color w:val="000000"/>
                <w:sz w:val="20"/>
                <w:szCs w:val="20"/>
                <w:lang w:val="hr-HR"/>
              </w:rPr>
              <w:t>-</w:t>
            </w:r>
          </w:p>
        </w:tc>
        <w:tc>
          <w:tcPr>
            <w:tcW w:w="712" w:type="pct"/>
            <w:tcBorders>
              <w:left w:val="nil"/>
              <w:right w:val="nil"/>
            </w:tcBorders>
            <w:shd w:val="clear" w:color="auto" w:fill="auto"/>
            <w:vAlign w:val="bottom"/>
          </w:tcPr>
          <w:p w14:paraId="614BA715"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color w:val="000000"/>
                <w:sz w:val="20"/>
                <w:szCs w:val="20"/>
                <w:lang w:val="hr-HR"/>
              </w:rPr>
            </w:pPr>
            <w:r w:rsidRPr="00587444">
              <w:rPr>
                <w:rFonts w:ascii="Arial" w:eastAsia="Calibri" w:hAnsi="Arial" w:cs="Arial"/>
                <w:color w:val="000000"/>
                <w:sz w:val="20"/>
                <w:szCs w:val="20"/>
                <w:lang w:val="hr-HR"/>
              </w:rPr>
              <w:t>(149)</w:t>
            </w:r>
          </w:p>
        </w:tc>
      </w:tr>
      <w:tr w:rsidR="00587444" w:rsidRPr="00587444" w14:paraId="60474B00" w14:textId="77777777" w:rsidTr="00DD69E7">
        <w:trPr>
          <w:trHeight w:val="370"/>
        </w:trPr>
        <w:tc>
          <w:tcPr>
            <w:tcW w:w="2165" w:type="pct"/>
            <w:vAlign w:val="bottom"/>
          </w:tcPr>
          <w:p w14:paraId="2995F6F4" w14:textId="77777777" w:rsidR="00587444" w:rsidRPr="00587444" w:rsidRDefault="00587444" w:rsidP="00587444">
            <w:pPr>
              <w:tabs>
                <w:tab w:val="right" w:pos="1202"/>
              </w:tabs>
              <w:suppressAutoHyphens w:val="0"/>
              <w:autoSpaceDN/>
              <w:spacing w:line="340" w:lineRule="exact"/>
              <w:outlineLvl w:val="0"/>
              <w:rPr>
                <w:rFonts w:ascii="Arial" w:eastAsia="Calibri" w:hAnsi="Arial" w:cs="Arial"/>
                <w:sz w:val="20"/>
                <w:szCs w:val="20"/>
                <w:lang w:val="en-GB"/>
              </w:rPr>
            </w:pPr>
            <w:r w:rsidRPr="00587444">
              <w:rPr>
                <w:rFonts w:ascii="Arial" w:eastAsia="Calibri" w:hAnsi="Arial" w:cs="Arial"/>
                <w:sz w:val="20"/>
                <w:szCs w:val="20"/>
                <w:lang w:val="en-GB"/>
              </w:rPr>
              <w:t>Acquisition of immovable property</w:t>
            </w:r>
          </w:p>
        </w:tc>
        <w:tc>
          <w:tcPr>
            <w:tcW w:w="672" w:type="pct"/>
            <w:tcBorders>
              <w:left w:val="nil"/>
              <w:right w:val="nil"/>
            </w:tcBorders>
            <w:shd w:val="clear" w:color="auto" w:fill="auto"/>
            <w:vAlign w:val="bottom"/>
          </w:tcPr>
          <w:p w14:paraId="792FC089"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w:t>
            </w:r>
          </w:p>
        </w:tc>
        <w:tc>
          <w:tcPr>
            <w:tcW w:w="716" w:type="pct"/>
            <w:tcBorders>
              <w:left w:val="nil"/>
              <w:right w:val="nil"/>
            </w:tcBorders>
            <w:shd w:val="clear" w:color="auto" w:fill="auto"/>
            <w:vAlign w:val="bottom"/>
          </w:tcPr>
          <w:p w14:paraId="37FA3611"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w:t>
            </w:r>
          </w:p>
        </w:tc>
        <w:tc>
          <w:tcPr>
            <w:tcW w:w="735" w:type="pct"/>
            <w:tcBorders>
              <w:left w:val="nil"/>
              <w:right w:val="nil"/>
            </w:tcBorders>
            <w:shd w:val="clear" w:color="auto" w:fill="auto"/>
            <w:vAlign w:val="bottom"/>
          </w:tcPr>
          <w:p w14:paraId="14F8EC0A"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w:t>
            </w:r>
          </w:p>
        </w:tc>
        <w:tc>
          <w:tcPr>
            <w:tcW w:w="712" w:type="pct"/>
            <w:tcBorders>
              <w:left w:val="nil"/>
              <w:right w:val="nil"/>
            </w:tcBorders>
            <w:shd w:val="clear" w:color="auto" w:fill="auto"/>
            <w:vAlign w:val="bottom"/>
          </w:tcPr>
          <w:p w14:paraId="2C840883"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w:t>
            </w:r>
          </w:p>
        </w:tc>
      </w:tr>
      <w:tr w:rsidR="00587444" w:rsidRPr="00587444" w14:paraId="274E6BA3" w14:textId="77777777" w:rsidTr="00DD69E7">
        <w:trPr>
          <w:trHeight w:val="370"/>
        </w:trPr>
        <w:tc>
          <w:tcPr>
            <w:tcW w:w="2165" w:type="pct"/>
            <w:vAlign w:val="bottom"/>
          </w:tcPr>
          <w:p w14:paraId="6CF18D10" w14:textId="77777777" w:rsidR="00F13492" w:rsidRDefault="00587444" w:rsidP="00587444">
            <w:pPr>
              <w:tabs>
                <w:tab w:val="right" w:pos="1202"/>
              </w:tabs>
              <w:suppressAutoHyphens w:val="0"/>
              <w:autoSpaceDN/>
              <w:outlineLvl w:val="0"/>
              <w:rPr>
                <w:rFonts w:ascii="Arial" w:eastAsia="Calibri" w:hAnsi="Arial" w:cs="Arial"/>
                <w:sz w:val="20"/>
                <w:szCs w:val="20"/>
                <w:lang w:val="en-GB"/>
              </w:rPr>
            </w:pPr>
            <w:r w:rsidRPr="00587444">
              <w:rPr>
                <w:rFonts w:ascii="Arial" w:eastAsia="Calibri" w:hAnsi="Arial" w:cs="Arial"/>
                <w:sz w:val="20"/>
                <w:szCs w:val="20"/>
                <w:lang w:val="en-GB"/>
              </w:rPr>
              <w:t xml:space="preserve">Net foreign exchange gain/loss on loss </w:t>
            </w:r>
          </w:p>
          <w:p w14:paraId="2A152ECB" w14:textId="6619201B" w:rsidR="00587444" w:rsidRPr="00587444" w:rsidRDefault="00587444" w:rsidP="00587444">
            <w:pPr>
              <w:tabs>
                <w:tab w:val="right" w:pos="1202"/>
              </w:tabs>
              <w:suppressAutoHyphens w:val="0"/>
              <w:autoSpaceDN/>
              <w:outlineLvl w:val="0"/>
              <w:rPr>
                <w:rFonts w:ascii="Arial" w:eastAsia="Calibri" w:hAnsi="Arial" w:cs="Arial"/>
                <w:sz w:val="20"/>
                <w:szCs w:val="20"/>
                <w:lang w:val="en-GB"/>
              </w:rPr>
            </w:pPr>
            <w:r w:rsidRPr="00587444">
              <w:rPr>
                <w:rFonts w:ascii="Arial" w:eastAsia="Calibri" w:hAnsi="Arial" w:cs="Arial"/>
                <w:sz w:val="20"/>
                <w:szCs w:val="20"/>
                <w:lang w:val="en-GB"/>
              </w:rPr>
              <w:t>allowances</w:t>
            </w:r>
          </w:p>
        </w:tc>
        <w:tc>
          <w:tcPr>
            <w:tcW w:w="672" w:type="pct"/>
            <w:tcBorders>
              <w:left w:val="nil"/>
              <w:right w:val="nil"/>
            </w:tcBorders>
            <w:shd w:val="clear" w:color="auto" w:fill="auto"/>
            <w:vAlign w:val="bottom"/>
          </w:tcPr>
          <w:p w14:paraId="09B0FBE3"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(216)</w:t>
            </w:r>
          </w:p>
        </w:tc>
        <w:tc>
          <w:tcPr>
            <w:tcW w:w="716" w:type="pct"/>
            <w:tcBorders>
              <w:left w:val="nil"/>
              <w:right w:val="nil"/>
            </w:tcBorders>
            <w:shd w:val="clear" w:color="auto" w:fill="auto"/>
            <w:vAlign w:val="bottom"/>
          </w:tcPr>
          <w:p w14:paraId="65BBFAA5"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3</w:t>
            </w:r>
          </w:p>
        </w:tc>
        <w:tc>
          <w:tcPr>
            <w:tcW w:w="735" w:type="pct"/>
            <w:tcBorders>
              <w:left w:val="nil"/>
              <w:right w:val="nil"/>
            </w:tcBorders>
            <w:shd w:val="clear" w:color="auto" w:fill="auto"/>
            <w:vAlign w:val="bottom"/>
          </w:tcPr>
          <w:p w14:paraId="778B7B35"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(216)</w:t>
            </w:r>
          </w:p>
        </w:tc>
        <w:tc>
          <w:tcPr>
            <w:tcW w:w="712" w:type="pct"/>
            <w:tcBorders>
              <w:left w:val="nil"/>
              <w:right w:val="nil"/>
            </w:tcBorders>
            <w:shd w:val="clear" w:color="auto" w:fill="auto"/>
            <w:vAlign w:val="bottom"/>
          </w:tcPr>
          <w:p w14:paraId="3D029657"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3</w:t>
            </w:r>
          </w:p>
        </w:tc>
      </w:tr>
      <w:tr w:rsidR="00587444" w:rsidRPr="00587444" w14:paraId="0CE74163" w14:textId="77777777" w:rsidTr="00DD69E7">
        <w:trPr>
          <w:trHeight w:val="370"/>
        </w:trPr>
        <w:tc>
          <w:tcPr>
            <w:tcW w:w="2165" w:type="pct"/>
            <w:vAlign w:val="bottom"/>
          </w:tcPr>
          <w:p w14:paraId="06841280" w14:textId="77777777" w:rsidR="00587444" w:rsidRPr="00587444" w:rsidRDefault="00587444" w:rsidP="00587444">
            <w:pPr>
              <w:tabs>
                <w:tab w:val="right" w:pos="1202"/>
              </w:tabs>
              <w:suppressAutoHyphens w:val="0"/>
              <w:autoSpaceDN/>
              <w:outlineLvl w:val="0"/>
              <w:rPr>
                <w:rFonts w:ascii="Arial" w:eastAsia="Calibri" w:hAnsi="Arial" w:cs="Arial"/>
                <w:sz w:val="20"/>
                <w:szCs w:val="20"/>
                <w:lang w:val="en-GB"/>
              </w:rPr>
            </w:pPr>
            <w:r w:rsidRPr="00587444">
              <w:rPr>
                <w:rFonts w:ascii="Arial" w:eastAsia="Calibri" w:hAnsi="Arial" w:cs="Arial"/>
                <w:sz w:val="20"/>
                <w:szCs w:val="20"/>
                <w:lang w:val="en-GB"/>
              </w:rPr>
              <w:t>Other adjustments</w:t>
            </w:r>
          </w:p>
        </w:tc>
        <w:tc>
          <w:tcPr>
            <w:tcW w:w="672" w:type="pct"/>
            <w:tcBorders>
              <w:left w:val="nil"/>
              <w:bottom w:val="single" w:sz="4" w:space="0" w:color="auto"/>
              <w:right w:val="nil"/>
            </w:tcBorders>
            <w:shd w:val="clear" w:color="auto" w:fill="auto"/>
            <w:vAlign w:val="bottom"/>
          </w:tcPr>
          <w:p w14:paraId="13C67A84"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(4)</w:t>
            </w:r>
          </w:p>
        </w:tc>
        <w:tc>
          <w:tcPr>
            <w:tcW w:w="716" w:type="pct"/>
            <w:tcBorders>
              <w:left w:val="nil"/>
              <w:bottom w:val="single" w:sz="4" w:space="0" w:color="auto"/>
              <w:right w:val="nil"/>
            </w:tcBorders>
            <w:shd w:val="clear" w:color="auto" w:fill="auto"/>
            <w:vAlign w:val="bottom"/>
          </w:tcPr>
          <w:p w14:paraId="4056CE67"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17</w:t>
            </w:r>
          </w:p>
        </w:tc>
        <w:tc>
          <w:tcPr>
            <w:tcW w:w="735" w:type="pct"/>
            <w:tcBorders>
              <w:left w:val="nil"/>
              <w:bottom w:val="single" w:sz="4" w:space="0" w:color="auto"/>
              <w:right w:val="nil"/>
            </w:tcBorders>
            <w:shd w:val="clear" w:color="auto" w:fill="auto"/>
            <w:vAlign w:val="bottom"/>
          </w:tcPr>
          <w:p w14:paraId="5D3924F3"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(2)</w:t>
            </w:r>
          </w:p>
        </w:tc>
        <w:tc>
          <w:tcPr>
            <w:tcW w:w="712" w:type="pct"/>
            <w:tcBorders>
              <w:left w:val="nil"/>
              <w:bottom w:val="single" w:sz="4" w:space="0" w:color="auto"/>
              <w:right w:val="nil"/>
            </w:tcBorders>
            <w:shd w:val="clear" w:color="auto" w:fill="auto"/>
            <w:vAlign w:val="bottom"/>
          </w:tcPr>
          <w:p w14:paraId="744B6ED1"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Cs/>
                <w:sz w:val="20"/>
                <w:szCs w:val="20"/>
                <w:lang w:val="en-GB"/>
              </w:rPr>
            </w:pPr>
            <w:r w:rsidRPr="00587444">
              <w:rPr>
                <w:rFonts w:ascii="Arial" w:eastAsia="Calibri" w:hAnsi="Arial" w:cs="Arial"/>
                <w:color w:val="000000"/>
                <w:sz w:val="20"/>
                <w:szCs w:val="20"/>
                <w:lang w:val="hr-HR"/>
              </w:rPr>
              <w:t>-</w:t>
            </w:r>
          </w:p>
        </w:tc>
      </w:tr>
      <w:tr w:rsidR="00587444" w:rsidRPr="00587444" w14:paraId="2143987A" w14:textId="77777777" w:rsidTr="00DD69E7">
        <w:trPr>
          <w:trHeight w:val="367"/>
        </w:trPr>
        <w:tc>
          <w:tcPr>
            <w:tcW w:w="2165" w:type="pct"/>
            <w:vAlign w:val="bottom"/>
          </w:tcPr>
          <w:p w14:paraId="1EC43760" w14:textId="77777777" w:rsidR="00587444" w:rsidRPr="00587444" w:rsidRDefault="00587444" w:rsidP="00587444">
            <w:pPr>
              <w:tabs>
                <w:tab w:val="right" w:pos="1202"/>
              </w:tabs>
              <w:suppressAutoHyphens w:val="0"/>
              <w:autoSpaceDN/>
              <w:outlineLvl w:val="0"/>
              <w:rPr>
                <w:rFonts w:ascii="Arial" w:eastAsia="Calibri" w:hAnsi="Arial" w:cs="Arial"/>
                <w:b/>
                <w:sz w:val="20"/>
                <w:szCs w:val="20"/>
                <w:lang w:val="en-GB"/>
              </w:rPr>
            </w:pPr>
            <w:r w:rsidRPr="00587444">
              <w:rPr>
                <w:rFonts w:ascii="Arial" w:eastAsia="Calibri" w:hAnsi="Arial" w:cs="Arial"/>
                <w:b/>
                <w:sz w:val="20"/>
                <w:szCs w:val="20"/>
                <w:lang w:val="en-GB"/>
              </w:rPr>
              <w:t>Balance at the end of the reporting period</w:t>
            </w:r>
          </w:p>
        </w:tc>
        <w:tc>
          <w:tcPr>
            <w:tcW w:w="672" w:type="pct"/>
            <w:tcBorders>
              <w:top w:val="single" w:sz="4" w:space="0" w:color="auto"/>
              <w:left w:val="nil"/>
              <w:bottom w:val="single" w:sz="12" w:space="0" w:color="auto"/>
              <w:right w:val="nil"/>
            </w:tcBorders>
            <w:shd w:val="clear" w:color="auto" w:fill="auto"/>
            <w:vAlign w:val="bottom"/>
          </w:tcPr>
          <w:p w14:paraId="688D317E"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
                <w:bCs/>
                <w:sz w:val="20"/>
                <w:szCs w:val="20"/>
                <w:lang w:val="en-GB"/>
              </w:rPr>
            </w:pPr>
            <w:r w:rsidRPr="00587444">
              <w:rPr>
                <w:rFonts w:ascii="Arial" w:eastAsia="Calibri" w:hAnsi="Arial" w:cs="Arial"/>
                <w:b/>
                <w:color w:val="000000"/>
                <w:sz w:val="20"/>
                <w:szCs w:val="20"/>
                <w:lang w:val="hr-HR"/>
              </w:rPr>
              <w:t>35,348</w:t>
            </w:r>
          </w:p>
        </w:tc>
        <w:tc>
          <w:tcPr>
            <w:tcW w:w="716" w:type="pct"/>
            <w:tcBorders>
              <w:top w:val="single" w:sz="4" w:space="0" w:color="auto"/>
              <w:left w:val="nil"/>
              <w:bottom w:val="single" w:sz="12" w:space="0" w:color="auto"/>
              <w:right w:val="nil"/>
            </w:tcBorders>
            <w:shd w:val="clear" w:color="auto" w:fill="auto"/>
            <w:vAlign w:val="bottom"/>
          </w:tcPr>
          <w:p w14:paraId="0BB0A3E4"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
                <w:bCs/>
                <w:sz w:val="20"/>
                <w:szCs w:val="20"/>
                <w:lang w:val="en-GB"/>
              </w:rPr>
            </w:pPr>
            <w:r w:rsidRPr="00587444">
              <w:rPr>
                <w:rFonts w:ascii="Arial" w:eastAsia="Calibri" w:hAnsi="Arial" w:cs="Arial"/>
                <w:b/>
                <w:color w:val="000000"/>
                <w:sz w:val="20"/>
                <w:szCs w:val="20"/>
                <w:lang w:val="hr-HR"/>
              </w:rPr>
              <w:t>31,851</w:t>
            </w:r>
          </w:p>
        </w:tc>
        <w:tc>
          <w:tcPr>
            <w:tcW w:w="735" w:type="pct"/>
            <w:tcBorders>
              <w:top w:val="single" w:sz="4" w:space="0" w:color="auto"/>
              <w:left w:val="nil"/>
              <w:bottom w:val="single" w:sz="12" w:space="0" w:color="auto"/>
              <w:right w:val="nil"/>
            </w:tcBorders>
            <w:shd w:val="clear" w:color="auto" w:fill="auto"/>
            <w:vAlign w:val="bottom"/>
          </w:tcPr>
          <w:p w14:paraId="128C11A3"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
                <w:bCs/>
                <w:sz w:val="20"/>
                <w:szCs w:val="20"/>
                <w:lang w:val="en-GB"/>
              </w:rPr>
            </w:pPr>
            <w:r w:rsidRPr="00587444">
              <w:rPr>
                <w:rFonts w:ascii="Arial" w:eastAsia="Calibri" w:hAnsi="Arial" w:cs="Arial"/>
                <w:b/>
                <w:color w:val="000000"/>
                <w:sz w:val="20"/>
                <w:szCs w:val="20"/>
                <w:lang w:val="hr-HR"/>
              </w:rPr>
              <w:t>35,175</w:t>
            </w:r>
          </w:p>
        </w:tc>
        <w:tc>
          <w:tcPr>
            <w:tcW w:w="712" w:type="pct"/>
            <w:tcBorders>
              <w:top w:val="single" w:sz="4" w:space="0" w:color="auto"/>
              <w:left w:val="nil"/>
              <w:bottom w:val="single" w:sz="12" w:space="0" w:color="auto"/>
              <w:right w:val="nil"/>
            </w:tcBorders>
            <w:shd w:val="clear" w:color="auto" w:fill="auto"/>
            <w:vAlign w:val="bottom"/>
          </w:tcPr>
          <w:p w14:paraId="228D4959" w14:textId="77777777" w:rsidR="00587444" w:rsidRPr="00587444" w:rsidRDefault="00587444" w:rsidP="00587444">
            <w:pPr>
              <w:tabs>
                <w:tab w:val="right" w:pos="1202"/>
              </w:tabs>
              <w:suppressAutoHyphens w:val="0"/>
              <w:autoSpaceDN/>
              <w:spacing w:line="340" w:lineRule="exact"/>
              <w:jc w:val="right"/>
              <w:outlineLvl w:val="0"/>
              <w:rPr>
                <w:rFonts w:ascii="Arial" w:eastAsia="Calibri" w:hAnsi="Arial" w:cs="Arial"/>
                <w:b/>
                <w:bCs/>
                <w:sz w:val="20"/>
                <w:szCs w:val="20"/>
                <w:lang w:val="en-GB"/>
              </w:rPr>
            </w:pPr>
            <w:r w:rsidRPr="00587444">
              <w:rPr>
                <w:rFonts w:ascii="Arial" w:eastAsia="Calibri" w:hAnsi="Arial" w:cs="Arial"/>
                <w:b/>
                <w:color w:val="000000"/>
                <w:sz w:val="20"/>
                <w:szCs w:val="20"/>
                <w:lang w:val="hr-HR"/>
              </w:rPr>
              <w:t>31,697</w:t>
            </w:r>
          </w:p>
        </w:tc>
      </w:tr>
    </w:tbl>
    <w:p w14:paraId="393D3C30" w14:textId="77777777" w:rsidR="00587444" w:rsidRPr="00587444" w:rsidRDefault="00587444" w:rsidP="00587444">
      <w:pPr>
        <w:keepNext/>
        <w:suppressAutoHyphens w:val="0"/>
        <w:autoSpaceDN/>
        <w:jc w:val="both"/>
        <w:rPr>
          <w:rFonts w:ascii="Arial" w:hAnsi="Arial" w:cs="Arial"/>
          <w:sz w:val="20"/>
          <w:szCs w:val="20"/>
          <w:lang w:val="en-GB"/>
        </w:rPr>
      </w:pPr>
    </w:p>
    <w:p w14:paraId="7D3ADC4B" w14:textId="77777777" w:rsidR="00587444" w:rsidRPr="00587444" w:rsidRDefault="00587444" w:rsidP="00F36511">
      <w:pPr>
        <w:keepNext/>
        <w:suppressAutoHyphens w:val="0"/>
        <w:autoSpaceDN/>
        <w:rPr>
          <w:rFonts w:ascii="Arial" w:hAnsi="Arial" w:cs="Arial"/>
          <w:bCs/>
          <w:sz w:val="20"/>
          <w:szCs w:val="20"/>
          <w:lang w:val="en-GB"/>
        </w:rPr>
        <w:sectPr w:rsidR="00587444" w:rsidRPr="00587444" w:rsidSect="00DD69E7">
          <w:pgSz w:w="11907" w:h="16840" w:code="9"/>
          <w:pgMar w:top="1418" w:right="1134" w:bottom="1134" w:left="1418" w:header="851" w:footer="851" w:gutter="0"/>
          <w:cols w:space="720"/>
          <w:noEndnote/>
        </w:sectPr>
      </w:pPr>
      <w:r w:rsidRPr="00587444">
        <w:rPr>
          <w:rFonts w:ascii="Arial" w:hAnsi="Arial" w:cs="Arial"/>
          <w:bCs/>
          <w:sz w:val="20"/>
          <w:szCs w:val="20"/>
          <w:lang w:val="en-GB"/>
        </w:rPr>
        <w:t>Net foreign exchange gain/loss on loss allowances are shown within net gains/(losses) from financial activities in the Income Statement.</w:t>
      </w:r>
    </w:p>
    <w:p w14:paraId="562227CD"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75DB55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22.</w:t>
      </w:r>
      <w:r w:rsidRPr="00587444">
        <w:rPr>
          <w:rFonts w:ascii="Arial" w:hAnsi="Arial" w:cs="Arial"/>
          <w:b/>
          <w:bCs/>
          <w:sz w:val="20"/>
          <w:szCs w:val="20"/>
          <w:lang w:val="en-GB"/>
        </w:rPr>
        <w:tab/>
        <w:t>Deposits from customers</w:t>
      </w:r>
    </w:p>
    <w:p w14:paraId="6103C57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tbl>
      <w:tblPr>
        <w:tblW w:w="5000" w:type="pct"/>
        <w:tblInd w:w="-142" w:type="dxa"/>
        <w:tblLayout w:type="fixed"/>
        <w:tblCellMar>
          <w:left w:w="119" w:type="dxa"/>
          <w:right w:w="119" w:type="dxa"/>
        </w:tblCellMar>
        <w:tblLook w:val="0000" w:firstRow="0" w:lastRow="0" w:firstColumn="0" w:lastColumn="0" w:noHBand="0" w:noVBand="0"/>
      </w:tblPr>
      <w:tblGrid>
        <w:gridCol w:w="5815"/>
        <w:gridCol w:w="1888"/>
        <w:gridCol w:w="1890"/>
      </w:tblGrid>
      <w:tr w:rsidR="00587444" w:rsidRPr="00587444" w14:paraId="5E6DDFE5" w14:textId="77777777" w:rsidTr="00DD69E7">
        <w:trPr>
          <w:trHeight w:val="245"/>
        </w:trPr>
        <w:tc>
          <w:tcPr>
            <w:tcW w:w="3031" w:type="pct"/>
          </w:tcPr>
          <w:p w14:paraId="68BA6846" w14:textId="77777777" w:rsidR="00587444" w:rsidRPr="00587444" w:rsidRDefault="00587444" w:rsidP="00587444">
            <w:pPr>
              <w:tabs>
                <w:tab w:val="left" w:pos="-1962"/>
              </w:tabs>
              <w:autoSpaceDN/>
              <w:rPr>
                <w:rFonts w:ascii="Arial" w:hAnsi="Arial" w:cs="Arial"/>
                <w:spacing w:val="-3"/>
                <w:sz w:val="20"/>
                <w:szCs w:val="20"/>
                <w:lang w:val="en-GB"/>
              </w:rPr>
            </w:pPr>
          </w:p>
        </w:tc>
        <w:tc>
          <w:tcPr>
            <w:tcW w:w="1969" w:type="pct"/>
            <w:gridSpan w:val="2"/>
          </w:tcPr>
          <w:p w14:paraId="523F38A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888" w:name="_Toc4059888"/>
            <w:r w:rsidRPr="00587444">
              <w:rPr>
                <w:rFonts w:ascii="Arial" w:hAnsi="Arial" w:cs="Arial"/>
                <w:b/>
                <w:sz w:val="20"/>
                <w:szCs w:val="20"/>
                <w:lang w:val="en-GB"/>
              </w:rPr>
              <w:t>Group and Bank</w:t>
            </w:r>
            <w:bookmarkEnd w:id="888"/>
          </w:p>
        </w:tc>
      </w:tr>
      <w:tr w:rsidR="00587444" w:rsidRPr="00587444" w14:paraId="02132D2C" w14:textId="77777777" w:rsidTr="00DD69E7">
        <w:trPr>
          <w:trHeight w:val="82"/>
        </w:trPr>
        <w:tc>
          <w:tcPr>
            <w:tcW w:w="3031" w:type="pct"/>
          </w:tcPr>
          <w:p w14:paraId="383343FC" w14:textId="77777777" w:rsidR="00587444" w:rsidRPr="00587444" w:rsidRDefault="00587444" w:rsidP="00587444">
            <w:pPr>
              <w:tabs>
                <w:tab w:val="left" w:pos="-1962"/>
              </w:tabs>
              <w:autoSpaceDN/>
              <w:rPr>
                <w:rFonts w:ascii="Arial" w:hAnsi="Arial" w:cs="Arial"/>
                <w:spacing w:val="-3"/>
                <w:sz w:val="20"/>
                <w:szCs w:val="20"/>
                <w:lang w:val="en-GB"/>
              </w:rPr>
            </w:pPr>
          </w:p>
        </w:tc>
        <w:tc>
          <w:tcPr>
            <w:tcW w:w="984" w:type="pct"/>
          </w:tcPr>
          <w:p w14:paraId="21C3F4B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889" w:name="_Toc4059891"/>
            <w:r w:rsidRPr="00587444">
              <w:rPr>
                <w:rFonts w:ascii="Arial" w:hAnsi="Arial" w:cs="Arial"/>
                <w:b/>
                <w:sz w:val="20"/>
                <w:szCs w:val="20"/>
                <w:lang w:val="en-GB"/>
              </w:rPr>
              <w:t xml:space="preserve">31 December </w:t>
            </w:r>
            <w:bookmarkEnd w:id="889"/>
            <w:r w:rsidRPr="00587444">
              <w:rPr>
                <w:rFonts w:ascii="Arial" w:hAnsi="Arial" w:cs="Arial"/>
                <w:b/>
                <w:sz w:val="20"/>
                <w:szCs w:val="20"/>
                <w:lang w:val="en-GB"/>
              </w:rPr>
              <w:t>2022</w:t>
            </w:r>
          </w:p>
        </w:tc>
        <w:tc>
          <w:tcPr>
            <w:tcW w:w="985" w:type="pct"/>
          </w:tcPr>
          <w:p w14:paraId="758ECB1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890" w:name="_Toc4059892"/>
            <w:r w:rsidRPr="00587444">
              <w:rPr>
                <w:rFonts w:ascii="Arial" w:hAnsi="Arial" w:cs="Arial"/>
                <w:b/>
                <w:sz w:val="20"/>
                <w:szCs w:val="20"/>
                <w:lang w:val="en-GB"/>
              </w:rPr>
              <w:t xml:space="preserve">31 December </w:t>
            </w:r>
            <w:bookmarkEnd w:id="890"/>
            <w:r w:rsidRPr="00587444">
              <w:rPr>
                <w:rFonts w:ascii="Arial" w:hAnsi="Arial" w:cs="Arial"/>
                <w:b/>
                <w:sz w:val="20"/>
                <w:szCs w:val="20"/>
                <w:lang w:val="en-GB"/>
              </w:rPr>
              <w:t>2021</w:t>
            </w:r>
          </w:p>
        </w:tc>
      </w:tr>
      <w:tr w:rsidR="00587444" w:rsidRPr="00587444" w14:paraId="7D071F07" w14:textId="77777777" w:rsidTr="00DD69E7">
        <w:tblPrEx>
          <w:tblCellMar>
            <w:left w:w="107" w:type="dxa"/>
            <w:right w:w="107" w:type="dxa"/>
          </w:tblCellMar>
        </w:tblPrEx>
        <w:trPr>
          <w:trHeight w:val="212"/>
        </w:trPr>
        <w:tc>
          <w:tcPr>
            <w:tcW w:w="3031" w:type="pct"/>
          </w:tcPr>
          <w:p w14:paraId="34B89A6C" w14:textId="77777777" w:rsidR="00587444" w:rsidRPr="00587444" w:rsidRDefault="00587444" w:rsidP="00587444">
            <w:pPr>
              <w:suppressAutoHyphens w:val="0"/>
              <w:autoSpaceDN/>
              <w:rPr>
                <w:rFonts w:ascii="Arial" w:hAnsi="Arial" w:cs="Arial"/>
                <w:b/>
                <w:spacing w:val="-3"/>
                <w:sz w:val="20"/>
                <w:szCs w:val="20"/>
                <w:lang w:val="en-GB"/>
              </w:rPr>
            </w:pPr>
          </w:p>
        </w:tc>
        <w:tc>
          <w:tcPr>
            <w:tcW w:w="984" w:type="pct"/>
            <w:vAlign w:val="bottom"/>
          </w:tcPr>
          <w:p w14:paraId="2908E5D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891" w:name="_Toc4059895"/>
            <w:r w:rsidRPr="00587444">
              <w:rPr>
                <w:rFonts w:ascii="Arial" w:hAnsi="Arial" w:cs="Arial"/>
                <w:b/>
                <w:sz w:val="20"/>
                <w:szCs w:val="20"/>
                <w:lang w:val="en-GB"/>
              </w:rPr>
              <w:t>HRK ‘000</w:t>
            </w:r>
            <w:bookmarkEnd w:id="891"/>
          </w:p>
        </w:tc>
        <w:tc>
          <w:tcPr>
            <w:tcW w:w="985" w:type="pct"/>
            <w:vAlign w:val="bottom"/>
          </w:tcPr>
          <w:p w14:paraId="5567752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892" w:name="_Toc4059896"/>
            <w:r w:rsidRPr="00587444">
              <w:rPr>
                <w:rFonts w:ascii="Arial" w:hAnsi="Arial" w:cs="Arial"/>
                <w:b/>
                <w:sz w:val="20"/>
                <w:szCs w:val="20"/>
                <w:lang w:val="en-GB"/>
              </w:rPr>
              <w:t>HRK ‘000</w:t>
            </w:r>
            <w:bookmarkEnd w:id="892"/>
          </w:p>
        </w:tc>
      </w:tr>
      <w:tr w:rsidR="00587444" w:rsidRPr="00587444" w14:paraId="5143CDAB" w14:textId="77777777" w:rsidTr="00DD69E7">
        <w:trPr>
          <w:trHeight w:val="245"/>
        </w:trPr>
        <w:tc>
          <w:tcPr>
            <w:tcW w:w="3031" w:type="pct"/>
          </w:tcPr>
          <w:p w14:paraId="153E4E06" w14:textId="77777777" w:rsidR="00587444" w:rsidRPr="00587444" w:rsidRDefault="00587444" w:rsidP="00587444">
            <w:pPr>
              <w:tabs>
                <w:tab w:val="left" w:pos="-1962"/>
              </w:tabs>
              <w:autoSpaceDN/>
              <w:rPr>
                <w:rFonts w:ascii="Arial" w:hAnsi="Arial" w:cs="Arial"/>
                <w:spacing w:val="-3"/>
                <w:sz w:val="20"/>
                <w:szCs w:val="20"/>
                <w:lang w:val="en-GB"/>
              </w:rPr>
            </w:pPr>
          </w:p>
        </w:tc>
        <w:tc>
          <w:tcPr>
            <w:tcW w:w="984" w:type="pct"/>
            <w:vAlign w:val="bottom"/>
          </w:tcPr>
          <w:p w14:paraId="12440709" w14:textId="77777777" w:rsidR="00587444" w:rsidRPr="00587444" w:rsidRDefault="00587444" w:rsidP="00587444">
            <w:pPr>
              <w:autoSpaceDN/>
              <w:jc w:val="right"/>
              <w:rPr>
                <w:rFonts w:ascii="Arial" w:hAnsi="Arial" w:cs="Arial"/>
                <w:b/>
                <w:spacing w:val="-3"/>
                <w:sz w:val="20"/>
                <w:szCs w:val="20"/>
                <w:lang w:val="en-GB"/>
              </w:rPr>
            </w:pPr>
          </w:p>
        </w:tc>
        <w:tc>
          <w:tcPr>
            <w:tcW w:w="985" w:type="pct"/>
            <w:vAlign w:val="bottom"/>
          </w:tcPr>
          <w:p w14:paraId="56CEA95A" w14:textId="77777777" w:rsidR="00587444" w:rsidRPr="00587444" w:rsidRDefault="00587444" w:rsidP="00587444">
            <w:pPr>
              <w:autoSpaceDN/>
              <w:jc w:val="right"/>
              <w:rPr>
                <w:rFonts w:ascii="Arial" w:hAnsi="Arial" w:cs="Arial"/>
                <w:b/>
                <w:spacing w:val="-3"/>
                <w:sz w:val="20"/>
                <w:szCs w:val="20"/>
                <w:lang w:val="en-GB"/>
              </w:rPr>
            </w:pPr>
          </w:p>
        </w:tc>
      </w:tr>
      <w:tr w:rsidR="00587444" w:rsidRPr="00587444" w14:paraId="0AC01FFF" w14:textId="77777777" w:rsidTr="00DD69E7">
        <w:trPr>
          <w:trHeight w:val="97"/>
        </w:trPr>
        <w:tc>
          <w:tcPr>
            <w:tcW w:w="3031" w:type="pct"/>
            <w:vAlign w:val="bottom"/>
          </w:tcPr>
          <w:p w14:paraId="5481E8A4" w14:textId="77777777" w:rsidR="00F13492" w:rsidRDefault="00587444" w:rsidP="00587444">
            <w:pPr>
              <w:tabs>
                <w:tab w:val="right" w:pos="1202"/>
              </w:tabs>
              <w:suppressAutoHyphens w:val="0"/>
              <w:autoSpaceDN/>
              <w:spacing w:line="280" w:lineRule="exact"/>
              <w:outlineLvl w:val="0"/>
              <w:rPr>
                <w:rFonts w:ascii="Arial" w:hAnsi="Arial" w:cs="Arial"/>
                <w:spacing w:val="-2"/>
                <w:sz w:val="20"/>
                <w:szCs w:val="20"/>
                <w:lang w:val="en-GB"/>
              </w:rPr>
            </w:pPr>
            <w:bookmarkStart w:id="893" w:name="_Toc4059897"/>
            <w:r w:rsidRPr="00587444">
              <w:rPr>
                <w:rFonts w:ascii="Arial" w:hAnsi="Arial" w:cs="Arial"/>
                <w:spacing w:val="-2"/>
                <w:sz w:val="20"/>
                <w:szCs w:val="20"/>
                <w:lang w:val="en-GB"/>
              </w:rPr>
              <w:t>Bank deposits</w:t>
            </w:r>
            <w:bookmarkEnd w:id="893"/>
            <w:r w:rsidRPr="00587444">
              <w:rPr>
                <w:rFonts w:ascii="Arial" w:hAnsi="Arial" w:cs="Arial"/>
                <w:spacing w:val="-2"/>
                <w:sz w:val="20"/>
                <w:szCs w:val="20"/>
                <w:lang w:val="en-GB"/>
              </w:rPr>
              <w:t xml:space="preserve"> and foreign currency</w:t>
            </w:r>
            <w:r w:rsidRPr="00587444">
              <w:rPr>
                <w:rFonts w:ascii="Arial" w:hAnsi="Arial"/>
                <w:sz w:val="20"/>
                <w:szCs w:val="20"/>
                <w:lang w:val="en-GB"/>
              </w:rPr>
              <w:t xml:space="preserve"> deposits </w:t>
            </w:r>
            <w:r w:rsidRPr="00587444">
              <w:rPr>
                <w:rFonts w:ascii="Arial" w:hAnsi="Arial" w:cs="Arial"/>
                <w:spacing w:val="-2"/>
                <w:sz w:val="20"/>
                <w:szCs w:val="20"/>
                <w:lang w:val="en-GB"/>
              </w:rPr>
              <w:t xml:space="preserve">of foreign </w:t>
            </w:r>
          </w:p>
          <w:p w14:paraId="3135E925" w14:textId="5DA66BC9" w:rsidR="00587444" w:rsidRPr="00587444" w:rsidRDefault="00587444" w:rsidP="00587444">
            <w:pPr>
              <w:tabs>
                <w:tab w:val="right" w:pos="1202"/>
              </w:tabs>
              <w:suppressAutoHyphens w:val="0"/>
              <w:autoSpaceDN/>
              <w:spacing w:line="280" w:lineRule="exact"/>
              <w:outlineLvl w:val="0"/>
              <w:rPr>
                <w:rFonts w:ascii="Arial" w:hAnsi="Arial" w:cs="Arial"/>
                <w:spacing w:val="-2"/>
                <w:sz w:val="20"/>
                <w:szCs w:val="20"/>
                <w:lang w:val="en-GB"/>
              </w:rPr>
            </w:pPr>
            <w:r w:rsidRPr="00587444">
              <w:rPr>
                <w:rFonts w:ascii="Arial" w:hAnsi="Arial" w:cs="Arial"/>
                <w:spacing w:val="-2"/>
                <w:sz w:val="20"/>
                <w:szCs w:val="20"/>
                <w:lang w:val="en-GB"/>
              </w:rPr>
              <w:t>financial institutions</w:t>
            </w:r>
          </w:p>
        </w:tc>
        <w:tc>
          <w:tcPr>
            <w:tcW w:w="984" w:type="pct"/>
            <w:tcBorders>
              <w:top w:val="nil"/>
              <w:left w:val="nil"/>
              <w:bottom w:val="nil"/>
              <w:right w:val="nil"/>
            </w:tcBorders>
            <w:shd w:val="clear" w:color="auto" w:fill="auto"/>
            <w:vAlign w:val="bottom"/>
          </w:tcPr>
          <w:p w14:paraId="7C3E09F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150,690</w:t>
            </w:r>
          </w:p>
        </w:tc>
        <w:tc>
          <w:tcPr>
            <w:tcW w:w="985" w:type="pct"/>
            <w:tcBorders>
              <w:top w:val="nil"/>
              <w:left w:val="nil"/>
              <w:bottom w:val="nil"/>
              <w:right w:val="nil"/>
            </w:tcBorders>
            <w:shd w:val="clear" w:color="auto" w:fill="auto"/>
            <w:vAlign w:val="bottom"/>
          </w:tcPr>
          <w:p w14:paraId="7311BE5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417,163</w:t>
            </w:r>
          </w:p>
        </w:tc>
      </w:tr>
      <w:tr w:rsidR="00587444" w:rsidRPr="00587444" w14:paraId="11DF87AE" w14:textId="77777777" w:rsidTr="00DD69E7">
        <w:trPr>
          <w:trHeight w:val="97"/>
        </w:trPr>
        <w:tc>
          <w:tcPr>
            <w:tcW w:w="3031" w:type="pct"/>
            <w:vAlign w:val="bottom"/>
          </w:tcPr>
          <w:p w14:paraId="07982E04" w14:textId="77777777" w:rsidR="00587444" w:rsidRPr="00587444" w:rsidRDefault="00587444" w:rsidP="00587444">
            <w:pPr>
              <w:tabs>
                <w:tab w:val="right" w:pos="1202"/>
              </w:tabs>
              <w:suppressAutoHyphens w:val="0"/>
              <w:autoSpaceDN/>
              <w:spacing w:line="280" w:lineRule="exact"/>
              <w:outlineLvl w:val="0"/>
              <w:rPr>
                <w:rFonts w:ascii="Arial" w:hAnsi="Arial" w:cs="Arial"/>
                <w:spacing w:val="-2"/>
                <w:sz w:val="20"/>
                <w:szCs w:val="20"/>
                <w:lang w:val="en-GB"/>
              </w:rPr>
            </w:pPr>
            <w:bookmarkStart w:id="894" w:name="_Toc4059902"/>
            <w:r w:rsidRPr="00587444">
              <w:rPr>
                <w:rFonts w:ascii="Arial" w:hAnsi="Arial" w:cs="Arial"/>
                <w:sz w:val="20"/>
                <w:szCs w:val="20"/>
                <w:lang w:val="en-GB"/>
              </w:rPr>
              <w:t>Foreign currency regular accounts of companies</w:t>
            </w:r>
            <w:bookmarkEnd w:id="894"/>
          </w:p>
        </w:tc>
        <w:tc>
          <w:tcPr>
            <w:tcW w:w="984" w:type="pct"/>
            <w:tcBorders>
              <w:top w:val="nil"/>
              <w:left w:val="nil"/>
              <w:bottom w:val="nil"/>
              <w:right w:val="nil"/>
            </w:tcBorders>
            <w:shd w:val="clear" w:color="auto" w:fill="auto"/>
            <w:vAlign w:val="bottom"/>
          </w:tcPr>
          <w:p w14:paraId="742A01A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en-GB"/>
              </w:rPr>
            </w:pPr>
            <w:r w:rsidRPr="00587444">
              <w:rPr>
                <w:rFonts w:ascii="Arial" w:hAnsi="Arial" w:cs="Arial"/>
                <w:color w:val="000000"/>
                <w:sz w:val="20"/>
                <w:szCs w:val="20"/>
                <w:lang w:val="hr-HR"/>
              </w:rPr>
              <w:t>6</w:t>
            </w:r>
          </w:p>
        </w:tc>
        <w:tc>
          <w:tcPr>
            <w:tcW w:w="985" w:type="pct"/>
            <w:tcBorders>
              <w:top w:val="nil"/>
              <w:left w:val="nil"/>
              <w:bottom w:val="nil"/>
              <w:right w:val="nil"/>
            </w:tcBorders>
            <w:shd w:val="clear" w:color="auto" w:fill="auto"/>
            <w:vAlign w:val="bottom"/>
          </w:tcPr>
          <w:p w14:paraId="0A8E585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hAnsi="Arial" w:cs="Arial"/>
                <w:color w:val="000000"/>
                <w:sz w:val="20"/>
                <w:szCs w:val="20"/>
                <w:lang w:val="hr-HR"/>
              </w:rPr>
              <w:t>6</w:t>
            </w:r>
          </w:p>
        </w:tc>
      </w:tr>
      <w:tr w:rsidR="00587444" w:rsidRPr="00587444" w14:paraId="2E34C63C" w14:textId="77777777" w:rsidTr="00DD69E7">
        <w:trPr>
          <w:trHeight w:val="97"/>
        </w:trPr>
        <w:tc>
          <w:tcPr>
            <w:tcW w:w="3031" w:type="pct"/>
            <w:vAlign w:val="bottom"/>
          </w:tcPr>
          <w:p w14:paraId="4936FD76" w14:textId="77777777" w:rsidR="00F13492" w:rsidRDefault="00587444" w:rsidP="00587444">
            <w:pPr>
              <w:tabs>
                <w:tab w:val="right" w:pos="1202"/>
              </w:tabs>
              <w:suppressAutoHyphens w:val="0"/>
              <w:autoSpaceDN/>
              <w:spacing w:line="280" w:lineRule="exact"/>
              <w:outlineLvl w:val="0"/>
              <w:rPr>
                <w:rFonts w:ascii="Arial" w:hAnsi="Arial" w:cs="Arial"/>
                <w:spacing w:val="-2"/>
                <w:sz w:val="20"/>
                <w:szCs w:val="20"/>
                <w:lang w:val="en-GB"/>
              </w:rPr>
            </w:pPr>
            <w:bookmarkStart w:id="895" w:name="_Toc4059907"/>
            <w:r w:rsidRPr="00587444">
              <w:rPr>
                <w:rFonts w:ascii="Arial" w:hAnsi="Arial" w:cs="Arial"/>
                <w:spacing w:val="-2"/>
                <w:sz w:val="20"/>
                <w:szCs w:val="20"/>
                <w:lang w:val="en-GB"/>
              </w:rPr>
              <w:t xml:space="preserve">Foreign currency account of the Ministry of Finance of the </w:t>
            </w:r>
          </w:p>
          <w:p w14:paraId="4764C6AC" w14:textId="09BD962D" w:rsidR="00587444" w:rsidRPr="00587444" w:rsidRDefault="00587444" w:rsidP="00587444">
            <w:pPr>
              <w:tabs>
                <w:tab w:val="right" w:pos="1202"/>
              </w:tabs>
              <w:suppressAutoHyphens w:val="0"/>
              <w:autoSpaceDN/>
              <w:spacing w:line="280" w:lineRule="exact"/>
              <w:outlineLvl w:val="0"/>
              <w:rPr>
                <w:rFonts w:ascii="Arial" w:hAnsi="Arial" w:cs="Arial"/>
                <w:spacing w:val="-2"/>
                <w:sz w:val="20"/>
                <w:szCs w:val="20"/>
                <w:lang w:val="en-GB"/>
              </w:rPr>
            </w:pPr>
            <w:r w:rsidRPr="00587444">
              <w:rPr>
                <w:rFonts w:ascii="Arial" w:hAnsi="Arial" w:cs="Arial"/>
                <w:spacing w:val="-2"/>
                <w:sz w:val="20"/>
                <w:szCs w:val="20"/>
                <w:lang w:val="en-GB"/>
              </w:rPr>
              <w:t>Republic of Croatia</w:t>
            </w:r>
            <w:bookmarkEnd w:id="895"/>
          </w:p>
        </w:tc>
        <w:tc>
          <w:tcPr>
            <w:tcW w:w="984" w:type="pct"/>
            <w:tcBorders>
              <w:top w:val="nil"/>
              <w:left w:val="nil"/>
              <w:bottom w:val="nil"/>
              <w:right w:val="nil"/>
            </w:tcBorders>
            <w:shd w:val="clear" w:color="auto" w:fill="auto"/>
            <w:vAlign w:val="bottom"/>
          </w:tcPr>
          <w:p w14:paraId="002691A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hr-HR"/>
              </w:rPr>
            </w:pPr>
            <w:r w:rsidRPr="00587444">
              <w:rPr>
                <w:rFonts w:ascii="Arial" w:hAnsi="Arial" w:cs="Arial"/>
                <w:color w:val="000000"/>
                <w:sz w:val="20"/>
                <w:szCs w:val="20"/>
                <w:lang w:val="hr-HR"/>
              </w:rPr>
              <w:t>71,076</w:t>
            </w:r>
          </w:p>
        </w:tc>
        <w:tc>
          <w:tcPr>
            <w:tcW w:w="985" w:type="pct"/>
            <w:tcBorders>
              <w:top w:val="nil"/>
              <w:left w:val="nil"/>
              <w:bottom w:val="nil"/>
              <w:right w:val="nil"/>
            </w:tcBorders>
            <w:shd w:val="clear" w:color="auto" w:fill="auto"/>
            <w:vAlign w:val="bottom"/>
          </w:tcPr>
          <w:p w14:paraId="62AD522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hr-HR"/>
              </w:rPr>
            </w:pPr>
            <w:r w:rsidRPr="00587444">
              <w:rPr>
                <w:rFonts w:ascii="Arial" w:hAnsi="Arial" w:cs="Arial"/>
                <w:color w:val="000000"/>
                <w:sz w:val="20"/>
                <w:szCs w:val="20"/>
                <w:lang w:val="hr-HR"/>
              </w:rPr>
              <w:t>96,666</w:t>
            </w:r>
          </w:p>
        </w:tc>
      </w:tr>
      <w:tr w:rsidR="00587444" w:rsidRPr="00587444" w14:paraId="39268C14" w14:textId="77777777" w:rsidTr="00DD69E7">
        <w:trPr>
          <w:trHeight w:val="97"/>
        </w:trPr>
        <w:tc>
          <w:tcPr>
            <w:tcW w:w="3031" w:type="pct"/>
            <w:vAlign w:val="bottom"/>
          </w:tcPr>
          <w:p w14:paraId="39A5B288" w14:textId="77777777" w:rsidR="00587444" w:rsidRPr="00587444" w:rsidRDefault="00587444" w:rsidP="00587444">
            <w:pPr>
              <w:tabs>
                <w:tab w:val="right" w:pos="1202"/>
              </w:tabs>
              <w:suppressAutoHyphens w:val="0"/>
              <w:autoSpaceDN/>
              <w:spacing w:line="280" w:lineRule="exact"/>
              <w:outlineLvl w:val="0"/>
              <w:rPr>
                <w:rFonts w:ascii="Arial" w:hAnsi="Arial" w:cs="Arial"/>
                <w:spacing w:val="-2"/>
                <w:sz w:val="20"/>
                <w:szCs w:val="20"/>
                <w:lang w:val="en-GB"/>
              </w:rPr>
            </w:pPr>
            <w:bookmarkStart w:id="896" w:name="_Toc4059912"/>
            <w:r w:rsidRPr="00587444">
              <w:rPr>
                <w:rFonts w:ascii="Arial" w:hAnsi="Arial" w:cs="Arial"/>
                <w:spacing w:val="-2"/>
                <w:sz w:val="20"/>
                <w:szCs w:val="20"/>
                <w:lang w:val="en-GB"/>
              </w:rPr>
              <w:t>Foreign currency special purpose accounts of the companies</w:t>
            </w:r>
            <w:bookmarkEnd w:id="896"/>
            <w:r w:rsidRPr="00587444">
              <w:rPr>
                <w:rFonts w:ascii="Arial" w:hAnsi="Arial" w:cs="Arial"/>
                <w:spacing w:val="-2"/>
                <w:sz w:val="20"/>
                <w:szCs w:val="20"/>
                <w:lang w:val="en-GB"/>
              </w:rPr>
              <w:t xml:space="preserve"> </w:t>
            </w:r>
          </w:p>
        </w:tc>
        <w:tc>
          <w:tcPr>
            <w:tcW w:w="984" w:type="pct"/>
            <w:tcBorders>
              <w:top w:val="nil"/>
              <w:left w:val="nil"/>
              <w:bottom w:val="nil"/>
              <w:right w:val="nil"/>
            </w:tcBorders>
            <w:shd w:val="clear" w:color="auto" w:fill="auto"/>
            <w:vAlign w:val="bottom"/>
          </w:tcPr>
          <w:p w14:paraId="24BED0D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hr-HR"/>
              </w:rPr>
            </w:pPr>
            <w:r w:rsidRPr="00587444">
              <w:rPr>
                <w:rFonts w:ascii="Arial" w:hAnsi="Arial" w:cs="Arial"/>
                <w:color w:val="000000"/>
                <w:sz w:val="20"/>
                <w:szCs w:val="20"/>
                <w:lang w:val="hr-HR"/>
              </w:rPr>
              <w:t>52,411</w:t>
            </w:r>
          </w:p>
        </w:tc>
        <w:tc>
          <w:tcPr>
            <w:tcW w:w="985" w:type="pct"/>
            <w:tcBorders>
              <w:top w:val="nil"/>
              <w:left w:val="nil"/>
              <w:bottom w:val="nil"/>
              <w:right w:val="nil"/>
            </w:tcBorders>
            <w:shd w:val="clear" w:color="auto" w:fill="auto"/>
            <w:vAlign w:val="bottom"/>
          </w:tcPr>
          <w:p w14:paraId="475F96B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hr-HR"/>
              </w:rPr>
            </w:pPr>
            <w:r w:rsidRPr="00587444">
              <w:rPr>
                <w:rFonts w:ascii="Arial" w:hAnsi="Arial" w:cs="Arial"/>
                <w:color w:val="000000"/>
                <w:sz w:val="20"/>
                <w:szCs w:val="20"/>
                <w:lang w:val="hr-HR"/>
              </w:rPr>
              <w:t>58,567</w:t>
            </w:r>
          </w:p>
        </w:tc>
      </w:tr>
      <w:tr w:rsidR="00587444" w:rsidRPr="00587444" w14:paraId="64697162" w14:textId="77777777" w:rsidTr="00DD69E7">
        <w:trPr>
          <w:trHeight w:val="97"/>
        </w:trPr>
        <w:tc>
          <w:tcPr>
            <w:tcW w:w="3031" w:type="pct"/>
            <w:vAlign w:val="bottom"/>
          </w:tcPr>
          <w:p w14:paraId="16D8B6AE" w14:textId="77777777" w:rsidR="00587444" w:rsidRPr="00587444" w:rsidRDefault="00587444" w:rsidP="00587444">
            <w:pPr>
              <w:tabs>
                <w:tab w:val="right" w:pos="1202"/>
              </w:tabs>
              <w:suppressAutoHyphens w:val="0"/>
              <w:autoSpaceDN/>
              <w:spacing w:line="280" w:lineRule="exact"/>
              <w:outlineLvl w:val="0"/>
              <w:rPr>
                <w:rFonts w:ascii="Arial" w:hAnsi="Arial" w:cs="Arial"/>
                <w:spacing w:val="-2"/>
                <w:sz w:val="20"/>
                <w:szCs w:val="20"/>
                <w:lang w:val="en-GB"/>
              </w:rPr>
            </w:pPr>
            <w:r w:rsidRPr="00587444">
              <w:rPr>
                <w:rFonts w:ascii="Arial" w:hAnsi="Arial" w:cs="Arial"/>
                <w:spacing w:val="-2"/>
                <w:sz w:val="20"/>
                <w:szCs w:val="20"/>
                <w:lang w:val="en-GB"/>
              </w:rPr>
              <w:t>Foreign currency special accounts of banks</w:t>
            </w:r>
          </w:p>
        </w:tc>
        <w:tc>
          <w:tcPr>
            <w:tcW w:w="984" w:type="pct"/>
            <w:tcBorders>
              <w:top w:val="nil"/>
              <w:left w:val="nil"/>
              <w:bottom w:val="nil"/>
              <w:right w:val="nil"/>
            </w:tcBorders>
            <w:shd w:val="clear" w:color="auto" w:fill="auto"/>
            <w:vAlign w:val="bottom"/>
          </w:tcPr>
          <w:p w14:paraId="12E4FBC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hr-HR"/>
              </w:rPr>
            </w:pPr>
            <w:r w:rsidRPr="00587444">
              <w:rPr>
                <w:rFonts w:ascii="Arial" w:hAnsi="Arial" w:cs="Arial"/>
                <w:color w:val="000000"/>
                <w:sz w:val="20"/>
                <w:szCs w:val="20"/>
                <w:lang w:val="hr-HR"/>
              </w:rPr>
              <w:t>1,205</w:t>
            </w:r>
          </w:p>
        </w:tc>
        <w:tc>
          <w:tcPr>
            <w:tcW w:w="985" w:type="pct"/>
            <w:tcBorders>
              <w:top w:val="nil"/>
              <w:left w:val="nil"/>
              <w:bottom w:val="nil"/>
              <w:right w:val="nil"/>
            </w:tcBorders>
            <w:shd w:val="clear" w:color="auto" w:fill="auto"/>
            <w:vAlign w:val="bottom"/>
          </w:tcPr>
          <w:p w14:paraId="759B5DC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w:t>
            </w:r>
          </w:p>
        </w:tc>
      </w:tr>
      <w:tr w:rsidR="00587444" w:rsidRPr="00587444" w14:paraId="25AFDD36" w14:textId="77777777" w:rsidTr="00DD69E7">
        <w:trPr>
          <w:trHeight w:val="97"/>
        </w:trPr>
        <w:tc>
          <w:tcPr>
            <w:tcW w:w="3031" w:type="pct"/>
            <w:vAlign w:val="bottom"/>
          </w:tcPr>
          <w:p w14:paraId="62E51C1D" w14:textId="77777777" w:rsidR="00F13492" w:rsidRDefault="00587444" w:rsidP="00587444">
            <w:pPr>
              <w:suppressAutoHyphens w:val="0"/>
              <w:autoSpaceDN/>
              <w:spacing w:line="280" w:lineRule="exact"/>
              <w:rPr>
                <w:rFonts w:ascii="Arial" w:eastAsia="Calibri" w:hAnsi="Arial" w:cs="Arial"/>
                <w:spacing w:val="-2"/>
                <w:sz w:val="20"/>
                <w:szCs w:val="20"/>
                <w:lang w:val="en-GB"/>
              </w:rPr>
            </w:pPr>
            <w:r w:rsidRPr="00587444">
              <w:rPr>
                <w:rFonts w:ascii="Arial" w:eastAsia="Calibri" w:hAnsi="Arial" w:cs="Arial"/>
                <w:spacing w:val="-2"/>
                <w:sz w:val="20"/>
                <w:szCs w:val="20"/>
                <w:lang w:val="en-GB"/>
              </w:rPr>
              <w:t xml:space="preserve">Foreign currency special accounts of foreign financial </w:t>
            </w:r>
          </w:p>
          <w:p w14:paraId="3C2FB191" w14:textId="16C6C7A1" w:rsidR="00587444" w:rsidRPr="00587444" w:rsidRDefault="00587444" w:rsidP="00587444">
            <w:pPr>
              <w:suppressAutoHyphens w:val="0"/>
              <w:autoSpaceDN/>
              <w:spacing w:line="280" w:lineRule="exact"/>
              <w:rPr>
                <w:rFonts w:ascii="Arial" w:eastAsia="Calibri" w:hAnsi="Arial" w:cs="Arial"/>
                <w:spacing w:val="-2"/>
                <w:sz w:val="20"/>
                <w:szCs w:val="20"/>
              </w:rPr>
            </w:pPr>
            <w:r w:rsidRPr="00587444">
              <w:rPr>
                <w:rFonts w:ascii="Arial" w:eastAsia="Calibri" w:hAnsi="Arial" w:cs="Arial"/>
                <w:spacing w:val="-2"/>
                <w:sz w:val="20"/>
                <w:szCs w:val="20"/>
                <w:lang w:val="en-GB"/>
              </w:rPr>
              <w:t>institutions</w:t>
            </w:r>
          </w:p>
        </w:tc>
        <w:tc>
          <w:tcPr>
            <w:tcW w:w="984" w:type="pct"/>
            <w:tcBorders>
              <w:top w:val="nil"/>
              <w:left w:val="nil"/>
              <w:bottom w:val="nil"/>
              <w:right w:val="nil"/>
            </w:tcBorders>
            <w:shd w:val="clear" w:color="auto" w:fill="auto"/>
            <w:vAlign w:val="bottom"/>
          </w:tcPr>
          <w:p w14:paraId="0CBBCFE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hr-HR"/>
              </w:rPr>
            </w:pPr>
            <w:r w:rsidRPr="00587444">
              <w:rPr>
                <w:rFonts w:ascii="Arial" w:hAnsi="Arial" w:cs="Arial"/>
                <w:color w:val="000000"/>
                <w:sz w:val="20"/>
                <w:szCs w:val="20"/>
                <w:lang w:val="hr-HR"/>
              </w:rPr>
              <w:t>15</w:t>
            </w:r>
          </w:p>
        </w:tc>
        <w:tc>
          <w:tcPr>
            <w:tcW w:w="985" w:type="pct"/>
            <w:tcBorders>
              <w:top w:val="nil"/>
              <w:left w:val="nil"/>
              <w:bottom w:val="nil"/>
              <w:right w:val="nil"/>
            </w:tcBorders>
            <w:shd w:val="clear" w:color="auto" w:fill="auto"/>
            <w:vAlign w:val="bottom"/>
          </w:tcPr>
          <w:p w14:paraId="1C23D50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hAnsi="Arial" w:cs="Arial"/>
                <w:color w:val="000000"/>
                <w:sz w:val="20"/>
                <w:szCs w:val="20"/>
                <w:lang w:val="hr-HR"/>
              </w:rPr>
              <w:t>3,059</w:t>
            </w:r>
          </w:p>
        </w:tc>
      </w:tr>
      <w:tr w:rsidR="00587444" w:rsidRPr="00587444" w14:paraId="6EEEE9D6" w14:textId="77777777" w:rsidTr="00DD69E7">
        <w:trPr>
          <w:trHeight w:val="97"/>
        </w:trPr>
        <w:tc>
          <w:tcPr>
            <w:tcW w:w="3031" w:type="pct"/>
            <w:vAlign w:val="bottom"/>
          </w:tcPr>
          <w:p w14:paraId="66C62387" w14:textId="77777777" w:rsidR="00587444" w:rsidRPr="00587444" w:rsidRDefault="00587444" w:rsidP="00587444">
            <w:pPr>
              <w:tabs>
                <w:tab w:val="right" w:pos="1202"/>
              </w:tabs>
              <w:suppressAutoHyphens w:val="0"/>
              <w:autoSpaceDN/>
              <w:spacing w:line="280" w:lineRule="exact"/>
              <w:outlineLvl w:val="0"/>
              <w:rPr>
                <w:rFonts w:ascii="Arial" w:hAnsi="Arial" w:cs="Arial"/>
                <w:spacing w:val="-2"/>
                <w:sz w:val="20"/>
                <w:szCs w:val="20"/>
                <w:lang w:val="en-GB"/>
              </w:rPr>
            </w:pPr>
            <w:bookmarkStart w:id="897" w:name="_Toc4059917"/>
            <w:r w:rsidRPr="00587444">
              <w:rPr>
                <w:rFonts w:ascii="Arial" w:hAnsi="Arial" w:cs="Arial"/>
                <w:spacing w:val="-2"/>
                <w:sz w:val="20"/>
                <w:szCs w:val="20"/>
                <w:lang w:val="en-GB"/>
              </w:rPr>
              <w:t>State institutions’ deposits</w:t>
            </w:r>
            <w:bookmarkEnd w:id="897"/>
          </w:p>
        </w:tc>
        <w:tc>
          <w:tcPr>
            <w:tcW w:w="984" w:type="pct"/>
            <w:tcBorders>
              <w:top w:val="nil"/>
              <w:left w:val="nil"/>
              <w:bottom w:val="nil"/>
              <w:right w:val="nil"/>
            </w:tcBorders>
            <w:shd w:val="clear" w:color="auto" w:fill="auto"/>
            <w:vAlign w:val="bottom"/>
          </w:tcPr>
          <w:p w14:paraId="5A4DD3C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hr-HR"/>
              </w:rPr>
            </w:pPr>
            <w:r w:rsidRPr="00587444">
              <w:rPr>
                <w:rFonts w:ascii="Arial" w:hAnsi="Arial" w:cs="Arial"/>
                <w:color w:val="000000"/>
                <w:sz w:val="20"/>
                <w:szCs w:val="20"/>
                <w:lang w:val="hr-HR"/>
              </w:rPr>
              <w:t>729,039</w:t>
            </w:r>
          </w:p>
        </w:tc>
        <w:tc>
          <w:tcPr>
            <w:tcW w:w="985" w:type="pct"/>
            <w:tcBorders>
              <w:top w:val="nil"/>
              <w:left w:val="nil"/>
              <w:bottom w:val="nil"/>
              <w:right w:val="nil"/>
            </w:tcBorders>
            <w:shd w:val="clear" w:color="auto" w:fill="auto"/>
            <w:vAlign w:val="bottom"/>
          </w:tcPr>
          <w:p w14:paraId="76C1413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hr-HR"/>
              </w:rPr>
            </w:pPr>
            <w:r w:rsidRPr="00587444">
              <w:rPr>
                <w:rFonts w:ascii="Arial" w:hAnsi="Arial" w:cs="Arial"/>
                <w:color w:val="000000"/>
                <w:sz w:val="20"/>
                <w:szCs w:val="20"/>
                <w:lang w:val="hr-HR"/>
              </w:rPr>
              <w:t>341,810</w:t>
            </w:r>
          </w:p>
        </w:tc>
      </w:tr>
      <w:tr w:rsidR="00587444" w:rsidRPr="00587444" w14:paraId="27DF6BFB" w14:textId="77777777" w:rsidTr="00DD69E7">
        <w:trPr>
          <w:trHeight w:val="97"/>
        </w:trPr>
        <w:tc>
          <w:tcPr>
            <w:tcW w:w="3031" w:type="pct"/>
            <w:vAlign w:val="bottom"/>
          </w:tcPr>
          <w:p w14:paraId="5E8DAC74" w14:textId="77777777" w:rsidR="00587444" w:rsidRPr="00587444" w:rsidRDefault="00587444" w:rsidP="00587444">
            <w:pPr>
              <w:tabs>
                <w:tab w:val="right" w:pos="1202"/>
              </w:tabs>
              <w:suppressAutoHyphens w:val="0"/>
              <w:autoSpaceDN/>
              <w:spacing w:line="280" w:lineRule="exact"/>
              <w:outlineLvl w:val="0"/>
              <w:rPr>
                <w:rFonts w:ascii="Arial" w:hAnsi="Arial" w:cs="Arial"/>
                <w:spacing w:val="-2"/>
                <w:sz w:val="20"/>
                <w:szCs w:val="20"/>
                <w:lang w:val="en-GB"/>
              </w:rPr>
            </w:pPr>
            <w:bookmarkStart w:id="898" w:name="_Toc4059922"/>
            <w:r w:rsidRPr="00587444">
              <w:rPr>
                <w:rFonts w:ascii="Arial" w:hAnsi="Arial" w:cs="Arial"/>
                <w:spacing w:val="-2"/>
                <w:sz w:val="20"/>
                <w:szCs w:val="20"/>
                <w:lang w:val="en-GB"/>
              </w:rPr>
              <w:t>Other deposits</w:t>
            </w:r>
            <w:bookmarkEnd w:id="898"/>
          </w:p>
        </w:tc>
        <w:tc>
          <w:tcPr>
            <w:tcW w:w="984" w:type="pct"/>
            <w:tcBorders>
              <w:top w:val="nil"/>
              <w:left w:val="nil"/>
              <w:bottom w:val="single" w:sz="4" w:space="0" w:color="auto"/>
              <w:right w:val="nil"/>
            </w:tcBorders>
            <w:shd w:val="clear" w:color="auto" w:fill="auto"/>
            <w:vAlign w:val="bottom"/>
          </w:tcPr>
          <w:p w14:paraId="7C1DC5C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hr-HR"/>
              </w:rPr>
            </w:pPr>
            <w:r w:rsidRPr="00587444">
              <w:rPr>
                <w:rFonts w:ascii="Arial" w:hAnsi="Arial" w:cs="Arial"/>
                <w:color w:val="000000"/>
                <w:sz w:val="20"/>
                <w:szCs w:val="20"/>
                <w:lang w:val="hr-HR"/>
              </w:rPr>
              <w:t>20,087</w:t>
            </w:r>
          </w:p>
        </w:tc>
        <w:tc>
          <w:tcPr>
            <w:tcW w:w="985" w:type="pct"/>
            <w:tcBorders>
              <w:top w:val="nil"/>
              <w:left w:val="nil"/>
              <w:bottom w:val="single" w:sz="4" w:space="0" w:color="auto"/>
              <w:right w:val="nil"/>
            </w:tcBorders>
            <w:shd w:val="clear" w:color="auto" w:fill="auto"/>
            <w:vAlign w:val="bottom"/>
          </w:tcPr>
          <w:p w14:paraId="1D38D21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hr-HR"/>
              </w:rPr>
            </w:pPr>
            <w:r w:rsidRPr="00587444">
              <w:rPr>
                <w:rFonts w:ascii="Arial" w:hAnsi="Arial" w:cs="Arial"/>
                <w:color w:val="000000"/>
                <w:sz w:val="20"/>
                <w:szCs w:val="20"/>
                <w:lang w:val="hr-HR"/>
              </w:rPr>
              <w:t>43,270</w:t>
            </w:r>
          </w:p>
        </w:tc>
      </w:tr>
      <w:tr w:rsidR="00587444" w:rsidRPr="00587444" w14:paraId="0DC8BAEB" w14:textId="77777777" w:rsidTr="00DD69E7">
        <w:trPr>
          <w:trHeight w:val="97"/>
        </w:trPr>
        <w:tc>
          <w:tcPr>
            <w:tcW w:w="3031" w:type="pct"/>
            <w:vAlign w:val="bottom"/>
          </w:tcPr>
          <w:p w14:paraId="413E508E" w14:textId="77777777" w:rsidR="00587444" w:rsidRPr="00587444" w:rsidRDefault="00587444" w:rsidP="00587444">
            <w:pPr>
              <w:tabs>
                <w:tab w:val="right" w:pos="1202"/>
              </w:tabs>
              <w:suppressAutoHyphens w:val="0"/>
              <w:autoSpaceDN/>
              <w:spacing w:line="280" w:lineRule="exact"/>
              <w:outlineLvl w:val="0"/>
              <w:rPr>
                <w:rFonts w:ascii="Arial" w:hAnsi="Arial" w:cs="Arial"/>
                <w:spacing w:val="-2"/>
                <w:sz w:val="20"/>
                <w:szCs w:val="20"/>
                <w:lang w:val="en-GB"/>
              </w:rPr>
            </w:pPr>
          </w:p>
        </w:tc>
        <w:tc>
          <w:tcPr>
            <w:tcW w:w="984" w:type="pct"/>
            <w:tcBorders>
              <w:top w:val="nil"/>
              <w:left w:val="nil"/>
              <w:bottom w:val="single" w:sz="4" w:space="0" w:color="auto"/>
              <w:right w:val="nil"/>
            </w:tcBorders>
            <w:shd w:val="clear" w:color="auto" w:fill="auto"/>
            <w:vAlign w:val="bottom"/>
          </w:tcPr>
          <w:p w14:paraId="0EA51F4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1,024,529</w:t>
            </w:r>
          </w:p>
        </w:tc>
        <w:tc>
          <w:tcPr>
            <w:tcW w:w="985" w:type="pct"/>
            <w:tcBorders>
              <w:top w:val="nil"/>
              <w:left w:val="nil"/>
              <w:bottom w:val="single" w:sz="4" w:space="0" w:color="auto"/>
              <w:right w:val="nil"/>
            </w:tcBorders>
            <w:shd w:val="clear" w:color="auto" w:fill="auto"/>
            <w:vAlign w:val="bottom"/>
          </w:tcPr>
          <w:p w14:paraId="6FAE539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960,541</w:t>
            </w:r>
          </w:p>
        </w:tc>
      </w:tr>
      <w:tr w:rsidR="00587444" w:rsidRPr="00587444" w14:paraId="056D16B8" w14:textId="77777777" w:rsidTr="00DD69E7">
        <w:trPr>
          <w:trHeight w:val="97"/>
        </w:trPr>
        <w:tc>
          <w:tcPr>
            <w:tcW w:w="3031" w:type="pct"/>
            <w:vAlign w:val="bottom"/>
          </w:tcPr>
          <w:p w14:paraId="68B789BB" w14:textId="77777777" w:rsidR="00587444" w:rsidRPr="00587444" w:rsidRDefault="00587444" w:rsidP="00587444">
            <w:pPr>
              <w:tabs>
                <w:tab w:val="right" w:pos="1202"/>
              </w:tabs>
              <w:suppressAutoHyphens w:val="0"/>
              <w:autoSpaceDN/>
              <w:spacing w:line="280" w:lineRule="exact"/>
              <w:outlineLvl w:val="0"/>
              <w:rPr>
                <w:rFonts w:ascii="Arial" w:hAnsi="Arial" w:cs="Arial"/>
                <w:spacing w:val="-2"/>
                <w:sz w:val="20"/>
                <w:szCs w:val="20"/>
                <w:lang w:val="en-GB"/>
              </w:rPr>
            </w:pPr>
            <w:r w:rsidRPr="00587444">
              <w:rPr>
                <w:rFonts w:ascii="Arial" w:hAnsi="Arial" w:cs="Arial"/>
                <w:spacing w:val="-2"/>
                <w:sz w:val="20"/>
                <w:szCs w:val="20"/>
                <w:lang w:val="en-GB"/>
              </w:rPr>
              <w:t>Accrued interest</w:t>
            </w:r>
          </w:p>
        </w:tc>
        <w:tc>
          <w:tcPr>
            <w:tcW w:w="984" w:type="pct"/>
            <w:tcBorders>
              <w:top w:val="nil"/>
              <w:left w:val="nil"/>
              <w:bottom w:val="single" w:sz="4" w:space="0" w:color="auto"/>
              <w:right w:val="nil"/>
            </w:tcBorders>
            <w:shd w:val="clear" w:color="auto" w:fill="auto"/>
            <w:vAlign w:val="bottom"/>
          </w:tcPr>
          <w:p w14:paraId="642BCC4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94</w:t>
            </w:r>
          </w:p>
        </w:tc>
        <w:tc>
          <w:tcPr>
            <w:tcW w:w="985" w:type="pct"/>
            <w:tcBorders>
              <w:top w:val="nil"/>
              <w:left w:val="nil"/>
              <w:bottom w:val="single" w:sz="4" w:space="0" w:color="auto"/>
              <w:right w:val="nil"/>
            </w:tcBorders>
            <w:shd w:val="clear" w:color="auto" w:fill="auto"/>
            <w:vAlign w:val="bottom"/>
          </w:tcPr>
          <w:p w14:paraId="7F47ED7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w:t>
            </w:r>
          </w:p>
        </w:tc>
      </w:tr>
      <w:tr w:rsidR="00587444" w:rsidRPr="00587444" w14:paraId="2C8C90FB" w14:textId="77777777" w:rsidTr="00DD69E7">
        <w:trPr>
          <w:trHeight w:val="97"/>
        </w:trPr>
        <w:tc>
          <w:tcPr>
            <w:tcW w:w="3031" w:type="pct"/>
            <w:vAlign w:val="bottom"/>
          </w:tcPr>
          <w:p w14:paraId="450D3E53"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en-GB"/>
              </w:rPr>
            </w:pPr>
          </w:p>
        </w:tc>
        <w:tc>
          <w:tcPr>
            <w:tcW w:w="984" w:type="pct"/>
            <w:tcBorders>
              <w:top w:val="single" w:sz="4" w:space="0" w:color="auto"/>
              <w:left w:val="nil"/>
              <w:bottom w:val="single" w:sz="12" w:space="0" w:color="auto"/>
              <w:right w:val="nil"/>
            </w:tcBorders>
            <w:shd w:val="clear" w:color="auto" w:fill="auto"/>
            <w:vAlign w:val="bottom"/>
          </w:tcPr>
          <w:p w14:paraId="281CD9C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1,024,623</w:t>
            </w:r>
          </w:p>
        </w:tc>
        <w:tc>
          <w:tcPr>
            <w:tcW w:w="985" w:type="pct"/>
            <w:tcBorders>
              <w:top w:val="single" w:sz="4" w:space="0" w:color="auto"/>
              <w:bottom w:val="single" w:sz="12" w:space="0" w:color="auto"/>
            </w:tcBorders>
            <w:vAlign w:val="bottom"/>
          </w:tcPr>
          <w:p w14:paraId="75DCA40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960,541</w:t>
            </w:r>
          </w:p>
        </w:tc>
      </w:tr>
    </w:tbl>
    <w:p w14:paraId="27A2C620" w14:textId="77777777" w:rsidR="00587444" w:rsidRPr="00587444" w:rsidRDefault="00587444" w:rsidP="00880B90">
      <w:pPr>
        <w:keepNext/>
        <w:suppressAutoHyphens w:val="0"/>
        <w:autoSpaceDN/>
        <w:jc w:val="both"/>
        <w:rPr>
          <w:rFonts w:ascii="Arial" w:hAnsi="Arial" w:cs="Arial"/>
          <w:sz w:val="20"/>
          <w:szCs w:val="20"/>
          <w:highlight w:val="yellow"/>
          <w:lang w:val="en-GB"/>
        </w:rPr>
      </w:pPr>
    </w:p>
    <w:p w14:paraId="2A978468" w14:textId="77777777" w:rsidR="00587444" w:rsidRPr="00587444" w:rsidRDefault="00587444" w:rsidP="00880B90">
      <w:pPr>
        <w:autoSpaceDN/>
        <w:jc w:val="both"/>
        <w:rPr>
          <w:rFonts w:ascii="Arial" w:hAnsi="Arial" w:cs="Arial"/>
          <w:b/>
          <w:bCs/>
          <w:color w:val="000000"/>
          <w:sz w:val="20"/>
          <w:szCs w:val="20"/>
          <w:lang w:val="en-GB" w:eastAsia="hr-HR"/>
        </w:rPr>
      </w:pPr>
      <w:r w:rsidRPr="00587444">
        <w:rPr>
          <w:rFonts w:ascii="Arial" w:hAnsi="Arial" w:cs="Arial"/>
          <w:color w:val="000000"/>
          <w:sz w:val="20"/>
          <w:szCs w:val="20"/>
          <w:lang w:val="en-GB"/>
        </w:rPr>
        <w:t xml:space="preserve">Bank deposits in 2022 relate mostly to loro deposits of the </w:t>
      </w:r>
      <w:r w:rsidRPr="00587444">
        <w:rPr>
          <w:rFonts w:ascii="Arial" w:hAnsi="Arial" w:cs="Arial"/>
          <w:color w:val="000000"/>
          <w:sz w:val="20"/>
          <w:szCs w:val="20"/>
        </w:rPr>
        <w:t xml:space="preserve">Bulgarian Development Bank AD and </w:t>
      </w:r>
      <w:r w:rsidRPr="00587444">
        <w:rPr>
          <w:rFonts w:ascii="Arial" w:hAnsi="Arial" w:cs="Arial"/>
          <w:color w:val="000000"/>
          <w:sz w:val="20"/>
          <w:szCs w:val="20"/>
          <w:lang w:val="en-GB"/>
        </w:rPr>
        <w:t>European Investment Bank (EIB).</w:t>
      </w:r>
    </w:p>
    <w:p w14:paraId="11BF47E6" w14:textId="77777777" w:rsidR="00587444" w:rsidRPr="00587444" w:rsidRDefault="00587444" w:rsidP="00880B90">
      <w:pPr>
        <w:keepNext/>
        <w:suppressAutoHyphens w:val="0"/>
        <w:autoSpaceDN/>
        <w:jc w:val="both"/>
        <w:rPr>
          <w:rFonts w:ascii="Arial" w:hAnsi="Arial" w:cs="Arial"/>
          <w:sz w:val="20"/>
          <w:szCs w:val="20"/>
          <w:lang w:val="en-GB"/>
        </w:rPr>
      </w:pPr>
    </w:p>
    <w:p w14:paraId="72360C48" w14:textId="77777777" w:rsidR="00587444" w:rsidRPr="00587444" w:rsidRDefault="00587444" w:rsidP="00880B90">
      <w:pPr>
        <w:tabs>
          <w:tab w:val="left" w:pos="-1985"/>
        </w:tabs>
        <w:autoSpaceDN/>
        <w:jc w:val="both"/>
        <w:rPr>
          <w:rFonts w:ascii="Arial" w:hAnsi="Arial" w:cs="Arial"/>
          <w:sz w:val="20"/>
          <w:szCs w:val="20"/>
          <w:lang w:val="en-GB"/>
        </w:rPr>
      </w:pPr>
      <w:r w:rsidRPr="00587444">
        <w:rPr>
          <w:rFonts w:ascii="Arial" w:hAnsi="Arial" w:cs="Arial"/>
          <w:sz w:val="20"/>
          <w:szCs w:val="20"/>
          <w:lang w:val="en-GB"/>
        </w:rPr>
        <w:t>The foreign currency account of the Ministry of Finance of the Republic of Croatia relates to the Export Insurance Guarantee Fund comprising of reinsurance premiums paid for export insurance operations of HRK 71,076 thousand (31 December 2021: HRK 96,666 thousand).</w:t>
      </w:r>
    </w:p>
    <w:p w14:paraId="1E821C2C" w14:textId="77777777" w:rsidR="00587444" w:rsidRPr="00587444" w:rsidRDefault="00587444" w:rsidP="00880B90">
      <w:pPr>
        <w:tabs>
          <w:tab w:val="left" w:pos="-1985"/>
        </w:tabs>
        <w:autoSpaceDN/>
        <w:jc w:val="both"/>
        <w:rPr>
          <w:rFonts w:ascii="Arial" w:hAnsi="Arial" w:cs="Arial"/>
          <w:sz w:val="20"/>
          <w:szCs w:val="20"/>
          <w:lang w:val="en-GB"/>
        </w:rPr>
      </w:pPr>
    </w:p>
    <w:p w14:paraId="007F7AC3" w14:textId="77777777" w:rsidR="00587444" w:rsidRPr="00587444" w:rsidRDefault="00587444" w:rsidP="00880B90">
      <w:pPr>
        <w:tabs>
          <w:tab w:val="left" w:pos="-1985"/>
        </w:tabs>
        <w:autoSpaceDN/>
        <w:jc w:val="both"/>
        <w:rPr>
          <w:rFonts w:ascii="Arial" w:hAnsi="Arial" w:cs="Arial"/>
          <w:sz w:val="20"/>
          <w:szCs w:val="20"/>
          <w:lang w:val="en-GB"/>
        </w:rPr>
      </w:pPr>
      <w:r w:rsidRPr="00587444">
        <w:rPr>
          <w:rFonts w:ascii="Arial" w:hAnsi="Arial" w:cs="Arial"/>
          <w:sz w:val="20"/>
          <w:szCs w:val="20"/>
          <w:lang w:val="en-GB"/>
        </w:rPr>
        <w:t xml:space="preserve">State institution’s demand deposits relate to the Bank's operations carried out for and on behalf of the Ministry of Finance, the Ministry of the Sea, Transport and Infrastructure, the Ministry of Agriculture, the Ministry of Regional Development and EU Funds, the company </w:t>
      </w:r>
      <w:proofErr w:type="spellStart"/>
      <w:r w:rsidRPr="00587444">
        <w:rPr>
          <w:rFonts w:ascii="Arial" w:hAnsi="Arial" w:cs="Arial"/>
          <w:sz w:val="20"/>
          <w:szCs w:val="20"/>
          <w:lang w:val="en-GB"/>
        </w:rPr>
        <w:t>Vodovod</w:t>
      </w:r>
      <w:proofErr w:type="spellEnd"/>
      <w:r w:rsidRPr="00587444">
        <w:rPr>
          <w:rFonts w:ascii="Arial" w:hAnsi="Arial" w:cs="Arial"/>
          <w:sz w:val="20"/>
          <w:szCs w:val="20"/>
          <w:lang w:val="en-GB"/>
        </w:rPr>
        <w:t xml:space="preserve"> i </w:t>
      </w:r>
      <w:proofErr w:type="spellStart"/>
      <w:r w:rsidRPr="00587444">
        <w:rPr>
          <w:rFonts w:ascii="Arial" w:hAnsi="Arial" w:cs="Arial"/>
          <w:sz w:val="20"/>
          <w:szCs w:val="20"/>
          <w:lang w:val="en-GB"/>
        </w:rPr>
        <w:t>kanalizacija</w:t>
      </w:r>
      <w:proofErr w:type="spellEnd"/>
      <w:r w:rsidRPr="00587444">
        <w:rPr>
          <w:rFonts w:ascii="Arial" w:hAnsi="Arial" w:cs="Arial"/>
          <w:sz w:val="20"/>
          <w:szCs w:val="20"/>
          <w:lang w:val="en-GB"/>
        </w:rPr>
        <w:t xml:space="preserve"> d.o.o., Split and the Croatian Agency for SMEs, </w:t>
      </w:r>
      <w:proofErr w:type="gramStart"/>
      <w:r w:rsidRPr="00587444">
        <w:rPr>
          <w:rFonts w:ascii="Arial" w:hAnsi="Arial" w:cs="Arial"/>
          <w:sz w:val="20"/>
          <w:szCs w:val="20"/>
          <w:lang w:val="en-GB"/>
        </w:rPr>
        <w:t>Innovations</w:t>
      </w:r>
      <w:proofErr w:type="gramEnd"/>
      <w:r w:rsidRPr="00587444">
        <w:rPr>
          <w:rFonts w:ascii="Arial" w:hAnsi="Arial" w:cs="Arial"/>
          <w:sz w:val="20"/>
          <w:szCs w:val="20"/>
          <w:lang w:val="en-GB"/>
        </w:rPr>
        <w:t xml:space="preserve"> and Investments (“HAMAG-BICRO”).</w:t>
      </w:r>
    </w:p>
    <w:p w14:paraId="359535DA" w14:textId="77777777" w:rsidR="00587444" w:rsidRPr="00587444" w:rsidRDefault="00587444" w:rsidP="00880B90">
      <w:pPr>
        <w:tabs>
          <w:tab w:val="left" w:pos="-1985"/>
        </w:tabs>
        <w:autoSpaceDN/>
        <w:jc w:val="both"/>
        <w:rPr>
          <w:rFonts w:ascii="Arial" w:hAnsi="Arial" w:cs="Arial"/>
          <w:sz w:val="20"/>
          <w:szCs w:val="20"/>
          <w:lang w:val="en-GB"/>
        </w:rPr>
      </w:pPr>
    </w:p>
    <w:p w14:paraId="383FA9B7" w14:textId="77777777" w:rsidR="00587444" w:rsidRPr="00587444" w:rsidRDefault="00587444" w:rsidP="00880B90">
      <w:pPr>
        <w:tabs>
          <w:tab w:val="left" w:pos="-1985"/>
        </w:tabs>
        <w:autoSpaceDN/>
        <w:jc w:val="both"/>
        <w:rPr>
          <w:rFonts w:ascii="Arial" w:hAnsi="Arial" w:cs="Arial"/>
          <w:sz w:val="20"/>
          <w:szCs w:val="20"/>
          <w:lang w:val="en-GB"/>
        </w:rPr>
      </w:pPr>
      <w:r w:rsidRPr="00587444">
        <w:rPr>
          <w:rFonts w:ascii="Arial" w:hAnsi="Arial" w:cs="Arial"/>
          <w:sz w:val="20"/>
          <w:szCs w:val="20"/>
          <w:lang w:val="en-GB"/>
        </w:rPr>
        <w:t>Foreign currency special purpose accounts of the companies relate to the inflow of funds and disposition of the advance payment funds paid to the company’s account in relation to the issued guarantees of HBOR for the repayment of advance for export transactions. The funds of the advance are used exclusively for the specified purpose of implementation of an export contract, with the consent of HBOR.</w:t>
      </w:r>
    </w:p>
    <w:p w14:paraId="7D5E954A" w14:textId="77777777" w:rsidR="00587444" w:rsidRPr="00587444" w:rsidRDefault="00587444" w:rsidP="00880B90">
      <w:pPr>
        <w:tabs>
          <w:tab w:val="left" w:pos="-1985"/>
        </w:tabs>
        <w:autoSpaceDN/>
        <w:jc w:val="both"/>
        <w:rPr>
          <w:rFonts w:ascii="Arial" w:hAnsi="Arial" w:cs="Arial"/>
          <w:sz w:val="20"/>
          <w:szCs w:val="20"/>
          <w:lang w:val="en-GB"/>
        </w:rPr>
      </w:pPr>
    </w:p>
    <w:p w14:paraId="3092207C" w14:textId="77777777" w:rsidR="00587444" w:rsidRPr="00587444" w:rsidRDefault="00587444" w:rsidP="00880B90">
      <w:pPr>
        <w:tabs>
          <w:tab w:val="right" w:pos="1202"/>
        </w:tabs>
        <w:suppressAutoHyphens w:val="0"/>
        <w:autoSpaceDN/>
        <w:spacing w:line="280" w:lineRule="exact"/>
        <w:jc w:val="both"/>
        <w:outlineLvl w:val="0"/>
        <w:rPr>
          <w:rFonts w:ascii="Arial" w:hAnsi="Arial" w:cs="Arial"/>
          <w:sz w:val="20"/>
          <w:szCs w:val="20"/>
          <w:lang w:val="en-GB"/>
        </w:rPr>
      </w:pPr>
      <w:r w:rsidRPr="00587444">
        <w:rPr>
          <w:rFonts w:ascii="Arial" w:hAnsi="Arial" w:cs="Arial"/>
          <w:spacing w:val="-2"/>
          <w:sz w:val="20"/>
          <w:szCs w:val="20"/>
          <w:lang w:val="en-GB"/>
        </w:rPr>
        <w:t xml:space="preserve">Foreign currency special accounts of foreign financial institutions relate to the proceeds of </w:t>
      </w:r>
      <w:r w:rsidRPr="00587444">
        <w:rPr>
          <w:rFonts w:ascii="Arial" w:hAnsi="Arial" w:cs="Arial"/>
          <w:sz w:val="20"/>
          <w:szCs w:val="20"/>
          <w:lang w:val="en-GB"/>
        </w:rPr>
        <w:t>ELENA grant, and it relates to the first tranche of 40% of ELENA grant amount upon signing of the Finance Contract in the amount of EUR 839 thousand, reduced by funds used for the intended purpose and account balance on 31 December 2022. amounted to HRK 15 thousand (31 December 2021: HRK 3,059 thousand).</w:t>
      </w:r>
    </w:p>
    <w:p w14:paraId="70F4FE66" w14:textId="77777777" w:rsidR="00587444" w:rsidRPr="00587444" w:rsidRDefault="00587444" w:rsidP="00587444">
      <w:pPr>
        <w:tabs>
          <w:tab w:val="left" w:pos="-1985"/>
        </w:tabs>
        <w:autoSpaceDN/>
        <w:jc w:val="both"/>
        <w:rPr>
          <w:rFonts w:ascii="Arial" w:hAnsi="Arial" w:cs="Arial"/>
          <w:sz w:val="20"/>
          <w:szCs w:val="20"/>
          <w:lang w:val="en-GB"/>
        </w:rPr>
      </w:pPr>
    </w:p>
    <w:p w14:paraId="01D08898" w14:textId="77777777" w:rsidR="00587444" w:rsidRPr="00587444" w:rsidRDefault="00587444" w:rsidP="00587444">
      <w:pPr>
        <w:tabs>
          <w:tab w:val="left" w:pos="-1985"/>
        </w:tabs>
        <w:autoSpaceDN/>
        <w:jc w:val="both"/>
        <w:rPr>
          <w:rFonts w:ascii="Arial" w:hAnsi="Arial" w:cs="Arial"/>
          <w:sz w:val="20"/>
          <w:szCs w:val="20"/>
          <w:lang w:val="en-GB"/>
        </w:rPr>
      </w:pPr>
      <w:r w:rsidRPr="00587444">
        <w:rPr>
          <w:rFonts w:ascii="Arial" w:hAnsi="Arial" w:cs="Arial"/>
          <w:sz w:val="20"/>
          <w:szCs w:val="20"/>
          <w:lang w:val="en-GB"/>
        </w:rPr>
        <w:t>HBOR does not pay interest on the above deposits.</w:t>
      </w:r>
    </w:p>
    <w:p w14:paraId="3814D44F" w14:textId="77777777" w:rsidR="00587444" w:rsidRPr="00587444" w:rsidRDefault="00587444" w:rsidP="00587444">
      <w:pPr>
        <w:suppressAutoHyphens w:val="0"/>
        <w:autoSpaceDN/>
        <w:rPr>
          <w:rFonts w:ascii="Arial" w:hAnsi="Arial" w:cs="Arial"/>
          <w:b/>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1221B12C"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3196A0A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23.</w:t>
      </w:r>
      <w:r w:rsidRPr="00587444">
        <w:rPr>
          <w:rFonts w:ascii="Arial" w:hAnsi="Arial" w:cs="Arial"/>
          <w:b/>
          <w:bCs/>
          <w:sz w:val="20"/>
          <w:szCs w:val="20"/>
          <w:lang w:val="en-GB"/>
        </w:rPr>
        <w:tab/>
        <w:t>Borrowings</w:t>
      </w:r>
    </w:p>
    <w:p w14:paraId="7A9D0A70" w14:textId="77777777" w:rsidR="00587444" w:rsidRPr="00587444" w:rsidRDefault="00587444" w:rsidP="00587444">
      <w:pPr>
        <w:tabs>
          <w:tab w:val="left" w:pos="-1843"/>
        </w:tabs>
        <w:autoSpaceDN/>
        <w:ind w:right="804"/>
        <w:rPr>
          <w:rFonts w:ascii="Arial" w:hAnsi="Arial" w:cs="Arial"/>
          <w:sz w:val="20"/>
          <w:szCs w:val="20"/>
          <w:lang w:val="en-GB"/>
        </w:rPr>
      </w:pPr>
    </w:p>
    <w:tbl>
      <w:tblPr>
        <w:tblW w:w="4928" w:type="pct"/>
        <w:tblLayout w:type="fixed"/>
        <w:tblCellMar>
          <w:left w:w="119" w:type="dxa"/>
          <w:right w:w="119" w:type="dxa"/>
        </w:tblCellMar>
        <w:tblLook w:val="0000" w:firstRow="0" w:lastRow="0" w:firstColumn="0" w:lastColumn="0" w:noHBand="0" w:noVBand="0"/>
      </w:tblPr>
      <w:tblGrid>
        <w:gridCol w:w="5814"/>
        <w:gridCol w:w="1744"/>
        <w:gridCol w:w="1897"/>
      </w:tblGrid>
      <w:tr w:rsidR="00587444" w:rsidRPr="00587444" w14:paraId="5FDFB412" w14:textId="77777777" w:rsidTr="00DD69E7">
        <w:trPr>
          <w:trHeight w:hRule="exact" w:val="351"/>
        </w:trPr>
        <w:tc>
          <w:tcPr>
            <w:tcW w:w="3075" w:type="pct"/>
            <w:vAlign w:val="center"/>
          </w:tcPr>
          <w:p w14:paraId="75A6759A" w14:textId="77777777" w:rsidR="00587444" w:rsidRPr="00587444" w:rsidRDefault="00587444" w:rsidP="00587444">
            <w:pPr>
              <w:tabs>
                <w:tab w:val="left" w:pos="-1963"/>
              </w:tabs>
              <w:autoSpaceDN/>
              <w:jc w:val="center"/>
              <w:rPr>
                <w:rFonts w:ascii="Arial" w:hAnsi="Arial" w:cs="Arial"/>
                <w:spacing w:val="-3"/>
                <w:sz w:val="20"/>
                <w:szCs w:val="20"/>
                <w:lang w:val="hr-HR"/>
              </w:rPr>
            </w:pPr>
          </w:p>
        </w:tc>
        <w:tc>
          <w:tcPr>
            <w:tcW w:w="1925" w:type="pct"/>
            <w:gridSpan w:val="2"/>
            <w:vAlign w:val="center"/>
          </w:tcPr>
          <w:p w14:paraId="0DFA8C2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20"/>
                <w:szCs w:val="20"/>
                <w:lang w:val="hr-HR"/>
              </w:rPr>
            </w:pPr>
            <w:bookmarkStart w:id="899" w:name="_Toc4059931"/>
            <w:r w:rsidRPr="00587444">
              <w:rPr>
                <w:rFonts w:ascii="Arial" w:hAnsi="Arial" w:cs="Arial"/>
                <w:b/>
                <w:sz w:val="20"/>
                <w:szCs w:val="20"/>
                <w:lang w:val="hr-HR"/>
              </w:rPr>
              <w:t>Group</w:t>
            </w:r>
            <w:bookmarkEnd w:id="899"/>
            <w:r w:rsidRPr="00587444">
              <w:rPr>
                <w:rFonts w:ascii="Arial" w:hAnsi="Arial" w:cs="Arial"/>
                <w:b/>
                <w:sz w:val="20"/>
                <w:szCs w:val="20"/>
                <w:lang w:val="hr-HR"/>
              </w:rPr>
              <w:t xml:space="preserve"> and Bank</w:t>
            </w:r>
          </w:p>
        </w:tc>
      </w:tr>
      <w:tr w:rsidR="00587444" w:rsidRPr="00587444" w14:paraId="70656BC7" w14:textId="77777777" w:rsidTr="00DD69E7">
        <w:trPr>
          <w:trHeight w:hRule="exact" w:val="515"/>
        </w:trPr>
        <w:tc>
          <w:tcPr>
            <w:tcW w:w="3075" w:type="pct"/>
            <w:vAlign w:val="center"/>
          </w:tcPr>
          <w:p w14:paraId="240BF2B4" w14:textId="77777777" w:rsidR="00587444" w:rsidRPr="00587444" w:rsidRDefault="00587444" w:rsidP="00587444">
            <w:pPr>
              <w:tabs>
                <w:tab w:val="left" w:pos="-1963"/>
              </w:tabs>
              <w:autoSpaceDN/>
              <w:jc w:val="center"/>
              <w:rPr>
                <w:rFonts w:ascii="Arial" w:hAnsi="Arial" w:cs="Arial"/>
                <w:spacing w:val="-3"/>
                <w:sz w:val="20"/>
                <w:szCs w:val="20"/>
                <w:lang w:val="hr-HR"/>
              </w:rPr>
            </w:pPr>
          </w:p>
        </w:tc>
        <w:tc>
          <w:tcPr>
            <w:tcW w:w="922" w:type="pct"/>
            <w:tcBorders>
              <w:top w:val="nil"/>
              <w:left w:val="nil"/>
              <w:bottom w:val="nil"/>
              <w:right w:val="nil"/>
            </w:tcBorders>
            <w:shd w:val="clear" w:color="auto" w:fill="auto"/>
          </w:tcPr>
          <w:p w14:paraId="796AA6E6" w14:textId="77777777" w:rsidR="00587444" w:rsidRPr="00587444" w:rsidRDefault="00587444" w:rsidP="00587444">
            <w:pPr>
              <w:suppressAutoHyphens w:val="0"/>
              <w:autoSpaceDN/>
              <w:jc w:val="right"/>
              <w:rPr>
                <w:rFonts w:ascii="Arial" w:hAnsi="Arial" w:cs="Arial"/>
                <w:b/>
                <w:bCs/>
                <w:sz w:val="20"/>
                <w:szCs w:val="20"/>
              </w:rPr>
            </w:pPr>
            <w:r w:rsidRPr="00587444">
              <w:rPr>
                <w:rFonts w:ascii="Arial" w:hAnsi="Arial" w:cs="Arial"/>
                <w:b/>
                <w:bCs/>
                <w:sz w:val="20"/>
                <w:szCs w:val="20"/>
              </w:rPr>
              <w:t>31 December 2022</w:t>
            </w:r>
          </w:p>
        </w:tc>
        <w:tc>
          <w:tcPr>
            <w:tcW w:w="1003" w:type="pct"/>
            <w:tcBorders>
              <w:top w:val="nil"/>
              <w:left w:val="nil"/>
              <w:bottom w:val="nil"/>
              <w:right w:val="nil"/>
            </w:tcBorders>
            <w:shd w:val="clear" w:color="auto" w:fill="auto"/>
          </w:tcPr>
          <w:p w14:paraId="0B91B8A6" w14:textId="77777777" w:rsidR="00587444" w:rsidRPr="00587444" w:rsidRDefault="00587444" w:rsidP="00587444">
            <w:pPr>
              <w:suppressAutoHyphens w:val="0"/>
              <w:autoSpaceDN/>
              <w:jc w:val="right"/>
              <w:rPr>
                <w:rFonts w:ascii="Arial" w:hAnsi="Arial" w:cs="Arial"/>
                <w:b/>
                <w:bCs/>
                <w:sz w:val="20"/>
                <w:szCs w:val="20"/>
              </w:rPr>
            </w:pPr>
            <w:r w:rsidRPr="00587444">
              <w:rPr>
                <w:rFonts w:ascii="Arial" w:hAnsi="Arial" w:cs="Arial"/>
                <w:b/>
                <w:bCs/>
                <w:sz w:val="20"/>
                <w:szCs w:val="20"/>
              </w:rPr>
              <w:t>31 December 2021</w:t>
            </w:r>
          </w:p>
        </w:tc>
      </w:tr>
      <w:tr w:rsidR="00587444" w:rsidRPr="00587444" w14:paraId="2B0E78A2" w14:textId="77777777" w:rsidTr="00DD69E7">
        <w:trPr>
          <w:trHeight w:hRule="exact" w:val="234"/>
        </w:trPr>
        <w:tc>
          <w:tcPr>
            <w:tcW w:w="3075" w:type="pct"/>
          </w:tcPr>
          <w:p w14:paraId="7DE4A953" w14:textId="77777777" w:rsidR="00587444" w:rsidRPr="00587444" w:rsidRDefault="00587444" w:rsidP="00587444">
            <w:pPr>
              <w:tabs>
                <w:tab w:val="left" w:pos="-1963"/>
              </w:tabs>
              <w:autoSpaceDN/>
              <w:jc w:val="center"/>
              <w:rPr>
                <w:rFonts w:ascii="Arial" w:hAnsi="Arial" w:cs="Arial"/>
                <w:spacing w:val="-3"/>
                <w:sz w:val="20"/>
                <w:szCs w:val="20"/>
                <w:lang w:val="hr-HR"/>
              </w:rPr>
            </w:pPr>
          </w:p>
        </w:tc>
        <w:tc>
          <w:tcPr>
            <w:tcW w:w="922" w:type="pct"/>
          </w:tcPr>
          <w:p w14:paraId="4840D50E" w14:textId="77777777" w:rsidR="00587444" w:rsidRPr="00587444" w:rsidRDefault="00587444" w:rsidP="00587444">
            <w:pPr>
              <w:suppressAutoHyphens w:val="0"/>
              <w:autoSpaceDN/>
              <w:jc w:val="right"/>
              <w:rPr>
                <w:rFonts w:ascii="Arial" w:hAnsi="Arial" w:cs="Arial"/>
                <w:b/>
                <w:bCs/>
                <w:color w:val="000000"/>
                <w:sz w:val="20"/>
                <w:szCs w:val="20"/>
                <w:lang w:val="hr-HR"/>
              </w:rPr>
            </w:pPr>
            <w:r w:rsidRPr="00587444">
              <w:rPr>
                <w:rFonts w:ascii="Arial" w:hAnsi="Arial" w:cs="Arial"/>
                <w:b/>
                <w:bCs/>
                <w:sz w:val="20"/>
                <w:szCs w:val="20"/>
              </w:rPr>
              <w:t>HRK ‘000</w:t>
            </w:r>
          </w:p>
        </w:tc>
        <w:tc>
          <w:tcPr>
            <w:tcW w:w="1003" w:type="pct"/>
          </w:tcPr>
          <w:p w14:paraId="7A3A5652" w14:textId="77777777" w:rsidR="00587444" w:rsidRPr="00587444" w:rsidRDefault="00587444" w:rsidP="00587444">
            <w:pPr>
              <w:suppressAutoHyphens w:val="0"/>
              <w:autoSpaceDN/>
              <w:jc w:val="right"/>
              <w:rPr>
                <w:rFonts w:ascii="Arial" w:hAnsi="Arial" w:cs="Arial"/>
                <w:b/>
                <w:bCs/>
                <w:color w:val="000000"/>
                <w:sz w:val="20"/>
                <w:szCs w:val="20"/>
                <w:lang w:val="hr-HR"/>
              </w:rPr>
            </w:pPr>
            <w:r w:rsidRPr="00587444">
              <w:rPr>
                <w:rFonts w:ascii="Arial" w:hAnsi="Arial" w:cs="Arial"/>
                <w:b/>
                <w:bCs/>
                <w:sz w:val="20"/>
                <w:szCs w:val="20"/>
              </w:rPr>
              <w:t>HRK ‘000</w:t>
            </w:r>
          </w:p>
        </w:tc>
      </w:tr>
      <w:tr w:rsidR="00587444" w:rsidRPr="00587444" w14:paraId="2674B0E7" w14:textId="77777777" w:rsidTr="00DD69E7">
        <w:trPr>
          <w:trHeight w:val="322"/>
        </w:trPr>
        <w:tc>
          <w:tcPr>
            <w:tcW w:w="3075" w:type="pct"/>
          </w:tcPr>
          <w:p w14:paraId="6536A79B"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rPr>
            </w:pPr>
          </w:p>
        </w:tc>
        <w:tc>
          <w:tcPr>
            <w:tcW w:w="922" w:type="pct"/>
            <w:tcBorders>
              <w:top w:val="nil"/>
              <w:left w:val="nil"/>
              <w:bottom w:val="nil"/>
              <w:right w:val="nil"/>
            </w:tcBorders>
            <w:shd w:val="clear" w:color="auto" w:fill="auto"/>
            <w:vAlign w:val="bottom"/>
          </w:tcPr>
          <w:p w14:paraId="7CC8CD75" w14:textId="77777777" w:rsidR="00587444" w:rsidRPr="00587444" w:rsidDel="008F68E3" w:rsidRDefault="00587444" w:rsidP="00587444">
            <w:pPr>
              <w:tabs>
                <w:tab w:val="right" w:pos="1202"/>
              </w:tabs>
              <w:suppressAutoHyphens w:val="0"/>
              <w:autoSpaceDN/>
              <w:spacing w:line="301" w:lineRule="exact"/>
              <w:jc w:val="right"/>
              <w:outlineLvl w:val="0"/>
              <w:rPr>
                <w:rFonts w:ascii="Arial" w:hAnsi="Arial" w:cs="Arial"/>
                <w:sz w:val="20"/>
                <w:szCs w:val="20"/>
              </w:rPr>
            </w:pPr>
          </w:p>
        </w:tc>
        <w:tc>
          <w:tcPr>
            <w:tcW w:w="1003" w:type="pct"/>
            <w:tcBorders>
              <w:top w:val="nil"/>
              <w:left w:val="nil"/>
              <w:bottom w:val="nil"/>
              <w:right w:val="nil"/>
            </w:tcBorders>
            <w:shd w:val="clear" w:color="auto" w:fill="auto"/>
            <w:vAlign w:val="bottom"/>
          </w:tcPr>
          <w:p w14:paraId="3E7EEDC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p>
        </w:tc>
      </w:tr>
      <w:tr w:rsidR="00587444" w:rsidRPr="00587444" w14:paraId="6896C7D3" w14:textId="77777777" w:rsidTr="00DD69E7">
        <w:trPr>
          <w:trHeight w:val="322"/>
        </w:trPr>
        <w:tc>
          <w:tcPr>
            <w:tcW w:w="3075" w:type="pct"/>
          </w:tcPr>
          <w:p w14:paraId="65B35DF0"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hr-HR"/>
              </w:rPr>
            </w:pPr>
            <w:bookmarkStart w:id="900" w:name="_Toc4059933"/>
            <w:r w:rsidRPr="00587444">
              <w:rPr>
                <w:rFonts w:ascii="Arial" w:hAnsi="Arial" w:cs="Arial"/>
                <w:sz w:val="20"/>
                <w:szCs w:val="20"/>
              </w:rPr>
              <w:t>Balance as of 1 January</w:t>
            </w:r>
            <w:bookmarkEnd w:id="900"/>
            <w:r w:rsidRPr="00587444">
              <w:rPr>
                <w:rFonts w:ascii="Arial" w:hAnsi="Arial" w:cs="Arial"/>
                <w:sz w:val="20"/>
                <w:szCs w:val="20"/>
              </w:rPr>
              <w:t xml:space="preserve"> </w:t>
            </w:r>
          </w:p>
        </w:tc>
        <w:tc>
          <w:tcPr>
            <w:tcW w:w="922" w:type="pct"/>
            <w:tcBorders>
              <w:top w:val="nil"/>
              <w:left w:val="nil"/>
              <w:bottom w:val="nil"/>
              <w:right w:val="nil"/>
            </w:tcBorders>
            <w:shd w:val="clear" w:color="auto" w:fill="auto"/>
            <w:vAlign w:val="bottom"/>
          </w:tcPr>
          <w:p w14:paraId="2D27C01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16,104,000 </w:t>
            </w:r>
          </w:p>
        </w:tc>
        <w:tc>
          <w:tcPr>
            <w:tcW w:w="1003" w:type="pct"/>
            <w:tcBorders>
              <w:top w:val="nil"/>
              <w:left w:val="nil"/>
              <w:bottom w:val="nil"/>
              <w:right w:val="nil"/>
            </w:tcBorders>
            <w:shd w:val="clear" w:color="auto" w:fill="auto"/>
            <w:vAlign w:val="bottom"/>
          </w:tcPr>
          <w:p w14:paraId="69010E84"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587444">
              <w:rPr>
                <w:rFonts w:ascii="Arial" w:hAnsi="Arial" w:cs="Arial"/>
                <w:color w:val="000000"/>
                <w:sz w:val="20"/>
                <w:szCs w:val="20"/>
                <w:lang w:val="hr-HR"/>
              </w:rPr>
              <w:t>16,852,094</w:t>
            </w:r>
          </w:p>
        </w:tc>
      </w:tr>
      <w:tr w:rsidR="00587444" w:rsidRPr="00587444" w14:paraId="18A9F145" w14:textId="77777777" w:rsidTr="00DD69E7">
        <w:trPr>
          <w:trHeight w:val="308"/>
        </w:trPr>
        <w:tc>
          <w:tcPr>
            <w:tcW w:w="3075" w:type="pct"/>
          </w:tcPr>
          <w:p w14:paraId="7B7CDCBD"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hr-HR"/>
              </w:rPr>
            </w:pPr>
            <w:bookmarkStart w:id="901" w:name="_Toc4059938"/>
            <w:r w:rsidRPr="00587444">
              <w:rPr>
                <w:rFonts w:ascii="Arial" w:hAnsi="Arial" w:cs="Arial"/>
                <w:sz w:val="20"/>
                <w:szCs w:val="20"/>
              </w:rPr>
              <w:t>New borrowings</w:t>
            </w:r>
            <w:bookmarkEnd w:id="901"/>
          </w:p>
        </w:tc>
        <w:tc>
          <w:tcPr>
            <w:tcW w:w="922" w:type="pct"/>
            <w:tcBorders>
              <w:top w:val="nil"/>
              <w:left w:val="nil"/>
              <w:bottom w:val="nil"/>
              <w:right w:val="nil"/>
            </w:tcBorders>
            <w:shd w:val="clear" w:color="auto" w:fill="auto"/>
            <w:vAlign w:val="bottom"/>
          </w:tcPr>
          <w:p w14:paraId="002D3ED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2,981,142 </w:t>
            </w:r>
          </w:p>
        </w:tc>
        <w:tc>
          <w:tcPr>
            <w:tcW w:w="1003" w:type="pct"/>
            <w:tcBorders>
              <w:top w:val="nil"/>
              <w:left w:val="nil"/>
              <w:bottom w:val="nil"/>
              <w:right w:val="nil"/>
            </w:tcBorders>
            <w:shd w:val="clear" w:color="auto" w:fill="auto"/>
            <w:vAlign w:val="bottom"/>
          </w:tcPr>
          <w:p w14:paraId="62D17608"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587444">
              <w:rPr>
                <w:rFonts w:ascii="Arial" w:hAnsi="Arial" w:cs="Arial"/>
                <w:color w:val="000000"/>
                <w:sz w:val="20"/>
                <w:szCs w:val="20"/>
                <w:lang w:val="hr-HR"/>
              </w:rPr>
              <w:t>1,668,482</w:t>
            </w:r>
          </w:p>
        </w:tc>
      </w:tr>
      <w:tr w:rsidR="00587444" w:rsidRPr="00587444" w14:paraId="79C525AA" w14:textId="77777777" w:rsidTr="00DD69E7">
        <w:trPr>
          <w:trHeight w:val="308"/>
        </w:trPr>
        <w:tc>
          <w:tcPr>
            <w:tcW w:w="3075" w:type="pct"/>
          </w:tcPr>
          <w:p w14:paraId="4A999631"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hr-HR"/>
              </w:rPr>
            </w:pPr>
            <w:bookmarkStart w:id="902" w:name="_Toc4059943"/>
            <w:r w:rsidRPr="00587444">
              <w:rPr>
                <w:rFonts w:ascii="Arial" w:hAnsi="Arial" w:cs="Arial"/>
                <w:sz w:val="20"/>
                <w:szCs w:val="20"/>
              </w:rPr>
              <w:t>Repayments</w:t>
            </w:r>
            <w:bookmarkEnd w:id="902"/>
          </w:p>
        </w:tc>
        <w:tc>
          <w:tcPr>
            <w:tcW w:w="922" w:type="pct"/>
            <w:tcBorders>
              <w:top w:val="nil"/>
              <w:left w:val="nil"/>
              <w:bottom w:val="nil"/>
              <w:right w:val="nil"/>
            </w:tcBorders>
            <w:shd w:val="clear" w:color="auto" w:fill="auto"/>
            <w:vAlign w:val="bottom"/>
          </w:tcPr>
          <w:p w14:paraId="0123C38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(2,631,688)</w:t>
            </w:r>
          </w:p>
        </w:tc>
        <w:tc>
          <w:tcPr>
            <w:tcW w:w="1003" w:type="pct"/>
            <w:tcBorders>
              <w:top w:val="nil"/>
              <w:left w:val="nil"/>
              <w:bottom w:val="nil"/>
              <w:right w:val="nil"/>
            </w:tcBorders>
            <w:shd w:val="clear" w:color="auto" w:fill="auto"/>
            <w:vAlign w:val="bottom"/>
          </w:tcPr>
          <w:p w14:paraId="540FB5FA"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587444">
              <w:rPr>
                <w:rFonts w:ascii="Arial" w:hAnsi="Arial" w:cs="Arial"/>
                <w:color w:val="000000"/>
                <w:sz w:val="20"/>
                <w:szCs w:val="20"/>
                <w:lang w:val="hr-HR"/>
              </w:rPr>
              <w:t>(2,391,147)</w:t>
            </w:r>
          </w:p>
        </w:tc>
      </w:tr>
      <w:tr w:rsidR="00587444" w:rsidRPr="00587444" w14:paraId="74DC1B25" w14:textId="77777777" w:rsidTr="00DD69E7">
        <w:trPr>
          <w:trHeight w:val="308"/>
        </w:trPr>
        <w:tc>
          <w:tcPr>
            <w:tcW w:w="3075" w:type="pct"/>
          </w:tcPr>
          <w:p w14:paraId="1B42DB01"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hr-HR"/>
              </w:rPr>
            </w:pPr>
            <w:bookmarkStart w:id="903" w:name="_Toc4059948"/>
            <w:r w:rsidRPr="00587444">
              <w:rPr>
                <w:rFonts w:ascii="Arial" w:hAnsi="Arial" w:cs="Arial"/>
                <w:sz w:val="20"/>
                <w:szCs w:val="20"/>
              </w:rPr>
              <w:t>Net foreign exchange gain/</w:t>
            </w:r>
            <w:bookmarkEnd w:id="903"/>
            <w:r w:rsidRPr="00587444">
              <w:rPr>
                <w:rFonts w:ascii="Arial" w:hAnsi="Arial" w:cs="Arial"/>
                <w:sz w:val="20"/>
                <w:szCs w:val="20"/>
              </w:rPr>
              <w:t>loss</w:t>
            </w:r>
          </w:p>
        </w:tc>
        <w:tc>
          <w:tcPr>
            <w:tcW w:w="922" w:type="pct"/>
            <w:tcBorders>
              <w:top w:val="nil"/>
              <w:left w:val="nil"/>
              <w:bottom w:val="single" w:sz="4" w:space="0" w:color="auto"/>
              <w:right w:val="nil"/>
            </w:tcBorders>
            <w:shd w:val="clear" w:color="auto" w:fill="auto"/>
            <w:vAlign w:val="bottom"/>
          </w:tcPr>
          <w:p w14:paraId="6ED86CB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 xml:space="preserve"> 45,676 </w:t>
            </w:r>
          </w:p>
        </w:tc>
        <w:tc>
          <w:tcPr>
            <w:tcW w:w="1003" w:type="pct"/>
            <w:tcBorders>
              <w:top w:val="nil"/>
              <w:left w:val="nil"/>
              <w:bottom w:val="single" w:sz="4" w:space="0" w:color="auto"/>
              <w:right w:val="nil"/>
            </w:tcBorders>
            <w:shd w:val="clear" w:color="auto" w:fill="auto"/>
            <w:vAlign w:val="bottom"/>
          </w:tcPr>
          <w:p w14:paraId="7FD04B0C"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587444">
              <w:rPr>
                <w:rFonts w:ascii="Arial" w:hAnsi="Arial" w:cs="Arial"/>
                <w:color w:val="000000"/>
                <w:sz w:val="20"/>
                <w:szCs w:val="20"/>
                <w:lang w:val="hr-HR"/>
              </w:rPr>
              <w:t>(25,429)</w:t>
            </w:r>
          </w:p>
        </w:tc>
      </w:tr>
      <w:tr w:rsidR="00587444" w:rsidRPr="00587444" w14:paraId="1EE2661B" w14:textId="77777777" w:rsidTr="00DD69E7">
        <w:trPr>
          <w:trHeight w:val="308"/>
        </w:trPr>
        <w:tc>
          <w:tcPr>
            <w:tcW w:w="3075" w:type="pct"/>
          </w:tcPr>
          <w:p w14:paraId="3B0A4A29" w14:textId="77777777" w:rsidR="00587444" w:rsidRPr="00587444" w:rsidRDefault="00587444" w:rsidP="00587444">
            <w:pPr>
              <w:tabs>
                <w:tab w:val="right" w:pos="1202"/>
              </w:tabs>
              <w:suppressAutoHyphens w:val="0"/>
              <w:autoSpaceDN/>
              <w:spacing w:line="301" w:lineRule="exact"/>
              <w:outlineLvl w:val="0"/>
              <w:rPr>
                <w:rFonts w:ascii="Arial" w:hAnsi="Arial" w:cs="Arial"/>
                <w:i/>
                <w:sz w:val="20"/>
                <w:szCs w:val="20"/>
                <w:lang w:val="hr-HR"/>
              </w:rPr>
            </w:pPr>
          </w:p>
        </w:tc>
        <w:tc>
          <w:tcPr>
            <w:tcW w:w="922" w:type="pct"/>
            <w:tcBorders>
              <w:top w:val="single" w:sz="4" w:space="0" w:color="auto"/>
              <w:bottom w:val="single" w:sz="12" w:space="0" w:color="auto"/>
            </w:tcBorders>
            <w:vAlign w:val="bottom"/>
          </w:tcPr>
          <w:p w14:paraId="14CBDA2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16,499,130</w:t>
            </w:r>
          </w:p>
        </w:tc>
        <w:tc>
          <w:tcPr>
            <w:tcW w:w="1003" w:type="pct"/>
            <w:tcBorders>
              <w:top w:val="single" w:sz="4" w:space="0" w:color="auto"/>
              <w:bottom w:val="single" w:sz="12" w:space="0" w:color="auto"/>
            </w:tcBorders>
            <w:shd w:val="clear" w:color="auto" w:fill="auto"/>
            <w:vAlign w:val="bottom"/>
          </w:tcPr>
          <w:p w14:paraId="6B7C695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587444">
              <w:rPr>
                <w:rFonts w:ascii="Arial" w:hAnsi="Arial" w:cs="Arial"/>
                <w:color w:val="000000"/>
                <w:sz w:val="20"/>
                <w:szCs w:val="20"/>
                <w:lang w:val="hr-HR"/>
              </w:rPr>
              <w:t>16,104,000</w:t>
            </w:r>
          </w:p>
        </w:tc>
      </w:tr>
      <w:tr w:rsidR="00587444" w:rsidRPr="00587444" w14:paraId="202AFD4B" w14:textId="77777777" w:rsidTr="00DD69E7">
        <w:trPr>
          <w:trHeight w:val="308"/>
        </w:trPr>
        <w:tc>
          <w:tcPr>
            <w:tcW w:w="3075" w:type="pct"/>
          </w:tcPr>
          <w:p w14:paraId="6E73ED80"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hr-HR"/>
              </w:rPr>
            </w:pPr>
            <w:bookmarkStart w:id="904" w:name="_Toc4059956"/>
            <w:r w:rsidRPr="00587444">
              <w:rPr>
                <w:rFonts w:ascii="Arial" w:hAnsi="Arial" w:cs="Arial"/>
                <w:sz w:val="20"/>
                <w:szCs w:val="20"/>
              </w:rPr>
              <w:t>Accrued interest</w:t>
            </w:r>
            <w:bookmarkEnd w:id="904"/>
          </w:p>
        </w:tc>
        <w:tc>
          <w:tcPr>
            <w:tcW w:w="922" w:type="pct"/>
            <w:tcBorders>
              <w:top w:val="single" w:sz="12" w:space="0" w:color="auto"/>
              <w:left w:val="nil"/>
              <w:bottom w:val="nil"/>
              <w:right w:val="nil"/>
            </w:tcBorders>
            <w:shd w:val="clear" w:color="auto" w:fill="auto"/>
            <w:vAlign w:val="bottom"/>
          </w:tcPr>
          <w:p w14:paraId="706B439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30,102</w:t>
            </w:r>
          </w:p>
        </w:tc>
        <w:tc>
          <w:tcPr>
            <w:tcW w:w="1003" w:type="pct"/>
            <w:tcBorders>
              <w:top w:val="single" w:sz="12" w:space="0" w:color="auto"/>
              <w:left w:val="nil"/>
              <w:bottom w:val="nil"/>
              <w:right w:val="nil"/>
            </w:tcBorders>
            <w:shd w:val="clear" w:color="auto" w:fill="auto"/>
            <w:vAlign w:val="bottom"/>
          </w:tcPr>
          <w:p w14:paraId="5E0C7D2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587444">
              <w:rPr>
                <w:rFonts w:ascii="Arial" w:hAnsi="Arial" w:cs="Arial"/>
                <w:color w:val="000000"/>
                <w:sz w:val="20"/>
                <w:szCs w:val="20"/>
                <w:lang w:val="hr-HR"/>
              </w:rPr>
              <w:t>34,657</w:t>
            </w:r>
          </w:p>
        </w:tc>
      </w:tr>
      <w:tr w:rsidR="00587444" w:rsidRPr="00587444" w14:paraId="163ED7B3" w14:textId="77777777" w:rsidTr="00DD69E7">
        <w:trPr>
          <w:trHeight w:val="308"/>
        </w:trPr>
        <w:tc>
          <w:tcPr>
            <w:tcW w:w="3075" w:type="pct"/>
            <w:vAlign w:val="bottom"/>
          </w:tcPr>
          <w:p w14:paraId="2C43E6D6"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hr-HR"/>
              </w:rPr>
            </w:pPr>
            <w:bookmarkStart w:id="905" w:name="_Toc4059961"/>
            <w:r w:rsidRPr="00587444">
              <w:rPr>
                <w:rFonts w:ascii="Arial" w:hAnsi="Arial" w:cs="Arial"/>
                <w:sz w:val="20"/>
                <w:szCs w:val="20"/>
              </w:rPr>
              <w:t>Deferred fees</w:t>
            </w:r>
            <w:bookmarkEnd w:id="905"/>
          </w:p>
        </w:tc>
        <w:tc>
          <w:tcPr>
            <w:tcW w:w="922" w:type="pct"/>
            <w:tcBorders>
              <w:top w:val="nil"/>
              <w:left w:val="nil"/>
              <w:bottom w:val="single" w:sz="4" w:space="0" w:color="auto"/>
              <w:right w:val="nil"/>
            </w:tcBorders>
            <w:shd w:val="clear" w:color="auto" w:fill="auto"/>
            <w:vAlign w:val="bottom"/>
          </w:tcPr>
          <w:p w14:paraId="43FB693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hAnsi="Arial" w:cs="Arial"/>
                <w:color w:val="000000"/>
                <w:sz w:val="20"/>
                <w:szCs w:val="20"/>
                <w:lang w:val="hr-HR"/>
              </w:rPr>
              <w:t>(27,956)</w:t>
            </w:r>
          </w:p>
        </w:tc>
        <w:tc>
          <w:tcPr>
            <w:tcW w:w="1003" w:type="pct"/>
            <w:tcBorders>
              <w:top w:val="nil"/>
              <w:left w:val="nil"/>
              <w:bottom w:val="single" w:sz="4" w:space="0" w:color="auto"/>
              <w:right w:val="nil"/>
            </w:tcBorders>
            <w:shd w:val="clear" w:color="auto" w:fill="auto"/>
            <w:vAlign w:val="bottom"/>
          </w:tcPr>
          <w:p w14:paraId="1F0176FF"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587444">
              <w:rPr>
                <w:rFonts w:ascii="Arial" w:hAnsi="Arial" w:cs="Arial"/>
                <w:color w:val="000000"/>
                <w:sz w:val="20"/>
                <w:szCs w:val="20"/>
                <w:lang w:val="hr-HR"/>
              </w:rPr>
              <w:t>(23,420)</w:t>
            </w:r>
          </w:p>
        </w:tc>
      </w:tr>
      <w:tr w:rsidR="00587444" w:rsidRPr="00587444" w14:paraId="38E85620" w14:textId="77777777" w:rsidTr="00DD69E7">
        <w:trPr>
          <w:trHeight w:val="351"/>
        </w:trPr>
        <w:tc>
          <w:tcPr>
            <w:tcW w:w="3075" w:type="pct"/>
          </w:tcPr>
          <w:p w14:paraId="03E5B750"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lang w:val="hr-HR"/>
              </w:rPr>
            </w:pPr>
          </w:p>
        </w:tc>
        <w:tc>
          <w:tcPr>
            <w:tcW w:w="922" w:type="pct"/>
            <w:tcBorders>
              <w:top w:val="single" w:sz="4" w:space="0" w:color="auto"/>
              <w:bottom w:val="single" w:sz="12" w:space="0" w:color="auto"/>
            </w:tcBorders>
            <w:vAlign w:val="bottom"/>
          </w:tcPr>
          <w:p w14:paraId="1EB61DE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587444">
              <w:rPr>
                <w:rFonts w:ascii="Arial" w:hAnsi="Arial" w:cs="Arial"/>
                <w:b/>
                <w:bCs/>
                <w:color w:val="000000"/>
                <w:sz w:val="20"/>
                <w:szCs w:val="20"/>
                <w:lang w:val="hr-HR"/>
              </w:rPr>
              <w:t>16,501,276</w:t>
            </w:r>
          </w:p>
        </w:tc>
        <w:tc>
          <w:tcPr>
            <w:tcW w:w="1003" w:type="pct"/>
            <w:tcBorders>
              <w:top w:val="single" w:sz="4" w:space="0" w:color="auto"/>
              <w:bottom w:val="single" w:sz="12" w:space="0" w:color="auto"/>
            </w:tcBorders>
            <w:shd w:val="clear" w:color="auto" w:fill="auto"/>
            <w:vAlign w:val="bottom"/>
          </w:tcPr>
          <w:p w14:paraId="4BA5F65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color w:val="000000"/>
                <w:sz w:val="20"/>
                <w:szCs w:val="20"/>
                <w:lang w:val="hr-HR"/>
              </w:rPr>
            </w:pPr>
            <w:r w:rsidRPr="00587444">
              <w:rPr>
                <w:rFonts w:ascii="Arial" w:hAnsi="Arial" w:cs="Arial"/>
                <w:b/>
                <w:bCs/>
                <w:color w:val="000000"/>
                <w:sz w:val="20"/>
                <w:szCs w:val="20"/>
                <w:lang w:val="hr-HR"/>
              </w:rPr>
              <w:t>16,115,237</w:t>
            </w:r>
          </w:p>
        </w:tc>
      </w:tr>
    </w:tbl>
    <w:p w14:paraId="443CE064" w14:textId="77777777" w:rsidR="00587444" w:rsidRPr="00587444" w:rsidRDefault="00587444" w:rsidP="00587444">
      <w:pPr>
        <w:tabs>
          <w:tab w:val="left" w:pos="-720"/>
        </w:tabs>
        <w:suppressAutoHyphens w:val="0"/>
        <w:autoSpaceDN/>
        <w:jc w:val="both"/>
        <w:rPr>
          <w:rFonts w:ascii="Arial" w:hAnsi="Arial" w:cs="Arial"/>
          <w:b/>
          <w:sz w:val="20"/>
          <w:szCs w:val="20"/>
          <w:lang w:eastAsia="hr-HR"/>
        </w:rPr>
      </w:pPr>
    </w:p>
    <w:p w14:paraId="6E794334" w14:textId="77777777" w:rsidR="00587444" w:rsidRPr="00587444" w:rsidRDefault="00587444" w:rsidP="00587444">
      <w:pPr>
        <w:suppressAutoHyphens w:val="0"/>
        <w:autoSpaceDN/>
        <w:jc w:val="both"/>
        <w:rPr>
          <w:rFonts w:ascii="Arial" w:hAnsi="Arial" w:cs="Arial"/>
          <w:sz w:val="20"/>
          <w:szCs w:val="20"/>
        </w:rPr>
      </w:pPr>
    </w:p>
    <w:tbl>
      <w:tblPr>
        <w:tblW w:w="9218" w:type="dxa"/>
        <w:tblLook w:val="04A0" w:firstRow="1" w:lastRow="0" w:firstColumn="1" w:lastColumn="0" w:noHBand="0" w:noVBand="1"/>
      </w:tblPr>
      <w:tblGrid>
        <w:gridCol w:w="5669"/>
        <w:gridCol w:w="1701"/>
        <w:gridCol w:w="1848"/>
      </w:tblGrid>
      <w:tr w:rsidR="00587444" w:rsidRPr="00587444" w14:paraId="182C65B9" w14:textId="77777777" w:rsidTr="00DD69E7">
        <w:trPr>
          <w:trHeight w:val="290"/>
        </w:trPr>
        <w:tc>
          <w:tcPr>
            <w:tcW w:w="5669" w:type="dxa"/>
            <w:tcBorders>
              <w:top w:val="nil"/>
              <w:left w:val="nil"/>
              <w:bottom w:val="nil"/>
              <w:right w:val="nil"/>
            </w:tcBorders>
            <w:shd w:val="clear" w:color="auto" w:fill="auto"/>
            <w:vAlign w:val="center"/>
            <w:hideMark/>
          </w:tcPr>
          <w:p w14:paraId="3D140ACA" w14:textId="77777777" w:rsidR="00587444" w:rsidRPr="00587444" w:rsidRDefault="00587444" w:rsidP="00587444">
            <w:pPr>
              <w:suppressAutoHyphens w:val="0"/>
              <w:autoSpaceDN/>
              <w:rPr>
                <w:rFonts w:ascii="Arial" w:hAnsi="Arial" w:cs="Arial"/>
                <w:sz w:val="20"/>
                <w:szCs w:val="20"/>
              </w:rPr>
            </w:pPr>
          </w:p>
        </w:tc>
        <w:tc>
          <w:tcPr>
            <w:tcW w:w="3549" w:type="dxa"/>
            <w:gridSpan w:val="2"/>
            <w:tcBorders>
              <w:top w:val="nil"/>
              <w:left w:val="nil"/>
              <w:bottom w:val="nil"/>
              <w:right w:val="nil"/>
            </w:tcBorders>
            <w:shd w:val="clear" w:color="auto" w:fill="auto"/>
            <w:vAlign w:val="center"/>
            <w:hideMark/>
          </w:tcPr>
          <w:p w14:paraId="44EECC9C" w14:textId="77777777" w:rsidR="00587444" w:rsidRPr="00587444" w:rsidRDefault="00587444" w:rsidP="00587444">
            <w:pPr>
              <w:suppressAutoHyphens w:val="0"/>
              <w:autoSpaceDN/>
              <w:jc w:val="right"/>
              <w:rPr>
                <w:rFonts w:ascii="Arial" w:hAnsi="Arial" w:cs="Arial"/>
                <w:b/>
                <w:bCs/>
                <w:color w:val="000000"/>
                <w:sz w:val="20"/>
                <w:szCs w:val="20"/>
              </w:rPr>
            </w:pPr>
            <w:r w:rsidRPr="00587444">
              <w:rPr>
                <w:rFonts w:ascii="Arial" w:hAnsi="Arial" w:cs="Arial"/>
                <w:b/>
                <w:bCs/>
                <w:color w:val="000000"/>
                <w:sz w:val="20"/>
                <w:szCs w:val="20"/>
              </w:rPr>
              <w:t>Group and Bank</w:t>
            </w:r>
          </w:p>
        </w:tc>
      </w:tr>
      <w:tr w:rsidR="00587444" w:rsidRPr="00587444" w14:paraId="4EC06C8D" w14:textId="77777777" w:rsidTr="00DD69E7">
        <w:trPr>
          <w:trHeight w:val="290"/>
        </w:trPr>
        <w:tc>
          <w:tcPr>
            <w:tcW w:w="5669" w:type="dxa"/>
            <w:vMerge w:val="restart"/>
            <w:tcBorders>
              <w:top w:val="nil"/>
              <w:left w:val="nil"/>
              <w:bottom w:val="nil"/>
              <w:right w:val="nil"/>
            </w:tcBorders>
            <w:shd w:val="clear" w:color="auto" w:fill="auto"/>
            <w:vAlign w:val="center"/>
            <w:hideMark/>
          </w:tcPr>
          <w:p w14:paraId="7A473701" w14:textId="77777777" w:rsidR="00587444" w:rsidRPr="00587444" w:rsidRDefault="00587444" w:rsidP="00587444">
            <w:pPr>
              <w:suppressAutoHyphens w:val="0"/>
              <w:autoSpaceDN/>
              <w:jc w:val="right"/>
              <w:rPr>
                <w:rFonts w:ascii="Arial" w:hAnsi="Arial" w:cs="Arial"/>
                <w:b/>
                <w:bCs/>
                <w:color w:val="000000"/>
                <w:sz w:val="20"/>
                <w:szCs w:val="20"/>
              </w:rPr>
            </w:pPr>
          </w:p>
        </w:tc>
        <w:tc>
          <w:tcPr>
            <w:tcW w:w="1701" w:type="dxa"/>
            <w:tcBorders>
              <w:top w:val="nil"/>
              <w:left w:val="nil"/>
              <w:bottom w:val="nil"/>
              <w:right w:val="nil"/>
            </w:tcBorders>
            <w:shd w:val="clear" w:color="auto" w:fill="auto"/>
            <w:vAlign w:val="center"/>
            <w:hideMark/>
          </w:tcPr>
          <w:p w14:paraId="19162889" w14:textId="77777777" w:rsidR="00587444" w:rsidRPr="00587444" w:rsidRDefault="00587444" w:rsidP="00587444">
            <w:pPr>
              <w:suppressAutoHyphens w:val="0"/>
              <w:autoSpaceDN/>
              <w:jc w:val="right"/>
              <w:rPr>
                <w:rFonts w:ascii="Arial" w:hAnsi="Arial" w:cs="Arial"/>
                <w:b/>
                <w:bCs/>
                <w:color w:val="000000"/>
                <w:sz w:val="20"/>
                <w:szCs w:val="20"/>
              </w:rPr>
            </w:pPr>
            <w:r w:rsidRPr="00587444">
              <w:rPr>
                <w:rFonts w:ascii="Arial" w:hAnsi="Arial" w:cs="Arial"/>
                <w:b/>
                <w:bCs/>
                <w:color w:val="000000"/>
                <w:sz w:val="20"/>
                <w:szCs w:val="20"/>
              </w:rPr>
              <w:t>31 December</w:t>
            </w:r>
          </w:p>
        </w:tc>
        <w:tc>
          <w:tcPr>
            <w:tcW w:w="1848" w:type="dxa"/>
            <w:tcBorders>
              <w:top w:val="nil"/>
              <w:left w:val="nil"/>
              <w:bottom w:val="nil"/>
              <w:right w:val="nil"/>
            </w:tcBorders>
            <w:shd w:val="clear" w:color="auto" w:fill="auto"/>
            <w:vAlign w:val="center"/>
            <w:hideMark/>
          </w:tcPr>
          <w:p w14:paraId="021DDD53" w14:textId="77777777" w:rsidR="00587444" w:rsidRPr="00587444" w:rsidRDefault="00587444" w:rsidP="00587444">
            <w:pPr>
              <w:suppressAutoHyphens w:val="0"/>
              <w:autoSpaceDN/>
              <w:jc w:val="right"/>
              <w:rPr>
                <w:rFonts w:ascii="Arial" w:hAnsi="Arial" w:cs="Arial"/>
                <w:b/>
                <w:bCs/>
                <w:color w:val="000000"/>
                <w:sz w:val="20"/>
                <w:szCs w:val="20"/>
              </w:rPr>
            </w:pPr>
            <w:r w:rsidRPr="00587444">
              <w:rPr>
                <w:rFonts w:ascii="Arial" w:hAnsi="Arial" w:cs="Arial"/>
                <w:b/>
                <w:bCs/>
                <w:color w:val="000000"/>
                <w:sz w:val="20"/>
                <w:szCs w:val="20"/>
              </w:rPr>
              <w:t>31 December</w:t>
            </w:r>
          </w:p>
        </w:tc>
      </w:tr>
      <w:tr w:rsidR="00587444" w:rsidRPr="00587444" w14:paraId="0B91EA5B" w14:textId="77777777" w:rsidTr="00DD69E7">
        <w:trPr>
          <w:trHeight w:val="290"/>
        </w:trPr>
        <w:tc>
          <w:tcPr>
            <w:tcW w:w="5669" w:type="dxa"/>
            <w:vMerge/>
            <w:tcBorders>
              <w:top w:val="nil"/>
              <w:left w:val="nil"/>
              <w:bottom w:val="nil"/>
              <w:right w:val="nil"/>
            </w:tcBorders>
            <w:vAlign w:val="center"/>
            <w:hideMark/>
          </w:tcPr>
          <w:p w14:paraId="47114E4B" w14:textId="77777777" w:rsidR="00587444" w:rsidRPr="00587444" w:rsidRDefault="00587444" w:rsidP="00587444">
            <w:pPr>
              <w:suppressAutoHyphens w:val="0"/>
              <w:autoSpaceDN/>
              <w:rPr>
                <w:rFonts w:ascii="Arial" w:hAnsi="Arial" w:cs="Arial"/>
                <w:b/>
                <w:bCs/>
                <w:color w:val="000000"/>
                <w:sz w:val="20"/>
                <w:szCs w:val="20"/>
              </w:rPr>
            </w:pPr>
          </w:p>
        </w:tc>
        <w:tc>
          <w:tcPr>
            <w:tcW w:w="1701" w:type="dxa"/>
            <w:tcBorders>
              <w:top w:val="nil"/>
              <w:left w:val="nil"/>
              <w:bottom w:val="nil"/>
              <w:right w:val="nil"/>
            </w:tcBorders>
            <w:shd w:val="clear" w:color="auto" w:fill="auto"/>
            <w:vAlign w:val="center"/>
            <w:hideMark/>
          </w:tcPr>
          <w:p w14:paraId="7DF56165" w14:textId="77777777" w:rsidR="00587444" w:rsidRPr="00587444" w:rsidRDefault="00587444" w:rsidP="00587444">
            <w:pPr>
              <w:suppressAutoHyphens w:val="0"/>
              <w:autoSpaceDN/>
              <w:jc w:val="right"/>
              <w:rPr>
                <w:rFonts w:ascii="Arial" w:hAnsi="Arial" w:cs="Arial"/>
                <w:b/>
                <w:bCs/>
                <w:color w:val="000000"/>
                <w:sz w:val="20"/>
                <w:szCs w:val="20"/>
              </w:rPr>
            </w:pPr>
            <w:r w:rsidRPr="00587444">
              <w:rPr>
                <w:rFonts w:ascii="Arial" w:hAnsi="Arial" w:cs="Arial"/>
                <w:b/>
                <w:bCs/>
                <w:color w:val="000000"/>
                <w:sz w:val="20"/>
                <w:szCs w:val="20"/>
              </w:rPr>
              <w:t xml:space="preserve"> 2022</w:t>
            </w:r>
          </w:p>
        </w:tc>
        <w:tc>
          <w:tcPr>
            <w:tcW w:w="1848" w:type="dxa"/>
            <w:tcBorders>
              <w:top w:val="nil"/>
              <w:left w:val="nil"/>
              <w:bottom w:val="nil"/>
              <w:right w:val="nil"/>
            </w:tcBorders>
            <w:shd w:val="clear" w:color="auto" w:fill="auto"/>
            <w:vAlign w:val="center"/>
            <w:hideMark/>
          </w:tcPr>
          <w:p w14:paraId="49A64AD7" w14:textId="77777777" w:rsidR="00587444" w:rsidRPr="00587444" w:rsidRDefault="00587444" w:rsidP="00587444">
            <w:pPr>
              <w:suppressAutoHyphens w:val="0"/>
              <w:autoSpaceDN/>
              <w:jc w:val="right"/>
              <w:rPr>
                <w:rFonts w:ascii="Arial" w:hAnsi="Arial" w:cs="Arial"/>
                <w:b/>
                <w:bCs/>
                <w:color w:val="000000"/>
                <w:sz w:val="20"/>
                <w:szCs w:val="20"/>
              </w:rPr>
            </w:pPr>
            <w:r w:rsidRPr="00587444">
              <w:rPr>
                <w:rFonts w:ascii="Arial" w:hAnsi="Arial" w:cs="Arial"/>
                <w:b/>
                <w:bCs/>
                <w:color w:val="000000"/>
                <w:sz w:val="20"/>
                <w:szCs w:val="20"/>
              </w:rPr>
              <w:t xml:space="preserve"> 2021</w:t>
            </w:r>
          </w:p>
        </w:tc>
      </w:tr>
      <w:tr w:rsidR="00587444" w:rsidRPr="00587444" w14:paraId="227A05E9" w14:textId="77777777" w:rsidTr="00DD69E7">
        <w:trPr>
          <w:trHeight w:val="290"/>
        </w:trPr>
        <w:tc>
          <w:tcPr>
            <w:tcW w:w="5669" w:type="dxa"/>
            <w:tcBorders>
              <w:top w:val="nil"/>
              <w:left w:val="nil"/>
              <w:bottom w:val="nil"/>
              <w:right w:val="nil"/>
            </w:tcBorders>
            <w:shd w:val="clear" w:color="auto" w:fill="auto"/>
            <w:vAlign w:val="center"/>
            <w:hideMark/>
          </w:tcPr>
          <w:p w14:paraId="77D86D23" w14:textId="77777777" w:rsidR="00587444" w:rsidRPr="00587444" w:rsidRDefault="00587444" w:rsidP="00587444">
            <w:pPr>
              <w:suppressAutoHyphens w:val="0"/>
              <w:autoSpaceDN/>
              <w:jc w:val="right"/>
              <w:rPr>
                <w:rFonts w:ascii="Arial" w:hAnsi="Arial" w:cs="Arial"/>
                <w:b/>
                <w:bCs/>
                <w:color w:val="000000"/>
                <w:sz w:val="20"/>
                <w:szCs w:val="20"/>
              </w:rPr>
            </w:pPr>
          </w:p>
        </w:tc>
        <w:tc>
          <w:tcPr>
            <w:tcW w:w="1701" w:type="dxa"/>
            <w:tcBorders>
              <w:top w:val="nil"/>
              <w:left w:val="nil"/>
              <w:bottom w:val="nil"/>
              <w:right w:val="nil"/>
            </w:tcBorders>
            <w:shd w:val="clear" w:color="auto" w:fill="auto"/>
            <w:vAlign w:val="center"/>
            <w:hideMark/>
          </w:tcPr>
          <w:p w14:paraId="44DFCDE0" w14:textId="77777777" w:rsidR="00587444" w:rsidRPr="00587444" w:rsidRDefault="00587444" w:rsidP="00587444">
            <w:pPr>
              <w:suppressAutoHyphens w:val="0"/>
              <w:autoSpaceDN/>
              <w:jc w:val="right"/>
              <w:rPr>
                <w:rFonts w:ascii="Arial" w:hAnsi="Arial" w:cs="Arial"/>
                <w:b/>
                <w:bCs/>
                <w:color w:val="000000"/>
                <w:sz w:val="20"/>
                <w:szCs w:val="20"/>
              </w:rPr>
            </w:pPr>
            <w:r w:rsidRPr="00587444">
              <w:rPr>
                <w:rFonts w:ascii="Arial" w:hAnsi="Arial" w:cs="Arial"/>
                <w:b/>
                <w:bCs/>
                <w:color w:val="000000"/>
                <w:sz w:val="20"/>
                <w:szCs w:val="20"/>
              </w:rPr>
              <w:t>HRK ‘000</w:t>
            </w:r>
          </w:p>
        </w:tc>
        <w:tc>
          <w:tcPr>
            <w:tcW w:w="1848" w:type="dxa"/>
            <w:tcBorders>
              <w:top w:val="nil"/>
              <w:left w:val="nil"/>
              <w:bottom w:val="nil"/>
              <w:right w:val="nil"/>
            </w:tcBorders>
            <w:shd w:val="clear" w:color="auto" w:fill="auto"/>
            <w:vAlign w:val="center"/>
            <w:hideMark/>
          </w:tcPr>
          <w:p w14:paraId="58E9F572" w14:textId="77777777" w:rsidR="00587444" w:rsidRPr="00587444" w:rsidRDefault="00587444" w:rsidP="00587444">
            <w:pPr>
              <w:suppressAutoHyphens w:val="0"/>
              <w:autoSpaceDN/>
              <w:jc w:val="right"/>
              <w:rPr>
                <w:rFonts w:ascii="Arial" w:hAnsi="Arial" w:cs="Arial"/>
                <w:b/>
                <w:bCs/>
                <w:color w:val="000000"/>
                <w:sz w:val="20"/>
                <w:szCs w:val="20"/>
              </w:rPr>
            </w:pPr>
            <w:r w:rsidRPr="00587444">
              <w:rPr>
                <w:rFonts w:ascii="Arial" w:hAnsi="Arial" w:cs="Arial"/>
                <w:b/>
                <w:bCs/>
                <w:color w:val="000000"/>
                <w:sz w:val="20"/>
                <w:szCs w:val="20"/>
              </w:rPr>
              <w:t>HRK ‘000</w:t>
            </w:r>
          </w:p>
        </w:tc>
      </w:tr>
      <w:tr w:rsidR="00587444" w:rsidRPr="00587444" w14:paraId="11BEBC7B" w14:textId="77777777" w:rsidTr="00DD69E7">
        <w:trPr>
          <w:trHeight w:val="340"/>
        </w:trPr>
        <w:tc>
          <w:tcPr>
            <w:tcW w:w="5669" w:type="dxa"/>
            <w:tcBorders>
              <w:top w:val="nil"/>
              <w:left w:val="nil"/>
              <w:bottom w:val="nil"/>
              <w:right w:val="nil"/>
            </w:tcBorders>
            <w:shd w:val="clear" w:color="auto" w:fill="auto"/>
            <w:vAlign w:val="bottom"/>
            <w:hideMark/>
          </w:tcPr>
          <w:p w14:paraId="3E4179E9" w14:textId="0B0A3CEB" w:rsidR="00587444" w:rsidRPr="00587444" w:rsidRDefault="00587444" w:rsidP="00587444">
            <w:pPr>
              <w:suppressAutoHyphens w:val="0"/>
              <w:autoSpaceDN/>
              <w:rPr>
                <w:rFonts w:ascii="Arial" w:hAnsi="Arial" w:cs="Arial"/>
                <w:color w:val="000000"/>
                <w:sz w:val="20"/>
                <w:szCs w:val="20"/>
                <w:lang w:val="en-GB"/>
              </w:rPr>
            </w:pPr>
            <w:r w:rsidRPr="00587444">
              <w:rPr>
                <w:rFonts w:ascii="Arial" w:hAnsi="Arial" w:cs="Arial"/>
                <w:color w:val="000000"/>
                <w:sz w:val="20"/>
                <w:szCs w:val="20"/>
                <w:lang w:val="en-GB"/>
              </w:rPr>
              <w:t xml:space="preserve">Borrowings from foreign financial </w:t>
            </w:r>
            <w:r w:rsidR="00F13492" w:rsidRPr="00F13492">
              <w:rPr>
                <w:rFonts w:ascii="Arial" w:hAnsi="Arial" w:cs="Arial"/>
                <w:color w:val="000000"/>
                <w:sz w:val="20"/>
                <w:szCs w:val="20"/>
                <w:lang w:val="en-GB"/>
              </w:rPr>
              <w:t>institutions</w:t>
            </w:r>
          </w:p>
        </w:tc>
        <w:tc>
          <w:tcPr>
            <w:tcW w:w="1701" w:type="dxa"/>
            <w:tcBorders>
              <w:top w:val="nil"/>
              <w:left w:val="nil"/>
              <w:bottom w:val="nil"/>
              <w:right w:val="nil"/>
            </w:tcBorders>
            <w:shd w:val="clear" w:color="auto" w:fill="auto"/>
            <w:vAlign w:val="bottom"/>
          </w:tcPr>
          <w:p w14:paraId="70EEB74F" w14:textId="77777777" w:rsidR="00587444" w:rsidRPr="00587444" w:rsidRDefault="00587444" w:rsidP="00587444">
            <w:pPr>
              <w:suppressAutoHyphens w:val="0"/>
              <w:autoSpaceDN/>
              <w:jc w:val="right"/>
              <w:rPr>
                <w:rFonts w:ascii="Arial" w:hAnsi="Arial" w:cs="Arial"/>
                <w:color w:val="000000"/>
                <w:sz w:val="20"/>
                <w:szCs w:val="20"/>
              </w:rPr>
            </w:pPr>
            <w:r w:rsidRPr="00587444">
              <w:rPr>
                <w:rFonts w:ascii="Arial" w:hAnsi="Arial" w:cs="Arial"/>
                <w:color w:val="000000"/>
                <w:sz w:val="20"/>
                <w:szCs w:val="20"/>
              </w:rPr>
              <w:t>13,999,130</w:t>
            </w:r>
          </w:p>
        </w:tc>
        <w:tc>
          <w:tcPr>
            <w:tcW w:w="1848" w:type="dxa"/>
            <w:tcBorders>
              <w:top w:val="nil"/>
              <w:left w:val="nil"/>
              <w:bottom w:val="nil"/>
              <w:right w:val="nil"/>
            </w:tcBorders>
            <w:shd w:val="clear" w:color="auto" w:fill="auto"/>
            <w:vAlign w:val="bottom"/>
            <w:hideMark/>
          </w:tcPr>
          <w:p w14:paraId="10FB3F79" w14:textId="77777777" w:rsidR="00587444" w:rsidRPr="00587444" w:rsidRDefault="00587444" w:rsidP="00587444">
            <w:pPr>
              <w:suppressAutoHyphens w:val="0"/>
              <w:autoSpaceDN/>
              <w:jc w:val="right"/>
              <w:rPr>
                <w:rFonts w:ascii="Arial" w:hAnsi="Arial" w:cs="Arial"/>
                <w:color w:val="000000"/>
                <w:sz w:val="20"/>
                <w:szCs w:val="20"/>
              </w:rPr>
            </w:pPr>
            <w:r w:rsidRPr="00587444">
              <w:rPr>
                <w:rFonts w:ascii="Arial" w:hAnsi="Arial" w:cs="Arial"/>
                <w:color w:val="000000"/>
                <w:sz w:val="20"/>
                <w:szCs w:val="20"/>
              </w:rPr>
              <w:t>14,604,000</w:t>
            </w:r>
          </w:p>
        </w:tc>
      </w:tr>
      <w:tr w:rsidR="00587444" w:rsidRPr="00587444" w14:paraId="6C8AF83E" w14:textId="77777777" w:rsidTr="00DD69E7">
        <w:trPr>
          <w:trHeight w:val="340"/>
        </w:trPr>
        <w:tc>
          <w:tcPr>
            <w:tcW w:w="5669" w:type="dxa"/>
            <w:tcBorders>
              <w:top w:val="nil"/>
              <w:left w:val="nil"/>
              <w:bottom w:val="nil"/>
              <w:right w:val="nil"/>
            </w:tcBorders>
            <w:shd w:val="clear" w:color="auto" w:fill="auto"/>
            <w:vAlign w:val="bottom"/>
            <w:hideMark/>
          </w:tcPr>
          <w:p w14:paraId="5D518503" w14:textId="77777777" w:rsidR="00587444" w:rsidRPr="00587444" w:rsidRDefault="00587444" w:rsidP="00587444">
            <w:pPr>
              <w:suppressAutoHyphens w:val="0"/>
              <w:autoSpaceDN/>
              <w:rPr>
                <w:rFonts w:ascii="Arial" w:hAnsi="Arial" w:cs="Arial"/>
                <w:color w:val="000000"/>
                <w:sz w:val="20"/>
                <w:szCs w:val="20"/>
                <w:lang w:val="en-GB"/>
              </w:rPr>
            </w:pPr>
            <w:r w:rsidRPr="00587444">
              <w:rPr>
                <w:rFonts w:ascii="Arial" w:hAnsi="Arial" w:cs="Arial"/>
                <w:color w:val="000000"/>
                <w:sz w:val="20"/>
                <w:szCs w:val="20"/>
                <w:lang w:val="en-GB"/>
              </w:rPr>
              <w:t>Borrowings from domestic institutions</w:t>
            </w:r>
          </w:p>
        </w:tc>
        <w:tc>
          <w:tcPr>
            <w:tcW w:w="1701" w:type="dxa"/>
            <w:tcBorders>
              <w:top w:val="nil"/>
              <w:left w:val="nil"/>
              <w:bottom w:val="single" w:sz="8" w:space="0" w:color="auto"/>
              <w:right w:val="nil"/>
            </w:tcBorders>
            <w:shd w:val="clear" w:color="auto" w:fill="auto"/>
            <w:vAlign w:val="bottom"/>
          </w:tcPr>
          <w:p w14:paraId="1B68A520" w14:textId="77777777" w:rsidR="00587444" w:rsidRPr="00587444" w:rsidRDefault="00587444" w:rsidP="00587444">
            <w:pPr>
              <w:suppressAutoHyphens w:val="0"/>
              <w:autoSpaceDN/>
              <w:jc w:val="right"/>
              <w:rPr>
                <w:rFonts w:ascii="Arial" w:hAnsi="Arial" w:cs="Arial"/>
                <w:color w:val="000000"/>
                <w:sz w:val="20"/>
                <w:szCs w:val="20"/>
              </w:rPr>
            </w:pPr>
            <w:r w:rsidRPr="00587444">
              <w:rPr>
                <w:rFonts w:ascii="Arial" w:hAnsi="Arial" w:cs="Arial"/>
                <w:color w:val="000000"/>
                <w:sz w:val="20"/>
                <w:szCs w:val="20"/>
              </w:rPr>
              <w:t>2,500,000</w:t>
            </w:r>
          </w:p>
        </w:tc>
        <w:tc>
          <w:tcPr>
            <w:tcW w:w="1848" w:type="dxa"/>
            <w:tcBorders>
              <w:top w:val="nil"/>
              <w:left w:val="nil"/>
              <w:bottom w:val="single" w:sz="8" w:space="0" w:color="auto"/>
              <w:right w:val="nil"/>
            </w:tcBorders>
            <w:shd w:val="clear" w:color="auto" w:fill="auto"/>
            <w:vAlign w:val="bottom"/>
            <w:hideMark/>
          </w:tcPr>
          <w:p w14:paraId="189378B8" w14:textId="77777777" w:rsidR="00587444" w:rsidRPr="00587444" w:rsidRDefault="00587444" w:rsidP="00587444">
            <w:pPr>
              <w:suppressAutoHyphens w:val="0"/>
              <w:autoSpaceDN/>
              <w:jc w:val="right"/>
              <w:rPr>
                <w:rFonts w:ascii="Arial" w:hAnsi="Arial" w:cs="Arial"/>
                <w:color w:val="000000"/>
                <w:sz w:val="20"/>
                <w:szCs w:val="20"/>
              </w:rPr>
            </w:pPr>
            <w:r w:rsidRPr="00587444">
              <w:rPr>
                <w:rFonts w:ascii="Arial" w:hAnsi="Arial" w:cs="Arial"/>
                <w:color w:val="000000"/>
                <w:sz w:val="20"/>
                <w:szCs w:val="20"/>
              </w:rPr>
              <w:t>1,500,000</w:t>
            </w:r>
          </w:p>
        </w:tc>
      </w:tr>
      <w:tr w:rsidR="00587444" w:rsidRPr="00587444" w14:paraId="35C9E351" w14:textId="77777777" w:rsidTr="00DD69E7">
        <w:trPr>
          <w:trHeight w:val="340"/>
        </w:trPr>
        <w:tc>
          <w:tcPr>
            <w:tcW w:w="5669" w:type="dxa"/>
            <w:tcBorders>
              <w:top w:val="nil"/>
              <w:left w:val="nil"/>
              <w:bottom w:val="nil"/>
              <w:right w:val="nil"/>
            </w:tcBorders>
            <w:shd w:val="clear" w:color="auto" w:fill="auto"/>
            <w:vAlign w:val="center"/>
            <w:hideMark/>
          </w:tcPr>
          <w:p w14:paraId="2A6254B7" w14:textId="77777777" w:rsidR="00587444" w:rsidRPr="00587444" w:rsidRDefault="00587444" w:rsidP="00587444">
            <w:pPr>
              <w:suppressAutoHyphens w:val="0"/>
              <w:autoSpaceDN/>
              <w:jc w:val="right"/>
              <w:rPr>
                <w:rFonts w:ascii="Arial" w:hAnsi="Arial" w:cs="Arial"/>
                <w:color w:val="000000"/>
                <w:sz w:val="20"/>
                <w:szCs w:val="20"/>
                <w:lang w:val="en-GB"/>
              </w:rPr>
            </w:pPr>
          </w:p>
        </w:tc>
        <w:tc>
          <w:tcPr>
            <w:tcW w:w="1701" w:type="dxa"/>
            <w:tcBorders>
              <w:top w:val="nil"/>
              <w:left w:val="nil"/>
              <w:bottom w:val="single" w:sz="12" w:space="0" w:color="auto"/>
              <w:right w:val="nil"/>
            </w:tcBorders>
            <w:shd w:val="clear" w:color="auto" w:fill="auto"/>
            <w:vAlign w:val="bottom"/>
          </w:tcPr>
          <w:p w14:paraId="1958C36E" w14:textId="77777777" w:rsidR="00587444" w:rsidRPr="00587444" w:rsidRDefault="00587444" w:rsidP="00587444">
            <w:pPr>
              <w:suppressAutoHyphens w:val="0"/>
              <w:autoSpaceDN/>
              <w:jc w:val="right"/>
              <w:rPr>
                <w:rFonts w:ascii="Arial" w:hAnsi="Arial" w:cs="Arial"/>
                <w:color w:val="000000"/>
                <w:sz w:val="20"/>
                <w:szCs w:val="20"/>
              </w:rPr>
            </w:pPr>
            <w:r w:rsidRPr="00587444">
              <w:rPr>
                <w:rFonts w:ascii="Arial" w:hAnsi="Arial" w:cs="Arial"/>
                <w:color w:val="000000"/>
                <w:sz w:val="20"/>
                <w:szCs w:val="20"/>
              </w:rPr>
              <w:t>16,499,130</w:t>
            </w:r>
          </w:p>
        </w:tc>
        <w:tc>
          <w:tcPr>
            <w:tcW w:w="1848" w:type="dxa"/>
            <w:tcBorders>
              <w:top w:val="nil"/>
              <w:left w:val="nil"/>
              <w:bottom w:val="single" w:sz="12" w:space="0" w:color="auto"/>
              <w:right w:val="nil"/>
            </w:tcBorders>
            <w:shd w:val="clear" w:color="auto" w:fill="auto"/>
            <w:vAlign w:val="bottom"/>
            <w:hideMark/>
          </w:tcPr>
          <w:p w14:paraId="7D4E095B" w14:textId="77777777" w:rsidR="00587444" w:rsidRPr="00587444" w:rsidRDefault="00587444" w:rsidP="00587444">
            <w:pPr>
              <w:suppressAutoHyphens w:val="0"/>
              <w:autoSpaceDN/>
              <w:jc w:val="right"/>
              <w:rPr>
                <w:rFonts w:ascii="Arial" w:hAnsi="Arial" w:cs="Arial"/>
                <w:color w:val="000000"/>
                <w:sz w:val="20"/>
                <w:szCs w:val="20"/>
              </w:rPr>
            </w:pPr>
            <w:r w:rsidRPr="00587444">
              <w:rPr>
                <w:rFonts w:ascii="Arial" w:hAnsi="Arial" w:cs="Arial"/>
                <w:color w:val="000000"/>
                <w:sz w:val="20"/>
                <w:szCs w:val="20"/>
              </w:rPr>
              <w:t>16,104,000</w:t>
            </w:r>
          </w:p>
        </w:tc>
      </w:tr>
      <w:tr w:rsidR="00587444" w:rsidRPr="00587444" w14:paraId="0652AC40" w14:textId="77777777" w:rsidTr="00DD69E7">
        <w:trPr>
          <w:trHeight w:val="340"/>
        </w:trPr>
        <w:tc>
          <w:tcPr>
            <w:tcW w:w="5669" w:type="dxa"/>
            <w:tcBorders>
              <w:top w:val="nil"/>
              <w:left w:val="nil"/>
              <w:bottom w:val="nil"/>
              <w:right w:val="nil"/>
            </w:tcBorders>
            <w:shd w:val="clear" w:color="auto" w:fill="auto"/>
            <w:vAlign w:val="bottom"/>
            <w:hideMark/>
          </w:tcPr>
          <w:p w14:paraId="1D226CA0" w14:textId="77777777" w:rsidR="00587444" w:rsidRPr="00587444" w:rsidRDefault="00587444" w:rsidP="00587444">
            <w:pPr>
              <w:suppressAutoHyphens w:val="0"/>
              <w:autoSpaceDN/>
              <w:rPr>
                <w:rFonts w:ascii="Arial" w:hAnsi="Arial" w:cs="Arial"/>
                <w:color w:val="000000"/>
                <w:sz w:val="20"/>
                <w:szCs w:val="20"/>
                <w:lang w:val="en-GB"/>
              </w:rPr>
            </w:pPr>
            <w:r w:rsidRPr="00587444">
              <w:rPr>
                <w:rFonts w:ascii="Arial" w:hAnsi="Arial" w:cs="Arial"/>
                <w:color w:val="000000"/>
                <w:sz w:val="20"/>
                <w:szCs w:val="20"/>
                <w:lang w:val="en-GB"/>
              </w:rPr>
              <w:t xml:space="preserve">Accrued interest </w:t>
            </w:r>
          </w:p>
        </w:tc>
        <w:tc>
          <w:tcPr>
            <w:tcW w:w="1701" w:type="dxa"/>
            <w:tcBorders>
              <w:top w:val="nil"/>
              <w:left w:val="nil"/>
              <w:bottom w:val="nil"/>
              <w:right w:val="nil"/>
            </w:tcBorders>
            <w:shd w:val="clear" w:color="auto" w:fill="auto"/>
            <w:vAlign w:val="bottom"/>
          </w:tcPr>
          <w:p w14:paraId="4CADF391" w14:textId="77777777" w:rsidR="00587444" w:rsidRPr="00587444" w:rsidRDefault="00587444" w:rsidP="00587444">
            <w:pPr>
              <w:suppressAutoHyphens w:val="0"/>
              <w:autoSpaceDN/>
              <w:jc w:val="right"/>
              <w:rPr>
                <w:rFonts w:ascii="Arial" w:hAnsi="Arial" w:cs="Arial"/>
                <w:color w:val="000000"/>
                <w:sz w:val="20"/>
                <w:szCs w:val="20"/>
              </w:rPr>
            </w:pPr>
            <w:r w:rsidRPr="00587444">
              <w:rPr>
                <w:rFonts w:ascii="Arial" w:hAnsi="Arial" w:cs="Arial"/>
                <w:color w:val="000000"/>
                <w:sz w:val="20"/>
                <w:szCs w:val="20"/>
              </w:rPr>
              <w:t>30,102</w:t>
            </w:r>
          </w:p>
        </w:tc>
        <w:tc>
          <w:tcPr>
            <w:tcW w:w="1848" w:type="dxa"/>
            <w:tcBorders>
              <w:top w:val="nil"/>
              <w:left w:val="nil"/>
              <w:bottom w:val="nil"/>
              <w:right w:val="nil"/>
            </w:tcBorders>
            <w:shd w:val="clear" w:color="auto" w:fill="auto"/>
            <w:vAlign w:val="bottom"/>
            <w:hideMark/>
          </w:tcPr>
          <w:p w14:paraId="4865D96B" w14:textId="77777777" w:rsidR="00587444" w:rsidRPr="00587444" w:rsidRDefault="00587444" w:rsidP="00587444">
            <w:pPr>
              <w:suppressAutoHyphens w:val="0"/>
              <w:autoSpaceDN/>
              <w:jc w:val="right"/>
              <w:rPr>
                <w:rFonts w:ascii="Arial" w:hAnsi="Arial" w:cs="Arial"/>
                <w:color w:val="000000"/>
                <w:sz w:val="20"/>
                <w:szCs w:val="20"/>
              </w:rPr>
            </w:pPr>
            <w:r w:rsidRPr="00587444">
              <w:rPr>
                <w:rFonts w:ascii="Arial" w:hAnsi="Arial" w:cs="Arial"/>
                <w:color w:val="000000"/>
                <w:sz w:val="20"/>
                <w:szCs w:val="20"/>
              </w:rPr>
              <w:t>34,657</w:t>
            </w:r>
          </w:p>
        </w:tc>
      </w:tr>
      <w:tr w:rsidR="00587444" w:rsidRPr="00587444" w14:paraId="7D65CCD3" w14:textId="77777777" w:rsidTr="00DD69E7">
        <w:trPr>
          <w:trHeight w:val="340"/>
        </w:trPr>
        <w:tc>
          <w:tcPr>
            <w:tcW w:w="5669" w:type="dxa"/>
            <w:tcBorders>
              <w:top w:val="nil"/>
              <w:left w:val="nil"/>
              <w:bottom w:val="nil"/>
              <w:right w:val="nil"/>
            </w:tcBorders>
            <w:shd w:val="clear" w:color="auto" w:fill="auto"/>
            <w:vAlign w:val="bottom"/>
            <w:hideMark/>
          </w:tcPr>
          <w:p w14:paraId="2CA6C694" w14:textId="77777777" w:rsidR="00587444" w:rsidRPr="00587444" w:rsidRDefault="00587444" w:rsidP="00587444">
            <w:pPr>
              <w:suppressAutoHyphens w:val="0"/>
              <w:autoSpaceDN/>
              <w:rPr>
                <w:rFonts w:ascii="Arial" w:hAnsi="Arial" w:cs="Arial"/>
                <w:color w:val="000000"/>
                <w:sz w:val="20"/>
                <w:szCs w:val="20"/>
                <w:lang w:val="en-GB"/>
              </w:rPr>
            </w:pPr>
            <w:r w:rsidRPr="00587444">
              <w:rPr>
                <w:rFonts w:ascii="Arial" w:hAnsi="Arial" w:cs="Arial"/>
                <w:color w:val="000000"/>
                <w:sz w:val="20"/>
                <w:szCs w:val="20"/>
                <w:lang w:val="en-GB"/>
              </w:rPr>
              <w:t>Deferred recognition of fees</w:t>
            </w:r>
          </w:p>
        </w:tc>
        <w:tc>
          <w:tcPr>
            <w:tcW w:w="1701" w:type="dxa"/>
            <w:tcBorders>
              <w:top w:val="nil"/>
              <w:left w:val="nil"/>
              <w:bottom w:val="single" w:sz="8" w:space="0" w:color="auto"/>
              <w:right w:val="nil"/>
            </w:tcBorders>
            <w:shd w:val="clear" w:color="auto" w:fill="auto"/>
            <w:vAlign w:val="bottom"/>
          </w:tcPr>
          <w:p w14:paraId="151CDF81" w14:textId="77777777" w:rsidR="00587444" w:rsidRPr="00587444" w:rsidRDefault="00587444" w:rsidP="00587444">
            <w:pPr>
              <w:suppressAutoHyphens w:val="0"/>
              <w:autoSpaceDN/>
              <w:jc w:val="right"/>
              <w:rPr>
                <w:rFonts w:ascii="Arial" w:hAnsi="Arial" w:cs="Arial"/>
                <w:color w:val="000000"/>
                <w:sz w:val="20"/>
                <w:szCs w:val="20"/>
              </w:rPr>
            </w:pPr>
            <w:r w:rsidRPr="00587444">
              <w:rPr>
                <w:rFonts w:ascii="Arial" w:hAnsi="Arial" w:cs="Arial"/>
                <w:color w:val="000000"/>
                <w:sz w:val="20"/>
                <w:szCs w:val="20"/>
              </w:rPr>
              <w:t>(27,956)</w:t>
            </w:r>
          </w:p>
        </w:tc>
        <w:tc>
          <w:tcPr>
            <w:tcW w:w="1848" w:type="dxa"/>
            <w:tcBorders>
              <w:top w:val="nil"/>
              <w:left w:val="nil"/>
              <w:bottom w:val="single" w:sz="8" w:space="0" w:color="auto"/>
              <w:right w:val="nil"/>
            </w:tcBorders>
            <w:shd w:val="clear" w:color="auto" w:fill="auto"/>
            <w:vAlign w:val="bottom"/>
            <w:hideMark/>
          </w:tcPr>
          <w:p w14:paraId="0FB71323" w14:textId="77777777" w:rsidR="00587444" w:rsidRPr="00587444" w:rsidRDefault="00587444" w:rsidP="00587444">
            <w:pPr>
              <w:suppressAutoHyphens w:val="0"/>
              <w:autoSpaceDN/>
              <w:jc w:val="right"/>
              <w:rPr>
                <w:rFonts w:ascii="Arial" w:hAnsi="Arial" w:cs="Arial"/>
                <w:color w:val="000000"/>
                <w:sz w:val="20"/>
                <w:szCs w:val="20"/>
              </w:rPr>
            </w:pPr>
            <w:r w:rsidRPr="00587444">
              <w:rPr>
                <w:rFonts w:ascii="Arial" w:hAnsi="Arial" w:cs="Arial"/>
                <w:color w:val="000000"/>
                <w:sz w:val="20"/>
                <w:szCs w:val="20"/>
              </w:rPr>
              <w:t>(23,420)</w:t>
            </w:r>
          </w:p>
        </w:tc>
      </w:tr>
      <w:tr w:rsidR="00587444" w:rsidRPr="00587444" w14:paraId="7A18F0B4" w14:textId="77777777" w:rsidTr="00DD69E7">
        <w:trPr>
          <w:trHeight w:val="300"/>
        </w:trPr>
        <w:tc>
          <w:tcPr>
            <w:tcW w:w="5669" w:type="dxa"/>
            <w:tcBorders>
              <w:top w:val="nil"/>
              <w:left w:val="nil"/>
              <w:bottom w:val="nil"/>
              <w:right w:val="nil"/>
            </w:tcBorders>
            <w:shd w:val="clear" w:color="auto" w:fill="auto"/>
            <w:vAlign w:val="center"/>
            <w:hideMark/>
          </w:tcPr>
          <w:p w14:paraId="456FB3D0" w14:textId="77777777" w:rsidR="00587444" w:rsidRPr="00587444" w:rsidRDefault="00587444" w:rsidP="00587444">
            <w:pPr>
              <w:suppressAutoHyphens w:val="0"/>
              <w:autoSpaceDN/>
              <w:jc w:val="right"/>
              <w:rPr>
                <w:rFonts w:ascii="Arial" w:hAnsi="Arial" w:cs="Arial"/>
                <w:color w:val="000000"/>
                <w:sz w:val="20"/>
                <w:szCs w:val="20"/>
                <w:lang w:val="en-GB"/>
              </w:rPr>
            </w:pPr>
          </w:p>
        </w:tc>
        <w:tc>
          <w:tcPr>
            <w:tcW w:w="1701" w:type="dxa"/>
            <w:tcBorders>
              <w:top w:val="nil"/>
              <w:left w:val="nil"/>
              <w:bottom w:val="single" w:sz="12" w:space="0" w:color="auto"/>
              <w:right w:val="nil"/>
            </w:tcBorders>
            <w:shd w:val="clear" w:color="auto" w:fill="auto"/>
            <w:vAlign w:val="bottom"/>
          </w:tcPr>
          <w:p w14:paraId="69520176" w14:textId="77777777" w:rsidR="00587444" w:rsidRPr="00587444" w:rsidRDefault="00587444" w:rsidP="00587444">
            <w:pPr>
              <w:suppressAutoHyphens w:val="0"/>
              <w:autoSpaceDN/>
              <w:jc w:val="right"/>
              <w:rPr>
                <w:rFonts w:ascii="Arial" w:hAnsi="Arial" w:cs="Arial"/>
                <w:b/>
                <w:bCs/>
                <w:color w:val="000000"/>
                <w:sz w:val="20"/>
                <w:szCs w:val="20"/>
              </w:rPr>
            </w:pPr>
            <w:r w:rsidRPr="00587444">
              <w:rPr>
                <w:rFonts w:ascii="Arial" w:hAnsi="Arial" w:cs="Arial"/>
                <w:b/>
                <w:bCs/>
                <w:color w:val="000000"/>
                <w:sz w:val="20"/>
                <w:szCs w:val="20"/>
              </w:rPr>
              <w:t>16,501,276</w:t>
            </w:r>
          </w:p>
        </w:tc>
        <w:tc>
          <w:tcPr>
            <w:tcW w:w="1848" w:type="dxa"/>
            <w:tcBorders>
              <w:top w:val="nil"/>
              <w:left w:val="nil"/>
              <w:bottom w:val="single" w:sz="12" w:space="0" w:color="auto"/>
              <w:right w:val="nil"/>
            </w:tcBorders>
            <w:shd w:val="clear" w:color="auto" w:fill="auto"/>
            <w:vAlign w:val="bottom"/>
            <w:hideMark/>
          </w:tcPr>
          <w:p w14:paraId="0A0EEFFA" w14:textId="77777777" w:rsidR="00587444" w:rsidRPr="00587444" w:rsidRDefault="00587444" w:rsidP="00587444">
            <w:pPr>
              <w:suppressAutoHyphens w:val="0"/>
              <w:autoSpaceDN/>
              <w:jc w:val="right"/>
              <w:rPr>
                <w:rFonts w:ascii="Arial" w:hAnsi="Arial" w:cs="Arial"/>
                <w:b/>
                <w:bCs/>
                <w:color w:val="000000"/>
                <w:sz w:val="20"/>
                <w:szCs w:val="20"/>
              </w:rPr>
            </w:pPr>
            <w:r w:rsidRPr="00587444">
              <w:rPr>
                <w:rFonts w:ascii="Arial" w:hAnsi="Arial" w:cs="Arial"/>
                <w:b/>
                <w:bCs/>
                <w:color w:val="000000"/>
                <w:sz w:val="20"/>
                <w:szCs w:val="20"/>
              </w:rPr>
              <w:t>16,115,237</w:t>
            </w:r>
          </w:p>
        </w:tc>
      </w:tr>
    </w:tbl>
    <w:p w14:paraId="29D73402" w14:textId="77777777" w:rsidR="00587444" w:rsidRPr="00587444" w:rsidRDefault="00587444" w:rsidP="00880B90">
      <w:pPr>
        <w:autoSpaceDN/>
        <w:rPr>
          <w:rFonts w:ascii="Arial" w:hAnsi="Arial" w:cs="Arial"/>
          <w:sz w:val="20"/>
          <w:szCs w:val="20"/>
        </w:rPr>
      </w:pPr>
    </w:p>
    <w:p w14:paraId="3FF30C11"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 (a) Borrowings from foreign financial institutions relate to long-term loans from special financial institutions, mainly the European Investment Bank (EIB) and the Council of Europe Development Bank (CEB).</w:t>
      </w:r>
    </w:p>
    <w:p w14:paraId="6A22ABC2" w14:textId="77777777" w:rsidR="00587444" w:rsidRPr="00587444" w:rsidRDefault="00587444" w:rsidP="00880B90">
      <w:pPr>
        <w:autoSpaceDN/>
        <w:jc w:val="both"/>
        <w:rPr>
          <w:rFonts w:ascii="Arial" w:hAnsi="Arial" w:cs="Arial"/>
          <w:sz w:val="20"/>
          <w:szCs w:val="20"/>
          <w:lang w:val="hr-HR"/>
        </w:rPr>
      </w:pPr>
    </w:p>
    <w:p w14:paraId="4F242B89"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 (b) Borrowings from domestic institutions relate to a </w:t>
      </w:r>
      <w:proofErr w:type="gramStart"/>
      <w:r w:rsidRPr="00587444">
        <w:rPr>
          <w:rFonts w:ascii="Arial" w:hAnsi="Arial" w:cs="Arial"/>
          <w:sz w:val="20"/>
          <w:szCs w:val="20"/>
        </w:rPr>
        <w:t>loans</w:t>
      </w:r>
      <w:proofErr w:type="gramEnd"/>
      <w:r w:rsidRPr="00587444">
        <w:rPr>
          <w:rFonts w:ascii="Arial" w:hAnsi="Arial" w:cs="Arial"/>
          <w:sz w:val="20"/>
          <w:szCs w:val="20"/>
        </w:rPr>
        <w:t xml:space="preserve"> from the Ministry of Finance of the Republic of Croatia.</w:t>
      </w:r>
    </w:p>
    <w:p w14:paraId="39A6FC7D" w14:textId="77777777" w:rsidR="00587444" w:rsidRPr="00587444" w:rsidRDefault="00587444" w:rsidP="00587444">
      <w:pPr>
        <w:keepNext/>
        <w:suppressAutoHyphens w:val="0"/>
        <w:autoSpaceDN/>
        <w:spacing w:before="120" w:line="300" w:lineRule="exact"/>
        <w:jc w:val="both"/>
        <w:rPr>
          <w:rFonts w:ascii="Arial" w:hAnsi="Arial" w:cs="Arial"/>
          <w:b/>
          <w:bCs/>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5631197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34AA735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24.</w:t>
      </w:r>
      <w:r w:rsidRPr="00587444">
        <w:rPr>
          <w:rFonts w:ascii="Arial" w:hAnsi="Arial" w:cs="Arial"/>
          <w:b/>
          <w:bCs/>
          <w:sz w:val="20"/>
          <w:szCs w:val="20"/>
          <w:lang w:val="en-GB"/>
        </w:rPr>
        <w:tab/>
        <w:t>Provisions for guarantees, commitments and other liabilities</w:t>
      </w:r>
    </w:p>
    <w:p w14:paraId="0A18E38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7DC4CC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tbl>
      <w:tblPr>
        <w:tblW w:w="5037" w:type="pct"/>
        <w:tblLayout w:type="fixed"/>
        <w:tblCellMar>
          <w:left w:w="119" w:type="dxa"/>
          <w:right w:w="119" w:type="dxa"/>
        </w:tblCellMar>
        <w:tblLook w:val="0000" w:firstRow="0" w:lastRow="0" w:firstColumn="0" w:lastColumn="0" w:noHBand="0" w:noVBand="0"/>
      </w:tblPr>
      <w:tblGrid>
        <w:gridCol w:w="3782"/>
        <w:gridCol w:w="1471"/>
        <w:gridCol w:w="1473"/>
        <w:gridCol w:w="1471"/>
        <w:gridCol w:w="1467"/>
      </w:tblGrid>
      <w:tr w:rsidR="00587444" w:rsidRPr="00587444" w14:paraId="6522D18B" w14:textId="77777777" w:rsidTr="00DD69E7">
        <w:trPr>
          <w:trHeight w:val="236"/>
        </w:trPr>
        <w:tc>
          <w:tcPr>
            <w:tcW w:w="1957" w:type="pct"/>
          </w:tcPr>
          <w:p w14:paraId="5979B592" w14:textId="77777777" w:rsidR="00587444" w:rsidRPr="00587444" w:rsidRDefault="00587444" w:rsidP="00587444">
            <w:pPr>
              <w:tabs>
                <w:tab w:val="left" w:pos="-720"/>
              </w:tabs>
              <w:autoSpaceDN/>
              <w:rPr>
                <w:rFonts w:ascii="Arial" w:eastAsia="Calibri" w:hAnsi="Arial" w:cs="Arial"/>
                <w:spacing w:val="-2"/>
                <w:sz w:val="20"/>
                <w:szCs w:val="20"/>
                <w:lang w:val="hr-HR"/>
              </w:rPr>
            </w:pPr>
          </w:p>
        </w:tc>
        <w:tc>
          <w:tcPr>
            <w:tcW w:w="1523" w:type="pct"/>
            <w:gridSpan w:val="2"/>
            <w:vAlign w:val="center"/>
          </w:tcPr>
          <w:p w14:paraId="2D378F1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eastAsia="Calibri" w:hAnsi="Arial" w:cs="Arial"/>
                <w:b/>
                <w:bCs/>
                <w:sz w:val="20"/>
                <w:szCs w:val="20"/>
                <w:lang w:val="en-GB"/>
              </w:rPr>
              <w:t>Group</w:t>
            </w:r>
          </w:p>
        </w:tc>
        <w:tc>
          <w:tcPr>
            <w:tcW w:w="1520" w:type="pct"/>
            <w:gridSpan w:val="2"/>
            <w:vAlign w:val="center"/>
          </w:tcPr>
          <w:p w14:paraId="4778174D"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bCs/>
                <w:sz w:val="20"/>
                <w:szCs w:val="20"/>
                <w:lang w:val="en-GB"/>
              </w:rPr>
            </w:pPr>
            <w:r w:rsidRPr="00587444">
              <w:rPr>
                <w:rFonts w:ascii="Arial" w:eastAsia="Calibri" w:hAnsi="Arial" w:cs="Arial"/>
                <w:b/>
                <w:bCs/>
                <w:sz w:val="20"/>
                <w:szCs w:val="20"/>
                <w:lang w:val="en-GB"/>
              </w:rPr>
              <w:t>Bank</w:t>
            </w:r>
          </w:p>
        </w:tc>
      </w:tr>
      <w:tr w:rsidR="00587444" w:rsidRPr="00587444" w14:paraId="5F06C978" w14:textId="77777777" w:rsidTr="00DD69E7">
        <w:trPr>
          <w:trHeight w:val="474"/>
        </w:trPr>
        <w:tc>
          <w:tcPr>
            <w:tcW w:w="1957" w:type="pct"/>
          </w:tcPr>
          <w:p w14:paraId="03CDA2E8" w14:textId="77777777" w:rsidR="00587444" w:rsidRPr="00587444" w:rsidRDefault="00587444" w:rsidP="00587444">
            <w:pPr>
              <w:tabs>
                <w:tab w:val="left" w:pos="-720"/>
              </w:tabs>
              <w:autoSpaceDN/>
              <w:rPr>
                <w:rFonts w:ascii="Arial" w:eastAsia="Calibri" w:hAnsi="Arial" w:cs="Arial"/>
                <w:spacing w:val="-2"/>
                <w:sz w:val="20"/>
                <w:szCs w:val="20"/>
                <w:lang w:val="hr-HR"/>
              </w:rPr>
            </w:pPr>
          </w:p>
        </w:tc>
        <w:tc>
          <w:tcPr>
            <w:tcW w:w="761" w:type="pct"/>
            <w:tcBorders>
              <w:top w:val="nil"/>
              <w:left w:val="nil"/>
              <w:bottom w:val="nil"/>
              <w:right w:val="nil"/>
            </w:tcBorders>
            <w:shd w:val="clear" w:color="auto" w:fill="auto"/>
          </w:tcPr>
          <w:p w14:paraId="02EF56DB" w14:textId="77777777" w:rsidR="00587444" w:rsidRPr="00587444" w:rsidRDefault="00587444" w:rsidP="00587444">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587444">
              <w:rPr>
                <w:rFonts w:ascii="Arial" w:eastAsia="Calibri" w:hAnsi="Arial" w:cs="Arial"/>
                <w:b/>
                <w:bCs/>
                <w:sz w:val="20"/>
                <w:szCs w:val="20"/>
                <w:lang w:val="en-GB"/>
              </w:rPr>
              <w:t>31 December 2022</w:t>
            </w:r>
          </w:p>
        </w:tc>
        <w:tc>
          <w:tcPr>
            <w:tcW w:w="762" w:type="pct"/>
            <w:tcBorders>
              <w:top w:val="nil"/>
              <w:left w:val="nil"/>
              <w:bottom w:val="nil"/>
              <w:right w:val="nil"/>
            </w:tcBorders>
            <w:shd w:val="clear" w:color="auto" w:fill="auto"/>
          </w:tcPr>
          <w:p w14:paraId="32E3C85B" w14:textId="77777777" w:rsidR="00587444" w:rsidRPr="00587444" w:rsidRDefault="00587444" w:rsidP="00587444">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587444">
              <w:rPr>
                <w:rFonts w:ascii="Arial" w:eastAsia="Calibri" w:hAnsi="Arial" w:cs="Arial"/>
                <w:b/>
                <w:bCs/>
                <w:sz w:val="20"/>
                <w:szCs w:val="20"/>
                <w:lang w:val="en-GB"/>
              </w:rPr>
              <w:t>31 December 2021</w:t>
            </w:r>
          </w:p>
        </w:tc>
        <w:tc>
          <w:tcPr>
            <w:tcW w:w="761" w:type="pct"/>
            <w:tcBorders>
              <w:top w:val="nil"/>
              <w:left w:val="nil"/>
              <w:bottom w:val="nil"/>
              <w:right w:val="nil"/>
            </w:tcBorders>
            <w:shd w:val="clear" w:color="auto" w:fill="auto"/>
          </w:tcPr>
          <w:p w14:paraId="678A18C2" w14:textId="77777777" w:rsidR="00587444" w:rsidRPr="00587444" w:rsidRDefault="00587444" w:rsidP="00587444">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587444">
              <w:rPr>
                <w:rFonts w:ascii="Arial" w:eastAsia="Calibri" w:hAnsi="Arial" w:cs="Arial"/>
                <w:b/>
                <w:bCs/>
                <w:sz w:val="20"/>
                <w:szCs w:val="20"/>
                <w:lang w:val="en-GB"/>
              </w:rPr>
              <w:t>31 December 2022</w:t>
            </w:r>
          </w:p>
        </w:tc>
        <w:tc>
          <w:tcPr>
            <w:tcW w:w="759" w:type="pct"/>
            <w:tcBorders>
              <w:top w:val="nil"/>
              <w:left w:val="nil"/>
              <w:bottom w:val="nil"/>
              <w:right w:val="nil"/>
            </w:tcBorders>
            <w:shd w:val="clear" w:color="auto" w:fill="auto"/>
          </w:tcPr>
          <w:p w14:paraId="37E4C92E" w14:textId="77777777" w:rsidR="00587444" w:rsidRPr="00587444" w:rsidRDefault="00587444" w:rsidP="00587444">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587444">
              <w:rPr>
                <w:rFonts w:ascii="Arial" w:eastAsia="Calibri" w:hAnsi="Arial" w:cs="Arial"/>
                <w:b/>
                <w:bCs/>
                <w:sz w:val="20"/>
                <w:szCs w:val="20"/>
                <w:lang w:val="en-GB"/>
              </w:rPr>
              <w:t>31 December 2021</w:t>
            </w:r>
          </w:p>
        </w:tc>
      </w:tr>
      <w:tr w:rsidR="00587444" w:rsidRPr="00587444" w14:paraId="6206FD37" w14:textId="77777777" w:rsidTr="00DD69E7">
        <w:trPr>
          <w:trHeight w:val="224"/>
        </w:trPr>
        <w:tc>
          <w:tcPr>
            <w:tcW w:w="1957" w:type="pct"/>
          </w:tcPr>
          <w:p w14:paraId="226BDFAE" w14:textId="77777777" w:rsidR="00587444" w:rsidRPr="00587444" w:rsidRDefault="00587444" w:rsidP="00587444">
            <w:pPr>
              <w:tabs>
                <w:tab w:val="left" w:pos="-720"/>
              </w:tabs>
              <w:autoSpaceDN/>
              <w:rPr>
                <w:rFonts w:ascii="Arial" w:eastAsia="Calibri" w:hAnsi="Arial" w:cs="Arial"/>
                <w:spacing w:val="-2"/>
                <w:sz w:val="20"/>
                <w:szCs w:val="20"/>
                <w:lang w:val="hr-HR"/>
              </w:rPr>
            </w:pPr>
          </w:p>
        </w:tc>
        <w:tc>
          <w:tcPr>
            <w:tcW w:w="761" w:type="pct"/>
          </w:tcPr>
          <w:p w14:paraId="1F70DCF2" w14:textId="77777777" w:rsidR="00587444" w:rsidRPr="00587444" w:rsidRDefault="00587444" w:rsidP="00587444">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587444">
              <w:rPr>
                <w:rFonts w:ascii="Arial" w:eastAsia="Calibri" w:hAnsi="Arial" w:cs="Arial"/>
                <w:b/>
                <w:bCs/>
                <w:sz w:val="20"/>
                <w:szCs w:val="20"/>
                <w:lang w:val="en-GB"/>
              </w:rPr>
              <w:t>HRK ‘000</w:t>
            </w:r>
          </w:p>
        </w:tc>
        <w:tc>
          <w:tcPr>
            <w:tcW w:w="762" w:type="pct"/>
          </w:tcPr>
          <w:p w14:paraId="47D8F55F" w14:textId="77777777" w:rsidR="00587444" w:rsidRPr="00587444" w:rsidRDefault="00587444" w:rsidP="00587444">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587444">
              <w:rPr>
                <w:rFonts w:ascii="Arial" w:eastAsia="Calibri" w:hAnsi="Arial" w:cs="Arial"/>
                <w:b/>
                <w:bCs/>
                <w:sz w:val="20"/>
                <w:szCs w:val="20"/>
                <w:lang w:val="en-GB"/>
              </w:rPr>
              <w:t>HRK ‘000</w:t>
            </w:r>
          </w:p>
        </w:tc>
        <w:tc>
          <w:tcPr>
            <w:tcW w:w="761" w:type="pct"/>
          </w:tcPr>
          <w:p w14:paraId="694A25F6" w14:textId="77777777" w:rsidR="00587444" w:rsidRPr="00587444" w:rsidRDefault="00587444" w:rsidP="00587444">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587444">
              <w:rPr>
                <w:rFonts w:ascii="Arial" w:eastAsia="Calibri" w:hAnsi="Arial" w:cs="Arial"/>
                <w:b/>
                <w:bCs/>
                <w:sz w:val="20"/>
                <w:szCs w:val="20"/>
                <w:lang w:val="en-GB"/>
              </w:rPr>
              <w:t>HRK ‘000</w:t>
            </w:r>
          </w:p>
        </w:tc>
        <w:tc>
          <w:tcPr>
            <w:tcW w:w="759" w:type="pct"/>
          </w:tcPr>
          <w:p w14:paraId="5C9F3026" w14:textId="77777777" w:rsidR="00587444" w:rsidRPr="00587444" w:rsidRDefault="00587444" w:rsidP="00587444">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587444">
              <w:rPr>
                <w:rFonts w:ascii="Arial" w:eastAsia="Calibri" w:hAnsi="Arial" w:cs="Arial"/>
                <w:b/>
                <w:bCs/>
                <w:sz w:val="20"/>
                <w:szCs w:val="20"/>
                <w:lang w:val="en-GB"/>
              </w:rPr>
              <w:t>HRK ‘000</w:t>
            </w:r>
          </w:p>
        </w:tc>
      </w:tr>
      <w:tr w:rsidR="00587444" w:rsidRPr="00587444" w14:paraId="2AAAD87F" w14:textId="77777777" w:rsidTr="00DD69E7">
        <w:trPr>
          <w:trHeight w:hRule="exact" w:val="111"/>
        </w:trPr>
        <w:tc>
          <w:tcPr>
            <w:tcW w:w="1957" w:type="pct"/>
          </w:tcPr>
          <w:p w14:paraId="412D17E6" w14:textId="77777777" w:rsidR="00587444" w:rsidRPr="00587444" w:rsidRDefault="00587444" w:rsidP="00587444">
            <w:pPr>
              <w:tabs>
                <w:tab w:val="left" w:pos="-720"/>
              </w:tabs>
              <w:autoSpaceDN/>
              <w:rPr>
                <w:rFonts w:ascii="Arial" w:eastAsia="Calibri" w:hAnsi="Arial" w:cs="Arial"/>
                <w:spacing w:val="-2"/>
                <w:sz w:val="20"/>
                <w:szCs w:val="20"/>
                <w:lang w:val="hr-HR"/>
              </w:rPr>
            </w:pPr>
          </w:p>
        </w:tc>
        <w:tc>
          <w:tcPr>
            <w:tcW w:w="761" w:type="pct"/>
          </w:tcPr>
          <w:p w14:paraId="79FAA220" w14:textId="77777777" w:rsidR="00587444" w:rsidRPr="00587444" w:rsidRDefault="00587444" w:rsidP="00587444">
            <w:pPr>
              <w:tabs>
                <w:tab w:val="left" w:pos="-720"/>
              </w:tabs>
              <w:autoSpaceDN/>
              <w:jc w:val="right"/>
              <w:rPr>
                <w:rFonts w:ascii="Arial" w:eastAsia="Calibri" w:hAnsi="Arial" w:cs="Arial"/>
                <w:b/>
                <w:spacing w:val="-2"/>
                <w:sz w:val="20"/>
                <w:szCs w:val="20"/>
                <w:lang w:val="hr-HR"/>
              </w:rPr>
            </w:pPr>
          </w:p>
        </w:tc>
        <w:tc>
          <w:tcPr>
            <w:tcW w:w="762" w:type="pct"/>
          </w:tcPr>
          <w:p w14:paraId="1F2AA215" w14:textId="77777777" w:rsidR="00587444" w:rsidRPr="00587444" w:rsidRDefault="00587444" w:rsidP="00587444">
            <w:pPr>
              <w:tabs>
                <w:tab w:val="left" w:pos="-720"/>
              </w:tabs>
              <w:autoSpaceDN/>
              <w:jc w:val="right"/>
              <w:rPr>
                <w:rFonts w:ascii="Arial" w:eastAsia="Calibri" w:hAnsi="Arial" w:cs="Arial"/>
                <w:b/>
                <w:spacing w:val="-2"/>
                <w:sz w:val="20"/>
                <w:szCs w:val="20"/>
                <w:lang w:val="hr-HR"/>
              </w:rPr>
            </w:pPr>
          </w:p>
        </w:tc>
        <w:tc>
          <w:tcPr>
            <w:tcW w:w="761" w:type="pct"/>
            <w:vAlign w:val="bottom"/>
          </w:tcPr>
          <w:p w14:paraId="4198CE3B" w14:textId="77777777" w:rsidR="00587444" w:rsidRPr="00587444" w:rsidRDefault="00587444" w:rsidP="00587444">
            <w:pPr>
              <w:tabs>
                <w:tab w:val="left" w:pos="-720"/>
              </w:tabs>
              <w:autoSpaceDN/>
              <w:jc w:val="right"/>
              <w:rPr>
                <w:rFonts w:ascii="Arial" w:eastAsia="Calibri" w:hAnsi="Arial" w:cs="Arial"/>
                <w:b/>
                <w:spacing w:val="-2"/>
                <w:sz w:val="20"/>
                <w:szCs w:val="20"/>
                <w:lang w:val="hr-HR"/>
              </w:rPr>
            </w:pPr>
          </w:p>
        </w:tc>
        <w:tc>
          <w:tcPr>
            <w:tcW w:w="759" w:type="pct"/>
            <w:vAlign w:val="bottom"/>
          </w:tcPr>
          <w:p w14:paraId="1E2C75AB" w14:textId="77777777" w:rsidR="00587444" w:rsidRPr="00587444" w:rsidRDefault="00587444" w:rsidP="00587444">
            <w:pPr>
              <w:tabs>
                <w:tab w:val="left" w:pos="-720"/>
              </w:tabs>
              <w:autoSpaceDN/>
              <w:jc w:val="right"/>
              <w:rPr>
                <w:rFonts w:ascii="Arial" w:eastAsia="Calibri" w:hAnsi="Arial" w:cs="Arial"/>
                <w:b/>
                <w:spacing w:val="-2"/>
                <w:sz w:val="20"/>
                <w:szCs w:val="20"/>
                <w:lang w:val="hr-HR"/>
              </w:rPr>
            </w:pPr>
          </w:p>
        </w:tc>
      </w:tr>
      <w:tr w:rsidR="00587444" w:rsidRPr="00587444" w14:paraId="7484DD4F" w14:textId="77777777" w:rsidTr="00DD69E7">
        <w:trPr>
          <w:trHeight w:val="259"/>
        </w:trPr>
        <w:tc>
          <w:tcPr>
            <w:tcW w:w="1957" w:type="pct"/>
            <w:vAlign w:val="bottom"/>
          </w:tcPr>
          <w:p w14:paraId="13F1882A" w14:textId="77777777" w:rsidR="00F13492" w:rsidRDefault="00587444" w:rsidP="00587444">
            <w:pPr>
              <w:suppressAutoHyphens w:val="0"/>
              <w:autoSpaceDN/>
              <w:rPr>
                <w:rFonts w:ascii="Arial" w:eastAsia="Calibri" w:hAnsi="Arial" w:cs="Arial"/>
                <w:sz w:val="20"/>
                <w:szCs w:val="20"/>
                <w:lang w:val="en-GB"/>
              </w:rPr>
            </w:pPr>
            <w:r w:rsidRPr="00587444">
              <w:rPr>
                <w:rFonts w:ascii="Arial" w:eastAsia="Calibri" w:hAnsi="Arial" w:cs="Arial"/>
                <w:sz w:val="20"/>
                <w:szCs w:val="20"/>
                <w:lang w:val="en-GB"/>
              </w:rPr>
              <w:t xml:space="preserve">Provisions for guarantees and </w:t>
            </w:r>
          </w:p>
          <w:p w14:paraId="77403C87" w14:textId="22CFAB76" w:rsidR="00587444" w:rsidRPr="00587444" w:rsidRDefault="00587444" w:rsidP="00587444">
            <w:pPr>
              <w:suppressAutoHyphens w:val="0"/>
              <w:autoSpaceDN/>
              <w:rPr>
                <w:rFonts w:ascii="Arial" w:eastAsia="Calibri" w:hAnsi="Arial" w:cs="Arial"/>
                <w:sz w:val="20"/>
                <w:szCs w:val="20"/>
                <w:lang w:val="en-GB"/>
              </w:rPr>
            </w:pPr>
            <w:r w:rsidRPr="00587444">
              <w:rPr>
                <w:rFonts w:ascii="Arial" w:eastAsia="Calibri" w:hAnsi="Arial" w:cs="Arial"/>
                <w:sz w:val="20"/>
                <w:szCs w:val="20"/>
                <w:lang w:val="en-GB"/>
              </w:rPr>
              <w:t xml:space="preserve">commitments </w:t>
            </w:r>
          </w:p>
        </w:tc>
        <w:tc>
          <w:tcPr>
            <w:tcW w:w="761" w:type="pct"/>
            <w:vAlign w:val="bottom"/>
          </w:tcPr>
          <w:p w14:paraId="765EF050" w14:textId="77777777" w:rsidR="00587444" w:rsidRPr="00587444" w:rsidRDefault="00587444" w:rsidP="00587444">
            <w:pPr>
              <w:suppressAutoHyphens w:val="0"/>
              <w:autoSpaceDN/>
              <w:jc w:val="right"/>
              <w:rPr>
                <w:rFonts w:ascii="Arial" w:eastAsia="Calibri" w:hAnsi="Arial" w:cs="Arial"/>
                <w:color w:val="000000"/>
                <w:sz w:val="20"/>
                <w:szCs w:val="20"/>
                <w:lang w:val="hr-HR"/>
              </w:rPr>
            </w:pPr>
            <w:r w:rsidRPr="00587444">
              <w:rPr>
                <w:rFonts w:ascii="Arial" w:eastAsia="Calibri" w:hAnsi="Arial" w:cs="Arial"/>
                <w:color w:val="000000"/>
                <w:sz w:val="20"/>
                <w:szCs w:val="20"/>
                <w:lang w:val="hr-HR"/>
              </w:rPr>
              <w:t>80,726</w:t>
            </w:r>
          </w:p>
        </w:tc>
        <w:tc>
          <w:tcPr>
            <w:tcW w:w="762" w:type="pct"/>
            <w:vAlign w:val="bottom"/>
          </w:tcPr>
          <w:p w14:paraId="33363535" w14:textId="77777777" w:rsidR="00587444" w:rsidRPr="00587444" w:rsidRDefault="00587444" w:rsidP="00587444">
            <w:pPr>
              <w:suppressAutoHyphens w:val="0"/>
              <w:autoSpaceDN/>
              <w:jc w:val="right"/>
              <w:rPr>
                <w:rFonts w:ascii="Arial" w:eastAsia="Calibri" w:hAnsi="Arial" w:cs="Arial"/>
                <w:color w:val="000000"/>
                <w:sz w:val="20"/>
                <w:szCs w:val="20"/>
                <w:lang w:val="hr-HR"/>
              </w:rPr>
            </w:pPr>
            <w:r w:rsidRPr="00587444">
              <w:rPr>
                <w:rFonts w:ascii="Arial" w:eastAsia="Calibri" w:hAnsi="Arial" w:cs="Arial"/>
                <w:color w:val="000000"/>
                <w:sz w:val="20"/>
                <w:szCs w:val="20"/>
                <w:lang w:val="hr-HR"/>
              </w:rPr>
              <w:t>129,587</w:t>
            </w:r>
          </w:p>
        </w:tc>
        <w:tc>
          <w:tcPr>
            <w:tcW w:w="761" w:type="pct"/>
            <w:vAlign w:val="bottom"/>
          </w:tcPr>
          <w:p w14:paraId="41A40DBE" w14:textId="77777777" w:rsidR="00587444" w:rsidRPr="00587444" w:rsidRDefault="00587444" w:rsidP="00587444">
            <w:pPr>
              <w:suppressAutoHyphens w:val="0"/>
              <w:autoSpaceDN/>
              <w:jc w:val="right"/>
              <w:rPr>
                <w:rFonts w:ascii="Arial" w:eastAsia="Calibri" w:hAnsi="Arial" w:cs="Arial"/>
                <w:color w:val="000000"/>
                <w:sz w:val="20"/>
                <w:szCs w:val="20"/>
                <w:lang w:val="hr-HR"/>
              </w:rPr>
            </w:pPr>
            <w:r w:rsidRPr="00587444">
              <w:rPr>
                <w:rFonts w:ascii="Arial" w:eastAsia="Calibri" w:hAnsi="Arial" w:cs="Arial"/>
                <w:color w:val="000000"/>
                <w:sz w:val="20"/>
                <w:szCs w:val="20"/>
                <w:lang w:val="hr-HR"/>
              </w:rPr>
              <w:t>80,726</w:t>
            </w:r>
          </w:p>
        </w:tc>
        <w:tc>
          <w:tcPr>
            <w:tcW w:w="759" w:type="pct"/>
            <w:tcBorders>
              <w:top w:val="nil"/>
              <w:left w:val="nil"/>
              <w:bottom w:val="nil"/>
              <w:right w:val="nil"/>
            </w:tcBorders>
            <w:shd w:val="clear" w:color="auto" w:fill="auto"/>
            <w:vAlign w:val="bottom"/>
          </w:tcPr>
          <w:p w14:paraId="4DB0038B" w14:textId="77777777" w:rsidR="00587444" w:rsidRPr="00587444" w:rsidRDefault="00587444" w:rsidP="00587444">
            <w:pPr>
              <w:suppressAutoHyphens w:val="0"/>
              <w:autoSpaceDN/>
              <w:jc w:val="right"/>
              <w:rPr>
                <w:rFonts w:ascii="Arial" w:eastAsia="Calibri" w:hAnsi="Arial" w:cs="Arial"/>
                <w:color w:val="000000"/>
                <w:sz w:val="20"/>
                <w:szCs w:val="20"/>
                <w:lang w:val="hr-HR"/>
              </w:rPr>
            </w:pPr>
            <w:r w:rsidRPr="00587444">
              <w:rPr>
                <w:rFonts w:ascii="Arial" w:eastAsia="Calibri" w:hAnsi="Arial" w:cs="Arial"/>
                <w:color w:val="000000"/>
                <w:sz w:val="20"/>
                <w:szCs w:val="20"/>
                <w:lang w:val="hr-HR"/>
              </w:rPr>
              <w:t>129,587</w:t>
            </w:r>
          </w:p>
        </w:tc>
      </w:tr>
      <w:tr w:rsidR="00587444" w:rsidRPr="00587444" w14:paraId="62000DCE" w14:textId="77777777" w:rsidTr="00DD69E7">
        <w:trPr>
          <w:trHeight w:val="259"/>
        </w:trPr>
        <w:tc>
          <w:tcPr>
            <w:tcW w:w="1957" w:type="pct"/>
            <w:vAlign w:val="bottom"/>
          </w:tcPr>
          <w:p w14:paraId="282B1C88" w14:textId="77777777" w:rsidR="00587444" w:rsidRPr="00587444" w:rsidRDefault="00587444" w:rsidP="00587444">
            <w:pPr>
              <w:suppressAutoHyphens w:val="0"/>
              <w:autoSpaceDN/>
              <w:rPr>
                <w:rFonts w:ascii="Arial" w:eastAsia="Calibri" w:hAnsi="Arial" w:cs="Arial"/>
                <w:sz w:val="20"/>
                <w:szCs w:val="20"/>
                <w:lang w:val="en-GB"/>
              </w:rPr>
            </w:pPr>
            <w:r w:rsidRPr="00587444">
              <w:rPr>
                <w:rFonts w:ascii="Arial" w:eastAsia="Calibri" w:hAnsi="Arial" w:cs="Arial"/>
                <w:sz w:val="20"/>
                <w:szCs w:val="20"/>
                <w:lang w:val="en-GB"/>
              </w:rPr>
              <w:t>Provisions for other liabilities</w:t>
            </w:r>
          </w:p>
        </w:tc>
        <w:tc>
          <w:tcPr>
            <w:tcW w:w="761" w:type="pct"/>
            <w:tcBorders>
              <w:bottom w:val="single" w:sz="2" w:space="0" w:color="auto"/>
            </w:tcBorders>
            <w:vAlign w:val="bottom"/>
          </w:tcPr>
          <w:p w14:paraId="18F25890" w14:textId="77777777" w:rsidR="00587444" w:rsidRPr="00587444" w:rsidRDefault="00587444" w:rsidP="00587444">
            <w:pPr>
              <w:suppressAutoHyphens w:val="0"/>
              <w:autoSpaceDN/>
              <w:jc w:val="right"/>
              <w:rPr>
                <w:rFonts w:ascii="Arial" w:eastAsia="Calibri" w:hAnsi="Arial" w:cs="Arial"/>
                <w:color w:val="000000"/>
                <w:sz w:val="20"/>
                <w:szCs w:val="20"/>
                <w:lang w:val="hr-HR"/>
              </w:rPr>
            </w:pPr>
            <w:r w:rsidRPr="00587444">
              <w:rPr>
                <w:rFonts w:ascii="Arial" w:eastAsia="Calibri" w:hAnsi="Arial" w:cs="Arial"/>
                <w:color w:val="000000"/>
                <w:sz w:val="20"/>
                <w:szCs w:val="20"/>
                <w:lang w:val="hr-HR"/>
              </w:rPr>
              <w:t>61,989</w:t>
            </w:r>
          </w:p>
        </w:tc>
        <w:tc>
          <w:tcPr>
            <w:tcW w:w="762" w:type="pct"/>
            <w:tcBorders>
              <w:bottom w:val="single" w:sz="2" w:space="0" w:color="auto"/>
            </w:tcBorders>
            <w:vAlign w:val="bottom"/>
          </w:tcPr>
          <w:p w14:paraId="243C46E9" w14:textId="77777777" w:rsidR="00587444" w:rsidRPr="00587444" w:rsidRDefault="00587444" w:rsidP="00587444">
            <w:pPr>
              <w:suppressAutoHyphens w:val="0"/>
              <w:autoSpaceDN/>
              <w:jc w:val="right"/>
              <w:rPr>
                <w:rFonts w:ascii="Arial" w:eastAsia="Calibri" w:hAnsi="Arial" w:cs="Arial"/>
                <w:color w:val="000000"/>
                <w:sz w:val="20"/>
                <w:szCs w:val="20"/>
                <w:lang w:val="hr-HR"/>
              </w:rPr>
            </w:pPr>
            <w:r w:rsidRPr="00587444">
              <w:rPr>
                <w:rFonts w:ascii="Arial" w:eastAsia="Calibri" w:hAnsi="Arial" w:cs="Arial"/>
                <w:color w:val="000000"/>
                <w:sz w:val="20"/>
                <w:szCs w:val="20"/>
                <w:lang w:val="hr-HR"/>
              </w:rPr>
              <w:t>60,973</w:t>
            </w:r>
          </w:p>
        </w:tc>
        <w:tc>
          <w:tcPr>
            <w:tcW w:w="761" w:type="pct"/>
            <w:tcBorders>
              <w:bottom w:val="single" w:sz="2" w:space="0" w:color="auto"/>
            </w:tcBorders>
            <w:vAlign w:val="bottom"/>
          </w:tcPr>
          <w:p w14:paraId="37790DC5" w14:textId="77777777" w:rsidR="00587444" w:rsidRPr="00587444" w:rsidRDefault="00587444" w:rsidP="00587444">
            <w:pPr>
              <w:suppressAutoHyphens w:val="0"/>
              <w:autoSpaceDN/>
              <w:jc w:val="right"/>
              <w:rPr>
                <w:rFonts w:ascii="Arial" w:eastAsia="Calibri" w:hAnsi="Arial" w:cs="Arial"/>
                <w:color w:val="000000"/>
                <w:sz w:val="20"/>
                <w:szCs w:val="20"/>
                <w:lang w:val="hr-HR"/>
              </w:rPr>
            </w:pPr>
            <w:r w:rsidRPr="00587444">
              <w:rPr>
                <w:rFonts w:ascii="Arial" w:eastAsia="Calibri" w:hAnsi="Arial" w:cs="Arial"/>
                <w:color w:val="000000"/>
                <w:sz w:val="20"/>
                <w:szCs w:val="20"/>
                <w:lang w:val="hr-HR"/>
              </w:rPr>
              <w:t>61,949</w:t>
            </w:r>
          </w:p>
        </w:tc>
        <w:tc>
          <w:tcPr>
            <w:tcW w:w="759" w:type="pct"/>
            <w:tcBorders>
              <w:top w:val="nil"/>
              <w:left w:val="nil"/>
              <w:bottom w:val="nil"/>
              <w:right w:val="nil"/>
            </w:tcBorders>
            <w:shd w:val="clear" w:color="auto" w:fill="auto"/>
            <w:vAlign w:val="bottom"/>
          </w:tcPr>
          <w:p w14:paraId="3A121017" w14:textId="77777777" w:rsidR="00587444" w:rsidRPr="00587444" w:rsidRDefault="00587444" w:rsidP="00587444">
            <w:pPr>
              <w:suppressAutoHyphens w:val="0"/>
              <w:autoSpaceDN/>
              <w:jc w:val="right"/>
              <w:rPr>
                <w:rFonts w:ascii="Arial" w:eastAsia="Calibri" w:hAnsi="Arial" w:cs="Arial"/>
                <w:bCs/>
                <w:sz w:val="20"/>
                <w:szCs w:val="20"/>
                <w:lang w:val="hr-HR"/>
              </w:rPr>
            </w:pPr>
            <w:r w:rsidRPr="00587444">
              <w:rPr>
                <w:rFonts w:ascii="Arial" w:eastAsia="Calibri" w:hAnsi="Arial" w:cs="Arial"/>
                <w:color w:val="000000"/>
                <w:sz w:val="20"/>
                <w:szCs w:val="20"/>
                <w:lang w:val="hr-HR"/>
              </w:rPr>
              <w:t>60,716</w:t>
            </w:r>
          </w:p>
        </w:tc>
      </w:tr>
      <w:tr w:rsidR="00587444" w:rsidRPr="00587444" w14:paraId="032B2B59" w14:textId="77777777" w:rsidTr="00DD69E7">
        <w:trPr>
          <w:trHeight w:val="295"/>
        </w:trPr>
        <w:tc>
          <w:tcPr>
            <w:tcW w:w="1957" w:type="pct"/>
            <w:vAlign w:val="bottom"/>
          </w:tcPr>
          <w:p w14:paraId="371E94AB" w14:textId="77777777" w:rsidR="00587444" w:rsidRPr="00587444" w:rsidRDefault="00587444" w:rsidP="00587444">
            <w:pPr>
              <w:tabs>
                <w:tab w:val="left" w:pos="-720"/>
              </w:tabs>
              <w:autoSpaceDN/>
              <w:rPr>
                <w:rFonts w:ascii="Arial" w:eastAsia="Calibri" w:hAnsi="Arial" w:cs="Arial"/>
                <w:b/>
                <w:bCs/>
                <w:spacing w:val="-2"/>
                <w:sz w:val="20"/>
                <w:szCs w:val="20"/>
                <w:lang w:val="hr-HR"/>
              </w:rPr>
            </w:pPr>
          </w:p>
        </w:tc>
        <w:tc>
          <w:tcPr>
            <w:tcW w:w="761" w:type="pct"/>
            <w:tcBorders>
              <w:top w:val="single" w:sz="4" w:space="0" w:color="auto"/>
              <w:bottom w:val="single" w:sz="12" w:space="0" w:color="auto"/>
            </w:tcBorders>
            <w:vAlign w:val="bottom"/>
          </w:tcPr>
          <w:p w14:paraId="2B3A2F20"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142,715</w:t>
            </w:r>
          </w:p>
        </w:tc>
        <w:tc>
          <w:tcPr>
            <w:tcW w:w="762" w:type="pct"/>
            <w:tcBorders>
              <w:top w:val="single" w:sz="4" w:space="0" w:color="auto"/>
              <w:bottom w:val="single" w:sz="12" w:space="0" w:color="auto"/>
            </w:tcBorders>
            <w:vAlign w:val="bottom"/>
          </w:tcPr>
          <w:p w14:paraId="722EB1A5"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190,560</w:t>
            </w:r>
          </w:p>
        </w:tc>
        <w:tc>
          <w:tcPr>
            <w:tcW w:w="761" w:type="pct"/>
            <w:tcBorders>
              <w:top w:val="single" w:sz="4" w:space="0" w:color="auto"/>
              <w:bottom w:val="single" w:sz="12" w:space="0" w:color="auto"/>
            </w:tcBorders>
            <w:vAlign w:val="bottom"/>
          </w:tcPr>
          <w:p w14:paraId="0461EAAD"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142,675</w:t>
            </w:r>
          </w:p>
        </w:tc>
        <w:tc>
          <w:tcPr>
            <w:tcW w:w="759" w:type="pct"/>
            <w:tcBorders>
              <w:top w:val="single" w:sz="4" w:space="0" w:color="auto"/>
              <w:bottom w:val="single" w:sz="12" w:space="0" w:color="auto"/>
            </w:tcBorders>
            <w:shd w:val="clear" w:color="auto" w:fill="auto"/>
            <w:vAlign w:val="bottom"/>
          </w:tcPr>
          <w:p w14:paraId="3B749955"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lang w:val="hr-HR"/>
              </w:rPr>
            </w:pPr>
            <w:r w:rsidRPr="00587444">
              <w:rPr>
                <w:rFonts w:ascii="Arial" w:hAnsi="Arial" w:cs="Arial"/>
                <w:b/>
                <w:bCs/>
                <w:color w:val="000000"/>
                <w:sz w:val="20"/>
                <w:szCs w:val="20"/>
                <w:lang w:val="hr-HR"/>
              </w:rPr>
              <w:t>190,303</w:t>
            </w:r>
          </w:p>
        </w:tc>
      </w:tr>
    </w:tbl>
    <w:p w14:paraId="2A2AA42A" w14:textId="77777777" w:rsidR="00587444" w:rsidRPr="00587444" w:rsidRDefault="00587444" w:rsidP="00880B90">
      <w:pPr>
        <w:keepNext/>
        <w:autoSpaceDN/>
        <w:jc w:val="both"/>
        <w:rPr>
          <w:rFonts w:ascii="Arial" w:hAnsi="Arial" w:cs="Arial"/>
          <w:sz w:val="20"/>
          <w:szCs w:val="20"/>
          <w:lang w:val="en-GB"/>
        </w:rPr>
      </w:pPr>
    </w:p>
    <w:p w14:paraId="40E8A6E4" w14:textId="77777777" w:rsidR="00587444" w:rsidRPr="00587444" w:rsidRDefault="00587444" w:rsidP="00880B90">
      <w:pPr>
        <w:keepNext/>
        <w:autoSpaceDN/>
        <w:jc w:val="both"/>
        <w:rPr>
          <w:rFonts w:ascii="Arial" w:hAnsi="Arial" w:cs="Arial"/>
          <w:sz w:val="20"/>
          <w:szCs w:val="20"/>
          <w:lang w:val="en-GB"/>
        </w:rPr>
      </w:pPr>
      <w:r w:rsidRPr="00587444">
        <w:rPr>
          <w:rFonts w:ascii="Arial" w:hAnsi="Arial" w:cs="Arial"/>
          <w:sz w:val="20"/>
          <w:szCs w:val="20"/>
          <w:lang w:val="en-GB"/>
        </w:rPr>
        <w:t>The movements in the loss allowances on guarantees, commitments and other liabilities may be summarized as follows:</w:t>
      </w:r>
    </w:p>
    <w:p w14:paraId="38575C2F" w14:textId="77777777" w:rsidR="00587444" w:rsidRPr="00587444" w:rsidRDefault="00587444" w:rsidP="00587444">
      <w:pPr>
        <w:keepNext/>
        <w:suppressAutoHyphens w:val="0"/>
        <w:autoSpaceDN/>
        <w:jc w:val="both"/>
        <w:rPr>
          <w:rFonts w:ascii="Arial" w:hAnsi="Arial" w:cs="Arial"/>
          <w:sz w:val="20"/>
          <w:szCs w:val="20"/>
          <w:lang w:val="en-GB"/>
        </w:rPr>
      </w:pPr>
    </w:p>
    <w:tbl>
      <w:tblPr>
        <w:tblpPr w:leftFromText="180" w:rightFromText="180" w:vertAnchor="text" w:horzAnchor="margin" w:tblpY="60"/>
        <w:tblW w:w="5033" w:type="pct"/>
        <w:tblLayout w:type="fixed"/>
        <w:tblLook w:val="0000" w:firstRow="0" w:lastRow="0" w:firstColumn="0" w:lastColumn="0" w:noHBand="0" w:noVBand="0"/>
      </w:tblPr>
      <w:tblGrid>
        <w:gridCol w:w="3880"/>
        <w:gridCol w:w="1439"/>
        <w:gridCol w:w="1439"/>
        <w:gridCol w:w="1439"/>
        <w:gridCol w:w="1437"/>
      </w:tblGrid>
      <w:tr w:rsidR="00587444" w:rsidRPr="00587444" w14:paraId="65AD1E4D" w14:textId="77777777" w:rsidTr="00DD69E7">
        <w:trPr>
          <w:trHeight w:hRule="exact" w:val="263"/>
        </w:trPr>
        <w:tc>
          <w:tcPr>
            <w:tcW w:w="2013" w:type="pct"/>
          </w:tcPr>
          <w:p w14:paraId="0A784B5F" w14:textId="77777777" w:rsidR="00587444" w:rsidRPr="00587444" w:rsidRDefault="00587444" w:rsidP="00587444">
            <w:pPr>
              <w:tabs>
                <w:tab w:val="left" w:pos="-720"/>
              </w:tabs>
              <w:autoSpaceDN/>
              <w:rPr>
                <w:rFonts w:ascii="Arial" w:eastAsia="Calibri" w:hAnsi="Arial" w:cs="Arial"/>
                <w:b/>
                <w:noProof/>
                <w:spacing w:val="-3"/>
                <w:sz w:val="20"/>
                <w:szCs w:val="20"/>
                <w:lang w:val="en-GB"/>
              </w:rPr>
            </w:pPr>
          </w:p>
        </w:tc>
        <w:tc>
          <w:tcPr>
            <w:tcW w:w="747" w:type="pct"/>
            <w:vAlign w:val="bottom"/>
          </w:tcPr>
          <w:p w14:paraId="43F03C40"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p>
        </w:tc>
        <w:tc>
          <w:tcPr>
            <w:tcW w:w="747" w:type="pct"/>
            <w:vAlign w:val="bottom"/>
          </w:tcPr>
          <w:p w14:paraId="72443AB0"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noProof/>
                <w:sz w:val="20"/>
                <w:szCs w:val="20"/>
                <w:lang w:val="en-GB"/>
              </w:rPr>
              <w:t>Group</w:t>
            </w:r>
          </w:p>
        </w:tc>
        <w:tc>
          <w:tcPr>
            <w:tcW w:w="747" w:type="pct"/>
            <w:vAlign w:val="bottom"/>
          </w:tcPr>
          <w:p w14:paraId="3E8C712B"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p>
        </w:tc>
        <w:tc>
          <w:tcPr>
            <w:tcW w:w="746" w:type="pct"/>
            <w:vAlign w:val="bottom"/>
          </w:tcPr>
          <w:p w14:paraId="2CDE4295"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noProof/>
                <w:sz w:val="20"/>
                <w:szCs w:val="20"/>
                <w:lang w:val="en-GB"/>
              </w:rPr>
              <w:t>Bank</w:t>
            </w:r>
          </w:p>
        </w:tc>
      </w:tr>
      <w:tr w:rsidR="00587444" w:rsidRPr="00587444" w14:paraId="2898B28B" w14:textId="77777777" w:rsidTr="00DD69E7">
        <w:trPr>
          <w:trHeight w:hRule="exact" w:val="540"/>
        </w:trPr>
        <w:tc>
          <w:tcPr>
            <w:tcW w:w="2013" w:type="pct"/>
          </w:tcPr>
          <w:p w14:paraId="3D705773" w14:textId="77777777" w:rsidR="00587444" w:rsidRPr="00587444" w:rsidRDefault="00587444" w:rsidP="00587444">
            <w:pPr>
              <w:tabs>
                <w:tab w:val="left" w:pos="-720"/>
              </w:tabs>
              <w:autoSpaceDN/>
              <w:rPr>
                <w:rFonts w:ascii="Arial" w:eastAsia="Calibri" w:hAnsi="Arial" w:cs="Arial"/>
                <w:b/>
                <w:noProof/>
                <w:spacing w:val="-3"/>
                <w:sz w:val="20"/>
                <w:szCs w:val="20"/>
                <w:lang w:val="en-GB"/>
              </w:rPr>
            </w:pPr>
          </w:p>
        </w:tc>
        <w:tc>
          <w:tcPr>
            <w:tcW w:w="747" w:type="pct"/>
            <w:vAlign w:val="bottom"/>
          </w:tcPr>
          <w:p w14:paraId="19D7AAB3"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bCs/>
                <w:noProof/>
                <w:sz w:val="20"/>
                <w:szCs w:val="20"/>
                <w:lang w:val="hr-HR"/>
              </w:rPr>
              <w:t>Jan 1 - Dec 31, 2022</w:t>
            </w:r>
          </w:p>
        </w:tc>
        <w:tc>
          <w:tcPr>
            <w:tcW w:w="747" w:type="pct"/>
            <w:vAlign w:val="bottom"/>
          </w:tcPr>
          <w:p w14:paraId="01BC594B"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hr-HR"/>
              </w:rPr>
            </w:pPr>
            <w:r w:rsidRPr="00587444">
              <w:rPr>
                <w:rFonts w:ascii="Arial" w:eastAsia="Calibri" w:hAnsi="Arial" w:cs="Arial"/>
                <w:b/>
                <w:bCs/>
                <w:noProof/>
                <w:sz w:val="20"/>
                <w:szCs w:val="20"/>
                <w:lang w:val="hr-HR"/>
              </w:rPr>
              <w:t>Jan 1 - Dec 31, 2021</w:t>
            </w:r>
          </w:p>
        </w:tc>
        <w:tc>
          <w:tcPr>
            <w:tcW w:w="747" w:type="pct"/>
            <w:vAlign w:val="bottom"/>
          </w:tcPr>
          <w:p w14:paraId="31BA3191"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bCs/>
                <w:noProof/>
                <w:sz w:val="20"/>
                <w:szCs w:val="20"/>
                <w:lang w:val="hr-HR"/>
              </w:rPr>
              <w:t>Jan 1 - Dec 31, 2022</w:t>
            </w:r>
          </w:p>
        </w:tc>
        <w:tc>
          <w:tcPr>
            <w:tcW w:w="746" w:type="pct"/>
            <w:vAlign w:val="bottom"/>
          </w:tcPr>
          <w:p w14:paraId="4F0C5EAB"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hr-HR"/>
              </w:rPr>
            </w:pPr>
            <w:r w:rsidRPr="00587444">
              <w:rPr>
                <w:rFonts w:ascii="Arial" w:eastAsia="Calibri" w:hAnsi="Arial" w:cs="Arial"/>
                <w:b/>
                <w:bCs/>
                <w:noProof/>
                <w:sz w:val="20"/>
                <w:szCs w:val="20"/>
                <w:lang w:val="hr-HR"/>
              </w:rPr>
              <w:t>Jan 1 - Dec 31, 2021</w:t>
            </w:r>
          </w:p>
        </w:tc>
      </w:tr>
      <w:tr w:rsidR="00587444" w:rsidRPr="00587444" w14:paraId="039D8D73" w14:textId="77777777" w:rsidTr="00DD69E7">
        <w:trPr>
          <w:trHeight w:hRule="exact" w:val="263"/>
        </w:trPr>
        <w:tc>
          <w:tcPr>
            <w:tcW w:w="2013" w:type="pct"/>
          </w:tcPr>
          <w:p w14:paraId="050651F8" w14:textId="77777777" w:rsidR="00587444" w:rsidRPr="00587444" w:rsidRDefault="00587444" w:rsidP="00587444">
            <w:pPr>
              <w:tabs>
                <w:tab w:val="left" w:pos="-720"/>
              </w:tabs>
              <w:autoSpaceDN/>
              <w:rPr>
                <w:rFonts w:ascii="Arial" w:eastAsia="Calibri" w:hAnsi="Arial" w:cs="Arial"/>
                <w:b/>
                <w:noProof/>
                <w:spacing w:val="-3"/>
                <w:sz w:val="20"/>
                <w:szCs w:val="20"/>
                <w:lang w:val="en-GB"/>
              </w:rPr>
            </w:pPr>
          </w:p>
        </w:tc>
        <w:tc>
          <w:tcPr>
            <w:tcW w:w="747" w:type="pct"/>
          </w:tcPr>
          <w:p w14:paraId="5E8357E8"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bCs/>
                <w:sz w:val="20"/>
                <w:szCs w:val="20"/>
                <w:lang w:val="en-GB"/>
              </w:rPr>
              <w:t>HRK ‘000</w:t>
            </w:r>
          </w:p>
        </w:tc>
        <w:tc>
          <w:tcPr>
            <w:tcW w:w="747" w:type="pct"/>
          </w:tcPr>
          <w:p w14:paraId="6FD03DB0"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bCs/>
                <w:sz w:val="20"/>
                <w:szCs w:val="20"/>
                <w:lang w:val="en-GB"/>
              </w:rPr>
              <w:t>HRK ‘000</w:t>
            </w:r>
          </w:p>
        </w:tc>
        <w:tc>
          <w:tcPr>
            <w:tcW w:w="747" w:type="pct"/>
          </w:tcPr>
          <w:p w14:paraId="22DB840C"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bCs/>
                <w:sz w:val="20"/>
                <w:szCs w:val="20"/>
                <w:lang w:val="en-GB"/>
              </w:rPr>
              <w:t>HRK ‘000</w:t>
            </w:r>
          </w:p>
        </w:tc>
        <w:tc>
          <w:tcPr>
            <w:tcW w:w="746" w:type="pct"/>
          </w:tcPr>
          <w:p w14:paraId="5A65849E"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bCs/>
                <w:sz w:val="20"/>
                <w:szCs w:val="20"/>
                <w:lang w:val="en-GB"/>
              </w:rPr>
              <w:t>HRK ‘000</w:t>
            </w:r>
          </w:p>
        </w:tc>
      </w:tr>
      <w:tr w:rsidR="00587444" w:rsidRPr="00587444" w14:paraId="71B91259" w14:textId="77777777" w:rsidTr="00DD69E7">
        <w:trPr>
          <w:trHeight w:val="287"/>
        </w:trPr>
        <w:tc>
          <w:tcPr>
            <w:tcW w:w="2013" w:type="pct"/>
            <w:vAlign w:val="bottom"/>
          </w:tcPr>
          <w:p w14:paraId="4E482568" w14:textId="77777777" w:rsidR="00587444" w:rsidRPr="00587444" w:rsidRDefault="00587444" w:rsidP="00587444">
            <w:pPr>
              <w:tabs>
                <w:tab w:val="right" w:pos="1202"/>
              </w:tabs>
              <w:suppressAutoHyphens w:val="0"/>
              <w:autoSpaceDN/>
              <w:outlineLvl w:val="0"/>
              <w:rPr>
                <w:rFonts w:ascii="Arial" w:eastAsia="Calibri" w:hAnsi="Arial" w:cs="Arial"/>
                <w:bCs/>
                <w:noProof/>
                <w:sz w:val="20"/>
                <w:szCs w:val="20"/>
                <w:lang w:val="en-GB"/>
              </w:rPr>
            </w:pPr>
            <w:r w:rsidRPr="00587444">
              <w:rPr>
                <w:rFonts w:ascii="Arial" w:eastAsia="Calibri" w:hAnsi="Arial" w:cs="Arial"/>
                <w:bCs/>
                <w:noProof/>
                <w:sz w:val="20"/>
                <w:szCs w:val="20"/>
                <w:lang w:val="en-GB"/>
              </w:rPr>
              <w:t xml:space="preserve">Balance as of 1 January </w:t>
            </w:r>
          </w:p>
        </w:tc>
        <w:tc>
          <w:tcPr>
            <w:tcW w:w="747" w:type="pct"/>
            <w:tcBorders>
              <w:top w:val="nil"/>
              <w:left w:val="nil"/>
              <w:bottom w:val="nil"/>
              <w:right w:val="nil"/>
            </w:tcBorders>
            <w:shd w:val="clear" w:color="auto" w:fill="auto"/>
            <w:vAlign w:val="bottom"/>
          </w:tcPr>
          <w:p w14:paraId="40CFDC33"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eastAsia="Calibri" w:hAnsi="Arial" w:cs="Arial"/>
                <w:color w:val="000000"/>
                <w:sz w:val="20"/>
                <w:szCs w:val="20"/>
                <w:lang w:val="hr-HR"/>
              </w:rPr>
              <w:t>129,587</w:t>
            </w:r>
          </w:p>
        </w:tc>
        <w:tc>
          <w:tcPr>
            <w:tcW w:w="747" w:type="pct"/>
            <w:tcBorders>
              <w:top w:val="nil"/>
              <w:left w:val="nil"/>
              <w:bottom w:val="nil"/>
              <w:right w:val="nil"/>
            </w:tcBorders>
            <w:shd w:val="clear" w:color="auto" w:fill="auto"/>
            <w:vAlign w:val="bottom"/>
          </w:tcPr>
          <w:p w14:paraId="013F6D11"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eastAsia="Calibri" w:hAnsi="Arial" w:cs="Arial"/>
                <w:color w:val="000000"/>
                <w:sz w:val="20"/>
                <w:szCs w:val="20"/>
                <w:lang w:val="hr-HR"/>
              </w:rPr>
              <w:t>45,556</w:t>
            </w:r>
          </w:p>
        </w:tc>
        <w:tc>
          <w:tcPr>
            <w:tcW w:w="747" w:type="pct"/>
            <w:tcBorders>
              <w:top w:val="nil"/>
              <w:left w:val="nil"/>
              <w:bottom w:val="nil"/>
              <w:right w:val="nil"/>
            </w:tcBorders>
            <w:shd w:val="clear" w:color="auto" w:fill="auto"/>
            <w:vAlign w:val="bottom"/>
          </w:tcPr>
          <w:p w14:paraId="7947E529"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eastAsia="Calibri" w:hAnsi="Arial" w:cs="Arial"/>
                <w:color w:val="000000"/>
                <w:sz w:val="20"/>
                <w:szCs w:val="20"/>
                <w:lang w:val="hr-HR"/>
              </w:rPr>
              <w:t>129,587</w:t>
            </w:r>
          </w:p>
        </w:tc>
        <w:tc>
          <w:tcPr>
            <w:tcW w:w="746" w:type="pct"/>
            <w:tcBorders>
              <w:top w:val="nil"/>
              <w:left w:val="nil"/>
              <w:bottom w:val="nil"/>
              <w:right w:val="nil"/>
            </w:tcBorders>
            <w:shd w:val="clear" w:color="auto" w:fill="auto"/>
            <w:vAlign w:val="bottom"/>
          </w:tcPr>
          <w:p w14:paraId="562F5ABE"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eastAsia="Calibri" w:hAnsi="Arial" w:cs="Arial"/>
                <w:color w:val="000000"/>
                <w:sz w:val="20"/>
                <w:szCs w:val="20"/>
                <w:lang w:val="hr-HR"/>
              </w:rPr>
              <w:t>45,556</w:t>
            </w:r>
          </w:p>
        </w:tc>
      </w:tr>
      <w:tr w:rsidR="00587444" w:rsidRPr="00587444" w14:paraId="5581DC5E" w14:textId="77777777" w:rsidTr="00DD69E7">
        <w:trPr>
          <w:trHeight w:val="312"/>
        </w:trPr>
        <w:tc>
          <w:tcPr>
            <w:tcW w:w="2013" w:type="pct"/>
            <w:vAlign w:val="bottom"/>
          </w:tcPr>
          <w:p w14:paraId="6401CCAD" w14:textId="77777777" w:rsidR="00587444" w:rsidRPr="00587444" w:rsidRDefault="00587444" w:rsidP="00587444">
            <w:pPr>
              <w:tabs>
                <w:tab w:val="right" w:pos="1202"/>
              </w:tabs>
              <w:suppressAutoHyphens w:val="0"/>
              <w:autoSpaceDN/>
              <w:outlineLvl w:val="0"/>
              <w:rPr>
                <w:rFonts w:ascii="Arial" w:eastAsia="Calibri" w:hAnsi="Arial" w:cs="Arial"/>
                <w:b/>
                <w:bCs/>
                <w:noProof/>
                <w:sz w:val="20"/>
                <w:szCs w:val="20"/>
                <w:lang w:val="en-GB"/>
              </w:rPr>
            </w:pPr>
            <w:r w:rsidRPr="00587444">
              <w:rPr>
                <w:rFonts w:ascii="Arial" w:eastAsia="Calibri" w:hAnsi="Arial" w:cs="Arial"/>
                <w:noProof/>
                <w:sz w:val="20"/>
                <w:szCs w:val="20"/>
                <w:lang w:val="en-GB"/>
              </w:rPr>
              <w:t>Net (release)/increase of loss allowances on guarantees</w:t>
            </w:r>
          </w:p>
        </w:tc>
        <w:tc>
          <w:tcPr>
            <w:tcW w:w="747" w:type="pct"/>
            <w:tcBorders>
              <w:left w:val="nil"/>
              <w:bottom w:val="single" w:sz="4" w:space="0" w:color="auto"/>
              <w:right w:val="nil"/>
            </w:tcBorders>
            <w:shd w:val="clear" w:color="auto" w:fill="auto"/>
            <w:vAlign w:val="bottom"/>
          </w:tcPr>
          <w:p w14:paraId="3415FBDD" w14:textId="77777777" w:rsidR="00587444" w:rsidRPr="00587444" w:rsidRDefault="00587444" w:rsidP="00587444">
            <w:pPr>
              <w:tabs>
                <w:tab w:val="right" w:pos="1202"/>
              </w:tabs>
              <w:suppressAutoHyphens w:val="0"/>
              <w:autoSpaceDN/>
              <w:jc w:val="right"/>
              <w:outlineLvl w:val="0"/>
              <w:rPr>
                <w:rFonts w:ascii="Arial" w:eastAsia="Calibri" w:hAnsi="Arial" w:cs="Arial"/>
                <w:sz w:val="20"/>
                <w:szCs w:val="20"/>
                <w:lang w:val="hr-HR"/>
              </w:rPr>
            </w:pPr>
            <w:r w:rsidRPr="00587444">
              <w:rPr>
                <w:rFonts w:ascii="Arial" w:eastAsia="Calibri" w:hAnsi="Arial" w:cs="Arial"/>
                <w:color w:val="000000"/>
                <w:sz w:val="20"/>
                <w:szCs w:val="20"/>
                <w:lang w:val="hr-HR"/>
              </w:rPr>
              <w:t>(33,742)</w:t>
            </w:r>
          </w:p>
        </w:tc>
        <w:tc>
          <w:tcPr>
            <w:tcW w:w="747" w:type="pct"/>
            <w:tcBorders>
              <w:left w:val="nil"/>
              <w:bottom w:val="single" w:sz="4" w:space="0" w:color="auto"/>
              <w:right w:val="nil"/>
            </w:tcBorders>
            <w:shd w:val="clear" w:color="auto" w:fill="auto"/>
            <w:vAlign w:val="bottom"/>
          </w:tcPr>
          <w:p w14:paraId="4A6C2028"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eastAsia="Calibri" w:hAnsi="Arial" w:cs="Arial"/>
                <w:color w:val="000000"/>
                <w:sz w:val="20"/>
                <w:szCs w:val="20"/>
                <w:lang w:val="hr-HR"/>
              </w:rPr>
              <w:t>74,799</w:t>
            </w:r>
          </w:p>
        </w:tc>
        <w:tc>
          <w:tcPr>
            <w:tcW w:w="747" w:type="pct"/>
            <w:tcBorders>
              <w:left w:val="nil"/>
              <w:bottom w:val="single" w:sz="4" w:space="0" w:color="auto"/>
              <w:right w:val="nil"/>
            </w:tcBorders>
            <w:shd w:val="clear" w:color="auto" w:fill="auto"/>
            <w:vAlign w:val="bottom"/>
          </w:tcPr>
          <w:p w14:paraId="311A7453"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eastAsia="Calibri" w:hAnsi="Arial" w:cs="Arial"/>
                <w:color w:val="000000"/>
                <w:sz w:val="20"/>
                <w:szCs w:val="20"/>
                <w:lang w:val="hr-HR"/>
              </w:rPr>
              <w:t>(33,742)</w:t>
            </w:r>
          </w:p>
        </w:tc>
        <w:tc>
          <w:tcPr>
            <w:tcW w:w="746" w:type="pct"/>
            <w:tcBorders>
              <w:top w:val="nil"/>
              <w:left w:val="nil"/>
              <w:bottom w:val="single" w:sz="4" w:space="0" w:color="auto"/>
              <w:right w:val="nil"/>
            </w:tcBorders>
            <w:shd w:val="clear" w:color="auto" w:fill="auto"/>
            <w:vAlign w:val="bottom"/>
          </w:tcPr>
          <w:p w14:paraId="5EED6D2A"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eastAsia="Calibri" w:hAnsi="Arial" w:cs="Arial"/>
                <w:color w:val="000000"/>
                <w:sz w:val="20"/>
                <w:szCs w:val="20"/>
                <w:lang w:val="hr-HR"/>
              </w:rPr>
              <w:t>74,799</w:t>
            </w:r>
          </w:p>
        </w:tc>
      </w:tr>
      <w:tr w:rsidR="00587444" w:rsidRPr="00587444" w14:paraId="5EFB774A" w14:textId="77777777" w:rsidTr="00DD69E7">
        <w:trPr>
          <w:trHeight w:val="312"/>
        </w:trPr>
        <w:tc>
          <w:tcPr>
            <w:tcW w:w="2013" w:type="pct"/>
            <w:vAlign w:val="bottom"/>
          </w:tcPr>
          <w:p w14:paraId="71EFE281" w14:textId="77777777" w:rsidR="00587444" w:rsidRPr="00587444" w:rsidRDefault="00587444" w:rsidP="00587444">
            <w:pPr>
              <w:tabs>
                <w:tab w:val="right" w:pos="1202"/>
              </w:tabs>
              <w:suppressAutoHyphens w:val="0"/>
              <w:autoSpaceDN/>
              <w:outlineLvl w:val="0"/>
              <w:rPr>
                <w:rFonts w:ascii="Arial" w:eastAsia="Calibri" w:hAnsi="Arial" w:cs="Arial"/>
                <w:b/>
                <w:bCs/>
                <w:i/>
                <w:noProof/>
                <w:sz w:val="20"/>
                <w:szCs w:val="20"/>
                <w:lang w:val="en-GB"/>
              </w:rPr>
            </w:pPr>
            <w:r w:rsidRPr="00587444">
              <w:rPr>
                <w:rFonts w:ascii="Arial" w:eastAsia="Calibri" w:hAnsi="Arial" w:cs="Arial"/>
                <w:i/>
                <w:noProof/>
                <w:sz w:val="20"/>
                <w:szCs w:val="20"/>
                <w:lang w:val="en-GB"/>
              </w:rPr>
              <w:t>Total recognised through Income Statement (Note 10)</w:t>
            </w:r>
          </w:p>
        </w:tc>
        <w:tc>
          <w:tcPr>
            <w:tcW w:w="747" w:type="pct"/>
            <w:tcBorders>
              <w:top w:val="single" w:sz="4" w:space="0" w:color="auto"/>
              <w:left w:val="nil"/>
              <w:bottom w:val="single" w:sz="4" w:space="0" w:color="auto"/>
              <w:right w:val="nil"/>
            </w:tcBorders>
            <w:shd w:val="clear" w:color="auto" w:fill="auto"/>
            <w:vAlign w:val="bottom"/>
          </w:tcPr>
          <w:p w14:paraId="1AD15F55" w14:textId="77777777" w:rsidR="00587444" w:rsidRPr="00587444" w:rsidRDefault="00587444" w:rsidP="00587444">
            <w:pPr>
              <w:tabs>
                <w:tab w:val="right" w:pos="1202"/>
              </w:tabs>
              <w:suppressAutoHyphens w:val="0"/>
              <w:autoSpaceDN/>
              <w:jc w:val="right"/>
              <w:outlineLvl w:val="0"/>
              <w:rPr>
                <w:rFonts w:ascii="Arial" w:eastAsia="Calibri" w:hAnsi="Arial" w:cs="Arial"/>
                <w:i/>
                <w:sz w:val="20"/>
                <w:szCs w:val="20"/>
                <w:lang w:val="hr-HR"/>
              </w:rPr>
            </w:pPr>
            <w:r w:rsidRPr="00587444">
              <w:rPr>
                <w:rFonts w:ascii="Arial" w:eastAsia="Calibri" w:hAnsi="Arial" w:cs="Arial"/>
                <w:bCs/>
                <w:i/>
                <w:color w:val="000000"/>
                <w:sz w:val="20"/>
                <w:szCs w:val="20"/>
                <w:lang w:val="hr-HR"/>
              </w:rPr>
              <w:t>(33,742)</w:t>
            </w:r>
          </w:p>
        </w:tc>
        <w:tc>
          <w:tcPr>
            <w:tcW w:w="747" w:type="pct"/>
            <w:tcBorders>
              <w:top w:val="single" w:sz="4" w:space="0" w:color="auto"/>
              <w:left w:val="nil"/>
              <w:bottom w:val="single" w:sz="4" w:space="0" w:color="auto"/>
              <w:right w:val="nil"/>
            </w:tcBorders>
            <w:shd w:val="clear" w:color="auto" w:fill="auto"/>
            <w:vAlign w:val="bottom"/>
          </w:tcPr>
          <w:p w14:paraId="6D430C14"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eastAsia="Calibri" w:hAnsi="Arial" w:cs="Arial"/>
                <w:bCs/>
                <w:i/>
                <w:color w:val="000000"/>
                <w:sz w:val="20"/>
                <w:szCs w:val="20"/>
                <w:lang w:val="hr-HR"/>
              </w:rPr>
              <w:t>74,799</w:t>
            </w:r>
          </w:p>
        </w:tc>
        <w:tc>
          <w:tcPr>
            <w:tcW w:w="747" w:type="pct"/>
            <w:tcBorders>
              <w:top w:val="single" w:sz="4" w:space="0" w:color="auto"/>
              <w:left w:val="nil"/>
              <w:bottom w:val="single" w:sz="4" w:space="0" w:color="auto"/>
              <w:right w:val="nil"/>
            </w:tcBorders>
            <w:shd w:val="clear" w:color="auto" w:fill="auto"/>
            <w:vAlign w:val="bottom"/>
          </w:tcPr>
          <w:p w14:paraId="4033510E"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eastAsia="Calibri" w:hAnsi="Arial" w:cs="Arial"/>
                <w:bCs/>
                <w:i/>
                <w:color w:val="000000"/>
                <w:sz w:val="20"/>
                <w:szCs w:val="20"/>
                <w:lang w:val="hr-HR"/>
              </w:rPr>
              <w:t>(33,742)</w:t>
            </w:r>
          </w:p>
        </w:tc>
        <w:tc>
          <w:tcPr>
            <w:tcW w:w="746" w:type="pct"/>
            <w:tcBorders>
              <w:top w:val="single" w:sz="4" w:space="0" w:color="auto"/>
              <w:left w:val="nil"/>
              <w:bottom w:val="single" w:sz="4" w:space="0" w:color="auto"/>
              <w:right w:val="nil"/>
            </w:tcBorders>
            <w:shd w:val="clear" w:color="auto" w:fill="auto"/>
            <w:vAlign w:val="bottom"/>
          </w:tcPr>
          <w:p w14:paraId="0BB94E3F"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eastAsia="Calibri" w:hAnsi="Arial" w:cs="Arial"/>
                <w:bCs/>
                <w:i/>
                <w:color w:val="000000"/>
                <w:sz w:val="20"/>
                <w:szCs w:val="20"/>
                <w:lang w:val="hr-HR"/>
              </w:rPr>
              <w:t>74,799</w:t>
            </w:r>
          </w:p>
        </w:tc>
      </w:tr>
      <w:tr w:rsidR="00587444" w:rsidRPr="00587444" w14:paraId="3DCBC512" w14:textId="77777777" w:rsidTr="00DD69E7">
        <w:trPr>
          <w:trHeight w:val="312"/>
        </w:trPr>
        <w:tc>
          <w:tcPr>
            <w:tcW w:w="2013" w:type="pct"/>
            <w:vAlign w:val="bottom"/>
          </w:tcPr>
          <w:p w14:paraId="701C38C2" w14:textId="77777777" w:rsidR="00587444" w:rsidRPr="00587444" w:rsidRDefault="00587444" w:rsidP="00587444">
            <w:pPr>
              <w:tabs>
                <w:tab w:val="right" w:pos="1202"/>
              </w:tabs>
              <w:suppressAutoHyphens w:val="0"/>
              <w:autoSpaceDN/>
              <w:outlineLvl w:val="0"/>
              <w:rPr>
                <w:rFonts w:ascii="Arial" w:eastAsia="Calibri" w:hAnsi="Arial" w:cs="Arial"/>
                <w:noProof/>
                <w:sz w:val="20"/>
                <w:szCs w:val="20"/>
                <w:lang w:val="en-GB"/>
              </w:rPr>
            </w:pPr>
            <w:r w:rsidRPr="00587444">
              <w:rPr>
                <w:rFonts w:ascii="Arial" w:eastAsia="Calibri" w:hAnsi="Arial" w:cs="Arial"/>
                <w:noProof/>
                <w:sz w:val="20"/>
                <w:szCs w:val="20"/>
                <w:lang w:val="en-GB"/>
              </w:rPr>
              <w:t>Neta (release)/increase of loss allowances on commitments</w:t>
            </w:r>
          </w:p>
        </w:tc>
        <w:tc>
          <w:tcPr>
            <w:tcW w:w="747" w:type="pct"/>
            <w:tcBorders>
              <w:top w:val="single" w:sz="4" w:space="0" w:color="auto"/>
              <w:left w:val="nil"/>
              <w:bottom w:val="single" w:sz="4" w:space="0" w:color="auto"/>
              <w:right w:val="nil"/>
            </w:tcBorders>
            <w:shd w:val="clear" w:color="auto" w:fill="auto"/>
            <w:vAlign w:val="bottom"/>
          </w:tcPr>
          <w:p w14:paraId="05BA5361" w14:textId="77777777" w:rsidR="00587444" w:rsidRPr="00587444" w:rsidRDefault="00587444" w:rsidP="00587444">
            <w:pPr>
              <w:tabs>
                <w:tab w:val="right" w:pos="1202"/>
              </w:tabs>
              <w:suppressAutoHyphens w:val="0"/>
              <w:autoSpaceDN/>
              <w:jc w:val="right"/>
              <w:outlineLvl w:val="0"/>
              <w:rPr>
                <w:rFonts w:ascii="Arial" w:eastAsia="Calibri" w:hAnsi="Arial" w:cs="Arial"/>
                <w:sz w:val="20"/>
                <w:szCs w:val="20"/>
                <w:lang w:val="hr-HR"/>
              </w:rPr>
            </w:pPr>
            <w:r w:rsidRPr="00587444">
              <w:rPr>
                <w:rFonts w:ascii="Arial" w:eastAsia="Calibri" w:hAnsi="Arial" w:cs="Arial"/>
                <w:bCs/>
                <w:color w:val="000000"/>
                <w:sz w:val="20"/>
                <w:szCs w:val="20"/>
                <w:lang w:val="hr-HR"/>
              </w:rPr>
              <w:t>(14,440)</w:t>
            </w:r>
          </w:p>
        </w:tc>
        <w:tc>
          <w:tcPr>
            <w:tcW w:w="747" w:type="pct"/>
            <w:tcBorders>
              <w:top w:val="single" w:sz="4" w:space="0" w:color="auto"/>
              <w:left w:val="nil"/>
              <w:bottom w:val="single" w:sz="4" w:space="0" w:color="auto"/>
              <w:right w:val="nil"/>
            </w:tcBorders>
            <w:shd w:val="clear" w:color="auto" w:fill="auto"/>
            <w:vAlign w:val="bottom"/>
          </w:tcPr>
          <w:p w14:paraId="581D6F1A"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eastAsia="Calibri" w:hAnsi="Arial" w:cs="Arial"/>
                <w:bCs/>
                <w:color w:val="000000"/>
                <w:sz w:val="20"/>
                <w:szCs w:val="20"/>
                <w:lang w:val="hr-HR"/>
              </w:rPr>
              <w:t>7,503</w:t>
            </w:r>
          </w:p>
        </w:tc>
        <w:tc>
          <w:tcPr>
            <w:tcW w:w="747" w:type="pct"/>
            <w:tcBorders>
              <w:top w:val="single" w:sz="4" w:space="0" w:color="auto"/>
              <w:left w:val="nil"/>
              <w:bottom w:val="single" w:sz="4" w:space="0" w:color="auto"/>
              <w:right w:val="nil"/>
            </w:tcBorders>
            <w:shd w:val="clear" w:color="auto" w:fill="auto"/>
            <w:vAlign w:val="bottom"/>
          </w:tcPr>
          <w:p w14:paraId="7C3C217E"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eastAsia="Calibri" w:hAnsi="Arial" w:cs="Arial"/>
                <w:bCs/>
                <w:color w:val="000000"/>
                <w:sz w:val="20"/>
                <w:szCs w:val="20"/>
                <w:lang w:val="hr-HR"/>
              </w:rPr>
              <w:t>(14,440)</w:t>
            </w:r>
          </w:p>
        </w:tc>
        <w:tc>
          <w:tcPr>
            <w:tcW w:w="746" w:type="pct"/>
            <w:tcBorders>
              <w:top w:val="single" w:sz="4" w:space="0" w:color="auto"/>
              <w:left w:val="nil"/>
              <w:bottom w:val="single" w:sz="4" w:space="0" w:color="auto"/>
              <w:right w:val="nil"/>
            </w:tcBorders>
            <w:shd w:val="clear" w:color="auto" w:fill="auto"/>
            <w:vAlign w:val="bottom"/>
          </w:tcPr>
          <w:p w14:paraId="29DDD1F1"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eastAsia="Calibri" w:hAnsi="Arial" w:cs="Arial"/>
                <w:bCs/>
                <w:color w:val="000000"/>
                <w:sz w:val="20"/>
                <w:szCs w:val="20"/>
                <w:lang w:val="hr-HR"/>
              </w:rPr>
              <w:t>7,503</w:t>
            </w:r>
          </w:p>
        </w:tc>
      </w:tr>
      <w:tr w:rsidR="00587444" w:rsidRPr="00587444" w14:paraId="3E5FD573" w14:textId="77777777" w:rsidTr="00DD69E7">
        <w:trPr>
          <w:trHeight w:val="312"/>
        </w:trPr>
        <w:tc>
          <w:tcPr>
            <w:tcW w:w="2013" w:type="pct"/>
            <w:vAlign w:val="bottom"/>
          </w:tcPr>
          <w:p w14:paraId="4D54180F" w14:textId="77777777" w:rsidR="00587444" w:rsidRPr="00587444" w:rsidRDefault="00587444" w:rsidP="00587444">
            <w:pPr>
              <w:tabs>
                <w:tab w:val="right" w:pos="1202"/>
              </w:tabs>
              <w:suppressAutoHyphens w:val="0"/>
              <w:autoSpaceDN/>
              <w:outlineLvl w:val="0"/>
              <w:rPr>
                <w:rFonts w:ascii="Arial" w:eastAsia="Calibri" w:hAnsi="Arial" w:cs="Arial"/>
                <w:noProof/>
                <w:sz w:val="20"/>
                <w:szCs w:val="20"/>
                <w:lang w:val="en-GB"/>
              </w:rPr>
            </w:pPr>
            <w:r w:rsidRPr="00587444">
              <w:rPr>
                <w:rFonts w:ascii="Arial" w:eastAsia="Calibri" w:hAnsi="Arial" w:cs="Arial"/>
                <w:noProof/>
                <w:sz w:val="20"/>
                <w:szCs w:val="20"/>
                <w:lang w:val="en-GB"/>
              </w:rPr>
              <w:t>Total recognised through Income Statement (Note 10)</w:t>
            </w:r>
          </w:p>
        </w:tc>
        <w:tc>
          <w:tcPr>
            <w:tcW w:w="747" w:type="pct"/>
            <w:tcBorders>
              <w:top w:val="single" w:sz="4" w:space="0" w:color="auto"/>
              <w:left w:val="nil"/>
              <w:bottom w:val="single" w:sz="4" w:space="0" w:color="auto"/>
              <w:right w:val="nil"/>
            </w:tcBorders>
            <w:shd w:val="clear" w:color="auto" w:fill="auto"/>
            <w:vAlign w:val="bottom"/>
          </w:tcPr>
          <w:p w14:paraId="2E2BCD18" w14:textId="77777777" w:rsidR="00587444" w:rsidRPr="00587444" w:rsidRDefault="00587444" w:rsidP="00587444">
            <w:pPr>
              <w:tabs>
                <w:tab w:val="right" w:pos="1202"/>
              </w:tabs>
              <w:suppressAutoHyphens w:val="0"/>
              <w:autoSpaceDN/>
              <w:jc w:val="right"/>
              <w:outlineLvl w:val="0"/>
              <w:rPr>
                <w:rFonts w:ascii="Arial" w:eastAsia="Calibri" w:hAnsi="Arial" w:cs="Arial"/>
                <w:i/>
                <w:sz w:val="20"/>
                <w:szCs w:val="20"/>
                <w:lang w:val="hr-HR"/>
              </w:rPr>
            </w:pPr>
            <w:r w:rsidRPr="00587444">
              <w:rPr>
                <w:rFonts w:ascii="Arial" w:eastAsia="Calibri" w:hAnsi="Arial" w:cs="Arial"/>
                <w:bCs/>
                <w:i/>
                <w:color w:val="000000"/>
                <w:sz w:val="20"/>
                <w:szCs w:val="20"/>
                <w:lang w:val="hr-HR"/>
              </w:rPr>
              <w:t>(14,440)</w:t>
            </w:r>
          </w:p>
        </w:tc>
        <w:tc>
          <w:tcPr>
            <w:tcW w:w="747" w:type="pct"/>
            <w:tcBorders>
              <w:top w:val="single" w:sz="4" w:space="0" w:color="auto"/>
              <w:left w:val="nil"/>
              <w:bottom w:val="single" w:sz="4" w:space="0" w:color="auto"/>
              <w:right w:val="nil"/>
            </w:tcBorders>
            <w:shd w:val="clear" w:color="auto" w:fill="auto"/>
            <w:vAlign w:val="bottom"/>
          </w:tcPr>
          <w:p w14:paraId="6167DCCC" w14:textId="77777777" w:rsidR="00587444" w:rsidRPr="00587444" w:rsidRDefault="00587444" w:rsidP="00587444">
            <w:pPr>
              <w:tabs>
                <w:tab w:val="right" w:pos="1202"/>
              </w:tabs>
              <w:suppressAutoHyphens w:val="0"/>
              <w:autoSpaceDN/>
              <w:jc w:val="right"/>
              <w:outlineLvl w:val="0"/>
              <w:rPr>
                <w:rFonts w:ascii="Arial" w:eastAsia="Calibri" w:hAnsi="Arial" w:cs="Arial"/>
                <w:bCs/>
                <w:i/>
                <w:noProof/>
                <w:sz w:val="20"/>
                <w:szCs w:val="20"/>
                <w:lang w:val="en-GB"/>
              </w:rPr>
            </w:pPr>
            <w:r w:rsidRPr="00587444">
              <w:rPr>
                <w:rFonts w:ascii="Arial" w:eastAsia="Calibri" w:hAnsi="Arial" w:cs="Arial"/>
                <w:bCs/>
                <w:i/>
                <w:color w:val="000000"/>
                <w:sz w:val="20"/>
                <w:szCs w:val="20"/>
                <w:lang w:val="hr-HR"/>
              </w:rPr>
              <w:t>7,503</w:t>
            </w:r>
          </w:p>
        </w:tc>
        <w:tc>
          <w:tcPr>
            <w:tcW w:w="747" w:type="pct"/>
            <w:tcBorders>
              <w:top w:val="single" w:sz="4" w:space="0" w:color="auto"/>
              <w:left w:val="nil"/>
              <w:bottom w:val="single" w:sz="4" w:space="0" w:color="auto"/>
              <w:right w:val="nil"/>
            </w:tcBorders>
            <w:shd w:val="clear" w:color="auto" w:fill="auto"/>
            <w:vAlign w:val="bottom"/>
          </w:tcPr>
          <w:p w14:paraId="688E5819" w14:textId="77777777" w:rsidR="00587444" w:rsidRPr="00587444" w:rsidRDefault="00587444" w:rsidP="00587444">
            <w:pPr>
              <w:tabs>
                <w:tab w:val="right" w:pos="1202"/>
              </w:tabs>
              <w:suppressAutoHyphens w:val="0"/>
              <w:autoSpaceDN/>
              <w:jc w:val="right"/>
              <w:outlineLvl w:val="0"/>
              <w:rPr>
                <w:rFonts w:ascii="Arial" w:eastAsia="Calibri" w:hAnsi="Arial" w:cs="Arial"/>
                <w:bCs/>
                <w:i/>
                <w:noProof/>
                <w:sz w:val="20"/>
                <w:szCs w:val="20"/>
                <w:lang w:val="en-GB"/>
              </w:rPr>
            </w:pPr>
            <w:r w:rsidRPr="00587444">
              <w:rPr>
                <w:rFonts w:ascii="Arial" w:eastAsia="Calibri" w:hAnsi="Arial" w:cs="Arial"/>
                <w:bCs/>
                <w:i/>
                <w:color w:val="000000"/>
                <w:sz w:val="20"/>
                <w:szCs w:val="20"/>
                <w:lang w:val="hr-HR"/>
              </w:rPr>
              <w:t>(14,440)</w:t>
            </w:r>
          </w:p>
        </w:tc>
        <w:tc>
          <w:tcPr>
            <w:tcW w:w="746" w:type="pct"/>
            <w:tcBorders>
              <w:top w:val="single" w:sz="4" w:space="0" w:color="auto"/>
              <w:left w:val="nil"/>
              <w:bottom w:val="single" w:sz="4" w:space="0" w:color="auto"/>
              <w:right w:val="nil"/>
            </w:tcBorders>
            <w:shd w:val="clear" w:color="auto" w:fill="auto"/>
            <w:vAlign w:val="bottom"/>
          </w:tcPr>
          <w:p w14:paraId="37D696B1" w14:textId="77777777" w:rsidR="00587444" w:rsidRPr="00587444" w:rsidRDefault="00587444" w:rsidP="00587444">
            <w:pPr>
              <w:tabs>
                <w:tab w:val="right" w:pos="1202"/>
              </w:tabs>
              <w:suppressAutoHyphens w:val="0"/>
              <w:autoSpaceDN/>
              <w:jc w:val="right"/>
              <w:outlineLvl w:val="0"/>
              <w:rPr>
                <w:rFonts w:ascii="Arial" w:eastAsia="Calibri" w:hAnsi="Arial" w:cs="Arial"/>
                <w:bCs/>
                <w:i/>
                <w:noProof/>
                <w:sz w:val="20"/>
                <w:szCs w:val="20"/>
                <w:lang w:val="en-GB"/>
              </w:rPr>
            </w:pPr>
            <w:r w:rsidRPr="00587444">
              <w:rPr>
                <w:rFonts w:ascii="Arial" w:eastAsia="Calibri" w:hAnsi="Arial" w:cs="Arial"/>
                <w:bCs/>
                <w:i/>
                <w:color w:val="000000"/>
                <w:sz w:val="20"/>
                <w:szCs w:val="20"/>
                <w:lang w:val="hr-HR"/>
              </w:rPr>
              <w:t>7,503</w:t>
            </w:r>
          </w:p>
        </w:tc>
      </w:tr>
      <w:tr w:rsidR="00587444" w:rsidRPr="00587444" w14:paraId="7E46380B" w14:textId="77777777" w:rsidTr="00DD69E7">
        <w:trPr>
          <w:trHeight w:val="312"/>
        </w:trPr>
        <w:tc>
          <w:tcPr>
            <w:tcW w:w="2013" w:type="pct"/>
            <w:vAlign w:val="bottom"/>
          </w:tcPr>
          <w:p w14:paraId="7D8C6BC0" w14:textId="77777777" w:rsidR="00587444" w:rsidRPr="00587444" w:rsidRDefault="00587444" w:rsidP="00587444">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noProof/>
                <w:sz w:val="20"/>
                <w:szCs w:val="20"/>
                <w:lang w:val="en-GB"/>
              </w:rPr>
              <w:t>Net foreign exchange on loss allowances</w:t>
            </w:r>
          </w:p>
        </w:tc>
        <w:tc>
          <w:tcPr>
            <w:tcW w:w="747" w:type="pct"/>
            <w:tcBorders>
              <w:top w:val="single" w:sz="4" w:space="0" w:color="auto"/>
              <w:left w:val="nil"/>
              <w:bottom w:val="single" w:sz="4" w:space="0" w:color="auto"/>
              <w:right w:val="nil"/>
            </w:tcBorders>
            <w:shd w:val="clear" w:color="auto" w:fill="auto"/>
            <w:vAlign w:val="bottom"/>
          </w:tcPr>
          <w:p w14:paraId="0F0E8FD3" w14:textId="77777777" w:rsidR="00587444" w:rsidRPr="00587444" w:rsidRDefault="00587444" w:rsidP="00587444">
            <w:pPr>
              <w:tabs>
                <w:tab w:val="right" w:pos="1202"/>
              </w:tabs>
              <w:suppressAutoHyphens w:val="0"/>
              <w:autoSpaceDN/>
              <w:jc w:val="right"/>
              <w:outlineLvl w:val="0"/>
              <w:rPr>
                <w:rFonts w:ascii="Arial" w:eastAsia="Calibri" w:hAnsi="Arial" w:cs="Arial"/>
                <w:sz w:val="20"/>
                <w:szCs w:val="20"/>
                <w:lang w:val="hr-HR"/>
              </w:rPr>
            </w:pPr>
            <w:r w:rsidRPr="00587444">
              <w:rPr>
                <w:rFonts w:ascii="Arial" w:eastAsia="Calibri" w:hAnsi="Arial" w:cs="Arial"/>
                <w:color w:val="000000"/>
                <w:sz w:val="20"/>
                <w:szCs w:val="20"/>
                <w:lang w:val="hr-HR"/>
              </w:rPr>
              <w:t>(679)</w:t>
            </w:r>
          </w:p>
        </w:tc>
        <w:tc>
          <w:tcPr>
            <w:tcW w:w="747" w:type="pct"/>
            <w:tcBorders>
              <w:top w:val="single" w:sz="4" w:space="0" w:color="auto"/>
              <w:left w:val="nil"/>
              <w:bottom w:val="single" w:sz="4" w:space="0" w:color="auto"/>
              <w:right w:val="nil"/>
            </w:tcBorders>
            <w:shd w:val="clear" w:color="auto" w:fill="auto"/>
            <w:vAlign w:val="bottom"/>
          </w:tcPr>
          <w:p w14:paraId="3CB05ADC"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eastAsia="Calibri" w:hAnsi="Arial" w:cs="Arial"/>
                <w:color w:val="000000"/>
                <w:sz w:val="20"/>
                <w:szCs w:val="20"/>
                <w:lang w:val="hr-HR"/>
              </w:rPr>
              <w:t>1,729</w:t>
            </w:r>
          </w:p>
        </w:tc>
        <w:tc>
          <w:tcPr>
            <w:tcW w:w="747" w:type="pct"/>
            <w:tcBorders>
              <w:top w:val="single" w:sz="4" w:space="0" w:color="auto"/>
              <w:left w:val="nil"/>
              <w:bottom w:val="single" w:sz="4" w:space="0" w:color="auto"/>
              <w:right w:val="nil"/>
            </w:tcBorders>
            <w:shd w:val="clear" w:color="auto" w:fill="auto"/>
            <w:vAlign w:val="bottom"/>
          </w:tcPr>
          <w:p w14:paraId="549A6F28"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eastAsia="Calibri" w:hAnsi="Arial" w:cs="Arial"/>
                <w:color w:val="000000"/>
                <w:sz w:val="20"/>
                <w:szCs w:val="20"/>
                <w:lang w:val="hr-HR"/>
              </w:rPr>
              <w:t>(679)</w:t>
            </w:r>
          </w:p>
        </w:tc>
        <w:tc>
          <w:tcPr>
            <w:tcW w:w="746" w:type="pct"/>
            <w:tcBorders>
              <w:top w:val="single" w:sz="4" w:space="0" w:color="auto"/>
              <w:left w:val="nil"/>
              <w:bottom w:val="single" w:sz="4" w:space="0" w:color="auto"/>
              <w:right w:val="nil"/>
            </w:tcBorders>
            <w:shd w:val="clear" w:color="auto" w:fill="auto"/>
            <w:vAlign w:val="bottom"/>
          </w:tcPr>
          <w:p w14:paraId="43A72514"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eastAsia="Calibri" w:hAnsi="Arial" w:cs="Arial"/>
                <w:color w:val="000000"/>
                <w:sz w:val="20"/>
                <w:szCs w:val="20"/>
                <w:lang w:val="hr-HR"/>
              </w:rPr>
              <w:t>1,729</w:t>
            </w:r>
          </w:p>
        </w:tc>
      </w:tr>
      <w:tr w:rsidR="00587444" w:rsidRPr="00587444" w14:paraId="490806E6" w14:textId="77777777" w:rsidTr="00DD69E7">
        <w:trPr>
          <w:trHeight w:val="312"/>
        </w:trPr>
        <w:tc>
          <w:tcPr>
            <w:tcW w:w="2013" w:type="pct"/>
            <w:vAlign w:val="bottom"/>
          </w:tcPr>
          <w:p w14:paraId="66E0FEA5" w14:textId="77777777" w:rsidR="00587444" w:rsidRPr="00587444" w:rsidRDefault="00587444" w:rsidP="00587444">
            <w:pPr>
              <w:tabs>
                <w:tab w:val="right" w:pos="1202"/>
              </w:tabs>
              <w:suppressAutoHyphens w:val="0"/>
              <w:autoSpaceDN/>
              <w:outlineLvl w:val="0"/>
              <w:rPr>
                <w:rFonts w:ascii="Arial" w:eastAsia="Calibri" w:hAnsi="Arial" w:cs="Arial"/>
                <w:b/>
                <w:noProof/>
                <w:sz w:val="20"/>
                <w:szCs w:val="20"/>
                <w:lang w:val="en-GB"/>
              </w:rPr>
            </w:pPr>
            <w:r w:rsidRPr="00587444">
              <w:rPr>
                <w:rFonts w:ascii="Arial" w:eastAsia="Calibri" w:hAnsi="Arial" w:cs="Arial"/>
                <w:b/>
                <w:noProof/>
                <w:sz w:val="20"/>
                <w:szCs w:val="20"/>
                <w:lang w:val="en-GB"/>
              </w:rPr>
              <w:t>Balance at the end of the reporting period - Provisions for guarantees and commitments</w:t>
            </w:r>
          </w:p>
        </w:tc>
        <w:tc>
          <w:tcPr>
            <w:tcW w:w="747" w:type="pct"/>
            <w:tcBorders>
              <w:top w:val="single" w:sz="4" w:space="0" w:color="auto"/>
              <w:left w:val="nil"/>
              <w:bottom w:val="single" w:sz="12" w:space="0" w:color="auto"/>
              <w:right w:val="nil"/>
            </w:tcBorders>
            <w:shd w:val="clear" w:color="auto" w:fill="auto"/>
            <w:vAlign w:val="bottom"/>
          </w:tcPr>
          <w:p w14:paraId="6095FB7F"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en-GB"/>
              </w:rPr>
            </w:pPr>
            <w:r w:rsidRPr="00587444">
              <w:rPr>
                <w:rFonts w:ascii="Arial" w:eastAsia="Calibri" w:hAnsi="Arial" w:cs="Arial"/>
                <w:b/>
                <w:color w:val="000000"/>
                <w:sz w:val="20"/>
                <w:szCs w:val="20"/>
                <w:lang w:val="hr-HR"/>
              </w:rPr>
              <w:t>80,726</w:t>
            </w:r>
          </w:p>
        </w:tc>
        <w:tc>
          <w:tcPr>
            <w:tcW w:w="747" w:type="pct"/>
            <w:tcBorders>
              <w:top w:val="single" w:sz="4" w:space="0" w:color="auto"/>
              <w:left w:val="nil"/>
              <w:bottom w:val="single" w:sz="12" w:space="0" w:color="auto"/>
              <w:right w:val="nil"/>
            </w:tcBorders>
            <w:shd w:val="clear" w:color="auto" w:fill="auto"/>
            <w:vAlign w:val="bottom"/>
          </w:tcPr>
          <w:p w14:paraId="74DE2521"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en-GB"/>
              </w:rPr>
            </w:pPr>
            <w:r w:rsidRPr="00587444">
              <w:rPr>
                <w:rFonts w:ascii="Arial" w:eastAsia="Calibri" w:hAnsi="Arial" w:cs="Arial"/>
                <w:b/>
                <w:color w:val="000000"/>
                <w:sz w:val="20"/>
                <w:szCs w:val="20"/>
                <w:lang w:val="hr-HR"/>
              </w:rPr>
              <w:t>129,587</w:t>
            </w:r>
          </w:p>
        </w:tc>
        <w:tc>
          <w:tcPr>
            <w:tcW w:w="747" w:type="pct"/>
            <w:tcBorders>
              <w:top w:val="single" w:sz="4" w:space="0" w:color="auto"/>
              <w:left w:val="nil"/>
              <w:bottom w:val="single" w:sz="12" w:space="0" w:color="auto"/>
              <w:right w:val="nil"/>
            </w:tcBorders>
            <w:shd w:val="clear" w:color="auto" w:fill="auto"/>
            <w:vAlign w:val="bottom"/>
          </w:tcPr>
          <w:p w14:paraId="094355B5"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en-GB"/>
              </w:rPr>
            </w:pPr>
            <w:r w:rsidRPr="00587444">
              <w:rPr>
                <w:rFonts w:ascii="Arial" w:eastAsia="Calibri" w:hAnsi="Arial" w:cs="Arial"/>
                <w:b/>
                <w:color w:val="000000"/>
                <w:sz w:val="20"/>
                <w:szCs w:val="20"/>
                <w:lang w:val="hr-HR"/>
              </w:rPr>
              <w:t>80,726</w:t>
            </w:r>
          </w:p>
        </w:tc>
        <w:tc>
          <w:tcPr>
            <w:tcW w:w="746" w:type="pct"/>
            <w:tcBorders>
              <w:top w:val="single" w:sz="4" w:space="0" w:color="auto"/>
              <w:left w:val="nil"/>
              <w:bottom w:val="single" w:sz="12" w:space="0" w:color="auto"/>
              <w:right w:val="nil"/>
            </w:tcBorders>
            <w:shd w:val="clear" w:color="auto" w:fill="auto"/>
            <w:vAlign w:val="bottom"/>
          </w:tcPr>
          <w:p w14:paraId="773BB7D3"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en-GB"/>
              </w:rPr>
            </w:pPr>
            <w:r w:rsidRPr="00587444">
              <w:rPr>
                <w:rFonts w:ascii="Arial" w:eastAsia="Calibri" w:hAnsi="Arial" w:cs="Arial"/>
                <w:b/>
                <w:color w:val="000000"/>
                <w:sz w:val="20"/>
                <w:szCs w:val="20"/>
                <w:lang w:val="hr-HR"/>
              </w:rPr>
              <w:t>129,587</w:t>
            </w:r>
          </w:p>
        </w:tc>
      </w:tr>
      <w:tr w:rsidR="00587444" w:rsidRPr="00587444" w14:paraId="42B11D5E" w14:textId="77777777" w:rsidTr="00DD69E7">
        <w:trPr>
          <w:trHeight w:val="312"/>
        </w:trPr>
        <w:tc>
          <w:tcPr>
            <w:tcW w:w="2013" w:type="pct"/>
            <w:vAlign w:val="bottom"/>
          </w:tcPr>
          <w:p w14:paraId="53FD7919" w14:textId="77777777" w:rsidR="00587444" w:rsidRPr="00587444" w:rsidRDefault="00587444" w:rsidP="00587444">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bCs/>
                <w:noProof/>
                <w:sz w:val="20"/>
                <w:szCs w:val="20"/>
                <w:lang w:val="en-GB"/>
              </w:rPr>
              <w:t xml:space="preserve">Balance as of 1 January </w:t>
            </w:r>
          </w:p>
        </w:tc>
        <w:tc>
          <w:tcPr>
            <w:tcW w:w="747" w:type="pct"/>
            <w:tcBorders>
              <w:top w:val="single" w:sz="12" w:space="0" w:color="auto"/>
              <w:left w:val="nil"/>
              <w:right w:val="nil"/>
            </w:tcBorders>
            <w:shd w:val="clear" w:color="auto" w:fill="auto"/>
            <w:vAlign w:val="bottom"/>
          </w:tcPr>
          <w:p w14:paraId="3E1BA23A"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z w:val="20"/>
                <w:szCs w:val="20"/>
                <w:lang w:val="hr-HR"/>
              </w:rPr>
            </w:pPr>
            <w:r w:rsidRPr="00587444">
              <w:rPr>
                <w:rFonts w:ascii="Arial" w:eastAsia="Calibri" w:hAnsi="Arial"/>
                <w:color w:val="000000"/>
                <w:sz w:val="20"/>
                <w:lang w:val="hr-HR"/>
              </w:rPr>
              <w:t>60,973</w:t>
            </w:r>
          </w:p>
        </w:tc>
        <w:tc>
          <w:tcPr>
            <w:tcW w:w="747" w:type="pct"/>
            <w:tcBorders>
              <w:top w:val="single" w:sz="12" w:space="0" w:color="auto"/>
              <w:left w:val="nil"/>
              <w:right w:val="nil"/>
            </w:tcBorders>
            <w:shd w:val="clear" w:color="auto" w:fill="auto"/>
            <w:vAlign w:val="bottom"/>
          </w:tcPr>
          <w:p w14:paraId="452B655C"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z w:val="20"/>
                <w:szCs w:val="20"/>
                <w:lang w:val="hr-HR"/>
              </w:rPr>
            </w:pPr>
            <w:r w:rsidRPr="00587444">
              <w:rPr>
                <w:rFonts w:ascii="Arial" w:eastAsia="Calibri" w:hAnsi="Arial" w:cs="Arial"/>
                <w:color w:val="000000"/>
                <w:sz w:val="20"/>
                <w:szCs w:val="20"/>
                <w:lang w:val="hr-HR"/>
              </w:rPr>
              <w:t>62,500</w:t>
            </w:r>
          </w:p>
        </w:tc>
        <w:tc>
          <w:tcPr>
            <w:tcW w:w="747" w:type="pct"/>
            <w:tcBorders>
              <w:top w:val="single" w:sz="12" w:space="0" w:color="auto"/>
              <w:left w:val="nil"/>
              <w:right w:val="nil"/>
            </w:tcBorders>
            <w:shd w:val="clear" w:color="auto" w:fill="auto"/>
            <w:vAlign w:val="bottom"/>
          </w:tcPr>
          <w:p w14:paraId="2CDC4F8B"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eastAsia="Calibri" w:hAnsi="Arial" w:cs="Arial"/>
                <w:color w:val="000000"/>
                <w:sz w:val="20"/>
                <w:szCs w:val="20"/>
                <w:lang w:val="hr-HR"/>
              </w:rPr>
              <w:t>60,716</w:t>
            </w:r>
          </w:p>
        </w:tc>
        <w:tc>
          <w:tcPr>
            <w:tcW w:w="746" w:type="pct"/>
            <w:tcBorders>
              <w:top w:val="single" w:sz="12" w:space="0" w:color="auto"/>
              <w:left w:val="nil"/>
              <w:right w:val="nil"/>
            </w:tcBorders>
            <w:shd w:val="clear" w:color="auto" w:fill="auto"/>
            <w:vAlign w:val="bottom"/>
          </w:tcPr>
          <w:p w14:paraId="1AE44829"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eastAsia="Calibri" w:hAnsi="Arial" w:cs="Arial"/>
                <w:color w:val="000000"/>
                <w:sz w:val="20"/>
                <w:szCs w:val="20"/>
                <w:lang w:val="hr-HR"/>
              </w:rPr>
              <w:t>62,240</w:t>
            </w:r>
          </w:p>
        </w:tc>
      </w:tr>
      <w:tr w:rsidR="00587444" w:rsidRPr="00587444" w14:paraId="7522BD5F" w14:textId="77777777" w:rsidTr="00DD69E7">
        <w:trPr>
          <w:trHeight w:val="312"/>
        </w:trPr>
        <w:tc>
          <w:tcPr>
            <w:tcW w:w="2013" w:type="pct"/>
            <w:vAlign w:val="bottom"/>
          </w:tcPr>
          <w:p w14:paraId="1FC07C23" w14:textId="77777777" w:rsidR="00587444" w:rsidRPr="00587444" w:rsidRDefault="00587444" w:rsidP="00587444">
            <w:pPr>
              <w:tabs>
                <w:tab w:val="right" w:pos="1202"/>
              </w:tabs>
              <w:suppressAutoHyphens w:val="0"/>
              <w:autoSpaceDN/>
              <w:outlineLvl w:val="0"/>
              <w:rPr>
                <w:rFonts w:ascii="Arial" w:eastAsia="Calibri" w:hAnsi="Arial" w:cs="Arial"/>
                <w:noProof/>
                <w:sz w:val="20"/>
                <w:szCs w:val="20"/>
                <w:lang w:val="en-GB"/>
              </w:rPr>
            </w:pPr>
            <w:r w:rsidRPr="00587444">
              <w:rPr>
                <w:rFonts w:ascii="Arial" w:eastAsia="Calibri" w:hAnsi="Arial" w:cs="Arial"/>
                <w:noProof/>
                <w:sz w:val="20"/>
                <w:szCs w:val="20"/>
                <w:lang w:val="en-GB"/>
              </w:rPr>
              <w:t>Net increase/(release) of loss allowances on other liabilities</w:t>
            </w:r>
          </w:p>
        </w:tc>
        <w:tc>
          <w:tcPr>
            <w:tcW w:w="747" w:type="pct"/>
            <w:tcBorders>
              <w:left w:val="nil"/>
              <w:bottom w:val="single" w:sz="4" w:space="0" w:color="auto"/>
              <w:right w:val="nil"/>
            </w:tcBorders>
            <w:shd w:val="clear" w:color="auto" w:fill="auto"/>
            <w:vAlign w:val="bottom"/>
          </w:tcPr>
          <w:p w14:paraId="36670E27"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z w:val="20"/>
                <w:szCs w:val="20"/>
                <w:lang w:val="hr-HR"/>
              </w:rPr>
            </w:pPr>
            <w:r w:rsidRPr="00587444">
              <w:rPr>
                <w:rFonts w:ascii="Arial" w:eastAsia="Calibri" w:hAnsi="Arial" w:cs="Arial"/>
                <w:color w:val="000000"/>
                <w:sz w:val="20"/>
                <w:szCs w:val="20"/>
                <w:lang w:val="hr-HR"/>
              </w:rPr>
              <w:t>257</w:t>
            </w:r>
          </w:p>
        </w:tc>
        <w:tc>
          <w:tcPr>
            <w:tcW w:w="747" w:type="pct"/>
            <w:tcBorders>
              <w:left w:val="nil"/>
              <w:bottom w:val="single" w:sz="4" w:space="0" w:color="auto"/>
              <w:right w:val="nil"/>
            </w:tcBorders>
            <w:shd w:val="clear" w:color="auto" w:fill="auto"/>
            <w:vAlign w:val="bottom"/>
          </w:tcPr>
          <w:p w14:paraId="2A96B3EE"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z w:val="20"/>
                <w:szCs w:val="20"/>
                <w:lang w:val="hr-HR"/>
              </w:rPr>
            </w:pPr>
            <w:r w:rsidRPr="00587444">
              <w:rPr>
                <w:rFonts w:ascii="Arial" w:eastAsia="Calibri" w:hAnsi="Arial" w:cs="Arial"/>
                <w:color w:val="000000"/>
                <w:sz w:val="20"/>
                <w:szCs w:val="20"/>
                <w:lang w:val="hr-HR"/>
              </w:rPr>
              <w:t>(2,358)</w:t>
            </w:r>
          </w:p>
        </w:tc>
        <w:tc>
          <w:tcPr>
            <w:tcW w:w="747" w:type="pct"/>
            <w:tcBorders>
              <w:left w:val="nil"/>
              <w:bottom w:val="single" w:sz="4" w:space="0" w:color="auto"/>
              <w:right w:val="nil"/>
            </w:tcBorders>
            <w:shd w:val="clear" w:color="auto" w:fill="auto"/>
            <w:vAlign w:val="bottom"/>
          </w:tcPr>
          <w:p w14:paraId="7281690E"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z w:val="20"/>
                <w:szCs w:val="20"/>
                <w:lang w:val="hr-HR"/>
              </w:rPr>
            </w:pPr>
            <w:r w:rsidRPr="00587444">
              <w:rPr>
                <w:rFonts w:ascii="Arial" w:eastAsia="Calibri" w:hAnsi="Arial" w:cs="Arial"/>
                <w:color w:val="000000"/>
                <w:sz w:val="20"/>
                <w:szCs w:val="20"/>
                <w:lang w:val="hr-HR"/>
              </w:rPr>
              <w:t>474</w:t>
            </w:r>
          </w:p>
        </w:tc>
        <w:tc>
          <w:tcPr>
            <w:tcW w:w="746" w:type="pct"/>
            <w:tcBorders>
              <w:left w:val="nil"/>
              <w:bottom w:val="single" w:sz="4" w:space="0" w:color="auto"/>
              <w:right w:val="nil"/>
            </w:tcBorders>
            <w:shd w:val="clear" w:color="auto" w:fill="auto"/>
            <w:vAlign w:val="bottom"/>
          </w:tcPr>
          <w:p w14:paraId="69A835BF"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eastAsia="Calibri" w:hAnsi="Arial" w:cs="Arial"/>
                <w:color w:val="000000"/>
                <w:sz w:val="20"/>
                <w:szCs w:val="20"/>
                <w:lang w:val="hr-HR"/>
              </w:rPr>
              <w:t>(2,355)</w:t>
            </w:r>
          </w:p>
        </w:tc>
      </w:tr>
      <w:tr w:rsidR="00587444" w:rsidRPr="00587444" w14:paraId="7D0FF565" w14:textId="77777777" w:rsidTr="00DD69E7">
        <w:trPr>
          <w:trHeight w:val="312"/>
        </w:trPr>
        <w:tc>
          <w:tcPr>
            <w:tcW w:w="2013" w:type="pct"/>
            <w:vAlign w:val="bottom"/>
          </w:tcPr>
          <w:p w14:paraId="50C7CF4F" w14:textId="77777777" w:rsidR="00587444" w:rsidRPr="00587444" w:rsidRDefault="00587444" w:rsidP="00587444">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i/>
                <w:noProof/>
                <w:sz w:val="20"/>
                <w:szCs w:val="20"/>
                <w:lang w:val="en-GB"/>
              </w:rPr>
              <w:t>Total recognised through Income Statement (Note 10)</w:t>
            </w:r>
          </w:p>
        </w:tc>
        <w:tc>
          <w:tcPr>
            <w:tcW w:w="747" w:type="pct"/>
            <w:tcBorders>
              <w:top w:val="single" w:sz="4" w:space="0" w:color="auto"/>
              <w:left w:val="nil"/>
              <w:bottom w:val="single" w:sz="4" w:space="0" w:color="auto"/>
              <w:right w:val="nil"/>
            </w:tcBorders>
            <w:shd w:val="clear" w:color="auto" w:fill="auto"/>
            <w:vAlign w:val="bottom"/>
          </w:tcPr>
          <w:p w14:paraId="1C68F5D3" w14:textId="77777777" w:rsidR="00587444" w:rsidRPr="00587444" w:rsidRDefault="00587444" w:rsidP="00587444">
            <w:pPr>
              <w:tabs>
                <w:tab w:val="right" w:pos="1202"/>
              </w:tabs>
              <w:suppressAutoHyphens w:val="0"/>
              <w:autoSpaceDN/>
              <w:jc w:val="right"/>
              <w:outlineLvl w:val="0"/>
              <w:rPr>
                <w:rFonts w:ascii="Arial" w:eastAsia="Calibri" w:hAnsi="Arial" w:cs="Arial"/>
                <w:i/>
                <w:color w:val="000000"/>
                <w:sz w:val="20"/>
                <w:szCs w:val="20"/>
                <w:lang w:val="hr-HR"/>
              </w:rPr>
            </w:pPr>
            <w:r w:rsidRPr="00587444">
              <w:rPr>
                <w:rFonts w:ascii="Arial" w:eastAsia="Calibri" w:hAnsi="Arial" w:cs="Arial"/>
                <w:i/>
                <w:color w:val="000000"/>
                <w:sz w:val="20"/>
                <w:szCs w:val="20"/>
                <w:lang w:val="hr-HR"/>
              </w:rPr>
              <w:t>257</w:t>
            </w:r>
          </w:p>
        </w:tc>
        <w:tc>
          <w:tcPr>
            <w:tcW w:w="747" w:type="pct"/>
            <w:tcBorders>
              <w:top w:val="single" w:sz="4" w:space="0" w:color="auto"/>
              <w:left w:val="nil"/>
              <w:bottom w:val="single" w:sz="4" w:space="0" w:color="auto"/>
              <w:right w:val="nil"/>
            </w:tcBorders>
            <w:shd w:val="clear" w:color="auto" w:fill="auto"/>
            <w:vAlign w:val="bottom"/>
          </w:tcPr>
          <w:p w14:paraId="01AB5741" w14:textId="77777777" w:rsidR="00587444" w:rsidRPr="00587444" w:rsidRDefault="00587444" w:rsidP="00587444">
            <w:pPr>
              <w:tabs>
                <w:tab w:val="right" w:pos="1202"/>
              </w:tabs>
              <w:suppressAutoHyphens w:val="0"/>
              <w:autoSpaceDN/>
              <w:jc w:val="right"/>
              <w:outlineLvl w:val="0"/>
              <w:rPr>
                <w:rFonts w:ascii="Arial" w:eastAsia="Calibri" w:hAnsi="Arial" w:cs="Arial"/>
                <w:i/>
                <w:color w:val="000000"/>
                <w:sz w:val="20"/>
                <w:szCs w:val="20"/>
                <w:lang w:val="hr-HR"/>
              </w:rPr>
            </w:pPr>
            <w:r w:rsidRPr="00587444">
              <w:rPr>
                <w:rFonts w:ascii="Arial" w:eastAsia="Calibri" w:hAnsi="Arial" w:cs="Arial"/>
                <w:i/>
                <w:color w:val="000000"/>
                <w:sz w:val="20"/>
                <w:szCs w:val="20"/>
                <w:lang w:val="hr-HR"/>
              </w:rPr>
              <w:t>(2,358)</w:t>
            </w:r>
          </w:p>
        </w:tc>
        <w:tc>
          <w:tcPr>
            <w:tcW w:w="747" w:type="pct"/>
            <w:tcBorders>
              <w:top w:val="single" w:sz="4" w:space="0" w:color="auto"/>
              <w:left w:val="nil"/>
              <w:bottom w:val="single" w:sz="4" w:space="0" w:color="auto"/>
              <w:right w:val="nil"/>
            </w:tcBorders>
            <w:shd w:val="clear" w:color="auto" w:fill="auto"/>
            <w:vAlign w:val="bottom"/>
          </w:tcPr>
          <w:p w14:paraId="253F038D" w14:textId="77777777" w:rsidR="00587444" w:rsidRPr="00587444" w:rsidRDefault="00587444" w:rsidP="00587444">
            <w:pPr>
              <w:tabs>
                <w:tab w:val="right" w:pos="1202"/>
              </w:tabs>
              <w:suppressAutoHyphens w:val="0"/>
              <w:autoSpaceDN/>
              <w:jc w:val="right"/>
              <w:outlineLvl w:val="0"/>
              <w:rPr>
                <w:rFonts w:ascii="Arial" w:eastAsia="Calibri" w:hAnsi="Arial" w:cs="Arial"/>
                <w:bCs/>
                <w:i/>
                <w:noProof/>
                <w:sz w:val="20"/>
                <w:szCs w:val="20"/>
                <w:lang w:val="en-GB"/>
              </w:rPr>
            </w:pPr>
            <w:r w:rsidRPr="00587444">
              <w:rPr>
                <w:rFonts w:ascii="Arial" w:eastAsia="Calibri" w:hAnsi="Arial" w:cs="Arial"/>
                <w:i/>
                <w:color w:val="000000"/>
                <w:sz w:val="20"/>
                <w:szCs w:val="20"/>
                <w:lang w:val="hr-HR"/>
              </w:rPr>
              <w:t>474</w:t>
            </w:r>
          </w:p>
        </w:tc>
        <w:tc>
          <w:tcPr>
            <w:tcW w:w="746" w:type="pct"/>
            <w:tcBorders>
              <w:top w:val="single" w:sz="4" w:space="0" w:color="auto"/>
              <w:left w:val="nil"/>
              <w:bottom w:val="single" w:sz="4" w:space="0" w:color="auto"/>
              <w:right w:val="nil"/>
            </w:tcBorders>
            <w:shd w:val="clear" w:color="auto" w:fill="auto"/>
            <w:vAlign w:val="bottom"/>
          </w:tcPr>
          <w:p w14:paraId="7D77EEC5" w14:textId="77777777" w:rsidR="00587444" w:rsidRPr="00587444" w:rsidRDefault="00587444" w:rsidP="00587444">
            <w:pPr>
              <w:tabs>
                <w:tab w:val="right" w:pos="1202"/>
              </w:tabs>
              <w:suppressAutoHyphens w:val="0"/>
              <w:autoSpaceDN/>
              <w:jc w:val="right"/>
              <w:outlineLvl w:val="0"/>
              <w:rPr>
                <w:rFonts w:ascii="Arial" w:eastAsia="Calibri" w:hAnsi="Arial" w:cs="Arial"/>
                <w:bCs/>
                <w:i/>
                <w:noProof/>
                <w:sz w:val="20"/>
                <w:szCs w:val="20"/>
                <w:lang w:val="en-GB"/>
              </w:rPr>
            </w:pPr>
            <w:r w:rsidRPr="00587444">
              <w:rPr>
                <w:rFonts w:ascii="Arial" w:eastAsia="Calibri" w:hAnsi="Arial" w:cs="Arial"/>
                <w:i/>
                <w:color w:val="000000"/>
                <w:sz w:val="20"/>
                <w:szCs w:val="20"/>
                <w:lang w:val="hr-HR"/>
              </w:rPr>
              <w:t>(2,355)</w:t>
            </w:r>
          </w:p>
        </w:tc>
      </w:tr>
      <w:tr w:rsidR="00587444" w:rsidRPr="00587444" w14:paraId="61D53E89" w14:textId="77777777" w:rsidTr="00DD69E7">
        <w:trPr>
          <w:trHeight w:val="312"/>
        </w:trPr>
        <w:tc>
          <w:tcPr>
            <w:tcW w:w="2013" w:type="pct"/>
            <w:vAlign w:val="bottom"/>
          </w:tcPr>
          <w:p w14:paraId="68463161" w14:textId="77777777" w:rsidR="00587444" w:rsidRPr="00587444" w:rsidRDefault="00587444" w:rsidP="00587444">
            <w:pPr>
              <w:tabs>
                <w:tab w:val="right" w:pos="1202"/>
              </w:tabs>
              <w:suppressAutoHyphens w:val="0"/>
              <w:autoSpaceDN/>
              <w:outlineLvl w:val="0"/>
              <w:rPr>
                <w:rFonts w:ascii="Arial" w:eastAsia="Calibri" w:hAnsi="Arial" w:cs="Arial"/>
                <w:noProof/>
                <w:sz w:val="20"/>
                <w:szCs w:val="20"/>
                <w:lang w:val="en-GB"/>
              </w:rPr>
            </w:pPr>
            <w:r w:rsidRPr="00587444">
              <w:rPr>
                <w:rFonts w:ascii="Arial" w:eastAsia="Calibri" w:hAnsi="Arial" w:cs="Arial"/>
                <w:noProof/>
                <w:sz w:val="20"/>
                <w:szCs w:val="20"/>
                <w:lang w:val="en-GB"/>
              </w:rPr>
              <w:t>Unrealised actuarial gains/(losses)</w:t>
            </w:r>
          </w:p>
        </w:tc>
        <w:tc>
          <w:tcPr>
            <w:tcW w:w="747" w:type="pct"/>
            <w:tcBorders>
              <w:top w:val="single" w:sz="4" w:space="0" w:color="auto"/>
              <w:left w:val="nil"/>
              <w:right w:val="nil"/>
            </w:tcBorders>
            <w:shd w:val="clear" w:color="auto" w:fill="auto"/>
            <w:vAlign w:val="bottom"/>
          </w:tcPr>
          <w:p w14:paraId="67E142A8"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z w:val="20"/>
                <w:szCs w:val="20"/>
                <w:lang w:val="hr-HR"/>
              </w:rPr>
            </w:pPr>
            <w:r w:rsidRPr="00587444">
              <w:rPr>
                <w:rFonts w:ascii="Arial" w:eastAsia="Calibri" w:hAnsi="Arial" w:cs="Arial"/>
                <w:color w:val="000000"/>
                <w:sz w:val="20"/>
                <w:szCs w:val="20"/>
                <w:lang w:val="hr-HR"/>
              </w:rPr>
              <w:t>759</w:t>
            </w:r>
          </w:p>
        </w:tc>
        <w:tc>
          <w:tcPr>
            <w:tcW w:w="747" w:type="pct"/>
            <w:tcBorders>
              <w:top w:val="single" w:sz="4" w:space="0" w:color="auto"/>
              <w:left w:val="nil"/>
              <w:right w:val="nil"/>
            </w:tcBorders>
            <w:shd w:val="clear" w:color="auto" w:fill="auto"/>
            <w:vAlign w:val="bottom"/>
          </w:tcPr>
          <w:p w14:paraId="47C720DD"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z w:val="20"/>
                <w:szCs w:val="20"/>
                <w:lang w:val="hr-HR"/>
              </w:rPr>
            </w:pPr>
            <w:r w:rsidRPr="00587444">
              <w:rPr>
                <w:rFonts w:ascii="Arial" w:eastAsia="Calibri" w:hAnsi="Arial" w:cs="Arial"/>
                <w:color w:val="000000"/>
                <w:sz w:val="20"/>
                <w:szCs w:val="20"/>
                <w:lang w:val="hr-HR"/>
              </w:rPr>
              <w:t>831</w:t>
            </w:r>
          </w:p>
        </w:tc>
        <w:tc>
          <w:tcPr>
            <w:tcW w:w="747" w:type="pct"/>
            <w:tcBorders>
              <w:top w:val="single" w:sz="4" w:space="0" w:color="auto"/>
              <w:left w:val="nil"/>
              <w:right w:val="nil"/>
            </w:tcBorders>
            <w:shd w:val="clear" w:color="auto" w:fill="auto"/>
            <w:vAlign w:val="bottom"/>
          </w:tcPr>
          <w:p w14:paraId="3D44A576"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eastAsia="Calibri" w:hAnsi="Arial" w:cs="Arial"/>
                <w:color w:val="000000"/>
                <w:sz w:val="20"/>
                <w:szCs w:val="20"/>
                <w:lang w:val="hr-HR"/>
              </w:rPr>
              <w:t>759</w:t>
            </w:r>
          </w:p>
        </w:tc>
        <w:tc>
          <w:tcPr>
            <w:tcW w:w="746" w:type="pct"/>
            <w:tcBorders>
              <w:top w:val="single" w:sz="4" w:space="0" w:color="auto"/>
              <w:left w:val="nil"/>
              <w:right w:val="nil"/>
            </w:tcBorders>
            <w:shd w:val="clear" w:color="auto" w:fill="auto"/>
            <w:vAlign w:val="bottom"/>
          </w:tcPr>
          <w:p w14:paraId="0D8C7E48" w14:textId="77777777" w:rsidR="00587444" w:rsidRPr="00587444" w:rsidRDefault="00587444" w:rsidP="00587444">
            <w:pPr>
              <w:tabs>
                <w:tab w:val="right" w:pos="1202"/>
              </w:tabs>
              <w:suppressAutoHyphens w:val="0"/>
              <w:autoSpaceDN/>
              <w:jc w:val="right"/>
              <w:outlineLvl w:val="0"/>
              <w:rPr>
                <w:rFonts w:ascii="Arial" w:eastAsia="Calibri" w:hAnsi="Arial" w:cs="Arial"/>
                <w:bCs/>
                <w:noProof/>
                <w:sz w:val="20"/>
                <w:szCs w:val="20"/>
                <w:lang w:val="en-GB"/>
              </w:rPr>
            </w:pPr>
            <w:r w:rsidRPr="00587444">
              <w:rPr>
                <w:rFonts w:ascii="Arial" w:eastAsia="Calibri" w:hAnsi="Arial" w:cs="Arial"/>
                <w:color w:val="000000"/>
                <w:sz w:val="20"/>
                <w:szCs w:val="20"/>
                <w:lang w:val="hr-HR"/>
              </w:rPr>
              <w:t>831</w:t>
            </w:r>
          </w:p>
        </w:tc>
      </w:tr>
      <w:tr w:rsidR="00587444" w:rsidRPr="00587444" w14:paraId="0A413891" w14:textId="77777777" w:rsidTr="00DD69E7">
        <w:trPr>
          <w:trHeight w:val="312"/>
        </w:trPr>
        <w:tc>
          <w:tcPr>
            <w:tcW w:w="2013" w:type="pct"/>
            <w:vAlign w:val="bottom"/>
          </w:tcPr>
          <w:p w14:paraId="4CCCF851" w14:textId="77777777" w:rsidR="00587444" w:rsidRPr="00587444" w:rsidRDefault="00587444" w:rsidP="00587444">
            <w:pPr>
              <w:tabs>
                <w:tab w:val="right" w:pos="1202"/>
              </w:tabs>
              <w:suppressAutoHyphens w:val="0"/>
              <w:autoSpaceDN/>
              <w:outlineLvl w:val="0"/>
              <w:rPr>
                <w:rFonts w:ascii="Arial" w:eastAsia="Calibri" w:hAnsi="Arial" w:cs="Arial"/>
                <w:b/>
                <w:bCs/>
                <w:noProof/>
                <w:sz w:val="20"/>
                <w:szCs w:val="20"/>
                <w:lang w:val="en-GB"/>
              </w:rPr>
            </w:pPr>
            <w:r w:rsidRPr="00587444">
              <w:rPr>
                <w:rFonts w:ascii="Arial" w:eastAsia="Calibri" w:hAnsi="Arial" w:cs="Arial"/>
                <w:b/>
                <w:noProof/>
                <w:sz w:val="20"/>
                <w:szCs w:val="20"/>
                <w:lang w:val="en-GB"/>
              </w:rPr>
              <w:t>Balance at the end of the reporting period - Provisions for other liabilities</w:t>
            </w:r>
          </w:p>
        </w:tc>
        <w:tc>
          <w:tcPr>
            <w:tcW w:w="747" w:type="pct"/>
            <w:tcBorders>
              <w:top w:val="single" w:sz="4" w:space="0" w:color="auto"/>
              <w:left w:val="nil"/>
              <w:bottom w:val="single" w:sz="12" w:space="0" w:color="auto"/>
              <w:right w:val="nil"/>
            </w:tcBorders>
            <w:shd w:val="clear" w:color="auto" w:fill="auto"/>
            <w:vAlign w:val="bottom"/>
          </w:tcPr>
          <w:p w14:paraId="6E5F2080"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en-GB"/>
              </w:rPr>
            </w:pPr>
            <w:r w:rsidRPr="00587444">
              <w:rPr>
                <w:rFonts w:ascii="Arial" w:eastAsia="Calibri" w:hAnsi="Arial" w:cs="Arial"/>
                <w:b/>
                <w:color w:val="000000"/>
                <w:sz w:val="20"/>
                <w:szCs w:val="20"/>
                <w:lang w:val="hr-HR"/>
              </w:rPr>
              <w:t>61,989</w:t>
            </w:r>
          </w:p>
        </w:tc>
        <w:tc>
          <w:tcPr>
            <w:tcW w:w="747" w:type="pct"/>
            <w:tcBorders>
              <w:top w:val="single" w:sz="4" w:space="0" w:color="auto"/>
              <w:left w:val="nil"/>
              <w:bottom w:val="single" w:sz="12" w:space="0" w:color="auto"/>
              <w:right w:val="nil"/>
            </w:tcBorders>
            <w:shd w:val="clear" w:color="auto" w:fill="auto"/>
            <w:vAlign w:val="bottom"/>
          </w:tcPr>
          <w:p w14:paraId="526ECFFA"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en-GB"/>
              </w:rPr>
            </w:pPr>
            <w:r w:rsidRPr="00587444">
              <w:rPr>
                <w:rFonts w:ascii="Arial" w:eastAsia="Calibri" w:hAnsi="Arial" w:cs="Arial"/>
                <w:b/>
                <w:color w:val="000000"/>
                <w:sz w:val="20"/>
                <w:szCs w:val="20"/>
                <w:lang w:val="hr-HR"/>
              </w:rPr>
              <w:t>60,973</w:t>
            </w:r>
          </w:p>
        </w:tc>
        <w:tc>
          <w:tcPr>
            <w:tcW w:w="747" w:type="pct"/>
            <w:tcBorders>
              <w:top w:val="single" w:sz="4" w:space="0" w:color="auto"/>
              <w:left w:val="nil"/>
              <w:bottom w:val="single" w:sz="12" w:space="0" w:color="auto"/>
              <w:right w:val="nil"/>
            </w:tcBorders>
            <w:shd w:val="clear" w:color="auto" w:fill="auto"/>
            <w:vAlign w:val="bottom"/>
          </w:tcPr>
          <w:p w14:paraId="002D7EDE"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en-GB"/>
              </w:rPr>
            </w:pPr>
            <w:r w:rsidRPr="00587444">
              <w:rPr>
                <w:rFonts w:ascii="Arial" w:eastAsia="Calibri" w:hAnsi="Arial" w:cs="Arial"/>
                <w:b/>
                <w:color w:val="000000"/>
                <w:sz w:val="20"/>
                <w:szCs w:val="20"/>
                <w:lang w:val="hr-HR"/>
              </w:rPr>
              <w:t>61,949</w:t>
            </w:r>
          </w:p>
        </w:tc>
        <w:tc>
          <w:tcPr>
            <w:tcW w:w="746" w:type="pct"/>
            <w:tcBorders>
              <w:top w:val="single" w:sz="4" w:space="0" w:color="auto"/>
              <w:left w:val="nil"/>
              <w:bottom w:val="single" w:sz="12" w:space="0" w:color="auto"/>
              <w:right w:val="nil"/>
            </w:tcBorders>
            <w:shd w:val="clear" w:color="auto" w:fill="auto"/>
            <w:vAlign w:val="bottom"/>
          </w:tcPr>
          <w:p w14:paraId="6C68C457"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en-GB"/>
              </w:rPr>
            </w:pPr>
            <w:r w:rsidRPr="00587444">
              <w:rPr>
                <w:rFonts w:ascii="Arial" w:eastAsia="Calibri" w:hAnsi="Arial" w:cs="Arial"/>
                <w:b/>
                <w:color w:val="000000"/>
                <w:sz w:val="20"/>
                <w:szCs w:val="20"/>
                <w:lang w:val="hr-HR"/>
              </w:rPr>
              <w:t>60,716</w:t>
            </w:r>
          </w:p>
        </w:tc>
      </w:tr>
    </w:tbl>
    <w:p w14:paraId="0323D764" w14:textId="77777777" w:rsidR="00587444" w:rsidRPr="00587444" w:rsidRDefault="00587444" w:rsidP="00587444">
      <w:pPr>
        <w:keepNext/>
        <w:tabs>
          <w:tab w:val="left" w:pos="567"/>
        </w:tabs>
        <w:suppressAutoHyphens w:val="0"/>
        <w:autoSpaceDN/>
        <w:jc w:val="both"/>
        <w:rPr>
          <w:rFonts w:ascii="Arial" w:hAnsi="Arial" w:cs="Arial"/>
          <w:bCs/>
          <w:sz w:val="20"/>
          <w:szCs w:val="20"/>
          <w:lang w:val="en-GB"/>
        </w:rPr>
      </w:pPr>
    </w:p>
    <w:p w14:paraId="110ABA19" w14:textId="77777777" w:rsidR="00587444" w:rsidRPr="00587444" w:rsidRDefault="00587444" w:rsidP="00587444">
      <w:pPr>
        <w:keepNext/>
        <w:tabs>
          <w:tab w:val="left" w:pos="567"/>
        </w:tabs>
        <w:suppressAutoHyphens w:val="0"/>
        <w:autoSpaceDN/>
        <w:jc w:val="both"/>
        <w:rPr>
          <w:rFonts w:ascii="Arial" w:hAnsi="Arial" w:cs="Arial"/>
          <w:bCs/>
          <w:sz w:val="20"/>
          <w:szCs w:val="20"/>
          <w:lang w:val="en-GB"/>
        </w:rPr>
      </w:pPr>
      <w:r w:rsidRPr="00587444">
        <w:rPr>
          <w:rFonts w:ascii="Arial" w:eastAsia="Calibri" w:hAnsi="Arial" w:cs="Arial"/>
          <w:sz w:val="20"/>
          <w:szCs w:val="20"/>
          <w:lang w:val="en-GB"/>
        </w:rPr>
        <w:t>Net foreign exchange gain/loss on loss allowances are shown within net gains/ (losses) from financial activities in the Income Statement.</w:t>
      </w:r>
    </w:p>
    <w:p w14:paraId="63920F5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563B80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sectPr w:rsidR="00587444" w:rsidRPr="00587444" w:rsidSect="00DD69E7">
          <w:headerReference w:type="default" r:id="rId82"/>
          <w:pgSz w:w="11907" w:h="16840" w:code="9"/>
          <w:pgMar w:top="1418" w:right="1134" w:bottom="1134" w:left="1418" w:header="851" w:footer="851" w:gutter="0"/>
          <w:cols w:space="720"/>
          <w:noEndnote/>
        </w:sectPr>
      </w:pPr>
    </w:p>
    <w:p w14:paraId="0D96BCB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6AD2240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 xml:space="preserve">24. </w:t>
      </w:r>
      <w:r w:rsidRPr="00587444">
        <w:rPr>
          <w:rFonts w:ascii="Arial" w:hAnsi="Arial" w:cs="Arial"/>
          <w:b/>
          <w:bCs/>
          <w:sz w:val="20"/>
          <w:szCs w:val="20"/>
          <w:lang w:val="en-GB"/>
        </w:rPr>
        <w:tab/>
        <w:t>Provisions for guarantees, commitments and other liabilities (continued)</w:t>
      </w:r>
    </w:p>
    <w:p w14:paraId="1ABCE3D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B7D1A59" w14:textId="77777777" w:rsidR="00587444" w:rsidRPr="00587444" w:rsidRDefault="00587444" w:rsidP="00880B90">
      <w:pPr>
        <w:keepNext/>
        <w:tabs>
          <w:tab w:val="left" w:pos="567"/>
        </w:tabs>
        <w:autoSpaceDN/>
        <w:jc w:val="both"/>
        <w:rPr>
          <w:rFonts w:ascii="Arial" w:eastAsia="Calibri" w:hAnsi="Arial" w:cs="Arial"/>
          <w:sz w:val="20"/>
          <w:szCs w:val="20"/>
          <w:lang w:val="en-GB"/>
        </w:rPr>
      </w:pPr>
      <w:r w:rsidRPr="00587444">
        <w:rPr>
          <w:rFonts w:ascii="Arial" w:eastAsia="Calibri" w:hAnsi="Arial" w:cs="Arial"/>
          <w:sz w:val="20"/>
          <w:szCs w:val="20"/>
          <w:lang w:val="en-GB"/>
        </w:rPr>
        <w:t>Out of the total provisions for guarantees and commitments, the amount of HRK 1,328 thousand relates to financial institutions (31 December 2021: HRK 2,695 thousand), HRK 77,739 thousand relates to domestic companies (31 December 2021: HRK 125,172 thousand), HRK 45 thousand relates to the public sector (31 December 2021: HRK 1,371 thousand), HRK 1,140 thousand relates to non-profit institutions (31 December 2021: HRK 239 thousand), HRK 474 thousand relates to other (31 December 2021: HRK 110 thousand).</w:t>
      </w:r>
    </w:p>
    <w:p w14:paraId="6968BC78" w14:textId="77777777" w:rsidR="00587444" w:rsidRPr="00587444" w:rsidRDefault="00587444" w:rsidP="00880B90">
      <w:pPr>
        <w:autoSpaceDN/>
        <w:jc w:val="both"/>
        <w:rPr>
          <w:rFonts w:ascii="Arial" w:hAnsi="Arial" w:cs="Arial"/>
          <w:bCs/>
          <w:sz w:val="20"/>
          <w:szCs w:val="20"/>
        </w:rPr>
      </w:pPr>
    </w:p>
    <w:p w14:paraId="72133643" w14:textId="77777777" w:rsidR="00587444" w:rsidRPr="00587444" w:rsidRDefault="00587444" w:rsidP="00880B90">
      <w:pPr>
        <w:keepNext/>
        <w:autoSpaceDN/>
        <w:jc w:val="both"/>
        <w:rPr>
          <w:rFonts w:ascii="Arial" w:hAnsi="Arial" w:cs="Arial"/>
          <w:bCs/>
          <w:sz w:val="20"/>
          <w:szCs w:val="20"/>
          <w:lang w:val="en-GB"/>
        </w:rPr>
      </w:pPr>
      <w:r w:rsidRPr="00587444">
        <w:rPr>
          <w:rFonts w:ascii="Arial" w:hAnsi="Arial" w:cs="Arial"/>
          <w:bCs/>
          <w:sz w:val="20"/>
          <w:szCs w:val="20"/>
          <w:lang w:val="en-GB"/>
        </w:rPr>
        <w:t xml:space="preserve">In 2022, provisions for other liabilities for the Group totalled HRK 61,989 thousand (31 December 2021: HRK 60,973 thousand) and for the Bank stood at HRK 61,949 thousand (31 December 2021: HRK 60,716 thousand). The total amount of provisions for other liabilities was comprised of HRK 10,174 thousand for court proceedings initiated against the Bank for the Group and for the Bank (31 December 2021: HRK 8,204 thousand), HRK 39,570 thousand for liabilities for the Group and for the Bank based on benefits defined in accordance with IAS 19 Employee Benefits (31 December 2021: HRK 38,304 thousand), and in accordance with IAS 37 Provisions, Contingent Liabilities and Contingent Assets HRK 12,245 thousand for provisions for other liabilities for the Group (31 December 2021: HRK 14,465 thousand) and HRK 12,205 thousand for the Bank (31 December 2021: HRK 14,208 thousand). </w:t>
      </w:r>
    </w:p>
    <w:p w14:paraId="66158D0B" w14:textId="77777777" w:rsidR="00587444" w:rsidRPr="00587444" w:rsidRDefault="00587444" w:rsidP="00880B90">
      <w:pPr>
        <w:keepNext/>
        <w:autoSpaceDN/>
        <w:jc w:val="both"/>
        <w:rPr>
          <w:rFonts w:ascii="Arial" w:hAnsi="Arial" w:cs="Arial"/>
          <w:bCs/>
          <w:sz w:val="20"/>
          <w:szCs w:val="20"/>
          <w:lang w:val="en-GB"/>
        </w:rPr>
      </w:pPr>
    </w:p>
    <w:p w14:paraId="63D0BDA1" w14:textId="77777777" w:rsidR="00587444" w:rsidRPr="00587444" w:rsidRDefault="00587444" w:rsidP="00880B90">
      <w:pPr>
        <w:keepNext/>
        <w:autoSpaceDN/>
        <w:jc w:val="both"/>
        <w:rPr>
          <w:rFonts w:ascii="Arial" w:hAnsi="Arial" w:cs="Arial"/>
          <w:sz w:val="20"/>
          <w:szCs w:val="20"/>
          <w:lang w:val="en-GB"/>
        </w:rPr>
      </w:pPr>
      <w:r w:rsidRPr="00587444">
        <w:rPr>
          <w:rFonts w:ascii="Arial" w:hAnsi="Arial" w:cs="Arial"/>
          <w:bCs/>
          <w:sz w:val="20"/>
          <w:szCs w:val="20"/>
          <w:lang w:val="en-GB"/>
        </w:rPr>
        <w:t xml:space="preserve">The latest actuarial assessment of present value of liabilities based on defined benefits as </w:t>
      </w:r>
      <w:proofErr w:type="gramStart"/>
      <w:r w:rsidRPr="00587444">
        <w:rPr>
          <w:rFonts w:ascii="Arial" w:hAnsi="Arial" w:cs="Arial"/>
          <w:bCs/>
          <w:sz w:val="20"/>
          <w:szCs w:val="20"/>
          <w:lang w:val="en-GB"/>
        </w:rPr>
        <w:t>at</w:t>
      </w:r>
      <w:proofErr w:type="gramEnd"/>
      <w:r w:rsidRPr="00587444">
        <w:rPr>
          <w:rFonts w:ascii="Arial" w:hAnsi="Arial" w:cs="Arial"/>
          <w:bCs/>
          <w:sz w:val="20"/>
          <w:szCs w:val="20"/>
          <w:lang w:val="en-GB"/>
        </w:rPr>
        <w:t xml:space="preserve"> 31 December 2022 was performed by a certified actuary. The model took into account mortality, </w:t>
      </w:r>
      <w:r w:rsidRPr="00587444">
        <w:rPr>
          <w:rFonts w:ascii="Arial" w:hAnsi="Arial" w:cs="Arial"/>
          <w:sz w:val="20"/>
          <w:szCs w:val="20"/>
          <w:lang w:val="en-GB"/>
        </w:rPr>
        <w:t>fluctuation of employees, growth rate in defined benefits</w:t>
      </w:r>
      <w:r w:rsidRPr="00587444">
        <w:rPr>
          <w:rFonts w:ascii="Arial" w:hAnsi="Arial" w:cs="Arial"/>
          <w:bCs/>
          <w:sz w:val="20"/>
          <w:szCs w:val="20"/>
          <w:lang w:val="en-GB"/>
        </w:rPr>
        <w:t xml:space="preserve"> and discount rate, and the calculations for every employee considered age, gender, years of service, expected mortality and discount rate, </w:t>
      </w:r>
      <w:proofErr w:type="gramStart"/>
      <w:r w:rsidRPr="00587444">
        <w:rPr>
          <w:rFonts w:ascii="Arial" w:hAnsi="Arial" w:cs="Arial"/>
          <w:bCs/>
          <w:sz w:val="20"/>
          <w:szCs w:val="20"/>
          <w:lang w:val="en-GB"/>
        </w:rPr>
        <w:t>i.e.</w:t>
      </w:r>
      <w:proofErr w:type="gramEnd"/>
      <w:r w:rsidRPr="00587444">
        <w:rPr>
          <w:rFonts w:ascii="Arial" w:hAnsi="Arial" w:cs="Arial"/>
          <w:bCs/>
          <w:sz w:val="20"/>
          <w:szCs w:val="20"/>
          <w:lang w:val="en-GB"/>
        </w:rPr>
        <w:t xml:space="preserve"> the long-run sustainable yield rate on bonds </w:t>
      </w:r>
      <w:r w:rsidRPr="00587444">
        <w:rPr>
          <w:rFonts w:ascii="Arial" w:hAnsi="Arial" w:cs="Arial"/>
          <w:sz w:val="20"/>
          <w:szCs w:val="20"/>
          <w:lang w:val="en-GB"/>
        </w:rPr>
        <w:t>of the Republic of Croatia.</w:t>
      </w:r>
    </w:p>
    <w:p w14:paraId="5A07B323" w14:textId="77777777" w:rsidR="00587444" w:rsidRPr="00587444" w:rsidRDefault="00587444" w:rsidP="00880B90">
      <w:pPr>
        <w:keepNext/>
        <w:autoSpaceDN/>
        <w:jc w:val="both"/>
        <w:rPr>
          <w:rFonts w:ascii="Arial" w:hAnsi="Arial" w:cs="Arial"/>
          <w:bCs/>
          <w:sz w:val="20"/>
          <w:szCs w:val="20"/>
          <w:lang w:val="en-GB"/>
        </w:rPr>
      </w:pPr>
    </w:p>
    <w:p w14:paraId="747023E6" w14:textId="77777777" w:rsidR="00587444" w:rsidRPr="00587444" w:rsidRDefault="00587444" w:rsidP="00880B90">
      <w:pPr>
        <w:keepNext/>
        <w:autoSpaceDN/>
        <w:jc w:val="both"/>
        <w:rPr>
          <w:rFonts w:ascii="Arial" w:hAnsi="Arial" w:cs="Arial"/>
          <w:sz w:val="20"/>
          <w:szCs w:val="20"/>
          <w:lang w:val="en-GB"/>
        </w:rPr>
      </w:pPr>
      <w:r w:rsidRPr="00587444">
        <w:rPr>
          <w:rFonts w:ascii="Arial" w:hAnsi="Arial" w:cs="Arial"/>
          <w:sz w:val="20"/>
          <w:szCs w:val="20"/>
          <w:lang w:val="en-GB"/>
        </w:rPr>
        <w:t>The applied discount rate that represents the yield rate on bonds sustainable in the long run is 1.80%, whereas it stood at 1.25% in the previous year</w:t>
      </w:r>
      <w:r w:rsidRPr="00587444">
        <w:rPr>
          <w:rFonts w:ascii="Arial" w:hAnsi="Arial" w:cs="Arial"/>
          <w:color w:val="000000"/>
          <w:sz w:val="20"/>
          <w:szCs w:val="20"/>
          <w:lang w:val="en-GB"/>
        </w:rPr>
        <w:t>.</w:t>
      </w:r>
    </w:p>
    <w:p w14:paraId="0D1E14C3" w14:textId="77777777" w:rsidR="00587444" w:rsidRPr="00587444" w:rsidRDefault="00587444" w:rsidP="00880B90">
      <w:pPr>
        <w:autoSpaceDN/>
        <w:rPr>
          <w:rFonts w:ascii="Arial" w:hAnsi="Arial" w:cs="Arial"/>
          <w:color w:val="000000"/>
          <w:sz w:val="20"/>
          <w:szCs w:val="20"/>
        </w:rPr>
      </w:pPr>
    </w:p>
    <w:p w14:paraId="560F2706" w14:textId="77777777" w:rsidR="00587444" w:rsidRPr="00587444" w:rsidRDefault="00587444" w:rsidP="00880B90">
      <w:pPr>
        <w:keepNext/>
        <w:tabs>
          <w:tab w:val="left" w:pos="567"/>
        </w:tabs>
        <w:autoSpaceDN/>
        <w:jc w:val="both"/>
        <w:rPr>
          <w:rFonts w:ascii="Arial" w:hAnsi="Arial" w:cs="Arial"/>
          <w:b/>
          <w:bCs/>
          <w:sz w:val="20"/>
          <w:szCs w:val="20"/>
          <w:lang w:val="en-GB"/>
        </w:rPr>
      </w:pPr>
      <w:r w:rsidRPr="00587444">
        <w:rPr>
          <w:rFonts w:ascii="Arial" w:hAnsi="Arial" w:cs="Arial"/>
          <w:bCs/>
          <w:sz w:val="20"/>
          <w:szCs w:val="20"/>
          <w:lang w:val="en-GB"/>
        </w:rPr>
        <w:t>Unrealised actuarial gains/(losses) arising from the calculation of provisions are stated within the framework of other comprehensive income so that net assets or liability may reflect the entire value of deficit or surplus planned.</w:t>
      </w:r>
    </w:p>
    <w:p w14:paraId="1E58F52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5C0FF0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sectPr w:rsidR="00587444" w:rsidRPr="00587444" w:rsidSect="00DD69E7">
          <w:pgSz w:w="11907" w:h="16840" w:code="9"/>
          <w:pgMar w:top="1418" w:right="1134" w:bottom="1134" w:left="1418" w:header="851" w:footer="851" w:gutter="0"/>
          <w:cols w:space="720"/>
          <w:noEndnote/>
        </w:sectPr>
      </w:pPr>
    </w:p>
    <w:p w14:paraId="68049C0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13E3061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25.</w:t>
      </w:r>
      <w:r w:rsidRPr="00587444">
        <w:rPr>
          <w:rFonts w:ascii="Arial" w:hAnsi="Arial" w:cs="Arial"/>
          <w:b/>
          <w:bCs/>
          <w:sz w:val="20"/>
          <w:szCs w:val="20"/>
          <w:lang w:val="en-GB"/>
        </w:rPr>
        <w:tab/>
        <w:t>Other liabilities</w:t>
      </w:r>
    </w:p>
    <w:p w14:paraId="076CC399" w14:textId="77777777" w:rsidR="00587444" w:rsidRPr="00587444" w:rsidRDefault="00587444" w:rsidP="00587444">
      <w:pPr>
        <w:tabs>
          <w:tab w:val="left" w:pos="-1843"/>
        </w:tabs>
        <w:autoSpaceDN/>
        <w:rPr>
          <w:rFonts w:ascii="Arial" w:hAnsi="Arial" w:cs="Arial"/>
          <w:b/>
          <w:spacing w:val="-3"/>
          <w:sz w:val="20"/>
          <w:szCs w:val="20"/>
          <w:lang w:val="en-GB"/>
        </w:rPr>
      </w:pPr>
    </w:p>
    <w:tbl>
      <w:tblPr>
        <w:tblW w:w="5089" w:type="pct"/>
        <w:tblLayout w:type="fixed"/>
        <w:tblCellMar>
          <w:left w:w="119" w:type="dxa"/>
          <w:right w:w="119" w:type="dxa"/>
        </w:tblCellMar>
        <w:tblLook w:val="0000" w:firstRow="0" w:lastRow="0" w:firstColumn="0" w:lastColumn="0" w:noHBand="0" w:noVBand="0"/>
      </w:tblPr>
      <w:tblGrid>
        <w:gridCol w:w="3602"/>
        <w:gridCol w:w="1541"/>
        <w:gridCol w:w="1541"/>
        <w:gridCol w:w="1541"/>
        <w:gridCol w:w="1539"/>
      </w:tblGrid>
      <w:tr w:rsidR="00587444" w:rsidRPr="00587444" w14:paraId="003D5EB8" w14:textId="77777777" w:rsidTr="00DD69E7">
        <w:tc>
          <w:tcPr>
            <w:tcW w:w="1845" w:type="pct"/>
          </w:tcPr>
          <w:p w14:paraId="72987D00" w14:textId="77777777" w:rsidR="00587444" w:rsidRPr="00587444" w:rsidRDefault="00587444" w:rsidP="00587444">
            <w:pPr>
              <w:tabs>
                <w:tab w:val="left" w:pos="-1843"/>
              </w:tabs>
              <w:autoSpaceDN/>
              <w:rPr>
                <w:rFonts w:ascii="Arial" w:hAnsi="Arial" w:cs="Arial"/>
                <w:spacing w:val="-2"/>
                <w:sz w:val="20"/>
                <w:szCs w:val="20"/>
              </w:rPr>
            </w:pPr>
          </w:p>
        </w:tc>
        <w:tc>
          <w:tcPr>
            <w:tcW w:w="789" w:type="pct"/>
          </w:tcPr>
          <w:p w14:paraId="5F00609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p>
        </w:tc>
        <w:tc>
          <w:tcPr>
            <w:tcW w:w="789" w:type="pct"/>
          </w:tcPr>
          <w:p w14:paraId="2C86307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906" w:name="_Toc4060006"/>
            <w:r w:rsidRPr="00587444">
              <w:rPr>
                <w:rFonts w:ascii="Arial" w:hAnsi="Arial" w:cs="Arial"/>
                <w:b/>
                <w:sz w:val="20"/>
                <w:szCs w:val="20"/>
              </w:rPr>
              <w:t>Group</w:t>
            </w:r>
            <w:bookmarkEnd w:id="906"/>
          </w:p>
        </w:tc>
        <w:tc>
          <w:tcPr>
            <w:tcW w:w="789" w:type="pct"/>
          </w:tcPr>
          <w:p w14:paraId="32FCF94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p>
        </w:tc>
        <w:tc>
          <w:tcPr>
            <w:tcW w:w="788" w:type="pct"/>
          </w:tcPr>
          <w:p w14:paraId="2DF3E24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907" w:name="_Toc4060007"/>
            <w:r w:rsidRPr="00587444">
              <w:rPr>
                <w:rFonts w:ascii="Arial" w:hAnsi="Arial" w:cs="Arial"/>
                <w:b/>
                <w:sz w:val="20"/>
                <w:szCs w:val="20"/>
              </w:rPr>
              <w:t>Bank</w:t>
            </w:r>
            <w:bookmarkEnd w:id="907"/>
          </w:p>
        </w:tc>
      </w:tr>
      <w:tr w:rsidR="00587444" w:rsidRPr="00587444" w14:paraId="37B5F877" w14:textId="77777777" w:rsidTr="00DD69E7">
        <w:tc>
          <w:tcPr>
            <w:tcW w:w="1845" w:type="pct"/>
          </w:tcPr>
          <w:p w14:paraId="4D677BE7" w14:textId="77777777" w:rsidR="00587444" w:rsidRPr="00587444" w:rsidRDefault="00587444" w:rsidP="00587444">
            <w:pPr>
              <w:tabs>
                <w:tab w:val="left" w:pos="-1843"/>
              </w:tabs>
              <w:autoSpaceDN/>
              <w:rPr>
                <w:rFonts w:ascii="Arial" w:hAnsi="Arial" w:cs="Arial"/>
                <w:spacing w:val="-2"/>
                <w:sz w:val="20"/>
                <w:szCs w:val="20"/>
              </w:rPr>
            </w:pPr>
          </w:p>
        </w:tc>
        <w:tc>
          <w:tcPr>
            <w:tcW w:w="789" w:type="pct"/>
            <w:vAlign w:val="center"/>
          </w:tcPr>
          <w:p w14:paraId="16093C9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908" w:name="_Toc4060008"/>
            <w:r w:rsidRPr="00587444">
              <w:rPr>
                <w:rFonts w:ascii="Arial" w:hAnsi="Arial" w:cs="Arial"/>
                <w:b/>
                <w:bCs/>
                <w:sz w:val="20"/>
                <w:szCs w:val="20"/>
              </w:rPr>
              <w:t xml:space="preserve">31 December </w:t>
            </w:r>
            <w:bookmarkEnd w:id="908"/>
            <w:r w:rsidRPr="00587444">
              <w:rPr>
                <w:rFonts w:ascii="Arial" w:hAnsi="Arial" w:cs="Arial"/>
                <w:b/>
                <w:bCs/>
                <w:sz w:val="20"/>
                <w:szCs w:val="20"/>
              </w:rPr>
              <w:t>2022</w:t>
            </w:r>
          </w:p>
        </w:tc>
        <w:tc>
          <w:tcPr>
            <w:tcW w:w="789" w:type="pct"/>
            <w:shd w:val="clear" w:color="auto" w:fill="auto"/>
            <w:vAlign w:val="center"/>
          </w:tcPr>
          <w:p w14:paraId="7B653AE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909" w:name="_Toc4060009"/>
            <w:r w:rsidRPr="00587444">
              <w:rPr>
                <w:rFonts w:ascii="Arial" w:hAnsi="Arial" w:cs="Arial"/>
                <w:b/>
                <w:bCs/>
                <w:sz w:val="20"/>
                <w:szCs w:val="20"/>
              </w:rPr>
              <w:t xml:space="preserve">31 December </w:t>
            </w:r>
            <w:bookmarkEnd w:id="909"/>
            <w:r w:rsidRPr="00587444">
              <w:rPr>
                <w:rFonts w:ascii="Arial" w:hAnsi="Arial" w:cs="Arial"/>
                <w:b/>
                <w:bCs/>
                <w:sz w:val="20"/>
                <w:szCs w:val="20"/>
              </w:rPr>
              <w:t>2021</w:t>
            </w:r>
          </w:p>
        </w:tc>
        <w:tc>
          <w:tcPr>
            <w:tcW w:w="789" w:type="pct"/>
            <w:shd w:val="clear" w:color="auto" w:fill="auto"/>
            <w:vAlign w:val="center"/>
          </w:tcPr>
          <w:p w14:paraId="75917A8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910" w:name="_Toc4060010"/>
            <w:r w:rsidRPr="00587444">
              <w:rPr>
                <w:rFonts w:ascii="Arial" w:hAnsi="Arial" w:cs="Arial"/>
                <w:b/>
                <w:bCs/>
                <w:sz w:val="20"/>
                <w:szCs w:val="20"/>
              </w:rPr>
              <w:t xml:space="preserve">31 December </w:t>
            </w:r>
            <w:bookmarkEnd w:id="910"/>
            <w:r w:rsidRPr="00587444">
              <w:rPr>
                <w:rFonts w:ascii="Arial" w:hAnsi="Arial" w:cs="Arial"/>
                <w:b/>
                <w:bCs/>
                <w:sz w:val="20"/>
                <w:szCs w:val="20"/>
              </w:rPr>
              <w:t>2022</w:t>
            </w:r>
          </w:p>
        </w:tc>
        <w:tc>
          <w:tcPr>
            <w:tcW w:w="788" w:type="pct"/>
            <w:shd w:val="clear" w:color="auto" w:fill="auto"/>
            <w:vAlign w:val="center"/>
          </w:tcPr>
          <w:p w14:paraId="6917236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911" w:name="_Toc4060011"/>
            <w:r w:rsidRPr="00587444">
              <w:rPr>
                <w:rFonts w:ascii="Arial" w:hAnsi="Arial" w:cs="Arial"/>
                <w:b/>
                <w:bCs/>
                <w:sz w:val="20"/>
                <w:szCs w:val="20"/>
              </w:rPr>
              <w:t xml:space="preserve">31 December </w:t>
            </w:r>
            <w:bookmarkEnd w:id="911"/>
            <w:r w:rsidRPr="00587444">
              <w:rPr>
                <w:rFonts w:ascii="Arial" w:hAnsi="Arial" w:cs="Arial"/>
                <w:b/>
                <w:bCs/>
                <w:sz w:val="20"/>
                <w:szCs w:val="20"/>
              </w:rPr>
              <w:t>2021</w:t>
            </w:r>
          </w:p>
        </w:tc>
      </w:tr>
      <w:tr w:rsidR="00587444" w:rsidRPr="00587444" w14:paraId="36AA9EC7" w14:textId="77777777" w:rsidTr="00DD69E7">
        <w:tc>
          <w:tcPr>
            <w:tcW w:w="1845" w:type="pct"/>
          </w:tcPr>
          <w:p w14:paraId="5B09C319" w14:textId="77777777" w:rsidR="00587444" w:rsidRPr="00587444" w:rsidRDefault="00587444" w:rsidP="00587444">
            <w:pPr>
              <w:tabs>
                <w:tab w:val="left" w:pos="-1843"/>
              </w:tabs>
              <w:autoSpaceDN/>
              <w:rPr>
                <w:rFonts w:ascii="Arial" w:hAnsi="Arial" w:cs="Arial"/>
                <w:spacing w:val="-2"/>
                <w:sz w:val="20"/>
                <w:szCs w:val="20"/>
              </w:rPr>
            </w:pPr>
          </w:p>
        </w:tc>
        <w:tc>
          <w:tcPr>
            <w:tcW w:w="789" w:type="pct"/>
          </w:tcPr>
          <w:p w14:paraId="208E761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912" w:name="_Toc4060012"/>
            <w:r w:rsidRPr="00587444">
              <w:rPr>
                <w:rFonts w:ascii="Arial" w:hAnsi="Arial" w:cs="Arial"/>
                <w:b/>
                <w:sz w:val="20"/>
                <w:szCs w:val="20"/>
              </w:rPr>
              <w:t>HRK ‘000</w:t>
            </w:r>
            <w:bookmarkEnd w:id="912"/>
          </w:p>
        </w:tc>
        <w:tc>
          <w:tcPr>
            <w:tcW w:w="789" w:type="pct"/>
          </w:tcPr>
          <w:p w14:paraId="145437C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913" w:name="_Toc4060013"/>
            <w:r w:rsidRPr="00587444">
              <w:rPr>
                <w:rFonts w:ascii="Arial" w:hAnsi="Arial" w:cs="Arial"/>
                <w:b/>
                <w:sz w:val="20"/>
                <w:szCs w:val="20"/>
              </w:rPr>
              <w:t>HRK ‘000</w:t>
            </w:r>
            <w:bookmarkEnd w:id="913"/>
          </w:p>
        </w:tc>
        <w:tc>
          <w:tcPr>
            <w:tcW w:w="789" w:type="pct"/>
          </w:tcPr>
          <w:p w14:paraId="7DED943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914" w:name="_Toc4060014"/>
            <w:r w:rsidRPr="00587444">
              <w:rPr>
                <w:rFonts w:ascii="Arial" w:hAnsi="Arial" w:cs="Arial"/>
                <w:b/>
                <w:sz w:val="20"/>
                <w:szCs w:val="20"/>
              </w:rPr>
              <w:t>HRK ‘000</w:t>
            </w:r>
            <w:bookmarkEnd w:id="914"/>
          </w:p>
        </w:tc>
        <w:tc>
          <w:tcPr>
            <w:tcW w:w="788" w:type="pct"/>
          </w:tcPr>
          <w:p w14:paraId="1E5B7BD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915" w:name="_Toc4060015"/>
            <w:r w:rsidRPr="00587444">
              <w:rPr>
                <w:rFonts w:ascii="Arial" w:hAnsi="Arial" w:cs="Arial"/>
                <w:b/>
                <w:sz w:val="20"/>
                <w:szCs w:val="20"/>
              </w:rPr>
              <w:t>HRK ‘000</w:t>
            </w:r>
            <w:bookmarkEnd w:id="915"/>
          </w:p>
        </w:tc>
      </w:tr>
      <w:tr w:rsidR="00587444" w:rsidRPr="00587444" w14:paraId="18083999" w14:textId="77777777" w:rsidTr="00DD69E7">
        <w:trPr>
          <w:trHeight w:val="287"/>
        </w:trPr>
        <w:tc>
          <w:tcPr>
            <w:tcW w:w="1845" w:type="pct"/>
          </w:tcPr>
          <w:p w14:paraId="4A9A108F" w14:textId="77777777" w:rsidR="00587444" w:rsidRPr="00587444" w:rsidRDefault="00587444" w:rsidP="00587444">
            <w:pPr>
              <w:tabs>
                <w:tab w:val="left" w:pos="-1843"/>
              </w:tabs>
              <w:autoSpaceDN/>
              <w:rPr>
                <w:rFonts w:ascii="Arial" w:hAnsi="Arial" w:cs="Arial"/>
                <w:spacing w:val="-2"/>
                <w:sz w:val="20"/>
                <w:szCs w:val="20"/>
              </w:rPr>
            </w:pPr>
          </w:p>
        </w:tc>
        <w:tc>
          <w:tcPr>
            <w:tcW w:w="789" w:type="pct"/>
          </w:tcPr>
          <w:p w14:paraId="137A16B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Cs/>
                <w:sz w:val="20"/>
                <w:szCs w:val="20"/>
              </w:rPr>
            </w:pPr>
          </w:p>
        </w:tc>
        <w:tc>
          <w:tcPr>
            <w:tcW w:w="789" w:type="pct"/>
          </w:tcPr>
          <w:p w14:paraId="4DC733D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Cs/>
                <w:sz w:val="20"/>
                <w:szCs w:val="20"/>
              </w:rPr>
            </w:pPr>
          </w:p>
        </w:tc>
        <w:tc>
          <w:tcPr>
            <w:tcW w:w="789" w:type="pct"/>
            <w:vAlign w:val="bottom"/>
          </w:tcPr>
          <w:p w14:paraId="6E1D920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Cs/>
                <w:sz w:val="20"/>
                <w:szCs w:val="20"/>
              </w:rPr>
            </w:pPr>
          </w:p>
        </w:tc>
        <w:tc>
          <w:tcPr>
            <w:tcW w:w="788" w:type="pct"/>
            <w:vAlign w:val="bottom"/>
          </w:tcPr>
          <w:p w14:paraId="7F771FB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Cs/>
                <w:sz w:val="20"/>
                <w:szCs w:val="20"/>
              </w:rPr>
            </w:pPr>
          </w:p>
        </w:tc>
      </w:tr>
      <w:tr w:rsidR="00587444" w:rsidRPr="00587444" w14:paraId="5DFCAFD1" w14:textId="77777777" w:rsidTr="00DD69E7">
        <w:tc>
          <w:tcPr>
            <w:tcW w:w="1845" w:type="pct"/>
          </w:tcPr>
          <w:p w14:paraId="0E966A24" w14:textId="77777777" w:rsidR="00587444" w:rsidRPr="00587444" w:rsidRDefault="00587444" w:rsidP="00587444">
            <w:pPr>
              <w:suppressAutoHyphens w:val="0"/>
              <w:autoSpaceDN/>
              <w:spacing w:line="301" w:lineRule="exact"/>
              <w:outlineLvl w:val="0"/>
              <w:rPr>
                <w:rFonts w:ascii="Arial" w:hAnsi="Arial" w:cs="Arial"/>
                <w:sz w:val="20"/>
                <w:szCs w:val="20"/>
              </w:rPr>
            </w:pPr>
            <w:bookmarkStart w:id="916" w:name="_Toc4060016"/>
            <w:r w:rsidRPr="00587444">
              <w:rPr>
                <w:rFonts w:ascii="Arial" w:hAnsi="Arial" w:cs="Arial"/>
                <w:sz w:val="20"/>
                <w:szCs w:val="20"/>
              </w:rPr>
              <w:t>Liabilities in respect of subsidized interest (a)</w:t>
            </w:r>
            <w:bookmarkEnd w:id="916"/>
          </w:p>
        </w:tc>
        <w:tc>
          <w:tcPr>
            <w:tcW w:w="789" w:type="pct"/>
            <w:tcBorders>
              <w:top w:val="nil"/>
              <w:left w:val="nil"/>
              <w:bottom w:val="nil"/>
              <w:right w:val="nil"/>
            </w:tcBorders>
            <w:shd w:val="clear" w:color="auto" w:fill="auto"/>
            <w:vAlign w:val="bottom"/>
          </w:tcPr>
          <w:p w14:paraId="3B72AC7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eastAsia="Arial Unicode MS" w:hAnsi="Arial" w:cs="Arial"/>
                <w:color w:val="000000"/>
                <w:sz w:val="20"/>
                <w:szCs w:val="20"/>
                <w:lang w:val="hr-HR"/>
              </w:rPr>
              <w:t xml:space="preserve"> 448,289 </w:t>
            </w:r>
          </w:p>
        </w:tc>
        <w:tc>
          <w:tcPr>
            <w:tcW w:w="789" w:type="pct"/>
            <w:tcBorders>
              <w:top w:val="nil"/>
              <w:left w:val="nil"/>
              <w:bottom w:val="nil"/>
              <w:right w:val="nil"/>
            </w:tcBorders>
            <w:shd w:val="clear" w:color="auto" w:fill="auto"/>
            <w:vAlign w:val="bottom"/>
          </w:tcPr>
          <w:p w14:paraId="394F0C5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eastAsia="Arial Unicode MS" w:hAnsi="Arial" w:cs="Arial"/>
                <w:color w:val="000000"/>
                <w:sz w:val="20"/>
                <w:szCs w:val="20"/>
                <w:lang w:val="en-GB"/>
              </w:rPr>
              <w:t>174,027</w:t>
            </w:r>
          </w:p>
        </w:tc>
        <w:tc>
          <w:tcPr>
            <w:tcW w:w="789" w:type="pct"/>
            <w:tcBorders>
              <w:top w:val="nil"/>
              <w:left w:val="nil"/>
              <w:bottom w:val="nil"/>
              <w:right w:val="nil"/>
            </w:tcBorders>
            <w:shd w:val="clear" w:color="auto" w:fill="auto"/>
            <w:vAlign w:val="bottom"/>
          </w:tcPr>
          <w:p w14:paraId="2899983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eastAsia="Arial Unicode MS" w:hAnsi="Arial" w:cs="Arial"/>
                <w:color w:val="000000"/>
                <w:sz w:val="20"/>
                <w:szCs w:val="20"/>
                <w:lang w:val="hr-HR"/>
              </w:rPr>
              <w:t xml:space="preserve"> 448,289 </w:t>
            </w:r>
          </w:p>
        </w:tc>
        <w:tc>
          <w:tcPr>
            <w:tcW w:w="788" w:type="pct"/>
            <w:tcBorders>
              <w:top w:val="nil"/>
              <w:left w:val="nil"/>
              <w:bottom w:val="nil"/>
              <w:right w:val="nil"/>
            </w:tcBorders>
            <w:shd w:val="clear" w:color="auto" w:fill="auto"/>
            <w:vAlign w:val="bottom"/>
          </w:tcPr>
          <w:p w14:paraId="277210D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en-GB"/>
              </w:rPr>
            </w:pPr>
            <w:r w:rsidRPr="00587444">
              <w:rPr>
                <w:rFonts w:ascii="Arial" w:eastAsia="Arial Unicode MS" w:hAnsi="Arial" w:cs="Arial"/>
                <w:color w:val="000000"/>
                <w:sz w:val="20"/>
                <w:szCs w:val="20"/>
                <w:lang w:val="en-GB"/>
              </w:rPr>
              <w:t>174,027</w:t>
            </w:r>
          </w:p>
        </w:tc>
      </w:tr>
      <w:tr w:rsidR="00587444" w:rsidRPr="00587444" w14:paraId="54DFFB70" w14:textId="77777777" w:rsidTr="00DD69E7">
        <w:tc>
          <w:tcPr>
            <w:tcW w:w="1845" w:type="pct"/>
          </w:tcPr>
          <w:p w14:paraId="29AF946B" w14:textId="77777777" w:rsidR="00AE4D68" w:rsidRDefault="00587444" w:rsidP="00587444">
            <w:pPr>
              <w:suppressAutoHyphens w:val="0"/>
              <w:autoSpaceDN/>
              <w:spacing w:line="301" w:lineRule="exact"/>
              <w:outlineLvl w:val="0"/>
              <w:rPr>
                <w:rFonts w:ascii="Arial" w:hAnsi="Arial" w:cs="Arial"/>
                <w:sz w:val="20"/>
                <w:szCs w:val="20"/>
              </w:rPr>
            </w:pPr>
            <w:bookmarkStart w:id="917" w:name="_Toc4060021"/>
            <w:r w:rsidRPr="00587444">
              <w:rPr>
                <w:rFonts w:ascii="Arial" w:hAnsi="Arial" w:cs="Arial"/>
                <w:sz w:val="20"/>
                <w:szCs w:val="20"/>
              </w:rPr>
              <w:t xml:space="preserve">Deferred recognition of interest </w:t>
            </w:r>
          </w:p>
          <w:p w14:paraId="41F1C91B" w14:textId="5D4B37FC" w:rsidR="00587444" w:rsidRPr="00587444" w:rsidRDefault="00587444" w:rsidP="00587444">
            <w:pPr>
              <w:suppressAutoHyphens w:val="0"/>
              <w:autoSpaceDN/>
              <w:spacing w:line="301" w:lineRule="exact"/>
              <w:outlineLvl w:val="0"/>
              <w:rPr>
                <w:rFonts w:ascii="Arial" w:hAnsi="Arial" w:cs="Arial"/>
                <w:sz w:val="20"/>
                <w:szCs w:val="20"/>
              </w:rPr>
            </w:pPr>
            <w:r w:rsidRPr="00587444">
              <w:rPr>
                <w:rFonts w:ascii="Arial" w:hAnsi="Arial" w:cs="Arial"/>
                <w:sz w:val="20"/>
                <w:szCs w:val="20"/>
              </w:rPr>
              <w:t>income (b)</w:t>
            </w:r>
            <w:r w:rsidRPr="00587444" w:rsidDel="008F655A">
              <w:rPr>
                <w:rFonts w:ascii="Arial" w:hAnsi="Arial" w:cs="Arial"/>
                <w:sz w:val="20"/>
                <w:szCs w:val="20"/>
              </w:rPr>
              <w:t xml:space="preserve"> </w:t>
            </w:r>
            <w:bookmarkEnd w:id="917"/>
          </w:p>
        </w:tc>
        <w:tc>
          <w:tcPr>
            <w:tcW w:w="789" w:type="pct"/>
            <w:tcBorders>
              <w:top w:val="nil"/>
              <w:left w:val="nil"/>
              <w:bottom w:val="nil"/>
              <w:right w:val="nil"/>
            </w:tcBorders>
            <w:shd w:val="clear" w:color="auto" w:fill="auto"/>
            <w:vAlign w:val="bottom"/>
          </w:tcPr>
          <w:p w14:paraId="73BCE50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rPr>
            </w:pPr>
            <w:r w:rsidRPr="00587444">
              <w:rPr>
                <w:rFonts w:ascii="Arial" w:eastAsia="Arial Unicode MS" w:hAnsi="Arial" w:cs="Arial"/>
                <w:color w:val="000000"/>
                <w:sz w:val="20"/>
                <w:szCs w:val="20"/>
                <w:lang w:val="hr-HR"/>
              </w:rPr>
              <w:t xml:space="preserve"> 175,599 </w:t>
            </w:r>
          </w:p>
        </w:tc>
        <w:tc>
          <w:tcPr>
            <w:tcW w:w="789" w:type="pct"/>
            <w:tcBorders>
              <w:top w:val="nil"/>
              <w:left w:val="nil"/>
              <w:bottom w:val="nil"/>
              <w:right w:val="nil"/>
            </w:tcBorders>
            <w:shd w:val="clear" w:color="auto" w:fill="auto"/>
            <w:vAlign w:val="bottom"/>
          </w:tcPr>
          <w:p w14:paraId="30AB1DA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rPr>
            </w:pPr>
            <w:r w:rsidRPr="00587444">
              <w:rPr>
                <w:rFonts w:ascii="Arial" w:eastAsia="Arial Unicode MS" w:hAnsi="Arial" w:cs="Arial"/>
                <w:color w:val="000000"/>
                <w:sz w:val="20"/>
                <w:szCs w:val="20"/>
                <w:lang w:val="en-GB"/>
              </w:rPr>
              <w:t>186,159</w:t>
            </w:r>
          </w:p>
        </w:tc>
        <w:tc>
          <w:tcPr>
            <w:tcW w:w="789" w:type="pct"/>
            <w:tcBorders>
              <w:top w:val="nil"/>
              <w:left w:val="nil"/>
              <w:bottom w:val="nil"/>
              <w:right w:val="nil"/>
            </w:tcBorders>
            <w:shd w:val="clear" w:color="auto" w:fill="auto"/>
            <w:vAlign w:val="bottom"/>
          </w:tcPr>
          <w:p w14:paraId="2F9E517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rPr>
            </w:pPr>
            <w:r w:rsidRPr="00587444">
              <w:rPr>
                <w:rFonts w:ascii="Arial" w:eastAsia="Arial Unicode MS" w:hAnsi="Arial" w:cs="Arial"/>
                <w:color w:val="000000"/>
                <w:sz w:val="20"/>
                <w:szCs w:val="20"/>
                <w:lang w:val="hr-HR"/>
              </w:rPr>
              <w:t xml:space="preserve"> 175,599 </w:t>
            </w:r>
          </w:p>
        </w:tc>
        <w:tc>
          <w:tcPr>
            <w:tcW w:w="788" w:type="pct"/>
            <w:tcBorders>
              <w:top w:val="nil"/>
              <w:left w:val="nil"/>
              <w:bottom w:val="nil"/>
              <w:right w:val="nil"/>
            </w:tcBorders>
            <w:shd w:val="clear" w:color="auto" w:fill="auto"/>
            <w:vAlign w:val="bottom"/>
          </w:tcPr>
          <w:p w14:paraId="67A8E18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rPr>
            </w:pPr>
            <w:r w:rsidRPr="00587444">
              <w:rPr>
                <w:rFonts w:ascii="Arial" w:eastAsia="Arial Unicode MS" w:hAnsi="Arial" w:cs="Arial"/>
                <w:color w:val="000000"/>
                <w:sz w:val="20"/>
                <w:szCs w:val="20"/>
                <w:lang w:val="en-GB"/>
              </w:rPr>
              <w:t>186,159</w:t>
            </w:r>
          </w:p>
        </w:tc>
      </w:tr>
      <w:tr w:rsidR="00587444" w:rsidRPr="00587444" w14:paraId="40BCED43" w14:textId="77777777" w:rsidTr="00DD69E7">
        <w:tc>
          <w:tcPr>
            <w:tcW w:w="1845" w:type="pct"/>
          </w:tcPr>
          <w:p w14:paraId="2FBDCEE8" w14:textId="77777777" w:rsidR="00587444" w:rsidRPr="00587444" w:rsidRDefault="00587444" w:rsidP="00587444">
            <w:pPr>
              <w:suppressAutoHyphens w:val="0"/>
              <w:autoSpaceDN/>
              <w:spacing w:line="301" w:lineRule="exact"/>
              <w:outlineLvl w:val="0"/>
              <w:rPr>
                <w:rFonts w:ascii="Arial" w:hAnsi="Arial" w:cs="Arial"/>
                <w:sz w:val="20"/>
                <w:szCs w:val="20"/>
              </w:rPr>
            </w:pPr>
            <w:bookmarkStart w:id="918" w:name="_Toc4060036"/>
            <w:r w:rsidRPr="00587444">
              <w:rPr>
                <w:rFonts w:ascii="Arial" w:hAnsi="Arial" w:cs="Arial"/>
                <w:sz w:val="20"/>
                <w:szCs w:val="20"/>
              </w:rPr>
              <w:t>Accrued salaries</w:t>
            </w:r>
            <w:bookmarkEnd w:id="918"/>
          </w:p>
        </w:tc>
        <w:tc>
          <w:tcPr>
            <w:tcW w:w="789" w:type="pct"/>
            <w:tcBorders>
              <w:top w:val="nil"/>
              <w:left w:val="nil"/>
              <w:bottom w:val="nil"/>
              <w:right w:val="nil"/>
            </w:tcBorders>
            <w:shd w:val="clear" w:color="auto" w:fill="auto"/>
            <w:vAlign w:val="bottom"/>
          </w:tcPr>
          <w:p w14:paraId="1FB75E3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 xml:space="preserve"> 8,795 </w:t>
            </w:r>
          </w:p>
        </w:tc>
        <w:tc>
          <w:tcPr>
            <w:tcW w:w="789" w:type="pct"/>
            <w:tcBorders>
              <w:top w:val="nil"/>
              <w:left w:val="nil"/>
              <w:bottom w:val="nil"/>
              <w:right w:val="nil"/>
            </w:tcBorders>
            <w:shd w:val="clear" w:color="auto" w:fill="auto"/>
            <w:vAlign w:val="bottom"/>
          </w:tcPr>
          <w:p w14:paraId="58A740B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en-GB"/>
              </w:rPr>
              <w:t>8,613</w:t>
            </w:r>
          </w:p>
        </w:tc>
        <w:tc>
          <w:tcPr>
            <w:tcW w:w="789" w:type="pct"/>
            <w:tcBorders>
              <w:top w:val="nil"/>
              <w:left w:val="nil"/>
              <w:bottom w:val="nil"/>
              <w:right w:val="nil"/>
            </w:tcBorders>
            <w:shd w:val="clear" w:color="auto" w:fill="auto"/>
            <w:vAlign w:val="bottom"/>
          </w:tcPr>
          <w:p w14:paraId="2369D42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 xml:space="preserve"> 8,528 </w:t>
            </w:r>
          </w:p>
        </w:tc>
        <w:tc>
          <w:tcPr>
            <w:tcW w:w="788" w:type="pct"/>
            <w:tcBorders>
              <w:top w:val="nil"/>
              <w:left w:val="nil"/>
              <w:bottom w:val="nil"/>
              <w:right w:val="nil"/>
            </w:tcBorders>
            <w:shd w:val="clear" w:color="auto" w:fill="auto"/>
            <w:vAlign w:val="bottom"/>
          </w:tcPr>
          <w:p w14:paraId="2DFC3D0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8,397</w:t>
            </w:r>
          </w:p>
        </w:tc>
      </w:tr>
      <w:tr w:rsidR="00587444" w:rsidRPr="00587444" w14:paraId="66F4B2A1" w14:textId="77777777" w:rsidTr="00DD69E7">
        <w:tc>
          <w:tcPr>
            <w:tcW w:w="1845" w:type="pct"/>
          </w:tcPr>
          <w:p w14:paraId="2AE6E906" w14:textId="77777777" w:rsidR="00587444" w:rsidRPr="00587444" w:rsidRDefault="00587444" w:rsidP="00587444">
            <w:pPr>
              <w:suppressAutoHyphens w:val="0"/>
              <w:autoSpaceDN/>
              <w:spacing w:line="301" w:lineRule="exact"/>
              <w:outlineLvl w:val="0"/>
              <w:rPr>
                <w:rFonts w:ascii="Arial" w:hAnsi="Arial" w:cs="Arial"/>
                <w:sz w:val="20"/>
                <w:szCs w:val="20"/>
              </w:rPr>
            </w:pPr>
            <w:bookmarkStart w:id="919" w:name="_Toc4060041"/>
            <w:r w:rsidRPr="00587444">
              <w:rPr>
                <w:rFonts w:ascii="Arial" w:hAnsi="Arial" w:cs="Arial"/>
                <w:sz w:val="20"/>
                <w:szCs w:val="20"/>
              </w:rPr>
              <w:t>Liabilities to suppliers</w:t>
            </w:r>
            <w:bookmarkEnd w:id="919"/>
          </w:p>
        </w:tc>
        <w:tc>
          <w:tcPr>
            <w:tcW w:w="789" w:type="pct"/>
            <w:tcBorders>
              <w:top w:val="nil"/>
              <w:left w:val="nil"/>
              <w:bottom w:val="nil"/>
              <w:right w:val="nil"/>
            </w:tcBorders>
            <w:shd w:val="clear" w:color="auto" w:fill="auto"/>
            <w:vAlign w:val="bottom"/>
          </w:tcPr>
          <w:p w14:paraId="7786622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 xml:space="preserve"> 1,130 </w:t>
            </w:r>
          </w:p>
        </w:tc>
        <w:tc>
          <w:tcPr>
            <w:tcW w:w="789" w:type="pct"/>
            <w:tcBorders>
              <w:top w:val="nil"/>
              <w:left w:val="nil"/>
              <w:bottom w:val="nil"/>
              <w:right w:val="nil"/>
            </w:tcBorders>
            <w:shd w:val="clear" w:color="auto" w:fill="auto"/>
            <w:vAlign w:val="bottom"/>
          </w:tcPr>
          <w:p w14:paraId="7971076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en-GB"/>
              </w:rPr>
              <w:t>2,180</w:t>
            </w:r>
          </w:p>
        </w:tc>
        <w:tc>
          <w:tcPr>
            <w:tcW w:w="789" w:type="pct"/>
            <w:tcBorders>
              <w:top w:val="nil"/>
              <w:left w:val="nil"/>
              <w:bottom w:val="nil"/>
              <w:right w:val="nil"/>
            </w:tcBorders>
            <w:shd w:val="clear" w:color="auto" w:fill="auto"/>
            <w:vAlign w:val="bottom"/>
          </w:tcPr>
          <w:p w14:paraId="0035D6F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 xml:space="preserve"> 1,015 </w:t>
            </w:r>
          </w:p>
        </w:tc>
        <w:tc>
          <w:tcPr>
            <w:tcW w:w="788" w:type="pct"/>
            <w:tcBorders>
              <w:top w:val="nil"/>
              <w:left w:val="nil"/>
              <w:bottom w:val="nil"/>
              <w:right w:val="nil"/>
            </w:tcBorders>
            <w:shd w:val="clear" w:color="auto" w:fill="auto"/>
            <w:vAlign w:val="bottom"/>
          </w:tcPr>
          <w:p w14:paraId="2C84351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2,065</w:t>
            </w:r>
          </w:p>
        </w:tc>
      </w:tr>
      <w:tr w:rsidR="00587444" w:rsidRPr="00587444" w14:paraId="48C11D9D" w14:textId="77777777" w:rsidTr="00DD69E7">
        <w:tc>
          <w:tcPr>
            <w:tcW w:w="1845" w:type="pct"/>
          </w:tcPr>
          <w:p w14:paraId="5475B077" w14:textId="77777777" w:rsidR="00587444" w:rsidRPr="00587444" w:rsidRDefault="00587444" w:rsidP="00587444">
            <w:pPr>
              <w:suppressAutoHyphens w:val="0"/>
              <w:autoSpaceDN/>
              <w:spacing w:line="301" w:lineRule="exact"/>
              <w:outlineLvl w:val="0"/>
              <w:rPr>
                <w:rFonts w:ascii="Arial" w:hAnsi="Arial" w:cs="Arial"/>
                <w:sz w:val="20"/>
                <w:szCs w:val="20"/>
              </w:rPr>
            </w:pPr>
            <w:bookmarkStart w:id="920" w:name="_Toc4060046"/>
            <w:r w:rsidRPr="00587444">
              <w:rPr>
                <w:rFonts w:ascii="Arial" w:hAnsi="Arial" w:cs="Arial"/>
                <w:sz w:val="20"/>
                <w:szCs w:val="20"/>
              </w:rPr>
              <w:t>Liabilities for prepaid receivables</w:t>
            </w:r>
            <w:bookmarkEnd w:id="920"/>
          </w:p>
        </w:tc>
        <w:tc>
          <w:tcPr>
            <w:tcW w:w="789" w:type="pct"/>
            <w:tcBorders>
              <w:top w:val="nil"/>
              <w:left w:val="nil"/>
              <w:bottom w:val="nil"/>
              <w:right w:val="nil"/>
            </w:tcBorders>
            <w:shd w:val="clear" w:color="auto" w:fill="auto"/>
            <w:vAlign w:val="bottom"/>
          </w:tcPr>
          <w:p w14:paraId="41FFA73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 xml:space="preserve"> 8,926 </w:t>
            </w:r>
          </w:p>
        </w:tc>
        <w:tc>
          <w:tcPr>
            <w:tcW w:w="789" w:type="pct"/>
            <w:tcBorders>
              <w:top w:val="nil"/>
              <w:left w:val="nil"/>
              <w:bottom w:val="nil"/>
              <w:right w:val="nil"/>
            </w:tcBorders>
            <w:shd w:val="clear" w:color="auto" w:fill="auto"/>
            <w:vAlign w:val="bottom"/>
          </w:tcPr>
          <w:p w14:paraId="07BF991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en-GB"/>
              </w:rPr>
              <w:t>4,921</w:t>
            </w:r>
          </w:p>
        </w:tc>
        <w:tc>
          <w:tcPr>
            <w:tcW w:w="789" w:type="pct"/>
            <w:tcBorders>
              <w:top w:val="nil"/>
              <w:left w:val="nil"/>
              <w:bottom w:val="nil"/>
              <w:right w:val="nil"/>
            </w:tcBorders>
            <w:shd w:val="clear" w:color="auto" w:fill="auto"/>
            <w:vAlign w:val="bottom"/>
          </w:tcPr>
          <w:p w14:paraId="5C61D21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 xml:space="preserve"> 8,926 </w:t>
            </w:r>
          </w:p>
        </w:tc>
        <w:tc>
          <w:tcPr>
            <w:tcW w:w="788" w:type="pct"/>
            <w:tcBorders>
              <w:top w:val="nil"/>
              <w:left w:val="nil"/>
              <w:bottom w:val="nil"/>
              <w:right w:val="nil"/>
            </w:tcBorders>
            <w:shd w:val="clear" w:color="auto" w:fill="auto"/>
            <w:vAlign w:val="bottom"/>
          </w:tcPr>
          <w:p w14:paraId="2FC58D0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4,921</w:t>
            </w:r>
          </w:p>
        </w:tc>
      </w:tr>
      <w:tr w:rsidR="00587444" w:rsidRPr="00587444" w14:paraId="140684F7" w14:textId="77777777" w:rsidTr="00DD69E7">
        <w:tc>
          <w:tcPr>
            <w:tcW w:w="1845" w:type="pct"/>
          </w:tcPr>
          <w:p w14:paraId="3399ED79" w14:textId="77777777" w:rsidR="00587444" w:rsidRPr="00587444" w:rsidRDefault="00587444" w:rsidP="00587444">
            <w:pPr>
              <w:suppressAutoHyphens w:val="0"/>
              <w:autoSpaceDN/>
              <w:spacing w:line="301" w:lineRule="exact"/>
              <w:outlineLvl w:val="0"/>
              <w:rPr>
                <w:rFonts w:ascii="Arial" w:hAnsi="Arial" w:cs="Arial"/>
                <w:sz w:val="20"/>
                <w:szCs w:val="20"/>
              </w:rPr>
            </w:pPr>
            <w:bookmarkStart w:id="921" w:name="_Toc4060051"/>
            <w:r w:rsidRPr="00587444">
              <w:rPr>
                <w:rFonts w:ascii="Arial" w:hAnsi="Arial" w:cs="Arial"/>
                <w:sz w:val="20"/>
                <w:szCs w:val="20"/>
              </w:rPr>
              <w:t>Deferrable premium</w:t>
            </w:r>
            <w:bookmarkEnd w:id="921"/>
          </w:p>
        </w:tc>
        <w:tc>
          <w:tcPr>
            <w:tcW w:w="789" w:type="pct"/>
            <w:tcBorders>
              <w:top w:val="nil"/>
              <w:left w:val="nil"/>
              <w:bottom w:val="nil"/>
              <w:right w:val="nil"/>
            </w:tcBorders>
            <w:shd w:val="clear" w:color="auto" w:fill="auto"/>
            <w:vAlign w:val="bottom"/>
          </w:tcPr>
          <w:p w14:paraId="333801D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 xml:space="preserve"> 5,723 </w:t>
            </w:r>
          </w:p>
        </w:tc>
        <w:tc>
          <w:tcPr>
            <w:tcW w:w="789" w:type="pct"/>
            <w:tcBorders>
              <w:top w:val="nil"/>
              <w:left w:val="nil"/>
              <w:bottom w:val="nil"/>
              <w:right w:val="nil"/>
            </w:tcBorders>
            <w:shd w:val="clear" w:color="auto" w:fill="auto"/>
            <w:vAlign w:val="bottom"/>
          </w:tcPr>
          <w:p w14:paraId="06AB688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en-GB"/>
              </w:rPr>
              <w:t>5,219</w:t>
            </w:r>
          </w:p>
        </w:tc>
        <w:tc>
          <w:tcPr>
            <w:tcW w:w="789" w:type="pct"/>
            <w:tcBorders>
              <w:top w:val="nil"/>
              <w:left w:val="nil"/>
              <w:bottom w:val="nil"/>
              <w:right w:val="nil"/>
            </w:tcBorders>
            <w:shd w:val="clear" w:color="auto" w:fill="auto"/>
            <w:vAlign w:val="bottom"/>
          </w:tcPr>
          <w:p w14:paraId="78D4D6B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w:t>
            </w:r>
          </w:p>
        </w:tc>
        <w:tc>
          <w:tcPr>
            <w:tcW w:w="788" w:type="pct"/>
            <w:tcBorders>
              <w:top w:val="nil"/>
              <w:left w:val="nil"/>
              <w:bottom w:val="nil"/>
              <w:right w:val="nil"/>
            </w:tcBorders>
            <w:shd w:val="clear" w:color="auto" w:fill="auto"/>
            <w:vAlign w:val="bottom"/>
          </w:tcPr>
          <w:p w14:paraId="183DC04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w:t>
            </w:r>
          </w:p>
        </w:tc>
      </w:tr>
      <w:tr w:rsidR="00587444" w:rsidRPr="00587444" w14:paraId="04D7401D" w14:textId="77777777" w:rsidTr="00DD69E7">
        <w:tc>
          <w:tcPr>
            <w:tcW w:w="1845" w:type="pct"/>
          </w:tcPr>
          <w:p w14:paraId="5927C667" w14:textId="77777777" w:rsidR="00587444" w:rsidRPr="00587444" w:rsidRDefault="00587444" w:rsidP="00587444">
            <w:pPr>
              <w:suppressAutoHyphens w:val="0"/>
              <w:autoSpaceDN/>
              <w:spacing w:line="301" w:lineRule="exact"/>
              <w:outlineLvl w:val="0"/>
              <w:rPr>
                <w:rFonts w:ascii="Arial" w:hAnsi="Arial" w:cs="Arial"/>
                <w:sz w:val="20"/>
                <w:szCs w:val="20"/>
              </w:rPr>
            </w:pPr>
            <w:bookmarkStart w:id="922" w:name="_Toc4060056"/>
            <w:r w:rsidRPr="00587444">
              <w:rPr>
                <w:rFonts w:ascii="Arial" w:hAnsi="Arial" w:cs="Arial"/>
                <w:sz w:val="20"/>
                <w:szCs w:val="20"/>
              </w:rPr>
              <w:t>Provisions for claims</w:t>
            </w:r>
            <w:bookmarkEnd w:id="922"/>
          </w:p>
        </w:tc>
        <w:tc>
          <w:tcPr>
            <w:tcW w:w="789" w:type="pct"/>
            <w:tcBorders>
              <w:top w:val="nil"/>
              <w:left w:val="nil"/>
              <w:bottom w:val="nil"/>
              <w:right w:val="nil"/>
            </w:tcBorders>
            <w:shd w:val="clear" w:color="auto" w:fill="auto"/>
            <w:vAlign w:val="bottom"/>
          </w:tcPr>
          <w:p w14:paraId="65F352F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 xml:space="preserve"> 4,932 </w:t>
            </w:r>
          </w:p>
        </w:tc>
        <w:tc>
          <w:tcPr>
            <w:tcW w:w="789" w:type="pct"/>
            <w:tcBorders>
              <w:top w:val="nil"/>
              <w:left w:val="nil"/>
              <w:bottom w:val="nil"/>
              <w:right w:val="nil"/>
            </w:tcBorders>
            <w:shd w:val="clear" w:color="auto" w:fill="auto"/>
            <w:vAlign w:val="bottom"/>
          </w:tcPr>
          <w:p w14:paraId="42C340C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en-GB"/>
              </w:rPr>
              <w:t>6,815</w:t>
            </w:r>
          </w:p>
        </w:tc>
        <w:tc>
          <w:tcPr>
            <w:tcW w:w="789" w:type="pct"/>
            <w:tcBorders>
              <w:top w:val="nil"/>
              <w:left w:val="nil"/>
              <w:bottom w:val="nil"/>
              <w:right w:val="nil"/>
            </w:tcBorders>
            <w:shd w:val="clear" w:color="auto" w:fill="auto"/>
            <w:vAlign w:val="bottom"/>
          </w:tcPr>
          <w:p w14:paraId="5799B53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w:t>
            </w:r>
          </w:p>
        </w:tc>
        <w:tc>
          <w:tcPr>
            <w:tcW w:w="788" w:type="pct"/>
            <w:tcBorders>
              <w:top w:val="nil"/>
              <w:left w:val="nil"/>
              <w:bottom w:val="nil"/>
              <w:right w:val="nil"/>
            </w:tcBorders>
            <w:shd w:val="clear" w:color="auto" w:fill="auto"/>
            <w:vAlign w:val="bottom"/>
          </w:tcPr>
          <w:p w14:paraId="3ECACAE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w:t>
            </w:r>
          </w:p>
        </w:tc>
      </w:tr>
      <w:tr w:rsidR="00587444" w:rsidRPr="00587444" w14:paraId="0CCEF2D6" w14:textId="77777777" w:rsidTr="00DD69E7">
        <w:tc>
          <w:tcPr>
            <w:tcW w:w="1845" w:type="pct"/>
          </w:tcPr>
          <w:p w14:paraId="50C3487D" w14:textId="77777777" w:rsidR="00587444" w:rsidRPr="00587444" w:rsidRDefault="00587444" w:rsidP="00587444">
            <w:pPr>
              <w:suppressAutoHyphens w:val="0"/>
              <w:autoSpaceDN/>
              <w:spacing w:line="301" w:lineRule="exact"/>
              <w:outlineLvl w:val="0"/>
              <w:rPr>
                <w:rFonts w:ascii="Arial" w:hAnsi="Arial" w:cs="Arial"/>
                <w:sz w:val="20"/>
                <w:szCs w:val="20"/>
              </w:rPr>
            </w:pPr>
            <w:bookmarkStart w:id="923" w:name="_Toc4060061"/>
            <w:r w:rsidRPr="00587444">
              <w:rPr>
                <w:rFonts w:ascii="Arial" w:hAnsi="Arial" w:cs="Arial"/>
                <w:sz w:val="20"/>
                <w:szCs w:val="20"/>
              </w:rPr>
              <w:t>Provisions for return premiums</w:t>
            </w:r>
            <w:bookmarkEnd w:id="923"/>
            <w:r w:rsidRPr="00587444">
              <w:rPr>
                <w:rFonts w:ascii="Arial" w:hAnsi="Arial" w:cs="Arial"/>
                <w:sz w:val="20"/>
                <w:szCs w:val="20"/>
              </w:rPr>
              <w:t xml:space="preserve"> </w:t>
            </w:r>
          </w:p>
        </w:tc>
        <w:tc>
          <w:tcPr>
            <w:tcW w:w="789" w:type="pct"/>
            <w:tcBorders>
              <w:top w:val="nil"/>
              <w:left w:val="nil"/>
              <w:bottom w:val="nil"/>
              <w:right w:val="nil"/>
            </w:tcBorders>
            <w:shd w:val="clear" w:color="auto" w:fill="auto"/>
            <w:vAlign w:val="bottom"/>
          </w:tcPr>
          <w:p w14:paraId="6EC0C6D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 xml:space="preserve"> 1,910 </w:t>
            </w:r>
          </w:p>
        </w:tc>
        <w:tc>
          <w:tcPr>
            <w:tcW w:w="789" w:type="pct"/>
            <w:tcBorders>
              <w:top w:val="nil"/>
              <w:left w:val="nil"/>
              <w:bottom w:val="nil"/>
              <w:right w:val="nil"/>
            </w:tcBorders>
            <w:shd w:val="clear" w:color="auto" w:fill="auto"/>
            <w:vAlign w:val="bottom"/>
          </w:tcPr>
          <w:p w14:paraId="7499015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en-GB"/>
              </w:rPr>
              <w:t>1,454</w:t>
            </w:r>
          </w:p>
        </w:tc>
        <w:tc>
          <w:tcPr>
            <w:tcW w:w="789" w:type="pct"/>
            <w:tcBorders>
              <w:top w:val="nil"/>
              <w:left w:val="nil"/>
              <w:bottom w:val="nil"/>
              <w:right w:val="nil"/>
            </w:tcBorders>
            <w:shd w:val="clear" w:color="auto" w:fill="auto"/>
            <w:vAlign w:val="bottom"/>
          </w:tcPr>
          <w:p w14:paraId="2CD6564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w:t>
            </w:r>
          </w:p>
        </w:tc>
        <w:tc>
          <w:tcPr>
            <w:tcW w:w="788" w:type="pct"/>
            <w:tcBorders>
              <w:top w:val="nil"/>
              <w:left w:val="nil"/>
              <w:bottom w:val="nil"/>
              <w:right w:val="nil"/>
            </w:tcBorders>
            <w:shd w:val="clear" w:color="auto" w:fill="auto"/>
            <w:vAlign w:val="bottom"/>
          </w:tcPr>
          <w:p w14:paraId="35B8C79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w:t>
            </w:r>
          </w:p>
        </w:tc>
      </w:tr>
      <w:tr w:rsidR="00587444" w:rsidRPr="00587444" w14:paraId="70CAA364" w14:textId="77777777" w:rsidTr="00DD69E7">
        <w:tc>
          <w:tcPr>
            <w:tcW w:w="1845" w:type="pct"/>
          </w:tcPr>
          <w:p w14:paraId="7A46A792" w14:textId="77777777" w:rsidR="00587444" w:rsidRPr="00587444" w:rsidRDefault="00587444" w:rsidP="00587444">
            <w:pPr>
              <w:suppressAutoHyphens w:val="0"/>
              <w:autoSpaceDN/>
              <w:spacing w:line="301" w:lineRule="exact"/>
              <w:outlineLvl w:val="0"/>
              <w:rPr>
                <w:rFonts w:ascii="Arial" w:hAnsi="Arial" w:cs="Arial"/>
                <w:sz w:val="20"/>
                <w:szCs w:val="20"/>
              </w:rPr>
            </w:pPr>
            <w:bookmarkStart w:id="924" w:name="_Toc4060066"/>
            <w:r w:rsidRPr="00587444">
              <w:rPr>
                <w:rFonts w:ascii="Arial" w:hAnsi="Arial" w:cs="Arial"/>
                <w:sz w:val="20"/>
                <w:szCs w:val="20"/>
              </w:rPr>
              <w:t>Liabilities to re-insurers</w:t>
            </w:r>
            <w:bookmarkEnd w:id="924"/>
          </w:p>
        </w:tc>
        <w:tc>
          <w:tcPr>
            <w:tcW w:w="789" w:type="pct"/>
            <w:tcBorders>
              <w:top w:val="nil"/>
              <w:left w:val="nil"/>
              <w:bottom w:val="nil"/>
              <w:right w:val="nil"/>
            </w:tcBorders>
            <w:shd w:val="clear" w:color="auto" w:fill="auto"/>
            <w:vAlign w:val="bottom"/>
          </w:tcPr>
          <w:p w14:paraId="0397963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 xml:space="preserve"> 8,349 </w:t>
            </w:r>
          </w:p>
        </w:tc>
        <w:tc>
          <w:tcPr>
            <w:tcW w:w="789" w:type="pct"/>
            <w:tcBorders>
              <w:top w:val="nil"/>
              <w:left w:val="nil"/>
              <w:bottom w:val="nil"/>
              <w:right w:val="nil"/>
            </w:tcBorders>
            <w:shd w:val="clear" w:color="auto" w:fill="auto"/>
            <w:vAlign w:val="bottom"/>
          </w:tcPr>
          <w:p w14:paraId="696A46F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en-GB"/>
              </w:rPr>
              <w:t>2,443</w:t>
            </w:r>
          </w:p>
        </w:tc>
        <w:tc>
          <w:tcPr>
            <w:tcW w:w="789" w:type="pct"/>
            <w:tcBorders>
              <w:top w:val="nil"/>
              <w:left w:val="nil"/>
              <w:bottom w:val="nil"/>
              <w:right w:val="nil"/>
            </w:tcBorders>
            <w:shd w:val="clear" w:color="auto" w:fill="auto"/>
            <w:vAlign w:val="bottom"/>
          </w:tcPr>
          <w:p w14:paraId="2D32730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w:t>
            </w:r>
          </w:p>
        </w:tc>
        <w:tc>
          <w:tcPr>
            <w:tcW w:w="788" w:type="pct"/>
            <w:tcBorders>
              <w:top w:val="nil"/>
              <w:left w:val="nil"/>
              <w:bottom w:val="nil"/>
              <w:right w:val="nil"/>
            </w:tcBorders>
            <w:shd w:val="clear" w:color="auto" w:fill="auto"/>
            <w:vAlign w:val="bottom"/>
          </w:tcPr>
          <w:p w14:paraId="037313C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w:t>
            </w:r>
          </w:p>
        </w:tc>
      </w:tr>
      <w:tr w:rsidR="00587444" w:rsidRPr="00587444" w14:paraId="2B0B9F53" w14:textId="77777777" w:rsidTr="00DD69E7">
        <w:tc>
          <w:tcPr>
            <w:tcW w:w="1845" w:type="pct"/>
          </w:tcPr>
          <w:p w14:paraId="28EB14F6" w14:textId="77777777" w:rsidR="00587444" w:rsidRPr="00587444" w:rsidRDefault="00587444" w:rsidP="00587444">
            <w:pPr>
              <w:suppressAutoHyphens w:val="0"/>
              <w:autoSpaceDN/>
              <w:spacing w:line="301" w:lineRule="exact"/>
              <w:outlineLvl w:val="0"/>
              <w:rPr>
                <w:rFonts w:ascii="Arial" w:hAnsi="Arial" w:cs="Arial"/>
                <w:sz w:val="20"/>
                <w:szCs w:val="20"/>
              </w:rPr>
            </w:pPr>
            <w:bookmarkStart w:id="925" w:name="_Toc4060071"/>
            <w:r w:rsidRPr="00587444">
              <w:rPr>
                <w:rFonts w:ascii="Arial" w:hAnsi="Arial" w:cs="Arial"/>
                <w:sz w:val="20"/>
                <w:szCs w:val="20"/>
              </w:rPr>
              <w:t>Deferred tax liabilities</w:t>
            </w:r>
            <w:bookmarkEnd w:id="925"/>
          </w:p>
        </w:tc>
        <w:tc>
          <w:tcPr>
            <w:tcW w:w="789" w:type="pct"/>
            <w:tcBorders>
              <w:top w:val="nil"/>
              <w:left w:val="nil"/>
              <w:right w:val="nil"/>
            </w:tcBorders>
            <w:shd w:val="clear" w:color="auto" w:fill="auto"/>
            <w:vAlign w:val="bottom"/>
          </w:tcPr>
          <w:p w14:paraId="5D8FEEE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 xml:space="preserve"> 310 </w:t>
            </w:r>
          </w:p>
        </w:tc>
        <w:tc>
          <w:tcPr>
            <w:tcW w:w="789" w:type="pct"/>
            <w:tcBorders>
              <w:top w:val="nil"/>
              <w:left w:val="nil"/>
              <w:right w:val="nil"/>
            </w:tcBorders>
            <w:shd w:val="clear" w:color="auto" w:fill="auto"/>
            <w:vAlign w:val="bottom"/>
          </w:tcPr>
          <w:p w14:paraId="75CD872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en-GB"/>
              </w:rPr>
              <w:t>401</w:t>
            </w:r>
          </w:p>
        </w:tc>
        <w:tc>
          <w:tcPr>
            <w:tcW w:w="789" w:type="pct"/>
            <w:tcBorders>
              <w:top w:val="nil"/>
              <w:left w:val="nil"/>
              <w:right w:val="nil"/>
            </w:tcBorders>
            <w:shd w:val="clear" w:color="auto" w:fill="auto"/>
            <w:vAlign w:val="bottom"/>
          </w:tcPr>
          <w:p w14:paraId="68C6146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w:t>
            </w:r>
          </w:p>
        </w:tc>
        <w:tc>
          <w:tcPr>
            <w:tcW w:w="788" w:type="pct"/>
            <w:tcBorders>
              <w:top w:val="nil"/>
              <w:left w:val="nil"/>
              <w:right w:val="nil"/>
            </w:tcBorders>
            <w:shd w:val="clear" w:color="auto" w:fill="auto"/>
            <w:vAlign w:val="bottom"/>
          </w:tcPr>
          <w:p w14:paraId="120A2A7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w:t>
            </w:r>
          </w:p>
        </w:tc>
      </w:tr>
      <w:tr w:rsidR="00587444" w:rsidRPr="00587444" w14:paraId="2765AAA4" w14:textId="77777777" w:rsidTr="00DD69E7">
        <w:tc>
          <w:tcPr>
            <w:tcW w:w="1845" w:type="pct"/>
          </w:tcPr>
          <w:p w14:paraId="77EBFE4D"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rPr>
            </w:pPr>
            <w:bookmarkStart w:id="926" w:name="_Hlk34234503"/>
            <w:r w:rsidRPr="00587444">
              <w:rPr>
                <w:rFonts w:ascii="Arial" w:hAnsi="Arial" w:cs="Arial"/>
                <w:sz w:val="20"/>
                <w:szCs w:val="20"/>
                <w:lang w:val="en-GB"/>
              </w:rPr>
              <w:t>Corporate income tax-current liability</w:t>
            </w:r>
          </w:p>
        </w:tc>
        <w:tc>
          <w:tcPr>
            <w:tcW w:w="789" w:type="pct"/>
            <w:tcBorders>
              <w:top w:val="nil"/>
              <w:left w:val="nil"/>
              <w:right w:val="nil"/>
            </w:tcBorders>
            <w:shd w:val="clear" w:color="auto" w:fill="auto"/>
            <w:vAlign w:val="bottom"/>
          </w:tcPr>
          <w:p w14:paraId="3387D74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 xml:space="preserve"> 15 </w:t>
            </w:r>
          </w:p>
        </w:tc>
        <w:tc>
          <w:tcPr>
            <w:tcW w:w="789" w:type="pct"/>
            <w:tcBorders>
              <w:top w:val="nil"/>
              <w:left w:val="nil"/>
              <w:right w:val="nil"/>
            </w:tcBorders>
            <w:shd w:val="clear" w:color="auto" w:fill="auto"/>
            <w:vAlign w:val="bottom"/>
          </w:tcPr>
          <w:p w14:paraId="7D5B33E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eastAsia="Arial Unicode MS" w:hAnsi="Arial" w:cs="Arial"/>
                <w:color w:val="000000"/>
                <w:sz w:val="20"/>
                <w:szCs w:val="20"/>
                <w:lang w:val="en-GB"/>
              </w:rPr>
              <w:t>208</w:t>
            </w:r>
          </w:p>
        </w:tc>
        <w:tc>
          <w:tcPr>
            <w:tcW w:w="789" w:type="pct"/>
            <w:tcBorders>
              <w:top w:val="nil"/>
              <w:left w:val="nil"/>
              <w:right w:val="nil"/>
            </w:tcBorders>
            <w:shd w:val="clear" w:color="auto" w:fill="auto"/>
            <w:vAlign w:val="bottom"/>
          </w:tcPr>
          <w:p w14:paraId="2EE2449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20"/>
                <w:szCs w:val="20"/>
                <w:lang w:val="hr-HR"/>
              </w:rPr>
            </w:pPr>
            <w:r w:rsidRPr="00587444">
              <w:rPr>
                <w:rFonts w:ascii="Arial" w:eastAsia="Arial Unicode MS" w:hAnsi="Arial" w:cs="Arial"/>
                <w:color w:val="000000"/>
                <w:sz w:val="20"/>
                <w:szCs w:val="20"/>
                <w:lang w:val="hr-HR"/>
              </w:rPr>
              <w:t>-</w:t>
            </w:r>
          </w:p>
        </w:tc>
        <w:tc>
          <w:tcPr>
            <w:tcW w:w="788" w:type="pct"/>
            <w:tcBorders>
              <w:top w:val="nil"/>
              <w:left w:val="nil"/>
              <w:right w:val="nil"/>
            </w:tcBorders>
            <w:shd w:val="clear" w:color="auto" w:fill="auto"/>
            <w:vAlign w:val="bottom"/>
          </w:tcPr>
          <w:p w14:paraId="396D0BA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w:t>
            </w:r>
          </w:p>
        </w:tc>
      </w:tr>
      <w:bookmarkEnd w:id="926"/>
      <w:tr w:rsidR="00587444" w:rsidRPr="00587444" w14:paraId="58005B1B" w14:textId="77777777" w:rsidTr="00DD69E7">
        <w:tc>
          <w:tcPr>
            <w:tcW w:w="1845" w:type="pct"/>
          </w:tcPr>
          <w:p w14:paraId="0250114D" w14:textId="77777777" w:rsidR="00587444" w:rsidRPr="00587444" w:rsidRDefault="00587444" w:rsidP="00587444">
            <w:pPr>
              <w:suppressAutoHyphens w:val="0"/>
              <w:autoSpaceDN/>
              <w:spacing w:line="301" w:lineRule="exact"/>
              <w:outlineLvl w:val="0"/>
              <w:rPr>
                <w:rFonts w:ascii="Arial" w:hAnsi="Arial" w:cs="Arial"/>
                <w:sz w:val="20"/>
                <w:szCs w:val="20"/>
              </w:rPr>
            </w:pPr>
            <w:r w:rsidRPr="00587444">
              <w:rPr>
                <w:rFonts w:ascii="Arial" w:hAnsi="Arial" w:cs="Arial"/>
                <w:sz w:val="20"/>
                <w:szCs w:val="20"/>
              </w:rPr>
              <w:t>Lease liabilities</w:t>
            </w:r>
          </w:p>
        </w:tc>
        <w:tc>
          <w:tcPr>
            <w:tcW w:w="789" w:type="pct"/>
            <w:tcBorders>
              <w:top w:val="nil"/>
              <w:left w:val="nil"/>
              <w:right w:val="nil"/>
            </w:tcBorders>
            <w:shd w:val="clear" w:color="auto" w:fill="auto"/>
            <w:vAlign w:val="bottom"/>
          </w:tcPr>
          <w:p w14:paraId="54B4618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 xml:space="preserve"> 4,047 </w:t>
            </w:r>
          </w:p>
        </w:tc>
        <w:tc>
          <w:tcPr>
            <w:tcW w:w="789" w:type="pct"/>
            <w:tcBorders>
              <w:top w:val="nil"/>
              <w:left w:val="nil"/>
              <w:right w:val="nil"/>
            </w:tcBorders>
            <w:shd w:val="clear" w:color="auto" w:fill="auto"/>
            <w:vAlign w:val="bottom"/>
          </w:tcPr>
          <w:p w14:paraId="270E7ED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lang w:val="hr-HR"/>
              </w:rPr>
            </w:pPr>
            <w:r w:rsidRPr="00587444">
              <w:rPr>
                <w:rFonts w:ascii="Arial" w:eastAsia="Arial Unicode MS" w:hAnsi="Arial" w:cs="Arial"/>
                <w:color w:val="000000"/>
                <w:sz w:val="20"/>
                <w:szCs w:val="20"/>
                <w:lang w:val="en-GB"/>
              </w:rPr>
              <w:t>1,148</w:t>
            </w:r>
          </w:p>
        </w:tc>
        <w:tc>
          <w:tcPr>
            <w:tcW w:w="789" w:type="pct"/>
            <w:tcBorders>
              <w:top w:val="nil"/>
              <w:left w:val="nil"/>
              <w:right w:val="nil"/>
            </w:tcBorders>
            <w:shd w:val="clear" w:color="auto" w:fill="auto"/>
            <w:vAlign w:val="bottom"/>
          </w:tcPr>
          <w:p w14:paraId="7224E62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3,867</w:t>
            </w:r>
          </w:p>
        </w:tc>
        <w:tc>
          <w:tcPr>
            <w:tcW w:w="788" w:type="pct"/>
            <w:tcBorders>
              <w:top w:val="nil"/>
              <w:left w:val="nil"/>
              <w:right w:val="nil"/>
            </w:tcBorders>
            <w:shd w:val="clear" w:color="auto" w:fill="auto"/>
            <w:vAlign w:val="bottom"/>
          </w:tcPr>
          <w:p w14:paraId="0C9F580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800</w:t>
            </w:r>
          </w:p>
        </w:tc>
      </w:tr>
      <w:tr w:rsidR="00587444" w:rsidRPr="00587444" w14:paraId="437F5135" w14:textId="77777777" w:rsidTr="00DD69E7">
        <w:tc>
          <w:tcPr>
            <w:tcW w:w="1845" w:type="pct"/>
          </w:tcPr>
          <w:p w14:paraId="20B409DB" w14:textId="77777777" w:rsidR="00587444" w:rsidRPr="00587444" w:rsidRDefault="00587444" w:rsidP="00587444">
            <w:pPr>
              <w:suppressAutoHyphens w:val="0"/>
              <w:autoSpaceDN/>
              <w:spacing w:line="301" w:lineRule="exact"/>
              <w:outlineLvl w:val="0"/>
              <w:rPr>
                <w:rFonts w:ascii="Arial" w:hAnsi="Arial" w:cs="Arial"/>
                <w:sz w:val="20"/>
                <w:szCs w:val="20"/>
              </w:rPr>
            </w:pPr>
            <w:bookmarkStart w:id="927" w:name="_Toc4060076"/>
            <w:r w:rsidRPr="00587444">
              <w:rPr>
                <w:rFonts w:ascii="Arial" w:hAnsi="Arial" w:cs="Arial"/>
                <w:sz w:val="20"/>
                <w:szCs w:val="20"/>
              </w:rPr>
              <w:t>Other liabilities</w:t>
            </w:r>
            <w:bookmarkEnd w:id="927"/>
          </w:p>
        </w:tc>
        <w:tc>
          <w:tcPr>
            <w:tcW w:w="789" w:type="pct"/>
            <w:tcBorders>
              <w:left w:val="nil"/>
              <w:right w:val="nil"/>
            </w:tcBorders>
            <w:shd w:val="clear" w:color="auto" w:fill="auto"/>
            <w:vAlign w:val="bottom"/>
          </w:tcPr>
          <w:p w14:paraId="35EAD16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 xml:space="preserve"> 8,498 </w:t>
            </w:r>
          </w:p>
        </w:tc>
        <w:tc>
          <w:tcPr>
            <w:tcW w:w="789" w:type="pct"/>
            <w:tcBorders>
              <w:left w:val="nil"/>
              <w:right w:val="nil"/>
            </w:tcBorders>
            <w:shd w:val="clear" w:color="auto" w:fill="auto"/>
            <w:vAlign w:val="bottom"/>
          </w:tcPr>
          <w:p w14:paraId="0C6F404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en-GB"/>
              </w:rPr>
              <w:t>41,651</w:t>
            </w:r>
          </w:p>
        </w:tc>
        <w:tc>
          <w:tcPr>
            <w:tcW w:w="789" w:type="pct"/>
            <w:tcBorders>
              <w:left w:val="nil"/>
              <w:right w:val="nil"/>
            </w:tcBorders>
            <w:shd w:val="clear" w:color="auto" w:fill="auto"/>
            <w:vAlign w:val="bottom"/>
          </w:tcPr>
          <w:p w14:paraId="23015C3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6,909</w:t>
            </w:r>
          </w:p>
        </w:tc>
        <w:tc>
          <w:tcPr>
            <w:tcW w:w="788" w:type="pct"/>
            <w:tcBorders>
              <w:left w:val="nil"/>
              <w:right w:val="nil"/>
            </w:tcBorders>
            <w:shd w:val="clear" w:color="auto" w:fill="auto"/>
            <w:vAlign w:val="bottom"/>
          </w:tcPr>
          <w:p w14:paraId="063BE9A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20"/>
                <w:szCs w:val="20"/>
              </w:rPr>
            </w:pPr>
            <w:r w:rsidRPr="00587444">
              <w:rPr>
                <w:rFonts w:ascii="Arial" w:eastAsia="Arial Unicode MS" w:hAnsi="Arial" w:cs="Arial"/>
                <w:color w:val="000000"/>
                <w:sz w:val="20"/>
                <w:szCs w:val="20"/>
                <w:lang w:val="hr-HR"/>
              </w:rPr>
              <w:t>39,809</w:t>
            </w:r>
          </w:p>
        </w:tc>
      </w:tr>
      <w:tr w:rsidR="00587444" w:rsidRPr="00587444" w14:paraId="1A4679C9" w14:textId="77777777" w:rsidTr="00DD69E7">
        <w:trPr>
          <w:trHeight w:val="300"/>
        </w:trPr>
        <w:tc>
          <w:tcPr>
            <w:tcW w:w="1845" w:type="pct"/>
          </w:tcPr>
          <w:p w14:paraId="065B382C" w14:textId="77777777" w:rsidR="00587444" w:rsidRPr="00587444" w:rsidRDefault="00587444" w:rsidP="00587444">
            <w:pPr>
              <w:tabs>
                <w:tab w:val="right" w:pos="1202"/>
              </w:tabs>
              <w:suppressAutoHyphens w:val="0"/>
              <w:autoSpaceDN/>
              <w:spacing w:line="340" w:lineRule="exact"/>
              <w:outlineLvl w:val="0"/>
              <w:rPr>
                <w:rFonts w:ascii="Arial" w:hAnsi="Arial" w:cs="Arial"/>
                <w:b/>
                <w:bCs/>
                <w:sz w:val="20"/>
                <w:szCs w:val="20"/>
              </w:rPr>
            </w:pPr>
          </w:p>
        </w:tc>
        <w:tc>
          <w:tcPr>
            <w:tcW w:w="789" w:type="pct"/>
            <w:tcBorders>
              <w:top w:val="single" w:sz="4" w:space="0" w:color="auto"/>
              <w:bottom w:val="single" w:sz="12" w:space="0" w:color="auto"/>
            </w:tcBorders>
            <w:vAlign w:val="bottom"/>
          </w:tcPr>
          <w:p w14:paraId="7486A242"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rPr>
            </w:pPr>
            <w:r w:rsidRPr="00587444">
              <w:rPr>
                <w:rFonts w:ascii="Arial" w:hAnsi="Arial" w:cs="Arial"/>
                <w:b/>
                <w:bCs/>
                <w:color w:val="000000"/>
                <w:sz w:val="20"/>
                <w:szCs w:val="20"/>
                <w:lang w:val="hr-HR"/>
              </w:rPr>
              <w:t>676,523</w:t>
            </w:r>
          </w:p>
        </w:tc>
        <w:tc>
          <w:tcPr>
            <w:tcW w:w="789" w:type="pct"/>
            <w:tcBorders>
              <w:top w:val="single" w:sz="4" w:space="0" w:color="auto"/>
              <w:bottom w:val="single" w:sz="12" w:space="0" w:color="auto"/>
            </w:tcBorders>
            <w:vAlign w:val="bottom"/>
          </w:tcPr>
          <w:p w14:paraId="6C0BB99B"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rPr>
            </w:pPr>
            <w:bookmarkStart w:id="928" w:name="_Toc67328846"/>
            <w:r w:rsidRPr="00587444">
              <w:rPr>
                <w:rFonts w:ascii="Arial" w:hAnsi="Arial" w:cs="Arial"/>
                <w:b/>
                <w:bCs/>
                <w:color w:val="000000"/>
                <w:sz w:val="20"/>
                <w:szCs w:val="20"/>
                <w:lang w:val="hr-HR"/>
              </w:rPr>
              <w:t>435,239</w:t>
            </w:r>
            <w:bookmarkEnd w:id="928"/>
          </w:p>
        </w:tc>
        <w:tc>
          <w:tcPr>
            <w:tcW w:w="789" w:type="pct"/>
            <w:tcBorders>
              <w:top w:val="single" w:sz="4" w:space="0" w:color="auto"/>
              <w:bottom w:val="single" w:sz="12" w:space="0" w:color="auto"/>
            </w:tcBorders>
            <w:vAlign w:val="bottom"/>
          </w:tcPr>
          <w:p w14:paraId="18DC646D"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rPr>
            </w:pPr>
            <w:r w:rsidRPr="00587444">
              <w:rPr>
                <w:rFonts w:ascii="Arial" w:hAnsi="Arial" w:cs="Arial"/>
                <w:b/>
                <w:bCs/>
                <w:color w:val="000000"/>
                <w:sz w:val="20"/>
                <w:szCs w:val="20"/>
                <w:lang w:val="hr-HR"/>
              </w:rPr>
              <w:t>653,133</w:t>
            </w:r>
          </w:p>
        </w:tc>
        <w:tc>
          <w:tcPr>
            <w:tcW w:w="788" w:type="pct"/>
            <w:tcBorders>
              <w:top w:val="single" w:sz="4" w:space="0" w:color="auto"/>
              <w:bottom w:val="single" w:sz="12" w:space="0" w:color="auto"/>
            </w:tcBorders>
            <w:vAlign w:val="bottom"/>
          </w:tcPr>
          <w:p w14:paraId="5A05597A"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sz w:val="20"/>
                <w:szCs w:val="20"/>
              </w:rPr>
            </w:pPr>
            <w:r w:rsidRPr="00587444">
              <w:rPr>
                <w:rFonts w:ascii="Arial" w:hAnsi="Arial" w:cs="Arial"/>
                <w:b/>
                <w:bCs/>
                <w:color w:val="000000"/>
                <w:sz w:val="20"/>
                <w:szCs w:val="20"/>
                <w:lang w:val="hr-HR"/>
              </w:rPr>
              <w:t>416,178</w:t>
            </w:r>
          </w:p>
        </w:tc>
      </w:tr>
    </w:tbl>
    <w:p w14:paraId="1CBACD0B" w14:textId="77777777" w:rsidR="00587444" w:rsidRPr="00587444" w:rsidRDefault="00587444" w:rsidP="00587444">
      <w:pPr>
        <w:tabs>
          <w:tab w:val="left" w:pos="-1843"/>
        </w:tabs>
        <w:autoSpaceDN/>
        <w:jc w:val="both"/>
        <w:rPr>
          <w:rFonts w:ascii="Arial" w:hAnsi="Arial" w:cs="Arial"/>
          <w:spacing w:val="-3"/>
          <w:sz w:val="20"/>
          <w:szCs w:val="20"/>
          <w:lang w:val="en-GB"/>
        </w:rPr>
      </w:pPr>
    </w:p>
    <w:p w14:paraId="4558DB3D" w14:textId="77777777" w:rsidR="00587444" w:rsidRPr="00587444" w:rsidRDefault="00587444" w:rsidP="00587444">
      <w:pPr>
        <w:tabs>
          <w:tab w:val="left" w:pos="-1843"/>
        </w:tabs>
        <w:suppressAutoHyphens w:val="0"/>
        <w:autoSpaceDN/>
        <w:jc w:val="both"/>
        <w:rPr>
          <w:rFonts w:ascii="Arial" w:eastAsia="Calibri" w:hAnsi="Arial" w:cs="Arial"/>
          <w:sz w:val="20"/>
          <w:szCs w:val="20"/>
        </w:rPr>
      </w:pPr>
      <w:r w:rsidRPr="00587444">
        <w:rPr>
          <w:rFonts w:ascii="Arial" w:eastAsia="Calibri" w:hAnsi="Arial" w:cs="Arial"/>
          <w:sz w:val="20"/>
          <w:szCs w:val="20"/>
        </w:rPr>
        <w:t xml:space="preserve">(a) Liabilities in respect of subsidized interest represent advances taken in respect of interest subsidies on loans, which are provided for final customers at a lower interest rate in accordance with the following </w:t>
      </w:r>
      <w:proofErr w:type="spellStart"/>
      <w:r w:rsidRPr="00587444">
        <w:rPr>
          <w:rFonts w:ascii="Arial" w:eastAsia="Calibri" w:hAnsi="Arial" w:cs="Arial"/>
          <w:sz w:val="20"/>
          <w:szCs w:val="20"/>
        </w:rPr>
        <w:t>programmes</w:t>
      </w:r>
      <w:proofErr w:type="spellEnd"/>
      <w:r w:rsidRPr="00587444">
        <w:rPr>
          <w:rFonts w:ascii="Arial" w:eastAsia="Calibri" w:hAnsi="Arial" w:cs="Arial"/>
          <w:sz w:val="20"/>
          <w:szCs w:val="20"/>
        </w:rPr>
        <w:t xml:space="preserve"> implemented by HBOR for and on behalf of the Republic of Croatia. These liabilities include:</w:t>
      </w:r>
    </w:p>
    <w:p w14:paraId="7CDF8E7F" w14:textId="77777777" w:rsidR="00587444" w:rsidRPr="00587444" w:rsidRDefault="00587444" w:rsidP="00587444">
      <w:pPr>
        <w:tabs>
          <w:tab w:val="left" w:pos="-1843"/>
        </w:tabs>
        <w:suppressAutoHyphens w:val="0"/>
        <w:autoSpaceDN/>
        <w:jc w:val="both"/>
        <w:rPr>
          <w:rFonts w:ascii="Arial" w:eastAsia="Calibri" w:hAnsi="Arial" w:cs="Arial"/>
          <w:sz w:val="20"/>
          <w:szCs w:val="20"/>
        </w:rPr>
      </w:pPr>
    </w:p>
    <w:p w14:paraId="276A8816" w14:textId="77777777" w:rsidR="00587444" w:rsidRPr="00587444" w:rsidRDefault="00587444" w:rsidP="00880B90">
      <w:pPr>
        <w:numPr>
          <w:ilvl w:val="0"/>
          <w:numId w:val="25"/>
        </w:numPr>
        <w:tabs>
          <w:tab w:val="left" w:pos="-1843"/>
        </w:tabs>
        <w:autoSpaceDN/>
        <w:jc w:val="both"/>
        <w:rPr>
          <w:rFonts w:ascii="Arial" w:hAnsi="Arial" w:cs="Arial"/>
          <w:color w:val="000000"/>
          <w:spacing w:val="-3"/>
          <w:sz w:val="20"/>
          <w:szCs w:val="20"/>
          <w:lang w:val="en-GB"/>
        </w:rPr>
      </w:pPr>
      <w:r w:rsidRPr="00587444">
        <w:rPr>
          <w:rFonts w:ascii="Arial" w:hAnsi="Arial" w:cs="Arial"/>
          <w:color w:val="000000"/>
          <w:spacing w:val="-3"/>
          <w:sz w:val="20"/>
          <w:szCs w:val="20"/>
          <w:lang w:val="en-GB"/>
        </w:rPr>
        <w:t>HRK 312,972 thousand in respect of the Programme of Preferential Financing through HBOR’s Loan Programmes (31 December 2020: HRK 168,750 thousand),</w:t>
      </w:r>
    </w:p>
    <w:p w14:paraId="3CF387D6" w14:textId="77777777" w:rsidR="00587444" w:rsidRPr="00587444" w:rsidRDefault="00587444" w:rsidP="00880B90">
      <w:pPr>
        <w:numPr>
          <w:ilvl w:val="0"/>
          <w:numId w:val="25"/>
        </w:numPr>
        <w:autoSpaceDN/>
        <w:spacing w:after="160" w:line="259" w:lineRule="auto"/>
        <w:contextualSpacing/>
        <w:jc w:val="both"/>
        <w:rPr>
          <w:rFonts w:ascii="Arial" w:hAnsi="Arial" w:cs="Arial"/>
          <w:sz w:val="20"/>
          <w:szCs w:val="20"/>
        </w:rPr>
      </w:pPr>
      <w:bookmarkStart w:id="929" w:name="_Hlk65751696"/>
      <w:r w:rsidRPr="00587444">
        <w:rPr>
          <w:rFonts w:ascii="Arial" w:hAnsi="Arial" w:cs="Arial"/>
          <w:color w:val="000000"/>
          <w:spacing w:val="-3"/>
          <w:sz w:val="20"/>
          <w:szCs w:val="20"/>
          <w:lang w:val="en-GB"/>
        </w:rPr>
        <w:t>HRK 7 thousand in respect of the Programme W</w:t>
      </w:r>
      <w:proofErr w:type="spellStart"/>
      <w:r w:rsidRPr="00587444">
        <w:rPr>
          <w:rFonts w:ascii="Arial" w:hAnsi="Arial" w:cs="Arial"/>
          <w:color w:val="000000"/>
          <w:spacing w:val="-3"/>
          <w:sz w:val="20"/>
          <w:szCs w:val="20"/>
        </w:rPr>
        <w:t>orking</w:t>
      </w:r>
      <w:proofErr w:type="spellEnd"/>
      <w:r w:rsidRPr="00587444">
        <w:rPr>
          <w:rFonts w:ascii="Arial" w:hAnsi="Arial" w:cs="Arial"/>
          <w:color w:val="000000"/>
          <w:spacing w:val="-3"/>
          <w:sz w:val="20"/>
          <w:szCs w:val="20"/>
        </w:rPr>
        <w:t xml:space="preserve"> Capital COVID-19 Measure for SMEs in tourism industry for micro, small and medium-sized entrepreneurs, Ministry of Tourism and Sports (31 December 2021: HRK </w:t>
      </w:r>
      <w:r w:rsidRPr="00587444">
        <w:rPr>
          <w:rFonts w:ascii="Arial" w:hAnsi="Arial" w:cs="Arial"/>
          <w:color w:val="000000"/>
          <w:spacing w:val="-3"/>
          <w:sz w:val="20"/>
          <w:szCs w:val="20"/>
          <w:lang w:val="en-GB"/>
        </w:rPr>
        <w:t>3,468</w:t>
      </w:r>
      <w:r w:rsidRPr="00587444">
        <w:rPr>
          <w:rFonts w:ascii="Arial" w:hAnsi="Arial" w:cs="Arial"/>
          <w:color w:val="000000"/>
          <w:spacing w:val="-3"/>
          <w:sz w:val="20"/>
          <w:szCs w:val="20"/>
        </w:rPr>
        <w:t xml:space="preserve"> thousand),</w:t>
      </w:r>
    </w:p>
    <w:p w14:paraId="65AF0065" w14:textId="77777777" w:rsidR="00587444" w:rsidRPr="00587444" w:rsidRDefault="00587444" w:rsidP="00880B90">
      <w:pPr>
        <w:numPr>
          <w:ilvl w:val="0"/>
          <w:numId w:val="25"/>
        </w:numPr>
        <w:autoSpaceDN/>
        <w:ind w:left="714" w:hanging="357"/>
        <w:contextualSpacing/>
        <w:jc w:val="both"/>
        <w:rPr>
          <w:rFonts w:ascii="Arial" w:eastAsia="Calibri" w:hAnsi="Arial" w:cs="Arial"/>
          <w:sz w:val="20"/>
          <w:szCs w:val="20"/>
        </w:rPr>
      </w:pPr>
      <w:r w:rsidRPr="00587444">
        <w:rPr>
          <w:rFonts w:ascii="Arial" w:hAnsi="Arial" w:cs="Arial"/>
          <w:sz w:val="20"/>
          <w:szCs w:val="20"/>
        </w:rPr>
        <w:t xml:space="preserve">HRK 0 </w:t>
      </w:r>
      <w:r w:rsidRPr="00587444">
        <w:rPr>
          <w:rFonts w:ascii="Arial" w:hAnsi="Arial" w:cs="Arial"/>
          <w:sz w:val="20"/>
          <w:szCs w:val="20"/>
          <w:lang w:val="en-GB"/>
        </w:rPr>
        <w:t>thousand in respect of the</w:t>
      </w:r>
      <w:r w:rsidRPr="00587444">
        <w:rPr>
          <w:rFonts w:ascii="Arial" w:hAnsi="Arial" w:cs="Arial"/>
          <w:sz w:val="20"/>
          <w:szCs w:val="20"/>
        </w:rPr>
        <w:t xml:space="preserve"> </w:t>
      </w:r>
      <w:r w:rsidRPr="00587444">
        <w:rPr>
          <w:rFonts w:ascii="Arial" w:hAnsi="Arial" w:cs="Arial"/>
          <w:color w:val="000000"/>
          <w:spacing w:val="-3"/>
          <w:sz w:val="20"/>
          <w:szCs w:val="20"/>
          <w:lang w:val="en-GB"/>
        </w:rPr>
        <w:t>Programme</w:t>
      </w:r>
      <w:r w:rsidRPr="00587444">
        <w:rPr>
          <w:rFonts w:ascii="Arial" w:hAnsi="Arial" w:cs="Arial"/>
          <w:color w:val="000000"/>
          <w:spacing w:val="-3"/>
          <w:sz w:val="20"/>
          <w:szCs w:val="20"/>
        </w:rPr>
        <w:t xml:space="preserve"> Working Capital COVID-19 Measure for entrepreneurs in wood processing and furniture production industry, Ministry of Agriculture (31 December 2021: HRK </w:t>
      </w:r>
      <w:r w:rsidRPr="00587444">
        <w:rPr>
          <w:rFonts w:ascii="Arial" w:hAnsi="Arial" w:cs="Arial"/>
          <w:sz w:val="20"/>
          <w:szCs w:val="20"/>
        </w:rPr>
        <w:t>309</w:t>
      </w:r>
      <w:r w:rsidRPr="00587444">
        <w:rPr>
          <w:rFonts w:ascii="Arial" w:hAnsi="Arial" w:cs="Arial"/>
          <w:color w:val="000000"/>
          <w:spacing w:val="-3"/>
          <w:sz w:val="20"/>
          <w:szCs w:val="20"/>
        </w:rPr>
        <w:t xml:space="preserve"> thousand).</w:t>
      </w:r>
    </w:p>
    <w:p w14:paraId="05AF12DD" w14:textId="77777777" w:rsidR="00587444" w:rsidRPr="00587444" w:rsidRDefault="00587444" w:rsidP="00880B90">
      <w:pPr>
        <w:numPr>
          <w:ilvl w:val="0"/>
          <w:numId w:val="25"/>
        </w:numPr>
        <w:autoSpaceDN/>
        <w:contextualSpacing/>
        <w:jc w:val="both"/>
        <w:rPr>
          <w:rFonts w:ascii="Arial" w:hAnsi="Arial" w:cs="Arial"/>
          <w:spacing w:val="-3"/>
          <w:sz w:val="20"/>
          <w:szCs w:val="20"/>
          <w:lang w:val="en-GB"/>
        </w:rPr>
      </w:pPr>
      <w:r w:rsidRPr="00587444">
        <w:rPr>
          <w:rFonts w:ascii="Arial" w:hAnsi="Arial" w:cs="Arial"/>
          <w:spacing w:val="-3"/>
          <w:sz w:val="20"/>
          <w:szCs w:val="20"/>
          <w:lang w:val="en-GB"/>
        </w:rPr>
        <w:t>Subsidising of interest for the purchase of mobile homes for business entities in the tourism industry in the amount of HRK 0 thousand (31 December 2021: HRK 1,500 thousand),</w:t>
      </w:r>
    </w:p>
    <w:p w14:paraId="2873588A" w14:textId="77777777" w:rsidR="00587444" w:rsidRPr="00587444" w:rsidRDefault="00587444" w:rsidP="00880B90">
      <w:pPr>
        <w:numPr>
          <w:ilvl w:val="0"/>
          <w:numId w:val="25"/>
        </w:numPr>
        <w:autoSpaceDN/>
        <w:contextualSpacing/>
        <w:jc w:val="both"/>
        <w:rPr>
          <w:rFonts w:ascii="Arial" w:hAnsi="Arial" w:cs="Arial"/>
          <w:spacing w:val="-3"/>
          <w:sz w:val="20"/>
          <w:szCs w:val="20"/>
          <w:lang w:val="en-GB"/>
        </w:rPr>
      </w:pPr>
      <w:r w:rsidRPr="00587444">
        <w:rPr>
          <w:rFonts w:ascii="Arial" w:hAnsi="Arial" w:cs="Arial"/>
          <w:spacing w:val="-3"/>
          <w:sz w:val="20"/>
          <w:szCs w:val="20"/>
          <w:lang w:val="en-GB"/>
        </w:rPr>
        <w:t>Financial instrument of the Interest Subsidy Fund for loans to micro, small and medium-sized business entities in the amount of HRK 42,496 thousand (31 December 2021: HRK 0 thousand),</w:t>
      </w:r>
    </w:p>
    <w:p w14:paraId="6C187F12" w14:textId="77777777" w:rsidR="00587444" w:rsidRPr="00587444" w:rsidRDefault="00587444" w:rsidP="00880B90">
      <w:pPr>
        <w:numPr>
          <w:ilvl w:val="0"/>
          <w:numId w:val="25"/>
        </w:numPr>
        <w:autoSpaceDN/>
        <w:contextualSpacing/>
        <w:jc w:val="both"/>
        <w:rPr>
          <w:rFonts w:ascii="Arial" w:hAnsi="Arial" w:cs="Arial"/>
          <w:spacing w:val="-3"/>
          <w:sz w:val="20"/>
          <w:szCs w:val="20"/>
          <w:lang w:val="en-GB"/>
        </w:rPr>
      </w:pPr>
      <w:r w:rsidRPr="00587444">
        <w:rPr>
          <w:rFonts w:ascii="Arial" w:hAnsi="Arial" w:cs="Arial"/>
          <w:spacing w:val="-3"/>
          <w:sz w:val="20"/>
          <w:szCs w:val="20"/>
          <w:lang w:val="en-GB"/>
        </w:rPr>
        <w:t>Financial instrument of the Interest Subsidy Fund for loans to mid-cap entities and large business entities in the amount of HRK 46,407 thousand (31 December 2021: HRK 0 thousand),</w:t>
      </w:r>
    </w:p>
    <w:p w14:paraId="02CFC6AF" w14:textId="77777777" w:rsidR="00587444" w:rsidRPr="00587444" w:rsidRDefault="00587444" w:rsidP="00880B90">
      <w:pPr>
        <w:numPr>
          <w:ilvl w:val="0"/>
          <w:numId w:val="25"/>
        </w:numPr>
        <w:autoSpaceDN/>
        <w:contextualSpacing/>
        <w:jc w:val="both"/>
        <w:rPr>
          <w:rFonts w:ascii="Arial" w:hAnsi="Arial" w:cs="Arial"/>
          <w:spacing w:val="-3"/>
          <w:sz w:val="20"/>
          <w:szCs w:val="20"/>
          <w:lang w:val="en-GB"/>
        </w:rPr>
      </w:pPr>
      <w:r w:rsidRPr="00587444">
        <w:rPr>
          <w:rFonts w:ascii="Arial" w:hAnsi="Arial" w:cs="Arial"/>
          <w:spacing w:val="-3"/>
          <w:sz w:val="20"/>
          <w:szCs w:val="20"/>
          <w:lang w:val="en-GB"/>
        </w:rPr>
        <w:t>Financial instrument of the Interest Subsidy Fund for loans to public sector entities in the amount of HRK 46,407 thousand (31 December 2021: HRK 0 thousand).</w:t>
      </w:r>
      <w:bookmarkEnd w:id="929"/>
    </w:p>
    <w:p w14:paraId="7805E5D6" w14:textId="77777777" w:rsidR="00587444" w:rsidRPr="00587444" w:rsidRDefault="00587444" w:rsidP="00880B90">
      <w:pPr>
        <w:autoSpaceDN/>
        <w:ind w:left="720"/>
        <w:contextualSpacing/>
        <w:jc w:val="both"/>
        <w:rPr>
          <w:rFonts w:ascii="Arial" w:hAnsi="Arial" w:cs="Arial"/>
          <w:spacing w:val="-3"/>
          <w:sz w:val="20"/>
          <w:szCs w:val="20"/>
          <w:lang w:val="hr-HR"/>
        </w:rPr>
      </w:pPr>
    </w:p>
    <w:p w14:paraId="154F40C7" w14:textId="77777777" w:rsidR="00587444" w:rsidRPr="00587444" w:rsidRDefault="00587444" w:rsidP="00880B90">
      <w:pPr>
        <w:tabs>
          <w:tab w:val="left" w:pos="-1843"/>
        </w:tabs>
        <w:autoSpaceDN/>
        <w:jc w:val="both"/>
        <w:rPr>
          <w:rFonts w:ascii="Arial" w:hAnsi="Arial" w:cs="Arial"/>
          <w:spacing w:val="-3"/>
          <w:sz w:val="20"/>
          <w:szCs w:val="20"/>
          <w:lang w:val="en-GB"/>
        </w:rPr>
      </w:pPr>
      <w:r w:rsidRPr="00587444">
        <w:rPr>
          <w:rFonts w:ascii="Arial" w:hAnsi="Arial" w:cs="Arial"/>
          <w:color w:val="000000"/>
          <w:spacing w:val="-3"/>
          <w:sz w:val="20"/>
          <w:szCs w:val="20"/>
          <w:lang w:val="en-GB"/>
        </w:rPr>
        <w:t xml:space="preserve">(b) </w:t>
      </w:r>
      <w:r w:rsidRPr="00587444">
        <w:rPr>
          <w:rFonts w:ascii="Arial" w:hAnsi="Arial" w:cs="Arial"/>
          <w:noProof/>
          <w:spacing w:val="-3"/>
          <w:sz w:val="20"/>
          <w:szCs w:val="20"/>
          <w:lang w:val="en-GB" w:eastAsia="hr-HR"/>
        </w:rPr>
        <w:t>Deferred recognition of interest income of HRK 175,559 thousand (31 December 2021: HRK 186,159 thousand) consists of state subsidies for interest in respect of loans which are provided and drawn down by final borrowers at lower interest rates but are not yet in repayment stage, amounting to HRK 44,861 thousand (31 December 2021: HRK 58,042 thousand), and in respect of those already in repayment stage amounting to HRK 130,738 thousand (31 December 2021: HRK 128,117 thousand) (see Note 4.1. L. Government grants)</w:t>
      </w:r>
      <w:r w:rsidRPr="00587444">
        <w:rPr>
          <w:rFonts w:ascii="Arial" w:hAnsi="Arial" w:cs="Arial"/>
          <w:spacing w:val="-3"/>
          <w:sz w:val="20"/>
          <w:szCs w:val="20"/>
          <w:lang w:val="en-GB"/>
        </w:rPr>
        <w:t>.</w:t>
      </w:r>
    </w:p>
    <w:p w14:paraId="1C74CA6B" w14:textId="77777777" w:rsidR="00587444" w:rsidRPr="00587444" w:rsidRDefault="00587444" w:rsidP="00587444">
      <w:pPr>
        <w:suppressAutoHyphens w:val="0"/>
        <w:autoSpaceDN/>
        <w:jc w:val="both"/>
        <w:rPr>
          <w:rFonts w:ascii="Arial" w:hAnsi="Arial" w:cs="Arial"/>
          <w:sz w:val="20"/>
          <w:szCs w:val="20"/>
        </w:rPr>
      </w:pPr>
    </w:p>
    <w:p w14:paraId="7F8EEAC4" w14:textId="77777777" w:rsidR="00587444" w:rsidRPr="00587444" w:rsidRDefault="00587444" w:rsidP="00587444">
      <w:pPr>
        <w:tabs>
          <w:tab w:val="left" w:pos="-1843"/>
        </w:tabs>
        <w:autoSpaceDN/>
        <w:spacing w:before="120" w:line="300" w:lineRule="exact"/>
        <w:jc w:val="both"/>
        <w:rPr>
          <w:rFonts w:ascii="Arial" w:hAnsi="Arial" w:cs="Arial"/>
          <w:spacing w:val="-3"/>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28D16D05" w14:textId="77777777" w:rsidR="00587444" w:rsidRPr="00587444" w:rsidRDefault="00587444" w:rsidP="00587444">
      <w:pPr>
        <w:suppressAutoHyphens w:val="0"/>
        <w:autoSpaceDN/>
        <w:jc w:val="both"/>
        <w:rPr>
          <w:rFonts w:ascii="Arial" w:hAnsi="Arial" w:cs="Arial"/>
          <w:sz w:val="20"/>
          <w:szCs w:val="20"/>
          <w:lang w:val="en-GB"/>
        </w:rPr>
      </w:pPr>
    </w:p>
    <w:p w14:paraId="0550309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26.</w:t>
      </w:r>
      <w:r w:rsidRPr="00587444">
        <w:rPr>
          <w:rFonts w:ascii="Arial" w:hAnsi="Arial" w:cs="Arial"/>
          <w:b/>
          <w:bCs/>
          <w:sz w:val="20"/>
          <w:szCs w:val="20"/>
          <w:lang w:val="en-GB"/>
        </w:rPr>
        <w:tab/>
        <w:t xml:space="preserve">Founder's capital </w:t>
      </w:r>
    </w:p>
    <w:p w14:paraId="7063AC5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3AD6C5D8" w14:textId="77777777"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Under the HBOR Act, the prescribed founder's capital should amount to HRK 7,000,000 thousand, paid from the State Budget and from other sources as specified by separate laws.</w:t>
      </w:r>
    </w:p>
    <w:p w14:paraId="5C70B347" w14:textId="77777777" w:rsidR="00587444" w:rsidRPr="00587444" w:rsidRDefault="00587444" w:rsidP="00880B90">
      <w:pPr>
        <w:autoSpaceDN/>
        <w:jc w:val="both"/>
        <w:rPr>
          <w:rFonts w:ascii="Arial" w:hAnsi="Arial" w:cs="Arial"/>
          <w:sz w:val="20"/>
          <w:szCs w:val="20"/>
          <w:lang w:val="en-GB"/>
        </w:rPr>
      </w:pPr>
    </w:p>
    <w:p w14:paraId="6A9A9364" w14:textId="77777777"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 xml:space="preserve">The schedule of annual amounts of payment and the time schedule of payments out of the State Budget into the capital are not set in </w:t>
      </w:r>
      <w:proofErr w:type="gramStart"/>
      <w:r w:rsidRPr="00587444">
        <w:rPr>
          <w:rFonts w:ascii="Arial" w:hAnsi="Arial" w:cs="Arial"/>
          <w:sz w:val="20"/>
          <w:szCs w:val="20"/>
          <w:lang w:val="en-GB"/>
        </w:rPr>
        <w:t>advance, but</w:t>
      </w:r>
      <w:proofErr w:type="gramEnd"/>
      <w:r w:rsidRPr="00587444">
        <w:rPr>
          <w:rFonts w:ascii="Arial" w:hAnsi="Arial" w:cs="Arial"/>
          <w:sz w:val="20"/>
          <w:szCs w:val="20"/>
          <w:lang w:val="en-GB"/>
        </w:rPr>
        <w:t xml:space="preserve"> are determined by the Croatian Parliament as part of the process of adoption of the State Budget of the Republic of Croatia.</w:t>
      </w:r>
    </w:p>
    <w:p w14:paraId="4715530C" w14:textId="77777777" w:rsidR="00587444" w:rsidRPr="00587444" w:rsidRDefault="00587444" w:rsidP="00880B90">
      <w:pPr>
        <w:autoSpaceDN/>
        <w:jc w:val="both"/>
        <w:rPr>
          <w:rFonts w:ascii="Arial" w:hAnsi="Arial" w:cs="Arial"/>
          <w:sz w:val="20"/>
          <w:szCs w:val="20"/>
          <w:lang w:val="en-GB"/>
        </w:rPr>
      </w:pPr>
    </w:p>
    <w:p w14:paraId="181FC688" w14:textId="77777777"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Within its Accounting policies, the Group has set out its objectives of capital management, category of capital managed by the Bank as well as measuring and assessing the policies for capital management. Capital management is described and presented in Note 34.</w:t>
      </w:r>
    </w:p>
    <w:p w14:paraId="16101AB6" w14:textId="77777777" w:rsidR="00587444" w:rsidRPr="00587444" w:rsidRDefault="00587444" w:rsidP="00880B90">
      <w:pPr>
        <w:autoSpaceDN/>
        <w:jc w:val="both"/>
        <w:rPr>
          <w:rFonts w:ascii="Arial" w:hAnsi="Arial" w:cs="Arial"/>
          <w:sz w:val="20"/>
          <w:szCs w:val="20"/>
          <w:lang w:val="en-GB"/>
        </w:rPr>
      </w:pPr>
    </w:p>
    <w:p w14:paraId="02DD80A7" w14:textId="77777777"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 xml:space="preserve">Founder's capital of the subsidiary </w:t>
      </w:r>
      <w:r w:rsidRPr="00587444">
        <w:rPr>
          <w:rFonts w:ascii="Arial" w:hAnsi="Arial" w:cs="Arial"/>
          <w:sz w:val="20"/>
          <w:szCs w:val="20"/>
          <w:lang w:val="hr-HR"/>
        </w:rPr>
        <w:t>Hrvatsko kreditno osiguranje d.d.</w:t>
      </w:r>
      <w:r w:rsidRPr="00587444">
        <w:rPr>
          <w:rFonts w:ascii="Arial" w:hAnsi="Arial" w:cs="Arial"/>
          <w:sz w:val="20"/>
          <w:szCs w:val="20"/>
          <w:lang w:val="en-GB"/>
        </w:rPr>
        <w:t xml:space="preserve"> amounts to HRK 57,500 thousand and is 100% owned by the Bank, and the founder’s capital of the company </w:t>
      </w:r>
      <w:r w:rsidRPr="00587444">
        <w:rPr>
          <w:rFonts w:ascii="Arial" w:hAnsi="Arial" w:cs="Arial"/>
          <w:sz w:val="20"/>
          <w:szCs w:val="20"/>
          <w:lang w:val="hr-HR"/>
        </w:rPr>
        <w:t>Poslovni info servis d.o.o.</w:t>
      </w:r>
      <w:r w:rsidRPr="00587444">
        <w:rPr>
          <w:rFonts w:ascii="Arial" w:hAnsi="Arial" w:cs="Arial"/>
          <w:sz w:val="20"/>
          <w:szCs w:val="20"/>
          <w:lang w:val="en-GB"/>
        </w:rPr>
        <w:t xml:space="preserve"> amounts to HRK 300 thousand and is 100% owned by </w:t>
      </w:r>
      <w:r w:rsidRPr="00587444">
        <w:rPr>
          <w:rFonts w:ascii="Arial" w:hAnsi="Arial" w:cs="Arial"/>
          <w:sz w:val="20"/>
          <w:szCs w:val="20"/>
          <w:lang w:val="hr-HR"/>
        </w:rPr>
        <w:t xml:space="preserve">Hrvatsko kreditno osiguranje </w:t>
      </w:r>
      <w:proofErr w:type="gramStart"/>
      <w:r w:rsidRPr="00587444">
        <w:rPr>
          <w:rFonts w:ascii="Arial" w:hAnsi="Arial" w:cs="Arial"/>
          <w:sz w:val="20"/>
          <w:szCs w:val="20"/>
          <w:lang w:val="hr-HR"/>
        </w:rPr>
        <w:t>d.d..</w:t>
      </w:r>
      <w:proofErr w:type="gramEnd"/>
      <w:r w:rsidRPr="00587444">
        <w:rPr>
          <w:rFonts w:ascii="Arial" w:hAnsi="Arial" w:cs="Arial"/>
          <w:sz w:val="20"/>
          <w:szCs w:val="20"/>
          <w:lang w:val="en-GB"/>
        </w:rPr>
        <w:t xml:space="preserve"> The capital of both companies is subscribed and paid in full.</w:t>
      </w:r>
    </w:p>
    <w:p w14:paraId="069D338E" w14:textId="77777777" w:rsidR="00587444" w:rsidRPr="00587444" w:rsidRDefault="00587444" w:rsidP="00880B90">
      <w:pPr>
        <w:keepNext/>
        <w:tabs>
          <w:tab w:val="left" w:pos="567"/>
        </w:tabs>
        <w:autoSpaceDN/>
        <w:jc w:val="both"/>
        <w:rPr>
          <w:rFonts w:ascii="Arial" w:hAnsi="Arial" w:cs="Arial"/>
          <w:b/>
          <w:bCs/>
          <w:sz w:val="20"/>
          <w:szCs w:val="20"/>
          <w:lang w:val="en-GB"/>
        </w:rPr>
      </w:pPr>
    </w:p>
    <w:p w14:paraId="57CF7A7F" w14:textId="77777777" w:rsidR="00587444" w:rsidRPr="00587444" w:rsidRDefault="00587444" w:rsidP="00880B90">
      <w:pPr>
        <w:autoSpaceDN/>
        <w:jc w:val="both"/>
        <w:rPr>
          <w:rFonts w:ascii="Arial" w:hAnsi="Arial" w:cs="Arial"/>
          <w:color w:val="000000"/>
          <w:sz w:val="20"/>
          <w:szCs w:val="20"/>
          <w:lang w:val="en-GB"/>
        </w:rPr>
      </w:pPr>
      <w:r w:rsidRPr="00587444">
        <w:rPr>
          <w:rFonts w:ascii="Arial" w:hAnsi="Arial" w:cs="Arial"/>
          <w:color w:val="000000"/>
          <w:sz w:val="20"/>
          <w:szCs w:val="20"/>
          <w:lang w:val="en-GB"/>
        </w:rPr>
        <w:t xml:space="preserve">By the decision of the Supervisory Board of HBOR made on 7th meeting held on 27 </w:t>
      </w:r>
      <w:proofErr w:type="gramStart"/>
      <w:r w:rsidRPr="00587444">
        <w:rPr>
          <w:rFonts w:ascii="Arial" w:hAnsi="Arial" w:cs="Arial"/>
          <w:color w:val="000000"/>
          <w:sz w:val="20"/>
          <w:szCs w:val="20"/>
          <w:lang w:val="en-GB"/>
        </w:rPr>
        <w:t>September,</w:t>
      </w:r>
      <w:proofErr w:type="gramEnd"/>
      <w:r w:rsidRPr="00587444">
        <w:rPr>
          <w:rFonts w:ascii="Arial" w:hAnsi="Arial" w:cs="Arial"/>
          <w:color w:val="000000"/>
          <w:sz w:val="20"/>
          <w:szCs w:val="20"/>
          <w:lang w:val="en-GB"/>
        </w:rPr>
        <w:t xml:space="preserve"> 2022, on the payment in cash of new ordinary shares of the company </w:t>
      </w:r>
      <w:proofErr w:type="spellStart"/>
      <w:r w:rsidRPr="00587444">
        <w:rPr>
          <w:rFonts w:ascii="Arial" w:hAnsi="Arial" w:cs="Arial"/>
          <w:color w:val="000000"/>
          <w:sz w:val="20"/>
          <w:szCs w:val="20"/>
          <w:lang w:val="en-GB"/>
        </w:rPr>
        <w:t>Hrvatsko</w:t>
      </w:r>
      <w:proofErr w:type="spellEnd"/>
      <w:r w:rsidRPr="00587444">
        <w:rPr>
          <w:rFonts w:ascii="Arial" w:hAnsi="Arial" w:cs="Arial"/>
          <w:color w:val="000000"/>
          <w:sz w:val="20"/>
          <w:szCs w:val="20"/>
          <w:lang w:val="en-GB"/>
        </w:rPr>
        <w:t xml:space="preserve"> </w:t>
      </w:r>
      <w:proofErr w:type="spellStart"/>
      <w:r w:rsidRPr="00587444">
        <w:rPr>
          <w:rFonts w:ascii="Arial" w:hAnsi="Arial" w:cs="Arial"/>
          <w:color w:val="000000"/>
          <w:sz w:val="20"/>
          <w:szCs w:val="20"/>
          <w:lang w:val="en-GB"/>
        </w:rPr>
        <w:t>kreditno</w:t>
      </w:r>
      <w:proofErr w:type="spellEnd"/>
      <w:r w:rsidRPr="00587444">
        <w:rPr>
          <w:rFonts w:ascii="Arial" w:hAnsi="Arial" w:cs="Arial"/>
          <w:color w:val="000000"/>
          <w:sz w:val="20"/>
          <w:szCs w:val="20"/>
          <w:lang w:val="en-GB"/>
        </w:rPr>
        <w:t xml:space="preserve"> </w:t>
      </w:r>
      <w:proofErr w:type="spellStart"/>
      <w:r w:rsidRPr="00587444">
        <w:rPr>
          <w:rFonts w:ascii="Arial" w:hAnsi="Arial" w:cs="Arial"/>
          <w:color w:val="000000"/>
          <w:sz w:val="20"/>
          <w:szCs w:val="20"/>
          <w:lang w:val="en-GB"/>
        </w:rPr>
        <w:t>osiguranje</w:t>
      </w:r>
      <w:proofErr w:type="spellEnd"/>
      <w:r w:rsidRPr="00587444">
        <w:rPr>
          <w:rFonts w:ascii="Arial" w:hAnsi="Arial" w:cs="Arial"/>
          <w:color w:val="000000"/>
          <w:sz w:val="20"/>
          <w:szCs w:val="20"/>
          <w:lang w:val="en-GB"/>
        </w:rPr>
        <w:t xml:space="preserve"> </w:t>
      </w:r>
      <w:proofErr w:type="spellStart"/>
      <w:r w:rsidRPr="00587444">
        <w:rPr>
          <w:rFonts w:ascii="Arial" w:hAnsi="Arial" w:cs="Arial"/>
          <w:color w:val="000000"/>
          <w:sz w:val="20"/>
          <w:szCs w:val="20"/>
          <w:lang w:val="en-GB"/>
        </w:rPr>
        <w:t>d.d.</w:t>
      </w:r>
      <w:proofErr w:type="spellEnd"/>
      <w:r w:rsidRPr="00587444">
        <w:rPr>
          <w:rFonts w:ascii="Arial" w:hAnsi="Arial" w:cs="Arial"/>
          <w:color w:val="000000"/>
          <w:sz w:val="20"/>
          <w:szCs w:val="20"/>
          <w:lang w:val="en-GB"/>
        </w:rPr>
        <w:t>, Zagreb by HBOR and on the vote to increase the equity capital of that company at the General Assembly of HKO, the equity capital of the subsidiary company was increased from HRK 37,500 thousand to HRK 57,500 thousand.</w:t>
      </w:r>
    </w:p>
    <w:p w14:paraId="4D9B358A" w14:textId="77777777" w:rsidR="00587444" w:rsidRPr="00587444" w:rsidRDefault="00587444" w:rsidP="00880B90">
      <w:pPr>
        <w:autoSpaceDN/>
        <w:jc w:val="both"/>
        <w:rPr>
          <w:rFonts w:ascii="Arial" w:hAnsi="Arial" w:cs="Arial"/>
          <w:color w:val="000000"/>
          <w:sz w:val="20"/>
          <w:szCs w:val="20"/>
          <w:highlight w:val="yellow"/>
          <w:lang w:val="en-GB"/>
        </w:rPr>
      </w:pPr>
    </w:p>
    <w:p w14:paraId="5661D0C3" w14:textId="77777777" w:rsidR="00587444" w:rsidRPr="00587444" w:rsidRDefault="00587444" w:rsidP="00880B90">
      <w:pPr>
        <w:keepNext/>
        <w:tabs>
          <w:tab w:val="left" w:pos="567"/>
        </w:tabs>
        <w:autoSpaceDN/>
        <w:jc w:val="both"/>
        <w:rPr>
          <w:rFonts w:ascii="Arial" w:hAnsi="Arial" w:cs="Arial"/>
          <w:b/>
          <w:bCs/>
          <w:sz w:val="20"/>
          <w:szCs w:val="20"/>
          <w:lang w:val="en-GB"/>
        </w:rPr>
      </w:pPr>
      <w:r w:rsidRPr="00587444">
        <w:rPr>
          <w:rFonts w:ascii="Arial" w:hAnsi="Arial" w:cs="Arial"/>
          <w:color w:val="000000"/>
          <w:sz w:val="20"/>
          <w:szCs w:val="20"/>
          <w:lang w:val="en-GB"/>
        </w:rPr>
        <w:t>The General Assembly of HKO took place on 29 September 2022, when a Decision was made to increase the founder’s capital of the company by HRK 20,000 thousand to be paid-in by HBOR on 4 October 2022. On 13 October 2022, the Commercial Court in Zagreb issued a Resolution on the Amendments to the Statutes and the Increase in the Founder’s Capital of the HKO Company.</w:t>
      </w:r>
    </w:p>
    <w:p w14:paraId="0192BCA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55D320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27.</w:t>
      </w:r>
      <w:r w:rsidRPr="00587444">
        <w:rPr>
          <w:rFonts w:ascii="Arial" w:hAnsi="Arial" w:cs="Arial"/>
          <w:b/>
          <w:bCs/>
          <w:sz w:val="20"/>
          <w:szCs w:val="20"/>
          <w:lang w:val="en-GB"/>
        </w:rPr>
        <w:tab/>
        <w:t>Guarantee fund</w:t>
      </w:r>
    </w:p>
    <w:p w14:paraId="1354458E" w14:textId="77777777" w:rsidR="00587444" w:rsidRPr="00587444" w:rsidRDefault="00587444" w:rsidP="00587444">
      <w:pPr>
        <w:keepNext/>
        <w:tabs>
          <w:tab w:val="left" w:pos="567"/>
        </w:tabs>
        <w:suppressAutoHyphens w:val="0"/>
        <w:autoSpaceDN/>
        <w:ind w:left="570"/>
        <w:jc w:val="both"/>
        <w:rPr>
          <w:rFonts w:ascii="Arial" w:hAnsi="Arial" w:cs="Arial"/>
          <w:b/>
          <w:bCs/>
          <w:sz w:val="20"/>
          <w:szCs w:val="20"/>
          <w:lang w:val="en-GB"/>
        </w:rPr>
      </w:pPr>
    </w:p>
    <w:tbl>
      <w:tblPr>
        <w:tblW w:w="5000" w:type="pct"/>
        <w:tblLook w:val="0000" w:firstRow="0" w:lastRow="0" w:firstColumn="0" w:lastColumn="0" w:noHBand="0" w:noVBand="0"/>
      </w:tblPr>
      <w:tblGrid>
        <w:gridCol w:w="8267"/>
        <w:gridCol w:w="1304"/>
      </w:tblGrid>
      <w:tr w:rsidR="00587444" w:rsidRPr="00587444" w14:paraId="3AD0BBCA" w14:textId="77777777" w:rsidTr="00DD69E7">
        <w:trPr>
          <w:trHeight w:val="318"/>
        </w:trPr>
        <w:tc>
          <w:tcPr>
            <w:tcW w:w="4319" w:type="pct"/>
            <w:vAlign w:val="bottom"/>
          </w:tcPr>
          <w:p w14:paraId="22FD1AE6" w14:textId="77777777" w:rsidR="00587444" w:rsidRPr="00587444" w:rsidRDefault="00587444" w:rsidP="00587444">
            <w:pPr>
              <w:tabs>
                <w:tab w:val="right" w:pos="1202"/>
              </w:tabs>
              <w:suppressAutoHyphens w:val="0"/>
              <w:autoSpaceDN/>
              <w:spacing w:line="260" w:lineRule="exact"/>
              <w:outlineLvl w:val="0"/>
              <w:rPr>
                <w:rFonts w:ascii="Arial" w:hAnsi="Arial" w:cs="Arial"/>
                <w:b/>
                <w:sz w:val="20"/>
                <w:szCs w:val="20"/>
                <w:lang w:val="en-GB"/>
              </w:rPr>
            </w:pPr>
            <w:r w:rsidRPr="00587444">
              <w:rPr>
                <w:rFonts w:ascii="Arial" w:hAnsi="Arial" w:cs="Arial"/>
                <w:b/>
                <w:sz w:val="20"/>
                <w:szCs w:val="20"/>
                <w:lang w:val="en-GB"/>
              </w:rPr>
              <w:t>Group and Bank</w:t>
            </w:r>
          </w:p>
        </w:tc>
        <w:tc>
          <w:tcPr>
            <w:tcW w:w="681" w:type="pct"/>
            <w:vAlign w:val="bottom"/>
          </w:tcPr>
          <w:p w14:paraId="62FDB9E0" w14:textId="77777777" w:rsidR="00587444" w:rsidRPr="00587444" w:rsidRDefault="00587444" w:rsidP="00587444">
            <w:pPr>
              <w:suppressAutoHyphens w:val="0"/>
              <w:autoSpaceDN/>
              <w:spacing w:line="301" w:lineRule="exact"/>
              <w:jc w:val="right"/>
              <w:outlineLvl w:val="0"/>
              <w:rPr>
                <w:rFonts w:ascii="Arial" w:hAnsi="Arial" w:cs="Arial"/>
                <w:b/>
                <w:sz w:val="20"/>
                <w:szCs w:val="20"/>
                <w:lang w:val="en-GB"/>
              </w:rPr>
            </w:pPr>
            <w:r w:rsidRPr="00587444">
              <w:rPr>
                <w:rFonts w:ascii="Arial" w:hAnsi="Arial" w:cs="Arial"/>
                <w:b/>
                <w:sz w:val="20"/>
                <w:szCs w:val="20"/>
                <w:lang w:val="en-GB"/>
              </w:rPr>
              <w:t>HRK '000</w:t>
            </w:r>
          </w:p>
        </w:tc>
      </w:tr>
      <w:tr w:rsidR="00587444" w:rsidRPr="00587444" w14:paraId="58739F5E" w14:textId="77777777" w:rsidTr="00DD69E7">
        <w:trPr>
          <w:trHeight w:val="183"/>
        </w:trPr>
        <w:tc>
          <w:tcPr>
            <w:tcW w:w="4319" w:type="pct"/>
            <w:vAlign w:val="bottom"/>
          </w:tcPr>
          <w:p w14:paraId="74C1000F" w14:textId="77777777" w:rsidR="00587444" w:rsidRPr="00587444" w:rsidRDefault="00587444" w:rsidP="00587444">
            <w:pPr>
              <w:tabs>
                <w:tab w:val="right" w:pos="1202"/>
              </w:tabs>
              <w:suppressAutoHyphens w:val="0"/>
              <w:autoSpaceDN/>
              <w:spacing w:line="140" w:lineRule="exact"/>
              <w:outlineLvl w:val="0"/>
              <w:rPr>
                <w:rFonts w:ascii="Arial" w:hAnsi="Arial" w:cs="Arial"/>
                <w:b/>
                <w:sz w:val="20"/>
                <w:szCs w:val="20"/>
                <w:lang w:val="en-GB"/>
              </w:rPr>
            </w:pPr>
          </w:p>
        </w:tc>
        <w:tc>
          <w:tcPr>
            <w:tcW w:w="681" w:type="pct"/>
            <w:vAlign w:val="bottom"/>
          </w:tcPr>
          <w:p w14:paraId="2B2C2AD3" w14:textId="77777777" w:rsidR="00587444" w:rsidRPr="00587444" w:rsidRDefault="00587444" w:rsidP="00587444">
            <w:pPr>
              <w:suppressAutoHyphens w:val="0"/>
              <w:autoSpaceDN/>
              <w:spacing w:line="140" w:lineRule="exact"/>
              <w:jc w:val="right"/>
              <w:outlineLvl w:val="0"/>
              <w:rPr>
                <w:rFonts w:ascii="Arial" w:hAnsi="Arial" w:cs="Arial"/>
                <w:b/>
                <w:sz w:val="20"/>
                <w:szCs w:val="20"/>
                <w:lang w:val="en-GB"/>
              </w:rPr>
            </w:pPr>
          </w:p>
        </w:tc>
      </w:tr>
      <w:tr w:rsidR="00587444" w:rsidRPr="00587444" w14:paraId="6E12E6A8" w14:textId="77777777" w:rsidTr="00DD69E7">
        <w:trPr>
          <w:trHeight w:val="326"/>
        </w:trPr>
        <w:tc>
          <w:tcPr>
            <w:tcW w:w="4319" w:type="pct"/>
            <w:vAlign w:val="bottom"/>
          </w:tcPr>
          <w:p w14:paraId="66B5B442" w14:textId="77777777" w:rsidR="00587444" w:rsidRPr="00587444" w:rsidRDefault="00587444" w:rsidP="00587444">
            <w:pPr>
              <w:tabs>
                <w:tab w:val="right" w:pos="1202"/>
              </w:tabs>
              <w:suppressAutoHyphens w:val="0"/>
              <w:autoSpaceDN/>
              <w:spacing w:line="260" w:lineRule="exact"/>
              <w:outlineLvl w:val="0"/>
              <w:rPr>
                <w:rFonts w:ascii="Arial" w:hAnsi="Arial" w:cs="Arial"/>
                <w:b/>
                <w:iCs/>
                <w:sz w:val="20"/>
                <w:szCs w:val="20"/>
                <w:lang w:val="en-GB"/>
              </w:rPr>
            </w:pPr>
            <w:r w:rsidRPr="00587444">
              <w:rPr>
                <w:rFonts w:ascii="Arial" w:hAnsi="Arial" w:cs="Arial"/>
                <w:b/>
                <w:iCs/>
                <w:sz w:val="20"/>
                <w:szCs w:val="20"/>
                <w:lang w:val="en-GB"/>
              </w:rPr>
              <w:t>Balance as of 1 January 2021</w:t>
            </w:r>
          </w:p>
        </w:tc>
        <w:tc>
          <w:tcPr>
            <w:tcW w:w="681" w:type="pct"/>
            <w:tcBorders>
              <w:top w:val="single" w:sz="4" w:space="0" w:color="auto"/>
              <w:bottom w:val="single" w:sz="12" w:space="0" w:color="auto"/>
            </w:tcBorders>
            <w:vAlign w:val="bottom"/>
          </w:tcPr>
          <w:p w14:paraId="63D14362" w14:textId="77777777" w:rsidR="00587444" w:rsidRPr="00587444" w:rsidRDefault="00587444" w:rsidP="00587444">
            <w:pPr>
              <w:suppressAutoHyphens w:val="0"/>
              <w:autoSpaceDN/>
              <w:spacing w:line="301" w:lineRule="exact"/>
              <w:jc w:val="right"/>
              <w:outlineLvl w:val="0"/>
              <w:rPr>
                <w:rFonts w:ascii="Arial" w:hAnsi="Arial" w:cs="Arial"/>
                <w:b/>
                <w:iCs/>
                <w:sz w:val="20"/>
                <w:szCs w:val="20"/>
                <w:lang w:val="en-GB"/>
              </w:rPr>
            </w:pPr>
            <w:r w:rsidRPr="00587444">
              <w:rPr>
                <w:rFonts w:ascii="Arial" w:hAnsi="Arial" w:cs="Arial"/>
                <w:b/>
                <w:bCs/>
                <w:sz w:val="20"/>
                <w:szCs w:val="20"/>
                <w:lang w:val="en-GB"/>
              </w:rPr>
              <w:t>12,341</w:t>
            </w:r>
          </w:p>
        </w:tc>
      </w:tr>
      <w:tr w:rsidR="00587444" w:rsidRPr="00587444" w14:paraId="16C7C683" w14:textId="77777777" w:rsidTr="00DD69E7">
        <w:trPr>
          <w:trHeight w:val="326"/>
        </w:trPr>
        <w:tc>
          <w:tcPr>
            <w:tcW w:w="4319" w:type="pct"/>
            <w:vAlign w:val="bottom"/>
          </w:tcPr>
          <w:p w14:paraId="6627B5FD" w14:textId="77777777" w:rsidR="00587444" w:rsidRPr="00587444" w:rsidRDefault="00587444" w:rsidP="00587444">
            <w:pPr>
              <w:tabs>
                <w:tab w:val="right" w:pos="1202"/>
              </w:tabs>
              <w:suppressAutoHyphens w:val="0"/>
              <w:autoSpaceDN/>
              <w:spacing w:line="260" w:lineRule="exact"/>
              <w:outlineLvl w:val="0"/>
              <w:rPr>
                <w:rFonts w:ascii="Arial" w:hAnsi="Arial" w:cs="Arial"/>
                <w:b/>
                <w:bCs/>
                <w:sz w:val="20"/>
                <w:szCs w:val="20"/>
                <w:lang w:val="en-GB"/>
              </w:rPr>
            </w:pPr>
            <w:r w:rsidRPr="00587444">
              <w:rPr>
                <w:rFonts w:ascii="Arial" w:hAnsi="Arial" w:cs="Arial"/>
                <w:iCs/>
                <w:sz w:val="20"/>
                <w:szCs w:val="20"/>
                <w:lang w:val="en-GB"/>
              </w:rPr>
              <w:t>Net foreign exchange</w:t>
            </w:r>
          </w:p>
        </w:tc>
        <w:tc>
          <w:tcPr>
            <w:tcW w:w="681" w:type="pct"/>
            <w:tcBorders>
              <w:top w:val="single" w:sz="12" w:space="0" w:color="auto"/>
            </w:tcBorders>
            <w:vAlign w:val="bottom"/>
          </w:tcPr>
          <w:p w14:paraId="1C7D8799" w14:textId="77777777" w:rsidR="00587444" w:rsidRPr="00587444" w:rsidRDefault="00587444" w:rsidP="00587444">
            <w:pPr>
              <w:keepNext/>
              <w:keepLines/>
              <w:suppressAutoHyphens w:val="0"/>
              <w:autoSpaceDN/>
              <w:spacing w:line="260" w:lineRule="exact"/>
              <w:jc w:val="right"/>
              <w:rPr>
                <w:rFonts w:ascii="Arial" w:hAnsi="Arial" w:cs="Arial"/>
                <w:iCs/>
                <w:position w:val="4"/>
                <w:sz w:val="20"/>
                <w:szCs w:val="20"/>
                <w:lang w:val="hr-HR"/>
              </w:rPr>
            </w:pPr>
            <w:r w:rsidRPr="00587444">
              <w:rPr>
                <w:rFonts w:ascii="Arial" w:hAnsi="Arial" w:cs="Arial"/>
                <w:iCs/>
                <w:position w:val="4"/>
                <w:sz w:val="20"/>
                <w:szCs w:val="20"/>
                <w:lang w:val="hr-HR"/>
              </w:rPr>
              <w:t>(32)</w:t>
            </w:r>
          </w:p>
        </w:tc>
      </w:tr>
      <w:tr w:rsidR="00587444" w:rsidRPr="00587444" w14:paraId="5716E778" w14:textId="77777777" w:rsidTr="00DD69E7">
        <w:trPr>
          <w:trHeight w:val="326"/>
        </w:trPr>
        <w:tc>
          <w:tcPr>
            <w:tcW w:w="4319" w:type="pct"/>
            <w:vAlign w:val="bottom"/>
          </w:tcPr>
          <w:p w14:paraId="09173F79" w14:textId="77777777" w:rsidR="00587444" w:rsidRPr="00587444" w:rsidRDefault="00587444" w:rsidP="00587444">
            <w:pPr>
              <w:tabs>
                <w:tab w:val="right" w:pos="1202"/>
              </w:tabs>
              <w:suppressAutoHyphens w:val="0"/>
              <w:autoSpaceDN/>
              <w:spacing w:line="260" w:lineRule="exact"/>
              <w:outlineLvl w:val="0"/>
              <w:rPr>
                <w:rFonts w:ascii="Arial" w:hAnsi="Arial" w:cs="Arial"/>
                <w:iCs/>
                <w:sz w:val="20"/>
                <w:szCs w:val="20"/>
                <w:lang w:val="en-GB"/>
              </w:rPr>
            </w:pPr>
            <w:r w:rsidRPr="00587444">
              <w:rPr>
                <w:rFonts w:ascii="Arial" w:hAnsi="Arial" w:cs="Arial"/>
                <w:b/>
                <w:iCs/>
                <w:sz w:val="20"/>
                <w:szCs w:val="20"/>
                <w:lang w:val="en-GB"/>
              </w:rPr>
              <w:t>Balance as of 31 December 2021</w:t>
            </w:r>
          </w:p>
        </w:tc>
        <w:tc>
          <w:tcPr>
            <w:tcW w:w="681" w:type="pct"/>
            <w:tcBorders>
              <w:top w:val="single" w:sz="4" w:space="0" w:color="auto"/>
              <w:bottom w:val="single" w:sz="12" w:space="0" w:color="auto"/>
            </w:tcBorders>
            <w:vAlign w:val="bottom"/>
          </w:tcPr>
          <w:p w14:paraId="5BEABB0E" w14:textId="77777777" w:rsidR="00587444" w:rsidRPr="00587444" w:rsidRDefault="00587444" w:rsidP="00587444">
            <w:pPr>
              <w:suppressAutoHyphens w:val="0"/>
              <w:autoSpaceDN/>
              <w:spacing w:line="260" w:lineRule="exact"/>
              <w:jc w:val="right"/>
              <w:outlineLvl w:val="0"/>
              <w:rPr>
                <w:rFonts w:ascii="Arial" w:hAnsi="Arial" w:cs="Arial"/>
                <w:b/>
                <w:bCs/>
                <w:sz w:val="20"/>
                <w:szCs w:val="20"/>
                <w:lang w:val="en-GB"/>
              </w:rPr>
            </w:pPr>
            <w:r w:rsidRPr="00587444">
              <w:rPr>
                <w:rFonts w:ascii="Arial" w:hAnsi="Arial" w:cs="Arial"/>
                <w:b/>
                <w:bCs/>
                <w:sz w:val="20"/>
                <w:szCs w:val="20"/>
                <w:lang w:val="en-GB"/>
              </w:rPr>
              <w:t>12,309</w:t>
            </w:r>
          </w:p>
        </w:tc>
      </w:tr>
      <w:tr w:rsidR="00587444" w:rsidRPr="00587444" w14:paraId="3086FC3C" w14:textId="77777777" w:rsidTr="00DD69E7">
        <w:trPr>
          <w:trHeight w:val="326"/>
        </w:trPr>
        <w:tc>
          <w:tcPr>
            <w:tcW w:w="4319" w:type="pct"/>
            <w:vAlign w:val="bottom"/>
          </w:tcPr>
          <w:p w14:paraId="24BAC934" w14:textId="77777777" w:rsidR="00587444" w:rsidRPr="00587444" w:rsidRDefault="00587444" w:rsidP="00587444">
            <w:pPr>
              <w:keepNext/>
              <w:keepLines/>
              <w:suppressAutoHyphens w:val="0"/>
              <w:autoSpaceDN/>
              <w:spacing w:line="260" w:lineRule="exact"/>
              <w:rPr>
                <w:rFonts w:ascii="Arial" w:hAnsi="Arial" w:cs="Arial"/>
                <w:iCs/>
                <w:position w:val="4"/>
                <w:sz w:val="20"/>
                <w:szCs w:val="20"/>
                <w:lang w:val="en-GB"/>
              </w:rPr>
            </w:pPr>
            <w:r w:rsidRPr="00587444">
              <w:rPr>
                <w:rFonts w:ascii="Arial" w:hAnsi="Arial" w:cs="Arial"/>
                <w:iCs/>
                <w:position w:val="4"/>
                <w:sz w:val="20"/>
                <w:szCs w:val="20"/>
                <w:lang w:val="en-GB"/>
              </w:rPr>
              <w:t>Net foreign exchange</w:t>
            </w:r>
          </w:p>
        </w:tc>
        <w:tc>
          <w:tcPr>
            <w:tcW w:w="681" w:type="pct"/>
            <w:tcBorders>
              <w:top w:val="single" w:sz="12" w:space="0" w:color="auto"/>
            </w:tcBorders>
            <w:vAlign w:val="bottom"/>
          </w:tcPr>
          <w:p w14:paraId="2CC584DE" w14:textId="77777777" w:rsidR="00587444" w:rsidRPr="00587444" w:rsidRDefault="00587444" w:rsidP="00587444">
            <w:pPr>
              <w:keepNext/>
              <w:keepLines/>
              <w:suppressAutoHyphens w:val="0"/>
              <w:autoSpaceDN/>
              <w:spacing w:line="260" w:lineRule="exact"/>
              <w:jc w:val="right"/>
              <w:rPr>
                <w:rFonts w:ascii="Arial" w:hAnsi="Arial" w:cs="Arial"/>
                <w:iCs/>
                <w:position w:val="4"/>
                <w:sz w:val="20"/>
                <w:szCs w:val="20"/>
                <w:lang w:val="hr-HR"/>
              </w:rPr>
            </w:pPr>
            <w:r w:rsidRPr="00587444">
              <w:rPr>
                <w:rFonts w:ascii="Arial" w:hAnsi="Arial" w:cs="Arial"/>
                <w:iCs/>
                <w:position w:val="4"/>
                <w:sz w:val="20"/>
                <w:szCs w:val="20"/>
                <w:lang w:val="hr-HR"/>
              </w:rPr>
              <w:t>28</w:t>
            </w:r>
          </w:p>
        </w:tc>
      </w:tr>
      <w:tr w:rsidR="00587444" w:rsidRPr="00587444" w14:paraId="14C033D3" w14:textId="77777777" w:rsidTr="00DD69E7">
        <w:trPr>
          <w:trHeight w:val="326"/>
        </w:trPr>
        <w:tc>
          <w:tcPr>
            <w:tcW w:w="4319" w:type="pct"/>
            <w:vAlign w:val="bottom"/>
          </w:tcPr>
          <w:p w14:paraId="45875D7E" w14:textId="77777777" w:rsidR="00587444" w:rsidRPr="00587444" w:rsidRDefault="00587444" w:rsidP="00587444">
            <w:pPr>
              <w:tabs>
                <w:tab w:val="right" w:pos="1202"/>
              </w:tabs>
              <w:suppressAutoHyphens w:val="0"/>
              <w:autoSpaceDN/>
              <w:spacing w:line="260" w:lineRule="exact"/>
              <w:outlineLvl w:val="0"/>
              <w:rPr>
                <w:rFonts w:ascii="Arial" w:hAnsi="Arial" w:cs="Arial"/>
                <w:iCs/>
                <w:sz w:val="20"/>
                <w:szCs w:val="20"/>
                <w:lang w:val="en-GB"/>
              </w:rPr>
            </w:pPr>
            <w:r w:rsidRPr="00587444">
              <w:rPr>
                <w:rFonts w:ascii="Arial" w:hAnsi="Arial" w:cs="Arial"/>
                <w:b/>
                <w:iCs/>
                <w:sz w:val="20"/>
                <w:szCs w:val="20"/>
                <w:lang w:val="en-GB"/>
              </w:rPr>
              <w:t>Balance as of 31 December 2022</w:t>
            </w:r>
          </w:p>
        </w:tc>
        <w:tc>
          <w:tcPr>
            <w:tcW w:w="681" w:type="pct"/>
            <w:tcBorders>
              <w:top w:val="single" w:sz="4" w:space="0" w:color="auto"/>
              <w:bottom w:val="single" w:sz="12" w:space="0" w:color="auto"/>
            </w:tcBorders>
            <w:vAlign w:val="bottom"/>
          </w:tcPr>
          <w:p w14:paraId="751A807D" w14:textId="77777777" w:rsidR="00587444" w:rsidRPr="00587444" w:rsidRDefault="00587444" w:rsidP="00587444">
            <w:pPr>
              <w:suppressAutoHyphens w:val="0"/>
              <w:autoSpaceDN/>
              <w:spacing w:line="260" w:lineRule="exact"/>
              <w:jc w:val="right"/>
              <w:outlineLvl w:val="0"/>
              <w:rPr>
                <w:rFonts w:ascii="Arial" w:hAnsi="Arial" w:cs="Arial"/>
                <w:b/>
                <w:bCs/>
                <w:sz w:val="20"/>
                <w:szCs w:val="20"/>
                <w:lang w:val="en-GB"/>
              </w:rPr>
            </w:pPr>
            <w:r w:rsidRPr="00587444">
              <w:rPr>
                <w:rFonts w:ascii="Arial" w:hAnsi="Arial" w:cs="Arial"/>
                <w:b/>
                <w:bCs/>
                <w:sz w:val="20"/>
                <w:szCs w:val="20"/>
                <w:lang w:val="en-GB"/>
              </w:rPr>
              <w:t>12,337</w:t>
            </w:r>
          </w:p>
        </w:tc>
      </w:tr>
    </w:tbl>
    <w:p w14:paraId="2C90D53C" w14:textId="77777777" w:rsidR="00587444" w:rsidRPr="00587444" w:rsidRDefault="00587444" w:rsidP="00587444">
      <w:pPr>
        <w:suppressAutoHyphens w:val="0"/>
        <w:autoSpaceDN/>
        <w:jc w:val="both"/>
        <w:rPr>
          <w:rFonts w:ascii="Arial" w:hAnsi="Arial" w:cs="Arial"/>
          <w:sz w:val="20"/>
          <w:szCs w:val="20"/>
          <w:lang w:val="en-GB"/>
        </w:rPr>
      </w:pPr>
    </w:p>
    <w:p w14:paraId="4B511F62" w14:textId="77777777" w:rsidR="00587444" w:rsidRPr="00587444" w:rsidRDefault="00587444" w:rsidP="00880B90">
      <w:pPr>
        <w:autoSpaceDN/>
        <w:jc w:val="both"/>
        <w:rPr>
          <w:rFonts w:ascii="Arial" w:hAnsi="Arial" w:cs="Arial"/>
          <w:bCs/>
          <w:sz w:val="20"/>
          <w:szCs w:val="20"/>
          <w:lang w:val="en-GB"/>
        </w:rPr>
      </w:pPr>
      <w:r w:rsidRPr="00587444">
        <w:rPr>
          <w:rFonts w:ascii="Arial" w:hAnsi="Arial" w:cs="Arial"/>
          <w:color w:val="000000"/>
          <w:sz w:val="20"/>
          <w:szCs w:val="20"/>
          <w:lang w:val="en-GB"/>
        </w:rPr>
        <w:t xml:space="preserve">The Guarantee fund of HRK 12,337 thousand and HRK 12,309 thousand as of 31 December 2022 and 2021 </w:t>
      </w:r>
      <w:r w:rsidRPr="00587444">
        <w:rPr>
          <w:rFonts w:ascii="Arial" w:hAnsi="Arial" w:cs="Arial"/>
          <w:sz w:val="20"/>
          <w:szCs w:val="20"/>
          <w:lang w:val="en-GB"/>
        </w:rPr>
        <w:t xml:space="preserve">respectively, relates to funds of the guarantee fund from Deutsche </w:t>
      </w:r>
      <w:proofErr w:type="spellStart"/>
      <w:r w:rsidRPr="00587444">
        <w:rPr>
          <w:rFonts w:ascii="Arial" w:hAnsi="Arial" w:cs="Arial"/>
          <w:sz w:val="20"/>
          <w:szCs w:val="20"/>
          <w:lang w:val="en-GB"/>
        </w:rPr>
        <w:t>Investitions</w:t>
      </w:r>
      <w:proofErr w:type="spellEnd"/>
      <w:r w:rsidRPr="00587444">
        <w:rPr>
          <w:rFonts w:ascii="Arial" w:hAnsi="Arial" w:cs="Arial"/>
          <w:sz w:val="20"/>
          <w:szCs w:val="20"/>
          <w:lang w:val="en-GB"/>
        </w:rPr>
        <w:t xml:space="preserve">- und </w:t>
      </w:r>
      <w:proofErr w:type="spellStart"/>
      <w:r w:rsidRPr="00587444">
        <w:rPr>
          <w:rFonts w:ascii="Arial" w:hAnsi="Arial" w:cs="Arial"/>
          <w:sz w:val="20"/>
          <w:szCs w:val="20"/>
          <w:lang w:val="en-GB"/>
        </w:rPr>
        <w:t>Entwicklungsgesellschaft</w:t>
      </w:r>
      <w:proofErr w:type="spellEnd"/>
      <w:r w:rsidRPr="00587444">
        <w:rPr>
          <w:rFonts w:ascii="Arial" w:hAnsi="Arial" w:cs="Arial"/>
          <w:sz w:val="20"/>
          <w:szCs w:val="20"/>
          <w:lang w:val="en-GB"/>
        </w:rPr>
        <w:t xml:space="preserve"> (DEG) in respect of a financial contribution (granted funds) for the account of the German Government, which are used for covering contingent losses on guarantees issued for loans granted under the Programme for financing business start-ups in Croatia. The funds of the Guarantee fund are unconditionally contributed and have no maturity. </w:t>
      </w:r>
      <w:r w:rsidRPr="00587444">
        <w:rPr>
          <w:rFonts w:ascii="Arial" w:hAnsi="Arial" w:cs="Arial"/>
          <w:bCs/>
          <w:sz w:val="20"/>
          <w:szCs w:val="20"/>
          <w:lang w:val="en-GB"/>
        </w:rPr>
        <w:t>The funds of the Guarantee fund give the Government of the Federal Republic of Germany neither controlling rights nor a right to a share of the operating results of the Group.</w:t>
      </w:r>
    </w:p>
    <w:p w14:paraId="022DE279" w14:textId="77777777" w:rsidR="00587444" w:rsidRPr="00587444" w:rsidRDefault="00587444" w:rsidP="00587444">
      <w:pPr>
        <w:suppressAutoHyphens w:val="0"/>
        <w:autoSpaceDN/>
        <w:jc w:val="both"/>
        <w:rPr>
          <w:rFonts w:ascii="Arial" w:hAnsi="Arial" w:cs="Arial"/>
          <w:bCs/>
          <w:sz w:val="20"/>
          <w:szCs w:val="20"/>
          <w:lang w:val="en-GB"/>
        </w:rPr>
      </w:pPr>
      <w:r w:rsidRPr="00587444">
        <w:rPr>
          <w:rFonts w:ascii="Arial" w:hAnsi="Arial" w:cs="Arial"/>
          <w:bCs/>
          <w:sz w:val="20"/>
          <w:szCs w:val="20"/>
          <w:lang w:val="en-GB"/>
        </w:rPr>
        <w:t xml:space="preserve"> </w:t>
      </w:r>
    </w:p>
    <w:p w14:paraId="3555F6B4" w14:textId="77777777" w:rsidR="00587444" w:rsidRPr="00587444" w:rsidRDefault="00587444" w:rsidP="00587444">
      <w:pPr>
        <w:suppressAutoHyphens w:val="0"/>
        <w:autoSpaceDN/>
        <w:jc w:val="both"/>
        <w:rPr>
          <w:rFonts w:ascii="Arial" w:hAnsi="Arial" w:cs="Arial"/>
          <w:sz w:val="20"/>
          <w:szCs w:val="20"/>
          <w:lang w:val="en-GB"/>
        </w:rPr>
      </w:pPr>
    </w:p>
    <w:p w14:paraId="3DE61A74" w14:textId="77777777" w:rsidR="00587444" w:rsidRPr="00587444" w:rsidRDefault="00587444" w:rsidP="00587444">
      <w:pPr>
        <w:suppressAutoHyphens w:val="0"/>
        <w:autoSpaceDN/>
        <w:jc w:val="both"/>
        <w:rPr>
          <w:rFonts w:ascii="Arial" w:hAnsi="Arial" w:cs="Arial"/>
          <w:sz w:val="20"/>
          <w:szCs w:val="20"/>
          <w:lang w:val="en-GB"/>
        </w:rPr>
      </w:pPr>
    </w:p>
    <w:p w14:paraId="3F91B46D" w14:textId="77777777" w:rsidR="00587444" w:rsidRPr="00587444" w:rsidRDefault="00587444" w:rsidP="00587444">
      <w:pPr>
        <w:suppressAutoHyphens w:val="0"/>
        <w:autoSpaceDN/>
        <w:jc w:val="both"/>
        <w:rPr>
          <w:rFonts w:ascii="Arial" w:hAnsi="Arial" w:cs="Arial"/>
          <w:sz w:val="20"/>
          <w:szCs w:val="20"/>
          <w:lang w:val="en-GB"/>
        </w:rPr>
      </w:pPr>
    </w:p>
    <w:p w14:paraId="53C37CBC" w14:textId="77777777" w:rsidR="00587444" w:rsidRPr="00587444" w:rsidRDefault="00587444" w:rsidP="00587444">
      <w:pPr>
        <w:suppressAutoHyphens w:val="0"/>
        <w:autoSpaceDN/>
        <w:jc w:val="both"/>
        <w:rPr>
          <w:rFonts w:ascii="Arial" w:hAnsi="Arial" w:cs="Arial"/>
          <w:sz w:val="20"/>
          <w:szCs w:val="20"/>
          <w:lang w:val="en-GB"/>
        </w:rPr>
        <w:sectPr w:rsidR="00587444" w:rsidRPr="00587444" w:rsidSect="00DD69E7">
          <w:headerReference w:type="default" r:id="rId83"/>
          <w:pgSz w:w="11907" w:h="16840" w:code="9"/>
          <w:pgMar w:top="1418" w:right="1134" w:bottom="1134" w:left="1418" w:header="851" w:footer="851" w:gutter="0"/>
          <w:cols w:space="720"/>
          <w:noEndnote/>
        </w:sectPr>
      </w:pPr>
    </w:p>
    <w:p w14:paraId="0D95088C" w14:textId="77777777" w:rsidR="00587444" w:rsidRPr="00587444" w:rsidRDefault="00587444" w:rsidP="00587444">
      <w:pPr>
        <w:suppressAutoHyphens w:val="0"/>
        <w:autoSpaceDN/>
        <w:jc w:val="both"/>
        <w:rPr>
          <w:rFonts w:ascii="Arial" w:hAnsi="Arial" w:cs="Arial"/>
          <w:sz w:val="20"/>
          <w:szCs w:val="20"/>
          <w:lang w:val="en-GB"/>
        </w:rPr>
      </w:pPr>
    </w:p>
    <w:p w14:paraId="2975AAF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28.</w:t>
      </w:r>
      <w:r w:rsidRPr="00587444">
        <w:rPr>
          <w:rFonts w:ascii="Arial" w:hAnsi="Arial" w:cs="Arial"/>
          <w:b/>
          <w:bCs/>
          <w:sz w:val="20"/>
          <w:szCs w:val="20"/>
          <w:lang w:val="en-GB"/>
        </w:rPr>
        <w:tab/>
        <w:t>Guarantees and commitments</w:t>
      </w:r>
    </w:p>
    <w:p w14:paraId="222BAF5A"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00F2D455" w14:textId="77777777"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In its regular activities, the Group contracts various commitments and contingent liabilities. The purpose of these instruments is to ensure that the funds are available to a customer when required.</w:t>
      </w:r>
    </w:p>
    <w:p w14:paraId="7EC88309" w14:textId="77777777" w:rsidR="00587444" w:rsidRPr="00587444" w:rsidRDefault="00587444" w:rsidP="00587444">
      <w:pPr>
        <w:keepNext/>
        <w:suppressAutoHyphens w:val="0"/>
        <w:autoSpaceDN/>
        <w:jc w:val="both"/>
        <w:rPr>
          <w:rFonts w:ascii="Arial" w:hAnsi="Arial" w:cs="Arial"/>
          <w:bCs/>
          <w:sz w:val="20"/>
          <w:szCs w:val="20"/>
          <w:lang w:val="en-GB"/>
        </w:rPr>
      </w:pPr>
    </w:p>
    <w:p w14:paraId="6D57FF62" w14:textId="77777777"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These obligations contain credit risk and are therefore part of the overall risk of the Group although they are not recognised in the Statement of financial position.</w:t>
      </w:r>
    </w:p>
    <w:p w14:paraId="63ED356E" w14:textId="77777777" w:rsidR="00587444" w:rsidRPr="00587444" w:rsidRDefault="00587444" w:rsidP="00587444">
      <w:pPr>
        <w:keepNext/>
        <w:suppressAutoHyphens w:val="0"/>
        <w:autoSpaceDN/>
        <w:jc w:val="both"/>
        <w:rPr>
          <w:rFonts w:ascii="Arial" w:hAnsi="Arial" w:cs="Arial"/>
          <w:sz w:val="20"/>
          <w:szCs w:val="20"/>
          <w:lang w:val="en-GB"/>
        </w:rPr>
      </w:pPr>
    </w:p>
    <w:tbl>
      <w:tblPr>
        <w:tblW w:w="4856" w:type="pct"/>
        <w:tblLayout w:type="fixed"/>
        <w:tblCellMar>
          <w:left w:w="122" w:type="dxa"/>
          <w:right w:w="122" w:type="dxa"/>
        </w:tblCellMar>
        <w:tblLook w:val="0000" w:firstRow="0" w:lastRow="0" w:firstColumn="0" w:lastColumn="0" w:noHBand="0" w:noVBand="0"/>
      </w:tblPr>
      <w:tblGrid>
        <w:gridCol w:w="5826"/>
        <w:gridCol w:w="1727"/>
        <w:gridCol w:w="1770"/>
      </w:tblGrid>
      <w:tr w:rsidR="00587444" w:rsidRPr="00587444" w14:paraId="7BB66407" w14:textId="77777777" w:rsidTr="00DD69E7">
        <w:trPr>
          <w:trHeight w:val="209"/>
        </w:trPr>
        <w:tc>
          <w:tcPr>
            <w:tcW w:w="3125" w:type="pct"/>
          </w:tcPr>
          <w:p w14:paraId="1E27AD48" w14:textId="77777777" w:rsidR="00587444" w:rsidRPr="00587444" w:rsidRDefault="00587444" w:rsidP="00587444">
            <w:pPr>
              <w:tabs>
                <w:tab w:val="left" w:pos="-720"/>
              </w:tabs>
              <w:autoSpaceDN/>
              <w:spacing w:line="240" w:lineRule="exact"/>
              <w:rPr>
                <w:rFonts w:ascii="Arial" w:hAnsi="Arial" w:cs="Arial"/>
                <w:spacing w:val="-3"/>
                <w:sz w:val="20"/>
                <w:szCs w:val="20"/>
              </w:rPr>
            </w:pPr>
            <w:r w:rsidRPr="00587444">
              <w:rPr>
                <w:rFonts w:ascii="Arial" w:hAnsi="Arial" w:cs="Arial"/>
                <w:b/>
                <w:sz w:val="20"/>
                <w:szCs w:val="20"/>
              </w:rPr>
              <w:t>Group and Bank</w:t>
            </w:r>
          </w:p>
        </w:tc>
        <w:tc>
          <w:tcPr>
            <w:tcW w:w="1875" w:type="pct"/>
            <w:gridSpan w:val="2"/>
          </w:tcPr>
          <w:p w14:paraId="732F615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sz w:val="20"/>
                <w:szCs w:val="20"/>
              </w:rPr>
            </w:pPr>
          </w:p>
        </w:tc>
      </w:tr>
      <w:tr w:rsidR="00587444" w:rsidRPr="00587444" w14:paraId="2A9C3AB3" w14:textId="77777777" w:rsidTr="00DD69E7">
        <w:trPr>
          <w:trHeight w:val="297"/>
        </w:trPr>
        <w:tc>
          <w:tcPr>
            <w:tcW w:w="3125" w:type="pct"/>
          </w:tcPr>
          <w:p w14:paraId="1F285283" w14:textId="77777777" w:rsidR="00587444" w:rsidRPr="00587444" w:rsidRDefault="00587444" w:rsidP="00587444">
            <w:pPr>
              <w:tabs>
                <w:tab w:val="left" w:pos="-720"/>
              </w:tabs>
              <w:autoSpaceDN/>
              <w:spacing w:line="240" w:lineRule="exact"/>
              <w:jc w:val="right"/>
              <w:rPr>
                <w:rFonts w:ascii="Arial" w:hAnsi="Arial" w:cs="Arial"/>
                <w:spacing w:val="-3"/>
                <w:sz w:val="20"/>
                <w:szCs w:val="20"/>
              </w:rPr>
            </w:pPr>
          </w:p>
        </w:tc>
        <w:tc>
          <w:tcPr>
            <w:tcW w:w="926" w:type="pct"/>
            <w:vAlign w:val="center"/>
          </w:tcPr>
          <w:p w14:paraId="68F229B4" w14:textId="77777777" w:rsidR="00587444" w:rsidRPr="00587444" w:rsidRDefault="00587444" w:rsidP="00587444">
            <w:pPr>
              <w:suppressAutoHyphens w:val="0"/>
              <w:autoSpaceDN/>
              <w:spacing w:line="280" w:lineRule="exact"/>
              <w:jc w:val="right"/>
              <w:outlineLvl w:val="0"/>
              <w:rPr>
                <w:rFonts w:ascii="Arial" w:hAnsi="Arial" w:cs="Arial"/>
                <w:b/>
                <w:bCs/>
                <w:sz w:val="20"/>
                <w:szCs w:val="20"/>
              </w:rPr>
            </w:pPr>
            <w:bookmarkStart w:id="930" w:name="_Toc4060156"/>
            <w:r w:rsidRPr="00587444">
              <w:rPr>
                <w:rFonts w:ascii="Arial" w:eastAsia="Calibri" w:hAnsi="Arial" w:cs="Arial"/>
                <w:b/>
                <w:bCs/>
                <w:sz w:val="20"/>
                <w:szCs w:val="20"/>
              </w:rPr>
              <w:t xml:space="preserve">31 December </w:t>
            </w:r>
            <w:bookmarkEnd w:id="930"/>
            <w:r w:rsidRPr="00587444">
              <w:rPr>
                <w:rFonts w:ascii="Arial" w:eastAsia="Calibri" w:hAnsi="Arial" w:cs="Arial"/>
                <w:b/>
                <w:bCs/>
                <w:sz w:val="20"/>
                <w:szCs w:val="20"/>
              </w:rPr>
              <w:t>2022</w:t>
            </w:r>
          </w:p>
        </w:tc>
        <w:tc>
          <w:tcPr>
            <w:tcW w:w="949" w:type="pct"/>
            <w:shd w:val="clear" w:color="auto" w:fill="auto"/>
            <w:vAlign w:val="center"/>
          </w:tcPr>
          <w:p w14:paraId="2D36CE7C" w14:textId="77777777" w:rsidR="00587444" w:rsidRPr="00587444" w:rsidRDefault="00587444" w:rsidP="00587444">
            <w:pPr>
              <w:suppressAutoHyphens w:val="0"/>
              <w:autoSpaceDN/>
              <w:spacing w:line="280" w:lineRule="exact"/>
              <w:jc w:val="right"/>
              <w:outlineLvl w:val="0"/>
              <w:rPr>
                <w:rFonts w:ascii="Arial" w:hAnsi="Arial" w:cs="Arial"/>
                <w:b/>
                <w:bCs/>
                <w:sz w:val="20"/>
                <w:szCs w:val="20"/>
              </w:rPr>
            </w:pPr>
            <w:bookmarkStart w:id="931" w:name="_Toc4060157"/>
            <w:r w:rsidRPr="00587444">
              <w:rPr>
                <w:rFonts w:ascii="Arial" w:eastAsia="Calibri" w:hAnsi="Arial" w:cs="Arial"/>
                <w:b/>
                <w:bCs/>
                <w:sz w:val="20"/>
                <w:szCs w:val="20"/>
              </w:rPr>
              <w:t xml:space="preserve">31 December </w:t>
            </w:r>
            <w:bookmarkEnd w:id="931"/>
            <w:r w:rsidRPr="00587444">
              <w:rPr>
                <w:rFonts w:ascii="Arial" w:eastAsia="Calibri" w:hAnsi="Arial" w:cs="Arial"/>
                <w:b/>
                <w:bCs/>
                <w:sz w:val="20"/>
                <w:szCs w:val="20"/>
              </w:rPr>
              <w:t>2021</w:t>
            </w:r>
          </w:p>
        </w:tc>
      </w:tr>
      <w:tr w:rsidR="00587444" w:rsidRPr="00587444" w14:paraId="1A0D76D7" w14:textId="77777777" w:rsidTr="00DD69E7">
        <w:trPr>
          <w:trHeight w:hRule="exact" w:val="321"/>
        </w:trPr>
        <w:tc>
          <w:tcPr>
            <w:tcW w:w="3125" w:type="pct"/>
          </w:tcPr>
          <w:p w14:paraId="46849BBA" w14:textId="77777777" w:rsidR="00587444" w:rsidRPr="00587444" w:rsidRDefault="00587444" w:rsidP="00587444">
            <w:pPr>
              <w:tabs>
                <w:tab w:val="left" w:pos="-720"/>
              </w:tabs>
              <w:autoSpaceDN/>
              <w:spacing w:line="240" w:lineRule="exact"/>
              <w:jc w:val="right"/>
              <w:rPr>
                <w:rFonts w:ascii="Arial" w:hAnsi="Arial" w:cs="Arial"/>
                <w:spacing w:val="-3"/>
                <w:sz w:val="20"/>
                <w:szCs w:val="20"/>
              </w:rPr>
            </w:pPr>
          </w:p>
        </w:tc>
        <w:tc>
          <w:tcPr>
            <w:tcW w:w="926" w:type="pct"/>
          </w:tcPr>
          <w:p w14:paraId="6856F8F9" w14:textId="77777777" w:rsidR="00587444" w:rsidRPr="00587444" w:rsidRDefault="00587444" w:rsidP="00587444">
            <w:pPr>
              <w:suppressAutoHyphens w:val="0"/>
              <w:autoSpaceDN/>
              <w:spacing w:line="280" w:lineRule="exact"/>
              <w:jc w:val="right"/>
              <w:outlineLvl w:val="0"/>
              <w:rPr>
                <w:rFonts w:ascii="Arial" w:hAnsi="Arial" w:cs="Arial"/>
                <w:b/>
                <w:bCs/>
                <w:sz w:val="20"/>
                <w:szCs w:val="20"/>
              </w:rPr>
            </w:pPr>
            <w:bookmarkStart w:id="932" w:name="_Toc4060158"/>
            <w:r w:rsidRPr="00587444">
              <w:rPr>
                <w:rFonts w:ascii="Arial" w:hAnsi="Arial" w:cs="Arial"/>
                <w:b/>
                <w:sz w:val="20"/>
                <w:szCs w:val="20"/>
              </w:rPr>
              <w:t>HRK ‘000</w:t>
            </w:r>
            <w:bookmarkEnd w:id="932"/>
          </w:p>
        </w:tc>
        <w:tc>
          <w:tcPr>
            <w:tcW w:w="949" w:type="pct"/>
          </w:tcPr>
          <w:p w14:paraId="6B9A5075" w14:textId="77777777" w:rsidR="00587444" w:rsidRPr="00587444" w:rsidRDefault="00587444" w:rsidP="00587444">
            <w:pPr>
              <w:suppressAutoHyphens w:val="0"/>
              <w:autoSpaceDN/>
              <w:spacing w:line="280" w:lineRule="exact"/>
              <w:jc w:val="right"/>
              <w:outlineLvl w:val="0"/>
              <w:rPr>
                <w:rFonts w:ascii="Arial" w:hAnsi="Arial" w:cs="Arial"/>
                <w:b/>
                <w:bCs/>
                <w:sz w:val="20"/>
                <w:szCs w:val="20"/>
              </w:rPr>
            </w:pPr>
            <w:bookmarkStart w:id="933" w:name="_Toc4060159"/>
            <w:r w:rsidRPr="00587444">
              <w:rPr>
                <w:rFonts w:ascii="Arial" w:hAnsi="Arial" w:cs="Arial"/>
                <w:b/>
                <w:bCs/>
                <w:sz w:val="20"/>
                <w:szCs w:val="20"/>
              </w:rPr>
              <w:t>HRK ‘000</w:t>
            </w:r>
            <w:bookmarkEnd w:id="933"/>
          </w:p>
        </w:tc>
      </w:tr>
      <w:tr w:rsidR="00587444" w:rsidRPr="00587444" w14:paraId="164EDAE3" w14:textId="77777777" w:rsidTr="00DD69E7">
        <w:trPr>
          <w:trHeight w:hRule="exact" w:val="288"/>
        </w:trPr>
        <w:tc>
          <w:tcPr>
            <w:tcW w:w="3125" w:type="pct"/>
            <w:shd w:val="clear" w:color="auto" w:fill="auto"/>
            <w:vAlign w:val="center"/>
          </w:tcPr>
          <w:p w14:paraId="1194E3F6" w14:textId="77777777" w:rsidR="00587444" w:rsidRPr="00587444" w:rsidRDefault="00587444" w:rsidP="00587444">
            <w:pPr>
              <w:suppressAutoHyphens w:val="0"/>
              <w:autoSpaceDN/>
              <w:rPr>
                <w:rFonts w:ascii="Arial" w:hAnsi="Arial" w:cs="Arial"/>
                <w:color w:val="000000"/>
                <w:sz w:val="20"/>
                <w:szCs w:val="20"/>
                <w:lang w:eastAsia="hr-HR"/>
              </w:rPr>
            </w:pPr>
            <w:r w:rsidRPr="00587444">
              <w:rPr>
                <w:rFonts w:ascii="Arial" w:hAnsi="Arial" w:cs="Arial"/>
                <w:sz w:val="20"/>
                <w:szCs w:val="20"/>
              </w:rPr>
              <w:t>Guarantees issued in HRK</w:t>
            </w:r>
          </w:p>
        </w:tc>
        <w:tc>
          <w:tcPr>
            <w:tcW w:w="926" w:type="pct"/>
            <w:tcBorders>
              <w:top w:val="nil"/>
              <w:left w:val="nil"/>
              <w:bottom w:val="nil"/>
              <w:right w:val="nil"/>
            </w:tcBorders>
            <w:shd w:val="clear" w:color="auto" w:fill="auto"/>
            <w:vAlign w:val="bottom"/>
          </w:tcPr>
          <w:p w14:paraId="17F9FD48"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115,427 </w:t>
            </w:r>
          </w:p>
        </w:tc>
        <w:tc>
          <w:tcPr>
            <w:tcW w:w="949" w:type="pct"/>
            <w:tcBorders>
              <w:top w:val="nil"/>
              <w:left w:val="nil"/>
              <w:bottom w:val="nil"/>
              <w:right w:val="nil"/>
            </w:tcBorders>
            <w:shd w:val="clear" w:color="auto" w:fill="auto"/>
            <w:vAlign w:val="bottom"/>
          </w:tcPr>
          <w:p w14:paraId="6C766D60" w14:textId="77777777" w:rsidR="00587444" w:rsidRPr="00587444" w:rsidRDefault="00587444" w:rsidP="00587444">
            <w:pPr>
              <w:suppressAutoHyphens w:val="0"/>
              <w:autoSpaceDN/>
              <w:jc w:val="right"/>
              <w:rPr>
                <w:rFonts w:ascii="Arial" w:hAnsi="Arial" w:cs="Arial"/>
                <w:color w:val="000000"/>
                <w:sz w:val="20"/>
                <w:szCs w:val="20"/>
                <w:lang w:eastAsia="hr-HR"/>
              </w:rPr>
            </w:pPr>
            <w:r w:rsidRPr="00587444">
              <w:rPr>
                <w:rFonts w:ascii="Arial" w:hAnsi="Arial" w:cs="Arial"/>
                <w:color w:val="000000"/>
                <w:sz w:val="20"/>
                <w:szCs w:val="20"/>
                <w:lang w:val="hr-HR"/>
              </w:rPr>
              <w:t>170,555</w:t>
            </w:r>
          </w:p>
        </w:tc>
      </w:tr>
      <w:tr w:rsidR="00587444" w:rsidRPr="00587444" w14:paraId="12677690" w14:textId="77777777" w:rsidTr="00DD69E7">
        <w:tblPrEx>
          <w:tblCellMar>
            <w:left w:w="107" w:type="dxa"/>
            <w:right w:w="107" w:type="dxa"/>
          </w:tblCellMar>
        </w:tblPrEx>
        <w:trPr>
          <w:trHeight w:hRule="exact" w:val="288"/>
        </w:trPr>
        <w:tc>
          <w:tcPr>
            <w:tcW w:w="3125" w:type="pct"/>
            <w:shd w:val="clear" w:color="auto" w:fill="auto"/>
            <w:vAlign w:val="center"/>
          </w:tcPr>
          <w:p w14:paraId="6A2FF63A" w14:textId="77777777" w:rsidR="00587444" w:rsidRPr="00587444" w:rsidRDefault="00587444" w:rsidP="00587444">
            <w:pPr>
              <w:suppressAutoHyphens w:val="0"/>
              <w:autoSpaceDN/>
              <w:rPr>
                <w:rFonts w:ascii="Arial" w:hAnsi="Arial" w:cs="Arial"/>
                <w:color w:val="000000"/>
                <w:sz w:val="20"/>
                <w:szCs w:val="20"/>
                <w:lang w:eastAsia="hr-HR"/>
              </w:rPr>
            </w:pPr>
            <w:r w:rsidRPr="00587444">
              <w:rPr>
                <w:rFonts w:ascii="Arial" w:hAnsi="Arial" w:cs="Arial"/>
                <w:sz w:val="20"/>
                <w:szCs w:val="20"/>
              </w:rPr>
              <w:t>Guarantees issued in foreign currency</w:t>
            </w:r>
          </w:p>
        </w:tc>
        <w:tc>
          <w:tcPr>
            <w:tcW w:w="926" w:type="pct"/>
            <w:tcBorders>
              <w:top w:val="nil"/>
              <w:left w:val="nil"/>
              <w:bottom w:val="nil"/>
              <w:right w:val="nil"/>
            </w:tcBorders>
            <w:shd w:val="clear" w:color="auto" w:fill="auto"/>
            <w:vAlign w:val="bottom"/>
          </w:tcPr>
          <w:p w14:paraId="4D05FF03"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194,098 </w:t>
            </w:r>
          </w:p>
        </w:tc>
        <w:tc>
          <w:tcPr>
            <w:tcW w:w="949" w:type="pct"/>
            <w:tcBorders>
              <w:top w:val="nil"/>
              <w:left w:val="nil"/>
              <w:bottom w:val="nil"/>
              <w:right w:val="nil"/>
            </w:tcBorders>
            <w:shd w:val="clear" w:color="auto" w:fill="auto"/>
            <w:vAlign w:val="bottom"/>
          </w:tcPr>
          <w:p w14:paraId="7A14FE29" w14:textId="77777777" w:rsidR="00587444" w:rsidRPr="00587444" w:rsidRDefault="00587444" w:rsidP="00587444">
            <w:pPr>
              <w:suppressAutoHyphens w:val="0"/>
              <w:autoSpaceDN/>
              <w:jc w:val="right"/>
              <w:rPr>
                <w:rFonts w:ascii="Arial" w:hAnsi="Arial" w:cs="Arial"/>
                <w:color w:val="000000"/>
                <w:sz w:val="20"/>
                <w:szCs w:val="20"/>
                <w:lang w:eastAsia="hr-HR"/>
              </w:rPr>
            </w:pPr>
            <w:r w:rsidRPr="00587444">
              <w:rPr>
                <w:rFonts w:ascii="Arial" w:hAnsi="Arial" w:cs="Arial"/>
                <w:color w:val="000000"/>
                <w:sz w:val="20"/>
                <w:szCs w:val="20"/>
                <w:lang w:val="hr-HR"/>
              </w:rPr>
              <w:t>325,103</w:t>
            </w:r>
          </w:p>
        </w:tc>
      </w:tr>
      <w:tr w:rsidR="00587444" w:rsidRPr="00587444" w14:paraId="009A84A5" w14:textId="77777777" w:rsidTr="00DD69E7">
        <w:tblPrEx>
          <w:tblCellMar>
            <w:left w:w="107" w:type="dxa"/>
            <w:right w:w="107" w:type="dxa"/>
          </w:tblCellMar>
        </w:tblPrEx>
        <w:trPr>
          <w:trHeight w:hRule="exact" w:val="288"/>
        </w:trPr>
        <w:tc>
          <w:tcPr>
            <w:tcW w:w="3125" w:type="pct"/>
            <w:shd w:val="clear" w:color="auto" w:fill="auto"/>
            <w:vAlign w:val="center"/>
          </w:tcPr>
          <w:p w14:paraId="263C3BF8" w14:textId="77777777" w:rsidR="00587444" w:rsidRPr="00587444" w:rsidRDefault="00587444" w:rsidP="00587444">
            <w:pPr>
              <w:suppressAutoHyphens w:val="0"/>
              <w:autoSpaceDN/>
              <w:rPr>
                <w:rFonts w:ascii="Arial" w:hAnsi="Arial" w:cs="Arial"/>
                <w:color w:val="000000"/>
                <w:sz w:val="20"/>
                <w:szCs w:val="20"/>
                <w:lang w:eastAsia="hr-HR"/>
              </w:rPr>
            </w:pPr>
            <w:r w:rsidRPr="00587444">
              <w:rPr>
                <w:rFonts w:ascii="Arial" w:hAnsi="Arial" w:cs="Arial"/>
                <w:sz w:val="20"/>
                <w:szCs w:val="20"/>
              </w:rPr>
              <w:t>Undrawn loans</w:t>
            </w:r>
          </w:p>
        </w:tc>
        <w:tc>
          <w:tcPr>
            <w:tcW w:w="926" w:type="pct"/>
            <w:tcBorders>
              <w:top w:val="nil"/>
              <w:left w:val="nil"/>
              <w:bottom w:val="nil"/>
              <w:right w:val="nil"/>
            </w:tcBorders>
            <w:shd w:val="clear" w:color="auto" w:fill="auto"/>
            <w:vAlign w:val="bottom"/>
          </w:tcPr>
          <w:p w14:paraId="6FD561C6"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2,668,118 </w:t>
            </w:r>
          </w:p>
        </w:tc>
        <w:tc>
          <w:tcPr>
            <w:tcW w:w="949" w:type="pct"/>
            <w:tcBorders>
              <w:top w:val="nil"/>
              <w:left w:val="nil"/>
              <w:bottom w:val="nil"/>
              <w:right w:val="nil"/>
            </w:tcBorders>
            <w:shd w:val="clear" w:color="auto" w:fill="auto"/>
            <w:vAlign w:val="bottom"/>
          </w:tcPr>
          <w:p w14:paraId="6814CA1C" w14:textId="77777777" w:rsidR="00587444" w:rsidRPr="00587444" w:rsidRDefault="00587444" w:rsidP="00587444">
            <w:pPr>
              <w:suppressAutoHyphens w:val="0"/>
              <w:autoSpaceDN/>
              <w:jc w:val="right"/>
              <w:rPr>
                <w:rFonts w:ascii="Arial" w:hAnsi="Arial" w:cs="Arial"/>
                <w:color w:val="000000"/>
                <w:sz w:val="20"/>
                <w:szCs w:val="20"/>
                <w:lang w:eastAsia="hr-HR"/>
              </w:rPr>
            </w:pPr>
            <w:r w:rsidRPr="00587444">
              <w:rPr>
                <w:rFonts w:ascii="Arial" w:hAnsi="Arial" w:cs="Arial"/>
                <w:color w:val="000000"/>
                <w:sz w:val="20"/>
                <w:szCs w:val="20"/>
                <w:lang w:val="hr-HR"/>
              </w:rPr>
              <w:t>3,492,038</w:t>
            </w:r>
          </w:p>
        </w:tc>
      </w:tr>
      <w:tr w:rsidR="00587444" w:rsidRPr="00587444" w14:paraId="1E0131CD" w14:textId="77777777" w:rsidTr="00DD69E7">
        <w:tblPrEx>
          <w:tblCellMar>
            <w:left w:w="107" w:type="dxa"/>
            <w:right w:w="107" w:type="dxa"/>
          </w:tblCellMar>
        </w:tblPrEx>
        <w:trPr>
          <w:trHeight w:hRule="exact" w:val="288"/>
        </w:trPr>
        <w:tc>
          <w:tcPr>
            <w:tcW w:w="3125" w:type="pct"/>
            <w:shd w:val="clear" w:color="auto" w:fill="auto"/>
            <w:vAlign w:val="center"/>
          </w:tcPr>
          <w:p w14:paraId="42DF53B5" w14:textId="6C947E33" w:rsidR="00587444" w:rsidRPr="00587444" w:rsidRDefault="00587444" w:rsidP="00587444">
            <w:pPr>
              <w:suppressAutoHyphens w:val="0"/>
              <w:autoSpaceDN/>
              <w:rPr>
                <w:rFonts w:ascii="Arial" w:hAnsi="Arial" w:cs="Arial"/>
                <w:sz w:val="20"/>
                <w:szCs w:val="20"/>
              </w:rPr>
            </w:pPr>
            <w:r w:rsidRPr="00587444">
              <w:rPr>
                <w:rFonts w:ascii="Arial" w:hAnsi="Arial" w:cs="Arial"/>
                <w:sz w:val="20"/>
                <w:szCs w:val="20"/>
              </w:rPr>
              <w:t xml:space="preserve">Open </w:t>
            </w:r>
            <w:r w:rsidR="005D302B" w:rsidRPr="00587444">
              <w:rPr>
                <w:rFonts w:ascii="Arial" w:hAnsi="Arial" w:cs="Arial"/>
                <w:sz w:val="20"/>
                <w:szCs w:val="20"/>
              </w:rPr>
              <w:t>letters</w:t>
            </w:r>
            <w:r w:rsidRPr="00587444">
              <w:rPr>
                <w:rFonts w:ascii="Arial" w:hAnsi="Arial" w:cs="Arial"/>
                <w:sz w:val="20"/>
                <w:szCs w:val="20"/>
              </w:rPr>
              <w:t xml:space="preserve"> of credit in foreign currency</w:t>
            </w:r>
          </w:p>
        </w:tc>
        <w:tc>
          <w:tcPr>
            <w:tcW w:w="926" w:type="pct"/>
            <w:tcBorders>
              <w:top w:val="nil"/>
              <w:left w:val="nil"/>
              <w:bottom w:val="nil"/>
              <w:right w:val="nil"/>
            </w:tcBorders>
            <w:shd w:val="clear" w:color="auto" w:fill="auto"/>
            <w:vAlign w:val="bottom"/>
          </w:tcPr>
          <w:p w14:paraId="0C9B0F37"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1,243 </w:t>
            </w:r>
          </w:p>
        </w:tc>
        <w:tc>
          <w:tcPr>
            <w:tcW w:w="949" w:type="pct"/>
            <w:tcBorders>
              <w:top w:val="nil"/>
              <w:left w:val="nil"/>
              <w:bottom w:val="nil"/>
              <w:right w:val="nil"/>
            </w:tcBorders>
            <w:shd w:val="clear" w:color="auto" w:fill="auto"/>
            <w:vAlign w:val="bottom"/>
          </w:tcPr>
          <w:p w14:paraId="33A3625C"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color w:val="000000"/>
                <w:sz w:val="20"/>
                <w:szCs w:val="20"/>
                <w:lang w:val="hr-HR"/>
              </w:rPr>
              <w:t>-</w:t>
            </w:r>
          </w:p>
        </w:tc>
      </w:tr>
      <w:tr w:rsidR="00587444" w:rsidRPr="00587444" w14:paraId="3ABC9004" w14:textId="77777777" w:rsidTr="00DD69E7">
        <w:tblPrEx>
          <w:tblCellMar>
            <w:left w:w="107" w:type="dxa"/>
            <w:right w:w="107" w:type="dxa"/>
          </w:tblCellMar>
        </w:tblPrEx>
        <w:trPr>
          <w:trHeight w:hRule="exact" w:val="288"/>
        </w:trPr>
        <w:tc>
          <w:tcPr>
            <w:tcW w:w="3125" w:type="pct"/>
            <w:shd w:val="clear" w:color="auto" w:fill="auto"/>
            <w:vAlign w:val="center"/>
          </w:tcPr>
          <w:p w14:paraId="2EE038CD" w14:textId="77777777" w:rsidR="00587444" w:rsidRPr="00587444" w:rsidRDefault="00587444" w:rsidP="00587444">
            <w:pPr>
              <w:suppressAutoHyphens w:val="0"/>
              <w:autoSpaceDN/>
              <w:rPr>
                <w:rFonts w:ascii="Arial" w:hAnsi="Arial" w:cs="Arial"/>
                <w:color w:val="000000"/>
                <w:sz w:val="20"/>
                <w:szCs w:val="20"/>
                <w:lang w:eastAsia="hr-HR"/>
              </w:rPr>
            </w:pPr>
            <w:r w:rsidRPr="00587444">
              <w:rPr>
                <w:rFonts w:ascii="Arial" w:hAnsi="Arial" w:cs="Arial"/>
                <w:sz w:val="20"/>
                <w:szCs w:val="20"/>
              </w:rPr>
              <w:t>EIF – subscribed, not called up capital</w:t>
            </w:r>
          </w:p>
        </w:tc>
        <w:tc>
          <w:tcPr>
            <w:tcW w:w="926" w:type="pct"/>
            <w:tcBorders>
              <w:top w:val="nil"/>
              <w:left w:val="nil"/>
              <w:bottom w:val="nil"/>
              <w:right w:val="nil"/>
            </w:tcBorders>
            <w:shd w:val="clear" w:color="auto" w:fill="auto"/>
            <w:vAlign w:val="bottom"/>
          </w:tcPr>
          <w:p w14:paraId="6AEFD435"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78,358 </w:t>
            </w:r>
          </w:p>
        </w:tc>
        <w:tc>
          <w:tcPr>
            <w:tcW w:w="949" w:type="pct"/>
            <w:tcBorders>
              <w:top w:val="nil"/>
              <w:left w:val="nil"/>
              <w:bottom w:val="nil"/>
              <w:right w:val="nil"/>
            </w:tcBorders>
            <w:shd w:val="clear" w:color="auto" w:fill="auto"/>
            <w:vAlign w:val="bottom"/>
          </w:tcPr>
          <w:p w14:paraId="0DACD6E4" w14:textId="77777777" w:rsidR="00587444" w:rsidRPr="00587444" w:rsidRDefault="00587444" w:rsidP="00587444">
            <w:pPr>
              <w:suppressAutoHyphens w:val="0"/>
              <w:autoSpaceDN/>
              <w:jc w:val="right"/>
              <w:rPr>
                <w:rFonts w:ascii="Arial" w:hAnsi="Arial" w:cs="Arial"/>
                <w:color w:val="000000"/>
                <w:sz w:val="20"/>
                <w:szCs w:val="20"/>
                <w:lang w:eastAsia="hr-HR"/>
              </w:rPr>
            </w:pPr>
            <w:r w:rsidRPr="00587444">
              <w:rPr>
                <w:rFonts w:ascii="Arial" w:hAnsi="Arial" w:cs="Arial"/>
                <w:color w:val="000000"/>
                <w:sz w:val="20"/>
                <w:szCs w:val="20"/>
                <w:lang w:val="hr-HR"/>
              </w:rPr>
              <w:t>78,179</w:t>
            </w:r>
          </w:p>
        </w:tc>
      </w:tr>
      <w:tr w:rsidR="00587444" w:rsidRPr="00587444" w14:paraId="38EC33BC" w14:textId="77777777" w:rsidTr="00DD69E7">
        <w:tblPrEx>
          <w:tblCellMar>
            <w:left w:w="107" w:type="dxa"/>
            <w:right w:w="107" w:type="dxa"/>
          </w:tblCellMar>
        </w:tblPrEx>
        <w:trPr>
          <w:trHeight w:hRule="exact" w:val="288"/>
        </w:trPr>
        <w:tc>
          <w:tcPr>
            <w:tcW w:w="3125" w:type="pct"/>
            <w:shd w:val="clear" w:color="auto" w:fill="auto"/>
          </w:tcPr>
          <w:p w14:paraId="6EEDC337" w14:textId="77777777" w:rsidR="00587444" w:rsidRPr="00587444" w:rsidRDefault="00587444" w:rsidP="00587444">
            <w:pPr>
              <w:suppressAutoHyphens w:val="0"/>
              <w:autoSpaceDN/>
              <w:rPr>
                <w:rFonts w:ascii="Arial" w:hAnsi="Arial" w:cs="Arial"/>
                <w:sz w:val="20"/>
                <w:szCs w:val="20"/>
              </w:rPr>
            </w:pPr>
            <w:bookmarkStart w:id="934" w:name="_Hlk34300088"/>
            <w:r w:rsidRPr="00587444">
              <w:rPr>
                <w:rFonts w:ascii="Arial" w:hAnsi="Arial" w:cs="Arial"/>
                <w:color w:val="000000"/>
                <w:sz w:val="20"/>
                <w:szCs w:val="20"/>
                <w:lang w:val="en-GB"/>
              </w:rPr>
              <w:t>EIF CROGIP Contracted Liability</w:t>
            </w:r>
          </w:p>
        </w:tc>
        <w:tc>
          <w:tcPr>
            <w:tcW w:w="926" w:type="pct"/>
            <w:tcBorders>
              <w:top w:val="nil"/>
              <w:left w:val="nil"/>
              <w:bottom w:val="nil"/>
              <w:right w:val="nil"/>
            </w:tcBorders>
            <w:shd w:val="clear" w:color="auto" w:fill="auto"/>
            <w:vAlign w:val="bottom"/>
          </w:tcPr>
          <w:p w14:paraId="3267060C"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273,324 </w:t>
            </w:r>
          </w:p>
        </w:tc>
        <w:tc>
          <w:tcPr>
            <w:tcW w:w="949" w:type="pct"/>
            <w:tcBorders>
              <w:top w:val="nil"/>
              <w:left w:val="nil"/>
              <w:bottom w:val="nil"/>
              <w:right w:val="nil"/>
            </w:tcBorders>
            <w:shd w:val="clear" w:color="auto" w:fill="auto"/>
            <w:vAlign w:val="bottom"/>
          </w:tcPr>
          <w:p w14:paraId="355FD7F2"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color w:val="000000"/>
                <w:sz w:val="20"/>
                <w:szCs w:val="20"/>
                <w:lang w:val="hr-HR"/>
              </w:rPr>
              <w:t>312,489</w:t>
            </w:r>
          </w:p>
        </w:tc>
      </w:tr>
      <w:tr w:rsidR="00587444" w:rsidRPr="00587444" w14:paraId="788BED8A" w14:textId="77777777" w:rsidTr="00DD69E7">
        <w:tblPrEx>
          <w:tblCellMar>
            <w:left w:w="107" w:type="dxa"/>
            <w:right w:w="107" w:type="dxa"/>
          </w:tblCellMar>
        </w:tblPrEx>
        <w:trPr>
          <w:trHeight w:hRule="exact" w:val="288"/>
        </w:trPr>
        <w:tc>
          <w:tcPr>
            <w:tcW w:w="3125" w:type="pct"/>
            <w:shd w:val="clear" w:color="auto" w:fill="auto"/>
          </w:tcPr>
          <w:p w14:paraId="58897E73" w14:textId="77777777" w:rsidR="00587444" w:rsidRPr="00587444" w:rsidRDefault="00587444" w:rsidP="00587444">
            <w:pPr>
              <w:suppressAutoHyphens w:val="0"/>
              <w:autoSpaceDN/>
              <w:rPr>
                <w:rFonts w:ascii="Arial" w:hAnsi="Arial" w:cs="Arial"/>
                <w:sz w:val="20"/>
                <w:szCs w:val="20"/>
              </w:rPr>
            </w:pPr>
            <w:r w:rsidRPr="00587444">
              <w:rPr>
                <w:rFonts w:ascii="Arial" w:hAnsi="Arial" w:cs="Arial"/>
                <w:color w:val="000000"/>
                <w:sz w:val="20"/>
                <w:szCs w:val="20"/>
                <w:lang w:val="en-GB"/>
              </w:rPr>
              <w:t>EIF FRC2 Contracted Liability</w:t>
            </w:r>
          </w:p>
        </w:tc>
        <w:tc>
          <w:tcPr>
            <w:tcW w:w="926" w:type="pct"/>
            <w:tcBorders>
              <w:top w:val="nil"/>
              <w:left w:val="nil"/>
              <w:bottom w:val="nil"/>
              <w:right w:val="nil"/>
            </w:tcBorders>
            <w:shd w:val="clear" w:color="auto" w:fill="auto"/>
            <w:vAlign w:val="bottom"/>
          </w:tcPr>
          <w:p w14:paraId="2DC4E2BC"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 xml:space="preserve"> 3,037 </w:t>
            </w:r>
          </w:p>
        </w:tc>
        <w:tc>
          <w:tcPr>
            <w:tcW w:w="949" w:type="pct"/>
            <w:tcBorders>
              <w:top w:val="nil"/>
              <w:left w:val="nil"/>
              <w:bottom w:val="nil"/>
              <w:right w:val="nil"/>
            </w:tcBorders>
            <w:shd w:val="clear" w:color="auto" w:fill="auto"/>
            <w:vAlign w:val="bottom"/>
          </w:tcPr>
          <w:p w14:paraId="753B21C8" w14:textId="77777777" w:rsidR="00587444" w:rsidRPr="00587444" w:rsidRDefault="00587444" w:rsidP="00587444">
            <w:pPr>
              <w:suppressAutoHyphens w:val="0"/>
              <w:autoSpaceDN/>
              <w:jc w:val="right"/>
              <w:rPr>
                <w:rFonts w:ascii="Arial" w:hAnsi="Arial" w:cs="Arial"/>
                <w:sz w:val="20"/>
                <w:szCs w:val="20"/>
              </w:rPr>
            </w:pPr>
            <w:r w:rsidRPr="00587444">
              <w:rPr>
                <w:rFonts w:ascii="Arial" w:hAnsi="Arial" w:cs="Arial"/>
                <w:color w:val="000000"/>
                <w:sz w:val="20"/>
                <w:szCs w:val="20"/>
                <w:lang w:val="hr-HR"/>
              </w:rPr>
              <w:t>6,243</w:t>
            </w:r>
          </w:p>
        </w:tc>
      </w:tr>
      <w:bookmarkEnd w:id="934"/>
      <w:tr w:rsidR="00587444" w:rsidRPr="00587444" w14:paraId="328C933E" w14:textId="77777777" w:rsidTr="00DD69E7">
        <w:tblPrEx>
          <w:tblCellMar>
            <w:left w:w="107" w:type="dxa"/>
            <w:right w:w="107" w:type="dxa"/>
          </w:tblCellMar>
        </w:tblPrEx>
        <w:trPr>
          <w:trHeight w:val="330"/>
        </w:trPr>
        <w:tc>
          <w:tcPr>
            <w:tcW w:w="3125" w:type="pct"/>
            <w:shd w:val="clear" w:color="auto" w:fill="auto"/>
            <w:vAlign w:val="center"/>
          </w:tcPr>
          <w:p w14:paraId="2B24B8F3" w14:textId="77777777" w:rsidR="00587444" w:rsidRPr="00587444" w:rsidRDefault="00587444" w:rsidP="00587444">
            <w:pPr>
              <w:suppressAutoHyphens w:val="0"/>
              <w:autoSpaceDN/>
              <w:rPr>
                <w:rFonts w:ascii="Arial" w:hAnsi="Arial" w:cs="Arial"/>
                <w:color w:val="000000"/>
                <w:sz w:val="20"/>
                <w:szCs w:val="20"/>
                <w:lang w:eastAsia="hr-HR"/>
              </w:rPr>
            </w:pPr>
          </w:p>
        </w:tc>
        <w:tc>
          <w:tcPr>
            <w:tcW w:w="926" w:type="pct"/>
            <w:tcBorders>
              <w:top w:val="single" w:sz="4" w:space="0" w:color="auto"/>
              <w:bottom w:val="single" w:sz="4" w:space="0" w:color="auto"/>
            </w:tcBorders>
            <w:vAlign w:val="bottom"/>
          </w:tcPr>
          <w:p w14:paraId="3AD818D2"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3,333,605</w:t>
            </w:r>
          </w:p>
        </w:tc>
        <w:tc>
          <w:tcPr>
            <w:tcW w:w="949" w:type="pct"/>
            <w:tcBorders>
              <w:top w:val="single" w:sz="4" w:space="0" w:color="auto"/>
              <w:bottom w:val="single" w:sz="4" w:space="0" w:color="auto"/>
            </w:tcBorders>
            <w:vAlign w:val="bottom"/>
          </w:tcPr>
          <w:p w14:paraId="0F3D0244" w14:textId="77777777" w:rsidR="00587444" w:rsidRPr="00587444" w:rsidRDefault="00587444" w:rsidP="00587444">
            <w:pPr>
              <w:suppressAutoHyphens w:val="0"/>
              <w:autoSpaceDN/>
              <w:jc w:val="right"/>
              <w:rPr>
                <w:rFonts w:ascii="Arial" w:hAnsi="Arial" w:cs="Arial"/>
                <w:color w:val="000000"/>
                <w:sz w:val="20"/>
                <w:szCs w:val="20"/>
                <w:lang w:eastAsia="hr-HR"/>
              </w:rPr>
            </w:pPr>
            <w:r w:rsidRPr="00587444">
              <w:rPr>
                <w:rFonts w:ascii="Arial" w:hAnsi="Arial" w:cs="Arial"/>
                <w:color w:val="000000"/>
                <w:sz w:val="20"/>
                <w:szCs w:val="20"/>
                <w:lang w:val="hr-HR"/>
              </w:rPr>
              <w:t>4,384,607</w:t>
            </w:r>
          </w:p>
        </w:tc>
      </w:tr>
      <w:tr w:rsidR="00587444" w:rsidRPr="00587444" w14:paraId="5DCB2061" w14:textId="77777777" w:rsidTr="00DD69E7">
        <w:tblPrEx>
          <w:tblCellMar>
            <w:left w:w="107" w:type="dxa"/>
            <w:right w:w="107" w:type="dxa"/>
          </w:tblCellMar>
        </w:tblPrEx>
        <w:trPr>
          <w:trHeight w:val="290"/>
        </w:trPr>
        <w:tc>
          <w:tcPr>
            <w:tcW w:w="3125" w:type="pct"/>
            <w:shd w:val="clear" w:color="auto" w:fill="auto"/>
            <w:vAlign w:val="center"/>
          </w:tcPr>
          <w:p w14:paraId="55F96F43" w14:textId="77777777" w:rsidR="00587444" w:rsidRPr="00587444" w:rsidRDefault="00587444" w:rsidP="00587444">
            <w:pPr>
              <w:suppressAutoHyphens w:val="0"/>
              <w:autoSpaceDN/>
              <w:rPr>
                <w:rFonts w:ascii="Arial" w:hAnsi="Arial" w:cs="Arial"/>
                <w:color w:val="000000"/>
                <w:sz w:val="20"/>
                <w:szCs w:val="20"/>
                <w:lang w:eastAsia="hr-HR"/>
              </w:rPr>
            </w:pPr>
            <w:r w:rsidRPr="00587444">
              <w:rPr>
                <w:rFonts w:ascii="Arial" w:hAnsi="Arial" w:cs="Arial"/>
                <w:sz w:val="20"/>
                <w:szCs w:val="20"/>
              </w:rPr>
              <w:t>Provisions for guarantees and commitments</w:t>
            </w:r>
          </w:p>
        </w:tc>
        <w:tc>
          <w:tcPr>
            <w:tcW w:w="926" w:type="pct"/>
            <w:tcBorders>
              <w:top w:val="single" w:sz="4" w:space="0" w:color="auto"/>
              <w:bottom w:val="single" w:sz="4" w:space="0" w:color="auto"/>
            </w:tcBorders>
            <w:vAlign w:val="bottom"/>
          </w:tcPr>
          <w:p w14:paraId="5D2E50F4" w14:textId="77777777" w:rsidR="00587444" w:rsidRPr="00587444" w:rsidRDefault="00587444" w:rsidP="00587444">
            <w:pPr>
              <w:suppressAutoHyphens w:val="0"/>
              <w:autoSpaceDN/>
              <w:jc w:val="right"/>
              <w:rPr>
                <w:rFonts w:ascii="Arial" w:hAnsi="Arial" w:cs="Arial"/>
                <w:color w:val="000000"/>
                <w:sz w:val="20"/>
                <w:szCs w:val="20"/>
                <w:lang w:val="hr-HR"/>
              </w:rPr>
            </w:pPr>
            <w:r w:rsidRPr="00587444">
              <w:rPr>
                <w:rFonts w:ascii="Arial" w:hAnsi="Arial" w:cs="Arial"/>
                <w:color w:val="000000"/>
                <w:sz w:val="20"/>
                <w:szCs w:val="20"/>
                <w:lang w:val="hr-HR"/>
              </w:rPr>
              <w:t>(80,726)</w:t>
            </w:r>
          </w:p>
        </w:tc>
        <w:tc>
          <w:tcPr>
            <w:tcW w:w="949" w:type="pct"/>
            <w:tcBorders>
              <w:top w:val="single" w:sz="4" w:space="0" w:color="auto"/>
              <w:bottom w:val="single" w:sz="4" w:space="0" w:color="auto"/>
            </w:tcBorders>
            <w:vAlign w:val="bottom"/>
          </w:tcPr>
          <w:p w14:paraId="54E484E5" w14:textId="77777777" w:rsidR="00587444" w:rsidRPr="00587444" w:rsidRDefault="00587444" w:rsidP="00587444">
            <w:pPr>
              <w:suppressAutoHyphens w:val="0"/>
              <w:autoSpaceDN/>
              <w:jc w:val="right"/>
              <w:rPr>
                <w:rFonts w:ascii="Arial" w:hAnsi="Arial" w:cs="Arial"/>
                <w:color w:val="000000"/>
                <w:sz w:val="20"/>
                <w:szCs w:val="20"/>
                <w:lang w:eastAsia="hr-HR"/>
              </w:rPr>
            </w:pPr>
            <w:r w:rsidRPr="00587444">
              <w:rPr>
                <w:rFonts w:ascii="Arial" w:hAnsi="Arial" w:cs="Arial"/>
                <w:color w:val="000000"/>
                <w:sz w:val="20"/>
                <w:szCs w:val="20"/>
                <w:lang w:val="hr-HR"/>
              </w:rPr>
              <w:t>(129,587)</w:t>
            </w:r>
          </w:p>
        </w:tc>
      </w:tr>
      <w:tr w:rsidR="00587444" w:rsidRPr="00587444" w14:paraId="08F400E0" w14:textId="77777777" w:rsidTr="00DD69E7">
        <w:tblPrEx>
          <w:tblCellMar>
            <w:left w:w="107" w:type="dxa"/>
            <w:right w:w="107" w:type="dxa"/>
          </w:tblCellMar>
        </w:tblPrEx>
        <w:trPr>
          <w:trHeight w:hRule="exact" w:val="415"/>
        </w:trPr>
        <w:tc>
          <w:tcPr>
            <w:tcW w:w="3125" w:type="pct"/>
            <w:shd w:val="clear" w:color="auto" w:fill="auto"/>
            <w:vAlign w:val="center"/>
          </w:tcPr>
          <w:p w14:paraId="54A60540" w14:textId="77777777" w:rsidR="00587444" w:rsidRPr="00587444" w:rsidRDefault="00587444" w:rsidP="00587444">
            <w:pPr>
              <w:suppressAutoHyphens w:val="0"/>
              <w:autoSpaceDN/>
              <w:rPr>
                <w:rFonts w:ascii="Arial" w:hAnsi="Arial" w:cs="Arial"/>
                <w:b/>
                <w:bCs/>
                <w:color w:val="000000"/>
                <w:sz w:val="20"/>
                <w:szCs w:val="20"/>
                <w:lang w:eastAsia="hr-HR"/>
              </w:rPr>
            </w:pPr>
          </w:p>
        </w:tc>
        <w:tc>
          <w:tcPr>
            <w:tcW w:w="926" w:type="pct"/>
            <w:tcBorders>
              <w:top w:val="single" w:sz="4" w:space="0" w:color="auto"/>
              <w:bottom w:val="single" w:sz="12" w:space="0" w:color="auto"/>
            </w:tcBorders>
            <w:vAlign w:val="bottom"/>
          </w:tcPr>
          <w:p w14:paraId="00244431" w14:textId="77777777" w:rsidR="00587444" w:rsidRPr="00587444" w:rsidRDefault="00587444" w:rsidP="00587444">
            <w:pPr>
              <w:suppressAutoHyphens w:val="0"/>
              <w:autoSpaceDN/>
              <w:jc w:val="right"/>
              <w:rPr>
                <w:rFonts w:ascii="Arial" w:hAnsi="Arial" w:cs="Arial"/>
                <w:b/>
                <w:bCs/>
                <w:color w:val="000000"/>
                <w:sz w:val="20"/>
                <w:szCs w:val="20"/>
                <w:lang w:val="hr-HR"/>
              </w:rPr>
            </w:pPr>
            <w:r w:rsidRPr="00587444">
              <w:rPr>
                <w:rFonts w:ascii="Arial" w:hAnsi="Arial" w:cs="Arial"/>
                <w:b/>
                <w:bCs/>
                <w:color w:val="000000"/>
                <w:sz w:val="20"/>
                <w:szCs w:val="20"/>
                <w:lang w:val="hr-HR"/>
              </w:rPr>
              <w:t>3,252,879</w:t>
            </w:r>
          </w:p>
        </w:tc>
        <w:tc>
          <w:tcPr>
            <w:tcW w:w="949" w:type="pct"/>
            <w:tcBorders>
              <w:top w:val="single" w:sz="4" w:space="0" w:color="auto"/>
              <w:bottom w:val="single" w:sz="12" w:space="0" w:color="auto"/>
            </w:tcBorders>
            <w:vAlign w:val="bottom"/>
          </w:tcPr>
          <w:p w14:paraId="0A58BA69" w14:textId="77777777" w:rsidR="00587444" w:rsidRPr="00587444" w:rsidRDefault="00587444" w:rsidP="00587444">
            <w:pPr>
              <w:suppressAutoHyphens w:val="0"/>
              <w:autoSpaceDN/>
              <w:jc w:val="right"/>
              <w:rPr>
                <w:rFonts w:ascii="Arial" w:hAnsi="Arial" w:cs="Arial"/>
                <w:b/>
                <w:color w:val="000000"/>
                <w:sz w:val="20"/>
                <w:szCs w:val="20"/>
                <w:lang w:eastAsia="hr-HR"/>
              </w:rPr>
            </w:pPr>
            <w:r w:rsidRPr="00587444">
              <w:rPr>
                <w:rFonts w:ascii="Arial" w:hAnsi="Arial" w:cs="Arial"/>
                <w:b/>
                <w:bCs/>
                <w:color w:val="000000"/>
                <w:sz w:val="20"/>
                <w:szCs w:val="20"/>
                <w:lang w:val="hr-HR"/>
              </w:rPr>
              <w:t>4,255,020</w:t>
            </w:r>
          </w:p>
        </w:tc>
      </w:tr>
    </w:tbl>
    <w:p w14:paraId="13D2521B" w14:textId="77777777" w:rsidR="00587444" w:rsidRPr="00587444" w:rsidRDefault="00587444" w:rsidP="00587444">
      <w:pPr>
        <w:suppressAutoHyphens w:val="0"/>
        <w:autoSpaceDN/>
        <w:rPr>
          <w:rFonts w:ascii="Arial" w:eastAsia="Calibri" w:hAnsi="Arial" w:cs="Arial"/>
          <w:noProof/>
          <w:sz w:val="20"/>
          <w:szCs w:val="20"/>
          <w:lang w:val="en-GB"/>
        </w:rPr>
      </w:pPr>
    </w:p>
    <w:p w14:paraId="06A49DFF" w14:textId="77777777" w:rsidR="00587444" w:rsidRPr="00587444" w:rsidRDefault="00587444" w:rsidP="00880B90">
      <w:pPr>
        <w:keepNext/>
        <w:autoSpaceDN/>
        <w:jc w:val="both"/>
        <w:rPr>
          <w:rFonts w:ascii="Arial" w:hAnsi="Arial" w:cs="Arial"/>
          <w:bCs/>
          <w:sz w:val="20"/>
          <w:szCs w:val="20"/>
          <w:lang w:val="en-GB"/>
        </w:rPr>
      </w:pPr>
      <w:r w:rsidRPr="00587444">
        <w:rPr>
          <w:rFonts w:ascii="Arial" w:hAnsi="Arial" w:cs="Arial"/>
          <w:bCs/>
          <w:sz w:val="20"/>
          <w:szCs w:val="20"/>
          <w:lang w:val="en-GB"/>
        </w:rPr>
        <w:t>The following tables set out information about the credit quality of guarantees and commitments. For loan commitments and financial guarantee contracts, the amounts in the tables represent the amount committed or guaranteed:</w:t>
      </w:r>
    </w:p>
    <w:p w14:paraId="744DF775" w14:textId="77777777" w:rsidR="00587444" w:rsidRPr="00587444" w:rsidRDefault="00587444" w:rsidP="00587444">
      <w:pPr>
        <w:suppressAutoHyphens w:val="0"/>
        <w:autoSpaceDN/>
        <w:rPr>
          <w:rFonts w:ascii="Arial" w:eastAsia="Calibri" w:hAnsi="Arial" w:cs="Arial"/>
          <w:sz w:val="20"/>
          <w:szCs w:val="20"/>
          <w:lang w:val="en-GB"/>
        </w:rPr>
      </w:pPr>
    </w:p>
    <w:tbl>
      <w:tblPr>
        <w:tblW w:w="4887" w:type="pct"/>
        <w:tblLayout w:type="fixed"/>
        <w:tblLook w:val="0000" w:firstRow="0" w:lastRow="0" w:firstColumn="0" w:lastColumn="0" w:noHBand="0" w:noVBand="0"/>
      </w:tblPr>
      <w:tblGrid>
        <w:gridCol w:w="2147"/>
        <w:gridCol w:w="1173"/>
        <w:gridCol w:w="1173"/>
        <w:gridCol w:w="1173"/>
        <w:gridCol w:w="1173"/>
        <w:gridCol w:w="1336"/>
        <w:gridCol w:w="1171"/>
        <w:gridCol w:w="9"/>
      </w:tblGrid>
      <w:tr w:rsidR="00587444" w:rsidRPr="00587444" w14:paraId="1B5C1FA6" w14:textId="77777777" w:rsidTr="00DD69E7">
        <w:trPr>
          <w:trHeight w:val="306"/>
        </w:trPr>
        <w:tc>
          <w:tcPr>
            <w:tcW w:w="1147" w:type="pct"/>
            <w:vAlign w:val="bottom"/>
          </w:tcPr>
          <w:p w14:paraId="6E1B29B4" w14:textId="77777777" w:rsidR="00587444" w:rsidRPr="00587444" w:rsidRDefault="00587444" w:rsidP="00587444">
            <w:pPr>
              <w:tabs>
                <w:tab w:val="left" w:pos="-720"/>
              </w:tabs>
              <w:autoSpaceDN/>
              <w:spacing w:line="220" w:lineRule="exact"/>
              <w:rPr>
                <w:rFonts w:ascii="Arial" w:hAnsi="Arial" w:cs="Arial"/>
                <w:b/>
                <w:sz w:val="18"/>
                <w:szCs w:val="18"/>
                <w:lang w:val="en-GB"/>
              </w:rPr>
            </w:pPr>
            <w:r w:rsidRPr="00587444">
              <w:rPr>
                <w:rFonts w:ascii="Arial" w:hAnsi="Arial" w:cs="Arial"/>
                <w:b/>
                <w:sz w:val="18"/>
                <w:szCs w:val="18"/>
                <w:lang w:val="en-GB"/>
              </w:rPr>
              <w:t>31 December 2022</w:t>
            </w:r>
          </w:p>
        </w:tc>
        <w:tc>
          <w:tcPr>
            <w:tcW w:w="627" w:type="pct"/>
          </w:tcPr>
          <w:p w14:paraId="231BD54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3227" w:type="pct"/>
            <w:gridSpan w:val="6"/>
          </w:tcPr>
          <w:p w14:paraId="7DD2CF0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Group and Bank</w:t>
            </w:r>
          </w:p>
        </w:tc>
      </w:tr>
      <w:tr w:rsidR="00587444" w:rsidRPr="00587444" w14:paraId="46B7E8BE" w14:textId="77777777" w:rsidTr="00DD69E7">
        <w:trPr>
          <w:gridAfter w:val="1"/>
          <w:wAfter w:w="5" w:type="pct"/>
          <w:trHeight w:val="236"/>
        </w:trPr>
        <w:tc>
          <w:tcPr>
            <w:tcW w:w="1147" w:type="pct"/>
            <w:vAlign w:val="bottom"/>
          </w:tcPr>
          <w:p w14:paraId="3836E578" w14:textId="77777777" w:rsidR="00587444" w:rsidRPr="00587444" w:rsidRDefault="00587444" w:rsidP="00587444">
            <w:pPr>
              <w:tabs>
                <w:tab w:val="left" w:pos="-720"/>
              </w:tabs>
              <w:autoSpaceDN/>
              <w:spacing w:line="220" w:lineRule="exact"/>
              <w:rPr>
                <w:rFonts w:ascii="Arial" w:hAnsi="Arial" w:cs="Arial"/>
                <w:sz w:val="18"/>
                <w:szCs w:val="18"/>
                <w:lang w:val="en-GB"/>
              </w:rPr>
            </w:pPr>
          </w:p>
        </w:tc>
        <w:tc>
          <w:tcPr>
            <w:tcW w:w="627" w:type="pct"/>
            <w:vAlign w:val="bottom"/>
          </w:tcPr>
          <w:p w14:paraId="2D0DEEF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1</w:t>
            </w:r>
          </w:p>
        </w:tc>
        <w:tc>
          <w:tcPr>
            <w:tcW w:w="627" w:type="pct"/>
            <w:vAlign w:val="bottom"/>
          </w:tcPr>
          <w:p w14:paraId="0A95EA7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2</w:t>
            </w:r>
          </w:p>
        </w:tc>
        <w:tc>
          <w:tcPr>
            <w:tcW w:w="627" w:type="pct"/>
            <w:vAlign w:val="bottom"/>
          </w:tcPr>
          <w:p w14:paraId="3451154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3</w:t>
            </w:r>
          </w:p>
        </w:tc>
        <w:tc>
          <w:tcPr>
            <w:tcW w:w="627" w:type="pct"/>
            <w:vAlign w:val="bottom"/>
          </w:tcPr>
          <w:p w14:paraId="25A9044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POCI</w:t>
            </w:r>
          </w:p>
        </w:tc>
        <w:tc>
          <w:tcPr>
            <w:tcW w:w="714" w:type="pct"/>
          </w:tcPr>
          <w:p w14:paraId="6016E5D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Without stage</w:t>
            </w:r>
          </w:p>
        </w:tc>
        <w:tc>
          <w:tcPr>
            <w:tcW w:w="626" w:type="pct"/>
            <w:vAlign w:val="bottom"/>
          </w:tcPr>
          <w:p w14:paraId="697BA00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Total</w:t>
            </w:r>
          </w:p>
        </w:tc>
      </w:tr>
      <w:tr w:rsidR="00587444" w:rsidRPr="00587444" w14:paraId="74CB6ADE" w14:textId="77777777" w:rsidTr="00DD69E7">
        <w:trPr>
          <w:gridAfter w:val="1"/>
          <w:wAfter w:w="5" w:type="pct"/>
          <w:trHeight w:val="236"/>
        </w:trPr>
        <w:tc>
          <w:tcPr>
            <w:tcW w:w="1147" w:type="pct"/>
            <w:vAlign w:val="bottom"/>
          </w:tcPr>
          <w:p w14:paraId="18688895" w14:textId="77777777" w:rsidR="00587444" w:rsidRPr="00587444" w:rsidRDefault="00587444" w:rsidP="00587444">
            <w:pPr>
              <w:tabs>
                <w:tab w:val="left" w:pos="-720"/>
              </w:tabs>
              <w:autoSpaceDN/>
              <w:spacing w:line="220" w:lineRule="exact"/>
              <w:rPr>
                <w:rFonts w:ascii="Arial" w:hAnsi="Arial" w:cs="Arial"/>
                <w:sz w:val="18"/>
                <w:szCs w:val="18"/>
                <w:lang w:val="en-GB"/>
              </w:rPr>
            </w:pPr>
          </w:p>
        </w:tc>
        <w:tc>
          <w:tcPr>
            <w:tcW w:w="627" w:type="pct"/>
            <w:vAlign w:val="bottom"/>
          </w:tcPr>
          <w:p w14:paraId="7D4C818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 xml:space="preserve">HRK </w:t>
            </w:r>
            <w:r w:rsidRPr="00587444">
              <w:rPr>
                <w:rFonts w:ascii="Arial" w:hAnsi="Arial" w:cs="Arial"/>
                <w:sz w:val="18"/>
                <w:szCs w:val="18"/>
              </w:rPr>
              <w:t>‘</w:t>
            </w:r>
            <w:r w:rsidRPr="00587444">
              <w:rPr>
                <w:rFonts w:ascii="Arial" w:hAnsi="Arial" w:cs="Arial"/>
                <w:b/>
                <w:sz w:val="18"/>
                <w:szCs w:val="18"/>
                <w:lang w:val="en-GB"/>
              </w:rPr>
              <w:t>000</w:t>
            </w:r>
          </w:p>
        </w:tc>
        <w:tc>
          <w:tcPr>
            <w:tcW w:w="627" w:type="pct"/>
            <w:vAlign w:val="bottom"/>
          </w:tcPr>
          <w:p w14:paraId="7B11601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 xml:space="preserve">HRK </w:t>
            </w:r>
            <w:r w:rsidRPr="00587444">
              <w:rPr>
                <w:rFonts w:ascii="Arial" w:hAnsi="Arial" w:cs="Arial"/>
                <w:sz w:val="18"/>
                <w:szCs w:val="18"/>
              </w:rPr>
              <w:t>‘</w:t>
            </w:r>
            <w:r w:rsidRPr="00587444">
              <w:rPr>
                <w:rFonts w:ascii="Arial" w:hAnsi="Arial" w:cs="Arial"/>
                <w:b/>
                <w:sz w:val="18"/>
                <w:szCs w:val="18"/>
                <w:lang w:val="en-GB"/>
              </w:rPr>
              <w:t>000</w:t>
            </w:r>
          </w:p>
        </w:tc>
        <w:tc>
          <w:tcPr>
            <w:tcW w:w="627" w:type="pct"/>
            <w:vAlign w:val="bottom"/>
          </w:tcPr>
          <w:p w14:paraId="649F788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 xml:space="preserve">HRK </w:t>
            </w:r>
            <w:r w:rsidRPr="00587444">
              <w:rPr>
                <w:rFonts w:ascii="Arial" w:hAnsi="Arial" w:cs="Arial"/>
                <w:sz w:val="18"/>
                <w:szCs w:val="18"/>
              </w:rPr>
              <w:t>‘</w:t>
            </w:r>
            <w:r w:rsidRPr="00587444">
              <w:rPr>
                <w:rFonts w:ascii="Arial" w:hAnsi="Arial" w:cs="Arial"/>
                <w:b/>
                <w:sz w:val="18"/>
                <w:szCs w:val="18"/>
                <w:lang w:val="en-GB"/>
              </w:rPr>
              <w:t>000</w:t>
            </w:r>
          </w:p>
        </w:tc>
        <w:tc>
          <w:tcPr>
            <w:tcW w:w="627" w:type="pct"/>
            <w:vAlign w:val="center"/>
          </w:tcPr>
          <w:p w14:paraId="54DF420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 xml:space="preserve">HRK </w:t>
            </w:r>
            <w:r w:rsidRPr="00587444">
              <w:rPr>
                <w:rFonts w:ascii="Arial" w:hAnsi="Arial" w:cs="Arial"/>
                <w:sz w:val="18"/>
                <w:szCs w:val="18"/>
              </w:rPr>
              <w:t>‘</w:t>
            </w:r>
            <w:r w:rsidRPr="00587444">
              <w:rPr>
                <w:rFonts w:ascii="Arial" w:hAnsi="Arial" w:cs="Arial"/>
                <w:b/>
                <w:sz w:val="18"/>
                <w:szCs w:val="18"/>
                <w:lang w:val="en-GB"/>
              </w:rPr>
              <w:t>000</w:t>
            </w:r>
          </w:p>
        </w:tc>
        <w:tc>
          <w:tcPr>
            <w:tcW w:w="714" w:type="pct"/>
          </w:tcPr>
          <w:p w14:paraId="13F5243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 xml:space="preserve">HRK </w:t>
            </w:r>
            <w:r w:rsidRPr="00587444">
              <w:rPr>
                <w:rFonts w:ascii="Arial" w:hAnsi="Arial" w:cs="Arial"/>
                <w:sz w:val="18"/>
                <w:szCs w:val="18"/>
              </w:rPr>
              <w:t>‘</w:t>
            </w:r>
            <w:r w:rsidRPr="00587444">
              <w:rPr>
                <w:rFonts w:ascii="Arial" w:hAnsi="Arial" w:cs="Arial"/>
                <w:b/>
                <w:sz w:val="18"/>
                <w:szCs w:val="18"/>
                <w:lang w:val="en-GB"/>
              </w:rPr>
              <w:t>000</w:t>
            </w:r>
          </w:p>
        </w:tc>
        <w:tc>
          <w:tcPr>
            <w:tcW w:w="626" w:type="pct"/>
            <w:vAlign w:val="bottom"/>
          </w:tcPr>
          <w:p w14:paraId="3E7A4C3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 xml:space="preserve">HRK </w:t>
            </w:r>
            <w:r w:rsidRPr="00587444">
              <w:rPr>
                <w:rFonts w:ascii="Arial" w:hAnsi="Arial" w:cs="Arial"/>
                <w:sz w:val="18"/>
                <w:szCs w:val="18"/>
              </w:rPr>
              <w:t>‘</w:t>
            </w:r>
            <w:r w:rsidRPr="00587444">
              <w:rPr>
                <w:rFonts w:ascii="Arial" w:hAnsi="Arial" w:cs="Arial"/>
                <w:b/>
                <w:sz w:val="18"/>
                <w:szCs w:val="18"/>
                <w:lang w:val="en-GB"/>
              </w:rPr>
              <w:t>000</w:t>
            </w:r>
          </w:p>
        </w:tc>
      </w:tr>
      <w:tr w:rsidR="00587444" w:rsidRPr="00587444" w14:paraId="134BBC2E" w14:textId="77777777" w:rsidTr="00DD69E7">
        <w:trPr>
          <w:gridAfter w:val="1"/>
          <w:wAfter w:w="5" w:type="pct"/>
          <w:trHeight w:val="316"/>
        </w:trPr>
        <w:tc>
          <w:tcPr>
            <w:tcW w:w="1147" w:type="pct"/>
            <w:vAlign w:val="bottom"/>
          </w:tcPr>
          <w:p w14:paraId="3ACFB505" w14:textId="77777777" w:rsidR="00587444" w:rsidRPr="00587444" w:rsidRDefault="00587444" w:rsidP="00587444">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Gross amount</w:t>
            </w:r>
          </w:p>
        </w:tc>
        <w:tc>
          <w:tcPr>
            <w:tcW w:w="627" w:type="pct"/>
            <w:tcBorders>
              <w:top w:val="nil"/>
              <w:left w:val="nil"/>
              <w:bottom w:val="nil"/>
              <w:right w:val="nil"/>
            </w:tcBorders>
            <w:shd w:val="clear" w:color="auto" w:fill="auto"/>
            <w:vAlign w:val="bottom"/>
          </w:tcPr>
          <w:p w14:paraId="4D6049B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sz w:val="18"/>
                <w:szCs w:val="18"/>
              </w:rPr>
              <w:t xml:space="preserve"> 2,580,439 </w:t>
            </w:r>
          </w:p>
        </w:tc>
        <w:tc>
          <w:tcPr>
            <w:tcW w:w="627" w:type="pct"/>
            <w:tcBorders>
              <w:top w:val="nil"/>
              <w:left w:val="nil"/>
              <w:bottom w:val="nil"/>
              <w:right w:val="nil"/>
            </w:tcBorders>
            <w:shd w:val="clear" w:color="auto" w:fill="auto"/>
            <w:vAlign w:val="bottom"/>
          </w:tcPr>
          <w:p w14:paraId="01F90DE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sz w:val="18"/>
                <w:szCs w:val="18"/>
              </w:rPr>
              <w:t xml:space="preserve"> 89,319 </w:t>
            </w:r>
          </w:p>
        </w:tc>
        <w:tc>
          <w:tcPr>
            <w:tcW w:w="627" w:type="pct"/>
            <w:tcBorders>
              <w:top w:val="nil"/>
              <w:left w:val="nil"/>
              <w:bottom w:val="nil"/>
              <w:right w:val="nil"/>
            </w:tcBorders>
            <w:shd w:val="clear" w:color="auto" w:fill="auto"/>
            <w:vAlign w:val="bottom"/>
          </w:tcPr>
          <w:p w14:paraId="4A98477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sz w:val="18"/>
                <w:szCs w:val="18"/>
              </w:rPr>
              <w:t xml:space="preserve"> 179,389 </w:t>
            </w:r>
          </w:p>
        </w:tc>
        <w:tc>
          <w:tcPr>
            <w:tcW w:w="627" w:type="pct"/>
            <w:tcBorders>
              <w:top w:val="nil"/>
              <w:left w:val="nil"/>
              <w:bottom w:val="nil"/>
              <w:right w:val="nil"/>
            </w:tcBorders>
            <w:shd w:val="clear" w:color="auto" w:fill="auto"/>
            <w:vAlign w:val="bottom"/>
          </w:tcPr>
          <w:p w14:paraId="4EFB730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8"/>
                <w:szCs w:val="18"/>
                <w:lang w:val="en-GB"/>
              </w:rPr>
            </w:pPr>
            <w:r w:rsidRPr="00587444">
              <w:rPr>
                <w:rFonts w:ascii="Arial" w:hAnsi="Arial" w:cs="Arial"/>
                <w:sz w:val="18"/>
                <w:szCs w:val="18"/>
              </w:rPr>
              <w:t xml:space="preserve"> 128,496 </w:t>
            </w:r>
          </w:p>
        </w:tc>
        <w:tc>
          <w:tcPr>
            <w:tcW w:w="714" w:type="pct"/>
            <w:tcBorders>
              <w:top w:val="nil"/>
              <w:left w:val="nil"/>
              <w:bottom w:val="nil"/>
              <w:right w:val="nil"/>
            </w:tcBorders>
            <w:vAlign w:val="bottom"/>
          </w:tcPr>
          <w:p w14:paraId="1F79DF7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sz w:val="18"/>
                <w:szCs w:val="18"/>
              </w:rPr>
              <w:t xml:space="preserve"> 1,243 </w:t>
            </w:r>
          </w:p>
        </w:tc>
        <w:tc>
          <w:tcPr>
            <w:tcW w:w="626" w:type="pct"/>
            <w:tcBorders>
              <w:top w:val="nil"/>
              <w:left w:val="nil"/>
              <w:bottom w:val="nil"/>
              <w:right w:val="nil"/>
            </w:tcBorders>
            <w:shd w:val="clear" w:color="auto" w:fill="auto"/>
            <w:vAlign w:val="bottom"/>
          </w:tcPr>
          <w:p w14:paraId="217EA9F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8"/>
                <w:szCs w:val="18"/>
                <w:lang w:val="en-GB"/>
              </w:rPr>
            </w:pPr>
            <w:r w:rsidRPr="00587444">
              <w:rPr>
                <w:rFonts w:ascii="Arial" w:hAnsi="Arial" w:cs="Arial"/>
                <w:b/>
                <w:bCs/>
                <w:sz w:val="18"/>
                <w:szCs w:val="18"/>
              </w:rPr>
              <w:t xml:space="preserve"> 2,978,886 </w:t>
            </w:r>
          </w:p>
        </w:tc>
      </w:tr>
      <w:tr w:rsidR="00587444" w:rsidRPr="00587444" w14:paraId="46881E03" w14:textId="77777777" w:rsidTr="00DD69E7">
        <w:trPr>
          <w:gridAfter w:val="1"/>
          <w:wAfter w:w="5" w:type="pct"/>
          <w:trHeight w:val="316"/>
        </w:trPr>
        <w:tc>
          <w:tcPr>
            <w:tcW w:w="1147" w:type="pct"/>
            <w:vAlign w:val="bottom"/>
          </w:tcPr>
          <w:p w14:paraId="5B7EFAD0" w14:textId="77777777" w:rsidR="00587444" w:rsidRPr="00587444" w:rsidRDefault="00587444" w:rsidP="00587444">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Loss allowances</w:t>
            </w:r>
          </w:p>
        </w:tc>
        <w:tc>
          <w:tcPr>
            <w:tcW w:w="627" w:type="pct"/>
            <w:tcBorders>
              <w:top w:val="nil"/>
              <w:left w:val="nil"/>
              <w:bottom w:val="nil"/>
              <w:right w:val="nil"/>
            </w:tcBorders>
            <w:shd w:val="clear" w:color="auto" w:fill="auto"/>
            <w:vAlign w:val="bottom"/>
          </w:tcPr>
          <w:p w14:paraId="3168F00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sz w:val="18"/>
                <w:szCs w:val="18"/>
              </w:rPr>
              <w:t xml:space="preserve"> (10,456)</w:t>
            </w:r>
          </w:p>
        </w:tc>
        <w:tc>
          <w:tcPr>
            <w:tcW w:w="627" w:type="pct"/>
            <w:tcBorders>
              <w:top w:val="nil"/>
              <w:left w:val="nil"/>
              <w:bottom w:val="nil"/>
              <w:right w:val="nil"/>
            </w:tcBorders>
            <w:shd w:val="clear" w:color="auto" w:fill="auto"/>
            <w:vAlign w:val="bottom"/>
          </w:tcPr>
          <w:p w14:paraId="21CE118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sz w:val="18"/>
                <w:szCs w:val="18"/>
              </w:rPr>
              <w:t xml:space="preserve"> (12,581)</w:t>
            </w:r>
          </w:p>
        </w:tc>
        <w:tc>
          <w:tcPr>
            <w:tcW w:w="627" w:type="pct"/>
            <w:tcBorders>
              <w:top w:val="nil"/>
              <w:left w:val="nil"/>
              <w:bottom w:val="nil"/>
              <w:right w:val="nil"/>
            </w:tcBorders>
            <w:shd w:val="clear" w:color="auto" w:fill="auto"/>
            <w:vAlign w:val="bottom"/>
          </w:tcPr>
          <w:p w14:paraId="7983CDC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sz w:val="18"/>
                <w:szCs w:val="18"/>
              </w:rPr>
              <w:t xml:space="preserve"> (53,440)</w:t>
            </w:r>
          </w:p>
        </w:tc>
        <w:tc>
          <w:tcPr>
            <w:tcW w:w="627" w:type="pct"/>
            <w:tcBorders>
              <w:top w:val="nil"/>
              <w:left w:val="nil"/>
              <w:bottom w:val="nil"/>
              <w:right w:val="nil"/>
            </w:tcBorders>
            <w:shd w:val="clear" w:color="auto" w:fill="auto"/>
            <w:vAlign w:val="bottom"/>
          </w:tcPr>
          <w:p w14:paraId="5079FB5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8"/>
                <w:szCs w:val="18"/>
                <w:lang w:val="en-GB"/>
              </w:rPr>
            </w:pPr>
            <w:r w:rsidRPr="00587444">
              <w:rPr>
                <w:rFonts w:ascii="Arial" w:hAnsi="Arial" w:cs="Arial"/>
                <w:sz w:val="18"/>
                <w:szCs w:val="18"/>
              </w:rPr>
              <w:t xml:space="preserve"> (4,249)</w:t>
            </w:r>
          </w:p>
        </w:tc>
        <w:tc>
          <w:tcPr>
            <w:tcW w:w="714" w:type="pct"/>
            <w:tcBorders>
              <w:top w:val="nil"/>
              <w:left w:val="nil"/>
              <w:bottom w:val="nil"/>
              <w:right w:val="nil"/>
            </w:tcBorders>
            <w:vAlign w:val="bottom"/>
          </w:tcPr>
          <w:p w14:paraId="72AB634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sz w:val="18"/>
                <w:szCs w:val="18"/>
              </w:rPr>
              <w:t xml:space="preserve"> -    </w:t>
            </w:r>
          </w:p>
        </w:tc>
        <w:tc>
          <w:tcPr>
            <w:tcW w:w="626" w:type="pct"/>
            <w:tcBorders>
              <w:top w:val="nil"/>
              <w:left w:val="nil"/>
              <w:bottom w:val="nil"/>
              <w:right w:val="nil"/>
            </w:tcBorders>
            <w:shd w:val="clear" w:color="auto" w:fill="auto"/>
            <w:vAlign w:val="bottom"/>
          </w:tcPr>
          <w:p w14:paraId="340BDF7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8"/>
                <w:szCs w:val="18"/>
                <w:lang w:val="en-GB"/>
              </w:rPr>
            </w:pPr>
            <w:r w:rsidRPr="00587444">
              <w:rPr>
                <w:rFonts w:ascii="Arial" w:hAnsi="Arial" w:cs="Arial"/>
                <w:b/>
                <w:bCs/>
                <w:sz w:val="18"/>
                <w:szCs w:val="18"/>
              </w:rPr>
              <w:t xml:space="preserve"> (80,726)</w:t>
            </w:r>
          </w:p>
        </w:tc>
      </w:tr>
      <w:tr w:rsidR="00587444" w:rsidRPr="00587444" w14:paraId="31634C15" w14:textId="77777777" w:rsidTr="00DD69E7">
        <w:trPr>
          <w:gridAfter w:val="1"/>
          <w:wAfter w:w="5" w:type="pct"/>
          <w:trHeight w:val="263"/>
        </w:trPr>
        <w:tc>
          <w:tcPr>
            <w:tcW w:w="1147" w:type="pct"/>
            <w:vAlign w:val="bottom"/>
          </w:tcPr>
          <w:p w14:paraId="6EF42DC2" w14:textId="77777777" w:rsidR="00587444" w:rsidRPr="00587444" w:rsidRDefault="00587444" w:rsidP="00587444">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 xml:space="preserve">Balance as of </w:t>
            </w:r>
          </w:p>
          <w:p w14:paraId="288C4F0F" w14:textId="77777777" w:rsidR="00587444" w:rsidRPr="00587444" w:rsidRDefault="00587444" w:rsidP="00587444">
            <w:pPr>
              <w:tabs>
                <w:tab w:val="right" w:pos="1202"/>
              </w:tabs>
              <w:suppressAutoHyphens w:val="0"/>
              <w:autoSpaceDN/>
              <w:spacing w:line="240" w:lineRule="exact"/>
              <w:outlineLvl w:val="0"/>
              <w:rPr>
                <w:rFonts w:ascii="Arial" w:hAnsi="Arial" w:cs="Arial"/>
                <w:b/>
                <w:sz w:val="18"/>
                <w:szCs w:val="18"/>
                <w:lang w:val="en-GB"/>
              </w:rPr>
            </w:pPr>
            <w:r w:rsidRPr="00587444">
              <w:rPr>
                <w:rFonts w:ascii="Arial" w:hAnsi="Arial" w:cs="Arial"/>
                <w:b/>
                <w:sz w:val="18"/>
                <w:szCs w:val="18"/>
                <w:lang w:val="en-GB"/>
              </w:rPr>
              <w:t>31 December 2022</w:t>
            </w:r>
          </w:p>
        </w:tc>
        <w:tc>
          <w:tcPr>
            <w:tcW w:w="627" w:type="pct"/>
            <w:tcBorders>
              <w:top w:val="single" w:sz="4" w:space="0" w:color="auto"/>
              <w:left w:val="nil"/>
              <w:bottom w:val="single" w:sz="8" w:space="0" w:color="auto"/>
              <w:right w:val="nil"/>
            </w:tcBorders>
            <w:shd w:val="clear" w:color="auto" w:fill="auto"/>
            <w:vAlign w:val="bottom"/>
          </w:tcPr>
          <w:p w14:paraId="29C1B55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b/>
                <w:bCs/>
                <w:sz w:val="18"/>
                <w:szCs w:val="18"/>
              </w:rPr>
              <w:t xml:space="preserve"> 2,569,983 </w:t>
            </w:r>
          </w:p>
        </w:tc>
        <w:tc>
          <w:tcPr>
            <w:tcW w:w="627" w:type="pct"/>
            <w:tcBorders>
              <w:top w:val="single" w:sz="4" w:space="0" w:color="auto"/>
              <w:left w:val="nil"/>
              <w:bottom w:val="single" w:sz="8" w:space="0" w:color="auto"/>
              <w:right w:val="nil"/>
            </w:tcBorders>
            <w:shd w:val="clear" w:color="auto" w:fill="auto"/>
            <w:vAlign w:val="bottom"/>
          </w:tcPr>
          <w:p w14:paraId="07576C2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b/>
                <w:bCs/>
                <w:sz w:val="18"/>
                <w:szCs w:val="18"/>
              </w:rPr>
              <w:t xml:space="preserve"> 76,738 </w:t>
            </w:r>
          </w:p>
        </w:tc>
        <w:tc>
          <w:tcPr>
            <w:tcW w:w="627" w:type="pct"/>
            <w:tcBorders>
              <w:top w:val="single" w:sz="4" w:space="0" w:color="auto"/>
              <w:left w:val="nil"/>
              <w:bottom w:val="single" w:sz="8" w:space="0" w:color="auto"/>
              <w:right w:val="nil"/>
            </w:tcBorders>
            <w:shd w:val="clear" w:color="auto" w:fill="auto"/>
            <w:vAlign w:val="bottom"/>
          </w:tcPr>
          <w:p w14:paraId="3FDC026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b/>
                <w:bCs/>
                <w:sz w:val="18"/>
                <w:szCs w:val="18"/>
              </w:rPr>
              <w:t xml:space="preserve"> 125,949 </w:t>
            </w:r>
          </w:p>
        </w:tc>
        <w:tc>
          <w:tcPr>
            <w:tcW w:w="627" w:type="pct"/>
            <w:tcBorders>
              <w:top w:val="single" w:sz="4" w:space="0" w:color="auto"/>
              <w:left w:val="nil"/>
              <w:bottom w:val="single" w:sz="8" w:space="0" w:color="auto"/>
              <w:right w:val="nil"/>
            </w:tcBorders>
            <w:shd w:val="clear" w:color="auto" w:fill="auto"/>
            <w:vAlign w:val="bottom"/>
          </w:tcPr>
          <w:p w14:paraId="76562AF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8"/>
                <w:szCs w:val="18"/>
                <w:lang w:val="en-GB"/>
              </w:rPr>
            </w:pPr>
            <w:r w:rsidRPr="00587444">
              <w:rPr>
                <w:rFonts w:ascii="Arial" w:hAnsi="Arial" w:cs="Arial"/>
                <w:b/>
                <w:bCs/>
                <w:sz w:val="18"/>
                <w:szCs w:val="18"/>
              </w:rPr>
              <w:t xml:space="preserve"> 124,247 </w:t>
            </w:r>
          </w:p>
        </w:tc>
        <w:tc>
          <w:tcPr>
            <w:tcW w:w="714" w:type="pct"/>
            <w:tcBorders>
              <w:top w:val="single" w:sz="4" w:space="0" w:color="auto"/>
              <w:left w:val="nil"/>
              <w:bottom w:val="single" w:sz="8" w:space="0" w:color="auto"/>
              <w:right w:val="nil"/>
            </w:tcBorders>
            <w:vAlign w:val="bottom"/>
          </w:tcPr>
          <w:p w14:paraId="62BC6E3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b/>
                <w:bCs/>
                <w:sz w:val="18"/>
                <w:szCs w:val="18"/>
              </w:rPr>
              <w:t xml:space="preserve"> 1,243 </w:t>
            </w:r>
          </w:p>
        </w:tc>
        <w:tc>
          <w:tcPr>
            <w:tcW w:w="626" w:type="pct"/>
            <w:tcBorders>
              <w:top w:val="single" w:sz="4" w:space="0" w:color="auto"/>
              <w:left w:val="nil"/>
              <w:bottom w:val="single" w:sz="8" w:space="0" w:color="auto"/>
              <w:right w:val="nil"/>
            </w:tcBorders>
            <w:shd w:val="clear" w:color="auto" w:fill="auto"/>
            <w:vAlign w:val="bottom"/>
          </w:tcPr>
          <w:p w14:paraId="71DC743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b/>
                <w:bCs/>
                <w:sz w:val="18"/>
                <w:szCs w:val="18"/>
              </w:rPr>
              <w:t xml:space="preserve"> 2,898,160 </w:t>
            </w:r>
          </w:p>
        </w:tc>
      </w:tr>
    </w:tbl>
    <w:p w14:paraId="496A7CE6" w14:textId="77777777" w:rsidR="00587444" w:rsidRPr="00587444" w:rsidRDefault="00587444" w:rsidP="00587444">
      <w:pPr>
        <w:suppressAutoHyphens w:val="0"/>
        <w:autoSpaceDN/>
        <w:rPr>
          <w:rFonts w:ascii="Arial" w:eastAsia="Calibri" w:hAnsi="Arial" w:cs="Arial"/>
          <w:noProof/>
          <w:sz w:val="20"/>
          <w:szCs w:val="20"/>
          <w:lang w:val="en-GB"/>
        </w:rPr>
      </w:pPr>
    </w:p>
    <w:tbl>
      <w:tblPr>
        <w:tblW w:w="4887" w:type="pct"/>
        <w:tblLayout w:type="fixed"/>
        <w:tblLook w:val="0000" w:firstRow="0" w:lastRow="0" w:firstColumn="0" w:lastColumn="0" w:noHBand="0" w:noVBand="0"/>
      </w:tblPr>
      <w:tblGrid>
        <w:gridCol w:w="2147"/>
        <w:gridCol w:w="1173"/>
        <w:gridCol w:w="1173"/>
        <w:gridCol w:w="1173"/>
        <w:gridCol w:w="1173"/>
        <w:gridCol w:w="1336"/>
        <w:gridCol w:w="1171"/>
        <w:gridCol w:w="9"/>
      </w:tblGrid>
      <w:tr w:rsidR="00587444" w:rsidRPr="00587444" w14:paraId="4F93451E" w14:textId="77777777" w:rsidTr="00DD69E7">
        <w:trPr>
          <w:trHeight w:val="306"/>
        </w:trPr>
        <w:tc>
          <w:tcPr>
            <w:tcW w:w="1147" w:type="pct"/>
            <w:vAlign w:val="bottom"/>
          </w:tcPr>
          <w:p w14:paraId="15465109" w14:textId="77777777" w:rsidR="00587444" w:rsidRPr="00587444" w:rsidRDefault="00587444" w:rsidP="00587444">
            <w:pPr>
              <w:tabs>
                <w:tab w:val="left" w:pos="-720"/>
              </w:tabs>
              <w:autoSpaceDN/>
              <w:spacing w:line="220" w:lineRule="exact"/>
              <w:rPr>
                <w:rFonts w:ascii="Arial" w:hAnsi="Arial" w:cs="Arial"/>
                <w:b/>
                <w:sz w:val="18"/>
                <w:szCs w:val="18"/>
                <w:lang w:val="en-GB"/>
              </w:rPr>
            </w:pPr>
            <w:r w:rsidRPr="00587444">
              <w:rPr>
                <w:rFonts w:ascii="Arial" w:hAnsi="Arial" w:cs="Arial"/>
                <w:b/>
                <w:sz w:val="18"/>
                <w:szCs w:val="18"/>
                <w:lang w:val="en-GB"/>
              </w:rPr>
              <w:t>31 December 2021</w:t>
            </w:r>
          </w:p>
        </w:tc>
        <w:tc>
          <w:tcPr>
            <w:tcW w:w="627" w:type="pct"/>
          </w:tcPr>
          <w:p w14:paraId="459F72B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3227" w:type="pct"/>
            <w:gridSpan w:val="6"/>
          </w:tcPr>
          <w:p w14:paraId="1100323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Group and Bank</w:t>
            </w:r>
          </w:p>
        </w:tc>
      </w:tr>
      <w:tr w:rsidR="00587444" w:rsidRPr="00587444" w14:paraId="3929D89A" w14:textId="77777777" w:rsidTr="00DD69E7">
        <w:trPr>
          <w:gridAfter w:val="1"/>
          <w:wAfter w:w="5" w:type="pct"/>
          <w:trHeight w:val="236"/>
        </w:trPr>
        <w:tc>
          <w:tcPr>
            <w:tcW w:w="1147" w:type="pct"/>
            <w:vAlign w:val="bottom"/>
          </w:tcPr>
          <w:p w14:paraId="5FCF6145" w14:textId="77777777" w:rsidR="00587444" w:rsidRPr="00587444" w:rsidRDefault="00587444" w:rsidP="00587444">
            <w:pPr>
              <w:tabs>
                <w:tab w:val="left" w:pos="-720"/>
              </w:tabs>
              <w:autoSpaceDN/>
              <w:spacing w:line="220" w:lineRule="exact"/>
              <w:rPr>
                <w:rFonts w:ascii="Arial" w:hAnsi="Arial" w:cs="Arial"/>
                <w:sz w:val="18"/>
                <w:szCs w:val="18"/>
                <w:lang w:val="en-GB"/>
              </w:rPr>
            </w:pPr>
          </w:p>
        </w:tc>
        <w:tc>
          <w:tcPr>
            <w:tcW w:w="627" w:type="pct"/>
            <w:vAlign w:val="bottom"/>
          </w:tcPr>
          <w:p w14:paraId="31D377F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1</w:t>
            </w:r>
          </w:p>
        </w:tc>
        <w:tc>
          <w:tcPr>
            <w:tcW w:w="627" w:type="pct"/>
            <w:vAlign w:val="bottom"/>
          </w:tcPr>
          <w:p w14:paraId="18AD5DA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2</w:t>
            </w:r>
          </w:p>
        </w:tc>
        <w:tc>
          <w:tcPr>
            <w:tcW w:w="627" w:type="pct"/>
            <w:vAlign w:val="bottom"/>
          </w:tcPr>
          <w:p w14:paraId="4DED8D6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3</w:t>
            </w:r>
          </w:p>
        </w:tc>
        <w:tc>
          <w:tcPr>
            <w:tcW w:w="627" w:type="pct"/>
            <w:vAlign w:val="bottom"/>
          </w:tcPr>
          <w:p w14:paraId="2D559C4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POCI</w:t>
            </w:r>
          </w:p>
        </w:tc>
        <w:tc>
          <w:tcPr>
            <w:tcW w:w="714" w:type="pct"/>
          </w:tcPr>
          <w:p w14:paraId="485A1C8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Without stage</w:t>
            </w:r>
          </w:p>
        </w:tc>
        <w:tc>
          <w:tcPr>
            <w:tcW w:w="626" w:type="pct"/>
            <w:vAlign w:val="bottom"/>
          </w:tcPr>
          <w:p w14:paraId="44061A4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Total</w:t>
            </w:r>
          </w:p>
        </w:tc>
      </w:tr>
      <w:tr w:rsidR="00587444" w:rsidRPr="00587444" w14:paraId="222F5232" w14:textId="77777777" w:rsidTr="00DD69E7">
        <w:trPr>
          <w:gridAfter w:val="1"/>
          <w:wAfter w:w="5" w:type="pct"/>
          <w:trHeight w:val="236"/>
        </w:trPr>
        <w:tc>
          <w:tcPr>
            <w:tcW w:w="1147" w:type="pct"/>
            <w:vAlign w:val="bottom"/>
          </w:tcPr>
          <w:p w14:paraId="15674D23" w14:textId="77777777" w:rsidR="00587444" w:rsidRPr="00587444" w:rsidRDefault="00587444" w:rsidP="00587444">
            <w:pPr>
              <w:tabs>
                <w:tab w:val="left" w:pos="-720"/>
              </w:tabs>
              <w:autoSpaceDN/>
              <w:spacing w:line="220" w:lineRule="exact"/>
              <w:rPr>
                <w:rFonts w:ascii="Arial" w:hAnsi="Arial" w:cs="Arial"/>
                <w:sz w:val="18"/>
                <w:szCs w:val="18"/>
                <w:lang w:val="en-GB"/>
              </w:rPr>
            </w:pPr>
          </w:p>
        </w:tc>
        <w:tc>
          <w:tcPr>
            <w:tcW w:w="627" w:type="pct"/>
            <w:vAlign w:val="bottom"/>
          </w:tcPr>
          <w:p w14:paraId="3706EC3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 xml:space="preserve">HRK </w:t>
            </w:r>
            <w:r w:rsidRPr="00587444">
              <w:rPr>
                <w:rFonts w:ascii="Arial" w:hAnsi="Arial" w:cs="Arial"/>
                <w:sz w:val="18"/>
                <w:szCs w:val="18"/>
              </w:rPr>
              <w:t>‘</w:t>
            </w:r>
            <w:r w:rsidRPr="00587444">
              <w:rPr>
                <w:rFonts w:ascii="Arial" w:hAnsi="Arial" w:cs="Arial"/>
                <w:b/>
                <w:sz w:val="18"/>
                <w:szCs w:val="18"/>
                <w:lang w:val="en-GB"/>
              </w:rPr>
              <w:t>000</w:t>
            </w:r>
          </w:p>
        </w:tc>
        <w:tc>
          <w:tcPr>
            <w:tcW w:w="627" w:type="pct"/>
            <w:vAlign w:val="bottom"/>
          </w:tcPr>
          <w:p w14:paraId="1FA1C6A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 xml:space="preserve">HRK </w:t>
            </w:r>
            <w:r w:rsidRPr="00587444">
              <w:rPr>
                <w:rFonts w:ascii="Arial" w:hAnsi="Arial" w:cs="Arial"/>
                <w:sz w:val="18"/>
                <w:szCs w:val="18"/>
              </w:rPr>
              <w:t>‘</w:t>
            </w:r>
            <w:r w:rsidRPr="00587444">
              <w:rPr>
                <w:rFonts w:ascii="Arial" w:hAnsi="Arial" w:cs="Arial"/>
                <w:b/>
                <w:sz w:val="18"/>
                <w:szCs w:val="18"/>
                <w:lang w:val="en-GB"/>
              </w:rPr>
              <w:t>000</w:t>
            </w:r>
          </w:p>
        </w:tc>
        <w:tc>
          <w:tcPr>
            <w:tcW w:w="627" w:type="pct"/>
            <w:vAlign w:val="bottom"/>
          </w:tcPr>
          <w:p w14:paraId="1C4F2DD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 xml:space="preserve">HRK </w:t>
            </w:r>
            <w:r w:rsidRPr="00587444">
              <w:rPr>
                <w:rFonts w:ascii="Arial" w:hAnsi="Arial" w:cs="Arial"/>
                <w:sz w:val="18"/>
                <w:szCs w:val="18"/>
              </w:rPr>
              <w:t>‘</w:t>
            </w:r>
            <w:r w:rsidRPr="00587444">
              <w:rPr>
                <w:rFonts w:ascii="Arial" w:hAnsi="Arial" w:cs="Arial"/>
                <w:b/>
                <w:sz w:val="18"/>
                <w:szCs w:val="18"/>
                <w:lang w:val="en-GB"/>
              </w:rPr>
              <w:t>000</w:t>
            </w:r>
          </w:p>
        </w:tc>
        <w:tc>
          <w:tcPr>
            <w:tcW w:w="627" w:type="pct"/>
            <w:vAlign w:val="center"/>
          </w:tcPr>
          <w:p w14:paraId="249D7E6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 xml:space="preserve">HRK </w:t>
            </w:r>
            <w:r w:rsidRPr="00587444">
              <w:rPr>
                <w:rFonts w:ascii="Arial" w:hAnsi="Arial" w:cs="Arial"/>
                <w:sz w:val="18"/>
                <w:szCs w:val="18"/>
              </w:rPr>
              <w:t>‘</w:t>
            </w:r>
            <w:r w:rsidRPr="00587444">
              <w:rPr>
                <w:rFonts w:ascii="Arial" w:hAnsi="Arial" w:cs="Arial"/>
                <w:b/>
                <w:sz w:val="18"/>
                <w:szCs w:val="18"/>
                <w:lang w:val="en-GB"/>
              </w:rPr>
              <w:t>000</w:t>
            </w:r>
          </w:p>
        </w:tc>
        <w:tc>
          <w:tcPr>
            <w:tcW w:w="714" w:type="pct"/>
          </w:tcPr>
          <w:p w14:paraId="4906CFD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 xml:space="preserve">HRK </w:t>
            </w:r>
            <w:r w:rsidRPr="00587444">
              <w:rPr>
                <w:rFonts w:ascii="Arial" w:hAnsi="Arial" w:cs="Arial"/>
                <w:sz w:val="18"/>
                <w:szCs w:val="18"/>
              </w:rPr>
              <w:t>‘</w:t>
            </w:r>
            <w:r w:rsidRPr="00587444">
              <w:rPr>
                <w:rFonts w:ascii="Arial" w:hAnsi="Arial" w:cs="Arial"/>
                <w:b/>
                <w:sz w:val="18"/>
                <w:szCs w:val="18"/>
                <w:lang w:val="en-GB"/>
              </w:rPr>
              <w:t>000</w:t>
            </w:r>
          </w:p>
        </w:tc>
        <w:tc>
          <w:tcPr>
            <w:tcW w:w="626" w:type="pct"/>
            <w:vAlign w:val="bottom"/>
          </w:tcPr>
          <w:p w14:paraId="2561560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 xml:space="preserve">HRK </w:t>
            </w:r>
            <w:r w:rsidRPr="00587444">
              <w:rPr>
                <w:rFonts w:ascii="Arial" w:hAnsi="Arial" w:cs="Arial"/>
                <w:sz w:val="18"/>
                <w:szCs w:val="18"/>
              </w:rPr>
              <w:t>‘</w:t>
            </w:r>
            <w:r w:rsidRPr="00587444">
              <w:rPr>
                <w:rFonts w:ascii="Arial" w:hAnsi="Arial" w:cs="Arial"/>
                <w:b/>
                <w:sz w:val="18"/>
                <w:szCs w:val="18"/>
                <w:lang w:val="en-GB"/>
              </w:rPr>
              <w:t>000</w:t>
            </w:r>
          </w:p>
        </w:tc>
      </w:tr>
      <w:tr w:rsidR="00587444" w:rsidRPr="00587444" w14:paraId="35840FB6" w14:textId="77777777" w:rsidTr="00DD69E7">
        <w:trPr>
          <w:gridAfter w:val="1"/>
          <w:wAfter w:w="5" w:type="pct"/>
          <w:trHeight w:val="316"/>
        </w:trPr>
        <w:tc>
          <w:tcPr>
            <w:tcW w:w="1147" w:type="pct"/>
            <w:vAlign w:val="bottom"/>
          </w:tcPr>
          <w:p w14:paraId="0C710C5A" w14:textId="77777777" w:rsidR="00587444" w:rsidRPr="00587444" w:rsidRDefault="00587444" w:rsidP="00587444">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Gross amount</w:t>
            </w:r>
          </w:p>
        </w:tc>
        <w:tc>
          <w:tcPr>
            <w:tcW w:w="627" w:type="pct"/>
            <w:tcBorders>
              <w:top w:val="nil"/>
              <w:left w:val="nil"/>
              <w:bottom w:val="nil"/>
              <w:right w:val="nil"/>
            </w:tcBorders>
            <w:shd w:val="clear" w:color="auto" w:fill="auto"/>
            <w:vAlign w:val="bottom"/>
          </w:tcPr>
          <w:p w14:paraId="67F3976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sz w:val="18"/>
                <w:szCs w:val="18"/>
              </w:rPr>
              <w:t xml:space="preserve"> 3,311,893 </w:t>
            </w:r>
          </w:p>
        </w:tc>
        <w:tc>
          <w:tcPr>
            <w:tcW w:w="627" w:type="pct"/>
            <w:tcBorders>
              <w:top w:val="nil"/>
              <w:left w:val="nil"/>
              <w:bottom w:val="nil"/>
              <w:right w:val="nil"/>
            </w:tcBorders>
            <w:shd w:val="clear" w:color="auto" w:fill="auto"/>
            <w:vAlign w:val="bottom"/>
          </w:tcPr>
          <w:p w14:paraId="0704724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sz w:val="18"/>
                <w:szCs w:val="18"/>
              </w:rPr>
              <w:t xml:space="preserve"> 302,747 </w:t>
            </w:r>
          </w:p>
        </w:tc>
        <w:tc>
          <w:tcPr>
            <w:tcW w:w="627" w:type="pct"/>
            <w:tcBorders>
              <w:top w:val="nil"/>
              <w:left w:val="nil"/>
              <w:bottom w:val="nil"/>
              <w:right w:val="nil"/>
            </w:tcBorders>
            <w:shd w:val="clear" w:color="auto" w:fill="auto"/>
            <w:vAlign w:val="bottom"/>
          </w:tcPr>
          <w:p w14:paraId="50A0230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sz w:val="18"/>
                <w:szCs w:val="18"/>
              </w:rPr>
              <w:t xml:space="preserve"> 326,551 </w:t>
            </w:r>
          </w:p>
        </w:tc>
        <w:tc>
          <w:tcPr>
            <w:tcW w:w="627" w:type="pct"/>
            <w:tcBorders>
              <w:top w:val="nil"/>
              <w:left w:val="nil"/>
              <w:bottom w:val="nil"/>
              <w:right w:val="nil"/>
            </w:tcBorders>
            <w:shd w:val="clear" w:color="auto" w:fill="auto"/>
            <w:vAlign w:val="bottom"/>
          </w:tcPr>
          <w:p w14:paraId="2A6C56E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8"/>
                <w:szCs w:val="18"/>
                <w:lang w:val="en-GB"/>
              </w:rPr>
            </w:pPr>
            <w:r w:rsidRPr="00587444">
              <w:rPr>
                <w:rFonts w:ascii="Arial" w:hAnsi="Arial" w:cs="Arial"/>
                <w:sz w:val="18"/>
                <w:szCs w:val="18"/>
              </w:rPr>
              <w:t xml:space="preserve"> 46,505 </w:t>
            </w:r>
          </w:p>
        </w:tc>
        <w:tc>
          <w:tcPr>
            <w:tcW w:w="714" w:type="pct"/>
            <w:tcBorders>
              <w:top w:val="nil"/>
              <w:left w:val="nil"/>
              <w:bottom w:val="nil"/>
              <w:right w:val="nil"/>
            </w:tcBorders>
            <w:vAlign w:val="bottom"/>
          </w:tcPr>
          <w:p w14:paraId="194DA3F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color w:val="000000"/>
                <w:sz w:val="18"/>
                <w:szCs w:val="18"/>
                <w:lang w:val="hr-HR"/>
              </w:rPr>
              <w:t>-</w:t>
            </w:r>
          </w:p>
        </w:tc>
        <w:tc>
          <w:tcPr>
            <w:tcW w:w="626" w:type="pct"/>
            <w:tcBorders>
              <w:top w:val="nil"/>
              <w:left w:val="nil"/>
              <w:bottom w:val="nil"/>
              <w:right w:val="nil"/>
            </w:tcBorders>
            <w:shd w:val="clear" w:color="auto" w:fill="auto"/>
            <w:vAlign w:val="bottom"/>
          </w:tcPr>
          <w:p w14:paraId="52983DB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8"/>
                <w:szCs w:val="18"/>
                <w:lang w:val="en-GB"/>
              </w:rPr>
            </w:pPr>
            <w:r w:rsidRPr="00587444">
              <w:rPr>
                <w:rFonts w:ascii="Arial" w:hAnsi="Arial" w:cs="Arial"/>
                <w:b/>
                <w:bCs/>
                <w:sz w:val="18"/>
                <w:szCs w:val="18"/>
              </w:rPr>
              <w:t xml:space="preserve"> 3,987,696 </w:t>
            </w:r>
          </w:p>
        </w:tc>
      </w:tr>
      <w:tr w:rsidR="00587444" w:rsidRPr="00587444" w14:paraId="6ECFDA3C" w14:textId="77777777" w:rsidTr="00DD69E7">
        <w:trPr>
          <w:gridAfter w:val="1"/>
          <w:wAfter w:w="5" w:type="pct"/>
          <w:trHeight w:val="316"/>
        </w:trPr>
        <w:tc>
          <w:tcPr>
            <w:tcW w:w="1147" w:type="pct"/>
            <w:vAlign w:val="bottom"/>
          </w:tcPr>
          <w:p w14:paraId="265B937C" w14:textId="77777777" w:rsidR="00587444" w:rsidRPr="00587444" w:rsidRDefault="00587444" w:rsidP="00587444">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Loss allowances</w:t>
            </w:r>
          </w:p>
        </w:tc>
        <w:tc>
          <w:tcPr>
            <w:tcW w:w="627" w:type="pct"/>
            <w:tcBorders>
              <w:top w:val="nil"/>
              <w:left w:val="nil"/>
              <w:bottom w:val="nil"/>
              <w:right w:val="nil"/>
            </w:tcBorders>
            <w:shd w:val="clear" w:color="auto" w:fill="auto"/>
            <w:vAlign w:val="bottom"/>
          </w:tcPr>
          <w:p w14:paraId="2235B1C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sz w:val="18"/>
                <w:szCs w:val="18"/>
              </w:rPr>
              <w:t xml:space="preserve"> (10,652)</w:t>
            </w:r>
          </w:p>
        </w:tc>
        <w:tc>
          <w:tcPr>
            <w:tcW w:w="627" w:type="pct"/>
            <w:tcBorders>
              <w:top w:val="nil"/>
              <w:left w:val="nil"/>
              <w:bottom w:val="nil"/>
              <w:right w:val="nil"/>
            </w:tcBorders>
            <w:shd w:val="clear" w:color="auto" w:fill="auto"/>
            <w:vAlign w:val="bottom"/>
          </w:tcPr>
          <w:p w14:paraId="00F1B57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sz w:val="18"/>
                <w:szCs w:val="18"/>
              </w:rPr>
              <w:t xml:space="preserve"> (26,256)</w:t>
            </w:r>
          </w:p>
        </w:tc>
        <w:tc>
          <w:tcPr>
            <w:tcW w:w="627" w:type="pct"/>
            <w:tcBorders>
              <w:top w:val="nil"/>
              <w:left w:val="nil"/>
              <w:bottom w:val="nil"/>
              <w:right w:val="nil"/>
            </w:tcBorders>
            <w:shd w:val="clear" w:color="auto" w:fill="auto"/>
            <w:vAlign w:val="bottom"/>
          </w:tcPr>
          <w:p w14:paraId="53CBB3C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sz w:val="18"/>
                <w:szCs w:val="18"/>
              </w:rPr>
              <w:t xml:space="preserve"> (82,779)</w:t>
            </w:r>
          </w:p>
        </w:tc>
        <w:tc>
          <w:tcPr>
            <w:tcW w:w="627" w:type="pct"/>
            <w:tcBorders>
              <w:top w:val="nil"/>
              <w:left w:val="nil"/>
              <w:bottom w:val="nil"/>
              <w:right w:val="nil"/>
            </w:tcBorders>
            <w:shd w:val="clear" w:color="auto" w:fill="auto"/>
            <w:vAlign w:val="bottom"/>
          </w:tcPr>
          <w:p w14:paraId="48BDBF4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8"/>
                <w:szCs w:val="18"/>
                <w:lang w:val="en-GB"/>
              </w:rPr>
            </w:pPr>
            <w:r w:rsidRPr="00587444">
              <w:rPr>
                <w:rFonts w:ascii="Arial" w:hAnsi="Arial" w:cs="Arial"/>
                <w:sz w:val="18"/>
                <w:szCs w:val="18"/>
              </w:rPr>
              <w:t xml:space="preserve"> (9,900)</w:t>
            </w:r>
          </w:p>
        </w:tc>
        <w:tc>
          <w:tcPr>
            <w:tcW w:w="714" w:type="pct"/>
            <w:tcBorders>
              <w:top w:val="nil"/>
              <w:left w:val="nil"/>
              <w:bottom w:val="nil"/>
              <w:right w:val="nil"/>
            </w:tcBorders>
            <w:vAlign w:val="bottom"/>
          </w:tcPr>
          <w:p w14:paraId="3260CDA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color w:val="000000"/>
                <w:sz w:val="18"/>
                <w:szCs w:val="18"/>
                <w:lang w:val="hr-HR"/>
              </w:rPr>
              <w:t>-</w:t>
            </w:r>
          </w:p>
        </w:tc>
        <w:tc>
          <w:tcPr>
            <w:tcW w:w="626" w:type="pct"/>
            <w:tcBorders>
              <w:top w:val="nil"/>
              <w:left w:val="nil"/>
              <w:bottom w:val="nil"/>
              <w:right w:val="nil"/>
            </w:tcBorders>
            <w:shd w:val="clear" w:color="auto" w:fill="auto"/>
            <w:vAlign w:val="bottom"/>
          </w:tcPr>
          <w:p w14:paraId="46BD7F7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sz w:val="18"/>
                <w:szCs w:val="18"/>
                <w:lang w:val="en-GB"/>
              </w:rPr>
            </w:pPr>
            <w:r w:rsidRPr="00587444">
              <w:rPr>
                <w:rFonts w:ascii="Arial" w:hAnsi="Arial" w:cs="Arial"/>
                <w:b/>
                <w:bCs/>
                <w:sz w:val="18"/>
                <w:szCs w:val="18"/>
              </w:rPr>
              <w:t xml:space="preserve"> (129,587)</w:t>
            </w:r>
          </w:p>
        </w:tc>
      </w:tr>
      <w:tr w:rsidR="00587444" w:rsidRPr="00587444" w14:paraId="543E5435" w14:textId="77777777" w:rsidTr="00DD69E7">
        <w:trPr>
          <w:gridAfter w:val="1"/>
          <w:wAfter w:w="5" w:type="pct"/>
          <w:trHeight w:val="263"/>
        </w:trPr>
        <w:tc>
          <w:tcPr>
            <w:tcW w:w="1147" w:type="pct"/>
            <w:vAlign w:val="bottom"/>
          </w:tcPr>
          <w:p w14:paraId="36F4201E" w14:textId="77777777" w:rsidR="00587444" w:rsidRPr="00587444" w:rsidRDefault="00587444" w:rsidP="00587444">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 xml:space="preserve">Balance as of </w:t>
            </w:r>
          </w:p>
          <w:p w14:paraId="4E80DD2A" w14:textId="77777777" w:rsidR="00587444" w:rsidRPr="00587444" w:rsidRDefault="00587444" w:rsidP="00587444">
            <w:pPr>
              <w:tabs>
                <w:tab w:val="right" w:pos="1202"/>
              </w:tabs>
              <w:suppressAutoHyphens w:val="0"/>
              <w:autoSpaceDN/>
              <w:spacing w:line="240" w:lineRule="exact"/>
              <w:outlineLvl w:val="0"/>
              <w:rPr>
                <w:rFonts w:ascii="Arial" w:hAnsi="Arial" w:cs="Arial"/>
                <w:b/>
                <w:sz w:val="18"/>
                <w:szCs w:val="18"/>
                <w:lang w:val="en-GB"/>
              </w:rPr>
            </w:pPr>
            <w:r w:rsidRPr="00587444">
              <w:rPr>
                <w:rFonts w:ascii="Arial" w:hAnsi="Arial" w:cs="Arial"/>
                <w:b/>
                <w:sz w:val="18"/>
                <w:szCs w:val="18"/>
                <w:lang w:val="en-GB"/>
              </w:rPr>
              <w:t>31 December 2021</w:t>
            </w:r>
          </w:p>
        </w:tc>
        <w:tc>
          <w:tcPr>
            <w:tcW w:w="627" w:type="pct"/>
            <w:tcBorders>
              <w:top w:val="single" w:sz="4" w:space="0" w:color="auto"/>
              <w:left w:val="nil"/>
              <w:bottom w:val="single" w:sz="8" w:space="0" w:color="auto"/>
              <w:right w:val="nil"/>
            </w:tcBorders>
            <w:shd w:val="clear" w:color="auto" w:fill="auto"/>
            <w:vAlign w:val="bottom"/>
          </w:tcPr>
          <w:p w14:paraId="40B16BE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b/>
                <w:bCs/>
                <w:sz w:val="18"/>
                <w:szCs w:val="18"/>
              </w:rPr>
              <w:t xml:space="preserve"> 3,301,241 </w:t>
            </w:r>
          </w:p>
        </w:tc>
        <w:tc>
          <w:tcPr>
            <w:tcW w:w="627" w:type="pct"/>
            <w:tcBorders>
              <w:top w:val="single" w:sz="4" w:space="0" w:color="auto"/>
              <w:left w:val="nil"/>
              <w:bottom w:val="single" w:sz="8" w:space="0" w:color="auto"/>
              <w:right w:val="nil"/>
            </w:tcBorders>
            <w:shd w:val="clear" w:color="auto" w:fill="auto"/>
            <w:vAlign w:val="bottom"/>
          </w:tcPr>
          <w:p w14:paraId="71862A8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b/>
                <w:bCs/>
                <w:sz w:val="18"/>
                <w:szCs w:val="18"/>
              </w:rPr>
              <w:t xml:space="preserve"> 276,491 </w:t>
            </w:r>
          </w:p>
        </w:tc>
        <w:tc>
          <w:tcPr>
            <w:tcW w:w="627" w:type="pct"/>
            <w:tcBorders>
              <w:top w:val="single" w:sz="4" w:space="0" w:color="auto"/>
              <w:left w:val="nil"/>
              <w:bottom w:val="single" w:sz="8" w:space="0" w:color="auto"/>
              <w:right w:val="nil"/>
            </w:tcBorders>
            <w:shd w:val="clear" w:color="auto" w:fill="auto"/>
            <w:vAlign w:val="bottom"/>
          </w:tcPr>
          <w:p w14:paraId="431974A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b/>
                <w:bCs/>
                <w:sz w:val="18"/>
                <w:szCs w:val="18"/>
              </w:rPr>
              <w:t xml:space="preserve"> 243,772 </w:t>
            </w:r>
          </w:p>
        </w:tc>
        <w:tc>
          <w:tcPr>
            <w:tcW w:w="627" w:type="pct"/>
            <w:tcBorders>
              <w:top w:val="single" w:sz="4" w:space="0" w:color="auto"/>
              <w:left w:val="nil"/>
              <w:bottom w:val="single" w:sz="8" w:space="0" w:color="auto"/>
              <w:right w:val="nil"/>
            </w:tcBorders>
            <w:shd w:val="clear" w:color="auto" w:fill="auto"/>
            <w:vAlign w:val="bottom"/>
          </w:tcPr>
          <w:p w14:paraId="429DD43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8"/>
                <w:szCs w:val="18"/>
                <w:lang w:val="en-GB"/>
              </w:rPr>
            </w:pPr>
            <w:r w:rsidRPr="00587444">
              <w:rPr>
                <w:rFonts w:ascii="Arial" w:hAnsi="Arial" w:cs="Arial"/>
                <w:b/>
                <w:bCs/>
                <w:sz w:val="18"/>
                <w:szCs w:val="18"/>
              </w:rPr>
              <w:t xml:space="preserve"> 36,605 </w:t>
            </w:r>
          </w:p>
        </w:tc>
        <w:tc>
          <w:tcPr>
            <w:tcW w:w="714" w:type="pct"/>
            <w:tcBorders>
              <w:top w:val="single" w:sz="4" w:space="0" w:color="auto"/>
              <w:left w:val="nil"/>
              <w:bottom w:val="single" w:sz="8" w:space="0" w:color="auto"/>
              <w:right w:val="nil"/>
            </w:tcBorders>
            <w:vAlign w:val="bottom"/>
          </w:tcPr>
          <w:p w14:paraId="3BE2DA6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b/>
                <w:bCs/>
                <w:sz w:val="18"/>
                <w:szCs w:val="18"/>
              </w:rPr>
              <w:t xml:space="preserve"> - </w:t>
            </w:r>
          </w:p>
        </w:tc>
        <w:tc>
          <w:tcPr>
            <w:tcW w:w="626" w:type="pct"/>
            <w:tcBorders>
              <w:top w:val="single" w:sz="4" w:space="0" w:color="auto"/>
              <w:left w:val="nil"/>
              <w:bottom w:val="single" w:sz="8" w:space="0" w:color="auto"/>
              <w:right w:val="nil"/>
            </w:tcBorders>
            <w:shd w:val="clear" w:color="auto" w:fill="auto"/>
            <w:vAlign w:val="bottom"/>
          </w:tcPr>
          <w:p w14:paraId="08E1A9D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sz w:val="18"/>
                <w:szCs w:val="18"/>
                <w:lang w:val="en-GB"/>
              </w:rPr>
            </w:pPr>
            <w:r w:rsidRPr="00587444">
              <w:rPr>
                <w:rFonts w:ascii="Arial" w:hAnsi="Arial" w:cs="Arial"/>
                <w:b/>
                <w:bCs/>
                <w:sz w:val="18"/>
                <w:szCs w:val="18"/>
              </w:rPr>
              <w:t xml:space="preserve"> 3,858,109 </w:t>
            </w:r>
          </w:p>
        </w:tc>
      </w:tr>
    </w:tbl>
    <w:p w14:paraId="763155AF" w14:textId="77777777" w:rsidR="00587444" w:rsidRPr="00587444" w:rsidRDefault="00587444" w:rsidP="00587444">
      <w:pPr>
        <w:suppressAutoHyphens w:val="0"/>
        <w:autoSpaceDN/>
        <w:rPr>
          <w:rFonts w:ascii="Arial" w:eastAsia="Calibri" w:hAnsi="Arial" w:cs="Arial"/>
          <w:noProof/>
          <w:sz w:val="20"/>
          <w:szCs w:val="20"/>
          <w:lang w:val="en-GB"/>
        </w:rPr>
      </w:pPr>
    </w:p>
    <w:p w14:paraId="5DB11202" w14:textId="77777777" w:rsidR="00587444" w:rsidRPr="00587444" w:rsidRDefault="00587444" w:rsidP="00587444">
      <w:pPr>
        <w:suppressAutoHyphens w:val="0"/>
        <w:autoSpaceDN/>
        <w:rPr>
          <w:rFonts w:ascii="Arial" w:eastAsia="Calibri" w:hAnsi="Arial" w:cs="Arial"/>
          <w:noProof/>
          <w:sz w:val="20"/>
          <w:szCs w:val="20"/>
          <w:lang w:val="en-GB"/>
        </w:rPr>
      </w:pPr>
    </w:p>
    <w:p w14:paraId="6D0CC53E" w14:textId="77777777" w:rsidR="00587444" w:rsidRPr="00587444" w:rsidRDefault="00587444" w:rsidP="00587444">
      <w:pPr>
        <w:suppressAutoHyphens w:val="0"/>
        <w:autoSpaceDN/>
        <w:spacing w:before="100" w:after="100" w:line="280" w:lineRule="exact"/>
        <w:jc w:val="both"/>
        <w:rPr>
          <w:rFonts w:ascii="Arial" w:hAnsi="Arial" w:cs="Arial"/>
          <w:sz w:val="20"/>
          <w:szCs w:val="20"/>
          <w:lang w:val="en-GB"/>
        </w:rPr>
      </w:pPr>
      <w:bookmarkStart w:id="935" w:name="_Hlk35351180"/>
      <w:r w:rsidRPr="00587444">
        <w:rPr>
          <w:rFonts w:ascii="Arial" w:hAnsi="Arial" w:cs="Arial"/>
          <w:color w:val="000000"/>
          <w:sz w:val="20"/>
          <w:szCs w:val="20"/>
          <w:lang w:val="en-GB"/>
        </w:rPr>
        <w:t>Without Stage position relates to Opened letters of credit covered by deposits.</w:t>
      </w:r>
      <w:bookmarkEnd w:id="935"/>
    </w:p>
    <w:p w14:paraId="1DF7D8A8" w14:textId="77777777" w:rsidR="00587444" w:rsidRPr="00587444" w:rsidRDefault="00587444" w:rsidP="00587444">
      <w:pPr>
        <w:suppressAutoHyphens w:val="0"/>
        <w:autoSpaceDN/>
        <w:spacing w:before="120" w:after="120" w:line="260" w:lineRule="exact"/>
        <w:jc w:val="both"/>
        <w:rPr>
          <w:rFonts w:ascii="Arial" w:hAnsi="Arial" w:cs="Arial"/>
          <w:sz w:val="20"/>
          <w:szCs w:val="20"/>
          <w:lang w:val="en-GB"/>
        </w:rPr>
        <w:sectPr w:rsidR="00587444" w:rsidRPr="00587444" w:rsidSect="00DD69E7">
          <w:pgSz w:w="11907" w:h="16840" w:code="9"/>
          <w:pgMar w:top="1418" w:right="1134" w:bottom="1134" w:left="1418" w:header="851" w:footer="851" w:gutter="0"/>
          <w:cols w:space="720"/>
          <w:noEndnote/>
        </w:sectPr>
      </w:pPr>
    </w:p>
    <w:p w14:paraId="483F65B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432D2E2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29.</w:t>
      </w:r>
      <w:r w:rsidRPr="00587444">
        <w:rPr>
          <w:rFonts w:ascii="Arial" w:hAnsi="Arial" w:cs="Arial"/>
          <w:b/>
          <w:bCs/>
          <w:sz w:val="20"/>
          <w:szCs w:val="20"/>
          <w:lang w:val="en-GB"/>
        </w:rPr>
        <w:tab/>
        <w:t xml:space="preserve">Guarantees and commitments </w:t>
      </w:r>
      <w:r w:rsidRPr="00587444">
        <w:rPr>
          <w:rFonts w:ascii="Arial" w:hAnsi="Arial" w:cs="Arial"/>
          <w:b/>
          <w:sz w:val="20"/>
          <w:szCs w:val="20"/>
          <w:lang w:val="en-GB"/>
        </w:rPr>
        <w:t>(continued)</w:t>
      </w:r>
    </w:p>
    <w:p w14:paraId="374FD1B4" w14:textId="77777777" w:rsidR="00587444" w:rsidRPr="00587444" w:rsidRDefault="00587444" w:rsidP="00587444">
      <w:pPr>
        <w:suppressAutoHyphens w:val="0"/>
        <w:autoSpaceDN/>
        <w:jc w:val="both"/>
        <w:rPr>
          <w:rFonts w:ascii="Arial" w:hAnsi="Arial" w:cs="Arial"/>
          <w:sz w:val="20"/>
          <w:szCs w:val="20"/>
          <w:highlight w:val="yellow"/>
          <w:lang w:val="en-GB"/>
        </w:rPr>
      </w:pPr>
    </w:p>
    <w:p w14:paraId="0C2CA9D4" w14:textId="77777777" w:rsidR="00587444" w:rsidRPr="00587444" w:rsidRDefault="00587444" w:rsidP="00880B90">
      <w:pPr>
        <w:autoSpaceDN/>
        <w:spacing w:after="120"/>
        <w:jc w:val="both"/>
        <w:rPr>
          <w:rFonts w:ascii="Arial" w:hAnsi="Arial" w:cs="Arial"/>
          <w:i/>
          <w:sz w:val="20"/>
          <w:szCs w:val="20"/>
          <w:lang w:val="en-GB"/>
        </w:rPr>
      </w:pPr>
      <w:r w:rsidRPr="00587444">
        <w:rPr>
          <w:rFonts w:ascii="Arial" w:hAnsi="Arial" w:cs="Arial"/>
          <w:i/>
          <w:sz w:val="20"/>
          <w:szCs w:val="20"/>
          <w:lang w:val="en-GB"/>
        </w:rPr>
        <w:t>Guarantees</w:t>
      </w:r>
    </w:p>
    <w:p w14:paraId="287BEFC7" w14:textId="77777777"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Issued guarantees and open letters of credit represent the liability to the Bank to make payments on behalf of customers if the customer is unable to honour its commitments towards third parties or in the event of a specific act, generally related to the export or import of goods and other purposes specified in the contracts with the customers. Guarantees and letters of credit bear the same credit risk as loans.</w:t>
      </w:r>
    </w:p>
    <w:p w14:paraId="35AA5CE4" w14:textId="77777777" w:rsidR="00587444" w:rsidRPr="00587444" w:rsidRDefault="00587444" w:rsidP="00880B90">
      <w:pPr>
        <w:keepNext/>
        <w:autoSpaceDN/>
        <w:jc w:val="both"/>
        <w:rPr>
          <w:rFonts w:ascii="Arial" w:hAnsi="Arial" w:cs="Arial"/>
          <w:sz w:val="20"/>
          <w:szCs w:val="20"/>
          <w:lang w:val="en-GB"/>
        </w:rPr>
      </w:pPr>
    </w:p>
    <w:p w14:paraId="63BA6820" w14:textId="77777777" w:rsidR="00587444" w:rsidRPr="00587444" w:rsidRDefault="00587444" w:rsidP="00880B90">
      <w:pPr>
        <w:keepNext/>
        <w:autoSpaceDN/>
        <w:jc w:val="both"/>
        <w:rPr>
          <w:rFonts w:ascii="Arial" w:hAnsi="Arial" w:cs="Arial"/>
          <w:sz w:val="20"/>
          <w:szCs w:val="20"/>
          <w:lang w:val="en-GB"/>
        </w:rPr>
      </w:pPr>
      <w:r w:rsidRPr="00587444">
        <w:rPr>
          <w:rFonts w:ascii="Arial" w:hAnsi="Arial" w:cs="Arial"/>
          <w:sz w:val="20"/>
          <w:szCs w:val="20"/>
          <w:lang w:val="en-GB"/>
        </w:rPr>
        <w:t>Bank guarantees are, to the extent of 11</w:t>
      </w:r>
      <w:r w:rsidRPr="00587444">
        <w:rPr>
          <w:rFonts w:ascii="Arial" w:hAnsi="Arial" w:cs="Arial"/>
          <w:bCs/>
          <w:sz w:val="20"/>
          <w:szCs w:val="20"/>
          <w:lang w:val="en-GB"/>
        </w:rPr>
        <w:t xml:space="preserve">%, </w:t>
      </w:r>
      <w:r w:rsidRPr="00587444">
        <w:rPr>
          <w:rFonts w:ascii="Arial" w:hAnsi="Arial" w:cs="Arial"/>
          <w:sz w:val="20"/>
          <w:szCs w:val="20"/>
          <w:lang w:val="en-GB"/>
        </w:rPr>
        <w:t xml:space="preserve">collateralized by the guarantees, </w:t>
      </w:r>
      <w:proofErr w:type="gramStart"/>
      <w:r w:rsidRPr="00587444">
        <w:rPr>
          <w:rFonts w:ascii="Arial" w:hAnsi="Arial" w:cs="Arial"/>
          <w:sz w:val="20"/>
          <w:szCs w:val="20"/>
          <w:lang w:val="en-GB"/>
        </w:rPr>
        <w:t>deposits</w:t>
      </w:r>
      <w:proofErr w:type="gramEnd"/>
      <w:r w:rsidRPr="00587444">
        <w:rPr>
          <w:rFonts w:ascii="Arial" w:hAnsi="Arial" w:cs="Arial"/>
          <w:sz w:val="20"/>
          <w:szCs w:val="20"/>
          <w:lang w:val="en-GB"/>
        </w:rPr>
        <w:t xml:space="preserve"> and bank guarantees</w:t>
      </w:r>
      <w:r w:rsidRPr="00587444">
        <w:rPr>
          <w:rFonts w:ascii="Arial" w:hAnsi="Arial" w:cs="Arial"/>
          <w:bCs/>
          <w:sz w:val="20"/>
          <w:szCs w:val="20"/>
          <w:lang w:val="en-GB"/>
        </w:rPr>
        <w:t>.</w:t>
      </w:r>
      <w:r w:rsidRPr="00587444">
        <w:rPr>
          <w:rFonts w:ascii="Arial" w:hAnsi="Arial" w:cs="Arial"/>
          <w:sz w:val="20"/>
          <w:szCs w:val="20"/>
          <w:lang w:val="en-GB"/>
        </w:rPr>
        <w:t xml:space="preserve"> </w:t>
      </w:r>
    </w:p>
    <w:p w14:paraId="0139708A" w14:textId="77777777" w:rsidR="00587444" w:rsidRPr="00587444" w:rsidRDefault="00587444" w:rsidP="00880B90">
      <w:pPr>
        <w:keepNext/>
        <w:autoSpaceDN/>
        <w:jc w:val="both"/>
        <w:rPr>
          <w:rFonts w:ascii="Arial" w:hAnsi="Arial" w:cs="Arial"/>
          <w:sz w:val="20"/>
          <w:szCs w:val="20"/>
          <w:lang w:val="en-GB"/>
        </w:rPr>
      </w:pPr>
    </w:p>
    <w:p w14:paraId="139F1A9A" w14:textId="77777777" w:rsidR="00587444" w:rsidRPr="00587444" w:rsidRDefault="00587444" w:rsidP="00880B90">
      <w:pPr>
        <w:autoSpaceDN/>
        <w:spacing w:after="120"/>
        <w:jc w:val="both"/>
        <w:rPr>
          <w:rFonts w:ascii="Arial" w:hAnsi="Arial" w:cs="Arial"/>
          <w:i/>
          <w:sz w:val="20"/>
          <w:szCs w:val="20"/>
          <w:lang w:val="en-GB"/>
        </w:rPr>
      </w:pPr>
      <w:r w:rsidRPr="00587444">
        <w:rPr>
          <w:rFonts w:ascii="Arial" w:hAnsi="Arial" w:cs="Arial"/>
          <w:i/>
          <w:sz w:val="20"/>
          <w:szCs w:val="20"/>
          <w:lang w:val="en-GB"/>
        </w:rPr>
        <w:t>Commitments upon undrawn loans</w:t>
      </w:r>
    </w:p>
    <w:p w14:paraId="59CC4FD3" w14:textId="77777777"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The Bank has an obligation to disburse funds for loans and revolving loans upon committed undrawn loans. The expiry date of disbursement or other termination clause is determined by the contract. Disbursements are exercised in several withdrawals, depending on the purpose of the loan, phase of the project or documentation needed for disbursement. Since commitments may expire without being drawn upon, the total contractual amounts do not necessarily represent future cash outflows.</w:t>
      </w:r>
    </w:p>
    <w:p w14:paraId="0E1F3ABE" w14:textId="77777777" w:rsidR="00587444" w:rsidRPr="00587444" w:rsidRDefault="00587444" w:rsidP="00880B90">
      <w:pPr>
        <w:keepNext/>
        <w:autoSpaceDN/>
        <w:jc w:val="both"/>
        <w:rPr>
          <w:rFonts w:ascii="Arial" w:hAnsi="Arial" w:cs="Arial"/>
          <w:sz w:val="20"/>
          <w:szCs w:val="20"/>
          <w:lang w:val="en-GB"/>
        </w:rPr>
      </w:pPr>
      <w:r w:rsidRPr="00587444">
        <w:rPr>
          <w:rFonts w:ascii="Arial" w:hAnsi="Arial" w:cs="Arial"/>
          <w:sz w:val="20"/>
          <w:szCs w:val="20"/>
          <w:lang w:val="en-GB"/>
        </w:rPr>
        <w:t xml:space="preserve">Committed undrawn loans include less potential credit risk than loans, since most commitments depend upon meeting specific terms and conditions by the customers </w:t>
      </w:r>
      <w:proofErr w:type="gramStart"/>
      <w:r w:rsidRPr="00587444">
        <w:rPr>
          <w:rFonts w:ascii="Arial" w:hAnsi="Arial" w:cs="Arial"/>
          <w:sz w:val="20"/>
          <w:szCs w:val="20"/>
          <w:lang w:val="en-GB"/>
        </w:rPr>
        <w:t>in order to</w:t>
      </w:r>
      <w:proofErr w:type="gramEnd"/>
      <w:r w:rsidRPr="00587444">
        <w:rPr>
          <w:rFonts w:ascii="Arial" w:hAnsi="Arial" w:cs="Arial"/>
          <w:sz w:val="20"/>
          <w:szCs w:val="20"/>
          <w:lang w:val="en-GB"/>
        </w:rPr>
        <w:t xml:space="preserve"> use the funds. The Bank monitors the terms to maturity of loan commitments.</w:t>
      </w:r>
    </w:p>
    <w:p w14:paraId="5F1D482A" w14:textId="77777777" w:rsidR="00587444" w:rsidRPr="00587444" w:rsidRDefault="00587444" w:rsidP="00880B90">
      <w:pPr>
        <w:keepNext/>
        <w:autoSpaceDN/>
        <w:jc w:val="both"/>
        <w:rPr>
          <w:rFonts w:ascii="Arial" w:hAnsi="Arial" w:cs="Arial"/>
          <w:bCs/>
          <w:sz w:val="20"/>
          <w:szCs w:val="20"/>
          <w:lang w:val="pl-PL" w:eastAsia="hr-HR"/>
        </w:rPr>
      </w:pPr>
    </w:p>
    <w:p w14:paraId="0166557E" w14:textId="77777777" w:rsidR="00587444" w:rsidRPr="00587444" w:rsidRDefault="00587444" w:rsidP="00587444">
      <w:pPr>
        <w:keepNext/>
        <w:suppressAutoHyphens w:val="0"/>
        <w:autoSpaceDN/>
        <w:jc w:val="both"/>
        <w:rPr>
          <w:rFonts w:ascii="Arial" w:hAnsi="Arial" w:cs="Arial"/>
          <w:sz w:val="20"/>
          <w:szCs w:val="20"/>
          <w:highlight w:val="yellow"/>
          <w:lang w:val="en-GB"/>
        </w:rPr>
        <w:sectPr w:rsidR="00587444" w:rsidRPr="00587444" w:rsidSect="00DD69E7">
          <w:pgSz w:w="11907" w:h="16840" w:code="9"/>
          <w:pgMar w:top="1418" w:right="1134" w:bottom="1134" w:left="1418" w:header="851" w:footer="851" w:gutter="0"/>
          <w:cols w:space="720"/>
          <w:noEndnote/>
        </w:sectPr>
      </w:pPr>
      <w:bookmarkStart w:id="936" w:name="_Hlk34300217"/>
    </w:p>
    <w:bookmarkEnd w:id="936"/>
    <w:p w14:paraId="4DEA7B45" w14:textId="77777777" w:rsidR="00587444" w:rsidRPr="00F36511" w:rsidRDefault="00587444" w:rsidP="00587444">
      <w:pPr>
        <w:keepNext/>
        <w:tabs>
          <w:tab w:val="left" w:pos="567"/>
        </w:tabs>
        <w:suppressAutoHyphens w:val="0"/>
        <w:autoSpaceDN/>
        <w:jc w:val="both"/>
        <w:rPr>
          <w:rFonts w:ascii="Arial" w:hAnsi="Arial" w:cs="Arial"/>
          <w:b/>
          <w:sz w:val="16"/>
          <w:szCs w:val="16"/>
          <w:lang w:val="en-GB"/>
        </w:rPr>
      </w:pPr>
    </w:p>
    <w:p w14:paraId="3787DE4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29.</w:t>
      </w:r>
      <w:r w:rsidRPr="00587444">
        <w:rPr>
          <w:rFonts w:ascii="Arial" w:hAnsi="Arial" w:cs="Arial"/>
          <w:b/>
          <w:bCs/>
          <w:sz w:val="20"/>
          <w:szCs w:val="20"/>
          <w:lang w:val="en-GB"/>
        </w:rPr>
        <w:tab/>
        <w:t>Managed funds for and on behalf of third parties</w:t>
      </w:r>
    </w:p>
    <w:p w14:paraId="72666742" w14:textId="77777777" w:rsidR="00587444" w:rsidRPr="00F36511" w:rsidRDefault="00587444" w:rsidP="00587444">
      <w:pPr>
        <w:keepNext/>
        <w:suppressAutoHyphens w:val="0"/>
        <w:autoSpaceDN/>
        <w:jc w:val="both"/>
        <w:rPr>
          <w:rFonts w:ascii="Arial" w:hAnsi="Arial" w:cs="Arial"/>
          <w:bCs/>
          <w:sz w:val="16"/>
          <w:szCs w:val="16"/>
          <w:lang w:val="en-GB"/>
        </w:rPr>
      </w:pPr>
    </w:p>
    <w:p w14:paraId="5D9454A6" w14:textId="77777777" w:rsidR="00587444" w:rsidRPr="00587444" w:rsidRDefault="00587444" w:rsidP="00880B90">
      <w:pPr>
        <w:keepNext/>
        <w:autoSpaceDN/>
        <w:jc w:val="both"/>
        <w:rPr>
          <w:rFonts w:ascii="Arial" w:hAnsi="Arial" w:cs="Arial"/>
          <w:bCs/>
          <w:sz w:val="20"/>
          <w:szCs w:val="20"/>
          <w:lang w:val="en-GB"/>
        </w:rPr>
      </w:pPr>
      <w:r w:rsidRPr="00587444">
        <w:rPr>
          <w:rFonts w:ascii="Arial" w:hAnsi="Arial" w:cs="Arial"/>
          <w:bCs/>
          <w:sz w:val="20"/>
          <w:szCs w:val="20"/>
          <w:lang w:val="en-GB"/>
        </w:rPr>
        <w:t xml:space="preserve">The Group manages funds on behalf of and for the account of the Ministry of Finance, the Ministry of the Economy and Sustainable Development, the Ministry of the Sea, Transport and Infrastructure, the Ministry of Agriculture, the Ministry of Regional Development and EU Funds, the Ministry of Foreign and European Affairs, the Ministry of Tourism and Sport, the company </w:t>
      </w:r>
      <w:proofErr w:type="spellStart"/>
      <w:r w:rsidRPr="00587444">
        <w:rPr>
          <w:rFonts w:ascii="Arial" w:hAnsi="Arial" w:cs="Arial"/>
          <w:bCs/>
          <w:sz w:val="20"/>
          <w:szCs w:val="20"/>
          <w:lang w:val="en-GB"/>
        </w:rPr>
        <w:t>Vodovod</w:t>
      </w:r>
      <w:proofErr w:type="spellEnd"/>
      <w:r w:rsidRPr="00587444">
        <w:rPr>
          <w:rFonts w:ascii="Arial" w:hAnsi="Arial" w:cs="Arial"/>
          <w:bCs/>
          <w:sz w:val="20"/>
          <w:szCs w:val="20"/>
          <w:lang w:val="en-GB"/>
        </w:rPr>
        <w:t xml:space="preserve"> i </w:t>
      </w:r>
      <w:proofErr w:type="spellStart"/>
      <w:r w:rsidRPr="00587444">
        <w:rPr>
          <w:rFonts w:ascii="Arial" w:hAnsi="Arial" w:cs="Arial"/>
          <w:bCs/>
          <w:sz w:val="20"/>
          <w:szCs w:val="20"/>
          <w:lang w:val="en-GB"/>
        </w:rPr>
        <w:t>kanalizacija</w:t>
      </w:r>
      <w:proofErr w:type="spellEnd"/>
      <w:r w:rsidRPr="00587444">
        <w:rPr>
          <w:rFonts w:ascii="Arial" w:hAnsi="Arial" w:cs="Arial"/>
          <w:bCs/>
          <w:sz w:val="20"/>
          <w:szCs w:val="20"/>
          <w:lang w:val="en-GB"/>
        </w:rPr>
        <w:t xml:space="preserve"> d.o.o., Split, </w:t>
      </w:r>
      <w:bookmarkStart w:id="937" w:name="_Hlk2950667"/>
      <w:r w:rsidRPr="00587444">
        <w:rPr>
          <w:rFonts w:ascii="Arial" w:hAnsi="Arial" w:cs="Arial"/>
          <w:bCs/>
          <w:sz w:val="20"/>
          <w:szCs w:val="20"/>
          <w:lang w:val="en-GB"/>
        </w:rPr>
        <w:t>the Croatian Agency for SMEs</w:t>
      </w:r>
      <w:r w:rsidRPr="00587444">
        <w:rPr>
          <w:rFonts w:ascii="Arial" w:hAnsi="Arial" w:cs="Arial"/>
          <w:sz w:val="20"/>
          <w:szCs w:val="20"/>
          <w:lang w:val="en-GB"/>
        </w:rPr>
        <w:t>, Innovations</w:t>
      </w:r>
      <w:bookmarkEnd w:id="937"/>
      <w:r w:rsidRPr="00587444">
        <w:rPr>
          <w:rFonts w:ascii="Arial" w:hAnsi="Arial" w:cs="Arial"/>
          <w:sz w:val="20"/>
          <w:szCs w:val="20"/>
          <w:lang w:val="en-GB"/>
        </w:rPr>
        <w:t xml:space="preserve"> </w:t>
      </w:r>
      <w:r w:rsidRPr="00587444">
        <w:rPr>
          <w:rFonts w:ascii="Arial" w:hAnsi="Arial" w:cs="Arial"/>
          <w:bCs/>
          <w:sz w:val="20"/>
          <w:szCs w:val="20"/>
          <w:lang w:val="en-GB"/>
        </w:rPr>
        <w:t>and Investments (“HAMAG-BICRO”)</w:t>
      </w:r>
      <w:r w:rsidRPr="00587444">
        <w:rPr>
          <w:rFonts w:ascii="Arial" w:hAnsi="Arial" w:cs="Arial"/>
          <w:b/>
          <w:bCs/>
          <w:sz w:val="20"/>
          <w:szCs w:val="20"/>
          <w:lang w:val="pl-PL"/>
        </w:rPr>
        <w:t xml:space="preserve"> </w:t>
      </w:r>
      <w:r w:rsidRPr="00587444">
        <w:rPr>
          <w:rFonts w:ascii="Arial" w:hAnsi="Arial" w:cs="Arial"/>
          <w:bCs/>
          <w:sz w:val="20"/>
          <w:szCs w:val="20"/>
          <w:lang w:val="en-GB"/>
        </w:rPr>
        <w:t>and commercial banks, that are mainly used for various reconstruction and development programmes. These assets are separated from the Group’s assets. The income and expense relating to these transactions are charged to the principal, and the Group does not have any other liabilities. The Group charges a fee for part of the services and part of the services are performed free of charge depending on the contract with the customer and taking into account that the stated amounts are insignificant for the Group.</w:t>
      </w:r>
    </w:p>
    <w:p w14:paraId="1E803FF2" w14:textId="77777777" w:rsidR="00587444" w:rsidRPr="00F36511" w:rsidRDefault="00587444" w:rsidP="00587444">
      <w:pPr>
        <w:keepNext/>
        <w:suppressAutoHyphens w:val="0"/>
        <w:autoSpaceDN/>
        <w:jc w:val="both"/>
        <w:rPr>
          <w:rFonts w:ascii="Arial" w:hAnsi="Arial" w:cs="Arial"/>
          <w:bCs/>
          <w:sz w:val="16"/>
          <w:szCs w:val="16"/>
          <w:lang w:val="en-GB"/>
        </w:rPr>
      </w:pPr>
    </w:p>
    <w:p w14:paraId="3921E003" w14:textId="77777777"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 xml:space="preserve">Agency business funds per individual programmes amount to: </w:t>
      </w:r>
    </w:p>
    <w:p w14:paraId="639B964C" w14:textId="77777777" w:rsidR="00587444" w:rsidRPr="00587444" w:rsidRDefault="00587444" w:rsidP="00587444">
      <w:pPr>
        <w:keepNext/>
        <w:suppressAutoHyphens w:val="0"/>
        <w:autoSpaceDN/>
        <w:jc w:val="both"/>
        <w:rPr>
          <w:rFonts w:ascii="Arial" w:hAnsi="Arial" w:cs="Arial"/>
          <w:bCs/>
          <w:sz w:val="20"/>
          <w:szCs w:val="20"/>
          <w:lang w:val="en-GB"/>
        </w:rPr>
      </w:pPr>
    </w:p>
    <w:tbl>
      <w:tblPr>
        <w:tblW w:w="5000" w:type="pct"/>
        <w:jc w:val="center"/>
        <w:tblLayout w:type="fixed"/>
        <w:tblCellMar>
          <w:left w:w="122" w:type="dxa"/>
          <w:right w:w="122" w:type="dxa"/>
        </w:tblCellMar>
        <w:tblLook w:val="0000" w:firstRow="0" w:lastRow="0" w:firstColumn="0" w:lastColumn="0" w:noHBand="0" w:noVBand="0"/>
      </w:tblPr>
      <w:tblGrid>
        <w:gridCol w:w="12"/>
        <w:gridCol w:w="6533"/>
        <w:gridCol w:w="1601"/>
        <w:gridCol w:w="1453"/>
      </w:tblGrid>
      <w:tr w:rsidR="00587444" w:rsidRPr="00587444" w14:paraId="28022D91" w14:textId="77777777" w:rsidTr="00DD69E7">
        <w:trPr>
          <w:trHeight w:val="255"/>
          <w:jc w:val="center"/>
        </w:trPr>
        <w:tc>
          <w:tcPr>
            <w:tcW w:w="3409" w:type="pct"/>
            <w:gridSpan w:val="2"/>
          </w:tcPr>
          <w:p w14:paraId="62E1DF30" w14:textId="77777777" w:rsidR="00587444" w:rsidRPr="00587444" w:rsidRDefault="00587444" w:rsidP="00587444">
            <w:pPr>
              <w:tabs>
                <w:tab w:val="left" w:pos="-720"/>
              </w:tabs>
              <w:autoSpaceDN/>
              <w:spacing w:line="240" w:lineRule="exact"/>
              <w:rPr>
                <w:rFonts w:ascii="Arial" w:hAnsi="Arial" w:cs="Arial"/>
                <w:spacing w:val="-3"/>
                <w:sz w:val="18"/>
                <w:szCs w:val="18"/>
                <w:lang w:val="en-GB"/>
              </w:rPr>
            </w:pPr>
            <w:r w:rsidRPr="00587444">
              <w:rPr>
                <w:rFonts w:ascii="Arial" w:hAnsi="Arial" w:cs="Arial"/>
                <w:b/>
                <w:bCs/>
                <w:sz w:val="18"/>
                <w:szCs w:val="18"/>
                <w:lang w:val="en-GB"/>
              </w:rPr>
              <w:t>Group and Bank</w:t>
            </w:r>
          </w:p>
        </w:tc>
        <w:tc>
          <w:tcPr>
            <w:tcW w:w="834" w:type="pct"/>
          </w:tcPr>
          <w:p w14:paraId="0E3C1EC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sz w:val="18"/>
                <w:szCs w:val="18"/>
                <w:lang w:val="en-GB"/>
              </w:rPr>
            </w:pPr>
          </w:p>
        </w:tc>
        <w:tc>
          <w:tcPr>
            <w:tcW w:w="757" w:type="pct"/>
          </w:tcPr>
          <w:p w14:paraId="3374EF0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sz w:val="18"/>
                <w:szCs w:val="18"/>
                <w:lang w:val="en-GB"/>
              </w:rPr>
            </w:pPr>
          </w:p>
        </w:tc>
      </w:tr>
      <w:tr w:rsidR="00587444" w:rsidRPr="00587444" w14:paraId="20051F08" w14:textId="77777777" w:rsidTr="00DD69E7">
        <w:trPr>
          <w:trHeight w:val="255"/>
          <w:jc w:val="center"/>
        </w:trPr>
        <w:tc>
          <w:tcPr>
            <w:tcW w:w="3409" w:type="pct"/>
            <w:gridSpan w:val="2"/>
          </w:tcPr>
          <w:p w14:paraId="769AE798" w14:textId="77777777" w:rsidR="00587444" w:rsidRPr="00587444" w:rsidRDefault="00587444" w:rsidP="00587444">
            <w:pPr>
              <w:tabs>
                <w:tab w:val="left" w:pos="-720"/>
              </w:tabs>
              <w:autoSpaceDN/>
              <w:spacing w:line="240" w:lineRule="exact"/>
              <w:rPr>
                <w:rFonts w:ascii="Arial" w:hAnsi="Arial" w:cs="Arial"/>
                <w:b/>
                <w:bCs/>
                <w:sz w:val="18"/>
                <w:szCs w:val="18"/>
                <w:lang w:val="en-GB"/>
              </w:rPr>
            </w:pPr>
          </w:p>
        </w:tc>
        <w:tc>
          <w:tcPr>
            <w:tcW w:w="834" w:type="pct"/>
          </w:tcPr>
          <w:p w14:paraId="2FB39CD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sz w:val="18"/>
                <w:szCs w:val="18"/>
                <w:lang w:val="en-GB"/>
              </w:rPr>
            </w:pPr>
            <w:bookmarkStart w:id="938" w:name="_Toc4060195"/>
            <w:r w:rsidRPr="00587444">
              <w:rPr>
                <w:rFonts w:ascii="Arial" w:hAnsi="Arial" w:cs="Arial"/>
                <w:b/>
                <w:sz w:val="18"/>
                <w:szCs w:val="18"/>
                <w:lang w:val="en-GB"/>
              </w:rPr>
              <w:t xml:space="preserve">31 December </w:t>
            </w:r>
            <w:bookmarkEnd w:id="938"/>
            <w:r w:rsidRPr="00587444">
              <w:rPr>
                <w:rFonts w:ascii="Arial" w:hAnsi="Arial" w:cs="Arial"/>
                <w:b/>
                <w:sz w:val="18"/>
                <w:szCs w:val="18"/>
                <w:lang w:val="en-GB"/>
              </w:rPr>
              <w:t>2022</w:t>
            </w:r>
          </w:p>
        </w:tc>
        <w:tc>
          <w:tcPr>
            <w:tcW w:w="757" w:type="pct"/>
          </w:tcPr>
          <w:p w14:paraId="1894D03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sz w:val="18"/>
                <w:szCs w:val="18"/>
                <w:lang w:val="en-GB"/>
              </w:rPr>
            </w:pPr>
            <w:bookmarkStart w:id="939" w:name="_Toc4060196"/>
            <w:r w:rsidRPr="00587444">
              <w:rPr>
                <w:rFonts w:ascii="Arial" w:hAnsi="Arial" w:cs="Arial"/>
                <w:b/>
                <w:sz w:val="18"/>
                <w:szCs w:val="18"/>
                <w:lang w:val="en-GB"/>
              </w:rPr>
              <w:t xml:space="preserve">31 December </w:t>
            </w:r>
            <w:bookmarkEnd w:id="939"/>
            <w:r w:rsidRPr="00587444">
              <w:rPr>
                <w:rFonts w:ascii="Arial" w:hAnsi="Arial" w:cs="Arial"/>
                <w:b/>
                <w:sz w:val="18"/>
                <w:szCs w:val="18"/>
                <w:lang w:val="en-GB"/>
              </w:rPr>
              <w:t>2021</w:t>
            </w:r>
          </w:p>
        </w:tc>
      </w:tr>
      <w:tr w:rsidR="00587444" w:rsidRPr="00587444" w14:paraId="68814B37" w14:textId="77777777" w:rsidTr="00DD69E7">
        <w:trPr>
          <w:trHeight w:val="255"/>
          <w:jc w:val="center"/>
        </w:trPr>
        <w:tc>
          <w:tcPr>
            <w:tcW w:w="3409" w:type="pct"/>
            <w:gridSpan w:val="2"/>
          </w:tcPr>
          <w:p w14:paraId="7F844733" w14:textId="77777777" w:rsidR="00587444" w:rsidRPr="00587444" w:rsidRDefault="00587444" w:rsidP="00587444">
            <w:pPr>
              <w:tabs>
                <w:tab w:val="left" w:pos="-720"/>
              </w:tabs>
              <w:autoSpaceDN/>
              <w:spacing w:line="240" w:lineRule="exact"/>
              <w:ind w:right="4144"/>
              <w:rPr>
                <w:rFonts w:ascii="Arial" w:hAnsi="Arial" w:cs="Arial"/>
                <w:sz w:val="18"/>
                <w:szCs w:val="18"/>
                <w:lang w:val="en-GB"/>
              </w:rPr>
            </w:pPr>
            <w:r w:rsidRPr="00587444">
              <w:rPr>
                <w:rFonts w:ascii="Arial" w:hAnsi="Arial" w:cs="Arial"/>
                <w:b/>
                <w:bCs/>
                <w:sz w:val="18"/>
                <w:szCs w:val="18"/>
                <w:lang w:val="en-GB"/>
              </w:rPr>
              <w:t>Program</w:t>
            </w:r>
          </w:p>
        </w:tc>
        <w:tc>
          <w:tcPr>
            <w:tcW w:w="834" w:type="pct"/>
          </w:tcPr>
          <w:p w14:paraId="10AC72C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sz w:val="18"/>
                <w:szCs w:val="18"/>
                <w:lang w:val="en-GB"/>
              </w:rPr>
            </w:pPr>
            <w:bookmarkStart w:id="940" w:name="_Toc4060197"/>
            <w:r w:rsidRPr="00587444">
              <w:rPr>
                <w:rFonts w:ascii="Arial" w:hAnsi="Arial" w:cs="Arial"/>
                <w:b/>
                <w:sz w:val="18"/>
                <w:szCs w:val="18"/>
                <w:lang w:val="en-GB"/>
              </w:rPr>
              <w:t>HRK '000</w:t>
            </w:r>
            <w:bookmarkEnd w:id="940"/>
            <w:r w:rsidRPr="00587444">
              <w:rPr>
                <w:rFonts w:ascii="Arial" w:hAnsi="Arial" w:cs="Arial"/>
                <w:b/>
                <w:sz w:val="18"/>
                <w:szCs w:val="18"/>
                <w:lang w:val="en-GB"/>
              </w:rPr>
              <w:t xml:space="preserve"> </w:t>
            </w:r>
          </w:p>
        </w:tc>
        <w:tc>
          <w:tcPr>
            <w:tcW w:w="757" w:type="pct"/>
          </w:tcPr>
          <w:p w14:paraId="42BD054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sz w:val="18"/>
                <w:szCs w:val="18"/>
                <w:lang w:val="en-GB"/>
              </w:rPr>
            </w:pPr>
            <w:bookmarkStart w:id="941" w:name="_Toc4060198"/>
            <w:r w:rsidRPr="00587444">
              <w:rPr>
                <w:rFonts w:ascii="Arial" w:hAnsi="Arial" w:cs="Arial"/>
                <w:b/>
                <w:sz w:val="18"/>
                <w:szCs w:val="18"/>
                <w:lang w:val="en-GB"/>
              </w:rPr>
              <w:t>HRK '000</w:t>
            </w:r>
            <w:bookmarkEnd w:id="941"/>
            <w:r w:rsidRPr="00587444">
              <w:rPr>
                <w:rFonts w:ascii="Arial" w:hAnsi="Arial" w:cs="Arial"/>
                <w:b/>
                <w:sz w:val="18"/>
                <w:szCs w:val="18"/>
                <w:lang w:val="en-GB"/>
              </w:rPr>
              <w:t xml:space="preserve"> </w:t>
            </w:r>
          </w:p>
        </w:tc>
      </w:tr>
      <w:tr w:rsidR="00587444" w:rsidRPr="00587444" w14:paraId="2DEBA7D7" w14:textId="77777777" w:rsidTr="00F36511">
        <w:tblPrEx>
          <w:tblCellMar>
            <w:left w:w="107" w:type="dxa"/>
            <w:right w:w="107" w:type="dxa"/>
          </w:tblCellMar>
        </w:tblPrEx>
        <w:trPr>
          <w:trHeight w:val="80"/>
          <w:jc w:val="center"/>
        </w:trPr>
        <w:tc>
          <w:tcPr>
            <w:tcW w:w="3409" w:type="pct"/>
            <w:gridSpan w:val="2"/>
          </w:tcPr>
          <w:p w14:paraId="432F5A91" w14:textId="77777777" w:rsidR="00587444" w:rsidRPr="00587444" w:rsidRDefault="00587444" w:rsidP="00587444">
            <w:pPr>
              <w:tabs>
                <w:tab w:val="right" w:pos="1202"/>
              </w:tabs>
              <w:suppressAutoHyphens w:val="0"/>
              <w:autoSpaceDN/>
              <w:spacing w:line="140" w:lineRule="exact"/>
              <w:outlineLvl w:val="0"/>
              <w:rPr>
                <w:rFonts w:ascii="Arial" w:hAnsi="Arial" w:cs="Arial"/>
                <w:sz w:val="18"/>
                <w:szCs w:val="18"/>
                <w:lang w:val="en-GB"/>
              </w:rPr>
            </w:pPr>
          </w:p>
        </w:tc>
        <w:tc>
          <w:tcPr>
            <w:tcW w:w="834" w:type="pct"/>
          </w:tcPr>
          <w:p w14:paraId="0AB24180"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sz w:val="18"/>
                <w:szCs w:val="18"/>
                <w:lang w:val="en-GB"/>
              </w:rPr>
            </w:pPr>
          </w:p>
        </w:tc>
        <w:tc>
          <w:tcPr>
            <w:tcW w:w="757" w:type="pct"/>
          </w:tcPr>
          <w:p w14:paraId="73877049"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sz w:val="18"/>
                <w:szCs w:val="18"/>
                <w:lang w:val="en-GB"/>
              </w:rPr>
            </w:pPr>
          </w:p>
        </w:tc>
      </w:tr>
      <w:tr w:rsidR="00587444" w:rsidRPr="00587444" w14:paraId="33458132" w14:textId="77777777" w:rsidTr="00DD69E7">
        <w:tblPrEx>
          <w:tblCellMar>
            <w:left w:w="107" w:type="dxa"/>
            <w:right w:w="107" w:type="dxa"/>
          </w:tblCellMar>
        </w:tblPrEx>
        <w:trPr>
          <w:trHeight w:val="255"/>
          <w:jc w:val="center"/>
        </w:trPr>
        <w:tc>
          <w:tcPr>
            <w:tcW w:w="3409" w:type="pct"/>
            <w:gridSpan w:val="2"/>
            <w:vAlign w:val="bottom"/>
          </w:tcPr>
          <w:p w14:paraId="4492BEBE" w14:textId="77777777" w:rsidR="00587444" w:rsidRPr="00587444" w:rsidRDefault="00587444" w:rsidP="00587444">
            <w:pPr>
              <w:tabs>
                <w:tab w:val="right" w:pos="1202"/>
              </w:tabs>
              <w:suppressAutoHyphens w:val="0"/>
              <w:autoSpaceDN/>
              <w:spacing w:line="220" w:lineRule="exact"/>
              <w:outlineLvl w:val="0"/>
              <w:rPr>
                <w:rFonts w:ascii="Arial" w:hAnsi="Arial" w:cs="Arial"/>
                <w:sz w:val="18"/>
                <w:szCs w:val="18"/>
                <w:lang w:val="en-GB"/>
              </w:rPr>
            </w:pPr>
            <w:bookmarkStart w:id="942" w:name="_Toc4060199"/>
            <w:r w:rsidRPr="00587444">
              <w:rPr>
                <w:rFonts w:ascii="Arial" w:hAnsi="Arial" w:cs="Arial"/>
                <w:sz w:val="18"/>
                <w:szCs w:val="18"/>
                <w:lang w:val="en-GB"/>
              </w:rPr>
              <w:t>Development and Reconstruction of Rural Housing</w:t>
            </w:r>
            <w:bookmarkEnd w:id="942"/>
          </w:p>
        </w:tc>
        <w:tc>
          <w:tcPr>
            <w:tcW w:w="834" w:type="pct"/>
            <w:tcBorders>
              <w:top w:val="nil"/>
              <w:left w:val="nil"/>
              <w:bottom w:val="nil"/>
              <w:right w:val="nil"/>
            </w:tcBorders>
            <w:shd w:val="clear" w:color="auto" w:fill="auto"/>
            <w:vAlign w:val="bottom"/>
          </w:tcPr>
          <w:p w14:paraId="4CAC5E7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17,386</w:t>
            </w:r>
          </w:p>
        </w:tc>
        <w:tc>
          <w:tcPr>
            <w:tcW w:w="757" w:type="pct"/>
            <w:tcBorders>
              <w:top w:val="nil"/>
              <w:left w:val="nil"/>
              <w:bottom w:val="nil"/>
              <w:right w:val="nil"/>
            </w:tcBorders>
            <w:shd w:val="clear" w:color="auto" w:fill="auto"/>
            <w:vAlign w:val="bottom"/>
          </w:tcPr>
          <w:p w14:paraId="0BB17E4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19,127</w:t>
            </w:r>
          </w:p>
        </w:tc>
      </w:tr>
      <w:tr w:rsidR="00587444" w:rsidRPr="00587444" w14:paraId="06C0916A" w14:textId="77777777" w:rsidTr="00DD69E7">
        <w:tblPrEx>
          <w:tblCellMar>
            <w:left w:w="107" w:type="dxa"/>
            <w:right w:w="107" w:type="dxa"/>
          </w:tblCellMar>
        </w:tblPrEx>
        <w:trPr>
          <w:trHeight w:val="255"/>
          <w:jc w:val="center"/>
        </w:trPr>
        <w:tc>
          <w:tcPr>
            <w:tcW w:w="3409" w:type="pct"/>
            <w:gridSpan w:val="2"/>
            <w:vAlign w:val="bottom"/>
          </w:tcPr>
          <w:p w14:paraId="0C7A1F21" w14:textId="77777777" w:rsidR="00587444" w:rsidRPr="00587444" w:rsidRDefault="00587444" w:rsidP="00587444">
            <w:pPr>
              <w:tabs>
                <w:tab w:val="right" w:pos="1202"/>
              </w:tabs>
              <w:suppressAutoHyphens w:val="0"/>
              <w:autoSpaceDN/>
              <w:spacing w:line="220" w:lineRule="exact"/>
              <w:outlineLvl w:val="0"/>
              <w:rPr>
                <w:rFonts w:ascii="Arial" w:hAnsi="Arial" w:cs="Arial"/>
                <w:sz w:val="18"/>
                <w:szCs w:val="18"/>
                <w:lang w:val="en-GB"/>
              </w:rPr>
            </w:pPr>
            <w:bookmarkStart w:id="943" w:name="_Toc4060202"/>
            <w:r w:rsidRPr="00587444">
              <w:rPr>
                <w:rFonts w:ascii="Arial" w:hAnsi="Arial" w:cs="Arial"/>
                <w:sz w:val="18"/>
                <w:szCs w:val="18"/>
                <w:lang w:val="en-GB"/>
              </w:rPr>
              <w:t>Employment of Former Soldiers</w:t>
            </w:r>
            <w:bookmarkEnd w:id="943"/>
          </w:p>
        </w:tc>
        <w:tc>
          <w:tcPr>
            <w:tcW w:w="834" w:type="pct"/>
            <w:tcBorders>
              <w:top w:val="nil"/>
              <w:left w:val="nil"/>
              <w:bottom w:val="nil"/>
              <w:right w:val="nil"/>
            </w:tcBorders>
            <w:shd w:val="clear" w:color="auto" w:fill="auto"/>
            <w:vAlign w:val="bottom"/>
          </w:tcPr>
          <w:p w14:paraId="4408DEC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289,672</w:t>
            </w:r>
          </w:p>
        </w:tc>
        <w:tc>
          <w:tcPr>
            <w:tcW w:w="757" w:type="pct"/>
            <w:tcBorders>
              <w:top w:val="nil"/>
              <w:left w:val="nil"/>
              <w:bottom w:val="nil"/>
              <w:right w:val="nil"/>
            </w:tcBorders>
            <w:shd w:val="clear" w:color="auto" w:fill="auto"/>
            <w:vAlign w:val="bottom"/>
          </w:tcPr>
          <w:p w14:paraId="23581F9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284,221</w:t>
            </w:r>
          </w:p>
        </w:tc>
      </w:tr>
      <w:tr w:rsidR="00587444" w:rsidRPr="00587444" w14:paraId="21F097F2" w14:textId="77777777" w:rsidTr="00DD69E7">
        <w:tblPrEx>
          <w:tblCellMar>
            <w:left w:w="107" w:type="dxa"/>
            <w:right w:w="107" w:type="dxa"/>
          </w:tblCellMar>
        </w:tblPrEx>
        <w:trPr>
          <w:trHeight w:val="255"/>
          <w:jc w:val="center"/>
        </w:trPr>
        <w:tc>
          <w:tcPr>
            <w:tcW w:w="3409" w:type="pct"/>
            <w:gridSpan w:val="2"/>
            <w:vAlign w:val="bottom"/>
          </w:tcPr>
          <w:p w14:paraId="249753C5" w14:textId="77777777" w:rsidR="00587444" w:rsidRPr="00587444" w:rsidRDefault="00587444" w:rsidP="00587444">
            <w:pPr>
              <w:tabs>
                <w:tab w:val="right" w:pos="1202"/>
              </w:tabs>
              <w:suppressAutoHyphens w:val="0"/>
              <w:autoSpaceDN/>
              <w:spacing w:line="220" w:lineRule="exact"/>
              <w:outlineLvl w:val="0"/>
              <w:rPr>
                <w:rFonts w:ascii="Arial" w:hAnsi="Arial" w:cs="Arial"/>
                <w:sz w:val="18"/>
                <w:szCs w:val="18"/>
                <w:lang w:val="en-GB"/>
              </w:rPr>
            </w:pPr>
            <w:bookmarkStart w:id="944" w:name="_Toc4060208"/>
            <w:r w:rsidRPr="00587444">
              <w:rPr>
                <w:rFonts w:ascii="Arial" w:hAnsi="Arial" w:cs="Arial"/>
                <w:sz w:val="18"/>
                <w:szCs w:val="18"/>
                <w:lang w:val="en-GB"/>
              </w:rPr>
              <w:t>Collection of receivables under HAMAG-BICRO guarantees</w:t>
            </w:r>
            <w:bookmarkEnd w:id="944"/>
          </w:p>
        </w:tc>
        <w:tc>
          <w:tcPr>
            <w:tcW w:w="834" w:type="pct"/>
            <w:tcBorders>
              <w:top w:val="nil"/>
              <w:left w:val="nil"/>
              <w:bottom w:val="nil"/>
              <w:right w:val="nil"/>
            </w:tcBorders>
            <w:shd w:val="clear" w:color="auto" w:fill="auto"/>
            <w:vAlign w:val="bottom"/>
          </w:tcPr>
          <w:p w14:paraId="5C75724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88</w:t>
            </w:r>
          </w:p>
        </w:tc>
        <w:tc>
          <w:tcPr>
            <w:tcW w:w="757" w:type="pct"/>
            <w:tcBorders>
              <w:top w:val="nil"/>
              <w:left w:val="nil"/>
              <w:bottom w:val="nil"/>
              <w:right w:val="nil"/>
            </w:tcBorders>
            <w:shd w:val="clear" w:color="auto" w:fill="auto"/>
            <w:vAlign w:val="bottom"/>
          </w:tcPr>
          <w:p w14:paraId="20ACD83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105</w:t>
            </w:r>
          </w:p>
        </w:tc>
      </w:tr>
      <w:tr w:rsidR="00587444" w:rsidRPr="00587444" w14:paraId="0FBBBEDB" w14:textId="77777777" w:rsidTr="00DD69E7">
        <w:tblPrEx>
          <w:tblCellMar>
            <w:left w:w="107" w:type="dxa"/>
            <w:right w:w="107" w:type="dxa"/>
          </w:tblCellMar>
        </w:tblPrEx>
        <w:trPr>
          <w:trHeight w:val="255"/>
          <w:jc w:val="center"/>
        </w:trPr>
        <w:tc>
          <w:tcPr>
            <w:tcW w:w="3409" w:type="pct"/>
            <w:gridSpan w:val="2"/>
            <w:vAlign w:val="bottom"/>
          </w:tcPr>
          <w:p w14:paraId="2601D517" w14:textId="77777777" w:rsidR="00587444" w:rsidRPr="00587444" w:rsidRDefault="00587444" w:rsidP="00587444">
            <w:pPr>
              <w:tabs>
                <w:tab w:val="right" w:pos="1202"/>
              </w:tabs>
              <w:suppressAutoHyphens w:val="0"/>
              <w:autoSpaceDN/>
              <w:spacing w:line="220" w:lineRule="exact"/>
              <w:outlineLvl w:val="0"/>
              <w:rPr>
                <w:rFonts w:ascii="Arial" w:hAnsi="Arial" w:cs="Arial"/>
                <w:sz w:val="18"/>
                <w:szCs w:val="18"/>
                <w:lang w:val="en-GB"/>
              </w:rPr>
            </w:pPr>
            <w:bookmarkStart w:id="945" w:name="_Toc4060211"/>
            <w:r w:rsidRPr="00587444">
              <w:rPr>
                <w:rFonts w:ascii="Arial" w:hAnsi="Arial" w:cs="Arial"/>
                <w:sz w:val="18"/>
                <w:szCs w:val="18"/>
                <w:lang w:val="en-GB"/>
              </w:rPr>
              <w:t>Insurance of export transactions</w:t>
            </w:r>
            <w:bookmarkEnd w:id="945"/>
            <w:r w:rsidRPr="00587444">
              <w:rPr>
                <w:rFonts w:ascii="Arial" w:hAnsi="Arial" w:cs="Arial"/>
                <w:sz w:val="18"/>
                <w:szCs w:val="18"/>
                <w:lang w:val="en-GB"/>
              </w:rPr>
              <w:t xml:space="preserve"> </w:t>
            </w:r>
          </w:p>
        </w:tc>
        <w:tc>
          <w:tcPr>
            <w:tcW w:w="834" w:type="pct"/>
            <w:tcBorders>
              <w:top w:val="nil"/>
              <w:left w:val="nil"/>
              <w:bottom w:val="nil"/>
              <w:right w:val="nil"/>
            </w:tcBorders>
            <w:shd w:val="clear" w:color="auto" w:fill="auto"/>
            <w:vAlign w:val="bottom"/>
          </w:tcPr>
          <w:p w14:paraId="2F58935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746,830</w:t>
            </w:r>
          </w:p>
        </w:tc>
        <w:tc>
          <w:tcPr>
            <w:tcW w:w="757" w:type="pct"/>
            <w:tcBorders>
              <w:top w:val="nil"/>
              <w:left w:val="nil"/>
              <w:bottom w:val="nil"/>
              <w:right w:val="nil"/>
            </w:tcBorders>
            <w:shd w:val="clear" w:color="auto" w:fill="auto"/>
            <w:vAlign w:val="bottom"/>
          </w:tcPr>
          <w:p w14:paraId="7419757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628,852</w:t>
            </w:r>
          </w:p>
        </w:tc>
      </w:tr>
      <w:tr w:rsidR="00587444" w:rsidRPr="00587444" w14:paraId="4C379CEA" w14:textId="77777777" w:rsidTr="00DD69E7">
        <w:tblPrEx>
          <w:tblCellMar>
            <w:left w:w="107" w:type="dxa"/>
            <w:right w:w="107" w:type="dxa"/>
          </w:tblCellMar>
        </w:tblPrEx>
        <w:trPr>
          <w:trHeight w:val="255"/>
          <w:jc w:val="center"/>
        </w:trPr>
        <w:tc>
          <w:tcPr>
            <w:tcW w:w="3409" w:type="pct"/>
            <w:gridSpan w:val="2"/>
            <w:vAlign w:val="bottom"/>
          </w:tcPr>
          <w:p w14:paraId="309597A0" w14:textId="77777777" w:rsidR="00587444" w:rsidRPr="00587444" w:rsidRDefault="00587444" w:rsidP="00587444">
            <w:pPr>
              <w:tabs>
                <w:tab w:val="right" w:pos="1202"/>
              </w:tabs>
              <w:suppressAutoHyphens w:val="0"/>
              <w:autoSpaceDN/>
              <w:spacing w:line="220" w:lineRule="exact"/>
              <w:outlineLvl w:val="0"/>
              <w:rPr>
                <w:rFonts w:ascii="Arial" w:hAnsi="Arial" w:cs="Arial"/>
                <w:sz w:val="18"/>
                <w:szCs w:val="18"/>
                <w:lang w:val="en-GB"/>
              </w:rPr>
            </w:pPr>
            <w:bookmarkStart w:id="946" w:name="_Toc4060214"/>
            <w:r w:rsidRPr="00587444">
              <w:rPr>
                <w:rFonts w:ascii="Arial" w:hAnsi="Arial" w:cs="Arial"/>
                <w:sz w:val="18"/>
                <w:szCs w:val="18"/>
                <w:lang w:val="en-GB"/>
              </w:rPr>
              <w:t>Programme of Preferential Financing through HBOR’s Loan Programmes - Ministry of Finance</w:t>
            </w:r>
            <w:bookmarkEnd w:id="946"/>
          </w:p>
        </w:tc>
        <w:tc>
          <w:tcPr>
            <w:tcW w:w="834" w:type="pct"/>
            <w:tcBorders>
              <w:top w:val="nil"/>
              <w:left w:val="nil"/>
              <w:bottom w:val="nil"/>
              <w:right w:val="nil"/>
            </w:tcBorders>
            <w:shd w:val="clear" w:color="auto" w:fill="auto"/>
            <w:vAlign w:val="bottom"/>
          </w:tcPr>
          <w:p w14:paraId="75E6943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312,972</w:t>
            </w:r>
          </w:p>
        </w:tc>
        <w:tc>
          <w:tcPr>
            <w:tcW w:w="757" w:type="pct"/>
            <w:tcBorders>
              <w:top w:val="nil"/>
              <w:left w:val="nil"/>
              <w:bottom w:val="nil"/>
              <w:right w:val="nil"/>
            </w:tcBorders>
            <w:shd w:val="clear" w:color="auto" w:fill="auto"/>
            <w:vAlign w:val="bottom"/>
          </w:tcPr>
          <w:p w14:paraId="29D0D99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168,750</w:t>
            </w:r>
          </w:p>
        </w:tc>
      </w:tr>
      <w:tr w:rsidR="00587444" w:rsidRPr="00587444" w14:paraId="3A86AE98" w14:textId="77777777" w:rsidTr="00DD69E7">
        <w:tblPrEx>
          <w:tblCellMar>
            <w:left w:w="107" w:type="dxa"/>
            <w:right w:w="107" w:type="dxa"/>
          </w:tblCellMar>
        </w:tblPrEx>
        <w:trPr>
          <w:trHeight w:val="255"/>
          <w:jc w:val="center"/>
        </w:trPr>
        <w:tc>
          <w:tcPr>
            <w:tcW w:w="3409" w:type="pct"/>
            <w:gridSpan w:val="2"/>
            <w:vAlign w:val="bottom"/>
          </w:tcPr>
          <w:p w14:paraId="0C8BA5E9" w14:textId="77777777" w:rsidR="00587444" w:rsidRPr="00587444" w:rsidRDefault="00587444" w:rsidP="00587444">
            <w:pPr>
              <w:tabs>
                <w:tab w:val="right" w:pos="1202"/>
              </w:tabs>
              <w:suppressAutoHyphens w:val="0"/>
              <w:autoSpaceDN/>
              <w:spacing w:line="220" w:lineRule="exact"/>
              <w:outlineLvl w:val="0"/>
              <w:rPr>
                <w:rFonts w:ascii="Arial" w:hAnsi="Arial" w:cs="Arial"/>
                <w:sz w:val="18"/>
                <w:szCs w:val="18"/>
                <w:lang w:val="en-GB"/>
              </w:rPr>
            </w:pPr>
            <w:bookmarkStart w:id="947" w:name="_Toc4060217"/>
            <w:r w:rsidRPr="00587444">
              <w:rPr>
                <w:rFonts w:ascii="Arial" w:hAnsi="Arial" w:cs="Arial"/>
                <w:sz w:val="18"/>
                <w:szCs w:val="18"/>
                <w:lang w:val="en-GB"/>
              </w:rPr>
              <w:t>Programme for Regional Development of the Republic of Croatia - loans</w:t>
            </w:r>
            <w:bookmarkEnd w:id="947"/>
          </w:p>
        </w:tc>
        <w:tc>
          <w:tcPr>
            <w:tcW w:w="834" w:type="pct"/>
            <w:tcBorders>
              <w:top w:val="nil"/>
              <w:left w:val="nil"/>
              <w:bottom w:val="nil"/>
              <w:right w:val="nil"/>
            </w:tcBorders>
            <w:shd w:val="clear" w:color="auto" w:fill="auto"/>
            <w:vAlign w:val="bottom"/>
          </w:tcPr>
          <w:p w14:paraId="64689A8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1,209</w:t>
            </w:r>
          </w:p>
        </w:tc>
        <w:tc>
          <w:tcPr>
            <w:tcW w:w="757" w:type="pct"/>
            <w:tcBorders>
              <w:top w:val="nil"/>
              <w:left w:val="nil"/>
              <w:bottom w:val="nil"/>
              <w:right w:val="nil"/>
            </w:tcBorders>
            <w:shd w:val="clear" w:color="auto" w:fill="auto"/>
            <w:vAlign w:val="bottom"/>
          </w:tcPr>
          <w:p w14:paraId="1BFC564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2,227</w:t>
            </w:r>
          </w:p>
        </w:tc>
      </w:tr>
      <w:tr w:rsidR="00587444" w:rsidRPr="00587444" w14:paraId="11BF49E7" w14:textId="77777777" w:rsidTr="00DD69E7">
        <w:tblPrEx>
          <w:tblCellMar>
            <w:left w:w="107" w:type="dxa"/>
            <w:right w:w="107" w:type="dxa"/>
          </w:tblCellMar>
        </w:tblPrEx>
        <w:trPr>
          <w:trHeight w:val="255"/>
          <w:jc w:val="center"/>
        </w:trPr>
        <w:tc>
          <w:tcPr>
            <w:tcW w:w="3409" w:type="pct"/>
            <w:gridSpan w:val="2"/>
            <w:vAlign w:val="bottom"/>
          </w:tcPr>
          <w:p w14:paraId="5BE4DE06" w14:textId="77777777" w:rsidR="00587444" w:rsidRPr="00587444" w:rsidRDefault="00587444" w:rsidP="00587444">
            <w:pPr>
              <w:tabs>
                <w:tab w:val="right" w:pos="1202"/>
              </w:tabs>
              <w:suppressAutoHyphens w:val="0"/>
              <w:autoSpaceDN/>
              <w:spacing w:line="220" w:lineRule="exact"/>
              <w:outlineLvl w:val="0"/>
              <w:rPr>
                <w:rFonts w:ascii="Arial" w:hAnsi="Arial" w:cs="Arial"/>
                <w:sz w:val="18"/>
                <w:szCs w:val="18"/>
                <w:lang w:val="en-GB"/>
              </w:rPr>
            </w:pPr>
            <w:bookmarkStart w:id="948" w:name="_Toc4060220"/>
            <w:r w:rsidRPr="00587444">
              <w:rPr>
                <w:rFonts w:ascii="Arial" w:hAnsi="Arial" w:cs="Arial"/>
                <w:sz w:val="18"/>
                <w:szCs w:val="18"/>
                <w:lang w:val="en-GB"/>
              </w:rPr>
              <w:t>Renewable Energy Resources Project</w:t>
            </w:r>
            <w:bookmarkEnd w:id="948"/>
            <w:r w:rsidRPr="00587444">
              <w:rPr>
                <w:rFonts w:ascii="Arial" w:hAnsi="Arial" w:cs="Arial"/>
                <w:sz w:val="18"/>
                <w:szCs w:val="18"/>
                <w:lang w:val="en-GB"/>
              </w:rPr>
              <w:t xml:space="preserve"> </w:t>
            </w:r>
          </w:p>
        </w:tc>
        <w:tc>
          <w:tcPr>
            <w:tcW w:w="834" w:type="pct"/>
            <w:tcBorders>
              <w:top w:val="nil"/>
              <w:left w:val="nil"/>
              <w:bottom w:val="nil"/>
              <w:right w:val="nil"/>
            </w:tcBorders>
            <w:shd w:val="clear" w:color="auto" w:fill="auto"/>
            <w:vAlign w:val="bottom"/>
          </w:tcPr>
          <w:p w14:paraId="7626801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1,512</w:t>
            </w:r>
          </w:p>
        </w:tc>
        <w:tc>
          <w:tcPr>
            <w:tcW w:w="757" w:type="pct"/>
            <w:tcBorders>
              <w:top w:val="nil"/>
              <w:left w:val="nil"/>
              <w:bottom w:val="nil"/>
              <w:right w:val="nil"/>
            </w:tcBorders>
            <w:shd w:val="clear" w:color="auto" w:fill="auto"/>
            <w:vAlign w:val="bottom"/>
          </w:tcPr>
          <w:p w14:paraId="3E0CF27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1,368</w:t>
            </w:r>
          </w:p>
        </w:tc>
      </w:tr>
      <w:tr w:rsidR="00587444" w:rsidRPr="00587444" w14:paraId="4289D318" w14:textId="77777777" w:rsidTr="00DD69E7">
        <w:tblPrEx>
          <w:tblCellMar>
            <w:left w:w="107" w:type="dxa"/>
            <w:right w:w="107" w:type="dxa"/>
          </w:tblCellMar>
        </w:tblPrEx>
        <w:trPr>
          <w:trHeight w:val="255"/>
          <w:jc w:val="center"/>
        </w:trPr>
        <w:tc>
          <w:tcPr>
            <w:tcW w:w="3409" w:type="pct"/>
            <w:gridSpan w:val="2"/>
            <w:vAlign w:val="bottom"/>
          </w:tcPr>
          <w:p w14:paraId="7282E800" w14:textId="77777777" w:rsidR="00587444" w:rsidRPr="00587444" w:rsidRDefault="00587444" w:rsidP="00587444">
            <w:pPr>
              <w:tabs>
                <w:tab w:val="right" w:pos="1202"/>
              </w:tabs>
              <w:suppressAutoHyphens w:val="0"/>
              <w:autoSpaceDN/>
              <w:spacing w:line="220" w:lineRule="exact"/>
              <w:outlineLvl w:val="0"/>
              <w:rPr>
                <w:rFonts w:ascii="Arial" w:hAnsi="Arial" w:cs="Arial"/>
                <w:sz w:val="18"/>
                <w:szCs w:val="18"/>
                <w:lang w:val="en-GB"/>
              </w:rPr>
            </w:pPr>
            <w:bookmarkStart w:id="949" w:name="_Toc4060223"/>
            <w:r w:rsidRPr="00587444">
              <w:rPr>
                <w:rFonts w:ascii="Arial" w:hAnsi="Arial" w:cs="Arial"/>
                <w:sz w:val="18"/>
                <w:szCs w:val="18"/>
                <w:lang w:val="en-GB"/>
              </w:rPr>
              <w:t>VIK – EKO account A – dedicated water charge</w:t>
            </w:r>
            <w:bookmarkEnd w:id="949"/>
          </w:p>
        </w:tc>
        <w:tc>
          <w:tcPr>
            <w:tcW w:w="834" w:type="pct"/>
            <w:tcBorders>
              <w:top w:val="nil"/>
              <w:left w:val="nil"/>
              <w:bottom w:val="nil"/>
              <w:right w:val="nil"/>
            </w:tcBorders>
            <w:shd w:val="clear" w:color="auto" w:fill="auto"/>
            <w:vAlign w:val="bottom"/>
          </w:tcPr>
          <w:p w14:paraId="230B33F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783,598</w:t>
            </w:r>
          </w:p>
        </w:tc>
        <w:tc>
          <w:tcPr>
            <w:tcW w:w="757" w:type="pct"/>
            <w:tcBorders>
              <w:top w:val="nil"/>
              <w:left w:val="nil"/>
              <w:bottom w:val="nil"/>
              <w:right w:val="nil"/>
            </w:tcBorders>
            <w:shd w:val="clear" w:color="auto" w:fill="auto"/>
            <w:vAlign w:val="bottom"/>
          </w:tcPr>
          <w:p w14:paraId="7FD5A78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749,298</w:t>
            </w:r>
          </w:p>
        </w:tc>
      </w:tr>
      <w:tr w:rsidR="00587444" w:rsidRPr="00587444" w14:paraId="2E1EEE87" w14:textId="77777777" w:rsidTr="00DD69E7">
        <w:tblPrEx>
          <w:tblCellMar>
            <w:left w:w="107" w:type="dxa"/>
            <w:right w:w="107" w:type="dxa"/>
          </w:tblCellMar>
        </w:tblPrEx>
        <w:trPr>
          <w:gridBefore w:val="1"/>
          <w:wBefore w:w="6" w:type="pct"/>
          <w:trHeight w:val="255"/>
          <w:jc w:val="center"/>
        </w:trPr>
        <w:tc>
          <w:tcPr>
            <w:tcW w:w="3403" w:type="pct"/>
            <w:vAlign w:val="bottom"/>
          </w:tcPr>
          <w:p w14:paraId="3C7417C3" w14:textId="77777777" w:rsidR="00587444" w:rsidRPr="00587444" w:rsidRDefault="00587444" w:rsidP="00587444">
            <w:pPr>
              <w:tabs>
                <w:tab w:val="right" w:pos="1202"/>
              </w:tabs>
              <w:suppressAutoHyphens w:val="0"/>
              <w:autoSpaceDN/>
              <w:spacing w:line="220" w:lineRule="exact"/>
              <w:outlineLvl w:val="0"/>
              <w:rPr>
                <w:rFonts w:ascii="Arial" w:hAnsi="Arial" w:cs="Arial"/>
                <w:sz w:val="18"/>
                <w:szCs w:val="18"/>
                <w:lang w:val="en-GB"/>
              </w:rPr>
            </w:pPr>
            <w:bookmarkStart w:id="950" w:name="_Toc4060226"/>
            <w:r w:rsidRPr="00587444">
              <w:rPr>
                <w:rFonts w:ascii="Arial" w:hAnsi="Arial" w:cs="Arial"/>
                <w:sz w:val="18"/>
                <w:szCs w:val="18"/>
                <w:lang w:val="en-GB"/>
              </w:rPr>
              <w:t>VIK – EKO account B – VAT</w:t>
            </w:r>
            <w:bookmarkEnd w:id="950"/>
          </w:p>
        </w:tc>
        <w:tc>
          <w:tcPr>
            <w:tcW w:w="834" w:type="pct"/>
            <w:tcBorders>
              <w:top w:val="nil"/>
              <w:left w:val="nil"/>
              <w:bottom w:val="nil"/>
              <w:right w:val="nil"/>
            </w:tcBorders>
            <w:shd w:val="clear" w:color="auto" w:fill="auto"/>
            <w:vAlign w:val="bottom"/>
          </w:tcPr>
          <w:p w14:paraId="4CC057B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157,205</w:t>
            </w:r>
          </w:p>
        </w:tc>
        <w:tc>
          <w:tcPr>
            <w:tcW w:w="757" w:type="pct"/>
            <w:tcBorders>
              <w:top w:val="nil"/>
              <w:left w:val="nil"/>
              <w:bottom w:val="nil"/>
              <w:right w:val="nil"/>
            </w:tcBorders>
            <w:shd w:val="clear" w:color="auto" w:fill="auto"/>
            <w:vAlign w:val="bottom"/>
          </w:tcPr>
          <w:p w14:paraId="09F243C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157,018</w:t>
            </w:r>
          </w:p>
        </w:tc>
      </w:tr>
      <w:tr w:rsidR="00587444" w:rsidRPr="00587444" w14:paraId="4866F0CC" w14:textId="77777777" w:rsidTr="00DD69E7">
        <w:tblPrEx>
          <w:tblCellMar>
            <w:left w:w="107" w:type="dxa"/>
            <w:right w:w="107" w:type="dxa"/>
          </w:tblCellMar>
        </w:tblPrEx>
        <w:trPr>
          <w:trHeight w:val="255"/>
          <w:jc w:val="center"/>
        </w:trPr>
        <w:tc>
          <w:tcPr>
            <w:tcW w:w="3409" w:type="pct"/>
            <w:gridSpan w:val="2"/>
            <w:vAlign w:val="bottom"/>
          </w:tcPr>
          <w:p w14:paraId="73B18496" w14:textId="77777777" w:rsidR="00587444" w:rsidRPr="00587444" w:rsidRDefault="00587444" w:rsidP="00587444">
            <w:pPr>
              <w:tabs>
                <w:tab w:val="right" w:pos="1202"/>
              </w:tabs>
              <w:suppressAutoHyphens w:val="0"/>
              <w:autoSpaceDN/>
              <w:spacing w:line="220" w:lineRule="exact"/>
              <w:outlineLvl w:val="0"/>
              <w:rPr>
                <w:rFonts w:ascii="Arial" w:hAnsi="Arial" w:cs="Arial"/>
                <w:sz w:val="18"/>
                <w:szCs w:val="18"/>
                <w:lang w:val="en-GB"/>
              </w:rPr>
            </w:pPr>
            <w:bookmarkStart w:id="951" w:name="_Toc4060232"/>
            <w:r w:rsidRPr="00587444">
              <w:rPr>
                <w:rFonts w:ascii="Arial" w:hAnsi="Arial" w:cs="Arial"/>
                <w:sz w:val="18"/>
                <w:szCs w:val="18"/>
                <w:lang w:val="en-GB"/>
              </w:rPr>
              <w:t xml:space="preserve">Financing the Establishment of Fishing Infrastructure – Ministry of the Sea, </w:t>
            </w:r>
            <w:proofErr w:type="gramStart"/>
            <w:r w:rsidRPr="00587444">
              <w:rPr>
                <w:rFonts w:ascii="Arial" w:hAnsi="Arial" w:cs="Arial"/>
                <w:sz w:val="18"/>
                <w:szCs w:val="18"/>
                <w:lang w:val="en-GB"/>
              </w:rPr>
              <w:t>Transport</w:t>
            </w:r>
            <w:proofErr w:type="gramEnd"/>
            <w:r w:rsidRPr="00587444">
              <w:rPr>
                <w:rFonts w:ascii="Arial" w:hAnsi="Arial" w:cs="Arial"/>
                <w:sz w:val="18"/>
                <w:szCs w:val="18"/>
                <w:lang w:val="en-GB"/>
              </w:rPr>
              <w:t xml:space="preserve"> and Infrastructure</w:t>
            </w:r>
            <w:bookmarkEnd w:id="951"/>
            <w:r w:rsidRPr="00587444">
              <w:rPr>
                <w:rFonts w:ascii="Arial" w:hAnsi="Arial" w:cs="Arial"/>
                <w:sz w:val="18"/>
                <w:szCs w:val="18"/>
                <w:lang w:val="en-GB"/>
              </w:rPr>
              <w:t xml:space="preserve"> </w:t>
            </w:r>
          </w:p>
        </w:tc>
        <w:tc>
          <w:tcPr>
            <w:tcW w:w="834" w:type="pct"/>
            <w:tcBorders>
              <w:top w:val="nil"/>
              <w:left w:val="nil"/>
              <w:bottom w:val="nil"/>
              <w:right w:val="nil"/>
            </w:tcBorders>
            <w:shd w:val="clear" w:color="auto" w:fill="auto"/>
            <w:vAlign w:val="bottom"/>
          </w:tcPr>
          <w:p w14:paraId="7C385CA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46,665</w:t>
            </w:r>
          </w:p>
        </w:tc>
        <w:tc>
          <w:tcPr>
            <w:tcW w:w="757" w:type="pct"/>
            <w:tcBorders>
              <w:top w:val="nil"/>
              <w:left w:val="nil"/>
              <w:bottom w:val="nil"/>
              <w:right w:val="nil"/>
            </w:tcBorders>
            <w:shd w:val="clear" w:color="auto" w:fill="auto"/>
            <w:vAlign w:val="bottom"/>
          </w:tcPr>
          <w:p w14:paraId="1946B3A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46,665</w:t>
            </w:r>
          </w:p>
        </w:tc>
      </w:tr>
      <w:tr w:rsidR="00587444" w:rsidRPr="00587444" w14:paraId="3AA4EF96" w14:textId="77777777" w:rsidTr="00DD69E7">
        <w:tblPrEx>
          <w:tblCellMar>
            <w:left w:w="107" w:type="dxa"/>
            <w:right w:w="107" w:type="dxa"/>
          </w:tblCellMar>
        </w:tblPrEx>
        <w:trPr>
          <w:trHeight w:val="255"/>
          <w:jc w:val="center"/>
        </w:trPr>
        <w:tc>
          <w:tcPr>
            <w:tcW w:w="3409" w:type="pct"/>
            <w:gridSpan w:val="2"/>
            <w:vAlign w:val="bottom"/>
          </w:tcPr>
          <w:p w14:paraId="3030A7DD" w14:textId="77777777" w:rsidR="00587444" w:rsidRPr="00587444" w:rsidRDefault="00587444" w:rsidP="00587444">
            <w:pPr>
              <w:tabs>
                <w:tab w:val="right" w:pos="1202"/>
              </w:tabs>
              <w:suppressAutoHyphens w:val="0"/>
              <w:autoSpaceDN/>
              <w:spacing w:line="220" w:lineRule="exact"/>
              <w:outlineLvl w:val="0"/>
              <w:rPr>
                <w:rFonts w:ascii="Arial" w:hAnsi="Arial" w:cs="Arial"/>
                <w:sz w:val="18"/>
                <w:szCs w:val="18"/>
                <w:lang w:val="en-GB"/>
              </w:rPr>
            </w:pPr>
            <w:bookmarkStart w:id="952" w:name="_Toc4060238"/>
            <w:r w:rsidRPr="00587444">
              <w:rPr>
                <w:rFonts w:ascii="Arial" w:hAnsi="Arial" w:cs="Arial"/>
                <w:sz w:val="18"/>
                <w:szCs w:val="18"/>
                <w:lang w:val="en-GB"/>
              </w:rPr>
              <w:t>Micro-Loans with EU Support – commercial banks</w:t>
            </w:r>
            <w:bookmarkEnd w:id="952"/>
          </w:p>
        </w:tc>
        <w:tc>
          <w:tcPr>
            <w:tcW w:w="834" w:type="pct"/>
            <w:shd w:val="clear" w:color="auto" w:fill="auto"/>
            <w:vAlign w:val="bottom"/>
          </w:tcPr>
          <w:p w14:paraId="55A4966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732</w:t>
            </w:r>
          </w:p>
        </w:tc>
        <w:tc>
          <w:tcPr>
            <w:tcW w:w="757" w:type="pct"/>
            <w:shd w:val="clear" w:color="auto" w:fill="auto"/>
            <w:vAlign w:val="bottom"/>
          </w:tcPr>
          <w:p w14:paraId="262A2A4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797</w:t>
            </w:r>
          </w:p>
        </w:tc>
      </w:tr>
      <w:tr w:rsidR="00587444" w:rsidRPr="00587444" w14:paraId="51495C1D" w14:textId="77777777" w:rsidTr="00DD69E7">
        <w:tblPrEx>
          <w:tblCellMar>
            <w:left w:w="107" w:type="dxa"/>
            <w:right w:w="107" w:type="dxa"/>
          </w:tblCellMar>
        </w:tblPrEx>
        <w:trPr>
          <w:trHeight w:val="255"/>
          <w:jc w:val="center"/>
        </w:trPr>
        <w:tc>
          <w:tcPr>
            <w:tcW w:w="3409" w:type="pct"/>
            <w:gridSpan w:val="2"/>
            <w:vAlign w:val="bottom"/>
          </w:tcPr>
          <w:p w14:paraId="648828C1" w14:textId="77777777" w:rsidR="00587444" w:rsidRPr="00587444" w:rsidRDefault="00587444" w:rsidP="00587444">
            <w:pPr>
              <w:tabs>
                <w:tab w:val="right" w:pos="1202"/>
              </w:tabs>
              <w:suppressAutoHyphens w:val="0"/>
              <w:autoSpaceDN/>
              <w:spacing w:line="220" w:lineRule="exact"/>
              <w:outlineLvl w:val="0"/>
              <w:rPr>
                <w:rFonts w:ascii="Arial" w:hAnsi="Arial" w:cs="Arial"/>
                <w:sz w:val="18"/>
                <w:szCs w:val="18"/>
                <w:lang w:val="en-GB"/>
              </w:rPr>
            </w:pPr>
            <w:bookmarkStart w:id="953" w:name="_Toc4060241"/>
            <w:r w:rsidRPr="00587444">
              <w:rPr>
                <w:rFonts w:ascii="Arial" w:hAnsi="Arial" w:cs="Arial"/>
                <w:sz w:val="18"/>
                <w:szCs w:val="18"/>
                <w:lang w:val="en-GB"/>
              </w:rPr>
              <w:t>Transactions related to investments in the Economic Co-operation Funds</w:t>
            </w:r>
            <w:r w:rsidRPr="00587444">
              <w:rPr>
                <w:rFonts w:ascii="Arial" w:hAnsi="Arial" w:cs="Arial"/>
                <w:sz w:val="18"/>
                <w:szCs w:val="18"/>
                <w:vertAlign w:val="superscript"/>
                <w:lang w:val="en-GB"/>
              </w:rPr>
              <w:footnoteReference w:id="4"/>
            </w:r>
            <w:bookmarkEnd w:id="953"/>
          </w:p>
        </w:tc>
        <w:tc>
          <w:tcPr>
            <w:tcW w:w="834" w:type="pct"/>
            <w:tcBorders>
              <w:top w:val="nil"/>
              <w:left w:val="nil"/>
              <w:bottom w:val="nil"/>
              <w:right w:val="nil"/>
            </w:tcBorders>
            <w:shd w:val="clear" w:color="auto" w:fill="auto"/>
            <w:vAlign w:val="bottom"/>
          </w:tcPr>
          <w:p w14:paraId="5690571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27,513</w:t>
            </w:r>
          </w:p>
        </w:tc>
        <w:tc>
          <w:tcPr>
            <w:tcW w:w="757" w:type="pct"/>
            <w:tcBorders>
              <w:top w:val="nil"/>
              <w:left w:val="nil"/>
              <w:bottom w:val="nil"/>
              <w:right w:val="nil"/>
            </w:tcBorders>
            <w:shd w:val="clear" w:color="auto" w:fill="auto"/>
            <w:vAlign w:val="bottom"/>
          </w:tcPr>
          <w:p w14:paraId="7A6A0B8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49,567</w:t>
            </w:r>
          </w:p>
        </w:tc>
      </w:tr>
      <w:tr w:rsidR="00587444" w:rsidRPr="00587444" w14:paraId="7A34C81E" w14:textId="77777777" w:rsidTr="00DD69E7">
        <w:tblPrEx>
          <w:tblCellMar>
            <w:left w:w="107" w:type="dxa"/>
            <w:right w:w="107" w:type="dxa"/>
          </w:tblCellMar>
        </w:tblPrEx>
        <w:trPr>
          <w:trHeight w:val="255"/>
          <w:jc w:val="center"/>
        </w:trPr>
        <w:tc>
          <w:tcPr>
            <w:tcW w:w="3409" w:type="pct"/>
            <w:gridSpan w:val="2"/>
            <w:vAlign w:val="bottom"/>
          </w:tcPr>
          <w:p w14:paraId="065F9A2F" w14:textId="77777777" w:rsidR="00587444" w:rsidRPr="00587444" w:rsidRDefault="00587444" w:rsidP="00587444">
            <w:pPr>
              <w:tabs>
                <w:tab w:val="right" w:pos="1202"/>
              </w:tabs>
              <w:suppressAutoHyphens w:val="0"/>
              <w:autoSpaceDN/>
              <w:spacing w:line="220" w:lineRule="exact"/>
              <w:outlineLvl w:val="0"/>
              <w:rPr>
                <w:rFonts w:ascii="Arial" w:hAnsi="Arial" w:cs="Arial"/>
                <w:sz w:val="18"/>
                <w:szCs w:val="18"/>
                <w:lang w:val="en-GB"/>
              </w:rPr>
            </w:pPr>
            <w:bookmarkStart w:id="954" w:name="_Toc4060244"/>
            <w:r w:rsidRPr="00587444">
              <w:rPr>
                <w:rFonts w:ascii="Arial" w:hAnsi="Arial" w:cs="Arial"/>
                <w:sz w:val="18"/>
                <w:szCs w:val="18"/>
                <w:lang w:val="en-GB"/>
              </w:rPr>
              <w:t>ESIF – Growth and Expansion Loans</w:t>
            </w:r>
            <w:bookmarkEnd w:id="954"/>
          </w:p>
        </w:tc>
        <w:tc>
          <w:tcPr>
            <w:tcW w:w="834" w:type="pct"/>
            <w:tcBorders>
              <w:top w:val="nil"/>
              <w:left w:val="nil"/>
              <w:right w:val="nil"/>
            </w:tcBorders>
            <w:shd w:val="clear" w:color="auto" w:fill="auto"/>
            <w:vAlign w:val="bottom"/>
          </w:tcPr>
          <w:p w14:paraId="1CAAA1C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838,813</w:t>
            </w:r>
          </w:p>
        </w:tc>
        <w:tc>
          <w:tcPr>
            <w:tcW w:w="757" w:type="pct"/>
            <w:tcBorders>
              <w:top w:val="nil"/>
              <w:left w:val="nil"/>
              <w:right w:val="nil"/>
            </w:tcBorders>
            <w:shd w:val="clear" w:color="auto" w:fill="auto"/>
            <w:vAlign w:val="bottom"/>
          </w:tcPr>
          <w:p w14:paraId="590D9C5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color w:val="000000"/>
                <w:sz w:val="18"/>
                <w:szCs w:val="18"/>
                <w:lang w:val="en-GB"/>
              </w:rPr>
            </w:pPr>
            <w:r w:rsidRPr="00587444">
              <w:rPr>
                <w:rFonts w:ascii="Arial" w:hAnsi="Arial" w:cs="Arial"/>
                <w:color w:val="000000"/>
                <w:sz w:val="18"/>
                <w:szCs w:val="18"/>
                <w:lang w:val="hr-HR"/>
              </w:rPr>
              <w:t>847,096</w:t>
            </w:r>
          </w:p>
        </w:tc>
      </w:tr>
      <w:tr w:rsidR="00587444" w:rsidRPr="00587444" w14:paraId="7480617A" w14:textId="77777777" w:rsidTr="00DD69E7">
        <w:tblPrEx>
          <w:tblCellMar>
            <w:left w:w="107" w:type="dxa"/>
            <w:right w:w="107" w:type="dxa"/>
          </w:tblCellMar>
        </w:tblPrEx>
        <w:trPr>
          <w:trHeight w:val="255"/>
          <w:jc w:val="center"/>
        </w:trPr>
        <w:tc>
          <w:tcPr>
            <w:tcW w:w="3409" w:type="pct"/>
            <w:gridSpan w:val="2"/>
            <w:vAlign w:val="bottom"/>
          </w:tcPr>
          <w:p w14:paraId="55EE1E68" w14:textId="77777777" w:rsidR="00587444" w:rsidRPr="00587444" w:rsidRDefault="00587444" w:rsidP="00587444">
            <w:pPr>
              <w:tabs>
                <w:tab w:val="right" w:pos="1202"/>
              </w:tabs>
              <w:suppressAutoHyphens w:val="0"/>
              <w:autoSpaceDN/>
              <w:spacing w:line="220" w:lineRule="exact"/>
              <w:outlineLvl w:val="0"/>
              <w:rPr>
                <w:rFonts w:ascii="Arial" w:hAnsi="Arial" w:cs="Arial"/>
                <w:sz w:val="18"/>
                <w:szCs w:val="18"/>
                <w:lang w:val="en-GB"/>
              </w:rPr>
            </w:pPr>
            <w:bookmarkStart w:id="955" w:name="_Toc4060247"/>
            <w:r w:rsidRPr="00587444">
              <w:rPr>
                <w:rFonts w:ascii="Arial" w:hAnsi="Arial" w:cs="Arial"/>
                <w:sz w:val="18"/>
                <w:szCs w:val="18"/>
                <w:lang w:val="en-GB"/>
              </w:rPr>
              <w:t>ESIF - Energy Efficiency in Public Sector Buildings</w:t>
            </w:r>
            <w:bookmarkEnd w:id="955"/>
          </w:p>
        </w:tc>
        <w:tc>
          <w:tcPr>
            <w:tcW w:w="834" w:type="pct"/>
            <w:tcBorders>
              <w:left w:val="nil"/>
              <w:right w:val="nil"/>
            </w:tcBorders>
            <w:shd w:val="clear" w:color="auto" w:fill="auto"/>
            <w:vAlign w:val="bottom"/>
          </w:tcPr>
          <w:p w14:paraId="2B11713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211,735</w:t>
            </w:r>
          </w:p>
        </w:tc>
        <w:tc>
          <w:tcPr>
            <w:tcW w:w="757" w:type="pct"/>
            <w:tcBorders>
              <w:left w:val="nil"/>
              <w:right w:val="nil"/>
            </w:tcBorders>
            <w:shd w:val="clear" w:color="auto" w:fill="auto"/>
            <w:vAlign w:val="bottom"/>
          </w:tcPr>
          <w:p w14:paraId="573056D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208,118</w:t>
            </w:r>
          </w:p>
        </w:tc>
      </w:tr>
      <w:tr w:rsidR="00587444" w:rsidRPr="00587444" w14:paraId="1387AD7D" w14:textId="77777777" w:rsidTr="00DD69E7">
        <w:tblPrEx>
          <w:tblCellMar>
            <w:left w:w="107" w:type="dxa"/>
            <w:right w:w="107" w:type="dxa"/>
          </w:tblCellMar>
        </w:tblPrEx>
        <w:trPr>
          <w:trHeight w:val="255"/>
          <w:jc w:val="center"/>
        </w:trPr>
        <w:tc>
          <w:tcPr>
            <w:tcW w:w="3409" w:type="pct"/>
            <w:gridSpan w:val="2"/>
            <w:vAlign w:val="bottom"/>
          </w:tcPr>
          <w:p w14:paraId="7C286A52" w14:textId="77777777" w:rsidR="00587444" w:rsidRPr="00587444" w:rsidRDefault="00587444" w:rsidP="00587444">
            <w:pPr>
              <w:tabs>
                <w:tab w:val="right" w:pos="1202"/>
              </w:tabs>
              <w:suppressAutoHyphens w:val="0"/>
              <w:autoSpaceDN/>
              <w:spacing w:line="220" w:lineRule="exact"/>
              <w:outlineLvl w:val="0"/>
              <w:rPr>
                <w:rFonts w:ascii="Arial" w:hAnsi="Arial" w:cs="Arial"/>
                <w:sz w:val="18"/>
                <w:szCs w:val="18"/>
                <w:lang w:val="en-GB"/>
              </w:rPr>
            </w:pPr>
            <w:bookmarkStart w:id="956" w:name="_Toc4060250"/>
            <w:r w:rsidRPr="00587444">
              <w:rPr>
                <w:rFonts w:ascii="Arial" w:hAnsi="Arial" w:cs="Arial"/>
                <w:sz w:val="18"/>
                <w:szCs w:val="18"/>
                <w:lang w:val="en-GB"/>
              </w:rPr>
              <w:t>ESIF - Loans for Public Lighting</w:t>
            </w:r>
            <w:bookmarkEnd w:id="956"/>
          </w:p>
        </w:tc>
        <w:tc>
          <w:tcPr>
            <w:tcW w:w="834" w:type="pct"/>
            <w:tcBorders>
              <w:left w:val="nil"/>
              <w:right w:val="nil"/>
            </w:tcBorders>
            <w:shd w:val="clear" w:color="auto" w:fill="auto"/>
            <w:vAlign w:val="bottom"/>
          </w:tcPr>
          <w:p w14:paraId="3583C64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164,092</w:t>
            </w:r>
          </w:p>
        </w:tc>
        <w:tc>
          <w:tcPr>
            <w:tcW w:w="757" w:type="pct"/>
            <w:tcBorders>
              <w:left w:val="nil"/>
              <w:right w:val="nil"/>
            </w:tcBorders>
            <w:shd w:val="clear" w:color="auto" w:fill="auto"/>
            <w:vAlign w:val="bottom"/>
          </w:tcPr>
          <w:p w14:paraId="1B5B2AD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120,444</w:t>
            </w:r>
          </w:p>
        </w:tc>
      </w:tr>
      <w:tr w:rsidR="00587444" w:rsidRPr="00587444" w14:paraId="1CA38B38" w14:textId="77777777" w:rsidTr="00DD69E7">
        <w:tblPrEx>
          <w:tblCellMar>
            <w:left w:w="107" w:type="dxa"/>
            <w:right w:w="107" w:type="dxa"/>
          </w:tblCellMar>
        </w:tblPrEx>
        <w:trPr>
          <w:trHeight w:val="255"/>
          <w:jc w:val="center"/>
        </w:trPr>
        <w:tc>
          <w:tcPr>
            <w:tcW w:w="3409" w:type="pct"/>
            <w:gridSpan w:val="2"/>
            <w:vAlign w:val="bottom"/>
          </w:tcPr>
          <w:p w14:paraId="5717420A" w14:textId="77777777" w:rsidR="00587444" w:rsidRPr="00587444" w:rsidRDefault="00587444" w:rsidP="00587444">
            <w:pPr>
              <w:tabs>
                <w:tab w:val="right" w:pos="1202"/>
              </w:tabs>
              <w:suppressAutoHyphens w:val="0"/>
              <w:autoSpaceDN/>
              <w:spacing w:line="220" w:lineRule="exact"/>
              <w:outlineLvl w:val="0"/>
              <w:rPr>
                <w:rFonts w:ascii="Arial" w:hAnsi="Arial" w:cs="Arial"/>
                <w:sz w:val="18"/>
                <w:szCs w:val="18"/>
                <w:lang w:val="en-GB"/>
              </w:rPr>
            </w:pPr>
            <w:bookmarkStart w:id="957" w:name="_Toc4060253"/>
            <w:r w:rsidRPr="00587444">
              <w:rPr>
                <w:rFonts w:ascii="Arial" w:hAnsi="Arial" w:cs="Arial"/>
                <w:sz w:val="18"/>
                <w:szCs w:val="18"/>
                <w:lang w:val="en-GB"/>
              </w:rPr>
              <w:t>Investment loans for rural development</w:t>
            </w:r>
            <w:bookmarkEnd w:id="957"/>
          </w:p>
        </w:tc>
        <w:tc>
          <w:tcPr>
            <w:tcW w:w="834" w:type="pct"/>
            <w:tcBorders>
              <w:left w:val="nil"/>
              <w:right w:val="nil"/>
            </w:tcBorders>
            <w:shd w:val="clear" w:color="auto" w:fill="auto"/>
            <w:vAlign w:val="bottom"/>
          </w:tcPr>
          <w:p w14:paraId="324D6B3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10,818</w:t>
            </w:r>
          </w:p>
        </w:tc>
        <w:tc>
          <w:tcPr>
            <w:tcW w:w="757" w:type="pct"/>
            <w:tcBorders>
              <w:left w:val="nil"/>
              <w:right w:val="nil"/>
            </w:tcBorders>
            <w:shd w:val="clear" w:color="auto" w:fill="auto"/>
            <w:vAlign w:val="bottom"/>
          </w:tcPr>
          <w:p w14:paraId="5F1751A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11,917</w:t>
            </w:r>
          </w:p>
        </w:tc>
      </w:tr>
      <w:tr w:rsidR="00587444" w:rsidRPr="00587444" w14:paraId="1BC17007" w14:textId="77777777" w:rsidTr="00DD69E7">
        <w:tblPrEx>
          <w:tblCellMar>
            <w:left w:w="107" w:type="dxa"/>
            <w:right w:w="107" w:type="dxa"/>
          </w:tblCellMar>
        </w:tblPrEx>
        <w:trPr>
          <w:trHeight w:val="255"/>
          <w:jc w:val="center"/>
        </w:trPr>
        <w:tc>
          <w:tcPr>
            <w:tcW w:w="3409" w:type="pct"/>
            <w:gridSpan w:val="2"/>
            <w:shd w:val="clear" w:color="auto" w:fill="auto"/>
            <w:vAlign w:val="bottom"/>
          </w:tcPr>
          <w:p w14:paraId="4920B53D" w14:textId="77777777" w:rsidR="00587444" w:rsidRPr="00587444" w:rsidRDefault="00587444" w:rsidP="00587444">
            <w:pPr>
              <w:tabs>
                <w:tab w:val="right" w:pos="1202"/>
              </w:tabs>
              <w:suppressAutoHyphens w:val="0"/>
              <w:autoSpaceDN/>
              <w:spacing w:line="220" w:lineRule="exact"/>
              <w:outlineLvl w:val="0"/>
              <w:rPr>
                <w:rFonts w:ascii="Arial" w:hAnsi="Arial" w:cs="Arial"/>
                <w:sz w:val="18"/>
                <w:szCs w:val="18"/>
                <w:lang w:val="en-GB"/>
              </w:rPr>
            </w:pPr>
            <w:r w:rsidRPr="00587444">
              <w:rPr>
                <w:rFonts w:ascii="Arial" w:hAnsi="Arial" w:cs="Arial"/>
                <w:sz w:val="18"/>
                <w:szCs w:val="18"/>
                <w:lang w:val="en-GB"/>
              </w:rPr>
              <w:t>Working Capital COVID-19 Measure for SMEs in tourism industry</w:t>
            </w:r>
          </w:p>
        </w:tc>
        <w:tc>
          <w:tcPr>
            <w:tcW w:w="834" w:type="pct"/>
            <w:tcBorders>
              <w:left w:val="nil"/>
              <w:right w:val="nil"/>
            </w:tcBorders>
            <w:shd w:val="clear" w:color="auto" w:fill="auto"/>
            <w:vAlign w:val="bottom"/>
          </w:tcPr>
          <w:p w14:paraId="06D5D37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7</w:t>
            </w:r>
          </w:p>
        </w:tc>
        <w:tc>
          <w:tcPr>
            <w:tcW w:w="757" w:type="pct"/>
            <w:tcBorders>
              <w:left w:val="nil"/>
              <w:right w:val="nil"/>
            </w:tcBorders>
            <w:shd w:val="clear" w:color="auto" w:fill="auto"/>
            <w:vAlign w:val="bottom"/>
          </w:tcPr>
          <w:p w14:paraId="541DF15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3,468</w:t>
            </w:r>
          </w:p>
        </w:tc>
      </w:tr>
      <w:tr w:rsidR="00587444" w:rsidRPr="00587444" w14:paraId="7E039969" w14:textId="77777777" w:rsidTr="00DD69E7">
        <w:tblPrEx>
          <w:tblCellMar>
            <w:left w:w="107" w:type="dxa"/>
            <w:right w:w="107" w:type="dxa"/>
          </w:tblCellMar>
        </w:tblPrEx>
        <w:trPr>
          <w:trHeight w:val="255"/>
          <w:jc w:val="center"/>
        </w:trPr>
        <w:tc>
          <w:tcPr>
            <w:tcW w:w="3409" w:type="pct"/>
            <w:gridSpan w:val="2"/>
            <w:shd w:val="clear" w:color="auto" w:fill="auto"/>
            <w:vAlign w:val="bottom"/>
          </w:tcPr>
          <w:p w14:paraId="66F37DF4" w14:textId="77777777" w:rsidR="00587444" w:rsidRPr="00587444" w:rsidRDefault="00587444" w:rsidP="00587444">
            <w:pPr>
              <w:tabs>
                <w:tab w:val="right" w:pos="1202"/>
              </w:tabs>
              <w:suppressAutoHyphens w:val="0"/>
              <w:autoSpaceDN/>
              <w:spacing w:line="220" w:lineRule="exact"/>
              <w:outlineLvl w:val="0"/>
              <w:rPr>
                <w:rFonts w:ascii="Arial" w:hAnsi="Arial" w:cs="Arial"/>
                <w:sz w:val="18"/>
                <w:szCs w:val="18"/>
                <w:lang w:val="en-GB"/>
              </w:rPr>
            </w:pPr>
            <w:r w:rsidRPr="00587444">
              <w:rPr>
                <w:rFonts w:ascii="Arial" w:hAnsi="Arial" w:cs="Arial"/>
                <w:sz w:val="18"/>
                <w:szCs w:val="18"/>
                <w:lang w:val="en-GB"/>
              </w:rPr>
              <w:t>Working Capital COVID-19 Measure for entrepreneurs in wood processing and furniture production industry</w:t>
            </w:r>
          </w:p>
        </w:tc>
        <w:tc>
          <w:tcPr>
            <w:tcW w:w="834" w:type="pct"/>
            <w:tcBorders>
              <w:left w:val="nil"/>
              <w:right w:val="nil"/>
            </w:tcBorders>
            <w:shd w:val="clear" w:color="auto" w:fill="auto"/>
            <w:vAlign w:val="bottom"/>
          </w:tcPr>
          <w:p w14:paraId="2633E96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w:t>
            </w:r>
          </w:p>
        </w:tc>
        <w:tc>
          <w:tcPr>
            <w:tcW w:w="757" w:type="pct"/>
            <w:tcBorders>
              <w:left w:val="nil"/>
              <w:right w:val="nil"/>
            </w:tcBorders>
            <w:shd w:val="clear" w:color="auto" w:fill="auto"/>
            <w:vAlign w:val="bottom"/>
          </w:tcPr>
          <w:p w14:paraId="308F217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309</w:t>
            </w:r>
          </w:p>
        </w:tc>
      </w:tr>
      <w:tr w:rsidR="00587444" w:rsidRPr="00587444" w14:paraId="32A6D65A" w14:textId="77777777" w:rsidTr="00DD69E7">
        <w:tblPrEx>
          <w:tblCellMar>
            <w:left w:w="107" w:type="dxa"/>
            <w:right w:w="107" w:type="dxa"/>
          </w:tblCellMar>
        </w:tblPrEx>
        <w:trPr>
          <w:trHeight w:val="255"/>
          <w:jc w:val="center"/>
        </w:trPr>
        <w:tc>
          <w:tcPr>
            <w:tcW w:w="3409" w:type="pct"/>
            <w:gridSpan w:val="2"/>
            <w:shd w:val="clear" w:color="auto" w:fill="auto"/>
            <w:vAlign w:val="bottom"/>
          </w:tcPr>
          <w:p w14:paraId="6B214069" w14:textId="77777777" w:rsidR="00587444" w:rsidRPr="00587444" w:rsidRDefault="00587444" w:rsidP="00587444">
            <w:pPr>
              <w:tabs>
                <w:tab w:val="right" w:pos="1202"/>
              </w:tabs>
              <w:suppressAutoHyphens w:val="0"/>
              <w:autoSpaceDN/>
              <w:spacing w:line="220" w:lineRule="exact"/>
              <w:outlineLvl w:val="0"/>
              <w:rPr>
                <w:rFonts w:ascii="Arial" w:hAnsi="Arial" w:cs="Arial"/>
                <w:sz w:val="18"/>
                <w:szCs w:val="18"/>
                <w:lang w:val="en-GB"/>
              </w:rPr>
            </w:pPr>
            <w:r w:rsidRPr="00587444">
              <w:rPr>
                <w:rFonts w:ascii="Arial" w:hAnsi="Arial" w:cs="Arial"/>
                <w:sz w:val="18"/>
                <w:szCs w:val="18"/>
                <w:lang w:val="en-GB"/>
              </w:rPr>
              <w:t>Working Capital for rural development</w:t>
            </w:r>
          </w:p>
        </w:tc>
        <w:tc>
          <w:tcPr>
            <w:tcW w:w="834" w:type="pct"/>
            <w:tcBorders>
              <w:left w:val="nil"/>
              <w:right w:val="nil"/>
            </w:tcBorders>
            <w:shd w:val="clear" w:color="auto" w:fill="auto"/>
            <w:vAlign w:val="bottom"/>
          </w:tcPr>
          <w:p w14:paraId="75B0F24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259,126</w:t>
            </w:r>
          </w:p>
        </w:tc>
        <w:tc>
          <w:tcPr>
            <w:tcW w:w="757" w:type="pct"/>
            <w:tcBorders>
              <w:left w:val="nil"/>
              <w:right w:val="nil"/>
            </w:tcBorders>
            <w:shd w:val="clear" w:color="auto" w:fill="auto"/>
            <w:vAlign w:val="bottom"/>
          </w:tcPr>
          <w:p w14:paraId="204C856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sz w:val="18"/>
                <w:szCs w:val="18"/>
                <w:lang w:val="hr-HR"/>
              </w:rPr>
            </w:pPr>
            <w:r w:rsidRPr="00587444">
              <w:rPr>
                <w:rFonts w:ascii="Arial" w:hAnsi="Arial" w:cs="Arial"/>
                <w:color w:val="000000"/>
                <w:sz w:val="18"/>
                <w:szCs w:val="18"/>
                <w:lang w:val="hr-HR"/>
              </w:rPr>
              <w:t>259,159</w:t>
            </w:r>
          </w:p>
        </w:tc>
      </w:tr>
      <w:tr w:rsidR="00587444" w:rsidRPr="00587444" w14:paraId="5F8B82AA" w14:textId="77777777" w:rsidTr="00DD69E7">
        <w:tblPrEx>
          <w:tblCellMar>
            <w:left w:w="107" w:type="dxa"/>
            <w:right w:w="107" w:type="dxa"/>
          </w:tblCellMar>
        </w:tblPrEx>
        <w:trPr>
          <w:trHeight w:val="255"/>
          <w:jc w:val="center"/>
        </w:trPr>
        <w:tc>
          <w:tcPr>
            <w:tcW w:w="3409" w:type="pct"/>
            <w:gridSpan w:val="2"/>
            <w:shd w:val="clear" w:color="auto" w:fill="auto"/>
            <w:vAlign w:val="bottom"/>
          </w:tcPr>
          <w:p w14:paraId="4579FFEE" w14:textId="77777777" w:rsidR="00587444" w:rsidRPr="00587444" w:rsidRDefault="00587444" w:rsidP="00587444">
            <w:pPr>
              <w:suppressAutoHyphens w:val="0"/>
              <w:autoSpaceDN/>
              <w:spacing w:line="220" w:lineRule="exact"/>
              <w:rPr>
                <w:rFonts w:ascii="Arial" w:eastAsia="Calibri" w:hAnsi="Arial" w:cs="Arial"/>
                <w:sz w:val="18"/>
                <w:szCs w:val="18"/>
              </w:rPr>
            </w:pPr>
            <w:r w:rsidRPr="00587444">
              <w:rPr>
                <w:rFonts w:ascii="Arial" w:eastAsia="Calibri" w:hAnsi="Arial" w:cs="Arial"/>
                <w:sz w:val="18"/>
                <w:szCs w:val="18"/>
                <w:lang w:val="en-GB"/>
              </w:rPr>
              <w:t>Ministry of Tourism and Sport, subsidised interest for the purchase of mobile homes for business entities in the tourism industry</w:t>
            </w:r>
          </w:p>
        </w:tc>
        <w:tc>
          <w:tcPr>
            <w:tcW w:w="834" w:type="pct"/>
            <w:tcBorders>
              <w:left w:val="nil"/>
              <w:right w:val="nil"/>
            </w:tcBorders>
            <w:shd w:val="clear" w:color="auto" w:fill="auto"/>
            <w:vAlign w:val="bottom"/>
          </w:tcPr>
          <w:p w14:paraId="745C2101" w14:textId="77777777" w:rsidR="00587444" w:rsidRPr="00587444" w:rsidDel="005266D8" w:rsidRDefault="00587444" w:rsidP="00587444">
            <w:pPr>
              <w:tabs>
                <w:tab w:val="right" w:pos="1202"/>
              </w:tabs>
              <w:suppressAutoHyphens w:val="0"/>
              <w:autoSpaceDN/>
              <w:spacing w:line="22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57" w:type="pct"/>
            <w:tcBorders>
              <w:left w:val="nil"/>
              <w:right w:val="nil"/>
            </w:tcBorders>
            <w:shd w:val="clear" w:color="auto" w:fill="auto"/>
            <w:vAlign w:val="bottom"/>
          </w:tcPr>
          <w:p w14:paraId="0D6B118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1,500</w:t>
            </w:r>
          </w:p>
        </w:tc>
      </w:tr>
      <w:tr w:rsidR="00587444" w:rsidRPr="00587444" w14:paraId="5A351087" w14:textId="77777777" w:rsidTr="00DD69E7">
        <w:tblPrEx>
          <w:tblCellMar>
            <w:left w:w="107" w:type="dxa"/>
            <w:right w:w="107" w:type="dxa"/>
          </w:tblCellMar>
        </w:tblPrEx>
        <w:trPr>
          <w:trHeight w:val="255"/>
          <w:jc w:val="center"/>
        </w:trPr>
        <w:tc>
          <w:tcPr>
            <w:tcW w:w="3409" w:type="pct"/>
            <w:gridSpan w:val="2"/>
            <w:shd w:val="clear" w:color="auto" w:fill="auto"/>
            <w:vAlign w:val="bottom"/>
          </w:tcPr>
          <w:p w14:paraId="062096D1" w14:textId="2979F09A" w:rsidR="00587444" w:rsidRPr="00587444" w:rsidRDefault="00587444" w:rsidP="00587444">
            <w:pPr>
              <w:tabs>
                <w:tab w:val="right" w:pos="1202"/>
              </w:tabs>
              <w:suppressAutoHyphens w:val="0"/>
              <w:autoSpaceDN/>
              <w:spacing w:line="220" w:lineRule="exact"/>
              <w:outlineLvl w:val="0"/>
              <w:rPr>
                <w:rFonts w:ascii="Arial" w:hAnsi="Arial" w:cs="Arial"/>
                <w:color w:val="FF0000"/>
                <w:sz w:val="18"/>
                <w:szCs w:val="18"/>
                <w:lang w:val="en-GB"/>
              </w:rPr>
            </w:pPr>
            <w:r w:rsidRPr="00587444">
              <w:rPr>
                <w:rFonts w:ascii="Arial" w:eastAsia="Calibri" w:hAnsi="Arial" w:cs="Arial"/>
                <w:sz w:val="18"/>
                <w:szCs w:val="18"/>
                <w:lang w:val="en-GB"/>
              </w:rPr>
              <w:t>Investment in the Three Seas Initiative Investment Fund</w:t>
            </w:r>
            <w:r w:rsidR="00356C4F">
              <w:rPr>
                <w:rFonts w:ascii="Arial" w:eastAsia="Calibri" w:hAnsi="Arial" w:cs="Arial"/>
                <w:sz w:val="18"/>
                <w:szCs w:val="18"/>
                <w:vertAlign w:val="superscript"/>
                <w:lang w:val="en-GB"/>
              </w:rPr>
              <w:t>4</w:t>
            </w:r>
          </w:p>
        </w:tc>
        <w:tc>
          <w:tcPr>
            <w:tcW w:w="834" w:type="pct"/>
            <w:tcBorders>
              <w:left w:val="nil"/>
              <w:right w:val="nil"/>
            </w:tcBorders>
            <w:shd w:val="clear" w:color="auto" w:fill="auto"/>
            <w:vAlign w:val="bottom"/>
          </w:tcPr>
          <w:p w14:paraId="2B468859" w14:textId="77777777" w:rsidR="00587444" w:rsidRPr="00587444" w:rsidDel="005266D8" w:rsidRDefault="00587444" w:rsidP="00587444">
            <w:pPr>
              <w:tabs>
                <w:tab w:val="right" w:pos="1202"/>
              </w:tabs>
              <w:suppressAutoHyphens w:val="0"/>
              <w:autoSpaceDN/>
              <w:spacing w:line="22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80,132</w:t>
            </w:r>
          </w:p>
        </w:tc>
        <w:tc>
          <w:tcPr>
            <w:tcW w:w="757" w:type="pct"/>
            <w:tcBorders>
              <w:left w:val="nil"/>
              <w:right w:val="nil"/>
            </w:tcBorders>
            <w:shd w:val="clear" w:color="auto" w:fill="auto"/>
            <w:vAlign w:val="bottom"/>
          </w:tcPr>
          <w:p w14:paraId="4BE98F8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52,768</w:t>
            </w:r>
          </w:p>
        </w:tc>
      </w:tr>
      <w:tr w:rsidR="00587444" w:rsidRPr="00587444" w14:paraId="44561780" w14:textId="77777777" w:rsidTr="00DD69E7">
        <w:tblPrEx>
          <w:tblCellMar>
            <w:left w:w="107" w:type="dxa"/>
            <w:right w:w="107" w:type="dxa"/>
          </w:tblCellMar>
        </w:tblPrEx>
        <w:trPr>
          <w:trHeight w:val="255"/>
          <w:jc w:val="center"/>
        </w:trPr>
        <w:tc>
          <w:tcPr>
            <w:tcW w:w="3409" w:type="pct"/>
            <w:gridSpan w:val="2"/>
            <w:shd w:val="clear" w:color="auto" w:fill="auto"/>
            <w:vAlign w:val="bottom"/>
          </w:tcPr>
          <w:p w14:paraId="40C7F1FF" w14:textId="77777777" w:rsidR="00587444" w:rsidRPr="00587444" w:rsidRDefault="00587444" w:rsidP="00587444">
            <w:pPr>
              <w:tabs>
                <w:tab w:val="right" w:pos="1202"/>
              </w:tabs>
              <w:suppressAutoHyphens w:val="0"/>
              <w:autoSpaceDN/>
              <w:spacing w:line="220" w:lineRule="exact"/>
              <w:outlineLvl w:val="0"/>
              <w:rPr>
                <w:rFonts w:ascii="Arial" w:eastAsia="Calibri" w:hAnsi="Arial" w:cs="Arial"/>
                <w:sz w:val="18"/>
                <w:szCs w:val="18"/>
                <w:lang w:val="en-GB"/>
              </w:rPr>
            </w:pPr>
            <w:r w:rsidRPr="00587444">
              <w:rPr>
                <w:rFonts w:ascii="Arial" w:eastAsia="Calibri" w:hAnsi="Arial" w:cs="Arial"/>
                <w:sz w:val="18"/>
                <w:szCs w:val="18"/>
                <w:lang w:val="en-GB"/>
              </w:rPr>
              <w:t>NRRP – Interest Subsidy Fund for SMEs</w:t>
            </w:r>
          </w:p>
        </w:tc>
        <w:tc>
          <w:tcPr>
            <w:tcW w:w="834" w:type="pct"/>
            <w:tcBorders>
              <w:left w:val="nil"/>
              <w:right w:val="nil"/>
            </w:tcBorders>
            <w:shd w:val="clear" w:color="auto" w:fill="auto"/>
            <w:vAlign w:val="bottom"/>
          </w:tcPr>
          <w:p w14:paraId="519B8D24" w14:textId="77777777" w:rsidR="00587444" w:rsidRPr="00587444" w:rsidDel="005266D8" w:rsidRDefault="00587444" w:rsidP="00587444">
            <w:pPr>
              <w:tabs>
                <w:tab w:val="right" w:pos="1202"/>
              </w:tabs>
              <w:suppressAutoHyphens w:val="0"/>
              <w:autoSpaceDN/>
              <w:spacing w:line="22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46,095</w:t>
            </w:r>
          </w:p>
        </w:tc>
        <w:tc>
          <w:tcPr>
            <w:tcW w:w="757" w:type="pct"/>
            <w:tcBorders>
              <w:left w:val="nil"/>
              <w:right w:val="nil"/>
            </w:tcBorders>
            <w:shd w:val="clear" w:color="auto" w:fill="auto"/>
            <w:vAlign w:val="bottom"/>
          </w:tcPr>
          <w:p w14:paraId="57827F2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r>
      <w:tr w:rsidR="00587444" w:rsidRPr="00587444" w14:paraId="4CAEE77D" w14:textId="77777777" w:rsidTr="00DD69E7">
        <w:tblPrEx>
          <w:tblCellMar>
            <w:left w:w="107" w:type="dxa"/>
            <w:right w:w="107" w:type="dxa"/>
          </w:tblCellMar>
        </w:tblPrEx>
        <w:trPr>
          <w:trHeight w:val="255"/>
          <w:jc w:val="center"/>
        </w:trPr>
        <w:tc>
          <w:tcPr>
            <w:tcW w:w="3409" w:type="pct"/>
            <w:gridSpan w:val="2"/>
            <w:shd w:val="clear" w:color="auto" w:fill="auto"/>
            <w:vAlign w:val="bottom"/>
          </w:tcPr>
          <w:p w14:paraId="35D052C8" w14:textId="77777777" w:rsidR="00587444" w:rsidRPr="00587444" w:rsidRDefault="00587444" w:rsidP="00587444">
            <w:pPr>
              <w:tabs>
                <w:tab w:val="right" w:pos="1202"/>
              </w:tabs>
              <w:suppressAutoHyphens w:val="0"/>
              <w:autoSpaceDN/>
              <w:spacing w:line="220" w:lineRule="exact"/>
              <w:outlineLvl w:val="0"/>
              <w:rPr>
                <w:rFonts w:ascii="Arial" w:eastAsia="Calibri" w:hAnsi="Arial" w:cs="Arial"/>
                <w:sz w:val="18"/>
                <w:szCs w:val="18"/>
                <w:lang w:val="en-GB"/>
              </w:rPr>
            </w:pPr>
            <w:r w:rsidRPr="00587444">
              <w:rPr>
                <w:rFonts w:ascii="Arial" w:eastAsia="Calibri" w:hAnsi="Arial" w:cs="Arial"/>
                <w:sz w:val="18"/>
                <w:szCs w:val="18"/>
                <w:lang w:val="en-GB"/>
              </w:rPr>
              <w:t>NRRP – Interest Subsidy Fund for MIDCAP and Large entrepreneurs</w:t>
            </w:r>
          </w:p>
        </w:tc>
        <w:tc>
          <w:tcPr>
            <w:tcW w:w="834" w:type="pct"/>
            <w:tcBorders>
              <w:left w:val="nil"/>
              <w:right w:val="nil"/>
            </w:tcBorders>
            <w:shd w:val="clear" w:color="auto" w:fill="auto"/>
            <w:vAlign w:val="bottom"/>
          </w:tcPr>
          <w:p w14:paraId="14048EDD" w14:textId="77777777" w:rsidR="00587444" w:rsidRPr="00587444" w:rsidDel="005266D8" w:rsidRDefault="00587444" w:rsidP="00587444">
            <w:pPr>
              <w:tabs>
                <w:tab w:val="right" w:pos="1202"/>
              </w:tabs>
              <w:suppressAutoHyphens w:val="0"/>
              <w:autoSpaceDN/>
              <w:spacing w:line="22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50,005</w:t>
            </w:r>
          </w:p>
        </w:tc>
        <w:tc>
          <w:tcPr>
            <w:tcW w:w="757" w:type="pct"/>
            <w:tcBorders>
              <w:left w:val="nil"/>
              <w:right w:val="nil"/>
            </w:tcBorders>
            <w:shd w:val="clear" w:color="auto" w:fill="auto"/>
            <w:vAlign w:val="bottom"/>
          </w:tcPr>
          <w:p w14:paraId="0DE95D5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r>
      <w:tr w:rsidR="00587444" w:rsidRPr="00587444" w14:paraId="60AAC468" w14:textId="77777777" w:rsidTr="00DD69E7">
        <w:tblPrEx>
          <w:tblCellMar>
            <w:left w:w="107" w:type="dxa"/>
            <w:right w:w="107" w:type="dxa"/>
          </w:tblCellMar>
        </w:tblPrEx>
        <w:trPr>
          <w:trHeight w:val="255"/>
          <w:jc w:val="center"/>
        </w:trPr>
        <w:tc>
          <w:tcPr>
            <w:tcW w:w="3409" w:type="pct"/>
            <w:gridSpan w:val="2"/>
            <w:shd w:val="clear" w:color="auto" w:fill="auto"/>
            <w:vAlign w:val="bottom"/>
          </w:tcPr>
          <w:p w14:paraId="6CF37D2D" w14:textId="77777777" w:rsidR="00587444" w:rsidRPr="00587444" w:rsidRDefault="00587444" w:rsidP="00587444">
            <w:pPr>
              <w:tabs>
                <w:tab w:val="right" w:pos="1202"/>
              </w:tabs>
              <w:suppressAutoHyphens w:val="0"/>
              <w:autoSpaceDN/>
              <w:spacing w:line="220" w:lineRule="exact"/>
              <w:outlineLvl w:val="0"/>
              <w:rPr>
                <w:rFonts w:ascii="Arial" w:eastAsia="Calibri" w:hAnsi="Arial" w:cs="Arial"/>
                <w:sz w:val="18"/>
                <w:szCs w:val="18"/>
                <w:lang w:val="en-GB"/>
              </w:rPr>
            </w:pPr>
            <w:r w:rsidRPr="00587444">
              <w:rPr>
                <w:rFonts w:ascii="Arial" w:eastAsia="Calibri" w:hAnsi="Arial" w:cs="Arial"/>
                <w:sz w:val="18"/>
                <w:szCs w:val="18"/>
                <w:lang w:val="en-GB"/>
              </w:rPr>
              <w:t>NRRP – Interest Subsidy for Public Sector</w:t>
            </w:r>
          </w:p>
        </w:tc>
        <w:tc>
          <w:tcPr>
            <w:tcW w:w="834" w:type="pct"/>
            <w:tcBorders>
              <w:left w:val="nil"/>
              <w:right w:val="nil"/>
            </w:tcBorders>
            <w:shd w:val="clear" w:color="auto" w:fill="auto"/>
            <w:vAlign w:val="bottom"/>
          </w:tcPr>
          <w:p w14:paraId="54160E39" w14:textId="77777777" w:rsidR="00587444" w:rsidRPr="00587444" w:rsidDel="005266D8" w:rsidRDefault="00587444" w:rsidP="00587444">
            <w:pPr>
              <w:tabs>
                <w:tab w:val="right" w:pos="1202"/>
              </w:tabs>
              <w:suppressAutoHyphens w:val="0"/>
              <w:autoSpaceDN/>
              <w:spacing w:line="22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50,005</w:t>
            </w:r>
          </w:p>
        </w:tc>
        <w:tc>
          <w:tcPr>
            <w:tcW w:w="757" w:type="pct"/>
            <w:tcBorders>
              <w:left w:val="nil"/>
              <w:right w:val="nil"/>
            </w:tcBorders>
            <w:shd w:val="clear" w:color="auto" w:fill="auto"/>
            <w:vAlign w:val="bottom"/>
          </w:tcPr>
          <w:p w14:paraId="6D2C89A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r>
      <w:tr w:rsidR="00587444" w:rsidRPr="00587444" w14:paraId="116103B8" w14:textId="77777777" w:rsidTr="00DD69E7">
        <w:tblPrEx>
          <w:tblCellMar>
            <w:left w:w="107" w:type="dxa"/>
            <w:right w:w="107" w:type="dxa"/>
          </w:tblCellMar>
        </w:tblPrEx>
        <w:trPr>
          <w:trHeight w:val="255"/>
          <w:jc w:val="center"/>
        </w:trPr>
        <w:tc>
          <w:tcPr>
            <w:tcW w:w="3409" w:type="pct"/>
            <w:gridSpan w:val="2"/>
            <w:shd w:val="clear" w:color="auto" w:fill="auto"/>
            <w:vAlign w:val="bottom"/>
          </w:tcPr>
          <w:p w14:paraId="123DAEB6" w14:textId="77777777" w:rsidR="00587444" w:rsidRPr="00587444" w:rsidRDefault="00587444" w:rsidP="00587444">
            <w:pPr>
              <w:tabs>
                <w:tab w:val="right" w:pos="1202"/>
              </w:tabs>
              <w:suppressAutoHyphens w:val="0"/>
              <w:autoSpaceDN/>
              <w:spacing w:line="240" w:lineRule="exact"/>
              <w:outlineLvl w:val="0"/>
              <w:rPr>
                <w:rFonts w:ascii="Arial" w:hAnsi="Arial" w:cs="Arial"/>
                <w:sz w:val="18"/>
                <w:szCs w:val="18"/>
                <w:highlight w:val="yellow"/>
                <w:lang w:val="en-GB"/>
              </w:rPr>
            </w:pPr>
            <w:r w:rsidRPr="00587444">
              <w:rPr>
                <w:rFonts w:ascii="Arial" w:hAnsi="Arial" w:cs="Arial"/>
                <w:color w:val="000000"/>
                <w:sz w:val="18"/>
                <w:szCs w:val="18"/>
                <w:lang w:val="hr-HR"/>
              </w:rPr>
              <w:t>NRRP – Special SME Segments Loans</w:t>
            </w:r>
          </w:p>
        </w:tc>
        <w:tc>
          <w:tcPr>
            <w:tcW w:w="834" w:type="pct"/>
            <w:tcBorders>
              <w:left w:val="nil"/>
              <w:right w:val="nil"/>
            </w:tcBorders>
            <w:shd w:val="clear" w:color="auto" w:fill="auto"/>
            <w:vAlign w:val="center"/>
          </w:tcPr>
          <w:p w14:paraId="6364494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125,011</w:t>
            </w:r>
          </w:p>
        </w:tc>
        <w:tc>
          <w:tcPr>
            <w:tcW w:w="757" w:type="pct"/>
            <w:tcBorders>
              <w:left w:val="nil"/>
              <w:right w:val="nil"/>
            </w:tcBorders>
            <w:shd w:val="clear" w:color="auto" w:fill="auto"/>
            <w:vAlign w:val="center"/>
          </w:tcPr>
          <w:p w14:paraId="195C9F8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Cs/>
                <w:color w:val="000000"/>
                <w:sz w:val="18"/>
                <w:szCs w:val="18"/>
                <w:lang w:val="hr-HR"/>
              </w:rPr>
            </w:pPr>
            <w:r w:rsidRPr="00587444">
              <w:rPr>
                <w:rFonts w:ascii="Arial" w:hAnsi="Arial" w:cs="Arial"/>
                <w:bCs/>
                <w:color w:val="000000"/>
                <w:sz w:val="18"/>
                <w:szCs w:val="18"/>
                <w:lang w:val="hr-HR"/>
              </w:rPr>
              <w:t>-</w:t>
            </w:r>
          </w:p>
        </w:tc>
      </w:tr>
      <w:tr w:rsidR="00587444" w:rsidRPr="00587444" w14:paraId="0A0CA326" w14:textId="77777777" w:rsidTr="00DD69E7">
        <w:tblPrEx>
          <w:tblCellMar>
            <w:left w:w="107" w:type="dxa"/>
            <w:right w:w="107" w:type="dxa"/>
          </w:tblCellMar>
        </w:tblPrEx>
        <w:trPr>
          <w:trHeight w:val="255"/>
          <w:jc w:val="center"/>
        </w:trPr>
        <w:tc>
          <w:tcPr>
            <w:tcW w:w="3409" w:type="pct"/>
            <w:gridSpan w:val="2"/>
            <w:shd w:val="clear" w:color="auto" w:fill="auto"/>
            <w:vAlign w:val="bottom"/>
          </w:tcPr>
          <w:p w14:paraId="51D85F1E" w14:textId="77777777" w:rsidR="00587444" w:rsidRPr="00587444" w:rsidRDefault="00587444" w:rsidP="00587444">
            <w:pPr>
              <w:tabs>
                <w:tab w:val="right" w:pos="1202"/>
              </w:tabs>
              <w:suppressAutoHyphens w:val="0"/>
              <w:autoSpaceDN/>
              <w:spacing w:line="240" w:lineRule="exact"/>
              <w:outlineLvl w:val="0"/>
              <w:rPr>
                <w:rFonts w:ascii="Arial" w:hAnsi="Arial" w:cs="Arial"/>
                <w:sz w:val="18"/>
                <w:szCs w:val="18"/>
                <w:highlight w:val="yellow"/>
                <w:lang w:val="en-GB"/>
              </w:rPr>
            </w:pPr>
            <w:r w:rsidRPr="00587444">
              <w:rPr>
                <w:rFonts w:ascii="Arial" w:hAnsi="Arial" w:cs="Arial"/>
                <w:color w:val="000000"/>
                <w:sz w:val="18"/>
                <w:szCs w:val="18"/>
                <w:lang w:val="hr-HR"/>
              </w:rPr>
              <w:t>NRRP – Guarantee Fund</w:t>
            </w:r>
          </w:p>
        </w:tc>
        <w:tc>
          <w:tcPr>
            <w:tcW w:w="834" w:type="pct"/>
            <w:tcBorders>
              <w:left w:val="nil"/>
              <w:bottom w:val="single" w:sz="12" w:space="0" w:color="auto"/>
              <w:right w:val="nil"/>
            </w:tcBorders>
            <w:shd w:val="clear" w:color="auto" w:fill="auto"/>
            <w:vAlign w:val="center"/>
          </w:tcPr>
          <w:p w14:paraId="74C5E15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150,000</w:t>
            </w:r>
          </w:p>
        </w:tc>
        <w:tc>
          <w:tcPr>
            <w:tcW w:w="757" w:type="pct"/>
            <w:tcBorders>
              <w:left w:val="nil"/>
              <w:bottom w:val="single" w:sz="12" w:space="0" w:color="auto"/>
              <w:right w:val="nil"/>
            </w:tcBorders>
            <w:shd w:val="clear" w:color="auto" w:fill="auto"/>
            <w:vAlign w:val="center"/>
          </w:tcPr>
          <w:p w14:paraId="666349A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Cs/>
                <w:color w:val="000000"/>
                <w:sz w:val="18"/>
                <w:szCs w:val="18"/>
                <w:lang w:val="hr-HR"/>
              </w:rPr>
            </w:pPr>
            <w:r w:rsidRPr="00587444">
              <w:rPr>
                <w:rFonts w:ascii="Arial" w:hAnsi="Arial" w:cs="Arial"/>
                <w:bCs/>
                <w:color w:val="000000"/>
                <w:sz w:val="18"/>
                <w:szCs w:val="18"/>
                <w:lang w:val="hr-HR"/>
              </w:rPr>
              <w:t>-</w:t>
            </w:r>
          </w:p>
        </w:tc>
      </w:tr>
      <w:tr w:rsidR="00587444" w:rsidRPr="00587444" w14:paraId="309530CF" w14:textId="77777777" w:rsidTr="00DD69E7">
        <w:tblPrEx>
          <w:tblCellMar>
            <w:left w:w="107" w:type="dxa"/>
            <w:right w:w="107" w:type="dxa"/>
          </w:tblCellMar>
        </w:tblPrEx>
        <w:trPr>
          <w:trHeight w:val="255"/>
          <w:jc w:val="center"/>
        </w:trPr>
        <w:tc>
          <w:tcPr>
            <w:tcW w:w="3409" w:type="pct"/>
            <w:gridSpan w:val="2"/>
            <w:vAlign w:val="bottom"/>
          </w:tcPr>
          <w:p w14:paraId="21DB8D5F" w14:textId="77777777" w:rsidR="00587444" w:rsidRPr="00587444" w:rsidRDefault="00587444" w:rsidP="00587444">
            <w:pPr>
              <w:tabs>
                <w:tab w:val="right" w:pos="1202"/>
              </w:tabs>
              <w:suppressAutoHyphens w:val="0"/>
              <w:autoSpaceDN/>
              <w:spacing w:line="240" w:lineRule="exact"/>
              <w:outlineLvl w:val="0"/>
              <w:rPr>
                <w:rFonts w:ascii="Arial" w:hAnsi="Arial" w:cs="Arial"/>
                <w:sz w:val="18"/>
                <w:szCs w:val="18"/>
                <w:lang w:val="en-GB"/>
              </w:rPr>
            </w:pPr>
          </w:p>
        </w:tc>
        <w:tc>
          <w:tcPr>
            <w:tcW w:w="834" w:type="pct"/>
            <w:tcBorders>
              <w:left w:val="nil"/>
              <w:bottom w:val="single" w:sz="12" w:space="0" w:color="auto"/>
              <w:right w:val="nil"/>
            </w:tcBorders>
            <w:shd w:val="clear" w:color="auto" w:fill="auto"/>
            <w:vAlign w:val="center"/>
          </w:tcPr>
          <w:p w14:paraId="7ECB418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hr-HR"/>
              </w:rPr>
            </w:pPr>
            <w:r w:rsidRPr="00587444">
              <w:rPr>
                <w:rFonts w:ascii="Arial" w:hAnsi="Arial" w:cs="Arial"/>
                <w:b/>
                <w:sz w:val="18"/>
                <w:szCs w:val="18"/>
                <w:lang w:val="hr-HR"/>
              </w:rPr>
              <w:t>4,371,221</w:t>
            </w:r>
          </w:p>
        </w:tc>
        <w:tc>
          <w:tcPr>
            <w:tcW w:w="757" w:type="pct"/>
            <w:tcBorders>
              <w:left w:val="nil"/>
              <w:bottom w:val="single" w:sz="12" w:space="0" w:color="auto"/>
              <w:right w:val="nil"/>
            </w:tcBorders>
            <w:shd w:val="clear" w:color="auto" w:fill="auto"/>
            <w:vAlign w:val="center"/>
          </w:tcPr>
          <w:p w14:paraId="569F192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highlight w:val="yellow"/>
                <w:lang w:val="hr-HR"/>
              </w:rPr>
            </w:pPr>
            <w:r w:rsidRPr="00587444">
              <w:rPr>
                <w:rFonts w:ascii="Arial" w:hAnsi="Arial" w:cs="Arial"/>
                <w:b/>
                <w:color w:val="000000"/>
                <w:sz w:val="18"/>
                <w:szCs w:val="18"/>
                <w:lang w:val="hr-HR"/>
              </w:rPr>
              <w:t>3,612,774</w:t>
            </w:r>
          </w:p>
        </w:tc>
      </w:tr>
    </w:tbl>
    <w:p w14:paraId="667E32CA" w14:textId="77777777" w:rsidR="00587444" w:rsidRPr="00587444" w:rsidRDefault="00587444" w:rsidP="00587444">
      <w:pPr>
        <w:suppressAutoHyphens w:val="0"/>
        <w:autoSpaceDN/>
        <w:jc w:val="both"/>
        <w:rPr>
          <w:rFonts w:ascii="Arial" w:hAnsi="Arial" w:cs="Arial"/>
          <w:bCs/>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126F5510" w14:textId="77777777" w:rsidR="00587444" w:rsidRPr="00587444" w:rsidRDefault="00587444" w:rsidP="00587444">
      <w:pPr>
        <w:keepNext/>
        <w:tabs>
          <w:tab w:val="left" w:pos="567"/>
        </w:tabs>
        <w:suppressAutoHyphens w:val="0"/>
        <w:autoSpaceDN/>
        <w:spacing w:line="300" w:lineRule="exact"/>
        <w:jc w:val="both"/>
        <w:rPr>
          <w:rFonts w:ascii="Arial" w:hAnsi="Arial" w:cs="Arial"/>
          <w:bCs/>
          <w:sz w:val="20"/>
          <w:szCs w:val="20"/>
          <w:lang w:val="en-GB"/>
        </w:rPr>
      </w:pPr>
    </w:p>
    <w:p w14:paraId="541F0CF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30.</w:t>
      </w:r>
      <w:r w:rsidRPr="00587444">
        <w:rPr>
          <w:rFonts w:ascii="Arial" w:hAnsi="Arial" w:cs="Arial"/>
          <w:b/>
          <w:bCs/>
          <w:sz w:val="20"/>
          <w:szCs w:val="20"/>
          <w:lang w:val="en-GB"/>
        </w:rPr>
        <w:tab/>
        <w:t>Related-party transactions</w:t>
      </w:r>
    </w:p>
    <w:p w14:paraId="46407A5A" w14:textId="77777777" w:rsidR="00587444" w:rsidRPr="00587444" w:rsidRDefault="00587444" w:rsidP="00587444">
      <w:pPr>
        <w:keepNext/>
        <w:tabs>
          <w:tab w:val="left" w:pos="567"/>
        </w:tabs>
        <w:suppressAutoHyphens w:val="0"/>
        <w:autoSpaceDN/>
        <w:jc w:val="both"/>
        <w:rPr>
          <w:rFonts w:ascii="Arial" w:hAnsi="Arial" w:cs="Arial"/>
          <w:b/>
          <w:sz w:val="20"/>
          <w:szCs w:val="20"/>
          <w:lang w:val="en-GB"/>
        </w:rPr>
      </w:pPr>
    </w:p>
    <w:p w14:paraId="32A2B1C0" w14:textId="77777777" w:rsidR="00587444" w:rsidRPr="00587444" w:rsidRDefault="00587444" w:rsidP="00587444">
      <w:pPr>
        <w:keepNext/>
        <w:suppressAutoHyphens w:val="0"/>
        <w:autoSpaceDN/>
        <w:jc w:val="both"/>
        <w:rPr>
          <w:rFonts w:ascii="Arial" w:hAnsi="Arial" w:cs="Arial"/>
          <w:bCs/>
          <w:sz w:val="20"/>
          <w:szCs w:val="20"/>
        </w:rPr>
      </w:pPr>
      <w:r w:rsidRPr="00587444">
        <w:rPr>
          <w:rFonts w:ascii="Arial" w:hAnsi="Arial" w:cs="Arial"/>
          <w:sz w:val="20"/>
          <w:szCs w:val="20"/>
        </w:rPr>
        <w:t xml:space="preserve">Related parties are companies </w:t>
      </w:r>
      <w:r w:rsidRPr="00587444">
        <w:rPr>
          <w:rFonts w:ascii="Arial" w:hAnsi="Arial" w:cs="Arial"/>
          <w:bCs/>
          <w:sz w:val="20"/>
          <w:szCs w:val="20"/>
        </w:rPr>
        <w:t xml:space="preserve">that directly or indirectly, through one or more intermediaries, control, or are controlled by, the reporting company.  </w:t>
      </w:r>
    </w:p>
    <w:p w14:paraId="2689F189" w14:textId="77777777" w:rsidR="00587444" w:rsidRPr="00587444" w:rsidRDefault="00587444" w:rsidP="00587444">
      <w:pPr>
        <w:keepNext/>
        <w:suppressAutoHyphens w:val="0"/>
        <w:autoSpaceDN/>
        <w:spacing w:before="120"/>
        <w:jc w:val="both"/>
        <w:rPr>
          <w:rFonts w:ascii="Arial" w:hAnsi="Arial" w:cs="Arial"/>
          <w:bCs/>
          <w:sz w:val="20"/>
          <w:szCs w:val="20"/>
        </w:rPr>
      </w:pPr>
      <w:r w:rsidRPr="00587444">
        <w:rPr>
          <w:rFonts w:ascii="Arial" w:hAnsi="Arial" w:cs="Arial"/>
          <w:bCs/>
          <w:sz w:val="20"/>
          <w:szCs w:val="20"/>
        </w:rPr>
        <w:t>The majority of related-party transactions relate to the transactions with the Republic of Croatia, the 100% owner of the Bank and state-owned companies over which the Republic of Croatia has the controlling influence.</w:t>
      </w:r>
    </w:p>
    <w:p w14:paraId="1503E5FF" w14:textId="77777777" w:rsidR="00587444" w:rsidRPr="00587444" w:rsidRDefault="00587444" w:rsidP="00587444">
      <w:pPr>
        <w:keepNext/>
        <w:suppressAutoHyphens w:val="0"/>
        <w:autoSpaceDN/>
        <w:spacing w:before="120" w:line="300" w:lineRule="exact"/>
        <w:jc w:val="both"/>
        <w:rPr>
          <w:rFonts w:ascii="Arial" w:hAnsi="Arial" w:cs="Arial"/>
          <w:bCs/>
          <w:sz w:val="20"/>
          <w:szCs w:val="20"/>
        </w:rPr>
      </w:pPr>
      <w:r w:rsidRPr="00587444">
        <w:rPr>
          <w:rFonts w:ascii="Arial" w:hAnsi="Arial" w:cs="Arial"/>
          <w:bCs/>
          <w:sz w:val="20"/>
          <w:szCs w:val="20"/>
        </w:rPr>
        <w:t>All transactions stated were carried out under usual/regular conditions of the Bank.</w:t>
      </w:r>
    </w:p>
    <w:p w14:paraId="519B1737" w14:textId="77777777" w:rsidR="00587444" w:rsidRPr="00587444" w:rsidRDefault="00587444" w:rsidP="00587444">
      <w:pPr>
        <w:keepNext/>
        <w:tabs>
          <w:tab w:val="left" w:pos="567"/>
        </w:tabs>
        <w:suppressAutoHyphens w:val="0"/>
        <w:autoSpaceDN/>
        <w:spacing w:before="120"/>
        <w:jc w:val="both"/>
        <w:rPr>
          <w:rFonts w:ascii="Arial" w:hAnsi="Arial" w:cs="Arial"/>
          <w:bCs/>
          <w:sz w:val="20"/>
          <w:szCs w:val="20"/>
        </w:rPr>
      </w:pPr>
      <w:r w:rsidRPr="00587444">
        <w:rPr>
          <w:rFonts w:ascii="Arial" w:eastAsia="Calibri" w:hAnsi="Arial" w:cs="Arial"/>
          <w:sz w:val="20"/>
          <w:szCs w:val="20"/>
        </w:rPr>
        <w:t>As of 31 December 2022 and 31 December 2021 balances arising from transactions with related parties, including the Bank’s key management personnel, include the following</w:t>
      </w:r>
      <w:r w:rsidRPr="00587444">
        <w:rPr>
          <w:rFonts w:ascii="Arial" w:hAnsi="Arial" w:cs="Arial"/>
          <w:bCs/>
          <w:sz w:val="20"/>
          <w:szCs w:val="20"/>
        </w:rPr>
        <w:t xml:space="preserve">: </w:t>
      </w:r>
    </w:p>
    <w:p w14:paraId="45D67FEF" w14:textId="77777777" w:rsidR="00587444" w:rsidRPr="00587444" w:rsidRDefault="00587444" w:rsidP="00587444">
      <w:pPr>
        <w:keepNext/>
        <w:suppressAutoHyphens w:val="0"/>
        <w:autoSpaceDN/>
        <w:jc w:val="both"/>
        <w:rPr>
          <w:rFonts w:ascii="Arial" w:hAnsi="Arial" w:cs="Arial"/>
          <w:bCs/>
          <w:sz w:val="20"/>
          <w:szCs w:val="20"/>
          <w:lang w:val="en-GB"/>
        </w:rPr>
      </w:pPr>
    </w:p>
    <w:p w14:paraId="50F6BD54" w14:textId="77777777" w:rsidR="00587444" w:rsidRPr="00587444" w:rsidRDefault="00587444">
      <w:pPr>
        <w:keepNext/>
        <w:numPr>
          <w:ilvl w:val="0"/>
          <w:numId w:val="32"/>
        </w:numPr>
        <w:suppressAutoHyphens w:val="0"/>
        <w:autoSpaceDN/>
        <w:ind w:left="426" w:hanging="426"/>
        <w:jc w:val="both"/>
        <w:rPr>
          <w:rFonts w:ascii="Arial" w:hAnsi="Arial" w:cs="Arial"/>
          <w:bCs/>
          <w:sz w:val="20"/>
          <w:szCs w:val="20"/>
          <w:lang w:val="en-GB"/>
        </w:rPr>
      </w:pPr>
      <w:r w:rsidRPr="00587444">
        <w:rPr>
          <w:rFonts w:ascii="Arial" w:hAnsi="Arial" w:cs="Arial"/>
          <w:bCs/>
          <w:sz w:val="20"/>
          <w:szCs w:val="20"/>
          <w:lang w:val="en-GB"/>
        </w:rPr>
        <w:t>Related-party transactions</w:t>
      </w:r>
    </w:p>
    <w:p w14:paraId="24CA20A0" w14:textId="77777777" w:rsidR="00587444" w:rsidRPr="00587444" w:rsidRDefault="00587444" w:rsidP="00587444">
      <w:pPr>
        <w:keepNext/>
        <w:suppressAutoHyphens w:val="0"/>
        <w:autoSpaceDN/>
        <w:ind w:left="567"/>
        <w:jc w:val="both"/>
        <w:rPr>
          <w:rFonts w:ascii="Arial" w:hAnsi="Arial" w:cs="Arial"/>
          <w:bCs/>
          <w:sz w:val="20"/>
          <w:szCs w:val="20"/>
          <w:lang w:val="en-GB"/>
        </w:rPr>
      </w:pPr>
    </w:p>
    <w:tbl>
      <w:tblPr>
        <w:tblW w:w="4869" w:type="pct"/>
        <w:jc w:val="center"/>
        <w:tblLayout w:type="fixed"/>
        <w:tblCellMar>
          <w:left w:w="113" w:type="dxa"/>
          <w:right w:w="85" w:type="dxa"/>
        </w:tblCellMar>
        <w:tblLook w:val="00A0" w:firstRow="1" w:lastRow="0" w:firstColumn="1" w:lastColumn="0" w:noHBand="0" w:noVBand="0"/>
      </w:tblPr>
      <w:tblGrid>
        <w:gridCol w:w="3760"/>
        <w:gridCol w:w="1439"/>
        <w:gridCol w:w="1365"/>
        <w:gridCol w:w="1363"/>
        <w:gridCol w:w="6"/>
        <w:gridCol w:w="1370"/>
      </w:tblGrid>
      <w:tr w:rsidR="00587444" w:rsidRPr="00587444" w14:paraId="51E5E185" w14:textId="77777777" w:rsidTr="00DD69E7">
        <w:trPr>
          <w:trHeight w:hRule="exact" w:val="303"/>
          <w:jc w:val="center"/>
        </w:trPr>
        <w:tc>
          <w:tcPr>
            <w:tcW w:w="3681" w:type="dxa"/>
            <w:vAlign w:val="bottom"/>
          </w:tcPr>
          <w:p w14:paraId="79525D2F"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958" w:name="_Toc4060258"/>
            <w:r w:rsidRPr="00587444">
              <w:rPr>
                <w:rFonts w:ascii="Arial" w:hAnsi="Arial" w:cs="Arial"/>
                <w:b/>
                <w:sz w:val="18"/>
                <w:szCs w:val="18"/>
              </w:rPr>
              <w:t>Group</w:t>
            </w:r>
            <w:bookmarkEnd w:id="958"/>
          </w:p>
        </w:tc>
        <w:tc>
          <w:tcPr>
            <w:tcW w:w="1409" w:type="dxa"/>
            <w:vAlign w:val="bottom"/>
          </w:tcPr>
          <w:p w14:paraId="67CDC3B7"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959" w:name="_Toc4060259"/>
            <w:r w:rsidRPr="00587444">
              <w:rPr>
                <w:rFonts w:ascii="Arial" w:hAnsi="Arial" w:cs="Arial"/>
                <w:b/>
                <w:bCs/>
                <w:iCs/>
                <w:sz w:val="18"/>
                <w:szCs w:val="18"/>
              </w:rPr>
              <w:t>Assets</w:t>
            </w:r>
            <w:bookmarkEnd w:id="959"/>
          </w:p>
        </w:tc>
        <w:tc>
          <w:tcPr>
            <w:tcW w:w="1337" w:type="dxa"/>
            <w:vAlign w:val="bottom"/>
          </w:tcPr>
          <w:p w14:paraId="5BDA3632"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960" w:name="_Toc4060260"/>
            <w:r w:rsidRPr="00587444">
              <w:rPr>
                <w:rFonts w:ascii="Arial" w:hAnsi="Arial" w:cs="Arial"/>
                <w:b/>
                <w:bCs/>
                <w:iCs/>
                <w:sz w:val="18"/>
                <w:szCs w:val="18"/>
              </w:rPr>
              <w:t>Liabilities</w:t>
            </w:r>
            <w:bookmarkEnd w:id="960"/>
          </w:p>
        </w:tc>
        <w:tc>
          <w:tcPr>
            <w:tcW w:w="1341" w:type="dxa"/>
            <w:gridSpan w:val="2"/>
            <w:vAlign w:val="bottom"/>
          </w:tcPr>
          <w:p w14:paraId="5D5DF986"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961" w:name="_Toc4060261"/>
            <w:r w:rsidRPr="00587444">
              <w:rPr>
                <w:rFonts w:ascii="Arial" w:hAnsi="Arial" w:cs="Arial"/>
                <w:b/>
                <w:bCs/>
                <w:iCs/>
                <w:sz w:val="18"/>
                <w:szCs w:val="18"/>
              </w:rPr>
              <w:t>Assets</w:t>
            </w:r>
            <w:bookmarkEnd w:id="961"/>
          </w:p>
        </w:tc>
        <w:tc>
          <w:tcPr>
            <w:tcW w:w="1342" w:type="dxa"/>
            <w:vAlign w:val="bottom"/>
          </w:tcPr>
          <w:p w14:paraId="793A6FF4"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962" w:name="_Toc4060262"/>
            <w:r w:rsidRPr="00587444">
              <w:rPr>
                <w:rFonts w:ascii="Arial" w:hAnsi="Arial" w:cs="Arial"/>
                <w:b/>
                <w:bCs/>
                <w:iCs/>
                <w:sz w:val="18"/>
                <w:szCs w:val="18"/>
              </w:rPr>
              <w:t>Liabilities</w:t>
            </w:r>
            <w:bookmarkEnd w:id="962"/>
          </w:p>
        </w:tc>
      </w:tr>
      <w:tr w:rsidR="00587444" w:rsidRPr="00587444" w14:paraId="12B323F6" w14:textId="77777777" w:rsidTr="00DD69E7">
        <w:trPr>
          <w:trHeight w:hRule="exact" w:val="583"/>
          <w:jc w:val="center"/>
        </w:trPr>
        <w:tc>
          <w:tcPr>
            <w:tcW w:w="3681" w:type="dxa"/>
            <w:vAlign w:val="bottom"/>
          </w:tcPr>
          <w:p w14:paraId="7B098B25" w14:textId="77777777" w:rsidR="00587444" w:rsidRPr="00587444" w:rsidRDefault="00587444" w:rsidP="00587444">
            <w:pPr>
              <w:tabs>
                <w:tab w:val="right" w:pos="1202"/>
              </w:tabs>
              <w:suppressAutoHyphens w:val="0"/>
              <w:autoSpaceDN/>
              <w:outlineLvl w:val="0"/>
              <w:rPr>
                <w:rFonts w:ascii="Arial" w:hAnsi="Arial" w:cs="Arial"/>
                <w:sz w:val="18"/>
                <w:szCs w:val="18"/>
              </w:rPr>
            </w:pPr>
          </w:p>
        </w:tc>
        <w:tc>
          <w:tcPr>
            <w:tcW w:w="1409" w:type="dxa"/>
            <w:vAlign w:val="center"/>
          </w:tcPr>
          <w:p w14:paraId="382C16DC"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963" w:name="_Toc4060263"/>
            <w:r w:rsidRPr="00587444">
              <w:rPr>
                <w:rFonts w:ascii="Arial" w:hAnsi="Arial" w:cs="Arial"/>
                <w:b/>
                <w:bCs/>
                <w:sz w:val="18"/>
                <w:szCs w:val="18"/>
              </w:rPr>
              <w:t xml:space="preserve">31 December </w:t>
            </w:r>
            <w:bookmarkEnd w:id="963"/>
            <w:r w:rsidRPr="00587444">
              <w:rPr>
                <w:rFonts w:ascii="Arial" w:hAnsi="Arial" w:cs="Arial"/>
                <w:b/>
                <w:bCs/>
                <w:sz w:val="18"/>
                <w:szCs w:val="18"/>
              </w:rPr>
              <w:t>2022</w:t>
            </w:r>
          </w:p>
        </w:tc>
        <w:tc>
          <w:tcPr>
            <w:tcW w:w="1337" w:type="dxa"/>
            <w:vAlign w:val="center"/>
          </w:tcPr>
          <w:p w14:paraId="0E75B8B0"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964" w:name="_Toc4060264"/>
            <w:r w:rsidRPr="00587444">
              <w:rPr>
                <w:rFonts w:ascii="Arial" w:hAnsi="Arial" w:cs="Arial"/>
                <w:b/>
                <w:bCs/>
                <w:sz w:val="18"/>
                <w:szCs w:val="18"/>
              </w:rPr>
              <w:t xml:space="preserve">31 December </w:t>
            </w:r>
            <w:bookmarkEnd w:id="964"/>
            <w:r w:rsidRPr="00587444">
              <w:rPr>
                <w:rFonts w:ascii="Arial" w:hAnsi="Arial" w:cs="Arial"/>
                <w:b/>
                <w:bCs/>
                <w:sz w:val="18"/>
                <w:szCs w:val="18"/>
              </w:rPr>
              <w:t>2022</w:t>
            </w:r>
          </w:p>
        </w:tc>
        <w:tc>
          <w:tcPr>
            <w:tcW w:w="1335" w:type="dxa"/>
            <w:vAlign w:val="center"/>
          </w:tcPr>
          <w:p w14:paraId="553AE558"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r w:rsidRPr="00587444">
              <w:rPr>
                <w:rFonts w:ascii="Arial" w:hAnsi="Arial" w:cs="Arial"/>
                <w:b/>
                <w:bCs/>
                <w:sz w:val="18"/>
                <w:szCs w:val="18"/>
              </w:rPr>
              <w:t>31 December 2021</w:t>
            </w:r>
          </w:p>
        </w:tc>
        <w:tc>
          <w:tcPr>
            <w:tcW w:w="1348" w:type="dxa"/>
            <w:gridSpan w:val="2"/>
            <w:vAlign w:val="center"/>
          </w:tcPr>
          <w:p w14:paraId="4F7D3DA8"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r w:rsidRPr="00587444">
              <w:rPr>
                <w:rFonts w:ascii="Arial" w:hAnsi="Arial" w:cs="Arial"/>
                <w:b/>
                <w:bCs/>
                <w:sz w:val="18"/>
                <w:szCs w:val="18"/>
              </w:rPr>
              <w:t>31 December 2021</w:t>
            </w:r>
          </w:p>
        </w:tc>
      </w:tr>
      <w:tr w:rsidR="00587444" w:rsidRPr="00587444" w14:paraId="3DC82CDF" w14:textId="77777777" w:rsidTr="00DD69E7">
        <w:trPr>
          <w:trHeight w:hRule="exact" w:val="303"/>
          <w:jc w:val="center"/>
        </w:trPr>
        <w:tc>
          <w:tcPr>
            <w:tcW w:w="3681" w:type="dxa"/>
            <w:vAlign w:val="bottom"/>
          </w:tcPr>
          <w:p w14:paraId="7D77443E" w14:textId="77777777" w:rsidR="00587444" w:rsidRPr="00587444" w:rsidRDefault="00587444" w:rsidP="00587444">
            <w:pPr>
              <w:tabs>
                <w:tab w:val="right" w:pos="1202"/>
              </w:tabs>
              <w:suppressAutoHyphens w:val="0"/>
              <w:autoSpaceDN/>
              <w:outlineLvl w:val="0"/>
              <w:rPr>
                <w:rFonts w:ascii="Arial" w:hAnsi="Arial" w:cs="Arial"/>
                <w:sz w:val="18"/>
                <w:szCs w:val="18"/>
              </w:rPr>
            </w:pPr>
          </w:p>
        </w:tc>
        <w:tc>
          <w:tcPr>
            <w:tcW w:w="1409" w:type="dxa"/>
            <w:vAlign w:val="bottom"/>
          </w:tcPr>
          <w:p w14:paraId="63820159"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bookmarkStart w:id="965" w:name="_Toc4060267"/>
            <w:r w:rsidRPr="00587444">
              <w:rPr>
                <w:rFonts w:ascii="Arial" w:hAnsi="Arial" w:cs="Arial"/>
                <w:b/>
                <w:sz w:val="18"/>
                <w:szCs w:val="18"/>
              </w:rPr>
              <w:t>HRK ‘000</w:t>
            </w:r>
            <w:bookmarkEnd w:id="965"/>
          </w:p>
        </w:tc>
        <w:tc>
          <w:tcPr>
            <w:tcW w:w="1337" w:type="dxa"/>
            <w:vAlign w:val="bottom"/>
          </w:tcPr>
          <w:p w14:paraId="0D7A92DE"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bookmarkStart w:id="966" w:name="_Toc4060268"/>
            <w:r w:rsidRPr="00587444">
              <w:rPr>
                <w:rFonts w:ascii="Arial" w:hAnsi="Arial" w:cs="Arial"/>
                <w:b/>
                <w:bCs/>
                <w:sz w:val="18"/>
                <w:szCs w:val="18"/>
              </w:rPr>
              <w:t>HRK ‘000</w:t>
            </w:r>
            <w:bookmarkEnd w:id="966"/>
          </w:p>
        </w:tc>
        <w:tc>
          <w:tcPr>
            <w:tcW w:w="1335" w:type="dxa"/>
            <w:vAlign w:val="bottom"/>
          </w:tcPr>
          <w:p w14:paraId="326118D4"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r w:rsidRPr="00587444">
              <w:rPr>
                <w:rFonts w:ascii="Arial" w:hAnsi="Arial" w:cs="Arial"/>
                <w:b/>
                <w:sz w:val="18"/>
                <w:szCs w:val="18"/>
              </w:rPr>
              <w:t>HRK ‘000</w:t>
            </w:r>
          </w:p>
        </w:tc>
        <w:tc>
          <w:tcPr>
            <w:tcW w:w="1348" w:type="dxa"/>
            <w:gridSpan w:val="2"/>
            <w:vAlign w:val="bottom"/>
          </w:tcPr>
          <w:p w14:paraId="5202501C"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r w:rsidRPr="00587444">
              <w:rPr>
                <w:rFonts w:ascii="Arial" w:hAnsi="Arial" w:cs="Arial"/>
                <w:b/>
                <w:bCs/>
                <w:sz w:val="18"/>
                <w:szCs w:val="18"/>
              </w:rPr>
              <w:t>HRK ‘000</w:t>
            </w:r>
          </w:p>
        </w:tc>
      </w:tr>
      <w:tr w:rsidR="00587444" w:rsidRPr="00587444" w14:paraId="58328CAF" w14:textId="77777777" w:rsidTr="00DD69E7">
        <w:trPr>
          <w:trHeight w:hRule="exact" w:val="382"/>
          <w:jc w:val="center"/>
        </w:trPr>
        <w:tc>
          <w:tcPr>
            <w:tcW w:w="3681" w:type="dxa"/>
            <w:vAlign w:val="bottom"/>
          </w:tcPr>
          <w:p w14:paraId="436E33AA"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967" w:name="_Toc4060271"/>
            <w:r w:rsidRPr="00587444">
              <w:rPr>
                <w:rFonts w:ascii="Arial" w:hAnsi="Arial" w:cs="Arial"/>
                <w:sz w:val="18"/>
                <w:szCs w:val="18"/>
              </w:rPr>
              <w:t>Owner</w:t>
            </w:r>
            <w:bookmarkEnd w:id="967"/>
          </w:p>
        </w:tc>
        <w:tc>
          <w:tcPr>
            <w:tcW w:w="1409" w:type="dxa"/>
            <w:shd w:val="clear" w:color="auto" w:fill="auto"/>
            <w:vAlign w:val="bottom"/>
          </w:tcPr>
          <w:p w14:paraId="75C0D3A0"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rPr>
            </w:pPr>
            <w:r w:rsidRPr="00587444">
              <w:rPr>
                <w:rFonts w:ascii="Arial" w:hAnsi="Arial" w:cs="Arial"/>
                <w:color w:val="000000"/>
                <w:sz w:val="18"/>
                <w:szCs w:val="18"/>
              </w:rPr>
              <w:t>3,123,836</w:t>
            </w:r>
          </w:p>
        </w:tc>
        <w:tc>
          <w:tcPr>
            <w:tcW w:w="1337" w:type="dxa"/>
            <w:shd w:val="clear" w:color="auto" w:fill="auto"/>
            <w:vAlign w:val="bottom"/>
          </w:tcPr>
          <w:p w14:paraId="01839D49"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color w:val="000000"/>
                <w:sz w:val="18"/>
                <w:szCs w:val="18"/>
              </w:rPr>
              <w:t>3,511,639</w:t>
            </w:r>
          </w:p>
        </w:tc>
        <w:tc>
          <w:tcPr>
            <w:tcW w:w="1335" w:type="dxa"/>
            <w:shd w:val="clear" w:color="auto" w:fill="auto"/>
            <w:vAlign w:val="bottom"/>
          </w:tcPr>
          <w:p w14:paraId="3135AC3F"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3,348,080</w:t>
            </w:r>
          </w:p>
        </w:tc>
        <w:tc>
          <w:tcPr>
            <w:tcW w:w="1348" w:type="dxa"/>
            <w:gridSpan w:val="2"/>
            <w:shd w:val="clear" w:color="auto" w:fill="auto"/>
            <w:vAlign w:val="bottom"/>
          </w:tcPr>
          <w:p w14:paraId="731DC59A"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1,853,263</w:t>
            </w:r>
          </w:p>
        </w:tc>
      </w:tr>
      <w:tr w:rsidR="00587444" w:rsidRPr="00587444" w14:paraId="76545AE2" w14:textId="77777777" w:rsidTr="00DD69E7">
        <w:trPr>
          <w:trHeight w:val="19"/>
          <w:jc w:val="center"/>
        </w:trPr>
        <w:tc>
          <w:tcPr>
            <w:tcW w:w="3681" w:type="dxa"/>
            <w:vAlign w:val="bottom"/>
          </w:tcPr>
          <w:p w14:paraId="264BEED1"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968" w:name="_Toc4060276"/>
            <w:r w:rsidRPr="00587444">
              <w:rPr>
                <w:rFonts w:ascii="Arial" w:hAnsi="Arial" w:cs="Arial"/>
                <w:sz w:val="18"/>
                <w:szCs w:val="18"/>
              </w:rPr>
              <w:t xml:space="preserve">Government funds, executive </w:t>
            </w:r>
            <w:proofErr w:type="gramStart"/>
            <w:r w:rsidRPr="00587444">
              <w:rPr>
                <w:rFonts w:ascii="Arial" w:hAnsi="Arial" w:cs="Arial"/>
                <w:sz w:val="18"/>
                <w:szCs w:val="18"/>
              </w:rPr>
              <w:t>authorities</w:t>
            </w:r>
            <w:proofErr w:type="gramEnd"/>
            <w:r w:rsidRPr="00587444">
              <w:rPr>
                <w:rFonts w:ascii="Arial" w:hAnsi="Arial" w:cs="Arial"/>
                <w:sz w:val="18"/>
                <w:szCs w:val="18"/>
              </w:rPr>
              <w:t xml:space="preserve"> and agencies</w:t>
            </w:r>
            <w:bookmarkEnd w:id="968"/>
          </w:p>
        </w:tc>
        <w:tc>
          <w:tcPr>
            <w:tcW w:w="1409" w:type="dxa"/>
            <w:shd w:val="clear" w:color="auto" w:fill="auto"/>
            <w:vAlign w:val="bottom"/>
          </w:tcPr>
          <w:p w14:paraId="4A158837"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rPr>
            </w:pPr>
            <w:r w:rsidRPr="00587444">
              <w:rPr>
                <w:rFonts w:ascii="Arial" w:hAnsi="Arial" w:cs="Arial"/>
                <w:color w:val="000000"/>
                <w:sz w:val="18"/>
                <w:szCs w:val="18"/>
              </w:rPr>
              <w:t>4,857,662</w:t>
            </w:r>
          </w:p>
        </w:tc>
        <w:tc>
          <w:tcPr>
            <w:tcW w:w="1337" w:type="dxa"/>
            <w:shd w:val="clear" w:color="auto" w:fill="auto"/>
            <w:vAlign w:val="bottom"/>
          </w:tcPr>
          <w:p w14:paraId="371779FA"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color w:val="000000"/>
                <w:sz w:val="18"/>
                <w:szCs w:val="18"/>
              </w:rPr>
              <w:t>236,781</w:t>
            </w:r>
          </w:p>
        </w:tc>
        <w:tc>
          <w:tcPr>
            <w:tcW w:w="1335" w:type="dxa"/>
            <w:shd w:val="clear" w:color="auto" w:fill="auto"/>
            <w:vAlign w:val="bottom"/>
          </w:tcPr>
          <w:p w14:paraId="1AAF370D"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4,617,620</w:t>
            </w:r>
          </w:p>
        </w:tc>
        <w:tc>
          <w:tcPr>
            <w:tcW w:w="1348" w:type="dxa"/>
            <w:gridSpan w:val="2"/>
            <w:shd w:val="clear" w:color="auto" w:fill="auto"/>
            <w:vAlign w:val="bottom"/>
          </w:tcPr>
          <w:p w14:paraId="4EDFAF49"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257,050</w:t>
            </w:r>
          </w:p>
        </w:tc>
      </w:tr>
      <w:tr w:rsidR="00587444" w:rsidRPr="00587444" w14:paraId="3FAAF881" w14:textId="77777777" w:rsidTr="00DD69E7">
        <w:trPr>
          <w:trHeight w:val="312"/>
          <w:jc w:val="center"/>
        </w:trPr>
        <w:tc>
          <w:tcPr>
            <w:tcW w:w="3681" w:type="dxa"/>
            <w:vAlign w:val="bottom"/>
          </w:tcPr>
          <w:p w14:paraId="1D2F885D"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969" w:name="_Toc4060281"/>
            <w:r w:rsidRPr="00587444">
              <w:rPr>
                <w:rFonts w:ascii="Arial" w:hAnsi="Arial" w:cs="Arial"/>
                <w:sz w:val="18"/>
                <w:szCs w:val="18"/>
              </w:rPr>
              <w:t>State-owned companies</w:t>
            </w:r>
            <w:bookmarkEnd w:id="969"/>
          </w:p>
        </w:tc>
        <w:tc>
          <w:tcPr>
            <w:tcW w:w="1409" w:type="dxa"/>
            <w:shd w:val="clear" w:color="auto" w:fill="auto"/>
            <w:vAlign w:val="bottom"/>
          </w:tcPr>
          <w:p w14:paraId="438F1FCB"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rPr>
            </w:pPr>
            <w:r w:rsidRPr="00587444">
              <w:rPr>
                <w:rFonts w:ascii="Arial" w:hAnsi="Arial" w:cs="Arial"/>
                <w:color w:val="000000"/>
                <w:sz w:val="18"/>
                <w:szCs w:val="18"/>
              </w:rPr>
              <w:t>1,645,658</w:t>
            </w:r>
          </w:p>
        </w:tc>
        <w:tc>
          <w:tcPr>
            <w:tcW w:w="1337" w:type="dxa"/>
            <w:shd w:val="clear" w:color="auto" w:fill="auto"/>
            <w:vAlign w:val="bottom"/>
          </w:tcPr>
          <w:p w14:paraId="64C37793"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lang w:val="en-GB"/>
              </w:rPr>
            </w:pPr>
            <w:r w:rsidRPr="00587444">
              <w:rPr>
                <w:rFonts w:ascii="Arial" w:hAnsi="Arial" w:cs="Arial"/>
                <w:color w:val="000000"/>
                <w:sz w:val="18"/>
                <w:szCs w:val="18"/>
              </w:rPr>
              <w:t>5,971</w:t>
            </w:r>
          </w:p>
        </w:tc>
        <w:tc>
          <w:tcPr>
            <w:tcW w:w="1335" w:type="dxa"/>
            <w:shd w:val="clear" w:color="auto" w:fill="auto"/>
            <w:vAlign w:val="bottom"/>
          </w:tcPr>
          <w:p w14:paraId="39CF3186"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914,416</w:t>
            </w:r>
          </w:p>
        </w:tc>
        <w:tc>
          <w:tcPr>
            <w:tcW w:w="1348" w:type="dxa"/>
            <w:gridSpan w:val="2"/>
            <w:shd w:val="clear" w:color="auto" w:fill="auto"/>
            <w:vAlign w:val="bottom"/>
          </w:tcPr>
          <w:p w14:paraId="5CABA377"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59</w:t>
            </w:r>
          </w:p>
        </w:tc>
      </w:tr>
      <w:tr w:rsidR="00587444" w:rsidRPr="00587444" w14:paraId="404999C8" w14:textId="77777777" w:rsidTr="00DD69E7">
        <w:trPr>
          <w:trHeight w:val="312"/>
          <w:jc w:val="center"/>
        </w:trPr>
        <w:tc>
          <w:tcPr>
            <w:tcW w:w="3681" w:type="dxa"/>
            <w:vAlign w:val="bottom"/>
          </w:tcPr>
          <w:p w14:paraId="1D0C3266" w14:textId="77777777" w:rsidR="00587444" w:rsidRPr="00587444" w:rsidRDefault="00587444" w:rsidP="00587444">
            <w:pPr>
              <w:tabs>
                <w:tab w:val="right" w:pos="1202"/>
              </w:tabs>
              <w:suppressAutoHyphens w:val="0"/>
              <w:autoSpaceDN/>
              <w:outlineLvl w:val="0"/>
              <w:rPr>
                <w:rFonts w:ascii="Arial" w:hAnsi="Arial" w:cs="Arial"/>
                <w:bCs/>
                <w:sz w:val="18"/>
                <w:szCs w:val="18"/>
              </w:rPr>
            </w:pPr>
            <w:bookmarkStart w:id="970" w:name="_Toc4060286"/>
            <w:r w:rsidRPr="00587444">
              <w:rPr>
                <w:rFonts w:ascii="Arial" w:hAnsi="Arial" w:cs="Arial"/>
                <w:sz w:val="18"/>
                <w:szCs w:val="18"/>
              </w:rPr>
              <w:t>Associates</w:t>
            </w:r>
            <w:bookmarkEnd w:id="970"/>
          </w:p>
        </w:tc>
        <w:tc>
          <w:tcPr>
            <w:tcW w:w="1409" w:type="dxa"/>
            <w:shd w:val="clear" w:color="auto" w:fill="auto"/>
            <w:vAlign w:val="bottom"/>
          </w:tcPr>
          <w:p w14:paraId="77F63C1B"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rPr>
            </w:pPr>
            <w:r w:rsidRPr="00587444">
              <w:rPr>
                <w:rFonts w:ascii="Arial" w:hAnsi="Arial" w:cs="Arial"/>
                <w:color w:val="000000"/>
                <w:sz w:val="18"/>
                <w:szCs w:val="18"/>
              </w:rPr>
              <w:t>-</w:t>
            </w:r>
          </w:p>
        </w:tc>
        <w:tc>
          <w:tcPr>
            <w:tcW w:w="1337" w:type="dxa"/>
            <w:shd w:val="clear" w:color="auto" w:fill="auto"/>
            <w:vAlign w:val="bottom"/>
          </w:tcPr>
          <w:p w14:paraId="3C6CDBD5"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color w:val="000000"/>
                <w:sz w:val="18"/>
                <w:szCs w:val="18"/>
              </w:rPr>
              <w:t>-</w:t>
            </w:r>
          </w:p>
        </w:tc>
        <w:tc>
          <w:tcPr>
            <w:tcW w:w="1335" w:type="dxa"/>
            <w:shd w:val="clear" w:color="auto" w:fill="auto"/>
            <w:vAlign w:val="bottom"/>
          </w:tcPr>
          <w:p w14:paraId="373A5651"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7</w:t>
            </w:r>
          </w:p>
        </w:tc>
        <w:tc>
          <w:tcPr>
            <w:tcW w:w="1348" w:type="dxa"/>
            <w:gridSpan w:val="2"/>
            <w:shd w:val="clear" w:color="auto" w:fill="auto"/>
            <w:vAlign w:val="bottom"/>
          </w:tcPr>
          <w:p w14:paraId="540E3665"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w:t>
            </w:r>
          </w:p>
        </w:tc>
      </w:tr>
      <w:tr w:rsidR="00587444" w:rsidRPr="00587444" w14:paraId="1A6A1DFC" w14:textId="77777777" w:rsidTr="00DD69E7">
        <w:trPr>
          <w:trHeight w:val="312"/>
          <w:jc w:val="center"/>
        </w:trPr>
        <w:tc>
          <w:tcPr>
            <w:tcW w:w="3681" w:type="dxa"/>
            <w:vAlign w:val="bottom"/>
          </w:tcPr>
          <w:p w14:paraId="629D665F" w14:textId="77777777" w:rsidR="00587444" w:rsidRPr="00587444" w:rsidRDefault="00587444" w:rsidP="00587444">
            <w:pPr>
              <w:tabs>
                <w:tab w:val="right" w:pos="1202"/>
              </w:tabs>
              <w:suppressAutoHyphens w:val="0"/>
              <w:autoSpaceDN/>
              <w:outlineLvl w:val="0"/>
              <w:rPr>
                <w:rFonts w:ascii="Arial" w:hAnsi="Arial" w:cs="Arial"/>
                <w:bCs/>
                <w:sz w:val="18"/>
                <w:szCs w:val="18"/>
              </w:rPr>
            </w:pPr>
            <w:bookmarkStart w:id="971" w:name="_Toc4060291"/>
            <w:r w:rsidRPr="00587444">
              <w:rPr>
                <w:rFonts w:ascii="Arial" w:hAnsi="Arial" w:cs="Arial"/>
                <w:bCs/>
                <w:sz w:val="18"/>
                <w:szCs w:val="18"/>
              </w:rPr>
              <w:t>Key management personnel</w:t>
            </w:r>
            <w:bookmarkEnd w:id="971"/>
          </w:p>
        </w:tc>
        <w:tc>
          <w:tcPr>
            <w:tcW w:w="1409" w:type="dxa"/>
            <w:tcBorders>
              <w:bottom w:val="single" w:sz="4" w:space="0" w:color="000000"/>
            </w:tcBorders>
            <w:shd w:val="clear" w:color="auto" w:fill="auto"/>
            <w:vAlign w:val="bottom"/>
          </w:tcPr>
          <w:p w14:paraId="4B6D26C0"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rPr>
            </w:pPr>
            <w:r w:rsidRPr="00587444">
              <w:rPr>
                <w:rFonts w:ascii="Arial" w:hAnsi="Arial" w:cs="Arial"/>
                <w:color w:val="000000"/>
                <w:sz w:val="18"/>
                <w:szCs w:val="18"/>
              </w:rPr>
              <w:t>2,292</w:t>
            </w:r>
          </w:p>
        </w:tc>
        <w:tc>
          <w:tcPr>
            <w:tcW w:w="1337" w:type="dxa"/>
            <w:tcBorders>
              <w:bottom w:val="single" w:sz="4" w:space="0" w:color="000000"/>
            </w:tcBorders>
            <w:shd w:val="clear" w:color="auto" w:fill="auto"/>
            <w:vAlign w:val="bottom"/>
          </w:tcPr>
          <w:p w14:paraId="35745E3B"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color w:val="000000"/>
                <w:sz w:val="18"/>
                <w:szCs w:val="18"/>
              </w:rPr>
              <w:t>2,772</w:t>
            </w:r>
          </w:p>
        </w:tc>
        <w:tc>
          <w:tcPr>
            <w:tcW w:w="1335" w:type="dxa"/>
            <w:tcBorders>
              <w:bottom w:val="single" w:sz="4" w:space="0" w:color="000000"/>
            </w:tcBorders>
            <w:shd w:val="clear" w:color="auto" w:fill="auto"/>
            <w:vAlign w:val="bottom"/>
          </w:tcPr>
          <w:p w14:paraId="4C4FC60A"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3,393</w:t>
            </w:r>
          </w:p>
        </w:tc>
        <w:tc>
          <w:tcPr>
            <w:tcW w:w="1348" w:type="dxa"/>
            <w:gridSpan w:val="2"/>
            <w:tcBorders>
              <w:bottom w:val="single" w:sz="4" w:space="0" w:color="000000"/>
            </w:tcBorders>
            <w:shd w:val="clear" w:color="auto" w:fill="auto"/>
            <w:vAlign w:val="bottom"/>
          </w:tcPr>
          <w:p w14:paraId="2B6D47D9"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2,701</w:t>
            </w:r>
          </w:p>
        </w:tc>
      </w:tr>
      <w:tr w:rsidR="00587444" w:rsidRPr="00587444" w14:paraId="3B101227" w14:textId="77777777" w:rsidTr="00DD69E7">
        <w:trPr>
          <w:trHeight w:val="312"/>
          <w:jc w:val="center"/>
        </w:trPr>
        <w:tc>
          <w:tcPr>
            <w:tcW w:w="3681" w:type="dxa"/>
            <w:vAlign w:val="bottom"/>
          </w:tcPr>
          <w:p w14:paraId="740D1154" w14:textId="77777777" w:rsidR="00587444" w:rsidRPr="00587444" w:rsidRDefault="00587444" w:rsidP="00587444">
            <w:pPr>
              <w:tabs>
                <w:tab w:val="right" w:pos="1202"/>
              </w:tabs>
              <w:suppressAutoHyphens w:val="0"/>
              <w:autoSpaceDN/>
              <w:outlineLvl w:val="0"/>
              <w:rPr>
                <w:rFonts w:ascii="Arial" w:hAnsi="Arial" w:cs="Arial"/>
                <w:b/>
                <w:sz w:val="18"/>
                <w:szCs w:val="18"/>
              </w:rPr>
            </w:pPr>
            <w:bookmarkStart w:id="972" w:name="_Toc4060296"/>
            <w:r w:rsidRPr="00587444">
              <w:rPr>
                <w:rFonts w:ascii="Arial" w:hAnsi="Arial" w:cs="Arial"/>
                <w:b/>
                <w:sz w:val="18"/>
                <w:szCs w:val="18"/>
              </w:rPr>
              <w:t>Total</w:t>
            </w:r>
            <w:bookmarkEnd w:id="972"/>
          </w:p>
        </w:tc>
        <w:tc>
          <w:tcPr>
            <w:tcW w:w="1409" w:type="dxa"/>
            <w:tcBorders>
              <w:top w:val="single" w:sz="4" w:space="0" w:color="auto"/>
              <w:bottom w:val="single" w:sz="12" w:space="0" w:color="auto"/>
            </w:tcBorders>
            <w:shd w:val="clear" w:color="auto" w:fill="auto"/>
            <w:vAlign w:val="bottom"/>
          </w:tcPr>
          <w:p w14:paraId="345EB9FA"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r w:rsidRPr="00587444">
              <w:rPr>
                <w:rFonts w:ascii="Arial" w:hAnsi="Arial" w:cs="Arial"/>
                <w:b/>
                <w:color w:val="000000"/>
                <w:sz w:val="18"/>
                <w:szCs w:val="18"/>
                <w:lang w:val="hr-HR"/>
              </w:rPr>
              <w:t>9,629,448</w:t>
            </w:r>
          </w:p>
        </w:tc>
        <w:tc>
          <w:tcPr>
            <w:tcW w:w="1337" w:type="dxa"/>
            <w:tcBorders>
              <w:top w:val="single" w:sz="4" w:space="0" w:color="auto"/>
              <w:bottom w:val="single" w:sz="12" w:space="0" w:color="auto"/>
            </w:tcBorders>
            <w:shd w:val="clear" w:color="auto" w:fill="auto"/>
            <w:vAlign w:val="bottom"/>
          </w:tcPr>
          <w:p w14:paraId="31118C67"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r w:rsidRPr="00587444">
              <w:rPr>
                <w:rFonts w:ascii="Arial" w:hAnsi="Arial" w:cs="Arial"/>
                <w:b/>
                <w:color w:val="000000"/>
                <w:sz w:val="18"/>
                <w:szCs w:val="18"/>
                <w:lang w:val="hr-HR"/>
              </w:rPr>
              <w:t>3,757,163</w:t>
            </w:r>
          </w:p>
        </w:tc>
        <w:tc>
          <w:tcPr>
            <w:tcW w:w="1335" w:type="dxa"/>
            <w:tcBorders>
              <w:top w:val="single" w:sz="4" w:space="0" w:color="auto"/>
              <w:bottom w:val="single" w:sz="12" w:space="0" w:color="auto"/>
            </w:tcBorders>
            <w:shd w:val="clear" w:color="auto" w:fill="auto"/>
            <w:vAlign w:val="bottom"/>
          </w:tcPr>
          <w:p w14:paraId="09442A6E"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18"/>
                <w:szCs w:val="18"/>
              </w:rPr>
            </w:pPr>
            <w:r w:rsidRPr="00587444">
              <w:rPr>
                <w:rFonts w:ascii="Arial" w:hAnsi="Arial" w:cs="Arial"/>
                <w:b/>
                <w:color w:val="000000"/>
                <w:sz w:val="18"/>
                <w:szCs w:val="18"/>
              </w:rPr>
              <w:t>8,883,516</w:t>
            </w:r>
          </w:p>
        </w:tc>
        <w:tc>
          <w:tcPr>
            <w:tcW w:w="1348" w:type="dxa"/>
            <w:gridSpan w:val="2"/>
            <w:tcBorders>
              <w:top w:val="single" w:sz="4" w:space="0" w:color="auto"/>
              <w:bottom w:val="single" w:sz="12" w:space="0" w:color="auto"/>
            </w:tcBorders>
            <w:shd w:val="clear" w:color="auto" w:fill="auto"/>
            <w:vAlign w:val="bottom"/>
          </w:tcPr>
          <w:p w14:paraId="171C7DBA"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18"/>
                <w:szCs w:val="18"/>
              </w:rPr>
            </w:pPr>
            <w:r w:rsidRPr="00587444">
              <w:rPr>
                <w:rFonts w:ascii="Arial" w:hAnsi="Arial" w:cs="Arial"/>
                <w:b/>
                <w:color w:val="000000"/>
                <w:sz w:val="18"/>
                <w:szCs w:val="18"/>
              </w:rPr>
              <w:t>2,113,073</w:t>
            </w:r>
          </w:p>
        </w:tc>
      </w:tr>
    </w:tbl>
    <w:p w14:paraId="729523E1" w14:textId="77777777" w:rsidR="00587444" w:rsidRPr="00587444" w:rsidRDefault="00587444" w:rsidP="00587444">
      <w:pPr>
        <w:keepNext/>
        <w:suppressAutoHyphens w:val="0"/>
        <w:autoSpaceDN/>
        <w:ind w:left="567"/>
        <w:jc w:val="both"/>
        <w:rPr>
          <w:rFonts w:ascii="Arial" w:hAnsi="Arial" w:cs="Arial"/>
          <w:bCs/>
          <w:sz w:val="20"/>
          <w:szCs w:val="20"/>
          <w:lang w:val="en-GB"/>
        </w:rPr>
      </w:pPr>
    </w:p>
    <w:p w14:paraId="5E8E540A" w14:textId="77777777" w:rsidR="00587444" w:rsidRPr="00587444" w:rsidRDefault="00587444" w:rsidP="00587444">
      <w:pPr>
        <w:keepNext/>
        <w:suppressAutoHyphens w:val="0"/>
        <w:autoSpaceDN/>
        <w:ind w:left="567"/>
        <w:jc w:val="both"/>
        <w:rPr>
          <w:rFonts w:ascii="Arial" w:hAnsi="Arial" w:cs="Arial"/>
          <w:bCs/>
          <w:sz w:val="20"/>
          <w:szCs w:val="20"/>
          <w:lang w:val="en-GB"/>
        </w:rPr>
      </w:pPr>
    </w:p>
    <w:tbl>
      <w:tblPr>
        <w:tblW w:w="4907" w:type="pct"/>
        <w:jc w:val="center"/>
        <w:tblLayout w:type="fixed"/>
        <w:tblCellMar>
          <w:left w:w="113" w:type="dxa"/>
          <w:right w:w="85" w:type="dxa"/>
        </w:tblCellMar>
        <w:tblLook w:val="00A0" w:firstRow="1" w:lastRow="0" w:firstColumn="1" w:lastColumn="0" w:noHBand="0" w:noVBand="0"/>
      </w:tblPr>
      <w:tblGrid>
        <w:gridCol w:w="3910"/>
        <w:gridCol w:w="1366"/>
        <w:gridCol w:w="1366"/>
        <w:gridCol w:w="1366"/>
        <w:gridCol w:w="1367"/>
      </w:tblGrid>
      <w:tr w:rsidR="00587444" w:rsidRPr="00587444" w14:paraId="36FB3655" w14:textId="77777777" w:rsidTr="00DD69E7">
        <w:trPr>
          <w:cantSplit/>
          <w:trHeight w:val="14"/>
          <w:jc w:val="center"/>
        </w:trPr>
        <w:tc>
          <w:tcPr>
            <w:tcW w:w="3828" w:type="dxa"/>
            <w:vAlign w:val="bottom"/>
          </w:tcPr>
          <w:p w14:paraId="153AF3A7"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973" w:name="_Toc4060301"/>
            <w:r w:rsidRPr="00587444">
              <w:rPr>
                <w:rFonts w:ascii="Arial" w:hAnsi="Arial" w:cs="Arial"/>
                <w:b/>
                <w:sz w:val="18"/>
                <w:szCs w:val="18"/>
              </w:rPr>
              <w:t>Group</w:t>
            </w:r>
            <w:bookmarkEnd w:id="973"/>
          </w:p>
        </w:tc>
        <w:tc>
          <w:tcPr>
            <w:tcW w:w="1338" w:type="dxa"/>
            <w:vAlign w:val="bottom"/>
          </w:tcPr>
          <w:p w14:paraId="11A2165A"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974" w:name="_Toc4060302"/>
            <w:r w:rsidRPr="00587444">
              <w:rPr>
                <w:rFonts w:ascii="Arial" w:hAnsi="Arial" w:cs="Arial"/>
                <w:b/>
                <w:bCs/>
                <w:iCs/>
                <w:sz w:val="18"/>
                <w:szCs w:val="18"/>
              </w:rPr>
              <w:t>Income</w:t>
            </w:r>
            <w:bookmarkEnd w:id="974"/>
          </w:p>
        </w:tc>
        <w:tc>
          <w:tcPr>
            <w:tcW w:w="1338" w:type="dxa"/>
            <w:vAlign w:val="bottom"/>
          </w:tcPr>
          <w:p w14:paraId="12403584"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975" w:name="_Toc4060303"/>
            <w:r w:rsidRPr="00587444">
              <w:rPr>
                <w:rFonts w:ascii="Arial" w:hAnsi="Arial" w:cs="Arial"/>
                <w:b/>
                <w:bCs/>
                <w:iCs/>
                <w:sz w:val="18"/>
                <w:szCs w:val="18"/>
              </w:rPr>
              <w:t>Expense</w:t>
            </w:r>
            <w:bookmarkEnd w:id="975"/>
          </w:p>
        </w:tc>
        <w:tc>
          <w:tcPr>
            <w:tcW w:w="1338" w:type="dxa"/>
            <w:vAlign w:val="bottom"/>
          </w:tcPr>
          <w:p w14:paraId="4451D2FB"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976" w:name="_Toc4060304"/>
            <w:r w:rsidRPr="00587444">
              <w:rPr>
                <w:rFonts w:ascii="Arial" w:hAnsi="Arial" w:cs="Arial"/>
                <w:b/>
                <w:bCs/>
                <w:iCs/>
                <w:sz w:val="18"/>
                <w:szCs w:val="18"/>
              </w:rPr>
              <w:t>Income</w:t>
            </w:r>
            <w:bookmarkEnd w:id="976"/>
          </w:p>
        </w:tc>
        <w:tc>
          <w:tcPr>
            <w:tcW w:w="1339" w:type="dxa"/>
            <w:vAlign w:val="bottom"/>
          </w:tcPr>
          <w:p w14:paraId="1217D2B5"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977" w:name="_Toc4060305"/>
            <w:r w:rsidRPr="00587444">
              <w:rPr>
                <w:rFonts w:ascii="Arial" w:hAnsi="Arial" w:cs="Arial"/>
                <w:b/>
                <w:bCs/>
                <w:iCs/>
                <w:sz w:val="18"/>
                <w:szCs w:val="18"/>
              </w:rPr>
              <w:t>Expense</w:t>
            </w:r>
            <w:bookmarkEnd w:id="977"/>
          </w:p>
        </w:tc>
      </w:tr>
      <w:tr w:rsidR="00587444" w:rsidRPr="00587444" w14:paraId="55E746C0" w14:textId="77777777" w:rsidTr="00DD69E7">
        <w:trPr>
          <w:cantSplit/>
          <w:trHeight w:hRule="exact" w:val="585"/>
          <w:jc w:val="center"/>
        </w:trPr>
        <w:tc>
          <w:tcPr>
            <w:tcW w:w="3828" w:type="dxa"/>
            <w:vAlign w:val="bottom"/>
          </w:tcPr>
          <w:p w14:paraId="5E6026C8" w14:textId="77777777" w:rsidR="00587444" w:rsidRPr="00587444" w:rsidRDefault="00587444" w:rsidP="00587444">
            <w:pPr>
              <w:tabs>
                <w:tab w:val="right" w:pos="1202"/>
              </w:tabs>
              <w:suppressAutoHyphens w:val="0"/>
              <w:autoSpaceDN/>
              <w:outlineLvl w:val="0"/>
              <w:rPr>
                <w:rFonts w:ascii="Arial" w:hAnsi="Arial" w:cs="Arial"/>
                <w:b/>
                <w:sz w:val="18"/>
                <w:szCs w:val="18"/>
              </w:rPr>
            </w:pPr>
          </w:p>
        </w:tc>
        <w:tc>
          <w:tcPr>
            <w:tcW w:w="1338" w:type="dxa"/>
            <w:vAlign w:val="center"/>
          </w:tcPr>
          <w:p w14:paraId="29BCA092" w14:textId="77777777" w:rsidR="00587444" w:rsidRPr="00587444" w:rsidRDefault="00587444" w:rsidP="00587444">
            <w:pPr>
              <w:suppressAutoHyphens w:val="0"/>
              <w:autoSpaceDN/>
              <w:jc w:val="right"/>
              <w:outlineLvl w:val="0"/>
              <w:rPr>
                <w:rFonts w:ascii="Arial" w:hAnsi="Arial" w:cs="Arial"/>
                <w:b/>
                <w:bCs/>
                <w:sz w:val="18"/>
                <w:szCs w:val="18"/>
              </w:rPr>
            </w:pPr>
            <w:bookmarkStart w:id="978" w:name="_Toc4060306"/>
            <w:r w:rsidRPr="00587444">
              <w:rPr>
                <w:rFonts w:ascii="Arial" w:hAnsi="Arial" w:cs="Arial"/>
                <w:b/>
                <w:bCs/>
                <w:sz w:val="18"/>
                <w:szCs w:val="18"/>
              </w:rPr>
              <w:t>Jan 1 – Dec 31 202</w:t>
            </w:r>
            <w:bookmarkEnd w:id="978"/>
            <w:r w:rsidRPr="00587444">
              <w:rPr>
                <w:rFonts w:ascii="Arial" w:hAnsi="Arial" w:cs="Arial"/>
                <w:b/>
                <w:bCs/>
                <w:sz w:val="18"/>
                <w:szCs w:val="18"/>
              </w:rPr>
              <w:t>2</w:t>
            </w:r>
          </w:p>
        </w:tc>
        <w:tc>
          <w:tcPr>
            <w:tcW w:w="1338" w:type="dxa"/>
            <w:vAlign w:val="center"/>
          </w:tcPr>
          <w:p w14:paraId="4468D9AE" w14:textId="77777777" w:rsidR="00587444" w:rsidRPr="00587444" w:rsidRDefault="00587444" w:rsidP="00587444">
            <w:pPr>
              <w:suppressAutoHyphens w:val="0"/>
              <w:autoSpaceDN/>
              <w:jc w:val="right"/>
              <w:outlineLvl w:val="0"/>
              <w:rPr>
                <w:rFonts w:ascii="Arial" w:hAnsi="Arial" w:cs="Arial"/>
                <w:b/>
                <w:bCs/>
                <w:sz w:val="18"/>
                <w:szCs w:val="18"/>
              </w:rPr>
            </w:pPr>
            <w:bookmarkStart w:id="979" w:name="_Toc4060307"/>
            <w:r w:rsidRPr="00587444">
              <w:rPr>
                <w:rFonts w:ascii="Arial" w:hAnsi="Arial" w:cs="Arial"/>
                <w:b/>
                <w:bCs/>
                <w:sz w:val="18"/>
                <w:szCs w:val="18"/>
              </w:rPr>
              <w:t>Jan 1 – Dec 31 202</w:t>
            </w:r>
            <w:bookmarkEnd w:id="979"/>
            <w:r w:rsidRPr="00587444">
              <w:rPr>
                <w:rFonts w:ascii="Arial" w:hAnsi="Arial" w:cs="Arial"/>
                <w:b/>
                <w:bCs/>
                <w:sz w:val="18"/>
                <w:szCs w:val="18"/>
              </w:rPr>
              <w:t>2</w:t>
            </w:r>
          </w:p>
        </w:tc>
        <w:tc>
          <w:tcPr>
            <w:tcW w:w="1338" w:type="dxa"/>
            <w:vAlign w:val="center"/>
          </w:tcPr>
          <w:p w14:paraId="0573BD7C" w14:textId="77777777" w:rsidR="00587444" w:rsidRPr="00587444" w:rsidRDefault="00587444" w:rsidP="00587444">
            <w:pPr>
              <w:suppressAutoHyphens w:val="0"/>
              <w:autoSpaceDN/>
              <w:jc w:val="right"/>
              <w:outlineLvl w:val="0"/>
              <w:rPr>
                <w:rFonts w:ascii="Arial" w:hAnsi="Arial" w:cs="Arial"/>
                <w:b/>
                <w:bCs/>
                <w:sz w:val="18"/>
                <w:szCs w:val="18"/>
              </w:rPr>
            </w:pPr>
            <w:r w:rsidRPr="00587444">
              <w:rPr>
                <w:rFonts w:ascii="Arial" w:hAnsi="Arial" w:cs="Arial"/>
                <w:b/>
                <w:bCs/>
                <w:sz w:val="18"/>
                <w:szCs w:val="18"/>
              </w:rPr>
              <w:t>Jan 1 – Dec 31 2021</w:t>
            </w:r>
          </w:p>
        </w:tc>
        <w:tc>
          <w:tcPr>
            <w:tcW w:w="1339" w:type="dxa"/>
            <w:vAlign w:val="center"/>
          </w:tcPr>
          <w:p w14:paraId="4438E649" w14:textId="77777777" w:rsidR="00587444" w:rsidRPr="00587444" w:rsidRDefault="00587444" w:rsidP="00587444">
            <w:pPr>
              <w:suppressAutoHyphens w:val="0"/>
              <w:autoSpaceDN/>
              <w:jc w:val="right"/>
              <w:outlineLvl w:val="0"/>
              <w:rPr>
                <w:rFonts w:ascii="Arial" w:hAnsi="Arial" w:cs="Arial"/>
                <w:b/>
                <w:bCs/>
                <w:sz w:val="18"/>
                <w:szCs w:val="18"/>
              </w:rPr>
            </w:pPr>
            <w:r w:rsidRPr="00587444">
              <w:rPr>
                <w:rFonts w:ascii="Arial" w:hAnsi="Arial" w:cs="Arial"/>
                <w:b/>
                <w:bCs/>
                <w:sz w:val="18"/>
                <w:szCs w:val="18"/>
              </w:rPr>
              <w:t>Jan 1 – Dec 31 2021</w:t>
            </w:r>
          </w:p>
        </w:tc>
      </w:tr>
      <w:tr w:rsidR="00587444" w:rsidRPr="00587444" w14:paraId="42F504EF" w14:textId="77777777" w:rsidTr="00DD69E7">
        <w:trPr>
          <w:cantSplit/>
          <w:trHeight w:hRule="exact" w:val="280"/>
          <w:jc w:val="center"/>
        </w:trPr>
        <w:tc>
          <w:tcPr>
            <w:tcW w:w="3828" w:type="dxa"/>
            <w:vAlign w:val="bottom"/>
          </w:tcPr>
          <w:p w14:paraId="2492117D" w14:textId="77777777" w:rsidR="00587444" w:rsidRPr="00587444" w:rsidRDefault="00587444" w:rsidP="00587444">
            <w:pPr>
              <w:tabs>
                <w:tab w:val="right" w:pos="1202"/>
              </w:tabs>
              <w:suppressAutoHyphens w:val="0"/>
              <w:autoSpaceDN/>
              <w:outlineLvl w:val="0"/>
              <w:rPr>
                <w:rFonts w:ascii="Arial" w:hAnsi="Arial" w:cs="Arial"/>
                <w:b/>
                <w:sz w:val="18"/>
                <w:szCs w:val="18"/>
              </w:rPr>
            </w:pPr>
          </w:p>
        </w:tc>
        <w:tc>
          <w:tcPr>
            <w:tcW w:w="1338" w:type="dxa"/>
            <w:vAlign w:val="bottom"/>
          </w:tcPr>
          <w:p w14:paraId="12B5A4CE"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bookmarkStart w:id="980" w:name="_Toc4060310"/>
            <w:r w:rsidRPr="00587444">
              <w:rPr>
                <w:rFonts w:ascii="Arial" w:hAnsi="Arial" w:cs="Arial"/>
                <w:b/>
                <w:sz w:val="18"/>
                <w:szCs w:val="18"/>
              </w:rPr>
              <w:t>HRK ‘000</w:t>
            </w:r>
            <w:bookmarkEnd w:id="980"/>
          </w:p>
        </w:tc>
        <w:tc>
          <w:tcPr>
            <w:tcW w:w="1338" w:type="dxa"/>
            <w:vAlign w:val="bottom"/>
          </w:tcPr>
          <w:p w14:paraId="5D8035BF"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bookmarkStart w:id="981" w:name="_Toc4060311"/>
            <w:r w:rsidRPr="00587444">
              <w:rPr>
                <w:rFonts w:ascii="Arial" w:hAnsi="Arial" w:cs="Arial"/>
                <w:b/>
                <w:bCs/>
                <w:sz w:val="18"/>
                <w:szCs w:val="18"/>
              </w:rPr>
              <w:t>HRK ‘000</w:t>
            </w:r>
            <w:bookmarkEnd w:id="981"/>
          </w:p>
        </w:tc>
        <w:tc>
          <w:tcPr>
            <w:tcW w:w="1338" w:type="dxa"/>
            <w:vAlign w:val="bottom"/>
          </w:tcPr>
          <w:p w14:paraId="1A9AC219"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r w:rsidRPr="00587444">
              <w:rPr>
                <w:rFonts w:ascii="Arial" w:hAnsi="Arial" w:cs="Arial"/>
                <w:b/>
                <w:sz w:val="18"/>
                <w:szCs w:val="18"/>
              </w:rPr>
              <w:t>HRK ‘000</w:t>
            </w:r>
          </w:p>
        </w:tc>
        <w:tc>
          <w:tcPr>
            <w:tcW w:w="1339" w:type="dxa"/>
            <w:vAlign w:val="bottom"/>
          </w:tcPr>
          <w:p w14:paraId="3E14E72A"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r w:rsidRPr="00587444">
              <w:rPr>
                <w:rFonts w:ascii="Arial" w:hAnsi="Arial" w:cs="Arial"/>
                <w:b/>
                <w:bCs/>
                <w:sz w:val="18"/>
                <w:szCs w:val="18"/>
              </w:rPr>
              <w:t>HRK ‘000</w:t>
            </w:r>
          </w:p>
        </w:tc>
      </w:tr>
      <w:tr w:rsidR="00587444" w:rsidRPr="00587444" w14:paraId="78BF13BF" w14:textId="77777777" w:rsidTr="00DD69E7">
        <w:trPr>
          <w:trHeight w:hRule="exact" w:val="354"/>
          <w:jc w:val="center"/>
        </w:trPr>
        <w:tc>
          <w:tcPr>
            <w:tcW w:w="3828" w:type="dxa"/>
            <w:vAlign w:val="bottom"/>
          </w:tcPr>
          <w:p w14:paraId="4CCB1406"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982" w:name="_Toc4060314"/>
            <w:r w:rsidRPr="00587444">
              <w:rPr>
                <w:rFonts w:ascii="Arial" w:hAnsi="Arial" w:cs="Arial"/>
                <w:sz w:val="18"/>
                <w:szCs w:val="18"/>
              </w:rPr>
              <w:t>Owner</w:t>
            </w:r>
            <w:bookmarkEnd w:id="982"/>
          </w:p>
        </w:tc>
        <w:tc>
          <w:tcPr>
            <w:tcW w:w="1338" w:type="dxa"/>
            <w:shd w:val="clear" w:color="auto" w:fill="auto"/>
            <w:vAlign w:val="bottom"/>
          </w:tcPr>
          <w:p w14:paraId="25CC03CC"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rPr>
            </w:pPr>
            <w:r w:rsidRPr="00587444">
              <w:rPr>
                <w:rFonts w:ascii="Arial" w:hAnsi="Arial" w:cs="Arial"/>
                <w:bCs/>
                <w:iCs/>
                <w:color w:val="000000"/>
                <w:sz w:val="18"/>
                <w:szCs w:val="18"/>
              </w:rPr>
              <w:t>41,738</w:t>
            </w:r>
          </w:p>
        </w:tc>
        <w:tc>
          <w:tcPr>
            <w:tcW w:w="1338" w:type="dxa"/>
            <w:shd w:val="clear" w:color="auto" w:fill="auto"/>
            <w:vAlign w:val="bottom"/>
          </w:tcPr>
          <w:p w14:paraId="1EBA65E1"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bCs/>
                <w:iCs/>
                <w:color w:val="000000"/>
                <w:sz w:val="18"/>
                <w:szCs w:val="18"/>
              </w:rPr>
              <w:t>15,957</w:t>
            </w:r>
          </w:p>
        </w:tc>
        <w:tc>
          <w:tcPr>
            <w:tcW w:w="1338" w:type="dxa"/>
            <w:shd w:val="clear" w:color="auto" w:fill="auto"/>
            <w:vAlign w:val="bottom"/>
          </w:tcPr>
          <w:p w14:paraId="6FE32820"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rPr>
            </w:pPr>
            <w:r w:rsidRPr="00587444">
              <w:rPr>
                <w:rFonts w:ascii="Arial" w:hAnsi="Arial" w:cs="Arial"/>
                <w:bCs/>
                <w:iCs/>
                <w:color w:val="000000"/>
                <w:sz w:val="18"/>
                <w:szCs w:val="18"/>
              </w:rPr>
              <w:t>50,497</w:t>
            </w:r>
          </w:p>
        </w:tc>
        <w:tc>
          <w:tcPr>
            <w:tcW w:w="1339" w:type="dxa"/>
            <w:shd w:val="clear" w:color="auto" w:fill="auto"/>
            <w:vAlign w:val="bottom"/>
          </w:tcPr>
          <w:p w14:paraId="78874716"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bCs/>
                <w:iCs/>
                <w:color w:val="000000"/>
                <w:sz w:val="18"/>
                <w:szCs w:val="18"/>
              </w:rPr>
              <w:t>28,730</w:t>
            </w:r>
          </w:p>
        </w:tc>
      </w:tr>
      <w:tr w:rsidR="00587444" w:rsidRPr="00587444" w14:paraId="4F9B7F4C" w14:textId="77777777" w:rsidTr="00DD69E7">
        <w:trPr>
          <w:trHeight w:val="14"/>
          <w:jc w:val="center"/>
        </w:trPr>
        <w:tc>
          <w:tcPr>
            <w:tcW w:w="3828" w:type="dxa"/>
            <w:vAlign w:val="bottom"/>
          </w:tcPr>
          <w:p w14:paraId="556570DC"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983" w:name="_Toc4060319"/>
            <w:r w:rsidRPr="00587444">
              <w:rPr>
                <w:rFonts w:ascii="Arial" w:hAnsi="Arial" w:cs="Arial"/>
                <w:sz w:val="18"/>
                <w:szCs w:val="18"/>
              </w:rPr>
              <w:t xml:space="preserve">Government funds, executive </w:t>
            </w:r>
            <w:proofErr w:type="gramStart"/>
            <w:r w:rsidRPr="00587444">
              <w:rPr>
                <w:rFonts w:ascii="Arial" w:hAnsi="Arial" w:cs="Arial"/>
                <w:sz w:val="18"/>
                <w:szCs w:val="18"/>
              </w:rPr>
              <w:t>authorities</w:t>
            </w:r>
            <w:proofErr w:type="gramEnd"/>
            <w:r w:rsidRPr="00587444">
              <w:rPr>
                <w:rFonts w:ascii="Arial" w:hAnsi="Arial" w:cs="Arial"/>
                <w:sz w:val="18"/>
                <w:szCs w:val="18"/>
              </w:rPr>
              <w:t xml:space="preserve"> and agencies</w:t>
            </w:r>
            <w:bookmarkEnd w:id="983"/>
          </w:p>
        </w:tc>
        <w:tc>
          <w:tcPr>
            <w:tcW w:w="1338" w:type="dxa"/>
            <w:shd w:val="clear" w:color="auto" w:fill="auto"/>
            <w:vAlign w:val="bottom"/>
          </w:tcPr>
          <w:p w14:paraId="2FA7861C"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rPr>
            </w:pPr>
            <w:r w:rsidRPr="00587444">
              <w:rPr>
                <w:rFonts w:ascii="Arial" w:hAnsi="Arial" w:cs="Arial"/>
                <w:bCs/>
                <w:iCs/>
                <w:color w:val="000000"/>
                <w:sz w:val="18"/>
                <w:szCs w:val="18"/>
              </w:rPr>
              <w:t>97,745</w:t>
            </w:r>
          </w:p>
        </w:tc>
        <w:tc>
          <w:tcPr>
            <w:tcW w:w="1338" w:type="dxa"/>
            <w:shd w:val="clear" w:color="auto" w:fill="auto"/>
            <w:vAlign w:val="bottom"/>
          </w:tcPr>
          <w:p w14:paraId="48D0A003"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bCs/>
                <w:iCs/>
                <w:color w:val="000000"/>
                <w:sz w:val="18"/>
                <w:szCs w:val="18"/>
              </w:rPr>
              <w:t>12,321</w:t>
            </w:r>
          </w:p>
        </w:tc>
        <w:tc>
          <w:tcPr>
            <w:tcW w:w="1338" w:type="dxa"/>
            <w:shd w:val="clear" w:color="auto" w:fill="auto"/>
            <w:vAlign w:val="bottom"/>
          </w:tcPr>
          <w:p w14:paraId="069763A4"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rPr>
            </w:pPr>
            <w:r w:rsidRPr="00587444">
              <w:rPr>
                <w:rFonts w:ascii="Arial" w:hAnsi="Arial" w:cs="Arial"/>
                <w:bCs/>
                <w:iCs/>
                <w:color w:val="000000"/>
                <w:sz w:val="18"/>
                <w:szCs w:val="18"/>
              </w:rPr>
              <w:t>89,571</w:t>
            </w:r>
          </w:p>
        </w:tc>
        <w:tc>
          <w:tcPr>
            <w:tcW w:w="1339" w:type="dxa"/>
            <w:shd w:val="clear" w:color="auto" w:fill="auto"/>
            <w:vAlign w:val="bottom"/>
          </w:tcPr>
          <w:p w14:paraId="78D6482B"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bCs/>
                <w:iCs/>
                <w:color w:val="000000"/>
                <w:sz w:val="18"/>
                <w:szCs w:val="18"/>
              </w:rPr>
              <w:t>1,044</w:t>
            </w:r>
          </w:p>
        </w:tc>
      </w:tr>
      <w:tr w:rsidR="00587444" w:rsidRPr="00587444" w14:paraId="035417CC" w14:textId="77777777" w:rsidTr="00DD69E7">
        <w:trPr>
          <w:trHeight w:hRule="exact" w:val="305"/>
          <w:jc w:val="center"/>
        </w:trPr>
        <w:tc>
          <w:tcPr>
            <w:tcW w:w="3828" w:type="dxa"/>
            <w:vAlign w:val="bottom"/>
          </w:tcPr>
          <w:p w14:paraId="1B6F732F"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984" w:name="_Toc4060324"/>
            <w:r w:rsidRPr="00587444">
              <w:rPr>
                <w:rFonts w:ascii="Arial" w:hAnsi="Arial" w:cs="Arial"/>
                <w:sz w:val="18"/>
                <w:szCs w:val="18"/>
              </w:rPr>
              <w:t>State-owned companies</w:t>
            </w:r>
            <w:bookmarkEnd w:id="984"/>
          </w:p>
        </w:tc>
        <w:tc>
          <w:tcPr>
            <w:tcW w:w="1338" w:type="dxa"/>
            <w:shd w:val="clear" w:color="auto" w:fill="auto"/>
            <w:vAlign w:val="bottom"/>
          </w:tcPr>
          <w:p w14:paraId="1DA28D1F"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rPr>
            </w:pPr>
            <w:r w:rsidRPr="00587444">
              <w:rPr>
                <w:rFonts w:ascii="Arial" w:hAnsi="Arial" w:cs="Arial"/>
                <w:bCs/>
                <w:iCs/>
                <w:color w:val="000000"/>
                <w:sz w:val="18"/>
                <w:szCs w:val="18"/>
              </w:rPr>
              <w:t>75,853</w:t>
            </w:r>
          </w:p>
        </w:tc>
        <w:tc>
          <w:tcPr>
            <w:tcW w:w="1338" w:type="dxa"/>
            <w:shd w:val="clear" w:color="auto" w:fill="auto"/>
            <w:vAlign w:val="bottom"/>
          </w:tcPr>
          <w:p w14:paraId="000C96D6"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bCs/>
                <w:iCs/>
                <w:color w:val="000000"/>
                <w:sz w:val="18"/>
                <w:szCs w:val="18"/>
              </w:rPr>
              <w:t>56,035</w:t>
            </w:r>
          </w:p>
        </w:tc>
        <w:tc>
          <w:tcPr>
            <w:tcW w:w="1338" w:type="dxa"/>
            <w:shd w:val="clear" w:color="auto" w:fill="auto"/>
            <w:vAlign w:val="bottom"/>
          </w:tcPr>
          <w:p w14:paraId="7E034889"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rPr>
            </w:pPr>
            <w:r w:rsidRPr="00587444">
              <w:rPr>
                <w:rFonts w:ascii="Arial" w:hAnsi="Arial" w:cs="Arial"/>
                <w:bCs/>
                <w:iCs/>
                <w:color w:val="000000"/>
                <w:sz w:val="18"/>
                <w:szCs w:val="18"/>
              </w:rPr>
              <w:t>45,248</w:t>
            </w:r>
          </w:p>
        </w:tc>
        <w:tc>
          <w:tcPr>
            <w:tcW w:w="1339" w:type="dxa"/>
            <w:shd w:val="clear" w:color="auto" w:fill="auto"/>
            <w:vAlign w:val="bottom"/>
          </w:tcPr>
          <w:p w14:paraId="5F02A3D5"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bCs/>
                <w:iCs/>
                <w:color w:val="000000"/>
                <w:sz w:val="18"/>
                <w:szCs w:val="18"/>
              </w:rPr>
              <w:t>49,542</w:t>
            </w:r>
          </w:p>
        </w:tc>
      </w:tr>
      <w:tr w:rsidR="00587444" w:rsidRPr="00587444" w14:paraId="476490CE" w14:textId="77777777" w:rsidTr="00DD69E7">
        <w:trPr>
          <w:trHeight w:hRule="exact" w:val="305"/>
          <w:jc w:val="center"/>
        </w:trPr>
        <w:tc>
          <w:tcPr>
            <w:tcW w:w="3828" w:type="dxa"/>
            <w:vAlign w:val="bottom"/>
          </w:tcPr>
          <w:p w14:paraId="4C21926C" w14:textId="77777777" w:rsidR="00587444" w:rsidRPr="00587444" w:rsidRDefault="00587444" w:rsidP="00587444">
            <w:pPr>
              <w:tabs>
                <w:tab w:val="right" w:pos="1202"/>
              </w:tabs>
              <w:suppressAutoHyphens w:val="0"/>
              <w:autoSpaceDN/>
              <w:outlineLvl w:val="0"/>
              <w:rPr>
                <w:rFonts w:ascii="Arial" w:hAnsi="Arial" w:cs="Arial"/>
                <w:bCs/>
                <w:sz w:val="18"/>
                <w:szCs w:val="18"/>
              </w:rPr>
            </w:pPr>
            <w:bookmarkStart w:id="985" w:name="_Toc4060329"/>
            <w:r w:rsidRPr="00587444">
              <w:rPr>
                <w:rFonts w:ascii="Arial" w:hAnsi="Arial" w:cs="Arial"/>
                <w:sz w:val="18"/>
                <w:szCs w:val="18"/>
              </w:rPr>
              <w:t>Associates</w:t>
            </w:r>
            <w:bookmarkEnd w:id="985"/>
          </w:p>
        </w:tc>
        <w:tc>
          <w:tcPr>
            <w:tcW w:w="1338" w:type="dxa"/>
            <w:shd w:val="clear" w:color="auto" w:fill="auto"/>
            <w:vAlign w:val="bottom"/>
          </w:tcPr>
          <w:p w14:paraId="3EFB249C"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rPr>
            </w:pPr>
            <w:r w:rsidRPr="00587444">
              <w:rPr>
                <w:rFonts w:ascii="Arial" w:hAnsi="Arial" w:cs="Arial"/>
                <w:bCs/>
                <w:iCs/>
                <w:color w:val="000000"/>
                <w:sz w:val="18"/>
                <w:szCs w:val="18"/>
              </w:rPr>
              <w:t>-</w:t>
            </w:r>
          </w:p>
        </w:tc>
        <w:tc>
          <w:tcPr>
            <w:tcW w:w="1338" w:type="dxa"/>
            <w:shd w:val="clear" w:color="auto" w:fill="auto"/>
            <w:vAlign w:val="bottom"/>
          </w:tcPr>
          <w:p w14:paraId="43B84A51"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bCs/>
                <w:iCs/>
                <w:color w:val="000000"/>
                <w:sz w:val="18"/>
                <w:szCs w:val="18"/>
              </w:rPr>
              <w:t>-</w:t>
            </w:r>
          </w:p>
        </w:tc>
        <w:tc>
          <w:tcPr>
            <w:tcW w:w="1338" w:type="dxa"/>
            <w:shd w:val="clear" w:color="auto" w:fill="auto"/>
            <w:vAlign w:val="bottom"/>
          </w:tcPr>
          <w:p w14:paraId="1007D082"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rPr>
            </w:pPr>
            <w:r w:rsidRPr="00587444">
              <w:rPr>
                <w:rFonts w:ascii="Arial" w:hAnsi="Arial" w:cs="Arial"/>
                <w:bCs/>
                <w:iCs/>
                <w:color w:val="000000"/>
                <w:sz w:val="18"/>
                <w:szCs w:val="18"/>
              </w:rPr>
              <w:t>26</w:t>
            </w:r>
          </w:p>
        </w:tc>
        <w:tc>
          <w:tcPr>
            <w:tcW w:w="1339" w:type="dxa"/>
            <w:shd w:val="clear" w:color="auto" w:fill="auto"/>
            <w:vAlign w:val="bottom"/>
          </w:tcPr>
          <w:p w14:paraId="16D6BEDB"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bCs/>
                <w:iCs/>
                <w:color w:val="000000"/>
                <w:sz w:val="18"/>
                <w:szCs w:val="18"/>
              </w:rPr>
              <w:t>1</w:t>
            </w:r>
          </w:p>
        </w:tc>
      </w:tr>
      <w:tr w:rsidR="00587444" w:rsidRPr="00587444" w14:paraId="491F586C" w14:textId="77777777" w:rsidTr="00DD69E7">
        <w:trPr>
          <w:trHeight w:hRule="exact" w:val="305"/>
          <w:jc w:val="center"/>
        </w:trPr>
        <w:tc>
          <w:tcPr>
            <w:tcW w:w="3828" w:type="dxa"/>
            <w:vAlign w:val="bottom"/>
          </w:tcPr>
          <w:p w14:paraId="7813FFFB" w14:textId="77777777" w:rsidR="00587444" w:rsidRPr="00587444" w:rsidRDefault="00587444" w:rsidP="00587444">
            <w:pPr>
              <w:tabs>
                <w:tab w:val="right" w:pos="1202"/>
              </w:tabs>
              <w:suppressAutoHyphens w:val="0"/>
              <w:autoSpaceDN/>
              <w:outlineLvl w:val="0"/>
              <w:rPr>
                <w:rFonts w:ascii="Arial" w:hAnsi="Arial" w:cs="Arial"/>
                <w:bCs/>
                <w:sz w:val="18"/>
                <w:szCs w:val="18"/>
              </w:rPr>
            </w:pPr>
            <w:bookmarkStart w:id="986" w:name="_Toc4060334"/>
            <w:r w:rsidRPr="00587444">
              <w:rPr>
                <w:rFonts w:ascii="Arial" w:hAnsi="Arial" w:cs="Arial"/>
                <w:bCs/>
                <w:sz w:val="18"/>
                <w:szCs w:val="18"/>
              </w:rPr>
              <w:t>Key management personnel</w:t>
            </w:r>
            <w:bookmarkEnd w:id="986"/>
          </w:p>
        </w:tc>
        <w:tc>
          <w:tcPr>
            <w:tcW w:w="1338" w:type="dxa"/>
            <w:tcBorders>
              <w:bottom w:val="single" w:sz="4" w:space="0" w:color="000000"/>
            </w:tcBorders>
            <w:shd w:val="clear" w:color="auto" w:fill="auto"/>
            <w:vAlign w:val="bottom"/>
          </w:tcPr>
          <w:p w14:paraId="32503586"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rPr>
            </w:pPr>
            <w:r w:rsidRPr="00587444">
              <w:rPr>
                <w:rFonts w:ascii="Arial" w:hAnsi="Arial" w:cs="Arial"/>
                <w:bCs/>
                <w:iCs/>
                <w:color w:val="000000"/>
                <w:sz w:val="18"/>
                <w:szCs w:val="18"/>
              </w:rPr>
              <w:t>69</w:t>
            </w:r>
          </w:p>
        </w:tc>
        <w:tc>
          <w:tcPr>
            <w:tcW w:w="1338" w:type="dxa"/>
            <w:tcBorders>
              <w:bottom w:val="single" w:sz="4" w:space="0" w:color="000000"/>
            </w:tcBorders>
            <w:shd w:val="clear" w:color="auto" w:fill="auto"/>
            <w:vAlign w:val="bottom"/>
          </w:tcPr>
          <w:p w14:paraId="4A221A8A"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bCs/>
                <w:iCs/>
                <w:color w:val="000000"/>
                <w:sz w:val="18"/>
                <w:szCs w:val="18"/>
              </w:rPr>
              <w:t>9,622</w:t>
            </w:r>
          </w:p>
        </w:tc>
        <w:tc>
          <w:tcPr>
            <w:tcW w:w="1338" w:type="dxa"/>
            <w:tcBorders>
              <w:bottom w:val="single" w:sz="4" w:space="0" w:color="000000"/>
            </w:tcBorders>
            <w:shd w:val="clear" w:color="auto" w:fill="auto"/>
            <w:vAlign w:val="bottom"/>
          </w:tcPr>
          <w:p w14:paraId="1960F734" w14:textId="77777777" w:rsidR="00587444" w:rsidRPr="00587444" w:rsidRDefault="00587444" w:rsidP="00587444">
            <w:pPr>
              <w:tabs>
                <w:tab w:val="right" w:pos="1202"/>
              </w:tabs>
              <w:suppressAutoHyphens w:val="0"/>
              <w:autoSpaceDN/>
              <w:jc w:val="right"/>
              <w:outlineLvl w:val="0"/>
              <w:rPr>
                <w:rFonts w:ascii="Arial" w:hAnsi="Arial" w:cs="Arial"/>
                <w:bCs/>
                <w:iCs/>
                <w:color w:val="000000"/>
                <w:sz w:val="18"/>
                <w:szCs w:val="18"/>
              </w:rPr>
            </w:pPr>
            <w:r w:rsidRPr="00587444">
              <w:rPr>
                <w:rFonts w:ascii="Arial" w:hAnsi="Arial" w:cs="Arial"/>
                <w:bCs/>
                <w:iCs/>
                <w:color w:val="000000"/>
                <w:sz w:val="18"/>
                <w:szCs w:val="18"/>
              </w:rPr>
              <w:t>3,738</w:t>
            </w:r>
          </w:p>
        </w:tc>
        <w:tc>
          <w:tcPr>
            <w:tcW w:w="1339" w:type="dxa"/>
            <w:tcBorders>
              <w:bottom w:val="single" w:sz="4" w:space="0" w:color="000000"/>
            </w:tcBorders>
            <w:shd w:val="clear" w:color="auto" w:fill="auto"/>
            <w:vAlign w:val="bottom"/>
          </w:tcPr>
          <w:p w14:paraId="37F83BEA"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bCs/>
                <w:iCs/>
                <w:color w:val="000000"/>
                <w:sz w:val="18"/>
                <w:szCs w:val="18"/>
              </w:rPr>
              <w:t>8,976</w:t>
            </w:r>
          </w:p>
        </w:tc>
      </w:tr>
      <w:tr w:rsidR="00587444" w:rsidRPr="00587444" w14:paraId="2E5C4565" w14:textId="77777777" w:rsidTr="00DD69E7">
        <w:trPr>
          <w:trHeight w:hRule="exact" w:val="376"/>
          <w:jc w:val="center"/>
        </w:trPr>
        <w:tc>
          <w:tcPr>
            <w:tcW w:w="3828" w:type="dxa"/>
            <w:vAlign w:val="bottom"/>
          </w:tcPr>
          <w:p w14:paraId="52900DF6" w14:textId="77777777" w:rsidR="00587444" w:rsidRPr="00587444" w:rsidRDefault="00587444" w:rsidP="00587444">
            <w:pPr>
              <w:tabs>
                <w:tab w:val="right" w:pos="1202"/>
              </w:tabs>
              <w:suppressAutoHyphens w:val="0"/>
              <w:autoSpaceDN/>
              <w:outlineLvl w:val="0"/>
              <w:rPr>
                <w:rFonts w:ascii="Arial" w:hAnsi="Arial" w:cs="Arial"/>
                <w:b/>
                <w:sz w:val="18"/>
                <w:szCs w:val="18"/>
              </w:rPr>
            </w:pPr>
            <w:bookmarkStart w:id="987" w:name="_Toc4060339"/>
            <w:r w:rsidRPr="00587444">
              <w:rPr>
                <w:rFonts w:ascii="Arial" w:hAnsi="Arial" w:cs="Arial"/>
                <w:b/>
                <w:sz w:val="18"/>
                <w:szCs w:val="18"/>
              </w:rPr>
              <w:t>Total</w:t>
            </w:r>
            <w:bookmarkEnd w:id="987"/>
          </w:p>
        </w:tc>
        <w:tc>
          <w:tcPr>
            <w:tcW w:w="1338" w:type="dxa"/>
            <w:tcBorders>
              <w:top w:val="single" w:sz="4" w:space="0" w:color="auto"/>
              <w:bottom w:val="single" w:sz="12" w:space="0" w:color="auto"/>
            </w:tcBorders>
            <w:shd w:val="clear" w:color="auto" w:fill="auto"/>
            <w:vAlign w:val="bottom"/>
          </w:tcPr>
          <w:p w14:paraId="7B747154"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18"/>
                <w:szCs w:val="18"/>
              </w:rPr>
            </w:pPr>
            <w:r w:rsidRPr="00587444">
              <w:rPr>
                <w:rFonts w:ascii="Arial" w:hAnsi="Arial" w:cs="Arial"/>
                <w:b/>
                <w:color w:val="000000"/>
                <w:sz w:val="18"/>
                <w:szCs w:val="18"/>
              </w:rPr>
              <w:t>215,405</w:t>
            </w:r>
          </w:p>
        </w:tc>
        <w:tc>
          <w:tcPr>
            <w:tcW w:w="1338" w:type="dxa"/>
            <w:tcBorders>
              <w:top w:val="single" w:sz="4" w:space="0" w:color="auto"/>
              <w:bottom w:val="single" w:sz="12" w:space="0" w:color="auto"/>
            </w:tcBorders>
            <w:shd w:val="clear" w:color="auto" w:fill="auto"/>
            <w:vAlign w:val="bottom"/>
          </w:tcPr>
          <w:p w14:paraId="3D2C90FD"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18"/>
                <w:szCs w:val="18"/>
              </w:rPr>
            </w:pPr>
            <w:r w:rsidRPr="00587444">
              <w:rPr>
                <w:rFonts w:ascii="Arial" w:hAnsi="Arial" w:cs="Arial"/>
                <w:b/>
                <w:color w:val="000000"/>
                <w:sz w:val="18"/>
                <w:szCs w:val="18"/>
              </w:rPr>
              <w:t>93,935</w:t>
            </w:r>
          </w:p>
        </w:tc>
        <w:tc>
          <w:tcPr>
            <w:tcW w:w="1338" w:type="dxa"/>
            <w:tcBorders>
              <w:top w:val="single" w:sz="4" w:space="0" w:color="auto"/>
              <w:bottom w:val="single" w:sz="12" w:space="0" w:color="auto"/>
            </w:tcBorders>
            <w:shd w:val="clear" w:color="auto" w:fill="auto"/>
            <w:vAlign w:val="bottom"/>
          </w:tcPr>
          <w:p w14:paraId="71C2FBEB"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r w:rsidRPr="00587444">
              <w:rPr>
                <w:rFonts w:ascii="Arial" w:hAnsi="Arial" w:cs="Arial"/>
                <w:b/>
                <w:color w:val="000000"/>
                <w:sz w:val="18"/>
                <w:szCs w:val="18"/>
              </w:rPr>
              <w:t>189,080</w:t>
            </w:r>
          </w:p>
        </w:tc>
        <w:tc>
          <w:tcPr>
            <w:tcW w:w="1339" w:type="dxa"/>
            <w:tcBorders>
              <w:top w:val="single" w:sz="4" w:space="0" w:color="auto"/>
              <w:bottom w:val="single" w:sz="12" w:space="0" w:color="auto"/>
            </w:tcBorders>
            <w:shd w:val="clear" w:color="auto" w:fill="auto"/>
            <w:vAlign w:val="bottom"/>
          </w:tcPr>
          <w:p w14:paraId="6047678C"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r w:rsidRPr="00587444">
              <w:rPr>
                <w:rFonts w:ascii="Arial" w:hAnsi="Arial" w:cs="Arial"/>
                <w:b/>
                <w:color w:val="000000"/>
                <w:sz w:val="18"/>
                <w:szCs w:val="18"/>
              </w:rPr>
              <w:t>88,293</w:t>
            </w:r>
          </w:p>
        </w:tc>
      </w:tr>
    </w:tbl>
    <w:p w14:paraId="24DEFDDF" w14:textId="77777777" w:rsidR="00587444" w:rsidRPr="00587444" w:rsidRDefault="00587444" w:rsidP="00587444">
      <w:pPr>
        <w:keepNext/>
        <w:suppressAutoHyphens w:val="0"/>
        <w:autoSpaceDN/>
        <w:ind w:left="567"/>
        <w:jc w:val="both"/>
        <w:rPr>
          <w:rFonts w:ascii="Arial" w:hAnsi="Arial" w:cs="Arial"/>
          <w:bCs/>
          <w:sz w:val="20"/>
          <w:szCs w:val="20"/>
          <w:lang w:val="en-GB"/>
        </w:rPr>
      </w:pPr>
    </w:p>
    <w:p w14:paraId="19BE271C"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sectPr w:rsidR="00587444" w:rsidRPr="00587444" w:rsidSect="00DD69E7">
          <w:pgSz w:w="11907" w:h="16840" w:code="9"/>
          <w:pgMar w:top="1418" w:right="1134" w:bottom="1134" w:left="1418" w:header="851" w:footer="851" w:gutter="0"/>
          <w:cols w:space="720"/>
          <w:noEndnote/>
        </w:sectPr>
      </w:pPr>
    </w:p>
    <w:p w14:paraId="2EEF2182"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pPr>
    </w:p>
    <w:p w14:paraId="26E544E1" w14:textId="77777777" w:rsidR="00587444" w:rsidRPr="00587444" w:rsidRDefault="00587444" w:rsidP="00587444">
      <w:pPr>
        <w:keepNext/>
        <w:tabs>
          <w:tab w:val="left" w:pos="567"/>
        </w:tabs>
        <w:suppressAutoHyphens w:val="0"/>
        <w:autoSpaceDN/>
        <w:jc w:val="both"/>
        <w:rPr>
          <w:rFonts w:ascii="Arial" w:hAnsi="Arial" w:cs="Arial"/>
          <w:b/>
          <w:bCs/>
          <w:sz w:val="20"/>
          <w:szCs w:val="20"/>
        </w:rPr>
      </w:pPr>
      <w:r w:rsidRPr="00587444">
        <w:rPr>
          <w:rFonts w:ascii="Arial" w:hAnsi="Arial" w:cs="Arial"/>
          <w:b/>
          <w:bCs/>
          <w:sz w:val="20"/>
          <w:szCs w:val="20"/>
        </w:rPr>
        <w:t>30.</w:t>
      </w:r>
      <w:r w:rsidRPr="00587444">
        <w:rPr>
          <w:rFonts w:ascii="Arial" w:hAnsi="Arial" w:cs="Arial"/>
          <w:b/>
          <w:bCs/>
          <w:sz w:val="20"/>
          <w:szCs w:val="20"/>
        </w:rPr>
        <w:tab/>
      </w:r>
      <w:r w:rsidRPr="00587444">
        <w:rPr>
          <w:rFonts w:ascii="Arial" w:hAnsi="Arial" w:cs="Arial"/>
          <w:b/>
          <w:sz w:val="20"/>
          <w:szCs w:val="20"/>
        </w:rPr>
        <w:t>Related-party transactions</w:t>
      </w:r>
      <w:r w:rsidRPr="00587444">
        <w:rPr>
          <w:rFonts w:ascii="Arial" w:hAnsi="Arial" w:cs="Arial"/>
          <w:b/>
          <w:bCs/>
          <w:sz w:val="20"/>
          <w:szCs w:val="20"/>
        </w:rPr>
        <w:t xml:space="preserve"> (continued)</w:t>
      </w:r>
    </w:p>
    <w:p w14:paraId="44903E9C" w14:textId="77777777" w:rsidR="00587444" w:rsidRPr="00587444" w:rsidRDefault="00587444" w:rsidP="00587444">
      <w:pPr>
        <w:keepNext/>
        <w:suppressAutoHyphens w:val="0"/>
        <w:autoSpaceDN/>
        <w:jc w:val="both"/>
        <w:rPr>
          <w:rFonts w:ascii="Arial" w:hAnsi="Arial" w:cs="Arial"/>
          <w:b/>
          <w:bCs/>
          <w:sz w:val="20"/>
          <w:szCs w:val="20"/>
          <w:highlight w:val="yellow"/>
        </w:rPr>
      </w:pPr>
    </w:p>
    <w:p w14:paraId="6CBEBC76" w14:textId="77777777" w:rsidR="00587444" w:rsidRPr="00587444" w:rsidRDefault="00587444" w:rsidP="00587444">
      <w:pPr>
        <w:keepNext/>
        <w:tabs>
          <w:tab w:val="left" w:pos="567"/>
        </w:tabs>
        <w:suppressAutoHyphens w:val="0"/>
        <w:autoSpaceDN/>
        <w:jc w:val="both"/>
        <w:rPr>
          <w:rFonts w:ascii="Arial" w:hAnsi="Arial" w:cs="Arial"/>
          <w:bCs/>
          <w:sz w:val="20"/>
          <w:szCs w:val="20"/>
          <w:highlight w:val="yellow"/>
        </w:rPr>
      </w:pPr>
      <w:r w:rsidRPr="00587444">
        <w:rPr>
          <w:rFonts w:ascii="Arial" w:hAnsi="Arial" w:cs="Arial"/>
          <w:bCs/>
          <w:sz w:val="20"/>
          <w:szCs w:val="20"/>
        </w:rPr>
        <w:t>a)</w:t>
      </w:r>
      <w:r w:rsidRPr="00587444">
        <w:rPr>
          <w:rFonts w:ascii="Arial" w:hAnsi="Arial" w:cs="Arial"/>
          <w:bCs/>
          <w:sz w:val="20"/>
          <w:szCs w:val="20"/>
        </w:rPr>
        <w:tab/>
      </w:r>
      <w:r w:rsidRPr="00587444">
        <w:rPr>
          <w:rFonts w:ascii="Arial" w:hAnsi="Arial" w:cs="Arial"/>
          <w:sz w:val="20"/>
          <w:szCs w:val="20"/>
        </w:rPr>
        <w:t>Related-party transactions</w:t>
      </w:r>
      <w:r w:rsidRPr="00587444">
        <w:rPr>
          <w:rFonts w:ascii="Arial" w:hAnsi="Arial" w:cs="Arial"/>
          <w:bCs/>
          <w:sz w:val="20"/>
          <w:szCs w:val="20"/>
        </w:rPr>
        <w:t xml:space="preserve"> (continued)</w:t>
      </w:r>
    </w:p>
    <w:p w14:paraId="6C50FA3E" w14:textId="77777777" w:rsidR="00587444" w:rsidRPr="00587444" w:rsidRDefault="00587444" w:rsidP="00587444">
      <w:pPr>
        <w:keepNext/>
        <w:suppressAutoHyphens w:val="0"/>
        <w:autoSpaceDN/>
        <w:jc w:val="both"/>
        <w:rPr>
          <w:rFonts w:ascii="Arial" w:hAnsi="Arial" w:cs="Arial"/>
          <w:bCs/>
          <w:sz w:val="20"/>
          <w:szCs w:val="20"/>
          <w:highlight w:val="yellow"/>
        </w:rPr>
      </w:pPr>
    </w:p>
    <w:p w14:paraId="799D14A1" w14:textId="77777777" w:rsidR="00587444" w:rsidRPr="00587444" w:rsidRDefault="00587444" w:rsidP="00587444">
      <w:pPr>
        <w:tabs>
          <w:tab w:val="left" w:pos="426"/>
        </w:tabs>
        <w:suppressAutoHyphens w:val="0"/>
        <w:autoSpaceDN/>
        <w:jc w:val="both"/>
        <w:rPr>
          <w:rFonts w:ascii="Arial" w:hAnsi="Arial" w:cs="Arial"/>
          <w:sz w:val="20"/>
          <w:szCs w:val="20"/>
        </w:rPr>
      </w:pPr>
    </w:p>
    <w:tbl>
      <w:tblPr>
        <w:tblW w:w="4886" w:type="pct"/>
        <w:jc w:val="center"/>
        <w:tblLayout w:type="fixed"/>
        <w:tblCellMar>
          <w:left w:w="113" w:type="dxa"/>
          <w:right w:w="85" w:type="dxa"/>
        </w:tblCellMar>
        <w:tblLook w:val="00A0" w:firstRow="1" w:lastRow="0" w:firstColumn="1" w:lastColumn="0" w:noHBand="0" w:noVBand="0"/>
      </w:tblPr>
      <w:tblGrid>
        <w:gridCol w:w="3814"/>
        <w:gridCol w:w="1386"/>
        <w:gridCol w:w="16"/>
        <w:gridCol w:w="1370"/>
        <w:gridCol w:w="1368"/>
        <w:gridCol w:w="6"/>
        <w:gridCol w:w="1375"/>
      </w:tblGrid>
      <w:tr w:rsidR="00587444" w:rsidRPr="00587444" w14:paraId="3A6A0001" w14:textId="77777777" w:rsidTr="00DD69E7">
        <w:trPr>
          <w:trHeight w:val="19"/>
          <w:jc w:val="center"/>
        </w:trPr>
        <w:tc>
          <w:tcPr>
            <w:tcW w:w="3734" w:type="dxa"/>
            <w:vAlign w:val="bottom"/>
          </w:tcPr>
          <w:p w14:paraId="1A2D6B49"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988" w:name="_Toc4060344"/>
            <w:r w:rsidRPr="00587444">
              <w:rPr>
                <w:rFonts w:ascii="Arial" w:hAnsi="Arial" w:cs="Arial"/>
                <w:b/>
                <w:sz w:val="18"/>
                <w:szCs w:val="18"/>
              </w:rPr>
              <w:t>Bank</w:t>
            </w:r>
            <w:bookmarkEnd w:id="988"/>
          </w:p>
        </w:tc>
        <w:tc>
          <w:tcPr>
            <w:tcW w:w="1357" w:type="dxa"/>
            <w:vAlign w:val="bottom"/>
          </w:tcPr>
          <w:p w14:paraId="5B79A0AA"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989" w:name="_Toc4060345"/>
            <w:r w:rsidRPr="00587444">
              <w:rPr>
                <w:rFonts w:ascii="Arial" w:hAnsi="Arial" w:cs="Arial"/>
                <w:b/>
                <w:bCs/>
                <w:iCs/>
                <w:sz w:val="18"/>
                <w:szCs w:val="18"/>
              </w:rPr>
              <w:t>Assets</w:t>
            </w:r>
            <w:bookmarkEnd w:id="989"/>
          </w:p>
        </w:tc>
        <w:tc>
          <w:tcPr>
            <w:tcW w:w="1358" w:type="dxa"/>
            <w:gridSpan w:val="2"/>
            <w:vAlign w:val="bottom"/>
          </w:tcPr>
          <w:p w14:paraId="64158F18"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990" w:name="_Toc4060346"/>
            <w:r w:rsidRPr="00587444">
              <w:rPr>
                <w:rFonts w:ascii="Arial" w:hAnsi="Arial" w:cs="Arial"/>
                <w:b/>
                <w:bCs/>
                <w:iCs/>
                <w:sz w:val="18"/>
                <w:szCs w:val="18"/>
              </w:rPr>
              <w:t>Liabilities</w:t>
            </w:r>
            <w:bookmarkEnd w:id="990"/>
          </w:p>
        </w:tc>
        <w:tc>
          <w:tcPr>
            <w:tcW w:w="1346" w:type="dxa"/>
            <w:gridSpan w:val="2"/>
            <w:vAlign w:val="bottom"/>
          </w:tcPr>
          <w:p w14:paraId="2A1F76CB"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991" w:name="_Toc4060347"/>
            <w:r w:rsidRPr="00587444">
              <w:rPr>
                <w:rFonts w:ascii="Arial" w:hAnsi="Arial" w:cs="Arial"/>
                <w:b/>
                <w:bCs/>
                <w:iCs/>
                <w:sz w:val="18"/>
                <w:szCs w:val="18"/>
              </w:rPr>
              <w:t>Assets</w:t>
            </w:r>
            <w:bookmarkEnd w:id="991"/>
          </w:p>
        </w:tc>
        <w:tc>
          <w:tcPr>
            <w:tcW w:w="1347" w:type="dxa"/>
            <w:vAlign w:val="bottom"/>
          </w:tcPr>
          <w:p w14:paraId="141D12E1"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992" w:name="_Toc4060348"/>
            <w:r w:rsidRPr="00587444">
              <w:rPr>
                <w:rFonts w:ascii="Arial" w:hAnsi="Arial" w:cs="Arial"/>
                <w:b/>
                <w:bCs/>
                <w:iCs/>
                <w:sz w:val="18"/>
                <w:szCs w:val="18"/>
              </w:rPr>
              <w:t>Liabilities</w:t>
            </w:r>
            <w:bookmarkEnd w:id="992"/>
          </w:p>
        </w:tc>
      </w:tr>
      <w:tr w:rsidR="00587444" w:rsidRPr="00587444" w14:paraId="6CA7C0DB" w14:textId="77777777" w:rsidTr="00DD69E7">
        <w:trPr>
          <w:trHeight w:val="630"/>
          <w:jc w:val="center"/>
        </w:trPr>
        <w:tc>
          <w:tcPr>
            <w:tcW w:w="3734" w:type="dxa"/>
            <w:vAlign w:val="bottom"/>
          </w:tcPr>
          <w:p w14:paraId="0F8EFE08" w14:textId="77777777" w:rsidR="00587444" w:rsidRPr="00587444" w:rsidRDefault="00587444" w:rsidP="00587444">
            <w:pPr>
              <w:tabs>
                <w:tab w:val="right" w:pos="1202"/>
              </w:tabs>
              <w:suppressAutoHyphens w:val="0"/>
              <w:autoSpaceDN/>
              <w:outlineLvl w:val="0"/>
              <w:rPr>
                <w:rFonts w:ascii="Arial" w:hAnsi="Arial" w:cs="Arial"/>
                <w:sz w:val="18"/>
                <w:szCs w:val="18"/>
              </w:rPr>
            </w:pPr>
          </w:p>
        </w:tc>
        <w:tc>
          <w:tcPr>
            <w:tcW w:w="1373" w:type="dxa"/>
            <w:gridSpan w:val="2"/>
            <w:vAlign w:val="center"/>
          </w:tcPr>
          <w:p w14:paraId="7BB4404F"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993" w:name="_Toc4060349"/>
            <w:r w:rsidRPr="00587444">
              <w:rPr>
                <w:rFonts w:ascii="Arial" w:hAnsi="Arial" w:cs="Arial"/>
                <w:b/>
                <w:bCs/>
                <w:sz w:val="18"/>
                <w:szCs w:val="18"/>
              </w:rPr>
              <w:t>31 December 202</w:t>
            </w:r>
            <w:bookmarkEnd w:id="993"/>
            <w:r w:rsidRPr="00587444">
              <w:rPr>
                <w:rFonts w:ascii="Arial" w:hAnsi="Arial" w:cs="Arial"/>
                <w:b/>
                <w:bCs/>
                <w:sz w:val="18"/>
                <w:szCs w:val="18"/>
              </w:rPr>
              <w:t>2</w:t>
            </w:r>
          </w:p>
        </w:tc>
        <w:tc>
          <w:tcPr>
            <w:tcW w:w="1342" w:type="dxa"/>
            <w:vAlign w:val="center"/>
          </w:tcPr>
          <w:p w14:paraId="4D141ADF"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994" w:name="_Toc4060350"/>
            <w:r w:rsidRPr="00587444">
              <w:rPr>
                <w:rFonts w:ascii="Arial" w:hAnsi="Arial" w:cs="Arial"/>
                <w:b/>
                <w:bCs/>
                <w:sz w:val="18"/>
                <w:szCs w:val="18"/>
              </w:rPr>
              <w:t>31 December 202</w:t>
            </w:r>
            <w:bookmarkEnd w:id="994"/>
            <w:r w:rsidRPr="00587444">
              <w:rPr>
                <w:rFonts w:ascii="Arial" w:hAnsi="Arial" w:cs="Arial"/>
                <w:b/>
                <w:bCs/>
                <w:sz w:val="18"/>
                <w:szCs w:val="18"/>
              </w:rPr>
              <w:t>2</w:t>
            </w:r>
          </w:p>
        </w:tc>
        <w:tc>
          <w:tcPr>
            <w:tcW w:w="1340" w:type="dxa"/>
            <w:vAlign w:val="center"/>
          </w:tcPr>
          <w:p w14:paraId="1757C6BD"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r w:rsidRPr="00587444">
              <w:rPr>
                <w:rFonts w:ascii="Arial" w:hAnsi="Arial" w:cs="Arial"/>
                <w:b/>
                <w:bCs/>
                <w:sz w:val="18"/>
                <w:szCs w:val="18"/>
              </w:rPr>
              <w:t>31 December 2021</w:t>
            </w:r>
          </w:p>
        </w:tc>
        <w:tc>
          <w:tcPr>
            <w:tcW w:w="1353" w:type="dxa"/>
            <w:gridSpan w:val="2"/>
            <w:vAlign w:val="center"/>
          </w:tcPr>
          <w:p w14:paraId="1D6FFF74"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r w:rsidRPr="00587444">
              <w:rPr>
                <w:rFonts w:ascii="Arial" w:hAnsi="Arial" w:cs="Arial"/>
                <w:b/>
                <w:bCs/>
                <w:sz w:val="18"/>
                <w:szCs w:val="18"/>
              </w:rPr>
              <w:t>31 December 2021</w:t>
            </w:r>
          </w:p>
        </w:tc>
      </w:tr>
      <w:tr w:rsidR="00587444" w:rsidRPr="00587444" w14:paraId="4687109C" w14:textId="77777777" w:rsidTr="00DD69E7">
        <w:trPr>
          <w:trHeight w:val="323"/>
          <w:jc w:val="center"/>
        </w:trPr>
        <w:tc>
          <w:tcPr>
            <w:tcW w:w="3734" w:type="dxa"/>
            <w:vAlign w:val="bottom"/>
          </w:tcPr>
          <w:p w14:paraId="7A9E88D7" w14:textId="77777777" w:rsidR="00587444" w:rsidRPr="00587444" w:rsidRDefault="00587444" w:rsidP="00587444">
            <w:pPr>
              <w:tabs>
                <w:tab w:val="right" w:pos="1202"/>
              </w:tabs>
              <w:suppressAutoHyphens w:val="0"/>
              <w:autoSpaceDN/>
              <w:outlineLvl w:val="0"/>
              <w:rPr>
                <w:rFonts w:ascii="Arial" w:hAnsi="Arial" w:cs="Arial"/>
                <w:sz w:val="18"/>
                <w:szCs w:val="18"/>
              </w:rPr>
            </w:pPr>
          </w:p>
        </w:tc>
        <w:tc>
          <w:tcPr>
            <w:tcW w:w="1373" w:type="dxa"/>
            <w:gridSpan w:val="2"/>
            <w:vAlign w:val="bottom"/>
          </w:tcPr>
          <w:p w14:paraId="2EF4A6E7"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bookmarkStart w:id="995" w:name="_Toc4060353"/>
            <w:r w:rsidRPr="00587444">
              <w:rPr>
                <w:rFonts w:ascii="Arial" w:hAnsi="Arial" w:cs="Arial"/>
                <w:b/>
                <w:sz w:val="18"/>
                <w:szCs w:val="18"/>
              </w:rPr>
              <w:t>HRK ‘000</w:t>
            </w:r>
            <w:bookmarkEnd w:id="995"/>
          </w:p>
        </w:tc>
        <w:tc>
          <w:tcPr>
            <w:tcW w:w="1342" w:type="dxa"/>
            <w:vAlign w:val="bottom"/>
          </w:tcPr>
          <w:p w14:paraId="7AB3BD10"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bookmarkStart w:id="996" w:name="_Toc4060354"/>
            <w:r w:rsidRPr="00587444">
              <w:rPr>
                <w:rFonts w:ascii="Arial" w:hAnsi="Arial" w:cs="Arial"/>
                <w:b/>
                <w:bCs/>
                <w:sz w:val="18"/>
                <w:szCs w:val="18"/>
              </w:rPr>
              <w:t>HRK ‘000</w:t>
            </w:r>
            <w:bookmarkEnd w:id="996"/>
          </w:p>
        </w:tc>
        <w:tc>
          <w:tcPr>
            <w:tcW w:w="1340" w:type="dxa"/>
            <w:vAlign w:val="bottom"/>
          </w:tcPr>
          <w:p w14:paraId="5C690426"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r w:rsidRPr="00587444">
              <w:rPr>
                <w:rFonts w:ascii="Arial" w:hAnsi="Arial" w:cs="Arial"/>
                <w:b/>
                <w:sz w:val="18"/>
                <w:szCs w:val="18"/>
              </w:rPr>
              <w:t>HRK ‘000</w:t>
            </w:r>
          </w:p>
        </w:tc>
        <w:tc>
          <w:tcPr>
            <w:tcW w:w="1353" w:type="dxa"/>
            <w:gridSpan w:val="2"/>
            <w:vAlign w:val="bottom"/>
          </w:tcPr>
          <w:p w14:paraId="43D11107"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r w:rsidRPr="00587444">
              <w:rPr>
                <w:rFonts w:ascii="Arial" w:hAnsi="Arial" w:cs="Arial"/>
                <w:b/>
                <w:bCs/>
                <w:sz w:val="18"/>
                <w:szCs w:val="18"/>
              </w:rPr>
              <w:t>HRK ‘000</w:t>
            </w:r>
          </w:p>
        </w:tc>
      </w:tr>
      <w:tr w:rsidR="00587444" w:rsidRPr="00587444" w14:paraId="2EADC71A" w14:textId="77777777" w:rsidTr="00DD69E7">
        <w:trPr>
          <w:trHeight w:val="369"/>
          <w:jc w:val="center"/>
        </w:trPr>
        <w:tc>
          <w:tcPr>
            <w:tcW w:w="3734" w:type="dxa"/>
            <w:vAlign w:val="bottom"/>
          </w:tcPr>
          <w:p w14:paraId="46950D0F"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997" w:name="_Toc4060357"/>
            <w:r w:rsidRPr="00587444">
              <w:rPr>
                <w:rFonts w:ascii="Arial" w:hAnsi="Arial" w:cs="Arial"/>
                <w:sz w:val="18"/>
                <w:szCs w:val="18"/>
              </w:rPr>
              <w:t>Owner</w:t>
            </w:r>
            <w:bookmarkEnd w:id="997"/>
          </w:p>
        </w:tc>
        <w:tc>
          <w:tcPr>
            <w:tcW w:w="1373" w:type="dxa"/>
            <w:gridSpan w:val="2"/>
            <w:shd w:val="clear" w:color="auto" w:fill="auto"/>
            <w:vAlign w:val="bottom"/>
          </w:tcPr>
          <w:p w14:paraId="5F22D0DD"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color w:val="000000"/>
                <w:sz w:val="18"/>
                <w:szCs w:val="18"/>
              </w:rPr>
              <w:t>3,123,836</w:t>
            </w:r>
          </w:p>
        </w:tc>
        <w:tc>
          <w:tcPr>
            <w:tcW w:w="1342" w:type="dxa"/>
            <w:shd w:val="clear" w:color="auto" w:fill="auto"/>
            <w:vAlign w:val="bottom"/>
          </w:tcPr>
          <w:p w14:paraId="55B39503"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color w:val="000000"/>
                <w:sz w:val="18"/>
                <w:szCs w:val="18"/>
              </w:rPr>
              <w:t>3,511,639</w:t>
            </w:r>
          </w:p>
        </w:tc>
        <w:tc>
          <w:tcPr>
            <w:tcW w:w="1340" w:type="dxa"/>
            <w:shd w:val="clear" w:color="auto" w:fill="auto"/>
            <w:vAlign w:val="bottom"/>
          </w:tcPr>
          <w:p w14:paraId="65686F0D"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3,348,080</w:t>
            </w:r>
          </w:p>
        </w:tc>
        <w:tc>
          <w:tcPr>
            <w:tcW w:w="1353" w:type="dxa"/>
            <w:gridSpan w:val="2"/>
            <w:shd w:val="clear" w:color="auto" w:fill="auto"/>
            <w:vAlign w:val="bottom"/>
          </w:tcPr>
          <w:p w14:paraId="72793331"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1,853,263</w:t>
            </w:r>
          </w:p>
        </w:tc>
      </w:tr>
      <w:tr w:rsidR="00587444" w:rsidRPr="00587444" w14:paraId="48A82E12" w14:textId="77777777" w:rsidTr="00DD69E7">
        <w:trPr>
          <w:trHeight w:val="19"/>
          <w:jc w:val="center"/>
        </w:trPr>
        <w:tc>
          <w:tcPr>
            <w:tcW w:w="3734" w:type="dxa"/>
            <w:vAlign w:val="bottom"/>
          </w:tcPr>
          <w:p w14:paraId="5BBC044A"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998" w:name="_Toc4060362"/>
            <w:r w:rsidRPr="00587444">
              <w:rPr>
                <w:rFonts w:ascii="Arial" w:hAnsi="Arial" w:cs="Arial"/>
                <w:sz w:val="18"/>
                <w:szCs w:val="18"/>
              </w:rPr>
              <w:t xml:space="preserve">Government funds, executive </w:t>
            </w:r>
            <w:proofErr w:type="gramStart"/>
            <w:r w:rsidRPr="00587444">
              <w:rPr>
                <w:rFonts w:ascii="Arial" w:hAnsi="Arial" w:cs="Arial"/>
                <w:sz w:val="18"/>
                <w:szCs w:val="18"/>
              </w:rPr>
              <w:t>authorities</w:t>
            </w:r>
            <w:proofErr w:type="gramEnd"/>
            <w:r w:rsidRPr="00587444">
              <w:rPr>
                <w:rFonts w:ascii="Arial" w:hAnsi="Arial" w:cs="Arial"/>
                <w:sz w:val="18"/>
                <w:szCs w:val="18"/>
              </w:rPr>
              <w:t xml:space="preserve"> and agencies</w:t>
            </w:r>
            <w:bookmarkEnd w:id="998"/>
          </w:p>
        </w:tc>
        <w:tc>
          <w:tcPr>
            <w:tcW w:w="1373" w:type="dxa"/>
            <w:gridSpan w:val="2"/>
            <w:shd w:val="clear" w:color="auto" w:fill="auto"/>
            <w:vAlign w:val="bottom"/>
          </w:tcPr>
          <w:p w14:paraId="56FD6E89"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color w:val="000000"/>
                <w:sz w:val="18"/>
                <w:szCs w:val="18"/>
              </w:rPr>
              <w:t>4,812,668</w:t>
            </w:r>
          </w:p>
        </w:tc>
        <w:tc>
          <w:tcPr>
            <w:tcW w:w="1342" w:type="dxa"/>
            <w:shd w:val="clear" w:color="auto" w:fill="auto"/>
            <w:vAlign w:val="bottom"/>
          </w:tcPr>
          <w:p w14:paraId="53866DF0"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color w:val="000000"/>
                <w:sz w:val="18"/>
                <w:szCs w:val="18"/>
              </w:rPr>
              <w:t>236,690</w:t>
            </w:r>
          </w:p>
        </w:tc>
        <w:tc>
          <w:tcPr>
            <w:tcW w:w="1340" w:type="dxa"/>
            <w:shd w:val="clear" w:color="auto" w:fill="auto"/>
            <w:vAlign w:val="bottom"/>
          </w:tcPr>
          <w:p w14:paraId="673466CD"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4,563,167</w:t>
            </w:r>
          </w:p>
        </w:tc>
        <w:tc>
          <w:tcPr>
            <w:tcW w:w="1353" w:type="dxa"/>
            <w:gridSpan w:val="2"/>
            <w:shd w:val="clear" w:color="auto" w:fill="auto"/>
            <w:vAlign w:val="bottom"/>
          </w:tcPr>
          <w:p w14:paraId="6058C5C6"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257,009</w:t>
            </w:r>
          </w:p>
        </w:tc>
      </w:tr>
      <w:tr w:rsidR="00587444" w:rsidRPr="00587444" w14:paraId="2D4BC185" w14:textId="77777777" w:rsidTr="00DD69E7">
        <w:trPr>
          <w:trHeight w:hRule="exact" w:val="284"/>
          <w:jc w:val="center"/>
        </w:trPr>
        <w:tc>
          <w:tcPr>
            <w:tcW w:w="3734" w:type="dxa"/>
            <w:vAlign w:val="bottom"/>
          </w:tcPr>
          <w:p w14:paraId="76FC4D04"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999" w:name="_Toc4060367"/>
            <w:r w:rsidRPr="00587444">
              <w:rPr>
                <w:rFonts w:ascii="Arial" w:hAnsi="Arial" w:cs="Arial"/>
                <w:sz w:val="18"/>
                <w:szCs w:val="18"/>
              </w:rPr>
              <w:t>State-owned companies</w:t>
            </w:r>
            <w:bookmarkEnd w:id="999"/>
          </w:p>
        </w:tc>
        <w:tc>
          <w:tcPr>
            <w:tcW w:w="1373" w:type="dxa"/>
            <w:gridSpan w:val="2"/>
            <w:shd w:val="clear" w:color="auto" w:fill="auto"/>
            <w:vAlign w:val="bottom"/>
          </w:tcPr>
          <w:p w14:paraId="4823828C"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color w:val="000000"/>
                <w:sz w:val="18"/>
                <w:szCs w:val="18"/>
              </w:rPr>
              <w:t>1,645,654</w:t>
            </w:r>
          </w:p>
        </w:tc>
        <w:tc>
          <w:tcPr>
            <w:tcW w:w="1342" w:type="dxa"/>
            <w:shd w:val="clear" w:color="auto" w:fill="auto"/>
            <w:vAlign w:val="bottom"/>
          </w:tcPr>
          <w:p w14:paraId="15540483"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color w:val="000000"/>
                <w:sz w:val="18"/>
                <w:szCs w:val="18"/>
              </w:rPr>
              <w:t>5,969</w:t>
            </w:r>
          </w:p>
        </w:tc>
        <w:tc>
          <w:tcPr>
            <w:tcW w:w="1340" w:type="dxa"/>
            <w:shd w:val="clear" w:color="auto" w:fill="auto"/>
            <w:vAlign w:val="bottom"/>
          </w:tcPr>
          <w:p w14:paraId="533DCC49"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914,412</w:t>
            </w:r>
          </w:p>
        </w:tc>
        <w:tc>
          <w:tcPr>
            <w:tcW w:w="1353" w:type="dxa"/>
            <w:gridSpan w:val="2"/>
            <w:shd w:val="clear" w:color="auto" w:fill="auto"/>
            <w:vAlign w:val="bottom"/>
          </w:tcPr>
          <w:p w14:paraId="04D2FD4A"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54</w:t>
            </w:r>
          </w:p>
        </w:tc>
      </w:tr>
      <w:tr w:rsidR="00587444" w:rsidRPr="00587444" w14:paraId="7710296B" w14:textId="77777777" w:rsidTr="00DD69E7">
        <w:trPr>
          <w:trHeight w:hRule="exact" w:val="284"/>
          <w:jc w:val="center"/>
        </w:trPr>
        <w:tc>
          <w:tcPr>
            <w:tcW w:w="3734" w:type="dxa"/>
            <w:vAlign w:val="bottom"/>
          </w:tcPr>
          <w:p w14:paraId="4E4BE9A7"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1000" w:name="_Toc4060372"/>
            <w:r w:rsidRPr="00587444">
              <w:rPr>
                <w:rFonts w:ascii="Arial" w:hAnsi="Arial" w:cs="Arial"/>
                <w:sz w:val="18"/>
                <w:szCs w:val="18"/>
              </w:rPr>
              <w:t>Subsidiary companies</w:t>
            </w:r>
            <w:bookmarkEnd w:id="1000"/>
          </w:p>
        </w:tc>
        <w:tc>
          <w:tcPr>
            <w:tcW w:w="1373" w:type="dxa"/>
            <w:gridSpan w:val="2"/>
            <w:shd w:val="clear" w:color="auto" w:fill="auto"/>
            <w:vAlign w:val="bottom"/>
          </w:tcPr>
          <w:p w14:paraId="514F7971"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bCs/>
                <w:iCs/>
                <w:sz w:val="18"/>
                <w:szCs w:val="18"/>
              </w:rPr>
            </w:pPr>
            <w:r w:rsidRPr="00587444">
              <w:rPr>
                <w:rFonts w:ascii="Arial" w:hAnsi="Arial" w:cs="Arial"/>
                <w:color w:val="000000"/>
                <w:sz w:val="18"/>
                <w:szCs w:val="18"/>
              </w:rPr>
              <w:t>56,124</w:t>
            </w:r>
          </w:p>
        </w:tc>
        <w:tc>
          <w:tcPr>
            <w:tcW w:w="1342" w:type="dxa"/>
            <w:shd w:val="clear" w:color="auto" w:fill="auto"/>
            <w:vAlign w:val="bottom"/>
          </w:tcPr>
          <w:p w14:paraId="70F2D2B8"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color w:val="000000"/>
                <w:sz w:val="18"/>
                <w:szCs w:val="18"/>
              </w:rPr>
              <w:t>-</w:t>
            </w:r>
          </w:p>
        </w:tc>
        <w:tc>
          <w:tcPr>
            <w:tcW w:w="1340" w:type="dxa"/>
            <w:shd w:val="clear" w:color="auto" w:fill="auto"/>
            <w:vAlign w:val="bottom"/>
          </w:tcPr>
          <w:p w14:paraId="2E8AC18C"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36,124</w:t>
            </w:r>
          </w:p>
        </w:tc>
        <w:tc>
          <w:tcPr>
            <w:tcW w:w="1353" w:type="dxa"/>
            <w:gridSpan w:val="2"/>
            <w:shd w:val="clear" w:color="auto" w:fill="auto"/>
            <w:vAlign w:val="bottom"/>
          </w:tcPr>
          <w:p w14:paraId="1C2FF67F"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w:t>
            </w:r>
          </w:p>
        </w:tc>
      </w:tr>
      <w:tr w:rsidR="00587444" w:rsidRPr="00587444" w14:paraId="4484307C" w14:textId="77777777" w:rsidTr="00DD69E7">
        <w:trPr>
          <w:trHeight w:hRule="exact" w:val="284"/>
          <w:jc w:val="center"/>
        </w:trPr>
        <w:tc>
          <w:tcPr>
            <w:tcW w:w="3734" w:type="dxa"/>
            <w:vAlign w:val="bottom"/>
          </w:tcPr>
          <w:p w14:paraId="4211F26B" w14:textId="77777777" w:rsidR="00587444" w:rsidRPr="00587444" w:rsidRDefault="00587444" w:rsidP="00587444">
            <w:pPr>
              <w:tabs>
                <w:tab w:val="right" w:pos="1202"/>
              </w:tabs>
              <w:suppressAutoHyphens w:val="0"/>
              <w:autoSpaceDN/>
              <w:outlineLvl w:val="0"/>
              <w:rPr>
                <w:rFonts w:ascii="Arial" w:hAnsi="Arial" w:cs="Arial"/>
                <w:bCs/>
                <w:sz w:val="18"/>
                <w:szCs w:val="18"/>
              </w:rPr>
            </w:pPr>
            <w:bookmarkStart w:id="1001" w:name="_Toc4060377"/>
            <w:r w:rsidRPr="00587444">
              <w:rPr>
                <w:rFonts w:ascii="Arial" w:hAnsi="Arial" w:cs="Arial"/>
                <w:sz w:val="18"/>
                <w:szCs w:val="18"/>
              </w:rPr>
              <w:t>Associates</w:t>
            </w:r>
            <w:bookmarkEnd w:id="1001"/>
          </w:p>
        </w:tc>
        <w:tc>
          <w:tcPr>
            <w:tcW w:w="1373" w:type="dxa"/>
            <w:gridSpan w:val="2"/>
            <w:shd w:val="clear" w:color="auto" w:fill="auto"/>
            <w:vAlign w:val="bottom"/>
          </w:tcPr>
          <w:p w14:paraId="458DD926"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color w:val="000000"/>
                <w:sz w:val="18"/>
                <w:szCs w:val="18"/>
              </w:rPr>
              <w:t>-</w:t>
            </w:r>
          </w:p>
        </w:tc>
        <w:tc>
          <w:tcPr>
            <w:tcW w:w="1342" w:type="dxa"/>
            <w:shd w:val="clear" w:color="auto" w:fill="auto"/>
            <w:vAlign w:val="bottom"/>
          </w:tcPr>
          <w:p w14:paraId="6DD05E52"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hAnsi="Arial" w:cs="Arial"/>
                <w:color w:val="000000"/>
                <w:sz w:val="18"/>
                <w:szCs w:val="18"/>
              </w:rPr>
              <w:t>-</w:t>
            </w:r>
          </w:p>
        </w:tc>
        <w:tc>
          <w:tcPr>
            <w:tcW w:w="1340" w:type="dxa"/>
            <w:shd w:val="clear" w:color="auto" w:fill="auto"/>
            <w:vAlign w:val="bottom"/>
          </w:tcPr>
          <w:p w14:paraId="6DBF4F9F"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7</w:t>
            </w:r>
          </w:p>
        </w:tc>
        <w:tc>
          <w:tcPr>
            <w:tcW w:w="1353" w:type="dxa"/>
            <w:gridSpan w:val="2"/>
            <w:shd w:val="clear" w:color="auto" w:fill="auto"/>
            <w:vAlign w:val="bottom"/>
          </w:tcPr>
          <w:p w14:paraId="5F5E6CE3"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w:t>
            </w:r>
          </w:p>
        </w:tc>
      </w:tr>
      <w:tr w:rsidR="00587444" w:rsidRPr="00587444" w14:paraId="549D2795" w14:textId="77777777" w:rsidTr="00DD69E7">
        <w:trPr>
          <w:trHeight w:hRule="exact" w:val="284"/>
          <w:jc w:val="center"/>
        </w:trPr>
        <w:tc>
          <w:tcPr>
            <w:tcW w:w="3734" w:type="dxa"/>
            <w:vAlign w:val="bottom"/>
          </w:tcPr>
          <w:p w14:paraId="1E44CDBB" w14:textId="77777777" w:rsidR="00587444" w:rsidRPr="00587444" w:rsidRDefault="00587444" w:rsidP="00587444">
            <w:pPr>
              <w:tabs>
                <w:tab w:val="right" w:pos="1202"/>
              </w:tabs>
              <w:suppressAutoHyphens w:val="0"/>
              <w:autoSpaceDN/>
              <w:outlineLvl w:val="0"/>
              <w:rPr>
                <w:rFonts w:ascii="Arial" w:hAnsi="Arial" w:cs="Arial"/>
                <w:bCs/>
                <w:sz w:val="18"/>
                <w:szCs w:val="18"/>
              </w:rPr>
            </w:pPr>
            <w:bookmarkStart w:id="1002" w:name="_Toc4060382"/>
            <w:r w:rsidRPr="00587444">
              <w:rPr>
                <w:rFonts w:ascii="Arial" w:hAnsi="Arial" w:cs="Arial"/>
                <w:bCs/>
                <w:sz w:val="18"/>
                <w:szCs w:val="18"/>
              </w:rPr>
              <w:t>Key management personnel</w:t>
            </w:r>
            <w:bookmarkEnd w:id="1002"/>
          </w:p>
        </w:tc>
        <w:tc>
          <w:tcPr>
            <w:tcW w:w="1373" w:type="dxa"/>
            <w:gridSpan w:val="2"/>
            <w:tcBorders>
              <w:bottom w:val="single" w:sz="4" w:space="0" w:color="000000"/>
            </w:tcBorders>
            <w:shd w:val="clear" w:color="auto" w:fill="auto"/>
            <w:vAlign w:val="bottom"/>
          </w:tcPr>
          <w:p w14:paraId="509539C0"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eastAsia="Calibri" w:hAnsi="Arial" w:cs="Arial"/>
                <w:bCs/>
                <w:iCs/>
                <w:color w:val="000000"/>
                <w:sz w:val="18"/>
                <w:szCs w:val="18"/>
              </w:rPr>
              <w:t>2,292</w:t>
            </w:r>
          </w:p>
        </w:tc>
        <w:tc>
          <w:tcPr>
            <w:tcW w:w="1342" w:type="dxa"/>
            <w:tcBorders>
              <w:bottom w:val="single" w:sz="4" w:space="0" w:color="000000"/>
            </w:tcBorders>
            <w:shd w:val="clear" w:color="auto" w:fill="auto"/>
            <w:vAlign w:val="bottom"/>
          </w:tcPr>
          <w:p w14:paraId="07D56B25" w14:textId="77777777" w:rsidR="00587444" w:rsidRPr="00587444" w:rsidRDefault="00587444" w:rsidP="00587444">
            <w:pPr>
              <w:tabs>
                <w:tab w:val="right" w:pos="1202"/>
              </w:tabs>
              <w:suppressAutoHyphens w:val="0"/>
              <w:autoSpaceDN/>
              <w:jc w:val="right"/>
              <w:outlineLvl w:val="0"/>
              <w:rPr>
                <w:rFonts w:ascii="Arial" w:hAnsi="Arial" w:cs="Arial"/>
                <w:bCs/>
                <w:iCs/>
                <w:sz w:val="18"/>
                <w:szCs w:val="18"/>
              </w:rPr>
            </w:pPr>
            <w:r w:rsidRPr="00587444">
              <w:rPr>
                <w:rFonts w:ascii="Arial" w:eastAsia="Calibri" w:hAnsi="Arial" w:cs="Arial"/>
                <w:bCs/>
                <w:iCs/>
                <w:color w:val="000000"/>
                <w:sz w:val="18"/>
                <w:szCs w:val="18"/>
              </w:rPr>
              <w:t>2,646</w:t>
            </w:r>
          </w:p>
        </w:tc>
        <w:tc>
          <w:tcPr>
            <w:tcW w:w="1340" w:type="dxa"/>
            <w:tcBorders>
              <w:bottom w:val="single" w:sz="4" w:space="0" w:color="000000"/>
            </w:tcBorders>
            <w:shd w:val="clear" w:color="auto" w:fill="auto"/>
            <w:vAlign w:val="bottom"/>
          </w:tcPr>
          <w:p w14:paraId="217C2F9A"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3,393</w:t>
            </w:r>
          </w:p>
        </w:tc>
        <w:tc>
          <w:tcPr>
            <w:tcW w:w="1353" w:type="dxa"/>
            <w:gridSpan w:val="2"/>
            <w:tcBorders>
              <w:bottom w:val="single" w:sz="4" w:space="0" w:color="000000"/>
            </w:tcBorders>
            <w:shd w:val="clear" w:color="auto" w:fill="auto"/>
            <w:vAlign w:val="bottom"/>
          </w:tcPr>
          <w:p w14:paraId="343AF386"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rPr>
            </w:pPr>
            <w:r w:rsidRPr="00587444">
              <w:rPr>
                <w:rFonts w:ascii="Arial" w:hAnsi="Arial" w:cs="Arial"/>
                <w:color w:val="000000"/>
                <w:sz w:val="18"/>
                <w:szCs w:val="18"/>
              </w:rPr>
              <w:t>2,585</w:t>
            </w:r>
          </w:p>
        </w:tc>
      </w:tr>
      <w:tr w:rsidR="00587444" w:rsidRPr="00587444" w14:paraId="07AEB582" w14:textId="77777777" w:rsidTr="00DD69E7">
        <w:trPr>
          <w:trHeight w:hRule="exact" w:val="375"/>
          <w:jc w:val="center"/>
        </w:trPr>
        <w:tc>
          <w:tcPr>
            <w:tcW w:w="3734" w:type="dxa"/>
            <w:vAlign w:val="bottom"/>
          </w:tcPr>
          <w:p w14:paraId="2C04590B" w14:textId="77777777" w:rsidR="00587444" w:rsidRPr="00587444" w:rsidRDefault="00587444" w:rsidP="00587444">
            <w:pPr>
              <w:tabs>
                <w:tab w:val="right" w:pos="1202"/>
              </w:tabs>
              <w:suppressAutoHyphens w:val="0"/>
              <w:autoSpaceDN/>
              <w:outlineLvl w:val="0"/>
              <w:rPr>
                <w:rFonts w:ascii="Arial" w:hAnsi="Arial" w:cs="Arial"/>
                <w:b/>
                <w:sz w:val="18"/>
                <w:szCs w:val="18"/>
              </w:rPr>
            </w:pPr>
            <w:bookmarkStart w:id="1003" w:name="_Toc4060387"/>
            <w:r w:rsidRPr="00587444">
              <w:rPr>
                <w:rFonts w:ascii="Arial" w:hAnsi="Arial" w:cs="Arial"/>
                <w:b/>
                <w:sz w:val="18"/>
                <w:szCs w:val="18"/>
              </w:rPr>
              <w:t>Total</w:t>
            </w:r>
            <w:bookmarkEnd w:id="1003"/>
          </w:p>
        </w:tc>
        <w:tc>
          <w:tcPr>
            <w:tcW w:w="1373" w:type="dxa"/>
            <w:gridSpan w:val="2"/>
            <w:tcBorders>
              <w:top w:val="single" w:sz="4" w:space="0" w:color="auto"/>
              <w:bottom w:val="single" w:sz="12" w:space="0" w:color="auto"/>
              <w:right w:val="nil"/>
            </w:tcBorders>
            <w:shd w:val="clear" w:color="auto" w:fill="auto"/>
            <w:vAlign w:val="bottom"/>
          </w:tcPr>
          <w:p w14:paraId="3DD8D3A3"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r w:rsidRPr="00587444">
              <w:rPr>
                <w:rFonts w:ascii="Arial" w:hAnsi="Arial" w:cs="Arial"/>
                <w:b/>
                <w:color w:val="000000"/>
                <w:sz w:val="18"/>
                <w:szCs w:val="18"/>
                <w:lang w:val="hr-HR"/>
              </w:rPr>
              <w:t>9,640,574</w:t>
            </w:r>
          </w:p>
        </w:tc>
        <w:tc>
          <w:tcPr>
            <w:tcW w:w="1342" w:type="dxa"/>
            <w:tcBorders>
              <w:top w:val="single" w:sz="4" w:space="0" w:color="auto"/>
              <w:left w:val="nil"/>
              <w:bottom w:val="single" w:sz="12" w:space="0" w:color="auto"/>
              <w:right w:val="nil"/>
            </w:tcBorders>
            <w:shd w:val="clear" w:color="auto" w:fill="auto"/>
            <w:vAlign w:val="bottom"/>
          </w:tcPr>
          <w:p w14:paraId="423BE97C" w14:textId="77777777" w:rsidR="00587444" w:rsidRPr="00587444" w:rsidRDefault="00587444" w:rsidP="00587444">
            <w:pPr>
              <w:tabs>
                <w:tab w:val="right" w:pos="1202"/>
              </w:tabs>
              <w:suppressAutoHyphens w:val="0"/>
              <w:autoSpaceDN/>
              <w:jc w:val="right"/>
              <w:outlineLvl w:val="0"/>
              <w:rPr>
                <w:rFonts w:ascii="Arial" w:hAnsi="Arial" w:cs="Arial"/>
                <w:b/>
                <w:iCs/>
                <w:sz w:val="18"/>
                <w:szCs w:val="18"/>
              </w:rPr>
            </w:pPr>
            <w:r w:rsidRPr="00587444">
              <w:rPr>
                <w:rFonts w:ascii="Arial" w:hAnsi="Arial" w:cs="Arial"/>
                <w:b/>
                <w:color w:val="000000"/>
                <w:sz w:val="18"/>
                <w:szCs w:val="18"/>
                <w:lang w:val="hr-HR"/>
              </w:rPr>
              <w:t>3,756,944</w:t>
            </w:r>
          </w:p>
        </w:tc>
        <w:tc>
          <w:tcPr>
            <w:tcW w:w="1340" w:type="dxa"/>
            <w:tcBorders>
              <w:top w:val="single" w:sz="4" w:space="0" w:color="auto"/>
              <w:bottom w:val="single" w:sz="12" w:space="0" w:color="auto"/>
              <w:right w:val="nil"/>
            </w:tcBorders>
            <w:shd w:val="clear" w:color="auto" w:fill="auto"/>
            <w:vAlign w:val="bottom"/>
          </w:tcPr>
          <w:p w14:paraId="0F7908A6"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8"/>
                <w:szCs w:val="18"/>
              </w:rPr>
            </w:pPr>
            <w:r w:rsidRPr="00587444">
              <w:rPr>
                <w:rFonts w:ascii="Arial" w:hAnsi="Arial" w:cs="Arial"/>
                <w:b/>
                <w:color w:val="000000"/>
                <w:sz w:val="18"/>
                <w:szCs w:val="18"/>
              </w:rPr>
              <w:t>8,865,183</w:t>
            </w:r>
          </w:p>
        </w:tc>
        <w:tc>
          <w:tcPr>
            <w:tcW w:w="1353" w:type="dxa"/>
            <w:gridSpan w:val="2"/>
            <w:tcBorders>
              <w:top w:val="single" w:sz="4" w:space="0" w:color="auto"/>
              <w:left w:val="nil"/>
              <w:bottom w:val="single" w:sz="12" w:space="0" w:color="auto"/>
              <w:right w:val="nil"/>
            </w:tcBorders>
            <w:shd w:val="clear" w:color="auto" w:fill="auto"/>
            <w:vAlign w:val="bottom"/>
          </w:tcPr>
          <w:p w14:paraId="314D9089"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8"/>
                <w:szCs w:val="18"/>
              </w:rPr>
            </w:pPr>
            <w:r w:rsidRPr="00587444">
              <w:rPr>
                <w:rFonts w:ascii="Arial" w:hAnsi="Arial" w:cs="Arial"/>
                <w:b/>
                <w:color w:val="000000"/>
                <w:sz w:val="18"/>
                <w:szCs w:val="18"/>
              </w:rPr>
              <w:t>2,112,911</w:t>
            </w:r>
          </w:p>
        </w:tc>
      </w:tr>
    </w:tbl>
    <w:p w14:paraId="5475F89E" w14:textId="77777777" w:rsidR="00587444" w:rsidRPr="00587444" w:rsidRDefault="00587444" w:rsidP="00587444">
      <w:pPr>
        <w:suppressAutoHyphens w:val="0"/>
        <w:autoSpaceDN/>
        <w:jc w:val="both"/>
        <w:rPr>
          <w:rFonts w:ascii="Arial" w:hAnsi="Arial" w:cs="Arial"/>
          <w:b/>
          <w:sz w:val="20"/>
          <w:szCs w:val="20"/>
        </w:rPr>
      </w:pPr>
    </w:p>
    <w:p w14:paraId="4CCFAEAC" w14:textId="77777777" w:rsidR="00587444" w:rsidRPr="00587444" w:rsidRDefault="00587444" w:rsidP="00587444">
      <w:pPr>
        <w:suppressAutoHyphens w:val="0"/>
        <w:autoSpaceDN/>
        <w:jc w:val="both"/>
        <w:rPr>
          <w:rFonts w:ascii="Arial" w:hAnsi="Arial" w:cs="Arial"/>
          <w:b/>
          <w:sz w:val="20"/>
          <w:szCs w:val="20"/>
        </w:rPr>
      </w:pPr>
    </w:p>
    <w:tbl>
      <w:tblPr>
        <w:tblW w:w="4925" w:type="pct"/>
        <w:jc w:val="center"/>
        <w:tblLayout w:type="fixed"/>
        <w:tblCellMar>
          <w:left w:w="113" w:type="dxa"/>
          <w:right w:w="85" w:type="dxa"/>
        </w:tblCellMar>
        <w:tblLook w:val="00A0" w:firstRow="1" w:lastRow="0" w:firstColumn="1" w:lastColumn="0" w:noHBand="0" w:noVBand="0"/>
      </w:tblPr>
      <w:tblGrid>
        <w:gridCol w:w="3793"/>
        <w:gridCol w:w="1410"/>
        <w:gridCol w:w="16"/>
        <w:gridCol w:w="1394"/>
        <w:gridCol w:w="1360"/>
        <w:gridCol w:w="58"/>
        <w:gridCol w:w="1379"/>
      </w:tblGrid>
      <w:tr w:rsidR="00587444" w:rsidRPr="00587444" w14:paraId="3EDEC505" w14:textId="77777777" w:rsidTr="00DD69E7">
        <w:trPr>
          <w:trHeight w:val="14"/>
          <w:jc w:val="center"/>
        </w:trPr>
        <w:tc>
          <w:tcPr>
            <w:tcW w:w="3714" w:type="dxa"/>
            <w:vAlign w:val="bottom"/>
          </w:tcPr>
          <w:p w14:paraId="566CDE31"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1004" w:name="_Toc4060392"/>
            <w:r w:rsidRPr="00587444">
              <w:rPr>
                <w:rFonts w:ascii="Arial" w:hAnsi="Arial" w:cs="Arial"/>
                <w:b/>
                <w:sz w:val="18"/>
                <w:szCs w:val="18"/>
              </w:rPr>
              <w:t>Bank</w:t>
            </w:r>
            <w:bookmarkEnd w:id="1004"/>
          </w:p>
        </w:tc>
        <w:tc>
          <w:tcPr>
            <w:tcW w:w="1381" w:type="dxa"/>
            <w:vAlign w:val="bottom"/>
          </w:tcPr>
          <w:p w14:paraId="2994D23F"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1005" w:name="_Toc4060393"/>
            <w:r w:rsidRPr="00587444">
              <w:rPr>
                <w:rFonts w:ascii="Arial" w:hAnsi="Arial" w:cs="Arial"/>
                <w:b/>
                <w:bCs/>
                <w:iCs/>
                <w:sz w:val="18"/>
                <w:szCs w:val="18"/>
              </w:rPr>
              <w:t>Income</w:t>
            </w:r>
            <w:bookmarkEnd w:id="1005"/>
          </w:p>
        </w:tc>
        <w:tc>
          <w:tcPr>
            <w:tcW w:w="1381" w:type="dxa"/>
            <w:gridSpan w:val="2"/>
            <w:vAlign w:val="bottom"/>
          </w:tcPr>
          <w:p w14:paraId="4D528990"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1006" w:name="_Toc4060394"/>
            <w:r w:rsidRPr="00587444">
              <w:rPr>
                <w:rFonts w:ascii="Arial" w:hAnsi="Arial" w:cs="Arial"/>
                <w:b/>
                <w:bCs/>
                <w:iCs/>
                <w:sz w:val="18"/>
                <w:szCs w:val="18"/>
              </w:rPr>
              <w:t>Expense</w:t>
            </w:r>
            <w:bookmarkEnd w:id="1006"/>
          </w:p>
        </w:tc>
        <w:tc>
          <w:tcPr>
            <w:tcW w:w="1332" w:type="dxa"/>
            <w:vAlign w:val="bottom"/>
          </w:tcPr>
          <w:p w14:paraId="72742882"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1007" w:name="_Toc4060395"/>
            <w:r w:rsidRPr="00587444">
              <w:rPr>
                <w:rFonts w:ascii="Arial" w:hAnsi="Arial" w:cs="Arial"/>
                <w:b/>
                <w:bCs/>
                <w:iCs/>
                <w:sz w:val="18"/>
                <w:szCs w:val="18"/>
              </w:rPr>
              <w:t>Income</w:t>
            </w:r>
            <w:bookmarkEnd w:id="1007"/>
          </w:p>
        </w:tc>
        <w:tc>
          <w:tcPr>
            <w:tcW w:w="1407" w:type="dxa"/>
            <w:gridSpan w:val="2"/>
            <w:vAlign w:val="bottom"/>
          </w:tcPr>
          <w:p w14:paraId="6D430334"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1008" w:name="_Toc4060396"/>
            <w:r w:rsidRPr="00587444">
              <w:rPr>
                <w:rFonts w:ascii="Arial" w:hAnsi="Arial" w:cs="Arial"/>
                <w:b/>
                <w:bCs/>
                <w:iCs/>
                <w:sz w:val="18"/>
                <w:szCs w:val="18"/>
              </w:rPr>
              <w:t>Expense</w:t>
            </w:r>
            <w:bookmarkEnd w:id="1008"/>
          </w:p>
        </w:tc>
      </w:tr>
      <w:tr w:rsidR="00587444" w:rsidRPr="00587444" w14:paraId="79269FFF" w14:textId="77777777" w:rsidTr="00DD69E7">
        <w:trPr>
          <w:trHeight w:hRule="exact" w:val="622"/>
          <w:jc w:val="center"/>
        </w:trPr>
        <w:tc>
          <w:tcPr>
            <w:tcW w:w="3714" w:type="dxa"/>
            <w:vAlign w:val="bottom"/>
          </w:tcPr>
          <w:p w14:paraId="033936A6" w14:textId="77777777" w:rsidR="00587444" w:rsidRPr="00587444" w:rsidRDefault="00587444" w:rsidP="00587444">
            <w:pPr>
              <w:tabs>
                <w:tab w:val="right" w:pos="1202"/>
              </w:tabs>
              <w:suppressAutoHyphens w:val="0"/>
              <w:autoSpaceDN/>
              <w:outlineLvl w:val="0"/>
              <w:rPr>
                <w:rFonts w:ascii="Arial" w:hAnsi="Arial" w:cs="Arial"/>
                <w:b/>
                <w:sz w:val="18"/>
                <w:szCs w:val="18"/>
              </w:rPr>
            </w:pPr>
          </w:p>
        </w:tc>
        <w:tc>
          <w:tcPr>
            <w:tcW w:w="1397" w:type="dxa"/>
            <w:gridSpan w:val="2"/>
            <w:vAlign w:val="center"/>
          </w:tcPr>
          <w:p w14:paraId="44F22C03" w14:textId="77777777" w:rsidR="00587444" w:rsidRPr="00587444" w:rsidRDefault="00587444" w:rsidP="00587444">
            <w:pPr>
              <w:suppressAutoHyphens w:val="0"/>
              <w:autoSpaceDN/>
              <w:jc w:val="right"/>
              <w:outlineLvl w:val="0"/>
              <w:rPr>
                <w:rFonts w:ascii="Arial" w:hAnsi="Arial" w:cs="Arial"/>
                <w:b/>
                <w:bCs/>
                <w:sz w:val="18"/>
                <w:szCs w:val="18"/>
              </w:rPr>
            </w:pPr>
            <w:bookmarkStart w:id="1009" w:name="_Toc4060397"/>
            <w:r w:rsidRPr="00587444">
              <w:rPr>
                <w:rFonts w:ascii="Arial" w:hAnsi="Arial" w:cs="Arial"/>
                <w:b/>
                <w:bCs/>
                <w:sz w:val="18"/>
                <w:szCs w:val="18"/>
              </w:rPr>
              <w:t>Jan 1 – Dec 31 202</w:t>
            </w:r>
            <w:bookmarkEnd w:id="1009"/>
            <w:r w:rsidRPr="00587444">
              <w:rPr>
                <w:rFonts w:ascii="Arial" w:hAnsi="Arial" w:cs="Arial"/>
                <w:b/>
                <w:bCs/>
                <w:sz w:val="18"/>
                <w:szCs w:val="18"/>
              </w:rPr>
              <w:t>2</w:t>
            </w:r>
          </w:p>
        </w:tc>
        <w:tc>
          <w:tcPr>
            <w:tcW w:w="1365" w:type="dxa"/>
            <w:vAlign w:val="center"/>
          </w:tcPr>
          <w:p w14:paraId="198F414B" w14:textId="77777777" w:rsidR="00587444" w:rsidRPr="00587444" w:rsidRDefault="00587444" w:rsidP="00587444">
            <w:pPr>
              <w:suppressAutoHyphens w:val="0"/>
              <w:autoSpaceDN/>
              <w:jc w:val="right"/>
              <w:outlineLvl w:val="0"/>
              <w:rPr>
                <w:rFonts w:ascii="Arial" w:hAnsi="Arial" w:cs="Arial"/>
                <w:b/>
                <w:bCs/>
                <w:sz w:val="18"/>
                <w:szCs w:val="18"/>
              </w:rPr>
            </w:pPr>
            <w:bookmarkStart w:id="1010" w:name="_Toc4060398"/>
            <w:r w:rsidRPr="00587444">
              <w:rPr>
                <w:rFonts w:ascii="Arial" w:hAnsi="Arial" w:cs="Arial"/>
                <w:b/>
                <w:bCs/>
                <w:sz w:val="18"/>
                <w:szCs w:val="18"/>
              </w:rPr>
              <w:t xml:space="preserve">Jan 1 – Dec 31 </w:t>
            </w:r>
            <w:bookmarkEnd w:id="1010"/>
            <w:r w:rsidRPr="00587444">
              <w:rPr>
                <w:rFonts w:ascii="Arial" w:hAnsi="Arial" w:cs="Arial"/>
                <w:b/>
                <w:bCs/>
                <w:sz w:val="18"/>
                <w:szCs w:val="18"/>
              </w:rPr>
              <w:t>2022</w:t>
            </w:r>
          </w:p>
        </w:tc>
        <w:tc>
          <w:tcPr>
            <w:tcW w:w="1389" w:type="dxa"/>
            <w:gridSpan w:val="2"/>
            <w:vAlign w:val="center"/>
          </w:tcPr>
          <w:p w14:paraId="27C88854" w14:textId="77777777" w:rsidR="00587444" w:rsidRPr="00587444" w:rsidRDefault="00587444" w:rsidP="00587444">
            <w:pPr>
              <w:suppressAutoHyphens w:val="0"/>
              <w:autoSpaceDN/>
              <w:jc w:val="right"/>
              <w:outlineLvl w:val="0"/>
              <w:rPr>
                <w:rFonts w:ascii="Arial" w:hAnsi="Arial" w:cs="Arial"/>
                <w:b/>
                <w:bCs/>
                <w:sz w:val="18"/>
                <w:szCs w:val="18"/>
              </w:rPr>
            </w:pPr>
            <w:r w:rsidRPr="00587444">
              <w:rPr>
                <w:rFonts w:ascii="Arial" w:hAnsi="Arial" w:cs="Arial"/>
                <w:b/>
                <w:bCs/>
                <w:sz w:val="18"/>
                <w:szCs w:val="18"/>
              </w:rPr>
              <w:t>Jan 1 – Dec 31 2021</w:t>
            </w:r>
          </w:p>
        </w:tc>
        <w:tc>
          <w:tcPr>
            <w:tcW w:w="1350" w:type="dxa"/>
            <w:vAlign w:val="center"/>
          </w:tcPr>
          <w:p w14:paraId="5322CD31" w14:textId="77777777" w:rsidR="00587444" w:rsidRPr="00587444" w:rsidRDefault="00587444" w:rsidP="00587444">
            <w:pPr>
              <w:suppressAutoHyphens w:val="0"/>
              <w:autoSpaceDN/>
              <w:jc w:val="right"/>
              <w:outlineLvl w:val="0"/>
              <w:rPr>
                <w:rFonts w:ascii="Arial" w:hAnsi="Arial" w:cs="Arial"/>
                <w:b/>
                <w:bCs/>
                <w:sz w:val="18"/>
                <w:szCs w:val="18"/>
              </w:rPr>
            </w:pPr>
            <w:r w:rsidRPr="00587444">
              <w:rPr>
                <w:rFonts w:ascii="Arial" w:hAnsi="Arial" w:cs="Arial"/>
                <w:b/>
                <w:bCs/>
                <w:sz w:val="18"/>
                <w:szCs w:val="18"/>
              </w:rPr>
              <w:t>Jan 1 – Dec 31 2021</w:t>
            </w:r>
          </w:p>
        </w:tc>
      </w:tr>
      <w:tr w:rsidR="00587444" w:rsidRPr="00587444" w14:paraId="7CF05C53" w14:textId="77777777" w:rsidTr="00DD69E7">
        <w:trPr>
          <w:trHeight w:hRule="exact" w:val="284"/>
          <w:jc w:val="center"/>
        </w:trPr>
        <w:tc>
          <w:tcPr>
            <w:tcW w:w="3714" w:type="dxa"/>
            <w:vAlign w:val="bottom"/>
          </w:tcPr>
          <w:p w14:paraId="59D4F99D" w14:textId="77777777" w:rsidR="00587444" w:rsidRPr="00587444" w:rsidRDefault="00587444" w:rsidP="00587444">
            <w:pPr>
              <w:tabs>
                <w:tab w:val="right" w:pos="1202"/>
              </w:tabs>
              <w:suppressAutoHyphens w:val="0"/>
              <w:autoSpaceDN/>
              <w:outlineLvl w:val="0"/>
              <w:rPr>
                <w:rFonts w:ascii="Arial" w:hAnsi="Arial" w:cs="Arial"/>
                <w:b/>
                <w:sz w:val="18"/>
                <w:szCs w:val="18"/>
              </w:rPr>
            </w:pPr>
          </w:p>
        </w:tc>
        <w:tc>
          <w:tcPr>
            <w:tcW w:w="1397" w:type="dxa"/>
            <w:gridSpan w:val="2"/>
            <w:vAlign w:val="bottom"/>
          </w:tcPr>
          <w:p w14:paraId="5A78DF2A"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bookmarkStart w:id="1011" w:name="_Toc4060401"/>
            <w:r w:rsidRPr="00587444">
              <w:rPr>
                <w:rFonts w:ascii="Arial" w:hAnsi="Arial" w:cs="Arial"/>
                <w:b/>
                <w:sz w:val="18"/>
                <w:szCs w:val="18"/>
              </w:rPr>
              <w:t>HRK ‘000</w:t>
            </w:r>
            <w:bookmarkEnd w:id="1011"/>
          </w:p>
        </w:tc>
        <w:tc>
          <w:tcPr>
            <w:tcW w:w="1365" w:type="dxa"/>
            <w:vAlign w:val="bottom"/>
          </w:tcPr>
          <w:p w14:paraId="6A163402"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bookmarkStart w:id="1012" w:name="_Toc4060402"/>
            <w:r w:rsidRPr="00587444">
              <w:rPr>
                <w:rFonts w:ascii="Arial" w:hAnsi="Arial" w:cs="Arial"/>
                <w:b/>
                <w:bCs/>
                <w:sz w:val="18"/>
                <w:szCs w:val="18"/>
              </w:rPr>
              <w:t>HRK ‘000</w:t>
            </w:r>
            <w:bookmarkEnd w:id="1012"/>
          </w:p>
        </w:tc>
        <w:tc>
          <w:tcPr>
            <w:tcW w:w="1389" w:type="dxa"/>
            <w:gridSpan w:val="2"/>
            <w:vAlign w:val="bottom"/>
          </w:tcPr>
          <w:p w14:paraId="70D62430"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r w:rsidRPr="00587444">
              <w:rPr>
                <w:rFonts w:ascii="Arial" w:hAnsi="Arial" w:cs="Arial"/>
                <w:b/>
                <w:sz w:val="18"/>
                <w:szCs w:val="18"/>
              </w:rPr>
              <w:t>HRK ‘000</w:t>
            </w:r>
          </w:p>
        </w:tc>
        <w:tc>
          <w:tcPr>
            <w:tcW w:w="1350" w:type="dxa"/>
            <w:vAlign w:val="bottom"/>
          </w:tcPr>
          <w:p w14:paraId="6237421E"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r w:rsidRPr="00587444">
              <w:rPr>
                <w:rFonts w:ascii="Arial" w:hAnsi="Arial" w:cs="Arial"/>
                <w:b/>
                <w:bCs/>
                <w:sz w:val="18"/>
                <w:szCs w:val="18"/>
              </w:rPr>
              <w:t>HRK ‘000</w:t>
            </w:r>
          </w:p>
        </w:tc>
      </w:tr>
      <w:tr w:rsidR="00587444" w:rsidRPr="00587444" w14:paraId="2EE44325" w14:textId="77777777" w:rsidTr="00DD69E7">
        <w:trPr>
          <w:trHeight w:val="381"/>
          <w:jc w:val="center"/>
        </w:trPr>
        <w:tc>
          <w:tcPr>
            <w:tcW w:w="3714" w:type="dxa"/>
            <w:vAlign w:val="bottom"/>
          </w:tcPr>
          <w:p w14:paraId="2C12DDC8"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1013" w:name="_Toc4060405"/>
            <w:r w:rsidRPr="00587444">
              <w:rPr>
                <w:rFonts w:ascii="Arial" w:hAnsi="Arial" w:cs="Arial"/>
                <w:sz w:val="18"/>
                <w:szCs w:val="18"/>
              </w:rPr>
              <w:t>Owner</w:t>
            </w:r>
            <w:bookmarkEnd w:id="1013"/>
          </w:p>
        </w:tc>
        <w:tc>
          <w:tcPr>
            <w:tcW w:w="1397" w:type="dxa"/>
            <w:gridSpan w:val="2"/>
            <w:shd w:val="clear" w:color="auto" w:fill="auto"/>
            <w:vAlign w:val="bottom"/>
          </w:tcPr>
          <w:p w14:paraId="6AD2FE6C" w14:textId="77777777" w:rsidR="00587444" w:rsidRPr="00587444" w:rsidRDefault="00587444" w:rsidP="00587444">
            <w:pPr>
              <w:tabs>
                <w:tab w:val="right" w:pos="1202"/>
              </w:tabs>
              <w:suppressAutoHyphens w:val="0"/>
              <w:autoSpaceDN/>
              <w:jc w:val="right"/>
              <w:outlineLvl w:val="0"/>
              <w:rPr>
                <w:rFonts w:ascii="Arial" w:eastAsia="Calibri" w:hAnsi="Arial" w:cs="Arial"/>
                <w:bCs/>
                <w:iCs/>
                <w:color w:val="000000"/>
                <w:sz w:val="18"/>
                <w:szCs w:val="18"/>
              </w:rPr>
            </w:pPr>
            <w:r w:rsidRPr="00587444">
              <w:rPr>
                <w:rFonts w:ascii="Arial" w:eastAsia="Calibri" w:hAnsi="Arial" w:cs="Arial"/>
                <w:bCs/>
                <w:iCs/>
                <w:color w:val="000000"/>
                <w:sz w:val="18"/>
                <w:szCs w:val="18"/>
              </w:rPr>
              <w:t>41,738</w:t>
            </w:r>
          </w:p>
        </w:tc>
        <w:tc>
          <w:tcPr>
            <w:tcW w:w="1365" w:type="dxa"/>
            <w:shd w:val="clear" w:color="auto" w:fill="auto"/>
            <w:vAlign w:val="bottom"/>
          </w:tcPr>
          <w:p w14:paraId="3B775AFD" w14:textId="77777777" w:rsidR="00587444" w:rsidRPr="00587444" w:rsidRDefault="00587444" w:rsidP="00587444">
            <w:pPr>
              <w:tabs>
                <w:tab w:val="right" w:pos="1202"/>
              </w:tabs>
              <w:suppressAutoHyphens w:val="0"/>
              <w:autoSpaceDN/>
              <w:jc w:val="right"/>
              <w:outlineLvl w:val="0"/>
              <w:rPr>
                <w:rFonts w:ascii="Arial" w:eastAsia="Calibri" w:hAnsi="Arial" w:cs="Arial"/>
                <w:bCs/>
                <w:iCs/>
                <w:color w:val="000000"/>
                <w:sz w:val="18"/>
                <w:szCs w:val="18"/>
              </w:rPr>
            </w:pPr>
            <w:r w:rsidRPr="00587444">
              <w:rPr>
                <w:rFonts w:ascii="Arial" w:eastAsia="Calibri" w:hAnsi="Arial" w:cs="Arial"/>
                <w:bCs/>
                <w:iCs/>
                <w:color w:val="000000"/>
                <w:sz w:val="18"/>
                <w:szCs w:val="18"/>
              </w:rPr>
              <w:t>15,957</w:t>
            </w:r>
          </w:p>
        </w:tc>
        <w:tc>
          <w:tcPr>
            <w:tcW w:w="1389" w:type="dxa"/>
            <w:gridSpan w:val="2"/>
            <w:shd w:val="clear" w:color="auto" w:fill="auto"/>
            <w:vAlign w:val="bottom"/>
          </w:tcPr>
          <w:p w14:paraId="6CEA6929" w14:textId="77777777" w:rsidR="00587444" w:rsidRPr="00587444" w:rsidRDefault="00587444" w:rsidP="00587444">
            <w:pPr>
              <w:tabs>
                <w:tab w:val="right" w:pos="1202"/>
              </w:tabs>
              <w:suppressAutoHyphens w:val="0"/>
              <w:autoSpaceDN/>
              <w:jc w:val="right"/>
              <w:outlineLvl w:val="0"/>
              <w:rPr>
                <w:rFonts w:ascii="Arial" w:eastAsia="Calibri" w:hAnsi="Arial" w:cs="Arial"/>
                <w:bCs/>
                <w:iCs/>
                <w:color w:val="000000"/>
                <w:sz w:val="18"/>
                <w:szCs w:val="18"/>
              </w:rPr>
            </w:pPr>
            <w:r w:rsidRPr="00587444">
              <w:rPr>
                <w:rFonts w:ascii="Arial" w:eastAsia="Calibri" w:hAnsi="Arial" w:cs="Arial"/>
                <w:bCs/>
                <w:iCs/>
                <w:color w:val="000000"/>
                <w:sz w:val="18"/>
                <w:szCs w:val="18"/>
              </w:rPr>
              <w:t>50,497</w:t>
            </w:r>
          </w:p>
        </w:tc>
        <w:tc>
          <w:tcPr>
            <w:tcW w:w="1350" w:type="dxa"/>
            <w:shd w:val="clear" w:color="auto" w:fill="auto"/>
            <w:vAlign w:val="bottom"/>
          </w:tcPr>
          <w:p w14:paraId="77D12E25" w14:textId="77777777" w:rsidR="00587444" w:rsidRPr="00587444" w:rsidRDefault="00587444" w:rsidP="00587444">
            <w:pPr>
              <w:tabs>
                <w:tab w:val="right" w:pos="1202"/>
              </w:tabs>
              <w:suppressAutoHyphens w:val="0"/>
              <w:autoSpaceDN/>
              <w:jc w:val="right"/>
              <w:outlineLvl w:val="0"/>
              <w:rPr>
                <w:rFonts w:ascii="Arial" w:eastAsia="Calibri" w:hAnsi="Arial" w:cs="Arial"/>
                <w:bCs/>
                <w:iCs/>
                <w:color w:val="000000"/>
                <w:sz w:val="18"/>
                <w:szCs w:val="18"/>
              </w:rPr>
            </w:pPr>
            <w:r w:rsidRPr="00587444">
              <w:rPr>
                <w:rFonts w:ascii="Arial" w:eastAsia="Calibri" w:hAnsi="Arial" w:cs="Arial"/>
                <w:bCs/>
                <w:iCs/>
                <w:color w:val="000000"/>
                <w:sz w:val="18"/>
                <w:szCs w:val="18"/>
              </w:rPr>
              <w:t>28,730</w:t>
            </w:r>
          </w:p>
        </w:tc>
      </w:tr>
      <w:tr w:rsidR="00587444" w:rsidRPr="00587444" w14:paraId="2078313F" w14:textId="77777777" w:rsidTr="00DD69E7">
        <w:trPr>
          <w:trHeight w:val="14"/>
          <w:jc w:val="center"/>
        </w:trPr>
        <w:tc>
          <w:tcPr>
            <w:tcW w:w="3714" w:type="dxa"/>
            <w:vAlign w:val="center"/>
          </w:tcPr>
          <w:p w14:paraId="05F0A61B"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1014" w:name="_Toc4060410"/>
            <w:r w:rsidRPr="00587444">
              <w:rPr>
                <w:rFonts w:ascii="Arial" w:hAnsi="Arial" w:cs="Arial"/>
                <w:sz w:val="18"/>
                <w:szCs w:val="18"/>
              </w:rPr>
              <w:t xml:space="preserve">Government funds, executive </w:t>
            </w:r>
            <w:proofErr w:type="gramStart"/>
            <w:r w:rsidRPr="00587444">
              <w:rPr>
                <w:rFonts w:ascii="Arial" w:hAnsi="Arial" w:cs="Arial"/>
                <w:sz w:val="18"/>
                <w:szCs w:val="18"/>
              </w:rPr>
              <w:t>authorities</w:t>
            </w:r>
            <w:proofErr w:type="gramEnd"/>
            <w:r w:rsidRPr="00587444">
              <w:rPr>
                <w:rFonts w:ascii="Arial" w:hAnsi="Arial" w:cs="Arial"/>
                <w:sz w:val="18"/>
                <w:szCs w:val="18"/>
              </w:rPr>
              <w:t xml:space="preserve"> and agencies</w:t>
            </w:r>
            <w:bookmarkEnd w:id="1014"/>
          </w:p>
        </w:tc>
        <w:tc>
          <w:tcPr>
            <w:tcW w:w="1397" w:type="dxa"/>
            <w:gridSpan w:val="2"/>
            <w:shd w:val="clear" w:color="auto" w:fill="auto"/>
            <w:vAlign w:val="bottom"/>
          </w:tcPr>
          <w:p w14:paraId="7C210E1B" w14:textId="77777777" w:rsidR="00587444" w:rsidRPr="00587444" w:rsidRDefault="00587444" w:rsidP="00587444">
            <w:pPr>
              <w:tabs>
                <w:tab w:val="right" w:pos="1202"/>
              </w:tabs>
              <w:suppressAutoHyphens w:val="0"/>
              <w:autoSpaceDN/>
              <w:jc w:val="right"/>
              <w:outlineLvl w:val="0"/>
              <w:rPr>
                <w:rFonts w:ascii="Arial" w:eastAsia="Calibri" w:hAnsi="Arial" w:cs="Arial"/>
                <w:bCs/>
                <w:iCs/>
                <w:color w:val="000000"/>
                <w:sz w:val="18"/>
                <w:szCs w:val="18"/>
              </w:rPr>
            </w:pPr>
            <w:r w:rsidRPr="00587444">
              <w:rPr>
                <w:rFonts w:ascii="Arial" w:eastAsia="Calibri" w:hAnsi="Arial" w:cs="Arial"/>
                <w:bCs/>
                <w:iCs/>
                <w:color w:val="000000"/>
                <w:sz w:val="18"/>
                <w:szCs w:val="18"/>
              </w:rPr>
              <w:t>96,470</w:t>
            </w:r>
          </w:p>
        </w:tc>
        <w:tc>
          <w:tcPr>
            <w:tcW w:w="1365" w:type="dxa"/>
            <w:shd w:val="clear" w:color="auto" w:fill="auto"/>
            <w:vAlign w:val="bottom"/>
          </w:tcPr>
          <w:p w14:paraId="1B2719C5" w14:textId="77777777" w:rsidR="00587444" w:rsidRPr="00587444" w:rsidRDefault="00587444" w:rsidP="00587444">
            <w:pPr>
              <w:tabs>
                <w:tab w:val="right" w:pos="1202"/>
              </w:tabs>
              <w:suppressAutoHyphens w:val="0"/>
              <w:autoSpaceDN/>
              <w:jc w:val="right"/>
              <w:outlineLvl w:val="0"/>
              <w:rPr>
                <w:rFonts w:ascii="Arial" w:eastAsia="Calibri" w:hAnsi="Arial" w:cs="Arial"/>
                <w:bCs/>
                <w:iCs/>
                <w:color w:val="000000"/>
                <w:sz w:val="18"/>
                <w:szCs w:val="18"/>
              </w:rPr>
            </w:pPr>
            <w:r w:rsidRPr="00587444">
              <w:rPr>
                <w:rFonts w:ascii="Arial" w:eastAsia="Calibri" w:hAnsi="Arial" w:cs="Arial"/>
                <w:bCs/>
                <w:iCs/>
                <w:color w:val="000000"/>
                <w:sz w:val="18"/>
                <w:szCs w:val="18"/>
              </w:rPr>
              <w:t>12,284</w:t>
            </w:r>
          </w:p>
        </w:tc>
        <w:tc>
          <w:tcPr>
            <w:tcW w:w="1389" w:type="dxa"/>
            <w:gridSpan w:val="2"/>
            <w:shd w:val="clear" w:color="auto" w:fill="auto"/>
            <w:vAlign w:val="bottom"/>
          </w:tcPr>
          <w:p w14:paraId="46146D10" w14:textId="77777777" w:rsidR="00587444" w:rsidRPr="00587444" w:rsidRDefault="00587444" w:rsidP="00587444">
            <w:pPr>
              <w:tabs>
                <w:tab w:val="right" w:pos="1202"/>
              </w:tabs>
              <w:suppressAutoHyphens w:val="0"/>
              <w:autoSpaceDN/>
              <w:jc w:val="right"/>
              <w:outlineLvl w:val="0"/>
              <w:rPr>
                <w:rFonts w:ascii="Arial" w:eastAsia="Calibri" w:hAnsi="Arial" w:cs="Arial"/>
                <w:bCs/>
                <w:iCs/>
                <w:color w:val="000000"/>
                <w:sz w:val="18"/>
                <w:szCs w:val="18"/>
              </w:rPr>
            </w:pPr>
            <w:r w:rsidRPr="00587444">
              <w:rPr>
                <w:rFonts w:ascii="Arial" w:eastAsia="Calibri" w:hAnsi="Arial" w:cs="Arial"/>
                <w:bCs/>
                <w:iCs/>
                <w:color w:val="000000"/>
                <w:sz w:val="18"/>
                <w:szCs w:val="18"/>
              </w:rPr>
              <w:t>88,324</w:t>
            </w:r>
          </w:p>
        </w:tc>
        <w:tc>
          <w:tcPr>
            <w:tcW w:w="1350" w:type="dxa"/>
            <w:shd w:val="clear" w:color="auto" w:fill="auto"/>
            <w:vAlign w:val="bottom"/>
          </w:tcPr>
          <w:p w14:paraId="18A8D821" w14:textId="77777777" w:rsidR="00587444" w:rsidRPr="00587444" w:rsidRDefault="00587444" w:rsidP="00587444">
            <w:pPr>
              <w:tabs>
                <w:tab w:val="right" w:pos="1202"/>
              </w:tabs>
              <w:suppressAutoHyphens w:val="0"/>
              <w:autoSpaceDN/>
              <w:jc w:val="right"/>
              <w:outlineLvl w:val="0"/>
              <w:rPr>
                <w:rFonts w:ascii="Arial" w:eastAsia="Calibri" w:hAnsi="Arial" w:cs="Arial"/>
                <w:bCs/>
                <w:iCs/>
                <w:color w:val="000000"/>
                <w:sz w:val="18"/>
                <w:szCs w:val="18"/>
              </w:rPr>
            </w:pPr>
            <w:r w:rsidRPr="00587444">
              <w:rPr>
                <w:rFonts w:ascii="Arial" w:eastAsia="Calibri" w:hAnsi="Arial" w:cs="Arial"/>
                <w:bCs/>
                <w:iCs/>
                <w:color w:val="000000"/>
                <w:sz w:val="18"/>
                <w:szCs w:val="18"/>
              </w:rPr>
              <w:t>1,003</w:t>
            </w:r>
          </w:p>
        </w:tc>
      </w:tr>
      <w:tr w:rsidR="00587444" w:rsidRPr="00587444" w14:paraId="7FB7C1A4" w14:textId="77777777" w:rsidTr="00DD69E7">
        <w:trPr>
          <w:trHeight w:hRule="exact" w:val="284"/>
          <w:jc w:val="center"/>
        </w:trPr>
        <w:tc>
          <w:tcPr>
            <w:tcW w:w="3714" w:type="dxa"/>
            <w:vAlign w:val="center"/>
          </w:tcPr>
          <w:p w14:paraId="3E060DC3"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1015" w:name="_Toc4060415"/>
            <w:r w:rsidRPr="00587444">
              <w:rPr>
                <w:rFonts w:ascii="Arial" w:hAnsi="Arial" w:cs="Arial"/>
                <w:sz w:val="18"/>
                <w:szCs w:val="18"/>
              </w:rPr>
              <w:t>State-owned companies</w:t>
            </w:r>
            <w:bookmarkEnd w:id="1015"/>
          </w:p>
        </w:tc>
        <w:tc>
          <w:tcPr>
            <w:tcW w:w="1397" w:type="dxa"/>
            <w:gridSpan w:val="2"/>
            <w:shd w:val="clear" w:color="auto" w:fill="auto"/>
            <w:vAlign w:val="bottom"/>
          </w:tcPr>
          <w:p w14:paraId="094ABD72" w14:textId="77777777" w:rsidR="00587444" w:rsidRPr="00587444" w:rsidRDefault="00587444" w:rsidP="00587444">
            <w:pPr>
              <w:tabs>
                <w:tab w:val="right" w:pos="1202"/>
              </w:tabs>
              <w:suppressAutoHyphens w:val="0"/>
              <w:autoSpaceDN/>
              <w:jc w:val="right"/>
              <w:outlineLvl w:val="0"/>
              <w:rPr>
                <w:rFonts w:ascii="Arial" w:eastAsia="Calibri" w:hAnsi="Arial" w:cs="Arial"/>
                <w:bCs/>
                <w:iCs/>
                <w:color w:val="000000"/>
                <w:sz w:val="18"/>
                <w:szCs w:val="18"/>
              </w:rPr>
            </w:pPr>
            <w:r w:rsidRPr="00587444">
              <w:rPr>
                <w:rFonts w:ascii="Arial" w:eastAsia="Calibri" w:hAnsi="Arial" w:cs="Arial"/>
                <w:bCs/>
                <w:iCs/>
                <w:color w:val="000000"/>
                <w:sz w:val="18"/>
                <w:szCs w:val="18"/>
              </w:rPr>
              <w:t>75,853</w:t>
            </w:r>
          </w:p>
        </w:tc>
        <w:tc>
          <w:tcPr>
            <w:tcW w:w="1365" w:type="dxa"/>
            <w:shd w:val="clear" w:color="auto" w:fill="auto"/>
            <w:vAlign w:val="bottom"/>
          </w:tcPr>
          <w:p w14:paraId="13527C75" w14:textId="77777777" w:rsidR="00587444" w:rsidRPr="00587444" w:rsidRDefault="00587444" w:rsidP="00587444">
            <w:pPr>
              <w:tabs>
                <w:tab w:val="right" w:pos="1202"/>
              </w:tabs>
              <w:suppressAutoHyphens w:val="0"/>
              <w:autoSpaceDN/>
              <w:jc w:val="right"/>
              <w:outlineLvl w:val="0"/>
              <w:rPr>
                <w:rFonts w:ascii="Arial" w:eastAsia="Calibri" w:hAnsi="Arial" w:cs="Arial"/>
                <w:bCs/>
                <w:iCs/>
                <w:color w:val="000000"/>
                <w:sz w:val="18"/>
                <w:szCs w:val="18"/>
              </w:rPr>
            </w:pPr>
            <w:r w:rsidRPr="00587444">
              <w:rPr>
                <w:rFonts w:ascii="Arial" w:eastAsia="Calibri" w:hAnsi="Arial" w:cs="Arial"/>
                <w:bCs/>
                <w:iCs/>
                <w:color w:val="000000"/>
                <w:sz w:val="18"/>
                <w:szCs w:val="18"/>
              </w:rPr>
              <w:t>55,964</w:t>
            </w:r>
          </w:p>
        </w:tc>
        <w:tc>
          <w:tcPr>
            <w:tcW w:w="1389" w:type="dxa"/>
            <w:gridSpan w:val="2"/>
            <w:shd w:val="clear" w:color="auto" w:fill="auto"/>
            <w:vAlign w:val="bottom"/>
          </w:tcPr>
          <w:p w14:paraId="5E7D5743" w14:textId="77777777" w:rsidR="00587444" w:rsidRPr="00587444" w:rsidRDefault="00587444" w:rsidP="00587444">
            <w:pPr>
              <w:tabs>
                <w:tab w:val="right" w:pos="1202"/>
              </w:tabs>
              <w:suppressAutoHyphens w:val="0"/>
              <w:autoSpaceDN/>
              <w:jc w:val="right"/>
              <w:outlineLvl w:val="0"/>
              <w:rPr>
                <w:rFonts w:ascii="Arial" w:eastAsia="Calibri" w:hAnsi="Arial" w:cs="Arial"/>
                <w:bCs/>
                <w:iCs/>
                <w:color w:val="000000"/>
                <w:sz w:val="18"/>
                <w:szCs w:val="18"/>
              </w:rPr>
            </w:pPr>
            <w:r w:rsidRPr="00587444">
              <w:rPr>
                <w:rFonts w:ascii="Arial" w:eastAsia="Calibri" w:hAnsi="Arial" w:cs="Arial"/>
                <w:bCs/>
                <w:iCs/>
                <w:color w:val="000000"/>
                <w:sz w:val="18"/>
                <w:szCs w:val="18"/>
              </w:rPr>
              <w:t>45,248</w:t>
            </w:r>
          </w:p>
        </w:tc>
        <w:tc>
          <w:tcPr>
            <w:tcW w:w="1350" w:type="dxa"/>
            <w:shd w:val="clear" w:color="auto" w:fill="auto"/>
            <w:vAlign w:val="bottom"/>
          </w:tcPr>
          <w:p w14:paraId="09899F7A" w14:textId="77777777" w:rsidR="00587444" w:rsidRPr="00587444" w:rsidRDefault="00587444" w:rsidP="00587444">
            <w:pPr>
              <w:tabs>
                <w:tab w:val="right" w:pos="1202"/>
              </w:tabs>
              <w:suppressAutoHyphens w:val="0"/>
              <w:autoSpaceDN/>
              <w:jc w:val="right"/>
              <w:outlineLvl w:val="0"/>
              <w:rPr>
                <w:rFonts w:ascii="Arial" w:eastAsia="Calibri" w:hAnsi="Arial" w:cs="Arial"/>
                <w:bCs/>
                <w:iCs/>
                <w:color w:val="000000"/>
                <w:sz w:val="18"/>
                <w:szCs w:val="18"/>
              </w:rPr>
            </w:pPr>
            <w:r w:rsidRPr="00587444">
              <w:rPr>
                <w:rFonts w:ascii="Arial" w:eastAsia="Calibri" w:hAnsi="Arial" w:cs="Arial"/>
                <w:bCs/>
                <w:iCs/>
                <w:color w:val="000000"/>
                <w:sz w:val="18"/>
                <w:szCs w:val="18"/>
              </w:rPr>
              <w:t>49,484</w:t>
            </w:r>
          </w:p>
        </w:tc>
      </w:tr>
      <w:tr w:rsidR="00587444" w:rsidRPr="00587444" w14:paraId="4167C3D2" w14:textId="77777777" w:rsidTr="00DD69E7">
        <w:trPr>
          <w:trHeight w:hRule="exact" w:val="284"/>
          <w:jc w:val="center"/>
        </w:trPr>
        <w:tc>
          <w:tcPr>
            <w:tcW w:w="3714" w:type="dxa"/>
            <w:vAlign w:val="center"/>
          </w:tcPr>
          <w:p w14:paraId="478CA4DE" w14:textId="77777777" w:rsidR="00587444" w:rsidRPr="00587444" w:rsidRDefault="00587444" w:rsidP="00587444">
            <w:pPr>
              <w:tabs>
                <w:tab w:val="right" w:pos="1202"/>
              </w:tabs>
              <w:suppressAutoHyphens w:val="0"/>
              <w:autoSpaceDN/>
              <w:outlineLvl w:val="0"/>
              <w:rPr>
                <w:rFonts w:ascii="Arial" w:hAnsi="Arial" w:cs="Arial"/>
                <w:bCs/>
                <w:sz w:val="18"/>
                <w:szCs w:val="18"/>
              </w:rPr>
            </w:pPr>
            <w:bookmarkStart w:id="1016" w:name="_Toc4060425"/>
            <w:r w:rsidRPr="00587444">
              <w:rPr>
                <w:rFonts w:ascii="Arial" w:hAnsi="Arial" w:cs="Arial"/>
                <w:sz w:val="18"/>
                <w:szCs w:val="18"/>
              </w:rPr>
              <w:t>Associates</w:t>
            </w:r>
            <w:bookmarkEnd w:id="1016"/>
          </w:p>
        </w:tc>
        <w:tc>
          <w:tcPr>
            <w:tcW w:w="1397" w:type="dxa"/>
            <w:gridSpan w:val="2"/>
            <w:shd w:val="clear" w:color="auto" w:fill="auto"/>
            <w:vAlign w:val="bottom"/>
          </w:tcPr>
          <w:p w14:paraId="799DAEE3" w14:textId="77777777" w:rsidR="00587444" w:rsidRPr="00587444" w:rsidRDefault="00587444" w:rsidP="00587444">
            <w:pPr>
              <w:tabs>
                <w:tab w:val="right" w:pos="1202"/>
              </w:tabs>
              <w:suppressAutoHyphens w:val="0"/>
              <w:autoSpaceDN/>
              <w:jc w:val="right"/>
              <w:outlineLvl w:val="0"/>
              <w:rPr>
                <w:rFonts w:ascii="Arial" w:eastAsia="Calibri" w:hAnsi="Arial" w:cs="Arial"/>
                <w:bCs/>
                <w:iCs/>
                <w:color w:val="000000"/>
                <w:sz w:val="18"/>
                <w:szCs w:val="18"/>
              </w:rPr>
            </w:pPr>
            <w:r w:rsidRPr="00587444">
              <w:rPr>
                <w:rFonts w:ascii="Arial" w:eastAsia="Calibri" w:hAnsi="Arial" w:cs="Arial"/>
                <w:bCs/>
                <w:iCs/>
                <w:color w:val="000000"/>
                <w:sz w:val="18"/>
                <w:szCs w:val="18"/>
              </w:rPr>
              <w:t>-</w:t>
            </w:r>
          </w:p>
        </w:tc>
        <w:tc>
          <w:tcPr>
            <w:tcW w:w="1365" w:type="dxa"/>
            <w:shd w:val="clear" w:color="auto" w:fill="auto"/>
            <w:vAlign w:val="bottom"/>
          </w:tcPr>
          <w:p w14:paraId="314B3D4A" w14:textId="77777777" w:rsidR="00587444" w:rsidRPr="00587444" w:rsidRDefault="00587444" w:rsidP="00587444">
            <w:pPr>
              <w:tabs>
                <w:tab w:val="right" w:pos="1202"/>
              </w:tabs>
              <w:suppressAutoHyphens w:val="0"/>
              <w:autoSpaceDN/>
              <w:jc w:val="right"/>
              <w:outlineLvl w:val="0"/>
              <w:rPr>
                <w:rFonts w:ascii="Arial" w:eastAsia="Calibri" w:hAnsi="Arial" w:cs="Arial"/>
                <w:bCs/>
                <w:iCs/>
                <w:color w:val="000000"/>
                <w:sz w:val="18"/>
                <w:szCs w:val="18"/>
              </w:rPr>
            </w:pPr>
            <w:r w:rsidRPr="00587444">
              <w:rPr>
                <w:rFonts w:ascii="Arial" w:eastAsia="Calibri" w:hAnsi="Arial" w:cs="Arial"/>
                <w:bCs/>
                <w:iCs/>
                <w:color w:val="000000"/>
                <w:sz w:val="18"/>
                <w:szCs w:val="18"/>
              </w:rPr>
              <w:t>-</w:t>
            </w:r>
          </w:p>
        </w:tc>
        <w:tc>
          <w:tcPr>
            <w:tcW w:w="1389" w:type="dxa"/>
            <w:gridSpan w:val="2"/>
            <w:shd w:val="clear" w:color="auto" w:fill="auto"/>
            <w:vAlign w:val="bottom"/>
          </w:tcPr>
          <w:p w14:paraId="2E7B1F6B" w14:textId="77777777" w:rsidR="00587444" w:rsidRPr="00587444" w:rsidRDefault="00587444" w:rsidP="00587444">
            <w:pPr>
              <w:tabs>
                <w:tab w:val="right" w:pos="1202"/>
              </w:tabs>
              <w:suppressAutoHyphens w:val="0"/>
              <w:autoSpaceDN/>
              <w:jc w:val="right"/>
              <w:outlineLvl w:val="0"/>
              <w:rPr>
                <w:rFonts w:ascii="Arial" w:eastAsia="Calibri" w:hAnsi="Arial" w:cs="Arial"/>
                <w:bCs/>
                <w:iCs/>
                <w:color w:val="000000"/>
                <w:sz w:val="18"/>
                <w:szCs w:val="18"/>
              </w:rPr>
            </w:pPr>
            <w:r w:rsidRPr="00587444">
              <w:rPr>
                <w:rFonts w:ascii="Arial" w:eastAsia="Calibri" w:hAnsi="Arial" w:cs="Arial"/>
                <w:bCs/>
                <w:iCs/>
                <w:color w:val="000000"/>
                <w:sz w:val="18"/>
                <w:szCs w:val="18"/>
              </w:rPr>
              <w:t>26</w:t>
            </w:r>
          </w:p>
        </w:tc>
        <w:tc>
          <w:tcPr>
            <w:tcW w:w="1350" w:type="dxa"/>
            <w:shd w:val="clear" w:color="auto" w:fill="auto"/>
            <w:vAlign w:val="bottom"/>
          </w:tcPr>
          <w:p w14:paraId="4471160D" w14:textId="77777777" w:rsidR="00587444" w:rsidRPr="00587444" w:rsidRDefault="00587444" w:rsidP="00587444">
            <w:pPr>
              <w:tabs>
                <w:tab w:val="right" w:pos="1202"/>
              </w:tabs>
              <w:suppressAutoHyphens w:val="0"/>
              <w:autoSpaceDN/>
              <w:jc w:val="right"/>
              <w:outlineLvl w:val="0"/>
              <w:rPr>
                <w:rFonts w:ascii="Arial" w:eastAsia="Calibri" w:hAnsi="Arial" w:cs="Arial"/>
                <w:bCs/>
                <w:iCs/>
                <w:color w:val="000000"/>
                <w:sz w:val="18"/>
                <w:szCs w:val="18"/>
              </w:rPr>
            </w:pPr>
            <w:r w:rsidRPr="00587444">
              <w:rPr>
                <w:rFonts w:ascii="Arial" w:eastAsia="Calibri" w:hAnsi="Arial" w:cs="Arial"/>
                <w:bCs/>
                <w:iCs/>
                <w:color w:val="000000"/>
                <w:sz w:val="18"/>
                <w:szCs w:val="18"/>
              </w:rPr>
              <w:t>1</w:t>
            </w:r>
          </w:p>
        </w:tc>
      </w:tr>
      <w:tr w:rsidR="00587444" w:rsidRPr="00587444" w14:paraId="779C162F" w14:textId="77777777" w:rsidTr="00DD69E7">
        <w:trPr>
          <w:trHeight w:hRule="exact" w:val="284"/>
          <w:jc w:val="center"/>
        </w:trPr>
        <w:tc>
          <w:tcPr>
            <w:tcW w:w="3714" w:type="dxa"/>
            <w:vAlign w:val="center"/>
          </w:tcPr>
          <w:p w14:paraId="44D013A0" w14:textId="77777777" w:rsidR="00587444" w:rsidRPr="00587444" w:rsidRDefault="00587444" w:rsidP="00587444">
            <w:pPr>
              <w:tabs>
                <w:tab w:val="right" w:pos="1202"/>
              </w:tabs>
              <w:suppressAutoHyphens w:val="0"/>
              <w:autoSpaceDN/>
              <w:outlineLvl w:val="0"/>
              <w:rPr>
                <w:rFonts w:ascii="Arial" w:hAnsi="Arial" w:cs="Arial"/>
                <w:bCs/>
                <w:sz w:val="18"/>
                <w:szCs w:val="18"/>
              </w:rPr>
            </w:pPr>
            <w:bookmarkStart w:id="1017" w:name="_Toc4060430"/>
            <w:r w:rsidRPr="00587444">
              <w:rPr>
                <w:rFonts w:ascii="Arial" w:hAnsi="Arial" w:cs="Arial"/>
                <w:bCs/>
                <w:sz w:val="18"/>
                <w:szCs w:val="18"/>
              </w:rPr>
              <w:t>Key management personnel</w:t>
            </w:r>
            <w:bookmarkEnd w:id="1017"/>
          </w:p>
        </w:tc>
        <w:tc>
          <w:tcPr>
            <w:tcW w:w="1397" w:type="dxa"/>
            <w:gridSpan w:val="2"/>
            <w:tcBorders>
              <w:bottom w:val="single" w:sz="4" w:space="0" w:color="000000"/>
            </w:tcBorders>
            <w:shd w:val="clear" w:color="auto" w:fill="auto"/>
            <w:vAlign w:val="bottom"/>
          </w:tcPr>
          <w:p w14:paraId="7D8DADC6" w14:textId="77777777" w:rsidR="00587444" w:rsidRPr="00587444" w:rsidRDefault="00587444" w:rsidP="00587444">
            <w:pPr>
              <w:tabs>
                <w:tab w:val="right" w:pos="1202"/>
              </w:tabs>
              <w:suppressAutoHyphens w:val="0"/>
              <w:autoSpaceDN/>
              <w:jc w:val="right"/>
              <w:outlineLvl w:val="0"/>
              <w:rPr>
                <w:rFonts w:ascii="Arial" w:eastAsia="Calibri" w:hAnsi="Arial" w:cs="Arial"/>
                <w:bCs/>
                <w:iCs/>
                <w:color w:val="000000"/>
                <w:sz w:val="18"/>
                <w:szCs w:val="18"/>
              </w:rPr>
            </w:pPr>
            <w:r w:rsidRPr="00587444">
              <w:rPr>
                <w:rFonts w:ascii="Arial" w:eastAsia="Calibri" w:hAnsi="Arial" w:cs="Arial"/>
                <w:bCs/>
                <w:iCs/>
                <w:color w:val="000000"/>
                <w:sz w:val="18"/>
                <w:szCs w:val="18"/>
              </w:rPr>
              <w:t>69</w:t>
            </w:r>
          </w:p>
        </w:tc>
        <w:tc>
          <w:tcPr>
            <w:tcW w:w="1365" w:type="dxa"/>
            <w:tcBorders>
              <w:bottom w:val="single" w:sz="4" w:space="0" w:color="000000"/>
            </w:tcBorders>
            <w:shd w:val="clear" w:color="auto" w:fill="auto"/>
            <w:vAlign w:val="bottom"/>
          </w:tcPr>
          <w:p w14:paraId="3F507E2A" w14:textId="77777777" w:rsidR="00587444" w:rsidRPr="00587444" w:rsidRDefault="00587444" w:rsidP="00587444">
            <w:pPr>
              <w:tabs>
                <w:tab w:val="right" w:pos="1202"/>
              </w:tabs>
              <w:suppressAutoHyphens w:val="0"/>
              <w:autoSpaceDN/>
              <w:jc w:val="right"/>
              <w:outlineLvl w:val="0"/>
              <w:rPr>
                <w:rFonts w:ascii="Arial" w:eastAsia="Calibri" w:hAnsi="Arial" w:cs="Arial"/>
                <w:bCs/>
                <w:iCs/>
                <w:color w:val="000000"/>
                <w:sz w:val="18"/>
                <w:szCs w:val="18"/>
              </w:rPr>
            </w:pPr>
            <w:r w:rsidRPr="00587444">
              <w:rPr>
                <w:rFonts w:ascii="Arial" w:eastAsia="Calibri" w:hAnsi="Arial" w:cs="Arial"/>
                <w:bCs/>
                <w:iCs/>
                <w:color w:val="000000"/>
                <w:sz w:val="18"/>
                <w:szCs w:val="18"/>
              </w:rPr>
              <w:t>7,948</w:t>
            </w:r>
          </w:p>
        </w:tc>
        <w:tc>
          <w:tcPr>
            <w:tcW w:w="1389" w:type="dxa"/>
            <w:gridSpan w:val="2"/>
            <w:tcBorders>
              <w:bottom w:val="single" w:sz="4" w:space="0" w:color="000000"/>
            </w:tcBorders>
            <w:shd w:val="clear" w:color="auto" w:fill="auto"/>
            <w:vAlign w:val="bottom"/>
          </w:tcPr>
          <w:p w14:paraId="0E04E734" w14:textId="77777777" w:rsidR="00587444" w:rsidRPr="00587444" w:rsidRDefault="00587444" w:rsidP="00587444">
            <w:pPr>
              <w:tabs>
                <w:tab w:val="right" w:pos="1202"/>
              </w:tabs>
              <w:suppressAutoHyphens w:val="0"/>
              <w:autoSpaceDN/>
              <w:jc w:val="right"/>
              <w:outlineLvl w:val="0"/>
              <w:rPr>
                <w:rFonts w:ascii="Arial" w:eastAsia="Calibri" w:hAnsi="Arial" w:cs="Arial"/>
                <w:bCs/>
                <w:iCs/>
                <w:color w:val="000000"/>
                <w:sz w:val="18"/>
                <w:szCs w:val="18"/>
              </w:rPr>
            </w:pPr>
            <w:r w:rsidRPr="00587444">
              <w:rPr>
                <w:rFonts w:ascii="Arial" w:eastAsia="Calibri" w:hAnsi="Arial" w:cs="Arial"/>
                <w:bCs/>
                <w:iCs/>
                <w:color w:val="000000"/>
                <w:sz w:val="18"/>
                <w:szCs w:val="18"/>
              </w:rPr>
              <w:t>3,738</w:t>
            </w:r>
          </w:p>
        </w:tc>
        <w:tc>
          <w:tcPr>
            <w:tcW w:w="1350" w:type="dxa"/>
            <w:tcBorders>
              <w:bottom w:val="single" w:sz="4" w:space="0" w:color="000000"/>
            </w:tcBorders>
            <w:shd w:val="clear" w:color="auto" w:fill="auto"/>
            <w:vAlign w:val="bottom"/>
          </w:tcPr>
          <w:p w14:paraId="6D26767A" w14:textId="77777777" w:rsidR="00587444" w:rsidRPr="00587444" w:rsidRDefault="00587444" w:rsidP="00587444">
            <w:pPr>
              <w:tabs>
                <w:tab w:val="right" w:pos="1202"/>
              </w:tabs>
              <w:suppressAutoHyphens w:val="0"/>
              <w:autoSpaceDN/>
              <w:jc w:val="right"/>
              <w:outlineLvl w:val="0"/>
              <w:rPr>
                <w:rFonts w:ascii="Arial" w:eastAsia="Calibri" w:hAnsi="Arial" w:cs="Arial"/>
                <w:bCs/>
                <w:iCs/>
                <w:color w:val="000000"/>
                <w:sz w:val="18"/>
                <w:szCs w:val="18"/>
              </w:rPr>
            </w:pPr>
            <w:r w:rsidRPr="00587444">
              <w:rPr>
                <w:rFonts w:ascii="Arial" w:eastAsia="Calibri" w:hAnsi="Arial" w:cs="Arial"/>
                <w:bCs/>
                <w:iCs/>
                <w:color w:val="000000"/>
                <w:sz w:val="18"/>
                <w:szCs w:val="18"/>
              </w:rPr>
              <w:t>7,340</w:t>
            </w:r>
          </w:p>
        </w:tc>
      </w:tr>
      <w:tr w:rsidR="00587444" w:rsidRPr="00587444" w14:paraId="045923F0" w14:textId="77777777" w:rsidTr="00DD69E7">
        <w:trPr>
          <w:trHeight w:hRule="exact" w:val="345"/>
          <w:jc w:val="center"/>
        </w:trPr>
        <w:tc>
          <w:tcPr>
            <w:tcW w:w="3714" w:type="dxa"/>
            <w:vAlign w:val="bottom"/>
          </w:tcPr>
          <w:p w14:paraId="3A0C109F" w14:textId="77777777" w:rsidR="00587444" w:rsidRPr="00587444" w:rsidRDefault="00587444" w:rsidP="00587444">
            <w:pPr>
              <w:tabs>
                <w:tab w:val="right" w:pos="1202"/>
              </w:tabs>
              <w:suppressAutoHyphens w:val="0"/>
              <w:autoSpaceDN/>
              <w:outlineLvl w:val="0"/>
              <w:rPr>
                <w:rFonts w:ascii="Arial" w:hAnsi="Arial" w:cs="Arial"/>
                <w:b/>
                <w:sz w:val="18"/>
                <w:szCs w:val="18"/>
              </w:rPr>
            </w:pPr>
            <w:bookmarkStart w:id="1018" w:name="_Toc4060435"/>
            <w:r w:rsidRPr="00587444">
              <w:rPr>
                <w:rFonts w:ascii="Arial" w:hAnsi="Arial" w:cs="Arial"/>
                <w:b/>
                <w:sz w:val="18"/>
                <w:szCs w:val="18"/>
              </w:rPr>
              <w:t>Total</w:t>
            </w:r>
            <w:bookmarkEnd w:id="1018"/>
          </w:p>
        </w:tc>
        <w:tc>
          <w:tcPr>
            <w:tcW w:w="1397" w:type="dxa"/>
            <w:gridSpan w:val="2"/>
            <w:tcBorders>
              <w:top w:val="single" w:sz="4" w:space="0" w:color="auto"/>
              <w:bottom w:val="single" w:sz="12" w:space="0" w:color="auto"/>
              <w:right w:val="nil"/>
            </w:tcBorders>
            <w:shd w:val="clear" w:color="auto" w:fill="auto"/>
            <w:vAlign w:val="bottom"/>
          </w:tcPr>
          <w:p w14:paraId="7BE66DDD"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z w:val="18"/>
                <w:szCs w:val="18"/>
              </w:rPr>
            </w:pPr>
            <w:r w:rsidRPr="00587444">
              <w:rPr>
                <w:rFonts w:ascii="Arial" w:eastAsia="Calibri" w:hAnsi="Arial" w:cs="Arial"/>
                <w:b/>
                <w:bCs/>
                <w:color w:val="000000"/>
                <w:sz w:val="18"/>
                <w:szCs w:val="18"/>
              </w:rPr>
              <w:t>214,130</w:t>
            </w:r>
          </w:p>
        </w:tc>
        <w:tc>
          <w:tcPr>
            <w:tcW w:w="1365" w:type="dxa"/>
            <w:tcBorders>
              <w:top w:val="single" w:sz="4" w:space="0" w:color="auto"/>
              <w:left w:val="nil"/>
              <w:bottom w:val="single" w:sz="12" w:space="0" w:color="auto"/>
              <w:right w:val="nil"/>
            </w:tcBorders>
            <w:shd w:val="clear" w:color="auto" w:fill="auto"/>
            <w:vAlign w:val="bottom"/>
          </w:tcPr>
          <w:p w14:paraId="5211A9C6"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z w:val="18"/>
                <w:szCs w:val="18"/>
              </w:rPr>
            </w:pPr>
            <w:r w:rsidRPr="00587444">
              <w:rPr>
                <w:rFonts w:ascii="Arial" w:eastAsia="Calibri" w:hAnsi="Arial" w:cs="Arial"/>
                <w:b/>
                <w:bCs/>
                <w:color w:val="000000"/>
                <w:sz w:val="18"/>
                <w:szCs w:val="18"/>
              </w:rPr>
              <w:t>92,153</w:t>
            </w:r>
          </w:p>
        </w:tc>
        <w:tc>
          <w:tcPr>
            <w:tcW w:w="1389" w:type="dxa"/>
            <w:gridSpan w:val="2"/>
            <w:tcBorders>
              <w:top w:val="single" w:sz="4" w:space="0" w:color="auto"/>
              <w:bottom w:val="single" w:sz="12" w:space="0" w:color="auto"/>
              <w:right w:val="nil"/>
            </w:tcBorders>
            <w:shd w:val="clear" w:color="auto" w:fill="auto"/>
            <w:vAlign w:val="bottom"/>
          </w:tcPr>
          <w:p w14:paraId="0AAAFFC1"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18"/>
                <w:szCs w:val="18"/>
              </w:rPr>
            </w:pPr>
            <w:r w:rsidRPr="00587444">
              <w:rPr>
                <w:rFonts w:ascii="Arial" w:eastAsia="Calibri" w:hAnsi="Arial" w:cs="Arial"/>
                <w:b/>
                <w:bCs/>
                <w:color w:val="000000"/>
                <w:sz w:val="18"/>
                <w:szCs w:val="18"/>
              </w:rPr>
              <w:t>187,833</w:t>
            </w:r>
          </w:p>
        </w:tc>
        <w:tc>
          <w:tcPr>
            <w:tcW w:w="1350" w:type="dxa"/>
            <w:tcBorders>
              <w:top w:val="single" w:sz="4" w:space="0" w:color="auto"/>
              <w:left w:val="nil"/>
              <w:bottom w:val="single" w:sz="12" w:space="0" w:color="auto"/>
              <w:right w:val="nil"/>
            </w:tcBorders>
            <w:shd w:val="clear" w:color="auto" w:fill="auto"/>
            <w:vAlign w:val="bottom"/>
          </w:tcPr>
          <w:p w14:paraId="5D223507"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18"/>
                <w:szCs w:val="18"/>
              </w:rPr>
            </w:pPr>
            <w:r w:rsidRPr="00587444">
              <w:rPr>
                <w:rFonts w:ascii="Arial" w:eastAsia="Calibri" w:hAnsi="Arial" w:cs="Arial"/>
                <w:b/>
                <w:bCs/>
                <w:color w:val="000000"/>
                <w:sz w:val="18"/>
                <w:szCs w:val="18"/>
              </w:rPr>
              <w:t>86,558</w:t>
            </w:r>
          </w:p>
        </w:tc>
      </w:tr>
    </w:tbl>
    <w:p w14:paraId="6AC47238" w14:textId="77777777" w:rsidR="00587444" w:rsidRPr="00587444" w:rsidRDefault="00587444" w:rsidP="00587444">
      <w:pPr>
        <w:suppressAutoHyphens w:val="0"/>
        <w:autoSpaceDN/>
        <w:jc w:val="both"/>
        <w:rPr>
          <w:rFonts w:ascii="Arial" w:hAnsi="Arial" w:cs="Arial"/>
          <w:b/>
          <w:sz w:val="20"/>
          <w:szCs w:val="20"/>
        </w:rPr>
      </w:pPr>
    </w:p>
    <w:p w14:paraId="0D5ECBDA" w14:textId="77777777" w:rsidR="00587444" w:rsidRPr="00587444" w:rsidRDefault="00587444" w:rsidP="00880B90">
      <w:pPr>
        <w:tabs>
          <w:tab w:val="right" w:pos="1202"/>
          <w:tab w:val="left" w:pos="9180"/>
        </w:tabs>
        <w:autoSpaceDN/>
        <w:jc w:val="both"/>
        <w:outlineLvl w:val="0"/>
        <w:rPr>
          <w:rFonts w:ascii="Arial" w:hAnsi="Arial" w:cs="Arial"/>
          <w:sz w:val="20"/>
          <w:szCs w:val="20"/>
        </w:rPr>
      </w:pPr>
      <w:bookmarkStart w:id="1019" w:name="_Toc4060440"/>
      <w:r w:rsidRPr="00587444">
        <w:rPr>
          <w:rFonts w:ascii="Arial" w:hAnsi="Arial" w:cs="Arial"/>
          <w:sz w:val="20"/>
          <w:szCs w:val="20"/>
        </w:rPr>
        <w:t xml:space="preserve">Assets include loans to other customers, debt instruments at </w:t>
      </w:r>
      <w:proofErr w:type="spellStart"/>
      <w:r w:rsidRPr="00587444">
        <w:rPr>
          <w:rFonts w:ascii="Arial" w:hAnsi="Arial" w:cs="Arial"/>
          <w:sz w:val="20"/>
          <w:szCs w:val="20"/>
        </w:rPr>
        <w:t>amortised</w:t>
      </w:r>
      <w:proofErr w:type="spellEnd"/>
      <w:r w:rsidRPr="00587444">
        <w:rPr>
          <w:rFonts w:ascii="Arial" w:hAnsi="Arial" w:cs="Arial"/>
          <w:sz w:val="20"/>
          <w:szCs w:val="20"/>
        </w:rPr>
        <w:t xml:space="preserve"> cost, financial assets at fair value through other comprehensive income, other assets and off-balance sheet exposure relating to commitments.</w:t>
      </w:r>
      <w:bookmarkEnd w:id="1019"/>
    </w:p>
    <w:p w14:paraId="08BF2744" w14:textId="77777777" w:rsidR="00587444" w:rsidRPr="00587444" w:rsidRDefault="00587444" w:rsidP="00880B90">
      <w:pPr>
        <w:tabs>
          <w:tab w:val="right" w:pos="1202"/>
          <w:tab w:val="left" w:pos="9180"/>
        </w:tabs>
        <w:autoSpaceDN/>
        <w:jc w:val="both"/>
        <w:outlineLvl w:val="0"/>
        <w:rPr>
          <w:rFonts w:ascii="Arial" w:hAnsi="Arial" w:cs="Arial"/>
          <w:sz w:val="20"/>
          <w:szCs w:val="20"/>
        </w:rPr>
      </w:pPr>
    </w:p>
    <w:p w14:paraId="2852109B" w14:textId="77777777" w:rsidR="00587444" w:rsidRPr="00587444" w:rsidRDefault="00587444" w:rsidP="00880B90">
      <w:pPr>
        <w:autoSpaceDN/>
        <w:jc w:val="both"/>
        <w:rPr>
          <w:rFonts w:ascii="Arial" w:eastAsia="Calibri" w:hAnsi="Arial" w:cs="Arial"/>
          <w:sz w:val="20"/>
          <w:szCs w:val="20"/>
        </w:rPr>
      </w:pPr>
      <w:bookmarkStart w:id="1020" w:name="_Hlk3201926"/>
      <w:r w:rsidRPr="00587444">
        <w:rPr>
          <w:rFonts w:ascii="Arial" w:eastAsia="Calibri" w:hAnsi="Arial" w:cs="Arial"/>
          <w:sz w:val="20"/>
          <w:szCs w:val="20"/>
        </w:rPr>
        <w:t>Liabilities include liabilities for deposits, salaries, provisions on behalf of retirement and jubilee awards of key management and other liabilities.</w:t>
      </w:r>
    </w:p>
    <w:bookmarkEnd w:id="1020"/>
    <w:p w14:paraId="6F53C6EC" w14:textId="77777777" w:rsidR="00587444" w:rsidRPr="00587444" w:rsidRDefault="00587444" w:rsidP="00880B90">
      <w:pPr>
        <w:tabs>
          <w:tab w:val="right" w:pos="1202"/>
          <w:tab w:val="left" w:pos="9180"/>
        </w:tabs>
        <w:autoSpaceDN/>
        <w:jc w:val="both"/>
        <w:outlineLvl w:val="0"/>
        <w:rPr>
          <w:rFonts w:ascii="Arial" w:hAnsi="Arial" w:cs="Arial"/>
          <w:sz w:val="20"/>
          <w:szCs w:val="20"/>
        </w:rPr>
      </w:pPr>
    </w:p>
    <w:p w14:paraId="7C0349E9" w14:textId="77777777" w:rsidR="00587444" w:rsidRPr="00587444" w:rsidRDefault="00587444" w:rsidP="00880B90">
      <w:pPr>
        <w:tabs>
          <w:tab w:val="right" w:pos="1202"/>
          <w:tab w:val="left" w:pos="9180"/>
        </w:tabs>
        <w:autoSpaceDN/>
        <w:outlineLvl w:val="0"/>
        <w:rPr>
          <w:rFonts w:ascii="Arial" w:hAnsi="Arial" w:cs="Arial"/>
          <w:sz w:val="20"/>
          <w:szCs w:val="20"/>
        </w:rPr>
      </w:pPr>
      <w:bookmarkStart w:id="1021" w:name="_Toc4060441"/>
      <w:r w:rsidRPr="00587444">
        <w:rPr>
          <w:rFonts w:ascii="Arial" w:hAnsi="Arial" w:cs="Arial"/>
          <w:sz w:val="20"/>
          <w:szCs w:val="20"/>
        </w:rPr>
        <w:t>Income includes interest income, fee income and reversal of impairment losses and provisions.</w:t>
      </w:r>
      <w:bookmarkEnd w:id="1021"/>
      <w:r w:rsidRPr="00587444">
        <w:rPr>
          <w:rFonts w:ascii="Arial" w:hAnsi="Arial" w:cs="Arial"/>
          <w:sz w:val="20"/>
          <w:szCs w:val="20"/>
        </w:rPr>
        <w:t xml:space="preserve"> </w:t>
      </w:r>
    </w:p>
    <w:p w14:paraId="25376B5A" w14:textId="77777777" w:rsidR="00587444" w:rsidRPr="00587444" w:rsidRDefault="00587444" w:rsidP="00880B90">
      <w:pPr>
        <w:tabs>
          <w:tab w:val="right" w:pos="1202"/>
          <w:tab w:val="left" w:pos="9180"/>
        </w:tabs>
        <w:autoSpaceDN/>
        <w:outlineLvl w:val="0"/>
        <w:rPr>
          <w:rFonts w:ascii="Arial" w:hAnsi="Arial" w:cs="Arial"/>
          <w:sz w:val="20"/>
          <w:szCs w:val="20"/>
        </w:rPr>
      </w:pPr>
    </w:p>
    <w:p w14:paraId="5A1E3156" w14:textId="77777777" w:rsidR="00587444" w:rsidRPr="00587444" w:rsidRDefault="00587444" w:rsidP="00880B90">
      <w:pPr>
        <w:autoSpaceDN/>
        <w:jc w:val="both"/>
        <w:rPr>
          <w:rFonts w:ascii="Arial" w:eastAsia="Calibri" w:hAnsi="Arial" w:cs="Arial"/>
          <w:sz w:val="20"/>
          <w:szCs w:val="20"/>
        </w:rPr>
      </w:pPr>
      <w:bookmarkStart w:id="1022" w:name="_Hlk523145345"/>
      <w:r w:rsidRPr="00587444">
        <w:rPr>
          <w:rFonts w:ascii="Arial" w:eastAsia="Calibri" w:hAnsi="Arial" w:cs="Arial"/>
          <w:sz w:val="20"/>
          <w:szCs w:val="20"/>
        </w:rPr>
        <w:t>Expenses include expenses for key management salaries, impairment loss and provisions.</w:t>
      </w:r>
    </w:p>
    <w:p w14:paraId="5357A1AF" w14:textId="77777777" w:rsidR="00587444" w:rsidRPr="00587444" w:rsidRDefault="00587444" w:rsidP="00587444">
      <w:pPr>
        <w:suppressAutoHyphens w:val="0"/>
        <w:autoSpaceDN/>
        <w:jc w:val="both"/>
        <w:rPr>
          <w:rFonts w:ascii="Arial" w:eastAsia="Calibri" w:hAnsi="Arial" w:cs="Arial"/>
          <w:sz w:val="20"/>
          <w:szCs w:val="20"/>
        </w:rPr>
      </w:pPr>
    </w:p>
    <w:p w14:paraId="63E29090" w14:textId="77777777" w:rsidR="00587444" w:rsidRPr="00587444" w:rsidRDefault="00587444" w:rsidP="00587444">
      <w:pPr>
        <w:suppressAutoHyphens w:val="0"/>
        <w:autoSpaceDN/>
        <w:jc w:val="both"/>
        <w:rPr>
          <w:rFonts w:ascii="Arial" w:eastAsia="Calibri" w:hAnsi="Arial" w:cs="Arial"/>
          <w:sz w:val="20"/>
          <w:szCs w:val="20"/>
        </w:rPr>
        <w:sectPr w:rsidR="00587444" w:rsidRPr="00587444" w:rsidSect="00DD69E7">
          <w:pgSz w:w="11907" w:h="16840" w:code="9"/>
          <w:pgMar w:top="1418" w:right="1134" w:bottom="1134" w:left="1418" w:header="851" w:footer="851" w:gutter="0"/>
          <w:cols w:space="720"/>
          <w:noEndnote/>
        </w:sectPr>
      </w:pPr>
    </w:p>
    <w:p w14:paraId="05D0C3ED" w14:textId="77777777" w:rsidR="00587444" w:rsidRPr="00587444" w:rsidRDefault="00587444" w:rsidP="00587444">
      <w:pPr>
        <w:suppressAutoHyphens w:val="0"/>
        <w:autoSpaceDN/>
        <w:jc w:val="both"/>
        <w:rPr>
          <w:rFonts w:ascii="Arial" w:eastAsia="Calibri" w:hAnsi="Arial" w:cs="Arial"/>
          <w:sz w:val="20"/>
          <w:szCs w:val="20"/>
        </w:rPr>
      </w:pPr>
    </w:p>
    <w:bookmarkEnd w:id="1022"/>
    <w:p w14:paraId="34F905E2" w14:textId="77777777" w:rsidR="00587444" w:rsidRPr="00587444" w:rsidRDefault="00587444" w:rsidP="00587444">
      <w:pPr>
        <w:keepNext/>
        <w:tabs>
          <w:tab w:val="left" w:pos="567"/>
        </w:tabs>
        <w:suppressAutoHyphens w:val="0"/>
        <w:autoSpaceDN/>
        <w:jc w:val="both"/>
        <w:rPr>
          <w:rFonts w:ascii="Arial" w:hAnsi="Arial" w:cs="Arial"/>
          <w:b/>
          <w:sz w:val="20"/>
          <w:szCs w:val="20"/>
          <w:lang w:val="en-GB"/>
        </w:rPr>
      </w:pPr>
      <w:r w:rsidRPr="00587444">
        <w:rPr>
          <w:rFonts w:ascii="Arial" w:hAnsi="Arial" w:cs="Arial"/>
          <w:b/>
          <w:sz w:val="20"/>
          <w:szCs w:val="20"/>
          <w:lang w:val="en-GB"/>
        </w:rPr>
        <w:t>30.</w:t>
      </w:r>
      <w:r w:rsidRPr="00587444">
        <w:rPr>
          <w:rFonts w:ascii="Arial" w:hAnsi="Arial" w:cs="Arial"/>
          <w:b/>
          <w:sz w:val="20"/>
          <w:szCs w:val="20"/>
          <w:lang w:val="en-GB"/>
        </w:rPr>
        <w:tab/>
      </w:r>
      <w:r w:rsidRPr="00587444">
        <w:rPr>
          <w:rFonts w:ascii="Arial" w:hAnsi="Arial" w:cs="Arial"/>
          <w:b/>
          <w:bCs/>
          <w:sz w:val="20"/>
          <w:szCs w:val="20"/>
          <w:lang w:val="en-GB"/>
        </w:rPr>
        <w:t>Related-party transactions</w:t>
      </w:r>
      <w:r w:rsidRPr="00587444">
        <w:rPr>
          <w:rFonts w:ascii="Arial" w:hAnsi="Arial" w:cs="Arial"/>
          <w:b/>
          <w:sz w:val="20"/>
          <w:szCs w:val="20"/>
          <w:lang w:val="en-GB"/>
        </w:rPr>
        <w:t xml:space="preserve"> (continued)</w:t>
      </w:r>
    </w:p>
    <w:p w14:paraId="50637E13" w14:textId="77777777" w:rsidR="00587444" w:rsidRPr="00587444" w:rsidRDefault="00587444" w:rsidP="00587444">
      <w:pPr>
        <w:keepNext/>
        <w:tabs>
          <w:tab w:val="left" w:pos="567"/>
        </w:tabs>
        <w:suppressAutoHyphens w:val="0"/>
        <w:autoSpaceDN/>
        <w:jc w:val="both"/>
        <w:rPr>
          <w:rFonts w:ascii="Arial" w:hAnsi="Arial" w:cs="Arial"/>
          <w:bCs/>
          <w:sz w:val="20"/>
          <w:szCs w:val="20"/>
          <w:lang w:val="en-GB"/>
        </w:rPr>
      </w:pPr>
    </w:p>
    <w:p w14:paraId="13E889FA" w14:textId="77777777" w:rsidR="00587444" w:rsidRPr="00587444" w:rsidRDefault="00587444" w:rsidP="00587444">
      <w:pPr>
        <w:tabs>
          <w:tab w:val="left" w:pos="426"/>
          <w:tab w:val="right" w:pos="1202"/>
        </w:tabs>
        <w:suppressAutoHyphens w:val="0"/>
        <w:autoSpaceDN/>
        <w:ind w:left="567" w:hanging="567"/>
        <w:outlineLvl w:val="0"/>
        <w:rPr>
          <w:rFonts w:ascii="Arial" w:hAnsi="Arial" w:cs="Arial"/>
          <w:sz w:val="20"/>
          <w:szCs w:val="20"/>
          <w:lang w:val="en-GB"/>
        </w:rPr>
      </w:pPr>
      <w:bookmarkStart w:id="1023" w:name="_Toc4060442"/>
      <w:r w:rsidRPr="00587444">
        <w:rPr>
          <w:rFonts w:ascii="Arial" w:hAnsi="Arial" w:cs="Arial"/>
          <w:sz w:val="20"/>
          <w:szCs w:val="20"/>
          <w:lang w:val="en-GB"/>
        </w:rPr>
        <w:t>b)</w:t>
      </w:r>
      <w:r w:rsidRPr="00587444">
        <w:rPr>
          <w:rFonts w:ascii="Arial" w:hAnsi="Arial" w:cs="Arial"/>
          <w:sz w:val="20"/>
          <w:szCs w:val="20"/>
          <w:lang w:val="en-GB"/>
        </w:rPr>
        <w:tab/>
        <w:t>Collateral received</w:t>
      </w:r>
      <w:bookmarkEnd w:id="1023"/>
    </w:p>
    <w:p w14:paraId="5B0204F3" w14:textId="77777777" w:rsidR="00587444" w:rsidRPr="00587444" w:rsidRDefault="00587444" w:rsidP="00587444">
      <w:pPr>
        <w:tabs>
          <w:tab w:val="left" w:pos="426"/>
          <w:tab w:val="right" w:pos="1202"/>
        </w:tabs>
        <w:suppressAutoHyphens w:val="0"/>
        <w:autoSpaceDN/>
        <w:ind w:left="567" w:hanging="567"/>
        <w:outlineLvl w:val="0"/>
        <w:rPr>
          <w:rFonts w:ascii="Arial" w:hAnsi="Arial" w:cs="Arial"/>
          <w:sz w:val="20"/>
          <w:szCs w:val="20"/>
          <w:lang w:val="en-GB"/>
        </w:rPr>
      </w:pPr>
    </w:p>
    <w:p w14:paraId="7784C2E7" w14:textId="77777777" w:rsidR="00587444" w:rsidRPr="00587444" w:rsidRDefault="00587444" w:rsidP="00587444">
      <w:pPr>
        <w:suppressAutoHyphens w:val="0"/>
        <w:autoSpaceDN/>
        <w:spacing w:line="360" w:lineRule="auto"/>
        <w:jc w:val="both"/>
        <w:rPr>
          <w:rFonts w:ascii="Arial" w:hAnsi="Arial" w:cs="Arial"/>
          <w:b/>
          <w:sz w:val="20"/>
          <w:szCs w:val="20"/>
          <w:lang w:val="en-GB"/>
        </w:rPr>
      </w:pPr>
    </w:p>
    <w:tbl>
      <w:tblPr>
        <w:tblW w:w="5000" w:type="pct"/>
        <w:tblLayout w:type="fixed"/>
        <w:tblCellMar>
          <w:left w:w="56" w:type="dxa"/>
          <w:right w:w="56" w:type="dxa"/>
        </w:tblCellMar>
        <w:tblLook w:val="00A0" w:firstRow="1" w:lastRow="0" w:firstColumn="1" w:lastColumn="0" w:noHBand="0" w:noVBand="0"/>
      </w:tblPr>
      <w:tblGrid>
        <w:gridCol w:w="3013"/>
        <w:gridCol w:w="1613"/>
        <w:gridCol w:w="1613"/>
        <w:gridCol w:w="1613"/>
        <w:gridCol w:w="1615"/>
      </w:tblGrid>
      <w:tr w:rsidR="00587444" w:rsidRPr="00587444" w14:paraId="05E52829" w14:textId="77777777" w:rsidTr="00DD69E7">
        <w:trPr>
          <w:trHeight w:val="204"/>
        </w:trPr>
        <w:tc>
          <w:tcPr>
            <w:tcW w:w="1591" w:type="pct"/>
            <w:vAlign w:val="bottom"/>
          </w:tcPr>
          <w:p w14:paraId="3B3615F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lang w:val="en-GB"/>
              </w:rPr>
            </w:pPr>
          </w:p>
        </w:tc>
        <w:tc>
          <w:tcPr>
            <w:tcW w:w="852" w:type="pct"/>
          </w:tcPr>
          <w:p w14:paraId="24F4D2D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en-GB"/>
              </w:rPr>
            </w:pPr>
          </w:p>
        </w:tc>
        <w:tc>
          <w:tcPr>
            <w:tcW w:w="852" w:type="pct"/>
          </w:tcPr>
          <w:p w14:paraId="5F49212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en-GB"/>
              </w:rPr>
            </w:pPr>
            <w:bookmarkStart w:id="1024" w:name="_Toc4060443"/>
            <w:r w:rsidRPr="00587444">
              <w:rPr>
                <w:rFonts w:ascii="Arial" w:hAnsi="Arial" w:cs="Arial"/>
                <w:b/>
                <w:sz w:val="18"/>
                <w:szCs w:val="18"/>
                <w:lang w:val="en-GB"/>
              </w:rPr>
              <w:t>Group</w:t>
            </w:r>
            <w:bookmarkEnd w:id="1024"/>
          </w:p>
        </w:tc>
        <w:tc>
          <w:tcPr>
            <w:tcW w:w="852" w:type="pct"/>
          </w:tcPr>
          <w:p w14:paraId="1388AA1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en-GB"/>
              </w:rPr>
            </w:pPr>
          </w:p>
        </w:tc>
        <w:tc>
          <w:tcPr>
            <w:tcW w:w="853" w:type="pct"/>
          </w:tcPr>
          <w:p w14:paraId="7CF2B3B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en-GB"/>
              </w:rPr>
            </w:pPr>
            <w:bookmarkStart w:id="1025" w:name="_Toc4060444"/>
            <w:r w:rsidRPr="00587444">
              <w:rPr>
                <w:rFonts w:ascii="Arial" w:hAnsi="Arial" w:cs="Arial"/>
                <w:b/>
                <w:sz w:val="18"/>
                <w:szCs w:val="18"/>
                <w:lang w:val="en-GB"/>
              </w:rPr>
              <w:t>Bank</w:t>
            </w:r>
            <w:bookmarkEnd w:id="1025"/>
          </w:p>
        </w:tc>
      </w:tr>
      <w:tr w:rsidR="00587444" w:rsidRPr="00587444" w14:paraId="61D62B8C" w14:textId="77777777" w:rsidTr="00DD69E7">
        <w:trPr>
          <w:trHeight w:val="179"/>
        </w:trPr>
        <w:tc>
          <w:tcPr>
            <w:tcW w:w="1591" w:type="pct"/>
            <w:vAlign w:val="bottom"/>
          </w:tcPr>
          <w:p w14:paraId="434254A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lang w:val="en-GB"/>
              </w:rPr>
            </w:pPr>
          </w:p>
        </w:tc>
        <w:tc>
          <w:tcPr>
            <w:tcW w:w="852" w:type="pct"/>
          </w:tcPr>
          <w:p w14:paraId="62B7825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en-GB"/>
              </w:rPr>
            </w:pPr>
            <w:bookmarkStart w:id="1026" w:name="_Toc4060445"/>
            <w:r w:rsidRPr="00587444">
              <w:rPr>
                <w:rFonts w:ascii="Arial" w:hAnsi="Arial" w:cs="Arial"/>
                <w:b/>
                <w:sz w:val="18"/>
                <w:szCs w:val="18"/>
                <w:lang w:val="en-GB"/>
              </w:rPr>
              <w:t>31 December 202</w:t>
            </w:r>
            <w:bookmarkEnd w:id="1026"/>
            <w:r w:rsidRPr="00587444">
              <w:rPr>
                <w:rFonts w:ascii="Arial" w:hAnsi="Arial" w:cs="Arial"/>
                <w:b/>
                <w:sz w:val="18"/>
                <w:szCs w:val="18"/>
                <w:lang w:val="en-GB"/>
              </w:rPr>
              <w:t>2</w:t>
            </w:r>
          </w:p>
        </w:tc>
        <w:tc>
          <w:tcPr>
            <w:tcW w:w="852" w:type="pct"/>
          </w:tcPr>
          <w:p w14:paraId="3510D38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en-GB"/>
              </w:rPr>
            </w:pPr>
            <w:r w:rsidRPr="00587444">
              <w:rPr>
                <w:rFonts w:ascii="Arial" w:hAnsi="Arial" w:cs="Arial"/>
                <w:b/>
                <w:sz w:val="18"/>
                <w:szCs w:val="18"/>
                <w:lang w:val="en-GB"/>
              </w:rPr>
              <w:t>31 December 2021</w:t>
            </w:r>
          </w:p>
        </w:tc>
        <w:tc>
          <w:tcPr>
            <w:tcW w:w="852" w:type="pct"/>
          </w:tcPr>
          <w:p w14:paraId="618F75D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en-GB"/>
              </w:rPr>
            </w:pPr>
            <w:bookmarkStart w:id="1027" w:name="_Toc4060447"/>
            <w:r w:rsidRPr="00587444">
              <w:rPr>
                <w:rFonts w:ascii="Arial" w:hAnsi="Arial" w:cs="Arial"/>
                <w:b/>
                <w:sz w:val="18"/>
                <w:szCs w:val="18"/>
                <w:lang w:val="en-GB"/>
              </w:rPr>
              <w:t>31 December 202</w:t>
            </w:r>
            <w:bookmarkEnd w:id="1027"/>
            <w:r w:rsidRPr="00587444">
              <w:rPr>
                <w:rFonts w:ascii="Arial" w:hAnsi="Arial" w:cs="Arial"/>
                <w:b/>
                <w:sz w:val="18"/>
                <w:szCs w:val="18"/>
                <w:lang w:val="en-GB"/>
              </w:rPr>
              <w:t>2</w:t>
            </w:r>
          </w:p>
        </w:tc>
        <w:tc>
          <w:tcPr>
            <w:tcW w:w="853" w:type="pct"/>
          </w:tcPr>
          <w:p w14:paraId="57A7F7B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en-GB"/>
              </w:rPr>
            </w:pPr>
            <w:r w:rsidRPr="00587444">
              <w:rPr>
                <w:rFonts w:ascii="Arial" w:hAnsi="Arial" w:cs="Arial"/>
                <w:b/>
                <w:sz w:val="18"/>
                <w:szCs w:val="18"/>
                <w:lang w:val="en-GB"/>
              </w:rPr>
              <w:t>31 December 2021</w:t>
            </w:r>
          </w:p>
        </w:tc>
      </w:tr>
      <w:tr w:rsidR="00587444" w:rsidRPr="00587444" w14:paraId="47AFC8E2" w14:textId="77777777" w:rsidTr="00DD69E7">
        <w:tc>
          <w:tcPr>
            <w:tcW w:w="1591" w:type="pct"/>
            <w:vAlign w:val="bottom"/>
          </w:tcPr>
          <w:p w14:paraId="7051896D"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lang w:val="en-GB"/>
              </w:rPr>
            </w:pPr>
          </w:p>
        </w:tc>
        <w:tc>
          <w:tcPr>
            <w:tcW w:w="852" w:type="pct"/>
          </w:tcPr>
          <w:p w14:paraId="0312063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sz w:val="18"/>
                <w:szCs w:val="18"/>
                <w:lang w:val="en-GB"/>
              </w:rPr>
            </w:pPr>
            <w:bookmarkStart w:id="1028" w:name="_Toc4060449"/>
            <w:r w:rsidRPr="00587444">
              <w:rPr>
                <w:rFonts w:ascii="Arial" w:hAnsi="Arial" w:cs="Arial"/>
                <w:b/>
                <w:bCs/>
                <w:sz w:val="18"/>
                <w:szCs w:val="18"/>
                <w:lang w:val="en-GB"/>
              </w:rPr>
              <w:t>HRK '000</w:t>
            </w:r>
            <w:bookmarkEnd w:id="1028"/>
            <w:r w:rsidRPr="00587444">
              <w:rPr>
                <w:rFonts w:ascii="Arial" w:hAnsi="Arial" w:cs="Arial"/>
                <w:b/>
                <w:bCs/>
                <w:sz w:val="18"/>
                <w:szCs w:val="18"/>
                <w:lang w:val="en-GB"/>
              </w:rPr>
              <w:t xml:space="preserve"> </w:t>
            </w:r>
          </w:p>
        </w:tc>
        <w:tc>
          <w:tcPr>
            <w:tcW w:w="852" w:type="pct"/>
          </w:tcPr>
          <w:p w14:paraId="65847FB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sz w:val="18"/>
                <w:szCs w:val="18"/>
                <w:lang w:val="en-GB"/>
              </w:rPr>
            </w:pPr>
            <w:r w:rsidRPr="00587444">
              <w:rPr>
                <w:rFonts w:ascii="Arial" w:hAnsi="Arial" w:cs="Arial"/>
                <w:b/>
                <w:bCs/>
                <w:sz w:val="18"/>
                <w:szCs w:val="18"/>
                <w:lang w:val="en-GB"/>
              </w:rPr>
              <w:t xml:space="preserve">HRK '000 </w:t>
            </w:r>
          </w:p>
        </w:tc>
        <w:tc>
          <w:tcPr>
            <w:tcW w:w="852" w:type="pct"/>
          </w:tcPr>
          <w:p w14:paraId="272430E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sz w:val="18"/>
                <w:szCs w:val="18"/>
                <w:lang w:val="en-GB"/>
              </w:rPr>
            </w:pPr>
            <w:bookmarkStart w:id="1029" w:name="_Toc4060451"/>
            <w:r w:rsidRPr="00587444">
              <w:rPr>
                <w:rFonts w:ascii="Arial" w:hAnsi="Arial" w:cs="Arial"/>
                <w:b/>
                <w:bCs/>
                <w:sz w:val="18"/>
                <w:szCs w:val="18"/>
                <w:lang w:val="en-GB"/>
              </w:rPr>
              <w:t>HRK '000</w:t>
            </w:r>
            <w:bookmarkEnd w:id="1029"/>
          </w:p>
        </w:tc>
        <w:tc>
          <w:tcPr>
            <w:tcW w:w="853" w:type="pct"/>
          </w:tcPr>
          <w:p w14:paraId="3274D8D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sz w:val="18"/>
                <w:szCs w:val="18"/>
                <w:lang w:val="en-GB"/>
              </w:rPr>
            </w:pPr>
            <w:r w:rsidRPr="00587444">
              <w:rPr>
                <w:rFonts w:ascii="Arial" w:hAnsi="Arial" w:cs="Arial"/>
                <w:b/>
                <w:bCs/>
                <w:sz w:val="18"/>
                <w:szCs w:val="18"/>
                <w:lang w:val="en-GB"/>
              </w:rPr>
              <w:t>HRK '000</w:t>
            </w:r>
          </w:p>
        </w:tc>
      </w:tr>
      <w:tr w:rsidR="00587444" w:rsidRPr="00587444" w14:paraId="2ADCA2C6" w14:textId="77777777" w:rsidTr="00DD69E7">
        <w:trPr>
          <w:trHeight w:val="186"/>
        </w:trPr>
        <w:tc>
          <w:tcPr>
            <w:tcW w:w="1591" w:type="pct"/>
            <w:vAlign w:val="bottom"/>
          </w:tcPr>
          <w:p w14:paraId="3DBA6DF4" w14:textId="77777777" w:rsidR="00587444" w:rsidRPr="00587444" w:rsidRDefault="00587444" w:rsidP="00587444">
            <w:pPr>
              <w:tabs>
                <w:tab w:val="right" w:pos="1202"/>
              </w:tabs>
              <w:suppressAutoHyphens w:val="0"/>
              <w:autoSpaceDN/>
              <w:spacing w:line="120" w:lineRule="exact"/>
              <w:outlineLvl w:val="0"/>
              <w:rPr>
                <w:rFonts w:ascii="Arial" w:hAnsi="Arial" w:cs="Arial"/>
                <w:b/>
                <w:sz w:val="18"/>
                <w:szCs w:val="18"/>
                <w:lang w:val="en-GB"/>
              </w:rPr>
            </w:pPr>
          </w:p>
        </w:tc>
        <w:tc>
          <w:tcPr>
            <w:tcW w:w="852" w:type="pct"/>
          </w:tcPr>
          <w:p w14:paraId="3418FA0A" w14:textId="77777777" w:rsidR="00587444" w:rsidRPr="00587444" w:rsidRDefault="00587444" w:rsidP="00587444">
            <w:pPr>
              <w:tabs>
                <w:tab w:val="right" w:pos="1202"/>
              </w:tabs>
              <w:suppressAutoHyphens w:val="0"/>
              <w:autoSpaceDN/>
              <w:spacing w:line="120" w:lineRule="exact"/>
              <w:jc w:val="right"/>
              <w:outlineLvl w:val="0"/>
              <w:rPr>
                <w:rFonts w:ascii="Arial" w:hAnsi="Arial" w:cs="Arial"/>
                <w:bCs/>
                <w:sz w:val="18"/>
                <w:szCs w:val="18"/>
                <w:lang w:val="en-GB"/>
              </w:rPr>
            </w:pPr>
          </w:p>
        </w:tc>
        <w:tc>
          <w:tcPr>
            <w:tcW w:w="852" w:type="pct"/>
          </w:tcPr>
          <w:p w14:paraId="3D3D27A7" w14:textId="77777777" w:rsidR="00587444" w:rsidRPr="00587444" w:rsidRDefault="00587444" w:rsidP="00587444">
            <w:pPr>
              <w:tabs>
                <w:tab w:val="right" w:pos="1202"/>
              </w:tabs>
              <w:suppressAutoHyphens w:val="0"/>
              <w:autoSpaceDN/>
              <w:spacing w:line="120" w:lineRule="exact"/>
              <w:jc w:val="right"/>
              <w:outlineLvl w:val="0"/>
              <w:rPr>
                <w:rFonts w:ascii="Arial" w:hAnsi="Arial" w:cs="Arial"/>
                <w:bCs/>
                <w:sz w:val="18"/>
                <w:szCs w:val="18"/>
                <w:lang w:val="en-GB"/>
              </w:rPr>
            </w:pPr>
          </w:p>
        </w:tc>
        <w:tc>
          <w:tcPr>
            <w:tcW w:w="852" w:type="pct"/>
            <w:vAlign w:val="bottom"/>
          </w:tcPr>
          <w:p w14:paraId="6E26F939" w14:textId="77777777" w:rsidR="00587444" w:rsidRPr="00587444" w:rsidRDefault="00587444" w:rsidP="00587444">
            <w:pPr>
              <w:tabs>
                <w:tab w:val="right" w:pos="1202"/>
              </w:tabs>
              <w:suppressAutoHyphens w:val="0"/>
              <w:autoSpaceDN/>
              <w:spacing w:line="120" w:lineRule="exact"/>
              <w:jc w:val="right"/>
              <w:outlineLvl w:val="0"/>
              <w:rPr>
                <w:rFonts w:ascii="Arial" w:hAnsi="Arial" w:cs="Arial"/>
                <w:bCs/>
                <w:sz w:val="18"/>
                <w:szCs w:val="18"/>
                <w:lang w:val="en-GB"/>
              </w:rPr>
            </w:pPr>
          </w:p>
        </w:tc>
        <w:tc>
          <w:tcPr>
            <w:tcW w:w="853" w:type="pct"/>
            <w:vAlign w:val="bottom"/>
          </w:tcPr>
          <w:p w14:paraId="6833EB74" w14:textId="77777777" w:rsidR="00587444" w:rsidRPr="00587444" w:rsidRDefault="00587444" w:rsidP="00587444">
            <w:pPr>
              <w:tabs>
                <w:tab w:val="right" w:pos="1202"/>
              </w:tabs>
              <w:suppressAutoHyphens w:val="0"/>
              <w:autoSpaceDN/>
              <w:spacing w:line="120" w:lineRule="exact"/>
              <w:jc w:val="right"/>
              <w:outlineLvl w:val="0"/>
              <w:rPr>
                <w:rFonts w:ascii="Arial" w:hAnsi="Arial" w:cs="Arial"/>
                <w:bCs/>
                <w:sz w:val="18"/>
                <w:szCs w:val="18"/>
                <w:lang w:val="en-GB"/>
              </w:rPr>
            </w:pPr>
          </w:p>
        </w:tc>
      </w:tr>
      <w:tr w:rsidR="00587444" w:rsidRPr="00587444" w14:paraId="256B7B1A" w14:textId="77777777" w:rsidTr="00DD69E7">
        <w:tc>
          <w:tcPr>
            <w:tcW w:w="1591" w:type="pct"/>
            <w:vAlign w:val="bottom"/>
          </w:tcPr>
          <w:p w14:paraId="6D5D5367"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lang w:val="en-GB"/>
              </w:rPr>
            </w:pPr>
            <w:bookmarkStart w:id="1030" w:name="_Toc4060453"/>
            <w:r w:rsidRPr="00587444">
              <w:rPr>
                <w:rFonts w:ascii="Arial" w:hAnsi="Arial" w:cs="Arial"/>
                <w:sz w:val="18"/>
                <w:szCs w:val="18"/>
                <w:lang w:val="en-GB"/>
              </w:rPr>
              <w:t>The Republic of Croatia</w:t>
            </w:r>
            <w:bookmarkEnd w:id="1030"/>
          </w:p>
        </w:tc>
        <w:tc>
          <w:tcPr>
            <w:tcW w:w="852" w:type="pct"/>
            <w:vAlign w:val="bottom"/>
          </w:tcPr>
          <w:p w14:paraId="30558F9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Cs/>
                <w:sz w:val="18"/>
                <w:szCs w:val="18"/>
                <w:lang w:val="hr-HR"/>
              </w:rPr>
            </w:pPr>
            <w:r w:rsidRPr="00587444">
              <w:rPr>
                <w:rFonts w:ascii="Arial" w:hAnsi="Arial" w:cs="Arial"/>
                <w:color w:val="000000"/>
                <w:sz w:val="18"/>
                <w:szCs w:val="18"/>
                <w:lang w:val="hr-HR"/>
              </w:rPr>
              <w:t>8,338,812</w:t>
            </w:r>
          </w:p>
        </w:tc>
        <w:tc>
          <w:tcPr>
            <w:tcW w:w="852" w:type="pct"/>
            <w:vAlign w:val="bottom"/>
          </w:tcPr>
          <w:p w14:paraId="5D71EFA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Cs/>
                <w:sz w:val="18"/>
                <w:szCs w:val="18"/>
                <w:lang w:val="hr-HR"/>
              </w:rPr>
            </w:pPr>
            <w:r w:rsidRPr="00587444">
              <w:rPr>
                <w:rFonts w:ascii="Arial" w:hAnsi="Arial" w:cs="Arial"/>
                <w:color w:val="000000"/>
                <w:sz w:val="18"/>
                <w:szCs w:val="18"/>
                <w:lang w:val="hr-HR"/>
              </w:rPr>
              <w:t>5,243,064</w:t>
            </w:r>
          </w:p>
        </w:tc>
        <w:tc>
          <w:tcPr>
            <w:tcW w:w="852" w:type="pct"/>
            <w:vAlign w:val="bottom"/>
          </w:tcPr>
          <w:p w14:paraId="770430D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Cs/>
                <w:sz w:val="18"/>
                <w:szCs w:val="18"/>
                <w:lang w:val="hr-HR"/>
              </w:rPr>
            </w:pPr>
            <w:r w:rsidRPr="00587444">
              <w:rPr>
                <w:rFonts w:ascii="Arial" w:hAnsi="Arial" w:cs="Arial"/>
                <w:bCs/>
                <w:color w:val="000000"/>
                <w:sz w:val="18"/>
                <w:szCs w:val="18"/>
                <w:lang w:val="hr-HR"/>
              </w:rPr>
              <w:t>8,337,030</w:t>
            </w:r>
          </w:p>
        </w:tc>
        <w:tc>
          <w:tcPr>
            <w:tcW w:w="853" w:type="pct"/>
            <w:vAlign w:val="bottom"/>
          </w:tcPr>
          <w:p w14:paraId="76D35B8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Cs/>
                <w:sz w:val="18"/>
                <w:szCs w:val="18"/>
                <w:lang w:val="hr-HR"/>
              </w:rPr>
            </w:pPr>
            <w:r w:rsidRPr="00587444">
              <w:rPr>
                <w:rFonts w:ascii="Arial" w:hAnsi="Arial" w:cs="Arial"/>
                <w:bCs/>
                <w:color w:val="000000"/>
                <w:sz w:val="18"/>
                <w:szCs w:val="18"/>
                <w:lang w:val="hr-HR"/>
              </w:rPr>
              <w:t>5,242,142</w:t>
            </w:r>
          </w:p>
        </w:tc>
      </w:tr>
      <w:tr w:rsidR="00587444" w:rsidRPr="00587444" w14:paraId="079B2004" w14:textId="77777777" w:rsidTr="00DD69E7">
        <w:tc>
          <w:tcPr>
            <w:tcW w:w="1591" w:type="pct"/>
            <w:vAlign w:val="bottom"/>
          </w:tcPr>
          <w:p w14:paraId="275E5051"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lang w:val="en-GB"/>
              </w:rPr>
            </w:pPr>
            <w:bookmarkStart w:id="1031" w:name="_Toc4060458"/>
            <w:r w:rsidRPr="00587444">
              <w:rPr>
                <w:rFonts w:ascii="Arial" w:hAnsi="Arial" w:cs="Arial"/>
                <w:sz w:val="18"/>
                <w:szCs w:val="18"/>
                <w:lang w:val="en-GB"/>
              </w:rPr>
              <w:t>State agencies</w:t>
            </w:r>
            <w:bookmarkEnd w:id="1031"/>
          </w:p>
        </w:tc>
        <w:tc>
          <w:tcPr>
            <w:tcW w:w="852" w:type="pct"/>
            <w:tcBorders>
              <w:bottom w:val="single" w:sz="8" w:space="0" w:color="auto"/>
            </w:tcBorders>
            <w:vAlign w:val="bottom"/>
          </w:tcPr>
          <w:p w14:paraId="683BEBE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Cs/>
                <w:sz w:val="18"/>
                <w:szCs w:val="18"/>
                <w:lang w:val="hr-HR"/>
              </w:rPr>
            </w:pPr>
            <w:r w:rsidRPr="00587444">
              <w:rPr>
                <w:rFonts w:ascii="Arial" w:hAnsi="Arial" w:cs="Arial"/>
                <w:color w:val="000000"/>
                <w:sz w:val="18"/>
                <w:szCs w:val="18"/>
                <w:lang w:val="hr-HR"/>
              </w:rPr>
              <w:t>466,131</w:t>
            </w:r>
          </w:p>
        </w:tc>
        <w:tc>
          <w:tcPr>
            <w:tcW w:w="852" w:type="pct"/>
            <w:tcBorders>
              <w:bottom w:val="single" w:sz="8" w:space="0" w:color="auto"/>
            </w:tcBorders>
            <w:vAlign w:val="bottom"/>
          </w:tcPr>
          <w:p w14:paraId="5DD694E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Cs/>
                <w:sz w:val="18"/>
                <w:szCs w:val="18"/>
                <w:lang w:val="hr-HR"/>
              </w:rPr>
            </w:pPr>
            <w:r w:rsidRPr="00587444">
              <w:rPr>
                <w:rFonts w:ascii="Arial" w:hAnsi="Arial" w:cs="Arial"/>
                <w:color w:val="000000"/>
                <w:sz w:val="18"/>
                <w:szCs w:val="18"/>
                <w:lang w:val="hr-HR"/>
              </w:rPr>
              <w:t>590,684</w:t>
            </w:r>
          </w:p>
        </w:tc>
        <w:tc>
          <w:tcPr>
            <w:tcW w:w="852" w:type="pct"/>
            <w:tcBorders>
              <w:bottom w:val="single" w:sz="8" w:space="0" w:color="auto"/>
            </w:tcBorders>
            <w:vAlign w:val="bottom"/>
          </w:tcPr>
          <w:p w14:paraId="0C1C19E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Cs/>
                <w:sz w:val="18"/>
                <w:szCs w:val="18"/>
                <w:lang w:val="hr-HR"/>
              </w:rPr>
            </w:pPr>
            <w:r w:rsidRPr="00587444">
              <w:rPr>
                <w:rFonts w:ascii="Arial" w:hAnsi="Arial" w:cs="Arial"/>
                <w:bCs/>
                <w:color w:val="000000"/>
                <w:sz w:val="18"/>
                <w:szCs w:val="18"/>
                <w:lang w:val="hr-HR"/>
              </w:rPr>
              <w:t>466,131</w:t>
            </w:r>
          </w:p>
        </w:tc>
        <w:tc>
          <w:tcPr>
            <w:tcW w:w="853" w:type="pct"/>
            <w:tcBorders>
              <w:bottom w:val="single" w:sz="8" w:space="0" w:color="auto"/>
            </w:tcBorders>
            <w:vAlign w:val="bottom"/>
          </w:tcPr>
          <w:p w14:paraId="2D1B33B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Cs/>
                <w:sz w:val="18"/>
                <w:szCs w:val="18"/>
                <w:lang w:val="hr-HR"/>
              </w:rPr>
            </w:pPr>
            <w:r w:rsidRPr="00587444">
              <w:rPr>
                <w:rFonts w:ascii="Arial" w:hAnsi="Arial" w:cs="Arial"/>
                <w:bCs/>
                <w:color w:val="000000"/>
                <w:sz w:val="18"/>
                <w:szCs w:val="18"/>
                <w:lang w:val="hr-HR"/>
              </w:rPr>
              <w:t>590,684</w:t>
            </w:r>
          </w:p>
        </w:tc>
      </w:tr>
      <w:tr w:rsidR="00587444" w:rsidRPr="00587444" w14:paraId="76004FBC" w14:textId="77777777" w:rsidTr="00DD69E7">
        <w:tc>
          <w:tcPr>
            <w:tcW w:w="1591" w:type="pct"/>
            <w:vAlign w:val="bottom"/>
          </w:tcPr>
          <w:p w14:paraId="6527DF97" w14:textId="77777777" w:rsidR="00587444" w:rsidRPr="00587444" w:rsidRDefault="00587444" w:rsidP="00587444">
            <w:pPr>
              <w:tabs>
                <w:tab w:val="right" w:pos="1202"/>
              </w:tabs>
              <w:suppressAutoHyphens w:val="0"/>
              <w:autoSpaceDN/>
              <w:spacing w:line="301" w:lineRule="exact"/>
              <w:outlineLvl w:val="0"/>
              <w:rPr>
                <w:rFonts w:ascii="Arial" w:hAnsi="Arial" w:cs="Arial"/>
                <w:b/>
                <w:sz w:val="18"/>
                <w:szCs w:val="18"/>
                <w:lang w:val="en-GB"/>
              </w:rPr>
            </w:pPr>
            <w:bookmarkStart w:id="1032" w:name="_Toc4060463"/>
            <w:r w:rsidRPr="00587444">
              <w:rPr>
                <w:rFonts w:ascii="Arial" w:hAnsi="Arial" w:cs="Arial"/>
                <w:b/>
                <w:sz w:val="18"/>
                <w:szCs w:val="18"/>
                <w:lang w:val="en-GB"/>
              </w:rPr>
              <w:t>Total</w:t>
            </w:r>
            <w:bookmarkEnd w:id="1032"/>
          </w:p>
        </w:tc>
        <w:tc>
          <w:tcPr>
            <w:tcW w:w="852" w:type="pct"/>
            <w:tcBorders>
              <w:top w:val="single" w:sz="8" w:space="0" w:color="auto"/>
              <w:bottom w:val="single" w:sz="12" w:space="0" w:color="auto"/>
            </w:tcBorders>
            <w:vAlign w:val="bottom"/>
          </w:tcPr>
          <w:p w14:paraId="45B98F2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sz w:val="18"/>
                <w:szCs w:val="18"/>
                <w:lang w:val="hr-HR"/>
              </w:rPr>
            </w:pPr>
            <w:r w:rsidRPr="00587444">
              <w:rPr>
                <w:rFonts w:ascii="Arial" w:hAnsi="Arial" w:cs="Arial"/>
                <w:b/>
                <w:bCs/>
                <w:color w:val="000000"/>
                <w:sz w:val="18"/>
                <w:szCs w:val="18"/>
                <w:lang w:val="hr-HR"/>
              </w:rPr>
              <w:t>8,804,943</w:t>
            </w:r>
          </w:p>
        </w:tc>
        <w:tc>
          <w:tcPr>
            <w:tcW w:w="852" w:type="pct"/>
            <w:tcBorders>
              <w:top w:val="single" w:sz="8" w:space="0" w:color="auto"/>
              <w:bottom w:val="single" w:sz="12" w:space="0" w:color="auto"/>
            </w:tcBorders>
            <w:vAlign w:val="bottom"/>
          </w:tcPr>
          <w:p w14:paraId="7AB5A93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sz w:val="18"/>
                <w:szCs w:val="18"/>
                <w:lang w:val="hr-HR"/>
              </w:rPr>
            </w:pPr>
            <w:r w:rsidRPr="00587444">
              <w:rPr>
                <w:rFonts w:ascii="Arial" w:hAnsi="Arial" w:cs="Arial"/>
                <w:b/>
                <w:bCs/>
                <w:color w:val="000000"/>
                <w:sz w:val="18"/>
                <w:szCs w:val="18"/>
                <w:lang w:val="hr-HR"/>
              </w:rPr>
              <w:t>5,833,748</w:t>
            </w:r>
          </w:p>
        </w:tc>
        <w:tc>
          <w:tcPr>
            <w:tcW w:w="852" w:type="pct"/>
            <w:tcBorders>
              <w:top w:val="single" w:sz="8" w:space="0" w:color="auto"/>
              <w:bottom w:val="single" w:sz="12" w:space="0" w:color="auto"/>
            </w:tcBorders>
            <w:vAlign w:val="bottom"/>
          </w:tcPr>
          <w:p w14:paraId="2629082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sz w:val="18"/>
                <w:szCs w:val="18"/>
                <w:lang w:val="hr-HR"/>
              </w:rPr>
            </w:pPr>
            <w:r w:rsidRPr="00587444">
              <w:rPr>
                <w:rFonts w:ascii="Arial" w:hAnsi="Arial" w:cs="Arial"/>
                <w:b/>
                <w:bCs/>
                <w:color w:val="000000"/>
                <w:sz w:val="18"/>
                <w:szCs w:val="18"/>
                <w:lang w:val="hr-HR"/>
              </w:rPr>
              <w:t>8,803,161</w:t>
            </w:r>
          </w:p>
        </w:tc>
        <w:tc>
          <w:tcPr>
            <w:tcW w:w="853" w:type="pct"/>
            <w:tcBorders>
              <w:top w:val="single" w:sz="8" w:space="0" w:color="auto"/>
              <w:bottom w:val="single" w:sz="12" w:space="0" w:color="auto"/>
            </w:tcBorders>
            <w:vAlign w:val="bottom"/>
          </w:tcPr>
          <w:p w14:paraId="0F2ABF7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sz w:val="18"/>
                <w:szCs w:val="18"/>
                <w:lang w:val="hr-HR"/>
              </w:rPr>
            </w:pPr>
            <w:r w:rsidRPr="00587444">
              <w:rPr>
                <w:rFonts w:ascii="Arial" w:hAnsi="Arial" w:cs="Arial"/>
                <w:b/>
                <w:bCs/>
                <w:color w:val="000000"/>
                <w:sz w:val="18"/>
                <w:szCs w:val="18"/>
                <w:lang w:val="hr-HR"/>
              </w:rPr>
              <w:t>5,832,826</w:t>
            </w:r>
          </w:p>
        </w:tc>
      </w:tr>
    </w:tbl>
    <w:p w14:paraId="04FFC3C8" w14:textId="77777777" w:rsidR="00587444" w:rsidRPr="00587444" w:rsidRDefault="00587444" w:rsidP="00880B90">
      <w:pPr>
        <w:tabs>
          <w:tab w:val="left" w:pos="1080"/>
        </w:tabs>
        <w:autoSpaceDN/>
        <w:jc w:val="both"/>
        <w:rPr>
          <w:rFonts w:ascii="Arial" w:hAnsi="Arial" w:cs="Arial"/>
          <w:sz w:val="20"/>
          <w:szCs w:val="20"/>
          <w:lang w:val="en-GB"/>
        </w:rPr>
      </w:pPr>
    </w:p>
    <w:p w14:paraId="63067318" w14:textId="77777777" w:rsidR="00587444" w:rsidRPr="00587444" w:rsidRDefault="00587444" w:rsidP="00880B90">
      <w:pPr>
        <w:tabs>
          <w:tab w:val="left" w:pos="1080"/>
        </w:tabs>
        <w:autoSpaceDN/>
        <w:jc w:val="both"/>
        <w:rPr>
          <w:rFonts w:ascii="Arial" w:hAnsi="Arial" w:cs="Arial"/>
          <w:sz w:val="20"/>
          <w:szCs w:val="20"/>
          <w:lang w:val="en-GB"/>
        </w:rPr>
      </w:pPr>
      <w:r w:rsidRPr="00587444">
        <w:rPr>
          <w:rFonts w:ascii="Arial" w:hAnsi="Arial" w:cs="Arial"/>
          <w:sz w:val="20"/>
          <w:szCs w:val="20"/>
          <w:lang w:val="en-GB"/>
        </w:rPr>
        <w:t xml:space="preserve">Collateral received relates to first-class collateral instruments received as security for HBOR’s placements comprising the Republic of Croatia guarantees, HAMAG-BICRO guarantees, insurance policies of export transactions against political and/or commercial risks and statutory guarantees in cases when the Republic of Croatia or other state executive body guarantees the liabilities of certain borrowers pursuant to provisions of certain laws. </w:t>
      </w:r>
    </w:p>
    <w:p w14:paraId="097A5CB4" w14:textId="77777777" w:rsidR="00587444" w:rsidRPr="00587444" w:rsidRDefault="00587444" w:rsidP="00880B90">
      <w:pPr>
        <w:tabs>
          <w:tab w:val="left" w:pos="1080"/>
        </w:tabs>
        <w:autoSpaceDN/>
        <w:jc w:val="both"/>
        <w:rPr>
          <w:rFonts w:ascii="Arial" w:hAnsi="Arial" w:cs="Arial"/>
          <w:sz w:val="20"/>
          <w:szCs w:val="20"/>
          <w:lang w:val="en-GB"/>
        </w:rPr>
      </w:pPr>
    </w:p>
    <w:p w14:paraId="364317F8" w14:textId="77777777" w:rsidR="00587444" w:rsidRPr="00587444" w:rsidRDefault="00587444" w:rsidP="00880B90">
      <w:pPr>
        <w:tabs>
          <w:tab w:val="left" w:pos="1080"/>
        </w:tabs>
        <w:autoSpaceDN/>
        <w:jc w:val="both"/>
        <w:rPr>
          <w:rFonts w:ascii="Arial" w:hAnsi="Arial" w:cs="Arial"/>
          <w:bCs/>
          <w:sz w:val="20"/>
          <w:szCs w:val="20"/>
          <w:lang w:val="en-GB"/>
        </w:rPr>
      </w:pPr>
      <w:r w:rsidRPr="00587444">
        <w:rPr>
          <w:rFonts w:ascii="Arial" w:hAnsi="Arial" w:cs="Arial"/>
          <w:sz w:val="20"/>
          <w:szCs w:val="20"/>
          <w:lang w:val="en-GB"/>
        </w:rPr>
        <w:t xml:space="preserve">Pursuant to the Quota Reinsurance Contract between HBOR, in the name and for the account of the Republic of Croatia, and HKO </w:t>
      </w:r>
      <w:proofErr w:type="spellStart"/>
      <w:r w:rsidRPr="00587444">
        <w:rPr>
          <w:rFonts w:ascii="Arial" w:hAnsi="Arial" w:cs="Arial"/>
          <w:sz w:val="20"/>
          <w:szCs w:val="20"/>
          <w:lang w:val="en-GB"/>
        </w:rPr>
        <w:t>d.d.</w:t>
      </w:r>
      <w:proofErr w:type="spellEnd"/>
      <w:r w:rsidRPr="00587444">
        <w:rPr>
          <w:rFonts w:ascii="Arial" w:hAnsi="Arial" w:cs="Arial"/>
          <w:sz w:val="20"/>
          <w:szCs w:val="20"/>
          <w:lang w:val="en-GB"/>
        </w:rPr>
        <w:t xml:space="preserve">, reinsurance is carried out, </w:t>
      </w:r>
      <w:proofErr w:type="gramStart"/>
      <w:r w:rsidRPr="00587444">
        <w:rPr>
          <w:rFonts w:ascii="Arial" w:hAnsi="Arial" w:cs="Arial"/>
          <w:sz w:val="20"/>
          <w:szCs w:val="20"/>
          <w:lang w:val="en-GB"/>
        </w:rPr>
        <w:t>i.e.</w:t>
      </w:r>
      <w:proofErr w:type="gramEnd"/>
      <w:r w:rsidRPr="00587444">
        <w:rPr>
          <w:rFonts w:ascii="Arial" w:hAnsi="Arial" w:cs="Arial"/>
          <w:sz w:val="20"/>
          <w:szCs w:val="20"/>
          <w:lang w:val="en-GB"/>
        </w:rPr>
        <w:t xml:space="preserve"> cover is provided for a proportional part (quota reinsurance) of political and commercial risks under export loans and receivables arising from the export of goods and services. The Reinsurer covers all non-marketable (non-market) risks assumed by the Insurer, </w:t>
      </w:r>
      <w:proofErr w:type="gramStart"/>
      <w:r w:rsidRPr="00587444">
        <w:rPr>
          <w:rFonts w:ascii="Arial" w:hAnsi="Arial" w:cs="Arial"/>
          <w:sz w:val="20"/>
          <w:szCs w:val="20"/>
          <w:lang w:val="en-GB"/>
        </w:rPr>
        <w:t>i.e.</w:t>
      </w:r>
      <w:proofErr w:type="gramEnd"/>
      <w:r w:rsidRPr="00587444">
        <w:rPr>
          <w:rFonts w:ascii="Arial" w:hAnsi="Arial" w:cs="Arial"/>
          <w:sz w:val="20"/>
          <w:szCs w:val="20"/>
          <w:lang w:val="en-GB"/>
        </w:rPr>
        <w:t xml:space="preserve"> Croatian Credit Insurance, joint stock insurance company, in the range from 15% to 90% of the insured amount.</w:t>
      </w:r>
    </w:p>
    <w:p w14:paraId="46FB4FDF" w14:textId="77777777" w:rsidR="00587444" w:rsidRPr="00587444" w:rsidRDefault="00587444" w:rsidP="00880B90">
      <w:pPr>
        <w:tabs>
          <w:tab w:val="left" w:pos="1080"/>
        </w:tabs>
        <w:autoSpaceDN/>
        <w:jc w:val="both"/>
        <w:rPr>
          <w:rFonts w:ascii="Arial" w:hAnsi="Arial" w:cs="Arial"/>
          <w:bCs/>
          <w:sz w:val="20"/>
          <w:szCs w:val="20"/>
          <w:lang w:val="en-GB"/>
        </w:rPr>
      </w:pPr>
    </w:p>
    <w:p w14:paraId="3234027E" w14:textId="77777777" w:rsidR="00587444" w:rsidRPr="00587444" w:rsidRDefault="00587444" w:rsidP="00880B90">
      <w:pPr>
        <w:tabs>
          <w:tab w:val="left" w:pos="426"/>
          <w:tab w:val="left" w:pos="1134"/>
        </w:tabs>
        <w:autoSpaceDN/>
        <w:rPr>
          <w:rFonts w:ascii="Arial" w:hAnsi="Arial" w:cs="Arial"/>
          <w:sz w:val="20"/>
          <w:szCs w:val="20"/>
          <w:lang w:val="en-GB"/>
        </w:rPr>
      </w:pPr>
      <w:r w:rsidRPr="00587444">
        <w:rPr>
          <w:rFonts w:ascii="Arial" w:hAnsi="Arial" w:cs="Arial"/>
          <w:sz w:val="20"/>
          <w:szCs w:val="20"/>
          <w:lang w:val="en-GB"/>
        </w:rPr>
        <w:t>c)</w:t>
      </w:r>
      <w:r w:rsidRPr="00587444">
        <w:rPr>
          <w:rFonts w:ascii="Arial" w:hAnsi="Arial" w:cs="Arial"/>
          <w:sz w:val="20"/>
          <w:szCs w:val="20"/>
          <w:lang w:val="en-GB"/>
        </w:rPr>
        <w:tab/>
        <w:t xml:space="preserve">Salaries of key management personnel </w:t>
      </w:r>
    </w:p>
    <w:p w14:paraId="10506582" w14:textId="77777777" w:rsidR="00587444" w:rsidRPr="00587444" w:rsidRDefault="00587444" w:rsidP="00880B90">
      <w:pPr>
        <w:tabs>
          <w:tab w:val="left" w:pos="426"/>
          <w:tab w:val="left" w:pos="1134"/>
        </w:tabs>
        <w:autoSpaceDN/>
        <w:rPr>
          <w:rFonts w:ascii="Arial" w:hAnsi="Arial" w:cs="Arial"/>
          <w:sz w:val="20"/>
          <w:szCs w:val="20"/>
          <w:lang w:val="en-GB"/>
        </w:rPr>
      </w:pPr>
    </w:p>
    <w:p w14:paraId="7752D582" w14:textId="77777777" w:rsidR="00587444" w:rsidRPr="00587444" w:rsidRDefault="00587444" w:rsidP="00880B90">
      <w:pPr>
        <w:autoSpaceDN/>
        <w:spacing w:line="259" w:lineRule="auto"/>
        <w:jc w:val="both"/>
        <w:rPr>
          <w:rFonts w:ascii="Arial" w:eastAsia="Calibri" w:hAnsi="Arial" w:cs="Arial"/>
          <w:sz w:val="20"/>
          <w:szCs w:val="20"/>
          <w:lang w:val="en-GB"/>
        </w:rPr>
      </w:pPr>
      <w:bookmarkStart w:id="1033" w:name="_Hlk3201936"/>
      <w:r w:rsidRPr="00587444">
        <w:rPr>
          <w:rFonts w:ascii="Arial" w:eastAsia="Calibri" w:hAnsi="Arial" w:cs="Arial"/>
          <w:sz w:val="20"/>
          <w:szCs w:val="20"/>
          <w:lang w:val="en-GB"/>
        </w:rPr>
        <w:t>Key members of the Group’s and the Bank’s management include members of the Management Board, senior executive directors, head of the Management Board Office, executive directors, assistant director, advisors to the Management Board and an authorised agent (proxy).</w:t>
      </w:r>
    </w:p>
    <w:p w14:paraId="3FD5DFA7" w14:textId="77777777" w:rsidR="00587444" w:rsidRPr="00587444" w:rsidRDefault="00587444" w:rsidP="00880B90">
      <w:pPr>
        <w:keepNext/>
        <w:autoSpaceDN/>
        <w:jc w:val="both"/>
        <w:rPr>
          <w:rFonts w:ascii="Arial" w:hAnsi="Arial" w:cs="Arial"/>
          <w:bCs/>
          <w:sz w:val="20"/>
          <w:szCs w:val="20"/>
          <w:lang w:val="en-GB"/>
        </w:rPr>
      </w:pPr>
      <w:r w:rsidRPr="00587444">
        <w:rPr>
          <w:rFonts w:ascii="Arial" w:hAnsi="Arial" w:cs="Arial"/>
          <w:bCs/>
          <w:sz w:val="20"/>
          <w:szCs w:val="20"/>
          <w:lang w:val="en-GB"/>
        </w:rPr>
        <w:t xml:space="preserve">Salaries include compensation paid for regular work, annual vacation, national holidays, paid leave, sick leave, benefits payable for past service </w:t>
      </w:r>
      <w:r w:rsidRPr="00587444">
        <w:rPr>
          <w:rFonts w:ascii="Arial" w:hAnsi="Arial" w:cs="Arial"/>
          <w:sz w:val="20"/>
          <w:szCs w:val="20"/>
          <w:lang w:val="en-GB"/>
        </w:rPr>
        <w:t>and payments under contractual agreements</w:t>
      </w:r>
      <w:r w:rsidRPr="00587444">
        <w:rPr>
          <w:rFonts w:ascii="Arial" w:hAnsi="Arial" w:cs="Arial"/>
          <w:bCs/>
          <w:sz w:val="20"/>
          <w:szCs w:val="20"/>
          <w:lang w:val="en-GB"/>
        </w:rPr>
        <w:t xml:space="preserve">. In 2022, salaries for the Group amounted to HRK 9,519 thousand (31 December 2021: HRK 8,891 thousand), and for the Bank HRK 7,948 thousand (31 December 2021: HRK 7,337 thousand). </w:t>
      </w:r>
    </w:p>
    <w:bookmarkEnd w:id="1033"/>
    <w:p w14:paraId="0AF1D43A" w14:textId="77777777" w:rsidR="00587444" w:rsidRPr="00587444" w:rsidRDefault="00587444" w:rsidP="00880B90">
      <w:pPr>
        <w:keepNext/>
        <w:autoSpaceDN/>
        <w:jc w:val="both"/>
        <w:rPr>
          <w:rFonts w:ascii="Arial" w:hAnsi="Arial" w:cs="Arial"/>
          <w:bCs/>
          <w:sz w:val="20"/>
          <w:szCs w:val="20"/>
          <w:lang w:val="en-GB"/>
        </w:rPr>
      </w:pPr>
    </w:p>
    <w:p w14:paraId="7A675E47" w14:textId="77777777"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 xml:space="preserve">Remuneration for the work of the members of the Supervisory Board in 2022 amounted to HRK 103 thousand for the Group (31 December 2021: HRK 85 thousand) and for the Bank HRK 0 thousand (31 December 2021: HRK 3 thousand) and it relates to the members of supervisory boards at associates and subsidiaries who were appointed by HBOR. </w:t>
      </w:r>
    </w:p>
    <w:p w14:paraId="6A98C63F"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pPr>
    </w:p>
    <w:p w14:paraId="01FA53DB"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sectPr w:rsidR="00587444" w:rsidRPr="00587444" w:rsidSect="00DD69E7">
          <w:pgSz w:w="11907" w:h="16840" w:code="9"/>
          <w:pgMar w:top="1418" w:right="1134" w:bottom="1134" w:left="1418" w:header="851" w:footer="851" w:gutter="0"/>
          <w:cols w:space="720"/>
          <w:noEndnote/>
        </w:sectPr>
      </w:pPr>
    </w:p>
    <w:p w14:paraId="7B6F9A6C"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pPr>
    </w:p>
    <w:p w14:paraId="03842557" w14:textId="77777777" w:rsidR="00587444" w:rsidRPr="00587444" w:rsidRDefault="00587444" w:rsidP="007B030C">
      <w:pPr>
        <w:keepNext/>
        <w:tabs>
          <w:tab w:val="left" w:pos="426"/>
        </w:tabs>
        <w:autoSpaceDN/>
        <w:jc w:val="both"/>
        <w:rPr>
          <w:rFonts w:ascii="Arial" w:hAnsi="Arial" w:cs="Arial"/>
          <w:b/>
          <w:bCs/>
          <w:sz w:val="20"/>
          <w:szCs w:val="20"/>
        </w:rPr>
      </w:pPr>
      <w:r w:rsidRPr="00587444">
        <w:rPr>
          <w:rFonts w:ascii="Arial" w:hAnsi="Arial" w:cs="Arial"/>
          <w:b/>
          <w:bCs/>
          <w:sz w:val="20"/>
          <w:szCs w:val="20"/>
          <w:lang w:eastAsia="hr-HR"/>
        </w:rPr>
        <w:t>31.</w:t>
      </w:r>
      <w:r w:rsidRPr="00587444">
        <w:rPr>
          <w:rFonts w:ascii="Arial" w:hAnsi="Arial" w:cs="Arial"/>
          <w:b/>
          <w:bCs/>
          <w:sz w:val="20"/>
          <w:szCs w:val="20"/>
        </w:rPr>
        <w:tab/>
        <w:t xml:space="preserve">Risk management </w:t>
      </w:r>
    </w:p>
    <w:p w14:paraId="7F9927A2" w14:textId="77777777" w:rsidR="00587444" w:rsidRPr="00587444" w:rsidRDefault="00587444" w:rsidP="007B030C">
      <w:pPr>
        <w:autoSpaceDN/>
        <w:spacing w:before="120"/>
        <w:jc w:val="both"/>
        <w:rPr>
          <w:rFonts w:ascii="Arial" w:hAnsi="Arial" w:cs="Arial"/>
          <w:sz w:val="20"/>
          <w:szCs w:val="20"/>
        </w:rPr>
      </w:pPr>
      <w:r w:rsidRPr="00587444">
        <w:rPr>
          <w:rFonts w:ascii="Arial" w:hAnsi="Arial" w:cs="Arial"/>
          <w:sz w:val="20"/>
          <w:szCs w:val="20"/>
        </w:rPr>
        <w:t xml:space="preserve">Based on the Act on the Croatian Bank for Reconstruction and Development, the Bank is obliged to mitigate business risks directed by the principles of banking operations. </w:t>
      </w:r>
    </w:p>
    <w:p w14:paraId="3192786D" w14:textId="77777777" w:rsidR="00587444" w:rsidRPr="00587444" w:rsidRDefault="00587444" w:rsidP="007B030C">
      <w:pPr>
        <w:autoSpaceDN/>
        <w:jc w:val="both"/>
        <w:rPr>
          <w:rFonts w:ascii="Arial" w:hAnsi="Arial" w:cs="Arial"/>
          <w:sz w:val="20"/>
          <w:szCs w:val="20"/>
        </w:rPr>
      </w:pPr>
    </w:p>
    <w:p w14:paraId="5B22A9C4" w14:textId="77777777" w:rsidR="00587444" w:rsidRPr="00587444" w:rsidRDefault="00587444" w:rsidP="007B030C">
      <w:pPr>
        <w:autoSpaceDN/>
        <w:jc w:val="both"/>
        <w:rPr>
          <w:rFonts w:ascii="Arial" w:hAnsi="Arial" w:cs="Arial"/>
          <w:sz w:val="20"/>
          <w:szCs w:val="20"/>
        </w:rPr>
      </w:pPr>
      <w:r w:rsidRPr="00587444">
        <w:rPr>
          <w:rFonts w:ascii="Arial" w:hAnsi="Arial" w:cs="Arial"/>
          <w:sz w:val="20"/>
          <w:szCs w:val="20"/>
        </w:rPr>
        <w:t xml:space="preserve">In the process of risk management, the Bank continuously identifies, estimates, measures, monitors, </w:t>
      </w:r>
      <w:proofErr w:type="gramStart"/>
      <w:r w:rsidRPr="00587444">
        <w:rPr>
          <w:rFonts w:ascii="Arial" w:hAnsi="Arial" w:cs="Arial"/>
          <w:sz w:val="20"/>
          <w:szCs w:val="20"/>
        </w:rPr>
        <w:t>contains</w:t>
      </w:r>
      <w:proofErr w:type="gramEnd"/>
      <w:r w:rsidRPr="00587444">
        <w:rPr>
          <w:rFonts w:ascii="Arial" w:hAnsi="Arial" w:cs="Arial"/>
          <w:sz w:val="20"/>
          <w:szCs w:val="20"/>
        </w:rPr>
        <w:t xml:space="preserve"> and controls the risks to which it is or might be exposed in the course of business and reports about them to the relevant authorities. By the mentioned procedures and </w:t>
      </w:r>
      <w:r w:rsidRPr="00587444">
        <w:rPr>
          <w:rFonts w:ascii="Arial" w:eastAsia="Calibri" w:hAnsi="Arial" w:cs="Arial"/>
          <w:sz w:val="20"/>
          <w:szCs w:val="20"/>
          <w:lang w:val="en-GB" w:eastAsia="hr-HR"/>
        </w:rPr>
        <w:t xml:space="preserve">corresponding </w:t>
      </w:r>
      <w:r w:rsidRPr="00587444">
        <w:rPr>
          <w:rFonts w:ascii="Arial" w:hAnsi="Arial" w:cs="Arial"/>
          <w:sz w:val="20"/>
          <w:szCs w:val="20"/>
        </w:rPr>
        <w:t xml:space="preserve">internal documents, a comprehensive and complete risk management system is provided.  </w:t>
      </w:r>
    </w:p>
    <w:p w14:paraId="5BD79892" w14:textId="77777777" w:rsidR="00587444" w:rsidRPr="00587444" w:rsidRDefault="00587444" w:rsidP="007B030C">
      <w:pPr>
        <w:autoSpaceDN/>
        <w:jc w:val="both"/>
        <w:rPr>
          <w:rFonts w:ascii="Arial" w:hAnsi="Arial" w:cs="Arial"/>
          <w:sz w:val="20"/>
          <w:szCs w:val="20"/>
        </w:rPr>
      </w:pPr>
    </w:p>
    <w:p w14:paraId="7905071B" w14:textId="77777777" w:rsidR="00587444" w:rsidRPr="00587444" w:rsidRDefault="00587444" w:rsidP="007B030C">
      <w:pPr>
        <w:autoSpaceDN/>
        <w:jc w:val="both"/>
        <w:rPr>
          <w:rFonts w:ascii="Arial" w:eastAsia="Calibri" w:hAnsi="Arial" w:cs="Arial"/>
          <w:sz w:val="20"/>
          <w:szCs w:val="20"/>
          <w:lang w:val="en-GB"/>
        </w:rPr>
      </w:pPr>
      <w:bookmarkStart w:id="1034" w:name="_Hlk97645978"/>
      <w:r w:rsidRPr="00587444">
        <w:rPr>
          <w:rFonts w:ascii="Arial" w:hAnsi="Arial" w:cs="Arial"/>
          <w:sz w:val="20"/>
          <w:szCs w:val="20"/>
        </w:rPr>
        <w:t xml:space="preserve">The most significant risks the Bank is </w:t>
      </w:r>
      <w:proofErr w:type="gramStart"/>
      <w:r w:rsidRPr="00587444">
        <w:rPr>
          <w:rFonts w:ascii="Arial" w:hAnsi="Arial" w:cs="Arial"/>
          <w:sz w:val="20"/>
          <w:szCs w:val="20"/>
        </w:rPr>
        <w:t>exposed</w:t>
      </w:r>
      <w:proofErr w:type="gramEnd"/>
      <w:r w:rsidRPr="00587444">
        <w:rPr>
          <w:rFonts w:ascii="Arial" w:hAnsi="Arial" w:cs="Arial"/>
          <w:sz w:val="20"/>
          <w:szCs w:val="20"/>
        </w:rPr>
        <w:t xml:space="preserve"> in its day-to-day business are credit risk, liquidity risk, interest rate risk, foreign exchange risk, operational </w:t>
      </w:r>
      <w:proofErr w:type="gramStart"/>
      <w:r w:rsidRPr="00587444">
        <w:rPr>
          <w:rFonts w:ascii="Arial" w:hAnsi="Arial" w:cs="Arial"/>
          <w:sz w:val="20"/>
          <w:szCs w:val="20"/>
        </w:rPr>
        <w:t>risk</w:t>
      </w:r>
      <w:proofErr w:type="gramEnd"/>
      <w:r w:rsidRPr="00587444">
        <w:rPr>
          <w:rFonts w:ascii="Arial" w:hAnsi="Arial" w:cs="Arial"/>
          <w:sz w:val="20"/>
          <w:szCs w:val="20"/>
        </w:rPr>
        <w:t xml:space="preserve"> and outsourcing risk. These risks are managed daily in accordance with the policies, ordinances</w:t>
      </w:r>
      <w:r w:rsidRPr="00587444">
        <w:rPr>
          <w:rFonts w:ascii="Arial" w:hAnsi="Arial" w:cs="Arial"/>
          <w:color w:val="000000"/>
          <w:sz w:val="20"/>
          <w:szCs w:val="20"/>
        </w:rPr>
        <w:t xml:space="preserve">, </w:t>
      </w:r>
      <w:r w:rsidRPr="00587444">
        <w:rPr>
          <w:rFonts w:ascii="Arial" w:hAnsi="Arial" w:cs="Arial"/>
          <w:sz w:val="20"/>
          <w:szCs w:val="20"/>
        </w:rPr>
        <w:t xml:space="preserve">methodologies, </w:t>
      </w:r>
      <w:r w:rsidRPr="00587444">
        <w:rPr>
          <w:rFonts w:ascii="Arial" w:eastAsia="Calibri" w:hAnsi="Arial" w:cs="Arial"/>
          <w:sz w:val="20"/>
          <w:szCs w:val="20"/>
          <w:lang w:val="en-GB"/>
        </w:rPr>
        <w:t>instructions</w:t>
      </w:r>
      <w:r w:rsidRPr="00587444">
        <w:rPr>
          <w:rFonts w:ascii="Arial" w:hAnsi="Arial" w:cs="Arial"/>
          <w:sz w:val="20"/>
          <w:szCs w:val="20"/>
        </w:rPr>
        <w:t xml:space="preserve"> and systems of limits, </w:t>
      </w:r>
      <w:r w:rsidRPr="00587444">
        <w:rPr>
          <w:rFonts w:ascii="Arial" w:eastAsia="Calibri" w:hAnsi="Arial" w:cs="Arial"/>
          <w:sz w:val="20"/>
          <w:szCs w:val="20"/>
          <w:lang w:val="en-GB"/>
        </w:rPr>
        <w:t xml:space="preserve">controls and decisions/conclusions of the Supervisory Board, the Management </w:t>
      </w:r>
      <w:proofErr w:type="gramStart"/>
      <w:r w:rsidRPr="00587444">
        <w:rPr>
          <w:rFonts w:ascii="Arial" w:eastAsia="Calibri" w:hAnsi="Arial" w:cs="Arial"/>
          <w:sz w:val="20"/>
          <w:szCs w:val="20"/>
          <w:lang w:val="en-GB"/>
        </w:rPr>
        <w:t>Board</w:t>
      </w:r>
      <w:proofErr w:type="gramEnd"/>
      <w:r w:rsidRPr="00587444">
        <w:rPr>
          <w:rFonts w:ascii="Arial" w:eastAsia="Calibri" w:hAnsi="Arial" w:cs="Arial"/>
          <w:sz w:val="20"/>
          <w:szCs w:val="20"/>
          <w:lang w:val="en-GB"/>
        </w:rPr>
        <w:t xml:space="preserve"> and the risk management committees.</w:t>
      </w:r>
    </w:p>
    <w:p w14:paraId="50EE907E" w14:textId="77777777" w:rsidR="00587444" w:rsidRPr="00587444" w:rsidRDefault="00587444" w:rsidP="007B030C">
      <w:pPr>
        <w:autoSpaceDN/>
        <w:jc w:val="both"/>
        <w:rPr>
          <w:rFonts w:ascii="Arial" w:hAnsi="Arial" w:cs="Arial"/>
          <w:sz w:val="20"/>
          <w:szCs w:val="20"/>
        </w:rPr>
      </w:pPr>
    </w:p>
    <w:p w14:paraId="6B2A0B03" w14:textId="77777777" w:rsidR="00587444" w:rsidRPr="00587444" w:rsidRDefault="00587444" w:rsidP="007B030C">
      <w:pPr>
        <w:autoSpaceDN/>
        <w:jc w:val="both"/>
        <w:rPr>
          <w:rFonts w:ascii="Arial" w:eastAsia="Calibri" w:hAnsi="Arial" w:cs="Arial"/>
          <w:sz w:val="20"/>
          <w:szCs w:val="20"/>
          <w:lang w:val="en-GB"/>
        </w:rPr>
      </w:pPr>
      <w:r w:rsidRPr="00587444">
        <w:rPr>
          <w:rFonts w:ascii="Arial" w:eastAsia="Calibri" w:hAnsi="Arial" w:cs="Arial"/>
          <w:sz w:val="20"/>
          <w:szCs w:val="20"/>
          <w:lang w:val="en-GB"/>
        </w:rPr>
        <w:t>The Bank implements sensitivity analyses and scenario analyses, provided that one or several risk factors are changed in regular or stressful circumstances, and HBOR’s bodies in charge are informed of the respective results. The systems of pro-active risk management are continuously developed for the purpose of reducing possible future risks.</w:t>
      </w:r>
    </w:p>
    <w:bookmarkEnd w:id="1034"/>
    <w:p w14:paraId="46F558BE" w14:textId="77777777" w:rsidR="00587444" w:rsidRPr="00587444" w:rsidRDefault="00587444" w:rsidP="007B030C">
      <w:pPr>
        <w:autoSpaceDN/>
        <w:jc w:val="both"/>
        <w:rPr>
          <w:rFonts w:ascii="Arial" w:eastAsia="Calibri" w:hAnsi="Arial" w:cs="Arial"/>
          <w:b/>
          <w:sz w:val="20"/>
          <w:szCs w:val="20"/>
        </w:rPr>
      </w:pPr>
    </w:p>
    <w:p w14:paraId="4D5A452B" w14:textId="77777777" w:rsidR="00587444" w:rsidRPr="00587444" w:rsidRDefault="00587444" w:rsidP="007B030C">
      <w:pPr>
        <w:autoSpaceDN/>
        <w:jc w:val="both"/>
        <w:rPr>
          <w:rFonts w:ascii="Arial" w:eastAsia="Calibri" w:hAnsi="Arial" w:cs="Arial"/>
          <w:b/>
          <w:bCs/>
          <w:spacing w:val="-3"/>
          <w:sz w:val="20"/>
          <w:szCs w:val="20"/>
        </w:rPr>
      </w:pPr>
      <w:r w:rsidRPr="00587444">
        <w:rPr>
          <w:rFonts w:ascii="Arial" w:eastAsia="Calibri" w:hAnsi="Arial" w:cs="Arial"/>
          <w:b/>
          <w:sz w:val="20"/>
          <w:szCs w:val="20"/>
        </w:rPr>
        <w:t>31.1. Overview of the most important risks</w:t>
      </w:r>
    </w:p>
    <w:p w14:paraId="1B1C5BCA" w14:textId="77777777" w:rsidR="00587444" w:rsidRPr="00587444" w:rsidRDefault="00587444" w:rsidP="007B030C">
      <w:pPr>
        <w:autoSpaceDN/>
        <w:jc w:val="both"/>
        <w:rPr>
          <w:rFonts w:ascii="Arial" w:eastAsia="Calibri" w:hAnsi="Arial" w:cs="Arial"/>
          <w:bCs/>
          <w:spacing w:val="-3"/>
          <w:sz w:val="20"/>
          <w:szCs w:val="20"/>
        </w:rPr>
      </w:pPr>
    </w:p>
    <w:p w14:paraId="29FA0DB4" w14:textId="77777777" w:rsidR="00587444" w:rsidRPr="00587444" w:rsidRDefault="00587444" w:rsidP="007B030C">
      <w:pPr>
        <w:autoSpaceDN/>
        <w:jc w:val="both"/>
        <w:rPr>
          <w:rFonts w:ascii="Arial" w:eastAsia="Calibri" w:hAnsi="Arial" w:cs="Arial"/>
          <w:b/>
          <w:bCs/>
          <w:spacing w:val="-3"/>
          <w:sz w:val="20"/>
          <w:szCs w:val="20"/>
        </w:rPr>
      </w:pPr>
      <w:r w:rsidRPr="00587444">
        <w:rPr>
          <w:rFonts w:ascii="Arial" w:eastAsia="Calibri" w:hAnsi="Arial" w:cs="Arial"/>
          <w:b/>
          <w:bCs/>
          <w:spacing w:val="-3"/>
          <w:sz w:val="20"/>
          <w:szCs w:val="20"/>
        </w:rPr>
        <w:t>Credit risk</w:t>
      </w:r>
    </w:p>
    <w:p w14:paraId="78EC8A81" w14:textId="77777777" w:rsidR="00587444" w:rsidRPr="00587444" w:rsidRDefault="00587444" w:rsidP="007B030C">
      <w:pPr>
        <w:autoSpaceDN/>
        <w:jc w:val="both"/>
        <w:rPr>
          <w:rFonts w:ascii="Arial" w:hAnsi="Arial" w:cs="Arial"/>
          <w:sz w:val="20"/>
          <w:szCs w:val="20"/>
        </w:rPr>
      </w:pPr>
    </w:p>
    <w:p w14:paraId="258A6815" w14:textId="77777777" w:rsidR="00587444" w:rsidRPr="00587444" w:rsidRDefault="00587444" w:rsidP="007B030C">
      <w:pPr>
        <w:autoSpaceDN/>
        <w:spacing w:after="120"/>
        <w:jc w:val="both"/>
        <w:rPr>
          <w:rFonts w:ascii="Arial" w:eastAsia="Calibri" w:hAnsi="Arial" w:cs="Arial"/>
          <w:bCs/>
          <w:spacing w:val="-3"/>
          <w:sz w:val="20"/>
          <w:szCs w:val="20"/>
        </w:rPr>
      </w:pPr>
      <w:r w:rsidRPr="00587444">
        <w:rPr>
          <w:rFonts w:ascii="Arial" w:eastAsia="Calibri" w:hAnsi="Arial" w:cs="Arial"/>
          <w:bCs/>
          <w:spacing w:val="-3"/>
          <w:sz w:val="20"/>
          <w:szCs w:val="20"/>
        </w:rPr>
        <w:t>The Bank controls credit risk through its credit policies and prescribed the credit risk management ordinance, which prescribe internal control systems with aim of acting on the risk preventively.</w:t>
      </w:r>
    </w:p>
    <w:p w14:paraId="49C7B2CA" w14:textId="77777777" w:rsidR="00587444" w:rsidRPr="00587444" w:rsidRDefault="00587444" w:rsidP="007B030C">
      <w:pPr>
        <w:autoSpaceDN/>
        <w:jc w:val="both"/>
        <w:rPr>
          <w:rFonts w:ascii="Arial" w:hAnsi="Arial" w:cs="Arial"/>
          <w:bCs/>
          <w:spacing w:val="-3"/>
          <w:sz w:val="20"/>
          <w:szCs w:val="20"/>
        </w:rPr>
      </w:pPr>
      <w:r w:rsidRPr="00587444">
        <w:rPr>
          <w:rFonts w:ascii="Arial" w:hAnsi="Arial" w:cs="Arial"/>
          <w:bCs/>
          <w:spacing w:val="-3"/>
          <w:sz w:val="20"/>
          <w:szCs w:val="20"/>
        </w:rPr>
        <w:t>The credit risk management system is the most important part of the HBOR business policy and is an important factor of its operation strategy.</w:t>
      </w:r>
    </w:p>
    <w:p w14:paraId="0D22BBF7" w14:textId="77777777" w:rsidR="00587444" w:rsidRPr="00587444" w:rsidRDefault="00587444" w:rsidP="007B030C">
      <w:pPr>
        <w:autoSpaceDN/>
        <w:jc w:val="both"/>
        <w:rPr>
          <w:rFonts w:ascii="Arial" w:hAnsi="Arial" w:cs="Arial"/>
          <w:sz w:val="20"/>
          <w:szCs w:val="20"/>
        </w:rPr>
      </w:pPr>
      <w:r w:rsidRPr="00587444">
        <w:rPr>
          <w:rFonts w:ascii="Arial" w:hAnsi="Arial" w:cs="Arial"/>
          <w:sz w:val="20"/>
          <w:szCs w:val="20"/>
        </w:rPr>
        <w:t xml:space="preserve"> </w:t>
      </w:r>
    </w:p>
    <w:p w14:paraId="08919846" w14:textId="77777777" w:rsidR="00587444" w:rsidRPr="00587444" w:rsidRDefault="00587444" w:rsidP="007B030C">
      <w:pPr>
        <w:autoSpaceDN/>
        <w:jc w:val="both"/>
        <w:rPr>
          <w:rFonts w:ascii="Arial" w:hAnsi="Arial" w:cs="Arial"/>
          <w:b/>
          <w:sz w:val="20"/>
          <w:szCs w:val="20"/>
        </w:rPr>
      </w:pPr>
      <w:r w:rsidRPr="00587444">
        <w:rPr>
          <w:rFonts w:ascii="Arial" w:hAnsi="Arial" w:cs="Arial"/>
          <w:b/>
          <w:sz w:val="20"/>
          <w:szCs w:val="20"/>
        </w:rPr>
        <w:t xml:space="preserve">Liquidity risk, currency risk and interest rate risk </w:t>
      </w:r>
    </w:p>
    <w:p w14:paraId="548B68FB" w14:textId="77777777" w:rsidR="00587444" w:rsidRPr="00587444" w:rsidRDefault="00587444" w:rsidP="007B030C">
      <w:pPr>
        <w:autoSpaceDN/>
        <w:jc w:val="both"/>
        <w:rPr>
          <w:rFonts w:ascii="Arial" w:hAnsi="Arial" w:cs="Arial"/>
          <w:sz w:val="20"/>
          <w:szCs w:val="20"/>
        </w:rPr>
      </w:pPr>
    </w:p>
    <w:p w14:paraId="03473DD4" w14:textId="77777777" w:rsidR="00587444" w:rsidRPr="00587444" w:rsidRDefault="00587444" w:rsidP="007B030C">
      <w:pPr>
        <w:autoSpaceDN/>
        <w:jc w:val="both"/>
        <w:rPr>
          <w:rFonts w:ascii="Arial" w:eastAsia="Calibri" w:hAnsi="Arial" w:cs="Arial"/>
          <w:bCs/>
          <w:spacing w:val="-3"/>
          <w:sz w:val="20"/>
          <w:szCs w:val="20"/>
          <w:lang w:eastAsia="hr-HR"/>
        </w:rPr>
      </w:pPr>
      <w:r w:rsidRPr="00587444">
        <w:rPr>
          <w:rFonts w:ascii="Arial" w:eastAsia="Calibri" w:hAnsi="Arial" w:cs="Arial"/>
          <w:spacing w:val="-3"/>
          <w:sz w:val="20"/>
          <w:szCs w:val="20"/>
          <w:lang w:eastAsia="hr-HR"/>
        </w:rPr>
        <w:t xml:space="preserve">The Bank ensures quality management of liquidity, currency and interest rate risks through the Asset and Liability Management Committee. The management of these risks implies a reduction of interest rate risk, currency risk and liquidity risk to the lowest possible level. </w:t>
      </w:r>
      <w:proofErr w:type="gramStart"/>
      <w:r w:rsidRPr="00587444">
        <w:rPr>
          <w:rFonts w:ascii="Arial" w:eastAsia="Calibri" w:hAnsi="Arial" w:cs="Arial"/>
          <w:spacing w:val="-3"/>
          <w:sz w:val="20"/>
          <w:szCs w:val="20"/>
          <w:lang w:eastAsia="hr-HR"/>
        </w:rPr>
        <w:t>The majority of</w:t>
      </w:r>
      <w:proofErr w:type="gramEnd"/>
      <w:r w:rsidRPr="00587444">
        <w:rPr>
          <w:rFonts w:ascii="Arial" w:eastAsia="Calibri" w:hAnsi="Arial" w:cs="Arial"/>
          <w:spacing w:val="-3"/>
          <w:sz w:val="20"/>
          <w:szCs w:val="20"/>
          <w:lang w:eastAsia="hr-HR"/>
        </w:rPr>
        <w:t xml:space="preserve"> the Bank’s </w:t>
      </w:r>
      <w:proofErr w:type="spellStart"/>
      <w:r w:rsidRPr="00587444">
        <w:rPr>
          <w:rFonts w:ascii="Arial" w:eastAsia="Calibri" w:hAnsi="Arial" w:cs="Arial"/>
          <w:spacing w:val="-3"/>
          <w:sz w:val="20"/>
          <w:szCs w:val="20"/>
          <w:lang w:eastAsia="hr-HR"/>
        </w:rPr>
        <w:t>organisational</w:t>
      </w:r>
      <w:proofErr w:type="spellEnd"/>
      <w:r w:rsidRPr="00587444">
        <w:rPr>
          <w:rFonts w:ascii="Arial" w:eastAsia="Calibri" w:hAnsi="Arial" w:cs="Arial"/>
          <w:spacing w:val="-3"/>
          <w:sz w:val="20"/>
          <w:szCs w:val="20"/>
          <w:lang w:eastAsia="hr-HR"/>
        </w:rPr>
        <w:t xml:space="preserve"> units are included, directly and indirectly, in the operations of the Asset and Liability Management Committee in order to ensure a high-quality, integrated and comprehensive system for the management of these risks</w:t>
      </w:r>
      <w:r w:rsidRPr="00587444">
        <w:rPr>
          <w:rFonts w:ascii="Arial" w:eastAsia="Calibri" w:hAnsi="Arial" w:cs="Arial"/>
          <w:bCs/>
          <w:spacing w:val="-3"/>
          <w:sz w:val="20"/>
          <w:szCs w:val="20"/>
          <w:lang w:eastAsia="hr-HR"/>
        </w:rPr>
        <w:t xml:space="preserve">. </w:t>
      </w:r>
    </w:p>
    <w:p w14:paraId="5F1B9CEB" w14:textId="77777777" w:rsidR="00587444" w:rsidRPr="00587444" w:rsidRDefault="00587444" w:rsidP="007B030C">
      <w:pPr>
        <w:autoSpaceDN/>
        <w:spacing w:line="23" w:lineRule="atLeast"/>
        <w:jc w:val="both"/>
        <w:rPr>
          <w:rFonts w:ascii="Arial" w:eastAsia="Calibri" w:hAnsi="Arial" w:cs="Arial"/>
          <w:b/>
          <w:sz w:val="20"/>
          <w:szCs w:val="20"/>
        </w:rPr>
      </w:pPr>
    </w:p>
    <w:p w14:paraId="415FD856" w14:textId="77777777" w:rsidR="00587444" w:rsidRPr="00587444" w:rsidRDefault="00587444" w:rsidP="007B030C">
      <w:pPr>
        <w:autoSpaceDN/>
        <w:jc w:val="both"/>
        <w:rPr>
          <w:rFonts w:ascii="Arial" w:hAnsi="Arial" w:cs="Arial"/>
          <w:b/>
          <w:sz w:val="20"/>
          <w:szCs w:val="20"/>
        </w:rPr>
      </w:pPr>
      <w:r w:rsidRPr="00587444">
        <w:rPr>
          <w:rFonts w:ascii="Arial" w:hAnsi="Arial" w:cs="Arial"/>
          <w:b/>
          <w:sz w:val="20"/>
          <w:szCs w:val="20"/>
        </w:rPr>
        <w:t>Liquidity risk</w:t>
      </w:r>
    </w:p>
    <w:p w14:paraId="14FB3A7B" w14:textId="77777777" w:rsidR="00587444" w:rsidRPr="00587444" w:rsidRDefault="00587444" w:rsidP="007B030C">
      <w:pPr>
        <w:autoSpaceDN/>
        <w:jc w:val="both"/>
        <w:rPr>
          <w:rFonts w:ascii="Arial" w:hAnsi="Arial" w:cs="Arial"/>
          <w:b/>
          <w:sz w:val="20"/>
          <w:szCs w:val="20"/>
        </w:rPr>
      </w:pPr>
    </w:p>
    <w:p w14:paraId="04FF2EFE" w14:textId="77777777" w:rsidR="00587444" w:rsidRPr="00587444" w:rsidRDefault="00587444" w:rsidP="007B030C">
      <w:pPr>
        <w:autoSpaceDN/>
        <w:jc w:val="both"/>
        <w:rPr>
          <w:rFonts w:ascii="Arial" w:eastAsia="Calibri" w:hAnsi="Arial" w:cs="Arial"/>
          <w:spacing w:val="-3"/>
          <w:sz w:val="20"/>
          <w:szCs w:val="20"/>
        </w:rPr>
      </w:pPr>
      <w:r w:rsidRPr="00587444">
        <w:rPr>
          <w:rFonts w:ascii="Arial" w:eastAsia="Calibri" w:hAnsi="Arial" w:cs="Arial"/>
          <w:spacing w:val="-3"/>
          <w:sz w:val="20"/>
          <w:szCs w:val="20"/>
        </w:rPr>
        <w:t xml:space="preserve">The basic principles for managing HBOR's liquidity risk are determined in the internal documents as well as in the decisions and conclusions made by the Supervisory Board, the Management Board and the Asset and Liability Management Committee. </w:t>
      </w:r>
    </w:p>
    <w:p w14:paraId="4CBA837D" w14:textId="77777777" w:rsidR="00587444" w:rsidRPr="00587444" w:rsidRDefault="00587444" w:rsidP="007B030C">
      <w:pPr>
        <w:autoSpaceDN/>
        <w:jc w:val="both"/>
        <w:rPr>
          <w:rFonts w:ascii="Arial" w:hAnsi="Arial" w:cs="Arial"/>
          <w:sz w:val="20"/>
          <w:szCs w:val="20"/>
          <w:highlight w:val="yellow"/>
        </w:rPr>
      </w:pPr>
    </w:p>
    <w:p w14:paraId="2A533B9C" w14:textId="77777777" w:rsidR="00587444" w:rsidRPr="00587444" w:rsidRDefault="00587444" w:rsidP="007B030C">
      <w:pPr>
        <w:tabs>
          <w:tab w:val="right" w:pos="1202"/>
          <w:tab w:val="left" w:pos="9180"/>
        </w:tabs>
        <w:autoSpaceDN/>
        <w:spacing w:line="240" w:lineRule="exact"/>
        <w:jc w:val="both"/>
        <w:outlineLvl w:val="0"/>
        <w:rPr>
          <w:rFonts w:ascii="Arial" w:hAnsi="Arial" w:cs="Arial"/>
          <w:sz w:val="20"/>
          <w:szCs w:val="20"/>
          <w:lang w:val="en-GB"/>
        </w:rPr>
      </w:pPr>
      <w:bookmarkStart w:id="1035" w:name="_Hlk34301354"/>
      <w:proofErr w:type="gramStart"/>
      <w:r w:rsidRPr="00587444">
        <w:rPr>
          <w:rFonts w:ascii="Arial" w:hAnsi="Arial" w:cs="Arial"/>
          <w:spacing w:val="-3"/>
          <w:sz w:val="20"/>
          <w:szCs w:val="20"/>
          <w:lang w:val="en-GB"/>
        </w:rPr>
        <w:t>In order to</w:t>
      </w:r>
      <w:proofErr w:type="gramEnd"/>
      <w:r w:rsidRPr="00587444">
        <w:rPr>
          <w:rFonts w:ascii="Arial" w:hAnsi="Arial" w:cs="Arial"/>
          <w:spacing w:val="-3"/>
          <w:sz w:val="20"/>
          <w:szCs w:val="20"/>
          <w:lang w:val="en-GB"/>
        </w:rPr>
        <w:t xml:space="preserve"> manage liquidity risk, the Bank has established a system of limits and early warning signals, monitors and controls limit utilisation, maintains the adequate level of liquidity reserve, continuously monitors current and planned liquidity, ensures HRK and foreign currency funds necessary for timely settlement of liabilities and for disbursements of approved loans and planned loan approvals. </w:t>
      </w:r>
      <w:bookmarkStart w:id="1036" w:name="_Hlk97646527"/>
      <w:r w:rsidRPr="00587444">
        <w:rPr>
          <w:rFonts w:ascii="Arial" w:eastAsia="Calibri" w:hAnsi="Arial" w:cs="Arial"/>
          <w:spacing w:val="-3"/>
          <w:sz w:val="20"/>
          <w:szCs w:val="20"/>
          <w:lang w:val="en-GB"/>
        </w:rPr>
        <w:t xml:space="preserve">In terms of liquidity risk management, the maturity matching of existing and planned placements and their sources is strived to be achieved. </w:t>
      </w:r>
      <w:bookmarkEnd w:id="1035"/>
      <w:bookmarkEnd w:id="1036"/>
      <w:r w:rsidRPr="00587444">
        <w:rPr>
          <w:rFonts w:ascii="Arial" w:hAnsi="Arial" w:cs="Arial"/>
          <w:spacing w:val="-3"/>
          <w:sz w:val="20"/>
          <w:szCs w:val="20"/>
          <w:lang w:val="en-GB"/>
        </w:rPr>
        <w:t>The Bank does not hold deposits of citizens and is therefore not exposed to wide daily fluctuations in liquidity.</w:t>
      </w:r>
    </w:p>
    <w:p w14:paraId="5622AA69"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pPr>
    </w:p>
    <w:p w14:paraId="0AF056B7"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sectPr w:rsidR="00587444" w:rsidRPr="00587444" w:rsidSect="00DD69E7">
          <w:pgSz w:w="11907" w:h="16840" w:code="9"/>
          <w:pgMar w:top="1418" w:right="1134" w:bottom="1134" w:left="1418" w:header="851" w:footer="851" w:gutter="0"/>
          <w:cols w:space="720"/>
          <w:noEndnote/>
        </w:sectPr>
      </w:pPr>
    </w:p>
    <w:p w14:paraId="413B526B"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pPr>
    </w:p>
    <w:p w14:paraId="1BD5A598" w14:textId="77777777" w:rsidR="00587444" w:rsidRPr="00587444" w:rsidRDefault="00587444" w:rsidP="00587444">
      <w:pPr>
        <w:suppressAutoHyphens w:val="0"/>
        <w:autoSpaceDN/>
        <w:jc w:val="both"/>
        <w:rPr>
          <w:rFonts w:ascii="Arial" w:hAnsi="Arial" w:cs="Arial"/>
          <w:bCs/>
          <w:sz w:val="20"/>
          <w:szCs w:val="20"/>
        </w:rPr>
      </w:pPr>
      <w:r w:rsidRPr="00587444">
        <w:rPr>
          <w:rFonts w:ascii="Arial" w:hAnsi="Arial" w:cs="Arial"/>
          <w:b/>
          <w:bCs/>
          <w:sz w:val="20"/>
          <w:szCs w:val="20"/>
          <w:lang w:eastAsia="hr-HR"/>
        </w:rPr>
        <w:t>31.</w:t>
      </w:r>
      <w:r w:rsidRPr="00587444">
        <w:rPr>
          <w:rFonts w:ascii="Arial" w:hAnsi="Arial" w:cs="Arial"/>
          <w:b/>
          <w:bCs/>
          <w:sz w:val="20"/>
          <w:szCs w:val="20"/>
        </w:rPr>
        <w:tab/>
        <w:t>Risk management (continued)</w:t>
      </w:r>
    </w:p>
    <w:p w14:paraId="6E3E8013" w14:textId="77777777" w:rsidR="00587444" w:rsidRPr="00587444" w:rsidRDefault="00587444" w:rsidP="00587444">
      <w:pPr>
        <w:suppressAutoHyphens w:val="0"/>
        <w:autoSpaceDN/>
        <w:jc w:val="both"/>
        <w:rPr>
          <w:rFonts w:ascii="Arial" w:hAnsi="Arial" w:cs="Arial"/>
          <w:b/>
          <w:sz w:val="20"/>
          <w:szCs w:val="20"/>
        </w:rPr>
      </w:pPr>
    </w:p>
    <w:p w14:paraId="6EC43A28" w14:textId="77777777" w:rsidR="00587444" w:rsidRPr="00587444" w:rsidRDefault="00587444" w:rsidP="007B030C">
      <w:pPr>
        <w:autoSpaceDN/>
        <w:jc w:val="both"/>
        <w:rPr>
          <w:rFonts w:ascii="Arial" w:eastAsia="Calibri" w:hAnsi="Arial" w:cs="Arial"/>
          <w:b/>
          <w:sz w:val="20"/>
          <w:szCs w:val="20"/>
        </w:rPr>
      </w:pPr>
      <w:r w:rsidRPr="00587444">
        <w:rPr>
          <w:rFonts w:ascii="Arial" w:eastAsia="Calibri" w:hAnsi="Arial" w:cs="Arial"/>
          <w:b/>
          <w:sz w:val="20"/>
          <w:szCs w:val="20"/>
        </w:rPr>
        <w:t>31.1. Overview of the most important risks (continued)</w:t>
      </w:r>
    </w:p>
    <w:p w14:paraId="78F8080A" w14:textId="77777777" w:rsidR="00587444" w:rsidRPr="00587444" w:rsidRDefault="00587444" w:rsidP="007B030C">
      <w:pPr>
        <w:autoSpaceDN/>
        <w:jc w:val="both"/>
        <w:rPr>
          <w:rFonts w:ascii="Arial" w:hAnsi="Arial" w:cs="Arial"/>
          <w:b/>
          <w:sz w:val="20"/>
          <w:szCs w:val="20"/>
        </w:rPr>
      </w:pPr>
    </w:p>
    <w:p w14:paraId="5E595D0B" w14:textId="77777777" w:rsidR="00587444" w:rsidRPr="00587444" w:rsidRDefault="00587444" w:rsidP="007B030C">
      <w:pPr>
        <w:autoSpaceDN/>
        <w:jc w:val="both"/>
        <w:rPr>
          <w:rFonts w:ascii="Arial" w:hAnsi="Arial" w:cs="Arial"/>
          <w:b/>
          <w:sz w:val="20"/>
          <w:szCs w:val="20"/>
        </w:rPr>
      </w:pPr>
      <w:r w:rsidRPr="00587444">
        <w:rPr>
          <w:rFonts w:ascii="Arial" w:hAnsi="Arial" w:cs="Arial"/>
          <w:b/>
          <w:sz w:val="20"/>
          <w:szCs w:val="20"/>
        </w:rPr>
        <w:t>Liquidity risk (continued)</w:t>
      </w:r>
    </w:p>
    <w:p w14:paraId="2553611D" w14:textId="77777777" w:rsidR="00587444" w:rsidRPr="00587444" w:rsidRDefault="00587444" w:rsidP="007B030C">
      <w:pPr>
        <w:autoSpaceDN/>
        <w:jc w:val="both"/>
        <w:rPr>
          <w:rFonts w:ascii="Arial" w:hAnsi="Arial" w:cs="Arial"/>
          <w:b/>
          <w:sz w:val="20"/>
          <w:szCs w:val="20"/>
        </w:rPr>
      </w:pPr>
    </w:p>
    <w:p w14:paraId="0AC16184" w14:textId="77777777" w:rsidR="00587444" w:rsidRPr="00587444" w:rsidRDefault="00587444" w:rsidP="007B030C">
      <w:pPr>
        <w:widowControl w:val="0"/>
        <w:autoSpaceDN/>
        <w:ind w:right="-6"/>
        <w:jc w:val="both"/>
        <w:rPr>
          <w:rFonts w:ascii="Arial" w:eastAsia="Calibri" w:hAnsi="Arial" w:cs="Arial"/>
          <w:spacing w:val="-3"/>
          <w:sz w:val="20"/>
          <w:szCs w:val="20"/>
        </w:rPr>
      </w:pPr>
      <w:r w:rsidRPr="00587444">
        <w:rPr>
          <w:rFonts w:ascii="Arial" w:eastAsia="Calibri" w:hAnsi="Arial" w:cs="Arial"/>
          <w:spacing w:val="-3"/>
          <w:sz w:val="20"/>
          <w:szCs w:val="20"/>
        </w:rPr>
        <w:t xml:space="preserve">The Bank monitors liquidity risk by implementing the sensitivity analyses and scenario analyses in regular or stressful business conditions. </w:t>
      </w:r>
      <w:bookmarkStart w:id="1037" w:name="_Hlk34301665"/>
      <w:r w:rsidRPr="00587444">
        <w:rPr>
          <w:rFonts w:ascii="Arial" w:eastAsia="Calibri" w:hAnsi="Arial" w:cs="Arial"/>
          <w:spacing w:val="-3"/>
          <w:sz w:val="20"/>
          <w:szCs w:val="20"/>
        </w:rPr>
        <w:t xml:space="preserve">Procedures for liquidity crisis indication or occurrence are determined by the Ordinance on Liquidity Risk Management. </w:t>
      </w:r>
    </w:p>
    <w:bookmarkEnd w:id="1037"/>
    <w:p w14:paraId="37C6BF79" w14:textId="77777777" w:rsidR="00587444" w:rsidRPr="00587444" w:rsidRDefault="00587444" w:rsidP="007B030C">
      <w:pPr>
        <w:autoSpaceDN/>
        <w:jc w:val="both"/>
        <w:rPr>
          <w:rFonts w:ascii="Arial" w:eastAsia="Calibri" w:hAnsi="Arial" w:cs="Arial"/>
          <w:b/>
          <w:bCs/>
          <w:spacing w:val="-3"/>
          <w:sz w:val="20"/>
          <w:szCs w:val="20"/>
        </w:rPr>
      </w:pPr>
    </w:p>
    <w:p w14:paraId="5EAC5979" w14:textId="77777777" w:rsidR="00587444" w:rsidRPr="00587444" w:rsidRDefault="00587444" w:rsidP="007B030C">
      <w:pPr>
        <w:autoSpaceDN/>
        <w:jc w:val="both"/>
        <w:rPr>
          <w:rFonts w:ascii="Arial" w:hAnsi="Arial" w:cs="Arial"/>
          <w:b/>
          <w:sz w:val="20"/>
          <w:szCs w:val="20"/>
        </w:rPr>
      </w:pPr>
      <w:r w:rsidRPr="00587444">
        <w:rPr>
          <w:rFonts w:ascii="Arial" w:hAnsi="Arial" w:cs="Arial"/>
          <w:b/>
          <w:sz w:val="20"/>
          <w:szCs w:val="20"/>
        </w:rPr>
        <w:t xml:space="preserve">Interest rate risk </w:t>
      </w:r>
    </w:p>
    <w:p w14:paraId="14F172F7" w14:textId="77777777" w:rsidR="00587444" w:rsidRPr="00587444" w:rsidRDefault="00587444" w:rsidP="007B030C">
      <w:pPr>
        <w:autoSpaceDN/>
        <w:jc w:val="both"/>
        <w:rPr>
          <w:rFonts w:ascii="Arial" w:hAnsi="Arial" w:cs="Arial"/>
          <w:sz w:val="20"/>
          <w:szCs w:val="20"/>
          <w:highlight w:val="yellow"/>
        </w:rPr>
      </w:pPr>
    </w:p>
    <w:p w14:paraId="0DD438D0" w14:textId="77777777" w:rsidR="00587444" w:rsidRPr="00587444" w:rsidRDefault="00587444" w:rsidP="007B030C">
      <w:pPr>
        <w:autoSpaceDN/>
        <w:jc w:val="both"/>
        <w:rPr>
          <w:rFonts w:ascii="Arial" w:hAnsi="Arial" w:cs="Arial"/>
          <w:sz w:val="20"/>
          <w:szCs w:val="20"/>
          <w:lang w:eastAsia="hr-HR"/>
        </w:rPr>
      </w:pPr>
      <w:r w:rsidRPr="00587444">
        <w:rPr>
          <w:rFonts w:ascii="Arial" w:hAnsi="Arial" w:cs="Arial"/>
          <w:sz w:val="20"/>
          <w:szCs w:val="20"/>
          <w:lang w:eastAsia="hr-HR"/>
        </w:rPr>
        <w:t xml:space="preserve">The basic principles for managing the Bank’s interest rate risk are determined in the internal documents as well as in the decisions and conclusions made by the Management Board and the Asset and Liability Management Committee. </w:t>
      </w:r>
      <w:bookmarkStart w:id="1038" w:name="_Hlk34301881"/>
      <w:proofErr w:type="gramStart"/>
      <w:r w:rsidRPr="00587444">
        <w:rPr>
          <w:rFonts w:ascii="Arial" w:hAnsi="Arial" w:cs="Arial"/>
          <w:sz w:val="20"/>
          <w:szCs w:val="20"/>
          <w:lang w:eastAsia="hr-HR"/>
        </w:rPr>
        <w:t>For the purpose of</w:t>
      </w:r>
      <w:proofErr w:type="gramEnd"/>
      <w:r w:rsidRPr="00587444">
        <w:rPr>
          <w:rFonts w:ascii="Arial" w:hAnsi="Arial" w:cs="Arial"/>
          <w:sz w:val="20"/>
          <w:szCs w:val="20"/>
          <w:lang w:eastAsia="hr-HR"/>
        </w:rPr>
        <w:t xml:space="preserve"> measurement and monitoring of interest rate risk, the Bank carries out interest rate gap analysis. Interest rate gap is calculated for certain periods according to the possibilities of interest rate changes and is used for presenting the sensitivity of the Bank to the changes in interest rates under regular and stress conditions.</w:t>
      </w:r>
      <w:bookmarkEnd w:id="1038"/>
      <w:r w:rsidRPr="00587444">
        <w:rPr>
          <w:rFonts w:ascii="Arial" w:hAnsi="Arial" w:cs="Arial"/>
          <w:sz w:val="20"/>
          <w:szCs w:val="20"/>
          <w:lang w:eastAsia="hr-HR"/>
        </w:rPr>
        <w:t xml:space="preserve"> </w:t>
      </w:r>
      <w:bookmarkStart w:id="1039" w:name="_Hlk97647516"/>
      <w:r w:rsidRPr="00587444">
        <w:rPr>
          <w:rFonts w:ascii="Arial" w:eastAsia="Calibri" w:hAnsi="Arial" w:cs="Arial"/>
          <w:sz w:val="20"/>
          <w:szCs w:val="20"/>
          <w:lang w:val="en-GB" w:eastAsia="hr-HR"/>
        </w:rPr>
        <w:t xml:space="preserve">A detailed breakdown of interest rates is done per currency, type and level of interest rate, and projections of developments in average weighted interest rates for sources and placements are made. </w:t>
      </w:r>
      <w:bookmarkEnd w:id="1039"/>
      <w:r w:rsidRPr="00587444">
        <w:rPr>
          <w:rFonts w:ascii="Arial" w:hAnsi="Arial" w:cs="Arial"/>
          <w:sz w:val="20"/>
          <w:szCs w:val="20"/>
          <w:lang w:eastAsia="hr-HR"/>
        </w:rPr>
        <w:t xml:space="preserve">Furthermore, in addition to </w:t>
      </w:r>
      <w:proofErr w:type="spellStart"/>
      <w:r w:rsidRPr="00587444">
        <w:rPr>
          <w:rFonts w:ascii="Arial" w:hAnsi="Arial" w:cs="Arial"/>
          <w:sz w:val="20"/>
          <w:szCs w:val="20"/>
          <w:lang w:eastAsia="hr-HR"/>
        </w:rPr>
        <w:t>harmonising</w:t>
      </w:r>
      <w:proofErr w:type="spellEnd"/>
      <w:r w:rsidRPr="00587444">
        <w:rPr>
          <w:rFonts w:ascii="Arial" w:hAnsi="Arial" w:cs="Arial"/>
          <w:sz w:val="20"/>
          <w:szCs w:val="20"/>
          <w:lang w:eastAsia="hr-HR"/>
        </w:rPr>
        <w:t xml:space="preserve"> interest rates on sources and placements, current market conditions and movements in forecasted market indicators are also monitored.</w:t>
      </w:r>
    </w:p>
    <w:p w14:paraId="21943731" w14:textId="77777777" w:rsidR="00587444" w:rsidRPr="00587444" w:rsidRDefault="00587444" w:rsidP="007B030C">
      <w:pPr>
        <w:autoSpaceDN/>
        <w:jc w:val="both"/>
        <w:rPr>
          <w:rFonts w:ascii="Arial" w:hAnsi="Arial" w:cs="Arial"/>
          <w:sz w:val="20"/>
          <w:szCs w:val="20"/>
          <w:lang w:eastAsia="hr-HR"/>
        </w:rPr>
      </w:pPr>
    </w:p>
    <w:p w14:paraId="4E160C0C" w14:textId="77777777" w:rsidR="00587444" w:rsidRPr="00587444" w:rsidRDefault="00587444" w:rsidP="007B030C">
      <w:pPr>
        <w:autoSpaceDN/>
        <w:jc w:val="both"/>
        <w:rPr>
          <w:rFonts w:ascii="Arial" w:hAnsi="Arial" w:cs="Arial"/>
          <w:b/>
          <w:sz w:val="20"/>
          <w:szCs w:val="20"/>
        </w:rPr>
      </w:pPr>
      <w:r w:rsidRPr="00587444">
        <w:rPr>
          <w:rFonts w:ascii="Arial" w:hAnsi="Arial" w:cs="Arial"/>
          <w:b/>
          <w:sz w:val="20"/>
          <w:szCs w:val="20"/>
        </w:rPr>
        <w:t>Currency risk</w:t>
      </w:r>
    </w:p>
    <w:p w14:paraId="3ED8F982" w14:textId="77777777" w:rsidR="00587444" w:rsidRPr="00587444" w:rsidRDefault="00587444" w:rsidP="007B030C">
      <w:pPr>
        <w:autoSpaceDN/>
        <w:jc w:val="both"/>
        <w:rPr>
          <w:rFonts w:ascii="Arial" w:hAnsi="Arial" w:cs="Arial"/>
          <w:b/>
          <w:sz w:val="20"/>
          <w:szCs w:val="20"/>
        </w:rPr>
      </w:pPr>
    </w:p>
    <w:p w14:paraId="24E8BF34" w14:textId="77777777" w:rsidR="00587444" w:rsidRPr="00587444" w:rsidRDefault="00587444" w:rsidP="007B030C">
      <w:pPr>
        <w:tabs>
          <w:tab w:val="left" w:pos="8280"/>
        </w:tabs>
        <w:autoSpaceDN/>
        <w:jc w:val="both"/>
        <w:rPr>
          <w:rFonts w:ascii="Arial" w:eastAsia="Calibri" w:hAnsi="Arial" w:cs="Arial"/>
          <w:sz w:val="20"/>
          <w:szCs w:val="20"/>
        </w:rPr>
      </w:pPr>
      <w:r w:rsidRPr="00587444">
        <w:rPr>
          <w:rFonts w:ascii="Arial" w:eastAsia="Calibri" w:hAnsi="Arial" w:cs="Arial"/>
          <w:sz w:val="20"/>
          <w:szCs w:val="20"/>
        </w:rPr>
        <w:t xml:space="preserve">The basic principles for managing HBOR’s currency risk are determined in the internal acts as well as in the decisions and conclusions made by the Management Board and the Asset and Liability Management Committee. </w:t>
      </w:r>
      <w:bookmarkStart w:id="1040" w:name="_Hlk34301955"/>
      <w:r w:rsidRPr="00587444">
        <w:rPr>
          <w:rFonts w:ascii="Arial" w:eastAsia="Calibri" w:hAnsi="Arial" w:cs="Arial"/>
          <w:sz w:val="20"/>
          <w:szCs w:val="20"/>
        </w:rPr>
        <w:t xml:space="preserve">Methods for the measurement, </w:t>
      </w:r>
      <w:proofErr w:type="gramStart"/>
      <w:r w:rsidRPr="00587444">
        <w:rPr>
          <w:rFonts w:ascii="Arial" w:eastAsia="Calibri" w:hAnsi="Arial" w:cs="Arial"/>
          <w:sz w:val="20"/>
          <w:szCs w:val="20"/>
        </w:rPr>
        <w:t>i.e.</w:t>
      </w:r>
      <w:proofErr w:type="gramEnd"/>
      <w:r w:rsidRPr="00587444">
        <w:rPr>
          <w:rFonts w:ascii="Arial" w:eastAsia="Calibri" w:hAnsi="Arial" w:cs="Arial"/>
          <w:sz w:val="20"/>
          <w:szCs w:val="20"/>
        </w:rPr>
        <w:t xml:space="preserve"> assessment, monitoring and management of currency risk have been established, limits and early warning signals as well as proceedings both for cases of crisis indication and occurrence have been determined, and reports necessary for comprehensive perception of this risk have been defined. </w:t>
      </w:r>
    </w:p>
    <w:bookmarkEnd w:id="1040"/>
    <w:p w14:paraId="0FFBF29A" w14:textId="77777777" w:rsidR="00587444" w:rsidRPr="00587444" w:rsidRDefault="00587444" w:rsidP="007B030C">
      <w:pPr>
        <w:tabs>
          <w:tab w:val="left" w:pos="8280"/>
        </w:tabs>
        <w:autoSpaceDN/>
        <w:jc w:val="both"/>
        <w:rPr>
          <w:rFonts w:ascii="Arial" w:eastAsia="Calibri" w:hAnsi="Arial" w:cs="Arial"/>
          <w:sz w:val="20"/>
          <w:szCs w:val="20"/>
        </w:rPr>
      </w:pPr>
    </w:p>
    <w:p w14:paraId="4F96C713" w14:textId="77777777" w:rsidR="00587444" w:rsidRPr="00587444" w:rsidRDefault="00587444" w:rsidP="007B030C">
      <w:pPr>
        <w:autoSpaceDN/>
        <w:jc w:val="both"/>
        <w:rPr>
          <w:rFonts w:ascii="Arial" w:eastAsia="Calibri" w:hAnsi="Arial" w:cs="Arial"/>
          <w:spacing w:val="-3"/>
          <w:sz w:val="20"/>
          <w:szCs w:val="20"/>
          <w:lang w:val="en-GB"/>
        </w:rPr>
      </w:pPr>
      <w:bookmarkStart w:id="1041" w:name="_Hlk97646740"/>
      <w:r w:rsidRPr="00587444">
        <w:rPr>
          <w:rFonts w:ascii="Arial" w:eastAsia="Calibri" w:hAnsi="Arial" w:cs="Arial"/>
          <w:spacing w:val="-3"/>
          <w:sz w:val="20"/>
          <w:szCs w:val="20"/>
          <w:lang w:val="en-GB"/>
        </w:rPr>
        <w:t xml:space="preserve">For the purposes of measuring exposure to currency risk, the open foreign currency position is monitored. In addition to the daily monitoring of the open foreign currency position and the projections of its developments, for the purposes of assessing and measuring the currency risk, the risk value is calculated, and reports are regularly submitted to the bodies in charge on maximum possible losses on significant currencies. Sensitivity analyses in regular or stressful business conditions are also performed.  </w:t>
      </w:r>
    </w:p>
    <w:bookmarkEnd w:id="1041"/>
    <w:p w14:paraId="66600887" w14:textId="77777777" w:rsidR="00587444" w:rsidRPr="00587444" w:rsidRDefault="00587444" w:rsidP="007B030C">
      <w:pPr>
        <w:tabs>
          <w:tab w:val="left" w:pos="8280"/>
        </w:tabs>
        <w:autoSpaceDN/>
        <w:jc w:val="both"/>
        <w:rPr>
          <w:rFonts w:ascii="Arial" w:eastAsia="Calibri" w:hAnsi="Arial" w:cs="Arial"/>
          <w:spacing w:val="-3"/>
          <w:sz w:val="20"/>
          <w:szCs w:val="20"/>
        </w:rPr>
      </w:pPr>
    </w:p>
    <w:p w14:paraId="0D342113" w14:textId="77777777" w:rsidR="00587444" w:rsidRPr="00587444" w:rsidRDefault="00587444" w:rsidP="007B030C">
      <w:pPr>
        <w:autoSpaceDN/>
        <w:jc w:val="both"/>
        <w:rPr>
          <w:rFonts w:ascii="Arial" w:hAnsi="Arial" w:cs="Arial"/>
          <w:b/>
          <w:sz w:val="20"/>
          <w:szCs w:val="20"/>
        </w:rPr>
      </w:pPr>
      <w:r w:rsidRPr="00587444">
        <w:rPr>
          <w:rFonts w:ascii="Arial" w:hAnsi="Arial" w:cs="Arial"/>
          <w:b/>
          <w:sz w:val="20"/>
          <w:szCs w:val="20"/>
        </w:rPr>
        <w:t>Operational risk</w:t>
      </w:r>
    </w:p>
    <w:p w14:paraId="23E59D50" w14:textId="77777777" w:rsidR="00587444" w:rsidRPr="00587444" w:rsidRDefault="00587444" w:rsidP="007B030C">
      <w:pPr>
        <w:autoSpaceDN/>
        <w:jc w:val="both"/>
        <w:rPr>
          <w:rFonts w:ascii="Arial" w:hAnsi="Arial" w:cs="Arial"/>
          <w:b/>
          <w:sz w:val="20"/>
          <w:szCs w:val="20"/>
        </w:rPr>
      </w:pPr>
    </w:p>
    <w:p w14:paraId="3AD0BD83" w14:textId="77777777" w:rsidR="00587444" w:rsidRPr="00587444" w:rsidRDefault="00587444" w:rsidP="007B030C">
      <w:pPr>
        <w:autoSpaceDN/>
        <w:jc w:val="both"/>
        <w:rPr>
          <w:rFonts w:ascii="Arial" w:eastAsia="Calibri" w:hAnsi="Arial" w:cs="Arial"/>
          <w:sz w:val="20"/>
          <w:szCs w:val="20"/>
          <w:lang w:val="en-GB"/>
        </w:rPr>
      </w:pPr>
      <w:bookmarkStart w:id="1042" w:name="_Hlk518310305"/>
      <w:r w:rsidRPr="00587444">
        <w:rPr>
          <w:rFonts w:ascii="Arial" w:eastAsia="Calibri" w:hAnsi="Arial" w:cs="Arial"/>
          <w:sz w:val="20"/>
          <w:szCs w:val="20"/>
          <w:lang w:val="en-GB"/>
        </w:rPr>
        <w:t xml:space="preserve">HBOR has established a framework for the management of operational risk that is aligned with the regulations prescribed by the Croatian National Bank applicable to the operations of the Bank as the special financial institution and with the good banking practices </w:t>
      </w:r>
      <w:proofErr w:type="gramStart"/>
      <w:r w:rsidRPr="00587444">
        <w:rPr>
          <w:rFonts w:ascii="Arial" w:eastAsia="Calibri" w:hAnsi="Arial" w:cs="Arial"/>
          <w:sz w:val="20"/>
          <w:szCs w:val="20"/>
          <w:lang w:val="en-GB"/>
        </w:rPr>
        <w:t>in the area of</w:t>
      </w:r>
      <w:proofErr w:type="gramEnd"/>
      <w:r w:rsidRPr="00587444">
        <w:rPr>
          <w:rFonts w:ascii="Arial" w:eastAsia="Calibri" w:hAnsi="Arial" w:cs="Arial"/>
          <w:sz w:val="20"/>
          <w:szCs w:val="20"/>
          <w:lang w:val="en-GB"/>
        </w:rPr>
        <w:t xml:space="preserve"> risk management.</w:t>
      </w:r>
    </w:p>
    <w:bookmarkEnd w:id="1042"/>
    <w:p w14:paraId="75030DF3" w14:textId="77777777" w:rsidR="00587444" w:rsidRPr="00587444" w:rsidRDefault="00587444" w:rsidP="007B030C">
      <w:pPr>
        <w:tabs>
          <w:tab w:val="right" w:pos="1202"/>
          <w:tab w:val="left" w:pos="9180"/>
        </w:tabs>
        <w:autoSpaceDN/>
        <w:spacing w:line="240" w:lineRule="exact"/>
        <w:jc w:val="both"/>
        <w:outlineLvl w:val="0"/>
        <w:rPr>
          <w:rFonts w:ascii="Arial" w:hAnsi="Arial" w:cs="Arial"/>
          <w:sz w:val="20"/>
          <w:szCs w:val="20"/>
          <w:lang w:val="en-GB"/>
        </w:rPr>
      </w:pPr>
    </w:p>
    <w:p w14:paraId="113B086F"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sectPr w:rsidR="00587444" w:rsidRPr="00587444" w:rsidSect="00DD69E7">
          <w:pgSz w:w="11907" w:h="16840" w:code="9"/>
          <w:pgMar w:top="1418" w:right="1134" w:bottom="1134" w:left="1418" w:header="851" w:footer="851" w:gutter="0"/>
          <w:cols w:space="720"/>
          <w:noEndnote/>
        </w:sectPr>
      </w:pPr>
    </w:p>
    <w:p w14:paraId="20BF4632" w14:textId="77777777" w:rsidR="00587444" w:rsidRPr="00587444" w:rsidRDefault="00587444" w:rsidP="00587444">
      <w:pPr>
        <w:keepNext/>
        <w:tabs>
          <w:tab w:val="left" w:pos="426"/>
        </w:tabs>
        <w:suppressAutoHyphens w:val="0"/>
        <w:autoSpaceDN/>
        <w:jc w:val="both"/>
        <w:rPr>
          <w:rFonts w:ascii="Arial" w:hAnsi="Arial" w:cs="Arial"/>
          <w:b/>
          <w:bCs/>
          <w:sz w:val="20"/>
          <w:szCs w:val="20"/>
          <w:lang w:eastAsia="hr-HR"/>
        </w:rPr>
      </w:pPr>
    </w:p>
    <w:p w14:paraId="64F4A4A8" w14:textId="77777777" w:rsidR="00587444" w:rsidRPr="00587444" w:rsidRDefault="00587444" w:rsidP="007B030C">
      <w:pPr>
        <w:keepNext/>
        <w:tabs>
          <w:tab w:val="left" w:pos="426"/>
        </w:tabs>
        <w:autoSpaceDN/>
        <w:jc w:val="both"/>
        <w:rPr>
          <w:rFonts w:ascii="Arial" w:hAnsi="Arial" w:cs="Arial"/>
          <w:b/>
          <w:bCs/>
          <w:sz w:val="20"/>
          <w:szCs w:val="20"/>
        </w:rPr>
      </w:pPr>
      <w:r w:rsidRPr="00587444">
        <w:rPr>
          <w:rFonts w:ascii="Arial" w:hAnsi="Arial" w:cs="Arial"/>
          <w:b/>
          <w:bCs/>
          <w:sz w:val="20"/>
          <w:szCs w:val="20"/>
          <w:lang w:eastAsia="hr-HR"/>
        </w:rPr>
        <w:t>31.</w:t>
      </w:r>
      <w:r w:rsidRPr="00587444">
        <w:rPr>
          <w:rFonts w:ascii="Arial" w:hAnsi="Arial" w:cs="Arial"/>
          <w:b/>
          <w:bCs/>
          <w:sz w:val="20"/>
          <w:szCs w:val="20"/>
        </w:rPr>
        <w:tab/>
        <w:t>Risk management (continued)</w:t>
      </w:r>
    </w:p>
    <w:p w14:paraId="185DBF96" w14:textId="77777777" w:rsidR="00587444" w:rsidRPr="00587444" w:rsidRDefault="00587444" w:rsidP="007B030C">
      <w:pPr>
        <w:autoSpaceDN/>
        <w:jc w:val="both"/>
        <w:rPr>
          <w:rFonts w:ascii="Arial" w:hAnsi="Arial" w:cs="Arial"/>
          <w:b/>
          <w:sz w:val="20"/>
          <w:szCs w:val="20"/>
        </w:rPr>
      </w:pPr>
    </w:p>
    <w:p w14:paraId="5F8BAF50" w14:textId="77777777" w:rsidR="00587444" w:rsidRPr="00587444" w:rsidRDefault="00587444" w:rsidP="007B030C">
      <w:pPr>
        <w:autoSpaceDN/>
        <w:jc w:val="both"/>
        <w:rPr>
          <w:rFonts w:ascii="Arial" w:eastAsia="Calibri" w:hAnsi="Arial" w:cs="Arial"/>
          <w:b/>
          <w:bCs/>
          <w:spacing w:val="-3"/>
          <w:sz w:val="20"/>
          <w:szCs w:val="20"/>
        </w:rPr>
      </w:pPr>
      <w:r w:rsidRPr="00587444">
        <w:rPr>
          <w:rFonts w:ascii="Arial" w:eastAsia="Calibri" w:hAnsi="Arial" w:cs="Arial"/>
          <w:b/>
          <w:sz w:val="20"/>
          <w:szCs w:val="20"/>
        </w:rPr>
        <w:t>31.1. Overview of the most important risks (continued)</w:t>
      </w:r>
    </w:p>
    <w:p w14:paraId="0CD17764" w14:textId="77777777" w:rsidR="00587444" w:rsidRPr="00587444" w:rsidRDefault="00587444" w:rsidP="007B030C">
      <w:pPr>
        <w:autoSpaceDN/>
        <w:jc w:val="both"/>
        <w:rPr>
          <w:rFonts w:ascii="Arial" w:hAnsi="Arial" w:cs="Arial"/>
          <w:sz w:val="20"/>
          <w:szCs w:val="20"/>
          <w:highlight w:val="yellow"/>
        </w:rPr>
      </w:pPr>
    </w:p>
    <w:p w14:paraId="5ADDFD4F" w14:textId="77777777" w:rsidR="00587444" w:rsidRPr="00587444" w:rsidRDefault="00587444" w:rsidP="007B030C">
      <w:pPr>
        <w:autoSpaceDN/>
        <w:jc w:val="both"/>
        <w:rPr>
          <w:rFonts w:ascii="Arial" w:hAnsi="Arial" w:cs="Arial"/>
          <w:b/>
          <w:sz w:val="20"/>
          <w:szCs w:val="20"/>
        </w:rPr>
      </w:pPr>
      <w:r w:rsidRPr="00587444">
        <w:rPr>
          <w:rFonts w:ascii="Arial" w:hAnsi="Arial" w:cs="Arial"/>
          <w:b/>
          <w:sz w:val="20"/>
          <w:szCs w:val="20"/>
        </w:rPr>
        <w:t>Operational risk (continued)</w:t>
      </w:r>
    </w:p>
    <w:p w14:paraId="114BB291" w14:textId="77777777" w:rsidR="00587444" w:rsidRPr="00587444" w:rsidRDefault="00587444" w:rsidP="007B030C">
      <w:pPr>
        <w:autoSpaceDN/>
        <w:jc w:val="both"/>
        <w:rPr>
          <w:rFonts w:ascii="Arial" w:hAnsi="Arial" w:cs="Arial"/>
          <w:b/>
          <w:sz w:val="20"/>
          <w:szCs w:val="20"/>
        </w:rPr>
      </w:pPr>
    </w:p>
    <w:p w14:paraId="200E299D" w14:textId="77777777" w:rsidR="00587444" w:rsidRPr="00587444" w:rsidRDefault="00587444" w:rsidP="007B030C">
      <w:pPr>
        <w:autoSpaceDN/>
        <w:jc w:val="both"/>
        <w:rPr>
          <w:rFonts w:ascii="Arial" w:eastAsia="Calibri" w:hAnsi="Arial" w:cs="Arial"/>
          <w:sz w:val="20"/>
          <w:szCs w:val="20"/>
        </w:rPr>
      </w:pPr>
      <w:r w:rsidRPr="00587444">
        <w:rPr>
          <w:rFonts w:ascii="Arial" w:eastAsia="Calibri" w:hAnsi="Arial" w:cs="Arial"/>
          <w:sz w:val="20"/>
          <w:szCs w:val="20"/>
        </w:rPr>
        <w:t xml:space="preserve">The basic principles of operational risk management were identified in the umbrella act, Operational Risk Management Policies, the structure of management and accountability in the system was set up, the approach for the calculation of capital requirements for operational risk was determined, the reporting system was established as well as the manners of establishing, </w:t>
      </w:r>
      <w:proofErr w:type="gramStart"/>
      <w:r w:rsidRPr="00587444">
        <w:rPr>
          <w:rFonts w:ascii="Arial" w:eastAsia="Calibri" w:hAnsi="Arial" w:cs="Arial"/>
          <w:sz w:val="20"/>
          <w:szCs w:val="20"/>
        </w:rPr>
        <w:t>managing</w:t>
      </w:r>
      <w:proofErr w:type="gramEnd"/>
      <w:r w:rsidRPr="00587444">
        <w:rPr>
          <w:rFonts w:ascii="Arial" w:eastAsia="Calibri" w:hAnsi="Arial" w:cs="Arial"/>
          <w:sz w:val="20"/>
          <w:szCs w:val="20"/>
        </w:rPr>
        <w:t xml:space="preserve"> and monitoring the exposure to operational risk. The management system covers the operational risk at business changes, new products included, and operational risk at the outsourcing of activities. </w:t>
      </w:r>
    </w:p>
    <w:p w14:paraId="5A5F23B5" w14:textId="77777777" w:rsidR="00587444" w:rsidRPr="00587444" w:rsidRDefault="00587444" w:rsidP="007B030C">
      <w:pPr>
        <w:autoSpaceDN/>
        <w:jc w:val="both"/>
        <w:rPr>
          <w:rFonts w:ascii="Arial" w:hAnsi="Arial" w:cs="Arial"/>
          <w:b/>
          <w:sz w:val="20"/>
          <w:szCs w:val="20"/>
        </w:rPr>
      </w:pPr>
    </w:p>
    <w:p w14:paraId="0EE9AF06" w14:textId="77777777" w:rsidR="00587444" w:rsidRPr="00587444" w:rsidRDefault="00587444" w:rsidP="007B030C">
      <w:pPr>
        <w:autoSpaceDN/>
        <w:rPr>
          <w:rFonts w:ascii="Arial" w:eastAsia="Calibri" w:hAnsi="Arial" w:cs="Arial"/>
          <w:sz w:val="20"/>
          <w:szCs w:val="20"/>
          <w:lang w:val="en-GB"/>
        </w:rPr>
      </w:pPr>
      <w:r w:rsidRPr="00587444">
        <w:rPr>
          <w:rFonts w:ascii="Arial" w:eastAsia="Calibri" w:hAnsi="Arial" w:cs="Arial"/>
          <w:sz w:val="20"/>
          <w:szCs w:val="20"/>
        </w:rPr>
        <w:t xml:space="preserve">The Committee for IT management </w:t>
      </w:r>
      <w:proofErr w:type="gramStart"/>
      <w:r w:rsidRPr="00587444">
        <w:rPr>
          <w:rFonts w:ascii="Arial" w:eastAsia="Calibri" w:hAnsi="Arial" w:cs="Arial"/>
          <w:sz w:val="20"/>
          <w:szCs w:val="20"/>
        </w:rPr>
        <w:t>is in charge of</w:t>
      </w:r>
      <w:proofErr w:type="gramEnd"/>
      <w:r w:rsidRPr="00587444">
        <w:rPr>
          <w:rFonts w:ascii="Arial" w:eastAsia="Calibri" w:hAnsi="Arial" w:cs="Arial"/>
          <w:sz w:val="20"/>
          <w:szCs w:val="20"/>
        </w:rPr>
        <w:t xml:space="preserve"> monitoring IT system performance with the purpose of IT resources management by setting the appropriate level of efficiency and security of IT for providing, among other things, appropriate management of risks arising from IT technology </w:t>
      </w:r>
      <w:proofErr w:type="spellStart"/>
      <w:r w:rsidRPr="00587444">
        <w:rPr>
          <w:rFonts w:ascii="Arial" w:eastAsia="Calibri" w:hAnsi="Arial" w:cs="Arial"/>
          <w:sz w:val="20"/>
          <w:szCs w:val="20"/>
        </w:rPr>
        <w:t>utilisation</w:t>
      </w:r>
      <w:proofErr w:type="spellEnd"/>
      <w:r w:rsidRPr="00587444">
        <w:rPr>
          <w:rFonts w:ascii="Arial" w:eastAsia="Calibri" w:hAnsi="Arial" w:cs="Arial"/>
          <w:sz w:val="20"/>
          <w:szCs w:val="20"/>
        </w:rPr>
        <w:t xml:space="preserve">. </w:t>
      </w:r>
      <w:bookmarkStart w:id="1043" w:name="_Hlk97647784"/>
    </w:p>
    <w:p w14:paraId="35EC2B9B" w14:textId="77777777" w:rsidR="00587444" w:rsidRPr="00587444" w:rsidRDefault="00587444" w:rsidP="007B030C">
      <w:pPr>
        <w:autoSpaceDN/>
        <w:jc w:val="both"/>
        <w:rPr>
          <w:rFonts w:ascii="Arial" w:eastAsia="Calibri" w:hAnsi="Arial" w:cs="Arial"/>
          <w:sz w:val="20"/>
          <w:szCs w:val="20"/>
          <w:lang w:val="en-GB"/>
        </w:rPr>
      </w:pPr>
      <w:r w:rsidRPr="00587444">
        <w:rPr>
          <w:rFonts w:ascii="Arial" w:eastAsia="Calibri" w:hAnsi="Arial" w:cs="Arial"/>
          <w:sz w:val="20"/>
          <w:szCs w:val="20"/>
          <w:lang w:val="en-GB"/>
        </w:rPr>
        <w:t xml:space="preserve">The Head of IT System Security function </w:t>
      </w:r>
      <w:proofErr w:type="gramStart"/>
      <w:r w:rsidRPr="00587444">
        <w:rPr>
          <w:rFonts w:ascii="Arial" w:eastAsia="Calibri" w:hAnsi="Arial" w:cs="Arial"/>
          <w:sz w:val="20"/>
          <w:szCs w:val="20"/>
          <w:lang w:val="en-GB"/>
        </w:rPr>
        <w:t>is in charge of</w:t>
      </w:r>
      <w:proofErr w:type="gramEnd"/>
      <w:r w:rsidRPr="00587444">
        <w:rPr>
          <w:rFonts w:ascii="Arial" w:eastAsia="Calibri" w:hAnsi="Arial" w:cs="Arial"/>
          <w:sz w:val="20"/>
          <w:szCs w:val="20"/>
          <w:lang w:val="en-GB"/>
        </w:rPr>
        <w:t xml:space="preserve"> monitoring the security of the IT system. Within this function, a system for the management of HBOR’s business continuity was established.</w:t>
      </w:r>
    </w:p>
    <w:bookmarkEnd w:id="1043"/>
    <w:p w14:paraId="4051BC84" w14:textId="77777777" w:rsidR="00587444" w:rsidRPr="00587444" w:rsidRDefault="00587444" w:rsidP="007B030C">
      <w:pPr>
        <w:autoSpaceDN/>
        <w:jc w:val="both"/>
        <w:rPr>
          <w:rFonts w:ascii="Arial" w:hAnsi="Arial" w:cs="Arial"/>
          <w:b/>
          <w:sz w:val="20"/>
          <w:szCs w:val="20"/>
          <w:lang w:eastAsia="hr-HR"/>
        </w:rPr>
      </w:pPr>
    </w:p>
    <w:p w14:paraId="1AB9DA50" w14:textId="77777777" w:rsidR="00587444" w:rsidRPr="00587444" w:rsidRDefault="00587444" w:rsidP="007B030C">
      <w:pPr>
        <w:autoSpaceDN/>
        <w:jc w:val="both"/>
        <w:rPr>
          <w:rFonts w:ascii="Arial" w:eastAsia="Calibri" w:hAnsi="Arial" w:cs="Arial"/>
          <w:sz w:val="20"/>
          <w:szCs w:val="20"/>
          <w:lang w:val="en-GB"/>
        </w:rPr>
      </w:pPr>
      <w:r w:rsidRPr="00587444">
        <w:rPr>
          <w:rFonts w:ascii="Arial" w:eastAsia="Calibri" w:hAnsi="Arial" w:cs="Arial"/>
          <w:sz w:val="20"/>
          <w:szCs w:val="20"/>
          <w:lang w:val="en-GB"/>
        </w:rPr>
        <w:t xml:space="preserve">In 2022, there was the impact of a significant operational risk event on the Bank's operations: the earthquake in Zagreb. The crisis event was recorded in 2020 in the operational risk base, where its financial effects are continuously updated. </w:t>
      </w:r>
      <w:proofErr w:type="gramStart"/>
      <w:r w:rsidRPr="00587444">
        <w:rPr>
          <w:rFonts w:ascii="Arial" w:eastAsia="Calibri" w:hAnsi="Arial" w:cs="Arial"/>
          <w:sz w:val="20"/>
          <w:szCs w:val="20"/>
          <w:lang w:val="en-GB"/>
        </w:rPr>
        <w:t>In order to</w:t>
      </w:r>
      <w:proofErr w:type="gramEnd"/>
      <w:r w:rsidRPr="00587444">
        <w:rPr>
          <w:rFonts w:ascii="Arial" w:eastAsia="Calibri" w:hAnsi="Arial" w:cs="Arial"/>
          <w:sz w:val="20"/>
          <w:szCs w:val="20"/>
          <w:lang w:val="en-GB"/>
        </w:rPr>
        <w:t xml:space="preserve"> ensure business continuity due to the inability to use the main business premises of the Bank damaged in the earthquake, the employees were allowed to continue partly working from home</w:t>
      </w:r>
      <w:r w:rsidRPr="00587444">
        <w:rPr>
          <w:rFonts w:ascii="Arial" w:eastAsia="Calibri" w:hAnsi="Arial" w:cs="Arial"/>
          <w:sz w:val="20"/>
          <w:szCs w:val="20"/>
        </w:rPr>
        <w:t>.</w:t>
      </w:r>
    </w:p>
    <w:p w14:paraId="66F8F80A" w14:textId="77777777" w:rsidR="00587444" w:rsidRPr="00587444" w:rsidRDefault="00587444" w:rsidP="007B030C">
      <w:pPr>
        <w:autoSpaceDN/>
        <w:jc w:val="both"/>
        <w:rPr>
          <w:rFonts w:ascii="Arial" w:eastAsia="Calibri" w:hAnsi="Arial" w:cs="Arial"/>
          <w:sz w:val="20"/>
          <w:szCs w:val="20"/>
        </w:rPr>
      </w:pPr>
    </w:p>
    <w:p w14:paraId="785094AF" w14:textId="77777777" w:rsidR="00587444" w:rsidRPr="00587444" w:rsidRDefault="00587444" w:rsidP="007B030C">
      <w:pPr>
        <w:autoSpaceDN/>
        <w:jc w:val="both"/>
        <w:rPr>
          <w:rFonts w:ascii="Arial" w:eastAsia="Calibri" w:hAnsi="Arial" w:cs="Arial"/>
          <w:sz w:val="20"/>
          <w:szCs w:val="20"/>
        </w:rPr>
      </w:pPr>
      <w:r w:rsidRPr="00587444">
        <w:rPr>
          <w:rFonts w:ascii="Arial" w:hAnsi="Arial" w:cs="Arial"/>
          <w:sz w:val="20"/>
          <w:szCs w:val="20"/>
        </w:rPr>
        <w:t xml:space="preserve">In addition, in 2022, HBOR's exposure to operational risk was significantly affected by the Euro introduction project aimed at the timely </w:t>
      </w:r>
      <w:proofErr w:type="spellStart"/>
      <w:r w:rsidRPr="00587444">
        <w:rPr>
          <w:rFonts w:ascii="Arial" w:hAnsi="Arial" w:cs="Arial"/>
          <w:sz w:val="20"/>
          <w:szCs w:val="20"/>
        </w:rPr>
        <w:t>harmonisation</w:t>
      </w:r>
      <w:proofErr w:type="spellEnd"/>
      <w:r w:rsidRPr="00587444">
        <w:rPr>
          <w:rFonts w:ascii="Arial" w:hAnsi="Arial" w:cs="Arial"/>
          <w:sz w:val="20"/>
          <w:szCs w:val="20"/>
        </w:rPr>
        <w:t xml:space="preserve"> of HBOR with the National Plan for the Changeover from the Croatian Kuna to the Euro, the Act on the Introduction of the Euro as the Official Currency in the Republic of Croatia and other legislation to which HBOR is subject. </w:t>
      </w:r>
      <w:proofErr w:type="gramStart"/>
      <w:r w:rsidRPr="00587444">
        <w:rPr>
          <w:rFonts w:ascii="Arial" w:hAnsi="Arial" w:cs="Arial"/>
          <w:sz w:val="20"/>
          <w:szCs w:val="20"/>
        </w:rPr>
        <w:t>In order to</w:t>
      </w:r>
      <w:proofErr w:type="gramEnd"/>
      <w:r w:rsidRPr="00587444">
        <w:rPr>
          <w:rFonts w:ascii="Arial" w:hAnsi="Arial" w:cs="Arial"/>
          <w:sz w:val="20"/>
          <w:szCs w:val="20"/>
        </w:rPr>
        <w:t xml:space="preserve"> ensure the meeting of deadlines and the continuity and integrity of operations after the changeover to the Euro as the official currency, HBOR was focused on the priority of the project and the availability of resources for its timely implementation.</w:t>
      </w:r>
    </w:p>
    <w:p w14:paraId="466503D8" w14:textId="77777777" w:rsidR="00587444" w:rsidRPr="00587444" w:rsidRDefault="00587444" w:rsidP="007B030C">
      <w:pPr>
        <w:autoSpaceDN/>
        <w:jc w:val="both"/>
        <w:rPr>
          <w:rFonts w:ascii="Arial" w:eastAsia="Calibri" w:hAnsi="Arial" w:cs="Arial"/>
          <w:sz w:val="20"/>
          <w:szCs w:val="20"/>
        </w:rPr>
      </w:pPr>
    </w:p>
    <w:p w14:paraId="2C51627E" w14:textId="77777777" w:rsidR="00587444" w:rsidRPr="00587444" w:rsidRDefault="00587444" w:rsidP="007B030C">
      <w:pPr>
        <w:autoSpaceDN/>
        <w:jc w:val="both"/>
        <w:rPr>
          <w:rFonts w:ascii="Arial" w:hAnsi="Arial" w:cs="Arial"/>
          <w:b/>
          <w:sz w:val="20"/>
          <w:szCs w:val="20"/>
          <w:lang w:eastAsia="hr-HR"/>
        </w:rPr>
      </w:pPr>
      <w:r w:rsidRPr="00587444">
        <w:rPr>
          <w:rFonts w:ascii="Arial" w:hAnsi="Arial" w:cs="Arial"/>
          <w:b/>
          <w:sz w:val="20"/>
          <w:szCs w:val="20"/>
          <w:lang w:eastAsia="hr-HR"/>
        </w:rPr>
        <w:t>Outsourcing risk</w:t>
      </w:r>
    </w:p>
    <w:p w14:paraId="493C3A43" w14:textId="77777777" w:rsidR="00587444" w:rsidRPr="00587444" w:rsidRDefault="00587444" w:rsidP="007B030C">
      <w:pPr>
        <w:autoSpaceDN/>
        <w:jc w:val="both"/>
        <w:rPr>
          <w:rFonts w:ascii="Arial" w:hAnsi="Arial" w:cs="Arial"/>
          <w:sz w:val="20"/>
          <w:szCs w:val="20"/>
        </w:rPr>
      </w:pPr>
    </w:p>
    <w:p w14:paraId="269408EA" w14:textId="77777777" w:rsidR="00587444" w:rsidRPr="00587444" w:rsidRDefault="00587444" w:rsidP="007B030C">
      <w:pPr>
        <w:widowControl w:val="0"/>
        <w:autoSpaceDN/>
        <w:spacing w:line="23" w:lineRule="atLeast"/>
        <w:jc w:val="both"/>
        <w:rPr>
          <w:rFonts w:ascii="Arial" w:hAnsi="Arial" w:cs="Arial"/>
          <w:sz w:val="20"/>
          <w:szCs w:val="20"/>
        </w:rPr>
      </w:pPr>
      <w:r w:rsidRPr="00587444">
        <w:rPr>
          <w:rFonts w:ascii="Arial" w:hAnsi="Arial" w:cs="Arial"/>
          <w:sz w:val="20"/>
          <w:szCs w:val="20"/>
        </w:rPr>
        <w:t xml:space="preserve">The HBOR manages the outsourcing risk </w:t>
      </w:r>
      <w:proofErr w:type="gramStart"/>
      <w:r w:rsidRPr="00587444">
        <w:rPr>
          <w:rFonts w:ascii="Arial" w:hAnsi="Arial" w:cs="Arial"/>
          <w:sz w:val="20"/>
          <w:szCs w:val="20"/>
        </w:rPr>
        <w:t>on the basis of</w:t>
      </w:r>
      <w:proofErr w:type="gramEnd"/>
      <w:r w:rsidRPr="00587444">
        <w:rPr>
          <w:rFonts w:ascii="Arial" w:hAnsi="Arial" w:cs="Arial"/>
          <w:sz w:val="20"/>
          <w:szCs w:val="20"/>
        </w:rPr>
        <w:t xml:space="preserve"> internal documents that are in compliance with the regulations prescribed by the Croatian National Bank applicable to the HBOR as a special financial institution. The internal documents that determine the management of this risk </w:t>
      </w:r>
      <w:proofErr w:type="gramStart"/>
      <w:r w:rsidRPr="00587444">
        <w:rPr>
          <w:rFonts w:ascii="Arial" w:hAnsi="Arial" w:cs="Arial"/>
          <w:sz w:val="20"/>
          <w:szCs w:val="20"/>
        </w:rPr>
        <w:t>determine also</w:t>
      </w:r>
      <w:proofErr w:type="gramEnd"/>
      <w:r w:rsidRPr="00587444">
        <w:rPr>
          <w:rFonts w:ascii="Arial" w:hAnsi="Arial" w:cs="Arial"/>
          <w:sz w:val="20"/>
          <w:szCs w:val="20"/>
        </w:rPr>
        <w:t xml:space="preserve"> the procedures for the outsourcing of activities, the rules for the management of relations with the service providers and the obligation to reduce the risk to the lowest level.</w:t>
      </w:r>
    </w:p>
    <w:p w14:paraId="1826B40E" w14:textId="77777777" w:rsidR="00587444" w:rsidRPr="00587444" w:rsidRDefault="00587444" w:rsidP="007B030C">
      <w:pPr>
        <w:tabs>
          <w:tab w:val="left" w:pos="709"/>
        </w:tabs>
        <w:autoSpaceDN/>
        <w:jc w:val="both"/>
        <w:rPr>
          <w:rFonts w:ascii="Arial" w:eastAsia="Calibri" w:hAnsi="Arial" w:cs="Arial"/>
          <w:sz w:val="20"/>
          <w:szCs w:val="20"/>
        </w:rPr>
      </w:pPr>
    </w:p>
    <w:p w14:paraId="1FD635A9" w14:textId="77777777" w:rsidR="00587444" w:rsidRPr="00587444" w:rsidRDefault="00587444" w:rsidP="007B030C">
      <w:pPr>
        <w:tabs>
          <w:tab w:val="left" w:pos="709"/>
        </w:tabs>
        <w:autoSpaceDN/>
        <w:jc w:val="both"/>
        <w:rPr>
          <w:rFonts w:ascii="Arial" w:eastAsia="Calibri" w:hAnsi="Arial" w:cs="Arial"/>
          <w:sz w:val="20"/>
          <w:szCs w:val="20"/>
        </w:rPr>
      </w:pPr>
      <w:r w:rsidRPr="00587444">
        <w:rPr>
          <w:rFonts w:ascii="Arial" w:eastAsia="Calibri" w:hAnsi="Arial" w:cs="Arial"/>
          <w:sz w:val="20"/>
          <w:szCs w:val="20"/>
        </w:rPr>
        <w:t xml:space="preserve">The central records of outsourced activities have been established and reports on materially significant outsourced activities are submitted to the Management Board and the Supervisory Board of the Bank on annual basis.  </w:t>
      </w:r>
    </w:p>
    <w:p w14:paraId="77D54D30" w14:textId="77777777" w:rsidR="00587444" w:rsidRPr="00587444" w:rsidRDefault="00587444" w:rsidP="007B030C">
      <w:pPr>
        <w:autoSpaceDN/>
        <w:jc w:val="both"/>
        <w:rPr>
          <w:rFonts w:ascii="Arial" w:hAnsi="Arial" w:cs="Arial"/>
          <w:sz w:val="20"/>
          <w:szCs w:val="20"/>
          <w:highlight w:val="yellow"/>
        </w:rPr>
      </w:pPr>
    </w:p>
    <w:p w14:paraId="5546B2A3" w14:textId="77777777" w:rsidR="00F36511" w:rsidRDefault="00587444" w:rsidP="007B030C">
      <w:pPr>
        <w:tabs>
          <w:tab w:val="right" w:pos="1202"/>
          <w:tab w:val="left" w:pos="9180"/>
        </w:tabs>
        <w:autoSpaceDN/>
        <w:jc w:val="both"/>
        <w:outlineLvl w:val="0"/>
        <w:rPr>
          <w:rFonts w:ascii="Arial" w:hAnsi="Arial" w:cs="Arial"/>
          <w:sz w:val="20"/>
          <w:szCs w:val="20"/>
          <w:lang w:val="en-GB"/>
        </w:rPr>
      </w:pPr>
      <w:r w:rsidRPr="00587444">
        <w:rPr>
          <w:rFonts w:ascii="Arial" w:hAnsi="Arial" w:cs="Arial"/>
          <w:sz w:val="20"/>
          <w:szCs w:val="20"/>
          <w:lang w:val="en-GB"/>
        </w:rPr>
        <w:t>The EUR introduction project also had an impact on the risk of outsourcing for outsourced key („core“) activities, given the complexity of the project and the legal deadline, and HBOR, in cooperation with key</w:t>
      </w:r>
    </w:p>
    <w:p w14:paraId="4CFF1E80" w14:textId="143FEC56" w:rsidR="00587444" w:rsidRPr="00587444" w:rsidRDefault="00587444" w:rsidP="007B030C">
      <w:pPr>
        <w:tabs>
          <w:tab w:val="right" w:pos="1202"/>
          <w:tab w:val="left" w:pos="9180"/>
        </w:tabs>
        <w:autoSpaceDN/>
        <w:outlineLvl w:val="0"/>
        <w:rPr>
          <w:rFonts w:ascii="Arial" w:hAnsi="Arial" w:cs="Arial"/>
          <w:sz w:val="20"/>
          <w:szCs w:val="20"/>
          <w:highlight w:val="yellow"/>
          <w:lang w:val="en-GB"/>
        </w:rPr>
        <w:sectPr w:rsidR="00587444" w:rsidRPr="00587444" w:rsidSect="00DD69E7">
          <w:pgSz w:w="11907" w:h="16840" w:code="9"/>
          <w:pgMar w:top="1418" w:right="1134" w:bottom="1134" w:left="1418" w:header="851" w:footer="851" w:gutter="0"/>
          <w:cols w:space="720"/>
          <w:noEndnote/>
        </w:sectPr>
      </w:pPr>
      <w:r w:rsidRPr="00587444">
        <w:rPr>
          <w:rFonts w:ascii="Arial" w:hAnsi="Arial" w:cs="Arial"/>
          <w:sz w:val="20"/>
          <w:szCs w:val="20"/>
          <w:lang w:val="en-GB"/>
        </w:rPr>
        <w:t>service providers, implements necessary measures to minimize this risk.</w:t>
      </w:r>
    </w:p>
    <w:p w14:paraId="7241FC46" w14:textId="77777777" w:rsidR="00587444" w:rsidRPr="00587444" w:rsidRDefault="00587444" w:rsidP="00587444">
      <w:pPr>
        <w:keepNext/>
        <w:suppressAutoHyphens w:val="0"/>
        <w:autoSpaceDN/>
        <w:jc w:val="both"/>
        <w:rPr>
          <w:rFonts w:ascii="Arial" w:hAnsi="Arial" w:cs="Arial"/>
          <w:b/>
          <w:bCs/>
          <w:sz w:val="20"/>
          <w:szCs w:val="20"/>
        </w:rPr>
      </w:pPr>
    </w:p>
    <w:p w14:paraId="6877F938"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5DA0D9D8" w14:textId="77777777" w:rsidR="00587444" w:rsidRPr="00587444" w:rsidRDefault="00587444" w:rsidP="00587444">
      <w:pPr>
        <w:tabs>
          <w:tab w:val="left" w:pos="567"/>
          <w:tab w:val="left" w:pos="851"/>
        </w:tabs>
        <w:suppressAutoHyphens w:val="0"/>
        <w:autoSpaceDN/>
        <w:jc w:val="both"/>
        <w:rPr>
          <w:rFonts w:ascii="Arial" w:hAnsi="Arial" w:cs="Arial"/>
          <w:b/>
          <w:sz w:val="20"/>
          <w:szCs w:val="20"/>
        </w:rPr>
      </w:pPr>
    </w:p>
    <w:p w14:paraId="7ED22103"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31.2. Strategy and risk management systems</w:t>
      </w:r>
    </w:p>
    <w:p w14:paraId="5E495F5B" w14:textId="77777777" w:rsidR="00587444" w:rsidRPr="00587444" w:rsidRDefault="00587444" w:rsidP="00587444">
      <w:pPr>
        <w:suppressAutoHyphens w:val="0"/>
        <w:autoSpaceDN/>
        <w:jc w:val="both"/>
        <w:rPr>
          <w:rFonts w:ascii="Arial" w:hAnsi="Arial" w:cs="Arial"/>
          <w:sz w:val="20"/>
          <w:szCs w:val="20"/>
        </w:rPr>
      </w:pPr>
    </w:p>
    <w:p w14:paraId="3FDC1C39" w14:textId="77777777" w:rsidR="00587444" w:rsidRPr="00587444" w:rsidRDefault="00587444" w:rsidP="00880B90">
      <w:pPr>
        <w:autoSpaceDN/>
        <w:jc w:val="both"/>
        <w:rPr>
          <w:rFonts w:ascii="Arial" w:hAnsi="Arial" w:cs="Arial"/>
          <w:sz w:val="20"/>
          <w:szCs w:val="20"/>
        </w:rPr>
      </w:pPr>
      <w:r w:rsidRPr="00587444">
        <w:rPr>
          <w:rFonts w:ascii="Arial" w:hAnsi="Arial" w:cs="Arial"/>
          <w:b/>
          <w:sz w:val="20"/>
          <w:szCs w:val="20"/>
        </w:rPr>
        <w:t xml:space="preserve">The Supervisory Board </w:t>
      </w:r>
      <w:r w:rsidRPr="00587444">
        <w:rPr>
          <w:rFonts w:ascii="Arial" w:hAnsi="Arial" w:cs="Arial"/>
          <w:sz w:val="20"/>
          <w:szCs w:val="20"/>
        </w:rPr>
        <w:t>is responsible for monitoring the appropriateness and effectiveness of the risk management process in the Group. The Supervisory Board adopts HBOR’s Risk Management Strategy that lays out the main principles and standards of risk management and defines the tendency towards risk-taking.</w:t>
      </w:r>
    </w:p>
    <w:p w14:paraId="7A337B57" w14:textId="77777777" w:rsidR="00587444" w:rsidRPr="00587444" w:rsidRDefault="00587444" w:rsidP="00880B90">
      <w:pPr>
        <w:autoSpaceDN/>
        <w:jc w:val="both"/>
        <w:rPr>
          <w:rFonts w:ascii="Arial" w:hAnsi="Arial" w:cs="Arial"/>
          <w:sz w:val="20"/>
          <w:szCs w:val="20"/>
        </w:rPr>
      </w:pPr>
    </w:p>
    <w:p w14:paraId="240FA122" w14:textId="77777777" w:rsidR="00587444" w:rsidRPr="00587444" w:rsidRDefault="00587444" w:rsidP="00880B90">
      <w:pPr>
        <w:widowControl w:val="0"/>
        <w:tabs>
          <w:tab w:val="left" w:pos="426"/>
        </w:tabs>
        <w:autoSpaceDN/>
        <w:jc w:val="both"/>
        <w:rPr>
          <w:rFonts w:ascii="Arial" w:hAnsi="Arial" w:cs="Arial"/>
          <w:sz w:val="20"/>
          <w:szCs w:val="20"/>
        </w:rPr>
      </w:pPr>
      <w:r w:rsidRPr="00587444">
        <w:rPr>
          <w:rFonts w:ascii="Arial" w:hAnsi="Arial" w:cs="Arial"/>
          <w:b/>
          <w:sz w:val="20"/>
          <w:szCs w:val="20"/>
        </w:rPr>
        <w:t xml:space="preserve">The Management Board of the Bank </w:t>
      </w:r>
      <w:r w:rsidRPr="00587444">
        <w:rPr>
          <w:rFonts w:ascii="Arial" w:hAnsi="Arial" w:cs="Arial"/>
          <w:sz w:val="20"/>
          <w:szCs w:val="20"/>
        </w:rPr>
        <w:t>is responsible for implementing the risk management strategy and establishing an effective and reliable risk management system. In order to accomplish its task, the Management Board delegated their risk management authority to three committees.</w:t>
      </w:r>
    </w:p>
    <w:p w14:paraId="06A557D1" w14:textId="77777777" w:rsidR="00587444" w:rsidRPr="00587444" w:rsidRDefault="00587444" w:rsidP="00880B90">
      <w:pPr>
        <w:autoSpaceDN/>
        <w:jc w:val="both"/>
        <w:rPr>
          <w:rFonts w:ascii="Arial" w:hAnsi="Arial" w:cs="Arial"/>
          <w:b/>
          <w:sz w:val="20"/>
          <w:szCs w:val="20"/>
        </w:rPr>
      </w:pPr>
    </w:p>
    <w:p w14:paraId="1026A4D3" w14:textId="77777777" w:rsidR="00587444" w:rsidRPr="00587444" w:rsidRDefault="00587444" w:rsidP="00880B90">
      <w:pPr>
        <w:autoSpaceDN/>
        <w:jc w:val="both"/>
        <w:rPr>
          <w:rFonts w:ascii="Arial" w:hAnsi="Arial" w:cs="Arial"/>
          <w:b/>
          <w:sz w:val="20"/>
          <w:szCs w:val="20"/>
        </w:rPr>
      </w:pPr>
      <w:r w:rsidRPr="00587444">
        <w:rPr>
          <w:rFonts w:ascii="Arial" w:hAnsi="Arial" w:cs="Arial"/>
          <w:b/>
          <w:sz w:val="20"/>
          <w:szCs w:val="20"/>
        </w:rPr>
        <w:t>Risk management committees</w:t>
      </w:r>
      <w:r w:rsidRPr="00587444" w:rsidDel="00CB6F41">
        <w:rPr>
          <w:rFonts w:ascii="Arial" w:hAnsi="Arial" w:cs="Arial"/>
          <w:b/>
          <w:sz w:val="20"/>
          <w:szCs w:val="20"/>
        </w:rPr>
        <w:t xml:space="preserve"> </w:t>
      </w:r>
    </w:p>
    <w:p w14:paraId="358DF976" w14:textId="77777777" w:rsidR="00587444" w:rsidRPr="00587444" w:rsidRDefault="00587444" w:rsidP="00880B90">
      <w:pPr>
        <w:autoSpaceDN/>
        <w:jc w:val="both"/>
        <w:rPr>
          <w:rFonts w:ascii="Arial" w:hAnsi="Arial" w:cs="Arial"/>
          <w:b/>
          <w:sz w:val="20"/>
          <w:szCs w:val="20"/>
        </w:rPr>
      </w:pPr>
    </w:p>
    <w:p w14:paraId="22A7F04C" w14:textId="77777777" w:rsidR="00587444" w:rsidRPr="00587444" w:rsidRDefault="00587444" w:rsidP="00880B90">
      <w:pPr>
        <w:keepNext/>
        <w:numPr>
          <w:ilvl w:val="0"/>
          <w:numId w:val="36"/>
        </w:numPr>
        <w:autoSpaceDN/>
        <w:ind w:left="709" w:hanging="357"/>
        <w:jc w:val="both"/>
        <w:rPr>
          <w:rFonts w:ascii="Arial" w:hAnsi="Arial" w:cs="Arial"/>
          <w:bCs/>
          <w:sz w:val="20"/>
          <w:szCs w:val="20"/>
        </w:rPr>
      </w:pPr>
      <w:r w:rsidRPr="00587444">
        <w:rPr>
          <w:rFonts w:ascii="Arial" w:hAnsi="Arial" w:cs="Arial"/>
          <w:b/>
          <w:bCs/>
          <w:sz w:val="20"/>
          <w:szCs w:val="20"/>
        </w:rPr>
        <w:t xml:space="preserve">Assets and Liabilities Management Committee (ALCO) – </w:t>
      </w:r>
      <w:r w:rsidRPr="00587444">
        <w:rPr>
          <w:rFonts w:ascii="Arial" w:hAnsi="Arial" w:cs="Arial"/>
          <w:bCs/>
          <w:sz w:val="20"/>
          <w:szCs w:val="20"/>
        </w:rPr>
        <w:t>manages liquidity risk, interest rate risk and currency risk within the framework of the Liquidity Risk Management Ordinance, the Currency Risk Management Ordinance and the Interest Rate Risk Management Procedures, Trading Book Ordinance, the Assets and Liabilities Management Policies as well as other documents of the Bank that regulate this area,</w:t>
      </w:r>
    </w:p>
    <w:p w14:paraId="1FBA5194" w14:textId="77777777" w:rsidR="00587444" w:rsidRPr="00587444" w:rsidRDefault="00587444" w:rsidP="00880B90">
      <w:pPr>
        <w:numPr>
          <w:ilvl w:val="0"/>
          <w:numId w:val="36"/>
        </w:numPr>
        <w:autoSpaceDN/>
        <w:spacing w:before="120" w:after="120"/>
        <w:ind w:hanging="357"/>
        <w:jc w:val="both"/>
        <w:rPr>
          <w:rFonts w:ascii="Arial" w:hAnsi="Arial" w:cs="Arial"/>
          <w:b/>
          <w:sz w:val="20"/>
          <w:szCs w:val="20"/>
        </w:rPr>
      </w:pPr>
      <w:r w:rsidRPr="00587444">
        <w:rPr>
          <w:rFonts w:ascii="Arial" w:hAnsi="Arial" w:cs="Arial"/>
          <w:b/>
          <w:sz w:val="20"/>
          <w:szCs w:val="20"/>
        </w:rPr>
        <w:t xml:space="preserve">Credit Risk Evaluation and Measurement Committee – </w:t>
      </w:r>
      <w:r w:rsidRPr="00587444">
        <w:rPr>
          <w:rFonts w:ascii="Arial" w:hAnsi="Arial" w:cs="Arial"/>
          <w:sz w:val="20"/>
          <w:szCs w:val="20"/>
        </w:rPr>
        <w:t>manages credit risk within the framework set through accepted Loan Policies, Credit Risk Management Ordinance, methodologies and other internal acts that cover issues related to credit risk,</w:t>
      </w:r>
    </w:p>
    <w:p w14:paraId="49D8568F" w14:textId="77777777" w:rsidR="00587444" w:rsidRPr="00587444" w:rsidRDefault="00587444" w:rsidP="00880B90">
      <w:pPr>
        <w:numPr>
          <w:ilvl w:val="0"/>
          <w:numId w:val="36"/>
        </w:numPr>
        <w:autoSpaceDN/>
        <w:spacing w:before="120" w:after="120"/>
        <w:ind w:hanging="357"/>
        <w:jc w:val="both"/>
        <w:rPr>
          <w:rFonts w:ascii="Arial" w:hAnsi="Arial" w:cs="Arial"/>
          <w:b/>
          <w:sz w:val="20"/>
          <w:szCs w:val="20"/>
        </w:rPr>
      </w:pPr>
      <w:r w:rsidRPr="00587444">
        <w:rPr>
          <w:rFonts w:ascii="Arial" w:hAnsi="Arial" w:cs="Arial"/>
          <w:b/>
          <w:sz w:val="20"/>
          <w:szCs w:val="20"/>
        </w:rPr>
        <w:t xml:space="preserve">HBOR Information System Management Committee – </w:t>
      </w:r>
      <w:r w:rsidRPr="00587444">
        <w:rPr>
          <w:rFonts w:ascii="Arial" w:hAnsi="Arial" w:cs="Arial"/>
          <w:sz w:val="20"/>
          <w:szCs w:val="20"/>
        </w:rPr>
        <w:t xml:space="preserve">manages the resources of the information system and adequately manages the risks that result from the use of information technology. </w:t>
      </w:r>
    </w:p>
    <w:p w14:paraId="0B7D83D8" w14:textId="77777777" w:rsidR="00587444" w:rsidRPr="00587444" w:rsidRDefault="00587444" w:rsidP="00880B90">
      <w:pPr>
        <w:autoSpaceDN/>
        <w:ind w:left="720"/>
        <w:jc w:val="both"/>
        <w:rPr>
          <w:rFonts w:ascii="Arial" w:hAnsi="Arial" w:cs="Arial"/>
          <w:sz w:val="20"/>
          <w:szCs w:val="20"/>
        </w:rPr>
      </w:pPr>
    </w:p>
    <w:p w14:paraId="6937AB6A" w14:textId="77777777" w:rsidR="00587444" w:rsidRPr="00587444" w:rsidRDefault="00587444" w:rsidP="00880B90">
      <w:pPr>
        <w:autoSpaceDN/>
        <w:jc w:val="both"/>
        <w:rPr>
          <w:rFonts w:ascii="Arial" w:hAnsi="Arial" w:cs="Arial"/>
          <w:sz w:val="20"/>
          <w:szCs w:val="20"/>
        </w:rPr>
      </w:pPr>
    </w:p>
    <w:p w14:paraId="17B7F952" w14:textId="77777777" w:rsidR="00587444" w:rsidRPr="00587444" w:rsidRDefault="00587444" w:rsidP="00880B90">
      <w:pPr>
        <w:autoSpaceDN/>
        <w:jc w:val="both"/>
        <w:rPr>
          <w:rFonts w:ascii="Arial" w:hAnsi="Arial" w:cs="Arial"/>
          <w:b/>
          <w:sz w:val="20"/>
          <w:szCs w:val="20"/>
        </w:rPr>
      </w:pPr>
      <w:r w:rsidRPr="00587444">
        <w:rPr>
          <w:rFonts w:ascii="Arial" w:hAnsi="Arial" w:cs="Arial"/>
          <w:b/>
          <w:sz w:val="20"/>
          <w:szCs w:val="20"/>
        </w:rPr>
        <w:t>The Risk Management Division</w:t>
      </w:r>
    </w:p>
    <w:p w14:paraId="07E48347" w14:textId="77777777" w:rsidR="00587444" w:rsidRPr="00587444" w:rsidRDefault="00587444" w:rsidP="00880B90">
      <w:pPr>
        <w:autoSpaceDN/>
        <w:jc w:val="both"/>
        <w:rPr>
          <w:rFonts w:ascii="Arial" w:hAnsi="Arial" w:cs="Arial"/>
          <w:color w:val="000000"/>
          <w:sz w:val="20"/>
          <w:szCs w:val="20"/>
        </w:rPr>
      </w:pPr>
    </w:p>
    <w:p w14:paraId="648CEF04"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The Risk Management Division is a permanent risk control function, which is functionally and </w:t>
      </w:r>
      <w:proofErr w:type="spellStart"/>
      <w:r w:rsidRPr="00587444">
        <w:rPr>
          <w:rFonts w:ascii="Arial" w:hAnsi="Arial" w:cs="Arial"/>
          <w:sz w:val="20"/>
          <w:szCs w:val="20"/>
        </w:rPr>
        <w:t>organisationally</w:t>
      </w:r>
      <w:proofErr w:type="spellEnd"/>
      <w:r w:rsidRPr="00587444">
        <w:rPr>
          <w:rFonts w:ascii="Arial" w:hAnsi="Arial" w:cs="Arial"/>
          <w:sz w:val="20"/>
          <w:szCs w:val="20"/>
        </w:rPr>
        <w:t xml:space="preserve"> independent of the business processes and activities in which the risk occurs or is monitored and supervised. It is responsible for controlling, determining, measuring, assessing and supervising the risks to which HBOR is exposed or could be exposed in its business operations.</w:t>
      </w:r>
    </w:p>
    <w:p w14:paraId="0DBA5D73" w14:textId="77777777" w:rsidR="00587444" w:rsidRPr="00587444" w:rsidRDefault="00587444" w:rsidP="00880B90">
      <w:pPr>
        <w:autoSpaceDN/>
        <w:jc w:val="both"/>
        <w:rPr>
          <w:rFonts w:ascii="Arial" w:hAnsi="Arial" w:cs="Arial"/>
          <w:sz w:val="20"/>
          <w:szCs w:val="20"/>
        </w:rPr>
      </w:pPr>
    </w:p>
    <w:p w14:paraId="419FB4F5"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The Risk Management Division carries out its role by performing risk analyses and evaluations or measurements, developing risk management ordinances, policies and methodologies, supervising and monitoring their application, recommending and controlling the accepted exposure limits, giving suggestions and recommendations for adequate risk management as well as reporting to the relevant authorities. </w:t>
      </w:r>
    </w:p>
    <w:p w14:paraId="26EDECFA" w14:textId="77777777" w:rsidR="00587444" w:rsidRPr="00587444" w:rsidRDefault="00587444" w:rsidP="00880B90">
      <w:pPr>
        <w:autoSpaceDN/>
        <w:jc w:val="both"/>
        <w:rPr>
          <w:rFonts w:ascii="Arial" w:hAnsi="Arial" w:cs="Arial"/>
          <w:sz w:val="20"/>
          <w:szCs w:val="20"/>
        </w:rPr>
      </w:pPr>
    </w:p>
    <w:p w14:paraId="10A901B9"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The risk management strategy is directed towards achieving and maintaining the system that would provide quality and efficiency in risk management, towards further developing and improving the system in line with the banking regulations and the relevant recommendations and guidelines by taking into account the specific features of HBOR as a development and export bank and a special financial institution.</w:t>
      </w:r>
    </w:p>
    <w:p w14:paraId="3EB3D3F3" w14:textId="77777777" w:rsidR="00587444" w:rsidRPr="00587444" w:rsidRDefault="00587444" w:rsidP="00880B90">
      <w:pPr>
        <w:autoSpaceDN/>
        <w:jc w:val="both"/>
        <w:rPr>
          <w:rFonts w:ascii="Arial" w:hAnsi="Arial" w:cs="Arial"/>
          <w:sz w:val="20"/>
          <w:szCs w:val="20"/>
        </w:rPr>
      </w:pPr>
    </w:p>
    <w:p w14:paraId="13D6DE88" w14:textId="77777777" w:rsidR="00587444" w:rsidRPr="00587444" w:rsidRDefault="00587444" w:rsidP="00880B90">
      <w:pPr>
        <w:autoSpaceDN/>
        <w:jc w:val="both"/>
        <w:rPr>
          <w:rFonts w:ascii="Arial" w:hAnsi="Arial" w:cs="Arial"/>
          <w:color w:val="000000"/>
          <w:sz w:val="20"/>
          <w:szCs w:val="20"/>
          <w:lang w:val="hr-HR"/>
        </w:rPr>
      </w:pPr>
    </w:p>
    <w:p w14:paraId="3523C54C" w14:textId="77777777" w:rsidR="00587444" w:rsidRPr="00587444" w:rsidRDefault="00587444" w:rsidP="00587444">
      <w:pPr>
        <w:suppressAutoHyphens w:val="0"/>
        <w:autoSpaceDN/>
        <w:jc w:val="both"/>
        <w:rPr>
          <w:rFonts w:ascii="Arial" w:hAnsi="Arial" w:cs="Arial"/>
          <w:sz w:val="20"/>
          <w:szCs w:val="20"/>
        </w:rPr>
        <w:sectPr w:rsidR="00587444" w:rsidRPr="00587444" w:rsidSect="00DD69E7">
          <w:headerReference w:type="first" r:id="rId84"/>
          <w:pgSz w:w="11907" w:h="16840" w:code="9"/>
          <w:pgMar w:top="1418" w:right="1134" w:bottom="1134" w:left="1418" w:header="851" w:footer="851" w:gutter="0"/>
          <w:cols w:space="720"/>
          <w:noEndnote/>
        </w:sectPr>
      </w:pPr>
    </w:p>
    <w:p w14:paraId="3854CFCC" w14:textId="77777777" w:rsidR="00587444" w:rsidRPr="00587444" w:rsidRDefault="00587444" w:rsidP="00587444">
      <w:pPr>
        <w:suppressAutoHyphens w:val="0"/>
        <w:autoSpaceDN/>
        <w:jc w:val="both"/>
        <w:rPr>
          <w:rFonts w:ascii="Arial" w:hAnsi="Arial" w:cs="Arial"/>
          <w:b/>
          <w:bCs/>
          <w:sz w:val="20"/>
          <w:szCs w:val="20"/>
        </w:rPr>
      </w:pPr>
    </w:p>
    <w:p w14:paraId="28B4A120"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3495FE33" w14:textId="77777777" w:rsidR="00587444" w:rsidRPr="00587444" w:rsidRDefault="00587444" w:rsidP="00587444">
      <w:pPr>
        <w:tabs>
          <w:tab w:val="left" w:pos="567"/>
          <w:tab w:val="left" w:pos="851"/>
        </w:tabs>
        <w:suppressAutoHyphens w:val="0"/>
        <w:autoSpaceDN/>
        <w:jc w:val="both"/>
        <w:rPr>
          <w:rFonts w:ascii="Arial" w:hAnsi="Arial" w:cs="Arial"/>
          <w:b/>
          <w:sz w:val="20"/>
          <w:szCs w:val="20"/>
        </w:rPr>
      </w:pPr>
    </w:p>
    <w:p w14:paraId="7945BF7E"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31.2. Strategy and risk management systems (continued)</w:t>
      </w:r>
    </w:p>
    <w:p w14:paraId="03D0443B" w14:textId="77777777" w:rsidR="00587444" w:rsidRPr="00587444" w:rsidRDefault="00587444" w:rsidP="00587444">
      <w:pPr>
        <w:suppressAutoHyphens w:val="0"/>
        <w:autoSpaceDN/>
        <w:jc w:val="both"/>
        <w:rPr>
          <w:rFonts w:ascii="Arial" w:hAnsi="Arial" w:cs="Arial"/>
          <w:sz w:val="20"/>
          <w:szCs w:val="20"/>
        </w:rPr>
      </w:pPr>
    </w:p>
    <w:p w14:paraId="67D63DDC"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Risk measurement and reporting systems</w:t>
      </w:r>
    </w:p>
    <w:p w14:paraId="21100421" w14:textId="77777777" w:rsidR="00587444" w:rsidRPr="00587444" w:rsidRDefault="00587444" w:rsidP="00587444">
      <w:pPr>
        <w:suppressAutoHyphens w:val="0"/>
        <w:autoSpaceDN/>
        <w:jc w:val="both"/>
        <w:rPr>
          <w:rFonts w:ascii="Arial" w:hAnsi="Arial" w:cs="Arial"/>
          <w:b/>
          <w:bCs/>
          <w:sz w:val="20"/>
          <w:szCs w:val="20"/>
        </w:rPr>
      </w:pPr>
    </w:p>
    <w:p w14:paraId="7E7B2C58"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When assessing or measuring risk, historical data, business plans, current and expected market conditions and the specific characteristics of the Bank as a special financial institution are taken into account. </w:t>
      </w:r>
    </w:p>
    <w:p w14:paraId="56611B50" w14:textId="77777777" w:rsidR="00587444" w:rsidRPr="00587444" w:rsidRDefault="00587444" w:rsidP="00880B90">
      <w:pPr>
        <w:autoSpaceDN/>
        <w:jc w:val="both"/>
        <w:rPr>
          <w:rFonts w:ascii="Arial" w:hAnsi="Arial" w:cs="Arial"/>
          <w:sz w:val="20"/>
          <w:szCs w:val="20"/>
        </w:rPr>
      </w:pPr>
    </w:p>
    <w:p w14:paraId="6661A2E7"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The results of risk assessments or measurements, analyses carried out and stress </w:t>
      </w:r>
      <w:proofErr w:type="gramStart"/>
      <w:r w:rsidRPr="00587444">
        <w:rPr>
          <w:rFonts w:ascii="Arial" w:hAnsi="Arial" w:cs="Arial"/>
          <w:sz w:val="20"/>
          <w:szCs w:val="20"/>
        </w:rPr>
        <w:t>test</w:t>
      </w:r>
      <w:proofErr w:type="gramEnd"/>
      <w:r w:rsidRPr="00587444">
        <w:rPr>
          <w:rFonts w:ascii="Arial" w:hAnsi="Arial" w:cs="Arial"/>
          <w:sz w:val="20"/>
          <w:szCs w:val="20"/>
        </w:rPr>
        <w:t xml:space="preserve"> are presented at the meetings of the Risk Management </w:t>
      </w:r>
      <w:proofErr w:type="spellStart"/>
      <w:proofErr w:type="gramStart"/>
      <w:r w:rsidRPr="00587444">
        <w:rPr>
          <w:rFonts w:ascii="Arial" w:hAnsi="Arial" w:cs="Arial"/>
          <w:sz w:val="20"/>
          <w:szCs w:val="20"/>
        </w:rPr>
        <w:t>Committee,and</w:t>
      </w:r>
      <w:proofErr w:type="spellEnd"/>
      <w:proofErr w:type="gramEnd"/>
      <w:r w:rsidRPr="00587444">
        <w:rPr>
          <w:rFonts w:ascii="Arial" w:hAnsi="Arial" w:cs="Arial"/>
          <w:sz w:val="20"/>
          <w:szCs w:val="20"/>
        </w:rPr>
        <w:t xml:space="preserve"> the Management Board. For the purpose of risk monitoring and control, systems of limits are introduced for the management of credit risk, liquidity risk, interest rate risk and currency risk. </w:t>
      </w:r>
    </w:p>
    <w:p w14:paraId="4AB365C3" w14:textId="77777777" w:rsidR="00587444" w:rsidRPr="00587444" w:rsidRDefault="00587444" w:rsidP="00880B90">
      <w:pPr>
        <w:autoSpaceDN/>
        <w:jc w:val="both"/>
        <w:rPr>
          <w:rFonts w:ascii="Arial" w:hAnsi="Arial" w:cs="Arial"/>
          <w:sz w:val="20"/>
          <w:szCs w:val="20"/>
        </w:rPr>
      </w:pPr>
    </w:p>
    <w:p w14:paraId="5F53CE9E"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Bodies in charge are systematically reported on the quality of the loan portfolio, high exposure and the highest permissible exposure, capital adequacy, collection of receivables and risk placements, changes in internal ratings of commercial banks and measures taken in case of rating deterioration, a number of liquidity status indicators and projections of open foreign currency positions, </w:t>
      </w:r>
      <w:bookmarkStart w:id="1044" w:name="_Hlk65572607"/>
      <w:r w:rsidRPr="00587444">
        <w:rPr>
          <w:rFonts w:ascii="Arial" w:hAnsi="Arial" w:cs="Arial"/>
          <w:sz w:val="20"/>
          <w:szCs w:val="20"/>
        </w:rPr>
        <w:t>the impact of changes in foreign exchange rates and interest rates on operating results</w:t>
      </w:r>
      <w:bookmarkEnd w:id="1044"/>
      <w:r w:rsidRPr="00587444">
        <w:rPr>
          <w:rFonts w:ascii="Arial" w:hAnsi="Arial" w:cs="Arial"/>
          <w:sz w:val="20"/>
          <w:szCs w:val="20"/>
        </w:rPr>
        <w:t>, interest rate gap, projections of average weighted rates for sources and placements</w:t>
      </w:r>
      <w:r w:rsidRPr="00587444">
        <w:rPr>
          <w:rFonts w:ascii="Arial" w:hAnsi="Arial" w:cs="Arial"/>
          <w:b/>
          <w:sz w:val="20"/>
          <w:szCs w:val="20"/>
        </w:rPr>
        <w:t xml:space="preserve"> </w:t>
      </w:r>
      <w:r w:rsidRPr="00587444">
        <w:rPr>
          <w:rFonts w:ascii="Arial" w:hAnsi="Arial" w:cs="Arial"/>
          <w:sz w:val="20"/>
          <w:szCs w:val="20"/>
        </w:rPr>
        <w:t>of financial institutions, etc. The reporting dynamics and the risk measurement and assessment methodologies are prescribed by the Bank’s internal acts.</w:t>
      </w:r>
    </w:p>
    <w:p w14:paraId="2D2A6901" w14:textId="77777777" w:rsidR="00587444" w:rsidRPr="00587444" w:rsidRDefault="00587444" w:rsidP="00880B90">
      <w:pPr>
        <w:autoSpaceDN/>
        <w:jc w:val="both"/>
        <w:rPr>
          <w:rFonts w:ascii="Arial" w:hAnsi="Arial" w:cs="Arial"/>
          <w:sz w:val="20"/>
          <w:szCs w:val="20"/>
        </w:rPr>
      </w:pPr>
    </w:p>
    <w:p w14:paraId="4F0B0A87" w14:textId="77777777" w:rsidR="00587444" w:rsidRPr="00587444" w:rsidRDefault="00587444" w:rsidP="00880B90">
      <w:pPr>
        <w:tabs>
          <w:tab w:val="left" w:pos="709"/>
          <w:tab w:val="left" w:pos="851"/>
        </w:tabs>
        <w:autoSpaceDN/>
        <w:jc w:val="both"/>
        <w:rPr>
          <w:rFonts w:ascii="Arial" w:hAnsi="Arial" w:cs="Arial"/>
          <w:b/>
          <w:sz w:val="20"/>
          <w:szCs w:val="20"/>
        </w:rPr>
      </w:pPr>
      <w:r w:rsidRPr="00587444">
        <w:rPr>
          <w:rFonts w:ascii="Arial" w:hAnsi="Arial" w:cs="Arial"/>
          <w:b/>
          <w:sz w:val="20"/>
          <w:szCs w:val="20"/>
        </w:rPr>
        <w:t>31.3.   Credit risk</w:t>
      </w:r>
    </w:p>
    <w:p w14:paraId="759FBB99" w14:textId="77777777" w:rsidR="00587444" w:rsidRPr="00587444" w:rsidRDefault="00587444" w:rsidP="00880B90">
      <w:pPr>
        <w:autoSpaceDN/>
        <w:jc w:val="both"/>
        <w:rPr>
          <w:rFonts w:ascii="Arial" w:hAnsi="Arial" w:cs="Arial"/>
          <w:sz w:val="20"/>
          <w:szCs w:val="20"/>
        </w:rPr>
      </w:pPr>
    </w:p>
    <w:p w14:paraId="0BECE5A1"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The Bank controls credit risk by way of credit policies for the management of this risk that determine internal control systems aiming to act preventively. </w:t>
      </w:r>
    </w:p>
    <w:p w14:paraId="1A320D82" w14:textId="77777777" w:rsidR="00587444" w:rsidRPr="00587444" w:rsidRDefault="00587444" w:rsidP="00880B90">
      <w:pPr>
        <w:autoSpaceDN/>
        <w:jc w:val="both"/>
        <w:rPr>
          <w:rFonts w:ascii="Arial" w:hAnsi="Arial" w:cs="Arial"/>
          <w:sz w:val="20"/>
          <w:szCs w:val="20"/>
        </w:rPr>
      </w:pPr>
    </w:p>
    <w:p w14:paraId="0D3CFAAA"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The credit risk management system is the crucial part of the Bank’s business policy and an important strategic factor of business conduct. Therefore this area is regulated by the Credit Risk Management Policy and the Credit Risk Management Ordinance that are applied on all phases of the credit process (from  development of new bank products to loan </w:t>
      </w:r>
      <w:proofErr w:type="spellStart"/>
      <w:r w:rsidRPr="00587444">
        <w:rPr>
          <w:rFonts w:ascii="Arial" w:hAnsi="Arial" w:cs="Arial"/>
          <w:sz w:val="20"/>
          <w:szCs w:val="20"/>
        </w:rPr>
        <w:t>applicationas</w:t>
      </w:r>
      <w:proofErr w:type="spellEnd"/>
      <w:r w:rsidRPr="00587444">
        <w:rPr>
          <w:rFonts w:ascii="Arial" w:hAnsi="Arial" w:cs="Arial"/>
          <w:sz w:val="20"/>
          <w:szCs w:val="20"/>
        </w:rPr>
        <w:t xml:space="preserve"> monitoring of client’s business operations and final loan repayments).</w:t>
      </w:r>
    </w:p>
    <w:p w14:paraId="7768F557" w14:textId="77777777" w:rsidR="00587444" w:rsidRPr="00587444" w:rsidRDefault="00587444" w:rsidP="00880B90">
      <w:pPr>
        <w:autoSpaceDN/>
        <w:jc w:val="both"/>
        <w:rPr>
          <w:rFonts w:ascii="Arial" w:hAnsi="Arial" w:cs="Arial"/>
          <w:sz w:val="20"/>
          <w:szCs w:val="20"/>
        </w:rPr>
      </w:pPr>
    </w:p>
    <w:p w14:paraId="1099038B" w14:textId="77777777" w:rsidR="00587444" w:rsidRPr="00587444" w:rsidRDefault="00587444" w:rsidP="00880B90">
      <w:pPr>
        <w:autoSpaceDN/>
        <w:jc w:val="both"/>
        <w:rPr>
          <w:rFonts w:ascii="Arial" w:eastAsia="Calibri" w:hAnsi="Arial" w:cs="Arial"/>
          <w:sz w:val="20"/>
          <w:szCs w:val="20"/>
          <w:lang w:val="en-GB"/>
        </w:rPr>
      </w:pPr>
      <w:bookmarkStart w:id="1045" w:name="_Hlk97651260"/>
      <w:r w:rsidRPr="00587444">
        <w:rPr>
          <w:rFonts w:ascii="Arial" w:eastAsia="Calibri" w:hAnsi="Arial" w:cs="Arial"/>
          <w:sz w:val="20"/>
          <w:szCs w:val="20"/>
          <w:lang w:val="en-GB"/>
        </w:rPr>
        <w:t>In addition to the Policy and Credit Risk Management Ordinance, methodologies have been adopted as separate internal documents intended for the assessment of operations of various client target groups.</w:t>
      </w:r>
    </w:p>
    <w:bookmarkEnd w:id="1045"/>
    <w:p w14:paraId="2DC17CC0" w14:textId="77777777" w:rsidR="00587444" w:rsidRPr="00587444" w:rsidRDefault="00587444" w:rsidP="00880B90">
      <w:pPr>
        <w:keepNext/>
        <w:autoSpaceDN/>
        <w:jc w:val="both"/>
        <w:rPr>
          <w:rFonts w:ascii="Arial" w:hAnsi="Arial" w:cs="Arial"/>
          <w:b/>
          <w:bCs/>
          <w:sz w:val="20"/>
          <w:szCs w:val="20"/>
        </w:rPr>
      </w:pPr>
    </w:p>
    <w:p w14:paraId="72DB99C1" w14:textId="77777777" w:rsidR="00587444" w:rsidRPr="00587444" w:rsidRDefault="00587444" w:rsidP="00880B90">
      <w:pPr>
        <w:autoSpaceDN/>
        <w:jc w:val="both"/>
        <w:rPr>
          <w:rFonts w:ascii="Arial" w:eastAsia="Calibri" w:hAnsi="Arial" w:cs="Arial"/>
          <w:color w:val="000000"/>
          <w:sz w:val="20"/>
          <w:szCs w:val="20"/>
          <w:lang w:val="en-GB"/>
        </w:rPr>
      </w:pPr>
      <w:r w:rsidRPr="00587444">
        <w:rPr>
          <w:rFonts w:ascii="Arial" w:eastAsia="Calibri" w:hAnsi="Arial" w:cs="Arial"/>
          <w:sz w:val="20"/>
          <w:szCs w:val="20"/>
          <w:lang w:val="en-GB"/>
        </w:rPr>
        <w:t>In the case of direct financing, the Credit Risk Assessment Methodology (for gross exposures exceeding HRK 3,000 thousand) or the Credit Scoring Methodology (for gross exposures below HRK 3,000 thousand) is used to determine creditworthiness. The Credit Scoring Methodology is used to determine creditworthiness of clients that belong to the “small loan portfolio” and it contains seven scoring models</w:t>
      </w:r>
      <w:r w:rsidRPr="00587444">
        <w:rPr>
          <w:rFonts w:ascii="Arial" w:eastAsia="Calibri" w:hAnsi="Arial" w:cs="Arial"/>
          <w:color w:val="000000"/>
          <w:sz w:val="20"/>
          <w:szCs w:val="20"/>
          <w:lang w:val="en-GB"/>
        </w:rPr>
        <w:t xml:space="preserve">: </w:t>
      </w:r>
    </w:p>
    <w:p w14:paraId="6DA6704E" w14:textId="77777777" w:rsidR="00587444" w:rsidRPr="00587444" w:rsidRDefault="00587444" w:rsidP="00880B90">
      <w:pPr>
        <w:numPr>
          <w:ilvl w:val="0"/>
          <w:numId w:val="72"/>
        </w:numPr>
        <w:autoSpaceDN/>
        <w:contextualSpacing/>
        <w:jc w:val="both"/>
        <w:rPr>
          <w:rFonts w:ascii="Arial" w:eastAsia="Calibri" w:hAnsi="Arial" w:cs="Arial"/>
          <w:color w:val="000000"/>
          <w:sz w:val="20"/>
          <w:szCs w:val="20"/>
          <w:lang w:val="en-GB"/>
        </w:rPr>
      </w:pPr>
      <w:r w:rsidRPr="00587444">
        <w:rPr>
          <w:rFonts w:ascii="Arial" w:eastAsia="Calibri" w:hAnsi="Arial" w:cs="Arial"/>
          <w:color w:val="000000"/>
          <w:sz w:val="20"/>
          <w:szCs w:val="20"/>
          <w:lang w:val="en-GB"/>
        </w:rPr>
        <w:t xml:space="preserve">placements up to HRK 300 thousand to companies, crafts businesses and farmers, </w:t>
      </w:r>
    </w:p>
    <w:p w14:paraId="252F4F75" w14:textId="77777777" w:rsidR="00587444" w:rsidRPr="00587444" w:rsidRDefault="00587444" w:rsidP="00880B90">
      <w:pPr>
        <w:numPr>
          <w:ilvl w:val="0"/>
          <w:numId w:val="72"/>
        </w:numPr>
        <w:autoSpaceDN/>
        <w:contextualSpacing/>
        <w:jc w:val="both"/>
        <w:rPr>
          <w:rFonts w:ascii="Arial" w:eastAsia="Calibri" w:hAnsi="Arial" w:cs="Arial"/>
          <w:color w:val="000000"/>
          <w:sz w:val="20"/>
          <w:szCs w:val="20"/>
          <w:lang w:val="en-GB"/>
        </w:rPr>
      </w:pPr>
      <w:r w:rsidRPr="00587444">
        <w:rPr>
          <w:rFonts w:ascii="Arial" w:eastAsia="Calibri" w:hAnsi="Arial" w:cs="Arial"/>
          <w:color w:val="000000"/>
          <w:sz w:val="20"/>
          <w:szCs w:val="20"/>
          <w:lang w:val="en-GB"/>
        </w:rPr>
        <w:t xml:space="preserve">placements up to HRK 300 thousand to start-ups, </w:t>
      </w:r>
    </w:p>
    <w:p w14:paraId="2307FD5E" w14:textId="77777777" w:rsidR="00587444" w:rsidRPr="00587444" w:rsidRDefault="00587444" w:rsidP="00880B90">
      <w:pPr>
        <w:numPr>
          <w:ilvl w:val="0"/>
          <w:numId w:val="72"/>
        </w:numPr>
        <w:autoSpaceDN/>
        <w:contextualSpacing/>
        <w:jc w:val="both"/>
        <w:rPr>
          <w:rFonts w:ascii="Arial" w:eastAsia="Calibri" w:hAnsi="Arial" w:cs="Arial"/>
          <w:color w:val="000000"/>
          <w:sz w:val="20"/>
          <w:szCs w:val="20"/>
          <w:lang w:val="en-GB"/>
        </w:rPr>
      </w:pPr>
      <w:r w:rsidRPr="00587444">
        <w:rPr>
          <w:rFonts w:ascii="Arial" w:eastAsia="Calibri" w:hAnsi="Arial" w:cs="Arial"/>
          <w:color w:val="000000"/>
          <w:sz w:val="20"/>
          <w:szCs w:val="20"/>
          <w:lang w:val="en-GB"/>
        </w:rPr>
        <w:t xml:space="preserve">placements from HRK 300 thousand to HRK 1,500 thousand to companies, </w:t>
      </w:r>
    </w:p>
    <w:p w14:paraId="048FCC07" w14:textId="77777777" w:rsidR="00587444" w:rsidRPr="00587444" w:rsidRDefault="00587444" w:rsidP="00880B90">
      <w:pPr>
        <w:numPr>
          <w:ilvl w:val="0"/>
          <w:numId w:val="72"/>
        </w:numPr>
        <w:autoSpaceDN/>
        <w:contextualSpacing/>
        <w:jc w:val="both"/>
        <w:rPr>
          <w:rFonts w:ascii="Arial" w:eastAsia="Calibri" w:hAnsi="Arial" w:cs="Arial"/>
          <w:color w:val="000000"/>
          <w:sz w:val="20"/>
          <w:szCs w:val="20"/>
          <w:lang w:val="en-GB"/>
        </w:rPr>
      </w:pPr>
      <w:r w:rsidRPr="00587444">
        <w:rPr>
          <w:rFonts w:ascii="Arial" w:eastAsia="Calibri" w:hAnsi="Arial" w:cs="Arial"/>
          <w:color w:val="000000"/>
          <w:sz w:val="20"/>
          <w:szCs w:val="20"/>
          <w:lang w:val="en-GB"/>
        </w:rPr>
        <w:t>placements from HRK 300 thousand to HRK 1,500 thousand to start-ups,</w:t>
      </w:r>
    </w:p>
    <w:p w14:paraId="1B92E9F5" w14:textId="77777777" w:rsidR="00587444" w:rsidRPr="00587444" w:rsidRDefault="00587444" w:rsidP="00880B90">
      <w:pPr>
        <w:numPr>
          <w:ilvl w:val="0"/>
          <w:numId w:val="72"/>
        </w:numPr>
        <w:autoSpaceDN/>
        <w:contextualSpacing/>
        <w:jc w:val="both"/>
        <w:rPr>
          <w:rFonts w:ascii="Arial" w:eastAsia="Calibri" w:hAnsi="Arial" w:cs="Arial"/>
          <w:color w:val="000000"/>
          <w:sz w:val="20"/>
          <w:szCs w:val="20"/>
          <w:lang w:val="en-GB"/>
        </w:rPr>
      </w:pPr>
      <w:r w:rsidRPr="00587444">
        <w:rPr>
          <w:rFonts w:ascii="Arial" w:eastAsia="Calibri" w:hAnsi="Arial" w:cs="Arial"/>
          <w:color w:val="000000"/>
          <w:sz w:val="20"/>
          <w:szCs w:val="20"/>
          <w:lang w:val="en-GB"/>
        </w:rPr>
        <w:t xml:space="preserve">placements from HRK 300 thousand to HRK 1,500 thousand </w:t>
      </w:r>
      <w:bookmarkStart w:id="1046" w:name="_Hlk97901141"/>
      <w:r w:rsidRPr="00587444">
        <w:rPr>
          <w:rFonts w:ascii="Arial" w:eastAsia="Calibri" w:hAnsi="Arial" w:cs="Arial"/>
          <w:color w:val="000000"/>
          <w:sz w:val="20"/>
          <w:szCs w:val="20"/>
          <w:lang w:val="en-GB"/>
        </w:rPr>
        <w:t>to all other entrepreneurs</w:t>
      </w:r>
      <w:bookmarkEnd w:id="1046"/>
      <w:r w:rsidRPr="00587444">
        <w:rPr>
          <w:rFonts w:ascii="Arial" w:eastAsia="Calibri" w:hAnsi="Arial" w:cs="Arial"/>
          <w:color w:val="000000"/>
          <w:sz w:val="20"/>
          <w:szCs w:val="20"/>
          <w:lang w:val="en-GB"/>
        </w:rPr>
        <w:t>,</w:t>
      </w:r>
    </w:p>
    <w:p w14:paraId="6E26256E" w14:textId="77777777" w:rsidR="00587444" w:rsidRPr="00587444" w:rsidRDefault="00587444" w:rsidP="00880B90">
      <w:pPr>
        <w:numPr>
          <w:ilvl w:val="0"/>
          <w:numId w:val="72"/>
        </w:numPr>
        <w:autoSpaceDN/>
        <w:contextualSpacing/>
        <w:jc w:val="both"/>
        <w:rPr>
          <w:rFonts w:ascii="Arial" w:eastAsia="Calibri" w:hAnsi="Arial" w:cs="Arial"/>
          <w:color w:val="000000"/>
          <w:sz w:val="20"/>
          <w:szCs w:val="20"/>
          <w:lang w:val="en-GB"/>
        </w:rPr>
      </w:pPr>
      <w:r w:rsidRPr="00587444">
        <w:rPr>
          <w:rFonts w:ascii="Arial" w:eastAsia="Calibri" w:hAnsi="Arial" w:cs="Arial"/>
          <w:color w:val="000000"/>
          <w:sz w:val="20"/>
          <w:szCs w:val="20"/>
          <w:lang w:val="en-GB"/>
        </w:rPr>
        <w:t xml:space="preserve">placements from HRK 1,500 thousand to HRK 3,000 thousand to companies and start-ups, and </w:t>
      </w:r>
    </w:p>
    <w:p w14:paraId="4876ED76" w14:textId="77777777" w:rsidR="00587444" w:rsidRPr="00587444" w:rsidRDefault="00587444" w:rsidP="00880B90">
      <w:pPr>
        <w:numPr>
          <w:ilvl w:val="0"/>
          <w:numId w:val="72"/>
        </w:numPr>
        <w:autoSpaceDN/>
        <w:contextualSpacing/>
        <w:jc w:val="both"/>
        <w:rPr>
          <w:rFonts w:ascii="Arial" w:eastAsia="Calibri" w:hAnsi="Arial" w:cs="Arial"/>
          <w:sz w:val="20"/>
          <w:szCs w:val="20"/>
          <w:lang w:val="en-GB"/>
        </w:rPr>
        <w:sectPr w:rsidR="00587444" w:rsidRPr="00587444" w:rsidSect="00DD69E7">
          <w:headerReference w:type="default" r:id="rId85"/>
          <w:pgSz w:w="11906" w:h="16838" w:code="9"/>
          <w:pgMar w:top="1418" w:right="1418" w:bottom="595" w:left="1134" w:header="851" w:footer="851" w:gutter="0"/>
          <w:cols w:space="720"/>
          <w:noEndnote/>
        </w:sectPr>
      </w:pPr>
      <w:r w:rsidRPr="00587444">
        <w:rPr>
          <w:rFonts w:ascii="Arial" w:eastAsia="Calibri" w:hAnsi="Arial" w:cs="Arial"/>
          <w:color w:val="000000"/>
          <w:sz w:val="20"/>
          <w:szCs w:val="20"/>
          <w:lang w:val="en-GB"/>
        </w:rPr>
        <w:t>placements from HRK 1,500 thousand to HRK 3,000 thousand to all other entrepreneurs</w:t>
      </w:r>
      <w:r w:rsidRPr="00587444">
        <w:rPr>
          <w:rFonts w:ascii="Arial" w:eastAsia="Calibri" w:hAnsi="Arial" w:cs="Arial"/>
          <w:sz w:val="20"/>
          <w:szCs w:val="20"/>
          <w:lang w:val="en-GB"/>
        </w:rPr>
        <w:t>.</w:t>
      </w:r>
    </w:p>
    <w:p w14:paraId="1580B57D" w14:textId="77777777" w:rsidR="00587444" w:rsidRPr="00587444" w:rsidRDefault="00587444" w:rsidP="00587444">
      <w:pPr>
        <w:keepNext/>
        <w:suppressAutoHyphens w:val="0"/>
        <w:autoSpaceDN/>
        <w:jc w:val="both"/>
        <w:rPr>
          <w:rFonts w:ascii="Arial" w:hAnsi="Arial" w:cs="Arial"/>
          <w:b/>
          <w:bCs/>
          <w:sz w:val="20"/>
          <w:szCs w:val="20"/>
        </w:rPr>
      </w:pPr>
    </w:p>
    <w:p w14:paraId="05BF4C4A"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16DE5820" w14:textId="77777777" w:rsidR="00587444" w:rsidRPr="00587444" w:rsidRDefault="00587444" w:rsidP="00587444">
      <w:pPr>
        <w:suppressAutoHyphens w:val="0"/>
        <w:autoSpaceDN/>
        <w:jc w:val="both"/>
        <w:rPr>
          <w:rFonts w:ascii="Arial" w:hAnsi="Arial" w:cs="Arial"/>
          <w:sz w:val="20"/>
          <w:szCs w:val="20"/>
        </w:rPr>
      </w:pPr>
    </w:p>
    <w:p w14:paraId="6AE781AA" w14:textId="77777777" w:rsidR="00587444" w:rsidRPr="00587444" w:rsidRDefault="00587444" w:rsidP="00587444">
      <w:pPr>
        <w:tabs>
          <w:tab w:val="left" w:pos="709"/>
          <w:tab w:val="left" w:pos="851"/>
        </w:tabs>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4E663FE2" w14:textId="77777777" w:rsidR="00587444" w:rsidRPr="00587444" w:rsidRDefault="00587444" w:rsidP="00587444">
      <w:pPr>
        <w:suppressAutoHyphens w:val="0"/>
        <w:autoSpaceDN/>
        <w:jc w:val="both"/>
        <w:rPr>
          <w:rFonts w:ascii="Arial" w:eastAsia="Calibri" w:hAnsi="Arial" w:cs="Arial"/>
          <w:sz w:val="20"/>
          <w:szCs w:val="20"/>
          <w:lang w:val="en-GB"/>
        </w:rPr>
      </w:pPr>
    </w:p>
    <w:p w14:paraId="43AD94F2" w14:textId="77777777" w:rsidR="00587444" w:rsidRPr="00587444" w:rsidRDefault="00587444" w:rsidP="00880B90">
      <w:pPr>
        <w:autoSpaceDN/>
        <w:jc w:val="both"/>
        <w:rPr>
          <w:rFonts w:ascii="Arial" w:eastAsia="Calibri" w:hAnsi="Arial" w:cs="Arial"/>
          <w:sz w:val="20"/>
          <w:szCs w:val="20"/>
          <w:lang w:val="en-GB"/>
        </w:rPr>
      </w:pPr>
      <w:r w:rsidRPr="00587444">
        <w:rPr>
          <w:rFonts w:ascii="Arial" w:eastAsia="Calibri" w:hAnsi="Arial" w:cs="Arial"/>
          <w:sz w:val="20"/>
          <w:szCs w:val="20"/>
          <w:lang w:val="en-GB"/>
        </w:rPr>
        <w:t>The Credit Rating Assessment Methodology is used for the assessment of the risk of the clients that have been classified to the portfolio of individually significant clients, i.e. gross exposures exceeding HRK 3,000 thousand.</w:t>
      </w:r>
      <w:r w:rsidRPr="00587444">
        <w:rPr>
          <w:rFonts w:ascii="Arial" w:hAnsi="Arial" w:cs="Arial"/>
          <w:sz w:val="20"/>
          <w:szCs w:val="20"/>
        </w:rPr>
        <w:t xml:space="preserve"> The risk assessment can be contained in the assessment of client creditworthiness, assessment of investment project success and assessment of client creditworthiness containing analysis of future operations.</w:t>
      </w:r>
    </w:p>
    <w:p w14:paraId="7537EB91" w14:textId="77777777" w:rsidR="00587444" w:rsidRPr="00587444" w:rsidRDefault="00587444" w:rsidP="00880B90">
      <w:pPr>
        <w:autoSpaceDN/>
        <w:jc w:val="both"/>
        <w:rPr>
          <w:rFonts w:ascii="Arial" w:hAnsi="Arial" w:cs="Arial"/>
          <w:sz w:val="20"/>
          <w:szCs w:val="20"/>
        </w:rPr>
      </w:pPr>
    </w:p>
    <w:p w14:paraId="7D5509D7" w14:textId="77777777" w:rsidR="00587444" w:rsidRPr="00587444" w:rsidRDefault="00587444" w:rsidP="00880B90">
      <w:pPr>
        <w:autoSpaceDN/>
        <w:spacing w:line="250" w:lineRule="exact"/>
        <w:jc w:val="both"/>
        <w:rPr>
          <w:rFonts w:ascii="Arial" w:hAnsi="Arial" w:cs="Arial"/>
          <w:b/>
          <w:sz w:val="20"/>
          <w:szCs w:val="20"/>
        </w:rPr>
      </w:pPr>
      <w:r w:rsidRPr="00587444">
        <w:rPr>
          <w:rFonts w:ascii="Arial" w:hAnsi="Arial" w:cs="Arial"/>
          <w:sz w:val="20"/>
          <w:szCs w:val="20"/>
        </w:rPr>
        <w:t xml:space="preserve">Pursuant to the HBOR Act, the Bank on-lends part of its placements via commercial banks or leasing companies. The assessment of commercial banks is based on the Methodology for the Evaluation and Selection of Banks and the Methodology for the Evaluation and Selection of Foreign Banks, whereas the assessment of leasing companies is based on the Methodologies for the Evaluation and Selection of Leasing Companies. With an objective of facilitating the availability of HBOR’s funds, </w:t>
      </w:r>
      <w:proofErr w:type="spellStart"/>
      <w:r w:rsidRPr="00587444">
        <w:rPr>
          <w:rFonts w:ascii="Arial" w:hAnsi="Arial" w:cs="Arial"/>
          <w:sz w:val="20"/>
          <w:szCs w:val="20"/>
        </w:rPr>
        <w:t>ank</w:t>
      </w:r>
      <w:proofErr w:type="spellEnd"/>
      <w:r w:rsidRPr="00587444">
        <w:rPr>
          <w:rFonts w:ascii="Arial" w:hAnsi="Arial" w:cs="Arial"/>
          <w:sz w:val="20"/>
          <w:szCs w:val="20"/>
        </w:rPr>
        <w:t xml:space="preserve"> part of its placements is placed through the risk sharing model, under which commercial banks and HBOR participate in the financing of clients in accordance with in advance agreed proportions.</w:t>
      </w:r>
    </w:p>
    <w:p w14:paraId="42677A29" w14:textId="77777777" w:rsidR="00587444" w:rsidRPr="00587444" w:rsidRDefault="00587444" w:rsidP="00880B90">
      <w:pPr>
        <w:autoSpaceDN/>
        <w:spacing w:line="250" w:lineRule="exact"/>
        <w:jc w:val="both"/>
        <w:rPr>
          <w:rFonts w:ascii="Arial" w:hAnsi="Arial" w:cs="Arial"/>
          <w:sz w:val="20"/>
          <w:szCs w:val="20"/>
        </w:rPr>
      </w:pPr>
    </w:p>
    <w:p w14:paraId="16C656E1" w14:textId="77777777" w:rsidR="00587444" w:rsidRPr="00587444" w:rsidRDefault="00587444" w:rsidP="00880B90">
      <w:pPr>
        <w:autoSpaceDN/>
        <w:spacing w:line="250" w:lineRule="exact"/>
        <w:jc w:val="both"/>
        <w:rPr>
          <w:rFonts w:ascii="Arial" w:eastAsia="Calibri" w:hAnsi="Arial" w:cs="Arial"/>
          <w:sz w:val="20"/>
          <w:szCs w:val="20"/>
        </w:rPr>
      </w:pPr>
      <w:r w:rsidRPr="00587444">
        <w:rPr>
          <w:rFonts w:ascii="Arial" w:eastAsia="Calibri" w:hAnsi="Arial" w:cs="Arial"/>
          <w:sz w:val="20"/>
          <w:szCs w:val="20"/>
        </w:rPr>
        <w:t>The Bank, as a developmental financial institution, supports growth and development of the Croatian economy through investment. For this reason, the clients most often come with applications for credit monitoring of development investment projects. In order to minimize risk and objectively estimate economic sustainability of the project as well as a return on investment, the Bank is constantly improving existing organizational and technical solutions, reports and internal acts and proposes new organization regulations and implementation instructions.</w:t>
      </w:r>
    </w:p>
    <w:p w14:paraId="51FFC35D" w14:textId="77777777" w:rsidR="00587444" w:rsidRPr="00587444" w:rsidRDefault="00587444" w:rsidP="00880B90">
      <w:pPr>
        <w:autoSpaceDN/>
        <w:spacing w:line="250" w:lineRule="exact"/>
        <w:jc w:val="both"/>
        <w:rPr>
          <w:rFonts w:ascii="Arial" w:hAnsi="Arial" w:cs="Arial"/>
          <w:sz w:val="20"/>
          <w:szCs w:val="20"/>
        </w:rPr>
      </w:pPr>
    </w:p>
    <w:p w14:paraId="5BF6A784" w14:textId="77777777" w:rsidR="00587444" w:rsidRPr="00587444" w:rsidRDefault="00587444" w:rsidP="00880B90">
      <w:pPr>
        <w:autoSpaceDN/>
        <w:jc w:val="both"/>
        <w:rPr>
          <w:rFonts w:ascii="Arial" w:eastAsia="Calibri" w:hAnsi="Arial" w:cs="Arial"/>
          <w:sz w:val="20"/>
          <w:szCs w:val="20"/>
        </w:rPr>
      </w:pPr>
      <w:r w:rsidRPr="00587444">
        <w:rPr>
          <w:rFonts w:ascii="Arial" w:eastAsia="Calibri" w:hAnsi="Arial" w:cs="Arial"/>
          <w:color w:val="000000"/>
          <w:sz w:val="20"/>
          <w:szCs w:val="20"/>
          <w:lang w:val="en-GB"/>
        </w:rPr>
        <w:t xml:space="preserve">Through continuous monitoring and evaluation of clients' business operations, HBOR tries to identify difficulties in their business operations in time. </w:t>
      </w:r>
      <w:r w:rsidRPr="00587444">
        <w:rPr>
          <w:rFonts w:ascii="Arial" w:eastAsia="Calibri" w:hAnsi="Arial" w:cs="Arial"/>
          <w:sz w:val="20"/>
          <w:szCs w:val="20"/>
        </w:rPr>
        <w:t>For clients with difficulties, the Bank tries to find appropriate ways to collect receivables by considering the possibilities of alternative repayment terms with a view to continue the production process and employment increase. Special emphasis is placed on identifying and monitoring reasons for bad debts, and procedures for prevention are built in operational procedures with a view to decreasing the share of high risk placements.</w:t>
      </w:r>
    </w:p>
    <w:p w14:paraId="20855FE7" w14:textId="77777777" w:rsidR="00587444" w:rsidRPr="00587444" w:rsidRDefault="00587444" w:rsidP="00880B90">
      <w:pPr>
        <w:autoSpaceDN/>
        <w:spacing w:line="250" w:lineRule="exact"/>
        <w:jc w:val="both"/>
        <w:rPr>
          <w:rFonts w:ascii="Arial" w:eastAsia="Calibri" w:hAnsi="Arial" w:cs="Arial"/>
          <w:sz w:val="20"/>
          <w:szCs w:val="20"/>
        </w:rPr>
      </w:pPr>
    </w:p>
    <w:p w14:paraId="37BCD871" w14:textId="77777777" w:rsidR="00587444" w:rsidRPr="00587444" w:rsidRDefault="00587444" w:rsidP="00880B90">
      <w:pPr>
        <w:autoSpaceDN/>
        <w:jc w:val="both"/>
        <w:rPr>
          <w:rFonts w:ascii="Arial" w:eastAsia="Calibri" w:hAnsi="Arial" w:cs="Arial"/>
          <w:sz w:val="20"/>
          <w:szCs w:val="20"/>
        </w:rPr>
      </w:pPr>
      <w:r w:rsidRPr="00587444">
        <w:rPr>
          <w:rFonts w:ascii="Arial" w:eastAsia="Calibri" w:hAnsi="Arial" w:cs="Arial"/>
          <w:sz w:val="20"/>
          <w:szCs w:val="20"/>
        </w:rPr>
        <w:t>In order to mitigate the negative consequences of the coronavirus pandemic, the Bank, with the aim of preserving the level of economic activity and liquidity of economic entities and most importantly, preserving jobs, enabled rescheduling of obligations.</w:t>
      </w:r>
    </w:p>
    <w:p w14:paraId="62C83161" w14:textId="77777777" w:rsidR="00587444" w:rsidRPr="00587444" w:rsidRDefault="00587444" w:rsidP="00880B90">
      <w:pPr>
        <w:autoSpaceDN/>
        <w:jc w:val="both"/>
        <w:rPr>
          <w:rFonts w:ascii="Arial" w:eastAsia="Calibri" w:hAnsi="Arial" w:cs="Arial"/>
          <w:sz w:val="20"/>
          <w:szCs w:val="20"/>
        </w:rPr>
      </w:pPr>
    </w:p>
    <w:p w14:paraId="351B3745" w14:textId="77777777" w:rsidR="00587444" w:rsidRPr="00587444" w:rsidRDefault="00587444" w:rsidP="00880B90">
      <w:pPr>
        <w:autoSpaceDN/>
        <w:jc w:val="both"/>
        <w:rPr>
          <w:rFonts w:ascii="Arial" w:eastAsia="Calibri" w:hAnsi="Arial" w:cs="Arial"/>
          <w:sz w:val="20"/>
          <w:szCs w:val="20"/>
          <w:lang w:val="en-GB"/>
        </w:rPr>
      </w:pPr>
      <w:r w:rsidRPr="00587444">
        <w:rPr>
          <w:rFonts w:ascii="Arial" w:eastAsia="Calibri" w:hAnsi="Arial" w:cs="Arial"/>
          <w:sz w:val="20"/>
          <w:szCs w:val="20"/>
          <w:lang w:val="en-GB"/>
        </w:rPr>
        <w:t>Due to the approval of a larger number of loans in a relatively short period of time in 2020, certain activities in the existing manner and procedure of processing loan applications have been reduced that are prescribed by the Credit Risk Management Ordinance and that are covered by separate Instructions having been implemented on COVID-19 loans and loans for the areas struck by the earthquake in the first half of 2022 as well as the clients affected by the crisis caused by direct or indirect impact of the Russian aggression against Ukraine.</w:t>
      </w:r>
    </w:p>
    <w:p w14:paraId="70243485" w14:textId="77777777" w:rsidR="00587444" w:rsidRPr="00587444" w:rsidRDefault="00587444" w:rsidP="00880B90">
      <w:pPr>
        <w:autoSpaceDN/>
        <w:jc w:val="both"/>
        <w:rPr>
          <w:rFonts w:ascii="Arial" w:eastAsia="Calibri" w:hAnsi="Arial" w:cs="Arial"/>
          <w:sz w:val="20"/>
          <w:szCs w:val="20"/>
          <w:lang w:val="en-GB"/>
        </w:rPr>
      </w:pPr>
    </w:p>
    <w:p w14:paraId="37FFC615"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For the purpose of risk monitoring and control, the systems of limits have been established for the management of credit risk. High exposure limits and amounts of maximum permitted credit exposure to individual borrowers and persons related to borrowers have been established.</w:t>
      </w:r>
    </w:p>
    <w:p w14:paraId="6A5EDF87" w14:textId="77777777" w:rsidR="00587444" w:rsidRPr="00587444" w:rsidRDefault="00587444" w:rsidP="00587444">
      <w:pPr>
        <w:suppressAutoHyphens w:val="0"/>
        <w:autoSpaceDN/>
        <w:jc w:val="both"/>
        <w:rPr>
          <w:rFonts w:ascii="Arial" w:eastAsia="Calibri" w:hAnsi="Arial" w:cs="Arial"/>
          <w:sz w:val="20"/>
          <w:szCs w:val="20"/>
          <w:lang w:val="en-GB"/>
        </w:rPr>
      </w:pPr>
    </w:p>
    <w:p w14:paraId="54B23E52" w14:textId="77777777" w:rsidR="00587444" w:rsidRPr="00587444" w:rsidRDefault="00587444" w:rsidP="00587444">
      <w:pPr>
        <w:suppressAutoHyphens w:val="0"/>
        <w:autoSpaceDN/>
        <w:spacing w:line="250" w:lineRule="exact"/>
        <w:jc w:val="both"/>
        <w:rPr>
          <w:rFonts w:ascii="Arial" w:eastAsia="Calibri" w:hAnsi="Arial" w:cs="Arial"/>
          <w:sz w:val="20"/>
          <w:szCs w:val="20"/>
        </w:rPr>
        <w:sectPr w:rsidR="00587444" w:rsidRPr="00587444" w:rsidSect="00DD69E7">
          <w:pgSz w:w="11906" w:h="16838" w:code="9"/>
          <w:pgMar w:top="1418" w:right="1418" w:bottom="595" w:left="1134" w:header="851" w:footer="851" w:gutter="0"/>
          <w:cols w:space="720"/>
          <w:noEndnote/>
        </w:sectPr>
      </w:pPr>
    </w:p>
    <w:p w14:paraId="550DA86E" w14:textId="77777777" w:rsidR="00587444" w:rsidRPr="00587444" w:rsidRDefault="00587444" w:rsidP="00587444">
      <w:pPr>
        <w:suppressAutoHyphens w:val="0"/>
        <w:autoSpaceDN/>
        <w:jc w:val="both"/>
        <w:rPr>
          <w:rFonts w:ascii="Arial" w:eastAsia="Calibri" w:hAnsi="Arial" w:cs="Arial"/>
          <w:sz w:val="20"/>
          <w:szCs w:val="20"/>
        </w:rPr>
      </w:pPr>
    </w:p>
    <w:p w14:paraId="0803593C"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0382FB0A" w14:textId="77777777" w:rsidR="00587444" w:rsidRPr="00587444" w:rsidRDefault="00587444" w:rsidP="00587444">
      <w:pPr>
        <w:keepNext/>
        <w:suppressAutoHyphens w:val="0"/>
        <w:autoSpaceDN/>
        <w:jc w:val="both"/>
        <w:rPr>
          <w:rFonts w:ascii="Arial" w:hAnsi="Arial" w:cs="Arial"/>
          <w:b/>
          <w:bCs/>
          <w:sz w:val="20"/>
          <w:szCs w:val="20"/>
        </w:rPr>
      </w:pPr>
    </w:p>
    <w:p w14:paraId="52E55080"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424E1C3C" w14:textId="77777777" w:rsidR="00587444" w:rsidRPr="00587444" w:rsidRDefault="00587444" w:rsidP="00587444">
      <w:pPr>
        <w:suppressAutoHyphens w:val="0"/>
        <w:autoSpaceDN/>
        <w:jc w:val="both"/>
        <w:rPr>
          <w:rFonts w:ascii="Arial" w:hAnsi="Arial" w:cs="Arial"/>
          <w:color w:val="000000"/>
          <w:sz w:val="20"/>
          <w:szCs w:val="20"/>
          <w:highlight w:val="yellow"/>
        </w:rPr>
      </w:pPr>
      <w:bookmarkStart w:id="1047" w:name="_Hlk67584439"/>
    </w:p>
    <w:bookmarkEnd w:id="1047"/>
    <w:p w14:paraId="499E0C8D" w14:textId="77777777" w:rsidR="00587444" w:rsidRPr="00587444" w:rsidRDefault="00587444" w:rsidP="00587444">
      <w:pPr>
        <w:suppressAutoHyphens w:val="0"/>
        <w:autoSpaceDN/>
        <w:rPr>
          <w:rFonts w:ascii="Arial" w:eastAsia="Calibri" w:hAnsi="Arial" w:cs="Arial"/>
          <w:b/>
          <w:sz w:val="20"/>
          <w:szCs w:val="20"/>
        </w:rPr>
      </w:pPr>
      <w:r w:rsidRPr="00587444">
        <w:rPr>
          <w:rFonts w:ascii="Arial" w:eastAsia="Calibri" w:hAnsi="Arial" w:cs="Arial"/>
          <w:b/>
          <w:sz w:val="20"/>
          <w:szCs w:val="20"/>
        </w:rPr>
        <w:t>31.3.1. Risk related to loan commitments</w:t>
      </w:r>
    </w:p>
    <w:p w14:paraId="4F54667F" w14:textId="77777777" w:rsidR="00587444" w:rsidRPr="00587444" w:rsidRDefault="00587444" w:rsidP="00587444">
      <w:pPr>
        <w:suppressAutoHyphens w:val="0"/>
        <w:autoSpaceDN/>
        <w:jc w:val="both"/>
        <w:rPr>
          <w:rFonts w:ascii="Arial" w:eastAsia="Calibri" w:hAnsi="Arial" w:cs="Arial"/>
          <w:b/>
          <w:bCs/>
          <w:spacing w:val="-3"/>
          <w:sz w:val="20"/>
          <w:szCs w:val="20"/>
          <w:highlight w:val="yellow"/>
        </w:rPr>
      </w:pPr>
    </w:p>
    <w:p w14:paraId="73ECF7D7"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Bank clients can be issued guarantees and letters of credit with deferred payment terms (also from loan proceeds) in accordance with the same procedure as prescribed for loan commitments to direct clients.</w:t>
      </w:r>
    </w:p>
    <w:p w14:paraId="64ECEDE9" w14:textId="77777777" w:rsidR="00587444" w:rsidRPr="00587444" w:rsidRDefault="00587444" w:rsidP="00880B90">
      <w:pPr>
        <w:autoSpaceDN/>
        <w:jc w:val="both"/>
        <w:rPr>
          <w:rFonts w:ascii="Arial" w:hAnsi="Arial" w:cs="Arial"/>
          <w:sz w:val="20"/>
          <w:szCs w:val="20"/>
          <w:highlight w:val="yellow"/>
        </w:rPr>
      </w:pPr>
    </w:p>
    <w:p w14:paraId="706FF8C1" w14:textId="77777777" w:rsidR="00587444" w:rsidRPr="00587444" w:rsidRDefault="00587444" w:rsidP="00880B90">
      <w:pPr>
        <w:tabs>
          <w:tab w:val="left" w:pos="2694"/>
        </w:tabs>
        <w:autoSpaceDN/>
        <w:jc w:val="both"/>
        <w:rPr>
          <w:rFonts w:ascii="Arial" w:hAnsi="Arial" w:cs="Arial"/>
          <w:sz w:val="20"/>
          <w:szCs w:val="20"/>
        </w:rPr>
      </w:pPr>
      <w:r w:rsidRPr="00587444">
        <w:rPr>
          <w:rFonts w:ascii="Arial" w:hAnsi="Arial" w:cs="Arial"/>
          <w:sz w:val="20"/>
          <w:szCs w:val="20"/>
        </w:rPr>
        <w:t xml:space="preserve">All guarantees are monitored on the basis of validity periods, whereas letters of credit with deferred payment terms are monitored on the basis of maturities. In the case of calling for payment, the Bank shall make a payment on behalf of client. For the Bank, such obligations generate </w:t>
      </w:r>
      <w:proofErr w:type="gramStart"/>
      <w:r w:rsidRPr="00587444">
        <w:rPr>
          <w:rFonts w:ascii="Arial" w:hAnsi="Arial" w:cs="Arial"/>
          <w:sz w:val="20"/>
          <w:szCs w:val="20"/>
        </w:rPr>
        <w:t>exposures</w:t>
      </w:r>
      <w:proofErr w:type="gramEnd"/>
      <w:r w:rsidRPr="00587444">
        <w:rPr>
          <w:rFonts w:ascii="Arial" w:hAnsi="Arial" w:cs="Arial"/>
          <w:sz w:val="20"/>
          <w:szCs w:val="20"/>
        </w:rPr>
        <w:t xml:space="preserve"> to risks that are </w:t>
      </w:r>
      <w:proofErr w:type="gramStart"/>
      <w:r w:rsidRPr="00587444">
        <w:rPr>
          <w:rFonts w:ascii="Arial" w:hAnsi="Arial" w:cs="Arial"/>
          <w:sz w:val="20"/>
          <w:szCs w:val="20"/>
        </w:rPr>
        <w:t>similar to</w:t>
      </w:r>
      <w:proofErr w:type="gramEnd"/>
      <w:r w:rsidRPr="00587444">
        <w:rPr>
          <w:rFonts w:ascii="Arial" w:hAnsi="Arial" w:cs="Arial"/>
          <w:sz w:val="20"/>
          <w:szCs w:val="20"/>
        </w:rPr>
        <w:t xml:space="preserve"> credit risks and they are mitigated by the same procedures that are applied to loans.</w:t>
      </w:r>
    </w:p>
    <w:p w14:paraId="12A700A6" w14:textId="77777777" w:rsidR="00587444" w:rsidRPr="00587444" w:rsidRDefault="00587444" w:rsidP="00880B90">
      <w:pPr>
        <w:autoSpaceDN/>
        <w:jc w:val="both"/>
        <w:rPr>
          <w:rFonts w:ascii="Arial" w:eastAsia="Calibri" w:hAnsi="Arial" w:cs="Arial"/>
          <w:b/>
          <w:bCs/>
          <w:spacing w:val="-3"/>
          <w:sz w:val="20"/>
          <w:szCs w:val="20"/>
        </w:rPr>
      </w:pPr>
    </w:p>
    <w:p w14:paraId="2BD08F96" w14:textId="77777777" w:rsidR="00587444" w:rsidRPr="00587444" w:rsidRDefault="00587444" w:rsidP="00880B90">
      <w:pPr>
        <w:autoSpaceDN/>
        <w:spacing w:line="300" w:lineRule="exact"/>
        <w:jc w:val="both"/>
        <w:rPr>
          <w:rFonts w:ascii="Arial" w:eastAsia="Calibri" w:hAnsi="Arial" w:cs="Arial"/>
          <w:b/>
          <w:sz w:val="20"/>
          <w:szCs w:val="20"/>
        </w:rPr>
      </w:pPr>
      <w:r w:rsidRPr="00587444">
        <w:rPr>
          <w:rFonts w:ascii="Arial" w:eastAsia="Calibri" w:hAnsi="Arial" w:cs="Arial"/>
          <w:b/>
          <w:sz w:val="20"/>
          <w:szCs w:val="20"/>
        </w:rPr>
        <w:t xml:space="preserve">31.3.2. Impairment assessment </w:t>
      </w:r>
    </w:p>
    <w:p w14:paraId="7B213891" w14:textId="77777777" w:rsidR="00587444" w:rsidRPr="00587444" w:rsidRDefault="00587444" w:rsidP="00880B90">
      <w:pPr>
        <w:autoSpaceDN/>
        <w:jc w:val="both"/>
        <w:rPr>
          <w:rFonts w:ascii="Arial" w:eastAsia="Calibri" w:hAnsi="Arial" w:cs="Arial"/>
          <w:b/>
          <w:bCs/>
          <w:spacing w:val="-3"/>
          <w:sz w:val="20"/>
          <w:szCs w:val="20"/>
        </w:rPr>
      </w:pPr>
    </w:p>
    <w:p w14:paraId="44841307"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Impairment is formed in accordance with the International Financial Reporting Standard 9, documents made by CNB applicable to HBOR and internal ordinances and methodologies regulating operations.</w:t>
      </w:r>
    </w:p>
    <w:p w14:paraId="19DAD33B" w14:textId="77777777" w:rsidR="00587444" w:rsidRPr="00587444" w:rsidRDefault="00587444" w:rsidP="00880B90">
      <w:pPr>
        <w:autoSpaceDN/>
        <w:jc w:val="both"/>
        <w:rPr>
          <w:rFonts w:ascii="Arial" w:eastAsia="Calibri" w:hAnsi="Arial" w:cs="Arial"/>
          <w:b/>
          <w:bCs/>
          <w:spacing w:val="-3"/>
          <w:sz w:val="20"/>
          <w:szCs w:val="20"/>
        </w:rPr>
      </w:pPr>
    </w:p>
    <w:p w14:paraId="7AE6302F"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On the basis of the assessed level of credit risk and the manner of calculating expected credit losses, clients are allocated to the following categories:</w:t>
      </w:r>
    </w:p>
    <w:p w14:paraId="6BD36C4A" w14:textId="77777777" w:rsidR="00587444" w:rsidRPr="00587444" w:rsidRDefault="00587444" w:rsidP="00880B90">
      <w:pPr>
        <w:numPr>
          <w:ilvl w:val="2"/>
          <w:numId w:val="44"/>
        </w:numPr>
        <w:autoSpaceDN/>
        <w:ind w:left="709" w:hanging="425"/>
        <w:jc w:val="both"/>
        <w:rPr>
          <w:rFonts w:ascii="Arial" w:hAnsi="Arial" w:cs="Arial"/>
          <w:sz w:val="20"/>
          <w:szCs w:val="20"/>
        </w:rPr>
      </w:pPr>
      <w:r w:rsidRPr="00587444">
        <w:rPr>
          <w:rFonts w:ascii="Arial" w:hAnsi="Arial" w:cs="Arial"/>
          <w:sz w:val="20"/>
          <w:szCs w:val="20"/>
        </w:rPr>
        <w:t>Stage 1 – includes all clients with low credit risk and clients with respect to which no significant increase in credit risk has been established,</w:t>
      </w:r>
    </w:p>
    <w:p w14:paraId="28EE3E68" w14:textId="77777777" w:rsidR="00587444" w:rsidRPr="00587444" w:rsidRDefault="00587444" w:rsidP="00880B90">
      <w:pPr>
        <w:numPr>
          <w:ilvl w:val="0"/>
          <w:numId w:val="42"/>
        </w:numPr>
        <w:autoSpaceDN/>
        <w:jc w:val="both"/>
        <w:rPr>
          <w:rFonts w:ascii="Arial" w:hAnsi="Arial" w:cs="Arial"/>
          <w:sz w:val="20"/>
          <w:szCs w:val="20"/>
        </w:rPr>
      </w:pPr>
      <w:r w:rsidRPr="00587444">
        <w:rPr>
          <w:rFonts w:ascii="Arial" w:hAnsi="Arial" w:cs="Arial"/>
          <w:sz w:val="20"/>
          <w:szCs w:val="20"/>
        </w:rPr>
        <w:t>Stage 2 – includes all clients with respect to which a significant increase in credit risk since initial recognition has been established,</w:t>
      </w:r>
    </w:p>
    <w:p w14:paraId="56DCE86F" w14:textId="77777777" w:rsidR="00587444" w:rsidRPr="00587444" w:rsidRDefault="00587444" w:rsidP="00880B90">
      <w:pPr>
        <w:numPr>
          <w:ilvl w:val="0"/>
          <w:numId w:val="42"/>
        </w:numPr>
        <w:autoSpaceDN/>
        <w:jc w:val="both"/>
        <w:rPr>
          <w:rFonts w:ascii="Arial" w:hAnsi="Arial" w:cs="Arial"/>
          <w:sz w:val="20"/>
          <w:szCs w:val="20"/>
        </w:rPr>
      </w:pPr>
      <w:r w:rsidRPr="00587444">
        <w:rPr>
          <w:rFonts w:ascii="Arial" w:hAnsi="Arial" w:cs="Arial"/>
          <w:sz w:val="20"/>
          <w:szCs w:val="20"/>
        </w:rPr>
        <w:t>Stage 3 – includes clients in default, i.e. clients with respect to which there is objective evidence of value impairment</w:t>
      </w:r>
    </w:p>
    <w:p w14:paraId="73CDBD31" w14:textId="77777777" w:rsidR="00587444" w:rsidRPr="00587444" w:rsidRDefault="00587444" w:rsidP="00880B90">
      <w:pPr>
        <w:numPr>
          <w:ilvl w:val="0"/>
          <w:numId w:val="42"/>
        </w:numPr>
        <w:autoSpaceDN/>
        <w:jc w:val="both"/>
        <w:rPr>
          <w:rFonts w:ascii="Arial" w:hAnsi="Arial" w:cs="Arial"/>
          <w:sz w:val="20"/>
          <w:szCs w:val="20"/>
          <w:lang w:val="en-GB"/>
        </w:rPr>
      </w:pPr>
      <w:r w:rsidRPr="00587444">
        <w:rPr>
          <w:rFonts w:ascii="Arial" w:hAnsi="Arial" w:cs="Arial"/>
          <w:sz w:val="20"/>
          <w:szCs w:val="20"/>
          <w:lang w:val="en-GB"/>
        </w:rPr>
        <w:t>and separate category - Purchased or originated credit impaired asset, POCI.</w:t>
      </w:r>
    </w:p>
    <w:p w14:paraId="36DFFCF5" w14:textId="77777777" w:rsidR="00587444" w:rsidRPr="00587444" w:rsidRDefault="00587444" w:rsidP="00880B90">
      <w:pPr>
        <w:autoSpaceDN/>
        <w:jc w:val="both"/>
        <w:rPr>
          <w:rFonts w:ascii="Arial" w:eastAsia="Calibri" w:hAnsi="Arial" w:cs="Arial"/>
          <w:sz w:val="20"/>
          <w:szCs w:val="20"/>
        </w:rPr>
      </w:pPr>
    </w:p>
    <w:p w14:paraId="49F81C18"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During the contractual relationship with a client, the level of expected credit losses of client is estimated. The estimation is carried out on the basis of the following three criteria:</w:t>
      </w:r>
    </w:p>
    <w:p w14:paraId="4E5A9D6F" w14:textId="77777777" w:rsidR="00587444" w:rsidRPr="00587444" w:rsidRDefault="00587444" w:rsidP="00880B90">
      <w:pPr>
        <w:numPr>
          <w:ilvl w:val="0"/>
          <w:numId w:val="43"/>
        </w:numPr>
        <w:autoSpaceDN/>
        <w:jc w:val="both"/>
        <w:rPr>
          <w:rFonts w:ascii="Arial" w:hAnsi="Arial" w:cs="Arial"/>
          <w:sz w:val="20"/>
          <w:szCs w:val="20"/>
        </w:rPr>
      </w:pPr>
      <w:r w:rsidRPr="00587444">
        <w:rPr>
          <w:rFonts w:ascii="Arial" w:hAnsi="Arial" w:cs="Arial"/>
          <w:sz w:val="20"/>
          <w:szCs w:val="20"/>
        </w:rPr>
        <w:t xml:space="preserve">Debtor's creditworthiness </w:t>
      </w:r>
    </w:p>
    <w:p w14:paraId="05568791" w14:textId="77777777" w:rsidR="00587444" w:rsidRPr="00587444" w:rsidRDefault="00587444" w:rsidP="00880B90">
      <w:pPr>
        <w:numPr>
          <w:ilvl w:val="0"/>
          <w:numId w:val="43"/>
        </w:numPr>
        <w:autoSpaceDN/>
        <w:jc w:val="both"/>
        <w:rPr>
          <w:rFonts w:ascii="Arial" w:hAnsi="Arial" w:cs="Arial"/>
          <w:sz w:val="20"/>
          <w:szCs w:val="20"/>
        </w:rPr>
      </w:pPr>
      <w:r w:rsidRPr="00587444">
        <w:rPr>
          <w:rFonts w:ascii="Arial" w:hAnsi="Arial" w:cs="Arial"/>
          <w:sz w:val="20"/>
          <w:szCs w:val="20"/>
        </w:rPr>
        <w:t>Due fulfilment of obligations, and</w:t>
      </w:r>
    </w:p>
    <w:p w14:paraId="639B69CA" w14:textId="77777777" w:rsidR="00587444" w:rsidRPr="00587444" w:rsidRDefault="00587444" w:rsidP="00880B90">
      <w:pPr>
        <w:numPr>
          <w:ilvl w:val="0"/>
          <w:numId w:val="43"/>
        </w:numPr>
        <w:autoSpaceDN/>
        <w:jc w:val="both"/>
        <w:rPr>
          <w:rFonts w:ascii="Arial" w:hAnsi="Arial" w:cs="Arial"/>
          <w:sz w:val="20"/>
          <w:szCs w:val="20"/>
        </w:rPr>
      </w:pPr>
      <w:r w:rsidRPr="00587444">
        <w:rPr>
          <w:rFonts w:ascii="Arial" w:hAnsi="Arial" w:cs="Arial"/>
          <w:sz w:val="20"/>
          <w:szCs w:val="20"/>
        </w:rPr>
        <w:t>Quality of collateral.</w:t>
      </w:r>
    </w:p>
    <w:p w14:paraId="5C36595A" w14:textId="77777777" w:rsidR="00587444" w:rsidRPr="00587444" w:rsidRDefault="00587444" w:rsidP="00587444">
      <w:pPr>
        <w:suppressAutoHyphens w:val="0"/>
        <w:autoSpaceDN/>
        <w:jc w:val="both"/>
        <w:rPr>
          <w:rFonts w:ascii="Arial" w:hAnsi="Arial" w:cs="Arial"/>
          <w:sz w:val="20"/>
          <w:szCs w:val="20"/>
        </w:rPr>
        <w:sectPr w:rsidR="00587444" w:rsidRPr="00587444" w:rsidSect="00DD69E7">
          <w:headerReference w:type="default" r:id="rId86"/>
          <w:pgSz w:w="11906" w:h="16838" w:code="9"/>
          <w:pgMar w:top="1418" w:right="1418" w:bottom="595" w:left="1134" w:header="851" w:footer="851" w:gutter="0"/>
          <w:cols w:space="720"/>
          <w:noEndnote/>
        </w:sectPr>
      </w:pPr>
    </w:p>
    <w:p w14:paraId="2C0EABE9" w14:textId="77777777" w:rsidR="00587444" w:rsidRPr="00587444" w:rsidRDefault="00587444" w:rsidP="00587444">
      <w:pPr>
        <w:suppressAutoHyphens w:val="0"/>
        <w:autoSpaceDN/>
        <w:jc w:val="both"/>
        <w:rPr>
          <w:rFonts w:ascii="Arial" w:hAnsi="Arial" w:cs="Arial"/>
          <w:sz w:val="20"/>
          <w:szCs w:val="20"/>
        </w:rPr>
      </w:pPr>
    </w:p>
    <w:p w14:paraId="49E5D7CB"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119471E6" w14:textId="77777777" w:rsidR="00587444" w:rsidRPr="00587444" w:rsidRDefault="00587444" w:rsidP="00587444">
      <w:pPr>
        <w:keepNext/>
        <w:suppressAutoHyphens w:val="0"/>
        <w:autoSpaceDN/>
        <w:jc w:val="both"/>
        <w:rPr>
          <w:rFonts w:ascii="Arial" w:hAnsi="Arial" w:cs="Arial"/>
          <w:b/>
          <w:bCs/>
          <w:sz w:val="20"/>
          <w:szCs w:val="20"/>
        </w:rPr>
      </w:pPr>
    </w:p>
    <w:p w14:paraId="06E22E4B"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2E16AD64" w14:textId="77777777" w:rsidR="00587444" w:rsidRPr="00587444" w:rsidRDefault="00587444" w:rsidP="00587444">
      <w:pPr>
        <w:keepNext/>
        <w:suppressAutoHyphens w:val="0"/>
        <w:autoSpaceDN/>
        <w:jc w:val="both"/>
        <w:rPr>
          <w:rFonts w:ascii="Arial" w:hAnsi="Arial" w:cs="Arial"/>
          <w:b/>
          <w:bCs/>
          <w:sz w:val="20"/>
          <w:szCs w:val="20"/>
        </w:rPr>
      </w:pPr>
    </w:p>
    <w:p w14:paraId="3706AD5F"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r w:rsidRPr="00587444">
        <w:rPr>
          <w:rFonts w:ascii="Arial" w:eastAsia="Calibri" w:hAnsi="Arial" w:cs="Arial"/>
          <w:b/>
          <w:sz w:val="20"/>
          <w:szCs w:val="20"/>
        </w:rPr>
        <w:t>31.3.2. Impairment assessment (continued)</w:t>
      </w:r>
    </w:p>
    <w:p w14:paraId="1635D966" w14:textId="77777777" w:rsidR="00587444" w:rsidRPr="00587444" w:rsidRDefault="00587444" w:rsidP="00587444">
      <w:pPr>
        <w:keepNext/>
        <w:suppressAutoHyphens w:val="0"/>
        <w:autoSpaceDN/>
        <w:jc w:val="both"/>
        <w:rPr>
          <w:rFonts w:ascii="Arial" w:hAnsi="Arial" w:cs="Arial"/>
          <w:b/>
          <w:bCs/>
          <w:sz w:val="20"/>
          <w:szCs w:val="20"/>
        </w:rPr>
      </w:pPr>
    </w:p>
    <w:p w14:paraId="2AE1E743"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For the entire duration of </w:t>
      </w:r>
      <w:proofErr w:type="gramStart"/>
      <w:r w:rsidRPr="00587444">
        <w:rPr>
          <w:rFonts w:ascii="Arial" w:hAnsi="Arial" w:cs="Arial"/>
          <w:sz w:val="20"/>
          <w:szCs w:val="20"/>
        </w:rPr>
        <w:t>contractual</w:t>
      </w:r>
      <w:proofErr w:type="gramEnd"/>
      <w:r w:rsidRPr="00587444">
        <w:rPr>
          <w:rFonts w:ascii="Arial" w:hAnsi="Arial" w:cs="Arial"/>
          <w:sz w:val="20"/>
          <w:szCs w:val="20"/>
        </w:rPr>
        <w:t xml:space="preserve"> relationship, debtor's creditworthiness is assessed in order to identify possible changes in the client's (debtor's) financial position, </w:t>
      </w:r>
      <w:proofErr w:type="gramStart"/>
      <w:r w:rsidRPr="00587444">
        <w:rPr>
          <w:rFonts w:ascii="Arial" w:hAnsi="Arial" w:cs="Arial"/>
          <w:sz w:val="20"/>
          <w:szCs w:val="20"/>
        </w:rPr>
        <w:t>i.e.</w:t>
      </w:r>
      <w:proofErr w:type="gramEnd"/>
      <w:r w:rsidRPr="00587444">
        <w:rPr>
          <w:rFonts w:ascii="Arial" w:hAnsi="Arial" w:cs="Arial"/>
          <w:sz w:val="20"/>
          <w:szCs w:val="20"/>
        </w:rPr>
        <w:t xml:space="preserve"> the probability of deterioration in its creditworthiness. When establishing client's creditworthiness, the group of related entities is also taken into account due to the effect of contamination, i.e. the possibility of the transfer of risk among related entities. Creditworthiness of client is monitored through:</w:t>
      </w:r>
    </w:p>
    <w:p w14:paraId="3771BA93" w14:textId="77777777" w:rsidR="00587444" w:rsidRPr="00587444" w:rsidRDefault="00587444" w:rsidP="00880B90">
      <w:pPr>
        <w:numPr>
          <w:ilvl w:val="0"/>
          <w:numId w:val="47"/>
        </w:numPr>
        <w:autoSpaceDN/>
        <w:jc w:val="both"/>
        <w:rPr>
          <w:rFonts w:ascii="Arial" w:hAnsi="Arial" w:cs="Arial"/>
          <w:sz w:val="20"/>
          <w:szCs w:val="20"/>
        </w:rPr>
      </w:pPr>
      <w:r w:rsidRPr="00587444">
        <w:rPr>
          <w:rFonts w:ascii="Arial" w:hAnsi="Arial" w:cs="Arial"/>
          <w:sz w:val="20"/>
          <w:szCs w:val="20"/>
        </w:rPr>
        <w:t>Changes in financial rating of client and entities related to client,</w:t>
      </w:r>
    </w:p>
    <w:p w14:paraId="210F6CF3" w14:textId="77777777" w:rsidR="00587444" w:rsidRPr="00587444" w:rsidRDefault="00587444" w:rsidP="00880B90">
      <w:pPr>
        <w:numPr>
          <w:ilvl w:val="0"/>
          <w:numId w:val="47"/>
        </w:numPr>
        <w:autoSpaceDN/>
        <w:jc w:val="both"/>
        <w:rPr>
          <w:rFonts w:ascii="Arial" w:hAnsi="Arial" w:cs="Arial"/>
          <w:sz w:val="20"/>
          <w:szCs w:val="20"/>
        </w:rPr>
      </w:pPr>
      <w:r w:rsidRPr="00587444">
        <w:rPr>
          <w:rFonts w:ascii="Arial" w:hAnsi="Arial" w:cs="Arial"/>
          <w:sz w:val="20"/>
          <w:szCs w:val="20"/>
        </w:rPr>
        <w:t>Criteria whose objective is to identify financial difficulties of client,</w:t>
      </w:r>
    </w:p>
    <w:p w14:paraId="67D36E0E" w14:textId="77777777" w:rsidR="00587444" w:rsidRPr="00587444" w:rsidRDefault="00587444" w:rsidP="00880B90">
      <w:pPr>
        <w:numPr>
          <w:ilvl w:val="0"/>
          <w:numId w:val="47"/>
        </w:numPr>
        <w:autoSpaceDN/>
        <w:jc w:val="both"/>
        <w:rPr>
          <w:rFonts w:ascii="Arial" w:hAnsi="Arial" w:cs="Arial"/>
          <w:sz w:val="20"/>
          <w:szCs w:val="20"/>
        </w:rPr>
      </w:pPr>
      <w:r w:rsidRPr="00587444">
        <w:rPr>
          <w:rFonts w:ascii="Arial" w:hAnsi="Arial" w:cs="Arial"/>
          <w:sz w:val="20"/>
          <w:szCs w:val="20"/>
        </w:rPr>
        <w:t>Criteria contained in the client watch list, and</w:t>
      </w:r>
    </w:p>
    <w:p w14:paraId="35320FBD" w14:textId="77777777" w:rsidR="00587444" w:rsidRPr="00587444" w:rsidRDefault="00587444" w:rsidP="00880B90">
      <w:pPr>
        <w:numPr>
          <w:ilvl w:val="0"/>
          <w:numId w:val="47"/>
        </w:numPr>
        <w:autoSpaceDN/>
        <w:jc w:val="both"/>
        <w:rPr>
          <w:rFonts w:ascii="Arial" w:hAnsi="Arial" w:cs="Arial"/>
          <w:sz w:val="20"/>
          <w:szCs w:val="20"/>
        </w:rPr>
      </w:pPr>
      <w:r w:rsidRPr="00587444">
        <w:rPr>
          <w:rFonts w:ascii="Arial" w:hAnsi="Arial" w:cs="Arial"/>
          <w:sz w:val="20"/>
          <w:szCs w:val="20"/>
        </w:rPr>
        <w:t>Criteria for identification of increased credit risk.</w:t>
      </w:r>
    </w:p>
    <w:p w14:paraId="5C929AC7" w14:textId="77777777" w:rsidR="00587444" w:rsidRPr="00587444" w:rsidRDefault="00587444" w:rsidP="00880B90">
      <w:pPr>
        <w:autoSpaceDN/>
        <w:jc w:val="both"/>
        <w:rPr>
          <w:rFonts w:ascii="Arial" w:hAnsi="Arial" w:cs="Arial"/>
          <w:sz w:val="20"/>
          <w:szCs w:val="20"/>
          <w:highlight w:val="yellow"/>
        </w:rPr>
      </w:pPr>
      <w:r w:rsidRPr="00587444">
        <w:rPr>
          <w:rFonts w:ascii="Arial" w:hAnsi="Arial" w:cs="Arial"/>
          <w:sz w:val="20"/>
          <w:szCs w:val="20"/>
          <w:highlight w:val="yellow"/>
        </w:rPr>
        <w:t xml:space="preserve"> </w:t>
      </w:r>
    </w:p>
    <w:p w14:paraId="7F48AB51"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A client is considered to duly meet its obligations if it settles all of its obligations fully (principal, interest, commissions, fees and other charges) in the amounts and within the deadlines determined in the respective contracts, where all placements and of-balance sheet liabilities of a client are considered as one.</w:t>
      </w:r>
    </w:p>
    <w:p w14:paraId="21E13944" w14:textId="77777777" w:rsidR="00587444" w:rsidRPr="00587444" w:rsidRDefault="00587444" w:rsidP="00880B90">
      <w:pPr>
        <w:autoSpaceDN/>
        <w:jc w:val="both"/>
        <w:rPr>
          <w:rFonts w:ascii="Arial" w:hAnsi="Arial" w:cs="Arial"/>
          <w:sz w:val="20"/>
          <w:szCs w:val="20"/>
        </w:rPr>
      </w:pPr>
    </w:p>
    <w:p w14:paraId="585E9C79"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Collateral assessment is based on the quality of collateral and the assessed value as well as expected period of collection through collateral.</w:t>
      </w:r>
    </w:p>
    <w:p w14:paraId="40A5C5B1" w14:textId="77777777" w:rsidR="00587444" w:rsidRPr="00587444" w:rsidRDefault="00587444" w:rsidP="00880B90">
      <w:pPr>
        <w:autoSpaceDN/>
        <w:jc w:val="both"/>
        <w:rPr>
          <w:rFonts w:ascii="Arial" w:hAnsi="Arial" w:cs="Arial"/>
          <w:sz w:val="20"/>
          <w:szCs w:val="20"/>
        </w:rPr>
      </w:pPr>
    </w:p>
    <w:p w14:paraId="329DFB2E" w14:textId="77777777" w:rsidR="00587444" w:rsidRPr="00587444" w:rsidRDefault="00587444" w:rsidP="00880B90">
      <w:pPr>
        <w:autoSpaceDN/>
        <w:spacing w:line="300" w:lineRule="exact"/>
        <w:jc w:val="both"/>
        <w:rPr>
          <w:rFonts w:ascii="Arial" w:eastAsia="Calibri" w:hAnsi="Arial" w:cs="Arial"/>
          <w:b/>
          <w:sz w:val="20"/>
          <w:szCs w:val="20"/>
        </w:rPr>
      </w:pPr>
      <w:r w:rsidRPr="00587444">
        <w:rPr>
          <w:rFonts w:ascii="Arial" w:eastAsia="Calibri" w:hAnsi="Arial" w:cs="Arial"/>
          <w:b/>
          <w:sz w:val="20"/>
          <w:szCs w:val="20"/>
        </w:rPr>
        <w:t xml:space="preserve">31.3.2.1. </w:t>
      </w:r>
      <w:r w:rsidRPr="00587444">
        <w:rPr>
          <w:rFonts w:ascii="Arial" w:eastAsia="Calibri" w:hAnsi="Arial" w:cs="Arial"/>
          <w:b/>
          <w:bCs/>
          <w:sz w:val="20"/>
          <w:szCs w:val="20"/>
        </w:rPr>
        <w:t xml:space="preserve">Definition of default status and exit from default status </w:t>
      </w:r>
      <w:r w:rsidRPr="00587444">
        <w:rPr>
          <w:rFonts w:ascii="Arial" w:eastAsia="Calibri" w:hAnsi="Arial" w:cs="Arial"/>
          <w:b/>
          <w:sz w:val="20"/>
          <w:szCs w:val="20"/>
        </w:rPr>
        <w:t xml:space="preserve"> </w:t>
      </w:r>
    </w:p>
    <w:p w14:paraId="71B9F26B" w14:textId="77777777" w:rsidR="00587444" w:rsidRPr="00587444" w:rsidRDefault="00587444" w:rsidP="00880B90">
      <w:pPr>
        <w:autoSpaceDN/>
        <w:jc w:val="both"/>
        <w:rPr>
          <w:rFonts w:ascii="Arial" w:hAnsi="Arial" w:cs="Arial"/>
          <w:sz w:val="20"/>
          <w:szCs w:val="20"/>
        </w:rPr>
      </w:pPr>
    </w:p>
    <w:p w14:paraId="0595E37E" w14:textId="77777777" w:rsidR="00587444" w:rsidRPr="00587444" w:rsidRDefault="00587444" w:rsidP="00880B90">
      <w:pPr>
        <w:autoSpaceDN/>
        <w:jc w:val="both"/>
        <w:rPr>
          <w:rFonts w:ascii="Arial" w:hAnsi="Arial" w:cs="Arial"/>
          <w:bCs/>
          <w:sz w:val="20"/>
          <w:szCs w:val="20"/>
        </w:rPr>
      </w:pPr>
      <w:bookmarkStart w:id="1048" w:name="_Hlk518470031"/>
      <w:r w:rsidRPr="00587444">
        <w:rPr>
          <w:rFonts w:ascii="Arial" w:hAnsi="Arial" w:cs="Arial"/>
          <w:sz w:val="20"/>
          <w:szCs w:val="20"/>
        </w:rPr>
        <w:t>Default status of an individual client occurs when one or both of the following conditions are met:</w:t>
      </w:r>
    </w:p>
    <w:p w14:paraId="62450C8C" w14:textId="77777777" w:rsidR="00587444" w:rsidRPr="00587444" w:rsidRDefault="00587444" w:rsidP="00880B90">
      <w:pPr>
        <w:numPr>
          <w:ilvl w:val="0"/>
          <w:numId w:val="45"/>
        </w:numPr>
        <w:autoSpaceDN/>
        <w:jc w:val="both"/>
        <w:rPr>
          <w:rFonts w:ascii="Arial" w:hAnsi="Arial" w:cs="Arial"/>
          <w:bCs/>
          <w:sz w:val="20"/>
          <w:szCs w:val="20"/>
        </w:rPr>
      </w:pPr>
      <w:r w:rsidRPr="00587444">
        <w:rPr>
          <w:rFonts w:ascii="Arial" w:hAnsi="Arial" w:cs="Arial"/>
          <w:sz w:val="20"/>
          <w:szCs w:val="20"/>
        </w:rPr>
        <w:t>it is considered probable that client will not settle its obligations towards HBOR entirely without taking into account the possibility of collection through collateral activation,</w:t>
      </w:r>
    </w:p>
    <w:p w14:paraId="0DFF4468" w14:textId="77777777" w:rsidR="00587444" w:rsidRPr="00587444" w:rsidRDefault="00587444" w:rsidP="00880B90">
      <w:pPr>
        <w:numPr>
          <w:ilvl w:val="0"/>
          <w:numId w:val="45"/>
        </w:numPr>
        <w:autoSpaceDN/>
        <w:jc w:val="both"/>
        <w:rPr>
          <w:rFonts w:ascii="Arial" w:hAnsi="Arial" w:cs="Arial"/>
          <w:bCs/>
          <w:sz w:val="20"/>
          <w:szCs w:val="20"/>
        </w:rPr>
      </w:pPr>
      <w:r w:rsidRPr="00587444">
        <w:rPr>
          <w:rFonts w:ascii="Arial" w:hAnsi="Arial" w:cs="Arial"/>
          <w:sz w:val="20"/>
          <w:szCs w:val="20"/>
        </w:rPr>
        <w:t xml:space="preserve">clients </w:t>
      </w:r>
      <w:proofErr w:type="gramStart"/>
      <w:r w:rsidRPr="00587444">
        <w:rPr>
          <w:rFonts w:ascii="Arial" w:hAnsi="Arial" w:cs="Arial"/>
          <w:sz w:val="20"/>
          <w:szCs w:val="20"/>
        </w:rPr>
        <w:t>is</w:t>
      </w:r>
      <w:proofErr w:type="gramEnd"/>
      <w:r w:rsidRPr="00587444">
        <w:rPr>
          <w:rFonts w:ascii="Arial" w:hAnsi="Arial" w:cs="Arial"/>
          <w:sz w:val="20"/>
          <w:szCs w:val="20"/>
        </w:rPr>
        <w:t xml:space="preserve"> more than 90 days overdue in settling </w:t>
      </w:r>
      <w:proofErr w:type="gramStart"/>
      <w:r w:rsidRPr="00587444">
        <w:rPr>
          <w:rFonts w:ascii="Arial" w:hAnsi="Arial" w:cs="Arial"/>
          <w:sz w:val="20"/>
          <w:szCs w:val="20"/>
        </w:rPr>
        <w:t>its</w:t>
      </w:r>
      <w:proofErr w:type="gramEnd"/>
      <w:r w:rsidRPr="00587444">
        <w:rPr>
          <w:rFonts w:ascii="Arial" w:hAnsi="Arial" w:cs="Arial"/>
          <w:sz w:val="20"/>
          <w:szCs w:val="20"/>
        </w:rPr>
        <w:t xml:space="preserve"> due obligation under any significant loan liability. The significance threshold equals HRK 1,750 and is calculated on the client level by adding due obligations under all client placements.</w:t>
      </w:r>
    </w:p>
    <w:p w14:paraId="14F012B0" w14:textId="77777777" w:rsidR="00587444" w:rsidRPr="00587444" w:rsidRDefault="00587444" w:rsidP="00880B90">
      <w:pPr>
        <w:autoSpaceDN/>
        <w:jc w:val="both"/>
        <w:rPr>
          <w:rFonts w:ascii="Arial" w:hAnsi="Arial" w:cs="Arial"/>
          <w:sz w:val="20"/>
          <w:szCs w:val="20"/>
        </w:rPr>
      </w:pPr>
    </w:p>
    <w:p w14:paraId="5909B9A9" w14:textId="77777777" w:rsidR="00587444" w:rsidRPr="00587444" w:rsidRDefault="00587444" w:rsidP="00880B90">
      <w:pPr>
        <w:autoSpaceDN/>
        <w:jc w:val="both"/>
        <w:rPr>
          <w:rFonts w:ascii="Arial" w:hAnsi="Arial" w:cs="Arial"/>
          <w:bCs/>
          <w:sz w:val="20"/>
          <w:szCs w:val="20"/>
        </w:rPr>
      </w:pPr>
      <w:r w:rsidRPr="00587444">
        <w:rPr>
          <w:rFonts w:ascii="Arial" w:hAnsi="Arial" w:cs="Arial"/>
          <w:bCs/>
          <w:sz w:val="20"/>
          <w:szCs w:val="20"/>
        </w:rPr>
        <w:t>The materiality threshold is HRK 750 for citizens, and HRK 3,750 for other clients, and is calculated at the client level by summing up due liabilities for all client placements.</w:t>
      </w:r>
    </w:p>
    <w:p w14:paraId="65246C6C" w14:textId="77777777" w:rsidR="00587444" w:rsidRPr="00587444" w:rsidRDefault="00587444" w:rsidP="00880B90">
      <w:pPr>
        <w:autoSpaceDN/>
        <w:jc w:val="both"/>
        <w:rPr>
          <w:rFonts w:ascii="Arial" w:hAnsi="Arial" w:cs="Arial"/>
          <w:sz w:val="20"/>
          <w:szCs w:val="20"/>
        </w:rPr>
      </w:pPr>
    </w:p>
    <w:p w14:paraId="416057E1"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When assessing the probability of a debtor not settling its obligations entirely, the following elements are considered:</w:t>
      </w:r>
    </w:p>
    <w:p w14:paraId="28183B1D" w14:textId="77777777" w:rsidR="00587444" w:rsidRPr="00587444" w:rsidRDefault="00587444" w:rsidP="00880B90">
      <w:pPr>
        <w:numPr>
          <w:ilvl w:val="0"/>
          <w:numId w:val="46"/>
        </w:numPr>
        <w:autoSpaceDN/>
        <w:jc w:val="both"/>
        <w:rPr>
          <w:rFonts w:ascii="Arial" w:hAnsi="Arial" w:cs="Arial"/>
          <w:bCs/>
          <w:sz w:val="20"/>
          <w:szCs w:val="20"/>
        </w:rPr>
      </w:pPr>
      <w:proofErr w:type="spellStart"/>
      <w:r w:rsidRPr="00587444">
        <w:rPr>
          <w:rFonts w:ascii="Arial" w:hAnsi="Arial" w:cs="Arial"/>
          <w:sz w:val="20"/>
          <w:szCs w:val="20"/>
        </w:rPr>
        <w:t>recognised</w:t>
      </w:r>
      <w:proofErr w:type="spellEnd"/>
      <w:r w:rsidRPr="00587444">
        <w:rPr>
          <w:rFonts w:ascii="Arial" w:hAnsi="Arial" w:cs="Arial"/>
          <w:sz w:val="20"/>
          <w:szCs w:val="20"/>
        </w:rPr>
        <w:t xml:space="preserve"> impairment for credit losses due to identified significant deterioration in credit quality of debtor, </w:t>
      </w:r>
    </w:p>
    <w:p w14:paraId="44A0A259" w14:textId="77777777" w:rsidR="00587444" w:rsidRPr="00587444" w:rsidRDefault="00587444" w:rsidP="00880B90">
      <w:pPr>
        <w:numPr>
          <w:ilvl w:val="0"/>
          <w:numId w:val="46"/>
        </w:numPr>
        <w:autoSpaceDN/>
        <w:jc w:val="both"/>
        <w:rPr>
          <w:rFonts w:ascii="Arial" w:hAnsi="Arial" w:cs="Arial"/>
          <w:bCs/>
          <w:sz w:val="20"/>
          <w:szCs w:val="20"/>
        </w:rPr>
      </w:pPr>
      <w:r w:rsidRPr="00587444">
        <w:rPr>
          <w:rFonts w:ascii="Arial" w:hAnsi="Arial" w:cs="Arial"/>
          <w:sz w:val="20"/>
          <w:szCs w:val="20"/>
        </w:rPr>
        <w:t>selling of credit exposure at a considerable economic loss,</w:t>
      </w:r>
    </w:p>
    <w:p w14:paraId="61810FDD" w14:textId="77777777" w:rsidR="00587444" w:rsidRPr="00587444" w:rsidRDefault="00587444" w:rsidP="00880B90">
      <w:pPr>
        <w:numPr>
          <w:ilvl w:val="0"/>
          <w:numId w:val="46"/>
        </w:numPr>
        <w:autoSpaceDN/>
        <w:jc w:val="both"/>
        <w:rPr>
          <w:rFonts w:ascii="Arial" w:hAnsi="Arial" w:cs="Arial"/>
          <w:bCs/>
          <w:sz w:val="20"/>
          <w:szCs w:val="20"/>
        </w:rPr>
      </w:pPr>
      <w:r w:rsidRPr="00587444">
        <w:rPr>
          <w:rFonts w:ascii="Arial" w:hAnsi="Arial" w:cs="Arial"/>
          <w:sz w:val="20"/>
          <w:szCs w:val="20"/>
        </w:rPr>
        <w:t>rescheduling or restructuring of credit exposure owing to financial difficulties of debtor,</w:t>
      </w:r>
    </w:p>
    <w:p w14:paraId="2F4A81D4" w14:textId="77777777" w:rsidR="00587444" w:rsidRPr="00587444" w:rsidRDefault="00587444" w:rsidP="00880B90">
      <w:pPr>
        <w:numPr>
          <w:ilvl w:val="0"/>
          <w:numId w:val="46"/>
        </w:numPr>
        <w:autoSpaceDN/>
        <w:jc w:val="both"/>
        <w:rPr>
          <w:rFonts w:ascii="Arial" w:hAnsi="Arial" w:cs="Arial"/>
          <w:bCs/>
          <w:sz w:val="20"/>
          <w:szCs w:val="20"/>
        </w:rPr>
      </w:pPr>
      <w:r w:rsidRPr="00587444">
        <w:rPr>
          <w:rFonts w:ascii="Arial" w:hAnsi="Arial" w:cs="Arial"/>
          <w:sz w:val="20"/>
          <w:szCs w:val="20"/>
        </w:rPr>
        <w:t>bankruptcy or similar proceedings (pre-bankruptcy settlement, liquidation) against debtor,</w:t>
      </w:r>
    </w:p>
    <w:p w14:paraId="5863751C" w14:textId="77777777" w:rsidR="00587444" w:rsidRPr="00587444" w:rsidRDefault="00587444" w:rsidP="00880B90">
      <w:pPr>
        <w:numPr>
          <w:ilvl w:val="0"/>
          <w:numId w:val="46"/>
        </w:numPr>
        <w:autoSpaceDN/>
        <w:jc w:val="both"/>
        <w:rPr>
          <w:rFonts w:ascii="Arial" w:hAnsi="Arial" w:cs="Arial"/>
          <w:bCs/>
          <w:sz w:val="20"/>
          <w:szCs w:val="20"/>
        </w:rPr>
      </w:pPr>
      <w:r w:rsidRPr="00587444">
        <w:rPr>
          <w:rFonts w:ascii="Arial" w:hAnsi="Arial" w:cs="Arial"/>
          <w:sz w:val="20"/>
          <w:szCs w:val="20"/>
        </w:rPr>
        <w:t>appointment of extraordinary administration, revoke of operating license, application of early intervention measures,</w:t>
      </w:r>
    </w:p>
    <w:p w14:paraId="7A909DDE" w14:textId="77777777" w:rsidR="00587444" w:rsidRPr="00587444" w:rsidRDefault="00587444" w:rsidP="00880B90">
      <w:pPr>
        <w:numPr>
          <w:ilvl w:val="0"/>
          <w:numId w:val="46"/>
        </w:numPr>
        <w:autoSpaceDN/>
        <w:jc w:val="both"/>
        <w:rPr>
          <w:rFonts w:ascii="Arial" w:hAnsi="Arial" w:cs="Arial"/>
          <w:sz w:val="20"/>
          <w:szCs w:val="20"/>
        </w:rPr>
      </w:pPr>
      <w:r w:rsidRPr="00587444">
        <w:rPr>
          <w:rFonts w:ascii="Arial" w:hAnsi="Arial" w:cs="Arial"/>
          <w:sz w:val="20"/>
          <w:szCs w:val="20"/>
        </w:rPr>
        <w:t>cancellation of contract,</w:t>
      </w:r>
    </w:p>
    <w:p w14:paraId="190540AB" w14:textId="77777777" w:rsidR="00587444" w:rsidRPr="00587444" w:rsidRDefault="00587444" w:rsidP="00880B90">
      <w:pPr>
        <w:numPr>
          <w:ilvl w:val="0"/>
          <w:numId w:val="46"/>
        </w:numPr>
        <w:autoSpaceDN/>
        <w:jc w:val="both"/>
        <w:rPr>
          <w:rFonts w:ascii="Arial" w:hAnsi="Arial" w:cs="Arial"/>
          <w:sz w:val="20"/>
          <w:szCs w:val="20"/>
          <w:lang w:val="en-GB"/>
        </w:rPr>
      </w:pPr>
      <w:r w:rsidRPr="00587444">
        <w:rPr>
          <w:rFonts w:ascii="Arial" w:hAnsi="Arial" w:cs="Arial"/>
          <w:sz w:val="20"/>
          <w:szCs w:val="20"/>
          <w:lang w:val="en-GB"/>
        </w:rPr>
        <w:t>guarantee payment.</w:t>
      </w:r>
    </w:p>
    <w:p w14:paraId="798E8CB3" w14:textId="77777777" w:rsidR="00587444" w:rsidRPr="00587444" w:rsidRDefault="00587444" w:rsidP="00587444">
      <w:pPr>
        <w:suppressAutoHyphens w:val="0"/>
        <w:autoSpaceDN/>
        <w:ind w:left="720"/>
        <w:jc w:val="both"/>
        <w:rPr>
          <w:rFonts w:ascii="Arial" w:hAnsi="Arial" w:cs="Arial"/>
          <w:sz w:val="20"/>
          <w:szCs w:val="20"/>
        </w:rPr>
        <w:sectPr w:rsidR="00587444" w:rsidRPr="00587444" w:rsidSect="00DD69E7">
          <w:pgSz w:w="11906" w:h="16838" w:code="9"/>
          <w:pgMar w:top="1418" w:right="1418" w:bottom="595" w:left="1134" w:header="851" w:footer="851" w:gutter="0"/>
          <w:cols w:space="720"/>
          <w:noEndnote/>
        </w:sectPr>
      </w:pPr>
    </w:p>
    <w:p w14:paraId="6CB8B226" w14:textId="77777777" w:rsidR="00587444" w:rsidRPr="00587444" w:rsidRDefault="00587444" w:rsidP="00587444">
      <w:pPr>
        <w:suppressAutoHyphens w:val="0"/>
        <w:autoSpaceDN/>
        <w:ind w:left="720"/>
        <w:jc w:val="both"/>
        <w:rPr>
          <w:rFonts w:ascii="Arial" w:hAnsi="Arial" w:cs="Arial"/>
          <w:sz w:val="20"/>
          <w:szCs w:val="20"/>
        </w:rPr>
      </w:pPr>
    </w:p>
    <w:p w14:paraId="04975737"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3CF992C0" w14:textId="77777777" w:rsidR="00587444" w:rsidRPr="00587444" w:rsidRDefault="00587444" w:rsidP="00587444">
      <w:pPr>
        <w:keepNext/>
        <w:suppressAutoHyphens w:val="0"/>
        <w:autoSpaceDN/>
        <w:jc w:val="both"/>
        <w:rPr>
          <w:rFonts w:ascii="Arial" w:hAnsi="Arial" w:cs="Arial"/>
          <w:b/>
          <w:bCs/>
          <w:sz w:val="20"/>
          <w:szCs w:val="20"/>
        </w:rPr>
      </w:pPr>
    </w:p>
    <w:p w14:paraId="4D7FAB50"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35DBF48E" w14:textId="77777777" w:rsidR="00587444" w:rsidRPr="00587444" w:rsidRDefault="00587444" w:rsidP="00587444">
      <w:pPr>
        <w:keepNext/>
        <w:suppressAutoHyphens w:val="0"/>
        <w:autoSpaceDN/>
        <w:jc w:val="both"/>
        <w:rPr>
          <w:rFonts w:ascii="Arial" w:hAnsi="Arial" w:cs="Arial"/>
          <w:b/>
          <w:bCs/>
          <w:sz w:val="20"/>
          <w:szCs w:val="20"/>
        </w:rPr>
      </w:pPr>
    </w:p>
    <w:p w14:paraId="5241B2EB"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r w:rsidRPr="00587444">
        <w:rPr>
          <w:rFonts w:ascii="Arial" w:eastAsia="Calibri" w:hAnsi="Arial" w:cs="Arial"/>
          <w:b/>
          <w:sz w:val="20"/>
          <w:szCs w:val="20"/>
        </w:rPr>
        <w:t>31.3.2. Impairment (continued)</w:t>
      </w:r>
    </w:p>
    <w:p w14:paraId="3D79B837" w14:textId="77777777" w:rsidR="00587444" w:rsidRPr="00587444" w:rsidRDefault="00587444" w:rsidP="00587444">
      <w:pPr>
        <w:keepNext/>
        <w:suppressAutoHyphens w:val="0"/>
        <w:autoSpaceDN/>
        <w:jc w:val="both"/>
        <w:rPr>
          <w:rFonts w:ascii="Arial" w:hAnsi="Arial" w:cs="Arial"/>
          <w:b/>
          <w:bCs/>
          <w:sz w:val="20"/>
          <w:szCs w:val="20"/>
        </w:rPr>
      </w:pPr>
    </w:p>
    <w:p w14:paraId="019CDD77"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r w:rsidRPr="00587444">
        <w:rPr>
          <w:rFonts w:ascii="Arial" w:eastAsia="Calibri" w:hAnsi="Arial" w:cs="Arial"/>
          <w:b/>
          <w:sz w:val="20"/>
          <w:szCs w:val="20"/>
        </w:rPr>
        <w:t xml:space="preserve">31.3.2.1. </w:t>
      </w:r>
      <w:r w:rsidRPr="00587444">
        <w:rPr>
          <w:rFonts w:ascii="Arial" w:eastAsia="Calibri" w:hAnsi="Arial" w:cs="Arial"/>
          <w:b/>
          <w:bCs/>
          <w:sz w:val="20"/>
          <w:szCs w:val="20"/>
        </w:rPr>
        <w:t>Definition of default status and exit from default status (continued)</w:t>
      </w:r>
      <w:r w:rsidRPr="00587444">
        <w:rPr>
          <w:rFonts w:ascii="Arial" w:eastAsia="Calibri" w:hAnsi="Arial" w:cs="Arial"/>
          <w:b/>
          <w:sz w:val="20"/>
          <w:szCs w:val="20"/>
        </w:rPr>
        <w:t xml:space="preserve"> </w:t>
      </w:r>
    </w:p>
    <w:p w14:paraId="79E8DCA4"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p>
    <w:p w14:paraId="75658B8B"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When determining a default status, in addition to the aforementioned, the relations within a group of related entities are also considered if the default status has been established with regard to one of the debtors within the respective group of related entities that results in the spreading of the default status on other entities within the same group. </w:t>
      </w:r>
    </w:p>
    <w:p w14:paraId="53A74490" w14:textId="77777777" w:rsidR="00587444" w:rsidRPr="00587444" w:rsidRDefault="00587444" w:rsidP="00880B90">
      <w:pPr>
        <w:autoSpaceDN/>
        <w:jc w:val="both"/>
        <w:rPr>
          <w:rFonts w:ascii="Arial" w:hAnsi="Arial" w:cs="Arial"/>
          <w:sz w:val="20"/>
          <w:szCs w:val="20"/>
          <w:highlight w:val="yellow"/>
        </w:rPr>
      </w:pPr>
    </w:p>
    <w:p w14:paraId="52FE25E6"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All financial instruments of client in default status are classified to Stage 3.</w:t>
      </w:r>
    </w:p>
    <w:p w14:paraId="7B00BD5F" w14:textId="77777777" w:rsidR="00587444" w:rsidRPr="00587444" w:rsidRDefault="00587444" w:rsidP="00880B90">
      <w:pPr>
        <w:autoSpaceDN/>
        <w:jc w:val="both"/>
        <w:rPr>
          <w:rFonts w:ascii="Arial" w:hAnsi="Arial" w:cs="Arial"/>
          <w:sz w:val="20"/>
          <w:szCs w:val="20"/>
          <w:highlight w:val="yellow"/>
        </w:rPr>
      </w:pPr>
    </w:p>
    <w:p w14:paraId="666DD707"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Placements to clients in default status due to a material delay in the payment of obligations for more than 90 days can be classified to the rehabilitated category if 150 days have lapsed from the moment of non-existence of the default status trigger. During the 150-day trial period, client must not be more than 30 days overdue in the payment of obligations in a materially significant amount.</w:t>
      </w:r>
    </w:p>
    <w:p w14:paraId="1EDF0894" w14:textId="77777777" w:rsidR="00587444" w:rsidRPr="00587444" w:rsidRDefault="00587444" w:rsidP="00880B90">
      <w:pPr>
        <w:autoSpaceDN/>
        <w:jc w:val="both"/>
        <w:rPr>
          <w:rFonts w:ascii="Arial" w:hAnsi="Arial" w:cs="Arial"/>
          <w:sz w:val="20"/>
          <w:szCs w:val="20"/>
          <w:highlight w:val="yellow"/>
        </w:rPr>
      </w:pPr>
    </w:p>
    <w:p w14:paraId="6D58D1DB" w14:textId="77777777" w:rsidR="00587444" w:rsidRPr="00587444" w:rsidRDefault="00587444" w:rsidP="00880B90">
      <w:pPr>
        <w:autoSpaceDN/>
        <w:jc w:val="both"/>
        <w:rPr>
          <w:rFonts w:ascii="Arial" w:hAnsi="Arial" w:cs="Arial"/>
          <w:sz w:val="20"/>
          <w:szCs w:val="20"/>
          <w:highlight w:val="yellow"/>
        </w:rPr>
      </w:pPr>
      <w:r w:rsidRPr="00587444">
        <w:rPr>
          <w:rFonts w:ascii="Arial" w:hAnsi="Arial" w:cs="Arial"/>
          <w:sz w:val="20"/>
          <w:szCs w:val="20"/>
        </w:rPr>
        <w:t>After the lapse of 150 days, only those clients are considered to have been cured who are found not to be in financial difficulties. If there are signs of default status recurrence, the status is not changed until a genuine and permanent improvement in the credit quality of client.</w:t>
      </w:r>
    </w:p>
    <w:p w14:paraId="0377B254" w14:textId="77777777" w:rsidR="00587444" w:rsidRPr="00587444" w:rsidRDefault="00587444" w:rsidP="00880B90">
      <w:pPr>
        <w:autoSpaceDN/>
        <w:jc w:val="both"/>
        <w:rPr>
          <w:rFonts w:ascii="Arial" w:hAnsi="Arial" w:cs="Arial"/>
          <w:sz w:val="20"/>
          <w:szCs w:val="20"/>
        </w:rPr>
      </w:pPr>
    </w:p>
    <w:p w14:paraId="2200E60F"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Restructured exposures caused by financial difficulties and repayment problems can be classified as cured after the lapse of two years from the last occurrence of the following events:</w:t>
      </w:r>
    </w:p>
    <w:p w14:paraId="17868101" w14:textId="77777777" w:rsidR="00587444" w:rsidRPr="00587444" w:rsidRDefault="00587444" w:rsidP="00880B90">
      <w:pPr>
        <w:numPr>
          <w:ilvl w:val="0"/>
          <w:numId w:val="48"/>
        </w:numPr>
        <w:autoSpaceDN/>
        <w:jc w:val="both"/>
        <w:rPr>
          <w:rFonts w:ascii="Arial" w:hAnsi="Arial" w:cs="Arial"/>
          <w:bCs/>
          <w:sz w:val="20"/>
          <w:szCs w:val="20"/>
        </w:rPr>
      </w:pPr>
      <w:r w:rsidRPr="00587444">
        <w:rPr>
          <w:rFonts w:ascii="Arial" w:hAnsi="Arial" w:cs="Arial"/>
          <w:sz w:val="20"/>
          <w:szCs w:val="20"/>
        </w:rPr>
        <w:t>restructuring day,</w:t>
      </w:r>
    </w:p>
    <w:p w14:paraId="1E0FB5A4" w14:textId="77777777" w:rsidR="00587444" w:rsidRPr="00587444" w:rsidRDefault="00587444" w:rsidP="00880B90">
      <w:pPr>
        <w:numPr>
          <w:ilvl w:val="0"/>
          <w:numId w:val="48"/>
        </w:numPr>
        <w:autoSpaceDN/>
        <w:jc w:val="both"/>
        <w:rPr>
          <w:rFonts w:ascii="Arial" w:hAnsi="Arial" w:cs="Arial"/>
          <w:bCs/>
          <w:sz w:val="20"/>
          <w:szCs w:val="20"/>
        </w:rPr>
      </w:pPr>
      <w:r w:rsidRPr="00587444">
        <w:rPr>
          <w:rFonts w:ascii="Arial" w:hAnsi="Arial" w:cs="Arial"/>
          <w:sz w:val="20"/>
          <w:szCs w:val="20"/>
        </w:rPr>
        <w:t>default status establishment date,</w:t>
      </w:r>
    </w:p>
    <w:p w14:paraId="5BB829D8" w14:textId="77777777" w:rsidR="00587444" w:rsidRPr="00587444" w:rsidRDefault="00587444" w:rsidP="00880B90">
      <w:pPr>
        <w:numPr>
          <w:ilvl w:val="0"/>
          <w:numId w:val="48"/>
        </w:numPr>
        <w:autoSpaceDN/>
        <w:jc w:val="both"/>
        <w:rPr>
          <w:rFonts w:ascii="Arial" w:hAnsi="Arial" w:cs="Arial"/>
          <w:bCs/>
          <w:sz w:val="20"/>
          <w:szCs w:val="20"/>
        </w:rPr>
      </w:pPr>
      <w:r w:rsidRPr="00587444">
        <w:rPr>
          <w:rFonts w:ascii="Arial" w:hAnsi="Arial" w:cs="Arial"/>
          <w:sz w:val="20"/>
          <w:szCs w:val="20"/>
        </w:rPr>
        <w:t>grace period expiry if approved under the restructuring process.</w:t>
      </w:r>
    </w:p>
    <w:p w14:paraId="432A386F" w14:textId="77777777" w:rsidR="00587444" w:rsidRPr="00587444" w:rsidRDefault="00587444" w:rsidP="00880B90">
      <w:pPr>
        <w:autoSpaceDN/>
        <w:jc w:val="both"/>
        <w:rPr>
          <w:rFonts w:ascii="Arial" w:hAnsi="Arial" w:cs="Arial"/>
          <w:sz w:val="20"/>
          <w:szCs w:val="20"/>
          <w:highlight w:val="yellow"/>
        </w:rPr>
      </w:pPr>
      <w:bookmarkStart w:id="1049" w:name="_Hlk518470049"/>
      <w:bookmarkEnd w:id="1048"/>
    </w:p>
    <w:p w14:paraId="45C3C28E" w14:textId="36AE75D3"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During the two-year trial period, the exposures that meet all</w:t>
      </w:r>
      <w:r w:rsidR="00642AA5">
        <w:rPr>
          <w:rFonts w:ascii="Arial" w:hAnsi="Arial" w:cs="Arial"/>
          <w:sz w:val="20"/>
          <w:szCs w:val="20"/>
        </w:rPr>
        <w:t xml:space="preserve"> </w:t>
      </w:r>
      <w:r w:rsidRPr="00587444">
        <w:rPr>
          <w:rFonts w:ascii="Arial" w:hAnsi="Arial" w:cs="Arial"/>
          <w:sz w:val="20"/>
          <w:szCs w:val="20"/>
        </w:rPr>
        <w:t>of the following conditions can be classified to non-default status exposures:</w:t>
      </w:r>
    </w:p>
    <w:p w14:paraId="020B9F53" w14:textId="77777777" w:rsidR="00587444" w:rsidRPr="00587444" w:rsidRDefault="00587444" w:rsidP="00880B90">
      <w:pPr>
        <w:numPr>
          <w:ilvl w:val="0"/>
          <w:numId w:val="49"/>
        </w:numPr>
        <w:autoSpaceDN/>
        <w:jc w:val="both"/>
        <w:rPr>
          <w:rFonts w:ascii="Arial" w:hAnsi="Arial" w:cs="Arial"/>
          <w:bCs/>
          <w:sz w:val="20"/>
          <w:szCs w:val="20"/>
        </w:rPr>
      </w:pPr>
      <w:r w:rsidRPr="00587444">
        <w:rPr>
          <w:rFonts w:ascii="Arial" w:hAnsi="Arial" w:cs="Arial"/>
          <w:sz w:val="20"/>
          <w:szCs w:val="20"/>
        </w:rPr>
        <w:t>debtor has duly settled, upon maturity, at least the amount of restructured obligations in the amount of those due at the moment of the restructuring implementation,</w:t>
      </w:r>
    </w:p>
    <w:p w14:paraId="12EBEF8C" w14:textId="77777777" w:rsidR="00587444" w:rsidRPr="00587444" w:rsidRDefault="00587444" w:rsidP="00880B90">
      <w:pPr>
        <w:numPr>
          <w:ilvl w:val="0"/>
          <w:numId w:val="49"/>
        </w:numPr>
        <w:autoSpaceDN/>
        <w:jc w:val="both"/>
        <w:rPr>
          <w:rFonts w:ascii="Arial" w:hAnsi="Arial" w:cs="Arial"/>
          <w:bCs/>
          <w:sz w:val="20"/>
          <w:szCs w:val="20"/>
        </w:rPr>
      </w:pPr>
      <w:r w:rsidRPr="00587444">
        <w:rPr>
          <w:rFonts w:ascii="Arial" w:hAnsi="Arial" w:cs="Arial"/>
          <w:sz w:val="20"/>
          <w:szCs w:val="20"/>
        </w:rPr>
        <w:t>debtor has been regularly settling due obligations in accordance with the repayment schedule (or up to 30 days overdue),</w:t>
      </w:r>
    </w:p>
    <w:p w14:paraId="005190C7" w14:textId="77777777" w:rsidR="00587444" w:rsidRPr="00587444" w:rsidRDefault="00587444" w:rsidP="00880B90">
      <w:pPr>
        <w:numPr>
          <w:ilvl w:val="0"/>
          <w:numId w:val="49"/>
        </w:numPr>
        <w:autoSpaceDN/>
        <w:jc w:val="both"/>
        <w:rPr>
          <w:rFonts w:ascii="Arial" w:hAnsi="Arial" w:cs="Arial"/>
          <w:bCs/>
          <w:sz w:val="20"/>
          <w:szCs w:val="20"/>
        </w:rPr>
      </w:pPr>
      <w:r w:rsidRPr="00587444">
        <w:rPr>
          <w:rFonts w:ascii="Arial" w:hAnsi="Arial" w:cs="Arial"/>
          <w:sz w:val="20"/>
          <w:szCs w:val="20"/>
        </w:rPr>
        <w:t>default status is not probable to occur,</w:t>
      </w:r>
    </w:p>
    <w:p w14:paraId="542BCE46" w14:textId="77777777" w:rsidR="00587444" w:rsidRPr="00587444" w:rsidRDefault="00587444" w:rsidP="00880B90">
      <w:pPr>
        <w:numPr>
          <w:ilvl w:val="0"/>
          <w:numId w:val="49"/>
        </w:numPr>
        <w:autoSpaceDN/>
        <w:jc w:val="both"/>
        <w:rPr>
          <w:rFonts w:ascii="Arial" w:hAnsi="Arial" w:cs="Arial"/>
          <w:bCs/>
          <w:sz w:val="20"/>
          <w:szCs w:val="20"/>
        </w:rPr>
      </w:pPr>
      <w:r w:rsidRPr="00587444">
        <w:rPr>
          <w:rFonts w:ascii="Arial" w:hAnsi="Arial" w:cs="Arial"/>
          <w:sz w:val="20"/>
          <w:szCs w:val="20"/>
        </w:rPr>
        <w:t>there are no overdue obligations after restructuring,</w:t>
      </w:r>
    </w:p>
    <w:p w14:paraId="2F95452C" w14:textId="77777777" w:rsidR="00587444" w:rsidRPr="00587444" w:rsidRDefault="00587444" w:rsidP="00880B90">
      <w:pPr>
        <w:numPr>
          <w:ilvl w:val="0"/>
          <w:numId w:val="49"/>
        </w:numPr>
        <w:autoSpaceDN/>
        <w:jc w:val="both"/>
        <w:rPr>
          <w:rFonts w:ascii="Arial" w:hAnsi="Arial" w:cs="Arial"/>
          <w:bCs/>
          <w:sz w:val="20"/>
          <w:szCs w:val="20"/>
        </w:rPr>
      </w:pPr>
      <w:r w:rsidRPr="00587444">
        <w:rPr>
          <w:rFonts w:ascii="Arial" w:hAnsi="Arial" w:cs="Arial"/>
          <w:sz w:val="20"/>
          <w:szCs w:val="20"/>
        </w:rPr>
        <w:t xml:space="preserve">there is no doubt that the debtor will continue to settle its obligations upon maturity. </w:t>
      </w:r>
    </w:p>
    <w:p w14:paraId="0C8B86DF" w14:textId="77777777" w:rsidR="00587444" w:rsidRPr="00587444" w:rsidRDefault="00587444" w:rsidP="00880B90">
      <w:pPr>
        <w:autoSpaceDN/>
        <w:jc w:val="both"/>
        <w:rPr>
          <w:rFonts w:ascii="Arial" w:hAnsi="Arial" w:cs="Arial"/>
          <w:bCs/>
          <w:sz w:val="20"/>
          <w:szCs w:val="20"/>
          <w:highlight w:val="yellow"/>
        </w:rPr>
      </w:pPr>
      <w:r w:rsidRPr="00587444">
        <w:rPr>
          <w:rFonts w:ascii="Arial" w:hAnsi="Arial" w:cs="Arial"/>
          <w:sz w:val="20"/>
          <w:szCs w:val="20"/>
        </w:rPr>
        <w:t>All of the above conditions have to be satisfied also for the new placements to the same client. Only the placements to client that is not in financial difficulties can be reclassified to the cured category.</w:t>
      </w:r>
    </w:p>
    <w:p w14:paraId="5FC1E357" w14:textId="77777777" w:rsidR="00587444" w:rsidRPr="00587444" w:rsidRDefault="00587444" w:rsidP="00880B90">
      <w:pPr>
        <w:autoSpaceDN/>
        <w:jc w:val="both"/>
        <w:rPr>
          <w:rFonts w:ascii="Arial" w:hAnsi="Arial" w:cs="Arial"/>
          <w:sz w:val="20"/>
          <w:szCs w:val="20"/>
          <w:highlight w:val="yellow"/>
        </w:rPr>
      </w:pPr>
    </w:p>
    <w:p w14:paraId="2C3B61A4" w14:textId="567D0E03" w:rsidR="00587444" w:rsidRPr="00587444" w:rsidRDefault="00587444" w:rsidP="00880B90">
      <w:pPr>
        <w:autoSpaceDN/>
        <w:jc w:val="both"/>
        <w:rPr>
          <w:rFonts w:ascii="Arial" w:eastAsia="Calibri" w:hAnsi="Arial" w:cs="Arial"/>
          <w:color w:val="000000"/>
          <w:sz w:val="20"/>
          <w:szCs w:val="20"/>
          <w:lang w:val="en-GB"/>
        </w:rPr>
      </w:pPr>
      <w:r w:rsidRPr="00587444">
        <w:rPr>
          <w:rFonts w:ascii="Arial" w:eastAsia="Calibri" w:hAnsi="Arial" w:cs="Arial"/>
          <w:color w:val="000000"/>
          <w:sz w:val="20"/>
          <w:szCs w:val="20"/>
          <w:lang w:val="en-GB"/>
        </w:rPr>
        <w:t xml:space="preserve">Financial instruments of rehabilitated/recovered clients are classified into performing exposures after all conditions of the probation period have been met. All placements of clients after forbearance /restructuring are considered forborne for two years from the moment when classified as performing exposures, and in that period, they are classified as </w:t>
      </w:r>
      <w:r w:rsidR="00642AA5">
        <w:rPr>
          <w:rFonts w:ascii="Arial" w:eastAsia="Calibri" w:hAnsi="Arial" w:cs="Arial"/>
          <w:color w:val="000000"/>
          <w:sz w:val="20"/>
          <w:szCs w:val="20"/>
          <w:lang w:val="en-GB"/>
        </w:rPr>
        <w:t>Stage</w:t>
      </w:r>
      <w:r w:rsidRPr="00587444">
        <w:rPr>
          <w:rFonts w:ascii="Arial" w:eastAsia="Calibri" w:hAnsi="Arial" w:cs="Arial"/>
          <w:color w:val="000000"/>
          <w:sz w:val="20"/>
          <w:szCs w:val="20"/>
          <w:lang w:val="en-GB"/>
        </w:rPr>
        <w:t xml:space="preserve"> 2.</w:t>
      </w:r>
    </w:p>
    <w:p w14:paraId="7D1D8CAB" w14:textId="77777777" w:rsidR="00587444" w:rsidRPr="00587444" w:rsidRDefault="00587444" w:rsidP="00880B90">
      <w:pPr>
        <w:autoSpaceDN/>
        <w:jc w:val="both"/>
        <w:rPr>
          <w:rFonts w:ascii="Arial" w:eastAsia="Calibri" w:hAnsi="Arial" w:cs="Arial"/>
          <w:color w:val="000000"/>
          <w:sz w:val="20"/>
          <w:szCs w:val="20"/>
          <w:lang w:val="en-GB"/>
        </w:rPr>
      </w:pPr>
    </w:p>
    <w:p w14:paraId="71AA6FE2" w14:textId="6B5F050A" w:rsidR="00587444" w:rsidRPr="00587444" w:rsidRDefault="00587444" w:rsidP="00880B90">
      <w:pPr>
        <w:autoSpaceDN/>
        <w:jc w:val="both"/>
        <w:rPr>
          <w:rFonts w:ascii="Arial" w:eastAsia="Calibri" w:hAnsi="Arial" w:cs="Arial"/>
          <w:color w:val="000000"/>
          <w:sz w:val="20"/>
          <w:szCs w:val="20"/>
          <w:lang w:val="en-GB"/>
        </w:rPr>
      </w:pPr>
      <w:r w:rsidRPr="00587444">
        <w:rPr>
          <w:rFonts w:ascii="Arial" w:eastAsia="Calibri" w:hAnsi="Arial" w:cs="Arial"/>
          <w:color w:val="000000"/>
          <w:sz w:val="20"/>
          <w:szCs w:val="20"/>
          <w:lang w:val="en-GB"/>
        </w:rPr>
        <w:t xml:space="preserve">All clients that were not approved concessions due to financial difficulties, and HBOR’s exposure to them ceased to be non-performing, are classified as </w:t>
      </w:r>
      <w:r w:rsidR="00642AA5">
        <w:rPr>
          <w:rFonts w:ascii="Arial" w:eastAsia="Calibri" w:hAnsi="Arial" w:cs="Arial"/>
          <w:color w:val="000000"/>
          <w:sz w:val="20"/>
          <w:szCs w:val="20"/>
          <w:lang w:val="en-GB"/>
        </w:rPr>
        <w:t>Stage</w:t>
      </w:r>
      <w:r w:rsidRPr="00587444">
        <w:rPr>
          <w:rFonts w:ascii="Arial" w:eastAsia="Calibri" w:hAnsi="Arial" w:cs="Arial"/>
          <w:color w:val="000000"/>
          <w:sz w:val="20"/>
          <w:szCs w:val="20"/>
          <w:lang w:val="en-GB"/>
        </w:rPr>
        <w:t xml:space="preserve"> 1 after the recovery.</w:t>
      </w:r>
    </w:p>
    <w:p w14:paraId="3293235E" w14:textId="77777777" w:rsidR="00587444" w:rsidRPr="00587444" w:rsidRDefault="00587444" w:rsidP="00587444">
      <w:pPr>
        <w:suppressAutoHyphens w:val="0"/>
        <w:autoSpaceDN/>
        <w:jc w:val="both"/>
        <w:rPr>
          <w:rFonts w:ascii="Arial" w:hAnsi="Arial" w:cs="Arial"/>
          <w:sz w:val="20"/>
          <w:szCs w:val="20"/>
        </w:rPr>
        <w:sectPr w:rsidR="00587444" w:rsidRPr="00587444" w:rsidSect="00DD69E7">
          <w:pgSz w:w="11906" w:h="16838" w:code="9"/>
          <w:pgMar w:top="1418" w:right="1418" w:bottom="595" w:left="1134" w:header="851" w:footer="851" w:gutter="0"/>
          <w:cols w:space="720"/>
          <w:noEndnote/>
        </w:sectPr>
      </w:pPr>
    </w:p>
    <w:p w14:paraId="51C0A723" w14:textId="77777777" w:rsidR="00587444" w:rsidRPr="00587444" w:rsidRDefault="00587444" w:rsidP="00587444">
      <w:pPr>
        <w:suppressAutoHyphens w:val="0"/>
        <w:autoSpaceDN/>
        <w:jc w:val="both"/>
        <w:rPr>
          <w:rFonts w:ascii="Arial" w:hAnsi="Arial" w:cs="Arial"/>
          <w:sz w:val="20"/>
          <w:szCs w:val="20"/>
        </w:rPr>
      </w:pPr>
    </w:p>
    <w:p w14:paraId="66D8C952"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25B0464D" w14:textId="77777777" w:rsidR="00587444" w:rsidRPr="00587444" w:rsidRDefault="00587444" w:rsidP="00587444">
      <w:pPr>
        <w:keepNext/>
        <w:suppressAutoHyphens w:val="0"/>
        <w:autoSpaceDN/>
        <w:jc w:val="both"/>
        <w:rPr>
          <w:rFonts w:ascii="Arial" w:hAnsi="Arial" w:cs="Arial"/>
          <w:b/>
          <w:bCs/>
          <w:sz w:val="20"/>
          <w:szCs w:val="20"/>
        </w:rPr>
      </w:pPr>
    </w:p>
    <w:p w14:paraId="7685C6F2"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052E1CFE" w14:textId="77777777" w:rsidR="00587444" w:rsidRPr="00587444" w:rsidRDefault="00587444" w:rsidP="00587444">
      <w:pPr>
        <w:keepNext/>
        <w:suppressAutoHyphens w:val="0"/>
        <w:autoSpaceDN/>
        <w:jc w:val="both"/>
        <w:rPr>
          <w:rFonts w:ascii="Arial" w:hAnsi="Arial" w:cs="Arial"/>
          <w:b/>
          <w:bCs/>
          <w:sz w:val="20"/>
          <w:szCs w:val="20"/>
        </w:rPr>
      </w:pPr>
    </w:p>
    <w:p w14:paraId="551ADF1D"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r w:rsidRPr="00587444">
        <w:rPr>
          <w:rFonts w:ascii="Arial" w:eastAsia="Calibri" w:hAnsi="Arial" w:cs="Arial"/>
          <w:b/>
          <w:sz w:val="20"/>
          <w:szCs w:val="20"/>
        </w:rPr>
        <w:t>31.3.2. Impairment (continued)</w:t>
      </w:r>
    </w:p>
    <w:p w14:paraId="02EE4723" w14:textId="77777777" w:rsidR="00587444" w:rsidRPr="00587444" w:rsidRDefault="00587444" w:rsidP="00587444">
      <w:pPr>
        <w:suppressAutoHyphens w:val="0"/>
        <w:autoSpaceDN/>
        <w:rPr>
          <w:rFonts w:ascii="Arial" w:eastAsia="Calibri" w:hAnsi="Arial" w:cs="Arial"/>
          <w:b/>
          <w:bCs/>
          <w:sz w:val="20"/>
          <w:szCs w:val="20"/>
        </w:rPr>
      </w:pPr>
    </w:p>
    <w:p w14:paraId="0A2BB6E6" w14:textId="77777777" w:rsidR="00587444" w:rsidRPr="00587444" w:rsidRDefault="00587444" w:rsidP="00587444">
      <w:pPr>
        <w:suppressAutoHyphens w:val="0"/>
        <w:autoSpaceDN/>
        <w:rPr>
          <w:rFonts w:ascii="Arial" w:eastAsia="Calibri" w:hAnsi="Arial" w:cs="Arial"/>
          <w:b/>
          <w:sz w:val="20"/>
          <w:szCs w:val="20"/>
        </w:rPr>
      </w:pPr>
      <w:r w:rsidRPr="00587444">
        <w:rPr>
          <w:rFonts w:ascii="Arial" w:eastAsia="Calibri" w:hAnsi="Arial" w:cs="Arial"/>
          <w:b/>
          <w:bCs/>
          <w:sz w:val="20"/>
          <w:szCs w:val="20"/>
        </w:rPr>
        <w:t xml:space="preserve">31.3.2.2. </w:t>
      </w:r>
      <w:r w:rsidRPr="00587444">
        <w:rPr>
          <w:rFonts w:ascii="Arial" w:eastAsia="Calibri" w:hAnsi="Arial" w:cs="Arial"/>
          <w:b/>
          <w:sz w:val="20"/>
          <w:szCs w:val="20"/>
        </w:rPr>
        <w:t>Bank's procedure of internal rating and probability of default (PD) assessment</w:t>
      </w:r>
    </w:p>
    <w:p w14:paraId="4A145D57" w14:textId="77777777" w:rsidR="00587444" w:rsidRPr="00587444" w:rsidRDefault="00587444" w:rsidP="00587444">
      <w:pPr>
        <w:suppressAutoHyphens w:val="0"/>
        <w:autoSpaceDN/>
        <w:jc w:val="both"/>
        <w:rPr>
          <w:rFonts w:ascii="Arial" w:hAnsi="Arial" w:cs="Arial"/>
          <w:b/>
          <w:bCs/>
          <w:sz w:val="20"/>
          <w:szCs w:val="20"/>
        </w:rPr>
      </w:pPr>
    </w:p>
    <w:p w14:paraId="0A4D9D87"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The approach used for the modelling of PD is based on TTC (Through-the-Cycle) migration matrices for exposures in homogenous groups of direct borrowers and others. Risk categories (bucket) have been identified, and the movements of exposures among the aforementioned categories are </w:t>
      </w:r>
      <w:proofErr w:type="spellStart"/>
      <w:r w:rsidRPr="00587444">
        <w:rPr>
          <w:rFonts w:ascii="Arial" w:hAnsi="Arial" w:cs="Arial"/>
          <w:sz w:val="20"/>
          <w:szCs w:val="20"/>
        </w:rPr>
        <w:t>analysed</w:t>
      </w:r>
      <w:proofErr w:type="spellEnd"/>
      <w:r w:rsidRPr="00587444">
        <w:rPr>
          <w:rFonts w:ascii="Arial" w:hAnsi="Arial" w:cs="Arial"/>
          <w:sz w:val="20"/>
          <w:szCs w:val="20"/>
        </w:rPr>
        <w:t>.</w:t>
      </w:r>
    </w:p>
    <w:p w14:paraId="5EA100CF" w14:textId="77777777" w:rsidR="00587444" w:rsidRPr="00587444" w:rsidRDefault="00587444" w:rsidP="00880B90">
      <w:pPr>
        <w:autoSpaceDN/>
        <w:jc w:val="both"/>
        <w:rPr>
          <w:rFonts w:ascii="Arial" w:hAnsi="Arial" w:cs="Arial"/>
          <w:sz w:val="20"/>
          <w:szCs w:val="20"/>
          <w:highlight w:val="yellow"/>
        </w:rPr>
      </w:pPr>
    </w:p>
    <w:p w14:paraId="61A8EAF3"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Risk categories for the aforementioned exposures are defined on the basis of the days overdue and the restructured exposure status. Before the modelling of PD, the data for the preceding relevant period are collected.</w:t>
      </w:r>
    </w:p>
    <w:p w14:paraId="284A5FBE" w14:textId="77777777" w:rsidR="00587444" w:rsidRPr="00587444" w:rsidRDefault="00587444" w:rsidP="00880B90">
      <w:pPr>
        <w:autoSpaceDN/>
        <w:jc w:val="both"/>
        <w:rPr>
          <w:rFonts w:ascii="Arial" w:hAnsi="Arial" w:cs="Arial"/>
          <w:sz w:val="20"/>
          <w:szCs w:val="20"/>
          <w:highlight w:val="yellow"/>
        </w:rPr>
      </w:pPr>
    </w:p>
    <w:p w14:paraId="4847D257"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 xml:space="preserve">On the occasion of the modelling of PD, the movement of exposures among the following categories is </w:t>
      </w:r>
      <w:proofErr w:type="spellStart"/>
      <w:r w:rsidRPr="00587444">
        <w:rPr>
          <w:rFonts w:ascii="Arial" w:hAnsi="Arial" w:cs="Arial"/>
          <w:sz w:val="20"/>
          <w:szCs w:val="20"/>
        </w:rPr>
        <w:t>analysed</w:t>
      </w:r>
      <w:proofErr w:type="spellEnd"/>
      <w:r w:rsidRPr="00587444">
        <w:rPr>
          <w:rFonts w:ascii="Arial" w:hAnsi="Arial" w:cs="Arial"/>
          <w:sz w:val="20"/>
          <w:szCs w:val="20"/>
        </w:rPr>
        <w:t>:</w:t>
      </w:r>
    </w:p>
    <w:p w14:paraId="065D370A" w14:textId="77777777" w:rsidR="00587444" w:rsidRPr="00587444" w:rsidRDefault="00587444" w:rsidP="00880B90">
      <w:pPr>
        <w:numPr>
          <w:ilvl w:val="0"/>
          <w:numId w:val="50"/>
        </w:numPr>
        <w:autoSpaceDN/>
        <w:jc w:val="both"/>
        <w:rPr>
          <w:rFonts w:ascii="Arial" w:hAnsi="Arial" w:cs="Arial"/>
          <w:bCs/>
          <w:sz w:val="20"/>
          <w:szCs w:val="20"/>
        </w:rPr>
      </w:pPr>
      <w:r w:rsidRPr="00587444">
        <w:rPr>
          <w:rFonts w:ascii="Arial" w:hAnsi="Arial" w:cs="Arial"/>
          <w:sz w:val="20"/>
          <w:szCs w:val="20"/>
        </w:rPr>
        <w:t>from 0 to 30 days overdue – category 1,</w:t>
      </w:r>
    </w:p>
    <w:p w14:paraId="41152F88" w14:textId="77777777" w:rsidR="00587444" w:rsidRPr="00587444" w:rsidRDefault="00587444" w:rsidP="00880B90">
      <w:pPr>
        <w:numPr>
          <w:ilvl w:val="0"/>
          <w:numId w:val="50"/>
        </w:numPr>
        <w:autoSpaceDN/>
        <w:jc w:val="both"/>
        <w:rPr>
          <w:rFonts w:ascii="Arial" w:hAnsi="Arial" w:cs="Arial"/>
          <w:bCs/>
          <w:sz w:val="20"/>
          <w:szCs w:val="20"/>
        </w:rPr>
      </w:pPr>
      <w:r w:rsidRPr="00587444">
        <w:rPr>
          <w:rFonts w:ascii="Arial" w:hAnsi="Arial" w:cs="Arial"/>
          <w:sz w:val="20"/>
          <w:szCs w:val="20"/>
        </w:rPr>
        <w:t>from 31 to 90 days overdue – category 2,</w:t>
      </w:r>
    </w:p>
    <w:p w14:paraId="64CD5762" w14:textId="77777777" w:rsidR="00587444" w:rsidRPr="00587444" w:rsidRDefault="00587444" w:rsidP="00880B90">
      <w:pPr>
        <w:numPr>
          <w:ilvl w:val="0"/>
          <w:numId w:val="50"/>
        </w:numPr>
        <w:autoSpaceDN/>
        <w:jc w:val="both"/>
        <w:rPr>
          <w:rFonts w:ascii="Arial" w:hAnsi="Arial" w:cs="Arial"/>
          <w:bCs/>
          <w:sz w:val="20"/>
          <w:szCs w:val="20"/>
        </w:rPr>
      </w:pPr>
      <w:r w:rsidRPr="00587444">
        <w:rPr>
          <w:rFonts w:ascii="Arial" w:hAnsi="Arial" w:cs="Arial"/>
          <w:sz w:val="20"/>
          <w:szCs w:val="20"/>
        </w:rPr>
        <w:t>more than 90 days overdue and restructuring – default status event.</w:t>
      </w:r>
    </w:p>
    <w:p w14:paraId="349E48C8" w14:textId="77777777" w:rsidR="00587444" w:rsidRPr="00587444" w:rsidRDefault="00587444" w:rsidP="00880B90">
      <w:pPr>
        <w:autoSpaceDN/>
        <w:jc w:val="both"/>
        <w:rPr>
          <w:rFonts w:ascii="Arial" w:hAnsi="Arial" w:cs="Arial"/>
          <w:sz w:val="20"/>
          <w:szCs w:val="20"/>
          <w:highlight w:val="yellow"/>
        </w:rPr>
      </w:pPr>
    </w:p>
    <w:p w14:paraId="375AF600"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On the basis of the matrices of exposure movements from category to category, a PD 12-month value is calculated. PD marginal values are calculated by further multiplication of matrices and they are used for vector creation. PD borderline value vector is the basis for the calculation of a lifelong PD. The value of a lifelong PD depends on the tenor, i.e. the remaining period until maturity of individual exposure.</w:t>
      </w:r>
    </w:p>
    <w:p w14:paraId="379C3392" w14:textId="77777777" w:rsidR="00587444" w:rsidRPr="00587444" w:rsidRDefault="00587444" w:rsidP="00880B90">
      <w:pPr>
        <w:autoSpaceDN/>
        <w:jc w:val="both"/>
        <w:rPr>
          <w:rFonts w:ascii="Arial" w:hAnsi="Arial" w:cs="Arial"/>
          <w:sz w:val="20"/>
          <w:szCs w:val="20"/>
          <w:highlight w:val="yellow"/>
        </w:rPr>
      </w:pPr>
    </w:p>
    <w:p w14:paraId="7E732C25"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Approach based on external rating published by external credit rating agencies has been used for the calculation of PD for exposures from homogenous categories of financial institutions and central government and local and regional government.</w:t>
      </w:r>
    </w:p>
    <w:p w14:paraId="23718BEB" w14:textId="77777777" w:rsidR="00587444" w:rsidRPr="00587444" w:rsidRDefault="00587444" w:rsidP="00880B90">
      <w:pPr>
        <w:autoSpaceDN/>
        <w:jc w:val="both"/>
        <w:rPr>
          <w:rFonts w:ascii="Arial" w:hAnsi="Arial" w:cs="Arial"/>
          <w:sz w:val="20"/>
          <w:szCs w:val="20"/>
          <w:highlight w:val="yellow"/>
        </w:rPr>
      </w:pPr>
    </w:p>
    <w:p w14:paraId="56116F3E" w14:textId="77777777" w:rsidR="00587444" w:rsidRPr="00587444" w:rsidRDefault="00587444" w:rsidP="00880B90">
      <w:pPr>
        <w:autoSpaceDN/>
        <w:jc w:val="both"/>
        <w:rPr>
          <w:rFonts w:ascii="Arial" w:hAnsi="Arial" w:cs="Arial"/>
          <w:sz w:val="20"/>
          <w:szCs w:val="20"/>
        </w:rPr>
      </w:pPr>
      <w:bookmarkStart w:id="1050" w:name="_Hlk518470089"/>
      <w:bookmarkEnd w:id="1049"/>
      <w:r w:rsidRPr="00587444">
        <w:rPr>
          <w:rFonts w:ascii="Arial" w:hAnsi="Arial" w:cs="Arial"/>
          <w:sz w:val="20"/>
          <w:szCs w:val="20"/>
        </w:rPr>
        <w:t>For exposures to domestic financial institutions, owing to the fact that there is no external rating for all financial institutions in the Group portfolio, the existing internal ratings for domestic financial institutions have been mapped against the external rating, where a financial institution that has an external rating has been used as the mapping starting point, due to which the Group’s internal rating has been made equal to the rating of S&amp;P: "BBB+". In this way, the upper limit has been established for domestic financial institutions at the level of the government rating. Distribution of PD value for the other internal ratings is determined on the basis of the method of linear interpolation.</w:t>
      </w:r>
    </w:p>
    <w:p w14:paraId="75E57230" w14:textId="77777777" w:rsidR="00587444" w:rsidRPr="00587444" w:rsidRDefault="00587444" w:rsidP="00880B90">
      <w:pPr>
        <w:autoSpaceDN/>
        <w:jc w:val="both"/>
        <w:rPr>
          <w:rFonts w:ascii="Arial" w:hAnsi="Arial" w:cs="Arial"/>
          <w:sz w:val="20"/>
          <w:szCs w:val="20"/>
          <w:highlight w:val="yellow"/>
        </w:rPr>
      </w:pPr>
    </w:p>
    <w:p w14:paraId="7E5AA561"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Ratings of external credit rating agencies are used for exposures to foreign financial institutions and, therefore, the appropriate PD value from their matrices is used, and if non-existing, the internal rating is used, i.e. the rules are applied that are identical to those applied to domestic financial institutions.</w:t>
      </w:r>
    </w:p>
    <w:p w14:paraId="76876382" w14:textId="77777777" w:rsidR="00587444" w:rsidRPr="00587444" w:rsidRDefault="00587444" w:rsidP="00880B90">
      <w:pPr>
        <w:autoSpaceDN/>
        <w:jc w:val="both"/>
        <w:rPr>
          <w:rFonts w:ascii="Arial" w:hAnsi="Arial" w:cs="Arial"/>
          <w:sz w:val="20"/>
          <w:szCs w:val="20"/>
          <w:highlight w:val="yellow"/>
        </w:rPr>
      </w:pPr>
    </w:p>
    <w:p w14:paraId="43017A5F"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The value of 12-month PD is assessed by multiplying TTC matrix with itself. The value of lifelong PD is the cumulative value of marginal PD values or the sum of borderline PD values depending on the exposure tenor.</w:t>
      </w:r>
    </w:p>
    <w:p w14:paraId="2AC06A00" w14:textId="77777777" w:rsidR="00587444" w:rsidRPr="00587444" w:rsidRDefault="00587444" w:rsidP="00587444">
      <w:pPr>
        <w:suppressAutoHyphens w:val="0"/>
        <w:autoSpaceDN/>
        <w:jc w:val="both"/>
        <w:rPr>
          <w:rFonts w:ascii="Arial" w:hAnsi="Arial" w:cs="Arial"/>
          <w:b/>
          <w:bCs/>
          <w:sz w:val="20"/>
          <w:szCs w:val="20"/>
        </w:rPr>
        <w:sectPr w:rsidR="00587444" w:rsidRPr="00587444" w:rsidSect="00DD69E7">
          <w:pgSz w:w="11906" w:h="16838" w:code="9"/>
          <w:pgMar w:top="1418" w:right="1418" w:bottom="595" w:left="1134" w:header="851" w:footer="851" w:gutter="0"/>
          <w:cols w:space="720"/>
          <w:noEndnote/>
        </w:sectPr>
      </w:pPr>
    </w:p>
    <w:p w14:paraId="32AF5386" w14:textId="77777777" w:rsidR="00587444" w:rsidRPr="00587444" w:rsidRDefault="00587444" w:rsidP="00587444">
      <w:pPr>
        <w:suppressAutoHyphens w:val="0"/>
        <w:autoSpaceDN/>
        <w:jc w:val="both"/>
        <w:rPr>
          <w:rFonts w:ascii="Arial" w:hAnsi="Arial" w:cs="Arial"/>
          <w:b/>
          <w:bCs/>
          <w:sz w:val="20"/>
          <w:szCs w:val="20"/>
        </w:rPr>
      </w:pPr>
    </w:p>
    <w:p w14:paraId="0B240723"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003279D3" w14:textId="77777777" w:rsidR="00587444" w:rsidRPr="00587444" w:rsidRDefault="00587444" w:rsidP="00587444">
      <w:pPr>
        <w:keepNext/>
        <w:suppressAutoHyphens w:val="0"/>
        <w:autoSpaceDN/>
        <w:jc w:val="both"/>
        <w:rPr>
          <w:rFonts w:ascii="Arial" w:hAnsi="Arial" w:cs="Arial"/>
          <w:b/>
          <w:bCs/>
          <w:sz w:val="20"/>
          <w:szCs w:val="20"/>
        </w:rPr>
      </w:pPr>
    </w:p>
    <w:p w14:paraId="2B78384B"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3E146845" w14:textId="77777777" w:rsidR="00587444" w:rsidRPr="00587444" w:rsidRDefault="00587444" w:rsidP="00587444">
      <w:pPr>
        <w:keepNext/>
        <w:suppressAutoHyphens w:val="0"/>
        <w:autoSpaceDN/>
        <w:jc w:val="both"/>
        <w:rPr>
          <w:rFonts w:ascii="Arial" w:hAnsi="Arial" w:cs="Arial"/>
          <w:b/>
          <w:bCs/>
          <w:sz w:val="20"/>
          <w:szCs w:val="20"/>
        </w:rPr>
      </w:pPr>
    </w:p>
    <w:p w14:paraId="2FF0EAD2"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r w:rsidRPr="00587444">
        <w:rPr>
          <w:rFonts w:ascii="Arial" w:eastAsia="Calibri" w:hAnsi="Arial" w:cs="Arial"/>
          <w:b/>
          <w:sz w:val="20"/>
          <w:szCs w:val="20"/>
        </w:rPr>
        <w:t>31.3.2. Impairment (continued)</w:t>
      </w:r>
    </w:p>
    <w:p w14:paraId="486D4644" w14:textId="77777777" w:rsidR="00587444" w:rsidRPr="00587444" w:rsidRDefault="00587444" w:rsidP="00587444">
      <w:pPr>
        <w:suppressAutoHyphens w:val="0"/>
        <w:autoSpaceDN/>
        <w:jc w:val="both"/>
        <w:rPr>
          <w:rFonts w:ascii="Arial" w:eastAsia="Calibri" w:hAnsi="Arial" w:cs="Arial"/>
          <w:b/>
          <w:sz w:val="20"/>
          <w:szCs w:val="20"/>
        </w:rPr>
      </w:pPr>
    </w:p>
    <w:p w14:paraId="232D7F96" w14:textId="77777777" w:rsidR="00587444" w:rsidRPr="00587444" w:rsidRDefault="00587444" w:rsidP="00587444">
      <w:pPr>
        <w:suppressAutoHyphens w:val="0"/>
        <w:autoSpaceDN/>
        <w:jc w:val="both"/>
        <w:rPr>
          <w:rFonts w:ascii="Arial" w:hAnsi="Arial" w:cs="Arial"/>
          <w:b/>
          <w:bCs/>
          <w:sz w:val="20"/>
          <w:szCs w:val="20"/>
        </w:rPr>
      </w:pPr>
      <w:r w:rsidRPr="00587444">
        <w:rPr>
          <w:rFonts w:ascii="Arial" w:eastAsia="Calibri" w:hAnsi="Arial" w:cs="Arial"/>
          <w:b/>
          <w:sz w:val="20"/>
          <w:szCs w:val="20"/>
        </w:rPr>
        <w:t xml:space="preserve">31.3.2.3. Exposure at default </w:t>
      </w:r>
    </w:p>
    <w:p w14:paraId="23847203" w14:textId="77777777" w:rsidR="00587444" w:rsidRPr="00587444" w:rsidRDefault="00587444" w:rsidP="00587444">
      <w:pPr>
        <w:suppressAutoHyphens w:val="0"/>
        <w:autoSpaceDN/>
        <w:jc w:val="both"/>
        <w:rPr>
          <w:rFonts w:ascii="Arial" w:hAnsi="Arial" w:cs="Arial"/>
          <w:b/>
          <w:bCs/>
          <w:sz w:val="20"/>
          <w:szCs w:val="20"/>
        </w:rPr>
      </w:pPr>
    </w:p>
    <w:p w14:paraId="2B16B2BC"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For the purpose of modelling exposures at the moment of the occurrence of default status (Exposure at Default, hereinafter: EAD), or for the purpose of calculating credit conversion parameter (Credit Conversion Factor, hereinafter: CCF) and prepayment ratio, the data for the preceding five-year period are taken into account.</w:t>
      </w:r>
    </w:p>
    <w:p w14:paraId="20D3A161" w14:textId="77777777" w:rsidR="00587444" w:rsidRPr="00587444" w:rsidRDefault="00587444" w:rsidP="00880B90">
      <w:pPr>
        <w:autoSpaceDN/>
        <w:jc w:val="both"/>
        <w:rPr>
          <w:rFonts w:ascii="Arial" w:hAnsi="Arial" w:cs="Arial"/>
          <w:sz w:val="20"/>
          <w:szCs w:val="20"/>
          <w:highlight w:val="yellow"/>
        </w:rPr>
      </w:pPr>
    </w:p>
    <w:p w14:paraId="71E2B9DC"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Pursuant to the mentioned historical data, the established ratio of premature collection almost equals zero and the loan conversion factor equals 1.</w:t>
      </w:r>
    </w:p>
    <w:p w14:paraId="220132E5" w14:textId="77777777" w:rsidR="00587444" w:rsidRPr="00587444" w:rsidRDefault="00587444" w:rsidP="00880B90">
      <w:pPr>
        <w:autoSpaceDN/>
        <w:jc w:val="both"/>
        <w:rPr>
          <w:rFonts w:ascii="Arial" w:hAnsi="Arial" w:cs="Arial"/>
          <w:sz w:val="20"/>
          <w:szCs w:val="20"/>
        </w:rPr>
      </w:pPr>
    </w:p>
    <w:p w14:paraId="230A4C57" w14:textId="77777777" w:rsidR="00587444" w:rsidRPr="00587444" w:rsidRDefault="00587444" w:rsidP="00880B90">
      <w:pPr>
        <w:autoSpaceDN/>
        <w:jc w:val="both"/>
        <w:rPr>
          <w:rFonts w:ascii="Arial" w:eastAsia="Calibri" w:hAnsi="Arial" w:cs="Arial"/>
          <w:sz w:val="20"/>
          <w:szCs w:val="20"/>
        </w:rPr>
      </w:pPr>
      <w:r w:rsidRPr="00587444">
        <w:rPr>
          <w:rFonts w:ascii="Arial" w:eastAsia="Calibri" w:hAnsi="Arial" w:cs="Arial"/>
          <w:sz w:val="20"/>
          <w:szCs w:val="20"/>
        </w:rPr>
        <w:t>EAD is calculated for each contract. There are two approaches to the calculation of EAD</w:t>
      </w:r>
      <w:r w:rsidRPr="00587444">
        <w:t xml:space="preserve"> </w:t>
      </w:r>
      <w:r w:rsidRPr="00587444">
        <w:rPr>
          <w:rFonts w:ascii="Arial" w:eastAsia="Calibri" w:hAnsi="Arial" w:cs="Arial"/>
          <w:sz w:val="20"/>
          <w:szCs w:val="20"/>
        </w:rPr>
        <w:t>if there is:</w:t>
      </w:r>
    </w:p>
    <w:p w14:paraId="5D1F7494" w14:textId="77777777" w:rsidR="00587444" w:rsidRPr="00587444" w:rsidRDefault="00587444" w:rsidP="00880B90">
      <w:pPr>
        <w:numPr>
          <w:ilvl w:val="0"/>
          <w:numId w:val="51"/>
        </w:numPr>
        <w:autoSpaceDN/>
        <w:contextualSpacing/>
        <w:jc w:val="both"/>
        <w:rPr>
          <w:rFonts w:ascii="Arial" w:eastAsia="Calibri" w:hAnsi="Arial" w:cs="Arial"/>
          <w:sz w:val="20"/>
          <w:szCs w:val="20"/>
        </w:rPr>
      </w:pPr>
      <w:r w:rsidRPr="00587444">
        <w:rPr>
          <w:rFonts w:ascii="Arial" w:hAnsi="Arial" w:cs="Arial"/>
          <w:sz w:val="20"/>
          <w:szCs w:val="20"/>
          <w:lang w:eastAsia="hr-HR"/>
        </w:rPr>
        <w:t>a repayment schedule for exposure – based on the cash flow from the repayment schedule,</w:t>
      </w:r>
    </w:p>
    <w:p w14:paraId="1AC83CD7" w14:textId="77777777" w:rsidR="00587444" w:rsidRPr="00587444" w:rsidRDefault="00587444" w:rsidP="00880B90">
      <w:pPr>
        <w:numPr>
          <w:ilvl w:val="0"/>
          <w:numId w:val="51"/>
        </w:numPr>
        <w:autoSpaceDN/>
        <w:contextualSpacing/>
        <w:jc w:val="both"/>
        <w:rPr>
          <w:rFonts w:ascii="Arial" w:eastAsia="Calibri" w:hAnsi="Arial" w:cs="Arial"/>
          <w:sz w:val="20"/>
          <w:szCs w:val="20"/>
        </w:rPr>
      </w:pPr>
      <w:r w:rsidRPr="00587444">
        <w:rPr>
          <w:rFonts w:ascii="Arial" w:eastAsia="Calibri" w:hAnsi="Arial" w:cs="Arial"/>
          <w:sz w:val="20"/>
          <w:szCs w:val="20"/>
        </w:rPr>
        <w:t>no repayment schedule for exposure – based on exposure amount on the reporting date.</w:t>
      </w:r>
    </w:p>
    <w:p w14:paraId="0ED2CD3D" w14:textId="77777777" w:rsidR="00587444" w:rsidRPr="00587444" w:rsidRDefault="00587444" w:rsidP="00880B90">
      <w:pPr>
        <w:autoSpaceDN/>
        <w:jc w:val="both"/>
        <w:rPr>
          <w:rFonts w:ascii="Arial" w:hAnsi="Arial" w:cs="Arial"/>
          <w:sz w:val="20"/>
          <w:szCs w:val="20"/>
          <w:highlight w:val="yellow"/>
        </w:rPr>
      </w:pPr>
    </w:p>
    <w:p w14:paraId="48185B6D" w14:textId="6EC93EC6"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For exposures classified in risk </w:t>
      </w:r>
      <w:r w:rsidR="00642AA5">
        <w:rPr>
          <w:rFonts w:ascii="Arial" w:hAnsi="Arial" w:cs="Arial"/>
          <w:sz w:val="20"/>
          <w:szCs w:val="20"/>
        </w:rPr>
        <w:t>S</w:t>
      </w:r>
      <w:r w:rsidRPr="00587444">
        <w:rPr>
          <w:rFonts w:ascii="Arial" w:hAnsi="Arial" w:cs="Arial"/>
          <w:sz w:val="20"/>
          <w:szCs w:val="20"/>
        </w:rPr>
        <w:t>tage 1 and for exposures due, EAD is equal to the current exposure.</w:t>
      </w:r>
    </w:p>
    <w:p w14:paraId="69783C43" w14:textId="77777777" w:rsidR="00587444" w:rsidRPr="00587444" w:rsidRDefault="00587444" w:rsidP="00880B90">
      <w:pPr>
        <w:autoSpaceDN/>
        <w:jc w:val="both"/>
        <w:rPr>
          <w:rFonts w:ascii="Arial" w:hAnsi="Arial" w:cs="Arial"/>
          <w:sz w:val="20"/>
          <w:szCs w:val="20"/>
        </w:rPr>
      </w:pPr>
    </w:p>
    <w:p w14:paraId="44ACC41C"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For exposures not yet due, lifelong EAD is calculated based on the repayment schedule, taking into account the amounts and the maturity period, but not later than until the final date of exposure maturity (tenor). </w:t>
      </w:r>
    </w:p>
    <w:p w14:paraId="32EC43FC" w14:textId="77777777" w:rsidR="00587444" w:rsidRPr="00587444" w:rsidRDefault="00587444" w:rsidP="00880B90">
      <w:pPr>
        <w:keepNext/>
        <w:autoSpaceDN/>
        <w:jc w:val="both"/>
        <w:rPr>
          <w:rFonts w:ascii="Arial" w:hAnsi="Arial" w:cs="Arial"/>
          <w:b/>
          <w:bCs/>
          <w:sz w:val="20"/>
          <w:szCs w:val="20"/>
        </w:rPr>
      </w:pPr>
    </w:p>
    <w:bookmarkEnd w:id="1050"/>
    <w:p w14:paraId="2CF8DDE9" w14:textId="77777777" w:rsidR="00587444" w:rsidRPr="00587444" w:rsidRDefault="00587444" w:rsidP="00880B90">
      <w:pPr>
        <w:autoSpaceDN/>
        <w:spacing w:line="300" w:lineRule="exact"/>
        <w:rPr>
          <w:rFonts w:ascii="Arial" w:eastAsia="Calibri" w:hAnsi="Arial" w:cs="Arial"/>
          <w:b/>
          <w:sz w:val="20"/>
          <w:szCs w:val="20"/>
        </w:rPr>
      </w:pPr>
      <w:r w:rsidRPr="00587444">
        <w:rPr>
          <w:rFonts w:ascii="Arial" w:eastAsia="Calibri" w:hAnsi="Arial" w:cs="Arial"/>
          <w:b/>
          <w:sz w:val="20"/>
          <w:szCs w:val="20"/>
        </w:rPr>
        <w:t>31.3.2.4. Loss given default</w:t>
      </w:r>
    </w:p>
    <w:p w14:paraId="6265F26F" w14:textId="77777777" w:rsidR="00587444" w:rsidRPr="00587444" w:rsidRDefault="00587444" w:rsidP="00880B90">
      <w:pPr>
        <w:autoSpaceDN/>
        <w:jc w:val="both"/>
        <w:rPr>
          <w:rFonts w:ascii="Arial" w:hAnsi="Arial" w:cs="Arial"/>
          <w:sz w:val="20"/>
          <w:szCs w:val="20"/>
        </w:rPr>
      </w:pPr>
    </w:p>
    <w:p w14:paraId="7C126E67"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For groups of direct borrowers and others, loss at the moment of occurrence of the status of non-fulfilment of obligations (Loss Given Default, hereinafter: LGD) is estimated based on transactions after the date of occurrence of loss given default. Each transaction is discounted on the date of occurrence of loss given default by an appropriate discount rate, and the discount factor depends on the time elapsed. All increases after the date of occurrence of loss given default are cumulated with an individual exposure. The result of the mentioned calculation is the collection rate for each exposure in a homogenous group, and the total collection rate for a single homogenous group is comprised of the weighted average of collection rates of all individual exposures.</w:t>
      </w:r>
    </w:p>
    <w:p w14:paraId="6A225CB4" w14:textId="77777777" w:rsidR="00587444" w:rsidRPr="00587444" w:rsidRDefault="00587444" w:rsidP="00880B90">
      <w:pPr>
        <w:autoSpaceDN/>
        <w:jc w:val="both"/>
        <w:rPr>
          <w:rFonts w:ascii="Arial" w:hAnsi="Arial" w:cs="Arial"/>
          <w:sz w:val="20"/>
          <w:szCs w:val="20"/>
          <w:highlight w:val="yellow"/>
        </w:rPr>
      </w:pPr>
    </w:p>
    <w:p w14:paraId="434B45D3" w14:textId="77777777" w:rsidR="00587444" w:rsidRPr="00587444" w:rsidRDefault="00587444" w:rsidP="00880B90">
      <w:pPr>
        <w:autoSpaceDE w:val="0"/>
        <w:adjustRightInd w:val="0"/>
        <w:jc w:val="both"/>
        <w:rPr>
          <w:rFonts w:ascii="Arial" w:hAnsi="Arial" w:cs="Arial"/>
          <w:sz w:val="20"/>
          <w:szCs w:val="20"/>
        </w:rPr>
      </w:pPr>
      <w:r w:rsidRPr="00587444">
        <w:rPr>
          <w:rFonts w:ascii="Arial" w:hAnsi="Arial" w:cs="Arial"/>
          <w:sz w:val="20"/>
          <w:szCs w:val="20"/>
        </w:rPr>
        <w:t xml:space="preserve">The probability of exit from the loss given default status is also taken into consideration in the calculation of LGD. </w:t>
      </w:r>
    </w:p>
    <w:p w14:paraId="39C280BA" w14:textId="77777777" w:rsidR="00587444" w:rsidRPr="00587444" w:rsidRDefault="00587444" w:rsidP="00880B90">
      <w:pPr>
        <w:autoSpaceDE w:val="0"/>
        <w:adjustRightInd w:val="0"/>
        <w:jc w:val="both"/>
        <w:rPr>
          <w:rFonts w:ascii="Arial" w:hAnsi="Arial" w:cs="Arial"/>
          <w:sz w:val="20"/>
          <w:szCs w:val="20"/>
          <w:highlight w:val="yellow"/>
        </w:rPr>
      </w:pPr>
    </w:p>
    <w:p w14:paraId="75D12793" w14:textId="77777777" w:rsidR="00587444" w:rsidRPr="00587444" w:rsidRDefault="00587444" w:rsidP="00880B90">
      <w:pPr>
        <w:autoSpaceDE w:val="0"/>
        <w:adjustRightInd w:val="0"/>
        <w:jc w:val="both"/>
        <w:rPr>
          <w:rFonts w:ascii="Arial" w:hAnsi="Arial" w:cs="Arial"/>
          <w:sz w:val="20"/>
          <w:szCs w:val="20"/>
        </w:rPr>
      </w:pPr>
      <w:r w:rsidRPr="00587444">
        <w:rPr>
          <w:rFonts w:ascii="Arial" w:hAnsi="Arial" w:cs="Arial"/>
          <w:sz w:val="20"/>
          <w:szCs w:val="20"/>
        </w:rPr>
        <w:t>A report of external credit rating agencies is used as foundation for determining LGDs for the groups central government and local and regional government and financial institutions. In the annual reports on the occurrence of loss given default and collection status, credit rating agencies publish both historical and market rates of collection. The market rate of collection is the market price of a bond as compared to its value immediately before or at the moment of bond default. Based on market rates of collection for senior unsecured debt, issuer-weighted recovery rate is determined.</w:t>
      </w:r>
    </w:p>
    <w:p w14:paraId="73E82198" w14:textId="77777777" w:rsidR="00587444" w:rsidRPr="00587444" w:rsidRDefault="00587444" w:rsidP="00587444">
      <w:pPr>
        <w:keepNext/>
        <w:suppressAutoHyphens w:val="0"/>
        <w:autoSpaceDN/>
        <w:jc w:val="both"/>
        <w:rPr>
          <w:rFonts w:ascii="Arial" w:hAnsi="Arial" w:cs="Arial"/>
          <w:b/>
          <w:bCs/>
          <w:sz w:val="20"/>
          <w:szCs w:val="20"/>
        </w:rPr>
        <w:sectPr w:rsidR="00587444" w:rsidRPr="00587444" w:rsidSect="00DD69E7">
          <w:pgSz w:w="11906" w:h="16838" w:code="9"/>
          <w:pgMar w:top="1418" w:right="1418" w:bottom="595" w:left="1134" w:header="851" w:footer="851" w:gutter="0"/>
          <w:cols w:space="720"/>
          <w:noEndnote/>
        </w:sectPr>
      </w:pPr>
    </w:p>
    <w:p w14:paraId="2B5DB357" w14:textId="77777777" w:rsidR="00587444" w:rsidRPr="00587444" w:rsidRDefault="00587444" w:rsidP="00587444">
      <w:pPr>
        <w:keepNext/>
        <w:suppressAutoHyphens w:val="0"/>
        <w:autoSpaceDN/>
        <w:jc w:val="both"/>
        <w:rPr>
          <w:rFonts w:ascii="Arial" w:hAnsi="Arial" w:cs="Arial"/>
          <w:b/>
          <w:bCs/>
          <w:sz w:val="20"/>
          <w:szCs w:val="20"/>
        </w:rPr>
      </w:pPr>
    </w:p>
    <w:p w14:paraId="44B5D278"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0E581279" w14:textId="77777777" w:rsidR="00587444" w:rsidRPr="00587444" w:rsidRDefault="00587444" w:rsidP="00587444">
      <w:pPr>
        <w:keepNext/>
        <w:suppressAutoHyphens w:val="0"/>
        <w:autoSpaceDN/>
        <w:jc w:val="both"/>
        <w:rPr>
          <w:rFonts w:ascii="Arial" w:hAnsi="Arial" w:cs="Arial"/>
          <w:b/>
          <w:bCs/>
          <w:sz w:val="20"/>
          <w:szCs w:val="20"/>
        </w:rPr>
      </w:pPr>
    </w:p>
    <w:p w14:paraId="63C96D5E"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41759EF1" w14:textId="77777777" w:rsidR="00587444" w:rsidRPr="00587444" w:rsidRDefault="00587444" w:rsidP="00587444">
      <w:pPr>
        <w:keepNext/>
        <w:suppressAutoHyphens w:val="0"/>
        <w:autoSpaceDN/>
        <w:jc w:val="both"/>
        <w:rPr>
          <w:rFonts w:ascii="Arial" w:hAnsi="Arial" w:cs="Arial"/>
          <w:b/>
          <w:bCs/>
          <w:sz w:val="20"/>
          <w:szCs w:val="20"/>
        </w:rPr>
      </w:pPr>
    </w:p>
    <w:p w14:paraId="585F5DB0" w14:textId="77777777" w:rsidR="00587444" w:rsidRPr="00587444" w:rsidRDefault="00587444" w:rsidP="00587444">
      <w:pPr>
        <w:suppressAutoHyphens w:val="0"/>
        <w:autoSpaceDN/>
        <w:spacing w:line="300" w:lineRule="exact"/>
        <w:jc w:val="both"/>
        <w:rPr>
          <w:rFonts w:ascii="Arial" w:hAnsi="Arial" w:cs="Arial"/>
          <w:b/>
          <w:bCs/>
          <w:sz w:val="20"/>
          <w:szCs w:val="20"/>
        </w:rPr>
      </w:pPr>
      <w:r w:rsidRPr="00587444">
        <w:rPr>
          <w:rFonts w:ascii="Arial" w:eastAsia="Calibri" w:hAnsi="Arial" w:cs="Arial"/>
          <w:b/>
          <w:sz w:val="20"/>
          <w:szCs w:val="20"/>
        </w:rPr>
        <w:t>31.3.2. Impairment assessment (continued)</w:t>
      </w:r>
    </w:p>
    <w:p w14:paraId="5D9A167B" w14:textId="77777777" w:rsidR="00587444" w:rsidRPr="00587444" w:rsidRDefault="00587444" w:rsidP="00587444">
      <w:pPr>
        <w:suppressAutoHyphens w:val="0"/>
        <w:autoSpaceDN/>
        <w:spacing w:line="300" w:lineRule="exact"/>
        <w:rPr>
          <w:rFonts w:ascii="Arial" w:hAnsi="Arial" w:cs="Arial"/>
          <w:b/>
          <w:bCs/>
          <w:sz w:val="20"/>
          <w:szCs w:val="20"/>
        </w:rPr>
      </w:pPr>
    </w:p>
    <w:p w14:paraId="7B5D5BF3"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31.3.2.5. Significant increase in credit risk</w:t>
      </w:r>
    </w:p>
    <w:p w14:paraId="479D6F5D" w14:textId="77777777" w:rsidR="00587444" w:rsidRPr="00587444" w:rsidRDefault="00587444" w:rsidP="00587444">
      <w:pPr>
        <w:keepNext/>
        <w:suppressAutoHyphens w:val="0"/>
        <w:autoSpaceDN/>
        <w:jc w:val="both"/>
        <w:rPr>
          <w:rFonts w:ascii="Arial" w:hAnsi="Arial" w:cs="Arial"/>
          <w:b/>
          <w:bCs/>
          <w:sz w:val="20"/>
          <w:szCs w:val="20"/>
        </w:rPr>
      </w:pPr>
    </w:p>
    <w:p w14:paraId="7DC626D0" w14:textId="209A0BD3"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 xml:space="preserve">For the purpose of identifying an increased credit risk, changes for all clients of the Bank are monitored continuously, but at least once a year. All placements to the client, where an increased credit risk has been identified or in case of individually significant clients, whose exposure exceeds HRK 3,000 thousand and are on the client watch list, on the next reporting date, all financial instruments of the client with increased credit risk are classified to </w:t>
      </w:r>
      <w:r w:rsidR="00642AA5">
        <w:rPr>
          <w:rFonts w:ascii="Arial" w:hAnsi="Arial" w:cs="Arial"/>
          <w:sz w:val="20"/>
          <w:szCs w:val="20"/>
        </w:rPr>
        <w:t>S</w:t>
      </w:r>
      <w:r w:rsidRPr="00587444">
        <w:rPr>
          <w:rFonts w:ascii="Arial" w:hAnsi="Arial" w:cs="Arial"/>
          <w:sz w:val="20"/>
          <w:szCs w:val="20"/>
        </w:rPr>
        <w:t>tage 2 based on the observed criteria such as:</w:t>
      </w:r>
    </w:p>
    <w:p w14:paraId="35CBE636" w14:textId="77777777" w:rsidR="00587444" w:rsidRPr="00587444" w:rsidRDefault="00587444" w:rsidP="00880B90">
      <w:pPr>
        <w:numPr>
          <w:ilvl w:val="0"/>
          <w:numId w:val="52"/>
        </w:numPr>
        <w:autoSpaceDN/>
        <w:jc w:val="both"/>
        <w:rPr>
          <w:rFonts w:ascii="Arial" w:hAnsi="Arial" w:cs="Arial"/>
          <w:bCs/>
          <w:sz w:val="20"/>
          <w:szCs w:val="20"/>
        </w:rPr>
      </w:pPr>
      <w:r w:rsidRPr="00587444">
        <w:rPr>
          <w:rFonts w:ascii="Arial" w:hAnsi="Arial" w:cs="Arial"/>
          <w:sz w:val="20"/>
          <w:szCs w:val="20"/>
        </w:rPr>
        <w:t xml:space="preserve">client’s delay in the settlement of any significant obligation due towards HBOR more than 30 days (and less than 90 days), </w:t>
      </w:r>
    </w:p>
    <w:p w14:paraId="6A4B67C7" w14:textId="77777777" w:rsidR="00587444" w:rsidRPr="00587444" w:rsidRDefault="00587444" w:rsidP="00880B90">
      <w:pPr>
        <w:numPr>
          <w:ilvl w:val="0"/>
          <w:numId w:val="52"/>
        </w:numPr>
        <w:autoSpaceDN/>
        <w:jc w:val="both"/>
        <w:rPr>
          <w:rFonts w:ascii="Arial" w:hAnsi="Arial" w:cs="Arial"/>
          <w:bCs/>
          <w:sz w:val="20"/>
          <w:szCs w:val="20"/>
        </w:rPr>
      </w:pPr>
      <w:r w:rsidRPr="00587444">
        <w:rPr>
          <w:rFonts w:ascii="Arial" w:hAnsi="Arial" w:cs="Arial"/>
          <w:sz w:val="20"/>
          <w:szCs w:val="20"/>
        </w:rPr>
        <w:t xml:space="preserve">the client is in financial difficulties, but is not in LGD status, </w:t>
      </w:r>
    </w:p>
    <w:p w14:paraId="69D9260A" w14:textId="77777777" w:rsidR="00587444" w:rsidRPr="00587444" w:rsidRDefault="00587444" w:rsidP="00880B90">
      <w:pPr>
        <w:numPr>
          <w:ilvl w:val="0"/>
          <w:numId w:val="52"/>
        </w:numPr>
        <w:autoSpaceDN/>
        <w:jc w:val="both"/>
        <w:rPr>
          <w:rFonts w:ascii="Arial" w:hAnsi="Arial" w:cs="Arial"/>
          <w:bCs/>
          <w:sz w:val="20"/>
          <w:szCs w:val="20"/>
        </w:rPr>
      </w:pPr>
      <w:r w:rsidRPr="00587444">
        <w:rPr>
          <w:rFonts w:ascii="Arial" w:hAnsi="Arial" w:cs="Arial"/>
          <w:sz w:val="20"/>
          <w:szCs w:val="20"/>
        </w:rPr>
        <w:t>deterioration of rating, low credit rating of the client,</w:t>
      </w:r>
    </w:p>
    <w:p w14:paraId="4A954B4A" w14:textId="77777777" w:rsidR="00587444" w:rsidRPr="00587444" w:rsidRDefault="00587444" w:rsidP="00880B90">
      <w:pPr>
        <w:numPr>
          <w:ilvl w:val="0"/>
          <w:numId w:val="52"/>
        </w:numPr>
        <w:autoSpaceDN/>
        <w:jc w:val="both"/>
        <w:rPr>
          <w:rFonts w:ascii="Arial" w:hAnsi="Arial" w:cs="Arial"/>
          <w:bCs/>
          <w:sz w:val="20"/>
          <w:szCs w:val="20"/>
        </w:rPr>
      </w:pPr>
      <w:r w:rsidRPr="00587444">
        <w:rPr>
          <w:rFonts w:ascii="Arial" w:hAnsi="Arial" w:cs="Arial"/>
          <w:sz w:val="20"/>
          <w:szCs w:val="20"/>
        </w:rPr>
        <w:t>non-compliance with contractual provisions</w:t>
      </w:r>
    </w:p>
    <w:p w14:paraId="5C7620CF" w14:textId="77777777" w:rsidR="00587444" w:rsidRPr="00587444" w:rsidRDefault="00587444" w:rsidP="00880B90">
      <w:pPr>
        <w:numPr>
          <w:ilvl w:val="0"/>
          <w:numId w:val="52"/>
        </w:numPr>
        <w:autoSpaceDN/>
        <w:jc w:val="both"/>
        <w:rPr>
          <w:rFonts w:ascii="Arial" w:hAnsi="Arial" w:cs="Arial"/>
          <w:bCs/>
          <w:sz w:val="20"/>
          <w:szCs w:val="20"/>
        </w:rPr>
      </w:pPr>
      <w:r w:rsidRPr="00587444">
        <w:rPr>
          <w:rFonts w:ascii="Arial" w:hAnsi="Arial" w:cs="Arial"/>
          <w:sz w:val="20"/>
          <w:szCs w:val="20"/>
        </w:rPr>
        <w:t>loss of key buyers or suppliers etc.</w:t>
      </w:r>
    </w:p>
    <w:p w14:paraId="3AD5979E" w14:textId="77777777" w:rsidR="00587444" w:rsidRPr="00587444" w:rsidRDefault="00587444" w:rsidP="00880B90">
      <w:pPr>
        <w:autoSpaceDN/>
        <w:jc w:val="both"/>
        <w:rPr>
          <w:rFonts w:ascii="Arial" w:hAnsi="Arial" w:cs="Arial"/>
          <w:sz w:val="20"/>
          <w:szCs w:val="20"/>
          <w:highlight w:val="yellow"/>
        </w:rPr>
      </w:pPr>
    </w:p>
    <w:p w14:paraId="2F2649E3" w14:textId="259AE7DD"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Exit from the increased credit risk status is conditional on non-existence of all the criteria based on which the client has been grouped into the respective status upon the occurrence of the risk, and verification of all indicators is made at least once a year within the framework of the annual monitoring of the client. Deactivation of a portion of indicators can be carried out after six months. Indicators of an increased credit risk are active for a year, after which they have to be checked, and based on the monitoring results, either reactivated or deactivated. The result of any change is either the reclassification of financial instruments of the client to </w:t>
      </w:r>
      <w:r w:rsidR="00642AA5">
        <w:rPr>
          <w:rFonts w:ascii="Arial" w:hAnsi="Arial" w:cs="Arial"/>
          <w:sz w:val="20"/>
          <w:szCs w:val="20"/>
        </w:rPr>
        <w:t>S</w:t>
      </w:r>
      <w:r w:rsidRPr="00587444">
        <w:rPr>
          <w:rFonts w:ascii="Arial" w:hAnsi="Arial" w:cs="Arial"/>
          <w:sz w:val="20"/>
          <w:szCs w:val="20"/>
        </w:rPr>
        <w:t xml:space="preserve">tage 1 or its stay in </w:t>
      </w:r>
      <w:r w:rsidR="00642AA5">
        <w:rPr>
          <w:rFonts w:ascii="Arial" w:hAnsi="Arial" w:cs="Arial"/>
          <w:sz w:val="20"/>
          <w:szCs w:val="20"/>
        </w:rPr>
        <w:t>S</w:t>
      </w:r>
      <w:r w:rsidRPr="00587444">
        <w:rPr>
          <w:rFonts w:ascii="Arial" w:hAnsi="Arial" w:cs="Arial"/>
          <w:sz w:val="20"/>
          <w:szCs w:val="20"/>
        </w:rPr>
        <w:t>tage 2.</w:t>
      </w:r>
    </w:p>
    <w:p w14:paraId="6AED59DC" w14:textId="77777777" w:rsidR="00587444" w:rsidRPr="00587444" w:rsidRDefault="00587444" w:rsidP="00880B90">
      <w:pPr>
        <w:keepNext/>
        <w:autoSpaceDN/>
        <w:jc w:val="both"/>
        <w:rPr>
          <w:rFonts w:ascii="Arial" w:hAnsi="Arial" w:cs="Arial"/>
          <w:b/>
          <w:bCs/>
          <w:sz w:val="20"/>
          <w:szCs w:val="20"/>
        </w:rPr>
      </w:pPr>
    </w:p>
    <w:p w14:paraId="2E9D494E" w14:textId="2ED30381"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Financial instruments of the client with an investment rating of external credit rating agencies are deemed financial instruments of low credit risk. All exposures to the Republic of Croatia and units of local and regional government (ULRG), the Croatian National Bank, the European Investment Bank (EIB) and other development banks are also deemed financial instruments of clients with low credit risk. Financial instruments of clients with low credit risk are always grouped into </w:t>
      </w:r>
      <w:r w:rsidR="00642AA5">
        <w:rPr>
          <w:rFonts w:ascii="Arial" w:hAnsi="Arial" w:cs="Arial"/>
          <w:sz w:val="20"/>
          <w:szCs w:val="20"/>
        </w:rPr>
        <w:t>S</w:t>
      </w:r>
      <w:r w:rsidRPr="00587444">
        <w:rPr>
          <w:rFonts w:ascii="Arial" w:hAnsi="Arial" w:cs="Arial"/>
          <w:sz w:val="20"/>
          <w:szCs w:val="20"/>
        </w:rPr>
        <w:t>tage 1.</w:t>
      </w:r>
    </w:p>
    <w:p w14:paraId="6311FCE4" w14:textId="77777777" w:rsidR="00587444" w:rsidRPr="00587444" w:rsidRDefault="00587444" w:rsidP="00880B90">
      <w:pPr>
        <w:keepNext/>
        <w:autoSpaceDN/>
        <w:jc w:val="both"/>
        <w:rPr>
          <w:rFonts w:ascii="Arial" w:hAnsi="Arial" w:cs="Arial"/>
          <w:b/>
          <w:bCs/>
          <w:sz w:val="20"/>
          <w:szCs w:val="20"/>
        </w:rPr>
      </w:pPr>
    </w:p>
    <w:p w14:paraId="441FA293" w14:textId="77777777" w:rsidR="00587444" w:rsidRPr="00587444" w:rsidRDefault="00587444" w:rsidP="00880B90">
      <w:pPr>
        <w:keepNext/>
        <w:autoSpaceDN/>
        <w:jc w:val="both"/>
        <w:rPr>
          <w:rFonts w:ascii="Arial" w:hAnsi="Arial" w:cs="Arial"/>
          <w:b/>
          <w:bCs/>
          <w:sz w:val="20"/>
          <w:szCs w:val="20"/>
        </w:rPr>
      </w:pPr>
    </w:p>
    <w:p w14:paraId="0CACC2E3" w14:textId="77777777" w:rsidR="00587444" w:rsidRPr="00587444" w:rsidRDefault="00587444" w:rsidP="00880B90">
      <w:pPr>
        <w:autoSpaceDN/>
        <w:jc w:val="both"/>
        <w:rPr>
          <w:rFonts w:ascii="Arial" w:hAnsi="Arial" w:cs="Arial"/>
          <w:b/>
          <w:sz w:val="20"/>
          <w:szCs w:val="20"/>
        </w:rPr>
      </w:pPr>
      <w:bookmarkStart w:id="1051" w:name="_Hlk518470163"/>
      <w:r w:rsidRPr="00587444">
        <w:rPr>
          <w:rFonts w:ascii="Arial" w:hAnsi="Arial" w:cs="Arial"/>
          <w:b/>
          <w:sz w:val="20"/>
          <w:szCs w:val="20"/>
        </w:rPr>
        <w:t>31.3.2.6. Grouping financial assets measured on a collective basis</w:t>
      </w:r>
    </w:p>
    <w:p w14:paraId="5ABD3E01" w14:textId="77777777" w:rsidR="00587444" w:rsidRPr="00587444" w:rsidRDefault="00587444" w:rsidP="00880B90">
      <w:pPr>
        <w:autoSpaceDN/>
        <w:jc w:val="both"/>
        <w:rPr>
          <w:rFonts w:ascii="Arial" w:hAnsi="Arial" w:cs="Arial"/>
          <w:sz w:val="20"/>
          <w:szCs w:val="20"/>
        </w:rPr>
      </w:pPr>
    </w:p>
    <w:p w14:paraId="29008767" w14:textId="02F62595" w:rsidR="00587444" w:rsidRPr="00587444" w:rsidRDefault="00587444" w:rsidP="00880B90">
      <w:pPr>
        <w:autoSpaceDE w:val="0"/>
        <w:adjustRightInd w:val="0"/>
        <w:jc w:val="both"/>
        <w:rPr>
          <w:rFonts w:ascii="Arial" w:hAnsi="Arial" w:cs="Arial"/>
          <w:sz w:val="20"/>
          <w:szCs w:val="20"/>
        </w:rPr>
      </w:pPr>
      <w:r w:rsidRPr="00587444">
        <w:rPr>
          <w:rFonts w:ascii="Arial" w:hAnsi="Arial" w:cs="Arial"/>
          <w:sz w:val="20"/>
          <w:szCs w:val="20"/>
        </w:rPr>
        <w:t xml:space="preserve">Credit risk is evaluated on a collective basis for all exposures to clients classified into risk </w:t>
      </w:r>
      <w:r w:rsidR="00642AA5">
        <w:rPr>
          <w:rFonts w:ascii="Arial" w:hAnsi="Arial" w:cs="Arial"/>
          <w:sz w:val="20"/>
          <w:szCs w:val="20"/>
        </w:rPr>
        <w:t>S</w:t>
      </w:r>
      <w:r w:rsidRPr="00587444">
        <w:rPr>
          <w:rFonts w:ascii="Arial" w:hAnsi="Arial" w:cs="Arial"/>
          <w:sz w:val="20"/>
          <w:szCs w:val="20"/>
        </w:rPr>
        <w:t xml:space="preserve">tages 1 and 2 as well as into the risk </w:t>
      </w:r>
      <w:r w:rsidR="00642AA5">
        <w:rPr>
          <w:rFonts w:ascii="Arial" w:hAnsi="Arial" w:cs="Arial"/>
          <w:sz w:val="20"/>
          <w:szCs w:val="20"/>
        </w:rPr>
        <w:t>S</w:t>
      </w:r>
      <w:r w:rsidRPr="00587444">
        <w:rPr>
          <w:rFonts w:ascii="Arial" w:hAnsi="Arial" w:cs="Arial"/>
          <w:sz w:val="20"/>
          <w:szCs w:val="20"/>
        </w:rPr>
        <w:t>tage 3 and POCI assets of clients belonging to the small loan portfolio. The clients belonging to the small loan portfolio are clients to which HBOR is exposed in the gross amount that is equal or less than HRK 3,000 thousand.</w:t>
      </w:r>
    </w:p>
    <w:p w14:paraId="1457487F" w14:textId="77777777" w:rsidR="00587444" w:rsidRPr="00587444" w:rsidRDefault="00587444" w:rsidP="00880B90">
      <w:pPr>
        <w:autoSpaceDE w:val="0"/>
        <w:adjustRightInd w:val="0"/>
        <w:jc w:val="both"/>
        <w:rPr>
          <w:rFonts w:ascii="Arial" w:hAnsi="Arial" w:cs="Arial"/>
          <w:sz w:val="20"/>
          <w:szCs w:val="20"/>
        </w:rPr>
      </w:pPr>
    </w:p>
    <w:p w14:paraId="7384EDF3" w14:textId="77777777" w:rsidR="00587444" w:rsidRPr="00587444" w:rsidRDefault="00587444" w:rsidP="00880B90">
      <w:pPr>
        <w:autoSpaceDN/>
        <w:jc w:val="both"/>
        <w:rPr>
          <w:rFonts w:ascii="Arial" w:eastAsia="Calibri" w:hAnsi="Arial" w:cs="Arial"/>
          <w:sz w:val="20"/>
          <w:szCs w:val="20"/>
        </w:rPr>
      </w:pPr>
      <w:r w:rsidRPr="00587444">
        <w:rPr>
          <w:rFonts w:ascii="Arial" w:eastAsia="Calibri" w:hAnsi="Arial" w:cs="Arial"/>
          <w:sz w:val="20"/>
          <w:szCs w:val="20"/>
        </w:rPr>
        <w:t>For the purpose of identifying a significant increase in credit risk and recognition of loss allowances for impairment on a collective basis, financial instruments are grouped into the following groups, based on the common features of credit risk, for the purpose of easier evaluation of a significant increase in credit risk:</w:t>
      </w:r>
    </w:p>
    <w:p w14:paraId="4DA97DDC" w14:textId="77777777" w:rsidR="00587444" w:rsidRPr="00587444" w:rsidRDefault="00587444" w:rsidP="00880B90">
      <w:pPr>
        <w:numPr>
          <w:ilvl w:val="1"/>
          <w:numId w:val="53"/>
        </w:numPr>
        <w:tabs>
          <w:tab w:val="num" w:pos="1040"/>
          <w:tab w:val="left" w:pos="8640"/>
        </w:tabs>
        <w:autoSpaceDN/>
        <w:ind w:left="1040" w:right="57"/>
        <w:contextualSpacing/>
        <w:jc w:val="both"/>
        <w:rPr>
          <w:rFonts w:ascii="Arial" w:eastAsia="PMingLiU" w:hAnsi="Arial" w:cs="Arial"/>
          <w:color w:val="000000"/>
          <w:sz w:val="20"/>
          <w:szCs w:val="20"/>
          <w:lang w:val="en-GB" w:eastAsia="hr-HR" w:bidi="hr-HR"/>
        </w:rPr>
      </w:pPr>
      <w:r w:rsidRPr="00587444">
        <w:rPr>
          <w:rFonts w:ascii="Arial" w:eastAsia="PMingLiU" w:hAnsi="Arial" w:cs="Arial"/>
          <w:color w:val="000000"/>
          <w:sz w:val="20"/>
          <w:szCs w:val="20"/>
          <w:lang w:val="en-GB" w:eastAsia="hr-HR" w:bidi="hr-HR"/>
        </w:rPr>
        <w:t>financial institutions,</w:t>
      </w:r>
    </w:p>
    <w:p w14:paraId="7A4E410D" w14:textId="77777777" w:rsidR="00587444" w:rsidRPr="00587444" w:rsidRDefault="00587444" w:rsidP="00880B90">
      <w:pPr>
        <w:numPr>
          <w:ilvl w:val="1"/>
          <w:numId w:val="53"/>
        </w:numPr>
        <w:tabs>
          <w:tab w:val="num" w:pos="1040"/>
          <w:tab w:val="left" w:pos="8640"/>
        </w:tabs>
        <w:autoSpaceDN/>
        <w:ind w:left="1040" w:right="57"/>
        <w:contextualSpacing/>
        <w:jc w:val="both"/>
        <w:rPr>
          <w:rFonts w:ascii="Arial" w:eastAsia="PMingLiU" w:hAnsi="Arial" w:cs="Arial"/>
          <w:color w:val="000000"/>
          <w:sz w:val="20"/>
          <w:szCs w:val="20"/>
          <w:lang w:val="en-GB" w:eastAsia="hr-HR" w:bidi="hr-HR"/>
        </w:rPr>
      </w:pPr>
      <w:r w:rsidRPr="00587444">
        <w:rPr>
          <w:rFonts w:ascii="Arial" w:eastAsia="PMingLiU" w:hAnsi="Arial" w:cs="Arial"/>
          <w:color w:val="000000"/>
          <w:sz w:val="20"/>
          <w:szCs w:val="20"/>
          <w:lang w:val="en-GB" w:eastAsia="hr-HR" w:bidi="hr-HR"/>
        </w:rPr>
        <w:t>central government and local and regional government,</w:t>
      </w:r>
    </w:p>
    <w:p w14:paraId="272291A6" w14:textId="77777777" w:rsidR="00587444" w:rsidRPr="00587444" w:rsidRDefault="00587444" w:rsidP="00880B90">
      <w:pPr>
        <w:numPr>
          <w:ilvl w:val="1"/>
          <w:numId w:val="53"/>
        </w:numPr>
        <w:tabs>
          <w:tab w:val="num" w:pos="1040"/>
          <w:tab w:val="left" w:pos="8640"/>
        </w:tabs>
        <w:autoSpaceDN/>
        <w:ind w:left="1040" w:right="57"/>
        <w:contextualSpacing/>
        <w:rPr>
          <w:rFonts w:ascii="Arial" w:eastAsia="PMingLiU" w:hAnsi="Arial" w:cs="Arial"/>
          <w:color w:val="000000"/>
          <w:sz w:val="20"/>
          <w:szCs w:val="20"/>
          <w:lang w:val="en-GB" w:eastAsia="hr-HR" w:bidi="hr-HR"/>
        </w:rPr>
        <w:sectPr w:rsidR="00587444" w:rsidRPr="00587444" w:rsidSect="00DD69E7">
          <w:pgSz w:w="11906" w:h="16838" w:code="9"/>
          <w:pgMar w:top="1418" w:right="1418" w:bottom="595" w:left="1134" w:header="851" w:footer="851" w:gutter="0"/>
          <w:cols w:space="720"/>
          <w:noEndnote/>
        </w:sectPr>
      </w:pPr>
      <w:r w:rsidRPr="00587444">
        <w:rPr>
          <w:rFonts w:ascii="Arial" w:eastAsia="PMingLiU" w:hAnsi="Arial" w:cs="Arial"/>
          <w:color w:val="000000"/>
          <w:sz w:val="20"/>
          <w:szCs w:val="20"/>
          <w:lang w:val="en-GB" w:eastAsia="hr-HR" w:bidi="hr-HR"/>
        </w:rPr>
        <w:t>direct borrowers – large,</w:t>
      </w:r>
    </w:p>
    <w:p w14:paraId="743A65F1" w14:textId="77777777" w:rsidR="00587444" w:rsidRPr="00587444" w:rsidRDefault="00587444" w:rsidP="00587444">
      <w:pPr>
        <w:tabs>
          <w:tab w:val="left" w:pos="8640"/>
        </w:tabs>
        <w:suppressAutoHyphens w:val="0"/>
        <w:autoSpaceDN/>
        <w:ind w:right="57"/>
        <w:contextualSpacing/>
        <w:jc w:val="both"/>
        <w:rPr>
          <w:rFonts w:ascii="Arial" w:eastAsia="PMingLiU" w:hAnsi="Arial" w:cs="Arial"/>
          <w:color w:val="000000"/>
          <w:sz w:val="20"/>
          <w:szCs w:val="20"/>
          <w:lang w:val="hr-HR" w:eastAsia="hr-HR" w:bidi="hr-HR"/>
        </w:rPr>
      </w:pPr>
    </w:p>
    <w:p w14:paraId="7F65CA2E"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7F0A3BD2" w14:textId="77777777" w:rsidR="00587444" w:rsidRPr="00587444" w:rsidRDefault="00587444" w:rsidP="00587444">
      <w:pPr>
        <w:keepNext/>
        <w:suppressAutoHyphens w:val="0"/>
        <w:autoSpaceDN/>
        <w:jc w:val="both"/>
        <w:rPr>
          <w:rFonts w:ascii="Arial" w:hAnsi="Arial" w:cs="Arial"/>
          <w:b/>
          <w:bCs/>
          <w:sz w:val="20"/>
          <w:szCs w:val="20"/>
        </w:rPr>
      </w:pPr>
    </w:p>
    <w:p w14:paraId="46A5E3E5"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6524A4BA" w14:textId="77777777" w:rsidR="00587444" w:rsidRPr="00587444" w:rsidRDefault="00587444" w:rsidP="00587444">
      <w:pPr>
        <w:keepNext/>
        <w:suppressAutoHyphens w:val="0"/>
        <w:autoSpaceDN/>
        <w:jc w:val="both"/>
        <w:rPr>
          <w:rFonts w:ascii="Arial" w:hAnsi="Arial" w:cs="Arial"/>
          <w:b/>
          <w:bCs/>
          <w:sz w:val="20"/>
          <w:szCs w:val="20"/>
        </w:rPr>
      </w:pPr>
    </w:p>
    <w:p w14:paraId="49D059EC" w14:textId="77777777" w:rsidR="00587444" w:rsidRPr="00587444" w:rsidRDefault="00587444" w:rsidP="00587444">
      <w:pPr>
        <w:suppressAutoHyphens w:val="0"/>
        <w:autoSpaceDN/>
        <w:spacing w:line="300" w:lineRule="exact"/>
        <w:jc w:val="both"/>
        <w:rPr>
          <w:rFonts w:ascii="Arial" w:hAnsi="Arial" w:cs="Arial"/>
          <w:b/>
          <w:bCs/>
          <w:sz w:val="20"/>
          <w:szCs w:val="20"/>
        </w:rPr>
      </w:pPr>
      <w:r w:rsidRPr="00587444">
        <w:rPr>
          <w:rFonts w:ascii="Arial" w:eastAsia="Calibri" w:hAnsi="Arial" w:cs="Arial"/>
          <w:b/>
          <w:sz w:val="20"/>
          <w:szCs w:val="20"/>
        </w:rPr>
        <w:t>31.3.2. Impairment assessment (continued)</w:t>
      </w:r>
    </w:p>
    <w:p w14:paraId="59169138" w14:textId="77777777" w:rsidR="00587444" w:rsidRPr="00587444" w:rsidRDefault="00587444" w:rsidP="00587444">
      <w:pPr>
        <w:suppressAutoHyphens w:val="0"/>
        <w:autoSpaceDN/>
        <w:jc w:val="both"/>
        <w:rPr>
          <w:rFonts w:ascii="Arial" w:hAnsi="Arial" w:cs="Arial"/>
          <w:b/>
          <w:sz w:val="20"/>
          <w:szCs w:val="20"/>
        </w:rPr>
      </w:pPr>
    </w:p>
    <w:p w14:paraId="51CDED0E"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31.3.2.6. Grouping financial assets measured on a collective basis (continued)</w:t>
      </w:r>
    </w:p>
    <w:p w14:paraId="640C1883" w14:textId="77777777" w:rsidR="00587444" w:rsidRPr="00587444" w:rsidRDefault="00587444" w:rsidP="00587444">
      <w:pPr>
        <w:tabs>
          <w:tab w:val="left" w:pos="8640"/>
        </w:tabs>
        <w:suppressAutoHyphens w:val="0"/>
        <w:autoSpaceDN/>
        <w:ind w:right="57"/>
        <w:contextualSpacing/>
        <w:jc w:val="both"/>
        <w:rPr>
          <w:rFonts w:ascii="Arial" w:eastAsia="PMingLiU" w:hAnsi="Arial" w:cs="Arial"/>
          <w:color w:val="000000"/>
          <w:sz w:val="20"/>
          <w:szCs w:val="20"/>
          <w:lang w:val="hr-HR" w:eastAsia="hr-HR" w:bidi="hr-HR"/>
        </w:rPr>
      </w:pPr>
    </w:p>
    <w:p w14:paraId="3F153F0B" w14:textId="77777777" w:rsidR="00587444" w:rsidRPr="00587444" w:rsidRDefault="00587444">
      <w:pPr>
        <w:numPr>
          <w:ilvl w:val="1"/>
          <w:numId w:val="53"/>
        </w:numPr>
        <w:tabs>
          <w:tab w:val="num" w:pos="1040"/>
          <w:tab w:val="left" w:pos="8640"/>
        </w:tabs>
        <w:suppressAutoHyphens w:val="0"/>
        <w:autoSpaceDN/>
        <w:ind w:left="1040" w:right="57"/>
        <w:contextualSpacing/>
        <w:jc w:val="both"/>
        <w:rPr>
          <w:rFonts w:ascii="Arial" w:eastAsia="PMingLiU" w:hAnsi="Arial" w:cs="Arial"/>
          <w:color w:val="000000"/>
          <w:sz w:val="20"/>
          <w:szCs w:val="20"/>
          <w:lang w:val="en-GB" w:eastAsia="hr-HR" w:bidi="hr-HR"/>
        </w:rPr>
      </w:pPr>
      <w:r w:rsidRPr="00587444">
        <w:rPr>
          <w:rFonts w:ascii="Arial" w:eastAsia="PMingLiU" w:hAnsi="Arial" w:cs="Arial"/>
          <w:color w:val="000000"/>
          <w:sz w:val="20"/>
          <w:szCs w:val="20"/>
          <w:lang w:val="en-GB" w:eastAsia="hr-HR" w:bidi="hr-HR"/>
        </w:rPr>
        <w:t>direct borrowers – small and medium-sized,</w:t>
      </w:r>
    </w:p>
    <w:p w14:paraId="2D206097" w14:textId="77777777" w:rsidR="00587444" w:rsidRPr="00587444" w:rsidRDefault="00587444">
      <w:pPr>
        <w:numPr>
          <w:ilvl w:val="1"/>
          <w:numId w:val="53"/>
        </w:numPr>
        <w:tabs>
          <w:tab w:val="num" w:pos="1040"/>
          <w:tab w:val="left" w:pos="8640"/>
        </w:tabs>
        <w:suppressAutoHyphens w:val="0"/>
        <w:autoSpaceDN/>
        <w:ind w:left="1040" w:right="57"/>
        <w:contextualSpacing/>
        <w:jc w:val="both"/>
        <w:rPr>
          <w:rFonts w:ascii="Arial" w:eastAsia="PMingLiU" w:hAnsi="Arial" w:cs="Arial"/>
          <w:color w:val="000000"/>
          <w:sz w:val="20"/>
          <w:szCs w:val="20"/>
          <w:lang w:val="en-GB" w:eastAsia="hr-HR" w:bidi="hr-HR"/>
        </w:rPr>
      </w:pPr>
      <w:r w:rsidRPr="00587444">
        <w:rPr>
          <w:rFonts w:ascii="Arial" w:eastAsia="PMingLiU" w:hAnsi="Arial" w:cs="Arial"/>
          <w:color w:val="000000"/>
          <w:sz w:val="20"/>
          <w:szCs w:val="20"/>
          <w:lang w:val="en-GB" w:eastAsia="hr-HR" w:bidi="hr-HR"/>
        </w:rPr>
        <w:t>direct borrowers – micro,</w:t>
      </w:r>
    </w:p>
    <w:p w14:paraId="4E26414B" w14:textId="77777777" w:rsidR="00587444" w:rsidRPr="00587444" w:rsidRDefault="00587444">
      <w:pPr>
        <w:numPr>
          <w:ilvl w:val="1"/>
          <w:numId w:val="53"/>
        </w:numPr>
        <w:tabs>
          <w:tab w:val="num" w:pos="1040"/>
          <w:tab w:val="left" w:pos="8640"/>
        </w:tabs>
        <w:suppressAutoHyphens w:val="0"/>
        <w:autoSpaceDN/>
        <w:ind w:left="1040" w:right="57"/>
        <w:contextualSpacing/>
        <w:jc w:val="both"/>
        <w:rPr>
          <w:rFonts w:ascii="Arial" w:eastAsia="PMingLiU" w:hAnsi="Arial" w:cs="Arial"/>
          <w:color w:val="000000"/>
          <w:sz w:val="20"/>
          <w:szCs w:val="20"/>
          <w:lang w:val="en-GB" w:eastAsia="hr-HR" w:bidi="hr-HR"/>
        </w:rPr>
      </w:pPr>
      <w:r w:rsidRPr="00587444">
        <w:rPr>
          <w:rFonts w:ascii="Arial" w:eastAsia="PMingLiU" w:hAnsi="Arial" w:cs="Arial"/>
          <w:color w:val="000000"/>
          <w:sz w:val="20"/>
          <w:szCs w:val="20"/>
          <w:lang w:val="en-GB" w:eastAsia="hr-HR" w:bidi="hr-HR"/>
        </w:rPr>
        <w:t>direct borrowers – citizens,</w:t>
      </w:r>
    </w:p>
    <w:p w14:paraId="2CA3BC2E" w14:textId="77777777" w:rsidR="00587444" w:rsidRPr="00587444" w:rsidRDefault="00587444">
      <w:pPr>
        <w:numPr>
          <w:ilvl w:val="1"/>
          <w:numId w:val="53"/>
        </w:numPr>
        <w:tabs>
          <w:tab w:val="num" w:pos="1040"/>
          <w:tab w:val="left" w:pos="8640"/>
        </w:tabs>
        <w:suppressAutoHyphens w:val="0"/>
        <w:autoSpaceDN/>
        <w:ind w:left="1040" w:right="57"/>
        <w:contextualSpacing/>
        <w:jc w:val="both"/>
        <w:rPr>
          <w:rFonts w:ascii="Arial" w:eastAsia="PMingLiU" w:hAnsi="Arial" w:cs="Arial"/>
          <w:color w:val="000000"/>
          <w:sz w:val="20"/>
          <w:szCs w:val="20"/>
          <w:lang w:val="en-GB" w:eastAsia="hr-HR" w:bidi="hr-HR"/>
        </w:rPr>
      </w:pPr>
      <w:r w:rsidRPr="00587444">
        <w:rPr>
          <w:rFonts w:ascii="Arial" w:eastAsia="PMingLiU" w:hAnsi="Arial" w:cs="Arial"/>
          <w:color w:val="000000"/>
          <w:sz w:val="20"/>
          <w:szCs w:val="20"/>
          <w:lang w:val="en-GB" w:eastAsia="hr-HR" w:bidi="hr-HR"/>
        </w:rPr>
        <w:t>others.</w:t>
      </w:r>
    </w:p>
    <w:p w14:paraId="2076F3B3" w14:textId="77777777" w:rsidR="00587444" w:rsidRPr="00587444" w:rsidRDefault="00587444" w:rsidP="00587444">
      <w:pPr>
        <w:tabs>
          <w:tab w:val="left" w:pos="8640"/>
        </w:tabs>
        <w:suppressAutoHyphens w:val="0"/>
        <w:autoSpaceDN/>
        <w:ind w:right="57"/>
        <w:contextualSpacing/>
        <w:jc w:val="both"/>
        <w:rPr>
          <w:rFonts w:ascii="Arial" w:eastAsia="PMingLiU" w:hAnsi="Arial" w:cs="Arial"/>
          <w:color w:val="000000"/>
          <w:sz w:val="20"/>
          <w:szCs w:val="20"/>
          <w:lang w:val="hr-HR" w:eastAsia="hr-HR" w:bidi="hr-HR"/>
        </w:rPr>
      </w:pPr>
    </w:p>
    <w:p w14:paraId="0E6FDC58" w14:textId="77777777" w:rsidR="00587444" w:rsidRPr="00587444" w:rsidRDefault="00587444" w:rsidP="00880B90">
      <w:pPr>
        <w:keepNext/>
        <w:autoSpaceDN/>
        <w:jc w:val="both"/>
        <w:rPr>
          <w:rFonts w:ascii="Arial" w:hAnsi="Arial" w:cs="Arial"/>
          <w:sz w:val="20"/>
          <w:szCs w:val="20"/>
        </w:rPr>
      </w:pPr>
      <w:r w:rsidRPr="00587444">
        <w:rPr>
          <w:rFonts w:ascii="Arial" w:hAnsi="Arial" w:cs="Arial"/>
          <w:sz w:val="20"/>
          <w:szCs w:val="20"/>
        </w:rPr>
        <w:t xml:space="preserve">By grouping financial instruments into homogeneous groups, it is ensured that in case of a significant increase in credit risk, the goal of </w:t>
      </w:r>
      <w:proofErr w:type="spellStart"/>
      <w:r w:rsidRPr="00587444">
        <w:rPr>
          <w:rFonts w:ascii="Arial" w:hAnsi="Arial" w:cs="Arial"/>
          <w:sz w:val="20"/>
          <w:szCs w:val="20"/>
        </w:rPr>
        <w:t>recognising</w:t>
      </w:r>
      <w:proofErr w:type="spellEnd"/>
      <w:r w:rsidRPr="00587444">
        <w:rPr>
          <w:rFonts w:ascii="Arial" w:hAnsi="Arial" w:cs="Arial"/>
          <w:sz w:val="20"/>
          <w:szCs w:val="20"/>
        </w:rPr>
        <w:t xml:space="preserve"> expected credit losses during the entire lifetime of a financial instrument is attained, even if the evidence on such significant increase in credit risk is still not available on the level of an individual instrument.</w:t>
      </w:r>
    </w:p>
    <w:p w14:paraId="7464C5ED" w14:textId="77777777" w:rsidR="00587444" w:rsidRPr="00587444" w:rsidRDefault="00587444" w:rsidP="00880B90">
      <w:pPr>
        <w:keepNext/>
        <w:autoSpaceDN/>
        <w:jc w:val="both"/>
        <w:rPr>
          <w:rFonts w:ascii="Arial" w:hAnsi="Arial" w:cs="Arial"/>
          <w:b/>
          <w:bCs/>
          <w:sz w:val="20"/>
          <w:szCs w:val="20"/>
        </w:rPr>
      </w:pPr>
      <w:bookmarkStart w:id="1052" w:name="_Hlk518470181"/>
      <w:bookmarkEnd w:id="1051"/>
    </w:p>
    <w:p w14:paraId="590A0A82" w14:textId="77777777" w:rsidR="00587444" w:rsidRPr="00587444" w:rsidRDefault="00587444" w:rsidP="00880B90">
      <w:pPr>
        <w:autoSpaceDN/>
        <w:rPr>
          <w:rFonts w:ascii="Arial" w:eastAsia="Calibri" w:hAnsi="Arial" w:cs="Arial"/>
          <w:b/>
          <w:sz w:val="20"/>
          <w:szCs w:val="20"/>
        </w:rPr>
      </w:pPr>
      <w:r w:rsidRPr="00587444">
        <w:rPr>
          <w:rFonts w:ascii="Arial" w:eastAsia="Calibri" w:hAnsi="Arial" w:cs="Arial"/>
          <w:b/>
          <w:sz w:val="20"/>
          <w:szCs w:val="20"/>
        </w:rPr>
        <w:t>31.3.3. Analysis of input for ECL model within the framework of impact of macroeconomic conditions on PD</w:t>
      </w:r>
      <w:r w:rsidRPr="00587444" w:rsidDel="00184ADB">
        <w:rPr>
          <w:rFonts w:ascii="Arial" w:eastAsia="Calibri" w:hAnsi="Arial" w:cs="Arial"/>
          <w:b/>
          <w:sz w:val="20"/>
          <w:szCs w:val="20"/>
          <w:highlight w:val="yellow"/>
        </w:rPr>
        <w:t xml:space="preserve"> </w:t>
      </w:r>
    </w:p>
    <w:p w14:paraId="71420F57" w14:textId="77777777" w:rsidR="00587444" w:rsidRPr="00587444" w:rsidRDefault="00587444" w:rsidP="00880B90">
      <w:pPr>
        <w:keepNext/>
        <w:autoSpaceDN/>
        <w:jc w:val="both"/>
        <w:rPr>
          <w:rFonts w:ascii="Arial" w:hAnsi="Arial" w:cs="Arial"/>
          <w:b/>
          <w:bCs/>
          <w:sz w:val="20"/>
          <w:szCs w:val="20"/>
        </w:rPr>
      </w:pPr>
    </w:p>
    <w:p w14:paraId="0E536EF3"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When including any information about the future, available sources (Croatian National Bank, Croatian Bureau of Statistics) on macroeconomic conditions are used with a view to projecting their impact on the current value of risk parameters.</w:t>
      </w:r>
    </w:p>
    <w:p w14:paraId="31D41AF3" w14:textId="77777777" w:rsidR="00587444" w:rsidRPr="00587444" w:rsidRDefault="00587444" w:rsidP="00880B90">
      <w:pPr>
        <w:autoSpaceDN/>
        <w:jc w:val="both"/>
        <w:rPr>
          <w:rFonts w:ascii="Arial" w:hAnsi="Arial" w:cs="Arial"/>
          <w:sz w:val="20"/>
          <w:szCs w:val="20"/>
          <w:highlight w:val="yellow"/>
        </w:rPr>
      </w:pPr>
    </w:p>
    <w:p w14:paraId="311A985F"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Based on a historical analysis of impact of macroeconomic conditions and the available macroeconomic forecasts, a potential impact of future movement of macroeconomic conditions on the value of risk parameters is established by using the scenarios with related probabilities of occurrence of an individual scenario.</w:t>
      </w:r>
    </w:p>
    <w:p w14:paraId="645441E9" w14:textId="77777777" w:rsidR="00587444" w:rsidRPr="00587444" w:rsidRDefault="00587444" w:rsidP="00880B90">
      <w:pPr>
        <w:autoSpaceDN/>
        <w:jc w:val="both"/>
        <w:rPr>
          <w:rFonts w:ascii="Arial" w:hAnsi="Arial" w:cs="Arial"/>
          <w:sz w:val="20"/>
          <w:szCs w:val="20"/>
          <w:highlight w:val="yellow"/>
        </w:rPr>
      </w:pPr>
    </w:p>
    <w:p w14:paraId="0F7179D7" w14:textId="77777777" w:rsidR="00587444" w:rsidRPr="00587444" w:rsidRDefault="00587444" w:rsidP="00880B90">
      <w:pPr>
        <w:autoSpaceDN/>
        <w:jc w:val="both"/>
        <w:rPr>
          <w:rFonts w:ascii="Arial" w:eastAsia="Calibri" w:hAnsi="Arial" w:cs="Arial"/>
          <w:sz w:val="20"/>
          <w:szCs w:val="20"/>
          <w:lang w:val="en-GB"/>
        </w:rPr>
      </w:pPr>
      <w:r w:rsidRPr="00587444">
        <w:rPr>
          <w:rFonts w:ascii="Arial" w:eastAsia="Calibri" w:hAnsi="Arial" w:cs="Arial"/>
          <w:sz w:val="20"/>
          <w:szCs w:val="20"/>
          <w:lang w:val="en-GB"/>
        </w:rPr>
        <w:t xml:space="preserve">When estimating expected credit losses through the application of previous experiences on credit losses, the data on earlier credit losses rates are applied to the entire portfolio of direct loans; and through the application of a certain method, connecting of a single group of financial instruments with the data on earlier experience on credit losses in the groups of financial instruments with similar characteristics of credit risk has been made possible as well as with important relevant data reflecting the current status. </w:t>
      </w:r>
    </w:p>
    <w:p w14:paraId="0F5BD9B1" w14:textId="77777777" w:rsidR="00587444" w:rsidRPr="00587444" w:rsidRDefault="00587444" w:rsidP="00880B90">
      <w:pPr>
        <w:autoSpaceDN/>
        <w:jc w:val="both"/>
        <w:rPr>
          <w:rFonts w:ascii="Arial" w:hAnsi="Arial" w:cs="Arial"/>
          <w:sz w:val="20"/>
          <w:szCs w:val="20"/>
          <w:highlight w:val="yellow"/>
        </w:rPr>
      </w:pPr>
    </w:p>
    <w:p w14:paraId="51BB11B3"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The expected credit losses reflect the Bank’s expectations in respect of credit losses. However, when the Group, during the estimation of such expected credit losses, considers all reasonable and reliable data that are available with no necessary costs and efforts, the Bank also considers appropriate market data on the credit risk of a certain financial instrument or similar financial instruments.</w:t>
      </w:r>
    </w:p>
    <w:p w14:paraId="10A2D4ED" w14:textId="77777777" w:rsidR="00587444" w:rsidRPr="00587444" w:rsidRDefault="00587444" w:rsidP="00880B90">
      <w:pPr>
        <w:autoSpaceDN/>
        <w:jc w:val="both"/>
        <w:rPr>
          <w:rFonts w:ascii="Arial" w:hAnsi="Arial" w:cs="Arial"/>
          <w:sz w:val="20"/>
          <w:szCs w:val="20"/>
          <w:highlight w:val="yellow"/>
        </w:rPr>
      </w:pPr>
    </w:p>
    <w:p w14:paraId="51CF33DB" w14:textId="77777777" w:rsidR="00587444" w:rsidRPr="00587444" w:rsidRDefault="00587444" w:rsidP="00880B90">
      <w:pPr>
        <w:autoSpaceDN/>
        <w:jc w:val="both"/>
        <w:rPr>
          <w:rFonts w:ascii="Arial" w:eastAsia="Calibri" w:hAnsi="Arial" w:cs="Arial"/>
          <w:sz w:val="20"/>
          <w:szCs w:val="20"/>
          <w:lang w:val="en-GB"/>
        </w:rPr>
      </w:pPr>
      <w:r w:rsidRPr="00587444">
        <w:rPr>
          <w:rFonts w:ascii="Arial" w:eastAsia="Calibri" w:hAnsi="Arial" w:cs="Arial"/>
          <w:sz w:val="20"/>
          <w:szCs w:val="20"/>
          <w:lang w:val="en-GB"/>
        </w:rPr>
        <w:t>For the calculation of expected credit losses, the Bank uses a large number of macroeconomic conditions, for one of which (GDP real growth rate) correlations on total PDs have been established for the entire portfolio of direct loans.</w:t>
      </w:r>
    </w:p>
    <w:p w14:paraId="15053566" w14:textId="77777777" w:rsidR="00587444" w:rsidRPr="00587444" w:rsidRDefault="00587444" w:rsidP="00587444">
      <w:pPr>
        <w:suppressAutoHyphens w:val="0"/>
        <w:autoSpaceDN/>
        <w:jc w:val="both"/>
        <w:rPr>
          <w:rFonts w:ascii="Arial" w:hAnsi="Arial" w:cs="Arial"/>
          <w:sz w:val="20"/>
          <w:szCs w:val="20"/>
        </w:rPr>
        <w:sectPr w:rsidR="00587444" w:rsidRPr="00587444" w:rsidSect="00DD69E7">
          <w:pgSz w:w="11906" w:h="16838" w:code="9"/>
          <w:pgMar w:top="1418" w:right="1418" w:bottom="595" w:left="1134" w:header="851" w:footer="851" w:gutter="0"/>
          <w:cols w:space="720"/>
          <w:noEndnote/>
        </w:sectPr>
      </w:pPr>
    </w:p>
    <w:bookmarkEnd w:id="1052"/>
    <w:p w14:paraId="03DE3F8F" w14:textId="77777777" w:rsidR="00587444" w:rsidRPr="00587444" w:rsidRDefault="00587444" w:rsidP="00587444">
      <w:pPr>
        <w:suppressAutoHyphens w:val="0"/>
        <w:autoSpaceDN/>
        <w:jc w:val="both"/>
        <w:rPr>
          <w:rFonts w:ascii="Arial" w:hAnsi="Arial" w:cs="Arial"/>
          <w:sz w:val="20"/>
          <w:szCs w:val="20"/>
        </w:rPr>
      </w:pPr>
    </w:p>
    <w:p w14:paraId="0038F897"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24A56FB4" w14:textId="77777777" w:rsidR="00587444" w:rsidRPr="00587444" w:rsidRDefault="00587444" w:rsidP="00587444">
      <w:pPr>
        <w:keepNext/>
        <w:suppressAutoHyphens w:val="0"/>
        <w:autoSpaceDN/>
        <w:jc w:val="both"/>
        <w:rPr>
          <w:rFonts w:ascii="Arial" w:hAnsi="Arial" w:cs="Arial"/>
          <w:b/>
          <w:bCs/>
          <w:sz w:val="20"/>
          <w:szCs w:val="20"/>
        </w:rPr>
      </w:pPr>
    </w:p>
    <w:p w14:paraId="79BB24BB"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1B7D0815" w14:textId="77777777" w:rsidR="00587444" w:rsidRPr="00587444" w:rsidRDefault="00587444" w:rsidP="00587444">
      <w:pPr>
        <w:suppressAutoHyphens w:val="0"/>
        <w:autoSpaceDN/>
        <w:jc w:val="both"/>
        <w:rPr>
          <w:rFonts w:ascii="Arial" w:hAnsi="Arial" w:cs="Arial"/>
          <w:b/>
          <w:sz w:val="20"/>
          <w:szCs w:val="20"/>
        </w:rPr>
      </w:pPr>
    </w:p>
    <w:p w14:paraId="26ABC1B5" w14:textId="77777777" w:rsidR="00587444" w:rsidRPr="00587444" w:rsidRDefault="00587444" w:rsidP="00880B90">
      <w:pPr>
        <w:autoSpaceDN/>
        <w:rPr>
          <w:rFonts w:ascii="Arial" w:eastAsia="Calibri" w:hAnsi="Arial" w:cs="Arial"/>
          <w:b/>
          <w:sz w:val="20"/>
          <w:szCs w:val="20"/>
        </w:rPr>
      </w:pPr>
      <w:r w:rsidRPr="00587444">
        <w:rPr>
          <w:rFonts w:ascii="Arial" w:eastAsia="Calibri" w:hAnsi="Arial" w:cs="Arial"/>
          <w:b/>
          <w:sz w:val="20"/>
          <w:szCs w:val="20"/>
        </w:rPr>
        <w:t>31.3.3. Analysis of input for ECL model within the framework of impact of macroeconomic conditions on PD</w:t>
      </w:r>
      <w:r w:rsidRPr="00587444" w:rsidDel="00184ADB">
        <w:rPr>
          <w:rFonts w:ascii="Arial" w:eastAsia="Calibri" w:hAnsi="Arial" w:cs="Arial"/>
          <w:b/>
          <w:sz w:val="20"/>
          <w:szCs w:val="20"/>
        </w:rPr>
        <w:t xml:space="preserve"> </w:t>
      </w:r>
      <w:r w:rsidRPr="00587444">
        <w:rPr>
          <w:rFonts w:ascii="Arial" w:eastAsia="Calibri" w:hAnsi="Arial" w:cs="Arial"/>
          <w:b/>
          <w:sz w:val="20"/>
          <w:szCs w:val="20"/>
        </w:rPr>
        <w:t>(continued)</w:t>
      </w:r>
    </w:p>
    <w:p w14:paraId="2632F973" w14:textId="77777777" w:rsidR="00587444" w:rsidRPr="00587444" w:rsidRDefault="00587444" w:rsidP="00880B90">
      <w:pPr>
        <w:autoSpaceDN/>
        <w:jc w:val="both"/>
        <w:rPr>
          <w:rFonts w:ascii="Arial" w:hAnsi="Arial" w:cs="Arial"/>
          <w:b/>
          <w:sz w:val="20"/>
          <w:szCs w:val="20"/>
        </w:rPr>
      </w:pPr>
    </w:p>
    <w:p w14:paraId="0C986934" w14:textId="77777777" w:rsidR="00587444" w:rsidRPr="00587444" w:rsidRDefault="00587444" w:rsidP="00880B90">
      <w:pPr>
        <w:keepNext/>
        <w:tabs>
          <w:tab w:val="left" w:pos="426"/>
        </w:tabs>
        <w:autoSpaceDN/>
        <w:jc w:val="both"/>
        <w:rPr>
          <w:rFonts w:ascii="Arial" w:hAnsi="Arial" w:cs="Arial"/>
          <w:bCs/>
          <w:sz w:val="20"/>
          <w:szCs w:val="20"/>
        </w:rPr>
      </w:pPr>
      <w:r w:rsidRPr="00587444">
        <w:rPr>
          <w:rFonts w:ascii="Arial" w:hAnsi="Arial" w:cs="Arial"/>
          <w:bCs/>
          <w:sz w:val="20"/>
          <w:szCs w:val="20"/>
        </w:rPr>
        <w:t>In order to determine the impact of future macroeconomic conditions on expected credit losses, by analysis based on historical data, the connection between macroeconomic conditions and PD is identified. After that, the impact of macroeconomic forecasts on PD values is estimated and the ratio is calculated, by means of which the estimated value of PD in two scenarios, an optimistic and a pessimistic one, is corrected.</w:t>
      </w:r>
    </w:p>
    <w:p w14:paraId="4E089AC0" w14:textId="77777777" w:rsidR="00587444" w:rsidRPr="00587444" w:rsidRDefault="00587444" w:rsidP="00880B90">
      <w:pPr>
        <w:autoSpaceDN/>
        <w:jc w:val="both"/>
        <w:rPr>
          <w:rFonts w:ascii="Arial" w:hAnsi="Arial" w:cs="Arial"/>
          <w:sz w:val="20"/>
          <w:szCs w:val="20"/>
        </w:rPr>
      </w:pPr>
    </w:p>
    <w:p w14:paraId="3B258DB2" w14:textId="77777777" w:rsidR="00587444" w:rsidRPr="00587444" w:rsidRDefault="00587444" w:rsidP="00880B90">
      <w:pPr>
        <w:autoSpaceDN/>
        <w:spacing w:line="300" w:lineRule="exact"/>
        <w:rPr>
          <w:rFonts w:ascii="Arial" w:eastAsia="Calibri" w:hAnsi="Arial" w:cs="Arial"/>
          <w:b/>
          <w:sz w:val="20"/>
          <w:szCs w:val="20"/>
        </w:rPr>
      </w:pPr>
      <w:r w:rsidRPr="00587444">
        <w:rPr>
          <w:rFonts w:ascii="Arial" w:eastAsia="Calibri" w:hAnsi="Arial" w:cs="Arial"/>
          <w:b/>
          <w:sz w:val="20"/>
          <w:szCs w:val="20"/>
          <w:lang w:eastAsia="hr-HR"/>
        </w:rPr>
        <w:t>31.3.4. Quantitative analysis of the reliability of the information used to calculate the ECL allowance</w:t>
      </w:r>
      <w:r w:rsidRPr="00587444">
        <w:rPr>
          <w:rFonts w:ascii="Arial" w:eastAsia="Calibri" w:hAnsi="Arial" w:cs="Arial"/>
          <w:b/>
          <w:sz w:val="20"/>
          <w:szCs w:val="20"/>
        </w:rPr>
        <w:t xml:space="preserve"> </w:t>
      </w:r>
    </w:p>
    <w:p w14:paraId="2AB9A641" w14:textId="77777777" w:rsidR="00587444" w:rsidRPr="00587444" w:rsidRDefault="00587444" w:rsidP="00880B90">
      <w:pPr>
        <w:autoSpaceDN/>
        <w:jc w:val="both"/>
        <w:rPr>
          <w:rFonts w:ascii="Arial" w:hAnsi="Arial" w:cs="Arial"/>
          <w:sz w:val="20"/>
          <w:szCs w:val="20"/>
        </w:rPr>
      </w:pPr>
    </w:p>
    <w:p w14:paraId="2F2BD51F" w14:textId="77777777" w:rsidR="00587444" w:rsidRPr="00587444" w:rsidRDefault="00587444" w:rsidP="00880B90">
      <w:pPr>
        <w:autoSpaceDN/>
        <w:spacing w:line="300" w:lineRule="exact"/>
        <w:jc w:val="both"/>
        <w:rPr>
          <w:rFonts w:ascii="Arial" w:eastAsia="Calibri" w:hAnsi="Arial" w:cs="Arial"/>
          <w:sz w:val="20"/>
          <w:szCs w:val="20"/>
        </w:rPr>
      </w:pPr>
      <w:r w:rsidRPr="00587444">
        <w:rPr>
          <w:rFonts w:ascii="Arial" w:eastAsia="Calibri" w:hAnsi="Arial" w:cs="Arial"/>
          <w:sz w:val="20"/>
          <w:szCs w:val="20"/>
        </w:rPr>
        <w:t xml:space="preserve">For the application of macroeconomic factors, the Bank uses a methodology with the level of reliability of 90%. </w:t>
      </w:r>
    </w:p>
    <w:p w14:paraId="3F9BC101" w14:textId="77777777" w:rsidR="00587444" w:rsidRPr="00587444" w:rsidRDefault="00587444" w:rsidP="00880B90">
      <w:pPr>
        <w:autoSpaceDN/>
        <w:jc w:val="both"/>
        <w:rPr>
          <w:rFonts w:ascii="Arial" w:hAnsi="Arial" w:cs="Arial"/>
          <w:sz w:val="20"/>
          <w:szCs w:val="20"/>
        </w:rPr>
      </w:pPr>
    </w:p>
    <w:p w14:paraId="55482CC9" w14:textId="77777777" w:rsidR="00587444" w:rsidRPr="00587444" w:rsidRDefault="00587444" w:rsidP="00880B90">
      <w:pPr>
        <w:autoSpaceDN/>
        <w:spacing w:line="300" w:lineRule="exact"/>
        <w:rPr>
          <w:rFonts w:ascii="Arial" w:eastAsia="Calibri" w:hAnsi="Arial" w:cs="Arial"/>
          <w:sz w:val="20"/>
          <w:szCs w:val="20"/>
        </w:rPr>
      </w:pPr>
      <w:bookmarkStart w:id="1053" w:name="_Hlk518470277"/>
      <w:r w:rsidRPr="00587444">
        <w:rPr>
          <w:rFonts w:ascii="Arial" w:eastAsia="Calibri" w:hAnsi="Arial" w:cs="Arial"/>
          <w:b/>
          <w:sz w:val="20"/>
          <w:szCs w:val="20"/>
        </w:rPr>
        <w:t>31.3.5. Overview of modified and restructured loans</w:t>
      </w:r>
    </w:p>
    <w:p w14:paraId="4CEB0AAA" w14:textId="77777777" w:rsidR="00587444" w:rsidRPr="00587444" w:rsidRDefault="00587444" w:rsidP="00880B90">
      <w:pPr>
        <w:autoSpaceDN/>
        <w:spacing w:line="260" w:lineRule="exact"/>
        <w:rPr>
          <w:rFonts w:ascii="Arial" w:eastAsia="Calibri" w:hAnsi="Arial" w:cs="Arial"/>
          <w:sz w:val="20"/>
          <w:szCs w:val="20"/>
        </w:rPr>
      </w:pPr>
    </w:p>
    <w:p w14:paraId="7004E7F5"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Any amendment to the contractual provisions resulting in the conversion of contractual cash flows from financial assets is deemed to be modification.</w:t>
      </w:r>
    </w:p>
    <w:p w14:paraId="074397CC"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A change of placement terms and conditions includes changes to certain contractual terms defined, mostly for the purpose of adaptation to changes during the implementation of an investment, and possibly also during repayments, and not caused by financial difficulties of the client. The amended terms would most frequently be accepted when approved if known or are the result of circumstances not controlled by the client.</w:t>
      </w:r>
    </w:p>
    <w:p w14:paraId="47230EE7" w14:textId="77777777" w:rsidR="00587444" w:rsidRPr="00587444" w:rsidRDefault="00587444" w:rsidP="00880B90">
      <w:pPr>
        <w:autoSpaceDN/>
        <w:jc w:val="both"/>
        <w:rPr>
          <w:rFonts w:ascii="Arial" w:hAnsi="Arial" w:cs="Arial"/>
          <w:sz w:val="20"/>
          <w:szCs w:val="20"/>
          <w:highlight w:val="yellow"/>
        </w:rPr>
      </w:pPr>
    </w:p>
    <w:p w14:paraId="26FF8AB0"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Any changes in contractual obligations, by which a concession is made to the client that is considered to be in financial difficulties, are deemed to be rescheduling or restructuring. Concession may relate to any of the following measures:</w:t>
      </w:r>
    </w:p>
    <w:p w14:paraId="34784274" w14:textId="77777777" w:rsidR="00587444" w:rsidRPr="00587444" w:rsidRDefault="00587444" w:rsidP="00880B90">
      <w:pPr>
        <w:numPr>
          <w:ilvl w:val="0"/>
          <w:numId w:val="54"/>
        </w:numPr>
        <w:autoSpaceDN/>
        <w:jc w:val="both"/>
        <w:rPr>
          <w:rFonts w:ascii="Arial" w:hAnsi="Arial" w:cs="Arial"/>
          <w:bCs/>
          <w:sz w:val="20"/>
          <w:szCs w:val="20"/>
        </w:rPr>
      </w:pPr>
      <w:r w:rsidRPr="00587444">
        <w:rPr>
          <w:rFonts w:ascii="Arial" w:hAnsi="Arial" w:cs="Arial"/>
          <w:sz w:val="20"/>
          <w:szCs w:val="20"/>
        </w:rPr>
        <w:t>change of earlier contractual terms and conditions that are considered impossible to be met by the client and lead to the loss of its ability to settle liabilities and which would not be approved if the borrower had no financial difficulties (e.g. interest rate reduction, reduction or cancellation of interest income, change in principal amount, change or prolongation of repayment terms etc.)</w:t>
      </w:r>
    </w:p>
    <w:p w14:paraId="049A1EAE" w14:textId="77777777" w:rsidR="00587444" w:rsidRPr="00587444" w:rsidRDefault="00587444" w:rsidP="00880B90">
      <w:pPr>
        <w:numPr>
          <w:ilvl w:val="0"/>
          <w:numId w:val="54"/>
        </w:numPr>
        <w:autoSpaceDN/>
        <w:jc w:val="both"/>
        <w:rPr>
          <w:rFonts w:ascii="Arial" w:hAnsi="Arial" w:cs="Arial"/>
          <w:bCs/>
          <w:sz w:val="20"/>
          <w:szCs w:val="20"/>
        </w:rPr>
      </w:pPr>
      <w:r w:rsidRPr="00587444">
        <w:rPr>
          <w:rFonts w:ascii="Arial" w:hAnsi="Arial" w:cs="Arial"/>
          <w:sz w:val="20"/>
          <w:szCs w:val="20"/>
        </w:rPr>
        <w:t>complete or partial refinancing of placements that would not be approved if the debtor had no financial difficulties.</w:t>
      </w:r>
    </w:p>
    <w:p w14:paraId="2797B814" w14:textId="77777777" w:rsidR="00587444" w:rsidRPr="00587444" w:rsidRDefault="00587444" w:rsidP="00880B90">
      <w:pPr>
        <w:autoSpaceDN/>
        <w:jc w:val="both"/>
        <w:rPr>
          <w:rFonts w:ascii="Arial" w:hAnsi="Arial" w:cs="Arial"/>
          <w:sz w:val="20"/>
          <w:szCs w:val="20"/>
          <w:highlight w:val="yellow"/>
        </w:rPr>
      </w:pPr>
    </w:p>
    <w:p w14:paraId="027D99F5"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Evidence on concession includes the following:</w:t>
      </w:r>
    </w:p>
    <w:p w14:paraId="2787F272" w14:textId="77777777" w:rsidR="00587444" w:rsidRPr="00587444" w:rsidRDefault="00587444" w:rsidP="00880B90">
      <w:pPr>
        <w:numPr>
          <w:ilvl w:val="0"/>
          <w:numId w:val="55"/>
        </w:numPr>
        <w:autoSpaceDN/>
        <w:jc w:val="both"/>
        <w:rPr>
          <w:rFonts w:ascii="Arial" w:hAnsi="Arial" w:cs="Arial"/>
          <w:bCs/>
          <w:sz w:val="20"/>
          <w:szCs w:val="20"/>
        </w:rPr>
      </w:pPr>
      <w:r w:rsidRPr="00587444">
        <w:rPr>
          <w:rFonts w:ascii="Arial" w:hAnsi="Arial" w:cs="Arial"/>
          <w:sz w:val="20"/>
          <w:szCs w:val="20"/>
        </w:rPr>
        <w:t>the difference in favor of the client between the changed terms and conditions of the contract and former terms and conditions of the contract,</w:t>
      </w:r>
    </w:p>
    <w:p w14:paraId="256CB9DD" w14:textId="77777777" w:rsidR="00587444" w:rsidRPr="00587444" w:rsidRDefault="00587444" w:rsidP="00880B90">
      <w:pPr>
        <w:numPr>
          <w:ilvl w:val="0"/>
          <w:numId w:val="55"/>
        </w:numPr>
        <w:autoSpaceDN/>
        <w:jc w:val="both"/>
        <w:rPr>
          <w:rFonts w:ascii="Arial" w:hAnsi="Arial" w:cs="Arial"/>
          <w:bCs/>
          <w:sz w:val="20"/>
          <w:szCs w:val="20"/>
        </w:rPr>
      </w:pPr>
      <w:r w:rsidRPr="00587444">
        <w:rPr>
          <w:rFonts w:ascii="Arial" w:hAnsi="Arial" w:cs="Arial"/>
          <w:sz w:val="20"/>
          <w:szCs w:val="20"/>
        </w:rPr>
        <w:t>inclusion of more favorable terms and conditions in the changed contract as compared to the terms and conditions that other debtors with a similar risk profile in the Bank portfolio could have obtained.</w:t>
      </w:r>
    </w:p>
    <w:p w14:paraId="57231179" w14:textId="77777777" w:rsidR="00587444" w:rsidRPr="00587444" w:rsidRDefault="00587444" w:rsidP="00880B90">
      <w:pPr>
        <w:autoSpaceDN/>
        <w:jc w:val="both"/>
        <w:rPr>
          <w:rFonts w:ascii="Arial" w:hAnsi="Arial" w:cs="Arial"/>
          <w:b/>
          <w:sz w:val="20"/>
          <w:szCs w:val="20"/>
        </w:rPr>
      </w:pPr>
    </w:p>
    <w:p w14:paraId="77624604" w14:textId="77777777" w:rsidR="00587444" w:rsidRPr="00587444" w:rsidRDefault="00587444" w:rsidP="00880B90">
      <w:pPr>
        <w:autoSpaceDN/>
        <w:rPr>
          <w:rFonts w:ascii="Arial" w:hAnsi="Arial" w:cs="Arial"/>
          <w:sz w:val="20"/>
          <w:szCs w:val="20"/>
        </w:rPr>
        <w:sectPr w:rsidR="00587444" w:rsidRPr="00587444" w:rsidSect="00DD69E7">
          <w:footerReference w:type="first" r:id="rId87"/>
          <w:pgSz w:w="11906" w:h="16838" w:code="9"/>
          <w:pgMar w:top="1418" w:right="1418" w:bottom="595" w:left="1134" w:header="709" w:footer="709" w:gutter="0"/>
          <w:cols w:space="708"/>
          <w:titlePg/>
          <w:docGrid w:linePitch="360"/>
        </w:sectPr>
      </w:pPr>
      <w:r w:rsidRPr="00587444">
        <w:rPr>
          <w:rFonts w:ascii="Arial" w:hAnsi="Arial" w:cs="Arial"/>
          <w:sz w:val="20"/>
          <w:szCs w:val="20"/>
        </w:rPr>
        <w:t>Rescheduling is considered any change of the originally agreed loan terms and conditions due to temporary financial difficulties of the client. Restructuring is considered any change of the originally agreed loan terms and conditions due to significant financial difficulties of the client that needs financial, business and operational restructuring, i.e. the client that is already in default.</w:t>
      </w:r>
    </w:p>
    <w:p w14:paraId="1024F959" w14:textId="77777777" w:rsidR="00587444" w:rsidRPr="00587444" w:rsidRDefault="00587444" w:rsidP="00587444">
      <w:pPr>
        <w:keepNext/>
        <w:suppressAutoHyphens w:val="0"/>
        <w:autoSpaceDN/>
        <w:jc w:val="both"/>
        <w:rPr>
          <w:rFonts w:ascii="Arial" w:hAnsi="Arial" w:cs="Arial"/>
          <w:b/>
          <w:bCs/>
          <w:sz w:val="20"/>
          <w:szCs w:val="20"/>
        </w:rPr>
      </w:pPr>
    </w:p>
    <w:p w14:paraId="757E8267"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115D96AB" w14:textId="77777777" w:rsidR="00587444" w:rsidRPr="00587444" w:rsidRDefault="00587444" w:rsidP="00587444">
      <w:pPr>
        <w:keepNext/>
        <w:suppressAutoHyphens w:val="0"/>
        <w:autoSpaceDN/>
        <w:jc w:val="both"/>
        <w:rPr>
          <w:rFonts w:ascii="Arial" w:hAnsi="Arial" w:cs="Arial"/>
          <w:b/>
          <w:bCs/>
          <w:sz w:val="20"/>
          <w:szCs w:val="20"/>
        </w:rPr>
      </w:pPr>
    </w:p>
    <w:p w14:paraId="4E69CB4D"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4BA9371E" w14:textId="77777777" w:rsidR="00587444" w:rsidRPr="00587444" w:rsidRDefault="00587444" w:rsidP="00587444">
      <w:pPr>
        <w:suppressAutoHyphens w:val="0"/>
        <w:autoSpaceDN/>
        <w:jc w:val="both"/>
        <w:rPr>
          <w:rFonts w:ascii="Arial" w:hAnsi="Arial" w:cs="Arial"/>
          <w:b/>
          <w:sz w:val="20"/>
          <w:szCs w:val="20"/>
        </w:rPr>
      </w:pPr>
    </w:p>
    <w:p w14:paraId="35B45430" w14:textId="77777777" w:rsidR="00587444" w:rsidRPr="00587444" w:rsidRDefault="00587444" w:rsidP="00880B90">
      <w:pPr>
        <w:keepNext/>
        <w:autoSpaceDN/>
        <w:jc w:val="both"/>
        <w:rPr>
          <w:rFonts w:ascii="Arial" w:hAnsi="Arial" w:cs="Arial"/>
          <w:b/>
          <w:bCs/>
          <w:sz w:val="20"/>
          <w:szCs w:val="20"/>
        </w:rPr>
      </w:pPr>
      <w:r w:rsidRPr="00587444">
        <w:rPr>
          <w:rFonts w:ascii="Arial" w:hAnsi="Arial" w:cs="Arial"/>
          <w:b/>
          <w:bCs/>
          <w:sz w:val="20"/>
          <w:szCs w:val="20"/>
        </w:rPr>
        <w:t>31.3.6. Analysis of risk concentration</w:t>
      </w:r>
    </w:p>
    <w:p w14:paraId="620E8A8E" w14:textId="77777777" w:rsidR="00587444" w:rsidRPr="00587444" w:rsidRDefault="00587444" w:rsidP="00880B90">
      <w:pPr>
        <w:keepNext/>
        <w:autoSpaceDN/>
        <w:jc w:val="both"/>
        <w:rPr>
          <w:rFonts w:ascii="Arial" w:hAnsi="Arial" w:cs="Arial"/>
          <w:b/>
          <w:bCs/>
          <w:sz w:val="20"/>
          <w:szCs w:val="20"/>
        </w:rPr>
      </w:pPr>
    </w:p>
    <w:p w14:paraId="62E6509C"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Through its development loan </w:t>
      </w:r>
      <w:proofErr w:type="spellStart"/>
      <w:r w:rsidRPr="00587444">
        <w:rPr>
          <w:rFonts w:ascii="Arial" w:hAnsi="Arial" w:cs="Arial"/>
          <w:sz w:val="20"/>
          <w:szCs w:val="20"/>
        </w:rPr>
        <w:t>programmes</w:t>
      </w:r>
      <w:proofErr w:type="spellEnd"/>
      <w:r w:rsidRPr="00587444">
        <w:rPr>
          <w:rFonts w:ascii="Arial" w:hAnsi="Arial" w:cs="Arial"/>
          <w:sz w:val="20"/>
          <w:szCs w:val="20"/>
        </w:rPr>
        <w:t xml:space="preserve">, the Bank encompasses the area of the entire Republic of Croatia with emphasis on supported areas. Credit risk is spread across geographic areas, industries, </w:t>
      </w:r>
      <w:proofErr w:type="gramStart"/>
      <w:r w:rsidRPr="00587444">
        <w:rPr>
          <w:rFonts w:ascii="Arial" w:hAnsi="Arial" w:cs="Arial"/>
          <w:sz w:val="20"/>
          <w:szCs w:val="20"/>
        </w:rPr>
        <w:t>sectors</w:t>
      </w:r>
      <w:proofErr w:type="gramEnd"/>
      <w:r w:rsidRPr="00587444">
        <w:rPr>
          <w:rFonts w:ascii="Arial" w:hAnsi="Arial" w:cs="Arial"/>
          <w:sz w:val="20"/>
          <w:szCs w:val="20"/>
        </w:rPr>
        <w:t xml:space="preserve"> and loan </w:t>
      </w:r>
      <w:proofErr w:type="spellStart"/>
      <w:r w:rsidRPr="00587444">
        <w:rPr>
          <w:rFonts w:ascii="Arial" w:hAnsi="Arial" w:cs="Arial"/>
          <w:sz w:val="20"/>
          <w:szCs w:val="20"/>
        </w:rPr>
        <w:t>programmes</w:t>
      </w:r>
      <w:proofErr w:type="spellEnd"/>
      <w:r w:rsidRPr="00587444">
        <w:rPr>
          <w:rFonts w:ascii="Arial" w:hAnsi="Arial" w:cs="Arial"/>
          <w:sz w:val="20"/>
          <w:szCs w:val="20"/>
        </w:rPr>
        <w:t xml:space="preserve">. The Bank seeks to avoid excessive concentration of credit risk and support the development of less developed areas of the Republic of Croatia through more favorable terms and conditions and new loan </w:t>
      </w:r>
      <w:proofErr w:type="spellStart"/>
      <w:r w:rsidRPr="00587444">
        <w:rPr>
          <w:rFonts w:ascii="Arial" w:hAnsi="Arial" w:cs="Arial"/>
          <w:sz w:val="20"/>
          <w:szCs w:val="20"/>
        </w:rPr>
        <w:t>programmes</w:t>
      </w:r>
      <w:proofErr w:type="spellEnd"/>
      <w:r w:rsidRPr="00587444">
        <w:rPr>
          <w:rFonts w:ascii="Arial" w:hAnsi="Arial" w:cs="Arial"/>
          <w:sz w:val="20"/>
          <w:szCs w:val="20"/>
        </w:rPr>
        <w:t xml:space="preserve"> (products) in accordance with the national strategy of development of certain activities. </w:t>
      </w:r>
    </w:p>
    <w:p w14:paraId="38AF6782" w14:textId="77777777" w:rsidR="00587444" w:rsidRPr="00587444" w:rsidRDefault="00587444" w:rsidP="00880B90">
      <w:pPr>
        <w:autoSpaceDN/>
        <w:jc w:val="both"/>
        <w:rPr>
          <w:rFonts w:ascii="Arial" w:hAnsi="Arial" w:cs="Arial"/>
          <w:sz w:val="20"/>
          <w:szCs w:val="20"/>
          <w:highlight w:val="yellow"/>
        </w:rPr>
      </w:pPr>
    </w:p>
    <w:p w14:paraId="3C22C337"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Through financing of different sectors by stimulating production and development with the purpose of developing the Croatian economy, the Bank is creating a better base for repayment of loans and minimization of risk.</w:t>
      </w:r>
    </w:p>
    <w:p w14:paraId="1CA7D86B" w14:textId="77777777" w:rsidR="00587444" w:rsidRPr="00587444" w:rsidRDefault="00587444" w:rsidP="00880B90">
      <w:pPr>
        <w:autoSpaceDN/>
        <w:jc w:val="both"/>
        <w:rPr>
          <w:rFonts w:ascii="Arial" w:hAnsi="Arial" w:cs="Arial"/>
          <w:sz w:val="20"/>
          <w:szCs w:val="20"/>
        </w:rPr>
      </w:pPr>
    </w:p>
    <w:p w14:paraId="6E2646A0" w14:textId="77777777" w:rsidR="00587444" w:rsidRPr="00587444" w:rsidRDefault="00587444" w:rsidP="00880B90">
      <w:pPr>
        <w:autoSpaceDN/>
        <w:jc w:val="both"/>
        <w:rPr>
          <w:rFonts w:ascii="Arial" w:hAnsi="Arial" w:cs="Arial"/>
          <w:b/>
          <w:bCs/>
          <w:sz w:val="20"/>
          <w:szCs w:val="20"/>
        </w:rPr>
      </w:pPr>
      <w:r w:rsidRPr="00587444">
        <w:rPr>
          <w:rFonts w:ascii="Arial" w:hAnsi="Arial" w:cs="Arial"/>
          <w:sz w:val="20"/>
          <w:szCs w:val="20"/>
        </w:rPr>
        <w:t xml:space="preserve">As of 31 December 2022, the highest credit exposure of the Group and the Bank to one debtor </w:t>
      </w:r>
      <w:proofErr w:type="spellStart"/>
      <w:r w:rsidRPr="00587444">
        <w:rPr>
          <w:rFonts w:ascii="Arial" w:hAnsi="Arial" w:cs="Arial"/>
          <w:sz w:val="20"/>
          <w:szCs w:val="20"/>
        </w:rPr>
        <w:t>equalled</w:t>
      </w:r>
      <w:proofErr w:type="spellEnd"/>
      <w:r w:rsidRPr="00587444">
        <w:rPr>
          <w:rFonts w:ascii="Arial" w:hAnsi="Arial" w:cs="Arial"/>
          <w:sz w:val="20"/>
          <w:szCs w:val="20"/>
        </w:rPr>
        <w:t xml:space="preserve"> HRK 2,314,804 thousand (31 December 2021: HRK 2,102,579 thousand for the Group and the Bank) without considering the effect of mitigation through collateral received. </w:t>
      </w:r>
      <w:bookmarkEnd w:id="1053"/>
    </w:p>
    <w:p w14:paraId="4D706C73" w14:textId="77777777" w:rsidR="00587444" w:rsidRPr="00587444" w:rsidRDefault="00587444" w:rsidP="00880B90">
      <w:pPr>
        <w:autoSpaceDN/>
        <w:jc w:val="both"/>
        <w:rPr>
          <w:rFonts w:ascii="Arial" w:hAnsi="Arial" w:cs="Arial"/>
          <w:sz w:val="20"/>
          <w:szCs w:val="20"/>
        </w:rPr>
      </w:pPr>
    </w:p>
    <w:p w14:paraId="6CFD4939"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As a special financial institution, the Bank performs its development role by granting loans to final borrowers via commercial banks with which it has entered into co-operation agreements. </w:t>
      </w:r>
    </w:p>
    <w:p w14:paraId="4BEEFA8E" w14:textId="77777777" w:rsidR="00587444" w:rsidRPr="00587444" w:rsidRDefault="00587444" w:rsidP="00880B90">
      <w:pPr>
        <w:autoSpaceDN/>
        <w:jc w:val="both"/>
        <w:rPr>
          <w:rFonts w:ascii="Arial" w:hAnsi="Arial" w:cs="Arial"/>
          <w:sz w:val="20"/>
          <w:szCs w:val="20"/>
        </w:rPr>
      </w:pPr>
    </w:p>
    <w:p w14:paraId="2A0EF453" w14:textId="77777777" w:rsidR="00587444" w:rsidRPr="00587444" w:rsidRDefault="00587444" w:rsidP="00880B90">
      <w:pPr>
        <w:autoSpaceDE w:val="0"/>
        <w:rPr>
          <w:rFonts w:ascii="Arial" w:eastAsia="Calibri" w:hAnsi="Arial" w:cs="Arial"/>
          <w:b/>
          <w:color w:val="000000"/>
          <w:sz w:val="20"/>
          <w:szCs w:val="20"/>
          <w:lang w:val="en-GB" w:eastAsia="hr-HR"/>
        </w:rPr>
      </w:pPr>
      <w:r w:rsidRPr="00587444">
        <w:rPr>
          <w:rFonts w:ascii="Arial" w:eastAsia="Calibri" w:hAnsi="Arial" w:cs="Arial"/>
          <w:b/>
          <w:color w:val="000000"/>
          <w:sz w:val="20"/>
          <w:szCs w:val="20"/>
          <w:lang w:val="hr-HR" w:eastAsia="hr-HR"/>
        </w:rPr>
        <w:t xml:space="preserve">31.3.7. </w:t>
      </w:r>
      <w:r w:rsidRPr="00587444">
        <w:rPr>
          <w:rFonts w:ascii="Arial" w:eastAsia="Calibri" w:hAnsi="Arial" w:cs="Arial"/>
          <w:b/>
          <w:bCs/>
          <w:color w:val="000000"/>
          <w:sz w:val="20"/>
          <w:szCs w:val="20"/>
          <w:lang w:val="en-GB" w:eastAsia="hr-HR"/>
        </w:rPr>
        <w:t>Risk-Sharing Model</w:t>
      </w:r>
    </w:p>
    <w:p w14:paraId="1ABFECB8" w14:textId="77777777" w:rsidR="00587444" w:rsidRPr="00587444" w:rsidRDefault="00587444" w:rsidP="00880B90">
      <w:pPr>
        <w:autoSpaceDE w:val="0"/>
        <w:jc w:val="both"/>
        <w:rPr>
          <w:rFonts w:ascii="Arial" w:eastAsia="Calibri" w:hAnsi="Arial" w:cs="Arial"/>
          <w:color w:val="000000"/>
          <w:sz w:val="20"/>
          <w:szCs w:val="20"/>
          <w:lang w:val="en-GB" w:eastAsia="hr-HR"/>
        </w:rPr>
      </w:pPr>
      <w:r w:rsidRPr="00587444">
        <w:rPr>
          <w:rFonts w:ascii="Arial" w:eastAsia="Calibri" w:hAnsi="Arial" w:cs="Arial"/>
          <w:color w:val="000000"/>
          <w:sz w:val="20"/>
          <w:szCs w:val="20"/>
          <w:lang w:val="en-GB" w:eastAsia="hr-HR"/>
        </w:rPr>
        <w:t> </w:t>
      </w:r>
    </w:p>
    <w:p w14:paraId="4FE91D25" w14:textId="77777777" w:rsidR="00587444" w:rsidRPr="00587444" w:rsidRDefault="00587444" w:rsidP="00880B90">
      <w:pPr>
        <w:autoSpaceDE w:val="0"/>
        <w:jc w:val="both"/>
        <w:rPr>
          <w:rFonts w:ascii="Arial" w:eastAsia="Calibri" w:hAnsi="Arial" w:cs="Arial"/>
          <w:color w:val="000000"/>
          <w:sz w:val="20"/>
          <w:szCs w:val="20"/>
          <w:lang w:val="en-GB" w:eastAsia="hr-HR"/>
        </w:rPr>
      </w:pPr>
      <w:r w:rsidRPr="00587444">
        <w:rPr>
          <w:rFonts w:ascii="Arial" w:eastAsia="Calibri" w:hAnsi="Arial" w:cs="Arial"/>
          <w:color w:val="000000"/>
          <w:sz w:val="20"/>
          <w:szCs w:val="20"/>
          <w:lang w:val="en-GB" w:eastAsia="hr-HR"/>
        </w:rPr>
        <w:t>The Risk-Sharing Model covers the manner of implementing HBOR’s loan programmes in cooperation with commercial banks, where HBOR assumes a portion of direct lending risk (</w:t>
      </w:r>
      <w:proofErr w:type="gramStart"/>
      <w:r w:rsidRPr="00587444">
        <w:rPr>
          <w:rFonts w:ascii="Arial" w:eastAsia="Calibri" w:hAnsi="Arial" w:cs="Arial"/>
          <w:color w:val="000000"/>
          <w:sz w:val="20"/>
          <w:szCs w:val="20"/>
          <w:lang w:val="en-GB" w:eastAsia="hr-HR"/>
        </w:rPr>
        <w:t>e.g.</w:t>
      </w:r>
      <w:proofErr w:type="gramEnd"/>
      <w:r w:rsidRPr="00587444">
        <w:rPr>
          <w:rFonts w:ascii="Arial" w:eastAsia="Calibri" w:hAnsi="Arial" w:cs="Arial"/>
          <w:color w:val="000000"/>
          <w:sz w:val="20"/>
          <w:szCs w:val="20"/>
          <w:lang w:val="en-GB" w:eastAsia="hr-HR"/>
        </w:rPr>
        <w:t xml:space="preserve"> 50%), whereas the commercial bank assumes the risk associated with the other part of the loan (irrespective of whether it is financed from HBOR’s funds or from commercial bank’s funds). </w:t>
      </w:r>
    </w:p>
    <w:p w14:paraId="3D0FE72A" w14:textId="77777777" w:rsidR="00587444" w:rsidRPr="00587444" w:rsidRDefault="00587444" w:rsidP="00880B90">
      <w:pPr>
        <w:autoSpaceDE w:val="0"/>
        <w:jc w:val="both"/>
        <w:rPr>
          <w:rFonts w:ascii="Arial" w:eastAsia="Calibri" w:hAnsi="Arial" w:cs="Arial"/>
          <w:color w:val="000000"/>
          <w:sz w:val="20"/>
          <w:szCs w:val="20"/>
          <w:lang w:val="en-GB" w:eastAsia="hr-HR"/>
        </w:rPr>
      </w:pPr>
    </w:p>
    <w:p w14:paraId="2623FE1E" w14:textId="77777777" w:rsidR="00587444" w:rsidRPr="00587444" w:rsidRDefault="00587444" w:rsidP="00880B90">
      <w:pPr>
        <w:autoSpaceDN/>
        <w:jc w:val="both"/>
        <w:rPr>
          <w:rFonts w:ascii="Arial" w:eastAsia="Calibri" w:hAnsi="Arial" w:cs="Arial"/>
          <w:sz w:val="20"/>
          <w:szCs w:val="20"/>
          <w:lang w:val="en-GB"/>
        </w:rPr>
      </w:pPr>
      <w:r w:rsidRPr="00587444">
        <w:rPr>
          <w:rFonts w:ascii="Arial" w:eastAsia="Calibri" w:hAnsi="Arial" w:cs="Arial"/>
          <w:sz w:val="20"/>
          <w:szCs w:val="20"/>
          <w:lang w:val="en-GB"/>
        </w:rPr>
        <w:t>Loans according to the risk-sharing models under HBOR loan programmes (primarily loans for investments and restructuring, and to a lesser extent for liquidity) are implemented in such a way that commercial banks involved in such transactions are still agents (administrative, payment and collateral agents), but HBOR conducts the usual procedure as for any other direct loan and enters, both exposures and collateral, into the business records after contracting or implementing the collateral for placements.</w:t>
      </w:r>
    </w:p>
    <w:p w14:paraId="4DD87FCB" w14:textId="77777777" w:rsidR="00587444" w:rsidRPr="00587444" w:rsidRDefault="00587444" w:rsidP="00587444">
      <w:pPr>
        <w:suppressAutoHyphens w:val="0"/>
        <w:autoSpaceDN/>
        <w:jc w:val="both"/>
        <w:rPr>
          <w:rFonts w:ascii="Arial" w:eastAsia="Calibri" w:hAnsi="Arial" w:cs="Arial"/>
          <w:sz w:val="20"/>
          <w:szCs w:val="20"/>
          <w:lang w:val="en-GB"/>
        </w:rPr>
        <w:sectPr w:rsidR="00587444" w:rsidRPr="00587444" w:rsidSect="00DD69E7">
          <w:pgSz w:w="11906" w:h="16838" w:code="9"/>
          <w:pgMar w:top="1418" w:right="1418" w:bottom="595" w:left="1134" w:header="851" w:footer="851" w:gutter="0"/>
          <w:cols w:space="720"/>
          <w:noEndnote/>
        </w:sectPr>
      </w:pPr>
    </w:p>
    <w:p w14:paraId="05AB5FBF" w14:textId="77777777" w:rsidR="00587444" w:rsidRPr="00587444" w:rsidRDefault="00587444" w:rsidP="00587444">
      <w:pPr>
        <w:suppressAutoHyphens w:val="0"/>
        <w:autoSpaceDN/>
        <w:jc w:val="both"/>
        <w:rPr>
          <w:rFonts w:ascii="Arial" w:eastAsia="Calibri" w:hAnsi="Arial" w:cs="Arial"/>
          <w:sz w:val="20"/>
          <w:szCs w:val="20"/>
          <w:lang w:val="en-GB"/>
        </w:rPr>
      </w:pPr>
    </w:p>
    <w:p w14:paraId="1A84E36D"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7715998C" w14:textId="77777777" w:rsidR="00587444" w:rsidRPr="00587444" w:rsidRDefault="00587444" w:rsidP="00587444">
      <w:pPr>
        <w:keepNext/>
        <w:suppressAutoHyphens w:val="0"/>
        <w:autoSpaceDN/>
        <w:jc w:val="both"/>
        <w:rPr>
          <w:rFonts w:ascii="Arial" w:hAnsi="Arial" w:cs="Arial"/>
          <w:b/>
          <w:bCs/>
          <w:sz w:val="20"/>
          <w:szCs w:val="20"/>
        </w:rPr>
      </w:pPr>
    </w:p>
    <w:p w14:paraId="12B07E9B"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17F5C5C5" w14:textId="77777777" w:rsidR="00587444" w:rsidRPr="00587444" w:rsidRDefault="00587444" w:rsidP="00587444">
      <w:pPr>
        <w:suppressAutoHyphens w:val="0"/>
        <w:autoSpaceDN/>
        <w:jc w:val="both"/>
        <w:rPr>
          <w:rFonts w:ascii="Arial" w:eastAsia="Calibri" w:hAnsi="Arial" w:cs="Arial"/>
          <w:sz w:val="20"/>
          <w:szCs w:val="20"/>
          <w:lang w:val="en-GB"/>
        </w:rPr>
      </w:pPr>
    </w:p>
    <w:p w14:paraId="4AB0D8A7" w14:textId="77777777" w:rsidR="00587444" w:rsidRPr="00587444" w:rsidRDefault="00587444" w:rsidP="00587444">
      <w:pPr>
        <w:suppressAutoHyphens w:val="0"/>
        <w:autoSpaceDE w:val="0"/>
        <w:rPr>
          <w:rFonts w:ascii="Arial" w:eastAsia="Calibri" w:hAnsi="Arial" w:cs="Arial"/>
          <w:b/>
          <w:color w:val="000000"/>
          <w:sz w:val="20"/>
          <w:szCs w:val="20"/>
          <w:lang w:val="en-GB" w:eastAsia="hr-HR"/>
        </w:rPr>
      </w:pPr>
      <w:r w:rsidRPr="00587444">
        <w:rPr>
          <w:rFonts w:ascii="Arial" w:eastAsia="Calibri" w:hAnsi="Arial" w:cs="Arial"/>
          <w:b/>
          <w:color w:val="000000"/>
          <w:sz w:val="20"/>
          <w:szCs w:val="20"/>
          <w:lang w:val="hr-HR" w:eastAsia="hr-HR"/>
        </w:rPr>
        <w:t xml:space="preserve">31.3.7. </w:t>
      </w:r>
      <w:r w:rsidRPr="00587444">
        <w:rPr>
          <w:rFonts w:ascii="Arial" w:eastAsia="Calibri" w:hAnsi="Arial" w:cs="Arial"/>
          <w:b/>
          <w:bCs/>
          <w:color w:val="000000"/>
          <w:sz w:val="20"/>
          <w:szCs w:val="20"/>
          <w:lang w:val="en-GB" w:eastAsia="hr-HR"/>
        </w:rPr>
        <w:t>Risk-Sharing Model (continued)</w:t>
      </w:r>
    </w:p>
    <w:p w14:paraId="7D746072" w14:textId="77777777" w:rsidR="00587444" w:rsidRPr="00587444" w:rsidRDefault="00587444" w:rsidP="00587444">
      <w:pPr>
        <w:suppressAutoHyphens w:val="0"/>
        <w:autoSpaceDN/>
        <w:jc w:val="both"/>
        <w:rPr>
          <w:rFonts w:ascii="Arial" w:eastAsia="Calibri" w:hAnsi="Arial" w:cs="Arial"/>
          <w:sz w:val="20"/>
          <w:szCs w:val="20"/>
          <w:lang w:val="en-GB"/>
        </w:rPr>
      </w:pPr>
    </w:p>
    <w:p w14:paraId="74A4F730" w14:textId="77777777" w:rsidR="00587444" w:rsidRPr="00587444" w:rsidRDefault="00587444" w:rsidP="00880B90">
      <w:pPr>
        <w:autoSpaceDN/>
        <w:jc w:val="both"/>
        <w:rPr>
          <w:rFonts w:ascii="Arial" w:eastAsia="Calibri" w:hAnsi="Arial" w:cs="Arial"/>
          <w:sz w:val="20"/>
          <w:szCs w:val="20"/>
          <w:lang w:val="en-GB"/>
        </w:rPr>
      </w:pPr>
      <w:r w:rsidRPr="00587444">
        <w:rPr>
          <w:rFonts w:ascii="Arial" w:eastAsia="Calibri" w:hAnsi="Arial" w:cs="Arial"/>
          <w:sz w:val="20"/>
          <w:szCs w:val="20"/>
          <w:lang w:val="en-GB"/>
        </w:rPr>
        <w:t>As part of measures to help the economy due to this crisis, it was possible to approve new liquidity loans to entrepreneurs affected by the crisis caused by direct or indirect impact of the Russian aggression against Ukraine under the risk-sharing model with commercial banks. Due to the short deadline for processing large number of loan applications, the current loan process prescribed by the Credit Risk Management Ordinance has been accelerated and shortened for this purpose.</w:t>
      </w:r>
    </w:p>
    <w:p w14:paraId="77ABDD5A" w14:textId="77777777" w:rsidR="00587444" w:rsidRPr="00587444" w:rsidRDefault="00587444" w:rsidP="00880B90">
      <w:pPr>
        <w:autoSpaceDN/>
        <w:jc w:val="both"/>
        <w:rPr>
          <w:rFonts w:ascii="Arial" w:eastAsia="Calibri" w:hAnsi="Arial" w:cs="Arial"/>
          <w:sz w:val="20"/>
          <w:szCs w:val="20"/>
          <w:lang w:val="en-GB"/>
        </w:rPr>
      </w:pPr>
    </w:p>
    <w:p w14:paraId="1757BBB6" w14:textId="77777777" w:rsidR="00587444" w:rsidRPr="00587444" w:rsidRDefault="00587444" w:rsidP="00880B90">
      <w:pPr>
        <w:autoSpaceDN/>
        <w:jc w:val="both"/>
        <w:rPr>
          <w:rFonts w:ascii="Arial" w:eastAsia="Calibri" w:hAnsi="Arial" w:cs="Arial"/>
          <w:sz w:val="20"/>
          <w:szCs w:val="20"/>
          <w:lang w:val="en-GB"/>
        </w:rPr>
      </w:pPr>
      <w:r w:rsidRPr="00587444">
        <w:rPr>
          <w:rFonts w:ascii="Arial" w:eastAsia="Calibri" w:hAnsi="Arial" w:cs="Arial"/>
          <w:sz w:val="20"/>
          <w:szCs w:val="20"/>
          <w:lang w:val="en-GB"/>
        </w:rPr>
        <w:t>HBOR monitors its clients to which it has a gross exposure of more than HRK 3,000 thousand under the procedure for direct loans, however, taking into account that very often HBOR does not have a direct contact with its clients, HBOR uses quarterly reports or obtain necessary information from commercial banks.</w:t>
      </w:r>
    </w:p>
    <w:p w14:paraId="1BC8EBE4" w14:textId="77777777" w:rsidR="00587444" w:rsidRPr="00587444" w:rsidRDefault="00587444" w:rsidP="00880B90">
      <w:pPr>
        <w:autoSpaceDN/>
        <w:rPr>
          <w:rFonts w:ascii="Arial" w:eastAsia="Calibri" w:hAnsi="Arial" w:cs="Arial"/>
          <w:sz w:val="20"/>
          <w:szCs w:val="20"/>
          <w:lang w:val="en-GB"/>
        </w:rPr>
      </w:pPr>
    </w:p>
    <w:p w14:paraId="060E5B34" w14:textId="77777777" w:rsidR="00587444" w:rsidRPr="00587444" w:rsidRDefault="00587444" w:rsidP="00880B90">
      <w:pPr>
        <w:autoSpaceDN/>
        <w:jc w:val="both"/>
        <w:rPr>
          <w:rFonts w:ascii="Arial" w:eastAsia="Calibri" w:hAnsi="Arial" w:cs="Arial"/>
          <w:b/>
          <w:sz w:val="20"/>
          <w:szCs w:val="20"/>
        </w:rPr>
      </w:pPr>
      <w:r w:rsidRPr="00587444">
        <w:rPr>
          <w:rFonts w:ascii="Arial" w:eastAsia="Calibri" w:hAnsi="Arial" w:cs="Arial"/>
          <w:b/>
          <w:sz w:val="20"/>
          <w:szCs w:val="20"/>
        </w:rPr>
        <w:t>31.3.8. Collaterals and other credit quality (creditworthiness) improvement</w:t>
      </w:r>
    </w:p>
    <w:p w14:paraId="6FCD9767" w14:textId="77777777" w:rsidR="00587444" w:rsidRPr="00587444" w:rsidRDefault="00587444" w:rsidP="00880B90">
      <w:pPr>
        <w:autoSpaceDN/>
        <w:jc w:val="both"/>
        <w:rPr>
          <w:rFonts w:ascii="Arial" w:hAnsi="Arial" w:cs="Arial"/>
          <w:sz w:val="20"/>
          <w:szCs w:val="20"/>
        </w:rPr>
      </w:pPr>
    </w:p>
    <w:p w14:paraId="3D364F7E"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Collateral for the Bank’s placements are:</w:t>
      </w:r>
    </w:p>
    <w:p w14:paraId="67945F06" w14:textId="77777777" w:rsidR="00587444" w:rsidRPr="00587444" w:rsidRDefault="00587444" w:rsidP="00880B90">
      <w:pPr>
        <w:numPr>
          <w:ilvl w:val="0"/>
          <w:numId w:val="27"/>
        </w:numPr>
        <w:autoSpaceDN/>
        <w:ind w:left="714" w:hanging="357"/>
        <w:jc w:val="both"/>
        <w:rPr>
          <w:rFonts w:ascii="Arial" w:hAnsi="Arial" w:cs="Arial"/>
          <w:sz w:val="20"/>
          <w:szCs w:val="20"/>
        </w:rPr>
      </w:pPr>
      <w:r w:rsidRPr="00587444">
        <w:rPr>
          <w:rFonts w:ascii="Arial" w:hAnsi="Arial" w:cs="Arial"/>
          <w:sz w:val="20"/>
          <w:szCs w:val="20"/>
        </w:rPr>
        <w:t>obligatory (bills of exchange and promissory notes),</w:t>
      </w:r>
    </w:p>
    <w:p w14:paraId="420E699B" w14:textId="77777777" w:rsidR="00587444" w:rsidRPr="00587444" w:rsidRDefault="00587444" w:rsidP="00880B90">
      <w:pPr>
        <w:numPr>
          <w:ilvl w:val="0"/>
          <w:numId w:val="27"/>
        </w:numPr>
        <w:autoSpaceDN/>
        <w:jc w:val="both"/>
        <w:rPr>
          <w:rFonts w:ascii="Arial" w:hAnsi="Arial" w:cs="Arial"/>
          <w:sz w:val="20"/>
          <w:szCs w:val="20"/>
        </w:rPr>
      </w:pPr>
      <w:r w:rsidRPr="00587444">
        <w:rPr>
          <w:rFonts w:ascii="Arial" w:hAnsi="Arial" w:cs="Arial"/>
          <w:sz w:val="20"/>
          <w:szCs w:val="20"/>
        </w:rPr>
        <w:t>ordinary (property, ships, airplanes, bank guarantees, guarantees from the Republic of Croatia, guarantees from the local and regional authorities, guarantees from HAMAG-BICRO (Croatian Agency for SMSs, Innovation and Investment), insurance policy against political and/or commercial risks), and</w:t>
      </w:r>
    </w:p>
    <w:p w14:paraId="3DF645E3" w14:textId="77777777" w:rsidR="00587444" w:rsidRPr="00587444" w:rsidRDefault="00587444" w:rsidP="00880B90">
      <w:pPr>
        <w:numPr>
          <w:ilvl w:val="0"/>
          <w:numId w:val="27"/>
        </w:numPr>
        <w:autoSpaceDN/>
        <w:spacing w:after="120"/>
        <w:ind w:left="714" w:hanging="357"/>
        <w:jc w:val="both"/>
        <w:rPr>
          <w:rFonts w:ascii="Arial" w:eastAsia="Calibri" w:hAnsi="Arial" w:cs="Arial"/>
          <w:sz w:val="20"/>
          <w:szCs w:val="20"/>
        </w:rPr>
      </w:pPr>
      <w:r w:rsidRPr="00587444">
        <w:rPr>
          <w:rFonts w:ascii="Arial" w:eastAsia="Calibri" w:hAnsi="Arial" w:cs="Arial"/>
          <w:sz w:val="20"/>
          <w:szCs w:val="20"/>
        </w:rPr>
        <w:t>other collateral (movable property, bills of exchange or guarantees from other companies with solid creditworthiness, fiduciary or pledge of companies’ equity instruments, repossession of cash receivables or assignment for collectible receivables, deposit repossession, restriction of transferability on insurance policy of assets and/or person, pledge on a trademark, etc.).</w:t>
      </w:r>
    </w:p>
    <w:p w14:paraId="2BE3E27E" w14:textId="77777777" w:rsidR="00587444" w:rsidRPr="00587444" w:rsidRDefault="00587444" w:rsidP="00880B90">
      <w:pPr>
        <w:tabs>
          <w:tab w:val="left" w:pos="7371"/>
        </w:tabs>
        <w:autoSpaceDN/>
        <w:jc w:val="both"/>
        <w:rPr>
          <w:rFonts w:ascii="Arial" w:eastAsia="Calibri" w:hAnsi="Arial" w:cs="Arial"/>
          <w:sz w:val="20"/>
          <w:szCs w:val="20"/>
        </w:rPr>
      </w:pPr>
    </w:p>
    <w:p w14:paraId="6074CB1F" w14:textId="77777777" w:rsidR="00587444" w:rsidRPr="00587444" w:rsidRDefault="00587444" w:rsidP="00880B90">
      <w:pPr>
        <w:autoSpaceDN/>
        <w:jc w:val="both"/>
        <w:rPr>
          <w:rFonts w:ascii="Arial" w:eastAsia="Calibri" w:hAnsi="Arial" w:cs="Arial"/>
          <w:sz w:val="20"/>
          <w:szCs w:val="20"/>
        </w:rPr>
      </w:pPr>
      <w:r w:rsidRPr="00587444">
        <w:rPr>
          <w:rFonts w:ascii="Arial" w:eastAsia="Calibri" w:hAnsi="Arial" w:cs="Arial"/>
          <w:sz w:val="20"/>
          <w:szCs w:val="20"/>
        </w:rPr>
        <w:t xml:space="preserve">All Bank placements </w:t>
      </w:r>
      <w:proofErr w:type="gramStart"/>
      <w:r w:rsidRPr="00587444">
        <w:rPr>
          <w:rFonts w:ascii="Arial" w:eastAsia="Calibri" w:hAnsi="Arial" w:cs="Arial"/>
          <w:sz w:val="20"/>
          <w:szCs w:val="20"/>
        </w:rPr>
        <w:t>have to</w:t>
      </w:r>
      <w:proofErr w:type="gramEnd"/>
      <w:r w:rsidRPr="00587444">
        <w:rPr>
          <w:rFonts w:ascii="Arial" w:eastAsia="Calibri" w:hAnsi="Arial" w:cs="Arial"/>
          <w:sz w:val="20"/>
          <w:szCs w:val="20"/>
        </w:rPr>
        <w:t xml:space="preserve"> be secured with obligatory collateral. Low amount placements must be secured with one obligatory instrument of collateral at least. The selection of eligible collaterals does not depend on the insurance ratio achieved only, but also on the risks identified, with marketable and more valuable collaterals being preferred.</w:t>
      </w:r>
    </w:p>
    <w:p w14:paraId="7BA14BCF" w14:textId="77777777" w:rsidR="00587444" w:rsidRPr="00587444" w:rsidRDefault="00587444" w:rsidP="00880B90">
      <w:pPr>
        <w:tabs>
          <w:tab w:val="left" w:pos="7371"/>
        </w:tabs>
        <w:autoSpaceDN/>
        <w:jc w:val="both"/>
        <w:rPr>
          <w:rFonts w:ascii="Arial" w:eastAsia="Calibri" w:hAnsi="Arial" w:cs="Arial"/>
          <w:sz w:val="20"/>
          <w:szCs w:val="20"/>
        </w:rPr>
      </w:pPr>
    </w:p>
    <w:p w14:paraId="75E64573" w14:textId="77777777" w:rsidR="00587444" w:rsidRPr="00587444" w:rsidRDefault="00587444" w:rsidP="00880B90">
      <w:pPr>
        <w:tabs>
          <w:tab w:val="left" w:pos="7371"/>
        </w:tabs>
        <w:autoSpaceDN/>
        <w:jc w:val="both"/>
        <w:rPr>
          <w:rFonts w:ascii="Arial" w:eastAsia="Calibri" w:hAnsi="Arial" w:cs="Arial"/>
          <w:sz w:val="20"/>
          <w:szCs w:val="20"/>
        </w:rPr>
      </w:pPr>
      <w:r w:rsidRPr="00587444">
        <w:rPr>
          <w:rFonts w:ascii="Arial" w:eastAsia="Calibri" w:hAnsi="Arial" w:cs="Arial"/>
          <w:sz w:val="20"/>
          <w:szCs w:val="20"/>
        </w:rPr>
        <w:t xml:space="preserve">Acceptable ordinary and other collateral are classified according to quality in five groups. The evaluation of collateral is based on quality, estimated based on marketability, </w:t>
      </w:r>
      <w:proofErr w:type="gramStart"/>
      <w:r w:rsidRPr="00587444">
        <w:rPr>
          <w:rFonts w:ascii="Arial" w:eastAsia="Calibri" w:hAnsi="Arial" w:cs="Arial"/>
          <w:sz w:val="20"/>
          <w:szCs w:val="20"/>
        </w:rPr>
        <w:t>documentation</w:t>
      </w:r>
      <w:proofErr w:type="gramEnd"/>
      <w:r w:rsidRPr="00587444">
        <w:rPr>
          <w:rFonts w:ascii="Arial" w:eastAsia="Calibri" w:hAnsi="Arial" w:cs="Arial"/>
          <w:sz w:val="20"/>
          <w:szCs w:val="20"/>
        </w:rPr>
        <w:t xml:space="preserve"> and possibility of supervision by the Bank as well as the possibility of enforced collection. </w:t>
      </w:r>
    </w:p>
    <w:p w14:paraId="1E03335B" w14:textId="77777777" w:rsidR="00587444" w:rsidRPr="00587444" w:rsidRDefault="00587444" w:rsidP="00880B90">
      <w:pPr>
        <w:tabs>
          <w:tab w:val="left" w:pos="7371"/>
        </w:tabs>
        <w:autoSpaceDN/>
        <w:jc w:val="both"/>
        <w:rPr>
          <w:rFonts w:ascii="Arial" w:eastAsia="Calibri" w:hAnsi="Arial" w:cs="Arial"/>
          <w:sz w:val="20"/>
          <w:szCs w:val="20"/>
        </w:rPr>
      </w:pPr>
    </w:p>
    <w:p w14:paraId="7BD5F728" w14:textId="77777777" w:rsidR="00587444" w:rsidRPr="00587444" w:rsidRDefault="00587444" w:rsidP="00880B90">
      <w:pPr>
        <w:tabs>
          <w:tab w:val="left" w:pos="7371"/>
        </w:tabs>
        <w:autoSpaceDN/>
        <w:jc w:val="both"/>
        <w:rPr>
          <w:rFonts w:ascii="Arial" w:eastAsia="Calibri" w:hAnsi="Arial" w:cs="Arial"/>
          <w:sz w:val="20"/>
          <w:szCs w:val="20"/>
        </w:rPr>
      </w:pPr>
      <w:r w:rsidRPr="00587444">
        <w:rPr>
          <w:rFonts w:ascii="Arial" w:eastAsia="Calibri" w:hAnsi="Arial" w:cs="Arial"/>
          <w:sz w:val="20"/>
          <w:szCs w:val="20"/>
        </w:rPr>
        <w:t>When deciding on loan approval, weak creditworthiness cannot be replaced by quality collateral, except when the security instruments are first class instruments: guarantees from the Republic of Croatia, guarantees of local/regional authorities (JLPS), guarantees from HAMAG-BICRO, loan insurance policy and when the Republic of Croatia, JLPS or other government authorities guarantee for clients implicitly.</w:t>
      </w:r>
    </w:p>
    <w:p w14:paraId="5A77B636" w14:textId="77777777" w:rsidR="00587444" w:rsidRPr="00587444" w:rsidRDefault="00587444" w:rsidP="00880B90">
      <w:pPr>
        <w:autoSpaceDN/>
        <w:spacing w:after="120"/>
        <w:jc w:val="both"/>
        <w:rPr>
          <w:rFonts w:ascii="Arial" w:eastAsia="Calibri" w:hAnsi="Arial" w:cs="Arial"/>
          <w:sz w:val="20"/>
          <w:szCs w:val="20"/>
        </w:rPr>
      </w:pPr>
    </w:p>
    <w:p w14:paraId="3D96190C" w14:textId="77777777" w:rsidR="00587444" w:rsidRPr="00587444" w:rsidRDefault="00587444" w:rsidP="00587444">
      <w:pPr>
        <w:suppressAutoHyphens w:val="0"/>
        <w:autoSpaceDN/>
        <w:spacing w:after="120"/>
        <w:jc w:val="both"/>
        <w:rPr>
          <w:rFonts w:ascii="Arial" w:eastAsia="Calibri" w:hAnsi="Arial" w:cs="Arial"/>
          <w:sz w:val="20"/>
          <w:szCs w:val="20"/>
        </w:rPr>
        <w:sectPr w:rsidR="00587444" w:rsidRPr="00587444" w:rsidSect="00DD69E7">
          <w:pgSz w:w="11906" w:h="16838" w:code="9"/>
          <w:pgMar w:top="1418" w:right="1418" w:bottom="595" w:left="1134" w:header="851" w:footer="851" w:gutter="0"/>
          <w:cols w:space="720"/>
          <w:noEndnote/>
        </w:sectPr>
      </w:pPr>
    </w:p>
    <w:p w14:paraId="424BBC9F" w14:textId="77777777" w:rsidR="00587444" w:rsidRPr="00587444" w:rsidRDefault="00587444" w:rsidP="00587444">
      <w:pPr>
        <w:keepNext/>
        <w:suppressAutoHyphens w:val="0"/>
        <w:autoSpaceDN/>
        <w:spacing w:before="120"/>
        <w:jc w:val="both"/>
        <w:rPr>
          <w:rFonts w:ascii="Arial" w:hAnsi="Arial" w:cs="Arial"/>
          <w:b/>
          <w:bCs/>
          <w:sz w:val="20"/>
          <w:szCs w:val="20"/>
        </w:rPr>
      </w:pPr>
    </w:p>
    <w:p w14:paraId="6E9002BD" w14:textId="77777777" w:rsidR="00587444" w:rsidRPr="00587444" w:rsidRDefault="00587444" w:rsidP="00587444">
      <w:pPr>
        <w:keepNext/>
        <w:suppressAutoHyphens w:val="0"/>
        <w:autoSpaceDN/>
        <w:spacing w:before="120"/>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25C60AD7" w14:textId="77777777" w:rsidR="00587444" w:rsidRPr="00587444" w:rsidRDefault="00587444" w:rsidP="00587444">
      <w:pPr>
        <w:keepNext/>
        <w:suppressAutoHyphens w:val="0"/>
        <w:autoSpaceDN/>
        <w:jc w:val="both"/>
        <w:rPr>
          <w:rFonts w:ascii="Arial" w:hAnsi="Arial" w:cs="Arial"/>
          <w:b/>
          <w:bCs/>
          <w:sz w:val="20"/>
          <w:szCs w:val="20"/>
        </w:rPr>
      </w:pPr>
    </w:p>
    <w:p w14:paraId="399AAF73"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7E49A458" w14:textId="77777777" w:rsidR="00587444" w:rsidRPr="00587444" w:rsidRDefault="00587444" w:rsidP="00587444">
      <w:pPr>
        <w:tabs>
          <w:tab w:val="left" w:pos="7371"/>
        </w:tabs>
        <w:suppressAutoHyphens w:val="0"/>
        <w:autoSpaceDN/>
        <w:jc w:val="both"/>
        <w:rPr>
          <w:rFonts w:ascii="Arial" w:eastAsia="Calibri" w:hAnsi="Arial" w:cs="Arial"/>
          <w:sz w:val="20"/>
          <w:szCs w:val="20"/>
        </w:rPr>
      </w:pPr>
    </w:p>
    <w:p w14:paraId="6A32AE71" w14:textId="77777777" w:rsidR="00587444" w:rsidRPr="00587444" w:rsidRDefault="00587444" w:rsidP="00587444">
      <w:pPr>
        <w:suppressAutoHyphens w:val="0"/>
        <w:autoSpaceDN/>
        <w:rPr>
          <w:rFonts w:ascii="Arial" w:eastAsia="Calibri" w:hAnsi="Arial" w:cs="Arial"/>
          <w:b/>
          <w:sz w:val="20"/>
          <w:szCs w:val="20"/>
        </w:rPr>
      </w:pPr>
      <w:r w:rsidRPr="00587444">
        <w:rPr>
          <w:rFonts w:ascii="Arial" w:eastAsia="Calibri" w:hAnsi="Arial" w:cs="Arial"/>
          <w:b/>
          <w:sz w:val="20"/>
          <w:szCs w:val="20"/>
        </w:rPr>
        <w:t>31.3.8. Collateral and other credit enhancements (creditworthiness) (continued)</w:t>
      </w:r>
    </w:p>
    <w:p w14:paraId="355B033D" w14:textId="77777777" w:rsidR="00587444" w:rsidRPr="00587444" w:rsidRDefault="00587444" w:rsidP="00587444">
      <w:pPr>
        <w:tabs>
          <w:tab w:val="right" w:pos="9129"/>
        </w:tabs>
        <w:suppressAutoHyphens w:val="0"/>
        <w:autoSpaceDN/>
        <w:jc w:val="both"/>
        <w:rPr>
          <w:rFonts w:ascii="Arial" w:eastAsia="Calibri" w:hAnsi="Arial" w:cs="Arial"/>
          <w:sz w:val="20"/>
          <w:szCs w:val="20"/>
        </w:rPr>
      </w:pPr>
    </w:p>
    <w:p w14:paraId="7F97FAFF" w14:textId="77777777" w:rsidR="00587444" w:rsidRPr="00587444" w:rsidRDefault="00587444" w:rsidP="00880B90">
      <w:pPr>
        <w:tabs>
          <w:tab w:val="right" w:pos="9129"/>
        </w:tabs>
        <w:autoSpaceDN/>
        <w:jc w:val="both"/>
        <w:rPr>
          <w:rFonts w:ascii="Arial" w:eastAsia="Calibri" w:hAnsi="Arial" w:cs="Arial"/>
          <w:sz w:val="20"/>
          <w:szCs w:val="20"/>
        </w:rPr>
      </w:pPr>
      <w:proofErr w:type="gramStart"/>
      <w:r w:rsidRPr="00587444">
        <w:rPr>
          <w:rFonts w:ascii="Arial" w:eastAsia="Calibri" w:hAnsi="Arial" w:cs="Arial"/>
          <w:sz w:val="20"/>
          <w:szCs w:val="20"/>
        </w:rPr>
        <w:t>For the purpose of</w:t>
      </w:r>
      <w:proofErr w:type="gramEnd"/>
      <w:r w:rsidRPr="00587444">
        <w:rPr>
          <w:rFonts w:ascii="Arial" w:eastAsia="Calibri" w:hAnsi="Arial" w:cs="Arial"/>
          <w:sz w:val="20"/>
          <w:szCs w:val="20"/>
        </w:rPr>
        <w:t xml:space="preserve"> mitigation of credit risk and reduction of business costs, and in compliance with the Act on the Croatian Bank for Reconstruction and Development, the Bank approves part of its placements through financial institutions. As collateral for placements approved to final customers through financial institutions, the Bank uses mandatory collateral from commercial banks/leasing companies. The financial institution is obliged to deliver them based on the Mutual business cooperation agreement, but not for each individual placement to the final customer based on that Agreement. In the individual contracts for placements to the final customers, the use of obligatory collateral delivered with the Agreement on mutual business cooperation is contracted. As the financial institutions take on the risk of default by the final customer, they are given the option to contract sufficient collateral with the final customer/leasing company.</w:t>
      </w:r>
    </w:p>
    <w:p w14:paraId="0484FF8D" w14:textId="77777777" w:rsidR="00587444" w:rsidRPr="00587444" w:rsidRDefault="00587444" w:rsidP="00880B90">
      <w:pPr>
        <w:autoSpaceDN/>
        <w:jc w:val="both"/>
        <w:rPr>
          <w:rFonts w:ascii="Arial" w:hAnsi="Arial" w:cs="Arial"/>
          <w:sz w:val="20"/>
          <w:szCs w:val="20"/>
        </w:rPr>
      </w:pPr>
    </w:p>
    <w:p w14:paraId="7D4C81E3" w14:textId="77777777" w:rsidR="00587444" w:rsidRPr="00587444" w:rsidRDefault="00587444" w:rsidP="00880B90">
      <w:pPr>
        <w:autoSpaceDN/>
        <w:jc w:val="both"/>
        <w:rPr>
          <w:rFonts w:ascii="Arial" w:eastAsia="Calibri" w:hAnsi="Arial" w:cs="Arial"/>
          <w:sz w:val="20"/>
          <w:szCs w:val="20"/>
        </w:rPr>
      </w:pPr>
      <w:r w:rsidRPr="00587444">
        <w:rPr>
          <w:rFonts w:ascii="Arial" w:eastAsia="Calibri" w:hAnsi="Arial" w:cs="Arial"/>
          <w:sz w:val="20"/>
          <w:szCs w:val="20"/>
        </w:rPr>
        <w:t>Where the loan is approved through a commercial bank, depending on the financial institution’s internal rating, the Bank contracts a sub-mortgage. In this case, either the commercial bank transfers the ownership over the collateral, while the Bank takes a mortgage over the same collateral, or the commercial bank forms a mortgage on the collateral, while the Bank takes a sub-mortgage on the same collateral.</w:t>
      </w:r>
    </w:p>
    <w:p w14:paraId="7B1FCE1C" w14:textId="77777777" w:rsidR="00587444" w:rsidRPr="00587444" w:rsidRDefault="00587444" w:rsidP="00880B90">
      <w:pPr>
        <w:autoSpaceDN/>
        <w:jc w:val="both"/>
        <w:rPr>
          <w:rFonts w:ascii="Arial" w:hAnsi="Arial" w:cs="Arial"/>
          <w:sz w:val="20"/>
          <w:szCs w:val="20"/>
        </w:rPr>
      </w:pPr>
    </w:p>
    <w:p w14:paraId="0E32F0B3" w14:textId="77777777" w:rsidR="00587444" w:rsidRPr="00587444" w:rsidRDefault="00587444" w:rsidP="00880B90">
      <w:pPr>
        <w:tabs>
          <w:tab w:val="right" w:pos="9129"/>
        </w:tabs>
        <w:autoSpaceDN/>
        <w:jc w:val="both"/>
        <w:rPr>
          <w:rFonts w:ascii="Arial" w:eastAsia="Calibri" w:hAnsi="Arial" w:cs="Arial"/>
          <w:sz w:val="20"/>
          <w:szCs w:val="20"/>
        </w:rPr>
      </w:pPr>
      <w:r w:rsidRPr="00587444">
        <w:rPr>
          <w:rFonts w:ascii="Arial" w:eastAsia="Calibri" w:hAnsi="Arial" w:cs="Arial"/>
          <w:sz w:val="20"/>
          <w:szCs w:val="20"/>
        </w:rPr>
        <w:t xml:space="preserve">By signing the Agreement on mutual business cooperation, a transfer of any claims the commercial bank may have towards the final customer is made to HBOR. Pursuant to the Agreement, the commercial bank </w:t>
      </w:r>
      <w:proofErr w:type="spellStart"/>
      <w:r w:rsidRPr="00587444">
        <w:rPr>
          <w:rFonts w:ascii="Arial" w:eastAsia="Calibri" w:hAnsi="Arial" w:cs="Arial"/>
          <w:sz w:val="20"/>
          <w:szCs w:val="20"/>
        </w:rPr>
        <w:t>authorises</w:t>
      </w:r>
      <w:proofErr w:type="spellEnd"/>
      <w:r w:rsidRPr="00587444">
        <w:rPr>
          <w:rFonts w:ascii="Arial" w:eastAsia="Calibri" w:hAnsi="Arial" w:cs="Arial"/>
          <w:sz w:val="20"/>
          <w:szCs w:val="20"/>
        </w:rPr>
        <w:t xml:space="preserve"> HBOR to unilaterally inform the bank in written form that, in the case of the commercial bank’s insolvency or threat of liquidation, untimely repayments or default on the commitments agreed in the individual contract on interbank loan or actual (insolvent or regular) liquidation, the Bank assumes the receivable towards the final customer from the commercial bank, with the effect of assignment of receivables instead of contract fulfilment.</w:t>
      </w:r>
    </w:p>
    <w:p w14:paraId="5348C57D" w14:textId="77777777" w:rsidR="00587444" w:rsidRPr="00587444" w:rsidRDefault="00587444" w:rsidP="00880B90">
      <w:pPr>
        <w:autoSpaceDN/>
        <w:jc w:val="both"/>
        <w:rPr>
          <w:rFonts w:ascii="Arial" w:hAnsi="Arial" w:cs="Arial"/>
          <w:sz w:val="20"/>
          <w:szCs w:val="20"/>
        </w:rPr>
      </w:pPr>
    </w:p>
    <w:p w14:paraId="29CD2AAC" w14:textId="77777777" w:rsidR="00587444" w:rsidRPr="00587444" w:rsidRDefault="00587444" w:rsidP="00880B90">
      <w:pPr>
        <w:tabs>
          <w:tab w:val="right" w:pos="9129"/>
        </w:tabs>
        <w:autoSpaceDN/>
        <w:jc w:val="both"/>
        <w:rPr>
          <w:rFonts w:ascii="Arial" w:eastAsia="Calibri" w:hAnsi="Arial" w:cs="Arial"/>
          <w:sz w:val="20"/>
          <w:szCs w:val="20"/>
        </w:rPr>
      </w:pPr>
      <w:r w:rsidRPr="00587444">
        <w:rPr>
          <w:rFonts w:ascii="Arial" w:eastAsia="Calibri" w:hAnsi="Arial" w:cs="Arial"/>
          <w:sz w:val="20"/>
          <w:szCs w:val="20"/>
        </w:rPr>
        <w:t xml:space="preserve">Additionally, based on the Agreement on mutual business cooperation and based on the said unilateral statement, the commercial bank </w:t>
      </w:r>
      <w:proofErr w:type="spellStart"/>
      <w:r w:rsidRPr="00587444">
        <w:rPr>
          <w:rFonts w:ascii="Arial" w:eastAsia="Calibri" w:hAnsi="Arial" w:cs="Arial"/>
          <w:sz w:val="20"/>
          <w:szCs w:val="20"/>
        </w:rPr>
        <w:t>authorises</w:t>
      </w:r>
      <w:proofErr w:type="spellEnd"/>
      <w:r w:rsidRPr="00587444">
        <w:rPr>
          <w:rFonts w:ascii="Arial" w:eastAsia="Calibri" w:hAnsi="Arial" w:cs="Arial"/>
          <w:sz w:val="20"/>
          <w:szCs w:val="20"/>
        </w:rPr>
        <w:t xml:space="preserve"> HBOR that HBOR may, without having to obtain any further consent or approval from the commercial bank, enter itself into all public registers, </w:t>
      </w:r>
      <w:proofErr w:type="gramStart"/>
      <w:r w:rsidRPr="00587444">
        <w:rPr>
          <w:rFonts w:ascii="Arial" w:eastAsia="Calibri" w:hAnsi="Arial" w:cs="Arial"/>
          <w:sz w:val="20"/>
          <w:szCs w:val="20"/>
        </w:rPr>
        <w:t>books</w:t>
      </w:r>
      <w:proofErr w:type="gramEnd"/>
      <w:r w:rsidRPr="00587444">
        <w:rPr>
          <w:rFonts w:ascii="Arial" w:eastAsia="Calibri" w:hAnsi="Arial" w:cs="Arial"/>
          <w:sz w:val="20"/>
          <w:szCs w:val="20"/>
        </w:rPr>
        <w:t xml:space="preserve"> or records as the creditor instead of the commercial bank under any security arrangements for assigned receivables as well as under any other proceedings.</w:t>
      </w:r>
    </w:p>
    <w:p w14:paraId="3EEACF4B" w14:textId="77777777" w:rsidR="00587444" w:rsidRPr="00587444" w:rsidRDefault="00587444" w:rsidP="00880B90">
      <w:pPr>
        <w:tabs>
          <w:tab w:val="right" w:pos="9129"/>
        </w:tabs>
        <w:autoSpaceDN/>
        <w:jc w:val="both"/>
        <w:rPr>
          <w:rFonts w:ascii="Arial" w:eastAsia="Calibri" w:hAnsi="Arial" w:cs="Arial"/>
          <w:b/>
          <w:bCs/>
          <w:sz w:val="20"/>
          <w:szCs w:val="20"/>
        </w:rPr>
      </w:pPr>
    </w:p>
    <w:p w14:paraId="511F3CAC" w14:textId="77777777" w:rsidR="00587444" w:rsidRPr="00587444" w:rsidRDefault="00587444" w:rsidP="00880B90">
      <w:pPr>
        <w:tabs>
          <w:tab w:val="right" w:pos="9129"/>
        </w:tabs>
        <w:autoSpaceDN/>
        <w:jc w:val="both"/>
        <w:rPr>
          <w:rFonts w:ascii="Arial" w:eastAsia="Calibri" w:hAnsi="Arial" w:cs="Arial"/>
          <w:sz w:val="20"/>
          <w:szCs w:val="20"/>
        </w:rPr>
      </w:pPr>
      <w:r w:rsidRPr="00587444">
        <w:rPr>
          <w:rFonts w:ascii="Arial" w:eastAsia="Calibri" w:hAnsi="Arial" w:cs="Arial"/>
          <w:sz w:val="20"/>
          <w:szCs w:val="20"/>
        </w:rPr>
        <w:t xml:space="preserve">From the moment of the assignment, the final customer is obliged to make all payments related to the assigned receivable directly to HBOR. Should the commercial bank receive any payments in the name of collection of receivables per </w:t>
      </w:r>
      <w:proofErr w:type="gramStart"/>
      <w:r w:rsidRPr="00587444">
        <w:rPr>
          <w:rFonts w:ascii="Arial" w:eastAsia="Calibri" w:hAnsi="Arial" w:cs="Arial"/>
          <w:sz w:val="20"/>
          <w:szCs w:val="20"/>
        </w:rPr>
        <w:t>particular placement</w:t>
      </w:r>
      <w:proofErr w:type="gramEnd"/>
      <w:r w:rsidRPr="00587444">
        <w:rPr>
          <w:rFonts w:ascii="Arial" w:eastAsia="Calibri" w:hAnsi="Arial" w:cs="Arial"/>
          <w:sz w:val="20"/>
          <w:szCs w:val="20"/>
        </w:rPr>
        <w:t>, the bank is obliged to immediately transfer the funds to HBOR.</w:t>
      </w:r>
    </w:p>
    <w:p w14:paraId="366776D0" w14:textId="77777777" w:rsidR="00587444" w:rsidRPr="00587444" w:rsidRDefault="00587444" w:rsidP="00880B90">
      <w:pPr>
        <w:tabs>
          <w:tab w:val="right" w:pos="9129"/>
        </w:tabs>
        <w:autoSpaceDN/>
        <w:jc w:val="both"/>
        <w:rPr>
          <w:rFonts w:ascii="Arial" w:eastAsia="Calibri" w:hAnsi="Arial" w:cs="Arial"/>
          <w:sz w:val="20"/>
          <w:szCs w:val="20"/>
        </w:rPr>
      </w:pPr>
    </w:p>
    <w:p w14:paraId="3A45EBB8" w14:textId="77777777" w:rsidR="00587444" w:rsidRPr="00587444" w:rsidRDefault="00587444" w:rsidP="00880B90">
      <w:pPr>
        <w:tabs>
          <w:tab w:val="right" w:pos="9129"/>
        </w:tabs>
        <w:autoSpaceDN/>
        <w:jc w:val="both"/>
        <w:rPr>
          <w:rFonts w:ascii="Arial" w:eastAsia="Calibri" w:hAnsi="Arial" w:cs="Arial"/>
          <w:sz w:val="20"/>
          <w:szCs w:val="20"/>
        </w:rPr>
      </w:pPr>
      <w:r w:rsidRPr="00587444">
        <w:rPr>
          <w:rFonts w:ascii="Arial" w:eastAsia="Calibri" w:hAnsi="Arial" w:cs="Arial"/>
          <w:sz w:val="20"/>
          <w:szCs w:val="20"/>
        </w:rPr>
        <w:t>All direct placements are mainly secured with a transfer of ownership or with a mortgage over real estate and, if is possible, the Bank obtains as security against credit risk a guarantee from HAMAG-BICRO, a guarantee from EIF (European Investment Fund), a guarantee from the local and regional authority, a guarantee from the Republic of Croatia, etc.</w:t>
      </w:r>
    </w:p>
    <w:p w14:paraId="2770C9BD" w14:textId="77777777" w:rsidR="00587444" w:rsidRPr="00587444" w:rsidRDefault="00587444" w:rsidP="00880B90">
      <w:pPr>
        <w:tabs>
          <w:tab w:val="right" w:pos="9129"/>
        </w:tabs>
        <w:autoSpaceDN/>
        <w:jc w:val="both"/>
        <w:rPr>
          <w:rFonts w:ascii="Arial" w:eastAsia="Calibri" w:hAnsi="Arial" w:cs="Arial"/>
          <w:b/>
          <w:bCs/>
          <w:sz w:val="20"/>
          <w:szCs w:val="20"/>
        </w:rPr>
      </w:pPr>
    </w:p>
    <w:p w14:paraId="2CF80D9C" w14:textId="77777777" w:rsidR="00587444" w:rsidRPr="00587444" w:rsidRDefault="00587444" w:rsidP="00880B90">
      <w:pPr>
        <w:tabs>
          <w:tab w:val="right" w:pos="9129"/>
        </w:tabs>
        <w:autoSpaceDN/>
        <w:rPr>
          <w:rFonts w:ascii="Arial" w:eastAsia="Calibri" w:hAnsi="Arial" w:cs="Arial"/>
          <w:sz w:val="20"/>
          <w:szCs w:val="20"/>
        </w:rPr>
        <w:sectPr w:rsidR="00587444" w:rsidRPr="00587444" w:rsidSect="00DD69E7">
          <w:pgSz w:w="11906" w:h="16838" w:code="9"/>
          <w:pgMar w:top="1418" w:right="1418" w:bottom="595" w:left="1134" w:header="851" w:footer="851" w:gutter="0"/>
          <w:cols w:space="720"/>
          <w:noEndnote/>
        </w:sectPr>
      </w:pPr>
      <w:r w:rsidRPr="00587444">
        <w:rPr>
          <w:rFonts w:ascii="Arial" w:eastAsia="Calibri" w:hAnsi="Arial" w:cs="Arial"/>
          <w:sz w:val="20"/>
          <w:szCs w:val="20"/>
        </w:rPr>
        <w:t>The Bank has the right to verify the appraisal of the collateral value and such a confirmed appraisal is considered as the final collateral value.</w:t>
      </w:r>
    </w:p>
    <w:p w14:paraId="432EEB1E" w14:textId="77777777" w:rsidR="00587444" w:rsidRPr="00587444" w:rsidRDefault="00587444" w:rsidP="00587444">
      <w:pPr>
        <w:tabs>
          <w:tab w:val="right" w:pos="9129"/>
        </w:tabs>
        <w:suppressAutoHyphens w:val="0"/>
        <w:autoSpaceDN/>
        <w:jc w:val="both"/>
        <w:rPr>
          <w:rFonts w:ascii="Arial" w:eastAsia="Calibri" w:hAnsi="Arial" w:cs="Arial"/>
          <w:sz w:val="20"/>
          <w:szCs w:val="20"/>
        </w:rPr>
      </w:pPr>
    </w:p>
    <w:p w14:paraId="79FEC8BE"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3E6821FA" w14:textId="77777777" w:rsidR="00587444" w:rsidRPr="00587444" w:rsidRDefault="00587444" w:rsidP="00587444">
      <w:pPr>
        <w:keepNext/>
        <w:suppressAutoHyphens w:val="0"/>
        <w:autoSpaceDN/>
        <w:jc w:val="both"/>
        <w:rPr>
          <w:rFonts w:ascii="Arial" w:hAnsi="Arial" w:cs="Arial"/>
          <w:b/>
          <w:bCs/>
          <w:sz w:val="20"/>
          <w:szCs w:val="20"/>
        </w:rPr>
      </w:pPr>
    </w:p>
    <w:p w14:paraId="3BEC3E86"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71277830" w14:textId="77777777" w:rsidR="00587444" w:rsidRPr="00587444" w:rsidRDefault="00587444" w:rsidP="00587444">
      <w:pPr>
        <w:tabs>
          <w:tab w:val="left" w:pos="7371"/>
        </w:tabs>
        <w:suppressAutoHyphens w:val="0"/>
        <w:autoSpaceDN/>
        <w:jc w:val="both"/>
        <w:rPr>
          <w:rFonts w:ascii="Arial" w:eastAsia="Calibri" w:hAnsi="Arial" w:cs="Arial"/>
          <w:sz w:val="20"/>
          <w:szCs w:val="20"/>
        </w:rPr>
      </w:pPr>
    </w:p>
    <w:p w14:paraId="123ABDA8" w14:textId="77777777" w:rsidR="00587444" w:rsidRPr="00587444" w:rsidRDefault="00587444" w:rsidP="00587444">
      <w:pPr>
        <w:suppressAutoHyphens w:val="0"/>
        <w:autoSpaceDN/>
        <w:spacing w:line="300" w:lineRule="exact"/>
        <w:rPr>
          <w:rFonts w:ascii="Arial" w:eastAsia="Calibri" w:hAnsi="Arial" w:cs="Arial"/>
          <w:b/>
          <w:sz w:val="20"/>
          <w:szCs w:val="20"/>
        </w:rPr>
      </w:pPr>
      <w:r w:rsidRPr="00587444">
        <w:rPr>
          <w:rFonts w:ascii="Arial" w:eastAsia="Calibri" w:hAnsi="Arial" w:cs="Arial"/>
          <w:b/>
          <w:sz w:val="20"/>
          <w:szCs w:val="20"/>
        </w:rPr>
        <w:t>31.3.8. Collateral and other credit enhancements (creditworthiness) (continued)</w:t>
      </w:r>
    </w:p>
    <w:p w14:paraId="728A7F04" w14:textId="77777777" w:rsidR="00587444" w:rsidRPr="00587444" w:rsidRDefault="00587444" w:rsidP="00587444">
      <w:pPr>
        <w:tabs>
          <w:tab w:val="right" w:pos="9129"/>
        </w:tabs>
        <w:suppressAutoHyphens w:val="0"/>
        <w:autoSpaceDN/>
        <w:jc w:val="both"/>
        <w:rPr>
          <w:rFonts w:ascii="Arial" w:eastAsia="Calibri" w:hAnsi="Arial" w:cs="Arial"/>
          <w:sz w:val="20"/>
          <w:szCs w:val="20"/>
        </w:rPr>
      </w:pPr>
    </w:p>
    <w:p w14:paraId="4637A401" w14:textId="77777777" w:rsidR="00587444" w:rsidRPr="00587444" w:rsidRDefault="00587444" w:rsidP="00880B90">
      <w:pPr>
        <w:tabs>
          <w:tab w:val="right" w:pos="9129"/>
        </w:tabs>
        <w:autoSpaceDN/>
        <w:jc w:val="both"/>
        <w:rPr>
          <w:rFonts w:ascii="Arial" w:eastAsia="Calibri" w:hAnsi="Arial" w:cs="Arial"/>
          <w:sz w:val="20"/>
          <w:szCs w:val="20"/>
        </w:rPr>
      </w:pPr>
      <w:r w:rsidRPr="00587444">
        <w:rPr>
          <w:rFonts w:ascii="Arial" w:eastAsia="Calibri" w:hAnsi="Arial" w:cs="Arial"/>
          <w:sz w:val="20"/>
          <w:szCs w:val="20"/>
        </w:rPr>
        <w:t xml:space="preserve">Depending on the type of collateral, the credit </w:t>
      </w:r>
      <w:r w:rsidRPr="00587444">
        <w:rPr>
          <w:rFonts w:ascii="Arial" w:eastAsia="Calibri" w:hAnsi="Arial" w:cs="Arial"/>
          <w:sz w:val="20"/>
          <w:szCs w:val="20"/>
          <w:lang w:val="en-GB"/>
        </w:rPr>
        <w:t>programme</w:t>
      </w:r>
      <w:r w:rsidRPr="00587444">
        <w:rPr>
          <w:rFonts w:ascii="Arial" w:eastAsia="Calibri" w:hAnsi="Arial" w:cs="Arial"/>
          <w:sz w:val="20"/>
          <w:szCs w:val="20"/>
        </w:rPr>
        <w:t xml:space="preserve">, the general terms of security or the decision of an </w:t>
      </w:r>
      <w:proofErr w:type="spellStart"/>
      <w:r w:rsidRPr="00587444">
        <w:rPr>
          <w:rFonts w:ascii="Arial" w:eastAsia="Calibri" w:hAnsi="Arial" w:cs="Arial"/>
          <w:sz w:val="20"/>
          <w:szCs w:val="20"/>
        </w:rPr>
        <w:t>authorised</w:t>
      </w:r>
      <w:proofErr w:type="spellEnd"/>
      <w:r w:rsidRPr="00587444">
        <w:rPr>
          <w:rFonts w:ascii="Arial" w:eastAsia="Calibri" w:hAnsi="Arial" w:cs="Arial"/>
          <w:sz w:val="20"/>
          <w:szCs w:val="20"/>
        </w:rPr>
        <w:t xml:space="preserve"> body, the Bank has determined the necessary ratio of placements and collateral.</w:t>
      </w:r>
    </w:p>
    <w:p w14:paraId="5F9B9566" w14:textId="77777777" w:rsidR="00587444" w:rsidRPr="00587444" w:rsidRDefault="00587444" w:rsidP="00880B90">
      <w:pPr>
        <w:tabs>
          <w:tab w:val="right" w:pos="9129"/>
        </w:tabs>
        <w:autoSpaceDN/>
        <w:jc w:val="both"/>
        <w:rPr>
          <w:rFonts w:ascii="Arial" w:hAnsi="Arial" w:cs="Arial"/>
          <w:sz w:val="20"/>
          <w:szCs w:val="20"/>
        </w:rPr>
      </w:pPr>
    </w:p>
    <w:p w14:paraId="6EBF5E7E" w14:textId="77777777" w:rsidR="00587444" w:rsidRPr="00587444" w:rsidRDefault="00587444" w:rsidP="00880B90">
      <w:pPr>
        <w:autoSpaceDE w:val="0"/>
        <w:ind w:right="-1"/>
        <w:jc w:val="both"/>
        <w:rPr>
          <w:rFonts w:ascii="Arial" w:eastAsia="Calibri" w:hAnsi="Arial" w:cs="Arial"/>
          <w:color w:val="000000"/>
          <w:sz w:val="20"/>
          <w:szCs w:val="20"/>
          <w:lang w:val="en-GB"/>
        </w:rPr>
      </w:pPr>
      <w:r w:rsidRPr="00587444">
        <w:rPr>
          <w:rFonts w:ascii="Arial" w:hAnsi="Arial" w:cs="Arial"/>
          <w:sz w:val="20"/>
          <w:szCs w:val="20"/>
        </w:rPr>
        <w:t xml:space="preserve">In case of the real estate, the necessary ratio of placement and estimated market value of the real estate should be 1:1.3, except in case of investments on the islands, supported areas where such ratio is 1:1.2. In case of moveable property, the necessary ratio of placement and estimated market value of moveable property should be 1:2. If a lower ratio of the collateral value than those prescribed is proposed, reasons and justifications of deviations from the prescribed ratio are explained. </w:t>
      </w:r>
      <w:r w:rsidRPr="00587444">
        <w:rPr>
          <w:rFonts w:ascii="Arial" w:eastAsia="Calibri" w:hAnsi="Arial" w:cs="Arial"/>
          <w:color w:val="000000"/>
          <w:sz w:val="20"/>
          <w:szCs w:val="20"/>
          <w:lang w:val="en-GB"/>
        </w:rPr>
        <w:t>For direct financing of entrepreneurs' liquidity through COVID-19 loans or loans for earthquake-affected areas of Sisak-</w:t>
      </w:r>
      <w:proofErr w:type="spellStart"/>
      <w:r w:rsidRPr="00587444">
        <w:rPr>
          <w:rFonts w:ascii="Arial" w:eastAsia="Calibri" w:hAnsi="Arial" w:cs="Arial"/>
          <w:color w:val="000000"/>
          <w:sz w:val="20"/>
          <w:szCs w:val="20"/>
          <w:lang w:val="en-GB"/>
        </w:rPr>
        <w:t>Moslavina</w:t>
      </w:r>
      <w:proofErr w:type="spellEnd"/>
      <w:r w:rsidRPr="00587444">
        <w:rPr>
          <w:rFonts w:ascii="Arial" w:eastAsia="Calibri" w:hAnsi="Arial" w:cs="Arial"/>
          <w:color w:val="000000"/>
          <w:sz w:val="20"/>
          <w:szCs w:val="20"/>
          <w:lang w:val="en-GB"/>
        </w:rPr>
        <w:t xml:space="preserve"> County or liquidity loans under the new WC CRISIS 2022 measure, security is provided through the coverage of loans by collateral of at least 70%. </w:t>
      </w:r>
    </w:p>
    <w:p w14:paraId="3E98EBF4" w14:textId="77777777" w:rsidR="00587444" w:rsidRPr="00587444" w:rsidRDefault="00587444" w:rsidP="00880B90">
      <w:pPr>
        <w:tabs>
          <w:tab w:val="right" w:pos="9129"/>
        </w:tabs>
        <w:autoSpaceDN/>
        <w:jc w:val="both"/>
        <w:rPr>
          <w:rFonts w:ascii="Arial" w:eastAsia="Calibri" w:hAnsi="Arial" w:cs="Arial"/>
          <w:b/>
          <w:bCs/>
          <w:sz w:val="20"/>
          <w:szCs w:val="20"/>
        </w:rPr>
      </w:pPr>
    </w:p>
    <w:p w14:paraId="0BA0C3F0" w14:textId="77777777" w:rsidR="00587444" w:rsidRPr="00587444" w:rsidRDefault="00587444" w:rsidP="00880B90">
      <w:pPr>
        <w:tabs>
          <w:tab w:val="left" w:pos="709"/>
          <w:tab w:val="right" w:pos="9129"/>
        </w:tabs>
        <w:autoSpaceDN/>
        <w:jc w:val="both"/>
        <w:rPr>
          <w:rFonts w:ascii="Arial" w:eastAsia="Calibri" w:hAnsi="Arial" w:cs="Arial"/>
          <w:sz w:val="20"/>
          <w:szCs w:val="20"/>
        </w:rPr>
      </w:pPr>
      <w:r w:rsidRPr="00587444">
        <w:rPr>
          <w:rFonts w:ascii="Arial" w:hAnsi="Arial" w:cs="Arial"/>
          <w:sz w:val="20"/>
          <w:szCs w:val="20"/>
        </w:rPr>
        <w:t xml:space="preserve">The Bank continually monitors the value of collaterals by re-estimation or confirmation/verification of the value. </w:t>
      </w:r>
      <w:r w:rsidRPr="00587444">
        <w:rPr>
          <w:rFonts w:ascii="Arial" w:eastAsia="Calibri" w:hAnsi="Arial" w:cs="Arial"/>
          <w:sz w:val="20"/>
          <w:szCs w:val="20"/>
        </w:rPr>
        <w:t>Monitoring of the value of mortgaged real estate is performed once a year for business real estate, and every three years for residential buildings. The Bank has formed a special organizational unit for:</w:t>
      </w:r>
    </w:p>
    <w:p w14:paraId="31898EED" w14:textId="77777777" w:rsidR="00587444" w:rsidRPr="00587444" w:rsidRDefault="00587444" w:rsidP="00880B90">
      <w:pPr>
        <w:numPr>
          <w:ilvl w:val="0"/>
          <w:numId w:val="29"/>
        </w:numPr>
        <w:tabs>
          <w:tab w:val="num" w:pos="426"/>
          <w:tab w:val="right" w:pos="9129"/>
        </w:tabs>
        <w:autoSpaceDN/>
        <w:ind w:hanging="578"/>
        <w:jc w:val="both"/>
        <w:rPr>
          <w:rFonts w:ascii="Arial" w:eastAsia="Calibri" w:hAnsi="Arial" w:cs="Arial"/>
          <w:sz w:val="20"/>
          <w:szCs w:val="20"/>
        </w:rPr>
      </w:pPr>
      <w:r w:rsidRPr="00587444">
        <w:rPr>
          <w:rFonts w:ascii="Arial" w:eastAsia="Calibri" w:hAnsi="Arial" w:cs="Arial"/>
          <w:sz w:val="20"/>
          <w:szCs w:val="20"/>
        </w:rPr>
        <w:t xml:space="preserve"> evaluation</w:t>
      </w:r>
      <w:r w:rsidRPr="00587444" w:rsidDel="00172F32">
        <w:rPr>
          <w:rFonts w:ascii="Arial" w:eastAsia="Calibri" w:hAnsi="Arial" w:cs="Arial"/>
          <w:sz w:val="20"/>
          <w:szCs w:val="20"/>
        </w:rPr>
        <w:t xml:space="preserve"> </w:t>
      </w:r>
      <w:r w:rsidRPr="00587444">
        <w:rPr>
          <w:rFonts w:ascii="Arial" w:eastAsia="Calibri" w:hAnsi="Arial" w:cs="Arial"/>
          <w:sz w:val="20"/>
          <w:szCs w:val="20"/>
        </w:rPr>
        <w:t>and verification</w:t>
      </w:r>
      <w:r w:rsidRPr="00587444" w:rsidDel="00DD2279">
        <w:rPr>
          <w:rFonts w:ascii="Arial" w:eastAsia="Calibri" w:hAnsi="Arial" w:cs="Arial"/>
          <w:sz w:val="20"/>
          <w:szCs w:val="20"/>
        </w:rPr>
        <w:t xml:space="preserve"> </w:t>
      </w:r>
      <w:r w:rsidRPr="00587444">
        <w:rPr>
          <w:rFonts w:ascii="Arial" w:eastAsia="Calibri" w:hAnsi="Arial" w:cs="Arial"/>
          <w:sz w:val="20"/>
          <w:szCs w:val="20"/>
        </w:rPr>
        <w:t>of already appraised and offered collateral (real estate and movables),</w:t>
      </w:r>
    </w:p>
    <w:p w14:paraId="053CF18B" w14:textId="77777777" w:rsidR="00587444" w:rsidRPr="00587444" w:rsidRDefault="00587444" w:rsidP="00880B90">
      <w:pPr>
        <w:numPr>
          <w:ilvl w:val="0"/>
          <w:numId w:val="28"/>
        </w:numPr>
        <w:shd w:val="clear" w:color="auto" w:fill="FFFFFF"/>
        <w:tabs>
          <w:tab w:val="num" w:pos="567"/>
        </w:tabs>
        <w:autoSpaceDN/>
        <w:jc w:val="both"/>
        <w:rPr>
          <w:rFonts w:ascii="Arial" w:eastAsia="Calibri" w:hAnsi="Arial" w:cs="Arial"/>
          <w:sz w:val="20"/>
          <w:szCs w:val="20"/>
        </w:rPr>
      </w:pPr>
      <w:r w:rsidRPr="00587444">
        <w:rPr>
          <w:rFonts w:ascii="Arial" w:eastAsia="Calibri" w:hAnsi="Arial" w:cs="Arial"/>
          <w:sz w:val="20"/>
          <w:szCs w:val="20"/>
        </w:rPr>
        <w:t>technical and technological analysis of investment projects, and</w:t>
      </w:r>
    </w:p>
    <w:p w14:paraId="0E0B1400" w14:textId="77777777" w:rsidR="00587444" w:rsidRPr="00587444" w:rsidRDefault="00587444" w:rsidP="00880B90">
      <w:pPr>
        <w:numPr>
          <w:ilvl w:val="0"/>
          <w:numId w:val="28"/>
        </w:numPr>
        <w:tabs>
          <w:tab w:val="num" w:pos="567"/>
          <w:tab w:val="left" w:pos="9356"/>
        </w:tabs>
        <w:autoSpaceDN/>
        <w:jc w:val="both"/>
        <w:rPr>
          <w:rFonts w:ascii="Arial" w:eastAsia="Calibri" w:hAnsi="Arial" w:cs="Arial"/>
          <w:sz w:val="20"/>
          <w:szCs w:val="20"/>
        </w:rPr>
      </w:pPr>
      <w:r w:rsidRPr="00587444">
        <w:rPr>
          <w:rFonts w:ascii="Arial" w:eastAsia="Calibri" w:hAnsi="Arial" w:cs="Arial"/>
          <w:sz w:val="20"/>
          <w:szCs w:val="20"/>
        </w:rPr>
        <w:t>financial supervision over the withdrawal of loan funds for the purpose of the implementation of the investment project.</w:t>
      </w:r>
    </w:p>
    <w:p w14:paraId="5A0B07CF" w14:textId="77777777" w:rsidR="00587444" w:rsidRPr="00587444" w:rsidRDefault="00587444" w:rsidP="00880B90">
      <w:pPr>
        <w:autoSpaceDN/>
        <w:rPr>
          <w:rFonts w:ascii="Arial" w:eastAsia="Calibri" w:hAnsi="Arial" w:cs="Arial"/>
          <w:sz w:val="20"/>
          <w:szCs w:val="20"/>
        </w:rPr>
      </w:pPr>
    </w:p>
    <w:p w14:paraId="743778CC" w14:textId="77777777" w:rsidR="00587444" w:rsidRPr="00587444" w:rsidRDefault="00587444" w:rsidP="00880B90">
      <w:pPr>
        <w:tabs>
          <w:tab w:val="left" w:pos="709"/>
          <w:tab w:val="right" w:pos="9129"/>
        </w:tabs>
        <w:autoSpaceDN/>
        <w:jc w:val="both"/>
        <w:rPr>
          <w:rFonts w:ascii="Arial" w:eastAsia="Calibri" w:hAnsi="Arial" w:cs="Arial"/>
          <w:sz w:val="20"/>
          <w:szCs w:val="20"/>
        </w:rPr>
      </w:pPr>
      <w:proofErr w:type="gramStart"/>
      <w:r w:rsidRPr="00587444">
        <w:rPr>
          <w:rFonts w:ascii="Arial" w:eastAsia="Calibri" w:hAnsi="Arial" w:cs="Arial"/>
          <w:sz w:val="20"/>
          <w:szCs w:val="20"/>
        </w:rPr>
        <w:t>In the event that</w:t>
      </w:r>
      <w:proofErr w:type="gramEnd"/>
      <w:r w:rsidRPr="00587444">
        <w:rPr>
          <w:rFonts w:ascii="Arial" w:eastAsia="Calibri" w:hAnsi="Arial" w:cs="Arial"/>
          <w:sz w:val="20"/>
          <w:szCs w:val="20"/>
        </w:rPr>
        <w:t xml:space="preserve"> it is not possible for the Bank to collect from regular operations, the Bank starts </w:t>
      </w:r>
      <w:proofErr w:type="gramStart"/>
      <w:r w:rsidRPr="00587444">
        <w:rPr>
          <w:rFonts w:ascii="Arial" w:eastAsia="Calibri" w:hAnsi="Arial" w:cs="Arial"/>
          <w:sz w:val="20"/>
          <w:szCs w:val="20"/>
        </w:rPr>
        <w:t>collection</w:t>
      </w:r>
      <w:proofErr w:type="gramEnd"/>
      <w:r w:rsidRPr="00587444">
        <w:rPr>
          <w:rFonts w:ascii="Arial" w:eastAsia="Calibri" w:hAnsi="Arial" w:cs="Arial"/>
          <w:sz w:val="20"/>
          <w:szCs w:val="20"/>
        </w:rPr>
        <w:t xml:space="preserve"> from the collateral at its disposal. This encompasses initiating collection from the obligatory collateral, then from first-class, unconditional collateral payable on first demand and then from the mortgage or fiduciary ownership of the real estate or movable property, including their repossession with a view to decreasing or fully settling the Bank’s receivables. The Bank does not use repossessed assets for business purposes.</w:t>
      </w:r>
    </w:p>
    <w:p w14:paraId="0F2219D5" w14:textId="77777777" w:rsidR="00587444" w:rsidRPr="00587444" w:rsidRDefault="00587444" w:rsidP="00880B90">
      <w:pPr>
        <w:autoSpaceDN/>
        <w:rPr>
          <w:rFonts w:ascii="Arial" w:eastAsia="Calibri" w:hAnsi="Arial" w:cs="Arial"/>
          <w:sz w:val="20"/>
          <w:szCs w:val="20"/>
        </w:rPr>
      </w:pPr>
    </w:p>
    <w:p w14:paraId="2A45AD43" w14:textId="77777777" w:rsidR="00587444" w:rsidRPr="00587444" w:rsidRDefault="00587444" w:rsidP="00880B90">
      <w:pPr>
        <w:autoSpaceDN/>
        <w:jc w:val="both"/>
        <w:rPr>
          <w:rFonts w:ascii="Arial" w:eastAsia="Calibri" w:hAnsi="Arial" w:cs="Arial"/>
          <w:sz w:val="20"/>
          <w:szCs w:val="20"/>
        </w:rPr>
      </w:pPr>
      <w:r w:rsidRPr="00587444">
        <w:rPr>
          <w:rFonts w:ascii="Arial" w:eastAsia="Calibri" w:hAnsi="Arial" w:cs="Arial"/>
          <w:sz w:val="20"/>
          <w:szCs w:val="20"/>
        </w:rPr>
        <w:t xml:space="preserve">In the case of risk-sharing models, collateral is created by commercial banks depending on the type of the model: </w:t>
      </w:r>
    </w:p>
    <w:p w14:paraId="4E14B59C" w14:textId="77777777" w:rsidR="00587444" w:rsidRPr="00587444" w:rsidRDefault="00587444" w:rsidP="00880B90">
      <w:pPr>
        <w:numPr>
          <w:ilvl w:val="0"/>
          <w:numId w:val="33"/>
        </w:numPr>
        <w:autoSpaceDN/>
        <w:ind w:left="567" w:hanging="207"/>
        <w:contextualSpacing/>
        <w:jc w:val="both"/>
        <w:rPr>
          <w:rFonts w:ascii="Arial" w:eastAsia="Calibri" w:hAnsi="Arial" w:cs="Arial"/>
          <w:sz w:val="20"/>
          <w:szCs w:val="20"/>
        </w:rPr>
      </w:pPr>
      <w:r w:rsidRPr="00587444">
        <w:rPr>
          <w:rFonts w:ascii="Arial" w:eastAsia="Calibri" w:hAnsi="Arial" w:cs="Arial"/>
          <w:sz w:val="20"/>
          <w:szCs w:val="20"/>
        </w:rPr>
        <w:t>in accordance with their own internal documents and good banking practices, and, consequently, HBOR's documents and collateral ratios prescribed in them do not apply,</w:t>
      </w:r>
    </w:p>
    <w:p w14:paraId="0B880C73" w14:textId="77777777" w:rsidR="00587444" w:rsidRPr="00587444" w:rsidRDefault="00587444" w:rsidP="00880B90">
      <w:pPr>
        <w:numPr>
          <w:ilvl w:val="0"/>
          <w:numId w:val="33"/>
        </w:numPr>
        <w:autoSpaceDN/>
        <w:spacing w:after="120"/>
        <w:ind w:left="567" w:hanging="210"/>
        <w:contextualSpacing/>
        <w:jc w:val="both"/>
        <w:rPr>
          <w:rFonts w:ascii="Arial" w:eastAsia="Calibri" w:hAnsi="Arial" w:cs="Arial"/>
          <w:sz w:val="20"/>
          <w:szCs w:val="20"/>
        </w:rPr>
      </w:pPr>
      <w:r w:rsidRPr="00587444">
        <w:rPr>
          <w:rFonts w:ascii="Arial" w:eastAsia="Calibri" w:hAnsi="Arial" w:cs="Arial"/>
          <w:sz w:val="20"/>
          <w:szCs w:val="20"/>
        </w:rPr>
        <w:t>or collateral is created by commercial banks and HBOR for their respective shares in the loan in accordance with their own documents, decisions and/or procedures,</w:t>
      </w:r>
    </w:p>
    <w:p w14:paraId="7D524508" w14:textId="77777777" w:rsidR="00587444" w:rsidRPr="00587444" w:rsidRDefault="00587444" w:rsidP="00880B90">
      <w:pPr>
        <w:numPr>
          <w:ilvl w:val="0"/>
          <w:numId w:val="33"/>
        </w:numPr>
        <w:autoSpaceDN/>
        <w:spacing w:after="120"/>
        <w:ind w:left="567" w:hanging="210"/>
        <w:contextualSpacing/>
        <w:jc w:val="both"/>
        <w:rPr>
          <w:rFonts w:ascii="Arial" w:eastAsia="Calibri" w:hAnsi="Arial" w:cs="Arial"/>
          <w:sz w:val="20"/>
          <w:szCs w:val="20"/>
        </w:rPr>
      </w:pPr>
      <w:r w:rsidRPr="00587444">
        <w:rPr>
          <w:rFonts w:ascii="Arial" w:eastAsia="Calibri" w:hAnsi="Arial" w:cs="Arial"/>
          <w:sz w:val="20"/>
          <w:szCs w:val="20"/>
        </w:rPr>
        <w:t>for liquidity loans to entrepreneurs that have been strongly affected by the crisis caused by the coronavirus pandemic, the same instruments taken by the bank have been accepted as collateral provided that the collateral covers at least 50% of the loan,</w:t>
      </w:r>
    </w:p>
    <w:p w14:paraId="582F3905" w14:textId="77777777" w:rsidR="00587444" w:rsidRPr="00587444" w:rsidRDefault="00587444" w:rsidP="00880B90">
      <w:pPr>
        <w:numPr>
          <w:ilvl w:val="0"/>
          <w:numId w:val="33"/>
        </w:numPr>
        <w:autoSpaceDN/>
        <w:spacing w:after="120"/>
        <w:ind w:left="567" w:hanging="210"/>
        <w:contextualSpacing/>
        <w:jc w:val="both"/>
        <w:rPr>
          <w:rFonts w:ascii="Arial" w:eastAsia="Calibri" w:hAnsi="Arial" w:cs="Arial"/>
          <w:sz w:val="20"/>
          <w:szCs w:val="20"/>
        </w:rPr>
      </w:pPr>
      <w:r w:rsidRPr="00587444">
        <w:rPr>
          <w:rFonts w:ascii="Arial" w:eastAsia="Calibri" w:hAnsi="Arial" w:cs="Arial"/>
          <w:sz w:val="20"/>
          <w:szCs w:val="20"/>
        </w:rPr>
        <w:t>for liquidity loans to entrepreneurs affected by the crisis caused by the Russian aggression against Ukraine, the same instruments have also been accepted as collateral, provided that the collateral covers at least 70% of the loan.</w:t>
      </w:r>
    </w:p>
    <w:p w14:paraId="26AB4B10" w14:textId="77777777" w:rsidR="00587444" w:rsidRPr="00587444" w:rsidRDefault="00587444" w:rsidP="00880B90">
      <w:pPr>
        <w:autoSpaceDN/>
        <w:spacing w:after="120"/>
        <w:ind w:left="567"/>
        <w:contextualSpacing/>
        <w:jc w:val="both"/>
        <w:rPr>
          <w:rFonts w:ascii="Arial" w:eastAsia="Calibri" w:hAnsi="Arial" w:cs="Arial"/>
          <w:sz w:val="20"/>
          <w:szCs w:val="20"/>
        </w:rPr>
      </w:pPr>
    </w:p>
    <w:p w14:paraId="146B5AEA" w14:textId="77777777" w:rsidR="00587444" w:rsidRPr="00587444" w:rsidRDefault="00587444" w:rsidP="00880B90">
      <w:pPr>
        <w:autoSpaceDN/>
        <w:spacing w:after="120"/>
        <w:contextualSpacing/>
        <w:jc w:val="both"/>
        <w:rPr>
          <w:rFonts w:ascii="Arial" w:eastAsia="Calibri" w:hAnsi="Arial" w:cs="Arial"/>
          <w:b/>
          <w:sz w:val="20"/>
          <w:szCs w:val="20"/>
        </w:rPr>
      </w:pPr>
      <w:r w:rsidRPr="00587444">
        <w:rPr>
          <w:rFonts w:ascii="Arial" w:eastAsia="Calibri" w:hAnsi="Arial" w:cs="Arial"/>
          <w:b/>
          <w:sz w:val="20"/>
          <w:szCs w:val="20"/>
        </w:rPr>
        <w:t>Write-offs</w:t>
      </w:r>
    </w:p>
    <w:p w14:paraId="758B7C06" w14:textId="77777777" w:rsidR="00587444" w:rsidRPr="00587444" w:rsidRDefault="00587444" w:rsidP="00880B90">
      <w:pPr>
        <w:autoSpaceDN/>
        <w:spacing w:before="120"/>
        <w:contextualSpacing/>
        <w:jc w:val="both"/>
        <w:rPr>
          <w:rFonts w:ascii="Arial" w:eastAsia="Calibri" w:hAnsi="Arial" w:cs="Arial"/>
          <w:sz w:val="20"/>
          <w:szCs w:val="20"/>
        </w:rPr>
      </w:pPr>
      <w:r w:rsidRPr="00587444">
        <w:rPr>
          <w:rFonts w:ascii="Arial" w:eastAsia="Calibri" w:hAnsi="Arial" w:cs="Arial"/>
          <w:sz w:val="20"/>
          <w:szCs w:val="20"/>
        </w:rPr>
        <w:t>Write-off is performed in accordance with the Methodology for Write-Off of Receivables.</w:t>
      </w:r>
    </w:p>
    <w:p w14:paraId="0321FB27" w14:textId="77777777" w:rsidR="00587444" w:rsidRPr="00587444" w:rsidRDefault="00587444" w:rsidP="00880B90">
      <w:pPr>
        <w:autoSpaceDN/>
        <w:contextualSpacing/>
        <w:jc w:val="both"/>
        <w:rPr>
          <w:rFonts w:ascii="Arial" w:eastAsia="Calibri" w:hAnsi="Arial" w:cs="Arial"/>
          <w:sz w:val="20"/>
          <w:szCs w:val="20"/>
        </w:rPr>
      </w:pPr>
      <w:r w:rsidRPr="00587444">
        <w:rPr>
          <w:rFonts w:ascii="Arial" w:eastAsia="Calibri" w:hAnsi="Arial" w:cs="Arial"/>
          <w:sz w:val="20"/>
          <w:szCs w:val="20"/>
        </w:rPr>
        <w:t>The criteria for considering the write-off of receivables can be classified into 3 main groups:</w:t>
      </w:r>
    </w:p>
    <w:p w14:paraId="49ACBC24" w14:textId="77777777" w:rsidR="00587444" w:rsidRPr="00587444" w:rsidRDefault="00587444" w:rsidP="00880B90">
      <w:pPr>
        <w:autoSpaceDN/>
        <w:contextualSpacing/>
        <w:jc w:val="both"/>
        <w:rPr>
          <w:rFonts w:ascii="Arial" w:eastAsia="Calibri" w:hAnsi="Arial" w:cs="Arial"/>
          <w:sz w:val="20"/>
          <w:szCs w:val="20"/>
        </w:rPr>
      </w:pPr>
      <w:r w:rsidRPr="00587444">
        <w:rPr>
          <w:rFonts w:ascii="Arial" w:eastAsia="Calibri" w:hAnsi="Arial" w:cs="Arial"/>
          <w:sz w:val="20"/>
          <w:szCs w:val="20"/>
        </w:rPr>
        <w:t>A. exhaustion of all available forms of regular and compulsory collection;</w:t>
      </w:r>
    </w:p>
    <w:p w14:paraId="02BA9B08" w14:textId="77777777" w:rsidR="00587444" w:rsidRPr="00587444" w:rsidRDefault="00587444" w:rsidP="00880B90">
      <w:pPr>
        <w:autoSpaceDN/>
        <w:contextualSpacing/>
        <w:jc w:val="both"/>
        <w:rPr>
          <w:rFonts w:ascii="Arial" w:eastAsia="Calibri" w:hAnsi="Arial" w:cs="Arial"/>
          <w:sz w:val="20"/>
          <w:szCs w:val="20"/>
        </w:rPr>
      </w:pPr>
      <w:r w:rsidRPr="00587444">
        <w:rPr>
          <w:rFonts w:ascii="Arial" w:eastAsia="Calibri" w:hAnsi="Arial" w:cs="Arial"/>
          <w:sz w:val="20"/>
          <w:szCs w:val="20"/>
        </w:rPr>
        <w:t>B. implementation of settlement, sale of receivables or restructuring of placements;</w:t>
      </w:r>
    </w:p>
    <w:p w14:paraId="4BDA463E" w14:textId="77777777" w:rsidR="00587444" w:rsidRPr="00587444" w:rsidRDefault="00587444" w:rsidP="00880B90">
      <w:pPr>
        <w:autoSpaceDN/>
        <w:contextualSpacing/>
        <w:jc w:val="both"/>
        <w:rPr>
          <w:rFonts w:ascii="Arial" w:eastAsia="Calibri" w:hAnsi="Arial" w:cs="Arial"/>
          <w:sz w:val="20"/>
          <w:szCs w:val="20"/>
        </w:rPr>
      </w:pPr>
      <w:r w:rsidRPr="00587444">
        <w:rPr>
          <w:rFonts w:ascii="Arial" w:eastAsia="Calibri" w:hAnsi="Arial" w:cs="Arial"/>
          <w:sz w:val="20"/>
          <w:szCs w:val="20"/>
        </w:rPr>
        <w:t>C. difficult social and/or medical condition of the debtor (and/or the co-debtor, guarantor).</w:t>
      </w:r>
    </w:p>
    <w:p w14:paraId="0FC5852E" w14:textId="77777777" w:rsidR="00587444" w:rsidRPr="00587444" w:rsidRDefault="00587444" w:rsidP="00880B90">
      <w:pPr>
        <w:autoSpaceDN/>
        <w:rPr>
          <w:rFonts w:ascii="Arial" w:eastAsia="Calibri" w:hAnsi="Arial" w:cs="Arial"/>
          <w:sz w:val="20"/>
          <w:szCs w:val="20"/>
        </w:rPr>
      </w:pPr>
    </w:p>
    <w:p w14:paraId="2792F939" w14:textId="77777777" w:rsidR="00587444" w:rsidRPr="00587444" w:rsidRDefault="00587444" w:rsidP="00587444">
      <w:pPr>
        <w:suppressAutoHyphens w:val="0"/>
        <w:autoSpaceDN/>
        <w:contextualSpacing/>
        <w:jc w:val="both"/>
        <w:rPr>
          <w:rFonts w:ascii="Arial" w:hAnsi="Arial" w:cs="Arial"/>
          <w:sz w:val="20"/>
          <w:szCs w:val="20"/>
          <w:lang w:val="en-GB"/>
        </w:rPr>
        <w:sectPr w:rsidR="00587444" w:rsidRPr="00587444" w:rsidSect="00DD69E7">
          <w:pgSz w:w="11907" w:h="16840" w:code="9"/>
          <w:pgMar w:top="1418" w:right="1134" w:bottom="1134" w:left="1418" w:header="851" w:footer="851" w:gutter="0"/>
          <w:cols w:space="720"/>
          <w:noEndnote/>
        </w:sectPr>
      </w:pPr>
    </w:p>
    <w:p w14:paraId="4C6FCC6F" w14:textId="77777777" w:rsidR="00587444" w:rsidRPr="00587444" w:rsidRDefault="00587444" w:rsidP="00587444">
      <w:pPr>
        <w:keepNext/>
        <w:suppressAutoHyphens w:val="0"/>
        <w:autoSpaceDN/>
        <w:jc w:val="both"/>
        <w:rPr>
          <w:rFonts w:ascii="Arial" w:hAnsi="Arial" w:cs="Arial"/>
          <w:b/>
          <w:bCs/>
          <w:sz w:val="20"/>
          <w:szCs w:val="20"/>
        </w:rPr>
      </w:pPr>
    </w:p>
    <w:p w14:paraId="78029829"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169454EF" w14:textId="77777777" w:rsidR="00587444" w:rsidRPr="00587444" w:rsidRDefault="00587444" w:rsidP="00587444">
      <w:pPr>
        <w:suppressAutoHyphens w:val="0"/>
        <w:autoSpaceDN/>
        <w:jc w:val="both"/>
        <w:rPr>
          <w:rFonts w:ascii="Arial" w:hAnsi="Arial" w:cs="Arial"/>
          <w:b/>
          <w:sz w:val="20"/>
          <w:szCs w:val="20"/>
          <w:lang w:val="en-GB"/>
        </w:rPr>
      </w:pPr>
    </w:p>
    <w:p w14:paraId="538B080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 xml:space="preserve">Credit risk </w:t>
      </w:r>
      <w:bookmarkStart w:id="1054" w:name="_Hlk3886631"/>
      <w:r w:rsidRPr="00587444">
        <w:rPr>
          <w:rFonts w:ascii="Arial" w:hAnsi="Arial" w:cs="Arial"/>
          <w:b/>
          <w:sz w:val="20"/>
          <w:szCs w:val="20"/>
          <w:lang w:val="en-GB"/>
        </w:rPr>
        <w:t>(continued)</w:t>
      </w:r>
      <w:bookmarkEnd w:id="1054"/>
    </w:p>
    <w:p w14:paraId="17BEC42A" w14:textId="77777777" w:rsidR="00587444" w:rsidRPr="00587444" w:rsidRDefault="00587444" w:rsidP="00587444">
      <w:pPr>
        <w:suppressAutoHyphens w:val="0"/>
        <w:autoSpaceDN/>
        <w:jc w:val="both"/>
        <w:rPr>
          <w:rFonts w:ascii="Arial" w:hAnsi="Arial" w:cs="Arial"/>
          <w:b/>
          <w:sz w:val="20"/>
          <w:szCs w:val="20"/>
          <w:lang w:val="en-GB"/>
        </w:rPr>
      </w:pPr>
    </w:p>
    <w:p w14:paraId="0C7842C6"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w:t>
      </w:r>
    </w:p>
    <w:p w14:paraId="7CA64C4A" w14:textId="77777777" w:rsidR="00587444" w:rsidRPr="00587444" w:rsidRDefault="00587444" w:rsidP="00587444">
      <w:pPr>
        <w:suppressAutoHyphens w:val="0"/>
        <w:autoSpaceDN/>
        <w:jc w:val="both"/>
        <w:rPr>
          <w:rFonts w:ascii="Arial" w:hAnsi="Arial" w:cs="Arial"/>
          <w:sz w:val="20"/>
          <w:szCs w:val="20"/>
          <w:lang w:val="en-GB"/>
        </w:rPr>
      </w:pPr>
    </w:p>
    <w:p w14:paraId="12C9B317" w14:textId="77777777" w:rsidR="00587444" w:rsidRPr="00587444"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The table below shows the highest net credit risk exposures in the Statement of Financial Position and in guarantees and commitments as of the reporting date</w:t>
      </w:r>
      <w:r w:rsidRPr="00587444">
        <w:rPr>
          <w:rFonts w:ascii="Arial" w:hAnsi="Arial" w:cs="Arial"/>
          <w:sz w:val="20"/>
          <w:szCs w:val="20"/>
          <w:lang w:val="hr-HR"/>
        </w:rPr>
        <w:t xml:space="preserve">, </w:t>
      </w:r>
      <w:r w:rsidRPr="00587444">
        <w:rPr>
          <w:rFonts w:ascii="Arial" w:hAnsi="Arial" w:cs="Arial"/>
          <w:sz w:val="20"/>
          <w:szCs w:val="20"/>
          <w:lang w:val="en-GB"/>
        </w:rPr>
        <w:t>before the effect of mitigation through collateral</w:t>
      </w:r>
      <w:r w:rsidRPr="00587444">
        <w:rPr>
          <w:rFonts w:ascii="Arial" w:hAnsi="Arial" w:cs="Arial"/>
          <w:sz w:val="20"/>
          <w:szCs w:val="20"/>
          <w:lang w:val="hr-HR"/>
        </w:rPr>
        <w:t xml:space="preserve"> </w:t>
      </w:r>
      <w:r w:rsidRPr="00587444">
        <w:rPr>
          <w:rFonts w:ascii="Arial" w:hAnsi="Arial" w:cs="Arial"/>
          <w:sz w:val="20"/>
          <w:szCs w:val="20"/>
          <w:lang w:val="en-GB"/>
        </w:rPr>
        <w:t xml:space="preserve">received: </w:t>
      </w:r>
    </w:p>
    <w:p w14:paraId="5EE824BD" w14:textId="77777777" w:rsidR="00587444" w:rsidRPr="00587444" w:rsidRDefault="00587444" w:rsidP="00587444">
      <w:pPr>
        <w:suppressAutoHyphens w:val="0"/>
        <w:autoSpaceDN/>
        <w:jc w:val="both"/>
        <w:rPr>
          <w:rFonts w:ascii="Arial" w:hAnsi="Arial" w:cs="Arial"/>
          <w:sz w:val="20"/>
          <w:szCs w:val="20"/>
          <w:lang w:val="en-GB"/>
        </w:rPr>
      </w:pPr>
    </w:p>
    <w:tbl>
      <w:tblPr>
        <w:tblW w:w="4969" w:type="pct"/>
        <w:tblLayout w:type="fixed"/>
        <w:tblLook w:val="0000" w:firstRow="0" w:lastRow="0" w:firstColumn="0" w:lastColumn="0" w:noHBand="0" w:noVBand="0"/>
      </w:tblPr>
      <w:tblGrid>
        <w:gridCol w:w="3711"/>
        <w:gridCol w:w="1449"/>
        <w:gridCol w:w="1452"/>
        <w:gridCol w:w="1450"/>
        <w:gridCol w:w="1450"/>
      </w:tblGrid>
      <w:tr w:rsidR="00587444" w:rsidRPr="00587444" w14:paraId="372FBFBE" w14:textId="77777777" w:rsidTr="0067563A">
        <w:trPr>
          <w:trHeight w:val="218"/>
        </w:trPr>
        <w:tc>
          <w:tcPr>
            <w:tcW w:w="1951" w:type="pct"/>
          </w:tcPr>
          <w:p w14:paraId="0AD64706" w14:textId="77777777" w:rsidR="00587444" w:rsidRPr="00587444" w:rsidRDefault="00587444" w:rsidP="00587444">
            <w:pPr>
              <w:suppressAutoHyphens w:val="0"/>
              <w:autoSpaceDN/>
              <w:spacing w:line="360" w:lineRule="auto"/>
              <w:jc w:val="both"/>
              <w:rPr>
                <w:rFonts w:ascii="Arial" w:hAnsi="Arial" w:cs="Arial"/>
                <w:bCs/>
                <w:sz w:val="18"/>
                <w:szCs w:val="18"/>
              </w:rPr>
            </w:pPr>
          </w:p>
        </w:tc>
        <w:tc>
          <w:tcPr>
            <w:tcW w:w="1525" w:type="pct"/>
            <w:gridSpan w:val="2"/>
            <w:vAlign w:val="center"/>
          </w:tcPr>
          <w:p w14:paraId="596F54EB" w14:textId="77777777" w:rsidR="00587444" w:rsidRPr="00587444" w:rsidRDefault="00587444" w:rsidP="00587444">
            <w:pPr>
              <w:suppressAutoHyphens w:val="0"/>
              <w:autoSpaceDN/>
              <w:spacing w:line="360" w:lineRule="auto"/>
              <w:jc w:val="right"/>
              <w:rPr>
                <w:rFonts w:ascii="Arial" w:hAnsi="Arial" w:cs="Arial"/>
                <w:b/>
                <w:sz w:val="18"/>
                <w:szCs w:val="18"/>
              </w:rPr>
            </w:pPr>
            <w:r w:rsidRPr="00587444">
              <w:rPr>
                <w:rFonts w:ascii="Arial" w:hAnsi="Arial" w:cs="Arial"/>
                <w:b/>
                <w:sz w:val="18"/>
                <w:szCs w:val="18"/>
              </w:rPr>
              <w:t>Group</w:t>
            </w:r>
          </w:p>
        </w:tc>
        <w:tc>
          <w:tcPr>
            <w:tcW w:w="1525" w:type="pct"/>
            <w:gridSpan w:val="2"/>
            <w:vAlign w:val="center"/>
          </w:tcPr>
          <w:p w14:paraId="1F19ADDD" w14:textId="77777777" w:rsidR="00587444" w:rsidRPr="00587444" w:rsidRDefault="00587444" w:rsidP="00587444">
            <w:pPr>
              <w:suppressAutoHyphens w:val="0"/>
              <w:autoSpaceDN/>
              <w:spacing w:line="360" w:lineRule="auto"/>
              <w:jc w:val="right"/>
              <w:rPr>
                <w:rFonts w:ascii="Arial" w:hAnsi="Arial" w:cs="Arial"/>
                <w:b/>
                <w:sz w:val="18"/>
                <w:szCs w:val="18"/>
              </w:rPr>
            </w:pPr>
            <w:r w:rsidRPr="00587444">
              <w:rPr>
                <w:rFonts w:ascii="Arial" w:hAnsi="Arial" w:cs="Arial"/>
                <w:b/>
                <w:sz w:val="18"/>
                <w:szCs w:val="18"/>
              </w:rPr>
              <w:t>Bank</w:t>
            </w:r>
          </w:p>
        </w:tc>
      </w:tr>
      <w:tr w:rsidR="00587444" w:rsidRPr="00587444" w14:paraId="4D5D3188" w14:textId="77777777" w:rsidTr="0067563A">
        <w:tc>
          <w:tcPr>
            <w:tcW w:w="1951" w:type="pct"/>
          </w:tcPr>
          <w:p w14:paraId="3DDBA84D" w14:textId="77777777" w:rsidR="00587444" w:rsidRPr="00587444" w:rsidRDefault="00587444" w:rsidP="00587444">
            <w:pPr>
              <w:suppressAutoHyphens w:val="0"/>
              <w:autoSpaceDN/>
              <w:rPr>
                <w:rFonts w:ascii="Arial" w:eastAsia="Calibri" w:hAnsi="Arial" w:cs="Arial"/>
                <w:sz w:val="18"/>
                <w:szCs w:val="18"/>
              </w:rPr>
            </w:pPr>
            <w:r w:rsidRPr="00587444">
              <w:rPr>
                <w:rFonts w:ascii="Arial" w:eastAsia="Calibri" w:hAnsi="Arial" w:cs="Arial"/>
                <w:b/>
                <w:bCs/>
                <w:sz w:val="18"/>
                <w:szCs w:val="18"/>
              </w:rPr>
              <w:br w:type="page"/>
            </w:r>
          </w:p>
        </w:tc>
        <w:tc>
          <w:tcPr>
            <w:tcW w:w="762" w:type="pct"/>
            <w:vAlign w:val="bottom"/>
          </w:tcPr>
          <w:p w14:paraId="6B124A9C" w14:textId="77777777" w:rsidR="0067563A"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 xml:space="preserve">Highest </w:t>
            </w:r>
          </w:p>
          <w:p w14:paraId="25B4A22F" w14:textId="4D4855D9" w:rsidR="00587444" w:rsidRPr="00587444"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exposure</w:t>
            </w:r>
          </w:p>
          <w:p w14:paraId="1DBEBC38" w14:textId="77777777" w:rsidR="00587444" w:rsidRPr="00587444" w:rsidRDefault="00587444" w:rsidP="00587444">
            <w:pPr>
              <w:suppressAutoHyphens w:val="0"/>
              <w:autoSpaceDN/>
              <w:jc w:val="right"/>
              <w:rPr>
                <w:rFonts w:ascii="Arial" w:eastAsia="Calibri" w:hAnsi="Arial" w:cs="Arial"/>
                <w:b/>
                <w:sz w:val="18"/>
                <w:szCs w:val="18"/>
              </w:rPr>
            </w:pPr>
            <w:r w:rsidRPr="00587444">
              <w:rPr>
                <w:rFonts w:ascii="Arial" w:eastAsia="Calibri" w:hAnsi="Arial" w:cs="Arial"/>
                <w:b/>
                <w:sz w:val="18"/>
                <w:szCs w:val="18"/>
              </w:rPr>
              <w:t>31 December</w:t>
            </w:r>
            <w:r w:rsidRPr="00587444">
              <w:rPr>
                <w:rFonts w:ascii="Arial" w:hAnsi="Arial" w:cs="Arial"/>
                <w:b/>
                <w:bCs/>
                <w:sz w:val="18"/>
                <w:szCs w:val="18"/>
              </w:rPr>
              <w:t xml:space="preserve"> 2022</w:t>
            </w:r>
          </w:p>
        </w:tc>
        <w:tc>
          <w:tcPr>
            <w:tcW w:w="762" w:type="pct"/>
            <w:vAlign w:val="bottom"/>
          </w:tcPr>
          <w:p w14:paraId="5856DDB6" w14:textId="77777777" w:rsidR="0067563A"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 xml:space="preserve">Highest </w:t>
            </w:r>
          </w:p>
          <w:p w14:paraId="043A508A" w14:textId="3B7A27D5" w:rsidR="00587444" w:rsidRPr="00587444"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exposure</w:t>
            </w:r>
          </w:p>
          <w:p w14:paraId="4C307EDF" w14:textId="77777777" w:rsidR="00587444" w:rsidRPr="00587444" w:rsidRDefault="00587444" w:rsidP="00587444">
            <w:pPr>
              <w:suppressAutoHyphens w:val="0"/>
              <w:autoSpaceDN/>
              <w:jc w:val="right"/>
              <w:rPr>
                <w:rFonts w:ascii="Arial" w:eastAsia="Calibri" w:hAnsi="Arial" w:cs="Arial"/>
                <w:b/>
                <w:sz w:val="18"/>
                <w:szCs w:val="18"/>
              </w:rPr>
            </w:pPr>
            <w:r w:rsidRPr="00587444">
              <w:rPr>
                <w:rFonts w:ascii="Arial" w:eastAsia="Calibri" w:hAnsi="Arial" w:cs="Arial"/>
                <w:b/>
                <w:sz w:val="18"/>
                <w:szCs w:val="18"/>
              </w:rPr>
              <w:t>31 December</w:t>
            </w:r>
            <w:r w:rsidRPr="00587444">
              <w:rPr>
                <w:rFonts w:ascii="Arial" w:hAnsi="Arial" w:cs="Arial"/>
                <w:b/>
                <w:bCs/>
                <w:sz w:val="18"/>
                <w:szCs w:val="18"/>
              </w:rPr>
              <w:t xml:space="preserve"> 2021</w:t>
            </w:r>
          </w:p>
        </w:tc>
        <w:tc>
          <w:tcPr>
            <w:tcW w:w="762" w:type="pct"/>
            <w:vAlign w:val="bottom"/>
          </w:tcPr>
          <w:p w14:paraId="1B909791" w14:textId="77777777" w:rsidR="0067563A"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 xml:space="preserve">Highest </w:t>
            </w:r>
          </w:p>
          <w:p w14:paraId="79D12301" w14:textId="21A6EAF6" w:rsidR="00587444" w:rsidRPr="00587444"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exposure</w:t>
            </w:r>
          </w:p>
          <w:p w14:paraId="6738C7AF" w14:textId="77777777" w:rsidR="00587444" w:rsidRPr="00587444" w:rsidRDefault="00587444" w:rsidP="00587444">
            <w:pPr>
              <w:suppressAutoHyphens w:val="0"/>
              <w:autoSpaceDN/>
              <w:jc w:val="right"/>
              <w:rPr>
                <w:rFonts w:ascii="Arial" w:eastAsia="Calibri" w:hAnsi="Arial" w:cs="Arial"/>
                <w:b/>
                <w:sz w:val="18"/>
                <w:szCs w:val="18"/>
              </w:rPr>
            </w:pPr>
            <w:r w:rsidRPr="00587444">
              <w:rPr>
                <w:rFonts w:ascii="Arial" w:eastAsia="Calibri" w:hAnsi="Arial" w:cs="Arial"/>
                <w:b/>
                <w:sz w:val="18"/>
                <w:szCs w:val="18"/>
              </w:rPr>
              <w:t>31 December</w:t>
            </w:r>
            <w:r w:rsidRPr="00587444">
              <w:rPr>
                <w:rFonts w:ascii="Arial" w:hAnsi="Arial" w:cs="Arial"/>
                <w:b/>
                <w:sz w:val="18"/>
                <w:szCs w:val="18"/>
              </w:rPr>
              <w:t xml:space="preserve"> 2022</w:t>
            </w:r>
          </w:p>
        </w:tc>
        <w:tc>
          <w:tcPr>
            <w:tcW w:w="762" w:type="pct"/>
            <w:vAlign w:val="bottom"/>
          </w:tcPr>
          <w:p w14:paraId="4A889698" w14:textId="77777777" w:rsidR="0067563A"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 xml:space="preserve">Highest </w:t>
            </w:r>
          </w:p>
          <w:p w14:paraId="38EFA885" w14:textId="213D5F95" w:rsidR="00587444" w:rsidRPr="00587444"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exposure</w:t>
            </w:r>
          </w:p>
          <w:p w14:paraId="5D20C61D" w14:textId="77777777" w:rsidR="00587444" w:rsidRPr="00587444" w:rsidRDefault="00587444" w:rsidP="00587444">
            <w:pPr>
              <w:suppressAutoHyphens w:val="0"/>
              <w:autoSpaceDN/>
              <w:jc w:val="right"/>
              <w:rPr>
                <w:rFonts w:ascii="Arial" w:eastAsia="Calibri" w:hAnsi="Arial" w:cs="Arial"/>
                <w:b/>
                <w:sz w:val="18"/>
                <w:szCs w:val="18"/>
              </w:rPr>
            </w:pPr>
            <w:r w:rsidRPr="00587444">
              <w:rPr>
                <w:rFonts w:ascii="Arial" w:eastAsia="Calibri" w:hAnsi="Arial" w:cs="Arial"/>
                <w:b/>
                <w:sz w:val="18"/>
                <w:szCs w:val="18"/>
              </w:rPr>
              <w:t>31 December</w:t>
            </w:r>
            <w:r w:rsidRPr="00587444">
              <w:rPr>
                <w:rFonts w:ascii="Arial" w:hAnsi="Arial" w:cs="Arial"/>
                <w:b/>
                <w:bCs/>
                <w:sz w:val="18"/>
                <w:szCs w:val="18"/>
              </w:rPr>
              <w:t xml:space="preserve"> 2021</w:t>
            </w:r>
          </w:p>
        </w:tc>
      </w:tr>
      <w:tr w:rsidR="00587444" w:rsidRPr="00587444" w14:paraId="5160E134" w14:textId="77777777" w:rsidTr="0067563A">
        <w:tc>
          <w:tcPr>
            <w:tcW w:w="1951" w:type="pct"/>
          </w:tcPr>
          <w:p w14:paraId="0B4216EF" w14:textId="77777777" w:rsidR="00587444" w:rsidRPr="00587444" w:rsidRDefault="00587444" w:rsidP="00587444">
            <w:pPr>
              <w:suppressAutoHyphens w:val="0"/>
              <w:autoSpaceDN/>
              <w:rPr>
                <w:rFonts w:ascii="Arial" w:eastAsia="Calibri" w:hAnsi="Arial" w:cs="Arial"/>
                <w:b/>
                <w:bCs/>
                <w:sz w:val="18"/>
                <w:szCs w:val="18"/>
              </w:rPr>
            </w:pPr>
          </w:p>
        </w:tc>
        <w:tc>
          <w:tcPr>
            <w:tcW w:w="762" w:type="pct"/>
          </w:tcPr>
          <w:p w14:paraId="01769137" w14:textId="77777777" w:rsidR="00587444" w:rsidRPr="00587444" w:rsidRDefault="00587444" w:rsidP="00587444">
            <w:pPr>
              <w:suppressAutoHyphens w:val="0"/>
              <w:autoSpaceDN/>
              <w:jc w:val="right"/>
              <w:rPr>
                <w:rFonts w:ascii="Arial" w:eastAsia="Calibri" w:hAnsi="Arial" w:cs="Arial"/>
                <w:b/>
                <w:sz w:val="18"/>
                <w:szCs w:val="18"/>
              </w:rPr>
            </w:pPr>
            <w:r w:rsidRPr="00587444">
              <w:rPr>
                <w:rFonts w:ascii="Arial" w:hAnsi="Arial" w:cs="Arial"/>
                <w:b/>
                <w:sz w:val="18"/>
                <w:szCs w:val="18"/>
              </w:rPr>
              <w:t>HRK ‘000</w:t>
            </w:r>
          </w:p>
        </w:tc>
        <w:tc>
          <w:tcPr>
            <w:tcW w:w="762" w:type="pct"/>
          </w:tcPr>
          <w:p w14:paraId="3CAD9BE9" w14:textId="77777777" w:rsidR="00587444" w:rsidRPr="00587444" w:rsidRDefault="00587444" w:rsidP="00587444">
            <w:pPr>
              <w:suppressAutoHyphens w:val="0"/>
              <w:autoSpaceDN/>
              <w:jc w:val="right"/>
              <w:rPr>
                <w:rFonts w:ascii="Arial" w:eastAsia="Calibri" w:hAnsi="Arial" w:cs="Arial"/>
                <w:b/>
                <w:sz w:val="18"/>
                <w:szCs w:val="18"/>
              </w:rPr>
            </w:pPr>
            <w:r w:rsidRPr="00587444">
              <w:rPr>
                <w:rFonts w:ascii="Arial" w:hAnsi="Arial" w:cs="Arial"/>
                <w:b/>
                <w:sz w:val="18"/>
                <w:szCs w:val="18"/>
              </w:rPr>
              <w:t>HRK ‘000</w:t>
            </w:r>
          </w:p>
        </w:tc>
        <w:tc>
          <w:tcPr>
            <w:tcW w:w="762" w:type="pct"/>
          </w:tcPr>
          <w:p w14:paraId="6B430492" w14:textId="77777777" w:rsidR="00587444" w:rsidRPr="00587444" w:rsidRDefault="00587444" w:rsidP="00587444">
            <w:pPr>
              <w:suppressAutoHyphens w:val="0"/>
              <w:autoSpaceDN/>
              <w:jc w:val="right"/>
              <w:rPr>
                <w:rFonts w:ascii="Arial" w:eastAsia="Calibri" w:hAnsi="Arial" w:cs="Arial"/>
                <w:b/>
                <w:sz w:val="18"/>
                <w:szCs w:val="18"/>
              </w:rPr>
            </w:pPr>
            <w:r w:rsidRPr="00587444">
              <w:rPr>
                <w:rFonts w:ascii="Arial" w:hAnsi="Arial" w:cs="Arial"/>
                <w:b/>
                <w:bCs/>
                <w:sz w:val="18"/>
                <w:szCs w:val="18"/>
              </w:rPr>
              <w:t>HRK ‘000</w:t>
            </w:r>
          </w:p>
        </w:tc>
        <w:tc>
          <w:tcPr>
            <w:tcW w:w="762" w:type="pct"/>
          </w:tcPr>
          <w:p w14:paraId="051352EC" w14:textId="77777777" w:rsidR="00587444" w:rsidRPr="00587444" w:rsidRDefault="00587444" w:rsidP="00587444">
            <w:pPr>
              <w:suppressAutoHyphens w:val="0"/>
              <w:autoSpaceDN/>
              <w:jc w:val="right"/>
              <w:rPr>
                <w:rFonts w:ascii="Arial" w:eastAsia="Calibri" w:hAnsi="Arial" w:cs="Arial"/>
                <w:b/>
                <w:sz w:val="18"/>
                <w:szCs w:val="18"/>
              </w:rPr>
            </w:pPr>
            <w:r w:rsidRPr="00587444">
              <w:rPr>
                <w:rFonts w:ascii="Arial" w:hAnsi="Arial" w:cs="Arial"/>
                <w:b/>
                <w:sz w:val="18"/>
                <w:szCs w:val="18"/>
              </w:rPr>
              <w:t>HRK ‘000</w:t>
            </w:r>
          </w:p>
        </w:tc>
      </w:tr>
      <w:tr w:rsidR="00587444" w:rsidRPr="00587444" w14:paraId="31EE5CE0" w14:textId="77777777" w:rsidTr="0067563A">
        <w:tc>
          <w:tcPr>
            <w:tcW w:w="1951" w:type="pct"/>
            <w:vAlign w:val="bottom"/>
          </w:tcPr>
          <w:p w14:paraId="0CAC6DF2" w14:textId="77777777" w:rsidR="00587444" w:rsidRPr="00587444" w:rsidRDefault="00587444" w:rsidP="00587444">
            <w:pPr>
              <w:tabs>
                <w:tab w:val="right" w:pos="1202"/>
              </w:tabs>
              <w:suppressAutoHyphens w:val="0"/>
              <w:autoSpaceDN/>
              <w:spacing w:line="300" w:lineRule="exact"/>
              <w:outlineLvl w:val="0"/>
              <w:rPr>
                <w:rFonts w:ascii="Arial" w:hAnsi="Arial" w:cs="Arial"/>
                <w:b/>
                <w:bCs/>
                <w:sz w:val="18"/>
                <w:szCs w:val="18"/>
              </w:rPr>
            </w:pPr>
            <w:bookmarkStart w:id="1055" w:name="_Toc4060468"/>
            <w:r w:rsidRPr="00587444">
              <w:rPr>
                <w:rFonts w:ascii="Arial" w:hAnsi="Arial" w:cs="Arial"/>
                <w:b/>
                <w:bCs/>
                <w:sz w:val="18"/>
                <w:szCs w:val="18"/>
              </w:rPr>
              <w:t>Assets</w:t>
            </w:r>
            <w:bookmarkEnd w:id="1055"/>
          </w:p>
        </w:tc>
        <w:tc>
          <w:tcPr>
            <w:tcW w:w="762" w:type="pct"/>
            <w:vAlign w:val="bottom"/>
          </w:tcPr>
          <w:p w14:paraId="4E029F86" w14:textId="77777777" w:rsidR="00587444" w:rsidRPr="00587444" w:rsidRDefault="00587444" w:rsidP="00587444">
            <w:pPr>
              <w:tabs>
                <w:tab w:val="right" w:pos="1202"/>
              </w:tabs>
              <w:suppressAutoHyphens w:val="0"/>
              <w:autoSpaceDN/>
              <w:spacing w:line="300" w:lineRule="exact"/>
              <w:outlineLvl w:val="0"/>
              <w:rPr>
                <w:rFonts w:ascii="Arial" w:hAnsi="Arial" w:cs="Arial"/>
                <w:b/>
                <w:bCs/>
                <w:sz w:val="18"/>
                <w:szCs w:val="18"/>
              </w:rPr>
            </w:pPr>
          </w:p>
        </w:tc>
        <w:tc>
          <w:tcPr>
            <w:tcW w:w="762" w:type="pct"/>
            <w:vAlign w:val="bottom"/>
          </w:tcPr>
          <w:p w14:paraId="55AEC3E0" w14:textId="77777777" w:rsidR="00587444" w:rsidRPr="00587444" w:rsidRDefault="00587444" w:rsidP="00587444">
            <w:pPr>
              <w:tabs>
                <w:tab w:val="right" w:pos="1202"/>
              </w:tabs>
              <w:suppressAutoHyphens w:val="0"/>
              <w:autoSpaceDN/>
              <w:spacing w:line="300" w:lineRule="exact"/>
              <w:outlineLvl w:val="0"/>
              <w:rPr>
                <w:rFonts w:ascii="Arial" w:hAnsi="Arial" w:cs="Arial"/>
                <w:b/>
                <w:bCs/>
                <w:sz w:val="18"/>
                <w:szCs w:val="18"/>
              </w:rPr>
            </w:pPr>
          </w:p>
        </w:tc>
        <w:tc>
          <w:tcPr>
            <w:tcW w:w="762" w:type="pct"/>
            <w:vAlign w:val="bottom"/>
          </w:tcPr>
          <w:p w14:paraId="2C9D4D4E" w14:textId="77777777" w:rsidR="00587444" w:rsidRPr="00587444" w:rsidRDefault="00587444" w:rsidP="00587444">
            <w:pPr>
              <w:tabs>
                <w:tab w:val="right" w:pos="1202"/>
              </w:tabs>
              <w:suppressAutoHyphens w:val="0"/>
              <w:autoSpaceDN/>
              <w:spacing w:line="300" w:lineRule="exact"/>
              <w:outlineLvl w:val="0"/>
              <w:rPr>
                <w:rFonts w:ascii="Arial" w:hAnsi="Arial" w:cs="Arial"/>
                <w:b/>
                <w:bCs/>
                <w:sz w:val="18"/>
                <w:szCs w:val="18"/>
              </w:rPr>
            </w:pPr>
          </w:p>
        </w:tc>
        <w:tc>
          <w:tcPr>
            <w:tcW w:w="762" w:type="pct"/>
            <w:vAlign w:val="bottom"/>
          </w:tcPr>
          <w:p w14:paraId="29AB768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p>
        </w:tc>
      </w:tr>
      <w:tr w:rsidR="00587444" w:rsidRPr="00587444" w14:paraId="70A68AF6" w14:textId="77777777" w:rsidTr="0067563A">
        <w:tc>
          <w:tcPr>
            <w:tcW w:w="1951" w:type="pct"/>
            <w:vAlign w:val="bottom"/>
          </w:tcPr>
          <w:p w14:paraId="206DDCB0" w14:textId="77777777" w:rsidR="00587444" w:rsidRPr="00587444" w:rsidRDefault="00587444" w:rsidP="00587444">
            <w:pPr>
              <w:tabs>
                <w:tab w:val="right" w:pos="1202"/>
              </w:tabs>
              <w:suppressAutoHyphens w:val="0"/>
              <w:autoSpaceDN/>
              <w:spacing w:line="300" w:lineRule="exact"/>
              <w:outlineLvl w:val="0"/>
              <w:rPr>
                <w:rFonts w:ascii="Arial" w:hAnsi="Arial" w:cs="Arial"/>
                <w:sz w:val="18"/>
                <w:szCs w:val="18"/>
              </w:rPr>
            </w:pPr>
            <w:bookmarkStart w:id="1056" w:name="_Toc4060469"/>
            <w:r w:rsidRPr="00587444">
              <w:rPr>
                <w:rFonts w:ascii="Arial" w:hAnsi="Arial" w:cs="Arial"/>
                <w:sz w:val="18"/>
                <w:szCs w:val="18"/>
              </w:rPr>
              <w:t>Cash on hand and current accounts with banks</w:t>
            </w:r>
            <w:bookmarkEnd w:id="1056"/>
          </w:p>
        </w:tc>
        <w:tc>
          <w:tcPr>
            <w:tcW w:w="762" w:type="pct"/>
            <w:tcBorders>
              <w:top w:val="nil"/>
              <w:left w:val="nil"/>
              <w:bottom w:val="nil"/>
              <w:right w:val="nil"/>
            </w:tcBorders>
            <w:shd w:val="clear" w:color="auto" w:fill="auto"/>
            <w:vAlign w:val="bottom"/>
          </w:tcPr>
          <w:p w14:paraId="31B80136"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1,721,919</w:t>
            </w:r>
          </w:p>
        </w:tc>
        <w:tc>
          <w:tcPr>
            <w:tcW w:w="762" w:type="pct"/>
            <w:tcBorders>
              <w:top w:val="nil"/>
              <w:left w:val="nil"/>
              <w:bottom w:val="nil"/>
              <w:right w:val="nil"/>
            </w:tcBorders>
            <w:shd w:val="clear" w:color="auto" w:fill="auto"/>
            <w:vAlign w:val="bottom"/>
          </w:tcPr>
          <w:p w14:paraId="7B13541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1,961,985</w:t>
            </w:r>
          </w:p>
        </w:tc>
        <w:tc>
          <w:tcPr>
            <w:tcW w:w="762" w:type="pct"/>
            <w:tcBorders>
              <w:top w:val="nil"/>
              <w:left w:val="nil"/>
              <w:bottom w:val="nil"/>
              <w:right w:val="nil"/>
            </w:tcBorders>
            <w:shd w:val="clear" w:color="auto" w:fill="auto"/>
            <w:vAlign w:val="bottom"/>
          </w:tcPr>
          <w:p w14:paraId="2F8D467A"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1,716,519</w:t>
            </w:r>
          </w:p>
        </w:tc>
        <w:tc>
          <w:tcPr>
            <w:tcW w:w="762" w:type="pct"/>
            <w:tcBorders>
              <w:top w:val="nil"/>
              <w:left w:val="nil"/>
              <w:bottom w:val="nil"/>
              <w:right w:val="nil"/>
            </w:tcBorders>
            <w:shd w:val="clear" w:color="auto" w:fill="auto"/>
            <w:vAlign w:val="bottom"/>
          </w:tcPr>
          <w:p w14:paraId="59D58D9C"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1,958,619</w:t>
            </w:r>
          </w:p>
        </w:tc>
      </w:tr>
      <w:tr w:rsidR="00587444" w:rsidRPr="00587444" w14:paraId="5400679F" w14:textId="77777777" w:rsidTr="0067563A">
        <w:tc>
          <w:tcPr>
            <w:tcW w:w="1951" w:type="pct"/>
            <w:vAlign w:val="bottom"/>
          </w:tcPr>
          <w:p w14:paraId="402DF1C8" w14:textId="77777777" w:rsidR="00587444" w:rsidRPr="00587444" w:rsidRDefault="00587444" w:rsidP="00587444">
            <w:pPr>
              <w:tabs>
                <w:tab w:val="right" w:pos="1202"/>
              </w:tabs>
              <w:suppressAutoHyphens w:val="0"/>
              <w:autoSpaceDN/>
              <w:spacing w:line="300" w:lineRule="exact"/>
              <w:outlineLvl w:val="0"/>
              <w:rPr>
                <w:rFonts w:ascii="Arial" w:hAnsi="Arial" w:cs="Arial"/>
                <w:sz w:val="18"/>
                <w:szCs w:val="18"/>
              </w:rPr>
            </w:pPr>
            <w:bookmarkStart w:id="1057" w:name="_Toc4060471"/>
            <w:r w:rsidRPr="00587444">
              <w:rPr>
                <w:rFonts w:ascii="Arial" w:hAnsi="Arial" w:cs="Arial"/>
                <w:sz w:val="18"/>
                <w:szCs w:val="18"/>
              </w:rPr>
              <w:t>Deposits with other banks</w:t>
            </w:r>
            <w:bookmarkEnd w:id="1057"/>
          </w:p>
        </w:tc>
        <w:tc>
          <w:tcPr>
            <w:tcW w:w="762" w:type="pct"/>
            <w:tcBorders>
              <w:top w:val="nil"/>
              <w:left w:val="nil"/>
              <w:bottom w:val="nil"/>
              <w:right w:val="nil"/>
            </w:tcBorders>
            <w:shd w:val="clear" w:color="auto" w:fill="auto"/>
            <w:vAlign w:val="bottom"/>
          </w:tcPr>
          <w:p w14:paraId="3DA16D95"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33,180</w:t>
            </w:r>
          </w:p>
        </w:tc>
        <w:tc>
          <w:tcPr>
            <w:tcW w:w="762" w:type="pct"/>
            <w:tcBorders>
              <w:top w:val="nil"/>
              <w:left w:val="nil"/>
              <w:bottom w:val="nil"/>
              <w:right w:val="nil"/>
            </w:tcBorders>
            <w:shd w:val="clear" w:color="auto" w:fill="auto"/>
            <w:vAlign w:val="bottom"/>
          </w:tcPr>
          <w:p w14:paraId="74F5C47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7,500</w:t>
            </w:r>
          </w:p>
        </w:tc>
        <w:tc>
          <w:tcPr>
            <w:tcW w:w="762" w:type="pct"/>
            <w:tcBorders>
              <w:top w:val="nil"/>
              <w:left w:val="nil"/>
              <w:bottom w:val="nil"/>
              <w:right w:val="nil"/>
            </w:tcBorders>
            <w:shd w:val="clear" w:color="auto" w:fill="auto"/>
            <w:vAlign w:val="bottom"/>
          </w:tcPr>
          <w:p w14:paraId="13800E09"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10,596</w:t>
            </w:r>
          </w:p>
        </w:tc>
        <w:tc>
          <w:tcPr>
            <w:tcW w:w="762" w:type="pct"/>
            <w:tcBorders>
              <w:top w:val="nil"/>
              <w:left w:val="nil"/>
              <w:bottom w:val="nil"/>
              <w:right w:val="nil"/>
            </w:tcBorders>
            <w:shd w:val="clear" w:color="auto" w:fill="auto"/>
            <w:vAlign w:val="bottom"/>
          </w:tcPr>
          <w:p w14:paraId="32A7374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7,500</w:t>
            </w:r>
          </w:p>
        </w:tc>
      </w:tr>
      <w:tr w:rsidR="00587444" w:rsidRPr="00587444" w14:paraId="62A60D01" w14:textId="77777777" w:rsidTr="0067563A">
        <w:tc>
          <w:tcPr>
            <w:tcW w:w="1951" w:type="pct"/>
            <w:vAlign w:val="bottom"/>
          </w:tcPr>
          <w:p w14:paraId="2E942DE2" w14:textId="77777777" w:rsidR="00587444" w:rsidRPr="00587444" w:rsidRDefault="00587444" w:rsidP="00587444">
            <w:pPr>
              <w:tabs>
                <w:tab w:val="right" w:pos="1202"/>
              </w:tabs>
              <w:suppressAutoHyphens w:val="0"/>
              <w:autoSpaceDN/>
              <w:spacing w:line="300" w:lineRule="exact"/>
              <w:outlineLvl w:val="0"/>
              <w:rPr>
                <w:rFonts w:ascii="Arial" w:hAnsi="Arial" w:cs="Arial"/>
                <w:sz w:val="18"/>
                <w:szCs w:val="18"/>
              </w:rPr>
            </w:pPr>
            <w:bookmarkStart w:id="1058" w:name="_Toc4060474"/>
            <w:r w:rsidRPr="00587444">
              <w:rPr>
                <w:rFonts w:ascii="Arial" w:hAnsi="Arial" w:cs="Arial"/>
                <w:sz w:val="18"/>
                <w:szCs w:val="18"/>
              </w:rPr>
              <w:t>Loans to financial institutions</w:t>
            </w:r>
            <w:bookmarkEnd w:id="1058"/>
          </w:p>
        </w:tc>
        <w:tc>
          <w:tcPr>
            <w:tcW w:w="762" w:type="pct"/>
            <w:tcBorders>
              <w:top w:val="nil"/>
              <w:left w:val="nil"/>
              <w:bottom w:val="nil"/>
              <w:right w:val="nil"/>
            </w:tcBorders>
            <w:shd w:val="clear" w:color="auto" w:fill="auto"/>
            <w:vAlign w:val="bottom"/>
          </w:tcPr>
          <w:p w14:paraId="05B0F8E4"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6,984,712</w:t>
            </w:r>
          </w:p>
        </w:tc>
        <w:tc>
          <w:tcPr>
            <w:tcW w:w="762" w:type="pct"/>
            <w:tcBorders>
              <w:top w:val="nil"/>
              <w:left w:val="nil"/>
              <w:bottom w:val="nil"/>
              <w:right w:val="nil"/>
            </w:tcBorders>
            <w:shd w:val="clear" w:color="auto" w:fill="auto"/>
            <w:vAlign w:val="bottom"/>
          </w:tcPr>
          <w:p w14:paraId="714908B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7,050,143</w:t>
            </w:r>
          </w:p>
        </w:tc>
        <w:tc>
          <w:tcPr>
            <w:tcW w:w="762" w:type="pct"/>
            <w:tcBorders>
              <w:top w:val="nil"/>
              <w:left w:val="nil"/>
              <w:bottom w:val="nil"/>
              <w:right w:val="nil"/>
            </w:tcBorders>
            <w:shd w:val="clear" w:color="auto" w:fill="auto"/>
            <w:vAlign w:val="bottom"/>
          </w:tcPr>
          <w:p w14:paraId="19E10032"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6,984,712</w:t>
            </w:r>
          </w:p>
        </w:tc>
        <w:tc>
          <w:tcPr>
            <w:tcW w:w="762" w:type="pct"/>
            <w:tcBorders>
              <w:top w:val="nil"/>
              <w:left w:val="nil"/>
              <w:bottom w:val="nil"/>
              <w:right w:val="nil"/>
            </w:tcBorders>
            <w:shd w:val="clear" w:color="auto" w:fill="auto"/>
            <w:vAlign w:val="bottom"/>
          </w:tcPr>
          <w:p w14:paraId="67D1473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7,050,143</w:t>
            </w:r>
          </w:p>
        </w:tc>
      </w:tr>
      <w:tr w:rsidR="00587444" w:rsidRPr="00587444" w14:paraId="740D65C9" w14:textId="77777777" w:rsidTr="0067563A">
        <w:tc>
          <w:tcPr>
            <w:tcW w:w="1951" w:type="pct"/>
            <w:vAlign w:val="bottom"/>
          </w:tcPr>
          <w:p w14:paraId="174DBB27" w14:textId="77777777" w:rsidR="00587444" w:rsidRPr="00587444" w:rsidRDefault="00587444" w:rsidP="00587444">
            <w:pPr>
              <w:tabs>
                <w:tab w:val="right" w:pos="1202"/>
              </w:tabs>
              <w:suppressAutoHyphens w:val="0"/>
              <w:autoSpaceDN/>
              <w:spacing w:line="300" w:lineRule="exact"/>
              <w:outlineLvl w:val="0"/>
              <w:rPr>
                <w:rFonts w:ascii="Arial" w:hAnsi="Arial" w:cs="Arial"/>
                <w:sz w:val="18"/>
                <w:szCs w:val="18"/>
              </w:rPr>
            </w:pPr>
            <w:bookmarkStart w:id="1059" w:name="_Toc4060477"/>
            <w:r w:rsidRPr="00587444">
              <w:rPr>
                <w:rFonts w:ascii="Arial" w:hAnsi="Arial" w:cs="Arial"/>
                <w:sz w:val="18"/>
                <w:szCs w:val="18"/>
              </w:rPr>
              <w:t>Loans to other customers</w:t>
            </w:r>
            <w:bookmarkEnd w:id="1059"/>
          </w:p>
        </w:tc>
        <w:tc>
          <w:tcPr>
            <w:tcW w:w="762" w:type="pct"/>
            <w:tcBorders>
              <w:top w:val="nil"/>
              <w:left w:val="nil"/>
              <w:bottom w:val="nil"/>
              <w:right w:val="nil"/>
            </w:tcBorders>
            <w:shd w:val="clear" w:color="auto" w:fill="auto"/>
            <w:vAlign w:val="bottom"/>
          </w:tcPr>
          <w:p w14:paraId="1C118E34"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17,402,666</w:t>
            </w:r>
          </w:p>
        </w:tc>
        <w:tc>
          <w:tcPr>
            <w:tcW w:w="762" w:type="pct"/>
            <w:tcBorders>
              <w:top w:val="nil"/>
              <w:left w:val="nil"/>
              <w:bottom w:val="nil"/>
              <w:right w:val="nil"/>
            </w:tcBorders>
            <w:shd w:val="clear" w:color="auto" w:fill="auto"/>
            <w:vAlign w:val="bottom"/>
          </w:tcPr>
          <w:p w14:paraId="68891BD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15,964,376</w:t>
            </w:r>
          </w:p>
        </w:tc>
        <w:tc>
          <w:tcPr>
            <w:tcW w:w="762" w:type="pct"/>
            <w:tcBorders>
              <w:top w:val="nil"/>
              <w:left w:val="nil"/>
              <w:bottom w:val="nil"/>
              <w:right w:val="nil"/>
            </w:tcBorders>
            <w:shd w:val="clear" w:color="auto" w:fill="auto"/>
            <w:vAlign w:val="bottom"/>
          </w:tcPr>
          <w:p w14:paraId="6EFE9EE3"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17,402,666</w:t>
            </w:r>
          </w:p>
        </w:tc>
        <w:tc>
          <w:tcPr>
            <w:tcW w:w="762" w:type="pct"/>
            <w:tcBorders>
              <w:top w:val="nil"/>
              <w:left w:val="nil"/>
              <w:bottom w:val="nil"/>
              <w:right w:val="nil"/>
            </w:tcBorders>
            <w:shd w:val="clear" w:color="auto" w:fill="auto"/>
            <w:vAlign w:val="bottom"/>
          </w:tcPr>
          <w:p w14:paraId="39224DB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15,964,376</w:t>
            </w:r>
          </w:p>
        </w:tc>
      </w:tr>
      <w:tr w:rsidR="00587444" w:rsidRPr="00587444" w14:paraId="2E9FB645" w14:textId="77777777" w:rsidTr="0067563A">
        <w:tc>
          <w:tcPr>
            <w:tcW w:w="1951" w:type="pct"/>
            <w:vAlign w:val="bottom"/>
          </w:tcPr>
          <w:p w14:paraId="4106C236" w14:textId="77777777" w:rsidR="00587444" w:rsidRPr="00587444" w:rsidRDefault="00587444" w:rsidP="00587444">
            <w:pPr>
              <w:tabs>
                <w:tab w:val="right" w:pos="1202"/>
              </w:tabs>
              <w:suppressAutoHyphens w:val="0"/>
              <w:autoSpaceDN/>
              <w:spacing w:line="300" w:lineRule="exact"/>
              <w:outlineLvl w:val="0"/>
              <w:rPr>
                <w:rFonts w:ascii="Arial" w:hAnsi="Arial" w:cs="Arial"/>
                <w:sz w:val="18"/>
                <w:szCs w:val="18"/>
              </w:rPr>
            </w:pPr>
            <w:bookmarkStart w:id="1060" w:name="_Toc4060480"/>
            <w:r w:rsidRPr="00587444">
              <w:rPr>
                <w:rFonts w:ascii="Arial" w:hAnsi="Arial" w:cs="Arial"/>
                <w:sz w:val="18"/>
                <w:szCs w:val="18"/>
              </w:rPr>
              <w:t>Financial assets at fair value through profit or loss</w:t>
            </w:r>
            <w:bookmarkEnd w:id="1060"/>
          </w:p>
        </w:tc>
        <w:tc>
          <w:tcPr>
            <w:tcW w:w="762" w:type="pct"/>
            <w:tcBorders>
              <w:top w:val="nil"/>
              <w:left w:val="nil"/>
              <w:bottom w:val="nil"/>
              <w:right w:val="nil"/>
            </w:tcBorders>
            <w:shd w:val="clear" w:color="auto" w:fill="auto"/>
            <w:vAlign w:val="bottom"/>
          </w:tcPr>
          <w:p w14:paraId="3B556490"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23,870</w:t>
            </w:r>
          </w:p>
        </w:tc>
        <w:tc>
          <w:tcPr>
            <w:tcW w:w="762" w:type="pct"/>
            <w:tcBorders>
              <w:top w:val="nil"/>
              <w:left w:val="nil"/>
              <w:bottom w:val="nil"/>
              <w:right w:val="nil"/>
            </w:tcBorders>
            <w:shd w:val="clear" w:color="auto" w:fill="auto"/>
            <w:vAlign w:val="bottom"/>
          </w:tcPr>
          <w:p w14:paraId="55FFC51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16,375</w:t>
            </w:r>
          </w:p>
        </w:tc>
        <w:tc>
          <w:tcPr>
            <w:tcW w:w="762" w:type="pct"/>
            <w:tcBorders>
              <w:top w:val="nil"/>
              <w:left w:val="nil"/>
              <w:bottom w:val="nil"/>
              <w:right w:val="nil"/>
            </w:tcBorders>
            <w:shd w:val="clear" w:color="auto" w:fill="auto"/>
            <w:vAlign w:val="bottom"/>
          </w:tcPr>
          <w:p w14:paraId="50383ECC"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23,870</w:t>
            </w:r>
          </w:p>
        </w:tc>
        <w:tc>
          <w:tcPr>
            <w:tcW w:w="762" w:type="pct"/>
            <w:tcBorders>
              <w:top w:val="nil"/>
              <w:left w:val="nil"/>
              <w:bottom w:val="nil"/>
              <w:right w:val="nil"/>
            </w:tcBorders>
            <w:shd w:val="clear" w:color="auto" w:fill="auto"/>
            <w:vAlign w:val="bottom"/>
          </w:tcPr>
          <w:p w14:paraId="18CDEA3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16,375</w:t>
            </w:r>
          </w:p>
        </w:tc>
      </w:tr>
      <w:tr w:rsidR="00587444" w:rsidRPr="00587444" w14:paraId="21B07043" w14:textId="77777777" w:rsidTr="0067563A">
        <w:tc>
          <w:tcPr>
            <w:tcW w:w="1951" w:type="pct"/>
            <w:vAlign w:val="bottom"/>
          </w:tcPr>
          <w:p w14:paraId="402050EE" w14:textId="77777777" w:rsidR="00587444" w:rsidRPr="00587444" w:rsidRDefault="00587444" w:rsidP="00587444">
            <w:pPr>
              <w:tabs>
                <w:tab w:val="right" w:pos="1202"/>
              </w:tabs>
              <w:suppressAutoHyphens w:val="0"/>
              <w:autoSpaceDN/>
              <w:spacing w:line="300" w:lineRule="exact"/>
              <w:outlineLvl w:val="0"/>
              <w:rPr>
                <w:rFonts w:ascii="Arial" w:hAnsi="Arial" w:cs="Arial"/>
                <w:sz w:val="18"/>
                <w:szCs w:val="18"/>
              </w:rPr>
            </w:pPr>
            <w:bookmarkStart w:id="1061" w:name="_Toc4060483"/>
            <w:r w:rsidRPr="00587444">
              <w:rPr>
                <w:rFonts w:ascii="Arial" w:hAnsi="Arial" w:cs="Arial"/>
                <w:sz w:val="18"/>
                <w:szCs w:val="18"/>
              </w:rPr>
              <w:t>Financial assets at fair value through other comprehensive income</w:t>
            </w:r>
            <w:bookmarkEnd w:id="1061"/>
          </w:p>
        </w:tc>
        <w:tc>
          <w:tcPr>
            <w:tcW w:w="762" w:type="pct"/>
            <w:tcBorders>
              <w:top w:val="nil"/>
              <w:left w:val="nil"/>
              <w:bottom w:val="nil"/>
              <w:right w:val="nil"/>
            </w:tcBorders>
            <w:shd w:val="clear" w:color="auto" w:fill="auto"/>
            <w:vAlign w:val="bottom"/>
          </w:tcPr>
          <w:p w14:paraId="32CD8876" w14:textId="77777777" w:rsidR="00587444" w:rsidRPr="00587444" w:rsidDel="0062368C"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2,633,447</w:t>
            </w:r>
          </w:p>
        </w:tc>
        <w:tc>
          <w:tcPr>
            <w:tcW w:w="762" w:type="pct"/>
            <w:tcBorders>
              <w:top w:val="nil"/>
              <w:left w:val="nil"/>
              <w:bottom w:val="nil"/>
              <w:right w:val="nil"/>
            </w:tcBorders>
            <w:shd w:val="clear" w:color="auto" w:fill="auto"/>
            <w:vAlign w:val="bottom"/>
          </w:tcPr>
          <w:p w14:paraId="11F8F41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2,929,514</w:t>
            </w:r>
          </w:p>
        </w:tc>
        <w:tc>
          <w:tcPr>
            <w:tcW w:w="762" w:type="pct"/>
            <w:tcBorders>
              <w:top w:val="nil"/>
              <w:left w:val="nil"/>
              <w:bottom w:val="nil"/>
              <w:right w:val="nil"/>
            </w:tcBorders>
            <w:shd w:val="clear" w:color="auto" w:fill="auto"/>
            <w:vAlign w:val="bottom"/>
          </w:tcPr>
          <w:p w14:paraId="16B87B9C" w14:textId="77777777" w:rsidR="00587444" w:rsidRPr="00587444" w:rsidDel="0062368C"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2,586,297</w:t>
            </w:r>
          </w:p>
        </w:tc>
        <w:tc>
          <w:tcPr>
            <w:tcW w:w="762" w:type="pct"/>
            <w:tcBorders>
              <w:top w:val="nil"/>
              <w:left w:val="nil"/>
              <w:bottom w:val="nil"/>
              <w:right w:val="nil"/>
            </w:tcBorders>
            <w:shd w:val="clear" w:color="auto" w:fill="auto"/>
            <w:vAlign w:val="bottom"/>
          </w:tcPr>
          <w:p w14:paraId="3E6AC91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2,872,688</w:t>
            </w:r>
          </w:p>
        </w:tc>
      </w:tr>
      <w:tr w:rsidR="00587444" w:rsidRPr="00587444" w14:paraId="3DC14673" w14:textId="77777777" w:rsidTr="0067563A">
        <w:tc>
          <w:tcPr>
            <w:tcW w:w="1951" w:type="pct"/>
            <w:vAlign w:val="bottom"/>
          </w:tcPr>
          <w:p w14:paraId="08CF8113" w14:textId="77777777" w:rsidR="00587444" w:rsidRPr="00587444" w:rsidRDefault="00587444" w:rsidP="00587444">
            <w:pPr>
              <w:tabs>
                <w:tab w:val="right" w:pos="1202"/>
              </w:tabs>
              <w:suppressAutoHyphens w:val="0"/>
              <w:autoSpaceDN/>
              <w:spacing w:line="300" w:lineRule="exact"/>
              <w:outlineLvl w:val="0"/>
              <w:rPr>
                <w:rFonts w:ascii="Arial" w:hAnsi="Arial" w:cs="Arial"/>
                <w:sz w:val="18"/>
                <w:szCs w:val="18"/>
              </w:rPr>
            </w:pPr>
            <w:bookmarkStart w:id="1062" w:name="_Toc4060495"/>
            <w:r w:rsidRPr="00587444">
              <w:rPr>
                <w:rFonts w:ascii="Arial" w:hAnsi="Arial" w:cs="Arial"/>
                <w:sz w:val="18"/>
                <w:szCs w:val="18"/>
              </w:rPr>
              <w:t>Other assets</w:t>
            </w:r>
            <w:bookmarkEnd w:id="1062"/>
          </w:p>
        </w:tc>
        <w:tc>
          <w:tcPr>
            <w:tcW w:w="762" w:type="pct"/>
            <w:tcBorders>
              <w:top w:val="nil"/>
              <w:left w:val="nil"/>
              <w:bottom w:val="single" w:sz="4" w:space="0" w:color="auto"/>
              <w:right w:val="nil"/>
            </w:tcBorders>
            <w:shd w:val="clear" w:color="auto" w:fill="auto"/>
            <w:vAlign w:val="bottom"/>
          </w:tcPr>
          <w:p w14:paraId="1B977B5D"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9,718</w:t>
            </w:r>
          </w:p>
        </w:tc>
        <w:tc>
          <w:tcPr>
            <w:tcW w:w="762" w:type="pct"/>
            <w:tcBorders>
              <w:top w:val="nil"/>
              <w:left w:val="nil"/>
              <w:bottom w:val="single" w:sz="4" w:space="0" w:color="auto"/>
              <w:right w:val="nil"/>
            </w:tcBorders>
            <w:shd w:val="clear" w:color="auto" w:fill="auto"/>
            <w:vAlign w:val="bottom"/>
          </w:tcPr>
          <w:p w14:paraId="1D6460E0"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7,311</w:t>
            </w:r>
          </w:p>
        </w:tc>
        <w:tc>
          <w:tcPr>
            <w:tcW w:w="762" w:type="pct"/>
            <w:tcBorders>
              <w:top w:val="nil"/>
              <w:left w:val="nil"/>
              <w:bottom w:val="single" w:sz="4" w:space="0" w:color="auto"/>
              <w:right w:val="nil"/>
            </w:tcBorders>
            <w:shd w:val="clear" w:color="auto" w:fill="auto"/>
            <w:vAlign w:val="bottom"/>
          </w:tcPr>
          <w:p w14:paraId="2EE52CCB"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3,745</w:t>
            </w:r>
          </w:p>
        </w:tc>
        <w:tc>
          <w:tcPr>
            <w:tcW w:w="762" w:type="pct"/>
            <w:tcBorders>
              <w:top w:val="nil"/>
              <w:left w:val="nil"/>
              <w:bottom w:val="single" w:sz="4" w:space="0" w:color="auto"/>
              <w:right w:val="nil"/>
            </w:tcBorders>
            <w:shd w:val="clear" w:color="auto" w:fill="auto"/>
            <w:vAlign w:val="bottom"/>
          </w:tcPr>
          <w:p w14:paraId="28F44329"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4,699</w:t>
            </w:r>
          </w:p>
        </w:tc>
      </w:tr>
      <w:tr w:rsidR="00587444" w:rsidRPr="00587444" w14:paraId="0F82E7F8" w14:textId="77777777" w:rsidTr="0067563A">
        <w:tc>
          <w:tcPr>
            <w:tcW w:w="1951" w:type="pct"/>
            <w:vAlign w:val="bottom"/>
          </w:tcPr>
          <w:p w14:paraId="3AB8795A" w14:textId="77777777" w:rsidR="00587444" w:rsidRPr="00587444" w:rsidRDefault="00587444" w:rsidP="00587444">
            <w:pPr>
              <w:tabs>
                <w:tab w:val="right" w:pos="1202"/>
              </w:tabs>
              <w:suppressAutoHyphens w:val="0"/>
              <w:autoSpaceDN/>
              <w:spacing w:line="300" w:lineRule="exact"/>
              <w:outlineLvl w:val="0"/>
              <w:rPr>
                <w:rFonts w:ascii="Arial" w:hAnsi="Arial" w:cs="Arial"/>
                <w:b/>
                <w:bCs/>
                <w:sz w:val="18"/>
                <w:szCs w:val="18"/>
              </w:rPr>
            </w:pPr>
            <w:bookmarkStart w:id="1063" w:name="_Toc4060496"/>
            <w:r w:rsidRPr="00587444">
              <w:rPr>
                <w:rFonts w:ascii="Arial" w:hAnsi="Arial" w:cs="Arial"/>
                <w:b/>
                <w:bCs/>
                <w:sz w:val="18"/>
                <w:szCs w:val="18"/>
              </w:rPr>
              <w:t>Total</w:t>
            </w:r>
            <w:bookmarkEnd w:id="1063"/>
          </w:p>
        </w:tc>
        <w:tc>
          <w:tcPr>
            <w:tcW w:w="762" w:type="pct"/>
            <w:tcBorders>
              <w:top w:val="single" w:sz="4" w:space="0" w:color="auto"/>
              <w:bottom w:val="single" w:sz="12" w:space="0" w:color="auto"/>
            </w:tcBorders>
            <w:vAlign w:val="bottom"/>
          </w:tcPr>
          <w:p w14:paraId="521447CA" w14:textId="77777777" w:rsidR="00587444" w:rsidRPr="00587444" w:rsidRDefault="00587444" w:rsidP="00587444">
            <w:pPr>
              <w:suppressAutoHyphens w:val="0"/>
              <w:autoSpaceDN/>
              <w:spacing w:line="280" w:lineRule="exact"/>
              <w:jc w:val="right"/>
              <w:rPr>
                <w:rFonts w:ascii="Arial" w:hAnsi="Arial" w:cs="Arial"/>
                <w:b/>
                <w:bCs/>
                <w:color w:val="000000"/>
                <w:sz w:val="18"/>
                <w:szCs w:val="18"/>
                <w:lang w:val="hr-HR"/>
              </w:rPr>
            </w:pPr>
            <w:r w:rsidRPr="00587444">
              <w:rPr>
                <w:rFonts w:ascii="Arial" w:hAnsi="Arial" w:cs="Arial"/>
                <w:b/>
                <w:bCs/>
                <w:color w:val="000000"/>
                <w:sz w:val="18"/>
                <w:szCs w:val="18"/>
                <w:lang w:val="hr-HR"/>
              </w:rPr>
              <w:t>28,809,512</w:t>
            </w:r>
          </w:p>
        </w:tc>
        <w:tc>
          <w:tcPr>
            <w:tcW w:w="762" w:type="pct"/>
            <w:tcBorders>
              <w:top w:val="single" w:sz="4" w:space="0" w:color="auto"/>
              <w:bottom w:val="single" w:sz="12" w:space="0" w:color="auto"/>
            </w:tcBorders>
            <w:vAlign w:val="bottom"/>
          </w:tcPr>
          <w:p w14:paraId="6F12DEE8"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color w:val="000000"/>
                <w:sz w:val="18"/>
                <w:szCs w:val="18"/>
                <w:lang w:val="hr-HR"/>
              </w:rPr>
            </w:pPr>
            <w:r w:rsidRPr="00587444">
              <w:rPr>
                <w:rFonts w:ascii="Arial" w:hAnsi="Arial" w:cs="Arial"/>
                <w:b/>
                <w:bCs/>
                <w:color w:val="000000"/>
                <w:sz w:val="18"/>
                <w:szCs w:val="18"/>
                <w:lang w:val="hr-HR"/>
              </w:rPr>
              <w:t>27,937,204</w:t>
            </w:r>
          </w:p>
        </w:tc>
        <w:tc>
          <w:tcPr>
            <w:tcW w:w="762" w:type="pct"/>
            <w:tcBorders>
              <w:top w:val="single" w:sz="4" w:space="0" w:color="auto"/>
              <w:bottom w:val="single" w:sz="12" w:space="0" w:color="auto"/>
            </w:tcBorders>
            <w:vAlign w:val="bottom"/>
          </w:tcPr>
          <w:p w14:paraId="41FE51E8"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color w:val="000000"/>
                <w:sz w:val="18"/>
                <w:szCs w:val="18"/>
                <w:lang w:val="hr-HR"/>
              </w:rPr>
            </w:pPr>
            <w:r w:rsidRPr="00587444">
              <w:rPr>
                <w:rFonts w:ascii="Arial" w:hAnsi="Arial" w:cs="Arial"/>
                <w:b/>
                <w:bCs/>
                <w:color w:val="000000"/>
                <w:sz w:val="18"/>
                <w:szCs w:val="18"/>
                <w:lang w:val="hr-HR"/>
              </w:rPr>
              <w:t>28,728,405</w:t>
            </w:r>
          </w:p>
        </w:tc>
        <w:tc>
          <w:tcPr>
            <w:tcW w:w="762" w:type="pct"/>
            <w:tcBorders>
              <w:top w:val="single" w:sz="4" w:space="0" w:color="auto"/>
              <w:bottom w:val="single" w:sz="12" w:space="0" w:color="auto"/>
            </w:tcBorders>
            <w:vAlign w:val="bottom"/>
          </w:tcPr>
          <w:p w14:paraId="54991336" w14:textId="77777777" w:rsidR="00587444" w:rsidRPr="00587444" w:rsidRDefault="00587444" w:rsidP="00587444">
            <w:pPr>
              <w:tabs>
                <w:tab w:val="right" w:pos="1202"/>
              </w:tabs>
              <w:suppressAutoHyphens w:val="0"/>
              <w:autoSpaceDN/>
              <w:spacing w:line="340" w:lineRule="exact"/>
              <w:jc w:val="right"/>
              <w:outlineLvl w:val="0"/>
              <w:rPr>
                <w:rFonts w:ascii="Arial" w:hAnsi="Arial" w:cs="Arial"/>
                <w:b/>
                <w:bCs/>
                <w:color w:val="000000"/>
                <w:sz w:val="18"/>
                <w:szCs w:val="18"/>
                <w:lang w:val="hr-HR"/>
              </w:rPr>
            </w:pPr>
            <w:r w:rsidRPr="00587444">
              <w:rPr>
                <w:rFonts w:ascii="Arial" w:hAnsi="Arial" w:cs="Arial"/>
                <w:b/>
                <w:bCs/>
                <w:color w:val="000000"/>
                <w:sz w:val="18"/>
                <w:szCs w:val="18"/>
                <w:lang w:val="hr-HR"/>
              </w:rPr>
              <w:t>27,874,400</w:t>
            </w:r>
          </w:p>
        </w:tc>
      </w:tr>
      <w:tr w:rsidR="00587444" w:rsidRPr="00587444" w14:paraId="360F5B63" w14:textId="77777777" w:rsidTr="0067563A">
        <w:trPr>
          <w:trHeight w:val="109"/>
        </w:trPr>
        <w:tc>
          <w:tcPr>
            <w:tcW w:w="1951" w:type="pct"/>
            <w:vAlign w:val="bottom"/>
          </w:tcPr>
          <w:p w14:paraId="2C09D768" w14:textId="77777777" w:rsidR="00587444" w:rsidRPr="00587444" w:rsidRDefault="00587444" w:rsidP="00587444">
            <w:pPr>
              <w:keepNext/>
              <w:keepLines/>
              <w:tabs>
                <w:tab w:val="decimal" w:pos="1202"/>
              </w:tabs>
              <w:suppressAutoHyphens w:val="0"/>
              <w:autoSpaceDN/>
              <w:spacing w:line="140" w:lineRule="exact"/>
              <w:rPr>
                <w:rFonts w:ascii="Arial" w:hAnsi="Arial" w:cs="Arial"/>
                <w:b/>
                <w:position w:val="4"/>
                <w:sz w:val="18"/>
                <w:szCs w:val="18"/>
                <w:u w:val="thick"/>
              </w:rPr>
            </w:pPr>
          </w:p>
        </w:tc>
        <w:tc>
          <w:tcPr>
            <w:tcW w:w="762" w:type="pct"/>
            <w:tcBorders>
              <w:top w:val="single" w:sz="12" w:space="0" w:color="auto"/>
            </w:tcBorders>
            <w:vAlign w:val="bottom"/>
          </w:tcPr>
          <w:p w14:paraId="1099811C"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p>
        </w:tc>
        <w:tc>
          <w:tcPr>
            <w:tcW w:w="762" w:type="pct"/>
            <w:tcBorders>
              <w:top w:val="single" w:sz="12" w:space="0" w:color="auto"/>
            </w:tcBorders>
            <w:vAlign w:val="bottom"/>
          </w:tcPr>
          <w:p w14:paraId="6BFAB7DB"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p>
        </w:tc>
        <w:tc>
          <w:tcPr>
            <w:tcW w:w="762" w:type="pct"/>
            <w:tcBorders>
              <w:top w:val="single" w:sz="12" w:space="0" w:color="auto"/>
            </w:tcBorders>
            <w:vAlign w:val="bottom"/>
          </w:tcPr>
          <w:p w14:paraId="0C6C3E9A"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p>
        </w:tc>
        <w:tc>
          <w:tcPr>
            <w:tcW w:w="762" w:type="pct"/>
            <w:tcBorders>
              <w:top w:val="single" w:sz="12" w:space="0" w:color="auto"/>
            </w:tcBorders>
            <w:vAlign w:val="bottom"/>
          </w:tcPr>
          <w:p w14:paraId="2FAA5F1B"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p>
        </w:tc>
      </w:tr>
      <w:tr w:rsidR="00587444" w:rsidRPr="00587444" w14:paraId="0540451F" w14:textId="77777777" w:rsidTr="0067563A">
        <w:tc>
          <w:tcPr>
            <w:tcW w:w="1951" w:type="pct"/>
            <w:vAlign w:val="bottom"/>
          </w:tcPr>
          <w:p w14:paraId="0631B0DF" w14:textId="77777777" w:rsidR="00587444" w:rsidRPr="00587444" w:rsidRDefault="00587444" w:rsidP="00587444">
            <w:pPr>
              <w:tabs>
                <w:tab w:val="right" w:pos="1202"/>
              </w:tabs>
              <w:suppressAutoHyphens w:val="0"/>
              <w:autoSpaceDN/>
              <w:spacing w:line="300" w:lineRule="exact"/>
              <w:outlineLvl w:val="0"/>
              <w:rPr>
                <w:rFonts w:ascii="Arial" w:hAnsi="Arial" w:cs="Arial"/>
                <w:b/>
                <w:bCs/>
                <w:sz w:val="18"/>
                <w:szCs w:val="18"/>
              </w:rPr>
            </w:pPr>
            <w:bookmarkStart w:id="1064" w:name="_Toc4060499"/>
            <w:r w:rsidRPr="00587444">
              <w:rPr>
                <w:rFonts w:ascii="Arial" w:hAnsi="Arial" w:cs="Arial"/>
                <w:b/>
                <w:bCs/>
                <w:sz w:val="18"/>
                <w:szCs w:val="18"/>
              </w:rPr>
              <w:t>Guarantees and commitments</w:t>
            </w:r>
            <w:bookmarkEnd w:id="1064"/>
          </w:p>
        </w:tc>
        <w:tc>
          <w:tcPr>
            <w:tcW w:w="762" w:type="pct"/>
            <w:vAlign w:val="bottom"/>
          </w:tcPr>
          <w:p w14:paraId="3B5B0E90"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p>
        </w:tc>
        <w:tc>
          <w:tcPr>
            <w:tcW w:w="762" w:type="pct"/>
            <w:vAlign w:val="bottom"/>
          </w:tcPr>
          <w:p w14:paraId="2F4A82F4"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p>
        </w:tc>
        <w:tc>
          <w:tcPr>
            <w:tcW w:w="762" w:type="pct"/>
            <w:vAlign w:val="bottom"/>
          </w:tcPr>
          <w:p w14:paraId="588E9FE8"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p>
        </w:tc>
        <w:tc>
          <w:tcPr>
            <w:tcW w:w="762" w:type="pct"/>
            <w:vAlign w:val="bottom"/>
          </w:tcPr>
          <w:p w14:paraId="72997C3E"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p>
        </w:tc>
      </w:tr>
      <w:tr w:rsidR="00587444" w:rsidRPr="00587444" w14:paraId="40283C1D" w14:textId="77777777" w:rsidTr="0067563A">
        <w:tc>
          <w:tcPr>
            <w:tcW w:w="1951" w:type="pct"/>
            <w:vAlign w:val="bottom"/>
          </w:tcPr>
          <w:p w14:paraId="0DA86DA3" w14:textId="77777777" w:rsidR="00587444" w:rsidRPr="00587444" w:rsidRDefault="00587444" w:rsidP="00587444">
            <w:pPr>
              <w:tabs>
                <w:tab w:val="right" w:pos="1202"/>
              </w:tabs>
              <w:suppressAutoHyphens w:val="0"/>
              <w:autoSpaceDN/>
              <w:spacing w:line="300" w:lineRule="exact"/>
              <w:outlineLvl w:val="0"/>
              <w:rPr>
                <w:rFonts w:ascii="Arial" w:hAnsi="Arial" w:cs="Arial"/>
                <w:bCs/>
                <w:sz w:val="18"/>
                <w:szCs w:val="18"/>
              </w:rPr>
            </w:pPr>
            <w:bookmarkStart w:id="1065" w:name="_Toc4060500"/>
            <w:r w:rsidRPr="00587444">
              <w:rPr>
                <w:rFonts w:ascii="Arial" w:hAnsi="Arial" w:cs="Arial"/>
                <w:bCs/>
                <w:sz w:val="18"/>
                <w:szCs w:val="18"/>
              </w:rPr>
              <w:t>Guarantees issued in HRK</w:t>
            </w:r>
            <w:bookmarkEnd w:id="1065"/>
          </w:p>
        </w:tc>
        <w:tc>
          <w:tcPr>
            <w:tcW w:w="762" w:type="pct"/>
            <w:tcBorders>
              <w:top w:val="nil"/>
              <w:left w:val="nil"/>
              <w:bottom w:val="nil"/>
              <w:right w:val="nil"/>
            </w:tcBorders>
            <w:shd w:val="clear" w:color="auto" w:fill="auto"/>
            <w:vAlign w:val="bottom"/>
          </w:tcPr>
          <w:p w14:paraId="1182C29C"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86,470</w:t>
            </w:r>
          </w:p>
        </w:tc>
        <w:tc>
          <w:tcPr>
            <w:tcW w:w="762" w:type="pct"/>
            <w:tcBorders>
              <w:top w:val="nil"/>
              <w:left w:val="nil"/>
              <w:bottom w:val="nil"/>
              <w:right w:val="nil"/>
            </w:tcBorders>
            <w:shd w:val="clear" w:color="auto" w:fill="auto"/>
            <w:vAlign w:val="bottom"/>
          </w:tcPr>
          <w:p w14:paraId="60709D9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140,113</w:t>
            </w:r>
          </w:p>
        </w:tc>
        <w:tc>
          <w:tcPr>
            <w:tcW w:w="762" w:type="pct"/>
            <w:tcBorders>
              <w:top w:val="nil"/>
              <w:left w:val="nil"/>
              <w:bottom w:val="nil"/>
              <w:right w:val="nil"/>
            </w:tcBorders>
            <w:shd w:val="clear" w:color="auto" w:fill="auto"/>
            <w:vAlign w:val="bottom"/>
          </w:tcPr>
          <w:p w14:paraId="5B5A3ED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86,470</w:t>
            </w:r>
          </w:p>
        </w:tc>
        <w:tc>
          <w:tcPr>
            <w:tcW w:w="762" w:type="pct"/>
            <w:tcBorders>
              <w:top w:val="nil"/>
              <w:left w:val="nil"/>
              <w:bottom w:val="nil"/>
              <w:right w:val="nil"/>
            </w:tcBorders>
            <w:shd w:val="clear" w:color="auto" w:fill="auto"/>
            <w:vAlign w:val="bottom"/>
          </w:tcPr>
          <w:p w14:paraId="30296C3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140,113</w:t>
            </w:r>
          </w:p>
        </w:tc>
      </w:tr>
      <w:tr w:rsidR="00587444" w:rsidRPr="00587444" w14:paraId="227AD72B" w14:textId="77777777" w:rsidTr="0067563A">
        <w:tc>
          <w:tcPr>
            <w:tcW w:w="1951" w:type="pct"/>
            <w:vAlign w:val="bottom"/>
          </w:tcPr>
          <w:p w14:paraId="6296F3BC" w14:textId="77777777" w:rsidR="00587444" w:rsidRPr="00587444" w:rsidRDefault="00587444" w:rsidP="00587444">
            <w:pPr>
              <w:tabs>
                <w:tab w:val="right" w:pos="1202"/>
              </w:tabs>
              <w:suppressAutoHyphens w:val="0"/>
              <w:autoSpaceDN/>
              <w:spacing w:line="300" w:lineRule="exact"/>
              <w:outlineLvl w:val="0"/>
              <w:rPr>
                <w:rFonts w:ascii="Arial" w:hAnsi="Arial" w:cs="Arial"/>
                <w:sz w:val="18"/>
                <w:szCs w:val="18"/>
              </w:rPr>
            </w:pPr>
            <w:bookmarkStart w:id="1066" w:name="_Toc4060503"/>
            <w:r w:rsidRPr="00587444">
              <w:rPr>
                <w:rFonts w:ascii="Arial" w:hAnsi="Arial" w:cs="Arial"/>
                <w:sz w:val="18"/>
                <w:szCs w:val="18"/>
              </w:rPr>
              <w:t>Issued guarantees in foreign currency</w:t>
            </w:r>
            <w:bookmarkEnd w:id="1066"/>
          </w:p>
        </w:tc>
        <w:tc>
          <w:tcPr>
            <w:tcW w:w="762" w:type="pct"/>
            <w:tcBorders>
              <w:top w:val="nil"/>
              <w:left w:val="nil"/>
              <w:bottom w:val="nil"/>
              <w:right w:val="nil"/>
            </w:tcBorders>
            <w:shd w:val="clear" w:color="auto" w:fill="auto"/>
            <w:vAlign w:val="bottom"/>
          </w:tcPr>
          <w:p w14:paraId="54114CE9"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162,516</w:t>
            </w:r>
          </w:p>
        </w:tc>
        <w:tc>
          <w:tcPr>
            <w:tcW w:w="762" w:type="pct"/>
            <w:tcBorders>
              <w:top w:val="nil"/>
              <w:left w:val="nil"/>
              <w:bottom w:val="nil"/>
              <w:right w:val="nil"/>
            </w:tcBorders>
            <w:shd w:val="clear" w:color="auto" w:fill="auto"/>
            <w:vAlign w:val="bottom"/>
          </w:tcPr>
          <w:p w14:paraId="36C069C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260,705</w:t>
            </w:r>
          </w:p>
        </w:tc>
        <w:tc>
          <w:tcPr>
            <w:tcW w:w="762" w:type="pct"/>
            <w:tcBorders>
              <w:top w:val="nil"/>
              <w:left w:val="nil"/>
              <w:bottom w:val="nil"/>
              <w:right w:val="nil"/>
            </w:tcBorders>
            <w:shd w:val="clear" w:color="auto" w:fill="auto"/>
            <w:vAlign w:val="bottom"/>
          </w:tcPr>
          <w:p w14:paraId="0EA6B6B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162,516</w:t>
            </w:r>
          </w:p>
        </w:tc>
        <w:tc>
          <w:tcPr>
            <w:tcW w:w="762" w:type="pct"/>
            <w:tcBorders>
              <w:top w:val="nil"/>
              <w:left w:val="nil"/>
              <w:bottom w:val="nil"/>
              <w:right w:val="nil"/>
            </w:tcBorders>
            <w:shd w:val="clear" w:color="auto" w:fill="auto"/>
            <w:vAlign w:val="bottom"/>
          </w:tcPr>
          <w:p w14:paraId="2CBB24A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260,705</w:t>
            </w:r>
          </w:p>
        </w:tc>
      </w:tr>
      <w:tr w:rsidR="00587444" w:rsidRPr="00587444" w14:paraId="0E688611" w14:textId="77777777" w:rsidTr="0067563A">
        <w:tc>
          <w:tcPr>
            <w:tcW w:w="1951" w:type="pct"/>
            <w:vAlign w:val="bottom"/>
          </w:tcPr>
          <w:p w14:paraId="5D9D49B0" w14:textId="1D7DB28C" w:rsidR="00587444" w:rsidRPr="00587444" w:rsidRDefault="00587444" w:rsidP="00587444">
            <w:pPr>
              <w:tabs>
                <w:tab w:val="right" w:pos="1202"/>
              </w:tabs>
              <w:suppressAutoHyphens w:val="0"/>
              <w:autoSpaceDN/>
              <w:spacing w:line="300" w:lineRule="exact"/>
              <w:outlineLvl w:val="0"/>
              <w:rPr>
                <w:rFonts w:ascii="Arial" w:hAnsi="Arial" w:cs="Arial"/>
                <w:sz w:val="18"/>
                <w:szCs w:val="18"/>
              </w:rPr>
            </w:pPr>
            <w:r w:rsidRPr="00587444">
              <w:rPr>
                <w:rFonts w:ascii="Arial" w:hAnsi="Arial" w:cs="Arial"/>
                <w:sz w:val="18"/>
                <w:szCs w:val="18"/>
              </w:rPr>
              <w:t xml:space="preserve">Open </w:t>
            </w:r>
            <w:r w:rsidR="005D302B" w:rsidRPr="00587444">
              <w:rPr>
                <w:rFonts w:ascii="Arial" w:hAnsi="Arial" w:cs="Arial"/>
                <w:sz w:val="18"/>
                <w:szCs w:val="18"/>
              </w:rPr>
              <w:t>letters</w:t>
            </w:r>
            <w:r w:rsidRPr="00587444">
              <w:rPr>
                <w:rFonts w:ascii="Arial" w:hAnsi="Arial" w:cs="Arial"/>
                <w:sz w:val="18"/>
                <w:szCs w:val="18"/>
              </w:rPr>
              <w:t xml:space="preserve"> of credit in foreign currency</w:t>
            </w:r>
          </w:p>
        </w:tc>
        <w:tc>
          <w:tcPr>
            <w:tcW w:w="762" w:type="pct"/>
            <w:tcBorders>
              <w:top w:val="nil"/>
              <w:left w:val="nil"/>
              <w:bottom w:val="nil"/>
              <w:right w:val="nil"/>
            </w:tcBorders>
            <w:shd w:val="clear" w:color="auto" w:fill="auto"/>
            <w:vAlign w:val="bottom"/>
          </w:tcPr>
          <w:p w14:paraId="7620C032"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1,243</w:t>
            </w:r>
          </w:p>
        </w:tc>
        <w:tc>
          <w:tcPr>
            <w:tcW w:w="762" w:type="pct"/>
            <w:tcBorders>
              <w:top w:val="nil"/>
              <w:left w:val="nil"/>
              <w:bottom w:val="nil"/>
              <w:right w:val="nil"/>
            </w:tcBorders>
            <w:shd w:val="clear" w:color="auto" w:fill="auto"/>
            <w:vAlign w:val="bottom"/>
          </w:tcPr>
          <w:p w14:paraId="617A478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62" w:type="pct"/>
            <w:tcBorders>
              <w:top w:val="nil"/>
              <w:left w:val="nil"/>
              <w:bottom w:val="nil"/>
              <w:right w:val="nil"/>
            </w:tcBorders>
            <w:shd w:val="clear" w:color="auto" w:fill="auto"/>
            <w:vAlign w:val="bottom"/>
          </w:tcPr>
          <w:p w14:paraId="2B161E1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1,243</w:t>
            </w:r>
          </w:p>
        </w:tc>
        <w:tc>
          <w:tcPr>
            <w:tcW w:w="762" w:type="pct"/>
            <w:tcBorders>
              <w:top w:val="nil"/>
              <w:left w:val="nil"/>
              <w:bottom w:val="nil"/>
              <w:right w:val="nil"/>
            </w:tcBorders>
            <w:shd w:val="clear" w:color="auto" w:fill="auto"/>
            <w:vAlign w:val="bottom"/>
          </w:tcPr>
          <w:p w14:paraId="0A8E413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r>
      <w:tr w:rsidR="00587444" w:rsidRPr="00587444" w14:paraId="6D7CF05F" w14:textId="77777777" w:rsidTr="0067563A">
        <w:tc>
          <w:tcPr>
            <w:tcW w:w="1951" w:type="pct"/>
            <w:vAlign w:val="bottom"/>
          </w:tcPr>
          <w:p w14:paraId="5AEBFEA9" w14:textId="77777777" w:rsidR="00587444" w:rsidRPr="00587444" w:rsidRDefault="00587444" w:rsidP="00587444">
            <w:pPr>
              <w:tabs>
                <w:tab w:val="right" w:pos="1202"/>
              </w:tabs>
              <w:suppressAutoHyphens w:val="0"/>
              <w:autoSpaceDN/>
              <w:spacing w:line="300" w:lineRule="exact"/>
              <w:outlineLvl w:val="0"/>
              <w:rPr>
                <w:rFonts w:ascii="Arial" w:hAnsi="Arial" w:cs="Arial"/>
                <w:sz w:val="18"/>
                <w:szCs w:val="18"/>
              </w:rPr>
            </w:pPr>
            <w:bookmarkStart w:id="1067" w:name="_Toc4060506"/>
            <w:r w:rsidRPr="00587444">
              <w:rPr>
                <w:rFonts w:ascii="Arial" w:hAnsi="Arial" w:cs="Arial"/>
                <w:sz w:val="18"/>
                <w:szCs w:val="18"/>
              </w:rPr>
              <w:t>Undrawn loans</w:t>
            </w:r>
            <w:bookmarkEnd w:id="1067"/>
          </w:p>
        </w:tc>
        <w:tc>
          <w:tcPr>
            <w:tcW w:w="762" w:type="pct"/>
            <w:tcBorders>
              <w:top w:val="nil"/>
              <w:left w:val="nil"/>
              <w:bottom w:val="nil"/>
              <w:right w:val="nil"/>
            </w:tcBorders>
            <w:shd w:val="clear" w:color="auto" w:fill="auto"/>
            <w:vAlign w:val="bottom"/>
          </w:tcPr>
          <w:p w14:paraId="2A9573FC" w14:textId="77777777" w:rsidR="00587444" w:rsidRPr="00587444" w:rsidDel="00942ACF"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2,647,931</w:t>
            </w:r>
          </w:p>
        </w:tc>
        <w:tc>
          <w:tcPr>
            <w:tcW w:w="762" w:type="pct"/>
            <w:tcBorders>
              <w:top w:val="nil"/>
              <w:left w:val="nil"/>
              <w:bottom w:val="nil"/>
              <w:right w:val="nil"/>
            </w:tcBorders>
            <w:shd w:val="clear" w:color="auto" w:fill="auto"/>
            <w:vAlign w:val="bottom"/>
          </w:tcPr>
          <w:p w14:paraId="428F552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3,457,291</w:t>
            </w:r>
          </w:p>
        </w:tc>
        <w:tc>
          <w:tcPr>
            <w:tcW w:w="762" w:type="pct"/>
            <w:tcBorders>
              <w:top w:val="nil"/>
              <w:left w:val="nil"/>
              <w:bottom w:val="nil"/>
              <w:right w:val="nil"/>
            </w:tcBorders>
            <w:shd w:val="clear" w:color="auto" w:fill="auto"/>
            <w:vAlign w:val="bottom"/>
          </w:tcPr>
          <w:p w14:paraId="0FC375E5" w14:textId="77777777" w:rsidR="00587444" w:rsidRPr="00587444" w:rsidDel="00942ACF"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2,647,931</w:t>
            </w:r>
          </w:p>
        </w:tc>
        <w:tc>
          <w:tcPr>
            <w:tcW w:w="762" w:type="pct"/>
            <w:tcBorders>
              <w:top w:val="nil"/>
              <w:left w:val="nil"/>
              <w:bottom w:val="nil"/>
              <w:right w:val="nil"/>
            </w:tcBorders>
            <w:shd w:val="clear" w:color="auto" w:fill="auto"/>
            <w:vAlign w:val="bottom"/>
          </w:tcPr>
          <w:p w14:paraId="588E7DC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3,457,291</w:t>
            </w:r>
          </w:p>
        </w:tc>
      </w:tr>
      <w:tr w:rsidR="00587444" w:rsidRPr="00587444" w14:paraId="0B3F4CB7" w14:textId="77777777" w:rsidTr="0067563A">
        <w:tc>
          <w:tcPr>
            <w:tcW w:w="1951" w:type="pct"/>
            <w:vAlign w:val="bottom"/>
          </w:tcPr>
          <w:p w14:paraId="6D1E509D" w14:textId="77777777" w:rsidR="00587444" w:rsidRPr="00587444" w:rsidRDefault="00587444" w:rsidP="00587444">
            <w:pPr>
              <w:tabs>
                <w:tab w:val="right" w:pos="1202"/>
              </w:tabs>
              <w:suppressAutoHyphens w:val="0"/>
              <w:autoSpaceDN/>
              <w:spacing w:line="300" w:lineRule="exact"/>
              <w:outlineLvl w:val="0"/>
              <w:rPr>
                <w:rFonts w:ascii="Arial" w:hAnsi="Arial" w:cs="Arial"/>
                <w:b/>
                <w:bCs/>
                <w:sz w:val="18"/>
                <w:szCs w:val="18"/>
              </w:rPr>
            </w:pPr>
            <w:bookmarkStart w:id="1068" w:name="_Toc4060512"/>
            <w:r w:rsidRPr="00587444">
              <w:rPr>
                <w:rFonts w:ascii="Arial" w:hAnsi="Arial" w:cs="Arial"/>
                <w:b/>
                <w:bCs/>
                <w:sz w:val="18"/>
                <w:szCs w:val="18"/>
              </w:rPr>
              <w:t>Total</w:t>
            </w:r>
            <w:bookmarkEnd w:id="1068"/>
          </w:p>
        </w:tc>
        <w:tc>
          <w:tcPr>
            <w:tcW w:w="762" w:type="pct"/>
            <w:tcBorders>
              <w:top w:val="single" w:sz="4" w:space="0" w:color="auto"/>
              <w:bottom w:val="single" w:sz="12" w:space="0" w:color="auto"/>
            </w:tcBorders>
            <w:vAlign w:val="bottom"/>
          </w:tcPr>
          <w:p w14:paraId="3F078AA6"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2,898,160</w:t>
            </w:r>
          </w:p>
        </w:tc>
        <w:tc>
          <w:tcPr>
            <w:tcW w:w="762" w:type="pct"/>
            <w:tcBorders>
              <w:top w:val="single" w:sz="4" w:space="0" w:color="auto"/>
              <w:bottom w:val="single" w:sz="12" w:space="0" w:color="auto"/>
            </w:tcBorders>
            <w:vAlign w:val="bottom"/>
          </w:tcPr>
          <w:p w14:paraId="1F5EE6A3"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3,858,109</w:t>
            </w:r>
          </w:p>
        </w:tc>
        <w:tc>
          <w:tcPr>
            <w:tcW w:w="762" w:type="pct"/>
            <w:tcBorders>
              <w:top w:val="single" w:sz="4" w:space="0" w:color="auto"/>
              <w:bottom w:val="single" w:sz="12" w:space="0" w:color="auto"/>
            </w:tcBorders>
            <w:vAlign w:val="bottom"/>
          </w:tcPr>
          <w:p w14:paraId="16C2B703"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2,898,160</w:t>
            </w:r>
          </w:p>
        </w:tc>
        <w:tc>
          <w:tcPr>
            <w:tcW w:w="762" w:type="pct"/>
            <w:tcBorders>
              <w:top w:val="single" w:sz="4" w:space="0" w:color="auto"/>
              <w:bottom w:val="single" w:sz="12" w:space="0" w:color="auto"/>
            </w:tcBorders>
            <w:vAlign w:val="bottom"/>
          </w:tcPr>
          <w:p w14:paraId="46F39F9E" w14:textId="77777777" w:rsidR="00587444" w:rsidRPr="00587444" w:rsidRDefault="00587444" w:rsidP="00587444">
            <w:pPr>
              <w:suppressAutoHyphens w:val="0"/>
              <w:autoSpaceDN/>
              <w:spacing w:line="280" w:lineRule="exact"/>
              <w:jc w:val="right"/>
              <w:rPr>
                <w:rFonts w:ascii="Arial" w:hAnsi="Arial" w:cs="Arial"/>
                <w:color w:val="000000"/>
                <w:sz w:val="18"/>
                <w:szCs w:val="18"/>
                <w:lang w:val="hr-HR"/>
              </w:rPr>
            </w:pPr>
            <w:r w:rsidRPr="00587444">
              <w:rPr>
                <w:rFonts w:ascii="Arial" w:hAnsi="Arial" w:cs="Arial"/>
                <w:color w:val="000000"/>
                <w:sz w:val="18"/>
                <w:szCs w:val="18"/>
                <w:lang w:val="hr-HR"/>
              </w:rPr>
              <w:t>3,858,109</w:t>
            </w:r>
          </w:p>
        </w:tc>
      </w:tr>
      <w:tr w:rsidR="00587444" w:rsidRPr="00587444" w14:paraId="3CB09D4D" w14:textId="77777777" w:rsidTr="0067563A">
        <w:trPr>
          <w:trHeight w:hRule="exact" w:val="340"/>
        </w:trPr>
        <w:tc>
          <w:tcPr>
            <w:tcW w:w="1951" w:type="pct"/>
            <w:vAlign w:val="bottom"/>
          </w:tcPr>
          <w:p w14:paraId="166EB391" w14:textId="77777777" w:rsidR="00587444" w:rsidRPr="00587444" w:rsidRDefault="00587444" w:rsidP="00587444">
            <w:pPr>
              <w:tabs>
                <w:tab w:val="right" w:pos="1202"/>
              </w:tabs>
              <w:suppressAutoHyphens w:val="0"/>
              <w:autoSpaceDN/>
              <w:spacing w:line="300" w:lineRule="exact"/>
              <w:outlineLvl w:val="0"/>
              <w:rPr>
                <w:rFonts w:ascii="Arial" w:hAnsi="Arial" w:cs="Arial"/>
                <w:b/>
                <w:bCs/>
                <w:sz w:val="18"/>
                <w:szCs w:val="18"/>
              </w:rPr>
            </w:pPr>
            <w:bookmarkStart w:id="1069" w:name="_Toc4060513"/>
            <w:r w:rsidRPr="00587444">
              <w:rPr>
                <w:rFonts w:ascii="Arial" w:hAnsi="Arial" w:cs="Arial"/>
                <w:b/>
                <w:bCs/>
                <w:sz w:val="18"/>
                <w:szCs w:val="18"/>
              </w:rPr>
              <w:t>Total credit risk exposure</w:t>
            </w:r>
            <w:bookmarkEnd w:id="1069"/>
          </w:p>
        </w:tc>
        <w:tc>
          <w:tcPr>
            <w:tcW w:w="762" w:type="pct"/>
            <w:tcBorders>
              <w:top w:val="single" w:sz="12" w:space="0" w:color="auto"/>
              <w:bottom w:val="single" w:sz="12" w:space="0" w:color="auto"/>
            </w:tcBorders>
            <w:vAlign w:val="bottom"/>
          </w:tcPr>
          <w:p w14:paraId="2FEB8629" w14:textId="77777777" w:rsidR="00587444" w:rsidRPr="00587444" w:rsidRDefault="00587444" w:rsidP="00587444">
            <w:pPr>
              <w:suppressAutoHyphens w:val="0"/>
              <w:autoSpaceDN/>
              <w:spacing w:line="280" w:lineRule="exact"/>
              <w:jc w:val="right"/>
              <w:rPr>
                <w:rFonts w:ascii="Arial" w:hAnsi="Arial" w:cs="Arial"/>
                <w:b/>
                <w:bCs/>
                <w:color w:val="000000"/>
                <w:sz w:val="18"/>
                <w:szCs w:val="18"/>
                <w:lang w:val="hr-HR"/>
              </w:rPr>
            </w:pPr>
            <w:r w:rsidRPr="00587444">
              <w:rPr>
                <w:rFonts w:ascii="Arial" w:hAnsi="Arial" w:cs="Arial"/>
                <w:b/>
                <w:bCs/>
                <w:color w:val="000000"/>
                <w:sz w:val="18"/>
                <w:szCs w:val="18"/>
                <w:lang w:val="hr-HR"/>
              </w:rPr>
              <w:t>31,707,672</w:t>
            </w:r>
          </w:p>
        </w:tc>
        <w:tc>
          <w:tcPr>
            <w:tcW w:w="762" w:type="pct"/>
            <w:tcBorders>
              <w:top w:val="single" w:sz="12" w:space="0" w:color="auto"/>
              <w:bottom w:val="single" w:sz="12" w:space="0" w:color="auto"/>
            </w:tcBorders>
            <w:vAlign w:val="bottom"/>
          </w:tcPr>
          <w:p w14:paraId="7986AD7B" w14:textId="77777777" w:rsidR="00587444" w:rsidRPr="00587444" w:rsidRDefault="00587444" w:rsidP="00587444">
            <w:pPr>
              <w:suppressAutoHyphens w:val="0"/>
              <w:autoSpaceDN/>
              <w:spacing w:line="280" w:lineRule="exact"/>
              <w:jc w:val="right"/>
              <w:rPr>
                <w:rFonts w:ascii="Arial" w:hAnsi="Arial" w:cs="Arial"/>
                <w:b/>
                <w:bCs/>
                <w:color w:val="000000"/>
                <w:sz w:val="18"/>
                <w:szCs w:val="18"/>
                <w:lang w:val="hr-HR"/>
              </w:rPr>
            </w:pPr>
            <w:r w:rsidRPr="00587444">
              <w:rPr>
                <w:rFonts w:ascii="Arial" w:hAnsi="Arial" w:cs="Arial"/>
                <w:b/>
                <w:bCs/>
                <w:color w:val="000000"/>
                <w:sz w:val="18"/>
                <w:szCs w:val="18"/>
                <w:lang w:val="hr-HR"/>
              </w:rPr>
              <w:t>31,795,313</w:t>
            </w:r>
          </w:p>
        </w:tc>
        <w:tc>
          <w:tcPr>
            <w:tcW w:w="762" w:type="pct"/>
            <w:tcBorders>
              <w:top w:val="single" w:sz="12" w:space="0" w:color="auto"/>
              <w:bottom w:val="single" w:sz="12" w:space="0" w:color="auto"/>
            </w:tcBorders>
            <w:vAlign w:val="bottom"/>
          </w:tcPr>
          <w:p w14:paraId="3EBA38AD" w14:textId="77777777" w:rsidR="00587444" w:rsidRPr="00587444" w:rsidRDefault="00587444" w:rsidP="00587444">
            <w:pPr>
              <w:suppressAutoHyphens w:val="0"/>
              <w:autoSpaceDN/>
              <w:spacing w:line="280" w:lineRule="exact"/>
              <w:jc w:val="right"/>
              <w:rPr>
                <w:rFonts w:ascii="Arial" w:hAnsi="Arial" w:cs="Arial"/>
                <w:b/>
                <w:bCs/>
                <w:color w:val="000000"/>
                <w:sz w:val="18"/>
                <w:szCs w:val="18"/>
                <w:lang w:val="hr-HR"/>
              </w:rPr>
            </w:pPr>
            <w:r w:rsidRPr="00587444">
              <w:rPr>
                <w:rFonts w:ascii="Arial" w:hAnsi="Arial" w:cs="Arial"/>
                <w:b/>
                <w:bCs/>
                <w:color w:val="000000"/>
                <w:sz w:val="18"/>
                <w:szCs w:val="18"/>
                <w:lang w:val="hr-HR"/>
              </w:rPr>
              <w:t>31,626,565</w:t>
            </w:r>
          </w:p>
        </w:tc>
        <w:tc>
          <w:tcPr>
            <w:tcW w:w="762" w:type="pct"/>
            <w:tcBorders>
              <w:top w:val="single" w:sz="12" w:space="0" w:color="auto"/>
              <w:bottom w:val="single" w:sz="12" w:space="0" w:color="auto"/>
            </w:tcBorders>
            <w:vAlign w:val="bottom"/>
          </w:tcPr>
          <w:p w14:paraId="091D1B65" w14:textId="77777777" w:rsidR="00587444" w:rsidRPr="00587444" w:rsidRDefault="00587444" w:rsidP="00587444">
            <w:pPr>
              <w:suppressAutoHyphens w:val="0"/>
              <w:autoSpaceDN/>
              <w:spacing w:line="280" w:lineRule="exact"/>
              <w:jc w:val="right"/>
              <w:rPr>
                <w:rFonts w:ascii="Arial" w:hAnsi="Arial" w:cs="Arial"/>
                <w:b/>
                <w:bCs/>
                <w:color w:val="000000"/>
                <w:sz w:val="18"/>
                <w:szCs w:val="18"/>
                <w:lang w:val="hr-HR"/>
              </w:rPr>
            </w:pPr>
            <w:r w:rsidRPr="00587444">
              <w:rPr>
                <w:rFonts w:ascii="Arial" w:hAnsi="Arial" w:cs="Arial"/>
                <w:b/>
                <w:bCs/>
                <w:color w:val="000000"/>
                <w:sz w:val="18"/>
                <w:szCs w:val="18"/>
                <w:lang w:val="hr-HR"/>
              </w:rPr>
              <w:t>31,732,509</w:t>
            </w:r>
          </w:p>
        </w:tc>
      </w:tr>
    </w:tbl>
    <w:p w14:paraId="5E8F61DF" w14:textId="77777777" w:rsidR="00587444" w:rsidRPr="00587444" w:rsidRDefault="00587444" w:rsidP="00587444">
      <w:pPr>
        <w:suppressAutoHyphens w:val="0"/>
        <w:autoSpaceDN/>
        <w:spacing w:before="120" w:line="300" w:lineRule="exact"/>
        <w:jc w:val="both"/>
        <w:rPr>
          <w:rFonts w:ascii="Arial" w:hAnsi="Arial" w:cs="Arial"/>
          <w:b/>
          <w:sz w:val="20"/>
          <w:szCs w:val="20"/>
          <w:lang w:val="en-GB"/>
        </w:rPr>
        <w:sectPr w:rsidR="00587444" w:rsidRPr="00587444" w:rsidSect="00DD69E7">
          <w:pgSz w:w="11907" w:h="16840" w:code="9"/>
          <w:pgMar w:top="1418" w:right="1134" w:bottom="1134" w:left="1418" w:header="851" w:footer="851" w:gutter="0"/>
          <w:cols w:space="720"/>
          <w:noEndnote/>
        </w:sectPr>
      </w:pPr>
    </w:p>
    <w:p w14:paraId="3DAA8C1E" w14:textId="77777777" w:rsidR="00587444" w:rsidRPr="00587444" w:rsidRDefault="00587444" w:rsidP="00587444">
      <w:pPr>
        <w:suppressAutoHyphens w:val="0"/>
        <w:autoSpaceDN/>
        <w:jc w:val="both"/>
        <w:rPr>
          <w:rFonts w:ascii="Arial" w:hAnsi="Arial" w:cs="Arial"/>
          <w:b/>
          <w:sz w:val="20"/>
          <w:szCs w:val="20"/>
          <w:lang w:val="en-GB"/>
        </w:rPr>
      </w:pPr>
    </w:p>
    <w:p w14:paraId="52CE2826"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9E71E0F" w14:textId="77777777" w:rsidR="00587444" w:rsidRPr="00587444" w:rsidRDefault="00587444" w:rsidP="00587444">
      <w:pPr>
        <w:suppressAutoHyphens w:val="0"/>
        <w:autoSpaceDN/>
        <w:jc w:val="both"/>
        <w:rPr>
          <w:rFonts w:ascii="Arial" w:hAnsi="Arial" w:cs="Arial"/>
          <w:b/>
          <w:sz w:val="20"/>
          <w:szCs w:val="20"/>
          <w:lang w:val="en-GB"/>
        </w:rPr>
      </w:pPr>
    </w:p>
    <w:p w14:paraId="427900A3"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371A493A" w14:textId="77777777" w:rsidR="00587444" w:rsidRPr="00587444" w:rsidRDefault="00587444" w:rsidP="00587444">
      <w:pPr>
        <w:suppressAutoHyphens w:val="0"/>
        <w:autoSpaceDN/>
        <w:jc w:val="both"/>
        <w:rPr>
          <w:rFonts w:ascii="Arial" w:hAnsi="Arial" w:cs="Arial"/>
          <w:b/>
          <w:sz w:val="20"/>
          <w:szCs w:val="20"/>
          <w:lang w:val="en-GB"/>
        </w:rPr>
      </w:pPr>
    </w:p>
    <w:p w14:paraId="06781203"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4757ABB2" w14:textId="77777777" w:rsidR="00587444" w:rsidRPr="00587444" w:rsidRDefault="00587444" w:rsidP="00587444">
      <w:pPr>
        <w:keepNext/>
        <w:suppressAutoHyphens w:val="0"/>
        <w:autoSpaceDN/>
        <w:jc w:val="both"/>
        <w:rPr>
          <w:rFonts w:ascii="Arial" w:hAnsi="Arial" w:cs="Arial"/>
          <w:sz w:val="20"/>
          <w:szCs w:val="20"/>
          <w:lang w:val="en-GB"/>
        </w:rPr>
      </w:pPr>
    </w:p>
    <w:p w14:paraId="0962A4C2" w14:textId="77777777" w:rsidR="00587444" w:rsidRPr="00587444" w:rsidRDefault="00587444" w:rsidP="00587444">
      <w:pPr>
        <w:keepNext/>
        <w:suppressAutoHyphens w:val="0"/>
        <w:autoSpaceDN/>
        <w:jc w:val="both"/>
        <w:rPr>
          <w:rFonts w:ascii="Arial" w:hAnsi="Arial" w:cs="Arial"/>
          <w:bCs/>
          <w:sz w:val="20"/>
          <w:szCs w:val="20"/>
        </w:rPr>
      </w:pPr>
      <w:r w:rsidRPr="00587444">
        <w:rPr>
          <w:rFonts w:ascii="Arial" w:hAnsi="Arial" w:cs="Arial"/>
          <w:sz w:val="20"/>
          <w:szCs w:val="20"/>
          <w:lang w:val="en-GB"/>
        </w:rPr>
        <w:t xml:space="preserve">Concentration of assets and guarantees and commitments, </w:t>
      </w:r>
      <w:r w:rsidRPr="00587444">
        <w:rPr>
          <w:rFonts w:ascii="Arial" w:hAnsi="Arial" w:cs="Arial"/>
          <w:bCs/>
          <w:sz w:val="20"/>
          <w:szCs w:val="20"/>
          <w:lang w:val="en-GB"/>
        </w:rPr>
        <w:t>net exposure</w:t>
      </w:r>
      <w:r w:rsidRPr="00587444">
        <w:rPr>
          <w:rFonts w:ascii="Arial" w:hAnsi="Arial" w:cs="Arial"/>
          <w:b/>
          <w:bCs/>
          <w:sz w:val="20"/>
          <w:szCs w:val="20"/>
          <w:lang w:val="en-GB"/>
        </w:rPr>
        <w:t xml:space="preserve">, </w:t>
      </w:r>
      <w:r w:rsidRPr="00587444">
        <w:rPr>
          <w:rFonts w:ascii="Arial" w:hAnsi="Arial" w:cs="Arial"/>
          <w:sz w:val="20"/>
          <w:szCs w:val="20"/>
          <w:lang w:val="en-GB"/>
        </w:rPr>
        <w:t>according to geographical segments</w:t>
      </w:r>
      <w:r w:rsidRPr="00587444">
        <w:rPr>
          <w:rFonts w:ascii="Arial" w:hAnsi="Arial" w:cs="Arial"/>
          <w:sz w:val="20"/>
          <w:szCs w:val="20"/>
        </w:rPr>
        <w:t xml:space="preserve">, </w:t>
      </w:r>
      <w:r w:rsidRPr="00587444">
        <w:rPr>
          <w:rFonts w:ascii="Arial" w:hAnsi="Arial" w:cs="Arial"/>
          <w:bCs/>
          <w:sz w:val="20"/>
          <w:szCs w:val="20"/>
        </w:rPr>
        <w:t>before the effect of mitigation through collateral received, is as follows:</w:t>
      </w:r>
    </w:p>
    <w:p w14:paraId="285758D5" w14:textId="77777777" w:rsidR="00587444" w:rsidRPr="00587444" w:rsidRDefault="00587444" w:rsidP="00587444">
      <w:pPr>
        <w:keepNext/>
        <w:suppressAutoHyphens w:val="0"/>
        <w:autoSpaceDN/>
        <w:jc w:val="both"/>
        <w:rPr>
          <w:rFonts w:ascii="Arial" w:hAnsi="Arial" w:cs="Arial"/>
          <w:bCs/>
          <w:sz w:val="20"/>
          <w:szCs w:val="20"/>
        </w:rPr>
      </w:pPr>
    </w:p>
    <w:tbl>
      <w:tblPr>
        <w:tblW w:w="5025" w:type="pct"/>
        <w:tblLayout w:type="fixed"/>
        <w:tblCellMar>
          <w:left w:w="30" w:type="dxa"/>
          <w:right w:w="30" w:type="dxa"/>
        </w:tblCellMar>
        <w:tblLook w:val="0000" w:firstRow="0" w:lastRow="0" w:firstColumn="0" w:lastColumn="0" w:noHBand="0" w:noVBand="0"/>
      </w:tblPr>
      <w:tblGrid>
        <w:gridCol w:w="3730"/>
        <w:gridCol w:w="1433"/>
        <w:gridCol w:w="1433"/>
        <w:gridCol w:w="1433"/>
        <w:gridCol w:w="1433"/>
      </w:tblGrid>
      <w:tr w:rsidR="00587444" w:rsidRPr="00587444" w14:paraId="5BB794D2" w14:textId="77777777" w:rsidTr="00DD69E7">
        <w:trPr>
          <w:cantSplit/>
          <w:trHeight w:val="877"/>
          <w:tblHeader/>
        </w:trPr>
        <w:tc>
          <w:tcPr>
            <w:tcW w:w="1971" w:type="pct"/>
            <w:vAlign w:val="center"/>
          </w:tcPr>
          <w:p w14:paraId="39F79941" w14:textId="77777777" w:rsidR="00587444" w:rsidRPr="00587444" w:rsidRDefault="00587444" w:rsidP="00587444">
            <w:pPr>
              <w:tabs>
                <w:tab w:val="right" w:pos="1202"/>
              </w:tabs>
              <w:suppressAutoHyphens w:val="0"/>
              <w:autoSpaceDN/>
              <w:spacing w:line="240" w:lineRule="atLeast"/>
              <w:outlineLvl w:val="0"/>
              <w:rPr>
                <w:rFonts w:ascii="Arial" w:eastAsia="Calibri" w:hAnsi="Arial" w:cs="Arial"/>
                <w:b/>
                <w:sz w:val="18"/>
                <w:szCs w:val="18"/>
              </w:rPr>
            </w:pPr>
            <w:bookmarkStart w:id="1070" w:name="_Toc4060514"/>
            <w:bookmarkStart w:id="1071" w:name="_Hlk124149078"/>
            <w:r w:rsidRPr="00587444">
              <w:rPr>
                <w:rFonts w:ascii="Arial" w:eastAsia="Calibri" w:hAnsi="Arial" w:cs="Arial"/>
                <w:b/>
                <w:sz w:val="18"/>
                <w:szCs w:val="18"/>
              </w:rPr>
              <w:t>Group</w:t>
            </w:r>
            <w:bookmarkEnd w:id="1070"/>
          </w:p>
          <w:p w14:paraId="6ABF1D17" w14:textId="77777777" w:rsidR="00587444" w:rsidRPr="00587444" w:rsidRDefault="00587444" w:rsidP="00587444">
            <w:pPr>
              <w:tabs>
                <w:tab w:val="right" w:pos="1202"/>
              </w:tabs>
              <w:suppressAutoHyphens w:val="0"/>
              <w:autoSpaceDN/>
              <w:spacing w:line="240" w:lineRule="atLeast"/>
              <w:outlineLvl w:val="0"/>
              <w:rPr>
                <w:rFonts w:ascii="Arial" w:eastAsia="Calibri" w:hAnsi="Arial" w:cs="Arial"/>
                <w:b/>
                <w:sz w:val="18"/>
                <w:szCs w:val="18"/>
              </w:rPr>
            </w:pPr>
          </w:p>
          <w:p w14:paraId="40CBEA53" w14:textId="77777777" w:rsidR="00587444" w:rsidRPr="00587444" w:rsidRDefault="00587444" w:rsidP="00587444">
            <w:pPr>
              <w:tabs>
                <w:tab w:val="right" w:pos="1202"/>
              </w:tabs>
              <w:suppressAutoHyphens w:val="0"/>
              <w:autoSpaceDN/>
              <w:spacing w:line="240" w:lineRule="atLeast"/>
              <w:outlineLvl w:val="0"/>
              <w:rPr>
                <w:rFonts w:ascii="Arial" w:eastAsia="Calibri" w:hAnsi="Arial" w:cs="Arial"/>
                <w:b/>
                <w:sz w:val="18"/>
                <w:szCs w:val="18"/>
              </w:rPr>
            </w:pPr>
            <w:bookmarkStart w:id="1072" w:name="_Toc4060515"/>
            <w:r w:rsidRPr="00587444">
              <w:rPr>
                <w:rFonts w:ascii="Arial" w:eastAsia="Calibri" w:hAnsi="Arial" w:cs="Arial"/>
                <w:b/>
                <w:sz w:val="18"/>
                <w:szCs w:val="18"/>
              </w:rPr>
              <w:t xml:space="preserve">31 December </w:t>
            </w:r>
            <w:bookmarkEnd w:id="1072"/>
            <w:r w:rsidRPr="00587444">
              <w:rPr>
                <w:rFonts w:ascii="Arial" w:eastAsia="Calibri" w:hAnsi="Arial" w:cs="Arial"/>
                <w:b/>
                <w:sz w:val="18"/>
                <w:szCs w:val="18"/>
              </w:rPr>
              <w:t>2022</w:t>
            </w:r>
          </w:p>
        </w:tc>
        <w:tc>
          <w:tcPr>
            <w:tcW w:w="757" w:type="pct"/>
            <w:vAlign w:val="center"/>
          </w:tcPr>
          <w:p w14:paraId="69E94C5D"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1073" w:name="_Toc4060516"/>
            <w:r w:rsidRPr="00587444">
              <w:rPr>
                <w:rFonts w:ascii="Arial" w:eastAsia="Calibri" w:hAnsi="Arial" w:cs="Arial"/>
                <w:b/>
                <w:sz w:val="18"/>
                <w:szCs w:val="18"/>
              </w:rPr>
              <w:t>Republic of Croatia</w:t>
            </w:r>
            <w:bookmarkEnd w:id="1073"/>
          </w:p>
        </w:tc>
        <w:tc>
          <w:tcPr>
            <w:tcW w:w="757" w:type="pct"/>
            <w:vAlign w:val="center"/>
          </w:tcPr>
          <w:p w14:paraId="3623804D"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1074" w:name="_Toc4060517"/>
            <w:r w:rsidRPr="00587444">
              <w:rPr>
                <w:rFonts w:ascii="Arial" w:eastAsia="Calibri" w:hAnsi="Arial" w:cs="Arial"/>
                <w:b/>
                <w:sz w:val="18"/>
                <w:szCs w:val="18"/>
              </w:rPr>
              <w:t>EU</w:t>
            </w:r>
            <w:bookmarkEnd w:id="1074"/>
          </w:p>
          <w:p w14:paraId="0AFDCEC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 </w:t>
            </w:r>
            <w:bookmarkStart w:id="1075" w:name="_Toc4060518"/>
            <w:r w:rsidRPr="00587444">
              <w:rPr>
                <w:rFonts w:ascii="Arial" w:eastAsia="Calibri" w:hAnsi="Arial" w:cs="Arial"/>
                <w:b/>
                <w:sz w:val="18"/>
                <w:szCs w:val="18"/>
              </w:rPr>
              <w:t>countries</w:t>
            </w:r>
            <w:bookmarkEnd w:id="1075"/>
          </w:p>
        </w:tc>
        <w:tc>
          <w:tcPr>
            <w:tcW w:w="757" w:type="pct"/>
            <w:vAlign w:val="center"/>
          </w:tcPr>
          <w:p w14:paraId="45F1B893"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1076" w:name="_Toc4060519"/>
            <w:r w:rsidRPr="00587444">
              <w:rPr>
                <w:rFonts w:ascii="Arial" w:eastAsia="Calibri" w:hAnsi="Arial" w:cs="Arial"/>
                <w:b/>
                <w:sz w:val="18"/>
                <w:szCs w:val="18"/>
              </w:rPr>
              <w:t>Other</w:t>
            </w:r>
            <w:bookmarkEnd w:id="1076"/>
            <w:r w:rsidRPr="00587444">
              <w:rPr>
                <w:rFonts w:ascii="Arial" w:eastAsia="Calibri" w:hAnsi="Arial" w:cs="Arial"/>
                <w:b/>
                <w:sz w:val="18"/>
                <w:szCs w:val="18"/>
              </w:rPr>
              <w:t xml:space="preserve"> </w:t>
            </w:r>
          </w:p>
          <w:p w14:paraId="6542BFE8"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1077" w:name="_Toc4060520"/>
            <w:r w:rsidRPr="00587444">
              <w:rPr>
                <w:rFonts w:ascii="Arial" w:eastAsia="Calibri" w:hAnsi="Arial" w:cs="Arial"/>
                <w:b/>
                <w:sz w:val="18"/>
                <w:szCs w:val="18"/>
              </w:rPr>
              <w:t>countries</w:t>
            </w:r>
            <w:bookmarkEnd w:id="1077"/>
            <w:r w:rsidRPr="00587444">
              <w:rPr>
                <w:rFonts w:ascii="Arial" w:eastAsia="Calibri" w:hAnsi="Arial" w:cs="Arial"/>
                <w:b/>
                <w:sz w:val="18"/>
                <w:szCs w:val="18"/>
              </w:rPr>
              <w:t xml:space="preserve"> </w:t>
            </w:r>
          </w:p>
        </w:tc>
        <w:tc>
          <w:tcPr>
            <w:tcW w:w="757" w:type="pct"/>
            <w:vAlign w:val="center"/>
          </w:tcPr>
          <w:p w14:paraId="4CC925AF"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1078" w:name="_Toc4060521"/>
            <w:r w:rsidRPr="00587444">
              <w:rPr>
                <w:rFonts w:ascii="Arial" w:eastAsia="Calibri" w:hAnsi="Arial" w:cs="Arial"/>
                <w:b/>
                <w:sz w:val="18"/>
                <w:szCs w:val="18"/>
              </w:rPr>
              <w:t>Total</w:t>
            </w:r>
            <w:bookmarkEnd w:id="1078"/>
          </w:p>
        </w:tc>
      </w:tr>
      <w:tr w:rsidR="00587444" w:rsidRPr="00587444" w14:paraId="4A2D382A" w14:textId="77777777" w:rsidTr="00DD69E7">
        <w:trPr>
          <w:cantSplit/>
          <w:trHeight w:hRule="exact" w:val="247"/>
          <w:tblHeader/>
        </w:trPr>
        <w:tc>
          <w:tcPr>
            <w:tcW w:w="1971" w:type="pct"/>
          </w:tcPr>
          <w:p w14:paraId="2CD52BDC" w14:textId="77777777" w:rsidR="00587444" w:rsidRPr="00587444" w:rsidRDefault="00587444" w:rsidP="00587444">
            <w:pPr>
              <w:tabs>
                <w:tab w:val="right" w:pos="1202"/>
              </w:tabs>
              <w:suppressAutoHyphens w:val="0"/>
              <w:autoSpaceDN/>
              <w:spacing w:line="240" w:lineRule="atLeast"/>
              <w:outlineLvl w:val="0"/>
              <w:rPr>
                <w:rFonts w:ascii="Arial" w:eastAsia="Calibri" w:hAnsi="Arial" w:cs="Arial"/>
                <w:b/>
                <w:sz w:val="18"/>
                <w:szCs w:val="18"/>
              </w:rPr>
            </w:pPr>
          </w:p>
        </w:tc>
        <w:tc>
          <w:tcPr>
            <w:tcW w:w="757" w:type="pct"/>
          </w:tcPr>
          <w:p w14:paraId="09005C29"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1079" w:name="_Toc4060522"/>
            <w:r w:rsidRPr="00587444">
              <w:rPr>
                <w:rFonts w:ascii="Arial" w:hAnsi="Arial" w:cs="Arial"/>
                <w:b/>
                <w:sz w:val="18"/>
                <w:szCs w:val="18"/>
              </w:rPr>
              <w:t>HRK ‘000</w:t>
            </w:r>
            <w:bookmarkEnd w:id="1079"/>
          </w:p>
        </w:tc>
        <w:tc>
          <w:tcPr>
            <w:tcW w:w="757" w:type="pct"/>
          </w:tcPr>
          <w:p w14:paraId="6DDC3E1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1080" w:name="_Toc4060523"/>
            <w:r w:rsidRPr="00587444">
              <w:rPr>
                <w:rFonts w:ascii="Arial" w:hAnsi="Arial" w:cs="Arial"/>
                <w:b/>
                <w:bCs/>
                <w:sz w:val="18"/>
                <w:szCs w:val="18"/>
              </w:rPr>
              <w:t>HRK ‘000</w:t>
            </w:r>
            <w:bookmarkEnd w:id="1080"/>
          </w:p>
        </w:tc>
        <w:tc>
          <w:tcPr>
            <w:tcW w:w="757" w:type="pct"/>
          </w:tcPr>
          <w:p w14:paraId="35464D0C"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1081" w:name="_Toc4060524"/>
            <w:r w:rsidRPr="00587444">
              <w:rPr>
                <w:rFonts w:ascii="Arial" w:hAnsi="Arial" w:cs="Arial"/>
                <w:b/>
                <w:sz w:val="18"/>
                <w:szCs w:val="18"/>
              </w:rPr>
              <w:t>HRK ‘000</w:t>
            </w:r>
            <w:bookmarkEnd w:id="1081"/>
          </w:p>
        </w:tc>
        <w:tc>
          <w:tcPr>
            <w:tcW w:w="757" w:type="pct"/>
          </w:tcPr>
          <w:p w14:paraId="65069FCC"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1082" w:name="_Toc4060525"/>
            <w:r w:rsidRPr="00587444">
              <w:rPr>
                <w:rFonts w:ascii="Arial" w:hAnsi="Arial" w:cs="Arial"/>
                <w:b/>
                <w:bCs/>
                <w:sz w:val="18"/>
                <w:szCs w:val="18"/>
              </w:rPr>
              <w:t>HRK ‘000</w:t>
            </w:r>
            <w:bookmarkEnd w:id="1082"/>
          </w:p>
        </w:tc>
      </w:tr>
      <w:tr w:rsidR="00587444" w:rsidRPr="00587444" w14:paraId="4B9960F9" w14:textId="77777777" w:rsidTr="00DD69E7">
        <w:trPr>
          <w:cantSplit/>
          <w:trHeight w:val="273"/>
          <w:tblHeader/>
        </w:trPr>
        <w:tc>
          <w:tcPr>
            <w:tcW w:w="1971" w:type="pct"/>
          </w:tcPr>
          <w:p w14:paraId="43D0820B"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b/>
                <w:bCs/>
                <w:sz w:val="18"/>
                <w:szCs w:val="18"/>
              </w:rPr>
            </w:pPr>
            <w:bookmarkStart w:id="1083" w:name="_Toc4060526"/>
            <w:r w:rsidRPr="00587444">
              <w:rPr>
                <w:rFonts w:ascii="Arial" w:eastAsia="Calibri" w:hAnsi="Arial" w:cs="Arial"/>
                <w:b/>
                <w:bCs/>
                <w:sz w:val="18"/>
                <w:szCs w:val="18"/>
              </w:rPr>
              <w:t>Assets</w:t>
            </w:r>
            <w:bookmarkEnd w:id="1083"/>
          </w:p>
        </w:tc>
        <w:tc>
          <w:tcPr>
            <w:tcW w:w="757" w:type="pct"/>
          </w:tcPr>
          <w:p w14:paraId="3119B138" w14:textId="77777777" w:rsidR="00587444" w:rsidRPr="00587444" w:rsidRDefault="00587444" w:rsidP="00587444">
            <w:pPr>
              <w:suppressAutoHyphens w:val="0"/>
              <w:autoSpaceDN/>
              <w:spacing w:line="280" w:lineRule="exact"/>
              <w:jc w:val="right"/>
              <w:rPr>
                <w:rFonts w:ascii="Arial" w:eastAsia="Calibri" w:hAnsi="Arial" w:cs="Arial"/>
                <w:sz w:val="18"/>
                <w:szCs w:val="18"/>
              </w:rPr>
            </w:pPr>
          </w:p>
        </w:tc>
        <w:tc>
          <w:tcPr>
            <w:tcW w:w="757" w:type="pct"/>
          </w:tcPr>
          <w:p w14:paraId="41B08749" w14:textId="77777777" w:rsidR="00587444" w:rsidRPr="00587444" w:rsidRDefault="00587444" w:rsidP="00587444">
            <w:pPr>
              <w:suppressAutoHyphens w:val="0"/>
              <w:autoSpaceDN/>
              <w:spacing w:line="280" w:lineRule="exact"/>
              <w:jc w:val="right"/>
              <w:rPr>
                <w:rFonts w:ascii="Arial" w:eastAsia="Calibri" w:hAnsi="Arial" w:cs="Arial"/>
                <w:sz w:val="18"/>
                <w:szCs w:val="18"/>
              </w:rPr>
            </w:pPr>
          </w:p>
        </w:tc>
        <w:tc>
          <w:tcPr>
            <w:tcW w:w="757" w:type="pct"/>
          </w:tcPr>
          <w:p w14:paraId="2C42E279" w14:textId="77777777" w:rsidR="00587444" w:rsidRPr="00587444" w:rsidRDefault="00587444" w:rsidP="00587444">
            <w:pPr>
              <w:suppressAutoHyphens w:val="0"/>
              <w:autoSpaceDN/>
              <w:spacing w:line="280" w:lineRule="exact"/>
              <w:jc w:val="right"/>
              <w:rPr>
                <w:rFonts w:ascii="Arial" w:eastAsia="Calibri" w:hAnsi="Arial" w:cs="Arial"/>
                <w:sz w:val="18"/>
                <w:szCs w:val="18"/>
              </w:rPr>
            </w:pPr>
          </w:p>
        </w:tc>
        <w:tc>
          <w:tcPr>
            <w:tcW w:w="757" w:type="pct"/>
          </w:tcPr>
          <w:p w14:paraId="1CF70577" w14:textId="77777777" w:rsidR="00587444" w:rsidRPr="00587444" w:rsidRDefault="00587444" w:rsidP="00587444">
            <w:pPr>
              <w:suppressAutoHyphens w:val="0"/>
              <w:autoSpaceDN/>
              <w:spacing w:line="280" w:lineRule="exact"/>
              <w:jc w:val="center"/>
              <w:rPr>
                <w:rFonts w:ascii="Arial" w:eastAsia="Calibri" w:hAnsi="Arial" w:cs="Arial"/>
                <w:sz w:val="18"/>
                <w:szCs w:val="18"/>
              </w:rPr>
            </w:pPr>
          </w:p>
        </w:tc>
      </w:tr>
      <w:tr w:rsidR="00587444" w:rsidRPr="00587444" w14:paraId="2095A9E8" w14:textId="77777777" w:rsidTr="00DD69E7">
        <w:trPr>
          <w:cantSplit/>
          <w:trHeight w:val="273"/>
          <w:tblHeader/>
        </w:trPr>
        <w:tc>
          <w:tcPr>
            <w:tcW w:w="1971" w:type="pct"/>
            <w:vAlign w:val="bottom"/>
          </w:tcPr>
          <w:p w14:paraId="562A19E1"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sz w:val="18"/>
                <w:szCs w:val="18"/>
              </w:rPr>
            </w:pPr>
            <w:bookmarkStart w:id="1084" w:name="_Toc4060527"/>
            <w:r w:rsidRPr="00587444">
              <w:rPr>
                <w:rFonts w:ascii="Arial" w:eastAsia="Calibri" w:hAnsi="Arial" w:cs="Arial"/>
                <w:sz w:val="18"/>
                <w:szCs w:val="18"/>
              </w:rPr>
              <w:t>Cash on hand and current accounts with banks</w:t>
            </w:r>
            <w:bookmarkEnd w:id="1084"/>
          </w:p>
        </w:tc>
        <w:tc>
          <w:tcPr>
            <w:tcW w:w="757" w:type="pct"/>
            <w:tcBorders>
              <w:top w:val="nil"/>
              <w:left w:val="nil"/>
              <w:bottom w:val="nil"/>
              <w:right w:val="nil"/>
            </w:tcBorders>
            <w:shd w:val="clear" w:color="auto" w:fill="auto"/>
            <w:vAlign w:val="bottom"/>
          </w:tcPr>
          <w:p w14:paraId="282FBC62"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1,621,810</w:t>
            </w:r>
          </w:p>
        </w:tc>
        <w:tc>
          <w:tcPr>
            <w:tcW w:w="757" w:type="pct"/>
            <w:tcBorders>
              <w:top w:val="nil"/>
              <w:left w:val="nil"/>
              <w:bottom w:val="nil"/>
              <w:right w:val="nil"/>
            </w:tcBorders>
            <w:shd w:val="clear" w:color="auto" w:fill="auto"/>
            <w:vAlign w:val="bottom"/>
          </w:tcPr>
          <w:p w14:paraId="4A5AC7CE"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sz w:val="18"/>
                <w:szCs w:val="18"/>
              </w:rPr>
            </w:pPr>
            <w:r w:rsidRPr="00587444">
              <w:rPr>
                <w:rFonts w:ascii="Arial" w:hAnsi="Arial" w:cs="Arial"/>
                <w:sz w:val="18"/>
                <w:szCs w:val="18"/>
              </w:rPr>
              <w:t xml:space="preserve"> 85,475 </w:t>
            </w:r>
          </w:p>
        </w:tc>
        <w:tc>
          <w:tcPr>
            <w:tcW w:w="757" w:type="pct"/>
            <w:tcBorders>
              <w:top w:val="nil"/>
              <w:left w:val="nil"/>
              <w:bottom w:val="nil"/>
              <w:right w:val="nil"/>
            </w:tcBorders>
            <w:shd w:val="clear" w:color="auto" w:fill="auto"/>
            <w:vAlign w:val="bottom"/>
          </w:tcPr>
          <w:p w14:paraId="17AFF943"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sz w:val="18"/>
                <w:szCs w:val="18"/>
              </w:rPr>
            </w:pPr>
            <w:r w:rsidRPr="00587444">
              <w:rPr>
                <w:rFonts w:ascii="Arial" w:hAnsi="Arial" w:cs="Arial"/>
                <w:sz w:val="18"/>
                <w:szCs w:val="18"/>
              </w:rPr>
              <w:t xml:space="preserve"> 14,634 </w:t>
            </w:r>
          </w:p>
        </w:tc>
        <w:tc>
          <w:tcPr>
            <w:tcW w:w="757" w:type="pct"/>
            <w:tcBorders>
              <w:top w:val="nil"/>
              <w:left w:val="nil"/>
              <w:bottom w:val="nil"/>
              <w:right w:val="nil"/>
            </w:tcBorders>
            <w:shd w:val="clear" w:color="auto" w:fill="auto"/>
            <w:vAlign w:val="bottom"/>
          </w:tcPr>
          <w:p w14:paraId="54FA477F"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sz w:val="18"/>
                <w:szCs w:val="18"/>
              </w:rPr>
            </w:pPr>
            <w:r w:rsidRPr="00587444">
              <w:rPr>
                <w:rFonts w:ascii="Arial" w:hAnsi="Arial" w:cs="Arial"/>
                <w:sz w:val="18"/>
                <w:szCs w:val="18"/>
              </w:rPr>
              <w:t>1,721,919</w:t>
            </w:r>
          </w:p>
        </w:tc>
      </w:tr>
      <w:tr w:rsidR="00587444" w:rsidRPr="00587444" w14:paraId="568B4667" w14:textId="77777777" w:rsidTr="00DD69E7">
        <w:trPr>
          <w:cantSplit/>
          <w:trHeight w:val="273"/>
          <w:tblHeader/>
        </w:trPr>
        <w:tc>
          <w:tcPr>
            <w:tcW w:w="1971" w:type="pct"/>
            <w:vAlign w:val="bottom"/>
          </w:tcPr>
          <w:p w14:paraId="28A3E9CC"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sz w:val="18"/>
                <w:szCs w:val="18"/>
              </w:rPr>
            </w:pPr>
            <w:bookmarkStart w:id="1085" w:name="_Toc4060531"/>
            <w:r w:rsidRPr="00587444">
              <w:rPr>
                <w:rFonts w:ascii="Arial" w:eastAsia="Calibri" w:hAnsi="Arial" w:cs="Arial"/>
                <w:sz w:val="18"/>
                <w:szCs w:val="18"/>
              </w:rPr>
              <w:t>Deposits with other banks</w:t>
            </w:r>
            <w:bookmarkEnd w:id="1085"/>
          </w:p>
        </w:tc>
        <w:tc>
          <w:tcPr>
            <w:tcW w:w="757" w:type="pct"/>
            <w:tcBorders>
              <w:top w:val="nil"/>
              <w:left w:val="nil"/>
              <w:bottom w:val="nil"/>
              <w:right w:val="nil"/>
            </w:tcBorders>
            <w:shd w:val="clear" w:color="auto" w:fill="auto"/>
            <w:vAlign w:val="bottom"/>
          </w:tcPr>
          <w:p w14:paraId="334CF9A6"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22,584</w:t>
            </w:r>
          </w:p>
        </w:tc>
        <w:tc>
          <w:tcPr>
            <w:tcW w:w="757" w:type="pct"/>
            <w:tcBorders>
              <w:top w:val="nil"/>
              <w:left w:val="nil"/>
              <w:bottom w:val="nil"/>
              <w:right w:val="nil"/>
            </w:tcBorders>
            <w:shd w:val="clear" w:color="auto" w:fill="auto"/>
            <w:vAlign w:val="bottom"/>
          </w:tcPr>
          <w:p w14:paraId="2B12142C"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 xml:space="preserve"> 10,596 </w:t>
            </w:r>
          </w:p>
        </w:tc>
        <w:tc>
          <w:tcPr>
            <w:tcW w:w="757" w:type="pct"/>
            <w:tcBorders>
              <w:top w:val="nil"/>
              <w:left w:val="nil"/>
              <w:bottom w:val="nil"/>
              <w:right w:val="nil"/>
            </w:tcBorders>
            <w:shd w:val="clear" w:color="auto" w:fill="auto"/>
            <w:vAlign w:val="bottom"/>
          </w:tcPr>
          <w:p w14:paraId="6F9C9EAB"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w:t>
            </w:r>
          </w:p>
        </w:tc>
        <w:tc>
          <w:tcPr>
            <w:tcW w:w="757" w:type="pct"/>
            <w:tcBorders>
              <w:top w:val="nil"/>
              <w:left w:val="nil"/>
              <w:bottom w:val="nil"/>
              <w:right w:val="nil"/>
            </w:tcBorders>
            <w:shd w:val="clear" w:color="auto" w:fill="auto"/>
            <w:vAlign w:val="bottom"/>
          </w:tcPr>
          <w:p w14:paraId="667FF949"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33,180</w:t>
            </w:r>
          </w:p>
        </w:tc>
      </w:tr>
      <w:tr w:rsidR="00587444" w:rsidRPr="00587444" w14:paraId="2F5186C0" w14:textId="77777777" w:rsidTr="00DD69E7">
        <w:trPr>
          <w:cantSplit/>
          <w:trHeight w:val="273"/>
          <w:tblHeader/>
        </w:trPr>
        <w:tc>
          <w:tcPr>
            <w:tcW w:w="1971" w:type="pct"/>
            <w:vAlign w:val="bottom"/>
          </w:tcPr>
          <w:p w14:paraId="3818B1F0"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sz w:val="18"/>
                <w:szCs w:val="18"/>
              </w:rPr>
            </w:pPr>
            <w:bookmarkStart w:id="1086" w:name="_Toc4060536"/>
            <w:r w:rsidRPr="00587444">
              <w:rPr>
                <w:rFonts w:ascii="Arial" w:eastAsia="Calibri" w:hAnsi="Arial" w:cs="Arial"/>
                <w:sz w:val="18"/>
                <w:szCs w:val="18"/>
              </w:rPr>
              <w:t>Loans to financial institutions</w:t>
            </w:r>
            <w:bookmarkEnd w:id="1086"/>
          </w:p>
        </w:tc>
        <w:tc>
          <w:tcPr>
            <w:tcW w:w="757" w:type="pct"/>
            <w:tcBorders>
              <w:top w:val="nil"/>
              <w:left w:val="nil"/>
              <w:bottom w:val="nil"/>
              <w:right w:val="nil"/>
            </w:tcBorders>
            <w:shd w:val="clear" w:color="auto" w:fill="auto"/>
            <w:vAlign w:val="bottom"/>
          </w:tcPr>
          <w:p w14:paraId="266F19D5"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 xml:space="preserve"> 6,984,712 </w:t>
            </w:r>
          </w:p>
        </w:tc>
        <w:tc>
          <w:tcPr>
            <w:tcW w:w="757" w:type="pct"/>
            <w:tcBorders>
              <w:top w:val="nil"/>
              <w:left w:val="nil"/>
              <w:bottom w:val="nil"/>
              <w:right w:val="nil"/>
            </w:tcBorders>
            <w:shd w:val="clear" w:color="auto" w:fill="auto"/>
            <w:vAlign w:val="bottom"/>
          </w:tcPr>
          <w:p w14:paraId="0F3ECB76"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 xml:space="preserve"> -   </w:t>
            </w:r>
          </w:p>
        </w:tc>
        <w:tc>
          <w:tcPr>
            <w:tcW w:w="757" w:type="pct"/>
            <w:tcBorders>
              <w:top w:val="nil"/>
              <w:left w:val="nil"/>
              <w:bottom w:val="nil"/>
              <w:right w:val="nil"/>
            </w:tcBorders>
            <w:shd w:val="clear" w:color="auto" w:fill="auto"/>
            <w:vAlign w:val="bottom"/>
          </w:tcPr>
          <w:p w14:paraId="7710217D"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 xml:space="preserve"> -   </w:t>
            </w:r>
          </w:p>
        </w:tc>
        <w:tc>
          <w:tcPr>
            <w:tcW w:w="757" w:type="pct"/>
            <w:tcBorders>
              <w:top w:val="nil"/>
              <w:left w:val="nil"/>
              <w:bottom w:val="nil"/>
              <w:right w:val="nil"/>
            </w:tcBorders>
            <w:shd w:val="clear" w:color="auto" w:fill="auto"/>
            <w:vAlign w:val="bottom"/>
          </w:tcPr>
          <w:p w14:paraId="40E1BE62"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 xml:space="preserve"> 6,984,712 </w:t>
            </w:r>
          </w:p>
        </w:tc>
      </w:tr>
      <w:tr w:rsidR="00587444" w:rsidRPr="00587444" w14:paraId="5BA3DF5E" w14:textId="77777777" w:rsidTr="00DD69E7">
        <w:trPr>
          <w:cantSplit/>
          <w:trHeight w:val="273"/>
          <w:tblHeader/>
        </w:trPr>
        <w:tc>
          <w:tcPr>
            <w:tcW w:w="1971" w:type="pct"/>
            <w:vAlign w:val="bottom"/>
          </w:tcPr>
          <w:p w14:paraId="65AB42B9"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sz w:val="18"/>
                <w:szCs w:val="18"/>
              </w:rPr>
            </w:pPr>
            <w:bookmarkStart w:id="1087" w:name="_Toc4060541"/>
            <w:r w:rsidRPr="00587444">
              <w:rPr>
                <w:rFonts w:ascii="Arial" w:eastAsia="Calibri" w:hAnsi="Arial" w:cs="Arial"/>
                <w:sz w:val="18"/>
                <w:szCs w:val="18"/>
              </w:rPr>
              <w:t>Loans to other customers</w:t>
            </w:r>
            <w:bookmarkEnd w:id="1087"/>
          </w:p>
        </w:tc>
        <w:tc>
          <w:tcPr>
            <w:tcW w:w="757" w:type="pct"/>
            <w:tcBorders>
              <w:top w:val="nil"/>
              <w:left w:val="nil"/>
              <w:bottom w:val="nil"/>
              <w:right w:val="nil"/>
            </w:tcBorders>
            <w:shd w:val="clear" w:color="auto" w:fill="auto"/>
            <w:vAlign w:val="bottom"/>
          </w:tcPr>
          <w:p w14:paraId="762B9E47"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 xml:space="preserve"> 17,317,730 </w:t>
            </w:r>
          </w:p>
        </w:tc>
        <w:tc>
          <w:tcPr>
            <w:tcW w:w="757" w:type="pct"/>
            <w:tcBorders>
              <w:top w:val="nil"/>
              <w:left w:val="nil"/>
              <w:bottom w:val="nil"/>
              <w:right w:val="nil"/>
            </w:tcBorders>
            <w:shd w:val="clear" w:color="auto" w:fill="auto"/>
            <w:vAlign w:val="bottom"/>
          </w:tcPr>
          <w:p w14:paraId="0263F94A"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 xml:space="preserve"> -   </w:t>
            </w:r>
          </w:p>
        </w:tc>
        <w:tc>
          <w:tcPr>
            <w:tcW w:w="757" w:type="pct"/>
            <w:tcBorders>
              <w:top w:val="nil"/>
              <w:left w:val="nil"/>
              <w:bottom w:val="nil"/>
              <w:right w:val="nil"/>
            </w:tcBorders>
            <w:shd w:val="clear" w:color="auto" w:fill="auto"/>
            <w:vAlign w:val="bottom"/>
          </w:tcPr>
          <w:p w14:paraId="505F4A26"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 xml:space="preserve"> 84,936 </w:t>
            </w:r>
          </w:p>
        </w:tc>
        <w:tc>
          <w:tcPr>
            <w:tcW w:w="757" w:type="pct"/>
            <w:tcBorders>
              <w:top w:val="nil"/>
              <w:left w:val="nil"/>
              <w:bottom w:val="nil"/>
              <w:right w:val="nil"/>
            </w:tcBorders>
            <w:shd w:val="clear" w:color="auto" w:fill="auto"/>
            <w:vAlign w:val="bottom"/>
          </w:tcPr>
          <w:p w14:paraId="72AC6B78"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 xml:space="preserve"> 17,402,666 </w:t>
            </w:r>
          </w:p>
        </w:tc>
      </w:tr>
      <w:tr w:rsidR="00587444" w:rsidRPr="00587444" w14:paraId="5086EF97" w14:textId="77777777" w:rsidTr="00DD69E7">
        <w:trPr>
          <w:cantSplit/>
          <w:trHeight w:val="273"/>
          <w:tblHeader/>
        </w:trPr>
        <w:tc>
          <w:tcPr>
            <w:tcW w:w="1971" w:type="pct"/>
          </w:tcPr>
          <w:p w14:paraId="38BCEDE5"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sz w:val="18"/>
                <w:szCs w:val="18"/>
              </w:rPr>
            </w:pPr>
            <w:bookmarkStart w:id="1088" w:name="_Toc4060546"/>
            <w:r w:rsidRPr="00587444">
              <w:rPr>
                <w:rFonts w:ascii="Arial" w:eastAsia="Calibri" w:hAnsi="Arial" w:cs="Arial"/>
                <w:sz w:val="18"/>
                <w:szCs w:val="18"/>
              </w:rPr>
              <w:t>Financial assets at fair value through profit or loss</w:t>
            </w:r>
            <w:bookmarkEnd w:id="1088"/>
          </w:p>
        </w:tc>
        <w:tc>
          <w:tcPr>
            <w:tcW w:w="757" w:type="pct"/>
            <w:tcBorders>
              <w:top w:val="nil"/>
              <w:left w:val="nil"/>
              <w:bottom w:val="nil"/>
              <w:right w:val="nil"/>
            </w:tcBorders>
            <w:shd w:val="clear" w:color="auto" w:fill="auto"/>
            <w:vAlign w:val="bottom"/>
          </w:tcPr>
          <w:p w14:paraId="42FF2E60"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23,870</w:t>
            </w:r>
          </w:p>
        </w:tc>
        <w:tc>
          <w:tcPr>
            <w:tcW w:w="757" w:type="pct"/>
            <w:tcBorders>
              <w:top w:val="nil"/>
              <w:left w:val="nil"/>
              <w:bottom w:val="nil"/>
              <w:right w:val="nil"/>
            </w:tcBorders>
            <w:shd w:val="clear" w:color="auto" w:fill="auto"/>
            <w:vAlign w:val="bottom"/>
          </w:tcPr>
          <w:p w14:paraId="52A2FDF4"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w:t>
            </w:r>
          </w:p>
        </w:tc>
        <w:tc>
          <w:tcPr>
            <w:tcW w:w="757" w:type="pct"/>
            <w:tcBorders>
              <w:top w:val="nil"/>
              <w:left w:val="nil"/>
              <w:bottom w:val="nil"/>
              <w:right w:val="nil"/>
            </w:tcBorders>
            <w:shd w:val="clear" w:color="auto" w:fill="auto"/>
            <w:vAlign w:val="bottom"/>
          </w:tcPr>
          <w:p w14:paraId="51F554C1"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w:t>
            </w:r>
          </w:p>
        </w:tc>
        <w:tc>
          <w:tcPr>
            <w:tcW w:w="757" w:type="pct"/>
            <w:tcBorders>
              <w:top w:val="nil"/>
              <w:left w:val="nil"/>
              <w:bottom w:val="nil"/>
              <w:right w:val="nil"/>
            </w:tcBorders>
            <w:shd w:val="clear" w:color="auto" w:fill="auto"/>
            <w:vAlign w:val="bottom"/>
          </w:tcPr>
          <w:p w14:paraId="4BC14528"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23,870</w:t>
            </w:r>
          </w:p>
        </w:tc>
      </w:tr>
      <w:tr w:rsidR="00587444" w:rsidRPr="00587444" w14:paraId="00B24F59" w14:textId="77777777" w:rsidTr="00DD69E7">
        <w:trPr>
          <w:cantSplit/>
          <w:trHeight w:val="273"/>
          <w:tblHeader/>
        </w:trPr>
        <w:tc>
          <w:tcPr>
            <w:tcW w:w="1971" w:type="pct"/>
            <w:vAlign w:val="center"/>
          </w:tcPr>
          <w:p w14:paraId="63A24873"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sz w:val="18"/>
                <w:szCs w:val="18"/>
              </w:rPr>
            </w:pPr>
            <w:bookmarkStart w:id="1089" w:name="_Toc4060551"/>
            <w:r w:rsidRPr="00587444">
              <w:rPr>
                <w:rFonts w:ascii="Arial" w:eastAsia="Calibri" w:hAnsi="Arial" w:cs="Arial"/>
                <w:sz w:val="18"/>
                <w:szCs w:val="18"/>
              </w:rPr>
              <w:t>Financial assets at fair value through other comprehensive income</w:t>
            </w:r>
            <w:bookmarkEnd w:id="1089"/>
          </w:p>
        </w:tc>
        <w:tc>
          <w:tcPr>
            <w:tcW w:w="757" w:type="pct"/>
            <w:tcBorders>
              <w:top w:val="nil"/>
              <w:left w:val="nil"/>
              <w:bottom w:val="nil"/>
              <w:right w:val="nil"/>
            </w:tcBorders>
            <w:shd w:val="clear" w:color="auto" w:fill="auto"/>
            <w:vAlign w:val="bottom"/>
          </w:tcPr>
          <w:p w14:paraId="63C24063"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2,631,975</w:t>
            </w:r>
          </w:p>
        </w:tc>
        <w:tc>
          <w:tcPr>
            <w:tcW w:w="757" w:type="pct"/>
            <w:tcBorders>
              <w:top w:val="nil"/>
              <w:left w:val="nil"/>
              <w:bottom w:val="nil"/>
              <w:right w:val="nil"/>
            </w:tcBorders>
            <w:shd w:val="clear" w:color="auto" w:fill="auto"/>
            <w:vAlign w:val="bottom"/>
          </w:tcPr>
          <w:p w14:paraId="2E2D0349"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1,472</w:t>
            </w:r>
          </w:p>
        </w:tc>
        <w:tc>
          <w:tcPr>
            <w:tcW w:w="757" w:type="pct"/>
            <w:tcBorders>
              <w:top w:val="nil"/>
              <w:left w:val="nil"/>
              <w:bottom w:val="nil"/>
              <w:right w:val="nil"/>
            </w:tcBorders>
            <w:shd w:val="clear" w:color="auto" w:fill="auto"/>
            <w:vAlign w:val="bottom"/>
          </w:tcPr>
          <w:p w14:paraId="0FE3E1E3"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w:t>
            </w:r>
          </w:p>
        </w:tc>
        <w:tc>
          <w:tcPr>
            <w:tcW w:w="757" w:type="pct"/>
            <w:tcBorders>
              <w:top w:val="nil"/>
              <w:left w:val="nil"/>
              <w:bottom w:val="nil"/>
              <w:right w:val="nil"/>
            </w:tcBorders>
            <w:shd w:val="clear" w:color="auto" w:fill="auto"/>
            <w:vAlign w:val="bottom"/>
          </w:tcPr>
          <w:p w14:paraId="345D7731"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2,633,447</w:t>
            </w:r>
          </w:p>
        </w:tc>
      </w:tr>
      <w:tr w:rsidR="00587444" w:rsidRPr="00587444" w14:paraId="2F330A8C" w14:textId="77777777" w:rsidTr="00DD69E7">
        <w:trPr>
          <w:cantSplit/>
          <w:trHeight w:val="273"/>
          <w:tblHeader/>
        </w:trPr>
        <w:tc>
          <w:tcPr>
            <w:tcW w:w="1971" w:type="pct"/>
            <w:vAlign w:val="bottom"/>
          </w:tcPr>
          <w:p w14:paraId="539AB3D1"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sz w:val="18"/>
                <w:szCs w:val="18"/>
              </w:rPr>
            </w:pPr>
            <w:bookmarkStart w:id="1090" w:name="_Toc4060561"/>
            <w:r w:rsidRPr="00587444">
              <w:rPr>
                <w:rFonts w:ascii="Arial" w:eastAsia="Calibri" w:hAnsi="Arial" w:cs="Arial"/>
                <w:sz w:val="18"/>
                <w:szCs w:val="18"/>
              </w:rPr>
              <w:t>Other assets</w:t>
            </w:r>
            <w:bookmarkEnd w:id="1090"/>
          </w:p>
        </w:tc>
        <w:tc>
          <w:tcPr>
            <w:tcW w:w="757" w:type="pct"/>
            <w:tcBorders>
              <w:top w:val="nil"/>
              <w:left w:val="nil"/>
              <w:bottom w:val="single" w:sz="4" w:space="0" w:color="auto"/>
              <w:right w:val="nil"/>
            </w:tcBorders>
            <w:shd w:val="clear" w:color="auto" w:fill="auto"/>
            <w:vAlign w:val="bottom"/>
          </w:tcPr>
          <w:p w14:paraId="70F13263"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5,279</w:t>
            </w:r>
          </w:p>
        </w:tc>
        <w:tc>
          <w:tcPr>
            <w:tcW w:w="757" w:type="pct"/>
            <w:tcBorders>
              <w:top w:val="nil"/>
              <w:left w:val="nil"/>
              <w:bottom w:val="single" w:sz="4" w:space="0" w:color="auto"/>
              <w:right w:val="nil"/>
            </w:tcBorders>
            <w:shd w:val="clear" w:color="auto" w:fill="auto"/>
            <w:vAlign w:val="bottom"/>
          </w:tcPr>
          <w:p w14:paraId="702706FC"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1,370</w:t>
            </w:r>
          </w:p>
        </w:tc>
        <w:tc>
          <w:tcPr>
            <w:tcW w:w="757" w:type="pct"/>
            <w:tcBorders>
              <w:top w:val="nil"/>
              <w:left w:val="nil"/>
              <w:bottom w:val="single" w:sz="4" w:space="0" w:color="auto"/>
              <w:right w:val="nil"/>
            </w:tcBorders>
            <w:shd w:val="clear" w:color="auto" w:fill="auto"/>
            <w:vAlign w:val="bottom"/>
          </w:tcPr>
          <w:p w14:paraId="2443D7AD"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3,069</w:t>
            </w:r>
          </w:p>
        </w:tc>
        <w:tc>
          <w:tcPr>
            <w:tcW w:w="757" w:type="pct"/>
            <w:tcBorders>
              <w:top w:val="nil"/>
              <w:left w:val="nil"/>
              <w:bottom w:val="single" w:sz="4" w:space="0" w:color="auto"/>
              <w:right w:val="nil"/>
            </w:tcBorders>
            <w:shd w:val="clear" w:color="auto" w:fill="auto"/>
            <w:vAlign w:val="bottom"/>
          </w:tcPr>
          <w:p w14:paraId="59B5D180" w14:textId="77777777" w:rsidR="00587444" w:rsidRPr="00587444" w:rsidRDefault="00587444" w:rsidP="00587444">
            <w:pPr>
              <w:suppressAutoHyphens w:val="0"/>
              <w:autoSpaceDN/>
              <w:spacing w:line="280" w:lineRule="exact"/>
              <w:jc w:val="right"/>
              <w:rPr>
                <w:rFonts w:ascii="Arial" w:hAnsi="Arial" w:cs="Arial"/>
                <w:sz w:val="18"/>
                <w:szCs w:val="18"/>
              </w:rPr>
            </w:pPr>
            <w:r w:rsidRPr="00587444">
              <w:rPr>
                <w:rFonts w:ascii="Arial" w:hAnsi="Arial" w:cs="Arial"/>
                <w:sz w:val="18"/>
                <w:szCs w:val="18"/>
              </w:rPr>
              <w:t>9,718</w:t>
            </w:r>
          </w:p>
        </w:tc>
      </w:tr>
      <w:tr w:rsidR="00587444" w:rsidRPr="00587444" w14:paraId="09473076" w14:textId="77777777" w:rsidTr="00DD69E7">
        <w:trPr>
          <w:cantSplit/>
          <w:trHeight w:val="272"/>
          <w:tblHeader/>
        </w:trPr>
        <w:tc>
          <w:tcPr>
            <w:tcW w:w="1971" w:type="pct"/>
            <w:vAlign w:val="bottom"/>
          </w:tcPr>
          <w:p w14:paraId="542857AD"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b/>
                <w:bCs/>
                <w:sz w:val="18"/>
                <w:szCs w:val="18"/>
              </w:rPr>
            </w:pPr>
            <w:bookmarkStart w:id="1091" w:name="_Toc4060566"/>
            <w:r w:rsidRPr="00587444">
              <w:rPr>
                <w:rFonts w:ascii="Arial" w:eastAsia="Calibri" w:hAnsi="Arial" w:cs="Arial"/>
                <w:b/>
                <w:bCs/>
                <w:sz w:val="18"/>
                <w:szCs w:val="18"/>
              </w:rPr>
              <w:t>Total</w:t>
            </w:r>
            <w:bookmarkEnd w:id="1091"/>
            <w:r w:rsidRPr="00587444">
              <w:rPr>
                <w:rFonts w:ascii="Arial" w:eastAsia="Calibri" w:hAnsi="Arial" w:cs="Arial"/>
                <w:b/>
                <w:bCs/>
                <w:sz w:val="18"/>
                <w:szCs w:val="18"/>
              </w:rPr>
              <w:t xml:space="preserve"> </w:t>
            </w:r>
          </w:p>
        </w:tc>
        <w:tc>
          <w:tcPr>
            <w:tcW w:w="757" w:type="pct"/>
            <w:tcBorders>
              <w:top w:val="nil"/>
              <w:left w:val="nil"/>
              <w:bottom w:val="single" w:sz="8" w:space="0" w:color="auto"/>
              <w:right w:val="nil"/>
            </w:tcBorders>
            <w:shd w:val="clear" w:color="auto" w:fill="auto"/>
            <w:vAlign w:val="bottom"/>
          </w:tcPr>
          <w:p w14:paraId="2AB8783E"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color w:val="000000"/>
                <w:sz w:val="18"/>
                <w:szCs w:val="18"/>
                <w:lang w:val="hr-HR"/>
              </w:rPr>
              <w:t>28,607,960</w:t>
            </w:r>
          </w:p>
        </w:tc>
        <w:tc>
          <w:tcPr>
            <w:tcW w:w="757" w:type="pct"/>
            <w:tcBorders>
              <w:top w:val="nil"/>
              <w:left w:val="nil"/>
              <w:bottom w:val="single" w:sz="8" w:space="0" w:color="auto"/>
              <w:right w:val="nil"/>
            </w:tcBorders>
            <w:shd w:val="clear" w:color="auto" w:fill="auto"/>
            <w:vAlign w:val="bottom"/>
          </w:tcPr>
          <w:p w14:paraId="01E9A7B0"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color w:val="000000"/>
                <w:sz w:val="18"/>
                <w:szCs w:val="18"/>
                <w:lang w:val="hr-HR"/>
              </w:rPr>
              <w:t>98,913</w:t>
            </w:r>
          </w:p>
        </w:tc>
        <w:tc>
          <w:tcPr>
            <w:tcW w:w="757" w:type="pct"/>
            <w:tcBorders>
              <w:top w:val="nil"/>
              <w:left w:val="nil"/>
              <w:bottom w:val="single" w:sz="8" w:space="0" w:color="auto"/>
              <w:right w:val="nil"/>
            </w:tcBorders>
            <w:shd w:val="clear" w:color="auto" w:fill="auto"/>
            <w:vAlign w:val="bottom"/>
          </w:tcPr>
          <w:p w14:paraId="7BD2B126"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color w:val="000000"/>
                <w:sz w:val="18"/>
                <w:szCs w:val="18"/>
                <w:lang w:val="hr-HR"/>
              </w:rPr>
              <w:t>102,639</w:t>
            </w:r>
          </w:p>
        </w:tc>
        <w:tc>
          <w:tcPr>
            <w:tcW w:w="757" w:type="pct"/>
            <w:tcBorders>
              <w:top w:val="nil"/>
              <w:left w:val="nil"/>
              <w:bottom w:val="single" w:sz="8" w:space="0" w:color="auto"/>
              <w:right w:val="nil"/>
            </w:tcBorders>
            <w:shd w:val="clear" w:color="auto" w:fill="auto"/>
            <w:vAlign w:val="bottom"/>
          </w:tcPr>
          <w:p w14:paraId="5CE2F112"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color w:val="000000"/>
                <w:sz w:val="18"/>
                <w:szCs w:val="18"/>
                <w:lang w:val="hr-HR"/>
              </w:rPr>
              <w:t>28,809,512</w:t>
            </w:r>
          </w:p>
        </w:tc>
      </w:tr>
      <w:tr w:rsidR="00587444" w:rsidRPr="00587444" w14:paraId="68C26229" w14:textId="77777777" w:rsidTr="00DD69E7">
        <w:tblPrEx>
          <w:tblCellMar>
            <w:left w:w="31" w:type="dxa"/>
            <w:right w:w="31" w:type="dxa"/>
          </w:tblCellMar>
        </w:tblPrEx>
        <w:trPr>
          <w:cantSplit/>
          <w:trHeight w:val="273"/>
          <w:tblHeader/>
        </w:trPr>
        <w:tc>
          <w:tcPr>
            <w:tcW w:w="1971" w:type="pct"/>
            <w:vAlign w:val="bottom"/>
          </w:tcPr>
          <w:p w14:paraId="0B1AC815"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b/>
                <w:bCs/>
                <w:sz w:val="18"/>
                <w:szCs w:val="18"/>
              </w:rPr>
            </w:pPr>
          </w:p>
        </w:tc>
        <w:tc>
          <w:tcPr>
            <w:tcW w:w="757" w:type="pct"/>
            <w:tcBorders>
              <w:top w:val="single" w:sz="12" w:space="0" w:color="auto"/>
            </w:tcBorders>
            <w:vAlign w:val="bottom"/>
          </w:tcPr>
          <w:p w14:paraId="1D7A7D5C"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vAlign w:val="bottom"/>
          </w:tcPr>
          <w:p w14:paraId="7F2800F1"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vAlign w:val="bottom"/>
          </w:tcPr>
          <w:p w14:paraId="3CB92B8A"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vAlign w:val="bottom"/>
          </w:tcPr>
          <w:p w14:paraId="26C82F11"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r>
      <w:tr w:rsidR="00587444" w:rsidRPr="00587444" w14:paraId="547F2A87" w14:textId="77777777" w:rsidTr="00DD69E7">
        <w:tblPrEx>
          <w:tblCellMar>
            <w:left w:w="31" w:type="dxa"/>
            <w:right w:w="31" w:type="dxa"/>
          </w:tblCellMar>
        </w:tblPrEx>
        <w:trPr>
          <w:cantSplit/>
          <w:trHeight w:val="273"/>
          <w:tblHeader/>
        </w:trPr>
        <w:tc>
          <w:tcPr>
            <w:tcW w:w="1971" w:type="pct"/>
          </w:tcPr>
          <w:p w14:paraId="043CA793"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b/>
                <w:bCs/>
                <w:sz w:val="18"/>
                <w:szCs w:val="18"/>
              </w:rPr>
            </w:pPr>
            <w:bookmarkStart w:id="1092" w:name="_Toc4060571"/>
            <w:r w:rsidRPr="00587444">
              <w:rPr>
                <w:rFonts w:ascii="Arial" w:eastAsia="Calibri" w:hAnsi="Arial" w:cs="Arial"/>
                <w:b/>
                <w:bCs/>
                <w:sz w:val="18"/>
                <w:szCs w:val="18"/>
              </w:rPr>
              <w:t>Guarantees and commitments</w:t>
            </w:r>
            <w:bookmarkEnd w:id="1092"/>
          </w:p>
        </w:tc>
        <w:tc>
          <w:tcPr>
            <w:tcW w:w="757" w:type="pct"/>
            <w:vAlign w:val="bottom"/>
          </w:tcPr>
          <w:p w14:paraId="25F55C5D"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vAlign w:val="bottom"/>
          </w:tcPr>
          <w:p w14:paraId="50E52AD5"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vAlign w:val="bottom"/>
          </w:tcPr>
          <w:p w14:paraId="02A91F6D"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vAlign w:val="bottom"/>
          </w:tcPr>
          <w:p w14:paraId="2D27373F"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r>
      <w:tr w:rsidR="00587444" w:rsidRPr="00587444" w14:paraId="12BFBB9F" w14:textId="77777777" w:rsidTr="00DD69E7">
        <w:tblPrEx>
          <w:tblCellMar>
            <w:left w:w="31" w:type="dxa"/>
            <w:right w:w="31" w:type="dxa"/>
          </w:tblCellMar>
        </w:tblPrEx>
        <w:trPr>
          <w:cantSplit/>
          <w:trHeight w:val="273"/>
          <w:tblHeader/>
        </w:trPr>
        <w:tc>
          <w:tcPr>
            <w:tcW w:w="1971" w:type="pct"/>
          </w:tcPr>
          <w:p w14:paraId="2D8F6831"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bCs/>
                <w:sz w:val="18"/>
                <w:szCs w:val="18"/>
              </w:rPr>
            </w:pPr>
            <w:bookmarkStart w:id="1093" w:name="_Toc4060572"/>
            <w:r w:rsidRPr="00587444">
              <w:rPr>
                <w:rFonts w:ascii="Arial" w:eastAsia="Calibri" w:hAnsi="Arial" w:cs="Arial"/>
                <w:bCs/>
                <w:sz w:val="18"/>
                <w:szCs w:val="18"/>
              </w:rPr>
              <w:t>Guarantees issued in HRK</w:t>
            </w:r>
            <w:bookmarkEnd w:id="1093"/>
          </w:p>
        </w:tc>
        <w:tc>
          <w:tcPr>
            <w:tcW w:w="757" w:type="pct"/>
            <w:tcBorders>
              <w:top w:val="nil"/>
              <w:left w:val="nil"/>
              <w:bottom w:val="nil"/>
              <w:right w:val="nil"/>
            </w:tcBorders>
            <w:shd w:val="clear" w:color="auto" w:fill="auto"/>
            <w:vAlign w:val="bottom"/>
          </w:tcPr>
          <w:p w14:paraId="719CEFE5"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 xml:space="preserve"> 86,470 </w:t>
            </w:r>
          </w:p>
        </w:tc>
        <w:tc>
          <w:tcPr>
            <w:tcW w:w="757" w:type="pct"/>
            <w:tcBorders>
              <w:top w:val="nil"/>
              <w:left w:val="nil"/>
              <w:bottom w:val="nil"/>
              <w:right w:val="nil"/>
            </w:tcBorders>
            <w:shd w:val="clear" w:color="auto" w:fill="auto"/>
            <w:vAlign w:val="bottom"/>
          </w:tcPr>
          <w:p w14:paraId="2CAC2B10"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57" w:type="pct"/>
            <w:tcBorders>
              <w:top w:val="nil"/>
              <w:left w:val="nil"/>
              <w:bottom w:val="nil"/>
              <w:right w:val="nil"/>
            </w:tcBorders>
            <w:shd w:val="clear" w:color="auto" w:fill="auto"/>
            <w:vAlign w:val="bottom"/>
          </w:tcPr>
          <w:p w14:paraId="63FCDCDA"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57" w:type="pct"/>
            <w:tcBorders>
              <w:top w:val="nil"/>
              <w:left w:val="nil"/>
              <w:bottom w:val="nil"/>
              <w:right w:val="nil"/>
            </w:tcBorders>
            <w:shd w:val="clear" w:color="auto" w:fill="auto"/>
            <w:vAlign w:val="bottom"/>
          </w:tcPr>
          <w:p w14:paraId="76B18171"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 xml:space="preserve"> 86,470 </w:t>
            </w:r>
          </w:p>
        </w:tc>
      </w:tr>
      <w:tr w:rsidR="00587444" w:rsidRPr="00587444" w14:paraId="4CAF8236" w14:textId="77777777" w:rsidTr="00DD69E7">
        <w:tblPrEx>
          <w:tblCellMar>
            <w:left w:w="31" w:type="dxa"/>
            <w:right w:w="31" w:type="dxa"/>
          </w:tblCellMar>
        </w:tblPrEx>
        <w:trPr>
          <w:cantSplit/>
          <w:trHeight w:val="273"/>
          <w:tblHeader/>
        </w:trPr>
        <w:tc>
          <w:tcPr>
            <w:tcW w:w="1971" w:type="pct"/>
            <w:vAlign w:val="bottom"/>
          </w:tcPr>
          <w:p w14:paraId="608D8812"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sz w:val="18"/>
                <w:szCs w:val="18"/>
              </w:rPr>
            </w:pPr>
            <w:bookmarkStart w:id="1094" w:name="_Toc4060577"/>
            <w:r w:rsidRPr="00587444">
              <w:rPr>
                <w:rFonts w:ascii="Arial" w:eastAsia="Calibri" w:hAnsi="Arial" w:cs="Arial"/>
                <w:sz w:val="18"/>
                <w:szCs w:val="18"/>
              </w:rPr>
              <w:t>Issued guarantees in foreign currency</w:t>
            </w:r>
            <w:bookmarkEnd w:id="1094"/>
          </w:p>
        </w:tc>
        <w:tc>
          <w:tcPr>
            <w:tcW w:w="757" w:type="pct"/>
            <w:tcBorders>
              <w:top w:val="nil"/>
              <w:left w:val="nil"/>
              <w:bottom w:val="nil"/>
              <w:right w:val="nil"/>
            </w:tcBorders>
            <w:shd w:val="clear" w:color="auto" w:fill="auto"/>
            <w:vAlign w:val="bottom"/>
          </w:tcPr>
          <w:p w14:paraId="30A9F50E"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 xml:space="preserve"> 162,516 </w:t>
            </w:r>
          </w:p>
        </w:tc>
        <w:tc>
          <w:tcPr>
            <w:tcW w:w="757" w:type="pct"/>
            <w:tcBorders>
              <w:top w:val="nil"/>
              <w:left w:val="nil"/>
              <w:bottom w:val="nil"/>
              <w:right w:val="nil"/>
            </w:tcBorders>
            <w:shd w:val="clear" w:color="auto" w:fill="auto"/>
            <w:vAlign w:val="bottom"/>
          </w:tcPr>
          <w:p w14:paraId="032ADDC0"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57" w:type="pct"/>
            <w:tcBorders>
              <w:top w:val="nil"/>
              <w:left w:val="nil"/>
              <w:bottom w:val="nil"/>
              <w:right w:val="nil"/>
            </w:tcBorders>
            <w:shd w:val="clear" w:color="auto" w:fill="auto"/>
            <w:vAlign w:val="bottom"/>
          </w:tcPr>
          <w:p w14:paraId="1E89C30D"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57" w:type="pct"/>
            <w:tcBorders>
              <w:top w:val="nil"/>
              <w:left w:val="nil"/>
              <w:bottom w:val="nil"/>
              <w:right w:val="nil"/>
            </w:tcBorders>
            <w:shd w:val="clear" w:color="auto" w:fill="auto"/>
            <w:vAlign w:val="bottom"/>
          </w:tcPr>
          <w:p w14:paraId="260C9B53"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 xml:space="preserve"> 162,516 </w:t>
            </w:r>
          </w:p>
        </w:tc>
      </w:tr>
      <w:tr w:rsidR="00587444" w:rsidRPr="00587444" w14:paraId="10992A40" w14:textId="77777777" w:rsidTr="00DD69E7">
        <w:tblPrEx>
          <w:tblCellMar>
            <w:left w:w="31" w:type="dxa"/>
            <w:right w:w="31" w:type="dxa"/>
          </w:tblCellMar>
        </w:tblPrEx>
        <w:trPr>
          <w:cantSplit/>
          <w:trHeight w:val="273"/>
          <w:tblHeader/>
        </w:trPr>
        <w:tc>
          <w:tcPr>
            <w:tcW w:w="1971" w:type="pct"/>
            <w:vAlign w:val="bottom"/>
          </w:tcPr>
          <w:p w14:paraId="04234144" w14:textId="5556E2FC" w:rsidR="00587444" w:rsidRPr="00587444" w:rsidRDefault="00587444" w:rsidP="00587444">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 xml:space="preserve">Open </w:t>
            </w:r>
            <w:r w:rsidR="005D302B" w:rsidRPr="00587444">
              <w:rPr>
                <w:rFonts w:ascii="Arial" w:eastAsia="Calibri" w:hAnsi="Arial" w:cs="Arial"/>
                <w:sz w:val="18"/>
                <w:szCs w:val="18"/>
              </w:rPr>
              <w:t>letters</w:t>
            </w:r>
            <w:r w:rsidRPr="00587444">
              <w:rPr>
                <w:rFonts w:ascii="Arial" w:eastAsia="Calibri" w:hAnsi="Arial" w:cs="Arial"/>
                <w:sz w:val="18"/>
                <w:szCs w:val="18"/>
              </w:rPr>
              <w:t xml:space="preserve"> of credit in foreign currency</w:t>
            </w:r>
          </w:p>
        </w:tc>
        <w:tc>
          <w:tcPr>
            <w:tcW w:w="757" w:type="pct"/>
            <w:tcBorders>
              <w:top w:val="nil"/>
              <w:left w:val="nil"/>
              <w:bottom w:val="nil"/>
              <w:right w:val="nil"/>
            </w:tcBorders>
            <w:shd w:val="clear" w:color="auto" w:fill="auto"/>
            <w:vAlign w:val="bottom"/>
          </w:tcPr>
          <w:p w14:paraId="578B738A"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 xml:space="preserve"> 1,243 </w:t>
            </w:r>
          </w:p>
        </w:tc>
        <w:tc>
          <w:tcPr>
            <w:tcW w:w="757" w:type="pct"/>
            <w:tcBorders>
              <w:top w:val="nil"/>
              <w:left w:val="nil"/>
              <w:bottom w:val="nil"/>
              <w:right w:val="nil"/>
            </w:tcBorders>
            <w:shd w:val="clear" w:color="auto" w:fill="auto"/>
            <w:vAlign w:val="bottom"/>
          </w:tcPr>
          <w:p w14:paraId="1BDC6AEC"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57" w:type="pct"/>
            <w:tcBorders>
              <w:top w:val="nil"/>
              <w:left w:val="nil"/>
              <w:bottom w:val="nil"/>
              <w:right w:val="nil"/>
            </w:tcBorders>
            <w:shd w:val="clear" w:color="auto" w:fill="auto"/>
            <w:vAlign w:val="bottom"/>
          </w:tcPr>
          <w:p w14:paraId="71FEA7E3"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57" w:type="pct"/>
            <w:tcBorders>
              <w:top w:val="nil"/>
              <w:left w:val="nil"/>
              <w:bottom w:val="nil"/>
              <w:right w:val="nil"/>
            </w:tcBorders>
            <w:shd w:val="clear" w:color="auto" w:fill="auto"/>
            <w:vAlign w:val="bottom"/>
          </w:tcPr>
          <w:p w14:paraId="517BAC98"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 xml:space="preserve"> 1,243 </w:t>
            </w:r>
          </w:p>
        </w:tc>
      </w:tr>
      <w:tr w:rsidR="00587444" w:rsidRPr="00587444" w14:paraId="5D7229E5" w14:textId="77777777" w:rsidTr="00DD69E7">
        <w:tblPrEx>
          <w:tblCellMar>
            <w:left w:w="31" w:type="dxa"/>
            <w:right w:w="31" w:type="dxa"/>
          </w:tblCellMar>
        </w:tblPrEx>
        <w:trPr>
          <w:cantSplit/>
          <w:trHeight w:val="273"/>
          <w:tblHeader/>
        </w:trPr>
        <w:tc>
          <w:tcPr>
            <w:tcW w:w="1971" w:type="pct"/>
            <w:vAlign w:val="bottom"/>
          </w:tcPr>
          <w:p w14:paraId="5EF6835C"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sz w:val="18"/>
                <w:szCs w:val="18"/>
              </w:rPr>
            </w:pPr>
            <w:bookmarkStart w:id="1095" w:name="_Toc4060582"/>
            <w:r w:rsidRPr="00587444">
              <w:rPr>
                <w:rFonts w:ascii="Arial" w:eastAsia="Calibri" w:hAnsi="Arial" w:cs="Arial"/>
                <w:sz w:val="18"/>
                <w:szCs w:val="18"/>
              </w:rPr>
              <w:t>Undrawn loans</w:t>
            </w:r>
            <w:bookmarkEnd w:id="1095"/>
          </w:p>
        </w:tc>
        <w:tc>
          <w:tcPr>
            <w:tcW w:w="757" w:type="pct"/>
            <w:tcBorders>
              <w:top w:val="nil"/>
              <w:left w:val="nil"/>
              <w:bottom w:val="single" w:sz="4" w:space="0" w:color="auto"/>
              <w:right w:val="nil"/>
            </w:tcBorders>
            <w:shd w:val="clear" w:color="auto" w:fill="auto"/>
            <w:vAlign w:val="bottom"/>
          </w:tcPr>
          <w:p w14:paraId="321A3D69"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 xml:space="preserve"> 2,647,931 </w:t>
            </w:r>
          </w:p>
        </w:tc>
        <w:tc>
          <w:tcPr>
            <w:tcW w:w="757" w:type="pct"/>
            <w:tcBorders>
              <w:top w:val="nil"/>
              <w:left w:val="nil"/>
              <w:bottom w:val="single" w:sz="4" w:space="0" w:color="auto"/>
              <w:right w:val="nil"/>
            </w:tcBorders>
            <w:shd w:val="clear" w:color="auto" w:fill="auto"/>
            <w:vAlign w:val="bottom"/>
          </w:tcPr>
          <w:p w14:paraId="33B2A895"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57" w:type="pct"/>
            <w:tcBorders>
              <w:top w:val="nil"/>
              <w:left w:val="nil"/>
              <w:bottom w:val="single" w:sz="4" w:space="0" w:color="auto"/>
              <w:right w:val="nil"/>
            </w:tcBorders>
            <w:shd w:val="clear" w:color="auto" w:fill="auto"/>
            <w:vAlign w:val="bottom"/>
          </w:tcPr>
          <w:p w14:paraId="67FA21E3"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57" w:type="pct"/>
            <w:tcBorders>
              <w:top w:val="nil"/>
              <w:left w:val="nil"/>
              <w:bottom w:val="single" w:sz="4" w:space="0" w:color="auto"/>
              <w:right w:val="nil"/>
            </w:tcBorders>
            <w:shd w:val="clear" w:color="auto" w:fill="auto"/>
            <w:vAlign w:val="bottom"/>
          </w:tcPr>
          <w:p w14:paraId="01F2DF6E"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 xml:space="preserve"> 2,647,931 </w:t>
            </w:r>
          </w:p>
        </w:tc>
      </w:tr>
      <w:tr w:rsidR="00587444" w:rsidRPr="00587444" w14:paraId="33624A43" w14:textId="77777777" w:rsidTr="00DD69E7">
        <w:tblPrEx>
          <w:tblCellMar>
            <w:left w:w="31" w:type="dxa"/>
            <w:right w:w="31" w:type="dxa"/>
          </w:tblCellMar>
        </w:tblPrEx>
        <w:trPr>
          <w:cantSplit/>
          <w:trHeight w:val="322"/>
          <w:tblHeader/>
        </w:trPr>
        <w:tc>
          <w:tcPr>
            <w:tcW w:w="1971" w:type="pct"/>
            <w:vAlign w:val="bottom"/>
          </w:tcPr>
          <w:p w14:paraId="7FBE131A"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b/>
                <w:bCs/>
                <w:sz w:val="18"/>
                <w:szCs w:val="18"/>
              </w:rPr>
            </w:pPr>
            <w:bookmarkStart w:id="1096" w:name="_Toc4060592"/>
            <w:r w:rsidRPr="00587444">
              <w:rPr>
                <w:rFonts w:ascii="Arial" w:eastAsia="Calibri" w:hAnsi="Arial" w:cs="Arial"/>
                <w:b/>
                <w:bCs/>
                <w:sz w:val="18"/>
                <w:szCs w:val="18"/>
              </w:rPr>
              <w:t>Total</w:t>
            </w:r>
            <w:bookmarkEnd w:id="1096"/>
          </w:p>
        </w:tc>
        <w:tc>
          <w:tcPr>
            <w:tcW w:w="757" w:type="pct"/>
            <w:tcBorders>
              <w:top w:val="single" w:sz="4" w:space="0" w:color="auto"/>
              <w:left w:val="nil"/>
              <w:bottom w:val="single" w:sz="12" w:space="0" w:color="auto"/>
              <w:right w:val="nil"/>
            </w:tcBorders>
            <w:shd w:val="clear" w:color="auto" w:fill="auto"/>
            <w:vAlign w:val="bottom"/>
          </w:tcPr>
          <w:p w14:paraId="39EFC648"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color w:val="000000"/>
                <w:sz w:val="18"/>
                <w:szCs w:val="18"/>
                <w:lang w:val="hr-HR"/>
              </w:rPr>
              <w:t>2,898,160</w:t>
            </w:r>
          </w:p>
        </w:tc>
        <w:tc>
          <w:tcPr>
            <w:tcW w:w="757" w:type="pct"/>
            <w:tcBorders>
              <w:top w:val="single" w:sz="4" w:space="0" w:color="auto"/>
              <w:left w:val="nil"/>
              <w:bottom w:val="single" w:sz="12" w:space="0" w:color="auto"/>
              <w:right w:val="nil"/>
            </w:tcBorders>
            <w:shd w:val="clear" w:color="auto" w:fill="auto"/>
            <w:vAlign w:val="bottom"/>
          </w:tcPr>
          <w:p w14:paraId="3E96791F"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color w:val="000000"/>
                <w:sz w:val="18"/>
                <w:szCs w:val="18"/>
                <w:lang w:val="hr-HR"/>
              </w:rPr>
              <w:t>-</w:t>
            </w:r>
          </w:p>
        </w:tc>
        <w:tc>
          <w:tcPr>
            <w:tcW w:w="757" w:type="pct"/>
            <w:tcBorders>
              <w:top w:val="single" w:sz="4" w:space="0" w:color="auto"/>
              <w:left w:val="nil"/>
              <w:bottom w:val="single" w:sz="12" w:space="0" w:color="auto"/>
              <w:right w:val="nil"/>
            </w:tcBorders>
            <w:shd w:val="clear" w:color="auto" w:fill="auto"/>
            <w:vAlign w:val="bottom"/>
          </w:tcPr>
          <w:p w14:paraId="2DB1603F"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color w:val="000000"/>
                <w:sz w:val="18"/>
                <w:szCs w:val="18"/>
                <w:lang w:val="hr-HR"/>
              </w:rPr>
              <w:t>-</w:t>
            </w:r>
          </w:p>
        </w:tc>
        <w:tc>
          <w:tcPr>
            <w:tcW w:w="757" w:type="pct"/>
            <w:tcBorders>
              <w:top w:val="single" w:sz="4" w:space="0" w:color="auto"/>
              <w:left w:val="nil"/>
              <w:bottom w:val="single" w:sz="12" w:space="0" w:color="auto"/>
              <w:right w:val="nil"/>
            </w:tcBorders>
            <w:shd w:val="clear" w:color="auto" w:fill="auto"/>
            <w:vAlign w:val="bottom"/>
          </w:tcPr>
          <w:p w14:paraId="08C61D64"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color w:val="000000"/>
                <w:sz w:val="18"/>
                <w:szCs w:val="18"/>
                <w:lang w:val="hr-HR"/>
              </w:rPr>
              <w:t>2,898,160</w:t>
            </w:r>
          </w:p>
        </w:tc>
      </w:tr>
      <w:tr w:rsidR="00587444" w:rsidRPr="00587444" w14:paraId="1DC1423F" w14:textId="77777777" w:rsidTr="00DD69E7">
        <w:tblPrEx>
          <w:tblCellMar>
            <w:left w:w="31" w:type="dxa"/>
            <w:right w:w="31" w:type="dxa"/>
          </w:tblCellMar>
        </w:tblPrEx>
        <w:trPr>
          <w:cantSplit/>
          <w:trHeight w:val="407"/>
          <w:tblHeader/>
        </w:trPr>
        <w:tc>
          <w:tcPr>
            <w:tcW w:w="1971" w:type="pct"/>
            <w:vAlign w:val="bottom"/>
          </w:tcPr>
          <w:p w14:paraId="5CC7CA60"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b/>
                <w:bCs/>
                <w:sz w:val="18"/>
                <w:szCs w:val="18"/>
              </w:rPr>
            </w:pPr>
            <w:bookmarkStart w:id="1097" w:name="_Toc4060597"/>
            <w:r w:rsidRPr="00587444">
              <w:rPr>
                <w:rFonts w:ascii="Arial" w:eastAsia="Calibri" w:hAnsi="Arial" w:cs="Arial"/>
                <w:b/>
                <w:bCs/>
                <w:sz w:val="18"/>
                <w:szCs w:val="18"/>
              </w:rPr>
              <w:t>Total credit risk exposure</w:t>
            </w:r>
            <w:bookmarkEnd w:id="1097"/>
          </w:p>
        </w:tc>
        <w:tc>
          <w:tcPr>
            <w:tcW w:w="757" w:type="pct"/>
            <w:tcBorders>
              <w:top w:val="nil"/>
              <w:left w:val="nil"/>
              <w:bottom w:val="single" w:sz="12" w:space="0" w:color="auto"/>
              <w:right w:val="nil"/>
            </w:tcBorders>
            <w:shd w:val="clear" w:color="auto" w:fill="auto"/>
            <w:vAlign w:val="bottom"/>
          </w:tcPr>
          <w:p w14:paraId="77AB9D23"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color w:val="000000"/>
                <w:sz w:val="18"/>
                <w:szCs w:val="18"/>
                <w:lang w:val="hr-HR"/>
              </w:rPr>
              <w:t>31,506,120</w:t>
            </w:r>
          </w:p>
        </w:tc>
        <w:tc>
          <w:tcPr>
            <w:tcW w:w="757" w:type="pct"/>
            <w:tcBorders>
              <w:top w:val="nil"/>
              <w:left w:val="nil"/>
              <w:bottom w:val="single" w:sz="12" w:space="0" w:color="auto"/>
              <w:right w:val="nil"/>
            </w:tcBorders>
            <w:shd w:val="clear" w:color="auto" w:fill="auto"/>
            <w:vAlign w:val="bottom"/>
          </w:tcPr>
          <w:p w14:paraId="0DB846DF"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color w:val="000000"/>
                <w:sz w:val="18"/>
                <w:szCs w:val="18"/>
                <w:lang w:val="hr-HR"/>
              </w:rPr>
              <w:t>98,913</w:t>
            </w:r>
          </w:p>
        </w:tc>
        <w:tc>
          <w:tcPr>
            <w:tcW w:w="757" w:type="pct"/>
            <w:tcBorders>
              <w:top w:val="nil"/>
              <w:left w:val="nil"/>
              <w:bottom w:val="single" w:sz="12" w:space="0" w:color="auto"/>
              <w:right w:val="nil"/>
            </w:tcBorders>
            <w:shd w:val="clear" w:color="auto" w:fill="auto"/>
            <w:vAlign w:val="bottom"/>
          </w:tcPr>
          <w:p w14:paraId="718395ED"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color w:val="000000"/>
                <w:sz w:val="18"/>
                <w:szCs w:val="18"/>
                <w:lang w:val="hr-HR"/>
              </w:rPr>
              <w:t>102,639</w:t>
            </w:r>
          </w:p>
        </w:tc>
        <w:tc>
          <w:tcPr>
            <w:tcW w:w="757" w:type="pct"/>
            <w:tcBorders>
              <w:top w:val="nil"/>
              <w:left w:val="nil"/>
              <w:bottom w:val="single" w:sz="12" w:space="0" w:color="auto"/>
              <w:right w:val="nil"/>
            </w:tcBorders>
            <w:shd w:val="clear" w:color="auto" w:fill="auto"/>
            <w:vAlign w:val="bottom"/>
          </w:tcPr>
          <w:p w14:paraId="601B98C9"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color w:val="000000"/>
                <w:sz w:val="18"/>
                <w:szCs w:val="18"/>
                <w:lang w:val="hr-HR"/>
              </w:rPr>
              <w:t>31,707,672</w:t>
            </w:r>
          </w:p>
        </w:tc>
      </w:tr>
      <w:bookmarkEnd w:id="1071"/>
    </w:tbl>
    <w:p w14:paraId="1A171B98" w14:textId="77777777" w:rsidR="00587444" w:rsidRPr="00587444" w:rsidRDefault="00587444" w:rsidP="00587444">
      <w:pPr>
        <w:keepNext/>
        <w:suppressAutoHyphens w:val="0"/>
        <w:autoSpaceDN/>
        <w:jc w:val="both"/>
        <w:rPr>
          <w:rFonts w:ascii="Arial" w:hAnsi="Arial" w:cs="Arial"/>
          <w:bCs/>
          <w:sz w:val="20"/>
          <w:szCs w:val="20"/>
        </w:rPr>
      </w:pPr>
    </w:p>
    <w:p w14:paraId="038A4C3F" w14:textId="77777777" w:rsidR="00587444" w:rsidRPr="00587444" w:rsidRDefault="00587444" w:rsidP="00587444">
      <w:pPr>
        <w:keepNext/>
        <w:suppressAutoHyphens w:val="0"/>
        <w:autoSpaceDN/>
        <w:jc w:val="both"/>
        <w:rPr>
          <w:rFonts w:ascii="Arial" w:hAnsi="Arial" w:cs="Arial"/>
          <w:sz w:val="20"/>
          <w:szCs w:val="20"/>
        </w:rPr>
      </w:pPr>
    </w:p>
    <w:p w14:paraId="6B9BBEF0" w14:textId="77777777" w:rsidR="00587444" w:rsidRPr="00587444" w:rsidRDefault="00587444" w:rsidP="00587444">
      <w:pPr>
        <w:keepNext/>
        <w:suppressAutoHyphens w:val="0"/>
        <w:autoSpaceDN/>
        <w:spacing w:before="120" w:line="360" w:lineRule="auto"/>
        <w:jc w:val="both"/>
        <w:rPr>
          <w:rFonts w:ascii="Arial" w:hAnsi="Arial" w:cs="Arial"/>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50F8E3EA" w14:textId="77777777" w:rsidR="00587444" w:rsidRPr="00587444" w:rsidRDefault="00587444" w:rsidP="00587444">
      <w:pPr>
        <w:keepNext/>
        <w:suppressAutoHyphens w:val="0"/>
        <w:autoSpaceDN/>
        <w:jc w:val="both"/>
        <w:rPr>
          <w:rFonts w:ascii="Arial" w:hAnsi="Arial" w:cs="Arial"/>
          <w:b/>
          <w:bCs/>
          <w:sz w:val="20"/>
          <w:szCs w:val="20"/>
          <w:lang w:val="en-GB"/>
        </w:rPr>
      </w:pPr>
    </w:p>
    <w:p w14:paraId="774C630B"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880916F" w14:textId="77777777" w:rsidR="00587444" w:rsidRPr="00587444" w:rsidRDefault="00587444" w:rsidP="00587444">
      <w:pPr>
        <w:suppressAutoHyphens w:val="0"/>
        <w:autoSpaceDN/>
        <w:jc w:val="both"/>
        <w:rPr>
          <w:rFonts w:ascii="Arial" w:hAnsi="Arial" w:cs="Arial"/>
          <w:b/>
          <w:sz w:val="20"/>
          <w:szCs w:val="20"/>
          <w:lang w:val="en-GB"/>
        </w:rPr>
      </w:pPr>
    </w:p>
    <w:p w14:paraId="075833A8"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5DC26FD3" w14:textId="77777777" w:rsidR="00587444" w:rsidRPr="00587444" w:rsidRDefault="00587444" w:rsidP="00587444">
      <w:pPr>
        <w:suppressAutoHyphens w:val="0"/>
        <w:autoSpaceDN/>
        <w:jc w:val="both"/>
        <w:rPr>
          <w:rFonts w:ascii="Arial" w:hAnsi="Arial" w:cs="Arial"/>
          <w:b/>
          <w:sz w:val="20"/>
          <w:szCs w:val="20"/>
          <w:lang w:val="en-GB"/>
        </w:rPr>
      </w:pPr>
    </w:p>
    <w:p w14:paraId="0748C98C"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0E68B5D0" w14:textId="77777777" w:rsidR="00587444" w:rsidRPr="00587444" w:rsidRDefault="00587444" w:rsidP="00587444">
      <w:pPr>
        <w:suppressAutoHyphens w:val="0"/>
        <w:autoSpaceDN/>
        <w:jc w:val="both"/>
        <w:rPr>
          <w:rFonts w:ascii="Arial" w:hAnsi="Arial" w:cs="Arial"/>
          <w:sz w:val="20"/>
          <w:szCs w:val="20"/>
          <w:lang w:val="en-GB"/>
        </w:rPr>
      </w:pPr>
    </w:p>
    <w:p w14:paraId="621397A5" w14:textId="77777777" w:rsidR="00587444" w:rsidRPr="00587444" w:rsidRDefault="00587444" w:rsidP="00587444">
      <w:pPr>
        <w:suppressAutoHyphens w:val="0"/>
        <w:autoSpaceDN/>
        <w:jc w:val="both"/>
        <w:rPr>
          <w:rFonts w:ascii="Arial" w:hAnsi="Arial" w:cs="Arial"/>
          <w:sz w:val="20"/>
          <w:szCs w:val="20"/>
        </w:rPr>
      </w:pPr>
      <w:r w:rsidRPr="00587444">
        <w:rPr>
          <w:rFonts w:ascii="Arial" w:hAnsi="Arial" w:cs="Arial"/>
          <w:sz w:val="20"/>
          <w:szCs w:val="20"/>
          <w:lang w:val="en-GB"/>
        </w:rPr>
        <w:t xml:space="preserve">Concentration of assets and guarantees and commitments, </w:t>
      </w:r>
      <w:r w:rsidRPr="00587444">
        <w:rPr>
          <w:rFonts w:ascii="Arial" w:hAnsi="Arial" w:cs="Arial"/>
          <w:bCs/>
          <w:sz w:val="20"/>
          <w:szCs w:val="20"/>
          <w:lang w:val="en-GB"/>
        </w:rPr>
        <w:t>net exposure</w:t>
      </w:r>
      <w:r w:rsidRPr="00587444">
        <w:rPr>
          <w:rFonts w:ascii="Arial" w:hAnsi="Arial" w:cs="Arial"/>
          <w:b/>
          <w:bCs/>
          <w:sz w:val="20"/>
          <w:szCs w:val="20"/>
          <w:lang w:val="en-GB"/>
        </w:rPr>
        <w:t xml:space="preserve">, </w:t>
      </w:r>
      <w:r w:rsidRPr="00587444">
        <w:rPr>
          <w:rFonts w:ascii="Arial" w:hAnsi="Arial" w:cs="Arial"/>
          <w:sz w:val="20"/>
          <w:szCs w:val="20"/>
          <w:lang w:val="en-GB"/>
        </w:rPr>
        <w:t>according to geographical segments</w:t>
      </w:r>
      <w:r w:rsidRPr="00587444">
        <w:rPr>
          <w:rFonts w:ascii="Arial" w:hAnsi="Arial" w:cs="Arial"/>
          <w:sz w:val="20"/>
          <w:szCs w:val="20"/>
        </w:rPr>
        <w:t xml:space="preserve">, </w:t>
      </w:r>
      <w:r w:rsidRPr="00587444">
        <w:rPr>
          <w:rFonts w:ascii="Arial" w:hAnsi="Arial" w:cs="Arial"/>
          <w:bCs/>
          <w:sz w:val="20"/>
          <w:szCs w:val="20"/>
        </w:rPr>
        <w:t>before the effect of mitigation through collateral received (continued):</w:t>
      </w:r>
      <w:r w:rsidRPr="00587444">
        <w:rPr>
          <w:rFonts w:ascii="Arial" w:hAnsi="Arial" w:cs="Arial"/>
          <w:sz w:val="20"/>
          <w:szCs w:val="20"/>
        </w:rPr>
        <w:t xml:space="preserve"> </w:t>
      </w:r>
    </w:p>
    <w:p w14:paraId="24AD7FCB" w14:textId="77777777" w:rsidR="00587444" w:rsidRPr="00587444" w:rsidRDefault="00587444" w:rsidP="00587444">
      <w:pPr>
        <w:suppressAutoHyphens w:val="0"/>
        <w:autoSpaceDN/>
        <w:jc w:val="both"/>
        <w:rPr>
          <w:rFonts w:ascii="Arial" w:hAnsi="Arial" w:cs="Arial"/>
          <w:sz w:val="20"/>
          <w:szCs w:val="20"/>
        </w:rPr>
      </w:pPr>
    </w:p>
    <w:p w14:paraId="2F0C42F9" w14:textId="77777777" w:rsidR="00587444" w:rsidRPr="00587444" w:rsidRDefault="00587444" w:rsidP="00587444">
      <w:pPr>
        <w:suppressAutoHyphens w:val="0"/>
        <w:autoSpaceDN/>
        <w:jc w:val="both"/>
        <w:rPr>
          <w:rFonts w:ascii="Arial" w:hAnsi="Arial" w:cs="Arial"/>
          <w:sz w:val="20"/>
          <w:szCs w:val="20"/>
        </w:rPr>
      </w:pPr>
    </w:p>
    <w:tbl>
      <w:tblPr>
        <w:tblW w:w="5025" w:type="pct"/>
        <w:tblLayout w:type="fixed"/>
        <w:tblCellMar>
          <w:left w:w="30" w:type="dxa"/>
          <w:right w:w="30" w:type="dxa"/>
        </w:tblCellMar>
        <w:tblLook w:val="0000" w:firstRow="0" w:lastRow="0" w:firstColumn="0" w:lastColumn="0" w:noHBand="0" w:noVBand="0"/>
      </w:tblPr>
      <w:tblGrid>
        <w:gridCol w:w="3730"/>
        <w:gridCol w:w="1433"/>
        <w:gridCol w:w="1433"/>
        <w:gridCol w:w="1433"/>
        <w:gridCol w:w="1433"/>
      </w:tblGrid>
      <w:tr w:rsidR="00587444" w:rsidRPr="00587444" w14:paraId="64600946" w14:textId="77777777" w:rsidTr="00DD69E7">
        <w:trPr>
          <w:cantSplit/>
          <w:trHeight w:val="877"/>
          <w:tblHeader/>
        </w:trPr>
        <w:tc>
          <w:tcPr>
            <w:tcW w:w="1971" w:type="pct"/>
            <w:vAlign w:val="center"/>
          </w:tcPr>
          <w:p w14:paraId="04721517" w14:textId="77777777" w:rsidR="00587444" w:rsidRPr="00587444" w:rsidRDefault="00587444" w:rsidP="00587444">
            <w:pPr>
              <w:tabs>
                <w:tab w:val="right" w:pos="1202"/>
              </w:tabs>
              <w:suppressAutoHyphens w:val="0"/>
              <w:autoSpaceDN/>
              <w:spacing w:line="240" w:lineRule="atLeast"/>
              <w:outlineLvl w:val="0"/>
              <w:rPr>
                <w:rFonts w:ascii="Arial" w:eastAsia="Calibri" w:hAnsi="Arial" w:cs="Arial"/>
                <w:b/>
                <w:sz w:val="18"/>
                <w:szCs w:val="18"/>
              </w:rPr>
            </w:pPr>
            <w:r w:rsidRPr="00587444">
              <w:rPr>
                <w:rFonts w:ascii="Arial" w:eastAsia="Calibri" w:hAnsi="Arial" w:cs="Arial"/>
                <w:b/>
                <w:sz w:val="18"/>
                <w:szCs w:val="18"/>
              </w:rPr>
              <w:t>Group</w:t>
            </w:r>
          </w:p>
          <w:p w14:paraId="279FC389" w14:textId="77777777" w:rsidR="00587444" w:rsidRPr="00587444" w:rsidRDefault="00587444" w:rsidP="00587444">
            <w:pPr>
              <w:tabs>
                <w:tab w:val="right" w:pos="1202"/>
              </w:tabs>
              <w:suppressAutoHyphens w:val="0"/>
              <w:autoSpaceDN/>
              <w:spacing w:line="240" w:lineRule="atLeast"/>
              <w:outlineLvl w:val="0"/>
              <w:rPr>
                <w:rFonts w:ascii="Arial" w:eastAsia="Calibri" w:hAnsi="Arial" w:cs="Arial"/>
                <w:b/>
                <w:sz w:val="18"/>
                <w:szCs w:val="18"/>
              </w:rPr>
            </w:pPr>
          </w:p>
          <w:p w14:paraId="371D30BE" w14:textId="77777777" w:rsidR="00587444" w:rsidRPr="00587444" w:rsidRDefault="00587444" w:rsidP="00587444">
            <w:pPr>
              <w:tabs>
                <w:tab w:val="right" w:pos="1202"/>
              </w:tabs>
              <w:suppressAutoHyphens w:val="0"/>
              <w:autoSpaceDN/>
              <w:spacing w:line="240" w:lineRule="atLeast"/>
              <w:outlineLvl w:val="0"/>
              <w:rPr>
                <w:rFonts w:ascii="Arial" w:eastAsia="Calibri" w:hAnsi="Arial" w:cs="Arial"/>
                <w:b/>
                <w:sz w:val="18"/>
                <w:szCs w:val="18"/>
              </w:rPr>
            </w:pPr>
            <w:r w:rsidRPr="00587444">
              <w:rPr>
                <w:rFonts w:ascii="Arial" w:eastAsia="Calibri" w:hAnsi="Arial" w:cs="Arial"/>
                <w:b/>
                <w:sz w:val="18"/>
                <w:szCs w:val="18"/>
              </w:rPr>
              <w:t>31 December 2021</w:t>
            </w:r>
          </w:p>
        </w:tc>
        <w:tc>
          <w:tcPr>
            <w:tcW w:w="757" w:type="pct"/>
            <w:vAlign w:val="center"/>
          </w:tcPr>
          <w:p w14:paraId="75E3B7EC"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Republic of Croatia</w:t>
            </w:r>
          </w:p>
        </w:tc>
        <w:tc>
          <w:tcPr>
            <w:tcW w:w="757" w:type="pct"/>
            <w:vAlign w:val="center"/>
          </w:tcPr>
          <w:p w14:paraId="3C13BCD7"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EU</w:t>
            </w:r>
          </w:p>
          <w:p w14:paraId="5C40515B"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 countries</w:t>
            </w:r>
          </w:p>
        </w:tc>
        <w:tc>
          <w:tcPr>
            <w:tcW w:w="757" w:type="pct"/>
            <w:vAlign w:val="center"/>
          </w:tcPr>
          <w:p w14:paraId="2A7DF450"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Other </w:t>
            </w:r>
          </w:p>
          <w:p w14:paraId="3D127C40"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countries </w:t>
            </w:r>
          </w:p>
        </w:tc>
        <w:tc>
          <w:tcPr>
            <w:tcW w:w="757" w:type="pct"/>
            <w:vAlign w:val="center"/>
          </w:tcPr>
          <w:p w14:paraId="09357F44"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Total</w:t>
            </w:r>
          </w:p>
        </w:tc>
      </w:tr>
      <w:tr w:rsidR="00587444" w:rsidRPr="00587444" w14:paraId="58342010" w14:textId="77777777" w:rsidTr="00DD69E7">
        <w:trPr>
          <w:cantSplit/>
          <w:trHeight w:hRule="exact" w:val="247"/>
          <w:tblHeader/>
        </w:trPr>
        <w:tc>
          <w:tcPr>
            <w:tcW w:w="1971" w:type="pct"/>
          </w:tcPr>
          <w:p w14:paraId="5350BDC3" w14:textId="77777777" w:rsidR="00587444" w:rsidRPr="00587444" w:rsidRDefault="00587444" w:rsidP="00587444">
            <w:pPr>
              <w:tabs>
                <w:tab w:val="right" w:pos="1202"/>
              </w:tabs>
              <w:suppressAutoHyphens w:val="0"/>
              <w:autoSpaceDN/>
              <w:spacing w:line="240" w:lineRule="atLeast"/>
              <w:outlineLvl w:val="0"/>
              <w:rPr>
                <w:rFonts w:ascii="Arial" w:eastAsia="Calibri" w:hAnsi="Arial" w:cs="Arial"/>
                <w:b/>
                <w:sz w:val="18"/>
                <w:szCs w:val="18"/>
              </w:rPr>
            </w:pPr>
          </w:p>
        </w:tc>
        <w:tc>
          <w:tcPr>
            <w:tcW w:w="757" w:type="pct"/>
          </w:tcPr>
          <w:p w14:paraId="5B8CBAEE"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hAnsi="Arial" w:cs="Arial"/>
                <w:b/>
                <w:sz w:val="18"/>
                <w:szCs w:val="18"/>
              </w:rPr>
              <w:t>HRK ‘000</w:t>
            </w:r>
          </w:p>
        </w:tc>
        <w:tc>
          <w:tcPr>
            <w:tcW w:w="757" w:type="pct"/>
          </w:tcPr>
          <w:p w14:paraId="40EC152D"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hAnsi="Arial" w:cs="Arial"/>
                <w:b/>
                <w:bCs/>
                <w:sz w:val="18"/>
                <w:szCs w:val="18"/>
              </w:rPr>
              <w:t>HRK ‘000</w:t>
            </w:r>
          </w:p>
        </w:tc>
        <w:tc>
          <w:tcPr>
            <w:tcW w:w="757" w:type="pct"/>
          </w:tcPr>
          <w:p w14:paraId="3BF53B96"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hAnsi="Arial" w:cs="Arial"/>
                <w:b/>
                <w:sz w:val="18"/>
                <w:szCs w:val="18"/>
              </w:rPr>
              <w:t>HRK ‘000</w:t>
            </w:r>
          </w:p>
        </w:tc>
        <w:tc>
          <w:tcPr>
            <w:tcW w:w="757" w:type="pct"/>
          </w:tcPr>
          <w:p w14:paraId="49FBB3F8"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hAnsi="Arial" w:cs="Arial"/>
                <w:b/>
                <w:bCs/>
                <w:sz w:val="18"/>
                <w:szCs w:val="18"/>
              </w:rPr>
              <w:t>HRK ‘000</w:t>
            </w:r>
          </w:p>
        </w:tc>
      </w:tr>
      <w:tr w:rsidR="00587444" w:rsidRPr="00587444" w14:paraId="48D0F524" w14:textId="77777777" w:rsidTr="00DD69E7">
        <w:trPr>
          <w:cantSplit/>
          <w:trHeight w:val="273"/>
          <w:tblHeader/>
        </w:trPr>
        <w:tc>
          <w:tcPr>
            <w:tcW w:w="1971" w:type="pct"/>
          </w:tcPr>
          <w:p w14:paraId="62BEE006"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b/>
                <w:bCs/>
                <w:sz w:val="18"/>
                <w:szCs w:val="18"/>
              </w:rPr>
            </w:pPr>
            <w:r w:rsidRPr="00587444">
              <w:rPr>
                <w:rFonts w:ascii="Arial" w:eastAsia="Calibri" w:hAnsi="Arial" w:cs="Arial"/>
                <w:b/>
                <w:bCs/>
                <w:sz w:val="18"/>
                <w:szCs w:val="18"/>
              </w:rPr>
              <w:t>Assets</w:t>
            </w:r>
          </w:p>
        </w:tc>
        <w:tc>
          <w:tcPr>
            <w:tcW w:w="757" w:type="pct"/>
          </w:tcPr>
          <w:p w14:paraId="4FA53AB1" w14:textId="77777777" w:rsidR="00587444" w:rsidRPr="00587444" w:rsidRDefault="00587444" w:rsidP="00587444">
            <w:pPr>
              <w:suppressAutoHyphens w:val="0"/>
              <w:autoSpaceDN/>
              <w:spacing w:line="280" w:lineRule="exact"/>
              <w:jc w:val="right"/>
              <w:rPr>
                <w:rFonts w:ascii="Arial" w:eastAsia="Calibri" w:hAnsi="Arial" w:cs="Arial"/>
                <w:sz w:val="18"/>
                <w:szCs w:val="18"/>
              </w:rPr>
            </w:pPr>
          </w:p>
        </w:tc>
        <w:tc>
          <w:tcPr>
            <w:tcW w:w="757" w:type="pct"/>
          </w:tcPr>
          <w:p w14:paraId="10C98374" w14:textId="77777777" w:rsidR="00587444" w:rsidRPr="00587444" w:rsidRDefault="00587444" w:rsidP="00587444">
            <w:pPr>
              <w:suppressAutoHyphens w:val="0"/>
              <w:autoSpaceDN/>
              <w:spacing w:line="280" w:lineRule="exact"/>
              <w:jc w:val="right"/>
              <w:rPr>
                <w:rFonts w:ascii="Arial" w:eastAsia="Calibri" w:hAnsi="Arial" w:cs="Arial"/>
                <w:sz w:val="18"/>
                <w:szCs w:val="18"/>
              </w:rPr>
            </w:pPr>
          </w:p>
        </w:tc>
        <w:tc>
          <w:tcPr>
            <w:tcW w:w="757" w:type="pct"/>
          </w:tcPr>
          <w:p w14:paraId="1DC4A2E1" w14:textId="77777777" w:rsidR="00587444" w:rsidRPr="00587444" w:rsidRDefault="00587444" w:rsidP="00587444">
            <w:pPr>
              <w:suppressAutoHyphens w:val="0"/>
              <w:autoSpaceDN/>
              <w:spacing w:line="280" w:lineRule="exact"/>
              <w:jc w:val="right"/>
              <w:rPr>
                <w:rFonts w:ascii="Arial" w:eastAsia="Calibri" w:hAnsi="Arial" w:cs="Arial"/>
                <w:sz w:val="18"/>
                <w:szCs w:val="18"/>
              </w:rPr>
            </w:pPr>
          </w:p>
        </w:tc>
        <w:tc>
          <w:tcPr>
            <w:tcW w:w="757" w:type="pct"/>
          </w:tcPr>
          <w:p w14:paraId="1BA94BE3" w14:textId="77777777" w:rsidR="00587444" w:rsidRPr="00587444" w:rsidRDefault="00587444" w:rsidP="00587444">
            <w:pPr>
              <w:suppressAutoHyphens w:val="0"/>
              <w:autoSpaceDN/>
              <w:spacing w:line="280" w:lineRule="exact"/>
              <w:jc w:val="center"/>
              <w:rPr>
                <w:rFonts w:ascii="Arial" w:eastAsia="Calibri" w:hAnsi="Arial" w:cs="Arial"/>
                <w:sz w:val="18"/>
                <w:szCs w:val="18"/>
              </w:rPr>
            </w:pPr>
          </w:p>
        </w:tc>
      </w:tr>
      <w:tr w:rsidR="00587444" w:rsidRPr="00587444" w14:paraId="5E21F239" w14:textId="77777777" w:rsidTr="00DD69E7">
        <w:trPr>
          <w:cantSplit/>
          <w:trHeight w:val="273"/>
          <w:tblHeader/>
        </w:trPr>
        <w:tc>
          <w:tcPr>
            <w:tcW w:w="1971" w:type="pct"/>
            <w:vAlign w:val="bottom"/>
          </w:tcPr>
          <w:p w14:paraId="13595054"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Cash on hand and current accounts with banks</w:t>
            </w:r>
          </w:p>
        </w:tc>
        <w:tc>
          <w:tcPr>
            <w:tcW w:w="757" w:type="pct"/>
            <w:tcBorders>
              <w:top w:val="nil"/>
              <w:left w:val="nil"/>
              <w:bottom w:val="nil"/>
              <w:right w:val="nil"/>
            </w:tcBorders>
            <w:shd w:val="clear" w:color="auto" w:fill="auto"/>
            <w:vAlign w:val="bottom"/>
          </w:tcPr>
          <w:p w14:paraId="646B6FB8" w14:textId="77777777" w:rsidR="00587444" w:rsidRPr="00587444" w:rsidRDefault="00587444" w:rsidP="00587444">
            <w:pPr>
              <w:suppressAutoHyphens w:val="0"/>
              <w:autoSpaceDN/>
              <w:spacing w:line="280" w:lineRule="exact"/>
              <w:jc w:val="right"/>
              <w:rPr>
                <w:rFonts w:ascii="Arial" w:eastAsia="Calibri" w:hAnsi="Arial" w:cs="Arial"/>
                <w:sz w:val="18"/>
                <w:szCs w:val="18"/>
              </w:rPr>
            </w:pPr>
            <w:r w:rsidRPr="00587444">
              <w:rPr>
                <w:rFonts w:ascii="Arial" w:hAnsi="Arial" w:cs="Arial"/>
                <w:sz w:val="18"/>
                <w:szCs w:val="18"/>
              </w:rPr>
              <w:t>1,881,083</w:t>
            </w:r>
          </w:p>
        </w:tc>
        <w:tc>
          <w:tcPr>
            <w:tcW w:w="757" w:type="pct"/>
            <w:tcBorders>
              <w:top w:val="nil"/>
              <w:left w:val="nil"/>
              <w:bottom w:val="nil"/>
              <w:right w:val="nil"/>
            </w:tcBorders>
            <w:shd w:val="clear" w:color="auto" w:fill="auto"/>
            <w:vAlign w:val="bottom"/>
          </w:tcPr>
          <w:p w14:paraId="08A9D172"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25,319</w:t>
            </w:r>
          </w:p>
        </w:tc>
        <w:tc>
          <w:tcPr>
            <w:tcW w:w="757" w:type="pct"/>
            <w:tcBorders>
              <w:top w:val="nil"/>
              <w:left w:val="nil"/>
              <w:bottom w:val="nil"/>
              <w:right w:val="nil"/>
            </w:tcBorders>
            <w:shd w:val="clear" w:color="auto" w:fill="auto"/>
            <w:vAlign w:val="bottom"/>
          </w:tcPr>
          <w:p w14:paraId="75D4AF98"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55,583</w:t>
            </w:r>
          </w:p>
        </w:tc>
        <w:tc>
          <w:tcPr>
            <w:tcW w:w="757" w:type="pct"/>
            <w:tcBorders>
              <w:top w:val="nil"/>
              <w:left w:val="nil"/>
              <w:bottom w:val="nil"/>
              <w:right w:val="nil"/>
            </w:tcBorders>
            <w:shd w:val="clear" w:color="auto" w:fill="auto"/>
            <w:vAlign w:val="bottom"/>
          </w:tcPr>
          <w:p w14:paraId="7B61485C"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1,961,985</w:t>
            </w:r>
          </w:p>
        </w:tc>
      </w:tr>
      <w:tr w:rsidR="00587444" w:rsidRPr="00587444" w14:paraId="1AA1E504" w14:textId="77777777" w:rsidTr="00DD69E7">
        <w:trPr>
          <w:cantSplit/>
          <w:trHeight w:val="273"/>
          <w:tblHeader/>
        </w:trPr>
        <w:tc>
          <w:tcPr>
            <w:tcW w:w="1971" w:type="pct"/>
            <w:vAlign w:val="bottom"/>
          </w:tcPr>
          <w:p w14:paraId="575657D6"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Deposits with other banks</w:t>
            </w:r>
          </w:p>
        </w:tc>
        <w:tc>
          <w:tcPr>
            <w:tcW w:w="757" w:type="pct"/>
            <w:tcBorders>
              <w:top w:val="nil"/>
              <w:left w:val="nil"/>
              <w:bottom w:val="nil"/>
              <w:right w:val="nil"/>
            </w:tcBorders>
            <w:shd w:val="clear" w:color="auto" w:fill="auto"/>
            <w:vAlign w:val="bottom"/>
          </w:tcPr>
          <w:p w14:paraId="2674927F"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w:t>
            </w:r>
          </w:p>
        </w:tc>
        <w:tc>
          <w:tcPr>
            <w:tcW w:w="757" w:type="pct"/>
            <w:tcBorders>
              <w:top w:val="nil"/>
              <w:left w:val="nil"/>
              <w:bottom w:val="nil"/>
              <w:right w:val="nil"/>
            </w:tcBorders>
            <w:shd w:val="clear" w:color="auto" w:fill="auto"/>
            <w:vAlign w:val="bottom"/>
          </w:tcPr>
          <w:p w14:paraId="6124DF3C"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7,500</w:t>
            </w:r>
          </w:p>
        </w:tc>
        <w:tc>
          <w:tcPr>
            <w:tcW w:w="757" w:type="pct"/>
            <w:tcBorders>
              <w:top w:val="nil"/>
              <w:left w:val="nil"/>
              <w:bottom w:val="nil"/>
              <w:right w:val="nil"/>
            </w:tcBorders>
            <w:shd w:val="clear" w:color="auto" w:fill="auto"/>
            <w:vAlign w:val="bottom"/>
          </w:tcPr>
          <w:p w14:paraId="5E94FD7A"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w:t>
            </w:r>
          </w:p>
        </w:tc>
        <w:tc>
          <w:tcPr>
            <w:tcW w:w="757" w:type="pct"/>
            <w:tcBorders>
              <w:top w:val="nil"/>
              <w:left w:val="nil"/>
              <w:bottom w:val="nil"/>
              <w:right w:val="nil"/>
            </w:tcBorders>
            <w:shd w:val="clear" w:color="auto" w:fill="auto"/>
            <w:vAlign w:val="bottom"/>
          </w:tcPr>
          <w:p w14:paraId="14CD14C1"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7,500</w:t>
            </w:r>
          </w:p>
        </w:tc>
      </w:tr>
      <w:tr w:rsidR="00587444" w:rsidRPr="00587444" w14:paraId="028A34EE" w14:textId="77777777" w:rsidTr="00DD69E7">
        <w:trPr>
          <w:cantSplit/>
          <w:trHeight w:val="273"/>
          <w:tblHeader/>
        </w:trPr>
        <w:tc>
          <w:tcPr>
            <w:tcW w:w="1971" w:type="pct"/>
            <w:vAlign w:val="bottom"/>
          </w:tcPr>
          <w:p w14:paraId="4FDB8712"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Loans to financial institutions</w:t>
            </w:r>
          </w:p>
        </w:tc>
        <w:tc>
          <w:tcPr>
            <w:tcW w:w="757" w:type="pct"/>
            <w:tcBorders>
              <w:top w:val="nil"/>
              <w:left w:val="nil"/>
              <w:bottom w:val="nil"/>
              <w:right w:val="nil"/>
            </w:tcBorders>
            <w:shd w:val="clear" w:color="auto" w:fill="auto"/>
            <w:vAlign w:val="bottom"/>
          </w:tcPr>
          <w:p w14:paraId="33D9955B"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7,050,143</w:t>
            </w:r>
          </w:p>
        </w:tc>
        <w:tc>
          <w:tcPr>
            <w:tcW w:w="757" w:type="pct"/>
            <w:tcBorders>
              <w:top w:val="nil"/>
              <w:left w:val="nil"/>
              <w:bottom w:val="nil"/>
              <w:right w:val="nil"/>
            </w:tcBorders>
            <w:shd w:val="clear" w:color="auto" w:fill="auto"/>
            <w:vAlign w:val="bottom"/>
          </w:tcPr>
          <w:p w14:paraId="3D439967"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w:t>
            </w:r>
          </w:p>
        </w:tc>
        <w:tc>
          <w:tcPr>
            <w:tcW w:w="757" w:type="pct"/>
            <w:tcBorders>
              <w:top w:val="nil"/>
              <w:left w:val="nil"/>
              <w:bottom w:val="nil"/>
              <w:right w:val="nil"/>
            </w:tcBorders>
            <w:shd w:val="clear" w:color="auto" w:fill="auto"/>
            <w:vAlign w:val="bottom"/>
          </w:tcPr>
          <w:p w14:paraId="6560D9FC"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w:t>
            </w:r>
          </w:p>
        </w:tc>
        <w:tc>
          <w:tcPr>
            <w:tcW w:w="757" w:type="pct"/>
            <w:tcBorders>
              <w:top w:val="nil"/>
              <w:left w:val="nil"/>
              <w:bottom w:val="nil"/>
              <w:right w:val="nil"/>
            </w:tcBorders>
            <w:shd w:val="clear" w:color="auto" w:fill="auto"/>
            <w:vAlign w:val="bottom"/>
          </w:tcPr>
          <w:p w14:paraId="4F978305"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7,050,143</w:t>
            </w:r>
          </w:p>
        </w:tc>
      </w:tr>
      <w:tr w:rsidR="00587444" w:rsidRPr="00587444" w14:paraId="190E21C1" w14:textId="77777777" w:rsidTr="00DD69E7">
        <w:trPr>
          <w:cantSplit/>
          <w:trHeight w:val="273"/>
          <w:tblHeader/>
        </w:trPr>
        <w:tc>
          <w:tcPr>
            <w:tcW w:w="1971" w:type="pct"/>
            <w:vAlign w:val="bottom"/>
          </w:tcPr>
          <w:p w14:paraId="0B1D4756"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Loans to other customers</w:t>
            </w:r>
          </w:p>
        </w:tc>
        <w:tc>
          <w:tcPr>
            <w:tcW w:w="757" w:type="pct"/>
            <w:tcBorders>
              <w:top w:val="nil"/>
              <w:left w:val="nil"/>
              <w:bottom w:val="nil"/>
              <w:right w:val="nil"/>
            </w:tcBorders>
            <w:shd w:val="clear" w:color="auto" w:fill="auto"/>
            <w:vAlign w:val="bottom"/>
          </w:tcPr>
          <w:p w14:paraId="7D465C8C"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15,681,740</w:t>
            </w:r>
          </w:p>
        </w:tc>
        <w:tc>
          <w:tcPr>
            <w:tcW w:w="757" w:type="pct"/>
            <w:tcBorders>
              <w:top w:val="nil"/>
              <w:left w:val="nil"/>
              <w:bottom w:val="nil"/>
              <w:right w:val="nil"/>
            </w:tcBorders>
            <w:shd w:val="clear" w:color="auto" w:fill="auto"/>
            <w:vAlign w:val="bottom"/>
          </w:tcPr>
          <w:p w14:paraId="0F596170"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w:t>
            </w:r>
          </w:p>
        </w:tc>
        <w:tc>
          <w:tcPr>
            <w:tcW w:w="757" w:type="pct"/>
            <w:tcBorders>
              <w:top w:val="nil"/>
              <w:left w:val="nil"/>
              <w:bottom w:val="nil"/>
              <w:right w:val="nil"/>
            </w:tcBorders>
            <w:shd w:val="clear" w:color="auto" w:fill="auto"/>
            <w:vAlign w:val="bottom"/>
          </w:tcPr>
          <w:p w14:paraId="72FBB052"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282,636</w:t>
            </w:r>
          </w:p>
        </w:tc>
        <w:tc>
          <w:tcPr>
            <w:tcW w:w="757" w:type="pct"/>
            <w:tcBorders>
              <w:top w:val="nil"/>
              <w:left w:val="nil"/>
              <w:bottom w:val="nil"/>
              <w:right w:val="nil"/>
            </w:tcBorders>
            <w:shd w:val="clear" w:color="auto" w:fill="auto"/>
            <w:vAlign w:val="bottom"/>
          </w:tcPr>
          <w:p w14:paraId="3CA82131"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15,964,376</w:t>
            </w:r>
          </w:p>
        </w:tc>
      </w:tr>
      <w:tr w:rsidR="00587444" w:rsidRPr="00587444" w14:paraId="5D5DBBB1" w14:textId="77777777" w:rsidTr="00DD69E7">
        <w:trPr>
          <w:cantSplit/>
          <w:trHeight w:val="273"/>
          <w:tblHeader/>
        </w:trPr>
        <w:tc>
          <w:tcPr>
            <w:tcW w:w="1971" w:type="pct"/>
          </w:tcPr>
          <w:p w14:paraId="4E31B17E"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Financial assets at fair value through profit or loss</w:t>
            </w:r>
          </w:p>
        </w:tc>
        <w:tc>
          <w:tcPr>
            <w:tcW w:w="757" w:type="pct"/>
            <w:tcBorders>
              <w:top w:val="nil"/>
              <w:left w:val="nil"/>
              <w:bottom w:val="nil"/>
              <w:right w:val="nil"/>
            </w:tcBorders>
            <w:shd w:val="clear" w:color="auto" w:fill="auto"/>
            <w:vAlign w:val="bottom"/>
          </w:tcPr>
          <w:p w14:paraId="63731A72"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16,375</w:t>
            </w:r>
          </w:p>
        </w:tc>
        <w:tc>
          <w:tcPr>
            <w:tcW w:w="757" w:type="pct"/>
            <w:tcBorders>
              <w:top w:val="nil"/>
              <w:left w:val="nil"/>
              <w:bottom w:val="nil"/>
              <w:right w:val="nil"/>
            </w:tcBorders>
            <w:shd w:val="clear" w:color="auto" w:fill="auto"/>
            <w:vAlign w:val="bottom"/>
          </w:tcPr>
          <w:p w14:paraId="51CA61ED"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w:t>
            </w:r>
          </w:p>
        </w:tc>
        <w:tc>
          <w:tcPr>
            <w:tcW w:w="757" w:type="pct"/>
            <w:tcBorders>
              <w:top w:val="nil"/>
              <w:left w:val="nil"/>
              <w:bottom w:val="nil"/>
              <w:right w:val="nil"/>
            </w:tcBorders>
            <w:shd w:val="clear" w:color="auto" w:fill="auto"/>
            <w:vAlign w:val="bottom"/>
          </w:tcPr>
          <w:p w14:paraId="5C1BAB1F"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w:t>
            </w:r>
          </w:p>
        </w:tc>
        <w:tc>
          <w:tcPr>
            <w:tcW w:w="757" w:type="pct"/>
            <w:tcBorders>
              <w:top w:val="nil"/>
              <w:left w:val="nil"/>
              <w:bottom w:val="nil"/>
              <w:right w:val="nil"/>
            </w:tcBorders>
            <w:shd w:val="clear" w:color="auto" w:fill="auto"/>
            <w:vAlign w:val="bottom"/>
          </w:tcPr>
          <w:p w14:paraId="2C809EED"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16,375</w:t>
            </w:r>
          </w:p>
        </w:tc>
      </w:tr>
      <w:tr w:rsidR="00587444" w:rsidRPr="00587444" w14:paraId="253FE9E6" w14:textId="77777777" w:rsidTr="00DD69E7">
        <w:trPr>
          <w:cantSplit/>
          <w:trHeight w:val="273"/>
          <w:tblHeader/>
        </w:trPr>
        <w:tc>
          <w:tcPr>
            <w:tcW w:w="1971" w:type="pct"/>
            <w:vAlign w:val="center"/>
          </w:tcPr>
          <w:p w14:paraId="6FF66E15" w14:textId="31A8DE67" w:rsidR="00587444" w:rsidRPr="00587444" w:rsidRDefault="00587444" w:rsidP="00587444">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Financial assets at fair value through</w:t>
            </w:r>
            <w:r w:rsidR="00175A91">
              <w:rPr>
                <w:rFonts w:ascii="Arial" w:eastAsia="Calibri" w:hAnsi="Arial" w:cs="Arial"/>
                <w:sz w:val="18"/>
                <w:szCs w:val="18"/>
              </w:rPr>
              <w:t xml:space="preserve"> </w:t>
            </w:r>
            <w:r w:rsidRPr="00587444">
              <w:rPr>
                <w:rFonts w:ascii="Arial" w:eastAsia="Calibri" w:hAnsi="Arial" w:cs="Arial"/>
                <w:sz w:val="18"/>
                <w:szCs w:val="18"/>
              </w:rPr>
              <w:t>other comprehensive income</w:t>
            </w:r>
          </w:p>
        </w:tc>
        <w:tc>
          <w:tcPr>
            <w:tcW w:w="757" w:type="pct"/>
            <w:tcBorders>
              <w:top w:val="nil"/>
              <w:left w:val="nil"/>
              <w:bottom w:val="nil"/>
              <w:right w:val="nil"/>
            </w:tcBorders>
            <w:shd w:val="clear" w:color="auto" w:fill="auto"/>
            <w:vAlign w:val="bottom"/>
          </w:tcPr>
          <w:p w14:paraId="5BEA1456"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2,928,045</w:t>
            </w:r>
          </w:p>
        </w:tc>
        <w:tc>
          <w:tcPr>
            <w:tcW w:w="757" w:type="pct"/>
            <w:tcBorders>
              <w:top w:val="nil"/>
              <w:left w:val="nil"/>
              <w:bottom w:val="nil"/>
              <w:right w:val="nil"/>
            </w:tcBorders>
            <w:shd w:val="clear" w:color="auto" w:fill="auto"/>
            <w:vAlign w:val="bottom"/>
          </w:tcPr>
          <w:p w14:paraId="3E1B190F"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1,469</w:t>
            </w:r>
          </w:p>
        </w:tc>
        <w:tc>
          <w:tcPr>
            <w:tcW w:w="757" w:type="pct"/>
            <w:tcBorders>
              <w:top w:val="nil"/>
              <w:left w:val="nil"/>
              <w:bottom w:val="nil"/>
              <w:right w:val="nil"/>
            </w:tcBorders>
            <w:shd w:val="clear" w:color="auto" w:fill="auto"/>
            <w:vAlign w:val="bottom"/>
          </w:tcPr>
          <w:p w14:paraId="309D2AEB"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w:t>
            </w:r>
          </w:p>
        </w:tc>
        <w:tc>
          <w:tcPr>
            <w:tcW w:w="757" w:type="pct"/>
            <w:tcBorders>
              <w:top w:val="nil"/>
              <w:left w:val="nil"/>
              <w:bottom w:val="nil"/>
              <w:right w:val="nil"/>
            </w:tcBorders>
            <w:shd w:val="clear" w:color="auto" w:fill="auto"/>
            <w:vAlign w:val="bottom"/>
          </w:tcPr>
          <w:p w14:paraId="18844461"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2,929,514</w:t>
            </w:r>
          </w:p>
        </w:tc>
      </w:tr>
      <w:tr w:rsidR="00587444" w:rsidRPr="00587444" w14:paraId="6558EC10" w14:textId="77777777" w:rsidTr="00DD69E7">
        <w:trPr>
          <w:cantSplit/>
          <w:trHeight w:val="273"/>
          <w:tblHeader/>
        </w:trPr>
        <w:tc>
          <w:tcPr>
            <w:tcW w:w="1971" w:type="pct"/>
            <w:vAlign w:val="bottom"/>
          </w:tcPr>
          <w:p w14:paraId="1FFCD9EC"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Other assets</w:t>
            </w:r>
          </w:p>
        </w:tc>
        <w:tc>
          <w:tcPr>
            <w:tcW w:w="757" w:type="pct"/>
            <w:tcBorders>
              <w:top w:val="nil"/>
              <w:left w:val="nil"/>
              <w:bottom w:val="single" w:sz="4" w:space="0" w:color="auto"/>
              <w:right w:val="nil"/>
            </w:tcBorders>
            <w:shd w:val="clear" w:color="auto" w:fill="auto"/>
            <w:vAlign w:val="bottom"/>
          </w:tcPr>
          <w:p w14:paraId="42410382"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6,430</w:t>
            </w:r>
          </w:p>
        </w:tc>
        <w:tc>
          <w:tcPr>
            <w:tcW w:w="757" w:type="pct"/>
            <w:tcBorders>
              <w:top w:val="nil"/>
              <w:left w:val="nil"/>
              <w:bottom w:val="single" w:sz="4" w:space="0" w:color="auto"/>
              <w:right w:val="nil"/>
            </w:tcBorders>
            <w:shd w:val="clear" w:color="auto" w:fill="auto"/>
            <w:vAlign w:val="bottom"/>
          </w:tcPr>
          <w:p w14:paraId="533064B9"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254</w:t>
            </w:r>
          </w:p>
        </w:tc>
        <w:tc>
          <w:tcPr>
            <w:tcW w:w="757" w:type="pct"/>
            <w:tcBorders>
              <w:top w:val="nil"/>
              <w:left w:val="nil"/>
              <w:bottom w:val="single" w:sz="4" w:space="0" w:color="auto"/>
              <w:right w:val="nil"/>
            </w:tcBorders>
            <w:shd w:val="clear" w:color="auto" w:fill="auto"/>
            <w:vAlign w:val="bottom"/>
          </w:tcPr>
          <w:p w14:paraId="0294E687"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627</w:t>
            </w:r>
          </w:p>
        </w:tc>
        <w:tc>
          <w:tcPr>
            <w:tcW w:w="757" w:type="pct"/>
            <w:tcBorders>
              <w:top w:val="nil"/>
              <w:left w:val="nil"/>
              <w:bottom w:val="single" w:sz="4" w:space="0" w:color="auto"/>
              <w:right w:val="nil"/>
            </w:tcBorders>
            <w:shd w:val="clear" w:color="auto" w:fill="auto"/>
            <w:vAlign w:val="bottom"/>
          </w:tcPr>
          <w:p w14:paraId="255C69F0"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7,311</w:t>
            </w:r>
          </w:p>
        </w:tc>
      </w:tr>
      <w:tr w:rsidR="00587444" w:rsidRPr="00587444" w14:paraId="21A3B29F" w14:textId="77777777" w:rsidTr="00DD69E7">
        <w:trPr>
          <w:cantSplit/>
          <w:trHeight w:val="272"/>
          <w:tblHeader/>
        </w:trPr>
        <w:tc>
          <w:tcPr>
            <w:tcW w:w="1971" w:type="pct"/>
            <w:vAlign w:val="bottom"/>
          </w:tcPr>
          <w:p w14:paraId="1F65046C"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b/>
                <w:bCs/>
                <w:sz w:val="18"/>
                <w:szCs w:val="18"/>
              </w:rPr>
            </w:pPr>
            <w:r w:rsidRPr="00587444">
              <w:rPr>
                <w:rFonts w:ascii="Arial" w:eastAsia="Calibri" w:hAnsi="Arial" w:cs="Arial"/>
                <w:b/>
                <w:bCs/>
                <w:sz w:val="18"/>
                <w:szCs w:val="18"/>
              </w:rPr>
              <w:t xml:space="preserve">Total </w:t>
            </w:r>
          </w:p>
        </w:tc>
        <w:tc>
          <w:tcPr>
            <w:tcW w:w="757" w:type="pct"/>
            <w:tcBorders>
              <w:top w:val="nil"/>
              <w:left w:val="nil"/>
              <w:bottom w:val="single" w:sz="8" w:space="0" w:color="auto"/>
              <w:right w:val="nil"/>
            </w:tcBorders>
            <w:shd w:val="clear" w:color="auto" w:fill="auto"/>
            <w:vAlign w:val="bottom"/>
          </w:tcPr>
          <w:p w14:paraId="01675836"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27,563,816</w:t>
            </w:r>
          </w:p>
        </w:tc>
        <w:tc>
          <w:tcPr>
            <w:tcW w:w="757" w:type="pct"/>
            <w:tcBorders>
              <w:top w:val="nil"/>
              <w:left w:val="nil"/>
              <w:bottom w:val="single" w:sz="8" w:space="0" w:color="auto"/>
              <w:right w:val="nil"/>
            </w:tcBorders>
            <w:shd w:val="clear" w:color="auto" w:fill="auto"/>
            <w:vAlign w:val="bottom"/>
          </w:tcPr>
          <w:p w14:paraId="74AFD333"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34,542</w:t>
            </w:r>
          </w:p>
        </w:tc>
        <w:tc>
          <w:tcPr>
            <w:tcW w:w="757" w:type="pct"/>
            <w:tcBorders>
              <w:top w:val="nil"/>
              <w:left w:val="nil"/>
              <w:bottom w:val="single" w:sz="8" w:space="0" w:color="auto"/>
              <w:right w:val="nil"/>
            </w:tcBorders>
            <w:shd w:val="clear" w:color="auto" w:fill="auto"/>
            <w:vAlign w:val="bottom"/>
          </w:tcPr>
          <w:p w14:paraId="18464597"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338,846</w:t>
            </w:r>
          </w:p>
        </w:tc>
        <w:tc>
          <w:tcPr>
            <w:tcW w:w="757" w:type="pct"/>
            <w:tcBorders>
              <w:top w:val="nil"/>
              <w:left w:val="nil"/>
              <w:bottom w:val="single" w:sz="8" w:space="0" w:color="auto"/>
              <w:right w:val="nil"/>
            </w:tcBorders>
            <w:shd w:val="clear" w:color="auto" w:fill="auto"/>
            <w:vAlign w:val="bottom"/>
          </w:tcPr>
          <w:p w14:paraId="5AE86CD3"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27,937,204</w:t>
            </w:r>
          </w:p>
        </w:tc>
      </w:tr>
      <w:tr w:rsidR="00587444" w:rsidRPr="00587444" w14:paraId="0E2BAEBC" w14:textId="77777777" w:rsidTr="00DD69E7">
        <w:tblPrEx>
          <w:tblCellMar>
            <w:left w:w="31" w:type="dxa"/>
            <w:right w:w="31" w:type="dxa"/>
          </w:tblCellMar>
        </w:tblPrEx>
        <w:trPr>
          <w:cantSplit/>
          <w:trHeight w:val="273"/>
          <w:tblHeader/>
        </w:trPr>
        <w:tc>
          <w:tcPr>
            <w:tcW w:w="1971" w:type="pct"/>
            <w:vAlign w:val="bottom"/>
          </w:tcPr>
          <w:p w14:paraId="20083AAE"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b/>
                <w:bCs/>
                <w:sz w:val="18"/>
                <w:szCs w:val="18"/>
              </w:rPr>
            </w:pPr>
          </w:p>
        </w:tc>
        <w:tc>
          <w:tcPr>
            <w:tcW w:w="757" w:type="pct"/>
            <w:tcBorders>
              <w:top w:val="single" w:sz="12" w:space="0" w:color="auto"/>
            </w:tcBorders>
            <w:shd w:val="clear" w:color="auto" w:fill="auto"/>
            <w:vAlign w:val="bottom"/>
          </w:tcPr>
          <w:p w14:paraId="76BFF289"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shd w:val="clear" w:color="auto" w:fill="auto"/>
            <w:vAlign w:val="bottom"/>
          </w:tcPr>
          <w:p w14:paraId="3CC85CFE"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shd w:val="clear" w:color="auto" w:fill="auto"/>
            <w:vAlign w:val="bottom"/>
          </w:tcPr>
          <w:p w14:paraId="6DA4536A"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shd w:val="clear" w:color="auto" w:fill="auto"/>
            <w:vAlign w:val="bottom"/>
          </w:tcPr>
          <w:p w14:paraId="5420ECDD"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r>
      <w:tr w:rsidR="00587444" w:rsidRPr="00587444" w14:paraId="073B9467" w14:textId="77777777" w:rsidTr="00DD69E7">
        <w:tblPrEx>
          <w:tblCellMar>
            <w:left w:w="31" w:type="dxa"/>
            <w:right w:w="31" w:type="dxa"/>
          </w:tblCellMar>
        </w:tblPrEx>
        <w:trPr>
          <w:cantSplit/>
          <w:trHeight w:val="273"/>
          <w:tblHeader/>
        </w:trPr>
        <w:tc>
          <w:tcPr>
            <w:tcW w:w="1971" w:type="pct"/>
          </w:tcPr>
          <w:p w14:paraId="3CDB0A9C"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b/>
                <w:bCs/>
                <w:sz w:val="18"/>
                <w:szCs w:val="18"/>
              </w:rPr>
            </w:pPr>
            <w:r w:rsidRPr="00587444">
              <w:rPr>
                <w:rFonts w:ascii="Arial" w:eastAsia="Calibri" w:hAnsi="Arial" w:cs="Arial"/>
                <w:b/>
                <w:bCs/>
                <w:sz w:val="18"/>
                <w:szCs w:val="18"/>
              </w:rPr>
              <w:t>Guarantees and commitments</w:t>
            </w:r>
          </w:p>
        </w:tc>
        <w:tc>
          <w:tcPr>
            <w:tcW w:w="757" w:type="pct"/>
            <w:shd w:val="clear" w:color="auto" w:fill="auto"/>
            <w:vAlign w:val="bottom"/>
          </w:tcPr>
          <w:p w14:paraId="3A32D1DF"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shd w:val="clear" w:color="auto" w:fill="auto"/>
            <w:vAlign w:val="bottom"/>
          </w:tcPr>
          <w:p w14:paraId="4AAA31A0"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shd w:val="clear" w:color="auto" w:fill="auto"/>
            <w:vAlign w:val="bottom"/>
          </w:tcPr>
          <w:p w14:paraId="7E3EAA40"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shd w:val="clear" w:color="auto" w:fill="auto"/>
            <w:vAlign w:val="bottom"/>
          </w:tcPr>
          <w:p w14:paraId="4516655E"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r>
      <w:tr w:rsidR="00587444" w:rsidRPr="00587444" w14:paraId="4D4916E0" w14:textId="77777777" w:rsidTr="00DD69E7">
        <w:tblPrEx>
          <w:tblCellMar>
            <w:left w:w="31" w:type="dxa"/>
            <w:right w:w="31" w:type="dxa"/>
          </w:tblCellMar>
        </w:tblPrEx>
        <w:trPr>
          <w:cantSplit/>
          <w:trHeight w:val="273"/>
          <w:tblHeader/>
        </w:trPr>
        <w:tc>
          <w:tcPr>
            <w:tcW w:w="1971" w:type="pct"/>
          </w:tcPr>
          <w:p w14:paraId="13B8F150"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bCs/>
                <w:sz w:val="18"/>
                <w:szCs w:val="18"/>
              </w:rPr>
            </w:pPr>
            <w:r w:rsidRPr="00587444">
              <w:rPr>
                <w:rFonts w:ascii="Arial" w:eastAsia="Calibri" w:hAnsi="Arial" w:cs="Arial"/>
                <w:bCs/>
                <w:sz w:val="18"/>
                <w:szCs w:val="18"/>
              </w:rPr>
              <w:t>Guarantees issued in HRK</w:t>
            </w:r>
          </w:p>
        </w:tc>
        <w:tc>
          <w:tcPr>
            <w:tcW w:w="757" w:type="pct"/>
            <w:tcBorders>
              <w:top w:val="nil"/>
              <w:left w:val="nil"/>
              <w:bottom w:val="nil"/>
              <w:right w:val="nil"/>
            </w:tcBorders>
            <w:shd w:val="clear" w:color="auto" w:fill="auto"/>
            <w:vAlign w:val="bottom"/>
          </w:tcPr>
          <w:p w14:paraId="390E3EE3"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140,113</w:t>
            </w:r>
          </w:p>
        </w:tc>
        <w:tc>
          <w:tcPr>
            <w:tcW w:w="757" w:type="pct"/>
            <w:tcBorders>
              <w:top w:val="nil"/>
              <w:left w:val="nil"/>
              <w:bottom w:val="nil"/>
              <w:right w:val="nil"/>
            </w:tcBorders>
            <w:shd w:val="clear" w:color="auto" w:fill="auto"/>
            <w:vAlign w:val="bottom"/>
          </w:tcPr>
          <w:p w14:paraId="728F6679"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57" w:type="pct"/>
            <w:tcBorders>
              <w:top w:val="nil"/>
              <w:left w:val="nil"/>
              <w:bottom w:val="nil"/>
              <w:right w:val="nil"/>
            </w:tcBorders>
            <w:shd w:val="clear" w:color="auto" w:fill="auto"/>
            <w:vAlign w:val="bottom"/>
          </w:tcPr>
          <w:p w14:paraId="025B3243"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57" w:type="pct"/>
            <w:tcBorders>
              <w:top w:val="nil"/>
              <w:left w:val="nil"/>
              <w:bottom w:val="nil"/>
              <w:right w:val="nil"/>
            </w:tcBorders>
            <w:shd w:val="clear" w:color="auto" w:fill="auto"/>
            <w:vAlign w:val="bottom"/>
          </w:tcPr>
          <w:p w14:paraId="7FA3E304"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sz w:val="18"/>
                <w:szCs w:val="18"/>
              </w:rPr>
              <w:t>140,113</w:t>
            </w:r>
          </w:p>
        </w:tc>
      </w:tr>
      <w:tr w:rsidR="00587444" w:rsidRPr="00587444" w14:paraId="0DCF5E8D" w14:textId="77777777" w:rsidTr="00DD69E7">
        <w:tblPrEx>
          <w:tblCellMar>
            <w:left w:w="31" w:type="dxa"/>
            <w:right w:w="31" w:type="dxa"/>
          </w:tblCellMar>
        </w:tblPrEx>
        <w:trPr>
          <w:cantSplit/>
          <w:trHeight w:val="273"/>
          <w:tblHeader/>
        </w:trPr>
        <w:tc>
          <w:tcPr>
            <w:tcW w:w="1971" w:type="pct"/>
            <w:vAlign w:val="bottom"/>
          </w:tcPr>
          <w:p w14:paraId="07FF7B0D"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Issued guarantees in foreign currency</w:t>
            </w:r>
          </w:p>
        </w:tc>
        <w:tc>
          <w:tcPr>
            <w:tcW w:w="757" w:type="pct"/>
            <w:tcBorders>
              <w:top w:val="nil"/>
              <w:left w:val="nil"/>
              <w:bottom w:val="nil"/>
              <w:right w:val="nil"/>
            </w:tcBorders>
            <w:shd w:val="clear" w:color="auto" w:fill="auto"/>
            <w:vAlign w:val="bottom"/>
          </w:tcPr>
          <w:p w14:paraId="6F2055DF"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260,705</w:t>
            </w:r>
          </w:p>
        </w:tc>
        <w:tc>
          <w:tcPr>
            <w:tcW w:w="757" w:type="pct"/>
            <w:tcBorders>
              <w:top w:val="nil"/>
              <w:left w:val="nil"/>
              <w:bottom w:val="nil"/>
              <w:right w:val="nil"/>
            </w:tcBorders>
            <w:shd w:val="clear" w:color="auto" w:fill="auto"/>
            <w:vAlign w:val="bottom"/>
          </w:tcPr>
          <w:p w14:paraId="468B3609"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57" w:type="pct"/>
            <w:tcBorders>
              <w:top w:val="nil"/>
              <w:left w:val="nil"/>
              <w:bottom w:val="nil"/>
              <w:right w:val="nil"/>
            </w:tcBorders>
            <w:shd w:val="clear" w:color="auto" w:fill="auto"/>
            <w:vAlign w:val="bottom"/>
          </w:tcPr>
          <w:p w14:paraId="65A4D201"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57" w:type="pct"/>
            <w:tcBorders>
              <w:top w:val="nil"/>
              <w:left w:val="nil"/>
              <w:bottom w:val="nil"/>
              <w:right w:val="nil"/>
            </w:tcBorders>
            <w:shd w:val="clear" w:color="auto" w:fill="auto"/>
            <w:vAlign w:val="bottom"/>
          </w:tcPr>
          <w:p w14:paraId="7F196F4A"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sz w:val="18"/>
                <w:szCs w:val="18"/>
              </w:rPr>
              <w:t>260,705</w:t>
            </w:r>
          </w:p>
        </w:tc>
      </w:tr>
      <w:tr w:rsidR="00587444" w:rsidRPr="00587444" w14:paraId="6E9EEF83" w14:textId="77777777" w:rsidTr="00DD69E7">
        <w:tblPrEx>
          <w:tblCellMar>
            <w:left w:w="31" w:type="dxa"/>
            <w:right w:w="31" w:type="dxa"/>
          </w:tblCellMar>
        </w:tblPrEx>
        <w:trPr>
          <w:cantSplit/>
          <w:trHeight w:val="273"/>
          <w:tblHeader/>
        </w:trPr>
        <w:tc>
          <w:tcPr>
            <w:tcW w:w="1971" w:type="pct"/>
            <w:vAlign w:val="bottom"/>
          </w:tcPr>
          <w:p w14:paraId="676AF3A7"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Undrawn loans</w:t>
            </w:r>
          </w:p>
        </w:tc>
        <w:tc>
          <w:tcPr>
            <w:tcW w:w="757" w:type="pct"/>
            <w:tcBorders>
              <w:top w:val="nil"/>
              <w:left w:val="nil"/>
              <w:bottom w:val="single" w:sz="4" w:space="0" w:color="auto"/>
              <w:right w:val="nil"/>
            </w:tcBorders>
            <w:shd w:val="clear" w:color="auto" w:fill="auto"/>
            <w:vAlign w:val="bottom"/>
          </w:tcPr>
          <w:p w14:paraId="0D1242DC"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3,454,685</w:t>
            </w:r>
          </w:p>
        </w:tc>
        <w:tc>
          <w:tcPr>
            <w:tcW w:w="757" w:type="pct"/>
            <w:tcBorders>
              <w:top w:val="nil"/>
              <w:left w:val="nil"/>
              <w:bottom w:val="single" w:sz="4" w:space="0" w:color="auto"/>
              <w:right w:val="nil"/>
            </w:tcBorders>
            <w:shd w:val="clear" w:color="auto" w:fill="auto"/>
            <w:vAlign w:val="bottom"/>
          </w:tcPr>
          <w:p w14:paraId="109BA8B3"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sz w:val="18"/>
                <w:szCs w:val="18"/>
              </w:rPr>
              <w:t>-</w:t>
            </w:r>
          </w:p>
        </w:tc>
        <w:tc>
          <w:tcPr>
            <w:tcW w:w="757" w:type="pct"/>
            <w:tcBorders>
              <w:top w:val="nil"/>
              <w:left w:val="nil"/>
              <w:bottom w:val="single" w:sz="4" w:space="0" w:color="auto"/>
              <w:right w:val="nil"/>
            </w:tcBorders>
            <w:shd w:val="clear" w:color="auto" w:fill="auto"/>
            <w:vAlign w:val="bottom"/>
          </w:tcPr>
          <w:p w14:paraId="3EA38609"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sz w:val="18"/>
                <w:szCs w:val="18"/>
              </w:rPr>
              <w:t>2,606</w:t>
            </w:r>
          </w:p>
        </w:tc>
        <w:tc>
          <w:tcPr>
            <w:tcW w:w="757" w:type="pct"/>
            <w:tcBorders>
              <w:top w:val="nil"/>
              <w:left w:val="nil"/>
              <w:bottom w:val="single" w:sz="4" w:space="0" w:color="auto"/>
              <w:right w:val="nil"/>
            </w:tcBorders>
            <w:shd w:val="clear" w:color="auto" w:fill="auto"/>
            <w:vAlign w:val="bottom"/>
          </w:tcPr>
          <w:p w14:paraId="2259EB27"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sz w:val="18"/>
                <w:szCs w:val="18"/>
              </w:rPr>
              <w:t>3,457,291</w:t>
            </w:r>
          </w:p>
        </w:tc>
      </w:tr>
      <w:tr w:rsidR="00587444" w:rsidRPr="00587444" w14:paraId="429CA3C5" w14:textId="77777777" w:rsidTr="00DD69E7">
        <w:tblPrEx>
          <w:tblCellMar>
            <w:left w:w="31" w:type="dxa"/>
            <w:right w:w="31" w:type="dxa"/>
          </w:tblCellMar>
        </w:tblPrEx>
        <w:trPr>
          <w:cantSplit/>
          <w:trHeight w:val="322"/>
          <w:tblHeader/>
        </w:trPr>
        <w:tc>
          <w:tcPr>
            <w:tcW w:w="1971" w:type="pct"/>
            <w:vAlign w:val="bottom"/>
          </w:tcPr>
          <w:p w14:paraId="62576535"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b/>
                <w:bCs/>
                <w:sz w:val="18"/>
                <w:szCs w:val="18"/>
              </w:rPr>
            </w:pPr>
            <w:r w:rsidRPr="00587444">
              <w:rPr>
                <w:rFonts w:ascii="Arial" w:eastAsia="Calibri" w:hAnsi="Arial" w:cs="Arial"/>
                <w:b/>
                <w:bCs/>
                <w:sz w:val="18"/>
                <w:szCs w:val="18"/>
              </w:rPr>
              <w:t>Total</w:t>
            </w:r>
          </w:p>
        </w:tc>
        <w:tc>
          <w:tcPr>
            <w:tcW w:w="757" w:type="pct"/>
            <w:tcBorders>
              <w:top w:val="single" w:sz="4" w:space="0" w:color="auto"/>
              <w:left w:val="nil"/>
              <w:bottom w:val="single" w:sz="12" w:space="0" w:color="auto"/>
              <w:right w:val="nil"/>
            </w:tcBorders>
            <w:shd w:val="clear" w:color="auto" w:fill="auto"/>
            <w:vAlign w:val="bottom"/>
          </w:tcPr>
          <w:p w14:paraId="4DD27C64"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3,855,503</w:t>
            </w:r>
          </w:p>
        </w:tc>
        <w:tc>
          <w:tcPr>
            <w:tcW w:w="757" w:type="pct"/>
            <w:tcBorders>
              <w:top w:val="single" w:sz="4" w:space="0" w:color="auto"/>
              <w:left w:val="nil"/>
              <w:bottom w:val="single" w:sz="12" w:space="0" w:color="auto"/>
              <w:right w:val="nil"/>
            </w:tcBorders>
            <w:shd w:val="clear" w:color="auto" w:fill="auto"/>
            <w:vAlign w:val="bottom"/>
          </w:tcPr>
          <w:p w14:paraId="1EFAF5E0"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w:t>
            </w:r>
          </w:p>
        </w:tc>
        <w:tc>
          <w:tcPr>
            <w:tcW w:w="757" w:type="pct"/>
            <w:tcBorders>
              <w:top w:val="single" w:sz="4" w:space="0" w:color="auto"/>
              <w:left w:val="nil"/>
              <w:bottom w:val="single" w:sz="12" w:space="0" w:color="auto"/>
              <w:right w:val="nil"/>
            </w:tcBorders>
            <w:shd w:val="clear" w:color="auto" w:fill="auto"/>
            <w:vAlign w:val="bottom"/>
          </w:tcPr>
          <w:p w14:paraId="1CB75B48"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2,606</w:t>
            </w:r>
          </w:p>
        </w:tc>
        <w:tc>
          <w:tcPr>
            <w:tcW w:w="757" w:type="pct"/>
            <w:tcBorders>
              <w:top w:val="single" w:sz="4" w:space="0" w:color="auto"/>
              <w:left w:val="nil"/>
              <w:bottom w:val="single" w:sz="12" w:space="0" w:color="auto"/>
              <w:right w:val="nil"/>
            </w:tcBorders>
            <w:shd w:val="clear" w:color="auto" w:fill="auto"/>
            <w:vAlign w:val="bottom"/>
          </w:tcPr>
          <w:p w14:paraId="4135A8E1"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3,858,109</w:t>
            </w:r>
          </w:p>
        </w:tc>
      </w:tr>
      <w:tr w:rsidR="00587444" w:rsidRPr="00587444" w14:paraId="06D05CB5" w14:textId="77777777" w:rsidTr="00DD69E7">
        <w:tblPrEx>
          <w:tblCellMar>
            <w:left w:w="31" w:type="dxa"/>
            <w:right w:w="31" w:type="dxa"/>
          </w:tblCellMar>
        </w:tblPrEx>
        <w:trPr>
          <w:cantSplit/>
          <w:trHeight w:val="407"/>
          <w:tblHeader/>
        </w:trPr>
        <w:tc>
          <w:tcPr>
            <w:tcW w:w="1971" w:type="pct"/>
            <w:vAlign w:val="bottom"/>
          </w:tcPr>
          <w:p w14:paraId="0E4382DA" w14:textId="77777777" w:rsidR="00587444" w:rsidRPr="00587444" w:rsidRDefault="00587444" w:rsidP="00587444">
            <w:pPr>
              <w:tabs>
                <w:tab w:val="right" w:pos="1202"/>
              </w:tabs>
              <w:suppressAutoHyphens w:val="0"/>
              <w:autoSpaceDN/>
              <w:spacing w:line="280" w:lineRule="exact"/>
              <w:outlineLvl w:val="0"/>
              <w:rPr>
                <w:rFonts w:ascii="Arial" w:eastAsia="Calibri" w:hAnsi="Arial" w:cs="Arial"/>
                <w:b/>
                <w:bCs/>
                <w:sz w:val="18"/>
                <w:szCs w:val="18"/>
              </w:rPr>
            </w:pPr>
            <w:r w:rsidRPr="00587444">
              <w:rPr>
                <w:rFonts w:ascii="Arial" w:eastAsia="Calibri" w:hAnsi="Arial" w:cs="Arial"/>
                <w:b/>
                <w:bCs/>
                <w:sz w:val="18"/>
                <w:szCs w:val="18"/>
              </w:rPr>
              <w:t>Total credit risk exposure</w:t>
            </w:r>
          </w:p>
        </w:tc>
        <w:tc>
          <w:tcPr>
            <w:tcW w:w="757" w:type="pct"/>
            <w:tcBorders>
              <w:top w:val="nil"/>
              <w:left w:val="nil"/>
              <w:bottom w:val="single" w:sz="12" w:space="0" w:color="auto"/>
              <w:right w:val="nil"/>
            </w:tcBorders>
            <w:shd w:val="clear" w:color="auto" w:fill="auto"/>
            <w:vAlign w:val="bottom"/>
          </w:tcPr>
          <w:p w14:paraId="4EFFA735"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31,419,319</w:t>
            </w:r>
          </w:p>
        </w:tc>
        <w:tc>
          <w:tcPr>
            <w:tcW w:w="757" w:type="pct"/>
            <w:tcBorders>
              <w:top w:val="nil"/>
              <w:left w:val="nil"/>
              <w:bottom w:val="single" w:sz="12" w:space="0" w:color="auto"/>
              <w:right w:val="nil"/>
            </w:tcBorders>
            <w:shd w:val="clear" w:color="auto" w:fill="auto"/>
            <w:vAlign w:val="bottom"/>
          </w:tcPr>
          <w:p w14:paraId="40BE7711"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34,542</w:t>
            </w:r>
          </w:p>
        </w:tc>
        <w:tc>
          <w:tcPr>
            <w:tcW w:w="757" w:type="pct"/>
            <w:tcBorders>
              <w:top w:val="nil"/>
              <w:left w:val="nil"/>
              <w:bottom w:val="single" w:sz="12" w:space="0" w:color="auto"/>
              <w:right w:val="nil"/>
            </w:tcBorders>
            <w:shd w:val="clear" w:color="auto" w:fill="auto"/>
            <w:vAlign w:val="bottom"/>
          </w:tcPr>
          <w:p w14:paraId="65EAA6B5"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341,452</w:t>
            </w:r>
          </w:p>
        </w:tc>
        <w:tc>
          <w:tcPr>
            <w:tcW w:w="757" w:type="pct"/>
            <w:tcBorders>
              <w:top w:val="nil"/>
              <w:left w:val="nil"/>
              <w:bottom w:val="single" w:sz="12" w:space="0" w:color="auto"/>
              <w:right w:val="nil"/>
            </w:tcBorders>
            <w:shd w:val="clear" w:color="auto" w:fill="auto"/>
            <w:vAlign w:val="bottom"/>
          </w:tcPr>
          <w:p w14:paraId="760A5E4B"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31,795,313</w:t>
            </w:r>
          </w:p>
        </w:tc>
      </w:tr>
    </w:tbl>
    <w:p w14:paraId="0281502B" w14:textId="77777777" w:rsidR="00587444" w:rsidRPr="00587444" w:rsidRDefault="00587444" w:rsidP="00587444">
      <w:pPr>
        <w:keepNext/>
        <w:suppressAutoHyphens w:val="0"/>
        <w:autoSpaceDN/>
        <w:jc w:val="both"/>
        <w:rPr>
          <w:rFonts w:ascii="Arial" w:hAnsi="Arial" w:cs="Arial"/>
          <w:bCs/>
          <w:sz w:val="20"/>
          <w:szCs w:val="20"/>
        </w:rPr>
      </w:pPr>
    </w:p>
    <w:p w14:paraId="35ED2EE1" w14:textId="77777777" w:rsidR="00587444" w:rsidRPr="00587444" w:rsidRDefault="00587444" w:rsidP="00587444">
      <w:pPr>
        <w:keepNext/>
        <w:suppressAutoHyphens w:val="0"/>
        <w:autoSpaceDN/>
        <w:jc w:val="both"/>
        <w:rPr>
          <w:rFonts w:ascii="Arial" w:hAnsi="Arial" w:cs="Arial"/>
          <w:bCs/>
          <w:sz w:val="20"/>
          <w:szCs w:val="20"/>
        </w:rPr>
      </w:pPr>
    </w:p>
    <w:p w14:paraId="672C3C7D"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pPr>
    </w:p>
    <w:p w14:paraId="27197495"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pPr>
    </w:p>
    <w:p w14:paraId="169A448F"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3744DFEA" w14:textId="77777777" w:rsidR="00587444" w:rsidRPr="00587444" w:rsidRDefault="00587444" w:rsidP="00587444">
      <w:pPr>
        <w:keepNext/>
        <w:suppressAutoHyphens w:val="0"/>
        <w:autoSpaceDN/>
        <w:jc w:val="both"/>
        <w:rPr>
          <w:rFonts w:ascii="Arial" w:hAnsi="Arial" w:cs="Arial"/>
          <w:b/>
          <w:bCs/>
          <w:sz w:val="20"/>
          <w:szCs w:val="20"/>
          <w:lang w:val="en-GB"/>
        </w:rPr>
      </w:pPr>
    </w:p>
    <w:p w14:paraId="684EF629"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38468126" w14:textId="77777777" w:rsidR="00587444" w:rsidRPr="00587444" w:rsidRDefault="00587444" w:rsidP="00587444">
      <w:pPr>
        <w:suppressAutoHyphens w:val="0"/>
        <w:autoSpaceDN/>
        <w:jc w:val="both"/>
        <w:rPr>
          <w:rFonts w:ascii="Arial" w:hAnsi="Arial" w:cs="Arial"/>
          <w:b/>
          <w:sz w:val="20"/>
          <w:szCs w:val="20"/>
          <w:lang w:val="en-GB"/>
        </w:rPr>
      </w:pPr>
    </w:p>
    <w:p w14:paraId="03D56B1F"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2D7B2F59" w14:textId="77777777" w:rsidR="00587444" w:rsidRPr="00587444" w:rsidRDefault="00587444" w:rsidP="00587444">
      <w:pPr>
        <w:suppressAutoHyphens w:val="0"/>
        <w:autoSpaceDN/>
        <w:jc w:val="both"/>
        <w:rPr>
          <w:rFonts w:ascii="Arial" w:hAnsi="Arial" w:cs="Arial"/>
          <w:b/>
          <w:sz w:val="20"/>
          <w:szCs w:val="20"/>
          <w:lang w:val="en-GB"/>
        </w:rPr>
      </w:pPr>
    </w:p>
    <w:p w14:paraId="69D42DD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0BEE8585" w14:textId="77777777" w:rsidR="00587444" w:rsidRPr="00587444" w:rsidRDefault="00587444" w:rsidP="00587444">
      <w:pPr>
        <w:suppressAutoHyphens w:val="0"/>
        <w:autoSpaceDN/>
        <w:jc w:val="both"/>
        <w:rPr>
          <w:rFonts w:ascii="Arial" w:hAnsi="Arial" w:cs="Arial"/>
          <w:sz w:val="20"/>
          <w:szCs w:val="20"/>
          <w:lang w:val="en-GB"/>
        </w:rPr>
      </w:pPr>
    </w:p>
    <w:p w14:paraId="5884E395" w14:textId="77777777" w:rsidR="00587444" w:rsidRPr="00587444" w:rsidRDefault="00587444" w:rsidP="00587444">
      <w:pPr>
        <w:suppressAutoHyphens w:val="0"/>
        <w:autoSpaceDN/>
        <w:jc w:val="both"/>
        <w:rPr>
          <w:rFonts w:ascii="Arial" w:hAnsi="Arial" w:cs="Arial"/>
          <w:sz w:val="20"/>
          <w:szCs w:val="20"/>
        </w:rPr>
      </w:pPr>
      <w:r w:rsidRPr="00587444">
        <w:rPr>
          <w:rFonts w:ascii="Arial" w:hAnsi="Arial" w:cs="Arial"/>
          <w:sz w:val="20"/>
          <w:szCs w:val="20"/>
          <w:lang w:val="en-GB"/>
        </w:rPr>
        <w:t xml:space="preserve">Concentration of assets and guarantees and commitments, </w:t>
      </w:r>
      <w:r w:rsidRPr="00587444">
        <w:rPr>
          <w:rFonts w:ascii="Arial" w:hAnsi="Arial" w:cs="Arial"/>
          <w:bCs/>
          <w:sz w:val="20"/>
          <w:szCs w:val="20"/>
          <w:lang w:val="en-GB"/>
        </w:rPr>
        <w:t>net exposure</w:t>
      </w:r>
      <w:r w:rsidRPr="00587444">
        <w:rPr>
          <w:rFonts w:ascii="Arial" w:hAnsi="Arial" w:cs="Arial"/>
          <w:b/>
          <w:bCs/>
          <w:sz w:val="20"/>
          <w:szCs w:val="20"/>
          <w:lang w:val="en-GB"/>
        </w:rPr>
        <w:t xml:space="preserve">, </w:t>
      </w:r>
      <w:r w:rsidRPr="00587444">
        <w:rPr>
          <w:rFonts w:ascii="Arial" w:hAnsi="Arial" w:cs="Arial"/>
          <w:sz w:val="20"/>
          <w:szCs w:val="20"/>
          <w:lang w:val="en-GB"/>
        </w:rPr>
        <w:t xml:space="preserve">according to geographical segments, </w:t>
      </w:r>
      <w:r w:rsidRPr="00587444">
        <w:rPr>
          <w:rFonts w:ascii="Arial" w:hAnsi="Arial" w:cs="Arial"/>
          <w:bCs/>
          <w:sz w:val="20"/>
          <w:szCs w:val="20"/>
        </w:rPr>
        <w:t>before the effect of mitigation through collateral received (continued):</w:t>
      </w:r>
      <w:r w:rsidRPr="00587444">
        <w:rPr>
          <w:rFonts w:ascii="Arial" w:hAnsi="Arial" w:cs="Arial"/>
          <w:sz w:val="20"/>
          <w:szCs w:val="20"/>
        </w:rPr>
        <w:t xml:space="preserve"> </w:t>
      </w:r>
    </w:p>
    <w:p w14:paraId="7D1BA1AB" w14:textId="77777777" w:rsidR="00587444" w:rsidRPr="00587444" w:rsidRDefault="00587444" w:rsidP="00587444">
      <w:pPr>
        <w:suppressAutoHyphens w:val="0"/>
        <w:autoSpaceDN/>
        <w:jc w:val="both"/>
        <w:rPr>
          <w:rFonts w:ascii="Arial" w:hAnsi="Arial" w:cs="Arial"/>
          <w:sz w:val="20"/>
          <w:szCs w:val="20"/>
        </w:rPr>
      </w:pPr>
      <w:r w:rsidRPr="00587444">
        <w:rPr>
          <w:rFonts w:ascii="Arial" w:hAnsi="Arial" w:cs="Arial"/>
          <w:sz w:val="20"/>
          <w:szCs w:val="20"/>
        </w:rPr>
        <w:t xml:space="preserve"> </w:t>
      </w:r>
    </w:p>
    <w:tbl>
      <w:tblPr>
        <w:tblW w:w="4999" w:type="pct"/>
        <w:tblLayout w:type="fixed"/>
        <w:tblCellMar>
          <w:left w:w="30" w:type="dxa"/>
          <w:right w:w="30" w:type="dxa"/>
        </w:tblCellMar>
        <w:tblLook w:val="0000" w:firstRow="0" w:lastRow="0" w:firstColumn="0" w:lastColumn="0" w:noHBand="0" w:noVBand="0"/>
      </w:tblPr>
      <w:tblGrid>
        <w:gridCol w:w="3996"/>
        <w:gridCol w:w="1354"/>
        <w:gridCol w:w="1354"/>
        <w:gridCol w:w="1354"/>
        <w:gridCol w:w="1355"/>
      </w:tblGrid>
      <w:tr w:rsidR="00587444" w:rsidRPr="00587444" w14:paraId="3AFC3CA8" w14:textId="77777777" w:rsidTr="00DD69E7">
        <w:trPr>
          <w:cantSplit/>
          <w:trHeight w:val="579"/>
          <w:tblHeader/>
        </w:trPr>
        <w:tc>
          <w:tcPr>
            <w:tcW w:w="2123" w:type="pct"/>
            <w:vAlign w:val="bottom"/>
          </w:tcPr>
          <w:p w14:paraId="28161575" w14:textId="77777777" w:rsidR="00587444" w:rsidRPr="00587444" w:rsidRDefault="00587444" w:rsidP="00587444">
            <w:pPr>
              <w:tabs>
                <w:tab w:val="right" w:pos="1202"/>
              </w:tabs>
              <w:suppressAutoHyphens w:val="0"/>
              <w:autoSpaceDN/>
              <w:spacing w:line="301" w:lineRule="exact"/>
              <w:outlineLvl w:val="0"/>
              <w:rPr>
                <w:rFonts w:ascii="Arial" w:hAnsi="Arial" w:cs="Arial"/>
                <w:b/>
                <w:sz w:val="18"/>
                <w:szCs w:val="18"/>
              </w:rPr>
            </w:pPr>
            <w:bookmarkStart w:id="1098" w:name="_Toc4060685"/>
            <w:bookmarkStart w:id="1099" w:name="_Hlk97732210"/>
            <w:r w:rsidRPr="00587444">
              <w:rPr>
                <w:rFonts w:ascii="Arial" w:hAnsi="Arial" w:cs="Arial"/>
                <w:b/>
                <w:sz w:val="18"/>
                <w:szCs w:val="18"/>
              </w:rPr>
              <w:t>Bank</w:t>
            </w:r>
            <w:bookmarkEnd w:id="1098"/>
          </w:p>
          <w:p w14:paraId="7241F88D"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bookmarkStart w:id="1100" w:name="_Toc4060686"/>
            <w:r w:rsidRPr="00587444">
              <w:rPr>
                <w:rFonts w:ascii="Arial" w:eastAsia="Calibri" w:hAnsi="Arial" w:cs="Arial"/>
                <w:b/>
                <w:sz w:val="18"/>
                <w:szCs w:val="18"/>
              </w:rPr>
              <w:t>31 December</w:t>
            </w:r>
            <w:r w:rsidRPr="00587444">
              <w:rPr>
                <w:rFonts w:ascii="Arial" w:hAnsi="Arial" w:cs="Arial"/>
                <w:b/>
                <w:sz w:val="18"/>
                <w:szCs w:val="18"/>
              </w:rPr>
              <w:t xml:space="preserve"> </w:t>
            </w:r>
            <w:bookmarkEnd w:id="1100"/>
            <w:r w:rsidRPr="00587444">
              <w:rPr>
                <w:rFonts w:ascii="Arial" w:hAnsi="Arial" w:cs="Arial"/>
                <w:b/>
                <w:sz w:val="18"/>
                <w:szCs w:val="18"/>
              </w:rPr>
              <w:t>2022</w:t>
            </w:r>
          </w:p>
        </w:tc>
        <w:tc>
          <w:tcPr>
            <w:tcW w:w="719" w:type="pct"/>
            <w:vAlign w:val="bottom"/>
          </w:tcPr>
          <w:p w14:paraId="67E92B4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1101" w:name="_Toc4060687"/>
            <w:r w:rsidRPr="00587444">
              <w:rPr>
                <w:rFonts w:ascii="Arial" w:eastAsia="Calibri" w:hAnsi="Arial" w:cs="Arial"/>
                <w:b/>
                <w:sz w:val="18"/>
                <w:szCs w:val="18"/>
              </w:rPr>
              <w:t>Republic of Croatia</w:t>
            </w:r>
            <w:bookmarkEnd w:id="1101"/>
          </w:p>
        </w:tc>
        <w:tc>
          <w:tcPr>
            <w:tcW w:w="719" w:type="pct"/>
            <w:vAlign w:val="bottom"/>
          </w:tcPr>
          <w:p w14:paraId="772D94DC"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1102" w:name="_Toc4060688"/>
            <w:r w:rsidRPr="00587444">
              <w:rPr>
                <w:rFonts w:ascii="Arial" w:eastAsia="Calibri" w:hAnsi="Arial" w:cs="Arial"/>
                <w:b/>
                <w:sz w:val="18"/>
                <w:szCs w:val="18"/>
              </w:rPr>
              <w:t>EU</w:t>
            </w:r>
            <w:bookmarkEnd w:id="1102"/>
            <w:r w:rsidRPr="00587444">
              <w:rPr>
                <w:rFonts w:ascii="Arial" w:eastAsia="Calibri" w:hAnsi="Arial" w:cs="Arial"/>
                <w:b/>
                <w:sz w:val="18"/>
                <w:szCs w:val="18"/>
              </w:rPr>
              <w:t xml:space="preserve"> </w:t>
            </w:r>
          </w:p>
          <w:p w14:paraId="2AB4AEDD"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1103" w:name="_Toc4060689"/>
            <w:r w:rsidRPr="00587444">
              <w:rPr>
                <w:rFonts w:ascii="Arial" w:eastAsia="Calibri" w:hAnsi="Arial" w:cs="Arial"/>
                <w:b/>
                <w:sz w:val="18"/>
                <w:szCs w:val="18"/>
              </w:rPr>
              <w:t>countries</w:t>
            </w:r>
            <w:bookmarkEnd w:id="1103"/>
          </w:p>
        </w:tc>
        <w:tc>
          <w:tcPr>
            <w:tcW w:w="719" w:type="pct"/>
            <w:vAlign w:val="bottom"/>
          </w:tcPr>
          <w:p w14:paraId="70A52056"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1104" w:name="_Toc4060690"/>
            <w:r w:rsidRPr="00587444">
              <w:rPr>
                <w:rFonts w:ascii="Arial" w:eastAsia="Calibri" w:hAnsi="Arial" w:cs="Arial"/>
                <w:b/>
                <w:sz w:val="18"/>
                <w:szCs w:val="18"/>
              </w:rPr>
              <w:t>Other</w:t>
            </w:r>
            <w:bookmarkEnd w:id="1104"/>
            <w:r w:rsidRPr="00587444">
              <w:rPr>
                <w:rFonts w:ascii="Arial" w:eastAsia="Calibri" w:hAnsi="Arial" w:cs="Arial"/>
                <w:b/>
                <w:sz w:val="18"/>
                <w:szCs w:val="18"/>
              </w:rPr>
              <w:t xml:space="preserve"> </w:t>
            </w:r>
          </w:p>
          <w:p w14:paraId="09D66B19"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1105" w:name="_Toc4060691"/>
            <w:r w:rsidRPr="00587444">
              <w:rPr>
                <w:rFonts w:ascii="Arial" w:eastAsia="Calibri" w:hAnsi="Arial" w:cs="Arial"/>
                <w:b/>
                <w:sz w:val="18"/>
                <w:szCs w:val="18"/>
              </w:rPr>
              <w:t>countries</w:t>
            </w:r>
            <w:bookmarkEnd w:id="1105"/>
            <w:r w:rsidRPr="00587444">
              <w:rPr>
                <w:rFonts w:ascii="Arial" w:eastAsia="Calibri" w:hAnsi="Arial" w:cs="Arial"/>
                <w:b/>
                <w:sz w:val="18"/>
                <w:szCs w:val="18"/>
              </w:rPr>
              <w:t xml:space="preserve"> </w:t>
            </w:r>
          </w:p>
        </w:tc>
        <w:tc>
          <w:tcPr>
            <w:tcW w:w="720" w:type="pct"/>
            <w:vAlign w:val="bottom"/>
          </w:tcPr>
          <w:p w14:paraId="01D74845"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1106" w:name="_Toc4060692"/>
            <w:r w:rsidRPr="00587444">
              <w:rPr>
                <w:rFonts w:ascii="Arial" w:eastAsia="Calibri" w:hAnsi="Arial" w:cs="Arial"/>
                <w:b/>
                <w:sz w:val="18"/>
                <w:szCs w:val="18"/>
              </w:rPr>
              <w:t>Total</w:t>
            </w:r>
            <w:bookmarkEnd w:id="1106"/>
          </w:p>
        </w:tc>
      </w:tr>
      <w:tr w:rsidR="00587444" w:rsidRPr="00587444" w14:paraId="2A251CEB" w14:textId="77777777" w:rsidTr="00DD69E7">
        <w:trPr>
          <w:cantSplit/>
          <w:trHeight w:val="250"/>
          <w:tblHeader/>
        </w:trPr>
        <w:tc>
          <w:tcPr>
            <w:tcW w:w="2123" w:type="pct"/>
          </w:tcPr>
          <w:p w14:paraId="79AFDEB5"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p>
        </w:tc>
        <w:tc>
          <w:tcPr>
            <w:tcW w:w="719" w:type="pct"/>
          </w:tcPr>
          <w:p w14:paraId="6AFFC940"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1107" w:name="_Toc4060693"/>
            <w:r w:rsidRPr="00587444">
              <w:rPr>
                <w:rFonts w:ascii="Arial" w:eastAsia="Calibri" w:hAnsi="Arial" w:cs="Arial"/>
                <w:b/>
                <w:sz w:val="18"/>
                <w:szCs w:val="18"/>
              </w:rPr>
              <w:t>HRK ‘000</w:t>
            </w:r>
            <w:bookmarkEnd w:id="1107"/>
          </w:p>
        </w:tc>
        <w:tc>
          <w:tcPr>
            <w:tcW w:w="719" w:type="pct"/>
          </w:tcPr>
          <w:p w14:paraId="71D8940F"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1108" w:name="_Toc4060694"/>
            <w:r w:rsidRPr="00587444">
              <w:rPr>
                <w:rFonts w:ascii="Arial" w:eastAsia="Calibri" w:hAnsi="Arial" w:cs="Arial"/>
                <w:b/>
                <w:sz w:val="18"/>
                <w:szCs w:val="18"/>
              </w:rPr>
              <w:t>HRK ‘000</w:t>
            </w:r>
            <w:bookmarkEnd w:id="1108"/>
          </w:p>
        </w:tc>
        <w:tc>
          <w:tcPr>
            <w:tcW w:w="719" w:type="pct"/>
          </w:tcPr>
          <w:p w14:paraId="1CB4EE60"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1109" w:name="_Toc4060695"/>
            <w:r w:rsidRPr="00587444">
              <w:rPr>
                <w:rFonts w:ascii="Arial" w:eastAsia="Calibri" w:hAnsi="Arial" w:cs="Arial"/>
                <w:b/>
                <w:sz w:val="18"/>
                <w:szCs w:val="18"/>
              </w:rPr>
              <w:t>HRK ‘000</w:t>
            </w:r>
            <w:bookmarkEnd w:id="1109"/>
          </w:p>
        </w:tc>
        <w:tc>
          <w:tcPr>
            <w:tcW w:w="720" w:type="pct"/>
          </w:tcPr>
          <w:p w14:paraId="64299424"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1110" w:name="_Toc4060696"/>
            <w:r w:rsidRPr="00587444">
              <w:rPr>
                <w:rFonts w:ascii="Arial" w:eastAsia="Calibri" w:hAnsi="Arial" w:cs="Arial"/>
                <w:b/>
                <w:sz w:val="18"/>
                <w:szCs w:val="18"/>
              </w:rPr>
              <w:t>HRK ‘000</w:t>
            </w:r>
            <w:bookmarkEnd w:id="1110"/>
          </w:p>
        </w:tc>
      </w:tr>
      <w:tr w:rsidR="00587444" w:rsidRPr="00587444" w14:paraId="6750008D" w14:textId="77777777" w:rsidTr="00DD69E7">
        <w:trPr>
          <w:cantSplit/>
          <w:trHeight w:val="250"/>
          <w:tblHeader/>
        </w:trPr>
        <w:tc>
          <w:tcPr>
            <w:tcW w:w="2123" w:type="pct"/>
          </w:tcPr>
          <w:p w14:paraId="6CD3362A" w14:textId="77777777" w:rsidR="00587444" w:rsidRPr="00587444" w:rsidRDefault="00587444" w:rsidP="00587444">
            <w:pPr>
              <w:tabs>
                <w:tab w:val="right" w:pos="1202"/>
              </w:tabs>
              <w:suppressAutoHyphens w:val="0"/>
              <w:autoSpaceDN/>
              <w:spacing w:line="301" w:lineRule="exact"/>
              <w:outlineLvl w:val="0"/>
              <w:rPr>
                <w:rFonts w:ascii="Arial" w:hAnsi="Arial" w:cs="Arial"/>
                <w:b/>
                <w:sz w:val="18"/>
                <w:szCs w:val="18"/>
              </w:rPr>
            </w:pPr>
            <w:bookmarkStart w:id="1111" w:name="_Toc4060697"/>
            <w:r w:rsidRPr="00587444">
              <w:rPr>
                <w:rFonts w:ascii="Arial" w:hAnsi="Arial" w:cs="Arial"/>
                <w:b/>
                <w:sz w:val="18"/>
                <w:szCs w:val="18"/>
              </w:rPr>
              <w:t>Assets</w:t>
            </w:r>
            <w:bookmarkEnd w:id="1111"/>
          </w:p>
        </w:tc>
        <w:tc>
          <w:tcPr>
            <w:tcW w:w="719" w:type="pct"/>
          </w:tcPr>
          <w:p w14:paraId="7DD1DE71" w14:textId="77777777" w:rsidR="00587444" w:rsidRPr="00587444" w:rsidRDefault="00587444" w:rsidP="00587444">
            <w:pPr>
              <w:suppressAutoHyphens w:val="0"/>
              <w:autoSpaceDN/>
              <w:spacing w:line="280" w:lineRule="exact"/>
              <w:jc w:val="right"/>
              <w:rPr>
                <w:rFonts w:ascii="Arial" w:hAnsi="Arial" w:cs="Arial"/>
                <w:sz w:val="18"/>
                <w:szCs w:val="18"/>
              </w:rPr>
            </w:pPr>
          </w:p>
        </w:tc>
        <w:tc>
          <w:tcPr>
            <w:tcW w:w="719" w:type="pct"/>
          </w:tcPr>
          <w:p w14:paraId="774F988C" w14:textId="77777777" w:rsidR="00587444" w:rsidRPr="00587444" w:rsidRDefault="00587444" w:rsidP="00587444">
            <w:pPr>
              <w:suppressAutoHyphens w:val="0"/>
              <w:autoSpaceDN/>
              <w:spacing w:line="280" w:lineRule="exact"/>
              <w:jc w:val="right"/>
              <w:rPr>
                <w:rFonts w:ascii="Arial" w:hAnsi="Arial" w:cs="Arial"/>
                <w:sz w:val="18"/>
                <w:szCs w:val="18"/>
              </w:rPr>
            </w:pPr>
          </w:p>
        </w:tc>
        <w:tc>
          <w:tcPr>
            <w:tcW w:w="719" w:type="pct"/>
          </w:tcPr>
          <w:p w14:paraId="439C2AAB" w14:textId="77777777" w:rsidR="00587444" w:rsidRPr="00587444" w:rsidRDefault="00587444" w:rsidP="00587444">
            <w:pPr>
              <w:suppressAutoHyphens w:val="0"/>
              <w:autoSpaceDN/>
              <w:spacing w:line="280" w:lineRule="exact"/>
              <w:jc w:val="right"/>
              <w:rPr>
                <w:rFonts w:ascii="Arial" w:hAnsi="Arial" w:cs="Arial"/>
                <w:sz w:val="18"/>
                <w:szCs w:val="18"/>
              </w:rPr>
            </w:pPr>
          </w:p>
        </w:tc>
        <w:tc>
          <w:tcPr>
            <w:tcW w:w="720" w:type="pct"/>
          </w:tcPr>
          <w:p w14:paraId="591DCD0B" w14:textId="77777777" w:rsidR="00587444" w:rsidRPr="00587444" w:rsidRDefault="00587444" w:rsidP="00587444">
            <w:pPr>
              <w:suppressAutoHyphens w:val="0"/>
              <w:autoSpaceDN/>
              <w:spacing w:line="280" w:lineRule="exact"/>
              <w:jc w:val="center"/>
              <w:rPr>
                <w:rFonts w:ascii="Arial" w:hAnsi="Arial" w:cs="Arial"/>
                <w:sz w:val="18"/>
                <w:szCs w:val="18"/>
              </w:rPr>
            </w:pPr>
          </w:p>
        </w:tc>
      </w:tr>
      <w:tr w:rsidR="00587444" w:rsidRPr="00587444" w14:paraId="4FC8817C" w14:textId="77777777" w:rsidTr="00DD69E7">
        <w:trPr>
          <w:cantSplit/>
          <w:trHeight w:val="250"/>
          <w:tblHeader/>
        </w:trPr>
        <w:tc>
          <w:tcPr>
            <w:tcW w:w="2123" w:type="pct"/>
            <w:vAlign w:val="bottom"/>
          </w:tcPr>
          <w:p w14:paraId="03320E19"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bookmarkStart w:id="1112" w:name="_Toc4060698"/>
            <w:r w:rsidRPr="00587444">
              <w:rPr>
                <w:rFonts w:ascii="Arial" w:hAnsi="Arial" w:cs="Arial"/>
                <w:sz w:val="18"/>
                <w:szCs w:val="18"/>
              </w:rPr>
              <w:t>Cash on hand and current accounts with banks</w:t>
            </w:r>
            <w:bookmarkEnd w:id="1112"/>
          </w:p>
        </w:tc>
        <w:tc>
          <w:tcPr>
            <w:tcW w:w="719" w:type="pct"/>
            <w:tcBorders>
              <w:top w:val="nil"/>
              <w:left w:val="nil"/>
              <w:bottom w:val="nil"/>
              <w:right w:val="nil"/>
            </w:tcBorders>
            <w:shd w:val="clear" w:color="auto" w:fill="auto"/>
            <w:vAlign w:val="bottom"/>
          </w:tcPr>
          <w:p w14:paraId="325385A3"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 xml:space="preserve"> 1,616,410 </w:t>
            </w:r>
          </w:p>
        </w:tc>
        <w:tc>
          <w:tcPr>
            <w:tcW w:w="719" w:type="pct"/>
            <w:tcBorders>
              <w:top w:val="nil"/>
              <w:left w:val="nil"/>
              <w:bottom w:val="nil"/>
              <w:right w:val="nil"/>
            </w:tcBorders>
            <w:shd w:val="clear" w:color="auto" w:fill="auto"/>
            <w:vAlign w:val="bottom"/>
          </w:tcPr>
          <w:p w14:paraId="493A8CAB"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 xml:space="preserve"> 85,475 </w:t>
            </w:r>
          </w:p>
        </w:tc>
        <w:tc>
          <w:tcPr>
            <w:tcW w:w="719" w:type="pct"/>
            <w:tcBorders>
              <w:top w:val="nil"/>
              <w:left w:val="nil"/>
              <w:bottom w:val="nil"/>
              <w:right w:val="nil"/>
            </w:tcBorders>
            <w:shd w:val="clear" w:color="auto" w:fill="auto"/>
            <w:vAlign w:val="bottom"/>
          </w:tcPr>
          <w:p w14:paraId="66334D6B"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 xml:space="preserve"> 14,634 </w:t>
            </w:r>
          </w:p>
        </w:tc>
        <w:tc>
          <w:tcPr>
            <w:tcW w:w="720" w:type="pct"/>
            <w:tcBorders>
              <w:top w:val="nil"/>
              <w:left w:val="nil"/>
              <w:bottom w:val="nil"/>
              <w:right w:val="nil"/>
            </w:tcBorders>
            <w:shd w:val="clear" w:color="auto" w:fill="auto"/>
            <w:vAlign w:val="bottom"/>
          </w:tcPr>
          <w:p w14:paraId="592DDEC8"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 xml:space="preserve"> 1,716,519 </w:t>
            </w:r>
          </w:p>
        </w:tc>
      </w:tr>
      <w:tr w:rsidR="00587444" w:rsidRPr="00587444" w14:paraId="58030F2E" w14:textId="77777777" w:rsidTr="00DD69E7">
        <w:trPr>
          <w:cantSplit/>
          <w:trHeight w:val="250"/>
          <w:tblHeader/>
        </w:trPr>
        <w:tc>
          <w:tcPr>
            <w:tcW w:w="2123" w:type="pct"/>
            <w:vAlign w:val="bottom"/>
          </w:tcPr>
          <w:p w14:paraId="5A1C624A"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bookmarkStart w:id="1113" w:name="_Toc4060703"/>
            <w:r w:rsidRPr="00587444">
              <w:rPr>
                <w:rFonts w:ascii="Arial" w:hAnsi="Arial" w:cs="Arial"/>
                <w:sz w:val="18"/>
                <w:szCs w:val="18"/>
              </w:rPr>
              <w:t>Deposits with other banks</w:t>
            </w:r>
            <w:bookmarkEnd w:id="1113"/>
          </w:p>
        </w:tc>
        <w:tc>
          <w:tcPr>
            <w:tcW w:w="719" w:type="pct"/>
            <w:tcBorders>
              <w:top w:val="nil"/>
              <w:left w:val="nil"/>
              <w:bottom w:val="nil"/>
              <w:right w:val="nil"/>
            </w:tcBorders>
            <w:shd w:val="clear" w:color="auto" w:fill="auto"/>
            <w:vAlign w:val="bottom"/>
          </w:tcPr>
          <w:p w14:paraId="0DF38E79"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 xml:space="preserve"> -   </w:t>
            </w:r>
          </w:p>
        </w:tc>
        <w:tc>
          <w:tcPr>
            <w:tcW w:w="719" w:type="pct"/>
            <w:tcBorders>
              <w:top w:val="nil"/>
              <w:left w:val="nil"/>
              <w:bottom w:val="nil"/>
              <w:right w:val="nil"/>
            </w:tcBorders>
            <w:shd w:val="clear" w:color="auto" w:fill="auto"/>
            <w:vAlign w:val="bottom"/>
          </w:tcPr>
          <w:p w14:paraId="53AD6669"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 xml:space="preserve"> 10,596 </w:t>
            </w:r>
          </w:p>
        </w:tc>
        <w:tc>
          <w:tcPr>
            <w:tcW w:w="719" w:type="pct"/>
            <w:tcBorders>
              <w:top w:val="nil"/>
              <w:left w:val="nil"/>
              <w:bottom w:val="nil"/>
              <w:right w:val="nil"/>
            </w:tcBorders>
            <w:shd w:val="clear" w:color="auto" w:fill="auto"/>
            <w:vAlign w:val="bottom"/>
          </w:tcPr>
          <w:p w14:paraId="3E3EBBA9"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 xml:space="preserve"> -   </w:t>
            </w:r>
          </w:p>
        </w:tc>
        <w:tc>
          <w:tcPr>
            <w:tcW w:w="720" w:type="pct"/>
            <w:tcBorders>
              <w:top w:val="nil"/>
              <w:left w:val="nil"/>
              <w:bottom w:val="nil"/>
              <w:right w:val="nil"/>
            </w:tcBorders>
            <w:shd w:val="clear" w:color="auto" w:fill="auto"/>
            <w:vAlign w:val="bottom"/>
          </w:tcPr>
          <w:p w14:paraId="07B2235B"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 xml:space="preserve"> 10,596 </w:t>
            </w:r>
          </w:p>
        </w:tc>
      </w:tr>
      <w:tr w:rsidR="00587444" w:rsidRPr="00587444" w14:paraId="63A101CD" w14:textId="77777777" w:rsidTr="00DD69E7">
        <w:trPr>
          <w:cantSplit/>
          <w:trHeight w:val="250"/>
          <w:tblHeader/>
        </w:trPr>
        <w:tc>
          <w:tcPr>
            <w:tcW w:w="2123" w:type="pct"/>
            <w:vAlign w:val="bottom"/>
          </w:tcPr>
          <w:p w14:paraId="086A4F9A"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bookmarkStart w:id="1114" w:name="_Toc4060708"/>
            <w:r w:rsidRPr="00587444">
              <w:rPr>
                <w:rFonts w:ascii="Arial" w:hAnsi="Arial" w:cs="Arial"/>
                <w:sz w:val="18"/>
                <w:szCs w:val="18"/>
              </w:rPr>
              <w:t>Loans to financial institutions</w:t>
            </w:r>
            <w:bookmarkEnd w:id="1114"/>
          </w:p>
        </w:tc>
        <w:tc>
          <w:tcPr>
            <w:tcW w:w="719" w:type="pct"/>
            <w:tcBorders>
              <w:top w:val="nil"/>
              <w:left w:val="nil"/>
              <w:bottom w:val="nil"/>
              <w:right w:val="nil"/>
            </w:tcBorders>
            <w:shd w:val="clear" w:color="auto" w:fill="auto"/>
            <w:vAlign w:val="bottom"/>
          </w:tcPr>
          <w:p w14:paraId="717C6C08"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 xml:space="preserve"> 6,984,712 </w:t>
            </w:r>
          </w:p>
        </w:tc>
        <w:tc>
          <w:tcPr>
            <w:tcW w:w="719" w:type="pct"/>
            <w:tcBorders>
              <w:top w:val="nil"/>
              <w:left w:val="nil"/>
              <w:bottom w:val="nil"/>
              <w:right w:val="nil"/>
            </w:tcBorders>
            <w:shd w:val="clear" w:color="auto" w:fill="auto"/>
            <w:vAlign w:val="bottom"/>
          </w:tcPr>
          <w:p w14:paraId="4D496BBC"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 xml:space="preserve"> -   </w:t>
            </w:r>
          </w:p>
        </w:tc>
        <w:tc>
          <w:tcPr>
            <w:tcW w:w="719" w:type="pct"/>
            <w:tcBorders>
              <w:top w:val="nil"/>
              <w:left w:val="nil"/>
              <w:bottom w:val="nil"/>
              <w:right w:val="nil"/>
            </w:tcBorders>
            <w:shd w:val="clear" w:color="auto" w:fill="auto"/>
            <w:vAlign w:val="bottom"/>
          </w:tcPr>
          <w:p w14:paraId="14B6FCD1"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 xml:space="preserve"> -   </w:t>
            </w:r>
          </w:p>
        </w:tc>
        <w:tc>
          <w:tcPr>
            <w:tcW w:w="720" w:type="pct"/>
            <w:tcBorders>
              <w:top w:val="nil"/>
              <w:left w:val="nil"/>
              <w:bottom w:val="nil"/>
              <w:right w:val="nil"/>
            </w:tcBorders>
            <w:shd w:val="clear" w:color="auto" w:fill="auto"/>
            <w:vAlign w:val="bottom"/>
          </w:tcPr>
          <w:p w14:paraId="4B0D9885"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 xml:space="preserve"> 6,984,712 </w:t>
            </w:r>
          </w:p>
        </w:tc>
      </w:tr>
      <w:tr w:rsidR="00587444" w:rsidRPr="00587444" w14:paraId="3F3D0F8D" w14:textId="77777777" w:rsidTr="00DD69E7">
        <w:trPr>
          <w:cantSplit/>
          <w:trHeight w:val="250"/>
          <w:tblHeader/>
        </w:trPr>
        <w:tc>
          <w:tcPr>
            <w:tcW w:w="2123" w:type="pct"/>
            <w:vAlign w:val="bottom"/>
          </w:tcPr>
          <w:p w14:paraId="32CF0D5C"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bookmarkStart w:id="1115" w:name="_Toc4060713"/>
            <w:r w:rsidRPr="00587444">
              <w:rPr>
                <w:rFonts w:ascii="Arial" w:hAnsi="Arial" w:cs="Arial"/>
                <w:sz w:val="18"/>
                <w:szCs w:val="18"/>
              </w:rPr>
              <w:t>Loans to other customers</w:t>
            </w:r>
            <w:bookmarkEnd w:id="1115"/>
          </w:p>
        </w:tc>
        <w:tc>
          <w:tcPr>
            <w:tcW w:w="719" w:type="pct"/>
            <w:tcBorders>
              <w:top w:val="nil"/>
              <w:left w:val="nil"/>
              <w:bottom w:val="nil"/>
              <w:right w:val="nil"/>
            </w:tcBorders>
            <w:shd w:val="clear" w:color="auto" w:fill="auto"/>
            <w:vAlign w:val="bottom"/>
          </w:tcPr>
          <w:p w14:paraId="4C404DE0"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 xml:space="preserve"> 17,317,730 </w:t>
            </w:r>
          </w:p>
        </w:tc>
        <w:tc>
          <w:tcPr>
            <w:tcW w:w="719" w:type="pct"/>
            <w:tcBorders>
              <w:top w:val="nil"/>
              <w:left w:val="nil"/>
              <w:bottom w:val="nil"/>
              <w:right w:val="nil"/>
            </w:tcBorders>
            <w:shd w:val="clear" w:color="auto" w:fill="auto"/>
            <w:vAlign w:val="bottom"/>
          </w:tcPr>
          <w:p w14:paraId="59F860D7"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 xml:space="preserve"> -   </w:t>
            </w:r>
          </w:p>
        </w:tc>
        <w:tc>
          <w:tcPr>
            <w:tcW w:w="719" w:type="pct"/>
            <w:tcBorders>
              <w:top w:val="nil"/>
              <w:left w:val="nil"/>
              <w:bottom w:val="nil"/>
              <w:right w:val="nil"/>
            </w:tcBorders>
            <w:shd w:val="clear" w:color="auto" w:fill="auto"/>
            <w:vAlign w:val="bottom"/>
          </w:tcPr>
          <w:p w14:paraId="28A80979"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 xml:space="preserve"> 84,936 </w:t>
            </w:r>
          </w:p>
        </w:tc>
        <w:tc>
          <w:tcPr>
            <w:tcW w:w="720" w:type="pct"/>
            <w:tcBorders>
              <w:top w:val="nil"/>
              <w:left w:val="nil"/>
              <w:bottom w:val="nil"/>
              <w:right w:val="nil"/>
            </w:tcBorders>
            <w:shd w:val="clear" w:color="auto" w:fill="auto"/>
            <w:vAlign w:val="bottom"/>
          </w:tcPr>
          <w:p w14:paraId="518039FA"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 xml:space="preserve"> 17,402,666 </w:t>
            </w:r>
          </w:p>
        </w:tc>
      </w:tr>
      <w:tr w:rsidR="00587444" w:rsidRPr="00587444" w14:paraId="00E1FA24" w14:textId="77777777" w:rsidTr="00DD69E7">
        <w:trPr>
          <w:cantSplit/>
          <w:trHeight w:val="250"/>
          <w:tblHeader/>
        </w:trPr>
        <w:tc>
          <w:tcPr>
            <w:tcW w:w="2123" w:type="pct"/>
            <w:vAlign w:val="bottom"/>
          </w:tcPr>
          <w:p w14:paraId="248A64FF"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bookmarkStart w:id="1116" w:name="_Toc4060718"/>
            <w:r w:rsidRPr="00587444">
              <w:rPr>
                <w:rFonts w:ascii="Arial" w:hAnsi="Arial" w:cs="Arial"/>
                <w:sz w:val="18"/>
                <w:szCs w:val="18"/>
              </w:rPr>
              <w:t>Financial assets at fair value through profit or loss</w:t>
            </w:r>
            <w:bookmarkEnd w:id="1116"/>
            <w:r w:rsidRPr="00587444">
              <w:rPr>
                <w:rFonts w:ascii="Arial" w:hAnsi="Arial" w:cs="Arial"/>
                <w:sz w:val="18"/>
                <w:szCs w:val="18"/>
              </w:rPr>
              <w:t xml:space="preserve"> </w:t>
            </w:r>
          </w:p>
        </w:tc>
        <w:tc>
          <w:tcPr>
            <w:tcW w:w="719" w:type="pct"/>
            <w:tcBorders>
              <w:top w:val="nil"/>
              <w:left w:val="nil"/>
              <w:bottom w:val="nil"/>
              <w:right w:val="nil"/>
            </w:tcBorders>
            <w:shd w:val="clear" w:color="auto" w:fill="auto"/>
            <w:vAlign w:val="bottom"/>
          </w:tcPr>
          <w:p w14:paraId="6C515D21" w14:textId="77777777" w:rsidR="00587444" w:rsidRPr="00587444" w:rsidDel="00B1050C"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23,870</w:t>
            </w:r>
          </w:p>
        </w:tc>
        <w:tc>
          <w:tcPr>
            <w:tcW w:w="719" w:type="pct"/>
            <w:tcBorders>
              <w:top w:val="nil"/>
              <w:left w:val="nil"/>
              <w:bottom w:val="nil"/>
              <w:right w:val="nil"/>
            </w:tcBorders>
            <w:shd w:val="clear" w:color="auto" w:fill="auto"/>
            <w:vAlign w:val="bottom"/>
          </w:tcPr>
          <w:p w14:paraId="086EBAAB" w14:textId="77777777" w:rsidR="00587444" w:rsidRPr="00587444" w:rsidDel="00B1050C"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w:t>
            </w:r>
          </w:p>
        </w:tc>
        <w:tc>
          <w:tcPr>
            <w:tcW w:w="719" w:type="pct"/>
            <w:tcBorders>
              <w:top w:val="nil"/>
              <w:left w:val="nil"/>
              <w:bottom w:val="nil"/>
              <w:right w:val="nil"/>
            </w:tcBorders>
            <w:shd w:val="clear" w:color="auto" w:fill="auto"/>
            <w:vAlign w:val="bottom"/>
          </w:tcPr>
          <w:p w14:paraId="1AFBF961" w14:textId="77777777" w:rsidR="00587444" w:rsidRPr="00587444" w:rsidDel="00B1050C"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w:t>
            </w:r>
          </w:p>
        </w:tc>
        <w:tc>
          <w:tcPr>
            <w:tcW w:w="720" w:type="pct"/>
            <w:tcBorders>
              <w:top w:val="nil"/>
              <w:left w:val="nil"/>
              <w:bottom w:val="nil"/>
              <w:right w:val="nil"/>
            </w:tcBorders>
            <w:shd w:val="clear" w:color="auto" w:fill="auto"/>
            <w:vAlign w:val="bottom"/>
          </w:tcPr>
          <w:p w14:paraId="4F9ACE1C" w14:textId="77777777" w:rsidR="00587444" w:rsidRPr="00587444" w:rsidDel="00B1050C"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23,870</w:t>
            </w:r>
          </w:p>
        </w:tc>
      </w:tr>
      <w:tr w:rsidR="00587444" w:rsidRPr="00587444" w14:paraId="6861CBB3" w14:textId="77777777" w:rsidTr="00DD69E7">
        <w:trPr>
          <w:cantSplit/>
          <w:trHeight w:val="250"/>
          <w:tblHeader/>
        </w:trPr>
        <w:tc>
          <w:tcPr>
            <w:tcW w:w="2123" w:type="pct"/>
            <w:vAlign w:val="bottom"/>
          </w:tcPr>
          <w:p w14:paraId="6E649364" w14:textId="77777777" w:rsidR="00175A91" w:rsidRDefault="00587444" w:rsidP="00587444">
            <w:pPr>
              <w:tabs>
                <w:tab w:val="right" w:pos="1202"/>
              </w:tabs>
              <w:suppressAutoHyphens w:val="0"/>
              <w:autoSpaceDN/>
              <w:spacing w:line="301" w:lineRule="exact"/>
              <w:outlineLvl w:val="0"/>
              <w:rPr>
                <w:rFonts w:ascii="Arial" w:hAnsi="Arial" w:cs="Arial"/>
                <w:sz w:val="18"/>
                <w:szCs w:val="18"/>
              </w:rPr>
            </w:pPr>
            <w:bookmarkStart w:id="1117" w:name="_Toc4060723"/>
            <w:r w:rsidRPr="00587444">
              <w:rPr>
                <w:rFonts w:ascii="Arial" w:hAnsi="Arial" w:cs="Arial"/>
                <w:sz w:val="18"/>
                <w:szCs w:val="18"/>
              </w:rPr>
              <w:t xml:space="preserve">Financial assets at fair value through other </w:t>
            </w:r>
          </w:p>
          <w:p w14:paraId="7845F51E" w14:textId="75739694"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comprehensive income</w:t>
            </w:r>
            <w:bookmarkEnd w:id="1117"/>
            <w:r w:rsidRPr="00587444">
              <w:rPr>
                <w:rFonts w:ascii="Arial" w:hAnsi="Arial" w:cs="Arial"/>
                <w:sz w:val="18"/>
                <w:szCs w:val="18"/>
              </w:rPr>
              <w:t xml:space="preserve"> </w:t>
            </w:r>
          </w:p>
        </w:tc>
        <w:tc>
          <w:tcPr>
            <w:tcW w:w="719" w:type="pct"/>
            <w:tcBorders>
              <w:top w:val="nil"/>
              <w:left w:val="nil"/>
              <w:bottom w:val="nil"/>
              <w:right w:val="nil"/>
            </w:tcBorders>
            <w:shd w:val="clear" w:color="auto" w:fill="auto"/>
            <w:vAlign w:val="bottom"/>
          </w:tcPr>
          <w:p w14:paraId="2ED96906"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2,584,825</w:t>
            </w:r>
          </w:p>
        </w:tc>
        <w:tc>
          <w:tcPr>
            <w:tcW w:w="719" w:type="pct"/>
            <w:tcBorders>
              <w:top w:val="nil"/>
              <w:left w:val="nil"/>
              <w:bottom w:val="nil"/>
              <w:right w:val="nil"/>
            </w:tcBorders>
            <w:shd w:val="clear" w:color="auto" w:fill="auto"/>
            <w:vAlign w:val="bottom"/>
          </w:tcPr>
          <w:p w14:paraId="659EEA90"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1,472</w:t>
            </w:r>
          </w:p>
        </w:tc>
        <w:tc>
          <w:tcPr>
            <w:tcW w:w="719" w:type="pct"/>
            <w:tcBorders>
              <w:top w:val="nil"/>
              <w:left w:val="nil"/>
              <w:bottom w:val="nil"/>
              <w:right w:val="nil"/>
            </w:tcBorders>
            <w:shd w:val="clear" w:color="auto" w:fill="auto"/>
            <w:vAlign w:val="bottom"/>
          </w:tcPr>
          <w:p w14:paraId="1C9978EC"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w:t>
            </w:r>
          </w:p>
        </w:tc>
        <w:tc>
          <w:tcPr>
            <w:tcW w:w="720" w:type="pct"/>
            <w:tcBorders>
              <w:top w:val="nil"/>
              <w:left w:val="nil"/>
              <w:bottom w:val="nil"/>
              <w:right w:val="nil"/>
            </w:tcBorders>
            <w:shd w:val="clear" w:color="auto" w:fill="auto"/>
            <w:vAlign w:val="bottom"/>
          </w:tcPr>
          <w:p w14:paraId="46C0AAB5"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2,586,297</w:t>
            </w:r>
          </w:p>
        </w:tc>
      </w:tr>
      <w:tr w:rsidR="00587444" w:rsidRPr="00587444" w14:paraId="2875A531" w14:textId="77777777" w:rsidTr="00DD69E7">
        <w:trPr>
          <w:cantSplit/>
          <w:trHeight w:val="250"/>
          <w:tblHeader/>
        </w:trPr>
        <w:tc>
          <w:tcPr>
            <w:tcW w:w="2123" w:type="pct"/>
            <w:vAlign w:val="bottom"/>
          </w:tcPr>
          <w:p w14:paraId="0AD08C17"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bookmarkStart w:id="1118" w:name="_Toc4060728"/>
            <w:r w:rsidRPr="00587444">
              <w:rPr>
                <w:rFonts w:ascii="Arial" w:hAnsi="Arial" w:cs="Arial"/>
                <w:sz w:val="18"/>
                <w:szCs w:val="18"/>
              </w:rPr>
              <w:t>Other assets</w:t>
            </w:r>
            <w:bookmarkEnd w:id="1118"/>
          </w:p>
        </w:tc>
        <w:tc>
          <w:tcPr>
            <w:tcW w:w="719" w:type="pct"/>
            <w:tcBorders>
              <w:top w:val="nil"/>
              <w:left w:val="nil"/>
              <w:bottom w:val="nil"/>
              <w:right w:val="nil"/>
            </w:tcBorders>
            <w:shd w:val="clear" w:color="auto" w:fill="auto"/>
            <w:vAlign w:val="bottom"/>
          </w:tcPr>
          <w:p w14:paraId="7D9AFDB5"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3,745</w:t>
            </w:r>
          </w:p>
        </w:tc>
        <w:tc>
          <w:tcPr>
            <w:tcW w:w="719" w:type="pct"/>
            <w:tcBorders>
              <w:top w:val="nil"/>
              <w:left w:val="nil"/>
              <w:bottom w:val="nil"/>
              <w:right w:val="nil"/>
            </w:tcBorders>
            <w:shd w:val="clear" w:color="auto" w:fill="auto"/>
            <w:vAlign w:val="bottom"/>
          </w:tcPr>
          <w:p w14:paraId="3E04012A"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w:t>
            </w:r>
          </w:p>
        </w:tc>
        <w:tc>
          <w:tcPr>
            <w:tcW w:w="719" w:type="pct"/>
            <w:tcBorders>
              <w:top w:val="nil"/>
              <w:left w:val="nil"/>
              <w:bottom w:val="nil"/>
              <w:right w:val="nil"/>
            </w:tcBorders>
            <w:shd w:val="clear" w:color="auto" w:fill="auto"/>
            <w:vAlign w:val="bottom"/>
          </w:tcPr>
          <w:p w14:paraId="3AAD7E34"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w:t>
            </w:r>
          </w:p>
        </w:tc>
        <w:tc>
          <w:tcPr>
            <w:tcW w:w="720" w:type="pct"/>
            <w:tcBorders>
              <w:top w:val="nil"/>
              <w:left w:val="nil"/>
              <w:bottom w:val="nil"/>
              <w:right w:val="nil"/>
            </w:tcBorders>
            <w:shd w:val="clear" w:color="auto" w:fill="auto"/>
            <w:vAlign w:val="bottom"/>
          </w:tcPr>
          <w:p w14:paraId="2CCF517B"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color w:val="000000"/>
                <w:sz w:val="18"/>
                <w:szCs w:val="18"/>
                <w:lang w:val="hr-HR"/>
              </w:rPr>
              <w:t>3,745</w:t>
            </w:r>
          </w:p>
        </w:tc>
      </w:tr>
      <w:tr w:rsidR="00587444" w:rsidRPr="00587444" w14:paraId="09C100AA" w14:textId="77777777" w:rsidTr="00DD69E7">
        <w:trPr>
          <w:cantSplit/>
          <w:trHeight w:val="456"/>
          <w:tblHeader/>
        </w:trPr>
        <w:tc>
          <w:tcPr>
            <w:tcW w:w="2123" w:type="pct"/>
            <w:vAlign w:val="bottom"/>
          </w:tcPr>
          <w:p w14:paraId="444F038B" w14:textId="77777777" w:rsidR="00587444" w:rsidRPr="00587444" w:rsidRDefault="00587444" w:rsidP="00587444">
            <w:pPr>
              <w:tabs>
                <w:tab w:val="right" w:pos="1202"/>
              </w:tabs>
              <w:suppressAutoHyphens w:val="0"/>
              <w:autoSpaceDN/>
              <w:spacing w:line="301" w:lineRule="exact"/>
              <w:outlineLvl w:val="0"/>
              <w:rPr>
                <w:rFonts w:ascii="Arial" w:hAnsi="Arial" w:cs="Arial"/>
                <w:b/>
                <w:sz w:val="18"/>
                <w:szCs w:val="18"/>
              </w:rPr>
            </w:pPr>
            <w:bookmarkStart w:id="1119" w:name="_Toc4060733"/>
            <w:r w:rsidRPr="00587444">
              <w:rPr>
                <w:rFonts w:ascii="Arial" w:hAnsi="Arial" w:cs="Arial"/>
                <w:b/>
                <w:sz w:val="18"/>
                <w:szCs w:val="18"/>
              </w:rPr>
              <w:t>Total</w:t>
            </w:r>
            <w:bookmarkEnd w:id="1119"/>
            <w:r w:rsidRPr="00587444">
              <w:rPr>
                <w:rFonts w:ascii="Arial" w:hAnsi="Arial" w:cs="Arial"/>
                <w:b/>
                <w:sz w:val="18"/>
                <w:szCs w:val="18"/>
              </w:rPr>
              <w:t xml:space="preserve"> </w:t>
            </w:r>
          </w:p>
        </w:tc>
        <w:tc>
          <w:tcPr>
            <w:tcW w:w="719" w:type="pct"/>
            <w:tcBorders>
              <w:top w:val="single" w:sz="8" w:space="0" w:color="auto"/>
              <w:left w:val="nil"/>
              <w:bottom w:val="single" w:sz="8" w:space="0" w:color="auto"/>
              <w:right w:val="nil"/>
            </w:tcBorders>
            <w:shd w:val="clear" w:color="auto" w:fill="auto"/>
            <w:vAlign w:val="bottom"/>
          </w:tcPr>
          <w:p w14:paraId="2647D4EC"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color w:val="000000"/>
                <w:sz w:val="18"/>
                <w:szCs w:val="18"/>
                <w:lang w:val="hr-HR"/>
              </w:rPr>
              <w:t>28,531,292</w:t>
            </w:r>
          </w:p>
        </w:tc>
        <w:tc>
          <w:tcPr>
            <w:tcW w:w="719" w:type="pct"/>
            <w:tcBorders>
              <w:top w:val="single" w:sz="8" w:space="0" w:color="auto"/>
              <w:left w:val="nil"/>
              <w:bottom w:val="single" w:sz="8" w:space="0" w:color="auto"/>
              <w:right w:val="nil"/>
            </w:tcBorders>
            <w:shd w:val="clear" w:color="auto" w:fill="auto"/>
            <w:vAlign w:val="bottom"/>
          </w:tcPr>
          <w:p w14:paraId="2CC02B04"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color w:val="000000"/>
                <w:sz w:val="18"/>
                <w:szCs w:val="18"/>
                <w:lang w:val="hr-HR"/>
              </w:rPr>
              <w:t>97,543</w:t>
            </w:r>
          </w:p>
        </w:tc>
        <w:tc>
          <w:tcPr>
            <w:tcW w:w="719" w:type="pct"/>
            <w:tcBorders>
              <w:top w:val="single" w:sz="8" w:space="0" w:color="auto"/>
              <w:left w:val="nil"/>
              <w:bottom w:val="single" w:sz="8" w:space="0" w:color="auto"/>
              <w:right w:val="nil"/>
            </w:tcBorders>
            <w:shd w:val="clear" w:color="auto" w:fill="auto"/>
            <w:vAlign w:val="bottom"/>
          </w:tcPr>
          <w:p w14:paraId="633F04A7"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color w:val="000000"/>
                <w:sz w:val="18"/>
                <w:szCs w:val="18"/>
                <w:lang w:val="hr-HR"/>
              </w:rPr>
              <w:t>99,570</w:t>
            </w:r>
          </w:p>
        </w:tc>
        <w:tc>
          <w:tcPr>
            <w:tcW w:w="720" w:type="pct"/>
            <w:tcBorders>
              <w:top w:val="single" w:sz="8" w:space="0" w:color="auto"/>
              <w:left w:val="nil"/>
              <w:bottom w:val="single" w:sz="8" w:space="0" w:color="auto"/>
              <w:right w:val="nil"/>
            </w:tcBorders>
            <w:shd w:val="clear" w:color="auto" w:fill="auto"/>
            <w:vAlign w:val="bottom"/>
          </w:tcPr>
          <w:p w14:paraId="03A27076"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color w:val="000000"/>
                <w:sz w:val="18"/>
                <w:szCs w:val="18"/>
                <w:lang w:val="hr-HR"/>
              </w:rPr>
              <w:t>28,728,405</w:t>
            </w:r>
          </w:p>
        </w:tc>
      </w:tr>
      <w:tr w:rsidR="00587444" w:rsidRPr="00587444" w14:paraId="2F2C2E64" w14:textId="77777777" w:rsidTr="00DD69E7">
        <w:tblPrEx>
          <w:tblCellMar>
            <w:left w:w="31" w:type="dxa"/>
            <w:right w:w="31" w:type="dxa"/>
          </w:tblCellMar>
        </w:tblPrEx>
        <w:trPr>
          <w:cantSplit/>
          <w:trHeight w:val="250"/>
          <w:tblHeader/>
        </w:trPr>
        <w:tc>
          <w:tcPr>
            <w:tcW w:w="2123" w:type="pct"/>
            <w:vAlign w:val="bottom"/>
          </w:tcPr>
          <w:p w14:paraId="4C432A29"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p>
        </w:tc>
        <w:tc>
          <w:tcPr>
            <w:tcW w:w="719" w:type="pct"/>
            <w:tcBorders>
              <w:top w:val="single" w:sz="12" w:space="0" w:color="auto"/>
            </w:tcBorders>
            <w:vAlign w:val="bottom"/>
          </w:tcPr>
          <w:p w14:paraId="47B54DC5"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tcBorders>
              <w:top w:val="single" w:sz="12" w:space="0" w:color="auto"/>
            </w:tcBorders>
            <w:vAlign w:val="bottom"/>
          </w:tcPr>
          <w:p w14:paraId="11756778"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tcBorders>
              <w:top w:val="single" w:sz="12" w:space="0" w:color="auto"/>
            </w:tcBorders>
            <w:vAlign w:val="bottom"/>
          </w:tcPr>
          <w:p w14:paraId="600F2575"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20" w:type="pct"/>
            <w:tcBorders>
              <w:top w:val="single" w:sz="12" w:space="0" w:color="auto"/>
            </w:tcBorders>
            <w:vAlign w:val="bottom"/>
          </w:tcPr>
          <w:p w14:paraId="401CE28E"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r>
      <w:tr w:rsidR="00587444" w:rsidRPr="00587444" w14:paraId="4AF3CB04" w14:textId="77777777" w:rsidTr="00DD69E7">
        <w:tblPrEx>
          <w:tblCellMar>
            <w:left w:w="31" w:type="dxa"/>
            <w:right w:w="31" w:type="dxa"/>
          </w:tblCellMar>
        </w:tblPrEx>
        <w:trPr>
          <w:cantSplit/>
          <w:trHeight w:val="312"/>
          <w:tblHeader/>
        </w:trPr>
        <w:tc>
          <w:tcPr>
            <w:tcW w:w="2123" w:type="pct"/>
            <w:vAlign w:val="bottom"/>
          </w:tcPr>
          <w:p w14:paraId="4CFC6CC6" w14:textId="77777777" w:rsidR="00587444" w:rsidRPr="00587444" w:rsidRDefault="00587444" w:rsidP="00587444">
            <w:pPr>
              <w:tabs>
                <w:tab w:val="right" w:pos="1202"/>
              </w:tabs>
              <w:suppressAutoHyphens w:val="0"/>
              <w:autoSpaceDN/>
              <w:spacing w:line="301" w:lineRule="exact"/>
              <w:outlineLvl w:val="0"/>
              <w:rPr>
                <w:rFonts w:ascii="Arial" w:hAnsi="Arial" w:cs="Arial"/>
                <w:b/>
                <w:sz w:val="18"/>
                <w:szCs w:val="18"/>
              </w:rPr>
            </w:pPr>
            <w:bookmarkStart w:id="1120" w:name="_Toc4060738"/>
            <w:r w:rsidRPr="00587444">
              <w:rPr>
                <w:rFonts w:ascii="Arial" w:hAnsi="Arial" w:cs="Arial"/>
                <w:b/>
                <w:sz w:val="18"/>
                <w:szCs w:val="18"/>
              </w:rPr>
              <w:t>Guarantees and commitments</w:t>
            </w:r>
            <w:bookmarkEnd w:id="1120"/>
          </w:p>
        </w:tc>
        <w:tc>
          <w:tcPr>
            <w:tcW w:w="719" w:type="pct"/>
            <w:vAlign w:val="bottom"/>
          </w:tcPr>
          <w:p w14:paraId="0AE5B57C"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vAlign w:val="bottom"/>
          </w:tcPr>
          <w:p w14:paraId="29700973"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vAlign w:val="bottom"/>
          </w:tcPr>
          <w:p w14:paraId="4A274B7B"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20" w:type="pct"/>
            <w:vAlign w:val="bottom"/>
          </w:tcPr>
          <w:p w14:paraId="60878B31"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r>
      <w:tr w:rsidR="00587444" w:rsidRPr="00587444" w14:paraId="2EE39E81" w14:textId="77777777" w:rsidTr="00DD69E7">
        <w:tblPrEx>
          <w:tblCellMar>
            <w:left w:w="31" w:type="dxa"/>
            <w:right w:w="31" w:type="dxa"/>
          </w:tblCellMar>
        </w:tblPrEx>
        <w:trPr>
          <w:cantSplit/>
          <w:trHeight w:val="250"/>
          <w:tblHeader/>
        </w:trPr>
        <w:tc>
          <w:tcPr>
            <w:tcW w:w="2123" w:type="pct"/>
            <w:vAlign w:val="bottom"/>
          </w:tcPr>
          <w:p w14:paraId="05C027BB"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bookmarkStart w:id="1121" w:name="_Toc4060739"/>
            <w:r w:rsidRPr="00587444">
              <w:rPr>
                <w:rFonts w:ascii="Arial" w:hAnsi="Arial" w:cs="Arial"/>
                <w:sz w:val="18"/>
                <w:szCs w:val="18"/>
              </w:rPr>
              <w:t>Guarantees issued in HRK</w:t>
            </w:r>
            <w:bookmarkEnd w:id="1121"/>
          </w:p>
        </w:tc>
        <w:tc>
          <w:tcPr>
            <w:tcW w:w="719" w:type="pct"/>
            <w:tcBorders>
              <w:top w:val="nil"/>
              <w:left w:val="nil"/>
              <w:bottom w:val="nil"/>
              <w:right w:val="nil"/>
            </w:tcBorders>
            <w:shd w:val="clear" w:color="auto" w:fill="auto"/>
            <w:vAlign w:val="bottom"/>
          </w:tcPr>
          <w:p w14:paraId="37C0EB27"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 xml:space="preserve"> 86,470 </w:t>
            </w:r>
          </w:p>
        </w:tc>
        <w:tc>
          <w:tcPr>
            <w:tcW w:w="719" w:type="pct"/>
            <w:tcBorders>
              <w:top w:val="nil"/>
              <w:left w:val="nil"/>
              <w:bottom w:val="nil"/>
              <w:right w:val="nil"/>
            </w:tcBorders>
            <w:shd w:val="clear" w:color="auto" w:fill="auto"/>
            <w:vAlign w:val="bottom"/>
          </w:tcPr>
          <w:p w14:paraId="7F0A162C"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19" w:type="pct"/>
            <w:tcBorders>
              <w:top w:val="nil"/>
              <w:left w:val="nil"/>
              <w:bottom w:val="nil"/>
              <w:right w:val="nil"/>
            </w:tcBorders>
            <w:shd w:val="clear" w:color="auto" w:fill="auto"/>
            <w:vAlign w:val="bottom"/>
          </w:tcPr>
          <w:p w14:paraId="4101A27A"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20" w:type="pct"/>
            <w:tcBorders>
              <w:top w:val="nil"/>
              <w:left w:val="nil"/>
              <w:bottom w:val="nil"/>
              <w:right w:val="nil"/>
            </w:tcBorders>
            <w:shd w:val="clear" w:color="auto" w:fill="auto"/>
            <w:vAlign w:val="bottom"/>
          </w:tcPr>
          <w:p w14:paraId="76C2EBF9"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 xml:space="preserve"> 86,470 </w:t>
            </w:r>
          </w:p>
        </w:tc>
      </w:tr>
      <w:tr w:rsidR="00587444" w:rsidRPr="00587444" w14:paraId="19B12C7E" w14:textId="77777777" w:rsidTr="00DD69E7">
        <w:tblPrEx>
          <w:tblCellMar>
            <w:left w:w="31" w:type="dxa"/>
            <w:right w:w="31" w:type="dxa"/>
          </w:tblCellMar>
        </w:tblPrEx>
        <w:trPr>
          <w:cantSplit/>
          <w:trHeight w:val="250"/>
          <w:tblHeader/>
        </w:trPr>
        <w:tc>
          <w:tcPr>
            <w:tcW w:w="2123" w:type="pct"/>
            <w:vAlign w:val="bottom"/>
          </w:tcPr>
          <w:p w14:paraId="6D4475D4"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bookmarkStart w:id="1122" w:name="_Toc4060744"/>
            <w:r w:rsidRPr="00587444">
              <w:rPr>
                <w:rFonts w:ascii="Arial" w:hAnsi="Arial" w:cs="Arial"/>
                <w:sz w:val="18"/>
                <w:szCs w:val="18"/>
              </w:rPr>
              <w:t>Issued guarantees in foreign currency</w:t>
            </w:r>
            <w:bookmarkEnd w:id="1122"/>
          </w:p>
        </w:tc>
        <w:tc>
          <w:tcPr>
            <w:tcW w:w="719" w:type="pct"/>
            <w:tcBorders>
              <w:top w:val="nil"/>
              <w:left w:val="nil"/>
              <w:bottom w:val="nil"/>
              <w:right w:val="nil"/>
            </w:tcBorders>
            <w:shd w:val="clear" w:color="auto" w:fill="auto"/>
            <w:vAlign w:val="bottom"/>
          </w:tcPr>
          <w:p w14:paraId="76694457"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 xml:space="preserve"> 162,516 </w:t>
            </w:r>
          </w:p>
        </w:tc>
        <w:tc>
          <w:tcPr>
            <w:tcW w:w="719" w:type="pct"/>
            <w:tcBorders>
              <w:top w:val="nil"/>
              <w:left w:val="nil"/>
              <w:bottom w:val="nil"/>
              <w:right w:val="nil"/>
            </w:tcBorders>
            <w:shd w:val="clear" w:color="auto" w:fill="auto"/>
            <w:vAlign w:val="bottom"/>
          </w:tcPr>
          <w:p w14:paraId="3F6FC766"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19" w:type="pct"/>
            <w:tcBorders>
              <w:top w:val="nil"/>
              <w:left w:val="nil"/>
              <w:bottom w:val="nil"/>
              <w:right w:val="nil"/>
            </w:tcBorders>
            <w:shd w:val="clear" w:color="auto" w:fill="auto"/>
            <w:vAlign w:val="bottom"/>
          </w:tcPr>
          <w:p w14:paraId="3E416F65"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20" w:type="pct"/>
            <w:tcBorders>
              <w:top w:val="nil"/>
              <w:left w:val="nil"/>
              <w:bottom w:val="nil"/>
              <w:right w:val="nil"/>
            </w:tcBorders>
            <w:shd w:val="clear" w:color="auto" w:fill="auto"/>
            <w:vAlign w:val="bottom"/>
          </w:tcPr>
          <w:p w14:paraId="6F5B3946"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 xml:space="preserve"> 162,516 </w:t>
            </w:r>
          </w:p>
        </w:tc>
      </w:tr>
      <w:tr w:rsidR="00587444" w:rsidRPr="00587444" w14:paraId="57789A11" w14:textId="77777777" w:rsidTr="00DD69E7">
        <w:tblPrEx>
          <w:tblCellMar>
            <w:left w:w="31" w:type="dxa"/>
            <w:right w:w="31" w:type="dxa"/>
          </w:tblCellMar>
        </w:tblPrEx>
        <w:trPr>
          <w:cantSplit/>
          <w:trHeight w:val="250"/>
          <w:tblHeader/>
        </w:trPr>
        <w:tc>
          <w:tcPr>
            <w:tcW w:w="2123" w:type="pct"/>
            <w:vAlign w:val="bottom"/>
          </w:tcPr>
          <w:p w14:paraId="3D048D34" w14:textId="0A0831FB"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 xml:space="preserve">Open </w:t>
            </w:r>
            <w:r w:rsidR="005D302B" w:rsidRPr="00587444">
              <w:rPr>
                <w:rFonts w:ascii="Arial" w:hAnsi="Arial" w:cs="Arial"/>
                <w:sz w:val="18"/>
                <w:szCs w:val="18"/>
              </w:rPr>
              <w:t>letters</w:t>
            </w:r>
            <w:r w:rsidRPr="00587444">
              <w:rPr>
                <w:rFonts w:ascii="Arial" w:hAnsi="Arial" w:cs="Arial"/>
                <w:sz w:val="18"/>
                <w:szCs w:val="18"/>
              </w:rPr>
              <w:t xml:space="preserve"> of credit in foreign currency</w:t>
            </w:r>
          </w:p>
        </w:tc>
        <w:tc>
          <w:tcPr>
            <w:tcW w:w="719" w:type="pct"/>
            <w:tcBorders>
              <w:top w:val="nil"/>
              <w:left w:val="nil"/>
              <w:bottom w:val="nil"/>
              <w:right w:val="nil"/>
            </w:tcBorders>
            <w:shd w:val="clear" w:color="auto" w:fill="auto"/>
            <w:vAlign w:val="bottom"/>
          </w:tcPr>
          <w:p w14:paraId="72A9DCE7"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 xml:space="preserve"> 1,243 </w:t>
            </w:r>
          </w:p>
        </w:tc>
        <w:tc>
          <w:tcPr>
            <w:tcW w:w="719" w:type="pct"/>
            <w:tcBorders>
              <w:top w:val="nil"/>
              <w:left w:val="nil"/>
              <w:bottom w:val="nil"/>
              <w:right w:val="nil"/>
            </w:tcBorders>
            <w:shd w:val="clear" w:color="auto" w:fill="auto"/>
            <w:vAlign w:val="bottom"/>
          </w:tcPr>
          <w:p w14:paraId="798C8206"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19" w:type="pct"/>
            <w:tcBorders>
              <w:top w:val="nil"/>
              <w:left w:val="nil"/>
              <w:bottom w:val="nil"/>
              <w:right w:val="nil"/>
            </w:tcBorders>
            <w:shd w:val="clear" w:color="auto" w:fill="auto"/>
            <w:vAlign w:val="bottom"/>
          </w:tcPr>
          <w:p w14:paraId="1E6526FA"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20" w:type="pct"/>
            <w:tcBorders>
              <w:top w:val="nil"/>
              <w:left w:val="nil"/>
              <w:bottom w:val="nil"/>
              <w:right w:val="nil"/>
            </w:tcBorders>
            <w:shd w:val="clear" w:color="auto" w:fill="auto"/>
            <w:vAlign w:val="bottom"/>
          </w:tcPr>
          <w:p w14:paraId="299515F8"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 xml:space="preserve"> 1,243 </w:t>
            </w:r>
          </w:p>
        </w:tc>
      </w:tr>
      <w:tr w:rsidR="00587444" w:rsidRPr="00587444" w14:paraId="2A077D31" w14:textId="77777777" w:rsidTr="00DD69E7">
        <w:tblPrEx>
          <w:tblCellMar>
            <w:left w:w="31" w:type="dxa"/>
            <w:right w:w="31" w:type="dxa"/>
          </w:tblCellMar>
        </w:tblPrEx>
        <w:trPr>
          <w:cantSplit/>
          <w:trHeight w:val="250"/>
          <w:tblHeader/>
        </w:trPr>
        <w:tc>
          <w:tcPr>
            <w:tcW w:w="2123" w:type="pct"/>
            <w:vAlign w:val="bottom"/>
          </w:tcPr>
          <w:p w14:paraId="48BB6940"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bookmarkStart w:id="1123" w:name="_Toc4060749"/>
            <w:r w:rsidRPr="00587444">
              <w:rPr>
                <w:rFonts w:ascii="Arial" w:hAnsi="Arial" w:cs="Arial"/>
                <w:sz w:val="18"/>
                <w:szCs w:val="18"/>
              </w:rPr>
              <w:t>Undrawn loans</w:t>
            </w:r>
            <w:bookmarkEnd w:id="1123"/>
          </w:p>
        </w:tc>
        <w:tc>
          <w:tcPr>
            <w:tcW w:w="719" w:type="pct"/>
            <w:tcBorders>
              <w:top w:val="nil"/>
              <w:left w:val="nil"/>
              <w:bottom w:val="single" w:sz="4" w:space="0" w:color="auto"/>
              <w:right w:val="nil"/>
            </w:tcBorders>
            <w:shd w:val="clear" w:color="auto" w:fill="auto"/>
            <w:vAlign w:val="bottom"/>
          </w:tcPr>
          <w:p w14:paraId="58C18561"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 xml:space="preserve"> 2,647,931 </w:t>
            </w:r>
          </w:p>
        </w:tc>
        <w:tc>
          <w:tcPr>
            <w:tcW w:w="719" w:type="pct"/>
            <w:tcBorders>
              <w:top w:val="nil"/>
              <w:left w:val="nil"/>
              <w:bottom w:val="single" w:sz="4" w:space="0" w:color="auto"/>
              <w:right w:val="nil"/>
            </w:tcBorders>
            <w:shd w:val="clear" w:color="auto" w:fill="auto"/>
            <w:vAlign w:val="bottom"/>
          </w:tcPr>
          <w:p w14:paraId="1326BEDF"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19" w:type="pct"/>
            <w:tcBorders>
              <w:top w:val="nil"/>
              <w:left w:val="nil"/>
              <w:bottom w:val="single" w:sz="4" w:space="0" w:color="auto"/>
              <w:right w:val="nil"/>
            </w:tcBorders>
            <w:shd w:val="clear" w:color="auto" w:fill="auto"/>
            <w:vAlign w:val="bottom"/>
          </w:tcPr>
          <w:p w14:paraId="50752250"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w:t>
            </w:r>
          </w:p>
        </w:tc>
        <w:tc>
          <w:tcPr>
            <w:tcW w:w="720" w:type="pct"/>
            <w:tcBorders>
              <w:top w:val="nil"/>
              <w:left w:val="nil"/>
              <w:bottom w:val="single" w:sz="4" w:space="0" w:color="auto"/>
              <w:right w:val="nil"/>
            </w:tcBorders>
            <w:shd w:val="clear" w:color="auto" w:fill="auto"/>
            <w:vAlign w:val="bottom"/>
          </w:tcPr>
          <w:p w14:paraId="38B244D5"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color w:val="000000"/>
                <w:sz w:val="18"/>
                <w:szCs w:val="18"/>
                <w:lang w:val="hr-HR"/>
              </w:rPr>
              <w:t xml:space="preserve"> 2,647,931 </w:t>
            </w:r>
          </w:p>
        </w:tc>
      </w:tr>
      <w:tr w:rsidR="00587444" w:rsidRPr="00587444" w14:paraId="7507C74E" w14:textId="77777777" w:rsidTr="00DD69E7">
        <w:tblPrEx>
          <w:tblCellMar>
            <w:left w:w="31" w:type="dxa"/>
            <w:right w:w="31" w:type="dxa"/>
          </w:tblCellMar>
        </w:tblPrEx>
        <w:trPr>
          <w:cantSplit/>
          <w:trHeight w:val="425"/>
          <w:tblHeader/>
        </w:trPr>
        <w:tc>
          <w:tcPr>
            <w:tcW w:w="2123" w:type="pct"/>
            <w:vAlign w:val="bottom"/>
          </w:tcPr>
          <w:p w14:paraId="7C5A8428" w14:textId="77777777" w:rsidR="00587444" w:rsidRPr="00587444" w:rsidRDefault="00587444" w:rsidP="00587444">
            <w:pPr>
              <w:tabs>
                <w:tab w:val="right" w:pos="1202"/>
              </w:tabs>
              <w:suppressAutoHyphens w:val="0"/>
              <w:autoSpaceDN/>
              <w:spacing w:line="301" w:lineRule="exact"/>
              <w:outlineLvl w:val="0"/>
              <w:rPr>
                <w:rFonts w:ascii="Arial" w:hAnsi="Arial" w:cs="Arial"/>
                <w:b/>
                <w:sz w:val="18"/>
                <w:szCs w:val="18"/>
              </w:rPr>
            </w:pPr>
            <w:bookmarkStart w:id="1124" w:name="_Toc4060759"/>
            <w:r w:rsidRPr="00587444">
              <w:rPr>
                <w:rFonts w:ascii="Arial" w:hAnsi="Arial" w:cs="Arial"/>
                <w:b/>
                <w:sz w:val="18"/>
                <w:szCs w:val="18"/>
              </w:rPr>
              <w:t>Total</w:t>
            </w:r>
            <w:bookmarkEnd w:id="1124"/>
          </w:p>
        </w:tc>
        <w:tc>
          <w:tcPr>
            <w:tcW w:w="719" w:type="pct"/>
            <w:tcBorders>
              <w:top w:val="single" w:sz="4" w:space="0" w:color="auto"/>
              <w:left w:val="nil"/>
              <w:bottom w:val="single" w:sz="12" w:space="0" w:color="auto"/>
              <w:right w:val="nil"/>
            </w:tcBorders>
            <w:shd w:val="clear" w:color="auto" w:fill="auto"/>
            <w:vAlign w:val="bottom"/>
          </w:tcPr>
          <w:p w14:paraId="378CFE0C"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color w:val="000000"/>
                <w:sz w:val="18"/>
                <w:szCs w:val="18"/>
                <w:lang w:val="hr-HR"/>
              </w:rPr>
              <w:t>2,898,160</w:t>
            </w:r>
          </w:p>
        </w:tc>
        <w:tc>
          <w:tcPr>
            <w:tcW w:w="719" w:type="pct"/>
            <w:tcBorders>
              <w:top w:val="single" w:sz="4" w:space="0" w:color="auto"/>
              <w:left w:val="nil"/>
              <w:bottom w:val="single" w:sz="12" w:space="0" w:color="auto"/>
              <w:right w:val="nil"/>
            </w:tcBorders>
            <w:shd w:val="clear" w:color="auto" w:fill="auto"/>
            <w:vAlign w:val="bottom"/>
          </w:tcPr>
          <w:p w14:paraId="36FAF497"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color w:val="000000"/>
                <w:sz w:val="18"/>
                <w:szCs w:val="18"/>
                <w:lang w:val="hr-HR"/>
              </w:rPr>
              <w:t>-</w:t>
            </w:r>
          </w:p>
        </w:tc>
        <w:tc>
          <w:tcPr>
            <w:tcW w:w="719" w:type="pct"/>
            <w:tcBorders>
              <w:top w:val="single" w:sz="4" w:space="0" w:color="auto"/>
              <w:left w:val="nil"/>
              <w:bottom w:val="single" w:sz="12" w:space="0" w:color="auto"/>
              <w:right w:val="nil"/>
            </w:tcBorders>
            <w:shd w:val="clear" w:color="auto" w:fill="auto"/>
            <w:vAlign w:val="bottom"/>
          </w:tcPr>
          <w:p w14:paraId="548623B7"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color w:val="000000"/>
                <w:sz w:val="18"/>
                <w:szCs w:val="18"/>
                <w:lang w:val="hr-HR"/>
              </w:rPr>
              <w:t>-</w:t>
            </w:r>
          </w:p>
        </w:tc>
        <w:tc>
          <w:tcPr>
            <w:tcW w:w="720" w:type="pct"/>
            <w:tcBorders>
              <w:top w:val="single" w:sz="4" w:space="0" w:color="auto"/>
              <w:left w:val="nil"/>
              <w:bottom w:val="single" w:sz="12" w:space="0" w:color="auto"/>
              <w:right w:val="nil"/>
            </w:tcBorders>
            <w:shd w:val="clear" w:color="auto" w:fill="auto"/>
            <w:vAlign w:val="bottom"/>
          </w:tcPr>
          <w:p w14:paraId="3914FBAC"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color w:val="000000"/>
                <w:sz w:val="18"/>
                <w:szCs w:val="18"/>
                <w:lang w:val="hr-HR"/>
              </w:rPr>
              <w:t>2,898,160</w:t>
            </w:r>
          </w:p>
        </w:tc>
      </w:tr>
      <w:tr w:rsidR="00587444" w:rsidRPr="00587444" w14:paraId="611D3E31" w14:textId="77777777" w:rsidTr="00DD69E7">
        <w:tblPrEx>
          <w:tblCellMar>
            <w:left w:w="31" w:type="dxa"/>
            <w:right w:w="31" w:type="dxa"/>
          </w:tblCellMar>
        </w:tblPrEx>
        <w:trPr>
          <w:cantSplit/>
          <w:trHeight w:val="467"/>
          <w:tblHeader/>
        </w:trPr>
        <w:tc>
          <w:tcPr>
            <w:tcW w:w="2123" w:type="pct"/>
            <w:vAlign w:val="bottom"/>
          </w:tcPr>
          <w:p w14:paraId="4675E2A9" w14:textId="77777777" w:rsidR="00587444" w:rsidRPr="00587444" w:rsidRDefault="00587444" w:rsidP="00587444">
            <w:pPr>
              <w:tabs>
                <w:tab w:val="right" w:pos="1202"/>
              </w:tabs>
              <w:suppressAutoHyphens w:val="0"/>
              <w:autoSpaceDN/>
              <w:spacing w:line="301" w:lineRule="exact"/>
              <w:outlineLvl w:val="0"/>
              <w:rPr>
                <w:rFonts w:ascii="Arial" w:hAnsi="Arial" w:cs="Arial"/>
                <w:b/>
                <w:sz w:val="18"/>
                <w:szCs w:val="18"/>
              </w:rPr>
            </w:pPr>
            <w:bookmarkStart w:id="1125" w:name="_Toc4060764"/>
            <w:r w:rsidRPr="00587444">
              <w:rPr>
                <w:rFonts w:ascii="Arial" w:hAnsi="Arial" w:cs="Arial"/>
                <w:b/>
                <w:sz w:val="18"/>
                <w:szCs w:val="18"/>
              </w:rPr>
              <w:t>Total credit risk exposure</w:t>
            </w:r>
            <w:bookmarkEnd w:id="1125"/>
          </w:p>
        </w:tc>
        <w:tc>
          <w:tcPr>
            <w:tcW w:w="719" w:type="pct"/>
            <w:tcBorders>
              <w:top w:val="nil"/>
              <w:left w:val="nil"/>
              <w:bottom w:val="single" w:sz="12" w:space="0" w:color="auto"/>
              <w:right w:val="nil"/>
            </w:tcBorders>
            <w:shd w:val="clear" w:color="auto" w:fill="auto"/>
            <w:vAlign w:val="bottom"/>
          </w:tcPr>
          <w:p w14:paraId="338559D1"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b/>
                <w:bCs/>
                <w:sz w:val="18"/>
                <w:szCs w:val="18"/>
              </w:rPr>
            </w:pPr>
            <w:r w:rsidRPr="00587444">
              <w:rPr>
                <w:rFonts w:ascii="Arial" w:hAnsi="Arial" w:cs="Arial"/>
                <w:b/>
                <w:bCs/>
                <w:color w:val="000000"/>
                <w:sz w:val="18"/>
                <w:szCs w:val="18"/>
                <w:lang w:val="hr-HR"/>
              </w:rPr>
              <w:t xml:space="preserve">31,429,452 </w:t>
            </w:r>
          </w:p>
        </w:tc>
        <w:tc>
          <w:tcPr>
            <w:tcW w:w="719" w:type="pct"/>
            <w:tcBorders>
              <w:top w:val="nil"/>
              <w:left w:val="nil"/>
              <w:bottom w:val="single" w:sz="12" w:space="0" w:color="auto"/>
              <w:right w:val="nil"/>
            </w:tcBorders>
            <w:shd w:val="clear" w:color="auto" w:fill="auto"/>
            <w:vAlign w:val="bottom"/>
          </w:tcPr>
          <w:p w14:paraId="1DD37A66"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b/>
                <w:bCs/>
                <w:sz w:val="18"/>
                <w:szCs w:val="18"/>
              </w:rPr>
            </w:pPr>
            <w:r w:rsidRPr="00587444">
              <w:rPr>
                <w:rFonts w:ascii="Arial" w:hAnsi="Arial" w:cs="Arial"/>
                <w:b/>
                <w:bCs/>
                <w:color w:val="000000"/>
                <w:sz w:val="18"/>
                <w:szCs w:val="18"/>
                <w:lang w:val="hr-HR"/>
              </w:rPr>
              <w:t xml:space="preserve"> 97,543 </w:t>
            </w:r>
          </w:p>
        </w:tc>
        <w:tc>
          <w:tcPr>
            <w:tcW w:w="719" w:type="pct"/>
            <w:tcBorders>
              <w:top w:val="nil"/>
              <w:left w:val="nil"/>
              <w:bottom w:val="single" w:sz="12" w:space="0" w:color="auto"/>
              <w:right w:val="nil"/>
            </w:tcBorders>
            <w:shd w:val="clear" w:color="auto" w:fill="auto"/>
            <w:vAlign w:val="bottom"/>
          </w:tcPr>
          <w:p w14:paraId="550B5BDE"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b/>
                <w:bCs/>
                <w:sz w:val="18"/>
                <w:szCs w:val="18"/>
              </w:rPr>
            </w:pPr>
            <w:r w:rsidRPr="00587444">
              <w:rPr>
                <w:rFonts w:ascii="Arial" w:hAnsi="Arial" w:cs="Arial"/>
                <w:b/>
                <w:bCs/>
                <w:color w:val="000000"/>
                <w:sz w:val="18"/>
                <w:szCs w:val="18"/>
                <w:lang w:val="hr-HR"/>
              </w:rPr>
              <w:t xml:space="preserve"> 99,570 </w:t>
            </w:r>
          </w:p>
        </w:tc>
        <w:tc>
          <w:tcPr>
            <w:tcW w:w="720" w:type="pct"/>
            <w:tcBorders>
              <w:top w:val="nil"/>
              <w:left w:val="nil"/>
              <w:bottom w:val="single" w:sz="12" w:space="0" w:color="auto"/>
              <w:right w:val="nil"/>
            </w:tcBorders>
            <w:shd w:val="clear" w:color="auto" w:fill="auto"/>
            <w:vAlign w:val="bottom"/>
          </w:tcPr>
          <w:p w14:paraId="2FD0320F"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b/>
                <w:bCs/>
                <w:sz w:val="18"/>
                <w:szCs w:val="18"/>
              </w:rPr>
            </w:pPr>
            <w:r w:rsidRPr="00587444">
              <w:rPr>
                <w:rFonts w:ascii="Arial" w:hAnsi="Arial" w:cs="Arial"/>
                <w:b/>
                <w:bCs/>
                <w:color w:val="000000"/>
                <w:sz w:val="18"/>
                <w:szCs w:val="18"/>
                <w:lang w:val="hr-HR"/>
              </w:rPr>
              <w:t xml:space="preserve">31,626,565 </w:t>
            </w:r>
          </w:p>
        </w:tc>
      </w:tr>
      <w:bookmarkEnd w:id="1099"/>
    </w:tbl>
    <w:p w14:paraId="39E7C859" w14:textId="77777777" w:rsidR="00587444" w:rsidRPr="00587444" w:rsidRDefault="00587444" w:rsidP="00587444">
      <w:pPr>
        <w:suppressAutoHyphens w:val="0"/>
        <w:autoSpaceDN/>
        <w:spacing w:before="120" w:line="360" w:lineRule="auto"/>
        <w:jc w:val="both"/>
        <w:rPr>
          <w:rFonts w:ascii="Arial" w:hAnsi="Arial" w:cs="Arial"/>
          <w:sz w:val="20"/>
          <w:szCs w:val="20"/>
          <w:lang w:val="en-GB"/>
        </w:rPr>
      </w:pPr>
    </w:p>
    <w:p w14:paraId="0BFDE36A" w14:textId="77777777" w:rsidR="00587444" w:rsidRPr="00587444" w:rsidRDefault="00587444" w:rsidP="00587444">
      <w:pPr>
        <w:suppressAutoHyphens w:val="0"/>
        <w:autoSpaceDN/>
        <w:spacing w:before="120" w:line="360" w:lineRule="auto"/>
        <w:jc w:val="both"/>
        <w:rPr>
          <w:rFonts w:ascii="Arial" w:hAnsi="Arial" w:cs="Arial"/>
          <w:sz w:val="20"/>
          <w:szCs w:val="20"/>
          <w:lang w:val="en-GB"/>
        </w:rPr>
      </w:pPr>
    </w:p>
    <w:p w14:paraId="260A0E42" w14:textId="77777777" w:rsidR="00587444" w:rsidRPr="00587444" w:rsidRDefault="00587444" w:rsidP="00587444">
      <w:pPr>
        <w:suppressAutoHyphens w:val="0"/>
        <w:autoSpaceDN/>
        <w:spacing w:before="120" w:line="360" w:lineRule="auto"/>
        <w:jc w:val="both"/>
        <w:rPr>
          <w:rFonts w:ascii="Arial" w:hAnsi="Arial" w:cs="Arial"/>
          <w:sz w:val="20"/>
          <w:szCs w:val="20"/>
          <w:lang w:val="en-GB"/>
        </w:rPr>
      </w:pPr>
    </w:p>
    <w:p w14:paraId="6AD1CF05" w14:textId="77777777" w:rsidR="00587444" w:rsidRPr="00587444" w:rsidRDefault="00587444" w:rsidP="00587444">
      <w:pPr>
        <w:suppressAutoHyphens w:val="0"/>
        <w:autoSpaceDN/>
        <w:spacing w:before="120" w:line="360" w:lineRule="auto"/>
        <w:jc w:val="both"/>
        <w:rPr>
          <w:rFonts w:ascii="Arial" w:hAnsi="Arial" w:cs="Arial"/>
          <w:sz w:val="20"/>
          <w:szCs w:val="20"/>
          <w:lang w:val="en-GB"/>
        </w:rPr>
      </w:pPr>
    </w:p>
    <w:p w14:paraId="0DFFD2E1" w14:textId="77777777" w:rsidR="00587444" w:rsidRPr="00587444" w:rsidRDefault="00587444" w:rsidP="00587444">
      <w:pPr>
        <w:suppressAutoHyphens w:val="0"/>
        <w:autoSpaceDN/>
        <w:spacing w:before="120" w:line="360" w:lineRule="auto"/>
        <w:jc w:val="both"/>
        <w:rPr>
          <w:rFonts w:ascii="Arial" w:hAnsi="Arial" w:cs="Arial"/>
          <w:sz w:val="20"/>
          <w:szCs w:val="20"/>
          <w:highlight w:val="yellow"/>
          <w:lang w:val="en-GB"/>
        </w:rPr>
        <w:sectPr w:rsidR="00587444" w:rsidRPr="00587444" w:rsidSect="00DD69E7">
          <w:headerReference w:type="default" r:id="rId88"/>
          <w:pgSz w:w="11907" w:h="16840" w:code="9"/>
          <w:pgMar w:top="1418" w:right="1134" w:bottom="1134" w:left="1418" w:header="851" w:footer="851" w:gutter="0"/>
          <w:cols w:space="720"/>
          <w:noEndnote/>
        </w:sectPr>
      </w:pPr>
    </w:p>
    <w:p w14:paraId="2A49B01F" w14:textId="77777777" w:rsidR="00587444" w:rsidRPr="00587444" w:rsidRDefault="00587444" w:rsidP="00587444">
      <w:pPr>
        <w:keepNext/>
        <w:suppressAutoHyphens w:val="0"/>
        <w:autoSpaceDN/>
        <w:spacing w:line="240" w:lineRule="exact"/>
        <w:jc w:val="both"/>
        <w:rPr>
          <w:rFonts w:ascii="Arial" w:hAnsi="Arial" w:cs="Arial"/>
          <w:b/>
          <w:bCs/>
          <w:sz w:val="20"/>
          <w:szCs w:val="20"/>
          <w:lang w:val="en-GB"/>
        </w:rPr>
        <w:sectPr w:rsidR="00587444" w:rsidRPr="00587444" w:rsidSect="00DD69E7">
          <w:type w:val="continuous"/>
          <w:pgSz w:w="11907" w:h="16840" w:code="9"/>
          <w:pgMar w:top="1418" w:right="1134" w:bottom="1134" w:left="1418" w:header="851" w:footer="851" w:gutter="0"/>
          <w:cols w:space="720"/>
          <w:noEndnote/>
        </w:sectPr>
      </w:pPr>
    </w:p>
    <w:p w14:paraId="67F65972" w14:textId="77777777" w:rsidR="00587444" w:rsidRPr="00587444" w:rsidRDefault="00587444" w:rsidP="00587444">
      <w:pPr>
        <w:keepNext/>
        <w:suppressAutoHyphens w:val="0"/>
        <w:autoSpaceDN/>
        <w:spacing w:line="240" w:lineRule="exact"/>
        <w:jc w:val="both"/>
        <w:rPr>
          <w:rFonts w:ascii="Arial" w:hAnsi="Arial" w:cs="Arial"/>
          <w:b/>
          <w:bCs/>
          <w:sz w:val="20"/>
          <w:szCs w:val="20"/>
          <w:lang w:val="en-GB"/>
        </w:rPr>
      </w:pPr>
    </w:p>
    <w:p w14:paraId="70D24F7D" w14:textId="77777777" w:rsidR="00587444" w:rsidRPr="00587444" w:rsidRDefault="00587444" w:rsidP="00587444">
      <w:pPr>
        <w:keepNext/>
        <w:suppressAutoHyphens w:val="0"/>
        <w:autoSpaceDN/>
        <w:spacing w:line="240" w:lineRule="exact"/>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F406FE3" w14:textId="77777777" w:rsidR="00587444" w:rsidRPr="00587444" w:rsidRDefault="00587444" w:rsidP="00587444">
      <w:pPr>
        <w:keepNext/>
        <w:suppressAutoHyphens w:val="0"/>
        <w:autoSpaceDN/>
        <w:spacing w:line="240" w:lineRule="exact"/>
        <w:jc w:val="both"/>
        <w:rPr>
          <w:rFonts w:ascii="Arial" w:hAnsi="Arial" w:cs="Arial"/>
          <w:b/>
          <w:bCs/>
          <w:sz w:val="20"/>
          <w:szCs w:val="20"/>
          <w:lang w:val="en-GB"/>
        </w:rPr>
      </w:pPr>
    </w:p>
    <w:p w14:paraId="76112C81" w14:textId="77777777" w:rsidR="00587444" w:rsidRPr="00587444" w:rsidRDefault="00587444" w:rsidP="00587444">
      <w:pPr>
        <w:suppressAutoHyphens w:val="0"/>
        <w:autoSpaceDN/>
        <w:spacing w:line="240" w:lineRule="exact"/>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0BE5574A" w14:textId="77777777" w:rsidR="00587444" w:rsidRPr="00587444" w:rsidRDefault="00587444" w:rsidP="00587444">
      <w:pPr>
        <w:suppressAutoHyphens w:val="0"/>
        <w:autoSpaceDN/>
        <w:spacing w:line="240" w:lineRule="exact"/>
        <w:jc w:val="both"/>
        <w:rPr>
          <w:rFonts w:ascii="Arial" w:hAnsi="Arial" w:cs="Arial"/>
          <w:b/>
          <w:sz w:val="20"/>
          <w:szCs w:val="20"/>
          <w:lang w:val="en-GB"/>
        </w:rPr>
      </w:pPr>
    </w:p>
    <w:p w14:paraId="78526043" w14:textId="77777777" w:rsidR="00587444" w:rsidRPr="00587444" w:rsidRDefault="00587444" w:rsidP="00587444">
      <w:pPr>
        <w:suppressAutoHyphens w:val="0"/>
        <w:autoSpaceDN/>
        <w:spacing w:line="240" w:lineRule="exact"/>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0B43D4E4" w14:textId="77777777" w:rsidR="00587444" w:rsidRPr="00587444" w:rsidRDefault="00587444" w:rsidP="00587444">
      <w:pPr>
        <w:suppressAutoHyphens w:val="0"/>
        <w:autoSpaceDN/>
        <w:spacing w:line="240" w:lineRule="exact"/>
        <w:jc w:val="both"/>
        <w:rPr>
          <w:rFonts w:ascii="Arial" w:hAnsi="Arial" w:cs="Arial"/>
          <w:b/>
          <w:sz w:val="20"/>
          <w:szCs w:val="20"/>
          <w:lang w:val="en-GB"/>
        </w:rPr>
      </w:pPr>
    </w:p>
    <w:p w14:paraId="444AEDB1" w14:textId="77777777" w:rsidR="00587444" w:rsidRPr="00587444" w:rsidRDefault="00587444" w:rsidP="00587444">
      <w:pPr>
        <w:keepNext/>
        <w:suppressAutoHyphens w:val="0"/>
        <w:autoSpaceDN/>
        <w:spacing w:line="240" w:lineRule="exact"/>
        <w:jc w:val="both"/>
        <w:rPr>
          <w:rFonts w:ascii="Arial" w:hAnsi="Arial" w:cs="Arial"/>
          <w:sz w:val="20"/>
          <w:szCs w:val="20"/>
        </w:rPr>
      </w:pPr>
      <w:r w:rsidRPr="00587444">
        <w:rPr>
          <w:rFonts w:ascii="Arial" w:hAnsi="Arial" w:cs="Arial"/>
          <w:sz w:val="20"/>
          <w:szCs w:val="20"/>
          <w:lang w:val="en-GB"/>
        </w:rPr>
        <w:t xml:space="preserve">Concentration of assets and guarantees and commitments, according to geographical segments, </w:t>
      </w:r>
      <w:r w:rsidRPr="00587444">
        <w:rPr>
          <w:rFonts w:ascii="Arial" w:hAnsi="Arial" w:cs="Arial"/>
          <w:bCs/>
          <w:sz w:val="20"/>
          <w:szCs w:val="20"/>
          <w:lang w:val="en-GB"/>
        </w:rPr>
        <w:t>net exposure</w:t>
      </w:r>
      <w:r w:rsidRPr="00587444">
        <w:rPr>
          <w:rFonts w:ascii="Arial" w:hAnsi="Arial" w:cs="Arial"/>
          <w:b/>
          <w:bCs/>
          <w:sz w:val="20"/>
          <w:szCs w:val="20"/>
          <w:lang w:val="en-GB"/>
        </w:rPr>
        <w:t>,</w:t>
      </w:r>
      <w:r w:rsidRPr="00587444">
        <w:rPr>
          <w:rFonts w:ascii="Arial" w:hAnsi="Arial" w:cs="Arial"/>
          <w:sz w:val="20"/>
          <w:szCs w:val="20"/>
          <w:lang w:val="en-GB"/>
        </w:rPr>
        <w:t xml:space="preserve"> </w:t>
      </w:r>
      <w:r w:rsidRPr="00587444">
        <w:rPr>
          <w:rFonts w:ascii="Arial" w:hAnsi="Arial" w:cs="Arial"/>
          <w:bCs/>
          <w:sz w:val="20"/>
          <w:szCs w:val="20"/>
        </w:rPr>
        <w:t>before the effect of mitigation through collateral received (continued):</w:t>
      </w:r>
      <w:r w:rsidRPr="00587444">
        <w:rPr>
          <w:rFonts w:ascii="Arial" w:hAnsi="Arial" w:cs="Arial"/>
          <w:sz w:val="20"/>
          <w:szCs w:val="20"/>
        </w:rPr>
        <w:t xml:space="preserve">  </w:t>
      </w:r>
    </w:p>
    <w:p w14:paraId="098D885B" w14:textId="77777777" w:rsidR="00587444" w:rsidRPr="00587444" w:rsidRDefault="00587444" w:rsidP="00587444">
      <w:pPr>
        <w:keepNext/>
        <w:suppressAutoHyphens w:val="0"/>
        <w:autoSpaceDN/>
        <w:spacing w:line="240" w:lineRule="exact"/>
        <w:jc w:val="both"/>
        <w:rPr>
          <w:rFonts w:ascii="Arial" w:hAnsi="Arial" w:cs="Arial"/>
          <w:sz w:val="20"/>
          <w:szCs w:val="20"/>
        </w:rPr>
      </w:pPr>
    </w:p>
    <w:tbl>
      <w:tblPr>
        <w:tblW w:w="4999" w:type="pct"/>
        <w:tblLayout w:type="fixed"/>
        <w:tblCellMar>
          <w:left w:w="30" w:type="dxa"/>
          <w:right w:w="30" w:type="dxa"/>
        </w:tblCellMar>
        <w:tblLook w:val="0000" w:firstRow="0" w:lastRow="0" w:firstColumn="0" w:lastColumn="0" w:noHBand="0" w:noVBand="0"/>
      </w:tblPr>
      <w:tblGrid>
        <w:gridCol w:w="3996"/>
        <w:gridCol w:w="1354"/>
        <w:gridCol w:w="1354"/>
        <w:gridCol w:w="1354"/>
        <w:gridCol w:w="1355"/>
      </w:tblGrid>
      <w:tr w:rsidR="00587444" w:rsidRPr="00587444" w14:paraId="5AF6FFC3" w14:textId="77777777" w:rsidTr="00DD69E7">
        <w:trPr>
          <w:cantSplit/>
          <w:trHeight w:val="579"/>
          <w:tblHeader/>
        </w:trPr>
        <w:tc>
          <w:tcPr>
            <w:tcW w:w="2123" w:type="pct"/>
            <w:vAlign w:val="bottom"/>
          </w:tcPr>
          <w:p w14:paraId="15B4B180" w14:textId="77777777" w:rsidR="00587444" w:rsidRPr="00587444" w:rsidRDefault="00587444" w:rsidP="00587444">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Bank</w:t>
            </w:r>
          </w:p>
          <w:p w14:paraId="500A35F2"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r w:rsidRPr="00587444">
              <w:rPr>
                <w:rFonts w:ascii="Arial" w:eastAsia="Calibri" w:hAnsi="Arial" w:cs="Arial"/>
                <w:b/>
                <w:sz w:val="18"/>
                <w:szCs w:val="18"/>
              </w:rPr>
              <w:t>31 December</w:t>
            </w:r>
            <w:r w:rsidRPr="00587444">
              <w:rPr>
                <w:rFonts w:ascii="Arial" w:hAnsi="Arial" w:cs="Arial"/>
                <w:b/>
                <w:sz w:val="18"/>
                <w:szCs w:val="18"/>
              </w:rPr>
              <w:t xml:space="preserve"> 2021</w:t>
            </w:r>
          </w:p>
        </w:tc>
        <w:tc>
          <w:tcPr>
            <w:tcW w:w="719" w:type="pct"/>
            <w:vAlign w:val="bottom"/>
          </w:tcPr>
          <w:p w14:paraId="32C45277"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Republic of Croatia</w:t>
            </w:r>
          </w:p>
        </w:tc>
        <w:tc>
          <w:tcPr>
            <w:tcW w:w="719" w:type="pct"/>
            <w:vAlign w:val="bottom"/>
          </w:tcPr>
          <w:p w14:paraId="309C78FF"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EU </w:t>
            </w:r>
          </w:p>
          <w:p w14:paraId="7DDA9956"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countries</w:t>
            </w:r>
          </w:p>
        </w:tc>
        <w:tc>
          <w:tcPr>
            <w:tcW w:w="719" w:type="pct"/>
            <w:vAlign w:val="bottom"/>
          </w:tcPr>
          <w:p w14:paraId="46397C1E"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Other </w:t>
            </w:r>
          </w:p>
          <w:p w14:paraId="265B58C0"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countries </w:t>
            </w:r>
          </w:p>
        </w:tc>
        <w:tc>
          <w:tcPr>
            <w:tcW w:w="720" w:type="pct"/>
            <w:vAlign w:val="bottom"/>
          </w:tcPr>
          <w:p w14:paraId="19688D07"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Total</w:t>
            </w:r>
          </w:p>
        </w:tc>
      </w:tr>
      <w:tr w:rsidR="00587444" w:rsidRPr="00587444" w14:paraId="5929F7A2" w14:textId="77777777" w:rsidTr="00DD69E7">
        <w:trPr>
          <w:cantSplit/>
          <w:trHeight w:val="250"/>
          <w:tblHeader/>
        </w:trPr>
        <w:tc>
          <w:tcPr>
            <w:tcW w:w="2123" w:type="pct"/>
          </w:tcPr>
          <w:p w14:paraId="50BEBAD9"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p>
        </w:tc>
        <w:tc>
          <w:tcPr>
            <w:tcW w:w="719" w:type="pct"/>
          </w:tcPr>
          <w:p w14:paraId="4012FCF6"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HRK ‘000</w:t>
            </w:r>
          </w:p>
        </w:tc>
        <w:tc>
          <w:tcPr>
            <w:tcW w:w="719" w:type="pct"/>
          </w:tcPr>
          <w:p w14:paraId="337F32F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HRK ‘000</w:t>
            </w:r>
          </w:p>
        </w:tc>
        <w:tc>
          <w:tcPr>
            <w:tcW w:w="719" w:type="pct"/>
          </w:tcPr>
          <w:p w14:paraId="31D255FE"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HRK ‘000</w:t>
            </w:r>
          </w:p>
        </w:tc>
        <w:tc>
          <w:tcPr>
            <w:tcW w:w="720" w:type="pct"/>
          </w:tcPr>
          <w:p w14:paraId="6D39B036"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HRK ‘000</w:t>
            </w:r>
          </w:p>
        </w:tc>
      </w:tr>
      <w:tr w:rsidR="00587444" w:rsidRPr="00587444" w14:paraId="5E468D4C" w14:textId="77777777" w:rsidTr="00DD69E7">
        <w:trPr>
          <w:cantSplit/>
          <w:trHeight w:val="250"/>
          <w:tblHeader/>
        </w:trPr>
        <w:tc>
          <w:tcPr>
            <w:tcW w:w="2123" w:type="pct"/>
          </w:tcPr>
          <w:p w14:paraId="3A0DF0F9" w14:textId="77777777" w:rsidR="00587444" w:rsidRPr="00587444" w:rsidRDefault="00587444" w:rsidP="00587444">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Assets</w:t>
            </w:r>
          </w:p>
        </w:tc>
        <w:tc>
          <w:tcPr>
            <w:tcW w:w="719" w:type="pct"/>
          </w:tcPr>
          <w:p w14:paraId="43E2423F" w14:textId="77777777" w:rsidR="00587444" w:rsidRPr="00587444" w:rsidRDefault="00587444" w:rsidP="00587444">
            <w:pPr>
              <w:suppressAutoHyphens w:val="0"/>
              <w:autoSpaceDN/>
              <w:spacing w:line="280" w:lineRule="exact"/>
              <w:jc w:val="right"/>
              <w:rPr>
                <w:rFonts w:ascii="Arial" w:hAnsi="Arial" w:cs="Arial"/>
                <w:sz w:val="18"/>
                <w:szCs w:val="18"/>
              </w:rPr>
            </w:pPr>
          </w:p>
        </w:tc>
        <w:tc>
          <w:tcPr>
            <w:tcW w:w="719" w:type="pct"/>
          </w:tcPr>
          <w:p w14:paraId="5A1430CB" w14:textId="77777777" w:rsidR="00587444" w:rsidRPr="00587444" w:rsidRDefault="00587444" w:rsidP="00587444">
            <w:pPr>
              <w:suppressAutoHyphens w:val="0"/>
              <w:autoSpaceDN/>
              <w:spacing w:line="280" w:lineRule="exact"/>
              <w:jc w:val="right"/>
              <w:rPr>
                <w:rFonts w:ascii="Arial" w:hAnsi="Arial" w:cs="Arial"/>
                <w:sz w:val="18"/>
                <w:szCs w:val="18"/>
              </w:rPr>
            </w:pPr>
          </w:p>
        </w:tc>
        <w:tc>
          <w:tcPr>
            <w:tcW w:w="719" w:type="pct"/>
          </w:tcPr>
          <w:p w14:paraId="53A0C7A4" w14:textId="77777777" w:rsidR="00587444" w:rsidRPr="00587444" w:rsidRDefault="00587444" w:rsidP="00587444">
            <w:pPr>
              <w:suppressAutoHyphens w:val="0"/>
              <w:autoSpaceDN/>
              <w:spacing w:line="280" w:lineRule="exact"/>
              <w:jc w:val="right"/>
              <w:rPr>
                <w:rFonts w:ascii="Arial" w:hAnsi="Arial" w:cs="Arial"/>
                <w:sz w:val="18"/>
                <w:szCs w:val="18"/>
              </w:rPr>
            </w:pPr>
          </w:p>
        </w:tc>
        <w:tc>
          <w:tcPr>
            <w:tcW w:w="720" w:type="pct"/>
          </w:tcPr>
          <w:p w14:paraId="5A17CDFF" w14:textId="77777777" w:rsidR="00587444" w:rsidRPr="00587444" w:rsidRDefault="00587444" w:rsidP="00587444">
            <w:pPr>
              <w:suppressAutoHyphens w:val="0"/>
              <w:autoSpaceDN/>
              <w:spacing w:line="280" w:lineRule="exact"/>
              <w:jc w:val="center"/>
              <w:rPr>
                <w:rFonts w:ascii="Arial" w:hAnsi="Arial" w:cs="Arial"/>
                <w:sz w:val="18"/>
                <w:szCs w:val="18"/>
              </w:rPr>
            </w:pPr>
          </w:p>
        </w:tc>
      </w:tr>
      <w:tr w:rsidR="00587444" w:rsidRPr="00587444" w14:paraId="59F39CC7" w14:textId="77777777" w:rsidTr="00DD69E7">
        <w:trPr>
          <w:cantSplit/>
          <w:trHeight w:val="250"/>
          <w:tblHeader/>
        </w:trPr>
        <w:tc>
          <w:tcPr>
            <w:tcW w:w="2123" w:type="pct"/>
            <w:vAlign w:val="bottom"/>
          </w:tcPr>
          <w:p w14:paraId="53A77865"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Cash on hand and current accounts with banks</w:t>
            </w:r>
          </w:p>
        </w:tc>
        <w:tc>
          <w:tcPr>
            <w:tcW w:w="719" w:type="pct"/>
            <w:tcBorders>
              <w:top w:val="nil"/>
              <w:left w:val="nil"/>
              <w:bottom w:val="nil"/>
              <w:right w:val="nil"/>
            </w:tcBorders>
            <w:shd w:val="clear" w:color="auto" w:fill="auto"/>
            <w:vAlign w:val="bottom"/>
          </w:tcPr>
          <w:p w14:paraId="5AC2A816"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 xml:space="preserve"> 1,877,717 </w:t>
            </w:r>
          </w:p>
        </w:tc>
        <w:tc>
          <w:tcPr>
            <w:tcW w:w="719" w:type="pct"/>
            <w:tcBorders>
              <w:top w:val="nil"/>
              <w:left w:val="nil"/>
              <w:bottom w:val="nil"/>
              <w:right w:val="nil"/>
            </w:tcBorders>
            <w:shd w:val="clear" w:color="auto" w:fill="auto"/>
            <w:vAlign w:val="bottom"/>
          </w:tcPr>
          <w:p w14:paraId="78B73552"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 xml:space="preserve"> 25,319 </w:t>
            </w:r>
          </w:p>
        </w:tc>
        <w:tc>
          <w:tcPr>
            <w:tcW w:w="719" w:type="pct"/>
            <w:tcBorders>
              <w:top w:val="nil"/>
              <w:left w:val="nil"/>
              <w:bottom w:val="nil"/>
              <w:right w:val="nil"/>
            </w:tcBorders>
            <w:shd w:val="clear" w:color="auto" w:fill="auto"/>
            <w:vAlign w:val="bottom"/>
          </w:tcPr>
          <w:p w14:paraId="2785891F"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 xml:space="preserve"> 55,583 </w:t>
            </w:r>
          </w:p>
        </w:tc>
        <w:tc>
          <w:tcPr>
            <w:tcW w:w="720" w:type="pct"/>
            <w:tcBorders>
              <w:top w:val="nil"/>
              <w:left w:val="nil"/>
              <w:bottom w:val="nil"/>
              <w:right w:val="nil"/>
            </w:tcBorders>
            <w:shd w:val="clear" w:color="auto" w:fill="auto"/>
            <w:vAlign w:val="bottom"/>
          </w:tcPr>
          <w:p w14:paraId="48EA2754"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 xml:space="preserve"> 1,958,619 </w:t>
            </w:r>
          </w:p>
        </w:tc>
      </w:tr>
      <w:tr w:rsidR="00587444" w:rsidRPr="00587444" w14:paraId="3FAE26CF" w14:textId="77777777" w:rsidTr="00DD69E7">
        <w:trPr>
          <w:cantSplit/>
          <w:trHeight w:val="250"/>
          <w:tblHeader/>
        </w:trPr>
        <w:tc>
          <w:tcPr>
            <w:tcW w:w="2123" w:type="pct"/>
            <w:vAlign w:val="bottom"/>
          </w:tcPr>
          <w:p w14:paraId="71D26145"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Deposits with other banks</w:t>
            </w:r>
          </w:p>
        </w:tc>
        <w:tc>
          <w:tcPr>
            <w:tcW w:w="719" w:type="pct"/>
            <w:tcBorders>
              <w:top w:val="nil"/>
              <w:left w:val="nil"/>
              <w:bottom w:val="nil"/>
              <w:right w:val="nil"/>
            </w:tcBorders>
            <w:shd w:val="clear" w:color="auto" w:fill="auto"/>
            <w:vAlign w:val="bottom"/>
          </w:tcPr>
          <w:p w14:paraId="2EEA923F"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 xml:space="preserve"> -   </w:t>
            </w:r>
          </w:p>
        </w:tc>
        <w:tc>
          <w:tcPr>
            <w:tcW w:w="719" w:type="pct"/>
            <w:tcBorders>
              <w:top w:val="nil"/>
              <w:left w:val="nil"/>
              <w:bottom w:val="nil"/>
              <w:right w:val="nil"/>
            </w:tcBorders>
            <w:shd w:val="clear" w:color="auto" w:fill="auto"/>
            <w:vAlign w:val="bottom"/>
          </w:tcPr>
          <w:p w14:paraId="77F9503A"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 xml:space="preserve"> 7,500 </w:t>
            </w:r>
          </w:p>
        </w:tc>
        <w:tc>
          <w:tcPr>
            <w:tcW w:w="719" w:type="pct"/>
            <w:tcBorders>
              <w:top w:val="nil"/>
              <w:left w:val="nil"/>
              <w:bottom w:val="nil"/>
              <w:right w:val="nil"/>
            </w:tcBorders>
            <w:shd w:val="clear" w:color="auto" w:fill="auto"/>
            <w:vAlign w:val="bottom"/>
          </w:tcPr>
          <w:p w14:paraId="3287BD01"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 xml:space="preserve"> -   </w:t>
            </w:r>
          </w:p>
        </w:tc>
        <w:tc>
          <w:tcPr>
            <w:tcW w:w="720" w:type="pct"/>
            <w:tcBorders>
              <w:top w:val="nil"/>
              <w:left w:val="nil"/>
              <w:bottom w:val="nil"/>
              <w:right w:val="nil"/>
            </w:tcBorders>
            <w:shd w:val="clear" w:color="auto" w:fill="auto"/>
            <w:vAlign w:val="bottom"/>
          </w:tcPr>
          <w:p w14:paraId="1C6A93A0"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 xml:space="preserve"> 7,500 </w:t>
            </w:r>
          </w:p>
        </w:tc>
      </w:tr>
      <w:tr w:rsidR="00587444" w:rsidRPr="00587444" w14:paraId="154490D2" w14:textId="77777777" w:rsidTr="00DD69E7">
        <w:trPr>
          <w:cantSplit/>
          <w:trHeight w:val="250"/>
          <w:tblHeader/>
        </w:trPr>
        <w:tc>
          <w:tcPr>
            <w:tcW w:w="2123" w:type="pct"/>
            <w:vAlign w:val="bottom"/>
          </w:tcPr>
          <w:p w14:paraId="1713AA32"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Loans to financial institutions</w:t>
            </w:r>
          </w:p>
        </w:tc>
        <w:tc>
          <w:tcPr>
            <w:tcW w:w="719" w:type="pct"/>
            <w:tcBorders>
              <w:top w:val="nil"/>
              <w:left w:val="nil"/>
              <w:bottom w:val="nil"/>
              <w:right w:val="nil"/>
            </w:tcBorders>
            <w:shd w:val="clear" w:color="auto" w:fill="auto"/>
            <w:vAlign w:val="bottom"/>
          </w:tcPr>
          <w:p w14:paraId="6874EF38"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 xml:space="preserve"> 7,050,143 </w:t>
            </w:r>
          </w:p>
        </w:tc>
        <w:tc>
          <w:tcPr>
            <w:tcW w:w="719" w:type="pct"/>
            <w:tcBorders>
              <w:top w:val="nil"/>
              <w:left w:val="nil"/>
              <w:bottom w:val="nil"/>
              <w:right w:val="nil"/>
            </w:tcBorders>
            <w:shd w:val="clear" w:color="auto" w:fill="auto"/>
            <w:vAlign w:val="bottom"/>
          </w:tcPr>
          <w:p w14:paraId="690A13E1"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 xml:space="preserve"> -   </w:t>
            </w:r>
          </w:p>
        </w:tc>
        <w:tc>
          <w:tcPr>
            <w:tcW w:w="719" w:type="pct"/>
            <w:tcBorders>
              <w:top w:val="nil"/>
              <w:left w:val="nil"/>
              <w:bottom w:val="nil"/>
              <w:right w:val="nil"/>
            </w:tcBorders>
            <w:shd w:val="clear" w:color="auto" w:fill="auto"/>
            <w:vAlign w:val="bottom"/>
          </w:tcPr>
          <w:p w14:paraId="42A98517"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 xml:space="preserve"> -   </w:t>
            </w:r>
          </w:p>
        </w:tc>
        <w:tc>
          <w:tcPr>
            <w:tcW w:w="720" w:type="pct"/>
            <w:tcBorders>
              <w:top w:val="nil"/>
              <w:left w:val="nil"/>
              <w:bottom w:val="nil"/>
              <w:right w:val="nil"/>
            </w:tcBorders>
            <w:shd w:val="clear" w:color="auto" w:fill="auto"/>
            <w:vAlign w:val="bottom"/>
          </w:tcPr>
          <w:p w14:paraId="7C63A1D6"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 xml:space="preserve"> 7,050,143 </w:t>
            </w:r>
          </w:p>
        </w:tc>
      </w:tr>
      <w:tr w:rsidR="00587444" w:rsidRPr="00587444" w14:paraId="52DB5E2C" w14:textId="77777777" w:rsidTr="00DD69E7">
        <w:trPr>
          <w:cantSplit/>
          <w:trHeight w:val="250"/>
          <w:tblHeader/>
        </w:trPr>
        <w:tc>
          <w:tcPr>
            <w:tcW w:w="2123" w:type="pct"/>
            <w:vAlign w:val="bottom"/>
          </w:tcPr>
          <w:p w14:paraId="0274885B"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Loans to other customers</w:t>
            </w:r>
          </w:p>
        </w:tc>
        <w:tc>
          <w:tcPr>
            <w:tcW w:w="719" w:type="pct"/>
            <w:tcBorders>
              <w:top w:val="nil"/>
              <w:left w:val="nil"/>
              <w:bottom w:val="nil"/>
              <w:right w:val="nil"/>
            </w:tcBorders>
            <w:shd w:val="clear" w:color="auto" w:fill="auto"/>
            <w:vAlign w:val="bottom"/>
          </w:tcPr>
          <w:p w14:paraId="4B9FCA26"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 xml:space="preserve"> 15,681,740 </w:t>
            </w:r>
          </w:p>
        </w:tc>
        <w:tc>
          <w:tcPr>
            <w:tcW w:w="719" w:type="pct"/>
            <w:tcBorders>
              <w:top w:val="nil"/>
              <w:left w:val="nil"/>
              <w:bottom w:val="nil"/>
              <w:right w:val="nil"/>
            </w:tcBorders>
            <w:shd w:val="clear" w:color="auto" w:fill="auto"/>
            <w:vAlign w:val="bottom"/>
          </w:tcPr>
          <w:p w14:paraId="4C1AEB66"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 xml:space="preserve"> -   </w:t>
            </w:r>
          </w:p>
        </w:tc>
        <w:tc>
          <w:tcPr>
            <w:tcW w:w="719" w:type="pct"/>
            <w:tcBorders>
              <w:top w:val="nil"/>
              <w:left w:val="nil"/>
              <w:bottom w:val="nil"/>
              <w:right w:val="nil"/>
            </w:tcBorders>
            <w:shd w:val="clear" w:color="auto" w:fill="auto"/>
            <w:vAlign w:val="bottom"/>
          </w:tcPr>
          <w:p w14:paraId="3FC57F7F"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 xml:space="preserve"> 282,636 </w:t>
            </w:r>
          </w:p>
        </w:tc>
        <w:tc>
          <w:tcPr>
            <w:tcW w:w="720" w:type="pct"/>
            <w:tcBorders>
              <w:top w:val="nil"/>
              <w:left w:val="nil"/>
              <w:bottom w:val="nil"/>
              <w:right w:val="nil"/>
            </w:tcBorders>
            <w:shd w:val="clear" w:color="auto" w:fill="auto"/>
            <w:vAlign w:val="bottom"/>
          </w:tcPr>
          <w:p w14:paraId="16B90401"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 xml:space="preserve"> 15,964,376 </w:t>
            </w:r>
          </w:p>
        </w:tc>
      </w:tr>
      <w:tr w:rsidR="00587444" w:rsidRPr="00587444" w14:paraId="6367C7D8" w14:textId="77777777" w:rsidTr="00DD69E7">
        <w:trPr>
          <w:cantSplit/>
          <w:trHeight w:val="250"/>
          <w:tblHeader/>
        </w:trPr>
        <w:tc>
          <w:tcPr>
            <w:tcW w:w="2123" w:type="pct"/>
            <w:vAlign w:val="bottom"/>
          </w:tcPr>
          <w:p w14:paraId="44B8A696"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 xml:space="preserve">Financial assets at fair value through profit or loss </w:t>
            </w:r>
          </w:p>
        </w:tc>
        <w:tc>
          <w:tcPr>
            <w:tcW w:w="719" w:type="pct"/>
            <w:tcBorders>
              <w:top w:val="nil"/>
              <w:left w:val="nil"/>
              <w:bottom w:val="nil"/>
              <w:right w:val="nil"/>
            </w:tcBorders>
            <w:shd w:val="clear" w:color="auto" w:fill="auto"/>
            <w:vAlign w:val="bottom"/>
          </w:tcPr>
          <w:p w14:paraId="7ADB91D8" w14:textId="77777777" w:rsidR="00587444" w:rsidRPr="00587444" w:rsidDel="00B1050C"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16,375</w:t>
            </w:r>
          </w:p>
        </w:tc>
        <w:tc>
          <w:tcPr>
            <w:tcW w:w="719" w:type="pct"/>
            <w:tcBorders>
              <w:top w:val="nil"/>
              <w:left w:val="nil"/>
              <w:bottom w:val="nil"/>
              <w:right w:val="nil"/>
            </w:tcBorders>
            <w:shd w:val="clear" w:color="auto" w:fill="auto"/>
            <w:vAlign w:val="bottom"/>
          </w:tcPr>
          <w:p w14:paraId="54770500" w14:textId="77777777" w:rsidR="00587444" w:rsidRPr="00587444" w:rsidDel="00B1050C"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w:t>
            </w:r>
          </w:p>
        </w:tc>
        <w:tc>
          <w:tcPr>
            <w:tcW w:w="719" w:type="pct"/>
            <w:tcBorders>
              <w:top w:val="nil"/>
              <w:left w:val="nil"/>
              <w:bottom w:val="nil"/>
              <w:right w:val="nil"/>
            </w:tcBorders>
            <w:shd w:val="clear" w:color="auto" w:fill="auto"/>
            <w:vAlign w:val="bottom"/>
          </w:tcPr>
          <w:p w14:paraId="7507C2D0" w14:textId="77777777" w:rsidR="00587444" w:rsidRPr="00587444" w:rsidDel="00B1050C"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w:t>
            </w:r>
          </w:p>
        </w:tc>
        <w:tc>
          <w:tcPr>
            <w:tcW w:w="720" w:type="pct"/>
            <w:tcBorders>
              <w:top w:val="nil"/>
              <w:left w:val="nil"/>
              <w:bottom w:val="nil"/>
              <w:right w:val="nil"/>
            </w:tcBorders>
            <w:shd w:val="clear" w:color="auto" w:fill="auto"/>
            <w:vAlign w:val="bottom"/>
          </w:tcPr>
          <w:p w14:paraId="45C9A265" w14:textId="77777777" w:rsidR="00587444" w:rsidRPr="00587444" w:rsidDel="00B1050C"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16,375</w:t>
            </w:r>
          </w:p>
        </w:tc>
      </w:tr>
      <w:tr w:rsidR="00587444" w:rsidRPr="00587444" w14:paraId="580A5D41" w14:textId="77777777" w:rsidTr="00DD69E7">
        <w:trPr>
          <w:cantSplit/>
          <w:trHeight w:val="250"/>
          <w:tblHeader/>
        </w:trPr>
        <w:tc>
          <w:tcPr>
            <w:tcW w:w="2123" w:type="pct"/>
            <w:vAlign w:val="bottom"/>
          </w:tcPr>
          <w:p w14:paraId="7A359A76" w14:textId="77777777" w:rsidR="00175A91" w:rsidRDefault="00587444" w:rsidP="00587444">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 xml:space="preserve">Financial assets at fair value through other </w:t>
            </w:r>
          </w:p>
          <w:p w14:paraId="1F6A8A6E" w14:textId="2AD64C30"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 xml:space="preserve">comprehensive income </w:t>
            </w:r>
          </w:p>
        </w:tc>
        <w:tc>
          <w:tcPr>
            <w:tcW w:w="719" w:type="pct"/>
            <w:tcBorders>
              <w:top w:val="nil"/>
              <w:left w:val="nil"/>
              <w:bottom w:val="nil"/>
              <w:right w:val="nil"/>
            </w:tcBorders>
            <w:shd w:val="clear" w:color="auto" w:fill="auto"/>
            <w:vAlign w:val="bottom"/>
          </w:tcPr>
          <w:p w14:paraId="554D5316"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2,871,219</w:t>
            </w:r>
          </w:p>
        </w:tc>
        <w:tc>
          <w:tcPr>
            <w:tcW w:w="719" w:type="pct"/>
            <w:tcBorders>
              <w:top w:val="nil"/>
              <w:left w:val="nil"/>
              <w:bottom w:val="nil"/>
              <w:right w:val="nil"/>
            </w:tcBorders>
            <w:shd w:val="clear" w:color="auto" w:fill="auto"/>
            <w:vAlign w:val="bottom"/>
          </w:tcPr>
          <w:p w14:paraId="12794484"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1,469</w:t>
            </w:r>
          </w:p>
        </w:tc>
        <w:tc>
          <w:tcPr>
            <w:tcW w:w="719" w:type="pct"/>
            <w:tcBorders>
              <w:top w:val="nil"/>
              <w:left w:val="nil"/>
              <w:bottom w:val="nil"/>
              <w:right w:val="nil"/>
            </w:tcBorders>
            <w:shd w:val="clear" w:color="auto" w:fill="auto"/>
            <w:vAlign w:val="bottom"/>
          </w:tcPr>
          <w:p w14:paraId="51464768"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w:t>
            </w:r>
          </w:p>
        </w:tc>
        <w:tc>
          <w:tcPr>
            <w:tcW w:w="720" w:type="pct"/>
            <w:tcBorders>
              <w:top w:val="nil"/>
              <w:left w:val="nil"/>
              <w:bottom w:val="nil"/>
              <w:right w:val="nil"/>
            </w:tcBorders>
            <w:shd w:val="clear" w:color="auto" w:fill="auto"/>
            <w:vAlign w:val="bottom"/>
          </w:tcPr>
          <w:p w14:paraId="102E3740"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2,872,688</w:t>
            </w:r>
          </w:p>
        </w:tc>
      </w:tr>
      <w:tr w:rsidR="00587444" w:rsidRPr="00587444" w14:paraId="631D7BB0" w14:textId="77777777" w:rsidTr="00DD69E7">
        <w:trPr>
          <w:cantSplit/>
          <w:trHeight w:val="250"/>
          <w:tblHeader/>
        </w:trPr>
        <w:tc>
          <w:tcPr>
            <w:tcW w:w="2123" w:type="pct"/>
            <w:vAlign w:val="bottom"/>
          </w:tcPr>
          <w:p w14:paraId="20A859A3"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Other assets</w:t>
            </w:r>
          </w:p>
        </w:tc>
        <w:tc>
          <w:tcPr>
            <w:tcW w:w="719" w:type="pct"/>
            <w:tcBorders>
              <w:top w:val="nil"/>
              <w:left w:val="nil"/>
              <w:bottom w:val="nil"/>
              <w:right w:val="nil"/>
            </w:tcBorders>
            <w:shd w:val="clear" w:color="auto" w:fill="auto"/>
            <w:vAlign w:val="bottom"/>
          </w:tcPr>
          <w:p w14:paraId="75837F94"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4,699</w:t>
            </w:r>
          </w:p>
        </w:tc>
        <w:tc>
          <w:tcPr>
            <w:tcW w:w="719" w:type="pct"/>
            <w:tcBorders>
              <w:top w:val="nil"/>
              <w:left w:val="nil"/>
              <w:bottom w:val="nil"/>
              <w:right w:val="nil"/>
            </w:tcBorders>
            <w:shd w:val="clear" w:color="auto" w:fill="auto"/>
            <w:vAlign w:val="bottom"/>
          </w:tcPr>
          <w:p w14:paraId="50C247E7"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w:t>
            </w:r>
          </w:p>
        </w:tc>
        <w:tc>
          <w:tcPr>
            <w:tcW w:w="719" w:type="pct"/>
            <w:tcBorders>
              <w:top w:val="nil"/>
              <w:left w:val="nil"/>
              <w:bottom w:val="nil"/>
              <w:right w:val="nil"/>
            </w:tcBorders>
            <w:shd w:val="clear" w:color="auto" w:fill="auto"/>
            <w:vAlign w:val="bottom"/>
          </w:tcPr>
          <w:p w14:paraId="484D3B90"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w:t>
            </w:r>
          </w:p>
        </w:tc>
        <w:tc>
          <w:tcPr>
            <w:tcW w:w="720" w:type="pct"/>
            <w:tcBorders>
              <w:top w:val="nil"/>
              <w:left w:val="nil"/>
              <w:bottom w:val="nil"/>
              <w:right w:val="nil"/>
            </w:tcBorders>
            <w:shd w:val="clear" w:color="auto" w:fill="auto"/>
            <w:vAlign w:val="bottom"/>
          </w:tcPr>
          <w:p w14:paraId="55F2EA90"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r w:rsidRPr="00587444">
              <w:rPr>
                <w:rFonts w:ascii="Arial" w:hAnsi="Arial" w:cs="Arial"/>
                <w:sz w:val="18"/>
                <w:szCs w:val="18"/>
              </w:rPr>
              <w:t>4,699</w:t>
            </w:r>
          </w:p>
        </w:tc>
      </w:tr>
      <w:tr w:rsidR="00587444" w:rsidRPr="00587444" w14:paraId="2ADD940C" w14:textId="77777777" w:rsidTr="00DD69E7">
        <w:trPr>
          <w:cantSplit/>
          <w:trHeight w:val="456"/>
          <w:tblHeader/>
        </w:trPr>
        <w:tc>
          <w:tcPr>
            <w:tcW w:w="2123" w:type="pct"/>
            <w:vAlign w:val="bottom"/>
          </w:tcPr>
          <w:p w14:paraId="7D1F05EC" w14:textId="77777777" w:rsidR="00587444" w:rsidRPr="00587444" w:rsidRDefault="00587444" w:rsidP="00587444">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 xml:space="preserve">Total </w:t>
            </w:r>
          </w:p>
        </w:tc>
        <w:tc>
          <w:tcPr>
            <w:tcW w:w="719" w:type="pct"/>
            <w:tcBorders>
              <w:top w:val="single" w:sz="8" w:space="0" w:color="auto"/>
              <w:left w:val="nil"/>
              <w:bottom w:val="single" w:sz="18" w:space="0" w:color="auto"/>
              <w:right w:val="nil"/>
            </w:tcBorders>
            <w:shd w:val="clear" w:color="auto" w:fill="auto"/>
            <w:vAlign w:val="bottom"/>
          </w:tcPr>
          <w:p w14:paraId="2A3319A9"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27,501,893</w:t>
            </w:r>
          </w:p>
        </w:tc>
        <w:tc>
          <w:tcPr>
            <w:tcW w:w="719" w:type="pct"/>
            <w:tcBorders>
              <w:top w:val="single" w:sz="8" w:space="0" w:color="auto"/>
              <w:left w:val="nil"/>
              <w:bottom w:val="single" w:sz="18" w:space="0" w:color="auto"/>
              <w:right w:val="nil"/>
            </w:tcBorders>
            <w:shd w:val="clear" w:color="auto" w:fill="auto"/>
            <w:vAlign w:val="bottom"/>
          </w:tcPr>
          <w:p w14:paraId="056C23AB"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34,288</w:t>
            </w:r>
          </w:p>
        </w:tc>
        <w:tc>
          <w:tcPr>
            <w:tcW w:w="719" w:type="pct"/>
            <w:tcBorders>
              <w:top w:val="single" w:sz="8" w:space="0" w:color="auto"/>
              <w:left w:val="nil"/>
              <w:bottom w:val="single" w:sz="18" w:space="0" w:color="auto"/>
              <w:right w:val="nil"/>
            </w:tcBorders>
            <w:shd w:val="clear" w:color="auto" w:fill="auto"/>
            <w:vAlign w:val="bottom"/>
          </w:tcPr>
          <w:p w14:paraId="20A0FE3C"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338,219</w:t>
            </w:r>
          </w:p>
        </w:tc>
        <w:tc>
          <w:tcPr>
            <w:tcW w:w="720" w:type="pct"/>
            <w:tcBorders>
              <w:top w:val="single" w:sz="8" w:space="0" w:color="auto"/>
              <w:left w:val="nil"/>
              <w:bottom w:val="single" w:sz="18" w:space="0" w:color="auto"/>
              <w:right w:val="nil"/>
            </w:tcBorders>
            <w:shd w:val="clear" w:color="auto" w:fill="auto"/>
            <w:vAlign w:val="bottom"/>
          </w:tcPr>
          <w:p w14:paraId="5B461697"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27,874,400</w:t>
            </w:r>
          </w:p>
        </w:tc>
      </w:tr>
      <w:tr w:rsidR="00587444" w:rsidRPr="00587444" w14:paraId="56946A01" w14:textId="77777777" w:rsidTr="00DD69E7">
        <w:tblPrEx>
          <w:tblCellMar>
            <w:left w:w="31" w:type="dxa"/>
            <w:right w:w="31" w:type="dxa"/>
          </w:tblCellMar>
        </w:tblPrEx>
        <w:trPr>
          <w:cantSplit/>
          <w:trHeight w:val="250"/>
          <w:tblHeader/>
        </w:trPr>
        <w:tc>
          <w:tcPr>
            <w:tcW w:w="2123" w:type="pct"/>
            <w:vAlign w:val="bottom"/>
          </w:tcPr>
          <w:p w14:paraId="11854723"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p>
        </w:tc>
        <w:tc>
          <w:tcPr>
            <w:tcW w:w="719" w:type="pct"/>
            <w:tcBorders>
              <w:top w:val="single" w:sz="18" w:space="0" w:color="auto"/>
            </w:tcBorders>
            <w:vAlign w:val="bottom"/>
          </w:tcPr>
          <w:p w14:paraId="4106B4B9"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tcBorders>
              <w:top w:val="single" w:sz="18" w:space="0" w:color="auto"/>
            </w:tcBorders>
            <w:vAlign w:val="bottom"/>
          </w:tcPr>
          <w:p w14:paraId="39500116"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tcBorders>
              <w:top w:val="single" w:sz="18" w:space="0" w:color="auto"/>
            </w:tcBorders>
            <w:vAlign w:val="bottom"/>
          </w:tcPr>
          <w:p w14:paraId="4D4687B3"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20" w:type="pct"/>
            <w:tcBorders>
              <w:top w:val="single" w:sz="18" w:space="0" w:color="auto"/>
            </w:tcBorders>
            <w:vAlign w:val="bottom"/>
          </w:tcPr>
          <w:p w14:paraId="25D0CEA6"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r>
      <w:tr w:rsidR="00587444" w:rsidRPr="00587444" w14:paraId="7E23597F" w14:textId="77777777" w:rsidTr="00DD69E7">
        <w:tblPrEx>
          <w:tblCellMar>
            <w:left w:w="31" w:type="dxa"/>
            <w:right w:w="31" w:type="dxa"/>
          </w:tblCellMar>
        </w:tblPrEx>
        <w:trPr>
          <w:cantSplit/>
          <w:trHeight w:val="312"/>
          <w:tblHeader/>
        </w:trPr>
        <w:tc>
          <w:tcPr>
            <w:tcW w:w="2123" w:type="pct"/>
            <w:vAlign w:val="bottom"/>
          </w:tcPr>
          <w:p w14:paraId="16B38EF1" w14:textId="77777777" w:rsidR="00587444" w:rsidRPr="00587444" w:rsidRDefault="00587444" w:rsidP="00587444">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Guarantees and commitments</w:t>
            </w:r>
          </w:p>
        </w:tc>
        <w:tc>
          <w:tcPr>
            <w:tcW w:w="719" w:type="pct"/>
            <w:vAlign w:val="bottom"/>
          </w:tcPr>
          <w:p w14:paraId="017F8095"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vAlign w:val="bottom"/>
          </w:tcPr>
          <w:p w14:paraId="13747D1E"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vAlign w:val="bottom"/>
          </w:tcPr>
          <w:p w14:paraId="76F0A916"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c>
          <w:tcPr>
            <w:tcW w:w="720" w:type="pct"/>
            <w:vAlign w:val="bottom"/>
          </w:tcPr>
          <w:p w14:paraId="09939763"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sz w:val="18"/>
                <w:szCs w:val="18"/>
              </w:rPr>
            </w:pPr>
          </w:p>
        </w:tc>
      </w:tr>
      <w:tr w:rsidR="00587444" w:rsidRPr="00587444" w14:paraId="47C310BB" w14:textId="77777777" w:rsidTr="00DD69E7">
        <w:tblPrEx>
          <w:tblCellMar>
            <w:left w:w="31" w:type="dxa"/>
            <w:right w:w="31" w:type="dxa"/>
          </w:tblCellMar>
        </w:tblPrEx>
        <w:trPr>
          <w:cantSplit/>
          <w:trHeight w:val="250"/>
          <w:tblHeader/>
        </w:trPr>
        <w:tc>
          <w:tcPr>
            <w:tcW w:w="2123" w:type="pct"/>
            <w:vAlign w:val="bottom"/>
          </w:tcPr>
          <w:p w14:paraId="2D2D679B"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Guarantees issued in HRK</w:t>
            </w:r>
          </w:p>
        </w:tc>
        <w:tc>
          <w:tcPr>
            <w:tcW w:w="719" w:type="pct"/>
            <w:tcBorders>
              <w:top w:val="nil"/>
              <w:left w:val="nil"/>
              <w:bottom w:val="nil"/>
              <w:right w:val="nil"/>
            </w:tcBorders>
            <w:shd w:val="clear" w:color="auto" w:fill="auto"/>
            <w:vAlign w:val="bottom"/>
          </w:tcPr>
          <w:p w14:paraId="41EC728F"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sz w:val="18"/>
                <w:szCs w:val="18"/>
              </w:rPr>
              <w:t xml:space="preserve"> 140,113 </w:t>
            </w:r>
          </w:p>
        </w:tc>
        <w:tc>
          <w:tcPr>
            <w:tcW w:w="719" w:type="pct"/>
            <w:tcBorders>
              <w:top w:val="nil"/>
              <w:left w:val="nil"/>
              <w:bottom w:val="nil"/>
              <w:right w:val="nil"/>
            </w:tcBorders>
            <w:shd w:val="clear" w:color="auto" w:fill="auto"/>
            <w:vAlign w:val="bottom"/>
          </w:tcPr>
          <w:p w14:paraId="26F3BC35"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sz w:val="18"/>
                <w:szCs w:val="18"/>
              </w:rPr>
              <w:t xml:space="preserve"> -   </w:t>
            </w:r>
          </w:p>
        </w:tc>
        <w:tc>
          <w:tcPr>
            <w:tcW w:w="719" w:type="pct"/>
            <w:tcBorders>
              <w:top w:val="nil"/>
              <w:left w:val="nil"/>
              <w:bottom w:val="nil"/>
              <w:right w:val="nil"/>
            </w:tcBorders>
            <w:shd w:val="clear" w:color="auto" w:fill="auto"/>
            <w:vAlign w:val="bottom"/>
          </w:tcPr>
          <w:p w14:paraId="6F87F213"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sz w:val="18"/>
                <w:szCs w:val="18"/>
              </w:rPr>
              <w:t xml:space="preserve"> -   </w:t>
            </w:r>
          </w:p>
        </w:tc>
        <w:tc>
          <w:tcPr>
            <w:tcW w:w="720" w:type="pct"/>
            <w:tcBorders>
              <w:top w:val="nil"/>
              <w:left w:val="nil"/>
              <w:bottom w:val="nil"/>
              <w:right w:val="nil"/>
            </w:tcBorders>
            <w:shd w:val="clear" w:color="auto" w:fill="auto"/>
            <w:vAlign w:val="bottom"/>
          </w:tcPr>
          <w:p w14:paraId="4D5EC547"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sz w:val="18"/>
                <w:szCs w:val="18"/>
              </w:rPr>
              <w:t xml:space="preserve"> 140,113 </w:t>
            </w:r>
          </w:p>
        </w:tc>
      </w:tr>
      <w:tr w:rsidR="00587444" w:rsidRPr="00587444" w14:paraId="52321A64" w14:textId="77777777" w:rsidTr="00DD69E7">
        <w:tblPrEx>
          <w:tblCellMar>
            <w:left w:w="31" w:type="dxa"/>
            <w:right w:w="31" w:type="dxa"/>
          </w:tblCellMar>
        </w:tblPrEx>
        <w:trPr>
          <w:cantSplit/>
          <w:trHeight w:val="250"/>
          <w:tblHeader/>
        </w:trPr>
        <w:tc>
          <w:tcPr>
            <w:tcW w:w="2123" w:type="pct"/>
            <w:vAlign w:val="bottom"/>
          </w:tcPr>
          <w:p w14:paraId="2165AAE8"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Issued guarantees in foreign currency</w:t>
            </w:r>
          </w:p>
        </w:tc>
        <w:tc>
          <w:tcPr>
            <w:tcW w:w="719" w:type="pct"/>
            <w:tcBorders>
              <w:top w:val="nil"/>
              <w:left w:val="nil"/>
              <w:bottom w:val="nil"/>
              <w:right w:val="nil"/>
            </w:tcBorders>
            <w:shd w:val="clear" w:color="auto" w:fill="auto"/>
            <w:vAlign w:val="bottom"/>
          </w:tcPr>
          <w:p w14:paraId="545A3902"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sz w:val="18"/>
                <w:szCs w:val="18"/>
              </w:rPr>
              <w:t xml:space="preserve"> 260,705 </w:t>
            </w:r>
          </w:p>
        </w:tc>
        <w:tc>
          <w:tcPr>
            <w:tcW w:w="719" w:type="pct"/>
            <w:tcBorders>
              <w:top w:val="nil"/>
              <w:left w:val="nil"/>
              <w:bottom w:val="nil"/>
              <w:right w:val="nil"/>
            </w:tcBorders>
            <w:shd w:val="clear" w:color="auto" w:fill="auto"/>
            <w:vAlign w:val="bottom"/>
          </w:tcPr>
          <w:p w14:paraId="2449DA72"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sz w:val="18"/>
                <w:szCs w:val="18"/>
              </w:rPr>
              <w:t xml:space="preserve"> -   </w:t>
            </w:r>
          </w:p>
        </w:tc>
        <w:tc>
          <w:tcPr>
            <w:tcW w:w="719" w:type="pct"/>
            <w:tcBorders>
              <w:top w:val="nil"/>
              <w:left w:val="nil"/>
              <w:bottom w:val="nil"/>
              <w:right w:val="nil"/>
            </w:tcBorders>
            <w:shd w:val="clear" w:color="auto" w:fill="auto"/>
            <w:vAlign w:val="bottom"/>
          </w:tcPr>
          <w:p w14:paraId="404DFD4A"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sz w:val="18"/>
                <w:szCs w:val="18"/>
              </w:rPr>
              <w:t xml:space="preserve"> -   </w:t>
            </w:r>
          </w:p>
        </w:tc>
        <w:tc>
          <w:tcPr>
            <w:tcW w:w="720" w:type="pct"/>
            <w:tcBorders>
              <w:top w:val="nil"/>
              <w:left w:val="nil"/>
              <w:bottom w:val="nil"/>
              <w:right w:val="nil"/>
            </w:tcBorders>
            <w:shd w:val="clear" w:color="auto" w:fill="auto"/>
            <w:vAlign w:val="bottom"/>
          </w:tcPr>
          <w:p w14:paraId="0AFACA5D"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sz w:val="18"/>
                <w:szCs w:val="18"/>
              </w:rPr>
              <w:t xml:space="preserve"> 260,705 </w:t>
            </w:r>
          </w:p>
        </w:tc>
      </w:tr>
      <w:tr w:rsidR="00587444" w:rsidRPr="00587444" w14:paraId="0F191FA5" w14:textId="77777777" w:rsidTr="00DD69E7">
        <w:tblPrEx>
          <w:tblCellMar>
            <w:left w:w="31" w:type="dxa"/>
            <w:right w:w="31" w:type="dxa"/>
          </w:tblCellMar>
        </w:tblPrEx>
        <w:trPr>
          <w:cantSplit/>
          <w:trHeight w:val="250"/>
          <w:tblHeader/>
        </w:trPr>
        <w:tc>
          <w:tcPr>
            <w:tcW w:w="2123" w:type="pct"/>
            <w:vAlign w:val="bottom"/>
          </w:tcPr>
          <w:p w14:paraId="672B488A" w14:textId="77777777"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Undrawn loans</w:t>
            </w:r>
          </w:p>
        </w:tc>
        <w:tc>
          <w:tcPr>
            <w:tcW w:w="719" w:type="pct"/>
            <w:tcBorders>
              <w:top w:val="nil"/>
              <w:left w:val="nil"/>
              <w:bottom w:val="single" w:sz="4" w:space="0" w:color="auto"/>
              <w:right w:val="nil"/>
            </w:tcBorders>
            <w:shd w:val="clear" w:color="auto" w:fill="auto"/>
            <w:vAlign w:val="bottom"/>
          </w:tcPr>
          <w:p w14:paraId="028ACAA6"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sz w:val="18"/>
                <w:szCs w:val="18"/>
              </w:rPr>
              <w:t xml:space="preserve"> 3,454,685 </w:t>
            </w:r>
          </w:p>
        </w:tc>
        <w:tc>
          <w:tcPr>
            <w:tcW w:w="719" w:type="pct"/>
            <w:tcBorders>
              <w:top w:val="nil"/>
              <w:left w:val="nil"/>
              <w:bottom w:val="single" w:sz="4" w:space="0" w:color="auto"/>
              <w:right w:val="nil"/>
            </w:tcBorders>
            <w:shd w:val="clear" w:color="auto" w:fill="auto"/>
            <w:vAlign w:val="bottom"/>
          </w:tcPr>
          <w:p w14:paraId="218D0717"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sz w:val="18"/>
                <w:szCs w:val="18"/>
              </w:rPr>
              <w:t xml:space="preserve"> -   </w:t>
            </w:r>
          </w:p>
        </w:tc>
        <w:tc>
          <w:tcPr>
            <w:tcW w:w="719" w:type="pct"/>
            <w:tcBorders>
              <w:top w:val="nil"/>
              <w:left w:val="nil"/>
              <w:bottom w:val="single" w:sz="4" w:space="0" w:color="auto"/>
              <w:right w:val="nil"/>
            </w:tcBorders>
            <w:shd w:val="clear" w:color="auto" w:fill="auto"/>
            <w:vAlign w:val="bottom"/>
          </w:tcPr>
          <w:p w14:paraId="3A55CD75"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sz w:val="18"/>
                <w:szCs w:val="18"/>
              </w:rPr>
              <w:t xml:space="preserve"> 2,606 </w:t>
            </w:r>
          </w:p>
        </w:tc>
        <w:tc>
          <w:tcPr>
            <w:tcW w:w="720" w:type="pct"/>
            <w:tcBorders>
              <w:top w:val="nil"/>
              <w:left w:val="nil"/>
              <w:bottom w:val="single" w:sz="4" w:space="0" w:color="auto"/>
              <w:right w:val="nil"/>
            </w:tcBorders>
            <w:shd w:val="clear" w:color="auto" w:fill="auto"/>
            <w:vAlign w:val="bottom"/>
          </w:tcPr>
          <w:p w14:paraId="08B7D2A8"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color w:val="000000"/>
                <w:sz w:val="18"/>
                <w:szCs w:val="18"/>
                <w:lang w:val="hr-HR"/>
              </w:rPr>
            </w:pPr>
            <w:r w:rsidRPr="00587444">
              <w:rPr>
                <w:rFonts w:ascii="Arial" w:hAnsi="Arial" w:cs="Arial"/>
                <w:sz w:val="18"/>
                <w:szCs w:val="18"/>
              </w:rPr>
              <w:t xml:space="preserve"> 3,457,291 </w:t>
            </w:r>
          </w:p>
        </w:tc>
      </w:tr>
      <w:tr w:rsidR="00587444" w:rsidRPr="00587444" w14:paraId="0E9AF88C" w14:textId="77777777" w:rsidTr="00DD69E7">
        <w:tblPrEx>
          <w:tblCellMar>
            <w:left w:w="31" w:type="dxa"/>
            <w:right w:w="31" w:type="dxa"/>
          </w:tblCellMar>
        </w:tblPrEx>
        <w:trPr>
          <w:cantSplit/>
          <w:trHeight w:val="425"/>
          <w:tblHeader/>
        </w:trPr>
        <w:tc>
          <w:tcPr>
            <w:tcW w:w="2123" w:type="pct"/>
            <w:vAlign w:val="bottom"/>
          </w:tcPr>
          <w:p w14:paraId="51DFC1A6" w14:textId="77777777" w:rsidR="00587444" w:rsidRPr="00587444" w:rsidRDefault="00587444" w:rsidP="00587444">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Total</w:t>
            </w:r>
          </w:p>
        </w:tc>
        <w:tc>
          <w:tcPr>
            <w:tcW w:w="719" w:type="pct"/>
            <w:tcBorders>
              <w:top w:val="single" w:sz="4" w:space="0" w:color="auto"/>
              <w:left w:val="nil"/>
              <w:bottom w:val="single" w:sz="18" w:space="0" w:color="auto"/>
              <w:right w:val="nil"/>
            </w:tcBorders>
            <w:shd w:val="clear" w:color="auto" w:fill="auto"/>
            <w:vAlign w:val="bottom"/>
          </w:tcPr>
          <w:p w14:paraId="1014ECCD"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 xml:space="preserve"> 3,855,503 </w:t>
            </w:r>
          </w:p>
        </w:tc>
        <w:tc>
          <w:tcPr>
            <w:tcW w:w="719" w:type="pct"/>
            <w:tcBorders>
              <w:top w:val="single" w:sz="4" w:space="0" w:color="auto"/>
              <w:left w:val="nil"/>
              <w:bottom w:val="single" w:sz="18" w:space="0" w:color="auto"/>
              <w:right w:val="nil"/>
            </w:tcBorders>
            <w:shd w:val="clear" w:color="auto" w:fill="auto"/>
            <w:vAlign w:val="bottom"/>
          </w:tcPr>
          <w:p w14:paraId="0DCD32BE"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 xml:space="preserve"> -   </w:t>
            </w:r>
          </w:p>
        </w:tc>
        <w:tc>
          <w:tcPr>
            <w:tcW w:w="719" w:type="pct"/>
            <w:tcBorders>
              <w:top w:val="single" w:sz="4" w:space="0" w:color="auto"/>
              <w:left w:val="nil"/>
              <w:bottom w:val="single" w:sz="18" w:space="0" w:color="auto"/>
              <w:right w:val="nil"/>
            </w:tcBorders>
            <w:shd w:val="clear" w:color="auto" w:fill="auto"/>
            <w:vAlign w:val="bottom"/>
          </w:tcPr>
          <w:p w14:paraId="14205454"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 xml:space="preserve"> 2,606 </w:t>
            </w:r>
          </w:p>
        </w:tc>
        <w:tc>
          <w:tcPr>
            <w:tcW w:w="720" w:type="pct"/>
            <w:tcBorders>
              <w:top w:val="single" w:sz="4" w:space="0" w:color="auto"/>
              <w:left w:val="nil"/>
              <w:bottom w:val="single" w:sz="18" w:space="0" w:color="auto"/>
              <w:right w:val="nil"/>
            </w:tcBorders>
            <w:shd w:val="clear" w:color="auto" w:fill="auto"/>
            <w:vAlign w:val="bottom"/>
          </w:tcPr>
          <w:p w14:paraId="374FE1EC"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 xml:space="preserve"> 3,858,109 </w:t>
            </w:r>
          </w:p>
        </w:tc>
      </w:tr>
      <w:tr w:rsidR="00587444" w:rsidRPr="00587444" w14:paraId="2F5722CA" w14:textId="77777777" w:rsidTr="00DD69E7">
        <w:tblPrEx>
          <w:tblCellMar>
            <w:left w:w="31" w:type="dxa"/>
            <w:right w:w="31" w:type="dxa"/>
          </w:tblCellMar>
        </w:tblPrEx>
        <w:trPr>
          <w:cantSplit/>
          <w:trHeight w:val="467"/>
          <w:tblHeader/>
        </w:trPr>
        <w:tc>
          <w:tcPr>
            <w:tcW w:w="2123" w:type="pct"/>
            <w:vAlign w:val="bottom"/>
          </w:tcPr>
          <w:p w14:paraId="6A3DD638" w14:textId="77777777" w:rsidR="00587444" w:rsidRPr="00587444" w:rsidRDefault="00587444" w:rsidP="00587444">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Total credit risk exposure</w:t>
            </w:r>
          </w:p>
        </w:tc>
        <w:tc>
          <w:tcPr>
            <w:tcW w:w="719" w:type="pct"/>
            <w:tcBorders>
              <w:top w:val="single" w:sz="18" w:space="0" w:color="auto"/>
              <w:left w:val="nil"/>
              <w:bottom w:val="single" w:sz="18" w:space="0" w:color="auto"/>
              <w:right w:val="nil"/>
            </w:tcBorders>
            <w:shd w:val="clear" w:color="auto" w:fill="auto"/>
            <w:vAlign w:val="bottom"/>
          </w:tcPr>
          <w:p w14:paraId="6150077F"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b/>
                <w:bCs/>
                <w:sz w:val="18"/>
                <w:szCs w:val="18"/>
              </w:rPr>
            </w:pPr>
            <w:r w:rsidRPr="00587444">
              <w:rPr>
                <w:rFonts w:ascii="Arial" w:hAnsi="Arial" w:cs="Arial"/>
                <w:b/>
                <w:bCs/>
                <w:sz w:val="18"/>
                <w:szCs w:val="18"/>
              </w:rPr>
              <w:t xml:space="preserve"> 31,357,396 </w:t>
            </w:r>
          </w:p>
        </w:tc>
        <w:tc>
          <w:tcPr>
            <w:tcW w:w="719" w:type="pct"/>
            <w:tcBorders>
              <w:top w:val="single" w:sz="18" w:space="0" w:color="auto"/>
              <w:left w:val="nil"/>
              <w:bottom w:val="single" w:sz="18" w:space="0" w:color="auto"/>
              <w:right w:val="nil"/>
            </w:tcBorders>
            <w:shd w:val="clear" w:color="auto" w:fill="auto"/>
            <w:vAlign w:val="bottom"/>
          </w:tcPr>
          <w:p w14:paraId="563C7538"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b/>
                <w:bCs/>
                <w:sz w:val="18"/>
                <w:szCs w:val="18"/>
              </w:rPr>
            </w:pPr>
            <w:r w:rsidRPr="00587444">
              <w:rPr>
                <w:rFonts w:ascii="Arial" w:hAnsi="Arial" w:cs="Arial"/>
                <w:b/>
                <w:bCs/>
                <w:sz w:val="18"/>
                <w:szCs w:val="18"/>
              </w:rPr>
              <w:t xml:space="preserve"> 34,288 </w:t>
            </w:r>
          </w:p>
        </w:tc>
        <w:tc>
          <w:tcPr>
            <w:tcW w:w="719" w:type="pct"/>
            <w:tcBorders>
              <w:top w:val="single" w:sz="18" w:space="0" w:color="auto"/>
              <w:left w:val="nil"/>
              <w:bottom w:val="single" w:sz="18" w:space="0" w:color="auto"/>
              <w:right w:val="nil"/>
            </w:tcBorders>
            <w:shd w:val="clear" w:color="auto" w:fill="auto"/>
            <w:vAlign w:val="bottom"/>
          </w:tcPr>
          <w:p w14:paraId="6869B644"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b/>
                <w:bCs/>
                <w:sz w:val="18"/>
                <w:szCs w:val="18"/>
              </w:rPr>
            </w:pPr>
            <w:r w:rsidRPr="00587444">
              <w:rPr>
                <w:rFonts w:ascii="Arial" w:hAnsi="Arial" w:cs="Arial"/>
                <w:b/>
                <w:bCs/>
                <w:sz w:val="18"/>
                <w:szCs w:val="18"/>
              </w:rPr>
              <w:t xml:space="preserve"> 340,825 </w:t>
            </w:r>
          </w:p>
        </w:tc>
        <w:tc>
          <w:tcPr>
            <w:tcW w:w="720" w:type="pct"/>
            <w:tcBorders>
              <w:top w:val="single" w:sz="18" w:space="0" w:color="auto"/>
              <w:left w:val="nil"/>
              <w:bottom w:val="single" w:sz="18" w:space="0" w:color="auto"/>
              <w:right w:val="nil"/>
            </w:tcBorders>
            <w:shd w:val="clear" w:color="auto" w:fill="auto"/>
            <w:vAlign w:val="bottom"/>
          </w:tcPr>
          <w:p w14:paraId="3A822F23"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b/>
                <w:bCs/>
                <w:sz w:val="18"/>
                <w:szCs w:val="18"/>
              </w:rPr>
            </w:pPr>
            <w:r w:rsidRPr="00587444">
              <w:rPr>
                <w:rFonts w:ascii="Arial" w:hAnsi="Arial" w:cs="Arial"/>
                <w:b/>
                <w:bCs/>
                <w:sz w:val="18"/>
                <w:szCs w:val="18"/>
              </w:rPr>
              <w:t xml:space="preserve"> 31,732,509 </w:t>
            </w:r>
          </w:p>
        </w:tc>
      </w:tr>
    </w:tbl>
    <w:p w14:paraId="3CDE6764" w14:textId="77777777" w:rsidR="00587444" w:rsidRPr="00587444" w:rsidRDefault="00587444" w:rsidP="00587444">
      <w:pPr>
        <w:keepNext/>
        <w:suppressAutoHyphens w:val="0"/>
        <w:autoSpaceDN/>
        <w:spacing w:before="120" w:line="360" w:lineRule="auto"/>
        <w:jc w:val="both"/>
        <w:rPr>
          <w:rFonts w:ascii="Arial" w:hAnsi="Arial" w:cs="Arial"/>
          <w:sz w:val="20"/>
          <w:szCs w:val="20"/>
          <w:lang w:val="en-GB"/>
        </w:rPr>
      </w:pPr>
    </w:p>
    <w:p w14:paraId="3B313029" w14:textId="77777777" w:rsidR="00587444" w:rsidRPr="00587444" w:rsidRDefault="00587444" w:rsidP="00587444">
      <w:pPr>
        <w:keepNext/>
        <w:suppressAutoHyphens w:val="0"/>
        <w:autoSpaceDN/>
        <w:spacing w:before="120" w:line="360" w:lineRule="auto"/>
        <w:jc w:val="both"/>
        <w:rPr>
          <w:rFonts w:ascii="Arial" w:hAnsi="Arial" w:cs="Arial"/>
          <w:sz w:val="20"/>
          <w:szCs w:val="20"/>
          <w:lang w:val="en-GB"/>
        </w:rPr>
      </w:pPr>
    </w:p>
    <w:p w14:paraId="69115DA6" w14:textId="77777777" w:rsidR="00587444" w:rsidRPr="00587444" w:rsidRDefault="00587444" w:rsidP="00587444">
      <w:pPr>
        <w:keepNext/>
        <w:suppressAutoHyphens w:val="0"/>
        <w:autoSpaceDN/>
        <w:spacing w:before="120" w:line="360" w:lineRule="auto"/>
        <w:jc w:val="both"/>
        <w:rPr>
          <w:rFonts w:ascii="Arial" w:hAnsi="Arial" w:cs="Arial"/>
          <w:sz w:val="20"/>
          <w:szCs w:val="20"/>
          <w:highlight w:val="yellow"/>
          <w:lang w:val="en-GB"/>
        </w:rPr>
      </w:pPr>
    </w:p>
    <w:p w14:paraId="5A429174" w14:textId="77777777" w:rsidR="00587444" w:rsidRPr="00587444" w:rsidRDefault="00587444" w:rsidP="00587444">
      <w:pPr>
        <w:keepNext/>
        <w:suppressAutoHyphens w:val="0"/>
        <w:autoSpaceDN/>
        <w:spacing w:before="120" w:line="360" w:lineRule="auto"/>
        <w:jc w:val="both"/>
        <w:rPr>
          <w:rFonts w:ascii="Arial" w:hAnsi="Arial" w:cs="Arial"/>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46D2FB69" w14:textId="77777777" w:rsidR="00587444" w:rsidRPr="00587444" w:rsidRDefault="00587444" w:rsidP="00587444">
      <w:pPr>
        <w:keepNext/>
        <w:suppressAutoHyphens w:val="0"/>
        <w:autoSpaceDN/>
        <w:jc w:val="both"/>
        <w:rPr>
          <w:rFonts w:ascii="Arial" w:hAnsi="Arial" w:cs="Arial"/>
          <w:sz w:val="20"/>
          <w:szCs w:val="20"/>
          <w:highlight w:val="yellow"/>
          <w:lang w:val="en-GB"/>
        </w:rPr>
      </w:pPr>
    </w:p>
    <w:p w14:paraId="2703D70B" w14:textId="77777777" w:rsidR="00587444" w:rsidRPr="00587444" w:rsidRDefault="00587444" w:rsidP="00587444">
      <w:pPr>
        <w:keepNext/>
        <w:suppressAutoHyphens w:val="0"/>
        <w:autoSpaceDN/>
        <w:jc w:val="both"/>
        <w:rPr>
          <w:rFonts w:ascii="Arial" w:hAnsi="Arial" w:cs="Arial"/>
          <w:sz w:val="20"/>
          <w:szCs w:val="20"/>
          <w:highlight w:val="yellow"/>
          <w:lang w:val="en-GB"/>
        </w:rPr>
      </w:pPr>
    </w:p>
    <w:p w14:paraId="595D8A0D" w14:textId="77777777" w:rsidR="00587444" w:rsidRPr="00587444" w:rsidRDefault="00587444" w:rsidP="00587444">
      <w:pPr>
        <w:keepNext/>
        <w:suppressAutoHyphens w:val="0"/>
        <w:autoSpaceDN/>
        <w:jc w:val="both"/>
        <w:rPr>
          <w:rFonts w:ascii="Arial" w:hAnsi="Arial" w:cs="Arial"/>
          <w:sz w:val="20"/>
          <w:szCs w:val="20"/>
          <w:highlight w:val="yellow"/>
          <w:lang w:val="en-GB"/>
        </w:rPr>
        <w:sectPr w:rsidR="00587444" w:rsidRPr="00587444" w:rsidSect="00DD69E7">
          <w:type w:val="continuous"/>
          <w:pgSz w:w="11907" w:h="16840" w:code="9"/>
          <w:pgMar w:top="1418" w:right="1134" w:bottom="1134" w:left="1418" w:header="851" w:footer="851" w:gutter="0"/>
          <w:cols w:space="720"/>
          <w:noEndnote/>
        </w:sectPr>
      </w:pPr>
    </w:p>
    <w:p w14:paraId="7485F261" w14:textId="77777777" w:rsidR="00587444" w:rsidRPr="00587444" w:rsidRDefault="00587444" w:rsidP="00587444">
      <w:pPr>
        <w:keepNext/>
        <w:suppressAutoHyphens w:val="0"/>
        <w:autoSpaceDN/>
        <w:jc w:val="both"/>
        <w:rPr>
          <w:rFonts w:ascii="Arial" w:hAnsi="Arial" w:cs="Arial"/>
          <w:sz w:val="20"/>
          <w:szCs w:val="20"/>
          <w:highlight w:val="yellow"/>
          <w:lang w:val="en-GB"/>
        </w:rPr>
      </w:pPr>
    </w:p>
    <w:p w14:paraId="51B07563"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7994446F" w14:textId="77777777" w:rsidR="00587444" w:rsidRPr="00587444" w:rsidRDefault="00587444" w:rsidP="00587444">
      <w:pPr>
        <w:keepNext/>
        <w:suppressAutoHyphens w:val="0"/>
        <w:autoSpaceDN/>
        <w:jc w:val="both"/>
        <w:rPr>
          <w:rFonts w:ascii="Arial" w:hAnsi="Arial" w:cs="Arial"/>
          <w:b/>
          <w:bCs/>
          <w:sz w:val="20"/>
          <w:szCs w:val="20"/>
          <w:lang w:val="en-GB"/>
        </w:rPr>
      </w:pPr>
    </w:p>
    <w:p w14:paraId="48123EA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EF953F7" w14:textId="77777777" w:rsidR="00587444" w:rsidRPr="00587444" w:rsidRDefault="00587444" w:rsidP="00587444">
      <w:pPr>
        <w:tabs>
          <w:tab w:val="right" w:pos="1202"/>
        </w:tabs>
        <w:suppressAutoHyphens w:val="0"/>
        <w:autoSpaceDN/>
        <w:outlineLvl w:val="0"/>
        <w:rPr>
          <w:rFonts w:ascii="Arial" w:hAnsi="Arial" w:cs="Arial"/>
          <w:b/>
          <w:sz w:val="20"/>
          <w:szCs w:val="20"/>
          <w:lang w:val="en-GB"/>
        </w:rPr>
      </w:pPr>
    </w:p>
    <w:p w14:paraId="3E1734C0" w14:textId="77777777" w:rsidR="00587444" w:rsidRPr="00587444" w:rsidRDefault="00587444" w:rsidP="00587444">
      <w:pPr>
        <w:tabs>
          <w:tab w:val="right" w:pos="1202"/>
        </w:tabs>
        <w:suppressAutoHyphens w:val="0"/>
        <w:autoSpaceDN/>
        <w:outlineLvl w:val="0"/>
        <w:rPr>
          <w:rFonts w:ascii="Arial" w:hAnsi="Arial" w:cs="Arial"/>
          <w:b/>
          <w:sz w:val="20"/>
          <w:szCs w:val="20"/>
          <w:lang w:val="en-GB"/>
        </w:rPr>
      </w:pPr>
      <w:bookmarkStart w:id="1126" w:name="_Toc4060847"/>
      <w:r w:rsidRPr="00587444">
        <w:rPr>
          <w:rFonts w:ascii="Arial" w:hAnsi="Arial" w:cs="Arial"/>
          <w:b/>
          <w:sz w:val="20"/>
          <w:szCs w:val="20"/>
          <w:lang w:val="en-GB"/>
        </w:rPr>
        <w:t>Concentration of risk and maximum credit risk exposure (continued)</w:t>
      </w:r>
      <w:bookmarkEnd w:id="1126"/>
    </w:p>
    <w:p w14:paraId="1B4F73B5" w14:textId="77777777" w:rsidR="00587444" w:rsidRPr="00587444" w:rsidRDefault="00587444" w:rsidP="00587444">
      <w:pPr>
        <w:keepNext/>
        <w:suppressAutoHyphens w:val="0"/>
        <w:autoSpaceDN/>
        <w:jc w:val="both"/>
        <w:rPr>
          <w:rFonts w:ascii="Arial" w:hAnsi="Arial" w:cs="Arial"/>
          <w:bCs/>
          <w:sz w:val="20"/>
          <w:szCs w:val="20"/>
          <w:lang w:val="en-GB"/>
        </w:rPr>
      </w:pPr>
    </w:p>
    <w:p w14:paraId="5216A4F2" w14:textId="77777777" w:rsidR="00587444" w:rsidRPr="00587444" w:rsidRDefault="00587444" w:rsidP="00587444">
      <w:pPr>
        <w:keepNext/>
        <w:suppressAutoHyphens w:val="0"/>
        <w:autoSpaceDN/>
        <w:jc w:val="both"/>
        <w:rPr>
          <w:rFonts w:ascii="Arial" w:hAnsi="Arial" w:cs="Arial"/>
          <w:bCs/>
          <w:sz w:val="20"/>
          <w:szCs w:val="20"/>
        </w:rPr>
      </w:pPr>
      <w:r w:rsidRPr="00587444">
        <w:rPr>
          <w:rFonts w:ascii="Arial" w:hAnsi="Arial" w:cs="Arial"/>
          <w:bCs/>
          <w:sz w:val="20"/>
          <w:szCs w:val="20"/>
          <w:lang w:val="en-GB"/>
        </w:rPr>
        <w:t>Concentration of assets and guarantees and commitments, according to industry, net exposure</w:t>
      </w:r>
      <w:r w:rsidRPr="00587444">
        <w:rPr>
          <w:rFonts w:ascii="Arial" w:hAnsi="Arial" w:cs="Arial"/>
          <w:b/>
          <w:bCs/>
          <w:sz w:val="20"/>
          <w:szCs w:val="20"/>
          <w:lang w:val="en-GB"/>
        </w:rPr>
        <w:t xml:space="preserve">, </w:t>
      </w:r>
      <w:r w:rsidRPr="00587444">
        <w:rPr>
          <w:rFonts w:ascii="Arial" w:hAnsi="Arial" w:cs="Arial"/>
          <w:bCs/>
          <w:sz w:val="20"/>
          <w:szCs w:val="20"/>
          <w:lang w:val="en-GB"/>
        </w:rPr>
        <w:t xml:space="preserve">before and </w:t>
      </w:r>
      <w:r w:rsidRPr="00587444">
        <w:rPr>
          <w:rFonts w:ascii="Arial" w:hAnsi="Arial" w:cs="Arial"/>
          <w:bCs/>
          <w:sz w:val="20"/>
          <w:szCs w:val="20"/>
        </w:rPr>
        <w:t xml:space="preserve">after the effect of mitigation through collateral received:  </w:t>
      </w:r>
    </w:p>
    <w:p w14:paraId="49C2A89D" w14:textId="77777777" w:rsidR="00587444" w:rsidRPr="00587444" w:rsidRDefault="00587444" w:rsidP="00587444">
      <w:pPr>
        <w:tabs>
          <w:tab w:val="right" w:pos="9129"/>
        </w:tabs>
        <w:suppressAutoHyphens w:val="0"/>
        <w:autoSpaceDN/>
        <w:jc w:val="both"/>
        <w:rPr>
          <w:rFonts w:ascii="Arial" w:hAnsi="Arial" w:cs="Arial"/>
          <w:bCs/>
          <w:sz w:val="20"/>
          <w:szCs w:val="20"/>
          <w:highlight w:val="yellow"/>
          <w:lang w:val="en-GB"/>
        </w:rPr>
      </w:pPr>
    </w:p>
    <w:tbl>
      <w:tblPr>
        <w:tblpPr w:leftFromText="181" w:rightFromText="181" w:vertAnchor="text" w:tblpY="1"/>
        <w:tblOverlap w:val="never"/>
        <w:tblW w:w="5000" w:type="pct"/>
        <w:tblLayout w:type="fixed"/>
        <w:tblCellMar>
          <w:left w:w="30" w:type="dxa"/>
          <w:right w:w="30" w:type="dxa"/>
        </w:tblCellMar>
        <w:tblLook w:val="0000" w:firstRow="0" w:lastRow="0" w:firstColumn="0" w:lastColumn="0" w:noHBand="0" w:noVBand="0"/>
      </w:tblPr>
      <w:tblGrid>
        <w:gridCol w:w="4429"/>
        <w:gridCol w:w="1365"/>
        <w:gridCol w:w="1209"/>
        <w:gridCol w:w="1209"/>
        <w:gridCol w:w="1203"/>
      </w:tblGrid>
      <w:tr w:rsidR="00587444" w:rsidRPr="00587444" w14:paraId="30E5EAB7" w14:textId="77777777" w:rsidTr="00DD69E7">
        <w:trPr>
          <w:cantSplit/>
          <w:trHeight w:val="919"/>
          <w:tblHeader/>
        </w:trPr>
        <w:tc>
          <w:tcPr>
            <w:tcW w:w="2352" w:type="pct"/>
            <w:vAlign w:val="bottom"/>
          </w:tcPr>
          <w:p w14:paraId="4BCB5A90"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8"/>
                <w:szCs w:val="18"/>
              </w:rPr>
            </w:pPr>
            <w:bookmarkStart w:id="1127" w:name="_Toc4060848"/>
            <w:r w:rsidRPr="00587444">
              <w:rPr>
                <w:rFonts w:ascii="Arial" w:hAnsi="Arial" w:cs="Arial"/>
                <w:b/>
                <w:sz w:val="18"/>
                <w:szCs w:val="18"/>
              </w:rPr>
              <w:t>Group</w:t>
            </w:r>
            <w:bookmarkEnd w:id="1127"/>
          </w:p>
        </w:tc>
        <w:tc>
          <w:tcPr>
            <w:tcW w:w="725" w:type="pct"/>
            <w:vAlign w:val="center"/>
          </w:tcPr>
          <w:p w14:paraId="535E23BF"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5D8E43A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35C5713F"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2965E18"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0DA4A14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FCAE8B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264DC357"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034453A"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bookmarkStart w:id="1128" w:name="_Toc4060849"/>
            <w:r w:rsidRPr="00587444">
              <w:rPr>
                <w:rFonts w:ascii="Arial" w:eastAsia="Calibri" w:hAnsi="Arial" w:cs="Arial"/>
                <w:b/>
                <w:sz w:val="18"/>
                <w:szCs w:val="18"/>
              </w:rPr>
              <w:t xml:space="preserve">Highest </w:t>
            </w:r>
          </w:p>
          <w:p w14:paraId="104BAFF5" w14:textId="3668DEB3"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exposure</w:t>
            </w:r>
            <w:bookmarkEnd w:id="1128"/>
          </w:p>
        </w:tc>
        <w:tc>
          <w:tcPr>
            <w:tcW w:w="642" w:type="pct"/>
            <w:vAlign w:val="center"/>
          </w:tcPr>
          <w:p w14:paraId="42AA0B3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18D8E3D1"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bookmarkStart w:id="1129" w:name="_Toc4060850"/>
            <w:r w:rsidRPr="00587444">
              <w:rPr>
                <w:rFonts w:ascii="Arial" w:eastAsia="Calibri" w:hAnsi="Arial" w:cs="Arial"/>
                <w:b/>
                <w:sz w:val="18"/>
                <w:szCs w:val="18"/>
              </w:rPr>
              <w:t xml:space="preserve">Highest </w:t>
            </w:r>
          </w:p>
          <w:p w14:paraId="0400D2D7"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exposure </w:t>
            </w:r>
          </w:p>
          <w:p w14:paraId="37E31CE0" w14:textId="77777777" w:rsidR="00470B0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after the </w:t>
            </w:r>
          </w:p>
          <w:p w14:paraId="1410BAC7" w14:textId="65A9A31B"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effect of </w:t>
            </w:r>
          </w:p>
          <w:p w14:paraId="29CBD25F"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mitigation through </w:t>
            </w:r>
          </w:p>
          <w:p w14:paraId="6D144A3E"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collateral </w:t>
            </w:r>
          </w:p>
          <w:p w14:paraId="107C31B1" w14:textId="0B523DAA"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received</w:t>
            </w:r>
            <w:bookmarkEnd w:id="1129"/>
          </w:p>
        </w:tc>
        <w:tc>
          <w:tcPr>
            <w:tcW w:w="642" w:type="pct"/>
            <w:vAlign w:val="center"/>
          </w:tcPr>
          <w:p w14:paraId="078B137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D759C1B"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23F2B1A5"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3095C7E8"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D22D54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3C5C5E35"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3E96DC4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53AA3B14"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bookmarkStart w:id="1130" w:name="_Toc4060851"/>
            <w:r w:rsidRPr="00587444">
              <w:rPr>
                <w:rFonts w:ascii="Arial" w:eastAsia="Calibri" w:hAnsi="Arial" w:cs="Arial"/>
                <w:b/>
                <w:sz w:val="18"/>
                <w:szCs w:val="18"/>
              </w:rPr>
              <w:t xml:space="preserve">Highest </w:t>
            </w:r>
          </w:p>
          <w:p w14:paraId="3C8CDB58" w14:textId="2050B7DC"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exposure</w:t>
            </w:r>
            <w:bookmarkEnd w:id="1130"/>
          </w:p>
        </w:tc>
        <w:tc>
          <w:tcPr>
            <w:tcW w:w="639" w:type="pct"/>
            <w:vAlign w:val="center"/>
          </w:tcPr>
          <w:p w14:paraId="02C7931E"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15385FA1"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bookmarkStart w:id="1131" w:name="_Toc4060852"/>
            <w:r w:rsidRPr="00587444">
              <w:rPr>
                <w:rFonts w:ascii="Arial" w:eastAsia="Calibri" w:hAnsi="Arial" w:cs="Arial"/>
                <w:b/>
                <w:sz w:val="18"/>
                <w:szCs w:val="18"/>
              </w:rPr>
              <w:t xml:space="preserve">Highest </w:t>
            </w:r>
          </w:p>
          <w:p w14:paraId="1A27126D"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exposure </w:t>
            </w:r>
          </w:p>
          <w:p w14:paraId="1655CA22"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after the </w:t>
            </w:r>
          </w:p>
          <w:p w14:paraId="2B8D80D1"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effect of </w:t>
            </w:r>
          </w:p>
          <w:p w14:paraId="301AA7EE"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mitigation through </w:t>
            </w:r>
          </w:p>
          <w:p w14:paraId="2CCA2AC9" w14:textId="6E939DD3"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collateral </w:t>
            </w:r>
          </w:p>
          <w:p w14:paraId="3D6398B3" w14:textId="44A94508"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received</w:t>
            </w:r>
            <w:bookmarkEnd w:id="1131"/>
          </w:p>
        </w:tc>
      </w:tr>
      <w:tr w:rsidR="00587444" w:rsidRPr="00587444" w14:paraId="651E2AA7" w14:textId="77777777" w:rsidTr="00DD69E7">
        <w:trPr>
          <w:cantSplit/>
          <w:trHeight w:val="270"/>
          <w:tblHeader/>
        </w:trPr>
        <w:tc>
          <w:tcPr>
            <w:tcW w:w="2352" w:type="pct"/>
          </w:tcPr>
          <w:p w14:paraId="7F6A373B" w14:textId="77777777" w:rsidR="00587444" w:rsidRPr="00587444" w:rsidRDefault="00587444" w:rsidP="00587444">
            <w:pPr>
              <w:suppressAutoHyphens w:val="0"/>
              <w:autoSpaceDN/>
              <w:spacing w:line="280" w:lineRule="exact"/>
              <w:ind w:left="113" w:hanging="113"/>
              <w:rPr>
                <w:rFonts w:ascii="Arial" w:eastAsia="Calibri" w:hAnsi="Arial" w:cs="Arial"/>
                <w:sz w:val="18"/>
                <w:szCs w:val="18"/>
              </w:rPr>
            </w:pPr>
          </w:p>
        </w:tc>
        <w:tc>
          <w:tcPr>
            <w:tcW w:w="725" w:type="pct"/>
            <w:vAlign w:val="center"/>
          </w:tcPr>
          <w:p w14:paraId="28D5E0F3"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bookmarkStart w:id="1132" w:name="_Toc4060853"/>
            <w:r w:rsidRPr="00587444">
              <w:rPr>
                <w:rFonts w:ascii="Arial" w:eastAsia="Calibri" w:hAnsi="Arial" w:cs="Arial"/>
                <w:b/>
                <w:sz w:val="18"/>
                <w:szCs w:val="18"/>
              </w:rPr>
              <w:t xml:space="preserve">31 December </w:t>
            </w:r>
            <w:bookmarkEnd w:id="1132"/>
            <w:r w:rsidRPr="00587444">
              <w:rPr>
                <w:rFonts w:ascii="Arial" w:eastAsia="Calibri" w:hAnsi="Arial" w:cs="Arial"/>
                <w:b/>
                <w:sz w:val="18"/>
                <w:szCs w:val="18"/>
              </w:rPr>
              <w:t>2022</w:t>
            </w:r>
          </w:p>
        </w:tc>
        <w:tc>
          <w:tcPr>
            <w:tcW w:w="642" w:type="pct"/>
            <w:vAlign w:val="center"/>
          </w:tcPr>
          <w:p w14:paraId="30239056"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bookmarkStart w:id="1133" w:name="_Toc4060854"/>
            <w:r w:rsidRPr="00587444">
              <w:rPr>
                <w:rFonts w:ascii="Arial" w:eastAsia="Calibri" w:hAnsi="Arial" w:cs="Arial"/>
                <w:b/>
                <w:sz w:val="18"/>
                <w:szCs w:val="18"/>
              </w:rPr>
              <w:t xml:space="preserve">31 December </w:t>
            </w:r>
            <w:bookmarkEnd w:id="1133"/>
            <w:r w:rsidRPr="00587444">
              <w:rPr>
                <w:rFonts w:ascii="Arial" w:eastAsia="Calibri" w:hAnsi="Arial" w:cs="Arial"/>
                <w:b/>
                <w:sz w:val="18"/>
                <w:szCs w:val="18"/>
              </w:rPr>
              <w:t>2022</w:t>
            </w:r>
          </w:p>
        </w:tc>
        <w:tc>
          <w:tcPr>
            <w:tcW w:w="642" w:type="pct"/>
            <w:vAlign w:val="center"/>
          </w:tcPr>
          <w:p w14:paraId="5F6506B6"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eastAsia="Calibri" w:hAnsi="Arial" w:cs="Arial"/>
                <w:b/>
                <w:sz w:val="18"/>
                <w:szCs w:val="18"/>
              </w:rPr>
              <w:t>31 December 2021</w:t>
            </w:r>
          </w:p>
        </w:tc>
        <w:tc>
          <w:tcPr>
            <w:tcW w:w="639" w:type="pct"/>
            <w:vAlign w:val="center"/>
          </w:tcPr>
          <w:p w14:paraId="41BF5B4B"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eastAsia="Calibri" w:hAnsi="Arial" w:cs="Arial"/>
                <w:b/>
                <w:sz w:val="18"/>
                <w:szCs w:val="18"/>
              </w:rPr>
              <w:t>31 December 2021</w:t>
            </w:r>
          </w:p>
        </w:tc>
      </w:tr>
      <w:tr w:rsidR="00587444" w:rsidRPr="00587444" w14:paraId="301669D1" w14:textId="77777777" w:rsidTr="00DD69E7">
        <w:trPr>
          <w:cantSplit/>
          <w:trHeight w:val="270"/>
          <w:tblHeader/>
        </w:trPr>
        <w:tc>
          <w:tcPr>
            <w:tcW w:w="2352" w:type="pct"/>
          </w:tcPr>
          <w:p w14:paraId="515743C6" w14:textId="77777777" w:rsidR="00587444" w:rsidRPr="00587444" w:rsidRDefault="00587444" w:rsidP="00587444">
            <w:pPr>
              <w:suppressAutoHyphens w:val="0"/>
              <w:autoSpaceDN/>
              <w:spacing w:line="280" w:lineRule="exact"/>
              <w:ind w:left="113" w:hanging="113"/>
              <w:rPr>
                <w:rFonts w:ascii="Arial" w:eastAsia="Calibri" w:hAnsi="Arial" w:cs="Arial"/>
                <w:sz w:val="18"/>
                <w:szCs w:val="18"/>
              </w:rPr>
            </w:pPr>
          </w:p>
        </w:tc>
        <w:tc>
          <w:tcPr>
            <w:tcW w:w="725" w:type="pct"/>
          </w:tcPr>
          <w:p w14:paraId="1BCFED7B"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bookmarkStart w:id="1134" w:name="_Toc4060857"/>
            <w:r w:rsidRPr="00587444">
              <w:rPr>
                <w:rFonts w:ascii="Arial" w:hAnsi="Arial" w:cs="Arial"/>
                <w:b/>
                <w:sz w:val="18"/>
                <w:szCs w:val="18"/>
              </w:rPr>
              <w:t>HRK ‘000</w:t>
            </w:r>
            <w:bookmarkEnd w:id="1134"/>
          </w:p>
        </w:tc>
        <w:tc>
          <w:tcPr>
            <w:tcW w:w="642" w:type="pct"/>
          </w:tcPr>
          <w:p w14:paraId="12D64667"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bookmarkStart w:id="1135" w:name="_Toc4060858"/>
            <w:r w:rsidRPr="00587444">
              <w:rPr>
                <w:rFonts w:ascii="Arial" w:hAnsi="Arial" w:cs="Arial"/>
                <w:b/>
                <w:bCs/>
                <w:sz w:val="18"/>
                <w:szCs w:val="18"/>
              </w:rPr>
              <w:t>HRK ‘000</w:t>
            </w:r>
            <w:bookmarkEnd w:id="1135"/>
          </w:p>
        </w:tc>
        <w:tc>
          <w:tcPr>
            <w:tcW w:w="642" w:type="pct"/>
          </w:tcPr>
          <w:p w14:paraId="4157922B"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sz w:val="18"/>
                <w:szCs w:val="18"/>
              </w:rPr>
              <w:t>HRK ‘000</w:t>
            </w:r>
          </w:p>
        </w:tc>
        <w:tc>
          <w:tcPr>
            <w:tcW w:w="639" w:type="pct"/>
          </w:tcPr>
          <w:p w14:paraId="578F50AA"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HRK ‘000</w:t>
            </w:r>
          </w:p>
        </w:tc>
      </w:tr>
      <w:tr w:rsidR="00587444" w:rsidRPr="00587444" w14:paraId="21265F02" w14:textId="77777777" w:rsidTr="00DD69E7">
        <w:trPr>
          <w:cantSplit/>
          <w:trHeight w:val="270"/>
          <w:tblHeader/>
        </w:trPr>
        <w:tc>
          <w:tcPr>
            <w:tcW w:w="2352" w:type="pct"/>
          </w:tcPr>
          <w:p w14:paraId="66E64B85" w14:textId="77777777" w:rsidR="00587444" w:rsidRPr="00587444" w:rsidRDefault="00587444" w:rsidP="00587444">
            <w:pPr>
              <w:suppressAutoHyphens w:val="0"/>
              <w:autoSpaceDN/>
              <w:spacing w:line="280" w:lineRule="exact"/>
              <w:ind w:left="113" w:hanging="113"/>
              <w:rPr>
                <w:rFonts w:ascii="Arial" w:eastAsia="Calibri" w:hAnsi="Arial" w:cs="Arial"/>
                <w:sz w:val="18"/>
                <w:szCs w:val="18"/>
              </w:rPr>
            </w:pPr>
          </w:p>
        </w:tc>
        <w:tc>
          <w:tcPr>
            <w:tcW w:w="725" w:type="pct"/>
          </w:tcPr>
          <w:p w14:paraId="2BEC09EE"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b/>
                <w:sz w:val="18"/>
                <w:szCs w:val="18"/>
              </w:rPr>
            </w:pPr>
          </w:p>
        </w:tc>
        <w:tc>
          <w:tcPr>
            <w:tcW w:w="642" w:type="pct"/>
          </w:tcPr>
          <w:p w14:paraId="1945B66C"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b/>
                <w:bCs/>
                <w:sz w:val="18"/>
                <w:szCs w:val="18"/>
              </w:rPr>
            </w:pPr>
          </w:p>
        </w:tc>
        <w:tc>
          <w:tcPr>
            <w:tcW w:w="642" w:type="pct"/>
          </w:tcPr>
          <w:p w14:paraId="2274013D"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b/>
                <w:sz w:val="18"/>
                <w:szCs w:val="18"/>
              </w:rPr>
            </w:pPr>
          </w:p>
        </w:tc>
        <w:tc>
          <w:tcPr>
            <w:tcW w:w="639" w:type="pct"/>
          </w:tcPr>
          <w:p w14:paraId="576036E2" w14:textId="77777777" w:rsidR="00587444" w:rsidRPr="00587444" w:rsidRDefault="00587444" w:rsidP="00587444">
            <w:pPr>
              <w:tabs>
                <w:tab w:val="right" w:pos="1202"/>
              </w:tabs>
              <w:suppressAutoHyphens w:val="0"/>
              <w:autoSpaceDN/>
              <w:spacing w:line="280" w:lineRule="exact"/>
              <w:jc w:val="right"/>
              <w:outlineLvl w:val="0"/>
              <w:rPr>
                <w:rFonts w:ascii="Arial" w:hAnsi="Arial" w:cs="Arial"/>
                <w:b/>
                <w:bCs/>
                <w:sz w:val="18"/>
                <w:szCs w:val="18"/>
              </w:rPr>
            </w:pPr>
          </w:p>
        </w:tc>
      </w:tr>
      <w:tr w:rsidR="00587444" w:rsidRPr="00587444" w14:paraId="6D690F78" w14:textId="77777777" w:rsidTr="00DD69E7">
        <w:trPr>
          <w:cantSplit/>
          <w:trHeight w:val="270"/>
          <w:tblHeader/>
        </w:trPr>
        <w:tc>
          <w:tcPr>
            <w:tcW w:w="2352" w:type="pct"/>
            <w:vAlign w:val="bottom"/>
          </w:tcPr>
          <w:p w14:paraId="5817A093" w14:textId="77777777" w:rsidR="00587444" w:rsidRPr="00587444"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Financial intermediation and insurance</w:t>
            </w:r>
          </w:p>
        </w:tc>
        <w:tc>
          <w:tcPr>
            <w:tcW w:w="725" w:type="pct"/>
            <w:tcBorders>
              <w:top w:val="nil"/>
              <w:left w:val="nil"/>
              <w:bottom w:val="nil"/>
              <w:right w:val="nil"/>
            </w:tcBorders>
            <w:shd w:val="clear" w:color="auto" w:fill="auto"/>
            <w:vAlign w:val="bottom"/>
          </w:tcPr>
          <w:p w14:paraId="1D7800D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9,904,362</w:t>
            </w:r>
          </w:p>
        </w:tc>
        <w:tc>
          <w:tcPr>
            <w:tcW w:w="642" w:type="pct"/>
            <w:tcBorders>
              <w:top w:val="nil"/>
              <w:left w:val="nil"/>
              <w:bottom w:val="nil"/>
              <w:right w:val="nil"/>
            </w:tcBorders>
            <w:shd w:val="clear" w:color="auto" w:fill="auto"/>
            <w:vAlign w:val="bottom"/>
          </w:tcPr>
          <w:p w14:paraId="1FC619D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w:t>
            </w:r>
          </w:p>
        </w:tc>
        <w:tc>
          <w:tcPr>
            <w:tcW w:w="642" w:type="pct"/>
            <w:tcBorders>
              <w:top w:val="nil"/>
              <w:left w:val="nil"/>
              <w:bottom w:val="nil"/>
              <w:right w:val="nil"/>
            </w:tcBorders>
            <w:shd w:val="clear" w:color="auto" w:fill="auto"/>
            <w:vAlign w:val="bottom"/>
          </w:tcPr>
          <w:p w14:paraId="0DDA3B1B"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10,805,364</w:t>
            </w:r>
          </w:p>
        </w:tc>
        <w:tc>
          <w:tcPr>
            <w:tcW w:w="639" w:type="pct"/>
            <w:tcBorders>
              <w:top w:val="nil"/>
              <w:left w:val="nil"/>
              <w:bottom w:val="nil"/>
              <w:right w:val="nil"/>
            </w:tcBorders>
            <w:shd w:val="clear" w:color="auto" w:fill="auto"/>
            <w:vAlign w:val="bottom"/>
          </w:tcPr>
          <w:p w14:paraId="081A20CD"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w:t>
            </w:r>
          </w:p>
        </w:tc>
      </w:tr>
      <w:tr w:rsidR="00587444" w:rsidRPr="00587444" w14:paraId="30C611CF" w14:textId="77777777" w:rsidTr="00DD69E7">
        <w:trPr>
          <w:cantSplit/>
          <w:trHeight w:val="270"/>
          <w:tblHeader/>
        </w:trPr>
        <w:tc>
          <w:tcPr>
            <w:tcW w:w="2352" w:type="pct"/>
            <w:vAlign w:val="bottom"/>
          </w:tcPr>
          <w:p w14:paraId="728354DE" w14:textId="77777777" w:rsidR="00587444" w:rsidRPr="00587444"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Water and electric supply and other infrastructure</w:t>
            </w:r>
          </w:p>
        </w:tc>
        <w:tc>
          <w:tcPr>
            <w:tcW w:w="725" w:type="pct"/>
            <w:tcBorders>
              <w:top w:val="nil"/>
              <w:left w:val="nil"/>
              <w:bottom w:val="nil"/>
              <w:right w:val="nil"/>
            </w:tcBorders>
            <w:shd w:val="clear" w:color="auto" w:fill="auto"/>
            <w:vAlign w:val="bottom"/>
          </w:tcPr>
          <w:p w14:paraId="335BC69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2,547,152</w:t>
            </w:r>
          </w:p>
        </w:tc>
        <w:tc>
          <w:tcPr>
            <w:tcW w:w="642" w:type="pct"/>
            <w:tcBorders>
              <w:top w:val="nil"/>
              <w:left w:val="nil"/>
              <w:bottom w:val="nil"/>
              <w:right w:val="nil"/>
            </w:tcBorders>
            <w:shd w:val="clear" w:color="auto" w:fill="auto"/>
            <w:vAlign w:val="bottom"/>
          </w:tcPr>
          <w:p w14:paraId="62DEE8D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1,061,323</w:t>
            </w:r>
          </w:p>
        </w:tc>
        <w:tc>
          <w:tcPr>
            <w:tcW w:w="642" w:type="pct"/>
            <w:tcBorders>
              <w:top w:val="nil"/>
              <w:left w:val="nil"/>
              <w:bottom w:val="nil"/>
              <w:right w:val="nil"/>
            </w:tcBorders>
            <w:shd w:val="clear" w:color="auto" w:fill="auto"/>
            <w:vAlign w:val="bottom"/>
          </w:tcPr>
          <w:p w14:paraId="1C96A931"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1,925,271</w:t>
            </w:r>
          </w:p>
        </w:tc>
        <w:tc>
          <w:tcPr>
            <w:tcW w:w="639" w:type="pct"/>
            <w:tcBorders>
              <w:top w:val="nil"/>
              <w:left w:val="nil"/>
              <w:bottom w:val="nil"/>
              <w:right w:val="nil"/>
            </w:tcBorders>
            <w:shd w:val="clear" w:color="auto" w:fill="auto"/>
            <w:vAlign w:val="bottom"/>
          </w:tcPr>
          <w:p w14:paraId="5AE57BAA"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973,895</w:t>
            </w:r>
          </w:p>
        </w:tc>
      </w:tr>
      <w:tr w:rsidR="00587444" w:rsidRPr="00587444" w14:paraId="3036F88B" w14:textId="77777777" w:rsidTr="00DD69E7">
        <w:trPr>
          <w:cantSplit/>
          <w:trHeight w:val="270"/>
          <w:tblHeader/>
        </w:trPr>
        <w:tc>
          <w:tcPr>
            <w:tcW w:w="2352" w:type="pct"/>
            <w:vAlign w:val="bottom"/>
          </w:tcPr>
          <w:p w14:paraId="39A5FF00" w14:textId="77777777" w:rsidR="00587444" w:rsidRPr="00587444"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Tourism</w:t>
            </w:r>
          </w:p>
        </w:tc>
        <w:tc>
          <w:tcPr>
            <w:tcW w:w="725" w:type="pct"/>
            <w:tcBorders>
              <w:top w:val="nil"/>
              <w:left w:val="nil"/>
              <w:bottom w:val="nil"/>
              <w:right w:val="nil"/>
            </w:tcBorders>
            <w:shd w:val="clear" w:color="auto" w:fill="auto"/>
            <w:vAlign w:val="bottom"/>
          </w:tcPr>
          <w:p w14:paraId="303483C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3,376,218</w:t>
            </w:r>
          </w:p>
        </w:tc>
        <w:tc>
          <w:tcPr>
            <w:tcW w:w="642" w:type="pct"/>
            <w:tcBorders>
              <w:top w:val="nil"/>
              <w:left w:val="nil"/>
              <w:bottom w:val="nil"/>
              <w:right w:val="nil"/>
            </w:tcBorders>
            <w:shd w:val="clear" w:color="auto" w:fill="auto"/>
            <w:vAlign w:val="bottom"/>
          </w:tcPr>
          <w:p w14:paraId="69B169B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236,823</w:t>
            </w:r>
          </w:p>
        </w:tc>
        <w:tc>
          <w:tcPr>
            <w:tcW w:w="642" w:type="pct"/>
            <w:tcBorders>
              <w:top w:val="nil"/>
              <w:left w:val="nil"/>
              <w:bottom w:val="nil"/>
              <w:right w:val="nil"/>
            </w:tcBorders>
            <w:shd w:val="clear" w:color="auto" w:fill="auto"/>
            <w:vAlign w:val="bottom"/>
          </w:tcPr>
          <w:p w14:paraId="5632C483"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3,648,347</w:t>
            </w:r>
          </w:p>
        </w:tc>
        <w:tc>
          <w:tcPr>
            <w:tcW w:w="639" w:type="pct"/>
            <w:tcBorders>
              <w:top w:val="nil"/>
              <w:left w:val="nil"/>
              <w:bottom w:val="nil"/>
              <w:right w:val="nil"/>
            </w:tcBorders>
            <w:shd w:val="clear" w:color="auto" w:fill="auto"/>
            <w:vAlign w:val="bottom"/>
          </w:tcPr>
          <w:p w14:paraId="74A9C6A7"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657,484</w:t>
            </w:r>
          </w:p>
        </w:tc>
      </w:tr>
      <w:tr w:rsidR="00587444" w:rsidRPr="00587444" w14:paraId="7140537B" w14:textId="77777777" w:rsidTr="00DD69E7">
        <w:trPr>
          <w:cantSplit/>
          <w:trHeight w:val="270"/>
          <w:tblHeader/>
        </w:trPr>
        <w:tc>
          <w:tcPr>
            <w:tcW w:w="2352" w:type="pct"/>
            <w:vAlign w:val="bottom"/>
          </w:tcPr>
          <w:p w14:paraId="47E9BA59" w14:textId="77777777" w:rsidR="00587444" w:rsidRPr="00587444"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Transport, warehousing and connections</w:t>
            </w:r>
          </w:p>
        </w:tc>
        <w:tc>
          <w:tcPr>
            <w:tcW w:w="725" w:type="pct"/>
            <w:tcBorders>
              <w:top w:val="nil"/>
              <w:left w:val="nil"/>
              <w:bottom w:val="nil"/>
              <w:right w:val="nil"/>
            </w:tcBorders>
            <w:shd w:val="clear" w:color="auto" w:fill="auto"/>
            <w:vAlign w:val="bottom"/>
          </w:tcPr>
          <w:p w14:paraId="6C9EB79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2,932,463</w:t>
            </w:r>
          </w:p>
        </w:tc>
        <w:tc>
          <w:tcPr>
            <w:tcW w:w="642" w:type="pct"/>
            <w:tcBorders>
              <w:top w:val="nil"/>
              <w:left w:val="nil"/>
              <w:bottom w:val="nil"/>
              <w:right w:val="nil"/>
            </w:tcBorders>
            <w:shd w:val="clear" w:color="auto" w:fill="auto"/>
            <w:vAlign w:val="bottom"/>
          </w:tcPr>
          <w:p w14:paraId="1FF695E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541,457</w:t>
            </w:r>
          </w:p>
        </w:tc>
        <w:tc>
          <w:tcPr>
            <w:tcW w:w="642" w:type="pct"/>
            <w:tcBorders>
              <w:top w:val="nil"/>
              <w:left w:val="nil"/>
              <w:bottom w:val="nil"/>
              <w:right w:val="nil"/>
            </w:tcBorders>
            <w:shd w:val="clear" w:color="auto" w:fill="auto"/>
            <w:vAlign w:val="bottom"/>
          </w:tcPr>
          <w:p w14:paraId="51E12AE9"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2,496,070</w:t>
            </w:r>
          </w:p>
        </w:tc>
        <w:tc>
          <w:tcPr>
            <w:tcW w:w="639" w:type="pct"/>
            <w:tcBorders>
              <w:top w:val="nil"/>
              <w:left w:val="nil"/>
              <w:bottom w:val="nil"/>
              <w:right w:val="nil"/>
            </w:tcBorders>
            <w:shd w:val="clear" w:color="auto" w:fill="auto"/>
            <w:vAlign w:val="bottom"/>
          </w:tcPr>
          <w:p w14:paraId="463819BD"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481,157</w:t>
            </w:r>
          </w:p>
        </w:tc>
      </w:tr>
      <w:tr w:rsidR="00587444" w:rsidRPr="00587444" w14:paraId="4514157C" w14:textId="77777777" w:rsidTr="00DD69E7">
        <w:trPr>
          <w:cantSplit/>
          <w:trHeight w:val="270"/>
          <w:tblHeader/>
        </w:trPr>
        <w:tc>
          <w:tcPr>
            <w:tcW w:w="2352" w:type="pct"/>
            <w:vAlign w:val="bottom"/>
          </w:tcPr>
          <w:p w14:paraId="4BCF7E22" w14:textId="77777777" w:rsidR="00587444" w:rsidRPr="00587444"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Shipbuilding</w:t>
            </w:r>
          </w:p>
        </w:tc>
        <w:tc>
          <w:tcPr>
            <w:tcW w:w="725" w:type="pct"/>
            <w:tcBorders>
              <w:top w:val="nil"/>
              <w:left w:val="nil"/>
              <w:bottom w:val="nil"/>
              <w:right w:val="nil"/>
            </w:tcBorders>
            <w:shd w:val="clear" w:color="auto" w:fill="auto"/>
            <w:vAlign w:val="bottom"/>
          </w:tcPr>
          <w:p w14:paraId="7226C04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1,496,753</w:t>
            </w:r>
          </w:p>
        </w:tc>
        <w:tc>
          <w:tcPr>
            <w:tcW w:w="642" w:type="pct"/>
            <w:tcBorders>
              <w:top w:val="nil"/>
              <w:left w:val="nil"/>
              <w:bottom w:val="nil"/>
              <w:right w:val="nil"/>
            </w:tcBorders>
            <w:shd w:val="clear" w:color="auto" w:fill="auto"/>
            <w:vAlign w:val="bottom"/>
          </w:tcPr>
          <w:p w14:paraId="53AB738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42,393</w:t>
            </w:r>
          </w:p>
        </w:tc>
        <w:tc>
          <w:tcPr>
            <w:tcW w:w="642" w:type="pct"/>
            <w:tcBorders>
              <w:top w:val="nil"/>
              <w:left w:val="nil"/>
              <w:bottom w:val="nil"/>
              <w:right w:val="nil"/>
            </w:tcBorders>
            <w:shd w:val="clear" w:color="auto" w:fill="auto"/>
            <w:vAlign w:val="bottom"/>
          </w:tcPr>
          <w:p w14:paraId="737B04AF"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1,481,871</w:t>
            </w:r>
          </w:p>
        </w:tc>
        <w:tc>
          <w:tcPr>
            <w:tcW w:w="639" w:type="pct"/>
            <w:tcBorders>
              <w:top w:val="nil"/>
              <w:left w:val="nil"/>
              <w:bottom w:val="nil"/>
              <w:right w:val="nil"/>
            </w:tcBorders>
            <w:shd w:val="clear" w:color="auto" w:fill="auto"/>
            <w:vAlign w:val="bottom"/>
          </w:tcPr>
          <w:p w14:paraId="516FB232"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88,546</w:t>
            </w:r>
          </w:p>
        </w:tc>
      </w:tr>
      <w:tr w:rsidR="00587444" w:rsidRPr="00587444" w14:paraId="04003282" w14:textId="77777777" w:rsidTr="00DD69E7">
        <w:trPr>
          <w:cantSplit/>
          <w:trHeight w:val="270"/>
          <w:tblHeader/>
        </w:trPr>
        <w:tc>
          <w:tcPr>
            <w:tcW w:w="2352" w:type="pct"/>
            <w:vAlign w:val="bottom"/>
          </w:tcPr>
          <w:p w14:paraId="2E891069" w14:textId="77777777" w:rsidR="00587444" w:rsidRPr="00587444" w:rsidDel="00FF5490" w:rsidRDefault="00587444" w:rsidP="00587444">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Agriculture and fishery</w:t>
            </w:r>
          </w:p>
        </w:tc>
        <w:tc>
          <w:tcPr>
            <w:tcW w:w="725" w:type="pct"/>
            <w:tcBorders>
              <w:top w:val="nil"/>
              <w:left w:val="nil"/>
              <w:bottom w:val="nil"/>
              <w:right w:val="nil"/>
            </w:tcBorders>
            <w:shd w:val="clear" w:color="auto" w:fill="auto"/>
            <w:vAlign w:val="bottom"/>
          </w:tcPr>
          <w:p w14:paraId="5B47683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589,652</w:t>
            </w:r>
          </w:p>
        </w:tc>
        <w:tc>
          <w:tcPr>
            <w:tcW w:w="642" w:type="pct"/>
            <w:tcBorders>
              <w:top w:val="nil"/>
              <w:left w:val="nil"/>
              <w:bottom w:val="nil"/>
              <w:right w:val="nil"/>
            </w:tcBorders>
            <w:shd w:val="clear" w:color="auto" w:fill="auto"/>
            <w:vAlign w:val="bottom"/>
          </w:tcPr>
          <w:p w14:paraId="5D76825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95,161</w:t>
            </w:r>
          </w:p>
        </w:tc>
        <w:tc>
          <w:tcPr>
            <w:tcW w:w="642" w:type="pct"/>
            <w:tcBorders>
              <w:top w:val="nil"/>
              <w:left w:val="nil"/>
              <w:bottom w:val="nil"/>
              <w:right w:val="nil"/>
            </w:tcBorders>
            <w:shd w:val="clear" w:color="auto" w:fill="auto"/>
            <w:vAlign w:val="bottom"/>
          </w:tcPr>
          <w:p w14:paraId="26731474"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596,042</w:t>
            </w:r>
          </w:p>
        </w:tc>
        <w:tc>
          <w:tcPr>
            <w:tcW w:w="639" w:type="pct"/>
            <w:tcBorders>
              <w:top w:val="nil"/>
              <w:left w:val="nil"/>
              <w:bottom w:val="nil"/>
              <w:right w:val="nil"/>
            </w:tcBorders>
            <w:shd w:val="clear" w:color="auto" w:fill="auto"/>
            <w:vAlign w:val="bottom"/>
          </w:tcPr>
          <w:p w14:paraId="27E47F9B"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164,847</w:t>
            </w:r>
          </w:p>
        </w:tc>
      </w:tr>
      <w:tr w:rsidR="00587444" w:rsidRPr="00587444" w14:paraId="5C5EC161" w14:textId="77777777" w:rsidTr="00DD69E7">
        <w:trPr>
          <w:cantSplit/>
          <w:trHeight w:val="270"/>
          <w:tblHeader/>
        </w:trPr>
        <w:tc>
          <w:tcPr>
            <w:tcW w:w="2352" w:type="pct"/>
            <w:vAlign w:val="bottom"/>
          </w:tcPr>
          <w:p w14:paraId="169E467F" w14:textId="77777777" w:rsidR="00587444" w:rsidRPr="00587444" w:rsidDel="00FF5490" w:rsidRDefault="00587444" w:rsidP="00587444">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Food industry</w:t>
            </w:r>
          </w:p>
        </w:tc>
        <w:tc>
          <w:tcPr>
            <w:tcW w:w="725" w:type="pct"/>
            <w:tcBorders>
              <w:top w:val="nil"/>
              <w:left w:val="nil"/>
              <w:bottom w:val="nil"/>
              <w:right w:val="nil"/>
            </w:tcBorders>
            <w:shd w:val="clear" w:color="auto" w:fill="auto"/>
            <w:vAlign w:val="bottom"/>
          </w:tcPr>
          <w:p w14:paraId="5103427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857,580</w:t>
            </w:r>
          </w:p>
        </w:tc>
        <w:tc>
          <w:tcPr>
            <w:tcW w:w="642" w:type="pct"/>
            <w:tcBorders>
              <w:top w:val="nil"/>
              <w:left w:val="nil"/>
              <w:bottom w:val="nil"/>
              <w:right w:val="nil"/>
            </w:tcBorders>
            <w:shd w:val="clear" w:color="auto" w:fill="auto"/>
            <w:vAlign w:val="bottom"/>
          </w:tcPr>
          <w:p w14:paraId="051A92C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121,117</w:t>
            </w:r>
          </w:p>
        </w:tc>
        <w:tc>
          <w:tcPr>
            <w:tcW w:w="642" w:type="pct"/>
            <w:tcBorders>
              <w:top w:val="nil"/>
              <w:left w:val="nil"/>
              <w:bottom w:val="nil"/>
              <w:right w:val="nil"/>
            </w:tcBorders>
            <w:shd w:val="clear" w:color="auto" w:fill="auto"/>
            <w:vAlign w:val="bottom"/>
          </w:tcPr>
          <w:p w14:paraId="677D75D7"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966,929</w:t>
            </w:r>
          </w:p>
        </w:tc>
        <w:tc>
          <w:tcPr>
            <w:tcW w:w="639" w:type="pct"/>
            <w:tcBorders>
              <w:top w:val="nil"/>
              <w:left w:val="nil"/>
              <w:bottom w:val="nil"/>
              <w:right w:val="nil"/>
            </w:tcBorders>
            <w:shd w:val="clear" w:color="auto" w:fill="auto"/>
            <w:vAlign w:val="bottom"/>
          </w:tcPr>
          <w:p w14:paraId="531EB6FC"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192,536</w:t>
            </w:r>
          </w:p>
        </w:tc>
      </w:tr>
      <w:tr w:rsidR="00587444" w:rsidRPr="00587444" w14:paraId="5FF69D7B" w14:textId="77777777" w:rsidTr="00DD69E7">
        <w:trPr>
          <w:cantSplit/>
          <w:trHeight w:val="270"/>
          <w:tblHeader/>
        </w:trPr>
        <w:tc>
          <w:tcPr>
            <w:tcW w:w="2352" w:type="pct"/>
            <w:vAlign w:val="bottom"/>
          </w:tcPr>
          <w:p w14:paraId="3A2D8C4B" w14:textId="77777777" w:rsidR="00587444" w:rsidRPr="00587444" w:rsidDel="00FF5490" w:rsidRDefault="00587444" w:rsidP="00587444">
            <w:pPr>
              <w:suppressAutoHyphens w:val="0"/>
              <w:autoSpaceDN/>
              <w:spacing w:line="280" w:lineRule="exact"/>
              <w:rPr>
                <w:rFonts w:ascii="Arial" w:eastAsia="Calibri" w:hAnsi="Arial" w:cs="Arial"/>
                <w:sz w:val="18"/>
                <w:szCs w:val="18"/>
              </w:rPr>
            </w:pPr>
            <w:r w:rsidRPr="00587444">
              <w:rPr>
                <w:rFonts w:ascii="Arial" w:eastAsia="Calibri" w:hAnsi="Arial" w:cs="Arial"/>
                <w:sz w:val="18"/>
                <w:szCs w:val="18"/>
              </w:rPr>
              <w:t>Construction industry</w:t>
            </w:r>
          </w:p>
        </w:tc>
        <w:tc>
          <w:tcPr>
            <w:tcW w:w="725" w:type="pct"/>
            <w:tcBorders>
              <w:top w:val="nil"/>
              <w:left w:val="nil"/>
              <w:bottom w:val="nil"/>
              <w:right w:val="nil"/>
            </w:tcBorders>
            <w:shd w:val="clear" w:color="auto" w:fill="auto"/>
            <w:vAlign w:val="bottom"/>
          </w:tcPr>
          <w:p w14:paraId="006BDBD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2,702,414</w:t>
            </w:r>
          </w:p>
        </w:tc>
        <w:tc>
          <w:tcPr>
            <w:tcW w:w="642" w:type="pct"/>
            <w:tcBorders>
              <w:top w:val="nil"/>
              <w:left w:val="nil"/>
              <w:bottom w:val="nil"/>
              <w:right w:val="nil"/>
            </w:tcBorders>
            <w:shd w:val="clear" w:color="auto" w:fill="auto"/>
            <w:vAlign w:val="bottom"/>
          </w:tcPr>
          <w:p w14:paraId="44DE4CC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82,968</w:t>
            </w:r>
          </w:p>
        </w:tc>
        <w:tc>
          <w:tcPr>
            <w:tcW w:w="642" w:type="pct"/>
            <w:tcBorders>
              <w:top w:val="nil"/>
              <w:left w:val="nil"/>
              <w:bottom w:val="nil"/>
              <w:right w:val="nil"/>
            </w:tcBorders>
            <w:shd w:val="clear" w:color="auto" w:fill="auto"/>
            <w:vAlign w:val="bottom"/>
          </w:tcPr>
          <w:p w14:paraId="1F336D0C"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2,836,586</w:t>
            </w:r>
          </w:p>
        </w:tc>
        <w:tc>
          <w:tcPr>
            <w:tcW w:w="639" w:type="pct"/>
            <w:tcBorders>
              <w:top w:val="nil"/>
              <w:left w:val="nil"/>
              <w:bottom w:val="nil"/>
              <w:right w:val="nil"/>
            </w:tcBorders>
            <w:shd w:val="clear" w:color="auto" w:fill="auto"/>
            <w:vAlign w:val="bottom"/>
          </w:tcPr>
          <w:p w14:paraId="12EB17A4"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124,601</w:t>
            </w:r>
          </w:p>
        </w:tc>
      </w:tr>
      <w:tr w:rsidR="00587444" w:rsidRPr="00587444" w14:paraId="73E87230" w14:textId="77777777" w:rsidTr="00DD69E7">
        <w:trPr>
          <w:cantSplit/>
          <w:trHeight w:val="270"/>
          <w:tblHeader/>
        </w:trPr>
        <w:tc>
          <w:tcPr>
            <w:tcW w:w="2352" w:type="pct"/>
            <w:vAlign w:val="bottom"/>
          </w:tcPr>
          <w:p w14:paraId="13046CA6" w14:textId="77777777" w:rsidR="00587444" w:rsidRPr="00587444" w:rsidDel="00FF5490" w:rsidRDefault="00587444" w:rsidP="00587444">
            <w:pPr>
              <w:suppressAutoHyphens w:val="0"/>
              <w:autoSpaceDN/>
              <w:spacing w:line="280" w:lineRule="exact"/>
              <w:rPr>
                <w:rFonts w:ascii="Arial" w:eastAsia="Calibri" w:hAnsi="Arial" w:cs="Arial"/>
                <w:sz w:val="18"/>
                <w:szCs w:val="18"/>
              </w:rPr>
            </w:pPr>
            <w:r w:rsidRPr="00587444">
              <w:rPr>
                <w:rFonts w:ascii="Arial" w:eastAsia="Calibri" w:hAnsi="Arial" w:cs="Arial"/>
                <w:sz w:val="18"/>
                <w:szCs w:val="18"/>
              </w:rPr>
              <w:t>Other industry</w:t>
            </w:r>
          </w:p>
        </w:tc>
        <w:tc>
          <w:tcPr>
            <w:tcW w:w="725" w:type="pct"/>
            <w:tcBorders>
              <w:top w:val="nil"/>
              <w:left w:val="nil"/>
              <w:bottom w:val="nil"/>
              <w:right w:val="nil"/>
            </w:tcBorders>
            <w:shd w:val="clear" w:color="auto" w:fill="auto"/>
            <w:vAlign w:val="bottom"/>
          </w:tcPr>
          <w:p w14:paraId="2BC8E48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897,991</w:t>
            </w:r>
          </w:p>
        </w:tc>
        <w:tc>
          <w:tcPr>
            <w:tcW w:w="642" w:type="pct"/>
            <w:tcBorders>
              <w:top w:val="nil"/>
              <w:left w:val="nil"/>
              <w:bottom w:val="nil"/>
              <w:right w:val="nil"/>
            </w:tcBorders>
            <w:shd w:val="clear" w:color="auto" w:fill="auto"/>
            <w:vAlign w:val="bottom"/>
          </w:tcPr>
          <w:p w14:paraId="54F4398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206,998</w:t>
            </w:r>
          </w:p>
        </w:tc>
        <w:tc>
          <w:tcPr>
            <w:tcW w:w="642" w:type="pct"/>
            <w:tcBorders>
              <w:top w:val="nil"/>
              <w:left w:val="nil"/>
              <w:bottom w:val="nil"/>
              <w:right w:val="nil"/>
            </w:tcBorders>
            <w:shd w:val="clear" w:color="auto" w:fill="auto"/>
            <w:vAlign w:val="bottom"/>
          </w:tcPr>
          <w:p w14:paraId="384EEC9F"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587,645</w:t>
            </w:r>
          </w:p>
        </w:tc>
        <w:tc>
          <w:tcPr>
            <w:tcW w:w="639" w:type="pct"/>
            <w:tcBorders>
              <w:top w:val="nil"/>
              <w:left w:val="nil"/>
              <w:bottom w:val="nil"/>
              <w:right w:val="nil"/>
            </w:tcBorders>
            <w:shd w:val="clear" w:color="auto" w:fill="auto"/>
            <w:vAlign w:val="bottom"/>
          </w:tcPr>
          <w:p w14:paraId="46D852AC"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199,143</w:t>
            </w:r>
          </w:p>
        </w:tc>
      </w:tr>
      <w:tr w:rsidR="00587444" w:rsidRPr="00587444" w14:paraId="372B81F0" w14:textId="77777777" w:rsidTr="00DD69E7">
        <w:trPr>
          <w:cantSplit/>
          <w:trHeight w:val="270"/>
          <w:tblHeader/>
        </w:trPr>
        <w:tc>
          <w:tcPr>
            <w:tcW w:w="2352" w:type="pct"/>
            <w:vAlign w:val="bottom"/>
          </w:tcPr>
          <w:p w14:paraId="3771963F" w14:textId="77777777" w:rsidR="00587444" w:rsidRPr="00587444" w:rsidDel="00FF5490" w:rsidRDefault="00587444" w:rsidP="00587444">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Public administration</w:t>
            </w:r>
          </w:p>
        </w:tc>
        <w:tc>
          <w:tcPr>
            <w:tcW w:w="725" w:type="pct"/>
            <w:tcBorders>
              <w:top w:val="nil"/>
              <w:left w:val="nil"/>
              <w:bottom w:val="nil"/>
              <w:right w:val="nil"/>
            </w:tcBorders>
            <w:shd w:val="clear" w:color="auto" w:fill="auto"/>
            <w:vAlign w:val="bottom"/>
          </w:tcPr>
          <w:p w14:paraId="1B9DBDA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2,743,933</w:t>
            </w:r>
          </w:p>
        </w:tc>
        <w:tc>
          <w:tcPr>
            <w:tcW w:w="642" w:type="pct"/>
            <w:tcBorders>
              <w:top w:val="nil"/>
              <w:left w:val="nil"/>
              <w:bottom w:val="nil"/>
              <w:right w:val="nil"/>
            </w:tcBorders>
            <w:shd w:val="clear" w:color="auto" w:fill="auto"/>
            <w:vAlign w:val="bottom"/>
          </w:tcPr>
          <w:p w14:paraId="0D80EC6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2,740,753</w:t>
            </w:r>
          </w:p>
        </w:tc>
        <w:tc>
          <w:tcPr>
            <w:tcW w:w="642" w:type="pct"/>
            <w:tcBorders>
              <w:top w:val="nil"/>
              <w:left w:val="nil"/>
              <w:bottom w:val="nil"/>
              <w:right w:val="nil"/>
            </w:tcBorders>
            <w:shd w:val="clear" w:color="auto" w:fill="auto"/>
            <w:vAlign w:val="bottom"/>
          </w:tcPr>
          <w:p w14:paraId="25F94119"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2,918,243</w:t>
            </w:r>
          </w:p>
        </w:tc>
        <w:tc>
          <w:tcPr>
            <w:tcW w:w="639" w:type="pct"/>
            <w:tcBorders>
              <w:top w:val="nil"/>
              <w:left w:val="nil"/>
              <w:bottom w:val="nil"/>
              <w:right w:val="nil"/>
            </w:tcBorders>
            <w:shd w:val="clear" w:color="auto" w:fill="auto"/>
            <w:vAlign w:val="bottom"/>
          </w:tcPr>
          <w:p w14:paraId="66431939"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2,914,897</w:t>
            </w:r>
          </w:p>
        </w:tc>
      </w:tr>
      <w:tr w:rsidR="00587444" w:rsidRPr="00587444" w14:paraId="70A3B837" w14:textId="77777777" w:rsidTr="00DD69E7">
        <w:trPr>
          <w:cantSplit/>
          <w:trHeight w:val="270"/>
          <w:tblHeader/>
        </w:trPr>
        <w:tc>
          <w:tcPr>
            <w:tcW w:w="2352" w:type="pct"/>
            <w:vAlign w:val="bottom"/>
          </w:tcPr>
          <w:p w14:paraId="1B24B30D" w14:textId="77777777" w:rsidR="00587444" w:rsidRPr="00587444" w:rsidDel="00FF5490" w:rsidRDefault="00587444" w:rsidP="00587444">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Education</w:t>
            </w:r>
          </w:p>
        </w:tc>
        <w:tc>
          <w:tcPr>
            <w:tcW w:w="725" w:type="pct"/>
            <w:tcBorders>
              <w:top w:val="nil"/>
              <w:left w:val="nil"/>
              <w:bottom w:val="nil"/>
              <w:right w:val="nil"/>
            </w:tcBorders>
            <w:shd w:val="clear" w:color="auto" w:fill="auto"/>
            <w:vAlign w:val="bottom"/>
          </w:tcPr>
          <w:p w14:paraId="69F5AB8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66,234</w:t>
            </w:r>
          </w:p>
        </w:tc>
        <w:tc>
          <w:tcPr>
            <w:tcW w:w="642" w:type="pct"/>
            <w:tcBorders>
              <w:top w:val="nil"/>
              <w:left w:val="nil"/>
              <w:bottom w:val="nil"/>
              <w:right w:val="nil"/>
            </w:tcBorders>
            <w:shd w:val="clear" w:color="auto" w:fill="auto"/>
            <w:vAlign w:val="bottom"/>
          </w:tcPr>
          <w:p w14:paraId="10C3120C"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z w:val="18"/>
                <w:szCs w:val="18"/>
              </w:rPr>
            </w:pPr>
            <w:r w:rsidRPr="00587444">
              <w:rPr>
                <w:rFonts w:ascii="Arial" w:hAnsi="Arial" w:cs="Arial"/>
                <w:sz w:val="18"/>
                <w:szCs w:val="18"/>
              </w:rPr>
              <w:t>63,440</w:t>
            </w:r>
          </w:p>
        </w:tc>
        <w:tc>
          <w:tcPr>
            <w:tcW w:w="642" w:type="pct"/>
            <w:tcBorders>
              <w:top w:val="nil"/>
              <w:left w:val="nil"/>
              <w:bottom w:val="nil"/>
              <w:right w:val="nil"/>
            </w:tcBorders>
            <w:shd w:val="clear" w:color="auto" w:fill="auto"/>
            <w:vAlign w:val="bottom"/>
          </w:tcPr>
          <w:p w14:paraId="26981753"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z w:val="18"/>
                <w:szCs w:val="18"/>
              </w:rPr>
            </w:pPr>
            <w:r w:rsidRPr="00587444">
              <w:rPr>
                <w:rFonts w:ascii="Arial" w:hAnsi="Arial" w:cs="Arial"/>
                <w:sz w:val="18"/>
                <w:szCs w:val="18"/>
              </w:rPr>
              <w:t>32,142</w:t>
            </w:r>
          </w:p>
        </w:tc>
        <w:tc>
          <w:tcPr>
            <w:tcW w:w="639" w:type="pct"/>
            <w:tcBorders>
              <w:top w:val="nil"/>
              <w:left w:val="nil"/>
              <w:bottom w:val="nil"/>
              <w:right w:val="nil"/>
            </w:tcBorders>
            <w:shd w:val="clear" w:color="auto" w:fill="auto"/>
            <w:vAlign w:val="bottom"/>
          </w:tcPr>
          <w:p w14:paraId="33C39123"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z w:val="18"/>
                <w:szCs w:val="18"/>
              </w:rPr>
            </w:pPr>
            <w:r w:rsidRPr="00587444">
              <w:rPr>
                <w:rFonts w:ascii="Arial" w:hAnsi="Arial" w:cs="Arial"/>
                <w:sz w:val="18"/>
                <w:szCs w:val="18"/>
              </w:rPr>
              <w:t>29,789</w:t>
            </w:r>
          </w:p>
        </w:tc>
      </w:tr>
      <w:tr w:rsidR="00587444" w:rsidRPr="00587444" w14:paraId="72AD179E" w14:textId="77777777" w:rsidTr="00DD69E7">
        <w:trPr>
          <w:cantSplit/>
          <w:trHeight w:val="270"/>
          <w:tblHeader/>
        </w:trPr>
        <w:tc>
          <w:tcPr>
            <w:tcW w:w="2352" w:type="pct"/>
            <w:vAlign w:val="bottom"/>
          </w:tcPr>
          <w:p w14:paraId="53DF0147" w14:textId="77777777" w:rsidR="00587444" w:rsidRPr="00587444" w:rsidRDefault="00587444" w:rsidP="00587444">
            <w:pPr>
              <w:suppressAutoHyphens w:val="0"/>
              <w:autoSpaceDN/>
              <w:rPr>
                <w:rFonts w:ascii="Arial" w:eastAsia="Calibri" w:hAnsi="Arial" w:cs="Arial"/>
                <w:sz w:val="18"/>
                <w:szCs w:val="18"/>
              </w:rPr>
            </w:pPr>
            <w:r w:rsidRPr="00587444">
              <w:rPr>
                <w:rFonts w:ascii="Arial" w:eastAsia="Calibri" w:hAnsi="Arial" w:cs="Arial"/>
                <w:bCs/>
                <w:sz w:val="18"/>
                <w:szCs w:val="18"/>
              </w:rPr>
              <w:t xml:space="preserve">Manufacture of basic metals and fabricated metal products, except machinery and equipment </w:t>
            </w:r>
          </w:p>
        </w:tc>
        <w:tc>
          <w:tcPr>
            <w:tcW w:w="725" w:type="pct"/>
            <w:tcBorders>
              <w:top w:val="nil"/>
              <w:left w:val="nil"/>
              <w:bottom w:val="nil"/>
              <w:right w:val="nil"/>
            </w:tcBorders>
            <w:shd w:val="clear" w:color="auto" w:fill="auto"/>
            <w:vAlign w:val="bottom"/>
          </w:tcPr>
          <w:p w14:paraId="2D40DED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390,908</w:t>
            </w:r>
          </w:p>
        </w:tc>
        <w:tc>
          <w:tcPr>
            <w:tcW w:w="642" w:type="pct"/>
            <w:tcBorders>
              <w:top w:val="nil"/>
              <w:left w:val="nil"/>
              <w:bottom w:val="nil"/>
              <w:right w:val="nil"/>
            </w:tcBorders>
            <w:shd w:val="clear" w:color="auto" w:fill="auto"/>
            <w:vAlign w:val="bottom"/>
          </w:tcPr>
          <w:p w14:paraId="2CB1434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52,061</w:t>
            </w:r>
          </w:p>
        </w:tc>
        <w:tc>
          <w:tcPr>
            <w:tcW w:w="642" w:type="pct"/>
            <w:tcBorders>
              <w:top w:val="nil"/>
              <w:left w:val="nil"/>
              <w:bottom w:val="nil"/>
              <w:right w:val="nil"/>
            </w:tcBorders>
            <w:shd w:val="clear" w:color="auto" w:fill="auto"/>
            <w:vAlign w:val="bottom"/>
          </w:tcPr>
          <w:p w14:paraId="276EF9F3"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281,395</w:t>
            </w:r>
          </w:p>
        </w:tc>
        <w:tc>
          <w:tcPr>
            <w:tcW w:w="639" w:type="pct"/>
            <w:tcBorders>
              <w:top w:val="nil"/>
              <w:left w:val="nil"/>
              <w:bottom w:val="nil"/>
              <w:right w:val="nil"/>
            </w:tcBorders>
            <w:shd w:val="clear" w:color="auto" w:fill="auto"/>
            <w:vAlign w:val="bottom"/>
          </w:tcPr>
          <w:p w14:paraId="67779C1E"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46,890</w:t>
            </w:r>
          </w:p>
        </w:tc>
      </w:tr>
      <w:tr w:rsidR="00587444" w:rsidRPr="00587444" w14:paraId="3DBE34A4" w14:textId="77777777" w:rsidTr="00DD69E7">
        <w:trPr>
          <w:cantSplit/>
          <w:trHeight w:val="270"/>
          <w:tblHeader/>
        </w:trPr>
        <w:tc>
          <w:tcPr>
            <w:tcW w:w="2352" w:type="pct"/>
            <w:vAlign w:val="bottom"/>
          </w:tcPr>
          <w:p w14:paraId="756FF7BD" w14:textId="77777777" w:rsidR="00587444" w:rsidRPr="00587444"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Manufacture of chemicals and chemical products</w:t>
            </w:r>
          </w:p>
        </w:tc>
        <w:tc>
          <w:tcPr>
            <w:tcW w:w="725" w:type="pct"/>
            <w:tcBorders>
              <w:top w:val="nil"/>
              <w:left w:val="nil"/>
              <w:bottom w:val="nil"/>
              <w:right w:val="nil"/>
            </w:tcBorders>
            <w:shd w:val="clear" w:color="auto" w:fill="auto"/>
            <w:vAlign w:val="bottom"/>
          </w:tcPr>
          <w:p w14:paraId="63800AD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50,772</w:t>
            </w:r>
          </w:p>
        </w:tc>
        <w:tc>
          <w:tcPr>
            <w:tcW w:w="642" w:type="pct"/>
            <w:tcBorders>
              <w:top w:val="nil"/>
              <w:left w:val="nil"/>
              <w:bottom w:val="nil"/>
              <w:right w:val="nil"/>
            </w:tcBorders>
            <w:shd w:val="clear" w:color="auto" w:fill="auto"/>
            <w:vAlign w:val="bottom"/>
          </w:tcPr>
          <w:p w14:paraId="422DAE3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1,949</w:t>
            </w:r>
          </w:p>
        </w:tc>
        <w:tc>
          <w:tcPr>
            <w:tcW w:w="642" w:type="pct"/>
            <w:tcBorders>
              <w:top w:val="nil"/>
              <w:left w:val="nil"/>
              <w:bottom w:val="nil"/>
              <w:right w:val="nil"/>
            </w:tcBorders>
            <w:shd w:val="clear" w:color="auto" w:fill="auto"/>
            <w:vAlign w:val="bottom"/>
          </w:tcPr>
          <w:p w14:paraId="6D80ECA3"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86,151</w:t>
            </w:r>
          </w:p>
        </w:tc>
        <w:tc>
          <w:tcPr>
            <w:tcW w:w="639" w:type="pct"/>
            <w:tcBorders>
              <w:top w:val="nil"/>
              <w:left w:val="nil"/>
              <w:bottom w:val="nil"/>
              <w:right w:val="nil"/>
            </w:tcBorders>
            <w:shd w:val="clear" w:color="auto" w:fill="auto"/>
            <w:vAlign w:val="bottom"/>
          </w:tcPr>
          <w:p w14:paraId="06030AB3"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22,533</w:t>
            </w:r>
          </w:p>
        </w:tc>
      </w:tr>
      <w:tr w:rsidR="00587444" w:rsidRPr="00587444" w14:paraId="6E7465DD" w14:textId="77777777" w:rsidTr="00DD69E7">
        <w:trPr>
          <w:cantSplit/>
          <w:trHeight w:val="270"/>
          <w:tblHeader/>
        </w:trPr>
        <w:tc>
          <w:tcPr>
            <w:tcW w:w="2352" w:type="pct"/>
            <w:vAlign w:val="bottom"/>
          </w:tcPr>
          <w:p w14:paraId="44F65996" w14:textId="77777777" w:rsidR="00587444" w:rsidRPr="00587444" w:rsidRDefault="00587444" w:rsidP="00587444">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 xml:space="preserve">Manufacture of other non-metallic mineral products </w:t>
            </w:r>
          </w:p>
        </w:tc>
        <w:tc>
          <w:tcPr>
            <w:tcW w:w="725" w:type="pct"/>
            <w:tcBorders>
              <w:top w:val="nil"/>
              <w:left w:val="nil"/>
              <w:bottom w:val="nil"/>
              <w:right w:val="nil"/>
            </w:tcBorders>
            <w:shd w:val="clear" w:color="auto" w:fill="auto"/>
            <w:vAlign w:val="bottom"/>
          </w:tcPr>
          <w:p w14:paraId="39D7997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250,825</w:t>
            </w:r>
          </w:p>
        </w:tc>
        <w:tc>
          <w:tcPr>
            <w:tcW w:w="642" w:type="pct"/>
            <w:tcBorders>
              <w:top w:val="nil"/>
              <w:left w:val="nil"/>
              <w:bottom w:val="nil"/>
              <w:right w:val="nil"/>
            </w:tcBorders>
            <w:shd w:val="clear" w:color="auto" w:fill="auto"/>
            <w:vAlign w:val="bottom"/>
          </w:tcPr>
          <w:p w14:paraId="1F268EF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119,955</w:t>
            </w:r>
          </w:p>
        </w:tc>
        <w:tc>
          <w:tcPr>
            <w:tcW w:w="642" w:type="pct"/>
            <w:tcBorders>
              <w:top w:val="nil"/>
              <w:left w:val="nil"/>
              <w:bottom w:val="nil"/>
              <w:right w:val="nil"/>
            </w:tcBorders>
            <w:shd w:val="clear" w:color="auto" w:fill="auto"/>
            <w:vAlign w:val="bottom"/>
          </w:tcPr>
          <w:p w14:paraId="254790CB"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171,322</w:t>
            </w:r>
          </w:p>
        </w:tc>
        <w:tc>
          <w:tcPr>
            <w:tcW w:w="639" w:type="pct"/>
            <w:tcBorders>
              <w:top w:val="nil"/>
              <w:left w:val="nil"/>
              <w:bottom w:val="nil"/>
              <w:right w:val="nil"/>
            </w:tcBorders>
            <w:shd w:val="clear" w:color="auto" w:fill="auto"/>
            <w:vAlign w:val="bottom"/>
          </w:tcPr>
          <w:p w14:paraId="458A8746"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126,355</w:t>
            </w:r>
          </w:p>
        </w:tc>
      </w:tr>
      <w:tr w:rsidR="00587444" w:rsidRPr="00587444" w14:paraId="6E786391" w14:textId="77777777" w:rsidTr="00DD69E7">
        <w:trPr>
          <w:cantSplit/>
          <w:trHeight w:val="270"/>
          <w:tblHeader/>
        </w:trPr>
        <w:tc>
          <w:tcPr>
            <w:tcW w:w="2352" w:type="pct"/>
            <w:vAlign w:val="bottom"/>
          </w:tcPr>
          <w:p w14:paraId="0274BC89" w14:textId="77777777" w:rsidR="00587444" w:rsidRPr="00587444"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Pharmaceutical industry</w:t>
            </w:r>
          </w:p>
        </w:tc>
        <w:tc>
          <w:tcPr>
            <w:tcW w:w="725" w:type="pct"/>
            <w:tcBorders>
              <w:top w:val="nil"/>
              <w:left w:val="nil"/>
              <w:bottom w:val="nil"/>
              <w:right w:val="nil"/>
            </w:tcBorders>
            <w:shd w:val="clear" w:color="auto" w:fill="auto"/>
            <w:vAlign w:val="bottom"/>
          </w:tcPr>
          <w:p w14:paraId="537180F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538,195</w:t>
            </w:r>
          </w:p>
        </w:tc>
        <w:tc>
          <w:tcPr>
            <w:tcW w:w="642" w:type="pct"/>
            <w:tcBorders>
              <w:top w:val="nil"/>
              <w:left w:val="nil"/>
              <w:bottom w:val="nil"/>
              <w:right w:val="nil"/>
            </w:tcBorders>
            <w:shd w:val="clear" w:color="auto" w:fill="auto"/>
            <w:vAlign w:val="bottom"/>
          </w:tcPr>
          <w:p w14:paraId="446CD86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99,847</w:t>
            </w:r>
          </w:p>
        </w:tc>
        <w:tc>
          <w:tcPr>
            <w:tcW w:w="642" w:type="pct"/>
            <w:tcBorders>
              <w:top w:val="nil"/>
              <w:left w:val="nil"/>
              <w:bottom w:val="nil"/>
              <w:right w:val="nil"/>
            </w:tcBorders>
            <w:shd w:val="clear" w:color="auto" w:fill="auto"/>
            <w:vAlign w:val="bottom"/>
          </w:tcPr>
          <w:p w14:paraId="1EB79887"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416,205</w:t>
            </w:r>
          </w:p>
        </w:tc>
        <w:tc>
          <w:tcPr>
            <w:tcW w:w="639" w:type="pct"/>
            <w:tcBorders>
              <w:top w:val="nil"/>
              <w:left w:val="nil"/>
              <w:bottom w:val="nil"/>
              <w:right w:val="nil"/>
            </w:tcBorders>
            <w:shd w:val="clear" w:color="auto" w:fill="auto"/>
            <w:vAlign w:val="bottom"/>
          </w:tcPr>
          <w:p w14:paraId="04633F19"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379,399</w:t>
            </w:r>
          </w:p>
        </w:tc>
      </w:tr>
      <w:tr w:rsidR="00587444" w:rsidRPr="00587444" w14:paraId="112BC777" w14:textId="77777777" w:rsidTr="00DD69E7">
        <w:trPr>
          <w:cantSplit/>
          <w:trHeight w:val="270"/>
          <w:tblHeader/>
        </w:trPr>
        <w:tc>
          <w:tcPr>
            <w:tcW w:w="2352" w:type="pct"/>
            <w:vAlign w:val="bottom"/>
          </w:tcPr>
          <w:p w14:paraId="3A5A70B7" w14:textId="77777777" w:rsidR="00175A91"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Manufacture of motor vehicles, trailers and </w:t>
            </w:r>
          </w:p>
          <w:p w14:paraId="1B90A871" w14:textId="09A92E1B" w:rsidR="00587444" w:rsidRPr="00587444"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semi - trailers</w:t>
            </w:r>
          </w:p>
        </w:tc>
        <w:tc>
          <w:tcPr>
            <w:tcW w:w="725" w:type="pct"/>
            <w:tcBorders>
              <w:top w:val="nil"/>
              <w:left w:val="nil"/>
              <w:bottom w:val="nil"/>
              <w:right w:val="nil"/>
            </w:tcBorders>
            <w:shd w:val="clear" w:color="auto" w:fill="auto"/>
            <w:vAlign w:val="bottom"/>
          </w:tcPr>
          <w:p w14:paraId="179AA6C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115,047</w:t>
            </w:r>
          </w:p>
        </w:tc>
        <w:tc>
          <w:tcPr>
            <w:tcW w:w="642" w:type="pct"/>
            <w:tcBorders>
              <w:top w:val="nil"/>
              <w:left w:val="nil"/>
              <w:bottom w:val="nil"/>
              <w:right w:val="nil"/>
            </w:tcBorders>
            <w:shd w:val="clear" w:color="auto" w:fill="auto"/>
            <w:vAlign w:val="bottom"/>
          </w:tcPr>
          <w:p w14:paraId="22FD152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3,208</w:t>
            </w:r>
          </w:p>
        </w:tc>
        <w:tc>
          <w:tcPr>
            <w:tcW w:w="642" w:type="pct"/>
            <w:tcBorders>
              <w:top w:val="nil"/>
              <w:left w:val="nil"/>
              <w:right w:val="nil"/>
            </w:tcBorders>
            <w:shd w:val="clear" w:color="auto" w:fill="auto"/>
            <w:vAlign w:val="bottom"/>
          </w:tcPr>
          <w:p w14:paraId="62226D56"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lang w:val="hr-HR"/>
              </w:rPr>
            </w:pPr>
            <w:r w:rsidRPr="00587444">
              <w:rPr>
                <w:rFonts w:ascii="Arial" w:hAnsi="Arial" w:cs="Arial"/>
                <w:sz w:val="18"/>
                <w:szCs w:val="18"/>
              </w:rPr>
              <w:t>266,004</w:t>
            </w:r>
          </w:p>
        </w:tc>
        <w:tc>
          <w:tcPr>
            <w:tcW w:w="639" w:type="pct"/>
            <w:tcBorders>
              <w:top w:val="nil"/>
              <w:left w:val="nil"/>
              <w:right w:val="nil"/>
            </w:tcBorders>
            <w:shd w:val="clear" w:color="auto" w:fill="auto"/>
            <w:vAlign w:val="bottom"/>
          </w:tcPr>
          <w:p w14:paraId="5DC95E19"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lang w:val="hr-HR"/>
              </w:rPr>
            </w:pPr>
            <w:r w:rsidRPr="00587444">
              <w:rPr>
                <w:rFonts w:ascii="Arial" w:hAnsi="Arial" w:cs="Arial"/>
                <w:sz w:val="18"/>
                <w:szCs w:val="18"/>
              </w:rPr>
              <w:t>17,411</w:t>
            </w:r>
          </w:p>
        </w:tc>
      </w:tr>
      <w:tr w:rsidR="00587444" w:rsidRPr="00587444" w14:paraId="7411FEE6" w14:textId="77777777" w:rsidTr="00DD69E7">
        <w:trPr>
          <w:cantSplit/>
          <w:trHeight w:val="270"/>
          <w:tblHeader/>
        </w:trPr>
        <w:tc>
          <w:tcPr>
            <w:tcW w:w="2352" w:type="pct"/>
            <w:vAlign w:val="bottom"/>
          </w:tcPr>
          <w:p w14:paraId="578FE6A9" w14:textId="77777777" w:rsidR="00587444" w:rsidRPr="00587444" w:rsidRDefault="00587444" w:rsidP="00587444">
            <w:pPr>
              <w:suppressAutoHyphens w:val="0"/>
              <w:autoSpaceDN/>
              <w:spacing w:line="280" w:lineRule="exact"/>
              <w:rPr>
                <w:rFonts w:ascii="Arial" w:eastAsia="Calibri" w:hAnsi="Arial" w:cs="Arial"/>
                <w:bCs/>
                <w:sz w:val="18"/>
                <w:szCs w:val="18"/>
                <w:highlight w:val="yellow"/>
                <w:lang w:val="en-GB"/>
              </w:rPr>
            </w:pPr>
            <w:r w:rsidRPr="00587444">
              <w:rPr>
                <w:rFonts w:ascii="Arial" w:hAnsi="Arial" w:cs="Arial"/>
                <w:color w:val="000000"/>
                <w:sz w:val="18"/>
                <w:szCs w:val="18"/>
                <w:lang w:val="en-GB"/>
              </w:rPr>
              <w:t>Manufacture of electrical equipment</w:t>
            </w:r>
          </w:p>
        </w:tc>
        <w:tc>
          <w:tcPr>
            <w:tcW w:w="725" w:type="pct"/>
            <w:tcBorders>
              <w:top w:val="nil"/>
              <w:left w:val="nil"/>
              <w:bottom w:val="nil"/>
              <w:right w:val="nil"/>
            </w:tcBorders>
            <w:shd w:val="clear" w:color="auto" w:fill="auto"/>
            <w:vAlign w:val="bottom"/>
          </w:tcPr>
          <w:p w14:paraId="4690D7B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120,131</w:t>
            </w:r>
          </w:p>
        </w:tc>
        <w:tc>
          <w:tcPr>
            <w:tcW w:w="642" w:type="pct"/>
            <w:tcBorders>
              <w:top w:val="nil"/>
              <w:left w:val="nil"/>
              <w:bottom w:val="nil"/>
              <w:right w:val="nil"/>
            </w:tcBorders>
            <w:shd w:val="clear" w:color="auto" w:fill="auto"/>
            <w:vAlign w:val="bottom"/>
          </w:tcPr>
          <w:p w14:paraId="3DB00D5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56,688</w:t>
            </w:r>
          </w:p>
        </w:tc>
        <w:tc>
          <w:tcPr>
            <w:tcW w:w="642" w:type="pct"/>
            <w:tcBorders>
              <w:top w:val="nil"/>
              <w:left w:val="nil"/>
              <w:bottom w:val="nil"/>
              <w:right w:val="nil"/>
            </w:tcBorders>
            <w:shd w:val="clear" w:color="auto" w:fill="auto"/>
            <w:vAlign w:val="bottom"/>
          </w:tcPr>
          <w:p w14:paraId="25FC0970" w14:textId="77777777" w:rsidR="00587444" w:rsidRPr="00587444" w:rsidRDefault="00587444" w:rsidP="00587444">
            <w:pPr>
              <w:tabs>
                <w:tab w:val="right" w:pos="1202"/>
              </w:tabs>
              <w:suppressAutoHyphens w:val="0"/>
              <w:autoSpaceDN/>
              <w:jc w:val="right"/>
              <w:outlineLvl w:val="0"/>
              <w:rPr>
                <w:rFonts w:ascii="Arial" w:hAnsi="Arial" w:cs="Arial"/>
                <w:sz w:val="18"/>
                <w:szCs w:val="18"/>
              </w:rPr>
            </w:pPr>
            <w:r w:rsidRPr="00587444">
              <w:rPr>
                <w:rFonts w:ascii="Arial" w:hAnsi="Arial" w:cs="Arial"/>
                <w:sz w:val="18"/>
                <w:szCs w:val="18"/>
              </w:rPr>
              <w:t>78,975</w:t>
            </w:r>
          </w:p>
        </w:tc>
        <w:tc>
          <w:tcPr>
            <w:tcW w:w="639" w:type="pct"/>
            <w:tcBorders>
              <w:top w:val="nil"/>
              <w:left w:val="nil"/>
              <w:bottom w:val="nil"/>
              <w:right w:val="nil"/>
            </w:tcBorders>
            <w:shd w:val="clear" w:color="auto" w:fill="auto"/>
            <w:vAlign w:val="bottom"/>
          </w:tcPr>
          <w:p w14:paraId="5102D0D3" w14:textId="77777777" w:rsidR="00587444" w:rsidRPr="00587444" w:rsidRDefault="00587444" w:rsidP="00587444">
            <w:pPr>
              <w:tabs>
                <w:tab w:val="right" w:pos="1202"/>
              </w:tabs>
              <w:suppressAutoHyphens w:val="0"/>
              <w:autoSpaceDN/>
              <w:jc w:val="right"/>
              <w:outlineLvl w:val="0"/>
              <w:rPr>
                <w:rFonts w:ascii="Arial" w:hAnsi="Arial" w:cs="Arial"/>
                <w:sz w:val="18"/>
                <w:szCs w:val="18"/>
              </w:rPr>
            </w:pPr>
            <w:r w:rsidRPr="00587444">
              <w:rPr>
                <w:rFonts w:ascii="Arial" w:hAnsi="Arial" w:cs="Arial"/>
                <w:sz w:val="18"/>
                <w:szCs w:val="18"/>
              </w:rPr>
              <w:t>24,512</w:t>
            </w:r>
          </w:p>
        </w:tc>
      </w:tr>
      <w:tr w:rsidR="00587444" w:rsidRPr="00587444" w14:paraId="6E69717B" w14:textId="77777777" w:rsidTr="00DD69E7">
        <w:trPr>
          <w:cantSplit/>
          <w:trHeight w:val="270"/>
          <w:tblHeader/>
        </w:trPr>
        <w:tc>
          <w:tcPr>
            <w:tcW w:w="2352" w:type="pct"/>
            <w:vAlign w:val="bottom"/>
          </w:tcPr>
          <w:p w14:paraId="716CABFF" w14:textId="77777777" w:rsidR="00587444" w:rsidRPr="00587444" w:rsidRDefault="00587444" w:rsidP="00587444">
            <w:pPr>
              <w:suppressAutoHyphens w:val="0"/>
              <w:autoSpaceDN/>
              <w:spacing w:line="280" w:lineRule="exact"/>
              <w:rPr>
                <w:rFonts w:ascii="Arial" w:eastAsia="Calibri" w:hAnsi="Arial" w:cs="Arial"/>
                <w:bCs/>
                <w:sz w:val="18"/>
                <w:szCs w:val="18"/>
                <w:highlight w:val="yellow"/>
                <w:lang w:val="en-GB"/>
              </w:rPr>
            </w:pPr>
            <w:r w:rsidRPr="00587444">
              <w:rPr>
                <w:rFonts w:ascii="Arial" w:hAnsi="Arial" w:cs="Arial"/>
                <w:color w:val="000000"/>
                <w:sz w:val="18"/>
                <w:szCs w:val="18"/>
                <w:lang w:val="en-GB"/>
              </w:rPr>
              <w:t>Manufacture of machinery and equipment</w:t>
            </w:r>
          </w:p>
        </w:tc>
        <w:tc>
          <w:tcPr>
            <w:tcW w:w="725" w:type="pct"/>
            <w:tcBorders>
              <w:top w:val="nil"/>
              <w:left w:val="nil"/>
              <w:right w:val="nil"/>
            </w:tcBorders>
            <w:shd w:val="clear" w:color="auto" w:fill="auto"/>
            <w:vAlign w:val="bottom"/>
          </w:tcPr>
          <w:p w14:paraId="710F4BF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150,558</w:t>
            </w:r>
          </w:p>
        </w:tc>
        <w:tc>
          <w:tcPr>
            <w:tcW w:w="642" w:type="pct"/>
            <w:tcBorders>
              <w:top w:val="nil"/>
              <w:left w:val="nil"/>
              <w:right w:val="nil"/>
            </w:tcBorders>
            <w:shd w:val="clear" w:color="auto" w:fill="auto"/>
            <w:vAlign w:val="bottom"/>
          </w:tcPr>
          <w:p w14:paraId="72E17BE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22,494</w:t>
            </w:r>
          </w:p>
        </w:tc>
        <w:tc>
          <w:tcPr>
            <w:tcW w:w="642" w:type="pct"/>
            <w:tcBorders>
              <w:top w:val="nil"/>
              <w:left w:val="nil"/>
              <w:bottom w:val="nil"/>
              <w:right w:val="nil"/>
            </w:tcBorders>
            <w:shd w:val="clear" w:color="auto" w:fill="auto"/>
            <w:vAlign w:val="bottom"/>
          </w:tcPr>
          <w:p w14:paraId="4F5BF40F" w14:textId="77777777" w:rsidR="00587444" w:rsidRPr="00587444" w:rsidRDefault="00587444" w:rsidP="00587444">
            <w:pPr>
              <w:tabs>
                <w:tab w:val="right" w:pos="1202"/>
              </w:tabs>
              <w:suppressAutoHyphens w:val="0"/>
              <w:autoSpaceDN/>
              <w:jc w:val="right"/>
              <w:outlineLvl w:val="0"/>
              <w:rPr>
                <w:rFonts w:ascii="Arial" w:hAnsi="Arial" w:cs="Arial"/>
                <w:sz w:val="18"/>
                <w:szCs w:val="18"/>
              </w:rPr>
            </w:pPr>
            <w:r w:rsidRPr="00587444">
              <w:rPr>
                <w:rFonts w:ascii="Arial" w:hAnsi="Arial" w:cs="Arial"/>
                <w:sz w:val="18"/>
                <w:szCs w:val="18"/>
              </w:rPr>
              <w:t>63,954</w:t>
            </w:r>
          </w:p>
        </w:tc>
        <w:tc>
          <w:tcPr>
            <w:tcW w:w="639" w:type="pct"/>
            <w:tcBorders>
              <w:top w:val="nil"/>
              <w:left w:val="nil"/>
              <w:bottom w:val="nil"/>
              <w:right w:val="nil"/>
            </w:tcBorders>
            <w:shd w:val="clear" w:color="auto" w:fill="auto"/>
            <w:vAlign w:val="bottom"/>
          </w:tcPr>
          <w:p w14:paraId="15AECFE0" w14:textId="77777777" w:rsidR="00587444" w:rsidRPr="00587444" w:rsidRDefault="00587444" w:rsidP="00587444">
            <w:pPr>
              <w:tabs>
                <w:tab w:val="right" w:pos="1202"/>
              </w:tabs>
              <w:suppressAutoHyphens w:val="0"/>
              <w:autoSpaceDN/>
              <w:jc w:val="right"/>
              <w:outlineLvl w:val="0"/>
              <w:rPr>
                <w:rFonts w:ascii="Arial" w:hAnsi="Arial" w:cs="Arial"/>
                <w:sz w:val="18"/>
                <w:szCs w:val="18"/>
              </w:rPr>
            </w:pPr>
            <w:r w:rsidRPr="00587444">
              <w:rPr>
                <w:rFonts w:ascii="Arial" w:hAnsi="Arial" w:cs="Arial"/>
                <w:sz w:val="18"/>
                <w:szCs w:val="18"/>
              </w:rPr>
              <w:t>16,644</w:t>
            </w:r>
          </w:p>
        </w:tc>
      </w:tr>
      <w:tr w:rsidR="00587444" w:rsidRPr="00587444" w14:paraId="4A7FE6C6" w14:textId="77777777" w:rsidTr="00DD69E7">
        <w:trPr>
          <w:cantSplit/>
          <w:trHeight w:val="270"/>
          <w:tblHeader/>
        </w:trPr>
        <w:tc>
          <w:tcPr>
            <w:tcW w:w="2352" w:type="pct"/>
            <w:vAlign w:val="bottom"/>
          </w:tcPr>
          <w:p w14:paraId="5E3362DC" w14:textId="77777777" w:rsidR="00587444" w:rsidRPr="00587444"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Other</w:t>
            </w:r>
          </w:p>
        </w:tc>
        <w:tc>
          <w:tcPr>
            <w:tcW w:w="725" w:type="pct"/>
            <w:tcBorders>
              <w:top w:val="nil"/>
              <w:left w:val="nil"/>
              <w:bottom w:val="single" w:sz="4" w:space="0" w:color="auto"/>
              <w:right w:val="nil"/>
            </w:tcBorders>
            <w:shd w:val="clear" w:color="auto" w:fill="auto"/>
            <w:vAlign w:val="bottom"/>
          </w:tcPr>
          <w:p w14:paraId="7464706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1,976,484</w:t>
            </w:r>
          </w:p>
        </w:tc>
        <w:tc>
          <w:tcPr>
            <w:tcW w:w="642" w:type="pct"/>
            <w:tcBorders>
              <w:top w:val="nil"/>
              <w:left w:val="nil"/>
              <w:bottom w:val="single" w:sz="4" w:space="0" w:color="auto"/>
              <w:right w:val="nil"/>
            </w:tcBorders>
            <w:shd w:val="clear" w:color="auto" w:fill="auto"/>
            <w:vAlign w:val="bottom"/>
          </w:tcPr>
          <w:p w14:paraId="4C39217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474,935</w:t>
            </w:r>
          </w:p>
        </w:tc>
        <w:tc>
          <w:tcPr>
            <w:tcW w:w="642" w:type="pct"/>
            <w:tcBorders>
              <w:top w:val="nil"/>
              <w:left w:val="nil"/>
              <w:bottom w:val="single" w:sz="4" w:space="0" w:color="auto"/>
              <w:right w:val="nil"/>
            </w:tcBorders>
            <w:shd w:val="clear" w:color="auto" w:fill="auto"/>
            <w:vAlign w:val="bottom"/>
          </w:tcPr>
          <w:p w14:paraId="46C6C533"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2,136,797</w:t>
            </w:r>
          </w:p>
        </w:tc>
        <w:tc>
          <w:tcPr>
            <w:tcW w:w="639" w:type="pct"/>
            <w:tcBorders>
              <w:top w:val="nil"/>
              <w:left w:val="nil"/>
              <w:bottom w:val="single" w:sz="4" w:space="0" w:color="auto"/>
              <w:right w:val="nil"/>
            </w:tcBorders>
            <w:shd w:val="clear" w:color="auto" w:fill="auto"/>
            <w:vAlign w:val="bottom"/>
          </w:tcPr>
          <w:p w14:paraId="52881AFB"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291,527</w:t>
            </w:r>
          </w:p>
        </w:tc>
      </w:tr>
      <w:tr w:rsidR="00587444" w:rsidRPr="00587444" w14:paraId="4B552533" w14:textId="77777777" w:rsidTr="00DD69E7">
        <w:tblPrEx>
          <w:tblCellMar>
            <w:left w:w="31" w:type="dxa"/>
            <w:right w:w="31" w:type="dxa"/>
          </w:tblCellMar>
        </w:tblPrEx>
        <w:trPr>
          <w:cantSplit/>
          <w:trHeight w:val="363"/>
          <w:tblHeader/>
        </w:trPr>
        <w:tc>
          <w:tcPr>
            <w:tcW w:w="2352" w:type="pct"/>
            <w:vAlign w:val="bottom"/>
          </w:tcPr>
          <w:p w14:paraId="27C520BC" w14:textId="77777777" w:rsidR="00587444" w:rsidRPr="00587444" w:rsidRDefault="00587444" w:rsidP="00587444">
            <w:pPr>
              <w:suppressAutoHyphens w:val="0"/>
              <w:autoSpaceDN/>
              <w:spacing w:line="280" w:lineRule="exact"/>
              <w:rPr>
                <w:rFonts w:ascii="Arial" w:eastAsia="Calibri" w:hAnsi="Arial" w:cs="Arial"/>
                <w:b/>
                <w:bCs/>
                <w:sz w:val="18"/>
                <w:szCs w:val="18"/>
              </w:rPr>
            </w:pPr>
            <w:r w:rsidRPr="00587444">
              <w:rPr>
                <w:rFonts w:ascii="Arial" w:eastAsia="Calibri" w:hAnsi="Arial" w:cs="Arial"/>
                <w:b/>
                <w:bCs/>
                <w:sz w:val="18"/>
                <w:szCs w:val="18"/>
              </w:rPr>
              <w:t>Total credit risk exposure</w:t>
            </w:r>
          </w:p>
        </w:tc>
        <w:tc>
          <w:tcPr>
            <w:tcW w:w="725" w:type="pct"/>
            <w:tcBorders>
              <w:top w:val="single" w:sz="4" w:space="0" w:color="auto"/>
              <w:left w:val="nil"/>
              <w:bottom w:val="single" w:sz="12" w:space="0" w:color="auto"/>
              <w:right w:val="nil"/>
            </w:tcBorders>
            <w:shd w:val="clear" w:color="auto" w:fill="auto"/>
            <w:vAlign w:val="bottom"/>
          </w:tcPr>
          <w:p w14:paraId="508587DD" w14:textId="77777777" w:rsidR="00587444" w:rsidRPr="00587444" w:rsidRDefault="00587444" w:rsidP="00587444">
            <w:pPr>
              <w:suppressAutoHyphens w:val="0"/>
              <w:autoSpaceDN/>
              <w:spacing w:line="280" w:lineRule="exact"/>
              <w:jc w:val="right"/>
              <w:rPr>
                <w:rFonts w:ascii="Arial" w:eastAsia="Calibri" w:hAnsi="Arial" w:cs="Arial"/>
                <w:b/>
                <w:bCs/>
                <w:sz w:val="18"/>
                <w:szCs w:val="18"/>
              </w:rPr>
            </w:pPr>
            <w:r w:rsidRPr="00587444">
              <w:rPr>
                <w:rFonts w:ascii="Arial" w:hAnsi="Arial" w:cs="Arial"/>
                <w:b/>
                <w:bCs/>
                <w:noProof/>
                <w:color w:val="000000"/>
                <w:sz w:val="18"/>
                <w:szCs w:val="18"/>
                <w:lang w:val="hr-HR" w:eastAsia="hr-HR"/>
              </w:rPr>
              <w:t>31,707,672</w:t>
            </w:r>
          </w:p>
        </w:tc>
        <w:tc>
          <w:tcPr>
            <w:tcW w:w="642" w:type="pct"/>
            <w:tcBorders>
              <w:top w:val="single" w:sz="4" w:space="0" w:color="auto"/>
              <w:left w:val="nil"/>
              <w:bottom w:val="single" w:sz="12" w:space="0" w:color="auto"/>
              <w:right w:val="nil"/>
            </w:tcBorders>
            <w:shd w:val="clear" w:color="auto" w:fill="auto"/>
            <w:vAlign w:val="bottom"/>
          </w:tcPr>
          <w:p w14:paraId="2DBA12A3" w14:textId="77777777" w:rsidR="00587444" w:rsidRPr="00587444" w:rsidRDefault="00587444" w:rsidP="00587444">
            <w:pPr>
              <w:suppressAutoHyphens w:val="0"/>
              <w:autoSpaceDN/>
              <w:spacing w:line="280" w:lineRule="exact"/>
              <w:jc w:val="right"/>
              <w:rPr>
                <w:rFonts w:ascii="Arial" w:eastAsia="Calibri" w:hAnsi="Arial" w:cs="Arial"/>
                <w:b/>
                <w:bCs/>
                <w:sz w:val="18"/>
                <w:szCs w:val="18"/>
              </w:rPr>
            </w:pPr>
            <w:r w:rsidRPr="00587444">
              <w:rPr>
                <w:rFonts w:ascii="Arial" w:hAnsi="Arial" w:cs="Arial"/>
                <w:b/>
                <w:bCs/>
                <w:color w:val="000000"/>
                <w:sz w:val="18"/>
                <w:szCs w:val="18"/>
                <w:lang w:val="hr-HR"/>
              </w:rPr>
              <w:t>6,023,570</w:t>
            </w:r>
          </w:p>
        </w:tc>
        <w:tc>
          <w:tcPr>
            <w:tcW w:w="642" w:type="pct"/>
            <w:tcBorders>
              <w:top w:val="single" w:sz="4" w:space="0" w:color="auto"/>
              <w:left w:val="nil"/>
              <w:bottom w:val="single" w:sz="12" w:space="0" w:color="auto"/>
              <w:right w:val="nil"/>
            </w:tcBorders>
            <w:shd w:val="clear" w:color="auto" w:fill="auto"/>
            <w:vAlign w:val="bottom"/>
          </w:tcPr>
          <w:p w14:paraId="5669B986"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lang w:eastAsia="hr-HR"/>
              </w:rPr>
            </w:pPr>
            <w:r w:rsidRPr="00587444">
              <w:rPr>
                <w:rFonts w:ascii="Arial" w:hAnsi="Arial" w:cs="Arial"/>
                <w:b/>
                <w:bCs/>
                <w:sz w:val="18"/>
                <w:szCs w:val="18"/>
              </w:rPr>
              <w:t>31,795,313</w:t>
            </w:r>
          </w:p>
        </w:tc>
        <w:tc>
          <w:tcPr>
            <w:tcW w:w="639" w:type="pct"/>
            <w:tcBorders>
              <w:top w:val="single" w:sz="4" w:space="0" w:color="auto"/>
              <w:left w:val="nil"/>
              <w:bottom w:val="single" w:sz="12" w:space="0" w:color="auto"/>
              <w:right w:val="nil"/>
            </w:tcBorders>
            <w:shd w:val="clear" w:color="auto" w:fill="auto"/>
            <w:vAlign w:val="bottom"/>
          </w:tcPr>
          <w:p w14:paraId="30FF405E"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hAnsi="Arial" w:cs="Arial"/>
                <w:b/>
                <w:color w:val="000000"/>
                <w:sz w:val="18"/>
                <w:szCs w:val="18"/>
                <w:lang w:val="hr-HR"/>
              </w:rPr>
              <w:t>6,752,166</w:t>
            </w:r>
          </w:p>
        </w:tc>
      </w:tr>
    </w:tbl>
    <w:p w14:paraId="1C80E135" w14:textId="77777777" w:rsidR="00587444" w:rsidRPr="00587444" w:rsidRDefault="00587444" w:rsidP="00587444">
      <w:pPr>
        <w:tabs>
          <w:tab w:val="right" w:pos="9129"/>
        </w:tabs>
        <w:suppressAutoHyphens w:val="0"/>
        <w:autoSpaceDN/>
        <w:spacing w:line="360" w:lineRule="auto"/>
        <w:jc w:val="both"/>
        <w:rPr>
          <w:rFonts w:ascii="Arial" w:hAnsi="Arial" w:cs="Arial"/>
          <w:bCs/>
          <w:sz w:val="20"/>
          <w:szCs w:val="20"/>
          <w:highlight w:val="yellow"/>
          <w:lang w:val="en-GB"/>
        </w:rPr>
      </w:pPr>
    </w:p>
    <w:p w14:paraId="174C7344" w14:textId="77777777" w:rsidR="00587444" w:rsidRPr="00587444" w:rsidRDefault="00587444" w:rsidP="00587444">
      <w:pPr>
        <w:tabs>
          <w:tab w:val="right" w:pos="9129"/>
        </w:tabs>
        <w:suppressAutoHyphens w:val="0"/>
        <w:autoSpaceDN/>
        <w:spacing w:line="360" w:lineRule="auto"/>
        <w:jc w:val="both"/>
        <w:rPr>
          <w:rFonts w:ascii="Arial" w:hAnsi="Arial" w:cs="Arial"/>
          <w:bCs/>
          <w:sz w:val="20"/>
          <w:szCs w:val="20"/>
          <w:highlight w:val="yellow"/>
          <w:lang w:val="en-GB"/>
        </w:rPr>
      </w:pPr>
    </w:p>
    <w:p w14:paraId="6AEEB657" w14:textId="77777777" w:rsidR="00587444" w:rsidRPr="00587444" w:rsidRDefault="00587444" w:rsidP="00587444">
      <w:pPr>
        <w:tabs>
          <w:tab w:val="right" w:pos="9129"/>
        </w:tabs>
        <w:suppressAutoHyphens w:val="0"/>
        <w:autoSpaceDN/>
        <w:spacing w:line="360" w:lineRule="auto"/>
        <w:jc w:val="both"/>
        <w:rPr>
          <w:rFonts w:ascii="Arial" w:hAnsi="Arial" w:cs="Arial"/>
          <w:bCs/>
          <w:sz w:val="20"/>
          <w:szCs w:val="20"/>
          <w:highlight w:val="yellow"/>
          <w:lang w:val="en-GB"/>
        </w:rPr>
      </w:pPr>
    </w:p>
    <w:p w14:paraId="62D6221D" w14:textId="77777777" w:rsidR="00587444" w:rsidRPr="00587444" w:rsidRDefault="00587444" w:rsidP="00587444">
      <w:pPr>
        <w:tabs>
          <w:tab w:val="right" w:pos="9129"/>
        </w:tabs>
        <w:suppressAutoHyphens w:val="0"/>
        <w:autoSpaceDN/>
        <w:spacing w:line="360" w:lineRule="auto"/>
        <w:jc w:val="both"/>
        <w:rPr>
          <w:rFonts w:ascii="Arial" w:hAnsi="Arial" w:cs="Arial"/>
          <w:bCs/>
          <w:sz w:val="20"/>
          <w:szCs w:val="20"/>
          <w:highlight w:val="yellow"/>
          <w:lang w:val="en-GB"/>
        </w:rPr>
      </w:pPr>
    </w:p>
    <w:p w14:paraId="4BE78BC6" w14:textId="77777777" w:rsidR="00587444" w:rsidRPr="00587444" w:rsidRDefault="00587444" w:rsidP="00587444">
      <w:pPr>
        <w:tabs>
          <w:tab w:val="right" w:pos="9129"/>
        </w:tabs>
        <w:suppressAutoHyphens w:val="0"/>
        <w:autoSpaceDN/>
        <w:spacing w:line="360" w:lineRule="auto"/>
        <w:jc w:val="both"/>
        <w:rPr>
          <w:rFonts w:ascii="Arial" w:hAnsi="Arial" w:cs="Arial"/>
          <w:bCs/>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0CEA1196" w14:textId="77777777" w:rsidR="00587444" w:rsidRPr="00587444" w:rsidRDefault="00587444" w:rsidP="00587444">
      <w:pPr>
        <w:keepNext/>
        <w:suppressAutoHyphens w:val="0"/>
        <w:autoSpaceDN/>
        <w:jc w:val="both"/>
        <w:rPr>
          <w:rFonts w:ascii="Arial" w:hAnsi="Arial" w:cs="Arial"/>
          <w:b/>
          <w:bCs/>
          <w:sz w:val="20"/>
          <w:szCs w:val="20"/>
          <w:lang w:val="en-GB"/>
        </w:rPr>
      </w:pPr>
    </w:p>
    <w:p w14:paraId="0AB15521"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01B77DA" w14:textId="77777777" w:rsidR="00587444" w:rsidRPr="00587444" w:rsidRDefault="00587444" w:rsidP="00587444">
      <w:pPr>
        <w:suppressAutoHyphens w:val="0"/>
        <w:autoSpaceDN/>
        <w:jc w:val="both"/>
        <w:rPr>
          <w:rFonts w:ascii="Arial" w:hAnsi="Arial" w:cs="Arial"/>
          <w:b/>
          <w:sz w:val="20"/>
          <w:szCs w:val="20"/>
          <w:lang w:val="en-GB"/>
        </w:rPr>
      </w:pPr>
    </w:p>
    <w:p w14:paraId="48D1CE1F"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33DD52A1" w14:textId="77777777" w:rsidR="00587444" w:rsidRPr="00587444" w:rsidRDefault="00587444" w:rsidP="00587444">
      <w:pPr>
        <w:suppressAutoHyphens w:val="0"/>
        <w:autoSpaceDN/>
        <w:jc w:val="both"/>
        <w:rPr>
          <w:rFonts w:ascii="Arial" w:hAnsi="Arial" w:cs="Arial"/>
          <w:b/>
          <w:sz w:val="20"/>
          <w:szCs w:val="20"/>
          <w:lang w:val="en-GB"/>
        </w:rPr>
      </w:pPr>
    </w:p>
    <w:p w14:paraId="4CB7BC62"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3FC2E9E5" w14:textId="77777777" w:rsidR="00587444" w:rsidRPr="00587444" w:rsidRDefault="00587444" w:rsidP="00587444">
      <w:pPr>
        <w:suppressAutoHyphens w:val="0"/>
        <w:autoSpaceDN/>
        <w:jc w:val="both"/>
        <w:rPr>
          <w:rFonts w:ascii="Arial" w:hAnsi="Arial" w:cs="Arial"/>
          <w:b/>
          <w:sz w:val="20"/>
          <w:szCs w:val="20"/>
          <w:lang w:val="en-GB"/>
        </w:rPr>
      </w:pPr>
    </w:p>
    <w:p w14:paraId="3393DE6B" w14:textId="77777777" w:rsidR="00587444" w:rsidRPr="00587444" w:rsidRDefault="00587444" w:rsidP="00587444">
      <w:pPr>
        <w:keepNext/>
        <w:suppressAutoHyphens w:val="0"/>
        <w:autoSpaceDN/>
        <w:jc w:val="both"/>
        <w:rPr>
          <w:rFonts w:ascii="Arial" w:hAnsi="Arial" w:cs="Arial"/>
          <w:b/>
          <w:bCs/>
          <w:sz w:val="20"/>
          <w:szCs w:val="20"/>
          <w:lang w:val="pl-PL"/>
        </w:rPr>
      </w:pPr>
      <w:r w:rsidRPr="00587444">
        <w:rPr>
          <w:rFonts w:ascii="Arial" w:hAnsi="Arial" w:cs="Arial"/>
          <w:bCs/>
          <w:sz w:val="20"/>
          <w:szCs w:val="20"/>
          <w:lang w:val="en-GB"/>
        </w:rPr>
        <w:t>Concentration of assets and guarantees and commitments, according to industry, net exposure</w:t>
      </w:r>
      <w:r w:rsidRPr="00587444">
        <w:rPr>
          <w:rFonts w:ascii="Arial" w:hAnsi="Arial" w:cs="Arial"/>
          <w:b/>
          <w:bCs/>
          <w:sz w:val="20"/>
          <w:szCs w:val="20"/>
          <w:lang w:val="en-GB"/>
        </w:rPr>
        <w:t>,</w:t>
      </w:r>
      <w:r w:rsidRPr="00587444">
        <w:rPr>
          <w:rFonts w:ascii="Arial" w:hAnsi="Arial" w:cs="Arial"/>
          <w:bCs/>
          <w:sz w:val="20"/>
          <w:szCs w:val="20"/>
          <w:lang w:val="en-GB"/>
        </w:rPr>
        <w:t xml:space="preserve"> before and after </w:t>
      </w:r>
      <w:r w:rsidRPr="00587444">
        <w:rPr>
          <w:rFonts w:ascii="Arial" w:hAnsi="Arial" w:cs="Arial"/>
          <w:bCs/>
          <w:sz w:val="20"/>
          <w:szCs w:val="20"/>
        </w:rPr>
        <w:t xml:space="preserve">the effect of mitigation through collateral received:  </w:t>
      </w:r>
    </w:p>
    <w:tbl>
      <w:tblPr>
        <w:tblpPr w:leftFromText="180" w:rightFromText="180" w:vertAnchor="text" w:horzAnchor="margin" w:tblpY="290"/>
        <w:tblOverlap w:val="never"/>
        <w:tblW w:w="4955" w:type="pct"/>
        <w:tblLayout w:type="fixed"/>
        <w:tblCellMar>
          <w:left w:w="30" w:type="dxa"/>
          <w:right w:w="30" w:type="dxa"/>
        </w:tblCellMar>
        <w:tblLook w:val="0000" w:firstRow="0" w:lastRow="0" w:firstColumn="0" w:lastColumn="0" w:noHBand="0" w:noVBand="0"/>
      </w:tblPr>
      <w:tblGrid>
        <w:gridCol w:w="4282"/>
        <w:gridCol w:w="1284"/>
        <w:gridCol w:w="1211"/>
        <w:gridCol w:w="1355"/>
        <w:gridCol w:w="1198"/>
      </w:tblGrid>
      <w:tr w:rsidR="00587444" w:rsidRPr="00587444" w14:paraId="5F5C1D1E" w14:textId="77777777" w:rsidTr="00DD69E7">
        <w:trPr>
          <w:cantSplit/>
          <w:trHeight w:val="1843"/>
          <w:tblHeader/>
        </w:trPr>
        <w:tc>
          <w:tcPr>
            <w:tcW w:w="2295" w:type="pct"/>
            <w:vAlign w:val="bottom"/>
          </w:tcPr>
          <w:p w14:paraId="4AC87BBF"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8"/>
                <w:szCs w:val="18"/>
              </w:rPr>
            </w:pPr>
            <w:bookmarkStart w:id="1136" w:name="_Toc4060927"/>
            <w:r w:rsidRPr="00587444">
              <w:rPr>
                <w:rFonts w:ascii="Arial" w:hAnsi="Arial" w:cs="Arial"/>
                <w:b/>
                <w:sz w:val="18"/>
                <w:szCs w:val="18"/>
              </w:rPr>
              <w:t>Bank</w:t>
            </w:r>
            <w:bookmarkEnd w:id="1136"/>
          </w:p>
        </w:tc>
        <w:tc>
          <w:tcPr>
            <w:tcW w:w="688" w:type="pct"/>
            <w:vAlign w:val="center"/>
          </w:tcPr>
          <w:p w14:paraId="0840362B"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226AB2B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255E41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641B9A72"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1200F6D6"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4A0A270A"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0288866D"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08766A93"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1137" w:name="_Toc4060928"/>
            <w:r w:rsidRPr="00587444">
              <w:rPr>
                <w:rFonts w:ascii="Arial" w:eastAsia="Calibri" w:hAnsi="Arial" w:cs="Arial"/>
                <w:b/>
                <w:sz w:val="18"/>
                <w:szCs w:val="18"/>
              </w:rPr>
              <w:t xml:space="preserve">Highest </w:t>
            </w:r>
          </w:p>
          <w:p w14:paraId="4A99A444" w14:textId="4108C4E5"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r w:rsidRPr="00587444">
              <w:rPr>
                <w:rFonts w:ascii="Arial" w:eastAsia="Calibri" w:hAnsi="Arial" w:cs="Arial"/>
                <w:b/>
                <w:sz w:val="18"/>
                <w:szCs w:val="18"/>
              </w:rPr>
              <w:t>exposure</w:t>
            </w:r>
            <w:bookmarkEnd w:id="1137"/>
          </w:p>
        </w:tc>
        <w:tc>
          <w:tcPr>
            <w:tcW w:w="649" w:type="pct"/>
            <w:vAlign w:val="center"/>
          </w:tcPr>
          <w:p w14:paraId="39E5D9D4"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1138" w:name="_Toc4060929"/>
            <w:r w:rsidRPr="00587444">
              <w:rPr>
                <w:rFonts w:ascii="Arial" w:eastAsia="Calibri" w:hAnsi="Arial" w:cs="Arial"/>
                <w:b/>
                <w:sz w:val="18"/>
                <w:szCs w:val="18"/>
              </w:rPr>
              <w:t xml:space="preserve">Highest </w:t>
            </w:r>
          </w:p>
          <w:p w14:paraId="2586A120"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exposure </w:t>
            </w:r>
          </w:p>
          <w:p w14:paraId="03DA22FE"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after the </w:t>
            </w:r>
          </w:p>
          <w:p w14:paraId="743BC84F"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effect of </w:t>
            </w:r>
          </w:p>
          <w:p w14:paraId="3DEDB3FB"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mitigation through </w:t>
            </w:r>
          </w:p>
          <w:p w14:paraId="252B8E77"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collateral </w:t>
            </w:r>
          </w:p>
          <w:p w14:paraId="033FA60B" w14:textId="631E86F0"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r w:rsidRPr="00587444">
              <w:rPr>
                <w:rFonts w:ascii="Arial" w:eastAsia="Calibri" w:hAnsi="Arial" w:cs="Arial"/>
                <w:b/>
                <w:sz w:val="18"/>
                <w:szCs w:val="18"/>
              </w:rPr>
              <w:t>received</w:t>
            </w:r>
            <w:bookmarkEnd w:id="1138"/>
          </w:p>
        </w:tc>
        <w:tc>
          <w:tcPr>
            <w:tcW w:w="726" w:type="pct"/>
            <w:vAlign w:val="center"/>
          </w:tcPr>
          <w:p w14:paraId="3BD1963D"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27D7C60"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53195407"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0DB972C7"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1E74F4CB"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07DFC194"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2E11F63A"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4441C551"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1139" w:name="_Toc4060930"/>
            <w:r w:rsidRPr="00587444">
              <w:rPr>
                <w:rFonts w:ascii="Arial" w:eastAsia="Calibri" w:hAnsi="Arial" w:cs="Arial"/>
                <w:b/>
                <w:sz w:val="18"/>
                <w:szCs w:val="18"/>
              </w:rPr>
              <w:t xml:space="preserve">Highest </w:t>
            </w:r>
          </w:p>
          <w:p w14:paraId="021FD00A" w14:textId="41E333AA"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r w:rsidRPr="00587444">
              <w:rPr>
                <w:rFonts w:ascii="Arial" w:eastAsia="Calibri" w:hAnsi="Arial" w:cs="Arial"/>
                <w:b/>
                <w:sz w:val="18"/>
                <w:szCs w:val="18"/>
              </w:rPr>
              <w:t>exposure</w:t>
            </w:r>
            <w:bookmarkEnd w:id="1139"/>
          </w:p>
        </w:tc>
        <w:tc>
          <w:tcPr>
            <w:tcW w:w="642" w:type="pct"/>
            <w:vAlign w:val="center"/>
          </w:tcPr>
          <w:p w14:paraId="4A558579"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1140" w:name="_Toc4060931"/>
            <w:r w:rsidRPr="00587444">
              <w:rPr>
                <w:rFonts w:ascii="Arial" w:eastAsia="Calibri" w:hAnsi="Arial" w:cs="Arial"/>
                <w:b/>
                <w:sz w:val="18"/>
                <w:szCs w:val="18"/>
              </w:rPr>
              <w:t xml:space="preserve">Highest </w:t>
            </w:r>
          </w:p>
          <w:p w14:paraId="47953BD8"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exposure </w:t>
            </w:r>
          </w:p>
          <w:p w14:paraId="18481F96"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after the </w:t>
            </w:r>
          </w:p>
          <w:p w14:paraId="2358272B"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effect of </w:t>
            </w:r>
          </w:p>
          <w:p w14:paraId="763C67CF" w14:textId="21F0862D"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mitigation through </w:t>
            </w:r>
          </w:p>
          <w:p w14:paraId="4AF5AB0E" w14:textId="4DB00F01"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collateral </w:t>
            </w:r>
          </w:p>
          <w:p w14:paraId="197CAF41" w14:textId="2A3B95FC"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r w:rsidRPr="00587444">
              <w:rPr>
                <w:rFonts w:ascii="Arial" w:eastAsia="Calibri" w:hAnsi="Arial" w:cs="Arial"/>
                <w:b/>
                <w:sz w:val="18"/>
                <w:szCs w:val="18"/>
              </w:rPr>
              <w:t>received</w:t>
            </w:r>
            <w:bookmarkEnd w:id="1140"/>
          </w:p>
        </w:tc>
      </w:tr>
      <w:tr w:rsidR="00587444" w:rsidRPr="00587444" w14:paraId="2162AEC4" w14:textId="77777777" w:rsidTr="00DD69E7">
        <w:trPr>
          <w:cantSplit/>
          <w:trHeight w:val="170"/>
          <w:tblHeader/>
        </w:trPr>
        <w:tc>
          <w:tcPr>
            <w:tcW w:w="2295" w:type="pct"/>
          </w:tcPr>
          <w:p w14:paraId="6BD5E3D5" w14:textId="77777777" w:rsidR="00587444" w:rsidRPr="00587444" w:rsidRDefault="00587444" w:rsidP="00587444">
            <w:pPr>
              <w:suppressAutoHyphens w:val="0"/>
              <w:autoSpaceDN/>
              <w:spacing w:line="280" w:lineRule="exact"/>
              <w:ind w:left="113" w:hanging="113"/>
              <w:rPr>
                <w:rFonts w:ascii="Arial" w:eastAsia="Calibri" w:hAnsi="Arial" w:cs="Arial"/>
                <w:sz w:val="18"/>
                <w:szCs w:val="18"/>
              </w:rPr>
            </w:pPr>
          </w:p>
        </w:tc>
        <w:tc>
          <w:tcPr>
            <w:tcW w:w="688" w:type="pct"/>
            <w:vAlign w:val="center"/>
          </w:tcPr>
          <w:p w14:paraId="07925DB7"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bookmarkStart w:id="1141" w:name="_Toc4060932"/>
            <w:r w:rsidRPr="00587444">
              <w:rPr>
                <w:rFonts w:ascii="Arial" w:eastAsia="Calibri" w:hAnsi="Arial" w:cs="Arial"/>
                <w:b/>
                <w:sz w:val="18"/>
                <w:szCs w:val="18"/>
              </w:rPr>
              <w:t xml:space="preserve">31 December </w:t>
            </w:r>
            <w:bookmarkEnd w:id="1141"/>
            <w:r w:rsidRPr="00587444">
              <w:rPr>
                <w:rFonts w:ascii="Arial" w:eastAsia="Calibri" w:hAnsi="Arial" w:cs="Arial"/>
                <w:b/>
                <w:sz w:val="18"/>
                <w:szCs w:val="18"/>
              </w:rPr>
              <w:t>2022</w:t>
            </w:r>
          </w:p>
        </w:tc>
        <w:tc>
          <w:tcPr>
            <w:tcW w:w="649" w:type="pct"/>
            <w:vAlign w:val="center"/>
          </w:tcPr>
          <w:p w14:paraId="1521E85C"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bookmarkStart w:id="1142" w:name="_Toc4060933"/>
            <w:r w:rsidRPr="00587444">
              <w:rPr>
                <w:rFonts w:ascii="Arial" w:eastAsia="Calibri" w:hAnsi="Arial" w:cs="Arial"/>
                <w:b/>
                <w:sz w:val="18"/>
                <w:szCs w:val="18"/>
              </w:rPr>
              <w:t xml:space="preserve">31 December </w:t>
            </w:r>
            <w:bookmarkEnd w:id="1142"/>
            <w:r w:rsidRPr="00587444">
              <w:rPr>
                <w:rFonts w:ascii="Arial" w:eastAsia="Calibri" w:hAnsi="Arial" w:cs="Arial"/>
                <w:b/>
                <w:sz w:val="18"/>
                <w:szCs w:val="18"/>
              </w:rPr>
              <w:t>2022</w:t>
            </w:r>
          </w:p>
        </w:tc>
        <w:tc>
          <w:tcPr>
            <w:tcW w:w="726" w:type="pct"/>
            <w:vAlign w:val="center"/>
          </w:tcPr>
          <w:p w14:paraId="50DBD1B6"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eastAsia="Calibri" w:hAnsi="Arial" w:cs="Arial"/>
                <w:b/>
                <w:sz w:val="18"/>
                <w:szCs w:val="18"/>
              </w:rPr>
              <w:t>31 December 2021</w:t>
            </w:r>
          </w:p>
        </w:tc>
        <w:tc>
          <w:tcPr>
            <w:tcW w:w="642" w:type="pct"/>
            <w:vAlign w:val="center"/>
          </w:tcPr>
          <w:p w14:paraId="1C09071D"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eastAsia="Calibri" w:hAnsi="Arial" w:cs="Arial"/>
                <w:b/>
                <w:sz w:val="18"/>
                <w:szCs w:val="18"/>
              </w:rPr>
              <w:t>31 December 2021</w:t>
            </w:r>
          </w:p>
        </w:tc>
      </w:tr>
      <w:tr w:rsidR="00587444" w:rsidRPr="00587444" w14:paraId="4A672893" w14:textId="77777777" w:rsidTr="00DD69E7">
        <w:trPr>
          <w:cantSplit/>
          <w:trHeight w:val="253"/>
          <w:tblHeader/>
        </w:trPr>
        <w:tc>
          <w:tcPr>
            <w:tcW w:w="2295" w:type="pct"/>
          </w:tcPr>
          <w:p w14:paraId="61D756C3" w14:textId="77777777" w:rsidR="00587444" w:rsidRPr="00587444" w:rsidRDefault="00587444" w:rsidP="00587444">
            <w:pPr>
              <w:suppressAutoHyphens w:val="0"/>
              <w:autoSpaceDN/>
              <w:spacing w:line="280" w:lineRule="exact"/>
              <w:ind w:left="113" w:hanging="113"/>
              <w:rPr>
                <w:rFonts w:ascii="Arial" w:eastAsia="Calibri" w:hAnsi="Arial" w:cs="Arial"/>
                <w:sz w:val="18"/>
                <w:szCs w:val="18"/>
              </w:rPr>
            </w:pPr>
          </w:p>
        </w:tc>
        <w:tc>
          <w:tcPr>
            <w:tcW w:w="688" w:type="pct"/>
          </w:tcPr>
          <w:p w14:paraId="1D287492"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bookmarkStart w:id="1143" w:name="_Toc4060936"/>
            <w:r w:rsidRPr="00587444">
              <w:rPr>
                <w:rFonts w:ascii="Arial" w:hAnsi="Arial" w:cs="Arial"/>
                <w:b/>
                <w:sz w:val="18"/>
                <w:szCs w:val="18"/>
              </w:rPr>
              <w:t>HRK ‘000</w:t>
            </w:r>
            <w:bookmarkEnd w:id="1143"/>
          </w:p>
        </w:tc>
        <w:tc>
          <w:tcPr>
            <w:tcW w:w="649" w:type="pct"/>
          </w:tcPr>
          <w:p w14:paraId="340CD6F0"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bookmarkStart w:id="1144" w:name="_Toc4060937"/>
            <w:r w:rsidRPr="00587444">
              <w:rPr>
                <w:rFonts w:ascii="Arial" w:hAnsi="Arial" w:cs="Arial"/>
                <w:b/>
                <w:bCs/>
                <w:sz w:val="18"/>
                <w:szCs w:val="18"/>
              </w:rPr>
              <w:t>HRK ‘000</w:t>
            </w:r>
            <w:bookmarkEnd w:id="1144"/>
          </w:p>
        </w:tc>
        <w:tc>
          <w:tcPr>
            <w:tcW w:w="726" w:type="pct"/>
          </w:tcPr>
          <w:p w14:paraId="6B9E7D1E"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sz w:val="18"/>
                <w:szCs w:val="18"/>
              </w:rPr>
              <w:t>HRK ‘000</w:t>
            </w:r>
          </w:p>
        </w:tc>
        <w:tc>
          <w:tcPr>
            <w:tcW w:w="642" w:type="pct"/>
          </w:tcPr>
          <w:p w14:paraId="3A32D020" w14:textId="77777777"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hAnsi="Arial" w:cs="Arial"/>
                <w:b/>
                <w:bCs/>
                <w:sz w:val="18"/>
                <w:szCs w:val="18"/>
              </w:rPr>
              <w:t>HRK ‘000</w:t>
            </w:r>
          </w:p>
        </w:tc>
      </w:tr>
      <w:tr w:rsidR="00587444" w:rsidRPr="00587444" w14:paraId="37862681" w14:textId="77777777" w:rsidTr="00DD69E7">
        <w:trPr>
          <w:cantSplit/>
          <w:trHeight w:val="57"/>
          <w:tblHeader/>
        </w:trPr>
        <w:tc>
          <w:tcPr>
            <w:tcW w:w="2295" w:type="pct"/>
          </w:tcPr>
          <w:p w14:paraId="728C7E25" w14:textId="77777777" w:rsidR="00587444" w:rsidRPr="00587444" w:rsidRDefault="00587444" w:rsidP="00587444">
            <w:pPr>
              <w:tabs>
                <w:tab w:val="right" w:pos="1202"/>
              </w:tabs>
              <w:suppressAutoHyphens w:val="0"/>
              <w:autoSpaceDN/>
              <w:ind w:left="113" w:hanging="113"/>
              <w:jc w:val="right"/>
              <w:outlineLvl w:val="0"/>
              <w:rPr>
                <w:rFonts w:ascii="Arial" w:eastAsia="Calibri" w:hAnsi="Arial" w:cs="Arial"/>
                <w:bCs/>
                <w:sz w:val="8"/>
                <w:szCs w:val="8"/>
              </w:rPr>
            </w:pPr>
          </w:p>
        </w:tc>
        <w:tc>
          <w:tcPr>
            <w:tcW w:w="688" w:type="pct"/>
            <w:vAlign w:val="center"/>
          </w:tcPr>
          <w:p w14:paraId="12D03D1E" w14:textId="77777777" w:rsidR="00587444" w:rsidRPr="00587444" w:rsidRDefault="00587444" w:rsidP="00587444">
            <w:pPr>
              <w:tabs>
                <w:tab w:val="right" w:pos="1202"/>
              </w:tabs>
              <w:suppressAutoHyphens w:val="0"/>
              <w:autoSpaceDN/>
              <w:ind w:left="113" w:hanging="113"/>
              <w:jc w:val="right"/>
              <w:outlineLvl w:val="0"/>
              <w:rPr>
                <w:rFonts w:ascii="Arial" w:eastAsia="Calibri" w:hAnsi="Arial" w:cs="Arial"/>
                <w:bCs/>
                <w:sz w:val="8"/>
                <w:szCs w:val="8"/>
              </w:rPr>
            </w:pPr>
          </w:p>
        </w:tc>
        <w:tc>
          <w:tcPr>
            <w:tcW w:w="649" w:type="pct"/>
            <w:vAlign w:val="center"/>
          </w:tcPr>
          <w:p w14:paraId="59C55C1F" w14:textId="77777777" w:rsidR="00587444" w:rsidRPr="00587444" w:rsidRDefault="00587444" w:rsidP="00587444">
            <w:pPr>
              <w:tabs>
                <w:tab w:val="right" w:pos="1202"/>
              </w:tabs>
              <w:suppressAutoHyphens w:val="0"/>
              <w:autoSpaceDN/>
              <w:ind w:left="113" w:hanging="113"/>
              <w:jc w:val="right"/>
              <w:outlineLvl w:val="0"/>
              <w:rPr>
                <w:rFonts w:ascii="Arial" w:eastAsia="Calibri" w:hAnsi="Arial" w:cs="Arial"/>
                <w:bCs/>
                <w:sz w:val="8"/>
                <w:szCs w:val="8"/>
              </w:rPr>
            </w:pPr>
          </w:p>
        </w:tc>
        <w:tc>
          <w:tcPr>
            <w:tcW w:w="726" w:type="pct"/>
            <w:vAlign w:val="center"/>
          </w:tcPr>
          <w:p w14:paraId="036C0242" w14:textId="77777777" w:rsidR="00587444" w:rsidRPr="00587444" w:rsidRDefault="00587444" w:rsidP="00587444">
            <w:pPr>
              <w:tabs>
                <w:tab w:val="right" w:pos="1202"/>
              </w:tabs>
              <w:suppressAutoHyphens w:val="0"/>
              <w:autoSpaceDN/>
              <w:ind w:left="113" w:hanging="113"/>
              <w:jc w:val="right"/>
              <w:outlineLvl w:val="0"/>
              <w:rPr>
                <w:rFonts w:ascii="Arial" w:eastAsia="Calibri" w:hAnsi="Arial" w:cs="Arial"/>
                <w:bCs/>
                <w:sz w:val="8"/>
                <w:szCs w:val="8"/>
              </w:rPr>
            </w:pPr>
          </w:p>
        </w:tc>
        <w:tc>
          <w:tcPr>
            <w:tcW w:w="642" w:type="pct"/>
            <w:vAlign w:val="center"/>
          </w:tcPr>
          <w:p w14:paraId="619F4E27" w14:textId="77777777" w:rsidR="00587444" w:rsidRPr="00587444" w:rsidRDefault="00587444" w:rsidP="00587444">
            <w:pPr>
              <w:tabs>
                <w:tab w:val="right" w:pos="1202"/>
              </w:tabs>
              <w:suppressAutoHyphens w:val="0"/>
              <w:autoSpaceDN/>
              <w:ind w:left="113" w:hanging="113"/>
              <w:jc w:val="right"/>
              <w:outlineLvl w:val="0"/>
              <w:rPr>
                <w:rFonts w:ascii="Arial" w:eastAsia="Calibri" w:hAnsi="Arial" w:cs="Arial"/>
                <w:bCs/>
                <w:sz w:val="8"/>
                <w:szCs w:val="8"/>
              </w:rPr>
            </w:pPr>
          </w:p>
        </w:tc>
      </w:tr>
      <w:tr w:rsidR="00587444" w:rsidRPr="00587444" w14:paraId="6D72EF4D" w14:textId="77777777" w:rsidTr="00DD69E7">
        <w:trPr>
          <w:cantSplit/>
          <w:trHeight w:val="253"/>
          <w:tblHeader/>
        </w:trPr>
        <w:tc>
          <w:tcPr>
            <w:tcW w:w="2295" w:type="pct"/>
            <w:vAlign w:val="bottom"/>
          </w:tcPr>
          <w:p w14:paraId="307FF1C4" w14:textId="77777777" w:rsidR="00587444" w:rsidRPr="00587444"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Financial intermediation and insurance </w:t>
            </w:r>
          </w:p>
        </w:tc>
        <w:tc>
          <w:tcPr>
            <w:tcW w:w="688" w:type="pct"/>
            <w:tcBorders>
              <w:top w:val="nil"/>
              <w:left w:val="nil"/>
              <w:bottom w:val="nil"/>
              <w:right w:val="nil"/>
            </w:tcBorders>
            <w:shd w:val="clear" w:color="auto" w:fill="auto"/>
            <w:vAlign w:val="bottom"/>
          </w:tcPr>
          <w:p w14:paraId="376AA9F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9,871,949</w:t>
            </w:r>
          </w:p>
        </w:tc>
        <w:tc>
          <w:tcPr>
            <w:tcW w:w="649" w:type="pct"/>
            <w:tcBorders>
              <w:top w:val="nil"/>
              <w:left w:val="nil"/>
              <w:bottom w:val="nil"/>
              <w:right w:val="nil"/>
            </w:tcBorders>
            <w:shd w:val="clear" w:color="auto" w:fill="auto"/>
            <w:vAlign w:val="bottom"/>
          </w:tcPr>
          <w:p w14:paraId="1206762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w:t>
            </w:r>
          </w:p>
        </w:tc>
        <w:tc>
          <w:tcPr>
            <w:tcW w:w="726" w:type="pct"/>
            <w:tcBorders>
              <w:top w:val="nil"/>
              <w:left w:val="nil"/>
              <w:bottom w:val="nil"/>
              <w:right w:val="nil"/>
            </w:tcBorders>
            <w:shd w:val="clear" w:color="auto" w:fill="auto"/>
            <w:vAlign w:val="bottom"/>
          </w:tcPr>
          <w:p w14:paraId="1CF00D84"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10,801,196</w:t>
            </w:r>
          </w:p>
        </w:tc>
        <w:tc>
          <w:tcPr>
            <w:tcW w:w="642" w:type="pct"/>
            <w:tcBorders>
              <w:top w:val="nil"/>
              <w:left w:val="nil"/>
              <w:bottom w:val="nil"/>
              <w:right w:val="nil"/>
            </w:tcBorders>
            <w:shd w:val="clear" w:color="auto" w:fill="auto"/>
            <w:vAlign w:val="bottom"/>
          </w:tcPr>
          <w:p w14:paraId="404335C7"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w:t>
            </w:r>
          </w:p>
        </w:tc>
      </w:tr>
      <w:tr w:rsidR="00587444" w:rsidRPr="00587444" w14:paraId="02A8BC9F" w14:textId="77777777" w:rsidTr="00DD69E7">
        <w:trPr>
          <w:cantSplit/>
          <w:trHeight w:val="253"/>
          <w:tblHeader/>
        </w:trPr>
        <w:tc>
          <w:tcPr>
            <w:tcW w:w="2295" w:type="pct"/>
            <w:vAlign w:val="bottom"/>
          </w:tcPr>
          <w:p w14:paraId="6D535F45" w14:textId="77777777" w:rsidR="00587444" w:rsidRPr="00587444"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Water and electric supply and other infrastructure </w:t>
            </w:r>
          </w:p>
        </w:tc>
        <w:tc>
          <w:tcPr>
            <w:tcW w:w="688" w:type="pct"/>
            <w:tcBorders>
              <w:top w:val="nil"/>
              <w:left w:val="nil"/>
              <w:bottom w:val="nil"/>
              <w:right w:val="nil"/>
            </w:tcBorders>
            <w:shd w:val="clear" w:color="auto" w:fill="auto"/>
            <w:vAlign w:val="bottom"/>
          </w:tcPr>
          <w:p w14:paraId="327AD57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2,547,152</w:t>
            </w:r>
          </w:p>
        </w:tc>
        <w:tc>
          <w:tcPr>
            <w:tcW w:w="649" w:type="pct"/>
            <w:tcBorders>
              <w:top w:val="nil"/>
              <w:left w:val="nil"/>
              <w:bottom w:val="nil"/>
              <w:right w:val="nil"/>
            </w:tcBorders>
            <w:shd w:val="clear" w:color="auto" w:fill="auto"/>
            <w:vAlign w:val="bottom"/>
          </w:tcPr>
          <w:p w14:paraId="2D5C631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1,061,323</w:t>
            </w:r>
          </w:p>
        </w:tc>
        <w:tc>
          <w:tcPr>
            <w:tcW w:w="726" w:type="pct"/>
            <w:tcBorders>
              <w:top w:val="nil"/>
              <w:left w:val="nil"/>
              <w:bottom w:val="nil"/>
              <w:right w:val="nil"/>
            </w:tcBorders>
            <w:shd w:val="clear" w:color="auto" w:fill="auto"/>
            <w:vAlign w:val="bottom"/>
          </w:tcPr>
          <w:p w14:paraId="4C5244EB"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1,925,271</w:t>
            </w:r>
          </w:p>
        </w:tc>
        <w:tc>
          <w:tcPr>
            <w:tcW w:w="642" w:type="pct"/>
            <w:tcBorders>
              <w:top w:val="nil"/>
              <w:left w:val="nil"/>
              <w:bottom w:val="nil"/>
              <w:right w:val="nil"/>
            </w:tcBorders>
            <w:shd w:val="clear" w:color="auto" w:fill="auto"/>
            <w:vAlign w:val="bottom"/>
          </w:tcPr>
          <w:p w14:paraId="0B2AC3DD"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973,895</w:t>
            </w:r>
          </w:p>
        </w:tc>
      </w:tr>
      <w:tr w:rsidR="00587444" w:rsidRPr="00587444" w14:paraId="65B80A78" w14:textId="77777777" w:rsidTr="00DD69E7">
        <w:trPr>
          <w:cantSplit/>
          <w:trHeight w:val="253"/>
          <w:tblHeader/>
        </w:trPr>
        <w:tc>
          <w:tcPr>
            <w:tcW w:w="2295" w:type="pct"/>
            <w:vAlign w:val="bottom"/>
          </w:tcPr>
          <w:p w14:paraId="1E58D03E" w14:textId="77777777" w:rsidR="00587444" w:rsidRPr="00587444"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Tourism</w:t>
            </w:r>
          </w:p>
        </w:tc>
        <w:tc>
          <w:tcPr>
            <w:tcW w:w="688" w:type="pct"/>
            <w:tcBorders>
              <w:top w:val="nil"/>
              <w:left w:val="nil"/>
              <w:bottom w:val="nil"/>
              <w:right w:val="nil"/>
            </w:tcBorders>
            <w:shd w:val="clear" w:color="auto" w:fill="auto"/>
            <w:vAlign w:val="bottom"/>
          </w:tcPr>
          <w:p w14:paraId="5039A20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3,376,218</w:t>
            </w:r>
          </w:p>
        </w:tc>
        <w:tc>
          <w:tcPr>
            <w:tcW w:w="649" w:type="pct"/>
            <w:tcBorders>
              <w:top w:val="nil"/>
              <w:left w:val="nil"/>
              <w:bottom w:val="nil"/>
              <w:right w:val="nil"/>
            </w:tcBorders>
            <w:shd w:val="clear" w:color="auto" w:fill="auto"/>
            <w:vAlign w:val="bottom"/>
          </w:tcPr>
          <w:p w14:paraId="4E08FC2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236,823</w:t>
            </w:r>
          </w:p>
        </w:tc>
        <w:tc>
          <w:tcPr>
            <w:tcW w:w="726" w:type="pct"/>
            <w:tcBorders>
              <w:top w:val="nil"/>
              <w:left w:val="nil"/>
              <w:bottom w:val="nil"/>
              <w:right w:val="nil"/>
            </w:tcBorders>
            <w:shd w:val="clear" w:color="auto" w:fill="auto"/>
            <w:vAlign w:val="bottom"/>
          </w:tcPr>
          <w:p w14:paraId="49BDF3FA"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3,648,347</w:t>
            </w:r>
          </w:p>
        </w:tc>
        <w:tc>
          <w:tcPr>
            <w:tcW w:w="642" w:type="pct"/>
            <w:tcBorders>
              <w:top w:val="nil"/>
              <w:left w:val="nil"/>
              <w:bottom w:val="nil"/>
              <w:right w:val="nil"/>
            </w:tcBorders>
            <w:shd w:val="clear" w:color="auto" w:fill="auto"/>
            <w:vAlign w:val="bottom"/>
          </w:tcPr>
          <w:p w14:paraId="1745A42D"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657,484</w:t>
            </w:r>
          </w:p>
        </w:tc>
      </w:tr>
      <w:tr w:rsidR="00587444" w:rsidRPr="00587444" w14:paraId="192C936E" w14:textId="77777777" w:rsidTr="00DD69E7">
        <w:trPr>
          <w:cantSplit/>
          <w:trHeight w:val="253"/>
          <w:tblHeader/>
        </w:trPr>
        <w:tc>
          <w:tcPr>
            <w:tcW w:w="2295" w:type="pct"/>
            <w:vAlign w:val="bottom"/>
          </w:tcPr>
          <w:p w14:paraId="6076794E" w14:textId="77777777" w:rsidR="00587444" w:rsidRPr="00587444"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Transport, warehousing and connections</w:t>
            </w:r>
          </w:p>
        </w:tc>
        <w:tc>
          <w:tcPr>
            <w:tcW w:w="688" w:type="pct"/>
            <w:tcBorders>
              <w:top w:val="nil"/>
              <w:left w:val="nil"/>
              <w:bottom w:val="nil"/>
              <w:right w:val="nil"/>
            </w:tcBorders>
            <w:shd w:val="clear" w:color="auto" w:fill="auto"/>
            <w:vAlign w:val="bottom"/>
          </w:tcPr>
          <w:p w14:paraId="3C188BC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2,932,413</w:t>
            </w:r>
          </w:p>
        </w:tc>
        <w:tc>
          <w:tcPr>
            <w:tcW w:w="649" w:type="pct"/>
            <w:tcBorders>
              <w:top w:val="nil"/>
              <w:left w:val="nil"/>
              <w:bottom w:val="nil"/>
              <w:right w:val="nil"/>
            </w:tcBorders>
            <w:shd w:val="clear" w:color="auto" w:fill="auto"/>
            <w:vAlign w:val="bottom"/>
          </w:tcPr>
          <w:p w14:paraId="14B69D4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541,407</w:t>
            </w:r>
          </w:p>
        </w:tc>
        <w:tc>
          <w:tcPr>
            <w:tcW w:w="726" w:type="pct"/>
            <w:tcBorders>
              <w:top w:val="nil"/>
              <w:left w:val="nil"/>
              <w:bottom w:val="nil"/>
              <w:right w:val="nil"/>
            </w:tcBorders>
            <w:shd w:val="clear" w:color="auto" w:fill="auto"/>
            <w:vAlign w:val="bottom"/>
          </w:tcPr>
          <w:p w14:paraId="3CBD1DD6"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2,495,987</w:t>
            </w:r>
          </w:p>
        </w:tc>
        <w:tc>
          <w:tcPr>
            <w:tcW w:w="642" w:type="pct"/>
            <w:tcBorders>
              <w:top w:val="nil"/>
              <w:left w:val="nil"/>
              <w:bottom w:val="nil"/>
              <w:right w:val="nil"/>
            </w:tcBorders>
            <w:shd w:val="clear" w:color="auto" w:fill="auto"/>
            <w:vAlign w:val="bottom"/>
          </w:tcPr>
          <w:p w14:paraId="3E2E818B"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481,074</w:t>
            </w:r>
          </w:p>
        </w:tc>
      </w:tr>
      <w:tr w:rsidR="00587444" w:rsidRPr="00587444" w14:paraId="2AD19454" w14:textId="77777777" w:rsidTr="00DD69E7">
        <w:trPr>
          <w:cantSplit/>
          <w:trHeight w:val="253"/>
          <w:tblHeader/>
        </w:trPr>
        <w:tc>
          <w:tcPr>
            <w:tcW w:w="2295" w:type="pct"/>
            <w:vAlign w:val="bottom"/>
          </w:tcPr>
          <w:p w14:paraId="5E20A5F2" w14:textId="77777777" w:rsidR="00587444" w:rsidRPr="00587444" w:rsidDel="00FF5490"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Shipbuilding </w:t>
            </w:r>
          </w:p>
        </w:tc>
        <w:tc>
          <w:tcPr>
            <w:tcW w:w="688" w:type="pct"/>
            <w:tcBorders>
              <w:top w:val="nil"/>
              <w:left w:val="nil"/>
              <w:bottom w:val="nil"/>
              <w:right w:val="nil"/>
            </w:tcBorders>
            <w:shd w:val="clear" w:color="auto" w:fill="auto"/>
            <w:vAlign w:val="bottom"/>
          </w:tcPr>
          <w:p w14:paraId="258B1D9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1,496,753</w:t>
            </w:r>
          </w:p>
        </w:tc>
        <w:tc>
          <w:tcPr>
            <w:tcW w:w="649" w:type="pct"/>
            <w:tcBorders>
              <w:top w:val="nil"/>
              <w:left w:val="nil"/>
              <w:bottom w:val="nil"/>
              <w:right w:val="nil"/>
            </w:tcBorders>
            <w:shd w:val="clear" w:color="auto" w:fill="auto"/>
            <w:vAlign w:val="bottom"/>
          </w:tcPr>
          <w:p w14:paraId="64FAFA2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42,393</w:t>
            </w:r>
          </w:p>
        </w:tc>
        <w:tc>
          <w:tcPr>
            <w:tcW w:w="726" w:type="pct"/>
            <w:tcBorders>
              <w:top w:val="nil"/>
              <w:left w:val="nil"/>
              <w:bottom w:val="nil"/>
              <w:right w:val="nil"/>
            </w:tcBorders>
            <w:shd w:val="clear" w:color="auto" w:fill="auto"/>
            <w:vAlign w:val="bottom"/>
          </w:tcPr>
          <w:p w14:paraId="0B5C85C4"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1,481,871</w:t>
            </w:r>
          </w:p>
        </w:tc>
        <w:tc>
          <w:tcPr>
            <w:tcW w:w="642" w:type="pct"/>
            <w:tcBorders>
              <w:top w:val="nil"/>
              <w:left w:val="nil"/>
              <w:bottom w:val="nil"/>
              <w:right w:val="nil"/>
            </w:tcBorders>
            <w:shd w:val="clear" w:color="auto" w:fill="auto"/>
            <w:vAlign w:val="bottom"/>
          </w:tcPr>
          <w:p w14:paraId="77845584"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88,546</w:t>
            </w:r>
          </w:p>
        </w:tc>
      </w:tr>
      <w:tr w:rsidR="00587444" w:rsidRPr="00587444" w14:paraId="03A90F04" w14:textId="77777777" w:rsidTr="00DD69E7">
        <w:trPr>
          <w:cantSplit/>
          <w:trHeight w:val="253"/>
          <w:tblHeader/>
        </w:trPr>
        <w:tc>
          <w:tcPr>
            <w:tcW w:w="2295" w:type="pct"/>
            <w:vAlign w:val="bottom"/>
          </w:tcPr>
          <w:p w14:paraId="4534193B" w14:textId="77777777" w:rsidR="00587444" w:rsidRPr="00587444" w:rsidDel="00FF5490"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Agriculture and fishery </w:t>
            </w:r>
          </w:p>
        </w:tc>
        <w:tc>
          <w:tcPr>
            <w:tcW w:w="688" w:type="pct"/>
            <w:tcBorders>
              <w:top w:val="nil"/>
              <w:left w:val="nil"/>
              <w:bottom w:val="nil"/>
              <w:right w:val="nil"/>
            </w:tcBorders>
            <w:shd w:val="clear" w:color="auto" w:fill="auto"/>
            <w:vAlign w:val="bottom"/>
          </w:tcPr>
          <w:p w14:paraId="7AB8C78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589,593</w:t>
            </w:r>
          </w:p>
        </w:tc>
        <w:tc>
          <w:tcPr>
            <w:tcW w:w="649" w:type="pct"/>
            <w:tcBorders>
              <w:top w:val="nil"/>
              <w:left w:val="nil"/>
              <w:bottom w:val="nil"/>
              <w:right w:val="nil"/>
            </w:tcBorders>
            <w:shd w:val="clear" w:color="auto" w:fill="auto"/>
            <w:vAlign w:val="bottom"/>
          </w:tcPr>
          <w:p w14:paraId="1DCC1AE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95,102</w:t>
            </w:r>
          </w:p>
        </w:tc>
        <w:tc>
          <w:tcPr>
            <w:tcW w:w="726" w:type="pct"/>
            <w:tcBorders>
              <w:top w:val="nil"/>
              <w:left w:val="nil"/>
              <w:bottom w:val="nil"/>
              <w:right w:val="nil"/>
            </w:tcBorders>
            <w:shd w:val="clear" w:color="auto" w:fill="auto"/>
            <w:vAlign w:val="bottom"/>
          </w:tcPr>
          <w:p w14:paraId="3A30F00D"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595,896</w:t>
            </w:r>
          </w:p>
        </w:tc>
        <w:tc>
          <w:tcPr>
            <w:tcW w:w="642" w:type="pct"/>
            <w:tcBorders>
              <w:top w:val="nil"/>
              <w:left w:val="nil"/>
              <w:bottom w:val="nil"/>
              <w:right w:val="nil"/>
            </w:tcBorders>
            <w:shd w:val="clear" w:color="auto" w:fill="auto"/>
            <w:vAlign w:val="bottom"/>
          </w:tcPr>
          <w:p w14:paraId="0275FE4A"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164,701</w:t>
            </w:r>
          </w:p>
        </w:tc>
      </w:tr>
      <w:tr w:rsidR="00587444" w:rsidRPr="00587444" w14:paraId="2CCDD70C" w14:textId="77777777" w:rsidTr="00DD69E7">
        <w:trPr>
          <w:cantSplit/>
          <w:trHeight w:val="253"/>
          <w:tblHeader/>
        </w:trPr>
        <w:tc>
          <w:tcPr>
            <w:tcW w:w="2295" w:type="pct"/>
            <w:vAlign w:val="bottom"/>
          </w:tcPr>
          <w:p w14:paraId="07B1AD6D" w14:textId="77777777" w:rsidR="00587444" w:rsidRPr="00587444" w:rsidDel="00FF5490"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Food industry</w:t>
            </w:r>
          </w:p>
        </w:tc>
        <w:tc>
          <w:tcPr>
            <w:tcW w:w="688" w:type="pct"/>
            <w:tcBorders>
              <w:top w:val="nil"/>
              <w:left w:val="nil"/>
              <w:bottom w:val="nil"/>
              <w:right w:val="nil"/>
            </w:tcBorders>
            <w:shd w:val="clear" w:color="auto" w:fill="auto"/>
            <w:vAlign w:val="bottom"/>
          </w:tcPr>
          <w:p w14:paraId="4656F61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857,510</w:t>
            </w:r>
          </w:p>
        </w:tc>
        <w:tc>
          <w:tcPr>
            <w:tcW w:w="649" w:type="pct"/>
            <w:tcBorders>
              <w:top w:val="nil"/>
              <w:left w:val="nil"/>
              <w:bottom w:val="nil"/>
              <w:right w:val="nil"/>
            </w:tcBorders>
            <w:shd w:val="clear" w:color="auto" w:fill="auto"/>
            <w:vAlign w:val="bottom"/>
          </w:tcPr>
          <w:p w14:paraId="112AE61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121,047</w:t>
            </w:r>
          </w:p>
        </w:tc>
        <w:tc>
          <w:tcPr>
            <w:tcW w:w="726" w:type="pct"/>
            <w:tcBorders>
              <w:top w:val="nil"/>
              <w:left w:val="nil"/>
              <w:bottom w:val="nil"/>
              <w:right w:val="nil"/>
            </w:tcBorders>
            <w:shd w:val="clear" w:color="auto" w:fill="auto"/>
            <w:vAlign w:val="bottom"/>
          </w:tcPr>
          <w:p w14:paraId="35C8B85F"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966,803</w:t>
            </w:r>
          </w:p>
        </w:tc>
        <w:tc>
          <w:tcPr>
            <w:tcW w:w="642" w:type="pct"/>
            <w:tcBorders>
              <w:top w:val="nil"/>
              <w:left w:val="nil"/>
              <w:bottom w:val="nil"/>
              <w:right w:val="nil"/>
            </w:tcBorders>
            <w:shd w:val="clear" w:color="auto" w:fill="auto"/>
            <w:vAlign w:val="bottom"/>
          </w:tcPr>
          <w:p w14:paraId="7055F611"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192,409</w:t>
            </w:r>
          </w:p>
        </w:tc>
      </w:tr>
      <w:tr w:rsidR="00587444" w:rsidRPr="00587444" w14:paraId="283F56DA" w14:textId="77777777" w:rsidTr="00DD69E7">
        <w:trPr>
          <w:cantSplit/>
          <w:trHeight w:val="253"/>
          <w:tblHeader/>
        </w:trPr>
        <w:tc>
          <w:tcPr>
            <w:tcW w:w="2295" w:type="pct"/>
            <w:vAlign w:val="bottom"/>
          </w:tcPr>
          <w:p w14:paraId="6FBFBE59" w14:textId="77777777" w:rsidR="00587444" w:rsidRPr="00587444" w:rsidDel="00FF5490"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sz w:val="18"/>
                <w:szCs w:val="18"/>
              </w:rPr>
              <w:t xml:space="preserve">Construction industry </w:t>
            </w:r>
          </w:p>
        </w:tc>
        <w:tc>
          <w:tcPr>
            <w:tcW w:w="688" w:type="pct"/>
            <w:tcBorders>
              <w:top w:val="nil"/>
              <w:left w:val="nil"/>
              <w:bottom w:val="nil"/>
              <w:right w:val="nil"/>
            </w:tcBorders>
            <w:shd w:val="clear" w:color="auto" w:fill="auto"/>
            <w:vAlign w:val="bottom"/>
          </w:tcPr>
          <w:p w14:paraId="29F6581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2,702,238</w:t>
            </w:r>
          </w:p>
        </w:tc>
        <w:tc>
          <w:tcPr>
            <w:tcW w:w="649" w:type="pct"/>
            <w:tcBorders>
              <w:top w:val="nil"/>
              <w:left w:val="nil"/>
              <w:bottom w:val="nil"/>
              <w:right w:val="nil"/>
            </w:tcBorders>
            <w:shd w:val="clear" w:color="auto" w:fill="auto"/>
            <w:vAlign w:val="bottom"/>
          </w:tcPr>
          <w:p w14:paraId="6A9F2D1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82,792</w:t>
            </w:r>
          </w:p>
        </w:tc>
        <w:tc>
          <w:tcPr>
            <w:tcW w:w="726" w:type="pct"/>
            <w:tcBorders>
              <w:top w:val="nil"/>
              <w:left w:val="nil"/>
              <w:bottom w:val="nil"/>
              <w:right w:val="nil"/>
            </w:tcBorders>
            <w:shd w:val="clear" w:color="auto" w:fill="auto"/>
            <w:vAlign w:val="bottom"/>
          </w:tcPr>
          <w:p w14:paraId="7790F1E3"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2,836,306</w:t>
            </w:r>
          </w:p>
        </w:tc>
        <w:tc>
          <w:tcPr>
            <w:tcW w:w="642" w:type="pct"/>
            <w:tcBorders>
              <w:top w:val="nil"/>
              <w:left w:val="nil"/>
              <w:bottom w:val="nil"/>
              <w:right w:val="nil"/>
            </w:tcBorders>
            <w:shd w:val="clear" w:color="auto" w:fill="auto"/>
            <w:vAlign w:val="bottom"/>
          </w:tcPr>
          <w:p w14:paraId="0E9C9651"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124,321</w:t>
            </w:r>
          </w:p>
        </w:tc>
      </w:tr>
      <w:tr w:rsidR="00587444" w:rsidRPr="00587444" w14:paraId="3F1C86D2" w14:textId="77777777" w:rsidTr="00DD69E7">
        <w:trPr>
          <w:cantSplit/>
          <w:trHeight w:val="253"/>
          <w:tblHeader/>
        </w:trPr>
        <w:tc>
          <w:tcPr>
            <w:tcW w:w="2295" w:type="pct"/>
            <w:vAlign w:val="bottom"/>
          </w:tcPr>
          <w:p w14:paraId="20F3B03B" w14:textId="77777777" w:rsidR="00587444" w:rsidRPr="00587444" w:rsidDel="00FF5490"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sz w:val="18"/>
                <w:szCs w:val="18"/>
              </w:rPr>
              <w:t>Other industry</w:t>
            </w:r>
          </w:p>
        </w:tc>
        <w:tc>
          <w:tcPr>
            <w:tcW w:w="688" w:type="pct"/>
            <w:tcBorders>
              <w:top w:val="nil"/>
              <w:left w:val="nil"/>
              <w:bottom w:val="nil"/>
              <w:right w:val="nil"/>
            </w:tcBorders>
            <w:shd w:val="clear" w:color="auto" w:fill="auto"/>
            <w:vAlign w:val="bottom"/>
          </w:tcPr>
          <w:p w14:paraId="3FBC826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897,496</w:t>
            </w:r>
          </w:p>
        </w:tc>
        <w:tc>
          <w:tcPr>
            <w:tcW w:w="649" w:type="pct"/>
            <w:tcBorders>
              <w:top w:val="nil"/>
              <w:left w:val="nil"/>
              <w:bottom w:val="nil"/>
              <w:right w:val="nil"/>
            </w:tcBorders>
            <w:shd w:val="clear" w:color="auto" w:fill="auto"/>
            <w:vAlign w:val="bottom"/>
          </w:tcPr>
          <w:p w14:paraId="3DE3816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206,503</w:t>
            </w:r>
          </w:p>
        </w:tc>
        <w:tc>
          <w:tcPr>
            <w:tcW w:w="726" w:type="pct"/>
            <w:tcBorders>
              <w:top w:val="nil"/>
              <w:left w:val="nil"/>
              <w:bottom w:val="nil"/>
              <w:right w:val="nil"/>
            </w:tcBorders>
            <w:shd w:val="clear" w:color="auto" w:fill="auto"/>
            <w:vAlign w:val="bottom"/>
          </w:tcPr>
          <w:p w14:paraId="5BE76FE1"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587,382</w:t>
            </w:r>
          </w:p>
        </w:tc>
        <w:tc>
          <w:tcPr>
            <w:tcW w:w="642" w:type="pct"/>
            <w:tcBorders>
              <w:top w:val="nil"/>
              <w:left w:val="nil"/>
              <w:bottom w:val="nil"/>
              <w:right w:val="nil"/>
            </w:tcBorders>
            <w:shd w:val="clear" w:color="auto" w:fill="auto"/>
            <w:vAlign w:val="bottom"/>
          </w:tcPr>
          <w:p w14:paraId="58BBFE6D"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198,880</w:t>
            </w:r>
          </w:p>
        </w:tc>
      </w:tr>
      <w:tr w:rsidR="00587444" w:rsidRPr="00587444" w14:paraId="4303A405" w14:textId="77777777" w:rsidTr="00DD69E7">
        <w:trPr>
          <w:cantSplit/>
          <w:trHeight w:val="253"/>
          <w:tblHeader/>
        </w:trPr>
        <w:tc>
          <w:tcPr>
            <w:tcW w:w="2295" w:type="pct"/>
            <w:vAlign w:val="bottom"/>
          </w:tcPr>
          <w:p w14:paraId="446CFD5B" w14:textId="77777777" w:rsidR="00587444" w:rsidRPr="00587444" w:rsidDel="00FF5490"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Public administration </w:t>
            </w:r>
          </w:p>
        </w:tc>
        <w:tc>
          <w:tcPr>
            <w:tcW w:w="688" w:type="pct"/>
            <w:tcBorders>
              <w:top w:val="nil"/>
              <w:left w:val="nil"/>
              <w:bottom w:val="nil"/>
              <w:right w:val="nil"/>
            </w:tcBorders>
            <w:shd w:val="clear" w:color="auto" w:fill="auto"/>
            <w:vAlign w:val="bottom"/>
          </w:tcPr>
          <w:p w14:paraId="2440687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2,698,642</w:t>
            </w:r>
          </w:p>
        </w:tc>
        <w:tc>
          <w:tcPr>
            <w:tcW w:w="649" w:type="pct"/>
            <w:tcBorders>
              <w:top w:val="nil"/>
              <w:left w:val="nil"/>
              <w:bottom w:val="nil"/>
              <w:right w:val="nil"/>
            </w:tcBorders>
            <w:shd w:val="clear" w:color="auto" w:fill="auto"/>
            <w:vAlign w:val="bottom"/>
          </w:tcPr>
          <w:p w14:paraId="55F3B5D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2,695,462</w:t>
            </w:r>
          </w:p>
        </w:tc>
        <w:tc>
          <w:tcPr>
            <w:tcW w:w="726" w:type="pct"/>
            <w:tcBorders>
              <w:top w:val="nil"/>
              <w:left w:val="nil"/>
              <w:bottom w:val="nil"/>
              <w:right w:val="nil"/>
            </w:tcBorders>
            <w:shd w:val="clear" w:color="auto" w:fill="auto"/>
            <w:vAlign w:val="bottom"/>
          </w:tcPr>
          <w:p w14:paraId="01936CBF"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2,863,812</w:t>
            </w:r>
          </w:p>
        </w:tc>
        <w:tc>
          <w:tcPr>
            <w:tcW w:w="642" w:type="pct"/>
            <w:tcBorders>
              <w:top w:val="nil"/>
              <w:left w:val="nil"/>
              <w:bottom w:val="nil"/>
              <w:right w:val="nil"/>
            </w:tcBorders>
            <w:shd w:val="clear" w:color="auto" w:fill="auto"/>
            <w:vAlign w:val="bottom"/>
          </w:tcPr>
          <w:p w14:paraId="0FBF8FFD"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2,860,466</w:t>
            </w:r>
          </w:p>
        </w:tc>
      </w:tr>
      <w:tr w:rsidR="00587444" w:rsidRPr="00587444" w14:paraId="67C18D3D" w14:textId="77777777" w:rsidTr="00DD69E7">
        <w:trPr>
          <w:cantSplit/>
          <w:trHeight w:val="253"/>
          <w:tblHeader/>
        </w:trPr>
        <w:tc>
          <w:tcPr>
            <w:tcW w:w="2295" w:type="pct"/>
            <w:vAlign w:val="bottom"/>
          </w:tcPr>
          <w:p w14:paraId="7DB82140" w14:textId="77777777" w:rsidR="00587444" w:rsidRPr="00587444" w:rsidDel="00FF5490"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Education </w:t>
            </w:r>
          </w:p>
        </w:tc>
        <w:tc>
          <w:tcPr>
            <w:tcW w:w="688" w:type="pct"/>
            <w:tcBorders>
              <w:top w:val="nil"/>
              <w:left w:val="nil"/>
              <w:bottom w:val="nil"/>
              <w:right w:val="nil"/>
            </w:tcBorders>
            <w:shd w:val="clear" w:color="auto" w:fill="auto"/>
            <w:vAlign w:val="bottom"/>
          </w:tcPr>
          <w:p w14:paraId="1BE09D1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66,234</w:t>
            </w:r>
          </w:p>
        </w:tc>
        <w:tc>
          <w:tcPr>
            <w:tcW w:w="649" w:type="pct"/>
            <w:tcBorders>
              <w:top w:val="nil"/>
              <w:left w:val="nil"/>
              <w:bottom w:val="nil"/>
              <w:right w:val="nil"/>
            </w:tcBorders>
            <w:shd w:val="clear" w:color="auto" w:fill="auto"/>
            <w:vAlign w:val="bottom"/>
          </w:tcPr>
          <w:p w14:paraId="12F6891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63,440</w:t>
            </w:r>
          </w:p>
        </w:tc>
        <w:tc>
          <w:tcPr>
            <w:tcW w:w="726" w:type="pct"/>
            <w:tcBorders>
              <w:top w:val="nil"/>
              <w:left w:val="nil"/>
              <w:bottom w:val="nil"/>
              <w:right w:val="nil"/>
            </w:tcBorders>
            <w:shd w:val="clear" w:color="auto" w:fill="auto"/>
            <w:vAlign w:val="bottom"/>
          </w:tcPr>
          <w:p w14:paraId="16F6111F"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32,142</w:t>
            </w:r>
          </w:p>
        </w:tc>
        <w:tc>
          <w:tcPr>
            <w:tcW w:w="642" w:type="pct"/>
            <w:tcBorders>
              <w:top w:val="nil"/>
              <w:left w:val="nil"/>
              <w:bottom w:val="nil"/>
              <w:right w:val="nil"/>
            </w:tcBorders>
            <w:shd w:val="clear" w:color="auto" w:fill="auto"/>
            <w:vAlign w:val="bottom"/>
          </w:tcPr>
          <w:p w14:paraId="78FB9CF6"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29,789</w:t>
            </w:r>
          </w:p>
        </w:tc>
      </w:tr>
      <w:tr w:rsidR="00587444" w:rsidRPr="00587444" w14:paraId="6D52DF12" w14:textId="77777777" w:rsidTr="00DD69E7">
        <w:trPr>
          <w:cantSplit/>
          <w:trHeight w:val="253"/>
          <w:tblHeader/>
        </w:trPr>
        <w:tc>
          <w:tcPr>
            <w:tcW w:w="2295" w:type="pct"/>
            <w:vAlign w:val="bottom"/>
          </w:tcPr>
          <w:p w14:paraId="07545161" w14:textId="77777777" w:rsidR="00587444" w:rsidRPr="00587444"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Manufacture of basic metals and fabricated metal products, except machinery and equipment </w:t>
            </w:r>
          </w:p>
        </w:tc>
        <w:tc>
          <w:tcPr>
            <w:tcW w:w="688" w:type="pct"/>
            <w:tcBorders>
              <w:top w:val="nil"/>
              <w:left w:val="nil"/>
              <w:bottom w:val="nil"/>
              <w:right w:val="nil"/>
            </w:tcBorders>
            <w:shd w:val="clear" w:color="auto" w:fill="auto"/>
            <w:vAlign w:val="bottom"/>
          </w:tcPr>
          <w:p w14:paraId="48C29F2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390,864</w:t>
            </w:r>
          </w:p>
        </w:tc>
        <w:tc>
          <w:tcPr>
            <w:tcW w:w="649" w:type="pct"/>
            <w:tcBorders>
              <w:top w:val="nil"/>
              <w:left w:val="nil"/>
              <w:bottom w:val="nil"/>
              <w:right w:val="nil"/>
            </w:tcBorders>
            <w:shd w:val="clear" w:color="auto" w:fill="auto"/>
            <w:vAlign w:val="bottom"/>
          </w:tcPr>
          <w:p w14:paraId="6D60556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52,017</w:t>
            </w:r>
          </w:p>
        </w:tc>
        <w:tc>
          <w:tcPr>
            <w:tcW w:w="726" w:type="pct"/>
            <w:tcBorders>
              <w:top w:val="nil"/>
              <w:left w:val="nil"/>
              <w:bottom w:val="nil"/>
              <w:right w:val="nil"/>
            </w:tcBorders>
            <w:shd w:val="clear" w:color="auto" w:fill="auto"/>
            <w:vAlign w:val="bottom"/>
          </w:tcPr>
          <w:p w14:paraId="23B895FA"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281,312</w:t>
            </w:r>
          </w:p>
        </w:tc>
        <w:tc>
          <w:tcPr>
            <w:tcW w:w="642" w:type="pct"/>
            <w:tcBorders>
              <w:top w:val="nil"/>
              <w:left w:val="nil"/>
              <w:bottom w:val="nil"/>
              <w:right w:val="nil"/>
            </w:tcBorders>
            <w:shd w:val="clear" w:color="auto" w:fill="auto"/>
            <w:vAlign w:val="bottom"/>
          </w:tcPr>
          <w:p w14:paraId="7B5E5795"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46,808</w:t>
            </w:r>
          </w:p>
        </w:tc>
      </w:tr>
      <w:tr w:rsidR="00587444" w:rsidRPr="00587444" w14:paraId="1160F337" w14:textId="77777777" w:rsidTr="00DD69E7">
        <w:trPr>
          <w:cantSplit/>
          <w:trHeight w:val="253"/>
          <w:tblHeader/>
        </w:trPr>
        <w:tc>
          <w:tcPr>
            <w:tcW w:w="2295" w:type="pct"/>
            <w:vAlign w:val="bottom"/>
          </w:tcPr>
          <w:p w14:paraId="1F449DC4" w14:textId="77777777" w:rsidR="00587444" w:rsidRPr="00587444" w:rsidRDefault="00587444" w:rsidP="00587444">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 xml:space="preserve">Manufacture of chemicals and chemical products </w:t>
            </w:r>
          </w:p>
        </w:tc>
        <w:tc>
          <w:tcPr>
            <w:tcW w:w="688" w:type="pct"/>
            <w:tcBorders>
              <w:top w:val="nil"/>
              <w:left w:val="nil"/>
              <w:bottom w:val="nil"/>
              <w:right w:val="nil"/>
            </w:tcBorders>
            <w:shd w:val="clear" w:color="auto" w:fill="auto"/>
            <w:vAlign w:val="bottom"/>
          </w:tcPr>
          <w:p w14:paraId="2665352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50,772</w:t>
            </w:r>
          </w:p>
        </w:tc>
        <w:tc>
          <w:tcPr>
            <w:tcW w:w="649" w:type="pct"/>
            <w:tcBorders>
              <w:top w:val="nil"/>
              <w:left w:val="nil"/>
              <w:bottom w:val="nil"/>
              <w:right w:val="nil"/>
            </w:tcBorders>
            <w:shd w:val="clear" w:color="auto" w:fill="auto"/>
            <w:vAlign w:val="bottom"/>
          </w:tcPr>
          <w:p w14:paraId="13B507E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1,949</w:t>
            </w:r>
          </w:p>
        </w:tc>
        <w:tc>
          <w:tcPr>
            <w:tcW w:w="726" w:type="pct"/>
            <w:tcBorders>
              <w:top w:val="nil"/>
              <w:left w:val="nil"/>
              <w:bottom w:val="nil"/>
              <w:right w:val="nil"/>
            </w:tcBorders>
            <w:shd w:val="clear" w:color="auto" w:fill="auto"/>
            <w:vAlign w:val="bottom"/>
          </w:tcPr>
          <w:p w14:paraId="22FD6152"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86,151</w:t>
            </w:r>
          </w:p>
        </w:tc>
        <w:tc>
          <w:tcPr>
            <w:tcW w:w="642" w:type="pct"/>
            <w:tcBorders>
              <w:top w:val="nil"/>
              <w:left w:val="nil"/>
              <w:bottom w:val="nil"/>
              <w:right w:val="nil"/>
            </w:tcBorders>
            <w:shd w:val="clear" w:color="auto" w:fill="auto"/>
            <w:vAlign w:val="bottom"/>
          </w:tcPr>
          <w:p w14:paraId="6D8B3AF0"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22,533</w:t>
            </w:r>
          </w:p>
        </w:tc>
      </w:tr>
      <w:tr w:rsidR="00587444" w:rsidRPr="00587444" w14:paraId="3F4A4846" w14:textId="77777777" w:rsidTr="00DD69E7">
        <w:trPr>
          <w:cantSplit/>
          <w:trHeight w:val="253"/>
          <w:tblHeader/>
        </w:trPr>
        <w:tc>
          <w:tcPr>
            <w:tcW w:w="2295" w:type="pct"/>
            <w:vAlign w:val="bottom"/>
          </w:tcPr>
          <w:p w14:paraId="4F5F395B" w14:textId="77777777" w:rsidR="00587444" w:rsidRPr="00587444"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Manufacture of other non-metallic mineral products</w:t>
            </w:r>
          </w:p>
        </w:tc>
        <w:tc>
          <w:tcPr>
            <w:tcW w:w="688" w:type="pct"/>
            <w:tcBorders>
              <w:top w:val="nil"/>
              <w:left w:val="nil"/>
              <w:bottom w:val="nil"/>
              <w:right w:val="nil"/>
            </w:tcBorders>
            <w:shd w:val="clear" w:color="auto" w:fill="auto"/>
            <w:vAlign w:val="bottom"/>
          </w:tcPr>
          <w:p w14:paraId="132830A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250,825</w:t>
            </w:r>
          </w:p>
        </w:tc>
        <w:tc>
          <w:tcPr>
            <w:tcW w:w="649" w:type="pct"/>
            <w:tcBorders>
              <w:top w:val="nil"/>
              <w:left w:val="nil"/>
              <w:bottom w:val="nil"/>
              <w:right w:val="nil"/>
            </w:tcBorders>
            <w:shd w:val="clear" w:color="auto" w:fill="auto"/>
            <w:vAlign w:val="bottom"/>
          </w:tcPr>
          <w:p w14:paraId="07DE386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119,955</w:t>
            </w:r>
          </w:p>
        </w:tc>
        <w:tc>
          <w:tcPr>
            <w:tcW w:w="726" w:type="pct"/>
            <w:tcBorders>
              <w:top w:val="nil"/>
              <w:left w:val="nil"/>
              <w:bottom w:val="nil"/>
              <w:right w:val="nil"/>
            </w:tcBorders>
            <w:shd w:val="clear" w:color="auto" w:fill="auto"/>
            <w:vAlign w:val="bottom"/>
          </w:tcPr>
          <w:p w14:paraId="73278051"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171,322</w:t>
            </w:r>
          </w:p>
        </w:tc>
        <w:tc>
          <w:tcPr>
            <w:tcW w:w="642" w:type="pct"/>
            <w:tcBorders>
              <w:top w:val="nil"/>
              <w:left w:val="nil"/>
              <w:bottom w:val="nil"/>
              <w:right w:val="nil"/>
            </w:tcBorders>
            <w:shd w:val="clear" w:color="auto" w:fill="auto"/>
            <w:vAlign w:val="bottom"/>
          </w:tcPr>
          <w:p w14:paraId="4D7291A5"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126,355</w:t>
            </w:r>
          </w:p>
        </w:tc>
      </w:tr>
      <w:tr w:rsidR="00587444" w:rsidRPr="00587444" w14:paraId="4AB8EB5F" w14:textId="77777777" w:rsidTr="00DD69E7">
        <w:trPr>
          <w:cantSplit/>
          <w:trHeight w:val="253"/>
          <w:tblHeader/>
        </w:trPr>
        <w:tc>
          <w:tcPr>
            <w:tcW w:w="2295" w:type="pct"/>
            <w:vAlign w:val="bottom"/>
          </w:tcPr>
          <w:p w14:paraId="1FC37D66" w14:textId="77777777" w:rsidR="00587444" w:rsidRPr="00587444"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Pharmaceutical industry </w:t>
            </w:r>
          </w:p>
        </w:tc>
        <w:tc>
          <w:tcPr>
            <w:tcW w:w="688" w:type="pct"/>
            <w:tcBorders>
              <w:top w:val="nil"/>
              <w:left w:val="nil"/>
              <w:bottom w:val="nil"/>
              <w:right w:val="nil"/>
            </w:tcBorders>
            <w:shd w:val="clear" w:color="auto" w:fill="auto"/>
            <w:vAlign w:val="bottom"/>
          </w:tcPr>
          <w:p w14:paraId="29AE6EF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537,233</w:t>
            </w:r>
          </w:p>
        </w:tc>
        <w:tc>
          <w:tcPr>
            <w:tcW w:w="649" w:type="pct"/>
            <w:tcBorders>
              <w:top w:val="nil"/>
              <w:left w:val="nil"/>
              <w:bottom w:val="nil"/>
              <w:right w:val="nil"/>
            </w:tcBorders>
            <w:shd w:val="clear" w:color="auto" w:fill="auto"/>
            <w:vAlign w:val="bottom"/>
          </w:tcPr>
          <w:p w14:paraId="23E413C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98,885</w:t>
            </w:r>
          </w:p>
        </w:tc>
        <w:tc>
          <w:tcPr>
            <w:tcW w:w="726" w:type="pct"/>
            <w:tcBorders>
              <w:top w:val="nil"/>
              <w:left w:val="nil"/>
              <w:bottom w:val="nil"/>
              <w:right w:val="nil"/>
            </w:tcBorders>
            <w:shd w:val="clear" w:color="auto" w:fill="auto"/>
            <w:vAlign w:val="bottom"/>
          </w:tcPr>
          <w:p w14:paraId="7FD7CAE0"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414,615</w:t>
            </w:r>
          </w:p>
        </w:tc>
        <w:tc>
          <w:tcPr>
            <w:tcW w:w="642" w:type="pct"/>
            <w:tcBorders>
              <w:top w:val="nil"/>
              <w:left w:val="nil"/>
              <w:bottom w:val="nil"/>
              <w:right w:val="nil"/>
            </w:tcBorders>
            <w:shd w:val="clear" w:color="auto" w:fill="auto"/>
            <w:vAlign w:val="bottom"/>
          </w:tcPr>
          <w:p w14:paraId="148EF0CF"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377,809</w:t>
            </w:r>
          </w:p>
        </w:tc>
      </w:tr>
      <w:tr w:rsidR="00587444" w:rsidRPr="00587444" w14:paraId="437392D9" w14:textId="77777777" w:rsidTr="00DD69E7">
        <w:trPr>
          <w:cantSplit/>
          <w:trHeight w:val="253"/>
          <w:tblHeader/>
        </w:trPr>
        <w:tc>
          <w:tcPr>
            <w:tcW w:w="2295" w:type="pct"/>
            <w:vAlign w:val="bottom"/>
          </w:tcPr>
          <w:p w14:paraId="15678FEA" w14:textId="77777777" w:rsidR="00175A91"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Manufacture of motor vehicles, trailers and </w:t>
            </w:r>
          </w:p>
          <w:p w14:paraId="332A81DD" w14:textId="52FED614" w:rsidR="00587444" w:rsidRPr="00587444"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semi - trailers</w:t>
            </w:r>
          </w:p>
        </w:tc>
        <w:tc>
          <w:tcPr>
            <w:tcW w:w="688" w:type="pct"/>
            <w:tcBorders>
              <w:top w:val="nil"/>
              <w:left w:val="nil"/>
              <w:bottom w:val="nil"/>
              <w:right w:val="nil"/>
            </w:tcBorders>
            <w:shd w:val="clear" w:color="auto" w:fill="auto"/>
            <w:vAlign w:val="bottom"/>
          </w:tcPr>
          <w:p w14:paraId="00C4D9C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115,047</w:t>
            </w:r>
          </w:p>
        </w:tc>
        <w:tc>
          <w:tcPr>
            <w:tcW w:w="649" w:type="pct"/>
            <w:tcBorders>
              <w:top w:val="nil"/>
              <w:left w:val="nil"/>
              <w:bottom w:val="nil"/>
              <w:right w:val="nil"/>
            </w:tcBorders>
            <w:shd w:val="clear" w:color="auto" w:fill="auto"/>
            <w:vAlign w:val="bottom"/>
          </w:tcPr>
          <w:p w14:paraId="1AE3364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3,208</w:t>
            </w:r>
          </w:p>
        </w:tc>
        <w:tc>
          <w:tcPr>
            <w:tcW w:w="726" w:type="pct"/>
            <w:tcBorders>
              <w:top w:val="nil"/>
              <w:left w:val="nil"/>
              <w:right w:val="nil"/>
            </w:tcBorders>
            <w:shd w:val="clear" w:color="auto" w:fill="auto"/>
            <w:vAlign w:val="bottom"/>
          </w:tcPr>
          <w:p w14:paraId="19A62839"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lang w:val="hr-HR"/>
              </w:rPr>
            </w:pPr>
            <w:r w:rsidRPr="00587444">
              <w:rPr>
                <w:rFonts w:ascii="Arial" w:hAnsi="Arial" w:cs="Arial"/>
                <w:sz w:val="18"/>
                <w:szCs w:val="18"/>
              </w:rPr>
              <w:t>266,004</w:t>
            </w:r>
          </w:p>
        </w:tc>
        <w:tc>
          <w:tcPr>
            <w:tcW w:w="642" w:type="pct"/>
            <w:tcBorders>
              <w:top w:val="nil"/>
              <w:left w:val="nil"/>
              <w:right w:val="nil"/>
            </w:tcBorders>
            <w:shd w:val="clear" w:color="auto" w:fill="auto"/>
            <w:vAlign w:val="bottom"/>
          </w:tcPr>
          <w:p w14:paraId="1661DD4D" w14:textId="77777777" w:rsidR="00587444" w:rsidRPr="00587444" w:rsidRDefault="00587444" w:rsidP="00587444">
            <w:pPr>
              <w:tabs>
                <w:tab w:val="right" w:pos="1202"/>
              </w:tabs>
              <w:suppressAutoHyphens w:val="0"/>
              <w:autoSpaceDN/>
              <w:jc w:val="right"/>
              <w:outlineLvl w:val="0"/>
              <w:rPr>
                <w:rFonts w:ascii="Arial" w:hAnsi="Arial" w:cs="Arial"/>
                <w:color w:val="000000"/>
                <w:sz w:val="18"/>
                <w:szCs w:val="18"/>
                <w:lang w:val="hr-HR"/>
              </w:rPr>
            </w:pPr>
            <w:r w:rsidRPr="00587444">
              <w:rPr>
                <w:rFonts w:ascii="Arial" w:hAnsi="Arial" w:cs="Arial"/>
                <w:sz w:val="18"/>
                <w:szCs w:val="18"/>
              </w:rPr>
              <w:t>17,411</w:t>
            </w:r>
          </w:p>
        </w:tc>
      </w:tr>
      <w:tr w:rsidR="00587444" w:rsidRPr="00587444" w14:paraId="19FAB11E" w14:textId="77777777" w:rsidTr="00DD69E7">
        <w:trPr>
          <w:cantSplit/>
          <w:trHeight w:val="253"/>
          <w:tblHeader/>
        </w:trPr>
        <w:tc>
          <w:tcPr>
            <w:tcW w:w="2295" w:type="pct"/>
          </w:tcPr>
          <w:p w14:paraId="43D5760C" w14:textId="77777777" w:rsidR="00587444" w:rsidRPr="00587444"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Manufacture of electrical equipment</w:t>
            </w:r>
          </w:p>
        </w:tc>
        <w:tc>
          <w:tcPr>
            <w:tcW w:w="688" w:type="pct"/>
            <w:tcBorders>
              <w:top w:val="nil"/>
              <w:left w:val="nil"/>
              <w:bottom w:val="nil"/>
              <w:right w:val="nil"/>
            </w:tcBorders>
            <w:shd w:val="clear" w:color="auto" w:fill="auto"/>
            <w:vAlign w:val="bottom"/>
          </w:tcPr>
          <w:p w14:paraId="6F1E790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120,131</w:t>
            </w:r>
          </w:p>
        </w:tc>
        <w:tc>
          <w:tcPr>
            <w:tcW w:w="649" w:type="pct"/>
            <w:tcBorders>
              <w:top w:val="nil"/>
              <w:left w:val="nil"/>
              <w:bottom w:val="nil"/>
              <w:right w:val="nil"/>
            </w:tcBorders>
            <w:shd w:val="clear" w:color="auto" w:fill="auto"/>
            <w:vAlign w:val="bottom"/>
          </w:tcPr>
          <w:p w14:paraId="7F161D7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56,688</w:t>
            </w:r>
          </w:p>
        </w:tc>
        <w:tc>
          <w:tcPr>
            <w:tcW w:w="726" w:type="pct"/>
            <w:tcBorders>
              <w:top w:val="nil"/>
              <w:left w:val="nil"/>
              <w:bottom w:val="nil"/>
              <w:right w:val="nil"/>
            </w:tcBorders>
            <w:shd w:val="clear" w:color="auto" w:fill="auto"/>
            <w:vAlign w:val="bottom"/>
          </w:tcPr>
          <w:p w14:paraId="0E755E49" w14:textId="77777777" w:rsidR="00587444" w:rsidRPr="00587444" w:rsidRDefault="00587444" w:rsidP="00587444">
            <w:pPr>
              <w:tabs>
                <w:tab w:val="right" w:pos="1202"/>
              </w:tabs>
              <w:suppressAutoHyphens w:val="0"/>
              <w:autoSpaceDN/>
              <w:jc w:val="right"/>
              <w:outlineLvl w:val="0"/>
              <w:rPr>
                <w:rFonts w:ascii="Arial" w:hAnsi="Arial" w:cs="Arial"/>
                <w:sz w:val="18"/>
                <w:szCs w:val="18"/>
              </w:rPr>
            </w:pPr>
            <w:r w:rsidRPr="00587444">
              <w:rPr>
                <w:rFonts w:ascii="Arial" w:hAnsi="Arial" w:cs="Arial"/>
                <w:sz w:val="18"/>
                <w:szCs w:val="18"/>
              </w:rPr>
              <w:t>78,975</w:t>
            </w:r>
          </w:p>
        </w:tc>
        <w:tc>
          <w:tcPr>
            <w:tcW w:w="642" w:type="pct"/>
            <w:tcBorders>
              <w:top w:val="nil"/>
              <w:left w:val="nil"/>
              <w:bottom w:val="nil"/>
              <w:right w:val="nil"/>
            </w:tcBorders>
            <w:shd w:val="clear" w:color="auto" w:fill="auto"/>
            <w:vAlign w:val="bottom"/>
          </w:tcPr>
          <w:p w14:paraId="47AEDA54" w14:textId="77777777" w:rsidR="00587444" w:rsidRPr="00587444" w:rsidRDefault="00587444" w:rsidP="00587444">
            <w:pPr>
              <w:tabs>
                <w:tab w:val="right" w:pos="1202"/>
              </w:tabs>
              <w:suppressAutoHyphens w:val="0"/>
              <w:autoSpaceDN/>
              <w:jc w:val="right"/>
              <w:outlineLvl w:val="0"/>
              <w:rPr>
                <w:rFonts w:ascii="Arial" w:hAnsi="Arial" w:cs="Arial"/>
                <w:sz w:val="18"/>
                <w:szCs w:val="18"/>
              </w:rPr>
            </w:pPr>
            <w:r w:rsidRPr="00587444">
              <w:rPr>
                <w:rFonts w:ascii="Arial" w:hAnsi="Arial" w:cs="Arial"/>
                <w:sz w:val="18"/>
                <w:szCs w:val="18"/>
              </w:rPr>
              <w:t>24,512</w:t>
            </w:r>
          </w:p>
        </w:tc>
      </w:tr>
      <w:tr w:rsidR="00587444" w:rsidRPr="00587444" w14:paraId="6D75B18F" w14:textId="77777777" w:rsidTr="00DD69E7">
        <w:trPr>
          <w:cantSplit/>
          <w:trHeight w:val="253"/>
          <w:tblHeader/>
        </w:trPr>
        <w:tc>
          <w:tcPr>
            <w:tcW w:w="2295" w:type="pct"/>
          </w:tcPr>
          <w:p w14:paraId="41699541" w14:textId="77777777" w:rsidR="00587444" w:rsidRPr="00587444"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Manufacture of machinery and equipment</w:t>
            </w:r>
          </w:p>
        </w:tc>
        <w:tc>
          <w:tcPr>
            <w:tcW w:w="688" w:type="pct"/>
            <w:tcBorders>
              <w:top w:val="nil"/>
              <w:left w:val="nil"/>
              <w:right w:val="nil"/>
            </w:tcBorders>
            <w:shd w:val="clear" w:color="auto" w:fill="auto"/>
            <w:vAlign w:val="bottom"/>
          </w:tcPr>
          <w:p w14:paraId="0A8FB1C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150,558</w:t>
            </w:r>
          </w:p>
        </w:tc>
        <w:tc>
          <w:tcPr>
            <w:tcW w:w="649" w:type="pct"/>
            <w:tcBorders>
              <w:top w:val="nil"/>
              <w:left w:val="nil"/>
              <w:right w:val="nil"/>
            </w:tcBorders>
            <w:shd w:val="clear" w:color="auto" w:fill="auto"/>
            <w:vAlign w:val="bottom"/>
          </w:tcPr>
          <w:p w14:paraId="45A4375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22,494</w:t>
            </w:r>
          </w:p>
        </w:tc>
        <w:tc>
          <w:tcPr>
            <w:tcW w:w="726" w:type="pct"/>
            <w:tcBorders>
              <w:top w:val="nil"/>
              <w:left w:val="nil"/>
              <w:bottom w:val="nil"/>
              <w:right w:val="nil"/>
            </w:tcBorders>
            <w:shd w:val="clear" w:color="auto" w:fill="auto"/>
            <w:vAlign w:val="bottom"/>
          </w:tcPr>
          <w:p w14:paraId="47EB33AF" w14:textId="77777777" w:rsidR="00587444" w:rsidRPr="00587444" w:rsidRDefault="00587444" w:rsidP="00587444">
            <w:pPr>
              <w:tabs>
                <w:tab w:val="right" w:pos="1202"/>
              </w:tabs>
              <w:suppressAutoHyphens w:val="0"/>
              <w:autoSpaceDN/>
              <w:jc w:val="right"/>
              <w:outlineLvl w:val="0"/>
              <w:rPr>
                <w:rFonts w:ascii="Arial" w:hAnsi="Arial" w:cs="Arial"/>
                <w:sz w:val="18"/>
                <w:szCs w:val="18"/>
              </w:rPr>
            </w:pPr>
            <w:r w:rsidRPr="00587444">
              <w:rPr>
                <w:rFonts w:ascii="Arial" w:hAnsi="Arial" w:cs="Arial"/>
                <w:sz w:val="18"/>
                <w:szCs w:val="18"/>
              </w:rPr>
              <w:t>63,954</w:t>
            </w:r>
          </w:p>
        </w:tc>
        <w:tc>
          <w:tcPr>
            <w:tcW w:w="642" w:type="pct"/>
            <w:tcBorders>
              <w:top w:val="nil"/>
              <w:left w:val="nil"/>
              <w:bottom w:val="nil"/>
              <w:right w:val="nil"/>
            </w:tcBorders>
            <w:shd w:val="clear" w:color="auto" w:fill="auto"/>
            <w:vAlign w:val="bottom"/>
          </w:tcPr>
          <w:p w14:paraId="252A93D2" w14:textId="77777777" w:rsidR="00587444" w:rsidRPr="00587444" w:rsidRDefault="00587444" w:rsidP="00587444">
            <w:pPr>
              <w:tabs>
                <w:tab w:val="right" w:pos="1202"/>
              </w:tabs>
              <w:suppressAutoHyphens w:val="0"/>
              <w:autoSpaceDN/>
              <w:jc w:val="right"/>
              <w:outlineLvl w:val="0"/>
              <w:rPr>
                <w:rFonts w:ascii="Arial" w:hAnsi="Arial" w:cs="Arial"/>
                <w:sz w:val="18"/>
                <w:szCs w:val="18"/>
              </w:rPr>
            </w:pPr>
            <w:r w:rsidRPr="00587444">
              <w:rPr>
                <w:rFonts w:ascii="Arial" w:hAnsi="Arial" w:cs="Arial"/>
                <w:sz w:val="18"/>
                <w:szCs w:val="18"/>
              </w:rPr>
              <w:t>16,644</w:t>
            </w:r>
          </w:p>
        </w:tc>
      </w:tr>
      <w:tr w:rsidR="00587444" w:rsidRPr="00587444" w14:paraId="7452F462" w14:textId="77777777" w:rsidTr="00DD69E7">
        <w:trPr>
          <w:cantSplit/>
          <w:trHeight w:val="253"/>
          <w:tblHeader/>
        </w:trPr>
        <w:tc>
          <w:tcPr>
            <w:tcW w:w="2295" w:type="pct"/>
            <w:vAlign w:val="bottom"/>
          </w:tcPr>
          <w:p w14:paraId="5729A5B9" w14:textId="77777777" w:rsidR="00587444" w:rsidRPr="00587444" w:rsidRDefault="00587444" w:rsidP="00587444">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Other </w:t>
            </w:r>
          </w:p>
        </w:tc>
        <w:tc>
          <w:tcPr>
            <w:tcW w:w="688" w:type="pct"/>
            <w:tcBorders>
              <w:top w:val="nil"/>
              <w:left w:val="nil"/>
              <w:bottom w:val="single" w:sz="4" w:space="0" w:color="auto"/>
              <w:right w:val="nil"/>
            </w:tcBorders>
            <w:shd w:val="clear" w:color="auto" w:fill="auto"/>
            <w:vAlign w:val="bottom"/>
          </w:tcPr>
          <w:p w14:paraId="73C77DE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1,974,937</w:t>
            </w:r>
          </w:p>
        </w:tc>
        <w:tc>
          <w:tcPr>
            <w:tcW w:w="649" w:type="pct"/>
            <w:tcBorders>
              <w:top w:val="nil"/>
              <w:left w:val="nil"/>
              <w:bottom w:val="single" w:sz="4" w:space="0" w:color="auto"/>
              <w:right w:val="nil"/>
            </w:tcBorders>
            <w:shd w:val="clear" w:color="auto" w:fill="auto"/>
            <w:vAlign w:val="bottom"/>
          </w:tcPr>
          <w:p w14:paraId="4735DCA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473,387</w:t>
            </w:r>
          </w:p>
        </w:tc>
        <w:tc>
          <w:tcPr>
            <w:tcW w:w="726" w:type="pct"/>
            <w:tcBorders>
              <w:top w:val="nil"/>
              <w:left w:val="nil"/>
              <w:bottom w:val="single" w:sz="4" w:space="0" w:color="auto"/>
              <w:right w:val="nil"/>
            </w:tcBorders>
            <w:shd w:val="clear" w:color="auto" w:fill="auto"/>
            <w:vAlign w:val="bottom"/>
          </w:tcPr>
          <w:p w14:paraId="785E2B42"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2,135,163</w:t>
            </w:r>
          </w:p>
        </w:tc>
        <w:tc>
          <w:tcPr>
            <w:tcW w:w="642" w:type="pct"/>
            <w:tcBorders>
              <w:top w:val="nil"/>
              <w:left w:val="nil"/>
              <w:bottom w:val="single" w:sz="4" w:space="0" w:color="auto"/>
              <w:right w:val="nil"/>
            </w:tcBorders>
            <w:shd w:val="clear" w:color="auto" w:fill="auto"/>
            <w:vAlign w:val="bottom"/>
          </w:tcPr>
          <w:p w14:paraId="4FAE7F35" w14:textId="77777777" w:rsidR="00587444" w:rsidRPr="00587444" w:rsidRDefault="00587444" w:rsidP="00587444">
            <w:pPr>
              <w:tabs>
                <w:tab w:val="right" w:pos="1202"/>
              </w:tabs>
              <w:suppressAutoHyphens w:val="0"/>
              <w:autoSpaceDN/>
              <w:jc w:val="right"/>
              <w:outlineLvl w:val="0"/>
              <w:rPr>
                <w:rFonts w:ascii="Arial" w:eastAsia="Calibri" w:hAnsi="Arial" w:cs="Arial"/>
                <w:sz w:val="18"/>
                <w:szCs w:val="18"/>
              </w:rPr>
            </w:pPr>
            <w:r w:rsidRPr="00587444">
              <w:rPr>
                <w:rFonts w:ascii="Arial" w:hAnsi="Arial" w:cs="Arial"/>
                <w:sz w:val="18"/>
                <w:szCs w:val="18"/>
              </w:rPr>
              <w:t>289,893</w:t>
            </w:r>
          </w:p>
        </w:tc>
      </w:tr>
      <w:tr w:rsidR="00587444" w:rsidRPr="00587444" w14:paraId="2BE8844E" w14:textId="77777777" w:rsidTr="00DD69E7">
        <w:tblPrEx>
          <w:tblCellMar>
            <w:left w:w="31" w:type="dxa"/>
            <w:right w:w="31" w:type="dxa"/>
          </w:tblCellMar>
        </w:tblPrEx>
        <w:trPr>
          <w:cantSplit/>
          <w:trHeight w:val="340"/>
          <w:tblHeader/>
        </w:trPr>
        <w:tc>
          <w:tcPr>
            <w:tcW w:w="2295" w:type="pct"/>
            <w:vAlign w:val="bottom"/>
          </w:tcPr>
          <w:p w14:paraId="2D765587" w14:textId="77777777" w:rsidR="00587444" w:rsidRPr="00587444" w:rsidRDefault="00587444" w:rsidP="00587444">
            <w:pPr>
              <w:suppressAutoHyphens w:val="0"/>
              <w:autoSpaceDN/>
              <w:spacing w:line="280" w:lineRule="exact"/>
              <w:rPr>
                <w:rFonts w:ascii="Arial" w:eastAsia="Calibri" w:hAnsi="Arial" w:cs="Arial"/>
                <w:b/>
                <w:bCs/>
                <w:sz w:val="18"/>
                <w:szCs w:val="18"/>
              </w:rPr>
            </w:pPr>
            <w:r w:rsidRPr="00587444">
              <w:rPr>
                <w:rFonts w:ascii="Arial" w:eastAsia="Calibri" w:hAnsi="Arial" w:cs="Arial"/>
                <w:b/>
                <w:bCs/>
                <w:sz w:val="18"/>
                <w:szCs w:val="18"/>
              </w:rPr>
              <w:t xml:space="preserve">Total credit risk exposure </w:t>
            </w:r>
          </w:p>
        </w:tc>
        <w:tc>
          <w:tcPr>
            <w:tcW w:w="688" w:type="pct"/>
            <w:tcBorders>
              <w:top w:val="single" w:sz="4" w:space="0" w:color="auto"/>
              <w:left w:val="nil"/>
              <w:bottom w:val="single" w:sz="12" w:space="0" w:color="auto"/>
              <w:right w:val="nil"/>
            </w:tcBorders>
            <w:shd w:val="clear" w:color="auto" w:fill="auto"/>
            <w:vAlign w:val="bottom"/>
          </w:tcPr>
          <w:p w14:paraId="2FBBF4AF"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r w:rsidRPr="00587444">
              <w:rPr>
                <w:rFonts w:ascii="Arial" w:hAnsi="Arial" w:cs="Arial"/>
                <w:b/>
                <w:bCs/>
                <w:noProof/>
                <w:color w:val="000000"/>
                <w:sz w:val="18"/>
                <w:szCs w:val="18"/>
                <w:lang w:val="hr-HR" w:eastAsia="hr-HR"/>
              </w:rPr>
              <w:t>31,626,565</w:t>
            </w:r>
          </w:p>
        </w:tc>
        <w:tc>
          <w:tcPr>
            <w:tcW w:w="649" w:type="pct"/>
            <w:tcBorders>
              <w:top w:val="single" w:sz="4" w:space="0" w:color="auto"/>
              <w:left w:val="nil"/>
              <w:bottom w:val="single" w:sz="12" w:space="0" w:color="auto"/>
              <w:right w:val="nil"/>
            </w:tcBorders>
            <w:shd w:val="clear" w:color="auto" w:fill="auto"/>
            <w:vAlign w:val="bottom"/>
          </w:tcPr>
          <w:p w14:paraId="58A6B2D7"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r w:rsidRPr="00587444">
              <w:rPr>
                <w:rFonts w:ascii="Arial" w:hAnsi="Arial" w:cs="Arial"/>
                <w:b/>
                <w:bCs/>
                <w:noProof/>
                <w:color w:val="000000"/>
                <w:sz w:val="18"/>
                <w:szCs w:val="18"/>
                <w:lang w:val="hr-HR" w:eastAsia="hr-HR"/>
              </w:rPr>
              <w:t>5,974,875</w:t>
            </w:r>
          </w:p>
        </w:tc>
        <w:tc>
          <w:tcPr>
            <w:tcW w:w="726" w:type="pct"/>
            <w:tcBorders>
              <w:top w:val="single" w:sz="4" w:space="0" w:color="auto"/>
              <w:left w:val="nil"/>
              <w:bottom w:val="single" w:sz="12" w:space="0" w:color="auto"/>
              <w:right w:val="nil"/>
            </w:tcBorders>
            <w:shd w:val="clear" w:color="auto" w:fill="auto"/>
            <w:vAlign w:val="bottom"/>
          </w:tcPr>
          <w:p w14:paraId="0E27D712"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lang w:eastAsia="hr-HR"/>
              </w:rPr>
            </w:pPr>
            <w:r w:rsidRPr="00587444">
              <w:rPr>
                <w:rFonts w:ascii="Arial" w:hAnsi="Arial" w:cs="Arial"/>
                <w:b/>
                <w:bCs/>
                <w:sz w:val="18"/>
                <w:szCs w:val="18"/>
              </w:rPr>
              <w:t>31,732,509</w:t>
            </w:r>
          </w:p>
        </w:tc>
        <w:tc>
          <w:tcPr>
            <w:tcW w:w="642" w:type="pct"/>
            <w:tcBorders>
              <w:top w:val="single" w:sz="4" w:space="0" w:color="auto"/>
              <w:left w:val="nil"/>
              <w:bottom w:val="single" w:sz="12" w:space="0" w:color="auto"/>
              <w:right w:val="nil"/>
            </w:tcBorders>
            <w:shd w:val="clear" w:color="auto" w:fill="auto"/>
            <w:vAlign w:val="bottom"/>
          </w:tcPr>
          <w:p w14:paraId="297295C6"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hAnsi="Arial" w:cs="Arial"/>
                <w:b/>
                <w:bCs/>
                <w:sz w:val="18"/>
                <w:szCs w:val="18"/>
              </w:rPr>
              <w:t>6,693,530</w:t>
            </w:r>
          </w:p>
        </w:tc>
      </w:tr>
    </w:tbl>
    <w:p w14:paraId="122860BB" w14:textId="77777777" w:rsidR="00587444" w:rsidRPr="00587444" w:rsidRDefault="00587444" w:rsidP="00587444">
      <w:pPr>
        <w:suppressAutoHyphens w:val="0"/>
        <w:autoSpaceDN/>
        <w:jc w:val="both"/>
        <w:rPr>
          <w:rFonts w:ascii="Arial" w:hAnsi="Arial" w:cs="Arial"/>
          <w:b/>
          <w:sz w:val="20"/>
          <w:szCs w:val="20"/>
          <w:lang w:val="en-GB"/>
        </w:rPr>
      </w:pPr>
    </w:p>
    <w:p w14:paraId="3213A8D9" w14:textId="77777777" w:rsidR="00587444" w:rsidRPr="00587444" w:rsidRDefault="00587444" w:rsidP="00587444">
      <w:pPr>
        <w:suppressAutoHyphens w:val="0"/>
        <w:autoSpaceDN/>
        <w:jc w:val="both"/>
        <w:rPr>
          <w:rFonts w:ascii="Arial" w:hAnsi="Arial" w:cs="Arial"/>
          <w:sz w:val="20"/>
          <w:szCs w:val="20"/>
          <w:lang w:val="en-GB"/>
        </w:rPr>
      </w:pPr>
    </w:p>
    <w:p w14:paraId="3741482D" w14:textId="77777777" w:rsidR="00587444" w:rsidRPr="00587444" w:rsidRDefault="00587444" w:rsidP="00587444">
      <w:pPr>
        <w:suppressAutoHyphens w:val="0"/>
        <w:autoSpaceDN/>
        <w:jc w:val="both"/>
        <w:rPr>
          <w:rFonts w:ascii="Arial" w:hAnsi="Arial" w:cs="Arial"/>
          <w:sz w:val="20"/>
          <w:szCs w:val="20"/>
        </w:rPr>
      </w:pPr>
      <w:r w:rsidRPr="00587444">
        <w:rPr>
          <w:rFonts w:ascii="Arial" w:hAnsi="Arial" w:cs="Arial"/>
          <w:sz w:val="20"/>
          <w:szCs w:val="20"/>
          <w:lang w:val="en-GB"/>
        </w:rPr>
        <w:t>Concentration of assets and guarantees and commitments according to industry for both years has been compiled in accordance with the National Classification of Activities 2007 (“NKD 2007”).</w:t>
      </w:r>
      <w:r w:rsidRPr="00587444">
        <w:rPr>
          <w:rFonts w:ascii="Arial" w:hAnsi="Arial" w:cs="Arial"/>
          <w:sz w:val="20"/>
          <w:szCs w:val="20"/>
        </w:rPr>
        <w:t xml:space="preserve"> </w:t>
      </w:r>
    </w:p>
    <w:p w14:paraId="5E7ABACA" w14:textId="77777777" w:rsidR="00587444" w:rsidRPr="00587444" w:rsidRDefault="00587444" w:rsidP="00587444">
      <w:pPr>
        <w:suppressAutoHyphens w:val="0"/>
        <w:autoSpaceDN/>
        <w:jc w:val="both"/>
        <w:rPr>
          <w:rFonts w:ascii="Arial" w:hAnsi="Arial" w:cs="Arial"/>
          <w:sz w:val="20"/>
          <w:szCs w:val="20"/>
          <w:lang w:val="en-GB"/>
        </w:rPr>
      </w:pPr>
    </w:p>
    <w:p w14:paraId="255CCC6C" w14:textId="77777777" w:rsidR="00587444" w:rsidRPr="00587444"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 xml:space="preserve">In the preparation of the Note, a combined approach is applied, which takes into consideration business activities of a debtor, retains the names of activities different from those in the National Classification of Activities and unites similar business activities. </w:t>
      </w:r>
    </w:p>
    <w:p w14:paraId="741B1A6E" w14:textId="77777777" w:rsidR="00587444" w:rsidRPr="00587444" w:rsidRDefault="00587444" w:rsidP="00587444">
      <w:pPr>
        <w:keepNext/>
        <w:suppressAutoHyphens w:val="0"/>
        <w:autoSpaceDN/>
        <w:spacing w:before="240" w:line="360" w:lineRule="auto"/>
        <w:jc w:val="both"/>
        <w:rPr>
          <w:rFonts w:ascii="Arial" w:hAnsi="Arial" w:cs="Arial"/>
          <w:b/>
          <w:bCs/>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4ED1EDF0" w14:textId="77777777" w:rsidR="00587444" w:rsidRPr="00587444" w:rsidRDefault="00587444" w:rsidP="00587444">
      <w:pPr>
        <w:keepNext/>
        <w:suppressAutoHyphens w:val="0"/>
        <w:autoSpaceDN/>
        <w:jc w:val="both"/>
        <w:rPr>
          <w:rFonts w:ascii="Arial" w:hAnsi="Arial" w:cs="Arial"/>
          <w:b/>
          <w:bCs/>
          <w:sz w:val="20"/>
          <w:szCs w:val="20"/>
          <w:lang w:val="en-GB"/>
        </w:rPr>
      </w:pPr>
    </w:p>
    <w:p w14:paraId="66A1F351"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6E00502D" w14:textId="77777777" w:rsidR="00587444" w:rsidRPr="00587444" w:rsidRDefault="00587444" w:rsidP="00587444">
      <w:pPr>
        <w:suppressAutoHyphens w:val="0"/>
        <w:autoSpaceDN/>
        <w:jc w:val="both"/>
        <w:rPr>
          <w:rFonts w:ascii="Arial" w:hAnsi="Arial" w:cs="Arial"/>
          <w:b/>
          <w:sz w:val="20"/>
          <w:szCs w:val="20"/>
          <w:lang w:val="en-GB"/>
        </w:rPr>
      </w:pPr>
    </w:p>
    <w:p w14:paraId="1D10C1D1"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26E81EF5" w14:textId="77777777" w:rsidR="00587444" w:rsidRPr="00587444" w:rsidRDefault="00587444" w:rsidP="00587444">
      <w:pPr>
        <w:suppressAutoHyphens w:val="0"/>
        <w:autoSpaceDN/>
        <w:jc w:val="both"/>
        <w:rPr>
          <w:rFonts w:ascii="Arial" w:hAnsi="Arial" w:cs="Arial"/>
          <w:b/>
          <w:sz w:val="20"/>
          <w:szCs w:val="20"/>
          <w:lang w:val="en-GB"/>
        </w:rPr>
      </w:pPr>
    </w:p>
    <w:p w14:paraId="31F8610A"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20AF93C7" w14:textId="77777777" w:rsidR="00587444" w:rsidRPr="00587444" w:rsidRDefault="00587444" w:rsidP="00587444">
      <w:pPr>
        <w:tabs>
          <w:tab w:val="right" w:pos="9129"/>
        </w:tabs>
        <w:suppressAutoHyphens w:val="0"/>
        <w:autoSpaceDN/>
        <w:jc w:val="both"/>
        <w:rPr>
          <w:rFonts w:ascii="Arial" w:hAnsi="Arial" w:cs="Arial"/>
          <w:bCs/>
          <w:sz w:val="20"/>
          <w:szCs w:val="20"/>
          <w:lang w:val="en-GB"/>
        </w:rPr>
      </w:pPr>
    </w:p>
    <w:p w14:paraId="0AC4F64A" w14:textId="1ED77D97" w:rsidR="00587444" w:rsidRPr="00587444" w:rsidRDefault="00587444" w:rsidP="007B030C">
      <w:pPr>
        <w:tabs>
          <w:tab w:val="right" w:pos="9129"/>
        </w:tabs>
        <w:autoSpaceDN/>
        <w:jc w:val="both"/>
        <w:rPr>
          <w:rFonts w:ascii="Arial" w:hAnsi="Arial" w:cs="Arial"/>
          <w:bCs/>
          <w:sz w:val="20"/>
          <w:szCs w:val="20"/>
          <w:lang w:val="en-GB"/>
        </w:rPr>
      </w:pPr>
      <w:r w:rsidRPr="00587444">
        <w:rPr>
          <w:rFonts w:ascii="Arial" w:hAnsi="Arial" w:cs="Arial"/>
          <w:bCs/>
          <w:sz w:val="20"/>
          <w:szCs w:val="20"/>
          <w:lang w:val="en-GB"/>
        </w:rPr>
        <w:t>The fair value of collateral for the Group in 2022 amounted to HRK 25,684,102 thousand (31 December 2020: HRK 25,043,147 thousand) and for the Bank HRK 25,651,690 thousand (31 December 2021: HRK 25,038,979 thousand).</w:t>
      </w:r>
    </w:p>
    <w:p w14:paraId="412922D0" w14:textId="77777777" w:rsidR="00587444" w:rsidRPr="00587444" w:rsidRDefault="00587444" w:rsidP="007B030C">
      <w:pPr>
        <w:tabs>
          <w:tab w:val="right" w:pos="9129"/>
        </w:tabs>
        <w:autoSpaceDN/>
        <w:jc w:val="both"/>
        <w:rPr>
          <w:rFonts w:ascii="Arial" w:hAnsi="Arial" w:cs="Arial"/>
          <w:bCs/>
          <w:sz w:val="20"/>
          <w:szCs w:val="20"/>
          <w:lang w:val="en-GB"/>
        </w:rPr>
      </w:pPr>
    </w:p>
    <w:p w14:paraId="62296CA9" w14:textId="77777777" w:rsidR="00587444" w:rsidRPr="00587444" w:rsidRDefault="00587444" w:rsidP="007B030C">
      <w:pPr>
        <w:tabs>
          <w:tab w:val="right" w:pos="9129"/>
        </w:tabs>
        <w:autoSpaceDN/>
        <w:jc w:val="both"/>
        <w:rPr>
          <w:rFonts w:ascii="Arial" w:hAnsi="Arial" w:cs="Arial"/>
          <w:bCs/>
          <w:sz w:val="20"/>
          <w:szCs w:val="20"/>
          <w:lang w:val="en-GB"/>
        </w:rPr>
      </w:pPr>
      <w:r w:rsidRPr="00587444">
        <w:rPr>
          <w:rFonts w:ascii="Arial" w:hAnsi="Arial" w:cs="Arial"/>
          <w:bCs/>
          <w:sz w:val="20"/>
          <w:szCs w:val="20"/>
          <w:lang w:val="en-GB"/>
        </w:rPr>
        <w:t xml:space="preserve">Net highest exposure as </w:t>
      </w:r>
      <w:proofErr w:type="gramStart"/>
      <w:r w:rsidRPr="00587444">
        <w:rPr>
          <w:rFonts w:ascii="Arial" w:hAnsi="Arial" w:cs="Arial"/>
          <w:bCs/>
          <w:sz w:val="20"/>
          <w:szCs w:val="20"/>
          <w:lang w:val="en-GB"/>
        </w:rPr>
        <w:t>at</w:t>
      </w:r>
      <w:proofErr w:type="gramEnd"/>
      <w:r w:rsidRPr="00587444">
        <w:rPr>
          <w:rFonts w:ascii="Arial" w:hAnsi="Arial" w:cs="Arial"/>
          <w:bCs/>
          <w:sz w:val="20"/>
          <w:szCs w:val="20"/>
          <w:lang w:val="en-GB"/>
        </w:rPr>
        <w:t xml:space="preserve"> 31 December 2022 for the Group amounted to HRK 6,023,570 thousand (31 December 2021: HRK 6,752,166 thousand) and for the Bank HRK 5,974,875 thousand (31 December 2021: HRK 6,693,530 thousand).</w:t>
      </w:r>
    </w:p>
    <w:p w14:paraId="6A3A8D32" w14:textId="77777777" w:rsidR="00587444" w:rsidRPr="00587444" w:rsidRDefault="00587444" w:rsidP="007B030C">
      <w:pPr>
        <w:tabs>
          <w:tab w:val="right" w:pos="9129"/>
        </w:tabs>
        <w:autoSpaceDN/>
        <w:jc w:val="both"/>
        <w:rPr>
          <w:rFonts w:ascii="Arial" w:hAnsi="Arial" w:cs="Arial"/>
          <w:bCs/>
          <w:sz w:val="20"/>
          <w:szCs w:val="20"/>
          <w:lang w:val="en-GB"/>
        </w:rPr>
      </w:pPr>
    </w:p>
    <w:p w14:paraId="6347B664" w14:textId="77777777" w:rsidR="00587444" w:rsidRPr="00587444" w:rsidRDefault="00587444" w:rsidP="007B030C">
      <w:pPr>
        <w:tabs>
          <w:tab w:val="right" w:pos="9129"/>
        </w:tabs>
        <w:autoSpaceDN/>
        <w:jc w:val="both"/>
        <w:rPr>
          <w:rFonts w:ascii="Arial" w:hAnsi="Arial" w:cs="Arial"/>
          <w:bCs/>
          <w:sz w:val="20"/>
          <w:szCs w:val="20"/>
          <w:lang w:val="en-GB"/>
        </w:rPr>
      </w:pPr>
      <w:r w:rsidRPr="00587444">
        <w:rPr>
          <w:rFonts w:ascii="Arial" w:hAnsi="Arial" w:cs="Arial"/>
          <w:bCs/>
          <w:sz w:val="20"/>
          <w:szCs w:val="20"/>
          <w:lang w:val="en-GB"/>
        </w:rPr>
        <w:t>In the total net highest exposure after the effect of mitigation through collateral received as of 31 December 2022, the credit risk of HRK 4,083,428 thousand for the Group (31 December 2021: HRK 4,361,928 thousand) and HRK 4,038,458 thousand for the Bank (31 December 2021: HRK 4,307,497 thousand) is not covered with ordinary collateral, but it relates to receivables and received funds from the Republic of Croatia</w:t>
      </w:r>
      <w:r w:rsidRPr="00587444">
        <w:rPr>
          <w:rFonts w:ascii="Arial" w:hAnsi="Arial" w:cs="Arial"/>
          <w:sz w:val="20"/>
          <w:szCs w:val="20"/>
        </w:rPr>
        <w:t xml:space="preserve"> </w:t>
      </w:r>
      <w:r w:rsidRPr="00587444">
        <w:rPr>
          <w:rFonts w:ascii="Arial" w:hAnsi="Arial" w:cs="Arial"/>
          <w:bCs/>
          <w:sz w:val="20"/>
          <w:szCs w:val="20"/>
          <w:lang w:val="en-GB"/>
        </w:rPr>
        <w:t xml:space="preserve">for the Group and the Bank of HRK 540,460 thousand (31 December 2021: HRK 478,914 thousand), from local (regional) authorities of HRK 757,542 thousand (31 December 2021: HRK 777,947 thousand), state-owned companies for whose commitments the Republic of Croatia guarantees jointly and unconditionally of HRK 156,091 thousand (31 December 2021: HRK 180,112 thousand), government funds of HRK 36 thousand (31 December 2021: HRK 12 thousand), government bonds and Treasury bills of the Ministry of Finance of HRK 2,629,299 thousand for the Group and HRK 2,584,329 thousand for the Bank (31 December 2021: HRK 2,924,943 thousand for the Group and HRK 2,870,512 thousand for the Bank). </w:t>
      </w:r>
    </w:p>
    <w:p w14:paraId="512D0480" w14:textId="77777777" w:rsidR="00587444" w:rsidRPr="00587444" w:rsidRDefault="00587444" w:rsidP="007B030C">
      <w:pPr>
        <w:tabs>
          <w:tab w:val="right" w:pos="9129"/>
        </w:tabs>
        <w:autoSpaceDN/>
        <w:jc w:val="both"/>
        <w:rPr>
          <w:rFonts w:ascii="Arial" w:hAnsi="Arial" w:cs="Arial"/>
          <w:bCs/>
          <w:sz w:val="20"/>
          <w:szCs w:val="20"/>
          <w:lang w:val="en-GB"/>
        </w:rPr>
      </w:pPr>
    </w:p>
    <w:p w14:paraId="47128B1A" w14:textId="77777777" w:rsidR="00587444" w:rsidRPr="00587444" w:rsidRDefault="00587444" w:rsidP="007B030C">
      <w:pPr>
        <w:tabs>
          <w:tab w:val="right" w:pos="9129"/>
        </w:tabs>
        <w:autoSpaceDN/>
        <w:jc w:val="both"/>
        <w:rPr>
          <w:rFonts w:ascii="Arial" w:hAnsi="Arial" w:cs="Arial"/>
          <w:bCs/>
          <w:sz w:val="20"/>
          <w:szCs w:val="20"/>
          <w:lang w:val="en-GB"/>
        </w:rPr>
      </w:pPr>
      <w:r w:rsidRPr="00587444">
        <w:rPr>
          <w:rFonts w:ascii="Arial" w:hAnsi="Arial" w:cs="Arial"/>
          <w:bCs/>
          <w:sz w:val="20"/>
          <w:szCs w:val="20"/>
          <w:lang w:val="en-GB"/>
        </w:rPr>
        <w:t>Part of the placements with net exposure relates to placements provisionally and partially covered with collateral and the further increase in exposure has been stopped pending the submission of the full collateral necessary for compliance with the requested collateral coverage ratio.</w:t>
      </w:r>
    </w:p>
    <w:p w14:paraId="2D6F2DCD" w14:textId="77777777" w:rsidR="00587444" w:rsidRPr="00587444" w:rsidRDefault="00587444" w:rsidP="007B030C">
      <w:pPr>
        <w:tabs>
          <w:tab w:val="right" w:pos="9129"/>
        </w:tabs>
        <w:autoSpaceDN/>
        <w:jc w:val="both"/>
        <w:rPr>
          <w:rFonts w:ascii="Arial" w:hAnsi="Arial" w:cs="Arial"/>
          <w:bCs/>
          <w:sz w:val="20"/>
          <w:szCs w:val="20"/>
          <w:lang w:val="en-GB"/>
        </w:rPr>
      </w:pPr>
    </w:p>
    <w:p w14:paraId="1D3CE4A5" w14:textId="77777777" w:rsidR="00587444" w:rsidRPr="00587444" w:rsidRDefault="00587444" w:rsidP="007B030C">
      <w:pPr>
        <w:tabs>
          <w:tab w:val="right" w:pos="9129"/>
        </w:tabs>
        <w:autoSpaceDN/>
        <w:jc w:val="both"/>
        <w:rPr>
          <w:rFonts w:ascii="Arial" w:hAnsi="Arial" w:cs="Arial"/>
          <w:sz w:val="20"/>
          <w:szCs w:val="20"/>
          <w:highlight w:val="yellow"/>
          <w:lang w:val="en-GB"/>
        </w:rPr>
      </w:pPr>
      <w:r w:rsidRPr="00587444">
        <w:rPr>
          <w:rFonts w:ascii="Arial" w:hAnsi="Arial" w:cs="Arial"/>
          <w:bCs/>
          <w:sz w:val="20"/>
          <w:szCs w:val="20"/>
          <w:lang w:val="en-GB"/>
        </w:rPr>
        <w:t xml:space="preserve">Financial intermediation includes mainly commercial bank. </w:t>
      </w:r>
    </w:p>
    <w:p w14:paraId="441C593F" w14:textId="77777777" w:rsidR="00587444" w:rsidRPr="00587444" w:rsidRDefault="00587444" w:rsidP="007B030C">
      <w:pPr>
        <w:autoSpaceDN/>
        <w:rPr>
          <w:rFonts w:ascii="Arial" w:hAnsi="Arial" w:cs="Arial"/>
          <w:b/>
          <w:bCs/>
          <w:sz w:val="20"/>
          <w:szCs w:val="20"/>
          <w:highlight w:val="yellow"/>
          <w:lang w:val="en-GB"/>
        </w:rPr>
      </w:pPr>
    </w:p>
    <w:p w14:paraId="0E988E6C" w14:textId="77777777" w:rsidR="00587444" w:rsidRPr="00587444" w:rsidRDefault="00587444" w:rsidP="00587444">
      <w:pPr>
        <w:keepNext/>
        <w:suppressAutoHyphens w:val="0"/>
        <w:autoSpaceDN/>
        <w:spacing w:before="360" w:after="120" w:line="360" w:lineRule="auto"/>
        <w:jc w:val="both"/>
        <w:rPr>
          <w:rFonts w:ascii="Arial" w:hAnsi="Arial" w:cs="Arial"/>
          <w:b/>
          <w:bCs/>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0D9C721F" w14:textId="77777777" w:rsidR="00587444" w:rsidRPr="00587444" w:rsidRDefault="00587444" w:rsidP="00587444">
      <w:pPr>
        <w:suppressAutoHyphens w:val="0"/>
        <w:autoSpaceDN/>
        <w:jc w:val="both"/>
        <w:rPr>
          <w:rFonts w:ascii="Arial" w:hAnsi="Arial" w:cs="Arial"/>
          <w:b/>
          <w:bCs/>
          <w:sz w:val="20"/>
          <w:szCs w:val="20"/>
          <w:lang w:val="en-GB"/>
        </w:rPr>
      </w:pPr>
    </w:p>
    <w:p w14:paraId="45D2BB2B"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0634B65" w14:textId="77777777" w:rsidR="00587444" w:rsidRPr="00587444" w:rsidRDefault="00587444" w:rsidP="00587444">
      <w:pPr>
        <w:suppressAutoHyphens w:val="0"/>
        <w:autoSpaceDN/>
        <w:jc w:val="both"/>
        <w:rPr>
          <w:rFonts w:ascii="Arial" w:hAnsi="Arial" w:cs="Arial"/>
          <w:b/>
          <w:sz w:val="20"/>
          <w:szCs w:val="20"/>
          <w:lang w:val="en-GB"/>
        </w:rPr>
      </w:pPr>
    </w:p>
    <w:p w14:paraId="3C50355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6C1A0CCF" w14:textId="77777777" w:rsidR="00587444" w:rsidRPr="00587444" w:rsidRDefault="00587444" w:rsidP="00587444">
      <w:pPr>
        <w:suppressAutoHyphens w:val="0"/>
        <w:autoSpaceDN/>
        <w:rPr>
          <w:rFonts w:ascii="Arial" w:hAnsi="Arial" w:cs="Arial"/>
          <w:b/>
          <w:sz w:val="20"/>
          <w:szCs w:val="20"/>
          <w:lang w:val="en-GB"/>
        </w:rPr>
      </w:pPr>
    </w:p>
    <w:p w14:paraId="3E6A5DBB" w14:textId="77777777" w:rsidR="00587444" w:rsidRPr="00587444" w:rsidRDefault="00587444" w:rsidP="00587444">
      <w:pPr>
        <w:suppressAutoHyphens w:val="0"/>
        <w:autoSpaceDN/>
        <w:rPr>
          <w:rFonts w:ascii="Arial" w:hAnsi="Arial" w:cs="Arial"/>
          <w:b/>
          <w:sz w:val="20"/>
          <w:szCs w:val="20"/>
          <w:lang w:val="en-GB"/>
        </w:rPr>
      </w:pPr>
      <w:r w:rsidRPr="00587444">
        <w:rPr>
          <w:rFonts w:ascii="Arial" w:hAnsi="Arial" w:cs="Arial"/>
          <w:b/>
          <w:sz w:val="20"/>
          <w:szCs w:val="20"/>
          <w:lang w:val="en-GB"/>
        </w:rPr>
        <w:t>Credit risk quality according to type of financial assets</w:t>
      </w:r>
    </w:p>
    <w:p w14:paraId="119AA494" w14:textId="77777777" w:rsidR="00587444" w:rsidRPr="00587444" w:rsidRDefault="00587444" w:rsidP="00587444">
      <w:pPr>
        <w:suppressAutoHyphens w:val="0"/>
        <w:autoSpaceDN/>
        <w:jc w:val="both"/>
        <w:rPr>
          <w:rFonts w:ascii="Arial" w:hAnsi="Arial" w:cs="Arial"/>
          <w:b/>
          <w:bCs/>
          <w:sz w:val="20"/>
          <w:szCs w:val="20"/>
          <w:lang w:val="en-GB"/>
        </w:rPr>
      </w:pPr>
    </w:p>
    <w:p w14:paraId="74A88CD7" w14:textId="77777777"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Credit risk analysis, net exposure, before and after the effect of mitigation through collateral received, according to the type of financial assets on positions of assets and guarantees and commitments by risk category, is as follows:</w:t>
      </w:r>
    </w:p>
    <w:p w14:paraId="01301476" w14:textId="77777777" w:rsidR="00587444" w:rsidRPr="00587444" w:rsidRDefault="00587444" w:rsidP="00587444">
      <w:pPr>
        <w:suppressAutoHyphens w:val="0"/>
        <w:autoSpaceDN/>
        <w:jc w:val="both"/>
        <w:rPr>
          <w:rFonts w:ascii="Arial" w:eastAsia="Calibri" w:hAnsi="Arial" w:cs="Arial"/>
          <w:sz w:val="20"/>
          <w:szCs w:val="20"/>
        </w:rPr>
      </w:pPr>
    </w:p>
    <w:tbl>
      <w:tblPr>
        <w:tblW w:w="5223" w:type="pct"/>
        <w:jc w:val="center"/>
        <w:tblLayout w:type="fixed"/>
        <w:tblLook w:val="0000" w:firstRow="0" w:lastRow="0" w:firstColumn="0" w:lastColumn="0" w:noHBand="0" w:noVBand="0"/>
      </w:tblPr>
      <w:tblGrid>
        <w:gridCol w:w="2658"/>
        <w:gridCol w:w="1040"/>
        <w:gridCol w:w="1043"/>
        <w:gridCol w:w="1043"/>
        <w:gridCol w:w="1040"/>
        <w:gridCol w:w="1042"/>
        <w:gridCol w:w="1042"/>
        <w:gridCol w:w="1039"/>
        <w:gridCol w:w="1042"/>
        <w:gridCol w:w="1042"/>
        <w:gridCol w:w="1039"/>
        <w:gridCol w:w="1042"/>
        <w:gridCol w:w="1039"/>
      </w:tblGrid>
      <w:tr w:rsidR="00587444" w:rsidRPr="00587444" w14:paraId="134AEB5F" w14:textId="77777777" w:rsidTr="00DD69E7">
        <w:trPr>
          <w:trHeight w:val="1454"/>
          <w:jc w:val="center"/>
        </w:trPr>
        <w:tc>
          <w:tcPr>
            <w:tcW w:w="877" w:type="pct"/>
          </w:tcPr>
          <w:p w14:paraId="2C8DAC30" w14:textId="77777777" w:rsidR="00587444" w:rsidRPr="00587444" w:rsidRDefault="00587444" w:rsidP="00587444">
            <w:pPr>
              <w:suppressAutoHyphens w:val="0"/>
              <w:autoSpaceDN/>
              <w:rPr>
                <w:rFonts w:ascii="Arial" w:eastAsia="Calibri" w:hAnsi="Arial" w:cs="Arial"/>
                <w:b/>
                <w:bCs/>
                <w:sz w:val="14"/>
                <w:szCs w:val="14"/>
                <w:lang w:val="hr-HR"/>
              </w:rPr>
            </w:pPr>
            <w:bookmarkStart w:id="1145" w:name="_Hlk97803476"/>
            <w:r w:rsidRPr="00587444">
              <w:rPr>
                <w:rFonts w:ascii="Arial" w:eastAsia="Calibri" w:hAnsi="Arial" w:cs="Arial"/>
                <w:b/>
                <w:bCs/>
                <w:sz w:val="14"/>
                <w:szCs w:val="14"/>
                <w:lang w:val="hr-HR"/>
              </w:rPr>
              <w:br w:type="page"/>
              <w:t>Group</w:t>
            </w:r>
          </w:p>
          <w:p w14:paraId="5213858E" w14:textId="77777777" w:rsidR="00587444" w:rsidRPr="00587444" w:rsidRDefault="00587444" w:rsidP="00587444">
            <w:pPr>
              <w:suppressAutoHyphens w:val="0"/>
              <w:autoSpaceDN/>
              <w:rPr>
                <w:rFonts w:ascii="Arial" w:eastAsia="Calibri" w:hAnsi="Arial" w:cs="Arial"/>
                <w:sz w:val="14"/>
                <w:szCs w:val="14"/>
                <w:lang w:val="hr-HR"/>
              </w:rPr>
            </w:pPr>
            <w:r w:rsidRPr="00587444">
              <w:rPr>
                <w:rFonts w:ascii="Arial" w:eastAsia="Calibri" w:hAnsi="Arial" w:cs="Arial"/>
                <w:b/>
                <w:bCs/>
                <w:sz w:val="14"/>
                <w:szCs w:val="14"/>
                <w:lang w:val="hr-HR"/>
              </w:rPr>
              <w:t xml:space="preserve">31 </w:t>
            </w:r>
            <w:r w:rsidRPr="00587444">
              <w:rPr>
                <w:rFonts w:ascii="Arial" w:eastAsia="Calibri" w:hAnsi="Arial" w:cs="Arial"/>
                <w:b/>
                <w:bCs/>
                <w:sz w:val="14"/>
                <w:szCs w:val="14"/>
                <w:lang w:val="en-GB"/>
              </w:rPr>
              <w:t>December</w:t>
            </w:r>
            <w:r w:rsidRPr="00587444">
              <w:rPr>
                <w:rFonts w:ascii="Arial" w:eastAsia="Calibri" w:hAnsi="Arial" w:cs="Arial"/>
                <w:b/>
                <w:bCs/>
                <w:sz w:val="14"/>
                <w:szCs w:val="14"/>
                <w:lang w:val="hr-HR"/>
              </w:rPr>
              <w:t xml:space="preserve"> 2022</w:t>
            </w:r>
          </w:p>
        </w:tc>
        <w:tc>
          <w:tcPr>
            <w:tcW w:w="343" w:type="pct"/>
            <w:vAlign w:val="bottom"/>
          </w:tcPr>
          <w:p w14:paraId="51F76EF1"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1C67E753"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1</w:t>
            </w:r>
          </w:p>
        </w:tc>
        <w:tc>
          <w:tcPr>
            <w:tcW w:w="344" w:type="pct"/>
            <w:vAlign w:val="bottom"/>
          </w:tcPr>
          <w:p w14:paraId="59221179"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0B054340"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2</w:t>
            </w:r>
          </w:p>
        </w:tc>
        <w:tc>
          <w:tcPr>
            <w:tcW w:w="344" w:type="pct"/>
            <w:vAlign w:val="bottom"/>
          </w:tcPr>
          <w:p w14:paraId="63F19E21"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474C3473"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3</w:t>
            </w:r>
          </w:p>
        </w:tc>
        <w:tc>
          <w:tcPr>
            <w:tcW w:w="343" w:type="pct"/>
            <w:vAlign w:val="bottom"/>
          </w:tcPr>
          <w:p w14:paraId="5184FF29"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763DAA7F"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of risk POCI</w:t>
            </w:r>
          </w:p>
        </w:tc>
        <w:tc>
          <w:tcPr>
            <w:tcW w:w="344" w:type="pct"/>
            <w:vAlign w:val="bottom"/>
          </w:tcPr>
          <w:p w14:paraId="36C2CBD7"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b/>
                <w:sz w:val="14"/>
                <w:szCs w:val="14"/>
                <w:lang w:val="en-GB"/>
              </w:rPr>
              <w:t>Not subject to IFRS 9</w:t>
            </w:r>
          </w:p>
        </w:tc>
        <w:tc>
          <w:tcPr>
            <w:tcW w:w="344" w:type="pct"/>
            <w:vAlign w:val="bottom"/>
          </w:tcPr>
          <w:p w14:paraId="4AB56B73" w14:textId="77777777" w:rsidR="00470B0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5BAE2B67" w14:textId="77777777" w:rsidR="00470B0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6A12BAC3" w14:textId="2CE80254"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portfolio</w:t>
            </w:r>
          </w:p>
        </w:tc>
        <w:tc>
          <w:tcPr>
            <w:tcW w:w="343" w:type="pct"/>
            <w:vAlign w:val="bottom"/>
          </w:tcPr>
          <w:p w14:paraId="5AC0226D"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419DBFBF"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exposure of portfolio after the</w:t>
            </w:r>
          </w:p>
          <w:p w14:paraId="6B93CBDD" w14:textId="17F5893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effect of mitigation through collateral received Stage 1</w:t>
            </w:r>
          </w:p>
        </w:tc>
        <w:tc>
          <w:tcPr>
            <w:tcW w:w="344" w:type="pct"/>
            <w:vAlign w:val="bottom"/>
          </w:tcPr>
          <w:p w14:paraId="1EC37A2F"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5D87A8F9"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5D4EFCD3"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2000D53F" w14:textId="386A33B8" w:rsidR="00587444" w:rsidRPr="00587444" w:rsidRDefault="00587444"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effect of mitigation through collateral received Stage 2</w:t>
            </w:r>
          </w:p>
        </w:tc>
        <w:tc>
          <w:tcPr>
            <w:tcW w:w="344" w:type="pct"/>
            <w:vAlign w:val="bottom"/>
          </w:tcPr>
          <w:p w14:paraId="2AD98AF0"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6FDB4C95"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24587720"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after the</w:t>
            </w:r>
          </w:p>
          <w:p w14:paraId="5B01A462" w14:textId="4B15F4AD" w:rsidR="00587444" w:rsidRPr="00587444" w:rsidRDefault="00587444"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effect of mitigation through collateral received Stage 3</w:t>
            </w:r>
          </w:p>
        </w:tc>
        <w:tc>
          <w:tcPr>
            <w:tcW w:w="343" w:type="pct"/>
            <w:vAlign w:val="bottom"/>
          </w:tcPr>
          <w:p w14:paraId="71CCD2C5"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05C5C675"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35750A3B"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690C1CEA" w14:textId="0F5B1D05"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effect of mitigation through collateral received POCI</w:t>
            </w:r>
          </w:p>
        </w:tc>
        <w:tc>
          <w:tcPr>
            <w:tcW w:w="344" w:type="pct"/>
            <w:vAlign w:val="bottom"/>
          </w:tcPr>
          <w:p w14:paraId="0D892996"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Not subject to IFRS 9 after the </w:t>
            </w:r>
          </w:p>
          <w:p w14:paraId="7F0FF26C" w14:textId="75991A0C"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effect of</w:t>
            </w:r>
          </w:p>
          <w:p w14:paraId="10BE2AA2" w14:textId="661642DC"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mitigation through</w:t>
            </w:r>
          </w:p>
          <w:p w14:paraId="6A76325C" w14:textId="77777777" w:rsidR="00587444" w:rsidRPr="00587444" w:rsidRDefault="00587444"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collateral received</w:t>
            </w:r>
          </w:p>
        </w:tc>
        <w:tc>
          <w:tcPr>
            <w:tcW w:w="343" w:type="pct"/>
            <w:vAlign w:val="bottom"/>
          </w:tcPr>
          <w:p w14:paraId="5E14EFB6"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11D40C15"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4D505CBA"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portfolio </w:t>
            </w:r>
          </w:p>
          <w:p w14:paraId="301A220D"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5376E563" w14:textId="1F02238A" w:rsidR="00587444" w:rsidRPr="00587444" w:rsidRDefault="00587444"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effect of mitigation through collateral received </w:t>
            </w:r>
          </w:p>
        </w:tc>
      </w:tr>
      <w:tr w:rsidR="00587444" w:rsidRPr="00587444" w14:paraId="7FDE3FBB" w14:textId="77777777" w:rsidTr="00DD69E7">
        <w:trPr>
          <w:trHeight w:val="126"/>
          <w:jc w:val="center"/>
        </w:trPr>
        <w:tc>
          <w:tcPr>
            <w:tcW w:w="877" w:type="pct"/>
          </w:tcPr>
          <w:p w14:paraId="3C345E46" w14:textId="77777777" w:rsidR="00587444" w:rsidRPr="00587444" w:rsidRDefault="00587444" w:rsidP="00587444">
            <w:pPr>
              <w:suppressAutoHyphens w:val="0"/>
              <w:autoSpaceDN/>
              <w:rPr>
                <w:rFonts w:ascii="Arial" w:eastAsia="Calibri" w:hAnsi="Arial" w:cs="Arial"/>
                <w:b/>
                <w:bCs/>
                <w:sz w:val="14"/>
                <w:szCs w:val="14"/>
                <w:lang w:val="hr-HR"/>
              </w:rPr>
            </w:pPr>
          </w:p>
        </w:tc>
        <w:tc>
          <w:tcPr>
            <w:tcW w:w="343" w:type="pct"/>
          </w:tcPr>
          <w:p w14:paraId="40117733"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4" w:type="pct"/>
          </w:tcPr>
          <w:p w14:paraId="7916BC36"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4" w:type="pct"/>
          </w:tcPr>
          <w:p w14:paraId="783F57E7"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3" w:type="pct"/>
          </w:tcPr>
          <w:p w14:paraId="311C3586"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4" w:type="pct"/>
          </w:tcPr>
          <w:p w14:paraId="223E3238"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4" w:type="pct"/>
          </w:tcPr>
          <w:p w14:paraId="47194E55"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3" w:type="pct"/>
          </w:tcPr>
          <w:p w14:paraId="30DEF15D"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4" w:type="pct"/>
          </w:tcPr>
          <w:p w14:paraId="73DE587F"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4" w:type="pct"/>
          </w:tcPr>
          <w:p w14:paraId="33F5E691"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3" w:type="pct"/>
          </w:tcPr>
          <w:p w14:paraId="7B9B07D6"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4" w:type="pct"/>
          </w:tcPr>
          <w:p w14:paraId="0588A1AB"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3" w:type="pct"/>
          </w:tcPr>
          <w:p w14:paraId="65AED996"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r>
      <w:tr w:rsidR="00587444" w:rsidRPr="00587444" w14:paraId="6687B94E" w14:textId="77777777" w:rsidTr="00DD69E7">
        <w:trPr>
          <w:trHeight w:val="92"/>
          <w:jc w:val="center"/>
        </w:trPr>
        <w:tc>
          <w:tcPr>
            <w:tcW w:w="877" w:type="pct"/>
          </w:tcPr>
          <w:p w14:paraId="0C3FECE3"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Assets</w:t>
            </w:r>
          </w:p>
        </w:tc>
        <w:tc>
          <w:tcPr>
            <w:tcW w:w="343" w:type="pct"/>
            <w:vAlign w:val="bottom"/>
          </w:tcPr>
          <w:p w14:paraId="0B6F6F0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4" w:type="pct"/>
            <w:vAlign w:val="bottom"/>
          </w:tcPr>
          <w:p w14:paraId="4D01FEC2"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4" w:type="pct"/>
            <w:vAlign w:val="bottom"/>
          </w:tcPr>
          <w:p w14:paraId="6097355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3" w:type="pct"/>
            <w:vAlign w:val="bottom"/>
          </w:tcPr>
          <w:p w14:paraId="23E519E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4" w:type="pct"/>
            <w:vAlign w:val="bottom"/>
          </w:tcPr>
          <w:p w14:paraId="2720671A"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4" w:type="pct"/>
            <w:vAlign w:val="bottom"/>
          </w:tcPr>
          <w:p w14:paraId="2120074C"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3" w:type="pct"/>
            <w:vAlign w:val="bottom"/>
          </w:tcPr>
          <w:p w14:paraId="64C4A096"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4" w:type="pct"/>
            <w:vAlign w:val="bottom"/>
          </w:tcPr>
          <w:p w14:paraId="66517A4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4" w:type="pct"/>
            <w:vAlign w:val="bottom"/>
          </w:tcPr>
          <w:p w14:paraId="5ECBC85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3" w:type="pct"/>
            <w:vAlign w:val="bottom"/>
          </w:tcPr>
          <w:p w14:paraId="4AD151F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4" w:type="pct"/>
            <w:vAlign w:val="bottom"/>
          </w:tcPr>
          <w:p w14:paraId="5B42A94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3" w:type="pct"/>
            <w:vAlign w:val="bottom"/>
          </w:tcPr>
          <w:p w14:paraId="2764F13F"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r>
      <w:tr w:rsidR="00587444" w:rsidRPr="00587444" w14:paraId="5CA02865" w14:textId="77777777" w:rsidTr="00DD69E7">
        <w:trPr>
          <w:trHeight w:val="149"/>
          <w:jc w:val="center"/>
        </w:trPr>
        <w:tc>
          <w:tcPr>
            <w:tcW w:w="877" w:type="pct"/>
            <w:vAlign w:val="bottom"/>
          </w:tcPr>
          <w:p w14:paraId="7FDCC0BF"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Cash on hand and current accounts with banks</w:t>
            </w:r>
          </w:p>
        </w:tc>
        <w:tc>
          <w:tcPr>
            <w:tcW w:w="343" w:type="pct"/>
            <w:tcBorders>
              <w:top w:val="nil"/>
              <w:left w:val="nil"/>
              <w:bottom w:val="nil"/>
              <w:right w:val="nil"/>
            </w:tcBorders>
            <w:shd w:val="clear" w:color="auto" w:fill="auto"/>
            <w:vAlign w:val="bottom"/>
          </w:tcPr>
          <w:p w14:paraId="52DB504E"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1,721,919 </w:t>
            </w:r>
          </w:p>
        </w:tc>
        <w:tc>
          <w:tcPr>
            <w:tcW w:w="344" w:type="pct"/>
            <w:tcBorders>
              <w:top w:val="nil"/>
              <w:left w:val="nil"/>
              <w:bottom w:val="nil"/>
              <w:right w:val="nil"/>
            </w:tcBorders>
            <w:shd w:val="clear" w:color="auto" w:fill="auto"/>
            <w:vAlign w:val="bottom"/>
          </w:tcPr>
          <w:p w14:paraId="42A48FFC"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3E34939C"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shd w:val="clear" w:color="auto" w:fill="auto"/>
            <w:vAlign w:val="bottom"/>
          </w:tcPr>
          <w:p w14:paraId="020F9214"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2A63CAE8"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516BDE41"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1,721,919 </w:t>
            </w:r>
          </w:p>
        </w:tc>
        <w:tc>
          <w:tcPr>
            <w:tcW w:w="343" w:type="pct"/>
            <w:tcBorders>
              <w:top w:val="nil"/>
              <w:left w:val="nil"/>
              <w:bottom w:val="nil"/>
              <w:right w:val="nil"/>
            </w:tcBorders>
            <w:vAlign w:val="bottom"/>
          </w:tcPr>
          <w:p w14:paraId="323A4865"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00F809EF"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46A1D4FD"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vAlign w:val="bottom"/>
          </w:tcPr>
          <w:p w14:paraId="4974CC78"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20D505BE"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vAlign w:val="bottom"/>
          </w:tcPr>
          <w:p w14:paraId="2749FDF3"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r>
      <w:tr w:rsidR="00587444" w:rsidRPr="00587444" w14:paraId="07C3349C" w14:textId="77777777" w:rsidTr="00DD69E7">
        <w:trPr>
          <w:trHeight w:val="149"/>
          <w:jc w:val="center"/>
        </w:trPr>
        <w:tc>
          <w:tcPr>
            <w:tcW w:w="877" w:type="pct"/>
            <w:vAlign w:val="bottom"/>
          </w:tcPr>
          <w:p w14:paraId="073A91B9"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Deposits with other banks</w:t>
            </w:r>
          </w:p>
        </w:tc>
        <w:tc>
          <w:tcPr>
            <w:tcW w:w="343" w:type="pct"/>
            <w:tcBorders>
              <w:top w:val="nil"/>
              <w:left w:val="nil"/>
              <w:bottom w:val="nil"/>
              <w:right w:val="nil"/>
            </w:tcBorders>
            <w:shd w:val="clear" w:color="auto" w:fill="auto"/>
            <w:vAlign w:val="bottom"/>
          </w:tcPr>
          <w:p w14:paraId="6CF51050"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33,180 </w:t>
            </w:r>
          </w:p>
        </w:tc>
        <w:tc>
          <w:tcPr>
            <w:tcW w:w="344" w:type="pct"/>
            <w:tcBorders>
              <w:top w:val="nil"/>
              <w:left w:val="nil"/>
              <w:bottom w:val="nil"/>
              <w:right w:val="nil"/>
            </w:tcBorders>
            <w:shd w:val="clear" w:color="auto" w:fill="auto"/>
            <w:vAlign w:val="bottom"/>
          </w:tcPr>
          <w:p w14:paraId="107FD06A"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126B3605"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shd w:val="clear" w:color="auto" w:fill="auto"/>
            <w:vAlign w:val="bottom"/>
          </w:tcPr>
          <w:p w14:paraId="36042A8B"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58E0F055"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4870E4EA"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33,180 </w:t>
            </w:r>
          </w:p>
        </w:tc>
        <w:tc>
          <w:tcPr>
            <w:tcW w:w="343" w:type="pct"/>
            <w:tcBorders>
              <w:top w:val="nil"/>
              <w:left w:val="nil"/>
              <w:bottom w:val="nil"/>
              <w:right w:val="nil"/>
            </w:tcBorders>
            <w:vAlign w:val="bottom"/>
          </w:tcPr>
          <w:p w14:paraId="2E0ABE66"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6D371D47"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766B1EE8"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vAlign w:val="bottom"/>
          </w:tcPr>
          <w:p w14:paraId="068D9CB3"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01C14098"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vAlign w:val="bottom"/>
          </w:tcPr>
          <w:p w14:paraId="6DD7B838"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r>
      <w:tr w:rsidR="00587444" w:rsidRPr="00587444" w14:paraId="2BAE06FC" w14:textId="77777777" w:rsidTr="00DD69E7">
        <w:trPr>
          <w:trHeight w:val="142"/>
          <w:jc w:val="center"/>
        </w:trPr>
        <w:tc>
          <w:tcPr>
            <w:tcW w:w="877" w:type="pct"/>
            <w:vAlign w:val="bottom"/>
          </w:tcPr>
          <w:p w14:paraId="66C5FD3E"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financial institutions</w:t>
            </w:r>
          </w:p>
        </w:tc>
        <w:tc>
          <w:tcPr>
            <w:tcW w:w="343" w:type="pct"/>
            <w:tcBorders>
              <w:top w:val="nil"/>
              <w:left w:val="nil"/>
              <w:bottom w:val="nil"/>
              <w:right w:val="nil"/>
            </w:tcBorders>
            <w:shd w:val="clear" w:color="auto" w:fill="auto"/>
            <w:vAlign w:val="bottom"/>
          </w:tcPr>
          <w:p w14:paraId="549112AE"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6,706,507 </w:t>
            </w:r>
          </w:p>
        </w:tc>
        <w:tc>
          <w:tcPr>
            <w:tcW w:w="344" w:type="pct"/>
            <w:tcBorders>
              <w:top w:val="nil"/>
              <w:left w:val="nil"/>
              <w:bottom w:val="nil"/>
              <w:right w:val="nil"/>
            </w:tcBorders>
            <w:shd w:val="clear" w:color="auto" w:fill="auto"/>
            <w:vAlign w:val="bottom"/>
          </w:tcPr>
          <w:p w14:paraId="5C869146"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275,864 </w:t>
            </w:r>
          </w:p>
        </w:tc>
        <w:tc>
          <w:tcPr>
            <w:tcW w:w="344" w:type="pct"/>
            <w:tcBorders>
              <w:top w:val="nil"/>
              <w:left w:val="nil"/>
              <w:bottom w:val="nil"/>
              <w:right w:val="nil"/>
            </w:tcBorders>
            <w:shd w:val="clear" w:color="auto" w:fill="auto"/>
            <w:vAlign w:val="bottom"/>
          </w:tcPr>
          <w:p w14:paraId="31801222"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2,341 </w:t>
            </w:r>
          </w:p>
        </w:tc>
        <w:tc>
          <w:tcPr>
            <w:tcW w:w="343" w:type="pct"/>
            <w:tcBorders>
              <w:top w:val="nil"/>
              <w:left w:val="nil"/>
              <w:bottom w:val="nil"/>
              <w:right w:val="nil"/>
            </w:tcBorders>
            <w:shd w:val="clear" w:color="auto" w:fill="auto"/>
            <w:vAlign w:val="bottom"/>
          </w:tcPr>
          <w:p w14:paraId="194464D1"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6FDC5DD2"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74082E75"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6,984,712 </w:t>
            </w:r>
          </w:p>
        </w:tc>
        <w:tc>
          <w:tcPr>
            <w:tcW w:w="343" w:type="pct"/>
            <w:tcBorders>
              <w:top w:val="nil"/>
              <w:left w:val="nil"/>
              <w:bottom w:val="nil"/>
              <w:right w:val="nil"/>
            </w:tcBorders>
            <w:vAlign w:val="bottom"/>
          </w:tcPr>
          <w:p w14:paraId="78EB315E"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71D1CE85"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18ECA966"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vAlign w:val="bottom"/>
          </w:tcPr>
          <w:p w14:paraId="4A2B62E1"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7D7D2DBF"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vAlign w:val="bottom"/>
          </w:tcPr>
          <w:p w14:paraId="4650FAB0"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r>
      <w:tr w:rsidR="00587444" w:rsidRPr="00587444" w14:paraId="161A3C8F" w14:textId="77777777" w:rsidTr="00DD69E7">
        <w:trPr>
          <w:trHeight w:val="149"/>
          <w:jc w:val="center"/>
        </w:trPr>
        <w:tc>
          <w:tcPr>
            <w:tcW w:w="877" w:type="pct"/>
            <w:vAlign w:val="bottom"/>
          </w:tcPr>
          <w:p w14:paraId="4E4EAB3E"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other customers</w:t>
            </w:r>
          </w:p>
        </w:tc>
        <w:tc>
          <w:tcPr>
            <w:tcW w:w="343" w:type="pct"/>
            <w:tcBorders>
              <w:top w:val="nil"/>
              <w:left w:val="nil"/>
              <w:bottom w:val="nil"/>
              <w:right w:val="nil"/>
            </w:tcBorders>
            <w:shd w:val="clear" w:color="auto" w:fill="auto"/>
            <w:vAlign w:val="bottom"/>
          </w:tcPr>
          <w:p w14:paraId="3B0C3E1E"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13,637,783 </w:t>
            </w:r>
          </w:p>
        </w:tc>
        <w:tc>
          <w:tcPr>
            <w:tcW w:w="344" w:type="pct"/>
            <w:tcBorders>
              <w:top w:val="nil"/>
              <w:left w:val="nil"/>
              <w:bottom w:val="nil"/>
              <w:right w:val="nil"/>
            </w:tcBorders>
            <w:shd w:val="clear" w:color="auto" w:fill="auto"/>
            <w:vAlign w:val="bottom"/>
          </w:tcPr>
          <w:p w14:paraId="5FB7E182"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1,434,690 </w:t>
            </w:r>
          </w:p>
        </w:tc>
        <w:tc>
          <w:tcPr>
            <w:tcW w:w="344" w:type="pct"/>
            <w:tcBorders>
              <w:top w:val="nil"/>
              <w:left w:val="nil"/>
              <w:bottom w:val="nil"/>
              <w:right w:val="nil"/>
            </w:tcBorders>
            <w:shd w:val="clear" w:color="auto" w:fill="auto"/>
            <w:vAlign w:val="bottom"/>
          </w:tcPr>
          <w:p w14:paraId="2C53258C"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1,145,398 </w:t>
            </w:r>
          </w:p>
        </w:tc>
        <w:tc>
          <w:tcPr>
            <w:tcW w:w="343" w:type="pct"/>
            <w:tcBorders>
              <w:top w:val="nil"/>
              <w:left w:val="nil"/>
              <w:bottom w:val="nil"/>
              <w:right w:val="nil"/>
            </w:tcBorders>
            <w:shd w:val="clear" w:color="auto" w:fill="auto"/>
            <w:vAlign w:val="bottom"/>
          </w:tcPr>
          <w:p w14:paraId="0CD4463A"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1,184,795 </w:t>
            </w:r>
          </w:p>
        </w:tc>
        <w:tc>
          <w:tcPr>
            <w:tcW w:w="344" w:type="pct"/>
            <w:tcBorders>
              <w:top w:val="nil"/>
              <w:left w:val="nil"/>
              <w:bottom w:val="nil"/>
              <w:right w:val="nil"/>
            </w:tcBorders>
            <w:shd w:val="clear" w:color="auto" w:fill="auto"/>
            <w:vAlign w:val="bottom"/>
          </w:tcPr>
          <w:p w14:paraId="4696D4CB"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236E52A7"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17,402,666 </w:t>
            </w:r>
          </w:p>
        </w:tc>
        <w:tc>
          <w:tcPr>
            <w:tcW w:w="343" w:type="pct"/>
            <w:tcBorders>
              <w:top w:val="nil"/>
              <w:left w:val="nil"/>
              <w:bottom w:val="nil"/>
              <w:right w:val="nil"/>
            </w:tcBorders>
            <w:vAlign w:val="bottom"/>
          </w:tcPr>
          <w:p w14:paraId="5A65A184"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2,318,955 </w:t>
            </w:r>
          </w:p>
        </w:tc>
        <w:tc>
          <w:tcPr>
            <w:tcW w:w="344" w:type="pct"/>
            <w:tcBorders>
              <w:top w:val="nil"/>
              <w:left w:val="nil"/>
              <w:bottom w:val="nil"/>
              <w:right w:val="nil"/>
            </w:tcBorders>
            <w:vAlign w:val="bottom"/>
          </w:tcPr>
          <w:p w14:paraId="07F21E6C"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140,046 </w:t>
            </w:r>
          </w:p>
        </w:tc>
        <w:tc>
          <w:tcPr>
            <w:tcW w:w="344" w:type="pct"/>
            <w:tcBorders>
              <w:top w:val="nil"/>
              <w:left w:val="nil"/>
              <w:bottom w:val="nil"/>
              <w:right w:val="nil"/>
            </w:tcBorders>
            <w:vAlign w:val="bottom"/>
          </w:tcPr>
          <w:p w14:paraId="6E85C410"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104,570 </w:t>
            </w:r>
          </w:p>
        </w:tc>
        <w:tc>
          <w:tcPr>
            <w:tcW w:w="343" w:type="pct"/>
            <w:tcBorders>
              <w:top w:val="nil"/>
              <w:left w:val="nil"/>
              <w:bottom w:val="nil"/>
              <w:right w:val="nil"/>
            </w:tcBorders>
            <w:vAlign w:val="bottom"/>
          </w:tcPr>
          <w:p w14:paraId="1CBF87CF"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173,746 </w:t>
            </w:r>
          </w:p>
        </w:tc>
        <w:tc>
          <w:tcPr>
            <w:tcW w:w="344" w:type="pct"/>
            <w:tcBorders>
              <w:top w:val="nil"/>
              <w:left w:val="nil"/>
              <w:bottom w:val="nil"/>
              <w:right w:val="nil"/>
            </w:tcBorders>
            <w:vAlign w:val="bottom"/>
          </w:tcPr>
          <w:p w14:paraId="7AC9DC8C"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vAlign w:val="bottom"/>
          </w:tcPr>
          <w:p w14:paraId="2D1EEA96"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2,737,317 </w:t>
            </w:r>
          </w:p>
        </w:tc>
      </w:tr>
      <w:tr w:rsidR="00587444" w:rsidRPr="00587444" w14:paraId="57203F79" w14:textId="77777777" w:rsidTr="00DD69E7">
        <w:trPr>
          <w:trHeight w:val="149"/>
          <w:jc w:val="center"/>
        </w:trPr>
        <w:tc>
          <w:tcPr>
            <w:tcW w:w="877" w:type="pct"/>
            <w:vAlign w:val="bottom"/>
          </w:tcPr>
          <w:p w14:paraId="0791F90B"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Financial assets at fair value through profit or loss</w:t>
            </w:r>
          </w:p>
        </w:tc>
        <w:tc>
          <w:tcPr>
            <w:tcW w:w="343" w:type="pct"/>
            <w:tcBorders>
              <w:top w:val="nil"/>
              <w:left w:val="nil"/>
              <w:bottom w:val="nil"/>
              <w:right w:val="nil"/>
            </w:tcBorders>
            <w:shd w:val="clear" w:color="auto" w:fill="auto"/>
            <w:vAlign w:val="bottom"/>
          </w:tcPr>
          <w:p w14:paraId="060BCC3A"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eastAsia="Calibri" w:hAnsi="Arial" w:cs="Arial"/>
                <w:color w:val="000000"/>
                <w:sz w:val="14"/>
                <w:szCs w:val="14"/>
                <w:lang w:val="hr-HR"/>
              </w:rPr>
              <w:t>-</w:t>
            </w:r>
          </w:p>
        </w:tc>
        <w:tc>
          <w:tcPr>
            <w:tcW w:w="344" w:type="pct"/>
            <w:tcBorders>
              <w:top w:val="nil"/>
              <w:left w:val="nil"/>
              <w:bottom w:val="nil"/>
              <w:right w:val="nil"/>
            </w:tcBorders>
            <w:shd w:val="clear" w:color="auto" w:fill="auto"/>
            <w:vAlign w:val="bottom"/>
          </w:tcPr>
          <w:p w14:paraId="0DA68D83"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498F9628"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shd w:val="clear" w:color="auto" w:fill="auto"/>
            <w:vAlign w:val="bottom"/>
          </w:tcPr>
          <w:p w14:paraId="248065E2"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6CD1516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eastAsia="Calibri" w:hAnsi="Arial" w:cs="Arial"/>
                <w:color w:val="000000"/>
                <w:sz w:val="14"/>
                <w:szCs w:val="14"/>
                <w:lang w:val="hr-HR"/>
              </w:rPr>
              <w:t xml:space="preserve"> 23,870 </w:t>
            </w:r>
          </w:p>
        </w:tc>
        <w:tc>
          <w:tcPr>
            <w:tcW w:w="344" w:type="pct"/>
            <w:tcBorders>
              <w:top w:val="nil"/>
              <w:left w:val="nil"/>
              <w:bottom w:val="nil"/>
              <w:right w:val="nil"/>
            </w:tcBorders>
            <w:shd w:val="clear" w:color="auto" w:fill="auto"/>
            <w:vAlign w:val="bottom"/>
          </w:tcPr>
          <w:p w14:paraId="352D1FD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highlight w:val="yellow"/>
                <w:lang w:val="hr-HR"/>
              </w:rPr>
            </w:pPr>
            <w:r w:rsidRPr="00587444">
              <w:rPr>
                <w:rFonts w:ascii="Arial" w:eastAsia="Calibri" w:hAnsi="Arial" w:cs="Arial"/>
                <w:color w:val="000000"/>
                <w:sz w:val="14"/>
                <w:szCs w:val="14"/>
                <w:lang w:val="hr-HR"/>
              </w:rPr>
              <w:t xml:space="preserve"> 23,870 </w:t>
            </w:r>
          </w:p>
        </w:tc>
        <w:tc>
          <w:tcPr>
            <w:tcW w:w="343" w:type="pct"/>
            <w:tcBorders>
              <w:top w:val="nil"/>
              <w:left w:val="nil"/>
              <w:bottom w:val="nil"/>
              <w:right w:val="nil"/>
            </w:tcBorders>
            <w:vAlign w:val="bottom"/>
          </w:tcPr>
          <w:p w14:paraId="1F2AFD6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4F4930A3"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45DBC896"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vAlign w:val="bottom"/>
          </w:tcPr>
          <w:p w14:paraId="1BAB078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0B4B674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shd w:val="clear" w:color="auto" w:fill="auto"/>
            <w:vAlign w:val="bottom"/>
          </w:tcPr>
          <w:p w14:paraId="66C60E52"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eastAsia="Calibri" w:hAnsi="Arial" w:cs="Arial"/>
                <w:color w:val="000000"/>
                <w:sz w:val="14"/>
                <w:szCs w:val="14"/>
                <w:lang w:val="hr-HR"/>
              </w:rPr>
              <w:t xml:space="preserve"> - </w:t>
            </w:r>
          </w:p>
        </w:tc>
      </w:tr>
      <w:tr w:rsidR="00587444" w:rsidRPr="00587444" w14:paraId="517290D3" w14:textId="77777777" w:rsidTr="00DD69E7">
        <w:trPr>
          <w:trHeight w:val="126"/>
          <w:jc w:val="center"/>
        </w:trPr>
        <w:tc>
          <w:tcPr>
            <w:tcW w:w="877" w:type="pct"/>
            <w:vAlign w:val="bottom"/>
          </w:tcPr>
          <w:p w14:paraId="0B2FDD14"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Financial assets at fair value through other comprehensive income</w:t>
            </w:r>
          </w:p>
        </w:tc>
        <w:tc>
          <w:tcPr>
            <w:tcW w:w="343" w:type="pct"/>
            <w:tcBorders>
              <w:top w:val="nil"/>
              <w:left w:val="nil"/>
              <w:bottom w:val="nil"/>
              <w:right w:val="nil"/>
            </w:tcBorders>
            <w:shd w:val="clear" w:color="auto" w:fill="auto"/>
            <w:vAlign w:val="bottom"/>
          </w:tcPr>
          <w:p w14:paraId="4640ECC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 xml:space="preserve"> 2,631,479 </w:t>
            </w:r>
          </w:p>
        </w:tc>
        <w:tc>
          <w:tcPr>
            <w:tcW w:w="344" w:type="pct"/>
            <w:tcBorders>
              <w:top w:val="nil"/>
              <w:left w:val="nil"/>
              <w:bottom w:val="nil"/>
              <w:right w:val="nil"/>
            </w:tcBorders>
            <w:shd w:val="clear" w:color="auto" w:fill="auto"/>
            <w:vAlign w:val="bottom"/>
          </w:tcPr>
          <w:p w14:paraId="43C7938F"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 xml:space="preserve"> 496 </w:t>
            </w:r>
          </w:p>
        </w:tc>
        <w:tc>
          <w:tcPr>
            <w:tcW w:w="344" w:type="pct"/>
            <w:tcBorders>
              <w:top w:val="nil"/>
              <w:left w:val="nil"/>
              <w:bottom w:val="nil"/>
              <w:right w:val="nil"/>
            </w:tcBorders>
            <w:shd w:val="clear" w:color="auto" w:fill="auto"/>
            <w:vAlign w:val="bottom"/>
          </w:tcPr>
          <w:p w14:paraId="5A74C0E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 xml:space="preserve"> 1,472 </w:t>
            </w:r>
          </w:p>
        </w:tc>
        <w:tc>
          <w:tcPr>
            <w:tcW w:w="343" w:type="pct"/>
            <w:tcBorders>
              <w:top w:val="nil"/>
              <w:left w:val="nil"/>
              <w:bottom w:val="nil"/>
              <w:right w:val="nil"/>
            </w:tcBorders>
            <w:shd w:val="clear" w:color="auto" w:fill="auto"/>
            <w:vAlign w:val="bottom"/>
          </w:tcPr>
          <w:p w14:paraId="4C19EDC2"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19C3050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69A4469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587444">
              <w:rPr>
                <w:rFonts w:ascii="Arial" w:eastAsia="Calibri" w:hAnsi="Arial" w:cs="Arial"/>
                <w:color w:val="000000"/>
                <w:sz w:val="14"/>
                <w:szCs w:val="14"/>
                <w:lang w:val="hr-HR"/>
              </w:rPr>
              <w:t xml:space="preserve"> 2,633,447 </w:t>
            </w:r>
          </w:p>
        </w:tc>
        <w:tc>
          <w:tcPr>
            <w:tcW w:w="343" w:type="pct"/>
            <w:tcBorders>
              <w:top w:val="nil"/>
              <w:left w:val="nil"/>
              <w:bottom w:val="nil"/>
              <w:right w:val="nil"/>
            </w:tcBorders>
            <w:shd w:val="clear" w:color="auto" w:fill="auto"/>
            <w:vAlign w:val="bottom"/>
          </w:tcPr>
          <w:p w14:paraId="5E35DEE8"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 xml:space="preserve"> 2,631,478 </w:t>
            </w:r>
          </w:p>
        </w:tc>
        <w:tc>
          <w:tcPr>
            <w:tcW w:w="344" w:type="pct"/>
            <w:tcBorders>
              <w:top w:val="nil"/>
              <w:left w:val="nil"/>
              <w:bottom w:val="nil"/>
              <w:right w:val="nil"/>
            </w:tcBorders>
            <w:shd w:val="clear" w:color="auto" w:fill="auto"/>
            <w:vAlign w:val="bottom"/>
          </w:tcPr>
          <w:p w14:paraId="53B55D5F"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 xml:space="preserve"> 496 </w:t>
            </w:r>
          </w:p>
        </w:tc>
        <w:tc>
          <w:tcPr>
            <w:tcW w:w="344" w:type="pct"/>
            <w:tcBorders>
              <w:top w:val="nil"/>
              <w:left w:val="nil"/>
              <w:bottom w:val="nil"/>
              <w:right w:val="nil"/>
            </w:tcBorders>
            <w:shd w:val="clear" w:color="auto" w:fill="auto"/>
            <w:vAlign w:val="bottom"/>
          </w:tcPr>
          <w:p w14:paraId="6FCBDF5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 xml:space="preserve"> 1,472 </w:t>
            </w:r>
          </w:p>
        </w:tc>
        <w:tc>
          <w:tcPr>
            <w:tcW w:w="343" w:type="pct"/>
            <w:tcBorders>
              <w:top w:val="nil"/>
              <w:left w:val="nil"/>
              <w:bottom w:val="nil"/>
              <w:right w:val="nil"/>
            </w:tcBorders>
            <w:shd w:val="clear" w:color="auto" w:fill="auto"/>
            <w:vAlign w:val="bottom"/>
          </w:tcPr>
          <w:p w14:paraId="7B44515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06F25CB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shd w:val="clear" w:color="auto" w:fill="auto"/>
            <w:vAlign w:val="bottom"/>
          </w:tcPr>
          <w:p w14:paraId="1ADAA82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587444">
              <w:rPr>
                <w:rFonts w:ascii="Arial" w:eastAsia="Calibri" w:hAnsi="Arial" w:cs="Arial"/>
                <w:color w:val="000000"/>
                <w:sz w:val="14"/>
                <w:szCs w:val="14"/>
                <w:lang w:val="hr-HR"/>
              </w:rPr>
              <w:t xml:space="preserve"> 2,633,446 </w:t>
            </w:r>
          </w:p>
        </w:tc>
      </w:tr>
      <w:tr w:rsidR="00587444" w:rsidRPr="00587444" w14:paraId="30C38D91" w14:textId="77777777" w:rsidTr="00DD69E7">
        <w:trPr>
          <w:trHeight w:hRule="exact" w:val="227"/>
          <w:jc w:val="center"/>
        </w:trPr>
        <w:tc>
          <w:tcPr>
            <w:tcW w:w="877" w:type="pct"/>
            <w:vAlign w:val="bottom"/>
          </w:tcPr>
          <w:p w14:paraId="332ADD9F"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Other assets</w:t>
            </w:r>
          </w:p>
        </w:tc>
        <w:tc>
          <w:tcPr>
            <w:tcW w:w="343" w:type="pct"/>
            <w:tcBorders>
              <w:top w:val="nil"/>
              <w:left w:val="nil"/>
              <w:bottom w:val="single" w:sz="8" w:space="0" w:color="auto"/>
              <w:right w:val="nil"/>
            </w:tcBorders>
            <w:shd w:val="clear" w:color="auto" w:fill="auto"/>
            <w:vAlign w:val="bottom"/>
          </w:tcPr>
          <w:p w14:paraId="0E84F6FB"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 xml:space="preserve"> 8,228 </w:t>
            </w:r>
          </w:p>
        </w:tc>
        <w:tc>
          <w:tcPr>
            <w:tcW w:w="344" w:type="pct"/>
            <w:tcBorders>
              <w:top w:val="nil"/>
              <w:left w:val="nil"/>
              <w:bottom w:val="single" w:sz="8" w:space="0" w:color="auto"/>
              <w:right w:val="nil"/>
            </w:tcBorders>
            <w:shd w:val="clear" w:color="auto" w:fill="auto"/>
            <w:vAlign w:val="bottom"/>
          </w:tcPr>
          <w:p w14:paraId="1E03A2F9"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 xml:space="preserve"> 2 </w:t>
            </w:r>
          </w:p>
        </w:tc>
        <w:tc>
          <w:tcPr>
            <w:tcW w:w="344" w:type="pct"/>
            <w:tcBorders>
              <w:top w:val="nil"/>
              <w:left w:val="nil"/>
              <w:bottom w:val="single" w:sz="8" w:space="0" w:color="auto"/>
              <w:right w:val="nil"/>
            </w:tcBorders>
            <w:shd w:val="clear" w:color="auto" w:fill="auto"/>
            <w:vAlign w:val="bottom"/>
          </w:tcPr>
          <w:p w14:paraId="0C8FEF3F"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 xml:space="preserve"> 1,430 </w:t>
            </w:r>
          </w:p>
        </w:tc>
        <w:tc>
          <w:tcPr>
            <w:tcW w:w="343" w:type="pct"/>
            <w:tcBorders>
              <w:top w:val="nil"/>
              <w:left w:val="nil"/>
              <w:bottom w:val="single" w:sz="8" w:space="0" w:color="auto"/>
              <w:right w:val="nil"/>
            </w:tcBorders>
            <w:shd w:val="clear" w:color="auto" w:fill="auto"/>
            <w:vAlign w:val="bottom"/>
          </w:tcPr>
          <w:p w14:paraId="08D9EDA0"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 xml:space="preserve"> 58 </w:t>
            </w:r>
          </w:p>
        </w:tc>
        <w:tc>
          <w:tcPr>
            <w:tcW w:w="344" w:type="pct"/>
            <w:tcBorders>
              <w:top w:val="nil"/>
              <w:left w:val="nil"/>
              <w:bottom w:val="single" w:sz="8" w:space="0" w:color="auto"/>
              <w:right w:val="nil"/>
            </w:tcBorders>
            <w:shd w:val="clear" w:color="auto" w:fill="auto"/>
            <w:vAlign w:val="bottom"/>
          </w:tcPr>
          <w:p w14:paraId="2B7DCD45"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single" w:sz="8" w:space="0" w:color="auto"/>
              <w:right w:val="nil"/>
            </w:tcBorders>
            <w:shd w:val="clear" w:color="auto" w:fill="auto"/>
            <w:vAlign w:val="bottom"/>
          </w:tcPr>
          <w:p w14:paraId="1438A81C"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 xml:space="preserve"> 9,718 </w:t>
            </w:r>
          </w:p>
        </w:tc>
        <w:tc>
          <w:tcPr>
            <w:tcW w:w="343" w:type="pct"/>
            <w:tcBorders>
              <w:top w:val="nil"/>
              <w:left w:val="nil"/>
              <w:bottom w:val="single" w:sz="8" w:space="0" w:color="auto"/>
              <w:right w:val="nil"/>
            </w:tcBorders>
            <w:vAlign w:val="bottom"/>
          </w:tcPr>
          <w:p w14:paraId="5C95FE0E"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 xml:space="preserve"> 2,139 </w:t>
            </w:r>
          </w:p>
        </w:tc>
        <w:tc>
          <w:tcPr>
            <w:tcW w:w="344" w:type="pct"/>
            <w:tcBorders>
              <w:top w:val="nil"/>
              <w:left w:val="nil"/>
              <w:bottom w:val="single" w:sz="8" w:space="0" w:color="auto"/>
              <w:right w:val="nil"/>
            </w:tcBorders>
            <w:vAlign w:val="bottom"/>
          </w:tcPr>
          <w:p w14:paraId="01404EA9"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 xml:space="preserve"> 2 </w:t>
            </w:r>
          </w:p>
        </w:tc>
        <w:tc>
          <w:tcPr>
            <w:tcW w:w="344" w:type="pct"/>
            <w:tcBorders>
              <w:top w:val="nil"/>
              <w:left w:val="nil"/>
              <w:bottom w:val="single" w:sz="8" w:space="0" w:color="auto"/>
              <w:right w:val="nil"/>
            </w:tcBorders>
            <w:vAlign w:val="bottom"/>
          </w:tcPr>
          <w:p w14:paraId="1B164844"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 xml:space="preserve"> 1,428 </w:t>
            </w:r>
          </w:p>
        </w:tc>
        <w:tc>
          <w:tcPr>
            <w:tcW w:w="343" w:type="pct"/>
            <w:tcBorders>
              <w:top w:val="nil"/>
              <w:left w:val="nil"/>
              <w:bottom w:val="single" w:sz="8" w:space="0" w:color="auto"/>
              <w:right w:val="nil"/>
            </w:tcBorders>
            <w:vAlign w:val="bottom"/>
          </w:tcPr>
          <w:p w14:paraId="40DF2C40"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 xml:space="preserve"> 58 </w:t>
            </w:r>
          </w:p>
        </w:tc>
        <w:tc>
          <w:tcPr>
            <w:tcW w:w="344" w:type="pct"/>
            <w:tcBorders>
              <w:top w:val="nil"/>
              <w:left w:val="nil"/>
              <w:bottom w:val="single" w:sz="8" w:space="0" w:color="auto"/>
              <w:right w:val="nil"/>
            </w:tcBorders>
            <w:vAlign w:val="bottom"/>
          </w:tcPr>
          <w:p w14:paraId="4CB16688"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w:t>
            </w:r>
          </w:p>
        </w:tc>
        <w:tc>
          <w:tcPr>
            <w:tcW w:w="343" w:type="pct"/>
            <w:tcBorders>
              <w:top w:val="nil"/>
              <w:left w:val="nil"/>
              <w:bottom w:val="single" w:sz="8" w:space="0" w:color="auto"/>
              <w:right w:val="nil"/>
            </w:tcBorders>
            <w:vAlign w:val="bottom"/>
          </w:tcPr>
          <w:p w14:paraId="4CB7584E"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 xml:space="preserve"> 3,627 </w:t>
            </w:r>
          </w:p>
        </w:tc>
      </w:tr>
      <w:tr w:rsidR="00587444" w:rsidRPr="00587444" w14:paraId="0D40B411" w14:textId="77777777" w:rsidTr="00DD69E7">
        <w:trPr>
          <w:trHeight w:val="60"/>
          <w:jc w:val="center"/>
        </w:trPr>
        <w:tc>
          <w:tcPr>
            <w:tcW w:w="877" w:type="pct"/>
          </w:tcPr>
          <w:p w14:paraId="591AB65C"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Total</w:t>
            </w:r>
          </w:p>
        </w:tc>
        <w:tc>
          <w:tcPr>
            <w:tcW w:w="343" w:type="pct"/>
            <w:tcBorders>
              <w:top w:val="nil"/>
              <w:left w:val="nil"/>
              <w:bottom w:val="single" w:sz="12" w:space="0" w:color="auto"/>
              <w:right w:val="nil"/>
            </w:tcBorders>
            <w:shd w:val="clear" w:color="auto" w:fill="auto"/>
            <w:vAlign w:val="bottom"/>
          </w:tcPr>
          <w:p w14:paraId="70D2DA96"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24,739,096 </w:t>
            </w:r>
          </w:p>
        </w:tc>
        <w:tc>
          <w:tcPr>
            <w:tcW w:w="344" w:type="pct"/>
            <w:tcBorders>
              <w:top w:val="nil"/>
              <w:left w:val="nil"/>
              <w:bottom w:val="single" w:sz="12" w:space="0" w:color="auto"/>
              <w:right w:val="nil"/>
            </w:tcBorders>
            <w:shd w:val="clear" w:color="auto" w:fill="auto"/>
            <w:vAlign w:val="bottom"/>
          </w:tcPr>
          <w:p w14:paraId="64188D4C"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1,711,052 </w:t>
            </w:r>
          </w:p>
        </w:tc>
        <w:tc>
          <w:tcPr>
            <w:tcW w:w="344" w:type="pct"/>
            <w:tcBorders>
              <w:top w:val="nil"/>
              <w:left w:val="nil"/>
              <w:bottom w:val="single" w:sz="12" w:space="0" w:color="auto"/>
              <w:right w:val="nil"/>
            </w:tcBorders>
            <w:shd w:val="clear" w:color="auto" w:fill="auto"/>
            <w:vAlign w:val="bottom"/>
          </w:tcPr>
          <w:p w14:paraId="1CF1908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1,150,641 </w:t>
            </w:r>
          </w:p>
        </w:tc>
        <w:tc>
          <w:tcPr>
            <w:tcW w:w="343" w:type="pct"/>
            <w:tcBorders>
              <w:top w:val="nil"/>
              <w:left w:val="nil"/>
              <w:bottom w:val="single" w:sz="12" w:space="0" w:color="auto"/>
              <w:right w:val="nil"/>
            </w:tcBorders>
            <w:shd w:val="clear" w:color="auto" w:fill="auto"/>
            <w:vAlign w:val="bottom"/>
          </w:tcPr>
          <w:p w14:paraId="7A423E7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1,184,853 </w:t>
            </w:r>
          </w:p>
        </w:tc>
        <w:tc>
          <w:tcPr>
            <w:tcW w:w="344" w:type="pct"/>
            <w:tcBorders>
              <w:top w:val="nil"/>
              <w:left w:val="nil"/>
              <w:bottom w:val="single" w:sz="12" w:space="0" w:color="auto"/>
              <w:right w:val="nil"/>
            </w:tcBorders>
            <w:shd w:val="clear" w:color="auto" w:fill="auto"/>
            <w:vAlign w:val="bottom"/>
          </w:tcPr>
          <w:p w14:paraId="5A62661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23,870 </w:t>
            </w:r>
          </w:p>
        </w:tc>
        <w:tc>
          <w:tcPr>
            <w:tcW w:w="344" w:type="pct"/>
            <w:tcBorders>
              <w:top w:val="nil"/>
              <w:left w:val="nil"/>
              <w:bottom w:val="single" w:sz="12" w:space="0" w:color="auto"/>
              <w:right w:val="nil"/>
            </w:tcBorders>
            <w:shd w:val="clear" w:color="auto" w:fill="auto"/>
            <w:vAlign w:val="bottom"/>
          </w:tcPr>
          <w:p w14:paraId="0BF46A7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28,809,512 </w:t>
            </w:r>
          </w:p>
        </w:tc>
        <w:tc>
          <w:tcPr>
            <w:tcW w:w="343" w:type="pct"/>
            <w:tcBorders>
              <w:top w:val="nil"/>
              <w:left w:val="nil"/>
              <w:bottom w:val="single" w:sz="12" w:space="0" w:color="auto"/>
              <w:right w:val="nil"/>
            </w:tcBorders>
            <w:vAlign w:val="bottom"/>
          </w:tcPr>
          <w:p w14:paraId="3AA5EBD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4,952,572 </w:t>
            </w:r>
          </w:p>
        </w:tc>
        <w:tc>
          <w:tcPr>
            <w:tcW w:w="344" w:type="pct"/>
            <w:tcBorders>
              <w:top w:val="nil"/>
              <w:left w:val="nil"/>
              <w:bottom w:val="single" w:sz="12" w:space="0" w:color="auto"/>
              <w:right w:val="nil"/>
            </w:tcBorders>
            <w:vAlign w:val="bottom"/>
          </w:tcPr>
          <w:p w14:paraId="0A566EC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140,544 </w:t>
            </w:r>
          </w:p>
        </w:tc>
        <w:tc>
          <w:tcPr>
            <w:tcW w:w="344" w:type="pct"/>
            <w:tcBorders>
              <w:top w:val="nil"/>
              <w:left w:val="nil"/>
              <w:bottom w:val="single" w:sz="12" w:space="0" w:color="auto"/>
              <w:right w:val="nil"/>
            </w:tcBorders>
            <w:vAlign w:val="bottom"/>
          </w:tcPr>
          <w:p w14:paraId="30E58F6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107,470 </w:t>
            </w:r>
          </w:p>
        </w:tc>
        <w:tc>
          <w:tcPr>
            <w:tcW w:w="343" w:type="pct"/>
            <w:tcBorders>
              <w:top w:val="nil"/>
              <w:left w:val="nil"/>
              <w:bottom w:val="single" w:sz="12" w:space="0" w:color="auto"/>
              <w:right w:val="nil"/>
            </w:tcBorders>
            <w:vAlign w:val="bottom"/>
          </w:tcPr>
          <w:p w14:paraId="71BC4A72"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173,804 </w:t>
            </w:r>
          </w:p>
        </w:tc>
        <w:tc>
          <w:tcPr>
            <w:tcW w:w="344" w:type="pct"/>
            <w:tcBorders>
              <w:top w:val="nil"/>
              <w:left w:val="nil"/>
              <w:bottom w:val="single" w:sz="12" w:space="0" w:color="auto"/>
              <w:right w:val="nil"/>
            </w:tcBorders>
            <w:vAlign w:val="bottom"/>
          </w:tcPr>
          <w:p w14:paraId="5F80EF4C"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 </w:t>
            </w:r>
          </w:p>
        </w:tc>
        <w:tc>
          <w:tcPr>
            <w:tcW w:w="343" w:type="pct"/>
            <w:tcBorders>
              <w:top w:val="nil"/>
              <w:left w:val="nil"/>
              <w:bottom w:val="single" w:sz="12" w:space="0" w:color="auto"/>
              <w:right w:val="nil"/>
            </w:tcBorders>
            <w:vAlign w:val="bottom"/>
          </w:tcPr>
          <w:p w14:paraId="7069286C"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5,374,390 </w:t>
            </w:r>
          </w:p>
        </w:tc>
      </w:tr>
      <w:tr w:rsidR="00587444" w:rsidRPr="00587444" w14:paraId="5038049D" w14:textId="77777777" w:rsidTr="00DD69E7">
        <w:trPr>
          <w:trHeight w:val="200"/>
          <w:jc w:val="center"/>
        </w:trPr>
        <w:tc>
          <w:tcPr>
            <w:tcW w:w="877" w:type="pct"/>
          </w:tcPr>
          <w:p w14:paraId="0648BB55" w14:textId="77777777" w:rsidR="00587444" w:rsidRPr="00587444" w:rsidRDefault="00587444" w:rsidP="00587444">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Guarantees and commitments</w:t>
            </w:r>
          </w:p>
        </w:tc>
        <w:tc>
          <w:tcPr>
            <w:tcW w:w="343" w:type="pct"/>
            <w:tcBorders>
              <w:top w:val="nil"/>
              <w:left w:val="nil"/>
              <w:bottom w:val="nil"/>
              <w:right w:val="nil"/>
            </w:tcBorders>
            <w:shd w:val="clear" w:color="auto" w:fill="auto"/>
            <w:vAlign w:val="bottom"/>
          </w:tcPr>
          <w:p w14:paraId="2F476679"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4" w:type="pct"/>
            <w:tcBorders>
              <w:top w:val="nil"/>
              <w:left w:val="nil"/>
              <w:bottom w:val="nil"/>
              <w:right w:val="nil"/>
            </w:tcBorders>
            <w:shd w:val="clear" w:color="auto" w:fill="auto"/>
            <w:vAlign w:val="bottom"/>
          </w:tcPr>
          <w:p w14:paraId="61330B71"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4" w:type="pct"/>
            <w:tcBorders>
              <w:top w:val="nil"/>
              <w:left w:val="nil"/>
              <w:bottom w:val="nil"/>
              <w:right w:val="nil"/>
            </w:tcBorders>
            <w:shd w:val="clear" w:color="auto" w:fill="auto"/>
            <w:vAlign w:val="bottom"/>
          </w:tcPr>
          <w:p w14:paraId="7E4AE5EF"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3" w:type="pct"/>
            <w:tcBorders>
              <w:top w:val="nil"/>
              <w:left w:val="nil"/>
              <w:bottom w:val="nil"/>
              <w:right w:val="nil"/>
            </w:tcBorders>
            <w:shd w:val="clear" w:color="auto" w:fill="auto"/>
            <w:vAlign w:val="bottom"/>
          </w:tcPr>
          <w:p w14:paraId="1A63F3A5"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4" w:type="pct"/>
            <w:tcBorders>
              <w:top w:val="nil"/>
              <w:left w:val="nil"/>
              <w:bottom w:val="nil"/>
              <w:right w:val="nil"/>
            </w:tcBorders>
            <w:shd w:val="clear" w:color="auto" w:fill="auto"/>
            <w:vAlign w:val="bottom"/>
          </w:tcPr>
          <w:p w14:paraId="0786B120"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4" w:type="pct"/>
            <w:tcBorders>
              <w:top w:val="nil"/>
              <w:left w:val="nil"/>
              <w:bottom w:val="nil"/>
              <w:right w:val="nil"/>
            </w:tcBorders>
            <w:shd w:val="clear" w:color="auto" w:fill="auto"/>
            <w:vAlign w:val="bottom"/>
          </w:tcPr>
          <w:p w14:paraId="5545C43B"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3" w:type="pct"/>
            <w:tcBorders>
              <w:top w:val="nil"/>
              <w:left w:val="nil"/>
              <w:bottom w:val="nil"/>
              <w:right w:val="nil"/>
            </w:tcBorders>
            <w:vAlign w:val="bottom"/>
          </w:tcPr>
          <w:p w14:paraId="708600B2"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4" w:type="pct"/>
            <w:tcBorders>
              <w:top w:val="nil"/>
              <w:left w:val="nil"/>
              <w:bottom w:val="nil"/>
              <w:right w:val="nil"/>
            </w:tcBorders>
            <w:vAlign w:val="bottom"/>
          </w:tcPr>
          <w:p w14:paraId="5FD590C4"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4" w:type="pct"/>
            <w:tcBorders>
              <w:top w:val="nil"/>
              <w:left w:val="nil"/>
              <w:bottom w:val="nil"/>
              <w:right w:val="nil"/>
            </w:tcBorders>
            <w:vAlign w:val="bottom"/>
          </w:tcPr>
          <w:p w14:paraId="1F1FA2D2"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3" w:type="pct"/>
            <w:tcBorders>
              <w:top w:val="nil"/>
              <w:left w:val="nil"/>
              <w:bottom w:val="nil"/>
              <w:right w:val="nil"/>
            </w:tcBorders>
            <w:vAlign w:val="bottom"/>
          </w:tcPr>
          <w:p w14:paraId="1BB6102F"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4" w:type="pct"/>
            <w:tcBorders>
              <w:top w:val="nil"/>
              <w:left w:val="nil"/>
              <w:bottom w:val="nil"/>
              <w:right w:val="nil"/>
            </w:tcBorders>
            <w:vAlign w:val="bottom"/>
          </w:tcPr>
          <w:p w14:paraId="32978FE6"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3" w:type="pct"/>
            <w:tcBorders>
              <w:top w:val="nil"/>
              <w:left w:val="nil"/>
              <w:bottom w:val="nil"/>
              <w:right w:val="nil"/>
            </w:tcBorders>
            <w:vAlign w:val="bottom"/>
          </w:tcPr>
          <w:p w14:paraId="7B784690"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r>
      <w:tr w:rsidR="00587444" w:rsidRPr="00587444" w14:paraId="7154D2F0" w14:textId="77777777" w:rsidTr="00DD69E7">
        <w:trPr>
          <w:trHeight w:val="200"/>
          <w:jc w:val="center"/>
        </w:trPr>
        <w:tc>
          <w:tcPr>
            <w:tcW w:w="877" w:type="pct"/>
            <w:vAlign w:val="bottom"/>
          </w:tcPr>
          <w:p w14:paraId="1015D015"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Guarantees issued in HRK</w:t>
            </w:r>
          </w:p>
        </w:tc>
        <w:tc>
          <w:tcPr>
            <w:tcW w:w="343" w:type="pct"/>
            <w:tcBorders>
              <w:top w:val="nil"/>
              <w:left w:val="nil"/>
              <w:bottom w:val="nil"/>
              <w:right w:val="nil"/>
            </w:tcBorders>
            <w:shd w:val="clear" w:color="auto" w:fill="auto"/>
            <w:vAlign w:val="bottom"/>
          </w:tcPr>
          <w:p w14:paraId="2FDC6F53"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22,390 </w:t>
            </w:r>
          </w:p>
        </w:tc>
        <w:tc>
          <w:tcPr>
            <w:tcW w:w="344" w:type="pct"/>
            <w:tcBorders>
              <w:top w:val="nil"/>
              <w:left w:val="nil"/>
              <w:bottom w:val="nil"/>
              <w:right w:val="nil"/>
            </w:tcBorders>
            <w:shd w:val="clear" w:color="auto" w:fill="auto"/>
            <w:vAlign w:val="bottom"/>
          </w:tcPr>
          <w:p w14:paraId="36A797BF"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2,574 </w:t>
            </w:r>
          </w:p>
        </w:tc>
        <w:tc>
          <w:tcPr>
            <w:tcW w:w="344" w:type="pct"/>
            <w:tcBorders>
              <w:top w:val="nil"/>
              <w:left w:val="nil"/>
              <w:bottom w:val="nil"/>
              <w:right w:val="nil"/>
            </w:tcBorders>
            <w:shd w:val="clear" w:color="auto" w:fill="auto"/>
            <w:vAlign w:val="bottom"/>
          </w:tcPr>
          <w:p w14:paraId="567556FF"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61,506 </w:t>
            </w:r>
          </w:p>
        </w:tc>
        <w:tc>
          <w:tcPr>
            <w:tcW w:w="343" w:type="pct"/>
            <w:tcBorders>
              <w:top w:val="nil"/>
              <w:left w:val="nil"/>
              <w:bottom w:val="nil"/>
              <w:right w:val="nil"/>
            </w:tcBorders>
            <w:shd w:val="clear" w:color="auto" w:fill="auto"/>
            <w:vAlign w:val="bottom"/>
          </w:tcPr>
          <w:p w14:paraId="6E9761F4"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4095CE5E"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4E1AC862"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86,470 </w:t>
            </w:r>
          </w:p>
        </w:tc>
        <w:tc>
          <w:tcPr>
            <w:tcW w:w="343" w:type="pct"/>
            <w:tcBorders>
              <w:top w:val="nil"/>
              <w:left w:val="nil"/>
              <w:bottom w:val="nil"/>
              <w:right w:val="nil"/>
            </w:tcBorders>
            <w:vAlign w:val="bottom"/>
          </w:tcPr>
          <w:p w14:paraId="74864871"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20,517 </w:t>
            </w:r>
          </w:p>
        </w:tc>
        <w:tc>
          <w:tcPr>
            <w:tcW w:w="344" w:type="pct"/>
            <w:tcBorders>
              <w:top w:val="nil"/>
              <w:left w:val="nil"/>
              <w:bottom w:val="nil"/>
              <w:right w:val="nil"/>
            </w:tcBorders>
            <w:vAlign w:val="bottom"/>
          </w:tcPr>
          <w:p w14:paraId="5E960605"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7 </w:t>
            </w:r>
          </w:p>
        </w:tc>
        <w:tc>
          <w:tcPr>
            <w:tcW w:w="344" w:type="pct"/>
            <w:tcBorders>
              <w:top w:val="nil"/>
              <w:left w:val="nil"/>
              <w:bottom w:val="nil"/>
              <w:right w:val="nil"/>
            </w:tcBorders>
            <w:vAlign w:val="bottom"/>
          </w:tcPr>
          <w:p w14:paraId="3C71C81B"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36,831 </w:t>
            </w:r>
          </w:p>
        </w:tc>
        <w:tc>
          <w:tcPr>
            <w:tcW w:w="343" w:type="pct"/>
            <w:tcBorders>
              <w:top w:val="nil"/>
              <w:left w:val="nil"/>
              <w:bottom w:val="nil"/>
              <w:right w:val="nil"/>
            </w:tcBorders>
            <w:vAlign w:val="bottom"/>
          </w:tcPr>
          <w:p w14:paraId="741688ED"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1F8FD320"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vAlign w:val="bottom"/>
          </w:tcPr>
          <w:p w14:paraId="6BA3432C"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57,355 </w:t>
            </w:r>
          </w:p>
        </w:tc>
      </w:tr>
      <w:tr w:rsidR="00587444" w:rsidRPr="00587444" w14:paraId="64E8457F" w14:textId="77777777" w:rsidTr="00DD69E7">
        <w:trPr>
          <w:trHeight w:val="200"/>
          <w:jc w:val="center"/>
        </w:trPr>
        <w:tc>
          <w:tcPr>
            <w:tcW w:w="877" w:type="pct"/>
            <w:vAlign w:val="bottom"/>
          </w:tcPr>
          <w:p w14:paraId="5E2D2703"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Issued guarantees in foreign currency</w:t>
            </w:r>
          </w:p>
        </w:tc>
        <w:tc>
          <w:tcPr>
            <w:tcW w:w="343" w:type="pct"/>
            <w:tcBorders>
              <w:top w:val="nil"/>
              <w:left w:val="nil"/>
              <w:bottom w:val="nil"/>
              <w:right w:val="nil"/>
            </w:tcBorders>
            <w:shd w:val="clear" w:color="auto" w:fill="auto"/>
            <w:vAlign w:val="bottom"/>
          </w:tcPr>
          <w:p w14:paraId="053E989A"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97,756 </w:t>
            </w:r>
          </w:p>
        </w:tc>
        <w:tc>
          <w:tcPr>
            <w:tcW w:w="344" w:type="pct"/>
            <w:tcBorders>
              <w:top w:val="nil"/>
              <w:left w:val="nil"/>
              <w:bottom w:val="nil"/>
              <w:right w:val="nil"/>
            </w:tcBorders>
            <w:shd w:val="clear" w:color="auto" w:fill="auto"/>
            <w:vAlign w:val="bottom"/>
          </w:tcPr>
          <w:p w14:paraId="4D70FEBF"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317 </w:t>
            </w:r>
          </w:p>
        </w:tc>
        <w:tc>
          <w:tcPr>
            <w:tcW w:w="344" w:type="pct"/>
            <w:tcBorders>
              <w:top w:val="nil"/>
              <w:left w:val="nil"/>
              <w:bottom w:val="nil"/>
              <w:right w:val="nil"/>
            </w:tcBorders>
            <w:shd w:val="clear" w:color="auto" w:fill="auto"/>
            <w:vAlign w:val="bottom"/>
          </w:tcPr>
          <w:p w14:paraId="02E9C513"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64,443 </w:t>
            </w:r>
          </w:p>
        </w:tc>
        <w:tc>
          <w:tcPr>
            <w:tcW w:w="343" w:type="pct"/>
            <w:tcBorders>
              <w:top w:val="nil"/>
              <w:left w:val="nil"/>
              <w:bottom w:val="nil"/>
              <w:right w:val="nil"/>
            </w:tcBorders>
            <w:shd w:val="clear" w:color="auto" w:fill="auto"/>
            <w:vAlign w:val="bottom"/>
          </w:tcPr>
          <w:p w14:paraId="5D3A1BA7"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1943C6E4"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5831CE8D"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162,516 </w:t>
            </w:r>
          </w:p>
        </w:tc>
        <w:tc>
          <w:tcPr>
            <w:tcW w:w="343" w:type="pct"/>
            <w:tcBorders>
              <w:top w:val="nil"/>
              <w:left w:val="nil"/>
              <w:bottom w:val="nil"/>
              <w:right w:val="nil"/>
            </w:tcBorders>
            <w:vAlign w:val="bottom"/>
          </w:tcPr>
          <w:p w14:paraId="09CDDA22"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96,454 </w:t>
            </w:r>
          </w:p>
        </w:tc>
        <w:tc>
          <w:tcPr>
            <w:tcW w:w="344" w:type="pct"/>
            <w:tcBorders>
              <w:top w:val="nil"/>
              <w:left w:val="nil"/>
              <w:bottom w:val="nil"/>
              <w:right w:val="nil"/>
            </w:tcBorders>
            <w:vAlign w:val="bottom"/>
          </w:tcPr>
          <w:p w14:paraId="3935F4D6"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65FE8F34"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30,609 </w:t>
            </w:r>
          </w:p>
        </w:tc>
        <w:tc>
          <w:tcPr>
            <w:tcW w:w="343" w:type="pct"/>
            <w:tcBorders>
              <w:top w:val="nil"/>
              <w:left w:val="nil"/>
              <w:bottom w:val="nil"/>
              <w:right w:val="nil"/>
            </w:tcBorders>
            <w:vAlign w:val="bottom"/>
          </w:tcPr>
          <w:p w14:paraId="71C8B972"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3C7F3869"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vAlign w:val="bottom"/>
          </w:tcPr>
          <w:p w14:paraId="77A3E07E"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127,063 </w:t>
            </w:r>
          </w:p>
        </w:tc>
      </w:tr>
      <w:tr w:rsidR="00587444" w:rsidRPr="00587444" w14:paraId="7384F6D7" w14:textId="77777777" w:rsidTr="00DD69E7">
        <w:trPr>
          <w:trHeight w:val="200"/>
          <w:jc w:val="center"/>
        </w:trPr>
        <w:tc>
          <w:tcPr>
            <w:tcW w:w="877" w:type="pct"/>
            <w:vAlign w:val="bottom"/>
          </w:tcPr>
          <w:p w14:paraId="47A5A9D9" w14:textId="77777777" w:rsidR="00175A91"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Open let</w:t>
            </w:r>
            <w:r w:rsidR="005D302B">
              <w:rPr>
                <w:rFonts w:ascii="Arial" w:eastAsia="Calibri" w:hAnsi="Arial" w:cs="Arial"/>
                <w:sz w:val="14"/>
                <w:szCs w:val="14"/>
                <w:lang w:val="en-GB"/>
              </w:rPr>
              <w:t>t</w:t>
            </w:r>
            <w:r w:rsidRPr="00587444">
              <w:rPr>
                <w:rFonts w:ascii="Arial" w:eastAsia="Calibri" w:hAnsi="Arial" w:cs="Arial"/>
                <w:sz w:val="14"/>
                <w:szCs w:val="14"/>
                <w:lang w:val="en-GB"/>
              </w:rPr>
              <w:t xml:space="preserve">ers of credit in foreign </w:t>
            </w:r>
          </w:p>
          <w:p w14:paraId="3DBEFF90" w14:textId="13052694"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currency</w:t>
            </w:r>
          </w:p>
        </w:tc>
        <w:tc>
          <w:tcPr>
            <w:tcW w:w="343" w:type="pct"/>
            <w:tcBorders>
              <w:top w:val="nil"/>
              <w:left w:val="nil"/>
              <w:bottom w:val="nil"/>
              <w:right w:val="nil"/>
            </w:tcBorders>
            <w:shd w:val="clear" w:color="auto" w:fill="auto"/>
            <w:vAlign w:val="bottom"/>
          </w:tcPr>
          <w:p w14:paraId="635F1CC3"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52DF62CB"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5EDDEC8C"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shd w:val="clear" w:color="auto" w:fill="auto"/>
            <w:vAlign w:val="bottom"/>
          </w:tcPr>
          <w:p w14:paraId="02C898CB"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649A66BB"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1,243 </w:t>
            </w:r>
          </w:p>
        </w:tc>
        <w:tc>
          <w:tcPr>
            <w:tcW w:w="344" w:type="pct"/>
            <w:tcBorders>
              <w:top w:val="nil"/>
              <w:left w:val="nil"/>
              <w:bottom w:val="nil"/>
              <w:right w:val="nil"/>
            </w:tcBorders>
            <w:shd w:val="clear" w:color="auto" w:fill="auto"/>
            <w:vAlign w:val="bottom"/>
          </w:tcPr>
          <w:p w14:paraId="1263FC9D"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1,243 </w:t>
            </w:r>
          </w:p>
        </w:tc>
        <w:tc>
          <w:tcPr>
            <w:tcW w:w="343" w:type="pct"/>
            <w:tcBorders>
              <w:top w:val="nil"/>
              <w:left w:val="nil"/>
              <w:bottom w:val="nil"/>
              <w:right w:val="nil"/>
            </w:tcBorders>
            <w:vAlign w:val="bottom"/>
          </w:tcPr>
          <w:p w14:paraId="20DED400"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w:t>
            </w:r>
          </w:p>
        </w:tc>
        <w:tc>
          <w:tcPr>
            <w:tcW w:w="344" w:type="pct"/>
            <w:tcBorders>
              <w:top w:val="nil"/>
              <w:left w:val="nil"/>
              <w:bottom w:val="nil"/>
              <w:right w:val="nil"/>
            </w:tcBorders>
            <w:vAlign w:val="bottom"/>
          </w:tcPr>
          <w:p w14:paraId="1F77C9FC"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w:t>
            </w:r>
          </w:p>
        </w:tc>
        <w:tc>
          <w:tcPr>
            <w:tcW w:w="344" w:type="pct"/>
            <w:tcBorders>
              <w:top w:val="nil"/>
              <w:left w:val="nil"/>
              <w:bottom w:val="nil"/>
              <w:right w:val="nil"/>
            </w:tcBorders>
            <w:vAlign w:val="bottom"/>
          </w:tcPr>
          <w:p w14:paraId="518C950C"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w:t>
            </w:r>
          </w:p>
        </w:tc>
        <w:tc>
          <w:tcPr>
            <w:tcW w:w="343" w:type="pct"/>
            <w:tcBorders>
              <w:top w:val="nil"/>
              <w:left w:val="nil"/>
              <w:bottom w:val="nil"/>
              <w:right w:val="nil"/>
            </w:tcBorders>
            <w:vAlign w:val="bottom"/>
          </w:tcPr>
          <w:p w14:paraId="193ED8A9"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w:t>
            </w:r>
          </w:p>
        </w:tc>
        <w:tc>
          <w:tcPr>
            <w:tcW w:w="344" w:type="pct"/>
            <w:tcBorders>
              <w:top w:val="nil"/>
              <w:left w:val="nil"/>
              <w:bottom w:val="nil"/>
              <w:right w:val="nil"/>
            </w:tcBorders>
            <w:vAlign w:val="bottom"/>
          </w:tcPr>
          <w:p w14:paraId="1B0A8312"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w:t>
            </w:r>
          </w:p>
        </w:tc>
        <w:tc>
          <w:tcPr>
            <w:tcW w:w="343" w:type="pct"/>
            <w:tcBorders>
              <w:top w:val="nil"/>
              <w:left w:val="nil"/>
              <w:bottom w:val="nil"/>
              <w:right w:val="nil"/>
            </w:tcBorders>
            <w:vAlign w:val="bottom"/>
          </w:tcPr>
          <w:p w14:paraId="7D52FB70"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r>
      <w:tr w:rsidR="00587444" w:rsidRPr="00587444" w14:paraId="68320788" w14:textId="77777777" w:rsidTr="00DD69E7">
        <w:trPr>
          <w:trHeight w:val="200"/>
          <w:jc w:val="center"/>
        </w:trPr>
        <w:tc>
          <w:tcPr>
            <w:tcW w:w="877" w:type="pct"/>
            <w:vAlign w:val="center"/>
          </w:tcPr>
          <w:p w14:paraId="4EFE7963"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Undrawn loans </w:t>
            </w:r>
          </w:p>
        </w:tc>
        <w:tc>
          <w:tcPr>
            <w:tcW w:w="343" w:type="pct"/>
            <w:tcBorders>
              <w:top w:val="nil"/>
              <w:left w:val="nil"/>
              <w:bottom w:val="single" w:sz="6" w:space="0" w:color="auto"/>
              <w:right w:val="nil"/>
            </w:tcBorders>
            <w:shd w:val="clear" w:color="auto" w:fill="auto"/>
            <w:vAlign w:val="bottom"/>
          </w:tcPr>
          <w:p w14:paraId="1383985E"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2,449,837 </w:t>
            </w:r>
          </w:p>
        </w:tc>
        <w:tc>
          <w:tcPr>
            <w:tcW w:w="344" w:type="pct"/>
            <w:tcBorders>
              <w:top w:val="nil"/>
              <w:left w:val="nil"/>
              <w:bottom w:val="single" w:sz="6" w:space="0" w:color="auto"/>
              <w:right w:val="nil"/>
            </w:tcBorders>
            <w:shd w:val="clear" w:color="auto" w:fill="auto"/>
            <w:vAlign w:val="bottom"/>
          </w:tcPr>
          <w:p w14:paraId="3A7919FA"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73,847 </w:t>
            </w:r>
          </w:p>
        </w:tc>
        <w:tc>
          <w:tcPr>
            <w:tcW w:w="344" w:type="pct"/>
            <w:tcBorders>
              <w:top w:val="nil"/>
              <w:left w:val="nil"/>
              <w:bottom w:val="single" w:sz="6" w:space="0" w:color="auto"/>
              <w:right w:val="nil"/>
            </w:tcBorders>
            <w:shd w:val="clear" w:color="auto" w:fill="auto"/>
            <w:vAlign w:val="bottom"/>
          </w:tcPr>
          <w:p w14:paraId="52E65EC4"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3" w:type="pct"/>
            <w:tcBorders>
              <w:top w:val="nil"/>
              <w:left w:val="nil"/>
              <w:bottom w:val="single" w:sz="6" w:space="0" w:color="auto"/>
              <w:right w:val="nil"/>
            </w:tcBorders>
            <w:shd w:val="clear" w:color="auto" w:fill="auto"/>
            <w:vAlign w:val="bottom"/>
          </w:tcPr>
          <w:p w14:paraId="6ACE61F6"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124,247 </w:t>
            </w:r>
          </w:p>
        </w:tc>
        <w:tc>
          <w:tcPr>
            <w:tcW w:w="344" w:type="pct"/>
            <w:tcBorders>
              <w:top w:val="nil"/>
              <w:left w:val="nil"/>
              <w:bottom w:val="single" w:sz="6" w:space="0" w:color="auto"/>
              <w:right w:val="nil"/>
            </w:tcBorders>
            <w:shd w:val="clear" w:color="auto" w:fill="auto"/>
            <w:vAlign w:val="bottom"/>
          </w:tcPr>
          <w:p w14:paraId="0A9115A1"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single" w:sz="6" w:space="0" w:color="auto"/>
              <w:right w:val="nil"/>
            </w:tcBorders>
            <w:shd w:val="clear" w:color="auto" w:fill="auto"/>
            <w:vAlign w:val="bottom"/>
          </w:tcPr>
          <w:p w14:paraId="7AF76D51"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2,647,931 </w:t>
            </w:r>
          </w:p>
        </w:tc>
        <w:tc>
          <w:tcPr>
            <w:tcW w:w="343" w:type="pct"/>
            <w:tcBorders>
              <w:top w:val="nil"/>
              <w:left w:val="nil"/>
              <w:bottom w:val="single" w:sz="6" w:space="0" w:color="auto"/>
              <w:right w:val="nil"/>
            </w:tcBorders>
            <w:vAlign w:val="bottom"/>
          </w:tcPr>
          <w:p w14:paraId="0129C699"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455,003 </w:t>
            </w:r>
          </w:p>
        </w:tc>
        <w:tc>
          <w:tcPr>
            <w:tcW w:w="344" w:type="pct"/>
            <w:tcBorders>
              <w:top w:val="nil"/>
              <w:left w:val="nil"/>
              <w:bottom w:val="single" w:sz="6" w:space="0" w:color="auto"/>
              <w:right w:val="nil"/>
            </w:tcBorders>
            <w:vAlign w:val="bottom"/>
          </w:tcPr>
          <w:p w14:paraId="3AB48CF6"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9,758 </w:t>
            </w:r>
          </w:p>
        </w:tc>
        <w:tc>
          <w:tcPr>
            <w:tcW w:w="344" w:type="pct"/>
            <w:tcBorders>
              <w:top w:val="nil"/>
              <w:left w:val="nil"/>
              <w:bottom w:val="single" w:sz="6" w:space="0" w:color="auto"/>
              <w:right w:val="nil"/>
            </w:tcBorders>
            <w:vAlign w:val="bottom"/>
          </w:tcPr>
          <w:p w14:paraId="3B9087BE"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3" w:type="pct"/>
            <w:tcBorders>
              <w:top w:val="nil"/>
              <w:left w:val="nil"/>
              <w:bottom w:val="single" w:sz="6" w:space="0" w:color="auto"/>
              <w:right w:val="nil"/>
            </w:tcBorders>
            <w:vAlign w:val="bottom"/>
          </w:tcPr>
          <w:p w14:paraId="32B4692E"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4" w:type="pct"/>
            <w:tcBorders>
              <w:top w:val="nil"/>
              <w:left w:val="nil"/>
              <w:bottom w:val="single" w:sz="6" w:space="0" w:color="auto"/>
              <w:right w:val="nil"/>
            </w:tcBorders>
            <w:vAlign w:val="bottom"/>
          </w:tcPr>
          <w:p w14:paraId="4E33C56E"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 </w:t>
            </w:r>
          </w:p>
        </w:tc>
        <w:tc>
          <w:tcPr>
            <w:tcW w:w="343" w:type="pct"/>
            <w:tcBorders>
              <w:top w:val="nil"/>
              <w:left w:val="nil"/>
              <w:bottom w:val="single" w:sz="6" w:space="0" w:color="auto"/>
              <w:right w:val="nil"/>
            </w:tcBorders>
            <w:vAlign w:val="bottom"/>
          </w:tcPr>
          <w:p w14:paraId="3329DDE2"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eastAsia="Calibri" w:hAnsi="Arial" w:cs="Arial"/>
                <w:color w:val="000000"/>
                <w:sz w:val="14"/>
                <w:szCs w:val="14"/>
                <w:lang w:val="hr-HR"/>
              </w:rPr>
              <w:t xml:space="preserve"> 464,761 </w:t>
            </w:r>
          </w:p>
        </w:tc>
      </w:tr>
      <w:tr w:rsidR="00587444" w:rsidRPr="00587444" w14:paraId="19630089" w14:textId="77777777" w:rsidTr="00DD69E7">
        <w:trPr>
          <w:trHeight w:val="7"/>
          <w:jc w:val="center"/>
        </w:trPr>
        <w:tc>
          <w:tcPr>
            <w:tcW w:w="877" w:type="pct"/>
            <w:vAlign w:val="bottom"/>
          </w:tcPr>
          <w:p w14:paraId="6257E3D7" w14:textId="77777777" w:rsidR="00587444" w:rsidRPr="00587444" w:rsidRDefault="00587444" w:rsidP="00587444">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w:t>
            </w:r>
          </w:p>
        </w:tc>
        <w:tc>
          <w:tcPr>
            <w:tcW w:w="343" w:type="pct"/>
            <w:tcBorders>
              <w:top w:val="single" w:sz="6" w:space="0" w:color="auto"/>
              <w:left w:val="nil"/>
              <w:bottom w:val="single" w:sz="12" w:space="0" w:color="auto"/>
              <w:right w:val="nil"/>
            </w:tcBorders>
            <w:shd w:val="clear" w:color="auto" w:fill="auto"/>
            <w:vAlign w:val="bottom"/>
          </w:tcPr>
          <w:p w14:paraId="60CC9D79"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2,569,983 </w:t>
            </w:r>
          </w:p>
        </w:tc>
        <w:tc>
          <w:tcPr>
            <w:tcW w:w="344" w:type="pct"/>
            <w:tcBorders>
              <w:top w:val="single" w:sz="6" w:space="0" w:color="auto"/>
              <w:left w:val="nil"/>
              <w:bottom w:val="single" w:sz="12" w:space="0" w:color="auto"/>
              <w:right w:val="nil"/>
            </w:tcBorders>
            <w:shd w:val="clear" w:color="auto" w:fill="auto"/>
            <w:vAlign w:val="bottom"/>
          </w:tcPr>
          <w:p w14:paraId="24C21A27"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76,738 </w:t>
            </w:r>
          </w:p>
        </w:tc>
        <w:tc>
          <w:tcPr>
            <w:tcW w:w="344" w:type="pct"/>
            <w:tcBorders>
              <w:top w:val="single" w:sz="6" w:space="0" w:color="auto"/>
              <w:left w:val="nil"/>
              <w:bottom w:val="single" w:sz="12" w:space="0" w:color="auto"/>
              <w:right w:val="nil"/>
            </w:tcBorders>
            <w:shd w:val="clear" w:color="auto" w:fill="auto"/>
            <w:vAlign w:val="bottom"/>
          </w:tcPr>
          <w:p w14:paraId="457212EC"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125,949 </w:t>
            </w:r>
          </w:p>
        </w:tc>
        <w:tc>
          <w:tcPr>
            <w:tcW w:w="343" w:type="pct"/>
            <w:tcBorders>
              <w:top w:val="single" w:sz="6" w:space="0" w:color="auto"/>
              <w:left w:val="nil"/>
              <w:bottom w:val="single" w:sz="12" w:space="0" w:color="auto"/>
              <w:right w:val="nil"/>
            </w:tcBorders>
            <w:shd w:val="clear" w:color="auto" w:fill="auto"/>
            <w:vAlign w:val="bottom"/>
          </w:tcPr>
          <w:p w14:paraId="444CCFE2"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124,247 </w:t>
            </w:r>
          </w:p>
        </w:tc>
        <w:tc>
          <w:tcPr>
            <w:tcW w:w="344" w:type="pct"/>
            <w:tcBorders>
              <w:top w:val="single" w:sz="6" w:space="0" w:color="auto"/>
              <w:left w:val="nil"/>
              <w:bottom w:val="single" w:sz="12" w:space="0" w:color="auto"/>
              <w:right w:val="nil"/>
            </w:tcBorders>
            <w:shd w:val="clear" w:color="auto" w:fill="auto"/>
            <w:vAlign w:val="bottom"/>
          </w:tcPr>
          <w:p w14:paraId="51CFFD5F"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1,243 </w:t>
            </w:r>
          </w:p>
        </w:tc>
        <w:tc>
          <w:tcPr>
            <w:tcW w:w="344" w:type="pct"/>
            <w:tcBorders>
              <w:top w:val="single" w:sz="6" w:space="0" w:color="auto"/>
              <w:left w:val="nil"/>
              <w:bottom w:val="single" w:sz="12" w:space="0" w:color="auto"/>
              <w:right w:val="nil"/>
            </w:tcBorders>
            <w:shd w:val="clear" w:color="auto" w:fill="auto"/>
            <w:vAlign w:val="bottom"/>
          </w:tcPr>
          <w:p w14:paraId="33381169"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2,898,160 </w:t>
            </w:r>
          </w:p>
        </w:tc>
        <w:tc>
          <w:tcPr>
            <w:tcW w:w="343" w:type="pct"/>
            <w:tcBorders>
              <w:top w:val="single" w:sz="6" w:space="0" w:color="auto"/>
              <w:left w:val="nil"/>
              <w:bottom w:val="single" w:sz="12" w:space="0" w:color="auto"/>
              <w:right w:val="nil"/>
            </w:tcBorders>
            <w:vAlign w:val="bottom"/>
          </w:tcPr>
          <w:p w14:paraId="0900B234"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571,974 </w:t>
            </w:r>
          </w:p>
        </w:tc>
        <w:tc>
          <w:tcPr>
            <w:tcW w:w="344" w:type="pct"/>
            <w:tcBorders>
              <w:top w:val="single" w:sz="6" w:space="0" w:color="auto"/>
              <w:left w:val="nil"/>
              <w:bottom w:val="single" w:sz="12" w:space="0" w:color="auto"/>
              <w:right w:val="nil"/>
            </w:tcBorders>
            <w:vAlign w:val="bottom"/>
          </w:tcPr>
          <w:p w14:paraId="7AC12C2F"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9,765 </w:t>
            </w:r>
          </w:p>
        </w:tc>
        <w:tc>
          <w:tcPr>
            <w:tcW w:w="344" w:type="pct"/>
            <w:tcBorders>
              <w:top w:val="single" w:sz="6" w:space="0" w:color="auto"/>
              <w:left w:val="nil"/>
              <w:bottom w:val="single" w:sz="12" w:space="0" w:color="auto"/>
              <w:right w:val="nil"/>
            </w:tcBorders>
            <w:vAlign w:val="bottom"/>
          </w:tcPr>
          <w:p w14:paraId="5FC90939"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67,440 </w:t>
            </w:r>
          </w:p>
        </w:tc>
        <w:tc>
          <w:tcPr>
            <w:tcW w:w="343" w:type="pct"/>
            <w:tcBorders>
              <w:top w:val="single" w:sz="6" w:space="0" w:color="auto"/>
              <w:left w:val="nil"/>
              <w:bottom w:val="single" w:sz="12" w:space="0" w:color="auto"/>
              <w:right w:val="nil"/>
            </w:tcBorders>
            <w:vAlign w:val="bottom"/>
          </w:tcPr>
          <w:p w14:paraId="3E73BD2D"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 </w:t>
            </w:r>
          </w:p>
        </w:tc>
        <w:tc>
          <w:tcPr>
            <w:tcW w:w="344" w:type="pct"/>
            <w:tcBorders>
              <w:top w:val="single" w:sz="6" w:space="0" w:color="auto"/>
              <w:left w:val="nil"/>
              <w:bottom w:val="single" w:sz="12" w:space="0" w:color="auto"/>
              <w:right w:val="nil"/>
            </w:tcBorders>
            <w:vAlign w:val="bottom"/>
          </w:tcPr>
          <w:p w14:paraId="792D4FA5"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 </w:t>
            </w:r>
          </w:p>
        </w:tc>
        <w:tc>
          <w:tcPr>
            <w:tcW w:w="343" w:type="pct"/>
            <w:tcBorders>
              <w:top w:val="single" w:sz="6" w:space="0" w:color="auto"/>
              <w:left w:val="nil"/>
              <w:bottom w:val="single" w:sz="12" w:space="0" w:color="auto"/>
              <w:right w:val="nil"/>
            </w:tcBorders>
            <w:vAlign w:val="bottom"/>
          </w:tcPr>
          <w:p w14:paraId="5A556726"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eastAsia="Calibri" w:hAnsi="Arial" w:cs="Arial"/>
                <w:b/>
                <w:bCs/>
                <w:color w:val="000000"/>
                <w:sz w:val="14"/>
                <w:szCs w:val="14"/>
                <w:lang w:val="hr-HR"/>
              </w:rPr>
              <w:t xml:space="preserve"> 649,179 </w:t>
            </w:r>
          </w:p>
        </w:tc>
      </w:tr>
      <w:tr w:rsidR="00587444" w:rsidRPr="00587444" w14:paraId="3051083B" w14:textId="77777777" w:rsidTr="00DD69E7">
        <w:trPr>
          <w:trHeight w:val="50"/>
          <w:jc w:val="center"/>
        </w:trPr>
        <w:tc>
          <w:tcPr>
            <w:tcW w:w="877" w:type="pct"/>
            <w:vAlign w:val="bottom"/>
          </w:tcPr>
          <w:p w14:paraId="0618588C" w14:textId="77777777" w:rsidR="00587444" w:rsidRPr="00587444" w:rsidRDefault="00587444" w:rsidP="00587444">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Total credit risk exposure</w:t>
            </w:r>
          </w:p>
        </w:tc>
        <w:tc>
          <w:tcPr>
            <w:tcW w:w="343" w:type="pct"/>
            <w:tcBorders>
              <w:top w:val="nil"/>
              <w:left w:val="nil"/>
              <w:bottom w:val="single" w:sz="12" w:space="0" w:color="auto"/>
              <w:right w:val="nil"/>
            </w:tcBorders>
            <w:shd w:val="clear" w:color="auto" w:fill="auto"/>
            <w:vAlign w:val="bottom"/>
          </w:tcPr>
          <w:p w14:paraId="6F099EFD"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eastAsia="Calibri" w:hAnsi="Arial" w:cs="Arial"/>
                <w:b/>
                <w:bCs/>
                <w:color w:val="000000"/>
                <w:sz w:val="14"/>
                <w:szCs w:val="14"/>
                <w:lang w:val="hr-HR"/>
              </w:rPr>
              <w:t xml:space="preserve">27,309,079 </w:t>
            </w:r>
          </w:p>
        </w:tc>
        <w:tc>
          <w:tcPr>
            <w:tcW w:w="344" w:type="pct"/>
            <w:tcBorders>
              <w:top w:val="nil"/>
              <w:left w:val="nil"/>
              <w:bottom w:val="single" w:sz="12" w:space="0" w:color="auto"/>
              <w:right w:val="nil"/>
            </w:tcBorders>
            <w:shd w:val="clear" w:color="auto" w:fill="auto"/>
            <w:vAlign w:val="bottom"/>
          </w:tcPr>
          <w:p w14:paraId="5F254F96"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eastAsia="Calibri" w:hAnsi="Arial" w:cs="Arial"/>
                <w:b/>
                <w:bCs/>
                <w:color w:val="000000"/>
                <w:sz w:val="14"/>
                <w:szCs w:val="14"/>
                <w:lang w:val="hr-HR"/>
              </w:rPr>
              <w:t xml:space="preserve"> 1,787,790 </w:t>
            </w:r>
          </w:p>
        </w:tc>
        <w:tc>
          <w:tcPr>
            <w:tcW w:w="344" w:type="pct"/>
            <w:tcBorders>
              <w:top w:val="nil"/>
              <w:left w:val="nil"/>
              <w:bottom w:val="single" w:sz="12" w:space="0" w:color="auto"/>
              <w:right w:val="nil"/>
            </w:tcBorders>
            <w:shd w:val="clear" w:color="auto" w:fill="auto"/>
            <w:vAlign w:val="bottom"/>
          </w:tcPr>
          <w:p w14:paraId="356B1B1D"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eastAsia="Calibri" w:hAnsi="Arial" w:cs="Arial"/>
                <w:b/>
                <w:bCs/>
                <w:color w:val="000000"/>
                <w:sz w:val="14"/>
                <w:szCs w:val="14"/>
                <w:lang w:val="hr-HR"/>
              </w:rPr>
              <w:t xml:space="preserve"> 1,276,590 </w:t>
            </w:r>
          </w:p>
        </w:tc>
        <w:tc>
          <w:tcPr>
            <w:tcW w:w="343" w:type="pct"/>
            <w:tcBorders>
              <w:top w:val="nil"/>
              <w:left w:val="nil"/>
              <w:bottom w:val="single" w:sz="12" w:space="0" w:color="auto"/>
              <w:right w:val="nil"/>
            </w:tcBorders>
            <w:shd w:val="clear" w:color="auto" w:fill="auto"/>
            <w:vAlign w:val="bottom"/>
          </w:tcPr>
          <w:p w14:paraId="68FBF768"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eastAsia="Calibri" w:hAnsi="Arial" w:cs="Arial"/>
                <w:b/>
                <w:bCs/>
                <w:color w:val="000000"/>
                <w:sz w:val="14"/>
                <w:szCs w:val="14"/>
                <w:lang w:val="hr-HR"/>
              </w:rPr>
              <w:t xml:space="preserve"> 1,309,100 </w:t>
            </w:r>
          </w:p>
        </w:tc>
        <w:tc>
          <w:tcPr>
            <w:tcW w:w="344" w:type="pct"/>
            <w:tcBorders>
              <w:top w:val="nil"/>
              <w:left w:val="nil"/>
              <w:bottom w:val="single" w:sz="12" w:space="0" w:color="auto"/>
              <w:right w:val="nil"/>
            </w:tcBorders>
            <w:shd w:val="clear" w:color="auto" w:fill="auto"/>
            <w:vAlign w:val="bottom"/>
          </w:tcPr>
          <w:p w14:paraId="254F42C0"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eastAsia="Calibri" w:hAnsi="Arial" w:cs="Arial"/>
                <w:b/>
                <w:bCs/>
                <w:color w:val="000000"/>
                <w:sz w:val="14"/>
                <w:szCs w:val="14"/>
                <w:lang w:val="hr-HR"/>
              </w:rPr>
              <w:t xml:space="preserve"> 25,113 </w:t>
            </w:r>
          </w:p>
        </w:tc>
        <w:tc>
          <w:tcPr>
            <w:tcW w:w="344" w:type="pct"/>
            <w:tcBorders>
              <w:top w:val="nil"/>
              <w:left w:val="nil"/>
              <w:bottom w:val="single" w:sz="12" w:space="0" w:color="auto"/>
              <w:right w:val="nil"/>
            </w:tcBorders>
            <w:shd w:val="clear" w:color="auto" w:fill="auto"/>
            <w:vAlign w:val="bottom"/>
          </w:tcPr>
          <w:p w14:paraId="6CC07DCA"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eastAsia="Calibri" w:hAnsi="Arial" w:cs="Arial"/>
                <w:b/>
                <w:bCs/>
                <w:color w:val="000000"/>
                <w:sz w:val="14"/>
                <w:szCs w:val="14"/>
                <w:lang w:val="hr-HR"/>
              </w:rPr>
              <w:t xml:space="preserve"> 31,707,672 </w:t>
            </w:r>
          </w:p>
        </w:tc>
        <w:tc>
          <w:tcPr>
            <w:tcW w:w="343" w:type="pct"/>
            <w:tcBorders>
              <w:top w:val="nil"/>
              <w:left w:val="nil"/>
              <w:bottom w:val="single" w:sz="12" w:space="0" w:color="auto"/>
              <w:right w:val="nil"/>
            </w:tcBorders>
            <w:vAlign w:val="bottom"/>
          </w:tcPr>
          <w:p w14:paraId="2FA69782"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eastAsia="Calibri" w:hAnsi="Arial" w:cs="Arial"/>
                <w:b/>
                <w:bCs/>
                <w:color w:val="000000"/>
                <w:sz w:val="14"/>
                <w:szCs w:val="14"/>
                <w:lang w:val="hr-HR"/>
              </w:rPr>
              <w:t xml:space="preserve"> 5,524,546 </w:t>
            </w:r>
          </w:p>
        </w:tc>
        <w:tc>
          <w:tcPr>
            <w:tcW w:w="344" w:type="pct"/>
            <w:tcBorders>
              <w:top w:val="nil"/>
              <w:left w:val="nil"/>
              <w:bottom w:val="single" w:sz="12" w:space="0" w:color="auto"/>
              <w:right w:val="nil"/>
            </w:tcBorders>
            <w:vAlign w:val="bottom"/>
          </w:tcPr>
          <w:p w14:paraId="250F2A13"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eastAsia="Calibri" w:hAnsi="Arial" w:cs="Arial"/>
                <w:b/>
                <w:bCs/>
                <w:color w:val="000000"/>
                <w:sz w:val="14"/>
                <w:szCs w:val="14"/>
                <w:lang w:val="hr-HR"/>
              </w:rPr>
              <w:t xml:space="preserve"> 150,309 </w:t>
            </w:r>
          </w:p>
        </w:tc>
        <w:tc>
          <w:tcPr>
            <w:tcW w:w="344" w:type="pct"/>
            <w:tcBorders>
              <w:top w:val="nil"/>
              <w:left w:val="nil"/>
              <w:bottom w:val="single" w:sz="12" w:space="0" w:color="auto"/>
              <w:right w:val="nil"/>
            </w:tcBorders>
            <w:vAlign w:val="bottom"/>
          </w:tcPr>
          <w:p w14:paraId="51CDD831"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eastAsia="Calibri" w:hAnsi="Arial" w:cs="Arial"/>
                <w:b/>
                <w:bCs/>
                <w:color w:val="000000"/>
                <w:sz w:val="14"/>
                <w:szCs w:val="14"/>
                <w:lang w:val="hr-HR"/>
              </w:rPr>
              <w:t xml:space="preserve"> 174,910 </w:t>
            </w:r>
          </w:p>
        </w:tc>
        <w:tc>
          <w:tcPr>
            <w:tcW w:w="343" w:type="pct"/>
            <w:tcBorders>
              <w:top w:val="nil"/>
              <w:left w:val="nil"/>
              <w:bottom w:val="single" w:sz="12" w:space="0" w:color="auto"/>
              <w:right w:val="nil"/>
            </w:tcBorders>
            <w:vAlign w:val="bottom"/>
          </w:tcPr>
          <w:p w14:paraId="60EBBFF7"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eastAsia="Calibri" w:hAnsi="Arial" w:cs="Arial"/>
                <w:b/>
                <w:bCs/>
                <w:color w:val="000000"/>
                <w:sz w:val="14"/>
                <w:szCs w:val="14"/>
                <w:lang w:val="hr-HR"/>
              </w:rPr>
              <w:t xml:space="preserve"> 173,804 </w:t>
            </w:r>
          </w:p>
        </w:tc>
        <w:tc>
          <w:tcPr>
            <w:tcW w:w="344" w:type="pct"/>
            <w:tcBorders>
              <w:top w:val="nil"/>
              <w:left w:val="nil"/>
              <w:bottom w:val="single" w:sz="12" w:space="0" w:color="auto"/>
              <w:right w:val="nil"/>
            </w:tcBorders>
            <w:vAlign w:val="bottom"/>
          </w:tcPr>
          <w:p w14:paraId="4F3063B6"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eastAsia="Calibri" w:hAnsi="Arial" w:cs="Arial"/>
                <w:b/>
                <w:bCs/>
                <w:color w:val="000000"/>
                <w:sz w:val="14"/>
                <w:szCs w:val="14"/>
                <w:lang w:val="hr-HR"/>
              </w:rPr>
              <w:t xml:space="preserve"> - </w:t>
            </w:r>
          </w:p>
        </w:tc>
        <w:tc>
          <w:tcPr>
            <w:tcW w:w="343" w:type="pct"/>
            <w:tcBorders>
              <w:top w:val="nil"/>
              <w:left w:val="nil"/>
              <w:bottom w:val="single" w:sz="12" w:space="0" w:color="auto"/>
              <w:right w:val="nil"/>
            </w:tcBorders>
            <w:vAlign w:val="bottom"/>
          </w:tcPr>
          <w:p w14:paraId="0E6E160F"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eastAsia="Calibri" w:hAnsi="Arial" w:cs="Arial"/>
                <w:b/>
                <w:bCs/>
                <w:color w:val="000000"/>
                <w:sz w:val="14"/>
                <w:szCs w:val="14"/>
                <w:lang w:val="hr-HR"/>
              </w:rPr>
              <w:t xml:space="preserve"> 6,023,569 </w:t>
            </w:r>
          </w:p>
        </w:tc>
      </w:tr>
      <w:bookmarkEnd w:id="1145"/>
    </w:tbl>
    <w:p w14:paraId="2FB57D8D" w14:textId="77777777" w:rsidR="00587444" w:rsidRPr="00587444" w:rsidRDefault="00587444" w:rsidP="00587444">
      <w:pPr>
        <w:suppressAutoHyphens w:val="0"/>
        <w:autoSpaceDN/>
        <w:jc w:val="both"/>
        <w:rPr>
          <w:rFonts w:ascii="Arial" w:hAnsi="Arial" w:cs="Arial"/>
          <w:b/>
          <w:bCs/>
          <w:sz w:val="20"/>
          <w:szCs w:val="20"/>
          <w:lang w:val="en-GB"/>
        </w:rPr>
      </w:pPr>
    </w:p>
    <w:p w14:paraId="609E53F3" w14:textId="77777777" w:rsidR="00587444" w:rsidRPr="00587444" w:rsidRDefault="00587444" w:rsidP="00587444">
      <w:pPr>
        <w:suppressAutoHyphens w:val="0"/>
        <w:autoSpaceDN/>
        <w:jc w:val="both"/>
        <w:rPr>
          <w:rFonts w:ascii="Arial" w:hAnsi="Arial" w:cs="Arial"/>
          <w:b/>
          <w:bCs/>
          <w:sz w:val="20"/>
          <w:szCs w:val="20"/>
          <w:lang w:val="en-GB"/>
        </w:rPr>
      </w:pPr>
    </w:p>
    <w:p w14:paraId="3507874A"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D69E7">
          <w:footerReference w:type="default" r:id="rId89"/>
          <w:pgSz w:w="16840" w:h="11907" w:orient="landscape" w:code="9"/>
          <w:pgMar w:top="1418" w:right="1418" w:bottom="1134" w:left="1134" w:header="851" w:footer="851" w:gutter="0"/>
          <w:cols w:space="720"/>
          <w:noEndnote/>
          <w:docGrid w:linePitch="326"/>
        </w:sectPr>
      </w:pPr>
    </w:p>
    <w:p w14:paraId="7CDDFEF1" w14:textId="77777777" w:rsidR="00587444" w:rsidRPr="00587444" w:rsidRDefault="00587444" w:rsidP="00587444">
      <w:pPr>
        <w:suppressAutoHyphens w:val="0"/>
        <w:autoSpaceDN/>
        <w:jc w:val="both"/>
        <w:rPr>
          <w:rFonts w:ascii="Arial" w:hAnsi="Arial" w:cs="Arial"/>
          <w:b/>
          <w:bCs/>
          <w:sz w:val="20"/>
          <w:szCs w:val="20"/>
          <w:lang w:val="en-GB"/>
        </w:rPr>
      </w:pPr>
      <w:bookmarkStart w:id="1146" w:name="_Hlk29376771"/>
    </w:p>
    <w:p w14:paraId="6B8A5451"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34D18F81" w14:textId="77777777" w:rsidR="00587444" w:rsidRPr="00587444" w:rsidRDefault="00587444" w:rsidP="00587444">
      <w:pPr>
        <w:suppressAutoHyphens w:val="0"/>
        <w:autoSpaceDN/>
        <w:jc w:val="both"/>
        <w:rPr>
          <w:rFonts w:ascii="Arial" w:hAnsi="Arial" w:cs="Arial"/>
          <w:b/>
          <w:sz w:val="20"/>
          <w:szCs w:val="20"/>
          <w:lang w:val="en-GB"/>
        </w:rPr>
      </w:pPr>
    </w:p>
    <w:p w14:paraId="667B06E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18C3B65D" w14:textId="77777777" w:rsidR="00587444" w:rsidRPr="00587444" w:rsidRDefault="00587444" w:rsidP="00587444">
      <w:pPr>
        <w:suppressAutoHyphens w:val="0"/>
        <w:autoSpaceDN/>
        <w:rPr>
          <w:rFonts w:ascii="Arial" w:hAnsi="Arial" w:cs="Arial"/>
          <w:b/>
          <w:sz w:val="20"/>
          <w:szCs w:val="20"/>
          <w:lang w:val="en-GB"/>
        </w:rPr>
      </w:pPr>
    </w:p>
    <w:p w14:paraId="2737D259" w14:textId="77777777" w:rsidR="00587444" w:rsidRPr="00587444" w:rsidRDefault="00587444" w:rsidP="00587444">
      <w:pPr>
        <w:suppressAutoHyphens w:val="0"/>
        <w:autoSpaceDN/>
        <w:rPr>
          <w:rFonts w:ascii="Arial" w:hAnsi="Arial" w:cs="Arial"/>
          <w:b/>
          <w:sz w:val="20"/>
          <w:szCs w:val="20"/>
          <w:lang w:val="en-GB"/>
        </w:rPr>
      </w:pPr>
      <w:r w:rsidRPr="00587444">
        <w:rPr>
          <w:rFonts w:ascii="Arial" w:hAnsi="Arial" w:cs="Arial"/>
          <w:b/>
          <w:sz w:val="20"/>
          <w:szCs w:val="20"/>
          <w:lang w:val="en-GB"/>
        </w:rPr>
        <w:t>Credit risk quality according to type of financial assets (continued)</w:t>
      </w:r>
    </w:p>
    <w:p w14:paraId="238D5B87" w14:textId="77777777" w:rsidR="00587444" w:rsidRPr="00587444" w:rsidRDefault="00587444" w:rsidP="00587444">
      <w:pPr>
        <w:suppressAutoHyphens w:val="0"/>
        <w:autoSpaceDN/>
        <w:jc w:val="both"/>
        <w:rPr>
          <w:rFonts w:ascii="Arial" w:hAnsi="Arial" w:cs="Arial"/>
          <w:b/>
          <w:bCs/>
          <w:sz w:val="20"/>
          <w:szCs w:val="20"/>
          <w:lang w:val="en-GB"/>
        </w:rPr>
      </w:pPr>
    </w:p>
    <w:p w14:paraId="00FD108E" w14:textId="77777777"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Credit risk analysis, net exposure, before and after the effect of mitigation through collateral received, according to the type of financial assets on positions of assets and guarantees and commitments by risk category, is as follows:</w:t>
      </w:r>
    </w:p>
    <w:p w14:paraId="0770C825" w14:textId="77777777" w:rsidR="00587444" w:rsidRPr="00587444" w:rsidRDefault="00587444" w:rsidP="00587444">
      <w:pPr>
        <w:suppressAutoHyphens w:val="0"/>
        <w:autoSpaceDN/>
        <w:jc w:val="both"/>
        <w:rPr>
          <w:rFonts w:ascii="Arial" w:eastAsia="Calibri" w:hAnsi="Arial" w:cs="Arial"/>
          <w:sz w:val="20"/>
          <w:szCs w:val="20"/>
        </w:rPr>
      </w:pPr>
    </w:p>
    <w:tbl>
      <w:tblPr>
        <w:tblW w:w="5223" w:type="pct"/>
        <w:jc w:val="center"/>
        <w:tblLayout w:type="fixed"/>
        <w:tblLook w:val="0000" w:firstRow="0" w:lastRow="0" w:firstColumn="0" w:lastColumn="0" w:noHBand="0" w:noVBand="0"/>
      </w:tblPr>
      <w:tblGrid>
        <w:gridCol w:w="2658"/>
        <w:gridCol w:w="1040"/>
        <w:gridCol w:w="1043"/>
        <w:gridCol w:w="1043"/>
        <w:gridCol w:w="1040"/>
        <w:gridCol w:w="1042"/>
        <w:gridCol w:w="1042"/>
        <w:gridCol w:w="1039"/>
        <w:gridCol w:w="1042"/>
        <w:gridCol w:w="1042"/>
        <w:gridCol w:w="1039"/>
        <w:gridCol w:w="1042"/>
        <w:gridCol w:w="1039"/>
      </w:tblGrid>
      <w:tr w:rsidR="00587444" w:rsidRPr="00587444" w14:paraId="18237CB3" w14:textId="77777777" w:rsidTr="00DD69E7">
        <w:trPr>
          <w:trHeight w:val="1454"/>
          <w:jc w:val="center"/>
        </w:trPr>
        <w:tc>
          <w:tcPr>
            <w:tcW w:w="877" w:type="pct"/>
          </w:tcPr>
          <w:p w14:paraId="0CBADB88" w14:textId="77777777" w:rsidR="00587444" w:rsidRPr="00587444" w:rsidRDefault="00587444" w:rsidP="00587444">
            <w:pPr>
              <w:suppressAutoHyphens w:val="0"/>
              <w:autoSpaceDN/>
              <w:rPr>
                <w:rFonts w:ascii="Arial" w:eastAsia="Calibri" w:hAnsi="Arial" w:cs="Arial"/>
                <w:b/>
                <w:bCs/>
                <w:sz w:val="14"/>
                <w:szCs w:val="14"/>
                <w:lang w:val="hr-HR"/>
              </w:rPr>
            </w:pPr>
            <w:r w:rsidRPr="00587444">
              <w:rPr>
                <w:rFonts w:ascii="Arial" w:eastAsia="Calibri" w:hAnsi="Arial" w:cs="Arial"/>
                <w:b/>
                <w:bCs/>
                <w:sz w:val="14"/>
                <w:szCs w:val="14"/>
                <w:lang w:val="hr-HR"/>
              </w:rPr>
              <w:br w:type="page"/>
              <w:t>Group</w:t>
            </w:r>
          </w:p>
          <w:p w14:paraId="7784B633" w14:textId="77777777" w:rsidR="00587444" w:rsidRPr="00587444" w:rsidRDefault="00587444" w:rsidP="00587444">
            <w:pPr>
              <w:suppressAutoHyphens w:val="0"/>
              <w:autoSpaceDN/>
              <w:rPr>
                <w:rFonts w:ascii="Arial" w:eastAsia="Calibri" w:hAnsi="Arial" w:cs="Arial"/>
                <w:sz w:val="14"/>
                <w:szCs w:val="14"/>
                <w:lang w:val="hr-HR"/>
              </w:rPr>
            </w:pPr>
            <w:r w:rsidRPr="00587444">
              <w:rPr>
                <w:rFonts w:ascii="Arial" w:eastAsia="Calibri" w:hAnsi="Arial" w:cs="Arial"/>
                <w:b/>
                <w:bCs/>
                <w:sz w:val="14"/>
                <w:szCs w:val="14"/>
                <w:lang w:val="hr-HR"/>
              </w:rPr>
              <w:t xml:space="preserve">31 </w:t>
            </w:r>
            <w:r w:rsidRPr="00587444">
              <w:rPr>
                <w:rFonts w:ascii="Arial" w:eastAsia="Calibri" w:hAnsi="Arial" w:cs="Arial"/>
                <w:b/>
                <w:bCs/>
                <w:sz w:val="14"/>
                <w:szCs w:val="14"/>
                <w:lang w:val="en-GB"/>
              </w:rPr>
              <w:t>December</w:t>
            </w:r>
            <w:r w:rsidRPr="00587444">
              <w:rPr>
                <w:rFonts w:ascii="Arial" w:eastAsia="Calibri" w:hAnsi="Arial" w:cs="Arial"/>
                <w:b/>
                <w:bCs/>
                <w:sz w:val="14"/>
                <w:szCs w:val="14"/>
                <w:lang w:val="hr-HR"/>
              </w:rPr>
              <w:t xml:space="preserve"> 2021</w:t>
            </w:r>
          </w:p>
        </w:tc>
        <w:tc>
          <w:tcPr>
            <w:tcW w:w="343" w:type="pct"/>
            <w:vAlign w:val="bottom"/>
          </w:tcPr>
          <w:p w14:paraId="394EB727"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1BD535B4"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1</w:t>
            </w:r>
          </w:p>
        </w:tc>
        <w:tc>
          <w:tcPr>
            <w:tcW w:w="344" w:type="pct"/>
            <w:vAlign w:val="bottom"/>
          </w:tcPr>
          <w:p w14:paraId="5D79E865"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28D558C3"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2</w:t>
            </w:r>
          </w:p>
        </w:tc>
        <w:tc>
          <w:tcPr>
            <w:tcW w:w="344" w:type="pct"/>
            <w:vAlign w:val="bottom"/>
          </w:tcPr>
          <w:p w14:paraId="1BBB042A"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709B7222"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3</w:t>
            </w:r>
          </w:p>
        </w:tc>
        <w:tc>
          <w:tcPr>
            <w:tcW w:w="343" w:type="pct"/>
            <w:vAlign w:val="bottom"/>
          </w:tcPr>
          <w:p w14:paraId="16766902"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57A71F82"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of risk POCI</w:t>
            </w:r>
          </w:p>
        </w:tc>
        <w:tc>
          <w:tcPr>
            <w:tcW w:w="344" w:type="pct"/>
            <w:vAlign w:val="bottom"/>
          </w:tcPr>
          <w:p w14:paraId="41709764"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b/>
                <w:sz w:val="14"/>
                <w:szCs w:val="14"/>
                <w:lang w:val="en-GB"/>
              </w:rPr>
              <w:t>Not subject to IFRS 9</w:t>
            </w:r>
          </w:p>
        </w:tc>
        <w:tc>
          <w:tcPr>
            <w:tcW w:w="344" w:type="pct"/>
            <w:vAlign w:val="bottom"/>
          </w:tcPr>
          <w:p w14:paraId="4F97C7CB" w14:textId="77777777" w:rsidR="00470B0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6A3B4728" w14:textId="77777777" w:rsidR="00470B0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176CB704" w14:textId="0CD88A38"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portfolio</w:t>
            </w:r>
          </w:p>
        </w:tc>
        <w:tc>
          <w:tcPr>
            <w:tcW w:w="343" w:type="pct"/>
            <w:vAlign w:val="bottom"/>
          </w:tcPr>
          <w:p w14:paraId="2A360A6C"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42ED1325"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6B933BF7"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40B5C635" w14:textId="1C0449E3"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effect of mitigation through collateral received Stage 1</w:t>
            </w:r>
          </w:p>
        </w:tc>
        <w:tc>
          <w:tcPr>
            <w:tcW w:w="344" w:type="pct"/>
            <w:vAlign w:val="bottom"/>
          </w:tcPr>
          <w:p w14:paraId="13A8F299"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77C9808B"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exposure of portfolio after the </w:t>
            </w:r>
          </w:p>
          <w:p w14:paraId="1881AA1C" w14:textId="536F818B" w:rsidR="00587444" w:rsidRPr="00587444" w:rsidRDefault="00587444"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effect of mitigation through collateral received Stage 2</w:t>
            </w:r>
          </w:p>
        </w:tc>
        <w:tc>
          <w:tcPr>
            <w:tcW w:w="344" w:type="pct"/>
            <w:vAlign w:val="bottom"/>
          </w:tcPr>
          <w:p w14:paraId="4A7FE14B"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4AC2588E"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5CFB1C24"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4167B942" w14:textId="1CCC1981" w:rsidR="00587444" w:rsidRPr="00587444" w:rsidRDefault="00587444"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effect of mitigation through collateral received Stage 3</w:t>
            </w:r>
          </w:p>
        </w:tc>
        <w:tc>
          <w:tcPr>
            <w:tcW w:w="343" w:type="pct"/>
            <w:vAlign w:val="bottom"/>
          </w:tcPr>
          <w:p w14:paraId="63F0C30E"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5D1FD40B"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621C9FC5"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433ADE96" w14:textId="29169346"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effect of mitigation through collateral received POCI</w:t>
            </w:r>
          </w:p>
        </w:tc>
        <w:tc>
          <w:tcPr>
            <w:tcW w:w="344" w:type="pct"/>
            <w:vAlign w:val="bottom"/>
          </w:tcPr>
          <w:p w14:paraId="1367888E"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Not subject to IFRS 9 after the</w:t>
            </w:r>
          </w:p>
          <w:p w14:paraId="4479F084" w14:textId="7F2A435F"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effect of mitigation through</w:t>
            </w:r>
          </w:p>
          <w:p w14:paraId="150CD17F" w14:textId="77777777" w:rsidR="00587444" w:rsidRPr="00587444" w:rsidRDefault="00587444"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collateral received</w:t>
            </w:r>
          </w:p>
        </w:tc>
        <w:tc>
          <w:tcPr>
            <w:tcW w:w="343" w:type="pct"/>
            <w:vAlign w:val="bottom"/>
          </w:tcPr>
          <w:p w14:paraId="23C8C098"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49ADCE86"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727DAC7B"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portfolio </w:t>
            </w:r>
          </w:p>
          <w:p w14:paraId="38C0D3EB" w14:textId="588E9F2F"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after the</w:t>
            </w:r>
          </w:p>
          <w:p w14:paraId="27CDAAF0" w14:textId="2BD8D71A" w:rsidR="00587444" w:rsidRPr="00587444" w:rsidRDefault="00587444"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effect of mitigation through collateral received </w:t>
            </w:r>
          </w:p>
        </w:tc>
      </w:tr>
      <w:tr w:rsidR="00587444" w:rsidRPr="00587444" w14:paraId="0296BCC1" w14:textId="77777777" w:rsidTr="00DD69E7">
        <w:trPr>
          <w:trHeight w:val="126"/>
          <w:jc w:val="center"/>
        </w:trPr>
        <w:tc>
          <w:tcPr>
            <w:tcW w:w="877" w:type="pct"/>
          </w:tcPr>
          <w:p w14:paraId="2473ABC2" w14:textId="77777777" w:rsidR="00587444" w:rsidRPr="00587444" w:rsidRDefault="00587444" w:rsidP="00587444">
            <w:pPr>
              <w:suppressAutoHyphens w:val="0"/>
              <w:autoSpaceDN/>
              <w:rPr>
                <w:rFonts w:ascii="Arial" w:eastAsia="Calibri" w:hAnsi="Arial" w:cs="Arial"/>
                <w:b/>
                <w:bCs/>
                <w:sz w:val="14"/>
                <w:szCs w:val="14"/>
                <w:lang w:val="hr-HR"/>
              </w:rPr>
            </w:pPr>
          </w:p>
        </w:tc>
        <w:tc>
          <w:tcPr>
            <w:tcW w:w="343" w:type="pct"/>
          </w:tcPr>
          <w:p w14:paraId="0490E4F5"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4" w:type="pct"/>
          </w:tcPr>
          <w:p w14:paraId="45AC3650"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4" w:type="pct"/>
          </w:tcPr>
          <w:p w14:paraId="7AAC7473"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3" w:type="pct"/>
          </w:tcPr>
          <w:p w14:paraId="44FC545E"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4" w:type="pct"/>
          </w:tcPr>
          <w:p w14:paraId="1F3D65E7"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4" w:type="pct"/>
          </w:tcPr>
          <w:p w14:paraId="117B1AE6"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3" w:type="pct"/>
          </w:tcPr>
          <w:p w14:paraId="3AC3A413"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4" w:type="pct"/>
          </w:tcPr>
          <w:p w14:paraId="7E7A416B"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4" w:type="pct"/>
          </w:tcPr>
          <w:p w14:paraId="332CA1E1"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3" w:type="pct"/>
          </w:tcPr>
          <w:p w14:paraId="524AFFE4"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4" w:type="pct"/>
          </w:tcPr>
          <w:p w14:paraId="2247AECA"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c>
          <w:tcPr>
            <w:tcW w:w="343" w:type="pct"/>
          </w:tcPr>
          <w:p w14:paraId="33093082" w14:textId="77777777" w:rsidR="00587444" w:rsidRPr="00587444" w:rsidRDefault="00587444" w:rsidP="00587444">
            <w:pPr>
              <w:suppressAutoHyphens w:val="0"/>
              <w:autoSpaceDN/>
              <w:jc w:val="right"/>
              <w:rPr>
                <w:rFonts w:ascii="Arial" w:eastAsia="Calibri" w:hAnsi="Arial" w:cs="Arial"/>
                <w:b/>
                <w:sz w:val="14"/>
                <w:szCs w:val="14"/>
                <w:lang w:val="hr-HR"/>
              </w:rPr>
            </w:pPr>
            <w:r w:rsidRPr="00587444">
              <w:rPr>
                <w:rFonts w:ascii="Arial" w:eastAsia="Calibri" w:hAnsi="Arial" w:cs="Arial"/>
                <w:b/>
                <w:sz w:val="14"/>
                <w:szCs w:val="14"/>
                <w:lang w:val="hr-HR"/>
              </w:rPr>
              <w:t>HRK ‘000</w:t>
            </w:r>
          </w:p>
        </w:tc>
      </w:tr>
      <w:tr w:rsidR="00587444" w:rsidRPr="00587444" w14:paraId="32F163BE" w14:textId="77777777" w:rsidTr="00DD69E7">
        <w:trPr>
          <w:trHeight w:val="92"/>
          <w:jc w:val="center"/>
        </w:trPr>
        <w:tc>
          <w:tcPr>
            <w:tcW w:w="877" w:type="pct"/>
          </w:tcPr>
          <w:p w14:paraId="6BD3DD33"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Assets</w:t>
            </w:r>
          </w:p>
        </w:tc>
        <w:tc>
          <w:tcPr>
            <w:tcW w:w="343" w:type="pct"/>
            <w:vAlign w:val="bottom"/>
          </w:tcPr>
          <w:p w14:paraId="39D9EA5C"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4" w:type="pct"/>
            <w:vAlign w:val="bottom"/>
          </w:tcPr>
          <w:p w14:paraId="7800AD8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4" w:type="pct"/>
            <w:vAlign w:val="bottom"/>
          </w:tcPr>
          <w:p w14:paraId="4D0CFEC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3" w:type="pct"/>
            <w:vAlign w:val="bottom"/>
          </w:tcPr>
          <w:p w14:paraId="0697457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4" w:type="pct"/>
            <w:vAlign w:val="bottom"/>
          </w:tcPr>
          <w:p w14:paraId="74504436"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4" w:type="pct"/>
            <w:vAlign w:val="bottom"/>
          </w:tcPr>
          <w:p w14:paraId="4655B9F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3" w:type="pct"/>
            <w:vAlign w:val="bottom"/>
          </w:tcPr>
          <w:p w14:paraId="61CCE7D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4" w:type="pct"/>
            <w:vAlign w:val="bottom"/>
          </w:tcPr>
          <w:p w14:paraId="0CE60CA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4" w:type="pct"/>
            <w:vAlign w:val="bottom"/>
          </w:tcPr>
          <w:p w14:paraId="7080205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3" w:type="pct"/>
            <w:vAlign w:val="bottom"/>
          </w:tcPr>
          <w:p w14:paraId="7E65498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4" w:type="pct"/>
            <w:vAlign w:val="bottom"/>
          </w:tcPr>
          <w:p w14:paraId="0EC2823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43" w:type="pct"/>
            <w:vAlign w:val="bottom"/>
          </w:tcPr>
          <w:p w14:paraId="5709EDB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p>
        </w:tc>
      </w:tr>
      <w:tr w:rsidR="00587444" w:rsidRPr="00587444" w14:paraId="56DC9921" w14:textId="77777777" w:rsidTr="00DD69E7">
        <w:trPr>
          <w:trHeight w:val="149"/>
          <w:jc w:val="center"/>
        </w:trPr>
        <w:tc>
          <w:tcPr>
            <w:tcW w:w="877" w:type="pct"/>
            <w:vAlign w:val="bottom"/>
          </w:tcPr>
          <w:p w14:paraId="718C36D4"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Cash on hand and current accounts with banks</w:t>
            </w:r>
          </w:p>
        </w:tc>
        <w:tc>
          <w:tcPr>
            <w:tcW w:w="343" w:type="pct"/>
            <w:tcBorders>
              <w:top w:val="nil"/>
              <w:left w:val="nil"/>
              <w:bottom w:val="nil"/>
              <w:right w:val="nil"/>
            </w:tcBorders>
            <w:shd w:val="clear" w:color="auto" w:fill="auto"/>
            <w:vAlign w:val="bottom"/>
          </w:tcPr>
          <w:p w14:paraId="2B2055CF"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1,961,985 </w:t>
            </w:r>
          </w:p>
        </w:tc>
        <w:tc>
          <w:tcPr>
            <w:tcW w:w="344" w:type="pct"/>
            <w:tcBorders>
              <w:top w:val="nil"/>
              <w:left w:val="nil"/>
              <w:bottom w:val="nil"/>
              <w:right w:val="nil"/>
            </w:tcBorders>
            <w:shd w:val="clear" w:color="auto" w:fill="auto"/>
            <w:vAlign w:val="bottom"/>
          </w:tcPr>
          <w:p w14:paraId="1288A42B"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1F0EC16B"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3" w:type="pct"/>
            <w:tcBorders>
              <w:top w:val="nil"/>
              <w:left w:val="nil"/>
              <w:bottom w:val="nil"/>
              <w:right w:val="nil"/>
            </w:tcBorders>
            <w:shd w:val="clear" w:color="auto" w:fill="auto"/>
            <w:vAlign w:val="bottom"/>
          </w:tcPr>
          <w:p w14:paraId="141ED767"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7E3A405D"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1BC42799"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1,961,985 </w:t>
            </w:r>
          </w:p>
        </w:tc>
        <w:tc>
          <w:tcPr>
            <w:tcW w:w="343" w:type="pct"/>
            <w:tcBorders>
              <w:top w:val="nil"/>
              <w:left w:val="nil"/>
              <w:bottom w:val="nil"/>
              <w:right w:val="nil"/>
            </w:tcBorders>
            <w:vAlign w:val="bottom"/>
          </w:tcPr>
          <w:p w14:paraId="4F2FDD24"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7A438FA2"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0CEA26BA"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3" w:type="pct"/>
            <w:tcBorders>
              <w:top w:val="nil"/>
              <w:left w:val="nil"/>
              <w:bottom w:val="nil"/>
              <w:right w:val="nil"/>
            </w:tcBorders>
            <w:vAlign w:val="bottom"/>
          </w:tcPr>
          <w:p w14:paraId="0DDC5E34"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5A169FF2"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3" w:type="pct"/>
            <w:tcBorders>
              <w:top w:val="nil"/>
              <w:left w:val="nil"/>
              <w:bottom w:val="nil"/>
              <w:right w:val="nil"/>
            </w:tcBorders>
            <w:vAlign w:val="bottom"/>
          </w:tcPr>
          <w:p w14:paraId="3102E374"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r>
      <w:tr w:rsidR="00587444" w:rsidRPr="00587444" w14:paraId="3EFA40F3" w14:textId="77777777" w:rsidTr="00DD69E7">
        <w:trPr>
          <w:trHeight w:val="149"/>
          <w:jc w:val="center"/>
        </w:trPr>
        <w:tc>
          <w:tcPr>
            <w:tcW w:w="877" w:type="pct"/>
            <w:vAlign w:val="bottom"/>
          </w:tcPr>
          <w:p w14:paraId="67EB6579"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Deposits with other banks</w:t>
            </w:r>
          </w:p>
        </w:tc>
        <w:tc>
          <w:tcPr>
            <w:tcW w:w="343" w:type="pct"/>
            <w:tcBorders>
              <w:top w:val="nil"/>
              <w:left w:val="nil"/>
              <w:bottom w:val="nil"/>
              <w:right w:val="nil"/>
            </w:tcBorders>
            <w:shd w:val="clear" w:color="auto" w:fill="auto"/>
            <w:vAlign w:val="bottom"/>
          </w:tcPr>
          <w:p w14:paraId="4CA0AEAB"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7,500 </w:t>
            </w:r>
          </w:p>
        </w:tc>
        <w:tc>
          <w:tcPr>
            <w:tcW w:w="344" w:type="pct"/>
            <w:tcBorders>
              <w:top w:val="nil"/>
              <w:left w:val="nil"/>
              <w:bottom w:val="nil"/>
              <w:right w:val="nil"/>
            </w:tcBorders>
            <w:shd w:val="clear" w:color="auto" w:fill="auto"/>
            <w:vAlign w:val="bottom"/>
          </w:tcPr>
          <w:p w14:paraId="4B59BC8C"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4CA32C50"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3" w:type="pct"/>
            <w:tcBorders>
              <w:top w:val="nil"/>
              <w:left w:val="nil"/>
              <w:bottom w:val="nil"/>
              <w:right w:val="nil"/>
            </w:tcBorders>
            <w:shd w:val="clear" w:color="auto" w:fill="auto"/>
            <w:vAlign w:val="bottom"/>
          </w:tcPr>
          <w:p w14:paraId="2AE7D0A8"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1A3C7D79"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1DA64687"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7,500 </w:t>
            </w:r>
          </w:p>
        </w:tc>
        <w:tc>
          <w:tcPr>
            <w:tcW w:w="343" w:type="pct"/>
            <w:tcBorders>
              <w:top w:val="nil"/>
              <w:left w:val="nil"/>
              <w:bottom w:val="nil"/>
              <w:right w:val="nil"/>
            </w:tcBorders>
            <w:vAlign w:val="bottom"/>
          </w:tcPr>
          <w:p w14:paraId="0EEC6C08"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1EF93138"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58E201AA"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3" w:type="pct"/>
            <w:tcBorders>
              <w:top w:val="nil"/>
              <w:left w:val="nil"/>
              <w:bottom w:val="nil"/>
              <w:right w:val="nil"/>
            </w:tcBorders>
            <w:vAlign w:val="bottom"/>
          </w:tcPr>
          <w:p w14:paraId="7166CC2B"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0FB37FAA"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3" w:type="pct"/>
            <w:tcBorders>
              <w:top w:val="nil"/>
              <w:left w:val="nil"/>
              <w:bottom w:val="nil"/>
              <w:right w:val="nil"/>
            </w:tcBorders>
            <w:vAlign w:val="bottom"/>
          </w:tcPr>
          <w:p w14:paraId="743561EA"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r>
      <w:tr w:rsidR="00587444" w:rsidRPr="00587444" w14:paraId="1FD86C89" w14:textId="77777777" w:rsidTr="00DD69E7">
        <w:trPr>
          <w:trHeight w:val="142"/>
          <w:jc w:val="center"/>
        </w:trPr>
        <w:tc>
          <w:tcPr>
            <w:tcW w:w="877" w:type="pct"/>
            <w:vAlign w:val="bottom"/>
          </w:tcPr>
          <w:p w14:paraId="219A7655"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financial institutions</w:t>
            </w:r>
          </w:p>
        </w:tc>
        <w:tc>
          <w:tcPr>
            <w:tcW w:w="343" w:type="pct"/>
            <w:tcBorders>
              <w:top w:val="nil"/>
              <w:left w:val="nil"/>
              <w:bottom w:val="nil"/>
              <w:right w:val="nil"/>
            </w:tcBorders>
            <w:shd w:val="clear" w:color="auto" w:fill="auto"/>
            <w:vAlign w:val="bottom"/>
          </w:tcPr>
          <w:p w14:paraId="3DBA5C5E"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6,865,821 </w:t>
            </w:r>
          </w:p>
        </w:tc>
        <w:tc>
          <w:tcPr>
            <w:tcW w:w="344" w:type="pct"/>
            <w:tcBorders>
              <w:top w:val="nil"/>
              <w:left w:val="nil"/>
              <w:bottom w:val="nil"/>
              <w:right w:val="nil"/>
            </w:tcBorders>
            <w:shd w:val="clear" w:color="auto" w:fill="auto"/>
            <w:vAlign w:val="bottom"/>
          </w:tcPr>
          <w:p w14:paraId="3176528C"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180,760 </w:t>
            </w:r>
          </w:p>
        </w:tc>
        <w:tc>
          <w:tcPr>
            <w:tcW w:w="344" w:type="pct"/>
            <w:tcBorders>
              <w:top w:val="nil"/>
              <w:left w:val="nil"/>
              <w:bottom w:val="nil"/>
              <w:right w:val="nil"/>
            </w:tcBorders>
            <w:shd w:val="clear" w:color="auto" w:fill="auto"/>
            <w:vAlign w:val="bottom"/>
          </w:tcPr>
          <w:p w14:paraId="23499AE1"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3,562 </w:t>
            </w:r>
          </w:p>
        </w:tc>
        <w:tc>
          <w:tcPr>
            <w:tcW w:w="343" w:type="pct"/>
            <w:tcBorders>
              <w:top w:val="nil"/>
              <w:left w:val="nil"/>
              <w:bottom w:val="nil"/>
              <w:right w:val="nil"/>
            </w:tcBorders>
            <w:shd w:val="clear" w:color="auto" w:fill="auto"/>
            <w:vAlign w:val="bottom"/>
          </w:tcPr>
          <w:p w14:paraId="59C7714B"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535235FE"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13EE32C2"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7,050,143 </w:t>
            </w:r>
          </w:p>
        </w:tc>
        <w:tc>
          <w:tcPr>
            <w:tcW w:w="343" w:type="pct"/>
            <w:tcBorders>
              <w:top w:val="nil"/>
              <w:left w:val="nil"/>
              <w:bottom w:val="nil"/>
              <w:right w:val="nil"/>
            </w:tcBorders>
            <w:vAlign w:val="bottom"/>
          </w:tcPr>
          <w:p w14:paraId="341DFC04"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7D5A007D"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00D1AFDA"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3" w:type="pct"/>
            <w:tcBorders>
              <w:top w:val="nil"/>
              <w:left w:val="nil"/>
              <w:bottom w:val="nil"/>
              <w:right w:val="nil"/>
            </w:tcBorders>
            <w:vAlign w:val="bottom"/>
          </w:tcPr>
          <w:p w14:paraId="0753FC2A"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3BFD930D"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3" w:type="pct"/>
            <w:tcBorders>
              <w:top w:val="nil"/>
              <w:left w:val="nil"/>
              <w:bottom w:val="nil"/>
              <w:right w:val="nil"/>
            </w:tcBorders>
            <w:vAlign w:val="bottom"/>
          </w:tcPr>
          <w:p w14:paraId="09FF3D1E"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r>
      <w:tr w:rsidR="00587444" w:rsidRPr="00587444" w14:paraId="10D9EF8B" w14:textId="77777777" w:rsidTr="00DD69E7">
        <w:trPr>
          <w:trHeight w:val="149"/>
          <w:jc w:val="center"/>
        </w:trPr>
        <w:tc>
          <w:tcPr>
            <w:tcW w:w="877" w:type="pct"/>
            <w:vAlign w:val="bottom"/>
          </w:tcPr>
          <w:p w14:paraId="4CC885EE"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other customers</w:t>
            </w:r>
          </w:p>
        </w:tc>
        <w:tc>
          <w:tcPr>
            <w:tcW w:w="343" w:type="pct"/>
            <w:tcBorders>
              <w:top w:val="nil"/>
              <w:left w:val="nil"/>
              <w:bottom w:val="nil"/>
              <w:right w:val="nil"/>
            </w:tcBorders>
            <w:shd w:val="clear" w:color="auto" w:fill="auto"/>
            <w:vAlign w:val="bottom"/>
          </w:tcPr>
          <w:p w14:paraId="43C6E436"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12,779,081 </w:t>
            </w:r>
          </w:p>
        </w:tc>
        <w:tc>
          <w:tcPr>
            <w:tcW w:w="344" w:type="pct"/>
            <w:tcBorders>
              <w:top w:val="nil"/>
              <w:left w:val="nil"/>
              <w:bottom w:val="nil"/>
              <w:right w:val="nil"/>
            </w:tcBorders>
            <w:shd w:val="clear" w:color="auto" w:fill="auto"/>
            <w:vAlign w:val="bottom"/>
          </w:tcPr>
          <w:p w14:paraId="402DC2E9"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827,965 </w:t>
            </w:r>
          </w:p>
        </w:tc>
        <w:tc>
          <w:tcPr>
            <w:tcW w:w="344" w:type="pct"/>
            <w:tcBorders>
              <w:top w:val="nil"/>
              <w:left w:val="nil"/>
              <w:bottom w:val="nil"/>
              <w:right w:val="nil"/>
            </w:tcBorders>
            <w:shd w:val="clear" w:color="auto" w:fill="auto"/>
            <w:vAlign w:val="bottom"/>
          </w:tcPr>
          <w:p w14:paraId="369B2F93"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1,163,771 </w:t>
            </w:r>
          </w:p>
        </w:tc>
        <w:tc>
          <w:tcPr>
            <w:tcW w:w="343" w:type="pct"/>
            <w:tcBorders>
              <w:top w:val="nil"/>
              <w:left w:val="nil"/>
              <w:bottom w:val="nil"/>
              <w:right w:val="nil"/>
            </w:tcBorders>
            <w:shd w:val="clear" w:color="auto" w:fill="auto"/>
            <w:vAlign w:val="bottom"/>
          </w:tcPr>
          <w:p w14:paraId="7A7CE674"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1,193,559 </w:t>
            </w:r>
          </w:p>
        </w:tc>
        <w:tc>
          <w:tcPr>
            <w:tcW w:w="344" w:type="pct"/>
            <w:tcBorders>
              <w:top w:val="nil"/>
              <w:left w:val="nil"/>
              <w:bottom w:val="nil"/>
              <w:right w:val="nil"/>
            </w:tcBorders>
            <w:shd w:val="clear" w:color="auto" w:fill="auto"/>
            <w:vAlign w:val="bottom"/>
          </w:tcPr>
          <w:p w14:paraId="24A1D7FE"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6FE7FBD2"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15,964,376 </w:t>
            </w:r>
          </w:p>
        </w:tc>
        <w:tc>
          <w:tcPr>
            <w:tcW w:w="343" w:type="pct"/>
            <w:tcBorders>
              <w:top w:val="nil"/>
              <w:left w:val="nil"/>
              <w:bottom w:val="nil"/>
              <w:right w:val="nil"/>
            </w:tcBorders>
            <w:vAlign w:val="bottom"/>
          </w:tcPr>
          <w:p w14:paraId="31B48B3F"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2,855,314 </w:t>
            </w:r>
          </w:p>
        </w:tc>
        <w:tc>
          <w:tcPr>
            <w:tcW w:w="344" w:type="pct"/>
            <w:tcBorders>
              <w:top w:val="nil"/>
              <w:left w:val="nil"/>
              <w:bottom w:val="nil"/>
              <w:right w:val="nil"/>
            </w:tcBorders>
            <w:vAlign w:val="bottom"/>
          </w:tcPr>
          <w:p w14:paraId="764EAF59"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92,792 </w:t>
            </w:r>
          </w:p>
        </w:tc>
        <w:tc>
          <w:tcPr>
            <w:tcW w:w="344" w:type="pct"/>
            <w:tcBorders>
              <w:top w:val="nil"/>
              <w:left w:val="nil"/>
              <w:bottom w:val="nil"/>
              <w:right w:val="nil"/>
            </w:tcBorders>
            <w:vAlign w:val="bottom"/>
          </w:tcPr>
          <w:p w14:paraId="43A9E3C4"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205,605 </w:t>
            </w:r>
          </w:p>
        </w:tc>
        <w:tc>
          <w:tcPr>
            <w:tcW w:w="343" w:type="pct"/>
            <w:tcBorders>
              <w:top w:val="nil"/>
              <w:left w:val="nil"/>
              <w:bottom w:val="nil"/>
              <w:right w:val="nil"/>
            </w:tcBorders>
            <w:vAlign w:val="bottom"/>
          </w:tcPr>
          <w:p w14:paraId="6793A88C"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34,769 </w:t>
            </w:r>
          </w:p>
        </w:tc>
        <w:tc>
          <w:tcPr>
            <w:tcW w:w="344" w:type="pct"/>
            <w:tcBorders>
              <w:top w:val="nil"/>
              <w:left w:val="nil"/>
              <w:bottom w:val="nil"/>
              <w:right w:val="nil"/>
            </w:tcBorders>
            <w:vAlign w:val="bottom"/>
          </w:tcPr>
          <w:p w14:paraId="26B5F49A"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3" w:type="pct"/>
            <w:tcBorders>
              <w:top w:val="nil"/>
              <w:left w:val="nil"/>
              <w:bottom w:val="nil"/>
              <w:right w:val="nil"/>
            </w:tcBorders>
            <w:vAlign w:val="bottom"/>
          </w:tcPr>
          <w:p w14:paraId="2D758772"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3,188,480 </w:t>
            </w:r>
          </w:p>
        </w:tc>
      </w:tr>
      <w:tr w:rsidR="00587444" w:rsidRPr="00587444" w14:paraId="21C612CC" w14:textId="77777777" w:rsidTr="00DD69E7">
        <w:trPr>
          <w:trHeight w:val="149"/>
          <w:jc w:val="center"/>
        </w:trPr>
        <w:tc>
          <w:tcPr>
            <w:tcW w:w="877" w:type="pct"/>
            <w:vAlign w:val="bottom"/>
          </w:tcPr>
          <w:p w14:paraId="13C753C8"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Financial assets at fair value through profit or loss</w:t>
            </w:r>
          </w:p>
        </w:tc>
        <w:tc>
          <w:tcPr>
            <w:tcW w:w="343" w:type="pct"/>
            <w:tcBorders>
              <w:top w:val="nil"/>
              <w:left w:val="nil"/>
              <w:bottom w:val="nil"/>
              <w:right w:val="nil"/>
            </w:tcBorders>
            <w:shd w:val="clear" w:color="auto" w:fill="auto"/>
            <w:vAlign w:val="bottom"/>
          </w:tcPr>
          <w:p w14:paraId="60E5E08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6DE419DF"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62C176FF"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hAnsi="Arial" w:cs="Arial"/>
                <w:sz w:val="14"/>
                <w:szCs w:val="14"/>
              </w:rPr>
              <w:t xml:space="preserve"> - </w:t>
            </w:r>
          </w:p>
        </w:tc>
        <w:tc>
          <w:tcPr>
            <w:tcW w:w="343" w:type="pct"/>
            <w:tcBorders>
              <w:top w:val="nil"/>
              <w:left w:val="nil"/>
              <w:bottom w:val="nil"/>
              <w:right w:val="nil"/>
            </w:tcBorders>
            <w:shd w:val="clear" w:color="auto" w:fill="auto"/>
            <w:vAlign w:val="bottom"/>
          </w:tcPr>
          <w:p w14:paraId="32FEFF8F"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7B9EF28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hAnsi="Arial" w:cs="Arial"/>
                <w:sz w:val="14"/>
                <w:szCs w:val="14"/>
              </w:rPr>
              <w:t xml:space="preserve"> 16,375 </w:t>
            </w:r>
          </w:p>
        </w:tc>
        <w:tc>
          <w:tcPr>
            <w:tcW w:w="344" w:type="pct"/>
            <w:tcBorders>
              <w:top w:val="nil"/>
              <w:left w:val="nil"/>
              <w:bottom w:val="nil"/>
              <w:right w:val="nil"/>
            </w:tcBorders>
            <w:shd w:val="clear" w:color="auto" w:fill="auto"/>
            <w:vAlign w:val="bottom"/>
          </w:tcPr>
          <w:p w14:paraId="1BCA2BB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highlight w:val="yellow"/>
                <w:lang w:val="hr-HR"/>
              </w:rPr>
            </w:pPr>
            <w:r w:rsidRPr="00587444">
              <w:rPr>
                <w:rFonts w:ascii="Arial" w:hAnsi="Arial" w:cs="Arial"/>
                <w:sz w:val="14"/>
                <w:szCs w:val="14"/>
              </w:rPr>
              <w:t xml:space="preserve"> 16,375 </w:t>
            </w:r>
          </w:p>
        </w:tc>
        <w:tc>
          <w:tcPr>
            <w:tcW w:w="343" w:type="pct"/>
            <w:tcBorders>
              <w:top w:val="nil"/>
              <w:left w:val="nil"/>
              <w:bottom w:val="nil"/>
              <w:right w:val="nil"/>
            </w:tcBorders>
            <w:vAlign w:val="bottom"/>
          </w:tcPr>
          <w:p w14:paraId="35FCA24A"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37EAC64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44C65482"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hAnsi="Arial" w:cs="Arial"/>
                <w:sz w:val="14"/>
                <w:szCs w:val="14"/>
              </w:rPr>
              <w:t xml:space="preserve"> - </w:t>
            </w:r>
          </w:p>
        </w:tc>
        <w:tc>
          <w:tcPr>
            <w:tcW w:w="343" w:type="pct"/>
            <w:tcBorders>
              <w:top w:val="nil"/>
              <w:left w:val="nil"/>
              <w:bottom w:val="nil"/>
              <w:right w:val="nil"/>
            </w:tcBorders>
            <w:vAlign w:val="bottom"/>
          </w:tcPr>
          <w:p w14:paraId="07A4E59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5C083D4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hAnsi="Arial" w:cs="Arial"/>
                <w:sz w:val="14"/>
                <w:szCs w:val="14"/>
              </w:rPr>
              <w:t xml:space="preserve"> 16,375 </w:t>
            </w:r>
          </w:p>
        </w:tc>
        <w:tc>
          <w:tcPr>
            <w:tcW w:w="343" w:type="pct"/>
            <w:tcBorders>
              <w:top w:val="nil"/>
              <w:left w:val="nil"/>
              <w:bottom w:val="nil"/>
              <w:right w:val="nil"/>
            </w:tcBorders>
            <w:shd w:val="clear" w:color="auto" w:fill="auto"/>
            <w:vAlign w:val="bottom"/>
          </w:tcPr>
          <w:p w14:paraId="43229BF6"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587444">
              <w:rPr>
                <w:rFonts w:ascii="Arial" w:hAnsi="Arial" w:cs="Arial"/>
                <w:sz w:val="14"/>
                <w:szCs w:val="14"/>
              </w:rPr>
              <w:t xml:space="preserve"> 16,375 </w:t>
            </w:r>
          </w:p>
        </w:tc>
      </w:tr>
      <w:tr w:rsidR="00587444" w:rsidRPr="00587444" w14:paraId="6BB9FF76" w14:textId="77777777" w:rsidTr="00DD69E7">
        <w:trPr>
          <w:trHeight w:val="126"/>
          <w:jc w:val="center"/>
        </w:trPr>
        <w:tc>
          <w:tcPr>
            <w:tcW w:w="877" w:type="pct"/>
            <w:vAlign w:val="bottom"/>
          </w:tcPr>
          <w:p w14:paraId="46CBDB33"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Financial assets at fair value through other comprehensive income</w:t>
            </w:r>
          </w:p>
        </w:tc>
        <w:tc>
          <w:tcPr>
            <w:tcW w:w="343" w:type="pct"/>
            <w:tcBorders>
              <w:top w:val="nil"/>
              <w:left w:val="nil"/>
              <w:bottom w:val="nil"/>
              <w:right w:val="nil"/>
            </w:tcBorders>
            <w:shd w:val="clear" w:color="auto" w:fill="auto"/>
            <w:vAlign w:val="bottom"/>
          </w:tcPr>
          <w:p w14:paraId="15A50B1F"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587444">
              <w:rPr>
                <w:rFonts w:ascii="Arial" w:hAnsi="Arial" w:cs="Arial"/>
                <w:sz w:val="14"/>
                <w:szCs w:val="14"/>
              </w:rPr>
              <w:t xml:space="preserve"> 2,928,045 </w:t>
            </w:r>
          </w:p>
        </w:tc>
        <w:tc>
          <w:tcPr>
            <w:tcW w:w="344" w:type="pct"/>
            <w:tcBorders>
              <w:top w:val="nil"/>
              <w:left w:val="nil"/>
              <w:bottom w:val="nil"/>
              <w:right w:val="nil"/>
            </w:tcBorders>
            <w:shd w:val="clear" w:color="auto" w:fill="auto"/>
            <w:vAlign w:val="bottom"/>
          </w:tcPr>
          <w:p w14:paraId="77A864B2"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122C08F6"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587444">
              <w:rPr>
                <w:rFonts w:ascii="Arial" w:hAnsi="Arial" w:cs="Arial"/>
                <w:sz w:val="14"/>
                <w:szCs w:val="14"/>
              </w:rPr>
              <w:t xml:space="preserve"> 1,469 </w:t>
            </w:r>
          </w:p>
        </w:tc>
        <w:tc>
          <w:tcPr>
            <w:tcW w:w="343" w:type="pct"/>
            <w:tcBorders>
              <w:top w:val="nil"/>
              <w:left w:val="nil"/>
              <w:bottom w:val="nil"/>
              <w:right w:val="nil"/>
            </w:tcBorders>
            <w:shd w:val="clear" w:color="auto" w:fill="auto"/>
            <w:vAlign w:val="bottom"/>
          </w:tcPr>
          <w:p w14:paraId="3E60886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185EAD3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0328EFB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587444">
              <w:rPr>
                <w:rFonts w:ascii="Arial" w:hAnsi="Arial" w:cs="Arial"/>
                <w:sz w:val="14"/>
                <w:szCs w:val="14"/>
              </w:rPr>
              <w:t xml:space="preserve"> 2,929,514 </w:t>
            </w:r>
          </w:p>
        </w:tc>
        <w:tc>
          <w:tcPr>
            <w:tcW w:w="343" w:type="pct"/>
            <w:tcBorders>
              <w:top w:val="nil"/>
              <w:left w:val="nil"/>
              <w:bottom w:val="nil"/>
              <w:right w:val="nil"/>
            </w:tcBorders>
            <w:shd w:val="clear" w:color="auto" w:fill="auto"/>
            <w:vAlign w:val="bottom"/>
          </w:tcPr>
          <w:p w14:paraId="548181F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587444">
              <w:rPr>
                <w:rFonts w:ascii="Arial" w:hAnsi="Arial" w:cs="Arial"/>
                <w:sz w:val="14"/>
                <w:szCs w:val="14"/>
              </w:rPr>
              <w:t xml:space="preserve"> 2,928,045 </w:t>
            </w:r>
          </w:p>
        </w:tc>
        <w:tc>
          <w:tcPr>
            <w:tcW w:w="344" w:type="pct"/>
            <w:tcBorders>
              <w:top w:val="nil"/>
              <w:left w:val="nil"/>
              <w:bottom w:val="nil"/>
              <w:right w:val="nil"/>
            </w:tcBorders>
            <w:shd w:val="clear" w:color="auto" w:fill="auto"/>
            <w:vAlign w:val="bottom"/>
          </w:tcPr>
          <w:p w14:paraId="0764DBCC"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4350E884"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587444">
              <w:rPr>
                <w:rFonts w:ascii="Arial" w:hAnsi="Arial" w:cs="Arial"/>
                <w:sz w:val="14"/>
                <w:szCs w:val="14"/>
              </w:rPr>
              <w:t xml:space="preserve"> 1,469 </w:t>
            </w:r>
          </w:p>
        </w:tc>
        <w:tc>
          <w:tcPr>
            <w:tcW w:w="343" w:type="pct"/>
            <w:tcBorders>
              <w:top w:val="nil"/>
              <w:left w:val="nil"/>
              <w:bottom w:val="nil"/>
              <w:right w:val="nil"/>
            </w:tcBorders>
            <w:shd w:val="clear" w:color="auto" w:fill="auto"/>
            <w:vAlign w:val="bottom"/>
          </w:tcPr>
          <w:p w14:paraId="11F4EDC4"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7C523B8F"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587444">
              <w:rPr>
                <w:rFonts w:ascii="Arial" w:hAnsi="Arial" w:cs="Arial"/>
                <w:sz w:val="14"/>
                <w:szCs w:val="14"/>
              </w:rPr>
              <w:t xml:space="preserve"> - </w:t>
            </w:r>
          </w:p>
        </w:tc>
        <w:tc>
          <w:tcPr>
            <w:tcW w:w="343" w:type="pct"/>
            <w:tcBorders>
              <w:top w:val="nil"/>
              <w:left w:val="nil"/>
              <w:bottom w:val="nil"/>
              <w:right w:val="nil"/>
            </w:tcBorders>
            <w:shd w:val="clear" w:color="auto" w:fill="auto"/>
            <w:vAlign w:val="bottom"/>
          </w:tcPr>
          <w:p w14:paraId="79C3E876"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587444">
              <w:rPr>
                <w:rFonts w:ascii="Arial" w:hAnsi="Arial" w:cs="Arial"/>
                <w:sz w:val="14"/>
                <w:szCs w:val="14"/>
              </w:rPr>
              <w:t xml:space="preserve"> 2,929,514 </w:t>
            </w:r>
          </w:p>
        </w:tc>
      </w:tr>
      <w:tr w:rsidR="00587444" w:rsidRPr="00587444" w14:paraId="55A69A6D" w14:textId="77777777" w:rsidTr="00DD69E7">
        <w:trPr>
          <w:trHeight w:hRule="exact" w:val="227"/>
          <w:jc w:val="center"/>
        </w:trPr>
        <w:tc>
          <w:tcPr>
            <w:tcW w:w="877" w:type="pct"/>
            <w:vAlign w:val="bottom"/>
          </w:tcPr>
          <w:p w14:paraId="598A30CD"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Other assets</w:t>
            </w:r>
          </w:p>
        </w:tc>
        <w:tc>
          <w:tcPr>
            <w:tcW w:w="343" w:type="pct"/>
            <w:tcBorders>
              <w:top w:val="nil"/>
              <w:left w:val="nil"/>
              <w:bottom w:val="single" w:sz="8" w:space="0" w:color="auto"/>
              <w:right w:val="nil"/>
            </w:tcBorders>
            <w:shd w:val="clear" w:color="auto" w:fill="auto"/>
            <w:vAlign w:val="bottom"/>
          </w:tcPr>
          <w:p w14:paraId="257F07B5"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hAnsi="Arial" w:cs="Arial"/>
                <w:sz w:val="14"/>
                <w:szCs w:val="14"/>
              </w:rPr>
              <w:t xml:space="preserve"> 5,938 </w:t>
            </w:r>
          </w:p>
        </w:tc>
        <w:tc>
          <w:tcPr>
            <w:tcW w:w="344" w:type="pct"/>
            <w:tcBorders>
              <w:top w:val="nil"/>
              <w:left w:val="nil"/>
              <w:bottom w:val="single" w:sz="8" w:space="0" w:color="auto"/>
              <w:right w:val="nil"/>
            </w:tcBorders>
            <w:shd w:val="clear" w:color="auto" w:fill="auto"/>
            <w:vAlign w:val="bottom"/>
          </w:tcPr>
          <w:p w14:paraId="15577F6D"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hAnsi="Arial" w:cs="Arial"/>
                <w:sz w:val="14"/>
                <w:szCs w:val="14"/>
              </w:rPr>
              <w:t xml:space="preserve"> 12 </w:t>
            </w:r>
          </w:p>
        </w:tc>
        <w:tc>
          <w:tcPr>
            <w:tcW w:w="344" w:type="pct"/>
            <w:tcBorders>
              <w:top w:val="nil"/>
              <w:left w:val="nil"/>
              <w:bottom w:val="single" w:sz="8" w:space="0" w:color="auto"/>
              <w:right w:val="nil"/>
            </w:tcBorders>
            <w:shd w:val="clear" w:color="auto" w:fill="auto"/>
            <w:vAlign w:val="bottom"/>
          </w:tcPr>
          <w:p w14:paraId="58C035D0"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hAnsi="Arial" w:cs="Arial"/>
                <w:sz w:val="14"/>
                <w:szCs w:val="14"/>
              </w:rPr>
              <w:t xml:space="preserve"> 1,310 </w:t>
            </w:r>
          </w:p>
        </w:tc>
        <w:tc>
          <w:tcPr>
            <w:tcW w:w="343" w:type="pct"/>
            <w:tcBorders>
              <w:top w:val="nil"/>
              <w:left w:val="nil"/>
              <w:bottom w:val="single" w:sz="8" w:space="0" w:color="auto"/>
              <w:right w:val="nil"/>
            </w:tcBorders>
            <w:shd w:val="clear" w:color="auto" w:fill="auto"/>
            <w:vAlign w:val="bottom"/>
          </w:tcPr>
          <w:p w14:paraId="60DD55C3"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hAnsi="Arial" w:cs="Arial"/>
                <w:sz w:val="14"/>
                <w:szCs w:val="14"/>
              </w:rPr>
              <w:t xml:space="preserve"> 51 </w:t>
            </w:r>
          </w:p>
        </w:tc>
        <w:tc>
          <w:tcPr>
            <w:tcW w:w="344" w:type="pct"/>
            <w:tcBorders>
              <w:top w:val="nil"/>
              <w:left w:val="nil"/>
              <w:bottom w:val="single" w:sz="8" w:space="0" w:color="auto"/>
              <w:right w:val="nil"/>
            </w:tcBorders>
            <w:shd w:val="clear" w:color="auto" w:fill="auto"/>
            <w:vAlign w:val="bottom"/>
          </w:tcPr>
          <w:p w14:paraId="262FF494"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hAnsi="Arial" w:cs="Arial"/>
                <w:sz w:val="14"/>
                <w:szCs w:val="14"/>
              </w:rPr>
              <w:t xml:space="preserve"> - </w:t>
            </w:r>
          </w:p>
        </w:tc>
        <w:tc>
          <w:tcPr>
            <w:tcW w:w="344" w:type="pct"/>
            <w:tcBorders>
              <w:top w:val="nil"/>
              <w:left w:val="nil"/>
              <w:bottom w:val="single" w:sz="8" w:space="0" w:color="auto"/>
              <w:right w:val="nil"/>
            </w:tcBorders>
            <w:shd w:val="clear" w:color="auto" w:fill="auto"/>
            <w:vAlign w:val="bottom"/>
          </w:tcPr>
          <w:p w14:paraId="18C6AA55"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hAnsi="Arial" w:cs="Arial"/>
                <w:sz w:val="14"/>
                <w:szCs w:val="14"/>
              </w:rPr>
              <w:t xml:space="preserve"> 7,311 </w:t>
            </w:r>
          </w:p>
        </w:tc>
        <w:tc>
          <w:tcPr>
            <w:tcW w:w="343" w:type="pct"/>
            <w:tcBorders>
              <w:top w:val="nil"/>
              <w:left w:val="nil"/>
              <w:bottom w:val="single" w:sz="8" w:space="0" w:color="auto"/>
              <w:right w:val="nil"/>
            </w:tcBorders>
            <w:vAlign w:val="bottom"/>
          </w:tcPr>
          <w:p w14:paraId="18814D2F"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hAnsi="Arial" w:cs="Arial"/>
                <w:sz w:val="14"/>
                <w:szCs w:val="14"/>
              </w:rPr>
              <w:t xml:space="preserve"> 2,398 </w:t>
            </w:r>
          </w:p>
        </w:tc>
        <w:tc>
          <w:tcPr>
            <w:tcW w:w="344" w:type="pct"/>
            <w:tcBorders>
              <w:top w:val="nil"/>
              <w:left w:val="nil"/>
              <w:bottom w:val="single" w:sz="8" w:space="0" w:color="auto"/>
              <w:right w:val="nil"/>
            </w:tcBorders>
            <w:vAlign w:val="bottom"/>
          </w:tcPr>
          <w:p w14:paraId="337AB06F"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hAnsi="Arial" w:cs="Arial"/>
                <w:sz w:val="14"/>
                <w:szCs w:val="14"/>
              </w:rPr>
              <w:t xml:space="preserve"> 12 </w:t>
            </w:r>
          </w:p>
        </w:tc>
        <w:tc>
          <w:tcPr>
            <w:tcW w:w="344" w:type="pct"/>
            <w:tcBorders>
              <w:top w:val="nil"/>
              <w:left w:val="nil"/>
              <w:bottom w:val="single" w:sz="8" w:space="0" w:color="auto"/>
              <w:right w:val="nil"/>
            </w:tcBorders>
            <w:vAlign w:val="bottom"/>
          </w:tcPr>
          <w:p w14:paraId="04CF5A2F"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hAnsi="Arial" w:cs="Arial"/>
                <w:sz w:val="14"/>
                <w:szCs w:val="14"/>
              </w:rPr>
              <w:t xml:space="preserve"> 749 </w:t>
            </w:r>
          </w:p>
        </w:tc>
        <w:tc>
          <w:tcPr>
            <w:tcW w:w="343" w:type="pct"/>
            <w:tcBorders>
              <w:top w:val="nil"/>
              <w:left w:val="nil"/>
              <w:bottom w:val="single" w:sz="8" w:space="0" w:color="auto"/>
              <w:right w:val="nil"/>
            </w:tcBorders>
            <w:vAlign w:val="bottom"/>
          </w:tcPr>
          <w:p w14:paraId="21C377F8"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hAnsi="Arial" w:cs="Arial"/>
                <w:sz w:val="14"/>
                <w:szCs w:val="14"/>
              </w:rPr>
              <w:t xml:space="preserve"> 51 </w:t>
            </w:r>
          </w:p>
        </w:tc>
        <w:tc>
          <w:tcPr>
            <w:tcW w:w="344" w:type="pct"/>
            <w:tcBorders>
              <w:top w:val="nil"/>
              <w:left w:val="nil"/>
              <w:bottom w:val="single" w:sz="8" w:space="0" w:color="auto"/>
              <w:right w:val="nil"/>
            </w:tcBorders>
            <w:vAlign w:val="bottom"/>
          </w:tcPr>
          <w:p w14:paraId="62DE3617"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eastAsia="Calibri" w:hAnsi="Arial" w:cs="Arial"/>
                <w:color w:val="000000"/>
                <w:sz w:val="14"/>
                <w:szCs w:val="14"/>
                <w:lang w:val="hr-HR"/>
              </w:rPr>
              <w:t>-</w:t>
            </w:r>
          </w:p>
        </w:tc>
        <w:tc>
          <w:tcPr>
            <w:tcW w:w="343" w:type="pct"/>
            <w:tcBorders>
              <w:top w:val="nil"/>
              <w:left w:val="nil"/>
              <w:bottom w:val="single" w:sz="8" w:space="0" w:color="auto"/>
              <w:right w:val="nil"/>
            </w:tcBorders>
            <w:vAlign w:val="bottom"/>
          </w:tcPr>
          <w:p w14:paraId="01CDF7C3"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r w:rsidRPr="00587444">
              <w:rPr>
                <w:rFonts w:ascii="Arial" w:hAnsi="Arial" w:cs="Arial"/>
                <w:sz w:val="14"/>
                <w:szCs w:val="14"/>
              </w:rPr>
              <w:t xml:space="preserve"> 3,210 </w:t>
            </w:r>
          </w:p>
        </w:tc>
      </w:tr>
      <w:tr w:rsidR="00587444" w:rsidRPr="00587444" w14:paraId="775653AD" w14:textId="77777777" w:rsidTr="00DD69E7">
        <w:trPr>
          <w:trHeight w:val="60"/>
          <w:jc w:val="center"/>
        </w:trPr>
        <w:tc>
          <w:tcPr>
            <w:tcW w:w="877" w:type="pct"/>
          </w:tcPr>
          <w:p w14:paraId="737F3657"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Total</w:t>
            </w:r>
          </w:p>
        </w:tc>
        <w:tc>
          <w:tcPr>
            <w:tcW w:w="343" w:type="pct"/>
            <w:tcBorders>
              <w:top w:val="nil"/>
              <w:left w:val="nil"/>
              <w:bottom w:val="single" w:sz="12" w:space="0" w:color="auto"/>
              <w:right w:val="nil"/>
            </w:tcBorders>
            <w:shd w:val="clear" w:color="auto" w:fill="auto"/>
            <w:vAlign w:val="bottom"/>
          </w:tcPr>
          <w:p w14:paraId="7254AA4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hAnsi="Arial" w:cs="Arial"/>
                <w:b/>
                <w:bCs/>
                <w:sz w:val="14"/>
                <w:szCs w:val="14"/>
              </w:rPr>
              <w:t xml:space="preserve"> 24,548,370 </w:t>
            </w:r>
          </w:p>
        </w:tc>
        <w:tc>
          <w:tcPr>
            <w:tcW w:w="344" w:type="pct"/>
            <w:tcBorders>
              <w:top w:val="nil"/>
              <w:left w:val="nil"/>
              <w:bottom w:val="single" w:sz="12" w:space="0" w:color="auto"/>
              <w:right w:val="nil"/>
            </w:tcBorders>
            <w:shd w:val="clear" w:color="auto" w:fill="auto"/>
            <w:vAlign w:val="bottom"/>
          </w:tcPr>
          <w:p w14:paraId="35155D9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hAnsi="Arial" w:cs="Arial"/>
                <w:b/>
                <w:bCs/>
                <w:sz w:val="14"/>
                <w:szCs w:val="14"/>
              </w:rPr>
              <w:t xml:space="preserve"> 1,008,737 </w:t>
            </w:r>
          </w:p>
        </w:tc>
        <w:tc>
          <w:tcPr>
            <w:tcW w:w="344" w:type="pct"/>
            <w:tcBorders>
              <w:top w:val="nil"/>
              <w:left w:val="nil"/>
              <w:bottom w:val="single" w:sz="12" w:space="0" w:color="auto"/>
              <w:right w:val="nil"/>
            </w:tcBorders>
            <w:shd w:val="clear" w:color="auto" w:fill="auto"/>
            <w:vAlign w:val="bottom"/>
          </w:tcPr>
          <w:p w14:paraId="0FB4C7DF"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hAnsi="Arial" w:cs="Arial"/>
                <w:b/>
                <w:bCs/>
                <w:sz w:val="14"/>
                <w:szCs w:val="14"/>
              </w:rPr>
              <w:t xml:space="preserve"> 1,170,112 </w:t>
            </w:r>
          </w:p>
        </w:tc>
        <w:tc>
          <w:tcPr>
            <w:tcW w:w="343" w:type="pct"/>
            <w:tcBorders>
              <w:top w:val="nil"/>
              <w:left w:val="nil"/>
              <w:bottom w:val="single" w:sz="12" w:space="0" w:color="auto"/>
              <w:right w:val="nil"/>
            </w:tcBorders>
            <w:shd w:val="clear" w:color="auto" w:fill="auto"/>
            <w:vAlign w:val="bottom"/>
          </w:tcPr>
          <w:p w14:paraId="2564713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hAnsi="Arial" w:cs="Arial"/>
                <w:b/>
                <w:bCs/>
                <w:sz w:val="14"/>
                <w:szCs w:val="14"/>
              </w:rPr>
              <w:t xml:space="preserve"> 1,193,610 </w:t>
            </w:r>
          </w:p>
        </w:tc>
        <w:tc>
          <w:tcPr>
            <w:tcW w:w="344" w:type="pct"/>
            <w:tcBorders>
              <w:top w:val="nil"/>
              <w:left w:val="nil"/>
              <w:bottom w:val="single" w:sz="12" w:space="0" w:color="auto"/>
              <w:right w:val="nil"/>
            </w:tcBorders>
            <w:shd w:val="clear" w:color="auto" w:fill="auto"/>
            <w:vAlign w:val="bottom"/>
          </w:tcPr>
          <w:p w14:paraId="1957C4C4"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hAnsi="Arial" w:cs="Arial"/>
                <w:b/>
                <w:bCs/>
                <w:sz w:val="14"/>
                <w:szCs w:val="14"/>
              </w:rPr>
              <w:t xml:space="preserve"> 16,375 </w:t>
            </w:r>
          </w:p>
        </w:tc>
        <w:tc>
          <w:tcPr>
            <w:tcW w:w="344" w:type="pct"/>
            <w:tcBorders>
              <w:top w:val="nil"/>
              <w:left w:val="nil"/>
              <w:bottom w:val="single" w:sz="12" w:space="0" w:color="auto"/>
              <w:right w:val="nil"/>
            </w:tcBorders>
            <w:shd w:val="clear" w:color="auto" w:fill="auto"/>
            <w:vAlign w:val="bottom"/>
          </w:tcPr>
          <w:p w14:paraId="572443C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hAnsi="Arial" w:cs="Arial"/>
                <w:b/>
                <w:bCs/>
                <w:sz w:val="14"/>
                <w:szCs w:val="14"/>
              </w:rPr>
              <w:t xml:space="preserve"> 27,937,204 </w:t>
            </w:r>
          </w:p>
        </w:tc>
        <w:tc>
          <w:tcPr>
            <w:tcW w:w="343" w:type="pct"/>
            <w:tcBorders>
              <w:top w:val="nil"/>
              <w:left w:val="nil"/>
              <w:bottom w:val="single" w:sz="12" w:space="0" w:color="auto"/>
              <w:right w:val="nil"/>
            </w:tcBorders>
            <w:vAlign w:val="bottom"/>
          </w:tcPr>
          <w:p w14:paraId="254837E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hAnsi="Arial" w:cs="Arial"/>
                <w:b/>
                <w:bCs/>
                <w:sz w:val="14"/>
                <w:szCs w:val="14"/>
              </w:rPr>
              <w:t xml:space="preserve"> 5,785,757 </w:t>
            </w:r>
          </w:p>
        </w:tc>
        <w:tc>
          <w:tcPr>
            <w:tcW w:w="344" w:type="pct"/>
            <w:tcBorders>
              <w:top w:val="nil"/>
              <w:left w:val="nil"/>
              <w:bottom w:val="single" w:sz="12" w:space="0" w:color="auto"/>
              <w:right w:val="nil"/>
            </w:tcBorders>
            <w:vAlign w:val="bottom"/>
          </w:tcPr>
          <w:p w14:paraId="5E965FC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hAnsi="Arial" w:cs="Arial"/>
                <w:b/>
                <w:bCs/>
                <w:sz w:val="14"/>
                <w:szCs w:val="14"/>
              </w:rPr>
              <w:t xml:space="preserve"> 92,804 </w:t>
            </w:r>
          </w:p>
        </w:tc>
        <w:tc>
          <w:tcPr>
            <w:tcW w:w="344" w:type="pct"/>
            <w:tcBorders>
              <w:top w:val="nil"/>
              <w:left w:val="nil"/>
              <w:bottom w:val="single" w:sz="12" w:space="0" w:color="auto"/>
              <w:right w:val="nil"/>
            </w:tcBorders>
            <w:vAlign w:val="bottom"/>
          </w:tcPr>
          <w:p w14:paraId="49E4551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hAnsi="Arial" w:cs="Arial"/>
                <w:b/>
                <w:bCs/>
                <w:sz w:val="14"/>
                <w:szCs w:val="14"/>
              </w:rPr>
              <w:t xml:space="preserve"> 207,823 </w:t>
            </w:r>
          </w:p>
        </w:tc>
        <w:tc>
          <w:tcPr>
            <w:tcW w:w="343" w:type="pct"/>
            <w:tcBorders>
              <w:top w:val="nil"/>
              <w:left w:val="nil"/>
              <w:bottom w:val="single" w:sz="12" w:space="0" w:color="auto"/>
              <w:right w:val="nil"/>
            </w:tcBorders>
            <w:vAlign w:val="bottom"/>
          </w:tcPr>
          <w:p w14:paraId="57A1355C"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hAnsi="Arial" w:cs="Arial"/>
                <w:b/>
                <w:bCs/>
                <w:sz w:val="14"/>
                <w:szCs w:val="14"/>
              </w:rPr>
              <w:t xml:space="preserve"> 34,820 </w:t>
            </w:r>
          </w:p>
        </w:tc>
        <w:tc>
          <w:tcPr>
            <w:tcW w:w="344" w:type="pct"/>
            <w:tcBorders>
              <w:top w:val="nil"/>
              <w:left w:val="nil"/>
              <w:bottom w:val="single" w:sz="12" w:space="0" w:color="auto"/>
              <w:right w:val="nil"/>
            </w:tcBorders>
            <w:vAlign w:val="bottom"/>
          </w:tcPr>
          <w:p w14:paraId="5E88FAB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hAnsi="Arial" w:cs="Arial"/>
                <w:b/>
                <w:bCs/>
                <w:sz w:val="14"/>
                <w:szCs w:val="14"/>
              </w:rPr>
              <w:t xml:space="preserve"> 16,375 </w:t>
            </w:r>
          </w:p>
        </w:tc>
        <w:tc>
          <w:tcPr>
            <w:tcW w:w="343" w:type="pct"/>
            <w:tcBorders>
              <w:top w:val="nil"/>
              <w:left w:val="nil"/>
              <w:bottom w:val="single" w:sz="12" w:space="0" w:color="auto"/>
              <w:right w:val="nil"/>
            </w:tcBorders>
            <w:vAlign w:val="bottom"/>
          </w:tcPr>
          <w:p w14:paraId="4808093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587444">
              <w:rPr>
                <w:rFonts w:ascii="Arial" w:hAnsi="Arial" w:cs="Arial"/>
                <w:b/>
                <w:bCs/>
                <w:sz w:val="14"/>
                <w:szCs w:val="14"/>
              </w:rPr>
              <w:t xml:space="preserve"> 6,137,579 </w:t>
            </w:r>
          </w:p>
        </w:tc>
      </w:tr>
      <w:tr w:rsidR="00587444" w:rsidRPr="00587444" w14:paraId="13E6F034" w14:textId="77777777" w:rsidTr="00DD69E7">
        <w:trPr>
          <w:trHeight w:val="200"/>
          <w:jc w:val="center"/>
        </w:trPr>
        <w:tc>
          <w:tcPr>
            <w:tcW w:w="877" w:type="pct"/>
          </w:tcPr>
          <w:p w14:paraId="45D505BD" w14:textId="77777777" w:rsidR="00587444" w:rsidRPr="00587444" w:rsidRDefault="00587444" w:rsidP="00587444">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Guarantees and commitments</w:t>
            </w:r>
          </w:p>
        </w:tc>
        <w:tc>
          <w:tcPr>
            <w:tcW w:w="343" w:type="pct"/>
            <w:tcBorders>
              <w:top w:val="nil"/>
              <w:left w:val="nil"/>
              <w:bottom w:val="nil"/>
              <w:right w:val="nil"/>
            </w:tcBorders>
            <w:shd w:val="clear" w:color="auto" w:fill="auto"/>
            <w:vAlign w:val="bottom"/>
          </w:tcPr>
          <w:p w14:paraId="184A0119"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4" w:type="pct"/>
            <w:tcBorders>
              <w:top w:val="nil"/>
              <w:left w:val="nil"/>
              <w:bottom w:val="nil"/>
              <w:right w:val="nil"/>
            </w:tcBorders>
            <w:shd w:val="clear" w:color="auto" w:fill="auto"/>
            <w:vAlign w:val="bottom"/>
          </w:tcPr>
          <w:p w14:paraId="6A18E2F6"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4" w:type="pct"/>
            <w:tcBorders>
              <w:top w:val="nil"/>
              <w:left w:val="nil"/>
              <w:bottom w:val="nil"/>
              <w:right w:val="nil"/>
            </w:tcBorders>
            <w:shd w:val="clear" w:color="auto" w:fill="auto"/>
            <w:vAlign w:val="bottom"/>
          </w:tcPr>
          <w:p w14:paraId="57C7F120"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3" w:type="pct"/>
            <w:tcBorders>
              <w:top w:val="nil"/>
              <w:left w:val="nil"/>
              <w:bottom w:val="nil"/>
              <w:right w:val="nil"/>
            </w:tcBorders>
            <w:shd w:val="clear" w:color="auto" w:fill="auto"/>
            <w:vAlign w:val="bottom"/>
          </w:tcPr>
          <w:p w14:paraId="2C7A38D6"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4" w:type="pct"/>
            <w:tcBorders>
              <w:top w:val="nil"/>
              <w:left w:val="nil"/>
              <w:bottom w:val="nil"/>
              <w:right w:val="nil"/>
            </w:tcBorders>
            <w:shd w:val="clear" w:color="auto" w:fill="auto"/>
            <w:vAlign w:val="bottom"/>
          </w:tcPr>
          <w:p w14:paraId="67E325E8"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4" w:type="pct"/>
            <w:tcBorders>
              <w:top w:val="nil"/>
              <w:left w:val="nil"/>
              <w:bottom w:val="nil"/>
              <w:right w:val="nil"/>
            </w:tcBorders>
            <w:shd w:val="clear" w:color="auto" w:fill="auto"/>
            <w:vAlign w:val="bottom"/>
          </w:tcPr>
          <w:p w14:paraId="10323004"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3" w:type="pct"/>
            <w:tcBorders>
              <w:top w:val="nil"/>
              <w:left w:val="nil"/>
              <w:bottom w:val="nil"/>
              <w:right w:val="nil"/>
            </w:tcBorders>
            <w:vAlign w:val="bottom"/>
          </w:tcPr>
          <w:p w14:paraId="7068D128"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4" w:type="pct"/>
            <w:tcBorders>
              <w:top w:val="nil"/>
              <w:left w:val="nil"/>
              <w:bottom w:val="nil"/>
              <w:right w:val="nil"/>
            </w:tcBorders>
            <w:vAlign w:val="bottom"/>
          </w:tcPr>
          <w:p w14:paraId="002CE538"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4" w:type="pct"/>
            <w:tcBorders>
              <w:top w:val="nil"/>
              <w:left w:val="nil"/>
              <w:bottom w:val="nil"/>
              <w:right w:val="nil"/>
            </w:tcBorders>
            <w:vAlign w:val="bottom"/>
          </w:tcPr>
          <w:p w14:paraId="55624838"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3" w:type="pct"/>
            <w:tcBorders>
              <w:top w:val="nil"/>
              <w:left w:val="nil"/>
              <w:bottom w:val="nil"/>
              <w:right w:val="nil"/>
            </w:tcBorders>
            <w:vAlign w:val="bottom"/>
          </w:tcPr>
          <w:p w14:paraId="367972FF"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4" w:type="pct"/>
            <w:tcBorders>
              <w:top w:val="nil"/>
              <w:left w:val="nil"/>
              <w:bottom w:val="nil"/>
              <w:right w:val="nil"/>
            </w:tcBorders>
            <w:vAlign w:val="bottom"/>
          </w:tcPr>
          <w:p w14:paraId="6C3D8304"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c>
          <w:tcPr>
            <w:tcW w:w="343" w:type="pct"/>
            <w:tcBorders>
              <w:top w:val="nil"/>
              <w:left w:val="nil"/>
              <w:bottom w:val="nil"/>
              <w:right w:val="nil"/>
            </w:tcBorders>
            <w:vAlign w:val="bottom"/>
          </w:tcPr>
          <w:p w14:paraId="0ED81D41"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hr-HR"/>
              </w:rPr>
            </w:pPr>
          </w:p>
        </w:tc>
      </w:tr>
      <w:tr w:rsidR="00587444" w:rsidRPr="00587444" w14:paraId="188A05D0" w14:textId="77777777" w:rsidTr="00DD69E7">
        <w:trPr>
          <w:trHeight w:val="200"/>
          <w:jc w:val="center"/>
        </w:trPr>
        <w:tc>
          <w:tcPr>
            <w:tcW w:w="877" w:type="pct"/>
            <w:vAlign w:val="bottom"/>
          </w:tcPr>
          <w:p w14:paraId="1D99A71A"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Guarantees issued in HRK</w:t>
            </w:r>
          </w:p>
        </w:tc>
        <w:tc>
          <w:tcPr>
            <w:tcW w:w="343" w:type="pct"/>
            <w:tcBorders>
              <w:top w:val="nil"/>
              <w:left w:val="nil"/>
              <w:bottom w:val="nil"/>
              <w:right w:val="nil"/>
            </w:tcBorders>
            <w:shd w:val="clear" w:color="auto" w:fill="auto"/>
            <w:vAlign w:val="bottom"/>
          </w:tcPr>
          <w:p w14:paraId="2AAC4A5E"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71,262 </w:t>
            </w:r>
          </w:p>
        </w:tc>
        <w:tc>
          <w:tcPr>
            <w:tcW w:w="344" w:type="pct"/>
            <w:tcBorders>
              <w:top w:val="nil"/>
              <w:left w:val="nil"/>
              <w:bottom w:val="nil"/>
              <w:right w:val="nil"/>
            </w:tcBorders>
            <w:shd w:val="clear" w:color="auto" w:fill="auto"/>
            <w:vAlign w:val="bottom"/>
          </w:tcPr>
          <w:p w14:paraId="2EADBB49"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22,713 </w:t>
            </w:r>
          </w:p>
        </w:tc>
        <w:tc>
          <w:tcPr>
            <w:tcW w:w="344" w:type="pct"/>
            <w:tcBorders>
              <w:top w:val="nil"/>
              <w:left w:val="nil"/>
              <w:bottom w:val="nil"/>
              <w:right w:val="nil"/>
            </w:tcBorders>
            <w:shd w:val="clear" w:color="auto" w:fill="auto"/>
            <w:vAlign w:val="bottom"/>
          </w:tcPr>
          <w:p w14:paraId="59F6AFC4"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46,138 </w:t>
            </w:r>
          </w:p>
        </w:tc>
        <w:tc>
          <w:tcPr>
            <w:tcW w:w="343" w:type="pct"/>
            <w:tcBorders>
              <w:top w:val="nil"/>
              <w:left w:val="nil"/>
              <w:bottom w:val="nil"/>
              <w:right w:val="nil"/>
            </w:tcBorders>
            <w:shd w:val="clear" w:color="auto" w:fill="auto"/>
            <w:vAlign w:val="bottom"/>
          </w:tcPr>
          <w:p w14:paraId="67C1E0A5"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13D4101B"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497AA071"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140,113 </w:t>
            </w:r>
          </w:p>
        </w:tc>
        <w:tc>
          <w:tcPr>
            <w:tcW w:w="343" w:type="pct"/>
            <w:tcBorders>
              <w:top w:val="nil"/>
              <w:left w:val="nil"/>
              <w:bottom w:val="nil"/>
              <w:right w:val="nil"/>
            </w:tcBorders>
            <w:vAlign w:val="bottom"/>
          </w:tcPr>
          <w:p w14:paraId="0069F794"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30,516 </w:t>
            </w:r>
          </w:p>
        </w:tc>
        <w:tc>
          <w:tcPr>
            <w:tcW w:w="344" w:type="pct"/>
            <w:tcBorders>
              <w:top w:val="nil"/>
              <w:left w:val="nil"/>
              <w:bottom w:val="nil"/>
              <w:right w:val="nil"/>
            </w:tcBorders>
            <w:vAlign w:val="bottom"/>
          </w:tcPr>
          <w:p w14:paraId="7C4BAB26"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18,957 </w:t>
            </w:r>
          </w:p>
        </w:tc>
        <w:tc>
          <w:tcPr>
            <w:tcW w:w="344" w:type="pct"/>
            <w:tcBorders>
              <w:top w:val="nil"/>
              <w:left w:val="nil"/>
              <w:bottom w:val="nil"/>
              <w:right w:val="nil"/>
            </w:tcBorders>
            <w:vAlign w:val="bottom"/>
          </w:tcPr>
          <w:p w14:paraId="7DF1CE75"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20,938 </w:t>
            </w:r>
          </w:p>
        </w:tc>
        <w:tc>
          <w:tcPr>
            <w:tcW w:w="343" w:type="pct"/>
            <w:tcBorders>
              <w:top w:val="nil"/>
              <w:left w:val="nil"/>
              <w:bottom w:val="nil"/>
              <w:right w:val="nil"/>
            </w:tcBorders>
            <w:vAlign w:val="bottom"/>
          </w:tcPr>
          <w:p w14:paraId="408A5E42"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174ED848"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3" w:type="pct"/>
            <w:tcBorders>
              <w:top w:val="nil"/>
              <w:left w:val="nil"/>
              <w:bottom w:val="nil"/>
              <w:right w:val="nil"/>
            </w:tcBorders>
            <w:vAlign w:val="bottom"/>
          </w:tcPr>
          <w:p w14:paraId="46CBEE84"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70,411 </w:t>
            </w:r>
          </w:p>
        </w:tc>
      </w:tr>
      <w:tr w:rsidR="00587444" w:rsidRPr="00587444" w14:paraId="696C4287" w14:textId="77777777" w:rsidTr="00DD69E7">
        <w:trPr>
          <w:trHeight w:val="200"/>
          <w:jc w:val="center"/>
        </w:trPr>
        <w:tc>
          <w:tcPr>
            <w:tcW w:w="877" w:type="pct"/>
            <w:vAlign w:val="bottom"/>
          </w:tcPr>
          <w:p w14:paraId="020DB776"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Issued guarantees in foreign currency</w:t>
            </w:r>
          </w:p>
        </w:tc>
        <w:tc>
          <w:tcPr>
            <w:tcW w:w="343" w:type="pct"/>
            <w:tcBorders>
              <w:top w:val="nil"/>
              <w:left w:val="nil"/>
              <w:bottom w:val="nil"/>
              <w:right w:val="nil"/>
            </w:tcBorders>
            <w:shd w:val="clear" w:color="auto" w:fill="auto"/>
            <w:vAlign w:val="bottom"/>
          </w:tcPr>
          <w:p w14:paraId="6343D480"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62,694 </w:t>
            </w:r>
          </w:p>
        </w:tc>
        <w:tc>
          <w:tcPr>
            <w:tcW w:w="344" w:type="pct"/>
            <w:tcBorders>
              <w:top w:val="nil"/>
              <w:left w:val="nil"/>
              <w:bottom w:val="nil"/>
              <w:right w:val="nil"/>
            </w:tcBorders>
            <w:shd w:val="clear" w:color="auto" w:fill="auto"/>
            <w:vAlign w:val="bottom"/>
          </w:tcPr>
          <w:p w14:paraId="3C3C19E7"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377 </w:t>
            </w:r>
          </w:p>
        </w:tc>
        <w:tc>
          <w:tcPr>
            <w:tcW w:w="344" w:type="pct"/>
            <w:tcBorders>
              <w:top w:val="nil"/>
              <w:left w:val="nil"/>
              <w:bottom w:val="nil"/>
              <w:right w:val="nil"/>
            </w:tcBorders>
            <w:shd w:val="clear" w:color="auto" w:fill="auto"/>
            <w:vAlign w:val="bottom"/>
          </w:tcPr>
          <w:p w14:paraId="68BA96DF"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197,634 </w:t>
            </w:r>
          </w:p>
        </w:tc>
        <w:tc>
          <w:tcPr>
            <w:tcW w:w="343" w:type="pct"/>
            <w:tcBorders>
              <w:top w:val="nil"/>
              <w:left w:val="nil"/>
              <w:bottom w:val="nil"/>
              <w:right w:val="nil"/>
            </w:tcBorders>
            <w:shd w:val="clear" w:color="auto" w:fill="auto"/>
            <w:vAlign w:val="bottom"/>
          </w:tcPr>
          <w:p w14:paraId="593ACEB0"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4018226F"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78EDD6C2"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260,705 </w:t>
            </w:r>
          </w:p>
        </w:tc>
        <w:tc>
          <w:tcPr>
            <w:tcW w:w="343" w:type="pct"/>
            <w:tcBorders>
              <w:top w:val="nil"/>
              <w:left w:val="nil"/>
              <w:bottom w:val="nil"/>
              <w:right w:val="nil"/>
            </w:tcBorders>
            <w:vAlign w:val="bottom"/>
          </w:tcPr>
          <w:p w14:paraId="5754D9E5"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49,764 </w:t>
            </w:r>
          </w:p>
        </w:tc>
        <w:tc>
          <w:tcPr>
            <w:tcW w:w="344" w:type="pct"/>
            <w:tcBorders>
              <w:top w:val="nil"/>
              <w:left w:val="nil"/>
              <w:bottom w:val="nil"/>
              <w:right w:val="nil"/>
            </w:tcBorders>
            <w:vAlign w:val="bottom"/>
          </w:tcPr>
          <w:p w14:paraId="6D380520"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19297BC9"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71,433 </w:t>
            </w:r>
          </w:p>
        </w:tc>
        <w:tc>
          <w:tcPr>
            <w:tcW w:w="343" w:type="pct"/>
            <w:tcBorders>
              <w:top w:val="nil"/>
              <w:left w:val="nil"/>
              <w:bottom w:val="nil"/>
              <w:right w:val="nil"/>
            </w:tcBorders>
            <w:vAlign w:val="bottom"/>
          </w:tcPr>
          <w:p w14:paraId="677E9BDE"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7F2E8948"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3" w:type="pct"/>
            <w:tcBorders>
              <w:top w:val="nil"/>
              <w:left w:val="nil"/>
              <w:bottom w:val="nil"/>
              <w:right w:val="nil"/>
            </w:tcBorders>
            <w:vAlign w:val="bottom"/>
          </w:tcPr>
          <w:p w14:paraId="3755961A"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121,197 </w:t>
            </w:r>
          </w:p>
        </w:tc>
      </w:tr>
      <w:tr w:rsidR="00587444" w:rsidRPr="00587444" w14:paraId="316DB2F9" w14:textId="77777777" w:rsidTr="00DD69E7">
        <w:trPr>
          <w:trHeight w:val="200"/>
          <w:jc w:val="center"/>
        </w:trPr>
        <w:tc>
          <w:tcPr>
            <w:tcW w:w="877" w:type="pct"/>
            <w:vAlign w:val="center"/>
          </w:tcPr>
          <w:p w14:paraId="79412223"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Undrawn loans </w:t>
            </w:r>
          </w:p>
        </w:tc>
        <w:tc>
          <w:tcPr>
            <w:tcW w:w="343" w:type="pct"/>
            <w:tcBorders>
              <w:top w:val="nil"/>
              <w:left w:val="nil"/>
              <w:bottom w:val="single" w:sz="6" w:space="0" w:color="auto"/>
              <w:right w:val="nil"/>
            </w:tcBorders>
            <w:shd w:val="clear" w:color="auto" w:fill="auto"/>
            <w:vAlign w:val="bottom"/>
          </w:tcPr>
          <w:p w14:paraId="52C78489"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3,167,285 </w:t>
            </w:r>
          </w:p>
        </w:tc>
        <w:tc>
          <w:tcPr>
            <w:tcW w:w="344" w:type="pct"/>
            <w:tcBorders>
              <w:top w:val="nil"/>
              <w:left w:val="nil"/>
              <w:bottom w:val="single" w:sz="6" w:space="0" w:color="auto"/>
              <w:right w:val="nil"/>
            </w:tcBorders>
            <w:shd w:val="clear" w:color="auto" w:fill="auto"/>
            <w:vAlign w:val="bottom"/>
          </w:tcPr>
          <w:p w14:paraId="4B34644B"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253,401 </w:t>
            </w:r>
          </w:p>
        </w:tc>
        <w:tc>
          <w:tcPr>
            <w:tcW w:w="344" w:type="pct"/>
            <w:tcBorders>
              <w:top w:val="nil"/>
              <w:left w:val="nil"/>
              <w:bottom w:val="single" w:sz="6" w:space="0" w:color="auto"/>
              <w:right w:val="nil"/>
            </w:tcBorders>
            <w:shd w:val="clear" w:color="auto" w:fill="auto"/>
            <w:vAlign w:val="bottom"/>
          </w:tcPr>
          <w:p w14:paraId="33F879FF"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3" w:type="pct"/>
            <w:tcBorders>
              <w:top w:val="nil"/>
              <w:left w:val="nil"/>
              <w:bottom w:val="single" w:sz="6" w:space="0" w:color="auto"/>
              <w:right w:val="nil"/>
            </w:tcBorders>
            <w:shd w:val="clear" w:color="auto" w:fill="auto"/>
            <w:vAlign w:val="bottom"/>
          </w:tcPr>
          <w:p w14:paraId="5E6D02ED"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36,605 </w:t>
            </w:r>
          </w:p>
        </w:tc>
        <w:tc>
          <w:tcPr>
            <w:tcW w:w="344" w:type="pct"/>
            <w:tcBorders>
              <w:top w:val="nil"/>
              <w:left w:val="nil"/>
              <w:bottom w:val="single" w:sz="6" w:space="0" w:color="auto"/>
              <w:right w:val="nil"/>
            </w:tcBorders>
            <w:shd w:val="clear" w:color="auto" w:fill="auto"/>
            <w:vAlign w:val="bottom"/>
          </w:tcPr>
          <w:p w14:paraId="17162F64"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4" w:type="pct"/>
            <w:tcBorders>
              <w:top w:val="nil"/>
              <w:left w:val="nil"/>
              <w:bottom w:val="single" w:sz="6" w:space="0" w:color="auto"/>
              <w:right w:val="nil"/>
            </w:tcBorders>
            <w:shd w:val="clear" w:color="auto" w:fill="auto"/>
            <w:vAlign w:val="bottom"/>
          </w:tcPr>
          <w:p w14:paraId="4924DB61"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3,457,291 </w:t>
            </w:r>
          </w:p>
        </w:tc>
        <w:tc>
          <w:tcPr>
            <w:tcW w:w="343" w:type="pct"/>
            <w:tcBorders>
              <w:top w:val="nil"/>
              <w:left w:val="nil"/>
              <w:bottom w:val="single" w:sz="6" w:space="0" w:color="auto"/>
              <w:right w:val="nil"/>
            </w:tcBorders>
            <w:vAlign w:val="bottom"/>
          </w:tcPr>
          <w:p w14:paraId="26010017"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282,102 </w:t>
            </w:r>
          </w:p>
        </w:tc>
        <w:tc>
          <w:tcPr>
            <w:tcW w:w="344" w:type="pct"/>
            <w:tcBorders>
              <w:top w:val="nil"/>
              <w:left w:val="nil"/>
              <w:bottom w:val="single" w:sz="6" w:space="0" w:color="auto"/>
              <w:right w:val="nil"/>
            </w:tcBorders>
            <w:vAlign w:val="bottom"/>
          </w:tcPr>
          <w:p w14:paraId="0F6D42C2"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140,095 </w:t>
            </w:r>
          </w:p>
        </w:tc>
        <w:tc>
          <w:tcPr>
            <w:tcW w:w="344" w:type="pct"/>
            <w:tcBorders>
              <w:top w:val="nil"/>
              <w:left w:val="nil"/>
              <w:bottom w:val="single" w:sz="6" w:space="0" w:color="auto"/>
              <w:right w:val="nil"/>
            </w:tcBorders>
            <w:vAlign w:val="bottom"/>
          </w:tcPr>
          <w:p w14:paraId="6DA6BC21"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3" w:type="pct"/>
            <w:tcBorders>
              <w:top w:val="nil"/>
              <w:left w:val="nil"/>
              <w:bottom w:val="single" w:sz="6" w:space="0" w:color="auto"/>
              <w:right w:val="nil"/>
            </w:tcBorders>
            <w:vAlign w:val="bottom"/>
          </w:tcPr>
          <w:p w14:paraId="308C2BE9"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782 </w:t>
            </w:r>
          </w:p>
        </w:tc>
        <w:tc>
          <w:tcPr>
            <w:tcW w:w="344" w:type="pct"/>
            <w:tcBorders>
              <w:top w:val="nil"/>
              <w:left w:val="nil"/>
              <w:bottom w:val="single" w:sz="6" w:space="0" w:color="auto"/>
              <w:right w:val="nil"/>
            </w:tcBorders>
            <w:vAlign w:val="bottom"/>
          </w:tcPr>
          <w:p w14:paraId="0C7D4F1B"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 </w:t>
            </w:r>
          </w:p>
        </w:tc>
        <w:tc>
          <w:tcPr>
            <w:tcW w:w="343" w:type="pct"/>
            <w:tcBorders>
              <w:top w:val="nil"/>
              <w:left w:val="nil"/>
              <w:bottom w:val="single" w:sz="6" w:space="0" w:color="auto"/>
              <w:right w:val="nil"/>
            </w:tcBorders>
            <w:vAlign w:val="bottom"/>
          </w:tcPr>
          <w:p w14:paraId="3E5080E5" w14:textId="77777777" w:rsidR="00587444" w:rsidRPr="00587444" w:rsidRDefault="00587444" w:rsidP="00587444">
            <w:pPr>
              <w:suppressAutoHyphens w:val="0"/>
              <w:autoSpaceDN/>
              <w:jc w:val="right"/>
              <w:rPr>
                <w:rFonts w:ascii="Arial" w:eastAsia="Calibri" w:hAnsi="Arial" w:cs="Arial"/>
                <w:sz w:val="14"/>
                <w:szCs w:val="14"/>
                <w:lang w:val="hr-HR"/>
              </w:rPr>
            </w:pPr>
            <w:r w:rsidRPr="00587444">
              <w:rPr>
                <w:rFonts w:ascii="Arial" w:hAnsi="Arial" w:cs="Arial"/>
                <w:sz w:val="14"/>
                <w:szCs w:val="14"/>
              </w:rPr>
              <w:t xml:space="preserve"> 422,979 </w:t>
            </w:r>
          </w:p>
        </w:tc>
      </w:tr>
      <w:tr w:rsidR="00587444" w:rsidRPr="00587444" w14:paraId="67BF0BE3" w14:textId="77777777" w:rsidTr="00DD69E7">
        <w:trPr>
          <w:trHeight w:val="7"/>
          <w:jc w:val="center"/>
        </w:trPr>
        <w:tc>
          <w:tcPr>
            <w:tcW w:w="877" w:type="pct"/>
            <w:vAlign w:val="bottom"/>
          </w:tcPr>
          <w:p w14:paraId="5877D5DE" w14:textId="77777777" w:rsidR="00587444" w:rsidRPr="00587444" w:rsidRDefault="00587444" w:rsidP="00587444">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w:t>
            </w:r>
          </w:p>
        </w:tc>
        <w:tc>
          <w:tcPr>
            <w:tcW w:w="343" w:type="pct"/>
            <w:tcBorders>
              <w:top w:val="single" w:sz="6" w:space="0" w:color="auto"/>
              <w:left w:val="nil"/>
              <w:bottom w:val="single" w:sz="12" w:space="0" w:color="auto"/>
              <w:right w:val="nil"/>
            </w:tcBorders>
            <w:shd w:val="clear" w:color="auto" w:fill="auto"/>
            <w:vAlign w:val="bottom"/>
          </w:tcPr>
          <w:p w14:paraId="08549692"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hAnsi="Arial" w:cs="Arial"/>
                <w:b/>
                <w:bCs/>
                <w:sz w:val="14"/>
                <w:szCs w:val="14"/>
              </w:rPr>
              <w:t xml:space="preserve"> 3,301,241 </w:t>
            </w:r>
          </w:p>
        </w:tc>
        <w:tc>
          <w:tcPr>
            <w:tcW w:w="344" w:type="pct"/>
            <w:tcBorders>
              <w:top w:val="single" w:sz="6" w:space="0" w:color="auto"/>
              <w:left w:val="nil"/>
              <w:bottom w:val="single" w:sz="12" w:space="0" w:color="auto"/>
              <w:right w:val="nil"/>
            </w:tcBorders>
            <w:shd w:val="clear" w:color="auto" w:fill="auto"/>
            <w:vAlign w:val="bottom"/>
          </w:tcPr>
          <w:p w14:paraId="30210840"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hAnsi="Arial" w:cs="Arial"/>
                <w:b/>
                <w:bCs/>
                <w:sz w:val="14"/>
                <w:szCs w:val="14"/>
              </w:rPr>
              <w:t xml:space="preserve"> 276,491 </w:t>
            </w:r>
          </w:p>
        </w:tc>
        <w:tc>
          <w:tcPr>
            <w:tcW w:w="344" w:type="pct"/>
            <w:tcBorders>
              <w:top w:val="single" w:sz="6" w:space="0" w:color="auto"/>
              <w:left w:val="nil"/>
              <w:bottom w:val="single" w:sz="12" w:space="0" w:color="auto"/>
              <w:right w:val="nil"/>
            </w:tcBorders>
            <w:shd w:val="clear" w:color="auto" w:fill="auto"/>
            <w:vAlign w:val="bottom"/>
          </w:tcPr>
          <w:p w14:paraId="7E465557"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hAnsi="Arial" w:cs="Arial"/>
                <w:b/>
                <w:bCs/>
                <w:sz w:val="14"/>
                <w:szCs w:val="14"/>
              </w:rPr>
              <w:t xml:space="preserve"> 243,772 </w:t>
            </w:r>
          </w:p>
        </w:tc>
        <w:tc>
          <w:tcPr>
            <w:tcW w:w="343" w:type="pct"/>
            <w:tcBorders>
              <w:top w:val="single" w:sz="6" w:space="0" w:color="auto"/>
              <w:left w:val="nil"/>
              <w:bottom w:val="single" w:sz="12" w:space="0" w:color="auto"/>
              <w:right w:val="nil"/>
            </w:tcBorders>
            <w:shd w:val="clear" w:color="auto" w:fill="auto"/>
            <w:vAlign w:val="bottom"/>
          </w:tcPr>
          <w:p w14:paraId="6B44DF7E"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hAnsi="Arial" w:cs="Arial"/>
                <w:b/>
                <w:bCs/>
                <w:sz w:val="14"/>
                <w:szCs w:val="14"/>
              </w:rPr>
              <w:t xml:space="preserve"> 36,605 </w:t>
            </w:r>
          </w:p>
        </w:tc>
        <w:tc>
          <w:tcPr>
            <w:tcW w:w="344" w:type="pct"/>
            <w:tcBorders>
              <w:top w:val="single" w:sz="6" w:space="0" w:color="auto"/>
              <w:left w:val="nil"/>
              <w:bottom w:val="single" w:sz="12" w:space="0" w:color="auto"/>
              <w:right w:val="nil"/>
            </w:tcBorders>
            <w:shd w:val="clear" w:color="auto" w:fill="auto"/>
            <w:vAlign w:val="bottom"/>
          </w:tcPr>
          <w:p w14:paraId="4C3ECC66"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hAnsi="Arial" w:cs="Arial"/>
                <w:b/>
                <w:bCs/>
                <w:sz w:val="14"/>
                <w:szCs w:val="14"/>
              </w:rPr>
              <w:t xml:space="preserve"> - </w:t>
            </w:r>
          </w:p>
        </w:tc>
        <w:tc>
          <w:tcPr>
            <w:tcW w:w="344" w:type="pct"/>
            <w:tcBorders>
              <w:top w:val="single" w:sz="6" w:space="0" w:color="auto"/>
              <w:left w:val="nil"/>
              <w:bottom w:val="single" w:sz="12" w:space="0" w:color="auto"/>
              <w:right w:val="nil"/>
            </w:tcBorders>
            <w:shd w:val="clear" w:color="auto" w:fill="auto"/>
            <w:vAlign w:val="bottom"/>
          </w:tcPr>
          <w:p w14:paraId="203446FD"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hAnsi="Arial" w:cs="Arial"/>
                <w:b/>
                <w:bCs/>
                <w:sz w:val="14"/>
                <w:szCs w:val="14"/>
              </w:rPr>
              <w:t xml:space="preserve"> 3,858,109 </w:t>
            </w:r>
          </w:p>
        </w:tc>
        <w:tc>
          <w:tcPr>
            <w:tcW w:w="343" w:type="pct"/>
            <w:tcBorders>
              <w:top w:val="single" w:sz="6" w:space="0" w:color="auto"/>
              <w:left w:val="nil"/>
              <w:bottom w:val="single" w:sz="12" w:space="0" w:color="auto"/>
              <w:right w:val="nil"/>
            </w:tcBorders>
            <w:vAlign w:val="bottom"/>
          </w:tcPr>
          <w:p w14:paraId="10941AE6"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hAnsi="Arial" w:cs="Arial"/>
                <w:b/>
                <w:bCs/>
                <w:sz w:val="14"/>
                <w:szCs w:val="14"/>
              </w:rPr>
              <w:t xml:space="preserve"> 362,382 </w:t>
            </w:r>
          </w:p>
        </w:tc>
        <w:tc>
          <w:tcPr>
            <w:tcW w:w="344" w:type="pct"/>
            <w:tcBorders>
              <w:top w:val="single" w:sz="6" w:space="0" w:color="auto"/>
              <w:left w:val="nil"/>
              <w:bottom w:val="single" w:sz="12" w:space="0" w:color="auto"/>
              <w:right w:val="nil"/>
            </w:tcBorders>
            <w:vAlign w:val="bottom"/>
          </w:tcPr>
          <w:p w14:paraId="1CD8ABDE"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hAnsi="Arial" w:cs="Arial"/>
                <w:b/>
                <w:bCs/>
                <w:sz w:val="14"/>
                <w:szCs w:val="14"/>
              </w:rPr>
              <w:t xml:space="preserve"> 159,052 </w:t>
            </w:r>
          </w:p>
        </w:tc>
        <w:tc>
          <w:tcPr>
            <w:tcW w:w="344" w:type="pct"/>
            <w:tcBorders>
              <w:top w:val="single" w:sz="6" w:space="0" w:color="auto"/>
              <w:left w:val="nil"/>
              <w:bottom w:val="single" w:sz="12" w:space="0" w:color="auto"/>
              <w:right w:val="nil"/>
            </w:tcBorders>
            <w:vAlign w:val="bottom"/>
          </w:tcPr>
          <w:p w14:paraId="3F4633F9"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hAnsi="Arial" w:cs="Arial"/>
                <w:b/>
                <w:bCs/>
                <w:sz w:val="14"/>
                <w:szCs w:val="14"/>
              </w:rPr>
              <w:t xml:space="preserve"> 92,371 </w:t>
            </w:r>
          </w:p>
        </w:tc>
        <w:tc>
          <w:tcPr>
            <w:tcW w:w="343" w:type="pct"/>
            <w:tcBorders>
              <w:top w:val="single" w:sz="6" w:space="0" w:color="auto"/>
              <w:left w:val="nil"/>
              <w:bottom w:val="single" w:sz="12" w:space="0" w:color="auto"/>
              <w:right w:val="nil"/>
            </w:tcBorders>
            <w:vAlign w:val="bottom"/>
          </w:tcPr>
          <w:p w14:paraId="0344A683"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hAnsi="Arial" w:cs="Arial"/>
                <w:b/>
                <w:bCs/>
                <w:sz w:val="14"/>
                <w:szCs w:val="14"/>
              </w:rPr>
              <w:t xml:space="preserve"> 782 </w:t>
            </w:r>
          </w:p>
        </w:tc>
        <w:tc>
          <w:tcPr>
            <w:tcW w:w="344" w:type="pct"/>
            <w:tcBorders>
              <w:top w:val="single" w:sz="6" w:space="0" w:color="auto"/>
              <w:left w:val="nil"/>
              <w:bottom w:val="single" w:sz="12" w:space="0" w:color="auto"/>
              <w:right w:val="nil"/>
            </w:tcBorders>
            <w:vAlign w:val="bottom"/>
          </w:tcPr>
          <w:p w14:paraId="7BB494E7"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hAnsi="Arial" w:cs="Arial"/>
                <w:b/>
                <w:bCs/>
                <w:sz w:val="14"/>
                <w:szCs w:val="14"/>
              </w:rPr>
              <w:t xml:space="preserve"> - </w:t>
            </w:r>
          </w:p>
        </w:tc>
        <w:tc>
          <w:tcPr>
            <w:tcW w:w="343" w:type="pct"/>
            <w:tcBorders>
              <w:top w:val="single" w:sz="6" w:space="0" w:color="auto"/>
              <w:left w:val="nil"/>
              <w:bottom w:val="single" w:sz="12" w:space="0" w:color="auto"/>
              <w:right w:val="nil"/>
            </w:tcBorders>
            <w:vAlign w:val="bottom"/>
          </w:tcPr>
          <w:p w14:paraId="59C14D4B"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hr-HR"/>
              </w:rPr>
            </w:pPr>
            <w:r w:rsidRPr="00587444">
              <w:rPr>
                <w:rFonts w:ascii="Arial" w:hAnsi="Arial" w:cs="Arial"/>
                <w:b/>
                <w:bCs/>
                <w:sz w:val="14"/>
                <w:szCs w:val="14"/>
              </w:rPr>
              <w:t xml:space="preserve"> 614,587 </w:t>
            </w:r>
          </w:p>
        </w:tc>
      </w:tr>
      <w:tr w:rsidR="00587444" w:rsidRPr="00587444" w14:paraId="11F960B4" w14:textId="77777777" w:rsidTr="00DD69E7">
        <w:trPr>
          <w:trHeight w:val="50"/>
          <w:jc w:val="center"/>
        </w:trPr>
        <w:tc>
          <w:tcPr>
            <w:tcW w:w="877" w:type="pct"/>
            <w:vAlign w:val="bottom"/>
          </w:tcPr>
          <w:p w14:paraId="2737F4E8" w14:textId="77777777" w:rsidR="00587444" w:rsidRPr="00587444" w:rsidRDefault="00587444" w:rsidP="00587444">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Total credit risk exposure</w:t>
            </w:r>
          </w:p>
        </w:tc>
        <w:tc>
          <w:tcPr>
            <w:tcW w:w="343" w:type="pct"/>
            <w:tcBorders>
              <w:top w:val="nil"/>
              <w:left w:val="nil"/>
              <w:bottom w:val="single" w:sz="12" w:space="0" w:color="auto"/>
              <w:right w:val="nil"/>
            </w:tcBorders>
            <w:shd w:val="clear" w:color="auto" w:fill="auto"/>
            <w:vAlign w:val="bottom"/>
          </w:tcPr>
          <w:p w14:paraId="28BB4246"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hAnsi="Arial" w:cs="Arial"/>
                <w:b/>
                <w:bCs/>
                <w:sz w:val="14"/>
                <w:szCs w:val="14"/>
              </w:rPr>
              <w:t xml:space="preserve"> 27,849,611 </w:t>
            </w:r>
          </w:p>
        </w:tc>
        <w:tc>
          <w:tcPr>
            <w:tcW w:w="344" w:type="pct"/>
            <w:tcBorders>
              <w:top w:val="nil"/>
              <w:left w:val="nil"/>
              <w:bottom w:val="single" w:sz="12" w:space="0" w:color="auto"/>
              <w:right w:val="nil"/>
            </w:tcBorders>
            <w:shd w:val="clear" w:color="auto" w:fill="auto"/>
            <w:vAlign w:val="bottom"/>
          </w:tcPr>
          <w:p w14:paraId="32EA30AD"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hAnsi="Arial" w:cs="Arial"/>
                <w:b/>
                <w:bCs/>
                <w:sz w:val="14"/>
                <w:szCs w:val="14"/>
              </w:rPr>
              <w:t xml:space="preserve"> 1,285,228 </w:t>
            </w:r>
          </w:p>
        </w:tc>
        <w:tc>
          <w:tcPr>
            <w:tcW w:w="344" w:type="pct"/>
            <w:tcBorders>
              <w:top w:val="nil"/>
              <w:left w:val="nil"/>
              <w:bottom w:val="single" w:sz="12" w:space="0" w:color="auto"/>
              <w:right w:val="nil"/>
            </w:tcBorders>
            <w:shd w:val="clear" w:color="auto" w:fill="auto"/>
            <w:vAlign w:val="bottom"/>
          </w:tcPr>
          <w:p w14:paraId="5D5A2DFE"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hAnsi="Arial" w:cs="Arial"/>
                <w:b/>
                <w:bCs/>
                <w:sz w:val="14"/>
                <w:szCs w:val="14"/>
              </w:rPr>
              <w:t xml:space="preserve"> 1,413,884 </w:t>
            </w:r>
          </w:p>
        </w:tc>
        <w:tc>
          <w:tcPr>
            <w:tcW w:w="343" w:type="pct"/>
            <w:tcBorders>
              <w:top w:val="nil"/>
              <w:left w:val="nil"/>
              <w:bottom w:val="single" w:sz="12" w:space="0" w:color="auto"/>
              <w:right w:val="nil"/>
            </w:tcBorders>
            <w:shd w:val="clear" w:color="auto" w:fill="auto"/>
            <w:vAlign w:val="bottom"/>
          </w:tcPr>
          <w:p w14:paraId="67A35E9C"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hAnsi="Arial" w:cs="Arial"/>
                <w:b/>
                <w:bCs/>
                <w:sz w:val="14"/>
                <w:szCs w:val="14"/>
              </w:rPr>
              <w:t xml:space="preserve"> 1,230,215 </w:t>
            </w:r>
          </w:p>
        </w:tc>
        <w:tc>
          <w:tcPr>
            <w:tcW w:w="344" w:type="pct"/>
            <w:tcBorders>
              <w:top w:val="nil"/>
              <w:left w:val="nil"/>
              <w:bottom w:val="single" w:sz="12" w:space="0" w:color="auto"/>
              <w:right w:val="nil"/>
            </w:tcBorders>
            <w:shd w:val="clear" w:color="auto" w:fill="auto"/>
            <w:vAlign w:val="bottom"/>
          </w:tcPr>
          <w:p w14:paraId="017171C0"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hAnsi="Arial" w:cs="Arial"/>
                <w:b/>
                <w:bCs/>
                <w:sz w:val="14"/>
                <w:szCs w:val="14"/>
              </w:rPr>
              <w:t xml:space="preserve"> 16,375 </w:t>
            </w:r>
          </w:p>
        </w:tc>
        <w:tc>
          <w:tcPr>
            <w:tcW w:w="344" w:type="pct"/>
            <w:tcBorders>
              <w:top w:val="nil"/>
              <w:left w:val="nil"/>
              <w:bottom w:val="single" w:sz="12" w:space="0" w:color="auto"/>
              <w:right w:val="nil"/>
            </w:tcBorders>
            <w:shd w:val="clear" w:color="auto" w:fill="auto"/>
            <w:vAlign w:val="bottom"/>
          </w:tcPr>
          <w:p w14:paraId="78257583"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hAnsi="Arial" w:cs="Arial"/>
                <w:b/>
                <w:bCs/>
                <w:sz w:val="14"/>
                <w:szCs w:val="14"/>
              </w:rPr>
              <w:t xml:space="preserve"> 31,795,313 </w:t>
            </w:r>
          </w:p>
        </w:tc>
        <w:tc>
          <w:tcPr>
            <w:tcW w:w="343" w:type="pct"/>
            <w:tcBorders>
              <w:top w:val="nil"/>
              <w:left w:val="nil"/>
              <w:bottom w:val="single" w:sz="12" w:space="0" w:color="auto"/>
              <w:right w:val="nil"/>
            </w:tcBorders>
            <w:vAlign w:val="bottom"/>
          </w:tcPr>
          <w:p w14:paraId="501A2D95"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hAnsi="Arial" w:cs="Arial"/>
                <w:b/>
                <w:bCs/>
                <w:sz w:val="14"/>
                <w:szCs w:val="14"/>
              </w:rPr>
              <w:t xml:space="preserve"> 6,148,139 </w:t>
            </w:r>
          </w:p>
        </w:tc>
        <w:tc>
          <w:tcPr>
            <w:tcW w:w="344" w:type="pct"/>
            <w:tcBorders>
              <w:top w:val="nil"/>
              <w:left w:val="nil"/>
              <w:bottom w:val="single" w:sz="12" w:space="0" w:color="auto"/>
              <w:right w:val="nil"/>
            </w:tcBorders>
            <w:vAlign w:val="bottom"/>
          </w:tcPr>
          <w:p w14:paraId="17539069"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hAnsi="Arial" w:cs="Arial"/>
                <w:b/>
                <w:bCs/>
                <w:sz w:val="14"/>
                <w:szCs w:val="14"/>
              </w:rPr>
              <w:t xml:space="preserve"> 251,856 </w:t>
            </w:r>
          </w:p>
        </w:tc>
        <w:tc>
          <w:tcPr>
            <w:tcW w:w="344" w:type="pct"/>
            <w:tcBorders>
              <w:top w:val="nil"/>
              <w:left w:val="nil"/>
              <w:bottom w:val="single" w:sz="12" w:space="0" w:color="auto"/>
              <w:right w:val="nil"/>
            </w:tcBorders>
            <w:vAlign w:val="bottom"/>
          </w:tcPr>
          <w:p w14:paraId="7BD7D978"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hAnsi="Arial" w:cs="Arial"/>
                <w:b/>
                <w:bCs/>
                <w:sz w:val="14"/>
                <w:szCs w:val="14"/>
              </w:rPr>
              <w:t xml:space="preserve"> 300,194 </w:t>
            </w:r>
          </w:p>
        </w:tc>
        <w:tc>
          <w:tcPr>
            <w:tcW w:w="343" w:type="pct"/>
            <w:tcBorders>
              <w:top w:val="nil"/>
              <w:left w:val="nil"/>
              <w:bottom w:val="single" w:sz="12" w:space="0" w:color="auto"/>
              <w:right w:val="nil"/>
            </w:tcBorders>
            <w:vAlign w:val="bottom"/>
          </w:tcPr>
          <w:p w14:paraId="22BEBBD1"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hAnsi="Arial" w:cs="Arial"/>
                <w:b/>
                <w:bCs/>
                <w:sz w:val="14"/>
                <w:szCs w:val="14"/>
              </w:rPr>
              <w:t xml:space="preserve"> 35,602 </w:t>
            </w:r>
          </w:p>
        </w:tc>
        <w:tc>
          <w:tcPr>
            <w:tcW w:w="344" w:type="pct"/>
            <w:tcBorders>
              <w:top w:val="nil"/>
              <w:left w:val="nil"/>
              <w:bottom w:val="single" w:sz="12" w:space="0" w:color="auto"/>
              <w:right w:val="nil"/>
            </w:tcBorders>
            <w:vAlign w:val="bottom"/>
          </w:tcPr>
          <w:p w14:paraId="0A381812"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hAnsi="Arial" w:cs="Arial"/>
                <w:b/>
                <w:bCs/>
                <w:sz w:val="14"/>
                <w:szCs w:val="14"/>
              </w:rPr>
              <w:t xml:space="preserve"> 16,375 </w:t>
            </w:r>
          </w:p>
        </w:tc>
        <w:tc>
          <w:tcPr>
            <w:tcW w:w="343" w:type="pct"/>
            <w:tcBorders>
              <w:top w:val="nil"/>
              <w:left w:val="nil"/>
              <w:bottom w:val="single" w:sz="12" w:space="0" w:color="auto"/>
              <w:right w:val="nil"/>
            </w:tcBorders>
            <w:vAlign w:val="bottom"/>
          </w:tcPr>
          <w:p w14:paraId="25002788" w14:textId="77777777" w:rsidR="00587444" w:rsidRPr="00587444" w:rsidRDefault="00587444" w:rsidP="00587444">
            <w:pPr>
              <w:suppressAutoHyphens w:val="0"/>
              <w:autoSpaceDN/>
              <w:spacing w:line="301" w:lineRule="exact"/>
              <w:jc w:val="right"/>
              <w:rPr>
                <w:rFonts w:ascii="Arial" w:hAnsi="Arial" w:cs="Arial"/>
                <w:b/>
                <w:bCs/>
                <w:sz w:val="14"/>
                <w:szCs w:val="14"/>
              </w:rPr>
            </w:pPr>
            <w:r w:rsidRPr="00587444">
              <w:rPr>
                <w:rFonts w:ascii="Arial" w:hAnsi="Arial" w:cs="Arial"/>
                <w:b/>
                <w:bCs/>
                <w:sz w:val="14"/>
                <w:szCs w:val="14"/>
              </w:rPr>
              <w:t xml:space="preserve"> 6,752,166 </w:t>
            </w:r>
          </w:p>
        </w:tc>
      </w:tr>
    </w:tbl>
    <w:p w14:paraId="26FF9A21" w14:textId="77777777" w:rsidR="00587444" w:rsidRPr="00587444" w:rsidRDefault="00587444" w:rsidP="00587444">
      <w:pPr>
        <w:suppressAutoHyphens w:val="0"/>
        <w:autoSpaceDN/>
        <w:jc w:val="both"/>
        <w:rPr>
          <w:rFonts w:ascii="Arial" w:eastAsia="Calibri" w:hAnsi="Arial" w:cs="Arial"/>
          <w:sz w:val="20"/>
          <w:szCs w:val="20"/>
        </w:rPr>
      </w:pPr>
    </w:p>
    <w:p w14:paraId="36C8BB6E" w14:textId="77777777" w:rsidR="00587444" w:rsidRPr="00587444" w:rsidRDefault="00587444" w:rsidP="00587444">
      <w:pPr>
        <w:suppressAutoHyphens w:val="0"/>
        <w:autoSpaceDN/>
        <w:jc w:val="both"/>
        <w:rPr>
          <w:rFonts w:ascii="Arial" w:eastAsia="Calibri" w:hAnsi="Arial" w:cs="Arial"/>
          <w:sz w:val="20"/>
          <w:szCs w:val="20"/>
        </w:rPr>
      </w:pPr>
    </w:p>
    <w:bookmarkEnd w:id="1146"/>
    <w:p w14:paraId="4DCB43D3"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D69E7">
          <w:pgSz w:w="16840" w:h="11907" w:orient="landscape" w:code="9"/>
          <w:pgMar w:top="1418" w:right="1418" w:bottom="1134" w:left="1134" w:header="851" w:footer="851" w:gutter="0"/>
          <w:cols w:space="720"/>
          <w:noEndnote/>
          <w:docGrid w:linePitch="326"/>
        </w:sectPr>
      </w:pPr>
    </w:p>
    <w:p w14:paraId="09F5DFD4" w14:textId="77777777" w:rsidR="00587444" w:rsidRPr="00587444" w:rsidRDefault="00587444" w:rsidP="00587444">
      <w:pPr>
        <w:suppressAutoHyphens w:val="0"/>
        <w:autoSpaceDN/>
        <w:jc w:val="both"/>
        <w:rPr>
          <w:rFonts w:ascii="Arial" w:hAnsi="Arial" w:cs="Arial"/>
          <w:b/>
          <w:bCs/>
          <w:sz w:val="20"/>
          <w:szCs w:val="20"/>
          <w:lang w:val="en-GB"/>
        </w:rPr>
      </w:pPr>
    </w:p>
    <w:p w14:paraId="38988A41"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EFCA8F8" w14:textId="77777777" w:rsidR="00587444" w:rsidRPr="00587444" w:rsidRDefault="00587444" w:rsidP="00587444">
      <w:pPr>
        <w:suppressAutoHyphens w:val="0"/>
        <w:autoSpaceDN/>
        <w:jc w:val="both"/>
        <w:rPr>
          <w:rFonts w:ascii="Arial" w:hAnsi="Arial" w:cs="Arial"/>
          <w:b/>
          <w:sz w:val="20"/>
          <w:szCs w:val="20"/>
          <w:lang w:val="en-GB"/>
        </w:rPr>
      </w:pPr>
    </w:p>
    <w:p w14:paraId="4DEB0543"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4C35CD01" w14:textId="77777777" w:rsidR="00587444" w:rsidRPr="00587444" w:rsidRDefault="00587444" w:rsidP="00587444">
      <w:pPr>
        <w:suppressAutoHyphens w:val="0"/>
        <w:autoSpaceDN/>
        <w:rPr>
          <w:rFonts w:ascii="Arial" w:hAnsi="Arial" w:cs="Arial"/>
          <w:b/>
          <w:sz w:val="20"/>
          <w:szCs w:val="20"/>
          <w:lang w:val="en-GB"/>
        </w:rPr>
      </w:pPr>
    </w:p>
    <w:p w14:paraId="47068E42" w14:textId="77777777" w:rsidR="00587444" w:rsidRPr="00587444" w:rsidRDefault="00587444" w:rsidP="00587444">
      <w:pPr>
        <w:suppressAutoHyphens w:val="0"/>
        <w:autoSpaceDN/>
        <w:rPr>
          <w:rFonts w:ascii="Arial" w:hAnsi="Arial" w:cs="Arial"/>
          <w:b/>
          <w:sz w:val="20"/>
          <w:szCs w:val="20"/>
          <w:lang w:val="en-GB"/>
        </w:rPr>
      </w:pPr>
      <w:r w:rsidRPr="00587444">
        <w:rPr>
          <w:rFonts w:ascii="Arial" w:hAnsi="Arial" w:cs="Arial"/>
          <w:b/>
          <w:sz w:val="20"/>
          <w:szCs w:val="20"/>
          <w:lang w:val="en-GB"/>
        </w:rPr>
        <w:t>Credit risk quality according to type of financial assets (continued)</w:t>
      </w:r>
    </w:p>
    <w:p w14:paraId="618C4D38" w14:textId="77777777" w:rsidR="00587444" w:rsidRPr="00587444" w:rsidRDefault="00587444" w:rsidP="00587444">
      <w:pPr>
        <w:suppressAutoHyphens w:val="0"/>
        <w:autoSpaceDN/>
        <w:jc w:val="both"/>
        <w:rPr>
          <w:rFonts w:ascii="Arial" w:hAnsi="Arial" w:cs="Arial"/>
          <w:b/>
          <w:bCs/>
          <w:sz w:val="20"/>
          <w:szCs w:val="20"/>
          <w:lang w:val="en-GB"/>
        </w:rPr>
      </w:pPr>
    </w:p>
    <w:p w14:paraId="5E7B55FA" w14:textId="77777777"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Credit risk analysis, net exposure, before and after the effect of mitigation through collateral received, according to the type of financial assets on positions of assets and guarantees and commitments by risk category, is as follows:</w:t>
      </w:r>
    </w:p>
    <w:p w14:paraId="3C9E4298" w14:textId="77777777" w:rsidR="00587444" w:rsidRPr="00587444" w:rsidRDefault="00587444" w:rsidP="00587444">
      <w:pPr>
        <w:suppressAutoHyphens w:val="0"/>
        <w:autoSpaceDN/>
        <w:jc w:val="both"/>
        <w:rPr>
          <w:rFonts w:ascii="Arial" w:eastAsia="Calibri" w:hAnsi="Arial" w:cs="Arial"/>
          <w:sz w:val="20"/>
          <w:szCs w:val="20"/>
        </w:rPr>
      </w:pPr>
    </w:p>
    <w:tbl>
      <w:tblPr>
        <w:tblW w:w="5223" w:type="pct"/>
        <w:jc w:val="center"/>
        <w:tblLayout w:type="fixed"/>
        <w:tblLook w:val="0000" w:firstRow="0" w:lastRow="0" w:firstColumn="0" w:lastColumn="0" w:noHBand="0" w:noVBand="0"/>
      </w:tblPr>
      <w:tblGrid>
        <w:gridCol w:w="2658"/>
        <w:gridCol w:w="1040"/>
        <w:gridCol w:w="1043"/>
        <w:gridCol w:w="1043"/>
        <w:gridCol w:w="1040"/>
        <w:gridCol w:w="1042"/>
        <w:gridCol w:w="1042"/>
        <w:gridCol w:w="1039"/>
        <w:gridCol w:w="1042"/>
        <w:gridCol w:w="1042"/>
        <w:gridCol w:w="1039"/>
        <w:gridCol w:w="1042"/>
        <w:gridCol w:w="1039"/>
      </w:tblGrid>
      <w:tr w:rsidR="00587444" w:rsidRPr="00587444" w14:paraId="1CDE6C74" w14:textId="77777777" w:rsidTr="00DD69E7">
        <w:trPr>
          <w:trHeight w:val="1454"/>
          <w:jc w:val="center"/>
        </w:trPr>
        <w:tc>
          <w:tcPr>
            <w:tcW w:w="877" w:type="pct"/>
          </w:tcPr>
          <w:p w14:paraId="1E6D94D7" w14:textId="77777777" w:rsidR="00587444" w:rsidRPr="00587444" w:rsidRDefault="00587444" w:rsidP="00587444">
            <w:pPr>
              <w:suppressAutoHyphens w:val="0"/>
              <w:autoSpaceDN/>
              <w:rPr>
                <w:rFonts w:ascii="Arial" w:eastAsia="Calibri" w:hAnsi="Arial" w:cs="Arial"/>
                <w:b/>
                <w:bCs/>
                <w:sz w:val="14"/>
                <w:szCs w:val="14"/>
                <w:lang w:val="en-GB"/>
              </w:rPr>
            </w:pPr>
            <w:bookmarkStart w:id="1147" w:name="_Hlk29376806"/>
            <w:r w:rsidRPr="00587444">
              <w:rPr>
                <w:rFonts w:ascii="Arial" w:eastAsia="Calibri" w:hAnsi="Arial" w:cs="Arial"/>
                <w:b/>
                <w:bCs/>
                <w:sz w:val="14"/>
                <w:szCs w:val="14"/>
                <w:lang w:val="en-GB"/>
              </w:rPr>
              <w:br w:type="page"/>
              <w:t>Bank</w:t>
            </w:r>
          </w:p>
          <w:p w14:paraId="6CF3CADA" w14:textId="77777777" w:rsidR="00587444" w:rsidRPr="00587444" w:rsidRDefault="00587444" w:rsidP="00587444">
            <w:pPr>
              <w:suppressAutoHyphens w:val="0"/>
              <w:autoSpaceDN/>
              <w:rPr>
                <w:rFonts w:ascii="Arial" w:eastAsia="Calibri" w:hAnsi="Arial" w:cs="Arial"/>
                <w:b/>
                <w:bCs/>
                <w:sz w:val="14"/>
                <w:szCs w:val="14"/>
                <w:lang w:val="en-GB"/>
              </w:rPr>
            </w:pPr>
          </w:p>
          <w:p w14:paraId="5FBA09B9" w14:textId="77777777" w:rsidR="00587444" w:rsidRPr="00587444" w:rsidRDefault="00587444" w:rsidP="00587444">
            <w:pPr>
              <w:suppressAutoHyphens w:val="0"/>
              <w:autoSpaceDN/>
              <w:rPr>
                <w:rFonts w:ascii="Arial" w:eastAsia="Calibri" w:hAnsi="Arial" w:cs="Arial"/>
                <w:sz w:val="14"/>
                <w:szCs w:val="14"/>
                <w:lang w:val="en-GB"/>
              </w:rPr>
            </w:pPr>
            <w:r w:rsidRPr="00587444">
              <w:rPr>
                <w:rFonts w:ascii="Arial" w:eastAsia="Calibri" w:hAnsi="Arial" w:cs="Arial"/>
                <w:b/>
                <w:bCs/>
                <w:sz w:val="14"/>
                <w:szCs w:val="14"/>
                <w:lang w:val="en-GB"/>
              </w:rPr>
              <w:t>31 December 2022</w:t>
            </w:r>
          </w:p>
        </w:tc>
        <w:tc>
          <w:tcPr>
            <w:tcW w:w="343" w:type="pct"/>
            <w:vAlign w:val="bottom"/>
          </w:tcPr>
          <w:p w14:paraId="7F13FA36"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3C72DB0F"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1</w:t>
            </w:r>
          </w:p>
        </w:tc>
        <w:tc>
          <w:tcPr>
            <w:tcW w:w="344" w:type="pct"/>
            <w:vAlign w:val="bottom"/>
          </w:tcPr>
          <w:p w14:paraId="1D4AA897"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54327009"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2</w:t>
            </w:r>
          </w:p>
        </w:tc>
        <w:tc>
          <w:tcPr>
            <w:tcW w:w="344" w:type="pct"/>
            <w:vAlign w:val="bottom"/>
          </w:tcPr>
          <w:p w14:paraId="2E00F88A"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764B95DB"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3</w:t>
            </w:r>
          </w:p>
        </w:tc>
        <w:tc>
          <w:tcPr>
            <w:tcW w:w="343" w:type="pct"/>
            <w:vAlign w:val="bottom"/>
          </w:tcPr>
          <w:p w14:paraId="4CC0D696"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1CF52537"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of risk POCI</w:t>
            </w:r>
          </w:p>
        </w:tc>
        <w:tc>
          <w:tcPr>
            <w:tcW w:w="344" w:type="pct"/>
            <w:vAlign w:val="bottom"/>
          </w:tcPr>
          <w:p w14:paraId="03A177F7"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b/>
                <w:sz w:val="14"/>
                <w:szCs w:val="14"/>
                <w:lang w:val="en-GB"/>
              </w:rPr>
              <w:t>Not subject to IFRS 9</w:t>
            </w:r>
          </w:p>
        </w:tc>
        <w:tc>
          <w:tcPr>
            <w:tcW w:w="344" w:type="pct"/>
            <w:vAlign w:val="bottom"/>
          </w:tcPr>
          <w:p w14:paraId="0B211CD3"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55F79DDB"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6483EF0F" w14:textId="2AE60918"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portfolio</w:t>
            </w:r>
          </w:p>
        </w:tc>
        <w:tc>
          <w:tcPr>
            <w:tcW w:w="343" w:type="pct"/>
            <w:vAlign w:val="bottom"/>
          </w:tcPr>
          <w:p w14:paraId="76BC9FBE"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3EC6212A"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75C39E05"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3476F25C" w14:textId="51F316EF" w:rsidR="00587444" w:rsidRPr="00587444" w:rsidRDefault="00587444"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effect of mitigation through collateral received Stage 1</w:t>
            </w:r>
          </w:p>
        </w:tc>
        <w:tc>
          <w:tcPr>
            <w:tcW w:w="344" w:type="pct"/>
            <w:vAlign w:val="bottom"/>
          </w:tcPr>
          <w:p w14:paraId="07D82B7D"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3DC0BFE0"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2AF8D0F6"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523C7A14" w14:textId="268DDA34" w:rsidR="00587444" w:rsidRPr="00587444" w:rsidRDefault="00587444"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effect of mitigation through collateral received Stage 2</w:t>
            </w:r>
          </w:p>
        </w:tc>
        <w:tc>
          <w:tcPr>
            <w:tcW w:w="344" w:type="pct"/>
            <w:vAlign w:val="bottom"/>
          </w:tcPr>
          <w:p w14:paraId="0C534624"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74533048"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3F855063"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7B145B1D" w14:textId="6C92319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effect of </w:t>
            </w:r>
          </w:p>
          <w:p w14:paraId="7524361E" w14:textId="26753F91" w:rsidR="00587444" w:rsidRPr="00587444" w:rsidRDefault="00587444"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mitigation through collateral received Stage 3</w:t>
            </w:r>
          </w:p>
        </w:tc>
        <w:tc>
          <w:tcPr>
            <w:tcW w:w="343" w:type="pct"/>
            <w:vAlign w:val="bottom"/>
          </w:tcPr>
          <w:p w14:paraId="12601308"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1F0913D9"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08C78E82" w14:textId="36315EA8"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after the</w:t>
            </w:r>
          </w:p>
          <w:p w14:paraId="093D0979" w14:textId="0AC6D434" w:rsidR="00587444" w:rsidRPr="00587444" w:rsidRDefault="00587444"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effect of mitigation through collateral received POCI</w:t>
            </w:r>
          </w:p>
        </w:tc>
        <w:tc>
          <w:tcPr>
            <w:tcW w:w="344" w:type="pct"/>
            <w:vAlign w:val="bottom"/>
          </w:tcPr>
          <w:p w14:paraId="1F701BC5"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Not subject to IFRS 9 after the </w:t>
            </w:r>
          </w:p>
          <w:p w14:paraId="05A12214" w14:textId="105B73A4"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effect of mitigation through</w:t>
            </w:r>
          </w:p>
          <w:p w14:paraId="11A518CF" w14:textId="77777777" w:rsidR="00587444" w:rsidRPr="00587444" w:rsidRDefault="00587444"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collateral received</w:t>
            </w:r>
          </w:p>
        </w:tc>
        <w:tc>
          <w:tcPr>
            <w:tcW w:w="343" w:type="pct"/>
            <w:vAlign w:val="bottom"/>
          </w:tcPr>
          <w:p w14:paraId="686A50F7"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0D31D939"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2732BC73"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portfolio </w:t>
            </w:r>
          </w:p>
          <w:p w14:paraId="68FA7CCA"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05B571E1" w14:textId="60744EA8" w:rsidR="00587444" w:rsidRPr="00587444" w:rsidRDefault="00587444"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effect of mitigation through collateral received </w:t>
            </w:r>
          </w:p>
        </w:tc>
      </w:tr>
      <w:tr w:rsidR="00587444" w:rsidRPr="00587444" w14:paraId="2917DE3D" w14:textId="77777777" w:rsidTr="00DD69E7">
        <w:trPr>
          <w:trHeight w:val="126"/>
          <w:jc w:val="center"/>
        </w:trPr>
        <w:tc>
          <w:tcPr>
            <w:tcW w:w="877" w:type="pct"/>
          </w:tcPr>
          <w:p w14:paraId="1BF35BF6" w14:textId="77777777" w:rsidR="00587444" w:rsidRPr="00587444" w:rsidRDefault="00587444" w:rsidP="00587444">
            <w:pPr>
              <w:suppressAutoHyphens w:val="0"/>
              <w:autoSpaceDN/>
              <w:rPr>
                <w:rFonts w:ascii="Arial" w:eastAsia="Calibri" w:hAnsi="Arial" w:cs="Arial"/>
                <w:b/>
                <w:bCs/>
                <w:sz w:val="14"/>
                <w:szCs w:val="14"/>
                <w:lang w:val="en-GB"/>
              </w:rPr>
            </w:pPr>
          </w:p>
        </w:tc>
        <w:tc>
          <w:tcPr>
            <w:tcW w:w="343" w:type="pct"/>
          </w:tcPr>
          <w:p w14:paraId="621B9A39"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4" w:type="pct"/>
          </w:tcPr>
          <w:p w14:paraId="57F85CD7"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4" w:type="pct"/>
          </w:tcPr>
          <w:p w14:paraId="6E0E7FAA"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3" w:type="pct"/>
          </w:tcPr>
          <w:p w14:paraId="3D449B9D"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4" w:type="pct"/>
          </w:tcPr>
          <w:p w14:paraId="0C129D72"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4" w:type="pct"/>
          </w:tcPr>
          <w:p w14:paraId="412ED5DC"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3" w:type="pct"/>
          </w:tcPr>
          <w:p w14:paraId="3CCF42A5"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4" w:type="pct"/>
          </w:tcPr>
          <w:p w14:paraId="763C9917"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4" w:type="pct"/>
          </w:tcPr>
          <w:p w14:paraId="0DCA0FCE"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3" w:type="pct"/>
          </w:tcPr>
          <w:p w14:paraId="1BCCFC79"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4" w:type="pct"/>
          </w:tcPr>
          <w:p w14:paraId="21FE6EFF"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3" w:type="pct"/>
          </w:tcPr>
          <w:p w14:paraId="38F4F997"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r>
      <w:tr w:rsidR="00587444" w:rsidRPr="00587444" w14:paraId="17980C08" w14:textId="77777777" w:rsidTr="00DD69E7">
        <w:trPr>
          <w:trHeight w:val="92"/>
          <w:jc w:val="center"/>
        </w:trPr>
        <w:tc>
          <w:tcPr>
            <w:tcW w:w="877" w:type="pct"/>
          </w:tcPr>
          <w:p w14:paraId="13B58F79"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Assets</w:t>
            </w:r>
          </w:p>
        </w:tc>
        <w:tc>
          <w:tcPr>
            <w:tcW w:w="343" w:type="pct"/>
            <w:vAlign w:val="bottom"/>
          </w:tcPr>
          <w:p w14:paraId="374DC91C"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4" w:type="pct"/>
            <w:vAlign w:val="bottom"/>
          </w:tcPr>
          <w:p w14:paraId="3E28FAD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4" w:type="pct"/>
            <w:vAlign w:val="bottom"/>
          </w:tcPr>
          <w:p w14:paraId="452B980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3" w:type="pct"/>
            <w:vAlign w:val="bottom"/>
          </w:tcPr>
          <w:p w14:paraId="3474AF98"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4" w:type="pct"/>
            <w:vAlign w:val="bottom"/>
          </w:tcPr>
          <w:p w14:paraId="7B812CA3"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4" w:type="pct"/>
            <w:vAlign w:val="bottom"/>
          </w:tcPr>
          <w:p w14:paraId="259A61E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3" w:type="pct"/>
            <w:vAlign w:val="bottom"/>
          </w:tcPr>
          <w:p w14:paraId="2EAB8C8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4" w:type="pct"/>
            <w:vAlign w:val="bottom"/>
          </w:tcPr>
          <w:p w14:paraId="063BD3B2"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4" w:type="pct"/>
            <w:vAlign w:val="bottom"/>
          </w:tcPr>
          <w:p w14:paraId="4034F84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3" w:type="pct"/>
            <w:vAlign w:val="bottom"/>
          </w:tcPr>
          <w:p w14:paraId="4B269B5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4" w:type="pct"/>
            <w:vAlign w:val="bottom"/>
          </w:tcPr>
          <w:p w14:paraId="2322D5CA"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3" w:type="pct"/>
            <w:vAlign w:val="bottom"/>
          </w:tcPr>
          <w:p w14:paraId="0A70772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r>
      <w:tr w:rsidR="00587444" w:rsidRPr="00587444" w14:paraId="2D3785B2" w14:textId="77777777" w:rsidTr="00DD69E7">
        <w:trPr>
          <w:trHeight w:val="149"/>
          <w:jc w:val="center"/>
        </w:trPr>
        <w:tc>
          <w:tcPr>
            <w:tcW w:w="877" w:type="pct"/>
            <w:vAlign w:val="bottom"/>
          </w:tcPr>
          <w:p w14:paraId="3F1241DC"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Cash on hand and current accounts with banks</w:t>
            </w:r>
          </w:p>
        </w:tc>
        <w:tc>
          <w:tcPr>
            <w:tcW w:w="343" w:type="pct"/>
            <w:tcBorders>
              <w:top w:val="nil"/>
              <w:left w:val="nil"/>
              <w:bottom w:val="nil"/>
              <w:right w:val="nil"/>
            </w:tcBorders>
            <w:shd w:val="clear" w:color="auto" w:fill="auto"/>
            <w:vAlign w:val="bottom"/>
          </w:tcPr>
          <w:p w14:paraId="3A755C2E"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1,716,519 </w:t>
            </w:r>
          </w:p>
        </w:tc>
        <w:tc>
          <w:tcPr>
            <w:tcW w:w="344" w:type="pct"/>
            <w:tcBorders>
              <w:top w:val="nil"/>
              <w:left w:val="nil"/>
              <w:bottom w:val="nil"/>
              <w:right w:val="nil"/>
            </w:tcBorders>
            <w:shd w:val="clear" w:color="auto" w:fill="auto"/>
            <w:vAlign w:val="bottom"/>
          </w:tcPr>
          <w:p w14:paraId="435E2096"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0D14E619"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shd w:val="clear" w:color="auto" w:fill="auto"/>
            <w:vAlign w:val="bottom"/>
          </w:tcPr>
          <w:p w14:paraId="75CC0B1F"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2FD38D63"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61E3E2CF"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1,716,519 </w:t>
            </w:r>
          </w:p>
        </w:tc>
        <w:tc>
          <w:tcPr>
            <w:tcW w:w="343" w:type="pct"/>
            <w:tcBorders>
              <w:top w:val="nil"/>
              <w:left w:val="nil"/>
              <w:bottom w:val="nil"/>
              <w:right w:val="nil"/>
            </w:tcBorders>
            <w:vAlign w:val="bottom"/>
          </w:tcPr>
          <w:p w14:paraId="7E8102DA"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3657555D"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4F72A77A"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vAlign w:val="bottom"/>
          </w:tcPr>
          <w:p w14:paraId="7C8FD33A"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34A74518"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vAlign w:val="bottom"/>
          </w:tcPr>
          <w:p w14:paraId="1012684A"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r>
      <w:tr w:rsidR="00587444" w:rsidRPr="00587444" w14:paraId="60B15724" w14:textId="77777777" w:rsidTr="00DD69E7">
        <w:trPr>
          <w:trHeight w:val="149"/>
          <w:jc w:val="center"/>
        </w:trPr>
        <w:tc>
          <w:tcPr>
            <w:tcW w:w="877" w:type="pct"/>
            <w:vAlign w:val="bottom"/>
          </w:tcPr>
          <w:p w14:paraId="4610DAF3"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Deposits with other banks</w:t>
            </w:r>
          </w:p>
        </w:tc>
        <w:tc>
          <w:tcPr>
            <w:tcW w:w="343" w:type="pct"/>
            <w:tcBorders>
              <w:top w:val="nil"/>
              <w:left w:val="nil"/>
              <w:bottom w:val="nil"/>
              <w:right w:val="nil"/>
            </w:tcBorders>
            <w:shd w:val="clear" w:color="auto" w:fill="auto"/>
            <w:vAlign w:val="bottom"/>
          </w:tcPr>
          <w:p w14:paraId="0FAC7B97"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10,596 </w:t>
            </w:r>
          </w:p>
        </w:tc>
        <w:tc>
          <w:tcPr>
            <w:tcW w:w="344" w:type="pct"/>
            <w:tcBorders>
              <w:top w:val="nil"/>
              <w:left w:val="nil"/>
              <w:bottom w:val="nil"/>
              <w:right w:val="nil"/>
            </w:tcBorders>
            <w:shd w:val="clear" w:color="auto" w:fill="auto"/>
            <w:vAlign w:val="bottom"/>
          </w:tcPr>
          <w:p w14:paraId="670E0521"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1FE7A273"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shd w:val="clear" w:color="auto" w:fill="auto"/>
            <w:vAlign w:val="bottom"/>
          </w:tcPr>
          <w:p w14:paraId="144FD8FE"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56443920"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12506AF4"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10,596 </w:t>
            </w:r>
          </w:p>
        </w:tc>
        <w:tc>
          <w:tcPr>
            <w:tcW w:w="343" w:type="pct"/>
            <w:tcBorders>
              <w:top w:val="nil"/>
              <w:left w:val="nil"/>
              <w:bottom w:val="nil"/>
              <w:right w:val="nil"/>
            </w:tcBorders>
            <w:vAlign w:val="bottom"/>
          </w:tcPr>
          <w:p w14:paraId="3223BC74"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20016F41"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7215E488"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vAlign w:val="bottom"/>
          </w:tcPr>
          <w:p w14:paraId="4CED2007"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3FF298AA"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vAlign w:val="bottom"/>
          </w:tcPr>
          <w:p w14:paraId="58D78FB7"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r>
      <w:tr w:rsidR="00587444" w:rsidRPr="00587444" w14:paraId="773A24DE" w14:textId="77777777" w:rsidTr="00DD69E7">
        <w:trPr>
          <w:trHeight w:val="114"/>
          <w:jc w:val="center"/>
        </w:trPr>
        <w:tc>
          <w:tcPr>
            <w:tcW w:w="877" w:type="pct"/>
            <w:vAlign w:val="bottom"/>
          </w:tcPr>
          <w:p w14:paraId="0E68DCFE"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financial institutions</w:t>
            </w:r>
          </w:p>
        </w:tc>
        <w:tc>
          <w:tcPr>
            <w:tcW w:w="343" w:type="pct"/>
            <w:tcBorders>
              <w:top w:val="nil"/>
              <w:left w:val="nil"/>
              <w:bottom w:val="nil"/>
              <w:right w:val="nil"/>
            </w:tcBorders>
            <w:shd w:val="clear" w:color="auto" w:fill="auto"/>
            <w:vAlign w:val="bottom"/>
          </w:tcPr>
          <w:p w14:paraId="67F2B8BD"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6,706,507 </w:t>
            </w:r>
          </w:p>
        </w:tc>
        <w:tc>
          <w:tcPr>
            <w:tcW w:w="344" w:type="pct"/>
            <w:tcBorders>
              <w:top w:val="nil"/>
              <w:left w:val="nil"/>
              <w:bottom w:val="nil"/>
              <w:right w:val="nil"/>
            </w:tcBorders>
            <w:shd w:val="clear" w:color="auto" w:fill="auto"/>
            <w:vAlign w:val="bottom"/>
          </w:tcPr>
          <w:p w14:paraId="65A61AE7"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275,864 </w:t>
            </w:r>
          </w:p>
        </w:tc>
        <w:tc>
          <w:tcPr>
            <w:tcW w:w="344" w:type="pct"/>
            <w:tcBorders>
              <w:top w:val="nil"/>
              <w:left w:val="nil"/>
              <w:bottom w:val="nil"/>
              <w:right w:val="nil"/>
            </w:tcBorders>
            <w:shd w:val="clear" w:color="auto" w:fill="auto"/>
            <w:vAlign w:val="bottom"/>
          </w:tcPr>
          <w:p w14:paraId="3062ED81"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2,341 </w:t>
            </w:r>
          </w:p>
        </w:tc>
        <w:tc>
          <w:tcPr>
            <w:tcW w:w="343" w:type="pct"/>
            <w:tcBorders>
              <w:top w:val="nil"/>
              <w:left w:val="nil"/>
              <w:bottom w:val="nil"/>
              <w:right w:val="nil"/>
            </w:tcBorders>
            <w:shd w:val="clear" w:color="auto" w:fill="auto"/>
            <w:vAlign w:val="bottom"/>
          </w:tcPr>
          <w:p w14:paraId="5E3E42AE"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1590FEBB"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76890686"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6,984,712 </w:t>
            </w:r>
          </w:p>
        </w:tc>
        <w:tc>
          <w:tcPr>
            <w:tcW w:w="343" w:type="pct"/>
            <w:tcBorders>
              <w:top w:val="nil"/>
              <w:left w:val="nil"/>
              <w:bottom w:val="nil"/>
              <w:right w:val="nil"/>
            </w:tcBorders>
            <w:vAlign w:val="bottom"/>
          </w:tcPr>
          <w:p w14:paraId="01CC4489"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146DE702"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5743E3C9"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vAlign w:val="bottom"/>
          </w:tcPr>
          <w:p w14:paraId="62867F5E"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5CD121D2"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vAlign w:val="bottom"/>
          </w:tcPr>
          <w:p w14:paraId="5E0B6BF9"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r>
      <w:tr w:rsidR="00587444" w:rsidRPr="00587444" w14:paraId="464FE4E8" w14:textId="77777777" w:rsidTr="00DD69E7">
        <w:trPr>
          <w:trHeight w:val="149"/>
          <w:jc w:val="center"/>
        </w:trPr>
        <w:tc>
          <w:tcPr>
            <w:tcW w:w="877" w:type="pct"/>
            <w:vAlign w:val="bottom"/>
          </w:tcPr>
          <w:p w14:paraId="0CA54AB1"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other customers</w:t>
            </w:r>
          </w:p>
        </w:tc>
        <w:tc>
          <w:tcPr>
            <w:tcW w:w="343" w:type="pct"/>
            <w:tcBorders>
              <w:top w:val="nil"/>
              <w:left w:val="nil"/>
              <w:bottom w:val="nil"/>
              <w:right w:val="nil"/>
            </w:tcBorders>
            <w:shd w:val="clear" w:color="auto" w:fill="auto"/>
            <w:vAlign w:val="bottom"/>
          </w:tcPr>
          <w:p w14:paraId="3C2F2D76"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13,637,783 </w:t>
            </w:r>
          </w:p>
        </w:tc>
        <w:tc>
          <w:tcPr>
            <w:tcW w:w="344" w:type="pct"/>
            <w:tcBorders>
              <w:top w:val="nil"/>
              <w:left w:val="nil"/>
              <w:bottom w:val="nil"/>
              <w:right w:val="nil"/>
            </w:tcBorders>
            <w:shd w:val="clear" w:color="auto" w:fill="auto"/>
            <w:vAlign w:val="bottom"/>
          </w:tcPr>
          <w:p w14:paraId="78EFD471"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1,434,690 </w:t>
            </w:r>
          </w:p>
        </w:tc>
        <w:tc>
          <w:tcPr>
            <w:tcW w:w="344" w:type="pct"/>
            <w:tcBorders>
              <w:top w:val="nil"/>
              <w:left w:val="nil"/>
              <w:bottom w:val="nil"/>
              <w:right w:val="nil"/>
            </w:tcBorders>
            <w:shd w:val="clear" w:color="auto" w:fill="auto"/>
            <w:vAlign w:val="bottom"/>
          </w:tcPr>
          <w:p w14:paraId="23B5E552"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1,145,398 </w:t>
            </w:r>
          </w:p>
        </w:tc>
        <w:tc>
          <w:tcPr>
            <w:tcW w:w="343" w:type="pct"/>
            <w:tcBorders>
              <w:top w:val="nil"/>
              <w:left w:val="nil"/>
              <w:bottom w:val="nil"/>
              <w:right w:val="nil"/>
            </w:tcBorders>
            <w:shd w:val="clear" w:color="auto" w:fill="auto"/>
            <w:vAlign w:val="bottom"/>
          </w:tcPr>
          <w:p w14:paraId="142B2E6B"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1,184,795 </w:t>
            </w:r>
          </w:p>
        </w:tc>
        <w:tc>
          <w:tcPr>
            <w:tcW w:w="344" w:type="pct"/>
            <w:tcBorders>
              <w:top w:val="nil"/>
              <w:left w:val="nil"/>
              <w:bottom w:val="nil"/>
              <w:right w:val="nil"/>
            </w:tcBorders>
            <w:shd w:val="clear" w:color="auto" w:fill="auto"/>
            <w:vAlign w:val="bottom"/>
          </w:tcPr>
          <w:p w14:paraId="57A0781D"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422CE80C"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17,402,666 </w:t>
            </w:r>
          </w:p>
        </w:tc>
        <w:tc>
          <w:tcPr>
            <w:tcW w:w="343" w:type="pct"/>
            <w:tcBorders>
              <w:top w:val="nil"/>
              <w:left w:val="nil"/>
              <w:bottom w:val="nil"/>
              <w:right w:val="nil"/>
            </w:tcBorders>
            <w:vAlign w:val="bottom"/>
          </w:tcPr>
          <w:p w14:paraId="4FCEE355"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2,318,955 </w:t>
            </w:r>
          </w:p>
        </w:tc>
        <w:tc>
          <w:tcPr>
            <w:tcW w:w="344" w:type="pct"/>
            <w:tcBorders>
              <w:top w:val="nil"/>
              <w:left w:val="nil"/>
              <w:bottom w:val="nil"/>
              <w:right w:val="nil"/>
            </w:tcBorders>
            <w:vAlign w:val="bottom"/>
          </w:tcPr>
          <w:p w14:paraId="4EF41EF3"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140,046 </w:t>
            </w:r>
          </w:p>
        </w:tc>
        <w:tc>
          <w:tcPr>
            <w:tcW w:w="344" w:type="pct"/>
            <w:tcBorders>
              <w:top w:val="nil"/>
              <w:left w:val="nil"/>
              <w:bottom w:val="nil"/>
              <w:right w:val="nil"/>
            </w:tcBorders>
            <w:vAlign w:val="bottom"/>
          </w:tcPr>
          <w:p w14:paraId="06543FC6"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104,570 </w:t>
            </w:r>
          </w:p>
        </w:tc>
        <w:tc>
          <w:tcPr>
            <w:tcW w:w="343" w:type="pct"/>
            <w:tcBorders>
              <w:top w:val="nil"/>
              <w:left w:val="nil"/>
              <w:bottom w:val="nil"/>
              <w:right w:val="nil"/>
            </w:tcBorders>
            <w:vAlign w:val="bottom"/>
          </w:tcPr>
          <w:p w14:paraId="691F4D31"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173,746 </w:t>
            </w:r>
          </w:p>
        </w:tc>
        <w:tc>
          <w:tcPr>
            <w:tcW w:w="344" w:type="pct"/>
            <w:tcBorders>
              <w:top w:val="nil"/>
              <w:left w:val="nil"/>
              <w:bottom w:val="nil"/>
              <w:right w:val="nil"/>
            </w:tcBorders>
            <w:vAlign w:val="bottom"/>
          </w:tcPr>
          <w:p w14:paraId="70E14ED4"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vAlign w:val="bottom"/>
          </w:tcPr>
          <w:p w14:paraId="0E9A08CA"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2,737,317 </w:t>
            </w:r>
          </w:p>
        </w:tc>
      </w:tr>
      <w:tr w:rsidR="00587444" w:rsidRPr="00587444" w14:paraId="723B929E" w14:textId="77777777" w:rsidTr="00DD69E7">
        <w:trPr>
          <w:trHeight w:val="149"/>
          <w:jc w:val="center"/>
        </w:trPr>
        <w:tc>
          <w:tcPr>
            <w:tcW w:w="877" w:type="pct"/>
            <w:vAlign w:val="bottom"/>
          </w:tcPr>
          <w:p w14:paraId="020D629D"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Financial assets at fair value through profit or loss</w:t>
            </w:r>
          </w:p>
        </w:tc>
        <w:tc>
          <w:tcPr>
            <w:tcW w:w="343" w:type="pct"/>
            <w:tcBorders>
              <w:top w:val="nil"/>
              <w:left w:val="nil"/>
              <w:bottom w:val="nil"/>
              <w:right w:val="nil"/>
            </w:tcBorders>
            <w:shd w:val="clear" w:color="auto" w:fill="auto"/>
            <w:vAlign w:val="bottom"/>
          </w:tcPr>
          <w:p w14:paraId="568CDBB4"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eastAsia="Calibri" w:hAnsi="Arial" w:cs="Arial"/>
                <w:color w:val="000000"/>
                <w:sz w:val="14"/>
                <w:szCs w:val="14"/>
                <w:lang w:val="hr-HR"/>
              </w:rPr>
              <w:t>-</w:t>
            </w:r>
          </w:p>
        </w:tc>
        <w:tc>
          <w:tcPr>
            <w:tcW w:w="344" w:type="pct"/>
            <w:tcBorders>
              <w:top w:val="nil"/>
              <w:left w:val="nil"/>
              <w:bottom w:val="nil"/>
              <w:right w:val="nil"/>
            </w:tcBorders>
            <w:shd w:val="clear" w:color="auto" w:fill="auto"/>
            <w:vAlign w:val="bottom"/>
          </w:tcPr>
          <w:p w14:paraId="74D56AD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eastAsia="Calibri" w:hAnsi="Arial" w:cs="Arial"/>
                <w:color w:val="000000"/>
                <w:sz w:val="14"/>
                <w:szCs w:val="14"/>
                <w:lang w:val="hr-HR"/>
              </w:rPr>
              <w:t>-</w:t>
            </w:r>
          </w:p>
        </w:tc>
        <w:tc>
          <w:tcPr>
            <w:tcW w:w="344" w:type="pct"/>
            <w:tcBorders>
              <w:top w:val="nil"/>
              <w:left w:val="nil"/>
              <w:bottom w:val="nil"/>
              <w:right w:val="nil"/>
            </w:tcBorders>
            <w:shd w:val="clear" w:color="auto" w:fill="auto"/>
            <w:vAlign w:val="bottom"/>
          </w:tcPr>
          <w:p w14:paraId="3A70EB3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eastAsia="Calibri" w:hAnsi="Arial" w:cs="Arial"/>
                <w:color w:val="000000"/>
                <w:sz w:val="14"/>
                <w:szCs w:val="14"/>
                <w:lang w:val="hr-HR"/>
              </w:rPr>
              <w:t>-</w:t>
            </w:r>
          </w:p>
        </w:tc>
        <w:tc>
          <w:tcPr>
            <w:tcW w:w="343" w:type="pct"/>
            <w:tcBorders>
              <w:top w:val="nil"/>
              <w:left w:val="nil"/>
              <w:bottom w:val="nil"/>
              <w:right w:val="nil"/>
            </w:tcBorders>
            <w:shd w:val="clear" w:color="auto" w:fill="auto"/>
            <w:vAlign w:val="bottom"/>
          </w:tcPr>
          <w:p w14:paraId="18FD45E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eastAsia="Calibri" w:hAnsi="Arial" w:cs="Arial"/>
                <w:color w:val="000000"/>
                <w:sz w:val="14"/>
                <w:szCs w:val="14"/>
                <w:lang w:val="hr-HR"/>
              </w:rPr>
              <w:t>-</w:t>
            </w:r>
          </w:p>
        </w:tc>
        <w:tc>
          <w:tcPr>
            <w:tcW w:w="344" w:type="pct"/>
            <w:tcBorders>
              <w:top w:val="nil"/>
              <w:left w:val="nil"/>
              <w:bottom w:val="nil"/>
              <w:right w:val="nil"/>
            </w:tcBorders>
            <w:shd w:val="clear" w:color="auto" w:fill="auto"/>
            <w:vAlign w:val="bottom"/>
          </w:tcPr>
          <w:p w14:paraId="4770428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eastAsia="Calibri" w:hAnsi="Arial" w:cs="Arial"/>
                <w:color w:val="000000"/>
                <w:sz w:val="14"/>
                <w:szCs w:val="14"/>
                <w:lang w:val="hr-HR"/>
              </w:rPr>
              <w:t xml:space="preserve"> 23,870 </w:t>
            </w:r>
          </w:p>
        </w:tc>
        <w:tc>
          <w:tcPr>
            <w:tcW w:w="344" w:type="pct"/>
            <w:tcBorders>
              <w:top w:val="nil"/>
              <w:left w:val="nil"/>
              <w:bottom w:val="nil"/>
              <w:right w:val="nil"/>
            </w:tcBorders>
            <w:shd w:val="clear" w:color="auto" w:fill="auto"/>
            <w:vAlign w:val="bottom"/>
          </w:tcPr>
          <w:p w14:paraId="38B42B8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highlight w:val="yellow"/>
                <w:lang w:val="en-GB"/>
              </w:rPr>
            </w:pPr>
            <w:r w:rsidRPr="00587444">
              <w:rPr>
                <w:rFonts w:ascii="Arial" w:eastAsia="Calibri" w:hAnsi="Arial" w:cs="Arial"/>
                <w:color w:val="000000"/>
                <w:sz w:val="14"/>
                <w:szCs w:val="14"/>
                <w:lang w:val="hr-HR"/>
              </w:rPr>
              <w:t xml:space="preserve"> 23,870 </w:t>
            </w:r>
          </w:p>
        </w:tc>
        <w:tc>
          <w:tcPr>
            <w:tcW w:w="343" w:type="pct"/>
            <w:tcBorders>
              <w:top w:val="nil"/>
              <w:left w:val="nil"/>
              <w:bottom w:val="nil"/>
              <w:right w:val="nil"/>
            </w:tcBorders>
            <w:vAlign w:val="bottom"/>
          </w:tcPr>
          <w:p w14:paraId="72F78E2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eastAsia="Calibri" w:hAnsi="Arial" w:cs="Arial"/>
                <w:color w:val="000000"/>
                <w:sz w:val="14"/>
                <w:szCs w:val="14"/>
                <w:lang w:val="hr-HR"/>
              </w:rPr>
              <w:t>-</w:t>
            </w:r>
          </w:p>
        </w:tc>
        <w:tc>
          <w:tcPr>
            <w:tcW w:w="344" w:type="pct"/>
            <w:tcBorders>
              <w:top w:val="nil"/>
              <w:left w:val="nil"/>
              <w:bottom w:val="nil"/>
              <w:right w:val="nil"/>
            </w:tcBorders>
            <w:vAlign w:val="bottom"/>
          </w:tcPr>
          <w:p w14:paraId="1E151E0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eastAsia="Calibri" w:hAnsi="Arial" w:cs="Arial"/>
                <w:color w:val="000000"/>
                <w:sz w:val="14"/>
                <w:szCs w:val="14"/>
                <w:lang w:val="hr-HR"/>
              </w:rPr>
              <w:t>-</w:t>
            </w:r>
          </w:p>
        </w:tc>
        <w:tc>
          <w:tcPr>
            <w:tcW w:w="344" w:type="pct"/>
            <w:tcBorders>
              <w:top w:val="nil"/>
              <w:left w:val="nil"/>
              <w:bottom w:val="nil"/>
              <w:right w:val="nil"/>
            </w:tcBorders>
            <w:vAlign w:val="bottom"/>
          </w:tcPr>
          <w:p w14:paraId="2B2E8EE6"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eastAsia="Calibri" w:hAnsi="Arial" w:cs="Arial"/>
                <w:color w:val="000000"/>
                <w:sz w:val="14"/>
                <w:szCs w:val="14"/>
                <w:lang w:val="hr-HR"/>
              </w:rPr>
              <w:t>-</w:t>
            </w:r>
          </w:p>
        </w:tc>
        <w:tc>
          <w:tcPr>
            <w:tcW w:w="343" w:type="pct"/>
            <w:tcBorders>
              <w:top w:val="nil"/>
              <w:left w:val="nil"/>
              <w:bottom w:val="nil"/>
              <w:right w:val="nil"/>
            </w:tcBorders>
            <w:vAlign w:val="bottom"/>
          </w:tcPr>
          <w:p w14:paraId="342CCD8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eastAsia="Calibri" w:hAnsi="Arial" w:cs="Arial"/>
                <w:color w:val="000000"/>
                <w:sz w:val="14"/>
                <w:szCs w:val="14"/>
                <w:lang w:val="hr-HR"/>
              </w:rPr>
              <w:t>-</w:t>
            </w:r>
          </w:p>
        </w:tc>
        <w:tc>
          <w:tcPr>
            <w:tcW w:w="344" w:type="pct"/>
            <w:tcBorders>
              <w:top w:val="nil"/>
              <w:left w:val="nil"/>
              <w:bottom w:val="nil"/>
              <w:right w:val="nil"/>
            </w:tcBorders>
            <w:shd w:val="clear" w:color="auto" w:fill="auto"/>
            <w:vAlign w:val="bottom"/>
          </w:tcPr>
          <w:p w14:paraId="35D62BF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eastAsia="Calibri" w:hAnsi="Arial" w:cs="Arial"/>
                <w:color w:val="000000"/>
                <w:sz w:val="14"/>
                <w:szCs w:val="14"/>
                <w:lang w:val="hr-HR"/>
              </w:rPr>
              <w:t>-</w:t>
            </w:r>
          </w:p>
        </w:tc>
        <w:tc>
          <w:tcPr>
            <w:tcW w:w="343" w:type="pct"/>
            <w:tcBorders>
              <w:top w:val="nil"/>
              <w:left w:val="nil"/>
              <w:bottom w:val="nil"/>
              <w:right w:val="nil"/>
            </w:tcBorders>
            <w:shd w:val="clear" w:color="auto" w:fill="auto"/>
            <w:vAlign w:val="bottom"/>
          </w:tcPr>
          <w:p w14:paraId="746217E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eastAsia="Calibri" w:hAnsi="Arial" w:cs="Arial"/>
                <w:color w:val="000000"/>
                <w:sz w:val="14"/>
                <w:szCs w:val="14"/>
                <w:lang w:val="hr-HR"/>
              </w:rPr>
              <w:t xml:space="preserve"> - </w:t>
            </w:r>
          </w:p>
        </w:tc>
      </w:tr>
      <w:tr w:rsidR="00587444" w:rsidRPr="00587444" w14:paraId="35908343" w14:textId="77777777" w:rsidTr="00DD69E7">
        <w:trPr>
          <w:trHeight w:val="126"/>
          <w:jc w:val="center"/>
        </w:trPr>
        <w:tc>
          <w:tcPr>
            <w:tcW w:w="877" w:type="pct"/>
            <w:vAlign w:val="bottom"/>
          </w:tcPr>
          <w:p w14:paraId="72749CEC"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Financial assets at fair value through other comprehensive income</w:t>
            </w:r>
          </w:p>
        </w:tc>
        <w:tc>
          <w:tcPr>
            <w:tcW w:w="343" w:type="pct"/>
            <w:tcBorders>
              <w:top w:val="nil"/>
              <w:left w:val="nil"/>
              <w:bottom w:val="nil"/>
              <w:right w:val="nil"/>
            </w:tcBorders>
            <w:shd w:val="clear" w:color="auto" w:fill="auto"/>
            <w:vAlign w:val="bottom"/>
          </w:tcPr>
          <w:p w14:paraId="7EB50EB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2,584,329 </w:t>
            </w:r>
          </w:p>
        </w:tc>
        <w:tc>
          <w:tcPr>
            <w:tcW w:w="344" w:type="pct"/>
            <w:tcBorders>
              <w:top w:val="nil"/>
              <w:left w:val="nil"/>
              <w:bottom w:val="nil"/>
              <w:right w:val="nil"/>
            </w:tcBorders>
            <w:shd w:val="clear" w:color="auto" w:fill="auto"/>
            <w:vAlign w:val="bottom"/>
          </w:tcPr>
          <w:p w14:paraId="030305A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496 </w:t>
            </w:r>
          </w:p>
        </w:tc>
        <w:tc>
          <w:tcPr>
            <w:tcW w:w="344" w:type="pct"/>
            <w:tcBorders>
              <w:top w:val="nil"/>
              <w:left w:val="nil"/>
              <w:bottom w:val="nil"/>
              <w:right w:val="nil"/>
            </w:tcBorders>
            <w:shd w:val="clear" w:color="auto" w:fill="auto"/>
            <w:vAlign w:val="bottom"/>
          </w:tcPr>
          <w:p w14:paraId="25FCE343"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1,472 </w:t>
            </w:r>
          </w:p>
        </w:tc>
        <w:tc>
          <w:tcPr>
            <w:tcW w:w="343" w:type="pct"/>
            <w:tcBorders>
              <w:top w:val="nil"/>
              <w:left w:val="nil"/>
              <w:bottom w:val="nil"/>
              <w:right w:val="nil"/>
            </w:tcBorders>
            <w:shd w:val="clear" w:color="auto" w:fill="auto"/>
            <w:vAlign w:val="bottom"/>
          </w:tcPr>
          <w:p w14:paraId="71A7440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38E9A45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7652C212"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en-GB"/>
              </w:rPr>
            </w:pPr>
            <w:r w:rsidRPr="00587444">
              <w:rPr>
                <w:rFonts w:ascii="Arial" w:eastAsia="Calibri" w:hAnsi="Arial" w:cs="Arial"/>
                <w:color w:val="000000"/>
                <w:sz w:val="14"/>
                <w:szCs w:val="14"/>
                <w:lang w:val="hr-HR"/>
              </w:rPr>
              <w:t xml:space="preserve"> 2,586,297 </w:t>
            </w:r>
          </w:p>
        </w:tc>
        <w:tc>
          <w:tcPr>
            <w:tcW w:w="343" w:type="pct"/>
            <w:tcBorders>
              <w:top w:val="nil"/>
              <w:left w:val="nil"/>
              <w:bottom w:val="nil"/>
              <w:right w:val="nil"/>
            </w:tcBorders>
            <w:shd w:val="clear" w:color="auto" w:fill="auto"/>
            <w:vAlign w:val="bottom"/>
          </w:tcPr>
          <w:p w14:paraId="5FEC214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2,584,329 </w:t>
            </w:r>
          </w:p>
        </w:tc>
        <w:tc>
          <w:tcPr>
            <w:tcW w:w="344" w:type="pct"/>
            <w:tcBorders>
              <w:top w:val="nil"/>
              <w:left w:val="nil"/>
              <w:bottom w:val="nil"/>
              <w:right w:val="nil"/>
            </w:tcBorders>
            <w:shd w:val="clear" w:color="auto" w:fill="auto"/>
            <w:vAlign w:val="bottom"/>
          </w:tcPr>
          <w:p w14:paraId="00C57AA3"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496 </w:t>
            </w:r>
          </w:p>
        </w:tc>
        <w:tc>
          <w:tcPr>
            <w:tcW w:w="344" w:type="pct"/>
            <w:tcBorders>
              <w:top w:val="nil"/>
              <w:left w:val="nil"/>
              <w:bottom w:val="nil"/>
              <w:right w:val="nil"/>
            </w:tcBorders>
            <w:shd w:val="clear" w:color="auto" w:fill="auto"/>
            <w:vAlign w:val="bottom"/>
          </w:tcPr>
          <w:p w14:paraId="32FE6A86"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1,472 </w:t>
            </w:r>
          </w:p>
        </w:tc>
        <w:tc>
          <w:tcPr>
            <w:tcW w:w="343" w:type="pct"/>
            <w:tcBorders>
              <w:top w:val="nil"/>
              <w:left w:val="nil"/>
              <w:bottom w:val="nil"/>
              <w:right w:val="nil"/>
            </w:tcBorders>
            <w:shd w:val="clear" w:color="auto" w:fill="auto"/>
            <w:vAlign w:val="bottom"/>
          </w:tcPr>
          <w:p w14:paraId="65497012"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4D5D3C44"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shd w:val="clear" w:color="auto" w:fill="auto"/>
            <w:vAlign w:val="bottom"/>
          </w:tcPr>
          <w:p w14:paraId="0CDDD712"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en-GB"/>
              </w:rPr>
            </w:pPr>
            <w:r w:rsidRPr="00587444">
              <w:rPr>
                <w:rFonts w:ascii="Arial" w:eastAsia="Calibri" w:hAnsi="Arial" w:cs="Arial"/>
                <w:color w:val="000000"/>
                <w:sz w:val="14"/>
                <w:szCs w:val="14"/>
                <w:lang w:val="hr-HR"/>
              </w:rPr>
              <w:t xml:space="preserve"> 2,586,297 </w:t>
            </w:r>
          </w:p>
        </w:tc>
      </w:tr>
      <w:tr w:rsidR="00587444" w:rsidRPr="00587444" w14:paraId="17AE2E22" w14:textId="77777777" w:rsidTr="00DD69E7">
        <w:trPr>
          <w:trHeight w:val="74"/>
          <w:jc w:val="center"/>
        </w:trPr>
        <w:tc>
          <w:tcPr>
            <w:tcW w:w="877" w:type="pct"/>
            <w:vAlign w:val="bottom"/>
          </w:tcPr>
          <w:p w14:paraId="04088440"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Other assets</w:t>
            </w:r>
          </w:p>
        </w:tc>
        <w:tc>
          <w:tcPr>
            <w:tcW w:w="343" w:type="pct"/>
            <w:tcBorders>
              <w:top w:val="nil"/>
              <w:left w:val="nil"/>
              <w:bottom w:val="single" w:sz="8" w:space="0" w:color="auto"/>
              <w:right w:val="nil"/>
            </w:tcBorders>
            <w:shd w:val="clear" w:color="auto" w:fill="auto"/>
            <w:vAlign w:val="bottom"/>
          </w:tcPr>
          <w:p w14:paraId="55C635BC"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2,255 </w:t>
            </w:r>
          </w:p>
        </w:tc>
        <w:tc>
          <w:tcPr>
            <w:tcW w:w="344" w:type="pct"/>
            <w:tcBorders>
              <w:top w:val="nil"/>
              <w:left w:val="nil"/>
              <w:bottom w:val="single" w:sz="8" w:space="0" w:color="auto"/>
              <w:right w:val="nil"/>
            </w:tcBorders>
            <w:shd w:val="clear" w:color="auto" w:fill="auto"/>
            <w:vAlign w:val="bottom"/>
          </w:tcPr>
          <w:p w14:paraId="300846C3"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2 </w:t>
            </w:r>
          </w:p>
        </w:tc>
        <w:tc>
          <w:tcPr>
            <w:tcW w:w="344" w:type="pct"/>
            <w:tcBorders>
              <w:top w:val="nil"/>
              <w:left w:val="nil"/>
              <w:bottom w:val="single" w:sz="8" w:space="0" w:color="auto"/>
              <w:right w:val="nil"/>
            </w:tcBorders>
            <w:shd w:val="clear" w:color="auto" w:fill="auto"/>
            <w:vAlign w:val="bottom"/>
          </w:tcPr>
          <w:p w14:paraId="488F7C08"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1,430 </w:t>
            </w:r>
          </w:p>
        </w:tc>
        <w:tc>
          <w:tcPr>
            <w:tcW w:w="343" w:type="pct"/>
            <w:tcBorders>
              <w:top w:val="nil"/>
              <w:left w:val="nil"/>
              <w:bottom w:val="single" w:sz="8" w:space="0" w:color="auto"/>
              <w:right w:val="nil"/>
            </w:tcBorders>
            <w:shd w:val="clear" w:color="auto" w:fill="auto"/>
            <w:vAlign w:val="bottom"/>
          </w:tcPr>
          <w:p w14:paraId="43962CE7"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58 </w:t>
            </w:r>
          </w:p>
        </w:tc>
        <w:tc>
          <w:tcPr>
            <w:tcW w:w="344" w:type="pct"/>
            <w:tcBorders>
              <w:top w:val="nil"/>
              <w:left w:val="nil"/>
              <w:bottom w:val="single" w:sz="8" w:space="0" w:color="auto"/>
              <w:right w:val="nil"/>
            </w:tcBorders>
            <w:shd w:val="clear" w:color="auto" w:fill="auto"/>
            <w:vAlign w:val="bottom"/>
          </w:tcPr>
          <w:p w14:paraId="73456644"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single" w:sz="8" w:space="0" w:color="auto"/>
              <w:right w:val="nil"/>
            </w:tcBorders>
            <w:shd w:val="clear" w:color="auto" w:fill="auto"/>
            <w:vAlign w:val="bottom"/>
          </w:tcPr>
          <w:p w14:paraId="4871426D"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3,745 </w:t>
            </w:r>
          </w:p>
        </w:tc>
        <w:tc>
          <w:tcPr>
            <w:tcW w:w="343" w:type="pct"/>
            <w:tcBorders>
              <w:top w:val="nil"/>
              <w:left w:val="nil"/>
              <w:bottom w:val="single" w:sz="8" w:space="0" w:color="auto"/>
              <w:right w:val="nil"/>
            </w:tcBorders>
            <w:vAlign w:val="bottom"/>
          </w:tcPr>
          <w:p w14:paraId="3C0E3606"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594 </w:t>
            </w:r>
          </w:p>
        </w:tc>
        <w:tc>
          <w:tcPr>
            <w:tcW w:w="344" w:type="pct"/>
            <w:tcBorders>
              <w:top w:val="nil"/>
              <w:left w:val="nil"/>
              <w:bottom w:val="single" w:sz="8" w:space="0" w:color="auto"/>
              <w:right w:val="nil"/>
            </w:tcBorders>
            <w:vAlign w:val="bottom"/>
          </w:tcPr>
          <w:p w14:paraId="083B69A3"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2 </w:t>
            </w:r>
          </w:p>
        </w:tc>
        <w:tc>
          <w:tcPr>
            <w:tcW w:w="344" w:type="pct"/>
            <w:tcBorders>
              <w:top w:val="nil"/>
              <w:left w:val="nil"/>
              <w:bottom w:val="single" w:sz="8" w:space="0" w:color="auto"/>
              <w:right w:val="nil"/>
            </w:tcBorders>
            <w:vAlign w:val="bottom"/>
          </w:tcPr>
          <w:p w14:paraId="6A504371"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1,428 </w:t>
            </w:r>
          </w:p>
        </w:tc>
        <w:tc>
          <w:tcPr>
            <w:tcW w:w="343" w:type="pct"/>
            <w:tcBorders>
              <w:top w:val="nil"/>
              <w:left w:val="nil"/>
              <w:bottom w:val="single" w:sz="8" w:space="0" w:color="auto"/>
              <w:right w:val="nil"/>
            </w:tcBorders>
            <w:vAlign w:val="bottom"/>
          </w:tcPr>
          <w:p w14:paraId="24382CDB"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58 </w:t>
            </w:r>
          </w:p>
        </w:tc>
        <w:tc>
          <w:tcPr>
            <w:tcW w:w="344" w:type="pct"/>
            <w:tcBorders>
              <w:top w:val="nil"/>
              <w:left w:val="nil"/>
              <w:bottom w:val="single" w:sz="8" w:space="0" w:color="auto"/>
              <w:right w:val="nil"/>
            </w:tcBorders>
            <w:vAlign w:val="bottom"/>
          </w:tcPr>
          <w:p w14:paraId="1A1D8921"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 </w:t>
            </w:r>
          </w:p>
        </w:tc>
        <w:tc>
          <w:tcPr>
            <w:tcW w:w="343" w:type="pct"/>
            <w:tcBorders>
              <w:top w:val="nil"/>
              <w:left w:val="nil"/>
              <w:bottom w:val="single" w:sz="8" w:space="0" w:color="auto"/>
              <w:right w:val="nil"/>
            </w:tcBorders>
            <w:vAlign w:val="bottom"/>
          </w:tcPr>
          <w:p w14:paraId="7A2279F9"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eastAsia="Calibri" w:hAnsi="Arial" w:cs="Arial"/>
                <w:color w:val="000000"/>
                <w:sz w:val="14"/>
                <w:szCs w:val="14"/>
                <w:lang w:val="hr-HR"/>
              </w:rPr>
              <w:t xml:space="preserve"> 2,082 </w:t>
            </w:r>
          </w:p>
        </w:tc>
      </w:tr>
      <w:tr w:rsidR="00587444" w:rsidRPr="00587444" w14:paraId="35437C36" w14:textId="77777777" w:rsidTr="00DD69E7">
        <w:trPr>
          <w:trHeight w:val="97"/>
          <w:jc w:val="center"/>
        </w:trPr>
        <w:tc>
          <w:tcPr>
            <w:tcW w:w="877" w:type="pct"/>
          </w:tcPr>
          <w:p w14:paraId="102C9EC1"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Total</w:t>
            </w:r>
          </w:p>
        </w:tc>
        <w:tc>
          <w:tcPr>
            <w:tcW w:w="343" w:type="pct"/>
            <w:tcBorders>
              <w:top w:val="nil"/>
              <w:left w:val="nil"/>
              <w:bottom w:val="single" w:sz="12" w:space="0" w:color="auto"/>
              <w:right w:val="nil"/>
            </w:tcBorders>
            <w:shd w:val="clear" w:color="auto" w:fill="auto"/>
            <w:vAlign w:val="bottom"/>
          </w:tcPr>
          <w:p w14:paraId="1AD301C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24,657,989 </w:t>
            </w:r>
          </w:p>
        </w:tc>
        <w:tc>
          <w:tcPr>
            <w:tcW w:w="344" w:type="pct"/>
            <w:tcBorders>
              <w:top w:val="nil"/>
              <w:left w:val="nil"/>
              <w:bottom w:val="single" w:sz="12" w:space="0" w:color="auto"/>
              <w:right w:val="nil"/>
            </w:tcBorders>
            <w:shd w:val="clear" w:color="auto" w:fill="auto"/>
            <w:vAlign w:val="bottom"/>
          </w:tcPr>
          <w:p w14:paraId="2BF7AA2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1,711,052 </w:t>
            </w:r>
          </w:p>
        </w:tc>
        <w:tc>
          <w:tcPr>
            <w:tcW w:w="344" w:type="pct"/>
            <w:tcBorders>
              <w:top w:val="nil"/>
              <w:left w:val="nil"/>
              <w:bottom w:val="single" w:sz="12" w:space="0" w:color="auto"/>
              <w:right w:val="nil"/>
            </w:tcBorders>
            <w:shd w:val="clear" w:color="auto" w:fill="auto"/>
            <w:vAlign w:val="bottom"/>
          </w:tcPr>
          <w:p w14:paraId="57465302"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1,150,641 </w:t>
            </w:r>
          </w:p>
        </w:tc>
        <w:tc>
          <w:tcPr>
            <w:tcW w:w="343" w:type="pct"/>
            <w:tcBorders>
              <w:top w:val="nil"/>
              <w:left w:val="nil"/>
              <w:bottom w:val="single" w:sz="12" w:space="0" w:color="auto"/>
              <w:right w:val="nil"/>
            </w:tcBorders>
            <w:shd w:val="clear" w:color="auto" w:fill="auto"/>
            <w:vAlign w:val="bottom"/>
          </w:tcPr>
          <w:p w14:paraId="3FEB553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1,184,853 </w:t>
            </w:r>
          </w:p>
        </w:tc>
        <w:tc>
          <w:tcPr>
            <w:tcW w:w="344" w:type="pct"/>
            <w:tcBorders>
              <w:top w:val="nil"/>
              <w:left w:val="nil"/>
              <w:bottom w:val="single" w:sz="12" w:space="0" w:color="auto"/>
              <w:right w:val="nil"/>
            </w:tcBorders>
            <w:shd w:val="clear" w:color="auto" w:fill="auto"/>
            <w:vAlign w:val="bottom"/>
          </w:tcPr>
          <w:p w14:paraId="4230B828"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23,870 </w:t>
            </w:r>
          </w:p>
        </w:tc>
        <w:tc>
          <w:tcPr>
            <w:tcW w:w="344" w:type="pct"/>
            <w:tcBorders>
              <w:top w:val="nil"/>
              <w:left w:val="nil"/>
              <w:bottom w:val="single" w:sz="12" w:space="0" w:color="auto"/>
              <w:right w:val="nil"/>
            </w:tcBorders>
            <w:shd w:val="clear" w:color="auto" w:fill="auto"/>
            <w:vAlign w:val="bottom"/>
          </w:tcPr>
          <w:p w14:paraId="6215B19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28,728,405 </w:t>
            </w:r>
          </w:p>
        </w:tc>
        <w:tc>
          <w:tcPr>
            <w:tcW w:w="343" w:type="pct"/>
            <w:tcBorders>
              <w:top w:val="nil"/>
              <w:left w:val="nil"/>
              <w:bottom w:val="single" w:sz="12" w:space="0" w:color="auto"/>
              <w:right w:val="nil"/>
            </w:tcBorders>
            <w:vAlign w:val="bottom"/>
          </w:tcPr>
          <w:p w14:paraId="7549FC1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4,903,878 </w:t>
            </w:r>
          </w:p>
        </w:tc>
        <w:tc>
          <w:tcPr>
            <w:tcW w:w="344" w:type="pct"/>
            <w:tcBorders>
              <w:top w:val="nil"/>
              <w:left w:val="nil"/>
              <w:bottom w:val="single" w:sz="12" w:space="0" w:color="auto"/>
              <w:right w:val="nil"/>
            </w:tcBorders>
            <w:vAlign w:val="bottom"/>
          </w:tcPr>
          <w:p w14:paraId="3259C8B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140,544 </w:t>
            </w:r>
          </w:p>
        </w:tc>
        <w:tc>
          <w:tcPr>
            <w:tcW w:w="344" w:type="pct"/>
            <w:tcBorders>
              <w:top w:val="nil"/>
              <w:left w:val="nil"/>
              <w:bottom w:val="single" w:sz="12" w:space="0" w:color="auto"/>
              <w:right w:val="nil"/>
            </w:tcBorders>
            <w:vAlign w:val="bottom"/>
          </w:tcPr>
          <w:p w14:paraId="3975E8C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107,470 </w:t>
            </w:r>
          </w:p>
        </w:tc>
        <w:tc>
          <w:tcPr>
            <w:tcW w:w="343" w:type="pct"/>
            <w:tcBorders>
              <w:top w:val="nil"/>
              <w:left w:val="nil"/>
              <w:bottom w:val="single" w:sz="12" w:space="0" w:color="auto"/>
              <w:right w:val="nil"/>
            </w:tcBorders>
            <w:vAlign w:val="bottom"/>
          </w:tcPr>
          <w:p w14:paraId="7B6FDB0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173,804 </w:t>
            </w:r>
          </w:p>
        </w:tc>
        <w:tc>
          <w:tcPr>
            <w:tcW w:w="344" w:type="pct"/>
            <w:tcBorders>
              <w:top w:val="nil"/>
              <w:left w:val="nil"/>
              <w:bottom w:val="single" w:sz="12" w:space="0" w:color="auto"/>
              <w:right w:val="nil"/>
            </w:tcBorders>
            <w:vAlign w:val="bottom"/>
          </w:tcPr>
          <w:p w14:paraId="0D32995A"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 </w:t>
            </w:r>
          </w:p>
        </w:tc>
        <w:tc>
          <w:tcPr>
            <w:tcW w:w="343" w:type="pct"/>
            <w:tcBorders>
              <w:top w:val="nil"/>
              <w:left w:val="nil"/>
              <w:bottom w:val="single" w:sz="12" w:space="0" w:color="auto"/>
              <w:right w:val="nil"/>
            </w:tcBorders>
            <w:vAlign w:val="bottom"/>
          </w:tcPr>
          <w:p w14:paraId="6931C44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5,325,696 </w:t>
            </w:r>
          </w:p>
        </w:tc>
      </w:tr>
      <w:tr w:rsidR="00587444" w:rsidRPr="00587444" w14:paraId="60BB8F9D" w14:textId="77777777" w:rsidTr="00DD69E7">
        <w:trPr>
          <w:trHeight w:val="200"/>
          <w:jc w:val="center"/>
        </w:trPr>
        <w:tc>
          <w:tcPr>
            <w:tcW w:w="877" w:type="pct"/>
          </w:tcPr>
          <w:p w14:paraId="7900E1BB" w14:textId="77777777" w:rsidR="00587444" w:rsidRPr="00587444" w:rsidRDefault="00587444" w:rsidP="00587444">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Guarantees and commitments</w:t>
            </w:r>
          </w:p>
        </w:tc>
        <w:tc>
          <w:tcPr>
            <w:tcW w:w="343" w:type="pct"/>
            <w:tcBorders>
              <w:top w:val="nil"/>
              <w:left w:val="nil"/>
              <w:bottom w:val="nil"/>
              <w:right w:val="nil"/>
            </w:tcBorders>
            <w:shd w:val="clear" w:color="auto" w:fill="auto"/>
            <w:vAlign w:val="bottom"/>
          </w:tcPr>
          <w:p w14:paraId="31E0B307"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4" w:type="pct"/>
            <w:tcBorders>
              <w:top w:val="nil"/>
              <w:left w:val="nil"/>
              <w:bottom w:val="nil"/>
              <w:right w:val="nil"/>
            </w:tcBorders>
            <w:shd w:val="clear" w:color="auto" w:fill="auto"/>
            <w:vAlign w:val="bottom"/>
          </w:tcPr>
          <w:p w14:paraId="1440E332"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4" w:type="pct"/>
            <w:tcBorders>
              <w:top w:val="nil"/>
              <w:left w:val="nil"/>
              <w:bottom w:val="nil"/>
              <w:right w:val="nil"/>
            </w:tcBorders>
            <w:shd w:val="clear" w:color="auto" w:fill="auto"/>
            <w:vAlign w:val="bottom"/>
          </w:tcPr>
          <w:p w14:paraId="1858ABDD"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3" w:type="pct"/>
            <w:tcBorders>
              <w:top w:val="nil"/>
              <w:left w:val="nil"/>
              <w:bottom w:val="nil"/>
              <w:right w:val="nil"/>
            </w:tcBorders>
            <w:shd w:val="clear" w:color="auto" w:fill="auto"/>
            <w:vAlign w:val="bottom"/>
          </w:tcPr>
          <w:p w14:paraId="1CC607B1"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4" w:type="pct"/>
            <w:tcBorders>
              <w:top w:val="nil"/>
              <w:left w:val="nil"/>
              <w:bottom w:val="nil"/>
              <w:right w:val="nil"/>
            </w:tcBorders>
            <w:shd w:val="clear" w:color="auto" w:fill="auto"/>
            <w:vAlign w:val="bottom"/>
          </w:tcPr>
          <w:p w14:paraId="7421D2EF"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4" w:type="pct"/>
            <w:tcBorders>
              <w:top w:val="nil"/>
              <w:left w:val="nil"/>
              <w:bottom w:val="nil"/>
              <w:right w:val="nil"/>
            </w:tcBorders>
            <w:shd w:val="clear" w:color="auto" w:fill="auto"/>
            <w:vAlign w:val="bottom"/>
          </w:tcPr>
          <w:p w14:paraId="50A61F86"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3" w:type="pct"/>
            <w:tcBorders>
              <w:top w:val="nil"/>
              <w:left w:val="nil"/>
              <w:bottom w:val="nil"/>
              <w:right w:val="nil"/>
            </w:tcBorders>
            <w:vAlign w:val="bottom"/>
          </w:tcPr>
          <w:p w14:paraId="10142589"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4" w:type="pct"/>
            <w:tcBorders>
              <w:top w:val="nil"/>
              <w:left w:val="nil"/>
              <w:bottom w:val="nil"/>
              <w:right w:val="nil"/>
            </w:tcBorders>
            <w:vAlign w:val="bottom"/>
          </w:tcPr>
          <w:p w14:paraId="6FF0A1AE"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4" w:type="pct"/>
            <w:tcBorders>
              <w:top w:val="nil"/>
              <w:left w:val="nil"/>
              <w:bottom w:val="nil"/>
              <w:right w:val="nil"/>
            </w:tcBorders>
            <w:vAlign w:val="bottom"/>
          </w:tcPr>
          <w:p w14:paraId="7D7770CA"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3" w:type="pct"/>
            <w:tcBorders>
              <w:top w:val="nil"/>
              <w:left w:val="nil"/>
              <w:bottom w:val="nil"/>
              <w:right w:val="nil"/>
            </w:tcBorders>
            <w:vAlign w:val="bottom"/>
          </w:tcPr>
          <w:p w14:paraId="6A2EFAD4"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4" w:type="pct"/>
            <w:tcBorders>
              <w:top w:val="nil"/>
              <w:left w:val="nil"/>
              <w:bottom w:val="nil"/>
              <w:right w:val="nil"/>
            </w:tcBorders>
            <w:vAlign w:val="bottom"/>
          </w:tcPr>
          <w:p w14:paraId="27598430"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3" w:type="pct"/>
            <w:tcBorders>
              <w:top w:val="nil"/>
              <w:left w:val="nil"/>
              <w:bottom w:val="nil"/>
              <w:right w:val="nil"/>
            </w:tcBorders>
            <w:vAlign w:val="bottom"/>
          </w:tcPr>
          <w:p w14:paraId="3030F1DE"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r>
      <w:tr w:rsidR="00587444" w:rsidRPr="00587444" w14:paraId="6299F9C3" w14:textId="77777777" w:rsidTr="00DD69E7">
        <w:trPr>
          <w:trHeight w:val="200"/>
          <w:jc w:val="center"/>
        </w:trPr>
        <w:tc>
          <w:tcPr>
            <w:tcW w:w="877" w:type="pct"/>
            <w:vAlign w:val="bottom"/>
          </w:tcPr>
          <w:p w14:paraId="16815C32"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Guarantees issued in HRK</w:t>
            </w:r>
          </w:p>
        </w:tc>
        <w:tc>
          <w:tcPr>
            <w:tcW w:w="343" w:type="pct"/>
            <w:tcBorders>
              <w:top w:val="nil"/>
              <w:left w:val="nil"/>
              <w:bottom w:val="nil"/>
              <w:right w:val="nil"/>
            </w:tcBorders>
            <w:shd w:val="clear" w:color="auto" w:fill="auto"/>
            <w:vAlign w:val="bottom"/>
          </w:tcPr>
          <w:p w14:paraId="7BBA9BB0"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22,390 </w:t>
            </w:r>
          </w:p>
        </w:tc>
        <w:tc>
          <w:tcPr>
            <w:tcW w:w="344" w:type="pct"/>
            <w:tcBorders>
              <w:top w:val="nil"/>
              <w:left w:val="nil"/>
              <w:bottom w:val="nil"/>
              <w:right w:val="nil"/>
            </w:tcBorders>
            <w:shd w:val="clear" w:color="auto" w:fill="auto"/>
            <w:vAlign w:val="bottom"/>
          </w:tcPr>
          <w:p w14:paraId="40F3B19D"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2,574 </w:t>
            </w:r>
          </w:p>
        </w:tc>
        <w:tc>
          <w:tcPr>
            <w:tcW w:w="344" w:type="pct"/>
            <w:tcBorders>
              <w:top w:val="nil"/>
              <w:left w:val="nil"/>
              <w:bottom w:val="nil"/>
              <w:right w:val="nil"/>
            </w:tcBorders>
            <w:shd w:val="clear" w:color="auto" w:fill="auto"/>
            <w:vAlign w:val="bottom"/>
          </w:tcPr>
          <w:p w14:paraId="5FF1A57B"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61,506 </w:t>
            </w:r>
          </w:p>
        </w:tc>
        <w:tc>
          <w:tcPr>
            <w:tcW w:w="343" w:type="pct"/>
            <w:tcBorders>
              <w:top w:val="nil"/>
              <w:left w:val="nil"/>
              <w:bottom w:val="nil"/>
              <w:right w:val="nil"/>
            </w:tcBorders>
            <w:shd w:val="clear" w:color="auto" w:fill="auto"/>
            <w:vAlign w:val="bottom"/>
          </w:tcPr>
          <w:p w14:paraId="54664A88"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73461DFE"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63F98A43"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86,470 </w:t>
            </w:r>
          </w:p>
        </w:tc>
        <w:tc>
          <w:tcPr>
            <w:tcW w:w="343" w:type="pct"/>
            <w:tcBorders>
              <w:top w:val="nil"/>
              <w:left w:val="nil"/>
              <w:bottom w:val="nil"/>
              <w:right w:val="nil"/>
            </w:tcBorders>
            <w:vAlign w:val="bottom"/>
          </w:tcPr>
          <w:p w14:paraId="773A293E"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20,517 </w:t>
            </w:r>
          </w:p>
        </w:tc>
        <w:tc>
          <w:tcPr>
            <w:tcW w:w="344" w:type="pct"/>
            <w:tcBorders>
              <w:top w:val="nil"/>
              <w:left w:val="nil"/>
              <w:bottom w:val="nil"/>
              <w:right w:val="nil"/>
            </w:tcBorders>
            <w:vAlign w:val="bottom"/>
          </w:tcPr>
          <w:p w14:paraId="0D4D27DD"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7 </w:t>
            </w:r>
          </w:p>
        </w:tc>
        <w:tc>
          <w:tcPr>
            <w:tcW w:w="344" w:type="pct"/>
            <w:tcBorders>
              <w:top w:val="nil"/>
              <w:left w:val="nil"/>
              <w:bottom w:val="nil"/>
              <w:right w:val="nil"/>
            </w:tcBorders>
            <w:vAlign w:val="bottom"/>
          </w:tcPr>
          <w:p w14:paraId="63FEF1F8"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36,831 </w:t>
            </w:r>
          </w:p>
        </w:tc>
        <w:tc>
          <w:tcPr>
            <w:tcW w:w="343" w:type="pct"/>
            <w:tcBorders>
              <w:top w:val="nil"/>
              <w:left w:val="nil"/>
              <w:bottom w:val="nil"/>
              <w:right w:val="nil"/>
            </w:tcBorders>
            <w:vAlign w:val="bottom"/>
          </w:tcPr>
          <w:p w14:paraId="4695A922"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768668B9"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vAlign w:val="bottom"/>
          </w:tcPr>
          <w:p w14:paraId="1D6C6636"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57,355 </w:t>
            </w:r>
          </w:p>
        </w:tc>
      </w:tr>
      <w:tr w:rsidR="00587444" w:rsidRPr="00587444" w14:paraId="496DE493" w14:textId="77777777" w:rsidTr="00DD69E7">
        <w:trPr>
          <w:trHeight w:val="200"/>
          <w:jc w:val="center"/>
        </w:trPr>
        <w:tc>
          <w:tcPr>
            <w:tcW w:w="877" w:type="pct"/>
            <w:vAlign w:val="bottom"/>
          </w:tcPr>
          <w:p w14:paraId="480F8701"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Issued guarantees in foreign currency</w:t>
            </w:r>
          </w:p>
        </w:tc>
        <w:tc>
          <w:tcPr>
            <w:tcW w:w="343" w:type="pct"/>
            <w:tcBorders>
              <w:top w:val="nil"/>
              <w:left w:val="nil"/>
              <w:bottom w:val="nil"/>
              <w:right w:val="nil"/>
            </w:tcBorders>
            <w:shd w:val="clear" w:color="auto" w:fill="auto"/>
            <w:vAlign w:val="bottom"/>
          </w:tcPr>
          <w:p w14:paraId="16BB110D"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97,756 </w:t>
            </w:r>
          </w:p>
        </w:tc>
        <w:tc>
          <w:tcPr>
            <w:tcW w:w="344" w:type="pct"/>
            <w:tcBorders>
              <w:top w:val="nil"/>
              <w:left w:val="nil"/>
              <w:bottom w:val="nil"/>
              <w:right w:val="nil"/>
            </w:tcBorders>
            <w:shd w:val="clear" w:color="auto" w:fill="auto"/>
            <w:vAlign w:val="bottom"/>
          </w:tcPr>
          <w:p w14:paraId="2189D17A"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317 </w:t>
            </w:r>
          </w:p>
        </w:tc>
        <w:tc>
          <w:tcPr>
            <w:tcW w:w="344" w:type="pct"/>
            <w:tcBorders>
              <w:top w:val="nil"/>
              <w:left w:val="nil"/>
              <w:bottom w:val="nil"/>
              <w:right w:val="nil"/>
            </w:tcBorders>
            <w:shd w:val="clear" w:color="auto" w:fill="auto"/>
            <w:vAlign w:val="bottom"/>
          </w:tcPr>
          <w:p w14:paraId="3F36002D"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64,443 </w:t>
            </w:r>
          </w:p>
        </w:tc>
        <w:tc>
          <w:tcPr>
            <w:tcW w:w="343" w:type="pct"/>
            <w:tcBorders>
              <w:top w:val="nil"/>
              <w:left w:val="nil"/>
              <w:bottom w:val="nil"/>
              <w:right w:val="nil"/>
            </w:tcBorders>
            <w:shd w:val="clear" w:color="auto" w:fill="auto"/>
            <w:vAlign w:val="bottom"/>
          </w:tcPr>
          <w:p w14:paraId="15B1836F"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560BFEEE"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253FE6D9"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162,516 </w:t>
            </w:r>
          </w:p>
        </w:tc>
        <w:tc>
          <w:tcPr>
            <w:tcW w:w="343" w:type="pct"/>
            <w:tcBorders>
              <w:top w:val="nil"/>
              <w:left w:val="nil"/>
              <w:bottom w:val="nil"/>
              <w:right w:val="nil"/>
            </w:tcBorders>
            <w:vAlign w:val="bottom"/>
          </w:tcPr>
          <w:p w14:paraId="1F87EC60"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96,454 </w:t>
            </w:r>
          </w:p>
        </w:tc>
        <w:tc>
          <w:tcPr>
            <w:tcW w:w="344" w:type="pct"/>
            <w:tcBorders>
              <w:top w:val="nil"/>
              <w:left w:val="nil"/>
              <w:bottom w:val="nil"/>
              <w:right w:val="nil"/>
            </w:tcBorders>
            <w:vAlign w:val="bottom"/>
          </w:tcPr>
          <w:p w14:paraId="3C83D4AD"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2882B45C"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30,609 </w:t>
            </w:r>
          </w:p>
        </w:tc>
        <w:tc>
          <w:tcPr>
            <w:tcW w:w="343" w:type="pct"/>
            <w:tcBorders>
              <w:top w:val="nil"/>
              <w:left w:val="nil"/>
              <w:bottom w:val="nil"/>
              <w:right w:val="nil"/>
            </w:tcBorders>
            <w:vAlign w:val="bottom"/>
          </w:tcPr>
          <w:p w14:paraId="394DFA26"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vAlign w:val="bottom"/>
          </w:tcPr>
          <w:p w14:paraId="7F825DA4"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vAlign w:val="bottom"/>
          </w:tcPr>
          <w:p w14:paraId="474F549D"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127,063 </w:t>
            </w:r>
          </w:p>
        </w:tc>
      </w:tr>
      <w:tr w:rsidR="00587444" w:rsidRPr="00587444" w14:paraId="012C1F00" w14:textId="77777777" w:rsidTr="00DD69E7">
        <w:trPr>
          <w:trHeight w:val="200"/>
          <w:jc w:val="center"/>
        </w:trPr>
        <w:tc>
          <w:tcPr>
            <w:tcW w:w="877" w:type="pct"/>
            <w:vAlign w:val="bottom"/>
          </w:tcPr>
          <w:p w14:paraId="17E6B791"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Open </w:t>
            </w:r>
            <w:proofErr w:type="spellStart"/>
            <w:r w:rsidRPr="00587444">
              <w:rPr>
                <w:rFonts w:ascii="Arial" w:eastAsia="Calibri" w:hAnsi="Arial" w:cs="Arial"/>
                <w:sz w:val="14"/>
                <w:szCs w:val="14"/>
                <w:lang w:val="en-GB"/>
              </w:rPr>
              <w:t>leters</w:t>
            </w:r>
            <w:proofErr w:type="spellEnd"/>
            <w:r w:rsidRPr="00587444">
              <w:rPr>
                <w:rFonts w:ascii="Arial" w:eastAsia="Calibri" w:hAnsi="Arial" w:cs="Arial"/>
                <w:sz w:val="14"/>
                <w:szCs w:val="14"/>
                <w:lang w:val="en-GB"/>
              </w:rPr>
              <w:t xml:space="preserve"> of credit in foreign currency</w:t>
            </w:r>
          </w:p>
        </w:tc>
        <w:tc>
          <w:tcPr>
            <w:tcW w:w="343" w:type="pct"/>
            <w:tcBorders>
              <w:top w:val="nil"/>
              <w:left w:val="nil"/>
              <w:bottom w:val="nil"/>
              <w:right w:val="nil"/>
            </w:tcBorders>
            <w:shd w:val="clear" w:color="auto" w:fill="auto"/>
            <w:vAlign w:val="bottom"/>
          </w:tcPr>
          <w:p w14:paraId="091CF931"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3790732A"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3B9EEC19"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3" w:type="pct"/>
            <w:tcBorders>
              <w:top w:val="nil"/>
              <w:left w:val="nil"/>
              <w:bottom w:val="nil"/>
              <w:right w:val="nil"/>
            </w:tcBorders>
            <w:shd w:val="clear" w:color="auto" w:fill="auto"/>
            <w:vAlign w:val="bottom"/>
          </w:tcPr>
          <w:p w14:paraId="5AD44CC1"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nil"/>
              <w:right w:val="nil"/>
            </w:tcBorders>
            <w:shd w:val="clear" w:color="auto" w:fill="auto"/>
            <w:vAlign w:val="bottom"/>
          </w:tcPr>
          <w:p w14:paraId="1D916181"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1,243 </w:t>
            </w:r>
          </w:p>
        </w:tc>
        <w:tc>
          <w:tcPr>
            <w:tcW w:w="344" w:type="pct"/>
            <w:tcBorders>
              <w:top w:val="nil"/>
              <w:left w:val="nil"/>
              <w:bottom w:val="nil"/>
              <w:right w:val="nil"/>
            </w:tcBorders>
            <w:shd w:val="clear" w:color="auto" w:fill="auto"/>
            <w:vAlign w:val="bottom"/>
          </w:tcPr>
          <w:p w14:paraId="6D566016"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1,243 </w:t>
            </w:r>
          </w:p>
        </w:tc>
        <w:tc>
          <w:tcPr>
            <w:tcW w:w="343" w:type="pct"/>
            <w:tcBorders>
              <w:top w:val="nil"/>
              <w:left w:val="nil"/>
              <w:bottom w:val="nil"/>
              <w:right w:val="nil"/>
            </w:tcBorders>
            <w:vAlign w:val="bottom"/>
          </w:tcPr>
          <w:p w14:paraId="25B11E1C"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w:t>
            </w:r>
          </w:p>
        </w:tc>
        <w:tc>
          <w:tcPr>
            <w:tcW w:w="344" w:type="pct"/>
            <w:tcBorders>
              <w:top w:val="nil"/>
              <w:left w:val="nil"/>
              <w:bottom w:val="nil"/>
              <w:right w:val="nil"/>
            </w:tcBorders>
            <w:vAlign w:val="bottom"/>
          </w:tcPr>
          <w:p w14:paraId="16DCE43A"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w:t>
            </w:r>
          </w:p>
        </w:tc>
        <w:tc>
          <w:tcPr>
            <w:tcW w:w="344" w:type="pct"/>
            <w:tcBorders>
              <w:top w:val="nil"/>
              <w:left w:val="nil"/>
              <w:bottom w:val="nil"/>
              <w:right w:val="nil"/>
            </w:tcBorders>
            <w:vAlign w:val="bottom"/>
          </w:tcPr>
          <w:p w14:paraId="332C468F"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w:t>
            </w:r>
          </w:p>
        </w:tc>
        <w:tc>
          <w:tcPr>
            <w:tcW w:w="343" w:type="pct"/>
            <w:tcBorders>
              <w:top w:val="nil"/>
              <w:left w:val="nil"/>
              <w:bottom w:val="nil"/>
              <w:right w:val="nil"/>
            </w:tcBorders>
            <w:vAlign w:val="bottom"/>
          </w:tcPr>
          <w:p w14:paraId="449BAC59"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w:t>
            </w:r>
          </w:p>
        </w:tc>
        <w:tc>
          <w:tcPr>
            <w:tcW w:w="344" w:type="pct"/>
            <w:tcBorders>
              <w:top w:val="nil"/>
              <w:left w:val="nil"/>
              <w:bottom w:val="nil"/>
              <w:right w:val="nil"/>
            </w:tcBorders>
            <w:vAlign w:val="bottom"/>
          </w:tcPr>
          <w:p w14:paraId="232FA85A"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w:t>
            </w:r>
          </w:p>
        </w:tc>
        <w:tc>
          <w:tcPr>
            <w:tcW w:w="343" w:type="pct"/>
            <w:tcBorders>
              <w:top w:val="nil"/>
              <w:left w:val="nil"/>
              <w:bottom w:val="nil"/>
              <w:right w:val="nil"/>
            </w:tcBorders>
            <w:vAlign w:val="bottom"/>
          </w:tcPr>
          <w:p w14:paraId="765A4C40"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r>
      <w:tr w:rsidR="00587444" w:rsidRPr="00587444" w14:paraId="05BF1DAC" w14:textId="77777777" w:rsidTr="00DD69E7">
        <w:trPr>
          <w:trHeight w:val="200"/>
          <w:jc w:val="center"/>
        </w:trPr>
        <w:tc>
          <w:tcPr>
            <w:tcW w:w="877" w:type="pct"/>
            <w:vAlign w:val="bottom"/>
          </w:tcPr>
          <w:p w14:paraId="14ADFE45"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Undrawn loans </w:t>
            </w:r>
          </w:p>
        </w:tc>
        <w:tc>
          <w:tcPr>
            <w:tcW w:w="343" w:type="pct"/>
            <w:tcBorders>
              <w:top w:val="nil"/>
              <w:left w:val="nil"/>
              <w:bottom w:val="single" w:sz="6" w:space="0" w:color="auto"/>
              <w:right w:val="nil"/>
            </w:tcBorders>
            <w:shd w:val="clear" w:color="auto" w:fill="auto"/>
            <w:vAlign w:val="bottom"/>
          </w:tcPr>
          <w:p w14:paraId="72006A8A"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2,449,837 </w:t>
            </w:r>
          </w:p>
        </w:tc>
        <w:tc>
          <w:tcPr>
            <w:tcW w:w="344" w:type="pct"/>
            <w:tcBorders>
              <w:top w:val="nil"/>
              <w:left w:val="nil"/>
              <w:bottom w:val="single" w:sz="6" w:space="0" w:color="auto"/>
              <w:right w:val="nil"/>
            </w:tcBorders>
            <w:shd w:val="clear" w:color="auto" w:fill="auto"/>
            <w:vAlign w:val="bottom"/>
          </w:tcPr>
          <w:p w14:paraId="150434CC"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73,847 </w:t>
            </w:r>
          </w:p>
        </w:tc>
        <w:tc>
          <w:tcPr>
            <w:tcW w:w="344" w:type="pct"/>
            <w:tcBorders>
              <w:top w:val="nil"/>
              <w:left w:val="nil"/>
              <w:bottom w:val="single" w:sz="6" w:space="0" w:color="auto"/>
              <w:right w:val="nil"/>
            </w:tcBorders>
            <w:shd w:val="clear" w:color="auto" w:fill="auto"/>
            <w:vAlign w:val="bottom"/>
          </w:tcPr>
          <w:p w14:paraId="5D6A2D54"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3" w:type="pct"/>
            <w:tcBorders>
              <w:top w:val="nil"/>
              <w:left w:val="nil"/>
              <w:bottom w:val="single" w:sz="6" w:space="0" w:color="auto"/>
              <w:right w:val="nil"/>
            </w:tcBorders>
            <w:shd w:val="clear" w:color="auto" w:fill="auto"/>
            <w:vAlign w:val="bottom"/>
          </w:tcPr>
          <w:p w14:paraId="4D59EAB2"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124,247 </w:t>
            </w:r>
          </w:p>
        </w:tc>
        <w:tc>
          <w:tcPr>
            <w:tcW w:w="344" w:type="pct"/>
            <w:tcBorders>
              <w:top w:val="nil"/>
              <w:left w:val="nil"/>
              <w:bottom w:val="single" w:sz="6" w:space="0" w:color="auto"/>
              <w:right w:val="nil"/>
            </w:tcBorders>
            <w:shd w:val="clear" w:color="auto" w:fill="auto"/>
            <w:vAlign w:val="bottom"/>
          </w:tcPr>
          <w:p w14:paraId="0D8DA02F"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single" w:sz="6" w:space="0" w:color="auto"/>
              <w:right w:val="nil"/>
            </w:tcBorders>
            <w:shd w:val="clear" w:color="auto" w:fill="auto"/>
            <w:vAlign w:val="bottom"/>
          </w:tcPr>
          <w:p w14:paraId="0D46E5AC"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2,647,931 </w:t>
            </w:r>
          </w:p>
        </w:tc>
        <w:tc>
          <w:tcPr>
            <w:tcW w:w="343" w:type="pct"/>
            <w:tcBorders>
              <w:top w:val="nil"/>
              <w:left w:val="nil"/>
              <w:bottom w:val="single" w:sz="6" w:space="0" w:color="auto"/>
              <w:right w:val="nil"/>
            </w:tcBorders>
            <w:vAlign w:val="bottom"/>
          </w:tcPr>
          <w:p w14:paraId="73E5AC9B"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455,003 </w:t>
            </w:r>
          </w:p>
        </w:tc>
        <w:tc>
          <w:tcPr>
            <w:tcW w:w="344" w:type="pct"/>
            <w:tcBorders>
              <w:top w:val="nil"/>
              <w:left w:val="nil"/>
              <w:bottom w:val="single" w:sz="6" w:space="0" w:color="auto"/>
              <w:right w:val="nil"/>
            </w:tcBorders>
            <w:vAlign w:val="bottom"/>
          </w:tcPr>
          <w:p w14:paraId="4D1BAE32"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9,758 </w:t>
            </w:r>
          </w:p>
        </w:tc>
        <w:tc>
          <w:tcPr>
            <w:tcW w:w="344" w:type="pct"/>
            <w:tcBorders>
              <w:top w:val="nil"/>
              <w:left w:val="nil"/>
              <w:bottom w:val="single" w:sz="6" w:space="0" w:color="auto"/>
              <w:right w:val="nil"/>
            </w:tcBorders>
            <w:vAlign w:val="bottom"/>
          </w:tcPr>
          <w:p w14:paraId="39F67F9E"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3" w:type="pct"/>
            <w:tcBorders>
              <w:top w:val="nil"/>
              <w:left w:val="nil"/>
              <w:bottom w:val="single" w:sz="6" w:space="0" w:color="auto"/>
              <w:right w:val="nil"/>
            </w:tcBorders>
            <w:vAlign w:val="bottom"/>
          </w:tcPr>
          <w:p w14:paraId="408AA6DE"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4" w:type="pct"/>
            <w:tcBorders>
              <w:top w:val="nil"/>
              <w:left w:val="nil"/>
              <w:bottom w:val="single" w:sz="6" w:space="0" w:color="auto"/>
              <w:right w:val="nil"/>
            </w:tcBorders>
            <w:vAlign w:val="bottom"/>
          </w:tcPr>
          <w:p w14:paraId="22305DA7"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 </w:t>
            </w:r>
          </w:p>
        </w:tc>
        <w:tc>
          <w:tcPr>
            <w:tcW w:w="343" w:type="pct"/>
            <w:tcBorders>
              <w:top w:val="nil"/>
              <w:left w:val="nil"/>
              <w:bottom w:val="single" w:sz="6" w:space="0" w:color="auto"/>
              <w:right w:val="nil"/>
            </w:tcBorders>
            <w:vAlign w:val="bottom"/>
          </w:tcPr>
          <w:p w14:paraId="3485A2B1"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color w:val="000000"/>
                <w:sz w:val="14"/>
                <w:szCs w:val="14"/>
                <w:lang w:val="hr-HR"/>
              </w:rPr>
              <w:t xml:space="preserve"> 464,761 </w:t>
            </w:r>
          </w:p>
        </w:tc>
      </w:tr>
      <w:tr w:rsidR="00587444" w:rsidRPr="00587444" w14:paraId="2F5DF118" w14:textId="77777777" w:rsidTr="00DD69E7">
        <w:trPr>
          <w:trHeight w:val="145"/>
          <w:jc w:val="center"/>
        </w:trPr>
        <w:tc>
          <w:tcPr>
            <w:tcW w:w="877" w:type="pct"/>
            <w:vAlign w:val="bottom"/>
          </w:tcPr>
          <w:p w14:paraId="0FE1F9E6" w14:textId="77777777" w:rsidR="00587444" w:rsidRPr="00587444" w:rsidRDefault="00587444" w:rsidP="00587444">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w:t>
            </w:r>
          </w:p>
        </w:tc>
        <w:tc>
          <w:tcPr>
            <w:tcW w:w="343" w:type="pct"/>
            <w:tcBorders>
              <w:top w:val="single" w:sz="6" w:space="0" w:color="auto"/>
              <w:left w:val="nil"/>
              <w:bottom w:val="single" w:sz="12" w:space="0" w:color="auto"/>
              <w:right w:val="nil"/>
            </w:tcBorders>
            <w:shd w:val="clear" w:color="auto" w:fill="auto"/>
            <w:vAlign w:val="bottom"/>
          </w:tcPr>
          <w:p w14:paraId="6B3C98AF"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2,569,983 </w:t>
            </w:r>
          </w:p>
        </w:tc>
        <w:tc>
          <w:tcPr>
            <w:tcW w:w="344" w:type="pct"/>
            <w:tcBorders>
              <w:top w:val="single" w:sz="6" w:space="0" w:color="auto"/>
              <w:left w:val="nil"/>
              <w:bottom w:val="single" w:sz="12" w:space="0" w:color="auto"/>
              <w:right w:val="nil"/>
            </w:tcBorders>
            <w:shd w:val="clear" w:color="auto" w:fill="auto"/>
            <w:vAlign w:val="bottom"/>
          </w:tcPr>
          <w:p w14:paraId="0EBA7141"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76,738 </w:t>
            </w:r>
          </w:p>
        </w:tc>
        <w:tc>
          <w:tcPr>
            <w:tcW w:w="344" w:type="pct"/>
            <w:tcBorders>
              <w:top w:val="single" w:sz="6" w:space="0" w:color="auto"/>
              <w:left w:val="nil"/>
              <w:bottom w:val="single" w:sz="12" w:space="0" w:color="auto"/>
              <w:right w:val="nil"/>
            </w:tcBorders>
            <w:shd w:val="clear" w:color="auto" w:fill="auto"/>
            <w:vAlign w:val="bottom"/>
          </w:tcPr>
          <w:p w14:paraId="219791DF"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125,949 </w:t>
            </w:r>
          </w:p>
        </w:tc>
        <w:tc>
          <w:tcPr>
            <w:tcW w:w="343" w:type="pct"/>
            <w:tcBorders>
              <w:top w:val="single" w:sz="6" w:space="0" w:color="auto"/>
              <w:left w:val="nil"/>
              <w:bottom w:val="single" w:sz="12" w:space="0" w:color="auto"/>
              <w:right w:val="nil"/>
            </w:tcBorders>
            <w:shd w:val="clear" w:color="auto" w:fill="auto"/>
            <w:vAlign w:val="bottom"/>
          </w:tcPr>
          <w:p w14:paraId="4EC3E7E2"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124,247 </w:t>
            </w:r>
          </w:p>
        </w:tc>
        <w:tc>
          <w:tcPr>
            <w:tcW w:w="344" w:type="pct"/>
            <w:tcBorders>
              <w:top w:val="single" w:sz="6" w:space="0" w:color="auto"/>
              <w:left w:val="nil"/>
              <w:bottom w:val="single" w:sz="12" w:space="0" w:color="auto"/>
              <w:right w:val="nil"/>
            </w:tcBorders>
            <w:shd w:val="clear" w:color="auto" w:fill="auto"/>
            <w:vAlign w:val="bottom"/>
          </w:tcPr>
          <w:p w14:paraId="4CA3BB11"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1,243 </w:t>
            </w:r>
          </w:p>
        </w:tc>
        <w:tc>
          <w:tcPr>
            <w:tcW w:w="344" w:type="pct"/>
            <w:tcBorders>
              <w:top w:val="single" w:sz="6" w:space="0" w:color="auto"/>
              <w:left w:val="nil"/>
              <w:bottom w:val="single" w:sz="12" w:space="0" w:color="auto"/>
              <w:right w:val="nil"/>
            </w:tcBorders>
            <w:shd w:val="clear" w:color="auto" w:fill="auto"/>
            <w:vAlign w:val="bottom"/>
          </w:tcPr>
          <w:p w14:paraId="404C5F94"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2,898,160 </w:t>
            </w:r>
          </w:p>
        </w:tc>
        <w:tc>
          <w:tcPr>
            <w:tcW w:w="343" w:type="pct"/>
            <w:tcBorders>
              <w:top w:val="single" w:sz="6" w:space="0" w:color="auto"/>
              <w:left w:val="nil"/>
              <w:bottom w:val="single" w:sz="12" w:space="0" w:color="auto"/>
              <w:right w:val="nil"/>
            </w:tcBorders>
            <w:vAlign w:val="bottom"/>
          </w:tcPr>
          <w:p w14:paraId="4CFB99E4"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571,974 </w:t>
            </w:r>
          </w:p>
        </w:tc>
        <w:tc>
          <w:tcPr>
            <w:tcW w:w="344" w:type="pct"/>
            <w:tcBorders>
              <w:top w:val="single" w:sz="6" w:space="0" w:color="auto"/>
              <w:left w:val="nil"/>
              <w:bottom w:val="single" w:sz="12" w:space="0" w:color="auto"/>
              <w:right w:val="nil"/>
            </w:tcBorders>
            <w:vAlign w:val="bottom"/>
          </w:tcPr>
          <w:p w14:paraId="6B4B9398"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9,765 </w:t>
            </w:r>
          </w:p>
        </w:tc>
        <w:tc>
          <w:tcPr>
            <w:tcW w:w="344" w:type="pct"/>
            <w:tcBorders>
              <w:top w:val="single" w:sz="6" w:space="0" w:color="auto"/>
              <w:left w:val="nil"/>
              <w:bottom w:val="single" w:sz="12" w:space="0" w:color="auto"/>
              <w:right w:val="nil"/>
            </w:tcBorders>
            <w:vAlign w:val="bottom"/>
          </w:tcPr>
          <w:p w14:paraId="4D6A3145"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67,440 </w:t>
            </w:r>
          </w:p>
        </w:tc>
        <w:tc>
          <w:tcPr>
            <w:tcW w:w="343" w:type="pct"/>
            <w:tcBorders>
              <w:top w:val="single" w:sz="6" w:space="0" w:color="auto"/>
              <w:left w:val="nil"/>
              <w:bottom w:val="single" w:sz="12" w:space="0" w:color="auto"/>
              <w:right w:val="nil"/>
            </w:tcBorders>
            <w:vAlign w:val="bottom"/>
          </w:tcPr>
          <w:p w14:paraId="7DF0F210"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 </w:t>
            </w:r>
          </w:p>
        </w:tc>
        <w:tc>
          <w:tcPr>
            <w:tcW w:w="344" w:type="pct"/>
            <w:tcBorders>
              <w:top w:val="single" w:sz="6" w:space="0" w:color="auto"/>
              <w:left w:val="nil"/>
              <w:bottom w:val="single" w:sz="12" w:space="0" w:color="auto"/>
              <w:right w:val="nil"/>
            </w:tcBorders>
            <w:vAlign w:val="bottom"/>
          </w:tcPr>
          <w:p w14:paraId="1F835364"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 </w:t>
            </w:r>
          </w:p>
        </w:tc>
        <w:tc>
          <w:tcPr>
            <w:tcW w:w="343" w:type="pct"/>
            <w:tcBorders>
              <w:top w:val="single" w:sz="6" w:space="0" w:color="auto"/>
              <w:left w:val="nil"/>
              <w:bottom w:val="single" w:sz="12" w:space="0" w:color="auto"/>
              <w:right w:val="nil"/>
            </w:tcBorders>
            <w:vAlign w:val="bottom"/>
          </w:tcPr>
          <w:p w14:paraId="0C22D54F"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649,179 </w:t>
            </w:r>
          </w:p>
        </w:tc>
      </w:tr>
      <w:tr w:rsidR="00587444" w:rsidRPr="00587444" w14:paraId="55151BA6" w14:textId="77777777" w:rsidTr="00DD69E7">
        <w:trPr>
          <w:trHeight w:val="111"/>
          <w:jc w:val="center"/>
        </w:trPr>
        <w:tc>
          <w:tcPr>
            <w:tcW w:w="877" w:type="pct"/>
            <w:vAlign w:val="bottom"/>
          </w:tcPr>
          <w:p w14:paraId="41F704CE" w14:textId="77777777" w:rsidR="00587444" w:rsidRPr="00587444" w:rsidRDefault="00587444" w:rsidP="00587444">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Total credit risk exposure</w:t>
            </w:r>
          </w:p>
        </w:tc>
        <w:tc>
          <w:tcPr>
            <w:tcW w:w="343" w:type="pct"/>
            <w:tcBorders>
              <w:top w:val="nil"/>
              <w:left w:val="nil"/>
              <w:bottom w:val="single" w:sz="12" w:space="0" w:color="auto"/>
              <w:right w:val="nil"/>
            </w:tcBorders>
            <w:shd w:val="clear" w:color="auto" w:fill="auto"/>
            <w:vAlign w:val="bottom"/>
          </w:tcPr>
          <w:p w14:paraId="3C801992"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27,227,972 </w:t>
            </w:r>
          </w:p>
        </w:tc>
        <w:tc>
          <w:tcPr>
            <w:tcW w:w="344" w:type="pct"/>
            <w:tcBorders>
              <w:top w:val="nil"/>
              <w:left w:val="nil"/>
              <w:bottom w:val="single" w:sz="12" w:space="0" w:color="auto"/>
              <w:right w:val="nil"/>
            </w:tcBorders>
            <w:shd w:val="clear" w:color="auto" w:fill="auto"/>
            <w:vAlign w:val="bottom"/>
          </w:tcPr>
          <w:p w14:paraId="1961BB8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1,787,790 </w:t>
            </w:r>
          </w:p>
        </w:tc>
        <w:tc>
          <w:tcPr>
            <w:tcW w:w="344" w:type="pct"/>
            <w:tcBorders>
              <w:top w:val="nil"/>
              <w:left w:val="nil"/>
              <w:bottom w:val="single" w:sz="12" w:space="0" w:color="auto"/>
              <w:right w:val="nil"/>
            </w:tcBorders>
            <w:shd w:val="clear" w:color="auto" w:fill="auto"/>
            <w:vAlign w:val="bottom"/>
          </w:tcPr>
          <w:p w14:paraId="5562DF96"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1,276,590 </w:t>
            </w:r>
          </w:p>
        </w:tc>
        <w:tc>
          <w:tcPr>
            <w:tcW w:w="343" w:type="pct"/>
            <w:tcBorders>
              <w:top w:val="nil"/>
              <w:left w:val="nil"/>
              <w:bottom w:val="single" w:sz="12" w:space="0" w:color="auto"/>
              <w:right w:val="nil"/>
            </w:tcBorders>
            <w:shd w:val="clear" w:color="auto" w:fill="auto"/>
            <w:vAlign w:val="bottom"/>
          </w:tcPr>
          <w:p w14:paraId="4D285F46"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1,309,100 </w:t>
            </w:r>
          </w:p>
        </w:tc>
        <w:tc>
          <w:tcPr>
            <w:tcW w:w="344" w:type="pct"/>
            <w:tcBorders>
              <w:top w:val="nil"/>
              <w:left w:val="nil"/>
              <w:bottom w:val="single" w:sz="12" w:space="0" w:color="auto"/>
              <w:right w:val="nil"/>
            </w:tcBorders>
            <w:shd w:val="clear" w:color="auto" w:fill="auto"/>
            <w:vAlign w:val="bottom"/>
          </w:tcPr>
          <w:p w14:paraId="20DBDBD8"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25,113 </w:t>
            </w:r>
          </w:p>
        </w:tc>
        <w:tc>
          <w:tcPr>
            <w:tcW w:w="344" w:type="pct"/>
            <w:tcBorders>
              <w:top w:val="nil"/>
              <w:left w:val="nil"/>
              <w:bottom w:val="single" w:sz="12" w:space="0" w:color="auto"/>
              <w:right w:val="nil"/>
            </w:tcBorders>
            <w:shd w:val="clear" w:color="auto" w:fill="auto"/>
            <w:vAlign w:val="bottom"/>
          </w:tcPr>
          <w:p w14:paraId="2D8DB806"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31,626,565 </w:t>
            </w:r>
          </w:p>
        </w:tc>
        <w:tc>
          <w:tcPr>
            <w:tcW w:w="343" w:type="pct"/>
            <w:tcBorders>
              <w:top w:val="nil"/>
              <w:left w:val="nil"/>
              <w:bottom w:val="single" w:sz="12" w:space="0" w:color="auto"/>
              <w:right w:val="nil"/>
            </w:tcBorders>
            <w:vAlign w:val="bottom"/>
          </w:tcPr>
          <w:p w14:paraId="30D98DC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5,475,852 </w:t>
            </w:r>
          </w:p>
        </w:tc>
        <w:tc>
          <w:tcPr>
            <w:tcW w:w="344" w:type="pct"/>
            <w:tcBorders>
              <w:top w:val="nil"/>
              <w:left w:val="nil"/>
              <w:bottom w:val="single" w:sz="12" w:space="0" w:color="auto"/>
              <w:right w:val="nil"/>
            </w:tcBorders>
            <w:vAlign w:val="bottom"/>
          </w:tcPr>
          <w:p w14:paraId="251FFB3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150,309 </w:t>
            </w:r>
          </w:p>
        </w:tc>
        <w:tc>
          <w:tcPr>
            <w:tcW w:w="344" w:type="pct"/>
            <w:tcBorders>
              <w:top w:val="nil"/>
              <w:left w:val="nil"/>
              <w:bottom w:val="single" w:sz="12" w:space="0" w:color="auto"/>
              <w:right w:val="nil"/>
            </w:tcBorders>
            <w:vAlign w:val="bottom"/>
          </w:tcPr>
          <w:p w14:paraId="56F4EEC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174,910 </w:t>
            </w:r>
          </w:p>
        </w:tc>
        <w:tc>
          <w:tcPr>
            <w:tcW w:w="343" w:type="pct"/>
            <w:tcBorders>
              <w:top w:val="nil"/>
              <w:left w:val="nil"/>
              <w:bottom w:val="single" w:sz="12" w:space="0" w:color="auto"/>
              <w:right w:val="nil"/>
            </w:tcBorders>
            <w:vAlign w:val="bottom"/>
          </w:tcPr>
          <w:p w14:paraId="0D792FEC"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173,804 </w:t>
            </w:r>
          </w:p>
        </w:tc>
        <w:tc>
          <w:tcPr>
            <w:tcW w:w="344" w:type="pct"/>
            <w:tcBorders>
              <w:top w:val="nil"/>
              <w:left w:val="nil"/>
              <w:bottom w:val="single" w:sz="12" w:space="0" w:color="auto"/>
              <w:right w:val="nil"/>
            </w:tcBorders>
            <w:vAlign w:val="bottom"/>
          </w:tcPr>
          <w:p w14:paraId="7D302C3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 </w:t>
            </w:r>
          </w:p>
        </w:tc>
        <w:tc>
          <w:tcPr>
            <w:tcW w:w="343" w:type="pct"/>
            <w:tcBorders>
              <w:top w:val="nil"/>
              <w:left w:val="nil"/>
              <w:bottom w:val="single" w:sz="12" w:space="0" w:color="auto"/>
              <w:right w:val="nil"/>
            </w:tcBorders>
            <w:vAlign w:val="bottom"/>
          </w:tcPr>
          <w:p w14:paraId="3C1D8F74"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eastAsia="Calibri" w:hAnsi="Arial" w:cs="Arial"/>
                <w:b/>
                <w:bCs/>
                <w:color w:val="000000"/>
                <w:sz w:val="14"/>
                <w:szCs w:val="14"/>
                <w:lang w:val="hr-HR"/>
              </w:rPr>
              <w:t xml:space="preserve"> 5,974,875 </w:t>
            </w:r>
          </w:p>
        </w:tc>
      </w:tr>
      <w:bookmarkEnd w:id="1147"/>
    </w:tbl>
    <w:p w14:paraId="25D28639" w14:textId="77777777" w:rsidR="00587444" w:rsidRPr="00587444" w:rsidRDefault="00587444" w:rsidP="00587444">
      <w:pPr>
        <w:suppressAutoHyphens w:val="0"/>
        <w:autoSpaceDN/>
        <w:jc w:val="both"/>
        <w:rPr>
          <w:rFonts w:ascii="Arial" w:eastAsia="Calibri" w:hAnsi="Arial" w:cs="Arial"/>
          <w:sz w:val="20"/>
          <w:szCs w:val="20"/>
        </w:rPr>
      </w:pPr>
    </w:p>
    <w:p w14:paraId="18740729" w14:textId="77777777" w:rsidR="00587444" w:rsidRPr="00587444" w:rsidRDefault="00587444" w:rsidP="00587444">
      <w:pPr>
        <w:suppressAutoHyphens w:val="0"/>
        <w:autoSpaceDN/>
        <w:jc w:val="both"/>
        <w:rPr>
          <w:rFonts w:ascii="Arial" w:eastAsia="Calibri" w:hAnsi="Arial" w:cs="Arial"/>
          <w:sz w:val="20"/>
          <w:szCs w:val="20"/>
        </w:rPr>
      </w:pPr>
    </w:p>
    <w:p w14:paraId="36436A31"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D69E7">
          <w:pgSz w:w="16840" w:h="11907" w:orient="landscape" w:code="9"/>
          <w:pgMar w:top="1418" w:right="1418" w:bottom="1134" w:left="1134" w:header="851" w:footer="851" w:gutter="0"/>
          <w:cols w:space="720"/>
          <w:noEndnote/>
          <w:docGrid w:linePitch="326"/>
        </w:sectPr>
      </w:pPr>
    </w:p>
    <w:p w14:paraId="534D996A" w14:textId="77777777" w:rsidR="00587444" w:rsidRPr="00587444" w:rsidRDefault="00587444" w:rsidP="00587444">
      <w:pPr>
        <w:suppressAutoHyphens w:val="0"/>
        <w:autoSpaceDN/>
        <w:jc w:val="both"/>
        <w:rPr>
          <w:rFonts w:ascii="Arial" w:hAnsi="Arial" w:cs="Arial"/>
          <w:b/>
          <w:bCs/>
          <w:sz w:val="20"/>
          <w:szCs w:val="20"/>
          <w:lang w:val="en-GB"/>
        </w:rPr>
      </w:pPr>
    </w:p>
    <w:p w14:paraId="63035983"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128DE6E9" w14:textId="77777777" w:rsidR="00587444" w:rsidRPr="00587444" w:rsidRDefault="00587444" w:rsidP="00587444">
      <w:pPr>
        <w:suppressAutoHyphens w:val="0"/>
        <w:autoSpaceDN/>
        <w:jc w:val="both"/>
        <w:rPr>
          <w:rFonts w:ascii="Arial" w:hAnsi="Arial" w:cs="Arial"/>
          <w:b/>
          <w:sz w:val="20"/>
          <w:szCs w:val="20"/>
          <w:lang w:val="en-GB"/>
        </w:rPr>
      </w:pPr>
    </w:p>
    <w:p w14:paraId="68E036D5"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CA48070" w14:textId="77777777" w:rsidR="00587444" w:rsidRPr="00587444" w:rsidRDefault="00587444" w:rsidP="00587444">
      <w:pPr>
        <w:suppressAutoHyphens w:val="0"/>
        <w:autoSpaceDN/>
        <w:rPr>
          <w:rFonts w:ascii="Arial" w:hAnsi="Arial" w:cs="Arial"/>
          <w:b/>
          <w:sz w:val="20"/>
          <w:szCs w:val="20"/>
          <w:lang w:val="en-GB"/>
        </w:rPr>
      </w:pPr>
    </w:p>
    <w:p w14:paraId="4DE03A94" w14:textId="77777777" w:rsidR="00587444" w:rsidRPr="00587444" w:rsidRDefault="00587444" w:rsidP="00587444">
      <w:pPr>
        <w:suppressAutoHyphens w:val="0"/>
        <w:autoSpaceDN/>
        <w:rPr>
          <w:rFonts w:ascii="Arial" w:hAnsi="Arial" w:cs="Arial"/>
          <w:b/>
          <w:sz w:val="20"/>
          <w:szCs w:val="20"/>
          <w:lang w:val="en-GB"/>
        </w:rPr>
      </w:pPr>
      <w:r w:rsidRPr="00587444">
        <w:rPr>
          <w:rFonts w:ascii="Arial" w:hAnsi="Arial" w:cs="Arial"/>
          <w:b/>
          <w:sz w:val="20"/>
          <w:szCs w:val="20"/>
          <w:lang w:val="en-GB"/>
        </w:rPr>
        <w:t>Credit risk quality according to type of financial assets (continued)</w:t>
      </w:r>
    </w:p>
    <w:p w14:paraId="2E341D34" w14:textId="77777777" w:rsidR="00587444" w:rsidRPr="00587444" w:rsidRDefault="00587444" w:rsidP="00587444">
      <w:pPr>
        <w:suppressAutoHyphens w:val="0"/>
        <w:autoSpaceDN/>
        <w:jc w:val="both"/>
        <w:rPr>
          <w:rFonts w:ascii="Arial" w:hAnsi="Arial" w:cs="Arial"/>
          <w:b/>
          <w:bCs/>
          <w:sz w:val="20"/>
          <w:szCs w:val="20"/>
          <w:lang w:val="en-GB"/>
        </w:rPr>
      </w:pPr>
    </w:p>
    <w:p w14:paraId="20511AC6" w14:textId="77777777"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Credit risk analysis, net exposure, before and after the effect of mitigation through collateral received, according to the type of financial assets on positions of assets and guarantees and commitments by risk category, is as follows:</w:t>
      </w:r>
    </w:p>
    <w:p w14:paraId="627CF153" w14:textId="77777777" w:rsidR="00587444" w:rsidRPr="00587444" w:rsidRDefault="00587444" w:rsidP="00587444">
      <w:pPr>
        <w:suppressAutoHyphens w:val="0"/>
        <w:autoSpaceDN/>
        <w:jc w:val="both"/>
        <w:rPr>
          <w:rFonts w:ascii="Arial" w:eastAsia="Calibri" w:hAnsi="Arial" w:cs="Arial"/>
          <w:sz w:val="20"/>
          <w:szCs w:val="20"/>
        </w:rPr>
      </w:pPr>
    </w:p>
    <w:tbl>
      <w:tblPr>
        <w:tblW w:w="5223" w:type="pct"/>
        <w:jc w:val="center"/>
        <w:tblLayout w:type="fixed"/>
        <w:tblLook w:val="0000" w:firstRow="0" w:lastRow="0" w:firstColumn="0" w:lastColumn="0" w:noHBand="0" w:noVBand="0"/>
      </w:tblPr>
      <w:tblGrid>
        <w:gridCol w:w="2658"/>
        <w:gridCol w:w="1040"/>
        <w:gridCol w:w="1043"/>
        <w:gridCol w:w="1043"/>
        <w:gridCol w:w="1040"/>
        <w:gridCol w:w="1042"/>
        <w:gridCol w:w="1042"/>
        <w:gridCol w:w="1039"/>
        <w:gridCol w:w="1042"/>
        <w:gridCol w:w="1042"/>
        <w:gridCol w:w="1039"/>
        <w:gridCol w:w="1042"/>
        <w:gridCol w:w="1039"/>
      </w:tblGrid>
      <w:tr w:rsidR="00587444" w:rsidRPr="00587444" w14:paraId="3C0AABA9" w14:textId="77777777" w:rsidTr="00DD69E7">
        <w:trPr>
          <w:trHeight w:val="1454"/>
          <w:jc w:val="center"/>
        </w:trPr>
        <w:tc>
          <w:tcPr>
            <w:tcW w:w="877" w:type="pct"/>
          </w:tcPr>
          <w:p w14:paraId="6E42DD5C" w14:textId="77777777" w:rsidR="00587444" w:rsidRPr="00587444" w:rsidRDefault="00587444" w:rsidP="00587444">
            <w:pPr>
              <w:suppressAutoHyphens w:val="0"/>
              <w:autoSpaceDN/>
              <w:rPr>
                <w:rFonts w:ascii="Arial" w:eastAsia="Calibri" w:hAnsi="Arial" w:cs="Arial"/>
                <w:b/>
                <w:bCs/>
                <w:sz w:val="14"/>
                <w:szCs w:val="14"/>
                <w:lang w:val="en-GB"/>
              </w:rPr>
            </w:pPr>
            <w:r w:rsidRPr="00587444">
              <w:rPr>
                <w:rFonts w:ascii="Arial" w:eastAsia="Calibri" w:hAnsi="Arial" w:cs="Arial"/>
                <w:b/>
                <w:bCs/>
                <w:sz w:val="14"/>
                <w:szCs w:val="14"/>
                <w:lang w:val="en-GB"/>
              </w:rPr>
              <w:br w:type="page"/>
              <w:t>Bank</w:t>
            </w:r>
          </w:p>
          <w:p w14:paraId="1632F4F5" w14:textId="77777777" w:rsidR="00587444" w:rsidRPr="00587444" w:rsidRDefault="00587444" w:rsidP="00587444">
            <w:pPr>
              <w:suppressAutoHyphens w:val="0"/>
              <w:autoSpaceDN/>
              <w:rPr>
                <w:rFonts w:ascii="Arial" w:eastAsia="Calibri" w:hAnsi="Arial" w:cs="Arial"/>
                <w:b/>
                <w:bCs/>
                <w:sz w:val="14"/>
                <w:szCs w:val="14"/>
                <w:lang w:val="en-GB"/>
              </w:rPr>
            </w:pPr>
          </w:p>
          <w:p w14:paraId="3BEC0916" w14:textId="77777777" w:rsidR="00587444" w:rsidRPr="00587444" w:rsidRDefault="00587444" w:rsidP="00587444">
            <w:pPr>
              <w:suppressAutoHyphens w:val="0"/>
              <w:autoSpaceDN/>
              <w:rPr>
                <w:rFonts w:ascii="Arial" w:eastAsia="Calibri" w:hAnsi="Arial" w:cs="Arial"/>
                <w:sz w:val="14"/>
                <w:szCs w:val="14"/>
                <w:lang w:val="en-GB"/>
              </w:rPr>
            </w:pPr>
            <w:r w:rsidRPr="00587444">
              <w:rPr>
                <w:rFonts w:ascii="Arial" w:eastAsia="Calibri" w:hAnsi="Arial" w:cs="Arial"/>
                <w:b/>
                <w:bCs/>
                <w:sz w:val="14"/>
                <w:szCs w:val="14"/>
                <w:lang w:val="en-GB"/>
              </w:rPr>
              <w:t>31 December 2021</w:t>
            </w:r>
          </w:p>
        </w:tc>
        <w:tc>
          <w:tcPr>
            <w:tcW w:w="343" w:type="pct"/>
            <w:vAlign w:val="bottom"/>
          </w:tcPr>
          <w:p w14:paraId="69255FAA"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59D3F252"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1</w:t>
            </w:r>
          </w:p>
        </w:tc>
        <w:tc>
          <w:tcPr>
            <w:tcW w:w="344" w:type="pct"/>
            <w:vAlign w:val="bottom"/>
          </w:tcPr>
          <w:p w14:paraId="33040D68"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3D830B8C"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2</w:t>
            </w:r>
          </w:p>
        </w:tc>
        <w:tc>
          <w:tcPr>
            <w:tcW w:w="344" w:type="pct"/>
            <w:vAlign w:val="bottom"/>
          </w:tcPr>
          <w:p w14:paraId="675EDF9C"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3DB55723"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3</w:t>
            </w:r>
          </w:p>
        </w:tc>
        <w:tc>
          <w:tcPr>
            <w:tcW w:w="343" w:type="pct"/>
            <w:vAlign w:val="bottom"/>
          </w:tcPr>
          <w:p w14:paraId="70DCB008"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5D5A0656"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of risk POCI</w:t>
            </w:r>
          </w:p>
        </w:tc>
        <w:tc>
          <w:tcPr>
            <w:tcW w:w="344" w:type="pct"/>
            <w:vAlign w:val="bottom"/>
          </w:tcPr>
          <w:p w14:paraId="61B1EC94"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eastAsia="Calibri" w:hAnsi="Arial" w:cs="Arial"/>
                <w:b/>
                <w:sz w:val="14"/>
                <w:szCs w:val="14"/>
                <w:lang w:val="en-GB"/>
              </w:rPr>
              <w:t>Not subject to IFRS 9</w:t>
            </w:r>
          </w:p>
        </w:tc>
        <w:tc>
          <w:tcPr>
            <w:tcW w:w="344" w:type="pct"/>
            <w:vAlign w:val="bottom"/>
          </w:tcPr>
          <w:p w14:paraId="43DA61B8"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5525B072"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01CDD3B8" w14:textId="2BE3970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portfolio</w:t>
            </w:r>
          </w:p>
        </w:tc>
        <w:tc>
          <w:tcPr>
            <w:tcW w:w="343" w:type="pct"/>
            <w:vAlign w:val="bottom"/>
          </w:tcPr>
          <w:p w14:paraId="6FAC437B"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7566ACA9"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7382BA5D"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503FE72D" w14:textId="7EFAB871" w:rsidR="00587444" w:rsidRPr="00587444" w:rsidRDefault="00587444"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effect of mitigation through collateral received Stage 1</w:t>
            </w:r>
          </w:p>
        </w:tc>
        <w:tc>
          <w:tcPr>
            <w:tcW w:w="344" w:type="pct"/>
            <w:vAlign w:val="bottom"/>
          </w:tcPr>
          <w:p w14:paraId="6BD0B6A8"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2A690856"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14EB0766"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3E947F12" w14:textId="1A71A59C" w:rsidR="00587444" w:rsidRPr="00587444" w:rsidRDefault="00587444"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effect of mitigation through collateral received Stage 2</w:t>
            </w:r>
          </w:p>
        </w:tc>
        <w:tc>
          <w:tcPr>
            <w:tcW w:w="344" w:type="pct"/>
            <w:vAlign w:val="bottom"/>
          </w:tcPr>
          <w:p w14:paraId="46C30E6E"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51DF09CA"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0C21ED98"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61DB9839" w14:textId="74877860" w:rsidR="00587444" w:rsidRPr="00587444" w:rsidRDefault="00587444"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effect of mitigation through collateral received Stage 3</w:t>
            </w:r>
          </w:p>
        </w:tc>
        <w:tc>
          <w:tcPr>
            <w:tcW w:w="343" w:type="pct"/>
            <w:vAlign w:val="bottom"/>
          </w:tcPr>
          <w:p w14:paraId="6785E2BA"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47441C0B"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3676EDAB"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406BB5DF" w14:textId="1AF4A552" w:rsidR="00587444" w:rsidRPr="00587444" w:rsidRDefault="00587444"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effect of mitigation through collateral received POCI</w:t>
            </w:r>
          </w:p>
        </w:tc>
        <w:tc>
          <w:tcPr>
            <w:tcW w:w="344" w:type="pct"/>
            <w:vAlign w:val="bottom"/>
          </w:tcPr>
          <w:p w14:paraId="0DA68524"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Not subject to IFRS 9 after the </w:t>
            </w:r>
          </w:p>
          <w:p w14:paraId="7F2D0CD1" w14:textId="0B88796A"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effect of mitigation through</w:t>
            </w:r>
          </w:p>
          <w:p w14:paraId="7E51A1D6" w14:textId="77777777" w:rsidR="00587444" w:rsidRPr="00587444" w:rsidRDefault="00587444"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collateral received</w:t>
            </w:r>
          </w:p>
        </w:tc>
        <w:tc>
          <w:tcPr>
            <w:tcW w:w="343" w:type="pct"/>
            <w:vAlign w:val="bottom"/>
          </w:tcPr>
          <w:p w14:paraId="06C37544"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3FB58BA7"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569CCECE"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portfolio </w:t>
            </w:r>
          </w:p>
          <w:p w14:paraId="725AC8AD" w14:textId="77777777" w:rsidR="00175A91"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after the</w:t>
            </w:r>
          </w:p>
          <w:p w14:paraId="1CBA8EF2" w14:textId="58B6A813" w:rsidR="00587444" w:rsidRPr="00587444" w:rsidRDefault="00587444"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effect of mitigation through collateral received </w:t>
            </w:r>
          </w:p>
        </w:tc>
      </w:tr>
      <w:tr w:rsidR="00587444" w:rsidRPr="00587444" w14:paraId="24010A98" w14:textId="77777777" w:rsidTr="00DD69E7">
        <w:trPr>
          <w:trHeight w:val="126"/>
          <w:jc w:val="center"/>
        </w:trPr>
        <w:tc>
          <w:tcPr>
            <w:tcW w:w="877" w:type="pct"/>
          </w:tcPr>
          <w:p w14:paraId="006852C2" w14:textId="77777777" w:rsidR="00587444" w:rsidRPr="00587444" w:rsidRDefault="00587444" w:rsidP="00587444">
            <w:pPr>
              <w:suppressAutoHyphens w:val="0"/>
              <w:autoSpaceDN/>
              <w:rPr>
                <w:rFonts w:ascii="Arial" w:eastAsia="Calibri" w:hAnsi="Arial" w:cs="Arial"/>
                <w:b/>
                <w:bCs/>
                <w:sz w:val="14"/>
                <w:szCs w:val="14"/>
                <w:lang w:val="en-GB"/>
              </w:rPr>
            </w:pPr>
          </w:p>
        </w:tc>
        <w:tc>
          <w:tcPr>
            <w:tcW w:w="343" w:type="pct"/>
          </w:tcPr>
          <w:p w14:paraId="3D3B8038"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4" w:type="pct"/>
          </w:tcPr>
          <w:p w14:paraId="2EB2B079"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4" w:type="pct"/>
          </w:tcPr>
          <w:p w14:paraId="1828E8CD"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3" w:type="pct"/>
          </w:tcPr>
          <w:p w14:paraId="7477C7F4"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4" w:type="pct"/>
          </w:tcPr>
          <w:p w14:paraId="323EC06C"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4" w:type="pct"/>
          </w:tcPr>
          <w:p w14:paraId="2C68AE8D"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3" w:type="pct"/>
          </w:tcPr>
          <w:p w14:paraId="46FD1D5B"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4" w:type="pct"/>
          </w:tcPr>
          <w:p w14:paraId="775C067E"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4" w:type="pct"/>
          </w:tcPr>
          <w:p w14:paraId="20721932"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3" w:type="pct"/>
          </w:tcPr>
          <w:p w14:paraId="543D4BBC"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4" w:type="pct"/>
          </w:tcPr>
          <w:p w14:paraId="4E8F4A75"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c>
          <w:tcPr>
            <w:tcW w:w="343" w:type="pct"/>
          </w:tcPr>
          <w:p w14:paraId="6A283834" w14:textId="77777777" w:rsidR="00587444" w:rsidRPr="00587444" w:rsidRDefault="00587444"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HRK ‘000</w:t>
            </w:r>
          </w:p>
        </w:tc>
      </w:tr>
      <w:tr w:rsidR="00587444" w:rsidRPr="00587444" w14:paraId="00815719" w14:textId="77777777" w:rsidTr="00DD69E7">
        <w:trPr>
          <w:trHeight w:val="92"/>
          <w:jc w:val="center"/>
        </w:trPr>
        <w:tc>
          <w:tcPr>
            <w:tcW w:w="877" w:type="pct"/>
          </w:tcPr>
          <w:p w14:paraId="57002BAE"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Assets</w:t>
            </w:r>
          </w:p>
        </w:tc>
        <w:tc>
          <w:tcPr>
            <w:tcW w:w="343" w:type="pct"/>
            <w:vAlign w:val="bottom"/>
          </w:tcPr>
          <w:p w14:paraId="3C98907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4" w:type="pct"/>
            <w:vAlign w:val="bottom"/>
          </w:tcPr>
          <w:p w14:paraId="43EB38C4"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4" w:type="pct"/>
            <w:vAlign w:val="bottom"/>
          </w:tcPr>
          <w:p w14:paraId="31ED83A2"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3" w:type="pct"/>
            <w:vAlign w:val="bottom"/>
          </w:tcPr>
          <w:p w14:paraId="7FDF9BD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4" w:type="pct"/>
            <w:vAlign w:val="bottom"/>
          </w:tcPr>
          <w:p w14:paraId="4069831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4" w:type="pct"/>
            <w:vAlign w:val="bottom"/>
          </w:tcPr>
          <w:p w14:paraId="2AD694AC"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3" w:type="pct"/>
            <w:vAlign w:val="bottom"/>
          </w:tcPr>
          <w:p w14:paraId="05124E6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4" w:type="pct"/>
            <w:vAlign w:val="bottom"/>
          </w:tcPr>
          <w:p w14:paraId="2A555BB8"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4" w:type="pct"/>
            <w:vAlign w:val="bottom"/>
          </w:tcPr>
          <w:p w14:paraId="27AC6714"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3" w:type="pct"/>
            <w:vAlign w:val="bottom"/>
          </w:tcPr>
          <w:p w14:paraId="1BFB3DD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4" w:type="pct"/>
            <w:vAlign w:val="bottom"/>
          </w:tcPr>
          <w:p w14:paraId="107F1C5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c>
          <w:tcPr>
            <w:tcW w:w="343" w:type="pct"/>
            <w:vAlign w:val="bottom"/>
          </w:tcPr>
          <w:p w14:paraId="776F364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p>
        </w:tc>
      </w:tr>
      <w:tr w:rsidR="00587444" w:rsidRPr="00587444" w14:paraId="7DA3E683" w14:textId="77777777" w:rsidTr="00DD69E7">
        <w:trPr>
          <w:trHeight w:val="149"/>
          <w:jc w:val="center"/>
        </w:trPr>
        <w:tc>
          <w:tcPr>
            <w:tcW w:w="877" w:type="pct"/>
            <w:vAlign w:val="bottom"/>
          </w:tcPr>
          <w:p w14:paraId="7CF71ABE"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Cash on hand and current accounts with banks</w:t>
            </w:r>
          </w:p>
        </w:tc>
        <w:tc>
          <w:tcPr>
            <w:tcW w:w="343" w:type="pct"/>
            <w:tcBorders>
              <w:top w:val="nil"/>
              <w:left w:val="nil"/>
              <w:bottom w:val="nil"/>
              <w:right w:val="nil"/>
            </w:tcBorders>
            <w:shd w:val="clear" w:color="auto" w:fill="auto"/>
            <w:vAlign w:val="bottom"/>
          </w:tcPr>
          <w:p w14:paraId="2EC9E1DD"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1,958,619 </w:t>
            </w:r>
          </w:p>
        </w:tc>
        <w:tc>
          <w:tcPr>
            <w:tcW w:w="344" w:type="pct"/>
            <w:tcBorders>
              <w:top w:val="nil"/>
              <w:left w:val="nil"/>
              <w:bottom w:val="nil"/>
              <w:right w:val="nil"/>
            </w:tcBorders>
            <w:shd w:val="clear" w:color="auto" w:fill="auto"/>
            <w:vAlign w:val="bottom"/>
          </w:tcPr>
          <w:p w14:paraId="11EA9D73"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70A70729"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3" w:type="pct"/>
            <w:tcBorders>
              <w:top w:val="nil"/>
              <w:left w:val="nil"/>
              <w:bottom w:val="nil"/>
              <w:right w:val="nil"/>
            </w:tcBorders>
            <w:shd w:val="clear" w:color="auto" w:fill="auto"/>
            <w:vAlign w:val="bottom"/>
          </w:tcPr>
          <w:p w14:paraId="52CAAD8C"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4470C53A"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354B1518"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1,958,619 </w:t>
            </w:r>
          </w:p>
        </w:tc>
        <w:tc>
          <w:tcPr>
            <w:tcW w:w="343" w:type="pct"/>
            <w:tcBorders>
              <w:top w:val="nil"/>
              <w:left w:val="nil"/>
              <w:bottom w:val="nil"/>
              <w:right w:val="nil"/>
            </w:tcBorders>
            <w:vAlign w:val="bottom"/>
          </w:tcPr>
          <w:p w14:paraId="1C74F716"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4E37D7C4"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4F5D4CB3"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3" w:type="pct"/>
            <w:tcBorders>
              <w:top w:val="nil"/>
              <w:left w:val="nil"/>
              <w:bottom w:val="nil"/>
              <w:right w:val="nil"/>
            </w:tcBorders>
            <w:vAlign w:val="bottom"/>
          </w:tcPr>
          <w:p w14:paraId="49544857"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41681F3A"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3" w:type="pct"/>
            <w:tcBorders>
              <w:top w:val="nil"/>
              <w:left w:val="nil"/>
              <w:bottom w:val="nil"/>
              <w:right w:val="nil"/>
            </w:tcBorders>
            <w:vAlign w:val="bottom"/>
          </w:tcPr>
          <w:p w14:paraId="5282C3F1"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r>
      <w:tr w:rsidR="00587444" w:rsidRPr="00587444" w14:paraId="55026A79" w14:textId="77777777" w:rsidTr="00DD69E7">
        <w:trPr>
          <w:trHeight w:val="149"/>
          <w:jc w:val="center"/>
        </w:trPr>
        <w:tc>
          <w:tcPr>
            <w:tcW w:w="877" w:type="pct"/>
            <w:vAlign w:val="bottom"/>
          </w:tcPr>
          <w:p w14:paraId="13CF3A5C"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Deposits with other banks</w:t>
            </w:r>
          </w:p>
        </w:tc>
        <w:tc>
          <w:tcPr>
            <w:tcW w:w="343" w:type="pct"/>
            <w:tcBorders>
              <w:top w:val="nil"/>
              <w:left w:val="nil"/>
              <w:bottom w:val="nil"/>
              <w:right w:val="nil"/>
            </w:tcBorders>
            <w:shd w:val="clear" w:color="auto" w:fill="auto"/>
            <w:vAlign w:val="bottom"/>
          </w:tcPr>
          <w:p w14:paraId="0FFE9E30"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7,500 </w:t>
            </w:r>
          </w:p>
        </w:tc>
        <w:tc>
          <w:tcPr>
            <w:tcW w:w="344" w:type="pct"/>
            <w:tcBorders>
              <w:top w:val="nil"/>
              <w:left w:val="nil"/>
              <w:bottom w:val="nil"/>
              <w:right w:val="nil"/>
            </w:tcBorders>
            <w:shd w:val="clear" w:color="auto" w:fill="auto"/>
            <w:vAlign w:val="bottom"/>
          </w:tcPr>
          <w:p w14:paraId="360744D8"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4FE8EF28"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3" w:type="pct"/>
            <w:tcBorders>
              <w:top w:val="nil"/>
              <w:left w:val="nil"/>
              <w:bottom w:val="nil"/>
              <w:right w:val="nil"/>
            </w:tcBorders>
            <w:shd w:val="clear" w:color="auto" w:fill="auto"/>
            <w:vAlign w:val="bottom"/>
          </w:tcPr>
          <w:p w14:paraId="362B9F75"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429121BF"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54C878D9"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7,500 </w:t>
            </w:r>
          </w:p>
        </w:tc>
        <w:tc>
          <w:tcPr>
            <w:tcW w:w="343" w:type="pct"/>
            <w:tcBorders>
              <w:top w:val="nil"/>
              <w:left w:val="nil"/>
              <w:bottom w:val="nil"/>
              <w:right w:val="nil"/>
            </w:tcBorders>
            <w:vAlign w:val="bottom"/>
          </w:tcPr>
          <w:p w14:paraId="29D0FC38"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5168AC96"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37B1D1D5"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3" w:type="pct"/>
            <w:tcBorders>
              <w:top w:val="nil"/>
              <w:left w:val="nil"/>
              <w:bottom w:val="nil"/>
              <w:right w:val="nil"/>
            </w:tcBorders>
            <w:vAlign w:val="bottom"/>
          </w:tcPr>
          <w:p w14:paraId="3BCB9BF7"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0D2B266E"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3" w:type="pct"/>
            <w:tcBorders>
              <w:top w:val="nil"/>
              <w:left w:val="nil"/>
              <w:bottom w:val="nil"/>
              <w:right w:val="nil"/>
            </w:tcBorders>
            <w:vAlign w:val="bottom"/>
          </w:tcPr>
          <w:p w14:paraId="4B6DF951"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r>
      <w:tr w:rsidR="00587444" w:rsidRPr="00587444" w14:paraId="131C4927" w14:textId="77777777" w:rsidTr="00DD69E7">
        <w:trPr>
          <w:trHeight w:val="114"/>
          <w:jc w:val="center"/>
        </w:trPr>
        <w:tc>
          <w:tcPr>
            <w:tcW w:w="877" w:type="pct"/>
            <w:vAlign w:val="bottom"/>
          </w:tcPr>
          <w:p w14:paraId="58BB79D3"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financial institutions</w:t>
            </w:r>
          </w:p>
        </w:tc>
        <w:tc>
          <w:tcPr>
            <w:tcW w:w="343" w:type="pct"/>
            <w:tcBorders>
              <w:top w:val="nil"/>
              <w:left w:val="nil"/>
              <w:bottom w:val="nil"/>
              <w:right w:val="nil"/>
            </w:tcBorders>
            <w:shd w:val="clear" w:color="auto" w:fill="auto"/>
            <w:vAlign w:val="bottom"/>
          </w:tcPr>
          <w:p w14:paraId="2B3D73A3"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6,865,821 </w:t>
            </w:r>
          </w:p>
        </w:tc>
        <w:tc>
          <w:tcPr>
            <w:tcW w:w="344" w:type="pct"/>
            <w:tcBorders>
              <w:top w:val="nil"/>
              <w:left w:val="nil"/>
              <w:bottom w:val="nil"/>
              <w:right w:val="nil"/>
            </w:tcBorders>
            <w:shd w:val="clear" w:color="auto" w:fill="auto"/>
            <w:vAlign w:val="bottom"/>
          </w:tcPr>
          <w:p w14:paraId="6F8A01D7"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180,760 </w:t>
            </w:r>
          </w:p>
        </w:tc>
        <w:tc>
          <w:tcPr>
            <w:tcW w:w="344" w:type="pct"/>
            <w:tcBorders>
              <w:top w:val="nil"/>
              <w:left w:val="nil"/>
              <w:bottom w:val="nil"/>
              <w:right w:val="nil"/>
            </w:tcBorders>
            <w:shd w:val="clear" w:color="auto" w:fill="auto"/>
            <w:vAlign w:val="bottom"/>
          </w:tcPr>
          <w:p w14:paraId="1C7575D7"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3,562 </w:t>
            </w:r>
          </w:p>
        </w:tc>
        <w:tc>
          <w:tcPr>
            <w:tcW w:w="343" w:type="pct"/>
            <w:tcBorders>
              <w:top w:val="nil"/>
              <w:left w:val="nil"/>
              <w:bottom w:val="nil"/>
              <w:right w:val="nil"/>
            </w:tcBorders>
            <w:shd w:val="clear" w:color="auto" w:fill="auto"/>
            <w:vAlign w:val="bottom"/>
          </w:tcPr>
          <w:p w14:paraId="61367FC3"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02D040B3"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0A4EB2E0"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7,050,143 </w:t>
            </w:r>
          </w:p>
        </w:tc>
        <w:tc>
          <w:tcPr>
            <w:tcW w:w="343" w:type="pct"/>
            <w:tcBorders>
              <w:top w:val="nil"/>
              <w:left w:val="nil"/>
              <w:bottom w:val="nil"/>
              <w:right w:val="nil"/>
            </w:tcBorders>
            <w:vAlign w:val="bottom"/>
          </w:tcPr>
          <w:p w14:paraId="0830F66D"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596A5CCC"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6076EB4E"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3" w:type="pct"/>
            <w:tcBorders>
              <w:top w:val="nil"/>
              <w:left w:val="nil"/>
              <w:bottom w:val="nil"/>
              <w:right w:val="nil"/>
            </w:tcBorders>
            <w:vAlign w:val="bottom"/>
          </w:tcPr>
          <w:p w14:paraId="4D2E098B"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7A30FD26"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3" w:type="pct"/>
            <w:tcBorders>
              <w:top w:val="nil"/>
              <w:left w:val="nil"/>
              <w:bottom w:val="nil"/>
              <w:right w:val="nil"/>
            </w:tcBorders>
            <w:vAlign w:val="bottom"/>
          </w:tcPr>
          <w:p w14:paraId="446C8AF9"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r>
      <w:tr w:rsidR="00587444" w:rsidRPr="00587444" w14:paraId="30071C84" w14:textId="77777777" w:rsidTr="00DD69E7">
        <w:trPr>
          <w:trHeight w:val="149"/>
          <w:jc w:val="center"/>
        </w:trPr>
        <w:tc>
          <w:tcPr>
            <w:tcW w:w="877" w:type="pct"/>
            <w:vAlign w:val="bottom"/>
          </w:tcPr>
          <w:p w14:paraId="3F2F16B7"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other customers</w:t>
            </w:r>
          </w:p>
        </w:tc>
        <w:tc>
          <w:tcPr>
            <w:tcW w:w="343" w:type="pct"/>
            <w:tcBorders>
              <w:top w:val="nil"/>
              <w:left w:val="nil"/>
              <w:bottom w:val="nil"/>
              <w:right w:val="nil"/>
            </w:tcBorders>
            <w:shd w:val="clear" w:color="auto" w:fill="auto"/>
            <w:vAlign w:val="bottom"/>
          </w:tcPr>
          <w:p w14:paraId="0C873124"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12,779,081 </w:t>
            </w:r>
          </w:p>
        </w:tc>
        <w:tc>
          <w:tcPr>
            <w:tcW w:w="344" w:type="pct"/>
            <w:tcBorders>
              <w:top w:val="nil"/>
              <w:left w:val="nil"/>
              <w:bottom w:val="nil"/>
              <w:right w:val="nil"/>
            </w:tcBorders>
            <w:shd w:val="clear" w:color="auto" w:fill="auto"/>
            <w:vAlign w:val="bottom"/>
          </w:tcPr>
          <w:p w14:paraId="3974F092"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827,965 </w:t>
            </w:r>
          </w:p>
        </w:tc>
        <w:tc>
          <w:tcPr>
            <w:tcW w:w="344" w:type="pct"/>
            <w:tcBorders>
              <w:top w:val="nil"/>
              <w:left w:val="nil"/>
              <w:bottom w:val="nil"/>
              <w:right w:val="nil"/>
            </w:tcBorders>
            <w:shd w:val="clear" w:color="auto" w:fill="auto"/>
            <w:vAlign w:val="bottom"/>
          </w:tcPr>
          <w:p w14:paraId="563DD73F"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1,163,771 </w:t>
            </w:r>
          </w:p>
        </w:tc>
        <w:tc>
          <w:tcPr>
            <w:tcW w:w="343" w:type="pct"/>
            <w:tcBorders>
              <w:top w:val="nil"/>
              <w:left w:val="nil"/>
              <w:bottom w:val="nil"/>
              <w:right w:val="nil"/>
            </w:tcBorders>
            <w:shd w:val="clear" w:color="auto" w:fill="auto"/>
            <w:vAlign w:val="bottom"/>
          </w:tcPr>
          <w:p w14:paraId="1D776D4C"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1,193,559 </w:t>
            </w:r>
          </w:p>
        </w:tc>
        <w:tc>
          <w:tcPr>
            <w:tcW w:w="344" w:type="pct"/>
            <w:tcBorders>
              <w:top w:val="nil"/>
              <w:left w:val="nil"/>
              <w:bottom w:val="nil"/>
              <w:right w:val="nil"/>
            </w:tcBorders>
            <w:shd w:val="clear" w:color="auto" w:fill="auto"/>
            <w:vAlign w:val="bottom"/>
          </w:tcPr>
          <w:p w14:paraId="09A8B52F"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283B84DF"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15,964,376 </w:t>
            </w:r>
          </w:p>
        </w:tc>
        <w:tc>
          <w:tcPr>
            <w:tcW w:w="343" w:type="pct"/>
            <w:tcBorders>
              <w:top w:val="nil"/>
              <w:left w:val="nil"/>
              <w:bottom w:val="nil"/>
              <w:right w:val="nil"/>
            </w:tcBorders>
            <w:vAlign w:val="bottom"/>
          </w:tcPr>
          <w:p w14:paraId="0E652CB7"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2,855,314 </w:t>
            </w:r>
          </w:p>
        </w:tc>
        <w:tc>
          <w:tcPr>
            <w:tcW w:w="344" w:type="pct"/>
            <w:tcBorders>
              <w:top w:val="nil"/>
              <w:left w:val="nil"/>
              <w:bottom w:val="nil"/>
              <w:right w:val="nil"/>
            </w:tcBorders>
            <w:vAlign w:val="bottom"/>
          </w:tcPr>
          <w:p w14:paraId="5A7129D1"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92,792 </w:t>
            </w:r>
          </w:p>
        </w:tc>
        <w:tc>
          <w:tcPr>
            <w:tcW w:w="344" w:type="pct"/>
            <w:tcBorders>
              <w:top w:val="nil"/>
              <w:left w:val="nil"/>
              <w:bottom w:val="nil"/>
              <w:right w:val="nil"/>
            </w:tcBorders>
            <w:vAlign w:val="bottom"/>
          </w:tcPr>
          <w:p w14:paraId="425E1FC0"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205,605 </w:t>
            </w:r>
          </w:p>
        </w:tc>
        <w:tc>
          <w:tcPr>
            <w:tcW w:w="343" w:type="pct"/>
            <w:tcBorders>
              <w:top w:val="nil"/>
              <w:left w:val="nil"/>
              <w:bottom w:val="nil"/>
              <w:right w:val="nil"/>
            </w:tcBorders>
            <w:vAlign w:val="bottom"/>
          </w:tcPr>
          <w:p w14:paraId="2FF4E703"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34,769 </w:t>
            </w:r>
          </w:p>
        </w:tc>
        <w:tc>
          <w:tcPr>
            <w:tcW w:w="344" w:type="pct"/>
            <w:tcBorders>
              <w:top w:val="nil"/>
              <w:left w:val="nil"/>
              <w:bottom w:val="nil"/>
              <w:right w:val="nil"/>
            </w:tcBorders>
            <w:vAlign w:val="bottom"/>
          </w:tcPr>
          <w:p w14:paraId="614F24E5"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3" w:type="pct"/>
            <w:tcBorders>
              <w:top w:val="nil"/>
              <w:left w:val="nil"/>
              <w:bottom w:val="nil"/>
              <w:right w:val="nil"/>
            </w:tcBorders>
            <w:vAlign w:val="bottom"/>
          </w:tcPr>
          <w:p w14:paraId="344757FC"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3,188,480 </w:t>
            </w:r>
          </w:p>
        </w:tc>
      </w:tr>
      <w:tr w:rsidR="00587444" w:rsidRPr="00587444" w14:paraId="58374A24" w14:textId="77777777" w:rsidTr="00DD69E7">
        <w:trPr>
          <w:trHeight w:val="149"/>
          <w:jc w:val="center"/>
        </w:trPr>
        <w:tc>
          <w:tcPr>
            <w:tcW w:w="877" w:type="pct"/>
            <w:vAlign w:val="bottom"/>
          </w:tcPr>
          <w:p w14:paraId="1BDDAFC0"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Financial assets at fair value through profit or loss</w:t>
            </w:r>
          </w:p>
        </w:tc>
        <w:tc>
          <w:tcPr>
            <w:tcW w:w="343" w:type="pct"/>
            <w:tcBorders>
              <w:top w:val="nil"/>
              <w:left w:val="nil"/>
              <w:bottom w:val="nil"/>
              <w:right w:val="nil"/>
            </w:tcBorders>
            <w:shd w:val="clear" w:color="auto" w:fill="auto"/>
            <w:vAlign w:val="bottom"/>
          </w:tcPr>
          <w:p w14:paraId="22AC0A48"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3D13221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22103742"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hAnsi="Arial" w:cs="Arial"/>
                <w:sz w:val="14"/>
                <w:szCs w:val="14"/>
              </w:rPr>
              <w:t xml:space="preserve"> - </w:t>
            </w:r>
          </w:p>
        </w:tc>
        <w:tc>
          <w:tcPr>
            <w:tcW w:w="343" w:type="pct"/>
            <w:tcBorders>
              <w:top w:val="nil"/>
              <w:left w:val="nil"/>
              <w:bottom w:val="nil"/>
              <w:right w:val="nil"/>
            </w:tcBorders>
            <w:shd w:val="clear" w:color="auto" w:fill="auto"/>
            <w:vAlign w:val="bottom"/>
          </w:tcPr>
          <w:p w14:paraId="6324A376"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0F9FC07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hAnsi="Arial" w:cs="Arial"/>
                <w:sz w:val="14"/>
                <w:szCs w:val="14"/>
              </w:rPr>
              <w:t xml:space="preserve"> 16,375 </w:t>
            </w:r>
          </w:p>
        </w:tc>
        <w:tc>
          <w:tcPr>
            <w:tcW w:w="344" w:type="pct"/>
            <w:tcBorders>
              <w:top w:val="nil"/>
              <w:left w:val="nil"/>
              <w:bottom w:val="nil"/>
              <w:right w:val="nil"/>
            </w:tcBorders>
            <w:shd w:val="clear" w:color="auto" w:fill="auto"/>
            <w:vAlign w:val="bottom"/>
          </w:tcPr>
          <w:p w14:paraId="7EA7132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highlight w:val="yellow"/>
                <w:lang w:val="en-GB"/>
              </w:rPr>
            </w:pPr>
            <w:r w:rsidRPr="00587444">
              <w:rPr>
                <w:rFonts w:ascii="Arial" w:hAnsi="Arial" w:cs="Arial"/>
                <w:sz w:val="14"/>
                <w:szCs w:val="14"/>
              </w:rPr>
              <w:t xml:space="preserve"> 16,375 </w:t>
            </w:r>
          </w:p>
        </w:tc>
        <w:tc>
          <w:tcPr>
            <w:tcW w:w="343" w:type="pct"/>
            <w:tcBorders>
              <w:top w:val="nil"/>
              <w:left w:val="nil"/>
              <w:bottom w:val="nil"/>
              <w:right w:val="nil"/>
            </w:tcBorders>
            <w:vAlign w:val="bottom"/>
          </w:tcPr>
          <w:p w14:paraId="6A95D5E4"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113B843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334CEE0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hAnsi="Arial" w:cs="Arial"/>
                <w:sz w:val="14"/>
                <w:szCs w:val="14"/>
              </w:rPr>
              <w:t xml:space="preserve"> - </w:t>
            </w:r>
          </w:p>
        </w:tc>
        <w:tc>
          <w:tcPr>
            <w:tcW w:w="343" w:type="pct"/>
            <w:tcBorders>
              <w:top w:val="nil"/>
              <w:left w:val="nil"/>
              <w:bottom w:val="nil"/>
              <w:right w:val="nil"/>
            </w:tcBorders>
            <w:vAlign w:val="bottom"/>
          </w:tcPr>
          <w:p w14:paraId="2954628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2554A2AC"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hAnsi="Arial" w:cs="Arial"/>
                <w:sz w:val="14"/>
                <w:szCs w:val="14"/>
              </w:rPr>
              <w:t xml:space="preserve"> 16,375 </w:t>
            </w:r>
          </w:p>
        </w:tc>
        <w:tc>
          <w:tcPr>
            <w:tcW w:w="343" w:type="pct"/>
            <w:tcBorders>
              <w:top w:val="nil"/>
              <w:left w:val="nil"/>
              <w:bottom w:val="nil"/>
              <w:right w:val="nil"/>
            </w:tcBorders>
            <w:shd w:val="clear" w:color="auto" w:fill="auto"/>
            <w:vAlign w:val="bottom"/>
          </w:tcPr>
          <w:p w14:paraId="3AF15AD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4"/>
                <w:szCs w:val="14"/>
                <w:lang w:val="en-GB"/>
              </w:rPr>
            </w:pPr>
            <w:r w:rsidRPr="00587444">
              <w:rPr>
                <w:rFonts w:ascii="Arial" w:hAnsi="Arial" w:cs="Arial"/>
                <w:sz w:val="14"/>
                <w:szCs w:val="14"/>
              </w:rPr>
              <w:t xml:space="preserve"> 16,375 </w:t>
            </w:r>
          </w:p>
        </w:tc>
      </w:tr>
      <w:tr w:rsidR="00587444" w:rsidRPr="00587444" w14:paraId="7524F2A8" w14:textId="77777777" w:rsidTr="00DD69E7">
        <w:trPr>
          <w:trHeight w:val="126"/>
          <w:jc w:val="center"/>
        </w:trPr>
        <w:tc>
          <w:tcPr>
            <w:tcW w:w="877" w:type="pct"/>
            <w:vAlign w:val="bottom"/>
          </w:tcPr>
          <w:p w14:paraId="5C2424F6"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Financial assets at fair value through other comprehensive income</w:t>
            </w:r>
          </w:p>
        </w:tc>
        <w:tc>
          <w:tcPr>
            <w:tcW w:w="343" w:type="pct"/>
            <w:tcBorders>
              <w:top w:val="nil"/>
              <w:left w:val="nil"/>
              <w:bottom w:val="nil"/>
              <w:right w:val="nil"/>
            </w:tcBorders>
            <w:shd w:val="clear" w:color="auto" w:fill="auto"/>
            <w:vAlign w:val="bottom"/>
          </w:tcPr>
          <w:p w14:paraId="71AAE20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en-GB"/>
              </w:rPr>
            </w:pPr>
            <w:r w:rsidRPr="00587444">
              <w:rPr>
                <w:rFonts w:ascii="Arial" w:hAnsi="Arial" w:cs="Arial"/>
                <w:sz w:val="14"/>
                <w:szCs w:val="14"/>
              </w:rPr>
              <w:t xml:space="preserve"> 2,871,219 </w:t>
            </w:r>
          </w:p>
        </w:tc>
        <w:tc>
          <w:tcPr>
            <w:tcW w:w="344" w:type="pct"/>
            <w:tcBorders>
              <w:top w:val="nil"/>
              <w:left w:val="nil"/>
              <w:bottom w:val="nil"/>
              <w:right w:val="nil"/>
            </w:tcBorders>
            <w:shd w:val="clear" w:color="auto" w:fill="auto"/>
            <w:vAlign w:val="bottom"/>
          </w:tcPr>
          <w:p w14:paraId="43AF3A7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3463633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en-GB"/>
              </w:rPr>
            </w:pPr>
            <w:r w:rsidRPr="00587444">
              <w:rPr>
                <w:rFonts w:ascii="Arial" w:hAnsi="Arial" w:cs="Arial"/>
                <w:sz w:val="14"/>
                <w:szCs w:val="14"/>
              </w:rPr>
              <w:t xml:space="preserve"> 1,469 </w:t>
            </w:r>
          </w:p>
        </w:tc>
        <w:tc>
          <w:tcPr>
            <w:tcW w:w="343" w:type="pct"/>
            <w:tcBorders>
              <w:top w:val="nil"/>
              <w:left w:val="nil"/>
              <w:bottom w:val="nil"/>
              <w:right w:val="nil"/>
            </w:tcBorders>
            <w:shd w:val="clear" w:color="auto" w:fill="auto"/>
            <w:vAlign w:val="bottom"/>
          </w:tcPr>
          <w:p w14:paraId="63E2095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718D8966"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5DDD07B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en-GB"/>
              </w:rPr>
            </w:pPr>
            <w:r w:rsidRPr="00587444">
              <w:rPr>
                <w:rFonts w:ascii="Arial" w:hAnsi="Arial" w:cs="Arial"/>
                <w:sz w:val="14"/>
                <w:szCs w:val="14"/>
              </w:rPr>
              <w:t xml:space="preserve"> 2,872,688 </w:t>
            </w:r>
          </w:p>
        </w:tc>
        <w:tc>
          <w:tcPr>
            <w:tcW w:w="343" w:type="pct"/>
            <w:tcBorders>
              <w:top w:val="nil"/>
              <w:left w:val="nil"/>
              <w:bottom w:val="nil"/>
              <w:right w:val="nil"/>
            </w:tcBorders>
            <w:shd w:val="clear" w:color="auto" w:fill="auto"/>
            <w:vAlign w:val="bottom"/>
          </w:tcPr>
          <w:p w14:paraId="037EB6E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en-GB"/>
              </w:rPr>
            </w:pPr>
            <w:r w:rsidRPr="00587444">
              <w:rPr>
                <w:rFonts w:ascii="Arial" w:hAnsi="Arial" w:cs="Arial"/>
                <w:sz w:val="14"/>
                <w:szCs w:val="14"/>
              </w:rPr>
              <w:t xml:space="preserve"> 2,871,219 </w:t>
            </w:r>
          </w:p>
        </w:tc>
        <w:tc>
          <w:tcPr>
            <w:tcW w:w="344" w:type="pct"/>
            <w:tcBorders>
              <w:top w:val="nil"/>
              <w:left w:val="nil"/>
              <w:bottom w:val="nil"/>
              <w:right w:val="nil"/>
            </w:tcBorders>
            <w:shd w:val="clear" w:color="auto" w:fill="auto"/>
            <w:vAlign w:val="bottom"/>
          </w:tcPr>
          <w:p w14:paraId="2F3B7C3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1818D14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en-GB"/>
              </w:rPr>
            </w:pPr>
            <w:r w:rsidRPr="00587444">
              <w:rPr>
                <w:rFonts w:ascii="Arial" w:hAnsi="Arial" w:cs="Arial"/>
                <w:sz w:val="14"/>
                <w:szCs w:val="14"/>
              </w:rPr>
              <w:t xml:space="preserve"> 1,469 </w:t>
            </w:r>
          </w:p>
        </w:tc>
        <w:tc>
          <w:tcPr>
            <w:tcW w:w="343" w:type="pct"/>
            <w:tcBorders>
              <w:top w:val="nil"/>
              <w:left w:val="nil"/>
              <w:bottom w:val="nil"/>
              <w:right w:val="nil"/>
            </w:tcBorders>
            <w:shd w:val="clear" w:color="auto" w:fill="auto"/>
            <w:vAlign w:val="bottom"/>
          </w:tcPr>
          <w:p w14:paraId="0B204F7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7195E33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lang w:val="en-GB"/>
              </w:rPr>
            </w:pPr>
            <w:r w:rsidRPr="00587444">
              <w:rPr>
                <w:rFonts w:ascii="Arial" w:hAnsi="Arial" w:cs="Arial"/>
                <w:sz w:val="14"/>
                <w:szCs w:val="14"/>
              </w:rPr>
              <w:t xml:space="preserve"> - </w:t>
            </w:r>
          </w:p>
        </w:tc>
        <w:tc>
          <w:tcPr>
            <w:tcW w:w="343" w:type="pct"/>
            <w:tcBorders>
              <w:top w:val="nil"/>
              <w:left w:val="nil"/>
              <w:bottom w:val="nil"/>
              <w:right w:val="nil"/>
            </w:tcBorders>
            <w:shd w:val="clear" w:color="auto" w:fill="auto"/>
            <w:vAlign w:val="bottom"/>
          </w:tcPr>
          <w:p w14:paraId="1E3BBF4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en-GB"/>
              </w:rPr>
            </w:pPr>
            <w:r w:rsidRPr="00587444">
              <w:rPr>
                <w:rFonts w:ascii="Arial" w:hAnsi="Arial" w:cs="Arial"/>
                <w:sz w:val="14"/>
                <w:szCs w:val="14"/>
              </w:rPr>
              <w:t xml:space="preserve"> 2,872,688 </w:t>
            </w:r>
          </w:p>
        </w:tc>
      </w:tr>
      <w:tr w:rsidR="00587444" w:rsidRPr="00587444" w14:paraId="5A929D25" w14:textId="77777777" w:rsidTr="00DD69E7">
        <w:trPr>
          <w:trHeight w:val="74"/>
          <w:jc w:val="center"/>
        </w:trPr>
        <w:tc>
          <w:tcPr>
            <w:tcW w:w="877" w:type="pct"/>
            <w:vAlign w:val="bottom"/>
          </w:tcPr>
          <w:p w14:paraId="257E1344"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Other assets</w:t>
            </w:r>
          </w:p>
        </w:tc>
        <w:tc>
          <w:tcPr>
            <w:tcW w:w="343" w:type="pct"/>
            <w:tcBorders>
              <w:top w:val="nil"/>
              <w:left w:val="nil"/>
              <w:bottom w:val="single" w:sz="8" w:space="0" w:color="auto"/>
              <w:right w:val="nil"/>
            </w:tcBorders>
            <w:shd w:val="clear" w:color="auto" w:fill="auto"/>
            <w:vAlign w:val="bottom"/>
          </w:tcPr>
          <w:p w14:paraId="70B5D178"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hAnsi="Arial" w:cs="Arial"/>
                <w:sz w:val="14"/>
                <w:szCs w:val="14"/>
              </w:rPr>
              <w:t xml:space="preserve"> 3,326 </w:t>
            </w:r>
          </w:p>
        </w:tc>
        <w:tc>
          <w:tcPr>
            <w:tcW w:w="344" w:type="pct"/>
            <w:tcBorders>
              <w:top w:val="nil"/>
              <w:left w:val="nil"/>
              <w:bottom w:val="single" w:sz="8" w:space="0" w:color="auto"/>
              <w:right w:val="nil"/>
            </w:tcBorders>
            <w:shd w:val="clear" w:color="auto" w:fill="auto"/>
            <w:vAlign w:val="bottom"/>
          </w:tcPr>
          <w:p w14:paraId="0A31EA86"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hAnsi="Arial" w:cs="Arial"/>
                <w:sz w:val="14"/>
                <w:szCs w:val="14"/>
              </w:rPr>
              <w:t xml:space="preserve"> 12 </w:t>
            </w:r>
          </w:p>
        </w:tc>
        <w:tc>
          <w:tcPr>
            <w:tcW w:w="344" w:type="pct"/>
            <w:tcBorders>
              <w:top w:val="nil"/>
              <w:left w:val="nil"/>
              <w:bottom w:val="single" w:sz="8" w:space="0" w:color="auto"/>
              <w:right w:val="nil"/>
            </w:tcBorders>
            <w:shd w:val="clear" w:color="auto" w:fill="auto"/>
            <w:vAlign w:val="bottom"/>
          </w:tcPr>
          <w:p w14:paraId="37FEC8F5"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hAnsi="Arial" w:cs="Arial"/>
                <w:sz w:val="14"/>
                <w:szCs w:val="14"/>
              </w:rPr>
              <w:t xml:space="preserve"> 1,310 </w:t>
            </w:r>
          </w:p>
        </w:tc>
        <w:tc>
          <w:tcPr>
            <w:tcW w:w="343" w:type="pct"/>
            <w:tcBorders>
              <w:top w:val="nil"/>
              <w:left w:val="nil"/>
              <w:bottom w:val="single" w:sz="8" w:space="0" w:color="auto"/>
              <w:right w:val="nil"/>
            </w:tcBorders>
            <w:shd w:val="clear" w:color="auto" w:fill="auto"/>
            <w:vAlign w:val="bottom"/>
          </w:tcPr>
          <w:p w14:paraId="44703446"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hAnsi="Arial" w:cs="Arial"/>
                <w:sz w:val="14"/>
                <w:szCs w:val="14"/>
              </w:rPr>
              <w:t xml:space="preserve"> 51 </w:t>
            </w:r>
          </w:p>
        </w:tc>
        <w:tc>
          <w:tcPr>
            <w:tcW w:w="344" w:type="pct"/>
            <w:tcBorders>
              <w:top w:val="nil"/>
              <w:left w:val="nil"/>
              <w:bottom w:val="single" w:sz="8" w:space="0" w:color="auto"/>
              <w:right w:val="nil"/>
            </w:tcBorders>
            <w:shd w:val="clear" w:color="auto" w:fill="auto"/>
            <w:vAlign w:val="bottom"/>
          </w:tcPr>
          <w:p w14:paraId="1F923008"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hAnsi="Arial" w:cs="Arial"/>
                <w:sz w:val="14"/>
                <w:szCs w:val="14"/>
              </w:rPr>
              <w:t xml:space="preserve"> - </w:t>
            </w:r>
          </w:p>
        </w:tc>
        <w:tc>
          <w:tcPr>
            <w:tcW w:w="344" w:type="pct"/>
            <w:tcBorders>
              <w:top w:val="nil"/>
              <w:left w:val="nil"/>
              <w:bottom w:val="single" w:sz="8" w:space="0" w:color="auto"/>
              <w:right w:val="nil"/>
            </w:tcBorders>
            <w:shd w:val="clear" w:color="auto" w:fill="auto"/>
            <w:vAlign w:val="bottom"/>
          </w:tcPr>
          <w:p w14:paraId="46496B23"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hAnsi="Arial" w:cs="Arial"/>
                <w:sz w:val="14"/>
                <w:szCs w:val="14"/>
              </w:rPr>
              <w:t xml:space="preserve"> 4,699 </w:t>
            </w:r>
          </w:p>
        </w:tc>
        <w:tc>
          <w:tcPr>
            <w:tcW w:w="343" w:type="pct"/>
            <w:tcBorders>
              <w:top w:val="nil"/>
              <w:left w:val="nil"/>
              <w:bottom w:val="single" w:sz="8" w:space="0" w:color="auto"/>
              <w:right w:val="nil"/>
            </w:tcBorders>
            <w:vAlign w:val="bottom"/>
          </w:tcPr>
          <w:p w14:paraId="099FFB74"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hAnsi="Arial" w:cs="Arial"/>
                <w:sz w:val="14"/>
                <w:szCs w:val="14"/>
              </w:rPr>
              <w:t xml:space="preserve"> 588 </w:t>
            </w:r>
          </w:p>
        </w:tc>
        <w:tc>
          <w:tcPr>
            <w:tcW w:w="344" w:type="pct"/>
            <w:tcBorders>
              <w:top w:val="nil"/>
              <w:left w:val="nil"/>
              <w:bottom w:val="single" w:sz="8" w:space="0" w:color="auto"/>
              <w:right w:val="nil"/>
            </w:tcBorders>
            <w:vAlign w:val="bottom"/>
          </w:tcPr>
          <w:p w14:paraId="597E4D88"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hAnsi="Arial" w:cs="Arial"/>
                <w:sz w:val="14"/>
                <w:szCs w:val="14"/>
              </w:rPr>
              <w:t xml:space="preserve"> 12 </w:t>
            </w:r>
          </w:p>
        </w:tc>
        <w:tc>
          <w:tcPr>
            <w:tcW w:w="344" w:type="pct"/>
            <w:tcBorders>
              <w:top w:val="nil"/>
              <w:left w:val="nil"/>
              <w:bottom w:val="single" w:sz="8" w:space="0" w:color="auto"/>
              <w:right w:val="nil"/>
            </w:tcBorders>
            <w:vAlign w:val="bottom"/>
          </w:tcPr>
          <w:p w14:paraId="5D7143AE"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hAnsi="Arial" w:cs="Arial"/>
                <w:sz w:val="14"/>
                <w:szCs w:val="14"/>
              </w:rPr>
              <w:t xml:space="preserve"> 749 </w:t>
            </w:r>
          </w:p>
        </w:tc>
        <w:tc>
          <w:tcPr>
            <w:tcW w:w="343" w:type="pct"/>
            <w:tcBorders>
              <w:top w:val="nil"/>
              <w:left w:val="nil"/>
              <w:bottom w:val="single" w:sz="8" w:space="0" w:color="auto"/>
              <w:right w:val="nil"/>
            </w:tcBorders>
            <w:vAlign w:val="bottom"/>
          </w:tcPr>
          <w:p w14:paraId="5D3E4BEA"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hAnsi="Arial" w:cs="Arial"/>
                <w:sz w:val="14"/>
                <w:szCs w:val="14"/>
              </w:rPr>
              <w:t xml:space="preserve"> 51 </w:t>
            </w:r>
          </w:p>
        </w:tc>
        <w:tc>
          <w:tcPr>
            <w:tcW w:w="344" w:type="pct"/>
            <w:tcBorders>
              <w:top w:val="nil"/>
              <w:left w:val="nil"/>
              <w:bottom w:val="single" w:sz="8" w:space="0" w:color="auto"/>
              <w:right w:val="nil"/>
            </w:tcBorders>
            <w:vAlign w:val="bottom"/>
          </w:tcPr>
          <w:p w14:paraId="39F34AD1"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hAnsi="Arial" w:cs="Arial"/>
                <w:sz w:val="14"/>
                <w:szCs w:val="14"/>
              </w:rPr>
              <w:t xml:space="preserve"> - </w:t>
            </w:r>
          </w:p>
        </w:tc>
        <w:tc>
          <w:tcPr>
            <w:tcW w:w="343" w:type="pct"/>
            <w:tcBorders>
              <w:top w:val="nil"/>
              <w:left w:val="nil"/>
              <w:bottom w:val="single" w:sz="8" w:space="0" w:color="auto"/>
              <w:right w:val="nil"/>
            </w:tcBorders>
            <w:vAlign w:val="bottom"/>
          </w:tcPr>
          <w:p w14:paraId="458A029A"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r w:rsidRPr="00587444">
              <w:rPr>
                <w:rFonts w:ascii="Arial" w:hAnsi="Arial" w:cs="Arial"/>
                <w:sz w:val="14"/>
                <w:szCs w:val="14"/>
              </w:rPr>
              <w:t xml:space="preserve"> 1,400 </w:t>
            </w:r>
          </w:p>
        </w:tc>
      </w:tr>
      <w:tr w:rsidR="00587444" w:rsidRPr="00587444" w14:paraId="289BD0CC" w14:textId="77777777" w:rsidTr="00DD69E7">
        <w:trPr>
          <w:trHeight w:val="97"/>
          <w:jc w:val="center"/>
        </w:trPr>
        <w:tc>
          <w:tcPr>
            <w:tcW w:w="877" w:type="pct"/>
          </w:tcPr>
          <w:p w14:paraId="45A36E0E"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Total</w:t>
            </w:r>
          </w:p>
        </w:tc>
        <w:tc>
          <w:tcPr>
            <w:tcW w:w="343" w:type="pct"/>
            <w:tcBorders>
              <w:top w:val="nil"/>
              <w:left w:val="nil"/>
              <w:bottom w:val="single" w:sz="12" w:space="0" w:color="auto"/>
              <w:right w:val="nil"/>
            </w:tcBorders>
            <w:shd w:val="clear" w:color="auto" w:fill="auto"/>
            <w:vAlign w:val="bottom"/>
          </w:tcPr>
          <w:p w14:paraId="29C1F238"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24,485,566 </w:t>
            </w:r>
          </w:p>
        </w:tc>
        <w:tc>
          <w:tcPr>
            <w:tcW w:w="344" w:type="pct"/>
            <w:tcBorders>
              <w:top w:val="nil"/>
              <w:left w:val="nil"/>
              <w:bottom w:val="single" w:sz="12" w:space="0" w:color="auto"/>
              <w:right w:val="nil"/>
            </w:tcBorders>
            <w:shd w:val="clear" w:color="auto" w:fill="auto"/>
            <w:vAlign w:val="bottom"/>
          </w:tcPr>
          <w:p w14:paraId="10760DBC"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1,008,737 </w:t>
            </w:r>
          </w:p>
        </w:tc>
        <w:tc>
          <w:tcPr>
            <w:tcW w:w="344" w:type="pct"/>
            <w:tcBorders>
              <w:top w:val="nil"/>
              <w:left w:val="nil"/>
              <w:bottom w:val="single" w:sz="12" w:space="0" w:color="auto"/>
              <w:right w:val="nil"/>
            </w:tcBorders>
            <w:shd w:val="clear" w:color="auto" w:fill="auto"/>
            <w:vAlign w:val="bottom"/>
          </w:tcPr>
          <w:p w14:paraId="1BF9B26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1,170,112 </w:t>
            </w:r>
          </w:p>
        </w:tc>
        <w:tc>
          <w:tcPr>
            <w:tcW w:w="343" w:type="pct"/>
            <w:tcBorders>
              <w:top w:val="nil"/>
              <w:left w:val="nil"/>
              <w:bottom w:val="single" w:sz="12" w:space="0" w:color="auto"/>
              <w:right w:val="nil"/>
            </w:tcBorders>
            <w:shd w:val="clear" w:color="auto" w:fill="auto"/>
            <w:vAlign w:val="bottom"/>
          </w:tcPr>
          <w:p w14:paraId="553DC95F"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1,193,610 </w:t>
            </w:r>
          </w:p>
        </w:tc>
        <w:tc>
          <w:tcPr>
            <w:tcW w:w="344" w:type="pct"/>
            <w:tcBorders>
              <w:top w:val="nil"/>
              <w:left w:val="nil"/>
              <w:bottom w:val="single" w:sz="12" w:space="0" w:color="auto"/>
              <w:right w:val="nil"/>
            </w:tcBorders>
            <w:shd w:val="clear" w:color="auto" w:fill="auto"/>
            <w:vAlign w:val="bottom"/>
          </w:tcPr>
          <w:p w14:paraId="3E6324F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16,375 </w:t>
            </w:r>
          </w:p>
        </w:tc>
        <w:tc>
          <w:tcPr>
            <w:tcW w:w="344" w:type="pct"/>
            <w:tcBorders>
              <w:top w:val="nil"/>
              <w:left w:val="nil"/>
              <w:bottom w:val="single" w:sz="12" w:space="0" w:color="auto"/>
              <w:right w:val="nil"/>
            </w:tcBorders>
            <w:shd w:val="clear" w:color="auto" w:fill="auto"/>
            <w:vAlign w:val="bottom"/>
          </w:tcPr>
          <w:p w14:paraId="7C8D0CCF"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27,874,400 </w:t>
            </w:r>
          </w:p>
        </w:tc>
        <w:tc>
          <w:tcPr>
            <w:tcW w:w="343" w:type="pct"/>
            <w:tcBorders>
              <w:top w:val="nil"/>
              <w:left w:val="nil"/>
              <w:bottom w:val="single" w:sz="12" w:space="0" w:color="auto"/>
              <w:right w:val="nil"/>
            </w:tcBorders>
            <w:vAlign w:val="bottom"/>
          </w:tcPr>
          <w:p w14:paraId="4A316A8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5,727,121 </w:t>
            </w:r>
          </w:p>
        </w:tc>
        <w:tc>
          <w:tcPr>
            <w:tcW w:w="344" w:type="pct"/>
            <w:tcBorders>
              <w:top w:val="nil"/>
              <w:left w:val="nil"/>
              <w:bottom w:val="single" w:sz="12" w:space="0" w:color="auto"/>
              <w:right w:val="nil"/>
            </w:tcBorders>
            <w:vAlign w:val="bottom"/>
          </w:tcPr>
          <w:p w14:paraId="64D12E63"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92,804 </w:t>
            </w:r>
          </w:p>
        </w:tc>
        <w:tc>
          <w:tcPr>
            <w:tcW w:w="344" w:type="pct"/>
            <w:tcBorders>
              <w:top w:val="nil"/>
              <w:left w:val="nil"/>
              <w:bottom w:val="single" w:sz="12" w:space="0" w:color="auto"/>
              <w:right w:val="nil"/>
            </w:tcBorders>
            <w:vAlign w:val="bottom"/>
          </w:tcPr>
          <w:p w14:paraId="47ED684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207,823 </w:t>
            </w:r>
          </w:p>
        </w:tc>
        <w:tc>
          <w:tcPr>
            <w:tcW w:w="343" w:type="pct"/>
            <w:tcBorders>
              <w:top w:val="nil"/>
              <w:left w:val="nil"/>
              <w:bottom w:val="single" w:sz="12" w:space="0" w:color="auto"/>
              <w:right w:val="nil"/>
            </w:tcBorders>
            <w:vAlign w:val="bottom"/>
          </w:tcPr>
          <w:p w14:paraId="79C63D3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34,820 </w:t>
            </w:r>
          </w:p>
        </w:tc>
        <w:tc>
          <w:tcPr>
            <w:tcW w:w="344" w:type="pct"/>
            <w:tcBorders>
              <w:top w:val="nil"/>
              <w:left w:val="nil"/>
              <w:bottom w:val="single" w:sz="12" w:space="0" w:color="auto"/>
              <w:right w:val="nil"/>
            </w:tcBorders>
            <w:vAlign w:val="bottom"/>
          </w:tcPr>
          <w:p w14:paraId="45283802"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16,375 </w:t>
            </w:r>
          </w:p>
        </w:tc>
        <w:tc>
          <w:tcPr>
            <w:tcW w:w="343" w:type="pct"/>
            <w:tcBorders>
              <w:top w:val="nil"/>
              <w:left w:val="nil"/>
              <w:bottom w:val="single" w:sz="12" w:space="0" w:color="auto"/>
              <w:right w:val="nil"/>
            </w:tcBorders>
            <w:vAlign w:val="bottom"/>
          </w:tcPr>
          <w:p w14:paraId="32F97F7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6,078,943 </w:t>
            </w:r>
          </w:p>
        </w:tc>
      </w:tr>
      <w:tr w:rsidR="00587444" w:rsidRPr="00587444" w14:paraId="4A4CBE2A" w14:textId="77777777" w:rsidTr="00DD69E7">
        <w:trPr>
          <w:trHeight w:val="200"/>
          <w:jc w:val="center"/>
        </w:trPr>
        <w:tc>
          <w:tcPr>
            <w:tcW w:w="877" w:type="pct"/>
          </w:tcPr>
          <w:p w14:paraId="7CA5F068" w14:textId="77777777" w:rsidR="00587444" w:rsidRPr="00587444" w:rsidRDefault="00587444" w:rsidP="00587444">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Guarantees and commitments</w:t>
            </w:r>
          </w:p>
        </w:tc>
        <w:tc>
          <w:tcPr>
            <w:tcW w:w="343" w:type="pct"/>
            <w:tcBorders>
              <w:top w:val="nil"/>
              <w:left w:val="nil"/>
              <w:bottom w:val="nil"/>
              <w:right w:val="nil"/>
            </w:tcBorders>
            <w:shd w:val="clear" w:color="auto" w:fill="auto"/>
            <w:vAlign w:val="bottom"/>
          </w:tcPr>
          <w:p w14:paraId="0504BEDF"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4" w:type="pct"/>
            <w:tcBorders>
              <w:top w:val="nil"/>
              <w:left w:val="nil"/>
              <w:bottom w:val="nil"/>
              <w:right w:val="nil"/>
            </w:tcBorders>
            <w:shd w:val="clear" w:color="auto" w:fill="auto"/>
            <w:vAlign w:val="bottom"/>
          </w:tcPr>
          <w:p w14:paraId="221B1282"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4" w:type="pct"/>
            <w:tcBorders>
              <w:top w:val="nil"/>
              <w:left w:val="nil"/>
              <w:bottom w:val="nil"/>
              <w:right w:val="nil"/>
            </w:tcBorders>
            <w:shd w:val="clear" w:color="auto" w:fill="auto"/>
            <w:vAlign w:val="bottom"/>
          </w:tcPr>
          <w:p w14:paraId="03A1C020"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3" w:type="pct"/>
            <w:tcBorders>
              <w:top w:val="nil"/>
              <w:left w:val="nil"/>
              <w:bottom w:val="nil"/>
              <w:right w:val="nil"/>
            </w:tcBorders>
            <w:shd w:val="clear" w:color="auto" w:fill="auto"/>
            <w:vAlign w:val="bottom"/>
          </w:tcPr>
          <w:p w14:paraId="6F543642"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4" w:type="pct"/>
            <w:tcBorders>
              <w:top w:val="nil"/>
              <w:left w:val="nil"/>
              <w:bottom w:val="nil"/>
              <w:right w:val="nil"/>
            </w:tcBorders>
            <w:shd w:val="clear" w:color="auto" w:fill="auto"/>
            <w:vAlign w:val="bottom"/>
          </w:tcPr>
          <w:p w14:paraId="0CB26962"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4" w:type="pct"/>
            <w:tcBorders>
              <w:top w:val="nil"/>
              <w:left w:val="nil"/>
              <w:bottom w:val="nil"/>
              <w:right w:val="nil"/>
            </w:tcBorders>
            <w:shd w:val="clear" w:color="auto" w:fill="auto"/>
            <w:vAlign w:val="bottom"/>
          </w:tcPr>
          <w:p w14:paraId="33817B31"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3" w:type="pct"/>
            <w:tcBorders>
              <w:top w:val="nil"/>
              <w:left w:val="nil"/>
              <w:bottom w:val="nil"/>
              <w:right w:val="nil"/>
            </w:tcBorders>
            <w:vAlign w:val="bottom"/>
          </w:tcPr>
          <w:p w14:paraId="095FCF2F"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4" w:type="pct"/>
            <w:tcBorders>
              <w:top w:val="nil"/>
              <w:left w:val="nil"/>
              <w:bottom w:val="nil"/>
              <w:right w:val="nil"/>
            </w:tcBorders>
            <w:vAlign w:val="bottom"/>
          </w:tcPr>
          <w:p w14:paraId="3B9C0362"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4" w:type="pct"/>
            <w:tcBorders>
              <w:top w:val="nil"/>
              <w:left w:val="nil"/>
              <w:bottom w:val="nil"/>
              <w:right w:val="nil"/>
            </w:tcBorders>
            <w:vAlign w:val="bottom"/>
          </w:tcPr>
          <w:p w14:paraId="6B3AA11D"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3" w:type="pct"/>
            <w:tcBorders>
              <w:top w:val="nil"/>
              <w:left w:val="nil"/>
              <w:bottom w:val="nil"/>
              <w:right w:val="nil"/>
            </w:tcBorders>
            <w:vAlign w:val="bottom"/>
          </w:tcPr>
          <w:p w14:paraId="4343BF8F"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4" w:type="pct"/>
            <w:tcBorders>
              <w:top w:val="nil"/>
              <w:left w:val="nil"/>
              <w:bottom w:val="nil"/>
              <w:right w:val="nil"/>
            </w:tcBorders>
            <w:vAlign w:val="bottom"/>
          </w:tcPr>
          <w:p w14:paraId="1918ABB1"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c>
          <w:tcPr>
            <w:tcW w:w="343" w:type="pct"/>
            <w:tcBorders>
              <w:top w:val="nil"/>
              <w:left w:val="nil"/>
              <w:bottom w:val="nil"/>
              <w:right w:val="nil"/>
            </w:tcBorders>
            <w:vAlign w:val="bottom"/>
          </w:tcPr>
          <w:p w14:paraId="627F5780" w14:textId="77777777" w:rsidR="00587444" w:rsidRPr="00587444" w:rsidRDefault="00587444" w:rsidP="00587444">
            <w:pPr>
              <w:tabs>
                <w:tab w:val="right" w:pos="1202"/>
              </w:tabs>
              <w:suppressAutoHyphens w:val="0"/>
              <w:autoSpaceDN/>
              <w:jc w:val="right"/>
              <w:outlineLvl w:val="0"/>
              <w:rPr>
                <w:rFonts w:ascii="Arial" w:eastAsia="Calibri" w:hAnsi="Arial" w:cs="Arial"/>
                <w:snapToGrid w:val="0"/>
                <w:sz w:val="14"/>
                <w:szCs w:val="14"/>
                <w:lang w:val="en-GB"/>
              </w:rPr>
            </w:pPr>
          </w:p>
        </w:tc>
      </w:tr>
      <w:tr w:rsidR="00587444" w:rsidRPr="00587444" w14:paraId="5CF44F68" w14:textId="77777777" w:rsidTr="00DD69E7">
        <w:trPr>
          <w:trHeight w:val="200"/>
          <w:jc w:val="center"/>
        </w:trPr>
        <w:tc>
          <w:tcPr>
            <w:tcW w:w="877" w:type="pct"/>
            <w:vAlign w:val="bottom"/>
          </w:tcPr>
          <w:p w14:paraId="7D2823FA"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Guarantees issued in HRK</w:t>
            </w:r>
          </w:p>
        </w:tc>
        <w:tc>
          <w:tcPr>
            <w:tcW w:w="343" w:type="pct"/>
            <w:tcBorders>
              <w:top w:val="nil"/>
              <w:left w:val="nil"/>
              <w:bottom w:val="nil"/>
              <w:right w:val="nil"/>
            </w:tcBorders>
            <w:shd w:val="clear" w:color="auto" w:fill="auto"/>
            <w:vAlign w:val="bottom"/>
          </w:tcPr>
          <w:p w14:paraId="07F91C0B"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71,262 </w:t>
            </w:r>
          </w:p>
        </w:tc>
        <w:tc>
          <w:tcPr>
            <w:tcW w:w="344" w:type="pct"/>
            <w:tcBorders>
              <w:top w:val="nil"/>
              <w:left w:val="nil"/>
              <w:bottom w:val="nil"/>
              <w:right w:val="nil"/>
            </w:tcBorders>
            <w:shd w:val="clear" w:color="auto" w:fill="auto"/>
            <w:vAlign w:val="bottom"/>
          </w:tcPr>
          <w:p w14:paraId="7AB58CF6"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22,713 </w:t>
            </w:r>
          </w:p>
        </w:tc>
        <w:tc>
          <w:tcPr>
            <w:tcW w:w="344" w:type="pct"/>
            <w:tcBorders>
              <w:top w:val="nil"/>
              <w:left w:val="nil"/>
              <w:bottom w:val="nil"/>
              <w:right w:val="nil"/>
            </w:tcBorders>
            <w:shd w:val="clear" w:color="auto" w:fill="auto"/>
            <w:vAlign w:val="bottom"/>
          </w:tcPr>
          <w:p w14:paraId="21EDB7B3"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46,138 </w:t>
            </w:r>
          </w:p>
        </w:tc>
        <w:tc>
          <w:tcPr>
            <w:tcW w:w="343" w:type="pct"/>
            <w:tcBorders>
              <w:top w:val="nil"/>
              <w:left w:val="nil"/>
              <w:bottom w:val="nil"/>
              <w:right w:val="nil"/>
            </w:tcBorders>
            <w:shd w:val="clear" w:color="auto" w:fill="auto"/>
            <w:vAlign w:val="bottom"/>
          </w:tcPr>
          <w:p w14:paraId="37AD0B18"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048F72FC"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0E3AEA2B"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140,113 </w:t>
            </w:r>
          </w:p>
        </w:tc>
        <w:tc>
          <w:tcPr>
            <w:tcW w:w="343" w:type="pct"/>
            <w:tcBorders>
              <w:top w:val="nil"/>
              <w:left w:val="nil"/>
              <w:bottom w:val="nil"/>
              <w:right w:val="nil"/>
            </w:tcBorders>
            <w:vAlign w:val="bottom"/>
          </w:tcPr>
          <w:p w14:paraId="05362514"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30,516 </w:t>
            </w:r>
          </w:p>
        </w:tc>
        <w:tc>
          <w:tcPr>
            <w:tcW w:w="344" w:type="pct"/>
            <w:tcBorders>
              <w:top w:val="nil"/>
              <w:left w:val="nil"/>
              <w:bottom w:val="nil"/>
              <w:right w:val="nil"/>
            </w:tcBorders>
            <w:vAlign w:val="bottom"/>
          </w:tcPr>
          <w:p w14:paraId="09391F40"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18,957 </w:t>
            </w:r>
          </w:p>
        </w:tc>
        <w:tc>
          <w:tcPr>
            <w:tcW w:w="344" w:type="pct"/>
            <w:tcBorders>
              <w:top w:val="nil"/>
              <w:left w:val="nil"/>
              <w:bottom w:val="nil"/>
              <w:right w:val="nil"/>
            </w:tcBorders>
            <w:vAlign w:val="bottom"/>
          </w:tcPr>
          <w:p w14:paraId="6F708974"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20,938 </w:t>
            </w:r>
          </w:p>
        </w:tc>
        <w:tc>
          <w:tcPr>
            <w:tcW w:w="343" w:type="pct"/>
            <w:tcBorders>
              <w:top w:val="nil"/>
              <w:left w:val="nil"/>
              <w:bottom w:val="nil"/>
              <w:right w:val="nil"/>
            </w:tcBorders>
            <w:vAlign w:val="bottom"/>
          </w:tcPr>
          <w:p w14:paraId="4B56119D"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3FEE9238"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3" w:type="pct"/>
            <w:tcBorders>
              <w:top w:val="nil"/>
              <w:left w:val="nil"/>
              <w:bottom w:val="nil"/>
              <w:right w:val="nil"/>
            </w:tcBorders>
            <w:vAlign w:val="bottom"/>
          </w:tcPr>
          <w:p w14:paraId="3E6C548C"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70,411 </w:t>
            </w:r>
          </w:p>
        </w:tc>
      </w:tr>
      <w:tr w:rsidR="00587444" w:rsidRPr="00587444" w14:paraId="5B245637" w14:textId="77777777" w:rsidTr="00DD69E7">
        <w:trPr>
          <w:trHeight w:val="200"/>
          <w:jc w:val="center"/>
        </w:trPr>
        <w:tc>
          <w:tcPr>
            <w:tcW w:w="877" w:type="pct"/>
            <w:vAlign w:val="bottom"/>
          </w:tcPr>
          <w:p w14:paraId="23972CBD"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Issued guarantees in foreign currency</w:t>
            </w:r>
          </w:p>
        </w:tc>
        <w:tc>
          <w:tcPr>
            <w:tcW w:w="343" w:type="pct"/>
            <w:tcBorders>
              <w:top w:val="nil"/>
              <w:left w:val="nil"/>
              <w:bottom w:val="nil"/>
              <w:right w:val="nil"/>
            </w:tcBorders>
            <w:shd w:val="clear" w:color="auto" w:fill="auto"/>
            <w:vAlign w:val="bottom"/>
          </w:tcPr>
          <w:p w14:paraId="799C0DF9"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62,694 </w:t>
            </w:r>
          </w:p>
        </w:tc>
        <w:tc>
          <w:tcPr>
            <w:tcW w:w="344" w:type="pct"/>
            <w:tcBorders>
              <w:top w:val="nil"/>
              <w:left w:val="nil"/>
              <w:bottom w:val="nil"/>
              <w:right w:val="nil"/>
            </w:tcBorders>
            <w:shd w:val="clear" w:color="auto" w:fill="auto"/>
            <w:vAlign w:val="bottom"/>
          </w:tcPr>
          <w:p w14:paraId="72D0F5F3"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377 </w:t>
            </w:r>
          </w:p>
        </w:tc>
        <w:tc>
          <w:tcPr>
            <w:tcW w:w="344" w:type="pct"/>
            <w:tcBorders>
              <w:top w:val="nil"/>
              <w:left w:val="nil"/>
              <w:bottom w:val="nil"/>
              <w:right w:val="nil"/>
            </w:tcBorders>
            <w:shd w:val="clear" w:color="auto" w:fill="auto"/>
            <w:vAlign w:val="bottom"/>
          </w:tcPr>
          <w:p w14:paraId="55786C14"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197,634 </w:t>
            </w:r>
          </w:p>
        </w:tc>
        <w:tc>
          <w:tcPr>
            <w:tcW w:w="343" w:type="pct"/>
            <w:tcBorders>
              <w:top w:val="nil"/>
              <w:left w:val="nil"/>
              <w:bottom w:val="nil"/>
              <w:right w:val="nil"/>
            </w:tcBorders>
            <w:shd w:val="clear" w:color="auto" w:fill="auto"/>
            <w:vAlign w:val="bottom"/>
          </w:tcPr>
          <w:p w14:paraId="07D71E66"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62B5EE71"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shd w:val="clear" w:color="auto" w:fill="auto"/>
            <w:vAlign w:val="bottom"/>
          </w:tcPr>
          <w:p w14:paraId="78895883"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260,705 </w:t>
            </w:r>
          </w:p>
        </w:tc>
        <w:tc>
          <w:tcPr>
            <w:tcW w:w="343" w:type="pct"/>
            <w:tcBorders>
              <w:top w:val="nil"/>
              <w:left w:val="nil"/>
              <w:bottom w:val="nil"/>
              <w:right w:val="nil"/>
            </w:tcBorders>
            <w:vAlign w:val="bottom"/>
          </w:tcPr>
          <w:p w14:paraId="48159645"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49,764 </w:t>
            </w:r>
          </w:p>
        </w:tc>
        <w:tc>
          <w:tcPr>
            <w:tcW w:w="344" w:type="pct"/>
            <w:tcBorders>
              <w:top w:val="nil"/>
              <w:left w:val="nil"/>
              <w:bottom w:val="nil"/>
              <w:right w:val="nil"/>
            </w:tcBorders>
            <w:vAlign w:val="bottom"/>
          </w:tcPr>
          <w:p w14:paraId="7F32B87E"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57DCBB66"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71,433 </w:t>
            </w:r>
          </w:p>
        </w:tc>
        <w:tc>
          <w:tcPr>
            <w:tcW w:w="343" w:type="pct"/>
            <w:tcBorders>
              <w:top w:val="nil"/>
              <w:left w:val="nil"/>
              <w:bottom w:val="nil"/>
              <w:right w:val="nil"/>
            </w:tcBorders>
            <w:vAlign w:val="bottom"/>
          </w:tcPr>
          <w:p w14:paraId="4A0E1B2F"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nil"/>
              <w:right w:val="nil"/>
            </w:tcBorders>
            <w:vAlign w:val="bottom"/>
          </w:tcPr>
          <w:p w14:paraId="1A35BFD4"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3" w:type="pct"/>
            <w:tcBorders>
              <w:top w:val="nil"/>
              <w:left w:val="nil"/>
              <w:bottom w:val="nil"/>
              <w:right w:val="nil"/>
            </w:tcBorders>
            <w:vAlign w:val="bottom"/>
          </w:tcPr>
          <w:p w14:paraId="1B0CF51F"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121,197 </w:t>
            </w:r>
          </w:p>
        </w:tc>
      </w:tr>
      <w:tr w:rsidR="00587444" w:rsidRPr="00587444" w14:paraId="5C4E977C" w14:textId="77777777" w:rsidTr="00DD69E7">
        <w:trPr>
          <w:trHeight w:val="200"/>
          <w:jc w:val="center"/>
        </w:trPr>
        <w:tc>
          <w:tcPr>
            <w:tcW w:w="877" w:type="pct"/>
            <w:vAlign w:val="bottom"/>
          </w:tcPr>
          <w:p w14:paraId="1C0C5F6A" w14:textId="77777777" w:rsidR="00587444" w:rsidRPr="00587444" w:rsidRDefault="00587444" w:rsidP="0058744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Undrawn loans </w:t>
            </w:r>
          </w:p>
        </w:tc>
        <w:tc>
          <w:tcPr>
            <w:tcW w:w="343" w:type="pct"/>
            <w:tcBorders>
              <w:top w:val="nil"/>
              <w:left w:val="nil"/>
              <w:bottom w:val="single" w:sz="6" w:space="0" w:color="auto"/>
              <w:right w:val="nil"/>
            </w:tcBorders>
            <w:shd w:val="clear" w:color="auto" w:fill="auto"/>
            <w:vAlign w:val="bottom"/>
          </w:tcPr>
          <w:p w14:paraId="21B51A69"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3,167,285 </w:t>
            </w:r>
          </w:p>
        </w:tc>
        <w:tc>
          <w:tcPr>
            <w:tcW w:w="344" w:type="pct"/>
            <w:tcBorders>
              <w:top w:val="nil"/>
              <w:left w:val="nil"/>
              <w:bottom w:val="single" w:sz="6" w:space="0" w:color="auto"/>
              <w:right w:val="nil"/>
            </w:tcBorders>
            <w:shd w:val="clear" w:color="auto" w:fill="auto"/>
            <w:vAlign w:val="bottom"/>
          </w:tcPr>
          <w:p w14:paraId="3BC2EAC3"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253,401 </w:t>
            </w:r>
          </w:p>
        </w:tc>
        <w:tc>
          <w:tcPr>
            <w:tcW w:w="344" w:type="pct"/>
            <w:tcBorders>
              <w:top w:val="nil"/>
              <w:left w:val="nil"/>
              <w:bottom w:val="single" w:sz="6" w:space="0" w:color="auto"/>
              <w:right w:val="nil"/>
            </w:tcBorders>
            <w:shd w:val="clear" w:color="auto" w:fill="auto"/>
            <w:vAlign w:val="bottom"/>
          </w:tcPr>
          <w:p w14:paraId="3FB512A8"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3" w:type="pct"/>
            <w:tcBorders>
              <w:top w:val="nil"/>
              <w:left w:val="nil"/>
              <w:bottom w:val="single" w:sz="6" w:space="0" w:color="auto"/>
              <w:right w:val="nil"/>
            </w:tcBorders>
            <w:shd w:val="clear" w:color="auto" w:fill="auto"/>
            <w:vAlign w:val="bottom"/>
          </w:tcPr>
          <w:p w14:paraId="20998C60"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36,605 </w:t>
            </w:r>
          </w:p>
        </w:tc>
        <w:tc>
          <w:tcPr>
            <w:tcW w:w="344" w:type="pct"/>
            <w:tcBorders>
              <w:top w:val="nil"/>
              <w:left w:val="nil"/>
              <w:bottom w:val="single" w:sz="6" w:space="0" w:color="auto"/>
              <w:right w:val="nil"/>
            </w:tcBorders>
            <w:shd w:val="clear" w:color="auto" w:fill="auto"/>
            <w:vAlign w:val="bottom"/>
          </w:tcPr>
          <w:p w14:paraId="3DAB1472"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4" w:type="pct"/>
            <w:tcBorders>
              <w:top w:val="nil"/>
              <w:left w:val="nil"/>
              <w:bottom w:val="single" w:sz="6" w:space="0" w:color="auto"/>
              <w:right w:val="nil"/>
            </w:tcBorders>
            <w:shd w:val="clear" w:color="auto" w:fill="auto"/>
            <w:vAlign w:val="bottom"/>
          </w:tcPr>
          <w:p w14:paraId="673C1D86"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3,457,291 </w:t>
            </w:r>
          </w:p>
        </w:tc>
        <w:tc>
          <w:tcPr>
            <w:tcW w:w="343" w:type="pct"/>
            <w:tcBorders>
              <w:top w:val="nil"/>
              <w:left w:val="nil"/>
              <w:bottom w:val="single" w:sz="6" w:space="0" w:color="auto"/>
              <w:right w:val="nil"/>
            </w:tcBorders>
            <w:vAlign w:val="bottom"/>
          </w:tcPr>
          <w:p w14:paraId="08457BCB"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282,102 </w:t>
            </w:r>
          </w:p>
        </w:tc>
        <w:tc>
          <w:tcPr>
            <w:tcW w:w="344" w:type="pct"/>
            <w:tcBorders>
              <w:top w:val="nil"/>
              <w:left w:val="nil"/>
              <w:bottom w:val="single" w:sz="6" w:space="0" w:color="auto"/>
              <w:right w:val="nil"/>
            </w:tcBorders>
            <w:vAlign w:val="bottom"/>
          </w:tcPr>
          <w:p w14:paraId="6CAAD39D"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140,095 </w:t>
            </w:r>
          </w:p>
        </w:tc>
        <w:tc>
          <w:tcPr>
            <w:tcW w:w="344" w:type="pct"/>
            <w:tcBorders>
              <w:top w:val="nil"/>
              <w:left w:val="nil"/>
              <w:bottom w:val="single" w:sz="6" w:space="0" w:color="auto"/>
              <w:right w:val="nil"/>
            </w:tcBorders>
            <w:vAlign w:val="bottom"/>
          </w:tcPr>
          <w:p w14:paraId="70852911"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3" w:type="pct"/>
            <w:tcBorders>
              <w:top w:val="nil"/>
              <w:left w:val="nil"/>
              <w:bottom w:val="single" w:sz="6" w:space="0" w:color="auto"/>
              <w:right w:val="nil"/>
            </w:tcBorders>
            <w:vAlign w:val="bottom"/>
          </w:tcPr>
          <w:p w14:paraId="3F8554E8"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782 </w:t>
            </w:r>
          </w:p>
        </w:tc>
        <w:tc>
          <w:tcPr>
            <w:tcW w:w="344" w:type="pct"/>
            <w:tcBorders>
              <w:top w:val="nil"/>
              <w:left w:val="nil"/>
              <w:bottom w:val="single" w:sz="6" w:space="0" w:color="auto"/>
              <w:right w:val="nil"/>
            </w:tcBorders>
            <w:vAlign w:val="bottom"/>
          </w:tcPr>
          <w:p w14:paraId="79171920"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 </w:t>
            </w:r>
          </w:p>
        </w:tc>
        <w:tc>
          <w:tcPr>
            <w:tcW w:w="343" w:type="pct"/>
            <w:tcBorders>
              <w:top w:val="nil"/>
              <w:left w:val="nil"/>
              <w:bottom w:val="single" w:sz="6" w:space="0" w:color="auto"/>
              <w:right w:val="nil"/>
            </w:tcBorders>
            <w:vAlign w:val="bottom"/>
          </w:tcPr>
          <w:p w14:paraId="062BE075" w14:textId="77777777" w:rsidR="00587444" w:rsidRPr="00587444" w:rsidRDefault="00587444" w:rsidP="00587444">
            <w:pPr>
              <w:suppressAutoHyphens w:val="0"/>
              <w:autoSpaceDN/>
              <w:jc w:val="right"/>
              <w:rPr>
                <w:rFonts w:ascii="Arial" w:eastAsia="Calibri" w:hAnsi="Arial" w:cs="Arial"/>
                <w:sz w:val="14"/>
                <w:szCs w:val="14"/>
                <w:lang w:val="en-GB"/>
              </w:rPr>
            </w:pPr>
            <w:r w:rsidRPr="00587444">
              <w:rPr>
                <w:rFonts w:ascii="Arial" w:hAnsi="Arial" w:cs="Arial"/>
                <w:sz w:val="14"/>
                <w:szCs w:val="14"/>
              </w:rPr>
              <w:t xml:space="preserve"> 422,979 </w:t>
            </w:r>
          </w:p>
        </w:tc>
      </w:tr>
      <w:tr w:rsidR="00587444" w:rsidRPr="00587444" w14:paraId="1A36EEC4" w14:textId="77777777" w:rsidTr="00DD69E7">
        <w:trPr>
          <w:trHeight w:val="145"/>
          <w:jc w:val="center"/>
        </w:trPr>
        <w:tc>
          <w:tcPr>
            <w:tcW w:w="877" w:type="pct"/>
            <w:vAlign w:val="bottom"/>
          </w:tcPr>
          <w:p w14:paraId="4E16459D" w14:textId="77777777" w:rsidR="00587444" w:rsidRPr="00587444" w:rsidRDefault="00587444" w:rsidP="00587444">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w:t>
            </w:r>
          </w:p>
        </w:tc>
        <w:tc>
          <w:tcPr>
            <w:tcW w:w="343" w:type="pct"/>
            <w:tcBorders>
              <w:top w:val="single" w:sz="6" w:space="0" w:color="auto"/>
              <w:left w:val="nil"/>
              <w:bottom w:val="single" w:sz="12" w:space="0" w:color="auto"/>
              <w:right w:val="nil"/>
            </w:tcBorders>
            <w:shd w:val="clear" w:color="auto" w:fill="auto"/>
            <w:vAlign w:val="bottom"/>
          </w:tcPr>
          <w:p w14:paraId="47798282"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hAnsi="Arial" w:cs="Arial"/>
                <w:b/>
                <w:bCs/>
                <w:sz w:val="14"/>
                <w:szCs w:val="14"/>
              </w:rPr>
              <w:t xml:space="preserve"> 3,301,241 </w:t>
            </w:r>
          </w:p>
        </w:tc>
        <w:tc>
          <w:tcPr>
            <w:tcW w:w="344" w:type="pct"/>
            <w:tcBorders>
              <w:top w:val="single" w:sz="6" w:space="0" w:color="auto"/>
              <w:left w:val="nil"/>
              <w:bottom w:val="single" w:sz="12" w:space="0" w:color="auto"/>
              <w:right w:val="nil"/>
            </w:tcBorders>
            <w:shd w:val="clear" w:color="auto" w:fill="auto"/>
            <w:vAlign w:val="bottom"/>
          </w:tcPr>
          <w:p w14:paraId="1B909357"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hAnsi="Arial" w:cs="Arial"/>
                <w:b/>
                <w:bCs/>
                <w:sz w:val="14"/>
                <w:szCs w:val="14"/>
              </w:rPr>
              <w:t xml:space="preserve"> 276,491 </w:t>
            </w:r>
          </w:p>
        </w:tc>
        <w:tc>
          <w:tcPr>
            <w:tcW w:w="344" w:type="pct"/>
            <w:tcBorders>
              <w:top w:val="single" w:sz="6" w:space="0" w:color="auto"/>
              <w:left w:val="nil"/>
              <w:bottom w:val="single" w:sz="12" w:space="0" w:color="auto"/>
              <w:right w:val="nil"/>
            </w:tcBorders>
            <w:shd w:val="clear" w:color="auto" w:fill="auto"/>
            <w:vAlign w:val="bottom"/>
          </w:tcPr>
          <w:p w14:paraId="1471297B"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hAnsi="Arial" w:cs="Arial"/>
                <w:b/>
                <w:bCs/>
                <w:sz w:val="14"/>
                <w:szCs w:val="14"/>
              </w:rPr>
              <w:t xml:space="preserve"> 243,772 </w:t>
            </w:r>
          </w:p>
        </w:tc>
        <w:tc>
          <w:tcPr>
            <w:tcW w:w="343" w:type="pct"/>
            <w:tcBorders>
              <w:top w:val="single" w:sz="6" w:space="0" w:color="auto"/>
              <w:left w:val="nil"/>
              <w:bottom w:val="single" w:sz="12" w:space="0" w:color="auto"/>
              <w:right w:val="nil"/>
            </w:tcBorders>
            <w:shd w:val="clear" w:color="auto" w:fill="auto"/>
            <w:vAlign w:val="bottom"/>
          </w:tcPr>
          <w:p w14:paraId="545101FD"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hAnsi="Arial" w:cs="Arial"/>
                <w:b/>
                <w:bCs/>
                <w:sz w:val="14"/>
                <w:szCs w:val="14"/>
              </w:rPr>
              <w:t xml:space="preserve"> 36,605 </w:t>
            </w:r>
          </w:p>
        </w:tc>
        <w:tc>
          <w:tcPr>
            <w:tcW w:w="344" w:type="pct"/>
            <w:tcBorders>
              <w:top w:val="single" w:sz="6" w:space="0" w:color="auto"/>
              <w:left w:val="nil"/>
              <w:bottom w:val="single" w:sz="12" w:space="0" w:color="auto"/>
              <w:right w:val="nil"/>
            </w:tcBorders>
            <w:shd w:val="clear" w:color="auto" w:fill="auto"/>
            <w:vAlign w:val="bottom"/>
          </w:tcPr>
          <w:p w14:paraId="42C62A7D"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hAnsi="Arial" w:cs="Arial"/>
                <w:b/>
                <w:bCs/>
                <w:sz w:val="14"/>
                <w:szCs w:val="14"/>
              </w:rPr>
              <w:t xml:space="preserve"> - </w:t>
            </w:r>
          </w:p>
        </w:tc>
        <w:tc>
          <w:tcPr>
            <w:tcW w:w="344" w:type="pct"/>
            <w:tcBorders>
              <w:top w:val="single" w:sz="6" w:space="0" w:color="auto"/>
              <w:left w:val="nil"/>
              <w:bottom w:val="single" w:sz="12" w:space="0" w:color="auto"/>
              <w:right w:val="nil"/>
            </w:tcBorders>
            <w:shd w:val="clear" w:color="auto" w:fill="auto"/>
            <w:vAlign w:val="bottom"/>
          </w:tcPr>
          <w:p w14:paraId="4758E69C"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hAnsi="Arial" w:cs="Arial"/>
                <w:b/>
                <w:bCs/>
                <w:sz w:val="14"/>
                <w:szCs w:val="14"/>
              </w:rPr>
              <w:t xml:space="preserve"> 3,858,109 </w:t>
            </w:r>
          </w:p>
        </w:tc>
        <w:tc>
          <w:tcPr>
            <w:tcW w:w="343" w:type="pct"/>
            <w:tcBorders>
              <w:top w:val="single" w:sz="6" w:space="0" w:color="auto"/>
              <w:left w:val="nil"/>
              <w:bottom w:val="single" w:sz="12" w:space="0" w:color="auto"/>
              <w:right w:val="nil"/>
            </w:tcBorders>
            <w:vAlign w:val="bottom"/>
          </w:tcPr>
          <w:p w14:paraId="3893C969"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hAnsi="Arial" w:cs="Arial"/>
                <w:b/>
                <w:bCs/>
                <w:sz w:val="14"/>
                <w:szCs w:val="14"/>
              </w:rPr>
              <w:t xml:space="preserve"> 362,382 </w:t>
            </w:r>
          </w:p>
        </w:tc>
        <w:tc>
          <w:tcPr>
            <w:tcW w:w="344" w:type="pct"/>
            <w:tcBorders>
              <w:top w:val="single" w:sz="6" w:space="0" w:color="auto"/>
              <w:left w:val="nil"/>
              <w:bottom w:val="single" w:sz="12" w:space="0" w:color="auto"/>
              <w:right w:val="nil"/>
            </w:tcBorders>
            <w:vAlign w:val="bottom"/>
          </w:tcPr>
          <w:p w14:paraId="18A299B6"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hAnsi="Arial" w:cs="Arial"/>
                <w:b/>
                <w:bCs/>
                <w:sz w:val="14"/>
                <w:szCs w:val="14"/>
              </w:rPr>
              <w:t xml:space="preserve"> 159,052 </w:t>
            </w:r>
          </w:p>
        </w:tc>
        <w:tc>
          <w:tcPr>
            <w:tcW w:w="344" w:type="pct"/>
            <w:tcBorders>
              <w:top w:val="single" w:sz="6" w:space="0" w:color="auto"/>
              <w:left w:val="nil"/>
              <w:bottom w:val="single" w:sz="12" w:space="0" w:color="auto"/>
              <w:right w:val="nil"/>
            </w:tcBorders>
            <w:vAlign w:val="bottom"/>
          </w:tcPr>
          <w:p w14:paraId="30EFA96B"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hAnsi="Arial" w:cs="Arial"/>
                <w:b/>
                <w:bCs/>
                <w:sz w:val="14"/>
                <w:szCs w:val="14"/>
              </w:rPr>
              <w:t xml:space="preserve"> 92,371 </w:t>
            </w:r>
          </w:p>
        </w:tc>
        <w:tc>
          <w:tcPr>
            <w:tcW w:w="343" w:type="pct"/>
            <w:tcBorders>
              <w:top w:val="single" w:sz="6" w:space="0" w:color="auto"/>
              <w:left w:val="nil"/>
              <w:bottom w:val="single" w:sz="12" w:space="0" w:color="auto"/>
              <w:right w:val="nil"/>
            </w:tcBorders>
            <w:vAlign w:val="bottom"/>
          </w:tcPr>
          <w:p w14:paraId="75434097"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hAnsi="Arial" w:cs="Arial"/>
                <w:b/>
                <w:bCs/>
                <w:sz w:val="14"/>
                <w:szCs w:val="14"/>
              </w:rPr>
              <w:t xml:space="preserve"> 782 </w:t>
            </w:r>
          </w:p>
        </w:tc>
        <w:tc>
          <w:tcPr>
            <w:tcW w:w="344" w:type="pct"/>
            <w:tcBorders>
              <w:top w:val="single" w:sz="6" w:space="0" w:color="auto"/>
              <w:left w:val="nil"/>
              <w:bottom w:val="single" w:sz="12" w:space="0" w:color="auto"/>
              <w:right w:val="nil"/>
            </w:tcBorders>
            <w:vAlign w:val="bottom"/>
          </w:tcPr>
          <w:p w14:paraId="3011CF14"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hAnsi="Arial" w:cs="Arial"/>
                <w:b/>
                <w:bCs/>
                <w:sz w:val="14"/>
                <w:szCs w:val="14"/>
              </w:rPr>
              <w:t xml:space="preserve"> - </w:t>
            </w:r>
          </w:p>
        </w:tc>
        <w:tc>
          <w:tcPr>
            <w:tcW w:w="343" w:type="pct"/>
            <w:tcBorders>
              <w:top w:val="single" w:sz="6" w:space="0" w:color="auto"/>
              <w:left w:val="nil"/>
              <w:bottom w:val="single" w:sz="12" w:space="0" w:color="auto"/>
              <w:right w:val="nil"/>
            </w:tcBorders>
            <w:vAlign w:val="bottom"/>
          </w:tcPr>
          <w:p w14:paraId="3641ED3C" w14:textId="77777777" w:rsidR="00587444" w:rsidRPr="00587444" w:rsidRDefault="00587444" w:rsidP="00587444">
            <w:pPr>
              <w:suppressAutoHyphens w:val="0"/>
              <w:autoSpaceDN/>
              <w:spacing w:line="301" w:lineRule="exact"/>
              <w:jc w:val="right"/>
              <w:rPr>
                <w:rFonts w:ascii="Arial" w:eastAsia="Calibri" w:hAnsi="Arial" w:cs="Arial"/>
                <w:b/>
                <w:bCs/>
                <w:sz w:val="14"/>
                <w:szCs w:val="14"/>
                <w:lang w:val="en-GB"/>
              </w:rPr>
            </w:pPr>
            <w:r w:rsidRPr="00587444">
              <w:rPr>
                <w:rFonts w:ascii="Arial" w:hAnsi="Arial" w:cs="Arial"/>
                <w:b/>
                <w:bCs/>
                <w:sz w:val="14"/>
                <w:szCs w:val="14"/>
              </w:rPr>
              <w:t xml:space="preserve"> 614,587 </w:t>
            </w:r>
          </w:p>
        </w:tc>
      </w:tr>
      <w:tr w:rsidR="00587444" w:rsidRPr="00587444" w14:paraId="7FD295B8" w14:textId="77777777" w:rsidTr="00DD69E7">
        <w:trPr>
          <w:trHeight w:val="111"/>
          <w:jc w:val="center"/>
        </w:trPr>
        <w:tc>
          <w:tcPr>
            <w:tcW w:w="877" w:type="pct"/>
            <w:vAlign w:val="bottom"/>
          </w:tcPr>
          <w:p w14:paraId="4872921F" w14:textId="77777777" w:rsidR="00587444" w:rsidRPr="00587444" w:rsidRDefault="00587444" w:rsidP="00587444">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Total credit risk exposure</w:t>
            </w:r>
          </w:p>
        </w:tc>
        <w:tc>
          <w:tcPr>
            <w:tcW w:w="343" w:type="pct"/>
            <w:tcBorders>
              <w:top w:val="nil"/>
              <w:left w:val="nil"/>
              <w:bottom w:val="single" w:sz="12" w:space="0" w:color="auto"/>
              <w:right w:val="nil"/>
            </w:tcBorders>
            <w:shd w:val="clear" w:color="auto" w:fill="auto"/>
            <w:vAlign w:val="bottom"/>
          </w:tcPr>
          <w:p w14:paraId="6E5C7C96"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27,786,807 </w:t>
            </w:r>
          </w:p>
        </w:tc>
        <w:tc>
          <w:tcPr>
            <w:tcW w:w="344" w:type="pct"/>
            <w:tcBorders>
              <w:top w:val="nil"/>
              <w:left w:val="nil"/>
              <w:bottom w:val="single" w:sz="12" w:space="0" w:color="auto"/>
              <w:right w:val="nil"/>
            </w:tcBorders>
            <w:shd w:val="clear" w:color="auto" w:fill="auto"/>
            <w:vAlign w:val="bottom"/>
          </w:tcPr>
          <w:p w14:paraId="6D2471B6"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1,285,228 </w:t>
            </w:r>
          </w:p>
        </w:tc>
        <w:tc>
          <w:tcPr>
            <w:tcW w:w="344" w:type="pct"/>
            <w:tcBorders>
              <w:top w:val="nil"/>
              <w:left w:val="nil"/>
              <w:bottom w:val="single" w:sz="12" w:space="0" w:color="auto"/>
              <w:right w:val="nil"/>
            </w:tcBorders>
            <w:shd w:val="clear" w:color="auto" w:fill="auto"/>
            <w:vAlign w:val="bottom"/>
          </w:tcPr>
          <w:p w14:paraId="2A2B50A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1,413,884 </w:t>
            </w:r>
          </w:p>
        </w:tc>
        <w:tc>
          <w:tcPr>
            <w:tcW w:w="343" w:type="pct"/>
            <w:tcBorders>
              <w:top w:val="nil"/>
              <w:left w:val="nil"/>
              <w:bottom w:val="single" w:sz="12" w:space="0" w:color="auto"/>
              <w:right w:val="nil"/>
            </w:tcBorders>
            <w:shd w:val="clear" w:color="auto" w:fill="auto"/>
            <w:vAlign w:val="bottom"/>
          </w:tcPr>
          <w:p w14:paraId="5AC0C73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1,230,215 </w:t>
            </w:r>
          </w:p>
        </w:tc>
        <w:tc>
          <w:tcPr>
            <w:tcW w:w="344" w:type="pct"/>
            <w:tcBorders>
              <w:top w:val="nil"/>
              <w:left w:val="nil"/>
              <w:bottom w:val="single" w:sz="12" w:space="0" w:color="auto"/>
              <w:right w:val="nil"/>
            </w:tcBorders>
            <w:shd w:val="clear" w:color="auto" w:fill="auto"/>
            <w:vAlign w:val="bottom"/>
          </w:tcPr>
          <w:p w14:paraId="30A67E1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16,375 </w:t>
            </w:r>
          </w:p>
        </w:tc>
        <w:tc>
          <w:tcPr>
            <w:tcW w:w="344" w:type="pct"/>
            <w:tcBorders>
              <w:top w:val="nil"/>
              <w:left w:val="nil"/>
              <w:bottom w:val="single" w:sz="12" w:space="0" w:color="auto"/>
              <w:right w:val="nil"/>
            </w:tcBorders>
            <w:shd w:val="clear" w:color="auto" w:fill="auto"/>
            <w:vAlign w:val="bottom"/>
          </w:tcPr>
          <w:p w14:paraId="7E3F0ECA"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31,732,509 </w:t>
            </w:r>
          </w:p>
        </w:tc>
        <w:tc>
          <w:tcPr>
            <w:tcW w:w="343" w:type="pct"/>
            <w:tcBorders>
              <w:top w:val="nil"/>
              <w:left w:val="nil"/>
              <w:bottom w:val="single" w:sz="12" w:space="0" w:color="auto"/>
              <w:right w:val="nil"/>
            </w:tcBorders>
            <w:vAlign w:val="bottom"/>
          </w:tcPr>
          <w:p w14:paraId="5427599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6,089,503 </w:t>
            </w:r>
          </w:p>
        </w:tc>
        <w:tc>
          <w:tcPr>
            <w:tcW w:w="344" w:type="pct"/>
            <w:tcBorders>
              <w:top w:val="nil"/>
              <w:left w:val="nil"/>
              <w:bottom w:val="single" w:sz="12" w:space="0" w:color="auto"/>
              <w:right w:val="nil"/>
            </w:tcBorders>
            <w:vAlign w:val="bottom"/>
          </w:tcPr>
          <w:p w14:paraId="04A3BEA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251,856 </w:t>
            </w:r>
          </w:p>
        </w:tc>
        <w:tc>
          <w:tcPr>
            <w:tcW w:w="344" w:type="pct"/>
            <w:tcBorders>
              <w:top w:val="nil"/>
              <w:left w:val="nil"/>
              <w:bottom w:val="single" w:sz="12" w:space="0" w:color="auto"/>
              <w:right w:val="nil"/>
            </w:tcBorders>
            <w:vAlign w:val="bottom"/>
          </w:tcPr>
          <w:p w14:paraId="18D6089A"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300,194 </w:t>
            </w:r>
          </w:p>
        </w:tc>
        <w:tc>
          <w:tcPr>
            <w:tcW w:w="343" w:type="pct"/>
            <w:tcBorders>
              <w:top w:val="nil"/>
              <w:left w:val="nil"/>
              <w:bottom w:val="single" w:sz="12" w:space="0" w:color="auto"/>
              <w:right w:val="nil"/>
            </w:tcBorders>
            <w:vAlign w:val="bottom"/>
          </w:tcPr>
          <w:p w14:paraId="6614C00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35,602 </w:t>
            </w:r>
          </w:p>
        </w:tc>
        <w:tc>
          <w:tcPr>
            <w:tcW w:w="344" w:type="pct"/>
            <w:tcBorders>
              <w:top w:val="nil"/>
              <w:left w:val="nil"/>
              <w:bottom w:val="single" w:sz="12" w:space="0" w:color="auto"/>
              <w:right w:val="nil"/>
            </w:tcBorders>
            <w:vAlign w:val="bottom"/>
          </w:tcPr>
          <w:p w14:paraId="4518B732"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16,375 </w:t>
            </w:r>
          </w:p>
        </w:tc>
        <w:tc>
          <w:tcPr>
            <w:tcW w:w="343" w:type="pct"/>
            <w:tcBorders>
              <w:top w:val="nil"/>
              <w:left w:val="nil"/>
              <w:bottom w:val="single" w:sz="12" w:space="0" w:color="auto"/>
              <w:right w:val="nil"/>
            </w:tcBorders>
            <w:vAlign w:val="bottom"/>
          </w:tcPr>
          <w:p w14:paraId="6038D86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4"/>
                <w:szCs w:val="14"/>
                <w:lang w:val="en-GB"/>
              </w:rPr>
            </w:pPr>
            <w:r w:rsidRPr="00587444">
              <w:rPr>
                <w:rFonts w:ascii="Arial" w:hAnsi="Arial" w:cs="Arial"/>
                <w:b/>
                <w:bCs/>
                <w:sz w:val="14"/>
                <w:szCs w:val="14"/>
              </w:rPr>
              <w:t xml:space="preserve"> 6,693,530 </w:t>
            </w:r>
          </w:p>
        </w:tc>
      </w:tr>
    </w:tbl>
    <w:p w14:paraId="4CC6BDC9" w14:textId="77777777" w:rsidR="00587444" w:rsidRPr="00587444" w:rsidRDefault="00587444" w:rsidP="00587444">
      <w:pPr>
        <w:suppressAutoHyphens w:val="0"/>
        <w:autoSpaceDN/>
        <w:jc w:val="both"/>
        <w:rPr>
          <w:rFonts w:ascii="Arial" w:hAnsi="Arial" w:cs="Arial"/>
          <w:b/>
          <w:bCs/>
          <w:sz w:val="20"/>
          <w:szCs w:val="20"/>
          <w:lang w:val="en-GB"/>
        </w:rPr>
      </w:pPr>
    </w:p>
    <w:p w14:paraId="7F6BB14A"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D69E7">
          <w:pgSz w:w="16840" w:h="11907" w:orient="landscape" w:code="9"/>
          <w:pgMar w:top="1418" w:right="1418" w:bottom="1134" w:left="1134" w:header="851" w:footer="851" w:gutter="0"/>
          <w:cols w:space="720"/>
          <w:noEndnote/>
          <w:docGrid w:linePitch="326"/>
        </w:sectPr>
      </w:pPr>
    </w:p>
    <w:p w14:paraId="617D6BF3" w14:textId="77777777" w:rsidR="00587444" w:rsidRPr="00587444" w:rsidRDefault="00587444" w:rsidP="00587444">
      <w:pPr>
        <w:suppressAutoHyphens w:val="0"/>
        <w:autoSpaceDN/>
        <w:jc w:val="both"/>
        <w:rPr>
          <w:rFonts w:ascii="Arial" w:hAnsi="Arial" w:cs="Arial"/>
          <w:b/>
          <w:bCs/>
          <w:sz w:val="20"/>
          <w:szCs w:val="20"/>
          <w:lang w:val="en-GB"/>
        </w:rPr>
      </w:pPr>
    </w:p>
    <w:p w14:paraId="23A34416" w14:textId="77777777" w:rsidR="00587444" w:rsidRPr="00587444" w:rsidRDefault="00587444" w:rsidP="007B030C">
      <w:pPr>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977CEAB" w14:textId="77777777" w:rsidR="00587444" w:rsidRPr="00587444" w:rsidRDefault="00587444" w:rsidP="007B030C">
      <w:pPr>
        <w:autoSpaceDN/>
        <w:jc w:val="both"/>
        <w:rPr>
          <w:rFonts w:ascii="Arial" w:hAnsi="Arial" w:cs="Arial"/>
          <w:b/>
          <w:sz w:val="20"/>
          <w:szCs w:val="20"/>
          <w:lang w:val="en-GB"/>
        </w:rPr>
      </w:pPr>
    </w:p>
    <w:p w14:paraId="14404553" w14:textId="77777777" w:rsidR="00587444" w:rsidRPr="00587444" w:rsidRDefault="00587444" w:rsidP="007B030C">
      <w:pPr>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00B03468" w14:textId="77777777" w:rsidR="00587444" w:rsidRPr="00587444" w:rsidRDefault="00587444" w:rsidP="007B030C">
      <w:pPr>
        <w:autoSpaceDN/>
        <w:rPr>
          <w:rFonts w:ascii="Arial" w:hAnsi="Arial" w:cs="Arial"/>
          <w:b/>
          <w:sz w:val="20"/>
          <w:szCs w:val="20"/>
          <w:lang w:val="en-GB"/>
        </w:rPr>
      </w:pPr>
    </w:p>
    <w:p w14:paraId="02D7368D" w14:textId="77777777" w:rsidR="00587444" w:rsidRPr="00587444" w:rsidRDefault="00587444" w:rsidP="007B030C">
      <w:pPr>
        <w:autoSpaceDN/>
        <w:rPr>
          <w:rFonts w:ascii="Arial" w:hAnsi="Arial" w:cs="Arial"/>
          <w:b/>
          <w:sz w:val="20"/>
          <w:szCs w:val="20"/>
          <w:lang w:val="en-GB"/>
        </w:rPr>
      </w:pPr>
      <w:r w:rsidRPr="00587444">
        <w:rPr>
          <w:rFonts w:ascii="Arial" w:hAnsi="Arial" w:cs="Arial"/>
          <w:b/>
          <w:sz w:val="20"/>
          <w:szCs w:val="20"/>
          <w:lang w:val="en-GB"/>
        </w:rPr>
        <w:t>Credit risk quality according to type of financial assets (continued)</w:t>
      </w:r>
    </w:p>
    <w:p w14:paraId="15547E9E" w14:textId="77777777" w:rsidR="00587444" w:rsidRPr="00587444" w:rsidRDefault="00587444" w:rsidP="007B030C">
      <w:pPr>
        <w:autoSpaceDN/>
        <w:jc w:val="both"/>
        <w:rPr>
          <w:rFonts w:ascii="Arial" w:hAnsi="Arial" w:cs="Arial"/>
          <w:b/>
          <w:bCs/>
          <w:sz w:val="20"/>
          <w:szCs w:val="20"/>
          <w:lang w:val="en-GB"/>
        </w:rPr>
      </w:pPr>
    </w:p>
    <w:p w14:paraId="658A25A2" w14:textId="77777777" w:rsidR="00587444" w:rsidRPr="00587444" w:rsidRDefault="00587444" w:rsidP="007B030C">
      <w:pPr>
        <w:autoSpaceDN/>
        <w:jc w:val="both"/>
        <w:rPr>
          <w:rFonts w:ascii="Arial" w:eastAsia="Calibri" w:hAnsi="Arial" w:cs="Arial"/>
          <w:bCs/>
          <w:color w:val="000000"/>
          <w:sz w:val="20"/>
          <w:szCs w:val="20"/>
          <w:lang w:val="en-GB"/>
        </w:rPr>
      </w:pPr>
      <w:r w:rsidRPr="00587444">
        <w:rPr>
          <w:rFonts w:ascii="Arial" w:eastAsia="Calibri" w:hAnsi="Arial" w:cs="Arial"/>
          <w:bCs/>
          <w:sz w:val="20"/>
          <w:szCs w:val="20"/>
          <w:lang w:val="en-GB"/>
        </w:rPr>
        <w:t xml:space="preserve">As at </w:t>
      </w:r>
      <w:r w:rsidRPr="00587444">
        <w:rPr>
          <w:rFonts w:ascii="Arial" w:hAnsi="Arial" w:cs="Arial"/>
          <w:sz w:val="20"/>
          <w:szCs w:val="20"/>
          <w:lang w:val="en-GB"/>
        </w:rPr>
        <w:t xml:space="preserve">31 December </w:t>
      </w:r>
      <w:r w:rsidRPr="00587444">
        <w:rPr>
          <w:rFonts w:ascii="Arial" w:eastAsia="Calibri" w:hAnsi="Arial" w:cs="Arial"/>
          <w:bCs/>
          <w:sz w:val="20"/>
          <w:szCs w:val="20"/>
          <w:lang w:val="en-GB"/>
        </w:rPr>
        <w:t xml:space="preserve">2022 in the total net highest exposure of the Group and the Bank </w:t>
      </w:r>
      <w:r w:rsidRPr="00587444">
        <w:rPr>
          <w:rFonts w:ascii="Arial" w:eastAsia="Calibri" w:hAnsi="Arial" w:cs="Arial"/>
          <w:sz w:val="20"/>
          <w:szCs w:val="20"/>
          <w:lang w:val="en-GB"/>
        </w:rPr>
        <w:t>after the effect of mitigation through collateral received</w:t>
      </w:r>
      <w:r w:rsidRPr="00587444">
        <w:rPr>
          <w:rFonts w:ascii="Arial" w:eastAsia="Calibri" w:hAnsi="Arial" w:cs="Arial"/>
          <w:bCs/>
          <w:sz w:val="20"/>
          <w:szCs w:val="20"/>
          <w:lang w:val="en-GB"/>
        </w:rPr>
        <w:t>, the amount of loans to other customers of HRK 1,453,948 thousand is not covered by ordinary collateral, but it relates to receivables and received funds from the Republic of Croatia of HRK 540,315 thousand,</w:t>
      </w:r>
      <w:r w:rsidRPr="00587444">
        <w:rPr>
          <w:rFonts w:ascii="Arial" w:eastAsia="Calibri" w:hAnsi="Arial" w:cs="Arial"/>
          <w:sz w:val="20"/>
          <w:szCs w:val="20"/>
          <w:lang w:val="en-GB"/>
        </w:rPr>
        <w:t xml:space="preserve"> local and regional authorities of HRK 757,542 thousand and public companies for whose liabilities the Republic of Croatia guarantees jointly and unconditionally of HRK 156,091 </w:t>
      </w:r>
      <w:r w:rsidRPr="00587444">
        <w:rPr>
          <w:rFonts w:ascii="Arial" w:eastAsia="Calibri" w:hAnsi="Arial" w:cs="Arial"/>
          <w:color w:val="000000"/>
          <w:sz w:val="20"/>
          <w:szCs w:val="20"/>
          <w:lang w:val="en-GB"/>
        </w:rPr>
        <w:t>thousand.</w:t>
      </w:r>
    </w:p>
    <w:p w14:paraId="7FD2AC2D" w14:textId="77777777" w:rsidR="00587444" w:rsidRPr="00587444" w:rsidRDefault="00587444" w:rsidP="007B030C">
      <w:pPr>
        <w:autoSpaceDN/>
        <w:jc w:val="both"/>
        <w:rPr>
          <w:rFonts w:ascii="Arial" w:eastAsia="Calibri" w:hAnsi="Arial" w:cs="Arial"/>
          <w:bCs/>
          <w:sz w:val="20"/>
          <w:szCs w:val="20"/>
          <w:lang w:val="en-GB"/>
        </w:rPr>
      </w:pPr>
    </w:p>
    <w:p w14:paraId="5024274B" w14:textId="77777777" w:rsidR="00587444" w:rsidRPr="00587444" w:rsidRDefault="00587444" w:rsidP="007B030C">
      <w:pPr>
        <w:autoSpaceDN/>
        <w:jc w:val="both"/>
        <w:rPr>
          <w:rFonts w:ascii="Arial" w:hAnsi="Arial" w:cs="Arial"/>
          <w:sz w:val="20"/>
          <w:szCs w:val="20"/>
          <w:lang w:val="en-GB"/>
        </w:rPr>
      </w:pPr>
      <w:r w:rsidRPr="00587444">
        <w:rPr>
          <w:rFonts w:ascii="Arial" w:hAnsi="Arial" w:cs="Arial"/>
          <w:sz w:val="20"/>
          <w:szCs w:val="20"/>
          <w:lang w:val="en-GB"/>
        </w:rPr>
        <w:t xml:space="preserve">As </w:t>
      </w:r>
      <w:proofErr w:type="gramStart"/>
      <w:r w:rsidRPr="00587444">
        <w:rPr>
          <w:rFonts w:ascii="Arial" w:hAnsi="Arial" w:cs="Arial"/>
          <w:sz w:val="20"/>
          <w:szCs w:val="20"/>
          <w:lang w:val="en-GB"/>
        </w:rPr>
        <w:t>at</w:t>
      </w:r>
      <w:proofErr w:type="gramEnd"/>
      <w:r w:rsidRPr="00587444">
        <w:rPr>
          <w:rFonts w:ascii="Arial" w:hAnsi="Arial" w:cs="Arial"/>
          <w:sz w:val="20"/>
          <w:szCs w:val="20"/>
          <w:lang w:val="en-GB"/>
        </w:rPr>
        <w:t xml:space="preserve"> 31 December 2022 the amount of financial assets at fair value through other comprehensive income is not covered by ordinary collateral but it relates to government bonds and treasury bills of the Ministry of Finance of HRK 2,629,299 thousand for the Group and HRK 2,584,329 thousand for the Bank.</w:t>
      </w:r>
    </w:p>
    <w:p w14:paraId="16044649" w14:textId="77777777" w:rsidR="00587444" w:rsidRPr="00587444" w:rsidRDefault="00587444" w:rsidP="007B030C">
      <w:pPr>
        <w:autoSpaceDN/>
        <w:jc w:val="both"/>
        <w:rPr>
          <w:rFonts w:ascii="Arial" w:hAnsi="Arial" w:cs="Arial"/>
          <w:sz w:val="20"/>
          <w:szCs w:val="20"/>
          <w:lang w:val="en-GB"/>
        </w:rPr>
      </w:pPr>
    </w:p>
    <w:p w14:paraId="3D09106C" w14:textId="77777777" w:rsidR="00587444" w:rsidRPr="00587444" w:rsidRDefault="00587444" w:rsidP="007B030C">
      <w:pPr>
        <w:autoSpaceDN/>
        <w:jc w:val="both"/>
        <w:rPr>
          <w:rFonts w:ascii="Arial" w:hAnsi="Arial" w:cs="Arial"/>
          <w:sz w:val="20"/>
          <w:szCs w:val="20"/>
          <w:lang w:val="en-GB"/>
        </w:rPr>
      </w:pPr>
      <w:r w:rsidRPr="00587444">
        <w:rPr>
          <w:rFonts w:ascii="Arial" w:hAnsi="Arial" w:cs="Arial"/>
          <w:sz w:val="20"/>
          <w:szCs w:val="20"/>
          <w:lang w:val="en-GB"/>
        </w:rPr>
        <w:t xml:space="preserve">As </w:t>
      </w:r>
      <w:proofErr w:type="gramStart"/>
      <w:r w:rsidRPr="00587444">
        <w:rPr>
          <w:rFonts w:ascii="Arial" w:hAnsi="Arial" w:cs="Arial"/>
          <w:sz w:val="20"/>
          <w:szCs w:val="20"/>
          <w:lang w:val="en-GB"/>
        </w:rPr>
        <w:t>at</w:t>
      </w:r>
      <w:proofErr w:type="gramEnd"/>
      <w:r w:rsidRPr="00587444">
        <w:rPr>
          <w:rFonts w:ascii="Arial" w:hAnsi="Arial" w:cs="Arial"/>
          <w:sz w:val="20"/>
          <w:szCs w:val="20"/>
          <w:lang w:val="en-GB"/>
        </w:rPr>
        <w:t xml:space="preserve"> 31 December 2022 other assets of HRK 181 thousand are not covered by ordinary collateral, but relate to receivables from the Republic of Croatia and the government funds.</w:t>
      </w:r>
    </w:p>
    <w:p w14:paraId="1FC7D807" w14:textId="77777777" w:rsidR="00587444" w:rsidRPr="00587444" w:rsidRDefault="00587444" w:rsidP="007B030C">
      <w:pPr>
        <w:autoSpaceDN/>
        <w:jc w:val="both"/>
        <w:rPr>
          <w:rFonts w:ascii="Arial" w:hAnsi="Arial" w:cs="Arial"/>
          <w:sz w:val="20"/>
          <w:szCs w:val="20"/>
          <w:lang w:val="en-GB"/>
        </w:rPr>
      </w:pPr>
    </w:p>
    <w:p w14:paraId="50B74162" w14:textId="77777777" w:rsidR="00587444" w:rsidRPr="00587444" w:rsidRDefault="00587444" w:rsidP="007B030C">
      <w:pPr>
        <w:autoSpaceDN/>
        <w:jc w:val="both"/>
        <w:rPr>
          <w:rFonts w:ascii="Arial" w:eastAsia="Calibri" w:hAnsi="Arial" w:cs="Arial"/>
          <w:bCs/>
          <w:color w:val="000000"/>
          <w:sz w:val="20"/>
          <w:szCs w:val="20"/>
          <w:lang w:val="en-GB"/>
        </w:rPr>
      </w:pPr>
      <w:r w:rsidRPr="00587444">
        <w:rPr>
          <w:rFonts w:ascii="Arial" w:eastAsia="Calibri" w:hAnsi="Arial" w:cs="Arial"/>
          <w:bCs/>
          <w:sz w:val="20"/>
          <w:szCs w:val="20"/>
          <w:lang w:val="en-GB"/>
        </w:rPr>
        <w:t xml:space="preserve">As at </w:t>
      </w:r>
      <w:r w:rsidRPr="00587444">
        <w:rPr>
          <w:rFonts w:ascii="Arial" w:hAnsi="Arial" w:cs="Arial"/>
          <w:sz w:val="20"/>
          <w:szCs w:val="20"/>
          <w:lang w:val="en-GB"/>
        </w:rPr>
        <w:t xml:space="preserve">31 December </w:t>
      </w:r>
      <w:r w:rsidRPr="00587444">
        <w:rPr>
          <w:rFonts w:ascii="Arial" w:eastAsia="Calibri" w:hAnsi="Arial" w:cs="Arial"/>
          <w:bCs/>
          <w:sz w:val="20"/>
          <w:szCs w:val="20"/>
          <w:lang w:val="en-GB"/>
        </w:rPr>
        <w:t xml:space="preserve">2021 in the total net highest exposure of the Group and the Bank </w:t>
      </w:r>
      <w:r w:rsidRPr="00587444">
        <w:rPr>
          <w:rFonts w:ascii="Arial" w:eastAsia="Calibri" w:hAnsi="Arial" w:cs="Arial"/>
          <w:sz w:val="20"/>
          <w:szCs w:val="20"/>
          <w:lang w:val="en-GB"/>
        </w:rPr>
        <w:t>after the effect of mitigation through collateral received</w:t>
      </w:r>
      <w:r w:rsidRPr="00587444">
        <w:rPr>
          <w:rFonts w:ascii="Arial" w:eastAsia="Calibri" w:hAnsi="Arial" w:cs="Arial"/>
          <w:bCs/>
          <w:sz w:val="20"/>
          <w:szCs w:val="20"/>
          <w:lang w:val="en-GB"/>
        </w:rPr>
        <w:t>, the amount of loans to other customers of HRK 1,436,818 thousand is not covered by ordinary collateral, but it relates to receivables and received funds from the Republic of Croatia of HRK 478,759 thousand,</w:t>
      </w:r>
      <w:r w:rsidRPr="00587444">
        <w:rPr>
          <w:rFonts w:ascii="Arial" w:eastAsia="Calibri" w:hAnsi="Arial" w:cs="Arial"/>
          <w:sz w:val="20"/>
          <w:szCs w:val="20"/>
          <w:lang w:val="en-GB"/>
        </w:rPr>
        <w:t xml:space="preserve"> local and regional authorities of HRK 777,947 thousand and public companies for whose liabilities the Republic of Croatia guarantees jointly and unconditionally of HRK 180,112 </w:t>
      </w:r>
      <w:r w:rsidRPr="00587444">
        <w:rPr>
          <w:rFonts w:ascii="Arial" w:eastAsia="Calibri" w:hAnsi="Arial" w:cs="Arial"/>
          <w:color w:val="000000"/>
          <w:sz w:val="20"/>
          <w:szCs w:val="20"/>
          <w:lang w:val="en-GB"/>
        </w:rPr>
        <w:t>thousand.</w:t>
      </w:r>
    </w:p>
    <w:p w14:paraId="21543953" w14:textId="77777777" w:rsidR="00587444" w:rsidRPr="00587444" w:rsidRDefault="00587444" w:rsidP="007B030C">
      <w:pPr>
        <w:autoSpaceDN/>
        <w:jc w:val="both"/>
        <w:rPr>
          <w:rFonts w:ascii="Arial" w:eastAsia="Calibri" w:hAnsi="Arial" w:cs="Arial"/>
          <w:bCs/>
          <w:sz w:val="20"/>
          <w:szCs w:val="20"/>
          <w:lang w:val="en-GB"/>
        </w:rPr>
      </w:pPr>
    </w:p>
    <w:p w14:paraId="3727EE22" w14:textId="77777777" w:rsidR="00587444" w:rsidRPr="00587444" w:rsidRDefault="00587444" w:rsidP="007B030C">
      <w:pPr>
        <w:autoSpaceDN/>
        <w:jc w:val="both"/>
        <w:rPr>
          <w:rFonts w:ascii="Arial" w:hAnsi="Arial" w:cs="Arial"/>
          <w:sz w:val="20"/>
          <w:szCs w:val="20"/>
          <w:lang w:val="en-GB"/>
        </w:rPr>
      </w:pPr>
      <w:r w:rsidRPr="00587444">
        <w:rPr>
          <w:rFonts w:ascii="Arial" w:hAnsi="Arial" w:cs="Arial"/>
          <w:sz w:val="20"/>
          <w:szCs w:val="20"/>
          <w:lang w:val="en-GB"/>
        </w:rPr>
        <w:t xml:space="preserve">As </w:t>
      </w:r>
      <w:proofErr w:type="gramStart"/>
      <w:r w:rsidRPr="00587444">
        <w:rPr>
          <w:rFonts w:ascii="Arial" w:hAnsi="Arial" w:cs="Arial"/>
          <w:sz w:val="20"/>
          <w:szCs w:val="20"/>
          <w:lang w:val="en-GB"/>
        </w:rPr>
        <w:t>at</w:t>
      </w:r>
      <w:proofErr w:type="gramEnd"/>
      <w:r w:rsidRPr="00587444">
        <w:rPr>
          <w:rFonts w:ascii="Arial" w:hAnsi="Arial" w:cs="Arial"/>
          <w:sz w:val="20"/>
          <w:szCs w:val="20"/>
          <w:lang w:val="en-GB"/>
        </w:rPr>
        <w:t xml:space="preserve"> 31 December 2021 the amount of financial assets at fair value through other comprehensive income is not covered by ordinary collateral but it relates to government bonds and treasury bills of the Ministry of Finance of HRK 2,924,943 thousand for the Group and HRK 2,870,512 thousand for the Bank.</w:t>
      </w:r>
    </w:p>
    <w:p w14:paraId="11E7650C" w14:textId="77777777" w:rsidR="00587444" w:rsidRPr="00587444" w:rsidRDefault="00587444" w:rsidP="007B030C">
      <w:pPr>
        <w:autoSpaceDN/>
        <w:jc w:val="both"/>
        <w:rPr>
          <w:rFonts w:ascii="Arial" w:hAnsi="Arial" w:cs="Arial"/>
          <w:sz w:val="20"/>
          <w:szCs w:val="20"/>
          <w:lang w:val="en-GB"/>
        </w:rPr>
      </w:pPr>
    </w:p>
    <w:p w14:paraId="751C36E7" w14:textId="77777777" w:rsidR="00587444" w:rsidRPr="00587444" w:rsidRDefault="00587444" w:rsidP="007B030C">
      <w:pPr>
        <w:autoSpaceDN/>
        <w:jc w:val="both"/>
        <w:rPr>
          <w:rFonts w:ascii="Arial" w:hAnsi="Arial" w:cs="Arial"/>
          <w:sz w:val="20"/>
          <w:szCs w:val="20"/>
          <w:lang w:val="en-GB"/>
        </w:rPr>
      </w:pPr>
      <w:r w:rsidRPr="00587444">
        <w:rPr>
          <w:rFonts w:ascii="Arial" w:hAnsi="Arial" w:cs="Arial"/>
          <w:sz w:val="20"/>
          <w:szCs w:val="20"/>
          <w:lang w:val="en-GB"/>
        </w:rPr>
        <w:t xml:space="preserve">As </w:t>
      </w:r>
      <w:proofErr w:type="gramStart"/>
      <w:r w:rsidRPr="00587444">
        <w:rPr>
          <w:rFonts w:ascii="Arial" w:hAnsi="Arial" w:cs="Arial"/>
          <w:sz w:val="20"/>
          <w:szCs w:val="20"/>
          <w:lang w:val="en-GB"/>
        </w:rPr>
        <w:t>at</w:t>
      </w:r>
      <w:proofErr w:type="gramEnd"/>
      <w:r w:rsidRPr="00587444">
        <w:rPr>
          <w:rFonts w:ascii="Arial" w:hAnsi="Arial" w:cs="Arial"/>
          <w:sz w:val="20"/>
          <w:szCs w:val="20"/>
          <w:lang w:val="en-GB"/>
        </w:rPr>
        <w:t xml:space="preserve"> 31 December 2021 other assets of HRK 167 thousand are not covered by ordinary collateral, but relate to receivables from the Republic of Croatia and the government funds.</w:t>
      </w:r>
    </w:p>
    <w:p w14:paraId="567328F0" w14:textId="77777777" w:rsidR="00587444" w:rsidRPr="00587444" w:rsidRDefault="00587444" w:rsidP="00587444">
      <w:pPr>
        <w:suppressAutoHyphens w:val="0"/>
        <w:autoSpaceDN/>
        <w:jc w:val="both"/>
        <w:rPr>
          <w:rFonts w:ascii="Arial" w:hAnsi="Arial" w:cs="Arial"/>
          <w:sz w:val="20"/>
          <w:szCs w:val="20"/>
          <w:lang w:val="en-GB"/>
        </w:rPr>
      </w:pPr>
    </w:p>
    <w:p w14:paraId="1AF6641E" w14:textId="77777777" w:rsidR="00587444" w:rsidRPr="00587444" w:rsidRDefault="00587444" w:rsidP="00587444">
      <w:pPr>
        <w:suppressAutoHyphens w:val="0"/>
        <w:autoSpaceDN/>
        <w:jc w:val="both"/>
        <w:rPr>
          <w:rFonts w:ascii="Arial" w:hAnsi="Arial" w:cs="Arial"/>
          <w:b/>
          <w:bCs/>
          <w:sz w:val="20"/>
          <w:szCs w:val="20"/>
          <w:lang w:val="en-GB"/>
        </w:rPr>
      </w:pPr>
    </w:p>
    <w:p w14:paraId="796BA012"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D69E7">
          <w:footerReference w:type="default" r:id="rId90"/>
          <w:pgSz w:w="11907" w:h="16840" w:code="9"/>
          <w:pgMar w:top="1418" w:right="1134" w:bottom="1134" w:left="1418" w:header="851" w:footer="851" w:gutter="0"/>
          <w:cols w:space="720"/>
          <w:noEndnote/>
        </w:sectPr>
      </w:pPr>
    </w:p>
    <w:p w14:paraId="30E8D630" w14:textId="77777777" w:rsidR="00587444" w:rsidRPr="00587444" w:rsidRDefault="00587444" w:rsidP="00587444">
      <w:pPr>
        <w:suppressAutoHyphens w:val="0"/>
        <w:autoSpaceDN/>
        <w:jc w:val="both"/>
        <w:rPr>
          <w:rFonts w:ascii="Arial" w:hAnsi="Arial" w:cs="Arial"/>
          <w:b/>
          <w:bCs/>
          <w:sz w:val="20"/>
          <w:szCs w:val="20"/>
          <w:lang w:val="en-GB"/>
        </w:rPr>
      </w:pPr>
    </w:p>
    <w:p w14:paraId="6F6DCED2"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62A430E5" w14:textId="77777777" w:rsidR="00587444" w:rsidRPr="00587444" w:rsidRDefault="00587444" w:rsidP="00587444">
      <w:pPr>
        <w:suppressAutoHyphens w:val="0"/>
        <w:autoSpaceDN/>
        <w:jc w:val="both"/>
        <w:rPr>
          <w:rFonts w:ascii="Arial" w:hAnsi="Arial" w:cs="Arial"/>
          <w:b/>
          <w:sz w:val="20"/>
          <w:szCs w:val="20"/>
          <w:lang w:val="en-GB"/>
        </w:rPr>
      </w:pPr>
    </w:p>
    <w:p w14:paraId="4FF49C87"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625D0FD" w14:textId="77777777" w:rsidR="00587444" w:rsidRPr="00587444" w:rsidRDefault="00587444" w:rsidP="00587444">
      <w:pPr>
        <w:suppressAutoHyphens w:val="0"/>
        <w:autoSpaceDN/>
        <w:jc w:val="both"/>
        <w:rPr>
          <w:rFonts w:ascii="Arial" w:hAnsi="Arial" w:cs="Arial"/>
          <w:b/>
          <w:bCs/>
          <w:i/>
          <w:sz w:val="20"/>
          <w:szCs w:val="20"/>
          <w:lang w:val="en-GB"/>
        </w:rPr>
      </w:pPr>
    </w:p>
    <w:p w14:paraId="23CF73F8" w14:textId="77777777" w:rsidR="00587444" w:rsidRPr="00587444" w:rsidRDefault="00587444">
      <w:pPr>
        <w:numPr>
          <w:ilvl w:val="8"/>
          <w:numId w:val="41"/>
        </w:numPr>
        <w:suppressAutoHyphens w:val="0"/>
        <w:autoSpaceDN/>
        <w:ind w:left="284" w:hanging="284"/>
        <w:jc w:val="both"/>
        <w:rPr>
          <w:rFonts w:ascii="Arial" w:hAnsi="Arial" w:cs="Arial"/>
          <w:bCs/>
          <w:i/>
          <w:sz w:val="20"/>
          <w:szCs w:val="20"/>
          <w:lang w:val="en-GB"/>
        </w:rPr>
      </w:pPr>
      <w:r w:rsidRPr="00587444">
        <w:rPr>
          <w:rFonts w:ascii="Arial" w:hAnsi="Arial" w:cs="Arial"/>
          <w:bCs/>
          <w:i/>
          <w:sz w:val="20"/>
          <w:szCs w:val="20"/>
          <w:lang w:val="en-GB"/>
        </w:rPr>
        <w:t>Allowances</w:t>
      </w:r>
    </w:p>
    <w:p w14:paraId="68A0C6E2" w14:textId="77777777" w:rsidR="00587444" w:rsidRPr="00587444" w:rsidRDefault="00587444" w:rsidP="00587444">
      <w:pPr>
        <w:suppressAutoHyphens w:val="0"/>
        <w:autoSpaceDN/>
        <w:jc w:val="both"/>
        <w:rPr>
          <w:rFonts w:ascii="Arial" w:hAnsi="Arial" w:cs="Arial"/>
          <w:b/>
          <w:bCs/>
          <w:sz w:val="20"/>
          <w:szCs w:val="20"/>
          <w:lang w:val="en-GB"/>
        </w:rPr>
      </w:pPr>
    </w:p>
    <w:p w14:paraId="7AFACB7A" w14:textId="77777777" w:rsidR="00587444" w:rsidRPr="00587444" w:rsidRDefault="00587444" w:rsidP="00587444">
      <w:pPr>
        <w:suppressAutoHyphens w:val="0"/>
        <w:autoSpaceDE w:val="0"/>
        <w:adjustRightInd w:val="0"/>
        <w:jc w:val="both"/>
        <w:rPr>
          <w:rFonts w:ascii="Arial" w:hAnsi="Arial" w:cs="Arial"/>
          <w:color w:val="000000"/>
          <w:sz w:val="20"/>
          <w:szCs w:val="20"/>
          <w:lang w:val="hr-HR" w:eastAsia="hr-HR"/>
        </w:rPr>
      </w:pPr>
      <w:r w:rsidRPr="00587444">
        <w:rPr>
          <w:rFonts w:ascii="Arial" w:hAnsi="Arial" w:cs="Arial"/>
          <w:color w:val="000000"/>
          <w:sz w:val="20"/>
          <w:szCs w:val="20"/>
          <w:lang w:val="en-GB" w:eastAsia="hr-HR"/>
        </w:rPr>
        <w:t>The following tables</w:t>
      </w:r>
      <w:r w:rsidRPr="00587444">
        <w:rPr>
          <w:rFonts w:ascii="Arial" w:hAnsi="Arial" w:cs="Arial"/>
          <w:b/>
          <w:bCs/>
          <w:color w:val="000000"/>
          <w:sz w:val="20"/>
          <w:szCs w:val="20"/>
          <w:lang w:val="en-GB" w:eastAsia="hr-HR"/>
        </w:rPr>
        <w:t xml:space="preserve"> </w:t>
      </w:r>
      <w:r w:rsidRPr="00587444">
        <w:rPr>
          <w:rFonts w:ascii="Arial" w:hAnsi="Arial" w:cs="Arial"/>
          <w:color w:val="000000"/>
          <w:sz w:val="20"/>
          <w:szCs w:val="20"/>
          <w:lang w:val="en-GB" w:eastAsia="hr-HR"/>
        </w:rPr>
        <w:t>show reconciliations from the opening to the closing balance of the loss allowance by class of financial instrument by risk category</w:t>
      </w:r>
      <w:r w:rsidRPr="00587444">
        <w:rPr>
          <w:rFonts w:ascii="Arial" w:hAnsi="Arial" w:cs="Arial"/>
          <w:color w:val="000000"/>
          <w:sz w:val="20"/>
          <w:szCs w:val="20"/>
          <w:lang w:val="hr-HR" w:eastAsia="hr-HR"/>
        </w:rPr>
        <w:t>:</w:t>
      </w:r>
    </w:p>
    <w:p w14:paraId="025CFF6F" w14:textId="77777777" w:rsidR="00587444" w:rsidRPr="00587444" w:rsidRDefault="00587444" w:rsidP="00587444">
      <w:pPr>
        <w:suppressAutoHyphens w:val="0"/>
        <w:autoSpaceDN/>
        <w:jc w:val="both"/>
        <w:rPr>
          <w:rFonts w:ascii="Arial" w:hAnsi="Arial" w:cs="Arial"/>
          <w:b/>
          <w:bCs/>
          <w:sz w:val="20"/>
          <w:szCs w:val="20"/>
          <w:lang w:val="en-GB"/>
        </w:rPr>
      </w:pPr>
    </w:p>
    <w:p w14:paraId="44BFFF65"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Cash on hand and current accounts with banks</w:t>
      </w:r>
    </w:p>
    <w:p w14:paraId="14B596C5" w14:textId="77777777" w:rsidR="00587444" w:rsidRPr="00587444" w:rsidRDefault="00587444" w:rsidP="00587444">
      <w:pPr>
        <w:suppressAutoHyphens w:val="0"/>
        <w:autoSpaceDN/>
        <w:jc w:val="both"/>
        <w:rPr>
          <w:rFonts w:ascii="Arial" w:hAnsi="Arial" w:cs="Arial"/>
          <w:b/>
          <w:bCs/>
          <w:sz w:val="20"/>
          <w:szCs w:val="20"/>
          <w:lang w:val="en-GB"/>
        </w:rPr>
      </w:pPr>
    </w:p>
    <w:p w14:paraId="1565BC37"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4908" w:type="pct"/>
        <w:tblLayout w:type="fixed"/>
        <w:tblLook w:val="0000" w:firstRow="0" w:lastRow="0" w:firstColumn="0" w:lastColumn="0" w:noHBand="0" w:noVBand="0"/>
      </w:tblPr>
      <w:tblGrid>
        <w:gridCol w:w="3407"/>
        <w:gridCol w:w="1221"/>
        <w:gridCol w:w="1221"/>
        <w:gridCol w:w="1208"/>
        <w:gridCol w:w="1137"/>
        <w:gridCol w:w="1201"/>
      </w:tblGrid>
      <w:tr w:rsidR="00587444" w:rsidRPr="00587444" w14:paraId="7DCD04F4" w14:textId="77777777" w:rsidTr="00DD69E7">
        <w:trPr>
          <w:trHeight w:val="276"/>
        </w:trPr>
        <w:tc>
          <w:tcPr>
            <w:tcW w:w="1813" w:type="pct"/>
          </w:tcPr>
          <w:p w14:paraId="7AF249BE" w14:textId="77777777" w:rsidR="00587444" w:rsidRPr="00587444" w:rsidRDefault="00587444" w:rsidP="00587444">
            <w:pPr>
              <w:suppressAutoHyphens w:val="0"/>
              <w:autoSpaceDN/>
              <w:rPr>
                <w:rFonts w:ascii="Arial" w:eastAsia="Calibri" w:hAnsi="Arial" w:cs="Arial"/>
                <w:b/>
                <w:bCs/>
                <w:sz w:val="18"/>
                <w:szCs w:val="18"/>
                <w:lang w:val="en-GB"/>
              </w:rPr>
            </w:pPr>
            <w:bookmarkStart w:id="1148" w:name="_Hlk5871427"/>
            <w:r w:rsidRPr="00587444">
              <w:rPr>
                <w:rFonts w:ascii="Arial" w:eastAsia="Calibri" w:hAnsi="Arial" w:cs="Arial"/>
                <w:b/>
                <w:bCs/>
                <w:sz w:val="18"/>
                <w:szCs w:val="18"/>
                <w:lang w:val="en-GB"/>
              </w:rPr>
              <w:br w:type="page"/>
              <w:t>Group</w:t>
            </w:r>
          </w:p>
        </w:tc>
        <w:tc>
          <w:tcPr>
            <w:tcW w:w="3187" w:type="pct"/>
            <w:gridSpan w:val="5"/>
            <w:vAlign w:val="bottom"/>
          </w:tcPr>
          <w:p w14:paraId="3C03EDF8"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68479699" w14:textId="77777777" w:rsidTr="00DD69E7">
        <w:trPr>
          <w:trHeight w:val="44"/>
        </w:trPr>
        <w:tc>
          <w:tcPr>
            <w:tcW w:w="1813" w:type="pct"/>
          </w:tcPr>
          <w:p w14:paraId="3D43F7E1"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2022</w:t>
            </w:r>
          </w:p>
        </w:tc>
        <w:tc>
          <w:tcPr>
            <w:tcW w:w="650" w:type="pct"/>
            <w:vAlign w:val="bottom"/>
          </w:tcPr>
          <w:p w14:paraId="73895AA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7768031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6C4CB4AB"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55BC006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9" w:type="pct"/>
            <w:vAlign w:val="bottom"/>
          </w:tcPr>
          <w:p w14:paraId="28693CA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69582639" w14:textId="77777777" w:rsidTr="00DD69E7">
        <w:trPr>
          <w:trHeight w:val="44"/>
        </w:trPr>
        <w:tc>
          <w:tcPr>
            <w:tcW w:w="1813" w:type="pct"/>
          </w:tcPr>
          <w:p w14:paraId="1D694892"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6B11CC7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50" w:type="pct"/>
          </w:tcPr>
          <w:p w14:paraId="24DE2A1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3" w:type="pct"/>
          </w:tcPr>
          <w:p w14:paraId="7A011F4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05" w:type="pct"/>
          </w:tcPr>
          <w:p w14:paraId="181AA53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39" w:type="pct"/>
          </w:tcPr>
          <w:p w14:paraId="5141EE1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1CCF4DDA" w14:textId="77777777" w:rsidTr="00DD69E7">
        <w:trPr>
          <w:trHeight w:val="44"/>
        </w:trPr>
        <w:tc>
          <w:tcPr>
            <w:tcW w:w="1813" w:type="pct"/>
          </w:tcPr>
          <w:p w14:paraId="75BF3D2F"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449B242B"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50" w:type="pct"/>
          </w:tcPr>
          <w:p w14:paraId="0EC75546"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43" w:type="pct"/>
          </w:tcPr>
          <w:p w14:paraId="101F1521"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05" w:type="pct"/>
          </w:tcPr>
          <w:p w14:paraId="137A5D65"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39" w:type="pct"/>
          </w:tcPr>
          <w:p w14:paraId="585DAD54"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06C68E01" w14:textId="77777777" w:rsidTr="00DD69E7">
        <w:trPr>
          <w:trHeight w:val="166"/>
        </w:trPr>
        <w:tc>
          <w:tcPr>
            <w:tcW w:w="1813" w:type="pct"/>
            <w:vAlign w:val="bottom"/>
          </w:tcPr>
          <w:p w14:paraId="57EA71F8"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2022</w:t>
            </w:r>
          </w:p>
        </w:tc>
        <w:tc>
          <w:tcPr>
            <w:tcW w:w="650" w:type="pct"/>
            <w:shd w:val="clear" w:color="auto" w:fill="auto"/>
            <w:vAlign w:val="bottom"/>
          </w:tcPr>
          <w:p w14:paraId="582325C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1,809</w:t>
            </w:r>
          </w:p>
        </w:tc>
        <w:tc>
          <w:tcPr>
            <w:tcW w:w="650" w:type="pct"/>
            <w:shd w:val="clear" w:color="auto" w:fill="auto"/>
            <w:vAlign w:val="bottom"/>
          </w:tcPr>
          <w:p w14:paraId="576C8E8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43" w:type="pct"/>
            <w:shd w:val="clear" w:color="auto" w:fill="auto"/>
            <w:vAlign w:val="bottom"/>
          </w:tcPr>
          <w:p w14:paraId="7AA54921"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05" w:type="pct"/>
            <w:shd w:val="clear" w:color="auto" w:fill="auto"/>
            <w:vAlign w:val="bottom"/>
          </w:tcPr>
          <w:p w14:paraId="31F360A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39" w:type="pct"/>
            <w:shd w:val="clear" w:color="auto" w:fill="auto"/>
            <w:vAlign w:val="bottom"/>
          </w:tcPr>
          <w:p w14:paraId="60CF2B8C"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1,809</w:t>
            </w:r>
          </w:p>
        </w:tc>
      </w:tr>
      <w:tr w:rsidR="00587444" w:rsidRPr="00587444" w14:paraId="14EA001A" w14:textId="77777777" w:rsidTr="00DD69E7">
        <w:trPr>
          <w:trHeight w:val="166"/>
        </w:trPr>
        <w:tc>
          <w:tcPr>
            <w:tcW w:w="1813" w:type="pct"/>
            <w:vAlign w:val="bottom"/>
          </w:tcPr>
          <w:p w14:paraId="0A425E4F"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bookmarkStart w:id="1149" w:name="_Hlk16865676"/>
            <w:r w:rsidRPr="00587444">
              <w:rPr>
                <w:rFonts w:ascii="Arial" w:eastAsia="Calibri" w:hAnsi="Arial" w:cs="Arial"/>
                <w:sz w:val="18"/>
                <w:szCs w:val="18"/>
                <w:lang w:val="en-GB"/>
              </w:rPr>
              <w:t>Transfer to Stage 1</w:t>
            </w:r>
            <w:bookmarkEnd w:id="1149"/>
          </w:p>
        </w:tc>
        <w:tc>
          <w:tcPr>
            <w:tcW w:w="650" w:type="pct"/>
            <w:shd w:val="clear" w:color="auto" w:fill="auto"/>
            <w:vAlign w:val="bottom"/>
          </w:tcPr>
          <w:p w14:paraId="2F28BB0A"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50" w:type="pct"/>
            <w:shd w:val="clear" w:color="auto" w:fill="auto"/>
            <w:vAlign w:val="bottom"/>
          </w:tcPr>
          <w:p w14:paraId="489C4D44"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3" w:type="pct"/>
            <w:shd w:val="clear" w:color="auto" w:fill="auto"/>
            <w:vAlign w:val="bottom"/>
          </w:tcPr>
          <w:p w14:paraId="2F4D135A"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05" w:type="pct"/>
            <w:shd w:val="clear" w:color="auto" w:fill="auto"/>
            <w:vAlign w:val="bottom"/>
          </w:tcPr>
          <w:p w14:paraId="3AEC41E1"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39" w:type="pct"/>
            <w:shd w:val="clear" w:color="auto" w:fill="auto"/>
            <w:vAlign w:val="bottom"/>
          </w:tcPr>
          <w:p w14:paraId="14A83AF2"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r>
      <w:tr w:rsidR="00587444" w:rsidRPr="00587444" w14:paraId="2B11E384" w14:textId="77777777" w:rsidTr="00DD69E7">
        <w:trPr>
          <w:trHeight w:val="166"/>
        </w:trPr>
        <w:tc>
          <w:tcPr>
            <w:tcW w:w="1813" w:type="pct"/>
            <w:vAlign w:val="bottom"/>
          </w:tcPr>
          <w:p w14:paraId="7012A309"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shd w:val="clear" w:color="auto" w:fill="auto"/>
            <w:vAlign w:val="bottom"/>
          </w:tcPr>
          <w:p w14:paraId="160575F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50" w:type="pct"/>
            <w:shd w:val="clear" w:color="auto" w:fill="auto"/>
            <w:vAlign w:val="bottom"/>
          </w:tcPr>
          <w:p w14:paraId="6A8AB17C"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3" w:type="pct"/>
            <w:shd w:val="clear" w:color="auto" w:fill="auto"/>
            <w:vAlign w:val="bottom"/>
          </w:tcPr>
          <w:p w14:paraId="65C7C374"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05" w:type="pct"/>
            <w:shd w:val="clear" w:color="auto" w:fill="auto"/>
            <w:vAlign w:val="bottom"/>
          </w:tcPr>
          <w:p w14:paraId="3BA2181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39" w:type="pct"/>
            <w:shd w:val="clear" w:color="auto" w:fill="auto"/>
            <w:vAlign w:val="bottom"/>
          </w:tcPr>
          <w:p w14:paraId="5482700F"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r>
      <w:tr w:rsidR="00587444" w:rsidRPr="00587444" w14:paraId="6C385B73" w14:textId="77777777" w:rsidTr="00DD69E7">
        <w:trPr>
          <w:trHeight w:val="166"/>
        </w:trPr>
        <w:tc>
          <w:tcPr>
            <w:tcW w:w="1813" w:type="pct"/>
            <w:vAlign w:val="bottom"/>
          </w:tcPr>
          <w:p w14:paraId="6852004A"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shd w:val="clear" w:color="auto" w:fill="auto"/>
            <w:vAlign w:val="bottom"/>
          </w:tcPr>
          <w:p w14:paraId="2CE1FFB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50" w:type="pct"/>
            <w:shd w:val="clear" w:color="auto" w:fill="auto"/>
            <w:vAlign w:val="bottom"/>
          </w:tcPr>
          <w:p w14:paraId="751BA10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3" w:type="pct"/>
            <w:shd w:val="clear" w:color="auto" w:fill="auto"/>
            <w:vAlign w:val="bottom"/>
          </w:tcPr>
          <w:p w14:paraId="3FFCDD4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05" w:type="pct"/>
            <w:shd w:val="clear" w:color="auto" w:fill="auto"/>
            <w:vAlign w:val="bottom"/>
          </w:tcPr>
          <w:p w14:paraId="62C11FD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39" w:type="pct"/>
            <w:shd w:val="clear" w:color="auto" w:fill="auto"/>
            <w:vAlign w:val="bottom"/>
          </w:tcPr>
          <w:p w14:paraId="25EF666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r>
      <w:tr w:rsidR="00587444" w:rsidRPr="00587444" w14:paraId="4CB70D53" w14:textId="77777777" w:rsidTr="00DD69E7">
        <w:trPr>
          <w:trHeight w:val="166"/>
        </w:trPr>
        <w:tc>
          <w:tcPr>
            <w:tcW w:w="1813" w:type="pct"/>
            <w:vAlign w:val="bottom"/>
          </w:tcPr>
          <w:p w14:paraId="49194968" w14:textId="77777777" w:rsidR="00587444" w:rsidRPr="00587444" w:rsidRDefault="00587444" w:rsidP="00587444">
            <w:pPr>
              <w:tabs>
                <w:tab w:val="right" w:pos="1202"/>
              </w:tabs>
              <w:suppressAutoHyphens w:val="0"/>
              <w:autoSpaceDN/>
              <w:outlineLvl w:val="0"/>
              <w:rPr>
                <w:rFonts w:ascii="Arial" w:eastAsia="Calibri" w:hAnsi="Arial" w:cs="Arial"/>
                <w:sz w:val="18"/>
                <w:szCs w:val="18"/>
                <w:highlight w:val="yellow"/>
                <w:lang w:val="en-GB"/>
              </w:rPr>
            </w:pPr>
            <w:r w:rsidRPr="00587444">
              <w:rPr>
                <w:rFonts w:ascii="Arial" w:eastAsia="Calibri" w:hAnsi="Arial" w:cs="Arial"/>
                <w:sz w:val="18"/>
                <w:szCs w:val="18"/>
                <w:lang w:val="en-GB"/>
              </w:rPr>
              <w:t>Net increase</w:t>
            </w:r>
            <w:r w:rsidRPr="00587444" w:rsidDel="00515E45">
              <w:rPr>
                <w:rFonts w:ascii="Arial" w:eastAsia="Calibri" w:hAnsi="Arial" w:cs="Arial"/>
                <w:sz w:val="18"/>
                <w:szCs w:val="18"/>
                <w:lang w:val="en-GB"/>
              </w:rPr>
              <w:t xml:space="preserve"> </w:t>
            </w:r>
            <w:r w:rsidRPr="00587444">
              <w:rPr>
                <w:rFonts w:ascii="Arial" w:eastAsia="Calibri" w:hAnsi="Arial" w:cs="Arial"/>
                <w:sz w:val="18"/>
                <w:szCs w:val="18"/>
                <w:lang w:val="en-GB"/>
              </w:rPr>
              <w:t>of loss allowance</w:t>
            </w:r>
          </w:p>
        </w:tc>
        <w:tc>
          <w:tcPr>
            <w:tcW w:w="650" w:type="pct"/>
            <w:shd w:val="clear" w:color="auto" w:fill="auto"/>
            <w:vAlign w:val="bottom"/>
          </w:tcPr>
          <w:p w14:paraId="6A21F3B8"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4,250</w:t>
            </w:r>
          </w:p>
        </w:tc>
        <w:tc>
          <w:tcPr>
            <w:tcW w:w="650" w:type="pct"/>
            <w:shd w:val="clear" w:color="auto" w:fill="auto"/>
            <w:vAlign w:val="bottom"/>
          </w:tcPr>
          <w:p w14:paraId="338FCAFD"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3" w:type="pct"/>
            <w:shd w:val="clear" w:color="auto" w:fill="auto"/>
            <w:vAlign w:val="bottom"/>
          </w:tcPr>
          <w:p w14:paraId="2E6B0A0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05" w:type="pct"/>
            <w:shd w:val="clear" w:color="auto" w:fill="auto"/>
            <w:vAlign w:val="bottom"/>
          </w:tcPr>
          <w:p w14:paraId="5B6C7845"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39" w:type="pct"/>
            <w:shd w:val="clear" w:color="auto" w:fill="auto"/>
            <w:vAlign w:val="bottom"/>
          </w:tcPr>
          <w:p w14:paraId="6B4EE51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4,250</w:t>
            </w:r>
          </w:p>
        </w:tc>
      </w:tr>
      <w:tr w:rsidR="00587444" w:rsidRPr="00587444" w14:paraId="135DE2A0" w14:textId="77777777" w:rsidTr="00DD69E7">
        <w:trPr>
          <w:trHeight w:val="166"/>
        </w:trPr>
        <w:tc>
          <w:tcPr>
            <w:tcW w:w="1813" w:type="pct"/>
            <w:vAlign w:val="bottom"/>
          </w:tcPr>
          <w:p w14:paraId="25871A12"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50" w:type="pct"/>
            <w:shd w:val="clear" w:color="auto" w:fill="auto"/>
            <w:vAlign w:val="bottom"/>
          </w:tcPr>
          <w:p w14:paraId="4AFFF41D"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5</w:t>
            </w:r>
          </w:p>
        </w:tc>
        <w:tc>
          <w:tcPr>
            <w:tcW w:w="650" w:type="pct"/>
            <w:shd w:val="clear" w:color="auto" w:fill="auto"/>
            <w:vAlign w:val="bottom"/>
          </w:tcPr>
          <w:p w14:paraId="5844D2A0"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3" w:type="pct"/>
            <w:shd w:val="clear" w:color="auto" w:fill="auto"/>
            <w:vAlign w:val="bottom"/>
          </w:tcPr>
          <w:p w14:paraId="6351390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05" w:type="pct"/>
            <w:shd w:val="clear" w:color="auto" w:fill="auto"/>
            <w:vAlign w:val="bottom"/>
          </w:tcPr>
          <w:p w14:paraId="3E050FB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39" w:type="pct"/>
            <w:shd w:val="clear" w:color="auto" w:fill="auto"/>
            <w:vAlign w:val="bottom"/>
          </w:tcPr>
          <w:p w14:paraId="6338C15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5</w:t>
            </w:r>
          </w:p>
        </w:tc>
      </w:tr>
      <w:tr w:rsidR="00587444" w:rsidRPr="00587444" w14:paraId="3B6A8D5D" w14:textId="77777777" w:rsidTr="00DD69E7">
        <w:trPr>
          <w:trHeight w:val="32"/>
        </w:trPr>
        <w:tc>
          <w:tcPr>
            <w:tcW w:w="1813" w:type="pct"/>
            <w:vAlign w:val="bottom"/>
          </w:tcPr>
          <w:p w14:paraId="13CBDA90"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2022</w:t>
            </w:r>
          </w:p>
        </w:tc>
        <w:tc>
          <w:tcPr>
            <w:tcW w:w="650" w:type="pct"/>
            <w:tcBorders>
              <w:top w:val="single" w:sz="4" w:space="0" w:color="auto"/>
              <w:left w:val="nil"/>
              <w:bottom w:val="single" w:sz="12" w:space="0" w:color="auto"/>
              <w:right w:val="nil"/>
            </w:tcBorders>
            <w:shd w:val="clear" w:color="auto" w:fill="auto"/>
            <w:vAlign w:val="bottom"/>
          </w:tcPr>
          <w:p w14:paraId="0E8C6FE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eastAsia="Calibri" w:hAnsi="Arial" w:cs="Arial"/>
                <w:b/>
                <w:bCs/>
                <w:color w:val="000000"/>
                <w:sz w:val="18"/>
                <w:szCs w:val="18"/>
                <w:lang w:val="hr-HR"/>
              </w:rPr>
              <w:t>6,064</w:t>
            </w:r>
          </w:p>
        </w:tc>
        <w:tc>
          <w:tcPr>
            <w:tcW w:w="650" w:type="pct"/>
            <w:tcBorders>
              <w:top w:val="single" w:sz="4" w:space="0" w:color="auto"/>
              <w:left w:val="nil"/>
              <w:bottom w:val="single" w:sz="12" w:space="0" w:color="auto"/>
              <w:right w:val="nil"/>
            </w:tcBorders>
            <w:shd w:val="clear" w:color="auto" w:fill="auto"/>
            <w:vAlign w:val="bottom"/>
          </w:tcPr>
          <w:p w14:paraId="3CAD9D2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 </w:t>
            </w:r>
          </w:p>
        </w:tc>
        <w:tc>
          <w:tcPr>
            <w:tcW w:w="643" w:type="pct"/>
            <w:tcBorders>
              <w:top w:val="single" w:sz="4" w:space="0" w:color="auto"/>
              <w:left w:val="nil"/>
              <w:bottom w:val="single" w:sz="12" w:space="0" w:color="auto"/>
              <w:right w:val="nil"/>
            </w:tcBorders>
            <w:shd w:val="clear" w:color="auto" w:fill="auto"/>
            <w:vAlign w:val="bottom"/>
          </w:tcPr>
          <w:p w14:paraId="6B71B4E8"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 </w:t>
            </w:r>
          </w:p>
        </w:tc>
        <w:tc>
          <w:tcPr>
            <w:tcW w:w="605" w:type="pct"/>
            <w:tcBorders>
              <w:top w:val="single" w:sz="4" w:space="0" w:color="auto"/>
              <w:left w:val="nil"/>
              <w:bottom w:val="single" w:sz="12" w:space="0" w:color="auto"/>
              <w:right w:val="nil"/>
            </w:tcBorders>
            <w:shd w:val="clear" w:color="auto" w:fill="auto"/>
            <w:vAlign w:val="bottom"/>
          </w:tcPr>
          <w:p w14:paraId="043611C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 </w:t>
            </w:r>
          </w:p>
        </w:tc>
        <w:tc>
          <w:tcPr>
            <w:tcW w:w="639" w:type="pct"/>
            <w:tcBorders>
              <w:top w:val="single" w:sz="4" w:space="0" w:color="auto"/>
              <w:left w:val="nil"/>
              <w:bottom w:val="single" w:sz="12" w:space="0" w:color="auto"/>
              <w:right w:val="nil"/>
            </w:tcBorders>
            <w:shd w:val="clear" w:color="auto" w:fill="auto"/>
            <w:vAlign w:val="bottom"/>
          </w:tcPr>
          <w:p w14:paraId="2954F5E8"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eastAsia="Calibri" w:hAnsi="Arial" w:cs="Arial"/>
                <w:b/>
                <w:bCs/>
                <w:color w:val="000000"/>
                <w:sz w:val="18"/>
                <w:szCs w:val="18"/>
                <w:lang w:val="hr-HR"/>
              </w:rPr>
              <w:t>6,064</w:t>
            </w:r>
          </w:p>
        </w:tc>
      </w:tr>
      <w:bookmarkEnd w:id="1148"/>
    </w:tbl>
    <w:p w14:paraId="01BDF897" w14:textId="77777777" w:rsidR="00587444" w:rsidRPr="00587444" w:rsidRDefault="00587444" w:rsidP="00587444">
      <w:pPr>
        <w:suppressAutoHyphens w:val="0"/>
        <w:autoSpaceDN/>
        <w:jc w:val="both"/>
        <w:rPr>
          <w:rFonts w:ascii="Arial" w:hAnsi="Arial" w:cs="Arial"/>
          <w:b/>
          <w:bCs/>
          <w:sz w:val="20"/>
          <w:szCs w:val="20"/>
          <w:lang w:val="en-GB"/>
        </w:rPr>
      </w:pPr>
    </w:p>
    <w:p w14:paraId="6FF65720" w14:textId="77777777" w:rsidR="00587444" w:rsidRPr="00587444" w:rsidRDefault="00587444" w:rsidP="00587444">
      <w:pPr>
        <w:keepNext/>
        <w:tabs>
          <w:tab w:val="right" w:pos="9129"/>
        </w:tabs>
        <w:suppressAutoHyphens w:val="0"/>
        <w:autoSpaceDN/>
        <w:jc w:val="both"/>
        <w:rPr>
          <w:rFonts w:ascii="Arial" w:hAnsi="Arial" w:cs="Arial"/>
          <w:b/>
          <w:bCs/>
          <w:sz w:val="20"/>
          <w:szCs w:val="20"/>
          <w:lang w:val="en-GB"/>
        </w:rPr>
      </w:pPr>
    </w:p>
    <w:tbl>
      <w:tblPr>
        <w:tblpPr w:leftFromText="180" w:rightFromText="180" w:vertAnchor="text" w:horzAnchor="margin" w:tblpY="10"/>
        <w:tblW w:w="4908" w:type="pct"/>
        <w:tblLayout w:type="fixed"/>
        <w:tblLook w:val="0000" w:firstRow="0" w:lastRow="0" w:firstColumn="0" w:lastColumn="0" w:noHBand="0" w:noVBand="0"/>
      </w:tblPr>
      <w:tblGrid>
        <w:gridCol w:w="3407"/>
        <w:gridCol w:w="1221"/>
        <w:gridCol w:w="1221"/>
        <w:gridCol w:w="1208"/>
        <w:gridCol w:w="1137"/>
        <w:gridCol w:w="1201"/>
      </w:tblGrid>
      <w:tr w:rsidR="00587444" w:rsidRPr="00587444" w14:paraId="2EC4902D" w14:textId="77777777" w:rsidTr="00DD69E7">
        <w:trPr>
          <w:trHeight w:val="276"/>
        </w:trPr>
        <w:tc>
          <w:tcPr>
            <w:tcW w:w="1813" w:type="pct"/>
          </w:tcPr>
          <w:p w14:paraId="58794F27"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Group</w:t>
            </w:r>
          </w:p>
        </w:tc>
        <w:tc>
          <w:tcPr>
            <w:tcW w:w="3187" w:type="pct"/>
            <w:gridSpan w:val="5"/>
            <w:vAlign w:val="bottom"/>
          </w:tcPr>
          <w:p w14:paraId="40DE648F"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28A697E6" w14:textId="77777777" w:rsidTr="00DD69E7">
        <w:trPr>
          <w:trHeight w:val="44"/>
        </w:trPr>
        <w:tc>
          <w:tcPr>
            <w:tcW w:w="1813" w:type="pct"/>
          </w:tcPr>
          <w:p w14:paraId="45DBDA1A"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2021</w:t>
            </w:r>
          </w:p>
        </w:tc>
        <w:tc>
          <w:tcPr>
            <w:tcW w:w="650" w:type="pct"/>
            <w:vAlign w:val="bottom"/>
          </w:tcPr>
          <w:p w14:paraId="1E4AE36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3A03871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34635E6B"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632A048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9" w:type="pct"/>
            <w:vAlign w:val="bottom"/>
          </w:tcPr>
          <w:p w14:paraId="5DFC070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250DEAEC" w14:textId="77777777" w:rsidTr="00DD69E7">
        <w:trPr>
          <w:trHeight w:val="44"/>
        </w:trPr>
        <w:tc>
          <w:tcPr>
            <w:tcW w:w="1813" w:type="pct"/>
          </w:tcPr>
          <w:p w14:paraId="1A1E0BCD"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0DB788A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50" w:type="pct"/>
          </w:tcPr>
          <w:p w14:paraId="55010AB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3" w:type="pct"/>
          </w:tcPr>
          <w:p w14:paraId="2405B95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05" w:type="pct"/>
          </w:tcPr>
          <w:p w14:paraId="0AA53AA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39" w:type="pct"/>
          </w:tcPr>
          <w:p w14:paraId="7FC78A34"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09A1F211" w14:textId="77777777" w:rsidTr="00DD69E7">
        <w:trPr>
          <w:trHeight w:val="44"/>
        </w:trPr>
        <w:tc>
          <w:tcPr>
            <w:tcW w:w="1813" w:type="pct"/>
          </w:tcPr>
          <w:p w14:paraId="21FA274B"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14C22DA2"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50" w:type="pct"/>
          </w:tcPr>
          <w:p w14:paraId="785D5AF8"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43" w:type="pct"/>
          </w:tcPr>
          <w:p w14:paraId="3077C1FF"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05" w:type="pct"/>
          </w:tcPr>
          <w:p w14:paraId="7D5A2EAC"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39" w:type="pct"/>
          </w:tcPr>
          <w:p w14:paraId="07BD70ED"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7BC11AC5" w14:textId="77777777" w:rsidTr="00DD69E7">
        <w:trPr>
          <w:trHeight w:val="166"/>
        </w:trPr>
        <w:tc>
          <w:tcPr>
            <w:tcW w:w="1813" w:type="pct"/>
            <w:vAlign w:val="bottom"/>
          </w:tcPr>
          <w:p w14:paraId="24D031F8"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2021</w:t>
            </w:r>
          </w:p>
        </w:tc>
        <w:tc>
          <w:tcPr>
            <w:tcW w:w="650" w:type="pct"/>
            <w:shd w:val="clear" w:color="auto" w:fill="auto"/>
          </w:tcPr>
          <w:p w14:paraId="6219CEFC"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1,652 </w:t>
            </w:r>
          </w:p>
        </w:tc>
        <w:tc>
          <w:tcPr>
            <w:tcW w:w="650" w:type="pct"/>
            <w:shd w:val="clear" w:color="auto" w:fill="auto"/>
          </w:tcPr>
          <w:p w14:paraId="132675DD"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43" w:type="pct"/>
            <w:shd w:val="clear" w:color="auto" w:fill="auto"/>
          </w:tcPr>
          <w:p w14:paraId="45844A5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05" w:type="pct"/>
            <w:shd w:val="clear" w:color="auto" w:fill="auto"/>
          </w:tcPr>
          <w:p w14:paraId="7F25E2F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39" w:type="pct"/>
            <w:shd w:val="clear" w:color="auto" w:fill="auto"/>
          </w:tcPr>
          <w:p w14:paraId="6B822B39"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1,652 </w:t>
            </w:r>
          </w:p>
        </w:tc>
      </w:tr>
      <w:tr w:rsidR="00587444" w:rsidRPr="00587444" w14:paraId="599A7F01" w14:textId="77777777" w:rsidTr="00DD69E7">
        <w:trPr>
          <w:trHeight w:val="166"/>
        </w:trPr>
        <w:tc>
          <w:tcPr>
            <w:tcW w:w="1813" w:type="pct"/>
            <w:vAlign w:val="bottom"/>
          </w:tcPr>
          <w:p w14:paraId="3A2CFB84"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shd w:val="clear" w:color="auto" w:fill="auto"/>
            <w:vAlign w:val="bottom"/>
          </w:tcPr>
          <w:p w14:paraId="6AB9CBD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50" w:type="pct"/>
            <w:shd w:val="clear" w:color="auto" w:fill="auto"/>
            <w:vAlign w:val="bottom"/>
          </w:tcPr>
          <w:p w14:paraId="74CE15F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3" w:type="pct"/>
            <w:shd w:val="clear" w:color="auto" w:fill="auto"/>
            <w:vAlign w:val="bottom"/>
          </w:tcPr>
          <w:p w14:paraId="212D0E7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05" w:type="pct"/>
            <w:shd w:val="clear" w:color="auto" w:fill="auto"/>
            <w:vAlign w:val="bottom"/>
          </w:tcPr>
          <w:p w14:paraId="58913A42"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39" w:type="pct"/>
            <w:shd w:val="clear" w:color="auto" w:fill="auto"/>
            <w:vAlign w:val="bottom"/>
          </w:tcPr>
          <w:p w14:paraId="5674CAF2"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r>
      <w:tr w:rsidR="00587444" w:rsidRPr="00587444" w14:paraId="3DA5B231" w14:textId="77777777" w:rsidTr="00DD69E7">
        <w:trPr>
          <w:trHeight w:val="166"/>
        </w:trPr>
        <w:tc>
          <w:tcPr>
            <w:tcW w:w="1813" w:type="pct"/>
            <w:vAlign w:val="bottom"/>
          </w:tcPr>
          <w:p w14:paraId="17072215"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shd w:val="clear" w:color="auto" w:fill="auto"/>
            <w:vAlign w:val="bottom"/>
          </w:tcPr>
          <w:p w14:paraId="07B33582"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50" w:type="pct"/>
            <w:shd w:val="clear" w:color="auto" w:fill="auto"/>
            <w:vAlign w:val="bottom"/>
          </w:tcPr>
          <w:p w14:paraId="01186059"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3" w:type="pct"/>
            <w:shd w:val="clear" w:color="auto" w:fill="auto"/>
            <w:vAlign w:val="bottom"/>
          </w:tcPr>
          <w:p w14:paraId="1F34D894"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05" w:type="pct"/>
            <w:shd w:val="clear" w:color="auto" w:fill="auto"/>
            <w:vAlign w:val="bottom"/>
          </w:tcPr>
          <w:p w14:paraId="4965599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39" w:type="pct"/>
            <w:shd w:val="clear" w:color="auto" w:fill="auto"/>
            <w:vAlign w:val="bottom"/>
          </w:tcPr>
          <w:p w14:paraId="502BDC0D"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r>
      <w:tr w:rsidR="00587444" w:rsidRPr="00587444" w14:paraId="7B94A6F4" w14:textId="77777777" w:rsidTr="00DD69E7">
        <w:trPr>
          <w:trHeight w:val="166"/>
        </w:trPr>
        <w:tc>
          <w:tcPr>
            <w:tcW w:w="1813" w:type="pct"/>
            <w:vAlign w:val="bottom"/>
          </w:tcPr>
          <w:p w14:paraId="18B1E8FB"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shd w:val="clear" w:color="auto" w:fill="auto"/>
            <w:vAlign w:val="bottom"/>
          </w:tcPr>
          <w:p w14:paraId="7C439D3A"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50" w:type="pct"/>
            <w:shd w:val="clear" w:color="auto" w:fill="auto"/>
            <w:vAlign w:val="bottom"/>
          </w:tcPr>
          <w:p w14:paraId="48F3B52D"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3" w:type="pct"/>
            <w:shd w:val="clear" w:color="auto" w:fill="auto"/>
            <w:vAlign w:val="bottom"/>
          </w:tcPr>
          <w:p w14:paraId="487A69F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05" w:type="pct"/>
            <w:shd w:val="clear" w:color="auto" w:fill="auto"/>
            <w:vAlign w:val="bottom"/>
          </w:tcPr>
          <w:p w14:paraId="1B403B2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39" w:type="pct"/>
            <w:shd w:val="clear" w:color="auto" w:fill="auto"/>
            <w:vAlign w:val="bottom"/>
          </w:tcPr>
          <w:p w14:paraId="0A29AB1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r>
      <w:tr w:rsidR="00587444" w:rsidRPr="00587444" w14:paraId="08307DFA" w14:textId="77777777" w:rsidTr="00DD69E7">
        <w:trPr>
          <w:trHeight w:val="166"/>
        </w:trPr>
        <w:tc>
          <w:tcPr>
            <w:tcW w:w="1813" w:type="pct"/>
            <w:vAlign w:val="bottom"/>
          </w:tcPr>
          <w:p w14:paraId="10D5E18B" w14:textId="77777777" w:rsidR="00587444" w:rsidRPr="00587444" w:rsidRDefault="00587444" w:rsidP="00587444">
            <w:pPr>
              <w:tabs>
                <w:tab w:val="right" w:pos="1202"/>
              </w:tabs>
              <w:suppressAutoHyphens w:val="0"/>
              <w:autoSpaceDN/>
              <w:outlineLvl w:val="0"/>
              <w:rPr>
                <w:rFonts w:ascii="Arial" w:eastAsia="Calibri" w:hAnsi="Arial" w:cs="Arial"/>
                <w:sz w:val="18"/>
                <w:szCs w:val="18"/>
                <w:highlight w:val="yellow"/>
                <w:lang w:val="en-GB"/>
              </w:rPr>
            </w:pPr>
            <w:r w:rsidRPr="00587444">
              <w:rPr>
                <w:rFonts w:ascii="Arial" w:eastAsia="Calibri" w:hAnsi="Arial" w:cs="Arial"/>
                <w:sz w:val="18"/>
                <w:szCs w:val="18"/>
                <w:lang w:val="en-GB"/>
              </w:rPr>
              <w:t>Net increase</w:t>
            </w:r>
            <w:r w:rsidRPr="00587444" w:rsidDel="00515E45">
              <w:rPr>
                <w:rFonts w:ascii="Arial" w:eastAsia="Calibri" w:hAnsi="Arial" w:cs="Arial"/>
                <w:sz w:val="18"/>
                <w:szCs w:val="18"/>
                <w:lang w:val="en-GB"/>
              </w:rPr>
              <w:t xml:space="preserve"> </w:t>
            </w:r>
            <w:r w:rsidRPr="00587444">
              <w:rPr>
                <w:rFonts w:ascii="Arial" w:eastAsia="Calibri" w:hAnsi="Arial" w:cs="Arial"/>
                <w:sz w:val="18"/>
                <w:szCs w:val="18"/>
                <w:lang w:val="en-GB"/>
              </w:rPr>
              <w:t>of loss allowance</w:t>
            </w:r>
          </w:p>
        </w:tc>
        <w:tc>
          <w:tcPr>
            <w:tcW w:w="650" w:type="pct"/>
            <w:shd w:val="clear" w:color="auto" w:fill="auto"/>
            <w:vAlign w:val="bottom"/>
          </w:tcPr>
          <w:p w14:paraId="783A518F"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156 </w:t>
            </w:r>
          </w:p>
        </w:tc>
        <w:tc>
          <w:tcPr>
            <w:tcW w:w="650" w:type="pct"/>
            <w:shd w:val="clear" w:color="auto" w:fill="auto"/>
            <w:vAlign w:val="bottom"/>
          </w:tcPr>
          <w:p w14:paraId="7057C06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3" w:type="pct"/>
            <w:shd w:val="clear" w:color="auto" w:fill="auto"/>
            <w:vAlign w:val="bottom"/>
          </w:tcPr>
          <w:p w14:paraId="717D0728"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05" w:type="pct"/>
            <w:shd w:val="clear" w:color="auto" w:fill="auto"/>
            <w:vAlign w:val="bottom"/>
          </w:tcPr>
          <w:p w14:paraId="64887E58"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39" w:type="pct"/>
            <w:shd w:val="clear" w:color="auto" w:fill="auto"/>
            <w:vAlign w:val="bottom"/>
          </w:tcPr>
          <w:p w14:paraId="6363D6B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156 </w:t>
            </w:r>
          </w:p>
        </w:tc>
      </w:tr>
      <w:tr w:rsidR="00587444" w:rsidRPr="00587444" w14:paraId="3BD2C2F4" w14:textId="77777777" w:rsidTr="00DD69E7">
        <w:trPr>
          <w:trHeight w:val="166"/>
        </w:trPr>
        <w:tc>
          <w:tcPr>
            <w:tcW w:w="1813" w:type="pct"/>
            <w:vAlign w:val="bottom"/>
          </w:tcPr>
          <w:p w14:paraId="475D9758"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50" w:type="pct"/>
            <w:shd w:val="clear" w:color="auto" w:fill="auto"/>
            <w:vAlign w:val="bottom"/>
          </w:tcPr>
          <w:p w14:paraId="6C83D54C"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 </w:t>
            </w:r>
          </w:p>
        </w:tc>
        <w:tc>
          <w:tcPr>
            <w:tcW w:w="650" w:type="pct"/>
            <w:shd w:val="clear" w:color="auto" w:fill="auto"/>
            <w:vAlign w:val="bottom"/>
          </w:tcPr>
          <w:p w14:paraId="189AA5A5"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3" w:type="pct"/>
            <w:shd w:val="clear" w:color="auto" w:fill="auto"/>
            <w:vAlign w:val="bottom"/>
          </w:tcPr>
          <w:p w14:paraId="7FD1671B"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05" w:type="pct"/>
            <w:shd w:val="clear" w:color="auto" w:fill="auto"/>
            <w:vAlign w:val="bottom"/>
          </w:tcPr>
          <w:p w14:paraId="1F6D718B"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39" w:type="pct"/>
            <w:shd w:val="clear" w:color="auto" w:fill="auto"/>
            <w:vAlign w:val="bottom"/>
          </w:tcPr>
          <w:p w14:paraId="44A9A95A"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 </w:t>
            </w:r>
          </w:p>
        </w:tc>
      </w:tr>
      <w:tr w:rsidR="00587444" w:rsidRPr="00587444" w14:paraId="06A8B609" w14:textId="77777777" w:rsidTr="00DD69E7">
        <w:trPr>
          <w:trHeight w:val="32"/>
        </w:trPr>
        <w:tc>
          <w:tcPr>
            <w:tcW w:w="1813" w:type="pct"/>
            <w:vAlign w:val="bottom"/>
          </w:tcPr>
          <w:p w14:paraId="1F8DDBA4"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2021</w:t>
            </w:r>
          </w:p>
        </w:tc>
        <w:tc>
          <w:tcPr>
            <w:tcW w:w="650" w:type="pct"/>
            <w:tcBorders>
              <w:top w:val="single" w:sz="4" w:space="0" w:color="auto"/>
              <w:left w:val="nil"/>
              <w:bottom w:val="single" w:sz="12" w:space="0" w:color="auto"/>
              <w:right w:val="nil"/>
            </w:tcBorders>
            <w:shd w:val="clear" w:color="auto" w:fill="auto"/>
          </w:tcPr>
          <w:p w14:paraId="202FE39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1,809 </w:t>
            </w:r>
          </w:p>
        </w:tc>
        <w:tc>
          <w:tcPr>
            <w:tcW w:w="650" w:type="pct"/>
            <w:tcBorders>
              <w:top w:val="single" w:sz="4" w:space="0" w:color="auto"/>
              <w:left w:val="nil"/>
              <w:bottom w:val="single" w:sz="12" w:space="0" w:color="auto"/>
              <w:right w:val="nil"/>
            </w:tcBorders>
            <w:shd w:val="clear" w:color="auto" w:fill="auto"/>
          </w:tcPr>
          <w:p w14:paraId="683BF15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 </w:t>
            </w:r>
          </w:p>
        </w:tc>
        <w:tc>
          <w:tcPr>
            <w:tcW w:w="643" w:type="pct"/>
            <w:tcBorders>
              <w:top w:val="single" w:sz="4" w:space="0" w:color="auto"/>
              <w:left w:val="nil"/>
              <w:bottom w:val="single" w:sz="12" w:space="0" w:color="auto"/>
              <w:right w:val="nil"/>
            </w:tcBorders>
            <w:shd w:val="clear" w:color="auto" w:fill="auto"/>
          </w:tcPr>
          <w:p w14:paraId="5EA6D213"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 </w:t>
            </w:r>
          </w:p>
        </w:tc>
        <w:tc>
          <w:tcPr>
            <w:tcW w:w="605" w:type="pct"/>
            <w:tcBorders>
              <w:top w:val="single" w:sz="4" w:space="0" w:color="auto"/>
              <w:left w:val="nil"/>
              <w:bottom w:val="single" w:sz="12" w:space="0" w:color="auto"/>
              <w:right w:val="nil"/>
            </w:tcBorders>
            <w:shd w:val="clear" w:color="auto" w:fill="auto"/>
          </w:tcPr>
          <w:p w14:paraId="40D60E93"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 </w:t>
            </w:r>
          </w:p>
        </w:tc>
        <w:tc>
          <w:tcPr>
            <w:tcW w:w="639" w:type="pct"/>
            <w:tcBorders>
              <w:top w:val="single" w:sz="4" w:space="0" w:color="auto"/>
              <w:left w:val="nil"/>
              <w:bottom w:val="single" w:sz="12" w:space="0" w:color="auto"/>
              <w:right w:val="nil"/>
            </w:tcBorders>
            <w:shd w:val="clear" w:color="auto" w:fill="auto"/>
          </w:tcPr>
          <w:p w14:paraId="6EF9F7EA"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1,809 </w:t>
            </w:r>
          </w:p>
        </w:tc>
      </w:tr>
    </w:tbl>
    <w:p w14:paraId="115C2BA6" w14:textId="77777777" w:rsidR="00587444" w:rsidRPr="00587444" w:rsidRDefault="00587444" w:rsidP="00587444">
      <w:pPr>
        <w:keepNext/>
        <w:tabs>
          <w:tab w:val="right" w:pos="9129"/>
        </w:tabs>
        <w:suppressAutoHyphens w:val="0"/>
        <w:autoSpaceDN/>
        <w:jc w:val="both"/>
        <w:rPr>
          <w:rFonts w:ascii="Arial" w:hAnsi="Arial" w:cs="Arial"/>
          <w:b/>
          <w:bCs/>
          <w:sz w:val="20"/>
          <w:szCs w:val="20"/>
          <w:lang w:val="en-GB"/>
        </w:rPr>
      </w:pPr>
    </w:p>
    <w:p w14:paraId="18033182" w14:textId="77777777" w:rsidR="00587444" w:rsidRPr="00587444" w:rsidRDefault="00587444" w:rsidP="00587444">
      <w:pPr>
        <w:keepNext/>
        <w:tabs>
          <w:tab w:val="right" w:pos="9129"/>
        </w:tabs>
        <w:suppressAutoHyphens w:val="0"/>
        <w:autoSpaceDN/>
        <w:jc w:val="both"/>
        <w:rPr>
          <w:rFonts w:ascii="Arial" w:hAnsi="Arial" w:cs="Arial"/>
          <w:b/>
          <w:bCs/>
          <w:sz w:val="20"/>
          <w:szCs w:val="20"/>
          <w:lang w:val="en-GB"/>
        </w:rPr>
      </w:pPr>
    </w:p>
    <w:p w14:paraId="4D8F1687"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D69E7">
          <w:pgSz w:w="11907" w:h="16840" w:code="9"/>
          <w:pgMar w:top="1418" w:right="1134" w:bottom="1134" w:left="1418" w:header="851" w:footer="851" w:gutter="0"/>
          <w:cols w:space="720"/>
          <w:noEndnote/>
        </w:sectPr>
      </w:pPr>
    </w:p>
    <w:p w14:paraId="05600BC5" w14:textId="77777777" w:rsidR="00587444" w:rsidRPr="00587444" w:rsidRDefault="00587444" w:rsidP="00587444">
      <w:pPr>
        <w:suppressAutoHyphens w:val="0"/>
        <w:autoSpaceDN/>
        <w:jc w:val="both"/>
        <w:rPr>
          <w:rFonts w:ascii="Arial" w:hAnsi="Arial" w:cs="Arial"/>
          <w:b/>
          <w:bCs/>
          <w:sz w:val="20"/>
          <w:szCs w:val="20"/>
          <w:lang w:val="en-GB"/>
        </w:rPr>
      </w:pPr>
    </w:p>
    <w:p w14:paraId="50B0260F"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10B0EEB6" w14:textId="77777777" w:rsidR="00587444" w:rsidRPr="00587444" w:rsidRDefault="00587444" w:rsidP="00587444">
      <w:pPr>
        <w:suppressAutoHyphens w:val="0"/>
        <w:autoSpaceDN/>
        <w:jc w:val="both"/>
        <w:rPr>
          <w:rFonts w:ascii="Arial" w:hAnsi="Arial" w:cs="Arial"/>
          <w:b/>
          <w:sz w:val="20"/>
          <w:szCs w:val="20"/>
          <w:lang w:val="en-GB"/>
        </w:rPr>
      </w:pPr>
    </w:p>
    <w:p w14:paraId="6EC266C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32ECBB27" w14:textId="77777777" w:rsidR="00587444" w:rsidRPr="00587444" w:rsidRDefault="00587444" w:rsidP="00587444">
      <w:pPr>
        <w:suppressAutoHyphens w:val="0"/>
        <w:autoSpaceDN/>
        <w:jc w:val="both"/>
        <w:rPr>
          <w:rFonts w:ascii="Arial" w:hAnsi="Arial" w:cs="Arial"/>
          <w:b/>
          <w:bCs/>
          <w:i/>
          <w:sz w:val="20"/>
          <w:szCs w:val="20"/>
          <w:lang w:val="en-GB"/>
        </w:rPr>
      </w:pPr>
    </w:p>
    <w:p w14:paraId="3ED4941F" w14:textId="77777777" w:rsidR="00587444" w:rsidRPr="00587444" w:rsidRDefault="00587444">
      <w:pPr>
        <w:numPr>
          <w:ilvl w:val="8"/>
          <w:numId w:val="61"/>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7C4331A4" w14:textId="77777777" w:rsidR="00587444" w:rsidRPr="00587444" w:rsidRDefault="00587444" w:rsidP="00587444">
      <w:pPr>
        <w:suppressAutoHyphens w:val="0"/>
        <w:autoSpaceDN/>
        <w:jc w:val="both"/>
        <w:rPr>
          <w:rFonts w:ascii="Arial" w:hAnsi="Arial" w:cs="Arial"/>
          <w:b/>
          <w:bCs/>
          <w:sz w:val="20"/>
          <w:szCs w:val="20"/>
          <w:lang w:val="en-GB"/>
        </w:rPr>
      </w:pPr>
    </w:p>
    <w:p w14:paraId="38D44C40"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Cash on hand and current accounts with banks (continued)</w:t>
      </w:r>
    </w:p>
    <w:p w14:paraId="437E0DD7"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475"/>
        <w:gridCol w:w="1244"/>
        <w:gridCol w:w="1244"/>
        <w:gridCol w:w="1231"/>
        <w:gridCol w:w="1158"/>
        <w:gridCol w:w="1219"/>
      </w:tblGrid>
      <w:tr w:rsidR="00587444" w:rsidRPr="00587444" w14:paraId="20CD9714" w14:textId="77777777" w:rsidTr="00DD69E7">
        <w:trPr>
          <w:trHeight w:val="277"/>
        </w:trPr>
        <w:tc>
          <w:tcPr>
            <w:tcW w:w="1815" w:type="pct"/>
          </w:tcPr>
          <w:p w14:paraId="55E5BBBC"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Bank</w:t>
            </w:r>
          </w:p>
        </w:tc>
        <w:tc>
          <w:tcPr>
            <w:tcW w:w="3185" w:type="pct"/>
            <w:gridSpan w:val="5"/>
            <w:vAlign w:val="bottom"/>
          </w:tcPr>
          <w:p w14:paraId="695FF1D6"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73BF0846" w14:textId="77777777" w:rsidTr="00DD69E7">
        <w:trPr>
          <w:trHeight w:val="46"/>
        </w:trPr>
        <w:tc>
          <w:tcPr>
            <w:tcW w:w="1815" w:type="pct"/>
          </w:tcPr>
          <w:p w14:paraId="0A29A92B"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2022</w:t>
            </w:r>
          </w:p>
        </w:tc>
        <w:tc>
          <w:tcPr>
            <w:tcW w:w="650" w:type="pct"/>
            <w:vAlign w:val="bottom"/>
          </w:tcPr>
          <w:p w14:paraId="7B4B945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1D87810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726E1A9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04FF41B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7" w:type="pct"/>
            <w:vAlign w:val="bottom"/>
          </w:tcPr>
          <w:p w14:paraId="4F89C7B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376B63EF" w14:textId="77777777" w:rsidTr="00DD69E7">
        <w:trPr>
          <w:trHeight w:val="46"/>
        </w:trPr>
        <w:tc>
          <w:tcPr>
            <w:tcW w:w="1815" w:type="pct"/>
          </w:tcPr>
          <w:p w14:paraId="02AD5501"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4EA2A64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50" w:type="pct"/>
          </w:tcPr>
          <w:p w14:paraId="50D2FF37"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3" w:type="pct"/>
          </w:tcPr>
          <w:p w14:paraId="4995BBA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05" w:type="pct"/>
          </w:tcPr>
          <w:p w14:paraId="104C7A8B"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37" w:type="pct"/>
          </w:tcPr>
          <w:p w14:paraId="6105D28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6547141C" w14:textId="77777777" w:rsidTr="00DD69E7">
        <w:trPr>
          <w:trHeight w:val="46"/>
        </w:trPr>
        <w:tc>
          <w:tcPr>
            <w:tcW w:w="1815" w:type="pct"/>
          </w:tcPr>
          <w:p w14:paraId="2DE59334"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5B4D0163"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50" w:type="pct"/>
          </w:tcPr>
          <w:p w14:paraId="343B2874"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43" w:type="pct"/>
          </w:tcPr>
          <w:p w14:paraId="5C8BBCC9"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05" w:type="pct"/>
          </w:tcPr>
          <w:p w14:paraId="77D65245"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37" w:type="pct"/>
          </w:tcPr>
          <w:p w14:paraId="741F0671"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59E8FA46" w14:textId="77777777" w:rsidTr="00DD69E7">
        <w:trPr>
          <w:trHeight w:val="291"/>
        </w:trPr>
        <w:tc>
          <w:tcPr>
            <w:tcW w:w="1815" w:type="pct"/>
            <w:vAlign w:val="bottom"/>
          </w:tcPr>
          <w:p w14:paraId="72DB6823"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2022</w:t>
            </w:r>
          </w:p>
        </w:tc>
        <w:tc>
          <w:tcPr>
            <w:tcW w:w="650" w:type="pct"/>
            <w:tcBorders>
              <w:top w:val="nil"/>
              <w:left w:val="nil"/>
              <w:bottom w:val="nil"/>
              <w:right w:val="nil"/>
            </w:tcBorders>
            <w:shd w:val="clear" w:color="auto" w:fill="auto"/>
            <w:vAlign w:val="bottom"/>
          </w:tcPr>
          <w:p w14:paraId="6636EB1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1,804</w:t>
            </w:r>
          </w:p>
        </w:tc>
        <w:tc>
          <w:tcPr>
            <w:tcW w:w="650" w:type="pct"/>
            <w:tcBorders>
              <w:top w:val="nil"/>
              <w:left w:val="nil"/>
              <w:bottom w:val="nil"/>
              <w:right w:val="nil"/>
            </w:tcBorders>
            <w:shd w:val="clear" w:color="auto" w:fill="auto"/>
            <w:vAlign w:val="bottom"/>
          </w:tcPr>
          <w:p w14:paraId="63E6C70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276E04F4"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42C0BAF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37" w:type="pct"/>
            <w:tcBorders>
              <w:top w:val="nil"/>
              <w:left w:val="nil"/>
              <w:bottom w:val="nil"/>
              <w:right w:val="nil"/>
            </w:tcBorders>
            <w:shd w:val="clear" w:color="auto" w:fill="auto"/>
            <w:vAlign w:val="bottom"/>
          </w:tcPr>
          <w:p w14:paraId="76D163A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1,804</w:t>
            </w:r>
          </w:p>
        </w:tc>
      </w:tr>
      <w:tr w:rsidR="00587444" w:rsidRPr="00587444" w14:paraId="2F09258C" w14:textId="77777777" w:rsidTr="00DD69E7">
        <w:trPr>
          <w:trHeight w:val="291"/>
        </w:trPr>
        <w:tc>
          <w:tcPr>
            <w:tcW w:w="1815" w:type="pct"/>
            <w:vAlign w:val="bottom"/>
          </w:tcPr>
          <w:p w14:paraId="59D62BF7"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tcBorders>
              <w:top w:val="nil"/>
              <w:left w:val="nil"/>
              <w:right w:val="nil"/>
            </w:tcBorders>
            <w:shd w:val="clear" w:color="auto" w:fill="auto"/>
            <w:vAlign w:val="bottom"/>
          </w:tcPr>
          <w:p w14:paraId="08618916"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50" w:type="pct"/>
            <w:tcBorders>
              <w:top w:val="nil"/>
              <w:left w:val="nil"/>
              <w:right w:val="nil"/>
            </w:tcBorders>
            <w:shd w:val="clear" w:color="auto" w:fill="auto"/>
            <w:vAlign w:val="bottom"/>
          </w:tcPr>
          <w:p w14:paraId="20D4C91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3" w:type="pct"/>
            <w:tcBorders>
              <w:top w:val="nil"/>
              <w:left w:val="nil"/>
              <w:right w:val="nil"/>
            </w:tcBorders>
            <w:shd w:val="clear" w:color="auto" w:fill="auto"/>
            <w:vAlign w:val="bottom"/>
          </w:tcPr>
          <w:p w14:paraId="1E34394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05" w:type="pct"/>
            <w:tcBorders>
              <w:top w:val="nil"/>
              <w:left w:val="nil"/>
              <w:right w:val="nil"/>
            </w:tcBorders>
            <w:shd w:val="clear" w:color="auto" w:fill="auto"/>
            <w:vAlign w:val="bottom"/>
          </w:tcPr>
          <w:p w14:paraId="54850C5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37" w:type="pct"/>
            <w:tcBorders>
              <w:top w:val="nil"/>
              <w:left w:val="nil"/>
              <w:right w:val="nil"/>
            </w:tcBorders>
            <w:shd w:val="clear" w:color="auto" w:fill="auto"/>
            <w:vAlign w:val="bottom"/>
          </w:tcPr>
          <w:p w14:paraId="0F363E8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r>
      <w:tr w:rsidR="00587444" w:rsidRPr="00587444" w14:paraId="25A1D25E" w14:textId="77777777" w:rsidTr="00DD69E7">
        <w:trPr>
          <w:trHeight w:val="291"/>
        </w:trPr>
        <w:tc>
          <w:tcPr>
            <w:tcW w:w="1815" w:type="pct"/>
            <w:vAlign w:val="bottom"/>
          </w:tcPr>
          <w:p w14:paraId="0CF22C4D"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tcBorders>
              <w:top w:val="nil"/>
              <w:left w:val="nil"/>
              <w:right w:val="nil"/>
            </w:tcBorders>
            <w:shd w:val="clear" w:color="auto" w:fill="auto"/>
            <w:vAlign w:val="bottom"/>
          </w:tcPr>
          <w:p w14:paraId="419A418A"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50" w:type="pct"/>
            <w:tcBorders>
              <w:top w:val="nil"/>
              <w:left w:val="nil"/>
              <w:right w:val="nil"/>
            </w:tcBorders>
            <w:shd w:val="clear" w:color="auto" w:fill="auto"/>
            <w:vAlign w:val="bottom"/>
          </w:tcPr>
          <w:p w14:paraId="55D1347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3" w:type="pct"/>
            <w:tcBorders>
              <w:top w:val="nil"/>
              <w:left w:val="nil"/>
              <w:right w:val="nil"/>
            </w:tcBorders>
            <w:shd w:val="clear" w:color="auto" w:fill="auto"/>
            <w:vAlign w:val="bottom"/>
          </w:tcPr>
          <w:p w14:paraId="55D73B5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05" w:type="pct"/>
            <w:tcBorders>
              <w:top w:val="nil"/>
              <w:left w:val="nil"/>
              <w:right w:val="nil"/>
            </w:tcBorders>
            <w:shd w:val="clear" w:color="auto" w:fill="auto"/>
            <w:vAlign w:val="bottom"/>
          </w:tcPr>
          <w:p w14:paraId="3D0D08BF"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37" w:type="pct"/>
            <w:tcBorders>
              <w:top w:val="nil"/>
              <w:left w:val="nil"/>
              <w:right w:val="nil"/>
            </w:tcBorders>
            <w:shd w:val="clear" w:color="auto" w:fill="auto"/>
            <w:vAlign w:val="bottom"/>
          </w:tcPr>
          <w:p w14:paraId="3815567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r>
      <w:tr w:rsidR="00587444" w:rsidRPr="00587444" w14:paraId="38FB6ACC" w14:textId="77777777" w:rsidTr="00DD69E7">
        <w:trPr>
          <w:trHeight w:val="291"/>
        </w:trPr>
        <w:tc>
          <w:tcPr>
            <w:tcW w:w="1815" w:type="pct"/>
            <w:vAlign w:val="bottom"/>
          </w:tcPr>
          <w:p w14:paraId="4C102528"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tcBorders>
              <w:top w:val="nil"/>
              <w:left w:val="nil"/>
              <w:right w:val="nil"/>
            </w:tcBorders>
            <w:shd w:val="clear" w:color="auto" w:fill="auto"/>
            <w:vAlign w:val="bottom"/>
          </w:tcPr>
          <w:p w14:paraId="226E5489"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50" w:type="pct"/>
            <w:tcBorders>
              <w:top w:val="nil"/>
              <w:left w:val="nil"/>
              <w:right w:val="nil"/>
            </w:tcBorders>
            <w:shd w:val="clear" w:color="auto" w:fill="auto"/>
            <w:vAlign w:val="bottom"/>
          </w:tcPr>
          <w:p w14:paraId="7DADDFE9"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3" w:type="pct"/>
            <w:tcBorders>
              <w:top w:val="nil"/>
              <w:left w:val="nil"/>
              <w:right w:val="nil"/>
            </w:tcBorders>
            <w:shd w:val="clear" w:color="auto" w:fill="auto"/>
            <w:vAlign w:val="bottom"/>
          </w:tcPr>
          <w:p w14:paraId="1273ED2D"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05" w:type="pct"/>
            <w:tcBorders>
              <w:top w:val="nil"/>
              <w:left w:val="nil"/>
              <w:right w:val="nil"/>
            </w:tcBorders>
            <w:shd w:val="clear" w:color="auto" w:fill="auto"/>
            <w:vAlign w:val="bottom"/>
          </w:tcPr>
          <w:p w14:paraId="045E90D2"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37" w:type="pct"/>
            <w:tcBorders>
              <w:top w:val="nil"/>
              <w:left w:val="nil"/>
              <w:right w:val="nil"/>
            </w:tcBorders>
            <w:shd w:val="clear" w:color="auto" w:fill="auto"/>
            <w:vAlign w:val="bottom"/>
          </w:tcPr>
          <w:p w14:paraId="3AE687F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r>
      <w:tr w:rsidR="00587444" w:rsidRPr="00587444" w14:paraId="37B64BBD" w14:textId="77777777" w:rsidTr="00DD69E7">
        <w:trPr>
          <w:trHeight w:val="291"/>
        </w:trPr>
        <w:tc>
          <w:tcPr>
            <w:tcW w:w="1815" w:type="pct"/>
            <w:vAlign w:val="bottom"/>
          </w:tcPr>
          <w:p w14:paraId="203CD9F2"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increase of loss allowance</w:t>
            </w:r>
          </w:p>
        </w:tc>
        <w:tc>
          <w:tcPr>
            <w:tcW w:w="650" w:type="pct"/>
            <w:tcBorders>
              <w:top w:val="nil"/>
              <w:left w:val="nil"/>
              <w:right w:val="nil"/>
            </w:tcBorders>
            <w:shd w:val="clear" w:color="auto" w:fill="auto"/>
            <w:vAlign w:val="bottom"/>
          </w:tcPr>
          <w:p w14:paraId="5981D77A"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587444">
              <w:rPr>
                <w:rFonts w:ascii="Arial" w:eastAsia="Calibri" w:hAnsi="Arial" w:cs="Arial"/>
                <w:color w:val="000000"/>
                <w:sz w:val="18"/>
                <w:szCs w:val="18"/>
                <w:lang w:val="hr-HR"/>
              </w:rPr>
              <w:t>4,250</w:t>
            </w:r>
          </w:p>
        </w:tc>
        <w:tc>
          <w:tcPr>
            <w:tcW w:w="650" w:type="pct"/>
            <w:tcBorders>
              <w:top w:val="nil"/>
              <w:left w:val="nil"/>
              <w:right w:val="nil"/>
            </w:tcBorders>
            <w:shd w:val="clear" w:color="auto" w:fill="auto"/>
            <w:vAlign w:val="bottom"/>
          </w:tcPr>
          <w:p w14:paraId="653456DC"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587444">
              <w:rPr>
                <w:rFonts w:ascii="Arial" w:hAnsi="Arial" w:cs="Arial"/>
                <w:sz w:val="18"/>
                <w:szCs w:val="18"/>
              </w:rPr>
              <w:t xml:space="preserve"> - </w:t>
            </w:r>
          </w:p>
        </w:tc>
        <w:tc>
          <w:tcPr>
            <w:tcW w:w="643" w:type="pct"/>
            <w:tcBorders>
              <w:top w:val="nil"/>
              <w:left w:val="nil"/>
              <w:right w:val="nil"/>
            </w:tcBorders>
            <w:shd w:val="clear" w:color="auto" w:fill="auto"/>
            <w:vAlign w:val="bottom"/>
          </w:tcPr>
          <w:p w14:paraId="23F51336"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587444">
              <w:rPr>
                <w:rFonts w:ascii="Arial" w:hAnsi="Arial" w:cs="Arial"/>
                <w:sz w:val="18"/>
                <w:szCs w:val="18"/>
              </w:rPr>
              <w:t xml:space="preserve"> - </w:t>
            </w:r>
          </w:p>
        </w:tc>
        <w:tc>
          <w:tcPr>
            <w:tcW w:w="605" w:type="pct"/>
            <w:tcBorders>
              <w:top w:val="nil"/>
              <w:left w:val="nil"/>
              <w:right w:val="nil"/>
            </w:tcBorders>
            <w:shd w:val="clear" w:color="auto" w:fill="auto"/>
            <w:vAlign w:val="bottom"/>
          </w:tcPr>
          <w:p w14:paraId="0BEEB79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587444">
              <w:rPr>
                <w:rFonts w:ascii="Arial" w:hAnsi="Arial" w:cs="Arial"/>
                <w:sz w:val="18"/>
                <w:szCs w:val="18"/>
              </w:rPr>
              <w:t xml:space="preserve"> - </w:t>
            </w:r>
          </w:p>
        </w:tc>
        <w:tc>
          <w:tcPr>
            <w:tcW w:w="637" w:type="pct"/>
            <w:tcBorders>
              <w:top w:val="nil"/>
              <w:left w:val="nil"/>
              <w:right w:val="nil"/>
            </w:tcBorders>
            <w:shd w:val="clear" w:color="auto" w:fill="auto"/>
            <w:vAlign w:val="bottom"/>
          </w:tcPr>
          <w:p w14:paraId="6004EAF3"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587444">
              <w:rPr>
                <w:rFonts w:ascii="Arial" w:eastAsia="Calibri" w:hAnsi="Arial" w:cs="Arial"/>
                <w:color w:val="000000"/>
                <w:sz w:val="18"/>
                <w:szCs w:val="18"/>
                <w:lang w:val="hr-HR"/>
              </w:rPr>
              <w:t>4,250</w:t>
            </w:r>
          </w:p>
        </w:tc>
      </w:tr>
      <w:tr w:rsidR="00587444" w:rsidRPr="00587444" w14:paraId="62ABACE1" w14:textId="77777777" w:rsidTr="00DD69E7">
        <w:trPr>
          <w:trHeight w:val="291"/>
        </w:trPr>
        <w:tc>
          <w:tcPr>
            <w:tcW w:w="1815" w:type="pct"/>
            <w:vAlign w:val="bottom"/>
          </w:tcPr>
          <w:p w14:paraId="678454DE"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50" w:type="pct"/>
            <w:tcBorders>
              <w:top w:val="nil"/>
              <w:left w:val="nil"/>
              <w:bottom w:val="single" w:sz="4" w:space="0" w:color="auto"/>
              <w:right w:val="nil"/>
            </w:tcBorders>
            <w:shd w:val="clear" w:color="auto" w:fill="auto"/>
            <w:vAlign w:val="bottom"/>
          </w:tcPr>
          <w:p w14:paraId="5AB8C63A"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587444">
              <w:rPr>
                <w:rFonts w:ascii="Arial" w:eastAsia="Calibri" w:hAnsi="Arial" w:cs="Arial"/>
                <w:color w:val="000000"/>
                <w:sz w:val="18"/>
                <w:szCs w:val="18"/>
                <w:lang w:val="hr-HR"/>
              </w:rPr>
              <w:t>5</w:t>
            </w:r>
          </w:p>
        </w:tc>
        <w:tc>
          <w:tcPr>
            <w:tcW w:w="650" w:type="pct"/>
            <w:tcBorders>
              <w:top w:val="nil"/>
              <w:left w:val="nil"/>
              <w:bottom w:val="single" w:sz="4" w:space="0" w:color="auto"/>
              <w:right w:val="nil"/>
            </w:tcBorders>
            <w:shd w:val="clear" w:color="auto" w:fill="auto"/>
            <w:vAlign w:val="bottom"/>
          </w:tcPr>
          <w:p w14:paraId="7D998964"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587444">
              <w:rPr>
                <w:rFonts w:ascii="Arial" w:hAnsi="Arial" w:cs="Arial"/>
                <w:sz w:val="18"/>
                <w:szCs w:val="18"/>
              </w:rPr>
              <w:t xml:space="preserve"> - </w:t>
            </w:r>
          </w:p>
        </w:tc>
        <w:tc>
          <w:tcPr>
            <w:tcW w:w="643" w:type="pct"/>
            <w:tcBorders>
              <w:top w:val="nil"/>
              <w:left w:val="nil"/>
              <w:bottom w:val="single" w:sz="4" w:space="0" w:color="auto"/>
              <w:right w:val="nil"/>
            </w:tcBorders>
            <w:shd w:val="clear" w:color="auto" w:fill="auto"/>
            <w:vAlign w:val="bottom"/>
          </w:tcPr>
          <w:p w14:paraId="0638B7D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587444">
              <w:rPr>
                <w:rFonts w:ascii="Arial" w:hAnsi="Arial" w:cs="Arial"/>
                <w:sz w:val="18"/>
                <w:szCs w:val="18"/>
              </w:rPr>
              <w:t xml:space="preserve"> - </w:t>
            </w:r>
          </w:p>
        </w:tc>
        <w:tc>
          <w:tcPr>
            <w:tcW w:w="605" w:type="pct"/>
            <w:tcBorders>
              <w:top w:val="nil"/>
              <w:left w:val="nil"/>
              <w:bottom w:val="single" w:sz="4" w:space="0" w:color="auto"/>
              <w:right w:val="nil"/>
            </w:tcBorders>
            <w:shd w:val="clear" w:color="auto" w:fill="auto"/>
            <w:vAlign w:val="bottom"/>
          </w:tcPr>
          <w:p w14:paraId="48F280E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587444">
              <w:rPr>
                <w:rFonts w:ascii="Arial" w:hAnsi="Arial" w:cs="Arial"/>
                <w:sz w:val="18"/>
                <w:szCs w:val="18"/>
              </w:rPr>
              <w:t xml:space="preserve"> - </w:t>
            </w:r>
          </w:p>
        </w:tc>
        <w:tc>
          <w:tcPr>
            <w:tcW w:w="637" w:type="pct"/>
            <w:tcBorders>
              <w:top w:val="nil"/>
              <w:left w:val="nil"/>
              <w:bottom w:val="single" w:sz="4" w:space="0" w:color="auto"/>
              <w:right w:val="nil"/>
            </w:tcBorders>
            <w:shd w:val="clear" w:color="auto" w:fill="auto"/>
            <w:vAlign w:val="bottom"/>
          </w:tcPr>
          <w:p w14:paraId="1A484C8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587444">
              <w:rPr>
                <w:rFonts w:ascii="Arial" w:eastAsia="Calibri" w:hAnsi="Arial" w:cs="Arial"/>
                <w:color w:val="000000"/>
                <w:sz w:val="18"/>
                <w:szCs w:val="18"/>
                <w:lang w:val="hr-HR"/>
              </w:rPr>
              <w:t>5</w:t>
            </w:r>
          </w:p>
        </w:tc>
      </w:tr>
      <w:tr w:rsidR="00587444" w:rsidRPr="00587444" w14:paraId="7B23AA58" w14:textId="77777777" w:rsidTr="00DD69E7">
        <w:trPr>
          <w:trHeight w:val="33"/>
        </w:trPr>
        <w:tc>
          <w:tcPr>
            <w:tcW w:w="1815" w:type="pct"/>
            <w:vAlign w:val="bottom"/>
          </w:tcPr>
          <w:p w14:paraId="6F142088"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2022</w:t>
            </w:r>
          </w:p>
        </w:tc>
        <w:tc>
          <w:tcPr>
            <w:tcW w:w="650" w:type="pct"/>
            <w:tcBorders>
              <w:top w:val="single" w:sz="4" w:space="0" w:color="auto"/>
              <w:left w:val="nil"/>
              <w:bottom w:val="single" w:sz="12" w:space="0" w:color="auto"/>
              <w:right w:val="nil"/>
            </w:tcBorders>
            <w:shd w:val="clear" w:color="auto" w:fill="auto"/>
            <w:vAlign w:val="bottom"/>
          </w:tcPr>
          <w:p w14:paraId="7230F7B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eastAsia="Calibri" w:hAnsi="Arial" w:cs="Arial"/>
                <w:b/>
                <w:bCs/>
                <w:color w:val="000000"/>
                <w:sz w:val="18"/>
                <w:szCs w:val="18"/>
                <w:lang w:val="hr-HR"/>
              </w:rPr>
              <w:t>6,059</w:t>
            </w:r>
          </w:p>
        </w:tc>
        <w:tc>
          <w:tcPr>
            <w:tcW w:w="650" w:type="pct"/>
            <w:tcBorders>
              <w:top w:val="single" w:sz="4" w:space="0" w:color="auto"/>
              <w:left w:val="nil"/>
              <w:bottom w:val="single" w:sz="12" w:space="0" w:color="auto"/>
              <w:right w:val="nil"/>
            </w:tcBorders>
            <w:shd w:val="clear" w:color="auto" w:fill="auto"/>
            <w:vAlign w:val="bottom"/>
          </w:tcPr>
          <w:p w14:paraId="5B9C207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 </w:t>
            </w:r>
          </w:p>
        </w:tc>
        <w:tc>
          <w:tcPr>
            <w:tcW w:w="643" w:type="pct"/>
            <w:tcBorders>
              <w:top w:val="single" w:sz="4" w:space="0" w:color="auto"/>
              <w:left w:val="nil"/>
              <w:bottom w:val="single" w:sz="12" w:space="0" w:color="auto"/>
              <w:right w:val="nil"/>
            </w:tcBorders>
            <w:shd w:val="clear" w:color="auto" w:fill="auto"/>
            <w:vAlign w:val="bottom"/>
          </w:tcPr>
          <w:p w14:paraId="0F9742B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 </w:t>
            </w:r>
          </w:p>
        </w:tc>
        <w:tc>
          <w:tcPr>
            <w:tcW w:w="605" w:type="pct"/>
            <w:tcBorders>
              <w:top w:val="single" w:sz="4" w:space="0" w:color="auto"/>
              <w:left w:val="nil"/>
              <w:bottom w:val="single" w:sz="12" w:space="0" w:color="auto"/>
              <w:right w:val="nil"/>
            </w:tcBorders>
            <w:shd w:val="clear" w:color="auto" w:fill="auto"/>
            <w:vAlign w:val="bottom"/>
          </w:tcPr>
          <w:p w14:paraId="38E812A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 </w:t>
            </w:r>
          </w:p>
        </w:tc>
        <w:tc>
          <w:tcPr>
            <w:tcW w:w="637" w:type="pct"/>
            <w:tcBorders>
              <w:top w:val="single" w:sz="4" w:space="0" w:color="auto"/>
              <w:left w:val="nil"/>
              <w:bottom w:val="single" w:sz="12" w:space="0" w:color="auto"/>
              <w:right w:val="nil"/>
            </w:tcBorders>
            <w:shd w:val="clear" w:color="auto" w:fill="auto"/>
            <w:vAlign w:val="bottom"/>
          </w:tcPr>
          <w:p w14:paraId="3A201072"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eastAsia="Calibri" w:hAnsi="Arial" w:cs="Arial"/>
                <w:b/>
                <w:bCs/>
                <w:color w:val="000000"/>
                <w:sz w:val="18"/>
                <w:szCs w:val="18"/>
                <w:lang w:val="hr-HR"/>
              </w:rPr>
              <w:t>6,059</w:t>
            </w:r>
          </w:p>
        </w:tc>
      </w:tr>
    </w:tbl>
    <w:p w14:paraId="224AF65F" w14:textId="77777777" w:rsidR="00587444" w:rsidRPr="00587444" w:rsidRDefault="00587444" w:rsidP="00587444">
      <w:pPr>
        <w:suppressAutoHyphens w:val="0"/>
        <w:autoSpaceDN/>
        <w:jc w:val="both"/>
        <w:rPr>
          <w:rFonts w:ascii="Arial" w:hAnsi="Arial" w:cs="Arial"/>
          <w:b/>
          <w:bCs/>
          <w:sz w:val="20"/>
          <w:szCs w:val="20"/>
          <w:lang w:val="en-GB"/>
        </w:rPr>
      </w:pPr>
    </w:p>
    <w:p w14:paraId="30DA4C7D"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475"/>
        <w:gridCol w:w="1244"/>
        <w:gridCol w:w="1244"/>
        <w:gridCol w:w="1231"/>
        <w:gridCol w:w="1158"/>
        <w:gridCol w:w="1219"/>
      </w:tblGrid>
      <w:tr w:rsidR="00587444" w:rsidRPr="00587444" w14:paraId="38EF257D" w14:textId="77777777" w:rsidTr="00DD69E7">
        <w:trPr>
          <w:trHeight w:val="277"/>
        </w:trPr>
        <w:tc>
          <w:tcPr>
            <w:tcW w:w="1815" w:type="pct"/>
          </w:tcPr>
          <w:p w14:paraId="41B5372B"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Bank</w:t>
            </w:r>
          </w:p>
        </w:tc>
        <w:tc>
          <w:tcPr>
            <w:tcW w:w="3185" w:type="pct"/>
            <w:gridSpan w:val="5"/>
            <w:vAlign w:val="bottom"/>
          </w:tcPr>
          <w:p w14:paraId="60124BB4"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3AB5CAB0" w14:textId="77777777" w:rsidTr="00DD69E7">
        <w:trPr>
          <w:trHeight w:val="46"/>
        </w:trPr>
        <w:tc>
          <w:tcPr>
            <w:tcW w:w="1815" w:type="pct"/>
          </w:tcPr>
          <w:p w14:paraId="497DF1DE"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2021</w:t>
            </w:r>
          </w:p>
        </w:tc>
        <w:tc>
          <w:tcPr>
            <w:tcW w:w="650" w:type="pct"/>
            <w:vAlign w:val="bottom"/>
          </w:tcPr>
          <w:p w14:paraId="7FB4BA1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535432D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603023C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31D93474"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7" w:type="pct"/>
            <w:vAlign w:val="bottom"/>
          </w:tcPr>
          <w:p w14:paraId="74BE1197"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059A7F26" w14:textId="77777777" w:rsidTr="00DD69E7">
        <w:trPr>
          <w:trHeight w:val="46"/>
        </w:trPr>
        <w:tc>
          <w:tcPr>
            <w:tcW w:w="1815" w:type="pct"/>
          </w:tcPr>
          <w:p w14:paraId="6B2D8D17"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4D8A8C5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50" w:type="pct"/>
          </w:tcPr>
          <w:p w14:paraId="5735B4B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3" w:type="pct"/>
          </w:tcPr>
          <w:p w14:paraId="4262167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05" w:type="pct"/>
          </w:tcPr>
          <w:p w14:paraId="48057C9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37" w:type="pct"/>
          </w:tcPr>
          <w:p w14:paraId="158AB6FB"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5EBA035A" w14:textId="77777777" w:rsidTr="00DD69E7">
        <w:trPr>
          <w:trHeight w:val="46"/>
        </w:trPr>
        <w:tc>
          <w:tcPr>
            <w:tcW w:w="1815" w:type="pct"/>
          </w:tcPr>
          <w:p w14:paraId="130C7E9E"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61623482"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50" w:type="pct"/>
          </w:tcPr>
          <w:p w14:paraId="0F855983"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43" w:type="pct"/>
          </w:tcPr>
          <w:p w14:paraId="09C7BADA"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05" w:type="pct"/>
          </w:tcPr>
          <w:p w14:paraId="4E5802E1"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37" w:type="pct"/>
          </w:tcPr>
          <w:p w14:paraId="217348BB"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53FC102F" w14:textId="77777777" w:rsidTr="00DD69E7">
        <w:trPr>
          <w:trHeight w:val="291"/>
        </w:trPr>
        <w:tc>
          <w:tcPr>
            <w:tcW w:w="1815" w:type="pct"/>
            <w:vAlign w:val="bottom"/>
          </w:tcPr>
          <w:p w14:paraId="211F703C"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2021</w:t>
            </w:r>
          </w:p>
        </w:tc>
        <w:tc>
          <w:tcPr>
            <w:tcW w:w="650" w:type="pct"/>
            <w:tcBorders>
              <w:top w:val="nil"/>
              <w:left w:val="nil"/>
              <w:bottom w:val="nil"/>
              <w:right w:val="nil"/>
            </w:tcBorders>
            <w:shd w:val="clear" w:color="auto" w:fill="auto"/>
            <w:vAlign w:val="bottom"/>
          </w:tcPr>
          <w:p w14:paraId="4E216DC9"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1,643 </w:t>
            </w:r>
          </w:p>
        </w:tc>
        <w:tc>
          <w:tcPr>
            <w:tcW w:w="650" w:type="pct"/>
            <w:tcBorders>
              <w:top w:val="nil"/>
              <w:left w:val="nil"/>
              <w:bottom w:val="nil"/>
              <w:right w:val="nil"/>
            </w:tcBorders>
            <w:shd w:val="clear" w:color="auto" w:fill="auto"/>
            <w:vAlign w:val="bottom"/>
          </w:tcPr>
          <w:p w14:paraId="737D968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3403AE94"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0C4D23D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37" w:type="pct"/>
            <w:tcBorders>
              <w:top w:val="nil"/>
              <w:left w:val="nil"/>
              <w:bottom w:val="nil"/>
              <w:right w:val="nil"/>
            </w:tcBorders>
            <w:shd w:val="clear" w:color="auto" w:fill="auto"/>
            <w:vAlign w:val="bottom"/>
          </w:tcPr>
          <w:p w14:paraId="06646179"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1,643 </w:t>
            </w:r>
          </w:p>
        </w:tc>
      </w:tr>
      <w:tr w:rsidR="00587444" w:rsidRPr="00587444" w14:paraId="283E17B6" w14:textId="77777777" w:rsidTr="00DD69E7">
        <w:trPr>
          <w:trHeight w:val="291"/>
        </w:trPr>
        <w:tc>
          <w:tcPr>
            <w:tcW w:w="1815" w:type="pct"/>
            <w:vAlign w:val="bottom"/>
          </w:tcPr>
          <w:p w14:paraId="0805C1E1"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tcBorders>
              <w:top w:val="nil"/>
              <w:left w:val="nil"/>
              <w:right w:val="nil"/>
            </w:tcBorders>
            <w:shd w:val="clear" w:color="auto" w:fill="auto"/>
            <w:vAlign w:val="bottom"/>
          </w:tcPr>
          <w:p w14:paraId="5FEB904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50" w:type="pct"/>
            <w:tcBorders>
              <w:top w:val="nil"/>
              <w:left w:val="nil"/>
              <w:right w:val="nil"/>
            </w:tcBorders>
            <w:shd w:val="clear" w:color="auto" w:fill="auto"/>
            <w:vAlign w:val="bottom"/>
          </w:tcPr>
          <w:p w14:paraId="6B0BE9AF"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3" w:type="pct"/>
            <w:tcBorders>
              <w:top w:val="nil"/>
              <w:left w:val="nil"/>
              <w:right w:val="nil"/>
            </w:tcBorders>
            <w:shd w:val="clear" w:color="auto" w:fill="auto"/>
            <w:vAlign w:val="bottom"/>
          </w:tcPr>
          <w:p w14:paraId="4310C74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05" w:type="pct"/>
            <w:tcBorders>
              <w:top w:val="nil"/>
              <w:left w:val="nil"/>
              <w:right w:val="nil"/>
            </w:tcBorders>
            <w:shd w:val="clear" w:color="auto" w:fill="auto"/>
            <w:vAlign w:val="bottom"/>
          </w:tcPr>
          <w:p w14:paraId="75B8B2A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37" w:type="pct"/>
            <w:tcBorders>
              <w:top w:val="nil"/>
              <w:left w:val="nil"/>
              <w:right w:val="nil"/>
            </w:tcBorders>
            <w:shd w:val="clear" w:color="auto" w:fill="auto"/>
            <w:vAlign w:val="bottom"/>
          </w:tcPr>
          <w:p w14:paraId="49AA6052"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r>
      <w:tr w:rsidR="00587444" w:rsidRPr="00587444" w14:paraId="3D2003CF" w14:textId="77777777" w:rsidTr="00DD69E7">
        <w:trPr>
          <w:trHeight w:val="291"/>
        </w:trPr>
        <w:tc>
          <w:tcPr>
            <w:tcW w:w="1815" w:type="pct"/>
            <w:vAlign w:val="bottom"/>
          </w:tcPr>
          <w:p w14:paraId="71206680"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tcBorders>
              <w:top w:val="nil"/>
              <w:left w:val="nil"/>
              <w:right w:val="nil"/>
            </w:tcBorders>
            <w:shd w:val="clear" w:color="auto" w:fill="auto"/>
            <w:vAlign w:val="bottom"/>
          </w:tcPr>
          <w:p w14:paraId="03091DFC"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50" w:type="pct"/>
            <w:tcBorders>
              <w:top w:val="nil"/>
              <w:left w:val="nil"/>
              <w:right w:val="nil"/>
            </w:tcBorders>
            <w:shd w:val="clear" w:color="auto" w:fill="auto"/>
            <w:vAlign w:val="bottom"/>
          </w:tcPr>
          <w:p w14:paraId="0FD00C2A"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3" w:type="pct"/>
            <w:tcBorders>
              <w:top w:val="nil"/>
              <w:left w:val="nil"/>
              <w:right w:val="nil"/>
            </w:tcBorders>
            <w:shd w:val="clear" w:color="auto" w:fill="auto"/>
            <w:vAlign w:val="bottom"/>
          </w:tcPr>
          <w:p w14:paraId="3B6F62E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05" w:type="pct"/>
            <w:tcBorders>
              <w:top w:val="nil"/>
              <w:left w:val="nil"/>
              <w:right w:val="nil"/>
            </w:tcBorders>
            <w:shd w:val="clear" w:color="auto" w:fill="auto"/>
            <w:vAlign w:val="bottom"/>
          </w:tcPr>
          <w:p w14:paraId="3B3218E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37" w:type="pct"/>
            <w:tcBorders>
              <w:top w:val="nil"/>
              <w:left w:val="nil"/>
              <w:right w:val="nil"/>
            </w:tcBorders>
            <w:shd w:val="clear" w:color="auto" w:fill="auto"/>
            <w:vAlign w:val="bottom"/>
          </w:tcPr>
          <w:p w14:paraId="0BF124D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r>
      <w:tr w:rsidR="00587444" w:rsidRPr="00587444" w14:paraId="658311B7" w14:textId="77777777" w:rsidTr="00DD69E7">
        <w:trPr>
          <w:trHeight w:val="291"/>
        </w:trPr>
        <w:tc>
          <w:tcPr>
            <w:tcW w:w="1815" w:type="pct"/>
            <w:vAlign w:val="bottom"/>
          </w:tcPr>
          <w:p w14:paraId="103EE7A8"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tcBorders>
              <w:top w:val="nil"/>
              <w:left w:val="nil"/>
              <w:right w:val="nil"/>
            </w:tcBorders>
            <w:shd w:val="clear" w:color="auto" w:fill="auto"/>
            <w:vAlign w:val="bottom"/>
          </w:tcPr>
          <w:p w14:paraId="5849C822"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50" w:type="pct"/>
            <w:tcBorders>
              <w:top w:val="nil"/>
              <w:left w:val="nil"/>
              <w:right w:val="nil"/>
            </w:tcBorders>
            <w:shd w:val="clear" w:color="auto" w:fill="auto"/>
            <w:vAlign w:val="bottom"/>
          </w:tcPr>
          <w:p w14:paraId="218FB1B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3" w:type="pct"/>
            <w:tcBorders>
              <w:top w:val="nil"/>
              <w:left w:val="nil"/>
              <w:right w:val="nil"/>
            </w:tcBorders>
            <w:shd w:val="clear" w:color="auto" w:fill="auto"/>
            <w:vAlign w:val="bottom"/>
          </w:tcPr>
          <w:p w14:paraId="20A1B2D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05" w:type="pct"/>
            <w:tcBorders>
              <w:top w:val="nil"/>
              <w:left w:val="nil"/>
              <w:right w:val="nil"/>
            </w:tcBorders>
            <w:shd w:val="clear" w:color="auto" w:fill="auto"/>
            <w:vAlign w:val="bottom"/>
          </w:tcPr>
          <w:p w14:paraId="7657AC0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37" w:type="pct"/>
            <w:tcBorders>
              <w:top w:val="nil"/>
              <w:left w:val="nil"/>
              <w:right w:val="nil"/>
            </w:tcBorders>
            <w:shd w:val="clear" w:color="auto" w:fill="auto"/>
            <w:vAlign w:val="bottom"/>
          </w:tcPr>
          <w:p w14:paraId="1C6EE63A"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r>
      <w:tr w:rsidR="00587444" w:rsidRPr="00587444" w14:paraId="48A11E6B" w14:textId="77777777" w:rsidTr="00DD69E7">
        <w:trPr>
          <w:trHeight w:val="291"/>
        </w:trPr>
        <w:tc>
          <w:tcPr>
            <w:tcW w:w="1815" w:type="pct"/>
            <w:vAlign w:val="bottom"/>
          </w:tcPr>
          <w:p w14:paraId="704B80BB"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increase of loss allowance</w:t>
            </w:r>
          </w:p>
        </w:tc>
        <w:tc>
          <w:tcPr>
            <w:tcW w:w="650" w:type="pct"/>
            <w:tcBorders>
              <w:top w:val="nil"/>
              <w:left w:val="nil"/>
              <w:right w:val="nil"/>
            </w:tcBorders>
            <w:shd w:val="clear" w:color="auto" w:fill="auto"/>
            <w:vAlign w:val="bottom"/>
          </w:tcPr>
          <w:p w14:paraId="1B966B5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587444">
              <w:rPr>
                <w:rFonts w:ascii="Arial" w:hAnsi="Arial" w:cs="Arial"/>
                <w:sz w:val="18"/>
                <w:szCs w:val="18"/>
              </w:rPr>
              <w:t xml:space="preserve"> 160 </w:t>
            </w:r>
          </w:p>
        </w:tc>
        <w:tc>
          <w:tcPr>
            <w:tcW w:w="650" w:type="pct"/>
            <w:tcBorders>
              <w:top w:val="nil"/>
              <w:left w:val="nil"/>
              <w:right w:val="nil"/>
            </w:tcBorders>
            <w:shd w:val="clear" w:color="auto" w:fill="auto"/>
            <w:vAlign w:val="bottom"/>
          </w:tcPr>
          <w:p w14:paraId="749FACC2"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587444">
              <w:rPr>
                <w:rFonts w:ascii="Arial" w:hAnsi="Arial" w:cs="Arial"/>
                <w:sz w:val="18"/>
                <w:szCs w:val="18"/>
              </w:rPr>
              <w:t xml:space="preserve"> - </w:t>
            </w:r>
          </w:p>
        </w:tc>
        <w:tc>
          <w:tcPr>
            <w:tcW w:w="643" w:type="pct"/>
            <w:tcBorders>
              <w:top w:val="nil"/>
              <w:left w:val="nil"/>
              <w:right w:val="nil"/>
            </w:tcBorders>
            <w:shd w:val="clear" w:color="auto" w:fill="auto"/>
            <w:vAlign w:val="bottom"/>
          </w:tcPr>
          <w:p w14:paraId="2CB3805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587444">
              <w:rPr>
                <w:rFonts w:ascii="Arial" w:hAnsi="Arial" w:cs="Arial"/>
                <w:sz w:val="18"/>
                <w:szCs w:val="18"/>
              </w:rPr>
              <w:t xml:space="preserve"> - </w:t>
            </w:r>
          </w:p>
        </w:tc>
        <w:tc>
          <w:tcPr>
            <w:tcW w:w="605" w:type="pct"/>
            <w:tcBorders>
              <w:top w:val="nil"/>
              <w:left w:val="nil"/>
              <w:right w:val="nil"/>
            </w:tcBorders>
            <w:shd w:val="clear" w:color="auto" w:fill="auto"/>
            <w:vAlign w:val="bottom"/>
          </w:tcPr>
          <w:p w14:paraId="7D50739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587444">
              <w:rPr>
                <w:rFonts w:ascii="Arial" w:hAnsi="Arial" w:cs="Arial"/>
                <w:sz w:val="18"/>
                <w:szCs w:val="18"/>
              </w:rPr>
              <w:t xml:space="preserve"> - </w:t>
            </w:r>
          </w:p>
        </w:tc>
        <w:tc>
          <w:tcPr>
            <w:tcW w:w="637" w:type="pct"/>
            <w:tcBorders>
              <w:top w:val="nil"/>
              <w:left w:val="nil"/>
              <w:right w:val="nil"/>
            </w:tcBorders>
            <w:shd w:val="clear" w:color="auto" w:fill="auto"/>
            <w:vAlign w:val="bottom"/>
          </w:tcPr>
          <w:p w14:paraId="126F086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587444">
              <w:rPr>
                <w:rFonts w:ascii="Arial" w:hAnsi="Arial" w:cs="Arial"/>
                <w:sz w:val="18"/>
                <w:szCs w:val="18"/>
              </w:rPr>
              <w:t xml:space="preserve"> 160 </w:t>
            </w:r>
          </w:p>
        </w:tc>
      </w:tr>
      <w:tr w:rsidR="00587444" w:rsidRPr="00587444" w14:paraId="12D7EBE1" w14:textId="77777777" w:rsidTr="00DD69E7">
        <w:trPr>
          <w:trHeight w:val="291"/>
        </w:trPr>
        <w:tc>
          <w:tcPr>
            <w:tcW w:w="1815" w:type="pct"/>
            <w:vAlign w:val="bottom"/>
          </w:tcPr>
          <w:p w14:paraId="6818DD03"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50" w:type="pct"/>
            <w:tcBorders>
              <w:top w:val="nil"/>
              <w:left w:val="nil"/>
              <w:bottom w:val="single" w:sz="4" w:space="0" w:color="auto"/>
              <w:right w:val="nil"/>
            </w:tcBorders>
            <w:shd w:val="clear" w:color="auto" w:fill="auto"/>
            <w:vAlign w:val="bottom"/>
          </w:tcPr>
          <w:p w14:paraId="1CE3BCBF"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587444">
              <w:rPr>
                <w:rFonts w:ascii="Arial" w:hAnsi="Arial" w:cs="Arial"/>
                <w:sz w:val="18"/>
                <w:szCs w:val="18"/>
              </w:rPr>
              <w:t xml:space="preserve"> 1 </w:t>
            </w:r>
          </w:p>
        </w:tc>
        <w:tc>
          <w:tcPr>
            <w:tcW w:w="650" w:type="pct"/>
            <w:tcBorders>
              <w:top w:val="nil"/>
              <w:left w:val="nil"/>
              <w:bottom w:val="single" w:sz="4" w:space="0" w:color="auto"/>
              <w:right w:val="nil"/>
            </w:tcBorders>
            <w:shd w:val="clear" w:color="auto" w:fill="auto"/>
            <w:vAlign w:val="bottom"/>
          </w:tcPr>
          <w:p w14:paraId="67CC9A24"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587444">
              <w:rPr>
                <w:rFonts w:ascii="Arial" w:hAnsi="Arial" w:cs="Arial"/>
                <w:sz w:val="18"/>
                <w:szCs w:val="18"/>
              </w:rPr>
              <w:t xml:space="preserve"> - </w:t>
            </w:r>
          </w:p>
        </w:tc>
        <w:tc>
          <w:tcPr>
            <w:tcW w:w="643" w:type="pct"/>
            <w:tcBorders>
              <w:top w:val="nil"/>
              <w:left w:val="nil"/>
              <w:bottom w:val="single" w:sz="4" w:space="0" w:color="auto"/>
              <w:right w:val="nil"/>
            </w:tcBorders>
            <w:shd w:val="clear" w:color="auto" w:fill="auto"/>
            <w:vAlign w:val="bottom"/>
          </w:tcPr>
          <w:p w14:paraId="2F423E1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587444">
              <w:rPr>
                <w:rFonts w:ascii="Arial" w:hAnsi="Arial" w:cs="Arial"/>
                <w:sz w:val="18"/>
                <w:szCs w:val="18"/>
              </w:rPr>
              <w:t xml:space="preserve"> - </w:t>
            </w:r>
          </w:p>
        </w:tc>
        <w:tc>
          <w:tcPr>
            <w:tcW w:w="605" w:type="pct"/>
            <w:tcBorders>
              <w:top w:val="nil"/>
              <w:left w:val="nil"/>
              <w:bottom w:val="single" w:sz="4" w:space="0" w:color="auto"/>
              <w:right w:val="nil"/>
            </w:tcBorders>
            <w:shd w:val="clear" w:color="auto" w:fill="auto"/>
            <w:vAlign w:val="bottom"/>
          </w:tcPr>
          <w:p w14:paraId="1B55624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587444">
              <w:rPr>
                <w:rFonts w:ascii="Arial" w:hAnsi="Arial" w:cs="Arial"/>
                <w:sz w:val="18"/>
                <w:szCs w:val="18"/>
              </w:rPr>
              <w:t xml:space="preserve"> - </w:t>
            </w:r>
          </w:p>
        </w:tc>
        <w:tc>
          <w:tcPr>
            <w:tcW w:w="637" w:type="pct"/>
            <w:tcBorders>
              <w:top w:val="nil"/>
              <w:left w:val="nil"/>
              <w:bottom w:val="single" w:sz="4" w:space="0" w:color="auto"/>
              <w:right w:val="nil"/>
            </w:tcBorders>
            <w:shd w:val="clear" w:color="auto" w:fill="auto"/>
            <w:vAlign w:val="bottom"/>
          </w:tcPr>
          <w:p w14:paraId="35A8412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587444">
              <w:rPr>
                <w:rFonts w:ascii="Arial" w:hAnsi="Arial" w:cs="Arial"/>
                <w:sz w:val="18"/>
                <w:szCs w:val="18"/>
              </w:rPr>
              <w:t xml:space="preserve"> 1 </w:t>
            </w:r>
          </w:p>
        </w:tc>
      </w:tr>
      <w:tr w:rsidR="00587444" w:rsidRPr="00587444" w14:paraId="07A98C55" w14:textId="77777777" w:rsidTr="00DD69E7">
        <w:trPr>
          <w:trHeight w:val="33"/>
        </w:trPr>
        <w:tc>
          <w:tcPr>
            <w:tcW w:w="1815" w:type="pct"/>
            <w:vAlign w:val="bottom"/>
          </w:tcPr>
          <w:p w14:paraId="0080DC80"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2021</w:t>
            </w:r>
          </w:p>
        </w:tc>
        <w:tc>
          <w:tcPr>
            <w:tcW w:w="650" w:type="pct"/>
            <w:tcBorders>
              <w:top w:val="single" w:sz="4" w:space="0" w:color="auto"/>
              <w:left w:val="nil"/>
              <w:bottom w:val="single" w:sz="12" w:space="0" w:color="auto"/>
              <w:right w:val="nil"/>
            </w:tcBorders>
            <w:shd w:val="clear" w:color="auto" w:fill="auto"/>
          </w:tcPr>
          <w:p w14:paraId="6A97D218"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1,804 </w:t>
            </w:r>
          </w:p>
        </w:tc>
        <w:tc>
          <w:tcPr>
            <w:tcW w:w="650" w:type="pct"/>
            <w:tcBorders>
              <w:top w:val="single" w:sz="4" w:space="0" w:color="auto"/>
              <w:left w:val="nil"/>
              <w:bottom w:val="single" w:sz="12" w:space="0" w:color="auto"/>
              <w:right w:val="nil"/>
            </w:tcBorders>
            <w:shd w:val="clear" w:color="auto" w:fill="auto"/>
          </w:tcPr>
          <w:p w14:paraId="5D63DA6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 </w:t>
            </w:r>
          </w:p>
        </w:tc>
        <w:tc>
          <w:tcPr>
            <w:tcW w:w="643" w:type="pct"/>
            <w:tcBorders>
              <w:top w:val="single" w:sz="4" w:space="0" w:color="auto"/>
              <w:left w:val="nil"/>
              <w:bottom w:val="single" w:sz="12" w:space="0" w:color="auto"/>
              <w:right w:val="nil"/>
            </w:tcBorders>
            <w:shd w:val="clear" w:color="auto" w:fill="auto"/>
          </w:tcPr>
          <w:p w14:paraId="5ABDA39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 </w:t>
            </w:r>
          </w:p>
        </w:tc>
        <w:tc>
          <w:tcPr>
            <w:tcW w:w="605" w:type="pct"/>
            <w:tcBorders>
              <w:top w:val="single" w:sz="4" w:space="0" w:color="auto"/>
              <w:left w:val="nil"/>
              <w:bottom w:val="single" w:sz="12" w:space="0" w:color="auto"/>
              <w:right w:val="nil"/>
            </w:tcBorders>
            <w:shd w:val="clear" w:color="auto" w:fill="auto"/>
          </w:tcPr>
          <w:p w14:paraId="383A98D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 </w:t>
            </w:r>
          </w:p>
        </w:tc>
        <w:tc>
          <w:tcPr>
            <w:tcW w:w="637" w:type="pct"/>
            <w:tcBorders>
              <w:top w:val="single" w:sz="4" w:space="0" w:color="auto"/>
              <w:left w:val="nil"/>
              <w:bottom w:val="single" w:sz="12" w:space="0" w:color="auto"/>
              <w:right w:val="nil"/>
            </w:tcBorders>
            <w:shd w:val="clear" w:color="auto" w:fill="auto"/>
          </w:tcPr>
          <w:p w14:paraId="3B069C5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1,804 </w:t>
            </w:r>
          </w:p>
        </w:tc>
      </w:tr>
    </w:tbl>
    <w:p w14:paraId="0E79459D" w14:textId="77777777" w:rsidR="00587444" w:rsidRPr="00587444" w:rsidRDefault="00587444" w:rsidP="00587444">
      <w:pPr>
        <w:suppressAutoHyphens w:val="0"/>
        <w:autoSpaceDN/>
        <w:jc w:val="both"/>
        <w:rPr>
          <w:rFonts w:ascii="Arial" w:hAnsi="Arial" w:cs="Arial"/>
          <w:b/>
          <w:bCs/>
          <w:sz w:val="20"/>
          <w:szCs w:val="20"/>
          <w:lang w:val="en-GB"/>
        </w:rPr>
      </w:pPr>
    </w:p>
    <w:p w14:paraId="5D705C5E" w14:textId="77777777" w:rsidR="00587444" w:rsidRPr="00587444" w:rsidRDefault="00587444" w:rsidP="00587444">
      <w:pPr>
        <w:suppressAutoHyphens w:val="0"/>
        <w:autoSpaceDN/>
        <w:jc w:val="both"/>
        <w:rPr>
          <w:rFonts w:ascii="Arial" w:hAnsi="Arial" w:cs="Arial"/>
          <w:b/>
          <w:bCs/>
          <w:sz w:val="20"/>
          <w:szCs w:val="20"/>
          <w:lang w:val="en-GB"/>
        </w:rPr>
      </w:pPr>
    </w:p>
    <w:p w14:paraId="3A94752A" w14:textId="77777777" w:rsidR="00587444" w:rsidRPr="00587444" w:rsidRDefault="00587444" w:rsidP="00587444">
      <w:pPr>
        <w:suppressAutoHyphens w:val="0"/>
        <w:autoSpaceDN/>
        <w:jc w:val="both"/>
        <w:rPr>
          <w:rFonts w:ascii="Arial" w:hAnsi="Arial" w:cs="Arial"/>
          <w:b/>
          <w:bCs/>
          <w:sz w:val="20"/>
          <w:szCs w:val="20"/>
          <w:lang w:val="en-GB"/>
        </w:rPr>
      </w:pPr>
    </w:p>
    <w:p w14:paraId="6C5F9F20" w14:textId="77777777" w:rsidR="00587444" w:rsidRPr="00587444" w:rsidRDefault="00587444" w:rsidP="00587444">
      <w:pPr>
        <w:suppressAutoHyphens w:val="0"/>
        <w:autoSpaceDN/>
        <w:jc w:val="both"/>
        <w:rPr>
          <w:rFonts w:ascii="Arial" w:hAnsi="Arial" w:cs="Arial"/>
          <w:b/>
          <w:bCs/>
          <w:sz w:val="20"/>
          <w:szCs w:val="20"/>
          <w:lang w:val="en-GB"/>
        </w:rPr>
      </w:pPr>
    </w:p>
    <w:p w14:paraId="2B688AC8"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D69E7">
          <w:pgSz w:w="11907" w:h="16840" w:code="9"/>
          <w:pgMar w:top="1418" w:right="1134" w:bottom="1134" w:left="1418" w:header="851" w:footer="851" w:gutter="0"/>
          <w:cols w:space="720"/>
          <w:noEndnote/>
        </w:sectPr>
      </w:pPr>
    </w:p>
    <w:p w14:paraId="64A0F3BE" w14:textId="77777777" w:rsidR="00587444" w:rsidRPr="00587444" w:rsidRDefault="00587444" w:rsidP="00587444">
      <w:pPr>
        <w:suppressAutoHyphens w:val="0"/>
        <w:autoSpaceDN/>
        <w:jc w:val="both"/>
        <w:rPr>
          <w:rFonts w:ascii="Arial" w:hAnsi="Arial" w:cs="Arial"/>
          <w:b/>
          <w:bCs/>
          <w:sz w:val="20"/>
          <w:szCs w:val="20"/>
          <w:lang w:val="en-GB"/>
        </w:rPr>
      </w:pPr>
    </w:p>
    <w:p w14:paraId="0DB3BF1B"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3B724AF" w14:textId="77777777" w:rsidR="00587444" w:rsidRPr="00587444" w:rsidRDefault="00587444" w:rsidP="00587444">
      <w:pPr>
        <w:suppressAutoHyphens w:val="0"/>
        <w:autoSpaceDN/>
        <w:jc w:val="both"/>
        <w:rPr>
          <w:rFonts w:ascii="Arial" w:hAnsi="Arial" w:cs="Arial"/>
          <w:b/>
          <w:sz w:val="20"/>
          <w:szCs w:val="20"/>
          <w:lang w:val="en-GB"/>
        </w:rPr>
      </w:pPr>
    </w:p>
    <w:p w14:paraId="6407180D"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F3299B0" w14:textId="77777777" w:rsidR="00587444" w:rsidRPr="00587444" w:rsidRDefault="00587444" w:rsidP="00587444">
      <w:pPr>
        <w:suppressAutoHyphens w:val="0"/>
        <w:autoSpaceDN/>
        <w:jc w:val="both"/>
        <w:rPr>
          <w:rFonts w:ascii="Arial" w:hAnsi="Arial" w:cs="Arial"/>
          <w:b/>
          <w:bCs/>
          <w:i/>
          <w:sz w:val="20"/>
          <w:szCs w:val="20"/>
          <w:lang w:val="en-GB"/>
        </w:rPr>
      </w:pPr>
    </w:p>
    <w:p w14:paraId="533EF583" w14:textId="77777777" w:rsidR="00587444" w:rsidRPr="00587444" w:rsidRDefault="00587444">
      <w:pPr>
        <w:numPr>
          <w:ilvl w:val="8"/>
          <w:numId w:val="62"/>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315D971B" w14:textId="77777777" w:rsidR="00587444" w:rsidRPr="00587444" w:rsidRDefault="00587444" w:rsidP="00587444">
      <w:pPr>
        <w:suppressAutoHyphens w:val="0"/>
        <w:autoSpaceDN/>
        <w:jc w:val="both"/>
        <w:rPr>
          <w:rFonts w:ascii="Arial" w:hAnsi="Arial" w:cs="Arial"/>
          <w:b/>
          <w:bCs/>
          <w:sz w:val="20"/>
          <w:szCs w:val="20"/>
          <w:lang w:val="en-GB"/>
        </w:rPr>
      </w:pPr>
    </w:p>
    <w:p w14:paraId="6E7AAB97"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Deposits with other banks</w:t>
      </w:r>
    </w:p>
    <w:p w14:paraId="7315B650"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13" w:type="pct"/>
        <w:tblLayout w:type="fixed"/>
        <w:tblLook w:val="0000" w:firstRow="0" w:lastRow="0" w:firstColumn="0" w:lastColumn="0" w:noHBand="0" w:noVBand="0"/>
      </w:tblPr>
      <w:tblGrid>
        <w:gridCol w:w="3481"/>
        <w:gridCol w:w="1244"/>
        <w:gridCol w:w="1246"/>
        <w:gridCol w:w="1232"/>
        <w:gridCol w:w="1159"/>
        <w:gridCol w:w="1234"/>
      </w:tblGrid>
      <w:tr w:rsidR="00587444" w:rsidRPr="00587444" w14:paraId="558B434B" w14:textId="77777777" w:rsidTr="00DD69E7">
        <w:trPr>
          <w:trHeight w:val="303"/>
        </w:trPr>
        <w:tc>
          <w:tcPr>
            <w:tcW w:w="1814" w:type="pct"/>
          </w:tcPr>
          <w:p w14:paraId="23002203" w14:textId="77777777" w:rsidR="00587444" w:rsidRPr="00587444" w:rsidRDefault="00587444" w:rsidP="00587444">
            <w:pPr>
              <w:suppressAutoHyphens w:val="0"/>
              <w:autoSpaceDN/>
              <w:rPr>
                <w:rFonts w:ascii="Arial" w:eastAsia="Calibri" w:hAnsi="Arial" w:cs="Arial"/>
                <w:b/>
                <w:bCs/>
                <w:sz w:val="18"/>
                <w:szCs w:val="18"/>
                <w:lang w:val="en-GB"/>
              </w:rPr>
            </w:pPr>
            <w:bookmarkStart w:id="1150" w:name="_Hlk5872046"/>
            <w:r w:rsidRPr="00587444">
              <w:rPr>
                <w:rFonts w:ascii="Arial" w:eastAsia="Calibri" w:hAnsi="Arial" w:cs="Arial"/>
                <w:b/>
                <w:bCs/>
                <w:sz w:val="18"/>
                <w:szCs w:val="18"/>
                <w:lang w:val="en-GB"/>
              </w:rPr>
              <w:br w:type="page"/>
              <w:t xml:space="preserve">Group </w:t>
            </w:r>
          </w:p>
        </w:tc>
        <w:tc>
          <w:tcPr>
            <w:tcW w:w="3186" w:type="pct"/>
            <w:gridSpan w:val="5"/>
            <w:vAlign w:val="bottom"/>
          </w:tcPr>
          <w:p w14:paraId="572585CF"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6B234BAE" w14:textId="77777777" w:rsidTr="00DD69E7">
        <w:trPr>
          <w:trHeight w:val="47"/>
        </w:trPr>
        <w:tc>
          <w:tcPr>
            <w:tcW w:w="1814" w:type="pct"/>
          </w:tcPr>
          <w:p w14:paraId="5AA18011"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2022</w:t>
            </w:r>
          </w:p>
        </w:tc>
        <w:tc>
          <w:tcPr>
            <w:tcW w:w="648" w:type="pct"/>
            <w:vAlign w:val="bottom"/>
          </w:tcPr>
          <w:p w14:paraId="00BAF4A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1F477FE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2" w:type="pct"/>
            <w:vAlign w:val="bottom"/>
          </w:tcPr>
          <w:p w14:paraId="1502C2B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4" w:type="pct"/>
            <w:vAlign w:val="bottom"/>
          </w:tcPr>
          <w:p w14:paraId="25F3FCB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3" w:type="pct"/>
            <w:vAlign w:val="bottom"/>
          </w:tcPr>
          <w:p w14:paraId="1C32FD1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08EAB34C" w14:textId="77777777" w:rsidTr="00DD69E7">
        <w:trPr>
          <w:trHeight w:val="47"/>
        </w:trPr>
        <w:tc>
          <w:tcPr>
            <w:tcW w:w="1814" w:type="pct"/>
          </w:tcPr>
          <w:p w14:paraId="441B33E1" w14:textId="77777777" w:rsidR="00587444" w:rsidRPr="00587444" w:rsidRDefault="00587444" w:rsidP="00587444">
            <w:pPr>
              <w:suppressAutoHyphens w:val="0"/>
              <w:autoSpaceDN/>
              <w:rPr>
                <w:rFonts w:ascii="Arial" w:eastAsia="Calibri" w:hAnsi="Arial" w:cs="Arial"/>
                <w:b/>
                <w:bCs/>
                <w:sz w:val="18"/>
                <w:szCs w:val="18"/>
                <w:lang w:val="en-GB"/>
              </w:rPr>
            </w:pPr>
          </w:p>
        </w:tc>
        <w:tc>
          <w:tcPr>
            <w:tcW w:w="648" w:type="pct"/>
          </w:tcPr>
          <w:p w14:paraId="62A222E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9" w:type="pct"/>
          </w:tcPr>
          <w:p w14:paraId="0122659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2" w:type="pct"/>
          </w:tcPr>
          <w:p w14:paraId="1FA031F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04" w:type="pct"/>
          </w:tcPr>
          <w:p w14:paraId="5FAA927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3" w:type="pct"/>
          </w:tcPr>
          <w:p w14:paraId="2DC20FF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6C9401C9" w14:textId="77777777" w:rsidTr="00DD69E7">
        <w:trPr>
          <w:trHeight w:val="47"/>
        </w:trPr>
        <w:tc>
          <w:tcPr>
            <w:tcW w:w="1814" w:type="pct"/>
          </w:tcPr>
          <w:p w14:paraId="2EED322B" w14:textId="77777777" w:rsidR="00587444" w:rsidRPr="00587444" w:rsidRDefault="00587444" w:rsidP="00587444">
            <w:pPr>
              <w:suppressAutoHyphens w:val="0"/>
              <w:autoSpaceDN/>
              <w:rPr>
                <w:rFonts w:ascii="Arial" w:eastAsia="Calibri" w:hAnsi="Arial" w:cs="Arial"/>
                <w:b/>
                <w:bCs/>
                <w:sz w:val="18"/>
                <w:szCs w:val="18"/>
                <w:lang w:val="en-GB"/>
              </w:rPr>
            </w:pPr>
          </w:p>
        </w:tc>
        <w:tc>
          <w:tcPr>
            <w:tcW w:w="648" w:type="pct"/>
          </w:tcPr>
          <w:p w14:paraId="5CAA6101"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49" w:type="pct"/>
          </w:tcPr>
          <w:p w14:paraId="0F5844D9"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42" w:type="pct"/>
          </w:tcPr>
          <w:p w14:paraId="4855F85F"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04" w:type="pct"/>
          </w:tcPr>
          <w:p w14:paraId="25262F8D"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43" w:type="pct"/>
          </w:tcPr>
          <w:p w14:paraId="44FB024C"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06632E4E" w14:textId="77777777" w:rsidTr="00DD69E7">
        <w:trPr>
          <w:trHeight w:val="164"/>
        </w:trPr>
        <w:tc>
          <w:tcPr>
            <w:tcW w:w="1814" w:type="pct"/>
            <w:vAlign w:val="bottom"/>
          </w:tcPr>
          <w:p w14:paraId="0515769B"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2022</w:t>
            </w:r>
          </w:p>
        </w:tc>
        <w:tc>
          <w:tcPr>
            <w:tcW w:w="648" w:type="pct"/>
            <w:shd w:val="clear" w:color="auto" w:fill="auto"/>
            <w:vAlign w:val="bottom"/>
          </w:tcPr>
          <w:p w14:paraId="2373D21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1</w:t>
            </w:r>
          </w:p>
        </w:tc>
        <w:tc>
          <w:tcPr>
            <w:tcW w:w="649" w:type="pct"/>
            <w:shd w:val="clear" w:color="auto" w:fill="auto"/>
            <w:vAlign w:val="bottom"/>
          </w:tcPr>
          <w:p w14:paraId="2D4F24D4"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2" w:type="pct"/>
            <w:shd w:val="clear" w:color="auto" w:fill="auto"/>
            <w:vAlign w:val="bottom"/>
          </w:tcPr>
          <w:p w14:paraId="5044B181"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04" w:type="pct"/>
            <w:shd w:val="clear" w:color="auto" w:fill="auto"/>
            <w:vAlign w:val="bottom"/>
          </w:tcPr>
          <w:p w14:paraId="765A8F8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3" w:type="pct"/>
            <w:shd w:val="clear" w:color="auto" w:fill="auto"/>
            <w:vAlign w:val="bottom"/>
          </w:tcPr>
          <w:p w14:paraId="0B4237C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1</w:t>
            </w:r>
          </w:p>
        </w:tc>
      </w:tr>
      <w:tr w:rsidR="00587444" w:rsidRPr="00587444" w14:paraId="4711F279" w14:textId="77777777" w:rsidTr="00DD69E7">
        <w:trPr>
          <w:trHeight w:val="164"/>
        </w:trPr>
        <w:tc>
          <w:tcPr>
            <w:tcW w:w="1814" w:type="pct"/>
          </w:tcPr>
          <w:p w14:paraId="25F42BB9"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8" w:type="pct"/>
            <w:tcBorders>
              <w:top w:val="nil"/>
              <w:left w:val="nil"/>
              <w:right w:val="nil"/>
            </w:tcBorders>
            <w:shd w:val="clear" w:color="auto" w:fill="auto"/>
            <w:vAlign w:val="bottom"/>
          </w:tcPr>
          <w:p w14:paraId="233E1354"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9" w:type="pct"/>
            <w:tcBorders>
              <w:top w:val="nil"/>
              <w:left w:val="nil"/>
              <w:right w:val="nil"/>
            </w:tcBorders>
            <w:shd w:val="clear" w:color="auto" w:fill="auto"/>
            <w:vAlign w:val="bottom"/>
          </w:tcPr>
          <w:p w14:paraId="1F783D0F"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2" w:type="pct"/>
            <w:tcBorders>
              <w:top w:val="nil"/>
              <w:left w:val="nil"/>
              <w:right w:val="nil"/>
            </w:tcBorders>
            <w:shd w:val="clear" w:color="auto" w:fill="auto"/>
            <w:vAlign w:val="bottom"/>
          </w:tcPr>
          <w:p w14:paraId="62CB1D1F"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04" w:type="pct"/>
            <w:tcBorders>
              <w:top w:val="nil"/>
              <w:left w:val="nil"/>
              <w:right w:val="nil"/>
            </w:tcBorders>
            <w:shd w:val="clear" w:color="auto" w:fill="auto"/>
            <w:vAlign w:val="bottom"/>
          </w:tcPr>
          <w:p w14:paraId="252922B4"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3" w:type="pct"/>
            <w:tcBorders>
              <w:top w:val="nil"/>
              <w:left w:val="nil"/>
              <w:right w:val="nil"/>
            </w:tcBorders>
            <w:shd w:val="clear" w:color="auto" w:fill="auto"/>
            <w:vAlign w:val="bottom"/>
          </w:tcPr>
          <w:p w14:paraId="36251135"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r>
      <w:tr w:rsidR="00587444" w:rsidRPr="00587444" w14:paraId="20614625" w14:textId="77777777" w:rsidTr="00DD69E7">
        <w:trPr>
          <w:trHeight w:val="164"/>
        </w:trPr>
        <w:tc>
          <w:tcPr>
            <w:tcW w:w="1814" w:type="pct"/>
          </w:tcPr>
          <w:p w14:paraId="168FEC18"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8" w:type="pct"/>
            <w:tcBorders>
              <w:top w:val="nil"/>
              <w:left w:val="nil"/>
              <w:right w:val="nil"/>
            </w:tcBorders>
            <w:shd w:val="clear" w:color="auto" w:fill="auto"/>
            <w:vAlign w:val="bottom"/>
          </w:tcPr>
          <w:p w14:paraId="2A6109EB"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9" w:type="pct"/>
            <w:tcBorders>
              <w:top w:val="nil"/>
              <w:left w:val="nil"/>
              <w:right w:val="nil"/>
            </w:tcBorders>
            <w:shd w:val="clear" w:color="auto" w:fill="auto"/>
            <w:vAlign w:val="bottom"/>
          </w:tcPr>
          <w:p w14:paraId="67C654DC"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2" w:type="pct"/>
            <w:tcBorders>
              <w:top w:val="nil"/>
              <w:left w:val="nil"/>
              <w:right w:val="nil"/>
            </w:tcBorders>
            <w:shd w:val="clear" w:color="auto" w:fill="auto"/>
            <w:vAlign w:val="bottom"/>
          </w:tcPr>
          <w:p w14:paraId="3EB2699E"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04" w:type="pct"/>
            <w:tcBorders>
              <w:top w:val="nil"/>
              <w:left w:val="nil"/>
              <w:right w:val="nil"/>
            </w:tcBorders>
            <w:shd w:val="clear" w:color="auto" w:fill="auto"/>
            <w:vAlign w:val="bottom"/>
          </w:tcPr>
          <w:p w14:paraId="5D8AA93D"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3" w:type="pct"/>
            <w:tcBorders>
              <w:top w:val="nil"/>
              <w:left w:val="nil"/>
              <w:right w:val="nil"/>
            </w:tcBorders>
            <w:shd w:val="clear" w:color="auto" w:fill="auto"/>
            <w:vAlign w:val="bottom"/>
          </w:tcPr>
          <w:p w14:paraId="2B8B7702"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r>
      <w:tr w:rsidR="00587444" w:rsidRPr="00587444" w14:paraId="401FB385" w14:textId="77777777" w:rsidTr="00DD69E7">
        <w:trPr>
          <w:trHeight w:val="164"/>
        </w:trPr>
        <w:tc>
          <w:tcPr>
            <w:tcW w:w="1814" w:type="pct"/>
          </w:tcPr>
          <w:p w14:paraId="4ECCB8AE"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8" w:type="pct"/>
            <w:tcBorders>
              <w:top w:val="nil"/>
              <w:left w:val="nil"/>
              <w:right w:val="nil"/>
            </w:tcBorders>
            <w:shd w:val="clear" w:color="auto" w:fill="auto"/>
            <w:vAlign w:val="bottom"/>
          </w:tcPr>
          <w:p w14:paraId="1ED5D0BE"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9" w:type="pct"/>
            <w:tcBorders>
              <w:top w:val="nil"/>
              <w:left w:val="nil"/>
              <w:right w:val="nil"/>
            </w:tcBorders>
            <w:shd w:val="clear" w:color="auto" w:fill="auto"/>
            <w:vAlign w:val="bottom"/>
          </w:tcPr>
          <w:p w14:paraId="0BB5C139"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2" w:type="pct"/>
            <w:tcBorders>
              <w:top w:val="nil"/>
              <w:left w:val="nil"/>
              <w:right w:val="nil"/>
            </w:tcBorders>
            <w:shd w:val="clear" w:color="auto" w:fill="auto"/>
            <w:vAlign w:val="bottom"/>
          </w:tcPr>
          <w:p w14:paraId="56C2640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04" w:type="pct"/>
            <w:tcBorders>
              <w:top w:val="nil"/>
              <w:left w:val="nil"/>
              <w:right w:val="nil"/>
            </w:tcBorders>
            <w:shd w:val="clear" w:color="auto" w:fill="auto"/>
            <w:vAlign w:val="bottom"/>
          </w:tcPr>
          <w:p w14:paraId="7A841C7B"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3" w:type="pct"/>
            <w:tcBorders>
              <w:top w:val="nil"/>
              <w:left w:val="nil"/>
              <w:right w:val="nil"/>
            </w:tcBorders>
            <w:shd w:val="clear" w:color="auto" w:fill="auto"/>
            <w:vAlign w:val="bottom"/>
          </w:tcPr>
          <w:p w14:paraId="3945A6E0"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r>
      <w:tr w:rsidR="00587444" w:rsidRPr="00587444" w14:paraId="088B01C4" w14:textId="77777777" w:rsidTr="00DD69E7">
        <w:trPr>
          <w:trHeight w:val="164"/>
        </w:trPr>
        <w:tc>
          <w:tcPr>
            <w:tcW w:w="1814" w:type="pct"/>
            <w:vAlign w:val="bottom"/>
          </w:tcPr>
          <w:p w14:paraId="1B36CE7C"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increase of loss allowance</w:t>
            </w:r>
          </w:p>
        </w:tc>
        <w:tc>
          <w:tcPr>
            <w:tcW w:w="648" w:type="pct"/>
            <w:shd w:val="clear" w:color="auto" w:fill="auto"/>
            <w:vAlign w:val="bottom"/>
          </w:tcPr>
          <w:p w14:paraId="209C245F"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28</w:t>
            </w:r>
          </w:p>
        </w:tc>
        <w:tc>
          <w:tcPr>
            <w:tcW w:w="649" w:type="pct"/>
            <w:tcBorders>
              <w:top w:val="nil"/>
              <w:left w:val="nil"/>
              <w:right w:val="nil"/>
            </w:tcBorders>
            <w:shd w:val="clear" w:color="auto" w:fill="auto"/>
            <w:vAlign w:val="bottom"/>
          </w:tcPr>
          <w:p w14:paraId="212C0244"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2" w:type="pct"/>
            <w:tcBorders>
              <w:top w:val="nil"/>
              <w:left w:val="nil"/>
              <w:right w:val="nil"/>
            </w:tcBorders>
            <w:shd w:val="clear" w:color="auto" w:fill="auto"/>
            <w:vAlign w:val="bottom"/>
          </w:tcPr>
          <w:p w14:paraId="305FB58F"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04" w:type="pct"/>
            <w:tcBorders>
              <w:top w:val="nil"/>
              <w:left w:val="nil"/>
              <w:right w:val="nil"/>
            </w:tcBorders>
            <w:shd w:val="clear" w:color="auto" w:fill="auto"/>
            <w:vAlign w:val="bottom"/>
          </w:tcPr>
          <w:p w14:paraId="62C4F408"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3" w:type="pct"/>
            <w:shd w:val="clear" w:color="auto" w:fill="auto"/>
            <w:vAlign w:val="bottom"/>
          </w:tcPr>
          <w:p w14:paraId="38D2C2E1"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28</w:t>
            </w:r>
          </w:p>
        </w:tc>
      </w:tr>
      <w:tr w:rsidR="00587444" w:rsidRPr="00587444" w14:paraId="0AE54FA0" w14:textId="77777777" w:rsidTr="00DD69E7">
        <w:trPr>
          <w:trHeight w:val="285"/>
        </w:trPr>
        <w:tc>
          <w:tcPr>
            <w:tcW w:w="1814" w:type="pct"/>
            <w:vAlign w:val="bottom"/>
          </w:tcPr>
          <w:p w14:paraId="57CF6F61"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foreign exchange gain/loss on loss allowances </w:t>
            </w:r>
          </w:p>
        </w:tc>
        <w:tc>
          <w:tcPr>
            <w:tcW w:w="648" w:type="pct"/>
            <w:tcBorders>
              <w:top w:val="nil"/>
              <w:left w:val="nil"/>
              <w:bottom w:val="single" w:sz="4" w:space="0" w:color="auto"/>
              <w:right w:val="nil"/>
            </w:tcBorders>
            <w:shd w:val="clear" w:color="auto" w:fill="auto"/>
            <w:vAlign w:val="bottom"/>
          </w:tcPr>
          <w:p w14:paraId="4BF0B86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2</w:t>
            </w:r>
          </w:p>
        </w:tc>
        <w:tc>
          <w:tcPr>
            <w:tcW w:w="649" w:type="pct"/>
            <w:tcBorders>
              <w:top w:val="nil"/>
              <w:left w:val="nil"/>
              <w:bottom w:val="single" w:sz="4" w:space="0" w:color="auto"/>
              <w:right w:val="nil"/>
            </w:tcBorders>
            <w:shd w:val="clear" w:color="auto" w:fill="auto"/>
            <w:vAlign w:val="bottom"/>
          </w:tcPr>
          <w:p w14:paraId="6CDF0AED"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2" w:type="pct"/>
            <w:tcBorders>
              <w:top w:val="nil"/>
              <w:left w:val="nil"/>
              <w:bottom w:val="single" w:sz="4" w:space="0" w:color="auto"/>
              <w:right w:val="nil"/>
            </w:tcBorders>
            <w:shd w:val="clear" w:color="auto" w:fill="auto"/>
            <w:vAlign w:val="bottom"/>
          </w:tcPr>
          <w:p w14:paraId="43B31930"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04" w:type="pct"/>
            <w:tcBorders>
              <w:top w:val="nil"/>
              <w:left w:val="nil"/>
              <w:bottom w:val="single" w:sz="4" w:space="0" w:color="auto"/>
              <w:right w:val="nil"/>
            </w:tcBorders>
            <w:shd w:val="clear" w:color="auto" w:fill="auto"/>
            <w:vAlign w:val="bottom"/>
          </w:tcPr>
          <w:p w14:paraId="48DA204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3" w:type="pct"/>
            <w:tcBorders>
              <w:top w:val="nil"/>
              <w:left w:val="nil"/>
              <w:bottom w:val="single" w:sz="4" w:space="0" w:color="auto"/>
              <w:right w:val="nil"/>
            </w:tcBorders>
            <w:shd w:val="clear" w:color="auto" w:fill="auto"/>
            <w:vAlign w:val="bottom"/>
          </w:tcPr>
          <w:p w14:paraId="7315157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2</w:t>
            </w:r>
          </w:p>
        </w:tc>
      </w:tr>
      <w:tr w:rsidR="00587444" w:rsidRPr="00587444" w14:paraId="262BFF80" w14:textId="77777777" w:rsidTr="00DD69E7">
        <w:trPr>
          <w:trHeight w:val="35"/>
        </w:trPr>
        <w:tc>
          <w:tcPr>
            <w:tcW w:w="1814" w:type="pct"/>
            <w:vAlign w:val="bottom"/>
          </w:tcPr>
          <w:p w14:paraId="1A2C5510"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2022</w:t>
            </w:r>
          </w:p>
        </w:tc>
        <w:tc>
          <w:tcPr>
            <w:tcW w:w="648" w:type="pct"/>
            <w:tcBorders>
              <w:top w:val="single" w:sz="4" w:space="0" w:color="auto"/>
              <w:left w:val="nil"/>
              <w:bottom w:val="single" w:sz="12" w:space="0" w:color="auto"/>
              <w:right w:val="nil"/>
            </w:tcBorders>
            <w:shd w:val="clear" w:color="auto" w:fill="auto"/>
            <w:vAlign w:val="bottom"/>
          </w:tcPr>
          <w:p w14:paraId="31C8198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eastAsia="Calibri" w:hAnsi="Arial" w:cs="Arial"/>
                <w:b/>
                <w:bCs/>
                <w:color w:val="000000"/>
                <w:sz w:val="18"/>
                <w:szCs w:val="18"/>
                <w:lang w:val="hr-HR"/>
              </w:rPr>
              <w:t>31</w:t>
            </w:r>
          </w:p>
        </w:tc>
        <w:tc>
          <w:tcPr>
            <w:tcW w:w="649" w:type="pct"/>
            <w:tcBorders>
              <w:top w:val="single" w:sz="4" w:space="0" w:color="auto"/>
              <w:left w:val="nil"/>
              <w:bottom w:val="single" w:sz="12" w:space="0" w:color="auto"/>
              <w:right w:val="nil"/>
            </w:tcBorders>
            <w:shd w:val="clear" w:color="auto" w:fill="auto"/>
            <w:vAlign w:val="bottom"/>
          </w:tcPr>
          <w:p w14:paraId="648864A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sz w:val="18"/>
                <w:szCs w:val="18"/>
              </w:rPr>
              <w:t>-</w:t>
            </w:r>
          </w:p>
        </w:tc>
        <w:tc>
          <w:tcPr>
            <w:tcW w:w="642" w:type="pct"/>
            <w:tcBorders>
              <w:top w:val="single" w:sz="4" w:space="0" w:color="auto"/>
              <w:left w:val="nil"/>
              <w:bottom w:val="single" w:sz="12" w:space="0" w:color="auto"/>
              <w:right w:val="nil"/>
            </w:tcBorders>
            <w:shd w:val="clear" w:color="auto" w:fill="auto"/>
            <w:vAlign w:val="bottom"/>
          </w:tcPr>
          <w:p w14:paraId="5F892F6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sz w:val="18"/>
                <w:szCs w:val="18"/>
              </w:rPr>
              <w:t>-</w:t>
            </w:r>
          </w:p>
        </w:tc>
        <w:tc>
          <w:tcPr>
            <w:tcW w:w="604" w:type="pct"/>
            <w:tcBorders>
              <w:top w:val="single" w:sz="4" w:space="0" w:color="auto"/>
              <w:left w:val="nil"/>
              <w:bottom w:val="single" w:sz="12" w:space="0" w:color="auto"/>
              <w:right w:val="nil"/>
            </w:tcBorders>
            <w:shd w:val="clear" w:color="auto" w:fill="auto"/>
            <w:vAlign w:val="bottom"/>
          </w:tcPr>
          <w:p w14:paraId="2CEB939A"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sz w:val="18"/>
                <w:szCs w:val="18"/>
              </w:rPr>
              <w:t>-</w:t>
            </w:r>
          </w:p>
        </w:tc>
        <w:tc>
          <w:tcPr>
            <w:tcW w:w="643" w:type="pct"/>
            <w:tcBorders>
              <w:top w:val="single" w:sz="4" w:space="0" w:color="auto"/>
              <w:left w:val="nil"/>
              <w:bottom w:val="single" w:sz="12" w:space="0" w:color="auto"/>
              <w:right w:val="nil"/>
            </w:tcBorders>
            <w:shd w:val="clear" w:color="auto" w:fill="auto"/>
            <w:vAlign w:val="bottom"/>
          </w:tcPr>
          <w:p w14:paraId="648A3BF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eastAsia="Calibri" w:hAnsi="Arial" w:cs="Arial"/>
                <w:b/>
                <w:bCs/>
                <w:color w:val="000000"/>
                <w:sz w:val="18"/>
                <w:szCs w:val="18"/>
                <w:lang w:val="hr-HR"/>
              </w:rPr>
              <w:t>31</w:t>
            </w:r>
          </w:p>
        </w:tc>
      </w:tr>
      <w:bookmarkEnd w:id="1150"/>
    </w:tbl>
    <w:p w14:paraId="00F599E3" w14:textId="77777777" w:rsidR="00587444" w:rsidRPr="00587444" w:rsidRDefault="00587444" w:rsidP="00587444">
      <w:pPr>
        <w:suppressAutoHyphens w:val="0"/>
        <w:autoSpaceDN/>
        <w:jc w:val="both"/>
        <w:rPr>
          <w:rFonts w:ascii="Arial" w:hAnsi="Arial" w:cs="Arial"/>
          <w:b/>
          <w:bCs/>
          <w:sz w:val="20"/>
          <w:szCs w:val="20"/>
          <w:lang w:val="en-GB"/>
        </w:rPr>
      </w:pPr>
    </w:p>
    <w:p w14:paraId="691D3868"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13" w:type="pct"/>
        <w:tblLayout w:type="fixed"/>
        <w:tblLook w:val="0000" w:firstRow="0" w:lastRow="0" w:firstColumn="0" w:lastColumn="0" w:noHBand="0" w:noVBand="0"/>
      </w:tblPr>
      <w:tblGrid>
        <w:gridCol w:w="3481"/>
        <w:gridCol w:w="1244"/>
        <w:gridCol w:w="1246"/>
        <w:gridCol w:w="1232"/>
        <w:gridCol w:w="1159"/>
        <w:gridCol w:w="1234"/>
      </w:tblGrid>
      <w:tr w:rsidR="00587444" w:rsidRPr="00587444" w14:paraId="7888F8F6" w14:textId="77777777" w:rsidTr="00DD69E7">
        <w:trPr>
          <w:trHeight w:val="303"/>
        </w:trPr>
        <w:tc>
          <w:tcPr>
            <w:tcW w:w="1814" w:type="pct"/>
          </w:tcPr>
          <w:p w14:paraId="2109EEA9"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Group</w:t>
            </w:r>
          </w:p>
        </w:tc>
        <w:tc>
          <w:tcPr>
            <w:tcW w:w="3186" w:type="pct"/>
            <w:gridSpan w:val="5"/>
            <w:vAlign w:val="bottom"/>
          </w:tcPr>
          <w:p w14:paraId="15159886"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596B9FC5" w14:textId="77777777" w:rsidTr="00DD69E7">
        <w:trPr>
          <w:trHeight w:val="47"/>
        </w:trPr>
        <w:tc>
          <w:tcPr>
            <w:tcW w:w="1814" w:type="pct"/>
          </w:tcPr>
          <w:p w14:paraId="39C3DC9E"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2021</w:t>
            </w:r>
          </w:p>
        </w:tc>
        <w:tc>
          <w:tcPr>
            <w:tcW w:w="648" w:type="pct"/>
            <w:vAlign w:val="bottom"/>
          </w:tcPr>
          <w:p w14:paraId="29F37EE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7D5928A7"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2" w:type="pct"/>
            <w:vAlign w:val="bottom"/>
          </w:tcPr>
          <w:p w14:paraId="607997B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4" w:type="pct"/>
            <w:vAlign w:val="bottom"/>
          </w:tcPr>
          <w:p w14:paraId="33BE038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3" w:type="pct"/>
            <w:vAlign w:val="bottom"/>
          </w:tcPr>
          <w:p w14:paraId="1B990BE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440B7B81" w14:textId="77777777" w:rsidTr="00DD69E7">
        <w:trPr>
          <w:trHeight w:val="47"/>
        </w:trPr>
        <w:tc>
          <w:tcPr>
            <w:tcW w:w="1814" w:type="pct"/>
          </w:tcPr>
          <w:p w14:paraId="10DD4181" w14:textId="77777777" w:rsidR="00587444" w:rsidRPr="00587444" w:rsidRDefault="00587444" w:rsidP="00587444">
            <w:pPr>
              <w:suppressAutoHyphens w:val="0"/>
              <w:autoSpaceDN/>
              <w:rPr>
                <w:rFonts w:ascii="Arial" w:eastAsia="Calibri" w:hAnsi="Arial" w:cs="Arial"/>
                <w:b/>
                <w:bCs/>
                <w:sz w:val="18"/>
                <w:szCs w:val="18"/>
                <w:lang w:val="en-GB"/>
              </w:rPr>
            </w:pPr>
          </w:p>
        </w:tc>
        <w:tc>
          <w:tcPr>
            <w:tcW w:w="648" w:type="pct"/>
          </w:tcPr>
          <w:p w14:paraId="1326ABC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9" w:type="pct"/>
          </w:tcPr>
          <w:p w14:paraId="4D99012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2" w:type="pct"/>
          </w:tcPr>
          <w:p w14:paraId="01CE2BC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04" w:type="pct"/>
          </w:tcPr>
          <w:p w14:paraId="5D725FB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3" w:type="pct"/>
          </w:tcPr>
          <w:p w14:paraId="07CFA577"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5A6DFA26" w14:textId="77777777" w:rsidTr="00DD69E7">
        <w:trPr>
          <w:trHeight w:val="47"/>
        </w:trPr>
        <w:tc>
          <w:tcPr>
            <w:tcW w:w="1814" w:type="pct"/>
          </w:tcPr>
          <w:p w14:paraId="078DE353" w14:textId="77777777" w:rsidR="00587444" w:rsidRPr="00587444" w:rsidRDefault="00587444" w:rsidP="00587444">
            <w:pPr>
              <w:suppressAutoHyphens w:val="0"/>
              <w:autoSpaceDN/>
              <w:rPr>
                <w:rFonts w:ascii="Arial" w:eastAsia="Calibri" w:hAnsi="Arial" w:cs="Arial"/>
                <w:b/>
                <w:bCs/>
                <w:sz w:val="18"/>
                <w:szCs w:val="18"/>
                <w:lang w:val="en-GB"/>
              </w:rPr>
            </w:pPr>
          </w:p>
        </w:tc>
        <w:tc>
          <w:tcPr>
            <w:tcW w:w="648" w:type="pct"/>
          </w:tcPr>
          <w:p w14:paraId="6956AA5C"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49" w:type="pct"/>
          </w:tcPr>
          <w:p w14:paraId="3CD28901"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42" w:type="pct"/>
          </w:tcPr>
          <w:p w14:paraId="73DEAF52"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04" w:type="pct"/>
          </w:tcPr>
          <w:p w14:paraId="40F8D353"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43" w:type="pct"/>
          </w:tcPr>
          <w:p w14:paraId="24CFFEC8"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153DAED7" w14:textId="77777777" w:rsidTr="00DD69E7">
        <w:trPr>
          <w:trHeight w:val="164"/>
        </w:trPr>
        <w:tc>
          <w:tcPr>
            <w:tcW w:w="1814" w:type="pct"/>
            <w:vAlign w:val="bottom"/>
          </w:tcPr>
          <w:p w14:paraId="4822662F"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2021</w:t>
            </w:r>
          </w:p>
        </w:tc>
        <w:tc>
          <w:tcPr>
            <w:tcW w:w="648" w:type="pct"/>
            <w:shd w:val="clear" w:color="auto" w:fill="auto"/>
            <w:vAlign w:val="bottom"/>
          </w:tcPr>
          <w:p w14:paraId="6AB705D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1</w:t>
            </w:r>
          </w:p>
        </w:tc>
        <w:tc>
          <w:tcPr>
            <w:tcW w:w="649" w:type="pct"/>
            <w:shd w:val="clear" w:color="auto" w:fill="auto"/>
            <w:vAlign w:val="bottom"/>
          </w:tcPr>
          <w:p w14:paraId="0A690BF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2" w:type="pct"/>
            <w:shd w:val="clear" w:color="auto" w:fill="auto"/>
            <w:vAlign w:val="bottom"/>
          </w:tcPr>
          <w:p w14:paraId="7AFCAEEF"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04" w:type="pct"/>
            <w:shd w:val="clear" w:color="auto" w:fill="auto"/>
            <w:vAlign w:val="bottom"/>
          </w:tcPr>
          <w:p w14:paraId="4AD00D7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3" w:type="pct"/>
            <w:shd w:val="clear" w:color="auto" w:fill="auto"/>
            <w:vAlign w:val="bottom"/>
          </w:tcPr>
          <w:p w14:paraId="2AA19E2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1</w:t>
            </w:r>
          </w:p>
        </w:tc>
      </w:tr>
      <w:tr w:rsidR="00587444" w:rsidRPr="00587444" w14:paraId="0CE03085" w14:textId="77777777" w:rsidTr="00DD69E7">
        <w:trPr>
          <w:trHeight w:val="164"/>
        </w:trPr>
        <w:tc>
          <w:tcPr>
            <w:tcW w:w="1814" w:type="pct"/>
          </w:tcPr>
          <w:p w14:paraId="7A693210"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8" w:type="pct"/>
            <w:tcBorders>
              <w:top w:val="nil"/>
              <w:left w:val="nil"/>
              <w:right w:val="nil"/>
            </w:tcBorders>
            <w:shd w:val="clear" w:color="auto" w:fill="auto"/>
            <w:vAlign w:val="bottom"/>
          </w:tcPr>
          <w:p w14:paraId="30B2865A"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9" w:type="pct"/>
            <w:tcBorders>
              <w:top w:val="nil"/>
              <w:left w:val="nil"/>
              <w:right w:val="nil"/>
            </w:tcBorders>
            <w:shd w:val="clear" w:color="auto" w:fill="auto"/>
            <w:vAlign w:val="bottom"/>
          </w:tcPr>
          <w:p w14:paraId="4BD8EBF5"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2" w:type="pct"/>
            <w:tcBorders>
              <w:top w:val="nil"/>
              <w:left w:val="nil"/>
              <w:right w:val="nil"/>
            </w:tcBorders>
            <w:shd w:val="clear" w:color="auto" w:fill="auto"/>
            <w:vAlign w:val="bottom"/>
          </w:tcPr>
          <w:p w14:paraId="5BE0F7DC"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04" w:type="pct"/>
            <w:tcBorders>
              <w:top w:val="nil"/>
              <w:left w:val="nil"/>
              <w:right w:val="nil"/>
            </w:tcBorders>
            <w:shd w:val="clear" w:color="auto" w:fill="auto"/>
            <w:vAlign w:val="bottom"/>
          </w:tcPr>
          <w:p w14:paraId="6091954D"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3" w:type="pct"/>
            <w:tcBorders>
              <w:top w:val="nil"/>
              <w:left w:val="nil"/>
              <w:right w:val="nil"/>
            </w:tcBorders>
            <w:shd w:val="clear" w:color="auto" w:fill="auto"/>
            <w:vAlign w:val="bottom"/>
          </w:tcPr>
          <w:p w14:paraId="4C1997C5"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r>
      <w:tr w:rsidR="00587444" w:rsidRPr="00587444" w14:paraId="4245E616" w14:textId="77777777" w:rsidTr="00DD69E7">
        <w:trPr>
          <w:trHeight w:val="164"/>
        </w:trPr>
        <w:tc>
          <w:tcPr>
            <w:tcW w:w="1814" w:type="pct"/>
          </w:tcPr>
          <w:p w14:paraId="0FB20A87"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8" w:type="pct"/>
            <w:tcBorders>
              <w:top w:val="nil"/>
              <w:left w:val="nil"/>
              <w:right w:val="nil"/>
            </w:tcBorders>
            <w:shd w:val="clear" w:color="auto" w:fill="auto"/>
            <w:vAlign w:val="bottom"/>
          </w:tcPr>
          <w:p w14:paraId="3C4A96F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9" w:type="pct"/>
            <w:tcBorders>
              <w:top w:val="nil"/>
              <w:left w:val="nil"/>
              <w:right w:val="nil"/>
            </w:tcBorders>
            <w:shd w:val="clear" w:color="auto" w:fill="auto"/>
            <w:vAlign w:val="bottom"/>
          </w:tcPr>
          <w:p w14:paraId="148E44DF"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2" w:type="pct"/>
            <w:tcBorders>
              <w:top w:val="nil"/>
              <w:left w:val="nil"/>
              <w:right w:val="nil"/>
            </w:tcBorders>
            <w:shd w:val="clear" w:color="auto" w:fill="auto"/>
            <w:vAlign w:val="bottom"/>
          </w:tcPr>
          <w:p w14:paraId="30F4C8E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04" w:type="pct"/>
            <w:tcBorders>
              <w:top w:val="nil"/>
              <w:left w:val="nil"/>
              <w:right w:val="nil"/>
            </w:tcBorders>
            <w:shd w:val="clear" w:color="auto" w:fill="auto"/>
            <w:vAlign w:val="bottom"/>
          </w:tcPr>
          <w:p w14:paraId="39CBE7A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3" w:type="pct"/>
            <w:tcBorders>
              <w:top w:val="nil"/>
              <w:left w:val="nil"/>
              <w:right w:val="nil"/>
            </w:tcBorders>
            <w:shd w:val="clear" w:color="auto" w:fill="auto"/>
            <w:vAlign w:val="bottom"/>
          </w:tcPr>
          <w:p w14:paraId="5E82280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r>
      <w:tr w:rsidR="00587444" w:rsidRPr="00587444" w14:paraId="1065C679" w14:textId="77777777" w:rsidTr="00DD69E7">
        <w:trPr>
          <w:trHeight w:val="164"/>
        </w:trPr>
        <w:tc>
          <w:tcPr>
            <w:tcW w:w="1814" w:type="pct"/>
          </w:tcPr>
          <w:p w14:paraId="0E98C285"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8" w:type="pct"/>
            <w:tcBorders>
              <w:top w:val="nil"/>
              <w:left w:val="nil"/>
              <w:right w:val="nil"/>
            </w:tcBorders>
            <w:shd w:val="clear" w:color="auto" w:fill="auto"/>
            <w:vAlign w:val="bottom"/>
          </w:tcPr>
          <w:p w14:paraId="156B2AB5"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9" w:type="pct"/>
            <w:tcBorders>
              <w:top w:val="nil"/>
              <w:left w:val="nil"/>
              <w:right w:val="nil"/>
            </w:tcBorders>
            <w:shd w:val="clear" w:color="auto" w:fill="auto"/>
            <w:vAlign w:val="bottom"/>
          </w:tcPr>
          <w:p w14:paraId="4B5212AF"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2" w:type="pct"/>
            <w:tcBorders>
              <w:top w:val="nil"/>
              <w:left w:val="nil"/>
              <w:right w:val="nil"/>
            </w:tcBorders>
            <w:shd w:val="clear" w:color="auto" w:fill="auto"/>
            <w:vAlign w:val="bottom"/>
          </w:tcPr>
          <w:p w14:paraId="26A38E81"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04" w:type="pct"/>
            <w:tcBorders>
              <w:top w:val="nil"/>
              <w:left w:val="nil"/>
              <w:right w:val="nil"/>
            </w:tcBorders>
            <w:shd w:val="clear" w:color="auto" w:fill="auto"/>
            <w:vAlign w:val="bottom"/>
          </w:tcPr>
          <w:p w14:paraId="6B9EB6EA"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3" w:type="pct"/>
            <w:tcBorders>
              <w:top w:val="nil"/>
              <w:left w:val="nil"/>
              <w:right w:val="nil"/>
            </w:tcBorders>
            <w:shd w:val="clear" w:color="auto" w:fill="auto"/>
            <w:vAlign w:val="bottom"/>
          </w:tcPr>
          <w:p w14:paraId="42DC16DC"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r>
      <w:tr w:rsidR="00587444" w:rsidRPr="00587444" w14:paraId="4C960CFA" w14:textId="77777777" w:rsidTr="00DD69E7">
        <w:trPr>
          <w:trHeight w:val="164"/>
        </w:trPr>
        <w:tc>
          <w:tcPr>
            <w:tcW w:w="1814" w:type="pct"/>
            <w:vAlign w:val="bottom"/>
          </w:tcPr>
          <w:p w14:paraId="2B7BCD8D"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release of loss allowance</w:t>
            </w:r>
          </w:p>
        </w:tc>
        <w:tc>
          <w:tcPr>
            <w:tcW w:w="648" w:type="pct"/>
            <w:shd w:val="clear" w:color="auto" w:fill="auto"/>
            <w:vAlign w:val="bottom"/>
          </w:tcPr>
          <w:p w14:paraId="47895989"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(1)</w:t>
            </w:r>
          </w:p>
        </w:tc>
        <w:tc>
          <w:tcPr>
            <w:tcW w:w="649" w:type="pct"/>
            <w:tcBorders>
              <w:top w:val="nil"/>
              <w:left w:val="nil"/>
              <w:right w:val="nil"/>
            </w:tcBorders>
            <w:shd w:val="clear" w:color="auto" w:fill="auto"/>
            <w:vAlign w:val="bottom"/>
          </w:tcPr>
          <w:p w14:paraId="7B3CC94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2" w:type="pct"/>
            <w:tcBorders>
              <w:top w:val="nil"/>
              <w:left w:val="nil"/>
              <w:right w:val="nil"/>
            </w:tcBorders>
            <w:shd w:val="clear" w:color="auto" w:fill="auto"/>
            <w:vAlign w:val="bottom"/>
          </w:tcPr>
          <w:p w14:paraId="66021024"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04" w:type="pct"/>
            <w:tcBorders>
              <w:top w:val="nil"/>
              <w:left w:val="nil"/>
              <w:right w:val="nil"/>
            </w:tcBorders>
            <w:shd w:val="clear" w:color="auto" w:fill="auto"/>
            <w:vAlign w:val="bottom"/>
          </w:tcPr>
          <w:p w14:paraId="78321835"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3" w:type="pct"/>
            <w:shd w:val="clear" w:color="auto" w:fill="auto"/>
            <w:vAlign w:val="bottom"/>
          </w:tcPr>
          <w:p w14:paraId="34D78F02"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(1)</w:t>
            </w:r>
          </w:p>
        </w:tc>
      </w:tr>
      <w:tr w:rsidR="00587444" w:rsidRPr="00587444" w14:paraId="335A8A38" w14:textId="77777777" w:rsidTr="00DD69E7">
        <w:trPr>
          <w:trHeight w:val="285"/>
        </w:trPr>
        <w:tc>
          <w:tcPr>
            <w:tcW w:w="1814" w:type="pct"/>
            <w:vAlign w:val="bottom"/>
          </w:tcPr>
          <w:p w14:paraId="337CB713"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foreign exchange gain/loss on loss allowances </w:t>
            </w:r>
          </w:p>
        </w:tc>
        <w:tc>
          <w:tcPr>
            <w:tcW w:w="648" w:type="pct"/>
            <w:tcBorders>
              <w:top w:val="nil"/>
              <w:left w:val="nil"/>
              <w:bottom w:val="single" w:sz="4" w:space="0" w:color="auto"/>
              <w:right w:val="nil"/>
            </w:tcBorders>
            <w:shd w:val="clear" w:color="auto" w:fill="auto"/>
            <w:vAlign w:val="bottom"/>
          </w:tcPr>
          <w:p w14:paraId="52882F1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1</w:t>
            </w:r>
          </w:p>
        </w:tc>
        <w:tc>
          <w:tcPr>
            <w:tcW w:w="649" w:type="pct"/>
            <w:tcBorders>
              <w:top w:val="nil"/>
              <w:left w:val="nil"/>
              <w:bottom w:val="single" w:sz="4" w:space="0" w:color="auto"/>
              <w:right w:val="nil"/>
            </w:tcBorders>
            <w:shd w:val="clear" w:color="auto" w:fill="auto"/>
            <w:vAlign w:val="bottom"/>
          </w:tcPr>
          <w:p w14:paraId="4D83615E"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2" w:type="pct"/>
            <w:tcBorders>
              <w:top w:val="nil"/>
              <w:left w:val="nil"/>
              <w:bottom w:val="single" w:sz="4" w:space="0" w:color="auto"/>
              <w:right w:val="nil"/>
            </w:tcBorders>
            <w:shd w:val="clear" w:color="auto" w:fill="auto"/>
            <w:vAlign w:val="bottom"/>
          </w:tcPr>
          <w:p w14:paraId="443B2F1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04" w:type="pct"/>
            <w:tcBorders>
              <w:top w:val="nil"/>
              <w:left w:val="nil"/>
              <w:bottom w:val="single" w:sz="4" w:space="0" w:color="auto"/>
              <w:right w:val="nil"/>
            </w:tcBorders>
            <w:shd w:val="clear" w:color="auto" w:fill="auto"/>
            <w:vAlign w:val="bottom"/>
          </w:tcPr>
          <w:p w14:paraId="2D8A33F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3" w:type="pct"/>
            <w:tcBorders>
              <w:top w:val="nil"/>
              <w:left w:val="nil"/>
              <w:bottom w:val="single" w:sz="4" w:space="0" w:color="auto"/>
              <w:right w:val="nil"/>
            </w:tcBorders>
            <w:shd w:val="clear" w:color="auto" w:fill="auto"/>
            <w:vAlign w:val="bottom"/>
          </w:tcPr>
          <w:p w14:paraId="29F83D75"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1</w:t>
            </w:r>
          </w:p>
        </w:tc>
      </w:tr>
      <w:tr w:rsidR="00587444" w:rsidRPr="00587444" w14:paraId="5F7581A6" w14:textId="77777777" w:rsidTr="00DD69E7">
        <w:trPr>
          <w:trHeight w:val="35"/>
        </w:trPr>
        <w:tc>
          <w:tcPr>
            <w:tcW w:w="1814" w:type="pct"/>
            <w:vAlign w:val="bottom"/>
          </w:tcPr>
          <w:p w14:paraId="33756295"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2021</w:t>
            </w:r>
          </w:p>
        </w:tc>
        <w:tc>
          <w:tcPr>
            <w:tcW w:w="648" w:type="pct"/>
            <w:tcBorders>
              <w:top w:val="single" w:sz="4" w:space="0" w:color="auto"/>
              <w:left w:val="nil"/>
              <w:bottom w:val="single" w:sz="12" w:space="0" w:color="auto"/>
              <w:right w:val="nil"/>
            </w:tcBorders>
            <w:shd w:val="clear" w:color="auto" w:fill="auto"/>
            <w:vAlign w:val="bottom"/>
          </w:tcPr>
          <w:p w14:paraId="3953B89C"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eastAsia="Calibri" w:hAnsi="Arial" w:cs="Arial"/>
                <w:b/>
                <w:bCs/>
                <w:color w:val="000000"/>
                <w:sz w:val="18"/>
                <w:szCs w:val="18"/>
                <w:lang w:val="hr-HR"/>
              </w:rPr>
              <w:t>1</w:t>
            </w:r>
          </w:p>
        </w:tc>
        <w:tc>
          <w:tcPr>
            <w:tcW w:w="649" w:type="pct"/>
            <w:tcBorders>
              <w:top w:val="single" w:sz="4" w:space="0" w:color="auto"/>
              <w:left w:val="nil"/>
              <w:bottom w:val="single" w:sz="12" w:space="0" w:color="auto"/>
              <w:right w:val="nil"/>
            </w:tcBorders>
            <w:shd w:val="clear" w:color="auto" w:fill="auto"/>
          </w:tcPr>
          <w:p w14:paraId="5BDE014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sz w:val="18"/>
                <w:szCs w:val="18"/>
              </w:rPr>
              <w:t>-</w:t>
            </w:r>
          </w:p>
        </w:tc>
        <w:tc>
          <w:tcPr>
            <w:tcW w:w="642" w:type="pct"/>
            <w:tcBorders>
              <w:top w:val="single" w:sz="4" w:space="0" w:color="auto"/>
              <w:left w:val="nil"/>
              <w:bottom w:val="single" w:sz="12" w:space="0" w:color="auto"/>
              <w:right w:val="nil"/>
            </w:tcBorders>
            <w:shd w:val="clear" w:color="auto" w:fill="auto"/>
          </w:tcPr>
          <w:p w14:paraId="6EE3DB0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sz w:val="18"/>
                <w:szCs w:val="18"/>
              </w:rPr>
              <w:t>-</w:t>
            </w:r>
          </w:p>
        </w:tc>
        <w:tc>
          <w:tcPr>
            <w:tcW w:w="604" w:type="pct"/>
            <w:tcBorders>
              <w:top w:val="single" w:sz="4" w:space="0" w:color="auto"/>
              <w:left w:val="nil"/>
              <w:bottom w:val="single" w:sz="12" w:space="0" w:color="auto"/>
              <w:right w:val="nil"/>
            </w:tcBorders>
            <w:shd w:val="clear" w:color="auto" w:fill="auto"/>
          </w:tcPr>
          <w:p w14:paraId="3655A9E1"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sz w:val="18"/>
                <w:szCs w:val="18"/>
              </w:rPr>
              <w:t>-</w:t>
            </w:r>
          </w:p>
        </w:tc>
        <w:tc>
          <w:tcPr>
            <w:tcW w:w="643" w:type="pct"/>
            <w:tcBorders>
              <w:top w:val="single" w:sz="4" w:space="0" w:color="auto"/>
              <w:left w:val="nil"/>
              <w:bottom w:val="single" w:sz="12" w:space="0" w:color="auto"/>
              <w:right w:val="nil"/>
            </w:tcBorders>
            <w:shd w:val="clear" w:color="auto" w:fill="auto"/>
            <w:vAlign w:val="bottom"/>
          </w:tcPr>
          <w:p w14:paraId="0F62E19A"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eastAsia="Calibri" w:hAnsi="Arial" w:cs="Arial"/>
                <w:b/>
                <w:bCs/>
                <w:color w:val="000000"/>
                <w:sz w:val="18"/>
                <w:szCs w:val="18"/>
                <w:lang w:val="hr-HR"/>
              </w:rPr>
              <w:t>1</w:t>
            </w:r>
          </w:p>
        </w:tc>
      </w:tr>
    </w:tbl>
    <w:p w14:paraId="39FB99B1" w14:textId="77777777" w:rsidR="00587444" w:rsidRPr="00587444" w:rsidRDefault="00587444" w:rsidP="00587444">
      <w:pPr>
        <w:suppressAutoHyphens w:val="0"/>
        <w:autoSpaceDN/>
        <w:jc w:val="both"/>
        <w:rPr>
          <w:rFonts w:ascii="Arial" w:hAnsi="Arial" w:cs="Arial"/>
          <w:b/>
          <w:bCs/>
          <w:sz w:val="20"/>
          <w:szCs w:val="20"/>
          <w:lang w:val="en-GB"/>
        </w:rPr>
      </w:pPr>
    </w:p>
    <w:p w14:paraId="0443F3B8" w14:textId="77777777" w:rsidR="00587444" w:rsidRPr="00587444" w:rsidRDefault="00587444" w:rsidP="00587444">
      <w:pPr>
        <w:suppressAutoHyphens w:val="0"/>
        <w:autoSpaceDN/>
        <w:jc w:val="both"/>
        <w:rPr>
          <w:rFonts w:ascii="Arial" w:hAnsi="Arial" w:cs="Arial"/>
          <w:b/>
          <w:bCs/>
          <w:sz w:val="20"/>
          <w:szCs w:val="20"/>
          <w:lang w:val="en-GB"/>
        </w:rPr>
      </w:pPr>
    </w:p>
    <w:p w14:paraId="3DE99A35" w14:textId="77777777" w:rsidR="00587444" w:rsidRPr="00587444" w:rsidRDefault="00587444" w:rsidP="00587444">
      <w:pPr>
        <w:suppressAutoHyphens w:val="0"/>
        <w:autoSpaceDN/>
        <w:jc w:val="both"/>
        <w:rPr>
          <w:rFonts w:ascii="Arial" w:hAnsi="Arial" w:cs="Arial"/>
          <w:b/>
          <w:bCs/>
          <w:sz w:val="20"/>
          <w:szCs w:val="20"/>
          <w:lang w:val="en-GB"/>
        </w:rPr>
      </w:pPr>
    </w:p>
    <w:p w14:paraId="45CDBE38"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D69E7">
          <w:pgSz w:w="11907" w:h="16840" w:code="9"/>
          <w:pgMar w:top="1418" w:right="1134" w:bottom="1134" w:left="1418" w:header="851" w:footer="851" w:gutter="0"/>
          <w:cols w:space="720"/>
          <w:noEndnote/>
        </w:sectPr>
      </w:pPr>
    </w:p>
    <w:p w14:paraId="01073174" w14:textId="77777777" w:rsidR="00587444" w:rsidRPr="00587444" w:rsidRDefault="00587444" w:rsidP="00587444">
      <w:pPr>
        <w:suppressAutoHyphens w:val="0"/>
        <w:autoSpaceDN/>
        <w:jc w:val="both"/>
        <w:rPr>
          <w:rFonts w:ascii="Arial" w:hAnsi="Arial" w:cs="Arial"/>
          <w:b/>
          <w:bCs/>
          <w:sz w:val="20"/>
          <w:szCs w:val="20"/>
          <w:lang w:val="en-GB"/>
        </w:rPr>
      </w:pPr>
    </w:p>
    <w:p w14:paraId="0C00F115"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1B2D601D" w14:textId="77777777" w:rsidR="00587444" w:rsidRPr="00587444" w:rsidRDefault="00587444" w:rsidP="00587444">
      <w:pPr>
        <w:suppressAutoHyphens w:val="0"/>
        <w:autoSpaceDN/>
        <w:jc w:val="both"/>
        <w:rPr>
          <w:rFonts w:ascii="Arial" w:hAnsi="Arial" w:cs="Arial"/>
          <w:b/>
          <w:sz w:val="20"/>
          <w:szCs w:val="20"/>
          <w:lang w:val="en-GB"/>
        </w:rPr>
      </w:pPr>
    </w:p>
    <w:p w14:paraId="36CD0154"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1B8CBF7" w14:textId="77777777" w:rsidR="00587444" w:rsidRPr="00587444" w:rsidRDefault="00587444" w:rsidP="00587444">
      <w:pPr>
        <w:suppressAutoHyphens w:val="0"/>
        <w:autoSpaceDN/>
        <w:jc w:val="both"/>
        <w:rPr>
          <w:rFonts w:ascii="Arial" w:hAnsi="Arial" w:cs="Arial"/>
          <w:b/>
          <w:bCs/>
          <w:i/>
          <w:sz w:val="20"/>
          <w:szCs w:val="20"/>
          <w:lang w:val="en-GB"/>
        </w:rPr>
      </w:pPr>
    </w:p>
    <w:p w14:paraId="5975C029" w14:textId="77777777" w:rsidR="00587444" w:rsidRPr="00587444" w:rsidRDefault="00587444">
      <w:pPr>
        <w:numPr>
          <w:ilvl w:val="8"/>
          <w:numId w:val="62"/>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1559C16F" w14:textId="77777777" w:rsidR="00587444" w:rsidRPr="00587444" w:rsidRDefault="00587444" w:rsidP="00587444">
      <w:pPr>
        <w:suppressAutoHyphens w:val="0"/>
        <w:autoSpaceDN/>
        <w:jc w:val="both"/>
        <w:rPr>
          <w:rFonts w:ascii="Arial" w:hAnsi="Arial" w:cs="Arial"/>
          <w:b/>
          <w:bCs/>
          <w:sz w:val="20"/>
          <w:szCs w:val="20"/>
          <w:lang w:val="en-GB"/>
        </w:rPr>
      </w:pPr>
    </w:p>
    <w:p w14:paraId="2F5E7F50"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Deposits with other banks</w:t>
      </w:r>
    </w:p>
    <w:p w14:paraId="5746FE8C"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13" w:type="pct"/>
        <w:tblLayout w:type="fixed"/>
        <w:tblLook w:val="0000" w:firstRow="0" w:lastRow="0" w:firstColumn="0" w:lastColumn="0" w:noHBand="0" w:noVBand="0"/>
      </w:tblPr>
      <w:tblGrid>
        <w:gridCol w:w="3481"/>
        <w:gridCol w:w="1244"/>
        <w:gridCol w:w="1246"/>
        <w:gridCol w:w="1232"/>
        <w:gridCol w:w="1159"/>
        <w:gridCol w:w="1234"/>
      </w:tblGrid>
      <w:tr w:rsidR="00587444" w:rsidRPr="00587444" w14:paraId="17AD01B0" w14:textId="77777777" w:rsidTr="00DD69E7">
        <w:trPr>
          <w:trHeight w:val="303"/>
        </w:trPr>
        <w:tc>
          <w:tcPr>
            <w:tcW w:w="1814" w:type="pct"/>
          </w:tcPr>
          <w:p w14:paraId="59A01C92"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 xml:space="preserve">Bank </w:t>
            </w:r>
          </w:p>
        </w:tc>
        <w:tc>
          <w:tcPr>
            <w:tcW w:w="3186" w:type="pct"/>
            <w:gridSpan w:val="5"/>
            <w:vAlign w:val="bottom"/>
          </w:tcPr>
          <w:p w14:paraId="6E74F377"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7EB71E45" w14:textId="77777777" w:rsidTr="00DD69E7">
        <w:trPr>
          <w:trHeight w:val="47"/>
        </w:trPr>
        <w:tc>
          <w:tcPr>
            <w:tcW w:w="1814" w:type="pct"/>
          </w:tcPr>
          <w:p w14:paraId="63266E50"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2022</w:t>
            </w:r>
          </w:p>
        </w:tc>
        <w:tc>
          <w:tcPr>
            <w:tcW w:w="648" w:type="pct"/>
            <w:vAlign w:val="bottom"/>
          </w:tcPr>
          <w:p w14:paraId="5462E7C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71637D2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2" w:type="pct"/>
            <w:vAlign w:val="bottom"/>
          </w:tcPr>
          <w:p w14:paraId="10C577F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4" w:type="pct"/>
            <w:vAlign w:val="bottom"/>
          </w:tcPr>
          <w:p w14:paraId="02992CE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3" w:type="pct"/>
            <w:vAlign w:val="bottom"/>
          </w:tcPr>
          <w:p w14:paraId="495C8DC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2C607A0D" w14:textId="77777777" w:rsidTr="00DD69E7">
        <w:trPr>
          <w:trHeight w:val="47"/>
        </w:trPr>
        <w:tc>
          <w:tcPr>
            <w:tcW w:w="1814" w:type="pct"/>
          </w:tcPr>
          <w:p w14:paraId="52114942" w14:textId="77777777" w:rsidR="00587444" w:rsidRPr="00587444" w:rsidRDefault="00587444" w:rsidP="00587444">
            <w:pPr>
              <w:suppressAutoHyphens w:val="0"/>
              <w:autoSpaceDN/>
              <w:rPr>
                <w:rFonts w:ascii="Arial" w:eastAsia="Calibri" w:hAnsi="Arial" w:cs="Arial"/>
                <w:b/>
                <w:bCs/>
                <w:sz w:val="18"/>
                <w:szCs w:val="18"/>
                <w:lang w:val="en-GB"/>
              </w:rPr>
            </w:pPr>
          </w:p>
        </w:tc>
        <w:tc>
          <w:tcPr>
            <w:tcW w:w="648" w:type="pct"/>
          </w:tcPr>
          <w:p w14:paraId="7C343D1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9" w:type="pct"/>
          </w:tcPr>
          <w:p w14:paraId="7B19A76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2" w:type="pct"/>
          </w:tcPr>
          <w:p w14:paraId="2238E06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04" w:type="pct"/>
          </w:tcPr>
          <w:p w14:paraId="7B06C21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3" w:type="pct"/>
          </w:tcPr>
          <w:p w14:paraId="4D50B5E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19D42997" w14:textId="77777777" w:rsidTr="00DD69E7">
        <w:trPr>
          <w:trHeight w:val="47"/>
        </w:trPr>
        <w:tc>
          <w:tcPr>
            <w:tcW w:w="1814" w:type="pct"/>
          </w:tcPr>
          <w:p w14:paraId="0C37119A" w14:textId="77777777" w:rsidR="00587444" w:rsidRPr="00587444" w:rsidRDefault="00587444" w:rsidP="00587444">
            <w:pPr>
              <w:suppressAutoHyphens w:val="0"/>
              <w:autoSpaceDN/>
              <w:rPr>
                <w:rFonts w:ascii="Arial" w:eastAsia="Calibri" w:hAnsi="Arial" w:cs="Arial"/>
                <w:b/>
                <w:bCs/>
                <w:sz w:val="18"/>
                <w:szCs w:val="18"/>
                <w:lang w:val="en-GB"/>
              </w:rPr>
            </w:pPr>
          </w:p>
        </w:tc>
        <w:tc>
          <w:tcPr>
            <w:tcW w:w="648" w:type="pct"/>
          </w:tcPr>
          <w:p w14:paraId="37AB025C"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49" w:type="pct"/>
          </w:tcPr>
          <w:p w14:paraId="36864CDA"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42" w:type="pct"/>
          </w:tcPr>
          <w:p w14:paraId="593F2155"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04" w:type="pct"/>
          </w:tcPr>
          <w:p w14:paraId="65EEA76C"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43" w:type="pct"/>
          </w:tcPr>
          <w:p w14:paraId="0F99C982"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76D74912" w14:textId="77777777" w:rsidTr="00DD69E7">
        <w:trPr>
          <w:trHeight w:val="164"/>
        </w:trPr>
        <w:tc>
          <w:tcPr>
            <w:tcW w:w="1814" w:type="pct"/>
            <w:vAlign w:val="bottom"/>
          </w:tcPr>
          <w:p w14:paraId="7B4C4385"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2022</w:t>
            </w:r>
          </w:p>
        </w:tc>
        <w:tc>
          <w:tcPr>
            <w:tcW w:w="648" w:type="pct"/>
            <w:shd w:val="clear" w:color="auto" w:fill="auto"/>
            <w:vAlign w:val="bottom"/>
          </w:tcPr>
          <w:p w14:paraId="37C731F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1</w:t>
            </w:r>
          </w:p>
        </w:tc>
        <w:tc>
          <w:tcPr>
            <w:tcW w:w="649" w:type="pct"/>
            <w:shd w:val="clear" w:color="auto" w:fill="auto"/>
            <w:vAlign w:val="bottom"/>
          </w:tcPr>
          <w:p w14:paraId="6FD492E4"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2" w:type="pct"/>
            <w:shd w:val="clear" w:color="auto" w:fill="auto"/>
            <w:vAlign w:val="bottom"/>
          </w:tcPr>
          <w:p w14:paraId="49141D94"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04" w:type="pct"/>
            <w:shd w:val="clear" w:color="auto" w:fill="auto"/>
            <w:vAlign w:val="bottom"/>
          </w:tcPr>
          <w:p w14:paraId="23BF8E36"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3" w:type="pct"/>
            <w:shd w:val="clear" w:color="auto" w:fill="auto"/>
            <w:vAlign w:val="bottom"/>
          </w:tcPr>
          <w:p w14:paraId="06BF601F"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1</w:t>
            </w:r>
          </w:p>
        </w:tc>
      </w:tr>
      <w:tr w:rsidR="00587444" w:rsidRPr="00587444" w14:paraId="198C098E" w14:textId="77777777" w:rsidTr="00DD69E7">
        <w:trPr>
          <w:trHeight w:val="164"/>
        </w:trPr>
        <w:tc>
          <w:tcPr>
            <w:tcW w:w="1814" w:type="pct"/>
          </w:tcPr>
          <w:p w14:paraId="3C1B2024"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8" w:type="pct"/>
            <w:tcBorders>
              <w:top w:val="nil"/>
              <w:left w:val="nil"/>
              <w:right w:val="nil"/>
            </w:tcBorders>
            <w:shd w:val="clear" w:color="auto" w:fill="auto"/>
            <w:vAlign w:val="bottom"/>
          </w:tcPr>
          <w:p w14:paraId="77ACCE6E"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9" w:type="pct"/>
            <w:tcBorders>
              <w:top w:val="nil"/>
              <w:left w:val="nil"/>
              <w:right w:val="nil"/>
            </w:tcBorders>
            <w:shd w:val="clear" w:color="auto" w:fill="auto"/>
            <w:vAlign w:val="bottom"/>
          </w:tcPr>
          <w:p w14:paraId="3B784B7F"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2" w:type="pct"/>
            <w:tcBorders>
              <w:top w:val="nil"/>
              <w:left w:val="nil"/>
              <w:right w:val="nil"/>
            </w:tcBorders>
            <w:shd w:val="clear" w:color="auto" w:fill="auto"/>
            <w:vAlign w:val="bottom"/>
          </w:tcPr>
          <w:p w14:paraId="10F51298"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04" w:type="pct"/>
            <w:tcBorders>
              <w:top w:val="nil"/>
              <w:left w:val="nil"/>
              <w:right w:val="nil"/>
            </w:tcBorders>
            <w:shd w:val="clear" w:color="auto" w:fill="auto"/>
            <w:vAlign w:val="bottom"/>
          </w:tcPr>
          <w:p w14:paraId="24D7015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3" w:type="pct"/>
            <w:tcBorders>
              <w:top w:val="nil"/>
              <w:left w:val="nil"/>
              <w:right w:val="nil"/>
            </w:tcBorders>
            <w:shd w:val="clear" w:color="auto" w:fill="auto"/>
            <w:vAlign w:val="bottom"/>
          </w:tcPr>
          <w:p w14:paraId="675A982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r>
      <w:tr w:rsidR="00587444" w:rsidRPr="00587444" w14:paraId="63685E32" w14:textId="77777777" w:rsidTr="00DD69E7">
        <w:trPr>
          <w:trHeight w:val="164"/>
        </w:trPr>
        <w:tc>
          <w:tcPr>
            <w:tcW w:w="1814" w:type="pct"/>
          </w:tcPr>
          <w:p w14:paraId="2C5749F4"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8" w:type="pct"/>
            <w:tcBorders>
              <w:top w:val="nil"/>
              <w:left w:val="nil"/>
              <w:right w:val="nil"/>
            </w:tcBorders>
            <w:shd w:val="clear" w:color="auto" w:fill="auto"/>
            <w:vAlign w:val="bottom"/>
          </w:tcPr>
          <w:p w14:paraId="2BBCE66A"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9" w:type="pct"/>
            <w:tcBorders>
              <w:top w:val="nil"/>
              <w:left w:val="nil"/>
              <w:right w:val="nil"/>
            </w:tcBorders>
            <w:shd w:val="clear" w:color="auto" w:fill="auto"/>
            <w:vAlign w:val="bottom"/>
          </w:tcPr>
          <w:p w14:paraId="08E04302"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2" w:type="pct"/>
            <w:tcBorders>
              <w:top w:val="nil"/>
              <w:left w:val="nil"/>
              <w:right w:val="nil"/>
            </w:tcBorders>
            <w:shd w:val="clear" w:color="auto" w:fill="auto"/>
            <w:vAlign w:val="bottom"/>
          </w:tcPr>
          <w:p w14:paraId="1E7756AE"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04" w:type="pct"/>
            <w:tcBorders>
              <w:top w:val="nil"/>
              <w:left w:val="nil"/>
              <w:right w:val="nil"/>
            </w:tcBorders>
            <w:shd w:val="clear" w:color="auto" w:fill="auto"/>
            <w:vAlign w:val="bottom"/>
          </w:tcPr>
          <w:p w14:paraId="6345187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3" w:type="pct"/>
            <w:tcBorders>
              <w:top w:val="nil"/>
              <w:left w:val="nil"/>
              <w:right w:val="nil"/>
            </w:tcBorders>
            <w:shd w:val="clear" w:color="auto" w:fill="auto"/>
            <w:vAlign w:val="bottom"/>
          </w:tcPr>
          <w:p w14:paraId="6CC8837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r>
      <w:tr w:rsidR="00587444" w:rsidRPr="00587444" w14:paraId="5B76900E" w14:textId="77777777" w:rsidTr="00DD69E7">
        <w:trPr>
          <w:trHeight w:val="164"/>
        </w:trPr>
        <w:tc>
          <w:tcPr>
            <w:tcW w:w="1814" w:type="pct"/>
          </w:tcPr>
          <w:p w14:paraId="35F288A5"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8" w:type="pct"/>
            <w:tcBorders>
              <w:top w:val="nil"/>
              <w:left w:val="nil"/>
              <w:right w:val="nil"/>
            </w:tcBorders>
            <w:shd w:val="clear" w:color="auto" w:fill="auto"/>
            <w:vAlign w:val="bottom"/>
          </w:tcPr>
          <w:p w14:paraId="3470EBAC"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9" w:type="pct"/>
            <w:tcBorders>
              <w:top w:val="nil"/>
              <w:left w:val="nil"/>
              <w:right w:val="nil"/>
            </w:tcBorders>
            <w:shd w:val="clear" w:color="auto" w:fill="auto"/>
            <w:vAlign w:val="bottom"/>
          </w:tcPr>
          <w:p w14:paraId="6B0DF521"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2" w:type="pct"/>
            <w:tcBorders>
              <w:top w:val="nil"/>
              <w:left w:val="nil"/>
              <w:right w:val="nil"/>
            </w:tcBorders>
            <w:shd w:val="clear" w:color="auto" w:fill="auto"/>
            <w:vAlign w:val="bottom"/>
          </w:tcPr>
          <w:p w14:paraId="1181F66A"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04" w:type="pct"/>
            <w:tcBorders>
              <w:top w:val="nil"/>
              <w:left w:val="nil"/>
              <w:right w:val="nil"/>
            </w:tcBorders>
            <w:shd w:val="clear" w:color="auto" w:fill="auto"/>
            <w:vAlign w:val="bottom"/>
          </w:tcPr>
          <w:p w14:paraId="41D70B10"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3" w:type="pct"/>
            <w:tcBorders>
              <w:top w:val="nil"/>
              <w:left w:val="nil"/>
              <w:right w:val="nil"/>
            </w:tcBorders>
            <w:shd w:val="clear" w:color="auto" w:fill="auto"/>
            <w:vAlign w:val="bottom"/>
          </w:tcPr>
          <w:p w14:paraId="71D03462"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r>
      <w:tr w:rsidR="00587444" w:rsidRPr="00587444" w14:paraId="2C982982" w14:textId="77777777" w:rsidTr="00DD69E7">
        <w:trPr>
          <w:trHeight w:val="164"/>
        </w:trPr>
        <w:tc>
          <w:tcPr>
            <w:tcW w:w="1814" w:type="pct"/>
            <w:vAlign w:val="bottom"/>
          </w:tcPr>
          <w:p w14:paraId="6E815E0C"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release of loss allowance</w:t>
            </w:r>
          </w:p>
        </w:tc>
        <w:tc>
          <w:tcPr>
            <w:tcW w:w="648" w:type="pct"/>
            <w:shd w:val="clear" w:color="auto" w:fill="auto"/>
            <w:vAlign w:val="bottom"/>
          </w:tcPr>
          <w:p w14:paraId="7401E0F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(2)</w:t>
            </w:r>
          </w:p>
        </w:tc>
        <w:tc>
          <w:tcPr>
            <w:tcW w:w="649" w:type="pct"/>
            <w:tcBorders>
              <w:top w:val="nil"/>
              <w:left w:val="nil"/>
              <w:right w:val="nil"/>
            </w:tcBorders>
            <w:shd w:val="clear" w:color="auto" w:fill="auto"/>
            <w:vAlign w:val="bottom"/>
          </w:tcPr>
          <w:p w14:paraId="071FCE61"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2" w:type="pct"/>
            <w:tcBorders>
              <w:top w:val="nil"/>
              <w:left w:val="nil"/>
              <w:right w:val="nil"/>
            </w:tcBorders>
            <w:shd w:val="clear" w:color="auto" w:fill="auto"/>
            <w:vAlign w:val="bottom"/>
          </w:tcPr>
          <w:p w14:paraId="6A3D1BB4"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04" w:type="pct"/>
            <w:tcBorders>
              <w:top w:val="nil"/>
              <w:left w:val="nil"/>
              <w:right w:val="nil"/>
            </w:tcBorders>
            <w:shd w:val="clear" w:color="auto" w:fill="auto"/>
            <w:vAlign w:val="bottom"/>
          </w:tcPr>
          <w:p w14:paraId="455CB8A2"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3" w:type="pct"/>
            <w:shd w:val="clear" w:color="auto" w:fill="auto"/>
            <w:vAlign w:val="bottom"/>
          </w:tcPr>
          <w:p w14:paraId="1123FC71"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(2)</w:t>
            </w:r>
          </w:p>
        </w:tc>
      </w:tr>
      <w:tr w:rsidR="00587444" w:rsidRPr="00587444" w14:paraId="362D65A2" w14:textId="77777777" w:rsidTr="00DD69E7">
        <w:trPr>
          <w:trHeight w:val="285"/>
        </w:trPr>
        <w:tc>
          <w:tcPr>
            <w:tcW w:w="1814" w:type="pct"/>
            <w:vAlign w:val="bottom"/>
          </w:tcPr>
          <w:p w14:paraId="647D2B61"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foreign exchange gain/loss on loss allowances </w:t>
            </w:r>
          </w:p>
        </w:tc>
        <w:tc>
          <w:tcPr>
            <w:tcW w:w="648" w:type="pct"/>
            <w:tcBorders>
              <w:top w:val="nil"/>
              <w:left w:val="nil"/>
              <w:bottom w:val="single" w:sz="4" w:space="0" w:color="auto"/>
              <w:right w:val="nil"/>
            </w:tcBorders>
            <w:shd w:val="clear" w:color="auto" w:fill="auto"/>
            <w:vAlign w:val="bottom"/>
          </w:tcPr>
          <w:p w14:paraId="30F60932"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2</w:t>
            </w:r>
          </w:p>
        </w:tc>
        <w:tc>
          <w:tcPr>
            <w:tcW w:w="649" w:type="pct"/>
            <w:tcBorders>
              <w:top w:val="nil"/>
              <w:left w:val="nil"/>
              <w:bottom w:val="single" w:sz="4" w:space="0" w:color="auto"/>
              <w:right w:val="nil"/>
            </w:tcBorders>
            <w:shd w:val="clear" w:color="auto" w:fill="auto"/>
            <w:vAlign w:val="bottom"/>
          </w:tcPr>
          <w:p w14:paraId="69CB9EA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2" w:type="pct"/>
            <w:tcBorders>
              <w:top w:val="nil"/>
              <w:left w:val="nil"/>
              <w:bottom w:val="single" w:sz="4" w:space="0" w:color="auto"/>
              <w:right w:val="nil"/>
            </w:tcBorders>
            <w:shd w:val="clear" w:color="auto" w:fill="auto"/>
            <w:vAlign w:val="bottom"/>
          </w:tcPr>
          <w:p w14:paraId="43923E31"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04" w:type="pct"/>
            <w:tcBorders>
              <w:top w:val="nil"/>
              <w:left w:val="nil"/>
              <w:bottom w:val="single" w:sz="4" w:space="0" w:color="auto"/>
              <w:right w:val="nil"/>
            </w:tcBorders>
            <w:shd w:val="clear" w:color="auto" w:fill="auto"/>
            <w:vAlign w:val="bottom"/>
          </w:tcPr>
          <w:p w14:paraId="5C68A941"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3" w:type="pct"/>
            <w:tcBorders>
              <w:top w:val="nil"/>
              <w:left w:val="nil"/>
              <w:bottom w:val="single" w:sz="4" w:space="0" w:color="auto"/>
              <w:right w:val="nil"/>
            </w:tcBorders>
            <w:shd w:val="clear" w:color="auto" w:fill="auto"/>
            <w:vAlign w:val="bottom"/>
          </w:tcPr>
          <w:p w14:paraId="3631F915"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2</w:t>
            </w:r>
          </w:p>
        </w:tc>
      </w:tr>
      <w:tr w:rsidR="00587444" w:rsidRPr="00587444" w14:paraId="26C26E5E" w14:textId="77777777" w:rsidTr="00DD69E7">
        <w:trPr>
          <w:trHeight w:val="35"/>
        </w:trPr>
        <w:tc>
          <w:tcPr>
            <w:tcW w:w="1814" w:type="pct"/>
            <w:vAlign w:val="bottom"/>
          </w:tcPr>
          <w:p w14:paraId="06A0CAE0"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2022</w:t>
            </w:r>
          </w:p>
        </w:tc>
        <w:tc>
          <w:tcPr>
            <w:tcW w:w="648" w:type="pct"/>
            <w:tcBorders>
              <w:top w:val="single" w:sz="4" w:space="0" w:color="auto"/>
              <w:left w:val="nil"/>
              <w:bottom w:val="single" w:sz="12" w:space="0" w:color="auto"/>
              <w:right w:val="nil"/>
            </w:tcBorders>
            <w:shd w:val="clear" w:color="auto" w:fill="auto"/>
            <w:vAlign w:val="bottom"/>
          </w:tcPr>
          <w:p w14:paraId="6193B0B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eastAsia="Calibri" w:hAnsi="Arial" w:cs="Arial"/>
                <w:b/>
                <w:bCs/>
                <w:color w:val="000000"/>
                <w:sz w:val="18"/>
                <w:szCs w:val="18"/>
                <w:lang w:val="hr-HR"/>
              </w:rPr>
              <w:t>1</w:t>
            </w:r>
          </w:p>
        </w:tc>
        <w:tc>
          <w:tcPr>
            <w:tcW w:w="649" w:type="pct"/>
            <w:tcBorders>
              <w:top w:val="single" w:sz="4" w:space="0" w:color="auto"/>
              <w:left w:val="nil"/>
              <w:bottom w:val="single" w:sz="12" w:space="0" w:color="auto"/>
              <w:right w:val="nil"/>
            </w:tcBorders>
            <w:shd w:val="clear" w:color="auto" w:fill="auto"/>
            <w:vAlign w:val="bottom"/>
          </w:tcPr>
          <w:p w14:paraId="79F039C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sz w:val="18"/>
                <w:szCs w:val="18"/>
              </w:rPr>
              <w:t>-</w:t>
            </w:r>
          </w:p>
        </w:tc>
        <w:tc>
          <w:tcPr>
            <w:tcW w:w="642" w:type="pct"/>
            <w:tcBorders>
              <w:top w:val="single" w:sz="4" w:space="0" w:color="auto"/>
              <w:left w:val="nil"/>
              <w:bottom w:val="single" w:sz="12" w:space="0" w:color="auto"/>
              <w:right w:val="nil"/>
            </w:tcBorders>
            <w:shd w:val="clear" w:color="auto" w:fill="auto"/>
            <w:vAlign w:val="bottom"/>
          </w:tcPr>
          <w:p w14:paraId="0FE6199C"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sz w:val="18"/>
                <w:szCs w:val="18"/>
              </w:rPr>
              <w:t>-</w:t>
            </w:r>
          </w:p>
        </w:tc>
        <w:tc>
          <w:tcPr>
            <w:tcW w:w="604" w:type="pct"/>
            <w:tcBorders>
              <w:top w:val="single" w:sz="4" w:space="0" w:color="auto"/>
              <w:left w:val="nil"/>
              <w:bottom w:val="single" w:sz="12" w:space="0" w:color="auto"/>
              <w:right w:val="nil"/>
            </w:tcBorders>
            <w:shd w:val="clear" w:color="auto" w:fill="auto"/>
            <w:vAlign w:val="bottom"/>
          </w:tcPr>
          <w:p w14:paraId="097128B4"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sz w:val="18"/>
                <w:szCs w:val="18"/>
              </w:rPr>
              <w:t>-</w:t>
            </w:r>
          </w:p>
        </w:tc>
        <w:tc>
          <w:tcPr>
            <w:tcW w:w="643" w:type="pct"/>
            <w:tcBorders>
              <w:top w:val="single" w:sz="4" w:space="0" w:color="auto"/>
              <w:left w:val="nil"/>
              <w:bottom w:val="single" w:sz="12" w:space="0" w:color="auto"/>
              <w:right w:val="nil"/>
            </w:tcBorders>
            <w:shd w:val="clear" w:color="auto" w:fill="auto"/>
            <w:vAlign w:val="bottom"/>
          </w:tcPr>
          <w:p w14:paraId="5533294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eastAsia="Calibri" w:hAnsi="Arial" w:cs="Arial"/>
                <w:b/>
                <w:bCs/>
                <w:color w:val="000000"/>
                <w:sz w:val="18"/>
                <w:szCs w:val="18"/>
                <w:lang w:val="hr-HR"/>
              </w:rPr>
              <w:t>1</w:t>
            </w:r>
          </w:p>
        </w:tc>
      </w:tr>
    </w:tbl>
    <w:p w14:paraId="0C10D821" w14:textId="77777777" w:rsidR="00587444" w:rsidRPr="00587444" w:rsidRDefault="00587444" w:rsidP="00587444">
      <w:pPr>
        <w:suppressAutoHyphens w:val="0"/>
        <w:autoSpaceDN/>
        <w:jc w:val="both"/>
        <w:rPr>
          <w:rFonts w:ascii="Arial" w:hAnsi="Arial" w:cs="Arial"/>
          <w:b/>
          <w:bCs/>
          <w:sz w:val="20"/>
          <w:szCs w:val="20"/>
          <w:lang w:val="en-GB"/>
        </w:rPr>
      </w:pPr>
    </w:p>
    <w:p w14:paraId="7D402481"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13" w:type="pct"/>
        <w:tblLayout w:type="fixed"/>
        <w:tblLook w:val="0000" w:firstRow="0" w:lastRow="0" w:firstColumn="0" w:lastColumn="0" w:noHBand="0" w:noVBand="0"/>
      </w:tblPr>
      <w:tblGrid>
        <w:gridCol w:w="3481"/>
        <w:gridCol w:w="1244"/>
        <w:gridCol w:w="1246"/>
        <w:gridCol w:w="1232"/>
        <w:gridCol w:w="1159"/>
        <w:gridCol w:w="1234"/>
      </w:tblGrid>
      <w:tr w:rsidR="00587444" w:rsidRPr="00587444" w14:paraId="728D39FB" w14:textId="77777777" w:rsidTr="00DD69E7">
        <w:trPr>
          <w:trHeight w:val="303"/>
        </w:trPr>
        <w:tc>
          <w:tcPr>
            <w:tcW w:w="1814" w:type="pct"/>
          </w:tcPr>
          <w:p w14:paraId="20C563BF"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Bank</w:t>
            </w:r>
          </w:p>
        </w:tc>
        <w:tc>
          <w:tcPr>
            <w:tcW w:w="3186" w:type="pct"/>
            <w:gridSpan w:val="5"/>
            <w:vAlign w:val="bottom"/>
          </w:tcPr>
          <w:p w14:paraId="4F906C07"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54D04721" w14:textId="77777777" w:rsidTr="00DD69E7">
        <w:trPr>
          <w:trHeight w:val="47"/>
        </w:trPr>
        <w:tc>
          <w:tcPr>
            <w:tcW w:w="1814" w:type="pct"/>
          </w:tcPr>
          <w:p w14:paraId="2EF6528A"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2021</w:t>
            </w:r>
          </w:p>
        </w:tc>
        <w:tc>
          <w:tcPr>
            <w:tcW w:w="648" w:type="pct"/>
            <w:vAlign w:val="bottom"/>
          </w:tcPr>
          <w:p w14:paraId="3AC93174"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537B074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2" w:type="pct"/>
            <w:vAlign w:val="bottom"/>
          </w:tcPr>
          <w:p w14:paraId="31D239D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4" w:type="pct"/>
            <w:vAlign w:val="bottom"/>
          </w:tcPr>
          <w:p w14:paraId="6901657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3" w:type="pct"/>
            <w:vAlign w:val="bottom"/>
          </w:tcPr>
          <w:p w14:paraId="759E4BD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69FC0254" w14:textId="77777777" w:rsidTr="00DD69E7">
        <w:trPr>
          <w:trHeight w:val="47"/>
        </w:trPr>
        <w:tc>
          <w:tcPr>
            <w:tcW w:w="1814" w:type="pct"/>
          </w:tcPr>
          <w:p w14:paraId="55459687" w14:textId="77777777" w:rsidR="00587444" w:rsidRPr="00587444" w:rsidRDefault="00587444" w:rsidP="00587444">
            <w:pPr>
              <w:suppressAutoHyphens w:val="0"/>
              <w:autoSpaceDN/>
              <w:rPr>
                <w:rFonts w:ascii="Arial" w:eastAsia="Calibri" w:hAnsi="Arial" w:cs="Arial"/>
                <w:b/>
                <w:bCs/>
                <w:sz w:val="18"/>
                <w:szCs w:val="18"/>
                <w:lang w:val="en-GB"/>
              </w:rPr>
            </w:pPr>
          </w:p>
        </w:tc>
        <w:tc>
          <w:tcPr>
            <w:tcW w:w="648" w:type="pct"/>
          </w:tcPr>
          <w:p w14:paraId="69AC9534"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9" w:type="pct"/>
          </w:tcPr>
          <w:p w14:paraId="1CE4D5C4"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2" w:type="pct"/>
          </w:tcPr>
          <w:p w14:paraId="11E98CE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04" w:type="pct"/>
          </w:tcPr>
          <w:p w14:paraId="47D0604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3" w:type="pct"/>
          </w:tcPr>
          <w:p w14:paraId="200B3BA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2EE97D48" w14:textId="77777777" w:rsidTr="00DD69E7">
        <w:trPr>
          <w:trHeight w:val="47"/>
        </w:trPr>
        <w:tc>
          <w:tcPr>
            <w:tcW w:w="1814" w:type="pct"/>
          </w:tcPr>
          <w:p w14:paraId="03F2451C" w14:textId="77777777" w:rsidR="00587444" w:rsidRPr="00587444" w:rsidRDefault="00587444" w:rsidP="00587444">
            <w:pPr>
              <w:suppressAutoHyphens w:val="0"/>
              <w:autoSpaceDN/>
              <w:rPr>
                <w:rFonts w:ascii="Arial" w:eastAsia="Calibri" w:hAnsi="Arial" w:cs="Arial"/>
                <w:b/>
                <w:bCs/>
                <w:sz w:val="18"/>
                <w:szCs w:val="18"/>
                <w:lang w:val="en-GB"/>
              </w:rPr>
            </w:pPr>
          </w:p>
        </w:tc>
        <w:tc>
          <w:tcPr>
            <w:tcW w:w="648" w:type="pct"/>
          </w:tcPr>
          <w:p w14:paraId="0051E891"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49" w:type="pct"/>
          </w:tcPr>
          <w:p w14:paraId="6153A84A"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42" w:type="pct"/>
          </w:tcPr>
          <w:p w14:paraId="616BFFC4"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04" w:type="pct"/>
          </w:tcPr>
          <w:p w14:paraId="073FE51D"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43" w:type="pct"/>
          </w:tcPr>
          <w:p w14:paraId="39453405"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08DC43C7" w14:textId="77777777" w:rsidTr="00DD69E7">
        <w:trPr>
          <w:trHeight w:val="164"/>
        </w:trPr>
        <w:tc>
          <w:tcPr>
            <w:tcW w:w="1814" w:type="pct"/>
            <w:vAlign w:val="bottom"/>
          </w:tcPr>
          <w:p w14:paraId="4E780859"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2021</w:t>
            </w:r>
          </w:p>
        </w:tc>
        <w:tc>
          <w:tcPr>
            <w:tcW w:w="648" w:type="pct"/>
            <w:shd w:val="clear" w:color="auto" w:fill="auto"/>
            <w:vAlign w:val="bottom"/>
          </w:tcPr>
          <w:p w14:paraId="6DE52C5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1</w:t>
            </w:r>
          </w:p>
        </w:tc>
        <w:tc>
          <w:tcPr>
            <w:tcW w:w="649" w:type="pct"/>
            <w:shd w:val="clear" w:color="auto" w:fill="auto"/>
            <w:vAlign w:val="bottom"/>
          </w:tcPr>
          <w:p w14:paraId="0BE25EDF"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2" w:type="pct"/>
            <w:shd w:val="clear" w:color="auto" w:fill="auto"/>
            <w:vAlign w:val="bottom"/>
          </w:tcPr>
          <w:p w14:paraId="065E4816"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04" w:type="pct"/>
            <w:shd w:val="clear" w:color="auto" w:fill="auto"/>
            <w:vAlign w:val="bottom"/>
          </w:tcPr>
          <w:p w14:paraId="6A003ADF"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3" w:type="pct"/>
            <w:shd w:val="clear" w:color="auto" w:fill="auto"/>
            <w:vAlign w:val="bottom"/>
          </w:tcPr>
          <w:p w14:paraId="25DF76C6"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1</w:t>
            </w:r>
          </w:p>
        </w:tc>
      </w:tr>
      <w:tr w:rsidR="00587444" w:rsidRPr="00587444" w14:paraId="5328B98D" w14:textId="77777777" w:rsidTr="00DD69E7">
        <w:trPr>
          <w:trHeight w:val="164"/>
        </w:trPr>
        <w:tc>
          <w:tcPr>
            <w:tcW w:w="1814" w:type="pct"/>
          </w:tcPr>
          <w:p w14:paraId="0520E577"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8" w:type="pct"/>
            <w:tcBorders>
              <w:top w:val="nil"/>
              <w:left w:val="nil"/>
              <w:right w:val="nil"/>
            </w:tcBorders>
            <w:shd w:val="clear" w:color="auto" w:fill="auto"/>
            <w:vAlign w:val="bottom"/>
          </w:tcPr>
          <w:p w14:paraId="5A0FB43C"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9" w:type="pct"/>
            <w:tcBorders>
              <w:top w:val="nil"/>
              <w:left w:val="nil"/>
              <w:right w:val="nil"/>
            </w:tcBorders>
            <w:shd w:val="clear" w:color="auto" w:fill="auto"/>
            <w:vAlign w:val="bottom"/>
          </w:tcPr>
          <w:p w14:paraId="27824FDE"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2" w:type="pct"/>
            <w:tcBorders>
              <w:top w:val="nil"/>
              <w:left w:val="nil"/>
              <w:right w:val="nil"/>
            </w:tcBorders>
            <w:shd w:val="clear" w:color="auto" w:fill="auto"/>
            <w:vAlign w:val="bottom"/>
          </w:tcPr>
          <w:p w14:paraId="4D3ECAF8"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04" w:type="pct"/>
            <w:tcBorders>
              <w:top w:val="nil"/>
              <w:left w:val="nil"/>
              <w:right w:val="nil"/>
            </w:tcBorders>
            <w:shd w:val="clear" w:color="auto" w:fill="auto"/>
            <w:vAlign w:val="bottom"/>
          </w:tcPr>
          <w:p w14:paraId="7CFD6554"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3" w:type="pct"/>
            <w:tcBorders>
              <w:top w:val="nil"/>
              <w:left w:val="nil"/>
              <w:right w:val="nil"/>
            </w:tcBorders>
            <w:shd w:val="clear" w:color="auto" w:fill="auto"/>
            <w:vAlign w:val="bottom"/>
          </w:tcPr>
          <w:p w14:paraId="20255488"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r>
      <w:tr w:rsidR="00587444" w:rsidRPr="00587444" w14:paraId="2D24F86B" w14:textId="77777777" w:rsidTr="00DD69E7">
        <w:trPr>
          <w:trHeight w:val="164"/>
        </w:trPr>
        <w:tc>
          <w:tcPr>
            <w:tcW w:w="1814" w:type="pct"/>
          </w:tcPr>
          <w:p w14:paraId="5C632F63"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8" w:type="pct"/>
            <w:tcBorders>
              <w:top w:val="nil"/>
              <w:left w:val="nil"/>
              <w:right w:val="nil"/>
            </w:tcBorders>
            <w:shd w:val="clear" w:color="auto" w:fill="auto"/>
            <w:vAlign w:val="bottom"/>
          </w:tcPr>
          <w:p w14:paraId="641DC8A5"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9" w:type="pct"/>
            <w:tcBorders>
              <w:top w:val="nil"/>
              <w:left w:val="nil"/>
              <w:right w:val="nil"/>
            </w:tcBorders>
            <w:shd w:val="clear" w:color="auto" w:fill="auto"/>
            <w:vAlign w:val="bottom"/>
          </w:tcPr>
          <w:p w14:paraId="65A7606B"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2" w:type="pct"/>
            <w:tcBorders>
              <w:top w:val="nil"/>
              <w:left w:val="nil"/>
              <w:right w:val="nil"/>
            </w:tcBorders>
            <w:shd w:val="clear" w:color="auto" w:fill="auto"/>
            <w:vAlign w:val="bottom"/>
          </w:tcPr>
          <w:p w14:paraId="612ADA1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04" w:type="pct"/>
            <w:tcBorders>
              <w:top w:val="nil"/>
              <w:left w:val="nil"/>
              <w:right w:val="nil"/>
            </w:tcBorders>
            <w:shd w:val="clear" w:color="auto" w:fill="auto"/>
            <w:vAlign w:val="bottom"/>
          </w:tcPr>
          <w:p w14:paraId="43FD6970"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3" w:type="pct"/>
            <w:tcBorders>
              <w:top w:val="nil"/>
              <w:left w:val="nil"/>
              <w:right w:val="nil"/>
            </w:tcBorders>
            <w:shd w:val="clear" w:color="auto" w:fill="auto"/>
            <w:vAlign w:val="bottom"/>
          </w:tcPr>
          <w:p w14:paraId="6BC2D9A8"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r>
      <w:tr w:rsidR="00587444" w:rsidRPr="00587444" w14:paraId="16571A0A" w14:textId="77777777" w:rsidTr="00DD69E7">
        <w:trPr>
          <w:trHeight w:val="164"/>
        </w:trPr>
        <w:tc>
          <w:tcPr>
            <w:tcW w:w="1814" w:type="pct"/>
          </w:tcPr>
          <w:p w14:paraId="7E5AFA68"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8" w:type="pct"/>
            <w:tcBorders>
              <w:top w:val="nil"/>
              <w:left w:val="nil"/>
              <w:right w:val="nil"/>
            </w:tcBorders>
            <w:shd w:val="clear" w:color="auto" w:fill="auto"/>
            <w:vAlign w:val="bottom"/>
          </w:tcPr>
          <w:p w14:paraId="03456A4F"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9" w:type="pct"/>
            <w:tcBorders>
              <w:top w:val="nil"/>
              <w:left w:val="nil"/>
              <w:right w:val="nil"/>
            </w:tcBorders>
            <w:shd w:val="clear" w:color="auto" w:fill="auto"/>
            <w:vAlign w:val="bottom"/>
          </w:tcPr>
          <w:p w14:paraId="190C1C5D"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2" w:type="pct"/>
            <w:tcBorders>
              <w:top w:val="nil"/>
              <w:left w:val="nil"/>
              <w:right w:val="nil"/>
            </w:tcBorders>
            <w:shd w:val="clear" w:color="auto" w:fill="auto"/>
            <w:vAlign w:val="bottom"/>
          </w:tcPr>
          <w:p w14:paraId="00A8D01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04" w:type="pct"/>
            <w:tcBorders>
              <w:top w:val="nil"/>
              <w:left w:val="nil"/>
              <w:right w:val="nil"/>
            </w:tcBorders>
            <w:shd w:val="clear" w:color="auto" w:fill="auto"/>
            <w:vAlign w:val="bottom"/>
          </w:tcPr>
          <w:p w14:paraId="6743C49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3" w:type="pct"/>
            <w:tcBorders>
              <w:top w:val="nil"/>
              <w:left w:val="nil"/>
              <w:right w:val="nil"/>
            </w:tcBorders>
            <w:shd w:val="clear" w:color="auto" w:fill="auto"/>
            <w:vAlign w:val="bottom"/>
          </w:tcPr>
          <w:p w14:paraId="2DD9C49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r>
      <w:tr w:rsidR="00587444" w:rsidRPr="00587444" w14:paraId="5F8E4892" w14:textId="77777777" w:rsidTr="00DD69E7">
        <w:trPr>
          <w:trHeight w:val="164"/>
        </w:trPr>
        <w:tc>
          <w:tcPr>
            <w:tcW w:w="1814" w:type="pct"/>
            <w:vAlign w:val="bottom"/>
          </w:tcPr>
          <w:p w14:paraId="268EB4EC"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release of loss allowance</w:t>
            </w:r>
          </w:p>
        </w:tc>
        <w:tc>
          <w:tcPr>
            <w:tcW w:w="648" w:type="pct"/>
            <w:shd w:val="clear" w:color="auto" w:fill="auto"/>
            <w:vAlign w:val="bottom"/>
          </w:tcPr>
          <w:p w14:paraId="4BBF798E"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(1)</w:t>
            </w:r>
          </w:p>
        </w:tc>
        <w:tc>
          <w:tcPr>
            <w:tcW w:w="649" w:type="pct"/>
            <w:tcBorders>
              <w:top w:val="nil"/>
              <w:left w:val="nil"/>
              <w:right w:val="nil"/>
            </w:tcBorders>
            <w:shd w:val="clear" w:color="auto" w:fill="auto"/>
            <w:vAlign w:val="bottom"/>
          </w:tcPr>
          <w:p w14:paraId="0BA722CB"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2" w:type="pct"/>
            <w:tcBorders>
              <w:top w:val="nil"/>
              <w:left w:val="nil"/>
              <w:right w:val="nil"/>
            </w:tcBorders>
            <w:shd w:val="clear" w:color="auto" w:fill="auto"/>
            <w:vAlign w:val="bottom"/>
          </w:tcPr>
          <w:p w14:paraId="25EE6FEF"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04" w:type="pct"/>
            <w:tcBorders>
              <w:top w:val="nil"/>
              <w:left w:val="nil"/>
              <w:right w:val="nil"/>
            </w:tcBorders>
            <w:shd w:val="clear" w:color="auto" w:fill="auto"/>
            <w:vAlign w:val="bottom"/>
          </w:tcPr>
          <w:p w14:paraId="4748E16A"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3" w:type="pct"/>
            <w:shd w:val="clear" w:color="auto" w:fill="auto"/>
            <w:vAlign w:val="bottom"/>
          </w:tcPr>
          <w:p w14:paraId="51FC852F"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(1)</w:t>
            </w:r>
          </w:p>
        </w:tc>
      </w:tr>
      <w:tr w:rsidR="00587444" w:rsidRPr="00587444" w14:paraId="6E4E63D7" w14:textId="77777777" w:rsidTr="00DD69E7">
        <w:trPr>
          <w:trHeight w:val="285"/>
        </w:trPr>
        <w:tc>
          <w:tcPr>
            <w:tcW w:w="1814" w:type="pct"/>
            <w:vAlign w:val="bottom"/>
          </w:tcPr>
          <w:p w14:paraId="7082E37A"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foreign exchange gain/loss on loss allowances </w:t>
            </w:r>
          </w:p>
        </w:tc>
        <w:tc>
          <w:tcPr>
            <w:tcW w:w="648" w:type="pct"/>
            <w:tcBorders>
              <w:top w:val="nil"/>
              <w:left w:val="nil"/>
              <w:bottom w:val="single" w:sz="4" w:space="0" w:color="auto"/>
              <w:right w:val="nil"/>
            </w:tcBorders>
            <w:shd w:val="clear" w:color="auto" w:fill="auto"/>
            <w:vAlign w:val="bottom"/>
          </w:tcPr>
          <w:p w14:paraId="685DA260"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1</w:t>
            </w:r>
          </w:p>
        </w:tc>
        <w:tc>
          <w:tcPr>
            <w:tcW w:w="649" w:type="pct"/>
            <w:tcBorders>
              <w:top w:val="nil"/>
              <w:left w:val="nil"/>
              <w:bottom w:val="single" w:sz="4" w:space="0" w:color="auto"/>
              <w:right w:val="nil"/>
            </w:tcBorders>
            <w:shd w:val="clear" w:color="auto" w:fill="auto"/>
            <w:vAlign w:val="bottom"/>
          </w:tcPr>
          <w:p w14:paraId="6B2B1BCF"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2" w:type="pct"/>
            <w:tcBorders>
              <w:top w:val="nil"/>
              <w:left w:val="nil"/>
              <w:bottom w:val="single" w:sz="4" w:space="0" w:color="auto"/>
              <w:right w:val="nil"/>
            </w:tcBorders>
            <w:shd w:val="clear" w:color="auto" w:fill="auto"/>
            <w:vAlign w:val="bottom"/>
          </w:tcPr>
          <w:p w14:paraId="6FD6B35B"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04" w:type="pct"/>
            <w:tcBorders>
              <w:top w:val="nil"/>
              <w:left w:val="nil"/>
              <w:bottom w:val="single" w:sz="4" w:space="0" w:color="auto"/>
              <w:right w:val="nil"/>
            </w:tcBorders>
            <w:shd w:val="clear" w:color="auto" w:fill="auto"/>
            <w:vAlign w:val="bottom"/>
          </w:tcPr>
          <w:p w14:paraId="1AAB9E4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3" w:type="pct"/>
            <w:tcBorders>
              <w:top w:val="nil"/>
              <w:left w:val="nil"/>
              <w:bottom w:val="single" w:sz="4" w:space="0" w:color="auto"/>
              <w:right w:val="nil"/>
            </w:tcBorders>
            <w:shd w:val="clear" w:color="auto" w:fill="auto"/>
            <w:vAlign w:val="bottom"/>
          </w:tcPr>
          <w:p w14:paraId="44E3B2C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1</w:t>
            </w:r>
          </w:p>
        </w:tc>
      </w:tr>
      <w:tr w:rsidR="00587444" w:rsidRPr="00587444" w14:paraId="068C9C1C" w14:textId="77777777" w:rsidTr="00DD69E7">
        <w:trPr>
          <w:trHeight w:val="35"/>
        </w:trPr>
        <w:tc>
          <w:tcPr>
            <w:tcW w:w="1814" w:type="pct"/>
            <w:vAlign w:val="bottom"/>
          </w:tcPr>
          <w:p w14:paraId="5059305B"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2021</w:t>
            </w:r>
          </w:p>
        </w:tc>
        <w:tc>
          <w:tcPr>
            <w:tcW w:w="648" w:type="pct"/>
            <w:tcBorders>
              <w:top w:val="single" w:sz="4" w:space="0" w:color="auto"/>
              <w:left w:val="nil"/>
              <w:bottom w:val="single" w:sz="12" w:space="0" w:color="auto"/>
              <w:right w:val="nil"/>
            </w:tcBorders>
            <w:shd w:val="clear" w:color="auto" w:fill="auto"/>
            <w:vAlign w:val="bottom"/>
          </w:tcPr>
          <w:p w14:paraId="08A0F9A4"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eastAsia="Calibri" w:hAnsi="Arial" w:cs="Arial"/>
                <w:b/>
                <w:bCs/>
                <w:color w:val="000000"/>
                <w:sz w:val="18"/>
                <w:szCs w:val="18"/>
                <w:lang w:val="hr-HR"/>
              </w:rPr>
              <w:t>1</w:t>
            </w:r>
          </w:p>
        </w:tc>
        <w:tc>
          <w:tcPr>
            <w:tcW w:w="649" w:type="pct"/>
            <w:tcBorders>
              <w:top w:val="single" w:sz="4" w:space="0" w:color="auto"/>
              <w:left w:val="nil"/>
              <w:bottom w:val="single" w:sz="12" w:space="0" w:color="auto"/>
              <w:right w:val="nil"/>
            </w:tcBorders>
            <w:shd w:val="clear" w:color="auto" w:fill="auto"/>
          </w:tcPr>
          <w:p w14:paraId="2295AF3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sz w:val="18"/>
                <w:szCs w:val="18"/>
              </w:rPr>
              <w:t>-</w:t>
            </w:r>
          </w:p>
        </w:tc>
        <w:tc>
          <w:tcPr>
            <w:tcW w:w="642" w:type="pct"/>
            <w:tcBorders>
              <w:top w:val="single" w:sz="4" w:space="0" w:color="auto"/>
              <w:left w:val="nil"/>
              <w:bottom w:val="single" w:sz="12" w:space="0" w:color="auto"/>
              <w:right w:val="nil"/>
            </w:tcBorders>
            <w:shd w:val="clear" w:color="auto" w:fill="auto"/>
          </w:tcPr>
          <w:p w14:paraId="6370ACDF"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sz w:val="18"/>
                <w:szCs w:val="18"/>
              </w:rPr>
              <w:t>-</w:t>
            </w:r>
          </w:p>
        </w:tc>
        <w:tc>
          <w:tcPr>
            <w:tcW w:w="604" w:type="pct"/>
            <w:tcBorders>
              <w:top w:val="single" w:sz="4" w:space="0" w:color="auto"/>
              <w:left w:val="nil"/>
              <w:bottom w:val="single" w:sz="12" w:space="0" w:color="auto"/>
              <w:right w:val="nil"/>
            </w:tcBorders>
            <w:shd w:val="clear" w:color="auto" w:fill="auto"/>
          </w:tcPr>
          <w:p w14:paraId="74A4CE8F"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sz w:val="18"/>
                <w:szCs w:val="18"/>
              </w:rPr>
              <w:t>-</w:t>
            </w:r>
          </w:p>
        </w:tc>
        <w:tc>
          <w:tcPr>
            <w:tcW w:w="643" w:type="pct"/>
            <w:tcBorders>
              <w:top w:val="single" w:sz="4" w:space="0" w:color="auto"/>
              <w:left w:val="nil"/>
              <w:bottom w:val="single" w:sz="12" w:space="0" w:color="auto"/>
              <w:right w:val="nil"/>
            </w:tcBorders>
            <w:shd w:val="clear" w:color="auto" w:fill="auto"/>
            <w:vAlign w:val="bottom"/>
          </w:tcPr>
          <w:p w14:paraId="71954533"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eastAsia="Calibri" w:hAnsi="Arial" w:cs="Arial"/>
                <w:b/>
                <w:bCs/>
                <w:color w:val="000000"/>
                <w:sz w:val="18"/>
                <w:szCs w:val="18"/>
                <w:lang w:val="hr-HR"/>
              </w:rPr>
              <w:t>1</w:t>
            </w:r>
          </w:p>
        </w:tc>
      </w:tr>
    </w:tbl>
    <w:p w14:paraId="5B4D84E9" w14:textId="77777777" w:rsidR="00587444" w:rsidRPr="00587444" w:rsidRDefault="00587444" w:rsidP="00587444">
      <w:pPr>
        <w:suppressAutoHyphens w:val="0"/>
        <w:autoSpaceDN/>
        <w:jc w:val="both"/>
        <w:rPr>
          <w:rFonts w:ascii="Arial" w:hAnsi="Arial" w:cs="Arial"/>
          <w:b/>
          <w:bCs/>
          <w:sz w:val="20"/>
          <w:szCs w:val="20"/>
          <w:lang w:val="en-GB"/>
        </w:rPr>
      </w:pPr>
    </w:p>
    <w:p w14:paraId="47F0B4F6" w14:textId="77777777" w:rsidR="00587444" w:rsidRPr="00587444" w:rsidRDefault="00587444" w:rsidP="00587444">
      <w:pPr>
        <w:suppressAutoHyphens w:val="0"/>
        <w:autoSpaceDN/>
        <w:jc w:val="both"/>
        <w:rPr>
          <w:rFonts w:ascii="Arial" w:hAnsi="Arial" w:cs="Arial"/>
          <w:b/>
          <w:bCs/>
          <w:sz w:val="20"/>
          <w:szCs w:val="20"/>
          <w:lang w:val="en-GB"/>
        </w:rPr>
      </w:pPr>
    </w:p>
    <w:p w14:paraId="785B24CB" w14:textId="77777777" w:rsidR="00587444" w:rsidRPr="00587444" w:rsidRDefault="00587444" w:rsidP="00587444">
      <w:pPr>
        <w:suppressAutoHyphens w:val="0"/>
        <w:autoSpaceDN/>
        <w:jc w:val="both"/>
        <w:rPr>
          <w:rFonts w:ascii="Arial" w:hAnsi="Arial" w:cs="Arial"/>
          <w:b/>
          <w:bCs/>
          <w:sz w:val="20"/>
          <w:szCs w:val="20"/>
          <w:lang w:val="en-GB"/>
        </w:rPr>
      </w:pPr>
    </w:p>
    <w:p w14:paraId="5B9F815F" w14:textId="77777777" w:rsidR="00587444" w:rsidRPr="00587444" w:rsidRDefault="00587444" w:rsidP="00587444">
      <w:pPr>
        <w:suppressAutoHyphens w:val="0"/>
        <w:autoSpaceDN/>
        <w:jc w:val="both"/>
        <w:rPr>
          <w:rFonts w:ascii="Arial" w:hAnsi="Arial" w:cs="Arial"/>
          <w:b/>
          <w:bCs/>
          <w:sz w:val="20"/>
          <w:szCs w:val="20"/>
          <w:lang w:val="en-GB"/>
        </w:rPr>
      </w:pPr>
    </w:p>
    <w:p w14:paraId="1132FCA5"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D69E7">
          <w:pgSz w:w="11907" w:h="16840" w:code="9"/>
          <w:pgMar w:top="1418" w:right="1134" w:bottom="1134" w:left="1418" w:header="851" w:footer="851" w:gutter="0"/>
          <w:cols w:space="720"/>
          <w:noEndnote/>
        </w:sectPr>
      </w:pPr>
    </w:p>
    <w:p w14:paraId="6C130554" w14:textId="77777777" w:rsidR="00587444" w:rsidRPr="00587444" w:rsidRDefault="00587444" w:rsidP="00587444">
      <w:pPr>
        <w:suppressAutoHyphens w:val="0"/>
        <w:autoSpaceDN/>
        <w:jc w:val="both"/>
        <w:rPr>
          <w:rFonts w:ascii="Arial" w:hAnsi="Arial" w:cs="Arial"/>
          <w:b/>
          <w:bCs/>
          <w:sz w:val="20"/>
          <w:szCs w:val="20"/>
          <w:lang w:val="en-GB"/>
        </w:rPr>
      </w:pPr>
    </w:p>
    <w:p w14:paraId="30C05AFB"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E6F2593" w14:textId="77777777" w:rsidR="00587444" w:rsidRPr="00587444" w:rsidRDefault="00587444" w:rsidP="00587444">
      <w:pPr>
        <w:suppressAutoHyphens w:val="0"/>
        <w:autoSpaceDN/>
        <w:jc w:val="both"/>
        <w:rPr>
          <w:rFonts w:ascii="Arial" w:hAnsi="Arial" w:cs="Arial"/>
          <w:b/>
          <w:sz w:val="20"/>
          <w:szCs w:val="20"/>
          <w:lang w:val="en-GB"/>
        </w:rPr>
      </w:pPr>
    </w:p>
    <w:p w14:paraId="690162CC"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538299D" w14:textId="77777777" w:rsidR="00587444" w:rsidRPr="00587444" w:rsidRDefault="00587444" w:rsidP="00587444">
      <w:pPr>
        <w:suppressAutoHyphens w:val="0"/>
        <w:autoSpaceDN/>
        <w:jc w:val="both"/>
        <w:rPr>
          <w:rFonts w:ascii="Arial" w:hAnsi="Arial" w:cs="Arial"/>
          <w:b/>
          <w:bCs/>
          <w:i/>
          <w:sz w:val="20"/>
          <w:szCs w:val="20"/>
          <w:lang w:val="en-GB"/>
        </w:rPr>
      </w:pPr>
    </w:p>
    <w:p w14:paraId="06A14F65" w14:textId="77777777" w:rsidR="00587444" w:rsidRPr="00587444" w:rsidRDefault="00587444">
      <w:pPr>
        <w:numPr>
          <w:ilvl w:val="8"/>
          <w:numId w:val="63"/>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756F83C5" w14:textId="77777777" w:rsidR="00587444" w:rsidRPr="00587444" w:rsidRDefault="00587444" w:rsidP="00587444">
      <w:pPr>
        <w:suppressAutoHyphens w:val="0"/>
        <w:autoSpaceDN/>
        <w:jc w:val="both"/>
        <w:rPr>
          <w:rFonts w:ascii="Arial" w:hAnsi="Arial" w:cs="Arial"/>
          <w:b/>
          <w:bCs/>
          <w:sz w:val="20"/>
          <w:szCs w:val="20"/>
          <w:lang w:val="en-GB"/>
        </w:rPr>
      </w:pPr>
    </w:p>
    <w:p w14:paraId="521F119B"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Loans to financial institutions</w:t>
      </w:r>
    </w:p>
    <w:p w14:paraId="0CF336A9"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25"/>
        <w:tblW w:w="4990" w:type="pct"/>
        <w:tblLayout w:type="fixed"/>
        <w:tblLook w:val="0000" w:firstRow="0" w:lastRow="0" w:firstColumn="0" w:lastColumn="0" w:noHBand="0" w:noVBand="0"/>
      </w:tblPr>
      <w:tblGrid>
        <w:gridCol w:w="4214"/>
        <w:gridCol w:w="1066"/>
        <w:gridCol w:w="1066"/>
        <w:gridCol w:w="1068"/>
        <w:gridCol w:w="1066"/>
        <w:gridCol w:w="1072"/>
      </w:tblGrid>
      <w:tr w:rsidR="00587444" w:rsidRPr="00587444" w14:paraId="4E6954F4" w14:textId="77777777" w:rsidTr="00DD69E7">
        <w:trPr>
          <w:trHeight w:val="44"/>
        </w:trPr>
        <w:tc>
          <w:tcPr>
            <w:tcW w:w="2206" w:type="pct"/>
          </w:tcPr>
          <w:p w14:paraId="6984B294" w14:textId="77777777" w:rsidR="00587444" w:rsidRPr="00587444" w:rsidRDefault="00587444" w:rsidP="00587444">
            <w:pPr>
              <w:suppressAutoHyphens w:val="0"/>
              <w:autoSpaceDN/>
              <w:rPr>
                <w:rFonts w:ascii="Arial" w:eastAsia="Calibri" w:hAnsi="Arial" w:cs="Arial"/>
                <w:b/>
                <w:bCs/>
                <w:sz w:val="18"/>
                <w:szCs w:val="18"/>
                <w:lang w:val="en-GB"/>
              </w:rPr>
            </w:pPr>
            <w:bookmarkStart w:id="1151" w:name="_Hlk97805825"/>
            <w:r w:rsidRPr="00587444">
              <w:rPr>
                <w:rFonts w:ascii="Arial" w:eastAsia="Calibri" w:hAnsi="Arial" w:cs="Arial"/>
                <w:b/>
                <w:bCs/>
                <w:sz w:val="18"/>
                <w:szCs w:val="18"/>
                <w:lang w:val="en-GB"/>
              </w:rPr>
              <w:t>Group and Bank</w:t>
            </w:r>
          </w:p>
        </w:tc>
        <w:tc>
          <w:tcPr>
            <w:tcW w:w="2794" w:type="pct"/>
            <w:gridSpan w:val="5"/>
            <w:vAlign w:val="bottom"/>
          </w:tcPr>
          <w:p w14:paraId="22C3D905"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7BBB688F" w14:textId="77777777" w:rsidTr="00DD69E7">
        <w:trPr>
          <w:trHeight w:val="44"/>
        </w:trPr>
        <w:tc>
          <w:tcPr>
            <w:tcW w:w="2206" w:type="pct"/>
          </w:tcPr>
          <w:p w14:paraId="39ED0110"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2022</w:t>
            </w:r>
          </w:p>
        </w:tc>
        <w:tc>
          <w:tcPr>
            <w:tcW w:w="558" w:type="pct"/>
            <w:vAlign w:val="bottom"/>
          </w:tcPr>
          <w:p w14:paraId="544E964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558" w:type="pct"/>
            <w:vAlign w:val="bottom"/>
          </w:tcPr>
          <w:p w14:paraId="65E82F5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559" w:type="pct"/>
            <w:vAlign w:val="bottom"/>
          </w:tcPr>
          <w:p w14:paraId="176CAE4B"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558" w:type="pct"/>
            <w:vAlign w:val="bottom"/>
          </w:tcPr>
          <w:p w14:paraId="3F6721A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561" w:type="pct"/>
            <w:vAlign w:val="bottom"/>
          </w:tcPr>
          <w:p w14:paraId="7281E1A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054B8790" w14:textId="77777777" w:rsidTr="00DD69E7">
        <w:trPr>
          <w:trHeight w:val="44"/>
        </w:trPr>
        <w:tc>
          <w:tcPr>
            <w:tcW w:w="2206" w:type="pct"/>
          </w:tcPr>
          <w:p w14:paraId="5FA73780" w14:textId="77777777" w:rsidR="00587444" w:rsidRPr="00587444" w:rsidRDefault="00587444" w:rsidP="00587444">
            <w:pPr>
              <w:suppressAutoHyphens w:val="0"/>
              <w:autoSpaceDN/>
              <w:rPr>
                <w:rFonts w:ascii="Arial" w:eastAsia="Calibri" w:hAnsi="Arial" w:cs="Arial"/>
                <w:b/>
                <w:bCs/>
                <w:sz w:val="18"/>
                <w:szCs w:val="18"/>
                <w:lang w:val="en-GB"/>
              </w:rPr>
            </w:pPr>
          </w:p>
        </w:tc>
        <w:tc>
          <w:tcPr>
            <w:tcW w:w="558" w:type="pct"/>
          </w:tcPr>
          <w:p w14:paraId="2D090597"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558" w:type="pct"/>
          </w:tcPr>
          <w:p w14:paraId="4E282E6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559" w:type="pct"/>
          </w:tcPr>
          <w:p w14:paraId="7688CFE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558" w:type="pct"/>
          </w:tcPr>
          <w:p w14:paraId="799CAA6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561" w:type="pct"/>
          </w:tcPr>
          <w:p w14:paraId="0A4146F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659BC96F" w14:textId="77777777" w:rsidTr="00DD69E7">
        <w:trPr>
          <w:trHeight w:hRule="exact" w:val="116"/>
        </w:trPr>
        <w:tc>
          <w:tcPr>
            <w:tcW w:w="2206" w:type="pct"/>
          </w:tcPr>
          <w:p w14:paraId="3D9C4407" w14:textId="77777777" w:rsidR="00587444" w:rsidRPr="00587444" w:rsidRDefault="00587444" w:rsidP="00587444">
            <w:pPr>
              <w:suppressAutoHyphens w:val="0"/>
              <w:autoSpaceDN/>
              <w:rPr>
                <w:rFonts w:ascii="Arial" w:eastAsia="Calibri" w:hAnsi="Arial" w:cs="Arial"/>
                <w:b/>
                <w:bCs/>
                <w:sz w:val="18"/>
                <w:szCs w:val="18"/>
                <w:lang w:val="en-GB"/>
              </w:rPr>
            </w:pPr>
          </w:p>
        </w:tc>
        <w:tc>
          <w:tcPr>
            <w:tcW w:w="558" w:type="pct"/>
          </w:tcPr>
          <w:p w14:paraId="2EEA9A89"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558" w:type="pct"/>
          </w:tcPr>
          <w:p w14:paraId="79373303"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559" w:type="pct"/>
          </w:tcPr>
          <w:p w14:paraId="55ACF199"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558" w:type="pct"/>
          </w:tcPr>
          <w:p w14:paraId="66BD6FFE"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561" w:type="pct"/>
          </w:tcPr>
          <w:p w14:paraId="0C7E5551"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4C4A9C5C" w14:textId="77777777" w:rsidTr="00DD69E7">
        <w:trPr>
          <w:trHeight w:val="164"/>
        </w:trPr>
        <w:tc>
          <w:tcPr>
            <w:tcW w:w="2206" w:type="pct"/>
            <w:vAlign w:val="bottom"/>
          </w:tcPr>
          <w:p w14:paraId="248B8C54"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2022</w:t>
            </w:r>
          </w:p>
        </w:tc>
        <w:tc>
          <w:tcPr>
            <w:tcW w:w="558" w:type="pct"/>
            <w:tcBorders>
              <w:top w:val="nil"/>
              <w:left w:val="nil"/>
              <w:bottom w:val="nil"/>
              <w:right w:val="nil"/>
            </w:tcBorders>
            <w:shd w:val="clear" w:color="auto" w:fill="auto"/>
            <w:vAlign w:val="bottom"/>
          </w:tcPr>
          <w:p w14:paraId="189346AA"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29,554 </w:t>
            </w:r>
          </w:p>
        </w:tc>
        <w:tc>
          <w:tcPr>
            <w:tcW w:w="558" w:type="pct"/>
            <w:tcBorders>
              <w:top w:val="nil"/>
              <w:left w:val="nil"/>
              <w:bottom w:val="nil"/>
              <w:right w:val="nil"/>
            </w:tcBorders>
            <w:shd w:val="clear" w:color="auto" w:fill="auto"/>
            <w:vAlign w:val="bottom"/>
          </w:tcPr>
          <w:p w14:paraId="650A9A8F"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23,184 </w:t>
            </w:r>
          </w:p>
        </w:tc>
        <w:tc>
          <w:tcPr>
            <w:tcW w:w="559" w:type="pct"/>
            <w:tcBorders>
              <w:top w:val="nil"/>
              <w:left w:val="nil"/>
              <w:bottom w:val="nil"/>
              <w:right w:val="nil"/>
            </w:tcBorders>
            <w:shd w:val="clear" w:color="auto" w:fill="auto"/>
            <w:vAlign w:val="bottom"/>
          </w:tcPr>
          <w:p w14:paraId="62D83FA1"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6,162 </w:t>
            </w:r>
          </w:p>
        </w:tc>
        <w:tc>
          <w:tcPr>
            <w:tcW w:w="558" w:type="pct"/>
            <w:tcBorders>
              <w:top w:val="nil"/>
              <w:left w:val="nil"/>
              <w:bottom w:val="nil"/>
              <w:right w:val="nil"/>
            </w:tcBorders>
            <w:shd w:val="clear" w:color="auto" w:fill="auto"/>
            <w:vAlign w:val="bottom"/>
          </w:tcPr>
          <w:p w14:paraId="1D0E01F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61" w:type="pct"/>
            <w:tcBorders>
              <w:top w:val="nil"/>
              <w:left w:val="nil"/>
              <w:bottom w:val="nil"/>
              <w:right w:val="nil"/>
            </w:tcBorders>
            <w:shd w:val="clear" w:color="auto" w:fill="auto"/>
            <w:vAlign w:val="bottom"/>
          </w:tcPr>
          <w:p w14:paraId="3D6E51F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58,900 </w:t>
            </w:r>
          </w:p>
        </w:tc>
      </w:tr>
      <w:tr w:rsidR="00587444" w:rsidRPr="00587444" w14:paraId="4FEAC257" w14:textId="77777777" w:rsidTr="00DD69E7">
        <w:trPr>
          <w:trHeight w:val="164"/>
        </w:trPr>
        <w:tc>
          <w:tcPr>
            <w:tcW w:w="2206" w:type="pct"/>
          </w:tcPr>
          <w:p w14:paraId="655D6164"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558" w:type="pct"/>
            <w:tcBorders>
              <w:top w:val="nil"/>
              <w:left w:val="nil"/>
              <w:bottom w:val="nil"/>
              <w:right w:val="nil"/>
            </w:tcBorders>
            <w:shd w:val="clear" w:color="auto" w:fill="auto"/>
            <w:vAlign w:val="bottom"/>
          </w:tcPr>
          <w:p w14:paraId="4A6E2FB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134 </w:t>
            </w:r>
          </w:p>
        </w:tc>
        <w:tc>
          <w:tcPr>
            <w:tcW w:w="558" w:type="pct"/>
            <w:tcBorders>
              <w:top w:val="nil"/>
              <w:left w:val="nil"/>
              <w:bottom w:val="nil"/>
              <w:right w:val="nil"/>
            </w:tcBorders>
            <w:shd w:val="clear" w:color="auto" w:fill="auto"/>
            <w:vAlign w:val="bottom"/>
          </w:tcPr>
          <w:p w14:paraId="00295906"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(134)</w:t>
            </w:r>
          </w:p>
        </w:tc>
        <w:tc>
          <w:tcPr>
            <w:tcW w:w="559" w:type="pct"/>
            <w:tcBorders>
              <w:top w:val="nil"/>
              <w:left w:val="nil"/>
              <w:bottom w:val="nil"/>
              <w:right w:val="nil"/>
            </w:tcBorders>
            <w:shd w:val="clear" w:color="auto" w:fill="auto"/>
            <w:vAlign w:val="bottom"/>
          </w:tcPr>
          <w:p w14:paraId="4D48F0FA" w14:textId="77777777" w:rsidR="00587444" w:rsidRPr="00587444" w:rsidRDefault="00587444" w:rsidP="00587444">
            <w:pPr>
              <w:suppressAutoHyphens w:val="0"/>
              <w:autoSpaceDN/>
              <w:jc w:val="right"/>
              <w:rPr>
                <w:rFonts w:ascii="Arial" w:eastAsia="Calibri" w:hAnsi="Arial" w:cs="Arial"/>
                <w:sz w:val="18"/>
                <w:szCs w:val="18"/>
                <w:lang w:val="en-GB"/>
              </w:rPr>
            </w:pPr>
          </w:p>
        </w:tc>
        <w:tc>
          <w:tcPr>
            <w:tcW w:w="558" w:type="pct"/>
            <w:tcBorders>
              <w:top w:val="nil"/>
              <w:left w:val="nil"/>
              <w:bottom w:val="nil"/>
              <w:right w:val="nil"/>
            </w:tcBorders>
            <w:shd w:val="clear" w:color="auto" w:fill="auto"/>
            <w:vAlign w:val="bottom"/>
          </w:tcPr>
          <w:p w14:paraId="025190B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61" w:type="pct"/>
            <w:tcBorders>
              <w:top w:val="nil"/>
              <w:left w:val="nil"/>
              <w:bottom w:val="nil"/>
              <w:right w:val="nil"/>
            </w:tcBorders>
            <w:shd w:val="clear" w:color="auto" w:fill="auto"/>
            <w:vAlign w:val="bottom"/>
          </w:tcPr>
          <w:p w14:paraId="0E28D7C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r>
      <w:tr w:rsidR="00587444" w:rsidRPr="00587444" w14:paraId="112A0952" w14:textId="77777777" w:rsidTr="00DD69E7">
        <w:trPr>
          <w:trHeight w:val="164"/>
        </w:trPr>
        <w:tc>
          <w:tcPr>
            <w:tcW w:w="2206" w:type="pct"/>
          </w:tcPr>
          <w:p w14:paraId="7C2E544D"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558" w:type="pct"/>
            <w:tcBorders>
              <w:top w:val="nil"/>
              <w:left w:val="nil"/>
              <w:bottom w:val="nil"/>
              <w:right w:val="nil"/>
            </w:tcBorders>
            <w:shd w:val="clear" w:color="auto" w:fill="auto"/>
            <w:vAlign w:val="bottom"/>
          </w:tcPr>
          <w:p w14:paraId="1864FFD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(1,916)</w:t>
            </w:r>
          </w:p>
        </w:tc>
        <w:tc>
          <w:tcPr>
            <w:tcW w:w="558" w:type="pct"/>
            <w:tcBorders>
              <w:top w:val="nil"/>
              <w:left w:val="nil"/>
              <w:bottom w:val="nil"/>
              <w:right w:val="nil"/>
            </w:tcBorders>
            <w:shd w:val="clear" w:color="auto" w:fill="auto"/>
            <w:vAlign w:val="bottom"/>
          </w:tcPr>
          <w:p w14:paraId="75B89EB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1,916 </w:t>
            </w:r>
          </w:p>
        </w:tc>
        <w:tc>
          <w:tcPr>
            <w:tcW w:w="559" w:type="pct"/>
            <w:tcBorders>
              <w:top w:val="nil"/>
              <w:left w:val="nil"/>
              <w:bottom w:val="nil"/>
              <w:right w:val="nil"/>
            </w:tcBorders>
            <w:shd w:val="clear" w:color="auto" w:fill="auto"/>
            <w:vAlign w:val="bottom"/>
          </w:tcPr>
          <w:p w14:paraId="46ADE61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58" w:type="pct"/>
            <w:tcBorders>
              <w:top w:val="nil"/>
              <w:left w:val="nil"/>
              <w:bottom w:val="nil"/>
              <w:right w:val="nil"/>
            </w:tcBorders>
            <w:shd w:val="clear" w:color="auto" w:fill="auto"/>
            <w:vAlign w:val="bottom"/>
          </w:tcPr>
          <w:p w14:paraId="1860D3E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61" w:type="pct"/>
            <w:tcBorders>
              <w:top w:val="nil"/>
              <w:left w:val="nil"/>
              <w:bottom w:val="nil"/>
              <w:right w:val="nil"/>
            </w:tcBorders>
            <w:shd w:val="clear" w:color="auto" w:fill="auto"/>
            <w:vAlign w:val="bottom"/>
          </w:tcPr>
          <w:p w14:paraId="55AE0CB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r>
      <w:tr w:rsidR="00587444" w:rsidRPr="00587444" w14:paraId="7A7D7727" w14:textId="77777777" w:rsidTr="00DD69E7">
        <w:trPr>
          <w:trHeight w:val="164"/>
        </w:trPr>
        <w:tc>
          <w:tcPr>
            <w:tcW w:w="2206" w:type="pct"/>
          </w:tcPr>
          <w:p w14:paraId="14B43D8C"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558" w:type="pct"/>
            <w:tcBorders>
              <w:top w:val="nil"/>
              <w:left w:val="nil"/>
              <w:bottom w:val="nil"/>
              <w:right w:val="nil"/>
            </w:tcBorders>
            <w:shd w:val="clear" w:color="auto" w:fill="auto"/>
            <w:vAlign w:val="bottom"/>
          </w:tcPr>
          <w:p w14:paraId="61A9E48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58" w:type="pct"/>
            <w:tcBorders>
              <w:top w:val="nil"/>
              <w:left w:val="nil"/>
              <w:bottom w:val="nil"/>
              <w:right w:val="nil"/>
            </w:tcBorders>
            <w:shd w:val="clear" w:color="auto" w:fill="auto"/>
            <w:vAlign w:val="bottom"/>
          </w:tcPr>
          <w:p w14:paraId="4DB0B92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59" w:type="pct"/>
            <w:tcBorders>
              <w:top w:val="nil"/>
              <w:left w:val="nil"/>
              <w:bottom w:val="nil"/>
              <w:right w:val="nil"/>
            </w:tcBorders>
            <w:shd w:val="clear" w:color="auto" w:fill="auto"/>
            <w:vAlign w:val="bottom"/>
          </w:tcPr>
          <w:p w14:paraId="0FBBEA2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58" w:type="pct"/>
            <w:tcBorders>
              <w:top w:val="nil"/>
              <w:left w:val="nil"/>
              <w:bottom w:val="nil"/>
              <w:right w:val="nil"/>
            </w:tcBorders>
            <w:shd w:val="clear" w:color="auto" w:fill="auto"/>
            <w:vAlign w:val="bottom"/>
          </w:tcPr>
          <w:p w14:paraId="3712C3F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61" w:type="pct"/>
            <w:tcBorders>
              <w:top w:val="nil"/>
              <w:left w:val="nil"/>
              <w:bottom w:val="nil"/>
              <w:right w:val="nil"/>
            </w:tcBorders>
            <w:shd w:val="clear" w:color="auto" w:fill="auto"/>
            <w:vAlign w:val="bottom"/>
          </w:tcPr>
          <w:p w14:paraId="65F4C6DA"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r>
      <w:tr w:rsidR="00587444" w:rsidRPr="00587444" w14:paraId="7AFECDE5" w14:textId="77777777" w:rsidTr="00DD69E7">
        <w:trPr>
          <w:trHeight w:val="164"/>
        </w:trPr>
        <w:tc>
          <w:tcPr>
            <w:tcW w:w="2206" w:type="pct"/>
            <w:vAlign w:val="bottom"/>
          </w:tcPr>
          <w:p w14:paraId="3A510AD4"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(release)/increase of loss allowance</w:t>
            </w:r>
          </w:p>
        </w:tc>
        <w:tc>
          <w:tcPr>
            <w:tcW w:w="558" w:type="pct"/>
            <w:tcBorders>
              <w:top w:val="nil"/>
              <w:left w:val="nil"/>
              <w:bottom w:val="nil"/>
              <w:right w:val="nil"/>
            </w:tcBorders>
            <w:shd w:val="clear" w:color="auto" w:fill="auto"/>
            <w:vAlign w:val="bottom"/>
          </w:tcPr>
          <w:p w14:paraId="52194400"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(1,110)</w:t>
            </w:r>
          </w:p>
        </w:tc>
        <w:tc>
          <w:tcPr>
            <w:tcW w:w="558" w:type="pct"/>
            <w:tcBorders>
              <w:top w:val="nil"/>
              <w:left w:val="nil"/>
              <w:bottom w:val="nil"/>
              <w:right w:val="nil"/>
            </w:tcBorders>
            <w:shd w:val="clear" w:color="auto" w:fill="auto"/>
            <w:vAlign w:val="bottom"/>
          </w:tcPr>
          <w:p w14:paraId="2E529DCD"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2,403 </w:t>
            </w:r>
          </w:p>
        </w:tc>
        <w:tc>
          <w:tcPr>
            <w:tcW w:w="559" w:type="pct"/>
            <w:tcBorders>
              <w:top w:val="nil"/>
              <w:left w:val="nil"/>
              <w:bottom w:val="nil"/>
              <w:right w:val="nil"/>
            </w:tcBorders>
            <w:shd w:val="clear" w:color="auto" w:fill="auto"/>
            <w:vAlign w:val="bottom"/>
          </w:tcPr>
          <w:p w14:paraId="327C873B"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613 </w:t>
            </w:r>
          </w:p>
        </w:tc>
        <w:tc>
          <w:tcPr>
            <w:tcW w:w="558" w:type="pct"/>
            <w:tcBorders>
              <w:top w:val="nil"/>
              <w:left w:val="nil"/>
              <w:bottom w:val="nil"/>
              <w:right w:val="nil"/>
            </w:tcBorders>
            <w:shd w:val="clear" w:color="auto" w:fill="auto"/>
            <w:vAlign w:val="bottom"/>
          </w:tcPr>
          <w:p w14:paraId="6E5CC064"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561" w:type="pct"/>
            <w:tcBorders>
              <w:top w:val="nil"/>
              <w:left w:val="nil"/>
              <w:bottom w:val="nil"/>
              <w:right w:val="nil"/>
            </w:tcBorders>
            <w:shd w:val="clear" w:color="auto" w:fill="auto"/>
            <w:vAlign w:val="bottom"/>
          </w:tcPr>
          <w:p w14:paraId="774DB3FC"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1,906 </w:t>
            </w:r>
          </w:p>
        </w:tc>
      </w:tr>
      <w:tr w:rsidR="00587444" w:rsidRPr="00587444" w14:paraId="457570FD" w14:textId="77777777" w:rsidTr="00DD69E7">
        <w:trPr>
          <w:trHeight w:val="164"/>
        </w:trPr>
        <w:tc>
          <w:tcPr>
            <w:tcW w:w="2206" w:type="pct"/>
            <w:vAlign w:val="bottom"/>
          </w:tcPr>
          <w:p w14:paraId="1C2DB411"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Unwinding – changes due to the lapse of time</w:t>
            </w:r>
          </w:p>
        </w:tc>
        <w:tc>
          <w:tcPr>
            <w:tcW w:w="558" w:type="pct"/>
            <w:tcBorders>
              <w:top w:val="nil"/>
              <w:left w:val="nil"/>
              <w:bottom w:val="nil"/>
              <w:right w:val="nil"/>
            </w:tcBorders>
            <w:shd w:val="clear" w:color="auto" w:fill="auto"/>
            <w:vAlign w:val="bottom"/>
          </w:tcPr>
          <w:p w14:paraId="2061BCFB" w14:textId="77777777" w:rsidR="00587444" w:rsidRPr="00587444" w:rsidRDefault="00587444" w:rsidP="00587444">
            <w:pPr>
              <w:suppressAutoHyphens w:val="0"/>
              <w:autoSpaceDN/>
              <w:jc w:val="right"/>
              <w:rPr>
                <w:rFonts w:ascii="Arial" w:eastAsia="Calibri" w:hAnsi="Arial" w:cs="Arial"/>
                <w:color w:val="000000"/>
                <w:sz w:val="18"/>
                <w:szCs w:val="18"/>
                <w:lang w:val="hr-HR"/>
              </w:rPr>
            </w:pPr>
          </w:p>
        </w:tc>
        <w:tc>
          <w:tcPr>
            <w:tcW w:w="558" w:type="pct"/>
            <w:tcBorders>
              <w:top w:val="nil"/>
              <w:left w:val="nil"/>
              <w:bottom w:val="nil"/>
              <w:right w:val="nil"/>
            </w:tcBorders>
            <w:shd w:val="clear" w:color="auto" w:fill="auto"/>
            <w:vAlign w:val="bottom"/>
          </w:tcPr>
          <w:p w14:paraId="609BA3A0"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559" w:type="pct"/>
            <w:tcBorders>
              <w:top w:val="nil"/>
              <w:left w:val="nil"/>
              <w:bottom w:val="nil"/>
              <w:right w:val="nil"/>
            </w:tcBorders>
            <w:shd w:val="clear" w:color="auto" w:fill="auto"/>
            <w:vAlign w:val="bottom"/>
          </w:tcPr>
          <w:p w14:paraId="4DE1250A"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(5)</w:t>
            </w:r>
          </w:p>
        </w:tc>
        <w:tc>
          <w:tcPr>
            <w:tcW w:w="558" w:type="pct"/>
            <w:tcBorders>
              <w:top w:val="nil"/>
              <w:left w:val="nil"/>
              <w:bottom w:val="nil"/>
              <w:right w:val="nil"/>
            </w:tcBorders>
            <w:shd w:val="clear" w:color="auto" w:fill="auto"/>
            <w:vAlign w:val="bottom"/>
          </w:tcPr>
          <w:p w14:paraId="5156CA65"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561" w:type="pct"/>
            <w:tcBorders>
              <w:top w:val="nil"/>
              <w:left w:val="nil"/>
              <w:bottom w:val="nil"/>
              <w:right w:val="nil"/>
            </w:tcBorders>
            <w:shd w:val="clear" w:color="auto" w:fill="auto"/>
            <w:vAlign w:val="bottom"/>
          </w:tcPr>
          <w:p w14:paraId="099F75C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(5)</w:t>
            </w:r>
          </w:p>
        </w:tc>
      </w:tr>
      <w:tr w:rsidR="00587444" w:rsidRPr="00587444" w14:paraId="48CE3D48" w14:textId="77777777" w:rsidTr="00DD69E7">
        <w:trPr>
          <w:trHeight w:val="164"/>
        </w:trPr>
        <w:tc>
          <w:tcPr>
            <w:tcW w:w="2206" w:type="pct"/>
            <w:vAlign w:val="bottom"/>
          </w:tcPr>
          <w:p w14:paraId="457C67C3"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w:t>
            </w:r>
            <w:r w:rsidRPr="00587444">
              <w:rPr>
                <w:rFonts w:ascii="Arial" w:hAnsi="Arial" w:cs="Arial"/>
                <w:sz w:val="18"/>
                <w:szCs w:val="18"/>
                <w:lang w:val="en-GB"/>
              </w:rPr>
              <w:t xml:space="preserve"> </w:t>
            </w:r>
            <w:r w:rsidRPr="00587444">
              <w:rPr>
                <w:rFonts w:ascii="Arial" w:eastAsia="Calibri" w:hAnsi="Arial" w:cs="Arial"/>
                <w:sz w:val="18"/>
                <w:szCs w:val="18"/>
                <w:lang w:val="en-GB"/>
              </w:rPr>
              <w:t xml:space="preserve">loss allowances </w:t>
            </w:r>
          </w:p>
        </w:tc>
        <w:tc>
          <w:tcPr>
            <w:tcW w:w="558" w:type="pct"/>
            <w:tcBorders>
              <w:top w:val="nil"/>
              <w:left w:val="nil"/>
              <w:bottom w:val="single" w:sz="8" w:space="0" w:color="auto"/>
              <w:right w:val="nil"/>
            </w:tcBorders>
            <w:shd w:val="clear" w:color="auto" w:fill="auto"/>
            <w:vAlign w:val="bottom"/>
          </w:tcPr>
          <w:p w14:paraId="50A5731D"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37 </w:t>
            </w:r>
          </w:p>
        </w:tc>
        <w:tc>
          <w:tcPr>
            <w:tcW w:w="558" w:type="pct"/>
            <w:tcBorders>
              <w:top w:val="nil"/>
              <w:left w:val="nil"/>
              <w:bottom w:val="single" w:sz="8" w:space="0" w:color="auto"/>
              <w:right w:val="nil"/>
            </w:tcBorders>
            <w:shd w:val="clear" w:color="auto" w:fill="auto"/>
            <w:vAlign w:val="bottom"/>
          </w:tcPr>
          <w:p w14:paraId="763E001D"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21 </w:t>
            </w:r>
          </w:p>
        </w:tc>
        <w:tc>
          <w:tcPr>
            <w:tcW w:w="559" w:type="pct"/>
            <w:tcBorders>
              <w:top w:val="nil"/>
              <w:left w:val="nil"/>
              <w:bottom w:val="single" w:sz="8" w:space="0" w:color="auto"/>
              <w:right w:val="nil"/>
            </w:tcBorders>
            <w:shd w:val="clear" w:color="auto" w:fill="auto"/>
            <w:vAlign w:val="bottom"/>
          </w:tcPr>
          <w:p w14:paraId="43975DE8"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3 </w:t>
            </w:r>
          </w:p>
        </w:tc>
        <w:tc>
          <w:tcPr>
            <w:tcW w:w="558" w:type="pct"/>
            <w:tcBorders>
              <w:top w:val="nil"/>
              <w:left w:val="nil"/>
              <w:bottom w:val="single" w:sz="8" w:space="0" w:color="auto"/>
              <w:right w:val="nil"/>
            </w:tcBorders>
            <w:shd w:val="clear" w:color="auto" w:fill="auto"/>
            <w:vAlign w:val="bottom"/>
          </w:tcPr>
          <w:p w14:paraId="20FA7369"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561" w:type="pct"/>
            <w:tcBorders>
              <w:top w:val="nil"/>
              <w:left w:val="nil"/>
              <w:bottom w:val="single" w:sz="8" w:space="0" w:color="auto"/>
              <w:right w:val="nil"/>
            </w:tcBorders>
            <w:shd w:val="clear" w:color="auto" w:fill="auto"/>
            <w:vAlign w:val="bottom"/>
          </w:tcPr>
          <w:p w14:paraId="432A4CB9"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61 </w:t>
            </w:r>
          </w:p>
        </w:tc>
      </w:tr>
      <w:tr w:rsidR="00587444" w:rsidRPr="00587444" w14:paraId="1B0114DB" w14:textId="77777777" w:rsidTr="00DD69E7">
        <w:trPr>
          <w:trHeight w:val="33"/>
        </w:trPr>
        <w:tc>
          <w:tcPr>
            <w:tcW w:w="2206" w:type="pct"/>
            <w:vAlign w:val="bottom"/>
          </w:tcPr>
          <w:p w14:paraId="2B11D876"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2022</w:t>
            </w:r>
          </w:p>
        </w:tc>
        <w:tc>
          <w:tcPr>
            <w:tcW w:w="558" w:type="pct"/>
            <w:tcBorders>
              <w:top w:val="nil"/>
              <w:left w:val="nil"/>
              <w:bottom w:val="single" w:sz="12" w:space="0" w:color="auto"/>
              <w:right w:val="nil"/>
            </w:tcBorders>
            <w:shd w:val="clear" w:color="auto" w:fill="auto"/>
            <w:vAlign w:val="bottom"/>
          </w:tcPr>
          <w:p w14:paraId="66A9F08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26,699 </w:t>
            </w:r>
          </w:p>
        </w:tc>
        <w:tc>
          <w:tcPr>
            <w:tcW w:w="558" w:type="pct"/>
            <w:tcBorders>
              <w:top w:val="nil"/>
              <w:left w:val="nil"/>
              <w:bottom w:val="single" w:sz="12" w:space="0" w:color="auto"/>
              <w:right w:val="nil"/>
            </w:tcBorders>
            <w:shd w:val="clear" w:color="auto" w:fill="auto"/>
            <w:vAlign w:val="bottom"/>
          </w:tcPr>
          <w:p w14:paraId="207D0D5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27,390 </w:t>
            </w:r>
          </w:p>
        </w:tc>
        <w:tc>
          <w:tcPr>
            <w:tcW w:w="559" w:type="pct"/>
            <w:tcBorders>
              <w:top w:val="nil"/>
              <w:left w:val="nil"/>
              <w:bottom w:val="single" w:sz="12" w:space="0" w:color="auto"/>
              <w:right w:val="nil"/>
            </w:tcBorders>
            <w:shd w:val="clear" w:color="auto" w:fill="auto"/>
            <w:vAlign w:val="bottom"/>
          </w:tcPr>
          <w:p w14:paraId="7876639A"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6,773 </w:t>
            </w:r>
          </w:p>
        </w:tc>
        <w:tc>
          <w:tcPr>
            <w:tcW w:w="558" w:type="pct"/>
            <w:tcBorders>
              <w:top w:val="nil"/>
              <w:left w:val="nil"/>
              <w:bottom w:val="single" w:sz="12" w:space="0" w:color="auto"/>
              <w:right w:val="nil"/>
            </w:tcBorders>
            <w:shd w:val="clear" w:color="auto" w:fill="auto"/>
            <w:vAlign w:val="bottom"/>
          </w:tcPr>
          <w:p w14:paraId="70D7FB56"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 </w:t>
            </w:r>
          </w:p>
        </w:tc>
        <w:tc>
          <w:tcPr>
            <w:tcW w:w="561" w:type="pct"/>
            <w:tcBorders>
              <w:top w:val="nil"/>
              <w:left w:val="nil"/>
              <w:bottom w:val="single" w:sz="12" w:space="0" w:color="auto"/>
              <w:right w:val="nil"/>
            </w:tcBorders>
            <w:shd w:val="clear" w:color="auto" w:fill="auto"/>
            <w:vAlign w:val="bottom"/>
          </w:tcPr>
          <w:p w14:paraId="28D1FDC4"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60,862 </w:t>
            </w:r>
          </w:p>
        </w:tc>
      </w:tr>
      <w:bookmarkEnd w:id="1151"/>
    </w:tbl>
    <w:p w14:paraId="1389E86F" w14:textId="77777777" w:rsidR="00587444" w:rsidRPr="00587444" w:rsidRDefault="00587444" w:rsidP="00587444">
      <w:pPr>
        <w:suppressAutoHyphens w:val="0"/>
        <w:autoSpaceDN/>
        <w:rPr>
          <w:rFonts w:ascii="Arial" w:eastAsia="Calibri" w:hAnsi="Arial" w:cs="Arial"/>
          <w:noProof/>
          <w:sz w:val="20"/>
          <w:szCs w:val="20"/>
          <w:lang w:val="en-GB"/>
        </w:rPr>
      </w:pPr>
    </w:p>
    <w:p w14:paraId="2CA699C1"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25"/>
        <w:tblW w:w="4990" w:type="pct"/>
        <w:tblLayout w:type="fixed"/>
        <w:tblLook w:val="0000" w:firstRow="0" w:lastRow="0" w:firstColumn="0" w:lastColumn="0" w:noHBand="0" w:noVBand="0"/>
      </w:tblPr>
      <w:tblGrid>
        <w:gridCol w:w="4214"/>
        <w:gridCol w:w="1066"/>
        <w:gridCol w:w="1066"/>
        <w:gridCol w:w="1068"/>
        <w:gridCol w:w="1066"/>
        <w:gridCol w:w="1072"/>
      </w:tblGrid>
      <w:tr w:rsidR="00587444" w:rsidRPr="00587444" w14:paraId="5A948DA7" w14:textId="77777777" w:rsidTr="00DD69E7">
        <w:trPr>
          <w:trHeight w:val="44"/>
        </w:trPr>
        <w:tc>
          <w:tcPr>
            <w:tcW w:w="2206" w:type="pct"/>
          </w:tcPr>
          <w:p w14:paraId="0E655A22"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Group and Bank</w:t>
            </w:r>
          </w:p>
        </w:tc>
        <w:tc>
          <w:tcPr>
            <w:tcW w:w="2794" w:type="pct"/>
            <w:gridSpan w:val="5"/>
            <w:vAlign w:val="bottom"/>
          </w:tcPr>
          <w:p w14:paraId="613F75BC"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4CA6D496" w14:textId="77777777" w:rsidTr="00DD69E7">
        <w:trPr>
          <w:trHeight w:val="44"/>
        </w:trPr>
        <w:tc>
          <w:tcPr>
            <w:tcW w:w="2206" w:type="pct"/>
          </w:tcPr>
          <w:p w14:paraId="100B3023"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2021</w:t>
            </w:r>
          </w:p>
        </w:tc>
        <w:tc>
          <w:tcPr>
            <w:tcW w:w="558" w:type="pct"/>
            <w:vAlign w:val="bottom"/>
          </w:tcPr>
          <w:p w14:paraId="18427AD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558" w:type="pct"/>
            <w:vAlign w:val="bottom"/>
          </w:tcPr>
          <w:p w14:paraId="496F78E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559" w:type="pct"/>
            <w:vAlign w:val="bottom"/>
          </w:tcPr>
          <w:p w14:paraId="547EE86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558" w:type="pct"/>
            <w:vAlign w:val="bottom"/>
          </w:tcPr>
          <w:p w14:paraId="23A5814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561" w:type="pct"/>
            <w:vAlign w:val="bottom"/>
          </w:tcPr>
          <w:p w14:paraId="1F5CF81B"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675B0C29" w14:textId="77777777" w:rsidTr="00DD69E7">
        <w:trPr>
          <w:trHeight w:val="44"/>
        </w:trPr>
        <w:tc>
          <w:tcPr>
            <w:tcW w:w="2206" w:type="pct"/>
          </w:tcPr>
          <w:p w14:paraId="373661D9" w14:textId="77777777" w:rsidR="00587444" w:rsidRPr="00587444" w:rsidRDefault="00587444" w:rsidP="00587444">
            <w:pPr>
              <w:suppressAutoHyphens w:val="0"/>
              <w:autoSpaceDN/>
              <w:rPr>
                <w:rFonts w:ascii="Arial" w:eastAsia="Calibri" w:hAnsi="Arial" w:cs="Arial"/>
                <w:b/>
                <w:bCs/>
                <w:sz w:val="18"/>
                <w:szCs w:val="18"/>
                <w:lang w:val="en-GB"/>
              </w:rPr>
            </w:pPr>
          </w:p>
        </w:tc>
        <w:tc>
          <w:tcPr>
            <w:tcW w:w="558" w:type="pct"/>
          </w:tcPr>
          <w:p w14:paraId="3C54962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558" w:type="pct"/>
          </w:tcPr>
          <w:p w14:paraId="141030BB"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559" w:type="pct"/>
          </w:tcPr>
          <w:p w14:paraId="4C2A270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558" w:type="pct"/>
          </w:tcPr>
          <w:p w14:paraId="082776F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561" w:type="pct"/>
          </w:tcPr>
          <w:p w14:paraId="6D0B58D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5E29D1DB" w14:textId="77777777" w:rsidTr="00DD69E7">
        <w:trPr>
          <w:trHeight w:hRule="exact" w:val="116"/>
        </w:trPr>
        <w:tc>
          <w:tcPr>
            <w:tcW w:w="2206" w:type="pct"/>
          </w:tcPr>
          <w:p w14:paraId="2AEE709D" w14:textId="77777777" w:rsidR="00587444" w:rsidRPr="00587444" w:rsidRDefault="00587444" w:rsidP="00587444">
            <w:pPr>
              <w:suppressAutoHyphens w:val="0"/>
              <w:autoSpaceDN/>
              <w:rPr>
                <w:rFonts w:ascii="Arial" w:eastAsia="Calibri" w:hAnsi="Arial" w:cs="Arial"/>
                <w:b/>
                <w:bCs/>
                <w:sz w:val="18"/>
                <w:szCs w:val="18"/>
                <w:lang w:val="en-GB"/>
              </w:rPr>
            </w:pPr>
          </w:p>
        </w:tc>
        <w:tc>
          <w:tcPr>
            <w:tcW w:w="558" w:type="pct"/>
          </w:tcPr>
          <w:p w14:paraId="18630A35"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558" w:type="pct"/>
          </w:tcPr>
          <w:p w14:paraId="2A8B5E8F"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559" w:type="pct"/>
          </w:tcPr>
          <w:p w14:paraId="3FB75C7B"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558" w:type="pct"/>
          </w:tcPr>
          <w:p w14:paraId="7863ADED"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561" w:type="pct"/>
          </w:tcPr>
          <w:p w14:paraId="231455BC"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1D9F8533" w14:textId="77777777" w:rsidTr="00DD69E7">
        <w:trPr>
          <w:trHeight w:val="164"/>
        </w:trPr>
        <w:tc>
          <w:tcPr>
            <w:tcW w:w="2206" w:type="pct"/>
            <w:vAlign w:val="bottom"/>
          </w:tcPr>
          <w:p w14:paraId="0564A01E"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2021</w:t>
            </w:r>
          </w:p>
        </w:tc>
        <w:tc>
          <w:tcPr>
            <w:tcW w:w="558" w:type="pct"/>
            <w:tcBorders>
              <w:top w:val="nil"/>
              <w:left w:val="nil"/>
              <w:bottom w:val="nil"/>
              <w:right w:val="nil"/>
            </w:tcBorders>
            <w:shd w:val="clear" w:color="auto" w:fill="auto"/>
          </w:tcPr>
          <w:p w14:paraId="005F6569"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36,795 </w:t>
            </w:r>
          </w:p>
        </w:tc>
        <w:tc>
          <w:tcPr>
            <w:tcW w:w="558" w:type="pct"/>
            <w:tcBorders>
              <w:top w:val="nil"/>
              <w:left w:val="nil"/>
              <w:bottom w:val="nil"/>
              <w:right w:val="nil"/>
            </w:tcBorders>
            <w:shd w:val="clear" w:color="auto" w:fill="auto"/>
          </w:tcPr>
          <w:p w14:paraId="66C21DB2"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35,435 </w:t>
            </w:r>
          </w:p>
        </w:tc>
        <w:tc>
          <w:tcPr>
            <w:tcW w:w="559" w:type="pct"/>
            <w:tcBorders>
              <w:top w:val="nil"/>
              <w:left w:val="nil"/>
              <w:bottom w:val="nil"/>
              <w:right w:val="nil"/>
            </w:tcBorders>
            <w:shd w:val="clear" w:color="auto" w:fill="auto"/>
          </w:tcPr>
          <w:p w14:paraId="3FFA2A7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10,567 </w:t>
            </w:r>
          </w:p>
        </w:tc>
        <w:tc>
          <w:tcPr>
            <w:tcW w:w="558" w:type="pct"/>
            <w:tcBorders>
              <w:top w:val="nil"/>
              <w:left w:val="nil"/>
              <w:bottom w:val="nil"/>
              <w:right w:val="nil"/>
            </w:tcBorders>
            <w:shd w:val="clear" w:color="auto" w:fill="auto"/>
          </w:tcPr>
          <w:p w14:paraId="7B3C795C"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61" w:type="pct"/>
            <w:tcBorders>
              <w:top w:val="nil"/>
              <w:left w:val="nil"/>
              <w:bottom w:val="nil"/>
              <w:right w:val="nil"/>
            </w:tcBorders>
            <w:shd w:val="clear" w:color="auto" w:fill="auto"/>
          </w:tcPr>
          <w:p w14:paraId="5A08C5F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82,797 </w:t>
            </w:r>
          </w:p>
        </w:tc>
      </w:tr>
      <w:tr w:rsidR="00587444" w:rsidRPr="00587444" w14:paraId="32A14C29" w14:textId="77777777" w:rsidTr="00DD69E7">
        <w:trPr>
          <w:trHeight w:val="164"/>
        </w:trPr>
        <w:tc>
          <w:tcPr>
            <w:tcW w:w="2206" w:type="pct"/>
          </w:tcPr>
          <w:p w14:paraId="0BC5C1A8"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558" w:type="pct"/>
            <w:tcBorders>
              <w:top w:val="nil"/>
              <w:left w:val="nil"/>
              <w:bottom w:val="nil"/>
              <w:right w:val="nil"/>
            </w:tcBorders>
            <w:shd w:val="clear" w:color="auto" w:fill="auto"/>
          </w:tcPr>
          <w:p w14:paraId="3CA3127D"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1,730 </w:t>
            </w:r>
          </w:p>
        </w:tc>
        <w:tc>
          <w:tcPr>
            <w:tcW w:w="558" w:type="pct"/>
            <w:tcBorders>
              <w:top w:val="nil"/>
              <w:left w:val="nil"/>
              <w:bottom w:val="nil"/>
              <w:right w:val="nil"/>
            </w:tcBorders>
            <w:shd w:val="clear" w:color="auto" w:fill="auto"/>
          </w:tcPr>
          <w:p w14:paraId="570911B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(17)</w:t>
            </w:r>
          </w:p>
        </w:tc>
        <w:tc>
          <w:tcPr>
            <w:tcW w:w="559" w:type="pct"/>
            <w:tcBorders>
              <w:top w:val="nil"/>
              <w:left w:val="nil"/>
              <w:bottom w:val="nil"/>
              <w:right w:val="nil"/>
            </w:tcBorders>
            <w:shd w:val="clear" w:color="auto" w:fill="auto"/>
          </w:tcPr>
          <w:p w14:paraId="11F8635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(1,713)</w:t>
            </w:r>
          </w:p>
        </w:tc>
        <w:tc>
          <w:tcPr>
            <w:tcW w:w="558" w:type="pct"/>
            <w:tcBorders>
              <w:top w:val="nil"/>
              <w:left w:val="nil"/>
              <w:bottom w:val="nil"/>
              <w:right w:val="nil"/>
            </w:tcBorders>
            <w:shd w:val="clear" w:color="auto" w:fill="auto"/>
          </w:tcPr>
          <w:p w14:paraId="010777E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61" w:type="pct"/>
            <w:tcBorders>
              <w:top w:val="nil"/>
              <w:left w:val="nil"/>
              <w:bottom w:val="nil"/>
              <w:right w:val="nil"/>
            </w:tcBorders>
            <w:shd w:val="clear" w:color="auto" w:fill="auto"/>
          </w:tcPr>
          <w:p w14:paraId="1690232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r>
      <w:tr w:rsidR="00587444" w:rsidRPr="00587444" w14:paraId="1146DC84" w14:textId="77777777" w:rsidTr="00DD69E7">
        <w:trPr>
          <w:trHeight w:val="164"/>
        </w:trPr>
        <w:tc>
          <w:tcPr>
            <w:tcW w:w="2206" w:type="pct"/>
          </w:tcPr>
          <w:p w14:paraId="70F3A0B0"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558" w:type="pct"/>
            <w:tcBorders>
              <w:top w:val="nil"/>
              <w:left w:val="nil"/>
              <w:bottom w:val="nil"/>
              <w:right w:val="nil"/>
            </w:tcBorders>
            <w:shd w:val="clear" w:color="auto" w:fill="auto"/>
          </w:tcPr>
          <w:p w14:paraId="4D6875B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(64)</w:t>
            </w:r>
          </w:p>
        </w:tc>
        <w:tc>
          <w:tcPr>
            <w:tcW w:w="558" w:type="pct"/>
            <w:tcBorders>
              <w:top w:val="nil"/>
              <w:left w:val="nil"/>
              <w:bottom w:val="nil"/>
              <w:right w:val="nil"/>
            </w:tcBorders>
            <w:shd w:val="clear" w:color="auto" w:fill="auto"/>
          </w:tcPr>
          <w:p w14:paraId="3B77B8D4"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64 </w:t>
            </w:r>
          </w:p>
        </w:tc>
        <w:tc>
          <w:tcPr>
            <w:tcW w:w="559" w:type="pct"/>
            <w:tcBorders>
              <w:top w:val="nil"/>
              <w:left w:val="nil"/>
              <w:bottom w:val="nil"/>
              <w:right w:val="nil"/>
            </w:tcBorders>
            <w:shd w:val="clear" w:color="auto" w:fill="auto"/>
          </w:tcPr>
          <w:p w14:paraId="7AFA795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58" w:type="pct"/>
            <w:tcBorders>
              <w:top w:val="nil"/>
              <w:left w:val="nil"/>
              <w:bottom w:val="nil"/>
              <w:right w:val="nil"/>
            </w:tcBorders>
            <w:shd w:val="clear" w:color="auto" w:fill="auto"/>
          </w:tcPr>
          <w:p w14:paraId="760D5CF6"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61" w:type="pct"/>
            <w:tcBorders>
              <w:top w:val="nil"/>
              <w:left w:val="nil"/>
              <w:bottom w:val="nil"/>
              <w:right w:val="nil"/>
            </w:tcBorders>
            <w:shd w:val="clear" w:color="auto" w:fill="auto"/>
          </w:tcPr>
          <w:p w14:paraId="79B43449"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r>
      <w:tr w:rsidR="00587444" w:rsidRPr="00587444" w14:paraId="1757B7BE" w14:textId="77777777" w:rsidTr="00DD69E7">
        <w:trPr>
          <w:trHeight w:val="164"/>
        </w:trPr>
        <w:tc>
          <w:tcPr>
            <w:tcW w:w="2206" w:type="pct"/>
          </w:tcPr>
          <w:p w14:paraId="66868180"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558" w:type="pct"/>
            <w:tcBorders>
              <w:top w:val="nil"/>
              <w:left w:val="nil"/>
              <w:bottom w:val="nil"/>
              <w:right w:val="nil"/>
            </w:tcBorders>
            <w:shd w:val="clear" w:color="auto" w:fill="auto"/>
          </w:tcPr>
          <w:p w14:paraId="51230BA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58" w:type="pct"/>
            <w:tcBorders>
              <w:top w:val="nil"/>
              <w:left w:val="nil"/>
              <w:bottom w:val="nil"/>
              <w:right w:val="nil"/>
            </w:tcBorders>
            <w:shd w:val="clear" w:color="auto" w:fill="auto"/>
          </w:tcPr>
          <w:p w14:paraId="4881EA31"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59" w:type="pct"/>
            <w:tcBorders>
              <w:top w:val="nil"/>
              <w:left w:val="nil"/>
              <w:bottom w:val="nil"/>
              <w:right w:val="nil"/>
            </w:tcBorders>
            <w:shd w:val="clear" w:color="auto" w:fill="auto"/>
          </w:tcPr>
          <w:p w14:paraId="3B02375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58" w:type="pct"/>
            <w:tcBorders>
              <w:top w:val="nil"/>
              <w:left w:val="nil"/>
              <w:bottom w:val="nil"/>
              <w:right w:val="nil"/>
            </w:tcBorders>
            <w:shd w:val="clear" w:color="auto" w:fill="auto"/>
          </w:tcPr>
          <w:p w14:paraId="5F10C5E9"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61" w:type="pct"/>
            <w:tcBorders>
              <w:top w:val="nil"/>
              <w:left w:val="nil"/>
              <w:bottom w:val="nil"/>
              <w:right w:val="nil"/>
            </w:tcBorders>
            <w:shd w:val="clear" w:color="auto" w:fill="auto"/>
          </w:tcPr>
          <w:p w14:paraId="21857149"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r>
      <w:tr w:rsidR="00587444" w:rsidRPr="00587444" w14:paraId="0DC32E68" w14:textId="77777777" w:rsidTr="00DD69E7">
        <w:trPr>
          <w:trHeight w:val="164"/>
        </w:trPr>
        <w:tc>
          <w:tcPr>
            <w:tcW w:w="2206" w:type="pct"/>
            <w:vAlign w:val="bottom"/>
          </w:tcPr>
          <w:p w14:paraId="1B30ACAC"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(release) of loss allowance</w:t>
            </w:r>
          </w:p>
        </w:tc>
        <w:tc>
          <w:tcPr>
            <w:tcW w:w="558" w:type="pct"/>
            <w:tcBorders>
              <w:top w:val="nil"/>
              <w:left w:val="nil"/>
              <w:bottom w:val="nil"/>
              <w:right w:val="nil"/>
            </w:tcBorders>
            <w:shd w:val="clear" w:color="auto" w:fill="auto"/>
            <w:vAlign w:val="bottom"/>
          </w:tcPr>
          <w:p w14:paraId="355D0240"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(8,809)</w:t>
            </w:r>
          </w:p>
        </w:tc>
        <w:tc>
          <w:tcPr>
            <w:tcW w:w="558" w:type="pct"/>
            <w:tcBorders>
              <w:top w:val="nil"/>
              <w:left w:val="nil"/>
              <w:bottom w:val="nil"/>
              <w:right w:val="nil"/>
            </w:tcBorders>
            <w:shd w:val="clear" w:color="auto" w:fill="auto"/>
            <w:vAlign w:val="bottom"/>
          </w:tcPr>
          <w:p w14:paraId="4C2C1AD4"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(12,240)</w:t>
            </w:r>
          </w:p>
        </w:tc>
        <w:tc>
          <w:tcPr>
            <w:tcW w:w="559" w:type="pct"/>
            <w:tcBorders>
              <w:top w:val="nil"/>
              <w:left w:val="nil"/>
              <w:bottom w:val="nil"/>
              <w:right w:val="nil"/>
            </w:tcBorders>
            <w:shd w:val="clear" w:color="auto" w:fill="auto"/>
            <w:vAlign w:val="bottom"/>
          </w:tcPr>
          <w:p w14:paraId="530E1F1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(2,649)</w:t>
            </w:r>
          </w:p>
        </w:tc>
        <w:tc>
          <w:tcPr>
            <w:tcW w:w="558" w:type="pct"/>
            <w:tcBorders>
              <w:top w:val="nil"/>
              <w:left w:val="nil"/>
              <w:bottom w:val="nil"/>
              <w:right w:val="nil"/>
            </w:tcBorders>
            <w:shd w:val="clear" w:color="auto" w:fill="auto"/>
            <w:vAlign w:val="bottom"/>
          </w:tcPr>
          <w:p w14:paraId="5FCB9AA8"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561" w:type="pct"/>
            <w:tcBorders>
              <w:top w:val="nil"/>
              <w:left w:val="nil"/>
              <w:bottom w:val="nil"/>
              <w:right w:val="nil"/>
            </w:tcBorders>
            <w:shd w:val="clear" w:color="auto" w:fill="auto"/>
            <w:vAlign w:val="bottom"/>
          </w:tcPr>
          <w:p w14:paraId="20F90F0D"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(23,698)</w:t>
            </w:r>
          </w:p>
        </w:tc>
      </w:tr>
      <w:tr w:rsidR="00587444" w:rsidRPr="00587444" w14:paraId="6E8C24D3" w14:textId="77777777" w:rsidTr="00DD69E7">
        <w:trPr>
          <w:trHeight w:val="164"/>
        </w:trPr>
        <w:tc>
          <w:tcPr>
            <w:tcW w:w="2206" w:type="pct"/>
            <w:vAlign w:val="bottom"/>
          </w:tcPr>
          <w:p w14:paraId="13D8069A"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proofErr w:type="gramStart"/>
            <w:r w:rsidRPr="00587444">
              <w:rPr>
                <w:rFonts w:ascii="Arial" w:eastAsia="Calibri" w:hAnsi="Arial" w:cs="Arial"/>
                <w:sz w:val="18"/>
                <w:szCs w:val="18"/>
                <w:lang w:val="en-GB"/>
              </w:rPr>
              <w:t>Unwinding  –</w:t>
            </w:r>
            <w:proofErr w:type="gramEnd"/>
            <w:r w:rsidRPr="00587444">
              <w:rPr>
                <w:rFonts w:ascii="Arial" w:eastAsia="Calibri" w:hAnsi="Arial" w:cs="Arial"/>
                <w:sz w:val="18"/>
                <w:szCs w:val="18"/>
                <w:lang w:val="en-GB"/>
              </w:rPr>
              <w:t xml:space="preserve"> changes due to the lapse of time</w:t>
            </w:r>
          </w:p>
        </w:tc>
        <w:tc>
          <w:tcPr>
            <w:tcW w:w="558" w:type="pct"/>
            <w:tcBorders>
              <w:top w:val="nil"/>
              <w:left w:val="nil"/>
              <w:bottom w:val="nil"/>
              <w:right w:val="nil"/>
            </w:tcBorders>
            <w:shd w:val="clear" w:color="auto" w:fill="auto"/>
            <w:vAlign w:val="bottom"/>
          </w:tcPr>
          <w:p w14:paraId="61820BF9"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(45)</w:t>
            </w:r>
          </w:p>
        </w:tc>
        <w:tc>
          <w:tcPr>
            <w:tcW w:w="558" w:type="pct"/>
            <w:tcBorders>
              <w:top w:val="nil"/>
              <w:left w:val="nil"/>
              <w:bottom w:val="nil"/>
              <w:right w:val="nil"/>
            </w:tcBorders>
            <w:shd w:val="clear" w:color="auto" w:fill="auto"/>
            <w:vAlign w:val="bottom"/>
          </w:tcPr>
          <w:p w14:paraId="55123AFA"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559" w:type="pct"/>
            <w:tcBorders>
              <w:top w:val="nil"/>
              <w:left w:val="nil"/>
              <w:bottom w:val="nil"/>
              <w:right w:val="nil"/>
            </w:tcBorders>
            <w:shd w:val="clear" w:color="auto" w:fill="auto"/>
            <w:vAlign w:val="bottom"/>
          </w:tcPr>
          <w:p w14:paraId="376D7BC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(41)</w:t>
            </w:r>
          </w:p>
        </w:tc>
        <w:tc>
          <w:tcPr>
            <w:tcW w:w="558" w:type="pct"/>
            <w:tcBorders>
              <w:top w:val="nil"/>
              <w:left w:val="nil"/>
              <w:bottom w:val="nil"/>
              <w:right w:val="nil"/>
            </w:tcBorders>
            <w:shd w:val="clear" w:color="auto" w:fill="auto"/>
            <w:vAlign w:val="bottom"/>
          </w:tcPr>
          <w:p w14:paraId="7E31B3BD"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561" w:type="pct"/>
            <w:tcBorders>
              <w:top w:val="nil"/>
              <w:left w:val="nil"/>
              <w:bottom w:val="nil"/>
              <w:right w:val="nil"/>
            </w:tcBorders>
            <w:shd w:val="clear" w:color="auto" w:fill="auto"/>
            <w:vAlign w:val="bottom"/>
          </w:tcPr>
          <w:p w14:paraId="53C959F0"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(86)</w:t>
            </w:r>
          </w:p>
        </w:tc>
      </w:tr>
      <w:tr w:rsidR="00587444" w:rsidRPr="00587444" w14:paraId="1BC395EB" w14:textId="77777777" w:rsidTr="00DD69E7">
        <w:trPr>
          <w:trHeight w:val="283"/>
        </w:trPr>
        <w:tc>
          <w:tcPr>
            <w:tcW w:w="2206" w:type="pct"/>
            <w:vAlign w:val="center"/>
          </w:tcPr>
          <w:p w14:paraId="116DAE4A"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Loss allowances transferred to loans to other customers</w:t>
            </w:r>
          </w:p>
        </w:tc>
        <w:tc>
          <w:tcPr>
            <w:tcW w:w="558" w:type="pct"/>
            <w:tcBorders>
              <w:top w:val="nil"/>
              <w:left w:val="nil"/>
              <w:bottom w:val="nil"/>
              <w:right w:val="nil"/>
            </w:tcBorders>
            <w:shd w:val="clear" w:color="auto" w:fill="auto"/>
            <w:vAlign w:val="bottom"/>
          </w:tcPr>
          <w:p w14:paraId="37C3F54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8"/>
                <w:szCs w:val="18"/>
                <w:lang w:val="en-GB"/>
              </w:rPr>
            </w:pPr>
            <w:r w:rsidRPr="00587444">
              <w:rPr>
                <w:rFonts w:ascii="Arial" w:hAnsi="Arial" w:cs="Arial"/>
                <w:sz w:val="18"/>
                <w:szCs w:val="18"/>
              </w:rPr>
              <w:t xml:space="preserve"> - </w:t>
            </w:r>
          </w:p>
        </w:tc>
        <w:tc>
          <w:tcPr>
            <w:tcW w:w="558" w:type="pct"/>
            <w:tcBorders>
              <w:top w:val="nil"/>
              <w:left w:val="nil"/>
              <w:bottom w:val="nil"/>
              <w:right w:val="nil"/>
            </w:tcBorders>
            <w:shd w:val="clear" w:color="auto" w:fill="auto"/>
            <w:vAlign w:val="bottom"/>
          </w:tcPr>
          <w:p w14:paraId="73A52E3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8"/>
                <w:szCs w:val="18"/>
                <w:lang w:val="en-GB"/>
              </w:rPr>
            </w:pPr>
            <w:r w:rsidRPr="00587444">
              <w:rPr>
                <w:rFonts w:ascii="Arial" w:hAnsi="Arial" w:cs="Arial"/>
                <w:sz w:val="18"/>
                <w:szCs w:val="18"/>
              </w:rPr>
              <w:t xml:space="preserve"> (16)</w:t>
            </w:r>
          </w:p>
        </w:tc>
        <w:tc>
          <w:tcPr>
            <w:tcW w:w="559" w:type="pct"/>
            <w:tcBorders>
              <w:top w:val="nil"/>
              <w:left w:val="nil"/>
              <w:bottom w:val="nil"/>
              <w:right w:val="nil"/>
            </w:tcBorders>
            <w:shd w:val="clear" w:color="auto" w:fill="auto"/>
            <w:vAlign w:val="bottom"/>
          </w:tcPr>
          <w:p w14:paraId="22EB894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8"/>
                <w:szCs w:val="18"/>
                <w:lang w:val="en-GB"/>
              </w:rPr>
            </w:pPr>
            <w:r w:rsidRPr="00587444">
              <w:rPr>
                <w:rFonts w:ascii="Arial" w:hAnsi="Arial" w:cs="Arial"/>
                <w:sz w:val="18"/>
                <w:szCs w:val="18"/>
              </w:rPr>
              <w:t xml:space="preserve"> - </w:t>
            </w:r>
          </w:p>
        </w:tc>
        <w:tc>
          <w:tcPr>
            <w:tcW w:w="558" w:type="pct"/>
            <w:tcBorders>
              <w:top w:val="nil"/>
              <w:left w:val="nil"/>
              <w:bottom w:val="nil"/>
              <w:right w:val="nil"/>
            </w:tcBorders>
            <w:shd w:val="clear" w:color="auto" w:fill="auto"/>
            <w:vAlign w:val="bottom"/>
          </w:tcPr>
          <w:p w14:paraId="40FEBF76"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8"/>
                <w:szCs w:val="18"/>
                <w:lang w:val="en-GB"/>
              </w:rPr>
            </w:pPr>
            <w:r w:rsidRPr="00587444">
              <w:rPr>
                <w:rFonts w:ascii="Arial" w:hAnsi="Arial" w:cs="Arial"/>
                <w:sz w:val="18"/>
                <w:szCs w:val="18"/>
              </w:rPr>
              <w:t xml:space="preserve"> - </w:t>
            </w:r>
          </w:p>
        </w:tc>
        <w:tc>
          <w:tcPr>
            <w:tcW w:w="561" w:type="pct"/>
            <w:tcBorders>
              <w:top w:val="nil"/>
              <w:left w:val="nil"/>
              <w:bottom w:val="nil"/>
              <w:right w:val="nil"/>
            </w:tcBorders>
            <w:shd w:val="clear" w:color="auto" w:fill="auto"/>
            <w:vAlign w:val="bottom"/>
          </w:tcPr>
          <w:p w14:paraId="0803FB12"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spacing w:val="-2"/>
                <w:sz w:val="18"/>
                <w:szCs w:val="18"/>
                <w:highlight w:val="yellow"/>
                <w:lang w:val="en-GB"/>
              </w:rPr>
            </w:pPr>
            <w:r w:rsidRPr="00587444">
              <w:rPr>
                <w:rFonts w:ascii="Arial" w:hAnsi="Arial" w:cs="Arial"/>
                <w:sz w:val="18"/>
                <w:szCs w:val="18"/>
              </w:rPr>
              <w:t xml:space="preserve"> (16)</w:t>
            </w:r>
          </w:p>
        </w:tc>
      </w:tr>
      <w:tr w:rsidR="00587444" w:rsidRPr="00587444" w14:paraId="26B3BDD0" w14:textId="77777777" w:rsidTr="00DD69E7">
        <w:trPr>
          <w:trHeight w:val="164"/>
        </w:trPr>
        <w:tc>
          <w:tcPr>
            <w:tcW w:w="2206" w:type="pct"/>
            <w:vAlign w:val="bottom"/>
          </w:tcPr>
          <w:p w14:paraId="395B0A93"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w:t>
            </w:r>
            <w:r w:rsidRPr="00587444">
              <w:rPr>
                <w:rFonts w:ascii="Arial" w:hAnsi="Arial" w:cs="Arial"/>
                <w:sz w:val="18"/>
                <w:szCs w:val="18"/>
                <w:lang w:val="en-GB"/>
              </w:rPr>
              <w:t xml:space="preserve"> </w:t>
            </w:r>
            <w:r w:rsidRPr="00587444">
              <w:rPr>
                <w:rFonts w:ascii="Arial" w:eastAsia="Calibri" w:hAnsi="Arial" w:cs="Arial"/>
                <w:sz w:val="18"/>
                <w:szCs w:val="18"/>
                <w:lang w:val="en-GB"/>
              </w:rPr>
              <w:t xml:space="preserve">loss allowances </w:t>
            </w:r>
          </w:p>
        </w:tc>
        <w:tc>
          <w:tcPr>
            <w:tcW w:w="558" w:type="pct"/>
            <w:tcBorders>
              <w:top w:val="nil"/>
              <w:left w:val="nil"/>
              <w:bottom w:val="single" w:sz="8" w:space="0" w:color="auto"/>
              <w:right w:val="nil"/>
            </w:tcBorders>
            <w:shd w:val="clear" w:color="auto" w:fill="auto"/>
            <w:vAlign w:val="bottom"/>
          </w:tcPr>
          <w:p w14:paraId="74B177B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(53)</w:t>
            </w:r>
          </w:p>
        </w:tc>
        <w:tc>
          <w:tcPr>
            <w:tcW w:w="558" w:type="pct"/>
            <w:tcBorders>
              <w:top w:val="nil"/>
              <w:left w:val="nil"/>
              <w:bottom w:val="single" w:sz="8" w:space="0" w:color="auto"/>
              <w:right w:val="nil"/>
            </w:tcBorders>
            <w:shd w:val="clear" w:color="auto" w:fill="auto"/>
            <w:vAlign w:val="bottom"/>
          </w:tcPr>
          <w:p w14:paraId="574A071C"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(42)</w:t>
            </w:r>
          </w:p>
        </w:tc>
        <w:tc>
          <w:tcPr>
            <w:tcW w:w="559" w:type="pct"/>
            <w:tcBorders>
              <w:top w:val="nil"/>
              <w:left w:val="nil"/>
              <w:bottom w:val="single" w:sz="8" w:space="0" w:color="auto"/>
              <w:right w:val="nil"/>
            </w:tcBorders>
            <w:shd w:val="clear" w:color="auto" w:fill="auto"/>
            <w:vAlign w:val="bottom"/>
          </w:tcPr>
          <w:p w14:paraId="4DFFAB64"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(2)</w:t>
            </w:r>
          </w:p>
        </w:tc>
        <w:tc>
          <w:tcPr>
            <w:tcW w:w="558" w:type="pct"/>
            <w:tcBorders>
              <w:top w:val="nil"/>
              <w:left w:val="nil"/>
              <w:bottom w:val="single" w:sz="8" w:space="0" w:color="auto"/>
              <w:right w:val="nil"/>
            </w:tcBorders>
            <w:shd w:val="clear" w:color="auto" w:fill="auto"/>
            <w:vAlign w:val="bottom"/>
          </w:tcPr>
          <w:p w14:paraId="645EFC95"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561" w:type="pct"/>
            <w:tcBorders>
              <w:top w:val="nil"/>
              <w:left w:val="nil"/>
              <w:bottom w:val="single" w:sz="8" w:space="0" w:color="auto"/>
              <w:right w:val="nil"/>
            </w:tcBorders>
            <w:shd w:val="clear" w:color="auto" w:fill="auto"/>
            <w:vAlign w:val="bottom"/>
          </w:tcPr>
          <w:p w14:paraId="2B0CD77E"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(97)</w:t>
            </w:r>
          </w:p>
        </w:tc>
      </w:tr>
      <w:tr w:rsidR="00587444" w:rsidRPr="00587444" w14:paraId="6C26A5BC" w14:textId="77777777" w:rsidTr="00DD69E7">
        <w:trPr>
          <w:trHeight w:val="33"/>
        </w:trPr>
        <w:tc>
          <w:tcPr>
            <w:tcW w:w="2206" w:type="pct"/>
            <w:vAlign w:val="bottom"/>
          </w:tcPr>
          <w:p w14:paraId="5885A183"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2021</w:t>
            </w:r>
          </w:p>
        </w:tc>
        <w:tc>
          <w:tcPr>
            <w:tcW w:w="558" w:type="pct"/>
            <w:tcBorders>
              <w:top w:val="nil"/>
              <w:left w:val="nil"/>
              <w:bottom w:val="single" w:sz="12" w:space="0" w:color="auto"/>
              <w:right w:val="nil"/>
            </w:tcBorders>
            <w:shd w:val="clear" w:color="auto" w:fill="auto"/>
          </w:tcPr>
          <w:p w14:paraId="19920D56"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29,554 </w:t>
            </w:r>
          </w:p>
        </w:tc>
        <w:tc>
          <w:tcPr>
            <w:tcW w:w="558" w:type="pct"/>
            <w:tcBorders>
              <w:top w:val="nil"/>
              <w:left w:val="nil"/>
              <w:bottom w:val="single" w:sz="12" w:space="0" w:color="auto"/>
              <w:right w:val="nil"/>
            </w:tcBorders>
            <w:shd w:val="clear" w:color="auto" w:fill="auto"/>
          </w:tcPr>
          <w:p w14:paraId="1316618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23,184 </w:t>
            </w:r>
          </w:p>
        </w:tc>
        <w:tc>
          <w:tcPr>
            <w:tcW w:w="559" w:type="pct"/>
            <w:tcBorders>
              <w:top w:val="nil"/>
              <w:left w:val="nil"/>
              <w:bottom w:val="single" w:sz="12" w:space="0" w:color="auto"/>
              <w:right w:val="nil"/>
            </w:tcBorders>
            <w:shd w:val="clear" w:color="auto" w:fill="auto"/>
          </w:tcPr>
          <w:p w14:paraId="5CA938BC"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6,162 </w:t>
            </w:r>
          </w:p>
        </w:tc>
        <w:tc>
          <w:tcPr>
            <w:tcW w:w="558" w:type="pct"/>
            <w:tcBorders>
              <w:top w:val="nil"/>
              <w:left w:val="nil"/>
              <w:bottom w:val="single" w:sz="12" w:space="0" w:color="auto"/>
              <w:right w:val="nil"/>
            </w:tcBorders>
            <w:shd w:val="clear" w:color="auto" w:fill="auto"/>
          </w:tcPr>
          <w:p w14:paraId="62F26E52"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 </w:t>
            </w:r>
          </w:p>
        </w:tc>
        <w:tc>
          <w:tcPr>
            <w:tcW w:w="561" w:type="pct"/>
            <w:tcBorders>
              <w:top w:val="nil"/>
              <w:left w:val="nil"/>
              <w:bottom w:val="single" w:sz="12" w:space="0" w:color="auto"/>
              <w:right w:val="nil"/>
            </w:tcBorders>
            <w:shd w:val="clear" w:color="auto" w:fill="auto"/>
          </w:tcPr>
          <w:p w14:paraId="097F1A7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58,900 </w:t>
            </w:r>
          </w:p>
        </w:tc>
      </w:tr>
    </w:tbl>
    <w:p w14:paraId="21B11615" w14:textId="77777777" w:rsidR="00587444" w:rsidRPr="00587444" w:rsidRDefault="00587444" w:rsidP="00587444">
      <w:pPr>
        <w:suppressAutoHyphens w:val="0"/>
        <w:autoSpaceDN/>
        <w:rPr>
          <w:rFonts w:ascii="Arial" w:eastAsia="Calibri" w:hAnsi="Arial" w:cs="Arial"/>
          <w:noProof/>
          <w:sz w:val="20"/>
          <w:szCs w:val="20"/>
          <w:lang w:val="en-GB"/>
        </w:rPr>
      </w:pPr>
    </w:p>
    <w:p w14:paraId="21A8F5FA"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D69E7">
          <w:pgSz w:w="11907" w:h="16840" w:code="9"/>
          <w:pgMar w:top="1418" w:right="1134" w:bottom="1134" w:left="1418" w:header="851" w:footer="851" w:gutter="0"/>
          <w:cols w:space="720"/>
          <w:noEndnote/>
        </w:sectPr>
      </w:pPr>
    </w:p>
    <w:p w14:paraId="69F14332" w14:textId="77777777" w:rsidR="00587444" w:rsidRPr="00587444" w:rsidRDefault="00587444" w:rsidP="00587444">
      <w:pPr>
        <w:suppressAutoHyphens w:val="0"/>
        <w:autoSpaceDN/>
        <w:jc w:val="both"/>
        <w:rPr>
          <w:rFonts w:ascii="Arial" w:hAnsi="Arial" w:cs="Arial"/>
          <w:b/>
          <w:bCs/>
          <w:sz w:val="20"/>
          <w:szCs w:val="20"/>
          <w:lang w:val="en-GB"/>
        </w:rPr>
      </w:pPr>
    </w:p>
    <w:p w14:paraId="67ABCB06"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4989AAB" w14:textId="77777777" w:rsidR="00587444" w:rsidRPr="00587444" w:rsidRDefault="00587444" w:rsidP="00587444">
      <w:pPr>
        <w:suppressAutoHyphens w:val="0"/>
        <w:autoSpaceDN/>
        <w:jc w:val="both"/>
        <w:rPr>
          <w:rFonts w:ascii="Arial" w:hAnsi="Arial" w:cs="Arial"/>
          <w:b/>
          <w:sz w:val="20"/>
          <w:szCs w:val="20"/>
          <w:lang w:val="en-GB"/>
        </w:rPr>
      </w:pPr>
    </w:p>
    <w:p w14:paraId="2D7264C5"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18909A75" w14:textId="77777777" w:rsidR="00587444" w:rsidRPr="00587444" w:rsidRDefault="00587444" w:rsidP="00587444">
      <w:pPr>
        <w:suppressAutoHyphens w:val="0"/>
        <w:autoSpaceDN/>
        <w:jc w:val="both"/>
        <w:rPr>
          <w:rFonts w:ascii="Arial" w:hAnsi="Arial" w:cs="Arial"/>
          <w:b/>
          <w:bCs/>
          <w:i/>
          <w:sz w:val="20"/>
          <w:szCs w:val="20"/>
          <w:lang w:val="en-GB"/>
        </w:rPr>
      </w:pPr>
    </w:p>
    <w:p w14:paraId="7E823984" w14:textId="77777777" w:rsidR="00587444" w:rsidRPr="00587444" w:rsidRDefault="00587444">
      <w:pPr>
        <w:numPr>
          <w:ilvl w:val="8"/>
          <w:numId w:val="64"/>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64E573F0" w14:textId="77777777" w:rsidR="00587444" w:rsidRPr="00587444" w:rsidRDefault="00587444" w:rsidP="00587444">
      <w:pPr>
        <w:suppressAutoHyphens w:val="0"/>
        <w:autoSpaceDN/>
        <w:jc w:val="both"/>
        <w:rPr>
          <w:rFonts w:ascii="Arial" w:hAnsi="Arial" w:cs="Arial"/>
          <w:b/>
          <w:bCs/>
          <w:sz w:val="20"/>
          <w:szCs w:val="20"/>
          <w:lang w:val="en-GB"/>
        </w:rPr>
      </w:pPr>
    </w:p>
    <w:p w14:paraId="519DA91C"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Loans to other customers</w:t>
      </w:r>
    </w:p>
    <w:p w14:paraId="286D78BB"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25"/>
        <w:tblW w:w="4979" w:type="pct"/>
        <w:tblLayout w:type="fixed"/>
        <w:tblLook w:val="0000" w:firstRow="0" w:lastRow="0" w:firstColumn="0" w:lastColumn="0" w:noHBand="0" w:noVBand="0"/>
      </w:tblPr>
      <w:tblGrid>
        <w:gridCol w:w="4116"/>
        <w:gridCol w:w="1064"/>
        <w:gridCol w:w="1064"/>
        <w:gridCol w:w="1066"/>
        <w:gridCol w:w="1043"/>
        <w:gridCol w:w="1161"/>
        <w:gridCol w:w="17"/>
      </w:tblGrid>
      <w:tr w:rsidR="00587444" w:rsidRPr="00587444" w14:paraId="3DC80D8B" w14:textId="77777777" w:rsidTr="00DD69E7">
        <w:trPr>
          <w:gridAfter w:val="1"/>
          <w:wAfter w:w="9" w:type="pct"/>
          <w:trHeight w:val="46"/>
        </w:trPr>
        <w:tc>
          <w:tcPr>
            <w:tcW w:w="2160" w:type="pct"/>
          </w:tcPr>
          <w:p w14:paraId="0ABD6472" w14:textId="77777777" w:rsidR="00587444" w:rsidRPr="00587444" w:rsidRDefault="00587444" w:rsidP="00587444">
            <w:pPr>
              <w:suppressAutoHyphens w:val="0"/>
              <w:autoSpaceDN/>
              <w:rPr>
                <w:rFonts w:ascii="Arial" w:eastAsia="Calibri" w:hAnsi="Arial" w:cs="Arial"/>
                <w:b/>
                <w:bCs/>
                <w:sz w:val="18"/>
                <w:szCs w:val="18"/>
                <w:lang w:val="en-GB"/>
              </w:rPr>
            </w:pPr>
            <w:bookmarkStart w:id="1152" w:name="_Hlk5872450"/>
            <w:r w:rsidRPr="00587444">
              <w:rPr>
                <w:rFonts w:ascii="Arial" w:eastAsia="Calibri" w:hAnsi="Arial" w:cs="Arial"/>
                <w:b/>
                <w:bCs/>
                <w:sz w:val="18"/>
                <w:szCs w:val="18"/>
                <w:lang w:val="en-GB"/>
              </w:rPr>
              <w:t>Group and Bank</w:t>
            </w:r>
          </w:p>
        </w:tc>
        <w:tc>
          <w:tcPr>
            <w:tcW w:w="2831" w:type="pct"/>
            <w:gridSpan w:val="5"/>
            <w:vAlign w:val="bottom"/>
          </w:tcPr>
          <w:p w14:paraId="1EC319F8"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583D4DB3" w14:textId="77777777" w:rsidTr="00DD69E7">
        <w:trPr>
          <w:trHeight w:val="46"/>
        </w:trPr>
        <w:tc>
          <w:tcPr>
            <w:tcW w:w="2160" w:type="pct"/>
          </w:tcPr>
          <w:p w14:paraId="3EBC6E27"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2022</w:t>
            </w:r>
          </w:p>
        </w:tc>
        <w:tc>
          <w:tcPr>
            <w:tcW w:w="558" w:type="pct"/>
            <w:vAlign w:val="bottom"/>
          </w:tcPr>
          <w:p w14:paraId="5DDAB42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558" w:type="pct"/>
            <w:vAlign w:val="bottom"/>
          </w:tcPr>
          <w:p w14:paraId="2A3DD17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559" w:type="pct"/>
            <w:vAlign w:val="bottom"/>
          </w:tcPr>
          <w:p w14:paraId="2098F2B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547" w:type="pct"/>
            <w:vAlign w:val="bottom"/>
          </w:tcPr>
          <w:p w14:paraId="26A4D47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18" w:type="pct"/>
            <w:gridSpan w:val="2"/>
            <w:vAlign w:val="bottom"/>
          </w:tcPr>
          <w:p w14:paraId="1C78901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022BA258" w14:textId="77777777" w:rsidTr="00DD69E7">
        <w:trPr>
          <w:trHeight w:val="46"/>
        </w:trPr>
        <w:tc>
          <w:tcPr>
            <w:tcW w:w="2160" w:type="pct"/>
          </w:tcPr>
          <w:p w14:paraId="42DAA977" w14:textId="77777777" w:rsidR="00587444" w:rsidRPr="00587444" w:rsidRDefault="00587444" w:rsidP="00587444">
            <w:pPr>
              <w:suppressAutoHyphens w:val="0"/>
              <w:autoSpaceDN/>
              <w:rPr>
                <w:rFonts w:ascii="Arial" w:eastAsia="Calibri" w:hAnsi="Arial" w:cs="Arial"/>
                <w:b/>
                <w:bCs/>
                <w:sz w:val="18"/>
                <w:szCs w:val="18"/>
                <w:lang w:val="en-GB"/>
              </w:rPr>
            </w:pPr>
          </w:p>
        </w:tc>
        <w:tc>
          <w:tcPr>
            <w:tcW w:w="558" w:type="pct"/>
          </w:tcPr>
          <w:p w14:paraId="59A4011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558" w:type="pct"/>
          </w:tcPr>
          <w:p w14:paraId="03CB88E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559" w:type="pct"/>
          </w:tcPr>
          <w:p w14:paraId="3250F2A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547" w:type="pct"/>
          </w:tcPr>
          <w:p w14:paraId="667A6CA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18" w:type="pct"/>
            <w:gridSpan w:val="2"/>
          </w:tcPr>
          <w:p w14:paraId="01A7170B"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26A7FE5B" w14:textId="77777777" w:rsidTr="00DD69E7">
        <w:trPr>
          <w:trHeight w:hRule="exact" w:val="111"/>
        </w:trPr>
        <w:tc>
          <w:tcPr>
            <w:tcW w:w="2160" w:type="pct"/>
          </w:tcPr>
          <w:p w14:paraId="5EFFB6ED" w14:textId="77777777" w:rsidR="00587444" w:rsidRPr="00587444" w:rsidRDefault="00587444" w:rsidP="00587444">
            <w:pPr>
              <w:suppressAutoHyphens w:val="0"/>
              <w:autoSpaceDN/>
              <w:rPr>
                <w:rFonts w:ascii="Arial" w:eastAsia="Calibri" w:hAnsi="Arial" w:cs="Arial"/>
                <w:b/>
                <w:bCs/>
                <w:sz w:val="18"/>
                <w:szCs w:val="18"/>
                <w:lang w:val="en-GB"/>
              </w:rPr>
            </w:pPr>
          </w:p>
        </w:tc>
        <w:tc>
          <w:tcPr>
            <w:tcW w:w="558" w:type="pct"/>
          </w:tcPr>
          <w:p w14:paraId="131986D7"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558" w:type="pct"/>
          </w:tcPr>
          <w:p w14:paraId="55569E13"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559" w:type="pct"/>
          </w:tcPr>
          <w:p w14:paraId="76FB330A"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547" w:type="pct"/>
          </w:tcPr>
          <w:p w14:paraId="1DE1F54E"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18" w:type="pct"/>
            <w:gridSpan w:val="2"/>
          </w:tcPr>
          <w:p w14:paraId="008C6FC1"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07A7FFF7" w14:textId="77777777" w:rsidTr="00DD69E7">
        <w:trPr>
          <w:trHeight w:hRule="exact" w:val="280"/>
        </w:trPr>
        <w:tc>
          <w:tcPr>
            <w:tcW w:w="2160" w:type="pct"/>
            <w:vAlign w:val="bottom"/>
          </w:tcPr>
          <w:p w14:paraId="15D5A83A"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2022</w:t>
            </w:r>
          </w:p>
        </w:tc>
        <w:tc>
          <w:tcPr>
            <w:tcW w:w="558" w:type="pct"/>
            <w:vAlign w:val="bottom"/>
          </w:tcPr>
          <w:p w14:paraId="40A37CC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381,609 </w:t>
            </w:r>
          </w:p>
        </w:tc>
        <w:tc>
          <w:tcPr>
            <w:tcW w:w="558" w:type="pct"/>
            <w:vAlign w:val="bottom"/>
          </w:tcPr>
          <w:p w14:paraId="5AF65C8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555,807 </w:t>
            </w:r>
          </w:p>
        </w:tc>
        <w:tc>
          <w:tcPr>
            <w:tcW w:w="559" w:type="pct"/>
            <w:vAlign w:val="bottom"/>
          </w:tcPr>
          <w:p w14:paraId="3848B02A"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2,099,064 </w:t>
            </w:r>
          </w:p>
        </w:tc>
        <w:tc>
          <w:tcPr>
            <w:tcW w:w="547" w:type="pct"/>
            <w:vAlign w:val="bottom"/>
          </w:tcPr>
          <w:p w14:paraId="579AFE2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219,436 </w:t>
            </w:r>
          </w:p>
        </w:tc>
        <w:tc>
          <w:tcPr>
            <w:tcW w:w="618" w:type="pct"/>
            <w:gridSpan w:val="2"/>
            <w:vAlign w:val="bottom"/>
          </w:tcPr>
          <w:p w14:paraId="7015995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3,255,916 </w:t>
            </w:r>
          </w:p>
        </w:tc>
      </w:tr>
      <w:tr w:rsidR="00587444" w:rsidRPr="00587444" w14:paraId="738BDC06" w14:textId="77777777" w:rsidTr="00DD69E7">
        <w:trPr>
          <w:trHeight w:hRule="exact" w:val="280"/>
        </w:trPr>
        <w:tc>
          <w:tcPr>
            <w:tcW w:w="2160" w:type="pct"/>
            <w:vAlign w:val="bottom"/>
          </w:tcPr>
          <w:p w14:paraId="53134F1E"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558" w:type="pct"/>
            <w:vAlign w:val="bottom"/>
          </w:tcPr>
          <w:p w14:paraId="26CF0811" w14:textId="77777777" w:rsidR="00587444" w:rsidRPr="00587444" w:rsidRDefault="00587444" w:rsidP="00587444">
            <w:pPr>
              <w:suppressAutoHyphens w:val="0"/>
              <w:autoSpaceDN/>
              <w:jc w:val="right"/>
              <w:rPr>
                <w:rFonts w:ascii="Arial" w:eastAsia="Calibri" w:hAnsi="Arial" w:cs="Arial"/>
                <w:sz w:val="18"/>
                <w:szCs w:val="18"/>
                <w:lang w:val="hr-HR"/>
              </w:rPr>
            </w:pPr>
            <w:r w:rsidRPr="00587444">
              <w:rPr>
                <w:rFonts w:ascii="Arial" w:hAnsi="Arial" w:cs="Arial"/>
                <w:sz w:val="18"/>
                <w:szCs w:val="18"/>
              </w:rPr>
              <w:t xml:space="preserve"> 292,122 </w:t>
            </w:r>
          </w:p>
        </w:tc>
        <w:tc>
          <w:tcPr>
            <w:tcW w:w="558" w:type="pct"/>
            <w:vAlign w:val="bottom"/>
          </w:tcPr>
          <w:p w14:paraId="6F7549AB" w14:textId="77777777" w:rsidR="00587444" w:rsidRPr="00587444" w:rsidRDefault="00587444" w:rsidP="00587444">
            <w:pPr>
              <w:suppressAutoHyphens w:val="0"/>
              <w:autoSpaceDN/>
              <w:jc w:val="right"/>
              <w:rPr>
                <w:rFonts w:ascii="Arial" w:eastAsia="Calibri" w:hAnsi="Arial" w:cs="Arial"/>
                <w:sz w:val="18"/>
                <w:szCs w:val="18"/>
                <w:lang w:val="hr-HR"/>
              </w:rPr>
            </w:pPr>
            <w:r w:rsidRPr="00587444">
              <w:rPr>
                <w:rFonts w:ascii="Arial" w:hAnsi="Arial" w:cs="Arial"/>
                <w:sz w:val="18"/>
                <w:szCs w:val="18"/>
              </w:rPr>
              <w:t xml:space="preserve"> (127,637)</w:t>
            </w:r>
          </w:p>
        </w:tc>
        <w:tc>
          <w:tcPr>
            <w:tcW w:w="559" w:type="pct"/>
            <w:vAlign w:val="bottom"/>
          </w:tcPr>
          <w:p w14:paraId="019808A1" w14:textId="77777777" w:rsidR="00587444" w:rsidRPr="00587444" w:rsidRDefault="00587444" w:rsidP="00587444">
            <w:pPr>
              <w:suppressAutoHyphens w:val="0"/>
              <w:autoSpaceDN/>
              <w:jc w:val="right"/>
              <w:rPr>
                <w:rFonts w:ascii="Arial" w:eastAsia="Calibri" w:hAnsi="Arial" w:cs="Arial"/>
                <w:sz w:val="18"/>
                <w:szCs w:val="18"/>
                <w:lang w:val="hr-HR"/>
              </w:rPr>
            </w:pPr>
            <w:r w:rsidRPr="00587444">
              <w:rPr>
                <w:rFonts w:ascii="Arial" w:hAnsi="Arial" w:cs="Arial"/>
                <w:sz w:val="18"/>
                <w:szCs w:val="18"/>
              </w:rPr>
              <w:t xml:space="preserve"> (164,485)</w:t>
            </w:r>
          </w:p>
        </w:tc>
        <w:tc>
          <w:tcPr>
            <w:tcW w:w="547" w:type="pct"/>
            <w:vAlign w:val="bottom"/>
          </w:tcPr>
          <w:p w14:paraId="408FC45B" w14:textId="77777777" w:rsidR="00587444" w:rsidRPr="00587444" w:rsidRDefault="00587444" w:rsidP="00587444">
            <w:pPr>
              <w:suppressAutoHyphens w:val="0"/>
              <w:autoSpaceDN/>
              <w:jc w:val="right"/>
              <w:rPr>
                <w:rFonts w:ascii="Arial" w:eastAsia="Calibri" w:hAnsi="Arial" w:cs="Arial"/>
                <w:sz w:val="18"/>
                <w:szCs w:val="18"/>
                <w:lang w:val="hr-HR"/>
              </w:rPr>
            </w:pPr>
            <w:r w:rsidRPr="00587444">
              <w:rPr>
                <w:rFonts w:ascii="Arial" w:hAnsi="Arial" w:cs="Arial"/>
                <w:sz w:val="18"/>
                <w:szCs w:val="18"/>
              </w:rPr>
              <w:t xml:space="preserve"> - </w:t>
            </w:r>
          </w:p>
        </w:tc>
        <w:tc>
          <w:tcPr>
            <w:tcW w:w="618" w:type="pct"/>
            <w:gridSpan w:val="2"/>
            <w:vAlign w:val="bottom"/>
          </w:tcPr>
          <w:p w14:paraId="666CB5EB" w14:textId="77777777" w:rsidR="00587444" w:rsidRPr="00587444" w:rsidRDefault="00587444" w:rsidP="00587444">
            <w:pPr>
              <w:suppressAutoHyphens w:val="0"/>
              <w:autoSpaceDN/>
              <w:jc w:val="right"/>
              <w:rPr>
                <w:rFonts w:ascii="Arial" w:eastAsia="Calibri" w:hAnsi="Arial" w:cs="Arial"/>
                <w:sz w:val="18"/>
                <w:szCs w:val="18"/>
                <w:lang w:val="hr-HR"/>
              </w:rPr>
            </w:pPr>
            <w:r w:rsidRPr="00587444">
              <w:rPr>
                <w:rFonts w:ascii="Arial" w:hAnsi="Arial" w:cs="Arial"/>
                <w:sz w:val="18"/>
                <w:szCs w:val="18"/>
              </w:rPr>
              <w:t xml:space="preserve"> - </w:t>
            </w:r>
          </w:p>
        </w:tc>
      </w:tr>
      <w:tr w:rsidR="00587444" w:rsidRPr="00587444" w14:paraId="6CB89568" w14:textId="77777777" w:rsidTr="00DD69E7">
        <w:trPr>
          <w:trHeight w:hRule="exact" w:val="280"/>
        </w:trPr>
        <w:tc>
          <w:tcPr>
            <w:tcW w:w="2160" w:type="pct"/>
            <w:vAlign w:val="bottom"/>
          </w:tcPr>
          <w:p w14:paraId="5784C259"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558" w:type="pct"/>
            <w:vAlign w:val="bottom"/>
          </w:tcPr>
          <w:p w14:paraId="1B20A707" w14:textId="77777777" w:rsidR="00587444" w:rsidRPr="00587444" w:rsidRDefault="00587444" w:rsidP="00587444">
            <w:pPr>
              <w:suppressAutoHyphens w:val="0"/>
              <w:autoSpaceDN/>
              <w:jc w:val="right"/>
              <w:rPr>
                <w:rFonts w:ascii="Arial" w:eastAsia="Calibri" w:hAnsi="Arial" w:cs="Arial"/>
                <w:sz w:val="18"/>
                <w:szCs w:val="18"/>
                <w:lang w:val="hr-HR"/>
              </w:rPr>
            </w:pPr>
            <w:r w:rsidRPr="00587444">
              <w:rPr>
                <w:rFonts w:ascii="Arial" w:hAnsi="Arial" w:cs="Arial"/>
                <w:sz w:val="18"/>
                <w:szCs w:val="18"/>
              </w:rPr>
              <w:t xml:space="preserve"> (80,150)</w:t>
            </w:r>
          </w:p>
        </w:tc>
        <w:tc>
          <w:tcPr>
            <w:tcW w:w="558" w:type="pct"/>
            <w:vAlign w:val="bottom"/>
          </w:tcPr>
          <w:p w14:paraId="4EB47116" w14:textId="77777777" w:rsidR="00587444" w:rsidRPr="00587444" w:rsidRDefault="00587444" w:rsidP="00587444">
            <w:pPr>
              <w:suppressAutoHyphens w:val="0"/>
              <w:autoSpaceDN/>
              <w:jc w:val="right"/>
              <w:rPr>
                <w:rFonts w:ascii="Arial" w:eastAsia="Calibri" w:hAnsi="Arial" w:cs="Arial"/>
                <w:sz w:val="18"/>
                <w:szCs w:val="18"/>
                <w:lang w:val="hr-HR"/>
              </w:rPr>
            </w:pPr>
            <w:r w:rsidRPr="00587444">
              <w:rPr>
                <w:rFonts w:ascii="Arial" w:hAnsi="Arial" w:cs="Arial"/>
                <w:sz w:val="18"/>
                <w:szCs w:val="18"/>
              </w:rPr>
              <w:t xml:space="preserve"> 83,568 </w:t>
            </w:r>
          </w:p>
        </w:tc>
        <w:tc>
          <w:tcPr>
            <w:tcW w:w="559" w:type="pct"/>
            <w:vAlign w:val="bottom"/>
          </w:tcPr>
          <w:p w14:paraId="7B634602" w14:textId="77777777" w:rsidR="00587444" w:rsidRPr="00587444" w:rsidRDefault="00587444" w:rsidP="00587444">
            <w:pPr>
              <w:suppressAutoHyphens w:val="0"/>
              <w:autoSpaceDN/>
              <w:jc w:val="right"/>
              <w:rPr>
                <w:rFonts w:ascii="Arial" w:eastAsia="Calibri" w:hAnsi="Arial" w:cs="Arial"/>
                <w:sz w:val="18"/>
                <w:szCs w:val="18"/>
                <w:lang w:val="hr-HR"/>
              </w:rPr>
            </w:pPr>
            <w:r w:rsidRPr="00587444">
              <w:rPr>
                <w:rFonts w:ascii="Arial" w:hAnsi="Arial" w:cs="Arial"/>
                <w:sz w:val="18"/>
                <w:szCs w:val="18"/>
              </w:rPr>
              <w:t xml:space="preserve"> (3,418)</w:t>
            </w:r>
          </w:p>
        </w:tc>
        <w:tc>
          <w:tcPr>
            <w:tcW w:w="547" w:type="pct"/>
            <w:vAlign w:val="bottom"/>
          </w:tcPr>
          <w:p w14:paraId="2A81C5F2" w14:textId="77777777" w:rsidR="00587444" w:rsidRPr="00587444" w:rsidRDefault="00587444" w:rsidP="00587444">
            <w:pPr>
              <w:suppressAutoHyphens w:val="0"/>
              <w:autoSpaceDN/>
              <w:jc w:val="right"/>
              <w:rPr>
                <w:rFonts w:ascii="Arial" w:eastAsia="Calibri" w:hAnsi="Arial" w:cs="Arial"/>
                <w:sz w:val="18"/>
                <w:szCs w:val="18"/>
                <w:lang w:val="hr-HR"/>
              </w:rPr>
            </w:pPr>
            <w:r w:rsidRPr="00587444">
              <w:rPr>
                <w:rFonts w:ascii="Arial" w:hAnsi="Arial" w:cs="Arial"/>
                <w:sz w:val="18"/>
                <w:szCs w:val="18"/>
              </w:rPr>
              <w:t xml:space="preserve"> - </w:t>
            </w:r>
          </w:p>
        </w:tc>
        <w:tc>
          <w:tcPr>
            <w:tcW w:w="618" w:type="pct"/>
            <w:gridSpan w:val="2"/>
            <w:vAlign w:val="bottom"/>
          </w:tcPr>
          <w:p w14:paraId="4F939B45" w14:textId="77777777" w:rsidR="00587444" w:rsidRPr="00587444" w:rsidRDefault="00587444" w:rsidP="00587444">
            <w:pPr>
              <w:suppressAutoHyphens w:val="0"/>
              <w:autoSpaceDN/>
              <w:jc w:val="right"/>
              <w:rPr>
                <w:rFonts w:ascii="Arial" w:eastAsia="Calibri" w:hAnsi="Arial" w:cs="Arial"/>
                <w:sz w:val="18"/>
                <w:szCs w:val="18"/>
                <w:lang w:val="hr-HR"/>
              </w:rPr>
            </w:pPr>
            <w:r w:rsidRPr="00587444">
              <w:rPr>
                <w:rFonts w:ascii="Arial" w:hAnsi="Arial" w:cs="Arial"/>
                <w:sz w:val="18"/>
                <w:szCs w:val="18"/>
              </w:rPr>
              <w:t xml:space="preserve"> - </w:t>
            </w:r>
          </w:p>
        </w:tc>
      </w:tr>
      <w:tr w:rsidR="00587444" w:rsidRPr="00587444" w14:paraId="281349D8" w14:textId="77777777" w:rsidTr="00DD69E7">
        <w:trPr>
          <w:trHeight w:hRule="exact" w:val="280"/>
        </w:trPr>
        <w:tc>
          <w:tcPr>
            <w:tcW w:w="2160" w:type="pct"/>
            <w:vAlign w:val="bottom"/>
          </w:tcPr>
          <w:p w14:paraId="0048B3D7"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558" w:type="pct"/>
            <w:vAlign w:val="bottom"/>
          </w:tcPr>
          <w:p w14:paraId="0027F8B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(38)</w:t>
            </w:r>
          </w:p>
        </w:tc>
        <w:tc>
          <w:tcPr>
            <w:tcW w:w="558" w:type="pct"/>
            <w:vAlign w:val="bottom"/>
          </w:tcPr>
          <w:p w14:paraId="187DC53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(253,762)</w:t>
            </w:r>
          </w:p>
        </w:tc>
        <w:tc>
          <w:tcPr>
            <w:tcW w:w="559" w:type="pct"/>
            <w:vAlign w:val="bottom"/>
          </w:tcPr>
          <w:p w14:paraId="2C02FE46"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236,203 </w:t>
            </w:r>
          </w:p>
        </w:tc>
        <w:tc>
          <w:tcPr>
            <w:tcW w:w="547" w:type="pct"/>
            <w:vAlign w:val="bottom"/>
          </w:tcPr>
          <w:p w14:paraId="09E17F9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17,597 </w:t>
            </w:r>
          </w:p>
        </w:tc>
        <w:tc>
          <w:tcPr>
            <w:tcW w:w="618" w:type="pct"/>
            <w:gridSpan w:val="2"/>
            <w:vAlign w:val="bottom"/>
          </w:tcPr>
          <w:p w14:paraId="2AE82D01"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r>
      <w:tr w:rsidR="00587444" w:rsidRPr="00587444" w14:paraId="6E82F14E" w14:textId="77777777" w:rsidTr="00DD69E7">
        <w:trPr>
          <w:trHeight w:hRule="exact" w:val="280"/>
        </w:trPr>
        <w:tc>
          <w:tcPr>
            <w:tcW w:w="2160" w:type="pct"/>
            <w:vAlign w:val="bottom"/>
          </w:tcPr>
          <w:p w14:paraId="0704AC14" w14:textId="77777777" w:rsidR="00587444" w:rsidRPr="00587444" w:rsidRDefault="00587444" w:rsidP="00587444">
            <w:pPr>
              <w:tabs>
                <w:tab w:val="right" w:pos="1202"/>
              </w:tabs>
              <w:suppressAutoHyphens w:val="0"/>
              <w:autoSpaceDN/>
              <w:outlineLvl w:val="0"/>
              <w:rPr>
                <w:rFonts w:ascii="Arial" w:eastAsia="Calibri" w:hAnsi="Arial" w:cs="Arial"/>
                <w:sz w:val="18"/>
                <w:szCs w:val="18"/>
                <w:highlight w:val="yellow"/>
                <w:lang w:val="en-GB"/>
              </w:rPr>
            </w:pPr>
            <w:r w:rsidRPr="00587444">
              <w:rPr>
                <w:rFonts w:ascii="Arial" w:eastAsia="Calibri" w:hAnsi="Arial" w:cs="Arial"/>
                <w:sz w:val="18"/>
                <w:szCs w:val="18"/>
                <w:lang w:val="en-GB"/>
              </w:rPr>
              <w:t>Net (release)/increase/of loss allowance</w:t>
            </w:r>
          </w:p>
        </w:tc>
        <w:tc>
          <w:tcPr>
            <w:tcW w:w="558" w:type="pct"/>
            <w:vAlign w:val="bottom"/>
          </w:tcPr>
          <w:p w14:paraId="594A2F1D" w14:textId="77777777" w:rsidR="00587444" w:rsidRPr="00587444" w:rsidRDefault="00587444" w:rsidP="00587444">
            <w:pPr>
              <w:suppressAutoHyphens w:val="0"/>
              <w:autoSpaceDN/>
              <w:jc w:val="right"/>
              <w:rPr>
                <w:rFonts w:ascii="Arial" w:eastAsia="Calibri" w:hAnsi="Arial" w:cs="Arial"/>
                <w:sz w:val="18"/>
                <w:szCs w:val="18"/>
                <w:highlight w:val="yellow"/>
                <w:lang w:val="en-GB"/>
              </w:rPr>
            </w:pPr>
            <w:r w:rsidRPr="00587444">
              <w:rPr>
                <w:rFonts w:ascii="Arial" w:hAnsi="Arial" w:cs="Arial"/>
                <w:sz w:val="18"/>
                <w:szCs w:val="18"/>
              </w:rPr>
              <w:t xml:space="preserve"> (230,023)</w:t>
            </w:r>
          </w:p>
        </w:tc>
        <w:tc>
          <w:tcPr>
            <w:tcW w:w="558" w:type="pct"/>
            <w:vAlign w:val="bottom"/>
          </w:tcPr>
          <w:p w14:paraId="0DFE600D" w14:textId="77777777" w:rsidR="00587444" w:rsidRPr="00587444" w:rsidRDefault="00587444" w:rsidP="00587444">
            <w:pPr>
              <w:suppressAutoHyphens w:val="0"/>
              <w:autoSpaceDN/>
              <w:jc w:val="right"/>
              <w:rPr>
                <w:rFonts w:ascii="Arial" w:eastAsia="Calibri" w:hAnsi="Arial" w:cs="Arial"/>
                <w:sz w:val="18"/>
                <w:szCs w:val="18"/>
                <w:highlight w:val="yellow"/>
                <w:lang w:val="en-GB"/>
              </w:rPr>
            </w:pPr>
            <w:r w:rsidRPr="00587444">
              <w:rPr>
                <w:rFonts w:ascii="Arial" w:hAnsi="Arial" w:cs="Arial"/>
                <w:sz w:val="18"/>
                <w:szCs w:val="18"/>
              </w:rPr>
              <w:t xml:space="preserve"> 525,969 </w:t>
            </w:r>
          </w:p>
        </w:tc>
        <w:tc>
          <w:tcPr>
            <w:tcW w:w="559" w:type="pct"/>
            <w:vAlign w:val="bottom"/>
          </w:tcPr>
          <w:p w14:paraId="72B79781" w14:textId="77777777" w:rsidR="00587444" w:rsidRPr="00587444" w:rsidRDefault="00587444" w:rsidP="00587444">
            <w:pPr>
              <w:suppressAutoHyphens w:val="0"/>
              <w:autoSpaceDN/>
              <w:jc w:val="right"/>
              <w:rPr>
                <w:rFonts w:ascii="Arial" w:eastAsia="Calibri" w:hAnsi="Arial" w:cs="Arial"/>
                <w:sz w:val="18"/>
                <w:szCs w:val="18"/>
                <w:highlight w:val="yellow"/>
                <w:lang w:val="en-GB"/>
              </w:rPr>
            </w:pPr>
            <w:r w:rsidRPr="00587444">
              <w:rPr>
                <w:rFonts w:ascii="Arial" w:hAnsi="Arial" w:cs="Arial"/>
                <w:sz w:val="18"/>
                <w:szCs w:val="18"/>
              </w:rPr>
              <w:t xml:space="preserve"> (40,533)</w:t>
            </w:r>
          </w:p>
        </w:tc>
        <w:tc>
          <w:tcPr>
            <w:tcW w:w="547" w:type="pct"/>
            <w:vAlign w:val="bottom"/>
          </w:tcPr>
          <w:p w14:paraId="083C2654" w14:textId="77777777" w:rsidR="00587444" w:rsidRPr="00587444" w:rsidRDefault="00587444" w:rsidP="00587444">
            <w:pPr>
              <w:suppressAutoHyphens w:val="0"/>
              <w:autoSpaceDN/>
              <w:jc w:val="right"/>
              <w:rPr>
                <w:rFonts w:ascii="Arial" w:eastAsia="Calibri" w:hAnsi="Arial" w:cs="Arial"/>
                <w:sz w:val="18"/>
                <w:szCs w:val="18"/>
                <w:highlight w:val="yellow"/>
                <w:lang w:val="en-GB"/>
              </w:rPr>
            </w:pPr>
            <w:r w:rsidRPr="00587444">
              <w:rPr>
                <w:rFonts w:ascii="Arial" w:hAnsi="Arial" w:cs="Arial"/>
                <w:sz w:val="18"/>
                <w:szCs w:val="18"/>
              </w:rPr>
              <w:t>(125,423)</w:t>
            </w:r>
          </w:p>
        </w:tc>
        <w:tc>
          <w:tcPr>
            <w:tcW w:w="618" w:type="pct"/>
            <w:gridSpan w:val="2"/>
            <w:vAlign w:val="bottom"/>
          </w:tcPr>
          <w:p w14:paraId="06971EBD" w14:textId="77777777" w:rsidR="00587444" w:rsidRPr="00587444" w:rsidRDefault="00587444" w:rsidP="00587444">
            <w:pPr>
              <w:suppressAutoHyphens w:val="0"/>
              <w:autoSpaceDN/>
              <w:jc w:val="right"/>
              <w:rPr>
                <w:rFonts w:ascii="Arial" w:eastAsia="Calibri" w:hAnsi="Arial" w:cs="Arial"/>
                <w:sz w:val="18"/>
                <w:szCs w:val="18"/>
                <w:highlight w:val="yellow"/>
                <w:lang w:val="en-GB"/>
              </w:rPr>
            </w:pPr>
            <w:r w:rsidRPr="00587444">
              <w:rPr>
                <w:rFonts w:ascii="Arial" w:hAnsi="Arial" w:cs="Arial"/>
                <w:sz w:val="18"/>
                <w:szCs w:val="18"/>
              </w:rPr>
              <w:t xml:space="preserve"> 129,990 </w:t>
            </w:r>
          </w:p>
        </w:tc>
      </w:tr>
      <w:tr w:rsidR="00587444" w:rsidRPr="00587444" w14:paraId="6FF2A1C4" w14:textId="77777777" w:rsidTr="00DD69E7">
        <w:trPr>
          <w:trHeight w:hRule="exact" w:val="280"/>
        </w:trPr>
        <w:tc>
          <w:tcPr>
            <w:tcW w:w="2160" w:type="pct"/>
            <w:vAlign w:val="bottom"/>
          </w:tcPr>
          <w:p w14:paraId="30702377"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558" w:type="pct"/>
            <w:vAlign w:val="bottom"/>
          </w:tcPr>
          <w:p w14:paraId="590D55E2"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58" w:type="pct"/>
            <w:vAlign w:val="bottom"/>
          </w:tcPr>
          <w:p w14:paraId="6FA4AE2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59" w:type="pct"/>
            <w:vAlign w:val="bottom"/>
          </w:tcPr>
          <w:p w14:paraId="1BB9A2A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(48,304)</w:t>
            </w:r>
          </w:p>
        </w:tc>
        <w:tc>
          <w:tcPr>
            <w:tcW w:w="547" w:type="pct"/>
            <w:vAlign w:val="bottom"/>
          </w:tcPr>
          <w:p w14:paraId="3BA09E3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18" w:type="pct"/>
            <w:gridSpan w:val="2"/>
            <w:vAlign w:val="bottom"/>
          </w:tcPr>
          <w:p w14:paraId="1BE3099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(48,304)</w:t>
            </w:r>
          </w:p>
        </w:tc>
      </w:tr>
      <w:tr w:rsidR="00587444" w:rsidRPr="00587444" w14:paraId="4B39B842" w14:textId="77777777" w:rsidTr="00DD69E7">
        <w:trPr>
          <w:trHeight w:hRule="exact" w:val="280"/>
        </w:trPr>
        <w:tc>
          <w:tcPr>
            <w:tcW w:w="2160" w:type="pct"/>
            <w:vAlign w:val="center"/>
          </w:tcPr>
          <w:p w14:paraId="4A34CED8"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Unwinding – changes due to the lapse of time</w:t>
            </w:r>
          </w:p>
        </w:tc>
        <w:tc>
          <w:tcPr>
            <w:tcW w:w="558" w:type="pct"/>
            <w:vAlign w:val="bottom"/>
          </w:tcPr>
          <w:p w14:paraId="66F00B02"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(10,282)</w:t>
            </w:r>
          </w:p>
        </w:tc>
        <w:tc>
          <w:tcPr>
            <w:tcW w:w="558" w:type="pct"/>
            <w:vAlign w:val="bottom"/>
          </w:tcPr>
          <w:p w14:paraId="21E3441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(994)</w:t>
            </w:r>
          </w:p>
        </w:tc>
        <w:tc>
          <w:tcPr>
            <w:tcW w:w="559" w:type="pct"/>
            <w:vAlign w:val="bottom"/>
          </w:tcPr>
          <w:p w14:paraId="26B6E8B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6,997 </w:t>
            </w:r>
          </w:p>
        </w:tc>
        <w:tc>
          <w:tcPr>
            <w:tcW w:w="547" w:type="pct"/>
            <w:vAlign w:val="bottom"/>
          </w:tcPr>
          <w:p w14:paraId="520A723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18,138 </w:t>
            </w:r>
          </w:p>
        </w:tc>
        <w:tc>
          <w:tcPr>
            <w:tcW w:w="618" w:type="pct"/>
            <w:gridSpan w:val="2"/>
            <w:vAlign w:val="bottom"/>
          </w:tcPr>
          <w:p w14:paraId="75CCC1F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13,859 </w:t>
            </w:r>
          </w:p>
        </w:tc>
      </w:tr>
      <w:tr w:rsidR="00587444" w:rsidRPr="00587444" w14:paraId="0739A3AE" w14:textId="77777777" w:rsidTr="00DD69E7">
        <w:trPr>
          <w:trHeight w:val="251"/>
        </w:trPr>
        <w:tc>
          <w:tcPr>
            <w:tcW w:w="2160" w:type="pct"/>
            <w:vAlign w:val="center"/>
          </w:tcPr>
          <w:p w14:paraId="005E9752"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w:t>
            </w:r>
          </w:p>
        </w:tc>
        <w:tc>
          <w:tcPr>
            <w:tcW w:w="558" w:type="pct"/>
            <w:vAlign w:val="bottom"/>
          </w:tcPr>
          <w:p w14:paraId="47DFC20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58" w:type="pct"/>
            <w:vAlign w:val="bottom"/>
          </w:tcPr>
          <w:p w14:paraId="6E22C0C9"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59" w:type="pct"/>
            <w:vAlign w:val="bottom"/>
          </w:tcPr>
          <w:p w14:paraId="464AC32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47" w:type="pct"/>
            <w:vAlign w:val="bottom"/>
          </w:tcPr>
          <w:p w14:paraId="3D2C6FE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93,386 </w:t>
            </w:r>
          </w:p>
        </w:tc>
        <w:tc>
          <w:tcPr>
            <w:tcW w:w="618" w:type="pct"/>
            <w:gridSpan w:val="2"/>
            <w:vAlign w:val="bottom"/>
          </w:tcPr>
          <w:p w14:paraId="6CCCC8A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93,386 </w:t>
            </w:r>
          </w:p>
        </w:tc>
      </w:tr>
      <w:tr w:rsidR="00587444" w:rsidRPr="00587444" w14:paraId="1AF15312" w14:textId="77777777" w:rsidTr="00DD69E7">
        <w:trPr>
          <w:trHeight w:val="148"/>
        </w:trPr>
        <w:tc>
          <w:tcPr>
            <w:tcW w:w="2160" w:type="pct"/>
            <w:vAlign w:val="center"/>
          </w:tcPr>
          <w:p w14:paraId="6DA5AAFE" w14:textId="77777777" w:rsidR="00D75982"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foreign exchange gain/loss on loss </w:t>
            </w:r>
          </w:p>
          <w:p w14:paraId="4948FFEF" w14:textId="4AA9C2DE"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allowances</w:t>
            </w:r>
          </w:p>
        </w:tc>
        <w:tc>
          <w:tcPr>
            <w:tcW w:w="558" w:type="pct"/>
            <w:tcBorders>
              <w:top w:val="nil"/>
              <w:left w:val="nil"/>
              <w:bottom w:val="single" w:sz="4" w:space="0" w:color="auto"/>
              <w:right w:val="nil"/>
            </w:tcBorders>
            <w:vAlign w:val="bottom"/>
          </w:tcPr>
          <w:p w14:paraId="108F56BC"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2,993 </w:t>
            </w:r>
          </w:p>
        </w:tc>
        <w:tc>
          <w:tcPr>
            <w:tcW w:w="558" w:type="pct"/>
            <w:tcBorders>
              <w:top w:val="nil"/>
              <w:left w:val="nil"/>
              <w:bottom w:val="single" w:sz="4" w:space="0" w:color="auto"/>
              <w:right w:val="nil"/>
            </w:tcBorders>
            <w:vAlign w:val="bottom"/>
          </w:tcPr>
          <w:p w14:paraId="65FF14C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1,138 </w:t>
            </w:r>
          </w:p>
        </w:tc>
        <w:tc>
          <w:tcPr>
            <w:tcW w:w="559" w:type="pct"/>
            <w:tcBorders>
              <w:top w:val="nil"/>
              <w:left w:val="nil"/>
              <w:bottom w:val="single" w:sz="4" w:space="0" w:color="auto"/>
              <w:right w:val="nil"/>
            </w:tcBorders>
            <w:vAlign w:val="bottom"/>
          </w:tcPr>
          <w:p w14:paraId="05CD162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6,339 </w:t>
            </w:r>
          </w:p>
        </w:tc>
        <w:tc>
          <w:tcPr>
            <w:tcW w:w="547" w:type="pct"/>
            <w:tcBorders>
              <w:top w:val="nil"/>
              <w:left w:val="nil"/>
              <w:bottom w:val="single" w:sz="4" w:space="0" w:color="auto"/>
              <w:right w:val="nil"/>
            </w:tcBorders>
            <w:vAlign w:val="bottom"/>
          </w:tcPr>
          <w:p w14:paraId="27D6787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(292)</w:t>
            </w:r>
          </w:p>
        </w:tc>
        <w:tc>
          <w:tcPr>
            <w:tcW w:w="618" w:type="pct"/>
            <w:gridSpan w:val="2"/>
            <w:tcBorders>
              <w:top w:val="nil"/>
              <w:left w:val="nil"/>
              <w:bottom w:val="single" w:sz="4" w:space="0" w:color="auto"/>
              <w:right w:val="nil"/>
            </w:tcBorders>
            <w:vAlign w:val="bottom"/>
          </w:tcPr>
          <w:p w14:paraId="69D7E822"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10,178 </w:t>
            </w:r>
          </w:p>
        </w:tc>
      </w:tr>
      <w:tr w:rsidR="00587444" w:rsidRPr="00587444" w14:paraId="4A8354E5" w14:textId="77777777" w:rsidTr="00DD69E7">
        <w:trPr>
          <w:trHeight w:val="33"/>
        </w:trPr>
        <w:tc>
          <w:tcPr>
            <w:tcW w:w="2160" w:type="pct"/>
            <w:vAlign w:val="center"/>
          </w:tcPr>
          <w:p w14:paraId="370C908A"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2022</w:t>
            </w:r>
          </w:p>
        </w:tc>
        <w:tc>
          <w:tcPr>
            <w:tcW w:w="558" w:type="pct"/>
            <w:tcBorders>
              <w:top w:val="single" w:sz="4" w:space="0" w:color="auto"/>
              <w:left w:val="nil"/>
              <w:bottom w:val="single" w:sz="12" w:space="0" w:color="auto"/>
              <w:right w:val="nil"/>
            </w:tcBorders>
            <w:shd w:val="clear" w:color="auto" w:fill="auto"/>
            <w:vAlign w:val="bottom"/>
          </w:tcPr>
          <w:p w14:paraId="7811BE0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sz w:val="18"/>
                <w:szCs w:val="18"/>
                <w:lang w:val="en-GB"/>
              </w:rPr>
            </w:pPr>
            <w:r w:rsidRPr="00587444">
              <w:rPr>
                <w:rFonts w:ascii="Arial" w:hAnsi="Arial" w:cs="Arial"/>
                <w:b/>
                <w:bCs/>
                <w:sz w:val="18"/>
                <w:szCs w:val="18"/>
              </w:rPr>
              <w:t xml:space="preserve"> 356,231 </w:t>
            </w:r>
          </w:p>
        </w:tc>
        <w:tc>
          <w:tcPr>
            <w:tcW w:w="558" w:type="pct"/>
            <w:tcBorders>
              <w:top w:val="single" w:sz="4" w:space="0" w:color="auto"/>
              <w:left w:val="nil"/>
              <w:bottom w:val="single" w:sz="12" w:space="0" w:color="auto"/>
              <w:right w:val="nil"/>
            </w:tcBorders>
            <w:shd w:val="clear" w:color="auto" w:fill="auto"/>
            <w:vAlign w:val="bottom"/>
          </w:tcPr>
          <w:p w14:paraId="5BB4A9E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sz w:val="18"/>
                <w:szCs w:val="18"/>
                <w:lang w:val="en-GB"/>
              </w:rPr>
            </w:pPr>
            <w:r w:rsidRPr="00587444">
              <w:rPr>
                <w:rFonts w:ascii="Arial" w:hAnsi="Arial" w:cs="Arial"/>
                <w:b/>
                <w:bCs/>
                <w:sz w:val="18"/>
                <w:szCs w:val="18"/>
              </w:rPr>
              <w:t xml:space="preserve"> 784,089 </w:t>
            </w:r>
          </w:p>
        </w:tc>
        <w:tc>
          <w:tcPr>
            <w:tcW w:w="559" w:type="pct"/>
            <w:tcBorders>
              <w:top w:val="single" w:sz="4" w:space="0" w:color="auto"/>
              <w:left w:val="nil"/>
              <w:bottom w:val="single" w:sz="12" w:space="0" w:color="auto"/>
              <w:right w:val="nil"/>
            </w:tcBorders>
            <w:shd w:val="clear" w:color="auto" w:fill="auto"/>
            <w:vAlign w:val="bottom"/>
          </w:tcPr>
          <w:p w14:paraId="3CE5D63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sz w:val="18"/>
                <w:szCs w:val="18"/>
                <w:lang w:val="en-GB"/>
              </w:rPr>
            </w:pPr>
            <w:r w:rsidRPr="00587444">
              <w:rPr>
                <w:rFonts w:ascii="Arial" w:hAnsi="Arial" w:cs="Arial"/>
                <w:b/>
                <w:bCs/>
                <w:sz w:val="18"/>
                <w:szCs w:val="18"/>
              </w:rPr>
              <w:t xml:space="preserve">2,091,863 </w:t>
            </w:r>
          </w:p>
        </w:tc>
        <w:tc>
          <w:tcPr>
            <w:tcW w:w="547" w:type="pct"/>
            <w:tcBorders>
              <w:top w:val="single" w:sz="4" w:space="0" w:color="auto"/>
              <w:left w:val="nil"/>
              <w:bottom w:val="single" w:sz="12" w:space="0" w:color="auto"/>
              <w:right w:val="nil"/>
            </w:tcBorders>
            <w:shd w:val="clear" w:color="auto" w:fill="auto"/>
            <w:vAlign w:val="bottom"/>
          </w:tcPr>
          <w:p w14:paraId="5857954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sz w:val="18"/>
                <w:szCs w:val="18"/>
                <w:lang w:val="en-GB"/>
              </w:rPr>
            </w:pPr>
            <w:r w:rsidRPr="00587444">
              <w:rPr>
                <w:rFonts w:ascii="Arial" w:hAnsi="Arial" w:cs="Arial"/>
                <w:b/>
                <w:bCs/>
                <w:sz w:val="18"/>
                <w:szCs w:val="18"/>
              </w:rPr>
              <w:t xml:space="preserve"> 222,842 </w:t>
            </w:r>
          </w:p>
        </w:tc>
        <w:tc>
          <w:tcPr>
            <w:tcW w:w="618" w:type="pct"/>
            <w:gridSpan w:val="2"/>
            <w:tcBorders>
              <w:top w:val="single" w:sz="4" w:space="0" w:color="auto"/>
              <w:left w:val="nil"/>
              <w:bottom w:val="single" w:sz="12" w:space="0" w:color="auto"/>
              <w:right w:val="nil"/>
            </w:tcBorders>
            <w:shd w:val="clear" w:color="auto" w:fill="auto"/>
            <w:vAlign w:val="bottom"/>
          </w:tcPr>
          <w:p w14:paraId="3307BA5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sz w:val="18"/>
                <w:szCs w:val="18"/>
                <w:lang w:val="en-GB"/>
              </w:rPr>
            </w:pPr>
            <w:r w:rsidRPr="00587444">
              <w:rPr>
                <w:rFonts w:ascii="Arial" w:hAnsi="Arial" w:cs="Arial"/>
                <w:b/>
                <w:bCs/>
                <w:sz w:val="18"/>
                <w:szCs w:val="18"/>
              </w:rPr>
              <w:t xml:space="preserve"> 3,455,025 </w:t>
            </w:r>
          </w:p>
        </w:tc>
      </w:tr>
      <w:bookmarkEnd w:id="1152"/>
    </w:tbl>
    <w:p w14:paraId="2B5CBA1F" w14:textId="77777777" w:rsidR="00587444" w:rsidRPr="00587444" w:rsidRDefault="00587444" w:rsidP="00587444">
      <w:pPr>
        <w:suppressAutoHyphens w:val="0"/>
        <w:autoSpaceDN/>
        <w:rPr>
          <w:rFonts w:ascii="Arial" w:eastAsia="Calibri" w:hAnsi="Arial" w:cs="Arial"/>
          <w:noProof/>
          <w:sz w:val="20"/>
          <w:szCs w:val="20"/>
          <w:lang w:val="en-GB"/>
        </w:rPr>
      </w:pPr>
    </w:p>
    <w:p w14:paraId="1F5D0471"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25"/>
        <w:tblW w:w="4978" w:type="pct"/>
        <w:tblLayout w:type="fixed"/>
        <w:tblLook w:val="0000" w:firstRow="0" w:lastRow="0" w:firstColumn="0" w:lastColumn="0" w:noHBand="0" w:noVBand="0"/>
      </w:tblPr>
      <w:tblGrid>
        <w:gridCol w:w="4121"/>
        <w:gridCol w:w="1064"/>
        <w:gridCol w:w="1063"/>
        <w:gridCol w:w="1065"/>
        <w:gridCol w:w="1044"/>
        <w:gridCol w:w="1157"/>
        <w:gridCol w:w="15"/>
      </w:tblGrid>
      <w:tr w:rsidR="00587444" w:rsidRPr="00587444" w14:paraId="4B67EED7" w14:textId="77777777" w:rsidTr="00DD69E7">
        <w:trPr>
          <w:gridAfter w:val="1"/>
          <w:wAfter w:w="8" w:type="pct"/>
          <w:trHeight w:val="46"/>
        </w:trPr>
        <w:tc>
          <w:tcPr>
            <w:tcW w:w="2162" w:type="pct"/>
          </w:tcPr>
          <w:p w14:paraId="4E8019F9"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Group and Bank</w:t>
            </w:r>
          </w:p>
        </w:tc>
        <w:tc>
          <w:tcPr>
            <w:tcW w:w="2830" w:type="pct"/>
            <w:gridSpan w:val="5"/>
            <w:vAlign w:val="bottom"/>
          </w:tcPr>
          <w:p w14:paraId="237144C5"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743611D4" w14:textId="77777777" w:rsidTr="00DD69E7">
        <w:trPr>
          <w:trHeight w:val="46"/>
        </w:trPr>
        <w:tc>
          <w:tcPr>
            <w:tcW w:w="2162" w:type="pct"/>
          </w:tcPr>
          <w:p w14:paraId="6D428D90"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2021</w:t>
            </w:r>
          </w:p>
        </w:tc>
        <w:tc>
          <w:tcPr>
            <w:tcW w:w="558" w:type="pct"/>
            <w:vAlign w:val="bottom"/>
          </w:tcPr>
          <w:p w14:paraId="2D3DB6E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558" w:type="pct"/>
            <w:vAlign w:val="bottom"/>
          </w:tcPr>
          <w:p w14:paraId="339DF9C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559" w:type="pct"/>
            <w:vAlign w:val="bottom"/>
          </w:tcPr>
          <w:p w14:paraId="4E835267"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548" w:type="pct"/>
            <w:vAlign w:val="bottom"/>
          </w:tcPr>
          <w:p w14:paraId="1EFD2BD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16" w:type="pct"/>
            <w:gridSpan w:val="2"/>
            <w:vAlign w:val="bottom"/>
          </w:tcPr>
          <w:p w14:paraId="7187723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2DD554CA" w14:textId="77777777" w:rsidTr="00DD69E7">
        <w:trPr>
          <w:trHeight w:val="46"/>
        </w:trPr>
        <w:tc>
          <w:tcPr>
            <w:tcW w:w="2162" w:type="pct"/>
          </w:tcPr>
          <w:p w14:paraId="5956EE78" w14:textId="77777777" w:rsidR="00587444" w:rsidRPr="00587444" w:rsidRDefault="00587444" w:rsidP="00587444">
            <w:pPr>
              <w:suppressAutoHyphens w:val="0"/>
              <w:autoSpaceDN/>
              <w:rPr>
                <w:rFonts w:ascii="Arial" w:eastAsia="Calibri" w:hAnsi="Arial" w:cs="Arial"/>
                <w:b/>
                <w:bCs/>
                <w:sz w:val="18"/>
                <w:szCs w:val="18"/>
                <w:lang w:val="en-GB"/>
              </w:rPr>
            </w:pPr>
          </w:p>
        </w:tc>
        <w:tc>
          <w:tcPr>
            <w:tcW w:w="558" w:type="pct"/>
          </w:tcPr>
          <w:p w14:paraId="7707668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558" w:type="pct"/>
          </w:tcPr>
          <w:p w14:paraId="71F6442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559" w:type="pct"/>
          </w:tcPr>
          <w:p w14:paraId="0FA2767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548" w:type="pct"/>
          </w:tcPr>
          <w:p w14:paraId="66A6D63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16" w:type="pct"/>
            <w:gridSpan w:val="2"/>
          </w:tcPr>
          <w:p w14:paraId="2975F8C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68A2D5D5" w14:textId="77777777" w:rsidTr="00DD69E7">
        <w:trPr>
          <w:trHeight w:hRule="exact" w:val="111"/>
        </w:trPr>
        <w:tc>
          <w:tcPr>
            <w:tcW w:w="2162" w:type="pct"/>
          </w:tcPr>
          <w:p w14:paraId="6C229E33" w14:textId="77777777" w:rsidR="00587444" w:rsidRPr="00587444" w:rsidRDefault="00587444" w:rsidP="00587444">
            <w:pPr>
              <w:suppressAutoHyphens w:val="0"/>
              <w:autoSpaceDN/>
              <w:rPr>
                <w:rFonts w:ascii="Arial" w:eastAsia="Calibri" w:hAnsi="Arial" w:cs="Arial"/>
                <w:b/>
                <w:bCs/>
                <w:sz w:val="18"/>
                <w:szCs w:val="18"/>
                <w:lang w:val="en-GB"/>
              </w:rPr>
            </w:pPr>
          </w:p>
        </w:tc>
        <w:tc>
          <w:tcPr>
            <w:tcW w:w="558" w:type="pct"/>
          </w:tcPr>
          <w:p w14:paraId="071BFC0C"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558" w:type="pct"/>
          </w:tcPr>
          <w:p w14:paraId="57A11307"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559" w:type="pct"/>
          </w:tcPr>
          <w:p w14:paraId="5963D5FF"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548" w:type="pct"/>
          </w:tcPr>
          <w:p w14:paraId="66158B66"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16" w:type="pct"/>
            <w:gridSpan w:val="2"/>
          </w:tcPr>
          <w:p w14:paraId="6391BA3E"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5EC789BD" w14:textId="77777777" w:rsidTr="00DD69E7">
        <w:trPr>
          <w:trHeight w:hRule="exact" w:val="280"/>
        </w:trPr>
        <w:tc>
          <w:tcPr>
            <w:tcW w:w="2162" w:type="pct"/>
            <w:vAlign w:val="bottom"/>
          </w:tcPr>
          <w:p w14:paraId="49F22924"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2021</w:t>
            </w:r>
          </w:p>
        </w:tc>
        <w:tc>
          <w:tcPr>
            <w:tcW w:w="558" w:type="pct"/>
            <w:vAlign w:val="bottom"/>
          </w:tcPr>
          <w:p w14:paraId="6A211EF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353,077 </w:t>
            </w:r>
          </w:p>
        </w:tc>
        <w:tc>
          <w:tcPr>
            <w:tcW w:w="558" w:type="pct"/>
            <w:vAlign w:val="bottom"/>
          </w:tcPr>
          <w:p w14:paraId="13AE089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517,219 </w:t>
            </w:r>
          </w:p>
        </w:tc>
        <w:tc>
          <w:tcPr>
            <w:tcW w:w="559" w:type="pct"/>
            <w:vAlign w:val="bottom"/>
          </w:tcPr>
          <w:p w14:paraId="168BF29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2,422,493 </w:t>
            </w:r>
          </w:p>
        </w:tc>
        <w:tc>
          <w:tcPr>
            <w:tcW w:w="548" w:type="pct"/>
            <w:vAlign w:val="bottom"/>
          </w:tcPr>
          <w:p w14:paraId="11E6D9CF"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182,941 </w:t>
            </w:r>
          </w:p>
        </w:tc>
        <w:tc>
          <w:tcPr>
            <w:tcW w:w="616" w:type="pct"/>
            <w:gridSpan w:val="2"/>
            <w:vAlign w:val="bottom"/>
          </w:tcPr>
          <w:p w14:paraId="603EA83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3,475,730 </w:t>
            </w:r>
          </w:p>
        </w:tc>
      </w:tr>
      <w:tr w:rsidR="00587444" w:rsidRPr="00587444" w14:paraId="21869AA9" w14:textId="77777777" w:rsidTr="00DD69E7">
        <w:trPr>
          <w:trHeight w:hRule="exact" w:val="280"/>
        </w:trPr>
        <w:tc>
          <w:tcPr>
            <w:tcW w:w="2162" w:type="pct"/>
            <w:vAlign w:val="bottom"/>
          </w:tcPr>
          <w:p w14:paraId="27FBF001"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558" w:type="pct"/>
            <w:vAlign w:val="bottom"/>
          </w:tcPr>
          <w:p w14:paraId="07330FC3" w14:textId="77777777" w:rsidR="00587444" w:rsidRPr="00587444" w:rsidRDefault="00587444" w:rsidP="00587444">
            <w:pPr>
              <w:suppressAutoHyphens w:val="0"/>
              <w:autoSpaceDN/>
              <w:jc w:val="right"/>
              <w:rPr>
                <w:rFonts w:ascii="Arial" w:eastAsia="Calibri" w:hAnsi="Arial" w:cs="Arial"/>
                <w:sz w:val="18"/>
                <w:szCs w:val="18"/>
                <w:lang w:val="hr-HR"/>
              </w:rPr>
            </w:pPr>
            <w:r w:rsidRPr="00587444">
              <w:rPr>
                <w:rFonts w:ascii="Arial" w:hAnsi="Arial" w:cs="Arial"/>
                <w:sz w:val="18"/>
                <w:szCs w:val="18"/>
              </w:rPr>
              <w:t xml:space="preserve"> 379,435 </w:t>
            </w:r>
          </w:p>
        </w:tc>
        <w:tc>
          <w:tcPr>
            <w:tcW w:w="558" w:type="pct"/>
            <w:vAlign w:val="bottom"/>
          </w:tcPr>
          <w:p w14:paraId="4CF0648F" w14:textId="77777777" w:rsidR="00587444" w:rsidRPr="00587444" w:rsidRDefault="00587444" w:rsidP="00587444">
            <w:pPr>
              <w:suppressAutoHyphens w:val="0"/>
              <w:autoSpaceDN/>
              <w:jc w:val="right"/>
              <w:rPr>
                <w:rFonts w:ascii="Arial" w:eastAsia="Calibri" w:hAnsi="Arial" w:cs="Arial"/>
                <w:sz w:val="18"/>
                <w:szCs w:val="18"/>
                <w:lang w:val="hr-HR"/>
              </w:rPr>
            </w:pPr>
            <w:r w:rsidRPr="00587444">
              <w:rPr>
                <w:rFonts w:ascii="Arial" w:hAnsi="Arial" w:cs="Arial"/>
                <w:sz w:val="18"/>
                <w:szCs w:val="18"/>
              </w:rPr>
              <w:t xml:space="preserve"> (310,274)</w:t>
            </w:r>
          </w:p>
        </w:tc>
        <w:tc>
          <w:tcPr>
            <w:tcW w:w="559" w:type="pct"/>
            <w:vAlign w:val="bottom"/>
          </w:tcPr>
          <w:p w14:paraId="3D4EAF0C" w14:textId="77777777" w:rsidR="00587444" w:rsidRPr="00587444" w:rsidRDefault="00587444" w:rsidP="00587444">
            <w:pPr>
              <w:suppressAutoHyphens w:val="0"/>
              <w:autoSpaceDN/>
              <w:jc w:val="right"/>
              <w:rPr>
                <w:rFonts w:ascii="Arial" w:eastAsia="Calibri" w:hAnsi="Arial" w:cs="Arial"/>
                <w:sz w:val="18"/>
                <w:szCs w:val="18"/>
                <w:lang w:val="hr-HR"/>
              </w:rPr>
            </w:pPr>
            <w:r w:rsidRPr="00587444">
              <w:rPr>
                <w:rFonts w:ascii="Arial" w:hAnsi="Arial" w:cs="Arial"/>
                <w:sz w:val="18"/>
                <w:szCs w:val="18"/>
              </w:rPr>
              <w:t xml:space="preserve"> (69,161)</w:t>
            </w:r>
          </w:p>
        </w:tc>
        <w:tc>
          <w:tcPr>
            <w:tcW w:w="548" w:type="pct"/>
            <w:vAlign w:val="bottom"/>
          </w:tcPr>
          <w:p w14:paraId="0E9E24D2" w14:textId="77777777" w:rsidR="00587444" w:rsidRPr="00587444" w:rsidRDefault="00587444" w:rsidP="00587444">
            <w:pPr>
              <w:suppressAutoHyphens w:val="0"/>
              <w:autoSpaceDN/>
              <w:jc w:val="right"/>
              <w:rPr>
                <w:rFonts w:ascii="Arial" w:eastAsia="Calibri" w:hAnsi="Arial" w:cs="Arial"/>
                <w:sz w:val="18"/>
                <w:szCs w:val="18"/>
                <w:lang w:val="hr-HR"/>
              </w:rPr>
            </w:pPr>
            <w:r w:rsidRPr="00587444">
              <w:rPr>
                <w:rFonts w:ascii="Arial" w:hAnsi="Arial" w:cs="Arial"/>
                <w:sz w:val="18"/>
                <w:szCs w:val="18"/>
              </w:rPr>
              <w:t xml:space="preserve"> - </w:t>
            </w:r>
          </w:p>
        </w:tc>
        <w:tc>
          <w:tcPr>
            <w:tcW w:w="616" w:type="pct"/>
            <w:gridSpan w:val="2"/>
            <w:vAlign w:val="bottom"/>
          </w:tcPr>
          <w:p w14:paraId="63F74E60" w14:textId="77777777" w:rsidR="00587444" w:rsidRPr="00587444" w:rsidRDefault="00587444" w:rsidP="00587444">
            <w:pPr>
              <w:suppressAutoHyphens w:val="0"/>
              <w:autoSpaceDN/>
              <w:jc w:val="right"/>
              <w:rPr>
                <w:rFonts w:ascii="Arial" w:eastAsia="Calibri" w:hAnsi="Arial" w:cs="Arial"/>
                <w:sz w:val="18"/>
                <w:szCs w:val="18"/>
                <w:lang w:val="hr-HR"/>
              </w:rPr>
            </w:pPr>
            <w:r w:rsidRPr="00587444">
              <w:rPr>
                <w:rFonts w:ascii="Arial" w:hAnsi="Arial" w:cs="Arial"/>
                <w:sz w:val="18"/>
                <w:szCs w:val="18"/>
              </w:rPr>
              <w:t xml:space="preserve"> - </w:t>
            </w:r>
          </w:p>
        </w:tc>
      </w:tr>
      <w:tr w:rsidR="00587444" w:rsidRPr="00587444" w14:paraId="4E84B328" w14:textId="77777777" w:rsidTr="00DD69E7">
        <w:trPr>
          <w:trHeight w:hRule="exact" w:val="280"/>
        </w:trPr>
        <w:tc>
          <w:tcPr>
            <w:tcW w:w="2162" w:type="pct"/>
            <w:vAlign w:val="bottom"/>
          </w:tcPr>
          <w:p w14:paraId="43E7FA72"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558" w:type="pct"/>
            <w:vAlign w:val="bottom"/>
          </w:tcPr>
          <w:p w14:paraId="357FB1F8" w14:textId="77777777" w:rsidR="00587444" w:rsidRPr="00587444" w:rsidRDefault="00587444" w:rsidP="00587444">
            <w:pPr>
              <w:suppressAutoHyphens w:val="0"/>
              <w:autoSpaceDN/>
              <w:jc w:val="right"/>
              <w:rPr>
                <w:rFonts w:ascii="Arial" w:eastAsia="Calibri" w:hAnsi="Arial" w:cs="Arial"/>
                <w:sz w:val="18"/>
                <w:szCs w:val="18"/>
                <w:lang w:val="hr-HR"/>
              </w:rPr>
            </w:pPr>
            <w:r w:rsidRPr="00587444">
              <w:rPr>
                <w:rFonts w:ascii="Arial" w:hAnsi="Arial" w:cs="Arial"/>
                <w:sz w:val="18"/>
                <w:szCs w:val="18"/>
              </w:rPr>
              <w:t xml:space="preserve"> (38,794)</w:t>
            </w:r>
          </w:p>
        </w:tc>
        <w:tc>
          <w:tcPr>
            <w:tcW w:w="558" w:type="pct"/>
            <w:vAlign w:val="bottom"/>
          </w:tcPr>
          <w:p w14:paraId="7EDB46AA" w14:textId="77777777" w:rsidR="00587444" w:rsidRPr="00587444" w:rsidRDefault="00587444" w:rsidP="00587444">
            <w:pPr>
              <w:suppressAutoHyphens w:val="0"/>
              <w:autoSpaceDN/>
              <w:jc w:val="right"/>
              <w:rPr>
                <w:rFonts w:ascii="Arial" w:eastAsia="Calibri" w:hAnsi="Arial" w:cs="Arial"/>
                <w:sz w:val="18"/>
                <w:szCs w:val="18"/>
                <w:lang w:val="hr-HR"/>
              </w:rPr>
            </w:pPr>
            <w:r w:rsidRPr="00587444">
              <w:rPr>
                <w:rFonts w:ascii="Arial" w:hAnsi="Arial" w:cs="Arial"/>
                <w:sz w:val="18"/>
                <w:szCs w:val="18"/>
              </w:rPr>
              <w:t xml:space="preserve"> 46,782 </w:t>
            </w:r>
          </w:p>
        </w:tc>
        <w:tc>
          <w:tcPr>
            <w:tcW w:w="559" w:type="pct"/>
            <w:vAlign w:val="bottom"/>
          </w:tcPr>
          <w:p w14:paraId="3D32E437" w14:textId="77777777" w:rsidR="00587444" w:rsidRPr="00587444" w:rsidRDefault="00587444" w:rsidP="00587444">
            <w:pPr>
              <w:suppressAutoHyphens w:val="0"/>
              <w:autoSpaceDN/>
              <w:jc w:val="right"/>
              <w:rPr>
                <w:rFonts w:ascii="Arial" w:eastAsia="Calibri" w:hAnsi="Arial" w:cs="Arial"/>
                <w:sz w:val="18"/>
                <w:szCs w:val="18"/>
                <w:lang w:val="hr-HR"/>
              </w:rPr>
            </w:pPr>
            <w:r w:rsidRPr="00587444">
              <w:rPr>
                <w:rFonts w:ascii="Arial" w:hAnsi="Arial" w:cs="Arial"/>
                <w:sz w:val="18"/>
                <w:szCs w:val="18"/>
              </w:rPr>
              <w:t xml:space="preserve"> (7,988)</w:t>
            </w:r>
          </w:p>
        </w:tc>
        <w:tc>
          <w:tcPr>
            <w:tcW w:w="548" w:type="pct"/>
            <w:vAlign w:val="bottom"/>
          </w:tcPr>
          <w:p w14:paraId="6469E094" w14:textId="77777777" w:rsidR="00587444" w:rsidRPr="00587444" w:rsidRDefault="00587444" w:rsidP="00587444">
            <w:pPr>
              <w:suppressAutoHyphens w:val="0"/>
              <w:autoSpaceDN/>
              <w:jc w:val="right"/>
              <w:rPr>
                <w:rFonts w:ascii="Arial" w:eastAsia="Calibri" w:hAnsi="Arial" w:cs="Arial"/>
                <w:sz w:val="18"/>
                <w:szCs w:val="18"/>
                <w:lang w:val="hr-HR"/>
              </w:rPr>
            </w:pPr>
            <w:r w:rsidRPr="00587444">
              <w:rPr>
                <w:rFonts w:ascii="Arial" w:hAnsi="Arial" w:cs="Arial"/>
                <w:sz w:val="18"/>
                <w:szCs w:val="18"/>
              </w:rPr>
              <w:t xml:space="preserve"> - </w:t>
            </w:r>
          </w:p>
        </w:tc>
        <w:tc>
          <w:tcPr>
            <w:tcW w:w="616" w:type="pct"/>
            <w:gridSpan w:val="2"/>
            <w:vAlign w:val="bottom"/>
          </w:tcPr>
          <w:p w14:paraId="4CD97C5C" w14:textId="77777777" w:rsidR="00587444" w:rsidRPr="00587444" w:rsidRDefault="00587444" w:rsidP="00587444">
            <w:pPr>
              <w:suppressAutoHyphens w:val="0"/>
              <w:autoSpaceDN/>
              <w:jc w:val="right"/>
              <w:rPr>
                <w:rFonts w:ascii="Arial" w:eastAsia="Calibri" w:hAnsi="Arial" w:cs="Arial"/>
                <w:sz w:val="18"/>
                <w:szCs w:val="18"/>
                <w:lang w:val="hr-HR"/>
              </w:rPr>
            </w:pPr>
            <w:r w:rsidRPr="00587444">
              <w:rPr>
                <w:rFonts w:ascii="Arial" w:hAnsi="Arial" w:cs="Arial"/>
                <w:sz w:val="18"/>
                <w:szCs w:val="18"/>
              </w:rPr>
              <w:t xml:space="preserve"> - </w:t>
            </w:r>
          </w:p>
        </w:tc>
      </w:tr>
      <w:tr w:rsidR="00587444" w:rsidRPr="00587444" w14:paraId="58975AE7" w14:textId="77777777" w:rsidTr="00DD69E7">
        <w:trPr>
          <w:trHeight w:hRule="exact" w:val="280"/>
        </w:trPr>
        <w:tc>
          <w:tcPr>
            <w:tcW w:w="2162" w:type="pct"/>
            <w:vAlign w:val="bottom"/>
          </w:tcPr>
          <w:p w14:paraId="53D9E849"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558" w:type="pct"/>
            <w:vAlign w:val="bottom"/>
          </w:tcPr>
          <w:p w14:paraId="69B121C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(268)</w:t>
            </w:r>
          </w:p>
        </w:tc>
        <w:tc>
          <w:tcPr>
            <w:tcW w:w="558" w:type="pct"/>
            <w:vAlign w:val="bottom"/>
          </w:tcPr>
          <w:p w14:paraId="4B6A4A74"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(50,314)</w:t>
            </w:r>
          </w:p>
        </w:tc>
        <w:tc>
          <w:tcPr>
            <w:tcW w:w="559" w:type="pct"/>
            <w:vAlign w:val="bottom"/>
          </w:tcPr>
          <w:p w14:paraId="47B71896"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40,135 </w:t>
            </w:r>
          </w:p>
        </w:tc>
        <w:tc>
          <w:tcPr>
            <w:tcW w:w="548" w:type="pct"/>
            <w:vAlign w:val="bottom"/>
          </w:tcPr>
          <w:p w14:paraId="5637012A"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10,447 </w:t>
            </w:r>
          </w:p>
        </w:tc>
        <w:tc>
          <w:tcPr>
            <w:tcW w:w="616" w:type="pct"/>
            <w:gridSpan w:val="2"/>
            <w:vAlign w:val="bottom"/>
          </w:tcPr>
          <w:p w14:paraId="17349DD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r>
      <w:tr w:rsidR="00587444" w:rsidRPr="00587444" w14:paraId="3D5D8970" w14:textId="77777777" w:rsidTr="00DD69E7">
        <w:trPr>
          <w:trHeight w:hRule="exact" w:val="280"/>
        </w:trPr>
        <w:tc>
          <w:tcPr>
            <w:tcW w:w="2162" w:type="pct"/>
            <w:vAlign w:val="bottom"/>
          </w:tcPr>
          <w:p w14:paraId="4187330C" w14:textId="77777777" w:rsidR="00587444" w:rsidRPr="00587444" w:rsidRDefault="00587444" w:rsidP="00587444">
            <w:pPr>
              <w:tabs>
                <w:tab w:val="right" w:pos="1202"/>
              </w:tabs>
              <w:suppressAutoHyphens w:val="0"/>
              <w:autoSpaceDN/>
              <w:outlineLvl w:val="0"/>
              <w:rPr>
                <w:rFonts w:ascii="Arial" w:eastAsia="Calibri" w:hAnsi="Arial" w:cs="Arial"/>
                <w:sz w:val="18"/>
                <w:szCs w:val="18"/>
                <w:highlight w:val="yellow"/>
                <w:lang w:val="en-GB"/>
              </w:rPr>
            </w:pPr>
            <w:r w:rsidRPr="00587444">
              <w:rPr>
                <w:rFonts w:ascii="Arial" w:eastAsia="Calibri" w:hAnsi="Arial" w:cs="Arial"/>
                <w:sz w:val="18"/>
                <w:szCs w:val="18"/>
                <w:lang w:val="en-GB"/>
              </w:rPr>
              <w:t>Net increase/(release) of loss allowance</w:t>
            </w:r>
          </w:p>
        </w:tc>
        <w:tc>
          <w:tcPr>
            <w:tcW w:w="558" w:type="pct"/>
            <w:vAlign w:val="bottom"/>
          </w:tcPr>
          <w:p w14:paraId="7ABE391C" w14:textId="77777777" w:rsidR="00587444" w:rsidRPr="00587444" w:rsidRDefault="00587444" w:rsidP="00587444">
            <w:pPr>
              <w:suppressAutoHyphens w:val="0"/>
              <w:autoSpaceDN/>
              <w:jc w:val="right"/>
              <w:rPr>
                <w:rFonts w:ascii="Arial" w:eastAsia="Calibri" w:hAnsi="Arial" w:cs="Arial"/>
                <w:sz w:val="18"/>
                <w:szCs w:val="18"/>
                <w:highlight w:val="yellow"/>
                <w:lang w:val="en-GB"/>
              </w:rPr>
            </w:pPr>
            <w:r w:rsidRPr="00587444">
              <w:rPr>
                <w:rFonts w:ascii="Arial" w:hAnsi="Arial" w:cs="Arial"/>
                <w:sz w:val="18"/>
                <w:szCs w:val="18"/>
              </w:rPr>
              <w:t xml:space="preserve"> (276,372)</w:t>
            </w:r>
          </w:p>
        </w:tc>
        <w:tc>
          <w:tcPr>
            <w:tcW w:w="558" w:type="pct"/>
            <w:vAlign w:val="bottom"/>
          </w:tcPr>
          <w:p w14:paraId="6EA1DAA2" w14:textId="77777777" w:rsidR="00587444" w:rsidRPr="00587444" w:rsidRDefault="00587444" w:rsidP="00587444">
            <w:pPr>
              <w:suppressAutoHyphens w:val="0"/>
              <w:autoSpaceDN/>
              <w:jc w:val="right"/>
              <w:rPr>
                <w:rFonts w:ascii="Arial" w:eastAsia="Calibri" w:hAnsi="Arial" w:cs="Arial"/>
                <w:sz w:val="18"/>
                <w:szCs w:val="18"/>
                <w:highlight w:val="yellow"/>
                <w:lang w:val="en-GB"/>
              </w:rPr>
            </w:pPr>
            <w:r w:rsidRPr="00587444">
              <w:rPr>
                <w:rFonts w:ascii="Arial" w:hAnsi="Arial" w:cs="Arial"/>
                <w:sz w:val="18"/>
                <w:szCs w:val="18"/>
              </w:rPr>
              <w:t xml:space="preserve"> 353,926 </w:t>
            </w:r>
          </w:p>
        </w:tc>
        <w:tc>
          <w:tcPr>
            <w:tcW w:w="559" w:type="pct"/>
            <w:vAlign w:val="bottom"/>
          </w:tcPr>
          <w:p w14:paraId="524D759B" w14:textId="77777777" w:rsidR="00587444" w:rsidRPr="00587444" w:rsidRDefault="00587444" w:rsidP="00587444">
            <w:pPr>
              <w:suppressAutoHyphens w:val="0"/>
              <w:autoSpaceDN/>
              <w:jc w:val="right"/>
              <w:rPr>
                <w:rFonts w:ascii="Arial" w:eastAsia="Calibri" w:hAnsi="Arial" w:cs="Arial"/>
                <w:sz w:val="18"/>
                <w:szCs w:val="18"/>
                <w:highlight w:val="yellow"/>
                <w:lang w:val="en-GB"/>
              </w:rPr>
            </w:pPr>
            <w:r w:rsidRPr="00587444">
              <w:rPr>
                <w:rFonts w:ascii="Arial" w:hAnsi="Arial" w:cs="Arial"/>
                <w:sz w:val="18"/>
                <w:szCs w:val="18"/>
              </w:rPr>
              <w:t xml:space="preserve"> 53,002 </w:t>
            </w:r>
          </w:p>
        </w:tc>
        <w:tc>
          <w:tcPr>
            <w:tcW w:w="548" w:type="pct"/>
            <w:vAlign w:val="bottom"/>
          </w:tcPr>
          <w:p w14:paraId="00A5A5C9" w14:textId="77777777" w:rsidR="00587444" w:rsidRPr="00587444" w:rsidRDefault="00587444" w:rsidP="00587444">
            <w:pPr>
              <w:suppressAutoHyphens w:val="0"/>
              <w:autoSpaceDN/>
              <w:jc w:val="right"/>
              <w:rPr>
                <w:rFonts w:ascii="Arial" w:eastAsia="Calibri" w:hAnsi="Arial" w:cs="Arial"/>
                <w:sz w:val="18"/>
                <w:szCs w:val="18"/>
                <w:highlight w:val="yellow"/>
                <w:lang w:val="en-GB"/>
              </w:rPr>
            </w:pPr>
            <w:r w:rsidRPr="00587444">
              <w:rPr>
                <w:rFonts w:ascii="Arial" w:hAnsi="Arial" w:cs="Arial"/>
                <w:sz w:val="18"/>
                <w:szCs w:val="18"/>
              </w:rPr>
              <w:t xml:space="preserve"> (52,432)</w:t>
            </w:r>
          </w:p>
        </w:tc>
        <w:tc>
          <w:tcPr>
            <w:tcW w:w="616" w:type="pct"/>
            <w:gridSpan w:val="2"/>
            <w:vAlign w:val="bottom"/>
          </w:tcPr>
          <w:p w14:paraId="6DD5C7C4" w14:textId="77777777" w:rsidR="00587444" w:rsidRPr="00587444" w:rsidRDefault="00587444" w:rsidP="00587444">
            <w:pPr>
              <w:suppressAutoHyphens w:val="0"/>
              <w:autoSpaceDN/>
              <w:jc w:val="right"/>
              <w:rPr>
                <w:rFonts w:ascii="Arial" w:eastAsia="Calibri" w:hAnsi="Arial" w:cs="Arial"/>
                <w:sz w:val="18"/>
                <w:szCs w:val="18"/>
                <w:highlight w:val="yellow"/>
                <w:lang w:val="en-GB"/>
              </w:rPr>
            </w:pPr>
            <w:r w:rsidRPr="00587444">
              <w:rPr>
                <w:rFonts w:ascii="Arial" w:hAnsi="Arial" w:cs="Arial"/>
                <w:sz w:val="18"/>
                <w:szCs w:val="18"/>
              </w:rPr>
              <w:t xml:space="preserve"> 78,124 </w:t>
            </w:r>
          </w:p>
        </w:tc>
      </w:tr>
      <w:tr w:rsidR="00587444" w:rsidRPr="00587444" w14:paraId="28D461B7" w14:textId="77777777" w:rsidTr="00DD69E7">
        <w:trPr>
          <w:trHeight w:hRule="exact" w:val="280"/>
        </w:trPr>
        <w:tc>
          <w:tcPr>
            <w:tcW w:w="2162" w:type="pct"/>
            <w:vAlign w:val="bottom"/>
          </w:tcPr>
          <w:p w14:paraId="486E6DF8"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558" w:type="pct"/>
            <w:vAlign w:val="bottom"/>
          </w:tcPr>
          <w:p w14:paraId="4F7DAC9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(33,698)</w:t>
            </w:r>
          </w:p>
        </w:tc>
        <w:tc>
          <w:tcPr>
            <w:tcW w:w="558" w:type="pct"/>
            <w:vAlign w:val="bottom"/>
          </w:tcPr>
          <w:p w14:paraId="2353137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59" w:type="pct"/>
            <w:vAlign w:val="bottom"/>
          </w:tcPr>
          <w:p w14:paraId="451EAAAD"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(272,492)</w:t>
            </w:r>
          </w:p>
        </w:tc>
        <w:tc>
          <w:tcPr>
            <w:tcW w:w="548" w:type="pct"/>
            <w:vAlign w:val="bottom"/>
          </w:tcPr>
          <w:p w14:paraId="44867EA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16" w:type="pct"/>
            <w:gridSpan w:val="2"/>
            <w:vAlign w:val="bottom"/>
          </w:tcPr>
          <w:p w14:paraId="76B56AF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(306,190)</w:t>
            </w:r>
          </w:p>
        </w:tc>
      </w:tr>
      <w:tr w:rsidR="00587444" w:rsidRPr="00587444" w14:paraId="5BD0F9CD" w14:textId="77777777" w:rsidTr="00DD69E7">
        <w:trPr>
          <w:trHeight w:hRule="exact" w:val="280"/>
        </w:trPr>
        <w:tc>
          <w:tcPr>
            <w:tcW w:w="2162" w:type="pct"/>
            <w:vAlign w:val="center"/>
          </w:tcPr>
          <w:p w14:paraId="76B56BF0" w14:textId="6BE7E2BD"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Unwinding – changes due to the lapse of time</w:t>
            </w:r>
          </w:p>
        </w:tc>
        <w:tc>
          <w:tcPr>
            <w:tcW w:w="558" w:type="pct"/>
            <w:vAlign w:val="bottom"/>
          </w:tcPr>
          <w:p w14:paraId="28FADAD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(1,574)</w:t>
            </w:r>
          </w:p>
        </w:tc>
        <w:tc>
          <w:tcPr>
            <w:tcW w:w="558" w:type="pct"/>
            <w:vAlign w:val="bottom"/>
          </w:tcPr>
          <w:p w14:paraId="3AA9248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(1,131)</w:t>
            </w:r>
          </w:p>
        </w:tc>
        <w:tc>
          <w:tcPr>
            <w:tcW w:w="559" w:type="pct"/>
            <w:vAlign w:val="bottom"/>
          </w:tcPr>
          <w:p w14:paraId="05EADCAF"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7,575 </w:t>
            </w:r>
          </w:p>
        </w:tc>
        <w:tc>
          <w:tcPr>
            <w:tcW w:w="548" w:type="pct"/>
            <w:vAlign w:val="bottom"/>
          </w:tcPr>
          <w:p w14:paraId="1E20DB4D"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20,217 </w:t>
            </w:r>
          </w:p>
        </w:tc>
        <w:tc>
          <w:tcPr>
            <w:tcW w:w="616" w:type="pct"/>
            <w:gridSpan w:val="2"/>
            <w:vAlign w:val="bottom"/>
          </w:tcPr>
          <w:p w14:paraId="6D89D58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25,087 </w:t>
            </w:r>
          </w:p>
        </w:tc>
      </w:tr>
      <w:tr w:rsidR="00587444" w:rsidRPr="00587444" w14:paraId="236F6D2E" w14:textId="77777777" w:rsidTr="00DD69E7">
        <w:trPr>
          <w:trHeight w:val="296"/>
        </w:trPr>
        <w:tc>
          <w:tcPr>
            <w:tcW w:w="2162" w:type="pct"/>
            <w:vAlign w:val="bottom"/>
          </w:tcPr>
          <w:p w14:paraId="4C588760" w14:textId="77777777" w:rsidR="00D75982"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Loss allowances transferred from loans to </w:t>
            </w:r>
          </w:p>
          <w:p w14:paraId="7B0C0702" w14:textId="079DD09B"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financial institutions</w:t>
            </w:r>
          </w:p>
        </w:tc>
        <w:tc>
          <w:tcPr>
            <w:tcW w:w="558" w:type="pct"/>
            <w:vAlign w:val="bottom"/>
          </w:tcPr>
          <w:p w14:paraId="1775DA41"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58" w:type="pct"/>
            <w:vAlign w:val="bottom"/>
          </w:tcPr>
          <w:p w14:paraId="1F42B34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16 </w:t>
            </w:r>
          </w:p>
        </w:tc>
        <w:tc>
          <w:tcPr>
            <w:tcW w:w="559" w:type="pct"/>
            <w:vAlign w:val="bottom"/>
          </w:tcPr>
          <w:p w14:paraId="5CE45F1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48" w:type="pct"/>
            <w:vAlign w:val="bottom"/>
          </w:tcPr>
          <w:p w14:paraId="4020ED51"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16" w:type="pct"/>
            <w:gridSpan w:val="2"/>
            <w:vAlign w:val="bottom"/>
          </w:tcPr>
          <w:p w14:paraId="4A3D0ED9"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16 </w:t>
            </w:r>
          </w:p>
        </w:tc>
      </w:tr>
      <w:tr w:rsidR="00587444" w:rsidRPr="00587444" w14:paraId="36F64735" w14:textId="77777777" w:rsidTr="00DD69E7">
        <w:trPr>
          <w:trHeight w:val="156"/>
        </w:trPr>
        <w:tc>
          <w:tcPr>
            <w:tcW w:w="2162" w:type="pct"/>
            <w:vAlign w:val="center"/>
          </w:tcPr>
          <w:p w14:paraId="04BC4918"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Acquisition of immovable property</w:t>
            </w:r>
          </w:p>
        </w:tc>
        <w:tc>
          <w:tcPr>
            <w:tcW w:w="558" w:type="pct"/>
            <w:vAlign w:val="bottom"/>
          </w:tcPr>
          <w:p w14:paraId="464CC6D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58" w:type="pct"/>
            <w:vAlign w:val="bottom"/>
          </w:tcPr>
          <w:p w14:paraId="0A758EB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59" w:type="pct"/>
            <w:vAlign w:val="bottom"/>
          </w:tcPr>
          <w:p w14:paraId="5AEFA23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(737)</w:t>
            </w:r>
          </w:p>
        </w:tc>
        <w:tc>
          <w:tcPr>
            <w:tcW w:w="548" w:type="pct"/>
            <w:vAlign w:val="bottom"/>
          </w:tcPr>
          <w:p w14:paraId="362F2599"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16" w:type="pct"/>
            <w:gridSpan w:val="2"/>
            <w:vAlign w:val="bottom"/>
          </w:tcPr>
          <w:p w14:paraId="49C21D99"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(737)</w:t>
            </w:r>
          </w:p>
        </w:tc>
      </w:tr>
      <w:tr w:rsidR="00587444" w:rsidRPr="00587444" w14:paraId="53BA5500" w14:textId="77777777" w:rsidTr="00DD69E7">
        <w:trPr>
          <w:trHeight w:val="251"/>
        </w:trPr>
        <w:tc>
          <w:tcPr>
            <w:tcW w:w="2162" w:type="pct"/>
            <w:vAlign w:val="center"/>
          </w:tcPr>
          <w:p w14:paraId="211680D1"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Derecognition due to reduction to fair value</w:t>
            </w:r>
          </w:p>
        </w:tc>
        <w:tc>
          <w:tcPr>
            <w:tcW w:w="558" w:type="pct"/>
            <w:vAlign w:val="bottom"/>
          </w:tcPr>
          <w:p w14:paraId="77588D1E"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558" w:type="pct"/>
            <w:vAlign w:val="bottom"/>
          </w:tcPr>
          <w:p w14:paraId="1B2AA4C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559" w:type="pct"/>
            <w:vAlign w:val="bottom"/>
          </w:tcPr>
          <w:p w14:paraId="4DFFF08F"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(84,977)</w:t>
            </w:r>
          </w:p>
        </w:tc>
        <w:tc>
          <w:tcPr>
            <w:tcW w:w="548" w:type="pct"/>
            <w:vAlign w:val="bottom"/>
          </w:tcPr>
          <w:p w14:paraId="6EBC735D"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36,958 </w:t>
            </w:r>
          </w:p>
        </w:tc>
        <w:tc>
          <w:tcPr>
            <w:tcW w:w="616" w:type="pct"/>
            <w:gridSpan w:val="2"/>
            <w:vAlign w:val="bottom"/>
          </w:tcPr>
          <w:p w14:paraId="4EA2B9AF"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(48,019)</w:t>
            </w:r>
          </w:p>
        </w:tc>
      </w:tr>
      <w:tr w:rsidR="00587444" w:rsidRPr="00587444" w14:paraId="25E00EED" w14:textId="77777777" w:rsidTr="00DD69E7">
        <w:trPr>
          <w:trHeight w:val="251"/>
        </w:trPr>
        <w:tc>
          <w:tcPr>
            <w:tcW w:w="2162" w:type="pct"/>
            <w:vAlign w:val="center"/>
          </w:tcPr>
          <w:p w14:paraId="2E5BC674"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w:t>
            </w:r>
          </w:p>
        </w:tc>
        <w:tc>
          <w:tcPr>
            <w:tcW w:w="558" w:type="pct"/>
            <w:vAlign w:val="bottom"/>
          </w:tcPr>
          <w:p w14:paraId="11D927BC"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58" w:type="pct"/>
            <w:vAlign w:val="bottom"/>
          </w:tcPr>
          <w:p w14:paraId="52D617BC"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59" w:type="pct"/>
            <w:vAlign w:val="bottom"/>
          </w:tcPr>
          <w:p w14:paraId="7A59693A"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548" w:type="pct"/>
            <w:vAlign w:val="bottom"/>
          </w:tcPr>
          <w:p w14:paraId="5326BF6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21,427 </w:t>
            </w:r>
          </w:p>
        </w:tc>
        <w:tc>
          <w:tcPr>
            <w:tcW w:w="616" w:type="pct"/>
            <w:gridSpan w:val="2"/>
            <w:vAlign w:val="bottom"/>
          </w:tcPr>
          <w:p w14:paraId="108A54B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21,427 </w:t>
            </w:r>
          </w:p>
        </w:tc>
      </w:tr>
      <w:tr w:rsidR="00587444" w:rsidRPr="00587444" w14:paraId="4EABB373" w14:textId="77777777" w:rsidTr="00DD69E7">
        <w:trPr>
          <w:trHeight w:val="148"/>
        </w:trPr>
        <w:tc>
          <w:tcPr>
            <w:tcW w:w="2162" w:type="pct"/>
            <w:vAlign w:val="center"/>
          </w:tcPr>
          <w:p w14:paraId="0558A6B3" w14:textId="77777777" w:rsidR="00D75982"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foreign exchange gain/loss on loss </w:t>
            </w:r>
          </w:p>
          <w:p w14:paraId="1FA960E8" w14:textId="7B4E4922"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allowances</w:t>
            </w:r>
          </w:p>
        </w:tc>
        <w:tc>
          <w:tcPr>
            <w:tcW w:w="558" w:type="pct"/>
            <w:tcBorders>
              <w:top w:val="nil"/>
              <w:left w:val="nil"/>
              <w:bottom w:val="single" w:sz="4" w:space="0" w:color="auto"/>
              <w:right w:val="nil"/>
            </w:tcBorders>
            <w:vAlign w:val="bottom"/>
          </w:tcPr>
          <w:p w14:paraId="3FF770B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(197)</w:t>
            </w:r>
          </w:p>
        </w:tc>
        <w:tc>
          <w:tcPr>
            <w:tcW w:w="558" w:type="pct"/>
            <w:tcBorders>
              <w:top w:val="nil"/>
              <w:left w:val="nil"/>
              <w:bottom w:val="single" w:sz="4" w:space="0" w:color="auto"/>
              <w:right w:val="nil"/>
            </w:tcBorders>
            <w:vAlign w:val="bottom"/>
          </w:tcPr>
          <w:p w14:paraId="12ABB416"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(417)</w:t>
            </w:r>
          </w:p>
        </w:tc>
        <w:tc>
          <w:tcPr>
            <w:tcW w:w="559" w:type="pct"/>
            <w:tcBorders>
              <w:top w:val="nil"/>
              <w:left w:val="nil"/>
              <w:bottom w:val="single" w:sz="4" w:space="0" w:color="auto"/>
              <w:right w:val="nil"/>
            </w:tcBorders>
            <w:vAlign w:val="bottom"/>
          </w:tcPr>
          <w:p w14:paraId="60286BC9"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11,214 </w:t>
            </w:r>
          </w:p>
        </w:tc>
        <w:tc>
          <w:tcPr>
            <w:tcW w:w="548" w:type="pct"/>
            <w:tcBorders>
              <w:top w:val="nil"/>
              <w:left w:val="nil"/>
              <w:bottom w:val="single" w:sz="4" w:space="0" w:color="auto"/>
              <w:right w:val="nil"/>
            </w:tcBorders>
            <w:vAlign w:val="bottom"/>
          </w:tcPr>
          <w:p w14:paraId="09BBD5EA"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(122)</w:t>
            </w:r>
          </w:p>
        </w:tc>
        <w:tc>
          <w:tcPr>
            <w:tcW w:w="616" w:type="pct"/>
            <w:gridSpan w:val="2"/>
            <w:tcBorders>
              <w:top w:val="nil"/>
              <w:left w:val="nil"/>
              <w:bottom w:val="single" w:sz="4" w:space="0" w:color="auto"/>
              <w:right w:val="nil"/>
            </w:tcBorders>
            <w:vAlign w:val="bottom"/>
          </w:tcPr>
          <w:p w14:paraId="060A27F6"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10,478 </w:t>
            </w:r>
          </w:p>
        </w:tc>
      </w:tr>
      <w:tr w:rsidR="00587444" w:rsidRPr="00587444" w14:paraId="7A2296BC" w14:textId="77777777" w:rsidTr="00DD69E7">
        <w:trPr>
          <w:trHeight w:val="33"/>
        </w:trPr>
        <w:tc>
          <w:tcPr>
            <w:tcW w:w="2162" w:type="pct"/>
            <w:vAlign w:val="center"/>
          </w:tcPr>
          <w:p w14:paraId="2C102DA0"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2021</w:t>
            </w:r>
          </w:p>
        </w:tc>
        <w:tc>
          <w:tcPr>
            <w:tcW w:w="558" w:type="pct"/>
            <w:tcBorders>
              <w:top w:val="single" w:sz="4" w:space="0" w:color="auto"/>
              <w:left w:val="nil"/>
              <w:bottom w:val="single" w:sz="12" w:space="0" w:color="auto"/>
              <w:right w:val="nil"/>
            </w:tcBorders>
            <w:shd w:val="clear" w:color="auto" w:fill="auto"/>
            <w:vAlign w:val="bottom"/>
          </w:tcPr>
          <w:p w14:paraId="03B32DB8"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sz w:val="18"/>
                <w:szCs w:val="18"/>
                <w:lang w:val="en-GB"/>
              </w:rPr>
            </w:pPr>
            <w:r w:rsidRPr="00587444">
              <w:rPr>
                <w:rFonts w:ascii="Arial" w:hAnsi="Arial" w:cs="Arial"/>
                <w:b/>
                <w:bCs/>
                <w:sz w:val="18"/>
                <w:szCs w:val="18"/>
              </w:rPr>
              <w:t xml:space="preserve"> 381,609 </w:t>
            </w:r>
          </w:p>
        </w:tc>
        <w:tc>
          <w:tcPr>
            <w:tcW w:w="558" w:type="pct"/>
            <w:tcBorders>
              <w:top w:val="single" w:sz="4" w:space="0" w:color="auto"/>
              <w:left w:val="nil"/>
              <w:bottom w:val="single" w:sz="12" w:space="0" w:color="auto"/>
              <w:right w:val="nil"/>
            </w:tcBorders>
            <w:shd w:val="clear" w:color="auto" w:fill="auto"/>
            <w:vAlign w:val="bottom"/>
          </w:tcPr>
          <w:p w14:paraId="0BED901D"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sz w:val="18"/>
                <w:szCs w:val="18"/>
                <w:lang w:val="en-GB"/>
              </w:rPr>
            </w:pPr>
            <w:r w:rsidRPr="00587444">
              <w:rPr>
                <w:rFonts w:ascii="Arial" w:hAnsi="Arial" w:cs="Arial"/>
                <w:b/>
                <w:bCs/>
                <w:sz w:val="18"/>
                <w:szCs w:val="18"/>
              </w:rPr>
              <w:t xml:space="preserve"> 555,807 </w:t>
            </w:r>
          </w:p>
        </w:tc>
        <w:tc>
          <w:tcPr>
            <w:tcW w:w="559" w:type="pct"/>
            <w:tcBorders>
              <w:top w:val="single" w:sz="4" w:space="0" w:color="auto"/>
              <w:left w:val="nil"/>
              <w:bottom w:val="single" w:sz="12" w:space="0" w:color="auto"/>
              <w:right w:val="nil"/>
            </w:tcBorders>
            <w:shd w:val="clear" w:color="auto" w:fill="auto"/>
            <w:vAlign w:val="bottom"/>
          </w:tcPr>
          <w:p w14:paraId="33BE58B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sz w:val="18"/>
                <w:szCs w:val="18"/>
                <w:lang w:val="en-GB"/>
              </w:rPr>
            </w:pPr>
            <w:r w:rsidRPr="00587444">
              <w:rPr>
                <w:rFonts w:ascii="Arial" w:hAnsi="Arial" w:cs="Arial"/>
                <w:b/>
                <w:bCs/>
                <w:sz w:val="18"/>
                <w:szCs w:val="18"/>
              </w:rPr>
              <w:t xml:space="preserve">2,099,064 </w:t>
            </w:r>
          </w:p>
        </w:tc>
        <w:tc>
          <w:tcPr>
            <w:tcW w:w="548" w:type="pct"/>
            <w:tcBorders>
              <w:top w:val="single" w:sz="4" w:space="0" w:color="auto"/>
              <w:left w:val="nil"/>
              <w:bottom w:val="single" w:sz="12" w:space="0" w:color="auto"/>
              <w:right w:val="nil"/>
            </w:tcBorders>
            <w:shd w:val="clear" w:color="auto" w:fill="auto"/>
            <w:vAlign w:val="bottom"/>
          </w:tcPr>
          <w:p w14:paraId="285E3674"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sz w:val="18"/>
                <w:szCs w:val="18"/>
                <w:lang w:val="en-GB"/>
              </w:rPr>
            </w:pPr>
            <w:r w:rsidRPr="00587444">
              <w:rPr>
                <w:rFonts w:ascii="Arial" w:hAnsi="Arial" w:cs="Arial"/>
                <w:b/>
                <w:bCs/>
                <w:sz w:val="18"/>
                <w:szCs w:val="18"/>
              </w:rPr>
              <w:t xml:space="preserve"> 219,436 </w:t>
            </w:r>
          </w:p>
        </w:tc>
        <w:tc>
          <w:tcPr>
            <w:tcW w:w="616" w:type="pct"/>
            <w:gridSpan w:val="2"/>
            <w:tcBorders>
              <w:top w:val="single" w:sz="4" w:space="0" w:color="auto"/>
              <w:left w:val="nil"/>
              <w:bottom w:val="single" w:sz="12" w:space="0" w:color="auto"/>
              <w:right w:val="nil"/>
            </w:tcBorders>
            <w:shd w:val="clear" w:color="auto" w:fill="auto"/>
            <w:vAlign w:val="bottom"/>
          </w:tcPr>
          <w:p w14:paraId="415BCF0A"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sz w:val="18"/>
                <w:szCs w:val="18"/>
                <w:lang w:val="en-GB"/>
              </w:rPr>
            </w:pPr>
            <w:r w:rsidRPr="00587444">
              <w:rPr>
                <w:rFonts w:ascii="Arial" w:hAnsi="Arial" w:cs="Arial"/>
                <w:b/>
                <w:bCs/>
                <w:sz w:val="18"/>
                <w:szCs w:val="18"/>
              </w:rPr>
              <w:t xml:space="preserve"> 3,255,916 </w:t>
            </w:r>
          </w:p>
        </w:tc>
      </w:tr>
    </w:tbl>
    <w:p w14:paraId="1BFD9DEA"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D69E7">
          <w:pgSz w:w="11907" w:h="16840" w:code="9"/>
          <w:pgMar w:top="1418" w:right="1134" w:bottom="1134" w:left="1418" w:header="851" w:footer="851" w:gutter="0"/>
          <w:cols w:space="720"/>
          <w:noEndnote/>
        </w:sectPr>
      </w:pPr>
    </w:p>
    <w:p w14:paraId="6B9FD7F9" w14:textId="77777777" w:rsidR="00587444" w:rsidRPr="00587444" w:rsidRDefault="00587444" w:rsidP="00587444">
      <w:pPr>
        <w:suppressAutoHyphens w:val="0"/>
        <w:autoSpaceDN/>
        <w:jc w:val="both"/>
        <w:rPr>
          <w:rFonts w:ascii="Arial" w:hAnsi="Arial" w:cs="Arial"/>
          <w:b/>
          <w:bCs/>
          <w:sz w:val="20"/>
          <w:szCs w:val="20"/>
          <w:lang w:val="en-GB"/>
        </w:rPr>
      </w:pPr>
    </w:p>
    <w:p w14:paraId="6E2D4D9C"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B075813" w14:textId="77777777" w:rsidR="00587444" w:rsidRPr="00587444" w:rsidRDefault="00587444" w:rsidP="00587444">
      <w:pPr>
        <w:suppressAutoHyphens w:val="0"/>
        <w:autoSpaceDN/>
        <w:jc w:val="both"/>
        <w:rPr>
          <w:rFonts w:ascii="Arial" w:hAnsi="Arial" w:cs="Arial"/>
          <w:b/>
          <w:sz w:val="20"/>
          <w:szCs w:val="20"/>
          <w:lang w:val="en-GB"/>
        </w:rPr>
      </w:pPr>
    </w:p>
    <w:p w14:paraId="43CABB3A"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537D703E" w14:textId="77777777" w:rsidR="00587444" w:rsidRPr="00587444" w:rsidRDefault="00587444" w:rsidP="00587444">
      <w:pPr>
        <w:suppressAutoHyphens w:val="0"/>
        <w:autoSpaceDN/>
        <w:jc w:val="both"/>
        <w:rPr>
          <w:rFonts w:ascii="Arial" w:hAnsi="Arial" w:cs="Arial"/>
          <w:b/>
          <w:bCs/>
          <w:i/>
          <w:sz w:val="20"/>
          <w:szCs w:val="20"/>
          <w:lang w:val="en-GB"/>
        </w:rPr>
      </w:pPr>
    </w:p>
    <w:p w14:paraId="0E47E201" w14:textId="77777777" w:rsidR="00587444" w:rsidRPr="00587444" w:rsidRDefault="00587444">
      <w:pPr>
        <w:numPr>
          <w:ilvl w:val="8"/>
          <w:numId w:val="65"/>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76B5EDEB" w14:textId="77777777" w:rsidR="00587444" w:rsidRPr="00587444" w:rsidRDefault="00587444" w:rsidP="00587444">
      <w:pPr>
        <w:suppressAutoHyphens w:val="0"/>
        <w:autoSpaceDN/>
        <w:jc w:val="both"/>
        <w:rPr>
          <w:rFonts w:ascii="Arial" w:hAnsi="Arial" w:cs="Arial"/>
          <w:b/>
          <w:bCs/>
          <w:i/>
          <w:sz w:val="20"/>
          <w:szCs w:val="20"/>
          <w:lang w:val="en-GB"/>
        </w:rPr>
      </w:pPr>
    </w:p>
    <w:p w14:paraId="3C753AFF" w14:textId="77777777" w:rsidR="00587444" w:rsidRPr="00587444" w:rsidRDefault="00587444" w:rsidP="00587444">
      <w:pPr>
        <w:suppressAutoHyphens w:val="0"/>
        <w:autoSpaceDN/>
        <w:spacing w:after="120"/>
        <w:jc w:val="both"/>
        <w:rPr>
          <w:rFonts w:ascii="Arial" w:hAnsi="Arial" w:cs="Arial"/>
          <w:b/>
          <w:bCs/>
          <w:sz w:val="20"/>
          <w:szCs w:val="20"/>
          <w:lang w:val="en-GB"/>
        </w:rPr>
      </w:pPr>
      <w:r w:rsidRPr="00587444">
        <w:rPr>
          <w:rFonts w:ascii="Arial" w:hAnsi="Arial" w:cs="Arial"/>
          <w:b/>
          <w:bCs/>
          <w:sz w:val="20"/>
          <w:szCs w:val="20"/>
          <w:lang w:val="en-GB"/>
        </w:rPr>
        <w:t>Financial assets at fair value through other comprehensive income</w:t>
      </w:r>
    </w:p>
    <w:p w14:paraId="78650E64" w14:textId="77777777" w:rsidR="00587444" w:rsidRPr="00587444" w:rsidRDefault="00587444" w:rsidP="00587444">
      <w:pPr>
        <w:suppressAutoHyphens w:val="0"/>
        <w:autoSpaceDN/>
        <w:spacing w:after="120"/>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473"/>
        <w:gridCol w:w="1244"/>
        <w:gridCol w:w="1244"/>
        <w:gridCol w:w="1231"/>
        <w:gridCol w:w="1158"/>
        <w:gridCol w:w="1221"/>
      </w:tblGrid>
      <w:tr w:rsidR="00587444" w:rsidRPr="00587444" w14:paraId="61C60162" w14:textId="77777777" w:rsidTr="00DD69E7">
        <w:trPr>
          <w:trHeight w:val="153"/>
        </w:trPr>
        <w:tc>
          <w:tcPr>
            <w:tcW w:w="1814" w:type="pct"/>
          </w:tcPr>
          <w:p w14:paraId="57E616A6"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Group</w:t>
            </w:r>
          </w:p>
        </w:tc>
        <w:tc>
          <w:tcPr>
            <w:tcW w:w="3186" w:type="pct"/>
            <w:gridSpan w:val="5"/>
            <w:vAlign w:val="bottom"/>
          </w:tcPr>
          <w:p w14:paraId="30FFD61E"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6FCDAE9B" w14:textId="77777777" w:rsidTr="00DD69E7">
        <w:trPr>
          <w:trHeight w:val="51"/>
        </w:trPr>
        <w:tc>
          <w:tcPr>
            <w:tcW w:w="1814" w:type="pct"/>
          </w:tcPr>
          <w:p w14:paraId="042FE732"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2022</w:t>
            </w:r>
          </w:p>
        </w:tc>
        <w:tc>
          <w:tcPr>
            <w:tcW w:w="650" w:type="pct"/>
            <w:vAlign w:val="bottom"/>
          </w:tcPr>
          <w:p w14:paraId="3CC50D6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6EA10B8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334325D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320F51CB"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10C1A46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2A1AFCF9" w14:textId="77777777" w:rsidTr="00DD69E7">
        <w:trPr>
          <w:trHeight w:val="51"/>
        </w:trPr>
        <w:tc>
          <w:tcPr>
            <w:tcW w:w="1814" w:type="pct"/>
          </w:tcPr>
          <w:p w14:paraId="40B05550"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47C5B23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50" w:type="pct"/>
          </w:tcPr>
          <w:p w14:paraId="0652746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3" w:type="pct"/>
          </w:tcPr>
          <w:p w14:paraId="24490C8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05" w:type="pct"/>
          </w:tcPr>
          <w:p w14:paraId="21737BB4"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38" w:type="pct"/>
          </w:tcPr>
          <w:p w14:paraId="665D733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17AAEBF8" w14:textId="77777777" w:rsidTr="00DD69E7">
        <w:trPr>
          <w:trHeight w:val="74"/>
        </w:trPr>
        <w:tc>
          <w:tcPr>
            <w:tcW w:w="1814" w:type="pct"/>
          </w:tcPr>
          <w:p w14:paraId="6867A210"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6AC13632"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50" w:type="pct"/>
          </w:tcPr>
          <w:p w14:paraId="11491C12"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43" w:type="pct"/>
          </w:tcPr>
          <w:p w14:paraId="3CC69457"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05" w:type="pct"/>
          </w:tcPr>
          <w:p w14:paraId="2935911E"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38" w:type="pct"/>
          </w:tcPr>
          <w:p w14:paraId="070CF8A1" w14:textId="77777777" w:rsidR="00587444" w:rsidRPr="00587444" w:rsidRDefault="00587444" w:rsidP="00587444">
            <w:pPr>
              <w:suppressAutoHyphens w:val="0"/>
              <w:autoSpaceDN/>
              <w:jc w:val="right"/>
              <w:rPr>
                <w:rFonts w:ascii="Arial" w:eastAsia="Calibri" w:hAnsi="Arial" w:cs="Arial"/>
                <w:b/>
                <w:bCs/>
                <w:sz w:val="18"/>
                <w:szCs w:val="18"/>
                <w:lang w:val="en-GB"/>
              </w:rPr>
            </w:pPr>
          </w:p>
        </w:tc>
      </w:tr>
      <w:tr w:rsidR="00587444" w:rsidRPr="00587444" w14:paraId="1446C1AC" w14:textId="77777777" w:rsidTr="00DD69E7">
        <w:trPr>
          <w:trHeight w:hRule="exact" w:val="241"/>
        </w:trPr>
        <w:tc>
          <w:tcPr>
            <w:tcW w:w="1814" w:type="pct"/>
            <w:vAlign w:val="bottom"/>
          </w:tcPr>
          <w:p w14:paraId="132B3468"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2022</w:t>
            </w:r>
          </w:p>
        </w:tc>
        <w:tc>
          <w:tcPr>
            <w:tcW w:w="650" w:type="pct"/>
            <w:shd w:val="clear" w:color="auto" w:fill="auto"/>
            <w:vAlign w:val="bottom"/>
          </w:tcPr>
          <w:p w14:paraId="7B862CC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color w:val="000000"/>
                <w:sz w:val="18"/>
                <w:szCs w:val="18"/>
              </w:rPr>
              <w:t xml:space="preserve"> 2,814 </w:t>
            </w:r>
          </w:p>
        </w:tc>
        <w:tc>
          <w:tcPr>
            <w:tcW w:w="650" w:type="pct"/>
            <w:shd w:val="clear" w:color="auto" w:fill="auto"/>
            <w:vAlign w:val="bottom"/>
          </w:tcPr>
          <w:p w14:paraId="6571CF6C"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color w:val="000000"/>
                <w:sz w:val="18"/>
                <w:szCs w:val="18"/>
              </w:rPr>
              <w:t xml:space="preserve"> - </w:t>
            </w:r>
          </w:p>
        </w:tc>
        <w:tc>
          <w:tcPr>
            <w:tcW w:w="643" w:type="pct"/>
            <w:shd w:val="clear" w:color="auto" w:fill="auto"/>
            <w:vAlign w:val="bottom"/>
          </w:tcPr>
          <w:p w14:paraId="5A2F5459"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color w:val="000000"/>
                <w:sz w:val="18"/>
                <w:szCs w:val="18"/>
              </w:rPr>
              <w:t xml:space="preserve"> 1,731 </w:t>
            </w:r>
          </w:p>
        </w:tc>
        <w:tc>
          <w:tcPr>
            <w:tcW w:w="605" w:type="pct"/>
            <w:shd w:val="clear" w:color="auto" w:fill="auto"/>
            <w:vAlign w:val="bottom"/>
          </w:tcPr>
          <w:p w14:paraId="64C3CCAC"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color w:val="000000"/>
                <w:sz w:val="18"/>
                <w:szCs w:val="18"/>
              </w:rPr>
              <w:t xml:space="preserve">  -    </w:t>
            </w:r>
          </w:p>
        </w:tc>
        <w:tc>
          <w:tcPr>
            <w:tcW w:w="638" w:type="pct"/>
            <w:shd w:val="clear" w:color="auto" w:fill="auto"/>
            <w:vAlign w:val="bottom"/>
          </w:tcPr>
          <w:p w14:paraId="468FC35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color w:val="000000"/>
                <w:sz w:val="18"/>
                <w:szCs w:val="18"/>
              </w:rPr>
              <w:t xml:space="preserve"> 4,545 </w:t>
            </w:r>
          </w:p>
        </w:tc>
      </w:tr>
      <w:tr w:rsidR="00587444" w:rsidRPr="00587444" w14:paraId="771C2023" w14:textId="77777777" w:rsidTr="00DD69E7">
        <w:trPr>
          <w:trHeight w:hRule="exact" w:val="241"/>
        </w:trPr>
        <w:tc>
          <w:tcPr>
            <w:tcW w:w="1814" w:type="pct"/>
            <w:vAlign w:val="bottom"/>
          </w:tcPr>
          <w:p w14:paraId="798092C3"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shd w:val="clear" w:color="auto" w:fill="auto"/>
            <w:vAlign w:val="bottom"/>
          </w:tcPr>
          <w:p w14:paraId="548B3448"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color w:val="000000"/>
                <w:sz w:val="18"/>
                <w:szCs w:val="18"/>
              </w:rPr>
              <w:t xml:space="preserve"> - </w:t>
            </w:r>
          </w:p>
        </w:tc>
        <w:tc>
          <w:tcPr>
            <w:tcW w:w="650" w:type="pct"/>
            <w:shd w:val="clear" w:color="auto" w:fill="auto"/>
            <w:vAlign w:val="bottom"/>
          </w:tcPr>
          <w:p w14:paraId="7B61884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color w:val="000000"/>
                <w:sz w:val="18"/>
                <w:szCs w:val="18"/>
              </w:rPr>
              <w:t xml:space="preserve"> - </w:t>
            </w:r>
          </w:p>
        </w:tc>
        <w:tc>
          <w:tcPr>
            <w:tcW w:w="643" w:type="pct"/>
            <w:shd w:val="clear" w:color="auto" w:fill="auto"/>
            <w:vAlign w:val="bottom"/>
          </w:tcPr>
          <w:p w14:paraId="67B692CA"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color w:val="000000"/>
                <w:sz w:val="18"/>
                <w:szCs w:val="18"/>
              </w:rPr>
              <w:t xml:space="preserve"> - </w:t>
            </w:r>
          </w:p>
        </w:tc>
        <w:tc>
          <w:tcPr>
            <w:tcW w:w="605" w:type="pct"/>
            <w:shd w:val="clear" w:color="auto" w:fill="auto"/>
            <w:vAlign w:val="bottom"/>
          </w:tcPr>
          <w:p w14:paraId="622A3ECD"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color w:val="000000"/>
                <w:sz w:val="18"/>
                <w:szCs w:val="18"/>
              </w:rPr>
              <w:t xml:space="preserve"> - </w:t>
            </w:r>
          </w:p>
        </w:tc>
        <w:tc>
          <w:tcPr>
            <w:tcW w:w="638" w:type="pct"/>
            <w:shd w:val="clear" w:color="auto" w:fill="auto"/>
            <w:vAlign w:val="bottom"/>
          </w:tcPr>
          <w:p w14:paraId="09B81C2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color w:val="000000"/>
                <w:sz w:val="18"/>
                <w:szCs w:val="18"/>
              </w:rPr>
              <w:t xml:space="preserve"> - </w:t>
            </w:r>
          </w:p>
        </w:tc>
      </w:tr>
      <w:tr w:rsidR="00587444" w:rsidRPr="00587444" w14:paraId="5DA7566D" w14:textId="77777777" w:rsidTr="00DD69E7">
        <w:trPr>
          <w:trHeight w:hRule="exact" w:val="241"/>
        </w:trPr>
        <w:tc>
          <w:tcPr>
            <w:tcW w:w="1814" w:type="pct"/>
            <w:vAlign w:val="bottom"/>
          </w:tcPr>
          <w:p w14:paraId="0D09CC1D"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shd w:val="clear" w:color="auto" w:fill="auto"/>
            <w:vAlign w:val="bottom"/>
          </w:tcPr>
          <w:p w14:paraId="4BE82F81"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color w:val="000000"/>
                <w:sz w:val="18"/>
                <w:szCs w:val="18"/>
              </w:rPr>
              <w:t xml:space="preserve"> (42)</w:t>
            </w:r>
          </w:p>
        </w:tc>
        <w:tc>
          <w:tcPr>
            <w:tcW w:w="650" w:type="pct"/>
            <w:shd w:val="clear" w:color="auto" w:fill="auto"/>
            <w:vAlign w:val="bottom"/>
          </w:tcPr>
          <w:p w14:paraId="25733FD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color w:val="000000"/>
                <w:sz w:val="18"/>
                <w:szCs w:val="18"/>
              </w:rPr>
              <w:t xml:space="preserve"> 42 </w:t>
            </w:r>
          </w:p>
        </w:tc>
        <w:tc>
          <w:tcPr>
            <w:tcW w:w="643" w:type="pct"/>
            <w:shd w:val="clear" w:color="auto" w:fill="auto"/>
            <w:vAlign w:val="bottom"/>
          </w:tcPr>
          <w:p w14:paraId="51648B4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color w:val="000000"/>
                <w:sz w:val="18"/>
                <w:szCs w:val="18"/>
              </w:rPr>
              <w:t xml:space="preserve"> - </w:t>
            </w:r>
          </w:p>
        </w:tc>
        <w:tc>
          <w:tcPr>
            <w:tcW w:w="605" w:type="pct"/>
            <w:shd w:val="clear" w:color="auto" w:fill="auto"/>
            <w:vAlign w:val="bottom"/>
          </w:tcPr>
          <w:p w14:paraId="1940AFF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color w:val="000000"/>
                <w:sz w:val="18"/>
                <w:szCs w:val="18"/>
              </w:rPr>
              <w:t xml:space="preserve"> - </w:t>
            </w:r>
          </w:p>
        </w:tc>
        <w:tc>
          <w:tcPr>
            <w:tcW w:w="638" w:type="pct"/>
            <w:shd w:val="clear" w:color="auto" w:fill="auto"/>
            <w:vAlign w:val="bottom"/>
          </w:tcPr>
          <w:p w14:paraId="61AA4F0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color w:val="000000"/>
                <w:sz w:val="18"/>
                <w:szCs w:val="18"/>
              </w:rPr>
              <w:t xml:space="preserve"> - </w:t>
            </w:r>
          </w:p>
        </w:tc>
      </w:tr>
      <w:tr w:rsidR="00587444" w:rsidRPr="00587444" w14:paraId="18701D4F" w14:textId="77777777" w:rsidTr="00DD69E7">
        <w:trPr>
          <w:trHeight w:hRule="exact" w:val="241"/>
        </w:trPr>
        <w:tc>
          <w:tcPr>
            <w:tcW w:w="1814" w:type="pct"/>
            <w:vAlign w:val="bottom"/>
          </w:tcPr>
          <w:p w14:paraId="77AB6FFB"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shd w:val="clear" w:color="auto" w:fill="auto"/>
            <w:vAlign w:val="bottom"/>
          </w:tcPr>
          <w:p w14:paraId="06F3EEF7"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color w:val="000000"/>
                <w:sz w:val="18"/>
                <w:szCs w:val="18"/>
              </w:rPr>
              <w:t xml:space="preserve"> - </w:t>
            </w:r>
          </w:p>
        </w:tc>
        <w:tc>
          <w:tcPr>
            <w:tcW w:w="650" w:type="pct"/>
            <w:shd w:val="clear" w:color="auto" w:fill="auto"/>
            <w:vAlign w:val="bottom"/>
          </w:tcPr>
          <w:p w14:paraId="57233A1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color w:val="000000"/>
                <w:sz w:val="18"/>
                <w:szCs w:val="18"/>
              </w:rPr>
              <w:t xml:space="preserve"> - </w:t>
            </w:r>
          </w:p>
        </w:tc>
        <w:tc>
          <w:tcPr>
            <w:tcW w:w="643" w:type="pct"/>
            <w:shd w:val="clear" w:color="auto" w:fill="auto"/>
            <w:vAlign w:val="bottom"/>
          </w:tcPr>
          <w:p w14:paraId="7D7885A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color w:val="000000"/>
                <w:sz w:val="18"/>
                <w:szCs w:val="18"/>
              </w:rPr>
              <w:t xml:space="preserve"> - </w:t>
            </w:r>
          </w:p>
        </w:tc>
        <w:tc>
          <w:tcPr>
            <w:tcW w:w="605" w:type="pct"/>
            <w:shd w:val="clear" w:color="auto" w:fill="auto"/>
            <w:vAlign w:val="bottom"/>
          </w:tcPr>
          <w:p w14:paraId="13AD51AF"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color w:val="000000"/>
                <w:sz w:val="18"/>
                <w:szCs w:val="18"/>
              </w:rPr>
              <w:t xml:space="preserve"> - </w:t>
            </w:r>
          </w:p>
        </w:tc>
        <w:tc>
          <w:tcPr>
            <w:tcW w:w="638" w:type="pct"/>
            <w:shd w:val="clear" w:color="auto" w:fill="auto"/>
            <w:vAlign w:val="bottom"/>
          </w:tcPr>
          <w:p w14:paraId="7B23689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color w:val="000000"/>
                <w:sz w:val="18"/>
                <w:szCs w:val="18"/>
              </w:rPr>
              <w:t xml:space="preserve"> - </w:t>
            </w:r>
          </w:p>
        </w:tc>
      </w:tr>
      <w:tr w:rsidR="00587444" w:rsidRPr="00587444" w14:paraId="0B2C8362" w14:textId="77777777" w:rsidTr="00DD69E7">
        <w:trPr>
          <w:trHeight w:hRule="exact" w:val="485"/>
        </w:trPr>
        <w:tc>
          <w:tcPr>
            <w:tcW w:w="1814" w:type="pct"/>
            <w:vAlign w:val="bottom"/>
          </w:tcPr>
          <w:p w14:paraId="553D6DE6" w14:textId="77777777" w:rsidR="00D75982"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(release)/increase/of loss </w:t>
            </w:r>
          </w:p>
          <w:p w14:paraId="202118DF" w14:textId="34FFD28E"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tcBorders>
              <w:top w:val="nil"/>
              <w:left w:val="nil"/>
              <w:bottom w:val="nil"/>
              <w:right w:val="nil"/>
            </w:tcBorders>
            <w:shd w:val="clear" w:color="auto" w:fill="auto"/>
            <w:vAlign w:val="bottom"/>
          </w:tcPr>
          <w:p w14:paraId="30C3ED31"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color w:val="000000"/>
                <w:sz w:val="18"/>
                <w:szCs w:val="18"/>
              </w:rPr>
              <w:t xml:space="preserve"> (219)</w:t>
            </w:r>
          </w:p>
        </w:tc>
        <w:tc>
          <w:tcPr>
            <w:tcW w:w="650" w:type="pct"/>
            <w:tcBorders>
              <w:top w:val="nil"/>
              <w:left w:val="nil"/>
              <w:bottom w:val="nil"/>
              <w:right w:val="nil"/>
            </w:tcBorders>
            <w:shd w:val="clear" w:color="auto" w:fill="auto"/>
            <w:vAlign w:val="bottom"/>
          </w:tcPr>
          <w:p w14:paraId="676F43E5"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color w:val="000000"/>
                <w:sz w:val="18"/>
                <w:szCs w:val="18"/>
              </w:rPr>
              <w:t xml:space="preserve"> 318 </w:t>
            </w:r>
          </w:p>
        </w:tc>
        <w:tc>
          <w:tcPr>
            <w:tcW w:w="643" w:type="pct"/>
            <w:tcBorders>
              <w:top w:val="nil"/>
              <w:left w:val="nil"/>
              <w:bottom w:val="nil"/>
              <w:right w:val="nil"/>
            </w:tcBorders>
            <w:shd w:val="clear" w:color="auto" w:fill="auto"/>
            <w:vAlign w:val="bottom"/>
          </w:tcPr>
          <w:p w14:paraId="328C92E4"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color w:val="000000"/>
                <w:sz w:val="18"/>
                <w:szCs w:val="18"/>
              </w:rPr>
              <w:t xml:space="preserve"> 5 </w:t>
            </w:r>
          </w:p>
        </w:tc>
        <w:tc>
          <w:tcPr>
            <w:tcW w:w="605" w:type="pct"/>
            <w:tcBorders>
              <w:top w:val="nil"/>
              <w:left w:val="nil"/>
              <w:bottom w:val="nil"/>
              <w:right w:val="nil"/>
            </w:tcBorders>
            <w:shd w:val="clear" w:color="auto" w:fill="auto"/>
            <w:vAlign w:val="bottom"/>
          </w:tcPr>
          <w:p w14:paraId="55EC017B"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color w:val="000000"/>
                <w:sz w:val="18"/>
                <w:szCs w:val="18"/>
              </w:rPr>
              <w:t xml:space="preserve"> - </w:t>
            </w:r>
          </w:p>
        </w:tc>
        <w:tc>
          <w:tcPr>
            <w:tcW w:w="638" w:type="pct"/>
            <w:tcBorders>
              <w:top w:val="nil"/>
              <w:left w:val="nil"/>
              <w:bottom w:val="nil"/>
              <w:right w:val="nil"/>
            </w:tcBorders>
            <w:shd w:val="clear" w:color="auto" w:fill="auto"/>
            <w:vAlign w:val="bottom"/>
          </w:tcPr>
          <w:p w14:paraId="5A019E8E"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color w:val="000000"/>
                <w:sz w:val="18"/>
                <w:szCs w:val="18"/>
              </w:rPr>
              <w:t xml:space="preserve"> 104 </w:t>
            </w:r>
          </w:p>
        </w:tc>
      </w:tr>
      <w:tr w:rsidR="00587444" w:rsidRPr="00587444" w14:paraId="58937280" w14:textId="77777777" w:rsidTr="00DD69E7">
        <w:trPr>
          <w:trHeight w:val="284"/>
        </w:trPr>
        <w:tc>
          <w:tcPr>
            <w:tcW w:w="1814" w:type="pct"/>
            <w:vAlign w:val="bottom"/>
          </w:tcPr>
          <w:p w14:paraId="45B8F941" w14:textId="77777777" w:rsidR="00587444" w:rsidRPr="00587444" w:rsidRDefault="00587444" w:rsidP="00587444">
            <w:pPr>
              <w:suppressAutoHyphens w:val="0"/>
              <w:autoSpaceDN/>
              <w:rPr>
                <w:rFonts w:ascii="Arial" w:eastAsia="Calibri" w:hAnsi="Arial" w:cs="Arial"/>
                <w:sz w:val="18"/>
                <w:szCs w:val="18"/>
                <w:lang w:val="en-GB"/>
              </w:rPr>
            </w:pPr>
            <w:r w:rsidRPr="00587444">
              <w:rPr>
                <w:rFonts w:ascii="Arial" w:eastAsia="Calibri" w:hAnsi="Arial" w:cs="Arial"/>
                <w:sz w:val="18"/>
                <w:szCs w:val="18"/>
                <w:lang w:val="en-GB"/>
              </w:rPr>
              <w:t>Net foreign exchange</w:t>
            </w:r>
            <w:r w:rsidRPr="00587444">
              <w:rPr>
                <w:rFonts w:ascii="Arial" w:hAnsi="Arial" w:cs="Arial"/>
                <w:sz w:val="18"/>
                <w:szCs w:val="18"/>
              </w:rPr>
              <w:t xml:space="preserve"> </w:t>
            </w:r>
            <w:r w:rsidRPr="00587444">
              <w:rPr>
                <w:rFonts w:ascii="Arial" w:eastAsia="Calibri" w:hAnsi="Arial" w:cs="Arial"/>
                <w:sz w:val="18"/>
                <w:szCs w:val="18"/>
                <w:lang w:val="en-GB"/>
              </w:rPr>
              <w:t>gain/loss on loss allowances</w:t>
            </w:r>
          </w:p>
        </w:tc>
        <w:tc>
          <w:tcPr>
            <w:tcW w:w="650" w:type="pct"/>
            <w:tcBorders>
              <w:top w:val="nil"/>
              <w:left w:val="nil"/>
              <w:bottom w:val="single" w:sz="4" w:space="0" w:color="auto"/>
              <w:right w:val="nil"/>
            </w:tcBorders>
            <w:shd w:val="clear" w:color="auto" w:fill="auto"/>
            <w:vAlign w:val="bottom"/>
          </w:tcPr>
          <w:p w14:paraId="643F045C" w14:textId="77777777" w:rsidR="00587444" w:rsidRPr="00587444" w:rsidRDefault="00587444" w:rsidP="00587444">
            <w:pPr>
              <w:suppressAutoHyphens w:val="0"/>
              <w:autoSpaceDN/>
              <w:jc w:val="right"/>
              <w:rPr>
                <w:rFonts w:ascii="Arial" w:hAnsi="Arial" w:cs="Arial"/>
                <w:sz w:val="18"/>
                <w:szCs w:val="18"/>
                <w:lang w:val="en-GB"/>
              </w:rPr>
            </w:pPr>
          </w:p>
        </w:tc>
        <w:tc>
          <w:tcPr>
            <w:tcW w:w="650" w:type="pct"/>
            <w:tcBorders>
              <w:top w:val="nil"/>
              <w:left w:val="nil"/>
              <w:bottom w:val="single" w:sz="4" w:space="0" w:color="auto"/>
              <w:right w:val="nil"/>
            </w:tcBorders>
            <w:shd w:val="clear" w:color="auto" w:fill="auto"/>
            <w:vAlign w:val="bottom"/>
          </w:tcPr>
          <w:p w14:paraId="60971DC7"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color w:val="000000"/>
                <w:sz w:val="18"/>
                <w:szCs w:val="18"/>
              </w:rPr>
              <w:t xml:space="preserve"> - </w:t>
            </w:r>
          </w:p>
        </w:tc>
        <w:tc>
          <w:tcPr>
            <w:tcW w:w="643" w:type="pct"/>
            <w:tcBorders>
              <w:top w:val="nil"/>
              <w:left w:val="nil"/>
              <w:bottom w:val="single" w:sz="4" w:space="0" w:color="auto"/>
              <w:right w:val="nil"/>
            </w:tcBorders>
            <w:shd w:val="clear" w:color="auto" w:fill="auto"/>
            <w:vAlign w:val="bottom"/>
          </w:tcPr>
          <w:p w14:paraId="205E4BC3"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color w:val="000000"/>
                <w:sz w:val="18"/>
                <w:szCs w:val="18"/>
              </w:rPr>
              <w:t xml:space="preserve"> 4 </w:t>
            </w:r>
          </w:p>
        </w:tc>
        <w:tc>
          <w:tcPr>
            <w:tcW w:w="605" w:type="pct"/>
            <w:tcBorders>
              <w:top w:val="nil"/>
              <w:left w:val="nil"/>
              <w:bottom w:val="single" w:sz="4" w:space="0" w:color="auto"/>
              <w:right w:val="nil"/>
            </w:tcBorders>
            <w:shd w:val="clear" w:color="auto" w:fill="auto"/>
            <w:vAlign w:val="bottom"/>
          </w:tcPr>
          <w:p w14:paraId="5C8D43F7"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color w:val="000000"/>
                <w:sz w:val="18"/>
                <w:szCs w:val="18"/>
              </w:rPr>
              <w:t xml:space="preserve"> - </w:t>
            </w:r>
          </w:p>
        </w:tc>
        <w:tc>
          <w:tcPr>
            <w:tcW w:w="638" w:type="pct"/>
            <w:tcBorders>
              <w:top w:val="nil"/>
              <w:left w:val="nil"/>
              <w:bottom w:val="single" w:sz="4" w:space="0" w:color="auto"/>
              <w:right w:val="nil"/>
            </w:tcBorders>
            <w:shd w:val="clear" w:color="auto" w:fill="auto"/>
            <w:vAlign w:val="bottom"/>
          </w:tcPr>
          <w:p w14:paraId="3275498D"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color w:val="000000"/>
                <w:sz w:val="18"/>
                <w:szCs w:val="18"/>
              </w:rPr>
              <w:t xml:space="preserve"> 4 </w:t>
            </w:r>
          </w:p>
        </w:tc>
      </w:tr>
      <w:tr w:rsidR="00587444" w:rsidRPr="00587444" w14:paraId="28795BA3" w14:textId="77777777" w:rsidTr="00DD69E7">
        <w:trPr>
          <w:trHeight w:val="230"/>
        </w:trPr>
        <w:tc>
          <w:tcPr>
            <w:tcW w:w="1814" w:type="pct"/>
            <w:vAlign w:val="bottom"/>
          </w:tcPr>
          <w:p w14:paraId="2B9C6EE5"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2022</w:t>
            </w:r>
          </w:p>
        </w:tc>
        <w:tc>
          <w:tcPr>
            <w:tcW w:w="650" w:type="pct"/>
            <w:tcBorders>
              <w:top w:val="single" w:sz="4" w:space="0" w:color="auto"/>
              <w:left w:val="nil"/>
              <w:bottom w:val="single" w:sz="12" w:space="0" w:color="auto"/>
              <w:right w:val="nil"/>
            </w:tcBorders>
            <w:shd w:val="clear" w:color="auto" w:fill="auto"/>
            <w:vAlign w:val="bottom"/>
          </w:tcPr>
          <w:p w14:paraId="2B570B3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18"/>
                <w:szCs w:val="18"/>
              </w:rPr>
            </w:pPr>
            <w:r w:rsidRPr="00587444">
              <w:rPr>
                <w:rFonts w:ascii="Arial" w:hAnsi="Arial" w:cs="Arial"/>
                <w:b/>
                <w:bCs/>
                <w:sz w:val="18"/>
                <w:szCs w:val="18"/>
              </w:rPr>
              <w:t xml:space="preserve"> 2,553 </w:t>
            </w:r>
          </w:p>
        </w:tc>
        <w:tc>
          <w:tcPr>
            <w:tcW w:w="650" w:type="pct"/>
            <w:tcBorders>
              <w:top w:val="single" w:sz="4" w:space="0" w:color="auto"/>
              <w:left w:val="nil"/>
              <w:bottom w:val="single" w:sz="12" w:space="0" w:color="auto"/>
              <w:right w:val="nil"/>
            </w:tcBorders>
            <w:shd w:val="clear" w:color="auto" w:fill="auto"/>
            <w:vAlign w:val="bottom"/>
          </w:tcPr>
          <w:p w14:paraId="4556873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18"/>
                <w:szCs w:val="18"/>
              </w:rPr>
            </w:pPr>
            <w:r w:rsidRPr="00587444">
              <w:rPr>
                <w:rFonts w:ascii="Arial" w:hAnsi="Arial" w:cs="Arial"/>
                <w:b/>
                <w:bCs/>
                <w:sz w:val="18"/>
                <w:szCs w:val="18"/>
              </w:rPr>
              <w:t xml:space="preserve"> 360 </w:t>
            </w:r>
          </w:p>
        </w:tc>
        <w:tc>
          <w:tcPr>
            <w:tcW w:w="643" w:type="pct"/>
            <w:tcBorders>
              <w:top w:val="single" w:sz="4" w:space="0" w:color="auto"/>
              <w:left w:val="nil"/>
              <w:bottom w:val="single" w:sz="12" w:space="0" w:color="auto"/>
              <w:right w:val="nil"/>
            </w:tcBorders>
            <w:shd w:val="clear" w:color="auto" w:fill="auto"/>
            <w:vAlign w:val="bottom"/>
          </w:tcPr>
          <w:p w14:paraId="238E05F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18"/>
                <w:szCs w:val="18"/>
              </w:rPr>
            </w:pPr>
            <w:r w:rsidRPr="00587444">
              <w:rPr>
                <w:rFonts w:ascii="Arial" w:hAnsi="Arial" w:cs="Arial"/>
                <w:b/>
                <w:bCs/>
                <w:sz w:val="18"/>
                <w:szCs w:val="18"/>
              </w:rPr>
              <w:t xml:space="preserve"> 1,740 </w:t>
            </w:r>
          </w:p>
        </w:tc>
        <w:tc>
          <w:tcPr>
            <w:tcW w:w="605" w:type="pct"/>
            <w:tcBorders>
              <w:top w:val="single" w:sz="4" w:space="0" w:color="auto"/>
              <w:left w:val="nil"/>
              <w:bottom w:val="single" w:sz="12" w:space="0" w:color="auto"/>
              <w:right w:val="nil"/>
            </w:tcBorders>
            <w:shd w:val="clear" w:color="auto" w:fill="auto"/>
            <w:vAlign w:val="bottom"/>
          </w:tcPr>
          <w:p w14:paraId="1A87F5C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18"/>
                <w:szCs w:val="18"/>
              </w:rPr>
            </w:pPr>
            <w:r w:rsidRPr="00587444">
              <w:rPr>
                <w:rFonts w:ascii="Arial" w:hAnsi="Arial" w:cs="Arial"/>
                <w:b/>
                <w:bCs/>
                <w:sz w:val="18"/>
                <w:szCs w:val="18"/>
              </w:rPr>
              <w:t xml:space="preserve"> - </w:t>
            </w:r>
          </w:p>
        </w:tc>
        <w:tc>
          <w:tcPr>
            <w:tcW w:w="638" w:type="pct"/>
            <w:tcBorders>
              <w:top w:val="single" w:sz="4" w:space="0" w:color="auto"/>
              <w:left w:val="nil"/>
              <w:bottom w:val="single" w:sz="12" w:space="0" w:color="auto"/>
              <w:right w:val="nil"/>
            </w:tcBorders>
            <w:shd w:val="clear" w:color="auto" w:fill="auto"/>
            <w:vAlign w:val="bottom"/>
          </w:tcPr>
          <w:p w14:paraId="6CEBADD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18"/>
                <w:szCs w:val="18"/>
              </w:rPr>
            </w:pPr>
            <w:r w:rsidRPr="00587444">
              <w:rPr>
                <w:rFonts w:ascii="Arial" w:hAnsi="Arial" w:cs="Arial"/>
                <w:b/>
                <w:bCs/>
                <w:sz w:val="18"/>
                <w:szCs w:val="18"/>
              </w:rPr>
              <w:t xml:space="preserve"> 4,653 </w:t>
            </w:r>
          </w:p>
        </w:tc>
      </w:tr>
    </w:tbl>
    <w:p w14:paraId="52BD5527" w14:textId="77777777" w:rsidR="00587444" w:rsidRPr="00587444" w:rsidRDefault="00587444" w:rsidP="00587444">
      <w:pPr>
        <w:suppressAutoHyphens w:val="0"/>
        <w:autoSpaceDN/>
        <w:rPr>
          <w:rFonts w:ascii="Arial" w:eastAsia="Calibri" w:hAnsi="Arial" w:cs="Arial"/>
          <w:noProof/>
          <w:sz w:val="20"/>
          <w:szCs w:val="20"/>
          <w:lang w:val="en-GB"/>
        </w:rPr>
      </w:pPr>
    </w:p>
    <w:p w14:paraId="4478AA4F" w14:textId="77777777" w:rsidR="00587444" w:rsidRPr="00587444" w:rsidRDefault="00587444" w:rsidP="00587444">
      <w:pPr>
        <w:suppressAutoHyphens w:val="0"/>
        <w:autoSpaceDN/>
        <w:rPr>
          <w:rFonts w:ascii="Arial" w:eastAsia="Calibri" w:hAnsi="Arial" w:cs="Arial"/>
          <w:noProof/>
          <w:sz w:val="20"/>
          <w:szCs w:val="20"/>
          <w:lang w:val="en-GB"/>
        </w:rPr>
      </w:pPr>
    </w:p>
    <w:p w14:paraId="642A7D2D"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473"/>
        <w:gridCol w:w="1244"/>
        <w:gridCol w:w="1244"/>
        <w:gridCol w:w="1231"/>
        <w:gridCol w:w="1158"/>
        <w:gridCol w:w="1221"/>
      </w:tblGrid>
      <w:tr w:rsidR="00587444" w:rsidRPr="00587444" w14:paraId="288FC517" w14:textId="77777777" w:rsidTr="00DD69E7">
        <w:trPr>
          <w:trHeight w:val="153"/>
        </w:trPr>
        <w:tc>
          <w:tcPr>
            <w:tcW w:w="1814" w:type="pct"/>
          </w:tcPr>
          <w:p w14:paraId="4D111771"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Group</w:t>
            </w:r>
          </w:p>
        </w:tc>
        <w:tc>
          <w:tcPr>
            <w:tcW w:w="3186" w:type="pct"/>
            <w:gridSpan w:val="5"/>
            <w:vAlign w:val="bottom"/>
          </w:tcPr>
          <w:p w14:paraId="23BD19B4"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2330A250" w14:textId="77777777" w:rsidTr="00DD69E7">
        <w:trPr>
          <w:trHeight w:val="51"/>
        </w:trPr>
        <w:tc>
          <w:tcPr>
            <w:tcW w:w="1814" w:type="pct"/>
          </w:tcPr>
          <w:p w14:paraId="2E88CDC3"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2021</w:t>
            </w:r>
          </w:p>
        </w:tc>
        <w:tc>
          <w:tcPr>
            <w:tcW w:w="650" w:type="pct"/>
            <w:vAlign w:val="bottom"/>
          </w:tcPr>
          <w:p w14:paraId="514A737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303CEDA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2C7613C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48E2B48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3C339D9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6774104F" w14:textId="77777777" w:rsidTr="00DD69E7">
        <w:trPr>
          <w:trHeight w:val="51"/>
        </w:trPr>
        <w:tc>
          <w:tcPr>
            <w:tcW w:w="1814" w:type="pct"/>
          </w:tcPr>
          <w:p w14:paraId="1BCF9A5A"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0661268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50" w:type="pct"/>
          </w:tcPr>
          <w:p w14:paraId="580F7C27"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3" w:type="pct"/>
          </w:tcPr>
          <w:p w14:paraId="651ADB14"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05" w:type="pct"/>
          </w:tcPr>
          <w:p w14:paraId="5253723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38" w:type="pct"/>
          </w:tcPr>
          <w:p w14:paraId="6651B40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6346563E" w14:textId="77777777" w:rsidTr="00DD69E7">
        <w:trPr>
          <w:trHeight w:val="74"/>
        </w:trPr>
        <w:tc>
          <w:tcPr>
            <w:tcW w:w="1814" w:type="pct"/>
          </w:tcPr>
          <w:p w14:paraId="6AA2A780"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7D00BC8D"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50" w:type="pct"/>
          </w:tcPr>
          <w:p w14:paraId="204E725F"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43" w:type="pct"/>
          </w:tcPr>
          <w:p w14:paraId="7C8677CE"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05" w:type="pct"/>
          </w:tcPr>
          <w:p w14:paraId="4DAF1D1C"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38" w:type="pct"/>
          </w:tcPr>
          <w:p w14:paraId="51FC9E00" w14:textId="77777777" w:rsidR="00587444" w:rsidRPr="00587444" w:rsidRDefault="00587444" w:rsidP="00587444">
            <w:pPr>
              <w:suppressAutoHyphens w:val="0"/>
              <w:autoSpaceDN/>
              <w:jc w:val="right"/>
              <w:rPr>
                <w:rFonts w:ascii="Arial" w:eastAsia="Calibri" w:hAnsi="Arial" w:cs="Arial"/>
                <w:b/>
                <w:bCs/>
                <w:sz w:val="18"/>
                <w:szCs w:val="18"/>
                <w:lang w:val="en-GB"/>
              </w:rPr>
            </w:pPr>
          </w:p>
        </w:tc>
      </w:tr>
      <w:tr w:rsidR="00587444" w:rsidRPr="00587444" w14:paraId="3235BB0D" w14:textId="77777777" w:rsidTr="00DD69E7">
        <w:trPr>
          <w:trHeight w:hRule="exact" w:val="241"/>
        </w:trPr>
        <w:tc>
          <w:tcPr>
            <w:tcW w:w="1814" w:type="pct"/>
            <w:vAlign w:val="bottom"/>
          </w:tcPr>
          <w:p w14:paraId="1C67661D"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2021</w:t>
            </w:r>
          </w:p>
        </w:tc>
        <w:tc>
          <w:tcPr>
            <w:tcW w:w="650" w:type="pct"/>
            <w:shd w:val="clear" w:color="auto" w:fill="auto"/>
          </w:tcPr>
          <w:p w14:paraId="45C514F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2,935 </w:t>
            </w:r>
          </w:p>
        </w:tc>
        <w:tc>
          <w:tcPr>
            <w:tcW w:w="650" w:type="pct"/>
            <w:shd w:val="clear" w:color="auto" w:fill="auto"/>
          </w:tcPr>
          <w:p w14:paraId="34C31F6D"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43" w:type="pct"/>
            <w:shd w:val="clear" w:color="auto" w:fill="auto"/>
          </w:tcPr>
          <w:p w14:paraId="3C99798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1,647 </w:t>
            </w:r>
          </w:p>
        </w:tc>
        <w:tc>
          <w:tcPr>
            <w:tcW w:w="605" w:type="pct"/>
            <w:shd w:val="clear" w:color="auto" w:fill="auto"/>
          </w:tcPr>
          <w:p w14:paraId="66D91812"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38" w:type="pct"/>
            <w:shd w:val="clear" w:color="auto" w:fill="auto"/>
          </w:tcPr>
          <w:p w14:paraId="317D626D"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4,582 </w:t>
            </w:r>
          </w:p>
        </w:tc>
      </w:tr>
      <w:tr w:rsidR="00587444" w:rsidRPr="00587444" w14:paraId="6DC1925B" w14:textId="77777777" w:rsidTr="00DD69E7">
        <w:trPr>
          <w:trHeight w:hRule="exact" w:val="241"/>
        </w:trPr>
        <w:tc>
          <w:tcPr>
            <w:tcW w:w="1814" w:type="pct"/>
            <w:vAlign w:val="bottom"/>
          </w:tcPr>
          <w:p w14:paraId="5255B830"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shd w:val="clear" w:color="auto" w:fill="auto"/>
            <w:vAlign w:val="bottom"/>
          </w:tcPr>
          <w:p w14:paraId="3D87FACE"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eastAsia="Calibri" w:hAnsi="Arial" w:cs="Arial"/>
                <w:color w:val="000000"/>
                <w:sz w:val="18"/>
                <w:szCs w:val="18"/>
                <w:lang w:val="hr-HR"/>
              </w:rPr>
              <w:t>-</w:t>
            </w:r>
          </w:p>
        </w:tc>
        <w:tc>
          <w:tcPr>
            <w:tcW w:w="650" w:type="pct"/>
            <w:shd w:val="clear" w:color="auto" w:fill="auto"/>
            <w:vAlign w:val="bottom"/>
          </w:tcPr>
          <w:p w14:paraId="24AD83DC"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3" w:type="pct"/>
            <w:shd w:val="clear" w:color="auto" w:fill="auto"/>
            <w:vAlign w:val="bottom"/>
          </w:tcPr>
          <w:p w14:paraId="2FA84C4A"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05" w:type="pct"/>
            <w:shd w:val="clear" w:color="auto" w:fill="auto"/>
            <w:vAlign w:val="bottom"/>
          </w:tcPr>
          <w:p w14:paraId="668383A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38" w:type="pct"/>
            <w:shd w:val="clear" w:color="auto" w:fill="auto"/>
            <w:vAlign w:val="bottom"/>
          </w:tcPr>
          <w:p w14:paraId="5E5E968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r>
      <w:tr w:rsidR="00587444" w:rsidRPr="00587444" w14:paraId="751D8063" w14:textId="77777777" w:rsidTr="00DD69E7">
        <w:trPr>
          <w:trHeight w:hRule="exact" w:val="241"/>
        </w:trPr>
        <w:tc>
          <w:tcPr>
            <w:tcW w:w="1814" w:type="pct"/>
            <w:vAlign w:val="bottom"/>
          </w:tcPr>
          <w:p w14:paraId="36189AAE"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shd w:val="clear" w:color="auto" w:fill="auto"/>
            <w:vAlign w:val="bottom"/>
          </w:tcPr>
          <w:p w14:paraId="68F2D528"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eastAsia="Calibri" w:hAnsi="Arial" w:cs="Arial"/>
                <w:color w:val="000000"/>
                <w:sz w:val="18"/>
                <w:szCs w:val="18"/>
                <w:lang w:val="hr-HR"/>
              </w:rPr>
              <w:t>-</w:t>
            </w:r>
          </w:p>
        </w:tc>
        <w:tc>
          <w:tcPr>
            <w:tcW w:w="650" w:type="pct"/>
            <w:shd w:val="clear" w:color="auto" w:fill="auto"/>
            <w:vAlign w:val="bottom"/>
          </w:tcPr>
          <w:p w14:paraId="46E8587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3" w:type="pct"/>
            <w:shd w:val="clear" w:color="auto" w:fill="auto"/>
            <w:vAlign w:val="bottom"/>
          </w:tcPr>
          <w:p w14:paraId="5A96AD8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05" w:type="pct"/>
            <w:shd w:val="clear" w:color="auto" w:fill="auto"/>
            <w:vAlign w:val="bottom"/>
          </w:tcPr>
          <w:p w14:paraId="618B6416"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38" w:type="pct"/>
            <w:shd w:val="clear" w:color="auto" w:fill="auto"/>
            <w:vAlign w:val="bottom"/>
          </w:tcPr>
          <w:p w14:paraId="3B8B969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r>
      <w:tr w:rsidR="00587444" w:rsidRPr="00587444" w14:paraId="095A10BC" w14:textId="77777777" w:rsidTr="00DD69E7">
        <w:trPr>
          <w:trHeight w:hRule="exact" w:val="241"/>
        </w:trPr>
        <w:tc>
          <w:tcPr>
            <w:tcW w:w="1814" w:type="pct"/>
            <w:vAlign w:val="bottom"/>
          </w:tcPr>
          <w:p w14:paraId="07D34C21"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shd w:val="clear" w:color="auto" w:fill="auto"/>
            <w:vAlign w:val="bottom"/>
          </w:tcPr>
          <w:p w14:paraId="501C52B2"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eastAsia="Calibri" w:hAnsi="Arial" w:cs="Arial"/>
                <w:color w:val="000000"/>
                <w:sz w:val="18"/>
                <w:szCs w:val="18"/>
                <w:lang w:val="hr-HR"/>
              </w:rPr>
              <w:t>-</w:t>
            </w:r>
          </w:p>
        </w:tc>
        <w:tc>
          <w:tcPr>
            <w:tcW w:w="650" w:type="pct"/>
            <w:shd w:val="clear" w:color="auto" w:fill="auto"/>
            <w:vAlign w:val="bottom"/>
          </w:tcPr>
          <w:p w14:paraId="699D662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43" w:type="pct"/>
            <w:shd w:val="clear" w:color="auto" w:fill="auto"/>
            <w:vAlign w:val="bottom"/>
          </w:tcPr>
          <w:p w14:paraId="5664F129"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05" w:type="pct"/>
            <w:shd w:val="clear" w:color="auto" w:fill="auto"/>
            <w:vAlign w:val="bottom"/>
          </w:tcPr>
          <w:p w14:paraId="7984898F"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c>
          <w:tcPr>
            <w:tcW w:w="638" w:type="pct"/>
            <w:shd w:val="clear" w:color="auto" w:fill="auto"/>
            <w:vAlign w:val="bottom"/>
          </w:tcPr>
          <w:p w14:paraId="6C9E20B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w:t>
            </w:r>
          </w:p>
        </w:tc>
      </w:tr>
      <w:tr w:rsidR="00587444" w:rsidRPr="00587444" w14:paraId="172072C4" w14:textId="77777777" w:rsidTr="00DD69E7">
        <w:trPr>
          <w:trHeight w:hRule="exact" w:val="481"/>
        </w:trPr>
        <w:tc>
          <w:tcPr>
            <w:tcW w:w="1814" w:type="pct"/>
            <w:vAlign w:val="bottom"/>
          </w:tcPr>
          <w:p w14:paraId="19C404DA" w14:textId="77777777" w:rsidR="00D75982"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increase/(release) of loss </w:t>
            </w:r>
          </w:p>
          <w:p w14:paraId="5F40A056" w14:textId="30ADE201"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tcBorders>
              <w:top w:val="nil"/>
              <w:left w:val="nil"/>
              <w:bottom w:val="nil"/>
              <w:right w:val="nil"/>
            </w:tcBorders>
            <w:shd w:val="clear" w:color="auto" w:fill="auto"/>
            <w:vAlign w:val="bottom"/>
          </w:tcPr>
          <w:p w14:paraId="4D53EB3E"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color w:val="000000"/>
                <w:sz w:val="18"/>
                <w:szCs w:val="18"/>
              </w:rPr>
              <w:t xml:space="preserve">(118)                </w:t>
            </w:r>
          </w:p>
        </w:tc>
        <w:tc>
          <w:tcPr>
            <w:tcW w:w="650" w:type="pct"/>
            <w:tcBorders>
              <w:top w:val="nil"/>
              <w:left w:val="nil"/>
              <w:bottom w:val="nil"/>
              <w:right w:val="nil"/>
            </w:tcBorders>
            <w:shd w:val="clear" w:color="auto" w:fill="auto"/>
            <w:vAlign w:val="bottom"/>
          </w:tcPr>
          <w:p w14:paraId="277487DC"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color w:val="000000"/>
                <w:sz w:val="18"/>
                <w:szCs w:val="18"/>
              </w:rPr>
              <w:t xml:space="preserve">-                        </w:t>
            </w:r>
          </w:p>
        </w:tc>
        <w:tc>
          <w:tcPr>
            <w:tcW w:w="643" w:type="pct"/>
            <w:tcBorders>
              <w:top w:val="nil"/>
              <w:left w:val="nil"/>
              <w:bottom w:val="nil"/>
              <w:right w:val="nil"/>
            </w:tcBorders>
            <w:shd w:val="clear" w:color="auto" w:fill="auto"/>
            <w:vAlign w:val="bottom"/>
          </w:tcPr>
          <w:p w14:paraId="3C8CD0B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color w:val="000000"/>
                <w:sz w:val="18"/>
                <w:szCs w:val="18"/>
              </w:rPr>
              <w:t xml:space="preserve">89                      </w:t>
            </w:r>
          </w:p>
        </w:tc>
        <w:tc>
          <w:tcPr>
            <w:tcW w:w="605" w:type="pct"/>
            <w:tcBorders>
              <w:top w:val="nil"/>
              <w:left w:val="nil"/>
              <w:bottom w:val="nil"/>
              <w:right w:val="nil"/>
            </w:tcBorders>
            <w:shd w:val="clear" w:color="auto" w:fill="auto"/>
            <w:vAlign w:val="bottom"/>
          </w:tcPr>
          <w:p w14:paraId="012F2B5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color w:val="000000"/>
                <w:sz w:val="18"/>
                <w:szCs w:val="18"/>
              </w:rPr>
              <w:t xml:space="preserve">-                           </w:t>
            </w:r>
          </w:p>
        </w:tc>
        <w:tc>
          <w:tcPr>
            <w:tcW w:w="638" w:type="pct"/>
            <w:tcBorders>
              <w:top w:val="nil"/>
              <w:left w:val="nil"/>
              <w:bottom w:val="nil"/>
              <w:right w:val="nil"/>
            </w:tcBorders>
            <w:shd w:val="clear" w:color="auto" w:fill="auto"/>
            <w:vAlign w:val="bottom"/>
          </w:tcPr>
          <w:p w14:paraId="099E409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color w:val="000000"/>
                <w:sz w:val="18"/>
                <w:szCs w:val="18"/>
              </w:rPr>
              <w:t xml:space="preserve">(29)                        </w:t>
            </w:r>
          </w:p>
        </w:tc>
      </w:tr>
      <w:tr w:rsidR="00587444" w:rsidRPr="00587444" w14:paraId="09B5993A" w14:textId="77777777" w:rsidTr="00DD69E7">
        <w:trPr>
          <w:trHeight w:val="284"/>
        </w:trPr>
        <w:tc>
          <w:tcPr>
            <w:tcW w:w="1814" w:type="pct"/>
            <w:vAlign w:val="bottom"/>
          </w:tcPr>
          <w:p w14:paraId="52DF97FD" w14:textId="77777777" w:rsidR="00587444" w:rsidRPr="00587444" w:rsidRDefault="00587444" w:rsidP="00587444">
            <w:pPr>
              <w:suppressAutoHyphens w:val="0"/>
              <w:autoSpaceDN/>
              <w:rPr>
                <w:rFonts w:ascii="Arial" w:eastAsia="Calibri" w:hAnsi="Arial" w:cs="Arial"/>
                <w:sz w:val="18"/>
                <w:szCs w:val="18"/>
                <w:lang w:val="en-GB"/>
              </w:rPr>
            </w:pPr>
            <w:r w:rsidRPr="00587444">
              <w:rPr>
                <w:rFonts w:ascii="Arial" w:eastAsia="Calibri" w:hAnsi="Arial" w:cs="Arial"/>
                <w:sz w:val="18"/>
                <w:szCs w:val="18"/>
                <w:lang w:val="en-GB"/>
              </w:rPr>
              <w:t>Net foreign exchange</w:t>
            </w:r>
            <w:r w:rsidRPr="00587444">
              <w:rPr>
                <w:rFonts w:ascii="Arial" w:hAnsi="Arial" w:cs="Arial"/>
                <w:sz w:val="18"/>
                <w:szCs w:val="18"/>
              </w:rPr>
              <w:t xml:space="preserve"> </w:t>
            </w:r>
            <w:r w:rsidRPr="00587444">
              <w:rPr>
                <w:rFonts w:ascii="Arial" w:eastAsia="Calibri" w:hAnsi="Arial" w:cs="Arial"/>
                <w:sz w:val="18"/>
                <w:szCs w:val="18"/>
                <w:lang w:val="en-GB"/>
              </w:rPr>
              <w:t>gain/loss on loss allowances</w:t>
            </w:r>
          </w:p>
        </w:tc>
        <w:tc>
          <w:tcPr>
            <w:tcW w:w="650" w:type="pct"/>
            <w:tcBorders>
              <w:top w:val="nil"/>
              <w:left w:val="nil"/>
              <w:bottom w:val="single" w:sz="4" w:space="0" w:color="auto"/>
              <w:right w:val="nil"/>
            </w:tcBorders>
            <w:shd w:val="clear" w:color="auto" w:fill="auto"/>
            <w:vAlign w:val="center"/>
          </w:tcPr>
          <w:p w14:paraId="66D6B1BE"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color w:val="000000"/>
                <w:sz w:val="18"/>
                <w:szCs w:val="18"/>
              </w:rPr>
              <w:t xml:space="preserve">                     (3)</w:t>
            </w:r>
          </w:p>
        </w:tc>
        <w:tc>
          <w:tcPr>
            <w:tcW w:w="650" w:type="pct"/>
            <w:tcBorders>
              <w:top w:val="nil"/>
              <w:left w:val="nil"/>
              <w:bottom w:val="single" w:sz="4" w:space="0" w:color="auto"/>
              <w:right w:val="nil"/>
            </w:tcBorders>
            <w:shd w:val="clear" w:color="auto" w:fill="auto"/>
            <w:vAlign w:val="center"/>
          </w:tcPr>
          <w:p w14:paraId="556DACAD"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color w:val="000000"/>
                <w:sz w:val="18"/>
                <w:szCs w:val="18"/>
              </w:rPr>
              <w:t xml:space="preserve">                        - </w:t>
            </w:r>
          </w:p>
        </w:tc>
        <w:tc>
          <w:tcPr>
            <w:tcW w:w="643" w:type="pct"/>
            <w:tcBorders>
              <w:top w:val="nil"/>
              <w:left w:val="nil"/>
              <w:bottom w:val="single" w:sz="4" w:space="0" w:color="auto"/>
              <w:right w:val="nil"/>
            </w:tcBorders>
            <w:shd w:val="clear" w:color="auto" w:fill="auto"/>
            <w:vAlign w:val="center"/>
          </w:tcPr>
          <w:p w14:paraId="6B863CD7"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color w:val="000000"/>
                <w:sz w:val="18"/>
                <w:szCs w:val="18"/>
              </w:rPr>
              <w:t xml:space="preserve">                       (5)</w:t>
            </w:r>
          </w:p>
        </w:tc>
        <w:tc>
          <w:tcPr>
            <w:tcW w:w="605" w:type="pct"/>
            <w:tcBorders>
              <w:top w:val="nil"/>
              <w:left w:val="nil"/>
              <w:bottom w:val="single" w:sz="4" w:space="0" w:color="auto"/>
              <w:right w:val="nil"/>
            </w:tcBorders>
            <w:shd w:val="clear" w:color="auto" w:fill="auto"/>
            <w:vAlign w:val="center"/>
          </w:tcPr>
          <w:p w14:paraId="17D8F5B3"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color w:val="000000"/>
                <w:sz w:val="18"/>
                <w:szCs w:val="18"/>
              </w:rPr>
              <w:t xml:space="preserve">                            - </w:t>
            </w:r>
          </w:p>
        </w:tc>
        <w:tc>
          <w:tcPr>
            <w:tcW w:w="638" w:type="pct"/>
            <w:tcBorders>
              <w:top w:val="nil"/>
              <w:left w:val="nil"/>
              <w:bottom w:val="single" w:sz="4" w:space="0" w:color="auto"/>
              <w:right w:val="nil"/>
            </w:tcBorders>
            <w:shd w:val="clear" w:color="auto" w:fill="auto"/>
            <w:vAlign w:val="center"/>
          </w:tcPr>
          <w:p w14:paraId="79569596"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color w:val="000000"/>
                <w:sz w:val="18"/>
                <w:szCs w:val="18"/>
              </w:rPr>
              <w:t xml:space="preserve">                           (8)</w:t>
            </w:r>
          </w:p>
        </w:tc>
      </w:tr>
      <w:tr w:rsidR="00587444" w:rsidRPr="00587444" w14:paraId="58526721" w14:textId="77777777" w:rsidTr="00DD69E7">
        <w:trPr>
          <w:trHeight w:val="230"/>
        </w:trPr>
        <w:tc>
          <w:tcPr>
            <w:tcW w:w="1814" w:type="pct"/>
            <w:vAlign w:val="bottom"/>
          </w:tcPr>
          <w:p w14:paraId="16C3F1C2"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2021</w:t>
            </w:r>
          </w:p>
        </w:tc>
        <w:tc>
          <w:tcPr>
            <w:tcW w:w="650" w:type="pct"/>
            <w:tcBorders>
              <w:top w:val="single" w:sz="4" w:space="0" w:color="auto"/>
              <w:left w:val="nil"/>
              <w:bottom w:val="single" w:sz="18" w:space="0" w:color="auto"/>
              <w:right w:val="nil"/>
            </w:tcBorders>
            <w:shd w:val="clear" w:color="auto" w:fill="auto"/>
            <w:vAlign w:val="bottom"/>
          </w:tcPr>
          <w:p w14:paraId="761E4EFA" w14:textId="7D7CED25"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18"/>
                <w:szCs w:val="18"/>
              </w:rPr>
            </w:pPr>
            <w:r w:rsidRPr="00587444">
              <w:rPr>
                <w:rFonts w:ascii="Arial" w:hAnsi="Arial" w:cs="Arial"/>
                <w:b/>
                <w:bCs/>
                <w:color w:val="000000"/>
                <w:sz w:val="18"/>
                <w:szCs w:val="18"/>
              </w:rPr>
              <w:t xml:space="preserve"> 2,8</w:t>
            </w:r>
            <w:r w:rsidR="000A18C3">
              <w:rPr>
                <w:rFonts w:ascii="Arial" w:hAnsi="Arial" w:cs="Arial"/>
                <w:b/>
                <w:bCs/>
                <w:color w:val="000000"/>
                <w:sz w:val="18"/>
                <w:szCs w:val="18"/>
              </w:rPr>
              <w:t>14</w:t>
            </w:r>
            <w:r w:rsidRPr="00587444">
              <w:rPr>
                <w:rFonts w:ascii="Arial" w:hAnsi="Arial" w:cs="Arial"/>
                <w:b/>
                <w:bCs/>
                <w:color w:val="000000"/>
                <w:sz w:val="18"/>
                <w:szCs w:val="18"/>
              </w:rPr>
              <w:t xml:space="preserve"> </w:t>
            </w:r>
          </w:p>
        </w:tc>
        <w:tc>
          <w:tcPr>
            <w:tcW w:w="650" w:type="pct"/>
            <w:tcBorders>
              <w:top w:val="single" w:sz="4" w:space="0" w:color="auto"/>
              <w:left w:val="nil"/>
              <w:bottom w:val="single" w:sz="18" w:space="0" w:color="auto"/>
              <w:right w:val="nil"/>
            </w:tcBorders>
            <w:shd w:val="clear" w:color="auto" w:fill="auto"/>
            <w:vAlign w:val="bottom"/>
          </w:tcPr>
          <w:p w14:paraId="03C8D32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18"/>
                <w:szCs w:val="18"/>
              </w:rPr>
            </w:pPr>
            <w:r w:rsidRPr="00587444">
              <w:rPr>
                <w:rFonts w:ascii="Arial" w:hAnsi="Arial" w:cs="Arial"/>
                <w:b/>
                <w:bCs/>
                <w:color w:val="000000"/>
                <w:sz w:val="18"/>
                <w:szCs w:val="18"/>
              </w:rPr>
              <w:t xml:space="preserve"> - </w:t>
            </w:r>
          </w:p>
        </w:tc>
        <w:tc>
          <w:tcPr>
            <w:tcW w:w="643" w:type="pct"/>
            <w:tcBorders>
              <w:top w:val="single" w:sz="4" w:space="0" w:color="auto"/>
              <w:left w:val="nil"/>
              <w:bottom w:val="single" w:sz="18" w:space="0" w:color="auto"/>
              <w:right w:val="nil"/>
            </w:tcBorders>
            <w:shd w:val="clear" w:color="auto" w:fill="auto"/>
            <w:vAlign w:val="bottom"/>
          </w:tcPr>
          <w:p w14:paraId="4A59E65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18"/>
                <w:szCs w:val="18"/>
              </w:rPr>
            </w:pPr>
            <w:r w:rsidRPr="00587444">
              <w:rPr>
                <w:rFonts w:ascii="Arial" w:hAnsi="Arial" w:cs="Arial"/>
                <w:b/>
                <w:bCs/>
                <w:color w:val="000000"/>
                <w:sz w:val="18"/>
                <w:szCs w:val="18"/>
              </w:rPr>
              <w:t xml:space="preserve"> 1,731 </w:t>
            </w:r>
          </w:p>
        </w:tc>
        <w:tc>
          <w:tcPr>
            <w:tcW w:w="605" w:type="pct"/>
            <w:tcBorders>
              <w:top w:val="single" w:sz="4" w:space="0" w:color="auto"/>
              <w:left w:val="nil"/>
              <w:bottom w:val="single" w:sz="18" w:space="0" w:color="auto"/>
              <w:right w:val="nil"/>
            </w:tcBorders>
            <w:shd w:val="clear" w:color="auto" w:fill="auto"/>
            <w:vAlign w:val="bottom"/>
          </w:tcPr>
          <w:p w14:paraId="75E5BF7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18"/>
                <w:szCs w:val="18"/>
              </w:rPr>
            </w:pPr>
            <w:r w:rsidRPr="00587444">
              <w:rPr>
                <w:rFonts w:ascii="Arial" w:hAnsi="Arial" w:cs="Arial"/>
                <w:b/>
                <w:bCs/>
                <w:color w:val="000000"/>
                <w:sz w:val="18"/>
                <w:szCs w:val="18"/>
              </w:rPr>
              <w:t xml:space="preserve"> - </w:t>
            </w:r>
          </w:p>
        </w:tc>
        <w:tc>
          <w:tcPr>
            <w:tcW w:w="638" w:type="pct"/>
            <w:tcBorders>
              <w:top w:val="single" w:sz="4" w:space="0" w:color="auto"/>
              <w:left w:val="nil"/>
              <w:bottom w:val="single" w:sz="18" w:space="0" w:color="auto"/>
              <w:right w:val="nil"/>
            </w:tcBorders>
            <w:shd w:val="clear" w:color="auto" w:fill="auto"/>
            <w:vAlign w:val="bottom"/>
          </w:tcPr>
          <w:p w14:paraId="09F0073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color w:val="000000"/>
                <w:sz w:val="18"/>
                <w:szCs w:val="18"/>
              </w:rPr>
            </w:pPr>
            <w:r w:rsidRPr="00587444">
              <w:rPr>
                <w:rFonts w:ascii="Arial" w:hAnsi="Arial" w:cs="Arial"/>
                <w:b/>
                <w:bCs/>
                <w:color w:val="000000"/>
                <w:sz w:val="18"/>
                <w:szCs w:val="18"/>
              </w:rPr>
              <w:t xml:space="preserve"> 4,545 </w:t>
            </w:r>
          </w:p>
        </w:tc>
      </w:tr>
    </w:tbl>
    <w:p w14:paraId="6C4B5120"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D69E7">
          <w:pgSz w:w="11907" w:h="16840" w:code="9"/>
          <w:pgMar w:top="1418" w:right="1134" w:bottom="1134" w:left="1418" w:header="851" w:footer="851" w:gutter="0"/>
          <w:cols w:space="720"/>
          <w:noEndnote/>
        </w:sectPr>
      </w:pPr>
    </w:p>
    <w:p w14:paraId="2074274C" w14:textId="77777777" w:rsidR="00587444" w:rsidRPr="00587444" w:rsidRDefault="00587444" w:rsidP="00587444">
      <w:pPr>
        <w:suppressAutoHyphens w:val="0"/>
        <w:autoSpaceDN/>
        <w:jc w:val="both"/>
        <w:rPr>
          <w:rFonts w:ascii="Arial" w:hAnsi="Arial" w:cs="Arial"/>
          <w:b/>
          <w:bCs/>
          <w:sz w:val="20"/>
          <w:szCs w:val="20"/>
          <w:lang w:val="en-GB"/>
        </w:rPr>
      </w:pPr>
    </w:p>
    <w:p w14:paraId="23144D07"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CDBC4C8" w14:textId="77777777" w:rsidR="00587444" w:rsidRPr="00587444" w:rsidRDefault="00587444" w:rsidP="00587444">
      <w:pPr>
        <w:suppressAutoHyphens w:val="0"/>
        <w:autoSpaceDN/>
        <w:jc w:val="both"/>
        <w:rPr>
          <w:rFonts w:ascii="Arial" w:hAnsi="Arial" w:cs="Arial"/>
          <w:b/>
          <w:sz w:val="20"/>
          <w:szCs w:val="20"/>
          <w:lang w:val="en-GB"/>
        </w:rPr>
      </w:pPr>
    </w:p>
    <w:p w14:paraId="7619122E"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3ADB73A2" w14:textId="77777777" w:rsidR="00587444" w:rsidRPr="00587444" w:rsidRDefault="00587444" w:rsidP="00587444">
      <w:pPr>
        <w:suppressAutoHyphens w:val="0"/>
        <w:autoSpaceDN/>
        <w:jc w:val="both"/>
        <w:rPr>
          <w:rFonts w:ascii="Arial" w:hAnsi="Arial" w:cs="Arial"/>
          <w:b/>
          <w:bCs/>
          <w:i/>
          <w:sz w:val="20"/>
          <w:szCs w:val="20"/>
          <w:lang w:val="en-GB"/>
        </w:rPr>
      </w:pPr>
    </w:p>
    <w:p w14:paraId="0FEFF0AF" w14:textId="77777777" w:rsidR="00587444" w:rsidRPr="00587444" w:rsidRDefault="00587444">
      <w:pPr>
        <w:numPr>
          <w:ilvl w:val="8"/>
          <w:numId w:val="66"/>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02F13375" w14:textId="77777777" w:rsidR="00587444" w:rsidRPr="00587444" w:rsidRDefault="00587444" w:rsidP="00587444">
      <w:pPr>
        <w:suppressAutoHyphens w:val="0"/>
        <w:autoSpaceDN/>
        <w:jc w:val="both"/>
        <w:rPr>
          <w:rFonts w:ascii="Arial" w:hAnsi="Arial" w:cs="Arial"/>
          <w:b/>
          <w:bCs/>
          <w:i/>
          <w:sz w:val="20"/>
          <w:szCs w:val="20"/>
          <w:lang w:val="en-GB"/>
        </w:rPr>
      </w:pPr>
    </w:p>
    <w:p w14:paraId="7A4FC6B9" w14:textId="77777777" w:rsidR="00587444" w:rsidRPr="00587444" w:rsidRDefault="00587444" w:rsidP="00587444">
      <w:pPr>
        <w:suppressAutoHyphens w:val="0"/>
        <w:autoSpaceDN/>
        <w:spacing w:after="120"/>
        <w:jc w:val="both"/>
        <w:rPr>
          <w:rFonts w:ascii="Arial" w:hAnsi="Arial" w:cs="Arial"/>
          <w:b/>
          <w:bCs/>
          <w:sz w:val="20"/>
          <w:szCs w:val="20"/>
          <w:lang w:val="en-GB"/>
        </w:rPr>
      </w:pPr>
      <w:r w:rsidRPr="00587444">
        <w:rPr>
          <w:rFonts w:ascii="Arial" w:hAnsi="Arial" w:cs="Arial"/>
          <w:b/>
          <w:bCs/>
          <w:sz w:val="20"/>
          <w:szCs w:val="20"/>
          <w:lang w:val="en-GB"/>
        </w:rPr>
        <w:t>Financial assets at fair value through other comprehensive income (continued)</w:t>
      </w:r>
    </w:p>
    <w:p w14:paraId="6187A264" w14:textId="77777777" w:rsidR="00587444" w:rsidRPr="00587444" w:rsidRDefault="00587444" w:rsidP="00587444">
      <w:pPr>
        <w:suppressAutoHyphens w:val="0"/>
        <w:autoSpaceDN/>
        <w:spacing w:before="120" w:after="120"/>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473"/>
        <w:gridCol w:w="1244"/>
        <w:gridCol w:w="1244"/>
        <w:gridCol w:w="1231"/>
        <w:gridCol w:w="1158"/>
        <w:gridCol w:w="1221"/>
      </w:tblGrid>
      <w:tr w:rsidR="00587444" w:rsidRPr="00587444" w14:paraId="6FE6F163" w14:textId="77777777" w:rsidTr="00DD69E7">
        <w:trPr>
          <w:trHeight w:val="153"/>
        </w:trPr>
        <w:tc>
          <w:tcPr>
            <w:tcW w:w="1814" w:type="pct"/>
          </w:tcPr>
          <w:p w14:paraId="2B6DB890"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Bank</w:t>
            </w:r>
          </w:p>
        </w:tc>
        <w:tc>
          <w:tcPr>
            <w:tcW w:w="3186" w:type="pct"/>
            <w:gridSpan w:val="5"/>
            <w:vAlign w:val="bottom"/>
          </w:tcPr>
          <w:p w14:paraId="2B4E24CF"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66CFC0CE" w14:textId="77777777" w:rsidTr="00DD69E7">
        <w:trPr>
          <w:trHeight w:val="51"/>
        </w:trPr>
        <w:tc>
          <w:tcPr>
            <w:tcW w:w="1814" w:type="pct"/>
          </w:tcPr>
          <w:p w14:paraId="09C75B27"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2022</w:t>
            </w:r>
          </w:p>
        </w:tc>
        <w:tc>
          <w:tcPr>
            <w:tcW w:w="650" w:type="pct"/>
            <w:vAlign w:val="bottom"/>
          </w:tcPr>
          <w:p w14:paraId="4000A82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743EE65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2C173DB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12A88D6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674540B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0815EED6" w14:textId="77777777" w:rsidTr="00DD69E7">
        <w:trPr>
          <w:trHeight w:val="51"/>
        </w:trPr>
        <w:tc>
          <w:tcPr>
            <w:tcW w:w="1814" w:type="pct"/>
          </w:tcPr>
          <w:p w14:paraId="4B249E5D"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56DC357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50" w:type="pct"/>
          </w:tcPr>
          <w:p w14:paraId="58FC14B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3" w:type="pct"/>
          </w:tcPr>
          <w:p w14:paraId="59B354F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05" w:type="pct"/>
          </w:tcPr>
          <w:p w14:paraId="4FCF998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38" w:type="pct"/>
          </w:tcPr>
          <w:p w14:paraId="6A422F1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4B735019" w14:textId="77777777" w:rsidTr="00DD69E7">
        <w:trPr>
          <w:trHeight w:val="51"/>
        </w:trPr>
        <w:tc>
          <w:tcPr>
            <w:tcW w:w="1814" w:type="pct"/>
          </w:tcPr>
          <w:p w14:paraId="4C783AEB"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3B792589"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50" w:type="pct"/>
          </w:tcPr>
          <w:p w14:paraId="31A1BC48"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43" w:type="pct"/>
          </w:tcPr>
          <w:p w14:paraId="24C0E2E3"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05" w:type="pct"/>
          </w:tcPr>
          <w:p w14:paraId="16CCD1F2"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38" w:type="pct"/>
          </w:tcPr>
          <w:p w14:paraId="4A9EDC39"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16814F94" w14:textId="77777777" w:rsidTr="00DD69E7">
        <w:trPr>
          <w:trHeight w:hRule="exact" w:val="241"/>
        </w:trPr>
        <w:tc>
          <w:tcPr>
            <w:tcW w:w="1814" w:type="pct"/>
            <w:vAlign w:val="bottom"/>
          </w:tcPr>
          <w:p w14:paraId="21D49D4F"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2022</w:t>
            </w:r>
          </w:p>
        </w:tc>
        <w:tc>
          <w:tcPr>
            <w:tcW w:w="650" w:type="pct"/>
            <w:tcBorders>
              <w:top w:val="nil"/>
              <w:left w:val="nil"/>
              <w:bottom w:val="nil"/>
              <w:right w:val="nil"/>
            </w:tcBorders>
            <w:shd w:val="clear" w:color="auto" w:fill="auto"/>
            <w:vAlign w:val="bottom"/>
          </w:tcPr>
          <w:p w14:paraId="74A3AB7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2,724 </w:t>
            </w:r>
          </w:p>
        </w:tc>
        <w:tc>
          <w:tcPr>
            <w:tcW w:w="650" w:type="pct"/>
            <w:tcBorders>
              <w:top w:val="nil"/>
              <w:left w:val="nil"/>
              <w:bottom w:val="nil"/>
              <w:right w:val="nil"/>
            </w:tcBorders>
            <w:shd w:val="clear" w:color="auto" w:fill="auto"/>
            <w:vAlign w:val="bottom"/>
          </w:tcPr>
          <w:p w14:paraId="45F54D1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6E9C58E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1,731 </w:t>
            </w:r>
          </w:p>
        </w:tc>
        <w:tc>
          <w:tcPr>
            <w:tcW w:w="605" w:type="pct"/>
            <w:tcBorders>
              <w:top w:val="nil"/>
              <w:left w:val="nil"/>
              <w:bottom w:val="nil"/>
              <w:right w:val="nil"/>
            </w:tcBorders>
            <w:shd w:val="clear" w:color="auto" w:fill="auto"/>
            <w:vAlign w:val="bottom"/>
          </w:tcPr>
          <w:p w14:paraId="7F0C84EA"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1E53F8ED"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4,455 </w:t>
            </w:r>
          </w:p>
        </w:tc>
      </w:tr>
      <w:tr w:rsidR="00587444" w:rsidRPr="00587444" w14:paraId="753AE8D5" w14:textId="77777777" w:rsidTr="00DD69E7">
        <w:trPr>
          <w:trHeight w:hRule="exact" w:val="241"/>
        </w:trPr>
        <w:tc>
          <w:tcPr>
            <w:tcW w:w="1814" w:type="pct"/>
            <w:vAlign w:val="bottom"/>
          </w:tcPr>
          <w:p w14:paraId="79D68C12"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tcBorders>
              <w:top w:val="nil"/>
              <w:left w:val="nil"/>
              <w:bottom w:val="nil"/>
              <w:right w:val="nil"/>
            </w:tcBorders>
            <w:shd w:val="clear" w:color="auto" w:fill="auto"/>
            <w:vAlign w:val="bottom"/>
          </w:tcPr>
          <w:p w14:paraId="36C88E4B"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50" w:type="pct"/>
            <w:tcBorders>
              <w:top w:val="nil"/>
              <w:left w:val="nil"/>
              <w:bottom w:val="nil"/>
              <w:right w:val="nil"/>
            </w:tcBorders>
            <w:shd w:val="clear" w:color="auto" w:fill="auto"/>
            <w:vAlign w:val="bottom"/>
          </w:tcPr>
          <w:p w14:paraId="4707A18C"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0ACD4A95"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00B2FDFD"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6DC68DCD"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r>
      <w:tr w:rsidR="00587444" w:rsidRPr="00587444" w14:paraId="6F3820E3" w14:textId="77777777" w:rsidTr="00DD69E7">
        <w:trPr>
          <w:trHeight w:hRule="exact" w:val="241"/>
        </w:trPr>
        <w:tc>
          <w:tcPr>
            <w:tcW w:w="1814" w:type="pct"/>
            <w:vAlign w:val="bottom"/>
          </w:tcPr>
          <w:p w14:paraId="70032664"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tcBorders>
              <w:top w:val="nil"/>
              <w:left w:val="nil"/>
              <w:bottom w:val="nil"/>
              <w:right w:val="nil"/>
            </w:tcBorders>
            <w:shd w:val="clear" w:color="auto" w:fill="auto"/>
            <w:vAlign w:val="bottom"/>
          </w:tcPr>
          <w:p w14:paraId="43E4C3A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(42)</w:t>
            </w:r>
          </w:p>
        </w:tc>
        <w:tc>
          <w:tcPr>
            <w:tcW w:w="650" w:type="pct"/>
            <w:tcBorders>
              <w:top w:val="nil"/>
              <w:left w:val="nil"/>
              <w:bottom w:val="nil"/>
              <w:right w:val="nil"/>
            </w:tcBorders>
            <w:shd w:val="clear" w:color="auto" w:fill="auto"/>
            <w:vAlign w:val="bottom"/>
          </w:tcPr>
          <w:p w14:paraId="3A32210D"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42 </w:t>
            </w:r>
          </w:p>
        </w:tc>
        <w:tc>
          <w:tcPr>
            <w:tcW w:w="643" w:type="pct"/>
            <w:tcBorders>
              <w:top w:val="nil"/>
              <w:left w:val="nil"/>
              <w:bottom w:val="nil"/>
              <w:right w:val="nil"/>
            </w:tcBorders>
            <w:shd w:val="clear" w:color="auto" w:fill="auto"/>
            <w:vAlign w:val="bottom"/>
          </w:tcPr>
          <w:p w14:paraId="302ACB9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74D1077D"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121949FD"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r>
      <w:tr w:rsidR="00587444" w:rsidRPr="00587444" w14:paraId="0C3A8FF5" w14:textId="77777777" w:rsidTr="00DD69E7">
        <w:trPr>
          <w:trHeight w:hRule="exact" w:val="241"/>
        </w:trPr>
        <w:tc>
          <w:tcPr>
            <w:tcW w:w="1814" w:type="pct"/>
            <w:vAlign w:val="bottom"/>
          </w:tcPr>
          <w:p w14:paraId="57528439"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tcBorders>
              <w:top w:val="nil"/>
              <w:left w:val="nil"/>
              <w:bottom w:val="nil"/>
              <w:right w:val="nil"/>
            </w:tcBorders>
            <w:shd w:val="clear" w:color="auto" w:fill="auto"/>
            <w:vAlign w:val="bottom"/>
          </w:tcPr>
          <w:p w14:paraId="13A75DF2"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c>
          <w:tcPr>
            <w:tcW w:w="650" w:type="pct"/>
            <w:tcBorders>
              <w:top w:val="nil"/>
              <w:left w:val="nil"/>
              <w:bottom w:val="nil"/>
              <w:right w:val="nil"/>
            </w:tcBorders>
            <w:shd w:val="clear" w:color="auto" w:fill="auto"/>
            <w:vAlign w:val="bottom"/>
          </w:tcPr>
          <w:p w14:paraId="16CBBB39"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20DA36ED"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6E79E4E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55507F9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r>
      <w:tr w:rsidR="00587444" w:rsidRPr="00587444" w14:paraId="0F0E4FD7" w14:textId="77777777" w:rsidTr="00DD69E7">
        <w:trPr>
          <w:trHeight w:hRule="exact" w:val="484"/>
        </w:trPr>
        <w:tc>
          <w:tcPr>
            <w:tcW w:w="1814" w:type="pct"/>
            <w:vAlign w:val="bottom"/>
          </w:tcPr>
          <w:p w14:paraId="248DA0DD" w14:textId="77777777" w:rsidR="00D75982"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(release)/increase</w:t>
            </w:r>
            <w:r w:rsidRPr="00587444" w:rsidDel="003F251B">
              <w:rPr>
                <w:rFonts w:ascii="Arial" w:eastAsia="Calibri" w:hAnsi="Arial" w:cs="Arial"/>
                <w:sz w:val="18"/>
                <w:szCs w:val="18"/>
                <w:lang w:val="en-GB"/>
              </w:rPr>
              <w:t xml:space="preserve"> </w:t>
            </w:r>
            <w:r w:rsidRPr="00587444">
              <w:rPr>
                <w:rFonts w:ascii="Arial" w:eastAsia="Calibri" w:hAnsi="Arial" w:cs="Arial"/>
                <w:sz w:val="18"/>
                <w:szCs w:val="18"/>
                <w:lang w:val="en-GB"/>
              </w:rPr>
              <w:t xml:space="preserve">of loss </w:t>
            </w:r>
          </w:p>
          <w:p w14:paraId="3DB158E9" w14:textId="0FFAD36C"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tcBorders>
              <w:top w:val="nil"/>
              <w:left w:val="nil"/>
              <w:bottom w:val="nil"/>
              <w:right w:val="nil"/>
            </w:tcBorders>
            <w:shd w:val="clear" w:color="auto" w:fill="auto"/>
            <w:vAlign w:val="bottom"/>
          </w:tcPr>
          <w:p w14:paraId="57ACB13E"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(216)</w:t>
            </w:r>
          </w:p>
        </w:tc>
        <w:tc>
          <w:tcPr>
            <w:tcW w:w="650" w:type="pct"/>
            <w:tcBorders>
              <w:top w:val="nil"/>
              <w:left w:val="nil"/>
              <w:bottom w:val="nil"/>
              <w:right w:val="nil"/>
            </w:tcBorders>
            <w:shd w:val="clear" w:color="auto" w:fill="auto"/>
            <w:vAlign w:val="bottom"/>
          </w:tcPr>
          <w:p w14:paraId="1718861F"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318 </w:t>
            </w:r>
          </w:p>
        </w:tc>
        <w:tc>
          <w:tcPr>
            <w:tcW w:w="643" w:type="pct"/>
            <w:tcBorders>
              <w:top w:val="nil"/>
              <w:left w:val="nil"/>
              <w:bottom w:val="nil"/>
              <w:right w:val="nil"/>
            </w:tcBorders>
            <w:shd w:val="clear" w:color="auto" w:fill="auto"/>
            <w:vAlign w:val="bottom"/>
          </w:tcPr>
          <w:p w14:paraId="22DE0AA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5 </w:t>
            </w:r>
          </w:p>
        </w:tc>
        <w:tc>
          <w:tcPr>
            <w:tcW w:w="605" w:type="pct"/>
            <w:tcBorders>
              <w:top w:val="nil"/>
              <w:left w:val="nil"/>
              <w:bottom w:val="nil"/>
              <w:right w:val="nil"/>
            </w:tcBorders>
            <w:shd w:val="clear" w:color="auto" w:fill="auto"/>
            <w:vAlign w:val="bottom"/>
          </w:tcPr>
          <w:p w14:paraId="3B4ACB9C"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3F71E295"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107 </w:t>
            </w:r>
          </w:p>
        </w:tc>
      </w:tr>
      <w:tr w:rsidR="00587444" w:rsidRPr="00587444" w14:paraId="7F0BD9E0" w14:textId="77777777" w:rsidTr="00DD69E7">
        <w:trPr>
          <w:trHeight w:val="284"/>
        </w:trPr>
        <w:tc>
          <w:tcPr>
            <w:tcW w:w="1814" w:type="pct"/>
            <w:vAlign w:val="bottom"/>
          </w:tcPr>
          <w:p w14:paraId="33199930" w14:textId="77777777" w:rsidR="00587444" w:rsidRPr="00587444" w:rsidRDefault="00587444" w:rsidP="00587444">
            <w:pPr>
              <w:suppressAutoHyphens w:val="0"/>
              <w:autoSpaceDN/>
              <w:rPr>
                <w:rFonts w:ascii="Arial" w:eastAsia="Calibri" w:hAnsi="Arial" w:cs="Arial"/>
                <w:sz w:val="18"/>
                <w:szCs w:val="18"/>
                <w:lang w:val="en-GB"/>
              </w:rPr>
            </w:pPr>
            <w:r w:rsidRPr="00587444">
              <w:rPr>
                <w:rFonts w:ascii="Arial" w:eastAsia="Calibri" w:hAnsi="Arial" w:cs="Arial"/>
                <w:sz w:val="18"/>
                <w:szCs w:val="18"/>
                <w:lang w:val="en-GB"/>
              </w:rPr>
              <w:t>Net foreign exchange gain/loss</w:t>
            </w:r>
            <w:r w:rsidRPr="00587444" w:rsidDel="003F251B">
              <w:rPr>
                <w:rFonts w:ascii="Arial" w:eastAsia="Calibri" w:hAnsi="Arial" w:cs="Arial"/>
                <w:sz w:val="18"/>
                <w:szCs w:val="18"/>
                <w:lang w:val="en-GB"/>
              </w:rPr>
              <w:t xml:space="preserve"> </w:t>
            </w:r>
            <w:r w:rsidRPr="00587444">
              <w:rPr>
                <w:rFonts w:ascii="Arial" w:eastAsia="Calibri" w:hAnsi="Arial" w:cs="Arial"/>
                <w:sz w:val="18"/>
                <w:szCs w:val="18"/>
                <w:lang w:val="en-GB"/>
              </w:rPr>
              <w:t>on loss allowances</w:t>
            </w:r>
          </w:p>
        </w:tc>
        <w:tc>
          <w:tcPr>
            <w:tcW w:w="650" w:type="pct"/>
            <w:tcBorders>
              <w:top w:val="nil"/>
              <w:left w:val="nil"/>
              <w:bottom w:val="single" w:sz="8" w:space="0" w:color="auto"/>
              <w:right w:val="nil"/>
            </w:tcBorders>
            <w:shd w:val="clear" w:color="auto" w:fill="auto"/>
            <w:vAlign w:val="bottom"/>
          </w:tcPr>
          <w:p w14:paraId="7816951C"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c>
          <w:tcPr>
            <w:tcW w:w="650" w:type="pct"/>
            <w:tcBorders>
              <w:top w:val="nil"/>
              <w:left w:val="nil"/>
              <w:bottom w:val="single" w:sz="8" w:space="0" w:color="auto"/>
              <w:right w:val="nil"/>
            </w:tcBorders>
            <w:shd w:val="clear" w:color="auto" w:fill="auto"/>
            <w:vAlign w:val="bottom"/>
          </w:tcPr>
          <w:p w14:paraId="156348BD"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c>
          <w:tcPr>
            <w:tcW w:w="643" w:type="pct"/>
            <w:tcBorders>
              <w:top w:val="nil"/>
              <w:left w:val="nil"/>
              <w:bottom w:val="single" w:sz="8" w:space="0" w:color="auto"/>
              <w:right w:val="nil"/>
            </w:tcBorders>
            <w:shd w:val="clear" w:color="auto" w:fill="auto"/>
            <w:vAlign w:val="bottom"/>
          </w:tcPr>
          <w:p w14:paraId="1CEA2DFD"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4 </w:t>
            </w:r>
          </w:p>
        </w:tc>
        <w:tc>
          <w:tcPr>
            <w:tcW w:w="605" w:type="pct"/>
            <w:tcBorders>
              <w:top w:val="nil"/>
              <w:left w:val="nil"/>
              <w:bottom w:val="single" w:sz="8" w:space="0" w:color="auto"/>
              <w:right w:val="nil"/>
            </w:tcBorders>
            <w:shd w:val="clear" w:color="auto" w:fill="auto"/>
            <w:vAlign w:val="bottom"/>
          </w:tcPr>
          <w:p w14:paraId="5EF306A5"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c>
          <w:tcPr>
            <w:tcW w:w="638" w:type="pct"/>
            <w:tcBorders>
              <w:top w:val="nil"/>
              <w:left w:val="nil"/>
              <w:bottom w:val="single" w:sz="8" w:space="0" w:color="auto"/>
              <w:right w:val="nil"/>
            </w:tcBorders>
            <w:shd w:val="clear" w:color="auto" w:fill="auto"/>
            <w:vAlign w:val="bottom"/>
          </w:tcPr>
          <w:p w14:paraId="2C52C993"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4 </w:t>
            </w:r>
          </w:p>
        </w:tc>
      </w:tr>
      <w:tr w:rsidR="00587444" w:rsidRPr="00587444" w14:paraId="66431816" w14:textId="77777777" w:rsidTr="00DD69E7">
        <w:trPr>
          <w:trHeight w:val="230"/>
        </w:trPr>
        <w:tc>
          <w:tcPr>
            <w:tcW w:w="1814" w:type="pct"/>
            <w:vAlign w:val="bottom"/>
          </w:tcPr>
          <w:p w14:paraId="04B25F8A"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2022</w:t>
            </w:r>
          </w:p>
        </w:tc>
        <w:tc>
          <w:tcPr>
            <w:tcW w:w="650" w:type="pct"/>
            <w:tcBorders>
              <w:top w:val="nil"/>
              <w:left w:val="nil"/>
              <w:bottom w:val="single" w:sz="12" w:space="0" w:color="auto"/>
              <w:right w:val="nil"/>
            </w:tcBorders>
            <w:shd w:val="clear" w:color="auto" w:fill="auto"/>
            <w:vAlign w:val="bottom"/>
          </w:tcPr>
          <w:p w14:paraId="4A07D9A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2,466 </w:t>
            </w:r>
          </w:p>
        </w:tc>
        <w:tc>
          <w:tcPr>
            <w:tcW w:w="650" w:type="pct"/>
            <w:tcBorders>
              <w:top w:val="nil"/>
              <w:left w:val="nil"/>
              <w:bottom w:val="single" w:sz="12" w:space="0" w:color="auto"/>
              <w:right w:val="nil"/>
            </w:tcBorders>
            <w:shd w:val="clear" w:color="auto" w:fill="auto"/>
            <w:vAlign w:val="bottom"/>
          </w:tcPr>
          <w:p w14:paraId="2A36593A"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360 </w:t>
            </w:r>
          </w:p>
        </w:tc>
        <w:tc>
          <w:tcPr>
            <w:tcW w:w="643" w:type="pct"/>
            <w:tcBorders>
              <w:top w:val="nil"/>
              <w:left w:val="nil"/>
              <w:bottom w:val="single" w:sz="12" w:space="0" w:color="auto"/>
              <w:right w:val="nil"/>
            </w:tcBorders>
            <w:shd w:val="clear" w:color="auto" w:fill="auto"/>
            <w:vAlign w:val="bottom"/>
          </w:tcPr>
          <w:p w14:paraId="0209D353"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1,740 </w:t>
            </w:r>
          </w:p>
        </w:tc>
        <w:tc>
          <w:tcPr>
            <w:tcW w:w="605" w:type="pct"/>
            <w:tcBorders>
              <w:top w:val="nil"/>
              <w:left w:val="nil"/>
              <w:bottom w:val="single" w:sz="12" w:space="0" w:color="auto"/>
              <w:right w:val="nil"/>
            </w:tcBorders>
            <w:shd w:val="clear" w:color="auto" w:fill="auto"/>
            <w:vAlign w:val="bottom"/>
          </w:tcPr>
          <w:p w14:paraId="4DFCD50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 </w:t>
            </w:r>
          </w:p>
        </w:tc>
        <w:tc>
          <w:tcPr>
            <w:tcW w:w="638" w:type="pct"/>
            <w:tcBorders>
              <w:top w:val="nil"/>
              <w:left w:val="nil"/>
              <w:bottom w:val="single" w:sz="12" w:space="0" w:color="auto"/>
              <w:right w:val="nil"/>
            </w:tcBorders>
            <w:shd w:val="clear" w:color="auto" w:fill="auto"/>
            <w:vAlign w:val="bottom"/>
          </w:tcPr>
          <w:p w14:paraId="7785E22F"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4,566 </w:t>
            </w:r>
          </w:p>
        </w:tc>
      </w:tr>
    </w:tbl>
    <w:p w14:paraId="36FFFD4D" w14:textId="77777777" w:rsidR="00587444" w:rsidRPr="00587444" w:rsidRDefault="00587444" w:rsidP="00587444">
      <w:pPr>
        <w:suppressAutoHyphens w:val="0"/>
        <w:autoSpaceDN/>
        <w:jc w:val="both"/>
        <w:rPr>
          <w:rFonts w:ascii="Arial" w:hAnsi="Arial" w:cs="Arial"/>
          <w:b/>
          <w:bCs/>
          <w:sz w:val="20"/>
          <w:szCs w:val="20"/>
          <w:lang w:val="en-GB"/>
        </w:rPr>
      </w:pPr>
    </w:p>
    <w:p w14:paraId="15A54FBD"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473"/>
        <w:gridCol w:w="1244"/>
        <w:gridCol w:w="1244"/>
        <w:gridCol w:w="1231"/>
        <w:gridCol w:w="1158"/>
        <w:gridCol w:w="1221"/>
      </w:tblGrid>
      <w:tr w:rsidR="00587444" w:rsidRPr="00587444" w14:paraId="767A7392" w14:textId="77777777" w:rsidTr="00DD69E7">
        <w:trPr>
          <w:trHeight w:val="153"/>
        </w:trPr>
        <w:tc>
          <w:tcPr>
            <w:tcW w:w="1814" w:type="pct"/>
          </w:tcPr>
          <w:p w14:paraId="01F0B432"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Bank</w:t>
            </w:r>
          </w:p>
        </w:tc>
        <w:tc>
          <w:tcPr>
            <w:tcW w:w="3186" w:type="pct"/>
            <w:gridSpan w:val="5"/>
            <w:vAlign w:val="bottom"/>
          </w:tcPr>
          <w:p w14:paraId="0A3D8DED"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016B8C9C" w14:textId="77777777" w:rsidTr="00DD69E7">
        <w:trPr>
          <w:trHeight w:val="51"/>
        </w:trPr>
        <w:tc>
          <w:tcPr>
            <w:tcW w:w="1814" w:type="pct"/>
          </w:tcPr>
          <w:p w14:paraId="52B09AE5"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2021</w:t>
            </w:r>
          </w:p>
        </w:tc>
        <w:tc>
          <w:tcPr>
            <w:tcW w:w="650" w:type="pct"/>
            <w:vAlign w:val="bottom"/>
          </w:tcPr>
          <w:p w14:paraId="5C331F47"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3043C9B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339DA8E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426472D7"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2296774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60FC8B65" w14:textId="77777777" w:rsidTr="00DD69E7">
        <w:trPr>
          <w:trHeight w:val="51"/>
        </w:trPr>
        <w:tc>
          <w:tcPr>
            <w:tcW w:w="1814" w:type="pct"/>
          </w:tcPr>
          <w:p w14:paraId="15FDE2AA"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47ED4AC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50" w:type="pct"/>
          </w:tcPr>
          <w:p w14:paraId="7559BFE4"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3" w:type="pct"/>
          </w:tcPr>
          <w:p w14:paraId="0F23740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05" w:type="pct"/>
          </w:tcPr>
          <w:p w14:paraId="5E272774"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38" w:type="pct"/>
          </w:tcPr>
          <w:p w14:paraId="1F21711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42C91F64" w14:textId="77777777" w:rsidTr="00DD69E7">
        <w:trPr>
          <w:trHeight w:val="51"/>
        </w:trPr>
        <w:tc>
          <w:tcPr>
            <w:tcW w:w="1814" w:type="pct"/>
          </w:tcPr>
          <w:p w14:paraId="537C8E30"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6C67A1E0"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50" w:type="pct"/>
          </w:tcPr>
          <w:p w14:paraId="5EB9F16E"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43" w:type="pct"/>
          </w:tcPr>
          <w:p w14:paraId="1E6FE7E6"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05" w:type="pct"/>
          </w:tcPr>
          <w:p w14:paraId="46201B5A"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38" w:type="pct"/>
          </w:tcPr>
          <w:p w14:paraId="58C61965"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2B2B8C56" w14:textId="77777777" w:rsidTr="00DD69E7">
        <w:trPr>
          <w:trHeight w:hRule="exact" w:val="241"/>
        </w:trPr>
        <w:tc>
          <w:tcPr>
            <w:tcW w:w="1814" w:type="pct"/>
            <w:vAlign w:val="bottom"/>
          </w:tcPr>
          <w:p w14:paraId="38C62827"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2021</w:t>
            </w:r>
          </w:p>
        </w:tc>
        <w:tc>
          <w:tcPr>
            <w:tcW w:w="650" w:type="pct"/>
            <w:tcBorders>
              <w:top w:val="nil"/>
              <w:left w:val="nil"/>
              <w:bottom w:val="nil"/>
              <w:right w:val="nil"/>
            </w:tcBorders>
            <w:shd w:val="clear" w:color="auto" w:fill="auto"/>
          </w:tcPr>
          <w:p w14:paraId="24FF3E6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2,852 </w:t>
            </w:r>
          </w:p>
        </w:tc>
        <w:tc>
          <w:tcPr>
            <w:tcW w:w="650" w:type="pct"/>
            <w:tcBorders>
              <w:top w:val="nil"/>
              <w:left w:val="nil"/>
              <w:bottom w:val="nil"/>
              <w:right w:val="nil"/>
            </w:tcBorders>
            <w:shd w:val="clear" w:color="auto" w:fill="auto"/>
          </w:tcPr>
          <w:p w14:paraId="6F0AC8C4"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43" w:type="pct"/>
            <w:tcBorders>
              <w:top w:val="nil"/>
              <w:left w:val="nil"/>
              <w:bottom w:val="nil"/>
              <w:right w:val="nil"/>
            </w:tcBorders>
            <w:shd w:val="clear" w:color="auto" w:fill="auto"/>
          </w:tcPr>
          <w:p w14:paraId="0BC4F9FF"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1,647 </w:t>
            </w:r>
          </w:p>
        </w:tc>
        <w:tc>
          <w:tcPr>
            <w:tcW w:w="605" w:type="pct"/>
            <w:tcBorders>
              <w:top w:val="nil"/>
              <w:left w:val="nil"/>
              <w:bottom w:val="nil"/>
              <w:right w:val="nil"/>
            </w:tcBorders>
            <w:shd w:val="clear" w:color="auto" w:fill="auto"/>
          </w:tcPr>
          <w:p w14:paraId="1EB7699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38" w:type="pct"/>
            <w:tcBorders>
              <w:top w:val="nil"/>
              <w:left w:val="nil"/>
              <w:bottom w:val="nil"/>
              <w:right w:val="nil"/>
            </w:tcBorders>
            <w:shd w:val="clear" w:color="auto" w:fill="auto"/>
          </w:tcPr>
          <w:p w14:paraId="7D5B1B19"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4,499 </w:t>
            </w:r>
          </w:p>
        </w:tc>
      </w:tr>
      <w:tr w:rsidR="00587444" w:rsidRPr="00587444" w14:paraId="62F57B55" w14:textId="77777777" w:rsidTr="00DD69E7">
        <w:trPr>
          <w:trHeight w:hRule="exact" w:val="241"/>
        </w:trPr>
        <w:tc>
          <w:tcPr>
            <w:tcW w:w="1814" w:type="pct"/>
            <w:vAlign w:val="bottom"/>
          </w:tcPr>
          <w:p w14:paraId="40B39BA1"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tcBorders>
              <w:top w:val="nil"/>
              <w:left w:val="nil"/>
              <w:bottom w:val="nil"/>
              <w:right w:val="nil"/>
            </w:tcBorders>
            <w:shd w:val="clear" w:color="auto" w:fill="auto"/>
            <w:vAlign w:val="bottom"/>
          </w:tcPr>
          <w:p w14:paraId="456647E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50" w:type="pct"/>
            <w:tcBorders>
              <w:top w:val="nil"/>
              <w:left w:val="nil"/>
              <w:bottom w:val="nil"/>
              <w:right w:val="nil"/>
            </w:tcBorders>
            <w:shd w:val="clear" w:color="auto" w:fill="auto"/>
            <w:vAlign w:val="bottom"/>
          </w:tcPr>
          <w:p w14:paraId="7FE14FA4"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43" w:type="pct"/>
            <w:tcBorders>
              <w:top w:val="nil"/>
              <w:left w:val="nil"/>
              <w:bottom w:val="nil"/>
              <w:right w:val="nil"/>
            </w:tcBorders>
            <w:shd w:val="clear" w:color="auto" w:fill="auto"/>
            <w:vAlign w:val="bottom"/>
          </w:tcPr>
          <w:p w14:paraId="01B947E9"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05" w:type="pct"/>
            <w:tcBorders>
              <w:top w:val="nil"/>
              <w:left w:val="nil"/>
              <w:bottom w:val="nil"/>
              <w:right w:val="nil"/>
            </w:tcBorders>
            <w:shd w:val="clear" w:color="auto" w:fill="auto"/>
            <w:vAlign w:val="bottom"/>
          </w:tcPr>
          <w:p w14:paraId="3C08568A"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c>
          <w:tcPr>
            <w:tcW w:w="638" w:type="pct"/>
            <w:tcBorders>
              <w:top w:val="nil"/>
              <w:left w:val="nil"/>
              <w:bottom w:val="nil"/>
              <w:right w:val="nil"/>
            </w:tcBorders>
            <w:shd w:val="clear" w:color="auto" w:fill="auto"/>
            <w:vAlign w:val="bottom"/>
          </w:tcPr>
          <w:p w14:paraId="26ECBC0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w:t>
            </w:r>
          </w:p>
        </w:tc>
      </w:tr>
      <w:tr w:rsidR="00587444" w:rsidRPr="00587444" w14:paraId="16A5593F" w14:textId="77777777" w:rsidTr="00DD69E7">
        <w:trPr>
          <w:trHeight w:hRule="exact" w:val="241"/>
        </w:trPr>
        <w:tc>
          <w:tcPr>
            <w:tcW w:w="1814" w:type="pct"/>
            <w:vAlign w:val="bottom"/>
          </w:tcPr>
          <w:p w14:paraId="7E894737"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tcBorders>
              <w:top w:val="nil"/>
              <w:left w:val="nil"/>
              <w:bottom w:val="nil"/>
              <w:right w:val="nil"/>
            </w:tcBorders>
            <w:shd w:val="clear" w:color="auto" w:fill="auto"/>
            <w:vAlign w:val="bottom"/>
          </w:tcPr>
          <w:p w14:paraId="737DF2ED"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 xml:space="preserve"> - </w:t>
            </w:r>
          </w:p>
        </w:tc>
        <w:tc>
          <w:tcPr>
            <w:tcW w:w="650" w:type="pct"/>
            <w:tcBorders>
              <w:top w:val="nil"/>
              <w:left w:val="nil"/>
              <w:bottom w:val="nil"/>
              <w:right w:val="nil"/>
            </w:tcBorders>
            <w:shd w:val="clear" w:color="auto" w:fill="auto"/>
            <w:vAlign w:val="bottom"/>
          </w:tcPr>
          <w:p w14:paraId="41DD684E"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 xml:space="preserve"> - </w:t>
            </w:r>
          </w:p>
        </w:tc>
        <w:tc>
          <w:tcPr>
            <w:tcW w:w="643" w:type="pct"/>
            <w:tcBorders>
              <w:top w:val="nil"/>
              <w:left w:val="nil"/>
              <w:bottom w:val="nil"/>
              <w:right w:val="nil"/>
            </w:tcBorders>
            <w:shd w:val="clear" w:color="auto" w:fill="auto"/>
            <w:vAlign w:val="bottom"/>
          </w:tcPr>
          <w:p w14:paraId="65F75C10"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 xml:space="preserve"> - </w:t>
            </w:r>
          </w:p>
        </w:tc>
        <w:tc>
          <w:tcPr>
            <w:tcW w:w="605" w:type="pct"/>
            <w:tcBorders>
              <w:top w:val="nil"/>
              <w:left w:val="nil"/>
              <w:bottom w:val="nil"/>
              <w:right w:val="nil"/>
            </w:tcBorders>
            <w:shd w:val="clear" w:color="auto" w:fill="auto"/>
            <w:vAlign w:val="bottom"/>
          </w:tcPr>
          <w:p w14:paraId="5D93C8F2"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 xml:space="preserve"> - </w:t>
            </w:r>
          </w:p>
        </w:tc>
        <w:tc>
          <w:tcPr>
            <w:tcW w:w="638" w:type="pct"/>
            <w:tcBorders>
              <w:top w:val="nil"/>
              <w:left w:val="nil"/>
              <w:bottom w:val="nil"/>
              <w:right w:val="nil"/>
            </w:tcBorders>
            <w:shd w:val="clear" w:color="auto" w:fill="auto"/>
            <w:vAlign w:val="bottom"/>
          </w:tcPr>
          <w:p w14:paraId="0990E4C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eastAsia="Calibri" w:hAnsi="Arial" w:cs="Arial"/>
                <w:color w:val="000000"/>
                <w:sz w:val="18"/>
                <w:szCs w:val="18"/>
                <w:lang w:val="hr-HR"/>
              </w:rPr>
              <w:t xml:space="preserve"> - </w:t>
            </w:r>
          </w:p>
        </w:tc>
      </w:tr>
      <w:tr w:rsidR="00587444" w:rsidRPr="00587444" w14:paraId="2192EB4F" w14:textId="77777777" w:rsidTr="00DD69E7">
        <w:trPr>
          <w:trHeight w:hRule="exact" w:val="241"/>
        </w:trPr>
        <w:tc>
          <w:tcPr>
            <w:tcW w:w="1814" w:type="pct"/>
            <w:vAlign w:val="bottom"/>
          </w:tcPr>
          <w:p w14:paraId="605D8D24"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tcBorders>
              <w:top w:val="nil"/>
              <w:left w:val="nil"/>
              <w:bottom w:val="nil"/>
              <w:right w:val="nil"/>
            </w:tcBorders>
            <w:shd w:val="clear" w:color="auto" w:fill="auto"/>
            <w:vAlign w:val="bottom"/>
          </w:tcPr>
          <w:p w14:paraId="7FFC9450"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eastAsia="Calibri" w:hAnsi="Arial" w:cs="Arial"/>
                <w:color w:val="000000"/>
                <w:sz w:val="18"/>
                <w:szCs w:val="18"/>
                <w:lang w:val="hr-HR"/>
              </w:rPr>
              <w:t xml:space="preserve"> - </w:t>
            </w:r>
          </w:p>
        </w:tc>
        <w:tc>
          <w:tcPr>
            <w:tcW w:w="650" w:type="pct"/>
            <w:tcBorders>
              <w:top w:val="nil"/>
              <w:left w:val="nil"/>
              <w:bottom w:val="nil"/>
              <w:right w:val="nil"/>
            </w:tcBorders>
            <w:shd w:val="clear" w:color="auto" w:fill="auto"/>
            <w:vAlign w:val="bottom"/>
          </w:tcPr>
          <w:p w14:paraId="17D2B30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 xml:space="preserve"> - </w:t>
            </w:r>
          </w:p>
        </w:tc>
        <w:tc>
          <w:tcPr>
            <w:tcW w:w="643" w:type="pct"/>
            <w:tcBorders>
              <w:top w:val="nil"/>
              <w:left w:val="nil"/>
              <w:bottom w:val="nil"/>
              <w:right w:val="nil"/>
            </w:tcBorders>
            <w:shd w:val="clear" w:color="auto" w:fill="auto"/>
            <w:vAlign w:val="bottom"/>
          </w:tcPr>
          <w:p w14:paraId="092AF80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 xml:space="preserve"> - </w:t>
            </w:r>
          </w:p>
        </w:tc>
        <w:tc>
          <w:tcPr>
            <w:tcW w:w="605" w:type="pct"/>
            <w:tcBorders>
              <w:top w:val="nil"/>
              <w:left w:val="nil"/>
              <w:bottom w:val="nil"/>
              <w:right w:val="nil"/>
            </w:tcBorders>
            <w:shd w:val="clear" w:color="auto" w:fill="auto"/>
            <w:vAlign w:val="bottom"/>
          </w:tcPr>
          <w:p w14:paraId="5079C7E9"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 xml:space="preserve"> - </w:t>
            </w:r>
          </w:p>
        </w:tc>
        <w:tc>
          <w:tcPr>
            <w:tcW w:w="638" w:type="pct"/>
            <w:tcBorders>
              <w:top w:val="nil"/>
              <w:left w:val="nil"/>
              <w:bottom w:val="nil"/>
              <w:right w:val="nil"/>
            </w:tcBorders>
            <w:shd w:val="clear" w:color="auto" w:fill="auto"/>
            <w:vAlign w:val="bottom"/>
          </w:tcPr>
          <w:p w14:paraId="6AF7054A"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eastAsia="Calibri" w:hAnsi="Arial" w:cs="Arial"/>
                <w:color w:val="000000"/>
                <w:sz w:val="18"/>
                <w:szCs w:val="18"/>
                <w:lang w:val="hr-HR"/>
              </w:rPr>
              <w:t xml:space="preserve"> - </w:t>
            </w:r>
          </w:p>
        </w:tc>
      </w:tr>
      <w:tr w:rsidR="00587444" w:rsidRPr="00587444" w14:paraId="13678D37" w14:textId="77777777" w:rsidTr="00DD69E7">
        <w:trPr>
          <w:trHeight w:hRule="exact" w:val="483"/>
        </w:trPr>
        <w:tc>
          <w:tcPr>
            <w:tcW w:w="1814" w:type="pct"/>
            <w:vAlign w:val="bottom"/>
          </w:tcPr>
          <w:p w14:paraId="6F68DAFC" w14:textId="77777777" w:rsidR="00D75982"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(release)/increase</w:t>
            </w:r>
            <w:r w:rsidRPr="00587444" w:rsidDel="003F251B">
              <w:rPr>
                <w:rFonts w:ascii="Arial" w:eastAsia="Calibri" w:hAnsi="Arial" w:cs="Arial"/>
                <w:sz w:val="18"/>
                <w:szCs w:val="18"/>
                <w:lang w:val="en-GB"/>
              </w:rPr>
              <w:t xml:space="preserve"> </w:t>
            </w:r>
            <w:r w:rsidRPr="00587444">
              <w:rPr>
                <w:rFonts w:ascii="Arial" w:eastAsia="Calibri" w:hAnsi="Arial" w:cs="Arial"/>
                <w:sz w:val="18"/>
                <w:szCs w:val="18"/>
                <w:lang w:val="en-GB"/>
              </w:rPr>
              <w:t xml:space="preserve">of loss </w:t>
            </w:r>
          </w:p>
          <w:p w14:paraId="1C5A0041" w14:textId="686114D3"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tcBorders>
              <w:top w:val="nil"/>
              <w:left w:val="nil"/>
              <w:bottom w:val="nil"/>
              <w:right w:val="nil"/>
            </w:tcBorders>
            <w:shd w:val="clear" w:color="auto" w:fill="auto"/>
            <w:vAlign w:val="bottom"/>
          </w:tcPr>
          <w:p w14:paraId="43C88D30"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(125)</w:t>
            </w:r>
          </w:p>
        </w:tc>
        <w:tc>
          <w:tcPr>
            <w:tcW w:w="650" w:type="pct"/>
            <w:tcBorders>
              <w:top w:val="nil"/>
              <w:left w:val="nil"/>
              <w:bottom w:val="nil"/>
              <w:right w:val="nil"/>
            </w:tcBorders>
            <w:shd w:val="clear" w:color="auto" w:fill="auto"/>
            <w:vAlign w:val="bottom"/>
          </w:tcPr>
          <w:p w14:paraId="7FDD408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66016FEE"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89 </w:t>
            </w:r>
          </w:p>
        </w:tc>
        <w:tc>
          <w:tcPr>
            <w:tcW w:w="605" w:type="pct"/>
            <w:tcBorders>
              <w:top w:val="nil"/>
              <w:left w:val="nil"/>
              <w:bottom w:val="nil"/>
              <w:right w:val="nil"/>
            </w:tcBorders>
            <w:shd w:val="clear" w:color="auto" w:fill="auto"/>
            <w:vAlign w:val="bottom"/>
          </w:tcPr>
          <w:p w14:paraId="602FE51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28745EDA"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(36)</w:t>
            </w:r>
          </w:p>
        </w:tc>
      </w:tr>
      <w:tr w:rsidR="00587444" w:rsidRPr="00587444" w14:paraId="27392F32" w14:textId="77777777" w:rsidTr="00DD69E7">
        <w:trPr>
          <w:trHeight w:val="284"/>
        </w:trPr>
        <w:tc>
          <w:tcPr>
            <w:tcW w:w="1814" w:type="pct"/>
            <w:vAlign w:val="bottom"/>
          </w:tcPr>
          <w:p w14:paraId="06A13D6B" w14:textId="77777777" w:rsidR="00587444" w:rsidRPr="00587444" w:rsidRDefault="00587444" w:rsidP="00587444">
            <w:pPr>
              <w:suppressAutoHyphens w:val="0"/>
              <w:autoSpaceDN/>
              <w:rPr>
                <w:rFonts w:ascii="Arial" w:eastAsia="Calibri" w:hAnsi="Arial" w:cs="Arial"/>
                <w:sz w:val="18"/>
                <w:szCs w:val="18"/>
                <w:lang w:val="en-GB"/>
              </w:rPr>
            </w:pPr>
            <w:r w:rsidRPr="00587444">
              <w:rPr>
                <w:rFonts w:ascii="Arial" w:eastAsia="Calibri" w:hAnsi="Arial" w:cs="Arial"/>
                <w:sz w:val="18"/>
                <w:szCs w:val="18"/>
                <w:lang w:val="en-GB"/>
              </w:rPr>
              <w:t>Net foreign exchange gain/loss</w:t>
            </w:r>
            <w:r w:rsidRPr="00587444" w:rsidDel="003F251B">
              <w:rPr>
                <w:rFonts w:ascii="Arial" w:eastAsia="Calibri" w:hAnsi="Arial" w:cs="Arial"/>
                <w:sz w:val="18"/>
                <w:szCs w:val="18"/>
                <w:lang w:val="en-GB"/>
              </w:rPr>
              <w:t xml:space="preserve"> </w:t>
            </w:r>
            <w:r w:rsidRPr="00587444">
              <w:rPr>
                <w:rFonts w:ascii="Arial" w:eastAsia="Calibri" w:hAnsi="Arial" w:cs="Arial"/>
                <w:sz w:val="18"/>
                <w:szCs w:val="18"/>
                <w:lang w:val="en-GB"/>
              </w:rPr>
              <w:t>on loss allowances</w:t>
            </w:r>
          </w:p>
        </w:tc>
        <w:tc>
          <w:tcPr>
            <w:tcW w:w="650" w:type="pct"/>
            <w:tcBorders>
              <w:top w:val="nil"/>
              <w:left w:val="nil"/>
              <w:bottom w:val="single" w:sz="8" w:space="0" w:color="auto"/>
              <w:right w:val="nil"/>
            </w:tcBorders>
            <w:shd w:val="clear" w:color="auto" w:fill="auto"/>
            <w:vAlign w:val="bottom"/>
          </w:tcPr>
          <w:p w14:paraId="72BDDB74"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(3)</w:t>
            </w:r>
          </w:p>
        </w:tc>
        <w:tc>
          <w:tcPr>
            <w:tcW w:w="650" w:type="pct"/>
            <w:tcBorders>
              <w:top w:val="nil"/>
              <w:left w:val="nil"/>
              <w:bottom w:val="single" w:sz="8" w:space="0" w:color="auto"/>
              <w:right w:val="nil"/>
            </w:tcBorders>
            <w:shd w:val="clear" w:color="auto" w:fill="auto"/>
            <w:vAlign w:val="bottom"/>
          </w:tcPr>
          <w:p w14:paraId="7898EA12"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c>
          <w:tcPr>
            <w:tcW w:w="643" w:type="pct"/>
            <w:tcBorders>
              <w:top w:val="nil"/>
              <w:left w:val="nil"/>
              <w:bottom w:val="single" w:sz="8" w:space="0" w:color="auto"/>
              <w:right w:val="nil"/>
            </w:tcBorders>
            <w:shd w:val="clear" w:color="auto" w:fill="auto"/>
            <w:vAlign w:val="bottom"/>
          </w:tcPr>
          <w:p w14:paraId="1D58BB56"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(5)</w:t>
            </w:r>
          </w:p>
        </w:tc>
        <w:tc>
          <w:tcPr>
            <w:tcW w:w="605" w:type="pct"/>
            <w:tcBorders>
              <w:top w:val="nil"/>
              <w:left w:val="nil"/>
              <w:bottom w:val="single" w:sz="8" w:space="0" w:color="auto"/>
              <w:right w:val="nil"/>
            </w:tcBorders>
            <w:shd w:val="clear" w:color="auto" w:fill="auto"/>
            <w:vAlign w:val="bottom"/>
          </w:tcPr>
          <w:p w14:paraId="7017A363"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c>
          <w:tcPr>
            <w:tcW w:w="638" w:type="pct"/>
            <w:tcBorders>
              <w:top w:val="nil"/>
              <w:left w:val="nil"/>
              <w:bottom w:val="single" w:sz="8" w:space="0" w:color="auto"/>
              <w:right w:val="nil"/>
            </w:tcBorders>
            <w:shd w:val="clear" w:color="auto" w:fill="auto"/>
            <w:vAlign w:val="bottom"/>
          </w:tcPr>
          <w:p w14:paraId="55E4024D"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(8)</w:t>
            </w:r>
          </w:p>
        </w:tc>
      </w:tr>
      <w:tr w:rsidR="00587444" w:rsidRPr="00587444" w14:paraId="700785A0" w14:textId="77777777" w:rsidTr="00DD69E7">
        <w:trPr>
          <w:trHeight w:val="230"/>
        </w:trPr>
        <w:tc>
          <w:tcPr>
            <w:tcW w:w="1814" w:type="pct"/>
            <w:vAlign w:val="bottom"/>
          </w:tcPr>
          <w:p w14:paraId="57D4683B"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2021</w:t>
            </w:r>
          </w:p>
        </w:tc>
        <w:tc>
          <w:tcPr>
            <w:tcW w:w="650" w:type="pct"/>
            <w:tcBorders>
              <w:top w:val="nil"/>
              <w:left w:val="nil"/>
              <w:bottom w:val="single" w:sz="18" w:space="0" w:color="auto"/>
              <w:right w:val="nil"/>
            </w:tcBorders>
            <w:shd w:val="clear" w:color="auto" w:fill="auto"/>
            <w:vAlign w:val="bottom"/>
          </w:tcPr>
          <w:p w14:paraId="0AAF7BD3"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2,724 </w:t>
            </w:r>
          </w:p>
        </w:tc>
        <w:tc>
          <w:tcPr>
            <w:tcW w:w="650" w:type="pct"/>
            <w:tcBorders>
              <w:top w:val="nil"/>
              <w:left w:val="nil"/>
              <w:bottom w:val="single" w:sz="18" w:space="0" w:color="auto"/>
              <w:right w:val="nil"/>
            </w:tcBorders>
            <w:shd w:val="clear" w:color="auto" w:fill="auto"/>
            <w:vAlign w:val="bottom"/>
          </w:tcPr>
          <w:p w14:paraId="092DFFB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 </w:t>
            </w:r>
          </w:p>
        </w:tc>
        <w:tc>
          <w:tcPr>
            <w:tcW w:w="643" w:type="pct"/>
            <w:tcBorders>
              <w:top w:val="nil"/>
              <w:left w:val="nil"/>
              <w:bottom w:val="single" w:sz="18" w:space="0" w:color="auto"/>
              <w:right w:val="nil"/>
            </w:tcBorders>
            <w:shd w:val="clear" w:color="auto" w:fill="auto"/>
            <w:vAlign w:val="bottom"/>
          </w:tcPr>
          <w:p w14:paraId="44B7831E"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1,731 </w:t>
            </w:r>
          </w:p>
        </w:tc>
        <w:tc>
          <w:tcPr>
            <w:tcW w:w="605" w:type="pct"/>
            <w:tcBorders>
              <w:top w:val="nil"/>
              <w:left w:val="nil"/>
              <w:bottom w:val="single" w:sz="18" w:space="0" w:color="auto"/>
              <w:right w:val="nil"/>
            </w:tcBorders>
            <w:shd w:val="clear" w:color="auto" w:fill="auto"/>
            <w:vAlign w:val="bottom"/>
          </w:tcPr>
          <w:p w14:paraId="4F2DF0DC"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 </w:t>
            </w:r>
          </w:p>
        </w:tc>
        <w:tc>
          <w:tcPr>
            <w:tcW w:w="638" w:type="pct"/>
            <w:tcBorders>
              <w:top w:val="nil"/>
              <w:left w:val="nil"/>
              <w:bottom w:val="single" w:sz="18" w:space="0" w:color="auto"/>
              <w:right w:val="nil"/>
            </w:tcBorders>
            <w:shd w:val="clear" w:color="auto" w:fill="auto"/>
            <w:vAlign w:val="bottom"/>
          </w:tcPr>
          <w:p w14:paraId="307E156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4,455 </w:t>
            </w:r>
          </w:p>
        </w:tc>
      </w:tr>
    </w:tbl>
    <w:p w14:paraId="6B9E4555" w14:textId="77777777" w:rsidR="00587444" w:rsidRPr="00587444" w:rsidRDefault="00587444" w:rsidP="00587444">
      <w:pPr>
        <w:suppressAutoHyphens w:val="0"/>
        <w:autoSpaceDN/>
        <w:spacing w:after="120"/>
        <w:jc w:val="both"/>
        <w:rPr>
          <w:rFonts w:ascii="Arial" w:hAnsi="Arial" w:cs="Arial"/>
          <w:b/>
          <w:bCs/>
          <w:sz w:val="20"/>
          <w:szCs w:val="20"/>
          <w:lang w:val="en-GB"/>
        </w:rPr>
      </w:pPr>
    </w:p>
    <w:p w14:paraId="31D6B19C" w14:textId="77777777" w:rsidR="00587444" w:rsidRPr="00587444" w:rsidRDefault="00587444" w:rsidP="00587444">
      <w:pPr>
        <w:suppressAutoHyphens w:val="0"/>
        <w:autoSpaceDN/>
        <w:jc w:val="both"/>
        <w:rPr>
          <w:rFonts w:ascii="Arial" w:hAnsi="Arial" w:cs="Arial"/>
          <w:b/>
          <w:bCs/>
          <w:sz w:val="20"/>
          <w:szCs w:val="20"/>
          <w:lang w:val="en-GB"/>
        </w:rPr>
      </w:pPr>
    </w:p>
    <w:p w14:paraId="14687E86" w14:textId="77777777" w:rsidR="00587444" w:rsidRPr="00587444" w:rsidRDefault="00587444" w:rsidP="00587444">
      <w:pPr>
        <w:suppressAutoHyphens w:val="0"/>
        <w:autoSpaceDN/>
        <w:jc w:val="both"/>
        <w:rPr>
          <w:rFonts w:ascii="Arial" w:hAnsi="Arial" w:cs="Arial"/>
          <w:b/>
          <w:bCs/>
          <w:sz w:val="20"/>
          <w:szCs w:val="20"/>
          <w:lang w:val="en-GB"/>
        </w:rPr>
      </w:pPr>
    </w:p>
    <w:p w14:paraId="07CA8DC9"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D69E7">
          <w:pgSz w:w="11907" w:h="16840" w:code="9"/>
          <w:pgMar w:top="1418" w:right="1134" w:bottom="1134" w:left="1418" w:header="851" w:footer="851" w:gutter="0"/>
          <w:cols w:space="720"/>
          <w:noEndnote/>
        </w:sectPr>
      </w:pPr>
    </w:p>
    <w:p w14:paraId="00AE06DB" w14:textId="77777777" w:rsidR="00587444" w:rsidRPr="00587444" w:rsidRDefault="00587444" w:rsidP="00587444">
      <w:pPr>
        <w:suppressAutoHyphens w:val="0"/>
        <w:autoSpaceDN/>
        <w:jc w:val="both"/>
        <w:rPr>
          <w:rFonts w:ascii="Arial" w:hAnsi="Arial" w:cs="Arial"/>
          <w:b/>
          <w:bCs/>
          <w:sz w:val="20"/>
          <w:szCs w:val="20"/>
          <w:lang w:val="en-GB"/>
        </w:rPr>
      </w:pPr>
    </w:p>
    <w:p w14:paraId="2F49A0D4"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36ABB15F" w14:textId="77777777" w:rsidR="00587444" w:rsidRPr="00587444" w:rsidRDefault="00587444" w:rsidP="00587444">
      <w:pPr>
        <w:suppressAutoHyphens w:val="0"/>
        <w:autoSpaceDN/>
        <w:jc w:val="both"/>
        <w:rPr>
          <w:rFonts w:ascii="Arial" w:hAnsi="Arial" w:cs="Arial"/>
          <w:b/>
          <w:sz w:val="20"/>
          <w:szCs w:val="20"/>
          <w:lang w:val="en-GB"/>
        </w:rPr>
      </w:pPr>
    </w:p>
    <w:p w14:paraId="73C04C02"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3330DD9E" w14:textId="77777777" w:rsidR="00587444" w:rsidRPr="00587444" w:rsidRDefault="00587444" w:rsidP="00587444">
      <w:pPr>
        <w:suppressAutoHyphens w:val="0"/>
        <w:autoSpaceDN/>
        <w:jc w:val="both"/>
        <w:rPr>
          <w:rFonts w:ascii="Arial" w:hAnsi="Arial" w:cs="Arial"/>
          <w:b/>
          <w:bCs/>
          <w:i/>
          <w:sz w:val="20"/>
          <w:szCs w:val="20"/>
          <w:lang w:val="en-GB"/>
        </w:rPr>
      </w:pPr>
    </w:p>
    <w:p w14:paraId="74B2B7A8" w14:textId="77777777" w:rsidR="00587444" w:rsidRPr="00587444" w:rsidRDefault="00587444">
      <w:pPr>
        <w:numPr>
          <w:ilvl w:val="8"/>
          <w:numId w:val="67"/>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073CB041" w14:textId="77777777" w:rsidR="00587444" w:rsidRPr="00587444" w:rsidRDefault="00587444" w:rsidP="00587444">
      <w:pPr>
        <w:suppressAutoHyphens w:val="0"/>
        <w:autoSpaceDN/>
        <w:jc w:val="both"/>
        <w:rPr>
          <w:rFonts w:ascii="Arial" w:hAnsi="Arial" w:cs="Arial"/>
          <w:b/>
          <w:bCs/>
          <w:sz w:val="20"/>
          <w:szCs w:val="20"/>
          <w:lang w:val="en-GB"/>
        </w:rPr>
      </w:pPr>
    </w:p>
    <w:p w14:paraId="3E4269C8" w14:textId="77777777" w:rsidR="00587444" w:rsidRPr="00587444" w:rsidRDefault="00587444" w:rsidP="00587444">
      <w:pPr>
        <w:suppressAutoHyphens w:val="0"/>
        <w:autoSpaceDN/>
        <w:spacing w:after="120"/>
        <w:jc w:val="both"/>
        <w:rPr>
          <w:rFonts w:ascii="Arial" w:hAnsi="Arial" w:cs="Arial"/>
          <w:b/>
          <w:bCs/>
          <w:sz w:val="20"/>
          <w:szCs w:val="20"/>
          <w:lang w:val="en-GB"/>
        </w:rPr>
      </w:pPr>
      <w:r w:rsidRPr="00587444">
        <w:rPr>
          <w:rFonts w:ascii="Arial" w:hAnsi="Arial" w:cs="Arial"/>
          <w:b/>
          <w:bCs/>
          <w:sz w:val="20"/>
          <w:szCs w:val="20"/>
          <w:lang w:val="en-GB"/>
        </w:rPr>
        <w:t>Other assets</w:t>
      </w:r>
    </w:p>
    <w:tbl>
      <w:tblPr>
        <w:tblpPr w:leftFromText="180" w:rightFromText="180" w:vertAnchor="text" w:horzAnchor="margin" w:tblpY="10"/>
        <w:tblW w:w="5007" w:type="pct"/>
        <w:tblLayout w:type="fixed"/>
        <w:tblLook w:val="0000" w:firstRow="0" w:lastRow="0" w:firstColumn="0" w:lastColumn="0" w:noHBand="0" w:noVBand="0"/>
      </w:tblPr>
      <w:tblGrid>
        <w:gridCol w:w="3476"/>
        <w:gridCol w:w="1244"/>
        <w:gridCol w:w="1244"/>
        <w:gridCol w:w="1233"/>
        <w:gridCol w:w="1160"/>
        <w:gridCol w:w="1227"/>
      </w:tblGrid>
      <w:tr w:rsidR="00587444" w:rsidRPr="00587444" w14:paraId="01DC7093" w14:textId="77777777" w:rsidTr="00DD69E7">
        <w:trPr>
          <w:trHeight w:val="164"/>
        </w:trPr>
        <w:tc>
          <w:tcPr>
            <w:tcW w:w="1814" w:type="pct"/>
          </w:tcPr>
          <w:p w14:paraId="14E0F207"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Group</w:t>
            </w:r>
          </w:p>
        </w:tc>
        <w:tc>
          <w:tcPr>
            <w:tcW w:w="3186" w:type="pct"/>
            <w:gridSpan w:val="5"/>
            <w:vAlign w:val="bottom"/>
          </w:tcPr>
          <w:p w14:paraId="14B1BE41"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533041BE" w14:textId="77777777" w:rsidTr="00DD69E7">
        <w:trPr>
          <w:trHeight w:val="53"/>
        </w:trPr>
        <w:tc>
          <w:tcPr>
            <w:tcW w:w="1814" w:type="pct"/>
          </w:tcPr>
          <w:p w14:paraId="00D76A48"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2022</w:t>
            </w:r>
          </w:p>
        </w:tc>
        <w:tc>
          <w:tcPr>
            <w:tcW w:w="649" w:type="pct"/>
            <w:vAlign w:val="bottom"/>
          </w:tcPr>
          <w:p w14:paraId="63150C7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398B5C6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3264D73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61A09C1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0" w:type="pct"/>
            <w:vAlign w:val="bottom"/>
          </w:tcPr>
          <w:p w14:paraId="698FF82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2E3973D7" w14:textId="77777777" w:rsidTr="00DD69E7">
        <w:trPr>
          <w:trHeight w:val="53"/>
        </w:trPr>
        <w:tc>
          <w:tcPr>
            <w:tcW w:w="1814" w:type="pct"/>
          </w:tcPr>
          <w:p w14:paraId="7D56F1BB" w14:textId="77777777" w:rsidR="00587444" w:rsidRPr="00587444" w:rsidRDefault="00587444" w:rsidP="00587444">
            <w:pPr>
              <w:suppressAutoHyphens w:val="0"/>
              <w:autoSpaceDN/>
              <w:rPr>
                <w:rFonts w:ascii="Arial" w:eastAsia="Calibri" w:hAnsi="Arial" w:cs="Arial"/>
                <w:b/>
                <w:bCs/>
                <w:sz w:val="18"/>
                <w:szCs w:val="18"/>
                <w:lang w:val="en-GB"/>
              </w:rPr>
            </w:pPr>
          </w:p>
        </w:tc>
        <w:tc>
          <w:tcPr>
            <w:tcW w:w="649" w:type="pct"/>
          </w:tcPr>
          <w:p w14:paraId="0B849FB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9" w:type="pct"/>
          </w:tcPr>
          <w:p w14:paraId="79F061BB"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3" w:type="pct"/>
          </w:tcPr>
          <w:p w14:paraId="15E247D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05" w:type="pct"/>
          </w:tcPr>
          <w:p w14:paraId="24EB7F64"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0" w:type="pct"/>
          </w:tcPr>
          <w:p w14:paraId="7982E934"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66624DAF" w14:textId="77777777" w:rsidTr="00DD69E7">
        <w:trPr>
          <w:trHeight w:val="53"/>
        </w:trPr>
        <w:tc>
          <w:tcPr>
            <w:tcW w:w="1814" w:type="pct"/>
          </w:tcPr>
          <w:p w14:paraId="6D1DD3FF" w14:textId="77777777" w:rsidR="00587444" w:rsidRPr="00587444" w:rsidRDefault="00587444" w:rsidP="00587444">
            <w:pPr>
              <w:suppressAutoHyphens w:val="0"/>
              <w:autoSpaceDN/>
              <w:rPr>
                <w:rFonts w:ascii="Arial" w:eastAsia="Calibri" w:hAnsi="Arial" w:cs="Arial"/>
                <w:b/>
                <w:bCs/>
                <w:sz w:val="18"/>
                <w:szCs w:val="18"/>
                <w:lang w:val="en-GB"/>
              </w:rPr>
            </w:pPr>
          </w:p>
        </w:tc>
        <w:tc>
          <w:tcPr>
            <w:tcW w:w="649" w:type="pct"/>
          </w:tcPr>
          <w:p w14:paraId="2C5AD61F"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49" w:type="pct"/>
          </w:tcPr>
          <w:p w14:paraId="33D54019"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43" w:type="pct"/>
          </w:tcPr>
          <w:p w14:paraId="1708DAF2"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05" w:type="pct"/>
          </w:tcPr>
          <w:p w14:paraId="49C443EA"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40" w:type="pct"/>
          </w:tcPr>
          <w:p w14:paraId="096E4539" w14:textId="77777777" w:rsidR="00587444" w:rsidRPr="00587444" w:rsidRDefault="00587444" w:rsidP="00587444">
            <w:pPr>
              <w:suppressAutoHyphens w:val="0"/>
              <w:autoSpaceDN/>
              <w:jc w:val="right"/>
              <w:rPr>
                <w:rFonts w:ascii="Arial" w:eastAsia="Calibri" w:hAnsi="Arial" w:cs="Arial"/>
                <w:b/>
                <w:bCs/>
                <w:sz w:val="18"/>
                <w:szCs w:val="18"/>
                <w:lang w:val="en-GB"/>
              </w:rPr>
            </w:pPr>
          </w:p>
        </w:tc>
      </w:tr>
      <w:tr w:rsidR="00587444" w:rsidRPr="00587444" w14:paraId="57B6AADF" w14:textId="77777777" w:rsidTr="00DD69E7">
        <w:trPr>
          <w:trHeight w:hRule="exact" w:val="250"/>
        </w:trPr>
        <w:tc>
          <w:tcPr>
            <w:tcW w:w="1814" w:type="pct"/>
            <w:vAlign w:val="bottom"/>
          </w:tcPr>
          <w:p w14:paraId="644B1255"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2022</w:t>
            </w:r>
          </w:p>
        </w:tc>
        <w:tc>
          <w:tcPr>
            <w:tcW w:w="649" w:type="pct"/>
            <w:shd w:val="clear" w:color="auto" w:fill="auto"/>
            <w:vAlign w:val="bottom"/>
          </w:tcPr>
          <w:p w14:paraId="2F0B25F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179 </w:t>
            </w:r>
          </w:p>
        </w:tc>
        <w:tc>
          <w:tcPr>
            <w:tcW w:w="649" w:type="pct"/>
            <w:shd w:val="clear" w:color="auto" w:fill="auto"/>
            <w:vAlign w:val="bottom"/>
          </w:tcPr>
          <w:p w14:paraId="59BC3B7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4 </w:t>
            </w:r>
          </w:p>
        </w:tc>
        <w:tc>
          <w:tcPr>
            <w:tcW w:w="643" w:type="pct"/>
            <w:shd w:val="clear" w:color="auto" w:fill="auto"/>
            <w:vAlign w:val="bottom"/>
          </w:tcPr>
          <w:p w14:paraId="254209B1"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31,418 </w:t>
            </w:r>
          </w:p>
        </w:tc>
        <w:tc>
          <w:tcPr>
            <w:tcW w:w="605" w:type="pct"/>
            <w:shd w:val="clear" w:color="auto" w:fill="auto"/>
            <w:vAlign w:val="bottom"/>
          </w:tcPr>
          <w:p w14:paraId="717A8D6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250 </w:t>
            </w:r>
          </w:p>
        </w:tc>
        <w:tc>
          <w:tcPr>
            <w:tcW w:w="640" w:type="pct"/>
            <w:shd w:val="clear" w:color="auto" w:fill="auto"/>
            <w:vAlign w:val="bottom"/>
          </w:tcPr>
          <w:p w14:paraId="058EF0C0"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31,851 </w:t>
            </w:r>
          </w:p>
        </w:tc>
      </w:tr>
      <w:tr w:rsidR="00587444" w:rsidRPr="00587444" w14:paraId="4B167D61" w14:textId="77777777" w:rsidTr="00DD69E7">
        <w:trPr>
          <w:trHeight w:hRule="exact" w:val="250"/>
        </w:trPr>
        <w:tc>
          <w:tcPr>
            <w:tcW w:w="1814" w:type="pct"/>
            <w:vAlign w:val="bottom"/>
          </w:tcPr>
          <w:p w14:paraId="15C624E6"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9" w:type="pct"/>
            <w:shd w:val="clear" w:color="auto" w:fill="auto"/>
            <w:vAlign w:val="bottom"/>
          </w:tcPr>
          <w:p w14:paraId="6D825701"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10 </w:t>
            </w:r>
          </w:p>
        </w:tc>
        <w:tc>
          <w:tcPr>
            <w:tcW w:w="649" w:type="pct"/>
            <w:shd w:val="clear" w:color="auto" w:fill="auto"/>
            <w:vAlign w:val="bottom"/>
          </w:tcPr>
          <w:p w14:paraId="3C50BE32"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3" w:type="pct"/>
            <w:shd w:val="clear" w:color="auto" w:fill="auto"/>
            <w:vAlign w:val="bottom"/>
          </w:tcPr>
          <w:p w14:paraId="009D4F52"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(10)</w:t>
            </w:r>
          </w:p>
        </w:tc>
        <w:tc>
          <w:tcPr>
            <w:tcW w:w="605" w:type="pct"/>
            <w:shd w:val="clear" w:color="auto" w:fill="auto"/>
            <w:vAlign w:val="bottom"/>
          </w:tcPr>
          <w:p w14:paraId="2DF8B762"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0" w:type="pct"/>
            <w:shd w:val="clear" w:color="auto" w:fill="auto"/>
            <w:vAlign w:val="bottom"/>
          </w:tcPr>
          <w:p w14:paraId="39A0061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r>
      <w:tr w:rsidR="00587444" w:rsidRPr="00587444" w14:paraId="07C542E1" w14:textId="77777777" w:rsidTr="00DD69E7">
        <w:trPr>
          <w:trHeight w:hRule="exact" w:val="250"/>
        </w:trPr>
        <w:tc>
          <w:tcPr>
            <w:tcW w:w="1814" w:type="pct"/>
            <w:vAlign w:val="bottom"/>
          </w:tcPr>
          <w:p w14:paraId="38D4CC4E"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9" w:type="pct"/>
            <w:shd w:val="clear" w:color="auto" w:fill="auto"/>
            <w:vAlign w:val="bottom"/>
          </w:tcPr>
          <w:p w14:paraId="56AE8C8C"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(30)</w:t>
            </w:r>
          </w:p>
        </w:tc>
        <w:tc>
          <w:tcPr>
            <w:tcW w:w="649" w:type="pct"/>
            <w:shd w:val="clear" w:color="auto" w:fill="auto"/>
            <w:vAlign w:val="bottom"/>
          </w:tcPr>
          <w:p w14:paraId="0152CA41"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30 </w:t>
            </w:r>
          </w:p>
        </w:tc>
        <w:tc>
          <w:tcPr>
            <w:tcW w:w="643" w:type="pct"/>
            <w:shd w:val="clear" w:color="auto" w:fill="auto"/>
            <w:vAlign w:val="bottom"/>
          </w:tcPr>
          <w:p w14:paraId="6025C899"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05" w:type="pct"/>
            <w:shd w:val="clear" w:color="auto" w:fill="auto"/>
            <w:vAlign w:val="bottom"/>
          </w:tcPr>
          <w:p w14:paraId="248D7D2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0" w:type="pct"/>
            <w:shd w:val="clear" w:color="auto" w:fill="auto"/>
            <w:vAlign w:val="bottom"/>
          </w:tcPr>
          <w:p w14:paraId="630667B4"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r>
      <w:tr w:rsidR="00587444" w:rsidRPr="00587444" w14:paraId="07E4C85F" w14:textId="77777777" w:rsidTr="00DD69E7">
        <w:trPr>
          <w:trHeight w:hRule="exact" w:val="250"/>
        </w:trPr>
        <w:tc>
          <w:tcPr>
            <w:tcW w:w="1814" w:type="pct"/>
            <w:vAlign w:val="bottom"/>
          </w:tcPr>
          <w:p w14:paraId="35A36717"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9" w:type="pct"/>
            <w:shd w:val="clear" w:color="auto" w:fill="auto"/>
            <w:vAlign w:val="bottom"/>
          </w:tcPr>
          <w:p w14:paraId="58B69D6B"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9" w:type="pct"/>
            <w:shd w:val="clear" w:color="auto" w:fill="auto"/>
            <w:vAlign w:val="bottom"/>
          </w:tcPr>
          <w:p w14:paraId="70C1F752"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(100)</w:t>
            </w:r>
          </w:p>
        </w:tc>
        <w:tc>
          <w:tcPr>
            <w:tcW w:w="643" w:type="pct"/>
            <w:shd w:val="clear" w:color="auto" w:fill="auto"/>
            <w:vAlign w:val="bottom"/>
          </w:tcPr>
          <w:p w14:paraId="5C3A02BE"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100 </w:t>
            </w:r>
          </w:p>
        </w:tc>
        <w:tc>
          <w:tcPr>
            <w:tcW w:w="605" w:type="pct"/>
            <w:shd w:val="clear" w:color="auto" w:fill="auto"/>
            <w:vAlign w:val="bottom"/>
          </w:tcPr>
          <w:p w14:paraId="388819E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0" w:type="pct"/>
            <w:shd w:val="clear" w:color="auto" w:fill="auto"/>
            <w:vAlign w:val="bottom"/>
          </w:tcPr>
          <w:p w14:paraId="58567574"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r>
      <w:tr w:rsidR="00587444" w:rsidRPr="00587444" w14:paraId="5E74A6AD" w14:textId="77777777" w:rsidTr="00DD69E7">
        <w:trPr>
          <w:trHeight w:hRule="exact" w:val="250"/>
        </w:trPr>
        <w:tc>
          <w:tcPr>
            <w:tcW w:w="1814" w:type="pct"/>
            <w:vAlign w:val="bottom"/>
          </w:tcPr>
          <w:p w14:paraId="6EE7A732"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increase of loss allowance</w:t>
            </w:r>
          </w:p>
        </w:tc>
        <w:tc>
          <w:tcPr>
            <w:tcW w:w="649" w:type="pct"/>
            <w:shd w:val="clear" w:color="auto" w:fill="auto"/>
            <w:vAlign w:val="bottom"/>
          </w:tcPr>
          <w:p w14:paraId="48061C54"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50 </w:t>
            </w:r>
          </w:p>
        </w:tc>
        <w:tc>
          <w:tcPr>
            <w:tcW w:w="649" w:type="pct"/>
            <w:shd w:val="clear" w:color="auto" w:fill="auto"/>
            <w:vAlign w:val="bottom"/>
          </w:tcPr>
          <w:p w14:paraId="2D79A366" w14:textId="77777777" w:rsidR="00587444" w:rsidRPr="00587444" w:rsidDel="00103E88"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67 </w:t>
            </w:r>
          </w:p>
        </w:tc>
        <w:tc>
          <w:tcPr>
            <w:tcW w:w="643" w:type="pct"/>
            <w:shd w:val="clear" w:color="auto" w:fill="auto"/>
            <w:vAlign w:val="bottom"/>
          </w:tcPr>
          <w:p w14:paraId="2E7E549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3,650 </w:t>
            </w:r>
          </w:p>
        </w:tc>
        <w:tc>
          <w:tcPr>
            <w:tcW w:w="605" w:type="pct"/>
            <w:shd w:val="clear" w:color="auto" w:fill="auto"/>
            <w:vAlign w:val="bottom"/>
          </w:tcPr>
          <w:p w14:paraId="3F7F610C" w14:textId="77777777" w:rsidR="00587444" w:rsidRPr="00587444" w:rsidDel="00862226"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(3)</w:t>
            </w:r>
          </w:p>
        </w:tc>
        <w:tc>
          <w:tcPr>
            <w:tcW w:w="640" w:type="pct"/>
            <w:shd w:val="clear" w:color="auto" w:fill="auto"/>
            <w:vAlign w:val="bottom"/>
          </w:tcPr>
          <w:p w14:paraId="14BAD471"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3,764 </w:t>
            </w:r>
          </w:p>
        </w:tc>
      </w:tr>
      <w:tr w:rsidR="00587444" w:rsidRPr="00587444" w14:paraId="7FCE2316" w14:textId="77777777" w:rsidTr="00DD69E7">
        <w:trPr>
          <w:trHeight w:hRule="exact" w:val="250"/>
        </w:trPr>
        <w:tc>
          <w:tcPr>
            <w:tcW w:w="1814" w:type="pct"/>
            <w:vAlign w:val="center"/>
          </w:tcPr>
          <w:p w14:paraId="3C2B1A75"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649" w:type="pct"/>
            <w:shd w:val="clear" w:color="auto" w:fill="auto"/>
            <w:vAlign w:val="bottom"/>
          </w:tcPr>
          <w:p w14:paraId="5CA2CBA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(12)</w:t>
            </w:r>
          </w:p>
        </w:tc>
        <w:tc>
          <w:tcPr>
            <w:tcW w:w="649" w:type="pct"/>
            <w:shd w:val="clear" w:color="auto" w:fill="auto"/>
            <w:vAlign w:val="bottom"/>
          </w:tcPr>
          <w:p w14:paraId="6C6B94A4"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3" w:type="pct"/>
            <w:shd w:val="clear" w:color="auto" w:fill="auto"/>
            <w:vAlign w:val="bottom"/>
          </w:tcPr>
          <w:p w14:paraId="763242A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(35)</w:t>
            </w:r>
          </w:p>
        </w:tc>
        <w:tc>
          <w:tcPr>
            <w:tcW w:w="605" w:type="pct"/>
            <w:shd w:val="clear" w:color="auto" w:fill="auto"/>
            <w:vAlign w:val="bottom"/>
          </w:tcPr>
          <w:p w14:paraId="0133C9E1"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0" w:type="pct"/>
            <w:shd w:val="clear" w:color="auto" w:fill="auto"/>
            <w:vAlign w:val="bottom"/>
          </w:tcPr>
          <w:p w14:paraId="3AD45BAF"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(47)</w:t>
            </w:r>
          </w:p>
        </w:tc>
      </w:tr>
      <w:tr w:rsidR="00587444" w:rsidRPr="00587444" w14:paraId="5B044272" w14:textId="77777777" w:rsidTr="00DD69E7">
        <w:trPr>
          <w:trHeight w:val="294"/>
        </w:trPr>
        <w:tc>
          <w:tcPr>
            <w:tcW w:w="1814" w:type="pct"/>
            <w:vAlign w:val="bottom"/>
          </w:tcPr>
          <w:p w14:paraId="2224F87B"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49" w:type="pct"/>
            <w:tcBorders>
              <w:top w:val="nil"/>
              <w:left w:val="nil"/>
              <w:right w:val="nil"/>
            </w:tcBorders>
            <w:shd w:val="clear" w:color="auto" w:fill="auto"/>
            <w:vAlign w:val="bottom"/>
          </w:tcPr>
          <w:p w14:paraId="7F5D595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9" w:type="pct"/>
            <w:tcBorders>
              <w:top w:val="nil"/>
              <w:left w:val="nil"/>
              <w:right w:val="nil"/>
            </w:tcBorders>
            <w:shd w:val="clear" w:color="auto" w:fill="auto"/>
            <w:vAlign w:val="bottom"/>
          </w:tcPr>
          <w:p w14:paraId="3B38D2C4"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3" w:type="pct"/>
            <w:tcBorders>
              <w:top w:val="nil"/>
              <w:left w:val="nil"/>
              <w:right w:val="nil"/>
            </w:tcBorders>
            <w:shd w:val="clear" w:color="auto" w:fill="auto"/>
            <w:vAlign w:val="bottom"/>
          </w:tcPr>
          <w:p w14:paraId="0DFA8EBC"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(216)</w:t>
            </w:r>
          </w:p>
        </w:tc>
        <w:tc>
          <w:tcPr>
            <w:tcW w:w="605" w:type="pct"/>
            <w:tcBorders>
              <w:top w:val="nil"/>
              <w:left w:val="nil"/>
              <w:right w:val="nil"/>
            </w:tcBorders>
            <w:shd w:val="clear" w:color="auto" w:fill="auto"/>
            <w:vAlign w:val="bottom"/>
          </w:tcPr>
          <w:p w14:paraId="60427A7E"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0" w:type="pct"/>
            <w:tcBorders>
              <w:top w:val="nil"/>
              <w:left w:val="nil"/>
              <w:right w:val="nil"/>
            </w:tcBorders>
            <w:shd w:val="clear" w:color="auto" w:fill="auto"/>
            <w:vAlign w:val="bottom"/>
          </w:tcPr>
          <w:p w14:paraId="71621674"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(216)</w:t>
            </w:r>
          </w:p>
        </w:tc>
      </w:tr>
      <w:tr w:rsidR="00587444" w:rsidRPr="00587444" w14:paraId="7198B84E" w14:textId="77777777" w:rsidTr="00DD69E7">
        <w:trPr>
          <w:trHeight w:val="133"/>
        </w:trPr>
        <w:tc>
          <w:tcPr>
            <w:tcW w:w="1814" w:type="pct"/>
            <w:vAlign w:val="bottom"/>
          </w:tcPr>
          <w:p w14:paraId="4D75F53E"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 adjustments</w:t>
            </w:r>
          </w:p>
        </w:tc>
        <w:tc>
          <w:tcPr>
            <w:tcW w:w="649" w:type="pct"/>
            <w:tcBorders>
              <w:top w:val="nil"/>
              <w:left w:val="nil"/>
              <w:bottom w:val="single" w:sz="8" w:space="0" w:color="auto"/>
              <w:right w:val="nil"/>
            </w:tcBorders>
            <w:shd w:val="clear" w:color="auto" w:fill="auto"/>
            <w:vAlign w:val="bottom"/>
          </w:tcPr>
          <w:p w14:paraId="414E1F98"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(2)</w:t>
            </w:r>
          </w:p>
        </w:tc>
        <w:tc>
          <w:tcPr>
            <w:tcW w:w="649" w:type="pct"/>
            <w:tcBorders>
              <w:top w:val="nil"/>
              <w:left w:val="nil"/>
              <w:bottom w:val="single" w:sz="8" w:space="0" w:color="auto"/>
              <w:right w:val="nil"/>
            </w:tcBorders>
            <w:shd w:val="clear" w:color="auto" w:fill="auto"/>
            <w:vAlign w:val="bottom"/>
          </w:tcPr>
          <w:p w14:paraId="6D1EDC6A"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3" w:type="pct"/>
            <w:tcBorders>
              <w:top w:val="nil"/>
              <w:left w:val="nil"/>
              <w:bottom w:val="single" w:sz="8" w:space="0" w:color="auto"/>
              <w:right w:val="nil"/>
            </w:tcBorders>
            <w:shd w:val="clear" w:color="auto" w:fill="auto"/>
            <w:vAlign w:val="bottom"/>
          </w:tcPr>
          <w:p w14:paraId="53FAB250"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(16)</w:t>
            </w:r>
          </w:p>
        </w:tc>
        <w:tc>
          <w:tcPr>
            <w:tcW w:w="605" w:type="pct"/>
            <w:tcBorders>
              <w:top w:val="nil"/>
              <w:left w:val="nil"/>
              <w:bottom w:val="single" w:sz="8" w:space="0" w:color="auto"/>
              <w:right w:val="nil"/>
            </w:tcBorders>
            <w:shd w:val="clear" w:color="auto" w:fill="auto"/>
            <w:vAlign w:val="bottom"/>
          </w:tcPr>
          <w:p w14:paraId="53977ECD"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14 </w:t>
            </w:r>
          </w:p>
        </w:tc>
        <w:tc>
          <w:tcPr>
            <w:tcW w:w="640" w:type="pct"/>
            <w:tcBorders>
              <w:top w:val="nil"/>
              <w:left w:val="nil"/>
              <w:bottom w:val="single" w:sz="8" w:space="0" w:color="auto"/>
              <w:right w:val="nil"/>
            </w:tcBorders>
            <w:shd w:val="clear" w:color="auto" w:fill="auto"/>
            <w:vAlign w:val="bottom"/>
          </w:tcPr>
          <w:p w14:paraId="75E87335"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(4)</w:t>
            </w:r>
          </w:p>
        </w:tc>
      </w:tr>
      <w:tr w:rsidR="00587444" w:rsidRPr="00587444" w14:paraId="7144D2F5" w14:textId="77777777" w:rsidTr="00DD69E7">
        <w:trPr>
          <w:trHeight w:val="117"/>
        </w:trPr>
        <w:tc>
          <w:tcPr>
            <w:tcW w:w="1814" w:type="pct"/>
            <w:vAlign w:val="bottom"/>
          </w:tcPr>
          <w:p w14:paraId="0AE37283"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2022</w:t>
            </w:r>
          </w:p>
        </w:tc>
        <w:tc>
          <w:tcPr>
            <w:tcW w:w="649" w:type="pct"/>
            <w:tcBorders>
              <w:top w:val="nil"/>
              <w:left w:val="nil"/>
              <w:bottom w:val="single" w:sz="12" w:space="0" w:color="auto"/>
              <w:right w:val="nil"/>
            </w:tcBorders>
            <w:shd w:val="clear" w:color="auto" w:fill="auto"/>
            <w:vAlign w:val="bottom"/>
          </w:tcPr>
          <w:p w14:paraId="52ACCDE7" w14:textId="77777777" w:rsidR="00587444" w:rsidRPr="00587444" w:rsidRDefault="00587444" w:rsidP="00587444">
            <w:pPr>
              <w:suppressAutoHyphens w:val="0"/>
              <w:autoSpaceDN/>
              <w:jc w:val="right"/>
              <w:rPr>
                <w:rFonts w:ascii="Arial" w:eastAsia="Calibri" w:hAnsi="Arial" w:cs="Arial"/>
                <w:b/>
                <w:bCs/>
                <w:color w:val="000000"/>
                <w:sz w:val="18"/>
                <w:szCs w:val="18"/>
                <w:lang w:val="hr-HR"/>
              </w:rPr>
            </w:pPr>
            <w:r w:rsidRPr="00587444">
              <w:rPr>
                <w:rFonts w:ascii="Arial" w:hAnsi="Arial" w:cs="Arial"/>
                <w:b/>
                <w:bCs/>
                <w:sz w:val="18"/>
                <w:szCs w:val="18"/>
              </w:rPr>
              <w:t xml:space="preserve"> 195 </w:t>
            </w:r>
          </w:p>
        </w:tc>
        <w:tc>
          <w:tcPr>
            <w:tcW w:w="649" w:type="pct"/>
            <w:tcBorders>
              <w:top w:val="nil"/>
              <w:left w:val="nil"/>
              <w:bottom w:val="single" w:sz="12" w:space="0" w:color="auto"/>
              <w:right w:val="nil"/>
            </w:tcBorders>
            <w:shd w:val="clear" w:color="auto" w:fill="auto"/>
            <w:vAlign w:val="bottom"/>
          </w:tcPr>
          <w:p w14:paraId="4A63E73E" w14:textId="77777777" w:rsidR="00587444" w:rsidRPr="00587444" w:rsidRDefault="00587444" w:rsidP="00587444">
            <w:pPr>
              <w:suppressAutoHyphens w:val="0"/>
              <w:autoSpaceDN/>
              <w:jc w:val="right"/>
              <w:rPr>
                <w:rFonts w:ascii="Arial" w:eastAsia="Calibri" w:hAnsi="Arial" w:cs="Arial"/>
                <w:b/>
                <w:bCs/>
                <w:color w:val="000000"/>
                <w:sz w:val="18"/>
                <w:szCs w:val="18"/>
                <w:lang w:val="hr-HR"/>
              </w:rPr>
            </w:pPr>
            <w:r w:rsidRPr="00587444">
              <w:rPr>
                <w:rFonts w:ascii="Arial" w:hAnsi="Arial" w:cs="Arial"/>
                <w:b/>
                <w:bCs/>
                <w:sz w:val="18"/>
                <w:szCs w:val="18"/>
              </w:rPr>
              <w:t xml:space="preserve"> 1 </w:t>
            </w:r>
          </w:p>
        </w:tc>
        <w:tc>
          <w:tcPr>
            <w:tcW w:w="643" w:type="pct"/>
            <w:tcBorders>
              <w:top w:val="nil"/>
              <w:left w:val="nil"/>
              <w:bottom w:val="single" w:sz="12" w:space="0" w:color="auto"/>
              <w:right w:val="nil"/>
            </w:tcBorders>
            <w:shd w:val="clear" w:color="auto" w:fill="auto"/>
            <w:vAlign w:val="bottom"/>
          </w:tcPr>
          <w:p w14:paraId="75AB0492" w14:textId="77777777" w:rsidR="00587444" w:rsidRPr="00587444" w:rsidRDefault="00587444" w:rsidP="00587444">
            <w:pPr>
              <w:suppressAutoHyphens w:val="0"/>
              <w:autoSpaceDN/>
              <w:jc w:val="right"/>
              <w:rPr>
                <w:rFonts w:ascii="Arial" w:eastAsia="Calibri" w:hAnsi="Arial" w:cs="Arial"/>
                <w:b/>
                <w:bCs/>
                <w:color w:val="000000"/>
                <w:sz w:val="18"/>
                <w:szCs w:val="18"/>
                <w:lang w:val="hr-HR"/>
              </w:rPr>
            </w:pPr>
            <w:r w:rsidRPr="00587444">
              <w:rPr>
                <w:rFonts w:ascii="Arial" w:hAnsi="Arial" w:cs="Arial"/>
                <w:b/>
                <w:bCs/>
                <w:sz w:val="18"/>
                <w:szCs w:val="18"/>
              </w:rPr>
              <w:t xml:space="preserve"> 34,891 </w:t>
            </w:r>
          </w:p>
        </w:tc>
        <w:tc>
          <w:tcPr>
            <w:tcW w:w="605" w:type="pct"/>
            <w:tcBorders>
              <w:top w:val="nil"/>
              <w:left w:val="nil"/>
              <w:bottom w:val="single" w:sz="12" w:space="0" w:color="auto"/>
              <w:right w:val="nil"/>
            </w:tcBorders>
            <w:shd w:val="clear" w:color="auto" w:fill="auto"/>
            <w:vAlign w:val="bottom"/>
          </w:tcPr>
          <w:p w14:paraId="3CDB4715" w14:textId="77777777" w:rsidR="00587444" w:rsidRPr="00587444" w:rsidRDefault="00587444" w:rsidP="00587444">
            <w:pPr>
              <w:suppressAutoHyphens w:val="0"/>
              <w:autoSpaceDN/>
              <w:jc w:val="right"/>
              <w:rPr>
                <w:rFonts w:ascii="Arial" w:eastAsia="Calibri" w:hAnsi="Arial" w:cs="Arial"/>
                <w:b/>
                <w:bCs/>
                <w:color w:val="000000"/>
                <w:sz w:val="18"/>
                <w:szCs w:val="18"/>
                <w:lang w:val="hr-HR"/>
              </w:rPr>
            </w:pPr>
            <w:r w:rsidRPr="00587444">
              <w:rPr>
                <w:rFonts w:ascii="Arial" w:hAnsi="Arial" w:cs="Arial"/>
                <w:b/>
                <w:bCs/>
                <w:sz w:val="18"/>
                <w:szCs w:val="18"/>
              </w:rPr>
              <w:t xml:space="preserve"> 261 </w:t>
            </w:r>
          </w:p>
        </w:tc>
        <w:tc>
          <w:tcPr>
            <w:tcW w:w="640" w:type="pct"/>
            <w:tcBorders>
              <w:top w:val="nil"/>
              <w:left w:val="nil"/>
              <w:bottom w:val="single" w:sz="12" w:space="0" w:color="auto"/>
              <w:right w:val="nil"/>
            </w:tcBorders>
            <w:shd w:val="clear" w:color="auto" w:fill="auto"/>
            <w:vAlign w:val="bottom"/>
          </w:tcPr>
          <w:p w14:paraId="4342B5CA" w14:textId="77777777" w:rsidR="00587444" w:rsidRPr="00587444" w:rsidRDefault="00587444" w:rsidP="00587444">
            <w:pPr>
              <w:suppressAutoHyphens w:val="0"/>
              <w:autoSpaceDN/>
              <w:jc w:val="right"/>
              <w:rPr>
                <w:rFonts w:ascii="Arial" w:eastAsia="Calibri" w:hAnsi="Arial" w:cs="Arial"/>
                <w:b/>
                <w:bCs/>
                <w:color w:val="000000"/>
                <w:sz w:val="18"/>
                <w:szCs w:val="18"/>
                <w:lang w:val="hr-HR"/>
              </w:rPr>
            </w:pPr>
            <w:r w:rsidRPr="00587444">
              <w:rPr>
                <w:rFonts w:ascii="Arial" w:hAnsi="Arial" w:cs="Arial"/>
                <w:b/>
                <w:bCs/>
                <w:sz w:val="18"/>
                <w:szCs w:val="18"/>
              </w:rPr>
              <w:t xml:space="preserve"> 35,348 </w:t>
            </w:r>
          </w:p>
        </w:tc>
      </w:tr>
    </w:tbl>
    <w:p w14:paraId="785DF344" w14:textId="77777777" w:rsidR="00587444" w:rsidRPr="00587444" w:rsidRDefault="00587444" w:rsidP="00587444">
      <w:pPr>
        <w:suppressAutoHyphens w:val="0"/>
        <w:autoSpaceDN/>
        <w:rPr>
          <w:rFonts w:ascii="Arial" w:eastAsia="Calibri" w:hAnsi="Arial" w:cs="Arial"/>
          <w:noProof/>
          <w:sz w:val="20"/>
          <w:szCs w:val="20"/>
          <w:lang w:val="en-GB"/>
        </w:rPr>
      </w:pPr>
    </w:p>
    <w:p w14:paraId="474A780E"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10"/>
        <w:tblW w:w="5007" w:type="pct"/>
        <w:tblLayout w:type="fixed"/>
        <w:tblLook w:val="0000" w:firstRow="0" w:lastRow="0" w:firstColumn="0" w:lastColumn="0" w:noHBand="0" w:noVBand="0"/>
      </w:tblPr>
      <w:tblGrid>
        <w:gridCol w:w="3476"/>
        <w:gridCol w:w="1244"/>
        <w:gridCol w:w="1244"/>
        <w:gridCol w:w="1233"/>
        <w:gridCol w:w="1160"/>
        <w:gridCol w:w="1227"/>
      </w:tblGrid>
      <w:tr w:rsidR="00587444" w:rsidRPr="00587444" w14:paraId="1165DD6E" w14:textId="77777777" w:rsidTr="00DD69E7">
        <w:trPr>
          <w:trHeight w:val="164"/>
        </w:trPr>
        <w:tc>
          <w:tcPr>
            <w:tcW w:w="1814" w:type="pct"/>
          </w:tcPr>
          <w:p w14:paraId="0EEC90C6"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Group</w:t>
            </w:r>
          </w:p>
        </w:tc>
        <w:tc>
          <w:tcPr>
            <w:tcW w:w="3186" w:type="pct"/>
            <w:gridSpan w:val="5"/>
            <w:vAlign w:val="bottom"/>
          </w:tcPr>
          <w:p w14:paraId="247AADAF"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46022F7B" w14:textId="77777777" w:rsidTr="00DD69E7">
        <w:trPr>
          <w:trHeight w:val="53"/>
        </w:trPr>
        <w:tc>
          <w:tcPr>
            <w:tcW w:w="1814" w:type="pct"/>
          </w:tcPr>
          <w:p w14:paraId="0BEC8A0C"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2021</w:t>
            </w:r>
          </w:p>
        </w:tc>
        <w:tc>
          <w:tcPr>
            <w:tcW w:w="649" w:type="pct"/>
            <w:vAlign w:val="bottom"/>
          </w:tcPr>
          <w:p w14:paraId="0C78B3F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0D9D011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5B40B57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5C7D65D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0" w:type="pct"/>
            <w:vAlign w:val="bottom"/>
          </w:tcPr>
          <w:p w14:paraId="51B91FB4"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1D1AD855" w14:textId="77777777" w:rsidTr="00DD69E7">
        <w:trPr>
          <w:trHeight w:val="53"/>
        </w:trPr>
        <w:tc>
          <w:tcPr>
            <w:tcW w:w="1814" w:type="pct"/>
          </w:tcPr>
          <w:p w14:paraId="5CE45B85" w14:textId="77777777" w:rsidR="00587444" w:rsidRPr="00587444" w:rsidRDefault="00587444" w:rsidP="00587444">
            <w:pPr>
              <w:suppressAutoHyphens w:val="0"/>
              <w:autoSpaceDN/>
              <w:rPr>
                <w:rFonts w:ascii="Arial" w:eastAsia="Calibri" w:hAnsi="Arial" w:cs="Arial"/>
                <w:b/>
                <w:bCs/>
                <w:sz w:val="18"/>
                <w:szCs w:val="18"/>
                <w:lang w:val="en-GB"/>
              </w:rPr>
            </w:pPr>
          </w:p>
        </w:tc>
        <w:tc>
          <w:tcPr>
            <w:tcW w:w="649" w:type="pct"/>
          </w:tcPr>
          <w:p w14:paraId="3F97F55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9" w:type="pct"/>
          </w:tcPr>
          <w:p w14:paraId="43AC571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3" w:type="pct"/>
          </w:tcPr>
          <w:p w14:paraId="4595B53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05" w:type="pct"/>
          </w:tcPr>
          <w:p w14:paraId="1B55F11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0" w:type="pct"/>
          </w:tcPr>
          <w:p w14:paraId="4B0F180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127AAD40" w14:textId="77777777" w:rsidTr="00DD69E7">
        <w:trPr>
          <w:trHeight w:val="53"/>
        </w:trPr>
        <w:tc>
          <w:tcPr>
            <w:tcW w:w="1814" w:type="pct"/>
          </w:tcPr>
          <w:p w14:paraId="29EA0966" w14:textId="77777777" w:rsidR="00587444" w:rsidRPr="00587444" w:rsidRDefault="00587444" w:rsidP="00587444">
            <w:pPr>
              <w:suppressAutoHyphens w:val="0"/>
              <w:autoSpaceDN/>
              <w:rPr>
                <w:rFonts w:ascii="Arial" w:eastAsia="Calibri" w:hAnsi="Arial" w:cs="Arial"/>
                <w:b/>
                <w:bCs/>
                <w:sz w:val="18"/>
                <w:szCs w:val="18"/>
                <w:lang w:val="en-GB"/>
              </w:rPr>
            </w:pPr>
          </w:p>
        </w:tc>
        <w:tc>
          <w:tcPr>
            <w:tcW w:w="649" w:type="pct"/>
          </w:tcPr>
          <w:p w14:paraId="127763B3"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49" w:type="pct"/>
          </w:tcPr>
          <w:p w14:paraId="0938951C"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43" w:type="pct"/>
          </w:tcPr>
          <w:p w14:paraId="5ABD06CC"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05" w:type="pct"/>
          </w:tcPr>
          <w:p w14:paraId="20BA9FB8"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40" w:type="pct"/>
          </w:tcPr>
          <w:p w14:paraId="328E26FE" w14:textId="77777777" w:rsidR="00587444" w:rsidRPr="00587444" w:rsidRDefault="00587444" w:rsidP="00587444">
            <w:pPr>
              <w:suppressAutoHyphens w:val="0"/>
              <w:autoSpaceDN/>
              <w:jc w:val="right"/>
              <w:rPr>
                <w:rFonts w:ascii="Arial" w:eastAsia="Calibri" w:hAnsi="Arial" w:cs="Arial"/>
                <w:b/>
                <w:bCs/>
                <w:sz w:val="18"/>
                <w:szCs w:val="18"/>
                <w:lang w:val="en-GB"/>
              </w:rPr>
            </w:pPr>
          </w:p>
        </w:tc>
      </w:tr>
      <w:tr w:rsidR="00587444" w:rsidRPr="00587444" w14:paraId="6FBD9923" w14:textId="77777777" w:rsidTr="00DD69E7">
        <w:trPr>
          <w:trHeight w:hRule="exact" w:val="250"/>
        </w:trPr>
        <w:tc>
          <w:tcPr>
            <w:tcW w:w="1814" w:type="pct"/>
            <w:vAlign w:val="bottom"/>
          </w:tcPr>
          <w:p w14:paraId="075534F7"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2021</w:t>
            </w:r>
          </w:p>
        </w:tc>
        <w:tc>
          <w:tcPr>
            <w:tcW w:w="649" w:type="pct"/>
            <w:shd w:val="clear" w:color="auto" w:fill="auto"/>
          </w:tcPr>
          <w:p w14:paraId="6ADD8A7F"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171 </w:t>
            </w:r>
          </w:p>
        </w:tc>
        <w:tc>
          <w:tcPr>
            <w:tcW w:w="649" w:type="pct"/>
            <w:shd w:val="clear" w:color="auto" w:fill="auto"/>
          </w:tcPr>
          <w:p w14:paraId="50170EC4"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 </w:t>
            </w:r>
          </w:p>
        </w:tc>
        <w:tc>
          <w:tcPr>
            <w:tcW w:w="643" w:type="pct"/>
            <w:shd w:val="clear" w:color="auto" w:fill="auto"/>
          </w:tcPr>
          <w:p w14:paraId="1F9E4CF2"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34,359 </w:t>
            </w:r>
          </w:p>
        </w:tc>
        <w:tc>
          <w:tcPr>
            <w:tcW w:w="605" w:type="pct"/>
            <w:shd w:val="clear" w:color="auto" w:fill="auto"/>
          </w:tcPr>
          <w:p w14:paraId="16FAAE4B"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5 </w:t>
            </w:r>
          </w:p>
        </w:tc>
        <w:tc>
          <w:tcPr>
            <w:tcW w:w="640" w:type="pct"/>
            <w:shd w:val="clear" w:color="auto" w:fill="auto"/>
          </w:tcPr>
          <w:p w14:paraId="29FD269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34,536 </w:t>
            </w:r>
          </w:p>
        </w:tc>
      </w:tr>
      <w:tr w:rsidR="00587444" w:rsidRPr="00587444" w14:paraId="6A824E7C" w14:textId="77777777" w:rsidTr="00DD69E7">
        <w:trPr>
          <w:trHeight w:hRule="exact" w:val="250"/>
        </w:trPr>
        <w:tc>
          <w:tcPr>
            <w:tcW w:w="1814" w:type="pct"/>
            <w:vAlign w:val="bottom"/>
          </w:tcPr>
          <w:p w14:paraId="57A8B558"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9" w:type="pct"/>
            <w:shd w:val="clear" w:color="auto" w:fill="auto"/>
          </w:tcPr>
          <w:p w14:paraId="7E41E4E1"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10 </w:t>
            </w:r>
          </w:p>
        </w:tc>
        <w:tc>
          <w:tcPr>
            <w:tcW w:w="649" w:type="pct"/>
            <w:shd w:val="clear" w:color="auto" w:fill="auto"/>
          </w:tcPr>
          <w:p w14:paraId="40F68BDE"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(2)</w:t>
            </w:r>
          </w:p>
        </w:tc>
        <w:tc>
          <w:tcPr>
            <w:tcW w:w="643" w:type="pct"/>
            <w:shd w:val="clear" w:color="auto" w:fill="auto"/>
          </w:tcPr>
          <w:p w14:paraId="4D608E80"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(8)</w:t>
            </w:r>
          </w:p>
        </w:tc>
        <w:tc>
          <w:tcPr>
            <w:tcW w:w="605" w:type="pct"/>
            <w:shd w:val="clear" w:color="auto" w:fill="auto"/>
          </w:tcPr>
          <w:p w14:paraId="0C47AFF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0" w:type="pct"/>
            <w:shd w:val="clear" w:color="auto" w:fill="auto"/>
          </w:tcPr>
          <w:p w14:paraId="3535C2E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r>
      <w:tr w:rsidR="00587444" w:rsidRPr="00587444" w14:paraId="0BDC0108" w14:textId="77777777" w:rsidTr="00DD69E7">
        <w:trPr>
          <w:trHeight w:hRule="exact" w:val="250"/>
        </w:trPr>
        <w:tc>
          <w:tcPr>
            <w:tcW w:w="1814" w:type="pct"/>
            <w:vAlign w:val="bottom"/>
          </w:tcPr>
          <w:p w14:paraId="2409EAF4"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9" w:type="pct"/>
            <w:shd w:val="clear" w:color="auto" w:fill="auto"/>
          </w:tcPr>
          <w:p w14:paraId="2B874871"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(4)</w:t>
            </w:r>
          </w:p>
        </w:tc>
        <w:tc>
          <w:tcPr>
            <w:tcW w:w="649" w:type="pct"/>
            <w:shd w:val="clear" w:color="auto" w:fill="auto"/>
          </w:tcPr>
          <w:p w14:paraId="7FF2DA8F"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4 </w:t>
            </w:r>
          </w:p>
        </w:tc>
        <w:tc>
          <w:tcPr>
            <w:tcW w:w="643" w:type="pct"/>
            <w:shd w:val="clear" w:color="auto" w:fill="auto"/>
          </w:tcPr>
          <w:p w14:paraId="22B7930B"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05" w:type="pct"/>
            <w:shd w:val="clear" w:color="auto" w:fill="auto"/>
          </w:tcPr>
          <w:p w14:paraId="7790C078"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0" w:type="pct"/>
            <w:shd w:val="clear" w:color="auto" w:fill="auto"/>
          </w:tcPr>
          <w:p w14:paraId="0734B3A2"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r>
      <w:tr w:rsidR="00587444" w:rsidRPr="00587444" w14:paraId="176FCB5F" w14:textId="77777777" w:rsidTr="00DD69E7">
        <w:trPr>
          <w:trHeight w:hRule="exact" w:val="250"/>
        </w:trPr>
        <w:tc>
          <w:tcPr>
            <w:tcW w:w="1814" w:type="pct"/>
            <w:vAlign w:val="bottom"/>
          </w:tcPr>
          <w:p w14:paraId="122045B5"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9" w:type="pct"/>
            <w:shd w:val="clear" w:color="auto" w:fill="auto"/>
          </w:tcPr>
          <w:p w14:paraId="7B1EF44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9" w:type="pct"/>
            <w:shd w:val="clear" w:color="auto" w:fill="auto"/>
          </w:tcPr>
          <w:p w14:paraId="6D8DA16D"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w:t>
            </w:r>
          </w:p>
        </w:tc>
        <w:tc>
          <w:tcPr>
            <w:tcW w:w="643" w:type="pct"/>
            <w:shd w:val="clear" w:color="auto" w:fill="auto"/>
          </w:tcPr>
          <w:p w14:paraId="6D76D2CC"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 </w:t>
            </w:r>
          </w:p>
        </w:tc>
        <w:tc>
          <w:tcPr>
            <w:tcW w:w="605" w:type="pct"/>
            <w:shd w:val="clear" w:color="auto" w:fill="auto"/>
          </w:tcPr>
          <w:p w14:paraId="0281D439"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0" w:type="pct"/>
            <w:shd w:val="clear" w:color="auto" w:fill="auto"/>
          </w:tcPr>
          <w:p w14:paraId="49B748C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r>
      <w:tr w:rsidR="00587444" w:rsidRPr="00587444" w14:paraId="174B799D" w14:textId="77777777" w:rsidTr="00DD69E7">
        <w:trPr>
          <w:trHeight w:hRule="exact" w:val="432"/>
        </w:trPr>
        <w:tc>
          <w:tcPr>
            <w:tcW w:w="1814" w:type="pct"/>
            <w:vAlign w:val="bottom"/>
          </w:tcPr>
          <w:p w14:paraId="5B04B45A" w14:textId="77777777" w:rsidR="00D75982"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(release)/increase of loss </w:t>
            </w:r>
          </w:p>
          <w:p w14:paraId="36D9B429" w14:textId="304826C9"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49" w:type="pct"/>
            <w:shd w:val="clear" w:color="auto" w:fill="auto"/>
            <w:vAlign w:val="bottom"/>
          </w:tcPr>
          <w:p w14:paraId="58E148A8"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(3)</w:t>
            </w:r>
          </w:p>
        </w:tc>
        <w:tc>
          <w:tcPr>
            <w:tcW w:w="649" w:type="pct"/>
            <w:shd w:val="clear" w:color="auto" w:fill="auto"/>
            <w:vAlign w:val="bottom"/>
          </w:tcPr>
          <w:p w14:paraId="55AD44F9" w14:textId="77777777" w:rsidR="00587444" w:rsidRPr="00587444" w:rsidDel="00103E88"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2 </w:t>
            </w:r>
          </w:p>
        </w:tc>
        <w:tc>
          <w:tcPr>
            <w:tcW w:w="643" w:type="pct"/>
            <w:shd w:val="clear" w:color="auto" w:fill="auto"/>
            <w:vAlign w:val="bottom"/>
          </w:tcPr>
          <w:p w14:paraId="733BEC88"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(2,786)</w:t>
            </w:r>
          </w:p>
        </w:tc>
        <w:tc>
          <w:tcPr>
            <w:tcW w:w="605" w:type="pct"/>
            <w:shd w:val="clear" w:color="auto" w:fill="auto"/>
            <w:vAlign w:val="bottom"/>
          </w:tcPr>
          <w:p w14:paraId="5CEE02B5" w14:textId="77777777" w:rsidR="00587444" w:rsidRPr="00587444" w:rsidDel="00862226"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245 </w:t>
            </w:r>
          </w:p>
        </w:tc>
        <w:tc>
          <w:tcPr>
            <w:tcW w:w="640" w:type="pct"/>
            <w:shd w:val="clear" w:color="auto" w:fill="auto"/>
            <w:vAlign w:val="bottom"/>
          </w:tcPr>
          <w:p w14:paraId="31EAC9C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(2,542)</w:t>
            </w:r>
          </w:p>
        </w:tc>
      </w:tr>
      <w:tr w:rsidR="00587444" w:rsidRPr="00587444" w14:paraId="39FC7F1B" w14:textId="77777777" w:rsidTr="000A18C3">
        <w:trPr>
          <w:trHeight w:hRule="exact" w:val="250"/>
        </w:trPr>
        <w:tc>
          <w:tcPr>
            <w:tcW w:w="1814" w:type="pct"/>
            <w:vAlign w:val="bottom"/>
          </w:tcPr>
          <w:p w14:paraId="458536DB"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649" w:type="pct"/>
            <w:shd w:val="clear" w:color="auto" w:fill="auto"/>
            <w:vAlign w:val="bottom"/>
          </w:tcPr>
          <w:p w14:paraId="2296399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(12)</w:t>
            </w:r>
          </w:p>
        </w:tc>
        <w:tc>
          <w:tcPr>
            <w:tcW w:w="649" w:type="pct"/>
            <w:shd w:val="clear" w:color="auto" w:fill="auto"/>
            <w:vAlign w:val="bottom"/>
          </w:tcPr>
          <w:p w14:paraId="782C1B0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3" w:type="pct"/>
            <w:shd w:val="clear" w:color="auto" w:fill="auto"/>
            <w:vAlign w:val="bottom"/>
          </w:tcPr>
          <w:p w14:paraId="4F15350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(151)</w:t>
            </w:r>
          </w:p>
        </w:tc>
        <w:tc>
          <w:tcPr>
            <w:tcW w:w="605" w:type="pct"/>
            <w:shd w:val="clear" w:color="auto" w:fill="auto"/>
            <w:vAlign w:val="bottom"/>
          </w:tcPr>
          <w:p w14:paraId="7BA03FF5"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0" w:type="pct"/>
            <w:shd w:val="clear" w:color="auto" w:fill="auto"/>
            <w:vAlign w:val="bottom"/>
          </w:tcPr>
          <w:p w14:paraId="4DC281DB"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(163)</w:t>
            </w:r>
          </w:p>
        </w:tc>
      </w:tr>
      <w:tr w:rsidR="00587444" w:rsidRPr="00587444" w14:paraId="3727154F" w14:textId="77777777" w:rsidTr="00DD69E7">
        <w:trPr>
          <w:trHeight w:val="294"/>
        </w:trPr>
        <w:tc>
          <w:tcPr>
            <w:tcW w:w="1814" w:type="pct"/>
            <w:vAlign w:val="bottom"/>
          </w:tcPr>
          <w:p w14:paraId="26A512C4"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49" w:type="pct"/>
            <w:tcBorders>
              <w:top w:val="nil"/>
              <w:left w:val="nil"/>
              <w:right w:val="nil"/>
            </w:tcBorders>
            <w:shd w:val="clear" w:color="auto" w:fill="auto"/>
            <w:vAlign w:val="bottom"/>
          </w:tcPr>
          <w:p w14:paraId="25CDA885"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9" w:type="pct"/>
            <w:tcBorders>
              <w:top w:val="nil"/>
              <w:left w:val="nil"/>
              <w:right w:val="nil"/>
            </w:tcBorders>
            <w:shd w:val="clear" w:color="auto" w:fill="auto"/>
            <w:vAlign w:val="bottom"/>
          </w:tcPr>
          <w:p w14:paraId="5DC6BC7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3" w:type="pct"/>
            <w:tcBorders>
              <w:top w:val="nil"/>
              <w:left w:val="nil"/>
              <w:right w:val="nil"/>
            </w:tcBorders>
            <w:shd w:val="clear" w:color="auto" w:fill="auto"/>
            <w:vAlign w:val="bottom"/>
          </w:tcPr>
          <w:p w14:paraId="2C386238"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3 </w:t>
            </w:r>
          </w:p>
        </w:tc>
        <w:tc>
          <w:tcPr>
            <w:tcW w:w="605" w:type="pct"/>
            <w:tcBorders>
              <w:top w:val="nil"/>
              <w:left w:val="nil"/>
              <w:right w:val="nil"/>
            </w:tcBorders>
            <w:shd w:val="clear" w:color="auto" w:fill="auto"/>
            <w:vAlign w:val="bottom"/>
          </w:tcPr>
          <w:p w14:paraId="0A1CBB0A"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0" w:type="pct"/>
            <w:tcBorders>
              <w:top w:val="nil"/>
              <w:left w:val="nil"/>
              <w:right w:val="nil"/>
            </w:tcBorders>
            <w:shd w:val="clear" w:color="auto" w:fill="auto"/>
            <w:vAlign w:val="bottom"/>
          </w:tcPr>
          <w:p w14:paraId="0B40270F"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3 </w:t>
            </w:r>
          </w:p>
        </w:tc>
      </w:tr>
      <w:tr w:rsidR="00587444" w:rsidRPr="00587444" w14:paraId="366515A2" w14:textId="77777777" w:rsidTr="00DD69E7">
        <w:trPr>
          <w:trHeight w:val="133"/>
        </w:trPr>
        <w:tc>
          <w:tcPr>
            <w:tcW w:w="1814" w:type="pct"/>
            <w:vAlign w:val="bottom"/>
          </w:tcPr>
          <w:p w14:paraId="71694DA4"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 adjustments</w:t>
            </w:r>
          </w:p>
        </w:tc>
        <w:tc>
          <w:tcPr>
            <w:tcW w:w="649" w:type="pct"/>
            <w:tcBorders>
              <w:top w:val="nil"/>
              <w:left w:val="nil"/>
              <w:bottom w:val="single" w:sz="8" w:space="0" w:color="auto"/>
              <w:right w:val="nil"/>
            </w:tcBorders>
            <w:shd w:val="clear" w:color="auto" w:fill="auto"/>
          </w:tcPr>
          <w:p w14:paraId="6FD4738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17 </w:t>
            </w:r>
          </w:p>
        </w:tc>
        <w:tc>
          <w:tcPr>
            <w:tcW w:w="649" w:type="pct"/>
            <w:tcBorders>
              <w:top w:val="nil"/>
              <w:left w:val="nil"/>
              <w:bottom w:val="single" w:sz="8" w:space="0" w:color="auto"/>
              <w:right w:val="nil"/>
            </w:tcBorders>
            <w:shd w:val="clear" w:color="auto" w:fill="auto"/>
          </w:tcPr>
          <w:p w14:paraId="4460F210"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3" w:type="pct"/>
            <w:tcBorders>
              <w:top w:val="nil"/>
              <w:left w:val="nil"/>
              <w:bottom w:val="single" w:sz="8" w:space="0" w:color="auto"/>
              <w:right w:val="nil"/>
            </w:tcBorders>
            <w:shd w:val="clear" w:color="auto" w:fill="auto"/>
          </w:tcPr>
          <w:p w14:paraId="56331891"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05" w:type="pct"/>
            <w:tcBorders>
              <w:top w:val="nil"/>
              <w:left w:val="nil"/>
              <w:bottom w:val="single" w:sz="8" w:space="0" w:color="auto"/>
              <w:right w:val="nil"/>
            </w:tcBorders>
            <w:shd w:val="clear" w:color="auto" w:fill="auto"/>
          </w:tcPr>
          <w:p w14:paraId="01425AD5"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0" w:type="pct"/>
            <w:tcBorders>
              <w:top w:val="nil"/>
              <w:left w:val="nil"/>
              <w:bottom w:val="single" w:sz="8" w:space="0" w:color="auto"/>
              <w:right w:val="nil"/>
            </w:tcBorders>
            <w:shd w:val="clear" w:color="auto" w:fill="auto"/>
          </w:tcPr>
          <w:p w14:paraId="69A33CEC"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17 </w:t>
            </w:r>
          </w:p>
        </w:tc>
      </w:tr>
      <w:tr w:rsidR="00587444" w:rsidRPr="00587444" w14:paraId="109517F9" w14:textId="77777777" w:rsidTr="00DD69E7">
        <w:trPr>
          <w:trHeight w:val="117"/>
        </w:trPr>
        <w:tc>
          <w:tcPr>
            <w:tcW w:w="1814" w:type="pct"/>
            <w:vAlign w:val="bottom"/>
          </w:tcPr>
          <w:p w14:paraId="5EFBBC5E"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2021</w:t>
            </w:r>
          </w:p>
        </w:tc>
        <w:tc>
          <w:tcPr>
            <w:tcW w:w="649" w:type="pct"/>
            <w:tcBorders>
              <w:top w:val="nil"/>
              <w:left w:val="nil"/>
              <w:bottom w:val="single" w:sz="18" w:space="0" w:color="auto"/>
              <w:right w:val="nil"/>
            </w:tcBorders>
            <w:shd w:val="clear" w:color="auto" w:fill="auto"/>
            <w:vAlign w:val="bottom"/>
          </w:tcPr>
          <w:p w14:paraId="7A765E27" w14:textId="77777777" w:rsidR="00587444" w:rsidRPr="00587444" w:rsidRDefault="00587444" w:rsidP="00587444">
            <w:pPr>
              <w:suppressAutoHyphens w:val="0"/>
              <w:autoSpaceDN/>
              <w:jc w:val="right"/>
              <w:rPr>
                <w:rFonts w:ascii="Arial" w:eastAsia="Calibri" w:hAnsi="Arial" w:cs="Arial"/>
                <w:b/>
                <w:bCs/>
                <w:color w:val="000000"/>
                <w:sz w:val="18"/>
                <w:szCs w:val="18"/>
                <w:lang w:val="hr-HR"/>
              </w:rPr>
            </w:pPr>
            <w:r w:rsidRPr="00587444">
              <w:rPr>
                <w:rFonts w:ascii="Arial" w:hAnsi="Arial" w:cs="Arial"/>
                <w:b/>
                <w:bCs/>
                <w:sz w:val="18"/>
                <w:szCs w:val="18"/>
              </w:rPr>
              <w:t>179</w:t>
            </w:r>
          </w:p>
        </w:tc>
        <w:tc>
          <w:tcPr>
            <w:tcW w:w="649" w:type="pct"/>
            <w:tcBorders>
              <w:top w:val="nil"/>
              <w:left w:val="nil"/>
              <w:bottom w:val="single" w:sz="18" w:space="0" w:color="auto"/>
              <w:right w:val="nil"/>
            </w:tcBorders>
            <w:shd w:val="clear" w:color="auto" w:fill="auto"/>
            <w:vAlign w:val="bottom"/>
          </w:tcPr>
          <w:p w14:paraId="2A06EF9C" w14:textId="77777777" w:rsidR="00587444" w:rsidRPr="00587444" w:rsidRDefault="00587444" w:rsidP="00587444">
            <w:pPr>
              <w:suppressAutoHyphens w:val="0"/>
              <w:autoSpaceDN/>
              <w:jc w:val="right"/>
              <w:rPr>
                <w:rFonts w:ascii="Arial" w:eastAsia="Calibri" w:hAnsi="Arial" w:cs="Arial"/>
                <w:b/>
                <w:bCs/>
                <w:color w:val="000000"/>
                <w:sz w:val="18"/>
                <w:szCs w:val="18"/>
                <w:lang w:val="hr-HR"/>
              </w:rPr>
            </w:pPr>
            <w:r w:rsidRPr="00587444">
              <w:rPr>
                <w:rFonts w:ascii="Arial" w:hAnsi="Arial" w:cs="Arial"/>
                <w:b/>
                <w:bCs/>
                <w:sz w:val="18"/>
                <w:szCs w:val="18"/>
              </w:rPr>
              <w:t xml:space="preserve"> 4 </w:t>
            </w:r>
          </w:p>
        </w:tc>
        <w:tc>
          <w:tcPr>
            <w:tcW w:w="643" w:type="pct"/>
            <w:tcBorders>
              <w:top w:val="nil"/>
              <w:left w:val="nil"/>
              <w:bottom w:val="single" w:sz="18" w:space="0" w:color="auto"/>
              <w:right w:val="nil"/>
            </w:tcBorders>
            <w:shd w:val="clear" w:color="auto" w:fill="auto"/>
            <w:vAlign w:val="bottom"/>
          </w:tcPr>
          <w:p w14:paraId="67230DCF" w14:textId="77777777" w:rsidR="00587444" w:rsidRPr="00587444" w:rsidRDefault="00587444" w:rsidP="00587444">
            <w:pPr>
              <w:suppressAutoHyphens w:val="0"/>
              <w:autoSpaceDN/>
              <w:jc w:val="right"/>
              <w:rPr>
                <w:rFonts w:ascii="Arial" w:eastAsia="Calibri" w:hAnsi="Arial" w:cs="Arial"/>
                <w:b/>
                <w:bCs/>
                <w:color w:val="000000"/>
                <w:sz w:val="18"/>
                <w:szCs w:val="18"/>
                <w:lang w:val="hr-HR"/>
              </w:rPr>
            </w:pPr>
            <w:r w:rsidRPr="00587444">
              <w:rPr>
                <w:rFonts w:ascii="Arial" w:hAnsi="Arial" w:cs="Arial"/>
                <w:b/>
                <w:bCs/>
                <w:sz w:val="18"/>
                <w:szCs w:val="18"/>
              </w:rPr>
              <w:t xml:space="preserve"> 31,418 </w:t>
            </w:r>
          </w:p>
        </w:tc>
        <w:tc>
          <w:tcPr>
            <w:tcW w:w="605" w:type="pct"/>
            <w:tcBorders>
              <w:top w:val="nil"/>
              <w:left w:val="nil"/>
              <w:bottom w:val="single" w:sz="18" w:space="0" w:color="auto"/>
              <w:right w:val="nil"/>
            </w:tcBorders>
            <w:shd w:val="clear" w:color="auto" w:fill="auto"/>
            <w:vAlign w:val="bottom"/>
          </w:tcPr>
          <w:p w14:paraId="46D5ABBF" w14:textId="77777777" w:rsidR="00587444" w:rsidRPr="00587444" w:rsidRDefault="00587444" w:rsidP="00587444">
            <w:pPr>
              <w:suppressAutoHyphens w:val="0"/>
              <w:autoSpaceDN/>
              <w:jc w:val="right"/>
              <w:rPr>
                <w:rFonts w:ascii="Arial" w:eastAsia="Calibri" w:hAnsi="Arial" w:cs="Arial"/>
                <w:b/>
                <w:bCs/>
                <w:color w:val="000000"/>
                <w:sz w:val="18"/>
                <w:szCs w:val="18"/>
                <w:lang w:val="hr-HR"/>
              </w:rPr>
            </w:pPr>
            <w:r w:rsidRPr="00587444">
              <w:rPr>
                <w:rFonts w:ascii="Arial" w:hAnsi="Arial" w:cs="Arial"/>
                <w:b/>
                <w:bCs/>
                <w:sz w:val="18"/>
                <w:szCs w:val="18"/>
              </w:rPr>
              <w:t xml:space="preserve"> 250 </w:t>
            </w:r>
          </w:p>
        </w:tc>
        <w:tc>
          <w:tcPr>
            <w:tcW w:w="640" w:type="pct"/>
            <w:tcBorders>
              <w:top w:val="nil"/>
              <w:left w:val="nil"/>
              <w:bottom w:val="single" w:sz="18" w:space="0" w:color="auto"/>
              <w:right w:val="nil"/>
            </w:tcBorders>
            <w:shd w:val="clear" w:color="auto" w:fill="auto"/>
            <w:vAlign w:val="bottom"/>
          </w:tcPr>
          <w:p w14:paraId="0E2A874C" w14:textId="77777777" w:rsidR="00587444" w:rsidRPr="00587444" w:rsidRDefault="00587444" w:rsidP="00587444">
            <w:pPr>
              <w:suppressAutoHyphens w:val="0"/>
              <w:autoSpaceDN/>
              <w:jc w:val="right"/>
              <w:rPr>
                <w:rFonts w:ascii="Arial" w:eastAsia="Calibri" w:hAnsi="Arial" w:cs="Arial"/>
                <w:b/>
                <w:bCs/>
                <w:color w:val="000000"/>
                <w:sz w:val="18"/>
                <w:szCs w:val="18"/>
                <w:lang w:val="hr-HR"/>
              </w:rPr>
            </w:pPr>
            <w:r w:rsidRPr="00587444">
              <w:rPr>
                <w:rFonts w:ascii="Arial" w:hAnsi="Arial" w:cs="Arial"/>
                <w:b/>
                <w:bCs/>
                <w:sz w:val="18"/>
                <w:szCs w:val="18"/>
              </w:rPr>
              <w:t xml:space="preserve"> 31,851 </w:t>
            </w:r>
          </w:p>
        </w:tc>
      </w:tr>
    </w:tbl>
    <w:p w14:paraId="42C56920" w14:textId="77777777" w:rsidR="00587444" w:rsidRPr="00587444" w:rsidRDefault="00587444" w:rsidP="00587444">
      <w:pPr>
        <w:suppressAutoHyphens w:val="0"/>
        <w:autoSpaceDN/>
        <w:rPr>
          <w:rFonts w:ascii="Arial" w:eastAsia="Calibri" w:hAnsi="Arial" w:cs="Arial"/>
          <w:noProof/>
          <w:sz w:val="20"/>
          <w:szCs w:val="20"/>
          <w:lang w:val="en-GB"/>
        </w:rPr>
      </w:pPr>
    </w:p>
    <w:p w14:paraId="2A5EB6E9" w14:textId="77777777" w:rsidR="00587444" w:rsidRPr="00587444" w:rsidRDefault="00587444" w:rsidP="00587444">
      <w:pPr>
        <w:suppressAutoHyphens w:val="0"/>
        <w:autoSpaceDN/>
        <w:rPr>
          <w:rFonts w:ascii="Arial" w:eastAsia="Calibri" w:hAnsi="Arial" w:cs="Arial"/>
          <w:noProof/>
          <w:sz w:val="20"/>
          <w:szCs w:val="20"/>
          <w:lang w:val="en-GB"/>
        </w:rPr>
      </w:pPr>
    </w:p>
    <w:p w14:paraId="0E9BCAA9"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D69E7">
          <w:pgSz w:w="11907" w:h="16840" w:code="9"/>
          <w:pgMar w:top="1418" w:right="1134" w:bottom="1134" w:left="1418" w:header="851" w:footer="851" w:gutter="0"/>
          <w:cols w:space="720"/>
          <w:noEndnote/>
        </w:sectPr>
      </w:pPr>
    </w:p>
    <w:p w14:paraId="09BA69D9" w14:textId="77777777" w:rsidR="00587444" w:rsidRPr="00587444" w:rsidRDefault="00587444" w:rsidP="00587444">
      <w:pPr>
        <w:suppressAutoHyphens w:val="0"/>
        <w:autoSpaceDN/>
        <w:jc w:val="both"/>
        <w:rPr>
          <w:rFonts w:ascii="Arial" w:hAnsi="Arial" w:cs="Arial"/>
          <w:b/>
          <w:bCs/>
          <w:sz w:val="20"/>
          <w:szCs w:val="20"/>
          <w:lang w:val="en-GB"/>
        </w:rPr>
      </w:pPr>
    </w:p>
    <w:p w14:paraId="4F7B6300"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B91E78B" w14:textId="77777777" w:rsidR="00587444" w:rsidRPr="00587444" w:rsidRDefault="00587444" w:rsidP="00587444">
      <w:pPr>
        <w:suppressAutoHyphens w:val="0"/>
        <w:autoSpaceDN/>
        <w:jc w:val="both"/>
        <w:rPr>
          <w:rFonts w:ascii="Arial" w:hAnsi="Arial" w:cs="Arial"/>
          <w:b/>
          <w:sz w:val="20"/>
          <w:szCs w:val="20"/>
          <w:lang w:val="en-GB"/>
        </w:rPr>
      </w:pPr>
    </w:p>
    <w:p w14:paraId="376C9298"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5B40958D" w14:textId="77777777" w:rsidR="00587444" w:rsidRPr="00587444" w:rsidRDefault="00587444" w:rsidP="00587444">
      <w:pPr>
        <w:suppressAutoHyphens w:val="0"/>
        <w:autoSpaceDN/>
        <w:jc w:val="both"/>
        <w:rPr>
          <w:rFonts w:ascii="Arial" w:hAnsi="Arial" w:cs="Arial"/>
          <w:b/>
          <w:bCs/>
          <w:i/>
          <w:sz w:val="20"/>
          <w:szCs w:val="20"/>
          <w:lang w:val="en-GB"/>
        </w:rPr>
      </w:pPr>
    </w:p>
    <w:p w14:paraId="57B6353D" w14:textId="77777777" w:rsidR="00587444" w:rsidRPr="00587444" w:rsidRDefault="00587444">
      <w:pPr>
        <w:numPr>
          <w:ilvl w:val="8"/>
          <w:numId w:val="68"/>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04253809" w14:textId="77777777" w:rsidR="00587444" w:rsidRPr="00587444" w:rsidRDefault="00587444" w:rsidP="00587444">
      <w:pPr>
        <w:suppressAutoHyphens w:val="0"/>
        <w:autoSpaceDN/>
        <w:jc w:val="both"/>
        <w:rPr>
          <w:rFonts w:ascii="Arial" w:hAnsi="Arial" w:cs="Arial"/>
          <w:b/>
          <w:bCs/>
          <w:sz w:val="20"/>
          <w:szCs w:val="20"/>
          <w:lang w:val="en-GB"/>
        </w:rPr>
      </w:pPr>
    </w:p>
    <w:p w14:paraId="22E360B4" w14:textId="77777777" w:rsidR="00587444" w:rsidRPr="00587444" w:rsidRDefault="00587444" w:rsidP="00587444">
      <w:pPr>
        <w:suppressAutoHyphens w:val="0"/>
        <w:autoSpaceDN/>
        <w:spacing w:after="120"/>
        <w:jc w:val="both"/>
        <w:rPr>
          <w:rFonts w:ascii="Arial" w:hAnsi="Arial" w:cs="Arial"/>
          <w:b/>
          <w:bCs/>
          <w:sz w:val="20"/>
          <w:szCs w:val="20"/>
          <w:lang w:val="en-GB"/>
        </w:rPr>
      </w:pPr>
      <w:r w:rsidRPr="00587444">
        <w:rPr>
          <w:rFonts w:ascii="Arial" w:hAnsi="Arial" w:cs="Arial"/>
          <w:b/>
          <w:bCs/>
          <w:sz w:val="20"/>
          <w:szCs w:val="20"/>
          <w:lang w:val="en-GB"/>
        </w:rPr>
        <w:t>Other assets (continued)</w:t>
      </w:r>
    </w:p>
    <w:p w14:paraId="08018C0C"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473"/>
        <w:gridCol w:w="1244"/>
        <w:gridCol w:w="1244"/>
        <w:gridCol w:w="1231"/>
        <w:gridCol w:w="1158"/>
        <w:gridCol w:w="1221"/>
      </w:tblGrid>
      <w:tr w:rsidR="00587444" w:rsidRPr="00587444" w14:paraId="12F4F9B5" w14:textId="77777777" w:rsidTr="00DD69E7">
        <w:trPr>
          <w:trHeight w:val="160"/>
        </w:trPr>
        <w:tc>
          <w:tcPr>
            <w:tcW w:w="1814" w:type="pct"/>
          </w:tcPr>
          <w:p w14:paraId="3E6653BE"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Bank</w:t>
            </w:r>
          </w:p>
        </w:tc>
        <w:tc>
          <w:tcPr>
            <w:tcW w:w="3186" w:type="pct"/>
            <w:gridSpan w:val="5"/>
            <w:vAlign w:val="bottom"/>
          </w:tcPr>
          <w:p w14:paraId="76A78061"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1C398CC3" w14:textId="77777777" w:rsidTr="00DD69E7">
        <w:trPr>
          <w:trHeight w:val="51"/>
        </w:trPr>
        <w:tc>
          <w:tcPr>
            <w:tcW w:w="1814" w:type="pct"/>
          </w:tcPr>
          <w:p w14:paraId="5B1C60F4"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2022</w:t>
            </w:r>
          </w:p>
        </w:tc>
        <w:tc>
          <w:tcPr>
            <w:tcW w:w="650" w:type="pct"/>
            <w:vAlign w:val="bottom"/>
          </w:tcPr>
          <w:p w14:paraId="6AC0666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7226521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43291FA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1BB0A3C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6288267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3032490E" w14:textId="77777777" w:rsidTr="00DD69E7">
        <w:trPr>
          <w:trHeight w:val="51"/>
        </w:trPr>
        <w:tc>
          <w:tcPr>
            <w:tcW w:w="1814" w:type="pct"/>
          </w:tcPr>
          <w:p w14:paraId="66D9D846"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4E4AE18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50" w:type="pct"/>
          </w:tcPr>
          <w:p w14:paraId="29BBBC2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3" w:type="pct"/>
          </w:tcPr>
          <w:p w14:paraId="222F286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05" w:type="pct"/>
          </w:tcPr>
          <w:p w14:paraId="062CA16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38" w:type="pct"/>
          </w:tcPr>
          <w:p w14:paraId="79398F1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7FA8566B" w14:textId="77777777" w:rsidTr="00DD69E7">
        <w:trPr>
          <w:trHeight w:val="51"/>
        </w:trPr>
        <w:tc>
          <w:tcPr>
            <w:tcW w:w="1814" w:type="pct"/>
          </w:tcPr>
          <w:p w14:paraId="14297BD3"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16800A0C"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50" w:type="pct"/>
          </w:tcPr>
          <w:p w14:paraId="490E3145"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43" w:type="pct"/>
          </w:tcPr>
          <w:p w14:paraId="408505C6"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05" w:type="pct"/>
          </w:tcPr>
          <w:p w14:paraId="4A3B5160"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38" w:type="pct"/>
          </w:tcPr>
          <w:p w14:paraId="60AD9E8C"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47EF5036" w14:textId="77777777" w:rsidTr="00DD69E7">
        <w:trPr>
          <w:trHeight w:hRule="exact" w:val="244"/>
        </w:trPr>
        <w:tc>
          <w:tcPr>
            <w:tcW w:w="1814" w:type="pct"/>
            <w:vAlign w:val="bottom"/>
          </w:tcPr>
          <w:p w14:paraId="780846D8"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2022</w:t>
            </w:r>
          </w:p>
        </w:tc>
        <w:tc>
          <w:tcPr>
            <w:tcW w:w="650" w:type="pct"/>
            <w:tcBorders>
              <w:top w:val="nil"/>
              <w:left w:val="nil"/>
              <w:bottom w:val="nil"/>
              <w:right w:val="nil"/>
            </w:tcBorders>
            <w:shd w:val="clear" w:color="auto" w:fill="auto"/>
            <w:vAlign w:val="bottom"/>
          </w:tcPr>
          <w:p w14:paraId="7092D5F6"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25 </w:t>
            </w:r>
          </w:p>
        </w:tc>
        <w:tc>
          <w:tcPr>
            <w:tcW w:w="650" w:type="pct"/>
            <w:tcBorders>
              <w:top w:val="nil"/>
              <w:left w:val="nil"/>
              <w:bottom w:val="nil"/>
              <w:right w:val="nil"/>
            </w:tcBorders>
            <w:shd w:val="clear" w:color="auto" w:fill="auto"/>
            <w:vAlign w:val="bottom"/>
          </w:tcPr>
          <w:p w14:paraId="4C272432"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4 </w:t>
            </w:r>
          </w:p>
        </w:tc>
        <w:tc>
          <w:tcPr>
            <w:tcW w:w="643" w:type="pct"/>
            <w:tcBorders>
              <w:top w:val="nil"/>
              <w:left w:val="nil"/>
              <w:bottom w:val="nil"/>
              <w:right w:val="nil"/>
            </w:tcBorders>
            <w:shd w:val="clear" w:color="auto" w:fill="auto"/>
            <w:vAlign w:val="bottom"/>
          </w:tcPr>
          <w:p w14:paraId="14A4665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31,418 </w:t>
            </w:r>
          </w:p>
        </w:tc>
        <w:tc>
          <w:tcPr>
            <w:tcW w:w="605" w:type="pct"/>
            <w:tcBorders>
              <w:top w:val="nil"/>
              <w:left w:val="nil"/>
              <w:bottom w:val="nil"/>
              <w:right w:val="nil"/>
            </w:tcBorders>
            <w:shd w:val="clear" w:color="auto" w:fill="auto"/>
            <w:vAlign w:val="bottom"/>
          </w:tcPr>
          <w:p w14:paraId="01F5BDD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250 </w:t>
            </w:r>
          </w:p>
        </w:tc>
        <w:tc>
          <w:tcPr>
            <w:tcW w:w="638" w:type="pct"/>
            <w:tcBorders>
              <w:top w:val="nil"/>
              <w:left w:val="nil"/>
              <w:bottom w:val="nil"/>
              <w:right w:val="nil"/>
            </w:tcBorders>
            <w:shd w:val="clear" w:color="auto" w:fill="auto"/>
            <w:vAlign w:val="bottom"/>
          </w:tcPr>
          <w:p w14:paraId="4B81A6F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31,697 </w:t>
            </w:r>
          </w:p>
        </w:tc>
      </w:tr>
      <w:tr w:rsidR="00587444" w:rsidRPr="00587444" w14:paraId="34D48D33" w14:textId="77777777" w:rsidTr="00DD69E7">
        <w:trPr>
          <w:trHeight w:hRule="exact" w:val="244"/>
        </w:trPr>
        <w:tc>
          <w:tcPr>
            <w:tcW w:w="1814" w:type="pct"/>
            <w:vAlign w:val="bottom"/>
          </w:tcPr>
          <w:p w14:paraId="42E50979"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tcBorders>
              <w:top w:val="nil"/>
              <w:left w:val="nil"/>
              <w:bottom w:val="nil"/>
              <w:right w:val="nil"/>
            </w:tcBorders>
            <w:shd w:val="clear" w:color="auto" w:fill="auto"/>
            <w:vAlign w:val="bottom"/>
          </w:tcPr>
          <w:p w14:paraId="67A94956"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10 </w:t>
            </w:r>
          </w:p>
        </w:tc>
        <w:tc>
          <w:tcPr>
            <w:tcW w:w="650" w:type="pct"/>
            <w:tcBorders>
              <w:top w:val="nil"/>
              <w:left w:val="nil"/>
              <w:bottom w:val="nil"/>
              <w:right w:val="nil"/>
            </w:tcBorders>
            <w:shd w:val="clear" w:color="auto" w:fill="auto"/>
            <w:vAlign w:val="bottom"/>
          </w:tcPr>
          <w:p w14:paraId="646F5509"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1E1E309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(10)</w:t>
            </w:r>
          </w:p>
        </w:tc>
        <w:tc>
          <w:tcPr>
            <w:tcW w:w="605" w:type="pct"/>
            <w:tcBorders>
              <w:top w:val="nil"/>
              <w:left w:val="nil"/>
              <w:bottom w:val="nil"/>
              <w:right w:val="nil"/>
            </w:tcBorders>
            <w:shd w:val="clear" w:color="auto" w:fill="auto"/>
            <w:vAlign w:val="bottom"/>
          </w:tcPr>
          <w:p w14:paraId="073A96B4"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6DB4314F"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r>
      <w:tr w:rsidR="00587444" w:rsidRPr="00587444" w14:paraId="6C5AB4F3" w14:textId="77777777" w:rsidTr="00DD69E7">
        <w:trPr>
          <w:trHeight w:hRule="exact" w:val="244"/>
        </w:trPr>
        <w:tc>
          <w:tcPr>
            <w:tcW w:w="1814" w:type="pct"/>
            <w:vAlign w:val="bottom"/>
          </w:tcPr>
          <w:p w14:paraId="5939ADC6"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tcBorders>
              <w:top w:val="nil"/>
              <w:left w:val="nil"/>
              <w:bottom w:val="nil"/>
              <w:right w:val="nil"/>
            </w:tcBorders>
            <w:shd w:val="clear" w:color="auto" w:fill="auto"/>
            <w:vAlign w:val="bottom"/>
          </w:tcPr>
          <w:p w14:paraId="14CC736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(30)</w:t>
            </w:r>
          </w:p>
        </w:tc>
        <w:tc>
          <w:tcPr>
            <w:tcW w:w="650" w:type="pct"/>
            <w:tcBorders>
              <w:top w:val="nil"/>
              <w:left w:val="nil"/>
              <w:bottom w:val="nil"/>
              <w:right w:val="nil"/>
            </w:tcBorders>
            <w:shd w:val="clear" w:color="auto" w:fill="auto"/>
            <w:vAlign w:val="bottom"/>
          </w:tcPr>
          <w:p w14:paraId="0272F9AD"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30 </w:t>
            </w:r>
          </w:p>
        </w:tc>
        <w:tc>
          <w:tcPr>
            <w:tcW w:w="643" w:type="pct"/>
            <w:tcBorders>
              <w:top w:val="nil"/>
              <w:left w:val="nil"/>
              <w:bottom w:val="nil"/>
              <w:right w:val="nil"/>
            </w:tcBorders>
            <w:shd w:val="clear" w:color="auto" w:fill="auto"/>
            <w:vAlign w:val="bottom"/>
          </w:tcPr>
          <w:p w14:paraId="0FE1267C"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4B8E2536"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27366202"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r>
      <w:tr w:rsidR="00587444" w:rsidRPr="00587444" w14:paraId="1CDAFF5E" w14:textId="77777777" w:rsidTr="00DD69E7">
        <w:trPr>
          <w:trHeight w:hRule="exact" w:val="244"/>
        </w:trPr>
        <w:tc>
          <w:tcPr>
            <w:tcW w:w="1814" w:type="pct"/>
            <w:vAlign w:val="bottom"/>
          </w:tcPr>
          <w:p w14:paraId="6EDCC064"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tcBorders>
              <w:top w:val="nil"/>
              <w:left w:val="nil"/>
              <w:bottom w:val="nil"/>
              <w:right w:val="nil"/>
            </w:tcBorders>
            <w:shd w:val="clear" w:color="auto" w:fill="auto"/>
            <w:vAlign w:val="bottom"/>
          </w:tcPr>
          <w:p w14:paraId="25CDAEBF"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50" w:type="pct"/>
            <w:tcBorders>
              <w:top w:val="nil"/>
              <w:left w:val="nil"/>
              <w:bottom w:val="nil"/>
              <w:right w:val="nil"/>
            </w:tcBorders>
            <w:shd w:val="clear" w:color="auto" w:fill="auto"/>
            <w:vAlign w:val="bottom"/>
          </w:tcPr>
          <w:p w14:paraId="5EB596F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(100)</w:t>
            </w:r>
          </w:p>
        </w:tc>
        <w:tc>
          <w:tcPr>
            <w:tcW w:w="643" w:type="pct"/>
            <w:tcBorders>
              <w:top w:val="nil"/>
              <w:left w:val="nil"/>
              <w:bottom w:val="nil"/>
              <w:right w:val="nil"/>
            </w:tcBorders>
            <w:shd w:val="clear" w:color="auto" w:fill="auto"/>
            <w:vAlign w:val="bottom"/>
          </w:tcPr>
          <w:p w14:paraId="776CBFA4"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100 </w:t>
            </w:r>
          </w:p>
        </w:tc>
        <w:tc>
          <w:tcPr>
            <w:tcW w:w="605" w:type="pct"/>
            <w:tcBorders>
              <w:top w:val="nil"/>
              <w:left w:val="nil"/>
              <w:bottom w:val="nil"/>
              <w:right w:val="nil"/>
            </w:tcBorders>
            <w:shd w:val="clear" w:color="auto" w:fill="auto"/>
            <w:vAlign w:val="bottom"/>
          </w:tcPr>
          <w:p w14:paraId="2200EED7"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18D7761D"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r>
      <w:tr w:rsidR="00587444" w:rsidRPr="00587444" w14:paraId="530FCFBC" w14:textId="77777777" w:rsidTr="00DD69E7">
        <w:trPr>
          <w:trHeight w:hRule="exact" w:val="465"/>
        </w:trPr>
        <w:tc>
          <w:tcPr>
            <w:tcW w:w="1814" w:type="pct"/>
            <w:vAlign w:val="bottom"/>
          </w:tcPr>
          <w:p w14:paraId="1798F09E" w14:textId="77777777" w:rsidR="00D75982"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increase/(release) of loss </w:t>
            </w:r>
          </w:p>
          <w:p w14:paraId="188381E8" w14:textId="5E87B789"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tcBorders>
              <w:top w:val="nil"/>
              <w:left w:val="nil"/>
              <w:bottom w:val="nil"/>
              <w:right w:val="nil"/>
            </w:tcBorders>
            <w:shd w:val="clear" w:color="auto" w:fill="auto"/>
            <w:vAlign w:val="bottom"/>
          </w:tcPr>
          <w:p w14:paraId="081B6312"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17 </w:t>
            </w:r>
          </w:p>
        </w:tc>
        <w:tc>
          <w:tcPr>
            <w:tcW w:w="650" w:type="pct"/>
            <w:tcBorders>
              <w:top w:val="nil"/>
              <w:left w:val="nil"/>
              <w:bottom w:val="nil"/>
              <w:right w:val="nil"/>
            </w:tcBorders>
            <w:shd w:val="clear" w:color="auto" w:fill="auto"/>
            <w:vAlign w:val="bottom"/>
          </w:tcPr>
          <w:p w14:paraId="1DB46F7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67 </w:t>
            </w:r>
          </w:p>
        </w:tc>
        <w:tc>
          <w:tcPr>
            <w:tcW w:w="643" w:type="pct"/>
            <w:tcBorders>
              <w:top w:val="nil"/>
              <w:left w:val="nil"/>
              <w:bottom w:val="nil"/>
              <w:right w:val="nil"/>
            </w:tcBorders>
            <w:shd w:val="clear" w:color="auto" w:fill="auto"/>
            <w:vAlign w:val="bottom"/>
          </w:tcPr>
          <w:p w14:paraId="2E24545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3,650 </w:t>
            </w:r>
          </w:p>
        </w:tc>
        <w:tc>
          <w:tcPr>
            <w:tcW w:w="605" w:type="pct"/>
            <w:tcBorders>
              <w:top w:val="nil"/>
              <w:left w:val="nil"/>
              <w:bottom w:val="nil"/>
              <w:right w:val="nil"/>
            </w:tcBorders>
            <w:shd w:val="clear" w:color="auto" w:fill="auto"/>
            <w:vAlign w:val="bottom"/>
          </w:tcPr>
          <w:p w14:paraId="42C34A1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(3)</w:t>
            </w:r>
          </w:p>
        </w:tc>
        <w:tc>
          <w:tcPr>
            <w:tcW w:w="638" w:type="pct"/>
            <w:tcBorders>
              <w:top w:val="nil"/>
              <w:left w:val="nil"/>
              <w:bottom w:val="nil"/>
              <w:right w:val="nil"/>
            </w:tcBorders>
            <w:shd w:val="clear" w:color="auto" w:fill="auto"/>
            <w:vAlign w:val="bottom"/>
          </w:tcPr>
          <w:p w14:paraId="58FF3E8F"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3,731 </w:t>
            </w:r>
          </w:p>
        </w:tc>
      </w:tr>
      <w:tr w:rsidR="00587444" w:rsidRPr="00587444" w14:paraId="6954F4FA" w14:textId="77777777" w:rsidTr="00DD69E7">
        <w:trPr>
          <w:trHeight w:hRule="exact" w:val="273"/>
        </w:trPr>
        <w:tc>
          <w:tcPr>
            <w:tcW w:w="1814" w:type="pct"/>
            <w:vAlign w:val="bottom"/>
          </w:tcPr>
          <w:p w14:paraId="20A14CB2"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650" w:type="pct"/>
            <w:tcBorders>
              <w:top w:val="nil"/>
              <w:left w:val="nil"/>
              <w:bottom w:val="nil"/>
              <w:right w:val="nil"/>
            </w:tcBorders>
            <w:shd w:val="clear" w:color="auto" w:fill="auto"/>
            <w:vAlign w:val="bottom"/>
          </w:tcPr>
          <w:p w14:paraId="670803A1"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50" w:type="pct"/>
            <w:tcBorders>
              <w:top w:val="nil"/>
              <w:left w:val="nil"/>
              <w:bottom w:val="nil"/>
              <w:right w:val="nil"/>
            </w:tcBorders>
            <w:shd w:val="clear" w:color="auto" w:fill="auto"/>
            <w:vAlign w:val="bottom"/>
          </w:tcPr>
          <w:p w14:paraId="398035D1"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069D763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(35)</w:t>
            </w:r>
          </w:p>
        </w:tc>
        <w:tc>
          <w:tcPr>
            <w:tcW w:w="605" w:type="pct"/>
            <w:tcBorders>
              <w:top w:val="nil"/>
              <w:left w:val="nil"/>
              <w:bottom w:val="nil"/>
              <w:right w:val="nil"/>
            </w:tcBorders>
            <w:shd w:val="clear" w:color="auto" w:fill="auto"/>
            <w:vAlign w:val="bottom"/>
          </w:tcPr>
          <w:p w14:paraId="61CC9C94"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019FC4FE"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(35)</w:t>
            </w:r>
          </w:p>
        </w:tc>
      </w:tr>
      <w:tr w:rsidR="00587444" w:rsidRPr="00587444" w14:paraId="4DDD2272" w14:textId="77777777" w:rsidTr="00DD69E7">
        <w:trPr>
          <w:trHeight w:val="287"/>
        </w:trPr>
        <w:tc>
          <w:tcPr>
            <w:tcW w:w="1814" w:type="pct"/>
            <w:vAlign w:val="bottom"/>
          </w:tcPr>
          <w:p w14:paraId="7B46F734"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50" w:type="pct"/>
            <w:tcBorders>
              <w:top w:val="nil"/>
              <w:left w:val="nil"/>
              <w:right w:val="nil"/>
            </w:tcBorders>
            <w:shd w:val="clear" w:color="auto" w:fill="auto"/>
            <w:vAlign w:val="bottom"/>
          </w:tcPr>
          <w:p w14:paraId="6C869022"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50" w:type="pct"/>
            <w:tcBorders>
              <w:top w:val="nil"/>
              <w:left w:val="nil"/>
              <w:right w:val="nil"/>
            </w:tcBorders>
            <w:shd w:val="clear" w:color="auto" w:fill="auto"/>
            <w:vAlign w:val="bottom"/>
          </w:tcPr>
          <w:p w14:paraId="01544724"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43" w:type="pct"/>
            <w:tcBorders>
              <w:top w:val="nil"/>
              <w:left w:val="nil"/>
              <w:right w:val="nil"/>
            </w:tcBorders>
            <w:shd w:val="clear" w:color="auto" w:fill="auto"/>
            <w:vAlign w:val="bottom"/>
          </w:tcPr>
          <w:p w14:paraId="1939DB04"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(216)</w:t>
            </w:r>
          </w:p>
        </w:tc>
        <w:tc>
          <w:tcPr>
            <w:tcW w:w="605" w:type="pct"/>
            <w:tcBorders>
              <w:top w:val="nil"/>
              <w:left w:val="nil"/>
              <w:right w:val="nil"/>
            </w:tcBorders>
            <w:shd w:val="clear" w:color="auto" w:fill="auto"/>
            <w:vAlign w:val="bottom"/>
          </w:tcPr>
          <w:p w14:paraId="5B93DF0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38" w:type="pct"/>
            <w:tcBorders>
              <w:top w:val="nil"/>
              <w:left w:val="nil"/>
              <w:right w:val="nil"/>
            </w:tcBorders>
            <w:shd w:val="clear" w:color="auto" w:fill="auto"/>
            <w:vAlign w:val="bottom"/>
          </w:tcPr>
          <w:p w14:paraId="52DEF15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(216)</w:t>
            </w:r>
          </w:p>
        </w:tc>
      </w:tr>
      <w:tr w:rsidR="00587444" w:rsidRPr="00587444" w14:paraId="2F9C3B97" w14:textId="77777777" w:rsidTr="00DD69E7">
        <w:trPr>
          <w:trHeight w:val="287"/>
        </w:trPr>
        <w:tc>
          <w:tcPr>
            <w:tcW w:w="1814" w:type="pct"/>
            <w:vAlign w:val="bottom"/>
          </w:tcPr>
          <w:p w14:paraId="377F3DB7"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 adjustments</w:t>
            </w:r>
          </w:p>
        </w:tc>
        <w:tc>
          <w:tcPr>
            <w:tcW w:w="650" w:type="pct"/>
            <w:tcBorders>
              <w:top w:val="nil"/>
              <w:left w:val="nil"/>
              <w:bottom w:val="single" w:sz="12" w:space="0" w:color="auto"/>
              <w:right w:val="nil"/>
            </w:tcBorders>
            <w:shd w:val="clear" w:color="auto" w:fill="auto"/>
            <w:vAlign w:val="bottom"/>
          </w:tcPr>
          <w:p w14:paraId="276F6834"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w:t>
            </w:r>
          </w:p>
        </w:tc>
        <w:tc>
          <w:tcPr>
            <w:tcW w:w="650" w:type="pct"/>
            <w:tcBorders>
              <w:top w:val="nil"/>
              <w:left w:val="nil"/>
              <w:bottom w:val="single" w:sz="12" w:space="0" w:color="auto"/>
              <w:right w:val="nil"/>
            </w:tcBorders>
            <w:shd w:val="clear" w:color="auto" w:fill="auto"/>
            <w:vAlign w:val="bottom"/>
          </w:tcPr>
          <w:p w14:paraId="77FD5AB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w:t>
            </w:r>
          </w:p>
        </w:tc>
        <w:tc>
          <w:tcPr>
            <w:tcW w:w="643" w:type="pct"/>
            <w:tcBorders>
              <w:top w:val="nil"/>
              <w:left w:val="nil"/>
              <w:bottom w:val="single" w:sz="12" w:space="0" w:color="auto"/>
              <w:right w:val="nil"/>
            </w:tcBorders>
            <w:shd w:val="clear" w:color="auto" w:fill="auto"/>
            <w:vAlign w:val="bottom"/>
          </w:tcPr>
          <w:p w14:paraId="4D8F32A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(16)</w:t>
            </w:r>
          </w:p>
        </w:tc>
        <w:tc>
          <w:tcPr>
            <w:tcW w:w="605" w:type="pct"/>
            <w:tcBorders>
              <w:top w:val="nil"/>
              <w:left w:val="nil"/>
              <w:bottom w:val="single" w:sz="12" w:space="0" w:color="auto"/>
              <w:right w:val="nil"/>
            </w:tcBorders>
            <w:shd w:val="clear" w:color="auto" w:fill="auto"/>
            <w:vAlign w:val="bottom"/>
          </w:tcPr>
          <w:p w14:paraId="0996B51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14</w:t>
            </w:r>
          </w:p>
        </w:tc>
        <w:tc>
          <w:tcPr>
            <w:tcW w:w="638" w:type="pct"/>
            <w:tcBorders>
              <w:top w:val="nil"/>
              <w:left w:val="nil"/>
              <w:bottom w:val="single" w:sz="12" w:space="0" w:color="auto"/>
              <w:right w:val="nil"/>
            </w:tcBorders>
            <w:shd w:val="clear" w:color="auto" w:fill="auto"/>
            <w:vAlign w:val="bottom"/>
          </w:tcPr>
          <w:p w14:paraId="75AE0254"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(2)</w:t>
            </w:r>
          </w:p>
        </w:tc>
      </w:tr>
      <w:tr w:rsidR="00587444" w:rsidRPr="00587444" w14:paraId="21C8288B" w14:textId="77777777" w:rsidTr="00DD69E7">
        <w:trPr>
          <w:trHeight w:val="114"/>
        </w:trPr>
        <w:tc>
          <w:tcPr>
            <w:tcW w:w="1814" w:type="pct"/>
            <w:vAlign w:val="bottom"/>
          </w:tcPr>
          <w:p w14:paraId="17A6D910"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2022</w:t>
            </w:r>
          </w:p>
        </w:tc>
        <w:tc>
          <w:tcPr>
            <w:tcW w:w="650" w:type="pct"/>
            <w:tcBorders>
              <w:top w:val="nil"/>
              <w:left w:val="nil"/>
              <w:bottom w:val="single" w:sz="12" w:space="0" w:color="auto"/>
              <w:right w:val="nil"/>
            </w:tcBorders>
            <w:shd w:val="clear" w:color="auto" w:fill="auto"/>
            <w:vAlign w:val="bottom"/>
          </w:tcPr>
          <w:p w14:paraId="76E2000B"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eastAsia="Calibri" w:hAnsi="Arial" w:cs="Arial"/>
                <w:b/>
                <w:bCs/>
                <w:color w:val="000000"/>
                <w:sz w:val="18"/>
                <w:szCs w:val="18"/>
                <w:lang w:val="hr-HR"/>
              </w:rPr>
              <w:t xml:space="preserve"> 22 </w:t>
            </w:r>
          </w:p>
        </w:tc>
        <w:tc>
          <w:tcPr>
            <w:tcW w:w="650" w:type="pct"/>
            <w:tcBorders>
              <w:top w:val="nil"/>
              <w:left w:val="nil"/>
              <w:bottom w:val="single" w:sz="12" w:space="0" w:color="auto"/>
              <w:right w:val="nil"/>
            </w:tcBorders>
            <w:shd w:val="clear" w:color="auto" w:fill="auto"/>
            <w:vAlign w:val="bottom"/>
          </w:tcPr>
          <w:p w14:paraId="57289FE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eastAsia="Calibri" w:hAnsi="Arial" w:cs="Arial"/>
                <w:b/>
                <w:bCs/>
                <w:color w:val="000000"/>
                <w:sz w:val="18"/>
                <w:szCs w:val="18"/>
                <w:lang w:val="hr-HR"/>
              </w:rPr>
              <w:t xml:space="preserve"> 1 </w:t>
            </w:r>
          </w:p>
        </w:tc>
        <w:tc>
          <w:tcPr>
            <w:tcW w:w="643" w:type="pct"/>
            <w:tcBorders>
              <w:top w:val="nil"/>
              <w:left w:val="nil"/>
              <w:bottom w:val="single" w:sz="12" w:space="0" w:color="auto"/>
              <w:right w:val="nil"/>
            </w:tcBorders>
            <w:shd w:val="clear" w:color="auto" w:fill="auto"/>
            <w:vAlign w:val="bottom"/>
          </w:tcPr>
          <w:p w14:paraId="4C8B4F23"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eastAsia="Calibri" w:hAnsi="Arial" w:cs="Arial"/>
                <w:b/>
                <w:bCs/>
                <w:color w:val="000000"/>
                <w:sz w:val="18"/>
                <w:szCs w:val="18"/>
                <w:lang w:val="hr-HR"/>
              </w:rPr>
              <w:t xml:space="preserve"> 34,891 </w:t>
            </w:r>
          </w:p>
        </w:tc>
        <w:tc>
          <w:tcPr>
            <w:tcW w:w="605" w:type="pct"/>
            <w:tcBorders>
              <w:top w:val="nil"/>
              <w:left w:val="nil"/>
              <w:bottom w:val="single" w:sz="12" w:space="0" w:color="auto"/>
              <w:right w:val="nil"/>
            </w:tcBorders>
            <w:shd w:val="clear" w:color="auto" w:fill="auto"/>
            <w:vAlign w:val="bottom"/>
          </w:tcPr>
          <w:p w14:paraId="1767D2F9"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eastAsia="Calibri" w:hAnsi="Arial" w:cs="Arial"/>
                <w:b/>
                <w:bCs/>
                <w:color w:val="000000"/>
                <w:sz w:val="18"/>
                <w:szCs w:val="18"/>
                <w:lang w:val="hr-HR"/>
              </w:rPr>
              <w:t xml:space="preserve"> 261 </w:t>
            </w:r>
          </w:p>
        </w:tc>
        <w:tc>
          <w:tcPr>
            <w:tcW w:w="638" w:type="pct"/>
            <w:tcBorders>
              <w:top w:val="nil"/>
              <w:left w:val="nil"/>
              <w:bottom w:val="single" w:sz="12" w:space="0" w:color="auto"/>
              <w:right w:val="nil"/>
            </w:tcBorders>
            <w:shd w:val="clear" w:color="auto" w:fill="auto"/>
            <w:vAlign w:val="bottom"/>
          </w:tcPr>
          <w:p w14:paraId="05156B75"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eastAsia="Calibri" w:hAnsi="Arial" w:cs="Arial"/>
                <w:b/>
                <w:bCs/>
                <w:color w:val="000000"/>
                <w:sz w:val="18"/>
                <w:szCs w:val="18"/>
                <w:lang w:val="hr-HR"/>
              </w:rPr>
              <w:t xml:space="preserve"> 35,175 </w:t>
            </w:r>
          </w:p>
        </w:tc>
      </w:tr>
    </w:tbl>
    <w:p w14:paraId="16C82973" w14:textId="77777777" w:rsidR="00587444" w:rsidRPr="00587444" w:rsidRDefault="00587444" w:rsidP="00587444">
      <w:pPr>
        <w:suppressAutoHyphens w:val="0"/>
        <w:autoSpaceDN/>
        <w:rPr>
          <w:rFonts w:ascii="Arial" w:eastAsia="Calibri" w:hAnsi="Arial" w:cs="Arial"/>
          <w:b/>
          <w:sz w:val="20"/>
          <w:szCs w:val="20"/>
          <w:lang w:val="en-GB"/>
        </w:rPr>
      </w:pPr>
    </w:p>
    <w:p w14:paraId="17EAE929" w14:textId="77777777" w:rsidR="00587444" w:rsidRPr="00587444" w:rsidRDefault="00587444" w:rsidP="00587444">
      <w:pPr>
        <w:suppressAutoHyphens w:val="0"/>
        <w:autoSpaceDN/>
        <w:rPr>
          <w:rFonts w:ascii="Arial" w:eastAsia="Calibri" w:hAnsi="Arial" w:cs="Arial"/>
          <w:b/>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473"/>
        <w:gridCol w:w="1244"/>
        <w:gridCol w:w="1244"/>
        <w:gridCol w:w="1231"/>
        <w:gridCol w:w="1158"/>
        <w:gridCol w:w="1221"/>
      </w:tblGrid>
      <w:tr w:rsidR="00587444" w:rsidRPr="00587444" w14:paraId="59549171" w14:textId="77777777" w:rsidTr="00DD69E7">
        <w:trPr>
          <w:trHeight w:val="160"/>
        </w:trPr>
        <w:tc>
          <w:tcPr>
            <w:tcW w:w="1814" w:type="pct"/>
          </w:tcPr>
          <w:p w14:paraId="29FF8F34"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Bank</w:t>
            </w:r>
          </w:p>
        </w:tc>
        <w:tc>
          <w:tcPr>
            <w:tcW w:w="3186" w:type="pct"/>
            <w:gridSpan w:val="5"/>
            <w:vAlign w:val="bottom"/>
          </w:tcPr>
          <w:p w14:paraId="4C259867"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49FC0D36" w14:textId="77777777" w:rsidTr="00DD69E7">
        <w:trPr>
          <w:trHeight w:val="51"/>
        </w:trPr>
        <w:tc>
          <w:tcPr>
            <w:tcW w:w="1814" w:type="pct"/>
          </w:tcPr>
          <w:p w14:paraId="1C5C76B7"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2021</w:t>
            </w:r>
          </w:p>
        </w:tc>
        <w:tc>
          <w:tcPr>
            <w:tcW w:w="650" w:type="pct"/>
            <w:vAlign w:val="bottom"/>
          </w:tcPr>
          <w:p w14:paraId="22431C14"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0398FDB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1F491B4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52A88AE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26E5690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380AFF1F" w14:textId="77777777" w:rsidTr="00DD69E7">
        <w:trPr>
          <w:trHeight w:val="51"/>
        </w:trPr>
        <w:tc>
          <w:tcPr>
            <w:tcW w:w="1814" w:type="pct"/>
          </w:tcPr>
          <w:p w14:paraId="6593A343"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6BEB2897"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50" w:type="pct"/>
          </w:tcPr>
          <w:p w14:paraId="37810E3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3" w:type="pct"/>
          </w:tcPr>
          <w:p w14:paraId="6D0BE47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05" w:type="pct"/>
          </w:tcPr>
          <w:p w14:paraId="7C49A7A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38" w:type="pct"/>
          </w:tcPr>
          <w:p w14:paraId="30B2023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2378BDDE" w14:textId="77777777" w:rsidTr="00DD69E7">
        <w:trPr>
          <w:trHeight w:val="51"/>
        </w:trPr>
        <w:tc>
          <w:tcPr>
            <w:tcW w:w="1814" w:type="pct"/>
          </w:tcPr>
          <w:p w14:paraId="18EA22A1"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693F3036"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50" w:type="pct"/>
          </w:tcPr>
          <w:p w14:paraId="38296A86"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43" w:type="pct"/>
          </w:tcPr>
          <w:p w14:paraId="27E86787"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05" w:type="pct"/>
          </w:tcPr>
          <w:p w14:paraId="19D87F83" w14:textId="77777777" w:rsidR="00587444" w:rsidRPr="00587444" w:rsidRDefault="00587444" w:rsidP="00587444">
            <w:pPr>
              <w:suppressAutoHyphens w:val="0"/>
              <w:autoSpaceDN/>
              <w:jc w:val="right"/>
              <w:rPr>
                <w:rFonts w:ascii="Arial" w:eastAsia="Calibri" w:hAnsi="Arial" w:cs="Arial"/>
                <w:b/>
                <w:sz w:val="18"/>
                <w:szCs w:val="18"/>
                <w:lang w:val="en-GB"/>
              </w:rPr>
            </w:pPr>
          </w:p>
        </w:tc>
        <w:tc>
          <w:tcPr>
            <w:tcW w:w="638" w:type="pct"/>
          </w:tcPr>
          <w:p w14:paraId="21A0736C"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5FADF7CC" w14:textId="77777777" w:rsidTr="00DD69E7">
        <w:trPr>
          <w:trHeight w:hRule="exact" w:val="244"/>
        </w:trPr>
        <w:tc>
          <w:tcPr>
            <w:tcW w:w="1814" w:type="pct"/>
            <w:vAlign w:val="bottom"/>
          </w:tcPr>
          <w:p w14:paraId="6A18BA00"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2021</w:t>
            </w:r>
          </w:p>
        </w:tc>
        <w:tc>
          <w:tcPr>
            <w:tcW w:w="650" w:type="pct"/>
            <w:tcBorders>
              <w:top w:val="nil"/>
              <w:left w:val="nil"/>
              <w:bottom w:val="nil"/>
              <w:right w:val="nil"/>
            </w:tcBorders>
            <w:shd w:val="clear" w:color="auto" w:fill="auto"/>
            <w:vAlign w:val="bottom"/>
          </w:tcPr>
          <w:p w14:paraId="51A46F5C"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31 </w:t>
            </w:r>
          </w:p>
        </w:tc>
        <w:tc>
          <w:tcPr>
            <w:tcW w:w="650" w:type="pct"/>
            <w:tcBorders>
              <w:top w:val="nil"/>
              <w:left w:val="nil"/>
              <w:bottom w:val="nil"/>
              <w:right w:val="nil"/>
            </w:tcBorders>
            <w:shd w:val="clear" w:color="auto" w:fill="auto"/>
            <w:vAlign w:val="bottom"/>
          </w:tcPr>
          <w:p w14:paraId="2C5102B3"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 </w:t>
            </w:r>
          </w:p>
        </w:tc>
        <w:tc>
          <w:tcPr>
            <w:tcW w:w="643" w:type="pct"/>
            <w:tcBorders>
              <w:top w:val="nil"/>
              <w:left w:val="nil"/>
              <w:bottom w:val="nil"/>
              <w:right w:val="nil"/>
            </w:tcBorders>
            <w:shd w:val="clear" w:color="auto" w:fill="auto"/>
            <w:vAlign w:val="bottom"/>
          </w:tcPr>
          <w:p w14:paraId="3AE1648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34,359 </w:t>
            </w:r>
          </w:p>
        </w:tc>
        <w:tc>
          <w:tcPr>
            <w:tcW w:w="605" w:type="pct"/>
            <w:tcBorders>
              <w:top w:val="nil"/>
              <w:left w:val="nil"/>
              <w:bottom w:val="nil"/>
              <w:right w:val="nil"/>
            </w:tcBorders>
            <w:shd w:val="clear" w:color="auto" w:fill="auto"/>
            <w:vAlign w:val="bottom"/>
          </w:tcPr>
          <w:p w14:paraId="73DB0854"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5 </w:t>
            </w:r>
          </w:p>
        </w:tc>
        <w:tc>
          <w:tcPr>
            <w:tcW w:w="638" w:type="pct"/>
            <w:tcBorders>
              <w:top w:val="nil"/>
              <w:left w:val="nil"/>
              <w:bottom w:val="nil"/>
              <w:right w:val="nil"/>
            </w:tcBorders>
            <w:shd w:val="clear" w:color="auto" w:fill="auto"/>
            <w:vAlign w:val="bottom"/>
          </w:tcPr>
          <w:p w14:paraId="34DB6492"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34,396 </w:t>
            </w:r>
          </w:p>
        </w:tc>
      </w:tr>
      <w:tr w:rsidR="00587444" w:rsidRPr="00587444" w14:paraId="1472C88D" w14:textId="77777777" w:rsidTr="00DD69E7">
        <w:trPr>
          <w:trHeight w:hRule="exact" w:val="244"/>
        </w:trPr>
        <w:tc>
          <w:tcPr>
            <w:tcW w:w="1814" w:type="pct"/>
            <w:vAlign w:val="bottom"/>
          </w:tcPr>
          <w:p w14:paraId="3008473E"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tcBorders>
              <w:top w:val="nil"/>
              <w:left w:val="nil"/>
              <w:bottom w:val="nil"/>
              <w:right w:val="nil"/>
            </w:tcBorders>
            <w:shd w:val="clear" w:color="auto" w:fill="auto"/>
            <w:vAlign w:val="bottom"/>
          </w:tcPr>
          <w:p w14:paraId="48A1F236"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10 </w:t>
            </w:r>
          </w:p>
        </w:tc>
        <w:tc>
          <w:tcPr>
            <w:tcW w:w="650" w:type="pct"/>
            <w:tcBorders>
              <w:top w:val="nil"/>
              <w:left w:val="nil"/>
              <w:bottom w:val="nil"/>
              <w:right w:val="nil"/>
            </w:tcBorders>
            <w:shd w:val="clear" w:color="auto" w:fill="auto"/>
            <w:vAlign w:val="bottom"/>
          </w:tcPr>
          <w:p w14:paraId="07D5CF8C"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w:t>
            </w:r>
          </w:p>
        </w:tc>
        <w:tc>
          <w:tcPr>
            <w:tcW w:w="643" w:type="pct"/>
            <w:tcBorders>
              <w:top w:val="nil"/>
              <w:left w:val="nil"/>
              <w:bottom w:val="nil"/>
              <w:right w:val="nil"/>
            </w:tcBorders>
            <w:shd w:val="clear" w:color="auto" w:fill="auto"/>
            <w:vAlign w:val="bottom"/>
          </w:tcPr>
          <w:p w14:paraId="3087DDBD"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(8)</w:t>
            </w:r>
          </w:p>
        </w:tc>
        <w:tc>
          <w:tcPr>
            <w:tcW w:w="605" w:type="pct"/>
            <w:tcBorders>
              <w:top w:val="nil"/>
              <w:left w:val="nil"/>
              <w:bottom w:val="nil"/>
              <w:right w:val="nil"/>
            </w:tcBorders>
            <w:shd w:val="clear" w:color="auto" w:fill="auto"/>
            <w:vAlign w:val="bottom"/>
          </w:tcPr>
          <w:p w14:paraId="6752781F"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61D71CA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r>
      <w:tr w:rsidR="00587444" w:rsidRPr="00587444" w14:paraId="2DFEF905" w14:textId="77777777" w:rsidTr="00DD69E7">
        <w:trPr>
          <w:trHeight w:hRule="exact" w:val="244"/>
        </w:trPr>
        <w:tc>
          <w:tcPr>
            <w:tcW w:w="1814" w:type="pct"/>
            <w:vAlign w:val="bottom"/>
          </w:tcPr>
          <w:p w14:paraId="12847E33"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tcBorders>
              <w:top w:val="nil"/>
              <w:left w:val="nil"/>
              <w:bottom w:val="nil"/>
              <w:right w:val="nil"/>
            </w:tcBorders>
            <w:shd w:val="clear" w:color="auto" w:fill="auto"/>
            <w:vAlign w:val="bottom"/>
          </w:tcPr>
          <w:p w14:paraId="7FEA2E1C"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(4)</w:t>
            </w:r>
          </w:p>
        </w:tc>
        <w:tc>
          <w:tcPr>
            <w:tcW w:w="650" w:type="pct"/>
            <w:tcBorders>
              <w:top w:val="nil"/>
              <w:left w:val="nil"/>
              <w:bottom w:val="nil"/>
              <w:right w:val="nil"/>
            </w:tcBorders>
            <w:shd w:val="clear" w:color="auto" w:fill="auto"/>
            <w:vAlign w:val="bottom"/>
          </w:tcPr>
          <w:p w14:paraId="55F7E23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4 </w:t>
            </w:r>
          </w:p>
        </w:tc>
        <w:tc>
          <w:tcPr>
            <w:tcW w:w="643" w:type="pct"/>
            <w:tcBorders>
              <w:top w:val="nil"/>
              <w:left w:val="nil"/>
              <w:bottom w:val="nil"/>
              <w:right w:val="nil"/>
            </w:tcBorders>
            <w:shd w:val="clear" w:color="auto" w:fill="auto"/>
            <w:vAlign w:val="bottom"/>
          </w:tcPr>
          <w:p w14:paraId="21AEC73B"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491DD516"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18847EB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r>
      <w:tr w:rsidR="00587444" w:rsidRPr="00587444" w14:paraId="0F035638" w14:textId="77777777" w:rsidTr="00DD69E7">
        <w:trPr>
          <w:trHeight w:hRule="exact" w:val="244"/>
        </w:trPr>
        <w:tc>
          <w:tcPr>
            <w:tcW w:w="1814" w:type="pct"/>
            <w:vAlign w:val="bottom"/>
          </w:tcPr>
          <w:p w14:paraId="29A3FEEC"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tcBorders>
              <w:top w:val="nil"/>
              <w:left w:val="nil"/>
              <w:bottom w:val="nil"/>
              <w:right w:val="nil"/>
            </w:tcBorders>
            <w:shd w:val="clear" w:color="auto" w:fill="auto"/>
            <w:vAlign w:val="bottom"/>
          </w:tcPr>
          <w:p w14:paraId="13776FDD"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50" w:type="pct"/>
            <w:tcBorders>
              <w:top w:val="nil"/>
              <w:left w:val="nil"/>
              <w:bottom w:val="nil"/>
              <w:right w:val="nil"/>
            </w:tcBorders>
            <w:shd w:val="clear" w:color="auto" w:fill="auto"/>
            <w:vAlign w:val="bottom"/>
          </w:tcPr>
          <w:p w14:paraId="680B39BD"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w:t>
            </w:r>
          </w:p>
        </w:tc>
        <w:tc>
          <w:tcPr>
            <w:tcW w:w="643" w:type="pct"/>
            <w:tcBorders>
              <w:top w:val="nil"/>
              <w:left w:val="nil"/>
              <w:bottom w:val="nil"/>
              <w:right w:val="nil"/>
            </w:tcBorders>
            <w:shd w:val="clear" w:color="auto" w:fill="auto"/>
            <w:vAlign w:val="bottom"/>
          </w:tcPr>
          <w:p w14:paraId="11B2FA4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 </w:t>
            </w:r>
          </w:p>
        </w:tc>
        <w:tc>
          <w:tcPr>
            <w:tcW w:w="605" w:type="pct"/>
            <w:tcBorders>
              <w:top w:val="nil"/>
              <w:left w:val="nil"/>
              <w:bottom w:val="nil"/>
              <w:right w:val="nil"/>
            </w:tcBorders>
            <w:shd w:val="clear" w:color="auto" w:fill="auto"/>
            <w:vAlign w:val="bottom"/>
          </w:tcPr>
          <w:p w14:paraId="1A39325E"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1F4E043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r>
      <w:tr w:rsidR="00587444" w:rsidRPr="00587444" w14:paraId="7E725D5E" w14:textId="77777777" w:rsidTr="00DD69E7">
        <w:trPr>
          <w:trHeight w:hRule="exact" w:val="525"/>
        </w:trPr>
        <w:tc>
          <w:tcPr>
            <w:tcW w:w="1814" w:type="pct"/>
            <w:vAlign w:val="bottom"/>
          </w:tcPr>
          <w:p w14:paraId="5F8D602A" w14:textId="77777777" w:rsidR="00D75982"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(release)/increase of loss </w:t>
            </w:r>
          </w:p>
          <w:p w14:paraId="0E0F5F57" w14:textId="61539BD0"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tcBorders>
              <w:top w:val="nil"/>
              <w:left w:val="nil"/>
              <w:bottom w:val="nil"/>
              <w:right w:val="nil"/>
            </w:tcBorders>
            <w:shd w:val="clear" w:color="auto" w:fill="auto"/>
            <w:vAlign w:val="bottom"/>
          </w:tcPr>
          <w:p w14:paraId="7EC93A88"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(12)</w:t>
            </w:r>
          </w:p>
        </w:tc>
        <w:tc>
          <w:tcPr>
            <w:tcW w:w="650" w:type="pct"/>
            <w:tcBorders>
              <w:top w:val="nil"/>
              <w:left w:val="nil"/>
              <w:bottom w:val="nil"/>
              <w:right w:val="nil"/>
            </w:tcBorders>
            <w:shd w:val="clear" w:color="auto" w:fill="auto"/>
            <w:vAlign w:val="bottom"/>
          </w:tcPr>
          <w:p w14:paraId="08D780E0"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 </w:t>
            </w:r>
          </w:p>
        </w:tc>
        <w:tc>
          <w:tcPr>
            <w:tcW w:w="643" w:type="pct"/>
            <w:tcBorders>
              <w:top w:val="nil"/>
              <w:left w:val="nil"/>
              <w:bottom w:val="nil"/>
              <w:right w:val="nil"/>
            </w:tcBorders>
            <w:shd w:val="clear" w:color="auto" w:fill="auto"/>
            <w:vAlign w:val="bottom"/>
          </w:tcPr>
          <w:p w14:paraId="4E77C274"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(2,786)</w:t>
            </w:r>
          </w:p>
        </w:tc>
        <w:tc>
          <w:tcPr>
            <w:tcW w:w="605" w:type="pct"/>
            <w:tcBorders>
              <w:top w:val="nil"/>
              <w:left w:val="nil"/>
              <w:bottom w:val="nil"/>
              <w:right w:val="nil"/>
            </w:tcBorders>
            <w:shd w:val="clear" w:color="auto" w:fill="auto"/>
            <w:vAlign w:val="bottom"/>
          </w:tcPr>
          <w:p w14:paraId="636BB501"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245 </w:t>
            </w:r>
          </w:p>
        </w:tc>
        <w:tc>
          <w:tcPr>
            <w:tcW w:w="638" w:type="pct"/>
            <w:tcBorders>
              <w:top w:val="nil"/>
              <w:left w:val="nil"/>
              <w:bottom w:val="nil"/>
              <w:right w:val="nil"/>
            </w:tcBorders>
            <w:shd w:val="clear" w:color="auto" w:fill="auto"/>
            <w:vAlign w:val="bottom"/>
          </w:tcPr>
          <w:p w14:paraId="360BD18A"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(2,551)</w:t>
            </w:r>
          </w:p>
        </w:tc>
      </w:tr>
      <w:tr w:rsidR="00587444" w:rsidRPr="00587444" w14:paraId="550918F6" w14:textId="77777777" w:rsidTr="00DD69E7">
        <w:trPr>
          <w:trHeight w:hRule="exact" w:val="273"/>
        </w:trPr>
        <w:tc>
          <w:tcPr>
            <w:tcW w:w="1814" w:type="pct"/>
            <w:vAlign w:val="bottom"/>
          </w:tcPr>
          <w:p w14:paraId="0474CEDF"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650" w:type="pct"/>
            <w:tcBorders>
              <w:top w:val="nil"/>
              <w:left w:val="nil"/>
              <w:bottom w:val="nil"/>
              <w:right w:val="nil"/>
            </w:tcBorders>
            <w:shd w:val="clear" w:color="auto" w:fill="auto"/>
            <w:vAlign w:val="bottom"/>
          </w:tcPr>
          <w:p w14:paraId="1030EDE6"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50" w:type="pct"/>
            <w:tcBorders>
              <w:top w:val="nil"/>
              <w:left w:val="nil"/>
              <w:bottom w:val="nil"/>
              <w:right w:val="nil"/>
            </w:tcBorders>
            <w:shd w:val="clear" w:color="auto" w:fill="auto"/>
            <w:vAlign w:val="bottom"/>
          </w:tcPr>
          <w:p w14:paraId="40233C7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22D365A4"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(151)</w:t>
            </w:r>
          </w:p>
        </w:tc>
        <w:tc>
          <w:tcPr>
            <w:tcW w:w="605" w:type="pct"/>
            <w:tcBorders>
              <w:top w:val="nil"/>
              <w:left w:val="nil"/>
              <w:bottom w:val="nil"/>
              <w:right w:val="nil"/>
            </w:tcBorders>
            <w:shd w:val="clear" w:color="auto" w:fill="auto"/>
            <w:vAlign w:val="bottom"/>
          </w:tcPr>
          <w:p w14:paraId="22EF1833"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49802B47" w14:textId="77777777" w:rsidR="00587444" w:rsidRPr="00587444" w:rsidRDefault="00587444" w:rsidP="00587444">
            <w:pPr>
              <w:suppressAutoHyphens w:val="0"/>
              <w:autoSpaceDN/>
              <w:jc w:val="right"/>
              <w:rPr>
                <w:rFonts w:ascii="Arial" w:eastAsia="Calibri" w:hAnsi="Arial" w:cs="Arial"/>
                <w:color w:val="000000"/>
                <w:sz w:val="18"/>
                <w:szCs w:val="18"/>
                <w:lang w:val="hr-HR"/>
              </w:rPr>
            </w:pPr>
            <w:r w:rsidRPr="00587444">
              <w:rPr>
                <w:rFonts w:ascii="Arial" w:hAnsi="Arial" w:cs="Arial"/>
                <w:sz w:val="18"/>
                <w:szCs w:val="18"/>
              </w:rPr>
              <w:t xml:space="preserve"> (151)</w:t>
            </w:r>
          </w:p>
        </w:tc>
      </w:tr>
      <w:tr w:rsidR="00587444" w:rsidRPr="00587444" w14:paraId="08856B77" w14:textId="77777777" w:rsidTr="00DD69E7">
        <w:trPr>
          <w:trHeight w:val="287"/>
        </w:trPr>
        <w:tc>
          <w:tcPr>
            <w:tcW w:w="1814" w:type="pct"/>
            <w:vAlign w:val="bottom"/>
          </w:tcPr>
          <w:p w14:paraId="590F6ADC"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50" w:type="pct"/>
            <w:tcBorders>
              <w:top w:val="nil"/>
              <w:left w:val="nil"/>
              <w:bottom w:val="single" w:sz="8" w:space="0" w:color="auto"/>
              <w:right w:val="nil"/>
            </w:tcBorders>
            <w:shd w:val="clear" w:color="auto" w:fill="auto"/>
            <w:vAlign w:val="bottom"/>
          </w:tcPr>
          <w:p w14:paraId="3F835D6D"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50" w:type="pct"/>
            <w:tcBorders>
              <w:top w:val="nil"/>
              <w:left w:val="nil"/>
              <w:bottom w:val="single" w:sz="8" w:space="0" w:color="auto"/>
              <w:right w:val="nil"/>
            </w:tcBorders>
            <w:shd w:val="clear" w:color="auto" w:fill="auto"/>
            <w:vAlign w:val="bottom"/>
          </w:tcPr>
          <w:p w14:paraId="2DA400D5"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43" w:type="pct"/>
            <w:tcBorders>
              <w:top w:val="nil"/>
              <w:left w:val="nil"/>
              <w:bottom w:val="single" w:sz="8" w:space="0" w:color="auto"/>
              <w:right w:val="nil"/>
            </w:tcBorders>
            <w:shd w:val="clear" w:color="auto" w:fill="auto"/>
            <w:vAlign w:val="bottom"/>
          </w:tcPr>
          <w:p w14:paraId="07C0A3E1"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3 </w:t>
            </w:r>
          </w:p>
        </w:tc>
        <w:tc>
          <w:tcPr>
            <w:tcW w:w="605" w:type="pct"/>
            <w:tcBorders>
              <w:top w:val="nil"/>
              <w:left w:val="nil"/>
              <w:bottom w:val="single" w:sz="8" w:space="0" w:color="auto"/>
              <w:right w:val="nil"/>
            </w:tcBorders>
            <w:shd w:val="clear" w:color="auto" w:fill="auto"/>
            <w:vAlign w:val="bottom"/>
          </w:tcPr>
          <w:p w14:paraId="045BA092"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 </w:t>
            </w:r>
          </w:p>
        </w:tc>
        <w:tc>
          <w:tcPr>
            <w:tcW w:w="638" w:type="pct"/>
            <w:tcBorders>
              <w:top w:val="nil"/>
              <w:left w:val="nil"/>
              <w:bottom w:val="single" w:sz="8" w:space="0" w:color="auto"/>
              <w:right w:val="nil"/>
            </w:tcBorders>
            <w:shd w:val="clear" w:color="auto" w:fill="auto"/>
            <w:vAlign w:val="bottom"/>
          </w:tcPr>
          <w:p w14:paraId="4A2BAC7F" w14:textId="77777777" w:rsidR="00587444" w:rsidRPr="00587444" w:rsidRDefault="00587444" w:rsidP="00587444">
            <w:pPr>
              <w:suppressAutoHyphens w:val="0"/>
              <w:autoSpaceDN/>
              <w:jc w:val="right"/>
              <w:rPr>
                <w:rFonts w:ascii="Arial" w:eastAsia="Calibri" w:hAnsi="Arial" w:cs="Arial"/>
                <w:sz w:val="18"/>
                <w:szCs w:val="18"/>
                <w:lang w:val="en-GB"/>
              </w:rPr>
            </w:pPr>
            <w:r w:rsidRPr="00587444">
              <w:rPr>
                <w:rFonts w:ascii="Arial" w:hAnsi="Arial" w:cs="Arial"/>
                <w:sz w:val="18"/>
                <w:szCs w:val="18"/>
              </w:rPr>
              <w:t xml:space="preserve"> 3 </w:t>
            </w:r>
          </w:p>
        </w:tc>
      </w:tr>
      <w:tr w:rsidR="00587444" w:rsidRPr="00587444" w14:paraId="4046BD71" w14:textId="77777777" w:rsidTr="00DD69E7">
        <w:trPr>
          <w:trHeight w:val="114"/>
        </w:trPr>
        <w:tc>
          <w:tcPr>
            <w:tcW w:w="1814" w:type="pct"/>
            <w:vAlign w:val="bottom"/>
          </w:tcPr>
          <w:p w14:paraId="01787A38"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2021</w:t>
            </w:r>
          </w:p>
        </w:tc>
        <w:tc>
          <w:tcPr>
            <w:tcW w:w="650" w:type="pct"/>
            <w:tcBorders>
              <w:top w:val="nil"/>
              <w:left w:val="nil"/>
              <w:bottom w:val="single" w:sz="12" w:space="0" w:color="auto"/>
              <w:right w:val="nil"/>
            </w:tcBorders>
            <w:shd w:val="clear" w:color="auto" w:fill="auto"/>
            <w:vAlign w:val="bottom"/>
          </w:tcPr>
          <w:p w14:paraId="05F55C7C"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25 </w:t>
            </w:r>
          </w:p>
        </w:tc>
        <w:tc>
          <w:tcPr>
            <w:tcW w:w="650" w:type="pct"/>
            <w:tcBorders>
              <w:top w:val="nil"/>
              <w:left w:val="nil"/>
              <w:bottom w:val="single" w:sz="12" w:space="0" w:color="auto"/>
              <w:right w:val="nil"/>
            </w:tcBorders>
            <w:shd w:val="clear" w:color="auto" w:fill="auto"/>
            <w:vAlign w:val="bottom"/>
          </w:tcPr>
          <w:p w14:paraId="30E9C5FC"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4 </w:t>
            </w:r>
          </w:p>
        </w:tc>
        <w:tc>
          <w:tcPr>
            <w:tcW w:w="643" w:type="pct"/>
            <w:tcBorders>
              <w:top w:val="nil"/>
              <w:left w:val="nil"/>
              <w:bottom w:val="single" w:sz="12" w:space="0" w:color="auto"/>
              <w:right w:val="nil"/>
            </w:tcBorders>
            <w:shd w:val="clear" w:color="auto" w:fill="auto"/>
            <w:vAlign w:val="bottom"/>
          </w:tcPr>
          <w:p w14:paraId="135D17B8"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31,418 </w:t>
            </w:r>
          </w:p>
        </w:tc>
        <w:tc>
          <w:tcPr>
            <w:tcW w:w="605" w:type="pct"/>
            <w:tcBorders>
              <w:top w:val="nil"/>
              <w:left w:val="nil"/>
              <w:bottom w:val="single" w:sz="12" w:space="0" w:color="auto"/>
              <w:right w:val="nil"/>
            </w:tcBorders>
            <w:shd w:val="clear" w:color="auto" w:fill="auto"/>
            <w:vAlign w:val="bottom"/>
          </w:tcPr>
          <w:p w14:paraId="7563A6C0"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250 </w:t>
            </w:r>
          </w:p>
        </w:tc>
        <w:tc>
          <w:tcPr>
            <w:tcW w:w="638" w:type="pct"/>
            <w:tcBorders>
              <w:top w:val="nil"/>
              <w:left w:val="nil"/>
              <w:bottom w:val="single" w:sz="12" w:space="0" w:color="auto"/>
              <w:right w:val="nil"/>
            </w:tcBorders>
            <w:shd w:val="clear" w:color="auto" w:fill="auto"/>
            <w:vAlign w:val="bottom"/>
          </w:tcPr>
          <w:p w14:paraId="0B00FF17" w14:textId="77777777" w:rsidR="00587444" w:rsidRPr="00587444" w:rsidRDefault="00587444" w:rsidP="00587444">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587444">
              <w:rPr>
                <w:rFonts w:ascii="Arial" w:hAnsi="Arial" w:cs="Arial"/>
                <w:b/>
                <w:bCs/>
                <w:sz w:val="18"/>
                <w:szCs w:val="18"/>
              </w:rPr>
              <w:t xml:space="preserve"> 31,697 </w:t>
            </w:r>
          </w:p>
        </w:tc>
      </w:tr>
    </w:tbl>
    <w:p w14:paraId="74DE78B5" w14:textId="77777777" w:rsidR="00587444" w:rsidRPr="00587444" w:rsidRDefault="00587444" w:rsidP="00587444">
      <w:pPr>
        <w:suppressAutoHyphens w:val="0"/>
        <w:autoSpaceDN/>
        <w:rPr>
          <w:rFonts w:ascii="Arial" w:hAnsi="Arial" w:cs="Arial"/>
          <w:b/>
          <w:bCs/>
          <w:sz w:val="20"/>
          <w:szCs w:val="20"/>
          <w:lang w:val="en-GB"/>
        </w:rPr>
      </w:pPr>
    </w:p>
    <w:p w14:paraId="15C99DBC" w14:textId="77777777" w:rsidR="00587444" w:rsidRPr="00587444" w:rsidRDefault="00587444" w:rsidP="00587444">
      <w:pPr>
        <w:suppressAutoHyphens w:val="0"/>
        <w:autoSpaceDN/>
        <w:rPr>
          <w:rFonts w:ascii="Arial" w:hAnsi="Arial" w:cs="Arial"/>
          <w:b/>
          <w:sz w:val="20"/>
          <w:szCs w:val="20"/>
          <w:lang w:val="en-GB"/>
        </w:rPr>
      </w:pPr>
    </w:p>
    <w:p w14:paraId="72B4F103"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D69E7">
          <w:pgSz w:w="11907" w:h="16840" w:code="9"/>
          <w:pgMar w:top="1418" w:right="1134" w:bottom="1134" w:left="1418" w:header="851" w:footer="851" w:gutter="0"/>
          <w:cols w:space="720"/>
          <w:noEndnote/>
        </w:sectPr>
      </w:pPr>
    </w:p>
    <w:p w14:paraId="228EF761" w14:textId="77777777" w:rsidR="00587444" w:rsidRPr="00587444" w:rsidRDefault="00587444" w:rsidP="00587444">
      <w:pPr>
        <w:suppressAutoHyphens w:val="0"/>
        <w:autoSpaceDN/>
        <w:jc w:val="both"/>
        <w:rPr>
          <w:rFonts w:ascii="Arial" w:hAnsi="Arial" w:cs="Arial"/>
          <w:b/>
          <w:bCs/>
          <w:sz w:val="20"/>
          <w:szCs w:val="20"/>
          <w:lang w:val="en-GB"/>
        </w:rPr>
      </w:pPr>
    </w:p>
    <w:p w14:paraId="61B4FE4E"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778CEDC5" w14:textId="77777777" w:rsidR="00587444" w:rsidRPr="00587444" w:rsidRDefault="00587444" w:rsidP="00587444">
      <w:pPr>
        <w:suppressAutoHyphens w:val="0"/>
        <w:autoSpaceDN/>
        <w:jc w:val="both"/>
        <w:rPr>
          <w:rFonts w:ascii="Arial" w:hAnsi="Arial" w:cs="Arial"/>
          <w:b/>
          <w:sz w:val="20"/>
          <w:szCs w:val="20"/>
          <w:lang w:val="en-GB"/>
        </w:rPr>
      </w:pPr>
    </w:p>
    <w:p w14:paraId="748A8CEF"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024D9C19" w14:textId="77777777" w:rsidR="00587444" w:rsidRPr="00587444" w:rsidRDefault="00587444" w:rsidP="00587444">
      <w:pPr>
        <w:suppressAutoHyphens w:val="0"/>
        <w:autoSpaceDN/>
        <w:jc w:val="both"/>
        <w:rPr>
          <w:rFonts w:ascii="Arial" w:hAnsi="Arial" w:cs="Arial"/>
          <w:b/>
          <w:bCs/>
          <w:i/>
          <w:sz w:val="20"/>
          <w:szCs w:val="20"/>
          <w:lang w:val="en-GB"/>
        </w:rPr>
      </w:pPr>
    </w:p>
    <w:p w14:paraId="766A1484" w14:textId="77777777" w:rsidR="00587444" w:rsidRPr="00587444" w:rsidRDefault="00587444">
      <w:pPr>
        <w:numPr>
          <w:ilvl w:val="8"/>
          <w:numId w:val="69"/>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5EA1F6F4" w14:textId="77777777" w:rsidR="00587444" w:rsidRPr="00587444" w:rsidRDefault="00587444" w:rsidP="00587444">
      <w:pPr>
        <w:suppressAutoHyphens w:val="0"/>
        <w:autoSpaceDN/>
        <w:jc w:val="both"/>
        <w:rPr>
          <w:rFonts w:ascii="Arial" w:hAnsi="Arial" w:cs="Arial"/>
          <w:b/>
          <w:bCs/>
          <w:sz w:val="20"/>
          <w:szCs w:val="20"/>
          <w:lang w:val="en-GB"/>
        </w:rPr>
      </w:pPr>
    </w:p>
    <w:p w14:paraId="068BC7E2" w14:textId="77777777" w:rsidR="00587444" w:rsidRPr="00587444" w:rsidRDefault="00587444" w:rsidP="00587444">
      <w:pPr>
        <w:suppressAutoHyphens w:val="0"/>
        <w:autoSpaceDN/>
        <w:spacing w:after="120"/>
        <w:rPr>
          <w:rFonts w:ascii="Arial" w:hAnsi="Arial" w:cs="Arial"/>
          <w:b/>
          <w:sz w:val="20"/>
          <w:szCs w:val="20"/>
          <w:lang w:val="en-GB"/>
        </w:rPr>
      </w:pPr>
      <w:r w:rsidRPr="00587444">
        <w:rPr>
          <w:rFonts w:ascii="Arial" w:hAnsi="Arial" w:cs="Arial"/>
          <w:b/>
          <w:sz w:val="20"/>
          <w:szCs w:val="20"/>
          <w:lang w:val="en-GB"/>
        </w:rPr>
        <w:t>Guarantees and commitments</w:t>
      </w:r>
    </w:p>
    <w:p w14:paraId="3B7FE964" w14:textId="77777777" w:rsidR="00587444" w:rsidRPr="00587444" w:rsidRDefault="00587444" w:rsidP="00587444">
      <w:pPr>
        <w:suppressAutoHyphens w:val="0"/>
        <w:autoSpaceDN/>
        <w:rPr>
          <w:rFonts w:ascii="Arial" w:hAnsi="Arial" w:cs="Arial"/>
          <w:b/>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473"/>
        <w:gridCol w:w="1244"/>
        <w:gridCol w:w="1244"/>
        <w:gridCol w:w="1231"/>
        <w:gridCol w:w="1158"/>
        <w:gridCol w:w="1221"/>
      </w:tblGrid>
      <w:tr w:rsidR="00587444" w:rsidRPr="00587444" w14:paraId="55F5BD2A" w14:textId="77777777" w:rsidTr="00DD69E7">
        <w:trPr>
          <w:trHeight w:val="146"/>
        </w:trPr>
        <w:tc>
          <w:tcPr>
            <w:tcW w:w="1814" w:type="pct"/>
          </w:tcPr>
          <w:p w14:paraId="35297553" w14:textId="77777777" w:rsidR="00587444" w:rsidRPr="00587444" w:rsidRDefault="00587444" w:rsidP="00587444">
            <w:pPr>
              <w:suppressAutoHyphens w:val="0"/>
              <w:autoSpaceDN/>
              <w:rPr>
                <w:rFonts w:ascii="Arial" w:eastAsia="Calibri" w:hAnsi="Arial" w:cs="Arial"/>
                <w:b/>
                <w:bCs/>
                <w:sz w:val="18"/>
                <w:szCs w:val="18"/>
                <w:lang w:val="en-GB"/>
              </w:rPr>
            </w:pPr>
            <w:bookmarkStart w:id="1153" w:name="_Hlk5873520"/>
            <w:r w:rsidRPr="00587444">
              <w:rPr>
                <w:rFonts w:ascii="Arial" w:eastAsia="Calibri" w:hAnsi="Arial" w:cs="Arial"/>
                <w:b/>
                <w:bCs/>
                <w:sz w:val="18"/>
                <w:szCs w:val="18"/>
                <w:lang w:val="en-GB"/>
              </w:rPr>
              <w:br w:type="page"/>
              <w:t>Group and Bank</w:t>
            </w:r>
          </w:p>
        </w:tc>
        <w:tc>
          <w:tcPr>
            <w:tcW w:w="3186" w:type="pct"/>
            <w:gridSpan w:val="5"/>
            <w:vAlign w:val="bottom"/>
          </w:tcPr>
          <w:p w14:paraId="1286BC62"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15A1B398" w14:textId="77777777" w:rsidTr="00DD69E7">
        <w:trPr>
          <w:trHeight w:val="51"/>
        </w:trPr>
        <w:tc>
          <w:tcPr>
            <w:tcW w:w="1814" w:type="pct"/>
          </w:tcPr>
          <w:p w14:paraId="4F66CBA0"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2022</w:t>
            </w:r>
          </w:p>
        </w:tc>
        <w:tc>
          <w:tcPr>
            <w:tcW w:w="650" w:type="pct"/>
            <w:vAlign w:val="bottom"/>
          </w:tcPr>
          <w:p w14:paraId="359E8B0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1E482D1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51F7736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1D12DCE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77B27E3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628A01FB" w14:textId="77777777" w:rsidTr="00DD69E7">
        <w:trPr>
          <w:trHeight w:val="51"/>
        </w:trPr>
        <w:tc>
          <w:tcPr>
            <w:tcW w:w="1814" w:type="pct"/>
          </w:tcPr>
          <w:p w14:paraId="777381FE"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254EDAD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50" w:type="pct"/>
          </w:tcPr>
          <w:p w14:paraId="5D2D735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3" w:type="pct"/>
          </w:tcPr>
          <w:p w14:paraId="33AED4A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05" w:type="pct"/>
          </w:tcPr>
          <w:p w14:paraId="5520004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38" w:type="pct"/>
          </w:tcPr>
          <w:p w14:paraId="47B76AD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42AE2821" w14:textId="77777777" w:rsidTr="00DD69E7">
        <w:trPr>
          <w:trHeight w:val="51"/>
        </w:trPr>
        <w:tc>
          <w:tcPr>
            <w:tcW w:w="1814" w:type="pct"/>
          </w:tcPr>
          <w:p w14:paraId="637AF883"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7F9C9CDE"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50" w:type="pct"/>
          </w:tcPr>
          <w:p w14:paraId="363AE457"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43" w:type="pct"/>
          </w:tcPr>
          <w:p w14:paraId="0C56A278"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05" w:type="pct"/>
          </w:tcPr>
          <w:p w14:paraId="72A3864B"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38" w:type="pct"/>
          </w:tcPr>
          <w:p w14:paraId="0663EE00" w14:textId="77777777" w:rsidR="00587444" w:rsidRPr="00587444" w:rsidRDefault="00587444" w:rsidP="00587444">
            <w:pPr>
              <w:suppressAutoHyphens w:val="0"/>
              <w:autoSpaceDN/>
              <w:jc w:val="right"/>
              <w:rPr>
                <w:rFonts w:ascii="Arial" w:eastAsia="Calibri" w:hAnsi="Arial" w:cs="Arial"/>
                <w:b/>
                <w:bCs/>
                <w:sz w:val="18"/>
                <w:szCs w:val="18"/>
                <w:lang w:val="en-GB"/>
              </w:rPr>
            </w:pPr>
          </w:p>
        </w:tc>
      </w:tr>
      <w:tr w:rsidR="00587444" w:rsidRPr="00587444" w14:paraId="10EC11CD" w14:textId="77777777" w:rsidTr="00DD69E7">
        <w:trPr>
          <w:trHeight w:hRule="exact" w:val="241"/>
        </w:trPr>
        <w:tc>
          <w:tcPr>
            <w:tcW w:w="1814" w:type="pct"/>
            <w:vAlign w:val="bottom"/>
          </w:tcPr>
          <w:p w14:paraId="2E464152"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2022</w:t>
            </w:r>
          </w:p>
        </w:tc>
        <w:tc>
          <w:tcPr>
            <w:tcW w:w="650" w:type="pct"/>
            <w:shd w:val="clear" w:color="auto" w:fill="auto"/>
            <w:vAlign w:val="bottom"/>
          </w:tcPr>
          <w:p w14:paraId="5844BDA1"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10,652 </w:t>
            </w:r>
          </w:p>
        </w:tc>
        <w:tc>
          <w:tcPr>
            <w:tcW w:w="650" w:type="pct"/>
            <w:shd w:val="clear" w:color="auto" w:fill="auto"/>
            <w:vAlign w:val="bottom"/>
          </w:tcPr>
          <w:p w14:paraId="602BB755"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26,256 </w:t>
            </w:r>
          </w:p>
        </w:tc>
        <w:tc>
          <w:tcPr>
            <w:tcW w:w="643" w:type="pct"/>
            <w:shd w:val="clear" w:color="auto" w:fill="auto"/>
            <w:vAlign w:val="bottom"/>
          </w:tcPr>
          <w:p w14:paraId="08251CA9"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82,779 </w:t>
            </w:r>
          </w:p>
        </w:tc>
        <w:tc>
          <w:tcPr>
            <w:tcW w:w="605" w:type="pct"/>
            <w:shd w:val="clear" w:color="auto" w:fill="auto"/>
            <w:vAlign w:val="bottom"/>
          </w:tcPr>
          <w:p w14:paraId="12C93EA3"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9,900 </w:t>
            </w:r>
          </w:p>
        </w:tc>
        <w:tc>
          <w:tcPr>
            <w:tcW w:w="638" w:type="pct"/>
            <w:shd w:val="clear" w:color="auto" w:fill="auto"/>
            <w:vAlign w:val="bottom"/>
          </w:tcPr>
          <w:p w14:paraId="4D74B261"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129,587 </w:t>
            </w:r>
          </w:p>
        </w:tc>
      </w:tr>
      <w:tr w:rsidR="00587444" w:rsidRPr="00587444" w14:paraId="4C31FA34" w14:textId="77777777" w:rsidTr="00DD69E7">
        <w:trPr>
          <w:trHeight w:hRule="exact" w:val="241"/>
        </w:trPr>
        <w:tc>
          <w:tcPr>
            <w:tcW w:w="1814" w:type="pct"/>
            <w:vAlign w:val="bottom"/>
          </w:tcPr>
          <w:p w14:paraId="4B73A1CA"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shd w:val="clear" w:color="auto" w:fill="auto"/>
            <w:vAlign w:val="bottom"/>
          </w:tcPr>
          <w:p w14:paraId="2E12A4B1"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8,226 </w:t>
            </w:r>
          </w:p>
        </w:tc>
        <w:tc>
          <w:tcPr>
            <w:tcW w:w="650" w:type="pct"/>
            <w:shd w:val="clear" w:color="auto" w:fill="auto"/>
            <w:vAlign w:val="bottom"/>
          </w:tcPr>
          <w:p w14:paraId="1C44D9C4"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(8,226)</w:t>
            </w:r>
          </w:p>
        </w:tc>
        <w:tc>
          <w:tcPr>
            <w:tcW w:w="643" w:type="pct"/>
            <w:shd w:val="clear" w:color="auto" w:fill="auto"/>
            <w:vAlign w:val="bottom"/>
          </w:tcPr>
          <w:p w14:paraId="18630847"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c>
          <w:tcPr>
            <w:tcW w:w="605" w:type="pct"/>
            <w:shd w:val="clear" w:color="auto" w:fill="auto"/>
            <w:vAlign w:val="bottom"/>
          </w:tcPr>
          <w:p w14:paraId="2A4137A1"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c>
          <w:tcPr>
            <w:tcW w:w="638" w:type="pct"/>
            <w:shd w:val="clear" w:color="auto" w:fill="auto"/>
            <w:vAlign w:val="bottom"/>
          </w:tcPr>
          <w:p w14:paraId="22FFD8EE"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r>
      <w:tr w:rsidR="00587444" w:rsidRPr="00587444" w14:paraId="4CAEB8E0" w14:textId="77777777" w:rsidTr="00DD69E7">
        <w:trPr>
          <w:trHeight w:hRule="exact" w:val="241"/>
        </w:trPr>
        <w:tc>
          <w:tcPr>
            <w:tcW w:w="1814" w:type="pct"/>
            <w:vAlign w:val="bottom"/>
          </w:tcPr>
          <w:p w14:paraId="34586B44"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shd w:val="clear" w:color="auto" w:fill="auto"/>
            <w:vAlign w:val="bottom"/>
          </w:tcPr>
          <w:p w14:paraId="3F17E965"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(1,301)</w:t>
            </w:r>
          </w:p>
        </w:tc>
        <w:tc>
          <w:tcPr>
            <w:tcW w:w="650" w:type="pct"/>
            <w:shd w:val="clear" w:color="auto" w:fill="auto"/>
            <w:vAlign w:val="bottom"/>
          </w:tcPr>
          <w:p w14:paraId="13618B6E"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1,301 </w:t>
            </w:r>
          </w:p>
        </w:tc>
        <w:tc>
          <w:tcPr>
            <w:tcW w:w="643" w:type="pct"/>
            <w:shd w:val="clear" w:color="auto" w:fill="auto"/>
            <w:vAlign w:val="bottom"/>
          </w:tcPr>
          <w:p w14:paraId="202EB63B"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c>
          <w:tcPr>
            <w:tcW w:w="605" w:type="pct"/>
            <w:shd w:val="clear" w:color="auto" w:fill="auto"/>
            <w:vAlign w:val="bottom"/>
          </w:tcPr>
          <w:p w14:paraId="3B11C2E9"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c>
          <w:tcPr>
            <w:tcW w:w="638" w:type="pct"/>
            <w:shd w:val="clear" w:color="auto" w:fill="auto"/>
            <w:vAlign w:val="bottom"/>
          </w:tcPr>
          <w:p w14:paraId="336F3771"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r>
      <w:tr w:rsidR="00587444" w:rsidRPr="00587444" w14:paraId="6EB94F69" w14:textId="77777777" w:rsidTr="00DD69E7">
        <w:trPr>
          <w:trHeight w:hRule="exact" w:val="241"/>
        </w:trPr>
        <w:tc>
          <w:tcPr>
            <w:tcW w:w="1814" w:type="pct"/>
            <w:vAlign w:val="bottom"/>
          </w:tcPr>
          <w:p w14:paraId="65F74682"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shd w:val="clear" w:color="auto" w:fill="auto"/>
            <w:vAlign w:val="bottom"/>
          </w:tcPr>
          <w:p w14:paraId="5A58E0F6"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c>
          <w:tcPr>
            <w:tcW w:w="650" w:type="pct"/>
            <w:shd w:val="clear" w:color="auto" w:fill="auto"/>
            <w:vAlign w:val="bottom"/>
          </w:tcPr>
          <w:p w14:paraId="1EBB2140"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(5,558)</w:t>
            </w:r>
          </w:p>
        </w:tc>
        <w:tc>
          <w:tcPr>
            <w:tcW w:w="643" w:type="pct"/>
            <w:shd w:val="clear" w:color="auto" w:fill="auto"/>
            <w:vAlign w:val="bottom"/>
          </w:tcPr>
          <w:p w14:paraId="0BF74C99"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5,558 </w:t>
            </w:r>
          </w:p>
        </w:tc>
        <w:tc>
          <w:tcPr>
            <w:tcW w:w="605" w:type="pct"/>
            <w:shd w:val="clear" w:color="auto" w:fill="auto"/>
            <w:vAlign w:val="bottom"/>
          </w:tcPr>
          <w:p w14:paraId="294253D6"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c>
          <w:tcPr>
            <w:tcW w:w="638" w:type="pct"/>
            <w:shd w:val="clear" w:color="auto" w:fill="auto"/>
            <w:vAlign w:val="bottom"/>
          </w:tcPr>
          <w:p w14:paraId="709712CE"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r>
      <w:tr w:rsidR="00587444" w:rsidRPr="00587444" w14:paraId="30604A7A" w14:textId="77777777" w:rsidTr="00DD69E7">
        <w:trPr>
          <w:trHeight w:hRule="exact" w:val="195"/>
        </w:trPr>
        <w:tc>
          <w:tcPr>
            <w:tcW w:w="1814" w:type="pct"/>
            <w:vAlign w:val="bottom"/>
          </w:tcPr>
          <w:p w14:paraId="5628629C"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(release) of loss allowance</w:t>
            </w:r>
          </w:p>
        </w:tc>
        <w:tc>
          <w:tcPr>
            <w:tcW w:w="650" w:type="pct"/>
            <w:shd w:val="clear" w:color="auto" w:fill="auto"/>
            <w:vAlign w:val="bottom"/>
          </w:tcPr>
          <w:p w14:paraId="665BD110"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(7,103)</w:t>
            </w:r>
          </w:p>
        </w:tc>
        <w:tc>
          <w:tcPr>
            <w:tcW w:w="650" w:type="pct"/>
            <w:shd w:val="clear" w:color="auto" w:fill="auto"/>
            <w:vAlign w:val="bottom"/>
          </w:tcPr>
          <w:p w14:paraId="6B703D35"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(1,259)</w:t>
            </w:r>
          </w:p>
        </w:tc>
        <w:tc>
          <w:tcPr>
            <w:tcW w:w="643" w:type="pct"/>
            <w:shd w:val="clear" w:color="auto" w:fill="auto"/>
            <w:vAlign w:val="bottom"/>
          </w:tcPr>
          <w:p w14:paraId="4BE917C2"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(34,409)</w:t>
            </w:r>
          </w:p>
        </w:tc>
        <w:tc>
          <w:tcPr>
            <w:tcW w:w="605" w:type="pct"/>
            <w:shd w:val="clear" w:color="auto" w:fill="auto"/>
            <w:vAlign w:val="bottom"/>
          </w:tcPr>
          <w:p w14:paraId="484150E8"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(5,412)</w:t>
            </w:r>
          </w:p>
        </w:tc>
        <w:tc>
          <w:tcPr>
            <w:tcW w:w="638" w:type="pct"/>
            <w:shd w:val="clear" w:color="auto" w:fill="auto"/>
            <w:vAlign w:val="bottom"/>
          </w:tcPr>
          <w:p w14:paraId="0CC9AF8C"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(48,183)</w:t>
            </w:r>
          </w:p>
        </w:tc>
      </w:tr>
      <w:tr w:rsidR="00587444" w:rsidRPr="00587444" w14:paraId="1FA5273B" w14:textId="77777777" w:rsidTr="00DD69E7">
        <w:trPr>
          <w:trHeight w:val="284"/>
        </w:trPr>
        <w:tc>
          <w:tcPr>
            <w:tcW w:w="1814" w:type="pct"/>
            <w:vAlign w:val="bottom"/>
          </w:tcPr>
          <w:p w14:paraId="79160222"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w:t>
            </w:r>
            <w:r w:rsidRPr="00587444" w:rsidDel="006E762B">
              <w:rPr>
                <w:rFonts w:ascii="Arial" w:eastAsia="Calibri" w:hAnsi="Arial" w:cs="Arial"/>
                <w:sz w:val="18"/>
                <w:szCs w:val="18"/>
                <w:lang w:val="en-GB"/>
              </w:rPr>
              <w:t xml:space="preserve"> </w:t>
            </w:r>
            <w:r w:rsidRPr="00587444">
              <w:rPr>
                <w:rFonts w:ascii="Arial" w:eastAsia="Calibri" w:hAnsi="Arial" w:cs="Arial"/>
                <w:sz w:val="18"/>
                <w:szCs w:val="18"/>
                <w:lang w:val="en-GB"/>
              </w:rPr>
              <w:t>on loss allowances</w:t>
            </w:r>
          </w:p>
        </w:tc>
        <w:tc>
          <w:tcPr>
            <w:tcW w:w="650" w:type="pct"/>
            <w:tcBorders>
              <w:top w:val="nil"/>
              <w:left w:val="nil"/>
              <w:bottom w:val="single" w:sz="8" w:space="0" w:color="auto"/>
              <w:right w:val="nil"/>
            </w:tcBorders>
            <w:shd w:val="clear" w:color="auto" w:fill="auto"/>
            <w:vAlign w:val="bottom"/>
          </w:tcPr>
          <w:p w14:paraId="5C5CCE0F"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(18)</w:t>
            </w:r>
          </w:p>
        </w:tc>
        <w:tc>
          <w:tcPr>
            <w:tcW w:w="650" w:type="pct"/>
            <w:tcBorders>
              <w:top w:val="nil"/>
              <w:left w:val="nil"/>
              <w:bottom w:val="single" w:sz="8" w:space="0" w:color="auto"/>
              <w:right w:val="nil"/>
            </w:tcBorders>
            <w:shd w:val="clear" w:color="auto" w:fill="auto"/>
            <w:vAlign w:val="bottom"/>
          </w:tcPr>
          <w:p w14:paraId="6F59EB17"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67 </w:t>
            </w:r>
          </w:p>
        </w:tc>
        <w:tc>
          <w:tcPr>
            <w:tcW w:w="643" w:type="pct"/>
            <w:tcBorders>
              <w:top w:val="nil"/>
              <w:left w:val="nil"/>
              <w:bottom w:val="single" w:sz="8" w:space="0" w:color="auto"/>
              <w:right w:val="nil"/>
            </w:tcBorders>
            <w:shd w:val="clear" w:color="auto" w:fill="auto"/>
            <w:vAlign w:val="bottom"/>
          </w:tcPr>
          <w:p w14:paraId="679CC2CB"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(488)</w:t>
            </w:r>
          </w:p>
        </w:tc>
        <w:tc>
          <w:tcPr>
            <w:tcW w:w="605" w:type="pct"/>
            <w:tcBorders>
              <w:top w:val="nil"/>
              <w:left w:val="nil"/>
              <w:bottom w:val="single" w:sz="8" w:space="0" w:color="auto"/>
              <w:right w:val="nil"/>
            </w:tcBorders>
            <w:shd w:val="clear" w:color="auto" w:fill="auto"/>
            <w:vAlign w:val="bottom"/>
          </w:tcPr>
          <w:p w14:paraId="03E9E641"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(239)</w:t>
            </w:r>
          </w:p>
        </w:tc>
        <w:tc>
          <w:tcPr>
            <w:tcW w:w="638" w:type="pct"/>
            <w:tcBorders>
              <w:top w:val="nil"/>
              <w:left w:val="nil"/>
              <w:bottom w:val="single" w:sz="8" w:space="0" w:color="auto"/>
              <w:right w:val="nil"/>
            </w:tcBorders>
            <w:shd w:val="clear" w:color="auto" w:fill="auto"/>
            <w:vAlign w:val="bottom"/>
          </w:tcPr>
          <w:p w14:paraId="3F32EC6F"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(678)</w:t>
            </w:r>
          </w:p>
        </w:tc>
      </w:tr>
      <w:tr w:rsidR="00587444" w:rsidRPr="00587444" w14:paraId="79FC164D" w14:textId="77777777" w:rsidTr="00DD69E7">
        <w:trPr>
          <w:trHeight w:val="37"/>
        </w:trPr>
        <w:tc>
          <w:tcPr>
            <w:tcW w:w="1814" w:type="pct"/>
            <w:vAlign w:val="bottom"/>
          </w:tcPr>
          <w:p w14:paraId="1DDED229"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2022</w:t>
            </w:r>
          </w:p>
        </w:tc>
        <w:tc>
          <w:tcPr>
            <w:tcW w:w="650" w:type="pct"/>
            <w:tcBorders>
              <w:top w:val="nil"/>
              <w:left w:val="nil"/>
              <w:bottom w:val="single" w:sz="12" w:space="0" w:color="auto"/>
              <w:right w:val="nil"/>
            </w:tcBorders>
            <w:shd w:val="clear" w:color="auto" w:fill="auto"/>
            <w:vAlign w:val="bottom"/>
          </w:tcPr>
          <w:p w14:paraId="08312C9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sz w:val="18"/>
                <w:szCs w:val="18"/>
                <w:lang w:val="en-GB"/>
              </w:rPr>
            </w:pPr>
            <w:r w:rsidRPr="00587444">
              <w:rPr>
                <w:rFonts w:ascii="Arial" w:hAnsi="Arial" w:cs="Arial"/>
                <w:b/>
                <w:bCs/>
                <w:sz w:val="18"/>
                <w:szCs w:val="18"/>
              </w:rPr>
              <w:t xml:space="preserve"> 10,456 </w:t>
            </w:r>
          </w:p>
        </w:tc>
        <w:tc>
          <w:tcPr>
            <w:tcW w:w="650" w:type="pct"/>
            <w:tcBorders>
              <w:top w:val="nil"/>
              <w:left w:val="nil"/>
              <w:bottom w:val="single" w:sz="12" w:space="0" w:color="auto"/>
              <w:right w:val="nil"/>
            </w:tcBorders>
            <w:shd w:val="clear" w:color="auto" w:fill="auto"/>
            <w:vAlign w:val="bottom"/>
          </w:tcPr>
          <w:p w14:paraId="6187569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sz w:val="18"/>
                <w:szCs w:val="18"/>
                <w:lang w:val="en-GB"/>
              </w:rPr>
            </w:pPr>
            <w:r w:rsidRPr="00587444">
              <w:rPr>
                <w:rFonts w:ascii="Arial" w:hAnsi="Arial" w:cs="Arial"/>
                <w:b/>
                <w:bCs/>
                <w:sz w:val="18"/>
                <w:szCs w:val="18"/>
              </w:rPr>
              <w:t xml:space="preserve"> 12,581 </w:t>
            </w:r>
          </w:p>
        </w:tc>
        <w:tc>
          <w:tcPr>
            <w:tcW w:w="643" w:type="pct"/>
            <w:tcBorders>
              <w:top w:val="nil"/>
              <w:left w:val="nil"/>
              <w:bottom w:val="single" w:sz="12" w:space="0" w:color="auto"/>
              <w:right w:val="nil"/>
            </w:tcBorders>
            <w:shd w:val="clear" w:color="auto" w:fill="auto"/>
            <w:vAlign w:val="bottom"/>
          </w:tcPr>
          <w:p w14:paraId="2011ED9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sz w:val="18"/>
                <w:szCs w:val="18"/>
                <w:lang w:val="en-GB"/>
              </w:rPr>
            </w:pPr>
            <w:r w:rsidRPr="00587444">
              <w:rPr>
                <w:rFonts w:ascii="Arial" w:hAnsi="Arial" w:cs="Arial"/>
                <w:b/>
                <w:bCs/>
                <w:sz w:val="18"/>
                <w:szCs w:val="18"/>
              </w:rPr>
              <w:t xml:space="preserve"> 53,440 </w:t>
            </w:r>
          </w:p>
        </w:tc>
        <w:tc>
          <w:tcPr>
            <w:tcW w:w="605" w:type="pct"/>
            <w:tcBorders>
              <w:top w:val="nil"/>
              <w:left w:val="nil"/>
              <w:bottom w:val="single" w:sz="12" w:space="0" w:color="auto"/>
              <w:right w:val="nil"/>
            </w:tcBorders>
            <w:shd w:val="clear" w:color="auto" w:fill="auto"/>
            <w:vAlign w:val="bottom"/>
          </w:tcPr>
          <w:p w14:paraId="6AD4BB0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sz w:val="18"/>
                <w:szCs w:val="18"/>
                <w:lang w:val="en-GB"/>
              </w:rPr>
            </w:pPr>
            <w:r w:rsidRPr="00587444">
              <w:rPr>
                <w:rFonts w:ascii="Arial" w:hAnsi="Arial" w:cs="Arial"/>
                <w:b/>
                <w:bCs/>
                <w:sz w:val="18"/>
                <w:szCs w:val="18"/>
              </w:rPr>
              <w:t xml:space="preserve"> 4,249 </w:t>
            </w:r>
          </w:p>
        </w:tc>
        <w:tc>
          <w:tcPr>
            <w:tcW w:w="638" w:type="pct"/>
            <w:tcBorders>
              <w:top w:val="nil"/>
              <w:left w:val="nil"/>
              <w:bottom w:val="single" w:sz="12" w:space="0" w:color="auto"/>
              <w:right w:val="nil"/>
            </w:tcBorders>
            <w:shd w:val="clear" w:color="auto" w:fill="auto"/>
            <w:vAlign w:val="bottom"/>
          </w:tcPr>
          <w:p w14:paraId="7E18017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sz w:val="18"/>
                <w:szCs w:val="18"/>
                <w:lang w:val="en-GB"/>
              </w:rPr>
            </w:pPr>
            <w:r w:rsidRPr="00587444">
              <w:rPr>
                <w:rFonts w:ascii="Arial" w:hAnsi="Arial" w:cs="Arial"/>
                <w:b/>
                <w:bCs/>
                <w:sz w:val="18"/>
                <w:szCs w:val="18"/>
              </w:rPr>
              <w:t xml:space="preserve"> 80,726 </w:t>
            </w:r>
          </w:p>
        </w:tc>
      </w:tr>
      <w:bookmarkEnd w:id="1153"/>
    </w:tbl>
    <w:p w14:paraId="56F08879" w14:textId="77777777" w:rsidR="00587444" w:rsidRPr="00587444" w:rsidRDefault="00587444" w:rsidP="00587444">
      <w:pPr>
        <w:suppressAutoHyphens w:val="0"/>
        <w:autoSpaceDN/>
        <w:rPr>
          <w:rFonts w:ascii="Arial" w:hAnsi="Arial" w:cs="Arial"/>
          <w:b/>
          <w:sz w:val="20"/>
          <w:szCs w:val="20"/>
          <w:lang w:val="en-GB"/>
        </w:rPr>
      </w:pPr>
    </w:p>
    <w:p w14:paraId="64B07793" w14:textId="77777777" w:rsidR="00587444" w:rsidRPr="00587444" w:rsidRDefault="00587444" w:rsidP="00587444">
      <w:pPr>
        <w:suppressAutoHyphens w:val="0"/>
        <w:autoSpaceDN/>
        <w:rPr>
          <w:rFonts w:ascii="Arial" w:hAnsi="Arial" w:cs="Arial"/>
          <w:b/>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473"/>
        <w:gridCol w:w="1244"/>
        <w:gridCol w:w="1244"/>
        <w:gridCol w:w="1231"/>
        <w:gridCol w:w="1158"/>
        <w:gridCol w:w="1221"/>
      </w:tblGrid>
      <w:tr w:rsidR="00587444" w:rsidRPr="00587444" w14:paraId="536D441D" w14:textId="77777777" w:rsidTr="00DD69E7">
        <w:trPr>
          <w:trHeight w:val="146"/>
        </w:trPr>
        <w:tc>
          <w:tcPr>
            <w:tcW w:w="1814" w:type="pct"/>
          </w:tcPr>
          <w:p w14:paraId="60E838A3"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Group and Bank</w:t>
            </w:r>
          </w:p>
        </w:tc>
        <w:tc>
          <w:tcPr>
            <w:tcW w:w="3186" w:type="pct"/>
            <w:gridSpan w:val="5"/>
            <w:vAlign w:val="bottom"/>
          </w:tcPr>
          <w:p w14:paraId="47D1B72E"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19CAA722" w14:textId="77777777" w:rsidTr="00DD69E7">
        <w:trPr>
          <w:trHeight w:val="51"/>
        </w:trPr>
        <w:tc>
          <w:tcPr>
            <w:tcW w:w="1814" w:type="pct"/>
          </w:tcPr>
          <w:p w14:paraId="21DAF5A9"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2021</w:t>
            </w:r>
          </w:p>
        </w:tc>
        <w:tc>
          <w:tcPr>
            <w:tcW w:w="650" w:type="pct"/>
            <w:vAlign w:val="bottom"/>
          </w:tcPr>
          <w:p w14:paraId="680F282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2884AFF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055EA4D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1AE6A25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1CEF0CC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587444" w:rsidRPr="00587444" w14:paraId="02F4B506" w14:textId="77777777" w:rsidTr="00DD69E7">
        <w:trPr>
          <w:trHeight w:val="51"/>
        </w:trPr>
        <w:tc>
          <w:tcPr>
            <w:tcW w:w="1814" w:type="pct"/>
          </w:tcPr>
          <w:p w14:paraId="0E7A7F99"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0C7DC58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50" w:type="pct"/>
          </w:tcPr>
          <w:p w14:paraId="5010C28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43" w:type="pct"/>
          </w:tcPr>
          <w:p w14:paraId="2E03D577"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05" w:type="pct"/>
          </w:tcPr>
          <w:p w14:paraId="64210BF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c>
          <w:tcPr>
            <w:tcW w:w="638" w:type="pct"/>
          </w:tcPr>
          <w:p w14:paraId="62D43B5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HRK ‘000</w:t>
            </w:r>
          </w:p>
        </w:tc>
      </w:tr>
      <w:tr w:rsidR="00587444" w:rsidRPr="00587444" w14:paraId="54653A47" w14:textId="77777777" w:rsidTr="00DD69E7">
        <w:trPr>
          <w:trHeight w:val="51"/>
        </w:trPr>
        <w:tc>
          <w:tcPr>
            <w:tcW w:w="1814" w:type="pct"/>
          </w:tcPr>
          <w:p w14:paraId="00D160CE" w14:textId="77777777" w:rsidR="00587444" w:rsidRPr="00587444" w:rsidRDefault="00587444" w:rsidP="00587444">
            <w:pPr>
              <w:suppressAutoHyphens w:val="0"/>
              <w:autoSpaceDN/>
              <w:rPr>
                <w:rFonts w:ascii="Arial" w:eastAsia="Calibri" w:hAnsi="Arial" w:cs="Arial"/>
                <w:b/>
                <w:bCs/>
                <w:sz w:val="18"/>
                <w:szCs w:val="18"/>
                <w:lang w:val="en-GB"/>
              </w:rPr>
            </w:pPr>
          </w:p>
        </w:tc>
        <w:tc>
          <w:tcPr>
            <w:tcW w:w="650" w:type="pct"/>
          </w:tcPr>
          <w:p w14:paraId="7B7B6619"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50" w:type="pct"/>
          </w:tcPr>
          <w:p w14:paraId="4808C4D0"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43" w:type="pct"/>
          </w:tcPr>
          <w:p w14:paraId="1373306A"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05" w:type="pct"/>
          </w:tcPr>
          <w:p w14:paraId="4515059C" w14:textId="77777777" w:rsidR="00587444" w:rsidRPr="00587444" w:rsidRDefault="00587444" w:rsidP="00587444">
            <w:pPr>
              <w:suppressAutoHyphens w:val="0"/>
              <w:autoSpaceDN/>
              <w:jc w:val="right"/>
              <w:rPr>
                <w:rFonts w:ascii="Arial" w:eastAsia="Calibri" w:hAnsi="Arial" w:cs="Arial"/>
                <w:b/>
                <w:bCs/>
                <w:sz w:val="18"/>
                <w:szCs w:val="18"/>
                <w:lang w:val="en-GB"/>
              </w:rPr>
            </w:pPr>
          </w:p>
        </w:tc>
        <w:tc>
          <w:tcPr>
            <w:tcW w:w="638" w:type="pct"/>
          </w:tcPr>
          <w:p w14:paraId="528506DD" w14:textId="77777777" w:rsidR="00587444" w:rsidRPr="00587444" w:rsidRDefault="00587444" w:rsidP="00587444">
            <w:pPr>
              <w:suppressAutoHyphens w:val="0"/>
              <w:autoSpaceDN/>
              <w:jc w:val="right"/>
              <w:rPr>
                <w:rFonts w:ascii="Arial" w:eastAsia="Calibri" w:hAnsi="Arial" w:cs="Arial"/>
                <w:b/>
                <w:bCs/>
                <w:sz w:val="18"/>
                <w:szCs w:val="18"/>
                <w:lang w:val="en-GB"/>
              </w:rPr>
            </w:pPr>
          </w:p>
        </w:tc>
      </w:tr>
      <w:tr w:rsidR="00587444" w:rsidRPr="00587444" w14:paraId="0C78E259" w14:textId="77777777" w:rsidTr="00DD69E7">
        <w:trPr>
          <w:trHeight w:hRule="exact" w:val="241"/>
        </w:trPr>
        <w:tc>
          <w:tcPr>
            <w:tcW w:w="1814" w:type="pct"/>
            <w:vAlign w:val="bottom"/>
          </w:tcPr>
          <w:p w14:paraId="4A79A882"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Balance </w:t>
            </w:r>
            <w:proofErr w:type="gramStart"/>
            <w:r w:rsidRPr="00587444">
              <w:rPr>
                <w:rFonts w:ascii="Arial" w:eastAsia="Calibri" w:hAnsi="Arial" w:cs="Arial"/>
                <w:sz w:val="18"/>
                <w:szCs w:val="18"/>
                <w:lang w:val="en-GB"/>
              </w:rPr>
              <w:t>at</w:t>
            </w:r>
            <w:proofErr w:type="gramEnd"/>
            <w:r w:rsidRPr="00587444">
              <w:rPr>
                <w:rFonts w:ascii="Arial" w:eastAsia="Calibri" w:hAnsi="Arial" w:cs="Arial"/>
                <w:sz w:val="18"/>
                <w:szCs w:val="18"/>
                <w:lang w:val="en-GB"/>
              </w:rPr>
              <w:t xml:space="preserve"> 1 January 2021</w:t>
            </w:r>
          </w:p>
        </w:tc>
        <w:tc>
          <w:tcPr>
            <w:tcW w:w="650" w:type="pct"/>
            <w:shd w:val="clear" w:color="auto" w:fill="auto"/>
            <w:vAlign w:val="bottom"/>
          </w:tcPr>
          <w:p w14:paraId="38426097"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8,659 </w:t>
            </w:r>
          </w:p>
        </w:tc>
        <w:tc>
          <w:tcPr>
            <w:tcW w:w="650" w:type="pct"/>
            <w:shd w:val="clear" w:color="auto" w:fill="auto"/>
            <w:vAlign w:val="bottom"/>
          </w:tcPr>
          <w:p w14:paraId="658040C4"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11,523 </w:t>
            </w:r>
          </w:p>
        </w:tc>
        <w:tc>
          <w:tcPr>
            <w:tcW w:w="643" w:type="pct"/>
            <w:shd w:val="clear" w:color="auto" w:fill="auto"/>
            <w:vAlign w:val="bottom"/>
          </w:tcPr>
          <w:p w14:paraId="04419D16"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17,525 </w:t>
            </w:r>
          </w:p>
        </w:tc>
        <w:tc>
          <w:tcPr>
            <w:tcW w:w="605" w:type="pct"/>
            <w:shd w:val="clear" w:color="auto" w:fill="auto"/>
            <w:vAlign w:val="bottom"/>
          </w:tcPr>
          <w:p w14:paraId="64340E76"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7,849 </w:t>
            </w:r>
          </w:p>
        </w:tc>
        <w:tc>
          <w:tcPr>
            <w:tcW w:w="638" w:type="pct"/>
            <w:shd w:val="clear" w:color="auto" w:fill="auto"/>
            <w:vAlign w:val="bottom"/>
          </w:tcPr>
          <w:p w14:paraId="3C1BAAEC"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45,556 </w:t>
            </w:r>
          </w:p>
        </w:tc>
      </w:tr>
      <w:tr w:rsidR="00587444" w:rsidRPr="00587444" w14:paraId="2AFE3DB6" w14:textId="77777777" w:rsidTr="00DD69E7">
        <w:trPr>
          <w:trHeight w:hRule="exact" w:val="241"/>
        </w:trPr>
        <w:tc>
          <w:tcPr>
            <w:tcW w:w="1814" w:type="pct"/>
            <w:vAlign w:val="bottom"/>
          </w:tcPr>
          <w:p w14:paraId="1490362B"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shd w:val="clear" w:color="auto" w:fill="auto"/>
            <w:vAlign w:val="bottom"/>
          </w:tcPr>
          <w:p w14:paraId="7B7ACE2F"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5,309 </w:t>
            </w:r>
          </w:p>
        </w:tc>
        <w:tc>
          <w:tcPr>
            <w:tcW w:w="650" w:type="pct"/>
            <w:shd w:val="clear" w:color="auto" w:fill="auto"/>
            <w:vAlign w:val="bottom"/>
          </w:tcPr>
          <w:p w14:paraId="3144D49D"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(5,309)</w:t>
            </w:r>
          </w:p>
        </w:tc>
        <w:tc>
          <w:tcPr>
            <w:tcW w:w="643" w:type="pct"/>
            <w:shd w:val="clear" w:color="auto" w:fill="auto"/>
            <w:vAlign w:val="bottom"/>
          </w:tcPr>
          <w:p w14:paraId="389D6879"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c>
          <w:tcPr>
            <w:tcW w:w="605" w:type="pct"/>
            <w:shd w:val="clear" w:color="auto" w:fill="auto"/>
            <w:vAlign w:val="bottom"/>
          </w:tcPr>
          <w:p w14:paraId="09BDB0D8"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c>
          <w:tcPr>
            <w:tcW w:w="638" w:type="pct"/>
            <w:shd w:val="clear" w:color="auto" w:fill="auto"/>
            <w:vAlign w:val="bottom"/>
          </w:tcPr>
          <w:p w14:paraId="4D35FB80"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r>
      <w:tr w:rsidR="00587444" w:rsidRPr="00587444" w14:paraId="67D789B0" w14:textId="77777777" w:rsidTr="00DD69E7">
        <w:trPr>
          <w:trHeight w:hRule="exact" w:val="241"/>
        </w:trPr>
        <w:tc>
          <w:tcPr>
            <w:tcW w:w="1814" w:type="pct"/>
            <w:vAlign w:val="bottom"/>
          </w:tcPr>
          <w:p w14:paraId="76922B48"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shd w:val="clear" w:color="auto" w:fill="auto"/>
            <w:vAlign w:val="bottom"/>
          </w:tcPr>
          <w:p w14:paraId="609363E3"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(261)</w:t>
            </w:r>
          </w:p>
        </w:tc>
        <w:tc>
          <w:tcPr>
            <w:tcW w:w="650" w:type="pct"/>
            <w:shd w:val="clear" w:color="auto" w:fill="auto"/>
            <w:vAlign w:val="bottom"/>
          </w:tcPr>
          <w:p w14:paraId="116BE9B0"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261 </w:t>
            </w:r>
          </w:p>
        </w:tc>
        <w:tc>
          <w:tcPr>
            <w:tcW w:w="643" w:type="pct"/>
            <w:shd w:val="clear" w:color="auto" w:fill="auto"/>
            <w:vAlign w:val="bottom"/>
          </w:tcPr>
          <w:p w14:paraId="73F0BFD4"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c>
          <w:tcPr>
            <w:tcW w:w="605" w:type="pct"/>
            <w:shd w:val="clear" w:color="auto" w:fill="auto"/>
            <w:vAlign w:val="bottom"/>
          </w:tcPr>
          <w:p w14:paraId="75FC1F60"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c>
          <w:tcPr>
            <w:tcW w:w="638" w:type="pct"/>
            <w:shd w:val="clear" w:color="auto" w:fill="auto"/>
            <w:vAlign w:val="bottom"/>
          </w:tcPr>
          <w:p w14:paraId="644C8D59"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r>
      <w:tr w:rsidR="00587444" w:rsidRPr="00587444" w14:paraId="28E9F489" w14:textId="77777777" w:rsidTr="00DD69E7">
        <w:trPr>
          <w:trHeight w:hRule="exact" w:val="241"/>
        </w:trPr>
        <w:tc>
          <w:tcPr>
            <w:tcW w:w="1814" w:type="pct"/>
            <w:vAlign w:val="bottom"/>
          </w:tcPr>
          <w:p w14:paraId="52CA1687"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shd w:val="clear" w:color="auto" w:fill="auto"/>
            <w:vAlign w:val="bottom"/>
          </w:tcPr>
          <w:p w14:paraId="2DCF20F8"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c>
          <w:tcPr>
            <w:tcW w:w="650" w:type="pct"/>
            <w:shd w:val="clear" w:color="auto" w:fill="auto"/>
            <w:vAlign w:val="bottom"/>
          </w:tcPr>
          <w:p w14:paraId="7E30A175"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(1)</w:t>
            </w:r>
          </w:p>
        </w:tc>
        <w:tc>
          <w:tcPr>
            <w:tcW w:w="643" w:type="pct"/>
            <w:shd w:val="clear" w:color="auto" w:fill="auto"/>
            <w:vAlign w:val="bottom"/>
          </w:tcPr>
          <w:p w14:paraId="2AAEFDC4"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1 </w:t>
            </w:r>
          </w:p>
        </w:tc>
        <w:tc>
          <w:tcPr>
            <w:tcW w:w="605" w:type="pct"/>
            <w:shd w:val="clear" w:color="auto" w:fill="auto"/>
            <w:vAlign w:val="bottom"/>
          </w:tcPr>
          <w:p w14:paraId="164A1036"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c>
          <w:tcPr>
            <w:tcW w:w="638" w:type="pct"/>
            <w:shd w:val="clear" w:color="auto" w:fill="auto"/>
            <w:vAlign w:val="bottom"/>
          </w:tcPr>
          <w:p w14:paraId="325CB073"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 </w:t>
            </w:r>
          </w:p>
        </w:tc>
      </w:tr>
      <w:tr w:rsidR="00587444" w:rsidRPr="00587444" w14:paraId="0126F2E4" w14:textId="77777777" w:rsidTr="00DD69E7">
        <w:trPr>
          <w:trHeight w:hRule="exact" w:val="440"/>
        </w:trPr>
        <w:tc>
          <w:tcPr>
            <w:tcW w:w="1814" w:type="pct"/>
            <w:vAlign w:val="bottom"/>
          </w:tcPr>
          <w:p w14:paraId="3256ED8F"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(release)/increase</w:t>
            </w:r>
          </w:p>
          <w:p w14:paraId="4BE44CDB"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of loss allowance</w:t>
            </w:r>
          </w:p>
        </w:tc>
        <w:tc>
          <w:tcPr>
            <w:tcW w:w="650" w:type="pct"/>
            <w:shd w:val="clear" w:color="auto" w:fill="auto"/>
            <w:vAlign w:val="bottom"/>
          </w:tcPr>
          <w:p w14:paraId="10655975"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(2,968)</w:t>
            </w:r>
          </w:p>
        </w:tc>
        <w:tc>
          <w:tcPr>
            <w:tcW w:w="650" w:type="pct"/>
            <w:shd w:val="clear" w:color="auto" w:fill="auto"/>
            <w:vAlign w:val="bottom"/>
          </w:tcPr>
          <w:p w14:paraId="1B25A690"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19,778 </w:t>
            </w:r>
          </w:p>
        </w:tc>
        <w:tc>
          <w:tcPr>
            <w:tcW w:w="643" w:type="pct"/>
            <w:shd w:val="clear" w:color="auto" w:fill="auto"/>
            <w:vAlign w:val="bottom"/>
          </w:tcPr>
          <w:p w14:paraId="0E73999D"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63,447 </w:t>
            </w:r>
          </w:p>
        </w:tc>
        <w:tc>
          <w:tcPr>
            <w:tcW w:w="605" w:type="pct"/>
            <w:shd w:val="clear" w:color="auto" w:fill="auto"/>
            <w:vAlign w:val="bottom"/>
          </w:tcPr>
          <w:p w14:paraId="03D8D177"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2,045 </w:t>
            </w:r>
          </w:p>
        </w:tc>
        <w:tc>
          <w:tcPr>
            <w:tcW w:w="638" w:type="pct"/>
            <w:shd w:val="clear" w:color="auto" w:fill="auto"/>
            <w:vAlign w:val="bottom"/>
          </w:tcPr>
          <w:p w14:paraId="2FE862E7"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82,302 </w:t>
            </w:r>
          </w:p>
        </w:tc>
      </w:tr>
      <w:tr w:rsidR="00587444" w:rsidRPr="00587444" w14:paraId="1C85EB76" w14:textId="77777777" w:rsidTr="00DD69E7">
        <w:trPr>
          <w:trHeight w:val="284"/>
        </w:trPr>
        <w:tc>
          <w:tcPr>
            <w:tcW w:w="1814" w:type="pct"/>
            <w:vAlign w:val="bottom"/>
          </w:tcPr>
          <w:p w14:paraId="4E40C66E" w14:textId="77777777" w:rsidR="00587444" w:rsidRPr="00587444" w:rsidRDefault="00587444" w:rsidP="00587444">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w:t>
            </w:r>
            <w:r w:rsidRPr="00587444" w:rsidDel="006E762B">
              <w:rPr>
                <w:rFonts w:ascii="Arial" w:eastAsia="Calibri" w:hAnsi="Arial" w:cs="Arial"/>
                <w:sz w:val="18"/>
                <w:szCs w:val="18"/>
                <w:lang w:val="en-GB"/>
              </w:rPr>
              <w:t xml:space="preserve"> </w:t>
            </w:r>
            <w:r w:rsidRPr="00587444">
              <w:rPr>
                <w:rFonts w:ascii="Arial" w:eastAsia="Calibri" w:hAnsi="Arial" w:cs="Arial"/>
                <w:sz w:val="18"/>
                <w:szCs w:val="18"/>
                <w:lang w:val="en-GB"/>
              </w:rPr>
              <w:t>on loss allowances</w:t>
            </w:r>
          </w:p>
        </w:tc>
        <w:tc>
          <w:tcPr>
            <w:tcW w:w="650" w:type="pct"/>
            <w:tcBorders>
              <w:top w:val="nil"/>
              <w:left w:val="nil"/>
              <w:bottom w:val="single" w:sz="8" w:space="0" w:color="auto"/>
              <w:right w:val="nil"/>
            </w:tcBorders>
            <w:shd w:val="clear" w:color="auto" w:fill="auto"/>
            <w:vAlign w:val="bottom"/>
          </w:tcPr>
          <w:p w14:paraId="26094D3E"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(87)</w:t>
            </w:r>
          </w:p>
        </w:tc>
        <w:tc>
          <w:tcPr>
            <w:tcW w:w="650" w:type="pct"/>
            <w:tcBorders>
              <w:top w:val="nil"/>
              <w:left w:val="nil"/>
              <w:bottom w:val="single" w:sz="8" w:space="0" w:color="auto"/>
              <w:right w:val="nil"/>
            </w:tcBorders>
            <w:shd w:val="clear" w:color="auto" w:fill="auto"/>
            <w:vAlign w:val="bottom"/>
          </w:tcPr>
          <w:p w14:paraId="4DE51C50"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4 </w:t>
            </w:r>
          </w:p>
        </w:tc>
        <w:tc>
          <w:tcPr>
            <w:tcW w:w="643" w:type="pct"/>
            <w:tcBorders>
              <w:top w:val="nil"/>
              <w:left w:val="nil"/>
              <w:bottom w:val="single" w:sz="8" w:space="0" w:color="auto"/>
              <w:right w:val="nil"/>
            </w:tcBorders>
            <w:shd w:val="clear" w:color="auto" w:fill="auto"/>
            <w:vAlign w:val="bottom"/>
          </w:tcPr>
          <w:p w14:paraId="697C0C44"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1,806 </w:t>
            </w:r>
          </w:p>
        </w:tc>
        <w:tc>
          <w:tcPr>
            <w:tcW w:w="605" w:type="pct"/>
            <w:tcBorders>
              <w:top w:val="nil"/>
              <w:left w:val="nil"/>
              <w:bottom w:val="single" w:sz="8" w:space="0" w:color="auto"/>
              <w:right w:val="nil"/>
            </w:tcBorders>
            <w:shd w:val="clear" w:color="auto" w:fill="auto"/>
            <w:vAlign w:val="bottom"/>
          </w:tcPr>
          <w:p w14:paraId="56EF796C"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6 </w:t>
            </w:r>
          </w:p>
        </w:tc>
        <w:tc>
          <w:tcPr>
            <w:tcW w:w="638" w:type="pct"/>
            <w:tcBorders>
              <w:top w:val="nil"/>
              <w:left w:val="nil"/>
              <w:bottom w:val="single" w:sz="8" w:space="0" w:color="auto"/>
              <w:right w:val="nil"/>
            </w:tcBorders>
            <w:shd w:val="clear" w:color="auto" w:fill="auto"/>
            <w:vAlign w:val="bottom"/>
          </w:tcPr>
          <w:p w14:paraId="3C121394" w14:textId="77777777" w:rsidR="00587444" w:rsidRPr="00587444" w:rsidRDefault="00587444" w:rsidP="00587444">
            <w:pPr>
              <w:suppressAutoHyphens w:val="0"/>
              <w:autoSpaceDN/>
              <w:jc w:val="right"/>
              <w:rPr>
                <w:rFonts w:ascii="Arial" w:hAnsi="Arial" w:cs="Arial"/>
                <w:sz w:val="18"/>
                <w:szCs w:val="18"/>
                <w:lang w:val="en-GB"/>
              </w:rPr>
            </w:pPr>
            <w:r w:rsidRPr="00587444">
              <w:rPr>
                <w:rFonts w:ascii="Arial" w:hAnsi="Arial" w:cs="Arial"/>
                <w:sz w:val="18"/>
                <w:szCs w:val="18"/>
              </w:rPr>
              <w:t xml:space="preserve"> 1,729 </w:t>
            </w:r>
          </w:p>
        </w:tc>
      </w:tr>
      <w:tr w:rsidR="00587444" w:rsidRPr="00587444" w14:paraId="557C3659" w14:textId="77777777" w:rsidTr="00DD69E7">
        <w:trPr>
          <w:trHeight w:val="37"/>
        </w:trPr>
        <w:tc>
          <w:tcPr>
            <w:tcW w:w="1814" w:type="pct"/>
            <w:vAlign w:val="bottom"/>
          </w:tcPr>
          <w:p w14:paraId="58A6C769" w14:textId="77777777" w:rsidR="00587444" w:rsidRPr="00587444" w:rsidRDefault="00587444" w:rsidP="00587444">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 xml:space="preserve">Balance </w:t>
            </w:r>
            <w:proofErr w:type="gramStart"/>
            <w:r w:rsidRPr="00587444">
              <w:rPr>
                <w:rFonts w:ascii="Arial" w:eastAsia="Calibri" w:hAnsi="Arial" w:cs="Arial"/>
                <w:b/>
                <w:bCs/>
                <w:sz w:val="18"/>
                <w:szCs w:val="18"/>
                <w:lang w:val="en-GB"/>
              </w:rPr>
              <w:t>at</w:t>
            </w:r>
            <w:proofErr w:type="gramEnd"/>
            <w:r w:rsidRPr="00587444">
              <w:rPr>
                <w:rFonts w:ascii="Arial" w:eastAsia="Calibri" w:hAnsi="Arial" w:cs="Arial"/>
                <w:b/>
                <w:bCs/>
                <w:sz w:val="18"/>
                <w:szCs w:val="18"/>
                <w:lang w:val="en-GB"/>
              </w:rPr>
              <w:t xml:space="preserve"> 31 December 2021</w:t>
            </w:r>
          </w:p>
        </w:tc>
        <w:tc>
          <w:tcPr>
            <w:tcW w:w="650" w:type="pct"/>
            <w:tcBorders>
              <w:top w:val="nil"/>
              <w:left w:val="nil"/>
              <w:bottom w:val="single" w:sz="12" w:space="0" w:color="auto"/>
              <w:right w:val="nil"/>
            </w:tcBorders>
            <w:shd w:val="clear" w:color="auto" w:fill="auto"/>
            <w:vAlign w:val="bottom"/>
          </w:tcPr>
          <w:p w14:paraId="113CF42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sz w:val="18"/>
                <w:szCs w:val="18"/>
                <w:lang w:val="en-GB"/>
              </w:rPr>
            </w:pPr>
            <w:r w:rsidRPr="00587444">
              <w:rPr>
                <w:rFonts w:ascii="Arial" w:hAnsi="Arial" w:cs="Arial"/>
                <w:b/>
                <w:bCs/>
                <w:sz w:val="18"/>
                <w:szCs w:val="18"/>
              </w:rPr>
              <w:t xml:space="preserve"> 10,652 </w:t>
            </w:r>
          </w:p>
        </w:tc>
        <w:tc>
          <w:tcPr>
            <w:tcW w:w="650" w:type="pct"/>
            <w:tcBorders>
              <w:top w:val="nil"/>
              <w:left w:val="nil"/>
              <w:bottom w:val="single" w:sz="12" w:space="0" w:color="auto"/>
              <w:right w:val="nil"/>
            </w:tcBorders>
            <w:shd w:val="clear" w:color="auto" w:fill="auto"/>
            <w:vAlign w:val="bottom"/>
          </w:tcPr>
          <w:p w14:paraId="6A6FD41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sz w:val="18"/>
                <w:szCs w:val="18"/>
                <w:lang w:val="en-GB"/>
              </w:rPr>
            </w:pPr>
            <w:r w:rsidRPr="00587444">
              <w:rPr>
                <w:rFonts w:ascii="Arial" w:hAnsi="Arial" w:cs="Arial"/>
                <w:b/>
                <w:bCs/>
                <w:sz w:val="18"/>
                <w:szCs w:val="18"/>
              </w:rPr>
              <w:t xml:space="preserve"> 26,256 </w:t>
            </w:r>
          </w:p>
        </w:tc>
        <w:tc>
          <w:tcPr>
            <w:tcW w:w="643" w:type="pct"/>
            <w:tcBorders>
              <w:top w:val="nil"/>
              <w:left w:val="nil"/>
              <w:bottom w:val="single" w:sz="12" w:space="0" w:color="auto"/>
              <w:right w:val="nil"/>
            </w:tcBorders>
            <w:shd w:val="clear" w:color="auto" w:fill="auto"/>
            <w:vAlign w:val="bottom"/>
          </w:tcPr>
          <w:p w14:paraId="5F2922B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sz w:val="18"/>
                <w:szCs w:val="18"/>
                <w:lang w:val="en-GB"/>
              </w:rPr>
            </w:pPr>
            <w:r w:rsidRPr="00587444">
              <w:rPr>
                <w:rFonts w:ascii="Arial" w:hAnsi="Arial" w:cs="Arial"/>
                <w:b/>
                <w:bCs/>
                <w:sz w:val="18"/>
                <w:szCs w:val="18"/>
              </w:rPr>
              <w:t xml:space="preserve"> 82,779 </w:t>
            </w:r>
          </w:p>
        </w:tc>
        <w:tc>
          <w:tcPr>
            <w:tcW w:w="605" w:type="pct"/>
            <w:tcBorders>
              <w:top w:val="nil"/>
              <w:left w:val="nil"/>
              <w:bottom w:val="single" w:sz="12" w:space="0" w:color="auto"/>
              <w:right w:val="nil"/>
            </w:tcBorders>
            <w:shd w:val="clear" w:color="auto" w:fill="auto"/>
            <w:vAlign w:val="bottom"/>
          </w:tcPr>
          <w:p w14:paraId="4826B46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sz w:val="18"/>
                <w:szCs w:val="18"/>
                <w:lang w:val="en-GB"/>
              </w:rPr>
            </w:pPr>
            <w:r w:rsidRPr="00587444">
              <w:rPr>
                <w:rFonts w:ascii="Arial" w:hAnsi="Arial" w:cs="Arial"/>
                <w:b/>
                <w:bCs/>
                <w:sz w:val="18"/>
                <w:szCs w:val="18"/>
              </w:rPr>
              <w:t xml:space="preserve"> 9,900 </w:t>
            </w:r>
          </w:p>
        </w:tc>
        <w:tc>
          <w:tcPr>
            <w:tcW w:w="638" w:type="pct"/>
            <w:tcBorders>
              <w:top w:val="nil"/>
              <w:left w:val="nil"/>
              <w:bottom w:val="single" w:sz="12" w:space="0" w:color="auto"/>
              <w:right w:val="nil"/>
            </w:tcBorders>
            <w:shd w:val="clear" w:color="auto" w:fill="auto"/>
            <w:vAlign w:val="bottom"/>
          </w:tcPr>
          <w:p w14:paraId="0FE4BEE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sz w:val="18"/>
                <w:szCs w:val="18"/>
                <w:lang w:val="en-GB"/>
              </w:rPr>
            </w:pPr>
            <w:r w:rsidRPr="00587444">
              <w:rPr>
                <w:rFonts w:ascii="Arial" w:hAnsi="Arial" w:cs="Arial"/>
                <w:b/>
                <w:bCs/>
                <w:sz w:val="18"/>
                <w:szCs w:val="18"/>
              </w:rPr>
              <w:t xml:space="preserve"> 129,587 </w:t>
            </w:r>
          </w:p>
        </w:tc>
      </w:tr>
    </w:tbl>
    <w:p w14:paraId="193DE866" w14:textId="77777777" w:rsidR="00587444" w:rsidRPr="00587444" w:rsidRDefault="00587444" w:rsidP="00587444">
      <w:pPr>
        <w:suppressAutoHyphens w:val="0"/>
        <w:autoSpaceDN/>
        <w:rPr>
          <w:rFonts w:ascii="Arial" w:hAnsi="Arial" w:cs="Arial"/>
          <w:b/>
          <w:sz w:val="20"/>
          <w:szCs w:val="20"/>
          <w:lang w:val="en-GB"/>
        </w:rPr>
      </w:pPr>
    </w:p>
    <w:p w14:paraId="77095264" w14:textId="77777777" w:rsidR="00587444" w:rsidRPr="00587444" w:rsidRDefault="00587444" w:rsidP="00587444">
      <w:pPr>
        <w:suppressAutoHyphens w:val="0"/>
        <w:autoSpaceDN/>
        <w:jc w:val="both"/>
        <w:rPr>
          <w:rFonts w:ascii="Arial" w:hAnsi="Arial" w:cs="Arial"/>
          <w:b/>
          <w:bCs/>
          <w:sz w:val="20"/>
          <w:szCs w:val="20"/>
          <w:lang w:val="en-GB"/>
        </w:rPr>
      </w:pPr>
    </w:p>
    <w:p w14:paraId="3BAAAF27"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D69E7">
          <w:pgSz w:w="11907" w:h="16840" w:code="9"/>
          <w:pgMar w:top="1418" w:right="1134" w:bottom="1134" w:left="1418" w:header="851" w:footer="851" w:gutter="0"/>
          <w:cols w:space="720"/>
          <w:noEndnote/>
        </w:sectPr>
      </w:pPr>
    </w:p>
    <w:p w14:paraId="1E0E4981" w14:textId="77777777" w:rsidR="00587444" w:rsidRPr="00587444" w:rsidRDefault="00587444" w:rsidP="00587444">
      <w:pPr>
        <w:suppressAutoHyphens w:val="0"/>
        <w:autoSpaceDN/>
        <w:jc w:val="both"/>
        <w:rPr>
          <w:rFonts w:ascii="Arial" w:hAnsi="Arial" w:cs="Arial"/>
          <w:sz w:val="20"/>
          <w:szCs w:val="20"/>
          <w:lang w:val="en-GB"/>
        </w:rPr>
      </w:pPr>
    </w:p>
    <w:p w14:paraId="2526A7A4"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6FA06E2" w14:textId="77777777" w:rsidR="00587444" w:rsidRPr="00587444" w:rsidRDefault="00587444" w:rsidP="00587444">
      <w:pPr>
        <w:suppressAutoHyphens w:val="0"/>
        <w:autoSpaceDN/>
        <w:jc w:val="both"/>
        <w:rPr>
          <w:rFonts w:ascii="Arial" w:hAnsi="Arial" w:cs="Arial"/>
          <w:b/>
          <w:sz w:val="20"/>
          <w:szCs w:val="20"/>
          <w:lang w:val="en-GB"/>
        </w:rPr>
      </w:pPr>
    </w:p>
    <w:p w14:paraId="50E6F0CE"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31.4. </w:t>
      </w:r>
      <w:r w:rsidRPr="00587444">
        <w:rPr>
          <w:rFonts w:ascii="Arial" w:hAnsi="Arial" w:cs="Arial"/>
          <w:b/>
          <w:sz w:val="20"/>
          <w:szCs w:val="20"/>
          <w:lang w:val="en-GB"/>
        </w:rPr>
        <w:tab/>
        <w:t xml:space="preserve">Liquidity risk </w:t>
      </w:r>
    </w:p>
    <w:p w14:paraId="46B0ED78" w14:textId="77777777" w:rsidR="00587444" w:rsidRPr="00587444" w:rsidRDefault="00587444" w:rsidP="00587444">
      <w:pPr>
        <w:suppressAutoHyphens w:val="0"/>
        <w:autoSpaceDN/>
        <w:jc w:val="both"/>
        <w:rPr>
          <w:rFonts w:ascii="Arial" w:hAnsi="Arial" w:cs="Arial"/>
          <w:b/>
          <w:sz w:val="20"/>
          <w:szCs w:val="20"/>
          <w:lang w:val="en-GB"/>
        </w:rPr>
      </w:pPr>
    </w:p>
    <w:p w14:paraId="0C92FE3F" w14:textId="77777777" w:rsidR="00587444" w:rsidRPr="00587444" w:rsidRDefault="00587444" w:rsidP="007B030C">
      <w:pPr>
        <w:autoSpaceDN/>
        <w:spacing w:after="120"/>
        <w:jc w:val="both"/>
        <w:rPr>
          <w:rFonts w:ascii="Arial" w:hAnsi="Arial" w:cs="Arial"/>
          <w:bCs/>
          <w:sz w:val="20"/>
          <w:szCs w:val="20"/>
          <w:lang w:val="en-GB"/>
        </w:rPr>
      </w:pPr>
      <w:r w:rsidRPr="00587444">
        <w:rPr>
          <w:rFonts w:ascii="Arial" w:hAnsi="Arial" w:cs="Arial"/>
          <w:bCs/>
          <w:sz w:val="20"/>
          <w:szCs w:val="20"/>
          <w:lang w:val="en-GB"/>
        </w:rPr>
        <w:t>The table below provides an analysis of total assets, total liabilities and total guarantees and commitments as of 31 December 2022 and 31 December 2021 placed into relevant maturity groupings based on the remaining period as at the Statement of Financial Position date related to the contractual maturity date, as follows:</w:t>
      </w:r>
    </w:p>
    <w:p w14:paraId="7E306EB4" w14:textId="77777777" w:rsidR="00587444" w:rsidRPr="00587444" w:rsidRDefault="00587444" w:rsidP="00587444">
      <w:pPr>
        <w:suppressAutoHyphens w:val="0"/>
        <w:autoSpaceDN/>
        <w:spacing w:after="120"/>
        <w:jc w:val="both"/>
        <w:rPr>
          <w:rFonts w:ascii="Arial" w:hAnsi="Arial" w:cs="Arial"/>
          <w:bCs/>
          <w:sz w:val="20"/>
          <w:szCs w:val="20"/>
          <w:lang w:val="en-GB"/>
        </w:rPr>
      </w:pPr>
    </w:p>
    <w:tbl>
      <w:tblPr>
        <w:tblW w:w="5549" w:type="pct"/>
        <w:tblInd w:w="-426" w:type="dxa"/>
        <w:tblLayout w:type="fixed"/>
        <w:tblCellMar>
          <w:left w:w="120" w:type="dxa"/>
          <w:right w:w="120" w:type="dxa"/>
        </w:tblCellMar>
        <w:tblLook w:val="0000" w:firstRow="0" w:lastRow="0" w:firstColumn="0" w:lastColumn="0" w:noHBand="0" w:noVBand="0"/>
      </w:tblPr>
      <w:tblGrid>
        <w:gridCol w:w="3764"/>
        <w:gridCol w:w="1146"/>
        <w:gridCol w:w="1152"/>
        <w:gridCol w:w="1154"/>
        <w:gridCol w:w="1152"/>
        <w:gridCol w:w="1154"/>
        <w:gridCol w:w="1127"/>
      </w:tblGrid>
      <w:tr w:rsidR="00587444" w:rsidRPr="00587444" w14:paraId="4FA9E5AB" w14:textId="77777777" w:rsidTr="00DD69E7">
        <w:trPr>
          <w:trHeight w:hRule="exact" w:val="475"/>
        </w:trPr>
        <w:tc>
          <w:tcPr>
            <w:tcW w:w="1767" w:type="pct"/>
            <w:vAlign w:val="bottom"/>
          </w:tcPr>
          <w:p w14:paraId="2313FBF5" w14:textId="77777777"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bookmarkStart w:id="1154" w:name="_Toc4061939"/>
            <w:r w:rsidRPr="00587444">
              <w:rPr>
                <w:rFonts w:ascii="Arial" w:hAnsi="Arial" w:cs="Arial"/>
                <w:b/>
                <w:sz w:val="17"/>
                <w:szCs w:val="17"/>
              </w:rPr>
              <w:t>Group</w:t>
            </w:r>
            <w:bookmarkEnd w:id="1154"/>
          </w:p>
          <w:p w14:paraId="50B5B68D" w14:textId="77777777"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bookmarkStart w:id="1155" w:name="_Toc4061940"/>
            <w:r w:rsidRPr="00587444">
              <w:rPr>
                <w:rFonts w:ascii="Arial" w:hAnsi="Arial" w:cs="Arial"/>
                <w:b/>
                <w:sz w:val="17"/>
                <w:szCs w:val="17"/>
              </w:rPr>
              <w:t>31 December 202</w:t>
            </w:r>
            <w:bookmarkEnd w:id="1155"/>
            <w:r w:rsidRPr="00587444">
              <w:rPr>
                <w:rFonts w:ascii="Arial" w:hAnsi="Arial" w:cs="Arial"/>
                <w:b/>
                <w:sz w:val="17"/>
                <w:szCs w:val="17"/>
              </w:rPr>
              <w:t>2</w:t>
            </w:r>
          </w:p>
        </w:tc>
        <w:tc>
          <w:tcPr>
            <w:tcW w:w="538" w:type="pct"/>
          </w:tcPr>
          <w:p w14:paraId="6629232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156" w:name="_Toc4061941"/>
            <w:r w:rsidRPr="00587444">
              <w:rPr>
                <w:rFonts w:ascii="Arial" w:hAnsi="Arial" w:cs="Arial"/>
                <w:b/>
                <w:sz w:val="17"/>
                <w:szCs w:val="17"/>
              </w:rPr>
              <w:t>Up to 1</w:t>
            </w:r>
            <w:bookmarkEnd w:id="1156"/>
            <w:r w:rsidRPr="00587444">
              <w:rPr>
                <w:rFonts w:ascii="Arial" w:hAnsi="Arial" w:cs="Arial"/>
                <w:b/>
                <w:sz w:val="17"/>
                <w:szCs w:val="17"/>
              </w:rPr>
              <w:t xml:space="preserve"> </w:t>
            </w:r>
          </w:p>
          <w:p w14:paraId="53375B0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157" w:name="_Toc4061942"/>
            <w:r w:rsidRPr="00587444">
              <w:rPr>
                <w:rFonts w:ascii="Arial" w:hAnsi="Arial" w:cs="Arial"/>
                <w:b/>
                <w:sz w:val="17"/>
                <w:szCs w:val="17"/>
              </w:rPr>
              <w:t>month</w:t>
            </w:r>
            <w:bookmarkEnd w:id="1157"/>
          </w:p>
        </w:tc>
        <w:tc>
          <w:tcPr>
            <w:tcW w:w="541" w:type="pct"/>
          </w:tcPr>
          <w:p w14:paraId="0DABE1A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158" w:name="_Toc4061943"/>
            <w:r w:rsidRPr="00587444">
              <w:rPr>
                <w:rFonts w:ascii="Arial" w:hAnsi="Arial" w:cs="Arial"/>
                <w:b/>
                <w:sz w:val="17"/>
                <w:szCs w:val="17"/>
              </w:rPr>
              <w:t>1 to 3 months</w:t>
            </w:r>
            <w:bookmarkEnd w:id="1158"/>
            <w:r w:rsidRPr="00587444">
              <w:rPr>
                <w:rFonts w:ascii="Arial" w:hAnsi="Arial" w:cs="Arial"/>
                <w:b/>
                <w:sz w:val="17"/>
                <w:szCs w:val="17"/>
              </w:rPr>
              <w:t xml:space="preserve"> </w:t>
            </w:r>
          </w:p>
        </w:tc>
        <w:tc>
          <w:tcPr>
            <w:tcW w:w="542" w:type="pct"/>
          </w:tcPr>
          <w:p w14:paraId="15FD844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159" w:name="_Toc4061944"/>
            <w:r w:rsidRPr="00587444">
              <w:rPr>
                <w:rFonts w:ascii="Arial" w:hAnsi="Arial" w:cs="Arial"/>
                <w:b/>
                <w:sz w:val="17"/>
                <w:szCs w:val="17"/>
              </w:rPr>
              <w:t>3 months to 1 year</w:t>
            </w:r>
            <w:bookmarkEnd w:id="1159"/>
            <w:r w:rsidRPr="00587444">
              <w:rPr>
                <w:rFonts w:ascii="Arial" w:hAnsi="Arial" w:cs="Arial"/>
                <w:b/>
                <w:sz w:val="17"/>
                <w:szCs w:val="17"/>
              </w:rPr>
              <w:t xml:space="preserve"> </w:t>
            </w:r>
          </w:p>
        </w:tc>
        <w:tc>
          <w:tcPr>
            <w:tcW w:w="541" w:type="pct"/>
          </w:tcPr>
          <w:p w14:paraId="39C8C79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160" w:name="_Toc4061945"/>
            <w:r w:rsidRPr="00587444">
              <w:rPr>
                <w:rFonts w:ascii="Arial" w:hAnsi="Arial" w:cs="Arial"/>
                <w:b/>
                <w:sz w:val="17"/>
                <w:szCs w:val="17"/>
              </w:rPr>
              <w:t>1 to 3</w:t>
            </w:r>
            <w:bookmarkEnd w:id="1160"/>
          </w:p>
          <w:p w14:paraId="669D312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161" w:name="_Toc4061946"/>
            <w:r w:rsidRPr="00587444">
              <w:rPr>
                <w:rFonts w:ascii="Arial" w:hAnsi="Arial" w:cs="Arial"/>
                <w:b/>
                <w:sz w:val="17"/>
                <w:szCs w:val="17"/>
              </w:rPr>
              <w:t>years</w:t>
            </w:r>
            <w:bookmarkEnd w:id="1161"/>
          </w:p>
        </w:tc>
        <w:tc>
          <w:tcPr>
            <w:tcW w:w="542" w:type="pct"/>
          </w:tcPr>
          <w:p w14:paraId="3774CFA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162" w:name="_Toc4061947"/>
            <w:r w:rsidRPr="00587444">
              <w:rPr>
                <w:rFonts w:ascii="Arial" w:hAnsi="Arial" w:cs="Arial"/>
                <w:b/>
                <w:sz w:val="17"/>
                <w:szCs w:val="17"/>
              </w:rPr>
              <w:t>Over 3</w:t>
            </w:r>
            <w:bookmarkEnd w:id="1162"/>
            <w:r w:rsidRPr="00587444">
              <w:rPr>
                <w:rFonts w:ascii="Arial" w:hAnsi="Arial" w:cs="Arial"/>
                <w:b/>
                <w:sz w:val="17"/>
                <w:szCs w:val="17"/>
              </w:rPr>
              <w:t xml:space="preserve"> </w:t>
            </w:r>
          </w:p>
          <w:p w14:paraId="174F5C5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163" w:name="_Toc4061948"/>
            <w:r w:rsidRPr="00587444">
              <w:rPr>
                <w:rFonts w:ascii="Arial" w:hAnsi="Arial" w:cs="Arial"/>
                <w:b/>
                <w:sz w:val="17"/>
                <w:szCs w:val="17"/>
              </w:rPr>
              <w:t>years</w:t>
            </w:r>
            <w:bookmarkEnd w:id="1163"/>
          </w:p>
        </w:tc>
        <w:tc>
          <w:tcPr>
            <w:tcW w:w="529" w:type="pct"/>
          </w:tcPr>
          <w:p w14:paraId="5A96363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164" w:name="_Toc4061949"/>
            <w:r w:rsidRPr="00587444">
              <w:rPr>
                <w:rFonts w:ascii="Arial" w:hAnsi="Arial" w:cs="Arial"/>
                <w:b/>
                <w:sz w:val="17"/>
                <w:szCs w:val="17"/>
              </w:rPr>
              <w:t>Total</w:t>
            </w:r>
            <w:bookmarkEnd w:id="1164"/>
            <w:r w:rsidRPr="00587444">
              <w:rPr>
                <w:rFonts w:ascii="Arial" w:hAnsi="Arial" w:cs="Arial"/>
                <w:b/>
                <w:sz w:val="17"/>
                <w:szCs w:val="17"/>
              </w:rPr>
              <w:t xml:space="preserve"> </w:t>
            </w:r>
          </w:p>
        </w:tc>
      </w:tr>
      <w:tr w:rsidR="00587444" w:rsidRPr="00587444" w14:paraId="55BCA320" w14:textId="77777777" w:rsidTr="00DD69E7">
        <w:trPr>
          <w:trHeight w:hRule="exact" w:val="270"/>
        </w:trPr>
        <w:tc>
          <w:tcPr>
            <w:tcW w:w="1767" w:type="pct"/>
          </w:tcPr>
          <w:p w14:paraId="43DCB23A" w14:textId="77777777"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p>
        </w:tc>
        <w:tc>
          <w:tcPr>
            <w:tcW w:w="538" w:type="pct"/>
          </w:tcPr>
          <w:p w14:paraId="04AE448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165" w:name="_Toc4061950"/>
            <w:r w:rsidRPr="00587444">
              <w:rPr>
                <w:rFonts w:ascii="Arial" w:hAnsi="Arial" w:cs="Arial"/>
                <w:b/>
                <w:sz w:val="17"/>
                <w:szCs w:val="17"/>
              </w:rPr>
              <w:t>HRK ‘000</w:t>
            </w:r>
            <w:bookmarkEnd w:id="1165"/>
          </w:p>
        </w:tc>
        <w:tc>
          <w:tcPr>
            <w:tcW w:w="541" w:type="pct"/>
          </w:tcPr>
          <w:p w14:paraId="2C86856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166" w:name="_Toc4061951"/>
            <w:r w:rsidRPr="00587444">
              <w:rPr>
                <w:rFonts w:ascii="Arial" w:hAnsi="Arial" w:cs="Arial"/>
                <w:b/>
                <w:sz w:val="17"/>
                <w:szCs w:val="17"/>
              </w:rPr>
              <w:t>HRK ‘000</w:t>
            </w:r>
            <w:bookmarkEnd w:id="1166"/>
          </w:p>
        </w:tc>
        <w:tc>
          <w:tcPr>
            <w:tcW w:w="542" w:type="pct"/>
          </w:tcPr>
          <w:p w14:paraId="3FB9261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167" w:name="_Toc4061952"/>
            <w:r w:rsidRPr="00587444">
              <w:rPr>
                <w:rFonts w:ascii="Arial" w:hAnsi="Arial" w:cs="Arial"/>
                <w:b/>
                <w:sz w:val="17"/>
                <w:szCs w:val="17"/>
              </w:rPr>
              <w:t>HRK ‘000</w:t>
            </w:r>
            <w:bookmarkEnd w:id="1167"/>
          </w:p>
        </w:tc>
        <w:tc>
          <w:tcPr>
            <w:tcW w:w="541" w:type="pct"/>
          </w:tcPr>
          <w:p w14:paraId="3CF6765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168" w:name="_Toc4061953"/>
            <w:r w:rsidRPr="00587444">
              <w:rPr>
                <w:rFonts w:ascii="Arial" w:hAnsi="Arial" w:cs="Arial"/>
                <w:b/>
                <w:sz w:val="17"/>
                <w:szCs w:val="17"/>
              </w:rPr>
              <w:t>HRK ‘000</w:t>
            </w:r>
            <w:bookmarkEnd w:id="1168"/>
          </w:p>
        </w:tc>
        <w:tc>
          <w:tcPr>
            <w:tcW w:w="542" w:type="pct"/>
          </w:tcPr>
          <w:p w14:paraId="56263CA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169" w:name="_Toc4061954"/>
            <w:r w:rsidRPr="00587444">
              <w:rPr>
                <w:rFonts w:ascii="Arial" w:hAnsi="Arial" w:cs="Arial"/>
                <w:b/>
                <w:sz w:val="17"/>
                <w:szCs w:val="17"/>
              </w:rPr>
              <w:t>HRK ‘000</w:t>
            </w:r>
            <w:bookmarkEnd w:id="1169"/>
          </w:p>
        </w:tc>
        <w:tc>
          <w:tcPr>
            <w:tcW w:w="529" w:type="pct"/>
          </w:tcPr>
          <w:p w14:paraId="13F2694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170" w:name="_Toc4061955"/>
            <w:r w:rsidRPr="00587444">
              <w:rPr>
                <w:rFonts w:ascii="Arial" w:hAnsi="Arial" w:cs="Arial"/>
                <w:b/>
                <w:sz w:val="17"/>
                <w:szCs w:val="17"/>
              </w:rPr>
              <w:t>HRK ‘000</w:t>
            </w:r>
            <w:bookmarkEnd w:id="1170"/>
          </w:p>
        </w:tc>
      </w:tr>
      <w:tr w:rsidR="00587444" w:rsidRPr="00587444" w14:paraId="7E6BC1B5" w14:textId="77777777" w:rsidTr="00DD69E7">
        <w:trPr>
          <w:trHeight w:hRule="exact" w:val="270"/>
        </w:trPr>
        <w:tc>
          <w:tcPr>
            <w:tcW w:w="1767" w:type="pct"/>
            <w:vAlign w:val="center"/>
          </w:tcPr>
          <w:p w14:paraId="40CAEB86" w14:textId="77777777" w:rsidR="00587444" w:rsidRPr="00587444" w:rsidRDefault="00587444" w:rsidP="00587444">
            <w:pPr>
              <w:tabs>
                <w:tab w:val="right" w:pos="1202"/>
              </w:tabs>
              <w:suppressAutoHyphens w:val="0"/>
              <w:autoSpaceDN/>
              <w:spacing w:line="220" w:lineRule="exact"/>
              <w:outlineLvl w:val="0"/>
              <w:rPr>
                <w:rFonts w:ascii="Arial" w:hAnsi="Arial" w:cs="Arial"/>
                <w:b/>
                <w:bCs/>
                <w:sz w:val="17"/>
                <w:szCs w:val="17"/>
              </w:rPr>
            </w:pPr>
            <w:bookmarkStart w:id="1171" w:name="_Toc4061956"/>
            <w:r w:rsidRPr="00587444">
              <w:rPr>
                <w:rFonts w:ascii="Arial" w:hAnsi="Arial" w:cs="Arial"/>
                <w:b/>
                <w:bCs/>
                <w:sz w:val="17"/>
                <w:szCs w:val="17"/>
              </w:rPr>
              <w:t>Assets</w:t>
            </w:r>
            <w:bookmarkEnd w:id="1171"/>
            <w:r w:rsidRPr="00587444">
              <w:rPr>
                <w:rFonts w:ascii="Arial" w:hAnsi="Arial" w:cs="Arial"/>
                <w:b/>
                <w:bCs/>
                <w:sz w:val="17"/>
                <w:szCs w:val="17"/>
              </w:rPr>
              <w:t xml:space="preserve"> </w:t>
            </w:r>
          </w:p>
        </w:tc>
        <w:tc>
          <w:tcPr>
            <w:tcW w:w="538" w:type="pct"/>
            <w:vAlign w:val="bottom"/>
          </w:tcPr>
          <w:p w14:paraId="43BA58E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5EF1A55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77607AA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4B4F460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3B3DFB5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bCs/>
                <w:spacing w:val="-2"/>
                <w:sz w:val="17"/>
                <w:szCs w:val="17"/>
              </w:rPr>
            </w:pPr>
          </w:p>
        </w:tc>
        <w:tc>
          <w:tcPr>
            <w:tcW w:w="529" w:type="pct"/>
            <w:vAlign w:val="bottom"/>
          </w:tcPr>
          <w:p w14:paraId="53E11EE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bCs/>
                <w:spacing w:val="-2"/>
                <w:sz w:val="17"/>
                <w:szCs w:val="17"/>
              </w:rPr>
            </w:pPr>
          </w:p>
        </w:tc>
      </w:tr>
      <w:tr w:rsidR="00587444" w:rsidRPr="00587444" w14:paraId="1133F020" w14:textId="77777777" w:rsidTr="00DD69E7">
        <w:trPr>
          <w:trHeight w:hRule="exact" w:val="270"/>
        </w:trPr>
        <w:tc>
          <w:tcPr>
            <w:tcW w:w="1767" w:type="pct"/>
            <w:vAlign w:val="bottom"/>
          </w:tcPr>
          <w:p w14:paraId="06F340A2"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bookmarkStart w:id="1172" w:name="_Toc4061957"/>
            <w:r w:rsidRPr="00587444">
              <w:rPr>
                <w:rFonts w:ascii="Arial" w:hAnsi="Arial" w:cs="Arial"/>
                <w:spacing w:val="-2"/>
                <w:sz w:val="17"/>
                <w:szCs w:val="17"/>
              </w:rPr>
              <w:t>Cash on hand and current accounts with banks</w:t>
            </w:r>
            <w:bookmarkEnd w:id="1172"/>
            <w:r w:rsidRPr="00587444">
              <w:rPr>
                <w:rFonts w:ascii="Arial" w:hAnsi="Arial" w:cs="Arial"/>
                <w:spacing w:val="-2"/>
                <w:sz w:val="17"/>
                <w:szCs w:val="17"/>
              </w:rPr>
              <w:t xml:space="preserve"> </w:t>
            </w:r>
          </w:p>
        </w:tc>
        <w:tc>
          <w:tcPr>
            <w:tcW w:w="538" w:type="pct"/>
            <w:tcBorders>
              <w:top w:val="nil"/>
              <w:left w:val="nil"/>
              <w:bottom w:val="nil"/>
              <w:right w:val="nil"/>
            </w:tcBorders>
            <w:shd w:val="clear" w:color="auto" w:fill="auto"/>
            <w:vAlign w:val="bottom"/>
          </w:tcPr>
          <w:p w14:paraId="3D032E57"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1,721,919 </w:t>
            </w:r>
          </w:p>
        </w:tc>
        <w:tc>
          <w:tcPr>
            <w:tcW w:w="541" w:type="pct"/>
            <w:tcBorders>
              <w:top w:val="nil"/>
              <w:left w:val="nil"/>
              <w:bottom w:val="nil"/>
              <w:right w:val="nil"/>
            </w:tcBorders>
            <w:shd w:val="clear" w:color="auto" w:fill="auto"/>
            <w:vAlign w:val="bottom"/>
          </w:tcPr>
          <w:p w14:paraId="3E158EE1"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5C172E52"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0058DEC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6C681E3C"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715CD3B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1,721,919 </w:t>
            </w:r>
          </w:p>
        </w:tc>
      </w:tr>
      <w:tr w:rsidR="00587444" w:rsidRPr="00587444" w14:paraId="2DE632FD" w14:textId="77777777" w:rsidTr="00DD69E7">
        <w:trPr>
          <w:trHeight w:hRule="exact" w:val="270"/>
        </w:trPr>
        <w:tc>
          <w:tcPr>
            <w:tcW w:w="1767" w:type="pct"/>
            <w:vAlign w:val="bottom"/>
          </w:tcPr>
          <w:p w14:paraId="108FB5D9"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bookmarkStart w:id="1173" w:name="_Toc4061964"/>
            <w:r w:rsidRPr="00587444">
              <w:rPr>
                <w:rFonts w:ascii="Arial" w:hAnsi="Arial" w:cs="Arial"/>
                <w:spacing w:val="-2"/>
                <w:sz w:val="17"/>
                <w:szCs w:val="17"/>
              </w:rPr>
              <w:t>Deposits with other banks</w:t>
            </w:r>
            <w:bookmarkEnd w:id="1173"/>
          </w:p>
        </w:tc>
        <w:tc>
          <w:tcPr>
            <w:tcW w:w="538" w:type="pct"/>
            <w:tcBorders>
              <w:top w:val="nil"/>
              <w:left w:val="nil"/>
              <w:bottom w:val="nil"/>
              <w:right w:val="nil"/>
            </w:tcBorders>
            <w:shd w:val="clear" w:color="auto" w:fill="auto"/>
            <w:vAlign w:val="bottom"/>
          </w:tcPr>
          <w:p w14:paraId="743FFE7A"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56127472"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22,584 </w:t>
            </w:r>
          </w:p>
        </w:tc>
        <w:tc>
          <w:tcPr>
            <w:tcW w:w="542" w:type="pct"/>
            <w:tcBorders>
              <w:top w:val="nil"/>
              <w:left w:val="nil"/>
              <w:bottom w:val="nil"/>
              <w:right w:val="nil"/>
            </w:tcBorders>
            <w:shd w:val="clear" w:color="auto" w:fill="auto"/>
            <w:vAlign w:val="bottom"/>
          </w:tcPr>
          <w:p w14:paraId="1D0A296F"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29E45002"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36DE178C"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10,596 </w:t>
            </w:r>
          </w:p>
        </w:tc>
        <w:tc>
          <w:tcPr>
            <w:tcW w:w="529" w:type="pct"/>
            <w:tcBorders>
              <w:top w:val="nil"/>
              <w:left w:val="nil"/>
              <w:bottom w:val="nil"/>
              <w:right w:val="nil"/>
            </w:tcBorders>
            <w:shd w:val="clear" w:color="auto" w:fill="auto"/>
            <w:vAlign w:val="bottom"/>
          </w:tcPr>
          <w:p w14:paraId="013A1FE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33,180 </w:t>
            </w:r>
          </w:p>
        </w:tc>
      </w:tr>
      <w:tr w:rsidR="00587444" w:rsidRPr="00587444" w14:paraId="2D31BA94" w14:textId="77777777" w:rsidTr="00DD69E7">
        <w:trPr>
          <w:trHeight w:hRule="exact" w:val="270"/>
        </w:trPr>
        <w:tc>
          <w:tcPr>
            <w:tcW w:w="1767" w:type="pct"/>
            <w:vAlign w:val="bottom"/>
          </w:tcPr>
          <w:p w14:paraId="733EE07C"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bookmarkStart w:id="1174" w:name="_Toc4061971"/>
            <w:r w:rsidRPr="00587444">
              <w:rPr>
                <w:rFonts w:ascii="Arial" w:hAnsi="Arial" w:cs="Arial"/>
                <w:spacing w:val="-2"/>
                <w:sz w:val="17"/>
                <w:szCs w:val="17"/>
              </w:rPr>
              <w:t>Loans to financial institutions*</w:t>
            </w:r>
            <w:bookmarkEnd w:id="1174"/>
          </w:p>
        </w:tc>
        <w:tc>
          <w:tcPr>
            <w:tcW w:w="538" w:type="pct"/>
            <w:tcBorders>
              <w:top w:val="nil"/>
              <w:left w:val="nil"/>
              <w:bottom w:val="nil"/>
              <w:right w:val="nil"/>
            </w:tcBorders>
            <w:shd w:val="clear" w:color="auto" w:fill="auto"/>
            <w:vAlign w:val="bottom"/>
          </w:tcPr>
          <w:p w14:paraId="4E36F2D0"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249,137 </w:t>
            </w:r>
          </w:p>
        </w:tc>
        <w:tc>
          <w:tcPr>
            <w:tcW w:w="541" w:type="pct"/>
            <w:tcBorders>
              <w:top w:val="nil"/>
              <w:left w:val="nil"/>
              <w:bottom w:val="nil"/>
              <w:right w:val="nil"/>
            </w:tcBorders>
            <w:shd w:val="clear" w:color="auto" w:fill="auto"/>
            <w:vAlign w:val="bottom"/>
          </w:tcPr>
          <w:p w14:paraId="2D0DFE3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198,128 </w:t>
            </w:r>
          </w:p>
        </w:tc>
        <w:tc>
          <w:tcPr>
            <w:tcW w:w="542" w:type="pct"/>
            <w:tcBorders>
              <w:top w:val="nil"/>
              <w:left w:val="nil"/>
              <w:bottom w:val="nil"/>
              <w:right w:val="nil"/>
            </w:tcBorders>
            <w:shd w:val="clear" w:color="auto" w:fill="auto"/>
            <w:vAlign w:val="bottom"/>
          </w:tcPr>
          <w:p w14:paraId="0CDF3A7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842,943 </w:t>
            </w:r>
          </w:p>
        </w:tc>
        <w:tc>
          <w:tcPr>
            <w:tcW w:w="541" w:type="pct"/>
            <w:tcBorders>
              <w:top w:val="nil"/>
              <w:left w:val="nil"/>
              <w:bottom w:val="nil"/>
              <w:right w:val="nil"/>
            </w:tcBorders>
            <w:shd w:val="clear" w:color="auto" w:fill="auto"/>
            <w:vAlign w:val="bottom"/>
          </w:tcPr>
          <w:p w14:paraId="6AD37618"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1,922,672 </w:t>
            </w:r>
          </w:p>
        </w:tc>
        <w:tc>
          <w:tcPr>
            <w:tcW w:w="542" w:type="pct"/>
            <w:tcBorders>
              <w:top w:val="nil"/>
              <w:left w:val="nil"/>
              <w:bottom w:val="nil"/>
              <w:right w:val="nil"/>
            </w:tcBorders>
            <w:shd w:val="clear" w:color="auto" w:fill="auto"/>
            <w:vAlign w:val="bottom"/>
          </w:tcPr>
          <w:p w14:paraId="4D6668C2"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3,771,832 </w:t>
            </w:r>
          </w:p>
        </w:tc>
        <w:tc>
          <w:tcPr>
            <w:tcW w:w="529" w:type="pct"/>
            <w:tcBorders>
              <w:top w:val="nil"/>
              <w:left w:val="nil"/>
              <w:bottom w:val="nil"/>
              <w:right w:val="nil"/>
            </w:tcBorders>
            <w:shd w:val="clear" w:color="auto" w:fill="auto"/>
            <w:vAlign w:val="bottom"/>
          </w:tcPr>
          <w:p w14:paraId="6CCDC5FF"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6,984,712 </w:t>
            </w:r>
          </w:p>
        </w:tc>
      </w:tr>
      <w:tr w:rsidR="00587444" w:rsidRPr="00587444" w14:paraId="1B9A5246" w14:textId="77777777" w:rsidTr="00DD69E7">
        <w:trPr>
          <w:trHeight w:hRule="exact" w:val="270"/>
        </w:trPr>
        <w:tc>
          <w:tcPr>
            <w:tcW w:w="1767" w:type="pct"/>
            <w:vAlign w:val="bottom"/>
          </w:tcPr>
          <w:p w14:paraId="67CF8BD1"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bookmarkStart w:id="1175" w:name="_Toc4061978"/>
            <w:r w:rsidRPr="00587444">
              <w:rPr>
                <w:rFonts w:ascii="Arial" w:hAnsi="Arial" w:cs="Arial"/>
                <w:spacing w:val="-2"/>
                <w:sz w:val="17"/>
                <w:szCs w:val="17"/>
              </w:rPr>
              <w:t>Loans to other customers</w:t>
            </w:r>
            <w:bookmarkEnd w:id="1175"/>
          </w:p>
        </w:tc>
        <w:tc>
          <w:tcPr>
            <w:tcW w:w="538" w:type="pct"/>
            <w:tcBorders>
              <w:top w:val="nil"/>
              <w:left w:val="nil"/>
              <w:bottom w:val="nil"/>
              <w:right w:val="nil"/>
            </w:tcBorders>
            <w:shd w:val="clear" w:color="auto" w:fill="auto"/>
            <w:vAlign w:val="bottom"/>
          </w:tcPr>
          <w:p w14:paraId="2033B8C7"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1,455,849 </w:t>
            </w:r>
          </w:p>
        </w:tc>
        <w:tc>
          <w:tcPr>
            <w:tcW w:w="541" w:type="pct"/>
            <w:tcBorders>
              <w:top w:val="nil"/>
              <w:left w:val="nil"/>
              <w:bottom w:val="nil"/>
              <w:right w:val="nil"/>
            </w:tcBorders>
            <w:shd w:val="clear" w:color="auto" w:fill="auto"/>
            <w:vAlign w:val="bottom"/>
          </w:tcPr>
          <w:p w14:paraId="7B447AB0"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527,169 </w:t>
            </w:r>
          </w:p>
        </w:tc>
        <w:tc>
          <w:tcPr>
            <w:tcW w:w="542" w:type="pct"/>
            <w:tcBorders>
              <w:top w:val="nil"/>
              <w:left w:val="nil"/>
              <w:bottom w:val="nil"/>
              <w:right w:val="nil"/>
            </w:tcBorders>
            <w:shd w:val="clear" w:color="auto" w:fill="auto"/>
            <w:vAlign w:val="bottom"/>
          </w:tcPr>
          <w:p w14:paraId="0D23AE52"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2,090,509 </w:t>
            </w:r>
          </w:p>
        </w:tc>
        <w:tc>
          <w:tcPr>
            <w:tcW w:w="541" w:type="pct"/>
            <w:tcBorders>
              <w:top w:val="nil"/>
              <w:left w:val="nil"/>
              <w:bottom w:val="nil"/>
              <w:right w:val="nil"/>
            </w:tcBorders>
            <w:shd w:val="clear" w:color="auto" w:fill="auto"/>
            <w:vAlign w:val="bottom"/>
          </w:tcPr>
          <w:p w14:paraId="2CE34759"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4,313,104 </w:t>
            </w:r>
          </w:p>
        </w:tc>
        <w:tc>
          <w:tcPr>
            <w:tcW w:w="542" w:type="pct"/>
            <w:tcBorders>
              <w:top w:val="nil"/>
              <w:left w:val="nil"/>
              <w:bottom w:val="nil"/>
              <w:right w:val="nil"/>
            </w:tcBorders>
            <w:shd w:val="clear" w:color="auto" w:fill="auto"/>
            <w:vAlign w:val="bottom"/>
          </w:tcPr>
          <w:p w14:paraId="2634E6B8"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9,016,035 </w:t>
            </w:r>
          </w:p>
        </w:tc>
        <w:tc>
          <w:tcPr>
            <w:tcW w:w="529" w:type="pct"/>
            <w:tcBorders>
              <w:top w:val="nil"/>
              <w:left w:val="nil"/>
              <w:bottom w:val="nil"/>
              <w:right w:val="nil"/>
            </w:tcBorders>
            <w:shd w:val="clear" w:color="auto" w:fill="auto"/>
            <w:vAlign w:val="bottom"/>
          </w:tcPr>
          <w:p w14:paraId="5683DBF6"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17,402,666 </w:t>
            </w:r>
          </w:p>
        </w:tc>
      </w:tr>
      <w:tr w:rsidR="00587444" w:rsidRPr="00587444" w14:paraId="1B2CE8F3" w14:textId="77777777" w:rsidTr="00DD69E7">
        <w:trPr>
          <w:trHeight w:hRule="exact" w:val="411"/>
        </w:trPr>
        <w:tc>
          <w:tcPr>
            <w:tcW w:w="1767" w:type="pct"/>
          </w:tcPr>
          <w:p w14:paraId="0A52FC1C"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bookmarkStart w:id="1176" w:name="_Toc4061985"/>
            <w:r w:rsidRPr="00587444">
              <w:rPr>
                <w:rFonts w:ascii="Arial" w:hAnsi="Arial" w:cs="Arial"/>
                <w:spacing w:val="-2"/>
                <w:sz w:val="17"/>
                <w:szCs w:val="17"/>
              </w:rPr>
              <w:t>Financial assets at fair value through profit or loss</w:t>
            </w:r>
            <w:bookmarkEnd w:id="1176"/>
          </w:p>
        </w:tc>
        <w:tc>
          <w:tcPr>
            <w:tcW w:w="538" w:type="pct"/>
            <w:tcBorders>
              <w:top w:val="nil"/>
              <w:left w:val="nil"/>
              <w:bottom w:val="nil"/>
              <w:right w:val="nil"/>
            </w:tcBorders>
            <w:shd w:val="clear" w:color="auto" w:fill="auto"/>
            <w:vAlign w:val="bottom"/>
          </w:tcPr>
          <w:p w14:paraId="2C9E65E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108,251 </w:t>
            </w:r>
          </w:p>
        </w:tc>
        <w:tc>
          <w:tcPr>
            <w:tcW w:w="541" w:type="pct"/>
            <w:tcBorders>
              <w:top w:val="nil"/>
              <w:left w:val="nil"/>
              <w:bottom w:val="nil"/>
              <w:right w:val="nil"/>
            </w:tcBorders>
            <w:shd w:val="clear" w:color="auto" w:fill="auto"/>
            <w:vAlign w:val="bottom"/>
          </w:tcPr>
          <w:p w14:paraId="53B77348"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441 </w:t>
            </w:r>
          </w:p>
        </w:tc>
        <w:tc>
          <w:tcPr>
            <w:tcW w:w="542" w:type="pct"/>
            <w:tcBorders>
              <w:top w:val="nil"/>
              <w:left w:val="nil"/>
              <w:bottom w:val="nil"/>
              <w:right w:val="nil"/>
            </w:tcBorders>
            <w:shd w:val="clear" w:color="auto" w:fill="auto"/>
            <w:vAlign w:val="bottom"/>
          </w:tcPr>
          <w:p w14:paraId="3FCE6560"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6C13F401"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22,831 </w:t>
            </w:r>
          </w:p>
        </w:tc>
        <w:tc>
          <w:tcPr>
            <w:tcW w:w="542" w:type="pct"/>
            <w:tcBorders>
              <w:top w:val="nil"/>
              <w:left w:val="nil"/>
              <w:bottom w:val="nil"/>
              <w:right w:val="nil"/>
            </w:tcBorders>
            <w:shd w:val="clear" w:color="auto" w:fill="auto"/>
            <w:vAlign w:val="bottom"/>
          </w:tcPr>
          <w:p w14:paraId="5484CC4A"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059E0B87"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131,523 </w:t>
            </w:r>
          </w:p>
        </w:tc>
      </w:tr>
      <w:tr w:rsidR="00587444" w:rsidRPr="00587444" w14:paraId="4DCE9B67" w14:textId="77777777" w:rsidTr="00DD69E7">
        <w:trPr>
          <w:trHeight w:hRule="exact" w:val="401"/>
        </w:trPr>
        <w:tc>
          <w:tcPr>
            <w:tcW w:w="1767" w:type="pct"/>
          </w:tcPr>
          <w:p w14:paraId="24F180E1"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bookmarkStart w:id="1177" w:name="_Toc4061992"/>
            <w:r w:rsidRPr="00587444">
              <w:rPr>
                <w:rFonts w:ascii="Arial" w:hAnsi="Arial" w:cs="Arial"/>
                <w:spacing w:val="-2"/>
                <w:sz w:val="17"/>
                <w:szCs w:val="17"/>
              </w:rPr>
              <w:t>Financial assets at fair value through other comprehensive income</w:t>
            </w:r>
            <w:bookmarkEnd w:id="1177"/>
          </w:p>
        </w:tc>
        <w:tc>
          <w:tcPr>
            <w:tcW w:w="538" w:type="pct"/>
            <w:tcBorders>
              <w:top w:val="nil"/>
              <w:left w:val="nil"/>
              <w:bottom w:val="nil"/>
              <w:right w:val="nil"/>
            </w:tcBorders>
            <w:shd w:val="clear" w:color="auto" w:fill="auto"/>
            <w:vAlign w:val="bottom"/>
          </w:tcPr>
          <w:p w14:paraId="5FE9FFF8"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2,672,601 </w:t>
            </w:r>
          </w:p>
        </w:tc>
        <w:tc>
          <w:tcPr>
            <w:tcW w:w="541" w:type="pct"/>
            <w:tcBorders>
              <w:top w:val="nil"/>
              <w:left w:val="nil"/>
              <w:bottom w:val="nil"/>
              <w:right w:val="nil"/>
            </w:tcBorders>
            <w:shd w:val="clear" w:color="auto" w:fill="auto"/>
            <w:vAlign w:val="bottom"/>
          </w:tcPr>
          <w:p w14:paraId="2F0DAAD5"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13,986 </w:t>
            </w:r>
          </w:p>
        </w:tc>
        <w:tc>
          <w:tcPr>
            <w:tcW w:w="542" w:type="pct"/>
            <w:tcBorders>
              <w:top w:val="nil"/>
              <w:left w:val="nil"/>
              <w:bottom w:val="nil"/>
              <w:right w:val="nil"/>
            </w:tcBorders>
            <w:shd w:val="clear" w:color="auto" w:fill="auto"/>
            <w:vAlign w:val="bottom"/>
          </w:tcPr>
          <w:p w14:paraId="3A5F69C6"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35 </w:t>
            </w:r>
          </w:p>
        </w:tc>
        <w:tc>
          <w:tcPr>
            <w:tcW w:w="541" w:type="pct"/>
            <w:tcBorders>
              <w:top w:val="nil"/>
              <w:left w:val="nil"/>
              <w:bottom w:val="nil"/>
              <w:right w:val="nil"/>
            </w:tcBorders>
            <w:shd w:val="clear" w:color="auto" w:fill="auto"/>
            <w:vAlign w:val="bottom"/>
          </w:tcPr>
          <w:p w14:paraId="796993D6"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625980CF"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1EAF8002"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2,686,622 </w:t>
            </w:r>
          </w:p>
        </w:tc>
      </w:tr>
      <w:tr w:rsidR="00587444" w:rsidRPr="00587444" w14:paraId="097BBE26" w14:textId="77777777" w:rsidTr="00DD69E7">
        <w:trPr>
          <w:trHeight w:hRule="exact" w:val="417"/>
        </w:trPr>
        <w:tc>
          <w:tcPr>
            <w:tcW w:w="1767" w:type="pct"/>
            <w:vAlign w:val="bottom"/>
          </w:tcPr>
          <w:p w14:paraId="0A2C8D9F"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bookmarkStart w:id="1178" w:name="_Toc4062006"/>
            <w:r w:rsidRPr="00587444">
              <w:rPr>
                <w:rFonts w:ascii="Arial" w:hAnsi="Arial" w:cs="Arial"/>
                <w:spacing w:val="-2"/>
                <w:sz w:val="17"/>
                <w:szCs w:val="17"/>
              </w:rPr>
              <w:t>Property, plant and equipment and intangible assets</w:t>
            </w:r>
            <w:bookmarkEnd w:id="1178"/>
          </w:p>
        </w:tc>
        <w:tc>
          <w:tcPr>
            <w:tcW w:w="538" w:type="pct"/>
            <w:tcBorders>
              <w:top w:val="nil"/>
              <w:left w:val="nil"/>
              <w:right w:val="nil"/>
            </w:tcBorders>
            <w:shd w:val="clear" w:color="auto" w:fill="auto"/>
            <w:vAlign w:val="bottom"/>
          </w:tcPr>
          <w:p w14:paraId="6A41C003"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 </w:t>
            </w:r>
          </w:p>
        </w:tc>
        <w:tc>
          <w:tcPr>
            <w:tcW w:w="541" w:type="pct"/>
            <w:tcBorders>
              <w:top w:val="nil"/>
              <w:left w:val="nil"/>
              <w:right w:val="nil"/>
            </w:tcBorders>
            <w:shd w:val="clear" w:color="auto" w:fill="auto"/>
            <w:vAlign w:val="bottom"/>
          </w:tcPr>
          <w:p w14:paraId="77701638"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 </w:t>
            </w:r>
          </w:p>
        </w:tc>
        <w:tc>
          <w:tcPr>
            <w:tcW w:w="542" w:type="pct"/>
            <w:tcBorders>
              <w:top w:val="nil"/>
              <w:left w:val="nil"/>
              <w:right w:val="nil"/>
            </w:tcBorders>
            <w:shd w:val="clear" w:color="auto" w:fill="auto"/>
            <w:vAlign w:val="bottom"/>
          </w:tcPr>
          <w:p w14:paraId="22114819"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 </w:t>
            </w:r>
          </w:p>
        </w:tc>
        <w:tc>
          <w:tcPr>
            <w:tcW w:w="541" w:type="pct"/>
            <w:tcBorders>
              <w:top w:val="nil"/>
              <w:left w:val="nil"/>
              <w:right w:val="nil"/>
            </w:tcBorders>
            <w:shd w:val="clear" w:color="auto" w:fill="auto"/>
            <w:vAlign w:val="bottom"/>
          </w:tcPr>
          <w:p w14:paraId="0C07B456"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 </w:t>
            </w:r>
          </w:p>
        </w:tc>
        <w:tc>
          <w:tcPr>
            <w:tcW w:w="542" w:type="pct"/>
            <w:tcBorders>
              <w:top w:val="nil"/>
              <w:left w:val="nil"/>
              <w:right w:val="nil"/>
            </w:tcBorders>
            <w:shd w:val="clear" w:color="auto" w:fill="auto"/>
            <w:vAlign w:val="bottom"/>
          </w:tcPr>
          <w:p w14:paraId="1E9E0523"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38,831 </w:t>
            </w:r>
          </w:p>
        </w:tc>
        <w:tc>
          <w:tcPr>
            <w:tcW w:w="529" w:type="pct"/>
            <w:tcBorders>
              <w:top w:val="nil"/>
              <w:left w:val="nil"/>
              <w:right w:val="nil"/>
            </w:tcBorders>
            <w:shd w:val="clear" w:color="auto" w:fill="auto"/>
            <w:vAlign w:val="bottom"/>
          </w:tcPr>
          <w:p w14:paraId="2F37C48A"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38,831 </w:t>
            </w:r>
          </w:p>
        </w:tc>
      </w:tr>
      <w:tr w:rsidR="00587444" w:rsidRPr="00587444" w14:paraId="1F59A1F9" w14:textId="77777777" w:rsidTr="00DD69E7">
        <w:trPr>
          <w:trHeight w:hRule="exact" w:val="270"/>
        </w:trPr>
        <w:tc>
          <w:tcPr>
            <w:tcW w:w="1767" w:type="pct"/>
            <w:vAlign w:val="bottom"/>
          </w:tcPr>
          <w:p w14:paraId="6B3A6D60"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Foreclosed assets</w:t>
            </w:r>
          </w:p>
        </w:tc>
        <w:tc>
          <w:tcPr>
            <w:tcW w:w="538" w:type="pct"/>
            <w:tcBorders>
              <w:top w:val="nil"/>
              <w:left w:val="nil"/>
              <w:bottom w:val="nil"/>
              <w:right w:val="nil"/>
            </w:tcBorders>
            <w:shd w:val="clear" w:color="auto" w:fill="auto"/>
            <w:vAlign w:val="bottom"/>
          </w:tcPr>
          <w:p w14:paraId="3B82F735"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2A52857F"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3AD8196D"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1,968 </w:t>
            </w:r>
          </w:p>
        </w:tc>
        <w:tc>
          <w:tcPr>
            <w:tcW w:w="541" w:type="pct"/>
            <w:tcBorders>
              <w:top w:val="nil"/>
              <w:left w:val="nil"/>
              <w:bottom w:val="nil"/>
              <w:right w:val="nil"/>
            </w:tcBorders>
            <w:shd w:val="clear" w:color="auto" w:fill="auto"/>
            <w:vAlign w:val="bottom"/>
          </w:tcPr>
          <w:p w14:paraId="0F543E98"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13,024 </w:t>
            </w:r>
          </w:p>
        </w:tc>
        <w:tc>
          <w:tcPr>
            <w:tcW w:w="542" w:type="pct"/>
            <w:tcBorders>
              <w:top w:val="nil"/>
              <w:left w:val="nil"/>
              <w:bottom w:val="nil"/>
              <w:right w:val="nil"/>
            </w:tcBorders>
            <w:shd w:val="clear" w:color="auto" w:fill="auto"/>
            <w:vAlign w:val="bottom"/>
          </w:tcPr>
          <w:p w14:paraId="2DF21873"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9,784 </w:t>
            </w:r>
          </w:p>
        </w:tc>
        <w:tc>
          <w:tcPr>
            <w:tcW w:w="529" w:type="pct"/>
            <w:tcBorders>
              <w:top w:val="nil"/>
              <w:left w:val="nil"/>
              <w:bottom w:val="nil"/>
              <w:right w:val="nil"/>
            </w:tcBorders>
            <w:shd w:val="clear" w:color="auto" w:fill="auto"/>
            <w:vAlign w:val="bottom"/>
          </w:tcPr>
          <w:p w14:paraId="3BA0B557"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24,776 </w:t>
            </w:r>
          </w:p>
        </w:tc>
      </w:tr>
      <w:tr w:rsidR="00587444" w:rsidRPr="00587444" w14:paraId="246C6146" w14:textId="77777777" w:rsidTr="00DD69E7">
        <w:trPr>
          <w:trHeight w:hRule="exact" w:val="270"/>
        </w:trPr>
        <w:tc>
          <w:tcPr>
            <w:tcW w:w="1767" w:type="pct"/>
            <w:vAlign w:val="bottom"/>
          </w:tcPr>
          <w:p w14:paraId="4CA79F5A"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bookmarkStart w:id="1179" w:name="_Toc4062020"/>
            <w:r w:rsidRPr="00587444">
              <w:rPr>
                <w:rFonts w:ascii="Arial" w:hAnsi="Arial" w:cs="Arial"/>
                <w:spacing w:val="-2"/>
                <w:sz w:val="17"/>
                <w:szCs w:val="17"/>
              </w:rPr>
              <w:t>Other assets</w:t>
            </w:r>
            <w:bookmarkEnd w:id="1179"/>
          </w:p>
        </w:tc>
        <w:tc>
          <w:tcPr>
            <w:tcW w:w="538" w:type="pct"/>
            <w:tcBorders>
              <w:left w:val="nil"/>
              <w:bottom w:val="single" w:sz="8" w:space="0" w:color="auto"/>
              <w:right w:val="nil"/>
            </w:tcBorders>
            <w:shd w:val="clear" w:color="auto" w:fill="auto"/>
            <w:vAlign w:val="bottom"/>
          </w:tcPr>
          <w:p w14:paraId="55992DFD"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5,798 </w:t>
            </w:r>
          </w:p>
        </w:tc>
        <w:tc>
          <w:tcPr>
            <w:tcW w:w="541" w:type="pct"/>
            <w:tcBorders>
              <w:left w:val="nil"/>
              <w:bottom w:val="single" w:sz="8" w:space="0" w:color="auto"/>
              <w:right w:val="nil"/>
            </w:tcBorders>
            <w:shd w:val="clear" w:color="auto" w:fill="auto"/>
            <w:vAlign w:val="bottom"/>
          </w:tcPr>
          <w:p w14:paraId="70862B22"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5,520 </w:t>
            </w:r>
          </w:p>
        </w:tc>
        <w:tc>
          <w:tcPr>
            <w:tcW w:w="542" w:type="pct"/>
            <w:tcBorders>
              <w:left w:val="nil"/>
              <w:bottom w:val="single" w:sz="8" w:space="0" w:color="auto"/>
              <w:right w:val="nil"/>
            </w:tcBorders>
            <w:shd w:val="clear" w:color="auto" w:fill="auto"/>
            <w:vAlign w:val="bottom"/>
          </w:tcPr>
          <w:p w14:paraId="6631AA97"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5,818 </w:t>
            </w:r>
          </w:p>
        </w:tc>
        <w:tc>
          <w:tcPr>
            <w:tcW w:w="541" w:type="pct"/>
            <w:tcBorders>
              <w:left w:val="nil"/>
              <w:bottom w:val="single" w:sz="8" w:space="0" w:color="auto"/>
              <w:right w:val="nil"/>
            </w:tcBorders>
            <w:shd w:val="clear" w:color="auto" w:fill="auto"/>
            <w:vAlign w:val="bottom"/>
          </w:tcPr>
          <w:p w14:paraId="1A6A4AC9"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16,279 </w:t>
            </w:r>
          </w:p>
        </w:tc>
        <w:tc>
          <w:tcPr>
            <w:tcW w:w="542" w:type="pct"/>
            <w:tcBorders>
              <w:left w:val="nil"/>
              <w:bottom w:val="single" w:sz="8" w:space="0" w:color="auto"/>
              <w:right w:val="nil"/>
            </w:tcBorders>
            <w:shd w:val="clear" w:color="auto" w:fill="auto"/>
            <w:vAlign w:val="bottom"/>
          </w:tcPr>
          <w:p w14:paraId="7AC3B205"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2,519 </w:t>
            </w:r>
          </w:p>
        </w:tc>
        <w:tc>
          <w:tcPr>
            <w:tcW w:w="529" w:type="pct"/>
            <w:tcBorders>
              <w:left w:val="nil"/>
              <w:bottom w:val="nil"/>
              <w:right w:val="nil"/>
            </w:tcBorders>
            <w:shd w:val="clear" w:color="auto" w:fill="auto"/>
            <w:vAlign w:val="bottom"/>
          </w:tcPr>
          <w:p w14:paraId="40916214"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35,934 </w:t>
            </w:r>
          </w:p>
        </w:tc>
      </w:tr>
      <w:tr w:rsidR="00587444" w:rsidRPr="00587444" w14:paraId="42C98F6E" w14:textId="77777777" w:rsidTr="00DD69E7">
        <w:trPr>
          <w:trHeight w:hRule="exact" w:val="270"/>
        </w:trPr>
        <w:tc>
          <w:tcPr>
            <w:tcW w:w="1767" w:type="pct"/>
            <w:vAlign w:val="bottom"/>
          </w:tcPr>
          <w:p w14:paraId="6CDC8342" w14:textId="77777777" w:rsidR="00587444" w:rsidRPr="00587444" w:rsidRDefault="00587444" w:rsidP="00587444">
            <w:pPr>
              <w:tabs>
                <w:tab w:val="right" w:pos="1202"/>
              </w:tabs>
              <w:suppressAutoHyphens w:val="0"/>
              <w:autoSpaceDN/>
              <w:spacing w:line="200" w:lineRule="exact"/>
              <w:outlineLvl w:val="0"/>
              <w:rPr>
                <w:rFonts w:ascii="Arial" w:hAnsi="Arial" w:cs="Arial"/>
                <w:b/>
                <w:bCs/>
                <w:sz w:val="17"/>
                <w:szCs w:val="17"/>
              </w:rPr>
            </w:pPr>
            <w:bookmarkStart w:id="1180" w:name="_Toc4062027"/>
            <w:r w:rsidRPr="00587444">
              <w:rPr>
                <w:rFonts w:ascii="Arial" w:hAnsi="Arial" w:cs="Arial"/>
                <w:b/>
                <w:bCs/>
                <w:sz w:val="17"/>
                <w:szCs w:val="17"/>
              </w:rPr>
              <w:t>Total assets</w:t>
            </w:r>
            <w:bookmarkEnd w:id="1180"/>
            <w:r w:rsidRPr="00587444">
              <w:rPr>
                <w:rFonts w:ascii="Arial" w:hAnsi="Arial" w:cs="Arial"/>
                <w:b/>
                <w:bCs/>
                <w:sz w:val="17"/>
                <w:szCs w:val="17"/>
              </w:rPr>
              <w:t xml:space="preserve"> </w:t>
            </w:r>
          </w:p>
        </w:tc>
        <w:tc>
          <w:tcPr>
            <w:tcW w:w="538" w:type="pct"/>
            <w:tcBorders>
              <w:top w:val="nil"/>
              <w:left w:val="nil"/>
              <w:bottom w:val="single" w:sz="8" w:space="0" w:color="auto"/>
              <w:right w:val="nil"/>
            </w:tcBorders>
            <w:shd w:val="clear" w:color="auto" w:fill="auto"/>
            <w:vAlign w:val="bottom"/>
          </w:tcPr>
          <w:p w14:paraId="62A46A18" w14:textId="77777777" w:rsidR="00587444" w:rsidRPr="00587444" w:rsidRDefault="00587444" w:rsidP="00587444">
            <w:pPr>
              <w:suppressAutoHyphens w:val="0"/>
              <w:autoSpaceDN/>
              <w:spacing w:line="240" w:lineRule="exact"/>
              <w:jc w:val="right"/>
              <w:outlineLvl w:val="0"/>
              <w:rPr>
                <w:rFonts w:ascii="Arial" w:eastAsia="Calibri" w:hAnsi="Arial" w:cs="Arial"/>
                <w:b/>
                <w:bCs/>
                <w:color w:val="000000"/>
                <w:sz w:val="17"/>
                <w:szCs w:val="17"/>
                <w:lang w:eastAsia="hr-HR"/>
              </w:rPr>
            </w:pPr>
            <w:r w:rsidRPr="00587444">
              <w:rPr>
                <w:rFonts w:ascii="Arial" w:hAnsi="Arial" w:cs="Arial"/>
                <w:b/>
                <w:bCs/>
                <w:color w:val="000000"/>
                <w:sz w:val="17"/>
                <w:szCs w:val="17"/>
              </w:rPr>
              <w:t xml:space="preserve"> 6,213,555 </w:t>
            </w:r>
          </w:p>
        </w:tc>
        <w:tc>
          <w:tcPr>
            <w:tcW w:w="541" w:type="pct"/>
            <w:tcBorders>
              <w:top w:val="nil"/>
              <w:left w:val="nil"/>
              <w:bottom w:val="single" w:sz="8" w:space="0" w:color="auto"/>
              <w:right w:val="nil"/>
            </w:tcBorders>
            <w:shd w:val="clear" w:color="auto" w:fill="auto"/>
            <w:vAlign w:val="bottom"/>
          </w:tcPr>
          <w:p w14:paraId="588702F1" w14:textId="77777777" w:rsidR="00587444" w:rsidRPr="00587444" w:rsidRDefault="00587444" w:rsidP="00587444">
            <w:pPr>
              <w:suppressAutoHyphens w:val="0"/>
              <w:autoSpaceDN/>
              <w:spacing w:line="240" w:lineRule="exact"/>
              <w:jc w:val="right"/>
              <w:outlineLvl w:val="0"/>
              <w:rPr>
                <w:rFonts w:ascii="Arial" w:eastAsia="Calibri" w:hAnsi="Arial" w:cs="Arial"/>
                <w:b/>
                <w:bCs/>
                <w:color w:val="000000"/>
                <w:sz w:val="17"/>
                <w:szCs w:val="17"/>
                <w:lang w:eastAsia="hr-HR"/>
              </w:rPr>
            </w:pPr>
            <w:r w:rsidRPr="00587444">
              <w:rPr>
                <w:rFonts w:ascii="Arial" w:hAnsi="Arial" w:cs="Arial"/>
                <w:b/>
                <w:bCs/>
                <w:color w:val="000000"/>
                <w:sz w:val="17"/>
                <w:szCs w:val="17"/>
              </w:rPr>
              <w:t xml:space="preserve"> 767,828 </w:t>
            </w:r>
          </w:p>
        </w:tc>
        <w:tc>
          <w:tcPr>
            <w:tcW w:w="542" w:type="pct"/>
            <w:tcBorders>
              <w:top w:val="nil"/>
              <w:left w:val="nil"/>
              <w:bottom w:val="single" w:sz="8" w:space="0" w:color="auto"/>
              <w:right w:val="nil"/>
            </w:tcBorders>
            <w:shd w:val="clear" w:color="auto" w:fill="auto"/>
            <w:vAlign w:val="bottom"/>
          </w:tcPr>
          <w:p w14:paraId="4E88CACA" w14:textId="77777777" w:rsidR="00587444" w:rsidRPr="00587444" w:rsidRDefault="00587444" w:rsidP="00587444">
            <w:pPr>
              <w:suppressAutoHyphens w:val="0"/>
              <w:autoSpaceDN/>
              <w:spacing w:line="240" w:lineRule="exact"/>
              <w:jc w:val="right"/>
              <w:outlineLvl w:val="0"/>
              <w:rPr>
                <w:rFonts w:ascii="Arial" w:eastAsia="Calibri" w:hAnsi="Arial" w:cs="Arial"/>
                <w:b/>
                <w:bCs/>
                <w:color w:val="000000"/>
                <w:sz w:val="17"/>
                <w:szCs w:val="17"/>
                <w:lang w:eastAsia="hr-HR"/>
              </w:rPr>
            </w:pPr>
            <w:r w:rsidRPr="00587444">
              <w:rPr>
                <w:rFonts w:ascii="Arial" w:hAnsi="Arial" w:cs="Arial"/>
                <w:b/>
                <w:bCs/>
                <w:color w:val="000000"/>
                <w:sz w:val="17"/>
                <w:szCs w:val="17"/>
              </w:rPr>
              <w:t xml:space="preserve">2,941,273 </w:t>
            </w:r>
          </w:p>
        </w:tc>
        <w:tc>
          <w:tcPr>
            <w:tcW w:w="541" w:type="pct"/>
            <w:tcBorders>
              <w:top w:val="nil"/>
              <w:left w:val="nil"/>
              <w:bottom w:val="single" w:sz="8" w:space="0" w:color="auto"/>
              <w:right w:val="nil"/>
            </w:tcBorders>
            <w:shd w:val="clear" w:color="auto" w:fill="auto"/>
            <w:vAlign w:val="bottom"/>
          </w:tcPr>
          <w:p w14:paraId="70D88F28" w14:textId="77777777" w:rsidR="00587444" w:rsidRPr="00587444" w:rsidRDefault="00587444" w:rsidP="00587444">
            <w:pPr>
              <w:suppressAutoHyphens w:val="0"/>
              <w:autoSpaceDN/>
              <w:spacing w:line="240" w:lineRule="exact"/>
              <w:jc w:val="right"/>
              <w:outlineLvl w:val="0"/>
              <w:rPr>
                <w:rFonts w:ascii="Arial" w:eastAsia="Calibri" w:hAnsi="Arial" w:cs="Arial"/>
                <w:b/>
                <w:bCs/>
                <w:color w:val="000000"/>
                <w:sz w:val="17"/>
                <w:szCs w:val="17"/>
                <w:lang w:eastAsia="hr-HR"/>
              </w:rPr>
            </w:pPr>
            <w:r w:rsidRPr="00587444">
              <w:rPr>
                <w:rFonts w:ascii="Arial" w:hAnsi="Arial" w:cs="Arial"/>
                <w:b/>
                <w:bCs/>
                <w:color w:val="000000"/>
                <w:sz w:val="17"/>
                <w:szCs w:val="17"/>
              </w:rPr>
              <w:t xml:space="preserve">6,287,910 </w:t>
            </w:r>
          </w:p>
        </w:tc>
        <w:tc>
          <w:tcPr>
            <w:tcW w:w="542" w:type="pct"/>
            <w:tcBorders>
              <w:top w:val="nil"/>
              <w:left w:val="nil"/>
              <w:bottom w:val="single" w:sz="8" w:space="0" w:color="auto"/>
              <w:right w:val="nil"/>
            </w:tcBorders>
            <w:shd w:val="clear" w:color="auto" w:fill="auto"/>
            <w:vAlign w:val="bottom"/>
          </w:tcPr>
          <w:p w14:paraId="3EF8E153" w14:textId="77777777" w:rsidR="00587444" w:rsidRPr="00587444" w:rsidRDefault="00587444" w:rsidP="00587444">
            <w:pPr>
              <w:suppressAutoHyphens w:val="0"/>
              <w:autoSpaceDN/>
              <w:spacing w:line="240" w:lineRule="exact"/>
              <w:jc w:val="right"/>
              <w:outlineLvl w:val="0"/>
              <w:rPr>
                <w:rFonts w:ascii="Arial" w:eastAsia="Calibri" w:hAnsi="Arial" w:cs="Arial"/>
                <w:b/>
                <w:bCs/>
                <w:color w:val="000000"/>
                <w:sz w:val="17"/>
                <w:szCs w:val="17"/>
                <w:lang w:eastAsia="hr-HR"/>
              </w:rPr>
            </w:pPr>
            <w:r w:rsidRPr="00587444">
              <w:rPr>
                <w:rFonts w:ascii="Arial" w:hAnsi="Arial" w:cs="Arial"/>
                <w:b/>
                <w:bCs/>
                <w:color w:val="000000"/>
                <w:sz w:val="17"/>
                <w:szCs w:val="17"/>
              </w:rPr>
              <w:t xml:space="preserve">12,849,597 </w:t>
            </w:r>
          </w:p>
        </w:tc>
        <w:tc>
          <w:tcPr>
            <w:tcW w:w="529" w:type="pct"/>
            <w:tcBorders>
              <w:top w:val="single" w:sz="8" w:space="0" w:color="auto"/>
              <w:left w:val="nil"/>
              <w:bottom w:val="single" w:sz="8" w:space="0" w:color="auto"/>
              <w:right w:val="nil"/>
            </w:tcBorders>
            <w:shd w:val="clear" w:color="auto" w:fill="auto"/>
            <w:vAlign w:val="bottom"/>
          </w:tcPr>
          <w:p w14:paraId="6CE9074A" w14:textId="77777777" w:rsidR="00587444" w:rsidRPr="00587444" w:rsidRDefault="00587444" w:rsidP="00587444">
            <w:pPr>
              <w:suppressAutoHyphens w:val="0"/>
              <w:autoSpaceDN/>
              <w:spacing w:line="240" w:lineRule="exact"/>
              <w:jc w:val="right"/>
              <w:outlineLvl w:val="0"/>
              <w:rPr>
                <w:rFonts w:ascii="Arial" w:eastAsia="Calibri" w:hAnsi="Arial" w:cs="Arial"/>
                <w:b/>
                <w:bCs/>
                <w:color w:val="000000"/>
                <w:sz w:val="17"/>
                <w:szCs w:val="17"/>
                <w:lang w:eastAsia="hr-HR"/>
              </w:rPr>
            </w:pPr>
            <w:r w:rsidRPr="00587444">
              <w:rPr>
                <w:rFonts w:ascii="Arial" w:hAnsi="Arial" w:cs="Arial"/>
                <w:b/>
                <w:bCs/>
                <w:color w:val="000000"/>
                <w:sz w:val="17"/>
                <w:szCs w:val="17"/>
              </w:rPr>
              <w:t xml:space="preserve">29,060,163 </w:t>
            </w:r>
          </w:p>
        </w:tc>
      </w:tr>
      <w:tr w:rsidR="00587444" w:rsidRPr="00587444" w14:paraId="77061A72" w14:textId="77777777" w:rsidTr="00DD69E7">
        <w:trPr>
          <w:trHeight w:hRule="exact" w:val="270"/>
        </w:trPr>
        <w:tc>
          <w:tcPr>
            <w:tcW w:w="1767" w:type="pct"/>
            <w:vAlign w:val="bottom"/>
          </w:tcPr>
          <w:p w14:paraId="49903804" w14:textId="77777777" w:rsidR="00587444" w:rsidRPr="00587444" w:rsidRDefault="00587444" w:rsidP="00587444">
            <w:pPr>
              <w:tabs>
                <w:tab w:val="right" w:pos="1202"/>
              </w:tabs>
              <w:suppressAutoHyphens w:val="0"/>
              <w:autoSpaceDN/>
              <w:spacing w:line="200" w:lineRule="exact"/>
              <w:outlineLvl w:val="0"/>
              <w:rPr>
                <w:rFonts w:ascii="Arial" w:hAnsi="Arial" w:cs="Arial"/>
                <w:b/>
                <w:bCs/>
                <w:sz w:val="17"/>
                <w:szCs w:val="17"/>
              </w:rPr>
            </w:pPr>
          </w:p>
        </w:tc>
        <w:tc>
          <w:tcPr>
            <w:tcW w:w="538" w:type="pct"/>
            <w:tcBorders>
              <w:top w:val="single" w:sz="12" w:space="0" w:color="auto"/>
            </w:tcBorders>
            <w:vAlign w:val="bottom"/>
          </w:tcPr>
          <w:p w14:paraId="3CC1CF1D" w14:textId="77777777" w:rsidR="00587444" w:rsidRPr="00587444" w:rsidRDefault="00587444" w:rsidP="00587444">
            <w:pPr>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tcBorders>
            <w:vAlign w:val="bottom"/>
          </w:tcPr>
          <w:p w14:paraId="72336752" w14:textId="77777777" w:rsidR="00587444" w:rsidRPr="00587444" w:rsidRDefault="00587444" w:rsidP="00587444">
            <w:pPr>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tcBorders>
            <w:vAlign w:val="bottom"/>
          </w:tcPr>
          <w:p w14:paraId="390FA22F" w14:textId="77777777" w:rsidR="00587444" w:rsidRPr="00587444" w:rsidRDefault="00587444" w:rsidP="00587444">
            <w:pPr>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tcBorders>
            <w:vAlign w:val="bottom"/>
          </w:tcPr>
          <w:p w14:paraId="27CDC668" w14:textId="77777777" w:rsidR="00587444" w:rsidRPr="00587444" w:rsidRDefault="00587444" w:rsidP="00587444">
            <w:pPr>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tcBorders>
            <w:vAlign w:val="bottom"/>
          </w:tcPr>
          <w:p w14:paraId="1C415BC0" w14:textId="77777777" w:rsidR="00587444" w:rsidRPr="00587444" w:rsidRDefault="00587444" w:rsidP="00587444">
            <w:pPr>
              <w:suppressAutoHyphens w:val="0"/>
              <w:autoSpaceDN/>
              <w:spacing w:line="240" w:lineRule="exact"/>
              <w:jc w:val="right"/>
              <w:outlineLvl w:val="0"/>
              <w:rPr>
                <w:rFonts w:ascii="Arial" w:hAnsi="Arial" w:cs="Arial"/>
                <w:b/>
                <w:bCs/>
                <w:color w:val="000000"/>
                <w:sz w:val="17"/>
                <w:szCs w:val="17"/>
              </w:rPr>
            </w:pPr>
          </w:p>
        </w:tc>
        <w:tc>
          <w:tcPr>
            <w:tcW w:w="529" w:type="pct"/>
            <w:tcBorders>
              <w:top w:val="single" w:sz="12" w:space="0" w:color="auto"/>
            </w:tcBorders>
            <w:vAlign w:val="bottom"/>
          </w:tcPr>
          <w:p w14:paraId="126991AB" w14:textId="77777777" w:rsidR="00587444" w:rsidRPr="00587444" w:rsidRDefault="00587444" w:rsidP="00587444">
            <w:pPr>
              <w:suppressAutoHyphens w:val="0"/>
              <w:autoSpaceDN/>
              <w:spacing w:line="240" w:lineRule="exact"/>
              <w:jc w:val="right"/>
              <w:outlineLvl w:val="0"/>
              <w:rPr>
                <w:rFonts w:ascii="Arial" w:hAnsi="Arial" w:cs="Arial"/>
                <w:b/>
                <w:bCs/>
                <w:color w:val="000000"/>
                <w:sz w:val="17"/>
                <w:szCs w:val="17"/>
              </w:rPr>
            </w:pPr>
          </w:p>
        </w:tc>
      </w:tr>
      <w:tr w:rsidR="00587444" w:rsidRPr="00587444" w14:paraId="6915FD41" w14:textId="77777777" w:rsidTr="00DD69E7">
        <w:trPr>
          <w:trHeight w:hRule="exact" w:val="270"/>
        </w:trPr>
        <w:tc>
          <w:tcPr>
            <w:tcW w:w="1767" w:type="pct"/>
            <w:vAlign w:val="bottom"/>
          </w:tcPr>
          <w:p w14:paraId="403172A3" w14:textId="77777777" w:rsidR="00587444" w:rsidRPr="00587444" w:rsidRDefault="00587444" w:rsidP="00587444">
            <w:pPr>
              <w:tabs>
                <w:tab w:val="right" w:pos="1202"/>
              </w:tabs>
              <w:suppressAutoHyphens w:val="0"/>
              <w:autoSpaceDN/>
              <w:spacing w:line="200" w:lineRule="exact"/>
              <w:outlineLvl w:val="0"/>
              <w:rPr>
                <w:rFonts w:ascii="Arial" w:hAnsi="Arial" w:cs="Arial"/>
                <w:b/>
                <w:bCs/>
                <w:sz w:val="17"/>
                <w:szCs w:val="17"/>
              </w:rPr>
            </w:pPr>
            <w:bookmarkStart w:id="1181" w:name="_Toc4062034"/>
            <w:r w:rsidRPr="00587444">
              <w:rPr>
                <w:rFonts w:ascii="Arial" w:hAnsi="Arial" w:cs="Arial"/>
                <w:b/>
                <w:bCs/>
                <w:sz w:val="17"/>
                <w:szCs w:val="17"/>
              </w:rPr>
              <w:t>Liabilities</w:t>
            </w:r>
            <w:bookmarkEnd w:id="1181"/>
          </w:p>
        </w:tc>
        <w:tc>
          <w:tcPr>
            <w:tcW w:w="538" w:type="pct"/>
            <w:vAlign w:val="bottom"/>
          </w:tcPr>
          <w:p w14:paraId="4407AE5B" w14:textId="77777777" w:rsidR="00587444" w:rsidRPr="00587444" w:rsidRDefault="00587444" w:rsidP="00587444">
            <w:pPr>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75B8BC69" w14:textId="77777777" w:rsidR="00587444" w:rsidRPr="00587444" w:rsidRDefault="00587444" w:rsidP="00587444">
            <w:pPr>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4B2102CD" w14:textId="77777777" w:rsidR="00587444" w:rsidRPr="00587444" w:rsidRDefault="00587444" w:rsidP="00587444">
            <w:pPr>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4C7559A6" w14:textId="77777777" w:rsidR="00587444" w:rsidRPr="00587444" w:rsidRDefault="00587444" w:rsidP="00587444">
            <w:pPr>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4CFD13B7" w14:textId="77777777" w:rsidR="00587444" w:rsidRPr="00587444" w:rsidRDefault="00587444" w:rsidP="00587444">
            <w:pPr>
              <w:suppressAutoHyphens w:val="0"/>
              <w:autoSpaceDN/>
              <w:spacing w:line="220" w:lineRule="exact"/>
              <w:jc w:val="right"/>
              <w:outlineLvl w:val="0"/>
              <w:rPr>
                <w:rFonts w:ascii="Arial" w:hAnsi="Arial" w:cs="Arial"/>
                <w:b/>
                <w:bCs/>
                <w:spacing w:val="-2"/>
                <w:sz w:val="17"/>
                <w:szCs w:val="17"/>
              </w:rPr>
            </w:pPr>
          </w:p>
        </w:tc>
        <w:tc>
          <w:tcPr>
            <w:tcW w:w="529" w:type="pct"/>
            <w:vAlign w:val="bottom"/>
          </w:tcPr>
          <w:p w14:paraId="23EA283A" w14:textId="77777777" w:rsidR="00587444" w:rsidRPr="00587444" w:rsidRDefault="00587444" w:rsidP="00587444">
            <w:pPr>
              <w:suppressAutoHyphens w:val="0"/>
              <w:autoSpaceDN/>
              <w:spacing w:line="220" w:lineRule="exact"/>
              <w:jc w:val="right"/>
              <w:outlineLvl w:val="0"/>
              <w:rPr>
                <w:rFonts w:ascii="Arial" w:hAnsi="Arial" w:cs="Arial"/>
                <w:b/>
                <w:bCs/>
                <w:sz w:val="17"/>
                <w:szCs w:val="17"/>
              </w:rPr>
            </w:pPr>
          </w:p>
        </w:tc>
      </w:tr>
      <w:tr w:rsidR="00587444" w:rsidRPr="00587444" w14:paraId="62E1DFD5" w14:textId="77777777" w:rsidTr="00DD69E7">
        <w:trPr>
          <w:trHeight w:hRule="exact" w:val="270"/>
        </w:trPr>
        <w:tc>
          <w:tcPr>
            <w:tcW w:w="1767" w:type="pct"/>
            <w:vAlign w:val="bottom"/>
          </w:tcPr>
          <w:p w14:paraId="0BA18BB2" w14:textId="77777777" w:rsidR="00587444" w:rsidRPr="00587444" w:rsidRDefault="00587444" w:rsidP="00587444">
            <w:pPr>
              <w:tabs>
                <w:tab w:val="right" w:pos="1202"/>
              </w:tabs>
              <w:suppressAutoHyphens w:val="0"/>
              <w:autoSpaceDN/>
              <w:spacing w:line="200" w:lineRule="exact"/>
              <w:outlineLvl w:val="0"/>
              <w:rPr>
                <w:rFonts w:ascii="Arial" w:hAnsi="Arial" w:cs="Arial"/>
                <w:sz w:val="17"/>
                <w:szCs w:val="17"/>
              </w:rPr>
            </w:pPr>
            <w:bookmarkStart w:id="1182" w:name="_Toc4062035"/>
            <w:r w:rsidRPr="00587444">
              <w:rPr>
                <w:rFonts w:ascii="Arial" w:hAnsi="Arial" w:cs="Arial"/>
                <w:spacing w:val="-2"/>
                <w:sz w:val="17"/>
                <w:szCs w:val="17"/>
              </w:rPr>
              <w:t>Deposits from customers</w:t>
            </w:r>
            <w:bookmarkEnd w:id="1182"/>
            <w:r w:rsidRPr="00587444">
              <w:rPr>
                <w:rFonts w:ascii="Arial" w:hAnsi="Arial" w:cs="Arial"/>
                <w:spacing w:val="-2"/>
                <w:sz w:val="17"/>
                <w:szCs w:val="17"/>
              </w:rPr>
              <w:t xml:space="preserve"> </w:t>
            </w:r>
          </w:p>
        </w:tc>
        <w:tc>
          <w:tcPr>
            <w:tcW w:w="538" w:type="pct"/>
            <w:tcBorders>
              <w:top w:val="nil"/>
              <w:left w:val="nil"/>
              <w:bottom w:val="nil"/>
              <w:right w:val="nil"/>
            </w:tcBorders>
            <w:shd w:val="clear" w:color="auto" w:fill="auto"/>
            <w:vAlign w:val="bottom"/>
          </w:tcPr>
          <w:p w14:paraId="4F78E06A"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738,963 </w:t>
            </w:r>
          </w:p>
        </w:tc>
        <w:tc>
          <w:tcPr>
            <w:tcW w:w="541" w:type="pct"/>
            <w:tcBorders>
              <w:top w:val="nil"/>
              <w:left w:val="nil"/>
              <w:bottom w:val="nil"/>
              <w:right w:val="nil"/>
            </w:tcBorders>
            <w:shd w:val="clear" w:color="auto" w:fill="auto"/>
            <w:vAlign w:val="bottom"/>
          </w:tcPr>
          <w:p w14:paraId="6B46178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29,337 </w:t>
            </w:r>
          </w:p>
        </w:tc>
        <w:tc>
          <w:tcPr>
            <w:tcW w:w="542" w:type="pct"/>
            <w:tcBorders>
              <w:top w:val="nil"/>
              <w:left w:val="nil"/>
              <w:bottom w:val="nil"/>
              <w:right w:val="nil"/>
            </w:tcBorders>
            <w:shd w:val="clear" w:color="auto" w:fill="auto"/>
            <w:vAlign w:val="bottom"/>
          </w:tcPr>
          <w:p w14:paraId="7B025C47"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110,155 </w:t>
            </w:r>
          </w:p>
        </w:tc>
        <w:tc>
          <w:tcPr>
            <w:tcW w:w="541" w:type="pct"/>
            <w:tcBorders>
              <w:top w:val="nil"/>
              <w:left w:val="nil"/>
              <w:bottom w:val="nil"/>
              <w:right w:val="nil"/>
            </w:tcBorders>
            <w:shd w:val="clear" w:color="auto" w:fill="auto"/>
            <w:vAlign w:val="bottom"/>
          </w:tcPr>
          <w:p w14:paraId="249B0AE7"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75,433 </w:t>
            </w:r>
          </w:p>
        </w:tc>
        <w:tc>
          <w:tcPr>
            <w:tcW w:w="542" w:type="pct"/>
            <w:tcBorders>
              <w:top w:val="nil"/>
              <w:left w:val="nil"/>
              <w:bottom w:val="nil"/>
              <w:right w:val="nil"/>
            </w:tcBorders>
            <w:shd w:val="clear" w:color="auto" w:fill="auto"/>
            <w:vAlign w:val="bottom"/>
          </w:tcPr>
          <w:p w14:paraId="6AFE042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70,735 </w:t>
            </w:r>
          </w:p>
        </w:tc>
        <w:tc>
          <w:tcPr>
            <w:tcW w:w="529" w:type="pct"/>
            <w:tcBorders>
              <w:top w:val="nil"/>
              <w:left w:val="nil"/>
              <w:bottom w:val="nil"/>
              <w:right w:val="nil"/>
            </w:tcBorders>
            <w:shd w:val="clear" w:color="auto" w:fill="auto"/>
            <w:vAlign w:val="bottom"/>
          </w:tcPr>
          <w:p w14:paraId="2DF31E6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1,024,623 </w:t>
            </w:r>
          </w:p>
        </w:tc>
      </w:tr>
      <w:tr w:rsidR="00587444" w:rsidRPr="00587444" w14:paraId="0174AB3D" w14:textId="77777777" w:rsidTr="00DD69E7">
        <w:trPr>
          <w:trHeight w:hRule="exact" w:val="270"/>
        </w:trPr>
        <w:tc>
          <w:tcPr>
            <w:tcW w:w="1767" w:type="pct"/>
            <w:vAlign w:val="bottom"/>
          </w:tcPr>
          <w:p w14:paraId="0E54D1BD" w14:textId="77777777" w:rsidR="00587444" w:rsidRPr="00587444" w:rsidRDefault="00587444" w:rsidP="00587444">
            <w:pPr>
              <w:tabs>
                <w:tab w:val="right" w:pos="1202"/>
              </w:tabs>
              <w:suppressAutoHyphens w:val="0"/>
              <w:autoSpaceDN/>
              <w:spacing w:line="200" w:lineRule="exact"/>
              <w:outlineLvl w:val="0"/>
              <w:rPr>
                <w:rFonts w:ascii="Arial" w:hAnsi="Arial" w:cs="Arial"/>
                <w:sz w:val="17"/>
                <w:szCs w:val="17"/>
              </w:rPr>
            </w:pPr>
            <w:bookmarkStart w:id="1183" w:name="_Toc4062042"/>
            <w:r w:rsidRPr="00587444">
              <w:rPr>
                <w:rFonts w:ascii="Arial" w:hAnsi="Arial" w:cs="Arial"/>
                <w:spacing w:val="-2"/>
                <w:sz w:val="17"/>
                <w:szCs w:val="17"/>
              </w:rPr>
              <w:t>Borrowings</w:t>
            </w:r>
            <w:bookmarkEnd w:id="1183"/>
            <w:r w:rsidRPr="00587444">
              <w:rPr>
                <w:rFonts w:ascii="Arial" w:hAnsi="Arial" w:cs="Arial"/>
                <w:spacing w:val="-2"/>
                <w:sz w:val="17"/>
                <w:szCs w:val="17"/>
              </w:rPr>
              <w:t xml:space="preserve"> </w:t>
            </w:r>
          </w:p>
        </w:tc>
        <w:tc>
          <w:tcPr>
            <w:tcW w:w="538" w:type="pct"/>
            <w:tcBorders>
              <w:top w:val="nil"/>
              <w:left w:val="nil"/>
              <w:bottom w:val="nil"/>
              <w:right w:val="nil"/>
            </w:tcBorders>
            <w:shd w:val="clear" w:color="auto" w:fill="auto"/>
            <w:vAlign w:val="bottom"/>
          </w:tcPr>
          <w:p w14:paraId="66FEED97"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555,327 </w:t>
            </w:r>
          </w:p>
        </w:tc>
        <w:tc>
          <w:tcPr>
            <w:tcW w:w="541" w:type="pct"/>
            <w:tcBorders>
              <w:top w:val="nil"/>
              <w:left w:val="nil"/>
              <w:bottom w:val="nil"/>
              <w:right w:val="nil"/>
            </w:tcBorders>
            <w:shd w:val="clear" w:color="auto" w:fill="auto"/>
            <w:vAlign w:val="bottom"/>
          </w:tcPr>
          <w:p w14:paraId="5CEDA0F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309,534* </w:t>
            </w:r>
          </w:p>
        </w:tc>
        <w:tc>
          <w:tcPr>
            <w:tcW w:w="542" w:type="pct"/>
            <w:tcBorders>
              <w:top w:val="nil"/>
              <w:left w:val="nil"/>
              <w:bottom w:val="nil"/>
              <w:right w:val="nil"/>
            </w:tcBorders>
            <w:shd w:val="clear" w:color="auto" w:fill="auto"/>
            <w:vAlign w:val="bottom"/>
          </w:tcPr>
          <w:p w14:paraId="2344AE7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3,254,598 </w:t>
            </w:r>
          </w:p>
        </w:tc>
        <w:tc>
          <w:tcPr>
            <w:tcW w:w="541" w:type="pct"/>
            <w:tcBorders>
              <w:top w:val="nil"/>
              <w:left w:val="nil"/>
              <w:bottom w:val="nil"/>
              <w:right w:val="nil"/>
            </w:tcBorders>
            <w:shd w:val="clear" w:color="auto" w:fill="auto"/>
            <w:vAlign w:val="bottom"/>
          </w:tcPr>
          <w:p w14:paraId="1CE52448"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5,291,478 </w:t>
            </w:r>
          </w:p>
        </w:tc>
        <w:tc>
          <w:tcPr>
            <w:tcW w:w="542" w:type="pct"/>
            <w:tcBorders>
              <w:top w:val="nil"/>
              <w:left w:val="nil"/>
              <w:bottom w:val="nil"/>
              <w:right w:val="nil"/>
            </w:tcBorders>
            <w:shd w:val="clear" w:color="auto" w:fill="auto"/>
            <w:vAlign w:val="bottom"/>
          </w:tcPr>
          <w:p w14:paraId="1DADA1F8"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7,090,339 </w:t>
            </w:r>
          </w:p>
        </w:tc>
        <w:tc>
          <w:tcPr>
            <w:tcW w:w="529" w:type="pct"/>
            <w:tcBorders>
              <w:top w:val="nil"/>
              <w:left w:val="nil"/>
              <w:bottom w:val="nil"/>
              <w:right w:val="nil"/>
            </w:tcBorders>
            <w:shd w:val="clear" w:color="auto" w:fill="auto"/>
            <w:vAlign w:val="bottom"/>
          </w:tcPr>
          <w:p w14:paraId="292B695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16,501,276 </w:t>
            </w:r>
          </w:p>
        </w:tc>
      </w:tr>
      <w:tr w:rsidR="00587444" w:rsidRPr="00587444" w14:paraId="47E51A1E" w14:textId="77777777" w:rsidTr="00DD69E7">
        <w:trPr>
          <w:trHeight w:hRule="exact" w:val="401"/>
        </w:trPr>
        <w:tc>
          <w:tcPr>
            <w:tcW w:w="1767" w:type="pct"/>
            <w:vAlign w:val="bottom"/>
          </w:tcPr>
          <w:p w14:paraId="73D9EFF7" w14:textId="77777777" w:rsidR="00587444" w:rsidRPr="00587444" w:rsidRDefault="00587444" w:rsidP="00587444">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Provisions for guarantees, commitments and other liabilities</w:t>
            </w:r>
          </w:p>
        </w:tc>
        <w:tc>
          <w:tcPr>
            <w:tcW w:w="538" w:type="pct"/>
            <w:tcBorders>
              <w:top w:val="nil"/>
              <w:left w:val="nil"/>
              <w:bottom w:val="nil"/>
              <w:right w:val="nil"/>
            </w:tcBorders>
            <w:shd w:val="clear" w:color="auto" w:fill="auto"/>
            <w:vAlign w:val="bottom"/>
          </w:tcPr>
          <w:p w14:paraId="0AD7C867" w14:textId="77777777" w:rsidR="00587444" w:rsidRPr="00587444" w:rsidDel="00E052C8" w:rsidRDefault="00587444" w:rsidP="00587444">
            <w:pPr>
              <w:tabs>
                <w:tab w:val="right" w:pos="1202"/>
              </w:tabs>
              <w:suppressAutoHyphens w:val="0"/>
              <w:autoSpaceDN/>
              <w:spacing w:line="240" w:lineRule="exact"/>
              <w:jc w:val="right"/>
              <w:outlineLvl w:val="0"/>
              <w:rPr>
                <w:rFonts w:ascii="Arial" w:hAnsi="Arial" w:cs="Arial"/>
                <w:sz w:val="17"/>
                <w:szCs w:val="17"/>
              </w:rPr>
            </w:pPr>
            <w:r w:rsidRPr="00587444">
              <w:rPr>
                <w:rFonts w:ascii="Arial" w:hAnsi="Arial" w:cs="Arial"/>
                <w:color w:val="000000"/>
                <w:sz w:val="17"/>
                <w:szCs w:val="17"/>
              </w:rPr>
              <w:t xml:space="preserve"> 104,063 </w:t>
            </w:r>
          </w:p>
        </w:tc>
        <w:tc>
          <w:tcPr>
            <w:tcW w:w="541" w:type="pct"/>
            <w:tcBorders>
              <w:top w:val="nil"/>
              <w:left w:val="nil"/>
              <w:bottom w:val="nil"/>
              <w:right w:val="nil"/>
            </w:tcBorders>
            <w:shd w:val="clear" w:color="auto" w:fill="auto"/>
            <w:vAlign w:val="bottom"/>
          </w:tcPr>
          <w:p w14:paraId="132FC534" w14:textId="77777777" w:rsidR="00587444" w:rsidRPr="00587444" w:rsidDel="00E052C8" w:rsidRDefault="00587444" w:rsidP="00587444">
            <w:pPr>
              <w:tabs>
                <w:tab w:val="right" w:pos="1202"/>
              </w:tabs>
              <w:suppressAutoHyphens w:val="0"/>
              <w:autoSpaceDN/>
              <w:spacing w:line="240" w:lineRule="exact"/>
              <w:jc w:val="right"/>
              <w:outlineLvl w:val="0"/>
              <w:rPr>
                <w:rFonts w:ascii="Arial" w:hAnsi="Arial" w:cs="Arial"/>
                <w:sz w:val="17"/>
                <w:szCs w:val="17"/>
              </w:rPr>
            </w:pPr>
            <w:r w:rsidRPr="00587444">
              <w:rPr>
                <w:rFonts w:ascii="Arial" w:hAnsi="Arial" w:cs="Arial"/>
                <w:color w:val="000000"/>
                <w:sz w:val="17"/>
                <w:szCs w:val="17"/>
              </w:rPr>
              <w:t xml:space="preserve"> 2,702 </w:t>
            </w:r>
          </w:p>
        </w:tc>
        <w:tc>
          <w:tcPr>
            <w:tcW w:w="542" w:type="pct"/>
            <w:tcBorders>
              <w:top w:val="nil"/>
              <w:left w:val="nil"/>
              <w:bottom w:val="nil"/>
              <w:right w:val="nil"/>
            </w:tcBorders>
            <w:shd w:val="clear" w:color="auto" w:fill="auto"/>
            <w:vAlign w:val="bottom"/>
          </w:tcPr>
          <w:p w14:paraId="2AAD0EB2" w14:textId="77777777" w:rsidR="00587444" w:rsidRPr="00587444" w:rsidDel="00E052C8" w:rsidRDefault="00587444" w:rsidP="00587444">
            <w:pPr>
              <w:tabs>
                <w:tab w:val="right" w:pos="1202"/>
              </w:tabs>
              <w:suppressAutoHyphens w:val="0"/>
              <w:autoSpaceDN/>
              <w:spacing w:line="240" w:lineRule="exact"/>
              <w:jc w:val="right"/>
              <w:outlineLvl w:val="0"/>
              <w:rPr>
                <w:rFonts w:ascii="Arial" w:hAnsi="Arial" w:cs="Arial"/>
                <w:sz w:val="17"/>
                <w:szCs w:val="17"/>
              </w:rPr>
            </w:pPr>
            <w:r w:rsidRPr="00587444">
              <w:rPr>
                <w:rFonts w:ascii="Arial" w:hAnsi="Arial" w:cs="Arial"/>
                <w:color w:val="000000"/>
                <w:sz w:val="17"/>
                <w:szCs w:val="17"/>
              </w:rPr>
              <w:t xml:space="preserve"> 9,975 </w:t>
            </w:r>
          </w:p>
        </w:tc>
        <w:tc>
          <w:tcPr>
            <w:tcW w:w="541" w:type="pct"/>
            <w:tcBorders>
              <w:top w:val="nil"/>
              <w:left w:val="nil"/>
              <w:bottom w:val="nil"/>
              <w:right w:val="nil"/>
            </w:tcBorders>
            <w:shd w:val="clear" w:color="auto" w:fill="auto"/>
            <w:vAlign w:val="bottom"/>
          </w:tcPr>
          <w:p w14:paraId="4C197BFC" w14:textId="77777777" w:rsidR="00587444" w:rsidRPr="00587444" w:rsidDel="00E052C8" w:rsidRDefault="00587444" w:rsidP="00587444">
            <w:pPr>
              <w:tabs>
                <w:tab w:val="right" w:pos="1202"/>
              </w:tabs>
              <w:suppressAutoHyphens w:val="0"/>
              <w:autoSpaceDN/>
              <w:spacing w:line="240" w:lineRule="exact"/>
              <w:jc w:val="right"/>
              <w:outlineLvl w:val="0"/>
              <w:rPr>
                <w:rFonts w:ascii="Arial" w:hAnsi="Arial" w:cs="Arial"/>
                <w:sz w:val="17"/>
                <w:szCs w:val="17"/>
              </w:rPr>
            </w:pPr>
            <w:r w:rsidRPr="00587444">
              <w:rPr>
                <w:rFonts w:ascii="Arial" w:hAnsi="Arial" w:cs="Arial"/>
                <w:color w:val="000000"/>
                <w:sz w:val="17"/>
                <w:szCs w:val="17"/>
              </w:rPr>
              <w:t xml:space="preserve"> 18,037 </w:t>
            </w:r>
          </w:p>
        </w:tc>
        <w:tc>
          <w:tcPr>
            <w:tcW w:w="542" w:type="pct"/>
            <w:tcBorders>
              <w:top w:val="nil"/>
              <w:left w:val="nil"/>
              <w:bottom w:val="nil"/>
              <w:right w:val="nil"/>
            </w:tcBorders>
            <w:shd w:val="clear" w:color="auto" w:fill="auto"/>
            <w:vAlign w:val="bottom"/>
          </w:tcPr>
          <w:p w14:paraId="08B64AAB" w14:textId="77777777" w:rsidR="00587444" w:rsidRPr="00587444" w:rsidDel="00E052C8" w:rsidRDefault="00587444" w:rsidP="00587444">
            <w:pPr>
              <w:tabs>
                <w:tab w:val="right" w:pos="1202"/>
              </w:tabs>
              <w:suppressAutoHyphens w:val="0"/>
              <w:autoSpaceDN/>
              <w:spacing w:line="240" w:lineRule="exact"/>
              <w:jc w:val="right"/>
              <w:outlineLvl w:val="0"/>
              <w:rPr>
                <w:rFonts w:ascii="Arial" w:hAnsi="Arial" w:cs="Arial"/>
                <w:sz w:val="17"/>
                <w:szCs w:val="17"/>
              </w:rPr>
            </w:pPr>
            <w:r w:rsidRPr="00587444">
              <w:rPr>
                <w:rFonts w:ascii="Arial" w:hAnsi="Arial" w:cs="Arial"/>
                <w:color w:val="000000"/>
                <w:sz w:val="17"/>
                <w:szCs w:val="17"/>
              </w:rPr>
              <w:t xml:space="preserve"> 7,938 </w:t>
            </w:r>
          </w:p>
        </w:tc>
        <w:tc>
          <w:tcPr>
            <w:tcW w:w="529" w:type="pct"/>
            <w:tcBorders>
              <w:top w:val="nil"/>
              <w:left w:val="nil"/>
              <w:bottom w:val="nil"/>
              <w:right w:val="nil"/>
            </w:tcBorders>
            <w:shd w:val="clear" w:color="auto" w:fill="auto"/>
            <w:vAlign w:val="bottom"/>
          </w:tcPr>
          <w:p w14:paraId="545B269C" w14:textId="77777777" w:rsidR="00587444" w:rsidRPr="00587444" w:rsidDel="00E052C8" w:rsidRDefault="00587444" w:rsidP="00587444">
            <w:pPr>
              <w:tabs>
                <w:tab w:val="right" w:pos="1202"/>
              </w:tabs>
              <w:suppressAutoHyphens w:val="0"/>
              <w:autoSpaceDN/>
              <w:spacing w:line="240" w:lineRule="exact"/>
              <w:jc w:val="right"/>
              <w:outlineLvl w:val="0"/>
              <w:rPr>
                <w:rFonts w:ascii="Arial" w:hAnsi="Arial" w:cs="Arial"/>
                <w:sz w:val="17"/>
                <w:szCs w:val="17"/>
              </w:rPr>
            </w:pPr>
            <w:r w:rsidRPr="00587444">
              <w:rPr>
                <w:rFonts w:ascii="Arial" w:hAnsi="Arial" w:cs="Arial"/>
                <w:color w:val="000000"/>
                <w:sz w:val="17"/>
                <w:szCs w:val="17"/>
              </w:rPr>
              <w:t xml:space="preserve"> 142,715 </w:t>
            </w:r>
          </w:p>
        </w:tc>
      </w:tr>
      <w:tr w:rsidR="00587444" w:rsidRPr="00587444" w14:paraId="0899C78E" w14:textId="77777777" w:rsidTr="00DD69E7">
        <w:trPr>
          <w:trHeight w:hRule="exact" w:val="270"/>
        </w:trPr>
        <w:tc>
          <w:tcPr>
            <w:tcW w:w="1767" w:type="pct"/>
            <w:vAlign w:val="bottom"/>
          </w:tcPr>
          <w:p w14:paraId="3B27DCDF" w14:textId="77777777" w:rsidR="00587444" w:rsidRPr="00587444" w:rsidRDefault="00587444" w:rsidP="00587444">
            <w:pPr>
              <w:tabs>
                <w:tab w:val="right" w:pos="1202"/>
              </w:tabs>
              <w:suppressAutoHyphens w:val="0"/>
              <w:autoSpaceDN/>
              <w:spacing w:line="200" w:lineRule="exact"/>
              <w:outlineLvl w:val="0"/>
              <w:rPr>
                <w:rFonts w:ascii="Arial" w:hAnsi="Arial" w:cs="Arial"/>
                <w:sz w:val="17"/>
                <w:szCs w:val="17"/>
              </w:rPr>
            </w:pPr>
            <w:bookmarkStart w:id="1184" w:name="_Toc4062056"/>
            <w:r w:rsidRPr="00587444">
              <w:rPr>
                <w:rFonts w:ascii="Arial" w:hAnsi="Arial" w:cs="Arial"/>
                <w:spacing w:val="-2"/>
                <w:sz w:val="17"/>
                <w:szCs w:val="17"/>
              </w:rPr>
              <w:t>Other liabilities</w:t>
            </w:r>
            <w:bookmarkEnd w:id="1184"/>
            <w:r w:rsidRPr="00587444">
              <w:rPr>
                <w:rFonts w:ascii="Arial" w:hAnsi="Arial" w:cs="Arial"/>
                <w:spacing w:val="-2"/>
                <w:sz w:val="17"/>
                <w:szCs w:val="17"/>
              </w:rPr>
              <w:t xml:space="preserve"> </w:t>
            </w:r>
          </w:p>
        </w:tc>
        <w:tc>
          <w:tcPr>
            <w:tcW w:w="538" w:type="pct"/>
            <w:tcBorders>
              <w:top w:val="nil"/>
              <w:left w:val="nil"/>
              <w:bottom w:val="nil"/>
              <w:right w:val="nil"/>
            </w:tcBorders>
            <w:shd w:val="clear" w:color="auto" w:fill="auto"/>
            <w:vAlign w:val="bottom"/>
          </w:tcPr>
          <w:p w14:paraId="0351270A"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477,310 </w:t>
            </w:r>
          </w:p>
        </w:tc>
        <w:tc>
          <w:tcPr>
            <w:tcW w:w="541" w:type="pct"/>
            <w:tcBorders>
              <w:top w:val="nil"/>
              <w:left w:val="nil"/>
              <w:bottom w:val="nil"/>
              <w:right w:val="nil"/>
            </w:tcBorders>
            <w:shd w:val="clear" w:color="auto" w:fill="auto"/>
            <w:vAlign w:val="bottom"/>
          </w:tcPr>
          <w:p w14:paraId="5B535DCF"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20,726 </w:t>
            </w:r>
          </w:p>
        </w:tc>
        <w:tc>
          <w:tcPr>
            <w:tcW w:w="542" w:type="pct"/>
            <w:tcBorders>
              <w:top w:val="nil"/>
              <w:left w:val="nil"/>
              <w:bottom w:val="nil"/>
              <w:right w:val="nil"/>
            </w:tcBorders>
            <w:shd w:val="clear" w:color="auto" w:fill="auto"/>
            <w:vAlign w:val="bottom"/>
          </w:tcPr>
          <w:p w14:paraId="2842AA5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54,116 </w:t>
            </w:r>
          </w:p>
        </w:tc>
        <w:tc>
          <w:tcPr>
            <w:tcW w:w="541" w:type="pct"/>
            <w:tcBorders>
              <w:top w:val="nil"/>
              <w:left w:val="nil"/>
              <w:bottom w:val="nil"/>
              <w:right w:val="nil"/>
            </w:tcBorders>
            <w:shd w:val="clear" w:color="auto" w:fill="auto"/>
            <w:vAlign w:val="bottom"/>
          </w:tcPr>
          <w:p w14:paraId="208E8C4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91,723 </w:t>
            </w:r>
          </w:p>
        </w:tc>
        <w:tc>
          <w:tcPr>
            <w:tcW w:w="542" w:type="pct"/>
            <w:tcBorders>
              <w:top w:val="nil"/>
              <w:left w:val="nil"/>
              <w:bottom w:val="nil"/>
              <w:right w:val="nil"/>
            </w:tcBorders>
            <w:shd w:val="clear" w:color="auto" w:fill="auto"/>
            <w:vAlign w:val="bottom"/>
          </w:tcPr>
          <w:p w14:paraId="17A929A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32,648 </w:t>
            </w:r>
          </w:p>
        </w:tc>
        <w:tc>
          <w:tcPr>
            <w:tcW w:w="529" w:type="pct"/>
            <w:tcBorders>
              <w:top w:val="nil"/>
              <w:left w:val="nil"/>
              <w:bottom w:val="nil"/>
              <w:right w:val="nil"/>
            </w:tcBorders>
            <w:shd w:val="clear" w:color="auto" w:fill="auto"/>
            <w:vAlign w:val="bottom"/>
          </w:tcPr>
          <w:p w14:paraId="4FAF068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676,523 </w:t>
            </w:r>
          </w:p>
        </w:tc>
      </w:tr>
      <w:tr w:rsidR="00587444" w:rsidRPr="00587444" w14:paraId="78C4DD33" w14:textId="77777777" w:rsidTr="00DD69E7">
        <w:trPr>
          <w:trHeight w:hRule="exact" w:val="270"/>
        </w:trPr>
        <w:tc>
          <w:tcPr>
            <w:tcW w:w="1767" w:type="pct"/>
            <w:vAlign w:val="bottom"/>
          </w:tcPr>
          <w:p w14:paraId="0E893EA6" w14:textId="77777777" w:rsidR="00587444" w:rsidRPr="00587444" w:rsidRDefault="00587444" w:rsidP="00587444">
            <w:pPr>
              <w:tabs>
                <w:tab w:val="right" w:pos="1202"/>
              </w:tabs>
              <w:suppressAutoHyphens w:val="0"/>
              <w:autoSpaceDN/>
              <w:spacing w:line="200" w:lineRule="exact"/>
              <w:outlineLvl w:val="0"/>
              <w:rPr>
                <w:rFonts w:ascii="Arial" w:hAnsi="Arial" w:cs="Arial"/>
                <w:b/>
                <w:bCs/>
                <w:sz w:val="17"/>
                <w:szCs w:val="17"/>
              </w:rPr>
            </w:pPr>
            <w:bookmarkStart w:id="1185" w:name="_Toc4062063"/>
            <w:r w:rsidRPr="00587444">
              <w:rPr>
                <w:rFonts w:ascii="Arial" w:hAnsi="Arial" w:cs="Arial"/>
                <w:b/>
                <w:bCs/>
                <w:sz w:val="17"/>
                <w:szCs w:val="17"/>
              </w:rPr>
              <w:t>Total liabilities</w:t>
            </w:r>
            <w:bookmarkEnd w:id="1185"/>
            <w:r w:rsidRPr="00587444">
              <w:rPr>
                <w:rFonts w:ascii="Arial" w:hAnsi="Arial" w:cs="Arial"/>
                <w:b/>
                <w:bCs/>
                <w:sz w:val="17"/>
                <w:szCs w:val="17"/>
              </w:rPr>
              <w:t xml:space="preserve"> </w:t>
            </w:r>
          </w:p>
        </w:tc>
        <w:tc>
          <w:tcPr>
            <w:tcW w:w="538" w:type="pct"/>
            <w:tcBorders>
              <w:top w:val="single" w:sz="8" w:space="0" w:color="auto"/>
              <w:left w:val="nil"/>
              <w:bottom w:val="single" w:sz="8" w:space="0" w:color="auto"/>
              <w:right w:val="nil"/>
            </w:tcBorders>
            <w:shd w:val="clear" w:color="auto" w:fill="auto"/>
            <w:vAlign w:val="bottom"/>
          </w:tcPr>
          <w:p w14:paraId="4235124A"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 1,875,663 </w:t>
            </w:r>
          </w:p>
        </w:tc>
        <w:tc>
          <w:tcPr>
            <w:tcW w:w="541" w:type="pct"/>
            <w:tcBorders>
              <w:top w:val="single" w:sz="8" w:space="0" w:color="auto"/>
              <w:left w:val="nil"/>
              <w:bottom w:val="single" w:sz="8" w:space="0" w:color="auto"/>
              <w:right w:val="nil"/>
            </w:tcBorders>
            <w:shd w:val="clear" w:color="auto" w:fill="auto"/>
            <w:vAlign w:val="bottom"/>
          </w:tcPr>
          <w:p w14:paraId="090B6C4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 362,299 </w:t>
            </w:r>
          </w:p>
        </w:tc>
        <w:tc>
          <w:tcPr>
            <w:tcW w:w="542" w:type="pct"/>
            <w:tcBorders>
              <w:top w:val="single" w:sz="8" w:space="0" w:color="auto"/>
              <w:left w:val="nil"/>
              <w:bottom w:val="single" w:sz="8" w:space="0" w:color="auto"/>
              <w:right w:val="nil"/>
            </w:tcBorders>
            <w:shd w:val="clear" w:color="auto" w:fill="auto"/>
            <w:vAlign w:val="bottom"/>
          </w:tcPr>
          <w:p w14:paraId="164515D7"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3,428,844 </w:t>
            </w:r>
          </w:p>
        </w:tc>
        <w:tc>
          <w:tcPr>
            <w:tcW w:w="541" w:type="pct"/>
            <w:tcBorders>
              <w:top w:val="single" w:sz="8" w:space="0" w:color="auto"/>
              <w:left w:val="nil"/>
              <w:bottom w:val="single" w:sz="8" w:space="0" w:color="auto"/>
              <w:right w:val="nil"/>
            </w:tcBorders>
            <w:shd w:val="clear" w:color="auto" w:fill="auto"/>
            <w:vAlign w:val="bottom"/>
          </w:tcPr>
          <w:p w14:paraId="7363A83A"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5,476,671 </w:t>
            </w:r>
          </w:p>
        </w:tc>
        <w:tc>
          <w:tcPr>
            <w:tcW w:w="542" w:type="pct"/>
            <w:tcBorders>
              <w:top w:val="single" w:sz="8" w:space="0" w:color="auto"/>
              <w:left w:val="nil"/>
              <w:bottom w:val="single" w:sz="8" w:space="0" w:color="auto"/>
              <w:right w:val="nil"/>
            </w:tcBorders>
            <w:shd w:val="clear" w:color="auto" w:fill="auto"/>
            <w:vAlign w:val="bottom"/>
          </w:tcPr>
          <w:p w14:paraId="5139B21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 7,201,660 </w:t>
            </w:r>
          </w:p>
        </w:tc>
        <w:tc>
          <w:tcPr>
            <w:tcW w:w="529" w:type="pct"/>
            <w:tcBorders>
              <w:top w:val="single" w:sz="8" w:space="0" w:color="auto"/>
              <w:left w:val="nil"/>
              <w:bottom w:val="single" w:sz="8" w:space="0" w:color="auto"/>
              <w:right w:val="nil"/>
            </w:tcBorders>
            <w:shd w:val="clear" w:color="auto" w:fill="auto"/>
            <w:vAlign w:val="bottom"/>
          </w:tcPr>
          <w:p w14:paraId="2D719098"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18,345,137 </w:t>
            </w:r>
          </w:p>
        </w:tc>
      </w:tr>
      <w:tr w:rsidR="00587444" w:rsidRPr="00587444" w14:paraId="6F6CE696" w14:textId="77777777" w:rsidTr="00DD69E7">
        <w:trPr>
          <w:trHeight w:hRule="exact" w:val="407"/>
        </w:trPr>
        <w:tc>
          <w:tcPr>
            <w:tcW w:w="1767" w:type="pct"/>
            <w:vAlign w:val="bottom"/>
          </w:tcPr>
          <w:p w14:paraId="3366E065" w14:textId="77777777" w:rsidR="00587444" w:rsidRPr="00587444" w:rsidRDefault="00587444" w:rsidP="00587444">
            <w:pPr>
              <w:tabs>
                <w:tab w:val="right" w:pos="1202"/>
              </w:tabs>
              <w:suppressAutoHyphens w:val="0"/>
              <w:autoSpaceDN/>
              <w:spacing w:line="200" w:lineRule="exact"/>
              <w:outlineLvl w:val="0"/>
              <w:rPr>
                <w:rFonts w:ascii="Arial" w:hAnsi="Arial" w:cs="Arial"/>
                <w:b/>
                <w:bCs/>
                <w:spacing w:val="-2"/>
                <w:sz w:val="17"/>
                <w:szCs w:val="17"/>
              </w:rPr>
            </w:pPr>
            <w:bookmarkStart w:id="1186" w:name="_Toc4062070"/>
            <w:r w:rsidRPr="00587444">
              <w:rPr>
                <w:rFonts w:ascii="Arial" w:hAnsi="Arial" w:cs="Arial"/>
                <w:b/>
                <w:bCs/>
                <w:spacing w:val="-2"/>
                <w:sz w:val="17"/>
                <w:szCs w:val="17"/>
              </w:rPr>
              <w:t>Liquidity gap</w:t>
            </w:r>
            <w:bookmarkEnd w:id="1186"/>
          </w:p>
        </w:tc>
        <w:tc>
          <w:tcPr>
            <w:tcW w:w="538" w:type="pct"/>
            <w:tcBorders>
              <w:top w:val="single" w:sz="4" w:space="0" w:color="auto"/>
              <w:left w:val="nil"/>
              <w:bottom w:val="single" w:sz="8" w:space="0" w:color="auto"/>
              <w:right w:val="nil"/>
            </w:tcBorders>
            <w:shd w:val="clear" w:color="auto" w:fill="auto"/>
            <w:vAlign w:val="bottom"/>
          </w:tcPr>
          <w:p w14:paraId="0CBB47B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 4,337,892 </w:t>
            </w:r>
          </w:p>
        </w:tc>
        <w:tc>
          <w:tcPr>
            <w:tcW w:w="541" w:type="pct"/>
            <w:tcBorders>
              <w:top w:val="single" w:sz="4" w:space="0" w:color="auto"/>
              <w:left w:val="nil"/>
              <w:bottom w:val="single" w:sz="8" w:space="0" w:color="auto"/>
              <w:right w:val="nil"/>
            </w:tcBorders>
            <w:shd w:val="clear" w:color="auto" w:fill="auto"/>
            <w:vAlign w:val="bottom"/>
          </w:tcPr>
          <w:p w14:paraId="07BA8309"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 405,529 </w:t>
            </w:r>
          </w:p>
        </w:tc>
        <w:tc>
          <w:tcPr>
            <w:tcW w:w="542" w:type="pct"/>
            <w:tcBorders>
              <w:top w:val="single" w:sz="4" w:space="0" w:color="auto"/>
              <w:left w:val="nil"/>
              <w:bottom w:val="single" w:sz="8" w:space="0" w:color="auto"/>
              <w:right w:val="nil"/>
            </w:tcBorders>
            <w:shd w:val="clear" w:color="auto" w:fill="auto"/>
            <w:vAlign w:val="bottom"/>
          </w:tcPr>
          <w:p w14:paraId="19419E0E"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(487,571)</w:t>
            </w:r>
          </w:p>
        </w:tc>
        <w:tc>
          <w:tcPr>
            <w:tcW w:w="541" w:type="pct"/>
            <w:tcBorders>
              <w:top w:val="single" w:sz="4" w:space="0" w:color="auto"/>
              <w:left w:val="nil"/>
              <w:bottom w:val="single" w:sz="8" w:space="0" w:color="auto"/>
              <w:right w:val="nil"/>
            </w:tcBorders>
            <w:shd w:val="clear" w:color="auto" w:fill="auto"/>
            <w:vAlign w:val="bottom"/>
          </w:tcPr>
          <w:p w14:paraId="055931E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 811,239 </w:t>
            </w:r>
          </w:p>
        </w:tc>
        <w:tc>
          <w:tcPr>
            <w:tcW w:w="542" w:type="pct"/>
            <w:tcBorders>
              <w:top w:val="single" w:sz="4" w:space="0" w:color="auto"/>
              <w:left w:val="nil"/>
              <w:bottom w:val="single" w:sz="8" w:space="0" w:color="auto"/>
              <w:right w:val="nil"/>
            </w:tcBorders>
            <w:shd w:val="clear" w:color="auto" w:fill="auto"/>
            <w:vAlign w:val="bottom"/>
          </w:tcPr>
          <w:p w14:paraId="49DBB126"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 5,647,937 </w:t>
            </w:r>
          </w:p>
        </w:tc>
        <w:tc>
          <w:tcPr>
            <w:tcW w:w="529" w:type="pct"/>
            <w:tcBorders>
              <w:top w:val="single" w:sz="4" w:space="0" w:color="auto"/>
              <w:left w:val="nil"/>
              <w:bottom w:val="single" w:sz="8" w:space="0" w:color="auto"/>
              <w:right w:val="nil"/>
            </w:tcBorders>
            <w:shd w:val="clear" w:color="auto" w:fill="auto"/>
            <w:vAlign w:val="bottom"/>
          </w:tcPr>
          <w:p w14:paraId="0C27D6E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10,715,026 </w:t>
            </w:r>
          </w:p>
        </w:tc>
      </w:tr>
      <w:tr w:rsidR="00587444" w:rsidRPr="00587444" w14:paraId="0B76369F" w14:textId="77777777" w:rsidTr="00DD69E7">
        <w:trPr>
          <w:trHeight w:hRule="exact" w:val="270"/>
        </w:trPr>
        <w:tc>
          <w:tcPr>
            <w:tcW w:w="1767" w:type="pct"/>
            <w:vAlign w:val="bottom"/>
          </w:tcPr>
          <w:p w14:paraId="3FD6F3F1" w14:textId="77777777" w:rsidR="00587444" w:rsidRPr="00587444" w:rsidRDefault="00587444" w:rsidP="00587444">
            <w:pPr>
              <w:tabs>
                <w:tab w:val="right" w:pos="1202"/>
              </w:tabs>
              <w:suppressAutoHyphens w:val="0"/>
              <w:autoSpaceDN/>
              <w:spacing w:line="200" w:lineRule="exact"/>
              <w:outlineLvl w:val="0"/>
              <w:rPr>
                <w:rFonts w:ascii="Arial" w:hAnsi="Arial" w:cs="Arial"/>
                <w:b/>
                <w:bCs/>
                <w:spacing w:val="-2"/>
                <w:sz w:val="17"/>
                <w:szCs w:val="17"/>
              </w:rPr>
            </w:pPr>
          </w:p>
        </w:tc>
        <w:tc>
          <w:tcPr>
            <w:tcW w:w="538" w:type="pct"/>
            <w:tcBorders>
              <w:top w:val="single" w:sz="12" w:space="0" w:color="auto"/>
              <w:left w:val="nil"/>
              <w:right w:val="nil"/>
            </w:tcBorders>
            <w:shd w:val="clear" w:color="auto" w:fill="auto"/>
            <w:vAlign w:val="bottom"/>
          </w:tcPr>
          <w:p w14:paraId="34592A4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left w:val="nil"/>
              <w:right w:val="nil"/>
            </w:tcBorders>
            <w:shd w:val="clear" w:color="auto" w:fill="auto"/>
            <w:vAlign w:val="bottom"/>
          </w:tcPr>
          <w:p w14:paraId="5BB8F6A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left w:val="nil"/>
              <w:right w:val="nil"/>
            </w:tcBorders>
            <w:shd w:val="clear" w:color="auto" w:fill="auto"/>
            <w:vAlign w:val="bottom"/>
          </w:tcPr>
          <w:p w14:paraId="61DB82B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left w:val="nil"/>
              <w:right w:val="nil"/>
            </w:tcBorders>
            <w:shd w:val="clear" w:color="auto" w:fill="auto"/>
            <w:vAlign w:val="bottom"/>
          </w:tcPr>
          <w:p w14:paraId="3D319D3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left w:val="nil"/>
              <w:right w:val="nil"/>
            </w:tcBorders>
            <w:shd w:val="clear" w:color="auto" w:fill="auto"/>
            <w:vAlign w:val="bottom"/>
          </w:tcPr>
          <w:p w14:paraId="3369037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29" w:type="pct"/>
            <w:tcBorders>
              <w:top w:val="single" w:sz="12" w:space="0" w:color="auto"/>
              <w:left w:val="nil"/>
              <w:right w:val="nil"/>
            </w:tcBorders>
            <w:shd w:val="clear" w:color="auto" w:fill="auto"/>
            <w:vAlign w:val="bottom"/>
          </w:tcPr>
          <w:p w14:paraId="5EB61CA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r>
      <w:tr w:rsidR="00587444" w:rsidRPr="00587444" w14:paraId="6186CB80" w14:textId="77777777" w:rsidTr="00DD69E7">
        <w:trPr>
          <w:trHeight w:hRule="exact" w:val="270"/>
        </w:trPr>
        <w:tc>
          <w:tcPr>
            <w:tcW w:w="1767" w:type="pct"/>
            <w:vAlign w:val="bottom"/>
          </w:tcPr>
          <w:p w14:paraId="511A2037" w14:textId="77777777" w:rsidR="00587444" w:rsidRPr="00587444" w:rsidRDefault="00587444" w:rsidP="00587444">
            <w:pPr>
              <w:tabs>
                <w:tab w:val="right" w:pos="1202"/>
              </w:tabs>
              <w:suppressAutoHyphens w:val="0"/>
              <w:autoSpaceDN/>
              <w:spacing w:line="200" w:lineRule="exact"/>
              <w:outlineLvl w:val="0"/>
              <w:rPr>
                <w:rFonts w:ascii="Arial" w:hAnsi="Arial" w:cs="Arial"/>
                <w:b/>
                <w:bCs/>
                <w:spacing w:val="-2"/>
                <w:sz w:val="17"/>
                <w:szCs w:val="17"/>
              </w:rPr>
            </w:pPr>
            <w:bookmarkStart w:id="1187" w:name="_Toc4062077"/>
            <w:r w:rsidRPr="00587444">
              <w:rPr>
                <w:rFonts w:ascii="Arial" w:hAnsi="Arial" w:cs="Arial"/>
                <w:b/>
                <w:bCs/>
                <w:spacing w:val="-2"/>
                <w:sz w:val="17"/>
                <w:szCs w:val="17"/>
              </w:rPr>
              <w:t>Guarantees and commitments</w:t>
            </w:r>
            <w:bookmarkEnd w:id="1187"/>
          </w:p>
        </w:tc>
        <w:tc>
          <w:tcPr>
            <w:tcW w:w="538" w:type="pct"/>
            <w:tcBorders>
              <w:top w:val="nil"/>
              <w:left w:val="nil"/>
              <w:bottom w:val="nil"/>
              <w:right w:val="nil"/>
            </w:tcBorders>
            <w:shd w:val="clear" w:color="auto" w:fill="auto"/>
            <w:vAlign w:val="bottom"/>
          </w:tcPr>
          <w:p w14:paraId="7252CF7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nil"/>
              <w:left w:val="nil"/>
              <w:bottom w:val="nil"/>
              <w:right w:val="nil"/>
            </w:tcBorders>
            <w:shd w:val="clear" w:color="auto" w:fill="auto"/>
            <w:vAlign w:val="bottom"/>
          </w:tcPr>
          <w:p w14:paraId="6DEF1C1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nil"/>
              <w:left w:val="nil"/>
              <w:bottom w:val="nil"/>
              <w:right w:val="nil"/>
            </w:tcBorders>
            <w:shd w:val="clear" w:color="auto" w:fill="auto"/>
            <w:vAlign w:val="bottom"/>
          </w:tcPr>
          <w:p w14:paraId="0915A05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nil"/>
              <w:left w:val="nil"/>
              <w:bottom w:val="nil"/>
              <w:right w:val="nil"/>
            </w:tcBorders>
            <w:shd w:val="clear" w:color="auto" w:fill="auto"/>
            <w:vAlign w:val="bottom"/>
          </w:tcPr>
          <w:p w14:paraId="1DB5A29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nil"/>
              <w:left w:val="nil"/>
              <w:bottom w:val="nil"/>
              <w:right w:val="nil"/>
            </w:tcBorders>
            <w:shd w:val="clear" w:color="auto" w:fill="auto"/>
            <w:vAlign w:val="bottom"/>
          </w:tcPr>
          <w:p w14:paraId="5C2B6B6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29" w:type="pct"/>
            <w:tcBorders>
              <w:top w:val="nil"/>
              <w:left w:val="nil"/>
              <w:bottom w:val="nil"/>
              <w:right w:val="nil"/>
            </w:tcBorders>
            <w:shd w:val="clear" w:color="auto" w:fill="auto"/>
            <w:vAlign w:val="bottom"/>
          </w:tcPr>
          <w:p w14:paraId="08C3FB2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r>
      <w:tr w:rsidR="00587444" w:rsidRPr="00587444" w14:paraId="394A1673" w14:textId="77777777" w:rsidTr="00DD69E7">
        <w:trPr>
          <w:trHeight w:hRule="exact" w:val="270"/>
        </w:trPr>
        <w:tc>
          <w:tcPr>
            <w:tcW w:w="1767" w:type="pct"/>
            <w:vAlign w:val="bottom"/>
          </w:tcPr>
          <w:p w14:paraId="0B39E085" w14:textId="77777777" w:rsidR="00587444" w:rsidRPr="00587444" w:rsidRDefault="00587444" w:rsidP="00587444">
            <w:pPr>
              <w:tabs>
                <w:tab w:val="right" w:pos="1202"/>
              </w:tabs>
              <w:suppressAutoHyphens w:val="0"/>
              <w:autoSpaceDN/>
              <w:spacing w:line="200" w:lineRule="exact"/>
              <w:outlineLvl w:val="0"/>
              <w:rPr>
                <w:rFonts w:ascii="Arial" w:hAnsi="Arial" w:cs="Arial"/>
                <w:spacing w:val="-2"/>
                <w:sz w:val="17"/>
                <w:szCs w:val="17"/>
              </w:rPr>
            </w:pPr>
            <w:bookmarkStart w:id="1188" w:name="_Toc4062078"/>
            <w:r w:rsidRPr="00587444">
              <w:rPr>
                <w:rFonts w:ascii="Arial" w:hAnsi="Arial" w:cs="Arial"/>
                <w:spacing w:val="-2"/>
                <w:sz w:val="17"/>
                <w:szCs w:val="17"/>
              </w:rPr>
              <w:t>Guarantees issued in HRK</w:t>
            </w:r>
            <w:bookmarkEnd w:id="1188"/>
          </w:p>
        </w:tc>
        <w:tc>
          <w:tcPr>
            <w:tcW w:w="538" w:type="pct"/>
            <w:tcBorders>
              <w:top w:val="nil"/>
              <w:left w:val="nil"/>
              <w:bottom w:val="nil"/>
              <w:right w:val="nil"/>
            </w:tcBorders>
            <w:shd w:val="clear" w:color="auto" w:fill="auto"/>
            <w:vAlign w:val="bottom"/>
          </w:tcPr>
          <w:p w14:paraId="4666FAD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115,427 </w:t>
            </w:r>
          </w:p>
        </w:tc>
        <w:tc>
          <w:tcPr>
            <w:tcW w:w="541" w:type="pct"/>
            <w:tcBorders>
              <w:top w:val="nil"/>
              <w:left w:val="nil"/>
              <w:bottom w:val="nil"/>
              <w:right w:val="nil"/>
            </w:tcBorders>
            <w:shd w:val="clear" w:color="auto" w:fill="auto"/>
            <w:vAlign w:val="bottom"/>
          </w:tcPr>
          <w:p w14:paraId="77B1467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66E85C6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7B2EB9B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4A97351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25DD63C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115,427 </w:t>
            </w:r>
          </w:p>
        </w:tc>
      </w:tr>
      <w:tr w:rsidR="00587444" w:rsidRPr="00587444" w14:paraId="68EB5F08" w14:textId="77777777" w:rsidTr="00DD69E7">
        <w:trPr>
          <w:trHeight w:hRule="exact" w:val="270"/>
        </w:trPr>
        <w:tc>
          <w:tcPr>
            <w:tcW w:w="1767" w:type="pct"/>
            <w:vAlign w:val="bottom"/>
          </w:tcPr>
          <w:p w14:paraId="6A4BF9FD" w14:textId="77777777" w:rsidR="00587444" w:rsidRPr="00587444" w:rsidRDefault="00587444" w:rsidP="00587444">
            <w:pPr>
              <w:tabs>
                <w:tab w:val="right" w:pos="1202"/>
              </w:tabs>
              <w:suppressAutoHyphens w:val="0"/>
              <w:autoSpaceDN/>
              <w:spacing w:line="200" w:lineRule="exact"/>
              <w:outlineLvl w:val="0"/>
              <w:rPr>
                <w:rFonts w:ascii="Arial" w:hAnsi="Arial" w:cs="Arial"/>
                <w:spacing w:val="-2"/>
                <w:sz w:val="17"/>
                <w:szCs w:val="17"/>
              </w:rPr>
            </w:pPr>
            <w:bookmarkStart w:id="1189" w:name="_Toc4062085"/>
            <w:r w:rsidRPr="00587444">
              <w:rPr>
                <w:rFonts w:ascii="Arial" w:hAnsi="Arial" w:cs="Arial"/>
                <w:spacing w:val="-2"/>
                <w:sz w:val="17"/>
                <w:szCs w:val="17"/>
              </w:rPr>
              <w:t>Issued guarantees in foreign currency</w:t>
            </w:r>
            <w:bookmarkEnd w:id="1189"/>
          </w:p>
        </w:tc>
        <w:tc>
          <w:tcPr>
            <w:tcW w:w="538" w:type="pct"/>
            <w:tcBorders>
              <w:top w:val="nil"/>
              <w:left w:val="nil"/>
              <w:bottom w:val="nil"/>
              <w:right w:val="nil"/>
            </w:tcBorders>
            <w:shd w:val="clear" w:color="auto" w:fill="auto"/>
            <w:vAlign w:val="bottom"/>
          </w:tcPr>
          <w:p w14:paraId="7FC2524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194,098 </w:t>
            </w:r>
          </w:p>
        </w:tc>
        <w:tc>
          <w:tcPr>
            <w:tcW w:w="541" w:type="pct"/>
            <w:tcBorders>
              <w:top w:val="nil"/>
              <w:left w:val="nil"/>
              <w:bottom w:val="nil"/>
              <w:right w:val="nil"/>
            </w:tcBorders>
            <w:shd w:val="clear" w:color="auto" w:fill="auto"/>
            <w:vAlign w:val="bottom"/>
          </w:tcPr>
          <w:p w14:paraId="5CDC235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0443E86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3C380C5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4D3F2E2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0BDAEE0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194,098 </w:t>
            </w:r>
          </w:p>
        </w:tc>
      </w:tr>
      <w:tr w:rsidR="00587444" w:rsidRPr="00587444" w14:paraId="281E3C2A" w14:textId="77777777" w:rsidTr="00DD69E7">
        <w:trPr>
          <w:trHeight w:hRule="exact" w:val="270"/>
        </w:trPr>
        <w:tc>
          <w:tcPr>
            <w:tcW w:w="1767" w:type="pct"/>
            <w:vAlign w:val="bottom"/>
          </w:tcPr>
          <w:p w14:paraId="28A9AED8" w14:textId="501946A9" w:rsidR="00587444" w:rsidRPr="00587444" w:rsidRDefault="00587444" w:rsidP="00587444">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 xml:space="preserve">Open </w:t>
            </w:r>
            <w:r w:rsidR="005D302B" w:rsidRPr="00587444">
              <w:rPr>
                <w:rFonts w:ascii="Arial" w:hAnsi="Arial" w:cs="Arial"/>
                <w:spacing w:val="-2"/>
                <w:sz w:val="17"/>
                <w:szCs w:val="17"/>
              </w:rPr>
              <w:t>letters</w:t>
            </w:r>
            <w:r w:rsidRPr="00587444">
              <w:rPr>
                <w:rFonts w:ascii="Arial" w:hAnsi="Arial" w:cs="Arial"/>
                <w:spacing w:val="-2"/>
                <w:sz w:val="17"/>
                <w:szCs w:val="17"/>
              </w:rPr>
              <w:t xml:space="preserve"> of credit in foreign currency</w:t>
            </w:r>
          </w:p>
        </w:tc>
        <w:tc>
          <w:tcPr>
            <w:tcW w:w="538" w:type="pct"/>
            <w:tcBorders>
              <w:top w:val="nil"/>
              <w:left w:val="nil"/>
              <w:bottom w:val="nil"/>
              <w:right w:val="nil"/>
            </w:tcBorders>
            <w:shd w:val="clear" w:color="auto" w:fill="auto"/>
            <w:vAlign w:val="bottom"/>
          </w:tcPr>
          <w:p w14:paraId="10A54E6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1,243 </w:t>
            </w:r>
          </w:p>
        </w:tc>
        <w:tc>
          <w:tcPr>
            <w:tcW w:w="541" w:type="pct"/>
            <w:tcBorders>
              <w:top w:val="nil"/>
              <w:left w:val="nil"/>
              <w:bottom w:val="nil"/>
              <w:right w:val="nil"/>
            </w:tcBorders>
            <w:shd w:val="clear" w:color="auto" w:fill="auto"/>
            <w:vAlign w:val="bottom"/>
          </w:tcPr>
          <w:p w14:paraId="30BD157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60ED467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09B5A4C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187EC30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520BC1F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1,243 </w:t>
            </w:r>
          </w:p>
        </w:tc>
      </w:tr>
      <w:tr w:rsidR="00587444" w:rsidRPr="00587444" w14:paraId="4D83D87D" w14:textId="77777777" w:rsidTr="00DD69E7">
        <w:trPr>
          <w:trHeight w:hRule="exact" w:val="270"/>
        </w:trPr>
        <w:tc>
          <w:tcPr>
            <w:tcW w:w="1767" w:type="pct"/>
            <w:vAlign w:val="bottom"/>
          </w:tcPr>
          <w:p w14:paraId="2AF6D9A5" w14:textId="77777777" w:rsidR="00587444" w:rsidRPr="00587444" w:rsidRDefault="00587444" w:rsidP="00587444">
            <w:pPr>
              <w:tabs>
                <w:tab w:val="right" w:pos="1202"/>
              </w:tabs>
              <w:suppressAutoHyphens w:val="0"/>
              <w:autoSpaceDN/>
              <w:spacing w:line="200" w:lineRule="exact"/>
              <w:outlineLvl w:val="0"/>
              <w:rPr>
                <w:rFonts w:ascii="Arial" w:hAnsi="Arial" w:cs="Arial"/>
                <w:spacing w:val="-2"/>
                <w:sz w:val="17"/>
                <w:szCs w:val="17"/>
              </w:rPr>
            </w:pPr>
            <w:bookmarkStart w:id="1190" w:name="_Toc4062092"/>
            <w:r w:rsidRPr="00587444">
              <w:rPr>
                <w:rFonts w:ascii="Arial" w:hAnsi="Arial" w:cs="Arial"/>
                <w:spacing w:val="-2"/>
                <w:sz w:val="17"/>
                <w:szCs w:val="17"/>
              </w:rPr>
              <w:t>Undrawn loans</w:t>
            </w:r>
            <w:bookmarkEnd w:id="1190"/>
          </w:p>
        </w:tc>
        <w:tc>
          <w:tcPr>
            <w:tcW w:w="538" w:type="pct"/>
            <w:tcBorders>
              <w:top w:val="nil"/>
              <w:left w:val="nil"/>
              <w:bottom w:val="nil"/>
              <w:right w:val="nil"/>
            </w:tcBorders>
            <w:shd w:val="clear" w:color="auto" w:fill="auto"/>
            <w:vAlign w:val="bottom"/>
          </w:tcPr>
          <w:p w14:paraId="5B08663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2,668,118 </w:t>
            </w:r>
          </w:p>
        </w:tc>
        <w:tc>
          <w:tcPr>
            <w:tcW w:w="541" w:type="pct"/>
            <w:tcBorders>
              <w:top w:val="nil"/>
              <w:left w:val="nil"/>
              <w:bottom w:val="nil"/>
              <w:right w:val="nil"/>
            </w:tcBorders>
            <w:shd w:val="clear" w:color="auto" w:fill="auto"/>
            <w:vAlign w:val="bottom"/>
          </w:tcPr>
          <w:p w14:paraId="6C46D6B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74A8699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7BE8E0A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3000976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21BC3D2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2,668,118 </w:t>
            </w:r>
          </w:p>
        </w:tc>
      </w:tr>
      <w:tr w:rsidR="00587444" w:rsidRPr="00587444" w14:paraId="5FF71D22" w14:textId="77777777" w:rsidTr="00DD69E7">
        <w:trPr>
          <w:trHeight w:hRule="exact" w:val="270"/>
        </w:trPr>
        <w:tc>
          <w:tcPr>
            <w:tcW w:w="1767" w:type="pct"/>
            <w:vAlign w:val="center"/>
          </w:tcPr>
          <w:p w14:paraId="561517E3" w14:textId="77777777" w:rsidR="00587444" w:rsidRPr="00587444" w:rsidRDefault="00587444" w:rsidP="00587444">
            <w:pPr>
              <w:tabs>
                <w:tab w:val="right" w:pos="1202"/>
              </w:tabs>
              <w:suppressAutoHyphens w:val="0"/>
              <w:autoSpaceDN/>
              <w:spacing w:line="200" w:lineRule="exact"/>
              <w:outlineLvl w:val="0"/>
              <w:rPr>
                <w:rFonts w:ascii="Arial" w:hAnsi="Arial" w:cs="Arial"/>
                <w:spacing w:val="-2"/>
                <w:sz w:val="17"/>
                <w:szCs w:val="17"/>
                <w:highlight w:val="yellow"/>
              </w:rPr>
            </w:pPr>
            <w:bookmarkStart w:id="1191" w:name="_Toc4062099"/>
            <w:r w:rsidRPr="00587444">
              <w:rPr>
                <w:rFonts w:ascii="Arial" w:hAnsi="Arial" w:cs="Arial"/>
                <w:sz w:val="17"/>
                <w:szCs w:val="17"/>
              </w:rPr>
              <w:t>EIF – subscribed, not called up capital</w:t>
            </w:r>
            <w:bookmarkEnd w:id="1191"/>
          </w:p>
        </w:tc>
        <w:tc>
          <w:tcPr>
            <w:tcW w:w="538" w:type="pct"/>
            <w:tcBorders>
              <w:top w:val="nil"/>
              <w:left w:val="nil"/>
              <w:bottom w:val="nil"/>
              <w:right w:val="nil"/>
            </w:tcBorders>
            <w:shd w:val="clear" w:color="auto" w:fill="auto"/>
            <w:vAlign w:val="bottom"/>
          </w:tcPr>
          <w:p w14:paraId="02424F9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78,358 </w:t>
            </w:r>
          </w:p>
        </w:tc>
        <w:tc>
          <w:tcPr>
            <w:tcW w:w="541" w:type="pct"/>
            <w:tcBorders>
              <w:top w:val="nil"/>
              <w:left w:val="nil"/>
              <w:bottom w:val="nil"/>
              <w:right w:val="nil"/>
            </w:tcBorders>
            <w:shd w:val="clear" w:color="auto" w:fill="auto"/>
            <w:vAlign w:val="bottom"/>
          </w:tcPr>
          <w:p w14:paraId="44F2F09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3704FAA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55106D5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723FCE4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14D8E5D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78,358 </w:t>
            </w:r>
          </w:p>
        </w:tc>
      </w:tr>
      <w:tr w:rsidR="00587444" w:rsidRPr="00587444" w14:paraId="21CBD5AE" w14:textId="77777777" w:rsidTr="00DD69E7">
        <w:trPr>
          <w:trHeight w:hRule="exact" w:val="270"/>
        </w:trPr>
        <w:tc>
          <w:tcPr>
            <w:tcW w:w="1767" w:type="pct"/>
            <w:tcBorders>
              <w:top w:val="nil"/>
              <w:left w:val="nil"/>
              <w:bottom w:val="nil"/>
              <w:right w:val="nil"/>
            </w:tcBorders>
            <w:shd w:val="clear" w:color="auto" w:fill="auto"/>
            <w:vAlign w:val="bottom"/>
          </w:tcPr>
          <w:p w14:paraId="262596FE" w14:textId="77777777" w:rsidR="00587444" w:rsidRPr="00587444" w:rsidRDefault="00587444" w:rsidP="00587444">
            <w:pPr>
              <w:suppressAutoHyphens w:val="0"/>
              <w:autoSpaceDN/>
              <w:rPr>
                <w:rFonts w:ascii="Arial" w:hAnsi="Arial" w:cs="Arial"/>
                <w:sz w:val="17"/>
                <w:szCs w:val="17"/>
              </w:rPr>
            </w:pPr>
            <w:r w:rsidRPr="00587444">
              <w:rPr>
                <w:rFonts w:ascii="Arial" w:hAnsi="Arial" w:cs="Arial"/>
                <w:color w:val="000000"/>
                <w:sz w:val="17"/>
                <w:szCs w:val="17"/>
                <w:lang w:val="en-GB"/>
              </w:rPr>
              <w:t>EIF CROGIP Contracted Liability</w:t>
            </w:r>
          </w:p>
        </w:tc>
        <w:tc>
          <w:tcPr>
            <w:tcW w:w="538" w:type="pct"/>
            <w:tcBorders>
              <w:top w:val="nil"/>
              <w:left w:val="nil"/>
              <w:bottom w:val="nil"/>
              <w:right w:val="nil"/>
            </w:tcBorders>
            <w:shd w:val="clear" w:color="auto" w:fill="auto"/>
            <w:vAlign w:val="bottom"/>
          </w:tcPr>
          <w:p w14:paraId="0B1E487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23CFE8C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19,328 </w:t>
            </w:r>
          </w:p>
        </w:tc>
        <w:tc>
          <w:tcPr>
            <w:tcW w:w="542" w:type="pct"/>
            <w:tcBorders>
              <w:top w:val="nil"/>
              <w:left w:val="nil"/>
              <w:bottom w:val="nil"/>
              <w:right w:val="nil"/>
            </w:tcBorders>
            <w:shd w:val="clear" w:color="auto" w:fill="auto"/>
            <w:vAlign w:val="bottom"/>
          </w:tcPr>
          <w:p w14:paraId="7A2226C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57,984 </w:t>
            </w:r>
          </w:p>
        </w:tc>
        <w:tc>
          <w:tcPr>
            <w:tcW w:w="541" w:type="pct"/>
            <w:tcBorders>
              <w:top w:val="nil"/>
              <w:left w:val="nil"/>
              <w:bottom w:val="nil"/>
              <w:right w:val="nil"/>
            </w:tcBorders>
            <w:shd w:val="clear" w:color="auto" w:fill="auto"/>
            <w:vAlign w:val="bottom"/>
          </w:tcPr>
          <w:p w14:paraId="0B36B69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106,244 </w:t>
            </w:r>
          </w:p>
        </w:tc>
        <w:tc>
          <w:tcPr>
            <w:tcW w:w="542" w:type="pct"/>
            <w:tcBorders>
              <w:top w:val="nil"/>
              <w:left w:val="nil"/>
              <w:bottom w:val="nil"/>
              <w:right w:val="nil"/>
            </w:tcBorders>
            <w:shd w:val="clear" w:color="auto" w:fill="auto"/>
            <w:vAlign w:val="bottom"/>
          </w:tcPr>
          <w:p w14:paraId="4D07F3C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89,768 </w:t>
            </w:r>
          </w:p>
        </w:tc>
        <w:tc>
          <w:tcPr>
            <w:tcW w:w="529" w:type="pct"/>
            <w:tcBorders>
              <w:top w:val="nil"/>
              <w:left w:val="nil"/>
              <w:bottom w:val="nil"/>
              <w:right w:val="nil"/>
            </w:tcBorders>
            <w:shd w:val="clear" w:color="auto" w:fill="auto"/>
            <w:vAlign w:val="bottom"/>
          </w:tcPr>
          <w:p w14:paraId="4521191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273,324 </w:t>
            </w:r>
          </w:p>
        </w:tc>
      </w:tr>
      <w:tr w:rsidR="00587444" w:rsidRPr="00587444" w14:paraId="4648A950" w14:textId="77777777" w:rsidTr="00DD69E7">
        <w:trPr>
          <w:trHeight w:hRule="exact" w:val="270"/>
        </w:trPr>
        <w:tc>
          <w:tcPr>
            <w:tcW w:w="1767" w:type="pct"/>
            <w:tcBorders>
              <w:top w:val="nil"/>
              <w:left w:val="nil"/>
              <w:bottom w:val="nil"/>
              <w:right w:val="nil"/>
            </w:tcBorders>
            <w:shd w:val="clear" w:color="auto" w:fill="auto"/>
            <w:vAlign w:val="bottom"/>
          </w:tcPr>
          <w:p w14:paraId="23D13DA5" w14:textId="77777777" w:rsidR="00587444" w:rsidRPr="00587444" w:rsidRDefault="00587444" w:rsidP="00587444">
            <w:pPr>
              <w:suppressAutoHyphens w:val="0"/>
              <w:autoSpaceDN/>
              <w:rPr>
                <w:rFonts w:ascii="Arial" w:hAnsi="Arial" w:cs="Arial"/>
                <w:sz w:val="17"/>
                <w:szCs w:val="17"/>
              </w:rPr>
            </w:pPr>
            <w:r w:rsidRPr="00587444">
              <w:rPr>
                <w:rFonts w:ascii="Arial" w:hAnsi="Arial" w:cs="Arial"/>
                <w:color w:val="000000"/>
                <w:sz w:val="17"/>
                <w:szCs w:val="17"/>
                <w:lang w:val="en-GB"/>
              </w:rPr>
              <w:t>EIF FRC2 Contracted Liability</w:t>
            </w:r>
          </w:p>
        </w:tc>
        <w:tc>
          <w:tcPr>
            <w:tcW w:w="538" w:type="pct"/>
            <w:tcBorders>
              <w:top w:val="nil"/>
              <w:left w:val="nil"/>
              <w:bottom w:val="single" w:sz="8" w:space="0" w:color="auto"/>
              <w:right w:val="nil"/>
            </w:tcBorders>
            <w:shd w:val="clear" w:color="auto" w:fill="auto"/>
            <w:vAlign w:val="bottom"/>
          </w:tcPr>
          <w:p w14:paraId="2D3696B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366 </w:t>
            </w:r>
          </w:p>
        </w:tc>
        <w:tc>
          <w:tcPr>
            <w:tcW w:w="541" w:type="pct"/>
            <w:tcBorders>
              <w:top w:val="nil"/>
              <w:left w:val="nil"/>
              <w:bottom w:val="single" w:sz="8" w:space="0" w:color="auto"/>
              <w:right w:val="nil"/>
            </w:tcBorders>
            <w:shd w:val="clear" w:color="auto" w:fill="auto"/>
            <w:vAlign w:val="bottom"/>
          </w:tcPr>
          <w:p w14:paraId="2240D80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410 </w:t>
            </w:r>
          </w:p>
        </w:tc>
        <w:tc>
          <w:tcPr>
            <w:tcW w:w="542" w:type="pct"/>
            <w:tcBorders>
              <w:top w:val="nil"/>
              <w:left w:val="nil"/>
              <w:bottom w:val="single" w:sz="8" w:space="0" w:color="auto"/>
              <w:right w:val="nil"/>
            </w:tcBorders>
            <w:shd w:val="clear" w:color="auto" w:fill="auto"/>
            <w:vAlign w:val="bottom"/>
          </w:tcPr>
          <w:p w14:paraId="2CAC4D7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1,846 </w:t>
            </w:r>
          </w:p>
        </w:tc>
        <w:tc>
          <w:tcPr>
            <w:tcW w:w="541" w:type="pct"/>
            <w:tcBorders>
              <w:top w:val="nil"/>
              <w:left w:val="nil"/>
              <w:bottom w:val="single" w:sz="8" w:space="0" w:color="auto"/>
              <w:right w:val="nil"/>
            </w:tcBorders>
            <w:shd w:val="clear" w:color="auto" w:fill="auto"/>
            <w:vAlign w:val="bottom"/>
          </w:tcPr>
          <w:p w14:paraId="6924048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294 </w:t>
            </w:r>
          </w:p>
        </w:tc>
        <w:tc>
          <w:tcPr>
            <w:tcW w:w="542" w:type="pct"/>
            <w:tcBorders>
              <w:top w:val="nil"/>
              <w:left w:val="nil"/>
              <w:bottom w:val="single" w:sz="8" w:space="0" w:color="auto"/>
              <w:right w:val="nil"/>
            </w:tcBorders>
            <w:shd w:val="clear" w:color="auto" w:fill="auto"/>
            <w:vAlign w:val="bottom"/>
          </w:tcPr>
          <w:p w14:paraId="25CD868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121 </w:t>
            </w:r>
          </w:p>
        </w:tc>
        <w:tc>
          <w:tcPr>
            <w:tcW w:w="529" w:type="pct"/>
            <w:tcBorders>
              <w:top w:val="nil"/>
              <w:left w:val="nil"/>
              <w:bottom w:val="single" w:sz="8" w:space="0" w:color="auto"/>
              <w:right w:val="nil"/>
            </w:tcBorders>
            <w:shd w:val="clear" w:color="auto" w:fill="auto"/>
            <w:vAlign w:val="bottom"/>
          </w:tcPr>
          <w:p w14:paraId="58AED5B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3,037 </w:t>
            </w:r>
          </w:p>
        </w:tc>
      </w:tr>
      <w:tr w:rsidR="00587444" w:rsidRPr="00587444" w14:paraId="0B476B44" w14:textId="77777777" w:rsidTr="00DD69E7">
        <w:trPr>
          <w:trHeight w:hRule="exact" w:val="270"/>
        </w:trPr>
        <w:tc>
          <w:tcPr>
            <w:tcW w:w="1767" w:type="pct"/>
            <w:vAlign w:val="center"/>
          </w:tcPr>
          <w:p w14:paraId="6C943CE0" w14:textId="77777777" w:rsidR="00587444" w:rsidRPr="00587444" w:rsidRDefault="00587444" w:rsidP="00587444">
            <w:pPr>
              <w:tabs>
                <w:tab w:val="right" w:pos="1202"/>
              </w:tabs>
              <w:suppressAutoHyphens w:val="0"/>
              <w:autoSpaceDN/>
              <w:spacing w:line="200" w:lineRule="exact"/>
              <w:outlineLvl w:val="0"/>
              <w:rPr>
                <w:rFonts w:ascii="Arial" w:hAnsi="Arial" w:cs="Arial"/>
                <w:b/>
                <w:bCs/>
                <w:spacing w:val="-2"/>
                <w:sz w:val="17"/>
                <w:szCs w:val="17"/>
                <w:highlight w:val="yellow"/>
              </w:rPr>
            </w:pPr>
            <w:bookmarkStart w:id="1192" w:name="_Toc4062113"/>
            <w:r w:rsidRPr="00587444">
              <w:rPr>
                <w:rFonts w:ascii="Arial" w:hAnsi="Arial" w:cs="Arial"/>
                <w:b/>
                <w:bCs/>
                <w:spacing w:val="-2"/>
                <w:sz w:val="17"/>
                <w:szCs w:val="17"/>
              </w:rPr>
              <w:t>Total guarantees and commitments</w:t>
            </w:r>
            <w:bookmarkEnd w:id="1192"/>
          </w:p>
        </w:tc>
        <w:tc>
          <w:tcPr>
            <w:tcW w:w="538" w:type="pct"/>
            <w:tcBorders>
              <w:top w:val="single" w:sz="8" w:space="0" w:color="auto"/>
              <w:left w:val="nil"/>
              <w:bottom w:val="single" w:sz="12" w:space="0" w:color="auto"/>
              <w:right w:val="nil"/>
            </w:tcBorders>
            <w:shd w:val="clear" w:color="auto" w:fill="auto"/>
            <w:vAlign w:val="bottom"/>
          </w:tcPr>
          <w:p w14:paraId="0DF03CE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b/>
                <w:bCs/>
                <w:color w:val="000000"/>
                <w:sz w:val="17"/>
                <w:szCs w:val="17"/>
              </w:rPr>
              <w:t xml:space="preserve"> 3,057,610 </w:t>
            </w:r>
          </w:p>
        </w:tc>
        <w:tc>
          <w:tcPr>
            <w:tcW w:w="541" w:type="pct"/>
            <w:tcBorders>
              <w:top w:val="single" w:sz="8" w:space="0" w:color="auto"/>
              <w:left w:val="nil"/>
              <w:bottom w:val="single" w:sz="12" w:space="0" w:color="auto"/>
              <w:right w:val="nil"/>
            </w:tcBorders>
            <w:shd w:val="clear" w:color="auto" w:fill="auto"/>
            <w:vAlign w:val="bottom"/>
          </w:tcPr>
          <w:p w14:paraId="545D80E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b/>
                <w:bCs/>
                <w:color w:val="000000"/>
                <w:sz w:val="17"/>
                <w:szCs w:val="17"/>
              </w:rPr>
              <w:t xml:space="preserve"> 19,738 </w:t>
            </w:r>
          </w:p>
        </w:tc>
        <w:tc>
          <w:tcPr>
            <w:tcW w:w="542" w:type="pct"/>
            <w:tcBorders>
              <w:top w:val="single" w:sz="8" w:space="0" w:color="auto"/>
              <w:left w:val="nil"/>
              <w:bottom w:val="single" w:sz="12" w:space="0" w:color="auto"/>
              <w:right w:val="nil"/>
            </w:tcBorders>
            <w:shd w:val="clear" w:color="auto" w:fill="auto"/>
            <w:vAlign w:val="bottom"/>
          </w:tcPr>
          <w:p w14:paraId="2226D19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b/>
                <w:bCs/>
                <w:color w:val="000000"/>
                <w:sz w:val="17"/>
                <w:szCs w:val="17"/>
              </w:rPr>
              <w:t xml:space="preserve"> 59,830 </w:t>
            </w:r>
          </w:p>
        </w:tc>
        <w:tc>
          <w:tcPr>
            <w:tcW w:w="541" w:type="pct"/>
            <w:tcBorders>
              <w:top w:val="single" w:sz="8" w:space="0" w:color="auto"/>
              <w:left w:val="nil"/>
              <w:bottom w:val="single" w:sz="12" w:space="0" w:color="auto"/>
              <w:right w:val="nil"/>
            </w:tcBorders>
            <w:shd w:val="clear" w:color="auto" w:fill="auto"/>
            <w:vAlign w:val="bottom"/>
          </w:tcPr>
          <w:p w14:paraId="464480F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b/>
                <w:bCs/>
                <w:color w:val="000000"/>
                <w:sz w:val="17"/>
                <w:szCs w:val="17"/>
              </w:rPr>
              <w:t xml:space="preserve"> 106,538 </w:t>
            </w:r>
          </w:p>
        </w:tc>
        <w:tc>
          <w:tcPr>
            <w:tcW w:w="542" w:type="pct"/>
            <w:tcBorders>
              <w:top w:val="single" w:sz="8" w:space="0" w:color="auto"/>
              <w:left w:val="nil"/>
              <w:bottom w:val="single" w:sz="12" w:space="0" w:color="auto"/>
              <w:right w:val="nil"/>
            </w:tcBorders>
            <w:shd w:val="clear" w:color="auto" w:fill="auto"/>
            <w:vAlign w:val="bottom"/>
          </w:tcPr>
          <w:p w14:paraId="4D14C3D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b/>
                <w:bCs/>
                <w:color w:val="000000"/>
                <w:sz w:val="17"/>
                <w:szCs w:val="17"/>
              </w:rPr>
              <w:t xml:space="preserve"> 89,889 </w:t>
            </w:r>
          </w:p>
        </w:tc>
        <w:tc>
          <w:tcPr>
            <w:tcW w:w="529" w:type="pct"/>
            <w:tcBorders>
              <w:top w:val="single" w:sz="8" w:space="0" w:color="auto"/>
              <w:left w:val="nil"/>
              <w:bottom w:val="single" w:sz="12" w:space="0" w:color="auto"/>
              <w:right w:val="nil"/>
            </w:tcBorders>
            <w:shd w:val="clear" w:color="auto" w:fill="auto"/>
            <w:vAlign w:val="bottom"/>
          </w:tcPr>
          <w:p w14:paraId="30AA2B2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b/>
                <w:bCs/>
                <w:color w:val="000000"/>
                <w:sz w:val="17"/>
                <w:szCs w:val="17"/>
              </w:rPr>
              <w:t xml:space="preserve"> 3,333,605 </w:t>
            </w:r>
          </w:p>
        </w:tc>
      </w:tr>
    </w:tbl>
    <w:p w14:paraId="4DEAC43A" w14:textId="77777777" w:rsidR="00587444" w:rsidRPr="00356C4F" w:rsidRDefault="00587444" w:rsidP="00587444">
      <w:pPr>
        <w:tabs>
          <w:tab w:val="left" w:pos="8340"/>
        </w:tabs>
        <w:suppressAutoHyphens w:val="0"/>
        <w:autoSpaceDN/>
        <w:jc w:val="both"/>
        <w:rPr>
          <w:rFonts w:ascii="Arial" w:hAnsi="Arial" w:cs="Arial"/>
          <w:bCs/>
          <w:sz w:val="18"/>
          <w:szCs w:val="18"/>
          <w:lang w:val="en-GB"/>
        </w:rPr>
      </w:pPr>
    </w:p>
    <w:p w14:paraId="4276CB93" w14:textId="77777777" w:rsidR="00587444" w:rsidRPr="00356C4F" w:rsidRDefault="00587444" w:rsidP="00587444">
      <w:pPr>
        <w:tabs>
          <w:tab w:val="left" w:pos="8340"/>
        </w:tabs>
        <w:suppressAutoHyphens w:val="0"/>
        <w:autoSpaceDN/>
        <w:jc w:val="both"/>
        <w:rPr>
          <w:rFonts w:ascii="Arial" w:hAnsi="Arial" w:cs="Arial"/>
          <w:bCs/>
          <w:sz w:val="18"/>
          <w:szCs w:val="18"/>
          <w:lang w:val="en-GB"/>
        </w:rPr>
      </w:pPr>
      <w:r w:rsidRPr="00356C4F">
        <w:rPr>
          <w:rFonts w:ascii="Arial" w:hAnsi="Arial" w:cs="Arial"/>
          <w:bCs/>
          <w:sz w:val="18"/>
          <w:szCs w:val="18"/>
          <w:lang w:val="en-GB"/>
        </w:rPr>
        <w:t>The items with undefined maturity are included in terms over 3 years.</w:t>
      </w:r>
    </w:p>
    <w:p w14:paraId="626C8C75" w14:textId="77777777" w:rsidR="00587444" w:rsidRPr="00356C4F" w:rsidRDefault="00587444" w:rsidP="00587444">
      <w:pPr>
        <w:tabs>
          <w:tab w:val="left" w:pos="8340"/>
        </w:tabs>
        <w:suppressAutoHyphens w:val="0"/>
        <w:autoSpaceDN/>
        <w:jc w:val="both"/>
        <w:rPr>
          <w:rFonts w:ascii="Arial" w:hAnsi="Arial" w:cs="Arial"/>
          <w:b/>
          <w:sz w:val="18"/>
          <w:szCs w:val="18"/>
          <w:lang w:val="pl-PL"/>
        </w:rPr>
      </w:pPr>
    </w:p>
    <w:p w14:paraId="79555E56" w14:textId="77777777" w:rsidR="00587444" w:rsidRPr="00356C4F" w:rsidRDefault="00587444" w:rsidP="00AE4D68">
      <w:pPr>
        <w:suppressAutoHyphens w:val="0"/>
        <w:autoSpaceDN/>
        <w:rPr>
          <w:rFonts w:ascii="Arial" w:eastAsia="Calibri" w:hAnsi="Arial" w:cs="Arial"/>
          <w:i/>
          <w:iCs/>
          <w:color w:val="000000"/>
          <w:sz w:val="18"/>
          <w:szCs w:val="18"/>
        </w:rPr>
        <w:sectPr w:rsidR="00587444" w:rsidRPr="00356C4F" w:rsidSect="00DD69E7">
          <w:footerReference w:type="default" r:id="rId91"/>
          <w:pgSz w:w="11907" w:h="16840" w:code="9"/>
          <w:pgMar w:top="1418" w:right="1134" w:bottom="1134" w:left="1418" w:header="851" w:footer="851" w:gutter="0"/>
          <w:cols w:space="720"/>
          <w:noEndnote/>
        </w:sectPr>
      </w:pPr>
      <w:r w:rsidRPr="00356C4F">
        <w:rPr>
          <w:rFonts w:ascii="Arial" w:eastAsia="Calibri" w:hAnsi="Arial" w:cs="Arial"/>
          <w:i/>
          <w:iCs/>
          <w:color w:val="000000"/>
          <w:sz w:val="18"/>
          <w:szCs w:val="18"/>
        </w:rPr>
        <w:t>*Accrued interest on loans not yet due is allocated to the category from 1 to 3 months.</w:t>
      </w:r>
    </w:p>
    <w:p w14:paraId="5B10F06B" w14:textId="77777777" w:rsidR="00587444" w:rsidRPr="00587444" w:rsidRDefault="00587444" w:rsidP="00587444">
      <w:pPr>
        <w:suppressAutoHyphens w:val="0"/>
        <w:autoSpaceDN/>
        <w:jc w:val="both"/>
        <w:rPr>
          <w:rFonts w:ascii="Arial" w:hAnsi="Arial" w:cs="Arial"/>
          <w:b/>
          <w:bCs/>
          <w:sz w:val="20"/>
          <w:szCs w:val="20"/>
          <w:lang w:val="en-GB"/>
        </w:rPr>
      </w:pPr>
    </w:p>
    <w:p w14:paraId="33E4175B"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060D9C5" w14:textId="77777777" w:rsidR="00587444" w:rsidRPr="00587444" w:rsidRDefault="00587444" w:rsidP="00587444">
      <w:pPr>
        <w:suppressAutoHyphens w:val="0"/>
        <w:autoSpaceDN/>
        <w:jc w:val="both"/>
        <w:rPr>
          <w:rFonts w:ascii="Arial" w:hAnsi="Arial" w:cs="Arial"/>
          <w:b/>
          <w:sz w:val="20"/>
          <w:szCs w:val="20"/>
          <w:lang w:val="en-GB"/>
        </w:rPr>
      </w:pPr>
    </w:p>
    <w:p w14:paraId="2E8F40FF"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31.4. </w:t>
      </w:r>
      <w:r w:rsidRPr="00587444">
        <w:rPr>
          <w:rFonts w:ascii="Arial" w:hAnsi="Arial" w:cs="Arial"/>
          <w:b/>
          <w:sz w:val="20"/>
          <w:szCs w:val="20"/>
          <w:lang w:val="en-GB"/>
        </w:rPr>
        <w:tab/>
        <w:t>Liquidity risk (continued)</w:t>
      </w:r>
    </w:p>
    <w:p w14:paraId="48BD35BA" w14:textId="77777777" w:rsidR="00587444" w:rsidRPr="00587444" w:rsidRDefault="00587444" w:rsidP="00587444">
      <w:pPr>
        <w:suppressAutoHyphens w:val="0"/>
        <w:autoSpaceDN/>
        <w:jc w:val="both"/>
        <w:rPr>
          <w:rFonts w:ascii="Arial" w:hAnsi="Arial" w:cs="Arial"/>
          <w:b/>
          <w:sz w:val="20"/>
          <w:szCs w:val="20"/>
          <w:lang w:val="en-GB"/>
        </w:rPr>
      </w:pPr>
    </w:p>
    <w:tbl>
      <w:tblPr>
        <w:tblW w:w="5549" w:type="pct"/>
        <w:tblInd w:w="-426" w:type="dxa"/>
        <w:tblLayout w:type="fixed"/>
        <w:tblCellMar>
          <w:left w:w="120" w:type="dxa"/>
          <w:right w:w="120" w:type="dxa"/>
        </w:tblCellMar>
        <w:tblLook w:val="0000" w:firstRow="0" w:lastRow="0" w:firstColumn="0" w:lastColumn="0" w:noHBand="0" w:noVBand="0"/>
      </w:tblPr>
      <w:tblGrid>
        <w:gridCol w:w="3764"/>
        <w:gridCol w:w="1146"/>
        <w:gridCol w:w="1152"/>
        <w:gridCol w:w="1154"/>
        <w:gridCol w:w="1152"/>
        <w:gridCol w:w="1154"/>
        <w:gridCol w:w="1127"/>
      </w:tblGrid>
      <w:tr w:rsidR="00587444" w:rsidRPr="00587444" w14:paraId="2D440F61" w14:textId="77777777" w:rsidTr="00DD69E7">
        <w:trPr>
          <w:trHeight w:hRule="exact" w:val="475"/>
        </w:trPr>
        <w:tc>
          <w:tcPr>
            <w:tcW w:w="1767" w:type="pct"/>
            <w:vAlign w:val="bottom"/>
          </w:tcPr>
          <w:p w14:paraId="1DC2F82A" w14:textId="77777777"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r w:rsidRPr="00587444">
              <w:rPr>
                <w:rFonts w:ascii="Arial" w:hAnsi="Arial" w:cs="Arial"/>
                <w:b/>
                <w:sz w:val="17"/>
                <w:szCs w:val="17"/>
              </w:rPr>
              <w:t>Group</w:t>
            </w:r>
          </w:p>
          <w:p w14:paraId="5BB723B2" w14:textId="77777777"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r w:rsidRPr="00587444">
              <w:rPr>
                <w:rFonts w:ascii="Arial" w:hAnsi="Arial" w:cs="Arial"/>
                <w:b/>
                <w:sz w:val="17"/>
                <w:szCs w:val="17"/>
              </w:rPr>
              <w:t>31 December 2021</w:t>
            </w:r>
          </w:p>
        </w:tc>
        <w:tc>
          <w:tcPr>
            <w:tcW w:w="538" w:type="pct"/>
          </w:tcPr>
          <w:p w14:paraId="1BE1459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Up to 1 </w:t>
            </w:r>
          </w:p>
          <w:p w14:paraId="2C37C19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month</w:t>
            </w:r>
          </w:p>
        </w:tc>
        <w:tc>
          <w:tcPr>
            <w:tcW w:w="541" w:type="pct"/>
          </w:tcPr>
          <w:p w14:paraId="7209C05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1 to 3 months </w:t>
            </w:r>
          </w:p>
        </w:tc>
        <w:tc>
          <w:tcPr>
            <w:tcW w:w="542" w:type="pct"/>
          </w:tcPr>
          <w:p w14:paraId="7B250D0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3 months to 1 year </w:t>
            </w:r>
          </w:p>
        </w:tc>
        <w:tc>
          <w:tcPr>
            <w:tcW w:w="541" w:type="pct"/>
          </w:tcPr>
          <w:p w14:paraId="577147D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1 to 3</w:t>
            </w:r>
          </w:p>
          <w:p w14:paraId="2FDEDB6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years</w:t>
            </w:r>
          </w:p>
        </w:tc>
        <w:tc>
          <w:tcPr>
            <w:tcW w:w="542" w:type="pct"/>
          </w:tcPr>
          <w:p w14:paraId="1393CA6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Over 3 </w:t>
            </w:r>
          </w:p>
          <w:p w14:paraId="27C8659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years</w:t>
            </w:r>
          </w:p>
        </w:tc>
        <w:tc>
          <w:tcPr>
            <w:tcW w:w="529" w:type="pct"/>
          </w:tcPr>
          <w:p w14:paraId="4DED8CE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Total </w:t>
            </w:r>
          </w:p>
        </w:tc>
      </w:tr>
      <w:tr w:rsidR="00587444" w:rsidRPr="00587444" w14:paraId="1D27D733" w14:textId="77777777" w:rsidTr="00DD69E7">
        <w:trPr>
          <w:trHeight w:hRule="exact" w:val="270"/>
        </w:trPr>
        <w:tc>
          <w:tcPr>
            <w:tcW w:w="1767" w:type="pct"/>
          </w:tcPr>
          <w:p w14:paraId="270EC751" w14:textId="77777777"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p>
        </w:tc>
        <w:tc>
          <w:tcPr>
            <w:tcW w:w="538" w:type="pct"/>
          </w:tcPr>
          <w:p w14:paraId="7D01486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HRK ‘000</w:t>
            </w:r>
          </w:p>
        </w:tc>
        <w:tc>
          <w:tcPr>
            <w:tcW w:w="541" w:type="pct"/>
          </w:tcPr>
          <w:p w14:paraId="3543EA1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HRK ‘000</w:t>
            </w:r>
          </w:p>
        </w:tc>
        <w:tc>
          <w:tcPr>
            <w:tcW w:w="542" w:type="pct"/>
          </w:tcPr>
          <w:p w14:paraId="0979520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HRK ‘000</w:t>
            </w:r>
          </w:p>
        </w:tc>
        <w:tc>
          <w:tcPr>
            <w:tcW w:w="541" w:type="pct"/>
          </w:tcPr>
          <w:p w14:paraId="0E4D655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HRK ‘000</w:t>
            </w:r>
          </w:p>
        </w:tc>
        <w:tc>
          <w:tcPr>
            <w:tcW w:w="542" w:type="pct"/>
          </w:tcPr>
          <w:p w14:paraId="4A3558F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HRK ‘000</w:t>
            </w:r>
          </w:p>
        </w:tc>
        <w:tc>
          <w:tcPr>
            <w:tcW w:w="529" w:type="pct"/>
          </w:tcPr>
          <w:p w14:paraId="7BA251C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HRK ‘000</w:t>
            </w:r>
          </w:p>
        </w:tc>
      </w:tr>
      <w:tr w:rsidR="00587444" w:rsidRPr="00587444" w14:paraId="000301B8" w14:textId="77777777" w:rsidTr="00DD69E7">
        <w:trPr>
          <w:trHeight w:hRule="exact" w:val="270"/>
        </w:trPr>
        <w:tc>
          <w:tcPr>
            <w:tcW w:w="1767" w:type="pct"/>
            <w:vAlign w:val="center"/>
          </w:tcPr>
          <w:p w14:paraId="1C7770E8" w14:textId="77777777" w:rsidR="00587444" w:rsidRPr="00587444" w:rsidRDefault="00587444" w:rsidP="00587444">
            <w:pPr>
              <w:tabs>
                <w:tab w:val="right" w:pos="1202"/>
              </w:tabs>
              <w:suppressAutoHyphens w:val="0"/>
              <w:autoSpaceDN/>
              <w:spacing w:line="220" w:lineRule="exact"/>
              <w:outlineLvl w:val="0"/>
              <w:rPr>
                <w:rFonts w:ascii="Arial" w:hAnsi="Arial" w:cs="Arial"/>
                <w:b/>
                <w:bCs/>
                <w:sz w:val="17"/>
                <w:szCs w:val="17"/>
              </w:rPr>
            </w:pPr>
            <w:r w:rsidRPr="00587444">
              <w:rPr>
                <w:rFonts w:ascii="Arial" w:hAnsi="Arial" w:cs="Arial"/>
                <w:b/>
                <w:bCs/>
                <w:sz w:val="17"/>
                <w:szCs w:val="17"/>
              </w:rPr>
              <w:t xml:space="preserve">Assets </w:t>
            </w:r>
          </w:p>
        </w:tc>
        <w:tc>
          <w:tcPr>
            <w:tcW w:w="538" w:type="pct"/>
            <w:vAlign w:val="bottom"/>
          </w:tcPr>
          <w:p w14:paraId="2D3342A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229100B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2FD57CF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2C270B2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70E4D78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bCs/>
                <w:spacing w:val="-2"/>
                <w:sz w:val="17"/>
                <w:szCs w:val="17"/>
              </w:rPr>
            </w:pPr>
          </w:p>
        </w:tc>
        <w:tc>
          <w:tcPr>
            <w:tcW w:w="529" w:type="pct"/>
            <w:vAlign w:val="bottom"/>
          </w:tcPr>
          <w:p w14:paraId="162E0F0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bCs/>
                <w:spacing w:val="-2"/>
                <w:sz w:val="17"/>
                <w:szCs w:val="17"/>
              </w:rPr>
            </w:pPr>
          </w:p>
        </w:tc>
      </w:tr>
      <w:tr w:rsidR="00587444" w:rsidRPr="00587444" w14:paraId="13B4E6E4" w14:textId="77777777" w:rsidTr="00DD69E7">
        <w:trPr>
          <w:trHeight w:hRule="exact" w:val="270"/>
        </w:trPr>
        <w:tc>
          <w:tcPr>
            <w:tcW w:w="1767" w:type="pct"/>
            <w:vAlign w:val="bottom"/>
          </w:tcPr>
          <w:p w14:paraId="0E65AD97"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 xml:space="preserve">Cash on hand and current accounts with banks </w:t>
            </w:r>
          </w:p>
        </w:tc>
        <w:tc>
          <w:tcPr>
            <w:tcW w:w="538" w:type="pct"/>
            <w:tcBorders>
              <w:top w:val="nil"/>
              <w:left w:val="nil"/>
              <w:bottom w:val="nil"/>
              <w:right w:val="nil"/>
            </w:tcBorders>
            <w:shd w:val="clear" w:color="auto" w:fill="auto"/>
            <w:vAlign w:val="bottom"/>
          </w:tcPr>
          <w:p w14:paraId="6DC120BE"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1,961,986</w:t>
            </w:r>
          </w:p>
        </w:tc>
        <w:tc>
          <w:tcPr>
            <w:tcW w:w="541" w:type="pct"/>
            <w:tcBorders>
              <w:top w:val="nil"/>
              <w:left w:val="nil"/>
              <w:bottom w:val="nil"/>
              <w:right w:val="nil"/>
            </w:tcBorders>
            <w:shd w:val="clear" w:color="auto" w:fill="auto"/>
            <w:vAlign w:val="bottom"/>
          </w:tcPr>
          <w:p w14:paraId="25120B1B"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4040C03C"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0F1B84D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2DC39A59"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4405204C"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1,961,986 </w:t>
            </w:r>
          </w:p>
        </w:tc>
      </w:tr>
      <w:tr w:rsidR="00587444" w:rsidRPr="00587444" w14:paraId="55572C46" w14:textId="77777777" w:rsidTr="00DD69E7">
        <w:trPr>
          <w:trHeight w:hRule="exact" w:val="270"/>
        </w:trPr>
        <w:tc>
          <w:tcPr>
            <w:tcW w:w="1767" w:type="pct"/>
            <w:vAlign w:val="bottom"/>
          </w:tcPr>
          <w:p w14:paraId="1E0A8628"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Deposits with other banks</w:t>
            </w:r>
          </w:p>
        </w:tc>
        <w:tc>
          <w:tcPr>
            <w:tcW w:w="538" w:type="pct"/>
            <w:tcBorders>
              <w:top w:val="nil"/>
              <w:left w:val="nil"/>
              <w:bottom w:val="nil"/>
              <w:right w:val="nil"/>
            </w:tcBorders>
            <w:shd w:val="clear" w:color="auto" w:fill="auto"/>
            <w:vAlign w:val="bottom"/>
          </w:tcPr>
          <w:p w14:paraId="14C9716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w:t>
            </w:r>
          </w:p>
        </w:tc>
        <w:tc>
          <w:tcPr>
            <w:tcW w:w="541" w:type="pct"/>
            <w:tcBorders>
              <w:top w:val="nil"/>
              <w:left w:val="nil"/>
              <w:bottom w:val="nil"/>
              <w:right w:val="nil"/>
            </w:tcBorders>
            <w:shd w:val="clear" w:color="auto" w:fill="auto"/>
            <w:vAlign w:val="bottom"/>
          </w:tcPr>
          <w:p w14:paraId="0F0FE066"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6F205F1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47EC5AAE"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515FABF0"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7,500</w:t>
            </w:r>
          </w:p>
        </w:tc>
        <w:tc>
          <w:tcPr>
            <w:tcW w:w="529" w:type="pct"/>
            <w:tcBorders>
              <w:top w:val="nil"/>
              <w:left w:val="nil"/>
              <w:bottom w:val="nil"/>
              <w:right w:val="nil"/>
            </w:tcBorders>
            <w:shd w:val="clear" w:color="auto" w:fill="auto"/>
            <w:vAlign w:val="bottom"/>
          </w:tcPr>
          <w:p w14:paraId="5E53F126"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7,500</w:t>
            </w:r>
          </w:p>
        </w:tc>
      </w:tr>
      <w:tr w:rsidR="00587444" w:rsidRPr="00587444" w14:paraId="039F6553" w14:textId="77777777" w:rsidTr="00DD69E7">
        <w:trPr>
          <w:trHeight w:hRule="exact" w:val="270"/>
        </w:trPr>
        <w:tc>
          <w:tcPr>
            <w:tcW w:w="1767" w:type="pct"/>
            <w:vAlign w:val="bottom"/>
          </w:tcPr>
          <w:p w14:paraId="0C4A61BC"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Loans to financial institutions*</w:t>
            </w:r>
          </w:p>
        </w:tc>
        <w:tc>
          <w:tcPr>
            <w:tcW w:w="538" w:type="pct"/>
            <w:tcBorders>
              <w:top w:val="nil"/>
              <w:left w:val="nil"/>
              <w:bottom w:val="nil"/>
              <w:right w:val="nil"/>
            </w:tcBorders>
            <w:shd w:val="clear" w:color="auto" w:fill="auto"/>
            <w:vAlign w:val="bottom"/>
          </w:tcPr>
          <w:p w14:paraId="1C9416C8"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140,979</w:t>
            </w:r>
          </w:p>
        </w:tc>
        <w:tc>
          <w:tcPr>
            <w:tcW w:w="541" w:type="pct"/>
            <w:tcBorders>
              <w:top w:val="nil"/>
              <w:left w:val="nil"/>
              <w:bottom w:val="nil"/>
              <w:right w:val="nil"/>
            </w:tcBorders>
            <w:shd w:val="clear" w:color="auto" w:fill="auto"/>
            <w:vAlign w:val="bottom"/>
          </w:tcPr>
          <w:p w14:paraId="783AB3F2"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188,898</w:t>
            </w:r>
          </w:p>
        </w:tc>
        <w:tc>
          <w:tcPr>
            <w:tcW w:w="542" w:type="pct"/>
            <w:tcBorders>
              <w:top w:val="nil"/>
              <w:left w:val="nil"/>
              <w:bottom w:val="nil"/>
              <w:right w:val="nil"/>
            </w:tcBorders>
            <w:shd w:val="clear" w:color="auto" w:fill="auto"/>
            <w:vAlign w:val="bottom"/>
          </w:tcPr>
          <w:p w14:paraId="7F163B1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817,773</w:t>
            </w:r>
          </w:p>
        </w:tc>
        <w:tc>
          <w:tcPr>
            <w:tcW w:w="541" w:type="pct"/>
            <w:tcBorders>
              <w:top w:val="nil"/>
              <w:left w:val="nil"/>
              <w:bottom w:val="nil"/>
              <w:right w:val="nil"/>
            </w:tcBorders>
            <w:shd w:val="clear" w:color="auto" w:fill="auto"/>
            <w:vAlign w:val="bottom"/>
          </w:tcPr>
          <w:p w14:paraId="12E56B5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1,870,557</w:t>
            </w:r>
          </w:p>
        </w:tc>
        <w:tc>
          <w:tcPr>
            <w:tcW w:w="542" w:type="pct"/>
            <w:tcBorders>
              <w:top w:val="nil"/>
              <w:left w:val="nil"/>
              <w:bottom w:val="nil"/>
              <w:right w:val="nil"/>
            </w:tcBorders>
            <w:shd w:val="clear" w:color="auto" w:fill="auto"/>
            <w:vAlign w:val="bottom"/>
          </w:tcPr>
          <w:p w14:paraId="065308C7"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4,031,936</w:t>
            </w:r>
          </w:p>
        </w:tc>
        <w:tc>
          <w:tcPr>
            <w:tcW w:w="529" w:type="pct"/>
            <w:tcBorders>
              <w:top w:val="nil"/>
              <w:left w:val="nil"/>
              <w:bottom w:val="nil"/>
              <w:right w:val="nil"/>
            </w:tcBorders>
            <w:shd w:val="clear" w:color="auto" w:fill="auto"/>
            <w:vAlign w:val="bottom"/>
          </w:tcPr>
          <w:p w14:paraId="3A84618E"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7,050,143</w:t>
            </w:r>
          </w:p>
        </w:tc>
      </w:tr>
      <w:tr w:rsidR="00587444" w:rsidRPr="00587444" w14:paraId="7538B45F" w14:textId="77777777" w:rsidTr="00DD69E7">
        <w:trPr>
          <w:trHeight w:hRule="exact" w:val="270"/>
        </w:trPr>
        <w:tc>
          <w:tcPr>
            <w:tcW w:w="1767" w:type="pct"/>
            <w:vAlign w:val="bottom"/>
          </w:tcPr>
          <w:p w14:paraId="14FEC160"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Loans to other customers</w:t>
            </w:r>
          </w:p>
        </w:tc>
        <w:tc>
          <w:tcPr>
            <w:tcW w:w="538" w:type="pct"/>
            <w:tcBorders>
              <w:top w:val="nil"/>
              <w:left w:val="nil"/>
              <w:bottom w:val="nil"/>
              <w:right w:val="nil"/>
            </w:tcBorders>
            <w:shd w:val="clear" w:color="auto" w:fill="auto"/>
            <w:vAlign w:val="bottom"/>
          </w:tcPr>
          <w:p w14:paraId="0C4D3766"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1,903,430</w:t>
            </w:r>
          </w:p>
        </w:tc>
        <w:tc>
          <w:tcPr>
            <w:tcW w:w="541" w:type="pct"/>
            <w:tcBorders>
              <w:top w:val="nil"/>
              <w:left w:val="nil"/>
              <w:bottom w:val="nil"/>
              <w:right w:val="nil"/>
            </w:tcBorders>
            <w:shd w:val="clear" w:color="auto" w:fill="auto"/>
            <w:vAlign w:val="bottom"/>
          </w:tcPr>
          <w:p w14:paraId="09530E6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341,173</w:t>
            </w:r>
          </w:p>
        </w:tc>
        <w:tc>
          <w:tcPr>
            <w:tcW w:w="542" w:type="pct"/>
            <w:tcBorders>
              <w:top w:val="nil"/>
              <w:left w:val="nil"/>
              <w:bottom w:val="nil"/>
              <w:right w:val="nil"/>
            </w:tcBorders>
            <w:shd w:val="clear" w:color="auto" w:fill="auto"/>
            <w:vAlign w:val="bottom"/>
          </w:tcPr>
          <w:p w14:paraId="525BA6A2"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1,109,842</w:t>
            </w:r>
          </w:p>
        </w:tc>
        <w:tc>
          <w:tcPr>
            <w:tcW w:w="541" w:type="pct"/>
            <w:tcBorders>
              <w:top w:val="nil"/>
              <w:left w:val="nil"/>
              <w:bottom w:val="nil"/>
              <w:right w:val="nil"/>
            </w:tcBorders>
            <w:shd w:val="clear" w:color="auto" w:fill="auto"/>
            <w:vAlign w:val="bottom"/>
          </w:tcPr>
          <w:p w14:paraId="2114774F"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3,254,643</w:t>
            </w:r>
          </w:p>
        </w:tc>
        <w:tc>
          <w:tcPr>
            <w:tcW w:w="542" w:type="pct"/>
            <w:tcBorders>
              <w:top w:val="nil"/>
              <w:left w:val="nil"/>
              <w:bottom w:val="nil"/>
              <w:right w:val="nil"/>
            </w:tcBorders>
            <w:shd w:val="clear" w:color="auto" w:fill="auto"/>
            <w:vAlign w:val="bottom"/>
          </w:tcPr>
          <w:p w14:paraId="2931DF1A"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9,355,288</w:t>
            </w:r>
          </w:p>
        </w:tc>
        <w:tc>
          <w:tcPr>
            <w:tcW w:w="529" w:type="pct"/>
            <w:tcBorders>
              <w:top w:val="nil"/>
              <w:left w:val="nil"/>
              <w:bottom w:val="nil"/>
              <w:right w:val="nil"/>
            </w:tcBorders>
            <w:shd w:val="clear" w:color="auto" w:fill="auto"/>
            <w:vAlign w:val="bottom"/>
          </w:tcPr>
          <w:p w14:paraId="7948B44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15,964,376</w:t>
            </w:r>
          </w:p>
        </w:tc>
      </w:tr>
      <w:tr w:rsidR="00587444" w:rsidRPr="00587444" w14:paraId="7F799A7E" w14:textId="77777777" w:rsidTr="00DD69E7">
        <w:trPr>
          <w:trHeight w:hRule="exact" w:val="411"/>
        </w:trPr>
        <w:tc>
          <w:tcPr>
            <w:tcW w:w="1767" w:type="pct"/>
          </w:tcPr>
          <w:p w14:paraId="1B6CA3B7"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Financial assets at fair value through profit or loss</w:t>
            </w:r>
          </w:p>
        </w:tc>
        <w:tc>
          <w:tcPr>
            <w:tcW w:w="538" w:type="pct"/>
            <w:tcBorders>
              <w:top w:val="nil"/>
              <w:left w:val="nil"/>
              <w:bottom w:val="nil"/>
              <w:right w:val="nil"/>
            </w:tcBorders>
            <w:shd w:val="clear" w:color="auto" w:fill="auto"/>
            <w:vAlign w:val="bottom"/>
          </w:tcPr>
          <w:p w14:paraId="31D1590E"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202,609</w:t>
            </w:r>
          </w:p>
        </w:tc>
        <w:tc>
          <w:tcPr>
            <w:tcW w:w="541" w:type="pct"/>
            <w:tcBorders>
              <w:top w:val="nil"/>
              <w:left w:val="nil"/>
              <w:bottom w:val="nil"/>
              <w:right w:val="nil"/>
            </w:tcBorders>
            <w:shd w:val="clear" w:color="auto" w:fill="auto"/>
            <w:vAlign w:val="bottom"/>
          </w:tcPr>
          <w:p w14:paraId="4752430E"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39E3492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5F7B1C10"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10F06E0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16,375</w:t>
            </w:r>
          </w:p>
        </w:tc>
        <w:tc>
          <w:tcPr>
            <w:tcW w:w="529" w:type="pct"/>
            <w:tcBorders>
              <w:top w:val="nil"/>
              <w:left w:val="nil"/>
              <w:bottom w:val="nil"/>
              <w:right w:val="nil"/>
            </w:tcBorders>
            <w:shd w:val="clear" w:color="auto" w:fill="auto"/>
            <w:vAlign w:val="bottom"/>
          </w:tcPr>
          <w:p w14:paraId="72BAB33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218,984</w:t>
            </w:r>
          </w:p>
        </w:tc>
      </w:tr>
      <w:tr w:rsidR="00587444" w:rsidRPr="00587444" w14:paraId="4EE56B18" w14:textId="77777777" w:rsidTr="00DD69E7">
        <w:trPr>
          <w:trHeight w:hRule="exact" w:val="401"/>
        </w:trPr>
        <w:tc>
          <w:tcPr>
            <w:tcW w:w="1767" w:type="pct"/>
          </w:tcPr>
          <w:p w14:paraId="7728D46C"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Financial assets at fair value through other comprehensive income</w:t>
            </w:r>
          </w:p>
        </w:tc>
        <w:tc>
          <w:tcPr>
            <w:tcW w:w="538" w:type="pct"/>
            <w:tcBorders>
              <w:top w:val="nil"/>
              <w:left w:val="nil"/>
              <w:bottom w:val="nil"/>
              <w:right w:val="nil"/>
            </w:tcBorders>
            <w:shd w:val="clear" w:color="auto" w:fill="auto"/>
            <w:vAlign w:val="bottom"/>
          </w:tcPr>
          <w:p w14:paraId="746A2ECA"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2,956,994 </w:t>
            </w:r>
          </w:p>
        </w:tc>
        <w:tc>
          <w:tcPr>
            <w:tcW w:w="541" w:type="pct"/>
            <w:tcBorders>
              <w:top w:val="nil"/>
              <w:left w:val="nil"/>
              <w:bottom w:val="nil"/>
              <w:right w:val="nil"/>
            </w:tcBorders>
            <w:shd w:val="clear" w:color="auto" w:fill="auto"/>
            <w:vAlign w:val="bottom"/>
          </w:tcPr>
          <w:p w14:paraId="2891E974"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15,501 </w:t>
            </w:r>
          </w:p>
        </w:tc>
        <w:tc>
          <w:tcPr>
            <w:tcW w:w="542" w:type="pct"/>
            <w:tcBorders>
              <w:top w:val="nil"/>
              <w:left w:val="nil"/>
              <w:bottom w:val="nil"/>
              <w:right w:val="nil"/>
            </w:tcBorders>
            <w:shd w:val="clear" w:color="auto" w:fill="auto"/>
            <w:vAlign w:val="bottom"/>
          </w:tcPr>
          <w:p w14:paraId="00B5DA8A"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35 </w:t>
            </w:r>
          </w:p>
        </w:tc>
        <w:tc>
          <w:tcPr>
            <w:tcW w:w="541" w:type="pct"/>
            <w:tcBorders>
              <w:top w:val="nil"/>
              <w:left w:val="nil"/>
              <w:bottom w:val="nil"/>
              <w:right w:val="nil"/>
            </w:tcBorders>
            <w:shd w:val="clear" w:color="auto" w:fill="auto"/>
            <w:vAlign w:val="bottom"/>
          </w:tcPr>
          <w:p w14:paraId="5B8D99FA"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6258EE5A"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08BCD288"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2,972,530 </w:t>
            </w:r>
          </w:p>
        </w:tc>
      </w:tr>
      <w:tr w:rsidR="00587444" w:rsidRPr="00587444" w14:paraId="78AB1215" w14:textId="77777777" w:rsidTr="00DD69E7">
        <w:trPr>
          <w:trHeight w:hRule="exact" w:val="417"/>
        </w:trPr>
        <w:tc>
          <w:tcPr>
            <w:tcW w:w="1767" w:type="pct"/>
            <w:vAlign w:val="bottom"/>
          </w:tcPr>
          <w:p w14:paraId="524A60B1"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Property, plant and equipment and intangible assets</w:t>
            </w:r>
          </w:p>
        </w:tc>
        <w:tc>
          <w:tcPr>
            <w:tcW w:w="538" w:type="pct"/>
            <w:tcBorders>
              <w:top w:val="nil"/>
              <w:left w:val="nil"/>
              <w:right w:val="nil"/>
            </w:tcBorders>
            <w:shd w:val="clear" w:color="auto" w:fill="auto"/>
            <w:vAlign w:val="bottom"/>
          </w:tcPr>
          <w:p w14:paraId="0A6C5280"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 </w:t>
            </w:r>
          </w:p>
        </w:tc>
        <w:tc>
          <w:tcPr>
            <w:tcW w:w="541" w:type="pct"/>
            <w:tcBorders>
              <w:top w:val="nil"/>
              <w:left w:val="nil"/>
              <w:right w:val="nil"/>
            </w:tcBorders>
            <w:shd w:val="clear" w:color="auto" w:fill="auto"/>
            <w:vAlign w:val="bottom"/>
          </w:tcPr>
          <w:p w14:paraId="78A5B710"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 </w:t>
            </w:r>
          </w:p>
        </w:tc>
        <w:tc>
          <w:tcPr>
            <w:tcW w:w="542" w:type="pct"/>
            <w:tcBorders>
              <w:top w:val="nil"/>
              <w:left w:val="nil"/>
              <w:right w:val="nil"/>
            </w:tcBorders>
            <w:shd w:val="clear" w:color="auto" w:fill="auto"/>
            <w:vAlign w:val="bottom"/>
          </w:tcPr>
          <w:p w14:paraId="086CD45B"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 </w:t>
            </w:r>
          </w:p>
        </w:tc>
        <w:tc>
          <w:tcPr>
            <w:tcW w:w="541" w:type="pct"/>
            <w:tcBorders>
              <w:top w:val="nil"/>
              <w:left w:val="nil"/>
              <w:right w:val="nil"/>
            </w:tcBorders>
            <w:shd w:val="clear" w:color="auto" w:fill="auto"/>
            <w:vAlign w:val="bottom"/>
          </w:tcPr>
          <w:p w14:paraId="521B5E21"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 </w:t>
            </w:r>
          </w:p>
        </w:tc>
        <w:tc>
          <w:tcPr>
            <w:tcW w:w="542" w:type="pct"/>
            <w:tcBorders>
              <w:top w:val="nil"/>
              <w:left w:val="nil"/>
              <w:right w:val="nil"/>
            </w:tcBorders>
            <w:shd w:val="clear" w:color="auto" w:fill="auto"/>
            <w:vAlign w:val="bottom"/>
          </w:tcPr>
          <w:p w14:paraId="7EF7053B"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43,937 </w:t>
            </w:r>
          </w:p>
        </w:tc>
        <w:tc>
          <w:tcPr>
            <w:tcW w:w="529" w:type="pct"/>
            <w:tcBorders>
              <w:top w:val="nil"/>
              <w:left w:val="nil"/>
              <w:right w:val="nil"/>
            </w:tcBorders>
            <w:shd w:val="clear" w:color="auto" w:fill="auto"/>
            <w:vAlign w:val="bottom"/>
          </w:tcPr>
          <w:p w14:paraId="6590A231"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43,937 </w:t>
            </w:r>
          </w:p>
        </w:tc>
      </w:tr>
      <w:tr w:rsidR="00587444" w:rsidRPr="00587444" w14:paraId="3AA8A92E" w14:textId="77777777" w:rsidTr="00DD69E7">
        <w:trPr>
          <w:trHeight w:hRule="exact" w:val="270"/>
        </w:trPr>
        <w:tc>
          <w:tcPr>
            <w:tcW w:w="1767" w:type="pct"/>
            <w:vAlign w:val="bottom"/>
          </w:tcPr>
          <w:p w14:paraId="55E19920"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Foreclosed assets</w:t>
            </w:r>
          </w:p>
        </w:tc>
        <w:tc>
          <w:tcPr>
            <w:tcW w:w="538" w:type="pct"/>
            <w:tcBorders>
              <w:top w:val="nil"/>
              <w:left w:val="nil"/>
              <w:bottom w:val="nil"/>
              <w:right w:val="nil"/>
            </w:tcBorders>
            <w:shd w:val="clear" w:color="auto" w:fill="auto"/>
            <w:vAlign w:val="bottom"/>
          </w:tcPr>
          <w:p w14:paraId="4ABC573C"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9 </w:t>
            </w:r>
          </w:p>
        </w:tc>
        <w:tc>
          <w:tcPr>
            <w:tcW w:w="541" w:type="pct"/>
            <w:tcBorders>
              <w:top w:val="nil"/>
              <w:left w:val="nil"/>
              <w:bottom w:val="nil"/>
              <w:right w:val="nil"/>
            </w:tcBorders>
            <w:shd w:val="clear" w:color="auto" w:fill="auto"/>
            <w:vAlign w:val="bottom"/>
          </w:tcPr>
          <w:p w14:paraId="366B873E"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w:t>
            </w:r>
          </w:p>
        </w:tc>
        <w:tc>
          <w:tcPr>
            <w:tcW w:w="542" w:type="pct"/>
            <w:tcBorders>
              <w:top w:val="nil"/>
              <w:left w:val="nil"/>
              <w:bottom w:val="nil"/>
              <w:right w:val="nil"/>
            </w:tcBorders>
            <w:shd w:val="clear" w:color="auto" w:fill="auto"/>
            <w:vAlign w:val="bottom"/>
          </w:tcPr>
          <w:p w14:paraId="56302552"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156</w:t>
            </w:r>
          </w:p>
        </w:tc>
        <w:tc>
          <w:tcPr>
            <w:tcW w:w="541" w:type="pct"/>
            <w:tcBorders>
              <w:top w:val="nil"/>
              <w:left w:val="nil"/>
              <w:bottom w:val="nil"/>
              <w:right w:val="nil"/>
            </w:tcBorders>
            <w:shd w:val="clear" w:color="auto" w:fill="auto"/>
            <w:vAlign w:val="bottom"/>
          </w:tcPr>
          <w:p w14:paraId="1014A5CA"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11,272</w:t>
            </w:r>
          </w:p>
        </w:tc>
        <w:tc>
          <w:tcPr>
            <w:tcW w:w="542" w:type="pct"/>
            <w:tcBorders>
              <w:top w:val="nil"/>
              <w:left w:val="nil"/>
              <w:bottom w:val="nil"/>
              <w:right w:val="nil"/>
            </w:tcBorders>
            <w:shd w:val="clear" w:color="auto" w:fill="auto"/>
            <w:vAlign w:val="bottom"/>
          </w:tcPr>
          <w:p w14:paraId="0328F88C"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9,932</w:t>
            </w:r>
          </w:p>
        </w:tc>
        <w:tc>
          <w:tcPr>
            <w:tcW w:w="529" w:type="pct"/>
            <w:tcBorders>
              <w:top w:val="nil"/>
              <w:left w:val="nil"/>
              <w:bottom w:val="nil"/>
              <w:right w:val="nil"/>
            </w:tcBorders>
            <w:shd w:val="clear" w:color="auto" w:fill="auto"/>
            <w:vAlign w:val="bottom"/>
          </w:tcPr>
          <w:p w14:paraId="55D3D53F"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21,369</w:t>
            </w:r>
          </w:p>
        </w:tc>
      </w:tr>
      <w:tr w:rsidR="00587444" w:rsidRPr="00587444" w14:paraId="34F0147B" w14:textId="77777777" w:rsidTr="00DD69E7">
        <w:trPr>
          <w:trHeight w:hRule="exact" w:val="270"/>
        </w:trPr>
        <w:tc>
          <w:tcPr>
            <w:tcW w:w="1767" w:type="pct"/>
            <w:vAlign w:val="bottom"/>
          </w:tcPr>
          <w:p w14:paraId="736F2BA4"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Other assets</w:t>
            </w:r>
          </w:p>
        </w:tc>
        <w:tc>
          <w:tcPr>
            <w:tcW w:w="538" w:type="pct"/>
            <w:tcBorders>
              <w:left w:val="nil"/>
              <w:bottom w:val="single" w:sz="8" w:space="0" w:color="auto"/>
              <w:right w:val="nil"/>
            </w:tcBorders>
            <w:shd w:val="clear" w:color="auto" w:fill="auto"/>
            <w:vAlign w:val="bottom"/>
          </w:tcPr>
          <w:p w14:paraId="0AEA1BEE"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7,632</w:t>
            </w:r>
          </w:p>
        </w:tc>
        <w:tc>
          <w:tcPr>
            <w:tcW w:w="541" w:type="pct"/>
            <w:tcBorders>
              <w:left w:val="nil"/>
              <w:bottom w:val="single" w:sz="8" w:space="0" w:color="auto"/>
              <w:right w:val="nil"/>
            </w:tcBorders>
            <w:shd w:val="clear" w:color="auto" w:fill="auto"/>
            <w:vAlign w:val="bottom"/>
          </w:tcPr>
          <w:p w14:paraId="523E3BEC"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1,838</w:t>
            </w:r>
          </w:p>
        </w:tc>
        <w:tc>
          <w:tcPr>
            <w:tcW w:w="542" w:type="pct"/>
            <w:tcBorders>
              <w:left w:val="nil"/>
              <w:bottom w:val="single" w:sz="8" w:space="0" w:color="auto"/>
              <w:right w:val="nil"/>
            </w:tcBorders>
            <w:shd w:val="clear" w:color="auto" w:fill="auto"/>
            <w:vAlign w:val="bottom"/>
          </w:tcPr>
          <w:p w14:paraId="388DAAFF"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24,649 </w:t>
            </w:r>
          </w:p>
        </w:tc>
        <w:tc>
          <w:tcPr>
            <w:tcW w:w="541" w:type="pct"/>
            <w:tcBorders>
              <w:left w:val="nil"/>
              <w:bottom w:val="single" w:sz="8" w:space="0" w:color="auto"/>
              <w:right w:val="nil"/>
            </w:tcBorders>
            <w:shd w:val="clear" w:color="auto" w:fill="auto"/>
            <w:vAlign w:val="bottom"/>
          </w:tcPr>
          <w:p w14:paraId="2DE5BF72"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1,734 </w:t>
            </w:r>
          </w:p>
        </w:tc>
        <w:tc>
          <w:tcPr>
            <w:tcW w:w="542" w:type="pct"/>
            <w:tcBorders>
              <w:left w:val="nil"/>
              <w:bottom w:val="single" w:sz="8" w:space="0" w:color="auto"/>
              <w:right w:val="nil"/>
            </w:tcBorders>
            <w:shd w:val="clear" w:color="auto" w:fill="auto"/>
            <w:vAlign w:val="bottom"/>
          </w:tcPr>
          <w:p w14:paraId="61EE44D7"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1,684 </w:t>
            </w:r>
          </w:p>
        </w:tc>
        <w:tc>
          <w:tcPr>
            <w:tcW w:w="529" w:type="pct"/>
            <w:tcBorders>
              <w:left w:val="nil"/>
              <w:bottom w:val="nil"/>
              <w:right w:val="nil"/>
            </w:tcBorders>
            <w:shd w:val="clear" w:color="auto" w:fill="auto"/>
            <w:vAlign w:val="bottom"/>
          </w:tcPr>
          <w:p w14:paraId="0CD3D070" w14:textId="77777777" w:rsidR="00587444" w:rsidRPr="00587444" w:rsidRDefault="00587444" w:rsidP="00587444">
            <w:pPr>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37,537 </w:t>
            </w:r>
          </w:p>
        </w:tc>
      </w:tr>
      <w:tr w:rsidR="00587444" w:rsidRPr="00587444" w14:paraId="24277E66" w14:textId="77777777" w:rsidTr="00DD69E7">
        <w:trPr>
          <w:trHeight w:hRule="exact" w:val="270"/>
        </w:trPr>
        <w:tc>
          <w:tcPr>
            <w:tcW w:w="1767" w:type="pct"/>
            <w:vAlign w:val="bottom"/>
          </w:tcPr>
          <w:p w14:paraId="794E8A92" w14:textId="77777777" w:rsidR="00587444" w:rsidRPr="00587444" w:rsidRDefault="00587444" w:rsidP="00587444">
            <w:pPr>
              <w:tabs>
                <w:tab w:val="right" w:pos="1202"/>
              </w:tabs>
              <w:suppressAutoHyphens w:val="0"/>
              <w:autoSpaceDN/>
              <w:spacing w:line="200" w:lineRule="exact"/>
              <w:outlineLvl w:val="0"/>
              <w:rPr>
                <w:rFonts w:ascii="Arial" w:hAnsi="Arial" w:cs="Arial"/>
                <w:b/>
                <w:bCs/>
                <w:sz w:val="17"/>
                <w:szCs w:val="17"/>
              </w:rPr>
            </w:pPr>
            <w:r w:rsidRPr="00587444">
              <w:rPr>
                <w:rFonts w:ascii="Arial" w:hAnsi="Arial" w:cs="Arial"/>
                <w:b/>
                <w:bCs/>
                <w:sz w:val="17"/>
                <w:szCs w:val="17"/>
              </w:rPr>
              <w:t xml:space="preserve">Total assets </w:t>
            </w:r>
          </w:p>
        </w:tc>
        <w:tc>
          <w:tcPr>
            <w:tcW w:w="538" w:type="pct"/>
            <w:tcBorders>
              <w:top w:val="nil"/>
              <w:left w:val="nil"/>
              <w:bottom w:val="single" w:sz="8" w:space="0" w:color="auto"/>
              <w:right w:val="nil"/>
            </w:tcBorders>
            <w:shd w:val="clear" w:color="auto" w:fill="auto"/>
            <w:vAlign w:val="bottom"/>
          </w:tcPr>
          <w:p w14:paraId="552705B7" w14:textId="77777777" w:rsidR="00587444" w:rsidRPr="00587444" w:rsidRDefault="00587444" w:rsidP="00587444">
            <w:pPr>
              <w:suppressAutoHyphens w:val="0"/>
              <w:autoSpaceDN/>
              <w:spacing w:line="240" w:lineRule="exact"/>
              <w:jc w:val="right"/>
              <w:outlineLvl w:val="0"/>
              <w:rPr>
                <w:rFonts w:ascii="Arial" w:eastAsia="Calibri" w:hAnsi="Arial" w:cs="Arial"/>
                <w:b/>
                <w:bCs/>
                <w:color w:val="000000"/>
                <w:sz w:val="17"/>
                <w:szCs w:val="17"/>
                <w:lang w:eastAsia="hr-HR"/>
              </w:rPr>
            </w:pPr>
            <w:r w:rsidRPr="00587444">
              <w:rPr>
                <w:rFonts w:ascii="Arial" w:hAnsi="Arial" w:cs="Arial"/>
                <w:b/>
                <w:bCs/>
                <w:color w:val="000000"/>
                <w:sz w:val="17"/>
                <w:szCs w:val="17"/>
              </w:rPr>
              <w:t>7,173,639</w:t>
            </w:r>
          </w:p>
        </w:tc>
        <w:tc>
          <w:tcPr>
            <w:tcW w:w="541" w:type="pct"/>
            <w:tcBorders>
              <w:top w:val="nil"/>
              <w:left w:val="nil"/>
              <w:bottom w:val="single" w:sz="8" w:space="0" w:color="auto"/>
              <w:right w:val="nil"/>
            </w:tcBorders>
            <w:shd w:val="clear" w:color="auto" w:fill="auto"/>
            <w:vAlign w:val="bottom"/>
          </w:tcPr>
          <w:p w14:paraId="55130EED" w14:textId="77777777" w:rsidR="00587444" w:rsidRPr="00587444" w:rsidRDefault="00587444" w:rsidP="00587444">
            <w:pPr>
              <w:suppressAutoHyphens w:val="0"/>
              <w:autoSpaceDN/>
              <w:spacing w:line="240" w:lineRule="exact"/>
              <w:jc w:val="right"/>
              <w:outlineLvl w:val="0"/>
              <w:rPr>
                <w:rFonts w:ascii="Arial" w:eastAsia="Calibri" w:hAnsi="Arial" w:cs="Arial"/>
                <w:b/>
                <w:bCs/>
                <w:color w:val="000000"/>
                <w:sz w:val="17"/>
                <w:szCs w:val="17"/>
                <w:lang w:eastAsia="hr-HR"/>
              </w:rPr>
            </w:pPr>
            <w:r w:rsidRPr="00587444">
              <w:rPr>
                <w:rFonts w:ascii="Arial" w:hAnsi="Arial" w:cs="Arial"/>
                <w:b/>
                <w:bCs/>
                <w:color w:val="000000"/>
                <w:sz w:val="17"/>
                <w:szCs w:val="17"/>
              </w:rPr>
              <w:t>547,410</w:t>
            </w:r>
          </w:p>
        </w:tc>
        <w:tc>
          <w:tcPr>
            <w:tcW w:w="542" w:type="pct"/>
            <w:tcBorders>
              <w:top w:val="nil"/>
              <w:left w:val="nil"/>
              <w:bottom w:val="single" w:sz="8" w:space="0" w:color="auto"/>
              <w:right w:val="nil"/>
            </w:tcBorders>
            <w:shd w:val="clear" w:color="auto" w:fill="auto"/>
            <w:vAlign w:val="bottom"/>
          </w:tcPr>
          <w:p w14:paraId="573084F2" w14:textId="77777777" w:rsidR="00587444" w:rsidRPr="00587444" w:rsidRDefault="00587444" w:rsidP="00587444">
            <w:pPr>
              <w:suppressAutoHyphens w:val="0"/>
              <w:autoSpaceDN/>
              <w:spacing w:line="240" w:lineRule="exact"/>
              <w:jc w:val="right"/>
              <w:outlineLvl w:val="0"/>
              <w:rPr>
                <w:rFonts w:ascii="Arial" w:eastAsia="Calibri" w:hAnsi="Arial" w:cs="Arial"/>
                <w:b/>
                <w:bCs/>
                <w:color w:val="000000"/>
                <w:sz w:val="17"/>
                <w:szCs w:val="17"/>
                <w:lang w:eastAsia="hr-HR"/>
              </w:rPr>
            </w:pPr>
            <w:r w:rsidRPr="00587444">
              <w:rPr>
                <w:rFonts w:ascii="Arial" w:hAnsi="Arial" w:cs="Arial"/>
                <w:b/>
                <w:bCs/>
                <w:color w:val="000000"/>
                <w:sz w:val="17"/>
                <w:szCs w:val="17"/>
              </w:rPr>
              <w:t xml:space="preserve">1,952,455 </w:t>
            </w:r>
          </w:p>
        </w:tc>
        <w:tc>
          <w:tcPr>
            <w:tcW w:w="541" w:type="pct"/>
            <w:tcBorders>
              <w:top w:val="nil"/>
              <w:left w:val="nil"/>
              <w:bottom w:val="single" w:sz="8" w:space="0" w:color="auto"/>
              <w:right w:val="nil"/>
            </w:tcBorders>
            <w:shd w:val="clear" w:color="auto" w:fill="auto"/>
            <w:vAlign w:val="bottom"/>
          </w:tcPr>
          <w:p w14:paraId="7B691280" w14:textId="77777777" w:rsidR="00587444" w:rsidRPr="00587444" w:rsidRDefault="00587444" w:rsidP="00587444">
            <w:pPr>
              <w:suppressAutoHyphens w:val="0"/>
              <w:autoSpaceDN/>
              <w:spacing w:line="240" w:lineRule="exact"/>
              <w:jc w:val="right"/>
              <w:outlineLvl w:val="0"/>
              <w:rPr>
                <w:rFonts w:ascii="Arial" w:eastAsia="Calibri" w:hAnsi="Arial" w:cs="Arial"/>
                <w:b/>
                <w:bCs/>
                <w:color w:val="000000"/>
                <w:sz w:val="17"/>
                <w:szCs w:val="17"/>
                <w:lang w:eastAsia="hr-HR"/>
              </w:rPr>
            </w:pPr>
            <w:r w:rsidRPr="00587444">
              <w:rPr>
                <w:rFonts w:ascii="Arial" w:hAnsi="Arial" w:cs="Arial"/>
                <w:b/>
                <w:bCs/>
                <w:color w:val="000000"/>
                <w:sz w:val="17"/>
                <w:szCs w:val="17"/>
              </w:rPr>
              <w:t>5,138,206</w:t>
            </w:r>
          </w:p>
        </w:tc>
        <w:tc>
          <w:tcPr>
            <w:tcW w:w="542" w:type="pct"/>
            <w:tcBorders>
              <w:top w:val="nil"/>
              <w:left w:val="nil"/>
              <w:bottom w:val="single" w:sz="8" w:space="0" w:color="auto"/>
              <w:right w:val="nil"/>
            </w:tcBorders>
            <w:shd w:val="clear" w:color="auto" w:fill="auto"/>
            <w:vAlign w:val="bottom"/>
          </w:tcPr>
          <w:p w14:paraId="08F7A97F" w14:textId="137F8200" w:rsidR="00587444" w:rsidRPr="00587444" w:rsidRDefault="00587444" w:rsidP="00587444">
            <w:pPr>
              <w:suppressAutoHyphens w:val="0"/>
              <w:autoSpaceDN/>
              <w:spacing w:line="240" w:lineRule="exact"/>
              <w:jc w:val="right"/>
              <w:outlineLvl w:val="0"/>
              <w:rPr>
                <w:rFonts w:ascii="Arial" w:eastAsia="Calibri" w:hAnsi="Arial" w:cs="Arial"/>
                <w:b/>
                <w:bCs/>
                <w:color w:val="000000"/>
                <w:sz w:val="17"/>
                <w:szCs w:val="17"/>
                <w:lang w:eastAsia="hr-HR"/>
              </w:rPr>
            </w:pPr>
            <w:r w:rsidRPr="00587444">
              <w:rPr>
                <w:rFonts w:ascii="Arial" w:hAnsi="Arial" w:cs="Arial"/>
                <w:b/>
                <w:bCs/>
                <w:color w:val="000000"/>
                <w:sz w:val="17"/>
                <w:szCs w:val="17"/>
              </w:rPr>
              <w:t xml:space="preserve">13,466,652 </w:t>
            </w:r>
          </w:p>
        </w:tc>
        <w:tc>
          <w:tcPr>
            <w:tcW w:w="529" w:type="pct"/>
            <w:tcBorders>
              <w:top w:val="single" w:sz="8" w:space="0" w:color="auto"/>
              <w:left w:val="nil"/>
              <w:bottom w:val="single" w:sz="8" w:space="0" w:color="auto"/>
              <w:right w:val="nil"/>
            </w:tcBorders>
            <w:shd w:val="clear" w:color="auto" w:fill="auto"/>
            <w:vAlign w:val="bottom"/>
          </w:tcPr>
          <w:p w14:paraId="202E1D51" w14:textId="77777777" w:rsidR="00587444" w:rsidRPr="00587444" w:rsidRDefault="00587444" w:rsidP="00587444">
            <w:pPr>
              <w:suppressAutoHyphens w:val="0"/>
              <w:autoSpaceDN/>
              <w:spacing w:line="240" w:lineRule="exact"/>
              <w:jc w:val="right"/>
              <w:outlineLvl w:val="0"/>
              <w:rPr>
                <w:rFonts w:ascii="Arial" w:eastAsia="Calibri" w:hAnsi="Arial" w:cs="Arial"/>
                <w:b/>
                <w:bCs/>
                <w:color w:val="000000"/>
                <w:sz w:val="17"/>
                <w:szCs w:val="17"/>
                <w:lang w:eastAsia="hr-HR"/>
              </w:rPr>
            </w:pPr>
            <w:r w:rsidRPr="00587444">
              <w:rPr>
                <w:rFonts w:ascii="Arial" w:hAnsi="Arial" w:cs="Arial"/>
                <w:b/>
                <w:bCs/>
                <w:color w:val="000000"/>
                <w:sz w:val="17"/>
                <w:szCs w:val="17"/>
              </w:rPr>
              <w:t xml:space="preserve">28,278,362 </w:t>
            </w:r>
          </w:p>
        </w:tc>
      </w:tr>
      <w:tr w:rsidR="00587444" w:rsidRPr="00587444" w14:paraId="7651F4D2" w14:textId="77777777" w:rsidTr="00DD69E7">
        <w:trPr>
          <w:trHeight w:hRule="exact" w:val="270"/>
        </w:trPr>
        <w:tc>
          <w:tcPr>
            <w:tcW w:w="1767" w:type="pct"/>
            <w:vAlign w:val="bottom"/>
          </w:tcPr>
          <w:p w14:paraId="1A28DDF5" w14:textId="77777777" w:rsidR="00587444" w:rsidRPr="00587444" w:rsidRDefault="00587444" w:rsidP="00587444">
            <w:pPr>
              <w:tabs>
                <w:tab w:val="right" w:pos="1202"/>
              </w:tabs>
              <w:suppressAutoHyphens w:val="0"/>
              <w:autoSpaceDN/>
              <w:spacing w:line="200" w:lineRule="exact"/>
              <w:outlineLvl w:val="0"/>
              <w:rPr>
                <w:rFonts w:ascii="Arial" w:hAnsi="Arial" w:cs="Arial"/>
                <w:b/>
                <w:bCs/>
                <w:sz w:val="17"/>
                <w:szCs w:val="17"/>
              </w:rPr>
            </w:pPr>
          </w:p>
        </w:tc>
        <w:tc>
          <w:tcPr>
            <w:tcW w:w="538" w:type="pct"/>
            <w:tcBorders>
              <w:top w:val="single" w:sz="12" w:space="0" w:color="auto"/>
            </w:tcBorders>
            <w:vAlign w:val="bottom"/>
          </w:tcPr>
          <w:p w14:paraId="2CD7BDBF" w14:textId="77777777" w:rsidR="00587444" w:rsidRPr="00587444" w:rsidRDefault="00587444" w:rsidP="00587444">
            <w:pPr>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tcBorders>
            <w:vAlign w:val="bottom"/>
          </w:tcPr>
          <w:p w14:paraId="6B9715A3" w14:textId="77777777" w:rsidR="00587444" w:rsidRPr="00587444" w:rsidRDefault="00587444" w:rsidP="00587444">
            <w:pPr>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tcBorders>
            <w:vAlign w:val="bottom"/>
          </w:tcPr>
          <w:p w14:paraId="1E25F279" w14:textId="77777777" w:rsidR="00587444" w:rsidRPr="00587444" w:rsidRDefault="00587444" w:rsidP="00587444">
            <w:pPr>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tcBorders>
            <w:vAlign w:val="bottom"/>
          </w:tcPr>
          <w:p w14:paraId="30D3C0EF" w14:textId="77777777" w:rsidR="00587444" w:rsidRPr="00587444" w:rsidRDefault="00587444" w:rsidP="00587444">
            <w:pPr>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tcBorders>
            <w:vAlign w:val="bottom"/>
          </w:tcPr>
          <w:p w14:paraId="469D5469" w14:textId="77777777" w:rsidR="00587444" w:rsidRPr="00587444" w:rsidRDefault="00587444" w:rsidP="00587444">
            <w:pPr>
              <w:suppressAutoHyphens w:val="0"/>
              <w:autoSpaceDN/>
              <w:spacing w:line="240" w:lineRule="exact"/>
              <w:jc w:val="right"/>
              <w:outlineLvl w:val="0"/>
              <w:rPr>
                <w:rFonts w:ascii="Arial" w:hAnsi="Arial" w:cs="Arial"/>
                <w:b/>
                <w:bCs/>
                <w:color w:val="000000"/>
                <w:sz w:val="17"/>
                <w:szCs w:val="17"/>
              </w:rPr>
            </w:pPr>
          </w:p>
        </w:tc>
        <w:tc>
          <w:tcPr>
            <w:tcW w:w="529" w:type="pct"/>
            <w:tcBorders>
              <w:top w:val="single" w:sz="12" w:space="0" w:color="auto"/>
            </w:tcBorders>
            <w:vAlign w:val="bottom"/>
          </w:tcPr>
          <w:p w14:paraId="1CBC13D8" w14:textId="77777777" w:rsidR="00587444" w:rsidRPr="00587444" w:rsidRDefault="00587444" w:rsidP="00587444">
            <w:pPr>
              <w:suppressAutoHyphens w:val="0"/>
              <w:autoSpaceDN/>
              <w:spacing w:line="240" w:lineRule="exact"/>
              <w:jc w:val="right"/>
              <w:outlineLvl w:val="0"/>
              <w:rPr>
                <w:rFonts w:ascii="Arial" w:hAnsi="Arial" w:cs="Arial"/>
                <w:b/>
                <w:bCs/>
                <w:color w:val="000000"/>
                <w:sz w:val="17"/>
                <w:szCs w:val="17"/>
              </w:rPr>
            </w:pPr>
          </w:p>
        </w:tc>
      </w:tr>
      <w:tr w:rsidR="00587444" w:rsidRPr="00587444" w14:paraId="479D4C38" w14:textId="77777777" w:rsidTr="00DD69E7">
        <w:trPr>
          <w:trHeight w:hRule="exact" w:val="270"/>
        </w:trPr>
        <w:tc>
          <w:tcPr>
            <w:tcW w:w="1767" w:type="pct"/>
            <w:vAlign w:val="bottom"/>
          </w:tcPr>
          <w:p w14:paraId="412A14B3" w14:textId="77777777" w:rsidR="00587444" w:rsidRPr="00587444" w:rsidRDefault="00587444" w:rsidP="00587444">
            <w:pPr>
              <w:tabs>
                <w:tab w:val="right" w:pos="1202"/>
              </w:tabs>
              <w:suppressAutoHyphens w:val="0"/>
              <w:autoSpaceDN/>
              <w:spacing w:line="200" w:lineRule="exact"/>
              <w:outlineLvl w:val="0"/>
              <w:rPr>
                <w:rFonts w:ascii="Arial" w:hAnsi="Arial" w:cs="Arial"/>
                <w:b/>
                <w:bCs/>
                <w:sz w:val="17"/>
                <w:szCs w:val="17"/>
              </w:rPr>
            </w:pPr>
            <w:r w:rsidRPr="00587444">
              <w:rPr>
                <w:rFonts w:ascii="Arial" w:hAnsi="Arial" w:cs="Arial"/>
                <w:b/>
                <w:bCs/>
                <w:sz w:val="17"/>
                <w:szCs w:val="17"/>
              </w:rPr>
              <w:t>Liabilities</w:t>
            </w:r>
          </w:p>
        </w:tc>
        <w:tc>
          <w:tcPr>
            <w:tcW w:w="538" w:type="pct"/>
            <w:vAlign w:val="bottom"/>
          </w:tcPr>
          <w:p w14:paraId="0668ECF9" w14:textId="77777777" w:rsidR="00587444" w:rsidRPr="00587444" w:rsidRDefault="00587444" w:rsidP="00587444">
            <w:pPr>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0257CD0D" w14:textId="77777777" w:rsidR="00587444" w:rsidRPr="00587444" w:rsidRDefault="00587444" w:rsidP="00587444">
            <w:pPr>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7D620EDC" w14:textId="77777777" w:rsidR="00587444" w:rsidRPr="00587444" w:rsidRDefault="00587444" w:rsidP="00587444">
            <w:pPr>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35E11565" w14:textId="77777777" w:rsidR="00587444" w:rsidRPr="00587444" w:rsidRDefault="00587444" w:rsidP="00587444">
            <w:pPr>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16FE9DD5" w14:textId="77777777" w:rsidR="00587444" w:rsidRPr="00587444" w:rsidRDefault="00587444" w:rsidP="00587444">
            <w:pPr>
              <w:suppressAutoHyphens w:val="0"/>
              <w:autoSpaceDN/>
              <w:spacing w:line="220" w:lineRule="exact"/>
              <w:jc w:val="right"/>
              <w:outlineLvl w:val="0"/>
              <w:rPr>
                <w:rFonts w:ascii="Arial" w:hAnsi="Arial" w:cs="Arial"/>
                <w:b/>
                <w:bCs/>
                <w:spacing w:val="-2"/>
                <w:sz w:val="17"/>
                <w:szCs w:val="17"/>
              </w:rPr>
            </w:pPr>
          </w:p>
        </w:tc>
        <w:tc>
          <w:tcPr>
            <w:tcW w:w="529" w:type="pct"/>
            <w:vAlign w:val="bottom"/>
          </w:tcPr>
          <w:p w14:paraId="40F9BB90" w14:textId="77777777" w:rsidR="00587444" w:rsidRPr="00587444" w:rsidRDefault="00587444" w:rsidP="00587444">
            <w:pPr>
              <w:suppressAutoHyphens w:val="0"/>
              <w:autoSpaceDN/>
              <w:spacing w:line="220" w:lineRule="exact"/>
              <w:jc w:val="right"/>
              <w:outlineLvl w:val="0"/>
              <w:rPr>
                <w:rFonts w:ascii="Arial" w:hAnsi="Arial" w:cs="Arial"/>
                <w:b/>
                <w:bCs/>
                <w:sz w:val="17"/>
                <w:szCs w:val="17"/>
              </w:rPr>
            </w:pPr>
          </w:p>
        </w:tc>
      </w:tr>
      <w:tr w:rsidR="00587444" w:rsidRPr="00587444" w14:paraId="0ED6F050" w14:textId="77777777" w:rsidTr="00DD69E7">
        <w:trPr>
          <w:trHeight w:hRule="exact" w:val="270"/>
        </w:trPr>
        <w:tc>
          <w:tcPr>
            <w:tcW w:w="1767" w:type="pct"/>
            <w:vAlign w:val="bottom"/>
          </w:tcPr>
          <w:p w14:paraId="7881D010" w14:textId="77777777" w:rsidR="00587444" w:rsidRPr="00587444" w:rsidRDefault="00587444" w:rsidP="00587444">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Deposits from customers </w:t>
            </w:r>
          </w:p>
        </w:tc>
        <w:tc>
          <w:tcPr>
            <w:tcW w:w="538" w:type="pct"/>
            <w:tcBorders>
              <w:top w:val="nil"/>
              <w:left w:val="nil"/>
              <w:bottom w:val="nil"/>
              <w:right w:val="nil"/>
            </w:tcBorders>
            <w:shd w:val="clear" w:color="auto" w:fill="auto"/>
            <w:vAlign w:val="bottom"/>
          </w:tcPr>
          <w:p w14:paraId="2718003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622,284 </w:t>
            </w:r>
          </w:p>
        </w:tc>
        <w:tc>
          <w:tcPr>
            <w:tcW w:w="541" w:type="pct"/>
            <w:tcBorders>
              <w:top w:val="nil"/>
              <w:left w:val="nil"/>
              <w:bottom w:val="nil"/>
              <w:right w:val="nil"/>
            </w:tcBorders>
            <w:shd w:val="clear" w:color="auto" w:fill="auto"/>
            <w:vAlign w:val="bottom"/>
          </w:tcPr>
          <w:p w14:paraId="5ECCB79C"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22,169 </w:t>
            </w:r>
          </w:p>
        </w:tc>
        <w:tc>
          <w:tcPr>
            <w:tcW w:w="542" w:type="pct"/>
            <w:tcBorders>
              <w:top w:val="nil"/>
              <w:left w:val="nil"/>
              <w:bottom w:val="nil"/>
              <w:right w:val="nil"/>
            </w:tcBorders>
            <w:shd w:val="clear" w:color="auto" w:fill="auto"/>
            <w:vAlign w:val="bottom"/>
          </w:tcPr>
          <w:p w14:paraId="6EACCB0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105,183 </w:t>
            </w:r>
          </w:p>
        </w:tc>
        <w:tc>
          <w:tcPr>
            <w:tcW w:w="541" w:type="pct"/>
            <w:tcBorders>
              <w:top w:val="nil"/>
              <w:left w:val="nil"/>
              <w:bottom w:val="nil"/>
              <w:right w:val="nil"/>
            </w:tcBorders>
            <w:shd w:val="clear" w:color="auto" w:fill="auto"/>
            <w:vAlign w:val="bottom"/>
          </w:tcPr>
          <w:p w14:paraId="75F52F2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95,453 </w:t>
            </w:r>
          </w:p>
        </w:tc>
        <w:tc>
          <w:tcPr>
            <w:tcW w:w="542" w:type="pct"/>
            <w:tcBorders>
              <w:top w:val="nil"/>
              <w:left w:val="nil"/>
              <w:bottom w:val="nil"/>
              <w:right w:val="nil"/>
            </w:tcBorders>
            <w:shd w:val="clear" w:color="auto" w:fill="auto"/>
            <w:vAlign w:val="bottom"/>
          </w:tcPr>
          <w:p w14:paraId="5A1E7E6C"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115,452 </w:t>
            </w:r>
          </w:p>
        </w:tc>
        <w:tc>
          <w:tcPr>
            <w:tcW w:w="529" w:type="pct"/>
            <w:tcBorders>
              <w:top w:val="nil"/>
              <w:left w:val="nil"/>
              <w:bottom w:val="nil"/>
              <w:right w:val="nil"/>
            </w:tcBorders>
            <w:shd w:val="clear" w:color="auto" w:fill="auto"/>
            <w:vAlign w:val="bottom"/>
          </w:tcPr>
          <w:p w14:paraId="5EE4E94C"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960,541</w:t>
            </w:r>
          </w:p>
        </w:tc>
      </w:tr>
      <w:tr w:rsidR="00587444" w:rsidRPr="00587444" w14:paraId="545D476C" w14:textId="77777777" w:rsidTr="00DD69E7">
        <w:trPr>
          <w:trHeight w:hRule="exact" w:val="270"/>
        </w:trPr>
        <w:tc>
          <w:tcPr>
            <w:tcW w:w="1767" w:type="pct"/>
            <w:vAlign w:val="bottom"/>
          </w:tcPr>
          <w:p w14:paraId="66CDEF86" w14:textId="77777777" w:rsidR="00587444" w:rsidRPr="00587444" w:rsidRDefault="00587444" w:rsidP="00587444">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Borrowings </w:t>
            </w:r>
          </w:p>
        </w:tc>
        <w:tc>
          <w:tcPr>
            <w:tcW w:w="538" w:type="pct"/>
            <w:tcBorders>
              <w:top w:val="nil"/>
              <w:left w:val="nil"/>
              <w:bottom w:val="nil"/>
              <w:right w:val="nil"/>
            </w:tcBorders>
            <w:shd w:val="clear" w:color="auto" w:fill="auto"/>
            <w:vAlign w:val="bottom"/>
          </w:tcPr>
          <w:p w14:paraId="056AC5F2"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244,301 </w:t>
            </w:r>
          </w:p>
        </w:tc>
        <w:tc>
          <w:tcPr>
            <w:tcW w:w="541" w:type="pct"/>
            <w:tcBorders>
              <w:top w:val="nil"/>
              <w:left w:val="nil"/>
              <w:bottom w:val="nil"/>
              <w:right w:val="nil"/>
            </w:tcBorders>
            <w:shd w:val="clear" w:color="auto" w:fill="auto"/>
            <w:vAlign w:val="bottom"/>
          </w:tcPr>
          <w:p w14:paraId="6C38755B"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333,934** </w:t>
            </w:r>
          </w:p>
        </w:tc>
        <w:tc>
          <w:tcPr>
            <w:tcW w:w="542" w:type="pct"/>
            <w:tcBorders>
              <w:top w:val="nil"/>
              <w:left w:val="nil"/>
              <w:bottom w:val="nil"/>
              <w:right w:val="nil"/>
            </w:tcBorders>
            <w:shd w:val="clear" w:color="auto" w:fill="auto"/>
            <w:vAlign w:val="bottom"/>
          </w:tcPr>
          <w:p w14:paraId="4CFB16D9"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1,807,992 </w:t>
            </w:r>
          </w:p>
        </w:tc>
        <w:tc>
          <w:tcPr>
            <w:tcW w:w="541" w:type="pct"/>
            <w:tcBorders>
              <w:top w:val="nil"/>
              <w:left w:val="nil"/>
              <w:bottom w:val="nil"/>
              <w:right w:val="nil"/>
            </w:tcBorders>
            <w:shd w:val="clear" w:color="auto" w:fill="auto"/>
            <w:vAlign w:val="bottom"/>
          </w:tcPr>
          <w:p w14:paraId="57A86729"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5,777,582 </w:t>
            </w:r>
          </w:p>
        </w:tc>
        <w:tc>
          <w:tcPr>
            <w:tcW w:w="542" w:type="pct"/>
            <w:tcBorders>
              <w:top w:val="nil"/>
              <w:left w:val="nil"/>
              <w:bottom w:val="nil"/>
              <w:right w:val="nil"/>
            </w:tcBorders>
            <w:shd w:val="clear" w:color="auto" w:fill="auto"/>
            <w:vAlign w:val="bottom"/>
          </w:tcPr>
          <w:p w14:paraId="728A720C"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7,951,428 </w:t>
            </w:r>
          </w:p>
        </w:tc>
        <w:tc>
          <w:tcPr>
            <w:tcW w:w="529" w:type="pct"/>
            <w:tcBorders>
              <w:top w:val="nil"/>
              <w:left w:val="nil"/>
              <w:bottom w:val="nil"/>
              <w:right w:val="nil"/>
            </w:tcBorders>
            <w:shd w:val="clear" w:color="auto" w:fill="auto"/>
            <w:vAlign w:val="bottom"/>
          </w:tcPr>
          <w:p w14:paraId="4446349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16,115,237</w:t>
            </w:r>
          </w:p>
        </w:tc>
      </w:tr>
      <w:tr w:rsidR="00587444" w:rsidRPr="00587444" w14:paraId="7D069A6C" w14:textId="77777777" w:rsidTr="00DD69E7">
        <w:trPr>
          <w:trHeight w:hRule="exact" w:val="401"/>
        </w:trPr>
        <w:tc>
          <w:tcPr>
            <w:tcW w:w="1767" w:type="pct"/>
            <w:vAlign w:val="bottom"/>
          </w:tcPr>
          <w:p w14:paraId="1989D2A7" w14:textId="77777777" w:rsidR="00587444" w:rsidRPr="00587444" w:rsidRDefault="00587444" w:rsidP="00587444">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Provisions for guarantees, commitments and other liabilities</w:t>
            </w:r>
          </w:p>
        </w:tc>
        <w:tc>
          <w:tcPr>
            <w:tcW w:w="538" w:type="pct"/>
            <w:tcBorders>
              <w:top w:val="nil"/>
              <w:left w:val="nil"/>
              <w:bottom w:val="nil"/>
              <w:right w:val="nil"/>
            </w:tcBorders>
            <w:shd w:val="clear" w:color="auto" w:fill="auto"/>
            <w:vAlign w:val="bottom"/>
          </w:tcPr>
          <w:p w14:paraId="57631108" w14:textId="77777777" w:rsidR="00587444" w:rsidRPr="00587444" w:rsidDel="00E052C8" w:rsidRDefault="00587444" w:rsidP="00587444">
            <w:pPr>
              <w:tabs>
                <w:tab w:val="right" w:pos="1202"/>
              </w:tabs>
              <w:suppressAutoHyphens w:val="0"/>
              <w:autoSpaceDN/>
              <w:spacing w:line="240" w:lineRule="exact"/>
              <w:jc w:val="right"/>
              <w:outlineLvl w:val="0"/>
              <w:rPr>
                <w:rFonts w:ascii="Arial" w:hAnsi="Arial" w:cs="Arial"/>
                <w:sz w:val="17"/>
                <w:szCs w:val="17"/>
              </w:rPr>
            </w:pPr>
            <w:r w:rsidRPr="00587444">
              <w:rPr>
                <w:rFonts w:ascii="Arial" w:hAnsi="Arial" w:cs="Arial"/>
                <w:color w:val="000000"/>
                <w:sz w:val="17"/>
                <w:szCs w:val="17"/>
              </w:rPr>
              <w:t xml:space="preserve"> 105,893 </w:t>
            </w:r>
          </w:p>
        </w:tc>
        <w:tc>
          <w:tcPr>
            <w:tcW w:w="541" w:type="pct"/>
            <w:tcBorders>
              <w:top w:val="nil"/>
              <w:left w:val="nil"/>
              <w:bottom w:val="nil"/>
              <w:right w:val="nil"/>
            </w:tcBorders>
            <w:shd w:val="clear" w:color="auto" w:fill="auto"/>
            <w:vAlign w:val="bottom"/>
          </w:tcPr>
          <w:p w14:paraId="0E913ADF" w14:textId="77777777" w:rsidR="00587444" w:rsidRPr="00587444" w:rsidDel="00E052C8" w:rsidRDefault="00587444" w:rsidP="00587444">
            <w:pPr>
              <w:tabs>
                <w:tab w:val="right" w:pos="1202"/>
              </w:tabs>
              <w:suppressAutoHyphens w:val="0"/>
              <w:autoSpaceDN/>
              <w:spacing w:line="240" w:lineRule="exact"/>
              <w:jc w:val="right"/>
              <w:outlineLvl w:val="0"/>
              <w:rPr>
                <w:rFonts w:ascii="Arial" w:hAnsi="Arial" w:cs="Arial"/>
                <w:sz w:val="17"/>
                <w:szCs w:val="17"/>
              </w:rPr>
            </w:pPr>
            <w:r w:rsidRPr="00587444">
              <w:rPr>
                <w:rFonts w:ascii="Arial" w:hAnsi="Arial" w:cs="Arial"/>
                <w:color w:val="000000"/>
                <w:sz w:val="17"/>
                <w:szCs w:val="17"/>
              </w:rPr>
              <w:t xml:space="preserve">5,962 </w:t>
            </w:r>
          </w:p>
        </w:tc>
        <w:tc>
          <w:tcPr>
            <w:tcW w:w="542" w:type="pct"/>
            <w:tcBorders>
              <w:top w:val="nil"/>
              <w:left w:val="nil"/>
              <w:bottom w:val="nil"/>
              <w:right w:val="nil"/>
            </w:tcBorders>
            <w:shd w:val="clear" w:color="auto" w:fill="auto"/>
            <w:vAlign w:val="bottom"/>
          </w:tcPr>
          <w:p w14:paraId="748C441E" w14:textId="77777777" w:rsidR="00587444" w:rsidRPr="00587444" w:rsidDel="00E052C8" w:rsidRDefault="00587444" w:rsidP="00587444">
            <w:pPr>
              <w:tabs>
                <w:tab w:val="right" w:pos="1202"/>
              </w:tabs>
              <w:suppressAutoHyphens w:val="0"/>
              <w:autoSpaceDN/>
              <w:spacing w:line="240" w:lineRule="exact"/>
              <w:jc w:val="right"/>
              <w:outlineLvl w:val="0"/>
              <w:rPr>
                <w:rFonts w:ascii="Arial" w:hAnsi="Arial" w:cs="Arial"/>
                <w:sz w:val="17"/>
                <w:szCs w:val="17"/>
              </w:rPr>
            </w:pPr>
            <w:r w:rsidRPr="00587444">
              <w:rPr>
                <w:rFonts w:ascii="Arial" w:hAnsi="Arial" w:cs="Arial"/>
                <w:color w:val="000000"/>
                <w:sz w:val="17"/>
                <w:szCs w:val="17"/>
              </w:rPr>
              <w:t xml:space="preserve"> 20,072 </w:t>
            </w:r>
          </w:p>
        </w:tc>
        <w:tc>
          <w:tcPr>
            <w:tcW w:w="541" w:type="pct"/>
            <w:tcBorders>
              <w:top w:val="nil"/>
              <w:left w:val="nil"/>
              <w:bottom w:val="nil"/>
              <w:right w:val="nil"/>
            </w:tcBorders>
            <w:shd w:val="clear" w:color="auto" w:fill="auto"/>
            <w:vAlign w:val="bottom"/>
          </w:tcPr>
          <w:p w14:paraId="441E1B33" w14:textId="77777777" w:rsidR="00587444" w:rsidRPr="00587444" w:rsidDel="00E052C8" w:rsidRDefault="00587444" w:rsidP="00587444">
            <w:pPr>
              <w:tabs>
                <w:tab w:val="right" w:pos="1202"/>
              </w:tabs>
              <w:suppressAutoHyphens w:val="0"/>
              <w:autoSpaceDN/>
              <w:spacing w:line="240" w:lineRule="exact"/>
              <w:jc w:val="right"/>
              <w:outlineLvl w:val="0"/>
              <w:rPr>
                <w:rFonts w:ascii="Arial" w:hAnsi="Arial" w:cs="Arial"/>
                <w:sz w:val="17"/>
                <w:szCs w:val="17"/>
              </w:rPr>
            </w:pPr>
            <w:r w:rsidRPr="00587444">
              <w:rPr>
                <w:rFonts w:ascii="Arial" w:hAnsi="Arial" w:cs="Arial"/>
                <w:color w:val="000000"/>
                <w:sz w:val="17"/>
                <w:szCs w:val="17"/>
              </w:rPr>
              <w:t xml:space="preserve"> 30,577 </w:t>
            </w:r>
          </w:p>
        </w:tc>
        <w:tc>
          <w:tcPr>
            <w:tcW w:w="542" w:type="pct"/>
            <w:tcBorders>
              <w:top w:val="nil"/>
              <w:left w:val="nil"/>
              <w:bottom w:val="nil"/>
              <w:right w:val="nil"/>
            </w:tcBorders>
            <w:shd w:val="clear" w:color="auto" w:fill="auto"/>
            <w:vAlign w:val="bottom"/>
          </w:tcPr>
          <w:p w14:paraId="5206475F" w14:textId="77777777" w:rsidR="00587444" w:rsidRPr="00587444" w:rsidDel="00E052C8" w:rsidRDefault="00587444" w:rsidP="00587444">
            <w:pPr>
              <w:tabs>
                <w:tab w:val="right" w:pos="1202"/>
              </w:tabs>
              <w:suppressAutoHyphens w:val="0"/>
              <w:autoSpaceDN/>
              <w:spacing w:line="240" w:lineRule="exact"/>
              <w:jc w:val="right"/>
              <w:outlineLvl w:val="0"/>
              <w:rPr>
                <w:rFonts w:ascii="Arial" w:hAnsi="Arial" w:cs="Arial"/>
                <w:sz w:val="17"/>
                <w:szCs w:val="17"/>
              </w:rPr>
            </w:pPr>
            <w:r w:rsidRPr="00587444">
              <w:rPr>
                <w:rFonts w:ascii="Arial" w:hAnsi="Arial" w:cs="Arial"/>
                <w:color w:val="000000"/>
                <w:sz w:val="17"/>
                <w:szCs w:val="17"/>
              </w:rPr>
              <w:t xml:space="preserve">28,056 </w:t>
            </w:r>
          </w:p>
        </w:tc>
        <w:tc>
          <w:tcPr>
            <w:tcW w:w="529" w:type="pct"/>
            <w:tcBorders>
              <w:top w:val="nil"/>
              <w:left w:val="nil"/>
              <w:bottom w:val="nil"/>
              <w:right w:val="nil"/>
            </w:tcBorders>
            <w:shd w:val="clear" w:color="auto" w:fill="auto"/>
            <w:vAlign w:val="bottom"/>
          </w:tcPr>
          <w:p w14:paraId="55ECEB2A" w14:textId="77777777" w:rsidR="00587444" w:rsidRPr="00587444" w:rsidDel="00E052C8" w:rsidRDefault="00587444" w:rsidP="00587444">
            <w:pPr>
              <w:tabs>
                <w:tab w:val="right" w:pos="1202"/>
              </w:tabs>
              <w:suppressAutoHyphens w:val="0"/>
              <w:autoSpaceDN/>
              <w:spacing w:line="240" w:lineRule="exact"/>
              <w:jc w:val="right"/>
              <w:outlineLvl w:val="0"/>
              <w:rPr>
                <w:rFonts w:ascii="Arial" w:hAnsi="Arial" w:cs="Arial"/>
                <w:sz w:val="17"/>
                <w:szCs w:val="17"/>
              </w:rPr>
            </w:pPr>
            <w:r w:rsidRPr="00587444">
              <w:rPr>
                <w:rFonts w:ascii="Arial" w:hAnsi="Arial" w:cs="Arial"/>
                <w:color w:val="000000"/>
                <w:sz w:val="17"/>
                <w:szCs w:val="17"/>
              </w:rPr>
              <w:t xml:space="preserve"> 190,560 </w:t>
            </w:r>
          </w:p>
        </w:tc>
      </w:tr>
      <w:tr w:rsidR="00587444" w:rsidRPr="00587444" w14:paraId="42D4913F" w14:textId="77777777" w:rsidTr="00DD69E7">
        <w:trPr>
          <w:trHeight w:hRule="exact" w:val="270"/>
        </w:trPr>
        <w:tc>
          <w:tcPr>
            <w:tcW w:w="1767" w:type="pct"/>
            <w:vAlign w:val="bottom"/>
          </w:tcPr>
          <w:p w14:paraId="015F1E38" w14:textId="77777777" w:rsidR="00587444" w:rsidRPr="00587444" w:rsidRDefault="00587444" w:rsidP="00587444">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Other liabilities </w:t>
            </w:r>
          </w:p>
        </w:tc>
        <w:tc>
          <w:tcPr>
            <w:tcW w:w="538" w:type="pct"/>
            <w:tcBorders>
              <w:top w:val="nil"/>
              <w:left w:val="nil"/>
              <w:bottom w:val="nil"/>
              <w:right w:val="nil"/>
            </w:tcBorders>
            <w:shd w:val="clear" w:color="auto" w:fill="auto"/>
            <w:vAlign w:val="bottom"/>
          </w:tcPr>
          <w:p w14:paraId="3916FCEC"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232,641 </w:t>
            </w:r>
          </w:p>
        </w:tc>
        <w:tc>
          <w:tcPr>
            <w:tcW w:w="541" w:type="pct"/>
            <w:tcBorders>
              <w:top w:val="nil"/>
              <w:left w:val="nil"/>
              <w:bottom w:val="nil"/>
              <w:right w:val="nil"/>
            </w:tcBorders>
            <w:shd w:val="clear" w:color="auto" w:fill="auto"/>
            <w:vAlign w:val="bottom"/>
          </w:tcPr>
          <w:p w14:paraId="41F1B48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15,695 </w:t>
            </w:r>
          </w:p>
        </w:tc>
        <w:tc>
          <w:tcPr>
            <w:tcW w:w="542" w:type="pct"/>
            <w:tcBorders>
              <w:top w:val="nil"/>
              <w:left w:val="nil"/>
              <w:bottom w:val="nil"/>
              <w:right w:val="nil"/>
            </w:tcBorders>
            <w:shd w:val="clear" w:color="auto" w:fill="auto"/>
            <w:vAlign w:val="bottom"/>
          </w:tcPr>
          <w:p w14:paraId="70A6F588"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51,058 </w:t>
            </w:r>
          </w:p>
        </w:tc>
        <w:tc>
          <w:tcPr>
            <w:tcW w:w="541" w:type="pct"/>
            <w:tcBorders>
              <w:top w:val="nil"/>
              <w:left w:val="nil"/>
              <w:bottom w:val="nil"/>
              <w:right w:val="nil"/>
            </w:tcBorders>
            <w:shd w:val="clear" w:color="auto" w:fill="auto"/>
            <w:vAlign w:val="bottom"/>
          </w:tcPr>
          <w:p w14:paraId="50264A7B"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75,994 </w:t>
            </w:r>
          </w:p>
        </w:tc>
        <w:tc>
          <w:tcPr>
            <w:tcW w:w="542" w:type="pct"/>
            <w:tcBorders>
              <w:top w:val="nil"/>
              <w:left w:val="nil"/>
              <w:bottom w:val="nil"/>
              <w:right w:val="nil"/>
            </w:tcBorders>
            <w:shd w:val="clear" w:color="auto" w:fill="auto"/>
            <w:vAlign w:val="bottom"/>
          </w:tcPr>
          <w:p w14:paraId="6804360F"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59,851 </w:t>
            </w:r>
          </w:p>
        </w:tc>
        <w:tc>
          <w:tcPr>
            <w:tcW w:w="529" w:type="pct"/>
            <w:tcBorders>
              <w:top w:val="nil"/>
              <w:left w:val="nil"/>
              <w:bottom w:val="nil"/>
              <w:right w:val="nil"/>
            </w:tcBorders>
            <w:shd w:val="clear" w:color="auto" w:fill="auto"/>
            <w:vAlign w:val="bottom"/>
          </w:tcPr>
          <w:p w14:paraId="049AD470"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435,239 </w:t>
            </w:r>
          </w:p>
        </w:tc>
      </w:tr>
      <w:tr w:rsidR="00587444" w:rsidRPr="00587444" w14:paraId="61957B64" w14:textId="77777777" w:rsidTr="00DD69E7">
        <w:trPr>
          <w:trHeight w:hRule="exact" w:val="270"/>
        </w:trPr>
        <w:tc>
          <w:tcPr>
            <w:tcW w:w="1767" w:type="pct"/>
            <w:vAlign w:val="bottom"/>
          </w:tcPr>
          <w:p w14:paraId="6FD4FF71" w14:textId="77777777" w:rsidR="00587444" w:rsidRPr="00587444" w:rsidRDefault="00587444" w:rsidP="00587444">
            <w:pPr>
              <w:tabs>
                <w:tab w:val="right" w:pos="1202"/>
              </w:tabs>
              <w:suppressAutoHyphens w:val="0"/>
              <w:autoSpaceDN/>
              <w:spacing w:line="200" w:lineRule="exact"/>
              <w:outlineLvl w:val="0"/>
              <w:rPr>
                <w:rFonts w:ascii="Arial" w:hAnsi="Arial" w:cs="Arial"/>
                <w:b/>
                <w:bCs/>
                <w:sz w:val="17"/>
                <w:szCs w:val="17"/>
              </w:rPr>
            </w:pPr>
            <w:r w:rsidRPr="00587444">
              <w:rPr>
                <w:rFonts w:ascii="Arial" w:hAnsi="Arial" w:cs="Arial"/>
                <w:b/>
                <w:bCs/>
                <w:sz w:val="17"/>
                <w:szCs w:val="17"/>
              </w:rPr>
              <w:t xml:space="preserve">Total liabilities </w:t>
            </w:r>
          </w:p>
        </w:tc>
        <w:tc>
          <w:tcPr>
            <w:tcW w:w="538" w:type="pct"/>
            <w:tcBorders>
              <w:top w:val="single" w:sz="8" w:space="0" w:color="auto"/>
              <w:left w:val="nil"/>
              <w:bottom w:val="single" w:sz="8" w:space="0" w:color="auto"/>
              <w:right w:val="nil"/>
            </w:tcBorders>
            <w:shd w:val="clear" w:color="auto" w:fill="auto"/>
            <w:vAlign w:val="bottom"/>
          </w:tcPr>
          <w:p w14:paraId="59587EEC"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 1,205,119 </w:t>
            </w:r>
          </w:p>
        </w:tc>
        <w:tc>
          <w:tcPr>
            <w:tcW w:w="541" w:type="pct"/>
            <w:tcBorders>
              <w:top w:val="single" w:sz="8" w:space="0" w:color="auto"/>
              <w:left w:val="nil"/>
              <w:bottom w:val="single" w:sz="8" w:space="0" w:color="auto"/>
              <w:right w:val="nil"/>
            </w:tcBorders>
            <w:shd w:val="clear" w:color="auto" w:fill="auto"/>
            <w:vAlign w:val="bottom"/>
          </w:tcPr>
          <w:p w14:paraId="3309FABA"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 377,760 </w:t>
            </w:r>
          </w:p>
        </w:tc>
        <w:tc>
          <w:tcPr>
            <w:tcW w:w="542" w:type="pct"/>
            <w:tcBorders>
              <w:top w:val="single" w:sz="8" w:space="0" w:color="auto"/>
              <w:left w:val="nil"/>
              <w:bottom w:val="single" w:sz="8" w:space="0" w:color="auto"/>
              <w:right w:val="nil"/>
            </w:tcBorders>
            <w:shd w:val="clear" w:color="auto" w:fill="auto"/>
            <w:vAlign w:val="bottom"/>
          </w:tcPr>
          <w:p w14:paraId="20E486FE"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1,984,305 </w:t>
            </w:r>
          </w:p>
        </w:tc>
        <w:tc>
          <w:tcPr>
            <w:tcW w:w="541" w:type="pct"/>
            <w:tcBorders>
              <w:top w:val="single" w:sz="8" w:space="0" w:color="auto"/>
              <w:left w:val="nil"/>
              <w:bottom w:val="single" w:sz="8" w:space="0" w:color="auto"/>
              <w:right w:val="nil"/>
            </w:tcBorders>
            <w:shd w:val="clear" w:color="auto" w:fill="auto"/>
            <w:vAlign w:val="bottom"/>
          </w:tcPr>
          <w:p w14:paraId="7A1B7472"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 5,979,606 </w:t>
            </w:r>
          </w:p>
        </w:tc>
        <w:tc>
          <w:tcPr>
            <w:tcW w:w="542" w:type="pct"/>
            <w:tcBorders>
              <w:top w:val="single" w:sz="8" w:space="0" w:color="auto"/>
              <w:left w:val="nil"/>
              <w:bottom w:val="single" w:sz="8" w:space="0" w:color="auto"/>
              <w:right w:val="nil"/>
            </w:tcBorders>
            <w:shd w:val="clear" w:color="auto" w:fill="auto"/>
            <w:vAlign w:val="bottom"/>
          </w:tcPr>
          <w:p w14:paraId="0A4F1FC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 8,154,787 </w:t>
            </w:r>
          </w:p>
        </w:tc>
        <w:tc>
          <w:tcPr>
            <w:tcW w:w="529" w:type="pct"/>
            <w:tcBorders>
              <w:top w:val="single" w:sz="8" w:space="0" w:color="auto"/>
              <w:left w:val="nil"/>
              <w:bottom w:val="single" w:sz="8" w:space="0" w:color="auto"/>
              <w:right w:val="nil"/>
            </w:tcBorders>
            <w:shd w:val="clear" w:color="auto" w:fill="auto"/>
            <w:vAlign w:val="bottom"/>
          </w:tcPr>
          <w:p w14:paraId="188280D7"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17,701,577 </w:t>
            </w:r>
          </w:p>
        </w:tc>
      </w:tr>
      <w:tr w:rsidR="00587444" w:rsidRPr="00587444" w14:paraId="66278C79" w14:textId="77777777" w:rsidTr="00DD69E7">
        <w:trPr>
          <w:trHeight w:hRule="exact" w:val="407"/>
        </w:trPr>
        <w:tc>
          <w:tcPr>
            <w:tcW w:w="1767" w:type="pct"/>
            <w:vAlign w:val="bottom"/>
          </w:tcPr>
          <w:p w14:paraId="3EAB8983" w14:textId="77777777" w:rsidR="00587444" w:rsidRPr="00587444" w:rsidRDefault="00587444" w:rsidP="00587444">
            <w:pPr>
              <w:tabs>
                <w:tab w:val="right" w:pos="1202"/>
              </w:tabs>
              <w:suppressAutoHyphens w:val="0"/>
              <w:autoSpaceDN/>
              <w:spacing w:line="200" w:lineRule="exact"/>
              <w:outlineLvl w:val="0"/>
              <w:rPr>
                <w:rFonts w:ascii="Arial" w:hAnsi="Arial" w:cs="Arial"/>
                <w:b/>
                <w:bCs/>
                <w:spacing w:val="-2"/>
                <w:sz w:val="17"/>
                <w:szCs w:val="17"/>
              </w:rPr>
            </w:pPr>
            <w:r w:rsidRPr="00587444">
              <w:rPr>
                <w:rFonts w:ascii="Arial" w:hAnsi="Arial" w:cs="Arial"/>
                <w:b/>
                <w:bCs/>
                <w:spacing w:val="-2"/>
                <w:sz w:val="17"/>
                <w:szCs w:val="17"/>
              </w:rPr>
              <w:t>Liquidity gap</w:t>
            </w:r>
          </w:p>
        </w:tc>
        <w:tc>
          <w:tcPr>
            <w:tcW w:w="538" w:type="pct"/>
            <w:tcBorders>
              <w:top w:val="single" w:sz="4" w:space="0" w:color="auto"/>
              <w:left w:val="nil"/>
              <w:bottom w:val="single" w:sz="8" w:space="0" w:color="auto"/>
              <w:right w:val="nil"/>
            </w:tcBorders>
            <w:shd w:val="clear" w:color="auto" w:fill="auto"/>
            <w:vAlign w:val="bottom"/>
          </w:tcPr>
          <w:p w14:paraId="55C74CCB"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 5,968,520 </w:t>
            </w:r>
          </w:p>
        </w:tc>
        <w:tc>
          <w:tcPr>
            <w:tcW w:w="541" w:type="pct"/>
            <w:tcBorders>
              <w:top w:val="single" w:sz="4" w:space="0" w:color="auto"/>
              <w:left w:val="nil"/>
              <w:bottom w:val="single" w:sz="8" w:space="0" w:color="auto"/>
              <w:right w:val="nil"/>
            </w:tcBorders>
            <w:shd w:val="clear" w:color="auto" w:fill="auto"/>
            <w:vAlign w:val="bottom"/>
          </w:tcPr>
          <w:p w14:paraId="59D9D84B"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169,650 </w:t>
            </w:r>
          </w:p>
        </w:tc>
        <w:tc>
          <w:tcPr>
            <w:tcW w:w="542" w:type="pct"/>
            <w:tcBorders>
              <w:top w:val="single" w:sz="4" w:space="0" w:color="auto"/>
              <w:left w:val="nil"/>
              <w:bottom w:val="single" w:sz="8" w:space="0" w:color="auto"/>
              <w:right w:val="nil"/>
            </w:tcBorders>
            <w:shd w:val="clear" w:color="auto" w:fill="auto"/>
            <w:vAlign w:val="bottom"/>
          </w:tcPr>
          <w:p w14:paraId="154B993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 (31,850) </w:t>
            </w:r>
          </w:p>
        </w:tc>
        <w:tc>
          <w:tcPr>
            <w:tcW w:w="541" w:type="pct"/>
            <w:tcBorders>
              <w:top w:val="single" w:sz="4" w:space="0" w:color="auto"/>
              <w:left w:val="nil"/>
              <w:bottom w:val="single" w:sz="8" w:space="0" w:color="auto"/>
              <w:right w:val="nil"/>
            </w:tcBorders>
            <w:shd w:val="clear" w:color="auto" w:fill="auto"/>
            <w:vAlign w:val="bottom"/>
          </w:tcPr>
          <w:p w14:paraId="10411F3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 (841,400)</w:t>
            </w:r>
          </w:p>
        </w:tc>
        <w:tc>
          <w:tcPr>
            <w:tcW w:w="542" w:type="pct"/>
            <w:tcBorders>
              <w:top w:val="single" w:sz="4" w:space="0" w:color="auto"/>
              <w:left w:val="nil"/>
              <w:bottom w:val="single" w:sz="8" w:space="0" w:color="auto"/>
              <w:right w:val="nil"/>
            </w:tcBorders>
            <w:shd w:val="clear" w:color="auto" w:fill="auto"/>
            <w:vAlign w:val="bottom"/>
          </w:tcPr>
          <w:p w14:paraId="2D56FA6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5,311,865 </w:t>
            </w:r>
          </w:p>
        </w:tc>
        <w:tc>
          <w:tcPr>
            <w:tcW w:w="529" w:type="pct"/>
            <w:tcBorders>
              <w:top w:val="single" w:sz="4" w:space="0" w:color="auto"/>
              <w:left w:val="nil"/>
              <w:bottom w:val="single" w:sz="8" w:space="0" w:color="auto"/>
              <w:right w:val="nil"/>
            </w:tcBorders>
            <w:shd w:val="clear" w:color="auto" w:fill="auto"/>
            <w:vAlign w:val="bottom"/>
          </w:tcPr>
          <w:p w14:paraId="7CD08266"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10,576,785 </w:t>
            </w:r>
          </w:p>
        </w:tc>
      </w:tr>
      <w:tr w:rsidR="00587444" w:rsidRPr="00587444" w14:paraId="7844EB7B" w14:textId="77777777" w:rsidTr="00DD69E7">
        <w:trPr>
          <w:trHeight w:hRule="exact" w:val="270"/>
        </w:trPr>
        <w:tc>
          <w:tcPr>
            <w:tcW w:w="1767" w:type="pct"/>
            <w:vAlign w:val="bottom"/>
          </w:tcPr>
          <w:p w14:paraId="1644DCE5" w14:textId="77777777" w:rsidR="00587444" w:rsidRPr="00587444" w:rsidRDefault="00587444" w:rsidP="00587444">
            <w:pPr>
              <w:tabs>
                <w:tab w:val="right" w:pos="1202"/>
              </w:tabs>
              <w:suppressAutoHyphens w:val="0"/>
              <w:autoSpaceDN/>
              <w:spacing w:line="200" w:lineRule="exact"/>
              <w:outlineLvl w:val="0"/>
              <w:rPr>
                <w:rFonts w:ascii="Arial" w:hAnsi="Arial" w:cs="Arial"/>
                <w:b/>
                <w:bCs/>
                <w:spacing w:val="-2"/>
                <w:sz w:val="17"/>
                <w:szCs w:val="17"/>
              </w:rPr>
            </w:pPr>
          </w:p>
        </w:tc>
        <w:tc>
          <w:tcPr>
            <w:tcW w:w="538" w:type="pct"/>
            <w:tcBorders>
              <w:top w:val="single" w:sz="12" w:space="0" w:color="auto"/>
              <w:left w:val="nil"/>
              <w:right w:val="nil"/>
            </w:tcBorders>
            <w:shd w:val="clear" w:color="auto" w:fill="auto"/>
            <w:vAlign w:val="bottom"/>
          </w:tcPr>
          <w:p w14:paraId="6ADAF5F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left w:val="nil"/>
              <w:right w:val="nil"/>
            </w:tcBorders>
            <w:shd w:val="clear" w:color="auto" w:fill="auto"/>
            <w:vAlign w:val="bottom"/>
          </w:tcPr>
          <w:p w14:paraId="6D1BB89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left w:val="nil"/>
              <w:right w:val="nil"/>
            </w:tcBorders>
            <w:shd w:val="clear" w:color="auto" w:fill="auto"/>
            <w:vAlign w:val="bottom"/>
          </w:tcPr>
          <w:p w14:paraId="5B86207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left w:val="nil"/>
              <w:right w:val="nil"/>
            </w:tcBorders>
            <w:shd w:val="clear" w:color="auto" w:fill="auto"/>
            <w:vAlign w:val="bottom"/>
          </w:tcPr>
          <w:p w14:paraId="4397A54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left w:val="nil"/>
              <w:right w:val="nil"/>
            </w:tcBorders>
            <w:shd w:val="clear" w:color="auto" w:fill="auto"/>
            <w:vAlign w:val="bottom"/>
          </w:tcPr>
          <w:p w14:paraId="2BAC9C4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29" w:type="pct"/>
            <w:tcBorders>
              <w:top w:val="single" w:sz="12" w:space="0" w:color="auto"/>
              <w:left w:val="nil"/>
              <w:right w:val="nil"/>
            </w:tcBorders>
            <w:shd w:val="clear" w:color="auto" w:fill="auto"/>
            <w:vAlign w:val="bottom"/>
          </w:tcPr>
          <w:p w14:paraId="17F39FC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r>
      <w:tr w:rsidR="00587444" w:rsidRPr="00587444" w14:paraId="311DFE32" w14:textId="77777777" w:rsidTr="00DD69E7">
        <w:trPr>
          <w:trHeight w:hRule="exact" w:val="270"/>
        </w:trPr>
        <w:tc>
          <w:tcPr>
            <w:tcW w:w="1767" w:type="pct"/>
            <w:vAlign w:val="bottom"/>
          </w:tcPr>
          <w:p w14:paraId="070AC041" w14:textId="77777777" w:rsidR="00587444" w:rsidRPr="00587444" w:rsidRDefault="00587444" w:rsidP="00587444">
            <w:pPr>
              <w:tabs>
                <w:tab w:val="right" w:pos="1202"/>
              </w:tabs>
              <w:suppressAutoHyphens w:val="0"/>
              <w:autoSpaceDN/>
              <w:spacing w:line="200" w:lineRule="exact"/>
              <w:outlineLvl w:val="0"/>
              <w:rPr>
                <w:rFonts w:ascii="Arial" w:hAnsi="Arial" w:cs="Arial"/>
                <w:b/>
                <w:bCs/>
                <w:spacing w:val="-2"/>
                <w:sz w:val="17"/>
                <w:szCs w:val="17"/>
              </w:rPr>
            </w:pPr>
            <w:r w:rsidRPr="00587444">
              <w:rPr>
                <w:rFonts w:ascii="Arial" w:hAnsi="Arial" w:cs="Arial"/>
                <w:b/>
                <w:bCs/>
                <w:spacing w:val="-2"/>
                <w:sz w:val="17"/>
                <w:szCs w:val="17"/>
              </w:rPr>
              <w:t>Guarantees and commitments</w:t>
            </w:r>
          </w:p>
        </w:tc>
        <w:tc>
          <w:tcPr>
            <w:tcW w:w="538" w:type="pct"/>
            <w:tcBorders>
              <w:top w:val="nil"/>
              <w:left w:val="nil"/>
              <w:bottom w:val="nil"/>
              <w:right w:val="nil"/>
            </w:tcBorders>
            <w:shd w:val="clear" w:color="auto" w:fill="auto"/>
            <w:vAlign w:val="bottom"/>
          </w:tcPr>
          <w:p w14:paraId="427E26C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nil"/>
              <w:left w:val="nil"/>
              <w:bottom w:val="nil"/>
              <w:right w:val="nil"/>
            </w:tcBorders>
            <w:shd w:val="clear" w:color="auto" w:fill="auto"/>
            <w:vAlign w:val="bottom"/>
          </w:tcPr>
          <w:p w14:paraId="7CA162D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nil"/>
              <w:left w:val="nil"/>
              <w:bottom w:val="nil"/>
              <w:right w:val="nil"/>
            </w:tcBorders>
            <w:shd w:val="clear" w:color="auto" w:fill="auto"/>
            <w:vAlign w:val="bottom"/>
          </w:tcPr>
          <w:p w14:paraId="565AFE0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nil"/>
              <w:left w:val="nil"/>
              <w:bottom w:val="nil"/>
              <w:right w:val="nil"/>
            </w:tcBorders>
            <w:shd w:val="clear" w:color="auto" w:fill="auto"/>
            <w:vAlign w:val="bottom"/>
          </w:tcPr>
          <w:p w14:paraId="7BCFED2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nil"/>
              <w:left w:val="nil"/>
              <w:bottom w:val="nil"/>
              <w:right w:val="nil"/>
            </w:tcBorders>
            <w:shd w:val="clear" w:color="auto" w:fill="auto"/>
            <w:vAlign w:val="bottom"/>
          </w:tcPr>
          <w:p w14:paraId="72C96A6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29" w:type="pct"/>
            <w:tcBorders>
              <w:top w:val="nil"/>
              <w:left w:val="nil"/>
              <w:bottom w:val="nil"/>
              <w:right w:val="nil"/>
            </w:tcBorders>
            <w:shd w:val="clear" w:color="auto" w:fill="auto"/>
            <w:vAlign w:val="bottom"/>
          </w:tcPr>
          <w:p w14:paraId="3404A44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r>
      <w:tr w:rsidR="00587444" w:rsidRPr="00587444" w14:paraId="72D3CA7C" w14:textId="77777777" w:rsidTr="00DD69E7">
        <w:trPr>
          <w:trHeight w:hRule="exact" w:val="270"/>
        </w:trPr>
        <w:tc>
          <w:tcPr>
            <w:tcW w:w="1767" w:type="pct"/>
            <w:vAlign w:val="bottom"/>
          </w:tcPr>
          <w:p w14:paraId="66ADA0EC" w14:textId="77777777" w:rsidR="00587444" w:rsidRPr="00587444" w:rsidRDefault="00587444" w:rsidP="00587444">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Guarantees issued in HRK</w:t>
            </w:r>
          </w:p>
        </w:tc>
        <w:tc>
          <w:tcPr>
            <w:tcW w:w="538" w:type="pct"/>
            <w:tcBorders>
              <w:top w:val="nil"/>
              <w:left w:val="nil"/>
              <w:bottom w:val="nil"/>
              <w:right w:val="nil"/>
            </w:tcBorders>
            <w:shd w:val="clear" w:color="auto" w:fill="auto"/>
            <w:vAlign w:val="bottom"/>
          </w:tcPr>
          <w:p w14:paraId="2E0378F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170,555 </w:t>
            </w:r>
          </w:p>
        </w:tc>
        <w:tc>
          <w:tcPr>
            <w:tcW w:w="541" w:type="pct"/>
            <w:tcBorders>
              <w:top w:val="nil"/>
              <w:left w:val="nil"/>
              <w:bottom w:val="nil"/>
              <w:right w:val="nil"/>
            </w:tcBorders>
            <w:shd w:val="clear" w:color="auto" w:fill="auto"/>
            <w:vAlign w:val="bottom"/>
          </w:tcPr>
          <w:p w14:paraId="56457A6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4275518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29C583E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1962294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65D68C5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170,555</w:t>
            </w:r>
          </w:p>
        </w:tc>
      </w:tr>
      <w:tr w:rsidR="00587444" w:rsidRPr="00587444" w14:paraId="763AF2D5" w14:textId="77777777" w:rsidTr="00DD69E7">
        <w:trPr>
          <w:trHeight w:hRule="exact" w:val="270"/>
        </w:trPr>
        <w:tc>
          <w:tcPr>
            <w:tcW w:w="1767" w:type="pct"/>
            <w:vAlign w:val="bottom"/>
          </w:tcPr>
          <w:p w14:paraId="420BFD2B" w14:textId="77777777" w:rsidR="00587444" w:rsidRPr="00587444" w:rsidRDefault="00587444" w:rsidP="00587444">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Issued guarantees in foreign currency</w:t>
            </w:r>
          </w:p>
        </w:tc>
        <w:tc>
          <w:tcPr>
            <w:tcW w:w="538" w:type="pct"/>
            <w:tcBorders>
              <w:top w:val="nil"/>
              <w:left w:val="nil"/>
              <w:bottom w:val="nil"/>
              <w:right w:val="nil"/>
            </w:tcBorders>
            <w:shd w:val="clear" w:color="auto" w:fill="auto"/>
            <w:vAlign w:val="bottom"/>
          </w:tcPr>
          <w:p w14:paraId="60FC39D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325,103 </w:t>
            </w:r>
          </w:p>
        </w:tc>
        <w:tc>
          <w:tcPr>
            <w:tcW w:w="541" w:type="pct"/>
            <w:tcBorders>
              <w:top w:val="nil"/>
              <w:left w:val="nil"/>
              <w:bottom w:val="nil"/>
              <w:right w:val="nil"/>
            </w:tcBorders>
            <w:shd w:val="clear" w:color="auto" w:fill="auto"/>
            <w:vAlign w:val="bottom"/>
          </w:tcPr>
          <w:p w14:paraId="47445B3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246CA3A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76CF008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7E532F9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5855FF9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325,103</w:t>
            </w:r>
          </w:p>
        </w:tc>
      </w:tr>
      <w:tr w:rsidR="00587444" w:rsidRPr="00587444" w14:paraId="11C0AD53" w14:textId="77777777" w:rsidTr="00DD69E7">
        <w:trPr>
          <w:trHeight w:hRule="exact" w:val="285"/>
        </w:trPr>
        <w:tc>
          <w:tcPr>
            <w:tcW w:w="1767" w:type="pct"/>
            <w:vAlign w:val="bottom"/>
          </w:tcPr>
          <w:p w14:paraId="4E82D14F" w14:textId="77777777" w:rsidR="00587444" w:rsidRPr="00587444" w:rsidRDefault="00587444" w:rsidP="00587444">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Undrawn loans</w:t>
            </w:r>
          </w:p>
        </w:tc>
        <w:tc>
          <w:tcPr>
            <w:tcW w:w="538" w:type="pct"/>
            <w:tcBorders>
              <w:top w:val="nil"/>
              <w:left w:val="nil"/>
              <w:bottom w:val="nil"/>
              <w:right w:val="nil"/>
            </w:tcBorders>
            <w:shd w:val="clear" w:color="auto" w:fill="auto"/>
            <w:vAlign w:val="bottom"/>
          </w:tcPr>
          <w:p w14:paraId="0BA4AE5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3,492,038    </w:t>
            </w:r>
          </w:p>
        </w:tc>
        <w:tc>
          <w:tcPr>
            <w:tcW w:w="541" w:type="pct"/>
            <w:tcBorders>
              <w:top w:val="nil"/>
              <w:left w:val="nil"/>
              <w:bottom w:val="nil"/>
              <w:right w:val="nil"/>
            </w:tcBorders>
            <w:shd w:val="clear" w:color="auto" w:fill="auto"/>
            <w:vAlign w:val="bottom"/>
          </w:tcPr>
          <w:p w14:paraId="47C06BD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3BF5C7B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5EFC4CB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1017E50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7FB9B0C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color w:val="000000"/>
                <w:sz w:val="17"/>
                <w:szCs w:val="17"/>
              </w:rPr>
              <w:t>3,492,038</w:t>
            </w:r>
          </w:p>
        </w:tc>
      </w:tr>
      <w:tr w:rsidR="00587444" w:rsidRPr="00587444" w14:paraId="75DBFCFB" w14:textId="77777777" w:rsidTr="00DD69E7">
        <w:trPr>
          <w:trHeight w:hRule="exact" w:val="270"/>
        </w:trPr>
        <w:tc>
          <w:tcPr>
            <w:tcW w:w="1767" w:type="pct"/>
            <w:vAlign w:val="center"/>
          </w:tcPr>
          <w:p w14:paraId="27C5FE94" w14:textId="77777777" w:rsidR="00587444" w:rsidRPr="00587444" w:rsidRDefault="00587444" w:rsidP="00587444">
            <w:pPr>
              <w:tabs>
                <w:tab w:val="right" w:pos="1202"/>
              </w:tabs>
              <w:suppressAutoHyphens w:val="0"/>
              <w:autoSpaceDN/>
              <w:spacing w:line="200" w:lineRule="exact"/>
              <w:outlineLvl w:val="0"/>
              <w:rPr>
                <w:rFonts w:ascii="Arial" w:hAnsi="Arial" w:cs="Arial"/>
                <w:spacing w:val="-2"/>
                <w:sz w:val="17"/>
                <w:szCs w:val="17"/>
                <w:highlight w:val="yellow"/>
              </w:rPr>
            </w:pPr>
            <w:r w:rsidRPr="00587444">
              <w:rPr>
                <w:rFonts w:ascii="Arial" w:hAnsi="Arial" w:cs="Arial"/>
                <w:sz w:val="17"/>
                <w:szCs w:val="17"/>
              </w:rPr>
              <w:t>EIF – subscribed, not called up capital</w:t>
            </w:r>
          </w:p>
        </w:tc>
        <w:tc>
          <w:tcPr>
            <w:tcW w:w="538" w:type="pct"/>
            <w:tcBorders>
              <w:top w:val="nil"/>
              <w:left w:val="nil"/>
              <w:bottom w:val="nil"/>
              <w:right w:val="nil"/>
            </w:tcBorders>
            <w:shd w:val="clear" w:color="auto" w:fill="auto"/>
            <w:vAlign w:val="bottom"/>
          </w:tcPr>
          <w:p w14:paraId="71C43AC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78,179 </w:t>
            </w:r>
          </w:p>
        </w:tc>
        <w:tc>
          <w:tcPr>
            <w:tcW w:w="541" w:type="pct"/>
            <w:tcBorders>
              <w:top w:val="nil"/>
              <w:left w:val="nil"/>
              <w:bottom w:val="nil"/>
              <w:right w:val="nil"/>
            </w:tcBorders>
            <w:shd w:val="clear" w:color="auto" w:fill="auto"/>
            <w:vAlign w:val="bottom"/>
          </w:tcPr>
          <w:p w14:paraId="1010857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64DC181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6A95149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7444478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7A78582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78,179</w:t>
            </w:r>
          </w:p>
        </w:tc>
      </w:tr>
      <w:tr w:rsidR="00587444" w:rsidRPr="00587444" w14:paraId="41C670E0" w14:textId="77777777" w:rsidTr="00DD69E7">
        <w:trPr>
          <w:trHeight w:hRule="exact" w:val="270"/>
        </w:trPr>
        <w:tc>
          <w:tcPr>
            <w:tcW w:w="1767" w:type="pct"/>
            <w:tcBorders>
              <w:top w:val="nil"/>
              <w:left w:val="nil"/>
              <w:bottom w:val="nil"/>
              <w:right w:val="nil"/>
            </w:tcBorders>
            <w:shd w:val="clear" w:color="auto" w:fill="auto"/>
            <w:vAlign w:val="bottom"/>
          </w:tcPr>
          <w:p w14:paraId="13851768" w14:textId="77777777" w:rsidR="00587444" w:rsidRPr="00587444" w:rsidRDefault="00587444" w:rsidP="00587444">
            <w:pPr>
              <w:suppressAutoHyphens w:val="0"/>
              <w:autoSpaceDN/>
              <w:rPr>
                <w:rFonts w:ascii="Arial" w:hAnsi="Arial" w:cs="Arial"/>
                <w:sz w:val="17"/>
                <w:szCs w:val="17"/>
              </w:rPr>
            </w:pPr>
            <w:r w:rsidRPr="00587444">
              <w:rPr>
                <w:rFonts w:ascii="Arial" w:hAnsi="Arial" w:cs="Arial"/>
                <w:color w:val="000000"/>
                <w:sz w:val="17"/>
                <w:szCs w:val="17"/>
                <w:lang w:val="en-GB"/>
              </w:rPr>
              <w:t>EIF CROGIP Contracted Liability</w:t>
            </w:r>
          </w:p>
        </w:tc>
        <w:tc>
          <w:tcPr>
            <w:tcW w:w="538" w:type="pct"/>
            <w:tcBorders>
              <w:top w:val="nil"/>
              <w:left w:val="nil"/>
              <w:bottom w:val="nil"/>
              <w:right w:val="nil"/>
            </w:tcBorders>
            <w:shd w:val="clear" w:color="auto" w:fill="auto"/>
            <w:vAlign w:val="bottom"/>
          </w:tcPr>
          <w:p w14:paraId="73DFABB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66CCBCB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12,616 </w:t>
            </w:r>
          </w:p>
        </w:tc>
        <w:tc>
          <w:tcPr>
            <w:tcW w:w="542" w:type="pct"/>
            <w:tcBorders>
              <w:top w:val="nil"/>
              <w:left w:val="nil"/>
              <w:bottom w:val="nil"/>
              <w:right w:val="nil"/>
            </w:tcBorders>
            <w:shd w:val="clear" w:color="auto" w:fill="auto"/>
            <w:vAlign w:val="bottom"/>
          </w:tcPr>
          <w:p w14:paraId="57709BE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56,771 </w:t>
            </w:r>
          </w:p>
        </w:tc>
        <w:tc>
          <w:tcPr>
            <w:tcW w:w="541" w:type="pct"/>
            <w:tcBorders>
              <w:top w:val="nil"/>
              <w:left w:val="nil"/>
              <w:bottom w:val="nil"/>
              <w:right w:val="nil"/>
            </w:tcBorders>
            <w:shd w:val="clear" w:color="auto" w:fill="auto"/>
            <w:vAlign w:val="bottom"/>
          </w:tcPr>
          <w:p w14:paraId="161A14E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112,664 </w:t>
            </w:r>
          </w:p>
        </w:tc>
        <w:tc>
          <w:tcPr>
            <w:tcW w:w="542" w:type="pct"/>
            <w:tcBorders>
              <w:top w:val="nil"/>
              <w:left w:val="nil"/>
              <w:bottom w:val="nil"/>
              <w:right w:val="nil"/>
            </w:tcBorders>
            <w:shd w:val="clear" w:color="auto" w:fill="auto"/>
            <w:vAlign w:val="bottom"/>
          </w:tcPr>
          <w:p w14:paraId="01A0EB4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130,438 </w:t>
            </w:r>
          </w:p>
        </w:tc>
        <w:tc>
          <w:tcPr>
            <w:tcW w:w="529" w:type="pct"/>
            <w:tcBorders>
              <w:top w:val="nil"/>
              <w:left w:val="nil"/>
              <w:bottom w:val="nil"/>
              <w:right w:val="nil"/>
            </w:tcBorders>
            <w:shd w:val="clear" w:color="auto" w:fill="auto"/>
            <w:vAlign w:val="bottom"/>
          </w:tcPr>
          <w:p w14:paraId="156E412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312,489</w:t>
            </w:r>
          </w:p>
        </w:tc>
      </w:tr>
      <w:tr w:rsidR="00587444" w:rsidRPr="00587444" w14:paraId="5C7FB0EB" w14:textId="77777777" w:rsidTr="00DD69E7">
        <w:trPr>
          <w:trHeight w:hRule="exact" w:val="270"/>
        </w:trPr>
        <w:tc>
          <w:tcPr>
            <w:tcW w:w="1767" w:type="pct"/>
            <w:tcBorders>
              <w:top w:val="nil"/>
              <w:left w:val="nil"/>
              <w:bottom w:val="nil"/>
              <w:right w:val="nil"/>
            </w:tcBorders>
            <w:shd w:val="clear" w:color="auto" w:fill="auto"/>
            <w:vAlign w:val="bottom"/>
          </w:tcPr>
          <w:p w14:paraId="74E52271" w14:textId="77777777" w:rsidR="00587444" w:rsidRPr="00587444" w:rsidRDefault="00587444" w:rsidP="00587444">
            <w:pPr>
              <w:suppressAutoHyphens w:val="0"/>
              <w:autoSpaceDN/>
              <w:rPr>
                <w:rFonts w:ascii="Arial" w:hAnsi="Arial" w:cs="Arial"/>
                <w:sz w:val="17"/>
                <w:szCs w:val="17"/>
              </w:rPr>
            </w:pPr>
            <w:r w:rsidRPr="00587444">
              <w:rPr>
                <w:rFonts w:ascii="Arial" w:hAnsi="Arial" w:cs="Arial"/>
                <w:color w:val="000000"/>
                <w:sz w:val="17"/>
                <w:szCs w:val="17"/>
                <w:lang w:val="en-GB"/>
              </w:rPr>
              <w:t>EIF FRC2 Contracted Liability</w:t>
            </w:r>
          </w:p>
        </w:tc>
        <w:tc>
          <w:tcPr>
            <w:tcW w:w="538" w:type="pct"/>
            <w:tcBorders>
              <w:top w:val="nil"/>
              <w:left w:val="nil"/>
              <w:bottom w:val="single" w:sz="8" w:space="0" w:color="auto"/>
              <w:right w:val="nil"/>
            </w:tcBorders>
            <w:shd w:val="clear" w:color="auto" w:fill="auto"/>
            <w:vAlign w:val="bottom"/>
          </w:tcPr>
          <w:p w14:paraId="1567422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678 </w:t>
            </w:r>
          </w:p>
        </w:tc>
        <w:tc>
          <w:tcPr>
            <w:tcW w:w="541" w:type="pct"/>
            <w:tcBorders>
              <w:top w:val="nil"/>
              <w:left w:val="nil"/>
              <w:bottom w:val="single" w:sz="8" w:space="0" w:color="auto"/>
              <w:right w:val="nil"/>
            </w:tcBorders>
            <w:shd w:val="clear" w:color="auto" w:fill="auto"/>
            <w:vAlign w:val="bottom"/>
          </w:tcPr>
          <w:p w14:paraId="3561009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532 </w:t>
            </w:r>
          </w:p>
        </w:tc>
        <w:tc>
          <w:tcPr>
            <w:tcW w:w="542" w:type="pct"/>
            <w:tcBorders>
              <w:top w:val="nil"/>
              <w:left w:val="nil"/>
              <w:bottom w:val="single" w:sz="8" w:space="0" w:color="auto"/>
              <w:right w:val="nil"/>
            </w:tcBorders>
            <w:shd w:val="clear" w:color="auto" w:fill="auto"/>
            <w:vAlign w:val="bottom"/>
          </w:tcPr>
          <w:p w14:paraId="655FC24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2,393 </w:t>
            </w:r>
          </w:p>
        </w:tc>
        <w:tc>
          <w:tcPr>
            <w:tcW w:w="541" w:type="pct"/>
            <w:tcBorders>
              <w:top w:val="nil"/>
              <w:left w:val="nil"/>
              <w:bottom w:val="single" w:sz="8" w:space="0" w:color="auto"/>
              <w:right w:val="nil"/>
            </w:tcBorders>
            <w:shd w:val="clear" w:color="auto" w:fill="auto"/>
            <w:vAlign w:val="bottom"/>
          </w:tcPr>
          <w:p w14:paraId="25ADAE9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2,171 </w:t>
            </w:r>
          </w:p>
        </w:tc>
        <w:tc>
          <w:tcPr>
            <w:tcW w:w="542" w:type="pct"/>
            <w:tcBorders>
              <w:top w:val="nil"/>
              <w:left w:val="nil"/>
              <w:bottom w:val="single" w:sz="8" w:space="0" w:color="auto"/>
              <w:right w:val="nil"/>
            </w:tcBorders>
            <w:shd w:val="clear" w:color="auto" w:fill="auto"/>
            <w:vAlign w:val="bottom"/>
          </w:tcPr>
          <w:p w14:paraId="131057B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469 </w:t>
            </w:r>
          </w:p>
        </w:tc>
        <w:tc>
          <w:tcPr>
            <w:tcW w:w="529" w:type="pct"/>
            <w:tcBorders>
              <w:top w:val="nil"/>
              <w:left w:val="nil"/>
              <w:bottom w:val="single" w:sz="8" w:space="0" w:color="auto"/>
              <w:right w:val="nil"/>
            </w:tcBorders>
            <w:shd w:val="clear" w:color="auto" w:fill="auto"/>
            <w:vAlign w:val="bottom"/>
          </w:tcPr>
          <w:p w14:paraId="7501AE1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6,243</w:t>
            </w:r>
          </w:p>
        </w:tc>
      </w:tr>
      <w:tr w:rsidR="00587444" w:rsidRPr="00587444" w14:paraId="22B10E62" w14:textId="77777777" w:rsidTr="00DD69E7">
        <w:trPr>
          <w:trHeight w:hRule="exact" w:val="270"/>
        </w:trPr>
        <w:tc>
          <w:tcPr>
            <w:tcW w:w="1767" w:type="pct"/>
            <w:vAlign w:val="center"/>
          </w:tcPr>
          <w:p w14:paraId="29B31332" w14:textId="77777777" w:rsidR="00587444" w:rsidRPr="00587444" w:rsidRDefault="00587444" w:rsidP="00587444">
            <w:pPr>
              <w:tabs>
                <w:tab w:val="right" w:pos="1202"/>
              </w:tabs>
              <w:suppressAutoHyphens w:val="0"/>
              <w:autoSpaceDN/>
              <w:spacing w:line="200" w:lineRule="exact"/>
              <w:outlineLvl w:val="0"/>
              <w:rPr>
                <w:rFonts w:ascii="Arial" w:hAnsi="Arial" w:cs="Arial"/>
                <w:b/>
                <w:bCs/>
                <w:spacing w:val="-2"/>
                <w:sz w:val="17"/>
                <w:szCs w:val="17"/>
                <w:highlight w:val="yellow"/>
              </w:rPr>
            </w:pPr>
            <w:r w:rsidRPr="00587444">
              <w:rPr>
                <w:rFonts w:ascii="Arial" w:hAnsi="Arial" w:cs="Arial"/>
                <w:b/>
                <w:bCs/>
                <w:spacing w:val="-2"/>
                <w:sz w:val="17"/>
                <w:szCs w:val="17"/>
              </w:rPr>
              <w:t>Total guarantees and commitments</w:t>
            </w:r>
          </w:p>
        </w:tc>
        <w:tc>
          <w:tcPr>
            <w:tcW w:w="538" w:type="pct"/>
            <w:tcBorders>
              <w:top w:val="single" w:sz="8" w:space="0" w:color="auto"/>
              <w:left w:val="nil"/>
              <w:bottom w:val="single" w:sz="12" w:space="0" w:color="auto"/>
              <w:right w:val="nil"/>
            </w:tcBorders>
            <w:shd w:val="clear" w:color="auto" w:fill="auto"/>
            <w:vAlign w:val="bottom"/>
          </w:tcPr>
          <w:p w14:paraId="55F4274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b/>
                <w:bCs/>
                <w:color w:val="000000"/>
                <w:sz w:val="17"/>
                <w:szCs w:val="17"/>
              </w:rPr>
              <w:t>4,066,553</w:t>
            </w:r>
          </w:p>
        </w:tc>
        <w:tc>
          <w:tcPr>
            <w:tcW w:w="541" w:type="pct"/>
            <w:tcBorders>
              <w:top w:val="single" w:sz="8" w:space="0" w:color="auto"/>
              <w:left w:val="nil"/>
              <w:bottom w:val="single" w:sz="12" w:space="0" w:color="auto"/>
              <w:right w:val="nil"/>
            </w:tcBorders>
            <w:shd w:val="clear" w:color="auto" w:fill="auto"/>
            <w:vAlign w:val="bottom"/>
          </w:tcPr>
          <w:p w14:paraId="1292A40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b/>
                <w:bCs/>
                <w:color w:val="000000"/>
                <w:sz w:val="17"/>
                <w:szCs w:val="17"/>
              </w:rPr>
              <w:t>13,148</w:t>
            </w:r>
          </w:p>
        </w:tc>
        <w:tc>
          <w:tcPr>
            <w:tcW w:w="542" w:type="pct"/>
            <w:tcBorders>
              <w:top w:val="single" w:sz="8" w:space="0" w:color="auto"/>
              <w:left w:val="nil"/>
              <w:bottom w:val="single" w:sz="12" w:space="0" w:color="auto"/>
              <w:right w:val="nil"/>
            </w:tcBorders>
            <w:shd w:val="clear" w:color="auto" w:fill="auto"/>
            <w:vAlign w:val="bottom"/>
          </w:tcPr>
          <w:p w14:paraId="1EABA25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b/>
                <w:bCs/>
                <w:color w:val="000000"/>
                <w:sz w:val="17"/>
                <w:szCs w:val="17"/>
              </w:rPr>
              <w:t>59,164</w:t>
            </w:r>
          </w:p>
        </w:tc>
        <w:tc>
          <w:tcPr>
            <w:tcW w:w="541" w:type="pct"/>
            <w:tcBorders>
              <w:top w:val="single" w:sz="8" w:space="0" w:color="auto"/>
              <w:left w:val="nil"/>
              <w:bottom w:val="single" w:sz="12" w:space="0" w:color="auto"/>
              <w:right w:val="nil"/>
            </w:tcBorders>
            <w:shd w:val="clear" w:color="auto" w:fill="auto"/>
            <w:vAlign w:val="bottom"/>
          </w:tcPr>
          <w:p w14:paraId="397EEE5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b/>
                <w:bCs/>
                <w:color w:val="000000"/>
                <w:sz w:val="17"/>
                <w:szCs w:val="17"/>
              </w:rPr>
              <w:t>114,835</w:t>
            </w:r>
          </w:p>
        </w:tc>
        <w:tc>
          <w:tcPr>
            <w:tcW w:w="542" w:type="pct"/>
            <w:tcBorders>
              <w:top w:val="single" w:sz="8" w:space="0" w:color="auto"/>
              <w:left w:val="nil"/>
              <w:bottom w:val="single" w:sz="12" w:space="0" w:color="auto"/>
              <w:right w:val="nil"/>
            </w:tcBorders>
            <w:shd w:val="clear" w:color="auto" w:fill="auto"/>
            <w:vAlign w:val="bottom"/>
          </w:tcPr>
          <w:p w14:paraId="558A758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b/>
                <w:bCs/>
                <w:color w:val="000000"/>
                <w:sz w:val="17"/>
                <w:szCs w:val="17"/>
              </w:rPr>
              <w:t>130,907</w:t>
            </w:r>
          </w:p>
        </w:tc>
        <w:tc>
          <w:tcPr>
            <w:tcW w:w="529" w:type="pct"/>
            <w:tcBorders>
              <w:top w:val="single" w:sz="8" w:space="0" w:color="auto"/>
              <w:left w:val="nil"/>
              <w:bottom w:val="single" w:sz="12" w:space="0" w:color="auto"/>
              <w:right w:val="nil"/>
            </w:tcBorders>
            <w:shd w:val="clear" w:color="auto" w:fill="auto"/>
            <w:vAlign w:val="bottom"/>
          </w:tcPr>
          <w:p w14:paraId="3BCC2B9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r w:rsidRPr="00587444">
              <w:rPr>
                <w:rFonts w:ascii="Arial" w:hAnsi="Arial" w:cs="Arial"/>
                <w:b/>
                <w:bCs/>
                <w:color w:val="000000"/>
                <w:sz w:val="17"/>
                <w:szCs w:val="17"/>
              </w:rPr>
              <w:t>4,384,607</w:t>
            </w:r>
          </w:p>
        </w:tc>
      </w:tr>
    </w:tbl>
    <w:p w14:paraId="7D8186DC" w14:textId="77777777" w:rsidR="00587444" w:rsidRPr="00356C4F" w:rsidRDefault="00587444" w:rsidP="00587444">
      <w:pPr>
        <w:tabs>
          <w:tab w:val="left" w:pos="8340"/>
        </w:tabs>
        <w:suppressAutoHyphens w:val="0"/>
        <w:autoSpaceDN/>
        <w:jc w:val="both"/>
        <w:rPr>
          <w:rFonts w:ascii="Arial" w:hAnsi="Arial" w:cs="Arial"/>
          <w:bCs/>
          <w:sz w:val="18"/>
          <w:szCs w:val="18"/>
          <w:lang w:val="en-GB"/>
        </w:rPr>
      </w:pPr>
    </w:p>
    <w:p w14:paraId="6D1FAE24" w14:textId="77777777" w:rsidR="00587444" w:rsidRPr="00356C4F" w:rsidRDefault="00587444" w:rsidP="00587444">
      <w:pPr>
        <w:tabs>
          <w:tab w:val="left" w:pos="8340"/>
        </w:tabs>
        <w:suppressAutoHyphens w:val="0"/>
        <w:autoSpaceDN/>
        <w:jc w:val="both"/>
        <w:rPr>
          <w:rFonts w:ascii="Arial" w:hAnsi="Arial" w:cs="Arial"/>
          <w:bCs/>
          <w:sz w:val="18"/>
          <w:szCs w:val="18"/>
          <w:lang w:val="en-GB"/>
        </w:rPr>
      </w:pPr>
      <w:r w:rsidRPr="00356C4F">
        <w:rPr>
          <w:rFonts w:ascii="Arial" w:hAnsi="Arial" w:cs="Arial"/>
          <w:bCs/>
          <w:sz w:val="18"/>
          <w:szCs w:val="18"/>
          <w:lang w:val="en-GB"/>
        </w:rPr>
        <w:t>The items with undefined maturity are included in terms over 3 years.</w:t>
      </w:r>
    </w:p>
    <w:p w14:paraId="73687D9B" w14:textId="77777777" w:rsidR="00587444" w:rsidRPr="00356C4F" w:rsidRDefault="00587444" w:rsidP="00587444">
      <w:pPr>
        <w:tabs>
          <w:tab w:val="left" w:pos="8340"/>
        </w:tabs>
        <w:suppressAutoHyphens w:val="0"/>
        <w:autoSpaceDN/>
        <w:jc w:val="both"/>
        <w:rPr>
          <w:rFonts w:ascii="Arial" w:hAnsi="Arial" w:cs="Arial"/>
          <w:b/>
          <w:sz w:val="18"/>
          <w:szCs w:val="18"/>
          <w:lang w:val="pl-PL"/>
        </w:rPr>
      </w:pPr>
    </w:p>
    <w:p w14:paraId="0AA79E1F" w14:textId="77777777" w:rsidR="00587444" w:rsidRPr="00356C4F" w:rsidRDefault="00587444" w:rsidP="00587444">
      <w:pPr>
        <w:suppressAutoHyphens w:val="0"/>
        <w:autoSpaceDN/>
        <w:jc w:val="both"/>
        <w:rPr>
          <w:rFonts w:ascii="Arial" w:hAnsi="Arial" w:cs="Arial"/>
          <w:b/>
          <w:i/>
          <w:color w:val="000000"/>
          <w:sz w:val="18"/>
          <w:szCs w:val="18"/>
          <w:lang w:val="en-GB"/>
        </w:rPr>
      </w:pPr>
      <w:r w:rsidRPr="00356C4F">
        <w:rPr>
          <w:rFonts w:ascii="Arial" w:hAnsi="Arial" w:cs="Arial"/>
          <w:bCs/>
          <w:sz w:val="18"/>
          <w:szCs w:val="18"/>
          <w:lang w:val="en-GB"/>
        </w:rPr>
        <w:t xml:space="preserve">* </w:t>
      </w:r>
      <w:r w:rsidRPr="00356C4F">
        <w:rPr>
          <w:rFonts w:ascii="Arial" w:hAnsi="Arial" w:cs="Arial"/>
          <w:bCs/>
          <w:i/>
          <w:sz w:val="18"/>
          <w:szCs w:val="18"/>
          <w:lang w:val="en-GB"/>
        </w:rPr>
        <w:t xml:space="preserve">Receivables of HRK 8,239 thousand relate to reverse REPO agreements. </w:t>
      </w:r>
    </w:p>
    <w:p w14:paraId="5B69B3A6" w14:textId="77777777" w:rsidR="00587444" w:rsidRPr="00356C4F" w:rsidRDefault="00587444" w:rsidP="00F36511">
      <w:pPr>
        <w:suppressAutoHyphens w:val="0"/>
        <w:autoSpaceDN/>
        <w:rPr>
          <w:rFonts w:ascii="Arial" w:eastAsia="Calibri" w:hAnsi="Arial" w:cs="Arial"/>
          <w:i/>
          <w:iCs/>
          <w:color w:val="000000"/>
          <w:sz w:val="18"/>
          <w:szCs w:val="18"/>
        </w:rPr>
        <w:sectPr w:rsidR="00587444" w:rsidRPr="00356C4F" w:rsidSect="00DD69E7">
          <w:footerReference w:type="default" r:id="rId92"/>
          <w:pgSz w:w="11907" w:h="16840" w:code="9"/>
          <w:pgMar w:top="1418" w:right="1134" w:bottom="1134" w:left="1418" w:header="851" w:footer="851" w:gutter="0"/>
          <w:cols w:space="720"/>
          <w:noEndnote/>
        </w:sectPr>
      </w:pPr>
      <w:r w:rsidRPr="00356C4F">
        <w:rPr>
          <w:rFonts w:ascii="Arial" w:eastAsia="Calibri" w:hAnsi="Arial" w:cs="Arial"/>
          <w:i/>
          <w:iCs/>
          <w:color w:val="000000"/>
          <w:sz w:val="18"/>
          <w:szCs w:val="18"/>
        </w:rPr>
        <w:t>** Accrued interest on loans not yet due is allocated to the category from 1 to 3 months.</w:t>
      </w:r>
    </w:p>
    <w:p w14:paraId="011DBD7A" w14:textId="77777777" w:rsidR="00587444" w:rsidRPr="00587444" w:rsidRDefault="00587444" w:rsidP="00587444">
      <w:pPr>
        <w:suppressAutoHyphens w:val="0"/>
        <w:autoSpaceDN/>
        <w:jc w:val="both"/>
        <w:rPr>
          <w:rFonts w:ascii="Arial" w:hAnsi="Arial" w:cs="Arial"/>
          <w:b/>
          <w:bCs/>
          <w:sz w:val="20"/>
          <w:szCs w:val="20"/>
          <w:lang w:val="en-GB"/>
        </w:rPr>
      </w:pPr>
    </w:p>
    <w:p w14:paraId="6CFAA073"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65EA3F48" w14:textId="77777777" w:rsidR="00587444" w:rsidRPr="00587444" w:rsidRDefault="00587444" w:rsidP="00587444">
      <w:pPr>
        <w:suppressAutoHyphens w:val="0"/>
        <w:autoSpaceDN/>
        <w:jc w:val="both"/>
        <w:rPr>
          <w:rFonts w:ascii="Arial" w:hAnsi="Arial" w:cs="Arial"/>
          <w:b/>
          <w:sz w:val="20"/>
          <w:szCs w:val="20"/>
          <w:lang w:val="en-GB"/>
        </w:rPr>
      </w:pPr>
    </w:p>
    <w:p w14:paraId="668A9AED"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31.4. </w:t>
      </w:r>
      <w:r w:rsidRPr="00587444">
        <w:rPr>
          <w:rFonts w:ascii="Arial" w:hAnsi="Arial" w:cs="Arial"/>
          <w:b/>
          <w:sz w:val="20"/>
          <w:szCs w:val="20"/>
          <w:lang w:val="en-GB"/>
        </w:rPr>
        <w:tab/>
        <w:t>Liquidity risk (continued)</w:t>
      </w:r>
    </w:p>
    <w:p w14:paraId="6E6653E8" w14:textId="77777777" w:rsidR="00587444" w:rsidRPr="00587444" w:rsidRDefault="00587444" w:rsidP="007B030C">
      <w:pPr>
        <w:autoSpaceDN/>
        <w:jc w:val="both"/>
        <w:rPr>
          <w:rFonts w:ascii="Arial" w:hAnsi="Arial" w:cs="Arial"/>
          <w:bCs/>
          <w:sz w:val="20"/>
          <w:szCs w:val="20"/>
          <w:lang w:val="en-GB"/>
        </w:rPr>
      </w:pPr>
    </w:p>
    <w:p w14:paraId="66ADD501" w14:textId="77777777" w:rsidR="00587444" w:rsidRPr="00587444" w:rsidRDefault="00587444" w:rsidP="007B030C">
      <w:pPr>
        <w:autoSpaceDN/>
        <w:jc w:val="both"/>
        <w:rPr>
          <w:rFonts w:ascii="Arial" w:hAnsi="Arial" w:cs="Arial"/>
          <w:bCs/>
          <w:sz w:val="20"/>
          <w:szCs w:val="20"/>
          <w:lang w:val="en-GB"/>
        </w:rPr>
      </w:pPr>
      <w:r w:rsidRPr="00587444">
        <w:rPr>
          <w:rFonts w:ascii="Arial" w:hAnsi="Arial" w:cs="Arial"/>
          <w:bCs/>
          <w:sz w:val="20"/>
          <w:szCs w:val="20"/>
          <w:lang w:val="en-GB"/>
        </w:rPr>
        <w:t>The table below provides an analysis of total assets, total liabilities and total guarantees and commitments as of 31 December 2022 and 31 December 2021 placed into relevant maturity groupings based on the remaining period as at the Statement of Financial Position date related to the contractual maturity date, as follows:</w:t>
      </w:r>
    </w:p>
    <w:p w14:paraId="35D16C98" w14:textId="77777777" w:rsidR="00587444" w:rsidRPr="00587444" w:rsidRDefault="00587444" w:rsidP="00587444">
      <w:pPr>
        <w:suppressAutoHyphens w:val="0"/>
        <w:autoSpaceDN/>
        <w:jc w:val="both"/>
        <w:rPr>
          <w:rFonts w:ascii="Arial" w:hAnsi="Arial" w:cs="Arial"/>
          <w:bCs/>
          <w:sz w:val="20"/>
          <w:szCs w:val="20"/>
          <w:lang w:val="en-GB"/>
        </w:rPr>
      </w:pPr>
    </w:p>
    <w:tbl>
      <w:tblPr>
        <w:tblW w:w="5377" w:type="pct"/>
        <w:tblInd w:w="-164" w:type="dxa"/>
        <w:tblLayout w:type="fixed"/>
        <w:tblCellMar>
          <w:left w:w="120" w:type="dxa"/>
          <w:right w:w="120" w:type="dxa"/>
        </w:tblCellMar>
        <w:tblLook w:val="0000" w:firstRow="0" w:lastRow="0" w:firstColumn="0" w:lastColumn="0" w:noHBand="0" w:noVBand="0"/>
      </w:tblPr>
      <w:tblGrid>
        <w:gridCol w:w="3389"/>
        <w:gridCol w:w="1046"/>
        <w:gridCol w:w="1139"/>
        <w:gridCol w:w="1218"/>
        <w:gridCol w:w="1180"/>
        <w:gridCol w:w="1182"/>
        <w:gridCol w:w="1164"/>
      </w:tblGrid>
      <w:tr w:rsidR="00587444" w:rsidRPr="00587444" w14:paraId="7ECA1CDB" w14:textId="77777777" w:rsidTr="00DD69E7">
        <w:trPr>
          <w:trHeight w:hRule="exact" w:val="514"/>
        </w:trPr>
        <w:tc>
          <w:tcPr>
            <w:tcW w:w="1642" w:type="pct"/>
          </w:tcPr>
          <w:p w14:paraId="3E3FC5E8"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sz w:val="17"/>
                <w:szCs w:val="17"/>
              </w:rPr>
            </w:pPr>
            <w:bookmarkStart w:id="1193" w:name="_Toc4062155"/>
            <w:r w:rsidRPr="00587444">
              <w:rPr>
                <w:rFonts w:ascii="Arial" w:eastAsia="Calibri" w:hAnsi="Arial" w:cs="Arial"/>
                <w:b/>
                <w:sz w:val="17"/>
                <w:szCs w:val="17"/>
              </w:rPr>
              <w:t>Bank</w:t>
            </w:r>
            <w:bookmarkEnd w:id="1193"/>
          </w:p>
          <w:p w14:paraId="2F982216"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sz w:val="17"/>
                <w:szCs w:val="17"/>
              </w:rPr>
            </w:pPr>
            <w:r w:rsidRPr="00587444">
              <w:rPr>
                <w:rFonts w:ascii="Arial" w:hAnsi="Arial" w:cs="Arial"/>
                <w:b/>
                <w:sz w:val="17"/>
                <w:szCs w:val="17"/>
              </w:rPr>
              <w:t>31 December 2022</w:t>
            </w:r>
          </w:p>
          <w:p w14:paraId="7A60606F"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sz w:val="17"/>
                <w:szCs w:val="17"/>
              </w:rPr>
            </w:pPr>
            <w:bookmarkStart w:id="1194" w:name="_Toc4062156"/>
            <w:r w:rsidRPr="00587444">
              <w:rPr>
                <w:rFonts w:ascii="Arial" w:eastAsia="Calibri" w:hAnsi="Arial" w:cs="Arial"/>
                <w:b/>
                <w:sz w:val="17"/>
                <w:szCs w:val="17"/>
              </w:rPr>
              <w:t>31 December 2018</w:t>
            </w:r>
            <w:bookmarkEnd w:id="1194"/>
          </w:p>
        </w:tc>
        <w:tc>
          <w:tcPr>
            <w:tcW w:w="507" w:type="pct"/>
          </w:tcPr>
          <w:p w14:paraId="5E60763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195" w:name="_Toc4062157"/>
            <w:r w:rsidRPr="00587444">
              <w:rPr>
                <w:rFonts w:ascii="Arial" w:hAnsi="Arial" w:cs="Arial"/>
                <w:b/>
                <w:sz w:val="17"/>
                <w:szCs w:val="17"/>
              </w:rPr>
              <w:t>Up to 1</w:t>
            </w:r>
            <w:bookmarkEnd w:id="1195"/>
            <w:r w:rsidRPr="00587444">
              <w:rPr>
                <w:rFonts w:ascii="Arial" w:hAnsi="Arial" w:cs="Arial"/>
                <w:b/>
                <w:sz w:val="17"/>
                <w:szCs w:val="17"/>
              </w:rPr>
              <w:t xml:space="preserve"> </w:t>
            </w:r>
          </w:p>
          <w:p w14:paraId="35A4DC0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196" w:name="_Toc4062158"/>
            <w:r w:rsidRPr="00587444">
              <w:rPr>
                <w:rFonts w:ascii="Arial" w:hAnsi="Arial" w:cs="Arial"/>
                <w:b/>
                <w:sz w:val="17"/>
                <w:szCs w:val="17"/>
              </w:rPr>
              <w:t>month</w:t>
            </w:r>
            <w:bookmarkEnd w:id="1196"/>
          </w:p>
        </w:tc>
        <w:tc>
          <w:tcPr>
            <w:tcW w:w="552" w:type="pct"/>
          </w:tcPr>
          <w:p w14:paraId="1098BDA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197" w:name="_Toc4062159"/>
            <w:r w:rsidRPr="00587444">
              <w:rPr>
                <w:rFonts w:ascii="Arial" w:hAnsi="Arial" w:cs="Arial"/>
                <w:b/>
                <w:sz w:val="17"/>
                <w:szCs w:val="17"/>
              </w:rPr>
              <w:t>1 to 3 months</w:t>
            </w:r>
            <w:bookmarkEnd w:id="1197"/>
            <w:r w:rsidRPr="00587444">
              <w:rPr>
                <w:rFonts w:ascii="Arial" w:hAnsi="Arial" w:cs="Arial"/>
                <w:b/>
                <w:sz w:val="17"/>
                <w:szCs w:val="17"/>
              </w:rPr>
              <w:t xml:space="preserve"> </w:t>
            </w:r>
          </w:p>
        </w:tc>
        <w:tc>
          <w:tcPr>
            <w:tcW w:w="590" w:type="pct"/>
          </w:tcPr>
          <w:p w14:paraId="4EB148E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198" w:name="_Toc4062160"/>
            <w:r w:rsidRPr="00587444">
              <w:rPr>
                <w:rFonts w:ascii="Arial" w:hAnsi="Arial" w:cs="Arial"/>
                <w:b/>
                <w:sz w:val="17"/>
                <w:szCs w:val="17"/>
              </w:rPr>
              <w:t>3 months to 1 year</w:t>
            </w:r>
            <w:bookmarkEnd w:id="1198"/>
            <w:r w:rsidRPr="00587444">
              <w:rPr>
                <w:rFonts w:ascii="Arial" w:hAnsi="Arial" w:cs="Arial"/>
                <w:b/>
                <w:sz w:val="17"/>
                <w:szCs w:val="17"/>
              </w:rPr>
              <w:t xml:space="preserve"> </w:t>
            </w:r>
          </w:p>
        </w:tc>
        <w:tc>
          <w:tcPr>
            <w:tcW w:w="572" w:type="pct"/>
          </w:tcPr>
          <w:p w14:paraId="0245879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199" w:name="_Toc4062161"/>
            <w:r w:rsidRPr="00587444">
              <w:rPr>
                <w:rFonts w:ascii="Arial" w:hAnsi="Arial" w:cs="Arial"/>
                <w:b/>
                <w:sz w:val="17"/>
                <w:szCs w:val="17"/>
              </w:rPr>
              <w:t>1 to 3</w:t>
            </w:r>
            <w:bookmarkEnd w:id="1199"/>
          </w:p>
          <w:p w14:paraId="406FEAB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200" w:name="_Toc4062162"/>
            <w:r w:rsidRPr="00587444">
              <w:rPr>
                <w:rFonts w:ascii="Arial" w:hAnsi="Arial" w:cs="Arial"/>
                <w:b/>
                <w:sz w:val="17"/>
                <w:szCs w:val="17"/>
              </w:rPr>
              <w:t>years</w:t>
            </w:r>
            <w:bookmarkEnd w:id="1200"/>
          </w:p>
        </w:tc>
        <w:tc>
          <w:tcPr>
            <w:tcW w:w="573" w:type="pct"/>
          </w:tcPr>
          <w:p w14:paraId="208BA10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201" w:name="_Toc4062163"/>
            <w:r w:rsidRPr="00587444">
              <w:rPr>
                <w:rFonts w:ascii="Arial" w:hAnsi="Arial" w:cs="Arial"/>
                <w:b/>
                <w:sz w:val="17"/>
                <w:szCs w:val="17"/>
              </w:rPr>
              <w:t>Over 3</w:t>
            </w:r>
            <w:bookmarkEnd w:id="1201"/>
            <w:r w:rsidRPr="00587444">
              <w:rPr>
                <w:rFonts w:ascii="Arial" w:hAnsi="Arial" w:cs="Arial"/>
                <w:b/>
                <w:sz w:val="17"/>
                <w:szCs w:val="17"/>
              </w:rPr>
              <w:t xml:space="preserve"> </w:t>
            </w:r>
          </w:p>
          <w:p w14:paraId="27AC9B4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202" w:name="_Toc4062164"/>
            <w:r w:rsidRPr="00587444">
              <w:rPr>
                <w:rFonts w:ascii="Arial" w:hAnsi="Arial" w:cs="Arial"/>
                <w:b/>
                <w:sz w:val="17"/>
                <w:szCs w:val="17"/>
              </w:rPr>
              <w:t>years</w:t>
            </w:r>
            <w:bookmarkEnd w:id="1202"/>
          </w:p>
        </w:tc>
        <w:tc>
          <w:tcPr>
            <w:tcW w:w="564" w:type="pct"/>
          </w:tcPr>
          <w:p w14:paraId="23CCB1B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203" w:name="_Toc4062165"/>
            <w:r w:rsidRPr="00587444">
              <w:rPr>
                <w:rFonts w:ascii="Arial" w:hAnsi="Arial" w:cs="Arial"/>
                <w:b/>
                <w:sz w:val="17"/>
                <w:szCs w:val="17"/>
              </w:rPr>
              <w:t>Total</w:t>
            </w:r>
            <w:bookmarkEnd w:id="1203"/>
            <w:r w:rsidRPr="00587444">
              <w:rPr>
                <w:rFonts w:ascii="Arial" w:hAnsi="Arial" w:cs="Arial"/>
                <w:b/>
                <w:sz w:val="17"/>
                <w:szCs w:val="17"/>
              </w:rPr>
              <w:t xml:space="preserve"> </w:t>
            </w:r>
          </w:p>
        </w:tc>
      </w:tr>
      <w:tr w:rsidR="00587444" w:rsidRPr="00587444" w14:paraId="45EA7D0F" w14:textId="77777777" w:rsidTr="00DD69E7">
        <w:trPr>
          <w:trHeight w:hRule="exact" w:val="275"/>
        </w:trPr>
        <w:tc>
          <w:tcPr>
            <w:tcW w:w="1642" w:type="pct"/>
          </w:tcPr>
          <w:p w14:paraId="2AC1EEED"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sz w:val="17"/>
                <w:szCs w:val="17"/>
              </w:rPr>
            </w:pPr>
          </w:p>
        </w:tc>
        <w:tc>
          <w:tcPr>
            <w:tcW w:w="507" w:type="pct"/>
          </w:tcPr>
          <w:p w14:paraId="6CF7CD3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204" w:name="_Toc4062166"/>
            <w:r w:rsidRPr="00587444">
              <w:rPr>
                <w:rFonts w:ascii="Arial" w:eastAsia="Calibri" w:hAnsi="Arial" w:cs="Arial"/>
                <w:b/>
                <w:sz w:val="17"/>
                <w:szCs w:val="17"/>
              </w:rPr>
              <w:t>HRK ‘000</w:t>
            </w:r>
            <w:bookmarkEnd w:id="1204"/>
          </w:p>
        </w:tc>
        <w:tc>
          <w:tcPr>
            <w:tcW w:w="552" w:type="pct"/>
          </w:tcPr>
          <w:p w14:paraId="7987BB7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205" w:name="_Toc4062167"/>
            <w:r w:rsidRPr="00587444">
              <w:rPr>
                <w:rFonts w:ascii="Arial" w:eastAsia="Calibri" w:hAnsi="Arial" w:cs="Arial"/>
                <w:b/>
                <w:sz w:val="17"/>
                <w:szCs w:val="17"/>
              </w:rPr>
              <w:t>HRK ‘000</w:t>
            </w:r>
            <w:bookmarkEnd w:id="1205"/>
          </w:p>
        </w:tc>
        <w:tc>
          <w:tcPr>
            <w:tcW w:w="590" w:type="pct"/>
          </w:tcPr>
          <w:p w14:paraId="6730EA2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206" w:name="_Toc4062168"/>
            <w:r w:rsidRPr="00587444">
              <w:rPr>
                <w:rFonts w:ascii="Arial" w:eastAsia="Calibri" w:hAnsi="Arial" w:cs="Arial"/>
                <w:b/>
                <w:sz w:val="17"/>
                <w:szCs w:val="17"/>
              </w:rPr>
              <w:t>HRK ‘000</w:t>
            </w:r>
            <w:bookmarkEnd w:id="1206"/>
          </w:p>
        </w:tc>
        <w:tc>
          <w:tcPr>
            <w:tcW w:w="572" w:type="pct"/>
          </w:tcPr>
          <w:p w14:paraId="5A93AD1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207" w:name="_Toc4062169"/>
            <w:r w:rsidRPr="00587444">
              <w:rPr>
                <w:rFonts w:ascii="Arial" w:eastAsia="Calibri" w:hAnsi="Arial" w:cs="Arial"/>
                <w:b/>
                <w:sz w:val="17"/>
                <w:szCs w:val="17"/>
              </w:rPr>
              <w:t>HRK ‘000</w:t>
            </w:r>
            <w:bookmarkEnd w:id="1207"/>
          </w:p>
        </w:tc>
        <w:tc>
          <w:tcPr>
            <w:tcW w:w="573" w:type="pct"/>
          </w:tcPr>
          <w:p w14:paraId="6E650E4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208" w:name="_Toc4062170"/>
            <w:r w:rsidRPr="00587444">
              <w:rPr>
                <w:rFonts w:ascii="Arial" w:eastAsia="Calibri" w:hAnsi="Arial" w:cs="Arial"/>
                <w:b/>
                <w:sz w:val="17"/>
                <w:szCs w:val="17"/>
              </w:rPr>
              <w:t>HRK ‘000</w:t>
            </w:r>
            <w:bookmarkEnd w:id="1208"/>
          </w:p>
        </w:tc>
        <w:tc>
          <w:tcPr>
            <w:tcW w:w="564" w:type="pct"/>
          </w:tcPr>
          <w:p w14:paraId="35E24E8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209" w:name="_Toc4062171"/>
            <w:r w:rsidRPr="00587444">
              <w:rPr>
                <w:rFonts w:ascii="Arial" w:eastAsia="Calibri" w:hAnsi="Arial" w:cs="Arial"/>
                <w:b/>
                <w:sz w:val="17"/>
                <w:szCs w:val="17"/>
              </w:rPr>
              <w:t>HRK ‘000</w:t>
            </w:r>
            <w:bookmarkEnd w:id="1209"/>
          </w:p>
        </w:tc>
      </w:tr>
      <w:tr w:rsidR="00587444" w:rsidRPr="00587444" w14:paraId="109E8931" w14:textId="77777777" w:rsidTr="00DD69E7">
        <w:trPr>
          <w:trHeight w:hRule="exact" w:val="275"/>
        </w:trPr>
        <w:tc>
          <w:tcPr>
            <w:tcW w:w="1642" w:type="pct"/>
            <w:vAlign w:val="bottom"/>
          </w:tcPr>
          <w:p w14:paraId="4FCC8C41"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z w:val="17"/>
                <w:szCs w:val="17"/>
              </w:rPr>
            </w:pPr>
            <w:bookmarkStart w:id="1210" w:name="_Toc4062172"/>
            <w:r w:rsidRPr="00587444">
              <w:rPr>
                <w:rFonts w:ascii="Arial" w:eastAsia="Calibri" w:hAnsi="Arial" w:cs="Arial"/>
                <w:b/>
                <w:bCs/>
                <w:sz w:val="17"/>
                <w:szCs w:val="17"/>
              </w:rPr>
              <w:t>Assets</w:t>
            </w:r>
            <w:bookmarkEnd w:id="1210"/>
            <w:r w:rsidRPr="00587444">
              <w:rPr>
                <w:rFonts w:ascii="Arial" w:eastAsia="Calibri" w:hAnsi="Arial" w:cs="Arial"/>
                <w:b/>
                <w:bCs/>
                <w:sz w:val="17"/>
                <w:szCs w:val="17"/>
              </w:rPr>
              <w:t xml:space="preserve"> </w:t>
            </w:r>
          </w:p>
        </w:tc>
        <w:tc>
          <w:tcPr>
            <w:tcW w:w="507" w:type="pct"/>
            <w:vAlign w:val="bottom"/>
          </w:tcPr>
          <w:p w14:paraId="752D715A"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52" w:type="pct"/>
            <w:vAlign w:val="bottom"/>
          </w:tcPr>
          <w:p w14:paraId="6B627E6E"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90" w:type="pct"/>
            <w:vAlign w:val="bottom"/>
          </w:tcPr>
          <w:p w14:paraId="3C99422A"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72" w:type="pct"/>
            <w:vAlign w:val="bottom"/>
          </w:tcPr>
          <w:p w14:paraId="5E8C1701"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73" w:type="pct"/>
            <w:vAlign w:val="bottom"/>
          </w:tcPr>
          <w:p w14:paraId="3F5B61B9"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64" w:type="pct"/>
            <w:vAlign w:val="bottom"/>
          </w:tcPr>
          <w:p w14:paraId="2FC0C050"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spacing w:val="-2"/>
                <w:sz w:val="17"/>
                <w:szCs w:val="17"/>
              </w:rPr>
            </w:pPr>
          </w:p>
        </w:tc>
      </w:tr>
      <w:tr w:rsidR="00587444" w:rsidRPr="00587444" w14:paraId="36014EB3" w14:textId="77777777" w:rsidTr="00DD69E7">
        <w:trPr>
          <w:trHeight w:hRule="exact" w:val="512"/>
        </w:trPr>
        <w:tc>
          <w:tcPr>
            <w:tcW w:w="1642" w:type="pct"/>
            <w:vAlign w:val="bottom"/>
          </w:tcPr>
          <w:p w14:paraId="2D01E542"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bookmarkStart w:id="1211" w:name="_Toc4062173"/>
            <w:r w:rsidRPr="00587444">
              <w:rPr>
                <w:rFonts w:ascii="Arial" w:hAnsi="Arial" w:cs="Arial"/>
                <w:spacing w:val="-2"/>
                <w:sz w:val="17"/>
                <w:szCs w:val="17"/>
              </w:rPr>
              <w:t>Cash on hand and current accounts with banks</w:t>
            </w:r>
            <w:bookmarkEnd w:id="1211"/>
            <w:r w:rsidRPr="00587444">
              <w:rPr>
                <w:rFonts w:ascii="Arial" w:hAnsi="Arial" w:cs="Arial"/>
                <w:spacing w:val="-2"/>
                <w:sz w:val="17"/>
                <w:szCs w:val="17"/>
              </w:rPr>
              <w:t xml:space="preserve"> </w:t>
            </w:r>
          </w:p>
        </w:tc>
        <w:tc>
          <w:tcPr>
            <w:tcW w:w="507" w:type="pct"/>
            <w:tcBorders>
              <w:top w:val="nil"/>
              <w:left w:val="nil"/>
              <w:bottom w:val="nil"/>
              <w:right w:val="nil"/>
            </w:tcBorders>
            <w:shd w:val="clear" w:color="auto" w:fill="auto"/>
            <w:vAlign w:val="bottom"/>
          </w:tcPr>
          <w:p w14:paraId="3CC4E141"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1,716,519 </w:t>
            </w:r>
          </w:p>
        </w:tc>
        <w:tc>
          <w:tcPr>
            <w:tcW w:w="552" w:type="pct"/>
            <w:tcBorders>
              <w:top w:val="nil"/>
              <w:left w:val="nil"/>
              <w:bottom w:val="nil"/>
              <w:right w:val="nil"/>
            </w:tcBorders>
            <w:shd w:val="clear" w:color="auto" w:fill="auto"/>
            <w:vAlign w:val="bottom"/>
          </w:tcPr>
          <w:p w14:paraId="68025101"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3BEA7DC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2DE778FC"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2419188A"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71CF3A6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1,716,519 </w:t>
            </w:r>
          </w:p>
        </w:tc>
      </w:tr>
      <w:tr w:rsidR="00587444" w:rsidRPr="00587444" w14:paraId="33A3AB43" w14:textId="77777777" w:rsidTr="00DD69E7">
        <w:trPr>
          <w:trHeight w:hRule="exact" w:val="275"/>
        </w:trPr>
        <w:tc>
          <w:tcPr>
            <w:tcW w:w="1642" w:type="pct"/>
            <w:vAlign w:val="bottom"/>
          </w:tcPr>
          <w:p w14:paraId="6B350077"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bookmarkStart w:id="1212" w:name="_Toc4062180"/>
            <w:r w:rsidRPr="00587444">
              <w:rPr>
                <w:rFonts w:ascii="Arial" w:hAnsi="Arial" w:cs="Arial"/>
                <w:spacing w:val="-2"/>
                <w:sz w:val="17"/>
                <w:szCs w:val="17"/>
              </w:rPr>
              <w:t>Deposits with other banks</w:t>
            </w:r>
            <w:bookmarkEnd w:id="1212"/>
          </w:p>
        </w:tc>
        <w:tc>
          <w:tcPr>
            <w:tcW w:w="507" w:type="pct"/>
            <w:tcBorders>
              <w:top w:val="nil"/>
              <w:left w:val="nil"/>
              <w:bottom w:val="nil"/>
              <w:right w:val="nil"/>
            </w:tcBorders>
            <w:shd w:val="clear" w:color="auto" w:fill="auto"/>
            <w:vAlign w:val="bottom"/>
          </w:tcPr>
          <w:p w14:paraId="6B5FD47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52" w:type="pct"/>
            <w:tcBorders>
              <w:top w:val="nil"/>
              <w:left w:val="nil"/>
              <w:bottom w:val="nil"/>
              <w:right w:val="nil"/>
            </w:tcBorders>
            <w:shd w:val="clear" w:color="auto" w:fill="auto"/>
            <w:vAlign w:val="bottom"/>
          </w:tcPr>
          <w:p w14:paraId="566676D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33E9734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1DF7BFC9"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448551D1"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10,596 </w:t>
            </w:r>
          </w:p>
        </w:tc>
        <w:tc>
          <w:tcPr>
            <w:tcW w:w="564" w:type="pct"/>
            <w:tcBorders>
              <w:top w:val="nil"/>
              <w:left w:val="nil"/>
              <w:bottom w:val="nil"/>
              <w:right w:val="nil"/>
            </w:tcBorders>
            <w:shd w:val="clear" w:color="auto" w:fill="auto"/>
            <w:vAlign w:val="bottom"/>
          </w:tcPr>
          <w:p w14:paraId="49A0A9EC"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10,596 </w:t>
            </w:r>
          </w:p>
        </w:tc>
      </w:tr>
      <w:tr w:rsidR="00587444" w:rsidRPr="00587444" w14:paraId="5747431C" w14:textId="77777777" w:rsidTr="00DD69E7">
        <w:trPr>
          <w:trHeight w:hRule="exact" w:val="275"/>
        </w:trPr>
        <w:tc>
          <w:tcPr>
            <w:tcW w:w="1642" w:type="pct"/>
            <w:vAlign w:val="bottom"/>
          </w:tcPr>
          <w:p w14:paraId="28EDEBBA"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bookmarkStart w:id="1213" w:name="_Toc4062187"/>
            <w:r w:rsidRPr="00587444">
              <w:rPr>
                <w:rFonts w:ascii="Arial" w:hAnsi="Arial" w:cs="Arial"/>
                <w:spacing w:val="-2"/>
                <w:sz w:val="17"/>
                <w:szCs w:val="17"/>
              </w:rPr>
              <w:t>Loans to financial institutions*</w:t>
            </w:r>
            <w:bookmarkEnd w:id="1213"/>
          </w:p>
        </w:tc>
        <w:tc>
          <w:tcPr>
            <w:tcW w:w="507" w:type="pct"/>
            <w:tcBorders>
              <w:top w:val="nil"/>
              <w:left w:val="nil"/>
              <w:bottom w:val="nil"/>
              <w:right w:val="nil"/>
            </w:tcBorders>
            <w:shd w:val="clear" w:color="auto" w:fill="auto"/>
            <w:vAlign w:val="bottom"/>
          </w:tcPr>
          <w:p w14:paraId="4A7915D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249,137 </w:t>
            </w:r>
          </w:p>
        </w:tc>
        <w:tc>
          <w:tcPr>
            <w:tcW w:w="552" w:type="pct"/>
            <w:tcBorders>
              <w:top w:val="nil"/>
              <w:left w:val="nil"/>
              <w:bottom w:val="nil"/>
              <w:right w:val="nil"/>
            </w:tcBorders>
            <w:shd w:val="clear" w:color="auto" w:fill="auto"/>
            <w:vAlign w:val="bottom"/>
          </w:tcPr>
          <w:p w14:paraId="22488A37"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198,128 </w:t>
            </w:r>
          </w:p>
        </w:tc>
        <w:tc>
          <w:tcPr>
            <w:tcW w:w="590" w:type="pct"/>
            <w:tcBorders>
              <w:top w:val="nil"/>
              <w:left w:val="nil"/>
              <w:bottom w:val="nil"/>
              <w:right w:val="nil"/>
            </w:tcBorders>
            <w:shd w:val="clear" w:color="auto" w:fill="auto"/>
            <w:vAlign w:val="bottom"/>
          </w:tcPr>
          <w:p w14:paraId="53EB2C08"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842,943 </w:t>
            </w:r>
          </w:p>
        </w:tc>
        <w:tc>
          <w:tcPr>
            <w:tcW w:w="572" w:type="pct"/>
            <w:tcBorders>
              <w:top w:val="nil"/>
              <w:left w:val="nil"/>
              <w:bottom w:val="nil"/>
              <w:right w:val="nil"/>
            </w:tcBorders>
            <w:shd w:val="clear" w:color="auto" w:fill="auto"/>
            <w:vAlign w:val="bottom"/>
          </w:tcPr>
          <w:p w14:paraId="000516C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1,922,672 </w:t>
            </w:r>
          </w:p>
        </w:tc>
        <w:tc>
          <w:tcPr>
            <w:tcW w:w="573" w:type="pct"/>
            <w:tcBorders>
              <w:top w:val="nil"/>
              <w:left w:val="nil"/>
              <w:bottom w:val="nil"/>
              <w:right w:val="nil"/>
            </w:tcBorders>
            <w:shd w:val="clear" w:color="auto" w:fill="auto"/>
            <w:vAlign w:val="bottom"/>
          </w:tcPr>
          <w:p w14:paraId="5E46E0E0"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3,771,832 </w:t>
            </w:r>
          </w:p>
        </w:tc>
        <w:tc>
          <w:tcPr>
            <w:tcW w:w="564" w:type="pct"/>
            <w:tcBorders>
              <w:top w:val="nil"/>
              <w:left w:val="nil"/>
              <w:bottom w:val="nil"/>
              <w:right w:val="nil"/>
            </w:tcBorders>
            <w:shd w:val="clear" w:color="auto" w:fill="auto"/>
            <w:vAlign w:val="bottom"/>
          </w:tcPr>
          <w:p w14:paraId="602DC76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6,984,712 </w:t>
            </w:r>
          </w:p>
        </w:tc>
      </w:tr>
      <w:tr w:rsidR="00587444" w:rsidRPr="00587444" w14:paraId="1D61D4A6" w14:textId="77777777" w:rsidTr="00DD69E7">
        <w:trPr>
          <w:trHeight w:hRule="exact" w:val="275"/>
        </w:trPr>
        <w:tc>
          <w:tcPr>
            <w:tcW w:w="1642" w:type="pct"/>
            <w:vAlign w:val="bottom"/>
          </w:tcPr>
          <w:p w14:paraId="63E665B5"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bookmarkStart w:id="1214" w:name="_Toc4062194"/>
            <w:r w:rsidRPr="00587444">
              <w:rPr>
                <w:rFonts w:ascii="Arial" w:hAnsi="Arial" w:cs="Arial"/>
                <w:spacing w:val="-2"/>
                <w:sz w:val="17"/>
                <w:szCs w:val="17"/>
              </w:rPr>
              <w:t>Loans to other customers</w:t>
            </w:r>
            <w:bookmarkEnd w:id="1214"/>
          </w:p>
        </w:tc>
        <w:tc>
          <w:tcPr>
            <w:tcW w:w="507" w:type="pct"/>
            <w:tcBorders>
              <w:top w:val="nil"/>
              <w:left w:val="nil"/>
              <w:bottom w:val="nil"/>
              <w:right w:val="nil"/>
            </w:tcBorders>
            <w:shd w:val="clear" w:color="auto" w:fill="auto"/>
            <w:vAlign w:val="bottom"/>
          </w:tcPr>
          <w:p w14:paraId="18D8B71C"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1,455,849 </w:t>
            </w:r>
          </w:p>
        </w:tc>
        <w:tc>
          <w:tcPr>
            <w:tcW w:w="552" w:type="pct"/>
            <w:tcBorders>
              <w:top w:val="nil"/>
              <w:left w:val="nil"/>
              <w:bottom w:val="nil"/>
              <w:right w:val="nil"/>
            </w:tcBorders>
            <w:shd w:val="clear" w:color="auto" w:fill="auto"/>
            <w:vAlign w:val="bottom"/>
          </w:tcPr>
          <w:p w14:paraId="4CF5654B"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527,169 </w:t>
            </w:r>
          </w:p>
        </w:tc>
        <w:tc>
          <w:tcPr>
            <w:tcW w:w="590" w:type="pct"/>
            <w:tcBorders>
              <w:top w:val="nil"/>
              <w:left w:val="nil"/>
              <w:bottom w:val="nil"/>
              <w:right w:val="nil"/>
            </w:tcBorders>
            <w:shd w:val="clear" w:color="auto" w:fill="auto"/>
            <w:vAlign w:val="bottom"/>
          </w:tcPr>
          <w:p w14:paraId="7D3BC9F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2,090,509 </w:t>
            </w:r>
          </w:p>
        </w:tc>
        <w:tc>
          <w:tcPr>
            <w:tcW w:w="572" w:type="pct"/>
            <w:tcBorders>
              <w:top w:val="nil"/>
              <w:left w:val="nil"/>
              <w:bottom w:val="nil"/>
              <w:right w:val="nil"/>
            </w:tcBorders>
            <w:shd w:val="clear" w:color="auto" w:fill="auto"/>
            <w:vAlign w:val="bottom"/>
          </w:tcPr>
          <w:p w14:paraId="79BFA26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4,313,104 </w:t>
            </w:r>
          </w:p>
        </w:tc>
        <w:tc>
          <w:tcPr>
            <w:tcW w:w="573" w:type="pct"/>
            <w:tcBorders>
              <w:top w:val="nil"/>
              <w:left w:val="nil"/>
              <w:bottom w:val="nil"/>
              <w:right w:val="nil"/>
            </w:tcBorders>
            <w:shd w:val="clear" w:color="auto" w:fill="auto"/>
            <w:vAlign w:val="bottom"/>
          </w:tcPr>
          <w:p w14:paraId="47C73B7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9,016,035 </w:t>
            </w:r>
          </w:p>
        </w:tc>
        <w:tc>
          <w:tcPr>
            <w:tcW w:w="564" w:type="pct"/>
            <w:tcBorders>
              <w:top w:val="nil"/>
              <w:left w:val="nil"/>
              <w:bottom w:val="nil"/>
              <w:right w:val="nil"/>
            </w:tcBorders>
            <w:shd w:val="clear" w:color="auto" w:fill="auto"/>
            <w:vAlign w:val="bottom"/>
          </w:tcPr>
          <w:p w14:paraId="4142090B"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17,402,666 </w:t>
            </w:r>
          </w:p>
        </w:tc>
      </w:tr>
      <w:tr w:rsidR="00587444" w:rsidRPr="00587444" w14:paraId="41D9F03E" w14:textId="77777777" w:rsidTr="00DD69E7">
        <w:trPr>
          <w:trHeight w:hRule="exact" w:val="411"/>
        </w:trPr>
        <w:tc>
          <w:tcPr>
            <w:tcW w:w="1642" w:type="pct"/>
            <w:vAlign w:val="bottom"/>
          </w:tcPr>
          <w:p w14:paraId="4D279C20"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bookmarkStart w:id="1215" w:name="_Toc4062201"/>
            <w:r w:rsidRPr="00587444">
              <w:rPr>
                <w:rFonts w:ascii="Arial" w:hAnsi="Arial" w:cs="Arial"/>
                <w:spacing w:val="-2"/>
                <w:sz w:val="17"/>
                <w:szCs w:val="17"/>
              </w:rPr>
              <w:t>Financial assets at fair value through profit or loss</w:t>
            </w:r>
            <w:bookmarkEnd w:id="1215"/>
          </w:p>
        </w:tc>
        <w:tc>
          <w:tcPr>
            <w:tcW w:w="507" w:type="pct"/>
            <w:tcBorders>
              <w:top w:val="nil"/>
              <w:left w:val="nil"/>
              <w:bottom w:val="nil"/>
              <w:right w:val="nil"/>
            </w:tcBorders>
            <w:shd w:val="clear" w:color="auto" w:fill="auto"/>
            <w:vAlign w:val="bottom"/>
          </w:tcPr>
          <w:p w14:paraId="039D5DD5" w14:textId="77777777" w:rsidR="00587444" w:rsidRPr="00587444" w:rsidDel="000A0F01" w:rsidRDefault="00587444" w:rsidP="00587444">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108,251 </w:t>
            </w:r>
          </w:p>
        </w:tc>
        <w:tc>
          <w:tcPr>
            <w:tcW w:w="552" w:type="pct"/>
            <w:tcBorders>
              <w:top w:val="nil"/>
              <w:left w:val="nil"/>
              <w:bottom w:val="nil"/>
              <w:right w:val="nil"/>
            </w:tcBorders>
            <w:shd w:val="clear" w:color="auto" w:fill="auto"/>
            <w:vAlign w:val="bottom"/>
          </w:tcPr>
          <w:p w14:paraId="47255E90" w14:textId="77777777" w:rsidR="00587444" w:rsidRPr="00587444" w:rsidDel="000A0F01" w:rsidRDefault="00587444" w:rsidP="00587444">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441 </w:t>
            </w:r>
          </w:p>
        </w:tc>
        <w:tc>
          <w:tcPr>
            <w:tcW w:w="590" w:type="pct"/>
            <w:tcBorders>
              <w:top w:val="nil"/>
              <w:left w:val="nil"/>
              <w:bottom w:val="nil"/>
              <w:right w:val="nil"/>
            </w:tcBorders>
            <w:shd w:val="clear" w:color="auto" w:fill="auto"/>
            <w:vAlign w:val="bottom"/>
          </w:tcPr>
          <w:p w14:paraId="7FA99E43" w14:textId="77777777" w:rsidR="00587444" w:rsidRPr="00587444" w:rsidDel="000A0F01" w:rsidRDefault="00587444" w:rsidP="00587444">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29297C62" w14:textId="77777777" w:rsidR="00587444" w:rsidRPr="00587444" w:rsidDel="000A0F01" w:rsidRDefault="00587444" w:rsidP="00587444">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22,831 </w:t>
            </w:r>
          </w:p>
        </w:tc>
        <w:tc>
          <w:tcPr>
            <w:tcW w:w="573" w:type="pct"/>
            <w:tcBorders>
              <w:top w:val="nil"/>
              <w:left w:val="nil"/>
              <w:bottom w:val="nil"/>
              <w:right w:val="nil"/>
            </w:tcBorders>
            <w:shd w:val="clear" w:color="auto" w:fill="auto"/>
            <w:vAlign w:val="bottom"/>
          </w:tcPr>
          <w:p w14:paraId="379581CF" w14:textId="77777777" w:rsidR="00587444" w:rsidRPr="00587444" w:rsidDel="000A0F01" w:rsidRDefault="00587444" w:rsidP="00587444">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7DA1C39A" w14:textId="77777777" w:rsidR="00587444" w:rsidRPr="00587444" w:rsidDel="000A0F01" w:rsidRDefault="00587444" w:rsidP="00587444">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131,523 </w:t>
            </w:r>
          </w:p>
        </w:tc>
      </w:tr>
      <w:tr w:rsidR="00587444" w:rsidRPr="00587444" w14:paraId="54726E7F" w14:textId="77777777" w:rsidTr="00DD69E7">
        <w:trPr>
          <w:trHeight w:hRule="exact" w:val="557"/>
        </w:trPr>
        <w:tc>
          <w:tcPr>
            <w:tcW w:w="1642" w:type="pct"/>
            <w:vAlign w:val="bottom"/>
          </w:tcPr>
          <w:p w14:paraId="60E259C1"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sz w:val="17"/>
                <w:szCs w:val="17"/>
              </w:rPr>
            </w:pPr>
            <w:bookmarkStart w:id="1216" w:name="_Toc4062208"/>
            <w:r w:rsidRPr="00587444">
              <w:rPr>
                <w:rFonts w:ascii="Arial" w:hAnsi="Arial" w:cs="Arial"/>
                <w:spacing w:val="-2"/>
                <w:sz w:val="17"/>
                <w:szCs w:val="17"/>
              </w:rPr>
              <w:t>Financial assets at fair value through other comprehensive income</w:t>
            </w:r>
            <w:bookmarkEnd w:id="1216"/>
          </w:p>
        </w:tc>
        <w:tc>
          <w:tcPr>
            <w:tcW w:w="507" w:type="pct"/>
            <w:tcBorders>
              <w:top w:val="nil"/>
              <w:left w:val="nil"/>
              <w:bottom w:val="nil"/>
              <w:right w:val="nil"/>
            </w:tcBorders>
            <w:shd w:val="clear" w:color="auto" w:fill="auto"/>
            <w:vAlign w:val="bottom"/>
          </w:tcPr>
          <w:p w14:paraId="669A3C2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2,625,545 </w:t>
            </w:r>
          </w:p>
        </w:tc>
        <w:tc>
          <w:tcPr>
            <w:tcW w:w="552" w:type="pct"/>
            <w:tcBorders>
              <w:top w:val="nil"/>
              <w:left w:val="nil"/>
              <w:bottom w:val="nil"/>
              <w:right w:val="nil"/>
            </w:tcBorders>
            <w:shd w:val="clear" w:color="auto" w:fill="auto"/>
            <w:vAlign w:val="bottom"/>
          </w:tcPr>
          <w:p w14:paraId="46023B0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13,927 </w:t>
            </w:r>
          </w:p>
        </w:tc>
        <w:tc>
          <w:tcPr>
            <w:tcW w:w="590" w:type="pct"/>
            <w:tcBorders>
              <w:top w:val="nil"/>
              <w:left w:val="nil"/>
              <w:bottom w:val="nil"/>
              <w:right w:val="nil"/>
            </w:tcBorders>
            <w:shd w:val="clear" w:color="auto" w:fill="auto"/>
            <w:vAlign w:val="bottom"/>
          </w:tcPr>
          <w:p w14:paraId="5E9F180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18692C32"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15D12C5E"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149FE07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2,639,472 </w:t>
            </w:r>
          </w:p>
        </w:tc>
      </w:tr>
      <w:tr w:rsidR="00587444" w:rsidRPr="00587444" w14:paraId="06FF2FE4" w14:textId="77777777" w:rsidTr="00DD69E7">
        <w:trPr>
          <w:trHeight w:hRule="exact" w:val="275"/>
        </w:trPr>
        <w:tc>
          <w:tcPr>
            <w:tcW w:w="1642" w:type="pct"/>
            <w:vAlign w:val="bottom"/>
          </w:tcPr>
          <w:p w14:paraId="4505EC5B"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spacing w:val="-2"/>
                <w:sz w:val="17"/>
                <w:szCs w:val="17"/>
              </w:rPr>
            </w:pPr>
            <w:bookmarkStart w:id="1217" w:name="_Toc4062215"/>
            <w:r w:rsidRPr="00587444">
              <w:rPr>
                <w:rFonts w:ascii="Arial" w:eastAsia="Calibri" w:hAnsi="Arial" w:cs="Arial"/>
                <w:spacing w:val="-2"/>
                <w:sz w:val="17"/>
                <w:szCs w:val="17"/>
              </w:rPr>
              <w:t>Investments in subsidiaries</w:t>
            </w:r>
            <w:bookmarkEnd w:id="1217"/>
            <w:r w:rsidRPr="00587444">
              <w:rPr>
                <w:rFonts w:ascii="Arial" w:eastAsia="Calibri" w:hAnsi="Arial" w:cs="Arial"/>
                <w:spacing w:val="-2"/>
                <w:sz w:val="17"/>
                <w:szCs w:val="17"/>
              </w:rPr>
              <w:t xml:space="preserve"> </w:t>
            </w:r>
          </w:p>
        </w:tc>
        <w:tc>
          <w:tcPr>
            <w:tcW w:w="507" w:type="pct"/>
            <w:tcBorders>
              <w:top w:val="nil"/>
              <w:left w:val="nil"/>
              <w:bottom w:val="nil"/>
              <w:right w:val="nil"/>
            </w:tcBorders>
            <w:shd w:val="clear" w:color="auto" w:fill="auto"/>
            <w:vAlign w:val="bottom"/>
          </w:tcPr>
          <w:p w14:paraId="0F494052"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52" w:type="pct"/>
            <w:tcBorders>
              <w:top w:val="nil"/>
              <w:left w:val="nil"/>
              <w:bottom w:val="nil"/>
              <w:right w:val="nil"/>
            </w:tcBorders>
            <w:shd w:val="clear" w:color="auto" w:fill="auto"/>
            <w:vAlign w:val="bottom"/>
          </w:tcPr>
          <w:p w14:paraId="0835346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7C28FAA2"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4B240C2A"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40F3961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56,124 </w:t>
            </w:r>
          </w:p>
        </w:tc>
        <w:tc>
          <w:tcPr>
            <w:tcW w:w="564" w:type="pct"/>
            <w:tcBorders>
              <w:top w:val="nil"/>
              <w:left w:val="nil"/>
              <w:bottom w:val="nil"/>
              <w:right w:val="nil"/>
            </w:tcBorders>
            <w:shd w:val="clear" w:color="auto" w:fill="auto"/>
            <w:vAlign w:val="bottom"/>
          </w:tcPr>
          <w:p w14:paraId="5BD1498B"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56,124 </w:t>
            </w:r>
          </w:p>
        </w:tc>
      </w:tr>
      <w:tr w:rsidR="00587444" w:rsidRPr="00587444" w14:paraId="0A1232AF" w14:textId="77777777" w:rsidTr="00D75982">
        <w:trPr>
          <w:trHeight w:hRule="exact" w:val="443"/>
        </w:trPr>
        <w:tc>
          <w:tcPr>
            <w:tcW w:w="1642" w:type="pct"/>
            <w:vAlign w:val="bottom"/>
          </w:tcPr>
          <w:p w14:paraId="28ED320B" w14:textId="77777777" w:rsidR="00D75982" w:rsidRDefault="00587444" w:rsidP="00587444">
            <w:pPr>
              <w:tabs>
                <w:tab w:val="right" w:pos="1202"/>
              </w:tabs>
              <w:suppressAutoHyphens w:val="0"/>
              <w:autoSpaceDN/>
              <w:spacing w:line="220" w:lineRule="exact"/>
              <w:outlineLvl w:val="0"/>
              <w:rPr>
                <w:rFonts w:ascii="Arial" w:hAnsi="Arial" w:cs="Arial"/>
                <w:spacing w:val="-2"/>
                <w:sz w:val="17"/>
                <w:szCs w:val="17"/>
              </w:rPr>
            </w:pPr>
            <w:bookmarkStart w:id="1218" w:name="_Toc4062222"/>
            <w:r w:rsidRPr="00587444">
              <w:rPr>
                <w:rFonts w:ascii="Arial" w:hAnsi="Arial" w:cs="Arial"/>
                <w:spacing w:val="-2"/>
                <w:sz w:val="17"/>
                <w:szCs w:val="17"/>
              </w:rPr>
              <w:t xml:space="preserve">Property, </w:t>
            </w:r>
            <w:proofErr w:type="gramStart"/>
            <w:r w:rsidRPr="00587444">
              <w:rPr>
                <w:rFonts w:ascii="Arial" w:hAnsi="Arial" w:cs="Arial"/>
                <w:spacing w:val="-2"/>
                <w:sz w:val="17"/>
                <w:szCs w:val="17"/>
              </w:rPr>
              <w:t>plant</w:t>
            </w:r>
            <w:proofErr w:type="gramEnd"/>
            <w:r w:rsidRPr="00587444">
              <w:rPr>
                <w:rFonts w:ascii="Arial" w:hAnsi="Arial" w:cs="Arial"/>
                <w:spacing w:val="-2"/>
                <w:sz w:val="17"/>
                <w:szCs w:val="17"/>
              </w:rPr>
              <w:t xml:space="preserve"> and equipment and </w:t>
            </w:r>
          </w:p>
          <w:p w14:paraId="06DD01DE" w14:textId="33ED128B"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intangible assets</w:t>
            </w:r>
            <w:bookmarkEnd w:id="1218"/>
          </w:p>
        </w:tc>
        <w:tc>
          <w:tcPr>
            <w:tcW w:w="507" w:type="pct"/>
            <w:tcBorders>
              <w:top w:val="nil"/>
              <w:left w:val="nil"/>
              <w:bottom w:val="nil"/>
              <w:right w:val="nil"/>
            </w:tcBorders>
            <w:shd w:val="clear" w:color="auto" w:fill="auto"/>
            <w:vAlign w:val="bottom"/>
          </w:tcPr>
          <w:p w14:paraId="679D526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52" w:type="pct"/>
            <w:tcBorders>
              <w:top w:val="nil"/>
              <w:left w:val="nil"/>
              <w:bottom w:val="nil"/>
              <w:right w:val="nil"/>
            </w:tcBorders>
            <w:shd w:val="clear" w:color="auto" w:fill="auto"/>
            <w:vAlign w:val="bottom"/>
          </w:tcPr>
          <w:p w14:paraId="197002F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792E1EEF"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79659DEC"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4A68648A"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37,727 </w:t>
            </w:r>
          </w:p>
        </w:tc>
        <w:tc>
          <w:tcPr>
            <w:tcW w:w="564" w:type="pct"/>
            <w:tcBorders>
              <w:top w:val="nil"/>
              <w:left w:val="nil"/>
              <w:bottom w:val="nil"/>
              <w:right w:val="nil"/>
            </w:tcBorders>
            <w:shd w:val="clear" w:color="auto" w:fill="auto"/>
            <w:vAlign w:val="bottom"/>
          </w:tcPr>
          <w:p w14:paraId="21E5DB1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37,727 </w:t>
            </w:r>
          </w:p>
        </w:tc>
      </w:tr>
      <w:tr w:rsidR="00587444" w:rsidRPr="00587444" w14:paraId="671BFF8D" w14:textId="77777777" w:rsidTr="00DD69E7">
        <w:trPr>
          <w:trHeight w:hRule="exact" w:val="275"/>
        </w:trPr>
        <w:tc>
          <w:tcPr>
            <w:tcW w:w="1642" w:type="pct"/>
            <w:vAlign w:val="bottom"/>
          </w:tcPr>
          <w:p w14:paraId="772F21B0"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Foreclosed assets</w:t>
            </w:r>
          </w:p>
        </w:tc>
        <w:tc>
          <w:tcPr>
            <w:tcW w:w="507" w:type="pct"/>
            <w:tcBorders>
              <w:top w:val="nil"/>
              <w:left w:val="nil"/>
              <w:bottom w:val="nil"/>
              <w:right w:val="nil"/>
            </w:tcBorders>
            <w:shd w:val="clear" w:color="auto" w:fill="auto"/>
            <w:vAlign w:val="bottom"/>
          </w:tcPr>
          <w:p w14:paraId="662C4D07"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52" w:type="pct"/>
            <w:tcBorders>
              <w:top w:val="nil"/>
              <w:left w:val="nil"/>
              <w:bottom w:val="nil"/>
              <w:right w:val="nil"/>
            </w:tcBorders>
            <w:shd w:val="clear" w:color="auto" w:fill="auto"/>
            <w:vAlign w:val="bottom"/>
          </w:tcPr>
          <w:p w14:paraId="4C93FB8E"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642653A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1,968 </w:t>
            </w:r>
          </w:p>
        </w:tc>
        <w:tc>
          <w:tcPr>
            <w:tcW w:w="572" w:type="pct"/>
            <w:tcBorders>
              <w:top w:val="nil"/>
              <w:left w:val="nil"/>
              <w:bottom w:val="nil"/>
              <w:right w:val="nil"/>
            </w:tcBorders>
            <w:shd w:val="clear" w:color="auto" w:fill="auto"/>
            <w:vAlign w:val="bottom"/>
          </w:tcPr>
          <w:p w14:paraId="2D63D1B6"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13,024 </w:t>
            </w:r>
          </w:p>
        </w:tc>
        <w:tc>
          <w:tcPr>
            <w:tcW w:w="573" w:type="pct"/>
            <w:tcBorders>
              <w:top w:val="nil"/>
              <w:left w:val="nil"/>
              <w:bottom w:val="nil"/>
              <w:right w:val="nil"/>
            </w:tcBorders>
            <w:shd w:val="clear" w:color="auto" w:fill="auto"/>
            <w:vAlign w:val="bottom"/>
          </w:tcPr>
          <w:p w14:paraId="6970F4C1"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9,784 </w:t>
            </w:r>
          </w:p>
        </w:tc>
        <w:tc>
          <w:tcPr>
            <w:tcW w:w="564" w:type="pct"/>
            <w:tcBorders>
              <w:top w:val="nil"/>
              <w:left w:val="nil"/>
              <w:bottom w:val="nil"/>
              <w:right w:val="nil"/>
            </w:tcBorders>
            <w:shd w:val="clear" w:color="auto" w:fill="auto"/>
            <w:vAlign w:val="bottom"/>
          </w:tcPr>
          <w:p w14:paraId="2D6A6E7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24,776 </w:t>
            </w:r>
          </w:p>
        </w:tc>
      </w:tr>
      <w:tr w:rsidR="00587444" w:rsidRPr="00587444" w14:paraId="3843473C" w14:textId="77777777" w:rsidTr="00DD69E7">
        <w:trPr>
          <w:trHeight w:hRule="exact" w:val="275"/>
        </w:trPr>
        <w:tc>
          <w:tcPr>
            <w:tcW w:w="1642" w:type="pct"/>
            <w:vAlign w:val="bottom"/>
          </w:tcPr>
          <w:p w14:paraId="3827B2E4"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bookmarkStart w:id="1219" w:name="_Toc4062236"/>
            <w:r w:rsidRPr="00587444">
              <w:rPr>
                <w:rFonts w:ascii="Arial" w:hAnsi="Arial" w:cs="Arial"/>
                <w:spacing w:val="-2"/>
                <w:sz w:val="17"/>
                <w:szCs w:val="17"/>
              </w:rPr>
              <w:t>Other assets</w:t>
            </w:r>
            <w:bookmarkEnd w:id="1219"/>
          </w:p>
        </w:tc>
        <w:tc>
          <w:tcPr>
            <w:tcW w:w="507" w:type="pct"/>
            <w:tcBorders>
              <w:top w:val="nil"/>
              <w:left w:val="nil"/>
              <w:bottom w:val="single" w:sz="8" w:space="0" w:color="auto"/>
              <w:right w:val="nil"/>
            </w:tcBorders>
            <w:shd w:val="clear" w:color="auto" w:fill="auto"/>
            <w:vAlign w:val="bottom"/>
          </w:tcPr>
          <w:p w14:paraId="6606B988"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4,004 </w:t>
            </w:r>
          </w:p>
        </w:tc>
        <w:tc>
          <w:tcPr>
            <w:tcW w:w="552" w:type="pct"/>
            <w:tcBorders>
              <w:top w:val="nil"/>
              <w:left w:val="nil"/>
              <w:bottom w:val="single" w:sz="8" w:space="0" w:color="auto"/>
              <w:right w:val="nil"/>
            </w:tcBorders>
            <w:shd w:val="clear" w:color="auto" w:fill="auto"/>
            <w:vAlign w:val="bottom"/>
          </w:tcPr>
          <w:p w14:paraId="2B08750B"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1,073 </w:t>
            </w:r>
          </w:p>
        </w:tc>
        <w:tc>
          <w:tcPr>
            <w:tcW w:w="590" w:type="pct"/>
            <w:tcBorders>
              <w:top w:val="nil"/>
              <w:left w:val="nil"/>
              <w:bottom w:val="single" w:sz="8" w:space="0" w:color="auto"/>
              <w:right w:val="nil"/>
            </w:tcBorders>
            <w:shd w:val="clear" w:color="auto" w:fill="auto"/>
            <w:vAlign w:val="bottom"/>
          </w:tcPr>
          <w:p w14:paraId="7E7EEA47"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5,491 </w:t>
            </w:r>
          </w:p>
        </w:tc>
        <w:tc>
          <w:tcPr>
            <w:tcW w:w="572" w:type="pct"/>
            <w:tcBorders>
              <w:top w:val="nil"/>
              <w:left w:val="nil"/>
              <w:bottom w:val="single" w:sz="8" w:space="0" w:color="auto"/>
              <w:right w:val="nil"/>
            </w:tcBorders>
            <w:shd w:val="clear" w:color="auto" w:fill="auto"/>
            <w:vAlign w:val="bottom"/>
          </w:tcPr>
          <w:p w14:paraId="65EEAA57"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16,278 </w:t>
            </w:r>
          </w:p>
        </w:tc>
        <w:tc>
          <w:tcPr>
            <w:tcW w:w="573" w:type="pct"/>
            <w:tcBorders>
              <w:top w:val="nil"/>
              <w:left w:val="nil"/>
              <w:bottom w:val="single" w:sz="8" w:space="0" w:color="auto"/>
              <w:right w:val="nil"/>
            </w:tcBorders>
            <w:shd w:val="clear" w:color="auto" w:fill="auto"/>
            <w:vAlign w:val="bottom"/>
          </w:tcPr>
          <w:p w14:paraId="1009B1E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1,346 </w:t>
            </w:r>
          </w:p>
        </w:tc>
        <w:tc>
          <w:tcPr>
            <w:tcW w:w="564" w:type="pct"/>
            <w:tcBorders>
              <w:top w:val="nil"/>
              <w:left w:val="nil"/>
              <w:bottom w:val="single" w:sz="8" w:space="0" w:color="auto"/>
              <w:right w:val="nil"/>
            </w:tcBorders>
            <w:shd w:val="clear" w:color="auto" w:fill="auto"/>
            <w:vAlign w:val="bottom"/>
          </w:tcPr>
          <w:p w14:paraId="5EFA029E"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28,192 </w:t>
            </w:r>
          </w:p>
        </w:tc>
      </w:tr>
      <w:tr w:rsidR="00587444" w:rsidRPr="00587444" w14:paraId="3D9F139D" w14:textId="77777777" w:rsidTr="00DD69E7">
        <w:trPr>
          <w:trHeight w:hRule="exact" w:val="275"/>
        </w:trPr>
        <w:tc>
          <w:tcPr>
            <w:tcW w:w="1642" w:type="pct"/>
            <w:vAlign w:val="bottom"/>
          </w:tcPr>
          <w:p w14:paraId="0810887D"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z w:val="17"/>
                <w:szCs w:val="17"/>
              </w:rPr>
            </w:pPr>
            <w:bookmarkStart w:id="1220" w:name="_Toc4062243"/>
            <w:r w:rsidRPr="00587444">
              <w:rPr>
                <w:rFonts w:ascii="Arial" w:eastAsia="Calibri" w:hAnsi="Arial" w:cs="Arial"/>
                <w:b/>
                <w:bCs/>
                <w:sz w:val="17"/>
                <w:szCs w:val="17"/>
              </w:rPr>
              <w:t>Total assets</w:t>
            </w:r>
            <w:bookmarkEnd w:id="1220"/>
            <w:r w:rsidRPr="00587444">
              <w:rPr>
                <w:rFonts w:ascii="Arial" w:eastAsia="Calibri" w:hAnsi="Arial" w:cs="Arial"/>
                <w:b/>
                <w:bCs/>
                <w:sz w:val="17"/>
                <w:szCs w:val="17"/>
              </w:rPr>
              <w:t xml:space="preserve"> </w:t>
            </w:r>
          </w:p>
        </w:tc>
        <w:tc>
          <w:tcPr>
            <w:tcW w:w="507" w:type="pct"/>
            <w:tcBorders>
              <w:top w:val="single" w:sz="8" w:space="0" w:color="auto"/>
              <w:left w:val="nil"/>
              <w:bottom w:val="single" w:sz="12" w:space="0" w:color="auto"/>
              <w:right w:val="nil"/>
            </w:tcBorders>
            <w:shd w:val="clear" w:color="auto" w:fill="auto"/>
            <w:vAlign w:val="bottom"/>
          </w:tcPr>
          <w:p w14:paraId="7D50E60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6,159,305 </w:t>
            </w:r>
          </w:p>
        </w:tc>
        <w:tc>
          <w:tcPr>
            <w:tcW w:w="552" w:type="pct"/>
            <w:tcBorders>
              <w:top w:val="single" w:sz="8" w:space="0" w:color="auto"/>
              <w:left w:val="nil"/>
              <w:bottom w:val="single" w:sz="12" w:space="0" w:color="auto"/>
              <w:right w:val="nil"/>
            </w:tcBorders>
            <w:shd w:val="clear" w:color="auto" w:fill="auto"/>
            <w:vAlign w:val="bottom"/>
          </w:tcPr>
          <w:p w14:paraId="23953A0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 740,738 </w:t>
            </w:r>
          </w:p>
        </w:tc>
        <w:tc>
          <w:tcPr>
            <w:tcW w:w="590" w:type="pct"/>
            <w:tcBorders>
              <w:top w:val="single" w:sz="8" w:space="0" w:color="auto"/>
              <w:left w:val="nil"/>
              <w:bottom w:val="single" w:sz="12" w:space="0" w:color="auto"/>
              <w:right w:val="nil"/>
            </w:tcBorders>
            <w:shd w:val="clear" w:color="auto" w:fill="auto"/>
            <w:vAlign w:val="bottom"/>
          </w:tcPr>
          <w:p w14:paraId="2EDF6A0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 2,940,911 </w:t>
            </w:r>
          </w:p>
        </w:tc>
        <w:tc>
          <w:tcPr>
            <w:tcW w:w="572" w:type="pct"/>
            <w:tcBorders>
              <w:top w:val="single" w:sz="8" w:space="0" w:color="auto"/>
              <w:left w:val="nil"/>
              <w:bottom w:val="single" w:sz="12" w:space="0" w:color="auto"/>
              <w:right w:val="nil"/>
            </w:tcBorders>
            <w:shd w:val="clear" w:color="auto" w:fill="auto"/>
            <w:vAlign w:val="bottom"/>
          </w:tcPr>
          <w:p w14:paraId="4BF30EFE"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 6,287,909 </w:t>
            </w:r>
          </w:p>
        </w:tc>
        <w:tc>
          <w:tcPr>
            <w:tcW w:w="573" w:type="pct"/>
            <w:tcBorders>
              <w:top w:val="single" w:sz="8" w:space="0" w:color="auto"/>
              <w:left w:val="nil"/>
              <w:bottom w:val="single" w:sz="12" w:space="0" w:color="auto"/>
              <w:right w:val="nil"/>
            </w:tcBorders>
            <w:shd w:val="clear" w:color="auto" w:fill="auto"/>
            <w:vAlign w:val="bottom"/>
          </w:tcPr>
          <w:p w14:paraId="4693038F"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 12,903,444 </w:t>
            </w:r>
          </w:p>
        </w:tc>
        <w:tc>
          <w:tcPr>
            <w:tcW w:w="564" w:type="pct"/>
            <w:tcBorders>
              <w:top w:val="single" w:sz="8" w:space="0" w:color="auto"/>
              <w:left w:val="nil"/>
              <w:bottom w:val="single" w:sz="12" w:space="0" w:color="auto"/>
              <w:right w:val="nil"/>
            </w:tcBorders>
            <w:shd w:val="clear" w:color="auto" w:fill="auto"/>
            <w:vAlign w:val="bottom"/>
          </w:tcPr>
          <w:p w14:paraId="10FC644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 xml:space="preserve">29,032,307 </w:t>
            </w:r>
          </w:p>
        </w:tc>
      </w:tr>
      <w:tr w:rsidR="00587444" w:rsidRPr="00587444" w14:paraId="2F7BDC04" w14:textId="77777777" w:rsidTr="00DD69E7">
        <w:trPr>
          <w:trHeight w:hRule="exact" w:val="275"/>
        </w:trPr>
        <w:tc>
          <w:tcPr>
            <w:tcW w:w="1642" w:type="pct"/>
            <w:vAlign w:val="bottom"/>
          </w:tcPr>
          <w:p w14:paraId="1AC04D7F"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z w:val="17"/>
                <w:szCs w:val="17"/>
              </w:rPr>
            </w:pPr>
          </w:p>
        </w:tc>
        <w:tc>
          <w:tcPr>
            <w:tcW w:w="507" w:type="pct"/>
            <w:tcBorders>
              <w:top w:val="single" w:sz="12" w:space="0" w:color="auto"/>
            </w:tcBorders>
            <w:vAlign w:val="bottom"/>
          </w:tcPr>
          <w:p w14:paraId="5E69C45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52" w:type="pct"/>
            <w:tcBorders>
              <w:top w:val="single" w:sz="12" w:space="0" w:color="auto"/>
            </w:tcBorders>
            <w:vAlign w:val="bottom"/>
          </w:tcPr>
          <w:p w14:paraId="1A9E618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90" w:type="pct"/>
            <w:tcBorders>
              <w:top w:val="single" w:sz="12" w:space="0" w:color="auto"/>
            </w:tcBorders>
            <w:vAlign w:val="bottom"/>
          </w:tcPr>
          <w:p w14:paraId="4911222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72" w:type="pct"/>
            <w:tcBorders>
              <w:top w:val="single" w:sz="12" w:space="0" w:color="auto"/>
            </w:tcBorders>
            <w:vAlign w:val="bottom"/>
          </w:tcPr>
          <w:p w14:paraId="3159354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73" w:type="pct"/>
            <w:tcBorders>
              <w:top w:val="single" w:sz="12" w:space="0" w:color="auto"/>
            </w:tcBorders>
            <w:vAlign w:val="bottom"/>
          </w:tcPr>
          <w:p w14:paraId="465C995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64" w:type="pct"/>
            <w:tcBorders>
              <w:top w:val="single" w:sz="12" w:space="0" w:color="auto"/>
            </w:tcBorders>
            <w:vAlign w:val="bottom"/>
          </w:tcPr>
          <w:p w14:paraId="697458B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r>
      <w:tr w:rsidR="00587444" w:rsidRPr="00587444" w14:paraId="5C2B6F3E" w14:textId="77777777" w:rsidTr="00DD69E7">
        <w:trPr>
          <w:trHeight w:hRule="exact" w:val="275"/>
        </w:trPr>
        <w:tc>
          <w:tcPr>
            <w:tcW w:w="1642" w:type="pct"/>
            <w:vAlign w:val="bottom"/>
          </w:tcPr>
          <w:p w14:paraId="3DB44B23"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z w:val="17"/>
                <w:szCs w:val="17"/>
              </w:rPr>
            </w:pPr>
            <w:bookmarkStart w:id="1221" w:name="_Toc4062250"/>
            <w:r w:rsidRPr="00587444">
              <w:rPr>
                <w:rFonts w:ascii="Arial" w:eastAsia="Calibri" w:hAnsi="Arial" w:cs="Arial"/>
                <w:b/>
                <w:bCs/>
                <w:sz w:val="17"/>
                <w:szCs w:val="17"/>
              </w:rPr>
              <w:t>Liabilities</w:t>
            </w:r>
            <w:bookmarkEnd w:id="1221"/>
          </w:p>
        </w:tc>
        <w:tc>
          <w:tcPr>
            <w:tcW w:w="507" w:type="pct"/>
            <w:vAlign w:val="bottom"/>
          </w:tcPr>
          <w:p w14:paraId="48B354B5" w14:textId="77777777" w:rsidR="00587444" w:rsidRPr="00587444" w:rsidRDefault="00587444" w:rsidP="00587444">
            <w:pPr>
              <w:suppressAutoHyphens w:val="0"/>
              <w:autoSpaceDN/>
              <w:spacing w:line="240" w:lineRule="exact"/>
              <w:jc w:val="right"/>
              <w:outlineLvl w:val="0"/>
              <w:rPr>
                <w:rFonts w:ascii="Arial" w:eastAsia="Calibri" w:hAnsi="Arial" w:cs="Arial"/>
                <w:spacing w:val="-2"/>
                <w:sz w:val="17"/>
                <w:szCs w:val="17"/>
              </w:rPr>
            </w:pPr>
          </w:p>
        </w:tc>
        <w:tc>
          <w:tcPr>
            <w:tcW w:w="552" w:type="pct"/>
            <w:vAlign w:val="bottom"/>
          </w:tcPr>
          <w:p w14:paraId="22C5792D" w14:textId="77777777" w:rsidR="00587444" w:rsidRPr="00587444" w:rsidRDefault="00587444" w:rsidP="00587444">
            <w:pPr>
              <w:suppressAutoHyphens w:val="0"/>
              <w:autoSpaceDN/>
              <w:spacing w:line="240" w:lineRule="exact"/>
              <w:jc w:val="right"/>
              <w:outlineLvl w:val="0"/>
              <w:rPr>
                <w:rFonts w:ascii="Arial" w:eastAsia="Calibri" w:hAnsi="Arial" w:cs="Arial"/>
                <w:spacing w:val="-2"/>
                <w:sz w:val="17"/>
                <w:szCs w:val="17"/>
              </w:rPr>
            </w:pPr>
          </w:p>
        </w:tc>
        <w:tc>
          <w:tcPr>
            <w:tcW w:w="590" w:type="pct"/>
            <w:vAlign w:val="bottom"/>
          </w:tcPr>
          <w:p w14:paraId="0CC66986" w14:textId="77777777" w:rsidR="00587444" w:rsidRPr="00587444" w:rsidRDefault="00587444" w:rsidP="00587444">
            <w:pPr>
              <w:suppressAutoHyphens w:val="0"/>
              <w:autoSpaceDN/>
              <w:spacing w:line="240" w:lineRule="exact"/>
              <w:jc w:val="right"/>
              <w:outlineLvl w:val="0"/>
              <w:rPr>
                <w:rFonts w:ascii="Arial" w:eastAsia="Calibri" w:hAnsi="Arial" w:cs="Arial"/>
                <w:spacing w:val="-2"/>
                <w:sz w:val="17"/>
                <w:szCs w:val="17"/>
              </w:rPr>
            </w:pPr>
          </w:p>
        </w:tc>
        <w:tc>
          <w:tcPr>
            <w:tcW w:w="572" w:type="pct"/>
            <w:vAlign w:val="bottom"/>
          </w:tcPr>
          <w:p w14:paraId="32CAF9AB" w14:textId="77777777" w:rsidR="00587444" w:rsidRPr="00587444" w:rsidRDefault="00587444" w:rsidP="00587444">
            <w:pPr>
              <w:suppressAutoHyphens w:val="0"/>
              <w:autoSpaceDN/>
              <w:spacing w:line="240" w:lineRule="exact"/>
              <w:jc w:val="right"/>
              <w:outlineLvl w:val="0"/>
              <w:rPr>
                <w:rFonts w:ascii="Arial" w:eastAsia="Calibri" w:hAnsi="Arial" w:cs="Arial"/>
                <w:spacing w:val="-2"/>
                <w:sz w:val="17"/>
                <w:szCs w:val="17"/>
              </w:rPr>
            </w:pPr>
          </w:p>
        </w:tc>
        <w:tc>
          <w:tcPr>
            <w:tcW w:w="573" w:type="pct"/>
            <w:vAlign w:val="bottom"/>
          </w:tcPr>
          <w:p w14:paraId="2FD8F39B" w14:textId="77777777" w:rsidR="00587444" w:rsidRPr="00587444" w:rsidRDefault="00587444" w:rsidP="00587444">
            <w:pPr>
              <w:suppressAutoHyphens w:val="0"/>
              <w:autoSpaceDN/>
              <w:spacing w:line="240" w:lineRule="exact"/>
              <w:jc w:val="right"/>
              <w:outlineLvl w:val="0"/>
              <w:rPr>
                <w:rFonts w:ascii="Arial" w:eastAsia="Calibri" w:hAnsi="Arial" w:cs="Arial"/>
                <w:spacing w:val="-2"/>
                <w:sz w:val="17"/>
                <w:szCs w:val="17"/>
              </w:rPr>
            </w:pPr>
          </w:p>
        </w:tc>
        <w:tc>
          <w:tcPr>
            <w:tcW w:w="564" w:type="pct"/>
            <w:vAlign w:val="bottom"/>
          </w:tcPr>
          <w:p w14:paraId="31065D06" w14:textId="77777777" w:rsidR="00587444" w:rsidRPr="00587444" w:rsidRDefault="00587444" w:rsidP="00587444">
            <w:pPr>
              <w:suppressAutoHyphens w:val="0"/>
              <w:autoSpaceDN/>
              <w:spacing w:line="240" w:lineRule="exact"/>
              <w:jc w:val="right"/>
              <w:outlineLvl w:val="0"/>
              <w:rPr>
                <w:rFonts w:ascii="Arial" w:eastAsia="Calibri" w:hAnsi="Arial" w:cs="Arial"/>
                <w:spacing w:val="-2"/>
                <w:sz w:val="17"/>
                <w:szCs w:val="17"/>
              </w:rPr>
            </w:pPr>
          </w:p>
        </w:tc>
      </w:tr>
      <w:tr w:rsidR="00587444" w:rsidRPr="00587444" w14:paraId="21F05E1E" w14:textId="77777777" w:rsidTr="00DD69E7">
        <w:trPr>
          <w:trHeight w:hRule="exact" w:val="275"/>
        </w:trPr>
        <w:tc>
          <w:tcPr>
            <w:tcW w:w="1642" w:type="pct"/>
            <w:vAlign w:val="bottom"/>
          </w:tcPr>
          <w:p w14:paraId="095782FB" w14:textId="77777777" w:rsidR="00587444" w:rsidRPr="00587444" w:rsidRDefault="00587444" w:rsidP="00587444">
            <w:pPr>
              <w:tabs>
                <w:tab w:val="right" w:pos="1202"/>
              </w:tabs>
              <w:suppressAutoHyphens w:val="0"/>
              <w:autoSpaceDN/>
              <w:spacing w:line="200" w:lineRule="exact"/>
              <w:outlineLvl w:val="0"/>
              <w:rPr>
                <w:rFonts w:ascii="Arial" w:hAnsi="Arial" w:cs="Arial"/>
                <w:sz w:val="17"/>
                <w:szCs w:val="17"/>
              </w:rPr>
            </w:pPr>
            <w:bookmarkStart w:id="1222" w:name="_Toc4062251"/>
            <w:r w:rsidRPr="00587444">
              <w:rPr>
                <w:rFonts w:ascii="Arial" w:hAnsi="Arial" w:cs="Arial"/>
                <w:spacing w:val="-2"/>
                <w:sz w:val="17"/>
                <w:szCs w:val="17"/>
              </w:rPr>
              <w:t>Deposits from customers</w:t>
            </w:r>
            <w:bookmarkEnd w:id="1222"/>
            <w:r w:rsidRPr="00587444">
              <w:rPr>
                <w:rFonts w:ascii="Arial" w:hAnsi="Arial" w:cs="Arial"/>
                <w:spacing w:val="-2"/>
                <w:sz w:val="17"/>
                <w:szCs w:val="17"/>
              </w:rPr>
              <w:t xml:space="preserve"> </w:t>
            </w:r>
          </w:p>
        </w:tc>
        <w:tc>
          <w:tcPr>
            <w:tcW w:w="507" w:type="pct"/>
            <w:tcBorders>
              <w:top w:val="nil"/>
              <w:left w:val="nil"/>
              <w:bottom w:val="nil"/>
              <w:right w:val="nil"/>
            </w:tcBorders>
            <w:shd w:val="clear" w:color="auto" w:fill="auto"/>
            <w:vAlign w:val="bottom"/>
          </w:tcPr>
          <w:p w14:paraId="7D488868"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738,963 </w:t>
            </w:r>
          </w:p>
        </w:tc>
        <w:tc>
          <w:tcPr>
            <w:tcW w:w="552" w:type="pct"/>
            <w:tcBorders>
              <w:top w:val="nil"/>
              <w:left w:val="nil"/>
              <w:bottom w:val="nil"/>
              <w:right w:val="nil"/>
            </w:tcBorders>
            <w:shd w:val="clear" w:color="auto" w:fill="auto"/>
            <w:vAlign w:val="bottom"/>
          </w:tcPr>
          <w:p w14:paraId="62A60AF2"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29,337 </w:t>
            </w:r>
          </w:p>
        </w:tc>
        <w:tc>
          <w:tcPr>
            <w:tcW w:w="590" w:type="pct"/>
            <w:tcBorders>
              <w:top w:val="nil"/>
              <w:left w:val="nil"/>
              <w:bottom w:val="nil"/>
              <w:right w:val="nil"/>
            </w:tcBorders>
            <w:shd w:val="clear" w:color="auto" w:fill="auto"/>
            <w:vAlign w:val="bottom"/>
          </w:tcPr>
          <w:p w14:paraId="16FEC7D9"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110,155 </w:t>
            </w:r>
          </w:p>
        </w:tc>
        <w:tc>
          <w:tcPr>
            <w:tcW w:w="572" w:type="pct"/>
            <w:tcBorders>
              <w:top w:val="nil"/>
              <w:left w:val="nil"/>
              <w:bottom w:val="nil"/>
              <w:right w:val="nil"/>
            </w:tcBorders>
            <w:shd w:val="clear" w:color="auto" w:fill="auto"/>
            <w:vAlign w:val="bottom"/>
          </w:tcPr>
          <w:p w14:paraId="474592D1"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75,433 </w:t>
            </w:r>
          </w:p>
        </w:tc>
        <w:tc>
          <w:tcPr>
            <w:tcW w:w="573" w:type="pct"/>
            <w:tcBorders>
              <w:top w:val="nil"/>
              <w:left w:val="nil"/>
              <w:bottom w:val="nil"/>
              <w:right w:val="nil"/>
            </w:tcBorders>
            <w:shd w:val="clear" w:color="auto" w:fill="auto"/>
            <w:vAlign w:val="bottom"/>
          </w:tcPr>
          <w:p w14:paraId="531E449A"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70,735 </w:t>
            </w:r>
          </w:p>
        </w:tc>
        <w:tc>
          <w:tcPr>
            <w:tcW w:w="564" w:type="pct"/>
            <w:tcBorders>
              <w:top w:val="nil"/>
              <w:left w:val="nil"/>
              <w:bottom w:val="nil"/>
              <w:right w:val="nil"/>
            </w:tcBorders>
            <w:shd w:val="clear" w:color="auto" w:fill="auto"/>
            <w:vAlign w:val="bottom"/>
          </w:tcPr>
          <w:p w14:paraId="4B3A984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1,024,623</w:t>
            </w:r>
          </w:p>
        </w:tc>
      </w:tr>
      <w:tr w:rsidR="00587444" w:rsidRPr="00587444" w14:paraId="7B273B71" w14:textId="77777777" w:rsidTr="00DD69E7">
        <w:trPr>
          <w:trHeight w:hRule="exact" w:val="275"/>
        </w:trPr>
        <w:tc>
          <w:tcPr>
            <w:tcW w:w="1642" w:type="pct"/>
            <w:vAlign w:val="bottom"/>
          </w:tcPr>
          <w:p w14:paraId="1D577094" w14:textId="77777777" w:rsidR="00587444" w:rsidRPr="00587444" w:rsidRDefault="00587444" w:rsidP="00587444">
            <w:pPr>
              <w:tabs>
                <w:tab w:val="right" w:pos="1202"/>
              </w:tabs>
              <w:suppressAutoHyphens w:val="0"/>
              <w:autoSpaceDN/>
              <w:spacing w:line="200" w:lineRule="exact"/>
              <w:outlineLvl w:val="0"/>
              <w:rPr>
                <w:rFonts w:ascii="Arial" w:hAnsi="Arial" w:cs="Arial"/>
                <w:sz w:val="17"/>
                <w:szCs w:val="17"/>
              </w:rPr>
            </w:pPr>
            <w:bookmarkStart w:id="1223" w:name="_Toc4062258"/>
            <w:r w:rsidRPr="00587444">
              <w:rPr>
                <w:rFonts w:ascii="Arial" w:hAnsi="Arial" w:cs="Arial"/>
                <w:spacing w:val="-2"/>
                <w:sz w:val="17"/>
                <w:szCs w:val="17"/>
              </w:rPr>
              <w:t>Borrowings</w:t>
            </w:r>
            <w:bookmarkEnd w:id="1223"/>
            <w:r w:rsidRPr="00587444">
              <w:rPr>
                <w:rFonts w:ascii="Arial" w:hAnsi="Arial" w:cs="Arial"/>
                <w:spacing w:val="-2"/>
                <w:sz w:val="17"/>
                <w:szCs w:val="17"/>
              </w:rPr>
              <w:t xml:space="preserve"> </w:t>
            </w:r>
          </w:p>
        </w:tc>
        <w:tc>
          <w:tcPr>
            <w:tcW w:w="507" w:type="pct"/>
            <w:tcBorders>
              <w:top w:val="nil"/>
              <w:left w:val="nil"/>
              <w:bottom w:val="nil"/>
              <w:right w:val="nil"/>
            </w:tcBorders>
            <w:shd w:val="clear" w:color="auto" w:fill="auto"/>
            <w:vAlign w:val="bottom"/>
          </w:tcPr>
          <w:p w14:paraId="3E86A2C6"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555,327 </w:t>
            </w:r>
          </w:p>
        </w:tc>
        <w:tc>
          <w:tcPr>
            <w:tcW w:w="552" w:type="pct"/>
            <w:tcBorders>
              <w:top w:val="nil"/>
              <w:left w:val="nil"/>
              <w:bottom w:val="nil"/>
              <w:right w:val="nil"/>
            </w:tcBorders>
            <w:shd w:val="clear" w:color="auto" w:fill="auto"/>
            <w:vAlign w:val="bottom"/>
          </w:tcPr>
          <w:p w14:paraId="4E1F6AEF"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309,534* </w:t>
            </w:r>
          </w:p>
        </w:tc>
        <w:tc>
          <w:tcPr>
            <w:tcW w:w="590" w:type="pct"/>
            <w:tcBorders>
              <w:top w:val="nil"/>
              <w:left w:val="nil"/>
              <w:bottom w:val="nil"/>
              <w:right w:val="nil"/>
            </w:tcBorders>
            <w:shd w:val="clear" w:color="auto" w:fill="auto"/>
            <w:vAlign w:val="bottom"/>
          </w:tcPr>
          <w:p w14:paraId="265626F8"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3,254,598 </w:t>
            </w:r>
          </w:p>
        </w:tc>
        <w:tc>
          <w:tcPr>
            <w:tcW w:w="572" w:type="pct"/>
            <w:tcBorders>
              <w:top w:val="nil"/>
              <w:left w:val="nil"/>
              <w:bottom w:val="nil"/>
              <w:right w:val="nil"/>
            </w:tcBorders>
            <w:shd w:val="clear" w:color="auto" w:fill="auto"/>
            <w:vAlign w:val="bottom"/>
          </w:tcPr>
          <w:p w14:paraId="5221D142"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5,291,478 </w:t>
            </w:r>
          </w:p>
        </w:tc>
        <w:tc>
          <w:tcPr>
            <w:tcW w:w="573" w:type="pct"/>
            <w:tcBorders>
              <w:top w:val="nil"/>
              <w:left w:val="nil"/>
              <w:bottom w:val="nil"/>
              <w:right w:val="nil"/>
            </w:tcBorders>
            <w:shd w:val="clear" w:color="auto" w:fill="auto"/>
            <w:vAlign w:val="bottom"/>
          </w:tcPr>
          <w:p w14:paraId="7665B0A8"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7,090,339 </w:t>
            </w:r>
          </w:p>
        </w:tc>
        <w:tc>
          <w:tcPr>
            <w:tcW w:w="564" w:type="pct"/>
            <w:tcBorders>
              <w:top w:val="nil"/>
              <w:left w:val="nil"/>
              <w:bottom w:val="nil"/>
              <w:right w:val="nil"/>
            </w:tcBorders>
            <w:shd w:val="clear" w:color="auto" w:fill="auto"/>
            <w:vAlign w:val="bottom"/>
          </w:tcPr>
          <w:p w14:paraId="36371B8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16,501,276</w:t>
            </w:r>
          </w:p>
        </w:tc>
      </w:tr>
      <w:tr w:rsidR="00587444" w:rsidRPr="00587444" w14:paraId="28615C59" w14:textId="77777777" w:rsidTr="00DD69E7">
        <w:trPr>
          <w:trHeight w:hRule="exact" w:val="479"/>
        </w:trPr>
        <w:tc>
          <w:tcPr>
            <w:tcW w:w="1642" w:type="pct"/>
            <w:vAlign w:val="bottom"/>
          </w:tcPr>
          <w:p w14:paraId="2B204980" w14:textId="77777777" w:rsidR="00587444" w:rsidRPr="00587444" w:rsidRDefault="00587444" w:rsidP="00587444">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Provisions for guarantees, commitments and other liabilities</w:t>
            </w:r>
          </w:p>
        </w:tc>
        <w:tc>
          <w:tcPr>
            <w:tcW w:w="507" w:type="pct"/>
            <w:tcBorders>
              <w:top w:val="nil"/>
              <w:left w:val="nil"/>
              <w:bottom w:val="nil"/>
              <w:right w:val="nil"/>
            </w:tcBorders>
            <w:shd w:val="clear" w:color="auto" w:fill="auto"/>
            <w:vAlign w:val="bottom"/>
          </w:tcPr>
          <w:p w14:paraId="10B0794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104,063 </w:t>
            </w:r>
          </w:p>
        </w:tc>
        <w:tc>
          <w:tcPr>
            <w:tcW w:w="552" w:type="pct"/>
            <w:tcBorders>
              <w:top w:val="nil"/>
              <w:left w:val="nil"/>
              <w:bottom w:val="nil"/>
              <w:right w:val="nil"/>
            </w:tcBorders>
            <w:shd w:val="clear" w:color="auto" w:fill="auto"/>
            <w:vAlign w:val="bottom"/>
          </w:tcPr>
          <w:p w14:paraId="5D28B6E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2,702 </w:t>
            </w:r>
          </w:p>
        </w:tc>
        <w:tc>
          <w:tcPr>
            <w:tcW w:w="590" w:type="pct"/>
            <w:tcBorders>
              <w:top w:val="nil"/>
              <w:left w:val="nil"/>
              <w:bottom w:val="nil"/>
              <w:right w:val="nil"/>
            </w:tcBorders>
            <w:shd w:val="clear" w:color="auto" w:fill="auto"/>
            <w:vAlign w:val="bottom"/>
          </w:tcPr>
          <w:p w14:paraId="7DFEE67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9,935 </w:t>
            </w:r>
          </w:p>
        </w:tc>
        <w:tc>
          <w:tcPr>
            <w:tcW w:w="572" w:type="pct"/>
            <w:tcBorders>
              <w:top w:val="nil"/>
              <w:left w:val="nil"/>
              <w:bottom w:val="nil"/>
              <w:right w:val="nil"/>
            </w:tcBorders>
            <w:shd w:val="clear" w:color="auto" w:fill="auto"/>
            <w:vAlign w:val="bottom"/>
          </w:tcPr>
          <w:p w14:paraId="36DCFFF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18,037 </w:t>
            </w:r>
          </w:p>
        </w:tc>
        <w:tc>
          <w:tcPr>
            <w:tcW w:w="573" w:type="pct"/>
            <w:tcBorders>
              <w:top w:val="nil"/>
              <w:left w:val="nil"/>
              <w:bottom w:val="nil"/>
              <w:right w:val="nil"/>
            </w:tcBorders>
            <w:shd w:val="clear" w:color="auto" w:fill="auto"/>
            <w:vAlign w:val="bottom"/>
          </w:tcPr>
          <w:p w14:paraId="57543CD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7,938 </w:t>
            </w:r>
          </w:p>
        </w:tc>
        <w:tc>
          <w:tcPr>
            <w:tcW w:w="564" w:type="pct"/>
            <w:tcBorders>
              <w:top w:val="nil"/>
              <w:left w:val="nil"/>
              <w:bottom w:val="nil"/>
              <w:right w:val="nil"/>
            </w:tcBorders>
            <w:shd w:val="clear" w:color="auto" w:fill="auto"/>
            <w:vAlign w:val="bottom"/>
          </w:tcPr>
          <w:p w14:paraId="55AEA79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142,675</w:t>
            </w:r>
          </w:p>
        </w:tc>
      </w:tr>
      <w:tr w:rsidR="00587444" w:rsidRPr="00587444" w14:paraId="2BB44F52" w14:textId="77777777" w:rsidTr="00DD69E7">
        <w:trPr>
          <w:trHeight w:hRule="exact" w:val="275"/>
        </w:trPr>
        <w:tc>
          <w:tcPr>
            <w:tcW w:w="1642" w:type="pct"/>
            <w:vAlign w:val="bottom"/>
          </w:tcPr>
          <w:p w14:paraId="3A209727" w14:textId="77777777" w:rsidR="00587444" w:rsidRPr="00587444" w:rsidRDefault="00587444" w:rsidP="00587444">
            <w:pPr>
              <w:tabs>
                <w:tab w:val="right" w:pos="1202"/>
              </w:tabs>
              <w:suppressAutoHyphens w:val="0"/>
              <w:autoSpaceDN/>
              <w:spacing w:line="200" w:lineRule="exact"/>
              <w:outlineLvl w:val="0"/>
              <w:rPr>
                <w:rFonts w:ascii="Arial" w:hAnsi="Arial" w:cs="Arial"/>
                <w:sz w:val="17"/>
                <w:szCs w:val="17"/>
              </w:rPr>
            </w:pPr>
            <w:bookmarkStart w:id="1224" w:name="_Toc4062272"/>
            <w:r w:rsidRPr="00587444">
              <w:rPr>
                <w:rFonts w:ascii="Arial" w:hAnsi="Arial" w:cs="Arial"/>
                <w:spacing w:val="-2"/>
                <w:sz w:val="17"/>
                <w:szCs w:val="17"/>
              </w:rPr>
              <w:t>Other liabilities</w:t>
            </w:r>
            <w:bookmarkEnd w:id="1224"/>
            <w:r w:rsidRPr="00587444">
              <w:rPr>
                <w:rFonts w:ascii="Arial" w:hAnsi="Arial" w:cs="Arial"/>
                <w:spacing w:val="-2"/>
                <w:sz w:val="17"/>
                <w:szCs w:val="17"/>
              </w:rPr>
              <w:t xml:space="preserve"> </w:t>
            </w:r>
          </w:p>
        </w:tc>
        <w:tc>
          <w:tcPr>
            <w:tcW w:w="507" w:type="pct"/>
            <w:tcBorders>
              <w:top w:val="nil"/>
              <w:left w:val="nil"/>
              <w:bottom w:val="nil"/>
              <w:right w:val="nil"/>
            </w:tcBorders>
            <w:shd w:val="clear" w:color="auto" w:fill="auto"/>
            <w:vAlign w:val="bottom"/>
          </w:tcPr>
          <w:p w14:paraId="0F537E5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476,376 </w:t>
            </w:r>
          </w:p>
        </w:tc>
        <w:tc>
          <w:tcPr>
            <w:tcW w:w="552" w:type="pct"/>
            <w:tcBorders>
              <w:top w:val="nil"/>
              <w:left w:val="nil"/>
              <w:bottom w:val="nil"/>
              <w:right w:val="nil"/>
            </w:tcBorders>
            <w:shd w:val="clear" w:color="auto" w:fill="auto"/>
            <w:vAlign w:val="bottom"/>
          </w:tcPr>
          <w:p w14:paraId="1121F0C0"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12,371 </w:t>
            </w:r>
          </w:p>
        </w:tc>
        <w:tc>
          <w:tcPr>
            <w:tcW w:w="590" w:type="pct"/>
            <w:tcBorders>
              <w:top w:val="nil"/>
              <w:left w:val="nil"/>
              <w:bottom w:val="nil"/>
              <w:right w:val="nil"/>
            </w:tcBorders>
            <w:shd w:val="clear" w:color="auto" w:fill="auto"/>
            <w:vAlign w:val="bottom"/>
          </w:tcPr>
          <w:p w14:paraId="5E1DAADF"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45,479 </w:t>
            </w:r>
          </w:p>
        </w:tc>
        <w:tc>
          <w:tcPr>
            <w:tcW w:w="572" w:type="pct"/>
            <w:tcBorders>
              <w:top w:val="nil"/>
              <w:left w:val="nil"/>
              <w:bottom w:val="nil"/>
              <w:right w:val="nil"/>
            </w:tcBorders>
            <w:shd w:val="clear" w:color="auto" w:fill="auto"/>
            <w:vAlign w:val="bottom"/>
          </w:tcPr>
          <w:p w14:paraId="333124E6"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82,569 </w:t>
            </w:r>
          </w:p>
        </w:tc>
        <w:tc>
          <w:tcPr>
            <w:tcW w:w="573" w:type="pct"/>
            <w:tcBorders>
              <w:top w:val="nil"/>
              <w:left w:val="nil"/>
              <w:bottom w:val="nil"/>
              <w:right w:val="nil"/>
            </w:tcBorders>
            <w:shd w:val="clear" w:color="auto" w:fill="auto"/>
            <w:vAlign w:val="bottom"/>
          </w:tcPr>
          <w:p w14:paraId="7F615701"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36,338 </w:t>
            </w:r>
          </w:p>
        </w:tc>
        <w:tc>
          <w:tcPr>
            <w:tcW w:w="564" w:type="pct"/>
            <w:tcBorders>
              <w:top w:val="nil"/>
              <w:left w:val="nil"/>
              <w:bottom w:val="nil"/>
              <w:right w:val="nil"/>
            </w:tcBorders>
            <w:shd w:val="clear" w:color="auto" w:fill="auto"/>
            <w:vAlign w:val="bottom"/>
          </w:tcPr>
          <w:p w14:paraId="5453BE31"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653,133</w:t>
            </w:r>
          </w:p>
        </w:tc>
      </w:tr>
      <w:tr w:rsidR="00587444" w:rsidRPr="00587444" w14:paraId="4006AA8D" w14:textId="77777777" w:rsidTr="00DD69E7">
        <w:trPr>
          <w:trHeight w:hRule="exact" w:val="275"/>
        </w:trPr>
        <w:tc>
          <w:tcPr>
            <w:tcW w:w="1642" w:type="pct"/>
            <w:vAlign w:val="bottom"/>
          </w:tcPr>
          <w:p w14:paraId="3F53B762"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z w:val="17"/>
                <w:szCs w:val="17"/>
              </w:rPr>
            </w:pPr>
            <w:bookmarkStart w:id="1225" w:name="_Toc4062279"/>
            <w:r w:rsidRPr="00587444">
              <w:rPr>
                <w:rFonts w:ascii="Arial" w:eastAsia="Calibri" w:hAnsi="Arial" w:cs="Arial"/>
                <w:b/>
                <w:bCs/>
                <w:sz w:val="17"/>
                <w:szCs w:val="17"/>
              </w:rPr>
              <w:t>Total liabilities</w:t>
            </w:r>
            <w:bookmarkEnd w:id="1225"/>
          </w:p>
        </w:tc>
        <w:tc>
          <w:tcPr>
            <w:tcW w:w="507" w:type="pct"/>
            <w:tcBorders>
              <w:top w:val="single" w:sz="8" w:space="0" w:color="auto"/>
              <w:left w:val="nil"/>
              <w:bottom w:val="single" w:sz="8" w:space="0" w:color="auto"/>
              <w:right w:val="nil"/>
            </w:tcBorders>
            <w:shd w:val="clear" w:color="auto" w:fill="auto"/>
            <w:vAlign w:val="bottom"/>
          </w:tcPr>
          <w:p w14:paraId="09AF0618"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1,874,729</w:t>
            </w:r>
          </w:p>
        </w:tc>
        <w:tc>
          <w:tcPr>
            <w:tcW w:w="552" w:type="pct"/>
            <w:tcBorders>
              <w:top w:val="single" w:sz="8" w:space="0" w:color="auto"/>
              <w:left w:val="nil"/>
              <w:bottom w:val="single" w:sz="8" w:space="0" w:color="auto"/>
              <w:right w:val="nil"/>
            </w:tcBorders>
            <w:shd w:val="clear" w:color="auto" w:fill="auto"/>
            <w:vAlign w:val="bottom"/>
          </w:tcPr>
          <w:p w14:paraId="1A8971E1"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353,944</w:t>
            </w:r>
          </w:p>
        </w:tc>
        <w:tc>
          <w:tcPr>
            <w:tcW w:w="590" w:type="pct"/>
            <w:tcBorders>
              <w:top w:val="single" w:sz="8" w:space="0" w:color="auto"/>
              <w:left w:val="nil"/>
              <w:bottom w:val="single" w:sz="8" w:space="0" w:color="auto"/>
              <w:right w:val="nil"/>
            </w:tcBorders>
            <w:shd w:val="clear" w:color="auto" w:fill="auto"/>
            <w:vAlign w:val="bottom"/>
          </w:tcPr>
          <w:p w14:paraId="25E29031"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3,420,167</w:t>
            </w:r>
          </w:p>
        </w:tc>
        <w:tc>
          <w:tcPr>
            <w:tcW w:w="572" w:type="pct"/>
            <w:tcBorders>
              <w:top w:val="single" w:sz="8" w:space="0" w:color="auto"/>
              <w:left w:val="nil"/>
              <w:bottom w:val="single" w:sz="8" w:space="0" w:color="auto"/>
              <w:right w:val="nil"/>
            </w:tcBorders>
            <w:shd w:val="clear" w:color="auto" w:fill="auto"/>
            <w:vAlign w:val="bottom"/>
          </w:tcPr>
          <w:p w14:paraId="7FC27E4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5,467,517</w:t>
            </w:r>
          </w:p>
        </w:tc>
        <w:tc>
          <w:tcPr>
            <w:tcW w:w="573" w:type="pct"/>
            <w:tcBorders>
              <w:top w:val="single" w:sz="8" w:space="0" w:color="auto"/>
              <w:left w:val="nil"/>
              <w:bottom w:val="single" w:sz="8" w:space="0" w:color="auto"/>
              <w:right w:val="nil"/>
            </w:tcBorders>
            <w:shd w:val="clear" w:color="auto" w:fill="auto"/>
            <w:vAlign w:val="bottom"/>
          </w:tcPr>
          <w:p w14:paraId="6372E811"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7,205,350</w:t>
            </w:r>
          </w:p>
        </w:tc>
        <w:tc>
          <w:tcPr>
            <w:tcW w:w="564" w:type="pct"/>
            <w:tcBorders>
              <w:top w:val="single" w:sz="8" w:space="0" w:color="auto"/>
              <w:left w:val="nil"/>
              <w:bottom w:val="single" w:sz="8" w:space="0" w:color="auto"/>
              <w:right w:val="nil"/>
            </w:tcBorders>
            <w:shd w:val="clear" w:color="auto" w:fill="auto"/>
            <w:vAlign w:val="bottom"/>
          </w:tcPr>
          <w:p w14:paraId="4A3DCDA2"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18,321,707</w:t>
            </w:r>
          </w:p>
        </w:tc>
      </w:tr>
      <w:tr w:rsidR="00587444" w:rsidRPr="00587444" w14:paraId="0B0DBD41" w14:textId="77777777" w:rsidTr="00DD69E7">
        <w:trPr>
          <w:trHeight w:hRule="exact" w:val="275"/>
        </w:trPr>
        <w:tc>
          <w:tcPr>
            <w:tcW w:w="1642" w:type="pct"/>
            <w:vAlign w:val="bottom"/>
          </w:tcPr>
          <w:p w14:paraId="5AC9AFDF"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pacing w:val="-2"/>
                <w:sz w:val="17"/>
                <w:szCs w:val="17"/>
              </w:rPr>
            </w:pPr>
            <w:bookmarkStart w:id="1226" w:name="_Toc4062286"/>
            <w:r w:rsidRPr="00587444">
              <w:rPr>
                <w:rFonts w:ascii="Arial" w:eastAsia="Calibri" w:hAnsi="Arial" w:cs="Arial"/>
                <w:b/>
                <w:bCs/>
                <w:spacing w:val="-2"/>
                <w:sz w:val="17"/>
                <w:szCs w:val="17"/>
              </w:rPr>
              <w:t>Liquidity gap</w:t>
            </w:r>
            <w:bookmarkEnd w:id="1226"/>
          </w:p>
        </w:tc>
        <w:tc>
          <w:tcPr>
            <w:tcW w:w="507" w:type="pct"/>
            <w:tcBorders>
              <w:top w:val="single" w:sz="12" w:space="0" w:color="auto"/>
              <w:left w:val="nil"/>
              <w:bottom w:val="single" w:sz="12" w:space="0" w:color="auto"/>
              <w:right w:val="nil"/>
            </w:tcBorders>
            <w:shd w:val="clear" w:color="auto" w:fill="auto"/>
            <w:vAlign w:val="bottom"/>
          </w:tcPr>
          <w:p w14:paraId="066CF740"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587444">
              <w:rPr>
                <w:rFonts w:ascii="Arial" w:hAnsi="Arial" w:cs="Arial"/>
                <w:b/>
                <w:bCs/>
                <w:color w:val="000000"/>
                <w:sz w:val="17"/>
                <w:szCs w:val="17"/>
              </w:rPr>
              <w:t xml:space="preserve">4,284,576 </w:t>
            </w:r>
          </w:p>
        </w:tc>
        <w:tc>
          <w:tcPr>
            <w:tcW w:w="552" w:type="pct"/>
            <w:tcBorders>
              <w:top w:val="single" w:sz="12" w:space="0" w:color="auto"/>
              <w:left w:val="nil"/>
              <w:bottom w:val="single" w:sz="12" w:space="0" w:color="auto"/>
              <w:right w:val="nil"/>
            </w:tcBorders>
            <w:shd w:val="clear" w:color="auto" w:fill="auto"/>
            <w:vAlign w:val="bottom"/>
          </w:tcPr>
          <w:p w14:paraId="1D5601AF"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587444">
              <w:rPr>
                <w:rFonts w:ascii="Arial" w:hAnsi="Arial" w:cs="Arial"/>
                <w:b/>
                <w:bCs/>
                <w:color w:val="000000"/>
                <w:sz w:val="17"/>
                <w:szCs w:val="17"/>
              </w:rPr>
              <w:t xml:space="preserve"> 386,794 </w:t>
            </w:r>
          </w:p>
        </w:tc>
        <w:tc>
          <w:tcPr>
            <w:tcW w:w="590" w:type="pct"/>
            <w:tcBorders>
              <w:top w:val="single" w:sz="12" w:space="0" w:color="auto"/>
              <w:left w:val="nil"/>
              <w:bottom w:val="single" w:sz="12" w:space="0" w:color="auto"/>
              <w:right w:val="nil"/>
            </w:tcBorders>
            <w:shd w:val="clear" w:color="auto" w:fill="auto"/>
            <w:vAlign w:val="bottom"/>
          </w:tcPr>
          <w:p w14:paraId="078B493B"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587444">
              <w:rPr>
                <w:rFonts w:ascii="Arial" w:hAnsi="Arial" w:cs="Arial"/>
                <w:b/>
                <w:bCs/>
                <w:color w:val="000000"/>
                <w:sz w:val="17"/>
                <w:szCs w:val="17"/>
              </w:rPr>
              <w:t xml:space="preserve">(479,256) </w:t>
            </w:r>
          </w:p>
        </w:tc>
        <w:tc>
          <w:tcPr>
            <w:tcW w:w="572" w:type="pct"/>
            <w:tcBorders>
              <w:top w:val="single" w:sz="12" w:space="0" w:color="auto"/>
              <w:left w:val="nil"/>
              <w:bottom w:val="single" w:sz="12" w:space="0" w:color="auto"/>
              <w:right w:val="nil"/>
            </w:tcBorders>
            <w:shd w:val="clear" w:color="auto" w:fill="auto"/>
            <w:vAlign w:val="bottom"/>
          </w:tcPr>
          <w:p w14:paraId="058507D2"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587444">
              <w:rPr>
                <w:rFonts w:ascii="Arial" w:hAnsi="Arial" w:cs="Arial"/>
                <w:b/>
                <w:bCs/>
                <w:color w:val="000000"/>
                <w:sz w:val="17"/>
                <w:szCs w:val="17"/>
              </w:rPr>
              <w:t xml:space="preserve"> 820,392 </w:t>
            </w:r>
          </w:p>
        </w:tc>
        <w:tc>
          <w:tcPr>
            <w:tcW w:w="573" w:type="pct"/>
            <w:tcBorders>
              <w:top w:val="single" w:sz="12" w:space="0" w:color="auto"/>
              <w:left w:val="nil"/>
              <w:bottom w:val="single" w:sz="12" w:space="0" w:color="auto"/>
              <w:right w:val="nil"/>
            </w:tcBorders>
            <w:shd w:val="clear" w:color="auto" w:fill="auto"/>
            <w:vAlign w:val="bottom"/>
          </w:tcPr>
          <w:p w14:paraId="5B89BD48"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587444">
              <w:rPr>
                <w:rFonts w:ascii="Arial" w:hAnsi="Arial" w:cs="Arial"/>
                <w:b/>
                <w:bCs/>
                <w:color w:val="000000"/>
                <w:sz w:val="17"/>
                <w:szCs w:val="17"/>
              </w:rPr>
              <w:t xml:space="preserve"> 5,698,094 </w:t>
            </w:r>
          </w:p>
        </w:tc>
        <w:tc>
          <w:tcPr>
            <w:tcW w:w="564" w:type="pct"/>
            <w:tcBorders>
              <w:top w:val="single" w:sz="12" w:space="0" w:color="auto"/>
              <w:left w:val="nil"/>
              <w:bottom w:val="single" w:sz="12" w:space="0" w:color="auto"/>
              <w:right w:val="nil"/>
            </w:tcBorders>
            <w:shd w:val="clear" w:color="auto" w:fill="auto"/>
            <w:vAlign w:val="bottom"/>
          </w:tcPr>
          <w:p w14:paraId="4E2F63A0"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587444">
              <w:rPr>
                <w:rFonts w:ascii="Arial" w:hAnsi="Arial" w:cs="Arial"/>
                <w:b/>
                <w:bCs/>
                <w:color w:val="000000"/>
                <w:sz w:val="17"/>
                <w:szCs w:val="17"/>
              </w:rPr>
              <w:t xml:space="preserve">10,710,600 </w:t>
            </w:r>
          </w:p>
        </w:tc>
      </w:tr>
      <w:tr w:rsidR="00587444" w:rsidRPr="00587444" w14:paraId="01B4F6A8" w14:textId="77777777" w:rsidTr="00DD69E7">
        <w:trPr>
          <w:trHeight w:hRule="exact" w:val="275"/>
        </w:trPr>
        <w:tc>
          <w:tcPr>
            <w:tcW w:w="1642" w:type="pct"/>
            <w:vAlign w:val="bottom"/>
          </w:tcPr>
          <w:p w14:paraId="29222F12"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pacing w:val="-2"/>
                <w:sz w:val="17"/>
                <w:szCs w:val="17"/>
              </w:rPr>
            </w:pPr>
          </w:p>
        </w:tc>
        <w:tc>
          <w:tcPr>
            <w:tcW w:w="507" w:type="pct"/>
            <w:tcBorders>
              <w:top w:val="single" w:sz="12" w:space="0" w:color="auto"/>
              <w:left w:val="nil"/>
              <w:right w:val="nil"/>
            </w:tcBorders>
            <w:shd w:val="clear" w:color="auto" w:fill="auto"/>
            <w:vAlign w:val="bottom"/>
          </w:tcPr>
          <w:p w14:paraId="1F7491D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52" w:type="pct"/>
            <w:tcBorders>
              <w:top w:val="single" w:sz="12" w:space="0" w:color="auto"/>
              <w:left w:val="nil"/>
              <w:right w:val="nil"/>
            </w:tcBorders>
            <w:shd w:val="clear" w:color="auto" w:fill="auto"/>
            <w:vAlign w:val="bottom"/>
          </w:tcPr>
          <w:p w14:paraId="560AD55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90" w:type="pct"/>
            <w:tcBorders>
              <w:top w:val="single" w:sz="12" w:space="0" w:color="auto"/>
              <w:left w:val="nil"/>
              <w:right w:val="nil"/>
            </w:tcBorders>
            <w:shd w:val="clear" w:color="auto" w:fill="auto"/>
            <w:vAlign w:val="bottom"/>
          </w:tcPr>
          <w:p w14:paraId="78A66ED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72" w:type="pct"/>
            <w:tcBorders>
              <w:top w:val="single" w:sz="12" w:space="0" w:color="auto"/>
              <w:left w:val="nil"/>
              <w:right w:val="nil"/>
            </w:tcBorders>
            <w:shd w:val="clear" w:color="auto" w:fill="auto"/>
            <w:vAlign w:val="bottom"/>
          </w:tcPr>
          <w:p w14:paraId="23F66BC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73" w:type="pct"/>
            <w:tcBorders>
              <w:top w:val="single" w:sz="12" w:space="0" w:color="auto"/>
              <w:left w:val="nil"/>
              <w:right w:val="nil"/>
            </w:tcBorders>
            <w:shd w:val="clear" w:color="auto" w:fill="auto"/>
            <w:vAlign w:val="bottom"/>
          </w:tcPr>
          <w:p w14:paraId="3F922E2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64" w:type="pct"/>
            <w:tcBorders>
              <w:top w:val="single" w:sz="12" w:space="0" w:color="auto"/>
              <w:left w:val="nil"/>
              <w:right w:val="nil"/>
            </w:tcBorders>
            <w:shd w:val="clear" w:color="auto" w:fill="auto"/>
            <w:vAlign w:val="bottom"/>
          </w:tcPr>
          <w:p w14:paraId="66024F9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r>
      <w:tr w:rsidR="00587444" w:rsidRPr="00587444" w14:paraId="07AD6B6D" w14:textId="77777777" w:rsidTr="00DD69E7">
        <w:trPr>
          <w:trHeight w:hRule="exact" w:val="275"/>
        </w:trPr>
        <w:tc>
          <w:tcPr>
            <w:tcW w:w="1642" w:type="pct"/>
            <w:vAlign w:val="bottom"/>
          </w:tcPr>
          <w:p w14:paraId="16673C7D"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pacing w:val="-2"/>
                <w:sz w:val="17"/>
                <w:szCs w:val="17"/>
              </w:rPr>
            </w:pPr>
            <w:bookmarkStart w:id="1227" w:name="_Toc4062293"/>
            <w:r w:rsidRPr="00587444">
              <w:rPr>
                <w:rFonts w:ascii="Arial" w:hAnsi="Arial" w:cs="Arial"/>
                <w:b/>
                <w:bCs/>
                <w:spacing w:val="-2"/>
                <w:sz w:val="17"/>
                <w:szCs w:val="17"/>
              </w:rPr>
              <w:t>Guarantees and commitments</w:t>
            </w:r>
            <w:bookmarkEnd w:id="1227"/>
          </w:p>
        </w:tc>
        <w:tc>
          <w:tcPr>
            <w:tcW w:w="507" w:type="pct"/>
            <w:tcBorders>
              <w:top w:val="nil"/>
              <w:left w:val="nil"/>
              <w:bottom w:val="nil"/>
              <w:right w:val="nil"/>
            </w:tcBorders>
            <w:shd w:val="clear" w:color="auto" w:fill="auto"/>
            <w:vAlign w:val="bottom"/>
          </w:tcPr>
          <w:p w14:paraId="1188366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52" w:type="pct"/>
            <w:tcBorders>
              <w:top w:val="nil"/>
              <w:left w:val="nil"/>
              <w:bottom w:val="nil"/>
              <w:right w:val="nil"/>
            </w:tcBorders>
            <w:shd w:val="clear" w:color="auto" w:fill="auto"/>
            <w:vAlign w:val="bottom"/>
          </w:tcPr>
          <w:p w14:paraId="319B86E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90" w:type="pct"/>
            <w:tcBorders>
              <w:top w:val="nil"/>
              <w:left w:val="nil"/>
              <w:bottom w:val="nil"/>
              <w:right w:val="nil"/>
            </w:tcBorders>
            <w:shd w:val="clear" w:color="auto" w:fill="auto"/>
            <w:vAlign w:val="bottom"/>
          </w:tcPr>
          <w:p w14:paraId="369306F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72" w:type="pct"/>
            <w:tcBorders>
              <w:top w:val="nil"/>
              <w:left w:val="nil"/>
              <w:bottom w:val="nil"/>
              <w:right w:val="nil"/>
            </w:tcBorders>
            <w:shd w:val="clear" w:color="auto" w:fill="auto"/>
            <w:vAlign w:val="bottom"/>
          </w:tcPr>
          <w:p w14:paraId="417EEA4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73" w:type="pct"/>
            <w:tcBorders>
              <w:top w:val="nil"/>
              <w:left w:val="nil"/>
              <w:bottom w:val="nil"/>
              <w:right w:val="nil"/>
            </w:tcBorders>
            <w:shd w:val="clear" w:color="auto" w:fill="auto"/>
            <w:vAlign w:val="bottom"/>
          </w:tcPr>
          <w:p w14:paraId="3CEF6B2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64" w:type="pct"/>
            <w:tcBorders>
              <w:top w:val="nil"/>
              <w:left w:val="nil"/>
              <w:bottom w:val="nil"/>
              <w:right w:val="nil"/>
            </w:tcBorders>
            <w:shd w:val="clear" w:color="auto" w:fill="auto"/>
            <w:vAlign w:val="bottom"/>
          </w:tcPr>
          <w:p w14:paraId="47EDC50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r>
      <w:tr w:rsidR="00587444" w:rsidRPr="00587444" w14:paraId="1B362C96" w14:textId="77777777" w:rsidTr="00DD69E7">
        <w:trPr>
          <w:trHeight w:hRule="exact" w:val="275"/>
        </w:trPr>
        <w:tc>
          <w:tcPr>
            <w:tcW w:w="1642" w:type="pct"/>
            <w:vAlign w:val="bottom"/>
          </w:tcPr>
          <w:p w14:paraId="22FEF710"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pacing w:val="-2"/>
                <w:sz w:val="17"/>
                <w:szCs w:val="17"/>
              </w:rPr>
            </w:pPr>
            <w:bookmarkStart w:id="1228" w:name="_Toc4062294"/>
            <w:r w:rsidRPr="00587444">
              <w:rPr>
                <w:rFonts w:ascii="Arial" w:hAnsi="Arial" w:cs="Arial"/>
                <w:spacing w:val="-2"/>
                <w:sz w:val="17"/>
                <w:szCs w:val="17"/>
              </w:rPr>
              <w:t>Guarantees issued in HRK</w:t>
            </w:r>
            <w:bookmarkEnd w:id="1228"/>
          </w:p>
        </w:tc>
        <w:tc>
          <w:tcPr>
            <w:tcW w:w="507" w:type="pct"/>
            <w:tcBorders>
              <w:top w:val="nil"/>
              <w:left w:val="nil"/>
              <w:bottom w:val="nil"/>
              <w:right w:val="nil"/>
            </w:tcBorders>
            <w:shd w:val="clear" w:color="auto" w:fill="auto"/>
            <w:vAlign w:val="bottom"/>
          </w:tcPr>
          <w:p w14:paraId="2A58D8B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115,427 </w:t>
            </w:r>
          </w:p>
        </w:tc>
        <w:tc>
          <w:tcPr>
            <w:tcW w:w="552" w:type="pct"/>
            <w:tcBorders>
              <w:top w:val="nil"/>
              <w:left w:val="nil"/>
              <w:bottom w:val="nil"/>
              <w:right w:val="nil"/>
            </w:tcBorders>
            <w:shd w:val="clear" w:color="auto" w:fill="auto"/>
            <w:vAlign w:val="bottom"/>
          </w:tcPr>
          <w:p w14:paraId="2D7E84E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69BE448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4357AD0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159507E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115C40F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115,427 </w:t>
            </w:r>
          </w:p>
        </w:tc>
      </w:tr>
      <w:tr w:rsidR="00587444" w:rsidRPr="00587444" w14:paraId="09B257FF" w14:textId="77777777" w:rsidTr="00DD69E7">
        <w:trPr>
          <w:trHeight w:hRule="exact" w:val="275"/>
        </w:trPr>
        <w:tc>
          <w:tcPr>
            <w:tcW w:w="1642" w:type="pct"/>
            <w:vAlign w:val="bottom"/>
          </w:tcPr>
          <w:p w14:paraId="085947F1"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pacing w:val="-2"/>
                <w:sz w:val="17"/>
                <w:szCs w:val="17"/>
              </w:rPr>
            </w:pPr>
            <w:bookmarkStart w:id="1229" w:name="_Toc4062301"/>
            <w:r w:rsidRPr="00587444">
              <w:rPr>
                <w:rFonts w:ascii="Arial" w:hAnsi="Arial" w:cs="Arial"/>
                <w:spacing w:val="-2"/>
                <w:sz w:val="17"/>
                <w:szCs w:val="17"/>
              </w:rPr>
              <w:t>Issued guarantees in foreign currency</w:t>
            </w:r>
            <w:bookmarkEnd w:id="1229"/>
          </w:p>
        </w:tc>
        <w:tc>
          <w:tcPr>
            <w:tcW w:w="507" w:type="pct"/>
            <w:tcBorders>
              <w:top w:val="nil"/>
              <w:left w:val="nil"/>
              <w:bottom w:val="nil"/>
              <w:right w:val="nil"/>
            </w:tcBorders>
            <w:shd w:val="clear" w:color="auto" w:fill="auto"/>
            <w:vAlign w:val="bottom"/>
          </w:tcPr>
          <w:p w14:paraId="6429AD0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194,098 </w:t>
            </w:r>
          </w:p>
        </w:tc>
        <w:tc>
          <w:tcPr>
            <w:tcW w:w="552" w:type="pct"/>
            <w:tcBorders>
              <w:top w:val="nil"/>
              <w:left w:val="nil"/>
              <w:bottom w:val="nil"/>
              <w:right w:val="nil"/>
            </w:tcBorders>
            <w:shd w:val="clear" w:color="auto" w:fill="auto"/>
            <w:vAlign w:val="bottom"/>
          </w:tcPr>
          <w:p w14:paraId="2DE00CD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075A1E8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2752DDC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31127A2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2CE5DF4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194,098 </w:t>
            </w:r>
          </w:p>
        </w:tc>
      </w:tr>
      <w:tr w:rsidR="00587444" w:rsidRPr="00587444" w14:paraId="0E2390C8" w14:textId="77777777" w:rsidTr="00DD69E7">
        <w:trPr>
          <w:trHeight w:hRule="exact" w:val="275"/>
        </w:trPr>
        <w:tc>
          <w:tcPr>
            <w:tcW w:w="1642" w:type="pct"/>
            <w:vAlign w:val="bottom"/>
          </w:tcPr>
          <w:p w14:paraId="19E67887" w14:textId="01F40EE4" w:rsidR="00587444" w:rsidRPr="00587444" w:rsidRDefault="00587444" w:rsidP="00587444">
            <w:pPr>
              <w:tabs>
                <w:tab w:val="right" w:pos="1202"/>
              </w:tabs>
              <w:suppressAutoHyphens w:val="0"/>
              <w:autoSpaceDN/>
              <w:spacing w:line="240" w:lineRule="exact"/>
              <w:outlineLvl w:val="0"/>
              <w:rPr>
                <w:rFonts w:ascii="Arial" w:hAnsi="Arial" w:cs="Arial"/>
                <w:spacing w:val="-2"/>
                <w:sz w:val="17"/>
                <w:szCs w:val="17"/>
              </w:rPr>
            </w:pPr>
            <w:r w:rsidRPr="00587444">
              <w:rPr>
                <w:rFonts w:ascii="Arial" w:hAnsi="Arial" w:cs="Arial"/>
                <w:spacing w:val="-2"/>
                <w:sz w:val="17"/>
                <w:szCs w:val="17"/>
              </w:rPr>
              <w:t xml:space="preserve">Open </w:t>
            </w:r>
            <w:r w:rsidR="005D302B" w:rsidRPr="00587444">
              <w:rPr>
                <w:rFonts w:ascii="Arial" w:hAnsi="Arial" w:cs="Arial"/>
                <w:spacing w:val="-2"/>
                <w:sz w:val="17"/>
                <w:szCs w:val="17"/>
              </w:rPr>
              <w:t>letters</w:t>
            </w:r>
            <w:r w:rsidRPr="00587444">
              <w:rPr>
                <w:rFonts w:ascii="Arial" w:hAnsi="Arial" w:cs="Arial"/>
                <w:spacing w:val="-2"/>
                <w:sz w:val="17"/>
                <w:szCs w:val="17"/>
              </w:rPr>
              <w:t xml:space="preserve"> of credit in foreign currency</w:t>
            </w:r>
          </w:p>
        </w:tc>
        <w:tc>
          <w:tcPr>
            <w:tcW w:w="507" w:type="pct"/>
            <w:tcBorders>
              <w:top w:val="nil"/>
              <w:left w:val="nil"/>
              <w:bottom w:val="nil"/>
              <w:right w:val="nil"/>
            </w:tcBorders>
            <w:shd w:val="clear" w:color="auto" w:fill="auto"/>
            <w:vAlign w:val="bottom"/>
          </w:tcPr>
          <w:p w14:paraId="39AA90E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1,243 </w:t>
            </w:r>
          </w:p>
        </w:tc>
        <w:tc>
          <w:tcPr>
            <w:tcW w:w="552" w:type="pct"/>
            <w:tcBorders>
              <w:top w:val="nil"/>
              <w:left w:val="nil"/>
              <w:bottom w:val="nil"/>
              <w:right w:val="nil"/>
            </w:tcBorders>
            <w:shd w:val="clear" w:color="auto" w:fill="auto"/>
            <w:vAlign w:val="bottom"/>
          </w:tcPr>
          <w:p w14:paraId="5F86FC0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587EDB1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15A8506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7520949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7DF07E2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1,243 </w:t>
            </w:r>
          </w:p>
        </w:tc>
      </w:tr>
      <w:tr w:rsidR="00587444" w:rsidRPr="00587444" w14:paraId="2A237682" w14:textId="77777777" w:rsidTr="00DD69E7">
        <w:trPr>
          <w:trHeight w:hRule="exact" w:val="275"/>
        </w:trPr>
        <w:tc>
          <w:tcPr>
            <w:tcW w:w="1642" w:type="pct"/>
            <w:vAlign w:val="bottom"/>
          </w:tcPr>
          <w:p w14:paraId="05760594"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pacing w:val="-2"/>
                <w:sz w:val="17"/>
                <w:szCs w:val="17"/>
              </w:rPr>
            </w:pPr>
            <w:bookmarkStart w:id="1230" w:name="_Toc4062308"/>
            <w:r w:rsidRPr="00587444">
              <w:rPr>
                <w:rFonts w:ascii="Arial" w:hAnsi="Arial" w:cs="Arial"/>
                <w:spacing w:val="-2"/>
                <w:sz w:val="17"/>
                <w:szCs w:val="17"/>
              </w:rPr>
              <w:t>Undrawn loans</w:t>
            </w:r>
            <w:bookmarkEnd w:id="1230"/>
          </w:p>
        </w:tc>
        <w:tc>
          <w:tcPr>
            <w:tcW w:w="507" w:type="pct"/>
            <w:tcBorders>
              <w:top w:val="nil"/>
              <w:left w:val="nil"/>
              <w:bottom w:val="nil"/>
              <w:right w:val="nil"/>
            </w:tcBorders>
            <w:shd w:val="clear" w:color="auto" w:fill="auto"/>
            <w:vAlign w:val="bottom"/>
          </w:tcPr>
          <w:p w14:paraId="1BC0A5B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2,668,118 </w:t>
            </w:r>
          </w:p>
        </w:tc>
        <w:tc>
          <w:tcPr>
            <w:tcW w:w="552" w:type="pct"/>
            <w:tcBorders>
              <w:top w:val="nil"/>
              <w:left w:val="nil"/>
              <w:bottom w:val="nil"/>
              <w:right w:val="nil"/>
            </w:tcBorders>
            <w:shd w:val="clear" w:color="auto" w:fill="auto"/>
            <w:vAlign w:val="bottom"/>
          </w:tcPr>
          <w:p w14:paraId="48A2BBC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260B31D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1682D4F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343046B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3B14DB0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2,668,118 </w:t>
            </w:r>
          </w:p>
        </w:tc>
      </w:tr>
      <w:tr w:rsidR="00587444" w:rsidRPr="00587444" w14:paraId="73E5BE06" w14:textId="77777777" w:rsidTr="00DD69E7">
        <w:trPr>
          <w:trHeight w:hRule="exact" w:val="275"/>
        </w:trPr>
        <w:tc>
          <w:tcPr>
            <w:tcW w:w="1642" w:type="pct"/>
            <w:vAlign w:val="center"/>
          </w:tcPr>
          <w:p w14:paraId="2D862056" w14:textId="77777777" w:rsidR="00587444" w:rsidRPr="00587444" w:rsidRDefault="00587444" w:rsidP="00587444">
            <w:pPr>
              <w:tabs>
                <w:tab w:val="right" w:pos="1202"/>
              </w:tabs>
              <w:suppressAutoHyphens w:val="0"/>
              <w:autoSpaceDN/>
              <w:spacing w:line="240" w:lineRule="exact"/>
              <w:outlineLvl w:val="0"/>
              <w:rPr>
                <w:rFonts w:ascii="Arial" w:hAnsi="Arial" w:cs="Arial"/>
                <w:spacing w:val="-2"/>
                <w:sz w:val="17"/>
                <w:szCs w:val="17"/>
              </w:rPr>
            </w:pPr>
            <w:bookmarkStart w:id="1231" w:name="_Toc4062315"/>
            <w:r w:rsidRPr="00587444">
              <w:rPr>
                <w:rFonts w:ascii="Arial" w:hAnsi="Arial" w:cs="Arial"/>
                <w:sz w:val="17"/>
                <w:szCs w:val="17"/>
              </w:rPr>
              <w:t>EIF – subscribed, not called up capital</w:t>
            </w:r>
            <w:bookmarkEnd w:id="1231"/>
          </w:p>
        </w:tc>
        <w:tc>
          <w:tcPr>
            <w:tcW w:w="507" w:type="pct"/>
            <w:tcBorders>
              <w:top w:val="nil"/>
              <w:left w:val="nil"/>
              <w:bottom w:val="nil"/>
              <w:right w:val="nil"/>
            </w:tcBorders>
            <w:shd w:val="clear" w:color="auto" w:fill="auto"/>
            <w:vAlign w:val="bottom"/>
          </w:tcPr>
          <w:p w14:paraId="0D93452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78,358 </w:t>
            </w:r>
          </w:p>
        </w:tc>
        <w:tc>
          <w:tcPr>
            <w:tcW w:w="552" w:type="pct"/>
            <w:tcBorders>
              <w:top w:val="nil"/>
              <w:left w:val="nil"/>
              <w:bottom w:val="nil"/>
              <w:right w:val="nil"/>
            </w:tcBorders>
            <w:shd w:val="clear" w:color="auto" w:fill="auto"/>
            <w:vAlign w:val="bottom"/>
          </w:tcPr>
          <w:p w14:paraId="65D1C98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3C2E303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52FD845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62CA612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08FD2E4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78,358 </w:t>
            </w:r>
          </w:p>
        </w:tc>
      </w:tr>
      <w:tr w:rsidR="00587444" w:rsidRPr="00587444" w14:paraId="0765A20E" w14:textId="77777777" w:rsidTr="00DD69E7">
        <w:trPr>
          <w:trHeight w:hRule="exact" w:val="218"/>
        </w:trPr>
        <w:tc>
          <w:tcPr>
            <w:tcW w:w="1642" w:type="pct"/>
            <w:tcBorders>
              <w:top w:val="nil"/>
              <w:left w:val="nil"/>
              <w:bottom w:val="nil"/>
              <w:right w:val="nil"/>
            </w:tcBorders>
            <w:shd w:val="clear" w:color="auto" w:fill="auto"/>
            <w:vAlign w:val="bottom"/>
          </w:tcPr>
          <w:p w14:paraId="4FB7D0A8"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highlight w:val="yellow"/>
              </w:rPr>
            </w:pPr>
            <w:r w:rsidRPr="00587444">
              <w:rPr>
                <w:rFonts w:ascii="Arial" w:hAnsi="Arial" w:cs="Arial"/>
                <w:color w:val="000000"/>
                <w:sz w:val="17"/>
                <w:szCs w:val="17"/>
                <w:lang w:val="en-GB"/>
              </w:rPr>
              <w:t>EIF CROGIP Contracted Liability</w:t>
            </w:r>
          </w:p>
        </w:tc>
        <w:tc>
          <w:tcPr>
            <w:tcW w:w="507" w:type="pct"/>
            <w:tcBorders>
              <w:top w:val="nil"/>
              <w:left w:val="nil"/>
              <w:bottom w:val="nil"/>
              <w:right w:val="nil"/>
            </w:tcBorders>
            <w:shd w:val="clear" w:color="auto" w:fill="auto"/>
            <w:vAlign w:val="bottom"/>
          </w:tcPr>
          <w:p w14:paraId="59CCAD3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52" w:type="pct"/>
            <w:tcBorders>
              <w:top w:val="nil"/>
              <w:left w:val="nil"/>
              <w:bottom w:val="nil"/>
              <w:right w:val="nil"/>
            </w:tcBorders>
            <w:shd w:val="clear" w:color="auto" w:fill="auto"/>
            <w:vAlign w:val="bottom"/>
          </w:tcPr>
          <w:p w14:paraId="1C1D542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lang w:val="hr-HR"/>
              </w:rPr>
            </w:pPr>
            <w:r w:rsidRPr="00587444">
              <w:rPr>
                <w:rFonts w:ascii="Arial" w:hAnsi="Arial" w:cs="Arial"/>
                <w:color w:val="000000"/>
                <w:sz w:val="17"/>
                <w:szCs w:val="17"/>
              </w:rPr>
              <w:t xml:space="preserve"> 19,328 </w:t>
            </w:r>
          </w:p>
        </w:tc>
        <w:tc>
          <w:tcPr>
            <w:tcW w:w="590" w:type="pct"/>
            <w:tcBorders>
              <w:top w:val="nil"/>
              <w:left w:val="nil"/>
              <w:bottom w:val="nil"/>
              <w:right w:val="nil"/>
            </w:tcBorders>
            <w:shd w:val="clear" w:color="auto" w:fill="auto"/>
            <w:vAlign w:val="bottom"/>
          </w:tcPr>
          <w:p w14:paraId="2C31E86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lang w:val="hr-HR"/>
              </w:rPr>
            </w:pPr>
            <w:r w:rsidRPr="00587444">
              <w:rPr>
                <w:rFonts w:ascii="Arial" w:hAnsi="Arial" w:cs="Arial"/>
                <w:color w:val="000000"/>
                <w:sz w:val="17"/>
                <w:szCs w:val="17"/>
              </w:rPr>
              <w:t xml:space="preserve"> 57,984 </w:t>
            </w:r>
          </w:p>
        </w:tc>
        <w:tc>
          <w:tcPr>
            <w:tcW w:w="572" w:type="pct"/>
            <w:tcBorders>
              <w:top w:val="nil"/>
              <w:left w:val="nil"/>
              <w:bottom w:val="nil"/>
              <w:right w:val="nil"/>
            </w:tcBorders>
            <w:shd w:val="clear" w:color="auto" w:fill="auto"/>
            <w:vAlign w:val="bottom"/>
          </w:tcPr>
          <w:p w14:paraId="11ACC26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lang w:val="hr-HR"/>
              </w:rPr>
            </w:pPr>
            <w:r w:rsidRPr="00587444">
              <w:rPr>
                <w:rFonts w:ascii="Arial" w:hAnsi="Arial" w:cs="Arial"/>
                <w:color w:val="000000"/>
                <w:sz w:val="17"/>
                <w:szCs w:val="17"/>
              </w:rPr>
              <w:t xml:space="preserve"> 106,244 </w:t>
            </w:r>
          </w:p>
        </w:tc>
        <w:tc>
          <w:tcPr>
            <w:tcW w:w="573" w:type="pct"/>
            <w:tcBorders>
              <w:top w:val="nil"/>
              <w:left w:val="nil"/>
              <w:bottom w:val="nil"/>
              <w:right w:val="nil"/>
            </w:tcBorders>
            <w:shd w:val="clear" w:color="auto" w:fill="auto"/>
            <w:vAlign w:val="bottom"/>
          </w:tcPr>
          <w:p w14:paraId="2BA9E7B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lang w:val="hr-HR"/>
              </w:rPr>
            </w:pPr>
            <w:r w:rsidRPr="00587444">
              <w:rPr>
                <w:rFonts w:ascii="Arial" w:hAnsi="Arial" w:cs="Arial"/>
                <w:color w:val="000000"/>
                <w:sz w:val="17"/>
                <w:szCs w:val="17"/>
              </w:rPr>
              <w:t xml:space="preserve"> 89,768 </w:t>
            </w:r>
          </w:p>
        </w:tc>
        <w:tc>
          <w:tcPr>
            <w:tcW w:w="564" w:type="pct"/>
            <w:tcBorders>
              <w:top w:val="nil"/>
              <w:left w:val="nil"/>
              <w:bottom w:val="nil"/>
              <w:right w:val="nil"/>
            </w:tcBorders>
            <w:shd w:val="clear" w:color="auto" w:fill="auto"/>
            <w:vAlign w:val="bottom"/>
          </w:tcPr>
          <w:p w14:paraId="302B479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273,324 </w:t>
            </w:r>
          </w:p>
        </w:tc>
      </w:tr>
      <w:tr w:rsidR="00587444" w:rsidRPr="00587444" w14:paraId="508452EA" w14:textId="77777777" w:rsidTr="00DD69E7">
        <w:trPr>
          <w:trHeight w:hRule="exact" w:val="275"/>
        </w:trPr>
        <w:tc>
          <w:tcPr>
            <w:tcW w:w="1642" w:type="pct"/>
            <w:tcBorders>
              <w:top w:val="nil"/>
              <w:left w:val="nil"/>
              <w:bottom w:val="nil"/>
              <w:right w:val="nil"/>
            </w:tcBorders>
            <w:shd w:val="clear" w:color="auto" w:fill="auto"/>
            <w:vAlign w:val="bottom"/>
          </w:tcPr>
          <w:p w14:paraId="6106A9C8"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highlight w:val="yellow"/>
              </w:rPr>
            </w:pPr>
            <w:r w:rsidRPr="00587444">
              <w:rPr>
                <w:rFonts w:ascii="Arial" w:hAnsi="Arial" w:cs="Arial"/>
                <w:color w:val="000000"/>
                <w:sz w:val="17"/>
                <w:szCs w:val="17"/>
                <w:lang w:val="en-GB"/>
              </w:rPr>
              <w:t>EIF FRC2 Contracted Liability</w:t>
            </w:r>
          </w:p>
        </w:tc>
        <w:tc>
          <w:tcPr>
            <w:tcW w:w="507" w:type="pct"/>
            <w:tcBorders>
              <w:top w:val="nil"/>
              <w:left w:val="nil"/>
              <w:bottom w:val="single" w:sz="8" w:space="0" w:color="auto"/>
              <w:right w:val="nil"/>
            </w:tcBorders>
            <w:shd w:val="clear" w:color="auto" w:fill="auto"/>
            <w:vAlign w:val="bottom"/>
          </w:tcPr>
          <w:p w14:paraId="57AC4E6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366 </w:t>
            </w:r>
          </w:p>
        </w:tc>
        <w:tc>
          <w:tcPr>
            <w:tcW w:w="552" w:type="pct"/>
            <w:tcBorders>
              <w:top w:val="nil"/>
              <w:left w:val="nil"/>
              <w:bottom w:val="single" w:sz="8" w:space="0" w:color="auto"/>
              <w:right w:val="nil"/>
            </w:tcBorders>
            <w:shd w:val="clear" w:color="auto" w:fill="auto"/>
            <w:vAlign w:val="bottom"/>
          </w:tcPr>
          <w:p w14:paraId="08496D3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lang w:val="hr-HR"/>
              </w:rPr>
            </w:pPr>
            <w:r w:rsidRPr="00587444">
              <w:rPr>
                <w:rFonts w:ascii="Arial" w:hAnsi="Arial" w:cs="Arial"/>
                <w:color w:val="000000"/>
                <w:sz w:val="17"/>
                <w:szCs w:val="17"/>
              </w:rPr>
              <w:t xml:space="preserve"> 410 </w:t>
            </w:r>
          </w:p>
        </w:tc>
        <w:tc>
          <w:tcPr>
            <w:tcW w:w="590" w:type="pct"/>
            <w:tcBorders>
              <w:top w:val="nil"/>
              <w:left w:val="nil"/>
              <w:bottom w:val="single" w:sz="8" w:space="0" w:color="auto"/>
              <w:right w:val="nil"/>
            </w:tcBorders>
            <w:shd w:val="clear" w:color="auto" w:fill="auto"/>
            <w:vAlign w:val="bottom"/>
          </w:tcPr>
          <w:p w14:paraId="03F0752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lang w:val="hr-HR"/>
              </w:rPr>
            </w:pPr>
            <w:r w:rsidRPr="00587444">
              <w:rPr>
                <w:rFonts w:ascii="Arial" w:hAnsi="Arial" w:cs="Arial"/>
                <w:color w:val="000000"/>
                <w:sz w:val="17"/>
                <w:szCs w:val="17"/>
              </w:rPr>
              <w:t xml:space="preserve"> 1,846 </w:t>
            </w:r>
          </w:p>
        </w:tc>
        <w:tc>
          <w:tcPr>
            <w:tcW w:w="572" w:type="pct"/>
            <w:tcBorders>
              <w:top w:val="nil"/>
              <w:left w:val="nil"/>
              <w:bottom w:val="single" w:sz="8" w:space="0" w:color="auto"/>
              <w:right w:val="nil"/>
            </w:tcBorders>
            <w:shd w:val="clear" w:color="auto" w:fill="auto"/>
            <w:vAlign w:val="bottom"/>
          </w:tcPr>
          <w:p w14:paraId="3ACA672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lang w:val="hr-HR"/>
              </w:rPr>
            </w:pPr>
            <w:r w:rsidRPr="00587444">
              <w:rPr>
                <w:rFonts w:ascii="Arial" w:hAnsi="Arial" w:cs="Arial"/>
                <w:color w:val="000000"/>
                <w:sz w:val="17"/>
                <w:szCs w:val="17"/>
              </w:rPr>
              <w:t xml:space="preserve"> 294 </w:t>
            </w:r>
          </w:p>
        </w:tc>
        <w:tc>
          <w:tcPr>
            <w:tcW w:w="573" w:type="pct"/>
            <w:tcBorders>
              <w:top w:val="nil"/>
              <w:left w:val="nil"/>
              <w:bottom w:val="single" w:sz="8" w:space="0" w:color="auto"/>
              <w:right w:val="nil"/>
            </w:tcBorders>
            <w:shd w:val="clear" w:color="auto" w:fill="auto"/>
            <w:vAlign w:val="bottom"/>
          </w:tcPr>
          <w:p w14:paraId="01E3254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lang w:val="hr-HR"/>
              </w:rPr>
            </w:pPr>
            <w:r w:rsidRPr="00587444">
              <w:rPr>
                <w:rFonts w:ascii="Arial" w:hAnsi="Arial" w:cs="Arial"/>
                <w:color w:val="000000"/>
                <w:sz w:val="17"/>
                <w:szCs w:val="17"/>
              </w:rPr>
              <w:t xml:space="preserve"> 121 </w:t>
            </w:r>
          </w:p>
        </w:tc>
        <w:tc>
          <w:tcPr>
            <w:tcW w:w="564" w:type="pct"/>
            <w:tcBorders>
              <w:top w:val="nil"/>
              <w:left w:val="nil"/>
              <w:bottom w:val="single" w:sz="8" w:space="0" w:color="auto"/>
              <w:right w:val="nil"/>
            </w:tcBorders>
            <w:shd w:val="clear" w:color="auto" w:fill="auto"/>
            <w:vAlign w:val="bottom"/>
          </w:tcPr>
          <w:p w14:paraId="021A92F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3,037 </w:t>
            </w:r>
          </w:p>
        </w:tc>
      </w:tr>
      <w:tr w:rsidR="00587444" w:rsidRPr="00587444" w14:paraId="75A4AEB8" w14:textId="77777777" w:rsidTr="00DD69E7">
        <w:trPr>
          <w:trHeight w:hRule="exact" w:val="275"/>
        </w:trPr>
        <w:tc>
          <w:tcPr>
            <w:tcW w:w="1642" w:type="pct"/>
            <w:vAlign w:val="center"/>
          </w:tcPr>
          <w:p w14:paraId="7F6DB54A"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pacing w:val="-2"/>
                <w:sz w:val="17"/>
                <w:szCs w:val="17"/>
              </w:rPr>
            </w:pPr>
            <w:bookmarkStart w:id="1232" w:name="_Toc4062329"/>
            <w:r w:rsidRPr="00587444">
              <w:rPr>
                <w:rFonts w:ascii="Arial" w:hAnsi="Arial" w:cs="Arial"/>
                <w:b/>
                <w:bCs/>
                <w:spacing w:val="-2"/>
                <w:sz w:val="17"/>
                <w:szCs w:val="17"/>
              </w:rPr>
              <w:t>Total guarantees and commitments</w:t>
            </w:r>
            <w:bookmarkEnd w:id="1232"/>
          </w:p>
        </w:tc>
        <w:tc>
          <w:tcPr>
            <w:tcW w:w="507" w:type="pct"/>
            <w:tcBorders>
              <w:top w:val="single" w:sz="8" w:space="0" w:color="auto"/>
              <w:left w:val="nil"/>
              <w:bottom w:val="single" w:sz="12" w:space="0" w:color="auto"/>
              <w:right w:val="nil"/>
            </w:tcBorders>
            <w:shd w:val="clear" w:color="auto" w:fill="auto"/>
            <w:vAlign w:val="bottom"/>
          </w:tcPr>
          <w:p w14:paraId="2ED0CBB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color w:val="000000"/>
                <w:sz w:val="17"/>
                <w:szCs w:val="17"/>
              </w:rPr>
            </w:pPr>
            <w:r w:rsidRPr="00587444">
              <w:rPr>
                <w:rFonts w:ascii="Arial" w:hAnsi="Arial" w:cs="Arial"/>
                <w:b/>
                <w:bCs/>
                <w:color w:val="000000"/>
                <w:sz w:val="17"/>
                <w:szCs w:val="17"/>
              </w:rPr>
              <w:t xml:space="preserve">3,057,610 </w:t>
            </w:r>
          </w:p>
        </w:tc>
        <w:tc>
          <w:tcPr>
            <w:tcW w:w="552" w:type="pct"/>
            <w:tcBorders>
              <w:top w:val="single" w:sz="8" w:space="0" w:color="auto"/>
              <w:left w:val="nil"/>
              <w:bottom w:val="single" w:sz="12" w:space="0" w:color="auto"/>
              <w:right w:val="nil"/>
            </w:tcBorders>
            <w:shd w:val="clear" w:color="auto" w:fill="auto"/>
            <w:vAlign w:val="bottom"/>
          </w:tcPr>
          <w:p w14:paraId="1B244B2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color w:val="000000"/>
                <w:sz w:val="17"/>
                <w:szCs w:val="17"/>
              </w:rPr>
            </w:pPr>
            <w:r w:rsidRPr="00587444">
              <w:rPr>
                <w:rFonts w:ascii="Arial" w:hAnsi="Arial" w:cs="Arial"/>
                <w:b/>
                <w:bCs/>
                <w:color w:val="000000"/>
                <w:sz w:val="17"/>
                <w:szCs w:val="17"/>
              </w:rPr>
              <w:t xml:space="preserve"> 19,738 </w:t>
            </w:r>
          </w:p>
        </w:tc>
        <w:tc>
          <w:tcPr>
            <w:tcW w:w="590" w:type="pct"/>
            <w:tcBorders>
              <w:top w:val="single" w:sz="8" w:space="0" w:color="auto"/>
              <w:left w:val="nil"/>
              <w:bottom w:val="single" w:sz="12" w:space="0" w:color="auto"/>
              <w:right w:val="nil"/>
            </w:tcBorders>
            <w:shd w:val="clear" w:color="auto" w:fill="auto"/>
            <w:vAlign w:val="bottom"/>
          </w:tcPr>
          <w:p w14:paraId="5A63F3E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color w:val="000000"/>
                <w:sz w:val="17"/>
                <w:szCs w:val="17"/>
              </w:rPr>
            </w:pPr>
            <w:r w:rsidRPr="00587444">
              <w:rPr>
                <w:rFonts w:ascii="Arial" w:hAnsi="Arial" w:cs="Arial"/>
                <w:b/>
                <w:bCs/>
                <w:color w:val="000000"/>
                <w:sz w:val="17"/>
                <w:szCs w:val="17"/>
              </w:rPr>
              <w:t xml:space="preserve"> 59,830 </w:t>
            </w:r>
          </w:p>
        </w:tc>
        <w:tc>
          <w:tcPr>
            <w:tcW w:w="572" w:type="pct"/>
            <w:tcBorders>
              <w:top w:val="single" w:sz="8" w:space="0" w:color="auto"/>
              <w:left w:val="nil"/>
              <w:bottom w:val="single" w:sz="12" w:space="0" w:color="auto"/>
              <w:right w:val="nil"/>
            </w:tcBorders>
            <w:shd w:val="clear" w:color="auto" w:fill="auto"/>
            <w:vAlign w:val="bottom"/>
          </w:tcPr>
          <w:p w14:paraId="4791C65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color w:val="000000"/>
                <w:sz w:val="17"/>
                <w:szCs w:val="17"/>
              </w:rPr>
            </w:pPr>
            <w:r w:rsidRPr="00587444">
              <w:rPr>
                <w:rFonts w:ascii="Arial" w:hAnsi="Arial" w:cs="Arial"/>
                <w:b/>
                <w:bCs/>
                <w:color w:val="000000"/>
                <w:sz w:val="17"/>
                <w:szCs w:val="17"/>
              </w:rPr>
              <w:t xml:space="preserve"> 106,538 </w:t>
            </w:r>
          </w:p>
        </w:tc>
        <w:tc>
          <w:tcPr>
            <w:tcW w:w="573" w:type="pct"/>
            <w:tcBorders>
              <w:top w:val="single" w:sz="8" w:space="0" w:color="auto"/>
              <w:left w:val="nil"/>
              <w:bottom w:val="single" w:sz="12" w:space="0" w:color="auto"/>
              <w:right w:val="nil"/>
            </w:tcBorders>
            <w:shd w:val="clear" w:color="auto" w:fill="auto"/>
            <w:vAlign w:val="bottom"/>
          </w:tcPr>
          <w:p w14:paraId="3E73632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color w:val="000000"/>
                <w:sz w:val="17"/>
                <w:szCs w:val="17"/>
              </w:rPr>
            </w:pPr>
            <w:r w:rsidRPr="00587444">
              <w:rPr>
                <w:rFonts w:ascii="Arial" w:hAnsi="Arial" w:cs="Arial"/>
                <w:b/>
                <w:bCs/>
                <w:color w:val="000000"/>
                <w:sz w:val="17"/>
                <w:szCs w:val="17"/>
              </w:rPr>
              <w:t xml:space="preserve"> 89,889 </w:t>
            </w:r>
          </w:p>
        </w:tc>
        <w:tc>
          <w:tcPr>
            <w:tcW w:w="564" w:type="pct"/>
            <w:tcBorders>
              <w:top w:val="single" w:sz="8" w:space="0" w:color="auto"/>
              <w:left w:val="nil"/>
              <w:bottom w:val="single" w:sz="12" w:space="0" w:color="auto"/>
              <w:right w:val="nil"/>
            </w:tcBorders>
            <w:shd w:val="clear" w:color="auto" w:fill="auto"/>
            <w:vAlign w:val="bottom"/>
          </w:tcPr>
          <w:p w14:paraId="6BB0B88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color w:val="000000"/>
                <w:sz w:val="17"/>
                <w:szCs w:val="17"/>
              </w:rPr>
            </w:pPr>
            <w:r w:rsidRPr="00587444">
              <w:rPr>
                <w:rFonts w:ascii="Arial" w:hAnsi="Arial" w:cs="Arial"/>
                <w:b/>
                <w:bCs/>
                <w:color w:val="000000"/>
                <w:sz w:val="17"/>
                <w:szCs w:val="17"/>
              </w:rPr>
              <w:t xml:space="preserve"> 3,333,605 </w:t>
            </w:r>
          </w:p>
        </w:tc>
      </w:tr>
    </w:tbl>
    <w:p w14:paraId="49CFBD5B" w14:textId="77777777" w:rsidR="00587444" w:rsidRPr="00356C4F" w:rsidRDefault="00587444" w:rsidP="00587444">
      <w:pPr>
        <w:suppressAutoHyphens w:val="0"/>
        <w:autoSpaceDN/>
        <w:jc w:val="both"/>
        <w:rPr>
          <w:rFonts w:ascii="Arial" w:hAnsi="Arial" w:cs="Arial"/>
          <w:bCs/>
          <w:sz w:val="18"/>
          <w:szCs w:val="18"/>
        </w:rPr>
      </w:pPr>
    </w:p>
    <w:p w14:paraId="41A03748" w14:textId="77777777" w:rsidR="00587444" w:rsidRPr="00356C4F" w:rsidRDefault="00587444" w:rsidP="00587444">
      <w:pPr>
        <w:suppressAutoHyphens w:val="0"/>
        <w:autoSpaceDN/>
        <w:jc w:val="both"/>
        <w:rPr>
          <w:rFonts w:ascii="Arial" w:hAnsi="Arial" w:cs="Arial"/>
          <w:bCs/>
          <w:sz w:val="18"/>
          <w:szCs w:val="18"/>
        </w:rPr>
      </w:pPr>
      <w:r w:rsidRPr="00356C4F">
        <w:rPr>
          <w:rFonts w:ascii="Arial" w:hAnsi="Arial" w:cs="Arial"/>
          <w:bCs/>
          <w:sz w:val="18"/>
          <w:szCs w:val="18"/>
        </w:rPr>
        <w:t>The items with undefined maturity are included in terms over 3 years.</w:t>
      </w:r>
    </w:p>
    <w:p w14:paraId="3A759C39" w14:textId="77777777" w:rsidR="00587444" w:rsidRPr="00356C4F" w:rsidRDefault="00587444" w:rsidP="00587444">
      <w:pPr>
        <w:suppressAutoHyphens w:val="0"/>
        <w:autoSpaceDN/>
        <w:jc w:val="both"/>
        <w:rPr>
          <w:rFonts w:ascii="Arial" w:hAnsi="Arial" w:cs="Arial"/>
          <w:i/>
          <w:sz w:val="18"/>
          <w:szCs w:val="18"/>
        </w:rPr>
      </w:pPr>
    </w:p>
    <w:p w14:paraId="4CF71318" w14:textId="77777777" w:rsidR="00587444" w:rsidRPr="00356C4F" w:rsidRDefault="00587444" w:rsidP="00F36511">
      <w:pPr>
        <w:suppressAutoHyphens w:val="0"/>
        <w:autoSpaceDN/>
        <w:rPr>
          <w:rFonts w:ascii="Arial" w:hAnsi="Arial" w:cs="Arial"/>
          <w:bCs/>
          <w:sz w:val="18"/>
          <w:szCs w:val="18"/>
          <w:lang w:val="en-GB"/>
        </w:rPr>
        <w:sectPr w:rsidR="00587444" w:rsidRPr="00356C4F" w:rsidSect="00DD69E7">
          <w:footerReference w:type="default" r:id="rId93"/>
          <w:pgSz w:w="11907" w:h="16840" w:code="9"/>
          <w:pgMar w:top="1418" w:right="1134" w:bottom="1134" w:left="1418" w:header="851" w:footer="851" w:gutter="0"/>
          <w:cols w:space="720"/>
          <w:noEndnote/>
        </w:sectPr>
      </w:pPr>
      <w:r w:rsidRPr="00356C4F">
        <w:rPr>
          <w:rFonts w:ascii="Arial" w:eastAsia="Calibri" w:hAnsi="Arial" w:cs="Arial"/>
          <w:i/>
          <w:iCs/>
          <w:sz w:val="18"/>
          <w:szCs w:val="18"/>
        </w:rPr>
        <w:t>* Accrued interest on loans not yet due is allocated to the category from 1 to 3 months.</w:t>
      </w:r>
      <w:r w:rsidRPr="00356C4F">
        <w:rPr>
          <w:rFonts w:ascii="Arial" w:hAnsi="Arial" w:cs="Arial"/>
          <w:i/>
          <w:sz w:val="18"/>
          <w:szCs w:val="18"/>
          <w:lang w:val="en-GB"/>
        </w:rPr>
        <w:t xml:space="preserve"> </w:t>
      </w:r>
    </w:p>
    <w:p w14:paraId="3DA45822" w14:textId="77777777" w:rsidR="00587444" w:rsidRPr="00587444" w:rsidRDefault="00587444" w:rsidP="00587444">
      <w:pPr>
        <w:suppressAutoHyphens w:val="0"/>
        <w:autoSpaceDN/>
        <w:jc w:val="both"/>
        <w:rPr>
          <w:rFonts w:ascii="Arial" w:hAnsi="Arial" w:cs="Arial"/>
          <w:b/>
          <w:bCs/>
          <w:sz w:val="20"/>
          <w:szCs w:val="20"/>
          <w:lang w:val="en-GB"/>
        </w:rPr>
      </w:pPr>
    </w:p>
    <w:p w14:paraId="64D5F714"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7F74953A" w14:textId="77777777" w:rsidR="00587444" w:rsidRPr="00587444" w:rsidRDefault="00587444" w:rsidP="00587444">
      <w:pPr>
        <w:suppressAutoHyphens w:val="0"/>
        <w:autoSpaceDN/>
        <w:jc w:val="both"/>
        <w:rPr>
          <w:rFonts w:ascii="Arial" w:hAnsi="Arial" w:cs="Arial"/>
          <w:b/>
          <w:sz w:val="20"/>
          <w:szCs w:val="20"/>
          <w:lang w:val="en-GB"/>
        </w:rPr>
      </w:pPr>
    </w:p>
    <w:p w14:paraId="368DBF8B"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31.4. </w:t>
      </w:r>
      <w:r w:rsidRPr="00587444">
        <w:rPr>
          <w:rFonts w:ascii="Arial" w:hAnsi="Arial" w:cs="Arial"/>
          <w:b/>
          <w:sz w:val="20"/>
          <w:szCs w:val="20"/>
          <w:lang w:val="en-GB"/>
        </w:rPr>
        <w:tab/>
        <w:t>Liquidity risk (continued)</w:t>
      </w:r>
    </w:p>
    <w:p w14:paraId="76F9F981" w14:textId="77777777" w:rsidR="00587444" w:rsidRPr="00587444" w:rsidRDefault="00587444" w:rsidP="00587444">
      <w:pPr>
        <w:suppressAutoHyphens w:val="0"/>
        <w:autoSpaceDN/>
        <w:jc w:val="both"/>
        <w:rPr>
          <w:rFonts w:ascii="Arial" w:hAnsi="Arial" w:cs="Arial"/>
          <w:b/>
          <w:sz w:val="20"/>
          <w:szCs w:val="20"/>
          <w:lang w:val="en-GB"/>
        </w:rPr>
      </w:pPr>
    </w:p>
    <w:tbl>
      <w:tblPr>
        <w:tblW w:w="5377" w:type="pct"/>
        <w:tblInd w:w="-164" w:type="dxa"/>
        <w:tblLayout w:type="fixed"/>
        <w:tblCellMar>
          <w:left w:w="120" w:type="dxa"/>
          <w:right w:w="120" w:type="dxa"/>
        </w:tblCellMar>
        <w:tblLook w:val="0000" w:firstRow="0" w:lastRow="0" w:firstColumn="0" w:lastColumn="0" w:noHBand="0" w:noVBand="0"/>
      </w:tblPr>
      <w:tblGrid>
        <w:gridCol w:w="3389"/>
        <w:gridCol w:w="1046"/>
        <w:gridCol w:w="1139"/>
        <w:gridCol w:w="1218"/>
        <w:gridCol w:w="1180"/>
        <w:gridCol w:w="1182"/>
        <w:gridCol w:w="1164"/>
      </w:tblGrid>
      <w:tr w:rsidR="00587444" w:rsidRPr="00587444" w14:paraId="1C209C07" w14:textId="77777777" w:rsidTr="00DD69E7">
        <w:trPr>
          <w:trHeight w:hRule="exact" w:val="514"/>
        </w:trPr>
        <w:tc>
          <w:tcPr>
            <w:tcW w:w="1642" w:type="pct"/>
          </w:tcPr>
          <w:p w14:paraId="6EE5CB0A"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sz w:val="17"/>
                <w:szCs w:val="17"/>
              </w:rPr>
            </w:pPr>
            <w:r w:rsidRPr="00587444">
              <w:rPr>
                <w:rFonts w:ascii="Arial" w:eastAsia="Calibri" w:hAnsi="Arial" w:cs="Arial"/>
                <w:b/>
                <w:sz w:val="17"/>
                <w:szCs w:val="17"/>
              </w:rPr>
              <w:t>Bank</w:t>
            </w:r>
          </w:p>
          <w:p w14:paraId="00AB1E2C"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sz w:val="17"/>
                <w:szCs w:val="17"/>
              </w:rPr>
            </w:pPr>
            <w:r w:rsidRPr="00587444">
              <w:rPr>
                <w:rFonts w:ascii="Arial" w:hAnsi="Arial" w:cs="Arial"/>
                <w:b/>
                <w:sz w:val="17"/>
                <w:szCs w:val="17"/>
              </w:rPr>
              <w:t>31 December 2021</w:t>
            </w:r>
          </w:p>
          <w:p w14:paraId="3FB121E0"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sz w:val="17"/>
                <w:szCs w:val="17"/>
              </w:rPr>
            </w:pPr>
            <w:r w:rsidRPr="00587444">
              <w:rPr>
                <w:rFonts w:ascii="Arial" w:eastAsia="Calibri" w:hAnsi="Arial" w:cs="Arial"/>
                <w:b/>
                <w:sz w:val="17"/>
                <w:szCs w:val="17"/>
              </w:rPr>
              <w:t>31 December 2018</w:t>
            </w:r>
          </w:p>
        </w:tc>
        <w:tc>
          <w:tcPr>
            <w:tcW w:w="507" w:type="pct"/>
          </w:tcPr>
          <w:p w14:paraId="096D687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Up to 1 </w:t>
            </w:r>
          </w:p>
          <w:p w14:paraId="454C82B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month</w:t>
            </w:r>
          </w:p>
        </w:tc>
        <w:tc>
          <w:tcPr>
            <w:tcW w:w="552" w:type="pct"/>
          </w:tcPr>
          <w:p w14:paraId="234004F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1 to 3 months </w:t>
            </w:r>
          </w:p>
        </w:tc>
        <w:tc>
          <w:tcPr>
            <w:tcW w:w="590" w:type="pct"/>
          </w:tcPr>
          <w:p w14:paraId="6A0A768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3 months to 1 year </w:t>
            </w:r>
          </w:p>
        </w:tc>
        <w:tc>
          <w:tcPr>
            <w:tcW w:w="572" w:type="pct"/>
          </w:tcPr>
          <w:p w14:paraId="2E72F9B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1 to 3</w:t>
            </w:r>
          </w:p>
          <w:p w14:paraId="0BE3541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years</w:t>
            </w:r>
          </w:p>
        </w:tc>
        <w:tc>
          <w:tcPr>
            <w:tcW w:w="573" w:type="pct"/>
          </w:tcPr>
          <w:p w14:paraId="2B1E22C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Over 3 </w:t>
            </w:r>
          </w:p>
          <w:p w14:paraId="3E28915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years</w:t>
            </w:r>
          </w:p>
        </w:tc>
        <w:tc>
          <w:tcPr>
            <w:tcW w:w="564" w:type="pct"/>
          </w:tcPr>
          <w:p w14:paraId="355BC1A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Total </w:t>
            </w:r>
          </w:p>
        </w:tc>
      </w:tr>
      <w:tr w:rsidR="00587444" w:rsidRPr="00587444" w14:paraId="0B5EC39C" w14:textId="77777777" w:rsidTr="00DD69E7">
        <w:trPr>
          <w:trHeight w:hRule="exact" w:val="275"/>
        </w:trPr>
        <w:tc>
          <w:tcPr>
            <w:tcW w:w="1642" w:type="pct"/>
          </w:tcPr>
          <w:p w14:paraId="2A0E7E27"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sz w:val="17"/>
                <w:szCs w:val="17"/>
              </w:rPr>
            </w:pPr>
          </w:p>
        </w:tc>
        <w:tc>
          <w:tcPr>
            <w:tcW w:w="507" w:type="pct"/>
          </w:tcPr>
          <w:p w14:paraId="090A6E3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eastAsia="Calibri" w:hAnsi="Arial" w:cs="Arial"/>
                <w:b/>
                <w:sz w:val="17"/>
                <w:szCs w:val="17"/>
              </w:rPr>
              <w:t>HRK ‘000</w:t>
            </w:r>
          </w:p>
        </w:tc>
        <w:tc>
          <w:tcPr>
            <w:tcW w:w="552" w:type="pct"/>
          </w:tcPr>
          <w:p w14:paraId="7032275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eastAsia="Calibri" w:hAnsi="Arial" w:cs="Arial"/>
                <w:b/>
                <w:sz w:val="17"/>
                <w:szCs w:val="17"/>
              </w:rPr>
              <w:t>HRK ‘000</w:t>
            </w:r>
          </w:p>
        </w:tc>
        <w:tc>
          <w:tcPr>
            <w:tcW w:w="590" w:type="pct"/>
          </w:tcPr>
          <w:p w14:paraId="4F1C10C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eastAsia="Calibri" w:hAnsi="Arial" w:cs="Arial"/>
                <w:b/>
                <w:sz w:val="17"/>
                <w:szCs w:val="17"/>
              </w:rPr>
              <w:t>HRK ‘000</w:t>
            </w:r>
          </w:p>
        </w:tc>
        <w:tc>
          <w:tcPr>
            <w:tcW w:w="572" w:type="pct"/>
          </w:tcPr>
          <w:p w14:paraId="02BC193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eastAsia="Calibri" w:hAnsi="Arial" w:cs="Arial"/>
                <w:b/>
                <w:sz w:val="17"/>
                <w:szCs w:val="17"/>
              </w:rPr>
              <w:t>HRK ‘000</w:t>
            </w:r>
          </w:p>
        </w:tc>
        <w:tc>
          <w:tcPr>
            <w:tcW w:w="573" w:type="pct"/>
          </w:tcPr>
          <w:p w14:paraId="0520A0B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eastAsia="Calibri" w:hAnsi="Arial" w:cs="Arial"/>
                <w:b/>
                <w:sz w:val="17"/>
                <w:szCs w:val="17"/>
              </w:rPr>
              <w:t>HRK ‘000</w:t>
            </w:r>
          </w:p>
        </w:tc>
        <w:tc>
          <w:tcPr>
            <w:tcW w:w="564" w:type="pct"/>
          </w:tcPr>
          <w:p w14:paraId="4FC31DE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eastAsia="Calibri" w:hAnsi="Arial" w:cs="Arial"/>
                <w:b/>
                <w:sz w:val="17"/>
                <w:szCs w:val="17"/>
              </w:rPr>
              <w:t>HRK ‘000</w:t>
            </w:r>
          </w:p>
        </w:tc>
      </w:tr>
      <w:tr w:rsidR="00587444" w:rsidRPr="00587444" w14:paraId="0602F245" w14:textId="77777777" w:rsidTr="00DD69E7">
        <w:trPr>
          <w:trHeight w:hRule="exact" w:val="275"/>
        </w:trPr>
        <w:tc>
          <w:tcPr>
            <w:tcW w:w="1642" w:type="pct"/>
            <w:vAlign w:val="bottom"/>
          </w:tcPr>
          <w:p w14:paraId="4D82F1AA"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z w:val="17"/>
                <w:szCs w:val="17"/>
              </w:rPr>
            </w:pPr>
            <w:r w:rsidRPr="00587444">
              <w:rPr>
                <w:rFonts w:ascii="Arial" w:eastAsia="Calibri" w:hAnsi="Arial" w:cs="Arial"/>
                <w:b/>
                <w:bCs/>
                <w:sz w:val="17"/>
                <w:szCs w:val="17"/>
              </w:rPr>
              <w:t xml:space="preserve">Assets </w:t>
            </w:r>
          </w:p>
        </w:tc>
        <w:tc>
          <w:tcPr>
            <w:tcW w:w="507" w:type="pct"/>
            <w:vAlign w:val="bottom"/>
          </w:tcPr>
          <w:p w14:paraId="337DF73A"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52" w:type="pct"/>
            <w:vAlign w:val="bottom"/>
          </w:tcPr>
          <w:p w14:paraId="0282383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90" w:type="pct"/>
            <w:vAlign w:val="bottom"/>
          </w:tcPr>
          <w:p w14:paraId="58B2C4FB"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72" w:type="pct"/>
            <w:vAlign w:val="bottom"/>
          </w:tcPr>
          <w:p w14:paraId="5D3BC3D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73" w:type="pct"/>
            <w:vAlign w:val="bottom"/>
          </w:tcPr>
          <w:p w14:paraId="58D4630C"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64" w:type="pct"/>
            <w:vAlign w:val="bottom"/>
          </w:tcPr>
          <w:p w14:paraId="66E8A4B0"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spacing w:val="-2"/>
                <w:sz w:val="17"/>
                <w:szCs w:val="17"/>
              </w:rPr>
            </w:pPr>
          </w:p>
        </w:tc>
      </w:tr>
      <w:tr w:rsidR="00587444" w:rsidRPr="00587444" w14:paraId="0F563E1F" w14:textId="77777777" w:rsidTr="00DD69E7">
        <w:trPr>
          <w:trHeight w:hRule="exact" w:val="512"/>
        </w:trPr>
        <w:tc>
          <w:tcPr>
            <w:tcW w:w="1642" w:type="pct"/>
            <w:vAlign w:val="bottom"/>
          </w:tcPr>
          <w:p w14:paraId="3A14FDFC"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 xml:space="preserve">Cash on hand and current accounts with banks </w:t>
            </w:r>
          </w:p>
        </w:tc>
        <w:tc>
          <w:tcPr>
            <w:tcW w:w="507" w:type="pct"/>
            <w:tcBorders>
              <w:top w:val="nil"/>
              <w:left w:val="nil"/>
              <w:bottom w:val="nil"/>
              <w:right w:val="nil"/>
            </w:tcBorders>
            <w:shd w:val="clear" w:color="auto" w:fill="auto"/>
            <w:vAlign w:val="bottom"/>
          </w:tcPr>
          <w:p w14:paraId="526079DF"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1,958,620</w:t>
            </w:r>
          </w:p>
        </w:tc>
        <w:tc>
          <w:tcPr>
            <w:tcW w:w="552" w:type="pct"/>
            <w:tcBorders>
              <w:top w:val="nil"/>
              <w:left w:val="nil"/>
              <w:bottom w:val="nil"/>
              <w:right w:val="nil"/>
            </w:tcBorders>
            <w:shd w:val="clear" w:color="auto" w:fill="auto"/>
            <w:vAlign w:val="bottom"/>
          </w:tcPr>
          <w:p w14:paraId="5A304B3C"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09C313DE"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1BDDE1A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2A275BE7"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42FD6D48"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1,958,620</w:t>
            </w:r>
          </w:p>
        </w:tc>
      </w:tr>
      <w:tr w:rsidR="00587444" w:rsidRPr="00587444" w14:paraId="63C3E755" w14:textId="77777777" w:rsidTr="00DD69E7">
        <w:trPr>
          <w:trHeight w:hRule="exact" w:val="275"/>
        </w:trPr>
        <w:tc>
          <w:tcPr>
            <w:tcW w:w="1642" w:type="pct"/>
            <w:vAlign w:val="bottom"/>
          </w:tcPr>
          <w:p w14:paraId="7A99F25E"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Deposits with other banks</w:t>
            </w:r>
          </w:p>
        </w:tc>
        <w:tc>
          <w:tcPr>
            <w:tcW w:w="507" w:type="pct"/>
            <w:tcBorders>
              <w:top w:val="nil"/>
              <w:left w:val="nil"/>
              <w:bottom w:val="nil"/>
              <w:right w:val="nil"/>
            </w:tcBorders>
            <w:shd w:val="clear" w:color="auto" w:fill="auto"/>
            <w:vAlign w:val="bottom"/>
          </w:tcPr>
          <w:p w14:paraId="7EF3E872"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w:t>
            </w:r>
          </w:p>
        </w:tc>
        <w:tc>
          <w:tcPr>
            <w:tcW w:w="552" w:type="pct"/>
            <w:tcBorders>
              <w:top w:val="nil"/>
              <w:left w:val="nil"/>
              <w:bottom w:val="nil"/>
              <w:right w:val="nil"/>
            </w:tcBorders>
            <w:shd w:val="clear" w:color="auto" w:fill="auto"/>
            <w:vAlign w:val="bottom"/>
          </w:tcPr>
          <w:p w14:paraId="6E29579F"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4313527E"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57507C9F"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45C9B93A"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7,500</w:t>
            </w:r>
          </w:p>
        </w:tc>
        <w:tc>
          <w:tcPr>
            <w:tcW w:w="564" w:type="pct"/>
            <w:tcBorders>
              <w:top w:val="nil"/>
              <w:left w:val="nil"/>
              <w:bottom w:val="nil"/>
              <w:right w:val="nil"/>
            </w:tcBorders>
            <w:shd w:val="clear" w:color="auto" w:fill="auto"/>
            <w:vAlign w:val="bottom"/>
          </w:tcPr>
          <w:p w14:paraId="66D3BB4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7,500</w:t>
            </w:r>
          </w:p>
        </w:tc>
      </w:tr>
      <w:tr w:rsidR="00587444" w:rsidRPr="00587444" w14:paraId="14620231" w14:textId="77777777" w:rsidTr="00DD69E7">
        <w:trPr>
          <w:trHeight w:hRule="exact" w:val="275"/>
        </w:trPr>
        <w:tc>
          <w:tcPr>
            <w:tcW w:w="1642" w:type="pct"/>
            <w:vAlign w:val="bottom"/>
          </w:tcPr>
          <w:p w14:paraId="6D8E9A97"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Loans to financial institutions*</w:t>
            </w:r>
          </w:p>
        </w:tc>
        <w:tc>
          <w:tcPr>
            <w:tcW w:w="507" w:type="pct"/>
            <w:tcBorders>
              <w:top w:val="nil"/>
              <w:left w:val="nil"/>
              <w:bottom w:val="nil"/>
              <w:right w:val="nil"/>
            </w:tcBorders>
            <w:shd w:val="clear" w:color="auto" w:fill="auto"/>
            <w:vAlign w:val="bottom"/>
          </w:tcPr>
          <w:p w14:paraId="12CD969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140,979</w:t>
            </w:r>
          </w:p>
        </w:tc>
        <w:tc>
          <w:tcPr>
            <w:tcW w:w="552" w:type="pct"/>
            <w:tcBorders>
              <w:top w:val="nil"/>
              <w:left w:val="nil"/>
              <w:bottom w:val="nil"/>
              <w:right w:val="nil"/>
            </w:tcBorders>
            <w:shd w:val="clear" w:color="auto" w:fill="auto"/>
            <w:vAlign w:val="bottom"/>
          </w:tcPr>
          <w:p w14:paraId="74169231"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188,898</w:t>
            </w:r>
          </w:p>
        </w:tc>
        <w:tc>
          <w:tcPr>
            <w:tcW w:w="590" w:type="pct"/>
            <w:tcBorders>
              <w:top w:val="nil"/>
              <w:left w:val="nil"/>
              <w:bottom w:val="nil"/>
              <w:right w:val="nil"/>
            </w:tcBorders>
            <w:shd w:val="clear" w:color="auto" w:fill="auto"/>
            <w:vAlign w:val="bottom"/>
          </w:tcPr>
          <w:p w14:paraId="20F34742"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817,773</w:t>
            </w:r>
          </w:p>
        </w:tc>
        <w:tc>
          <w:tcPr>
            <w:tcW w:w="572" w:type="pct"/>
            <w:tcBorders>
              <w:top w:val="nil"/>
              <w:left w:val="nil"/>
              <w:bottom w:val="nil"/>
              <w:right w:val="nil"/>
            </w:tcBorders>
            <w:shd w:val="clear" w:color="auto" w:fill="auto"/>
            <w:vAlign w:val="bottom"/>
          </w:tcPr>
          <w:p w14:paraId="3001605B"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1,870,557</w:t>
            </w:r>
          </w:p>
        </w:tc>
        <w:tc>
          <w:tcPr>
            <w:tcW w:w="573" w:type="pct"/>
            <w:tcBorders>
              <w:top w:val="nil"/>
              <w:left w:val="nil"/>
              <w:bottom w:val="nil"/>
              <w:right w:val="nil"/>
            </w:tcBorders>
            <w:shd w:val="clear" w:color="auto" w:fill="auto"/>
            <w:vAlign w:val="bottom"/>
          </w:tcPr>
          <w:p w14:paraId="3FDA516F"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4,031,936</w:t>
            </w:r>
          </w:p>
        </w:tc>
        <w:tc>
          <w:tcPr>
            <w:tcW w:w="564" w:type="pct"/>
            <w:tcBorders>
              <w:top w:val="nil"/>
              <w:left w:val="nil"/>
              <w:bottom w:val="nil"/>
              <w:right w:val="nil"/>
            </w:tcBorders>
            <w:shd w:val="clear" w:color="auto" w:fill="auto"/>
            <w:vAlign w:val="bottom"/>
          </w:tcPr>
          <w:p w14:paraId="3572E90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7,050,143</w:t>
            </w:r>
          </w:p>
        </w:tc>
      </w:tr>
      <w:tr w:rsidR="00587444" w:rsidRPr="00587444" w14:paraId="7841854E" w14:textId="77777777" w:rsidTr="00DD69E7">
        <w:trPr>
          <w:trHeight w:hRule="exact" w:val="275"/>
        </w:trPr>
        <w:tc>
          <w:tcPr>
            <w:tcW w:w="1642" w:type="pct"/>
            <w:vAlign w:val="bottom"/>
          </w:tcPr>
          <w:p w14:paraId="0EFACD13"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Loans to other customers</w:t>
            </w:r>
          </w:p>
        </w:tc>
        <w:tc>
          <w:tcPr>
            <w:tcW w:w="507" w:type="pct"/>
            <w:tcBorders>
              <w:top w:val="nil"/>
              <w:left w:val="nil"/>
              <w:bottom w:val="nil"/>
              <w:right w:val="nil"/>
            </w:tcBorders>
            <w:shd w:val="clear" w:color="auto" w:fill="auto"/>
            <w:vAlign w:val="bottom"/>
          </w:tcPr>
          <w:p w14:paraId="4699F90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1,903,430</w:t>
            </w:r>
          </w:p>
        </w:tc>
        <w:tc>
          <w:tcPr>
            <w:tcW w:w="552" w:type="pct"/>
            <w:tcBorders>
              <w:top w:val="nil"/>
              <w:left w:val="nil"/>
              <w:bottom w:val="nil"/>
              <w:right w:val="nil"/>
            </w:tcBorders>
            <w:shd w:val="clear" w:color="auto" w:fill="auto"/>
            <w:vAlign w:val="bottom"/>
          </w:tcPr>
          <w:p w14:paraId="1BF2E140"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341,173</w:t>
            </w:r>
          </w:p>
        </w:tc>
        <w:tc>
          <w:tcPr>
            <w:tcW w:w="590" w:type="pct"/>
            <w:tcBorders>
              <w:top w:val="nil"/>
              <w:left w:val="nil"/>
              <w:bottom w:val="nil"/>
              <w:right w:val="nil"/>
            </w:tcBorders>
            <w:shd w:val="clear" w:color="auto" w:fill="auto"/>
            <w:vAlign w:val="bottom"/>
          </w:tcPr>
          <w:p w14:paraId="4FB8231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1,109,842</w:t>
            </w:r>
          </w:p>
        </w:tc>
        <w:tc>
          <w:tcPr>
            <w:tcW w:w="572" w:type="pct"/>
            <w:tcBorders>
              <w:top w:val="nil"/>
              <w:left w:val="nil"/>
              <w:bottom w:val="nil"/>
              <w:right w:val="nil"/>
            </w:tcBorders>
            <w:shd w:val="clear" w:color="auto" w:fill="auto"/>
            <w:vAlign w:val="bottom"/>
          </w:tcPr>
          <w:p w14:paraId="66266D09"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3,254,643</w:t>
            </w:r>
          </w:p>
        </w:tc>
        <w:tc>
          <w:tcPr>
            <w:tcW w:w="573" w:type="pct"/>
            <w:tcBorders>
              <w:top w:val="nil"/>
              <w:left w:val="nil"/>
              <w:bottom w:val="nil"/>
              <w:right w:val="nil"/>
            </w:tcBorders>
            <w:shd w:val="clear" w:color="auto" w:fill="auto"/>
            <w:vAlign w:val="bottom"/>
          </w:tcPr>
          <w:p w14:paraId="6B31EA01"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9,355,288</w:t>
            </w:r>
          </w:p>
        </w:tc>
        <w:tc>
          <w:tcPr>
            <w:tcW w:w="564" w:type="pct"/>
            <w:tcBorders>
              <w:top w:val="nil"/>
              <w:left w:val="nil"/>
              <w:bottom w:val="nil"/>
              <w:right w:val="nil"/>
            </w:tcBorders>
            <w:shd w:val="clear" w:color="auto" w:fill="auto"/>
            <w:vAlign w:val="bottom"/>
          </w:tcPr>
          <w:p w14:paraId="74EB0C3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15,964,376</w:t>
            </w:r>
          </w:p>
        </w:tc>
      </w:tr>
      <w:tr w:rsidR="00587444" w:rsidRPr="00587444" w14:paraId="44F7A2A6" w14:textId="77777777" w:rsidTr="00DD69E7">
        <w:trPr>
          <w:trHeight w:hRule="exact" w:val="275"/>
        </w:trPr>
        <w:tc>
          <w:tcPr>
            <w:tcW w:w="1642" w:type="pct"/>
            <w:vAlign w:val="bottom"/>
          </w:tcPr>
          <w:p w14:paraId="04A3F900"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Financial assets at fair value through profit or loss</w:t>
            </w:r>
          </w:p>
        </w:tc>
        <w:tc>
          <w:tcPr>
            <w:tcW w:w="507" w:type="pct"/>
            <w:tcBorders>
              <w:top w:val="nil"/>
              <w:left w:val="nil"/>
              <w:bottom w:val="nil"/>
              <w:right w:val="nil"/>
            </w:tcBorders>
            <w:shd w:val="clear" w:color="auto" w:fill="auto"/>
            <w:vAlign w:val="bottom"/>
          </w:tcPr>
          <w:p w14:paraId="21942BA0" w14:textId="77777777" w:rsidR="00587444" w:rsidRPr="00587444" w:rsidDel="000A0F01" w:rsidRDefault="00587444" w:rsidP="00587444">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202,609</w:t>
            </w:r>
          </w:p>
        </w:tc>
        <w:tc>
          <w:tcPr>
            <w:tcW w:w="552" w:type="pct"/>
            <w:tcBorders>
              <w:top w:val="nil"/>
              <w:left w:val="nil"/>
              <w:bottom w:val="nil"/>
              <w:right w:val="nil"/>
            </w:tcBorders>
            <w:shd w:val="clear" w:color="auto" w:fill="auto"/>
            <w:vAlign w:val="bottom"/>
          </w:tcPr>
          <w:p w14:paraId="4C5A5C8F" w14:textId="77777777" w:rsidR="00587444" w:rsidRPr="00587444" w:rsidDel="000A0F01" w:rsidRDefault="00587444" w:rsidP="00587444">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419DC612" w14:textId="77777777" w:rsidR="00587444" w:rsidRPr="00587444" w:rsidDel="000A0F01" w:rsidRDefault="00587444" w:rsidP="00587444">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5CC47E7F" w14:textId="77777777" w:rsidR="00587444" w:rsidRPr="00587444" w:rsidDel="000A0F01" w:rsidRDefault="00587444" w:rsidP="00587444">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7935C5CB" w14:textId="77777777" w:rsidR="00587444" w:rsidRPr="00587444" w:rsidDel="000A0F01" w:rsidRDefault="00587444" w:rsidP="00587444">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16,375</w:t>
            </w:r>
          </w:p>
        </w:tc>
        <w:tc>
          <w:tcPr>
            <w:tcW w:w="564" w:type="pct"/>
            <w:tcBorders>
              <w:top w:val="nil"/>
              <w:left w:val="nil"/>
              <w:bottom w:val="nil"/>
              <w:right w:val="nil"/>
            </w:tcBorders>
            <w:shd w:val="clear" w:color="auto" w:fill="auto"/>
            <w:vAlign w:val="bottom"/>
          </w:tcPr>
          <w:p w14:paraId="1EF20006" w14:textId="77777777" w:rsidR="00587444" w:rsidRPr="00587444" w:rsidDel="000A0F01" w:rsidRDefault="00587444" w:rsidP="00587444">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587444">
              <w:rPr>
                <w:rFonts w:ascii="Arial" w:hAnsi="Arial" w:cs="Arial"/>
                <w:color w:val="000000"/>
                <w:sz w:val="17"/>
                <w:szCs w:val="17"/>
              </w:rPr>
              <w:t>218,984</w:t>
            </w:r>
          </w:p>
        </w:tc>
      </w:tr>
      <w:tr w:rsidR="00587444" w:rsidRPr="00587444" w14:paraId="1D08A2B3" w14:textId="77777777" w:rsidTr="00DD69E7">
        <w:trPr>
          <w:trHeight w:hRule="exact" w:val="275"/>
        </w:trPr>
        <w:tc>
          <w:tcPr>
            <w:tcW w:w="1642" w:type="pct"/>
          </w:tcPr>
          <w:p w14:paraId="6B27842F"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sz w:val="17"/>
                <w:szCs w:val="17"/>
              </w:rPr>
            </w:pPr>
            <w:r w:rsidRPr="00587444">
              <w:rPr>
                <w:rFonts w:ascii="Arial" w:hAnsi="Arial" w:cs="Arial"/>
                <w:spacing w:val="-2"/>
                <w:sz w:val="17"/>
                <w:szCs w:val="17"/>
              </w:rPr>
              <w:t>Financial assets at fair value through other comprehensive income</w:t>
            </w:r>
          </w:p>
        </w:tc>
        <w:tc>
          <w:tcPr>
            <w:tcW w:w="507" w:type="pct"/>
            <w:tcBorders>
              <w:top w:val="nil"/>
              <w:left w:val="nil"/>
              <w:bottom w:val="nil"/>
              <w:right w:val="nil"/>
            </w:tcBorders>
            <w:shd w:val="clear" w:color="auto" w:fill="auto"/>
            <w:vAlign w:val="bottom"/>
          </w:tcPr>
          <w:p w14:paraId="6606DCA8"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2,900,262</w:t>
            </w:r>
          </w:p>
        </w:tc>
        <w:tc>
          <w:tcPr>
            <w:tcW w:w="552" w:type="pct"/>
            <w:tcBorders>
              <w:top w:val="nil"/>
              <w:left w:val="nil"/>
              <w:bottom w:val="nil"/>
              <w:right w:val="nil"/>
            </w:tcBorders>
            <w:shd w:val="clear" w:color="auto" w:fill="auto"/>
            <w:vAlign w:val="bottom"/>
          </w:tcPr>
          <w:p w14:paraId="304C144A"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15,442</w:t>
            </w:r>
          </w:p>
        </w:tc>
        <w:tc>
          <w:tcPr>
            <w:tcW w:w="590" w:type="pct"/>
            <w:tcBorders>
              <w:top w:val="nil"/>
              <w:left w:val="nil"/>
              <w:bottom w:val="nil"/>
              <w:right w:val="nil"/>
            </w:tcBorders>
            <w:shd w:val="clear" w:color="auto" w:fill="auto"/>
            <w:vAlign w:val="bottom"/>
          </w:tcPr>
          <w:p w14:paraId="71B32D00"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01D25C3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7E27EC76"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5CA7663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2,915,704</w:t>
            </w:r>
          </w:p>
        </w:tc>
      </w:tr>
      <w:tr w:rsidR="00587444" w:rsidRPr="00587444" w14:paraId="3A1229B4" w14:textId="77777777" w:rsidTr="00DD69E7">
        <w:trPr>
          <w:trHeight w:hRule="exact" w:val="275"/>
        </w:trPr>
        <w:tc>
          <w:tcPr>
            <w:tcW w:w="1642" w:type="pct"/>
            <w:vAlign w:val="bottom"/>
          </w:tcPr>
          <w:p w14:paraId="6F565D47"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spacing w:val="-2"/>
                <w:sz w:val="17"/>
                <w:szCs w:val="17"/>
              </w:rPr>
            </w:pPr>
            <w:r w:rsidRPr="00587444">
              <w:rPr>
                <w:rFonts w:ascii="Arial" w:eastAsia="Calibri" w:hAnsi="Arial" w:cs="Arial"/>
                <w:spacing w:val="-2"/>
                <w:sz w:val="17"/>
                <w:szCs w:val="17"/>
              </w:rPr>
              <w:t xml:space="preserve">Investments in subsidiaries </w:t>
            </w:r>
          </w:p>
        </w:tc>
        <w:tc>
          <w:tcPr>
            <w:tcW w:w="507" w:type="pct"/>
            <w:tcBorders>
              <w:top w:val="nil"/>
              <w:left w:val="nil"/>
              <w:bottom w:val="nil"/>
              <w:right w:val="nil"/>
            </w:tcBorders>
            <w:shd w:val="clear" w:color="auto" w:fill="auto"/>
            <w:vAlign w:val="bottom"/>
          </w:tcPr>
          <w:p w14:paraId="5F456C18"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52" w:type="pct"/>
            <w:tcBorders>
              <w:top w:val="nil"/>
              <w:left w:val="nil"/>
              <w:bottom w:val="nil"/>
              <w:right w:val="nil"/>
            </w:tcBorders>
            <w:shd w:val="clear" w:color="auto" w:fill="auto"/>
            <w:vAlign w:val="bottom"/>
          </w:tcPr>
          <w:p w14:paraId="0550C5F0"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06C64D46"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008F3C0B"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11FF1BA9"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36,124</w:t>
            </w:r>
          </w:p>
        </w:tc>
        <w:tc>
          <w:tcPr>
            <w:tcW w:w="564" w:type="pct"/>
            <w:tcBorders>
              <w:top w:val="nil"/>
              <w:left w:val="nil"/>
              <w:bottom w:val="nil"/>
              <w:right w:val="nil"/>
            </w:tcBorders>
            <w:shd w:val="clear" w:color="auto" w:fill="auto"/>
            <w:vAlign w:val="bottom"/>
          </w:tcPr>
          <w:p w14:paraId="02D4D59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36,124</w:t>
            </w:r>
          </w:p>
        </w:tc>
      </w:tr>
      <w:tr w:rsidR="00587444" w:rsidRPr="00587444" w14:paraId="1D19A957" w14:textId="77777777" w:rsidTr="00D75982">
        <w:trPr>
          <w:trHeight w:hRule="exact" w:val="449"/>
        </w:trPr>
        <w:tc>
          <w:tcPr>
            <w:tcW w:w="1642" w:type="pct"/>
            <w:vAlign w:val="bottom"/>
          </w:tcPr>
          <w:p w14:paraId="4B1DFEF6" w14:textId="77777777" w:rsidR="00D75982" w:rsidRDefault="00587444" w:rsidP="00587444">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 xml:space="preserve">Property, </w:t>
            </w:r>
            <w:proofErr w:type="gramStart"/>
            <w:r w:rsidRPr="00587444">
              <w:rPr>
                <w:rFonts w:ascii="Arial" w:hAnsi="Arial" w:cs="Arial"/>
                <w:spacing w:val="-2"/>
                <w:sz w:val="17"/>
                <w:szCs w:val="17"/>
              </w:rPr>
              <w:t>plant</w:t>
            </w:r>
            <w:proofErr w:type="gramEnd"/>
            <w:r w:rsidRPr="00587444">
              <w:rPr>
                <w:rFonts w:ascii="Arial" w:hAnsi="Arial" w:cs="Arial"/>
                <w:spacing w:val="-2"/>
                <w:sz w:val="17"/>
                <w:szCs w:val="17"/>
              </w:rPr>
              <w:t xml:space="preserve"> and equipment and </w:t>
            </w:r>
          </w:p>
          <w:p w14:paraId="65D6B08D" w14:textId="086FFBDD"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intangible assets</w:t>
            </w:r>
          </w:p>
        </w:tc>
        <w:tc>
          <w:tcPr>
            <w:tcW w:w="507" w:type="pct"/>
            <w:tcBorders>
              <w:top w:val="nil"/>
              <w:left w:val="nil"/>
              <w:bottom w:val="nil"/>
              <w:right w:val="nil"/>
            </w:tcBorders>
            <w:shd w:val="clear" w:color="auto" w:fill="auto"/>
            <w:vAlign w:val="bottom"/>
          </w:tcPr>
          <w:p w14:paraId="783FF55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52" w:type="pct"/>
            <w:tcBorders>
              <w:top w:val="nil"/>
              <w:left w:val="nil"/>
              <w:bottom w:val="nil"/>
              <w:right w:val="nil"/>
            </w:tcBorders>
            <w:shd w:val="clear" w:color="auto" w:fill="auto"/>
            <w:vAlign w:val="bottom"/>
          </w:tcPr>
          <w:p w14:paraId="48B364C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252D9789"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611B1E90"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6870523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42,674</w:t>
            </w:r>
          </w:p>
        </w:tc>
        <w:tc>
          <w:tcPr>
            <w:tcW w:w="564" w:type="pct"/>
            <w:tcBorders>
              <w:top w:val="nil"/>
              <w:left w:val="nil"/>
              <w:bottom w:val="nil"/>
              <w:right w:val="nil"/>
            </w:tcBorders>
            <w:shd w:val="clear" w:color="auto" w:fill="auto"/>
            <w:vAlign w:val="bottom"/>
          </w:tcPr>
          <w:p w14:paraId="380E713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42,674</w:t>
            </w:r>
          </w:p>
        </w:tc>
      </w:tr>
      <w:tr w:rsidR="00587444" w:rsidRPr="00587444" w14:paraId="66347678" w14:textId="77777777" w:rsidTr="00DD69E7">
        <w:trPr>
          <w:trHeight w:hRule="exact" w:val="275"/>
        </w:trPr>
        <w:tc>
          <w:tcPr>
            <w:tcW w:w="1642" w:type="pct"/>
            <w:vAlign w:val="bottom"/>
          </w:tcPr>
          <w:p w14:paraId="7C823316"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Foreclosed assets</w:t>
            </w:r>
          </w:p>
        </w:tc>
        <w:tc>
          <w:tcPr>
            <w:tcW w:w="507" w:type="pct"/>
            <w:tcBorders>
              <w:top w:val="nil"/>
              <w:left w:val="nil"/>
              <w:bottom w:val="nil"/>
              <w:right w:val="nil"/>
            </w:tcBorders>
            <w:shd w:val="clear" w:color="auto" w:fill="auto"/>
            <w:vAlign w:val="bottom"/>
          </w:tcPr>
          <w:p w14:paraId="29EED3F2"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9 </w:t>
            </w:r>
          </w:p>
        </w:tc>
        <w:tc>
          <w:tcPr>
            <w:tcW w:w="552" w:type="pct"/>
            <w:tcBorders>
              <w:top w:val="nil"/>
              <w:left w:val="nil"/>
              <w:bottom w:val="nil"/>
              <w:right w:val="nil"/>
            </w:tcBorders>
            <w:shd w:val="clear" w:color="auto" w:fill="auto"/>
            <w:vAlign w:val="bottom"/>
          </w:tcPr>
          <w:p w14:paraId="4A45B59E"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w:t>
            </w:r>
          </w:p>
        </w:tc>
        <w:tc>
          <w:tcPr>
            <w:tcW w:w="590" w:type="pct"/>
            <w:tcBorders>
              <w:top w:val="nil"/>
              <w:left w:val="nil"/>
              <w:bottom w:val="nil"/>
              <w:right w:val="nil"/>
            </w:tcBorders>
            <w:shd w:val="clear" w:color="auto" w:fill="auto"/>
            <w:vAlign w:val="bottom"/>
          </w:tcPr>
          <w:p w14:paraId="6F554BE8"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156</w:t>
            </w:r>
          </w:p>
        </w:tc>
        <w:tc>
          <w:tcPr>
            <w:tcW w:w="572" w:type="pct"/>
            <w:tcBorders>
              <w:top w:val="nil"/>
              <w:left w:val="nil"/>
              <w:bottom w:val="nil"/>
              <w:right w:val="nil"/>
            </w:tcBorders>
            <w:shd w:val="clear" w:color="auto" w:fill="auto"/>
            <w:vAlign w:val="bottom"/>
          </w:tcPr>
          <w:p w14:paraId="364DF77F"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11,272</w:t>
            </w:r>
          </w:p>
        </w:tc>
        <w:tc>
          <w:tcPr>
            <w:tcW w:w="573" w:type="pct"/>
            <w:tcBorders>
              <w:top w:val="nil"/>
              <w:left w:val="nil"/>
              <w:bottom w:val="nil"/>
              <w:right w:val="nil"/>
            </w:tcBorders>
            <w:shd w:val="clear" w:color="auto" w:fill="auto"/>
            <w:vAlign w:val="bottom"/>
          </w:tcPr>
          <w:p w14:paraId="681C927C"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9,932</w:t>
            </w:r>
          </w:p>
        </w:tc>
        <w:tc>
          <w:tcPr>
            <w:tcW w:w="564" w:type="pct"/>
            <w:tcBorders>
              <w:top w:val="nil"/>
              <w:left w:val="nil"/>
              <w:bottom w:val="nil"/>
              <w:right w:val="nil"/>
            </w:tcBorders>
            <w:shd w:val="clear" w:color="auto" w:fill="auto"/>
            <w:vAlign w:val="bottom"/>
          </w:tcPr>
          <w:p w14:paraId="2B2C8699"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21,369</w:t>
            </w:r>
          </w:p>
        </w:tc>
      </w:tr>
      <w:tr w:rsidR="00587444" w:rsidRPr="00587444" w14:paraId="33BC4E84" w14:textId="77777777" w:rsidTr="00DD69E7">
        <w:trPr>
          <w:trHeight w:hRule="exact" w:val="275"/>
        </w:trPr>
        <w:tc>
          <w:tcPr>
            <w:tcW w:w="1642" w:type="pct"/>
            <w:vAlign w:val="bottom"/>
          </w:tcPr>
          <w:p w14:paraId="05B1C019" w14:textId="77777777" w:rsidR="00587444" w:rsidRPr="00587444" w:rsidRDefault="00587444" w:rsidP="00587444">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Other assets</w:t>
            </w:r>
          </w:p>
        </w:tc>
        <w:tc>
          <w:tcPr>
            <w:tcW w:w="507" w:type="pct"/>
            <w:tcBorders>
              <w:top w:val="nil"/>
              <w:left w:val="nil"/>
              <w:bottom w:val="single" w:sz="8" w:space="0" w:color="auto"/>
              <w:right w:val="nil"/>
            </w:tcBorders>
            <w:shd w:val="clear" w:color="auto" w:fill="auto"/>
            <w:vAlign w:val="bottom"/>
          </w:tcPr>
          <w:p w14:paraId="0F23452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5,749</w:t>
            </w:r>
          </w:p>
        </w:tc>
        <w:tc>
          <w:tcPr>
            <w:tcW w:w="552" w:type="pct"/>
            <w:tcBorders>
              <w:top w:val="nil"/>
              <w:left w:val="nil"/>
              <w:bottom w:val="single" w:sz="8" w:space="0" w:color="auto"/>
              <w:right w:val="nil"/>
            </w:tcBorders>
            <w:shd w:val="clear" w:color="auto" w:fill="auto"/>
            <w:vAlign w:val="bottom"/>
          </w:tcPr>
          <w:p w14:paraId="5720498C"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947</w:t>
            </w:r>
          </w:p>
        </w:tc>
        <w:tc>
          <w:tcPr>
            <w:tcW w:w="590" w:type="pct"/>
            <w:tcBorders>
              <w:top w:val="nil"/>
              <w:left w:val="nil"/>
              <w:bottom w:val="single" w:sz="8" w:space="0" w:color="auto"/>
              <w:right w:val="nil"/>
            </w:tcBorders>
            <w:shd w:val="clear" w:color="auto" w:fill="auto"/>
            <w:vAlign w:val="bottom"/>
          </w:tcPr>
          <w:p w14:paraId="0CB2670A"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24,380</w:t>
            </w:r>
          </w:p>
        </w:tc>
        <w:tc>
          <w:tcPr>
            <w:tcW w:w="572" w:type="pct"/>
            <w:tcBorders>
              <w:top w:val="nil"/>
              <w:left w:val="nil"/>
              <w:bottom w:val="single" w:sz="8" w:space="0" w:color="auto"/>
              <w:right w:val="nil"/>
            </w:tcBorders>
            <w:shd w:val="clear" w:color="auto" w:fill="auto"/>
            <w:vAlign w:val="bottom"/>
          </w:tcPr>
          <w:p w14:paraId="3327A2AE"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1,734</w:t>
            </w:r>
          </w:p>
        </w:tc>
        <w:tc>
          <w:tcPr>
            <w:tcW w:w="573" w:type="pct"/>
            <w:tcBorders>
              <w:top w:val="nil"/>
              <w:left w:val="nil"/>
              <w:bottom w:val="single" w:sz="8" w:space="0" w:color="auto"/>
              <w:right w:val="nil"/>
            </w:tcBorders>
            <w:shd w:val="clear" w:color="auto" w:fill="auto"/>
            <w:vAlign w:val="bottom"/>
          </w:tcPr>
          <w:p w14:paraId="1298C1F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1,684</w:t>
            </w:r>
          </w:p>
        </w:tc>
        <w:tc>
          <w:tcPr>
            <w:tcW w:w="564" w:type="pct"/>
            <w:tcBorders>
              <w:top w:val="nil"/>
              <w:left w:val="nil"/>
              <w:bottom w:val="single" w:sz="8" w:space="0" w:color="auto"/>
              <w:right w:val="nil"/>
            </w:tcBorders>
            <w:shd w:val="clear" w:color="auto" w:fill="auto"/>
            <w:vAlign w:val="bottom"/>
          </w:tcPr>
          <w:p w14:paraId="09559831"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34,494</w:t>
            </w:r>
          </w:p>
        </w:tc>
      </w:tr>
      <w:tr w:rsidR="00587444" w:rsidRPr="00587444" w14:paraId="1352A1C1" w14:textId="77777777" w:rsidTr="00DD69E7">
        <w:trPr>
          <w:trHeight w:hRule="exact" w:val="275"/>
        </w:trPr>
        <w:tc>
          <w:tcPr>
            <w:tcW w:w="1642" w:type="pct"/>
            <w:vAlign w:val="bottom"/>
          </w:tcPr>
          <w:p w14:paraId="5A1CF911"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z w:val="17"/>
                <w:szCs w:val="17"/>
              </w:rPr>
            </w:pPr>
            <w:r w:rsidRPr="00587444">
              <w:rPr>
                <w:rFonts w:ascii="Arial" w:eastAsia="Calibri" w:hAnsi="Arial" w:cs="Arial"/>
                <w:b/>
                <w:bCs/>
                <w:sz w:val="17"/>
                <w:szCs w:val="17"/>
              </w:rPr>
              <w:t xml:space="preserve">Total assets </w:t>
            </w:r>
          </w:p>
        </w:tc>
        <w:tc>
          <w:tcPr>
            <w:tcW w:w="507" w:type="pct"/>
            <w:tcBorders>
              <w:top w:val="single" w:sz="8" w:space="0" w:color="auto"/>
              <w:left w:val="nil"/>
              <w:bottom w:val="single" w:sz="12" w:space="0" w:color="auto"/>
              <w:right w:val="nil"/>
            </w:tcBorders>
            <w:shd w:val="clear" w:color="auto" w:fill="auto"/>
            <w:vAlign w:val="bottom"/>
          </w:tcPr>
          <w:p w14:paraId="248BD639"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7,111,658</w:t>
            </w:r>
          </w:p>
        </w:tc>
        <w:tc>
          <w:tcPr>
            <w:tcW w:w="552" w:type="pct"/>
            <w:tcBorders>
              <w:top w:val="single" w:sz="8" w:space="0" w:color="auto"/>
              <w:left w:val="nil"/>
              <w:bottom w:val="single" w:sz="12" w:space="0" w:color="auto"/>
              <w:right w:val="nil"/>
            </w:tcBorders>
            <w:shd w:val="clear" w:color="auto" w:fill="auto"/>
            <w:vAlign w:val="bottom"/>
          </w:tcPr>
          <w:p w14:paraId="23A60267"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546,460</w:t>
            </w:r>
          </w:p>
        </w:tc>
        <w:tc>
          <w:tcPr>
            <w:tcW w:w="590" w:type="pct"/>
            <w:tcBorders>
              <w:top w:val="single" w:sz="8" w:space="0" w:color="auto"/>
              <w:left w:val="nil"/>
              <w:bottom w:val="single" w:sz="12" w:space="0" w:color="auto"/>
              <w:right w:val="nil"/>
            </w:tcBorders>
            <w:shd w:val="clear" w:color="auto" w:fill="auto"/>
            <w:vAlign w:val="bottom"/>
          </w:tcPr>
          <w:p w14:paraId="32B6FE0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1,952,151</w:t>
            </w:r>
          </w:p>
        </w:tc>
        <w:tc>
          <w:tcPr>
            <w:tcW w:w="572" w:type="pct"/>
            <w:tcBorders>
              <w:top w:val="single" w:sz="8" w:space="0" w:color="auto"/>
              <w:left w:val="nil"/>
              <w:bottom w:val="single" w:sz="12" w:space="0" w:color="auto"/>
              <w:right w:val="nil"/>
            </w:tcBorders>
            <w:shd w:val="clear" w:color="auto" w:fill="auto"/>
            <w:vAlign w:val="bottom"/>
          </w:tcPr>
          <w:p w14:paraId="313B95B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5,138,206</w:t>
            </w:r>
          </w:p>
        </w:tc>
        <w:tc>
          <w:tcPr>
            <w:tcW w:w="573" w:type="pct"/>
            <w:tcBorders>
              <w:top w:val="single" w:sz="8" w:space="0" w:color="auto"/>
              <w:left w:val="nil"/>
              <w:bottom w:val="single" w:sz="12" w:space="0" w:color="auto"/>
              <w:right w:val="nil"/>
            </w:tcBorders>
            <w:shd w:val="clear" w:color="auto" w:fill="auto"/>
            <w:vAlign w:val="bottom"/>
          </w:tcPr>
          <w:p w14:paraId="55EAE159"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13,501,513</w:t>
            </w:r>
          </w:p>
        </w:tc>
        <w:tc>
          <w:tcPr>
            <w:tcW w:w="564" w:type="pct"/>
            <w:tcBorders>
              <w:top w:val="single" w:sz="8" w:space="0" w:color="auto"/>
              <w:left w:val="nil"/>
              <w:bottom w:val="single" w:sz="12" w:space="0" w:color="auto"/>
              <w:right w:val="nil"/>
            </w:tcBorders>
            <w:shd w:val="clear" w:color="auto" w:fill="auto"/>
            <w:vAlign w:val="bottom"/>
          </w:tcPr>
          <w:p w14:paraId="2ED3EDB2"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28,249,988</w:t>
            </w:r>
          </w:p>
        </w:tc>
      </w:tr>
      <w:tr w:rsidR="00587444" w:rsidRPr="00587444" w14:paraId="4693893A" w14:textId="77777777" w:rsidTr="00DD69E7">
        <w:trPr>
          <w:trHeight w:hRule="exact" w:val="275"/>
        </w:trPr>
        <w:tc>
          <w:tcPr>
            <w:tcW w:w="1642" w:type="pct"/>
            <w:vAlign w:val="bottom"/>
          </w:tcPr>
          <w:p w14:paraId="641425A7"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z w:val="17"/>
                <w:szCs w:val="17"/>
              </w:rPr>
            </w:pPr>
          </w:p>
        </w:tc>
        <w:tc>
          <w:tcPr>
            <w:tcW w:w="507" w:type="pct"/>
            <w:tcBorders>
              <w:top w:val="single" w:sz="12" w:space="0" w:color="auto"/>
            </w:tcBorders>
            <w:shd w:val="clear" w:color="auto" w:fill="auto"/>
            <w:vAlign w:val="bottom"/>
          </w:tcPr>
          <w:p w14:paraId="73F56EE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52" w:type="pct"/>
            <w:tcBorders>
              <w:top w:val="single" w:sz="12" w:space="0" w:color="auto"/>
            </w:tcBorders>
            <w:shd w:val="clear" w:color="auto" w:fill="auto"/>
            <w:vAlign w:val="bottom"/>
          </w:tcPr>
          <w:p w14:paraId="29AB873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90" w:type="pct"/>
            <w:tcBorders>
              <w:top w:val="single" w:sz="12" w:space="0" w:color="auto"/>
            </w:tcBorders>
            <w:shd w:val="clear" w:color="auto" w:fill="auto"/>
            <w:vAlign w:val="bottom"/>
          </w:tcPr>
          <w:p w14:paraId="346EAB3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72" w:type="pct"/>
            <w:tcBorders>
              <w:top w:val="single" w:sz="12" w:space="0" w:color="auto"/>
            </w:tcBorders>
            <w:shd w:val="clear" w:color="auto" w:fill="auto"/>
            <w:vAlign w:val="bottom"/>
          </w:tcPr>
          <w:p w14:paraId="14ABF25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73" w:type="pct"/>
            <w:tcBorders>
              <w:top w:val="single" w:sz="12" w:space="0" w:color="auto"/>
            </w:tcBorders>
            <w:shd w:val="clear" w:color="auto" w:fill="auto"/>
            <w:vAlign w:val="bottom"/>
          </w:tcPr>
          <w:p w14:paraId="237DC443"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64" w:type="pct"/>
            <w:tcBorders>
              <w:top w:val="single" w:sz="12" w:space="0" w:color="auto"/>
            </w:tcBorders>
            <w:shd w:val="clear" w:color="auto" w:fill="auto"/>
            <w:vAlign w:val="bottom"/>
          </w:tcPr>
          <w:p w14:paraId="2ADEF61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r>
      <w:tr w:rsidR="00587444" w:rsidRPr="00587444" w14:paraId="423A06D3" w14:textId="77777777" w:rsidTr="00DD69E7">
        <w:trPr>
          <w:trHeight w:hRule="exact" w:val="275"/>
        </w:trPr>
        <w:tc>
          <w:tcPr>
            <w:tcW w:w="1642" w:type="pct"/>
            <w:vAlign w:val="bottom"/>
          </w:tcPr>
          <w:p w14:paraId="25044ABE"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z w:val="17"/>
                <w:szCs w:val="17"/>
              </w:rPr>
            </w:pPr>
            <w:r w:rsidRPr="00587444">
              <w:rPr>
                <w:rFonts w:ascii="Arial" w:eastAsia="Calibri" w:hAnsi="Arial" w:cs="Arial"/>
                <w:b/>
                <w:bCs/>
                <w:sz w:val="17"/>
                <w:szCs w:val="17"/>
              </w:rPr>
              <w:t>Liabilities</w:t>
            </w:r>
          </w:p>
        </w:tc>
        <w:tc>
          <w:tcPr>
            <w:tcW w:w="507" w:type="pct"/>
            <w:vAlign w:val="bottom"/>
          </w:tcPr>
          <w:p w14:paraId="30B4183E" w14:textId="77777777" w:rsidR="00587444" w:rsidRPr="00587444" w:rsidRDefault="00587444" w:rsidP="00587444">
            <w:pPr>
              <w:suppressAutoHyphens w:val="0"/>
              <w:autoSpaceDN/>
              <w:spacing w:line="240" w:lineRule="exact"/>
              <w:jc w:val="right"/>
              <w:outlineLvl w:val="0"/>
              <w:rPr>
                <w:rFonts w:ascii="Arial" w:eastAsia="Calibri" w:hAnsi="Arial" w:cs="Arial"/>
                <w:spacing w:val="-2"/>
                <w:sz w:val="17"/>
                <w:szCs w:val="17"/>
              </w:rPr>
            </w:pPr>
          </w:p>
        </w:tc>
        <w:tc>
          <w:tcPr>
            <w:tcW w:w="552" w:type="pct"/>
            <w:vAlign w:val="bottom"/>
          </w:tcPr>
          <w:p w14:paraId="0812C55D" w14:textId="77777777" w:rsidR="00587444" w:rsidRPr="00587444" w:rsidRDefault="00587444" w:rsidP="00587444">
            <w:pPr>
              <w:suppressAutoHyphens w:val="0"/>
              <w:autoSpaceDN/>
              <w:spacing w:line="240" w:lineRule="exact"/>
              <w:jc w:val="right"/>
              <w:outlineLvl w:val="0"/>
              <w:rPr>
                <w:rFonts w:ascii="Arial" w:eastAsia="Calibri" w:hAnsi="Arial" w:cs="Arial"/>
                <w:spacing w:val="-2"/>
                <w:sz w:val="17"/>
                <w:szCs w:val="17"/>
              </w:rPr>
            </w:pPr>
          </w:p>
        </w:tc>
        <w:tc>
          <w:tcPr>
            <w:tcW w:w="590" w:type="pct"/>
            <w:vAlign w:val="bottom"/>
          </w:tcPr>
          <w:p w14:paraId="532A3529" w14:textId="77777777" w:rsidR="00587444" w:rsidRPr="00587444" w:rsidRDefault="00587444" w:rsidP="00587444">
            <w:pPr>
              <w:suppressAutoHyphens w:val="0"/>
              <w:autoSpaceDN/>
              <w:spacing w:line="240" w:lineRule="exact"/>
              <w:jc w:val="right"/>
              <w:outlineLvl w:val="0"/>
              <w:rPr>
                <w:rFonts w:ascii="Arial" w:eastAsia="Calibri" w:hAnsi="Arial" w:cs="Arial"/>
                <w:spacing w:val="-2"/>
                <w:sz w:val="17"/>
                <w:szCs w:val="17"/>
              </w:rPr>
            </w:pPr>
          </w:p>
        </w:tc>
        <w:tc>
          <w:tcPr>
            <w:tcW w:w="572" w:type="pct"/>
            <w:vAlign w:val="bottom"/>
          </w:tcPr>
          <w:p w14:paraId="15463E76" w14:textId="77777777" w:rsidR="00587444" w:rsidRPr="00587444" w:rsidRDefault="00587444" w:rsidP="00587444">
            <w:pPr>
              <w:suppressAutoHyphens w:val="0"/>
              <w:autoSpaceDN/>
              <w:spacing w:line="240" w:lineRule="exact"/>
              <w:jc w:val="right"/>
              <w:outlineLvl w:val="0"/>
              <w:rPr>
                <w:rFonts w:ascii="Arial" w:eastAsia="Calibri" w:hAnsi="Arial" w:cs="Arial"/>
                <w:spacing w:val="-2"/>
                <w:sz w:val="17"/>
                <w:szCs w:val="17"/>
              </w:rPr>
            </w:pPr>
          </w:p>
        </w:tc>
        <w:tc>
          <w:tcPr>
            <w:tcW w:w="573" w:type="pct"/>
            <w:vAlign w:val="bottom"/>
          </w:tcPr>
          <w:p w14:paraId="42D7032B" w14:textId="77777777" w:rsidR="00587444" w:rsidRPr="00587444" w:rsidRDefault="00587444" w:rsidP="00587444">
            <w:pPr>
              <w:suppressAutoHyphens w:val="0"/>
              <w:autoSpaceDN/>
              <w:spacing w:line="240" w:lineRule="exact"/>
              <w:jc w:val="right"/>
              <w:outlineLvl w:val="0"/>
              <w:rPr>
                <w:rFonts w:ascii="Arial" w:eastAsia="Calibri" w:hAnsi="Arial" w:cs="Arial"/>
                <w:spacing w:val="-2"/>
                <w:sz w:val="17"/>
                <w:szCs w:val="17"/>
              </w:rPr>
            </w:pPr>
          </w:p>
        </w:tc>
        <w:tc>
          <w:tcPr>
            <w:tcW w:w="564" w:type="pct"/>
            <w:vAlign w:val="bottom"/>
          </w:tcPr>
          <w:p w14:paraId="4DA15B57" w14:textId="77777777" w:rsidR="00587444" w:rsidRPr="00587444" w:rsidRDefault="00587444" w:rsidP="00587444">
            <w:pPr>
              <w:suppressAutoHyphens w:val="0"/>
              <w:autoSpaceDN/>
              <w:spacing w:line="240" w:lineRule="exact"/>
              <w:jc w:val="right"/>
              <w:outlineLvl w:val="0"/>
              <w:rPr>
                <w:rFonts w:ascii="Arial" w:eastAsia="Calibri" w:hAnsi="Arial" w:cs="Arial"/>
                <w:spacing w:val="-2"/>
                <w:sz w:val="17"/>
                <w:szCs w:val="17"/>
              </w:rPr>
            </w:pPr>
          </w:p>
        </w:tc>
      </w:tr>
      <w:tr w:rsidR="00587444" w:rsidRPr="00587444" w14:paraId="73629720" w14:textId="77777777" w:rsidTr="00DD69E7">
        <w:trPr>
          <w:trHeight w:hRule="exact" w:val="275"/>
        </w:trPr>
        <w:tc>
          <w:tcPr>
            <w:tcW w:w="1642" w:type="pct"/>
            <w:vAlign w:val="bottom"/>
          </w:tcPr>
          <w:p w14:paraId="4724ADE9" w14:textId="77777777" w:rsidR="00587444" w:rsidRPr="00587444" w:rsidRDefault="00587444" w:rsidP="00587444">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Deposits from customers </w:t>
            </w:r>
          </w:p>
        </w:tc>
        <w:tc>
          <w:tcPr>
            <w:tcW w:w="507" w:type="pct"/>
            <w:tcBorders>
              <w:top w:val="nil"/>
              <w:left w:val="nil"/>
              <w:bottom w:val="nil"/>
              <w:right w:val="nil"/>
            </w:tcBorders>
            <w:shd w:val="clear" w:color="auto" w:fill="auto"/>
            <w:vAlign w:val="bottom"/>
          </w:tcPr>
          <w:p w14:paraId="653094A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622,284 </w:t>
            </w:r>
          </w:p>
        </w:tc>
        <w:tc>
          <w:tcPr>
            <w:tcW w:w="552" w:type="pct"/>
            <w:tcBorders>
              <w:top w:val="nil"/>
              <w:left w:val="nil"/>
              <w:bottom w:val="nil"/>
              <w:right w:val="nil"/>
            </w:tcBorders>
            <w:shd w:val="clear" w:color="auto" w:fill="auto"/>
            <w:vAlign w:val="bottom"/>
          </w:tcPr>
          <w:p w14:paraId="13C33EFB"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22,169 </w:t>
            </w:r>
          </w:p>
        </w:tc>
        <w:tc>
          <w:tcPr>
            <w:tcW w:w="590" w:type="pct"/>
            <w:tcBorders>
              <w:top w:val="nil"/>
              <w:left w:val="nil"/>
              <w:bottom w:val="nil"/>
              <w:right w:val="nil"/>
            </w:tcBorders>
            <w:shd w:val="clear" w:color="auto" w:fill="auto"/>
            <w:vAlign w:val="bottom"/>
          </w:tcPr>
          <w:p w14:paraId="4453F023"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105,183 </w:t>
            </w:r>
          </w:p>
        </w:tc>
        <w:tc>
          <w:tcPr>
            <w:tcW w:w="572" w:type="pct"/>
            <w:tcBorders>
              <w:top w:val="nil"/>
              <w:left w:val="nil"/>
              <w:bottom w:val="nil"/>
              <w:right w:val="nil"/>
            </w:tcBorders>
            <w:shd w:val="clear" w:color="auto" w:fill="auto"/>
            <w:vAlign w:val="bottom"/>
          </w:tcPr>
          <w:p w14:paraId="63303718"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95,453 </w:t>
            </w:r>
          </w:p>
        </w:tc>
        <w:tc>
          <w:tcPr>
            <w:tcW w:w="573" w:type="pct"/>
            <w:tcBorders>
              <w:top w:val="nil"/>
              <w:left w:val="nil"/>
              <w:bottom w:val="nil"/>
              <w:right w:val="nil"/>
            </w:tcBorders>
            <w:shd w:val="clear" w:color="auto" w:fill="auto"/>
            <w:vAlign w:val="bottom"/>
          </w:tcPr>
          <w:p w14:paraId="4BBE7F6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115,452 </w:t>
            </w:r>
          </w:p>
        </w:tc>
        <w:tc>
          <w:tcPr>
            <w:tcW w:w="564" w:type="pct"/>
            <w:tcBorders>
              <w:top w:val="nil"/>
              <w:left w:val="nil"/>
              <w:bottom w:val="nil"/>
              <w:right w:val="nil"/>
            </w:tcBorders>
            <w:shd w:val="clear" w:color="auto" w:fill="auto"/>
            <w:vAlign w:val="bottom"/>
          </w:tcPr>
          <w:p w14:paraId="6629F9D7"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960,541</w:t>
            </w:r>
          </w:p>
        </w:tc>
      </w:tr>
      <w:tr w:rsidR="00587444" w:rsidRPr="00587444" w14:paraId="5D8B3742" w14:textId="77777777" w:rsidTr="00DD69E7">
        <w:trPr>
          <w:trHeight w:hRule="exact" w:val="275"/>
        </w:trPr>
        <w:tc>
          <w:tcPr>
            <w:tcW w:w="1642" w:type="pct"/>
            <w:vAlign w:val="bottom"/>
          </w:tcPr>
          <w:p w14:paraId="284CA7A7" w14:textId="77777777" w:rsidR="00587444" w:rsidRPr="00587444" w:rsidRDefault="00587444" w:rsidP="00587444">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Borrowings </w:t>
            </w:r>
          </w:p>
        </w:tc>
        <w:tc>
          <w:tcPr>
            <w:tcW w:w="507" w:type="pct"/>
            <w:tcBorders>
              <w:top w:val="nil"/>
              <w:left w:val="nil"/>
              <w:bottom w:val="nil"/>
              <w:right w:val="nil"/>
            </w:tcBorders>
            <w:shd w:val="clear" w:color="auto" w:fill="auto"/>
            <w:vAlign w:val="bottom"/>
          </w:tcPr>
          <w:p w14:paraId="1FC8836B"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244,301 </w:t>
            </w:r>
          </w:p>
        </w:tc>
        <w:tc>
          <w:tcPr>
            <w:tcW w:w="552" w:type="pct"/>
            <w:tcBorders>
              <w:top w:val="nil"/>
              <w:left w:val="nil"/>
              <w:bottom w:val="nil"/>
              <w:right w:val="nil"/>
            </w:tcBorders>
            <w:shd w:val="clear" w:color="auto" w:fill="auto"/>
            <w:vAlign w:val="bottom"/>
          </w:tcPr>
          <w:p w14:paraId="6A6659D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333,934** </w:t>
            </w:r>
          </w:p>
        </w:tc>
        <w:tc>
          <w:tcPr>
            <w:tcW w:w="590" w:type="pct"/>
            <w:tcBorders>
              <w:top w:val="nil"/>
              <w:left w:val="nil"/>
              <w:bottom w:val="nil"/>
              <w:right w:val="nil"/>
            </w:tcBorders>
            <w:shd w:val="clear" w:color="auto" w:fill="auto"/>
            <w:vAlign w:val="bottom"/>
          </w:tcPr>
          <w:p w14:paraId="739263C0"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1,807,992 </w:t>
            </w:r>
          </w:p>
        </w:tc>
        <w:tc>
          <w:tcPr>
            <w:tcW w:w="572" w:type="pct"/>
            <w:tcBorders>
              <w:top w:val="nil"/>
              <w:left w:val="nil"/>
              <w:bottom w:val="nil"/>
              <w:right w:val="nil"/>
            </w:tcBorders>
            <w:shd w:val="clear" w:color="auto" w:fill="auto"/>
            <w:vAlign w:val="bottom"/>
          </w:tcPr>
          <w:p w14:paraId="5209AF3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5,777,582 </w:t>
            </w:r>
          </w:p>
        </w:tc>
        <w:tc>
          <w:tcPr>
            <w:tcW w:w="573" w:type="pct"/>
            <w:tcBorders>
              <w:top w:val="nil"/>
              <w:left w:val="nil"/>
              <w:bottom w:val="nil"/>
              <w:right w:val="nil"/>
            </w:tcBorders>
            <w:shd w:val="clear" w:color="auto" w:fill="auto"/>
            <w:vAlign w:val="bottom"/>
          </w:tcPr>
          <w:p w14:paraId="5894A5FA"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7,951,428 </w:t>
            </w:r>
          </w:p>
        </w:tc>
        <w:tc>
          <w:tcPr>
            <w:tcW w:w="564" w:type="pct"/>
            <w:tcBorders>
              <w:top w:val="nil"/>
              <w:left w:val="nil"/>
              <w:bottom w:val="nil"/>
              <w:right w:val="nil"/>
            </w:tcBorders>
            <w:shd w:val="clear" w:color="auto" w:fill="auto"/>
            <w:vAlign w:val="bottom"/>
          </w:tcPr>
          <w:p w14:paraId="59B05A76"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16,115,237</w:t>
            </w:r>
          </w:p>
        </w:tc>
      </w:tr>
      <w:tr w:rsidR="00587444" w:rsidRPr="00587444" w14:paraId="2F5F1D8F" w14:textId="77777777" w:rsidTr="00DD69E7">
        <w:trPr>
          <w:trHeight w:hRule="exact" w:val="479"/>
        </w:trPr>
        <w:tc>
          <w:tcPr>
            <w:tcW w:w="1642" w:type="pct"/>
            <w:vAlign w:val="bottom"/>
          </w:tcPr>
          <w:p w14:paraId="40D3C960" w14:textId="77777777" w:rsidR="00587444" w:rsidRPr="00587444" w:rsidRDefault="00587444" w:rsidP="00587444">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Provisions for guarantees, commitments and other liabilities</w:t>
            </w:r>
          </w:p>
        </w:tc>
        <w:tc>
          <w:tcPr>
            <w:tcW w:w="507" w:type="pct"/>
            <w:tcBorders>
              <w:top w:val="nil"/>
              <w:left w:val="nil"/>
              <w:bottom w:val="nil"/>
              <w:right w:val="nil"/>
            </w:tcBorders>
            <w:shd w:val="clear" w:color="auto" w:fill="auto"/>
            <w:vAlign w:val="bottom"/>
          </w:tcPr>
          <w:p w14:paraId="17E13F0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105,893 </w:t>
            </w:r>
          </w:p>
        </w:tc>
        <w:tc>
          <w:tcPr>
            <w:tcW w:w="552" w:type="pct"/>
            <w:tcBorders>
              <w:top w:val="nil"/>
              <w:left w:val="nil"/>
              <w:bottom w:val="nil"/>
              <w:right w:val="nil"/>
            </w:tcBorders>
            <w:shd w:val="clear" w:color="auto" w:fill="auto"/>
            <w:vAlign w:val="bottom"/>
          </w:tcPr>
          <w:p w14:paraId="373B5FC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5,962 </w:t>
            </w:r>
          </w:p>
        </w:tc>
        <w:tc>
          <w:tcPr>
            <w:tcW w:w="590" w:type="pct"/>
            <w:tcBorders>
              <w:top w:val="nil"/>
              <w:left w:val="nil"/>
              <w:bottom w:val="nil"/>
              <w:right w:val="nil"/>
            </w:tcBorders>
            <w:shd w:val="clear" w:color="auto" w:fill="auto"/>
            <w:vAlign w:val="bottom"/>
          </w:tcPr>
          <w:p w14:paraId="7BD75C7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19,815 </w:t>
            </w:r>
          </w:p>
        </w:tc>
        <w:tc>
          <w:tcPr>
            <w:tcW w:w="572" w:type="pct"/>
            <w:tcBorders>
              <w:top w:val="nil"/>
              <w:left w:val="nil"/>
              <w:bottom w:val="nil"/>
              <w:right w:val="nil"/>
            </w:tcBorders>
            <w:shd w:val="clear" w:color="auto" w:fill="auto"/>
            <w:vAlign w:val="bottom"/>
          </w:tcPr>
          <w:p w14:paraId="100434E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30,577 </w:t>
            </w:r>
          </w:p>
        </w:tc>
        <w:tc>
          <w:tcPr>
            <w:tcW w:w="573" w:type="pct"/>
            <w:tcBorders>
              <w:top w:val="nil"/>
              <w:left w:val="nil"/>
              <w:bottom w:val="nil"/>
              <w:right w:val="nil"/>
            </w:tcBorders>
            <w:shd w:val="clear" w:color="auto" w:fill="auto"/>
            <w:vAlign w:val="bottom"/>
          </w:tcPr>
          <w:p w14:paraId="0C6D4CD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28,056 </w:t>
            </w:r>
          </w:p>
        </w:tc>
        <w:tc>
          <w:tcPr>
            <w:tcW w:w="564" w:type="pct"/>
            <w:tcBorders>
              <w:top w:val="nil"/>
              <w:left w:val="nil"/>
              <w:bottom w:val="nil"/>
              <w:right w:val="nil"/>
            </w:tcBorders>
            <w:shd w:val="clear" w:color="auto" w:fill="auto"/>
            <w:vAlign w:val="bottom"/>
          </w:tcPr>
          <w:p w14:paraId="5828C6C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190,303</w:t>
            </w:r>
          </w:p>
        </w:tc>
      </w:tr>
      <w:tr w:rsidR="00587444" w:rsidRPr="00587444" w14:paraId="734D201A" w14:textId="77777777" w:rsidTr="00DD69E7">
        <w:trPr>
          <w:trHeight w:hRule="exact" w:val="275"/>
        </w:trPr>
        <w:tc>
          <w:tcPr>
            <w:tcW w:w="1642" w:type="pct"/>
            <w:vAlign w:val="bottom"/>
          </w:tcPr>
          <w:p w14:paraId="6EFDB92F" w14:textId="77777777" w:rsidR="00587444" w:rsidRPr="00587444" w:rsidRDefault="00587444" w:rsidP="00587444">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Other liabilities </w:t>
            </w:r>
          </w:p>
        </w:tc>
        <w:tc>
          <w:tcPr>
            <w:tcW w:w="507" w:type="pct"/>
            <w:tcBorders>
              <w:top w:val="nil"/>
              <w:left w:val="nil"/>
              <w:bottom w:val="nil"/>
              <w:right w:val="nil"/>
            </w:tcBorders>
            <w:shd w:val="clear" w:color="auto" w:fill="auto"/>
            <w:vAlign w:val="bottom"/>
          </w:tcPr>
          <w:p w14:paraId="16B62FCC"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231,580 </w:t>
            </w:r>
          </w:p>
        </w:tc>
        <w:tc>
          <w:tcPr>
            <w:tcW w:w="552" w:type="pct"/>
            <w:tcBorders>
              <w:top w:val="nil"/>
              <w:left w:val="nil"/>
              <w:bottom w:val="nil"/>
              <w:right w:val="nil"/>
            </w:tcBorders>
            <w:shd w:val="clear" w:color="auto" w:fill="auto"/>
            <w:vAlign w:val="bottom"/>
          </w:tcPr>
          <w:p w14:paraId="665451F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13,038 </w:t>
            </w:r>
          </w:p>
        </w:tc>
        <w:tc>
          <w:tcPr>
            <w:tcW w:w="590" w:type="pct"/>
            <w:tcBorders>
              <w:top w:val="nil"/>
              <w:left w:val="nil"/>
              <w:bottom w:val="nil"/>
              <w:right w:val="nil"/>
            </w:tcBorders>
            <w:shd w:val="clear" w:color="auto" w:fill="auto"/>
            <w:vAlign w:val="bottom"/>
          </w:tcPr>
          <w:p w14:paraId="4BDA4F8B"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43,334 </w:t>
            </w:r>
          </w:p>
        </w:tc>
        <w:tc>
          <w:tcPr>
            <w:tcW w:w="572" w:type="pct"/>
            <w:tcBorders>
              <w:top w:val="nil"/>
              <w:left w:val="nil"/>
              <w:bottom w:val="nil"/>
              <w:right w:val="nil"/>
            </w:tcBorders>
            <w:shd w:val="clear" w:color="auto" w:fill="auto"/>
            <w:vAlign w:val="bottom"/>
          </w:tcPr>
          <w:p w14:paraId="112A7246"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66,870 </w:t>
            </w:r>
          </w:p>
        </w:tc>
        <w:tc>
          <w:tcPr>
            <w:tcW w:w="573" w:type="pct"/>
            <w:tcBorders>
              <w:top w:val="nil"/>
              <w:left w:val="nil"/>
              <w:bottom w:val="nil"/>
              <w:right w:val="nil"/>
            </w:tcBorders>
            <w:shd w:val="clear" w:color="auto" w:fill="auto"/>
            <w:vAlign w:val="bottom"/>
          </w:tcPr>
          <w:p w14:paraId="246E94B0"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 xml:space="preserve"> 61,356 </w:t>
            </w:r>
          </w:p>
        </w:tc>
        <w:tc>
          <w:tcPr>
            <w:tcW w:w="564" w:type="pct"/>
            <w:tcBorders>
              <w:top w:val="nil"/>
              <w:left w:val="nil"/>
              <w:bottom w:val="nil"/>
              <w:right w:val="nil"/>
            </w:tcBorders>
            <w:shd w:val="clear" w:color="auto" w:fill="auto"/>
            <w:vAlign w:val="bottom"/>
          </w:tcPr>
          <w:p w14:paraId="414AF2B0"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spacing w:val="-2"/>
                <w:sz w:val="17"/>
                <w:szCs w:val="17"/>
              </w:rPr>
            </w:pPr>
            <w:r w:rsidRPr="00587444">
              <w:rPr>
                <w:rFonts w:ascii="Arial" w:hAnsi="Arial" w:cs="Arial"/>
                <w:color w:val="000000"/>
                <w:sz w:val="17"/>
                <w:szCs w:val="17"/>
              </w:rPr>
              <w:t>416,178</w:t>
            </w:r>
          </w:p>
        </w:tc>
      </w:tr>
      <w:tr w:rsidR="00587444" w:rsidRPr="00587444" w14:paraId="18E69D70" w14:textId="77777777" w:rsidTr="00DD69E7">
        <w:trPr>
          <w:trHeight w:hRule="exact" w:val="275"/>
        </w:trPr>
        <w:tc>
          <w:tcPr>
            <w:tcW w:w="1642" w:type="pct"/>
            <w:vAlign w:val="bottom"/>
          </w:tcPr>
          <w:p w14:paraId="70D5814D"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z w:val="17"/>
                <w:szCs w:val="17"/>
              </w:rPr>
            </w:pPr>
            <w:r w:rsidRPr="00587444">
              <w:rPr>
                <w:rFonts w:ascii="Arial" w:eastAsia="Calibri" w:hAnsi="Arial" w:cs="Arial"/>
                <w:b/>
                <w:bCs/>
                <w:sz w:val="17"/>
                <w:szCs w:val="17"/>
              </w:rPr>
              <w:t>Total liabilities</w:t>
            </w:r>
          </w:p>
        </w:tc>
        <w:tc>
          <w:tcPr>
            <w:tcW w:w="507" w:type="pct"/>
            <w:tcBorders>
              <w:top w:val="single" w:sz="8" w:space="0" w:color="auto"/>
              <w:left w:val="nil"/>
              <w:bottom w:val="single" w:sz="8" w:space="0" w:color="auto"/>
              <w:right w:val="nil"/>
            </w:tcBorders>
            <w:shd w:val="clear" w:color="auto" w:fill="auto"/>
            <w:vAlign w:val="bottom"/>
          </w:tcPr>
          <w:p w14:paraId="49CE4A8D"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1,204,058</w:t>
            </w:r>
          </w:p>
        </w:tc>
        <w:tc>
          <w:tcPr>
            <w:tcW w:w="552" w:type="pct"/>
            <w:tcBorders>
              <w:top w:val="single" w:sz="8" w:space="0" w:color="auto"/>
              <w:left w:val="nil"/>
              <w:bottom w:val="single" w:sz="8" w:space="0" w:color="auto"/>
              <w:right w:val="nil"/>
            </w:tcBorders>
            <w:shd w:val="clear" w:color="auto" w:fill="auto"/>
            <w:vAlign w:val="bottom"/>
          </w:tcPr>
          <w:p w14:paraId="0A0EEC80"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375,103</w:t>
            </w:r>
          </w:p>
        </w:tc>
        <w:tc>
          <w:tcPr>
            <w:tcW w:w="590" w:type="pct"/>
            <w:tcBorders>
              <w:top w:val="single" w:sz="8" w:space="0" w:color="auto"/>
              <w:left w:val="nil"/>
              <w:bottom w:val="single" w:sz="8" w:space="0" w:color="auto"/>
              <w:right w:val="nil"/>
            </w:tcBorders>
            <w:shd w:val="clear" w:color="auto" w:fill="auto"/>
            <w:vAlign w:val="bottom"/>
          </w:tcPr>
          <w:p w14:paraId="7993A5D7"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1,976,324</w:t>
            </w:r>
          </w:p>
        </w:tc>
        <w:tc>
          <w:tcPr>
            <w:tcW w:w="572" w:type="pct"/>
            <w:tcBorders>
              <w:top w:val="single" w:sz="8" w:space="0" w:color="auto"/>
              <w:left w:val="nil"/>
              <w:bottom w:val="single" w:sz="8" w:space="0" w:color="auto"/>
              <w:right w:val="nil"/>
            </w:tcBorders>
            <w:shd w:val="clear" w:color="auto" w:fill="auto"/>
            <w:vAlign w:val="bottom"/>
          </w:tcPr>
          <w:p w14:paraId="304E23EA"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5,970,482</w:t>
            </w:r>
          </w:p>
        </w:tc>
        <w:tc>
          <w:tcPr>
            <w:tcW w:w="573" w:type="pct"/>
            <w:tcBorders>
              <w:top w:val="single" w:sz="8" w:space="0" w:color="auto"/>
              <w:left w:val="nil"/>
              <w:bottom w:val="single" w:sz="8" w:space="0" w:color="auto"/>
              <w:right w:val="nil"/>
            </w:tcBorders>
            <w:shd w:val="clear" w:color="auto" w:fill="auto"/>
            <w:vAlign w:val="bottom"/>
          </w:tcPr>
          <w:p w14:paraId="40C496C2"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8,156,292</w:t>
            </w:r>
          </w:p>
        </w:tc>
        <w:tc>
          <w:tcPr>
            <w:tcW w:w="564" w:type="pct"/>
            <w:tcBorders>
              <w:top w:val="single" w:sz="8" w:space="0" w:color="auto"/>
              <w:left w:val="nil"/>
              <w:bottom w:val="single" w:sz="8" w:space="0" w:color="auto"/>
              <w:right w:val="nil"/>
            </w:tcBorders>
            <w:shd w:val="clear" w:color="auto" w:fill="auto"/>
            <w:vAlign w:val="bottom"/>
          </w:tcPr>
          <w:p w14:paraId="50D866A5"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spacing w:val="-2"/>
                <w:sz w:val="17"/>
                <w:szCs w:val="17"/>
              </w:rPr>
            </w:pPr>
            <w:r w:rsidRPr="00587444">
              <w:rPr>
                <w:rFonts w:ascii="Arial" w:hAnsi="Arial" w:cs="Arial"/>
                <w:b/>
                <w:bCs/>
                <w:color w:val="000000"/>
                <w:sz w:val="17"/>
                <w:szCs w:val="17"/>
              </w:rPr>
              <w:t>17,682,259</w:t>
            </w:r>
          </w:p>
        </w:tc>
      </w:tr>
      <w:tr w:rsidR="00587444" w:rsidRPr="00587444" w14:paraId="245F8323" w14:textId="77777777" w:rsidTr="00DD69E7">
        <w:trPr>
          <w:trHeight w:hRule="exact" w:val="275"/>
        </w:trPr>
        <w:tc>
          <w:tcPr>
            <w:tcW w:w="1642" w:type="pct"/>
            <w:vAlign w:val="bottom"/>
          </w:tcPr>
          <w:p w14:paraId="62328ED4"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pacing w:val="-2"/>
                <w:sz w:val="17"/>
                <w:szCs w:val="17"/>
              </w:rPr>
            </w:pPr>
            <w:r w:rsidRPr="00587444">
              <w:rPr>
                <w:rFonts w:ascii="Arial" w:eastAsia="Calibri" w:hAnsi="Arial" w:cs="Arial"/>
                <w:b/>
                <w:bCs/>
                <w:spacing w:val="-2"/>
                <w:sz w:val="17"/>
                <w:szCs w:val="17"/>
              </w:rPr>
              <w:t>Liquidity gap</w:t>
            </w:r>
          </w:p>
        </w:tc>
        <w:tc>
          <w:tcPr>
            <w:tcW w:w="507" w:type="pct"/>
            <w:tcBorders>
              <w:top w:val="single" w:sz="12" w:space="0" w:color="auto"/>
              <w:left w:val="nil"/>
              <w:bottom w:val="single" w:sz="12" w:space="0" w:color="auto"/>
              <w:right w:val="nil"/>
            </w:tcBorders>
            <w:shd w:val="clear" w:color="auto" w:fill="auto"/>
            <w:vAlign w:val="bottom"/>
          </w:tcPr>
          <w:p w14:paraId="489E3D3F"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587444">
              <w:rPr>
                <w:rFonts w:ascii="Arial" w:hAnsi="Arial" w:cs="Arial"/>
                <w:b/>
                <w:bCs/>
                <w:color w:val="000000"/>
                <w:sz w:val="17"/>
                <w:szCs w:val="17"/>
              </w:rPr>
              <w:t>5,907,600</w:t>
            </w:r>
          </w:p>
        </w:tc>
        <w:tc>
          <w:tcPr>
            <w:tcW w:w="552" w:type="pct"/>
            <w:tcBorders>
              <w:top w:val="single" w:sz="12" w:space="0" w:color="auto"/>
              <w:left w:val="nil"/>
              <w:bottom w:val="single" w:sz="12" w:space="0" w:color="auto"/>
              <w:right w:val="nil"/>
            </w:tcBorders>
            <w:shd w:val="clear" w:color="auto" w:fill="auto"/>
            <w:vAlign w:val="bottom"/>
          </w:tcPr>
          <w:p w14:paraId="79A078BE"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587444">
              <w:rPr>
                <w:rFonts w:ascii="Arial" w:hAnsi="Arial" w:cs="Arial"/>
                <w:b/>
                <w:bCs/>
                <w:color w:val="000000"/>
                <w:sz w:val="17"/>
                <w:szCs w:val="17"/>
              </w:rPr>
              <w:t>171,357</w:t>
            </w:r>
          </w:p>
        </w:tc>
        <w:tc>
          <w:tcPr>
            <w:tcW w:w="590" w:type="pct"/>
            <w:tcBorders>
              <w:top w:val="single" w:sz="12" w:space="0" w:color="auto"/>
              <w:left w:val="nil"/>
              <w:bottom w:val="single" w:sz="12" w:space="0" w:color="auto"/>
              <w:right w:val="nil"/>
            </w:tcBorders>
            <w:shd w:val="clear" w:color="auto" w:fill="auto"/>
            <w:vAlign w:val="bottom"/>
          </w:tcPr>
          <w:p w14:paraId="1C450F94"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587444">
              <w:rPr>
                <w:rFonts w:ascii="Arial" w:hAnsi="Arial" w:cs="Arial"/>
                <w:b/>
                <w:bCs/>
                <w:color w:val="000000"/>
                <w:sz w:val="17"/>
                <w:szCs w:val="17"/>
              </w:rPr>
              <w:t>(24,173)</w:t>
            </w:r>
          </w:p>
        </w:tc>
        <w:tc>
          <w:tcPr>
            <w:tcW w:w="572" w:type="pct"/>
            <w:tcBorders>
              <w:top w:val="single" w:sz="12" w:space="0" w:color="auto"/>
              <w:left w:val="nil"/>
              <w:bottom w:val="single" w:sz="12" w:space="0" w:color="auto"/>
              <w:right w:val="nil"/>
            </w:tcBorders>
            <w:shd w:val="clear" w:color="auto" w:fill="auto"/>
            <w:vAlign w:val="bottom"/>
          </w:tcPr>
          <w:p w14:paraId="207372AA"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587444">
              <w:rPr>
                <w:rFonts w:ascii="Arial" w:hAnsi="Arial" w:cs="Arial"/>
                <w:b/>
                <w:bCs/>
                <w:color w:val="000000"/>
                <w:sz w:val="17"/>
                <w:szCs w:val="17"/>
              </w:rPr>
              <w:t>(832,276)</w:t>
            </w:r>
          </w:p>
        </w:tc>
        <w:tc>
          <w:tcPr>
            <w:tcW w:w="573" w:type="pct"/>
            <w:tcBorders>
              <w:top w:val="single" w:sz="12" w:space="0" w:color="auto"/>
              <w:left w:val="nil"/>
              <w:bottom w:val="single" w:sz="12" w:space="0" w:color="auto"/>
              <w:right w:val="nil"/>
            </w:tcBorders>
            <w:shd w:val="clear" w:color="auto" w:fill="auto"/>
            <w:vAlign w:val="bottom"/>
          </w:tcPr>
          <w:p w14:paraId="0802ABB1"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587444">
              <w:rPr>
                <w:rFonts w:ascii="Arial" w:hAnsi="Arial" w:cs="Arial"/>
                <w:b/>
                <w:bCs/>
                <w:color w:val="000000"/>
                <w:sz w:val="17"/>
                <w:szCs w:val="17"/>
              </w:rPr>
              <w:t>5,345,221</w:t>
            </w:r>
          </w:p>
        </w:tc>
        <w:tc>
          <w:tcPr>
            <w:tcW w:w="564" w:type="pct"/>
            <w:tcBorders>
              <w:top w:val="single" w:sz="12" w:space="0" w:color="auto"/>
              <w:left w:val="nil"/>
              <w:bottom w:val="single" w:sz="12" w:space="0" w:color="auto"/>
              <w:right w:val="nil"/>
            </w:tcBorders>
            <w:shd w:val="clear" w:color="auto" w:fill="auto"/>
            <w:vAlign w:val="bottom"/>
          </w:tcPr>
          <w:p w14:paraId="69816729" w14:textId="77777777" w:rsidR="00587444" w:rsidRPr="00587444" w:rsidRDefault="00587444" w:rsidP="00587444">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587444">
              <w:rPr>
                <w:rFonts w:ascii="Arial" w:hAnsi="Arial" w:cs="Arial"/>
                <w:b/>
                <w:bCs/>
                <w:color w:val="000000"/>
                <w:sz w:val="17"/>
                <w:szCs w:val="17"/>
              </w:rPr>
              <w:t>10,567,729</w:t>
            </w:r>
          </w:p>
        </w:tc>
      </w:tr>
      <w:tr w:rsidR="00587444" w:rsidRPr="00587444" w14:paraId="1F44087E" w14:textId="77777777" w:rsidTr="00DD69E7">
        <w:trPr>
          <w:trHeight w:hRule="exact" w:val="275"/>
        </w:trPr>
        <w:tc>
          <w:tcPr>
            <w:tcW w:w="1642" w:type="pct"/>
            <w:vAlign w:val="bottom"/>
          </w:tcPr>
          <w:p w14:paraId="7F369720"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pacing w:val="-2"/>
                <w:sz w:val="17"/>
                <w:szCs w:val="17"/>
              </w:rPr>
            </w:pPr>
          </w:p>
        </w:tc>
        <w:tc>
          <w:tcPr>
            <w:tcW w:w="507" w:type="pct"/>
            <w:tcBorders>
              <w:top w:val="single" w:sz="12" w:space="0" w:color="auto"/>
              <w:left w:val="nil"/>
              <w:right w:val="nil"/>
            </w:tcBorders>
            <w:shd w:val="clear" w:color="auto" w:fill="auto"/>
            <w:vAlign w:val="bottom"/>
          </w:tcPr>
          <w:p w14:paraId="6C50966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52" w:type="pct"/>
            <w:tcBorders>
              <w:top w:val="single" w:sz="12" w:space="0" w:color="auto"/>
              <w:left w:val="nil"/>
              <w:right w:val="nil"/>
            </w:tcBorders>
            <w:shd w:val="clear" w:color="auto" w:fill="auto"/>
            <w:vAlign w:val="bottom"/>
          </w:tcPr>
          <w:p w14:paraId="6AA7610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90" w:type="pct"/>
            <w:tcBorders>
              <w:top w:val="single" w:sz="12" w:space="0" w:color="auto"/>
              <w:left w:val="nil"/>
              <w:right w:val="nil"/>
            </w:tcBorders>
            <w:shd w:val="clear" w:color="auto" w:fill="auto"/>
            <w:vAlign w:val="bottom"/>
          </w:tcPr>
          <w:p w14:paraId="3241775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72" w:type="pct"/>
            <w:tcBorders>
              <w:top w:val="single" w:sz="12" w:space="0" w:color="auto"/>
              <w:left w:val="nil"/>
              <w:right w:val="nil"/>
            </w:tcBorders>
            <w:shd w:val="clear" w:color="auto" w:fill="auto"/>
            <w:vAlign w:val="bottom"/>
          </w:tcPr>
          <w:p w14:paraId="148C613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73" w:type="pct"/>
            <w:tcBorders>
              <w:top w:val="single" w:sz="12" w:space="0" w:color="auto"/>
              <w:left w:val="nil"/>
              <w:right w:val="nil"/>
            </w:tcBorders>
            <w:shd w:val="clear" w:color="auto" w:fill="auto"/>
            <w:vAlign w:val="bottom"/>
          </w:tcPr>
          <w:p w14:paraId="6879F9D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64" w:type="pct"/>
            <w:tcBorders>
              <w:top w:val="single" w:sz="12" w:space="0" w:color="auto"/>
              <w:left w:val="nil"/>
              <w:right w:val="nil"/>
            </w:tcBorders>
            <w:shd w:val="clear" w:color="auto" w:fill="auto"/>
            <w:vAlign w:val="bottom"/>
          </w:tcPr>
          <w:p w14:paraId="2A732AF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r>
      <w:tr w:rsidR="00587444" w:rsidRPr="00587444" w14:paraId="6C3B21B9" w14:textId="77777777" w:rsidTr="00DD69E7">
        <w:trPr>
          <w:trHeight w:hRule="exact" w:val="275"/>
        </w:trPr>
        <w:tc>
          <w:tcPr>
            <w:tcW w:w="1642" w:type="pct"/>
            <w:vAlign w:val="bottom"/>
          </w:tcPr>
          <w:p w14:paraId="10069D8C"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pacing w:val="-2"/>
                <w:sz w:val="17"/>
                <w:szCs w:val="17"/>
              </w:rPr>
            </w:pPr>
            <w:r w:rsidRPr="00587444">
              <w:rPr>
                <w:rFonts w:ascii="Arial" w:hAnsi="Arial" w:cs="Arial"/>
                <w:b/>
                <w:bCs/>
                <w:spacing w:val="-2"/>
                <w:sz w:val="17"/>
                <w:szCs w:val="17"/>
              </w:rPr>
              <w:t>Guarantees and commitments</w:t>
            </w:r>
          </w:p>
        </w:tc>
        <w:tc>
          <w:tcPr>
            <w:tcW w:w="507" w:type="pct"/>
            <w:tcBorders>
              <w:top w:val="nil"/>
              <w:left w:val="nil"/>
              <w:bottom w:val="nil"/>
              <w:right w:val="nil"/>
            </w:tcBorders>
            <w:shd w:val="clear" w:color="auto" w:fill="auto"/>
            <w:vAlign w:val="bottom"/>
          </w:tcPr>
          <w:p w14:paraId="68D6BA2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52" w:type="pct"/>
            <w:tcBorders>
              <w:top w:val="nil"/>
              <w:left w:val="nil"/>
              <w:bottom w:val="nil"/>
              <w:right w:val="nil"/>
            </w:tcBorders>
            <w:shd w:val="clear" w:color="auto" w:fill="auto"/>
            <w:vAlign w:val="bottom"/>
          </w:tcPr>
          <w:p w14:paraId="10B16B0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90" w:type="pct"/>
            <w:tcBorders>
              <w:top w:val="nil"/>
              <w:left w:val="nil"/>
              <w:bottom w:val="nil"/>
              <w:right w:val="nil"/>
            </w:tcBorders>
            <w:shd w:val="clear" w:color="auto" w:fill="auto"/>
            <w:vAlign w:val="bottom"/>
          </w:tcPr>
          <w:p w14:paraId="0162B53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72" w:type="pct"/>
            <w:tcBorders>
              <w:top w:val="nil"/>
              <w:left w:val="nil"/>
              <w:bottom w:val="nil"/>
              <w:right w:val="nil"/>
            </w:tcBorders>
            <w:shd w:val="clear" w:color="auto" w:fill="auto"/>
            <w:vAlign w:val="bottom"/>
          </w:tcPr>
          <w:p w14:paraId="42CFE7F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73" w:type="pct"/>
            <w:tcBorders>
              <w:top w:val="nil"/>
              <w:left w:val="nil"/>
              <w:bottom w:val="nil"/>
              <w:right w:val="nil"/>
            </w:tcBorders>
            <w:shd w:val="clear" w:color="auto" w:fill="auto"/>
            <w:vAlign w:val="bottom"/>
          </w:tcPr>
          <w:p w14:paraId="3D038DE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c>
          <w:tcPr>
            <w:tcW w:w="564" w:type="pct"/>
            <w:tcBorders>
              <w:top w:val="nil"/>
              <w:left w:val="nil"/>
              <w:bottom w:val="nil"/>
              <w:right w:val="nil"/>
            </w:tcBorders>
            <w:shd w:val="clear" w:color="auto" w:fill="auto"/>
            <w:vAlign w:val="bottom"/>
          </w:tcPr>
          <w:p w14:paraId="4C68D18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bCs/>
                <w:color w:val="000000"/>
                <w:sz w:val="17"/>
                <w:szCs w:val="17"/>
              </w:rPr>
            </w:pPr>
          </w:p>
        </w:tc>
      </w:tr>
      <w:tr w:rsidR="00587444" w:rsidRPr="00587444" w14:paraId="3B9DE3CA" w14:textId="77777777" w:rsidTr="00DD69E7">
        <w:trPr>
          <w:trHeight w:hRule="exact" w:val="275"/>
        </w:trPr>
        <w:tc>
          <w:tcPr>
            <w:tcW w:w="1642" w:type="pct"/>
            <w:vAlign w:val="bottom"/>
          </w:tcPr>
          <w:p w14:paraId="3389B5D0"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pacing w:val="-2"/>
                <w:sz w:val="17"/>
                <w:szCs w:val="17"/>
              </w:rPr>
            </w:pPr>
            <w:r w:rsidRPr="00587444">
              <w:rPr>
                <w:rFonts w:ascii="Arial" w:hAnsi="Arial" w:cs="Arial"/>
                <w:spacing w:val="-2"/>
                <w:sz w:val="17"/>
                <w:szCs w:val="17"/>
              </w:rPr>
              <w:t>Guarantees issued in HRK</w:t>
            </w:r>
          </w:p>
        </w:tc>
        <w:tc>
          <w:tcPr>
            <w:tcW w:w="507" w:type="pct"/>
            <w:tcBorders>
              <w:top w:val="nil"/>
              <w:left w:val="nil"/>
              <w:bottom w:val="nil"/>
              <w:right w:val="nil"/>
            </w:tcBorders>
            <w:shd w:val="clear" w:color="auto" w:fill="auto"/>
            <w:vAlign w:val="center"/>
          </w:tcPr>
          <w:p w14:paraId="4510ACE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170,555 </w:t>
            </w:r>
          </w:p>
        </w:tc>
        <w:tc>
          <w:tcPr>
            <w:tcW w:w="552" w:type="pct"/>
            <w:tcBorders>
              <w:top w:val="nil"/>
              <w:left w:val="nil"/>
              <w:bottom w:val="nil"/>
              <w:right w:val="nil"/>
            </w:tcBorders>
            <w:shd w:val="clear" w:color="auto" w:fill="auto"/>
            <w:vAlign w:val="center"/>
          </w:tcPr>
          <w:p w14:paraId="2BC6DB1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center"/>
          </w:tcPr>
          <w:p w14:paraId="06CEBBE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center"/>
          </w:tcPr>
          <w:p w14:paraId="440C0EA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center"/>
          </w:tcPr>
          <w:p w14:paraId="1D9BB05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center"/>
          </w:tcPr>
          <w:p w14:paraId="78C86A2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170,555</w:t>
            </w:r>
          </w:p>
        </w:tc>
      </w:tr>
      <w:tr w:rsidR="00587444" w:rsidRPr="00587444" w14:paraId="65BCC29B" w14:textId="77777777" w:rsidTr="00DD69E7">
        <w:trPr>
          <w:trHeight w:hRule="exact" w:val="275"/>
        </w:trPr>
        <w:tc>
          <w:tcPr>
            <w:tcW w:w="1642" w:type="pct"/>
            <w:vAlign w:val="bottom"/>
          </w:tcPr>
          <w:p w14:paraId="33389313"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pacing w:val="-2"/>
                <w:sz w:val="17"/>
                <w:szCs w:val="17"/>
              </w:rPr>
            </w:pPr>
            <w:r w:rsidRPr="00587444">
              <w:rPr>
                <w:rFonts w:ascii="Arial" w:hAnsi="Arial" w:cs="Arial"/>
                <w:spacing w:val="-2"/>
                <w:sz w:val="17"/>
                <w:szCs w:val="17"/>
              </w:rPr>
              <w:t>Issued guarantees in foreign currency</w:t>
            </w:r>
          </w:p>
        </w:tc>
        <w:tc>
          <w:tcPr>
            <w:tcW w:w="507" w:type="pct"/>
            <w:tcBorders>
              <w:top w:val="nil"/>
              <w:left w:val="nil"/>
              <w:bottom w:val="nil"/>
              <w:right w:val="nil"/>
            </w:tcBorders>
            <w:shd w:val="clear" w:color="auto" w:fill="auto"/>
            <w:vAlign w:val="center"/>
          </w:tcPr>
          <w:p w14:paraId="1C6F1FD0"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325,103 </w:t>
            </w:r>
          </w:p>
        </w:tc>
        <w:tc>
          <w:tcPr>
            <w:tcW w:w="552" w:type="pct"/>
            <w:tcBorders>
              <w:top w:val="nil"/>
              <w:left w:val="nil"/>
              <w:bottom w:val="nil"/>
              <w:right w:val="nil"/>
            </w:tcBorders>
            <w:shd w:val="clear" w:color="auto" w:fill="auto"/>
            <w:vAlign w:val="center"/>
          </w:tcPr>
          <w:p w14:paraId="6E24353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center"/>
          </w:tcPr>
          <w:p w14:paraId="7E1A8A3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center"/>
          </w:tcPr>
          <w:p w14:paraId="5B348CE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center"/>
          </w:tcPr>
          <w:p w14:paraId="0A0DA986"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center"/>
          </w:tcPr>
          <w:p w14:paraId="492D30FA"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325,103</w:t>
            </w:r>
          </w:p>
        </w:tc>
      </w:tr>
      <w:tr w:rsidR="00587444" w:rsidRPr="00587444" w14:paraId="177EDD75" w14:textId="77777777" w:rsidTr="00DD69E7">
        <w:trPr>
          <w:trHeight w:hRule="exact" w:val="275"/>
        </w:trPr>
        <w:tc>
          <w:tcPr>
            <w:tcW w:w="1642" w:type="pct"/>
            <w:vAlign w:val="bottom"/>
          </w:tcPr>
          <w:p w14:paraId="1582A1B5"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pacing w:val="-2"/>
                <w:sz w:val="17"/>
                <w:szCs w:val="17"/>
              </w:rPr>
            </w:pPr>
            <w:r w:rsidRPr="00587444">
              <w:rPr>
                <w:rFonts w:ascii="Arial" w:hAnsi="Arial" w:cs="Arial"/>
                <w:spacing w:val="-2"/>
                <w:sz w:val="17"/>
                <w:szCs w:val="17"/>
              </w:rPr>
              <w:t>Undrawn loans</w:t>
            </w:r>
          </w:p>
        </w:tc>
        <w:tc>
          <w:tcPr>
            <w:tcW w:w="507" w:type="pct"/>
            <w:tcBorders>
              <w:top w:val="nil"/>
              <w:left w:val="nil"/>
              <w:bottom w:val="nil"/>
              <w:right w:val="nil"/>
            </w:tcBorders>
            <w:shd w:val="clear" w:color="auto" w:fill="auto"/>
            <w:vAlign w:val="center"/>
          </w:tcPr>
          <w:p w14:paraId="4F8257B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proofErr w:type="gramStart"/>
            <w:r w:rsidRPr="00587444">
              <w:rPr>
                <w:rFonts w:ascii="Arial" w:hAnsi="Arial" w:cs="Arial"/>
                <w:color w:val="000000"/>
                <w:sz w:val="17"/>
                <w:szCs w:val="17"/>
              </w:rPr>
              <w:t>3,492,038  -</w:t>
            </w:r>
            <w:proofErr w:type="gramEnd"/>
            <w:r w:rsidRPr="00587444">
              <w:rPr>
                <w:rFonts w:ascii="Arial" w:hAnsi="Arial" w:cs="Arial"/>
                <w:color w:val="000000"/>
                <w:sz w:val="17"/>
                <w:szCs w:val="17"/>
              </w:rPr>
              <w:t xml:space="preserve">  -  -  - 3,492,0383,492,038 </w:t>
            </w:r>
          </w:p>
        </w:tc>
        <w:tc>
          <w:tcPr>
            <w:tcW w:w="552" w:type="pct"/>
            <w:tcBorders>
              <w:top w:val="nil"/>
              <w:left w:val="nil"/>
              <w:bottom w:val="nil"/>
              <w:right w:val="nil"/>
            </w:tcBorders>
            <w:shd w:val="clear" w:color="auto" w:fill="auto"/>
            <w:vAlign w:val="center"/>
          </w:tcPr>
          <w:p w14:paraId="566C2C2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center"/>
          </w:tcPr>
          <w:p w14:paraId="0EE7774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center"/>
          </w:tcPr>
          <w:p w14:paraId="60D7390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center"/>
          </w:tcPr>
          <w:p w14:paraId="3BB3ACC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center"/>
          </w:tcPr>
          <w:p w14:paraId="76F7B24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3,492,038</w:t>
            </w:r>
          </w:p>
        </w:tc>
      </w:tr>
      <w:tr w:rsidR="00587444" w:rsidRPr="00587444" w14:paraId="7E3539BF" w14:textId="77777777" w:rsidTr="00DD69E7">
        <w:trPr>
          <w:trHeight w:hRule="exact" w:val="275"/>
        </w:trPr>
        <w:tc>
          <w:tcPr>
            <w:tcW w:w="1642" w:type="pct"/>
            <w:vAlign w:val="center"/>
          </w:tcPr>
          <w:p w14:paraId="790283A1" w14:textId="77777777" w:rsidR="00587444" w:rsidRPr="00587444" w:rsidRDefault="00587444" w:rsidP="00587444">
            <w:pPr>
              <w:tabs>
                <w:tab w:val="right" w:pos="1202"/>
              </w:tabs>
              <w:suppressAutoHyphens w:val="0"/>
              <w:autoSpaceDN/>
              <w:spacing w:line="240" w:lineRule="exact"/>
              <w:outlineLvl w:val="0"/>
              <w:rPr>
                <w:rFonts w:ascii="Arial" w:hAnsi="Arial" w:cs="Arial"/>
                <w:spacing w:val="-2"/>
                <w:sz w:val="17"/>
                <w:szCs w:val="17"/>
              </w:rPr>
            </w:pPr>
            <w:r w:rsidRPr="00587444">
              <w:rPr>
                <w:rFonts w:ascii="Arial" w:hAnsi="Arial" w:cs="Arial"/>
                <w:sz w:val="17"/>
                <w:szCs w:val="17"/>
              </w:rPr>
              <w:t>EIF – subscribed, not called up capital</w:t>
            </w:r>
          </w:p>
        </w:tc>
        <w:tc>
          <w:tcPr>
            <w:tcW w:w="507" w:type="pct"/>
            <w:tcBorders>
              <w:top w:val="nil"/>
              <w:left w:val="nil"/>
              <w:bottom w:val="nil"/>
              <w:right w:val="nil"/>
            </w:tcBorders>
            <w:shd w:val="clear" w:color="auto" w:fill="auto"/>
            <w:vAlign w:val="center"/>
          </w:tcPr>
          <w:p w14:paraId="7080A52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78,179 </w:t>
            </w:r>
          </w:p>
        </w:tc>
        <w:tc>
          <w:tcPr>
            <w:tcW w:w="552" w:type="pct"/>
            <w:tcBorders>
              <w:top w:val="nil"/>
              <w:left w:val="nil"/>
              <w:bottom w:val="nil"/>
              <w:right w:val="nil"/>
            </w:tcBorders>
            <w:shd w:val="clear" w:color="auto" w:fill="auto"/>
            <w:vAlign w:val="center"/>
          </w:tcPr>
          <w:p w14:paraId="124DD2E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center"/>
          </w:tcPr>
          <w:p w14:paraId="4EA148E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center"/>
          </w:tcPr>
          <w:p w14:paraId="1C7797D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center"/>
          </w:tcPr>
          <w:p w14:paraId="33091AF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center"/>
          </w:tcPr>
          <w:p w14:paraId="7F5BC22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78,179</w:t>
            </w:r>
          </w:p>
        </w:tc>
      </w:tr>
      <w:tr w:rsidR="00587444" w:rsidRPr="00587444" w14:paraId="3D321718" w14:textId="77777777" w:rsidTr="00DD69E7">
        <w:trPr>
          <w:trHeight w:hRule="exact" w:val="218"/>
        </w:trPr>
        <w:tc>
          <w:tcPr>
            <w:tcW w:w="1642" w:type="pct"/>
            <w:tcBorders>
              <w:top w:val="nil"/>
              <w:left w:val="nil"/>
              <w:bottom w:val="nil"/>
              <w:right w:val="nil"/>
            </w:tcBorders>
            <w:shd w:val="clear" w:color="auto" w:fill="auto"/>
            <w:vAlign w:val="bottom"/>
          </w:tcPr>
          <w:p w14:paraId="5AF548E6"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highlight w:val="yellow"/>
              </w:rPr>
            </w:pPr>
            <w:r w:rsidRPr="00587444">
              <w:rPr>
                <w:rFonts w:ascii="Arial" w:hAnsi="Arial" w:cs="Arial"/>
                <w:color w:val="000000"/>
                <w:sz w:val="17"/>
                <w:szCs w:val="17"/>
                <w:lang w:val="en-GB"/>
              </w:rPr>
              <w:t>EIF CROGIP Contracted Liability</w:t>
            </w:r>
          </w:p>
        </w:tc>
        <w:tc>
          <w:tcPr>
            <w:tcW w:w="507" w:type="pct"/>
            <w:tcBorders>
              <w:top w:val="nil"/>
              <w:left w:val="nil"/>
              <w:bottom w:val="nil"/>
              <w:right w:val="nil"/>
            </w:tcBorders>
            <w:shd w:val="clear" w:color="auto" w:fill="auto"/>
            <w:vAlign w:val="center"/>
          </w:tcPr>
          <w:p w14:paraId="0EFA8AC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 </w:t>
            </w:r>
          </w:p>
        </w:tc>
        <w:tc>
          <w:tcPr>
            <w:tcW w:w="552" w:type="pct"/>
            <w:tcBorders>
              <w:top w:val="nil"/>
              <w:left w:val="nil"/>
              <w:bottom w:val="nil"/>
              <w:right w:val="nil"/>
            </w:tcBorders>
            <w:shd w:val="clear" w:color="auto" w:fill="auto"/>
            <w:vAlign w:val="center"/>
          </w:tcPr>
          <w:p w14:paraId="3CAACB5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lang w:val="hr-HR"/>
              </w:rPr>
            </w:pPr>
            <w:r w:rsidRPr="00587444">
              <w:rPr>
                <w:rFonts w:ascii="Arial" w:hAnsi="Arial" w:cs="Arial"/>
                <w:color w:val="000000"/>
                <w:sz w:val="17"/>
                <w:szCs w:val="17"/>
              </w:rPr>
              <w:t xml:space="preserve">12,616 </w:t>
            </w:r>
          </w:p>
        </w:tc>
        <w:tc>
          <w:tcPr>
            <w:tcW w:w="590" w:type="pct"/>
            <w:tcBorders>
              <w:top w:val="nil"/>
              <w:left w:val="nil"/>
              <w:bottom w:val="nil"/>
              <w:right w:val="nil"/>
            </w:tcBorders>
            <w:shd w:val="clear" w:color="auto" w:fill="auto"/>
            <w:vAlign w:val="center"/>
          </w:tcPr>
          <w:p w14:paraId="7F4864C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lang w:val="hr-HR"/>
              </w:rPr>
            </w:pPr>
            <w:r w:rsidRPr="00587444">
              <w:rPr>
                <w:rFonts w:ascii="Arial" w:hAnsi="Arial" w:cs="Arial"/>
                <w:color w:val="000000"/>
                <w:sz w:val="17"/>
                <w:szCs w:val="17"/>
              </w:rPr>
              <w:t xml:space="preserve"> 56,771 </w:t>
            </w:r>
          </w:p>
        </w:tc>
        <w:tc>
          <w:tcPr>
            <w:tcW w:w="572" w:type="pct"/>
            <w:tcBorders>
              <w:top w:val="nil"/>
              <w:left w:val="nil"/>
              <w:bottom w:val="nil"/>
              <w:right w:val="nil"/>
            </w:tcBorders>
            <w:shd w:val="clear" w:color="auto" w:fill="auto"/>
            <w:vAlign w:val="center"/>
          </w:tcPr>
          <w:p w14:paraId="1750319E"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lang w:val="hr-HR"/>
              </w:rPr>
            </w:pPr>
            <w:r w:rsidRPr="00587444">
              <w:rPr>
                <w:rFonts w:ascii="Arial" w:hAnsi="Arial" w:cs="Arial"/>
                <w:color w:val="000000"/>
                <w:sz w:val="17"/>
                <w:szCs w:val="17"/>
              </w:rPr>
              <w:t xml:space="preserve"> 112,664 </w:t>
            </w:r>
          </w:p>
        </w:tc>
        <w:tc>
          <w:tcPr>
            <w:tcW w:w="573" w:type="pct"/>
            <w:tcBorders>
              <w:top w:val="nil"/>
              <w:left w:val="nil"/>
              <w:bottom w:val="nil"/>
              <w:right w:val="nil"/>
            </w:tcBorders>
            <w:shd w:val="clear" w:color="auto" w:fill="auto"/>
            <w:vAlign w:val="center"/>
          </w:tcPr>
          <w:p w14:paraId="7A8C3AC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lang w:val="hr-HR"/>
              </w:rPr>
            </w:pPr>
            <w:r w:rsidRPr="00587444">
              <w:rPr>
                <w:rFonts w:ascii="Arial" w:hAnsi="Arial" w:cs="Arial"/>
                <w:color w:val="000000"/>
                <w:sz w:val="17"/>
                <w:szCs w:val="17"/>
              </w:rPr>
              <w:t xml:space="preserve"> 130,438 </w:t>
            </w:r>
          </w:p>
        </w:tc>
        <w:tc>
          <w:tcPr>
            <w:tcW w:w="564" w:type="pct"/>
            <w:tcBorders>
              <w:top w:val="nil"/>
              <w:left w:val="nil"/>
              <w:bottom w:val="nil"/>
              <w:right w:val="nil"/>
            </w:tcBorders>
            <w:shd w:val="clear" w:color="auto" w:fill="auto"/>
            <w:vAlign w:val="center"/>
          </w:tcPr>
          <w:p w14:paraId="70B725C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312,489</w:t>
            </w:r>
          </w:p>
        </w:tc>
      </w:tr>
      <w:tr w:rsidR="00587444" w:rsidRPr="00587444" w14:paraId="5EFCC11A" w14:textId="77777777" w:rsidTr="00DD69E7">
        <w:trPr>
          <w:trHeight w:hRule="exact" w:val="275"/>
        </w:trPr>
        <w:tc>
          <w:tcPr>
            <w:tcW w:w="1642" w:type="pct"/>
            <w:tcBorders>
              <w:top w:val="nil"/>
              <w:left w:val="nil"/>
              <w:bottom w:val="nil"/>
              <w:right w:val="nil"/>
            </w:tcBorders>
            <w:shd w:val="clear" w:color="auto" w:fill="auto"/>
            <w:vAlign w:val="bottom"/>
          </w:tcPr>
          <w:p w14:paraId="45ACC3AB"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highlight w:val="yellow"/>
              </w:rPr>
            </w:pPr>
            <w:r w:rsidRPr="00587444">
              <w:rPr>
                <w:rFonts w:ascii="Arial" w:hAnsi="Arial" w:cs="Arial"/>
                <w:color w:val="000000"/>
                <w:sz w:val="17"/>
                <w:szCs w:val="17"/>
                <w:lang w:val="en-GB"/>
              </w:rPr>
              <w:t>EIF FRC2 Contracted Liability</w:t>
            </w:r>
          </w:p>
        </w:tc>
        <w:tc>
          <w:tcPr>
            <w:tcW w:w="507" w:type="pct"/>
            <w:tcBorders>
              <w:top w:val="nil"/>
              <w:left w:val="nil"/>
              <w:bottom w:val="single" w:sz="8" w:space="0" w:color="auto"/>
              <w:right w:val="nil"/>
            </w:tcBorders>
            <w:shd w:val="clear" w:color="auto" w:fill="auto"/>
            <w:vAlign w:val="center"/>
          </w:tcPr>
          <w:p w14:paraId="0FDB49B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 xml:space="preserve"> 678 </w:t>
            </w:r>
          </w:p>
        </w:tc>
        <w:tc>
          <w:tcPr>
            <w:tcW w:w="552" w:type="pct"/>
            <w:tcBorders>
              <w:top w:val="nil"/>
              <w:left w:val="nil"/>
              <w:bottom w:val="single" w:sz="8" w:space="0" w:color="auto"/>
              <w:right w:val="nil"/>
            </w:tcBorders>
            <w:shd w:val="clear" w:color="auto" w:fill="auto"/>
            <w:vAlign w:val="center"/>
          </w:tcPr>
          <w:p w14:paraId="6AA6EB9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lang w:val="hr-HR"/>
              </w:rPr>
            </w:pPr>
            <w:r w:rsidRPr="00587444">
              <w:rPr>
                <w:rFonts w:ascii="Arial" w:hAnsi="Arial" w:cs="Arial"/>
                <w:color w:val="000000"/>
                <w:sz w:val="17"/>
                <w:szCs w:val="17"/>
              </w:rPr>
              <w:t xml:space="preserve"> 532 </w:t>
            </w:r>
          </w:p>
        </w:tc>
        <w:tc>
          <w:tcPr>
            <w:tcW w:w="590" w:type="pct"/>
            <w:tcBorders>
              <w:top w:val="nil"/>
              <w:left w:val="nil"/>
              <w:bottom w:val="single" w:sz="8" w:space="0" w:color="auto"/>
              <w:right w:val="nil"/>
            </w:tcBorders>
            <w:shd w:val="clear" w:color="auto" w:fill="auto"/>
            <w:vAlign w:val="center"/>
          </w:tcPr>
          <w:p w14:paraId="20A89CA1"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lang w:val="hr-HR"/>
              </w:rPr>
            </w:pPr>
            <w:r w:rsidRPr="00587444">
              <w:rPr>
                <w:rFonts w:ascii="Arial" w:hAnsi="Arial" w:cs="Arial"/>
                <w:color w:val="000000"/>
                <w:sz w:val="17"/>
                <w:szCs w:val="17"/>
              </w:rPr>
              <w:t xml:space="preserve">2,393 </w:t>
            </w:r>
          </w:p>
        </w:tc>
        <w:tc>
          <w:tcPr>
            <w:tcW w:w="572" w:type="pct"/>
            <w:tcBorders>
              <w:top w:val="nil"/>
              <w:left w:val="nil"/>
              <w:bottom w:val="single" w:sz="8" w:space="0" w:color="auto"/>
              <w:right w:val="nil"/>
            </w:tcBorders>
            <w:shd w:val="clear" w:color="auto" w:fill="auto"/>
            <w:vAlign w:val="center"/>
          </w:tcPr>
          <w:p w14:paraId="7F8D9CBC"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lang w:val="hr-HR"/>
              </w:rPr>
            </w:pPr>
            <w:r w:rsidRPr="00587444">
              <w:rPr>
                <w:rFonts w:ascii="Arial" w:hAnsi="Arial" w:cs="Arial"/>
                <w:color w:val="000000"/>
                <w:sz w:val="17"/>
                <w:szCs w:val="17"/>
              </w:rPr>
              <w:t xml:space="preserve"> 2,171 </w:t>
            </w:r>
          </w:p>
        </w:tc>
        <w:tc>
          <w:tcPr>
            <w:tcW w:w="573" w:type="pct"/>
            <w:tcBorders>
              <w:top w:val="nil"/>
              <w:left w:val="nil"/>
              <w:bottom w:val="single" w:sz="8" w:space="0" w:color="auto"/>
              <w:right w:val="nil"/>
            </w:tcBorders>
            <w:shd w:val="clear" w:color="auto" w:fill="auto"/>
            <w:vAlign w:val="center"/>
          </w:tcPr>
          <w:p w14:paraId="76C2C6BD"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lang w:val="hr-HR"/>
              </w:rPr>
            </w:pPr>
            <w:r w:rsidRPr="00587444">
              <w:rPr>
                <w:rFonts w:ascii="Arial" w:hAnsi="Arial" w:cs="Arial"/>
                <w:color w:val="000000"/>
                <w:sz w:val="17"/>
                <w:szCs w:val="17"/>
              </w:rPr>
              <w:t xml:space="preserve"> 469 </w:t>
            </w:r>
          </w:p>
        </w:tc>
        <w:tc>
          <w:tcPr>
            <w:tcW w:w="564" w:type="pct"/>
            <w:tcBorders>
              <w:top w:val="nil"/>
              <w:left w:val="nil"/>
              <w:bottom w:val="single" w:sz="8" w:space="0" w:color="auto"/>
              <w:right w:val="nil"/>
            </w:tcBorders>
            <w:shd w:val="clear" w:color="auto" w:fill="auto"/>
            <w:vAlign w:val="center"/>
          </w:tcPr>
          <w:p w14:paraId="294F36F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color w:val="000000"/>
                <w:sz w:val="17"/>
                <w:szCs w:val="17"/>
              </w:rPr>
            </w:pPr>
            <w:r w:rsidRPr="00587444">
              <w:rPr>
                <w:rFonts w:ascii="Arial" w:hAnsi="Arial" w:cs="Arial"/>
                <w:color w:val="000000"/>
                <w:sz w:val="17"/>
                <w:szCs w:val="17"/>
              </w:rPr>
              <w:t>6,243</w:t>
            </w:r>
          </w:p>
        </w:tc>
      </w:tr>
      <w:tr w:rsidR="00587444" w:rsidRPr="00587444" w14:paraId="279AAFA2" w14:textId="77777777" w:rsidTr="00DD69E7">
        <w:trPr>
          <w:trHeight w:hRule="exact" w:val="275"/>
        </w:trPr>
        <w:tc>
          <w:tcPr>
            <w:tcW w:w="1642" w:type="pct"/>
            <w:vAlign w:val="center"/>
          </w:tcPr>
          <w:p w14:paraId="2188E9B3"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bCs/>
                <w:spacing w:val="-2"/>
                <w:sz w:val="17"/>
                <w:szCs w:val="17"/>
              </w:rPr>
            </w:pPr>
            <w:r w:rsidRPr="00587444">
              <w:rPr>
                <w:rFonts w:ascii="Arial" w:hAnsi="Arial" w:cs="Arial"/>
                <w:b/>
                <w:bCs/>
                <w:spacing w:val="-2"/>
                <w:sz w:val="17"/>
                <w:szCs w:val="17"/>
              </w:rPr>
              <w:t>Total guarantees and commitments</w:t>
            </w:r>
          </w:p>
        </w:tc>
        <w:tc>
          <w:tcPr>
            <w:tcW w:w="507" w:type="pct"/>
            <w:tcBorders>
              <w:top w:val="single" w:sz="8" w:space="0" w:color="auto"/>
              <w:left w:val="nil"/>
              <w:bottom w:val="single" w:sz="12" w:space="0" w:color="auto"/>
              <w:right w:val="nil"/>
            </w:tcBorders>
            <w:shd w:val="clear" w:color="auto" w:fill="auto"/>
            <w:vAlign w:val="bottom"/>
          </w:tcPr>
          <w:p w14:paraId="1C7A370B"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color w:val="000000"/>
                <w:sz w:val="17"/>
                <w:szCs w:val="17"/>
              </w:rPr>
            </w:pPr>
            <w:r w:rsidRPr="00587444">
              <w:rPr>
                <w:rFonts w:ascii="Arial" w:hAnsi="Arial" w:cs="Arial"/>
                <w:b/>
                <w:bCs/>
                <w:color w:val="000000"/>
                <w:sz w:val="17"/>
                <w:szCs w:val="17"/>
              </w:rPr>
              <w:t>4,066,553</w:t>
            </w:r>
          </w:p>
        </w:tc>
        <w:tc>
          <w:tcPr>
            <w:tcW w:w="552" w:type="pct"/>
            <w:tcBorders>
              <w:top w:val="single" w:sz="8" w:space="0" w:color="auto"/>
              <w:left w:val="nil"/>
              <w:bottom w:val="single" w:sz="12" w:space="0" w:color="auto"/>
              <w:right w:val="nil"/>
            </w:tcBorders>
            <w:shd w:val="clear" w:color="auto" w:fill="auto"/>
            <w:vAlign w:val="bottom"/>
          </w:tcPr>
          <w:p w14:paraId="179E719F"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color w:val="000000"/>
                <w:sz w:val="17"/>
                <w:szCs w:val="17"/>
              </w:rPr>
            </w:pPr>
            <w:r w:rsidRPr="00587444">
              <w:rPr>
                <w:rFonts w:ascii="Arial" w:hAnsi="Arial" w:cs="Arial"/>
                <w:b/>
                <w:bCs/>
                <w:color w:val="000000"/>
                <w:sz w:val="17"/>
                <w:szCs w:val="17"/>
              </w:rPr>
              <w:t>13,148</w:t>
            </w:r>
          </w:p>
        </w:tc>
        <w:tc>
          <w:tcPr>
            <w:tcW w:w="590" w:type="pct"/>
            <w:tcBorders>
              <w:top w:val="single" w:sz="8" w:space="0" w:color="auto"/>
              <w:left w:val="nil"/>
              <w:bottom w:val="single" w:sz="12" w:space="0" w:color="auto"/>
              <w:right w:val="nil"/>
            </w:tcBorders>
            <w:shd w:val="clear" w:color="auto" w:fill="auto"/>
            <w:vAlign w:val="bottom"/>
          </w:tcPr>
          <w:p w14:paraId="3479A552"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color w:val="000000"/>
                <w:sz w:val="17"/>
                <w:szCs w:val="17"/>
              </w:rPr>
            </w:pPr>
            <w:r w:rsidRPr="00587444">
              <w:rPr>
                <w:rFonts w:ascii="Arial" w:hAnsi="Arial" w:cs="Arial"/>
                <w:b/>
                <w:bCs/>
                <w:color w:val="000000"/>
                <w:sz w:val="17"/>
                <w:szCs w:val="17"/>
              </w:rPr>
              <w:t>59,164</w:t>
            </w:r>
          </w:p>
        </w:tc>
        <w:tc>
          <w:tcPr>
            <w:tcW w:w="572" w:type="pct"/>
            <w:tcBorders>
              <w:top w:val="single" w:sz="8" w:space="0" w:color="auto"/>
              <w:left w:val="nil"/>
              <w:bottom w:val="single" w:sz="12" w:space="0" w:color="auto"/>
              <w:right w:val="nil"/>
            </w:tcBorders>
            <w:shd w:val="clear" w:color="auto" w:fill="auto"/>
            <w:vAlign w:val="bottom"/>
          </w:tcPr>
          <w:p w14:paraId="39C81C59"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color w:val="000000"/>
                <w:sz w:val="17"/>
                <w:szCs w:val="17"/>
              </w:rPr>
            </w:pPr>
            <w:r w:rsidRPr="00587444">
              <w:rPr>
                <w:rFonts w:ascii="Arial" w:hAnsi="Arial" w:cs="Arial"/>
                <w:b/>
                <w:bCs/>
                <w:color w:val="000000"/>
                <w:sz w:val="17"/>
                <w:szCs w:val="17"/>
              </w:rPr>
              <w:t>114,835</w:t>
            </w:r>
          </w:p>
        </w:tc>
        <w:tc>
          <w:tcPr>
            <w:tcW w:w="573" w:type="pct"/>
            <w:tcBorders>
              <w:top w:val="single" w:sz="8" w:space="0" w:color="auto"/>
              <w:left w:val="nil"/>
              <w:bottom w:val="single" w:sz="12" w:space="0" w:color="auto"/>
              <w:right w:val="nil"/>
            </w:tcBorders>
            <w:shd w:val="clear" w:color="auto" w:fill="auto"/>
            <w:vAlign w:val="bottom"/>
          </w:tcPr>
          <w:p w14:paraId="4CF448D7"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color w:val="000000"/>
                <w:sz w:val="17"/>
                <w:szCs w:val="17"/>
              </w:rPr>
            </w:pPr>
            <w:r w:rsidRPr="00587444">
              <w:rPr>
                <w:rFonts w:ascii="Arial" w:hAnsi="Arial" w:cs="Arial"/>
                <w:b/>
                <w:bCs/>
                <w:color w:val="000000"/>
                <w:sz w:val="17"/>
                <w:szCs w:val="17"/>
              </w:rPr>
              <w:t>130,907</w:t>
            </w:r>
          </w:p>
        </w:tc>
        <w:tc>
          <w:tcPr>
            <w:tcW w:w="564" w:type="pct"/>
            <w:tcBorders>
              <w:top w:val="single" w:sz="8" w:space="0" w:color="auto"/>
              <w:left w:val="nil"/>
              <w:bottom w:val="single" w:sz="12" w:space="0" w:color="auto"/>
              <w:right w:val="nil"/>
            </w:tcBorders>
            <w:shd w:val="clear" w:color="auto" w:fill="auto"/>
            <w:vAlign w:val="bottom"/>
          </w:tcPr>
          <w:p w14:paraId="529B3705"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color w:val="000000"/>
                <w:sz w:val="17"/>
                <w:szCs w:val="17"/>
              </w:rPr>
            </w:pPr>
            <w:r w:rsidRPr="00587444">
              <w:rPr>
                <w:rFonts w:ascii="Arial" w:hAnsi="Arial" w:cs="Arial"/>
                <w:b/>
                <w:bCs/>
                <w:color w:val="000000"/>
                <w:sz w:val="17"/>
                <w:szCs w:val="17"/>
              </w:rPr>
              <w:t>4,384,607</w:t>
            </w:r>
          </w:p>
        </w:tc>
      </w:tr>
    </w:tbl>
    <w:p w14:paraId="74509425" w14:textId="77777777" w:rsidR="00587444" w:rsidRPr="00587444" w:rsidRDefault="00587444" w:rsidP="00587444">
      <w:pPr>
        <w:tabs>
          <w:tab w:val="left" w:pos="8340"/>
        </w:tabs>
        <w:suppressAutoHyphens w:val="0"/>
        <w:autoSpaceDN/>
        <w:jc w:val="both"/>
        <w:rPr>
          <w:rFonts w:ascii="Arial" w:hAnsi="Arial" w:cs="Arial"/>
          <w:bCs/>
          <w:sz w:val="20"/>
          <w:szCs w:val="20"/>
          <w:lang w:val="en-GB"/>
        </w:rPr>
      </w:pPr>
    </w:p>
    <w:p w14:paraId="5250356B" w14:textId="77777777" w:rsidR="00587444" w:rsidRPr="00587444" w:rsidRDefault="00587444" w:rsidP="00587444">
      <w:pPr>
        <w:suppressAutoHyphens w:val="0"/>
        <w:autoSpaceDN/>
        <w:jc w:val="both"/>
        <w:rPr>
          <w:rFonts w:ascii="Arial" w:hAnsi="Arial" w:cs="Arial"/>
          <w:bCs/>
          <w:sz w:val="20"/>
          <w:szCs w:val="20"/>
        </w:rPr>
      </w:pPr>
    </w:p>
    <w:p w14:paraId="6A1E2BF3" w14:textId="77777777" w:rsidR="00587444" w:rsidRPr="00356C4F" w:rsidRDefault="00587444" w:rsidP="00587444">
      <w:pPr>
        <w:suppressAutoHyphens w:val="0"/>
        <w:autoSpaceDN/>
        <w:jc w:val="both"/>
        <w:rPr>
          <w:rFonts w:ascii="Arial" w:hAnsi="Arial" w:cs="Arial"/>
          <w:bCs/>
          <w:sz w:val="18"/>
          <w:szCs w:val="18"/>
        </w:rPr>
      </w:pPr>
      <w:r w:rsidRPr="00356C4F">
        <w:rPr>
          <w:rFonts w:ascii="Arial" w:hAnsi="Arial" w:cs="Arial"/>
          <w:bCs/>
          <w:sz w:val="18"/>
          <w:szCs w:val="18"/>
        </w:rPr>
        <w:t>The items with undefined maturity are included in terms over 3 years.</w:t>
      </w:r>
    </w:p>
    <w:p w14:paraId="22890091" w14:textId="77777777" w:rsidR="00587444" w:rsidRPr="00356C4F" w:rsidRDefault="00587444" w:rsidP="00587444">
      <w:pPr>
        <w:suppressAutoHyphens w:val="0"/>
        <w:autoSpaceDN/>
        <w:jc w:val="both"/>
        <w:rPr>
          <w:rFonts w:ascii="Arial" w:hAnsi="Arial" w:cs="Arial"/>
          <w:i/>
          <w:sz w:val="18"/>
          <w:szCs w:val="18"/>
        </w:rPr>
      </w:pPr>
    </w:p>
    <w:p w14:paraId="7CE774BE" w14:textId="77777777" w:rsidR="00587444" w:rsidRPr="00356C4F" w:rsidRDefault="00587444" w:rsidP="00587444">
      <w:pPr>
        <w:suppressAutoHyphens w:val="0"/>
        <w:autoSpaceDN/>
        <w:jc w:val="both"/>
        <w:rPr>
          <w:rFonts w:ascii="Arial" w:eastAsia="Calibri" w:hAnsi="Arial" w:cs="Arial"/>
          <w:bCs/>
          <w:i/>
          <w:sz w:val="18"/>
          <w:szCs w:val="18"/>
        </w:rPr>
      </w:pPr>
      <w:r w:rsidRPr="00356C4F">
        <w:rPr>
          <w:rFonts w:ascii="Arial" w:eastAsia="Calibri" w:hAnsi="Arial" w:cs="Arial"/>
          <w:bCs/>
          <w:i/>
          <w:sz w:val="18"/>
          <w:szCs w:val="18"/>
        </w:rPr>
        <w:t xml:space="preserve">* Receivables of HRK 8,239 thousand relate to reverse REPO agreements. </w:t>
      </w:r>
    </w:p>
    <w:p w14:paraId="56769475" w14:textId="77777777" w:rsidR="00587444" w:rsidRPr="00356C4F" w:rsidRDefault="00587444" w:rsidP="00F36511">
      <w:pPr>
        <w:suppressAutoHyphens w:val="0"/>
        <w:autoSpaceDN/>
        <w:rPr>
          <w:rFonts w:ascii="Arial" w:hAnsi="Arial" w:cs="Arial"/>
          <w:bCs/>
          <w:sz w:val="18"/>
          <w:szCs w:val="18"/>
          <w:lang w:val="en-GB"/>
        </w:rPr>
        <w:sectPr w:rsidR="00587444" w:rsidRPr="00356C4F" w:rsidSect="00DD69E7">
          <w:pgSz w:w="11907" w:h="16840" w:code="9"/>
          <w:pgMar w:top="1418" w:right="1134" w:bottom="1134" w:left="1418" w:header="851" w:footer="851" w:gutter="0"/>
          <w:cols w:space="720"/>
          <w:noEndnote/>
        </w:sectPr>
      </w:pPr>
      <w:r w:rsidRPr="00356C4F">
        <w:rPr>
          <w:rFonts w:ascii="Arial" w:eastAsia="Calibri" w:hAnsi="Arial" w:cs="Arial"/>
          <w:i/>
          <w:iCs/>
          <w:sz w:val="18"/>
          <w:szCs w:val="18"/>
        </w:rPr>
        <w:t>** Accrued interest on loans not yet due is allocated to the category from 1 to 3 months.</w:t>
      </w:r>
      <w:r w:rsidRPr="00356C4F">
        <w:rPr>
          <w:rFonts w:ascii="Arial" w:hAnsi="Arial" w:cs="Arial"/>
          <w:i/>
          <w:sz w:val="18"/>
          <w:szCs w:val="18"/>
          <w:lang w:val="en-GB"/>
        </w:rPr>
        <w:t xml:space="preserve"> </w:t>
      </w:r>
    </w:p>
    <w:p w14:paraId="1E2A3B07" w14:textId="77777777" w:rsidR="00587444" w:rsidRPr="00587444" w:rsidRDefault="00587444" w:rsidP="00587444">
      <w:pPr>
        <w:suppressAutoHyphens w:val="0"/>
        <w:autoSpaceDN/>
        <w:jc w:val="both"/>
        <w:rPr>
          <w:rFonts w:ascii="Arial" w:hAnsi="Arial" w:cs="Arial"/>
          <w:b/>
          <w:bCs/>
          <w:sz w:val="20"/>
          <w:szCs w:val="20"/>
          <w:lang w:val="en-GB"/>
        </w:rPr>
      </w:pPr>
    </w:p>
    <w:p w14:paraId="55272BF2"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ACDC9CA" w14:textId="77777777" w:rsidR="00587444" w:rsidRPr="00587444" w:rsidRDefault="00587444" w:rsidP="00587444">
      <w:pPr>
        <w:suppressAutoHyphens w:val="0"/>
        <w:autoSpaceDN/>
        <w:jc w:val="both"/>
        <w:rPr>
          <w:rFonts w:ascii="Arial" w:hAnsi="Arial" w:cs="Arial"/>
          <w:b/>
          <w:sz w:val="20"/>
          <w:szCs w:val="20"/>
          <w:lang w:val="en-GB"/>
        </w:rPr>
      </w:pPr>
    </w:p>
    <w:p w14:paraId="23C33349"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31.4. </w:t>
      </w:r>
      <w:r w:rsidRPr="00587444">
        <w:rPr>
          <w:rFonts w:ascii="Arial" w:hAnsi="Arial" w:cs="Arial"/>
          <w:b/>
          <w:sz w:val="20"/>
          <w:szCs w:val="20"/>
          <w:lang w:val="en-GB"/>
        </w:rPr>
        <w:tab/>
        <w:t>Liquidity risk (continued)</w:t>
      </w:r>
    </w:p>
    <w:p w14:paraId="12933663" w14:textId="77777777" w:rsidR="00587444" w:rsidRPr="00587444" w:rsidRDefault="00587444" w:rsidP="00587444">
      <w:pPr>
        <w:keepNext/>
        <w:suppressAutoHyphens w:val="0"/>
        <w:autoSpaceDN/>
        <w:jc w:val="both"/>
        <w:rPr>
          <w:rFonts w:ascii="Arial" w:hAnsi="Arial" w:cs="Arial"/>
          <w:bCs/>
          <w:sz w:val="20"/>
          <w:szCs w:val="20"/>
          <w:lang w:val="en-GB"/>
        </w:rPr>
      </w:pPr>
    </w:p>
    <w:p w14:paraId="349A36A7" w14:textId="77777777" w:rsidR="00587444" w:rsidRPr="00587444" w:rsidRDefault="00587444" w:rsidP="007B030C">
      <w:pPr>
        <w:keepNext/>
        <w:autoSpaceDN/>
        <w:jc w:val="both"/>
        <w:rPr>
          <w:rFonts w:ascii="Arial" w:hAnsi="Arial" w:cs="Arial"/>
          <w:bCs/>
          <w:sz w:val="20"/>
          <w:szCs w:val="20"/>
          <w:lang w:val="en-GB"/>
        </w:rPr>
      </w:pPr>
      <w:r w:rsidRPr="00587444">
        <w:rPr>
          <w:rFonts w:ascii="Arial" w:hAnsi="Arial" w:cs="Arial"/>
          <w:bCs/>
          <w:sz w:val="20"/>
          <w:szCs w:val="20"/>
          <w:lang w:val="en-GB"/>
        </w:rPr>
        <w:t>The table below indicates the remaining contractual maturity of financial liabilities, whereas the guarantees and commitments of the Group are classified in the category “up to 1 month”, owing to the possibility of a premature call to meet a liability (undiscounted amounts):</w:t>
      </w:r>
    </w:p>
    <w:p w14:paraId="1B2F7179" w14:textId="77777777" w:rsidR="00587444" w:rsidRPr="00587444" w:rsidRDefault="00587444" w:rsidP="00587444">
      <w:pPr>
        <w:keepNext/>
        <w:suppressAutoHyphens w:val="0"/>
        <w:autoSpaceDN/>
        <w:jc w:val="both"/>
        <w:rPr>
          <w:rFonts w:ascii="Arial" w:hAnsi="Arial" w:cs="Arial"/>
          <w:bCs/>
          <w:sz w:val="20"/>
          <w:szCs w:val="20"/>
          <w:lang w:val="en-GB"/>
        </w:rPr>
      </w:pPr>
    </w:p>
    <w:tbl>
      <w:tblPr>
        <w:tblW w:w="5228" w:type="pct"/>
        <w:jc w:val="center"/>
        <w:tblLayout w:type="fixed"/>
        <w:tblCellMar>
          <w:left w:w="120" w:type="dxa"/>
          <w:right w:w="120" w:type="dxa"/>
        </w:tblCellMar>
        <w:tblLook w:val="0000" w:firstRow="0" w:lastRow="0" w:firstColumn="0" w:lastColumn="0" w:noHBand="0" w:noVBand="0"/>
      </w:tblPr>
      <w:tblGrid>
        <w:gridCol w:w="3056"/>
        <w:gridCol w:w="1162"/>
        <w:gridCol w:w="1163"/>
        <w:gridCol w:w="1163"/>
        <w:gridCol w:w="1163"/>
        <w:gridCol w:w="1163"/>
        <w:gridCol w:w="1163"/>
      </w:tblGrid>
      <w:tr w:rsidR="00587444" w:rsidRPr="00587444" w14:paraId="2C8EA50D" w14:textId="77777777" w:rsidTr="00DD69E7">
        <w:trPr>
          <w:trHeight w:val="466"/>
          <w:jc w:val="center"/>
        </w:trPr>
        <w:tc>
          <w:tcPr>
            <w:tcW w:w="2979" w:type="dxa"/>
            <w:vAlign w:val="bottom"/>
          </w:tcPr>
          <w:p w14:paraId="0620E968" w14:textId="77777777" w:rsidR="00587444" w:rsidRPr="00587444" w:rsidRDefault="00587444" w:rsidP="00587444">
            <w:pPr>
              <w:tabs>
                <w:tab w:val="right" w:pos="1202"/>
              </w:tabs>
              <w:suppressAutoHyphens w:val="0"/>
              <w:autoSpaceDN/>
              <w:outlineLvl w:val="0"/>
              <w:rPr>
                <w:rFonts w:ascii="Arial" w:hAnsi="Arial" w:cs="Arial"/>
                <w:b/>
                <w:sz w:val="17"/>
                <w:szCs w:val="17"/>
                <w:lang w:val="en-GB"/>
              </w:rPr>
            </w:pPr>
            <w:bookmarkStart w:id="1233" w:name="_Toc4062502"/>
            <w:r w:rsidRPr="00587444">
              <w:rPr>
                <w:rFonts w:ascii="Arial" w:hAnsi="Arial" w:cs="Arial"/>
                <w:b/>
                <w:sz w:val="17"/>
                <w:szCs w:val="17"/>
                <w:lang w:val="en-GB"/>
              </w:rPr>
              <w:t>Group</w:t>
            </w:r>
            <w:bookmarkEnd w:id="1233"/>
          </w:p>
          <w:p w14:paraId="37A6E1F8" w14:textId="77777777" w:rsidR="00587444" w:rsidRPr="00587444" w:rsidRDefault="00587444" w:rsidP="00587444">
            <w:pPr>
              <w:tabs>
                <w:tab w:val="right" w:pos="1202"/>
              </w:tabs>
              <w:suppressAutoHyphens w:val="0"/>
              <w:autoSpaceDN/>
              <w:outlineLvl w:val="0"/>
              <w:rPr>
                <w:rFonts w:ascii="Arial" w:hAnsi="Arial" w:cs="Arial"/>
                <w:b/>
                <w:sz w:val="17"/>
                <w:szCs w:val="17"/>
                <w:lang w:val="en-GB"/>
              </w:rPr>
            </w:pPr>
            <w:bookmarkStart w:id="1234" w:name="_Toc4062503"/>
            <w:r w:rsidRPr="00587444">
              <w:rPr>
                <w:rFonts w:ascii="Arial" w:hAnsi="Arial" w:cs="Arial"/>
                <w:b/>
                <w:sz w:val="17"/>
                <w:szCs w:val="17"/>
                <w:lang w:val="en-GB"/>
              </w:rPr>
              <w:t>31 December 202</w:t>
            </w:r>
            <w:bookmarkEnd w:id="1234"/>
            <w:r w:rsidRPr="00587444">
              <w:rPr>
                <w:rFonts w:ascii="Arial" w:hAnsi="Arial" w:cs="Arial"/>
                <w:b/>
                <w:sz w:val="17"/>
                <w:szCs w:val="17"/>
                <w:lang w:val="en-GB"/>
              </w:rPr>
              <w:t>2</w:t>
            </w:r>
          </w:p>
        </w:tc>
        <w:tc>
          <w:tcPr>
            <w:tcW w:w="1133" w:type="dxa"/>
          </w:tcPr>
          <w:p w14:paraId="1837C0DC"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35" w:name="_Toc4062504"/>
            <w:r w:rsidRPr="00587444">
              <w:rPr>
                <w:rFonts w:ascii="Arial" w:hAnsi="Arial" w:cs="Arial"/>
                <w:b/>
                <w:sz w:val="17"/>
                <w:szCs w:val="17"/>
                <w:lang w:val="en-GB"/>
              </w:rPr>
              <w:t>Up to 1 month</w:t>
            </w:r>
            <w:bookmarkEnd w:id="1235"/>
          </w:p>
        </w:tc>
        <w:tc>
          <w:tcPr>
            <w:tcW w:w="1134" w:type="dxa"/>
          </w:tcPr>
          <w:p w14:paraId="2DEE82A0"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36" w:name="_Toc4062505"/>
            <w:r w:rsidRPr="00587444">
              <w:rPr>
                <w:rFonts w:ascii="Arial" w:hAnsi="Arial" w:cs="Arial"/>
                <w:b/>
                <w:sz w:val="17"/>
                <w:szCs w:val="17"/>
                <w:lang w:val="en-GB"/>
              </w:rPr>
              <w:t>1 - 3 months</w:t>
            </w:r>
            <w:bookmarkEnd w:id="1236"/>
          </w:p>
        </w:tc>
        <w:tc>
          <w:tcPr>
            <w:tcW w:w="1134" w:type="dxa"/>
          </w:tcPr>
          <w:p w14:paraId="321611A3"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37" w:name="_Toc4062506"/>
            <w:r w:rsidRPr="00587444">
              <w:rPr>
                <w:rFonts w:ascii="Arial" w:hAnsi="Arial" w:cs="Arial"/>
                <w:b/>
                <w:sz w:val="17"/>
                <w:szCs w:val="17"/>
                <w:lang w:val="en-GB"/>
              </w:rPr>
              <w:t>3 - 12</w:t>
            </w:r>
            <w:bookmarkEnd w:id="1237"/>
            <w:r w:rsidRPr="00587444">
              <w:rPr>
                <w:rFonts w:ascii="Arial" w:hAnsi="Arial" w:cs="Arial"/>
                <w:b/>
                <w:sz w:val="17"/>
                <w:szCs w:val="17"/>
                <w:lang w:val="en-GB"/>
              </w:rPr>
              <w:t xml:space="preserve"> </w:t>
            </w:r>
          </w:p>
          <w:p w14:paraId="13AF6812"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38" w:name="_Toc4062507"/>
            <w:r w:rsidRPr="00587444">
              <w:rPr>
                <w:rFonts w:ascii="Arial" w:hAnsi="Arial" w:cs="Arial"/>
                <w:b/>
                <w:sz w:val="17"/>
                <w:szCs w:val="17"/>
                <w:lang w:val="en-GB"/>
              </w:rPr>
              <w:t>months</w:t>
            </w:r>
            <w:bookmarkEnd w:id="1238"/>
          </w:p>
        </w:tc>
        <w:tc>
          <w:tcPr>
            <w:tcW w:w="1134" w:type="dxa"/>
          </w:tcPr>
          <w:p w14:paraId="4B382373"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39" w:name="_Toc4062508"/>
            <w:r w:rsidRPr="00587444">
              <w:rPr>
                <w:rFonts w:ascii="Arial" w:hAnsi="Arial" w:cs="Arial"/>
                <w:b/>
                <w:sz w:val="17"/>
                <w:szCs w:val="17"/>
                <w:lang w:val="en-GB"/>
              </w:rPr>
              <w:t>1 - 3</w:t>
            </w:r>
            <w:bookmarkEnd w:id="1239"/>
            <w:r w:rsidRPr="00587444">
              <w:rPr>
                <w:rFonts w:ascii="Arial" w:hAnsi="Arial" w:cs="Arial"/>
                <w:b/>
                <w:sz w:val="17"/>
                <w:szCs w:val="17"/>
                <w:lang w:val="en-GB"/>
              </w:rPr>
              <w:t xml:space="preserve"> </w:t>
            </w:r>
          </w:p>
          <w:p w14:paraId="43B4D35C"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40" w:name="_Toc4062509"/>
            <w:r w:rsidRPr="00587444">
              <w:rPr>
                <w:rFonts w:ascii="Arial" w:hAnsi="Arial" w:cs="Arial"/>
                <w:b/>
                <w:sz w:val="17"/>
                <w:szCs w:val="17"/>
                <w:lang w:val="en-GB"/>
              </w:rPr>
              <w:t>years</w:t>
            </w:r>
            <w:bookmarkEnd w:id="1240"/>
          </w:p>
        </w:tc>
        <w:tc>
          <w:tcPr>
            <w:tcW w:w="1134" w:type="dxa"/>
          </w:tcPr>
          <w:p w14:paraId="0B1D4F6F" w14:textId="77777777" w:rsidR="00587444" w:rsidRPr="00587444" w:rsidRDefault="00587444" w:rsidP="00587444">
            <w:pPr>
              <w:tabs>
                <w:tab w:val="right" w:pos="1263"/>
              </w:tabs>
              <w:suppressAutoHyphens w:val="0"/>
              <w:autoSpaceDN/>
              <w:jc w:val="right"/>
              <w:outlineLvl w:val="0"/>
              <w:rPr>
                <w:rFonts w:ascii="Arial" w:hAnsi="Arial" w:cs="Arial"/>
                <w:b/>
                <w:sz w:val="17"/>
                <w:szCs w:val="17"/>
                <w:lang w:val="en-GB"/>
              </w:rPr>
            </w:pPr>
            <w:bookmarkStart w:id="1241" w:name="_Toc4062510"/>
            <w:r w:rsidRPr="00587444">
              <w:rPr>
                <w:rFonts w:ascii="Arial" w:hAnsi="Arial" w:cs="Arial"/>
                <w:b/>
                <w:sz w:val="17"/>
                <w:szCs w:val="17"/>
                <w:lang w:val="en-GB"/>
              </w:rPr>
              <w:t>Over 3</w:t>
            </w:r>
            <w:bookmarkEnd w:id="1241"/>
            <w:r w:rsidRPr="00587444">
              <w:rPr>
                <w:rFonts w:ascii="Arial" w:hAnsi="Arial" w:cs="Arial"/>
                <w:b/>
                <w:sz w:val="17"/>
                <w:szCs w:val="17"/>
                <w:lang w:val="en-GB"/>
              </w:rPr>
              <w:t xml:space="preserve"> </w:t>
            </w:r>
          </w:p>
          <w:p w14:paraId="7E7D1516" w14:textId="77777777" w:rsidR="00587444" w:rsidRPr="00587444" w:rsidRDefault="00587444" w:rsidP="00587444">
            <w:pPr>
              <w:tabs>
                <w:tab w:val="right" w:pos="1263"/>
              </w:tabs>
              <w:suppressAutoHyphens w:val="0"/>
              <w:autoSpaceDN/>
              <w:jc w:val="right"/>
              <w:outlineLvl w:val="0"/>
              <w:rPr>
                <w:rFonts w:ascii="Arial" w:hAnsi="Arial" w:cs="Arial"/>
                <w:b/>
                <w:sz w:val="17"/>
                <w:szCs w:val="17"/>
                <w:lang w:val="en-GB"/>
              </w:rPr>
            </w:pPr>
            <w:bookmarkStart w:id="1242" w:name="_Toc4062511"/>
            <w:r w:rsidRPr="00587444">
              <w:rPr>
                <w:rFonts w:ascii="Arial" w:hAnsi="Arial" w:cs="Arial"/>
                <w:b/>
                <w:sz w:val="17"/>
                <w:szCs w:val="17"/>
                <w:lang w:val="en-GB"/>
              </w:rPr>
              <w:t>years</w:t>
            </w:r>
            <w:bookmarkEnd w:id="1242"/>
          </w:p>
        </w:tc>
        <w:tc>
          <w:tcPr>
            <w:tcW w:w="1134" w:type="dxa"/>
          </w:tcPr>
          <w:p w14:paraId="1F9EDCF0"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43" w:name="_Toc4062512"/>
            <w:r w:rsidRPr="00587444">
              <w:rPr>
                <w:rFonts w:ascii="Arial" w:hAnsi="Arial" w:cs="Arial"/>
                <w:b/>
                <w:sz w:val="17"/>
                <w:szCs w:val="17"/>
                <w:lang w:val="en-GB"/>
              </w:rPr>
              <w:t>Total</w:t>
            </w:r>
            <w:bookmarkEnd w:id="1243"/>
          </w:p>
        </w:tc>
      </w:tr>
      <w:tr w:rsidR="00587444" w:rsidRPr="00587444" w14:paraId="3649FB78" w14:textId="77777777" w:rsidTr="00DD69E7">
        <w:trPr>
          <w:trHeight w:val="294"/>
          <w:jc w:val="center"/>
        </w:trPr>
        <w:tc>
          <w:tcPr>
            <w:tcW w:w="2979" w:type="dxa"/>
          </w:tcPr>
          <w:p w14:paraId="775EB099" w14:textId="77777777" w:rsidR="00587444" w:rsidRPr="00587444" w:rsidRDefault="00587444" w:rsidP="00587444">
            <w:pPr>
              <w:tabs>
                <w:tab w:val="left" w:pos="-720"/>
              </w:tabs>
              <w:autoSpaceDN/>
              <w:jc w:val="center"/>
              <w:rPr>
                <w:rFonts w:ascii="Arial" w:hAnsi="Arial" w:cs="Arial"/>
                <w:b/>
                <w:spacing w:val="-2"/>
                <w:sz w:val="17"/>
                <w:szCs w:val="17"/>
                <w:lang w:val="en-GB"/>
              </w:rPr>
            </w:pPr>
          </w:p>
        </w:tc>
        <w:tc>
          <w:tcPr>
            <w:tcW w:w="1133" w:type="dxa"/>
            <w:vAlign w:val="bottom"/>
          </w:tcPr>
          <w:p w14:paraId="06A9C55D"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44" w:name="_Toc4062513"/>
            <w:r w:rsidRPr="00587444">
              <w:rPr>
                <w:rFonts w:ascii="Arial" w:hAnsi="Arial" w:cs="Arial"/>
                <w:b/>
                <w:bCs/>
                <w:sz w:val="17"/>
                <w:szCs w:val="17"/>
                <w:lang w:val="en-GB"/>
              </w:rPr>
              <w:t>HRK ‘000</w:t>
            </w:r>
            <w:bookmarkEnd w:id="1244"/>
          </w:p>
        </w:tc>
        <w:tc>
          <w:tcPr>
            <w:tcW w:w="1134" w:type="dxa"/>
            <w:vAlign w:val="bottom"/>
          </w:tcPr>
          <w:p w14:paraId="3A0523ED" w14:textId="77777777" w:rsidR="00587444" w:rsidRPr="00587444" w:rsidRDefault="00587444" w:rsidP="00587444">
            <w:pPr>
              <w:tabs>
                <w:tab w:val="center" w:pos="4153"/>
                <w:tab w:val="right" w:pos="8306"/>
              </w:tabs>
              <w:suppressAutoHyphens w:val="0"/>
              <w:autoSpaceDN/>
              <w:jc w:val="right"/>
              <w:rPr>
                <w:rFonts w:ascii="Arial" w:hAnsi="Arial" w:cs="Arial"/>
                <w:b/>
                <w:spacing w:val="-2"/>
                <w:sz w:val="17"/>
                <w:szCs w:val="17"/>
                <w:lang w:val="en-GB"/>
              </w:rPr>
            </w:pPr>
            <w:r w:rsidRPr="00587444">
              <w:rPr>
                <w:rFonts w:ascii="Arial" w:hAnsi="Arial" w:cs="Arial"/>
                <w:b/>
                <w:spacing w:val="-2"/>
                <w:sz w:val="17"/>
                <w:szCs w:val="17"/>
                <w:lang w:val="en-GB"/>
              </w:rPr>
              <w:t>HRK ‘000</w:t>
            </w:r>
          </w:p>
        </w:tc>
        <w:tc>
          <w:tcPr>
            <w:tcW w:w="1134" w:type="dxa"/>
            <w:vAlign w:val="bottom"/>
          </w:tcPr>
          <w:p w14:paraId="72401C34"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45" w:name="_Toc4062514"/>
            <w:r w:rsidRPr="00587444">
              <w:rPr>
                <w:rFonts w:ascii="Arial" w:hAnsi="Arial" w:cs="Arial"/>
                <w:b/>
                <w:bCs/>
                <w:sz w:val="17"/>
                <w:szCs w:val="17"/>
                <w:lang w:val="en-GB"/>
              </w:rPr>
              <w:t>HRK ‘000</w:t>
            </w:r>
            <w:bookmarkEnd w:id="1245"/>
          </w:p>
        </w:tc>
        <w:tc>
          <w:tcPr>
            <w:tcW w:w="1134" w:type="dxa"/>
            <w:vAlign w:val="bottom"/>
          </w:tcPr>
          <w:p w14:paraId="2086E051"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46" w:name="_Toc4062515"/>
            <w:r w:rsidRPr="00587444">
              <w:rPr>
                <w:rFonts w:ascii="Arial" w:hAnsi="Arial" w:cs="Arial"/>
                <w:b/>
                <w:bCs/>
                <w:sz w:val="17"/>
                <w:szCs w:val="17"/>
                <w:lang w:val="en-GB"/>
              </w:rPr>
              <w:t>HRK ‘000</w:t>
            </w:r>
            <w:bookmarkEnd w:id="1246"/>
          </w:p>
        </w:tc>
        <w:tc>
          <w:tcPr>
            <w:tcW w:w="1134" w:type="dxa"/>
            <w:vAlign w:val="bottom"/>
          </w:tcPr>
          <w:p w14:paraId="71584CC7" w14:textId="77777777" w:rsidR="00587444" w:rsidRPr="00587444" w:rsidRDefault="00587444" w:rsidP="00587444">
            <w:pPr>
              <w:tabs>
                <w:tab w:val="right" w:pos="1263"/>
              </w:tabs>
              <w:suppressAutoHyphens w:val="0"/>
              <w:autoSpaceDN/>
              <w:jc w:val="right"/>
              <w:outlineLvl w:val="0"/>
              <w:rPr>
                <w:rFonts w:ascii="Arial" w:hAnsi="Arial" w:cs="Arial"/>
                <w:b/>
                <w:sz w:val="17"/>
                <w:szCs w:val="17"/>
                <w:lang w:val="en-GB"/>
              </w:rPr>
            </w:pPr>
            <w:bookmarkStart w:id="1247" w:name="_Toc4062516"/>
            <w:r w:rsidRPr="00587444">
              <w:rPr>
                <w:rFonts w:ascii="Arial" w:hAnsi="Arial" w:cs="Arial"/>
                <w:b/>
                <w:bCs/>
                <w:sz w:val="17"/>
                <w:szCs w:val="17"/>
                <w:lang w:val="en-GB"/>
              </w:rPr>
              <w:t>HRK ‘000</w:t>
            </w:r>
            <w:bookmarkEnd w:id="1247"/>
          </w:p>
        </w:tc>
        <w:tc>
          <w:tcPr>
            <w:tcW w:w="1134" w:type="dxa"/>
            <w:vAlign w:val="bottom"/>
          </w:tcPr>
          <w:p w14:paraId="638667D3"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48" w:name="_Toc4062517"/>
            <w:r w:rsidRPr="00587444">
              <w:rPr>
                <w:rFonts w:ascii="Arial" w:hAnsi="Arial" w:cs="Arial"/>
                <w:b/>
                <w:bCs/>
                <w:sz w:val="17"/>
                <w:szCs w:val="17"/>
                <w:lang w:val="en-GB"/>
              </w:rPr>
              <w:t>HRK ‘000</w:t>
            </w:r>
            <w:bookmarkEnd w:id="1248"/>
          </w:p>
        </w:tc>
      </w:tr>
      <w:tr w:rsidR="00587444" w:rsidRPr="00587444" w14:paraId="13EF4824" w14:textId="77777777" w:rsidTr="00DD69E7">
        <w:trPr>
          <w:trHeight w:hRule="exact" w:val="284"/>
          <w:jc w:val="center"/>
        </w:trPr>
        <w:tc>
          <w:tcPr>
            <w:tcW w:w="2979" w:type="dxa"/>
            <w:vAlign w:val="bottom"/>
          </w:tcPr>
          <w:p w14:paraId="4F41010F" w14:textId="77777777" w:rsidR="00587444" w:rsidRPr="00587444" w:rsidRDefault="00587444" w:rsidP="00587444">
            <w:pPr>
              <w:tabs>
                <w:tab w:val="right" w:pos="1202"/>
              </w:tabs>
              <w:suppressAutoHyphens w:val="0"/>
              <w:autoSpaceDN/>
              <w:outlineLvl w:val="0"/>
              <w:rPr>
                <w:rFonts w:ascii="Arial" w:hAnsi="Arial" w:cs="Arial"/>
                <w:b/>
                <w:bCs/>
                <w:sz w:val="17"/>
                <w:szCs w:val="17"/>
                <w:lang w:val="en-GB"/>
              </w:rPr>
            </w:pPr>
            <w:bookmarkStart w:id="1249" w:name="_Toc4062518"/>
            <w:r w:rsidRPr="00587444">
              <w:rPr>
                <w:rFonts w:ascii="Arial" w:hAnsi="Arial" w:cs="Arial"/>
                <w:b/>
                <w:bCs/>
                <w:sz w:val="17"/>
                <w:szCs w:val="17"/>
                <w:lang w:val="en-GB"/>
              </w:rPr>
              <w:t>Financial liabilities</w:t>
            </w:r>
            <w:bookmarkEnd w:id="1249"/>
          </w:p>
        </w:tc>
        <w:tc>
          <w:tcPr>
            <w:tcW w:w="1133" w:type="dxa"/>
            <w:vAlign w:val="bottom"/>
          </w:tcPr>
          <w:p w14:paraId="0BD28DD2" w14:textId="77777777" w:rsidR="00587444" w:rsidRPr="00587444" w:rsidRDefault="00587444" w:rsidP="00587444">
            <w:pPr>
              <w:suppressAutoHyphens w:val="0"/>
              <w:autoSpaceDN/>
              <w:jc w:val="right"/>
              <w:outlineLvl w:val="0"/>
              <w:rPr>
                <w:rFonts w:ascii="Arial" w:hAnsi="Arial" w:cs="Arial"/>
                <w:b/>
                <w:bCs/>
                <w:spacing w:val="-2"/>
                <w:sz w:val="17"/>
                <w:szCs w:val="17"/>
                <w:lang w:val="en-GB"/>
              </w:rPr>
            </w:pPr>
          </w:p>
        </w:tc>
        <w:tc>
          <w:tcPr>
            <w:tcW w:w="1134" w:type="dxa"/>
            <w:vAlign w:val="bottom"/>
          </w:tcPr>
          <w:p w14:paraId="27975DF3" w14:textId="77777777" w:rsidR="00587444" w:rsidRPr="00587444" w:rsidRDefault="00587444" w:rsidP="00587444">
            <w:pPr>
              <w:suppressAutoHyphens w:val="0"/>
              <w:autoSpaceDN/>
              <w:jc w:val="right"/>
              <w:outlineLvl w:val="0"/>
              <w:rPr>
                <w:rFonts w:ascii="Arial" w:hAnsi="Arial" w:cs="Arial"/>
                <w:b/>
                <w:bCs/>
                <w:spacing w:val="-2"/>
                <w:sz w:val="17"/>
                <w:szCs w:val="17"/>
                <w:lang w:val="en-GB"/>
              </w:rPr>
            </w:pPr>
          </w:p>
        </w:tc>
        <w:tc>
          <w:tcPr>
            <w:tcW w:w="1134" w:type="dxa"/>
            <w:vAlign w:val="bottom"/>
          </w:tcPr>
          <w:p w14:paraId="74FBF0A4" w14:textId="77777777" w:rsidR="00587444" w:rsidRPr="00587444" w:rsidRDefault="00587444" w:rsidP="00587444">
            <w:pPr>
              <w:suppressAutoHyphens w:val="0"/>
              <w:autoSpaceDN/>
              <w:jc w:val="right"/>
              <w:outlineLvl w:val="0"/>
              <w:rPr>
                <w:rFonts w:ascii="Arial" w:hAnsi="Arial" w:cs="Arial"/>
                <w:b/>
                <w:bCs/>
                <w:spacing w:val="-2"/>
                <w:sz w:val="17"/>
                <w:szCs w:val="17"/>
                <w:lang w:val="en-GB"/>
              </w:rPr>
            </w:pPr>
          </w:p>
        </w:tc>
        <w:tc>
          <w:tcPr>
            <w:tcW w:w="1134" w:type="dxa"/>
            <w:vAlign w:val="bottom"/>
          </w:tcPr>
          <w:p w14:paraId="004BBAB8" w14:textId="77777777" w:rsidR="00587444" w:rsidRPr="00587444" w:rsidRDefault="00587444" w:rsidP="00587444">
            <w:pPr>
              <w:suppressAutoHyphens w:val="0"/>
              <w:autoSpaceDN/>
              <w:jc w:val="right"/>
              <w:outlineLvl w:val="0"/>
              <w:rPr>
                <w:rFonts w:ascii="Arial" w:hAnsi="Arial" w:cs="Arial"/>
                <w:b/>
                <w:bCs/>
                <w:spacing w:val="-2"/>
                <w:sz w:val="17"/>
                <w:szCs w:val="17"/>
                <w:lang w:val="en-GB"/>
              </w:rPr>
            </w:pPr>
          </w:p>
        </w:tc>
        <w:tc>
          <w:tcPr>
            <w:tcW w:w="1134" w:type="dxa"/>
            <w:vAlign w:val="bottom"/>
          </w:tcPr>
          <w:p w14:paraId="7446D120" w14:textId="77777777" w:rsidR="00587444" w:rsidRPr="00587444" w:rsidRDefault="00587444" w:rsidP="00587444">
            <w:pPr>
              <w:tabs>
                <w:tab w:val="right" w:pos="1263"/>
              </w:tabs>
              <w:suppressAutoHyphens w:val="0"/>
              <w:autoSpaceDN/>
              <w:jc w:val="right"/>
              <w:outlineLvl w:val="0"/>
              <w:rPr>
                <w:rFonts w:ascii="Arial" w:hAnsi="Arial" w:cs="Arial"/>
                <w:b/>
                <w:bCs/>
                <w:spacing w:val="-2"/>
                <w:sz w:val="17"/>
                <w:szCs w:val="17"/>
                <w:lang w:val="en-GB"/>
              </w:rPr>
            </w:pPr>
          </w:p>
        </w:tc>
        <w:tc>
          <w:tcPr>
            <w:tcW w:w="1134" w:type="dxa"/>
            <w:vAlign w:val="bottom"/>
          </w:tcPr>
          <w:p w14:paraId="5BD19FE0" w14:textId="77777777" w:rsidR="00587444" w:rsidRPr="00587444" w:rsidRDefault="00587444" w:rsidP="00587444">
            <w:pPr>
              <w:suppressAutoHyphens w:val="0"/>
              <w:autoSpaceDN/>
              <w:jc w:val="right"/>
              <w:outlineLvl w:val="0"/>
              <w:rPr>
                <w:rFonts w:ascii="Arial" w:hAnsi="Arial" w:cs="Arial"/>
                <w:b/>
                <w:bCs/>
                <w:sz w:val="17"/>
                <w:szCs w:val="17"/>
                <w:lang w:val="en-GB"/>
              </w:rPr>
            </w:pPr>
          </w:p>
        </w:tc>
      </w:tr>
      <w:tr w:rsidR="00587444" w:rsidRPr="00587444" w14:paraId="6E22D30F" w14:textId="77777777" w:rsidTr="00DD69E7">
        <w:trPr>
          <w:trHeight w:hRule="exact" w:val="227"/>
          <w:jc w:val="center"/>
        </w:trPr>
        <w:tc>
          <w:tcPr>
            <w:tcW w:w="2979" w:type="dxa"/>
            <w:vAlign w:val="bottom"/>
          </w:tcPr>
          <w:p w14:paraId="5DAF58E7" w14:textId="77777777" w:rsidR="00587444" w:rsidRPr="00587444" w:rsidRDefault="00587444" w:rsidP="00587444">
            <w:pPr>
              <w:tabs>
                <w:tab w:val="right" w:pos="1202"/>
                <w:tab w:val="center" w:pos="4153"/>
                <w:tab w:val="right" w:pos="8306"/>
              </w:tabs>
              <w:suppressAutoHyphens w:val="0"/>
              <w:autoSpaceDN/>
              <w:outlineLvl w:val="0"/>
              <w:rPr>
                <w:rFonts w:ascii="Arial" w:hAnsi="Arial" w:cs="Arial"/>
                <w:sz w:val="17"/>
                <w:szCs w:val="17"/>
                <w:lang w:val="en-GB"/>
              </w:rPr>
            </w:pPr>
            <w:bookmarkStart w:id="1250" w:name="_Toc4062519"/>
            <w:r w:rsidRPr="00587444">
              <w:rPr>
                <w:rFonts w:ascii="Arial" w:hAnsi="Arial" w:cs="Arial"/>
                <w:sz w:val="17"/>
                <w:szCs w:val="17"/>
                <w:lang w:val="en-GB"/>
              </w:rPr>
              <w:t>Deposits from customers</w:t>
            </w:r>
            <w:bookmarkEnd w:id="1250"/>
          </w:p>
        </w:tc>
        <w:tc>
          <w:tcPr>
            <w:tcW w:w="1133" w:type="dxa"/>
            <w:tcBorders>
              <w:top w:val="nil"/>
              <w:left w:val="nil"/>
              <w:bottom w:val="nil"/>
              <w:right w:val="nil"/>
            </w:tcBorders>
            <w:shd w:val="clear" w:color="auto" w:fill="auto"/>
            <w:vAlign w:val="bottom"/>
          </w:tcPr>
          <w:p w14:paraId="2AF28F3A"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eastAsia="Calibri" w:hAnsi="Arial" w:cs="Arial"/>
                <w:color w:val="000000"/>
                <w:spacing w:val="-2"/>
                <w:sz w:val="17"/>
                <w:szCs w:val="17"/>
                <w:lang w:val="hr-HR"/>
              </w:rPr>
              <w:t>738,963</w:t>
            </w:r>
          </w:p>
        </w:tc>
        <w:tc>
          <w:tcPr>
            <w:tcW w:w="1134" w:type="dxa"/>
            <w:tcBorders>
              <w:top w:val="nil"/>
              <w:left w:val="nil"/>
              <w:bottom w:val="nil"/>
              <w:right w:val="nil"/>
            </w:tcBorders>
            <w:shd w:val="clear" w:color="auto" w:fill="auto"/>
            <w:vAlign w:val="bottom"/>
          </w:tcPr>
          <w:p w14:paraId="366D80D5"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eastAsia="Calibri" w:hAnsi="Arial" w:cs="Arial"/>
                <w:color w:val="000000"/>
                <w:spacing w:val="-2"/>
                <w:sz w:val="17"/>
                <w:szCs w:val="17"/>
                <w:lang w:val="hr-HR"/>
              </w:rPr>
              <w:t>29,337</w:t>
            </w:r>
          </w:p>
        </w:tc>
        <w:tc>
          <w:tcPr>
            <w:tcW w:w="1134" w:type="dxa"/>
            <w:tcBorders>
              <w:top w:val="nil"/>
              <w:left w:val="nil"/>
              <w:bottom w:val="nil"/>
              <w:right w:val="nil"/>
            </w:tcBorders>
            <w:shd w:val="clear" w:color="auto" w:fill="auto"/>
            <w:vAlign w:val="bottom"/>
          </w:tcPr>
          <w:p w14:paraId="21F44046"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eastAsia="Calibri" w:hAnsi="Arial" w:cs="Arial"/>
                <w:color w:val="000000"/>
                <w:spacing w:val="-2"/>
                <w:sz w:val="17"/>
                <w:szCs w:val="17"/>
                <w:lang w:val="hr-HR"/>
              </w:rPr>
              <w:t>110,155</w:t>
            </w:r>
          </w:p>
        </w:tc>
        <w:tc>
          <w:tcPr>
            <w:tcW w:w="1134" w:type="dxa"/>
            <w:tcBorders>
              <w:top w:val="nil"/>
              <w:left w:val="nil"/>
              <w:bottom w:val="nil"/>
              <w:right w:val="nil"/>
            </w:tcBorders>
            <w:shd w:val="clear" w:color="auto" w:fill="auto"/>
            <w:vAlign w:val="bottom"/>
          </w:tcPr>
          <w:p w14:paraId="32528F8D"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eastAsia="Calibri" w:hAnsi="Arial" w:cs="Arial"/>
                <w:color w:val="000000"/>
                <w:spacing w:val="-2"/>
                <w:sz w:val="17"/>
                <w:szCs w:val="17"/>
                <w:lang w:val="hr-HR"/>
              </w:rPr>
              <w:t>75,433</w:t>
            </w:r>
          </w:p>
        </w:tc>
        <w:tc>
          <w:tcPr>
            <w:tcW w:w="1134" w:type="dxa"/>
            <w:tcBorders>
              <w:top w:val="nil"/>
              <w:left w:val="nil"/>
              <w:bottom w:val="nil"/>
              <w:right w:val="nil"/>
            </w:tcBorders>
            <w:shd w:val="clear" w:color="auto" w:fill="auto"/>
            <w:vAlign w:val="bottom"/>
          </w:tcPr>
          <w:p w14:paraId="2459F110"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eastAsia="Calibri" w:hAnsi="Arial" w:cs="Arial"/>
                <w:color w:val="000000"/>
                <w:spacing w:val="-2"/>
                <w:sz w:val="17"/>
                <w:szCs w:val="17"/>
                <w:lang w:val="hr-HR"/>
              </w:rPr>
              <w:t>70,735</w:t>
            </w:r>
          </w:p>
        </w:tc>
        <w:tc>
          <w:tcPr>
            <w:tcW w:w="1134" w:type="dxa"/>
            <w:tcBorders>
              <w:top w:val="nil"/>
              <w:left w:val="nil"/>
              <w:bottom w:val="nil"/>
              <w:right w:val="nil"/>
            </w:tcBorders>
            <w:shd w:val="clear" w:color="auto" w:fill="auto"/>
            <w:vAlign w:val="bottom"/>
          </w:tcPr>
          <w:p w14:paraId="2981A850"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eastAsia="Calibri" w:hAnsi="Arial" w:cs="Arial"/>
                <w:color w:val="000000"/>
                <w:spacing w:val="-2"/>
                <w:sz w:val="17"/>
                <w:szCs w:val="17"/>
                <w:lang w:val="hr-HR"/>
              </w:rPr>
              <w:t>1,024,623</w:t>
            </w:r>
          </w:p>
        </w:tc>
      </w:tr>
      <w:tr w:rsidR="00587444" w:rsidRPr="00587444" w14:paraId="0C0507A6" w14:textId="77777777" w:rsidTr="00DD69E7">
        <w:trPr>
          <w:trHeight w:hRule="exact" w:val="227"/>
          <w:jc w:val="center"/>
        </w:trPr>
        <w:tc>
          <w:tcPr>
            <w:tcW w:w="2979" w:type="dxa"/>
            <w:vAlign w:val="bottom"/>
          </w:tcPr>
          <w:p w14:paraId="4907EA06" w14:textId="77777777" w:rsidR="00587444" w:rsidRPr="00587444" w:rsidRDefault="00587444" w:rsidP="00587444">
            <w:pPr>
              <w:tabs>
                <w:tab w:val="right" w:pos="1202"/>
                <w:tab w:val="center" w:pos="4153"/>
                <w:tab w:val="right" w:pos="8306"/>
              </w:tabs>
              <w:suppressAutoHyphens w:val="0"/>
              <w:autoSpaceDN/>
              <w:outlineLvl w:val="0"/>
              <w:rPr>
                <w:rFonts w:ascii="Arial" w:hAnsi="Arial" w:cs="Arial"/>
                <w:sz w:val="17"/>
                <w:szCs w:val="17"/>
                <w:lang w:val="en-GB"/>
              </w:rPr>
            </w:pPr>
            <w:bookmarkStart w:id="1251" w:name="_Toc4062520"/>
            <w:r w:rsidRPr="00587444">
              <w:rPr>
                <w:rFonts w:ascii="Arial" w:hAnsi="Arial" w:cs="Arial"/>
                <w:sz w:val="17"/>
                <w:szCs w:val="17"/>
                <w:lang w:val="en-GB"/>
              </w:rPr>
              <w:t>Borrowings</w:t>
            </w:r>
            <w:bookmarkEnd w:id="1251"/>
          </w:p>
        </w:tc>
        <w:tc>
          <w:tcPr>
            <w:tcW w:w="1133" w:type="dxa"/>
            <w:tcBorders>
              <w:top w:val="nil"/>
              <w:left w:val="nil"/>
              <w:bottom w:val="nil"/>
              <w:right w:val="nil"/>
            </w:tcBorders>
            <w:shd w:val="clear" w:color="auto" w:fill="auto"/>
            <w:vAlign w:val="bottom"/>
          </w:tcPr>
          <w:p w14:paraId="4FA9C085"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eastAsia="Calibri" w:hAnsi="Arial" w:cs="Arial"/>
                <w:color w:val="000000"/>
                <w:spacing w:val="-2"/>
                <w:sz w:val="17"/>
                <w:szCs w:val="17"/>
                <w:lang w:val="hr-HR"/>
              </w:rPr>
              <w:t>566,496</w:t>
            </w:r>
          </w:p>
        </w:tc>
        <w:tc>
          <w:tcPr>
            <w:tcW w:w="1134" w:type="dxa"/>
            <w:tcBorders>
              <w:top w:val="nil"/>
              <w:left w:val="nil"/>
              <w:bottom w:val="nil"/>
              <w:right w:val="nil"/>
            </w:tcBorders>
            <w:shd w:val="clear" w:color="auto" w:fill="auto"/>
            <w:vAlign w:val="bottom"/>
          </w:tcPr>
          <w:p w14:paraId="3E4B8E13"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eastAsia="Calibri" w:hAnsi="Arial" w:cs="Arial"/>
                <w:color w:val="000000"/>
                <w:spacing w:val="-2"/>
                <w:sz w:val="17"/>
                <w:szCs w:val="17"/>
                <w:lang w:val="hr-HR"/>
              </w:rPr>
              <w:t>298,689</w:t>
            </w:r>
          </w:p>
        </w:tc>
        <w:tc>
          <w:tcPr>
            <w:tcW w:w="1134" w:type="dxa"/>
            <w:tcBorders>
              <w:top w:val="nil"/>
              <w:left w:val="nil"/>
              <w:bottom w:val="nil"/>
              <w:right w:val="nil"/>
            </w:tcBorders>
            <w:shd w:val="clear" w:color="auto" w:fill="auto"/>
            <w:vAlign w:val="bottom"/>
          </w:tcPr>
          <w:p w14:paraId="73964DFC"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eastAsia="Calibri" w:hAnsi="Arial" w:cs="Arial"/>
                <w:color w:val="000000"/>
                <w:spacing w:val="-2"/>
                <w:sz w:val="17"/>
                <w:szCs w:val="17"/>
                <w:lang w:val="hr-HR"/>
              </w:rPr>
              <w:t>3,384,456</w:t>
            </w:r>
          </w:p>
        </w:tc>
        <w:tc>
          <w:tcPr>
            <w:tcW w:w="1134" w:type="dxa"/>
            <w:tcBorders>
              <w:top w:val="nil"/>
              <w:left w:val="nil"/>
              <w:bottom w:val="nil"/>
              <w:right w:val="nil"/>
            </w:tcBorders>
            <w:shd w:val="clear" w:color="auto" w:fill="auto"/>
            <w:vAlign w:val="bottom"/>
          </w:tcPr>
          <w:p w14:paraId="683AA9A4"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eastAsia="Calibri" w:hAnsi="Arial" w:cs="Arial"/>
                <w:color w:val="000000"/>
                <w:spacing w:val="-2"/>
                <w:sz w:val="17"/>
                <w:szCs w:val="17"/>
                <w:lang w:val="hr-HR"/>
              </w:rPr>
              <w:t>5,690,177</w:t>
            </w:r>
          </w:p>
        </w:tc>
        <w:tc>
          <w:tcPr>
            <w:tcW w:w="1134" w:type="dxa"/>
            <w:tcBorders>
              <w:top w:val="nil"/>
              <w:left w:val="nil"/>
              <w:bottom w:val="nil"/>
              <w:right w:val="nil"/>
            </w:tcBorders>
            <w:shd w:val="clear" w:color="auto" w:fill="auto"/>
            <w:vAlign w:val="bottom"/>
          </w:tcPr>
          <w:p w14:paraId="2D8AE467"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eastAsia="Calibri" w:hAnsi="Arial" w:cs="Arial"/>
                <w:color w:val="000000"/>
                <w:spacing w:val="-2"/>
                <w:sz w:val="17"/>
                <w:szCs w:val="17"/>
                <w:lang w:val="hr-HR"/>
              </w:rPr>
              <w:t>8,047,955</w:t>
            </w:r>
          </w:p>
        </w:tc>
        <w:tc>
          <w:tcPr>
            <w:tcW w:w="1134" w:type="dxa"/>
            <w:tcBorders>
              <w:top w:val="nil"/>
              <w:left w:val="nil"/>
              <w:bottom w:val="nil"/>
              <w:right w:val="nil"/>
            </w:tcBorders>
            <w:shd w:val="clear" w:color="auto" w:fill="auto"/>
            <w:vAlign w:val="bottom"/>
          </w:tcPr>
          <w:p w14:paraId="44690581"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eastAsia="Calibri" w:hAnsi="Arial" w:cs="Arial"/>
                <w:color w:val="000000"/>
                <w:spacing w:val="-2"/>
                <w:sz w:val="17"/>
                <w:szCs w:val="17"/>
                <w:lang w:val="hr-HR"/>
              </w:rPr>
              <w:t>17,987,773</w:t>
            </w:r>
          </w:p>
        </w:tc>
      </w:tr>
      <w:tr w:rsidR="00587444" w:rsidRPr="00587444" w14:paraId="0A3C49F0" w14:textId="77777777" w:rsidTr="00DD69E7">
        <w:trPr>
          <w:trHeight w:hRule="exact" w:val="430"/>
          <w:jc w:val="center"/>
        </w:trPr>
        <w:tc>
          <w:tcPr>
            <w:tcW w:w="2979" w:type="dxa"/>
            <w:vAlign w:val="bottom"/>
          </w:tcPr>
          <w:p w14:paraId="2E385CD8" w14:textId="77777777" w:rsidR="001D0F84" w:rsidRDefault="00587444" w:rsidP="00587444">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 xml:space="preserve">Provisions for guarantees, </w:t>
            </w:r>
          </w:p>
          <w:p w14:paraId="3803205B" w14:textId="05DA9951" w:rsidR="00587444" w:rsidRPr="00587444" w:rsidRDefault="00587444" w:rsidP="00587444">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commitments and other liabilities</w:t>
            </w:r>
          </w:p>
        </w:tc>
        <w:tc>
          <w:tcPr>
            <w:tcW w:w="1133" w:type="dxa"/>
            <w:tcBorders>
              <w:top w:val="nil"/>
              <w:left w:val="nil"/>
              <w:right w:val="nil"/>
            </w:tcBorders>
            <w:shd w:val="clear" w:color="auto" w:fill="auto"/>
            <w:vAlign w:val="bottom"/>
          </w:tcPr>
          <w:p w14:paraId="6AFD0D9C"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587444">
              <w:rPr>
                <w:rFonts w:ascii="Arial" w:eastAsia="Calibri" w:hAnsi="Arial" w:cs="Arial"/>
                <w:color w:val="000000"/>
                <w:spacing w:val="-2"/>
                <w:sz w:val="17"/>
                <w:szCs w:val="17"/>
                <w:lang w:val="hr-HR"/>
              </w:rPr>
              <w:t>104,063</w:t>
            </w:r>
          </w:p>
        </w:tc>
        <w:tc>
          <w:tcPr>
            <w:tcW w:w="1134" w:type="dxa"/>
            <w:tcBorders>
              <w:top w:val="nil"/>
              <w:left w:val="nil"/>
              <w:right w:val="nil"/>
            </w:tcBorders>
            <w:shd w:val="clear" w:color="auto" w:fill="auto"/>
            <w:vAlign w:val="bottom"/>
          </w:tcPr>
          <w:p w14:paraId="09000F9D"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587444">
              <w:rPr>
                <w:rFonts w:ascii="Arial" w:eastAsia="Calibri" w:hAnsi="Arial" w:cs="Arial"/>
                <w:color w:val="000000"/>
                <w:spacing w:val="-2"/>
                <w:sz w:val="17"/>
                <w:szCs w:val="17"/>
                <w:lang w:val="hr-HR"/>
              </w:rPr>
              <w:t>2,702</w:t>
            </w:r>
          </w:p>
        </w:tc>
        <w:tc>
          <w:tcPr>
            <w:tcW w:w="1134" w:type="dxa"/>
            <w:tcBorders>
              <w:top w:val="nil"/>
              <w:left w:val="nil"/>
              <w:right w:val="nil"/>
            </w:tcBorders>
            <w:shd w:val="clear" w:color="auto" w:fill="auto"/>
            <w:vAlign w:val="bottom"/>
          </w:tcPr>
          <w:p w14:paraId="6263A9EA"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587444">
              <w:rPr>
                <w:rFonts w:ascii="Arial" w:eastAsia="Calibri" w:hAnsi="Arial" w:cs="Arial"/>
                <w:color w:val="000000"/>
                <w:spacing w:val="-2"/>
                <w:sz w:val="17"/>
                <w:szCs w:val="17"/>
                <w:lang w:val="hr-HR"/>
              </w:rPr>
              <w:t>9,975</w:t>
            </w:r>
          </w:p>
        </w:tc>
        <w:tc>
          <w:tcPr>
            <w:tcW w:w="1134" w:type="dxa"/>
            <w:tcBorders>
              <w:top w:val="nil"/>
              <w:left w:val="nil"/>
              <w:right w:val="nil"/>
            </w:tcBorders>
            <w:shd w:val="clear" w:color="auto" w:fill="auto"/>
            <w:vAlign w:val="bottom"/>
          </w:tcPr>
          <w:p w14:paraId="247A5279"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587444">
              <w:rPr>
                <w:rFonts w:ascii="Arial" w:eastAsia="Calibri" w:hAnsi="Arial" w:cs="Arial"/>
                <w:color w:val="000000"/>
                <w:spacing w:val="-2"/>
                <w:sz w:val="17"/>
                <w:szCs w:val="17"/>
                <w:lang w:val="hr-HR"/>
              </w:rPr>
              <w:t>18,037</w:t>
            </w:r>
          </w:p>
        </w:tc>
        <w:tc>
          <w:tcPr>
            <w:tcW w:w="1134" w:type="dxa"/>
            <w:tcBorders>
              <w:top w:val="nil"/>
              <w:left w:val="nil"/>
              <w:right w:val="nil"/>
            </w:tcBorders>
            <w:shd w:val="clear" w:color="auto" w:fill="auto"/>
            <w:vAlign w:val="bottom"/>
          </w:tcPr>
          <w:p w14:paraId="03BAA4FB"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587444">
              <w:rPr>
                <w:rFonts w:ascii="Arial" w:eastAsia="Calibri" w:hAnsi="Arial" w:cs="Arial"/>
                <w:color w:val="000000"/>
                <w:spacing w:val="-2"/>
                <w:sz w:val="17"/>
                <w:szCs w:val="17"/>
                <w:lang w:val="hr-HR"/>
              </w:rPr>
              <w:t>7,938</w:t>
            </w:r>
          </w:p>
        </w:tc>
        <w:tc>
          <w:tcPr>
            <w:tcW w:w="1134" w:type="dxa"/>
            <w:tcBorders>
              <w:top w:val="nil"/>
              <w:left w:val="nil"/>
              <w:right w:val="nil"/>
            </w:tcBorders>
            <w:shd w:val="clear" w:color="auto" w:fill="auto"/>
            <w:vAlign w:val="bottom"/>
          </w:tcPr>
          <w:p w14:paraId="2A57ED6D"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587444">
              <w:rPr>
                <w:rFonts w:ascii="Arial" w:eastAsia="Calibri" w:hAnsi="Arial" w:cs="Arial"/>
                <w:color w:val="000000"/>
                <w:spacing w:val="-2"/>
                <w:sz w:val="17"/>
                <w:szCs w:val="17"/>
                <w:lang w:val="hr-HR"/>
              </w:rPr>
              <w:t>142,715</w:t>
            </w:r>
          </w:p>
        </w:tc>
      </w:tr>
      <w:tr w:rsidR="00587444" w:rsidRPr="00587444" w14:paraId="6147A6B0" w14:textId="77777777" w:rsidTr="00DD69E7">
        <w:trPr>
          <w:trHeight w:hRule="exact" w:val="227"/>
          <w:jc w:val="center"/>
        </w:trPr>
        <w:tc>
          <w:tcPr>
            <w:tcW w:w="2979" w:type="dxa"/>
            <w:vAlign w:val="bottom"/>
          </w:tcPr>
          <w:p w14:paraId="45ED3FC6" w14:textId="77777777" w:rsidR="00587444" w:rsidRPr="00587444" w:rsidRDefault="00587444" w:rsidP="00587444">
            <w:pPr>
              <w:tabs>
                <w:tab w:val="right" w:pos="1202"/>
                <w:tab w:val="center" w:pos="4153"/>
                <w:tab w:val="right" w:pos="8306"/>
              </w:tabs>
              <w:suppressAutoHyphens w:val="0"/>
              <w:autoSpaceDN/>
              <w:outlineLvl w:val="0"/>
              <w:rPr>
                <w:rFonts w:ascii="Arial" w:hAnsi="Arial" w:cs="Arial"/>
                <w:sz w:val="17"/>
                <w:szCs w:val="17"/>
                <w:lang w:val="en-GB"/>
              </w:rPr>
            </w:pPr>
            <w:bookmarkStart w:id="1252" w:name="_Toc4062522"/>
            <w:r w:rsidRPr="00587444">
              <w:rPr>
                <w:rFonts w:ascii="Arial" w:hAnsi="Arial" w:cs="Arial"/>
                <w:sz w:val="17"/>
                <w:szCs w:val="17"/>
                <w:lang w:val="en-GB"/>
              </w:rPr>
              <w:t>Other liabilities</w:t>
            </w:r>
            <w:bookmarkEnd w:id="1252"/>
          </w:p>
        </w:tc>
        <w:tc>
          <w:tcPr>
            <w:tcW w:w="1133" w:type="dxa"/>
            <w:tcBorders>
              <w:top w:val="nil"/>
              <w:left w:val="nil"/>
              <w:bottom w:val="single" w:sz="4" w:space="0" w:color="auto"/>
              <w:right w:val="nil"/>
            </w:tcBorders>
            <w:shd w:val="clear" w:color="auto" w:fill="auto"/>
            <w:vAlign w:val="bottom"/>
          </w:tcPr>
          <w:p w14:paraId="39B462A0"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eastAsia="Calibri" w:hAnsi="Arial" w:cs="Arial"/>
                <w:color w:val="000000"/>
                <w:spacing w:val="-2"/>
                <w:sz w:val="17"/>
                <w:szCs w:val="17"/>
                <w:lang w:val="hr-HR"/>
              </w:rPr>
              <w:t>477,310</w:t>
            </w:r>
          </w:p>
        </w:tc>
        <w:tc>
          <w:tcPr>
            <w:tcW w:w="1134" w:type="dxa"/>
            <w:tcBorders>
              <w:top w:val="nil"/>
              <w:left w:val="nil"/>
              <w:bottom w:val="single" w:sz="4" w:space="0" w:color="auto"/>
              <w:right w:val="nil"/>
            </w:tcBorders>
            <w:shd w:val="clear" w:color="auto" w:fill="auto"/>
            <w:vAlign w:val="bottom"/>
          </w:tcPr>
          <w:p w14:paraId="583869D8"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eastAsia="Calibri" w:hAnsi="Arial" w:cs="Arial"/>
                <w:color w:val="000000"/>
                <w:spacing w:val="-2"/>
                <w:sz w:val="17"/>
                <w:szCs w:val="17"/>
                <w:lang w:val="hr-HR"/>
              </w:rPr>
              <w:t>20,726</w:t>
            </w:r>
          </w:p>
        </w:tc>
        <w:tc>
          <w:tcPr>
            <w:tcW w:w="1134" w:type="dxa"/>
            <w:tcBorders>
              <w:top w:val="nil"/>
              <w:left w:val="nil"/>
              <w:bottom w:val="single" w:sz="4" w:space="0" w:color="auto"/>
              <w:right w:val="nil"/>
            </w:tcBorders>
            <w:shd w:val="clear" w:color="auto" w:fill="auto"/>
            <w:vAlign w:val="bottom"/>
          </w:tcPr>
          <w:p w14:paraId="07415585"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eastAsia="Calibri" w:hAnsi="Arial" w:cs="Arial"/>
                <w:color w:val="000000"/>
                <w:spacing w:val="-2"/>
                <w:sz w:val="17"/>
                <w:szCs w:val="17"/>
                <w:lang w:val="hr-HR"/>
              </w:rPr>
              <w:t>54,116</w:t>
            </w:r>
          </w:p>
        </w:tc>
        <w:tc>
          <w:tcPr>
            <w:tcW w:w="1134" w:type="dxa"/>
            <w:tcBorders>
              <w:top w:val="nil"/>
              <w:left w:val="nil"/>
              <w:bottom w:val="single" w:sz="4" w:space="0" w:color="auto"/>
              <w:right w:val="nil"/>
            </w:tcBorders>
            <w:shd w:val="clear" w:color="auto" w:fill="auto"/>
            <w:vAlign w:val="bottom"/>
          </w:tcPr>
          <w:p w14:paraId="707A7ED1"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eastAsia="Calibri" w:hAnsi="Arial" w:cs="Arial"/>
                <w:color w:val="000000"/>
                <w:spacing w:val="-2"/>
                <w:sz w:val="17"/>
                <w:szCs w:val="17"/>
                <w:lang w:val="hr-HR"/>
              </w:rPr>
              <w:t>91,723</w:t>
            </w:r>
          </w:p>
        </w:tc>
        <w:tc>
          <w:tcPr>
            <w:tcW w:w="1134" w:type="dxa"/>
            <w:tcBorders>
              <w:top w:val="nil"/>
              <w:left w:val="nil"/>
              <w:bottom w:val="single" w:sz="4" w:space="0" w:color="auto"/>
              <w:right w:val="nil"/>
            </w:tcBorders>
            <w:shd w:val="clear" w:color="auto" w:fill="auto"/>
            <w:vAlign w:val="bottom"/>
          </w:tcPr>
          <w:p w14:paraId="26601E46"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eastAsia="Calibri" w:hAnsi="Arial" w:cs="Arial"/>
                <w:color w:val="000000"/>
                <w:spacing w:val="-2"/>
                <w:sz w:val="17"/>
                <w:szCs w:val="17"/>
                <w:lang w:val="hr-HR"/>
              </w:rPr>
              <w:t>32,648</w:t>
            </w:r>
          </w:p>
        </w:tc>
        <w:tc>
          <w:tcPr>
            <w:tcW w:w="1134" w:type="dxa"/>
            <w:tcBorders>
              <w:top w:val="nil"/>
              <w:left w:val="nil"/>
              <w:bottom w:val="single" w:sz="4" w:space="0" w:color="auto"/>
              <w:right w:val="nil"/>
            </w:tcBorders>
            <w:shd w:val="clear" w:color="auto" w:fill="auto"/>
            <w:vAlign w:val="bottom"/>
          </w:tcPr>
          <w:p w14:paraId="50763121"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eastAsia="Calibri" w:hAnsi="Arial" w:cs="Arial"/>
                <w:color w:val="000000"/>
                <w:spacing w:val="-2"/>
                <w:sz w:val="17"/>
                <w:szCs w:val="17"/>
                <w:lang w:val="hr-HR"/>
              </w:rPr>
              <w:t>676,523</w:t>
            </w:r>
          </w:p>
        </w:tc>
      </w:tr>
      <w:tr w:rsidR="00587444" w:rsidRPr="00587444" w14:paraId="77C7F9EB" w14:textId="77777777" w:rsidTr="00DD69E7">
        <w:trPr>
          <w:trHeight w:hRule="exact" w:val="294"/>
          <w:jc w:val="center"/>
        </w:trPr>
        <w:tc>
          <w:tcPr>
            <w:tcW w:w="2979" w:type="dxa"/>
            <w:vAlign w:val="bottom"/>
          </w:tcPr>
          <w:p w14:paraId="14D296C4" w14:textId="77777777" w:rsidR="00587444" w:rsidRPr="00587444" w:rsidRDefault="00587444" w:rsidP="00587444">
            <w:pPr>
              <w:suppressAutoHyphens w:val="0"/>
              <w:autoSpaceDN/>
              <w:rPr>
                <w:rFonts w:ascii="Arial" w:hAnsi="Arial" w:cs="Arial"/>
                <w:i/>
                <w:sz w:val="17"/>
                <w:szCs w:val="17"/>
                <w:lang w:val="en-GB"/>
              </w:rPr>
            </w:pPr>
            <w:r w:rsidRPr="00587444">
              <w:rPr>
                <w:rFonts w:ascii="Arial" w:hAnsi="Arial" w:cs="Arial"/>
                <w:b/>
                <w:sz w:val="17"/>
                <w:szCs w:val="17"/>
                <w:lang w:val="hr-HR"/>
              </w:rPr>
              <w:t>Total</w:t>
            </w:r>
          </w:p>
        </w:tc>
        <w:tc>
          <w:tcPr>
            <w:tcW w:w="1133" w:type="dxa"/>
            <w:tcBorders>
              <w:top w:val="single" w:sz="4" w:space="0" w:color="auto"/>
              <w:left w:val="nil"/>
              <w:bottom w:val="single" w:sz="12" w:space="0" w:color="auto"/>
              <w:right w:val="nil"/>
            </w:tcBorders>
            <w:shd w:val="clear" w:color="auto" w:fill="auto"/>
            <w:vAlign w:val="bottom"/>
          </w:tcPr>
          <w:p w14:paraId="6DEE9519"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color w:val="000000"/>
                <w:sz w:val="17"/>
                <w:szCs w:val="17"/>
                <w:lang w:val="hr-HR"/>
              </w:rPr>
              <w:t>1,886,832</w:t>
            </w:r>
          </w:p>
        </w:tc>
        <w:tc>
          <w:tcPr>
            <w:tcW w:w="1134" w:type="dxa"/>
            <w:tcBorders>
              <w:top w:val="nil"/>
              <w:left w:val="nil"/>
              <w:bottom w:val="single" w:sz="12" w:space="0" w:color="auto"/>
              <w:right w:val="nil"/>
            </w:tcBorders>
            <w:shd w:val="clear" w:color="auto" w:fill="auto"/>
            <w:vAlign w:val="bottom"/>
          </w:tcPr>
          <w:p w14:paraId="74DACD40"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color w:val="000000"/>
                <w:sz w:val="17"/>
                <w:szCs w:val="17"/>
                <w:lang w:val="hr-HR"/>
              </w:rPr>
              <w:t>351,454</w:t>
            </w:r>
          </w:p>
        </w:tc>
        <w:tc>
          <w:tcPr>
            <w:tcW w:w="1134" w:type="dxa"/>
            <w:tcBorders>
              <w:top w:val="nil"/>
              <w:left w:val="nil"/>
              <w:bottom w:val="single" w:sz="12" w:space="0" w:color="auto"/>
              <w:right w:val="nil"/>
            </w:tcBorders>
            <w:shd w:val="clear" w:color="auto" w:fill="auto"/>
            <w:vAlign w:val="bottom"/>
          </w:tcPr>
          <w:p w14:paraId="0901031E"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color w:val="000000"/>
                <w:sz w:val="17"/>
                <w:szCs w:val="17"/>
                <w:lang w:val="hr-HR"/>
              </w:rPr>
              <w:t>3,558,702</w:t>
            </w:r>
          </w:p>
        </w:tc>
        <w:tc>
          <w:tcPr>
            <w:tcW w:w="1134" w:type="dxa"/>
            <w:tcBorders>
              <w:top w:val="nil"/>
              <w:left w:val="nil"/>
              <w:bottom w:val="single" w:sz="12" w:space="0" w:color="auto"/>
              <w:right w:val="nil"/>
            </w:tcBorders>
            <w:shd w:val="clear" w:color="auto" w:fill="auto"/>
            <w:vAlign w:val="bottom"/>
          </w:tcPr>
          <w:p w14:paraId="06E15AE9"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color w:val="000000"/>
                <w:sz w:val="17"/>
                <w:szCs w:val="17"/>
                <w:lang w:val="hr-HR"/>
              </w:rPr>
              <w:t>5,875,370</w:t>
            </w:r>
          </w:p>
        </w:tc>
        <w:tc>
          <w:tcPr>
            <w:tcW w:w="1134" w:type="dxa"/>
            <w:tcBorders>
              <w:top w:val="nil"/>
              <w:left w:val="nil"/>
              <w:bottom w:val="single" w:sz="12" w:space="0" w:color="auto"/>
              <w:right w:val="nil"/>
            </w:tcBorders>
            <w:shd w:val="clear" w:color="auto" w:fill="auto"/>
            <w:vAlign w:val="bottom"/>
          </w:tcPr>
          <w:p w14:paraId="0E695B4A"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color w:val="000000"/>
                <w:sz w:val="17"/>
                <w:szCs w:val="17"/>
                <w:lang w:val="hr-HR"/>
              </w:rPr>
              <w:t>8,159,276</w:t>
            </w:r>
          </w:p>
        </w:tc>
        <w:tc>
          <w:tcPr>
            <w:tcW w:w="1134" w:type="dxa"/>
            <w:tcBorders>
              <w:top w:val="nil"/>
              <w:left w:val="nil"/>
              <w:bottom w:val="single" w:sz="12" w:space="0" w:color="auto"/>
              <w:right w:val="nil"/>
            </w:tcBorders>
            <w:shd w:val="clear" w:color="auto" w:fill="auto"/>
            <w:vAlign w:val="bottom"/>
          </w:tcPr>
          <w:p w14:paraId="7ADFD3A9"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color w:val="000000"/>
                <w:sz w:val="17"/>
                <w:szCs w:val="17"/>
                <w:lang w:val="hr-HR"/>
              </w:rPr>
              <w:t>19,831,634</w:t>
            </w:r>
          </w:p>
        </w:tc>
      </w:tr>
      <w:tr w:rsidR="00587444" w:rsidRPr="00587444" w14:paraId="5A617C77" w14:textId="77777777" w:rsidTr="00DD69E7">
        <w:trPr>
          <w:trHeight w:hRule="exact" w:val="284"/>
          <w:jc w:val="center"/>
        </w:trPr>
        <w:tc>
          <w:tcPr>
            <w:tcW w:w="2979" w:type="dxa"/>
            <w:vAlign w:val="bottom"/>
          </w:tcPr>
          <w:p w14:paraId="4DCBB291" w14:textId="77777777" w:rsidR="00587444" w:rsidRPr="00587444" w:rsidRDefault="00587444" w:rsidP="00587444">
            <w:pPr>
              <w:tabs>
                <w:tab w:val="right" w:pos="1202"/>
              </w:tabs>
              <w:suppressAutoHyphens w:val="0"/>
              <w:autoSpaceDN/>
              <w:outlineLvl w:val="0"/>
              <w:rPr>
                <w:rFonts w:ascii="Arial" w:hAnsi="Arial" w:cs="Arial"/>
                <w:b/>
                <w:sz w:val="17"/>
                <w:szCs w:val="17"/>
                <w:lang w:val="en-GB"/>
              </w:rPr>
            </w:pPr>
            <w:bookmarkStart w:id="1253" w:name="_Toc4062535"/>
            <w:r w:rsidRPr="00587444">
              <w:rPr>
                <w:rFonts w:ascii="Arial" w:hAnsi="Arial" w:cs="Arial"/>
                <w:b/>
                <w:bCs/>
                <w:spacing w:val="-2"/>
                <w:sz w:val="17"/>
                <w:szCs w:val="17"/>
                <w:lang w:val="en-GB"/>
              </w:rPr>
              <w:t>Guarantees and commitments</w:t>
            </w:r>
            <w:bookmarkEnd w:id="1253"/>
          </w:p>
        </w:tc>
        <w:tc>
          <w:tcPr>
            <w:tcW w:w="1133" w:type="dxa"/>
            <w:tcBorders>
              <w:top w:val="nil"/>
              <w:left w:val="nil"/>
              <w:right w:val="nil"/>
            </w:tcBorders>
            <w:shd w:val="clear" w:color="auto" w:fill="auto"/>
            <w:vAlign w:val="bottom"/>
          </w:tcPr>
          <w:p w14:paraId="1A8E4ACE"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5FD88A6A"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1142EC96"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4F7AF56E"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3B266CFB" w14:textId="77777777" w:rsidR="00587444" w:rsidRPr="00587444" w:rsidRDefault="00587444" w:rsidP="00587444">
            <w:pPr>
              <w:tabs>
                <w:tab w:val="right" w:pos="1263"/>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4C2FA1DD"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p>
        </w:tc>
      </w:tr>
      <w:tr w:rsidR="00587444" w:rsidRPr="00587444" w14:paraId="791A1479" w14:textId="77777777" w:rsidTr="00DD69E7">
        <w:trPr>
          <w:trHeight w:hRule="exact" w:val="227"/>
          <w:jc w:val="center"/>
        </w:trPr>
        <w:tc>
          <w:tcPr>
            <w:tcW w:w="2979" w:type="dxa"/>
            <w:vAlign w:val="bottom"/>
          </w:tcPr>
          <w:p w14:paraId="68F0D19F" w14:textId="77777777" w:rsidR="00587444" w:rsidRPr="00587444" w:rsidRDefault="00587444" w:rsidP="00587444">
            <w:pPr>
              <w:tabs>
                <w:tab w:val="left" w:pos="-720"/>
              </w:tabs>
              <w:autoSpaceDN/>
              <w:rPr>
                <w:rFonts w:ascii="Arial" w:hAnsi="Arial" w:cs="Arial"/>
                <w:b/>
                <w:spacing w:val="-2"/>
                <w:sz w:val="17"/>
                <w:szCs w:val="17"/>
                <w:lang w:val="en-GB"/>
              </w:rPr>
            </w:pPr>
            <w:r w:rsidRPr="00587444">
              <w:rPr>
                <w:rFonts w:ascii="Arial" w:hAnsi="Arial" w:cs="Arial"/>
                <w:spacing w:val="-2"/>
                <w:sz w:val="17"/>
                <w:szCs w:val="17"/>
              </w:rPr>
              <w:t>Guarantees issued in HRK</w:t>
            </w:r>
          </w:p>
        </w:tc>
        <w:tc>
          <w:tcPr>
            <w:tcW w:w="1133" w:type="dxa"/>
            <w:tcBorders>
              <w:top w:val="nil"/>
              <w:left w:val="nil"/>
              <w:bottom w:val="nil"/>
              <w:right w:val="nil"/>
            </w:tcBorders>
            <w:shd w:val="clear" w:color="auto" w:fill="auto"/>
            <w:vAlign w:val="bottom"/>
          </w:tcPr>
          <w:p w14:paraId="79A6AC48"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115,427 </w:t>
            </w:r>
          </w:p>
        </w:tc>
        <w:tc>
          <w:tcPr>
            <w:tcW w:w="1134" w:type="dxa"/>
            <w:tcBorders>
              <w:top w:val="nil"/>
              <w:left w:val="nil"/>
              <w:bottom w:val="nil"/>
              <w:right w:val="nil"/>
            </w:tcBorders>
            <w:shd w:val="clear" w:color="auto" w:fill="auto"/>
            <w:vAlign w:val="bottom"/>
          </w:tcPr>
          <w:p w14:paraId="0A2C391A" w14:textId="77777777" w:rsidR="00587444" w:rsidRPr="00587444" w:rsidRDefault="00587444" w:rsidP="00587444">
            <w:pPr>
              <w:tabs>
                <w:tab w:val="center" w:pos="4153"/>
                <w:tab w:val="right" w:pos="8306"/>
              </w:tabs>
              <w:suppressAutoHyphens w:val="0"/>
              <w:autoSpaceDN/>
              <w:jc w:val="right"/>
              <w:rPr>
                <w:rFonts w:ascii="Arial" w:hAnsi="Arial" w:cs="Arial"/>
                <w:bCs/>
                <w:spacing w:val="-2"/>
                <w:sz w:val="17"/>
                <w:szCs w:val="17"/>
                <w:lang w:val="en-GB"/>
              </w:rPr>
            </w:pPr>
            <w:r w:rsidRPr="00587444">
              <w:rPr>
                <w:rFonts w:ascii="Arial" w:hAnsi="Arial" w:cs="Arial"/>
                <w:bCs/>
                <w:i/>
                <w:color w:val="000000"/>
                <w:sz w:val="17"/>
                <w:szCs w:val="17"/>
              </w:rPr>
              <w:t xml:space="preserve"> - </w:t>
            </w:r>
          </w:p>
        </w:tc>
        <w:tc>
          <w:tcPr>
            <w:tcW w:w="1134" w:type="dxa"/>
            <w:tcBorders>
              <w:top w:val="nil"/>
              <w:left w:val="nil"/>
              <w:bottom w:val="nil"/>
              <w:right w:val="nil"/>
            </w:tcBorders>
            <w:shd w:val="clear" w:color="auto" w:fill="auto"/>
            <w:vAlign w:val="bottom"/>
          </w:tcPr>
          <w:p w14:paraId="5D974022"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0E844035"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029FDB4B" w14:textId="77777777" w:rsidR="00587444" w:rsidRPr="00587444" w:rsidRDefault="00587444" w:rsidP="00587444">
            <w:pPr>
              <w:tabs>
                <w:tab w:val="right" w:pos="1263"/>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49AC7BE6"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115,427 </w:t>
            </w:r>
          </w:p>
        </w:tc>
      </w:tr>
      <w:tr w:rsidR="00587444" w:rsidRPr="00587444" w14:paraId="1CA59A1C" w14:textId="77777777" w:rsidTr="00DD69E7">
        <w:trPr>
          <w:trHeight w:val="227"/>
          <w:jc w:val="center"/>
        </w:trPr>
        <w:tc>
          <w:tcPr>
            <w:tcW w:w="2979" w:type="dxa"/>
            <w:vAlign w:val="bottom"/>
          </w:tcPr>
          <w:p w14:paraId="2375C3BB" w14:textId="77777777" w:rsidR="00D75982" w:rsidRDefault="00587444" w:rsidP="00587444">
            <w:pPr>
              <w:suppressAutoHyphens w:val="0"/>
              <w:autoSpaceDN/>
              <w:rPr>
                <w:rFonts w:ascii="Arial" w:hAnsi="Arial" w:cs="Arial"/>
                <w:spacing w:val="-2"/>
                <w:sz w:val="17"/>
                <w:szCs w:val="17"/>
              </w:rPr>
            </w:pPr>
            <w:r w:rsidRPr="00587444">
              <w:rPr>
                <w:rFonts w:ascii="Arial" w:hAnsi="Arial" w:cs="Arial"/>
                <w:spacing w:val="-2"/>
                <w:sz w:val="17"/>
                <w:szCs w:val="17"/>
              </w:rPr>
              <w:t xml:space="preserve">Issued guarantees in foreign </w:t>
            </w:r>
          </w:p>
          <w:p w14:paraId="789068B4" w14:textId="2EA5A348" w:rsidR="00587444" w:rsidRPr="00587444" w:rsidRDefault="00587444" w:rsidP="00587444">
            <w:pPr>
              <w:suppressAutoHyphens w:val="0"/>
              <w:autoSpaceDN/>
              <w:rPr>
                <w:rFonts w:ascii="Arial" w:hAnsi="Arial" w:cs="Arial"/>
                <w:spacing w:val="-2"/>
                <w:sz w:val="17"/>
                <w:szCs w:val="17"/>
              </w:rPr>
            </w:pPr>
            <w:r w:rsidRPr="00587444">
              <w:rPr>
                <w:rFonts w:ascii="Arial" w:hAnsi="Arial" w:cs="Arial"/>
                <w:spacing w:val="-2"/>
                <w:sz w:val="17"/>
                <w:szCs w:val="17"/>
              </w:rPr>
              <w:t>currency</w:t>
            </w:r>
          </w:p>
        </w:tc>
        <w:tc>
          <w:tcPr>
            <w:tcW w:w="1133" w:type="dxa"/>
            <w:tcBorders>
              <w:top w:val="nil"/>
              <w:left w:val="nil"/>
              <w:bottom w:val="nil"/>
              <w:right w:val="nil"/>
            </w:tcBorders>
            <w:shd w:val="clear" w:color="auto" w:fill="auto"/>
            <w:vAlign w:val="bottom"/>
          </w:tcPr>
          <w:p w14:paraId="570DC03E" w14:textId="77777777" w:rsidR="00587444" w:rsidRPr="00587444" w:rsidRDefault="00587444" w:rsidP="00587444">
            <w:pPr>
              <w:suppressAutoHyphens w:val="0"/>
              <w:autoSpaceDN/>
              <w:jc w:val="right"/>
              <w:outlineLvl w:val="0"/>
              <w:rPr>
                <w:rFonts w:ascii="Arial" w:hAnsi="Arial" w:cs="Arial"/>
                <w:bCs/>
                <w:spacing w:val="-2"/>
                <w:sz w:val="17"/>
                <w:szCs w:val="17"/>
                <w:lang w:val="en-GB"/>
              </w:rPr>
            </w:pPr>
            <w:r w:rsidRPr="00587444">
              <w:rPr>
                <w:rFonts w:ascii="Arial" w:hAnsi="Arial" w:cs="Arial"/>
                <w:bCs/>
                <w:color w:val="000000"/>
                <w:sz w:val="17"/>
                <w:szCs w:val="17"/>
                <w:lang w:val="en-GB"/>
              </w:rPr>
              <w:t xml:space="preserve"> 194,098 </w:t>
            </w:r>
          </w:p>
        </w:tc>
        <w:tc>
          <w:tcPr>
            <w:tcW w:w="1134" w:type="dxa"/>
            <w:tcBorders>
              <w:top w:val="nil"/>
              <w:left w:val="nil"/>
              <w:bottom w:val="nil"/>
              <w:right w:val="nil"/>
            </w:tcBorders>
            <w:shd w:val="clear" w:color="auto" w:fill="auto"/>
            <w:vAlign w:val="bottom"/>
          </w:tcPr>
          <w:p w14:paraId="4594F84B" w14:textId="77777777" w:rsidR="00587444" w:rsidRPr="00587444" w:rsidRDefault="00587444" w:rsidP="00587444">
            <w:pPr>
              <w:suppressAutoHyphens w:val="0"/>
              <w:autoSpaceDN/>
              <w:jc w:val="right"/>
              <w:outlineLvl w:val="0"/>
              <w:rPr>
                <w:rFonts w:ascii="Arial" w:hAnsi="Arial" w:cs="Arial"/>
                <w:bCs/>
                <w:spacing w:val="-2"/>
                <w:sz w:val="17"/>
                <w:szCs w:val="17"/>
                <w:lang w:val="en-GB"/>
              </w:rPr>
            </w:pPr>
            <w:r w:rsidRPr="00587444">
              <w:rPr>
                <w:rFonts w:ascii="Arial" w:hAnsi="Arial" w:cs="Arial"/>
                <w:bCs/>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7F06330E" w14:textId="77777777" w:rsidR="00587444" w:rsidRPr="00587444" w:rsidRDefault="00587444" w:rsidP="00587444">
            <w:pPr>
              <w:suppressAutoHyphens w:val="0"/>
              <w:autoSpaceDN/>
              <w:jc w:val="right"/>
              <w:outlineLvl w:val="0"/>
              <w:rPr>
                <w:rFonts w:ascii="Arial" w:hAnsi="Arial" w:cs="Arial"/>
                <w:bCs/>
                <w:spacing w:val="-2"/>
                <w:sz w:val="17"/>
                <w:szCs w:val="17"/>
                <w:lang w:val="en-GB"/>
              </w:rPr>
            </w:pPr>
            <w:r w:rsidRPr="00587444">
              <w:rPr>
                <w:rFonts w:ascii="Arial" w:hAnsi="Arial" w:cs="Arial"/>
                <w:bCs/>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2BE189D0" w14:textId="77777777" w:rsidR="00587444" w:rsidRPr="00587444" w:rsidRDefault="00587444" w:rsidP="00587444">
            <w:pPr>
              <w:suppressAutoHyphens w:val="0"/>
              <w:autoSpaceDN/>
              <w:jc w:val="right"/>
              <w:outlineLvl w:val="0"/>
              <w:rPr>
                <w:rFonts w:ascii="Arial" w:hAnsi="Arial" w:cs="Arial"/>
                <w:bCs/>
                <w:spacing w:val="-2"/>
                <w:sz w:val="17"/>
                <w:szCs w:val="17"/>
                <w:lang w:val="en-GB"/>
              </w:rPr>
            </w:pPr>
            <w:r w:rsidRPr="00587444">
              <w:rPr>
                <w:rFonts w:ascii="Arial" w:hAnsi="Arial" w:cs="Arial"/>
                <w:bCs/>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0670AF6E" w14:textId="77777777" w:rsidR="00587444" w:rsidRPr="00587444" w:rsidRDefault="00587444" w:rsidP="00587444">
            <w:pPr>
              <w:tabs>
                <w:tab w:val="right" w:pos="1263"/>
              </w:tabs>
              <w:suppressAutoHyphens w:val="0"/>
              <w:autoSpaceDN/>
              <w:jc w:val="right"/>
              <w:outlineLvl w:val="0"/>
              <w:rPr>
                <w:rFonts w:ascii="Arial" w:hAnsi="Arial" w:cs="Arial"/>
                <w:bCs/>
                <w:spacing w:val="-2"/>
                <w:sz w:val="17"/>
                <w:szCs w:val="17"/>
                <w:lang w:val="en-GB"/>
              </w:rPr>
            </w:pPr>
            <w:r w:rsidRPr="00587444">
              <w:rPr>
                <w:rFonts w:ascii="Arial" w:hAnsi="Arial" w:cs="Arial"/>
                <w:bCs/>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2C06D1A6" w14:textId="77777777" w:rsidR="00587444" w:rsidRPr="00587444" w:rsidRDefault="00587444" w:rsidP="00587444">
            <w:pPr>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194,098 </w:t>
            </w:r>
          </w:p>
        </w:tc>
      </w:tr>
      <w:tr w:rsidR="00587444" w:rsidRPr="00587444" w14:paraId="3EF8E9DF" w14:textId="77777777" w:rsidTr="00DD69E7">
        <w:trPr>
          <w:trHeight w:val="227"/>
          <w:jc w:val="center"/>
        </w:trPr>
        <w:tc>
          <w:tcPr>
            <w:tcW w:w="2979" w:type="dxa"/>
            <w:vAlign w:val="bottom"/>
          </w:tcPr>
          <w:p w14:paraId="4EE5530A" w14:textId="77777777" w:rsidR="00D75982" w:rsidRDefault="00587444" w:rsidP="00587444">
            <w:pPr>
              <w:suppressAutoHyphens w:val="0"/>
              <w:autoSpaceDN/>
              <w:rPr>
                <w:rFonts w:ascii="Arial" w:hAnsi="Arial" w:cs="Arial"/>
                <w:spacing w:val="-2"/>
                <w:sz w:val="17"/>
                <w:szCs w:val="17"/>
              </w:rPr>
            </w:pPr>
            <w:r w:rsidRPr="00587444">
              <w:rPr>
                <w:rFonts w:ascii="Arial" w:hAnsi="Arial" w:cs="Arial"/>
                <w:spacing w:val="-2"/>
                <w:sz w:val="17"/>
                <w:szCs w:val="17"/>
              </w:rPr>
              <w:t xml:space="preserve">Open </w:t>
            </w:r>
            <w:r w:rsidR="005D302B" w:rsidRPr="00587444">
              <w:rPr>
                <w:rFonts w:ascii="Arial" w:hAnsi="Arial" w:cs="Arial"/>
                <w:spacing w:val="-2"/>
                <w:sz w:val="17"/>
                <w:szCs w:val="17"/>
              </w:rPr>
              <w:t>letters</w:t>
            </w:r>
            <w:r w:rsidRPr="00587444">
              <w:rPr>
                <w:rFonts w:ascii="Arial" w:hAnsi="Arial" w:cs="Arial"/>
                <w:spacing w:val="-2"/>
                <w:sz w:val="17"/>
                <w:szCs w:val="17"/>
              </w:rPr>
              <w:t xml:space="preserve"> of credit in foreign</w:t>
            </w:r>
          </w:p>
          <w:p w14:paraId="1815DE9E" w14:textId="77E2B276" w:rsidR="00587444" w:rsidRPr="00587444" w:rsidRDefault="00587444" w:rsidP="00587444">
            <w:pPr>
              <w:suppressAutoHyphens w:val="0"/>
              <w:autoSpaceDN/>
              <w:rPr>
                <w:rFonts w:ascii="Arial" w:hAnsi="Arial" w:cs="Arial"/>
                <w:spacing w:val="-2"/>
                <w:sz w:val="17"/>
                <w:szCs w:val="17"/>
              </w:rPr>
            </w:pPr>
            <w:r w:rsidRPr="00587444">
              <w:rPr>
                <w:rFonts w:ascii="Arial" w:hAnsi="Arial" w:cs="Arial"/>
                <w:spacing w:val="-2"/>
                <w:sz w:val="17"/>
                <w:szCs w:val="17"/>
              </w:rPr>
              <w:t xml:space="preserve"> currency</w:t>
            </w:r>
          </w:p>
        </w:tc>
        <w:tc>
          <w:tcPr>
            <w:tcW w:w="1133" w:type="dxa"/>
            <w:tcBorders>
              <w:top w:val="nil"/>
              <w:left w:val="nil"/>
              <w:bottom w:val="nil"/>
              <w:right w:val="nil"/>
            </w:tcBorders>
            <w:shd w:val="clear" w:color="auto" w:fill="auto"/>
            <w:vAlign w:val="bottom"/>
          </w:tcPr>
          <w:p w14:paraId="1A0A20F4" w14:textId="77777777" w:rsidR="00587444" w:rsidRPr="00587444" w:rsidRDefault="00587444" w:rsidP="00587444">
            <w:pPr>
              <w:suppressAutoHyphens w:val="0"/>
              <w:autoSpaceDN/>
              <w:jc w:val="right"/>
              <w:outlineLvl w:val="0"/>
              <w:rPr>
                <w:rFonts w:ascii="Arial" w:hAnsi="Arial" w:cs="Arial"/>
                <w:bCs/>
                <w:spacing w:val="-2"/>
                <w:sz w:val="17"/>
                <w:szCs w:val="17"/>
                <w:lang w:val="en-GB"/>
              </w:rPr>
            </w:pPr>
            <w:r w:rsidRPr="00587444">
              <w:rPr>
                <w:rFonts w:ascii="Arial" w:hAnsi="Arial" w:cs="Arial"/>
                <w:bCs/>
                <w:color w:val="000000"/>
                <w:sz w:val="17"/>
                <w:szCs w:val="17"/>
                <w:lang w:val="en-GB"/>
              </w:rPr>
              <w:t xml:space="preserve"> 1,243 </w:t>
            </w:r>
          </w:p>
        </w:tc>
        <w:tc>
          <w:tcPr>
            <w:tcW w:w="1134" w:type="dxa"/>
            <w:tcBorders>
              <w:top w:val="nil"/>
              <w:left w:val="nil"/>
              <w:bottom w:val="nil"/>
              <w:right w:val="nil"/>
            </w:tcBorders>
            <w:shd w:val="clear" w:color="auto" w:fill="auto"/>
            <w:vAlign w:val="bottom"/>
          </w:tcPr>
          <w:p w14:paraId="119EE40B" w14:textId="77777777" w:rsidR="00587444" w:rsidRPr="00587444" w:rsidRDefault="00587444" w:rsidP="00587444">
            <w:pPr>
              <w:suppressAutoHyphens w:val="0"/>
              <w:autoSpaceDN/>
              <w:jc w:val="right"/>
              <w:outlineLvl w:val="0"/>
              <w:rPr>
                <w:rFonts w:ascii="Arial" w:hAnsi="Arial" w:cs="Arial"/>
                <w:bCs/>
                <w:spacing w:val="-2"/>
                <w:sz w:val="17"/>
                <w:szCs w:val="17"/>
                <w:lang w:val="en-GB"/>
              </w:rPr>
            </w:pPr>
            <w:r w:rsidRPr="00587444">
              <w:rPr>
                <w:rFonts w:ascii="Arial" w:hAnsi="Arial" w:cs="Arial"/>
                <w:bCs/>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179F44B4" w14:textId="77777777" w:rsidR="00587444" w:rsidRPr="00587444" w:rsidRDefault="00587444" w:rsidP="00587444">
            <w:pPr>
              <w:suppressAutoHyphens w:val="0"/>
              <w:autoSpaceDN/>
              <w:jc w:val="right"/>
              <w:outlineLvl w:val="0"/>
              <w:rPr>
                <w:rFonts w:ascii="Arial" w:hAnsi="Arial" w:cs="Arial"/>
                <w:bCs/>
                <w:spacing w:val="-2"/>
                <w:sz w:val="17"/>
                <w:szCs w:val="17"/>
                <w:lang w:val="en-GB"/>
              </w:rPr>
            </w:pPr>
            <w:r w:rsidRPr="00587444">
              <w:rPr>
                <w:rFonts w:ascii="Arial" w:hAnsi="Arial" w:cs="Arial"/>
                <w:bCs/>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541B6489" w14:textId="77777777" w:rsidR="00587444" w:rsidRPr="00587444" w:rsidRDefault="00587444" w:rsidP="00587444">
            <w:pPr>
              <w:suppressAutoHyphens w:val="0"/>
              <w:autoSpaceDN/>
              <w:jc w:val="right"/>
              <w:outlineLvl w:val="0"/>
              <w:rPr>
                <w:rFonts w:ascii="Arial" w:hAnsi="Arial" w:cs="Arial"/>
                <w:bCs/>
                <w:spacing w:val="-2"/>
                <w:sz w:val="17"/>
                <w:szCs w:val="17"/>
                <w:lang w:val="en-GB"/>
              </w:rPr>
            </w:pPr>
            <w:r w:rsidRPr="00587444">
              <w:rPr>
                <w:rFonts w:ascii="Arial" w:hAnsi="Arial" w:cs="Arial"/>
                <w:bCs/>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39ECCFFC" w14:textId="77777777" w:rsidR="00587444" w:rsidRPr="00587444" w:rsidRDefault="00587444" w:rsidP="00587444">
            <w:pPr>
              <w:tabs>
                <w:tab w:val="right" w:pos="1263"/>
              </w:tabs>
              <w:suppressAutoHyphens w:val="0"/>
              <w:autoSpaceDN/>
              <w:jc w:val="right"/>
              <w:outlineLvl w:val="0"/>
              <w:rPr>
                <w:rFonts w:ascii="Arial" w:hAnsi="Arial" w:cs="Arial"/>
                <w:bCs/>
                <w:spacing w:val="-2"/>
                <w:sz w:val="17"/>
                <w:szCs w:val="17"/>
                <w:lang w:val="en-GB"/>
              </w:rPr>
            </w:pPr>
            <w:r w:rsidRPr="00587444">
              <w:rPr>
                <w:rFonts w:ascii="Arial" w:hAnsi="Arial" w:cs="Arial"/>
                <w:bCs/>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4CF3C5D2" w14:textId="77777777" w:rsidR="00587444" w:rsidRPr="00587444" w:rsidRDefault="00587444" w:rsidP="00587444">
            <w:pPr>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1,243 </w:t>
            </w:r>
          </w:p>
        </w:tc>
      </w:tr>
      <w:tr w:rsidR="00587444" w:rsidRPr="00587444" w14:paraId="5D56214B" w14:textId="77777777" w:rsidTr="00DD69E7">
        <w:trPr>
          <w:trHeight w:val="227"/>
          <w:jc w:val="center"/>
        </w:trPr>
        <w:tc>
          <w:tcPr>
            <w:tcW w:w="2979" w:type="dxa"/>
            <w:vAlign w:val="bottom"/>
          </w:tcPr>
          <w:p w14:paraId="6E30EF05" w14:textId="77777777" w:rsidR="00587444" w:rsidRPr="00587444" w:rsidRDefault="00587444" w:rsidP="00587444">
            <w:pPr>
              <w:suppressAutoHyphens w:val="0"/>
              <w:autoSpaceDN/>
              <w:rPr>
                <w:rFonts w:ascii="Arial" w:hAnsi="Arial" w:cs="Arial"/>
                <w:sz w:val="17"/>
                <w:szCs w:val="17"/>
                <w:lang w:val="en-GB"/>
              </w:rPr>
            </w:pPr>
            <w:bookmarkStart w:id="1254" w:name="_Toc4062547"/>
            <w:r w:rsidRPr="00587444">
              <w:rPr>
                <w:rFonts w:ascii="Arial" w:hAnsi="Arial" w:cs="Arial"/>
                <w:spacing w:val="-2"/>
                <w:sz w:val="17"/>
                <w:szCs w:val="17"/>
              </w:rPr>
              <w:t>Undrawn loans</w:t>
            </w:r>
            <w:bookmarkEnd w:id="1254"/>
          </w:p>
        </w:tc>
        <w:tc>
          <w:tcPr>
            <w:tcW w:w="1133" w:type="dxa"/>
            <w:tcBorders>
              <w:top w:val="nil"/>
              <w:left w:val="nil"/>
              <w:bottom w:val="nil"/>
              <w:right w:val="nil"/>
            </w:tcBorders>
            <w:shd w:val="clear" w:color="auto" w:fill="auto"/>
            <w:vAlign w:val="bottom"/>
          </w:tcPr>
          <w:p w14:paraId="664E78F1" w14:textId="77777777" w:rsidR="00587444" w:rsidRPr="00587444" w:rsidRDefault="00587444" w:rsidP="00587444">
            <w:pPr>
              <w:suppressAutoHyphens w:val="0"/>
              <w:autoSpaceDN/>
              <w:jc w:val="right"/>
              <w:outlineLvl w:val="0"/>
              <w:rPr>
                <w:rFonts w:ascii="Arial" w:eastAsia="Calibri" w:hAnsi="Arial" w:cs="Arial"/>
                <w:spacing w:val="-2"/>
                <w:sz w:val="17"/>
                <w:szCs w:val="17"/>
                <w:lang w:val="hr-HR"/>
              </w:rPr>
            </w:pPr>
            <w:r w:rsidRPr="00587444">
              <w:rPr>
                <w:rFonts w:ascii="Arial" w:hAnsi="Arial" w:cs="Arial"/>
                <w:color w:val="000000"/>
                <w:sz w:val="17"/>
                <w:szCs w:val="17"/>
                <w:lang w:val="en-GB"/>
              </w:rPr>
              <w:t xml:space="preserve"> 2,668,118 </w:t>
            </w:r>
          </w:p>
        </w:tc>
        <w:tc>
          <w:tcPr>
            <w:tcW w:w="1134" w:type="dxa"/>
            <w:tcBorders>
              <w:top w:val="nil"/>
              <w:left w:val="nil"/>
              <w:bottom w:val="nil"/>
              <w:right w:val="nil"/>
            </w:tcBorders>
            <w:shd w:val="clear" w:color="auto" w:fill="auto"/>
            <w:vAlign w:val="bottom"/>
          </w:tcPr>
          <w:p w14:paraId="6B82A591" w14:textId="77777777" w:rsidR="00587444" w:rsidRPr="00587444" w:rsidRDefault="00587444" w:rsidP="00587444">
            <w:pPr>
              <w:suppressAutoHyphens w:val="0"/>
              <w:autoSpaceDN/>
              <w:jc w:val="right"/>
              <w:outlineLvl w:val="0"/>
              <w:rPr>
                <w:rFonts w:ascii="Arial" w:eastAsia="Calibri" w:hAnsi="Arial" w:cs="Arial"/>
                <w:spacing w:val="-2"/>
                <w:sz w:val="17"/>
                <w:szCs w:val="17"/>
                <w:lang w:val="hr-HR"/>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0E169AB9" w14:textId="77777777" w:rsidR="00587444" w:rsidRPr="00587444" w:rsidRDefault="00587444" w:rsidP="00587444">
            <w:pPr>
              <w:suppressAutoHyphens w:val="0"/>
              <w:autoSpaceDN/>
              <w:jc w:val="right"/>
              <w:outlineLvl w:val="0"/>
              <w:rPr>
                <w:rFonts w:ascii="Arial" w:eastAsia="Calibri" w:hAnsi="Arial" w:cs="Arial"/>
                <w:spacing w:val="-2"/>
                <w:sz w:val="17"/>
                <w:szCs w:val="17"/>
                <w:lang w:val="hr-HR"/>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143A662E" w14:textId="77777777" w:rsidR="00587444" w:rsidRPr="00587444" w:rsidRDefault="00587444" w:rsidP="00587444">
            <w:pPr>
              <w:suppressAutoHyphens w:val="0"/>
              <w:autoSpaceDN/>
              <w:jc w:val="right"/>
              <w:outlineLvl w:val="0"/>
              <w:rPr>
                <w:rFonts w:ascii="Arial" w:eastAsia="Calibri" w:hAnsi="Arial" w:cs="Arial"/>
                <w:spacing w:val="-2"/>
                <w:sz w:val="17"/>
                <w:szCs w:val="17"/>
                <w:lang w:val="hr-HR"/>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1F6EA451" w14:textId="77777777" w:rsidR="00587444" w:rsidRPr="00587444" w:rsidRDefault="00587444" w:rsidP="00587444">
            <w:pPr>
              <w:suppressAutoHyphens w:val="0"/>
              <w:autoSpaceDN/>
              <w:jc w:val="right"/>
              <w:outlineLvl w:val="0"/>
              <w:rPr>
                <w:rFonts w:ascii="Arial" w:eastAsia="Calibri" w:hAnsi="Arial" w:cs="Arial"/>
                <w:spacing w:val="-2"/>
                <w:sz w:val="17"/>
                <w:szCs w:val="17"/>
                <w:lang w:val="hr-HR"/>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72A27457" w14:textId="77777777" w:rsidR="00587444" w:rsidRPr="00587444" w:rsidRDefault="00587444" w:rsidP="00587444">
            <w:pPr>
              <w:suppressAutoHyphens w:val="0"/>
              <w:autoSpaceDN/>
              <w:jc w:val="right"/>
              <w:outlineLvl w:val="0"/>
              <w:rPr>
                <w:rFonts w:ascii="Arial" w:eastAsia="Calibri" w:hAnsi="Arial" w:cs="Arial"/>
                <w:spacing w:val="-2"/>
                <w:sz w:val="17"/>
                <w:szCs w:val="17"/>
                <w:lang w:val="hr-HR"/>
              </w:rPr>
            </w:pPr>
            <w:r w:rsidRPr="00587444">
              <w:rPr>
                <w:rFonts w:ascii="Arial" w:hAnsi="Arial" w:cs="Arial"/>
                <w:color w:val="000000"/>
                <w:sz w:val="17"/>
                <w:szCs w:val="17"/>
                <w:lang w:val="en-GB"/>
              </w:rPr>
              <w:t xml:space="preserve"> 2,668,118 </w:t>
            </w:r>
          </w:p>
        </w:tc>
      </w:tr>
      <w:tr w:rsidR="00587444" w:rsidRPr="00587444" w14:paraId="7141535E" w14:textId="77777777" w:rsidTr="001D0F84">
        <w:trPr>
          <w:trHeight w:hRule="exact" w:val="345"/>
          <w:jc w:val="center"/>
        </w:trPr>
        <w:tc>
          <w:tcPr>
            <w:tcW w:w="2979" w:type="dxa"/>
            <w:vAlign w:val="bottom"/>
          </w:tcPr>
          <w:p w14:paraId="4F151EF0" w14:textId="77777777" w:rsidR="001D0F84" w:rsidRDefault="00587444" w:rsidP="00587444">
            <w:pPr>
              <w:suppressAutoHyphens w:val="0"/>
              <w:autoSpaceDN/>
              <w:rPr>
                <w:rFonts w:ascii="Arial" w:hAnsi="Arial" w:cs="Arial"/>
                <w:spacing w:val="-2"/>
                <w:sz w:val="17"/>
                <w:szCs w:val="17"/>
              </w:rPr>
            </w:pPr>
            <w:r w:rsidRPr="00587444">
              <w:rPr>
                <w:rFonts w:ascii="Arial" w:hAnsi="Arial" w:cs="Arial"/>
                <w:spacing w:val="-2"/>
                <w:sz w:val="17"/>
                <w:szCs w:val="17"/>
              </w:rPr>
              <w:t xml:space="preserve">EIF – subscribed, not called up </w:t>
            </w:r>
          </w:p>
          <w:p w14:paraId="4C482578" w14:textId="22310EE5" w:rsidR="00587444" w:rsidRPr="00587444" w:rsidRDefault="00587444" w:rsidP="00587444">
            <w:pPr>
              <w:suppressAutoHyphens w:val="0"/>
              <w:autoSpaceDN/>
              <w:rPr>
                <w:rFonts w:ascii="Arial" w:hAnsi="Arial" w:cs="Arial"/>
                <w:i/>
                <w:spacing w:val="-2"/>
                <w:sz w:val="17"/>
                <w:szCs w:val="17"/>
              </w:rPr>
            </w:pPr>
            <w:r w:rsidRPr="00587444">
              <w:rPr>
                <w:rFonts w:ascii="Arial" w:hAnsi="Arial" w:cs="Arial"/>
                <w:spacing w:val="-2"/>
                <w:sz w:val="17"/>
                <w:szCs w:val="17"/>
              </w:rPr>
              <w:t>capital</w:t>
            </w:r>
          </w:p>
        </w:tc>
        <w:tc>
          <w:tcPr>
            <w:tcW w:w="1133" w:type="dxa"/>
            <w:tcBorders>
              <w:top w:val="nil"/>
              <w:left w:val="nil"/>
              <w:bottom w:val="nil"/>
              <w:right w:val="nil"/>
            </w:tcBorders>
            <w:shd w:val="clear" w:color="auto" w:fill="auto"/>
            <w:vAlign w:val="bottom"/>
          </w:tcPr>
          <w:p w14:paraId="06D243AA"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78,358 </w:t>
            </w:r>
          </w:p>
        </w:tc>
        <w:tc>
          <w:tcPr>
            <w:tcW w:w="1134" w:type="dxa"/>
            <w:tcBorders>
              <w:top w:val="nil"/>
              <w:left w:val="nil"/>
              <w:bottom w:val="nil"/>
              <w:right w:val="nil"/>
            </w:tcBorders>
            <w:shd w:val="clear" w:color="auto" w:fill="auto"/>
            <w:vAlign w:val="bottom"/>
          </w:tcPr>
          <w:p w14:paraId="4B7A86C8"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 </w:t>
            </w:r>
          </w:p>
        </w:tc>
        <w:tc>
          <w:tcPr>
            <w:tcW w:w="1134" w:type="dxa"/>
            <w:tcBorders>
              <w:top w:val="nil"/>
              <w:left w:val="nil"/>
              <w:bottom w:val="nil"/>
              <w:right w:val="nil"/>
            </w:tcBorders>
            <w:shd w:val="clear" w:color="auto" w:fill="auto"/>
            <w:vAlign w:val="bottom"/>
          </w:tcPr>
          <w:p w14:paraId="36917F13"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 </w:t>
            </w:r>
          </w:p>
        </w:tc>
        <w:tc>
          <w:tcPr>
            <w:tcW w:w="1134" w:type="dxa"/>
            <w:tcBorders>
              <w:top w:val="nil"/>
              <w:left w:val="nil"/>
              <w:bottom w:val="nil"/>
              <w:right w:val="nil"/>
            </w:tcBorders>
            <w:shd w:val="clear" w:color="auto" w:fill="auto"/>
            <w:vAlign w:val="bottom"/>
          </w:tcPr>
          <w:p w14:paraId="06C4BC45"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 </w:t>
            </w:r>
          </w:p>
        </w:tc>
        <w:tc>
          <w:tcPr>
            <w:tcW w:w="1134" w:type="dxa"/>
            <w:tcBorders>
              <w:top w:val="nil"/>
              <w:left w:val="nil"/>
              <w:bottom w:val="nil"/>
              <w:right w:val="nil"/>
            </w:tcBorders>
            <w:shd w:val="clear" w:color="auto" w:fill="auto"/>
            <w:vAlign w:val="bottom"/>
          </w:tcPr>
          <w:p w14:paraId="447757AB"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 </w:t>
            </w:r>
          </w:p>
        </w:tc>
        <w:tc>
          <w:tcPr>
            <w:tcW w:w="1134" w:type="dxa"/>
            <w:tcBorders>
              <w:top w:val="nil"/>
              <w:left w:val="nil"/>
              <w:bottom w:val="nil"/>
              <w:right w:val="nil"/>
            </w:tcBorders>
            <w:shd w:val="clear" w:color="auto" w:fill="auto"/>
            <w:vAlign w:val="bottom"/>
          </w:tcPr>
          <w:p w14:paraId="316B023B"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78,358 </w:t>
            </w:r>
          </w:p>
        </w:tc>
      </w:tr>
      <w:tr w:rsidR="00587444" w:rsidRPr="00587444" w14:paraId="07C0F501" w14:textId="77777777" w:rsidTr="00DD69E7">
        <w:trPr>
          <w:trHeight w:hRule="exact" w:val="227"/>
          <w:jc w:val="center"/>
        </w:trPr>
        <w:tc>
          <w:tcPr>
            <w:tcW w:w="2979" w:type="dxa"/>
            <w:tcBorders>
              <w:top w:val="nil"/>
              <w:left w:val="nil"/>
              <w:bottom w:val="nil"/>
              <w:right w:val="nil"/>
            </w:tcBorders>
            <w:shd w:val="clear" w:color="auto" w:fill="auto"/>
            <w:vAlign w:val="bottom"/>
          </w:tcPr>
          <w:p w14:paraId="7228375B" w14:textId="77777777" w:rsidR="00587444" w:rsidRPr="00587444" w:rsidRDefault="00587444" w:rsidP="00587444">
            <w:pPr>
              <w:suppressAutoHyphens w:val="0"/>
              <w:autoSpaceDN/>
              <w:rPr>
                <w:rFonts w:ascii="Arial" w:hAnsi="Arial" w:cs="Arial"/>
                <w:spacing w:val="-2"/>
                <w:sz w:val="17"/>
                <w:szCs w:val="17"/>
              </w:rPr>
            </w:pPr>
            <w:r w:rsidRPr="00587444">
              <w:rPr>
                <w:rFonts w:ascii="Arial" w:hAnsi="Arial" w:cs="Arial"/>
                <w:color w:val="000000"/>
                <w:sz w:val="17"/>
                <w:szCs w:val="17"/>
                <w:lang w:val="en-GB"/>
              </w:rPr>
              <w:t>EIF CROGIP Contracted Liability</w:t>
            </w:r>
          </w:p>
        </w:tc>
        <w:tc>
          <w:tcPr>
            <w:tcW w:w="1133" w:type="dxa"/>
            <w:tcBorders>
              <w:top w:val="nil"/>
              <w:left w:val="nil"/>
              <w:bottom w:val="nil"/>
              <w:right w:val="nil"/>
            </w:tcBorders>
            <w:shd w:val="clear" w:color="auto" w:fill="auto"/>
            <w:vAlign w:val="bottom"/>
          </w:tcPr>
          <w:p w14:paraId="0BE081CB"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 </w:t>
            </w:r>
          </w:p>
        </w:tc>
        <w:tc>
          <w:tcPr>
            <w:tcW w:w="1134" w:type="dxa"/>
            <w:tcBorders>
              <w:top w:val="nil"/>
              <w:left w:val="nil"/>
              <w:bottom w:val="nil"/>
              <w:right w:val="nil"/>
            </w:tcBorders>
            <w:shd w:val="clear" w:color="auto" w:fill="auto"/>
            <w:vAlign w:val="bottom"/>
          </w:tcPr>
          <w:p w14:paraId="3EDFF33B"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19,328 </w:t>
            </w:r>
          </w:p>
        </w:tc>
        <w:tc>
          <w:tcPr>
            <w:tcW w:w="1134" w:type="dxa"/>
            <w:tcBorders>
              <w:top w:val="nil"/>
              <w:left w:val="nil"/>
              <w:bottom w:val="nil"/>
              <w:right w:val="nil"/>
            </w:tcBorders>
            <w:shd w:val="clear" w:color="auto" w:fill="auto"/>
            <w:vAlign w:val="bottom"/>
          </w:tcPr>
          <w:p w14:paraId="3082F7E6"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57,984 </w:t>
            </w:r>
          </w:p>
        </w:tc>
        <w:tc>
          <w:tcPr>
            <w:tcW w:w="1134" w:type="dxa"/>
            <w:tcBorders>
              <w:top w:val="nil"/>
              <w:left w:val="nil"/>
              <w:bottom w:val="nil"/>
              <w:right w:val="nil"/>
            </w:tcBorders>
            <w:shd w:val="clear" w:color="auto" w:fill="auto"/>
            <w:vAlign w:val="bottom"/>
          </w:tcPr>
          <w:p w14:paraId="2B6D07C0"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106,244 </w:t>
            </w:r>
          </w:p>
        </w:tc>
        <w:tc>
          <w:tcPr>
            <w:tcW w:w="1134" w:type="dxa"/>
            <w:tcBorders>
              <w:top w:val="nil"/>
              <w:left w:val="nil"/>
              <w:bottom w:val="nil"/>
              <w:right w:val="nil"/>
            </w:tcBorders>
            <w:shd w:val="clear" w:color="auto" w:fill="auto"/>
            <w:vAlign w:val="bottom"/>
          </w:tcPr>
          <w:p w14:paraId="10CF1862"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89,768 </w:t>
            </w:r>
          </w:p>
        </w:tc>
        <w:tc>
          <w:tcPr>
            <w:tcW w:w="1134" w:type="dxa"/>
            <w:tcBorders>
              <w:top w:val="nil"/>
              <w:left w:val="nil"/>
              <w:bottom w:val="nil"/>
              <w:right w:val="nil"/>
            </w:tcBorders>
            <w:shd w:val="clear" w:color="auto" w:fill="auto"/>
            <w:vAlign w:val="bottom"/>
          </w:tcPr>
          <w:p w14:paraId="73E733F3"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273,324 </w:t>
            </w:r>
          </w:p>
        </w:tc>
      </w:tr>
      <w:tr w:rsidR="00587444" w:rsidRPr="00587444" w14:paraId="0218B4DF" w14:textId="77777777" w:rsidTr="00DD69E7">
        <w:trPr>
          <w:trHeight w:hRule="exact" w:val="227"/>
          <w:jc w:val="center"/>
        </w:trPr>
        <w:tc>
          <w:tcPr>
            <w:tcW w:w="2979" w:type="dxa"/>
            <w:tcBorders>
              <w:top w:val="nil"/>
              <w:left w:val="nil"/>
              <w:bottom w:val="nil"/>
              <w:right w:val="nil"/>
            </w:tcBorders>
            <w:shd w:val="clear" w:color="auto" w:fill="auto"/>
            <w:vAlign w:val="bottom"/>
          </w:tcPr>
          <w:p w14:paraId="1083E76E" w14:textId="77777777" w:rsidR="00587444" w:rsidRPr="00587444" w:rsidRDefault="00587444" w:rsidP="00587444">
            <w:pPr>
              <w:suppressAutoHyphens w:val="0"/>
              <w:autoSpaceDN/>
              <w:rPr>
                <w:rFonts w:ascii="Arial" w:hAnsi="Arial" w:cs="Arial"/>
                <w:spacing w:val="-2"/>
                <w:sz w:val="17"/>
                <w:szCs w:val="17"/>
              </w:rPr>
            </w:pPr>
            <w:r w:rsidRPr="00587444">
              <w:rPr>
                <w:rFonts w:ascii="Arial" w:hAnsi="Arial" w:cs="Arial"/>
                <w:color w:val="000000"/>
                <w:sz w:val="17"/>
                <w:szCs w:val="17"/>
                <w:lang w:val="en-GB"/>
              </w:rPr>
              <w:t>EIF FRC2 Contracted Liability</w:t>
            </w:r>
          </w:p>
        </w:tc>
        <w:tc>
          <w:tcPr>
            <w:tcW w:w="1133" w:type="dxa"/>
            <w:tcBorders>
              <w:top w:val="nil"/>
              <w:left w:val="nil"/>
              <w:bottom w:val="single" w:sz="8" w:space="0" w:color="auto"/>
              <w:right w:val="nil"/>
            </w:tcBorders>
            <w:shd w:val="clear" w:color="auto" w:fill="auto"/>
            <w:vAlign w:val="bottom"/>
          </w:tcPr>
          <w:p w14:paraId="2F52260D"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366 </w:t>
            </w:r>
          </w:p>
        </w:tc>
        <w:tc>
          <w:tcPr>
            <w:tcW w:w="1134" w:type="dxa"/>
            <w:tcBorders>
              <w:top w:val="nil"/>
              <w:left w:val="nil"/>
              <w:bottom w:val="single" w:sz="8" w:space="0" w:color="auto"/>
              <w:right w:val="nil"/>
            </w:tcBorders>
            <w:shd w:val="clear" w:color="auto" w:fill="auto"/>
            <w:vAlign w:val="bottom"/>
          </w:tcPr>
          <w:p w14:paraId="7D8A984F"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410 </w:t>
            </w:r>
          </w:p>
        </w:tc>
        <w:tc>
          <w:tcPr>
            <w:tcW w:w="1134" w:type="dxa"/>
            <w:tcBorders>
              <w:top w:val="nil"/>
              <w:left w:val="nil"/>
              <w:bottom w:val="single" w:sz="8" w:space="0" w:color="auto"/>
              <w:right w:val="nil"/>
            </w:tcBorders>
            <w:shd w:val="clear" w:color="auto" w:fill="auto"/>
            <w:vAlign w:val="bottom"/>
          </w:tcPr>
          <w:p w14:paraId="49021BDD"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1,846 </w:t>
            </w:r>
          </w:p>
        </w:tc>
        <w:tc>
          <w:tcPr>
            <w:tcW w:w="1134" w:type="dxa"/>
            <w:tcBorders>
              <w:top w:val="nil"/>
              <w:left w:val="nil"/>
              <w:bottom w:val="single" w:sz="8" w:space="0" w:color="auto"/>
              <w:right w:val="nil"/>
            </w:tcBorders>
            <w:shd w:val="clear" w:color="auto" w:fill="auto"/>
            <w:vAlign w:val="bottom"/>
          </w:tcPr>
          <w:p w14:paraId="70F3CF37"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294 </w:t>
            </w:r>
          </w:p>
        </w:tc>
        <w:tc>
          <w:tcPr>
            <w:tcW w:w="1134" w:type="dxa"/>
            <w:tcBorders>
              <w:top w:val="nil"/>
              <w:left w:val="nil"/>
              <w:bottom w:val="single" w:sz="8" w:space="0" w:color="auto"/>
              <w:right w:val="nil"/>
            </w:tcBorders>
            <w:shd w:val="clear" w:color="auto" w:fill="auto"/>
            <w:vAlign w:val="bottom"/>
          </w:tcPr>
          <w:p w14:paraId="54615A54"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121 </w:t>
            </w:r>
          </w:p>
        </w:tc>
        <w:tc>
          <w:tcPr>
            <w:tcW w:w="1134" w:type="dxa"/>
            <w:tcBorders>
              <w:top w:val="nil"/>
              <w:left w:val="nil"/>
              <w:bottom w:val="single" w:sz="8" w:space="0" w:color="auto"/>
              <w:right w:val="nil"/>
            </w:tcBorders>
            <w:shd w:val="clear" w:color="auto" w:fill="auto"/>
            <w:vAlign w:val="bottom"/>
          </w:tcPr>
          <w:p w14:paraId="35D33157"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3,037 </w:t>
            </w:r>
          </w:p>
        </w:tc>
      </w:tr>
      <w:tr w:rsidR="00587444" w:rsidRPr="00587444" w14:paraId="6BD7B414" w14:textId="77777777" w:rsidTr="00DD69E7">
        <w:trPr>
          <w:trHeight w:hRule="exact" w:val="482"/>
          <w:jc w:val="center"/>
        </w:trPr>
        <w:tc>
          <w:tcPr>
            <w:tcW w:w="2979" w:type="dxa"/>
            <w:vAlign w:val="bottom"/>
          </w:tcPr>
          <w:p w14:paraId="08DF6F76" w14:textId="77777777" w:rsidR="00587444" w:rsidRPr="00587444" w:rsidRDefault="00587444" w:rsidP="00587444">
            <w:pPr>
              <w:suppressAutoHyphens w:val="0"/>
              <w:autoSpaceDN/>
              <w:rPr>
                <w:rFonts w:ascii="Arial" w:hAnsi="Arial" w:cs="Arial"/>
                <w:b/>
                <w:bCs/>
                <w:i/>
                <w:spacing w:val="-2"/>
                <w:sz w:val="17"/>
                <w:szCs w:val="17"/>
              </w:rPr>
            </w:pPr>
            <w:r w:rsidRPr="00587444">
              <w:rPr>
                <w:rFonts w:ascii="Arial" w:hAnsi="Arial" w:cs="Arial"/>
                <w:b/>
                <w:bCs/>
                <w:spacing w:val="-2"/>
                <w:sz w:val="17"/>
                <w:szCs w:val="17"/>
              </w:rPr>
              <w:t>Total guarantees and commitments</w:t>
            </w:r>
          </w:p>
        </w:tc>
        <w:tc>
          <w:tcPr>
            <w:tcW w:w="1133" w:type="dxa"/>
            <w:tcBorders>
              <w:top w:val="single" w:sz="8" w:space="0" w:color="auto"/>
              <w:left w:val="nil"/>
              <w:bottom w:val="single" w:sz="12" w:space="0" w:color="auto"/>
              <w:right w:val="nil"/>
            </w:tcBorders>
            <w:shd w:val="clear" w:color="auto" w:fill="auto"/>
            <w:vAlign w:val="bottom"/>
          </w:tcPr>
          <w:p w14:paraId="7EC3A7EE"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587444">
              <w:rPr>
                <w:rFonts w:ascii="Arial" w:hAnsi="Arial" w:cs="Arial"/>
                <w:b/>
                <w:bCs/>
                <w:color w:val="000000"/>
                <w:sz w:val="17"/>
                <w:szCs w:val="17"/>
              </w:rPr>
              <w:t xml:space="preserve"> 3,057,610 </w:t>
            </w:r>
          </w:p>
        </w:tc>
        <w:tc>
          <w:tcPr>
            <w:tcW w:w="1134" w:type="dxa"/>
            <w:tcBorders>
              <w:top w:val="single" w:sz="8" w:space="0" w:color="auto"/>
              <w:left w:val="nil"/>
              <w:bottom w:val="single" w:sz="12" w:space="0" w:color="auto"/>
              <w:right w:val="nil"/>
            </w:tcBorders>
            <w:shd w:val="clear" w:color="auto" w:fill="auto"/>
            <w:vAlign w:val="bottom"/>
          </w:tcPr>
          <w:p w14:paraId="330E50C9"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587444">
              <w:rPr>
                <w:rFonts w:ascii="Arial" w:hAnsi="Arial" w:cs="Arial"/>
                <w:b/>
                <w:bCs/>
                <w:color w:val="000000"/>
                <w:sz w:val="17"/>
                <w:szCs w:val="17"/>
              </w:rPr>
              <w:t xml:space="preserve"> 19,738 </w:t>
            </w:r>
          </w:p>
        </w:tc>
        <w:tc>
          <w:tcPr>
            <w:tcW w:w="1134" w:type="dxa"/>
            <w:tcBorders>
              <w:top w:val="single" w:sz="8" w:space="0" w:color="auto"/>
              <w:left w:val="nil"/>
              <w:bottom w:val="single" w:sz="12" w:space="0" w:color="auto"/>
              <w:right w:val="nil"/>
            </w:tcBorders>
            <w:shd w:val="clear" w:color="auto" w:fill="auto"/>
            <w:vAlign w:val="bottom"/>
          </w:tcPr>
          <w:p w14:paraId="473DF8F9"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587444">
              <w:rPr>
                <w:rFonts w:ascii="Arial" w:hAnsi="Arial" w:cs="Arial"/>
                <w:b/>
                <w:bCs/>
                <w:color w:val="000000"/>
                <w:sz w:val="17"/>
                <w:szCs w:val="17"/>
              </w:rPr>
              <w:t xml:space="preserve"> 59,830 </w:t>
            </w:r>
          </w:p>
        </w:tc>
        <w:tc>
          <w:tcPr>
            <w:tcW w:w="1134" w:type="dxa"/>
            <w:tcBorders>
              <w:top w:val="single" w:sz="8" w:space="0" w:color="auto"/>
              <w:left w:val="nil"/>
              <w:bottom w:val="single" w:sz="12" w:space="0" w:color="auto"/>
              <w:right w:val="nil"/>
            </w:tcBorders>
            <w:shd w:val="clear" w:color="auto" w:fill="auto"/>
            <w:vAlign w:val="bottom"/>
          </w:tcPr>
          <w:p w14:paraId="2F854D03"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587444">
              <w:rPr>
                <w:rFonts w:ascii="Arial" w:hAnsi="Arial" w:cs="Arial"/>
                <w:b/>
                <w:bCs/>
                <w:color w:val="000000"/>
                <w:sz w:val="17"/>
                <w:szCs w:val="17"/>
              </w:rPr>
              <w:t xml:space="preserve"> 106,538 </w:t>
            </w:r>
          </w:p>
        </w:tc>
        <w:tc>
          <w:tcPr>
            <w:tcW w:w="1134" w:type="dxa"/>
            <w:tcBorders>
              <w:top w:val="single" w:sz="8" w:space="0" w:color="auto"/>
              <w:left w:val="nil"/>
              <w:bottom w:val="single" w:sz="12" w:space="0" w:color="auto"/>
              <w:right w:val="nil"/>
            </w:tcBorders>
            <w:shd w:val="clear" w:color="auto" w:fill="auto"/>
            <w:vAlign w:val="bottom"/>
          </w:tcPr>
          <w:p w14:paraId="27E83CCA"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587444">
              <w:rPr>
                <w:rFonts w:ascii="Arial" w:hAnsi="Arial" w:cs="Arial"/>
                <w:b/>
                <w:bCs/>
                <w:color w:val="000000"/>
                <w:sz w:val="17"/>
                <w:szCs w:val="17"/>
              </w:rPr>
              <w:t xml:space="preserve"> 89,889 </w:t>
            </w:r>
          </w:p>
        </w:tc>
        <w:tc>
          <w:tcPr>
            <w:tcW w:w="1134" w:type="dxa"/>
            <w:tcBorders>
              <w:top w:val="single" w:sz="8" w:space="0" w:color="auto"/>
              <w:left w:val="nil"/>
              <w:bottom w:val="single" w:sz="12" w:space="0" w:color="auto"/>
              <w:right w:val="nil"/>
            </w:tcBorders>
            <w:shd w:val="clear" w:color="auto" w:fill="auto"/>
            <w:vAlign w:val="bottom"/>
          </w:tcPr>
          <w:p w14:paraId="1370DCEA"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587444">
              <w:rPr>
                <w:rFonts w:ascii="Arial" w:hAnsi="Arial" w:cs="Arial"/>
                <w:b/>
                <w:bCs/>
                <w:color w:val="000000"/>
                <w:sz w:val="17"/>
                <w:szCs w:val="17"/>
              </w:rPr>
              <w:t xml:space="preserve"> 3,333,605 </w:t>
            </w:r>
          </w:p>
        </w:tc>
      </w:tr>
    </w:tbl>
    <w:p w14:paraId="4D245083" w14:textId="77777777" w:rsidR="00587444" w:rsidRPr="00587444" w:rsidRDefault="00587444" w:rsidP="00587444">
      <w:pPr>
        <w:keepNext/>
        <w:suppressAutoHyphens w:val="0"/>
        <w:autoSpaceDN/>
        <w:jc w:val="both"/>
        <w:rPr>
          <w:rFonts w:ascii="Arial" w:hAnsi="Arial" w:cs="Arial"/>
          <w:bCs/>
          <w:sz w:val="20"/>
          <w:szCs w:val="20"/>
          <w:lang w:val="en-GB"/>
        </w:rPr>
      </w:pPr>
    </w:p>
    <w:p w14:paraId="05318524" w14:textId="77777777" w:rsidR="00587444" w:rsidRPr="00587444" w:rsidRDefault="00587444" w:rsidP="00587444">
      <w:pPr>
        <w:keepNext/>
        <w:suppressAutoHyphens w:val="0"/>
        <w:autoSpaceDN/>
        <w:jc w:val="both"/>
        <w:rPr>
          <w:rFonts w:ascii="Arial" w:hAnsi="Arial" w:cs="Arial"/>
          <w:bCs/>
          <w:sz w:val="20"/>
          <w:szCs w:val="20"/>
          <w:lang w:val="en-GB"/>
        </w:rPr>
      </w:pPr>
    </w:p>
    <w:tbl>
      <w:tblPr>
        <w:tblW w:w="5228" w:type="pct"/>
        <w:jc w:val="center"/>
        <w:tblLayout w:type="fixed"/>
        <w:tblCellMar>
          <w:left w:w="120" w:type="dxa"/>
          <w:right w:w="120" w:type="dxa"/>
        </w:tblCellMar>
        <w:tblLook w:val="0000" w:firstRow="0" w:lastRow="0" w:firstColumn="0" w:lastColumn="0" w:noHBand="0" w:noVBand="0"/>
      </w:tblPr>
      <w:tblGrid>
        <w:gridCol w:w="3056"/>
        <w:gridCol w:w="1162"/>
        <w:gridCol w:w="1163"/>
        <w:gridCol w:w="1163"/>
        <w:gridCol w:w="1163"/>
        <w:gridCol w:w="1163"/>
        <w:gridCol w:w="1163"/>
      </w:tblGrid>
      <w:tr w:rsidR="00587444" w:rsidRPr="00587444" w14:paraId="6CF43451" w14:textId="77777777" w:rsidTr="00DD69E7">
        <w:trPr>
          <w:trHeight w:val="466"/>
          <w:jc w:val="center"/>
        </w:trPr>
        <w:tc>
          <w:tcPr>
            <w:tcW w:w="2979" w:type="dxa"/>
            <w:vAlign w:val="bottom"/>
          </w:tcPr>
          <w:p w14:paraId="57CD577F" w14:textId="77777777" w:rsidR="00587444" w:rsidRPr="00587444" w:rsidRDefault="00587444" w:rsidP="00587444">
            <w:pPr>
              <w:tabs>
                <w:tab w:val="right" w:pos="1202"/>
              </w:tabs>
              <w:suppressAutoHyphens w:val="0"/>
              <w:autoSpaceDN/>
              <w:outlineLvl w:val="0"/>
              <w:rPr>
                <w:rFonts w:ascii="Arial" w:hAnsi="Arial" w:cs="Arial"/>
                <w:b/>
                <w:sz w:val="17"/>
                <w:szCs w:val="17"/>
                <w:lang w:val="en-GB"/>
              </w:rPr>
            </w:pPr>
            <w:r w:rsidRPr="00587444">
              <w:rPr>
                <w:rFonts w:ascii="Arial" w:hAnsi="Arial" w:cs="Arial"/>
                <w:b/>
                <w:sz w:val="17"/>
                <w:szCs w:val="17"/>
                <w:lang w:val="en-GB"/>
              </w:rPr>
              <w:t>Group</w:t>
            </w:r>
          </w:p>
          <w:p w14:paraId="7BA27D6C" w14:textId="77777777" w:rsidR="00587444" w:rsidRPr="00587444" w:rsidRDefault="00587444" w:rsidP="00587444">
            <w:pPr>
              <w:tabs>
                <w:tab w:val="right" w:pos="1202"/>
              </w:tabs>
              <w:suppressAutoHyphens w:val="0"/>
              <w:autoSpaceDN/>
              <w:outlineLvl w:val="0"/>
              <w:rPr>
                <w:rFonts w:ascii="Arial" w:hAnsi="Arial" w:cs="Arial"/>
                <w:b/>
                <w:sz w:val="17"/>
                <w:szCs w:val="17"/>
                <w:lang w:val="en-GB"/>
              </w:rPr>
            </w:pPr>
            <w:r w:rsidRPr="00587444">
              <w:rPr>
                <w:rFonts w:ascii="Arial" w:hAnsi="Arial" w:cs="Arial"/>
                <w:b/>
                <w:sz w:val="17"/>
                <w:szCs w:val="17"/>
                <w:lang w:val="en-GB"/>
              </w:rPr>
              <w:t>31 December 2021</w:t>
            </w:r>
          </w:p>
        </w:tc>
        <w:tc>
          <w:tcPr>
            <w:tcW w:w="1133" w:type="dxa"/>
          </w:tcPr>
          <w:p w14:paraId="23B293B8"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Up to 1 month</w:t>
            </w:r>
          </w:p>
        </w:tc>
        <w:tc>
          <w:tcPr>
            <w:tcW w:w="1134" w:type="dxa"/>
          </w:tcPr>
          <w:p w14:paraId="14D9BA83"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1 - 3 months</w:t>
            </w:r>
          </w:p>
        </w:tc>
        <w:tc>
          <w:tcPr>
            <w:tcW w:w="1134" w:type="dxa"/>
          </w:tcPr>
          <w:p w14:paraId="7FD4DDB2"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 xml:space="preserve">3 - 12 </w:t>
            </w:r>
          </w:p>
          <w:p w14:paraId="2449F904"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months</w:t>
            </w:r>
          </w:p>
        </w:tc>
        <w:tc>
          <w:tcPr>
            <w:tcW w:w="1134" w:type="dxa"/>
          </w:tcPr>
          <w:p w14:paraId="44E2D1F7"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 xml:space="preserve">1 - 3 </w:t>
            </w:r>
          </w:p>
          <w:p w14:paraId="4C9DBD75"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years</w:t>
            </w:r>
          </w:p>
        </w:tc>
        <w:tc>
          <w:tcPr>
            <w:tcW w:w="1134" w:type="dxa"/>
          </w:tcPr>
          <w:p w14:paraId="5A7A0B57" w14:textId="77777777" w:rsidR="00587444" w:rsidRPr="00587444" w:rsidRDefault="00587444" w:rsidP="00587444">
            <w:pPr>
              <w:tabs>
                <w:tab w:val="right" w:pos="1263"/>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 xml:space="preserve">Over 3 </w:t>
            </w:r>
          </w:p>
          <w:p w14:paraId="171200A5" w14:textId="77777777" w:rsidR="00587444" w:rsidRPr="00587444" w:rsidRDefault="00587444" w:rsidP="00587444">
            <w:pPr>
              <w:tabs>
                <w:tab w:val="right" w:pos="1263"/>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years</w:t>
            </w:r>
          </w:p>
        </w:tc>
        <w:tc>
          <w:tcPr>
            <w:tcW w:w="1134" w:type="dxa"/>
          </w:tcPr>
          <w:p w14:paraId="28AF6CF8"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587444" w:rsidRPr="00587444" w14:paraId="37EB8235" w14:textId="77777777" w:rsidTr="00DD69E7">
        <w:trPr>
          <w:trHeight w:val="294"/>
          <w:jc w:val="center"/>
        </w:trPr>
        <w:tc>
          <w:tcPr>
            <w:tcW w:w="2979" w:type="dxa"/>
          </w:tcPr>
          <w:p w14:paraId="6F87F98A" w14:textId="77777777" w:rsidR="00587444" w:rsidRPr="00587444" w:rsidRDefault="00587444" w:rsidP="00587444">
            <w:pPr>
              <w:tabs>
                <w:tab w:val="left" w:pos="-720"/>
              </w:tabs>
              <w:autoSpaceDN/>
              <w:jc w:val="center"/>
              <w:rPr>
                <w:rFonts w:ascii="Arial" w:hAnsi="Arial" w:cs="Arial"/>
                <w:b/>
                <w:spacing w:val="-2"/>
                <w:sz w:val="17"/>
                <w:szCs w:val="17"/>
                <w:lang w:val="en-GB"/>
              </w:rPr>
            </w:pPr>
          </w:p>
        </w:tc>
        <w:tc>
          <w:tcPr>
            <w:tcW w:w="1133" w:type="dxa"/>
            <w:vAlign w:val="bottom"/>
          </w:tcPr>
          <w:p w14:paraId="4E7D158C"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bCs/>
                <w:sz w:val="17"/>
                <w:szCs w:val="17"/>
                <w:lang w:val="en-GB"/>
              </w:rPr>
              <w:t>HRK ‘000</w:t>
            </w:r>
          </w:p>
        </w:tc>
        <w:tc>
          <w:tcPr>
            <w:tcW w:w="1134" w:type="dxa"/>
            <w:vAlign w:val="bottom"/>
          </w:tcPr>
          <w:p w14:paraId="2FB083C9" w14:textId="77777777" w:rsidR="00587444" w:rsidRPr="00587444" w:rsidRDefault="00587444" w:rsidP="00587444">
            <w:pPr>
              <w:tabs>
                <w:tab w:val="center" w:pos="4153"/>
                <w:tab w:val="right" w:pos="8306"/>
              </w:tabs>
              <w:suppressAutoHyphens w:val="0"/>
              <w:autoSpaceDN/>
              <w:jc w:val="right"/>
              <w:rPr>
                <w:rFonts w:ascii="Arial" w:hAnsi="Arial" w:cs="Arial"/>
                <w:b/>
                <w:spacing w:val="-2"/>
                <w:sz w:val="17"/>
                <w:szCs w:val="17"/>
                <w:lang w:val="en-GB"/>
              </w:rPr>
            </w:pPr>
            <w:r w:rsidRPr="00587444">
              <w:rPr>
                <w:rFonts w:ascii="Arial" w:hAnsi="Arial" w:cs="Arial"/>
                <w:b/>
                <w:spacing w:val="-2"/>
                <w:sz w:val="17"/>
                <w:szCs w:val="17"/>
                <w:lang w:val="en-GB"/>
              </w:rPr>
              <w:t>HRK ‘000</w:t>
            </w:r>
          </w:p>
        </w:tc>
        <w:tc>
          <w:tcPr>
            <w:tcW w:w="1134" w:type="dxa"/>
            <w:vAlign w:val="bottom"/>
          </w:tcPr>
          <w:p w14:paraId="21BC8D63"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bCs/>
                <w:sz w:val="17"/>
                <w:szCs w:val="17"/>
                <w:lang w:val="en-GB"/>
              </w:rPr>
              <w:t>HRK ‘000</w:t>
            </w:r>
          </w:p>
        </w:tc>
        <w:tc>
          <w:tcPr>
            <w:tcW w:w="1134" w:type="dxa"/>
            <w:vAlign w:val="bottom"/>
          </w:tcPr>
          <w:p w14:paraId="5988E0DC"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bCs/>
                <w:sz w:val="17"/>
                <w:szCs w:val="17"/>
                <w:lang w:val="en-GB"/>
              </w:rPr>
              <w:t>HRK ‘000</w:t>
            </w:r>
          </w:p>
        </w:tc>
        <w:tc>
          <w:tcPr>
            <w:tcW w:w="1134" w:type="dxa"/>
            <w:vAlign w:val="bottom"/>
          </w:tcPr>
          <w:p w14:paraId="73274637" w14:textId="77777777" w:rsidR="00587444" w:rsidRPr="00587444" w:rsidRDefault="00587444" w:rsidP="00587444">
            <w:pPr>
              <w:tabs>
                <w:tab w:val="right" w:pos="1263"/>
              </w:tabs>
              <w:suppressAutoHyphens w:val="0"/>
              <w:autoSpaceDN/>
              <w:jc w:val="right"/>
              <w:outlineLvl w:val="0"/>
              <w:rPr>
                <w:rFonts w:ascii="Arial" w:hAnsi="Arial" w:cs="Arial"/>
                <w:b/>
                <w:sz w:val="17"/>
                <w:szCs w:val="17"/>
                <w:lang w:val="en-GB"/>
              </w:rPr>
            </w:pPr>
            <w:r w:rsidRPr="00587444">
              <w:rPr>
                <w:rFonts w:ascii="Arial" w:hAnsi="Arial" w:cs="Arial"/>
                <w:b/>
                <w:bCs/>
                <w:sz w:val="17"/>
                <w:szCs w:val="17"/>
                <w:lang w:val="en-GB"/>
              </w:rPr>
              <w:t>HRK ‘000</w:t>
            </w:r>
          </w:p>
        </w:tc>
        <w:tc>
          <w:tcPr>
            <w:tcW w:w="1134" w:type="dxa"/>
            <w:vAlign w:val="bottom"/>
          </w:tcPr>
          <w:p w14:paraId="44BD9435"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bCs/>
                <w:sz w:val="17"/>
                <w:szCs w:val="17"/>
                <w:lang w:val="en-GB"/>
              </w:rPr>
              <w:t>HRK ‘000</w:t>
            </w:r>
          </w:p>
        </w:tc>
      </w:tr>
      <w:tr w:rsidR="00587444" w:rsidRPr="00587444" w14:paraId="22D99D4B" w14:textId="77777777" w:rsidTr="00DD69E7">
        <w:trPr>
          <w:trHeight w:hRule="exact" w:val="284"/>
          <w:jc w:val="center"/>
        </w:trPr>
        <w:tc>
          <w:tcPr>
            <w:tcW w:w="2979" w:type="dxa"/>
            <w:vAlign w:val="bottom"/>
          </w:tcPr>
          <w:p w14:paraId="60EEF3A2" w14:textId="77777777" w:rsidR="00587444" w:rsidRPr="00587444" w:rsidRDefault="00587444" w:rsidP="00587444">
            <w:pPr>
              <w:tabs>
                <w:tab w:val="right" w:pos="1202"/>
              </w:tabs>
              <w:suppressAutoHyphens w:val="0"/>
              <w:autoSpaceDN/>
              <w:outlineLvl w:val="0"/>
              <w:rPr>
                <w:rFonts w:ascii="Arial" w:hAnsi="Arial" w:cs="Arial"/>
                <w:b/>
                <w:bCs/>
                <w:sz w:val="17"/>
                <w:szCs w:val="17"/>
                <w:lang w:val="en-GB"/>
              </w:rPr>
            </w:pPr>
            <w:r w:rsidRPr="00587444">
              <w:rPr>
                <w:rFonts w:ascii="Arial" w:hAnsi="Arial" w:cs="Arial"/>
                <w:b/>
                <w:bCs/>
                <w:sz w:val="17"/>
                <w:szCs w:val="17"/>
                <w:lang w:val="en-GB"/>
              </w:rPr>
              <w:t>Financial liabilities</w:t>
            </w:r>
          </w:p>
        </w:tc>
        <w:tc>
          <w:tcPr>
            <w:tcW w:w="1133" w:type="dxa"/>
            <w:vAlign w:val="bottom"/>
          </w:tcPr>
          <w:p w14:paraId="4A057986" w14:textId="77777777" w:rsidR="00587444" w:rsidRPr="00587444" w:rsidRDefault="00587444" w:rsidP="00587444">
            <w:pPr>
              <w:suppressAutoHyphens w:val="0"/>
              <w:autoSpaceDN/>
              <w:jc w:val="right"/>
              <w:outlineLvl w:val="0"/>
              <w:rPr>
                <w:rFonts w:ascii="Arial" w:hAnsi="Arial" w:cs="Arial"/>
                <w:b/>
                <w:bCs/>
                <w:spacing w:val="-2"/>
                <w:sz w:val="17"/>
                <w:szCs w:val="17"/>
                <w:lang w:val="en-GB"/>
              </w:rPr>
            </w:pPr>
          </w:p>
        </w:tc>
        <w:tc>
          <w:tcPr>
            <w:tcW w:w="1134" w:type="dxa"/>
            <w:vAlign w:val="bottom"/>
          </w:tcPr>
          <w:p w14:paraId="4F13E431" w14:textId="77777777" w:rsidR="00587444" w:rsidRPr="00587444" w:rsidRDefault="00587444" w:rsidP="00587444">
            <w:pPr>
              <w:suppressAutoHyphens w:val="0"/>
              <w:autoSpaceDN/>
              <w:jc w:val="right"/>
              <w:outlineLvl w:val="0"/>
              <w:rPr>
                <w:rFonts w:ascii="Arial" w:hAnsi="Arial" w:cs="Arial"/>
                <w:b/>
                <w:bCs/>
                <w:spacing w:val="-2"/>
                <w:sz w:val="17"/>
                <w:szCs w:val="17"/>
                <w:lang w:val="en-GB"/>
              </w:rPr>
            </w:pPr>
          </w:p>
        </w:tc>
        <w:tc>
          <w:tcPr>
            <w:tcW w:w="1134" w:type="dxa"/>
            <w:vAlign w:val="bottom"/>
          </w:tcPr>
          <w:p w14:paraId="492615D3" w14:textId="77777777" w:rsidR="00587444" w:rsidRPr="00587444" w:rsidRDefault="00587444" w:rsidP="00587444">
            <w:pPr>
              <w:suppressAutoHyphens w:val="0"/>
              <w:autoSpaceDN/>
              <w:jc w:val="right"/>
              <w:outlineLvl w:val="0"/>
              <w:rPr>
                <w:rFonts w:ascii="Arial" w:hAnsi="Arial" w:cs="Arial"/>
                <w:b/>
                <w:bCs/>
                <w:spacing w:val="-2"/>
                <w:sz w:val="17"/>
                <w:szCs w:val="17"/>
                <w:lang w:val="en-GB"/>
              </w:rPr>
            </w:pPr>
          </w:p>
        </w:tc>
        <w:tc>
          <w:tcPr>
            <w:tcW w:w="1134" w:type="dxa"/>
            <w:vAlign w:val="bottom"/>
          </w:tcPr>
          <w:p w14:paraId="55201A51" w14:textId="77777777" w:rsidR="00587444" w:rsidRPr="00587444" w:rsidRDefault="00587444" w:rsidP="00587444">
            <w:pPr>
              <w:suppressAutoHyphens w:val="0"/>
              <w:autoSpaceDN/>
              <w:jc w:val="right"/>
              <w:outlineLvl w:val="0"/>
              <w:rPr>
                <w:rFonts w:ascii="Arial" w:hAnsi="Arial" w:cs="Arial"/>
                <w:b/>
                <w:bCs/>
                <w:spacing w:val="-2"/>
                <w:sz w:val="17"/>
                <w:szCs w:val="17"/>
                <w:lang w:val="en-GB"/>
              </w:rPr>
            </w:pPr>
          </w:p>
        </w:tc>
        <w:tc>
          <w:tcPr>
            <w:tcW w:w="1134" w:type="dxa"/>
            <w:vAlign w:val="bottom"/>
          </w:tcPr>
          <w:p w14:paraId="4B9E6706" w14:textId="77777777" w:rsidR="00587444" w:rsidRPr="00587444" w:rsidRDefault="00587444" w:rsidP="00587444">
            <w:pPr>
              <w:tabs>
                <w:tab w:val="right" w:pos="1263"/>
              </w:tabs>
              <w:suppressAutoHyphens w:val="0"/>
              <w:autoSpaceDN/>
              <w:jc w:val="right"/>
              <w:outlineLvl w:val="0"/>
              <w:rPr>
                <w:rFonts w:ascii="Arial" w:hAnsi="Arial" w:cs="Arial"/>
                <w:b/>
                <w:bCs/>
                <w:spacing w:val="-2"/>
                <w:sz w:val="17"/>
                <w:szCs w:val="17"/>
                <w:lang w:val="en-GB"/>
              </w:rPr>
            </w:pPr>
          </w:p>
        </w:tc>
        <w:tc>
          <w:tcPr>
            <w:tcW w:w="1134" w:type="dxa"/>
            <w:vAlign w:val="bottom"/>
          </w:tcPr>
          <w:p w14:paraId="16E3239B" w14:textId="77777777" w:rsidR="00587444" w:rsidRPr="00587444" w:rsidRDefault="00587444" w:rsidP="00587444">
            <w:pPr>
              <w:suppressAutoHyphens w:val="0"/>
              <w:autoSpaceDN/>
              <w:jc w:val="right"/>
              <w:outlineLvl w:val="0"/>
              <w:rPr>
                <w:rFonts w:ascii="Arial" w:hAnsi="Arial" w:cs="Arial"/>
                <w:b/>
                <w:bCs/>
                <w:sz w:val="17"/>
                <w:szCs w:val="17"/>
                <w:lang w:val="en-GB"/>
              </w:rPr>
            </w:pPr>
          </w:p>
        </w:tc>
      </w:tr>
      <w:tr w:rsidR="00587444" w:rsidRPr="00587444" w14:paraId="00A18454" w14:textId="77777777" w:rsidTr="00DD69E7">
        <w:trPr>
          <w:trHeight w:hRule="exact" w:val="227"/>
          <w:jc w:val="center"/>
        </w:trPr>
        <w:tc>
          <w:tcPr>
            <w:tcW w:w="2979" w:type="dxa"/>
            <w:vAlign w:val="bottom"/>
          </w:tcPr>
          <w:p w14:paraId="117411A1" w14:textId="77777777" w:rsidR="00587444" w:rsidRPr="00587444" w:rsidRDefault="00587444" w:rsidP="00587444">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Deposits from customers</w:t>
            </w:r>
          </w:p>
        </w:tc>
        <w:tc>
          <w:tcPr>
            <w:tcW w:w="1133" w:type="dxa"/>
            <w:tcBorders>
              <w:top w:val="nil"/>
              <w:left w:val="nil"/>
              <w:bottom w:val="nil"/>
              <w:right w:val="nil"/>
            </w:tcBorders>
            <w:shd w:val="clear" w:color="auto" w:fill="auto"/>
            <w:vAlign w:val="bottom"/>
          </w:tcPr>
          <w:p w14:paraId="2CD4F6A0"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622,284</w:t>
            </w:r>
          </w:p>
        </w:tc>
        <w:tc>
          <w:tcPr>
            <w:tcW w:w="1134" w:type="dxa"/>
            <w:tcBorders>
              <w:top w:val="nil"/>
              <w:left w:val="nil"/>
              <w:bottom w:val="nil"/>
              <w:right w:val="nil"/>
            </w:tcBorders>
            <w:shd w:val="clear" w:color="auto" w:fill="auto"/>
            <w:vAlign w:val="bottom"/>
          </w:tcPr>
          <w:p w14:paraId="01062741"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22,169</w:t>
            </w:r>
          </w:p>
        </w:tc>
        <w:tc>
          <w:tcPr>
            <w:tcW w:w="1134" w:type="dxa"/>
            <w:tcBorders>
              <w:top w:val="nil"/>
              <w:left w:val="nil"/>
              <w:bottom w:val="nil"/>
              <w:right w:val="nil"/>
            </w:tcBorders>
            <w:shd w:val="clear" w:color="auto" w:fill="auto"/>
            <w:vAlign w:val="bottom"/>
          </w:tcPr>
          <w:p w14:paraId="641C94E5"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105,183</w:t>
            </w:r>
          </w:p>
        </w:tc>
        <w:tc>
          <w:tcPr>
            <w:tcW w:w="1134" w:type="dxa"/>
            <w:tcBorders>
              <w:top w:val="nil"/>
              <w:left w:val="nil"/>
              <w:bottom w:val="nil"/>
              <w:right w:val="nil"/>
            </w:tcBorders>
            <w:shd w:val="clear" w:color="auto" w:fill="auto"/>
            <w:vAlign w:val="bottom"/>
          </w:tcPr>
          <w:p w14:paraId="3788FC72"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95,453</w:t>
            </w:r>
          </w:p>
        </w:tc>
        <w:tc>
          <w:tcPr>
            <w:tcW w:w="1134" w:type="dxa"/>
            <w:tcBorders>
              <w:top w:val="nil"/>
              <w:left w:val="nil"/>
              <w:bottom w:val="nil"/>
              <w:right w:val="nil"/>
            </w:tcBorders>
            <w:shd w:val="clear" w:color="auto" w:fill="auto"/>
            <w:vAlign w:val="bottom"/>
          </w:tcPr>
          <w:p w14:paraId="1D496BE5"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115,452</w:t>
            </w:r>
          </w:p>
        </w:tc>
        <w:tc>
          <w:tcPr>
            <w:tcW w:w="1134" w:type="dxa"/>
            <w:tcBorders>
              <w:top w:val="nil"/>
              <w:left w:val="nil"/>
              <w:bottom w:val="nil"/>
              <w:right w:val="nil"/>
            </w:tcBorders>
            <w:shd w:val="clear" w:color="auto" w:fill="auto"/>
            <w:vAlign w:val="bottom"/>
          </w:tcPr>
          <w:p w14:paraId="24BCF8CD"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960,541</w:t>
            </w:r>
          </w:p>
        </w:tc>
      </w:tr>
      <w:tr w:rsidR="00587444" w:rsidRPr="00587444" w14:paraId="371168F5" w14:textId="77777777" w:rsidTr="00DD69E7">
        <w:trPr>
          <w:trHeight w:hRule="exact" w:val="227"/>
          <w:jc w:val="center"/>
        </w:trPr>
        <w:tc>
          <w:tcPr>
            <w:tcW w:w="2979" w:type="dxa"/>
            <w:vAlign w:val="bottom"/>
          </w:tcPr>
          <w:p w14:paraId="4F5E324D" w14:textId="77777777" w:rsidR="00587444" w:rsidRPr="00587444" w:rsidRDefault="00587444" w:rsidP="00587444">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Borrowings</w:t>
            </w:r>
          </w:p>
        </w:tc>
        <w:tc>
          <w:tcPr>
            <w:tcW w:w="1133" w:type="dxa"/>
            <w:tcBorders>
              <w:top w:val="nil"/>
              <w:left w:val="nil"/>
              <w:bottom w:val="nil"/>
              <w:right w:val="nil"/>
            </w:tcBorders>
            <w:shd w:val="clear" w:color="auto" w:fill="auto"/>
            <w:vAlign w:val="bottom"/>
          </w:tcPr>
          <w:p w14:paraId="6BBC9F1E"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258,366</w:t>
            </w:r>
          </w:p>
        </w:tc>
        <w:tc>
          <w:tcPr>
            <w:tcW w:w="1134" w:type="dxa"/>
            <w:tcBorders>
              <w:top w:val="nil"/>
              <w:left w:val="nil"/>
              <w:bottom w:val="nil"/>
              <w:right w:val="nil"/>
            </w:tcBorders>
            <w:shd w:val="clear" w:color="auto" w:fill="auto"/>
            <w:vAlign w:val="bottom"/>
          </w:tcPr>
          <w:p w14:paraId="3E3143D3"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315,326</w:t>
            </w:r>
          </w:p>
        </w:tc>
        <w:tc>
          <w:tcPr>
            <w:tcW w:w="1134" w:type="dxa"/>
            <w:tcBorders>
              <w:top w:val="nil"/>
              <w:left w:val="nil"/>
              <w:bottom w:val="nil"/>
              <w:right w:val="nil"/>
            </w:tcBorders>
            <w:shd w:val="clear" w:color="auto" w:fill="auto"/>
            <w:vAlign w:val="bottom"/>
          </w:tcPr>
          <w:p w14:paraId="0303CE4C"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1,927,599</w:t>
            </w:r>
          </w:p>
        </w:tc>
        <w:tc>
          <w:tcPr>
            <w:tcW w:w="1134" w:type="dxa"/>
            <w:tcBorders>
              <w:top w:val="nil"/>
              <w:left w:val="nil"/>
              <w:bottom w:val="nil"/>
              <w:right w:val="nil"/>
            </w:tcBorders>
            <w:shd w:val="clear" w:color="auto" w:fill="auto"/>
            <w:vAlign w:val="bottom"/>
          </w:tcPr>
          <w:p w14:paraId="440DE884"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5,992,204</w:t>
            </w:r>
          </w:p>
        </w:tc>
        <w:tc>
          <w:tcPr>
            <w:tcW w:w="1134" w:type="dxa"/>
            <w:tcBorders>
              <w:top w:val="nil"/>
              <w:left w:val="nil"/>
              <w:bottom w:val="nil"/>
              <w:right w:val="nil"/>
            </w:tcBorders>
            <w:shd w:val="clear" w:color="auto" w:fill="auto"/>
            <w:vAlign w:val="bottom"/>
          </w:tcPr>
          <w:p w14:paraId="649DDE8E"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8,623,885</w:t>
            </w:r>
          </w:p>
        </w:tc>
        <w:tc>
          <w:tcPr>
            <w:tcW w:w="1134" w:type="dxa"/>
            <w:tcBorders>
              <w:top w:val="nil"/>
              <w:left w:val="nil"/>
              <w:bottom w:val="nil"/>
              <w:right w:val="nil"/>
            </w:tcBorders>
            <w:shd w:val="clear" w:color="auto" w:fill="auto"/>
            <w:vAlign w:val="bottom"/>
          </w:tcPr>
          <w:p w14:paraId="176FCCD3"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17,117,380</w:t>
            </w:r>
          </w:p>
        </w:tc>
      </w:tr>
      <w:tr w:rsidR="00587444" w:rsidRPr="00587444" w14:paraId="02F48F8A" w14:textId="77777777" w:rsidTr="00DD69E7">
        <w:trPr>
          <w:trHeight w:hRule="exact" w:val="430"/>
          <w:jc w:val="center"/>
        </w:trPr>
        <w:tc>
          <w:tcPr>
            <w:tcW w:w="2979" w:type="dxa"/>
            <w:vAlign w:val="bottom"/>
          </w:tcPr>
          <w:p w14:paraId="36DAAC39" w14:textId="77777777" w:rsidR="001D0F84" w:rsidRDefault="00587444" w:rsidP="00587444">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Provisions for guarantees,</w:t>
            </w:r>
          </w:p>
          <w:p w14:paraId="31F46296" w14:textId="434E8896" w:rsidR="00587444" w:rsidRPr="00587444" w:rsidRDefault="00587444" w:rsidP="00587444">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 xml:space="preserve"> commitments and other liabilities</w:t>
            </w:r>
          </w:p>
        </w:tc>
        <w:tc>
          <w:tcPr>
            <w:tcW w:w="1133" w:type="dxa"/>
            <w:tcBorders>
              <w:top w:val="nil"/>
              <w:left w:val="nil"/>
              <w:right w:val="nil"/>
            </w:tcBorders>
            <w:shd w:val="clear" w:color="auto" w:fill="auto"/>
            <w:vAlign w:val="bottom"/>
          </w:tcPr>
          <w:p w14:paraId="0776D755"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587444">
              <w:rPr>
                <w:rFonts w:ascii="Arial" w:hAnsi="Arial" w:cs="Arial"/>
                <w:color w:val="000000"/>
                <w:sz w:val="17"/>
                <w:szCs w:val="17"/>
              </w:rPr>
              <w:t>105,893</w:t>
            </w:r>
          </w:p>
        </w:tc>
        <w:tc>
          <w:tcPr>
            <w:tcW w:w="1134" w:type="dxa"/>
            <w:tcBorders>
              <w:top w:val="nil"/>
              <w:left w:val="nil"/>
              <w:right w:val="nil"/>
            </w:tcBorders>
            <w:shd w:val="clear" w:color="auto" w:fill="auto"/>
            <w:vAlign w:val="bottom"/>
          </w:tcPr>
          <w:p w14:paraId="752F8C40"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587444">
              <w:rPr>
                <w:rFonts w:ascii="Arial" w:hAnsi="Arial" w:cs="Arial"/>
                <w:color w:val="000000"/>
                <w:sz w:val="17"/>
                <w:szCs w:val="17"/>
              </w:rPr>
              <w:t>5,962</w:t>
            </w:r>
          </w:p>
        </w:tc>
        <w:tc>
          <w:tcPr>
            <w:tcW w:w="1134" w:type="dxa"/>
            <w:tcBorders>
              <w:top w:val="nil"/>
              <w:left w:val="nil"/>
              <w:right w:val="nil"/>
            </w:tcBorders>
            <w:shd w:val="clear" w:color="auto" w:fill="auto"/>
            <w:vAlign w:val="bottom"/>
          </w:tcPr>
          <w:p w14:paraId="3C24722E"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587444">
              <w:rPr>
                <w:rFonts w:ascii="Arial" w:hAnsi="Arial" w:cs="Arial"/>
                <w:color w:val="000000"/>
                <w:sz w:val="17"/>
                <w:szCs w:val="17"/>
              </w:rPr>
              <w:t>20,072</w:t>
            </w:r>
          </w:p>
        </w:tc>
        <w:tc>
          <w:tcPr>
            <w:tcW w:w="1134" w:type="dxa"/>
            <w:tcBorders>
              <w:top w:val="nil"/>
              <w:left w:val="nil"/>
              <w:right w:val="nil"/>
            </w:tcBorders>
            <w:shd w:val="clear" w:color="auto" w:fill="auto"/>
            <w:vAlign w:val="bottom"/>
          </w:tcPr>
          <w:p w14:paraId="5D3D1D29"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587444">
              <w:rPr>
                <w:rFonts w:ascii="Arial" w:hAnsi="Arial" w:cs="Arial"/>
                <w:color w:val="000000"/>
                <w:sz w:val="17"/>
                <w:szCs w:val="17"/>
              </w:rPr>
              <w:t>30,577</w:t>
            </w:r>
          </w:p>
        </w:tc>
        <w:tc>
          <w:tcPr>
            <w:tcW w:w="1134" w:type="dxa"/>
            <w:tcBorders>
              <w:top w:val="nil"/>
              <w:left w:val="nil"/>
              <w:right w:val="nil"/>
            </w:tcBorders>
            <w:shd w:val="clear" w:color="auto" w:fill="auto"/>
            <w:vAlign w:val="bottom"/>
          </w:tcPr>
          <w:p w14:paraId="0C948E8E"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587444">
              <w:rPr>
                <w:rFonts w:ascii="Arial" w:hAnsi="Arial" w:cs="Arial"/>
                <w:color w:val="000000"/>
                <w:sz w:val="17"/>
                <w:szCs w:val="17"/>
              </w:rPr>
              <w:t>28,056</w:t>
            </w:r>
          </w:p>
        </w:tc>
        <w:tc>
          <w:tcPr>
            <w:tcW w:w="1134" w:type="dxa"/>
            <w:tcBorders>
              <w:top w:val="nil"/>
              <w:left w:val="nil"/>
              <w:right w:val="nil"/>
            </w:tcBorders>
            <w:shd w:val="clear" w:color="auto" w:fill="auto"/>
            <w:vAlign w:val="bottom"/>
          </w:tcPr>
          <w:p w14:paraId="3A2D9D33"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587444">
              <w:rPr>
                <w:rFonts w:ascii="Arial" w:hAnsi="Arial" w:cs="Arial"/>
                <w:color w:val="000000"/>
                <w:sz w:val="17"/>
                <w:szCs w:val="17"/>
              </w:rPr>
              <w:t>190,560</w:t>
            </w:r>
          </w:p>
        </w:tc>
      </w:tr>
      <w:tr w:rsidR="00587444" w:rsidRPr="00587444" w14:paraId="0EF06510" w14:textId="77777777" w:rsidTr="00DD69E7">
        <w:trPr>
          <w:trHeight w:hRule="exact" w:val="227"/>
          <w:jc w:val="center"/>
        </w:trPr>
        <w:tc>
          <w:tcPr>
            <w:tcW w:w="2979" w:type="dxa"/>
            <w:vAlign w:val="bottom"/>
          </w:tcPr>
          <w:p w14:paraId="7B3344B8" w14:textId="77777777" w:rsidR="00587444" w:rsidRPr="00587444" w:rsidRDefault="00587444" w:rsidP="00587444">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Other liabilities</w:t>
            </w:r>
          </w:p>
        </w:tc>
        <w:tc>
          <w:tcPr>
            <w:tcW w:w="1133" w:type="dxa"/>
            <w:tcBorders>
              <w:top w:val="nil"/>
              <w:left w:val="nil"/>
              <w:bottom w:val="single" w:sz="4" w:space="0" w:color="auto"/>
              <w:right w:val="nil"/>
            </w:tcBorders>
            <w:shd w:val="clear" w:color="auto" w:fill="auto"/>
            <w:vAlign w:val="bottom"/>
          </w:tcPr>
          <w:p w14:paraId="78E051C3"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hAnsi="Arial" w:cs="Arial"/>
                <w:color w:val="000000"/>
                <w:sz w:val="17"/>
                <w:szCs w:val="17"/>
              </w:rPr>
              <w:t>232,641</w:t>
            </w:r>
          </w:p>
        </w:tc>
        <w:tc>
          <w:tcPr>
            <w:tcW w:w="1134" w:type="dxa"/>
            <w:tcBorders>
              <w:top w:val="nil"/>
              <w:left w:val="nil"/>
              <w:bottom w:val="single" w:sz="4" w:space="0" w:color="auto"/>
              <w:right w:val="nil"/>
            </w:tcBorders>
            <w:shd w:val="clear" w:color="auto" w:fill="auto"/>
            <w:vAlign w:val="bottom"/>
          </w:tcPr>
          <w:p w14:paraId="50AD8D9D"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hAnsi="Arial" w:cs="Arial"/>
                <w:color w:val="000000"/>
                <w:sz w:val="17"/>
                <w:szCs w:val="17"/>
              </w:rPr>
              <w:t>15,695</w:t>
            </w:r>
          </w:p>
        </w:tc>
        <w:tc>
          <w:tcPr>
            <w:tcW w:w="1134" w:type="dxa"/>
            <w:tcBorders>
              <w:top w:val="nil"/>
              <w:left w:val="nil"/>
              <w:bottom w:val="single" w:sz="4" w:space="0" w:color="auto"/>
              <w:right w:val="nil"/>
            </w:tcBorders>
            <w:shd w:val="clear" w:color="auto" w:fill="auto"/>
            <w:vAlign w:val="bottom"/>
          </w:tcPr>
          <w:p w14:paraId="2D1EAFE8"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hAnsi="Arial" w:cs="Arial"/>
                <w:color w:val="000000"/>
                <w:sz w:val="17"/>
                <w:szCs w:val="17"/>
              </w:rPr>
              <w:t>51,058</w:t>
            </w:r>
          </w:p>
        </w:tc>
        <w:tc>
          <w:tcPr>
            <w:tcW w:w="1134" w:type="dxa"/>
            <w:tcBorders>
              <w:top w:val="nil"/>
              <w:left w:val="nil"/>
              <w:bottom w:val="single" w:sz="4" w:space="0" w:color="auto"/>
              <w:right w:val="nil"/>
            </w:tcBorders>
            <w:shd w:val="clear" w:color="auto" w:fill="auto"/>
            <w:vAlign w:val="bottom"/>
          </w:tcPr>
          <w:p w14:paraId="0D4F1207"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hAnsi="Arial" w:cs="Arial"/>
                <w:color w:val="000000"/>
                <w:sz w:val="17"/>
                <w:szCs w:val="17"/>
              </w:rPr>
              <w:t>75,994</w:t>
            </w:r>
          </w:p>
        </w:tc>
        <w:tc>
          <w:tcPr>
            <w:tcW w:w="1134" w:type="dxa"/>
            <w:tcBorders>
              <w:top w:val="nil"/>
              <w:left w:val="nil"/>
              <w:bottom w:val="single" w:sz="4" w:space="0" w:color="auto"/>
              <w:right w:val="nil"/>
            </w:tcBorders>
            <w:shd w:val="clear" w:color="auto" w:fill="auto"/>
            <w:vAlign w:val="bottom"/>
          </w:tcPr>
          <w:p w14:paraId="2D73599B"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hAnsi="Arial" w:cs="Arial"/>
                <w:color w:val="000000"/>
                <w:sz w:val="17"/>
                <w:szCs w:val="17"/>
              </w:rPr>
              <w:t>59,851</w:t>
            </w:r>
          </w:p>
        </w:tc>
        <w:tc>
          <w:tcPr>
            <w:tcW w:w="1134" w:type="dxa"/>
            <w:tcBorders>
              <w:top w:val="nil"/>
              <w:left w:val="nil"/>
              <w:bottom w:val="single" w:sz="4" w:space="0" w:color="auto"/>
              <w:right w:val="nil"/>
            </w:tcBorders>
            <w:shd w:val="clear" w:color="auto" w:fill="auto"/>
            <w:vAlign w:val="bottom"/>
          </w:tcPr>
          <w:p w14:paraId="3D415897"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hAnsi="Arial" w:cs="Arial"/>
                <w:color w:val="000000"/>
                <w:sz w:val="17"/>
                <w:szCs w:val="17"/>
              </w:rPr>
              <w:t>435,239</w:t>
            </w:r>
          </w:p>
        </w:tc>
      </w:tr>
      <w:tr w:rsidR="00587444" w:rsidRPr="00587444" w14:paraId="0E56736B" w14:textId="77777777" w:rsidTr="00DD69E7">
        <w:trPr>
          <w:trHeight w:hRule="exact" w:val="294"/>
          <w:jc w:val="center"/>
        </w:trPr>
        <w:tc>
          <w:tcPr>
            <w:tcW w:w="2979" w:type="dxa"/>
            <w:vAlign w:val="bottom"/>
          </w:tcPr>
          <w:p w14:paraId="3761BFE0" w14:textId="77777777" w:rsidR="00587444" w:rsidRPr="00587444" w:rsidRDefault="00587444" w:rsidP="00587444">
            <w:pPr>
              <w:suppressAutoHyphens w:val="0"/>
              <w:autoSpaceDN/>
              <w:rPr>
                <w:rFonts w:ascii="Arial" w:hAnsi="Arial" w:cs="Arial"/>
                <w:i/>
                <w:sz w:val="17"/>
                <w:szCs w:val="17"/>
                <w:lang w:val="en-GB"/>
              </w:rPr>
            </w:pPr>
            <w:r w:rsidRPr="00587444">
              <w:rPr>
                <w:rFonts w:ascii="Arial" w:hAnsi="Arial" w:cs="Arial"/>
                <w:b/>
                <w:sz w:val="17"/>
                <w:szCs w:val="17"/>
                <w:lang w:val="hr-HR"/>
              </w:rPr>
              <w:t>Total</w:t>
            </w:r>
          </w:p>
        </w:tc>
        <w:tc>
          <w:tcPr>
            <w:tcW w:w="1133" w:type="dxa"/>
            <w:tcBorders>
              <w:top w:val="single" w:sz="4" w:space="0" w:color="auto"/>
              <w:left w:val="nil"/>
              <w:bottom w:val="single" w:sz="12" w:space="0" w:color="auto"/>
              <w:right w:val="nil"/>
            </w:tcBorders>
            <w:shd w:val="clear" w:color="auto" w:fill="auto"/>
            <w:vAlign w:val="bottom"/>
          </w:tcPr>
          <w:p w14:paraId="3C0ABC88"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bCs/>
                <w:color w:val="000000"/>
                <w:sz w:val="17"/>
                <w:szCs w:val="17"/>
              </w:rPr>
              <w:t>1,219,184</w:t>
            </w:r>
          </w:p>
        </w:tc>
        <w:tc>
          <w:tcPr>
            <w:tcW w:w="1134" w:type="dxa"/>
            <w:tcBorders>
              <w:top w:val="nil"/>
              <w:left w:val="nil"/>
              <w:bottom w:val="single" w:sz="12" w:space="0" w:color="auto"/>
              <w:right w:val="nil"/>
            </w:tcBorders>
            <w:shd w:val="clear" w:color="auto" w:fill="auto"/>
            <w:vAlign w:val="bottom"/>
          </w:tcPr>
          <w:p w14:paraId="02EF842D"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bCs/>
                <w:color w:val="000000"/>
                <w:sz w:val="17"/>
                <w:szCs w:val="17"/>
              </w:rPr>
              <w:t>359,152</w:t>
            </w:r>
          </w:p>
        </w:tc>
        <w:tc>
          <w:tcPr>
            <w:tcW w:w="1134" w:type="dxa"/>
            <w:tcBorders>
              <w:top w:val="nil"/>
              <w:left w:val="nil"/>
              <w:bottom w:val="single" w:sz="12" w:space="0" w:color="auto"/>
              <w:right w:val="nil"/>
            </w:tcBorders>
            <w:shd w:val="clear" w:color="auto" w:fill="auto"/>
            <w:vAlign w:val="bottom"/>
          </w:tcPr>
          <w:p w14:paraId="39AE72DD"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bCs/>
                <w:color w:val="000000"/>
                <w:sz w:val="17"/>
                <w:szCs w:val="17"/>
              </w:rPr>
              <w:t>2,103,912</w:t>
            </w:r>
          </w:p>
        </w:tc>
        <w:tc>
          <w:tcPr>
            <w:tcW w:w="1134" w:type="dxa"/>
            <w:tcBorders>
              <w:top w:val="nil"/>
              <w:left w:val="nil"/>
              <w:bottom w:val="single" w:sz="12" w:space="0" w:color="auto"/>
              <w:right w:val="nil"/>
            </w:tcBorders>
            <w:shd w:val="clear" w:color="auto" w:fill="auto"/>
            <w:vAlign w:val="bottom"/>
          </w:tcPr>
          <w:p w14:paraId="74794AD2"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bCs/>
                <w:color w:val="000000"/>
                <w:sz w:val="17"/>
                <w:szCs w:val="17"/>
              </w:rPr>
              <w:t>6,194,228</w:t>
            </w:r>
          </w:p>
        </w:tc>
        <w:tc>
          <w:tcPr>
            <w:tcW w:w="1134" w:type="dxa"/>
            <w:tcBorders>
              <w:top w:val="nil"/>
              <w:left w:val="nil"/>
              <w:bottom w:val="single" w:sz="12" w:space="0" w:color="auto"/>
              <w:right w:val="nil"/>
            </w:tcBorders>
            <w:shd w:val="clear" w:color="auto" w:fill="auto"/>
            <w:vAlign w:val="bottom"/>
          </w:tcPr>
          <w:p w14:paraId="6C385685"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bCs/>
                <w:color w:val="000000"/>
                <w:sz w:val="17"/>
                <w:szCs w:val="17"/>
              </w:rPr>
              <w:t>8,827,244</w:t>
            </w:r>
          </w:p>
        </w:tc>
        <w:tc>
          <w:tcPr>
            <w:tcW w:w="1134" w:type="dxa"/>
            <w:tcBorders>
              <w:top w:val="nil"/>
              <w:left w:val="nil"/>
              <w:bottom w:val="single" w:sz="12" w:space="0" w:color="auto"/>
              <w:right w:val="nil"/>
            </w:tcBorders>
            <w:shd w:val="clear" w:color="auto" w:fill="auto"/>
            <w:vAlign w:val="bottom"/>
          </w:tcPr>
          <w:p w14:paraId="485C0C73"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bCs/>
                <w:color w:val="000000"/>
                <w:sz w:val="17"/>
                <w:szCs w:val="17"/>
              </w:rPr>
              <w:t>18,703,720</w:t>
            </w:r>
          </w:p>
        </w:tc>
      </w:tr>
      <w:tr w:rsidR="00587444" w:rsidRPr="00587444" w14:paraId="0B5A1060" w14:textId="77777777" w:rsidTr="00DD69E7">
        <w:trPr>
          <w:trHeight w:hRule="exact" w:val="284"/>
          <w:jc w:val="center"/>
        </w:trPr>
        <w:tc>
          <w:tcPr>
            <w:tcW w:w="2979" w:type="dxa"/>
            <w:vAlign w:val="bottom"/>
          </w:tcPr>
          <w:p w14:paraId="259688F8" w14:textId="77777777" w:rsidR="00587444" w:rsidRPr="00587444" w:rsidRDefault="00587444" w:rsidP="00587444">
            <w:pPr>
              <w:tabs>
                <w:tab w:val="right" w:pos="1202"/>
              </w:tabs>
              <w:suppressAutoHyphens w:val="0"/>
              <w:autoSpaceDN/>
              <w:outlineLvl w:val="0"/>
              <w:rPr>
                <w:rFonts w:ascii="Arial" w:hAnsi="Arial" w:cs="Arial"/>
                <w:b/>
                <w:sz w:val="17"/>
                <w:szCs w:val="17"/>
                <w:lang w:val="en-GB"/>
              </w:rPr>
            </w:pPr>
            <w:r w:rsidRPr="00587444">
              <w:rPr>
                <w:rFonts w:ascii="Arial" w:hAnsi="Arial" w:cs="Arial"/>
                <w:b/>
                <w:bCs/>
                <w:spacing w:val="-2"/>
                <w:sz w:val="17"/>
                <w:szCs w:val="17"/>
                <w:lang w:val="en-GB"/>
              </w:rPr>
              <w:t>Guarantees and commitments</w:t>
            </w:r>
          </w:p>
        </w:tc>
        <w:tc>
          <w:tcPr>
            <w:tcW w:w="1133" w:type="dxa"/>
            <w:tcBorders>
              <w:left w:val="nil"/>
              <w:right w:val="nil"/>
            </w:tcBorders>
            <w:shd w:val="clear" w:color="auto" w:fill="auto"/>
            <w:vAlign w:val="bottom"/>
          </w:tcPr>
          <w:p w14:paraId="1B11554F"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p>
        </w:tc>
        <w:tc>
          <w:tcPr>
            <w:tcW w:w="1134" w:type="dxa"/>
            <w:tcBorders>
              <w:left w:val="nil"/>
              <w:right w:val="nil"/>
            </w:tcBorders>
            <w:shd w:val="clear" w:color="auto" w:fill="auto"/>
            <w:vAlign w:val="bottom"/>
          </w:tcPr>
          <w:p w14:paraId="0302688E"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p>
        </w:tc>
        <w:tc>
          <w:tcPr>
            <w:tcW w:w="1134" w:type="dxa"/>
            <w:tcBorders>
              <w:left w:val="nil"/>
              <w:right w:val="nil"/>
            </w:tcBorders>
            <w:shd w:val="clear" w:color="auto" w:fill="auto"/>
            <w:vAlign w:val="bottom"/>
          </w:tcPr>
          <w:p w14:paraId="0E71D38D"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p>
        </w:tc>
        <w:tc>
          <w:tcPr>
            <w:tcW w:w="1134" w:type="dxa"/>
            <w:tcBorders>
              <w:left w:val="nil"/>
              <w:right w:val="nil"/>
            </w:tcBorders>
            <w:shd w:val="clear" w:color="auto" w:fill="auto"/>
            <w:vAlign w:val="bottom"/>
          </w:tcPr>
          <w:p w14:paraId="3FCD7209"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p>
        </w:tc>
        <w:tc>
          <w:tcPr>
            <w:tcW w:w="1134" w:type="dxa"/>
            <w:tcBorders>
              <w:left w:val="nil"/>
              <w:right w:val="nil"/>
            </w:tcBorders>
            <w:shd w:val="clear" w:color="auto" w:fill="auto"/>
            <w:vAlign w:val="bottom"/>
          </w:tcPr>
          <w:p w14:paraId="479C9B63" w14:textId="77777777" w:rsidR="00587444" w:rsidRPr="00587444" w:rsidRDefault="00587444" w:rsidP="00587444">
            <w:pPr>
              <w:tabs>
                <w:tab w:val="right" w:pos="1263"/>
              </w:tabs>
              <w:suppressAutoHyphens w:val="0"/>
              <w:autoSpaceDN/>
              <w:jc w:val="right"/>
              <w:outlineLvl w:val="0"/>
              <w:rPr>
                <w:rFonts w:ascii="Arial" w:hAnsi="Arial" w:cs="Arial"/>
                <w:b/>
                <w:sz w:val="17"/>
                <w:szCs w:val="17"/>
                <w:lang w:val="en-GB"/>
              </w:rPr>
            </w:pPr>
          </w:p>
        </w:tc>
        <w:tc>
          <w:tcPr>
            <w:tcW w:w="1134" w:type="dxa"/>
            <w:tcBorders>
              <w:left w:val="nil"/>
              <w:right w:val="nil"/>
            </w:tcBorders>
            <w:shd w:val="clear" w:color="auto" w:fill="auto"/>
            <w:vAlign w:val="bottom"/>
          </w:tcPr>
          <w:p w14:paraId="5E01EFD1"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p>
        </w:tc>
      </w:tr>
      <w:tr w:rsidR="00587444" w:rsidRPr="00587444" w14:paraId="2C045042" w14:textId="77777777" w:rsidTr="00DD69E7">
        <w:trPr>
          <w:trHeight w:hRule="exact" w:val="227"/>
          <w:jc w:val="center"/>
        </w:trPr>
        <w:tc>
          <w:tcPr>
            <w:tcW w:w="2979" w:type="dxa"/>
            <w:vAlign w:val="bottom"/>
          </w:tcPr>
          <w:p w14:paraId="1932F87C" w14:textId="77777777" w:rsidR="00587444" w:rsidRPr="00587444" w:rsidRDefault="00587444" w:rsidP="00587444">
            <w:pPr>
              <w:tabs>
                <w:tab w:val="left" w:pos="-720"/>
              </w:tabs>
              <w:autoSpaceDN/>
              <w:rPr>
                <w:rFonts w:ascii="Arial" w:hAnsi="Arial" w:cs="Arial"/>
                <w:b/>
                <w:spacing w:val="-2"/>
                <w:sz w:val="17"/>
                <w:szCs w:val="17"/>
                <w:lang w:val="en-GB"/>
              </w:rPr>
            </w:pPr>
            <w:r w:rsidRPr="00587444">
              <w:rPr>
                <w:rFonts w:ascii="Arial" w:hAnsi="Arial" w:cs="Arial"/>
                <w:spacing w:val="-2"/>
                <w:sz w:val="17"/>
                <w:szCs w:val="17"/>
              </w:rPr>
              <w:t>Guarantees issued in HRK</w:t>
            </w:r>
          </w:p>
        </w:tc>
        <w:tc>
          <w:tcPr>
            <w:tcW w:w="1133" w:type="dxa"/>
            <w:tcBorders>
              <w:top w:val="nil"/>
              <w:left w:val="nil"/>
              <w:bottom w:val="nil"/>
              <w:right w:val="nil"/>
            </w:tcBorders>
            <w:shd w:val="clear" w:color="auto" w:fill="auto"/>
            <w:vAlign w:val="bottom"/>
          </w:tcPr>
          <w:p w14:paraId="53737D12"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170,555 </w:t>
            </w:r>
          </w:p>
        </w:tc>
        <w:tc>
          <w:tcPr>
            <w:tcW w:w="1134" w:type="dxa"/>
            <w:tcBorders>
              <w:top w:val="nil"/>
              <w:left w:val="nil"/>
              <w:bottom w:val="nil"/>
              <w:right w:val="nil"/>
            </w:tcBorders>
            <w:shd w:val="clear" w:color="auto" w:fill="auto"/>
            <w:vAlign w:val="bottom"/>
          </w:tcPr>
          <w:p w14:paraId="1091F515" w14:textId="77777777" w:rsidR="00587444" w:rsidRPr="00587444" w:rsidRDefault="00587444" w:rsidP="00587444">
            <w:pPr>
              <w:tabs>
                <w:tab w:val="center" w:pos="4153"/>
                <w:tab w:val="right" w:pos="8306"/>
              </w:tabs>
              <w:suppressAutoHyphens w:val="0"/>
              <w:autoSpaceDN/>
              <w:jc w:val="right"/>
              <w:rPr>
                <w:rFonts w:ascii="Arial" w:hAnsi="Arial" w:cs="Arial"/>
                <w:bCs/>
                <w:spacing w:val="-2"/>
                <w:sz w:val="17"/>
                <w:szCs w:val="17"/>
                <w:lang w:val="en-GB"/>
              </w:rPr>
            </w:pPr>
            <w:r w:rsidRPr="00587444">
              <w:rPr>
                <w:rFonts w:ascii="Arial" w:hAnsi="Arial" w:cs="Arial"/>
                <w:i/>
                <w:color w:val="000000"/>
                <w:sz w:val="17"/>
                <w:szCs w:val="17"/>
              </w:rPr>
              <w:t xml:space="preserve"> - </w:t>
            </w:r>
          </w:p>
        </w:tc>
        <w:tc>
          <w:tcPr>
            <w:tcW w:w="1134" w:type="dxa"/>
            <w:tcBorders>
              <w:top w:val="nil"/>
              <w:left w:val="nil"/>
              <w:bottom w:val="nil"/>
              <w:right w:val="nil"/>
            </w:tcBorders>
            <w:shd w:val="clear" w:color="auto" w:fill="auto"/>
            <w:vAlign w:val="bottom"/>
          </w:tcPr>
          <w:p w14:paraId="4A73DC6D"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59DC2B78"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6E7C8DAE" w14:textId="77777777" w:rsidR="00587444" w:rsidRPr="00587444" w:rsidRDefault="00587444" w:rsidP="00587444">
            <w:pPr>
              <w:tabs>
                <w:tab w:val="right" w:pos="1263"/>
              </w:tabs>
              <w:suppressAutoHyphens w:val="0"/>
              <w:autoSpaceDN/>
              <w:jc w:val="right"/>
              <w:outlineLvl w:val="0"/>
              <w:rPr>
                <w:rFonts w:ascii="Arial" w:hAnsi="Arial" w:cs="Arial"/>
                <w:bCs/>
                <w:sz w:val="17"/>
                <w:szCs w:val="17"/>
                <w:lang w:val="en-GB"/>
              </w:rPr>
            </w:pPr>
            <w:r w:rsidRPr="00587444">
              <w:rPr>
                <w:rFonts w:ascii="Arial" w:hAnsi="Arial" w:cs="Arial"/>
                <w:b/>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3B544C6A"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170,555</w:t>
            </w:r>
          </w:p>
        </w:tc>
      </w:tr>
      <w:tr w:rsidR="00587444" w:rsidRPr="00587444" w14:paraId="7E117A3A" w14:textId="77777777" w:rsidTr="00DD69E7">
        <w:trPr>
          <w:trHeight w:val="227"/>
          <w:jc w:val="center"/>
        </w:trPr>
        <w:tc>
          <w:tcPr>
            <w:tcW w:w="2979" w:type="dxa"/>
            <w:vAlign w:val="bottom"/>
          </w:tcPr>
          <w:p w14:paraId="3C87ADF9" w14:textId="77777777" w:rsidR="00587444" w:rsidRPr="00587444" w:rsidRDefault="00587444" w:rsidP="00587444">
            <w:pPr>
              <w:suppressAutoHyphens w:val="0"/>
              <w:autoSpaceDN/>
              <w:rPr>
                <w:rFonts w:ascii="Arial" w:hAnsi="Arial" w:cs="Arial"/>
                <w:spacing w:val="-2"/>
                <w:sz w:val="17"/>
                <w:szCs w:val="17"/>
              </w:rPr>
            </w:pPr>
            <w:r w:rsidRPr="00587444">
              <w:rPr>
                <w:rFonts w:ascii="Arial" w:hAnsi="Arial" w:cs="Arial"/>
                <w:spacing w:val="-2"/>
                <w:sz w:val="17"/>
                <w:szCs w:val="17"/>
              </w:rPr>
              <w:t>Issued guarantees in foreign currency</w:t>
            </w:r>
          </w:p>
        </w:tc>
        <w:tc>
          <w:tcPr>
            <w:tcW w:w="1133" w:type="dxa"/>
            <w:tcBorders>
              <w:top w:val="nil"/>
              <w:left w:val="nil"/>
              <w:bottom w:val="nil"/>
              <w:right w:val="nil"/>
            </w:tcBorders>
            <w:shd w:val="clear" w:color="auto" w:fill="auto"/>
            <w:vAlign w:val="bottom"/>
          </w:tcPr>
          <w:p w14:paraId="3C29F390" w14:textId="77777777" w:rsidR="00587444" w:rsidRPr="00587444" w:rsidRDefault="00587444" w:rsidP="00587444">
            <w:pPr>
              <w:suppressAutoHyphens w:val="0"/>
              <w:autoSpaceDN/>
              <w:jc w:val="right"/>
              <w:outlineLvl w:val="0"/>
              <w:rPr>
                <w:rFonts w:ascii="Arial" w:hAnsi="Arial" w:cs="Arial"/>
                <w:bCs/>
                <w:spacing w:val="-2"/>
                <w:sz w:val="17"/>
                <w:szCs w:val="17"/>
                <w:lang w:val="en-GB"/>
              </w:rPr>
            </w:pPr>
            <w:r w:rsidRPr="00587444">
              <w:rPr>
                <w:rFonts w:ascii="Arial" w:hAnsi="Arial" w:cs="Arial"/>
                <w:color w:val="000000"/>
                <w:sz w:val="17"/>
                <w:szCs w:val="17"/>
                <w:lang w:val="en-GB"/>
              </w:rPr>
              <w:t xml:space="preserve"> 325,103 </w:t>
            </w:r>
          </w:p>
        </w:tc>
        <w:tc>
          <w:tcPr>
            <w:tcW w:w="1134" w:type="dxa"/>
            <w:tcBorders>
              <w:top w:val="nil"/>
              <w:left w:val="nil"/>
              <w:bottom w:val="nil"/>
              <w:right w:val="nil"/>
            </w:tcBorders>
            <w:shd w:val="clear" w:color="auto" w:fill="auto"/>
            <w:vAlign w:val="bottom"/>
          </w:tcPr>
          <w:p w14:paraId="3071A771" w14:textId="77777777" w:rsidR="00587444" w:rsidRPr="00587444" w:rsidRDefault="00587444" w:rsidP="00587444">
            <w:pPr>
              <w:suppressAutoHyphens w:val="0"/>
              <w:autoSpaceDN/>
              <w:jc w:val="right"/>
              <w:outlineLvl w:val="0"/>
              <w:rPr>
                <w:rFonts w:ascii="Arial" w:hAnsi="Arial" w:cs="Arial"/>
                <w:bCs/>
                <w:spacing w:val="-2"/>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13316282" w14:textId="77777777" w:rsidR="00587444" w:rsidRPr="00587444" w:rsidRDefault="00587444" w:rsidP="00587444">
            <w:pPr>
              <w:suppressAutoHyphens w:val="0"/>
              <w:autoSpaceDN/>
              <w:jc w:val="right"/>
              <w:outlineLvl w:val="0"/>
              <w:rPr>
                <w:rFonts w:ascii="Arial" w:hAnsi="Arial" w:cs="Arial"/>
                <w:bCs/>
                <w:spacing w:val="-2"/>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689CE180" w14:textId="77777777" w:rsidR="00587444" w:rsidRPr="00587444" w:rsidRDefault="00587444" w:rsidP="00587444">
            <w:pPr>
              <w:suppressAutoHyphens w:val="0"/>
              <w:autoSpaceDN/>
              <w:jc w:val="right"/>
              <w:outlineLvl w:val="0"/>
              <w:rPr>
                <w:rFonts w:ascii="Arial" w:hAnsi="Arial" w:cs="Arial"/>
                <w:bCs/>
                <w:spacing w:val="-2"/>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6583E841" w14:textId="77777777" w:rsidR="00587444" w:rsidRPr="00587444" w:rsidRDefault="00587444" w:rsidP="00587444">
            <w:pPr>
              <w:tabs>
                <w:tab w:val="right" w:pos="1263"/>
              </w:tabs>
              <w:suppressAutoHyphens w:val="0"/>
              <w:autoSpaceDN/>
              <w:jc w:val="right"/>
              <w:outlineLvl w:val="0"/>
              <w:rPr>
                <w:rFonts w:ascii="Arial" w:hAnsi="Arial" w:cs="Arial"/>
                <w:bCs/>
                <w:spacing w:val="-2"/>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1071F004" w14:textId="77777777" w:rsidR="00587444" w:rsidRPr="00587444" w:rsidRDefault="00587444" w:rsidP="00587444">
            <w:pPr>
              <w:suppressAutoHyphens w:val="0"/>
              <w:autoSpaceDN/>
              <w:jc w:val="right"/>
              <w:outlineLvl w:val="0"/>
              <w:rPr>
                <w:rFonts w:ascii="Arial" w:hAnsi="Arial" w:cs="Arial"/>
                <w:bCs/>
                <w:sz w:val="17"/>
                <w:szCs w:val="17"/>
                <w:lang w:val="en-GB"/>
              </w:rPr>
            </w:pPr>
            <w:r w:rsidRPr="00587444">
              <w:rPr>
                <w:rFonts w:ascii="Arial" w:hAnsi="Arial" w:cs="Arial"/>
                <w:color w:val="000000"/>
                <w:sz w:val="17"/>
                <w:szCs w:val="17"/>
                <w:lang w:val="en-GB"/>
              </w:rPr>
              <w:t>325,103</w:t>
            </w:r>
          </w:p>
        </w:tc>
      </w:tr>
      <w:tr w:rsidR="00587444" w:rsidRPr="00587444" w14:paraId="0AB0989A" w14:textId="77777777" w:rsidTr="00DD69E7">
        <w:trPr>
          <w:trHeight w:val="227"/>
          <w:jc w:val="center"/>
        </w:trPr>
        <w:tc>
          <w:tcPr>
            <w:tcW w:w="2979" w:type="dxa"/>
            <w:vAlign w:val="bottom"/>
          </w:tcPr>
          <w:p w14:paraId="7F8B0CC9" w14:textId="77777777" w:rsidR="00587444" w:rsidRPr="00587444" w:rsidRDefault="00587444" w:rsidP="00587444">
            <w:pPr>
              <w:suppressAutoHyphens w:val="0"/>
              <w:autoSpaceDN/>
              <w:rPr>
                <w:rFonts w:ascii="Arial" w:hAnsi="Arial" w:cs="Arial"/>
                <w:sz w:val="17"/>
                <w:szCs w:val="17"/>
                <w:lang w:val="en-GB"/>
              </w:rPr>
            </w:pPr>
            <w:r w:rsidRPr="00587444">
              <w:rPr>
                <w:rFonts w:ascii="Arial" w:hAnsi="Arial" w:cs="Arial"/>
                <w:spacing w:val="-2"/>
                <w:sz w:val="17"/>
                <w:szCs w:val="17"/>
              </w:rPr>
              <w:t>Undrawn loans</w:t>
            </w:r>
          </w:p>
        </w:tc>
        <w:tc>
          <w:tcPr>
            <w:tcW w:w="1133" w:type="dxa"/>
            <w:tcBorders>
              <w:top w:val="nil"/>
              <w:left w:val="nil"/>
              <w:bottom w:val="nil"/>
              <w:right w:val="nil"/>
            </w:tcBorders>
            <w:shd w:val="clear" w:color="auto" w:fill="auto"/>
            <w:vAlign w:val="bottom"/>
          </w:tcPr>
          <w:p w14:paraId="147675D4" w14:textId="77777777" w:rsidR="00587444" w:rsidRPr="00587444" w:rsidRDefault="00587444" w:rsidP="00587444">
            <w:pPr>
              <w:suppressAutoHyphens w:val="0"/>
              <w:autoSpaceDN/>
              <w:jc w:val="right"/>
              <w:outlineLvl w:val="0"/>
              <w:rPr>
                <w:rFonts w:ascii="Arial" w:eastAsia="Calibri" w:hAnsi="Arial" w:cs="Arial"/>
                <w:spacing w:val="-2"/>
                <w:sz w:val="17"/>
                <w:szCs w:val="17"/>
                <w:lang w:val="hr-HR"/>
              </w:rPr>
            </w:pPr>
            <w:r w:rsidRPr="00587444">
              <w:rPr>
                <w:rFonts w:ascii="Arial" w:hAnsi="Arial" w:cs="Arial"/>
                <w:color w:val="000000"/>
                <w:sz w:val="17"/>
                <w:szCs w:val="17"/>
                <w:lang w:val="en-GB"/>
              </w:rPr>
              <w:t xml:space="preserve">3,492,038 </w:t>
            </w:r>
          </w:p>
        </w:tc>
        <w:tc>
          <w:tcPr>
            <w:tcW w:w="1134" w:type="dxa"/>
            <w:tcBorders>
              <w:top w:val="nil"/>
              <w:left w:val="nil"/>
              <w:bottom w:val="nil"/>
              <w:right w:val="nil"/>
            </w:tcBorders>
            <w:shd w:val="clear" w:color="auto" w:fill="auto"/>
            <w:vAlign w:val="bottom"/>
          </w:tcPr>
          <w:p w14:paraId="1F9314C4" w14:textId="77777777" w:rsidR="00587444" w:rsidRPr="00587444" w:rsidRDefault="00587444" w:rsidP="00587444">
            <w:pPr>
              <w:suppressAutoHyphens w:val="0"/>
              <w:autoSpaceDN/>
              <w:jc w:val="right"/>
              <w:outlineLvl w:val="0"/>
              <w:rPr>
                <w:rFonts w:ascii="Arial" w:eastAsia="Calibri" w:hAnsi="Arial" w:cs="Arial"/>
                <w:spacing w:val="-2"/>
                <w:sz w:val="17"/>
                <w:szCs w:val="17"/>
                <w:lang w:val="hr-HR"/>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6890795E" w14:textId="77777777" w:rsidR="00587444" w:rsidRPr="00587444" w:rsidRDefault="00587444" w:rsidP="00587444">
            <w:pPr>
              <w:suppressAutoHyphens w:val="0"/>
              <w:autoSpaceDN/>
              <w:jc w:val="right"/>
              <w:outlineLvl w:val="0"/>
              <w:rPr>
                <w:rFonts w:ascii="Arial" w:eastAsia="Calibri" w:hAnsi="Arial" w:cs="Arial"/>
                <w:spacing w:val="-2"/>
                <w:sz w:val="17"/>
                <w:szCs w:val="17"/>
                <w:lang w:val="hr-HR"/>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098D0702" w14:textId="77777777" w:rsidR="00587444" w:rsidRPr="00587444" w:rsidRDefault="00587444" w:rsidP="00587444">
            <w:pPr>
              <w:suppressAutoHyphens w:val="0"/>
              <w:autoSpaceDN/>
              <w:jc w:val="right"/>
              <w:outlineLvl w:val="0"/>
              <w:rPr>
                <w:rFonts w:ascii="Arial" w:eastAsia="Calibri" w:hAnsi="Arial" w:cs="Arial"/>
                <w:spacing w:val="-2"/>
                <w:sz w:val="17"/>
                <w:szCs w:val="17"/>
                <w:lang w:val="hr-HR"/>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025294DF" w14:textId="77777777" w:rsidR="00587444" w:rsidRPr="00587444" w:rsidRDefault="00587444" w:rsidP="00587444">
            <w:pPr>
              <w:suppressAutoHyphens w:val="0"/>
              <w:autoSpaceDN/>
              <w:jc w:val="right"/>
              <w:outlineLvl w:val="0"/>
              <w:rPr>
                <w:rFonts w:ascii="Arial" w:eastAsia="Calibri" w:hAnsi="Arial" w:cs="Arial"/>
                <w:spacing w:val="-2"/>
                <w:sz w:val="17"/>
                <w:szCs w:val="17"/>
                <w:lang w:val="hr-HR"/>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3525EAE1" w14:textId="77777777" w:rsidR="00587444" w:rsidRPr="00587444" w:rsidRDefault="00587444" w:rsidP="00587444">
            <w:pPr>
              <w:suppressAutoHyphens w:val="0"/>
              <w:autoSpaceDN/>
              <w:jc w:val="right"/>
              <w:outlineLvl w:val="0"/>
              <w:rPr>
                <w:rFonts w:ascii="Arial" w:eastAsia="Calibri" w:hAnsi="Arial" w:cs="Arial"/>
                <w:spacing w:val="-2"/>
                <w:sz w:val="17"/>
                <w:szCs w:val="17"/>
                <w:lang w:val="hr-HR"/>
              </w:rPr>
            </w:pPr>
            <w:r w:rsidRPr="00587444">
              <w:rPr>
                <w:rFonts w:ascii="Arial" w:hAnsi="Arial" w:cs="Arial"/>
                <w:color w:val="000000"/>
                <w:sz w:val="17"/>
                <w:szCs w:val="17"/>
                <w:lang w:val="en-GB"/>
              </w:rPr>
              <w:t>3,492,038</w:t>
            </w:r>
          </w:p>
        </w:tc>
      </w:tr>
      <w:tr w:rsidR="00587444" w:rsidRPr="00587444" w14:paraId="4F6EA716" w14:textId="77777777" w:rsidTr="001D0F84">
        <w:trPr>
          <w:trHeight w:hRule="exact" w:val="379"/>
          <w:jc w:val="center"/>
        </w:trPr>
        <w:tc>
          <w:tcPr>
            <w:tcW w:w="2979" w:type="dxa"/>
            <w:vAlign w:val="bottom"/>
          </w:tcPr>
          <w:p w14:paraId="367A1DEB" w14:textId="77777777" w:rsidR="001D0F84" w:rsidRDefault="00587444" w:rsidP="00587444">
            <w:pPr>
              <w:suppressAutoHyphens w:val="0"/>
              <w:autoSpaceDN/>
              <w:rPr>
                <w:rFonts w:ascii="Arial" w:hAnsi="Arial" w:cs="Arial"/>
                <w:spacing w:val="-2"/>
                <w:sz w:val="17"/>
                <w:szCs w:val="17"/>
              </w:rPr>
            </w:pPr>
            <w:r w:rsidRPr="00587444">
              <w:rPr>
                <w:rFonts w:ascii="Arial" w:hAnsi="Arial" w:cs="Arial"/>
                <w:spacing w:val="-2"/>
                <w:sz w:val="17"/>
                <w:szCs w:val="17"/>
              </w:rPr>
              <w:t xml:space="preserve">EIF – subscribed, not called up </w:t>
            </w:r>
          </w:p>
          <w:p w14:paraId="33DB14C7" w14:textId="37CFB5B1" w:rsidR="00587444" w:rsidRPr="00587444" w:rsidRDefault="00587444" w:rsidP="00587444">
            <w:pPr>
              <w:suppressAutoHyphens w:val="0"/>
              <w:autoSpaceDN/>
              <w:rPr>
                <w:rFonts w:ascii="Arial" w:hAnsi="Arial" w:cs="Arial"/>
                <w:i/>
                <w:spacing w:val="-2"/>
                <w:sz w:val="17"/>
                <w:szCs w:val="17"/>
              </w:rPr>
            </w:pPr>
            <w:r w:rsidRPr="00587444">
              <w:rPr>
                <w:rFonts w:ascii="Arial" w:hAnsi="Arial" w:cs="Arial"/>
                <w:spacing w:val="-2"/>
                <w:sz w:val="17"/>
                <w:szCs w:val="17"/>
              </w:rPr>
              <w:t>capital</w:t>
            </w:r>
          </w:p>
        </w:tc>
        <w:tc>
          <w:tcPr>
            <w:tcW w:w="1133" w:type="dxa"/>
            <w:tcBorders>
              <w:top w:val="nil"/>
              <w:left w:val="nil"/>
              <w:bottom w:val="nil"/>
              <w:right w:val="nil"/>
            </w:tcBorders>
            <w:shd w:val="clear" w:color="auto" w:fill="auto"/>
            <w:vAlign w:val="bottom"/>
          </w:tcPr>
          <w:p w14:paraId="76B8DF0C"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78,179 </w:t>
            </w:r>
          </w:p>
        </w:tc>
        <w:tc>
          <w:tcPr>
            <w:tcW w:w="1134" w:type="dxa"/>
            <w:tcBorders>
              <w:top w:val="nil"/>
              <w:left w:val="nil"/>
              <w:bottom w:val="nil"/>
              <w:right w:val="nil"/>
            </w:tcBorders>
            <w:shd w:val="clear" w:color="auto" w:fill="auto"/>
            <w:vAlign w:val="bottom"/>
          </w:tcPr>
          <w:p w14:paraId="2D51B783"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 </w:t>
            </w:r>
          </w:p>
        </w:tc>
        <w:tc>
          <w:tcPr>
            <w:tcW w:w="1134" w:type="dxa"/>
            <w:tcBorders>
              <w:top w:val="nil"/>
              <w:left w:val="nil"/>
              <w:bottom w:val="nil"/>
              <w:right w:val="nil"/>
            </w:tcBorders>
            <w:shd w:val="clear" w:color="auto" w:fill="auto"/>
            <w:vAlign w:val="bottom"/>
          </w:tcPr>
          <w:p w14:paraId="32F9E2A6"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 </w:t>
            </w:r>
          </w:p>
        </w:tc>
        <w:tc>
          <w:tcPr>
            <w:tcW w:w="1134" w:type="dxa"/>
            <w:tcBorders>
              <w:top w:val="nil"/>
              <w:left w:val="nil"/>
              <w:bottom w:val="nil"/>
              <w:right w:val="nil"/>
            </w:tcBorders>
            <w:shd w:val="clear" w:color="auto" w:fill="auto"/>
            <w:vAlign w:val="bottom"/>
          </w:tcPr>
          <w:p w14:paraId="3778CDC7"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 </w:t>
            </w:r>
          </w:p>
        </w:tc>
        <w:tc>
          <w:tcPr>
            <w:tcW w:w="1134" w:type="dxa"/>
            <w:tcBorders>
              <w:top w:val="nil"/>
              <w:left w:val="nil"/>
              <w:bottom w:val="nil"/>
              <w:right w:val="nil"/>
            </w:tcBorders>
            <w:shd w:val="clear" w:color="auto" w:fill="auto"/>
            <w:vAlign w:val="bottom"/>
          </w:tcPr>
          <w:p w14:paraId="307B0C1B"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 </w:t>
            </w:r>
          </w:p>
        </w:tc>
        <w:tc>
          <w:tcPr>
            <w:tcW w:w="1134" w:type="dxa"/>
            <w:tcBorders>
              <w:top w:val="nil"/>
              <w:left w:val="nil"/>
              <w:bottom w:val="nil"/>
              <w:right w:val="nil"/>
            </w:tcBorders>
            <w:shd w:val="clear" w:color="auto" w:fill="auto"/>
            <w:vAlign w:val="bottom"/>
          </w:tcPr>
          <w:p w14:paraId="7B8C4637"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78,179</w:t>
            </w:r>
          </w:p>
        </w:tc>
      </w:tr>
      <w:tr w:rsidR="00587444" w:rsidRPr="00587444" w14:paraId="1485DEBF" w14:textId="77777777" w:rsidTr="00DD69E7">
        <w:trPr>
          <w:trHeight w:hRule="exact" w:val="227"/>
          <w:jc w:val="center"/>
        </w:trPr>
        <w:tc>
          <w:tcPr>
            <w:tcW w:w="2979" w:type="dxa"/>
            <w:tcBorders>
              <w:top w:val="nil"/>
              <w:left w:val="nil"/>
              <w:bottom w:val="nil"/>
              <w:right w:val="nil"/>
            </w:tcBorders>
            <w:shd w:val="clear" w:color="auto" w:fill="auto"/>
            <w:vAlign w:val="bottom"/>
          </w:tcPr>
          <w:p w14:paraId="630CE19D" w14:textId="77777777" w:rsidR="00587444" w:rsidRPr="00587444" w:rsidRDefault="00587444" w:rsidP="00587444">
            <w:pPr>
              <w:suppressAutoHyphens w:val="0"/>
              <w:autoSpaceDN/>
              <w:rPr>
                <w:rFonts w:ascii="Arial" w:hAnsi="Arial" w:cs="Arial"/>
                <w:spacing w:val="-2"/>
                <w:sz w:val="17"/>
                <w:szCs w:val="17"/>
              </w:rPr>
            </w:pPr>
            <w:r w:rsidRPr="00587444">
              <w:rPr>
                <w:rFonts w:ascii="Arial" w:hAnsi="Arial" w:cs="Arial"/>
                <w:color w:val="000000"/>
                <w:sz w:val="17"/>
                <w:szCs w:val="17"/>
                <w:lang w:val="en-GB"/>
              </w:rPr>
              <w:t>EIF CROGIP Contracted Liability</w:t>
            </w:r>
          </w:p>
        </w:tc>
        <w:tc>
          <w:tcPr>
            <w:tcW w:w="1133" w:type="dxa"/>
            <w:tcBorders>
              <w:top w:val="nil"/>
              <w:left w:val="nil"/>
              <w:bottom w:val="nil"/>
              <w:right w:val="nil"/>
            </w:tcBorders>
            <w:shd w:val="clear" w:color="auto" w:fill="auto"/>
            <w:vAlign w:val="bottom"/>
          </w:tcPr>
          <w:p w14:paraId="00383016"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 </w:t>
            </w:r>
          </w:p>
        </w:tc>
        <w:tc>
          <w:tcPr>
            <w:tcW w:w="1134" w:type="dxa"/>
            <w:tcBorders>
              <w:top w:val="nil"/>
              <w:left w:val="nil"/>
              <w:bottom w:val="nil"/>
              <w:right w:val="nil"/>
            </w:tcBorders>
            <w:shd w:val="clear" w:color="auto" w:fill="auto"/>
            <w:vAlign w:val="bottom"/>
          </w:tcPr>
          <w:p w14:paraId="06996CA0"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12,616 </w:t>
            </w:r>
          </w:p>
        </w:tc>
        <w:tc>
          <w:tcPr>
            <w:tcW w:w="1134" w:type="dxa"/>
            <w:tcBorders>
              <w:top w:val="nil"/>
              <w:left w:val="nil"/>
              <w:bottom w:val="nil"/>
              <w:right w:val="nil"/>
            </w:tcBorders>
            <w:shd w:val="clear" w:color="auto" w:fill="auto"/>
            <w:vAlign w:val="bottom"/>
          </w:tcPr>
          <w:p w14:paraId="46E8E52E"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56,771 </w:t>
            </w:r>
          </w:p>
        </w:tc>
        <w:tc>
          <w:tcPr>
            <w:tcW w:w="1134" w:type="dxa"/>
            <w:tcBorders>
              <w:top w:val="nil"/>
              <w:left w:val="nil"/>
              <w:bottom w:val="nil"/>
              <w:right w:val="nil"/>
            </w:tcBorders>
            <w:shd w:val="clear" w:color="auto" w:fill="auto"/>
            <w:vAlign w:val="bottom"/>
          </w:tcPr>
          <w:p w14:paraId="6FAD009E"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112,664 </w:t>
            </w:r>
          </w:p>
        </w:tc>
        <w:tc>
          <w:tcPr>
            <w:tcW w:w="1134" w:type="dxa"/>
            <w:tcBorders>
              <w:top w:val="nil"/>
              <w:left w:val="nil"/>
              <w:bottom w:val="nil"/>
              <w:right w:val="nil"/>
            </w:tcBorders>
            <w:shd w:val="clear" w:color="auto" w:fill="auto"/>
            <w:vAlign w:val="bottom"/>
          </w:tcPr>
          <w:p w14:paraId="5AFD9E77"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130,438 </w:t>
            </w:r>
          </w:p>
        </w:tc>
        <w:tc>
          <w:tcPr>
            <w:tcW w:w="1134" w:type="dxa"/>
            <w:tcBorders>
              <w:top w:val="nil"/>
              <w:left w:val="nil"/>
              <w:bottom w:val="nil"/>
              <w:right w:val="nil"/>
            </w:tcBorders>
            <w:shd w:val="clear" w:color="auto" w:fill="auto"/>
            <w:vAlign w:val="bottom"/>
          </w:tcPr>
          <w:p w14:paraId="4EB518D1"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312,489</w:t>
            </w:r>
          </w:p>
        </w:tc>
      </w:tr>
      <w:tr w:rsidR="00587444" w:rsidRPr="00587444" w14:paraId="6A0CC40C" w14:textId="77777777" w:rsidTr="00DD69E7">
        <w:trPr>
          <w:trHeight w:hRule="exact" w:val="227"/>
          <w:jc w:val="center"/>
        </w:trPr>
        <w:tc>
          <w:tcPr>
            <w:tcW w:w="2979" w:type="dxa"/>
            <w:tcBorders>
              <w:top w:val="nil"/>
              <w:left w:val="nil"/>
              <w:bottom w:val="nil"/>
              <w:right w:val="nil"/>
            </w:tcBorders>
            <w:shd w:val="clear" w:color="auto" w:fill="auto"/>
            <w:vAlign w:val="bottom"/>
          </w:tcPr>
          <w:p w14:paraId="6EBF108A" w14:textId="77777777" w:rsidR="00587444" w:rsidRPr="00587444" w:rsidRDefault="00587444" w:rsidP="00587444">
            <w:pPr>
              <w:suppressAutoHyphens w:val="0"/>
              <w:autoSpaceDN/>
              <w:rPr>
                <w:rFonts w:ascii="Arial" w:hAnsi="Arial" w:cs="Arial"/>
                <w:spacing w:val="-2"/>
                <w:sz w:val="17"/>
                <w:szCs w:val="17"/>
              </w:rPr>
            </w:pPr>
            <w:r w:rsidRPr="00587444">
              <w:rPr>
                <w:rFonts w:ascii="Arial" w:hAnsi="Arial" w:cs="Arial"/>
                <w:color w:val="000000"/>
                <w:sz w:val="17"/>
                <w:szCs w:val="17"/>
                <w:lang w:val="en-GB"/>
              </w:rPr>
              <w:t>EIF FRC2 Contracted Liability</w:t>
            </w:r>
          </w:p>
        </w:tc>
        <w:tc>
          <w:tcPr>
            <w:tcW w:w="1133" w:type="dxa"/>
            <w:tcBorders>
              <w:top w:val="nil"/>
              <w:left w:val="nil"/>
              <w:bottom w:val="single" w:sz="8" w:space="0" w:color="auto"/>
              <w:right w:val="nil"/>
            </w:tcBorders>
            <w:shd w:val="clear" w:color="auto" w:fill="auto"/>
            <w:vAlign w:val="bottom"/>
          </w:tcPr>
          <w:p w14:paraId="32EA5F17"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678 </w:t>
            </w:r>
          </w:p>
        </w:tc>
        <w:tc>
          <w:tcPr>
            <w:tcW w:w="1134" w:type="dxa"/>
            <w:tcBorders>
              <w:top w:val="nil"/>
              <w:left w:val="nil"/>
              <w:bottom w:val="single" w:sz="8" w:space="0" w:color="auto"/>
              <w:right w:val="nil"/>
            </w:tcBorders>
            <w:shd w:val="clear" w:color="auto" w:fill="auto"/>
            <w:vAlign w:val="bottom"/>
          </w:tcPr>
          <w:p w14:paraId="644ED0FE"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532 </w:t>
            </w:r>
          </w:p>
        </w:tc>
        <w:tc>
          <w:tcPr>
            <w:tcW w:w="1134" w:type="dxa"/>
            <w:tcBorders>
              <w:top w:val="nil"/>
              <w:left w:val="nil"/>
              <w:bottom w:val="single" w:sz="8" w:space="0" w:color="auto"/>
              <w:right w:val="nil"/>
            </w:tcBorders>
            <w:shd w:val="clear" w:color="auto" w:fill="auto"/>
            <w:vAlign w:val="bottom"/>
          </w:tcPr>
          <w:p w14:paraId="3EB47FBC"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2,393 </w:t>
            </w:r>
          </w:p>
        </w:tc>
        <w:tc>
          <w:tcPr>
            <w:tcW w:w="1134" w:type="dxa"/>
            <w:tcBorders>
              <w:top w:val="nil"/>
              <w:left w:val="nil"/>
              <w:bottom w:val="single" w:sz="8" w:space="0" w:color="auto"/>
              <w:right w:val="nil"/>
            </w:tcBorders>
            <w:shd w:val="clear" w:color="auto" w:fill="auto"/>
            <w:vAlign w:val="bottom"/>
          </w:tcPr>
          <w:p w14:paraId="2D951282"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2,171 </w:t>
            </w:r>
          </w:p>
        </w:tc>
        <w:tc>
          <w:tcPr>
            <w:tcW w:w="1134" w:type="dxa"/>
            <w:tcBorders>
              <w:top w:val="nil"/>
              <w:left w:val="nil"/>
              <w:bottom w:val="single" w:sz="8" w:space="0" w:color="auto"/>
              <w:right w:val="nil"/>
            </w:tcBorders>
            <w:shd w:val="clear" w:color="auto" w:fill="auto"/>
            <w:vAlign w:val="bottom"/>
          </w:tcPr>
          <w:p w14:paraId="4AF3DC71"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 xml:space="preserve"> 469 </w:t>
            </w:r>
          </w:p>
        </w:tc>
        <w:tc>
          <w:tcPr>
            <w:tcW w:w="1134" w:type="dxa"/>
            <w:tcBorders>
              <w:top w:val="nil"/>
              <w:left w:val="nil"/>
              <w:bottom w:val="single" w:sz="8" w:space="0" w:color="auto"/>
              <w:right w:val="nil"/>
            </w:tcBorders>
            <w:shd w:val="clear" w:color="auto" w:fill="auto"/>
            <w:vAlign w:val="bottom"/>
          </w:tcPr>
          <w:p w14:paraId="085CC561"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color w:val="000000"/>
                <w:sz w:val="17"/>
                <w:szCs w:val="17"/>
              </w:rPr>
            </w:pPr>
            <w:r w:rsidRPr="00587444">
              <w:rPr>
                <w:rFonts w:ascii="Arial" w:hAnsi="Arial" w:cs="Arial"/>
                <w:color w:val="000000"/>
                <w:sz w:val="17"/>
                <w:szCs w:val="17"/>
              </w:rPr>
              <w:t>6,243</w:t>
            </w:r>
          </w:p>
        </w:tc>
      </w:tr>
      <w:tr w:rsidR="00587444" w:rsidRPr="00587444" w14:paraId="5479C098" w14:textId="77777777" w:rsidTr="00DD69E7">
        <w:trPr>
          <w:trHeight w:hRule="exact" w:val="482"/>
          <w:jc w:val="center"/>
        </w:trPr>
        <w:tc>
          <w:tcPr>
            <w:tcW w:w="2979" w:type="dxa"/>
            <w:vAlign w:val="bottom"/>
          </w:tcPr>
          <w:p w14:paraId="06C9E7D7" w14:textId="77777777" w:rsidR="00587444" w:rsidRPr="00587444" w:rsidRDefault="00587444" w:rsidP="00587444">
            <w:pPr>
              <w:suppressAutoHyphens w:val="0"/>
              <w:autoSpaceDN/>
              <w:rPr>
                <w:rFonts w:ascii="Arial" w:hAnsi="Arial" w:cs="Arial"/>
                <w:b/>
                <w:bCs/>
                <w:i/>
                <w:spacing w:val="-2"/>
                <w:sz w:val="17"/>
                <w:szCs w:val="17"/>
              </w:rPr>
            </w:pPr>
            <w:r w:rsidRPr="00587444">
              <w:rPr>
                <w:rFonts w:ascii="Arial" w:hAnsi="Arial" w:cs="Arial"/>
                <w:b/>
                <w:bCs/>
                <w:spacing w:val="-2"/>
                <w:sz w:val="17"/>
                <w:szCs w:val="17"/>
              </w:rPr>
              <w:t>Total guarantees and commitments</w:t>
            </w:r>
          </w:p>
        </w:tc>
        <w:tc>
          <w:tcPr>
            <w:tcW w:w="1133" w:type="dxa"/>
            <w:tcBorders>
              <w:top w:val="single" w:sz="8" w:space="0" w:color="auto"/>
              <w:left w:val="nil"/>
              <w:bottom w:val="single" w:sz="12" w:space="0" w:color="auto"/>
              <w:right w:val="nil"/>
            </w:tcBorders>
            <w:shd w:val="clear" w:color="auto" w:fill="auto"/>
            <w:vAlign w:val="bottom"/>
          </w:tcPr>
          <w:p w14:paraId="0ACFD0AA"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587444">
              <w:rPr>
                <w:rFonts w:ascii="Arial" w:hAnsi="Arial" w:cs="Arial"/>
                <w:b/>
                <w:bCs/>
                <w:color w:val="000000"/>
                <w:sz w:val="17"/>
                <w:szCs w:val="17"/>
              </w:rPr>
              <w:t>4,066,553</w:t>
            </w:r>
          </w:p>
        </w:tc>
        <w:tc>
          <w:tcPr>
            <w:tcW w:w="1134" w:type="dxa"/>
            <w:tcBorders>
              <w:top w:val="single" w:sz="8" w:space="0" w:color="auto"/>
              <w:left w:val="nil"/>
              <w:bottom w:val="single" w:sz="12" w:space="0" w:color="auto"/>
              <w:right w:val="nil"/>
            </w:tcBorders>
            <w:shd w:val="clear" w:color="auto" w:fill="auto"/>
            <w:vAlign w:val="bottom"/>
          </w:tcPr>
          <w:p w14:paraId="6184CE04"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587444">
              <w:rPr>
                <w:rFonts w:ascii="Arial" w:hAnsi="Arial" w:cs="Arial"/>
                <w:b/>
                <w:bCs/>
                <w:color w:val="000000"/>
                <w:sz w:val="17"/>
                <w:szCs w:val="17"/>
              </w:rPr>
              <w:t>13,148</w:t>
            </w:r>
          </w:p>
        </w:tc>
        <w:tc>
          <w:tcPr>
            <w:tcW w:w="1134" w:type="dxa"/>
            <w:tcBorders>
              <w:top w:val="single" w:sz="8" w:space="0" w:color="auto"/>
              <w:left w:val="nil"/>
              <w:bottom w:val="single" w:sz="12" w:space="0" w:color="auto"/>
              <w:right w:val="nil"/>
            </w:tcBorders>
            <w:shd w:val="clear" w:color="auto" w:fill="auto"/>
            <w:vAlign w:val="bottom"/>
          </w:tcPr>
          <w:p w14:paraId="3EE05B80"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587444">
              <w:rPr>
                <w:rFonts w:ascii="Arial" w:hAnsi="Arial" w:cs="Arial"/>
                <w:b/>
                <w:bCs/>
                <w:color w:val="000000"/>
                <w:sz w:val="17"/>
                <w:szCs w:val="17"/>
              </w:rPr>
              <w:t>59,164</w:t>
            </w:r>
          </w:p>
        </w:tc>
        <w:tc>
          <w:tcPr>
            <w:tcW w:w="1134" w:type="dxa"/>
            <w:tcBorders>
              <w:top w:val="single" w:sz="8" w:space="0" w:color="auto"/>
              <w:left w:val="nil"/>
              <w:bottom w:val="single" w:sz="12" w:space="0" w:color="auto"/>
              <w:right w:val="nil"/>
            </w:tcBorders>
            <w:shd w:val="clear" w:color="auto" w:fill="auto"/>
            <w:vAlign w:val="bottom"/>
          </w:tcPr>
          <w:p w14:paraId="4023147E"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587444">
              <w:rPr>
                <w:rFonts w:ascii="Arial" w:hAnsi="Arial" w:cs="Arial"/>
                <w:b/>
                <w:bCs/>
                <w:color w:val="000000"/>
                <w:sz w:val="17"/>
                <w:szCs w:val="17"/>
              </w:rPr>
              <w:t>114,835</w:t>
            </w:r>
          </w:p>
        </w:tc>
        <w:tc>
          <w:tcPr>
            <w:tcW w:w="1134" w:type="dxa"/>
            <w:tcBorders>
              <w:top w:val="single" w:sz="8" w:space="0" w:color="auto"/>
              <w:left w:val="nil"/>
              <w:bottom w:val="single" w:sz="12" w:space="0" w:color="auto"/>
              <w:right w:val="nil"/>
            </w:tcBorders>
            <w:shd w:val="clear" w:color="auto" w:fill="auto"/>
            <w:vAlign w:val="bottom"/>
          </w:tcPr>
          <w:p w14:paraId="1CD5FB32"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587444">
              <w:rPr>
                <w:rFonts w:ascii="Arial" w:hAnsi="Arial" w:cs="Arial"/>
                <w:b/>
                <w:bCs/>
                <w:color w:val="000000"/>
                <w:sz w:val="17"/>
                <w:szCs w:val="17"/>
              </w:rPr>
              <w:t>130,907</w:t>
            </w:r>
          </w:p>
        </w:tc>
        <w:tc>
          <w:tcPr>
            <w:tcW w:w="1134" w:type="dxa"/>
            <w:tcBorders>
              <w:top w:val="single" w:sz="8" w:space="0" w:color="auto"/>
              <w:left w:val="nil"/>
              <w:bottom w:val="single" w:sz="12" w:space="0" w:color="auto"/>
              <w:right w:val="nil"/>
            </w:tcBorders>
            <w:shd w:val="clear" w:color="auto" w:fill="auto"/>
            <w:vAlign w:val="bottom"/>
          </w:tcPr>
          <w:p w14:paraId="58126356"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587444">
              <w:rPr>
                <w:rFonts w:ascii="Arial" w:hAnsi="Arial" w:cs="Arial"/>
                <w:b/>
                <w:bCs/>
                <w:color w:val="000000"/>
                <w:sz w:val="17"/>
                <w:szCs w:val="17"/>
              </w:rPr>
              <w:t>4,384,607</w:t>
            </w:r>
          </w:p>
        </w:tc>
      </w:tr>
    </w:tbl>
    <w:p w14:paraId="5DDE65B4" w14:textId="77777777" w:rsidR="00587444" w:rsidRPr="00587444" w:rsidRDefault="00587444" w:rsidP="00587444">
      <w:pPr>
        <w:keepNext/>
        <w:suppressAutoHyphens w:val="0"/>
        <w:autoSpaceDN/>
        <w:spacing w:line="360" w:lineRule="auto"/>
        <w:jc w:val="both"/>
        <w:rPr>
          <w:rFonts w:ascii="Arial" w:hAnsi="Arial" w:cs="Arial"/>
          <w:bCs/>
          <w:sz w:val="20"/>
          <w:szCs w:val="20"/>
          <w:highlight w:val="yellow"/>
          <w:lang w:val="en-GB"/>
        </w:rPr>
      </w:pPr>
    </w:p>
    <w:p w14:paraId="37F0861B"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215579E0" w14:textId="77777777" w:rsidR="00587444" w:rsidRPr="00587444" w:rsidRDefault="00587444" w:rsidP="00587444">
      <w:pPr>
        <w:suppressAutoHyphens w:val="0"/>
        <w:autoSpaceDN/>
        <w:jc w:val="both"/>
        <w:rPr>
          <w:rFonts w:ascii="Arial" w:hAnsi="Arial" w:cs="Arial"/>
          <w:b/>
          <w:bCs/>
          <w:sz w:val="20"/>
          <w:szCs w:val="20"/>
          <w:lang w:val="en-GB"/>
        </w:rPr>
      </w:pPr>
    </w:p>
    <w:p w14:paraId="67314576"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6842BDD2" w14:textId="77777777" w:rsidR="00587444" w:rsidRPr="00587444" w:rsidRDefault="00587444" w:rsidP="00587444">
      <w:pPr>
        <w:suppressAutoHyphens w:val="0"/>
        <w:autoSpaceDN/>
        <w:jc w:val="both"/>
        <w:rPr>
          <w:rFonts w:ascii="Arial" w:hAnsi="Arial" w:cs="Arial"/>
          <w:b/>
          <w:sz w:val="20"/>
          <w:szCs w:val="20"/>
          <w:lang w:val="en-GB"/>
        </w:rPr>
      </w:pPr>
    </w:p>
    <w:p w14:paraId="63790817"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31.4. </w:t>
      </w:r>
      <w:r w:rsidRPr="00587444">
        <w:rPr>
          <w:rFonts w:ascii="Arial" w:hAnsi="Arial" w:cs="Arial"/>
          <w:b/>
          <w:sz w:val="20"/>
          <w:szCs w:val="20"/>
          <w:lang w:val="en-GB"/>
        </w:rPr>
        <w:tab/>
        <w:t>Liquidity risk (continued)</w:t>
      </w:r>
    </w:p>
    <w:p w14:paraId="35383C4A" w14:textId="77777777" w:rsidR="00587444" w:rsidRPr="00587444" w:rsidRDefault="00587444" w:rsidP="00587444">
      <w:pPr>
        <w:keepNext/>
        <w:suppressAutoHyphens w:val="0"/>
        <w:autoSpaceDN/>
        <w:jc w:val="both"/>
        <w:rPr>
          <w:rFonts w:ascii="Arial" w:hAnsi="Arial" w:cs="Arial"/>
          <w:bCs/>
          <w:sz w:val="20"/>
          <w:szCs w:val="20"/>
          <w:lang w:val="en-GB"/>
        </w:rPr>
      </w:pPr>
    </w:p>
    <w:p w14:paraId="496DA5DE" w14:textId="77777777"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The table below indicates the remaining contractual maturity of financial liabilities, whereas the guarantees and commitments of the Group are classified in the category “up to 1 month”, owing to the possibility of a premature call to meet a liability (undiscounted amounts):</w:t>
      </w:r>
    </w:p>
    <w:p w14:paraId="0E811E54" w14:textId="77777777" w:rsidR="00587444" w:rsidRPr="00587444" w:rsidRDefault="00587444" w:rsidP="00587444">
      <w:pPr>
        <w:keepNext/>
        <w:suppressAutoHyphens w:val="0"/>
        <w:autoSpaceDN/>
        <w:jc w:val="both"/>
        <w:rPr>
          <w:rFonts w:ascii="Arial" w:hAnsi="Arial" w:cs="Arial"/>
          <w:b/>
          <w:bCs/>
          <w:sz w:val="20"/>
          <w:szCs w:val="20"/>
          <w:lang w:val="en-GB"/>
        </w:rPr>
      </w:pPr>
    </w:p>
    <w:tbl>
      <w:tblPr>
        <w:tblW w:w="5230" w:type="pct"/>
        <w:jc w:val="center"/>
        <w:tblLayout w:type="fixed"/>
        <w:tblCellMar>
          <w:left w:w="120" w:type="dxa"/>
          <w:right w:w="120" w:type="dxa"/>
        </w:tblCellMar>
        <w:tblLook w:val="0000" w:firstRow="0" w:lastRow="0" w:firstColumn="0" w:lastColumn="0" w:noHBand="0" w:noVBand="0"/>
      </w:tblPr>
      <w:tblGrid>
        <w:gridCol w:w="3058"/>
        <w:gridCol w:w="1163"/>
        <w:gridCol w:w="1163"/>
        <w:gridCol w:w="1163"/>
        <w:gridCol w:w="1163"/>
        <w:gridCol w:w="1163"/>
        <w:gridCol w:w="1163"/>
      </w:tblGrid>
      <w:tr w:rsidR="00587444" w:rsidRPr="00587444" w14:paraId="0198EC3E" w14:textId="77777777" w:rsidTr="00DD69E7">
        <w:trPr>
          <w:trHeight w:hRule="exact" w:val="428"/>
          <w:jc w:val="center"/>
        </w:trPr>
        <w:tc>
          <w:tcPr>
            <w:tcW w:w="2981" w:type="dxa"/>
          </w:tcPr>
          <w:p w14:paraId="0A75267B" w14:textId="77777777" w:rsidR="00587444" w:rsidRPr="00587444" w:rsidRDefault="00587444" w:rsidP="00587444">
            <w:pPr>
              <w:tabs>
                <w:tab w:val="right" w:pos="1202"/>
              </w:tabs>
              <w:suppressAutoHyphens w:val="0"/>
              <w:autoSpaceDN/>
              <w:outlineLvl w:val="0"/>
              <w:rPr>
                <w:rFonts w:ascii="Arial" w:hAnsi="Arial" w:cs="Arial"/>
                <w:b/>
                <w:sz w:val="17"/>
                <w:szCs w:val="17"/>
                <w:lang w:val="en-GB"/>
              </w:rPr>
            </w:pPr>
            <w:bookmarkStart w:id="1255" w:name="_Toc4062599"/>
            <w:r w:rsidRPr="00587444">
              <w:rPr>
                <w:rFonts w:ascii="Arial" w:hAnsi="Arial" w:cs="Arial"/>
                <w:b/>
                <w:sz w:val="17"/>
                <w:szCs w:val="17"/>
                <w:lang w:val="en-GB"/>
              </w:rPr>
              <w:t>Bank</w:t>
            </w:r>
            <w:bookmarkEnd w:id="1255"/>
          </w:p>
          <w:p w14:paraId="4B51E55F" w14:textId="77777777" w:rsidR="00587444" w:rsidRPr="00587444" w:rsidRDefault="00587444" w:rsidP="00587444">
            <w:pPr>
              <w:tabs>
                <w:tab w:val="right" w:pos="1202"/>
              </w:tabs>
              <w:suppressAutoHyphens w:val="0"/>
              <w:autoSpaceDN/>
              <w:outlineLvl w:val="0"/>
              <w:rPr>
                <w:rFonts w:ascii="Arial" w:hAnsi="Arial" w:cs="Arial"/>
                <w:b/>
                <w:sz w:val="17"/>
                <w:szCs w:val="17"/>
                <w:lang w:val="en-GB"/>
              </w:rPr>
            </w:pPr>
            <w:bookmarkStart w:id="1256" w:name="_Toc4062600"/>
            <w:r w:rsidRPr="00587444">
              <w:rPr>
                <w:rFonts w:ascii="Arial" w:hAnsi="Arial" w:cs="Arial"/>
                <w:b/>
                <w:sz w:val="17"/>
                <w:szCs w:val="17"/>
                <w:lang w:val="en-GB"/>
              </w:rPr>
              <w:t xml:space="preserve">31 December </w:t>
            </w:r>
            <w:bookmarkEnd w:id="1256"/>
            <w:r w:rsidRPr="00587444">
              <w:rPr>
                <w:rFonts w:ascii="Arial" w:hAnsi="Arial" w:cs="Arial"/>
                <w:b/>
                <w:sz w:val="17"/>
                <w:szCs w:val="17"/>
                <w:lang w:val="en-GB"/>
              </w:rPr>
              <w:t>2022</w:t>
            </w:r>
          </w:p>
        </w:tc>
        <w:tc>
          <w:tcPr>
            <w:tcW w:w="1134" w:type="dxa"/>
          </w:tcPr>
          <w:p w14:paraId="1FD93931"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57" w:name="_Toc4062601"/>
            <w:r w:rsidRPr="00587444">
              <w:rPr>
                <w:rFonts w:ascii="Arial" w:hAnsi="Arial" w:cs="Arial"/>
                <w:b/>
                <w:sz w:val="17"/>
                <w:szCs w:val="17"/>
                <w:lang w:val="en-GB"/>
              </w:rPr>
              <w:t>Up to 1 month</w:t>
            </w:r>
            <w:bookmarkEnd w:id="1257"/>
          </w:p>
        </w:tc>
        <w:tc>
          <w:tcPr>
            <w:tcW w:w="1134" w:type="dxa"/>
          </w:tcPr>
          <w:p w14:paraId="6B73D1CF"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58" w:name="_Toc4062602"/>
            <w:r w:rsidRPr="00587444">
              <w:rPr>
                <w:rFonts w:ascii="Arial" w:hAnsi="Arial" w:cs="Arial"/>
                <w:b/>
                <w:sz w:val="17"/>
                <w:szCs w:val="17"/>
                <w:lang w:val="en-GB"/>
              </w:rPr>
              <w:t>1 - 3 months</w:t>
            </w:r>
            <w:bookmarkEnd w:id="1258"/>
          </w:p>
        </w:tc>
        <w:tc>
          <w:tcPr>
            <w:tcW w:w="1134" w:type="dxa"/>
          </w:tcPr>
          <w:p w14:paraId="5544D734"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59" w:name="_Toc4062603"/>
            <w:r w:rsidRPr="00587444">
              <w:rPr>
                <w:rFonts w:ascii="Arial" w:hAnsi="Arial" w:cs="Arial"/>
                <w:b/>
                <w:sz w:val="17"/>
                <w:szCs w:val="17"/>
                <w:lang w:val="en-GB"/>
              </w:rPr>
              <w:t>3 - 12</w:t>
            </w:r>
            <w:bookmarkEnd w:id="1259"/>
            <w:r w:rsidRPr="00587444">
              <w:rPr>
                <w:rFonts w:ascii="Arial" w:hAnsi="Arial" w:cs="Arial"/>
                <w:b/>
                <w:sz w:val="17"/>
                <w:szCs w:val="17"/>
                <w:lang w:val="en-GB"/>
              </w:rPr>
              <w:t xml:space="preserve"> </w:t>
            </w:r>
          </w:p>
          <w:p w14:paraId="4D00BA09"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60" w:name="_Toc4062604"/>
            <w:r w:rsidRPr="00587444">
              <w:rPr>
                <w:rFonts w:ascii="Arial" w:hAnsi="Arial" w:cs="Arial"/>
                <w:b/>
                <w:sz w:val="17"/>
                <w:szCs w:val="17"/>
                <w:lang w:val="en-GB"/>
              </w:rPr>
              <w:t>months</w:t>
            </w:r>
            <w:bookmarkEnd w:id="1260"/>
          </w:p>
        </w:tc>
        <w:tc>
          <w:tcPr>
            <w:tcW w:w="1134" w:type="dxa"/>
          </w:tcPr>
          <w:p w14:paraId="2FEDC46F"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61" w:name="_Toc4062605"/>
            <w:r w:rsidRPr="00587444">
              <w:rPr>
                <w:rFonts w:ascii="Arial" w:hAnsi="Arial" w:cs="Arial"/>
                <w:b/>
                <w:sz w:val="17"/>
                <w:szCs w:val="17"/>
                <w:lang w:val="en-GB"/>
              </w:rPr>
              <w:t>1 - 3</w:t>
            </w:r>
            <w:bookmarkEnd w:id="1261"/>
            <w:r w:rsidRPr="00587444">
              <w:rPr>
                <w:rFonts w:ascii="Arial" w:hAnsi="Arial" w:cs="Arial"/>
                <w:b/>
                <w:sz w:val="17"/>
                <w:szCs w:val="17"/>
                <w:lang w:val="en-GB"/>
              </w:rPr>
              <w:t xml:space="preserve"> </w:t>
            </w:r>
          </w:p>
          <w:p w14:paraId="4F95B602"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62" w:name="_Toc4062606"/>
            <w:r w:rsidRPr="00587444">
              <w:rPr>
                <w:rFonts w:ascii="Arial" w:hAnsi="Arial" w:cs="Arial"/>
                <w:b/>
                <w:sz w:val="17"/>
                <w:szCs w:val="17"/>
                <w:lang w:val="en-GB"/>
              </w:rPr>
              <w:t>years</w:t>
            </w:r>
            <w:bookmarkEnd w:id="1262"/>
          </w:p>
        </w:tc>
        <w:tc>
          <w:tcPr>
            <w:tcW w:w="1134" w:type="dxa"/>
          </w:tcPr>
          <w:p w14:paraId="3D7442D8" w14:textId="77777777" w:rsidR="00587444" w:rsidRPr="00587444" w:rsidRDefault="00587444" w:rsidP="00587444">
            <w:pPr>
              <w:tabs>
                <w:tab w:val="right" w:pos="1263"/>
              </w:tabs>
              <w:suppressAutoHyphens w:val="0"/>
              <w:autoSpaceDN/>
              <w:jc w:val="right"/>
              <w:outlineLvl w:val="0"/>
              <w:rPr>
                <w:rFonts w:ascii="Arial" w:hAnsi="Arial" w:cs="Arial"/>
                <w:b/>
                <w:sz w:val="17"/>
                <w:szCs w:val="17"/>
                <w:lang w:val="en-GB"/>
              </w:rPr>
            </w:pPr>
            <w:bookmarkStart w:id="1263" w:name="_Toc4062607"/>
            <w:r w:rsidRPr="00587444">
              <w:rPr>
                <w:rFonts w:ascii="Arial" w:hAnsi="Arial" w:cs="Arial"/>
                <w:b/>
                <w:sz w:val="17"/>
                <w:szCs w:val="17"/>
                <w:lang w:val="en-GB"/>
              </w:rPr>
              <w:t>Over 3 years</w:t>
            </w:r>
            <w:bookmarkEnd w:id="1263"/>
          </w:p>
        </w:tc>
        <w:tc>
          <w:tcPr>
            <w:tcW w:w="1134" w:type="dxa"/>
          </w:tcPr>
          <w:p w14:paraId="30352353"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64" w:name="_Toc4062608"/>
            <w:r w:rsidRPr="00587444">
              <w:rPr>
                <w:rFonts w:ascii="Arial" w:hAnsi="Arial" w:cs="Arial"/>
                <w:b/>
                <w:sz w:val="17"/>
                <w:szCs w:val="17"/>
                <w:lang w:val="en-GB"/>
              </w:rPr>
              <w:t>Total</w:t>
            </w:r>
            <w:bookmarkEnd w:id="1264"/>
          </w:p>
        </w:tc>
      </w:tr>
      <w:tr w:rsidR="00587444" w:rsidRPr="00587444" w14:paraId="0B04EABA" w14:textId="77777777" w:rsidTr="00DD69E7">
        <w:trPr>
          <w:trHeight w:hRule="exact" w:val="264"/>
          <w:jc w:val="center"/>
        </w:trPr>
        <w:tc>
          <w:tcPr>
            <w:tcW w:w="2981" w:type="dxa"/>
          </w:tcPr>
          <w:p w14:paraId="62ABA5C4" w14:textId="77777777" w:rsidR="00587444" w:rsidRPr="00587444" w:rsidRDefault="00587444" w:rsidP="00587444">
            <w:pPr>
              <w:tabs>
                <w:tab w:val="left" w:pos="-720"/>
              </w:tabs>
              <w:autoSpaceDN/>
              <w:jc w:val="center"/>
              <w:rPr>
                <w:rFonts w:ascii="Arial" w:hAnsi="Arial" w:cs="Arial"/>
                <w:b/>
                <w:spacing w:val="-2"/>
                <w:sz w:val="17"/>
                <w:szCs w:val="17"/>
                <w:lang w:val="en-GB"/>
              </w:rPr>
            </w:pPr>
          </w:p>
        </w:tc>
        <w:tc>
          <w:tcPr>
            <w:tcW w:w="1134" w:type="dxa"/>
            <w:vAlign w:val="bottom"/>
          </w:tcPr>
          <w:p w14:paraId="6E034697"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65" w:name="_Toc4062609"/>
            <w:r w:rsidRPr="00587444">
              <w:rPr>
                <w:rFonts w:ascii="Arial" w:hAnsi="Arial" w:cs="Arial"/>
                <w:b/>
                <w:bCs/>
                <w:sz w:val="17"/>
                <w:szCs w:val="17"/>
                <w:lang w:val="en-GB"/>
              </w:rPr>
              <w:t>HRK ‘000</w:t>
            </w:r>
            <w:bookmarkEnd w:id="1265"/>
          </w:p>
        </w:tc>
        <w:tc>
          <w:tcPr>
            <w:tcW w:w="1134" w:type="dxa"/>
            <w:vAlign w:val="bottom"/>
          </w:tcPr>
          <w:p w14:paraId="0EB7F3DD" w14:textId="77777777" w:rsidR="00587444" w:rsidRPr="00587444" w:rsidRDefault="00587444" w:rsidP="00587444">
            <w:pPr>
              <w:tabs>
                <w:tab w:val="center" w:pos="4153"/>
                <w:tab w:val="right" w:pos="8306"/>
              </w:tabs>
              <w:suppressAutoHyphens w:val="0"/>
              <w:autoSpaceDN/>
              <w:jc w:val="right"/>
              <w:rPr>
                <w:rFonts w:ascii="Arial" w:hAnsi="Arial" w:cs="Arial"/>
                <w:b/>
                <w:spacing w:val="-2"/>
                <w:sz w:val="17"/>
                <w:szCs w:val="17"/>
                <w:lang w:val="en-GB"/>
              </w:rPr>
            </w:pPr>
            <w:r w:rsidRPr="00587444">
              <w:rPr>
                <w:rFonts w:ascii="Arial" w:hAnsi="Arial" w:cs="Arial"/>
                <w:b/>
                <w:spacing w:val="-2"/>
                <w:sz w:val="17"/>
                <w:szCs w:val="17"/>
                <w:lang w:val="en-GB"/>
              </w:rPr>
              <w:t>HRK ‘000</w:t>
            </w:r>
          </w:p>
        </w:tc>
        <w:tc>
          <w:tcPr>
            <w:tcW w:w="1134" w:type="dxa"/>
            <w:vAlign w:val="bottom"/>
          </w:tcPr>
          <w:p w14:paraId="42131311"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66" w:name="_Toc4062610"/>
            <w:r w:rsidRPr="00587444">
              <w:rPr>
                <w:rFonts w:ascii="Arial" w:hAnsi="Arial" w:cs="Arial"/>
                <w:b/>
                <w:bCs/>
                <w:sz w:val="17"/>
                <w:szCs w:val="17"/>
                <w:lang w:val="en-GB"/>
              </w:rPr>
              <w:t>HRK ‘000</w:t>
            </w:r>
            <w:bookmarkEnd w:id="1266"/>
          </w:p>
        </w:tc>
        <w:tc>
          <w:tcPr>
            <w:tcW w:w="1134" w:type="dxa"/>
            <w:vAlign w:val="bottom"/>
          </w:tcPr>
          <w:p w14:paraId="70CF4C56"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67" w:name="_Toc4062611"/>
            <w:r w:rsidRPr="00587444">
              <w:rPr>
                <w:rFonts w:ascii="Arial" w:hAnsi="Arial" w:cs="Arial"/>
                <w:b/>
                <w:bCs/>
                <w:sz w:val="17"/>
                <w:szCs w:val="17"/>
                <w:lang w:val="en-GB"/>
              </w:rPr>
              <w:t>HRK ‘000</w:t>
            </w:r>
            <w:bookmarkEnd w:id="1267"/>
          </w:p>
        </w:tc>
        <w:tc>
          <w:tcPr>
            <w:tcW w:w="1134" w:type="dxa"/>
            <w:vAlign w:val="bottom"/>
          </w:tcPr>
          <w:p w14:paraId="5BB0854A" w14:textId="77777777" w:rsidR="00587444" w:rsidRPr="00587444" w:rsidRDefault="00587444" w:rsidP="00587444">
            <w:pPr>
              <w:tabs>
                <w:tab w:val="right" w:pos="1263"/>
              </w:tabs>
              <w:suppressAutoHyphens w:val="0"/>
              <w:autoSpaceDN/>
              <w:jc w:val="right"/>
              <w:outlineLvl w:val="0"/>
              <w:rPr>
                <w:rFonts w:ascii="Arial" w:hAnsi="Arial" w:cs="Arial"/>
                <w:b/>
                <w:sz w:val="17"/>
                <w:szCs w:val="17"/>
                <w:lang w:val="en-GB"/>
              </w:rPr>
            </w:pPr>
            <w:bookmarkStart w:id="1268" w:name="_Toc4062612"/>
            <w:r w:rsidRPr="00587444">
              <w:rPr>
                <w:rFonts w:ascii="Arial" w:hAnsi="Arial" w:cs="Arial"/>
                <w:b/>
                <w:bCs/>
                <w:sz w:val="17"/>
                <w:szCs w:val="17"/>
                <w:lang w:val="en-GB"/>
              </w:rPr>
              <w:t>HRK ‘000</w:t>
            </w:r>
            <w:bookmarkEnd w:id="1268"/>
          </w:p>
        </w:tc>
        <w:tc>
          <w:tcPr>
            <w:tcW w:w="1134" w:type="dxa"/>
            <w:vAlign w:val="bottom"/>
          </w:tcPr>
          <w:p w14:paraId="1DF64013"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1269" w:name="_Toc4062613"/>
            <w:r w:rsidRPr="00587444">
              <w:rPr>
                <w:rFonts w:ascii="Arial" w:hAnsi="Arial" w:cs="Arial"/>
                <w:b/>
                <w:bCs/>
                <w:sz w:val="17"/>
                <w:szCs w:val="17"/>
                <w:lang w:val="en-GB"/>
              </w:rPr>
              <w:t>HRK ‘000</w:t>
            </w:r>
            <w:bookmarkEnd w:id="1269"/>
          </w:p>
        </w:tc>
      </w:tr>
      <w:tr w:rsidR="00587444" w:rsidRPr="00587444" w14:paraId="4031B18D" w14:textId="77777777" w:rsidTr="00DD69E7">
        <w:trPr>
          <w:trHeight w:hRule="exact" w:val="264"/>
          <w:jc w:val="center"/>
        </w:trPr>
        <w:tc>
          <w:tcPr>
            <w:tcW w:w="2981" w:type="dxa"/>
            <w:vAlign w:val="bottom"/>
          </w:tcPr>
          <w:p w14:paraId="56ADA288" w14:textId="77777777" w:rsidR="00587444" w:rsidRPr="00587444" w:rsidRDefault="00587444" w:rsidP="00587444">
            <w:pPr>
              <w:tabs>
                <w:tab w:val="right" w:pos="1202"/>
              </w:tabs>
              <w:suppressAutoHyphens w:val="0"/>
              <w:autoSpaceDN/>
              <w:outlineLvl w:val="0"/>
              <w:rPr>
                <w:rFonts w:ascii="Arial" w:hAnsi="Arial" w:cs="Arial"/>
                <w:b/>
                <w:bCs/>
                <w:sz w:val="17"/>
                <w:szCs w:val="17"/>
                <w:lang w:val="en-GB"/>
              </w:rPr>
            </w:pPr>
            <w:bookmarkStart w:id="1270" w:name="_Toc4062614"/>
            <w:r w:rsidRPr="00587444">
              <w:rPr>
                <w:rFonts w:ascii="Arial" w:hAnsi="Arial" w:cs="Arial"/>
                <w:b/>
                <w:bCs/>
                <w:sz w:val="17"/>
                <w:szCs w:val="17"/>
                <w:lang w:val="en-GB"/>
              </w:rPr>
              <w:t>Financial liabilities</w:t>
            </w:r>
            <w:bookmarkEnd w:id="1270"/>
          </w:p>
        </w:tc>
        <w:tc>
          <w:tcPr>
            <w:tcW w:w="1134" w:type="dxa"/>
            <w:vAlign w:val="bottom"/>
          </w:tcPr>
          <w:p w14:paraId="5E4127C0" w14:textId="77777777" w:rsidR="00587444" w:rsidRPr="00587444" w:rsidRDefault="00587444" w:rsidP="00587444">
            <w:pPr>
              <w:suppressAutoHyphens w:val="0"/>
              <w:autoSpaceDN/>
              <w:jc w:val="right"/>
              <w:outlineLvl w:val="0"/>
              <w:rPr>
                <w:rFonts w:ascii="Arial" w:hAnsi="Arial" w:cs="Arial"/>
                <w:b/>
                <w:bCs/>
                <w:spacing w:val="-2"/>
                <w:sz w:val="17"/>
                <w:szCs w:val="17"/>
                <w:lang w:val="en-GB"/>
              </w:rPr>
            </w:pPr>
          </w:p>
        </w:tc>
        <w:tc>
          <w:tcPr>
            <w:tcW w:w="1134" w:type="dxa"/>
            <w:vAlign w:val="bottom"/>
          </w:tcPr>
          <w:p w14:paraId="049EE39E" w14:textId="77777777" w:rsidR="00587444" w:rsidRPr="00587444" w:rsidRDefault="00587444" w:rsidP="00587444">
            <w:pPr>
              <w:suppressAutoHyphens w:val="0"/>
              <w:autoSpaceDN/>
              <w:jc w:val="right"/>
              <w:outlineLvl w:val="0"/>
              <w:rPr>
                <w:rFonts w:ascii="Arial" w:hAnsi="Arial" w:cs="Arial"/>
                <w:b/>
                <w:bCs/>
                <w:spacing w:val="-2"/>
                <w:sz w:val="17"/>
                <w:szCs w:val="17"/>
                <w:lang w:val="en-GB"/>
              </w:rPr>
            </w:pPr>
          </w:p>
        </w:tc>
        <w:tc>
          <w:tcPr>
            <w:tcW w:w="1134" w:type="dxa"/>
            <w:vAlign w:val="bottom"/>
          </w:tcPr>
          <w:p w14:paraId="5E8EE955" w14:textId="77777777" w:rsidR="00587444" w:rsidRPr="00587444" w:rsidRDefault="00587444" w:rsidP="00587444">
            <w:pPr>
              <w:suppressAutoHyphens w:val="0"/>
              <w:autoSpaceDN/>
              <w:jc w:val="right"/>
              <w:outlineLvl w:val="0"/>
              <w:rPr>
                <w:rFonts w:ascii="Arial" w:hAnsi="Arial" w:cs="Arial"/>
                <w:b/>
                <w:bCs/>
                <w:spacing w:val="-2"/>
                <w:sz w:val="17"/>
                <w:szCs w:val="17"/>
                <w:lang w:val="en-GB"/>
              </w:rPr>
            </w:pPr>
          </w:p>
        </w:tc>
        <w:tc>
          <w:tcPr>
            <w:tcW w:w="1134" w:type="dxa"/>
            <w:vAlign w:val="bottom"/>
          </w:tcPr>
          <w:p w14:paraId="2B9A3FEA" w14:textId="77777777" w:rsidR="00587444" w:rsidRPr="00587444" w:rsidRDefault="00587444" w:rsidP="00587444">
            <w:pPr>
              <w:suppressAutoHyphens w:val="0"/>
              <w:autoSpaceDN/>
              <w:jc w:val="right"/>
              <w:outlineLvl w:val="0"/>
              <w:rPr>
                <w:rFonts w:ascii="Arial" w:hAnsi="Arial" w:cs="Arial"/>
                <w:b/>
                <w:bCs/>
                <w:spacing w:val="-2"/>
                <w:sz w:val="17"/>
                <w:szCs w:val="17"/>
                <w:lang w:val="en-GB"/>
              </w:rPr>
            </w:pPr>
          </w:p>
        </w:tc>
        <w:tc>
          <w:tcPr>
            <w:tcW w:w="1134" w:type="dxa"/>
            <w:vAlign w:val="bottom"/>
          </w:tcPr>
          <w:p w14:paraId="5792CC46" w14:textId="77777777" w:rsidR="00587444" w:rsidRPr="00587444" w:rsidRDefault="00587444" w:rsidP="00587444">
            <w:pPr>
              <w:tabs>
                <w:tab w:val="right" w:pos="1263"/>
              </w:tabs>
              <w:suppressAutoHyphens w:val="0"/>
              <w:autoSpaceDN/>
              <w:jc w:val="right"/>
              <w:outlineLvl w:val="0"/>
              <w:rPr>
                <w:rFonts w:ascii="Arial" w:hAnsi="Arial" w:cs="Arial"/>
                <w:b/>
                <w:bCs/>
                <w:spacing w:val="-2"/>
                <w:sz w:val="17"/>
                <w:szCs w:val="17"/>
                <w:lang w:val="en-GB"/>
              </w:rPr>
            </w:pPr>
          </w:p>
        </w:tc>
        <w:tc>
          <w:tcPr>
            <w:tcW w:w="1134" w:type="dxa"/>
            <w:vAlign w:val="bottom"/>
          </w:tcPr>
          <w:p w14:paraId="35B37238" w14:textId="77777777" w:rsidR="00587444" w:rsidRPr="00587444" w:rsidRDefault="00587444" w:rsidP="00587444">
            <w:pPr>
              <w:suppressAutoHyphens w:val="0"/>
              <w:autoSpaceDN/>
              <w:jc w:val="right"/>
              <w:outlineLvl w:val="0"/>
              <w:rPr>
                <w:rFonts w:ascii="Arial" w:hAnsi="Arial" w:cs="Arial"/>
                <w:b/>
                <w:bCs/>
                <w:sz w:val="17"/>
                <w:szCs w:val="17"/>
                <w:lang w:val="en-GB"/>
              </w:rPr>
            </w:pPr>
          </w:p>
        </w:tc>
      </w:tr>
      <w:tr w:rsidR="00587444" w:rsidRPr="00587444" w14:paraId="41E066B6" w14:textId="77777777" w:rsidTr="00DD69E7">
        <w:trPr>
          <w:trHeight w:hRule="exact" w:val="227"/>
          <w:jc w:val="center"/>
        </w:trPr>
        <w:tc>
          <w:tcPr>
            <w:tcW w:w="2981" w:type="dxa"/>
            <w:vAlign w:val="bottom"/>
          </w:tcPr>
          <w:p w14:paraId="4D753494" w14:textId="77777777" w:rsidR="00587444" w:rsidRPr="00587444" w:rsidRDefault="00587444" w:rsidP="00587444">
            <w:pPr>
              <w:tabs>
                <w:tab w:val="right" w:pos="1202"/>
                <w:tab w:val="center" w:pos="4153"/>
                <w:tab w:val="right" w:pos="8306"/>
              </w:tabs>
              <w:suppressAutoHyphens w:val="0"/>
              <w:autoSpaceDN/>
              <w:outlineLvl w:val="0"/>
              <w:rPr>
                <w:rFonts w:ascii="Arial" w:hAnsi="Arial" w:cs="Arial"/>
                <w:sz w:val="17"/>
                <w:szCs w:val="17"/>
                <w:lang w:val="en-GB"/>
              </w:rPr>
            </w:pPr>
            <w:bookmarkStart w:id="1271" w:name="_Toc4062615"/>
            <w:r w:rsidRPr="00587444">
              <w:rPr>
                <w:rFonts w:ascii="Arial" w:hAnsi="Arial" w:cs="Arial"/>
                <w:sz w:val="17"/>
                <w:szCs w:val="17"/>
                <w:lang w:val="en-GB"/>
              </w:rPr>
              <w:t>Deposits from customers</w:t>
            </w:r>
            <w:bookmarkEnd w:id="1271"/>
          </w:p>
        </w:tc>
        <w:tc>
          <w:tcPr>
            <w:tcW w:w="1134" w:type="dxa"/>
            <w:tcBorders>
              <w:top w:val="nil"/>
              <w:left w:val="nil"/>
              <w:bottom w:val="nil"/>
              <w:right w:val="nil"/>
            </w:tcBorders>
            <w:shd w:val="clear" w:color="auto" w:fill="auto"/>
            <w:vAlign w:val="bottom"/>
          </w:tcPr>
          <w:p w14:paraId="246F011C"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738,963</w:t>
            </w:r>
          </w:p>
        </w:tc>
        <w:tc>
          <w:tcPr>
            <w:tcW w:w="1134" w:type="dxa"/>
            <w:tcBorders>
              <w:top w:val="nil"/>
              <w:left w:val="nil"/>
              <w:bottom w:val="nil"/>
              <w:right w:val="nil"/>
            </w:tcBorders>
            <w:shd w:val="clear" w:color="auto" w:fill="auto"/>
            <w:vAlign w:val="bottom"/>
          </w:tcPr>
          <w:p w14:paraId="518A65DD"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29,337</w:t>
            </w:r>
          </w:p>
        </w:tc>
        <w:tc>
          <w:tcPr>
            <w:tcW w:w="1134" w:type="dxa"/>
            <w:tcBorders>
              <w:top w:val="nil"/>
              <w:left w:val="nil"/>
              <w:bottom w:val="nil"/>
              <w:right w:val="nil"/>
            </w:tcBorders>
            <w:shd w:val="clear" w:color="auto" w:fill="auto"/>
            <w:vAlign w:val="bottom"/>
          </w:tcPr>
          <w:p w14:paraId="4572AF32"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110,155</w:t>
            </w:r>
          </w:p>
        </w:tc>
        <w:tc>
          <w:tcPr>
            <w:tcW w:w="1134" w:type="dxa"/>
            <w:tcBorders>
              <w:top w:val="nil"/>
              <w:left w:val="nil"/>
              <w:bottom w:val="nil"/>
              <w:right w:val="nil"/>
            </w:tcBorders>
            <w:shd w:val="clear" w:color="auto" w:fill="auto"/>
            <w:vAlign w:val="bottom"/>
          </w:tcPr>
          <w:p w14:paraId="5BB7D7D2"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75,433</w:t>
            </w:r>
          </w:p>
        </w:tc>
        <w:tc>
          <w:tcPr>
            <w:tcW w:w="1134" w:type="dxa"/>
            <w:tcBorders>
              <w:top w:val="nil"/>
              <w:left w:val="nil"/>
              <w:bottom w:val="nil"/>
              <w:right w:val="nil"/>
            </w:tcBorders>
            <w:shd w:val="clear" w:color="auto" w:fill="auto"/>
            <w:vAlign w:val="bottom"/>
          </w:tcPr>
          <w:p w14:paraId="36DF7825"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70,735</w:t>
            </w:r>
          </w:p>
        </w:tc>
        <w:tc>
          <w:tcPr>
            <w:tcW w:w="1134" w:type="dxa"/>
            <w:tcBorders>
              <w:top w:val="nil"/>
              <w:left w:val="nil"/>
              <w:bottom w:val="nil"/>
              <w:right w:val="nil"/>
            </w:tcBorders>
            <w:shd w:val="clear" w:color="auto" w:fill="auto"/>
            <w:vAlign w:val="bottom"/>
          </w:tcPr>
          <w:p w14:paraId="3610E9A6"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1,024,623</w:t>
            </w:r>
          </w:p>
        </w:tc>
      </w:tr>
      <w:tr w:rsidR="00587444" w:rsidRPr="00587444" w14:paraId="5E9253A4" w14:textId="77777777" w:rsidTr="00DD69E7">
        <w:trPr>
          <w:trHeight w:hRule="exact" w:val="227"/>
          <w:jc w:val="center"/>
        </w:trPr>
        <w:tc>
          <w:tcPr>
            <w:tcW w:w="2981" w:type="dxa"/>
            <w:vAlign w:val="bottom"/>
          </w:tcPr>
          <w:p w14:paraId="58D1330D" w14:textId="77777777" w:rsidR="00587444" w:rsidRPr="00587444" w:rsidRDefault="00587444" w:rsidP="00587444">
            <w:pPr>
              <w:tabs>
                <w:tab w:val="right" w:pos="1202"/>
                <w:tab w:val="center" w:pos="4153"/>
                <w:tab w:val="right" w:pos="8306"/>
              </w:tabs>
              <w:suppressAutoHyphens w:val="0"/>
              <w:autoSpaceDN/>
              <w:outlineLvl w:val="0"/>
              <w:rPr>
                <w:rFonts w:ascii="Arial" w:hAnsi="Arial" w:cs="Arial"/>
                <w:sz w:val="17"/>
                <w:szCs w:val="17"/>
                <w:lang w:val="en-GB"/>
              </w:rPr>
            </w:pPr>
            <w:bookmarkStart w:id="1272" w:name="_Toc4062616"/>
            <w:r w:rsidRPr="00587444">
              <w:rPr>
                <w:rFonts w:ascii="Arial" w:hAnsi="Arial" w:cs="Arial"/>
                <w:sz w:val="17"/>
                <w:szCs w:val="17"/>
                <w:lang w:val="en-GB"/>
              </w:rPr>
              <w:t>Borrowings</w:t>
            </w:r>
            <w:bookmarkEnd w:id="1272"/>
          </w:p>
        </w:tc>
        <w:tc>
          <w:tcPr>
            <w:tcW w:w="1134" w:type="dxa"/>
            <w:tcBorders>
              <w:top w:val="nil"/>
              <w:left w:val="nil"/>
              <w:bottom w:val="nil"/>
              <w:right w:val="nil"/>
            </w:tcBorders>
            <w:shd w:val="clear" w:color="auto" w:fill="auto"/>
            <w:vAlign w:val="bottom"/>
          </w:tcPr>
          <w:p w14:paraId="6CA058E1"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566,496</w:t>
            </w:r>
          </w:p>
        </w:tc>
        <w:tc>
          <w:tcPr>
            <w:tcW w:w="1134" w:type="dxa"/>
            <w:tcBorders>
              <w:top w:val="nil"/>
              <w:left w:val="nil"/>
              <w:bottom w:val="nil"/>
              <w:right w:val="nil"/>
            </w:tcBorders>
            <w:shd w:val="clear" w:color="auto" w:fill="auto"/>
            <w:vAlign w:val="bottom"/>
          </w:tcPr>
          <w:p w14:paraId="5E7EA3CD"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298,689</w:t>
            </w:r>
          </w:p>
        </w:tc>
        <w:tc>
          <w:tcPr>
            <w:tcW w:w="1134" w:type="dxa"/>
            <w:tcBorders>
              <w:top w:val="nil"/>
              <w:left w:val="nil"/>
              <w:bottom w:val="nil"/>
              <w:right w:val="nil"/>
            </w:tcBorders>
            <w:shd w:val="clear" w:color="auto" w:fill="auto"/>
            <w:vAlign w:val="bottom"/>
          </w:tcPr>
          <w:p w14:paraId="3B5ED740"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3,384,456</w:t>
            </w:r>
          </w:p>
        </w:tc>
        <w:tc>
          <w:tcPr>
            <w:tcW w:w="1134" w:type="dxa"/>
            <w:tcBorders>
              <w:top w:val="nil"/>
              <w:left w:val="nil"/>
              <w:bottom w:val="nil"/>
              <w:right w:val="nil"/>
            </w:tcBorders>
            <w:shd w:val="clear" w:color="auto" w:fill="auto"/>
            <w:vAlign w:val="bottom"/>
          </w:tcPr>
          <w:p w14:paraId="40747BAE"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5,690,177</w:t>
            </w:r>
          </w:p>
        </w:tc>
        <w:tc>
          <w:tcPr>
            <w:tcW w:w="1134" w:type="dxa"/>
            <w:tcBorders>
              <w:top w:val="nil"/>
              <w:left w:val="nil"/>
              <w:bottom w:val="nil"/>
              <w:right w:val="nil"/>
            </w:tcBorders>
            <w:shd w:val="clear" w:color="auto" w:fill="auto"/>
            <w:vAlign w:val="bottom"/>
          </w:tcPr>
          <w:p w14:paraId="4FB99C59"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8,047,955</w:t>
            </w:r>
          </w:p>
        </w:tc>
        <w:tc>
          <w:tcPr>
            <w:tcW w:w="1134" w:type="dxa"/>
            <w:tcBorders>
              <w:top w:val="nil"/>
              <w:left w:val="nil"/>
              <w:bottom w:val="nil"/>
              <w:right w:val="nil"/>
            </w:tcBorders>
            <w:shd w:val="clear" w:color="auto" w:fill="auto"/>
            <w:vAlign w:val="bottom"/>
          </w:tcPr>
          <w:p w14:paraId="1EAFEFE1"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17,987,773</w:t>
            </w:r>
          </w:p>
        </w:tc>
      </w:tr>
      <w:tr w:rsidR="00587444" w:rsidRPr="00587444" w14:paraId="51B65765" w14:textId="77777777" w:rsidTr="00DD69E7">
        <w:trPr>
          <w:trHeight w:hRule="exact" w:val="442"/>
          <w:jc w:val="center"/>
        </w:trPr>
        <w:tc>
          <w:tcPr>
            <w:tcW w:w="2981" w:type="dxa"/>
            <w:vAlign w:val="bottom"/>
          </w:tcPr>
          <w:p w14:paraId="73E53E1E" w14:textId="77777777" w:rsidR="001D0F84" w:rsidRDefault="00587444" w:rsidP="00587444">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 xml:space="preserve">Provisions for guarantees, </w:t>
            </w:r>
          </w:p>
          <w:p w14:paraId="2E9FB0AB" w14:textId="7E0DD65A" w:rsidR="00587444" w:rsidRPr="00587444" w:rsidRDefault="00587444" w:rsidP="00587444">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commitments and other liabilities</w:t>
            </w:r>
          </w:p>
        </w:tc>
        <w:tc>
          <w:tcPr>
            <w:tcW w:w="1134" w:type="dxa"/>
            <w:tcBorders>
              <w:top w:val="nil"/>
              <w:left w:val="nil"/>
              <w:right w:val="nil"/>
            </w:tcBorders>
            <w:shd w:val="clear" w:color="auto" w:fill="auto"/>
            <w:vAlign w:val="bottom"/>
          </w:tcPr>
          <w:p w14:paraId="3F494DCA" w14:textId="77777777" w:rsidR="00587444" w:rsidRPr="00587444" w:rsidDel="00441EDF" w:rsidRDefault="00587444" w:rsidP="00587444">
            <w:pPr>
              <w:keepNext/>
              <w:keepLines/>
              <w:tabs>
                <w:tab w:val="decimal" w:pos="1202"/>
                <w:tab w:val="center" w:pos="4153"/>
                <w:tab w:val="right" w:pos="8306"/>
              </w:tabs>
              <w:suppressAutoHyphens w:val="0"/>
              <w:autoSpaceDN/>
              <w:jc w:val="right"/>
              <w:rPr>
                <w:rFonts w:ascii="Arial" w:hAnsi="Arial" w:cs="Arial"/>
                <w:sz w:val="17"/>
                <w:szCs w:val="17"/>
              </w:rPr>
            </w:pPr>
            <w:r w:rsidRPr="00587444">
              <w:rPr>
                <w:rFonts w:ascii="Arial" w:hAnsi="Arial" w:cs="Arial"/>
                <w:color w:val="000000"/>
                <w:sz w:val="17"/>
                <w:szCs w:val="17"/>
              </w:rPr>
              <w:t>104,063</w:t>
            </w:r>
          </w:p>
        </w:tc>
        <w:tc>
          <w:tcPr>
            <w:tcW w:w="1134" w:type="dxa"/>
            <w:tcBorders>
              <w:top w:val="nil"/>
              <w:left w:val="nil"/>
              <w:right w:val="nil"/>
            </w:tcBorders>
            <w:shd w:val="clear" w:color="auto" w:fill="auto"/>
            <w:vAlign w:val="bottom"/>
          </w:tcPr>
          <w:p w14:paraId="7A3A04AA" w14:textId="77777777" w:rsidR="00587444" w:rsidRPr="00587444" w:rsidDel="00441EDF" w:rsidRDefault="00587444" w:rsidP="00587444">
            <w:pPr>
              <w:keepNext/>
              <w:keepLines/>
              <w:tabs>
                <w:tab w:val="decimal" w:pos="1202"/>
                <w:tab w:val="center" w:pos="4153"/>
                <w:tab w:val="right" w:pos="8306"/>
              </w:tabs>
              <w:suppressAutoHyphens w:val="0"/>
              <w:autoSpaceDN/>
              <w:jc w:val="right"/>
              <w:rPr>
                <w:rFonts w:ascii="Arial" w:hAnsi="Arial" w:cs="Arial"/>
                <w:sz w:val="17"/>
                <w:szCs w:val="17"/>
              </w:rPr>
            </w:pPr>
            <w:r w:rsidRPr="00587444">
              <w:rPr>
                <w:rFonts w:ascii="Arial" w:hAnsi="Arial" w:cs="Arial"/>
                <w:color w:val="000000"/>
                <w:sz w:val="17"/>
                <w:szCs w:val="17"/>
              </w:rPr>
              <w:t>2,702</w:t>
            </w:r>
          </w:p>
        </w:tc>
        <w:tc>
          <w:tcPr>
            <w:tcW w:w="1134" w:type="dxa"/>
            <w:tcBorders>
              <w:top w:val="nil"/>
              <w:left w:val="nil"/>
              <w:right w:val="nil"/>
            </w:tcBorders>
            <w:shd w:val="clear" w:color="auto" w:fill="auto"/>
            <w:vAlign w:val="bottom"/>
          </w:tcPr>
          <w:p w14:paraId="1ED1D623" w14:textId="77777777" w:rsidR="00587444" w:rsidRPr="00587444" w:rsidDel="00441EDF" w:rsidRDefault="00587444" w:rsidP="00587444">
            <w:pPr>
              <w:keepNext/>
              <w:keepLines/>
              <w:tabs>
                <w:tab w:val="decimal" w:pos="1202"/>
                <w:tab w:val="center" w:pos="4153"/>
                <w:tab w:val="right" w:pos="8306"/>
              </w:tabs>
              <w:suppressAutoHyphens w:val="0"/>
              <w:autoSpaceDN/>
              <w:jc w:val="right"/>
              <w:rPr>
                <w:rFonts w:ascii="Arial" w:hAnsi="Arial" w:cs="Arial"/>
                <w:sz w:val="17"/>
                <w:szCs w:val="17"/>
              </w:rPr>
            </w:pPr>
            <w:r w:rsidRPr="00587444">
              <w:rPr>
                <w:rFonts w:ascii="Arial" w:hAnsi="Arial" w:cs="Arial"/>
                <w:color w:val="000000"/>
                <w:sz w:val="17"/>
                <w:szCs w:val="17"/>
              </w:rPr>
              <w:t>9,935</w:t>
            </w:r>
          </w:p>
        </w:tc>
        <w:tc>
          <w:tcPr>
            <w:tcW w:w="1134" w:type="dxa"/>
            <w:tcBorders>
              <w:top w:val="nil"/>
              <w:left w:val="nil"/>
              <w:right w:val="nil"/>
            </w:tcBorders>
            <w:shd w:val="clear" w:color="auto" w:fill="auto"/>
            <w:vAlign w:val="bottom"/>
          </w:tcPr>
          <w:p w14:paraId="7310B13D" w14:textId="77777777" w:rsidR="00587444" w:rsidRPr="00587444" w:rsidDel="00441EDF" w:rsidRDefault="00587444" w:rsidP="00587444">
            <w:pPr>
              <w:keepNext/>
              <w:keepLines/>
              <w:tabs>
                <w:tab w:val="decimal" w:pos="1202"/>
                <w:tab w:val="center" w:pos="4153"/>
                <w:tab w:val="right" w:pos="8306"/>
              </w:tabs>
              <w:suppressAutoHyphens w:val="0"/>
              <w:autoSpaceDN/>
              <w:jc w:val="right"/>
              <w:rPr>
                <w:rFonts w:ascii="Arial" w:hAnsi="Arial" w:cs="Arial"/>
                <w:sz w:val="17"/>
                <w:szCs w:val="17"/>
              </w:rPr>
            </w:pPr>
            <w:r w:rsidRPr="00587444">
              <w:rPr>
                <w:rFonts w:ascii="Arial" w:hAnsi="Arial" w:cs="Arial"/>
                <w:color w:val="000000"/>
                <w:sz w:val="17"/>
                <w:szCs w:val="17"/>
              </w:rPr>
              <w:t>18,037</w:t>
            </w:r>
          </w:p>
        </w:tc>
        <w:tc>
          <w:tcPr>
            <w:tcW w:w="1134" w:type="dxa"/>
            <w:tcBorders>
              <w:top w:val="nil"/>
              <w:left w:val="nil"/>
              <w:right w:val="nil"/>
            </w:tcBorders>
            <w:shd w:val="clear" w:color="auto" w:fill="auto"/>
            <w:vAlign w:val="bottom"/>
          </w:tcPr>
          <w:p w14:paraId="626C57A9" w14:textId="77777777" w:rsidR="00587444" w:rsidRPr="00587444" w:rsidDel="00441EDF" w:rsidRDefault="00587444" w:rsidP="00587444">
            <w:pPr>
              <w:keepNext/>
              <w:keepLines/>
              <w:tabs>
                <w:tab w:val="decimal" w:pos="1202"/>
                <w:tab w:val="center" w:pos="4153"/>
                <w:tab w:val="right" w:pos="8306"/>
              </w:tabs>
              <w:suppressAutoHyphens w:val="0"/>
              <w:autoSpaceDN/>
              <w:jc w:val="right"/>
              <w:rPr>
                <w:rFonts w:ascii="Arial" w:hAnsi="Arial" w:cs="Arial"/>
                <w:sz w:val="17"/>
                <w:szCs w:val="17"/>
              </w:rPr>
            </w:pPr>
            <w:r w:rsidRPr="00587444">
              <w:rPr>
                <w:rFonts w:ascii="Arial" w:hAnsi="Arial" w:cs="Arial"/>
                <w:color w:val="000000"/>
                <w:sz w:val="17"/>
                <w:szCs w:val="17"/>
              </w:rPr>
              <w:t>7,938</w:t>
            </w:r>
          </w:p>
        </w:tc>
        <w:tc>
          <w:tcPr>
            <w:tcW w:w="1134" w:type="dxa"/>
            <w:tcBorders>
              <w:top w:val="nil"/>
              <w:left w:val="nil"/>
              <w:right w:val="nil"/>
            </w:tcBorders>
            <w:shd w:val="clear" w:color="auto" w:fill="auto"/>
            <w:vAlign w:val="bottom"/>
          </w:tcPr>
          <w:p w14:paraId="716BDAD0" w14:textId="77777777" w:rsidR="00587444" w:rsidRPr="00587444" w:rsidDel="00441EDF" w:rsidRDefault="00587444" w:rsidP="00587444">
            <w:pPr>
              <w:keepNext/>
              <w:keepLines/>
              <w:tabs>
                <w:tab w:val="decimal" w:pos="1202"/>
                <w:tab w:val="center" w:pos="4153"/>
                <w:tab w:val="right" w:pos="8306"/>
              </w:tabs>
              <w:suppressAutoHyphens w:val="0"/>
              <w:autoSpaceDN/>
              <w:jc w:val="right"/>
              <w:rPr>
                <w:rFonts w:ascii="Arial" w:hAnsi="Arial" w:cs="Arial"/>
                <w:sz w:val="17"/>
                <w:szCs w:val="17"/>
              </w:rPr>
            </w:pPr>
            <w:r w:rsidRPr="00587444">
              <w:rPr>
                <w:rFonts w:ascii="Arial" w:hAnsi="Arial" w:cs="Arial"/>
                <w:color w:val="000000"/>
                <w:sz w:val="17"/>
                <w:szCs w:val="17"/>
              </w:rPr>
              <w:t>142,675</w:t>
            </w:r>
          </w:p>
        </w:tc>
      </w:tr>
      <w:tr w:rsidR="00587444" w:rsidRPr="00587444" w14:paraId="0549E98A" w14:textId="77777777" w:rsidTr="00DD69E7">
        <w:trPr>
          <w:trHeight w:hRule="exact" w:val="227"/>
          <w:jc w:val="center"/>
        </w:trPr>
        <w:tc>
          <w:tcPr>
            <w:tcW w:w="2981" w:type="dxa"/>
            <w:vAlign w:val="bottom"/>
          </w:tcPr>
          <w:p w14:paraId="5B43A504" w14:textId="77777777" w:rsidR="00587444" w:rsidRPr="00587444" w:rsidRDefault="00587444" w:rsidP="00587444">
            <w:pPr>
              <w:tabs>
                <w:tab w:val="right" w:pos="1202"/>
                <w:tab w:val="center" w:pos="4153"/>
                <w:tab w:val="right" w:pos="8306"/>
              </w:tabs>
              <w:suppressAutoHyphens w:val="0"/>
              <w:autoSpaceDN/>
              <w:outlineLvl w:val="0"/>
              <w:rPr>
                <w:rFonts w:ascii="Arial" w:hAnsi="Arial" w:cs="Arial"/>
                <w:sz w:val="17"/>
                <w:szCs w:val="17"/>
                <w:lang w:val="en-GB"/>
              </w:rPr>
            </w:pPr>
            <w:bookmarkStart w:id="1273" w:name="_Toc4062618"/>
            <w:r w:rsidRPr="00587444">
              <w:rPr>
                <w:rFonts w:ascii="Arial" w:hAnsi="Arial" w:cs="Arial"/>
                <w:sz w:val="17"/>
                <w:szCs w:val="17"/>
                <w:lang w:val="en-GB"/>
              </w:rPr>
              <w:t>Other liabilities</w:t>
            </w:r>
            <w:bookmarkEnd w:id="1273"/>
          </w:p>
        </w:tc>
        <w:tc>
          <w:tcPr>
            <w:tcW w:w="1134" w:type="dxa"/>
            <w:tcBorders>
              <w:top w:val="nil"/>
              <w:left w:val="nil"/>
              <w:bottom w:val="single" w:sz="4" w:space="0" w:color="auto"/>
              <w:right w:val="nil"/>
            </w:tcBorders>
            <w:shd w:val="clear" w:color="auto" w:fill="auto"/>
            <w:vAlign w:val="bottom"/>
          </w:tcPr>
          <w:p w14:paraId="4D1E76CD"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hAnsi="Arial" w:cs="Arial"/>
                <w:color w:val="000000"/>
                <w:sz w:val="17"/>
                <w:szCs w:val="17"/>
              </w:rPr>
              <w:t>476,376</w:t>
            </w:r>
          </w:p>
        </w:tc>
        <w:tc>
          <w:tcPr>
            <w:tcW w:w="1134" w:type="dxa"/>
            <w:tcBorders>
              <w:top w:val="nil"/>
              <w:left w:val="nil"/>
              <w:bottom w:val="single" w:sz="4" w:space="0" w:color="auto"/>
              <w:right w:val="nil"/>
            </w:tcBorders>
            <w:shd w:val="clear" w:color="auto" w:fill="auto"/>
            <w:vAlign w:val="bottom"/>
          </w:tcPr>
          <w:p w14:paraId="24C062FA"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hAnsi="Arial" w:cs="Arial"/>
                <w:color w:val="000000"/>
                <w:sz w:val="17"/>
                <w:szCs w:val="17"/>
              </w:rPr>
              <w:t>12,371</w:t>
            </w:r>
          </w:p>
        </w:tc>
        <w:tc>
          <w:tcPr>
            <w:tcW w:w="1134" w:type="dxa"/>
            <w:tcBorders>
              <w:top w:val="nil"/>
              <w:left w:val="nil"/>
              <w:bottom w:val="single" w:sz="4" w:space="0" w:color="auto"/>
              <w:right w:val="nil"/>
            </w:tcBorders>
            <w:shd w:val="clear" w:color="auto" w:fill="auto"/>
            <w:vAlign w:val="bottom"/>
          </w:tcPr>
          <w:p w14:paraId="03A1D5C2"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hAnsi="Arial" w:cs="Arial"/>
                <w:color w:val="000000"/>
                <w:sz w:val="17"/>
                <w:szCs w:val="17"/>
              </w:rPr>
              <w:t>45,479</w:t>
            </w:r>
          </w:p>
        </w:tc>
        <w:tc>
          <w:tcPr>
            <w:tcW w:w="1134" w:type="dxa"/>
            <w:tcBorders>
              <w:top w:val="nil"/>
              <w:left w:val="nil"/>
              <w:bottom w:val="single" w:sz="4" w:space="0" w:color="auto"/>
              <w:right w:val="nil"/>
            </w:tcBorders>
            <w:shd w:val="clear" w:color="auto" w:fill="auto"/>
            <w:vAlign w:val="bottom"/>
          </w:tcPr>
          <w:p w14:paraId="72922B25"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hAnsi="Arial" w:cs="Arial"/>
                <w:color w:val="000000"/>
                <w:sz w:val="17"/>
                <w:szCs w:val="17"/>
              </w:rPr>
              <w:t>82,569</w:t>
            </w:r>
          </w:p>
        </w:tc>
        <w:tc>
          <w:tcPr>
            <w:tcW w:w="1134" w:type="dxa"/>
            <w:tcBorders>
              <w:top w:val="nil"/>
              <w:left w:val="nil"/>
              <w:bottom w:val="single" w:sz="4" w:space="0" w:color="auto"/>
              <w:right w:val="nil"/>
            </w:tcBorders>
            <w:shd w:val="clear" w:color="auto" w:fill="auto"/>
            <w:vAlign w:val="bottom"/>
          </w:tcPr>
          <w:p w14:paraId="6C8E2911"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hAnsi="Arial" w:cs="Arial"/>
                <w:color w:val="000000"/>
                <w:sz w:val="17"/>
                <w:szCs w:val="17"/>
              </w:rPr>
              <w:t>36,338</w:t>
            </w:r>
          </w:p>
        </w:tc>
        <w:tc>
          <w:tcPr>
            <w:tcW w:w="1134" w:type="dxa"/>
            <w:tcBorders>
              <w:top w:val="nil"/>
              <w:left w:val="nil"/>
              <w:bottom w:val="single" w:sz="4" w:space="0" w:color="auto"/>
              <w:right w:val="nil"/>
            </w:tcBorders>
            <w:shd w:val="clear" w:color="auto" w:fill="auto"/>
            <w:vAlign w:val="bottom"/>
          </w:tcPr>
          <w:p w14:paraId="24CA707B"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hAnsi="Arial" w:cs="Arial"/>
                <w:color w:val="000000"/>
                <w:sz w:val="17"/>
                <w:szCs w:val="17"/>
              </w:rPr>
              <w:t>653,133</w:t>
            </w:r>
          </w:p>
        </w:tc>
      </w:tr>
      <w:tr w:rsidR="00587444" w:rsidRPr="00587444" w14:paraId="124AB38F" w14:textId="77777777" w:rsidTr="00DD69E7">
        <w:trPr>
          <w:trHeight w:hRule="exact" w:val="264"/>
          <w:jc w:val="center"/>
        </w:trPr>
        <w:tc>
          <w:tcPr>
            <w:tcW w:w="2981" w:type="dxa"/>
            <w:vAlign w:val="bottom"/>
          </w:tcPr>
          <w:p w14:paraId="7F911837" w14:textId="77777777" w:rsidR="00587444" w:rsidRPr="00587444" w:rsidRDefault="00587444" w:rsidP="00587444">
            <w:pPr>
              <w:suppressAutoHyphens w:val="0"/>
              <w:autoSpaceDN/>
              <w:rPr>
                <w:rFonts w:ascii="Arial" w:hAnsi="Arial" w:cs="Arial"/>
                <w:i/>
                <w:sz w:val="17"/>
                <w:szCs w:val="17"/>
                <w:lang w:val="en-GB"/>
              </w:rPr>
            </w:pPr>
            <w:r w:rsidRPr="00587444">
              <w:rPr>
                <w:rFonts w:ascii="Arial" w:hAnsi="Arial" w:cs="Arial"/>
                <w:b/>
                <w:sz w:val="17"/>
                <w:szCs w:val="17"/>
                <w:lang w:val="hr-HR"/>
              </w:rPr>
              <w:t>Total</w:t>
            </w:r>
          </w:p>
        </w:tc>
        <w:tc>
          <w:tcPr>
            <w:tcW w:w="1134" w:type="dxa"/>
            <w:tcBorders>
              <w:top w:val="single" w:sz="4" w:space="0" w:color="auto"/>
              <w:left w:val="nil"/>
              <w:bottom w:val="single" w:sz="12" w:space="0" w:color="auto"/>
              <w:right w:val="nil"/>
            </w:tcBorders>
            <w:vAlign w:val="bottom"/>
          </w:tcPr>
          <w:p w14:paraId="7C5AE1F3"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bCs/>
                <w:color w:val="000000"/>
                <w:sz w:val="17"/>
                <w:szCs w:val="17"/>
              </w:rPr>
              <w:t>1,885,898</w:t>
            </w:r>
          </w:p>
        </w:tc>
        <w:tc>
          <w:tcPr>
            <w:tcW w:w="1134" w:type="dxa"/>
            <w:tcBorders>
              <w:top w:val="single" w:sz="4" w:space="0" w:color="auto"/>
              <w:left w:val="nil"/>
              <w:bottom w:val="single" w:sz="12" w:space="0" w:color="auto"/>
              <w:right w:val="nil"/>
            </w:tcBorders>
            <w:vAlign w:val="bottom"/>
          </w:tcPr>
          <w:p w14:paraId="459B1DBD"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bCs/>
                <w:color w:val="000000"/>
                <w:sz w:val="17"/>
                <w:szCs w:val="17"/>
              </w:rPr>
              <w:t>343,099</w:t>
            </w:r>
          </w:p>
        </w:tc>
        <w:tc>
          <w:tcPr>
            <w:tcW w:w="1134" w:type="dxa"/>
            <w:tcBorders>
              <w:top w:val="single" w:sz="4" w:space="0" w:color="auto"/>
              <w:left w:val="nil"/>
              <w:bottom w:val="single" w:sz="12" w:space="0" w:color="auto"/>
              <w:right w:val="nil"/>
            </w:tcBorders>
            <w:vAlign w:val="bottom"/>
          </w:tcPr>
          <w:p w14:paraId="6AD0BC3E"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bCs/>
                <w:color w:val="000000"/>
                <w:sz w:val="17"/>
                <w:szCs w:val="17"/>
              </w:rPr>
              <w:t>3,550,025</w:t>
            </w:r>
          </w:p>
        </w:tc>
        <w:tc>
          <w:tcPr>
            <w:tcW w:w="1134" w:type="dxa"/>
            <w:tcBorders>
              <w:top w:val="single" w:sz="4" w:space="0" w:color="auto"/>
              <w:left w:val="nil"/>
              <w:bottom w:val="single" w:sz="12" w:space="0" w:color="auto"/>
              <w:right w:val="nil"/>
            </w:tcBorders>
            <w:vAlign w:val="bottom"/>
          </w:tcPr>
          <w:p w14:paraId="64D27588"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bCs/>
                <w:color w:val="000000"/>
                <w:sz w:val="17"/>
                <w:szCs w:val="17"/>
              </w:rPr>
              <w:t>5,866,216</w:t>
            </w:r>
          </w:p>
        </w:tc>
        <w:tc>
          <w:tcPr>
            <w:tcW w:w="1134" w:type="dxa"/>
            <w:tcBorders>
              <w:top w:val="single" w:sz="4" w:space="0" w:color="auto"/>
              <w:left w:val="nil"/>
              <w:bottom w:val="single" w:sz="12" w:space="0" w:color="auto"/>
              <w:right w:val="nil"/>
            </w:tcBorders>
            <w:vAlign w:val="bottom"/>
          </w:tcPr>
          <w:p w14:paraId="78F3C888"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bCs/>
                <w:color w:val="000000"/>
                <w:sz w:val="17"/>
                <w:szCs w:val="17"/>
              </w:rPr>
              <w:t>8,162,966</w:t>
            </w:r>
          </w:p>
        </w:tc>
        <w:tc>
          <w:tcPr>
            <w:tcW w:w="1134" w:type="dxa"/>
            <w:tcBorders>
              <w:top w:val="single" w:sz="4" w:space="0" w:color="auto"/>
              <w:left w:val="nil"/>
              <w:bottom w:val="single" w:sz="12" w:space="0" w:color="auto"/>
              <w:right w:val="nil"/>
            </w:tcBorders>
            <w:vAlign w:val="bottom"/>
          </w:tcPr>
          <w:p w14:paraId="3B60F95A"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bCs/>
                <w:color w:val="000000"/>
                <w:sz w:val="17"/>
                <w:szCs w:val="17"/>
              </w:rPr>
              <w:t>19,808,204</w:t>
            </w:r>
          </w:p>
        </w:tc>
      </w:tr>
      <w:tr w:rsidR="00587444" w:rsidRPr="00587444" w14:paraId="4CDEF20F" w14:textId="77777777" w:rsidTr="00DD69E7">
        <w:trPr>
          <w:trHeight w:hRule="exact" w:val="160"/>
          <w:jc w:val="center"/>
        </w:trPr>
        <w:tc>
          <w:tcPr>
            <w:tcW w:w="2981" w:type="dxa"/>
            <w:vAlign w:val="bottom"/>
          </w:tcPr>
          <w:p w14:paraId="56D741D3" w14:textId="77777777" w:rsidR="00587444" w:rsidRPr="00587444" w:rsidRDefault="00587444" w:rsidP="00587444">
            <w:pPr>
              <w:keepNext/>
              <w:keepLines/>
              <w:tabs>
                <w:tab w:val="decimal" w:pos="1202"/>
              </w:tabs>
              <w:suppressAutoHyphens w:val="0"/>
              <w:autoSpaceDN/>
              <w:rPr>
                <w:rFonts w:ascii="Arial" w:hAnsi="Arial" w:cs="Arial"/>
                <w:b/>
                <w:position w:val="4"/>
                <w:sz w:val="17"/>
                <w:szCs w:val="17"/>
                <w:lang w:val="en-GB"/>
              </w:rPr>
            </w:pPr>
          </w:p>
        </w:tc>
        <w:tc>
          <w:tcPr>
            <w:tcW w:w="1134" w:type="dxa"/>
            <w:tcBorders>
              <w:top w:val="nil"/>
              <w:left w:val="nil"/>
              <w:right w:val="nil"/>
            </w:tcBorders>
            <w:shd w:val="clear" w:color="auto" w:fill="auto"/>
            <w:vAlign w:val="bottom"/>
          </w:tcPr>
          <w:p w14:paraId="1B05236E" w14:textId="77777777" w:rsidR="00587444" w:rsidRPr="00587444" w:rsidRDefault="00587444" w:rsidP="00587444">
            <w:pPr>
              <w:keepNext/>
              <w:keepLines/>
              <w:tabs>
                <w:tab w:val="decimal" w:pos="1202"/>
              </w:tabs>
              <w:suppressAutoHyphens w:val="0"/>
              <w:autoSpaceDN/>
              <w:jc w:val="right"/>
              <w:rPr>
                <w:rFonts w:ascii="Arial" w:hAnsi="Arial" w:cs="Arial"/>
                <w:b/>
                <w:position w:val="4"/>
                <w:sz w:val="17"/>
                <w:szCs w:val="17"/>
                <w:lang w:val="hr-HR"/>
              </w:rPr>
            </w:pPr>
          </w:p>
        </w:tc>
        <w:tc>
          <w:tcPr>
            <w:tcW w:w="1134" w:type="dxa"/>
            <w:tcBorders>
              <w:top w:val="nil"/>
              <w:left w:val="nil"/>
              <w:right w:val="nil"/>
            </w:tcBorders>
            <w:shd w:val="clear" w:color="auto" w:fill="auto"/>
            <w:vAlign w:val="bottom"/>
          </w:tcPr>
          <w:p w14:paraId="2F2CFC64"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b/>
                <w:position w:val="4"/>
                <w:sz w:val="17"/>
                <w:szCs w:val="17"/>
                <w:lang w:val="hr-HR"/>
              </w:rPr>
            </w:pPr>
          </w:p>
        </w:tc>
        <w:tc>
          <w:tcPr>
            <w:tcW w:w="1134" w:type="dxa"/>
            <w:tcBorders>
              <w:top w:val="nil"/>
              <w:left w:val="nil"/>
              <w:right w:val="nil"/>
            </w:tcBorders>
            <w:shd w:val="clear" w:color="auto" w:fill="auto"/>
            <w:vAlign w:val="bottom"/>
          </w:tcPr>
          <w:p w14:paraId="6BDB6277"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b/>
                <w:position w:val="4"/>
                <w:sz w:val="17"/>
                <w:szCs w:val="17"/>
                <w:lang w:val="hr-HR"/>
              </w:rPr>
            </w:pPr>
          </w:p>
        </w:tc>
        <w:tc>
          <w:tcPr>
            <w:tcW w:w="1134" w:type="dxa"/>
            <w:tcBorders>
              <w:top w:val="nil"/>
              <w:left w:val="nil"/>
              <w:right w:val="nil"/>
            </w:tcBorders>
            <w:shd w:val="clear" w:color="auto" w:fill="auto"/>
            <w:vAlign w:val="bottom"/>
          </w:tcPr>
          <w:p w14:paraId="5A5D5CC6" w14:textId="77777777" w:rsidR="00587444" w:rsidRPr="00587444" w:rsidRDefault="00587444" w:rsidP="00587444">
            <w:pPr>
              <w:keepNext/>
              <w:keepLines/>
              <w:tabs>
                <w:tab w:val="decimal" w:pos="1202"/>
              </w:tabs>
              <w:suppressAutoHyphens w:val="0"/>
              <w:autoSpaceDN/>
              <w:jc w:val="right"/>
              <w:rPr>
                <w:rFonts w:ascii="Arial" w:hAnsi="Arial" w:cs="Arial"/>
                <w:b/>
                <w:position w:val="4"/>
                <w:sz w:val="17"/>
                <w:szCs w:val="17"/>
                <w:lang w:val="hr-HR"/>
              </w:rPr>
            </w:pPr>
          </w:p>
        </w:tc>
        <w:tc>
          <w:tcPr>
            <w:tcW w:w="1134" w:type="dxa"/>
            <w:tcBorders>
              <w:top w:val="nil"/>
              <w:left w:val="nil"/>
              <w:right w:val="nil"/>
            </w:tcBorders>
            <w:shd w:val="clear" w:color="auto" w:fill="auto"/>
            <w:vAlign w:val="bottom"/>
          </w:tcPr>
          <w:p w14:paraId="4ABD0759" w14:textId="77777777" w:rsidR="00587444" w:rsidRPr="00587444" w:rsidRDefault="00587444" w:rsidP="00587444">
            <w:pPr>
              <w:keepNext/>
              <w:keepLines/>
              <w:tabs>
                <w:tab w:val="right" w:pos="1263"/>
              </w:tabs>
              <w:suppressAutoHyphens w:val="0"/>
              <w:autoSpaceDN/>
              <w:jc w:val="right"/>
              <w:rPr>
                <w:rFonts w:ascii="Arial" w:hAnsi="Arial" w:cs="Arial"/>
                <w:b/>
                <w:position w:val="4"/>
                <w:sz w:val="17"/>
                <w:szCs w:val="17"/>
                <w:lang w:val="hr-HR"/>
              </w:rPr>
            </w:pPr>
          </w:p>
        </w:tc>
        <w:tc>
          <w:tcPr>
            <w:tcW w:w="1134" w:type="dxa"/>
            <w:tcBorders>
              <w:top w:val="nil"/>
              <w:left w:val="nil"/>
              <w:right w:val="nil"/>
            </w:tcBorders>
            <w:shd w:val="clear" w:color="auto" w:fill="auto"/>
            <w:vAlign w:val="bottom"/>
          </w:tcPr>
          <w:p w14:paraId="50CFBEFE" w14:textId="77777777" w:rsidR="00587444" w:rsidRPr="00587444" w:rsidRDefault="00587444" w:rsidP="00587444">
            <w:pPr>
              <w:keepNext/>
              <w:keepLines/>
              <w:tabs>
                <w:tab w:val="decimal" w:pos="1202"/>
              </w:tabs>
              <w:suppressAutoHyphens w:val="0"/>
              <w:autoSpaceDN/>
              <w:jc w:val="right"/>
              <w:rPr>
                <w:rFonts w:ascii="Arial" w:hAnsi="Arial" w:cs="Arial"/>
                <w:b/>
                <w:position w:val="4"/>
                <w:sz w:val="17"/>
                <w:szCs w:val="17"/>
                <w:lang w:val="hr-HR"/>
              </w:rPr>
            </w:pPr>
          </w:p>
        </w:tc>
      </w:tr>
      <w:tr w:rsidR="00587444" w:rsidRPr="00587444" w14:paraId="575C9568" w14:textId="77777777" w:rsidTr="00DD69E7">
        <w:trPr>
          <w:trHeight w:hRule="exact" w:val="264"/>
          <w:jc w:val="center"/>
        </w:trPr>
        <w:tc>
          <w:tcPr>
            <w:tcW w:w="2981" w:type="dxa"/>
            <w:vAlign w:val="bottom"/>
          </w:tcPr>
          <w:p w14:paraId="1FF916D9" w14:textId="77777777" w:rsidR="00587444" w:rsidRPr="00587444" w:rsidRDefault="00587444" w:rsidP="00587444">
            <w:pPr>
              <w:tabs>
                <w:tab w:val="right" w:pos="1202"/>
                <w:tab w:val="center" w:pos="4153"/>
                <w:tab w:val="right" w:pos="8306"/>
              </w:tabs>
              <w:suppressAutoHyphens w:val="0"/>
              <w:autoSpaceDN/>
              <w:outlineLvl w:val="0"/>
              <w:rPr>
                <w:rFonts w:ascii="Arial" w:hAnsi="Arial" w:cs="Arial"/>
                <w:b/>
                <w:bCs/>
                <w:iCs/>
                <w:sz w:val="17"/>
                <w:szCs w:val="17"/>
                <w:lang w:val="en-GB"/>
              </w:rPr>
            </w:pPr>
            <w:bookmarkStart w:id="1274" w:name="_Toc4062631"/>
            <w:r w:rsidRPr="00587444">
              <w:rPr>
                <w:rFonts w:ascii="Arial" w:hAnsi="Arial" w:cs="Arial"/>
                <w:b/>
                <w:bCs/>
                <w:iCs/>
                <w:spacing w:val="-2"/>
                <w:sz w:val="17"/>
                <w:szCs w:val="17"/>
              </w:rPr>
              <w:t>Guarantees and commitments</w:t>
            </w:r>
            <w:bookmarkEnd w:id="1274"/>
          </w:p>
        </w:tc>
        <w:tc>
          <w:tcPr>
            <w:tcW w:w="1134" w:type="dxa"/>
            <w:tcBorders>
              <w:top w:val="nil"/>
              <w:left w:val="nil"/>
              <w:bottom w:val="nil"/>
              <w:right w:val="nil"/>
            </w:tcBorders>
            <w:shd w:val="clear" w:color="auto" w:fill="auto"/>
            <w:vAlign w:val="bottom"/>
          </w:tcPr>
          <w:p w14:paraId="31EE3DCD" w14:textId="77777777" w:rsidR="00587444" w:rsidRPr="00587444" w:rsidRDefault="00587444" w:rsidP="00587444">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shd w:val="clear" w:color="auto" w:fill="auto"/>
            <w:vAlign w:val="bottom"/>
          </w:tcPr>
          <w:p w14:paraId="1BC5B971" w14:textId="77777777" w:rsidR="00587444" w:rsidRPr="00587444" w:rsidRDefault="00587444" w:rsidP="00587444">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shd w:val="clear" w:color="auto" w:fill="auto"/>
            <w:vAlign w:val="bottom"/>
          </w:tcPr>
          <w:p w14:paraId="0B67E0F9" w14:textId="77777777" w:rsidR="00587444" w:rsidRPr="00587444" w:rsidRDefault="00587444" w:rsidP="00587444">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shd w:val="clear" w:color="auto" w:fill="auto"/>
            <w:vAlign w:val="bottom"/>
          </w:tcPr>
          <w:p w14:paraId="2B2E576C" w14:textId="77777777" w:rsidR="00587444" w:rsidRPr="00587444" w:rsidRDefault="00587444" w:rsidP="00587444">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shd w:val="clear" w:color="auto" w:fill="auto"/>
            <w:vAlign w:val="bottom"/>
          </w:tcPr>
          <w:p w14:paraId="2BDC8F18" w14:textId="77777777" w:rsidR="00587444" w:rsidRPr="00587444" w:rsidRDefault="00587444" w:rsidP="00587444">
            <w:pPr>
              <w:tabs>
                <w:tab w:val="right" w:pos="1263"/>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shd w:val="clear" w:color="auto" w:fill="auto"/>
            <w:vAlign w:val="bottom"/>
          </w:tcPr>
          <w:p w14:paraId="476A62C9" w14:textId="77777777" w:rsidR="00587444" w:rsidRPr="00587444" w:rsidRDefault="00587444" w:rsidP="00587444">
            <w:pPr>
              <w:tabs>
                <w:tab w:val="center" w:pos="4153"/>
                <w:tab w:val="right" w:pos="8306"/>
              </w:tabs>
              <w:suppressAutoHyphens w:val="0"/>
              <w:autoSpaceDN/>
              <w:jc w:val="right"/>
              <w:outlineLvl w:val="0"/>
              <w:rPr>
                <w:rFonts w:ascii="Arial" w:hAnsi="Arial" w:cs="Arial"/>
                <w:b/>
                <w:iCs/>
                <w:sz w:val="17"/>
                <w:szCs w:val="17"/>
                <w:lang w:val="en-GB"/>
              </w:rPr>
            </w:pPr>
          </w:p>
        </w:tc>
      </w:tr>
      <w:tr w:rsidR="00587444" w:rsidRPr="00587444" w14:paraId="69FF45E8" w14:textId="77777777" w:rsidTr="00DD69E7">
        <w:trPr>
          <w:trHeight w:hRule="exact" w:val="227"/>
          <w:jc w:val="center"/>
        </w:trPr>
        <w:tc>
          <w:tcPr>
            <w:tcW w:w="2981" w:type="dxa"/>
            <w:vAlign w:val="bottom"/>
          </w:tcPr>
          <w:p w14:paraId="15DC8F33" w14:textId="77777777" w:rsidR="00587444" w:rsidRPr="00587444" w:rsidRDefault="00587444" w:rsidP="00587444">
            <w:pPr>
              <w:tabs>
                <w:tab w:val="right" w:pos="1202"/>
              </w:tabs>
              <w:suppressAutoHyphens w:val="0"/>
              <w:autoSpaceDN/>
              <w:outlineLvl w:val="0"/>
              <w:rPr>
                <w:rFonts w:ascii="Arial" w:hAnsi="Arial" w:cs="Arial"/>
                <w:sz w:val="17"/>
                <w:szCs w:val="17"/>
                <w:lang w:val="en-GB"/>
              </w:rPr>
            </w:pPr>
            <w:bookmarkStart w:id="1275" w:name="_Toc4062632"/>
            <w:r w:rsidRPr="00587444">
              <w:rPr>
                <w:rFonts w:ascii="Arial" w:hAnsi="Arial" w:cs="Arial"/>
                <w:spacing w:val="-2"/>
                <w:sz w:val="17"/>
                <w:szCs w:val="17"/>
                <w:lang w:val="en-GB"/>
              </w:rPr>
              <w:t>Guarantees issued in HRK</w:t>
            </w:r>
            <w:bookmarkEnd w:id="1275"/>
          </w:p>
        </w:tc>
        <w:tc>
          <w:tcPr>
            <w:tcW w:w="1134" w:type="dxa"/>
            <w:tcBorders>
              <w:top w:val="nil"/>
              <w:left w:val="nil"/>
              <w:bottom w:val="nil"/>
              <w:right w:val="nil"/>
            </w:tcBorders>
            <w:shd w:val="clear" w:color="auto" w:fill="auto"/>
            <w:vAlign w:val="bottom"/>
          </w:tcPr>
          <w:p w14:paraId="496E57E4"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115,427 </w:t>
            </w:r>
          </w:p>
        </w:tc>
        <w:tc>
          <w:tcPr>
            <w:tcW w:w="1134" w:type="dxa"/>
            <w:tcBorders>
              <w:top w:val="nil"/>
              <w:left w:val="nil"/>
              <w:bottom w:val="nil"/>
              <w:right w:val="nil"/>
            </w:tcBorders>
            <w:shd w:val="clear" w:color="auto" w:fill="auto"/>
            <w:vAlign w:val="bottom"/>
          </w:tcPr>
          <w:p w14:paraId="292EA0CB"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7CDB52DA"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05065D80"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603DA4FB" w14:textId="77777777" w:rsidR="00587444" w:rsidRPr="00587444" w:rsidRDefault="00587444" w:rsidP="00587444">
            <w:pPr>
              <w:tabs>
                <w:tab w:val="right" w:pos="1263"/>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37EF14D7"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115,427 </w:t>
            </w:r>
          </w:p>
        </w:tc>
      </w:tr>
      <w:tr w:rsidR="00587444" w:rsidRPr="00587444" w14:paraId="4FBEA06A" w14:textId="77777777" w:rsidTr="00DD69E7">
        <w:trPr>
          <w:trHeight w:hRule="exact" w:val="227"/>
          <w:jc w:val="center"/>
        </w:trPr>
        <w:tc>
          <w:tcPr>
            <w:tcW w:w="2981" w:type="dxa"/>
            <w:vAlign w:val="bottom"/>
          </w:tcPr>
          <w:p w14:paraId="0129D244" w14:textId="77777777" w:rsidR="00587444" w:rsidRPr="00587444" w:rsidRDefault="00587444" w:rsidP="00587444">
            <w:pPr>
              <w:tabs>
                <w:tab w:val="left" w:pos="-720"/>
              </w:tabs>
              <w:autoSpaceDN/>
              <w:rPr>
                <w:rFonts w:ascii="Arial" w:hAnsi="Arial" w:cs="Arial"/>
                <w:spacing w:val="-2"/>
                <w:sz w:val="17"/>
                <w:szCs w:val="17"/>
                <w:lang w:val="en-GB"/>
              </w:rPr>
            </w:pPr>
            <w:r w:rsidRPr="00587444">
              <w:rPr>
                <w:rFonts w:ascii="Arial" w:hAnsi="Arial" w:cs="Arial"/>
                <w:spacing w:val="-2"/>
                <w:sz w:val="17"/>
                <w:szCs w:val="17"/>
              </w:rPr>
              <w:t>Issued guarantees in foreign currency</w:t>
            </w:r>
            <w:r w:rsidRPr="00587444" w:rsidDel="009E6B9F">
              <w:rPr>
                <w:rFonts w:ascii="Arial" w:hAnsi="Arial" w:cs="Arial"/>
                <w:spacing w:val="-2"/>
                <w:sz w:val="17"/>
                <w:szCs w:val="17"/>
              </w:rPr>
              <w:t xml:space="preserve"> </w:t>
            </w:r>
          </w:p>
        </w:tc>
        <w:tc>
          <w:tcPr>
            <w:tcW w:w="1134" w:type="dxa"/>
            <w:tcBorders>
              <w:top w:val="nil"/>
              <w:left w:val="nil"/>
              <w:bottom w:val="nil"/>
              <w:right w:val="nil"/>
            </w:tcBorders>
            <w:shd w:val="clear" w:color="auto" w:fill="auto"/>
            <w:vAlign w:val="bottom"/>
          </w:tcPr>
          <w:p w14:paraId="3C742D48"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194,098 </w:t>
            </w:r>
          </w:p>
        </w:tc>
        <w:tc>
          <w:tcPr>
            <w:tcW w:w="1134" w:type="dxa"/>
            <w:tcBorders>
              <w:top w:val="nil"/>
              <w:left w:val="nil"/>
              <w:bottom w:val="nil"/>
              <w:right w:val="nil"/>
            </w:tcBorders>
            <w:shd w:val="clear" w:color="auto" w:fill="auto"/>
            <w:vAlign w:val="bottom"/>
          </w:tcPr>
          <w:p w14:paraId="4FF9EDEF" w14:textId="77777777" w:rsidR="00587444" w:rsidRPr="00587444" w:rsidRDefault="00587444" w:rsidP="00587444">
            <w:pPr>
              <w:tabs>
                <w:tab w:val="center" w:pos="4153"/>
                <w:tab w:val="right" w:pos="8306"/>
              </w:tabs>
              <w:suppressAutoHyphens w:val="0"/>
              <w:autoSpaceDN/>
              <w:jc w:val="right"/>
              <w:rPr>
                <w:rFonts w:ascii="Arial" w:hAnsi="Arial" w:cs="Arial"/>
                <w:bCs/>
                <w:spacing w:val="-2"/>
                <w:sz w:val="17"/>
                <w:szCs w:val="17"/>
                <w:lang w:val="en-GB"/>
              </w:rPr>
            </w:pPr>
            <w:r w:rsidRPr="00587444">
              <w:rPr>
                <w:rFonts w:ascii="Arial" w:hAnsi="Arial" w:cs="Arial"/>
                <w:bCs/>
                <w:i/>
                <w:color w:val="000000"/>
                <w:sz w:val="17"/>
                <w:szCs w:val="17"/>
              </w:rPr>
              <w:t xml:space="preserve"> - </w:t>
            </w:r>
          </w:p>
        </w:tc>
        <w:tc>
          <w:tcPr>
            <w:tcW w:w="1134" w:type="dxa"/>
            <w:tcBorders>
              <w:top w:val="nil"/>
              <w:left w:val="nil"/>
              <w:bottom w:val="nil"/>
              <w:right w:val="nil"/>
            </w:tcBorders>
            <w:shd w:val="clear" w:color="auto" w:fill="auto"/>
            <w:vAlign w:val="bottom"/>
          </w:tcPr>
          <w:p w14:paraId="4229D9C4"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5A941C47"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7F0DB518" w14:textId="77777777" w:rsidR="00587444" w:rsidRPr="00587444" w:rsidRDefault="00587444" w:rsidP="00587444">
            <w:pPr>
              <w:tabs>
                <w:tab w:val="right" w:pos="1263"/>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4BE949BC"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194,098 </w:t>
            </w:r>
          </w:p>
        </w:tc>
      </w:tr>
      <w:tr w:rsidR="00587444" w:rsidRPr="00587444" w14:paraId="5A0C8FF3" w14:textId="77777777" w:rsidTr="00DD69E7">
        <w:trPr>
          <w:trHeight w:hRule="exact" w:val="227"/>
          <w:jc w:val="center"/>
        </w:trPr>
        <w:tc>
          <w:tcPr>
            <w:tcW w:w="2981" w:type="dxa"/>
            <w:vAlign w:val="bottom"/>
          </w:tcPr>
          <w:p w14:paraId="5F1CEAA8" w14:textId="77777777" w:rsidR="00587444" w:rsidRPr="00587444" w:rsidRDefault="00587444" w:rsidP="00587444">
            <w:pPr>
              <w:tabs>
                <w:tab w:val="left" w:pos="-720"/>
              </w:tabs>
              <w:autoSpaceDN/>
              <w:rPr>
                <w:rFonts w:ascii="Arial" w:hAnsi="Arial" w:cs="Arial"/>
                <w:spacing w:val="-2"/>
                <w:sz w:val="17"/>
                <w:szCs w:val="17"/>
              </w:rPr>
            </w:pPr>
            <w:r w:rsidRPr="00587444">
              <w:rPr>
                <w:rFonts w:ascii="Arial" w:hAnsi="Arial" w:cs="Arial"/>
                <w:spacing w:val="-2"/>
                <w:sz w:val="17"/>
                <w:szCs w:val="17"/>
              </w:rPr>
              <w:t xml:space="preserve">Open </w:t>
            </w:r>
            <w:proofErr w:type="spellStart"/>
            <w:r w:rsidRPr="00587444">
              <w:rPr>
                <w:rFonts w:ascii="Arial" w:hAnsi="Arial" w:cs="Arial"/>
                <w:spacing w:val="-2"/>
                <w:sz w:val="17"/>
                <w:szCs w:val="17"/>
              </w:rPr>
              <w:t>leters</w:t>
            </w:r>
            <w:proofErr w:type="spellEnd"/>
            <w:r w:rsidRPr="00587444">
              <w:rPr>
                <w:rFonts w:ascii="Arial" w:hAnsi="Arial" w:cs="Arial"/>
                <w:spacing w:val="-2"/>
                <w:sz w:val="17"/>
                <w:szCs w:val="17"/>
              </w:rPr>
              <w:t xml:space="preserve"> of credit in foreign currency</w:t>
            </w:r>
          </w:p>
        </w:tc>
        <w:tc>
          <w:tcPr>
            <w:tcW w:w="1134" w:type="dxa"/>
            <w:tcBorders>
              <w:top w:val="nil"/>
              <w:left w:val="nil"/>
              <w:bottom w:val="nil"/>
              <w:right w:val="nil"/>
            </w:tcBorders>
            <w:shd w:val="clear" w:color="auto" w:fill="auto"/>
            <w:vAlign w:val="bottom"/>
          </w:tcPr>
          <w:p w14:paraId="73631B4D"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1,243 </w:t>
            </w:r>
          </w:p>
        </w:tc>
        <w:tc>
          <w:tcPr>
            <w:tcW w:w="1134" w:type="dxa"/>
            <w:tcBorders>
              <w:top w:val="nil"/>
              <w:left w:val="nil"/>
              <w:bottom w:val="nil"/>
              <w:right w:val="nil"/>
            </w:tcBorders>
            <w:shd w:val="clear" w:color="auto" w:fill="auto"/>
            <w:vAlign w:val="bottom"/>
          </w:tcPr>
          <w:p w14:paraId="3C1B44DF" w14:textId="77777777" w:rsidR="00587444" w:rsidRPr="00587444" w:rsidRDefault="00587444" w:rsidP="00587444">
            <w:pPr>
              <w:tabs>
                <w:tab w:val="center" w:pos="4153"/>
                <w:tab w:val="right" w:pos="8306"/>
              </w:tabs>
              <w:suppressAutoHyphens w:val="0"/>
              <w:autoSpaceDN/>
              <w:jc w:val="right"/>
              <w:rPr>
                <w:rFonts w:ascii="Arial" w:hAnsi="Arial" w:cs="Arial"/>
                <w:bCs/>
                <w:spacing w:val="-2"/>
                <w:sz w:val="17"/>
                <w:szCs w:val="17"/>
                <w:lang w:val="en-GB"/>
              </w:rPr>
            </w:pPr>
            <w:r w:rsidRPr="00587444">
              <w:rPr>
                <w:rFonts w:ascii="Arial" w:hAnsi="Arial" w:cs="Arial"/>
                <w:bCs/>
                <w:i/>
                <w:color w:val="000000"/>
                <w:sz w:val="17"/>
                <w:szCs w:val="17"/>
              </w:rPr>
              <w:t xml:space="preserve"> - </w:t>
            </w:r>
          </w:p>
        </w:tc>
        <w:tc>
          <w:tcPr>
            <w:tcW w:w="1134" w:type="dxa"/>
            <w:tcBorders>
              <w:top w:val="nil"/>
              <w:left w:val="nil"/>
              <w:bottom w:val="nil"/>
              <w:right w:val="nil"/>
            </w:tcBorders>
            <w:shd w:val="clear" w:color="auto" w:fill="auto"/>
            <w:vAlign w:val="bottom"/>
          </w:tcPr>
          <w:p w14:paraId="7D2DE810"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652CB1D6"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7EAF3AAD" w14:textId="77777777" w:rsidR="00587444" w:rsidRPr="00587444" w:rsidRDefault="00587444" w:rsidP="00587444">
            <w:pPr>
              <w:tabs>
                <w:tab w:val="right" w:pos="1263"/>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236AFA2F"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1,243 </w:t>
            </w:r>
          </w:p>
        </w:tc>
      </w:tr>
      <w:tr w:rsidR="00587444" w:rsidRPr="00587444" w14:paraId="3B0676B8" w14:textId="77777777" w:rsidTr="00DD69E7">
        <w:trPr>
          <w:trHeight w:hRule="exact" w:val="227"/>
          <w:jc w:val="center"/>
        </w:trPr>
        <w:tc>
          <w:tcPr>
            <w:tcW w:w="2981" w:type="dxa"/>
            <w:vAlign w:val="bottom"/>
          </w:tcPr>
          <w:p w14:paraId="2EFB43EE" w14:textId="77777777" w:rsidR="00587444" w:rsidRPr="00587444" w:rsidRDefault="00587444" w:rsidP="00587444">
            <w:pPr>
              <w:tabs>
                <w:tab w:val="right" w:pos="1202"/>
              </w:tabs>
              <w:suppressAutoHyphens w:val="0"/>
              <w:autoSpaceDN/>
              <w:outlineLvl w:val="0"/>
              <w:rPr>
                <w:rFonts w:ascii="Arial" w:hAnsi="Arial" w:cs="Arial"/>
                <w:bCs/>
                <w:sz w:val="17"/>
                <w:szCs w:val="17"/>
                <w:lang w:val="en-GB"/>
              </w:rPr>
            </w:pPr>
            <w:bookmarkStart w:id="1276" w:name="_Toc4062644"/>
            <w:r w:rsidRPr="00587444">
              <w:rPr>
                <w:rFonts w:ascii="Arial" w:hAnsi="Arial" w:cs="Arial"/>
                <w:spacing w:val="-2"/>
                <w:sz w:val="17"/>
                <w:szCs w:val="17"/>
                <w:lang w:val="en-GB"/>
              </w:rPr>
              <w:t>Undrawn loans</w:t>
            </w:r>
            <w:bookmarkEnd w:id="1276"/>
          </w:p>
        </w:tc>
        <w:tc>
          <w:tcPr>
            <w:tcW w:w="1134" w:type="dxa"/>
            <w:tcBorders>
              <w:top w:val="nil"/>
              <w:left w:val="nil"/>
              <w:bottom w:val="nil"/>
              <w:right w:val="nil"/>
            </w:tcBorders>
            <w:shd w:val="clear" w:color="auto" w:fill="auto"/>
            <w:vAlign w:val="bottom"/>
          </w:tcPr>
          <w:p w14:paraId="7869D574" w14:textId="77777777" w:rsidR="00587444" w:rsidRPr="00587444" w:rsidRDefault="00587444" w:rsidP="00587444">
            <w:pPr>
              <w:suppressAutoHyphens w:val="0"/>
              <w:autoSpaceDN/>
              <w:jc w:val="right"/>
              <w:outlineLvl w:val="0"/>
              <w:rPr>
                <w:rFonts w:ascii="Arial" w:hAnsi="Arial" w:cs="Arial"/>
                <w:bCs/>
                <w:spacing w:val="-2"/>
                <w:sz w:val="17"/>
                <w:szCs w:val="17"/>
                <w:lang w:val="en-GB"/>
              </w:rPr>
            </w:pPr>
            <w:r w:rsidRPr="00587444">
              <w:rPr>
                <w:rFonts w:ascii="Arial" w:hAnsi="Arial" w:cs="Arial"/>
                <w:color w:val="000000"/>
                <w:sz w:val="17"/>
                <w:szCs w:val="17"/>
                <w:lang w:val="en-GB"/>
              </w:rPr>
              <w:t xml:space="preserve"> 2,668,118 </w:t>
            </w:r>
          </w:p>
        </w:tc>
        <w:tc>
          <w:tcPr>
            <w:tcW w:w="1134" w:type="dxa"/>
            <w:tcBorders>
              <w:top w:val="nil"/>
              <w:left w:val="nil"/>
              <w:bottom w:val="nil"/>
              <w:right w:val="nil"/>
            </w:tcBorders>
            <w:shd w:val="clear" w:color="auto" w:fill="auto"/>
            <w:vAlign w:val="bottom"/>
          </w:tcPr>
          <w:p w14:paraId="0F2EB4BC" w14:textId="77777777" w:rsidR="00587444" w:rsidRPr="00587444" w:rsidRDefault="00587444" w:rsidP="00587444">
            <w:pPr>
              <w:suppressAutoHyphens w:val="0"/>
              <w:autoSpaceDN/>
              <w:jc w:val="right"/>
              <w:outlineLvl w:val="0"/>
              <w:rPr>
                <w:rFonts w:ascii="Arial" w:hAnsi="Arial" w:cs="Arial"/>
                <w:bCs/>
                <w:spacing w:val="-2"/>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0DD851DD" w14:textId="77777777" w:rsidR="00587444" w:rsidRPr="00587444" w:rsidRDefault="00587444" w:rsidP="00587444">
            <w:pPr>
              <w:suppressAutoHyphens w:val="0"/>
              <w:autoSpaceDN/>
              <w:jc w:val="right"/>
              <w:outlineLvl w:val="0"/>
              <w:rPr>
                <w:rFonts w:ascii="Arial" w:hAnsi="Arial" w:cs="Arial"/>
                <w:bCs/>
                <w:spacing w:val="-2"/>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3EC93C4A" w14:textId="77777777" w:rsidR="00587444" w:rsidRPr="00587444" w:rsidRDefault="00587444" w:rsidP="00587444">
            <w:pPr>
              <w:suppressAutoHyphens w:val="0"/>
              <w:autoSpaceDN/>
              <w:jc w:val="right"/>
              <w:outlineLvl w:val="0"/>
              <w:rPr>
                <w:rFonts w:ascii="Arial" w:hAnsi="Arial" w:cs="Arial"/>
                <w:bCs/>
                <w:spacing w:val="-2"/>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491AB4C7" w14:textId="77777777" w:rsidR="00587444" w:rsidRPr="00587444" w:rsidRDefault="00587444" w:rsidP="00587444">
            <w:pPr>
              <w:tabs>
                <w:tab w:val="right" w:pos="1263"/>
              </w:tabs>
              <w:suppressAutoHyphens w:val="0"/>
              <w:autoSpaceDN/>
              <w:jc w:val="right"/>
              <w:outlineLvl w:val="0"/>
              <w:rPr>
                <w:rFonts w:ascii="Arial" w:hAnsi="Arial" w:cs="Arial"/>
                <w:bCs/>
                <w:spacing w:val="-2"/>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20962497" w14:textId="77777777" w:rsidR="00587444" w:rsidRPr="00587444" w:rsidRDefault="00587444" w:rsidP="00587444">
            <w:pPr>
              <w:suppressAutoHyphens w:val="0"/>
              <w:autoSpaceDN/>
              <w:jc w:val="right"/>
              <w:outlineLvl w:val="0"/>
              <w:rPr>
                <w:rFonts w:ascii="Arial" w:hAnsi="Arial" w:cs="Arial"/>
                <w:bCs/>
                <w:sz w:val="17"/>
                <w:szCs w:val="17"/>
                <w:lang w:val="en-GB"/>
              </w:rPr>
            </w:pPr>
            <w:r w:rsidRPr="00587444">
              <w:rPr>
                <w:rFonts w:ascii="Arial" w:hAnsi="Arial" w:cs="Arial"/>
                <w:color w:val="000000"/>
                <w:sz w:val="17"/>
                <w:szCs w:val="17"/>
                <w:lang w:val="en-GB"/>
              </w:rPr>
              <w:t xml:space="preserve"> 2,668,118 </w:t>
            </w:r>
          </w:p>
        </w:tc>
      </w:tr>
      <w:tr w:rsidR="00587444" w:rsidRPr="00587444" w14:paraId="44CE59C0" w14:textId="77777777" w:rsidTr="00DD69E7">
        <w:trPr>
          <w:trHeight w:hRule="exact" w:val="227"/>
          <w:jc w:val="center"/>
        </w:trPr>
        <w:tc>
          <w:tcPr>
            <w:tcW w:w="2981" w:type="dxa"/>
            <w:vAlign w:val="bottom"/>
          </w:tcPr>
          <w:p w14:paraId="02053DB9" w14:textId="77777777" w:rsidR="00587444" w:rsidRPr="00587444" w:rsidRDefault="00587444" w:rsidP="00587444">
            <w:pPr>
              <w:tabs>
                <w:tab w:val="left" w:pos="-720"/>
              </w:tabs>
              <w:autoSpaceDN/>
              <w:rPr>
                <w:rFonts w:ascii="Arial" w:hAnsi="Arial" w:cs="Arial"/>
                <w:spacing w:val="-2"/>
                <w:sz w:val="17"/>
                <w:szCs w:val="17"/>
              </w:rPr>
            </w:pPr>
            <w:bookmarkStart w:id="1277" w:name="_Toc4062651"/>
            <w:r w:rsidRPr="00587444">
              <w:rPr>
                <w:rFonts w:ascii="Arial" w:hAnsi="Arial" w:cs="Arial"/>
                <w:spacing w:val="-2"/>
                <w:sz w:val="17"/>
                <w:szCs w:val="17"/>
              </w:rPr>
              <w:t>EIF – subscribed, not called up capital</w:t>
            </w:r>
            <w:bookmarkEnd w:id="1277"/>
          </w:p>
        </w:tc>
        <w:tc>
          <w:tcPr>
            <w:tcW w:w="1134" w:type="dxa"/>
            <w:tcBorders>
              <w:top w:val="nil"/>
              <w:left w:val="nil"/>
              <w:bottom w:val="nil"/>
              <w:right w:val="nil"/>
            </w:tcBorders>
            <w:shd w:val="clear" w:color="auto" w:fill="auto"/>
            <w:vAlign w:val="bottom"/>
          </w:tcPr>
          <w:p w14:paraId="1E1DA39F"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78,358 </w:t>
            </w:r>
          </w:p>
        </w:tc>
        <w:tc>
          <w:tcPr>
            <w:tcW w:w="1134" w:type="dxa"/>
            <w:tcBorders>
              <w:top w:val="nil"/>
              <w:left w:val="nil"/>
              <w:bottom w:val="nil"/>
              <w:right w:val="nil"/>
            </w:tcBorders>
            <w:shd w:val="clear" w:color="auto" w:fill="auto"/>
            <w:vAlign w:val="bottom"/>
          </w:tcPr>
          <w:p w14:paraId="721AD431"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0A4B4CF2"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05D39E2F"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22682261" w14:textId="77777777" w:rsidR="00587444" w:rsidRPr="00587444" w:rsidRDefault="00587444" w:rsidP="00587444">
            <w:pPr>
              <w:tabs>
                <w:tab w:val="right" w:pos="1263"/>
              </w:tabs>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0FFBAAA6" w14:textId="77777777" w:rsidR="00587444" w:rsidRPr="00587444" w:rsidRDefault="00587444" w:rsidP="00587444">
            <w:pPr>
              <w:suppressAutoHyphens w:val="0"/>
              <w:autoSpaceDN/>
              <w:jc w:val="right"/>
              <w:outlineLvl w:val="0"/>
              <w:rPr>
                <w:rFonts w:ascii="Arial" w:hAnsi="Arial" w:cs="Arial"/>
                <w:color w:val="000000"/>
                <w:sz w:val="17"/>
                <w:szCs w:val="17"/>
                <w:lang w:val="en-GB"/>
              </w:rPr>
            </w:pPr>
            <w:r w:rsidRPr="00587444">
              <w:rPr>
                <w:rFonts w:ascii="Arial" w:hAnsi="Arial" w:cs="Arial"/>
                <w:color w:val="000000"/>
                <w:sz w:val="17"/>
                <w:szCs w:val="17"/>
                <w:lang w:val="en-GB"/>
              </w:rPr>
              <w:t xml:space="preserve"> 78,358 </w:t>
            </w:r>
          </w:p>
        </w:tc>
      </w:tr>
      <w:tr w:rsidR="00587444" w:rsidRPr="00587444" w14:paraId="6893E1DB" w14:textId="77777777" w:rsidTr="00DD69E7">
        <w:trPr>
          <w:trHeight w:hRule="exact" w:val="227"/>
          <w:jc w:val="center"/>
        </w:trPr>
        <w:tc>
          <w:tcPr>
            <w:tcW w:w="2981" w:type="dxa"/>
            <w:tcBorders>
              <w:top w:val="nil"/>
              <w:left w:val="nil"/>
              <w:bottom w:val="nil"/>
              <w:right w:val="nil"/>
            </w:tcBorders>
            <w:shd w:val="clear" w:color="auto" w:fill="auto"/>
            <w:vAlign w:val="bottom"/>
          </w:tcPr>
          <w:p w14:paraId="3B560479" w14:textId="77777777" w:rsidR="00587444" w:rsidRPr="00587444" w:rsidRDefault="00587444" w:rsidP="00587444">
            <w:pPr>
              <w:tabs>
                <w:tab w:val="left" w:pos="-720"/>
              </w:tabs>
              <w:autoSpaceDN/>
              <w:rPr>
                <w:rFonts w:ascii="Arial" w:hAnsi="Arial" w:cs="Arial"/>
                <w:spacing w:val="-2"/>
                <w:sz w:val="17"/>
                <w:szCs w:val="17"/>
              </w:rPr>
            </w:pPr>
            <w:r w:rsidRPr="00587444">
              <w:rPr>
                <w:rFonts w:ascii="Arial" w:hAnsi="Arial" w:cs="Arial"/>
                <w:color w:val="000000"/>
                <w:sz w:val="17"/>
                <w:szCs w:val="17"/>
                <w:lang w:val="en-GB"/>
              </w:rPr>
              <w:t>EIF CROGIP Contracted Liability</w:t>
            </w:r>
          </w:p>
        </w:tc>
        <w:tc>
          <w:tcPr>
            <w:tcW w:w="1134" w:type="dxa"/>
            <w:tcBorders>
              <w:top w:val="nil"/>
              <w:left w:val="nil"/>
              <w:bottom w:val="nil"/>
              <w:right w:val="nil"/>
            </w:tcBorders>
            <w:shd w:val="clear" w:color="auto" w:fill="auto"/>
            <w:vAlign w:val="bottom"/>
          </w:tcPr>
          <w:p w14:paraId="6DF67B1C"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23DDC341"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19,328 </w:t>
            </w:r>
          </w:p>
        </w:tc>
        <w:tc>
          <w:tcPr>
            <w:tcW w:w="1134" w:type="dxa"/>
            <w:tcBorders>
              <w:top w:val="nil"/>
              <w:left w:val="nil"/>
              <w:bottom w:val="nil"/>
              <w:right w:val="nil"/>
            </w:tcBorders>
            <w:shd w:val="clear" w:color="auto" w:fill="auto"/>
            <w:vAlign w:val="bottom"/>
          </w:tcPr>
          <w:p w14:paraId="0D98659D"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57,984 </w:t>
            </w:r>
          </w:p>
        </w:tc>
        <w:tc>
          <w:tcPr>
            <w:tcW w:w="1134" w:type="dxa"/>
            <w:tcBorders>
              <w:top w:val="nil"/>
              <w:left w:val="nil"/>
              <w:bottom w:val="nil"/>
              <w:right w:val="nil"/>
            </w:tcBorders>
            <w:shd w:val="clear" w:color="auto" w:fill="auto"/>
            <w:vAlign w:val="bottom"/>
          </w:tcPr>
          <w:p w14:paraId="2A7EF913"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106,244 </w:t>
            </w:r>
          </w:p>
        </w:tc>
        <w:tc>
          <w:tcPr>
            <w:tcW w:w="1134" w:type="dxa"/>
            <w:tcBorders>
              <w:top w:val="nil"/>
              <w:left w:val="nil"/>
              <w:bottom w:val="nil"/>
              <w:right w:val="nil"/>
            </w:tcBorders>
            <w:shd w:val="clear" w:color="auto" w:fill="auto"/>
            <w:vAlign w:val="bottom"/>
          </w:tcPr>
          <w:p w14:paraId="64261ADA" w14:textId="77777777" w:rsidR="00587444" w:rsidRPr="00587444" w:rsidRDefault="00587444" w:rsidP="00587444">
            <w:pPr>
              <w:tabs>
                <w:tab w:val="right" w:pos="1263"/>
              </w:tabs>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89,768 </w:t>
            </w:r>
          </w:p>
        </w:tc>
        <w:tc>
          <w:tcPr>
            <w:tcW w:w="1134" w:type="dxa"/>
            <w:tcBorders>
              <w:top w:val="nil"/>
              <w:left w:val="nil"/>
              <w:bottom w:val="nil"/>
              <w:right w:val="nil"/>
            </w:tcBorders>
            <w:shd w:val="clear" w:color="auto" w:fill="auto"/>
            <w:vAlign w:val="bottom"/>
          </w:tcPr>
          <w:p w14:paraId="24E10BF1" w14:textId="77777777" w:rsidR="00587444" w:rsidRPr="00587444" w:rsidRDefault="00587444" w:rsidP="00587444">
            <w:pPr>
              <w:suppressAutoHyphens w:val="0"/>
              <w:autoSpaceDN/>
              <w:jc w:val="right"/>
              <w:outlineLvl w:val="0"/>
              <w:rPr>
                <w:rFonts w:ascii="Arial" w:hAnsi="Arial" w:cs="Arial"/>
                <w:color w:val="000000"/>
                <w:sz w:val="17"/>
                <w:szCs w:val="17"/>
                <w:lang w:val="en-GB"/>
              </w:rPr>
            </w:pPr>
            <w:r w:rsidRPr="00587444">
              <w:rPr>
                <w:rFonts w:ascii="Arial" w:hAnsi="Arial" w:cs="Arial"/>
                <w:color w:val="000000"/>
                <w:sz w:val="17"/>
                <w:szCs w:val="17"/>
                <w:lang w:val="en-GB"/>
              </w:rPr>
              <w:t xml:space="preserve"> 273,324 </w:t>
            </w:r>
          </w:p>
        </w:tc>
      </w:tr>
      <w:tr w:rsidR="00587444" w:rsidRPr="00587444" w14:paraId="4994D373" w14:textId="77777777" w:rsidTr="00DD69E7">
        <w:trPr>
          <w:trHeight w:hRule="exact" w:val="227"/>
          <w:jc w:val="center"/>
        </w:trPr>
        <w:tc>
          <w:tcPr>
            <w:tcW w:w="2981" w:type="dxa"/>
            <w:tcBorders>
              <w:top w:val="nil"/>
              <w:left w:val="nil"/>
              <w:bottom w:val="nil"/>
              <w:right w:val="nil"/>
            </w:tcBorders>
            <w:shd w:val="clear" w:color="auto" w:fill="auto"/>
            <w:vAlign w:val="bottom"/>
          </w:tcPr>
          <w:p w14:paraId="0C4C8F70" w14:textId="77777777" w:rsidR="00587444" w:rsidRPr="00587444" w:rsidRDefault="00587444" w:rsidP="00587444">
            <w:pPr>
              <w:tabs>
                <w:tab w:val="left" w:pos="-720"/>
              </w:tabs>
              <w:autoSpaceDN/>
              <w:rPr>
                <w:rFonts w:ascii="Arial" w:hAnsi="Arial" w:cs="Arial"/>
                <w:spacing w:val="-2"/>
                <w:sz w:val="17"/>
                <w:szCs w:val="17"/>
              </w:rPr>
            </w:pPr>
            <w:r w:rsidRPr="00587444">
              <w:rPr>
                <w:rFonts w:ascii="Arial" w:hAnsi="Arial" w:cs="Arial"/>
                <w:color w:val="000000"/>
                <w:sz w:val="17"/>
                <w:szCs w:val="17"/>
                <w:lang w:val="en-GB"/>
              </w:rPr>
              <w:t>EIF FRC2 Contracted Liability</w:t>
            </w:r>
          </w:p>
        </w:tc>
        <w:tc>
          <w:tcPr>
            <w:tcW w:w="1134" w:type="dxa"/>
            <w:tcBorders>
              <w:top w:val="nil"/>
              <w:left w:val="nil"/>
              <w:bottom w:val="single" w:sz="8" w:space="0" w:color="auto"/>
              <w:right w:val="nil"/>
            </w:tcBorders>
            <w:shd w:val="clear" w:color="auto" w:fill="auto"/>
            <w:vAlign w:val="bottom"/>
          </w:tcPr>
          <w:p w14:paraId="70277F58"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366 </w:t>
            </w:r>
          </w:p>
        </w:tc>
        <w:tc>
          <w:tcPr>
            <w:tcW w:w="1134" w:type="dxa"/>
            <w:tcBorders>
              <w:top w:val="nil"/>
              <w:left w:val="nil"/>
              <w:bottom w:val="single" w:sz="8" w:space="0" w:color="auto"/>
              <w:right w:val="nil"/>
            </w:tcBorders>
            <w:shd w:val="clear" w:color="auto" w:fill="auto"/>
            <w:vAlign w:val="bottom"/>
          </w:tcPr>
          <w:p w14:paraId="364D53FF"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410 </w:t>
            </w:r>
          </w:p>
        </w:tc>
        <w:tc>
          <w:tcPr>
            <w:tcW w:w="1134" w:type="dxa"/>
            <w:tcBorders>
              <w:top w:val="nil"/>
              <w:left w:val="nil"/>
              <w:bottom w:val="single" w:sz="8" w:space="0" w:color="auto"/>
              <w:right w:val="nil"/>
            </w:tcBorders>
            <w:shd w:val="clear" w:color="auto" w:fill="auto"/>
            <w:vAlign w:val="bottom"/>
          </w:tcPr>
          <w:p w14:paraId="4F9C2F62"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1,846 </w:t>
            </w:r>
          </w:p>
        </w:tc>
        <w:tc>
          <w:tcPr>
            <w:tcW w:w="1134" w:type="dxa"/>
            <w:tcBorders>
              <w:top w:val="nil"/>
              <w:left w:val="nil"/>
              <w:bottom w:val="single" w:sz="8" w:space="0" w:color="auto"/>
              <w:right w:val="nil"/>
            </w:tcBorders>
            <w:shd w:val="clear" w:color="auto" w:fill="auto"/>
            <w:vAlign w:val="bottom"/>
          </w:tcPr>
          <w:p w14:paraId="35D2A2F6"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294 </w:t>
            </w:r>
          </w:p>
        </w:tc>
        <w:tc>
          <w:tcPr>
            <w:tcW w:w="1134" w:type="dxa"/>
            <w:tcBorders>
              <w:top w:val="nil"/>
              <w:left w:val="nil"/>
              <w:bottom w:val="single" w:sz="8" w:space="0" w:color="auto"/>
              <w:right w:val="nil"/>
            </w:tcBorders>
            <w:shd w:val="clear" w:color="auto" w:fill="auto"/>
            <w:vAlign w:val="bottom"/>
          </w:tcPr>
          <w:p w14:paraId="6CC28178" w14:textId="77777777" w:rsidR="00587444" w:rsidRPr="00587444" w:rsidRDefault="00587444" w:rsidP="00587444">
            <w:pPr>
              <w:tabs>
                <w:tab w:val="right" w:pos="1263"/>
              </w:tabs>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121 </w:t>
            </w:r>
          </w:p>
        </w:tc>
        <w:tc>
          <w:tcPr>
            <w:tcW w:w="1134" w:type="dxa"/>
            <w:tcBorders>
              <w:top w:val="nil"/>
              <w:left w:val="nil"/>
              <w:bottom w:val="single" w:sz="8" w:space="0" w:color="auto"/>
              <w:right w:val="nil"/>
            </w:tcBorders>
            <w:shd w:val="clear" w:color="auto" w:fill="auto"/>
            <w:vAlign w:val="bottom"/>
          </w:tcPr>
          <w:p w14:paraId="7CEDCB15" w14:textId="77777777" w:rsidR="00587444" w:rsidRPr="00587444" w:rsidRDefault="00587444" w:rsidP="00587444">
            <w:pPr>
              <w:suppressAutoHyphens w:val="0"/>
              <w:autoSpaceDN/>
              <w:jc w:val="right"/>
              <w:outlineLvl w:val="0"/>
              <w:rPr>
                <w:rFonts w:ascii="Arial" w:hAnsi="Arial" w:cs="Arial"/>
                <w:color w:val="000000"/>
                <w:sz w:val="17"/>
                <w:szCs w:val="17"/>
                <w:lang w:val="en-GB"/>
              </w:rPr>
            </w:pPr>
            <w:r w:rsidRPr="00587444">
              <w:rPr>
                <w:rFonts w:ascii="Arial" w:hAnsi="Arial" w:cs="Arial"/>
                <w:color w:val="000000"/>
                <w:sz w:val="17"/>
                <w:szCs w:val="17"/>
                <w:lang w:val="en-GB"/>
              </w:rPr>
              <w:t xml:space="preserve"> 3,037 </w:t>
            </w:r>
          </w:p>
        </w:tc>
      </w:tr>
      <w:tr w:rsidR="00587444" w:rsidRPr="00587444" w14:paraId="7D1C2F63" w14:textId="77777777" w:rsidTr="00DD69E7">
        <w:trPr>
          <w:trHeight w:hRule="exact" w:val="481"/>
          <w:jc w:val="center"/>
        </w:trPr>
        <w:tc>
          <w:tcPr>
            <w:tcW w:w="2981" w:type="dxa"/>
            <w:vAlign w:val="bottom"/>
          </w:tcPr>
          <w:p w14:paraId="6D80AF20" w14:textId="77777777" w:rsidR="00587444" w:rsidRPr="00587444" w:rsidRDefault="00587444" w:rsidP="00587444">
            <w:pPr>
              <w:suppressAutoHyphens w:val="0"/>
              <w:autoSpaceDN/>
              <w:rPr>
                <w:rFonts w:ascii="Arial" w:hAnsi="Arial" w:cs="Arial"/>
                <w:b/>
                <w:i/>
                <w:sz w:val="17"/>
                <w:szCs w:val="17"/>
                <w:lang w:val="en-GB"/>
              </w:rPr>
            </w:pPr>
            <w:r w:rsidRPr="00587444">
              <w:rPr>
                <w:rFonts w:ascii="Arial" w:hAnsi="Arial" w:cs="Arial"/>
                <w:b/>
                <w:bCs/>
                <w:spacing w:val="-2"/>
                <w:sz w:val="17"/>
                <w:szCs w:val="17"/>
              </w:rPr>
              <w:t>Total guarantees and commitments</w:t>
            </w:r>
          </w:p>
        </w:tc>
        <w:tc>
          <w:tcPr>
            <w:tcW w:w="1134" w:type="dxa"/>
            <w:tcBorders>
              <w:top w:val="single" w:sz="8" w:space="0" w:color="auto"/>
              <w:left w:val="nil"/>
              <w:bottom w:val="single" w:sz="12" w:space="0" w:color="auto"/>
              <w:right w:val="nil"/>
            </w:tcBorders>
            <w:shd w:val="clear" w:color="auto" w:fill="auto"/>
            <w:vAlign w:val="bottom"/>
          </w:tcPr>
          <w:p w14:paraId="7CCB6258"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b/>
                <w:bCs/>
                <w:color w:val="000000"/>
                <w:sz w:val="17"/>
                <w:szCs w:val="17"/>
              </w:rPr>
              <w:t xml:space="preserve"> 3,057,610 </w:t>
            </w:r>
          </w:p>
        </w:tc>
        <w:tc>
          <w:tcPr>
            <w:tcW w:w="1134" w:type="dxa"/>
            <w:tcBorders>
              <w:top w:val="single" w:sz="8" w:space="0" w:color="auto"/>
              <w:left w:val="nil"/>
              <w:bottom w:val="single" w:sz="12" w:space="0" w:color="auto"/>
              <w:right w:val="nil"/>
            </w:tcBorders>
            <w:shd w:val="clear" w:color="auto" w:fill="auto"/>
            <w:vAlign w:val="bottom"/>
          </w:tcPr>
          <w:p w14:paraId="2188D6C3"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b/>
                <w:bCs/>
                <w:color w:val="000000"/>
                <w:sz w:val="17"/>
                <w:szCs w:val="17"/>
              </w:rPr>
              <w:t xml:space="preserve"> 19,738 </w:t>
            </w:r>
          </w:p>
        </w:tc>
        <w:tc>
          <w:tcPr>
            <w:tcW w:w="1134" w:type="dxa"/>
            <w:tcBorders>
              <w:top w:val="single" w:sz="8" w:space="0" w:color="auto"/>
              <w:left w:val="nil"/>
              <w:bottom w:val="single" w:sz="12" w:space="0" w:color="auto"/>
              <w:right w:val="nil"/>
            </w:tcBorders>
            <w:shd w:val="clear" w:color="auto" w:fill="auto"/>
            <w:vAlign w:val="bottom"/>
          </w:tcPr>
          <w:p w14:paraId="19A3B602"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b/>
                <w:bCs/>
                <w:color w:val="000000"/>
                <w:sz w:val="17"/>
                <w:szCs w:val="17"/>
              </w:rPr>
              <w:t xml:space="preserve"> 59,830 </w:t>
            </w:r>
          </w:p>
        </w:tc>
        <w:tc>
          <w:tcPr>
            <w:tcW w:w="1134" w:type="dxa"/>
            <w:tcBorders>
              <w:top w:val="single" w:sz="8" w:space="0" w:color="auto"/>
              <w:left w:val="nil"/>
              <w:bottom w:val="single" w:sz="12" w:space="0" w:color="auto"/>
              <w:right w:val="nil"/>
            </w:tcBorders>
            <w:shd w:val="clear" w:color="auto" w:fill="auto"/>
            <w:vAlign w:val="bottom"/>
          </w:tcPr>
          <w:p w14:paraId="388A22EC"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b/>
                <w:bCs/>
                <w:color w:val="000000"/>
                <w:sz w:val="17"/>
                <w:szCs w:val="17"/>
              </w:rPr>
              <w:t xml:space="preserve"> 106,538 </w:t>
            </w:r>
          </w:p>
        </w:tc>
        <w:tc>
          <w:tcPr>
            <w:tcW w:w="1134" w:type="dxa"/>
            <w:tcBorders>
              <w:top w:val="single" w:sz="8" w:space="0" w:color="auto"/>
              <w:left w:val="nil"/>
              <w:bottom w:val="single" w:sz="12" w:space="0" w:color="auto"/>
              <w:right w:val="nil"/>
            </w:tcBorders>
            <w:shd w:val="clear" w:color="auto" w:fill="auto"/>
            <w:vAlign w:val="bottom"/>
          </w:tcPr>
          <w:p w14:paraId="266A9A6B"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b/>
                <w:bCs/>
                <w:color w:val="000000"/>
                <w:sz w:val="17"/>
                <w:szCs w:val="17"/>
              </w:rPr>
              <w:t xml:space="preserve"> 89,889 </w:t>
            </w:r>
          </w:p>
        </w:tc>
        <w:tc>
          <w:tcPr>
            <w:tcW w:w="1134" w:type="dxa"/>
            <w:tcBorders>
              <w:top w:val="single" w:sz="8" w:space="0" w:color="auto"/>
              <w:left w:val="nil"/>
              <w:bottom w:val="single" w:sz="12" w:space="0" w:color="auto"/>
              <w:right w:val="nil"/>
            </w:tcBorders>
            <w:shd w:val="clear" w:color="auto" w:fill="auto"/>
            <w:vAlign w:val="bottom"/>
          </w:tcPr>
          <w:p w14:paraId="62B2B6D0"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b/>
                <w:bCs/>
                <w:color w:val="000000"/>
                <w:sz w:val="17"/>
                <w:szCs w:val="17"/>
              </w:rPr>
              <w:t xml:space="preserve"> 3,333,605 </w:t>
            </w:r>
          </w:p>
        </w:tc>
      </w:tr>
    </w:tbl>
    <w:p w14:paraId="3D52E366" w14:textId="77777777" w:rsidR="00587444" w:rsidRPr="00587444" w:rsidRDefault="00587444" w:rsidP="00587444">
      <w:pPr>
        <w:keepNext/>
        <w:suppressAutoHyphens w:val="0"/>
        <w:autoSpaceDN/>
        <w:jc w:val="both"/>
        <w:rPr>
          <w:rFonts w:ascii="Arial" w:hAnsi="Arial" w:cs="Arial"/>
          <w:b/>
          <w:bCs/>
          <w:sz w:val="20"/>
          <w:szCs w:val="20"/>
          <w:lang w:val="en-GB"/>
        </w:rPr>
      </w:pPr>
    </w:p>
    <w:p w14:paraId="2FEA9267" w14:textId="77777777" w:rsidR="00587444" w:rsidRPr="00587444" w:rsidRDefault="00587444" w:rsidP="00587444">
      <w:pPr>
        <w:keepNext/>
        <w:suppressAutoHyphens w:val="0"/>
        <w:autoSpaceDN/>
        <w:jc w:val="both"/>
        <w:rPr>
          <w:rFonts w:ascii="Arial" w:hAnsi="Arial" w:cs="Arial"/>
          <w:b/>
          <w:bCs/>
          <w:sz w:val="20"/>
          <w:szCs w:val="20"/>
          <w:lang w:val="en-GB"/>
        </w:rPr>
      </w:pPr>
    </w:p>
    <w:p w14:paraId="54FF44CB" w14:textId="77777777" w:rsidR="00587444" w:rsidRPr="00587444" w:rsidRDefault="00587444" w:rsidP="00587444">
      <w:pPr>
        <w:keepNext/>
        <w:suppressAutoHyphens w:val="0"/>
        <w:autoSpaceDN/>
        <w:jc w:val="both"/>
        <w:rPr>
          <w:rFonts w:ascii="Arial" w:hAnsi="Arial" w:cs="Arial"/>
          <w:b/>
          <w:bCs/>
          <w:sz w:val="20"/>
          <w:szCs w:val="20"/>
          <w:lang w:val="en-GB"/>
        </w:rPr>
      </w:pPr>
    </w:p>
    <w:tbl>
      <w:tblPr>
        <w:tblW w:w="5230" w:type="pct"/>
        <w:jc w:val="center"/>
        <w:tblLayout w:type="fixed"/>
        <w:tblCellMar>
          <w:left w:w="120" w:type="dxa"/>
          <w:right w:w="120" w:type="dxa"/>
        </w:tblCellMar>
        <w:tblLook w:val="0000" w:firstRow="0" w:lastRow="0" w:firstColumn="0" w:lastColumn="0" w:noHBand="0" w:noVBand="0"/>
      </w:tblPr>
      <w:tblGrid>
        <w:gridCol w:w="3058"/>
        <w:gridCol w:w="1163"/>
        <w:gridCol w:w="1163"/>
        <w:gridCol w:w="1163"/>
        <w:gridCol w:w="1163"/>
        <w:gridCol w:w="1163"/>
        <w:gridCol w:w="1163"/>
      </w:tblGrid>
      <w:tr w:rsidR="00587444" w:rsidRPr="00587444" w14:paraId="3B9B56A4" w14:textId="77777777" w:rsidTr="00DD69E7">
        <w:trPr>
          <w:trHeight w:hRule="exact" w:val="428"/>
          <w:jc w:val="center"/>
        </w:trPr>
        <w:tc>
          <w:tcPr>
            <w:tcW w:w="2982" w:type="dxa"/>
          </w:tcPr>
          <w:p w14:paraId="5FFF159B" w14:textId="77777777" w:rsidR="00587444" w:rsidRPr="00587444" w:rsidRDefault="00587444" w:rsidP="00587444">
            <w:pPr>
              <w:tabs>
                <w:tab w:val="right" w:pos="1202"/>
              </w:tabs>
              <w:suppressAutoHyphens w:val="0"/>
              <w:autoSpaceDN/>
              <w:outlineLvl w:val="0"/>
              <w:rPr>
                <w:rFonts w:ascii="Arial" w:hAnsi="Arial" w:cs="Arial"/>
                <w:b/>
                <w:sz w:val="17"/>
                <w:szCs w:val="17"/>
                <w:lang w:val="en-GB"/>
              </w:rPr>
            </w:pPr>
            <w:r w:rsidRPr="00587444">
              <w:rPr>
                <w:rFonts w:ascii="Arial" w:hAnsi="Arial" w:cs="Arial"/>
                <w:b/>
                <w:sz w:val="17"/>
                <w:szCs w:val="17"/>
                <w:lang w:val="en-GB"/>
              </w:rPr>
              <w:t>Bank</w:t>
            </w:r>
          </w:p>
          <w:p w14:paraId="57ECD0CC" w14:textId="77777777" w:rsidR="00587444" w:rsidRPr="00587444" w:rsidRDefault="00587444" w:rsidP="00587444">
            <w:pPr>
              <w:tabs>
                <w:tab w:val="right" w:pos="1202"/>
              </w:tabs>
              <w:suppressAutoHyphens w:val="0"/>
              <w:autoSpaceDN/>
              <w:outlineLvl w:val="0"/>
              <w:rPr>
                <w:rFonts w:ascii="Arial" w:hAnsi="Arial" w:cs="Arial"/>
                <w:b/>
                <w:sz w:val="17"/>
                <w:szCs w:val="17"/>
                <w:lang w:val="en-GB"/>
              </w:rPr>
            </w:pPr>
            <w:r w:rsidRPr="00587444">
              <w:rPr>
                <w:rFonts w:ascii="Arial" w:hAnsi="Arial" w:cs="Arial"/>
                <w:b/>
                <w:sz w:val="17"/>
                <w:szCs w:val="17"/>
                <w:lang w:val="en-GB"/>
              </w:rPr>
              <w:t>31 December 2021</w:t>
            </w:r>
          </w:p>
        </w:tc>
        <w:tc>
          <w:tcPr>
            <w:tcW w:w="1134" w:type="dxa"/>
          </w:tcPr>
          <w:p w14:paraId="3312F4C2"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Up to 1 month</w:t>
            </w:r>
          </w:p>
        </w:tc>
        <w:tc>
          <w:tcPr>
            <w:tcW w:w="1134" w:type="dxa"/>
          </w:tcPr>
          <w:p w14:paraId="7944775C"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1 - 3 months</w:t>
            </w:r>
          </w:p>
        </w:tc>
        <w:tc>
          <w:tcPr>
            <w:tcW w:w="1134" w:type="dxa"/>
          </w:tcPr>
          <w:p w14:paraId="52A4102A"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 xml:space="preserve">3 - 12 </w:t>
            </w:r>
          </w:p>
          <w:p w14:paraId="7B0CEBF4"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months</w:t>
            </w:r>
          </w:p>
        </w:tc>
        <w:tc>
          <w:tcPr>
            <w:tcW w:w="1134" w:type="dxa"/>
          </w:tcPr>
          <w:p w14:paraId="39C4E188"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 xml:space="preserve">1 - 3 </w:t>
            </w:r>
          </w:p>
          <w:p w14:paraId="510CFBD7"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years</w:t>
            </w:r>
          </w:p>
        </w:tc>
        <w:tc>
          <w:tcPr>
            <w:tcW w:w="1134" w:type="dxa"/>
          </w:tcPr>
          <w:p w14:paraId="7A265459" w14:textId="77777777" w:rsidR="00587444" w:rsidRPr="00587444" w:rsidRDefault="00587444" w:rsidP="00587444">
            <w:pPr>
              <w:tabs>
                <w:tab w:val="right" w:pos="1263"/>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Over 3 years</w:t>
            </w:r>
          </w:p>
        </w:tc>
        <w:tc>
          <w:tcPr>
            <w:tcW w:w="1134" w:type="dxa"/>
          </w:tcPr>
          <w:p w14:paraId="2B7ED418"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587444" w:rsidRPr="00587444" w14:paraId="14F9967C" w14:textId="77777777" w:rsidTr="00DD69E7">
        <w:trPr>
          <w:trHeight w:hRule="exact" w:val="264"/>
          <w:jc w:val="center"/>
        </w:trPr>
        <w:tc>
          <w:tcPr>
            <w:tcW w:w="2982" w:type="dxa"/>
          </w:tcPr>
          <w:p w14:paraId="515794B7" w14:textId="77777777" w:rsidR="00587444" w:rsidRPr="00587444" w:rsidRDefault="00587444" w:rsidP="00587444">
            <w:pPr>
              <w:tabs>
                <w:tab w:val="left" w:pos="-720"/>
              </w:tabs>
              <w:autoSpaceDN/>
              <w:jc w:val="center"/>
              <w:rPr>
                <w:rFonts w:ascii="Arial" w:hAnsi="Arial" w:cs="Arial"/>
                <w:b/>
                <w:spacing w:val="-2"/>
                <w:sz w:val="17"/>
                <w:szCs w:val="17"/>
                <w:lang w:val="en-GB"/>
              </w:rPr>
            </w:pPr>
          </w:p>
        </w:tc>
        <w:tc>
          <w:tcPr>
            <w:tcW w:w="1134" w:type="dxa"/>
            <w:vAlign w:val="bottom"/>
          </w:tcPr>
          <w:p w14:paraId="27F100BB"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bCs/>
                <w:sz w:val="17"/>
                <w:szCs w:val="17"/>
                <w:lang w:val="en-GB"/>
              </w:rPr>
              <w:t>HRK ‘000</w:t>
            </w:r>
          </w:p>
        </w:tc>
        <w:tc>
          <w:tcPr>
            <w:tcW w:w="1134" w:type="dxa"/>
            <w:vAlign w:val="bottom"/>
          </w:tcPr>
          <w:p w14:paraId="63B5CE03" w14:textId="77777777" w:rsidR="00587444" w:rsidRPr="00587444" w:rsidRDefault="00587444" w:rsidP="00587444">
            <w:pPr>
              <w:tabs>
                <w:tab w:val="center" w:pos="4153"/>
                <w:tab w:val="right" w:pos="8306"/>
              </w:tabs>
              <w:suppressAutoHyphens w:val="0"/>
              <w:autoSpaceDN/>
              <w:jc w:val="right"/>
              <w:rPr>
                <w:rFonts w:ascii="Arial" w:hAnsi="Arial" w:cs="Arial"/>
                <w:b/>
                <w:spacing w:val="-2"/>
                <w:sz w:val="17"/>
                <w:szCs w:val="17"/>
                <w:lang w:val="en-GB"/>
              </w:rPr>
            </w:pPr>
            <w:r w:rsidRPr="00587444">
              <w:rPr>
                <w:rFonts w:ascii="Arial" w:hAnsi="Arial" w:cs="Arial"/>
                <w:b/>
                <w:spacing w:val="-2"/>
                <w:sz w:val="17"/>
                <w:szCs w:val="17"/>
                <w:lang w:val="en-GB"/>
              </w:rPr>
              <w:t>HRK ‘000</w:t>
            </w:r>
          </w:p>
        </w:tc>
        <w:tc>
          <w:tcPr>
            <w:tcW w:w="1134" w:type="dxa"/>
            <w:vAlign w:val="bottom"/>
          </w:tcPr>
          <w:p w14:paraId="50AD3F40"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bCs/>
                <w:sz w:val="17"/>
                <w:szCs w:val="17"/>
                <w:lang w:val="en-GB"/>
              </w:rPr>
              <w:t>HRK ‘000</w:t>
            </w:r>
          </w:p>
        </w:tc>
        <w:tc>
          <w:tcPr>
            <w:tcW w:w="1134" w:type="dxa"/>
            <w:vAlign w:val="bottom"/>
          </w:tcPr>
          <w:p w14:paraId="21606540"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bCs/>
                <w:sz w:val="17"/>
                <w:szCs w:val="17"/>
                <w:lang w:val="en-GB"/>
              </w:rPr>
              <w:t>HRK ‘000</w:t>
            </w:r>
          </w:p>
        </w:tc>
        <w:tc>
          <w:tcPr>
            <w:tcW w:w="1134" w:type="dxa"/>
            <w:vAlign w:val="bottom"/>
          </w:tcPr>
          <w:p w14:paraId="0A190A6A" w14:textId="77777777" w:rsidR="00587444" w:rsidRPr="00587444" w:rsidRDefault="00587444" w:rsidP="00587444">
            <w:pPr>
              <w:tabs>
                <w:tab w:val="right" w:pos="1263"/>
              </w:tabs>
              <w:suppressAutoHyphens w:val="0"/>
              <w:autoSpaceDN/>
              <w:jc w:val="right"/>
              <w:outlineLvl w:val="0"/>
              <w:rPr>
                <w:rFonts w:ascii="Arial" w:hAnsi="Arial" w:cs="Arial"/>
                <w:b/>
                <w:sz w:val="17"/>
                <w:szCs w:val="17"/>
                <w:lang w:val="en-GB"/>
              </w:rPr>
            </w:pPr>
            <w:r w:rsidRPr="00587444">
              <w:rPr>
                <w:rFonts w:ascii="Arial" w:hAnsi="Arial" w:cs="Arial"/>
                <w:b/>
                <w:bCs/>
                <w:sz w:val="17"/>
                <w:szCs w:val="17"/>
                <w:lang w:val="en-GB"/>
              </w:rPr>
              <w:t>HRK ‘000</w:t>
            </w:r>
          </w:p>
        </w:tc>
        <w:tc>
          <w:tcPr>
            <w:tcW w:w="1134" w:type="dxa"/>
            <w:vAlign w:val="bottom"/>
          </w:tcPr>
          <w:p w14:paraId="7DB146E4"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bCs/>
                <w:sz w:val="17"/>
                <w:szCs w:val="17"/>
                <w:lang w:val="en-GB"/>
              </w:rPr>
              <w:t>HRK ‘000</w:t>
            </w:r>
          </w:p>
        </w:tc>
      </w:tr>
      <w:tr w:rsidR="00587444" w:rsidRPr="00587444" w14:paraId="72A3EA40" w14:textId="77777777" w:rsidTr="00DD69E7">
        <w:trPr>
          <w:trHeight w:hRule="exact" w:val="264"/>
          <w:jc w:val="center"/>
        </w:trPr>
        <w:tc>
          <w:tcPr>
            <w:tcW w:w="2982" w:type="dxa"/>
            <w:vAlign w:val="bottom"/>
          </w:tcPr>
          <w:p w14:paraId="460EDE0D" w14:textId="77777777" w:rsidR="00587444" w:rsidRPr="00587444" w:rsidRDefault="00587444" w:rsidP="00587444">
            <w:pPr>
              <w:tabs>
                <w:tab w:val="right" w:pos="1202"/>
              </w:tabs>
              <w:suppressAutoHyphens w:val="0"/>
              <w:autoSpaceDN/>
              <w:outlineLvl w:val="0"/>
              <w:rPr>
                <w:rFonts w:ascii="Arial" w:hAnsi="Arial" w:cs="Arial"/>
                <w:b/>
                <w:bCs/>
                <w:sz w:val="17"/>
                <w:szCs w:val="17"/>
                <w:lang w:val="en-GB"/>
              </w:rPr>
            </w:pPr>
            <w:r w:rsidRPr="00587444">
              <w:rPr>
                <w:rFonts w:ascii="Arial" w:hAnsi="Arial" w:cs="Arial"/>
                <w:b/>
                <w:bCs/>
                <w:sz w:val="17"/>
                <w:szCs w:val="17"/>
                <w:lang w:val="en-GB"/>
              </w:rPr>
              <w:t>Financial liabilities</w:t>
            </w:r>
          </w:p>
        </w:tc>
        <w:tc>
          <w:tcPr>
            <w:tcW w:w="1134" w:type="dxa"/>
            <w:vAlign w:val="bottom"/>
          </w:tcPr>
          <w:p w14:paraId="43696BBE" w14:textId="77777777" w:rsidR="00587444" w:rsidRPr="00587444" w:rsidRDefault="00587444" w:rsidP="00587444">
            <w:pPr>
              <w:suppressAutoHyphens w:val="0"/>
              <w:autoSpaceDN/>
              <w:jc w:val="right"/>
              <w:outlineLvl w:val="0"/>
              <w:rPr>
                <w:rFonts w:ascii="Arial" w:hAnsi="Arial" w:cs="Arial"/>
                <w:b/>
                <w:bCs/>
                <w:spacing w:val="-2"/>
                <w:sz w:val="17"/>
                <w:szCs w:val="17"/>
                <w:lang w:val="en-GB"/>
              </w:rPr>
            </w:pPr>
          </w:p>
        </w:tc>
        <w:tc>
          <w:tcPr>
            <w:tcW w:w="1134" w:type="dxa"/>
            <w:vAlign w:val="bottom"/>
          </w:tcPr>
          <w:p w14:paraId="3E573BC1" w14:textId="77777777" w:rsidR="00587444" w:rsidRPr="00587444" w:rsidRDefault="00587444" w:rsidP="00587444">
            <w:pPr>
              <w:suppressAutoHyphens w:val="0"/>
              <w:autoSpaceDN/>
              <w:jc w:val="right"/>
              <w:outlineLvl w:val="0"/>
              <w:rPr>
                <w:rFonts w:ascii="Arial" w:hAnsi="Arial" w:cs="Arial"/>
                <w:b/>
                <w:bCs/>
                <w:spacing w:val="-2"/>
                <w:sz w:val="17"/>
                <w:szCs w:val="17"/>
                <w:lang w:val="en-GB"/>
              </w:rPr>
            </w:pPr>
          </w:p>
        </w:tc>
        <w:tc>
          <w:tcPr>
            <w:tcW w:w="1134" w:type="dxa"/>
            <w:vAlign w:val="bottom"/>
          </w:tcPr>
          <w:p w14:paraId="339C2BE3" w14:textId="77777777" w:rsidR="00587444" w:rsidRPr="00587444" w:rsidRDefault="00587444" w:rsidP="00587444">
            <w:pPr>
              <w:suppressAutoHyphens w:val="0"/>
              <w:autoSpaceDN/>
              <w:jc w:val="right"/>
              <w:outlineLvl w:val="0"/>
              <w:rPr>
                <w:rFonts w:ascii="Arial" w:hAnsi="Arial" w:cs="Arial"/>
                <w:b/>
                <w:bCs/>
                <w:spacing w:val="-2"/>
                <w:sz w:val="17"/>
                <w:szCs w:val="17"/>
                <w:lang w:val="en-GB"/>
              </w:rPr>
            </w:pPr>
          </w:p>
        </w:tc>
        <w:tc>
          <w:tcPr>
            <w:tcW w:w="1134" w:type="dxa"/>
            <w:vAlign w:val="bottom"/>
          </w:tcPr>
          <w:p w14:paraId="094C75F7" w14:textId="77777777" w:rsidR="00587444" w:rsidRPr="00587444" w:rsidRDefault="00587444" w:rsidP="00587444">
            <w:pPr>
              <w:suppressAutoHyphens w:val="0"/>
              <w:autoSpaceDN/>
              <w:jc w:val="right"/>
              <w:outlineLvl w:val="0"/>
              <w:rPr>
                <w:rFonts w:ascii="Arial" w:hAnsi="Arial" w:cs="Arial"/>
                <w:b/>
                <w:bCs/>
                <w:spacing w:val="-2"/>
                <w:sz w:val="17"/>
                <w:szCs w:val="17"/>
                <w:lang w:val="en-GB"/>
              </w:rPr>
            </w:pPr>
          </w:p>
        </w:tc>
        <w:tc>
          <w:tcPr>
            <w:tcW w:w="1134" w:type="dxa"/>
            <w:vAlign w:val="bottom"/>
          </w:tcPr>
          <w:p w14:paraId="555637AE" w14:textId="77777777" w:rsidR="00587444" w:rsidRPr="00587444" w:rsidRDefault="00587444" w:rsidP="00587444">
            <w:pPr>
              <w:tabs>
                <w:tab w:val="right" w:pos="1263"/>
              </w:tabs>
              <w:suppressAutoHyphens w:val="0"/>
              <w:autoSpaceDN/>
              <w:jc w:val="right"/>
              <w:outlineLvl w:val="0"/>
              <w:rPr>
                <w:rFonts w:ascii="Arial" w:hAnsi="Arial" w:cs="Arial"/>
                <w:b/>
                <w:bCs/>
                <w:spacing w:val="-2"/>
                <w:sz w:val="17"/>
                <w:szCs w:val="17"/>
                <w:lang w:val="en-GB"/>
              </w:rPr>
            </w:pPr>
          </w:p>
        </w:tc>
        <w:tc>
          <w:tcPr>
            <w:tcW w:w="1134" w:type="dxa"/>
            <w:vAlign w:val="bottom"/>
          </w:tcPr>
          <w:p w14:paraId="67A2FBD4" w14:textId="77777777" w:rsidR="00587444" w:rsidRPr="00587444" w:rsidRDefault="00587444" w:rsidP="00587444">
            <w:pPr>
              <w:suppressAutoHyphens w:val="0"/>
              <w:autoSpaceDN/>
              <w:jc w:val="right"/>
              <w:outlineLvl w:val="0"/>
              <w:rPr>
                <w:rFonts w:ascii="Arial" w:hAnsi="Arial" w:cs="Arial"/>
                <w:b/>
                <w:bCs/>
                <w:sz w:val="17"/>
                <w:szCs w:val="17"/>
                <w:lang w:val="en-GB"/>
              </w:rPr>
            </w:pPr>
          </w:p>
        </w:tc>
      </w:tr>
      <w:tr w:rsidR="00587444" w:rsidRPr="00587444" w14:paraId="5F800FB0" w14:textId="77777777" w:rsidTr="00DD69E7">
        <w:trPr>
          <w:trHeight w:hRule="exact" w:val="227"/>
          <w:jc w:val="center"/>
        </w:trPr>
        <w:tc>
          <w:tcPr>
            <w:tcW w:w="2982" w:type="dxa"/>
            <w:vAlign w:val="bottom"/>
          </w:tcPr>
          <w:p w14:paraId="155E8B38" w14:textId="77777777" w:rsidR="00587444" w:rsidRPr="00587444" w:rsidRDefault="00587444" w:rsidP="00587444">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Deposits from customers</w:t>
            </w:r>
          </w:p>
        </w:tc>
        <w:tc>
          <w:tcPr>
            <w:tcW w:w="1134" w:type="dxa"/>
            <w:tcBorders>
              <w:top w:val="nil"/>
              <w:left w:val="nil"/>
              <w:bottom w:val="nil"/>
              <w:right w:val="nil"/>
            </w:tcBorders>
            <w:shd w:val="clear" w:color="auto" w:fill="auto"/>
            <w:vAlign w:val="bottom"/>
          </w:tcPr>
          <w:p w14:paraId="670FA175"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622,284</w:t>
            </w:r>
          </w:p>
        </w:tc>
        <w:tc>
          <w:tcPr>
            <w:tcW w:w="1134" w:type="dxa"/>
            <w:tcBorders>
              <w:top w:val="nil"/>
              <w:left w:val="nil"/>
              <w:bottom w:val="nil"/>
              <w:right w:val="nil"/>
            </w:tcBorders>
            <w:shd w:val="clear" w:color="auto" w:fill="auto"/>
            <w:vAlign w:val="bottom"/>
          </w:tcPr>
          <w:p w14:paraId="5DB1F598"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22,169</w:t>
            </w:r>
          </w:p>
        </w:tc>
        <w:tc>
          <w:tcPr>
            <w:tcW w:w="1134" w:type="dxa"/>
            <w:tcBorders>
              <w:top w:val="nil"/>
              <w:left w:val="nil"/>
              <w:bottom w:val="nil"/>
              <w:right w:val="nil"/>
            </w:tcBorders>
            <w:shd w:val="clear" w:color="auto" w:fill="auto"/>
            <w:vAlign w:val="bottom"/>
          </w:tcPr>
          <w:p w14:paraId="0F27BE3C"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105,183</w:t>
            </w:r>
          </w:p>
        </w:tc>
        <w:tc>
          <w:tcPr>
            <w:tcW w:w="1134" w:type="dxa"/>
            <w:tcBorders>
              <w:top w:val="nil"/>
              <w:left w:val="nil"/>
              <w:bottom w:val="nil"/>
              <w:right w:val="nil"/>
            </w:tcBorders>
            <w:shd w:val="clear" w:color="auto" w:fill="auto"/>
            <w:vAlign w:val="bottom"/>
          </w:tcPr>
          <w:p w14:paraId="02B9BA80"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95,453</w:t>
            </w:r>
          </w:p>
        </w:tc>
        <w:tc>
          <w:tcPr>
            <w:tcW w:w="1134" w:type="dxa"/>
            <w:tcBorders>
              <w:top w:val="nil"/>
              <w:left w:val="nil"/>
              <w:bottom w:val="nil"/>
              <w:right w:val="nil"/>
            </w:tcBorders>
            <w:shd w:val="clear" w:color="auto" w:fill="auto"/>
            <w:vAlign w:val="bottom"/>
          </w:tcPr>
          <w:p w14:paraId="2A34648B"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115,452</w:t>
            </w:r>
          </w:p>
        </w:tc>
        <w:tc>
          <w:tcPr>
            <w:tcW w:w="1134" w:type="dxa"/>
            <w:tcBorders>
              <w:top w:val="nil"/>
              <w:left w:val="nil"/>
              <w:bottom w:val="nil"/>
              <w:right w:val="nil"/>
            </w:tcBorders>
            <w:shd w:val="clear" w:color="auto" w:fill="auto"/>
            <w:vAlign w:val="bottom"/>
          </w:tcPr>
          <w:p w14:paraId="3701EA23"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960,541</w:t>
            </w:r>
          </w:p>
        </w:tc>
      </w:tr>
      <w:tr w:rsidR="00587444" w:rsidRPr="00587444" w14:paraId="3B617F31" w14:textId="77777777" w:rsidTr="00DD69E7">
        <w:trPr>
          <w:trHeight w:hRule="exact" w:val="227"/>
          <w:jc w:val="center"/>
        </w:trPr>
        <w:tc>
          <w:tcPr>
            <w:tcW w:w="2982" w:type="dxa"/>
            <w:vAlign w:val="bottom"/>
          </w:tcPr>
          <w:p w14:paraId="4EE6BE02" w14:textId="77777777" w:rsidR="00587444" w:rsidRPr="00587444" w:rsidRDefault="00587444" w:rsidP="00587444">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Borrowings</w:t>
            </w:r>
          </w:p>
        </w:tc>
        <w:tc>
          <w:tcPr>
            <w:tcW w:w="1134" w:type="dxa"/>
            <w:tcBorders>
              <w:top w:val="nil"/>
              <w:left w:val="nil"/>
              <w:bottom w:val="nil"/>
              <w:right w:val="nil"/>
            </w:tcBorders>
            <w:shd w:val="clear" w:color="auto" w:fill="auto"/>
            <w:vAlign w:val="bottom"/>
          </w:tcPr>
          <w:p w14:paraId="05144239"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258,366</w:t>
            </w:r>
          </w:p>
        </w:tc>
        <w:tc>
          <w:tcPr>
            <w:tcW w:w="1134" w:type="dxa"/>
            <w:tcBorders>
              <w:top w:val="nil"/>
              <w:left w:val="nil"/>
              <w:bottom w:val="nil"/>
              <w:right w:val="nil"/>
            </w:tcBorders>
            <w:shd w:val="clear" w:color="auto" w:fill="auto"/>
            <w:vAlign w:val="bottom"/>
          </w:tcPr>
          <w:p w14:paraId="753D42F8"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315,326</w:t>
            </w:r>
          </w:p>
        </w:tc>
        <w:tc>
          <w:tcPr>
            <w:tcW w:w="1134" w:type="dxa"/>
            <w:tcBorders>
              <w:top w:val="nil"/>
              <w:left w:val="nil"/>
              <w:bottom w:val="nil"/>
              <w:right w:val="nil"/>
            </w:tcBorders>
            <w:shd w:val="clear" w:color="auto" w:fill="auto"/>
            <w:vAlign w:val="bottom"/>
          </w:tcPr>
          <w:p w14:paraId="4A3F221F"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1,927,599</w:t>
            </w:r>
          </w:p>
        </w:tc>
        <w:tc>
          <w:tcPr>
            <w:tcW w:w="1134" w:type="dxa"/>
            <w:tcBorders>
              <w:top w:val="nil"/>
              <w:left w:val="nil"/>
              <w:bottom w:val="nil"/>
              <w:right w:val="nil"/>
            </w:tcBorders>
            <w:shd w:val="clear" w:color="auto" w:fill="auto"/>
            <w:vAlign w:val="bottom"/>
          </w:tcPr>
          <w:p w14:paraId="730CED2E"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5,992,204</w:t>
            </w:r>
          </w:p>
        </w:tc>
        <w:tc>
          <w:tcPr>
            <w:tcW w:w="1134" w:type="dxa"/>
            <w:tcBorders>
              <w:top w:val="nil"/>
              <w:left w:val="nil"/>
              <w:bottom w:val="nil"/>
              <w:right w:val="nil"/>
            </w:tcBorders>
            <w:shd w:val="clear" w:color="auto" w:fill="auto"/>
            <w:vAlign w:val="bottom"/>
          </w:tcPr>
          <w:p w14:paraId="51F3E975"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8,623,885</w:t>
            </w:r>
          </w:p>
        </w:tc>
        <w:tc>
          <w:tcPr>
            <w:tcW w:w="1134" w:type="dxa"/>
            <w:tcBorders>
              <w:top w:val="nil"/>
              <w:left w:val="nil"/>
              <w:bottom w:val="nil"/>
              <w:right w:val="nil"/>
            </w:tcBorders>
            <w:shd w:val="clear" w:color="auto" w:fill="auto"/>
            <w:vAlign w:val="bottom"/>
          </w:tcPr>
          <w:p w14:paraId="15500F23"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color w:val="000000"/>
                <w:sz w:val="17"/>
                <w:szCs w:val="17"/>
              </w:rPr>
              <w:t>17,117,380</w:t>
            </w:r>
          </w:p>
        </w:tc>
      </w:tr>
      <w:tr w:rsidR="00587444" w:rsidRPr="00587444" w14:paraId="16A13C17" w14:textId="77777777" w:rsidTr="00DD69E7">
        <w:trPr>
          <w:trHeight w:hRule="exact" w:val="442"/>
          <w:jc w:val="center"/>
        </w:trPr>
        <w:tc>
          <w:tcPr>
            <w:tcW w:w="2982" w:type="dxa"/>
            <w:vAlign w:val="bottom"/>
          </w:tcPr>
          <w:p w14:paraId="06BF2294" w14:textId="77777777" w:rsidR="001D0F84" w:rsidRDefault="00587444" w:rsidP="00587444">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 xml:space="preserve">Provisions for guarantees, </w:t>
            </w:r>
          </w:p>
          <w:p w14:paraId="26594D99" w14:textId="3C8CF5D1" w:rsidR="00587444" w:rsidRPr="00587444" w:rsidRDefault="00587444" w:rsidP="00587444">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commitments and other liabilities</w:t>
            </w:r>
          </w:p>
        </w:tc>
        <w:tc>
          <w:tcPr>
            <w:tcW w:w="1134" w:type="dxa"/>
            <w:tcBorders>
              <w:top w:val="nil"/>
              <w:left w:val="nil"/>
              <w:right w:val="nil"/>
            </w:tcBorders>
            <w:shd w:val="clear" w:color="auto" w:fill="auto"/>
            <w:vAlign w:val="bottom"/>
          </w:tcPr>
          <w:p w14:paraId="4B02B568" w14:textId="77777777" w:rsidR="00587444" w:rsidRPr="00587444" w:rsidDel="00441EDF" w:rsidRDefault="00587444" w:rsidP="00587444">
            <w:pPr>
              <w:keepNext/>
              <w:keepLines/>
              <w:tabs>
                <w:tab w:val="decimal" w:pos="1202"/>
                <w:tab w:val="center" w:pos="4153"/>
                <w:tab w:val="right" w:pos="8306"/>
              </w:tabs>
              <w:suppressAutoHyphens w:val="0"/>
              <w:autoSpaceDN/>
              <w:jc w:val="right"/>
              <w:rPr>
                <w:rFonts w:ascii="Arial" w:hAnsi="Arial" w:cs="Arial"/>
                <w:sz w:val="17"/>
                <w:szCs w:val="17"/>
              </w:rPr>
            </w:pPr>
            <w:r w:rsidRPr="00587444">
              <w:rPr>
                <w:rFonts w:ascii="Arial" w:hAnsi="Arial" w:cs="Arial"/>
                <w:color w:val="000000"/>
                <w:sz w:val="17"/>
                <w:szCs w:val="17"/>
              </w:rPr>
              <w:t>105,893</w:t>
            </w:r>
          </w:p>
        </w:tc>
        <w:tc>
          <w:tcPr>
            <w:tcW w:w="1134" w:type="dxa"/>
            <w:tcBorders>
              <w:top w:val="nil"/>
              <w:left w:val="nil"/>
              <w:right w:val="nil"/>
            </w:tcBorders>
            <w:shd w:val="clear" w:color="auto" w:fill="auto"/>
            <w:vAlign w:val="bottom"/>
          </w:tcPr>
          <w:p w14:paraId="41F633EB" w14:textId="77777777" w:rsidR="00587444" w:rsidRPr="00587444" w:rsidDel="00441EDF" w:rsidRDefault="00587444" w:rsidP="00587444">
            <w:pPr>
              <w:keepNext/>
              <w:keepLines/>
              <w:tabs>
                <w:tab w:val="decimal" w:pos="1202"/>
                <w:tab w:val="center" w:pos="4153"/>
                <w:tab w:val="right" w:pos="8306"/>
              </w:tabs>
              <w:suppressAutoHyphens w:val="0"/>
              <w:autoSpaceDN/>
              <w:jc w:val="right"/>
              <w:rPr>
                <w:rFonts w:ascii="Arial" w:hAnsi="Arial" w:cs="Arial"/>
                <w:sz w:val="17"/>
                <w:szCs w:val="17"/>
              </w:rPr>
            </w:pPr>
            <w:r w:rsidRPr="00587444">
              <w:rPr>
                <w:rFonts w:ascii="Arial" w:hAnsi="Arial" w:cs="Arial"/>
                <w:color w:val="000000"/>
                <w:sz w:val="17"/>
                <w:szCs w:val="17"/>
              </w:rPr>
              <w:t>5,962</w:t>
            </w:r>
          </w:p>
        </w:tc>
        <w:tc>
          <w:tcPr>
            <w:tcW w:w="1134" w:type="dxa"/>
            <w:tcBorders>
              <w:top w:val="nil"/>
              <w:left w:val="nil"/>
              <w:right w:val="nil"/>
            </w:tcBorders>
            <w:shd w:val="clear" w:color="auto" w:fill="auto"/>
            <w:vAlign w:val="bottom"/>
          </w:tcPr>
          <w:p w14:paraId="1D328FBF" w14:textId="77777777" w:rsidR="00587444" w:rsidRPr="00587444" w:rsidDel="00441EDF" w:rsidRDefault="00587444" w:rsidP="00587444">
            <w:pPr>
              <w:keepNext/>
              <w:keepLines/>
              <w:tabs>
                <w:tab w:val="decimal" w:pos="1202"/>
                <w:tab w:val="center" w:pos="4153"/>
                <w:tab w:val="right" w:pos="8306"/>
              </w:tabs>
              <w:suppressAutoHyphens w:val="0"/>
              <w:autoSpaceDN/>
              <w:jc w:val="right"/>
              <w:rPr>
                <w:rFonts w:ascii="Arial" w:hAnsi="Arial" w:cs="Arial"/>
                <w:sz w:val="17"/>
                <w:szCs w:val="17"/>
              </w:rPr>
            </w:pPr>
            <w:r w:rsidRPr="00587444">
              <w:rPr>
                <w:rFonts w:ascii="Arial" w:hAnsi="Arial" w:cs="Arial"/>
                <w:color w:val="000000"/>
                <w:sz w:val="17"/>
                <w:szCs w:val="17"/>
              </w:rPr>
              <w:t>19,815</w:t>
            </w:r>
          </w:p>
        </w:tc>
        <w:tc>
          <w:tcPr>
            <w:tcW w:w="1134" w:type="dxa"/>
            <w:tcBorders>
              <w:top w:val="nil"/>
              <w:left w:val="nil"/>
              <w:right w:val="nil"/>
            </w:tcBorders>
            <w:shd w:val="clear" w:color="auto" w:fill="auto"/>
            <w:vAlign w:val="bottom"/>
          </w:tcPr>
          <w:p w14:paraId="37C14FE7" w14:textId="77777777" w:rsidR="00587444" w:rsidRPr="00587444" w:rsidDel="00441EDF" w:rsidRDefault="00587444" w:rsidP="00587444">
            <w:pPr>
              <w:keepNext/>
              <w:keepLines/>
              <w:tabs>
                <w:tab w:val="decimal" w:pos="1202"/>
                <w:tab w:val="center" w:pos="4153"/>
                <w:tab w:val="right" w:pos="8306"/>
              </w:tabs>
              <w:suppressAutoHyphens w:val="0"/>
              <w:autoSpaceDN/>
              <w:jc w:val="right"/>
              <w:rPr>
                <w:rFonts w:ascii="Arial" w:hAnsi="Arial" w:cs="Arial"/>
                <w:sz w:val="17"/>
                <w:szCs w:val="17"/>
              </w:rPr>
            </w:pPr>
            <w:r w:rsidRPr="00587444">
              <w:rPr>
                <w:rFonts w:ascii="Arial" w:hAnsi="Arial" w:cs="Arial"/>
                <w:color w:val="000000"/>
                <w:sz w:val="17"/>
                <w:szCs w:val="17"/>
              </w:rPr>
              <w:t>30,577</w:t>
            </w:r>
          </w:p>
        </w:tc>
        <w:tc>
          <w:tcPr>
            <w:tcW w:w="1134" w:type="dxa"/>
            <w:tcBorders>
              <w:top w:val="nil"/>
              <w:left w:val="nil"/>
              <w:right w:val="nil"/>
            </w:tcBorders>
            <w:shd w:val="clear" w:color="auto" w:fill="auto"/>
            <w:vAlign w:val="bottom"/>
          </w:tcPr>
          <w:p w14:paraId="0E232FA1" w14:textId="77777777" w:rsidR="00587444" w:rsidRPr="00587444" w:rsidDel="00441EDF" w:rsidRDefault="00587444" w:rsidP="00587444">
            <w:pPr>
              <w:keepNext/>
              <w:keepLines/>
              <w:tabs>
                <w:tab w:val="decimal" w:pos="1202"/>
                <w:tab w:val="center" w:pos="4153"/>
                <w:tab w:val="right" w:pos="8306"/>
              </w:tabs>
              <w:suppressAutoHyphens w:val="0"/>
              <w:autoSpaceDN/>
              <w:jc w:val="right"/>
              <w:rPr>
                <w:rFonts w:ascii="Arial" w:hAnsi="Arial" w:cs="Arial"/>
                <w:sz w:val="17"/>
                <w:szCs w:val="17"/>
              </w:rPr>
            </w:pPr>
            <w:r w:rsidRPr="00587444">
              <w:rPr>
                <w:rFonts w:ascii="Arial" w:hAnsi="Arial" w:cs="Arial"/>
                <w:color w:val="000000"/>
                <w:sz w:val="17"/>
                <w:szCs w:val="17"/>
              </w:rPr>
              <w:t>28,056</w:t>
            </w:r>
          </w:p>
        </w:tc>
        <w:tc>
          <w:tcPr>
            <w:tcW w:w="1134" w:type="dxa"/>
            <w:tcBorders>
              <w:top w:val="nil"/>
              <w:left w:val="nil"/>
              <w:right w:val="nil"/>
            </w:tcBorders>
            <w:shd w:val="clear" w:color="auto" w:fill="auto"/>
            <w:vAlign w:val="bottom"/>
          </w:tcPr>
          <w:p w14:paraId="76E6FDBD" w14:textId="77777777" w:rsidR="00587444" w:rsidRPr="00587444" w:rsidDel="00441EDF" w:rsidRDefault="00587444" w:rsidP="00587444">
            <w:pPr>
              <w:keepNext/>
              <w:keepLines/>
              <w:tabs>
                <w:tab w:val="decimal" w:pos="1202"/>
                <w:tab w:val="center" w:pos="4153"/>
                <w:tab w:val="right" w:pos="8306"/>
              </w:tabs>
              <w:suppressAutoHyphens w:val="0"/>
              <w:autoSpaceDN/>
              <w:jc w:val="right"/>
              <w:rPr>
                <w:rFonts w:ascii="Arial" w:hAnsi="Arial" w:cs="Arial"/>
                <w:sz w:val="17"/>
                <w:szCs w:val="17"/>
              </w:rPr>
            </w:pPr>
            <w:r w:rsidRPr="00587444">
              <w:rPr>
                <w:rFonts w:ascii="Arial" w:hAnsi="Arial" w:cs="Arial"/>
                <w:color w:val="000000"/>
                <w:sz w:val="17"/>
                <w:szCs w:val="17"/>
              </w:rPr>
              <w:t>190,303</w:t>
            </w:r>
          </w:p>
        </w:tc>
      </w:tr>
      <w:tr w:rsidR="00587444" w:rsidRPr="00587444" w14:paraId="2604AD65" w14:textId="77777777" w:rsidTr="00DD69E7">
        <w:trPr>
          <w:trHeight w:hRule="exact" w:val="227"/>
          <w:jc w:val="center"/>
        </w:trPr>
        <w:tc>
          <w:tcPr>
            <w:tcW w:w="2982" w:type="dxa"/>
            <w:vAlign w:val="bottom"/>
          </w:tcPr>
          <w:p w14:paraId="428AFEB8" w14:textId="77777777" w:rsidR="00587444" w:rsidRPr="00587444" w:rsidRDefault="00587444" w:rsidP="00587444">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Other liabilities</w:t>
            </w:r>
          </w:p>
        </w:tc>
        <w:tc>
          <w:tcPr>
            <w:tcW w:w="1134" w:type="dxa"/>
            <w:tcBorders>
              <w:top w:val="nil"/>
              <w:left w:val="nil"/>
              <w:bottom w:val="single" w:sz="4" w:space="0" w:color="auto"/>
              <w:right w:val="nil"/>
            </w:tcBorders>
            <w:shd w:val="clear" w:color="auto" w:fill="auto"/>
            <w:vAlign w:val="bottom"/>
          </w:tcPr>
          <w:p w14:paraId="695AB3CE"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hAnsi="Arial" w:cs="Arial"/>
                <w:color w:val="000000"/>
                <w:sz w:val="17"/>
                <w:szCs w:val="17"/>
              </w:rPr>
              <w:t>231,580</w:t>
            </w:r>
          </w:p>
        </w:tc>
        <w:tc>
          <w:tcPr>
            <w:tcW w:w="1134" w:type="dxa"/>
            <w:tcBorders>
              <w:top w:val="nil"/>
              <w:left w:val="nil"/>
              <w:bottom w:val="single" w:sz="4" w:space="0" w:color="auto"/>
              <w:right w:val="nil"/>
            </w:tcBorders>
            <w:shd w:val="clear" w:color="auto" w:fill="auto"/>
            <w:vAlign w:val="bottom"/>
          </w:tcPr>
          <w:p w14:paraId="57B0D34E"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hAnsi="Arial" w:cs="Arial"/>
                <w:color w:val="000000"/>
                <w:sz w:val="17"/>
                <w:szCs w:val="17"/>
              </w:rPr>
              <w:t>13,038</w:t>
            </w:r>
          </w:p>
        </w:tc>
        <w:tc>
          <w:tcPr>
            <w:tcW w:w="1134" w:type="dxa"/>
            <w:tcBorders>
              <w:top w:val="nil"/>
              <w:left w:val="nil"/>
              <w:bottom w:val="single" w:sz="4" w:space="0" w:color="auto"/>
              <w:right w:val="nil"/>
            </w:tcBorders>
            <w:shd w:val="clear" w:color="auto" w:fill="auto"/>
            <w:vAlign w:val="bottom"/>
          </w:tcPr>
          <w:p w14:paraId="35A73FA3"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hAnsi="Arial" w:cs="Arial"/>
                <w:color w:val="000000"/>
                <w:sz w:val="17"/>
                <w:szCs w:val="17"/>
              </w:rPr>
              <w:t>43,334</w:t>
            </w:r>
          </w:p>
        </w:tc>
        <w:tc>
          <w:tcPr>
            <w:tcW w:w="1134" w:type="dxa"/>
            <w:tcBorders>
              <w:top w:val="nil"/>
              <w:left w:val="nil"/>
              <w:bottom w:val="single" w:sz="4" w:space="0" w:color="auto"/>
              <w:right w:val="nil"/>
            </w:tcBorders>
            <w:shd w:val="clear" w:color="auto" w:fill="auto"/>
            <w:vAlign w:val="bottom"/>
          </w:tcPr>
          <w:p w14:paraId="6C41240F"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hAnsi="Arial" w:cs="Arial"/>
                <w:color w:val="000000"/>
                <w:sz w:val="17"/>
                <w:szCs w:val="17"/>
              </w:rPr>
              <w:t>66,870</w:t>
            </w:r>
          </w:p>
        </w:tc>
        <w:tc>
          <w:tcPr>
            <w:tcW w:w="1134" w:type="dxa"/>
            <w:tcBorders>
              <w:top w:val="nil"/>
              <w:left w:val="nil"/>
              <w:bottom w:val="single" w:sz="4" w:space="0" w:color="auto"/>
              <w:right w:val="nil"/>
            </w:tcBorders>
            <w:shd w:val="clear" w:color="auto" w:fill="auto"/>
            <w:vAlign w:val="bottom"/>
          </w:tcPr>
          <w:p w14:paraId="1A11371B"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hAnsi="Arial" w:cs="Arial"/>
                <w:color w:val="000000"/>
                <w:sz w:val="17"/>
                <w:szCs w:val="17"/>
              </w:rPr>
              <w:t>61,356</w:t>
            </w:r>
          </w:p>
        </w:tc>
        <w:tc>
          <w:tcPr>
            <w:tcW w:w="1134" w:type="dxa"/>
            <w:tcBorders>
              <w:top w:val="nil"/>
              <w:left w:val="nil"/>
              <w:bottom w:val="single" w:sz="4" w:space="0" w:color="auto"/>
              <w:right w:val="nil"/>
            </w:tcBorders>
            <w:shd w:val="clear" w:color="auto" w:fill="auto"/>
            <w:vAlign w:val="bottom"/>
          </w:tcPr>
          <w:p w14:paraId="217BD0C4" w14:textId="77777777" w:rsidR="00587444" w:rsidRPr="00587444" w:rsidRDefault="00587444" w:rsidP="00587444">
            <w:pPr>
              <w:tabs>
                <w:tab w:val="right" w:pos="1202"/>
                <w:tab w:val="center" w:pos="4153"/>
                <w:tab w:val="right" w:pos="8306"/>
              </w:tabs>
              <w:suppressAutoHyphens w:val="0"/>
              <w:autoSpaceDN/>
              <w:jc w:val="right"/>
              <w:outlineLvl w:val="0"/>
              <w:rPr>
                <w:rFonts w:ascii="Arial" w:hAnsi="Arial" w:cs="Arial"/>
                <w:sz w:val="17"/>
                <w:szCs w:val="17"/>
              </w:rPr>
            </w:pPr>
            <w:r w:rsidRPr="00587444">
              <w:rPr>
                <w:rFonts w:ascii="Arial" w:hAnsi="Arial" w:cs="Arial"/>
                <w:color w:val="000000"/>
                <w:sz w:val="17"/>
                <w:szCs w:val="17"/>
              </w:rPr>
              <w:t>416,178</w:t>
            </w:r>
          </w:p>
        </w:tc>
      </w:tr>
      <w:tr w:rsidR="00587444" w:rsidRPr="00587444" w14:paraId="033B1852" w14:textId="77777777" w:rsidTr="00DD69E7">
        <w:trPr>
          <w:trHeight w:hRule="exact" w:val="264"/>
          <w:jc w:val="center"/>
        </w:trPr>
        <w:tc>
          <w:tcPr>
            <w:tcW w:w="2982" w:type="dxa"/>
            <w:vAlign w:val="bottom"/>
          </w:tcPr>
          <w:p w14:paraId="1C7CCC64" w14:textId="77777777" w:rsidR="00587444" w:rsidRPr="00587444" w:rsidRDefault="00587444" w:rsidP="00587444">
            <w:pPr>
              <w:suppressAutoHyphens w:val="0"/>
              <w:autoSpaceDN/>
              <w:rPr>
                <w:rFonts w:ascii="Arial" w:hAnsi="Arial" w:cs="Arial"/>
                <w:i/>
                <w:sz w:val="17"/>
                <w:szCs w:val="17"/>
                <w:lang w:val="en-GB"/>
              </w:rPr>
            </w:pPr>
            <w:r w:rsidRPr="00587444">
              <w:rPr>
                <w:rFonts w:ascii="Arial" w:hAnsi="Arial" w:cs="Arial"/>
                <w:b/>
                <w:sz w:val="17"/>
                <w:szCs w:val="17"/>
                <w:lang w:val="hr-HR"/>
              </w:rPr>
              <w:t>Total</w:t>
            </w:r>
          </w:p>
        </w:tc>
        <w:tc>
          <w:tcPr>
            <w:tcW w:w="1134" w:type="dxa"/>
            <w:tcBorders>
              <w:top w:val="single" w:sz="4" w:space="0" w:color="auto"/>
              <w:left w:val="nil"/>
              <w:bottom w:val="single" w:sz="12" w:space="0" w:color="auto"/>
              <w:right w:val="nil"/>
            </w:tcBorders>
            <w:vAlign w:val="bottom"/>
          </w:tcPr>
          <w:p w14:paraId="7AB9E3DA"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bCs/>
                <w:color w:val="000000"/>
                <w:sz w:val="17"/>
                <w:szCs w:val="17"/>
              </w:rPr>
              <w:t>1,218,123</w:t>
            </w:r>
          </w:p>
        </w:tc>
        <w:tc>
          <w:tcPr>
            <w:tcW w:w="1134" w:type="dxa"/>
            <w:tcBorders>
              <w:top w:val="single" w:sz="4" w:space="0" w:color="auto"/>
              <w:left w:val="nil"/>
              <w:bottom w:val="single" w:sz="12" w:space="0" w:color="auto"/>
              <w:right w:val="nil"/>
            </w:tcBorders>
            <w:vAlign w:val="bottom"/>
          </w:tcPr>
          <w:p w14:paraId="486725FE"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bCs/>
                <w:color w:val="000000"/>
                <w:sz w:val="17"/>
                <w:szCs w:val="17"/>
              </w:rPr>
              <w:t>356,495</w:t>
            </w:r>
          </w:p>
        </w:tc>
        <w:tc>
          <w:tcPr>
            <w:tcW w:w="1134" w:type="dxa"/>
            <w:tcBorders>
              <w:top w:val="single" w:sz="4" w:space="0" w:color="auto"/>
              <w:left w:val="nil"/>
              <w:bottom w:val="single" w:sz="12" w:space="0" w:color="auto"/>
              <w:right w:val="nil"/>
            </w:tcBorders>
            <w:vAlign w:val="bottom"/>
          </w:tcPr>
          <w:p w14:paraId="38296E98"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bCs/>
                <w:color w:val="000000"/>
                <w:sz w:val="17"/>
                <w:szCs w:val="17"/>
              </w:rPr>
              <w:t>2,095,931</w:t>
            </w:r>
          </w:p>
        </w:tc>
        <w:tc>
          <w:tcPr>
            <w:tcW w:w="1134" w:type="dxa"/>
            <w:tcBorders>
              <w:top w:val="single" w:sz="4" w:space="0" w:color="auto"/>
              <w:left w:val="nil"/>
              <w:bottom w:val="single" w:sz="12" w:space="0" w:color="auto"/>
              <w:right w:val="nil"/>
            </w:tcBorders>
            <w:vAlign w:val="bottom"/>
          </w:tcPr>
          <w:p w14:paraId="28849796"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bCs/>
                <w:color w:val="000000"/>
                <w:sz w:val="17"/>
                <w:szCs w:val="17"/>
              </w:rPr>
              <w:t>6,185,104</w:t>
            </w:r>
          </w:p>
        </w:tc>
        <w:tc>
          <w:tcPr>
            <w:tcW w:w="1134" w:type="dxa"/>
            <w:tcBorders>
              <w:top w:val="single" w:sz="4" w:space="0" w:color="auto"/>
              <w:left w:val="nil"/>
              <w:bottom w:val="single" w:sz="12" w:space="0" w:color="auto"/>
              <w:right w:val="nil"/>
            </w:tcBorders>
            <w:vAlign w:val="bottom"/>
          </w:tcPr>
          <w:p w14:paraId="01B80B38"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bCs/>
                <w:color w:val="000000"/>
                <w:sz w:val="17"/>
                <w:szCs w:val="17"/>
              </w:rPr>
              <w:t>8,828,749</w:t>
            </w:r>
          </w:p>
        </w:tc>
        <w:tc>
          <w:tcPr>
            <w:tcW w:w="1134" w:type="dxa"/>
            <w:tcBorders>
              <w:top w:val="single" w:sz="4" w:space="0" w:color="auto"/>
              <w:left w:val="nil"/>
              <w:bottom w:val="single" w:sz="12" w:space="0" w:color="auto"/>
              <w:right w:val="nil"/>
            </w:tcBorders>
            <w:vAlign w:val="bottom"/>
          </w:tcPr>
          <w:p w14:paraId="0C931FE4"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lang w:val="en-GB"/>
              </w:rPr>
            </w:pPr>
            <w:r w:rsidRPr="00587444">
              <w:rPr>
                <w:rFonts w:ascii="Arial" w:hAnsi="Arial" w:cs="Arial"/>
                <w:b/>
                <w:bCs/>
                <w:color w:val="000000"/>
                <w:sz w:val="17"/>
                <w:szCs w:val="17"/>
              </w:rPr>
              <w:t>18,684,402</w:t>
            </w:r>
          </w:p>
        </w:tc>
      </w:tr>
      <w:tr w:rsidR="00587444" w:rsidRPr="00587444" w14:paraId="6A8EE245" w14:textId="77777777" w:rsidTr="00DD69E7">
        <w:trPr>
          <w:trHeight w:hRule="exact" w:val="160"/>
          <w:jc w:val="center"/>
        </w:trPr>
        <w:tc>
          <w:tcPr>
            <w:tcW w:w="2982" w:type="dxa"/>
            <w:vAlign w:val="bottom"/>
          </w:tcPr>
          <w:p w14:paraId="0D20A586" w14:textId="77777777" w:rsidR="00587444" w:rsidRPr="00587444" w:rsidRDefault="00587444" w:rsidP="00587444">
            <w:pPr>
              <w:keepNext/>
              <w:keepLines/>
              <w:tabs>
                <w:tab w:val="decimal" w:pos="1202"/>
              </w:tabs>
              <w:suppressAutoHyphens w:val="0"/>
              <w:autoSpaceDN/>
              <w:rPr>
                <w:rFonts w:ascii="Arial" w:hAnsi="Arial" w:cs="Arial"/>
                <w:b/>
                <w:position w:val="4"/>
                <w:sz w:val="17"/>
                <w:szCs w:val="17"/>
                <w:lang w:val="en-GB"/>
              </w:rPr>
            </w:pPr>
          </w:p>
        </w:tc>
        <w:tc>
          <w:tcPr>
            <w:tcW w:w="1134" w:type="dxa"/>
            <w:tcBorders>
              <w:top w:val="single" w:sz="12" w:space="0" w:color="auto"/>
            </w:tcBorders>
            <w:vAlign w:val="bottom"/>
          </w:tcPr>
          <w:p w14:paraId="387AC28D" w14:textId="77777777" w:rsidR="00587444" w:rsidRPr="00587444" w:rsidRDefault="00587444" w:rsidP="00587444">
            <w:pPr>
              <w:keepNext/>
              <w:keepLines/>
              <w:tabs>
                <w:tab w:val="decimal" w:pos="1202"/>
              </w:tabs>
              <w:suppressAutoHyphens w:val="0"/>
              <w:autoSpaceDN/>
              <w:jc w:val="right"/>
              <w:rPr>
                <w:rFonts w:ascii="Arial" w:hAnsi="Arial" w:cs="Arial"/>
                <w:b/>
                <w:position w:val="4"/>
                <w:sz w:val="17"/>
                <w:szCs w:val="17"/>
                <w:lang w:val="hr-HR"/>
              </w:rPr>
            </w:pPr>
          </w:p>
        </w:tc>
        <w:tc>
          <w:tcPr>
            <w:tcW w:w="1134" w:type="dxa"/>
            <w:tcBorders>
              <w:top w:val="single" w:sz="12" w:space="0" w:color="auto"/>
            </w:tcBorders>
            <w:vAlign w:val="bottom"/>
          </w:tcPr>
          <w:p w14:paraId="58867FFB"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b/>
                <w:position w:val="4"/>
                <w:sz w:val="17"/>
                <w:szCs w:val="17"/>
                <w:lang w:val="hr-HR"/>
              </w:rPr>
            </w:pPr>
          </w:p>
        </w:tc>
        <w:tc>
          <w:tcPr>
            <w:tcW w:w="1134" w:type="dxa"/>
            <w:tcBorders>
              <w:top w:val="single" w:sz="12" w:space="0" w:color="auto"/>
            </w:tcBorders>
            <w:vAlign w:val="bottom"/>
          </w:tcPr>
          <w:p w14:paraId="3AE8ADA8"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b/>
                <w:position w:val="4"/>
                <w:sz w:val="17"/>
                <w:szCs w:val="17"/>
                <w:lang w:val="hr-HR"/>
              </w:rPr>
            </w:pPr>
          </w:p>
        </w:tc>
        <w:tc>
          <w:tcPr>
            <w:tcW w:w="1134" w:type="dxa"/>
            <w:tcBorders>
              <w:top w:val="single" w:sz="12" w:space="0" w:color="auto"/>
            </w:tcBorders>
            <w:vAlign w:val="bottom"/>
          </w:tcPr>
          <w:p w14:paraId="0B5AC7F9" w14:textId="77777777" w:rsidR="00587444" w:rsidRPr="00587444" w:rsidRDefault="00587444" w:rsidP="00587444">
            <w:pPr>
              <w:keepNext/>
              <w:keepLines/>
              <w:tabs>
                <w:tab w:val="decimal" w:pos="1202"/>
              </w:tabs>
              <w:suppressAutoHyphens w:val="0"/>
              <w:autoSpaceDN/>
              <w:jc w:val="right"/>
              <w:rPr>
                <w:rFonts w:ascii="Arial" w:hAnsi="Arial" w:cs="Arial"/>
                <w:b/>
                <w:position w:val="4"/>
                <w:sz w:val="17"/>
                <w:szCs w:val="17"/>
                <w:lang w:val="hr-HR"/>
              </w:rPr>
            </w:pPr>
          </w:p>
        </w:tc>
        <w:tc>
          <w:tcPr>
            <w:tcW w:w="1134" w:type="dxa"/>
            <w:tcBorders>
              <w:top w:val="single" w:sz="12" w:space="0" w:color="auto"/>
            </w:tcBorders>
            <w:vAlign w:val="bottom"/>
          </w:tcPr>
          <w:p w14:paraId="34B648F1" w14:textId="77777777" w:rsidR="00587444" w:rsidRPr="00587444" w:rsidRDefault="00587444" w:rsidP="00587444">
            <w:pPr>
              <w:keepNext/>
              <w:keepLines/>
              <w:tabs>
                <w:tab w:val="right" w:pos="1263"/>
              </w:tabs>
              <w:suppressAutoHyphens w:val="0"/>
              <w:autoSpaceDN/>
              <w:jc w:val="right"/>
              <w:rPr>
                <w:rFonts w:ascii="Arial" w:hAnsi="Arial" w:cs="Arial"/>
                <w:b/>
                <w:position w:val="4"/>
                <w:sz w:val="17"/>
                <w:szCs w:val="17"/>
                <w:lang w:val="hr-HR"/>
              </w:rPr>
            </w:pPr>
          </w:p>
        </w:tc>
        <w:tc>
          <w:tcPr>
            <w:tcW w:w="1134" w:type="dxa"/>
            <w:tcBorders>
              <w:top w:val="single" w:sz="12" w:space="0" w:color="auto"/>
            </w:tcBorders>
            <w:vAlign w:val="bottom"/>
          </w:tcPr>
          <w:p w14:paraId="501902D7" w14:textId="77777777" w:rsidR="00587444" w:rsidRPr="00587444" w:rsidRDefault="00587444" w:rsidP="00587444">
            <w:pPr>
              <w:keepNext/>
              <w:keepLines/>
              <w:tabs>
                <w:tab w:val="decimal" w:pos="1202"/>
              </w:tabs>
              <w:suppressAutoHyphens w:val="0"/>
              <w:autoSpaceDN/>
              <w:jc w:val="right"/>
              <w:rPr>
                <w:rFonts w:ascii="Arial" w:hAnsi="Arial" w:cs="Arial"/>
                <w:b/>
                <w:position w:val="4"/>
                <w:sz w:val="17"/>
                <w:szCs w:val="17"/>
                <w:lang w:val="hr-HR"/>
              </w:rPr>
            </w:pPr>
          </w:p>
        </w:tc>
      </w:tr>
      <w:tr w:rsidR="00587444" w:rsidRPr="00587444" w14:paraId="7F32B75E" w14:textId="77777777" w:rsidTr="00DD69E7">
        <w:trPr>
          <w:trHeight w:hRule="exact" w:val="264"/>
          <w:jc w:val="center"/>
        </w:trPr>
        <w:tc>
          <w:tcPr>
            <w:tcW w:w="2982" w:type="dxa"/>
            <w:vAlign w:val="bottom"/>
          </w:tcPr>
          <w:p w14:paraId="068B6E0D" w14:textId="77777777" w:rsidR="00587444" w:rsidRPr="00587444" w:rsidRDefault="00587444" w:rsidP="00587444">
            <w:pPr>
              <w:tabs>
                <w:tab w:val="right" w:pos="1202"/>
                <w:tab w:val="center" w:pos="4153"/>
                <w:tab w:val="right" w:pos="8306"/>
              </w:tabs>
              <w:suppressAutoHyphens w:val="0"/>
              <w:autoSpaceDN/>
              <w:outlineLvl w:val="0"/>
              <w:rPr>
                <w:rFonts w:ascii="Arial" w:hAnsi="Arial" w:cs="Arial"/>
                <w:b/>
                <w:bCs/>
                <w:iCs/>
                <w:sz w:val="17"/>
                <w:szCs w:val="17"/>
                <w:lang w:val="en-GB"/>
              </w:rPr>
            </w:pPr>
            <w:r w:rsidRPr="00587444">
              <w:rPr>
                <w:rFonts w:ascii="Arial" w:hAnsi="Arial" w:cs="Arial"/>
                <w:b/>
                <w:bCs/>
                <w:iCs/>
                <w:spacing w:val="-2"/>
                <w:sz w:val="17"/>
                <w:szCs w:val="17"/>
              </w:rPr>
              <w:t>Guarantees and commitments</w:t>
            </w:r>
          </w:p>
        </w:tc>
        <w:tc>
          <w:tcPr>
            <w:tcW w:w="1134" w:type="dxa"/>
            <w:tcBorders>
              <w:left w:val="nil"/>
              <w:right w:val="nil"/>
            </w:tcBorders>
            <w:shd w:val="clear" w:color="auto" w:fill="auto"/>
            <w:vAlign w:val="bottom"/>
          </w:tcPr>
          <w:p w14:paraId="2E099B4D" w14:textId="77777777" w:rsidR="00587444" w:rsidRPr="00587444" w:rsidRDefault="00587444" w:rsidP="00587444">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left w:val="nil"/>
              <w:right w:val="nil"/>
            </w:tcBorders>
            <w:shd w:val="clear" w:color="auto" w:fill="auto"/>
            <w:vAlign w:val="bottom"/>
          </w:tcPr>
          <w:p w14:paraId="4197A3C0" w14:textId="77777777" w:rsidR="00587444" w:rsidRPr="00587444" w:rsidRDefault="00587444" w:rsidP="00587444">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left w:val="nil"/>
              <w:right w:val="nil"/>
            </w:tcBorders>
            <w:shd w:val="clear" w:color="auto" w:fill="auto"/>
            <w:vAlign w:val="bottom"/>
          </w:tcPr>
          <w:p w14:paraId="7171E13A" w14:textId="77777777" w:rsidR="00587444" w:rsidRPr="00587444" w:rsidRDefault="00587444" w:rsidP="00587444">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left w:val="nil"/>
              <w:right w:val="nil"/>
            </w:tcBorders>
            <w:shd w:val="clear" w:color="auto" w:fill="auto"/>
            <w:vAlign w:val="bottom"/>
          </w:tcPr>
          <w:p w14:paraId="38DA5E2A" w14:textId="77777777" w:rsidR="00587444" w:rsidRPr="00587444" w:rsidRDefault="00587444" w:rsidP="00587444">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left w:val="nil"/>
              <w:right w:val="nil"/>
            </w:tcBorders>
            <w:shd w:val="clear" w:color="auto" w:fill="auto"/>
            <w:vAlign w:val="bottom"/>
          </w:tcPr>
          <w:p w14:paraId="2C5B40E8" w14:textId="77777777" w:rsidR="00587444" w:rsidRPr="00587444" w:rsidRDefault="00587444" w:rsidP="00587444">
            <w:pPr>
              <w:tabs>
                <w:tab w:val="right" w:pos="1263"/>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left w:val="nil"/>
              <w:right w:val="nil"/>
            </w:tcBorders>
            <w:shd w:val="clear" w:color="auto" w:fill="auto"/>
            <w:vAlign w:val="bottom"/>
          </w:tcPr>
          <w:p w14:paraId="43D5E158" w14:textId="77777777" w:rsidR="00587444" w:rsidRPr="00587444" w:rsidRDefault="00587444" w:rsidP="00587444">
            <w:pPr>
              <w:tabs>
                <w:tab w:val="center" w:pos="4153"/>
                <w:tab w:val="right" w:pos="8306"/>
              </w:tabs>
              <w:suppressAutoHyphens w:val="0"/>
              <w:autoSpaceDN/>
              <w:jc w:val="right"/>
              <w:outlineLvl w:val="0"/>
              <w:rPr>
                <w:rFonts w:ascii="Arial" w:hAnsi="Arial" w:cs="Arial"/>
                <w:b/>
                <w:iCs/>
                <w:sz w:val="17"/>
                <w:szCs w:val="17"/>
                <w:lang w:val="en-GB"/>
              </w:rPr>
            </w:pPr>
          </w:p>
        </w:tc>
      </w:tr>
      <w:tr w:rsidR="00587444" w:rsidRPr="00587444" w14:paraId="58EE8A41" w14:textId="77777777" w:rsidTr="00DD69E7">
        <w:trPr>
          <w:trHeight w:hRule="exact" w:val="227"/>
          <w:jc w:val="center"/>
        </w:trPr>
        <w:tc>
          <w:tcPr>
            <w:tcW w:w="2982" w:type="dxa"/>
            <w:vAlign w:val="bottom"/>
          </w:tcPr>
          <w:p w14:paraId="57B19F83" w14:textId="77777777" w:rsidR="00587444" w:rsidRPr="00587444" w:rsidRDefault="00587444" w:rsidP="00587444">
            <w:pPr>
              <w:tabs>
                <w:tab w:val="right" w:pos="1202"/>
              </w:tabs>
              <w:suppressAutoHyphens w:val="0"/>
              <w:autoSpaceDN/>
              <w:outlineLvl w:val="0"/>
              <w:rPr>
                <w:rFonts w:ascii="Arial" w:hAnsi="Arial" w:cs="Arial"/>
                <w:sz w:val="17"/>
                <w:szCs w:val="17"/>
                <w:lang w:val="en-GB"/>
              </w:rPr>
            </w:pPr>
            <w:r w:rsidRPr="00587444">
              <w:rPr>
                <w:rFonts w:ascii="Arial" w:hAnsi="Arial" w:cs="Arial"/>
                <w:spacing w:val="-2"/>
                <w:sz w:val="17"/>
                <w:szCs w:val="17"/>
                <w:lang w:val="en-GB"/>
              </w:rPr>
              <w:t>Guarantees issued in HRK</w:t>
            </w:r>
          </w:p>
        </w:tc>
        <w:tc>
          <w:tcPr>
            <w:tcW w:w="1134" w:type="dxa"/>
            <w:tcBorders>
              <w:top w:val="nil"/>
              <w:left w:val="nil"/>
              <w:bottom w:val="nil"/>
              <w:right w:val="nil"/>
            </w:tcBorders>
            <w:shd w:val="clear" w:color="auto" w:fill="auto"/>
            <w:vAlign w:val="bottom"/>
          </w:tcPr>
          <w:p w14:paraId="544142EC"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170,555 </w:t>
            </w:r>
          </w:p>
        </w:tc>
        <w:tc>
          <w:tcPr>
            <w:tcW w:w="1134" w:type="dxa"/>
            <w:tcBorders>
              <w:top w:val="nil"/>
              <w:left w:val="nil"/>
              <w:bottom w:val="nil"/>
              <w:right w:val="nil"/>
            </w:tcBorders>
            <w:shd w:val="clear" w:color="auto" w:fill="auto"/>
            <w:vAlign w:val="bottom"/>
          </w:tcPr>
          <w:p w14:paraId="66B14BDF"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3AB898AE"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56C62FEA"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0C2902A5" w14:textId="77777777" w:rsidR="00587444" w:rsidRPr="00587444" w:rsidRDefault="00587444" w:rsidP="00587444">
            <w:pPr>
              <w:tabs>
                <w:tab w:val="right" w:pos="1263"/>
              </w:tabs>
              <w:suppressAutoHyphens w:val="0"/>
              <w:autoSpaceDN/>
              <w:jc w:val="right"/>
              <w:outlineLvl w:val="0"/>
              <w:rPr>
                <w:rFonts w:ascii="Arial" w:hAnsi="Arial" w:cs="Arial"/>
                <w:bCs/>
                <w:sz w:val="17"/>
                <w:szCs w:val="17"/>
                <w:lang w:val="en-GB"/>
              </w:rPr>
            </w:pPr>
            <w:r w:rsidRPr="00587444">
              <w:rPr>
                <w:rFonts w:ascii="Arial" w:hAnsi="Arial" w:cs="Arial"/>
                <w:b/>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1C57373B"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170,555</w:t>
            </w:r>
          </w:p>
        </w:tc>
      </w:tr>
      <w:tr w:rsidR="00587444" w:rsidRPr="00587444" w14:paraId="6A62F46F" w14:textId="77777777" w:rsidTr="00DD69E7">
        <w:trPr>
          <w:trHeight w:hRule="exact" w:val="227"/>
          <w:jc w:val="center"/>
        </w:trPr>
        <w:tc>
          <w:tcPr>
            <w:tcW w:w="2982" w:type="dxa"/>
            <w:vAlign w:val="bottom"/>
          </w:tcPr>
          <w:p w14:paraId="523AC5D1" w14:textId="77777777" w:rsidR="00587444" w:rsidRPr="00587444" w:rsidRDefault="00587444" w:rsidP="00587444">
            <w:pPr>
              <w:tabs>
                <w:tab w:val="left" w:pos="-720"/>
              </w:tabs>
              <w:autoSpaceDN/>
              <w:rPr>
                <w:rFonts w:ascii="Arial" w:hAnsi="Arial" w:cs="Arial"/>
                <w:spacing w:val="-2"/>
                <w:sz w:val="17"/>
                <w:szCs w:val="17"/>
                <w:lang w:val="en-GB"/>
              </w:rPr>
            </w:pPr>
            <w:r w:rsidRPr="00587444">
              <w:rPr>
                <w:rFonts w:ascii="Arial" w:hAnsi="Arial" w:cs="Arial"/>
                <w:spacing w:val="-2"/>
                <w:sz w:val="17"/>
                <w:szCs w:val="17"/>
              </w:rPr>
              <w:t>Issued guarantees in foreign currency</w:t>
            </w:r>
            <w:r w:rsidRPr="00587444" w:rsidDel="009E6B9F">
              <w:rPr>
                <w:rFonts w:ascii="Arial" w:hAnsi="Arial" w:cs="Arial"/>
                <w:spacing w:val="-2"/>
                <w:sz w:val="17"/>
                <w:szCs w:val="17"/>
              </w:rPr>
              <w:t xml:space="preserve"> </w:t>
            </w:r>
          </w:p>
        </w:tc>
        <w:tc>
          <w:tcPr>
            <w:tcW w:w="1134" w:type="dxa"/>
            <w:tcBorders>
              <w:top w:val="nil"/>
              <w:left w:val="nil"/>
              <w:bottom w:val="nil"/>
              <w:right w:val="nil"/>
            </w:tcBorders>
            <w:shd w:val="clear" w:color="auto" w:fill="auto"/>
            <w:vAlign w:val="bottom"/>
          </w:tcPr>
          <w:p w14:paraId="33C3B37A"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 xml:space="preserve"> 325,103 </w:t>
            </w:r>
          </w:p>
        </w:tc>
        <w:tc>
          <w:tcPr>
            <w:tcW w:w="1134" w:type="dxa"/>
            <w:tcBorders>
              <w:top w:val="nil"/>
              <w:left w:val="nil"/>
              <w:bottom w:val="nil"/>
              <w:right w:val="nil"/>
            </w:tcBorders>
            <w:shd w:val="clear" w:color="auto" w:fill="auto"/>
            <w:vAlign w:val="bottom"/>
          </w:tcPr>
          <w:p w14:paraId="75C90CE9" w14:textId="77777777" w:rsidR="00587444" w:rsidRPr="00587444" w:rsidRDefault="00587444" w:rsidP="00587444">
            <w:pPr>
              <w:tabs>
                <w:tab w:val="center" w:pos="4153"/>
                <w:tab w:val="right" w:pos="8306"/>
              </w:tabs>
              <w:suppressAutoHyphens w:val="0"/>
              <w:autoSpaceDN/>
              <w:jc w:val="right"/>
              <w:rPr>
                <w:rFonts w:ascii="Arial" w:hAnsi="Arial" w:cs="Arial"/>
                <w:bCs/>
                <w:spacing w:val="-2"/>
                <w:sz w:val="17"/>
                <w:szCs w:val="17"/>
                <w:lang w:val="en-GB"/>
              </w:rPr>
            </w:pPr>
            <w:r w:rsidRPr="00587444">
              <w:rPr>
                <w:rFonts w:ascii="Arial" w:hAnsi="Arial" w:cs="Arial"/>
                <w:i/>
                <w:color w:val="000000"/>
                <w:sz w:val="17"/>
                <w:szCs w:val="17"/>
              </w:rPr>
              <w:t xml:space="preserve"> - </w:t>
            </w:r>
          </w:p>
        </w:tc>
        <w:tc>
          <w:tcPr>
            <w:tcW w:w="1134" w:type="dxa"/>
            <w:tcBorders>
              <w:top w:val="nil"/>
              <w:left w:val="nil"/>
              <w:bottom w:val="nil"/>
              <w:right w:val="nil"/>
            </w:tcBorders>
            <w:shd w:val="clear" w:color="auto" w:fill="auto"/>
            <w:vAlign w:val="bottom"/>
          </w:tcPr>
          <w:p w14:paraId="3D012C53"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710E325C"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48AED4D4" w14:textId="77777777" w:rsidR="00587444" w:rsidRPr="00587444" w:rsidRDefault="00587444" w:rsidP="00587444">
            <w:pPr>
              <w:tabs>
                <w:tab w:val="right" w:pos="1263"/>
              </w:tabs>
              <w:suppressAutoHyphens w:val="0"/>
              <w:autoSpaceDN/>
              <w:jc w:val="right"/>
              <w:outlineLvl w:val="0"/>
              <w:rPr>
                <w:rFonts w:ascii="Arial" w:hAnsi="Arial" w:cs="Arial"/>
                <w:bCs/>
                <w:sz w:val="17"/>
                <w:szCs w:val="17"/>
                <w:lang w:val="en-GB"/>
              </w:rPr>
            </w:pPr>
            <w:r w:rsidRPr="00587444">
              <w:rPr>
                <w:rFonts w:ascii="Arial" w:hAnsi="Arial" w:cs="Arial"/>
                <w:b/>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7627A7F2" w14:textId="77777777" w:rsidR="00587444" w:rsidRPr="00587444" w:rsidRDefault="00587444" w:rsidP="00587444">
            <w:pPr>
              <w:tabs>
                <w:tab w:val="right" w:pos="1202"/>
              </w:tabs>
              <w:suppressAutoHyphens w:val="0"/>
              <w:autoSpaceDN/>
              <w:jc w:val="right"/>
              <w:outlineLvl w:val="0"/>
              <w:rPr>
                <w:rFonts w:ascii="Arial" w:hAnsi="Arial" w:cs="Arial"/>
                <w:bCs/>
                <w:sz w:val="17"/>
                <w:szCs w:val="17"/>
                <w:lang w:val="en-GB"/>
              </w:rPr>
            </w:pPr>
            <w:r w:rsidRPr="00587444">
              <w:rPr>
                <w:rFonts w:ascii="Arial" w:hAnsi="Arial" w:cs="Arial"/>
                <w:bCs/>
                <w:color w:val="000000"/>
                <w:sz w:val="17"/>
                <w:szCs w:val="17"/>
                <w:lang w:val="en-GB"/>
              </w:rPr>
              <w:t>325,103</w:t>
            </w:r>
          </w:p>
        </w:tc>
      </w:tr>
      <w:tr w:rsidR="00587444" w:rsidRPr="00587444" w14:paraId="060F392C" w14:textId="77777777" w:rsidTr="00DD69E7">
        <w:trPr>
          <w:trHeight w:hRule="exact" w:val="227"/>
          <w:jc w:val="center"/>
        </w:trPr>
        <w:tc>
          <w:tcPr>
            <w:tcW w:w="2982" w:type="dxa"/>
            <w:vAlign w:val="bottom"/>
          </w:tcPr>
          <w:p w14:paraId="71483A89" w14:textId="77777777" w:rsidR="00587444" w:rsidRPr="00587444" w:rsidRDefault="00587444" w:rsidP="00587444">
            <w:pPr>
              <w:tabs>
                <w:tab w:val="right" w:pos="1202"/>
              </w:tabs>
              <w:suppressAutoHyphens w:val="0"/>
              <w:autoSpaceDN/>
              <w:outlineLvl w:val="0"/>
              <w:rPr>
                <w:rFonts w:ascii="Arial" w:hAnsi="Arial" w:cs="Arial"/>
                <w:bCs/>
                <w:sz w:val="17"/>
                <w:szCs w:val="17"/>
                <w:lang w:val="en-GB"/>
              </w:rPr>
            </w:pPr>
            <w:r w:rsidRPr="00587444">
              <w:rPr>
                <w:rFonts w:ascii="Arial" w:hAnsi="Arial" w:cs="Arial"/>
                <w:spacing w:val="-2"/>
                <w:sz w:val="17"/>
                <w:szCs w:val="17"/>
                <w:lang w:val="en-GB"/>
              </w:rPr>
              <w:t>Undrawn loans</w:t>
            </w:r>
          </w:p>
        </w:tc>
        <w:tc>
          <w:tcPr>
            <w:tcW w:w="1134" w:type="dxa"/>
            <w:tcBorders>
              <w:top w:val="nil"/>
              <w:left w:val="nil"/>
              <w:bottom w:val="nil"/>
              <w:right w:val="nil"/>
            </w:tcBorders>
            <w:shd w:val="clear" w:color="auto" w:fill="auto"/>
            <w:vAlign w:val="bottom"/>
          </w:tcPr>
          <w:p w14:paraId="7AFA8F67" w14:textId="77777777" w:rsidR="00587444" w:rsidRPr="00587444" w:rsidRDefault="00587444" w:rsidP="00587444">
            <w:pPr>
              <w:suppressAutoHyphens w:val="0"/>
              <w:autoSpaceDN/>
              <w:jc w:val="right"/>
              <w:outlineLvl w:val="0"/>
              <w:rPr>
                <w:rFonts w:ascii="Arial" w:hAnsi="Arial" w:cs="Arial"/>
                <w:bCs/>
                <w:spacing w:val="-2"/>
                <w:sz w:val="17"/>
                <w:szCs w:val="17"/>
                <w:lang w:val="en-GB"/>
              </w:rPr>
            </w:pPr>
            <w:r w:rsidRPr="00587444">
              <w:rPr>
                <w:rFonts w:ascii="Arial" w:hAnsi="Arial" w:cs="Arial"/>
                <w:color w:val="000000"/>
                <w:sz w:val="17"/>
                <w:szCs w:val="17"/>
                <w:lang w:val="en-GB"/>
              </w:rPr>
              <w:t xml:space="preserve">3,492,038 </w:t>
            </w:r>
          </w:p>
        </w:tc>
        <w:tc>
          <w:tcPr>
            <w:tcW w:w="1134" w:type="dxa"/>
            <w:tcBorders>
              <w:top w:val="nil"/>
              <w:left w:val="nil"/>
              <w:bottom w:val="nil"/>
              <w:right w:val="nil"/>
            </w:tcBorders>
            <w:shd w:val="clear" w:color="auto" w:fill="auto"/>
            <w:vAlign w:val="bottom"/>
          </w:tcPr>
          <w:p w14:paraId="795C6983" w14:textId="77777777" w:rsidR="00587444" w:rsidRPr="00587444" w:rsidRDefault="00587444" w:rsidP="00587444">
            <w:pPr>
              <w:suppressAutoHyphens w:val="0"/>
              <w:autoSpaceDN/>
              <w:jc w:val="right"/>
              <w:outlineLvl w:val="0"/>
              <w:rPr>
                <w:rFonts w:ascii="Arial" w:hAnsi="Arial" w:cs="Arial"/>
                <w:bCs/>
                <w:spacing w:val="-2"/>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6948B39C" w14:textId="77777777" w:rsidR="00587444" w:rsidRPr="00587444" w:rsidRDefault="00587444" w:rsidP="00587444">
            <w:pPr>
              <w:suppressAutoHyphens w:val="0"/>
              <w:autoSpaceDN/>
              <w:jc w:val="right"/>
              <w:outlineLvl w:val="0"/>
              <w:rPr>
                <w:rFonts w:ascii="Arial" w:hAnsi="Arial" w:cs="Arial"/>
                <w:bCs/>
                <w:spacing w:val="-2"/>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251F4C9A" w14:textId="77777777" w:rsidR="00587444" w:rsidRPr="00587444" w:rsidRDefault="00587444" w:rsidP="00587444">
            <w:pPr>
              <w:suppressAutoHyphens w:val="0"/>
              <w:autoSpaceDN/>
              <w:jc w:val="right"/>
              <w:outlineLvl w:val="0"/>
              <w:rPr>
                <w:rFonts w:ascii="Arial" w:hAnsi="Arial" w:cs="Arial"/>
                <w:bCs/>
                <w:spacing w:val="-2"/>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3CCA7D1F" w14:textId="77777777" w:rsidR="00587444" w:rsidRPr="00587444" w:rsidRDefault="00587444" w:rsidP="00587444">
            <w:pPr>
              <w:tabs>
                <w:tab w:val="right" w:pos="1263"/>
              </w:tabs>
              <w:suppressAutoHyphens w:val="0"/>
              <w:autoSpaceDN/>
              <w:jc w:val="right"/>
              <w:outlineLvl w:val="0"/>
              <w:rPr>
                <w:rFonts w:ascii="Arial" w:hAnsi="Arial" w:cs="Arial"/>
                <w:bCs/>
                <w:spacing w:val="-2"/>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3F2EEB8C" w14:textId="77777777" w:rsidR="00587444" w:rsidRPr="00587444" w:rsidRDefault="00587444" w:rsidP="00587444">
            <w:pPr>
              <w:suppressAutoHyphens w:val="0"/>
              <w:autoSpaceDN/>
              <w:jc w:val="right"/>
              <w:outlineLvl w:val="0"/>
              <w:rPr>
                <w:rFonts w:ascii="Arial" w:hAnsi="Arial" w:cs="Arial"/>
                <w:bCs/>
                <w:sz w:val="17"/>
                <w:szCs w:val="17"/>
                <w:lang w:val="en-GB"/>
              </w:rPr>
            </w:pPr>
            <w:r w:rsidRPr="00587444">
              <w:rPr>
                <w:rFonts w:ascii="Arial" w:hAnsi="Arial" w:cs="Arial"/>
                <w:color w:val="000000"/>
                <w:sz w:val="17"/>
                <w:szCs w:val="17"/>
                <w:lang w:val="en-GB"/>
              </w:rPr>
              <w:t>3,492,038</w:t>
            </w:r>
          </w:p>
        </w:tc>
      </w:tr>
      <w:tr w:rsidR="00587444" w:rsidRPr="00587444" w14:paraId="29F1D73E" w14:textId="77777777" w:rsidTr="00DD69E7">
        <w:trPr>
          <w:trHeight w:hRule="exact" w:val="227"/>
          <w:jc w:val="center"/>
        </w:trPr>
        <w:tc>
          <w:tcPr>
            <w:tcW w:w="2982" w:type="dxa"/>
            <w:vAlign w:val="bottom"/>
          </w:tcPr>
          <w:p w14:paraId="11110243" w14:textId="77777777" w:rsidR="00587444" w:rsidRPr="00587444" w:rsidRDefault="00587444" w:rsidP="00587444">
            <w:pPr>
              <w:tabs>
                <w:tab w:val="left" w:pos="-720"/>
              </w:tabs>
              <w:autoSpaceDN/>
              <w:rPr>
                <w:rFonts w:ascii="Arial" w:hAnsi="Arial" w:cs="Arial"/>
                <w:spacing w:val="-2"/>
                <w:sz w:val="17"/>
                <w:szCs w:val="17"/>
              </w:rPr>
            </w:pPr>
            <w:r w:rsidRPr="00587444">
              <w:rPr>
                <w:rFonts w:ascii="Arial" w:hAnsi="Arial" w:cs="Arial"/>
                <w:spacing w:val="-2"/>
                <w:sz w:val="17"/>
                <w:szCs w:val="17"/>
              </w:rPr>
              <w:t>EIF – subscribed, not called up capital</w:t>
            </w:r>
          </w:p>
        </w:tc>
        <w:tc>
          <w:tcPr>
            <w:tcW w:w="1134" w:type="dxa"/>
            <w:tcBorders>
              <w:top w:val="nil"/>
              <w:left w:val="nil"/>
              <w:bottom w:val="nil"/>
              <w:right w:val="nil"/>
            </w:tcBorders>
            <w:shd w:val="clear" w:color="auto" w:fill="auto"/>
            <w:vAlign w:val="bottom"/>
          </w:tcPr>
          <w:p w14:paraId="54907D6F"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78,179 </w:t>
            </w:r>
          </w:p>
        </w:tc>
        <w:tc>
          <w:tcPr>
            <w:tcW w:w="1134" w:type="dxa"/>
            <w:tcBorders>
              <w:top w:val="nil"/>
              <w:left w:val="nil"/>
              <w:bottom w:val="nil"/>
              <w:right w:val="nil"/>
            </w:tcBorders>
            <w:shd w:val="clear" w:color="auto" w:fill="auto"/>
            <w:vAlign w:val="bottom"/>
          </w:tcPr>
          <w:p w14:paraId="4628F4E6"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2C47F2C6"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5F3959E3"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363A5001" w14:textId="77777777" w:rsidR="00587444" w:rsidRPr="00587444" w:rsidRDefault="00587444" w:rsidP="00587444">
            <w:pPr>
              <w:tabs>
                <w:tab w:val="right" w:pos="1263"/>
              </w:tabs>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761BF779" w14:textId="77777777" w:rsidR="00587444" w:rsidRPr="00587444" w:rsidRDefault="00587444" w:rsidP="00587444">
            <w:pPr>
              <w:suppressAutoHyphens w:val="0"/>
              <w:autoSpaceDN/>
              <w:jc w:val="right"/>
              <w:outlineLvl w:val="0"/>
              <w:rPr>
                <w:rFonts w:ascii="Arial" w:hAnsi="Arial" w:cs="Arial"/>
                <w:color w:val="000000"/>
                <w:sz w:val="17"/>
                <w:szCs w:val="17"/>
                <w:lang w:val="en-GB"/>
              </w:rPr>
            </w:pPr>
            <w:r w:rsidRPr="00587444">
              <w:rPr>
                <w:rFonts w:ascii="Arial" w:hAnsi="Arial" w:cs="Arial"/>
                <w:color w:val="000000"/>
                <w:sz w:val="17"/>
                <w:szCs w:val="17"/>
                <w:lang w:val="en-GB"/>
              </w:rPr>
              <w:t>78,179</w:t>
            </w:r>
          </w:p>
        </w:tc>
      </w:tr>
      <w:tr w:rsidR="00587444" w:rsidRPr="00587444" w14:paraId="3757892F" w14:textId="77777777" w:rsidTr="00DD69E7">
        <w:trPr>
          <w:trHeight w:hRule="exact" w:val="227"/>
          <w:jc w:val="center"/>
        </w:trPr>
        <w:tc>
          <w:tcPr>
            <w:tcW w:w="2982" w:type="dxa"/>
            <w:tcBorders>
              <w:top w:val="nil"/>
              <w:left w:val="nil"/>
              <w:bottom w:val="nil"/>
              <w:right w:val="nil"/>
            </w:tcBorders>
            <w:shd w:val="clear" w:color="auto" w:fill="auto"/>
            <w:vAlign w:val="bottom"/>
          </w:tcPr>
          <w:p w14:paraId="3DDB29C9" w14:textId="77777777" w:rsidR="00587444" w:rsidRPr="00587444" w:rsidRDefault="00587444" w:rsidP="00587444">
            <w:pPr>
              <w:tabs>
                <w:tab w:val="left" w:pos="-720"/>
              </w:tabs>
              <w:autoSpaceDN/>
              <w:rPr>
                <w:rFonts w:ascii="Arial" w:hAnsi="Arial" w:cs="Arial"/>
                <w:spacing w:val="-2"/>
                <w:sz w:val="17"/>
                <w:szCs w:val="17"/>
              </w:rPr>
            </w:pPr>
            <w:r w:rsidRPr="00587444">
              <w:rPr>
                <w:rFonts w:ascii="Arial" w:hAnsi="Arial" w:cs="Arial"/>
                <w:color w:val="000000"/>
                <w:sz w:val="17"/>
                <w:szCs w:val="17"/>
                <w:lang w:val="en-GB"/>
              </w:rPr>
              <w:t>EIF CROGIP Contracted Liability</w:t>
            </w:r>
          </w:p>
        </w:tc>
        <w:tc>
          <w:tcPr>
            <w:tcW w:w="1134" w:type="dxa"/>
            <w:tcBorders>
              <w:top w:val="nil"/>
              <w:left w:val="nil"/>
              <w:bottom w:val="nil"/>
              <w:right w:val="nil"/>
            </w:tcBorders>
            <w:shd w:val="clear" w:color="auto" w:fill="auto"/>
            <w:vAlign w:val="bottom"/>
          </w:tcPr>
          <w:p w14:paraId="1BDEC9B5"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 </w:t>
            </w:r>
          </w:p>
        </w:tc>
        <w:tc>
          <w:tcPr>
            <w:tcW w:w="1134" w:type="dxa"/>
            <w:tcBorders>
              <w:top w:val="nil"/>
              <w:left w:val="nil"/>
              <w:bottom w:val="nil"/>
              <w:right w:val="nil"/>
            </w:tcBorders>
            <w:shd w:val="clear" w:color="auto" w:fill="auto"/>
            <w:vAlign w:val="bottom"/>
          </w:tcPr>
          <w:p w14:paraId="4CECD562"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12,616 </w:t>
            </w:r>
          </w:p>
        </w:tc>
        <w:tc>
          <w:tcPr>
            <w:tcW w:w="1134" w:type="dxa"/>
            <w:tcBorders>
              <w:top w:val="nil"/>
              <w:left w:val="nil"/>
              <w:bottom w:val="nil"/>
              <w:right w:val="nil"/>
            </w:tcBorders>
            <w:shd w:val="clear" w:color="auto" w:fill="auto"/>
            <w:vAlign w:val="bottom"/>
          </w:tcPr>
          <w:p w14:paraId="34C2E605"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56,771 </w:t>
            </w:r>
          </w:p>
        </w:tc>
        <w:tc>
          <w:tcPr>
            <w:tcW w:w="1134" w:type="dxa"/>
            <w:tcBorders>
              <w:top w:val="nil"/>
              <w:left w:val="nil"/>
              <w:bottom w:val="nil"/>
              <w:right w:val="nil"/>
            </w:tcBorders>
            <w:shd w:val="clear" w:color="auto" w:fill="auto"/>
            <w:vAlign w:val="bottom"/>
          </w:tcPr>
          <w:p w14:paraId="33FF2A5B"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112,664 </w:t>
            </w:r>
          </w:p>
        </w:tc>
        <w:tc>
          <w:tcPr>
            <w:tcW w:w="1134" w:type="dxa"/>
            <w:tcBorders>
              <w:top w:val="nil"/>
              <w:left w:val="nil"/>
              <w:bottom w:val="nil"/>
              <w:right w:val="nil"/>
            </w:tcBorders>
            <w:shd w:val="clear" w:color="auto" w:fill="auto"/>
            <w:vAlign w:val="bottom"/>
          </w:tcPr>
          <w:p w14:paraId="5F08A50C" w14:textId="77777777" w:rsidR="00587444" w:rsidRPr="00587444" w:rsidRDefault="00587444" w:rsidP="00587444">
            <w:pPr>
              <w:tabs>
                <w:tab w:val="right" w:pos="1263"/>
              </w:tabs>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130,438 </w:t>
            </w:r>
          </w:p>
        </w:tc>
        <w:tc>
          <w:tcPr>
            <w:tcW w:w="1134" w:type="dxa"/>
            <w:tcBorders>
              <w:top w:val="nil"/>
              <w:left w:val="nil"/>
              <w:bottom w:val="nil"/>
              <w:right w:val="nil"/>
            </w:tcBorders>
            <w:shd w:val="clear" w:color="auto" w:fill="auto"/>
            <w:vAlign w:val="bottom"/>
          </w:tcPr>
          <w:p w14:paraId="69B09BD7" w14:textId="77777777" w:rsidR="00587444" w:rsidRPr="00587444" w:rsidRDefault="00587444" w:rsidP="00587444">
            <w:pPr>
              <w:suppressAutoHyphens w:val="0"/>
              <w:autoSpaceDN/>
              <w:jc w:val="right"/>
              <w:outlineLvl w:val="0"/>
              <w:rPr>
                <w:rFonts w:ascii="Arial" w:hAnsi="Arial" w:cs="Arial"/>
                <w:color w:val="000000"/>
                <w:sz w:val="17"/>
                <w:szCs w:val="17"/>
                <w:lang w:val="en-GB"/>
              </w:rPr>
            </w:pPr>
            <w:r w:rsidRPr="00587444">
              <w:rPr>
                <w:rFonts w:ascii="Arial" w:hAnsi="Arial" w:cs="Arial"/>
                <w:color w:val="000000"/>
                <w:sz w:val="17"/>
                <w:szCs w:val="17"/>
                <w:lang w:val="en-GB"/>
              </w:rPr>
              <w:t>312,489</w:t>
            </w:r>
          </w:p>
        </w:tc>
      </w:tr>
      <w:tr w:rsidR="00587444" w:rsidRPr="00587444" w14:paraId="12D0B5DF" w14:textId="77777777" w:rsidTr="00DD69E7">
        <w:trPr>
          <w:trHeight w:hRule="exact" w:val="227"/>
          <w:jc w:val="center"/>
        </w:trPr>
        <w:tc>
          <w:tcPr>
            <w:tcW w:w="2982" w:type="dxa"/>
            <w:tcBorders>
              <w:top w:val="nil"/>
              <w:left w:val="nil"/>
              <w:bottom w:val="nil"/>
              <w:right w:val="nil"/>
            </w:tcBorders>
            <w:shd w:val="clear" w:color="auto" w:fill="auto"/>
            <w:vAlign w:val="bottom"/>
          </w:tcPr>
          <w:p w14:paraId="34369024" w14:textId="77777777" w:rsidR="00587444" w:rsidRPr="00587444" w:rsidRDefault="00587444" w:rsidP="00587444">
            <w:pPr>
              <w:tabs>
                <w:tab w:val="left" w:pos="-720"/>
              </w:tabs>
              <w:autoSpaceDN/>
              <w:rPr>
                <w:rFonts w:ascii="Arial" w:hAnsi="Arial" w:cs="Arial"/>
                <w:spacing w:val="-2"/>
                <w:sz w:val="17"/>
                <w:szCs w:val="17"/>
              </w:rPr>
            </w:pPr>
            <w:r w:rsidRPr="00587444">
              <w:rPr>
                <w:rFonts w:ascii="Arial" w:hAnsi="Arial" w:cs="Arial"/>
                <w:color w:val="000000"/>
                <w:sz w:val="17"/>
                <w:szCs w:val="17"/>
                <w:lang w:val="en-GB"/>
              </w:rPr>
              <w:t>EIF FRC2 Contracted Liability</w:t>
            </w:r>
          </w:p>
        </w:tc>
        <w:tc>
          <w:tcPr>
            <w:tcW w:w="1134" w:type="dxa"/>
            <w:tcBorders>
              <w:top w:val="nil"/>
              <w:left w:val="nil"/>
              <w:bottom w:val="single" w:sz="8" w:space="0" w:color="auto"/>
              <w:right w:val="nil"/>
            </w:tcBorders>
            <w:shd w:val="clear" w:color="auto" w:fill="auto"/>
            <w:vAlign w:val="bottom"/>
          </w:tcPr>
          <w:p w14:paraId="2C44742B"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678 </w:t>
            </w:r>
          </w:p>
        </w:tc>
        <w:tc>
          <w:tcPr>
            <w:tcW w:w="1134" w:type="dxa"/>
            <w:tcBorders>
              <w:top w:val="nil"/>
              <w:left w:val="nil"/>
              <w:bottom w:val="single" w:sz="8" w:space="0" w:color="auto"/>
              <w:right w:val="nil"/>
            </w:tcBorders>
            <w:shd w:val="clear" w:color="auto" w:fill="auto"/>
            <w:vAlign w:val="bottom"/>
          </w:tcPr>
          <w:p w14:paraId="59296D36"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532 </w:t>
            </w:r>
          </w:p>
        </w:tc>
        <w:tc>
          <w:tcPr>
            <w:tcW w:w="1134" w:type="dxa"/>
            <w:tcBorders>
              <w:top w:val="nil"/>
              <w:left w:val="nil"/>
              <w:bottom w:val="single" w:sz="8" w:space="0" w:color="auto"/>
              <w:right w:val="nil"/>
            </w:tcBorders>
            <w:shd w:val="clear" w:color="auto" w:fill="auto"/>
            <w:vAlign w:val="bottom"/>
          </w:tcPr>
          <w:p w14:paraId="254F976C"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2,393 </w:t>
            </w:r>
          </w:p>
        </w:tc>
        <w:tc>
          <w:tcPr>
            <w:tcW w:w="1134" w:type="dxa"/>
            <w:tcBorders>
              <w:top w:val="nil"/>
              <w:left w:val="nil"/>
              <w:bottom w:val="single" w:sz="8" w:space="0" w:color="auto"/>
              <w:right w:val="nil"/>
            </w:tcBorders>
            <w:shd w:val="clear" w:color="auto" w:fill="auto"/>
            <w:vAlign w:val="bottom"/>
          </w:tcPr>
          <w:p w14:paraId="7970C5CD" w14:textId="77777777" w:rsidR="00587444" w:rsidRPr="00587444" w:rsidRDefault="00587444" w:rsidP="00587444">
            <w:pPr>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2,171 </w:t>
            </w:r>
          </w:p>
        </w:tc>
        <w:tc>
          <w:tcPr>
            <w:tcW w:w="1134" w:type="dxa"/>
            <w:tcBorders>
              <w:top w:val="nil"/>
              <w:left w:val="nil"/>
              <w:bottom w:val="single" w:sz="8" w:space="0" w:color="auto"/>
              <w:right w:val="nil"/>
            </w:tcBorders>
            <w:shd w:val="clear" w:color="auto" w:fill="auto"/>
            <w:vAlign w:val="bottom"/>
          </w:tcPr>
          <w:p w14:paraId="766132D2" w14:textId="77777777" w:rsidR="00587444" w:rsidRPr="00587444" w:rsidRDefault="00587444" w:rsidP="00587444">
            <w:pPr>
              <w:tabs>
                <w:tab w:val="right" w:pos="1263"/>
              </w:tabs>
              <w:suppressAutoHyphens w:val="0"/>
              <w:autoSpaceDN/>
              <w:jc w:val="right"/>
              <w:outlineLvl w:val="0"/>
              <w:rPr>
                <w:rFonts w:ascii="Arial" w:hAnsi="Arial" w:cs="Arial"/>
                <w:bCs/>
                <w:color w:val="000000"/>
                <w:sz w:val="17"/>
                <w:szCs w:val="17"/>
                <w:lang w:val="en-GB"/>
              </w:rPr>
            </w:pPr>
            <w:r w:rsidRPr="00587444">
              <w:rPr>
                <w:rFonts w:ascii="Arial" w:hAnsi="Arial" w:cs="Arial"/>
                <w:color w:val="000000"/>
                <w:sz w:val="17"/>
                <w:szCs w:val="17"/>
                <w:lang w:val="en-GB"/>
              </w:rPr>
              <w:t xml:space="preserve"> 469 </w:t>
            </w:r>
          </w:p>
        </w:tc>
        <w:tc>
          <w:tcPr>
            <w:tcW w:w="1134" w:type="dxa"/>
            <w:tcBorders>
              <w:top w:val="nil"/>
              <w:left w:val="nil"/>
              <w:bottom w:val="single" w:sz="8" w:space="0" w:color="auto"/>
              <w:right w:val="nil"/>
            </w:tcBorders>
            <w:shd w:val="clear" w:color="auto" w:fill="auto"/>
            <w:vAlign w:val="bottom"/>
          </w:tcPr>
          <w:p w14:paraId="09E78B1E" w14:textId="77777777" w:rsidR="00587444" w:rsidRPr="00587444" w:rsidRDefault="00587444" w:rsidP="00587444">
            <w:pPr>
              <w:suppressAutoHyphens w:val="0"/>
              <w:autoSpaceDN/>
              <w:jc w:val="right"/>
              <w:outlineLvl w:val="0"/>
              <w:rPr>
                <w:rFonts w:ascii="Arial" w:hAnsi="Arial" w:cs="Arial"/>
                <w:color w:val="000000"/>
                <w:sz w:val="17"/>
                <w:szCs w:val="17"/>
                <w:lang w:val="en-GB"/>
              </w:rPr>
            </w:pPr>
            <w:r w:rsidRPr="00587444">
              <w:rPr>
                <w:rFonts w:ascii="Arial" w:hAnsi="Arial" w:cs="Arial"/>
                <w:color w:val="000000"/>
                <w:sz w:val="17"/>
                <w:szCs w:val="17"/>
                <w:lang w:val="en-GB"/>
              </w:rPr>
              <w:t>6,243</w:t>
            </w:r>
          </w:p>
        </w:tc>
      </w:tr>
      <w:tr w:rsidR="00587444" w:rsidRPr="00587444" w14:paraId="217F7094" w14:textId="77777777" w:rsidTr="00DD69E7">
        <w:trPr>
          <w:trHeight w:hRule="exact" w:val="481"/>
          <w:jc w:val="center"/>
        </w:trPr>
        <w:tc>
          <w:tcPr>
            <w:tcW w:w="2982" w:type="dxa"/>
            <w:vAlign w:val="bottom"/>
          </w:tcPr>
          <w:p w14:paraId="6BDDF9C9" w14:textId="77777777" w:rsidR="00587444" w:rsidRPr="00587444" w:rsidRDefault="00587444" w:rsidP="00587444">
            <w:pPr>
              <w:suppressAutoHyphens w:val="0"/>
              <w:autoSpaceDN/>
              <w:rPr>
                <w:rFonts w:ascii="Arial" w:hAnsi="Arial" w:cs="Arial"/>
                <w:b/>
                <w:i/>
                <w:sz w:val="17"/>
                <w:szCs w:val="17"/>
                <w:lang w:val="en-GB"/>
              </w:rPr>
            </w:pPr>
            <w:r w:rsidRPr="00587444">
              <w:rPr>
                <w:rFonts w:ascii="Arial" w:hAnsi="Arial" w:cs="Arial"/>
                <w:b/>
                <w:bCs/>
                <w:spacing w:val="-2"/>
                <w:sz w:val="17"/>
                <w:szCs w:val="17"/>
              </w:rPr>
              <w:t>Total guarantees and commitments</w:t>
            </w:r>
          </w:p>
        </w:tc>
        <w:tc>
          <w:tcPr>
            <w:tcW w:w="1134" w:type="dxa"/>
            <w:tcBorders>
              <w:top w:val="single" w:sz="8" w:space="0" w:color="auto"/>
              <w:left w:val="nil"/>
              <w:bottom w:val="single" w:sz="12" w:space="0" w:color="auto"/>
              <w:right w:val="nil"/>
            </w:tcBorders>
            <w:shd w:val="clear" w:color="auto" w:fill="auto"/>
            <w:vAlign w:val="bottom"/>
          </w:tcPr>
          <w:p w14:paraId="3DC482B0"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b/>
                <w:bCs/>
                <w:color w:val="000000"/>
                <w:sz w:val="17"/>
                <w:szCs w:val="17"/>
              </w:rPr>
              <w:t>4,066,553</w:t>
            </w:r>
          </w:p>
        </w:tc>
        <w:tc>
          <w:tcPr>
            <w:tcW w:w="1134" w:type="dxa"/>
            <w:tcBorders>
              <w:top w:val="single" w:sz="8" w:space="0" w:color="auto"/>
              <w:left w:val="nil"/>
              <w:bottom w:val="single" w:sz="12" w:space="0" w:color="auto"/>
              <w:right w:val="nil"/>
            </w:tcBorders>
            <w:shd w:val="clear" w:color="auto" w:fill="auto"/>
            <w:vAlign w:val="bottom"/>
          </w:tcPr>
          <w:p w14:paraId="36D67EB8"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b/>
                <w:bCs/>
                <w:color w:val="000000"/>
                <w:sz w:val="17"/>
                <w:szCs w:val="17"/>
              </w:rPr>
              <w:t>13,148</w:t>
            </w:r>
          </w:p>
        </w:tc>
        <w:tc>
          <w:tcPr>
            <w:tcW w:w="1134" w:type="dxa"/>
            <w:tcBorders>
              <w:top w:val="single" w:sz="8" w:space="0" w:color="auto"/>
              <w:left w:val="nil"/>
              <w:bottom w:val="single" w:sz="12" w:space="0" w:color="auto"/>
              <w:right w:val="nil"/>
            </w:tcBorders>
            <w:shd w:val="clear" w:color="auto" w:fill="auto"/>
            <w:vAlign w:val="bottom"/>
          </w:tcPr>
          <w:p w14:paraId="5DC81815"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b/>
                <w:bCs/>
                <w:color w:val="000000"/>
                <w:sz w:val="17"/>
                <w:szCs w:val="17"/>
              </w:rPr>
              <w:t>59,164</w:t>
            </w:r>
          </w:p>
        </w:tc>
        <w:tc>
          <w:tcPr>
            <w:tcW w:w="1134" w:type="dxa"/>
            <w:tcBorders>
              <w:top w:val="single" w:sz="8" w:space="0" w:color="auto"/>
              <w:left w:val="nil"/>
              <w:bottom w:val="single" w:sz="12" w:space="0" w:color="auto"/>
              <w:right w:val="nil"/>
            </w:tcBorders>
            <w:shd w:val="clear" w:color="auto" w:fill="auto"/>
            <w:vAlign w:val="bottom"/>
          </w:tcPr>
          <w:p w14:paraId="6050C328"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b/>
                <w:bCs/>
                <w:color w:val="000000"/>
                <w:sz w:val="17"/>
                <w:szCs w:val="17"/>
              </w:rPr>
              <w:t>114,835</w:t>
            </w:r>
          </w:p>
        </w:tc>
        <w:tc>
          <w:tcPr>
            <w:tcW w:w="1134" w:type="dxa"/>
            <w:tcBorders>
              <w:top w:val="single" w:sz="8" w:space="0" w:color="auto"/>
              <w:left w:val="nil"/>
              <w:bottom w:val="single" w:sz="12" w:space="0" w:color="auto"/>
              <w:right w:val="nil"/>
            </w:tcBorders>
            <w:shd w:val="clear" w:color="auto" w:fill="auto"/>
            <w:vAlign w:val="bottom"/>
          </w:tcPr>
          <w:p w14:paraId="155BB418"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b/>
                <w:bCs/>
                <w:color w:val="000000"/>
                <w:sz w:val="17"/>
                <w:szCs w:val="17"/>
              </w:rPr>
              <w:t>130,907</w:t>
            </w:r>
          </w:p>
        </w:tc>
        <w:tc>
          <w:tcPr>
            <w:tcW w:w="1134" w:type="dxa"/>
            <w:tcBorders>
              <w:top w:val="single" w:sz="8" w:space="0" w:color="auto"/>
              <w:left w:val="nil"/>
              <w:bottom w:val="single" w:sz="12" w:space="0" w:color="auto"/>
              <w:right w:val="nil"/>
            </w:tcBorders>
            <w:shd w:val="clear" w:color="auto" w:fill="auto"/>
            <w:vAlign w:val="bottom"/>
          </w:tcPr>
          <w:p w14:paraId="7A18B908" w14:textId="77777777" w:rsidR="00587444" w:rsidRPr="00587444" w:rsidRDefault="00587444" w:rsidP="00587444">
            <w:pPr>
              <w:keepNext/>
              <w:keepLines/>
              <w:tabs>
                <w:tab w:val="decimal" w:pos="1202"/>
                <w:tab w:val="center" w:pos="4153"/>
                <w:tab w:val="right" w:pos="8306"/>
              </w:tabs>
              <w:suppressAutoHyphens w:val="0"/>
              <w:autoSpaceDN/>
              <w:jc w:val="right"/>
              <w:rPr>
                <w:rFonts w:ascii="Arial" w:hAnsi="Arial" w:cs="Arial"/>
                <w:position w:val="4"/>
                <w:sz w:val="17"/>
                <w:szCs w:val="17"/>
              </w:rPr>
            </w:pPr>
            <w:r w:rsidRPr="00587444">
              <w:rPr>
                <w:rFonts w:ascii="Arial" w:hAnsi="Arial" w:cs="Arial"/>
                <w:b/>
                <w:bCs/>
                <w:color w:val="000000"/>
                <w:sz w:val="17"/>
                <w:szCs w:val="17"/>
              </w:rPr>
              <w:t>4,384,607</w:t>
            </w:r>
          </w:p>
        </w:tc>
      </w:tr>
    </w:tbl>
    <w:p w14:paraId="310E9D3B"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18B2B482"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1AC38B10"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 xml:space="preserve">31.         Risk management </w:t>
      </w:r>
    </w:p>
    <w:p w14:paraId="5ABAA241"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44EF6F5B"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 xml:space="preserve">31.5.      Market risk </w:t>
      </w:r>
    </w:p>
    <w:p w14:paraId="308FC46F"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166FB004"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bCs/>
          <w:sz w:val="20"/>
          <w:szCs w:val="20"/>
          <w:lang w:val="en-GB"/>
        </w:rPr>
        <w:t xml:space="preserve">Management of market risks at the Bank implies the reduction of interest rate risk and the currency risk to a minimal level. </w:t>
      </w:r>
    </w:p>
    <w:p w14:paraId="55C04D30" w14:textId="77777777" w:rsidR="00587444" w:rsidRPr="00587444" w:rsidRDefault="00587444" w:rsidP="00587444">
      <w:pPr>
        <w:keepNext/>
        <w:suppressAutoHyphens w:val="0"/>
        <w:autoSpaceDN/>
        <w:jc w:val="both"/>
        <w:rPr>
          <w:rFonts w:ascii="Arial" w:hAnsi="Arial" w:cs="Arial"/>
          <w:b/>
          <w:bCs/>
          <w:sz w:val="20"/>
          <w:szCs w:val="20"/>
          <w:lang w:val="en-GB"/>
        </w:rPr>
      </w:pPr>
    </w:p>
    <w:p w14:paraId="4D5E0C12"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 xml:space="preserve">31.5.1.   Interest rate risk </w:t>
      </w:r>
    </w:p>
    <w:p w14:paraId="2C01DC04" w14:textId="77777777" w:rsidR="00587444" w:rsidRPr="00587444" w:rsidRDefault="00587444" w:rsidP="007B030C">
      <w:pPr>
        <w:suppressAutoHyphens w:val="0"/>
        <w:autoSpaceDN/>
        <w:ind w:right="-6"/>
        <w:jc w:val="both"/>
        <w:rPr>
          <w:rFonts w:ascii="Arial" w:hAnsi="Arial" w:cs="Arial"/>
          <w:iCs/>
          <w:sz w:val="20"/>
          <w:szCs w:val="20"/>
          <w:lang w:val="en-GB"/>
        </w:rPr>
      </w:pPr>
    </w:p>
    <w:p w14:paraId="5E62583F" w14:textId="655210A3" w:rsidR="00587444" w:rsidRPr="00587444" w:rsidRDefault="00587444" w:rsidP="007B030C">
      <w:pPr>
        <w:suppressAutoHyphens w:val="0"/>
        <w:autoSpaceDN/>
        <w:ind w:right="-6"/>
        <w:jc w:val="both"/>
        <w:rPr>
          <w:rFonts w:ascii="Arial" w:hAnsi="Arial" w:cs="Arial"/>
          <w:iCs/>
          <w:sz w:val="20"/>
          <w:szCs w:val="20"/>
          <w:lang w:val="en-GB"/>
        </w:rPr>
      </w:pPr>
      <w:r w:rsidRPr="00587444">
        <w:rPr>
          <w:rFonts w:ascii="Arial" w:hAnsi="Arial" w:cs="Arial"/>
          <w:iCs/>
          <w:sz w:val="20"/>
          <w:szCs w:val="20"/>
          <w:lang w:val="en-GB"/>
        </w:rPr>
        <w:t xml:space="preserve">The following tables demonstrate the sensitivity of the Group to the interest rate risk as of 31 December 2022 and 2021on the basis of known dates of changes in prices of assets and liabilities to which floating and fixed interest rates are applied. Periods of interest rates changes are determined on the basis of residual maturity and contracted period when interest rates change, depending on which is shorter. </w:t>
      </w:r>
    </w:p>
    <w:p w14:paraId="7DE05E12" w14:textId="77777777" w:rsidR="00587444" w:rsidRPr="00587444" w:rsidRDefault="00587444" w:rsidP="007B030C">
      <w:pPr>
        <w:suppressAutoHyphens w:val="0"/>
        <w:autoSpaceDN/>
        <w:ind w:right="-6"/>
        <w:jc w:val="both"/>
        <w:rPr>
          <w:rFonts w:ascii="Arial" w:hAnsi="Arial" w:cs="Arial"/>
          <w:iCs/>
          <w:sz w:val="20"/>
          <w:szCs w:val="20"/>
          <w:lang w:val="en-GB"/>
        </w:rPr>
      </w:pPr>
    </w:p>
    <w:p w14:paraId="2385DC0A" w14:textId="77777777" w:rsidR="00587444" w:rsidRPr="00587444" w:rsidRDefault="00587444" w:rsidP="007B030C">
      <w:pPr>
        <w:suppressAutoHyphens w:val="0"/>
        <w:autoSpaceDN/>
        <w:ind w:right="-6"/>
        <w:jc w:val="both"/>
        <w:rPr>
          <w:rFonts w:ascii="Arial" w:hAnsi="Arial" w:cs="Arial"/>
          <w:iCs/>
          <w:sz w:val="20"/>
          <w:szCs w:val="20"/>
          <w:lang w:val="en-GB"/>
        </w:rPr>
      </w:pPr>
      <w:r w:rsidRPr="00587444">
        <w:rPr>
          <w:rFonts w:ascii="Arial" w:hAnsi="Arial" w:cs="Arial"/>
          <w:iCs/>
          <w:sz w:val="20"/>
          <w:szCs w:val="20"/>
          <w:lang w:val="en-GB"/>
        </w:rPr>
        <w:t>Assets and liabilities on which interest is not charged are placed into the non-</w:t>
      </w:r>
      <w:proofErr w:type="gramStart"/>
      <w:r w:rsidRPr="00587444">
        <w:rPr>
          <w:rFonts w:ascii="Arial" w:hAnsi="Arial" w:cs="Arial"/>
          <w:iCs/>
          <w:sz w:val="20"/>
          <w:szCs w:val="20"/>
          <w:lang w:val="en-GB"/>
        </w:rPr>
        <w:t>interest bearing</w:t>
      </w:r>
      <w:proofErr w:type="gramEnd"/>
      <w:r w:rsidRPr="00587444">
        <w:rPr>
          <w:rFonts w:ascii="Arial" w:hAnsi="Arial" w:cs="Arial"/>
          <w:iCs/>
          <w:sz w:val="20"/>
          <w:szCs w:val="20"/>
          <w:lang w:val="en-GB"/>
        </w:rPr>
        <w:t xml:space="preserve"> category.</w:t>
      </w:r>
    </w:p>
    <w:p w14:paraId="61573D14" w14:textId="77777777" w:rsidR="00587444" w:rsidRPr="00587444" w:rsidRDefault="00587444" w:rsidP="007B030C">
      <w:pPr>
        <w:tabs>
          <w:tab w:val="left" w:pos="-720"/>
        </w:tabs>
        <w:autoSpaceDN/>
        <w:ind w:right="-5"/>
        <w:jc w:val="both"/>
        <w:rPr>
          <w:rFonts w:ascii="Arial" w:hAnsi="Arial" w:cs="Arial"/>
          <w:sz w:val="20"/>
          <w:szCs w:val="20"/>
          <w:lang w:val="en-GB"/>
        </w:rPr>
      </w:pPr>
      <w:r w:rsidRPr="00587444">
        <w:rPr>
          <w:rFonts w:ascii="Arial" w:hAnsi="Arial" w:cs="Arial"/>
          <w:sz w:val="20"/>
          <w:szCs w:val="20"/>
          <w:lang w:val="en-GB"/>
        </w:rPr>
        <w:t xml:space="preserve">The tables below demonstrate the estimation of Group’s interest rate risk exposure as of 31 December 2022 and 2021 which may not be indicative for the positions in other periods. </w:t>
      </w:r>
    </w:p>
    <w:p w14:paraId="6ACF131C" w14:textId="77777777" w:rsidR="00587444" w:rsidRPr="00587444" w:rsidRDefault="00587444" w:rsidP="00587444">
      <w:pPr>
        <w:tabs>
          <w:tab w:val="left" w:pos="-720"/>
        </w:tabs>
        <w:autoSpaceDN/>
        <w:spacing w:line="360" w:lineRule="auto"/>
        <w:ind w:right="-5"/>
        <w:jc w:val="both"/>
        <w:rPr>
          <w:rFonts w:ascii="Arial" w:hAnsi="Arial" w:cs="Arial"/>
          <w:sz w:val="20"/>
          <w:szCs w:val="20"/>
          <w:lang w:val="en-GB"/>
        </w:rPr>
      </w:pPr>
    </w:p>
    <w:tbl>
      <w:tblPr>
        <w:tblW w:w="5530" w:type="pct"/>
        <w:tblInd w:w="-709" w:type="dxa"/>
        <w:tblLayout w:type="fixed"/>
        <w:tblCellMar>
          <w:left w:w="120" w:type="dxa"/>
          <w:right w:w="120" w:type="dxa"/>
        </w:tblCellMar>
        <w:tblLook w:val="0000" w:firstRow="0" w:lastRow="0" w:firstColumn="0" w:lastColumn="0" w:noHBand="0" w:noVBand="0"/>
      </w:tblPr>
      <w:tblGrid>
        <w:gridCol w:w="2447"/>
        <w:gridCol w:w="951"/>
        <w:gridCol w:w="1085"/>
        <w:gridCol w:w="942"/>
        <w:gridCol w:w="1085"/>
        <w:gridCol w:w="1031"/>
        <w:gridCol w:w="1008"/>
        <w:gridCol w:w="1019"/>
        <w:gridCol w:w="1044"/>
      </w:tblGrid>
      <w:tr w:rsidR="00587444" w:rsidRPr="00587444" w14:paraId="6096A467" w14:textId="77777777" w:rsidTr="00DD69E7">
        <w:trPr>
          <w:trHeight w:val="698"/>
        </w:trPr>
        <w:tc>
          <w:tcPr>
            <w:tcW w:w="1153" w:type="pct"/>
            <w:shd w:val="clear" w:color="auto" w:fill="auto"/>
            <w:vAlign w:val="center"/>
          </w:tcPr>
          <w:p w14:paraId="251D1A20"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Group</w:t>
            </w:r>
          </w:p>
          <w:p w14:paraId="68800854"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p>
          <w:p w14:paraId="12CC5C07"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31 December 2022</w:t>
            </w:r>
          </w:p>
        </w:tc>
        <w:tc>
          <w:tcPr>
            <w:tcW w:w="448" w:type="pct"/>
            <w:shd w:val="clear" w:color="auto" w:fill="auto"/>
          </w:tcPr>
          <w:p w14:paraId="44F34665"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Up to 1 month</w:t>
            </w:r>
          </w:p>
        </w:tc>
        <w:tc>
          <w:tcPr>
            <w:tcW w:w="511" w:type="pct"/>
            <w:shd w:val="clear" w:color="auto" w:fill="auto"/>
          </w:tcPr>
          <w:p w14:paraId="43E05FF7"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months</w:t>
            </w:r>
          </w:p>
        </w:tc>
        <w:tc>
          <w:tcPr>
            <w:tcW w:w="444" w:type="pct"/>
            <w:shd w:val="clear" w:color="auto" w:fill="auto"/>
          </w:tcPr>
          <w:p w14:paraId="11CE6751"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3 months to 1 year </w:t>
            </w:r>
          </w:p>
        </w:tc>
        <w:tc>
          <w:tcPr>
            <w:tcW w:w="511" w:type="pct"/>
            <w:shd w:val="clear" w:color="auto" w:fill="auto"/>
          </w:tcPr>
          <w:p w14:paraId="365E4713"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years</w:t>
            </w:r>
          </w:p>
        </w:tc>
        <w:tc>
          <w:tcPr>
            <w:tcW w:w="486" w:type="pct"/>
            <w:shd w:val="clear" w:color="auto" w:fill="auto"/>
          </w:tcPr>
          <w:p w14:paraId="59D963AA"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Over 3 years</w:t>
            </w:r>
          </w:p>
        </w:tc>
        <w:tc>
          <w:tcPr>
            <w:tcW w:w="475" w:type="pct"/>
            <w:shd w:val="clear" w:color="auto" w:fill="auto"/>
          </w:tcPr>
          <w:p w14:paraId="03D160B4"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Non-interest bearing</w:t>
            </w:r>
          </w:p>
        </w:tc>
        <w:tc>
          <w:tcPr>
            <w:tcW w:w="480" w:type="pct"/>
            <w:shd w:val="clear" w:color="auto" w:fill="auto"/>
          </w:tcPr>
          <w:p w14:paraId="12779B1B"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Total </w:t>
            </w:r>
          </w:p>
        </w:tc>
        <w:tc>
          <w:tcPr>
            <w:tcW w:w="492" w:type="pct"/>
          </w:tcPr>
          <w:p w14:paraId="118619C0"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Fixed interest rate</w:t>
            </w:r>
          </w:p>
        </w:tc>
      </w:tr>
      <w:tr w:rsidR="00587444" w:rsidRPr="00587444" w14:paraId="227FE8A6" w14:textId="77777777" w:rsidTr="00DD69E7">
        <w:trPr>
          <w:trHeight w:hRule="exact" w:val="227"/>
        </w:trPr>
        <w:tc>
          <w:tcPr>
            <w:tcW w:w="1153" w:type="pct"/>
            <w:shd w:val="clear" w:color="auto" w:fill="auto"/>
            <w:vAlign w:val="center"/>
          </w:tcPr>
          <w:p w14:paraId="0E2DF277"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p>
        </w:tc>
        <w:tc>
          <w:tcPr>
            <w:tcW w:w="448" w:type="pct"/>
            <w:shd w:val="clear" w:color="auto" w:fill="auto"/>
          </w:tcPr>
          <w:p w14:paraId="13BB7A0D" w14:textId="77777777" w:rsidR="00587444" w:rsidRPr="00587444" w:rsidRDefault="00587444" w:rsidP="00587444">
            <w:pPr>
              <w:tabs>
                <w:tab w:val="left" w:pos="-720"/>
              </w:tabs>
              <w:autoSpaceDN/>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511" w:type="pct"/>
            <w:shd w:val="clear" w:color="auto" w:fill="auto"/>
          </w:tcPr>
          <w:p w14:paraId="1A460EC1" w14:textId="77777777" w:rsidR="00587444" w:rsidRPr="00587444" w:rsidRDefault="00587444" w:rsidP="00587444">
            <w:pPr>
              <w:tabs>
                <w:tab w:val="left" w:pos="-720"/>
              </w:tabs>
              <w:autoSpaceDN/>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444" w:type="pct"/>
            <w:shd w:val="clear" w:color="auto" w:fill="auto"/>
          </w:tcPr>
          <w:p w14:paraId="0CB0C747" w14:textId="77777777" w:rsidR="00587444" w:rsidRPr="00587444" w:rsidRDefault="00587444" w:rsidP="00587444">
            <w:pPr>
              <w:tabs>
                <w:tab w:val="left" w:pos="-720"/>
              </w:tabs>
              <w:autoSpaceDN/>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511" w:type="pct"/>
            <w:shd w:val="clear" w:color="auto" w:fill="auto"/>
          </w:tcPr>
          <w:p w14:paraId="74D99501" w14:textId="77777777" w:rsidR="00587444" w:rsidRPr="00587444" w:rsidRDefault="00587444" w:rsidP="00587444">
            <w:pPr>
              <w:tabs>
                <w:tab w:val="left" w:pos="-720"/>
              </w:tabs>
              <w:autoSpaceDN/>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486" w:type="pct"/>
            <w:shd w:val="clear" w:color="auto" w:fill="auto"/>
          </w:tcPr>
          <w:p w14:paraId="5A3639A1" w14:textId="77777777" w:rsidR="00587444" w:rsidRPr="00587444" w:rsidRDefault="00587444" w:rsidP="00587444">
            <w:pPr>
              <w:tabs>
                <w:tab w:val="left" w:pos="-720"/>
              </w:tabs>
              <w:autoSpaceDN/>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475" w:type="pct"/>
            <w:shd w:val="clear" w:color="auto" w:fill="auto"/>
          </w:tcPr>
          <w:p w14:paraId="6D4DAF7A" w14:textId="77777777" w:rsidR="00587444" w:rsidRPr="00587444" w:rsidRDefault="00587444" w:rsidP="00587444">
            <w:pPr>
              <w:tabs>
                <w:tab w:val="left" w:pos="-720"/>
              </w:tabs>
              <w:autoSpaceDN/>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480" w:type="pct"/>
            <w:shd w:val="clear" w:color="auto" w:fill="auto"/>
          </w:tcPr>
          <w:p w14:paraId="5851BAED" w14:textId="77777777" w:rsidR="00587444" w:rsidRPr="00587444" w:rsidRDefault="00587444" w:rsidP="00587444">
            <w:pPr>
              <w:tabs>
                <w:tab w:val="left" w:pos="-720"/>
              </w:tabs>
              <w:autoSpaceDN/>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492" w:type="pct"/>
            <w:shd w:val="clear" w:color="auto" w:fill="auto"/>
          </w:tcPr>
          <w:p w14:paraId="527D0D9C" w14:textId="77777777" w:rsidR="00587444" w:rsidRPr="00587444" w:rsidRDefault="00587444" w:rsidP="00587444">
            <w:pPr>
              <w:tabs>
                <w:tab w:val="left" w:pos="-720"/>
              </w:tabs>
              <w:autoSpaceDN/>
              <w:ind w:right="-6"/>
              <w:jc w:val="right"/>
              <w:rPr>
                <w:rFonts w:ascii="Arial" w:eastAsia="Calibri" w:hAnsi="Arial" w:cs="Arial"/>
                <w:b/>
                <w:sz w:val="15"/>
                <w:szCs w:val="15"/>
              </w:rPr>
            </w:pPr>
            <w:r w:rsidRPr="00587444">
              <w:rPr>
                <w:rFonts w:ascii="Arial" w:eastAsia="Calibri" w:hAnsi="Arial" w:cs="Arial"/>
                <w:b/>
                <w:sz w:val="15"/>
                <w:szCs w:val="15"/>
              </w:rPr>
              <w:t>HRK ‘000</w:t>
            </w:r>
          </w:p>
        </w:tc>
      </w:tr>
      <w:tr w:rsidR="00587444" w:rsidRPr="00587444" w14:paraId="156377DC" w14:textId="77777777" w:rsidTr="00DD69E7">
        <w:trPr>
          <w:trHeight w:val="261"/>
        </w:trPr>
        <w:tc>
          <w:tcPr>
            <w:tcW w:w="1153" w:type="pct"/>
            <w:shd w:val="clear" w:color="auto" w:fill="auto"/>
            <w:vAlign w:val="bottom"/>
          </w:tcPr>
          <w:p w14:paraId="200CED04" w14:textId="77777777" w:rsidR="00587444" w:rsidRPr="00587444" w:rsidRDefault="00587444" w:rsidP="00587444">
            <w:pPr>
              <w:tabs>
                <w:tab w:val="left" w:pos="-720"/>
              </w:tabs>
              <w:autoSpaceDN/>
              <w:spacing w:line="280" w:lineRule="exact"/>
              <w:ind w:right="-5"/>
              <w:rPr>
                <w:rFonts w:ascii="Arial" w:eastAsia="Calibri" w:hAnsi="Arial" w:cs="Arial"/>
                <w:b/>
                <w:sz w:val="15"/>
                <w:szCs w:val="15"/>
              </w:rPr>
            </w:pPr>
            <w:r w:rsidRPr="00587444">
              <w:rPr>
                <w:rFonts w:ascii="Arial" w:eastAsia="Calibri" w:hAnsi="Arial" w:cs="Arial"/>
                <w:b/>
                <w:sz w:val="15"/>
                <w:szCs w:val="15"/>
              </w:rPr>
              <w:t xml:space="preserve">Assets </w:t>
            </w:r>
          </w:p>
        </w:tc>
        <w:tc>
          <w:tcPr>
            <w:tcW w:w="448" w:type="pct"/>
            <w:shd w:val="clear" w:color="auto" w:fill="auto"/>
          </w:tcPr>
          <w:p w14:paraId="2AED7B96"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511" w:type="pct"/>
            <w:shd w:val="clear" w:color="auto" w:fill="auto"/>
          </w:tcPr>
          <w:p w14:paraId="73AAE7C1"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444" w:type="pct"/>
            <w:shd w:val="clear" w:color="auto" w:fill="auto"/>
          </w:tcPr>
          <w:p w14:paraId="7E89D524"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511" w:type="pct"/>
            <w:shd w:val="clear" w:color="auto" w:fill="auto"/>
          </w:tcPr>
          <w:p w14:paraId="08C2B400"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486" w:type="pct"/>
            <w:shd w:val="clear" w:color="auto" w:fill="auto"/>
          </w:tcPr>
          <w:p w14:paraId="30802976"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475" w:type="pct"/>
            <w:shd w:val="clear" w:color="auto" w:fill="auto"/>
          </w:tcPr>
          <w:p w14:paraId="3FC355F4"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480" w:type="pct"/>
            <w:shd w:val="clear" w:color="auto" w:fill="auto"/>
          </w:tcPr>
          <w:p w14:paraId="43C5536C"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492" w:type="pct"/>
          </w:tcPr>
          <w:p w14:paraId="041E31A7"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r>
      <w:tr w:rsidR="00587444" w:rsidRPr="00587444" w14:paraId="05EBB939" w14:textId="77777777" w:rsidTr="00DD69E7">
        <w:trPr>
          <w:trHeight w:val="549"/>
        </w:trPr>
        <w:tc>
          <w:tcPr>
            <w:tcW w:w="1153" w:type="pct"/>
            <w:shd w:val="clear" w:color="auto" w:fill="auto"/>
            <w:vAlign w:val="bottom"/>
          </w:tcPr>
          <w:p w14:paraId="23FA027F"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Cash on hand and current accounts with banks</w:t>
            </w:r>
          </w:p>
        </w:tc>
        <w:tc>
          <w:tcPr>
            <w:tcW w:w="448" w:type="pct"/>
            <w:vAlign w:val="bottom"/>
          </w:tcPr>
          <w:p w14:paraId="493E983B"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105,509 </w:t>
            </w:r>
          </w:p>
        </w:tc>
        <w:tc>
          <w:tcPr>
            <w:tcW w:w="511" w:type="pct"/>
            <w:vAlign w:val="bottom"/>
          </w:tcPr>
          <w:p w14:paraId="0162DDF6"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44" w:type="pct"/>
            <w:vAlign w:val="bottom"/>
          </w:tcPr>
          <w:p w14:paraId="48E9E7A1"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511" w:type="pct"/>
            <w:vAlign w:val="bottom"/>
          </w:tcPr>
          <w:p w14:paraId="5067ED58"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86" w:type="pct"/>
            <w:vAlign w:val="bottom"/>
          </w:tcPr>
          <w:p w14:paraId="3E0936D0"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75" w:type="pct"/>
            <w:vAlign w:val="bottom"/>
          </w:tcPr>
          <w:p w14:paraId="0288AE58"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1,616,410 </w:t>
            </w:r>
          </w:p>
        </w:tc>
        <w:tc>
          <w:tcPr>
            <w:tcW w:w="480" w:type="pct"/>
            <w:vAlign w:val="bottom"/>
          </w:tcPr>
          <w:p w14:paraId="50952535"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1,721,919 </w:t>
            </w:r>
          </w:p>
        </w:tc>
        <w:tc>
          <w:tcPr>
            <w:tcW w:w="492" w:type="pct"/>
            <w:vAlign w:val="bottom"/>
          </w:tcPr>
          <w:p w14:paraId="04C147CA" w14:textId="77777777" w:rsidR="00587444" w:rsidRPr="00587444" w:rsidDel="00D96E20"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105,509 </w:t>
            </w:r>
          </w:p>
        </w:tc>
      </w:tr>
      <w:tr w:rsidR="00587444" w:rsidRPr="00587444" w14:paraId="65651532" w14:textId="77777777" w:rsidTr="00DD69E7">
        <w:trPr>
          <w:trHeight w:val="261"/>
        </w:trPr>
        <w:tc>
          <w:tcPr>
            <w:tcW w:w="1153" w:type="pct"/>
            <w:shd w:val="clear" w:color="auto" w:fill="auto"/>
            <w:vAlign w:val="bottom"/>
          </w:tcPr>
          <w:p w14:paraId="3F2D72F5"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Deposits with other banks </w:t>
            </w:r>
          </w:p>
        </w:tc>
        <w:tc>
          <w:tcPr>
            <w:tcW w:w="448" w:type="pct"/>
            <w:vAlign w:val="bottom"/>
          </w:tcPr>
          <w:p w14:paraId="4DA00422"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511" w:type="pct"/>
            <w:vAlign w:val="bottom"/>
          </w:tcPr>
          <w:p w14:paraId="0ECB721C"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44" w:type="pct"/>
            <w:vAlign w:val="bottom"/>
          </w:tcPr>
          <w:p w14:paraId="2DE542E9"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22,574 </w:t>
            </w:r>
          </w:p>
        </w:tc>
        <w:tc>
          <w:tcPr>
            <w:tcW w:w="511" w:type="pct"/>
            <w:vAlign w:val="bottom"/>
          </w:tcPr>
          <w:p w14:paraId="4F44BAF6"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86" w:type="pct"/>
            <w:vAlign w:val="bottom"/>
          </w:tcPr>
          <w:p w14:paraId="1AC552CD"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75" w:type="pct"/>
            <w:vAlign w:val="bottom"/>
          </w:tcPr>
          <w:p w14:paraId="1F063760"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10,606 </w:t>
            </w:r>
          </w:p>
        </w:tc>
        <w:tc>
          <w:tcPr>
            <w:tcW w:w="480" w:type="pct"/>
            <w:vAlign w:val="bottom"/>
          </w:tcPr>
          <w:p w14:paraId="4C871A7E"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33,180 </w:t>
            </w:r>
          </w:p>
        </w:tc>
        <w:tc>
          <w:tcPr>
            <w:tcW w:w="492" w:type="pct"/>
            <w:vAlign w:val="bottom"/>
          </w:tcPr>
          <w:p w14:paraId="76102B96" w14:textId="77777777" w:rsidR="00587444" w:rsidRPr="00587444" w:rsidDel="00D96E20"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 xml:space="preserve"> 22,574 </w:t>
            </w:r>
          </w:p>
        </w:tc>
      </w:tr>
      <w:tr w:rsidR="00587444" w:rsidRPr="00587444" w14:paraId="04ED9A9D" w14:textId="77777777" w:rsidTr="00DD69E7">
        <w:trPr>
          <w:trHeight w:val="209"/>
        </w:trPr>
        <w:tc>
          <w:tcPr>
            <w:tcW w:w="1153" w:type="pct"/>
            <w:shd w:val="clear" w:color="auto" w:fill="auto"/>
            <w:vAlign w:val="bottom"/>
          </w:tcPr>
          <w:p w14:paraId="71EB1B2B"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Loans to financial institutions</w:t>
            </w:r>
          </w:p>
        </w:tc>
        <w:tc>
          <w:tcPr>
            <w:tcW w:w="448" w:type="pct"/>
            <w:tcBorders>
              <w:top w:val="nil"/>
              <w:left w:val="nil"/>
              <w:bottom w:val="nil"/>
              <w:right w:val="nil"/>
            </w:tcBorders>
            <w:vAlign w:val="bottom"/>
          </w:tcPr>
          <w:p w14:paraId="637E3210"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241,456 </w:t>
            </w:r>
          </w:p>
        </w:tc>
        <w:tc>
          <w:tcPr>
            <w:tcW w:w="511" w:type="pct"/>
            <w:tcBorders>
              <w:top w:val="nil"/>
              <w:left w:val="nil"/>
              <w:bottom w:val="nil"/>
              <w:right w:val="nil"/>
            </w:tcBorders>
            <w:vAlign w:val="bottom"/>
          </w:tcPr>
          <w:p w14:paraId="7B5369F3"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285,706 </w:t>
            </w:r>
          </w:p>
        </w:tc>
        <w:tc>
          <w:tcPr>
            <w:tcW w:w="444" w:type="pct"/>
            <w:tcBorders>
              <w:top w:val="nil"/>
              <w:left w:val="nil"/>
              <w:bottom w:val="nil"/>
              <w:right w:val="nil"/>
            </w:tcBorders>
            <w:vAlign w:val="bottom"/>
          </w:tcPr>
          <w:p w14:paraId="4A147CD2"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824,255 </w:t>
            </w:r>
          </w:p>
        </w:tc>
        <w:tc>
          <w:tcPr>
            <w:tcW w:w="511" w:type="pct"/>
            <w:tcBorders>
              <w:top w:val="nil"/>
              <w:left w:val="nil"/>
              <w:bottom w:val="nil"/>
              <w:right w:val="nil"/>
            </w:tcBorders>
            <w:vAlign w:val="bottom"/>
          </w:tcPr>
          <w:p w14:paraId="0F0573B6"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1,881,654 </w:t>
            </w:r>
          </w:p>
        </w:tc>
        <w:tc>
          <w:tcPr>
            <w:tcW w:w="486" w:type="pct"/>
            <w:tcBorders>
              <w:top w:val="nil"/>
              <w:left w:val="nil"/>
              <w:bottom w:val="nil"/>
              <w:right w:val="nil"/>
            </w:tcBorders>
            <w:vAlign w:val="bottom"/>
          </w:tcPr>
          <w:p w14:paraId="5F34C46A"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3,744,788 </w:t>
            </w:r>
          </w:p>
        </w:tc>
        <w:tc>
          <w:tcPr>
            <w:tcW w:w="475" w:type="pct"/>
            <w:tcBorders>
              <w:top w:val="nil"/>
              <w:left w:val="nil"/>
              <w:bottom w:val="nil"/>
              <w:right w:val="nil"/>
            </w:tcBorders>
            <w:vAlign w:val="bottom"/>
          </w:tcPr>
          <w:p w14:paraId="065FF24C"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6,853 </w:t>
            </w:r>
          </w:p>
        </w:tc>
        <w:tc>
          <w:tcPr>
            <w:tcW w:w="480" w:type="pct"/>
            <w:tcBorders>
              <w:top w:val="nil"/>
              <w:left w:val="nil"/>
              <w:bottom w:val="nil"/>
              <w:right w:val="nil"/>
            </w:tcBorders>
            <w:vAlign w:val="bottom"/>
          </w:tcPr>
          <w:p w14:paraId="29DF14A5"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6,984,712 </w:t>
            </w:r>
          </w:p>
        </w:tc>
        <w:tc>
          <w:tcPr>
            <w:tcW w:w="492" w:type="pct"/>
            <w:tcBorders>
              <w:top w:val="nil"/>
              <w:left w:val="nil"/>
              <w:bottom w:val="nil"/>
              <w:right w:val="nil"/>
            </w:tcBorders>
            <w:vAlign w:val="bottom"/>
          </w:tcPr>
          <w:p w14:paraId="6E27B8E8" w14:textId="77777777" w:rsidR="00587444" w:rsidRPr="00587444" w:rsidDel="00D96E20"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 xml:space="preserve"> 6,882,039 </w:t>
            </w:r>
          </w:p>
        </w:tc>
      </w:tr>
      <w:tr w:rsidR="00587444" w:rsidRPr="00587444" w14:paraId="6EF6157E" w14:textId="77777777" w:rsidTr="00DD69E7">
        <w:trPr>
          <w:trHeight w:val="273"/>
        </w:trPr>
        <w:tc>
          <w:tcPr>
            <w:tcW w:w="1153" w:type="pct"/>
            <w:shd w:val="clear" w:color="auto" w:fill="auto"/>
            <w:vAlign w:val="bottom"/>
          </w:tcPr>
          <w:p w14:paraId="2A51361A"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other customers </w:t>
            </w:r>
          </w:p>
        </w:tc>
        <w:tc>
          <w:tcPr>
            <w:tcW w:w="448" w:type="pct"/>
            <w:tcBorders>
              <w:top w:val="nil"/>
              <w:left w:val="nil"/>
              <w:bottom w:val="nil"/>
              <w:right w:val="nil"/>
            </w:tcBorders>
            <w:vAlign w:val="bottom"/>
          </w:tcPr>
          <w:p w14:paraId="08955EB6"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1,312,571 </w:t>
            </w:r>
          </w:p>
        </w:tc>
        <w:tc>
          <w:tcPr>
            <w:tcW w:w="511" w:type="pct"/>
            <w:tcBorders>
              <w:top w:val="nil"/>
              <w:left w:val="nil"/>
              <w:bottom w:val="nil"/>
              <w:right w:val="nil"/>
            </w:tcBorders>
            <w:vAlign w:val="bottom"/>
          </w:tcPr>
          <w:p w14:paraId="655F28BB"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821,349 </w:t>
            </w:r>
          </w:p>
        </w:tc>
        <w:tc>
          <w:tcPr>
            <w:tcW w:w="444" w:type="pct"/>
            <w:tcBorders>
              <w:top w:val="nil"/>
              <w:left w:val="nil"/>
              <w:bottom w:val="nil"/>
              <w:right w:val="nil"/>
            </w:tcBorders>
            <w:vAlign w:val="bottom"/>
          </w:tcPr>
          <w:p w14:paraId="0EAA8C1E"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2,854,156 </w:t>
            </w:r>
          </w:p>
        </w:tc>
        <w:tc>
          <w:tcPr>
            <w:tcW w:w="511" w:type="pct"/>
            <w:tcBorders>
              <w:top w:val="nil"/>
              <w:left w:val="nil"/>
              <w:bottom w:val="nil"/>
              <w:right w:val="nil"/>
            </w:tcBorders>
            <w:vAlign w:val="bottom"/>
          </w:tcPr>
          <w:p w14:paraId="3FCE09E1"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3,618,634 </w:t>
            </w:r>
          </w:p>
        </w:tc>
        <w:tc>
          <w:tcPr>
            <w:tcW w:w="486" w:type="pct"/>
            <w:tcBorders>
              <w:top w:val="nil"/>
              <w:left w:val="nil"/>
              <w:bottom w:val="nil"/>
              <w:right w:val="nil"/>
            </w:tcBorders>
            <w:vAlign w:val="bottom"/>
          </w:tcPr>
          <w:p w14:paraId="5E5DD24E"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8,653,431 </w:t>
            </w:r>
          </w:p>
        </w:tc>
        <w:tc>
          <w:tcPr>
            <w:tcW w:w="475" w:type="pct"/>
            <w:tcBorders>
              <w:top w:val="nil"/>
              <w:left w:val="nil"/>
              <w:bottom w:val="nil"/>
              <w:right w:val="nil"/>
            </w:tcBorders>
            <w:vAlign w:val="bottom"/>
          </w:tcPr>
          <w:p w14:paraId="5059E4CF"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142,525 </w:t>
            </w:r>
          </w:p>
        </w:tc>
        <w:tc>
          <w:tcPr>
            <w:tcW w:w="480" w:type="pct"/>
            <w:tcBorders>
              <w:top w:val="nil"/>
              <w:left w:val="nil"/>
              <w:bottom w:val="nil"/>
              <w:right w:val="nil"/>
            </w:tcBorders>
            <w:vAlign w:val="bottom"/>
          </w:tcPr>
          <w:p w14:paraId="23ABB750"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17,402,666 </w:t>
            </w:r>
          </w:p>
        </w:tc>
        <w:tc>
          <w:tcPr>
            <w:tcW w:w="492" w:type="pct"/>
            <w:tcBorders>
              <w:top w:val="nil"/>
              <w:left w:val="nil"/>
              <w:bottom w:val="nil"/>
              <w:right w:val="nil"/>
            </w:tcBorders>
            <w:vAlign w:val="bottom"/>
          </w:tcPr>
          <w:p w14:paraId="0DA430F0" w14:textId="77777777" w:rsidR="00587444" w:rsidRPr="00587444" w:rsidDel="00D96E20"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 xml:space="preserve">16,032,437 </w:t>
            </w:r>
          </w:p>
        </w:tc>
      </w:tr>
      <w:tr w:rsidR="00587444" w:rsidRPr="00587444" w14:paraId="2F0A053B" w14:textId="77777777" w:rsidTr="00DD69E7">
        <w:trPr>
          <w:trHeight w:val="299"/>
        </w:trPr>
        <w:tc>
          <w:tcPr>
            <w:tcW w:w="1153" w:type="pct"/>
            <w:shd w:val="clear" w:color="auto" w:fill="auto"/>
          </w:tcPr>
          <w:p w14:paraId="71A3665A"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profit or loss</w:t>
            </w:r>
          </w:p>
        </w:tc>
        <w:tc>
          <w:tcPr>
            <w:tcW w:w="448" w:type="pct"/>
            <w:vAlign w:val="bottom"/>
          </w:tcPr>
          <w:p w14:paraId="249A73F9"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511" w:type="pct"/>
            <w:vAlign w:val="bottom"/>
          </w:tcPr>
          <w:p w14:paraId="545FD2E0"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44" w:type="pct"/>
            <w:vAlign w:val="bottom"/>
          </w:tcPr>
          <w:p w14:paraId="7B29B6C9"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511" w:type="pct"/>
            <w:vAlign w:val="bottom"/>
          </w:tcPr>
          <w:p w14:paraId="0A562DF1"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22,831 </w:t>
            </w:r>
          </w:p>
        </w:tc>
        <w:tc>
          <w:tcPr>
            <w:tcW w:w="486" w:type="pct"/>
            <w:vAlign w:val="bottom"/>
          </w:tcPr>
          <w:p w14:paraId="272D1FD7"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75" w:type="pct"/>
            <w:vAlign w:val="bottom"/>
          </w:tcPr>
          <w:p w14:paraId="092B31CF"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108,692 </w:t>
            </w:r>
          </w:p>
        </w:tc>
        <w:tc>
          <w:tcPr>
            <w:tcW w:w="480" w:type="pct"/>
            <w:vAlign w:val="bottom"/>
          </w:tcPr>
          <w:p w14:paraId="5922763D"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131,523 </w:t>
            </w:r>
          </w:p>
        </w:tc>
        <w:tc>
          <w:tcPr>
            <w:tcW w:w="492" w:type="pct"/>
            <w:vAlign w:val="bottom"/>
          </w:tcPr>
          <w:p w14:paraId="1A1EEA2A" w14:textId="77777777" w:rsidR="00587444" w:rsidRPr="00587444" w:rsidDel="00D96E20"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 xml:space="preserve"> 22,831 </w:t>
            </w:r>
          </w:p>
        </w:tc>
      </w:tr>
      <w:tr w:rsidR="00587444" w:rsidRPr="00587444" w14:paraId="1BABA269" w14:textId="77777777" w:rsidTr="00DD69E7">
        <w:trPr>
          <w:trHeight w:val="274"/>
        </w:trPr>
        <w:tc>
          <w:tcPr>
            <w:tcW w:w="1153" w:type="pct"/>
            <w:shd w:val="clear" w:color="auto" w:fill="auto"/>
          </w:tcPr>
          <w:p w14:paraId="2E777636"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other comprehensive income</w:t>
            </w:r>
          </w:p>
        </w:tc>
        <w:tc>
          <w:tcPr>
            <w:tcW w:w="448" w:type="pct"/>
            <w:vAlign w:val="bottom"/>
          </w:tcPr>
          <w:p w14:paraId="37FEBDEC"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2,619,094 </w:t>
            </w:r>
          </w:p>
        </w:tc>
        <w:tc>
          <w:tcPr>
            <w:tcW w:w="511" w:type="pct"/>
            <w:vAlign w:val="bottom"/>
          </w:tcPr>
          <w:p w14:paraId="42C8EB70"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44" w:type="pct"/>
            <w:vAlign w:val="bottom"/>
          </w:tcPr>
          <w:p w14:paraId="30FD0653"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511" w:type="pct"/>
            <w:vAlign w:val="bottom"/>
          </w:tcPr>
          <w:p w14:paraId="75E8616F"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86" w:type="pct"/>
            <w:vAlign w:val="bottom"/>
          </w:tcPr>
          <w:p w14:paraId="6EEEE3DF"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75" w:type="pct"/>
            <w:vAlign w:val="bottom"/>
          </w:tcPr>
          <w:p w14:paraId="5DA8C84A"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67,528 </w:t>
            </w:r>
          </w:p>
        </w:tc>
        <w:tc>
          <w:tcPr>
            <w:tcW w:w="480" w:type="pct"/>
            <w:vAlign w:val="bottom"/>
          </w:tcPr>
          <w:p w14:paraId="2F18967A"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2,686,622 </w:t>
            </w:r>
          </w:p>
        </w:tc>
        <w:tc>
          <w:tcPr>
            <w:tcW w:w="492" w:type="pct"/>
            <w:vAlign w:val="bottom"/>
          </w:tcPr>
          <w:p w14:paraId="5D5186C2" w14:textId="77777777" w:rsidR="00587444" w:rsidRPr="00587444" w:rsidDel="00D96E20"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 xml:space="preserve"> 2,619,094 </w:t>
            </w:r>
          </w:p>
        </w:tc>
      </w:tr>
      <w:tr w:rsidR="00587444" w:rsidRPr="00587444" w14:paraId="1BD4BFD2" w14:textId="77777777" w:rsidTr="00DD69E7">
        <w:trPr>
          <w:trHeight w:val="274"/>
        </w:trPr>
        <w:tc>
          <w:tcPr>
            <w:tcW w:w="1153" w:type="pct"/>
            <w:shd w:val="clear" w:color="auto" w:fill="auto"/>
            <w:vAlign w:val="bottom"/>
          </w:tcPr>
          <w:p w14:paraId="22825922"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assets </w:t>
            </w:r>
          </w:p>
        </w:tc>
        <w:tc>
          <w:tcPr>
            <w:tcW w:w="448" w:type="pct"/>
            <w:tcBorders>
              <w:bottom w:val="single" w:sz="4" w:space="0" w:color="auto"/>
            </w:tcBorders>
            <w:vAlign w:val="bottom"/>
          </w:tcPr>
          <w:p w14:paraId="7DA22FA9"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511" w:type="pct"/>
            <w:tcBorders>
              <w:bottom w:val="single" w:sz="4" w:space="0" w:color="auto"/>
            </w:tcBorders>
            <w:vAlign w:val="bottom"/>
          </w:tcPr>
          <w:p w14:paraId="520B5D15"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44" w:type="pct"/>
            <w:tcBorders>
              <w:bottom w:val="single" w:sz="4" w:space="0" w:color="auto"/>
            </w:tcBorders>
            <w:vAlign w:val="bottom"/>
          </w:tcPr>
          <w:p w14:paraId="18FEBDAE"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511" w:type="pct"/>
            <w:tcBorders>
              <w:bottom w:val="single" w:sz="4" w:space="0" w:color="auto"/>
            </w:tcBorders>
            <w:vAlign w:val="bottom"/>
          </w:tcPr>
          <w:p w14:paraId="7FBF87E3"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86" w:type="pct"/>
            <w:tcBorders>
              <w:bottom w:val="single" w:sz="4" w:space="0" w:color="auto"/>
            </w:tcBorders>
            <w:vAlign w:val="bottom"/>
          </w:tcPr>
          <w:p w14:paraId="71CCFAD6"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75" w:type="pct"/>
            <w:tcBorders>
              <w:bottom w:val="single" w:sz="4" w:space="0" w:color="auto"/>
            </w:tcBorders>
            <w:vAlign w:val="bottom"/>
          </w:tcPr>
          <w:p w14:paraId="5FBFC8D2"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35,934 </w:t>
            </w:r>
          </w:p>
        </w:tc>
        <w:tc>
          <w:tcPr>
            <w:tcW w:w="480" w:type="pct"/>
            <w:tcBorders>
              <w:bottom w:val="single" w:sz="4" w:space="0" w:color="auto"/>
            </w:tcBorders>
            <w:vAlign w:val="bottom"/>
          </w:tcPr>
          <w:p w14:paraId="5B87FB7A"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35,934 </w:t>
            </w:r>
          </w:p>
        </w:tc>
        <w:tc>
          <w:tcPr>
            <w:tcW w:w="492" w:type="pct"/>
            <w:tcBorders>
              <w:bottom w:val="single" w:sz="4" w:space="0" w:color="auto"/>
            </w:tcBorders>
            <w:vAlign w:val="bottom"/>
          </w:tcPr>
          <w:p w14:paraId="0AC75356" w14:textId="77777777" w:rsidR="00587444" w:rsidRPr="00587444" w:rsidDel="00D96E20"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r>
      <w:tr w:rsidR="00587444" w:rsidRPr="00587444" w14:paraId="002BE9F6" w14:textId="77777777" w:rsidTr="00DD69E7">
        <w:trPr>
          <w:trHeight w:hRule="exact" w:val="389"/>
        </w:trPr>
        <w:tc>
          <w:tcPr>
            <w:tcW w:w="1153" w:type="pct"/>
            <w:shd w:val="clear" w:color="auto" w:fill="auto"/>
            <w:vAlign w:val="bottom"/>
          </w:tcPr>
          <w:p w14:paraId="4BCF89E5" w14:textId="77777777" w:rsidR="00587444" w:rsidRPr="00587444" w:rsidRDefault="00587444" w:rsidP="00587444">
            <w:pPr>
              <w:tabs>
                <w:tab w:val="right" w:pos="1202"/>
              </w:tabs>
              <w:suppressAutoHyphens w:val="0"/>
              <w:autoSpaceDN/>
              <w:spacing w:line="320" w:lineRule="exact"/>
              <w:outlineLvl w:val="0"/>
              <w:rPr>
                <w:rFonts w:ascii="Arial" w:hAnsi="Arial" w:cs="Arial"/>
                <w:b/>
                <w:bCs/>
                <w:sz w:val="15"/>
                <w:szCs w:val="15"/>
              </w:rPr>
            </w:pPr>
            <w:bookmarkStart w:id="1278" w:name="_Toc4062733"/>
            <w:r w:rsidRPr="00587444">
              <w:rPr>
                <w:rFonts w:ascii="Arial" w:hAnsi="Arial" w:cs="Arial"/>
                <w:b/>
                <w:bCs/>
                <w:sz w:val="15"/>
                <w:szCs w:val="15"/>
              </w:rPr>
              <w:t>Total assets</w:t>
            </w:r>
            <w:bookmarkEnd w:id="1278"/>
            <w:r w:rsidRPr="00587444">
              <w:rPr>
                <w:rFonts w:ascii="Arial" w:hAnsi="Arial" w:cs="Arial"/>
                <w:b/>
                <w:bCs/>
                <w:sz w:val="15"/>
                <w:szCs w:val="15"/>
              </w:rPr>
              <w:t xml:space="preserve"> </w:t>
            </w:r>
          </w:p>
        </w:tc>
        <w:tc>
          <w:tcPr>
            <w:tcW w:w="448" w:type="pct"/>
            <w:tcBorders>
              <w:top w:val="nil"/>
              <w:left w:val="nil"/>
              <w:bottom w:val="single" w:sz="8" w:space="0" w:color="auto"/>
              <w:right w:val="nil"/>
            </w:tcBorders>
            <w:vAlign w:val="bottom"/>
          </w:tcPr>
          <w:p w14:paraId="73E9EF47"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4,278,630 </w:t>
            </w:r>
          </w:p>
        </w:tc>
        <w:tc>
          <w:tcPr>
            <w:tcW w:w="511" w:type="pct"/>
            <w:tcBorders>
              <w:top w:val="nil"/>
              <w:left w:val="nil"/>
              <w:bottom w:val="single" w:sz="8" w:space="0" w:color="auto"/>
              <w:right w:val="nil"/>
            </w:tcBorders>
            <w:vAlign w:val="bottom"/>
          </w:tcPr>
          <w:p w14:paraId="708D75DE"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 1,107,055 </w:t>
            </w:r>
          </w:p>
        </w:tc>
        <w:tc>
          <w:tcPr>
            <w:tcW w:w="444" w:type="pct"/>
            <w:tcBorders>
              <w:top w:val="nil"/>
              <w:left w:val="nil"/>
              <w:bottom w:val="single" w:sz="8" w:space="0" w:color="auto"/>
              <w:right w:val="nil"/>
            </w:tcBorders>
            <w:vAlign w:val="bottom"/>
          </w:tcPr>
          <w:p w14:paraId="7DEFC83F"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3,700,985 </w:t>
            </w:r>
          </w:p>
        </w:tc>
        <w:tc>
          <w:tcPr>
            <w:tcW w:w="511" w:type="pct"/>
            <w:tcBorders>
              <w:top w:val="nil"/>
              <w:left w:val="nil"/>
              <w:bottom w:val="single" w:sz="8" w:space="0" w:color="auto"/>
              <w:right w:val="nil"/>
            </w:tcBorders>
            <w:vAlign w:val="bottom"/>
          </w:tcPr>
          <w:p w14:paraId="72E209CD"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 5,523,119 </w:t>
            </w:r>
          </w:p>
        </w:tc>
        <w:tc>
          <w:tcPr>
            <w:tcW w:w="486" w:type="pct"/>
            <w:tcBorders>
              <w:top w:val="nil"/>
              <w:left w:val="nil"/>
              <w:bottom w:val="single" w:sz="8" w:space="0" w:color="auto"/>
              <w:right w:val="nil"/>
            </w:tcBorders>
            <w:vAlign w:val="bottom"/>
          </w:tcPr>
          <w:p w14:paraId="649EF37C"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12,398,219 </w:t>
            </w:r>
          </w:p>
        </w:tc>
        <w:tc>
          <w:tcPr>
            <w:tcW w:w="475" w:type="pct"/>
            <w:tcBorders>
              <w:top w:val="nil"/>
              <w:left w:val="nil"/>
              <w:bottom w:val="single" w:sz="8" w:space="0" w:color="auto"/>
              <w:right w:val="nil"/>
            </w:tcBorders>
            <w:vAlign w:val="bottom"/>
          </w:tcPr>
          <w:p w14:paraId="40EFB92F"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 1,988,548 </w:t>
            </w:r>
          </w:p>
        </w:tc>
        <w:tc>
          <w:tcPr>
            <w:tcW w:w="480" w:type="pct"/>
            <w:tcBorders>
              <w:top w:val="nil"/>
              <w:left w:val="nil"/>
              <w:bottom w:val="single" w:sz="8" w:space="0" w:color="auto"/>
              <w:right w:val="nil"/>
            </w:tcBorders>
            <w:vAlign w:val="bottom"/>
          </w:tcPr>
          <w:p w14:paraId="47A01172"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28,996,556 </w:t>
            </w:r>
          </w:p>
        </w:tc>
        <w:tc>
          <w:tcPr>
            <w:tcW w:w="492" w:type="pct"/>
            <w:tcBorders>
              <w:top w:val="nil"/>
              <w:left w:val="nil"/>
              <w:bottom w:val="single" w:sz="8" w:space="0" w:color="auto"/>
              <w:right w:val="nil"/>
            </w:tcBorders>
            <w:vAlign w:val="bottom"/>
          </w:tcPr>
          <w:p w14:paraId="62CA264B"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25,684,484 </w:t>
            </w:r>
          </w:p>
        </w:tc>
      </w:tr>
      <w:tr w:rsidR="00587444" w:rsidRPr="00587444" w14:paraId="17F38480" w14:textId="77777777" w:rsidTr="00DD69E7">
        <w:trPr>
          <w:trHeight w:val="320"/>
        </w:trPr>
        <w:tc>
          <w:tcPr>
            <w:tcW w:w="1153" w:type="pct"/>
          </w:tcPr>
          <w:p w14:paraId="2FBB2642" w14:textId="77777777" w:rsidR="00587444" w:rsidRPr="00587444" w:rsidRDefault="00587444" w:rsidP="00587444">
            <w:pPr>
              <w:tabs>
                <w:tab w:val="right" w:pos="1202"/>
              </w:tabs>
              <w:suppressAutoHyphens w:val="0"/>
              <w:autoSpaceDN/>
              <w:spacing w:line="320" w:lineRule="exact"/>
              <w:outlineLvl w:val="0"/>
              <w:rPr>
                <w:rFonts w:ascii="Arial" w:hAnsi="Arial" w:cs="Arial"/>
                <w:b/>
                <w:spacing w:val="-2"/>
                <w:sz w:val="15"/>
                <w:szCs w:val="15"/>
              </w:rPr>
            </w:pPr>
            <w:bookmarkStart w:id="1279" w:name="_Toc4062734"/>
            <w:r w:rsidRPr="00587444">
              <w:rPr>
                <w:rFonts w:ascii="Arial" w:hAnsi="Arial" w:cs="Arial"/>
                <w:b/>
                <w:spacing w:val="-2"/>
                <w:sz w:val="15"/>
                <w:szCs w:val="15"/>
              </w:rPr>
              <w:t>Liabilities</w:t>
            </w:r>
            <w:bookmarkEnd w:id="1279"/>
          </w:p>
        </w:tc>
        <w:tc>
          <w:tcPr>
            <w:tcW w:w="448" w:type="pct"/>
            <w:tcBorders>
              <w:top w:val="single" w:sz="12" w:space="0" w:color="auto"/>
              <w:left w:val="nil"/>
              <w:right w:val="nil"/>
            </w:tcBorders>
            <w:vAlign w:val="bottom"/>
          </w:tcPr>
          <w:p w14:paraId="39B78C0B"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511" w:type="pct"/>
            <w:tcBorders>
              <w:top w:val="single" w:sz="12" w:space="0" w:color="auto"/>
              <w:left w:val="nil"/>
              <w:right w:val="nil"/>
            </w:tcBorders>
            <w:vAlign w:val="bottom"/>
          </w:tcPr>
          <w:p w14:paraId="51845098"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44" w:type="pct"/>
            <w:tcBorders>
              <w:top w:val="single" w:sz="12" w:space="0" w:color="auto"/>
              <w:left w:val="nil"/>
              <w:right w:val="nil"/>
            </w:tcBorders>
            <w:vAlign w:val="bottom"/>
          </w:tcPr>
          <w:p w14:paraId="5C14C5D0"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511" w:type="pct"/>
            <w:tcBorders>
              <w:top w:val="single" w:sz="12" w:space="0" w:color="auto"/>
              <w:left w:val="nil"/>
              <w:right w:val="nil"/>
            </w:tcBorders>
            <w:vAlign w:val="bottom"/>
          </w:tcPr>
          <w:p w14:paraId="23F59A4D"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86" w:type="pct"/>
            <w:tcBorders>
              <w:top w:val="single" w:sz="12" w:space="0" w:color="auto"/>
              <w:left w:val="nil"/>
              <w:right w:val="nil"/>
            </w:tcBorders>
            <w:vAlign w:val="bottom"/>
          </w:tcPr>
          <w:p w14:paraId="202D385E"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75" w:type="pct"/>
            <w:tcBorders>
              <w:top w:val="single" w:sz="12" w:space="0" w:color="auto"/>
              <w:left w:val="nil"/>
              <w:right w:val="nil"/>
            </w:tcBorders>
            <w:vAlign w:val="bottom"/>
          </w:tcPr>
          <w:p w14:paraId="01D83110"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80" w:type="pct"/>
            <w:tcBorders>
              <w:top w:val="single" w:sz="12" w:space="0" w:color="auto"/>
              <w:left w:val="nil"/>
              <w:right w:val="nil"/>
            </w:tcBorders>
            <w:vAlign w:val="bottom"/>
          </w:tcPr>
          <w:p w14:paraId="5DDEEE27"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92" w:type="pct"/>
            <w:tcBorders>
              <w:top w:val="single" w:sz="12" w:space="0" w:color="auto"/>
              <w:left w:val="nil"/>
              <w:right w:val="nil"/>
            </w:tcBorders>
            <w:vAlign w:val="bottom"/>
          </w:tcPr>
          <w:p w14:paraId="4C6348FA"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p>
        </w:tc>
      </w:tr>
      <w:tr w:rsidR="00587444" w:rsidRPr="00587444" w14:paraId="528E2C3A" w14:textId="77777777" w:rsidTr="00DD69E7">
        <w:trPr>
          <w:trHeight w:val="320"/>
        </w:trPr>
        <w:tc>
          <w:tcPr>
            <w:tcW w:w="1153" w:type="pct"/>
          </w:tcPr>
          <w:p w14:paraId="742EE8A1" w14:textId="77777777" w:rsidR="00587444" w:rsidRPr="00587444" w:rsidRDefault="00587444" w:rsidP="00587444">
            <w:pPr>
              <w:tabs>
                <w:tab w:val="right" w:pos="1202"/>
              </w:tabs>
              <w:suppressAutoHyphens w:val="0"/>
              <w:autoSpaceDN/>
              <w:spacing w:line="320" w:lineRule="exact"/>
              <w:outlineLvl w:val="0"/>
              <w:rPr>
                <w:rFonts w:ascii="Arial" w:hAnsi="Arial" w:cs="Arial"/>
                <w:b/>
                <w:bCs/>
                <w:sz w:val="15"/>
                <w:szCs w:val="15"/>
              </w:rPr>
            </w:pPr>
            <w:bookmarkStart w:id="1280" w:name="_Toc4062735"/>
            <w:r w:rsidRPr="00587444">
              <w:rPr>
                <w:rFonts w:ascii="Arial" w:hAnsi="Arial" w:cs="Arial"/>
                <w:spacing w:val="-2"/>
                <w:sz w:val="15"/>
                <w:szCs w:val="15"/>
              </w:rPr>
              <w:t>Deposits from customers</w:t>
            </w:r>
            <w:bookmarkEnd w:id="1280"/>
            <w:r w:rsidRPr="00587444">
              <w:rPr>
                <w:rFonts w:ascii="Arial" w:hAnsi="Arial" w:cs="Arial"/>
                <w:spacing w:val="-2"/>
                <w:sz w:val="15"/>
                <w:szCs w:val="15"/>
              </w:rPr>
              <w:t xml:space="preserve"> </w:t>
            </w:r>
          </w:p>
        </w:tc>
        <w:tc>
          <w:tcPr>
            <w:tcW w:w="448" w:type="pct"/>
            <w:tcBorders>
              <w:top w:val="nil"/>
              <w:left w:val="nil"/>
              <w:bottom w:val="nil"/>
              <w:right w:val="nil"/>
            </w:tcBorders>
            <w:vAlign w:val="bottom"/>
          </w:tcPr>
          <w:p w14:paraId="469F694A"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150,690 </w:t>
            </w:r>
          </w:p>
        </w:tc>
        <w:tc>
          <w:tcPr>
            <w:tcW w:w="511" w:type="pct"/>
            <w:tcBorders>
              <w:top w:val="nil"/>
              <w:left w:val="nil"/>
              <w:bottom w:val="nil"/>
              <w:right w:val="nil"/>
            </w:tcBorders>
            <w:vAlign w:val="bottom"/>
          </w:tcPr>
          <w:p w14:paraId="6C971F03"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 </w:t>
            </w:r>
          </w:p>
        </w:tc>
        <w:tc>
          <w:tcPr>
            <w:tcW w:w="444" w:type="pct"/>
            <w:tcBorders>
              <w:top w:val="nil"/>
              <w:left w:val="nil"/>
              <w:bottom w:val="nil"/>
              <w:right w:val="nil"/>
            </w:tcBorders>
            <w:vAlign w:val="bottom"/>
          </w:tcPr>
          <w:p w14:paraId="7C8D9BD7"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 </w:t>
            </w:r>
          </w:p>
        </w:tc>
        <w:tc>
          <w:tcPr>
            <w:tcW w:w="511" w:type="pct"/>
            <w:tcBorders>
              <w:top w:val="nil"/>
              <w:left w:val="nil"/>
              <w:bottom w:val="nil"/>
              <w:right w:val="nil"/>
            </w:tcBorders>
            <w:vAlign w:val="bottom"/>
          </w:tcPr>
          <w:p w14:paraId="5FA07AB8"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 </w:t>
            </w:r>
          </w:p>
        </w:tc>
        <w:tc>
          <w:tcPr>
            <w:tcW w:w="486" w:type="pct"/>
            <w:tcBorders>
              <w:top w:val="nil"/>
              <w:left w:val="nil"/>
              <w:bottom w:val="nil"/>
              <w:right w:val="nil"/>
            </w:tcBorders>
            <w:vAlign w:val="bottom"/>
          </w:tcPr>
          <w:p w14:paraId="2A90C92D"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 </w:t>
            </w:r>
          </w:p>
        </w:tc>
        <w:tc>
          <w:tcPr>
            <w:tcW w:w="475" w:type="pct"/>
            <w:tcBorders>
              <w:top w:val="nil"/>
              <w:left w:val="nil"/>
              <w:bottom w:val="nil"/>
              <w:right w:val="nil"/>
            </w:tcBorders>
            <w:vAlign w:val="bottom"/>
          </w:tcPr>
          <w:p w14:paraId="0F827F25"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873,933 </w:t>
            </w:r>
          </w:p>
        </w:tc>
        <w:tc>
          <w:tcPr>
            <w:tcW w:w="480" w:type="pct"/>
            <w:tcBorders>
              <w:top w:val="nil"/>
              <w:left w:val="nil"/>
              <w:bottom w:val="nil"/>
              <w:right w:val="nil"/>
            </w:tcBorders>
            <w:vAlign w:val="bottom"/>
          </w:tcPr>
          <w:p w14:paraId="1C545FF9"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1,024,623 </w:t>
            </w:r>
          </w:p>
        </w:tc>
        <w:tc>
          <w:tcPr>
            <w:tcW w:w="492" w:type="pct"/>
            <w:tcBorders>
              <w:top w:val="nil"/>
              <w:left w:val="nil"/>
              <w:bottom w:val="nil"/>
              <w:right w:val="nil"/>
            </w:tcBorders>
            <w:vAlign w:val="bottom"/>
          </w:tcPr>
          <w:p w14:paraId="6BF28967"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150,690 </w:t>
            </w:r>
          </w:p>
        </w:tc>
      </w:tr>
      <w:tr w:rsidR="00587444" w:rsidRPr="00587444" w14:paraId="19B6A8D7" w14:textId="77777777" w:rsidTr="00DD69E7">
        <w:trPr>
          <w:trHeight w:val="299"/>
        </w:trPr>
        <w:tc>
          <w:tcPr>
            <w:tcW w:w="1153" w:type="pct"/>
          </w:tcPr>
          <w:p w14:paraId="334397FE" w14:textId="77777777" w:rsidR="00587444" w:rsidRPr="00587444" w:rsidRDefault="00587444" w:rsidP="00587444">
            <w:pPr>
              <w:tabs>
                <w:tab w:val="right" w:pos="1202"/>
              </w:tabs>
              <w:suppressAutoHyphens w:val="0"/>
              <w:autoSpaceDN/>
              <w:spacing w:line="320" w:lineRule="exact"/>
              <w:outlineLvl w:val="0"/>
              <w:rPr>
                <w:rFonts w:ascii="Arial" w:hAnsi="Arial" w:cs="Arial"/>
                <w:b/>
                <w:bCs/>
                <w:sz w:val="15"/>
                <w:szCs w:val="15"/>
              </w:rPr>
            </w:pPr>
            <w:bookmarkStart w:id="1281" w:name="_Toc4062736"/>
            <w:r w:rsidRPr="00587444">
              <w:rPr>
                <w:rFonts w:ascii="Arial" w:hAnsi="Arial" w:cs="Arial"/>
                <w:spacing w:val="-2"/>
                <w:sz w:val="15"/>
                <w:szCs w:val="15"/>
              </w:rPr>
              <w:t>Borrowings</w:t>
            </w:r>
            <w:bookmarkEnd w:id="1281"/>
            <w:r w:rsidRPr="00587444">
              <w:rPr>
                <w:rFonts w:ascii="Arial" w:hAnsi="Arial" w:cs="Arial"/>
                <w:spacing w:val="-2"/>
                <w:sz w:val="15"/>
                <w:szCs w:val="15"/>
              </w:rPr>
              <w:t xml:space="preserve"> </w:t>
            </w:r>
          </w:p>
        </w:tc>
        <w:tc>
          <w:tcPr>
            <w:tcW w:w="448" w:type="pct"/>
            <w:tcBorders>
              <w:top w:val="nil"/>
              <w:left w:val="nil"/>
              <w:bottom w:val="nil"/>
              <w:right w:val="nil"/>
            </w:tcBorders>
            <w:vAlign w:val="bottom"/>
          </w:tcPr>
          <w:p w14:paraId="432ACCD5"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555,327 </w:t>
            </w:r>
          </w:p>
        </w:tc>
        <w:tc>
          <w:tcPr>
            <w:tcW w:w="511" w:type="pct"/>
            <w:tcBorders>
              <w:top w:val="nil"/>
              <w:left w:val="nil"/>
              <w:bottom w:val="nil"/>
              <w:right w:val="nil"/>
            </w:tcBorders>
            <w:vAlign w:val="bottom"/>
          </w:tcPr>
          <w:p w14:paraId="5C00CDE3"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290,734 </w:t>
            </w:r>
          </w:p>
        </w:tc>
        <w:tc>
          <w:tcPr>
            <w:tcW w:w="444" w:type="pct"/>
            <w:tcBorders>
              <w:top w:val="nil"/>
              <w:left w:val="nil"/>
              <w:bottom w:val="nil"/>
              <w:right w:val="nil"/>
            </w:tcBorders>
            <w:vAlign w:val="bottom"/>
          </w:tcPr>
          <w:p w14:paraId="25E75462"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3,396,753 </w:t>
            </w:r>
          </w:p>
        </w:tc>
        <w:tc>
          <w:tcPr>
            <w:tcW w:w="511" w:type="pct"/>
            <w:tcBorders>
              <w:top w:val="nil"/>
              <w:left w:val="nil"/>
              <w:bottom w:val="nil"/>
              <w:right w:val="nil"/>
            </w:tcBorders>
            <w:vAlign w:val="bottom"/>
          </w:tcPr>
          <w:p w14:paraId="369D020D"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5,288,877 </w:t>
            </w:r>
          </w:p>
        </w:tc>
        <w:tc>
          <w:tcPr>
            <w:tcW w:w="486" w:type="pct"/>
            <w:tcBorders>
              <w:top w:val="nil"/>
              <w:left w:val="nil"/>
              <w:bottom w:val="nil"/>
              <w:right w:val="nil"/>
            </w:tcBorders>
            <w:vAlign w:val="bottom"/>
          </w:tcPr>
          <w:p w14:paraId="40648D61"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6,939,483 </w:t>
            </w:r>
          </w:p>
        </w:tc>
        <w:tc>
          <w:tcPr>
            <w:tcW w:w="475" w:type="pct"/>
            <w:tcBorders>
              <w:top w:val="nil"/>
              <w:left w:val="nil"/>
              <w:bottom w:val="nil"/>
              <w:right w:val="nil"/>
            </w:tcBorders>
            <w:vAlign w:val="bottom"/>
          </w:tcPr>
          <w:p w14:paraId="6C90A837"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30,102 </w:t>
            </w:r>
          </w:p>
        </w:tc>
        <w:tc>
          <w:tcPr>
            <w:tcW w:w="480" w:type="pct"/>
            <w:tcBorders>
              <w:top w:val="nil"/>
              <w:left w:val="nil"/>
              <w:bottom w:val="nil"/>
              <w:right w:val="nil"/>
            </w:tcBorders>
            <w:vAlign w:val="bottom"/>
          </w:tcPr>
          <w:p w14:paraId="049227FE"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16,501,276 </w:t>
            </w:r>
          </w:p>
        </w:tc>
        <w:tc>
          <w:tcPr>
            <w:tcW w:w="492" w:type="pct"/>
            <w:tcBorders>
              <w:top w:val="nil"/>
              <w:left w:val="nil"/>
              <w:bottom w:val="nil"/>
              <w:right w:val="nil"/>
            </w:tcBorders>
            <w:vAlign w:val="bottom"/>
          </w:tcPr>
          <w:p w14:paraId="7614DEDD"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16,317,392 </w:t>
            </w:r>
          </w:p>
        </w:tc>
      </w:tr>
      <w:tr w:rsidR="00587444" w:rsidRPr="00587444" w14:paraId="3108D6CB" w14:textId="77777777" w:rsidTr="00DD69E7">
        <w:trPr>
          <w:trHeight w:val="320"/>
        </w:trPr>
        <w:tc>
          <w:tcPr>
            <w:tcW w:w="1153" w:type="pct"/>
          </w:tcPr>
          <w:p w14:paraId="0F7810F5" w14:textId="77777777" w:rsidR="00587444" w:rsidRPr="00587444" w:rsidRDefault="00587444" w:rsidP="00587444">
            <w:pPr>
              <w:tabs>
                <w:tab w:val="left" w:pos="-720"/>
              </w:tabs>
              <w:autoSpaceDN/>
              <w:spacing w:line="280" w:lineRule="exact"/>
              <w:ind w:right="-5"/>
              <w:rPr>
                <w:rFonts w:ascii="Arial" w:hAnsi="Arial" w:cs="Arial"/>
                <w:spacing w:val="-2"/>
                <w:sz w:val="15"/>
                <w:szCs w:val="15"/>
              </w:rPr>
            </w:pPr>
            <w:r w:rsidRPr="00587444">
              <w:rPr>
                <w:rFonts w:ascii="Arial" w:hAnsi="Arial" w:cs="Arial"/>
                <w:spacing w:val="-2"/>
                <w:sz w:val="15"/>
                <w:szCs w:val="15"/>
              </w:rPr>
              <w:t>Provisions for guarantees, commitments and other liabilities</w:t>
            </w:r>
          </w:p>
        </w:tc>
        <w:tc>
          <w:tcPr>
            <w:tcW w:w="448" w:type="pct"/>
            <w:tcBorders>
              <w:top w:val="nil"/>
              <w:left w:val="nil"/>
              <w:bottom w:val="nil"/>
              <w:right w:val="nil"/>
            </w:tcBorders>
            <w:vAlign w:val="bottom"/>
          </w:tcPr>
          <w:p w14:paraId="0C2F3A1C"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 </w:t>
            </w:r>
          </w:p>
        </w:tc>
        <w:tc>
          <w:tcPr>
            <w:tcW w:w="511" w:type="pct"/>
            <w:tcBorders>
              <w:top w:val="nil"/>
              <w:left w:val="nil"/>
              <w:bottom w:val="nil"/>
              <w:right w:val="nil"/>
            </w:tcBorders>
            <w:vAlign w:val="bottom"/>
          </w:tcPr>
          <w:p w14:paraId="0AD4F301"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 </w:t>
            </w:r>
          </w:p>
        </w:tc>
        <w:tc>
          <w:tcPr>
            <w:tcW w:w="444" w:type="pct"/>
            <w:tcBorders>
              <w:top w:val="nil"/>
              <w:left w:val="nil"/>
              <w:bottom w:val="nil"/>
              <w:right w:val="nil"/>
            </w:tcBorders>
            <w:vAlign w:val="bottom"/>
          </w:tcPr>
          <w:p w14:paraId="267B34FF"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 </w:t>
            </w:r>
          </w:p>
        </w:tc>
        <w:tc>
          <w:tcPr>
            <w:tcW w:w="511" w:type="pct"/>
            <w:tcBorders>
              <w:top w:val="nil"/>
              <w:left w:val="nil"/>
              <w:bottom w:val="nil"/>
              <w:right w:val="nil"/>
            </w:tcBorders>
            <w:vAlign w:val="bottom"/>
          </w:tcPr>
          <w:p w14:paraId="5FACE6FD"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 </w:t>
            </w:r>
          </w:p>
        </w:tc>
        <w:tc>
          <w:tcPr>
            <w:tcW w:w="486" w:type="pct"/>
            <w:tcBorders>
              <w:top w:val="nil"/>
              <w:left w:val="nil"/>
              <w:bottom w:val="nil"/>
              <w:right w:val="nil"/>
            </w:tcBorders>
            <w:vAlign w:val="bottom"/>
          </w:tcPr>
          <w:p w14:paraId="07265546"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 </w:t>
            </w:r>
          </w:p>
        </w:tc>
        <w:tc>
          <w:tcPr>
            <w:tcW w:w="475" w:type="pct"/>
            <w:tcBorders>
              <w:top w:val="nil"/>
              <w:left w:val="nil"/>
              <w:bottom w:val="nil"/>
              <w:right w:val="nil"/>
            </w:tcBorders>
            <w:vAlign w:val="bottom"/>
          </w:tcPr>
          <w:p w14:paraId="64A21E57"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142,715 </w:t>
            </w:r>
          </w:p>
        </w:tc>
        <w:tc>
          <w:tcPr>
            <w:tcW w:w="480" w:type="pct"/>
            <w:tcBorders>
              <w:top w:val="nil"/>
              <w:left w:val="nil"/>
              <w:bottom w:val="nil"/>
              <w:right w:val="nil"/>
            </w:tcBorders>
            <w:vAlign w:val="bottom"/>
          </w:tcPr>
          <w:p w14:paraId="3A72ED7C"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142,715 </w:t>
            </w:r>
          </w:p>
        </w:tc>
        <w:tc>
          <w:tcPr>
            <w:tcW w:w="492" w:type="pct"/>
            <w:tcBorders>
              <w:top w:val="nil"/>
              <w:left w:val="nil"/>
              <w:bottom w:val="nil"/>
              <w:right w:val="nil"/>
            </w:tcBorders>
            <w:vAlign w:val="bottom"/>
          </w:tcPr>
          <w:p w14:paraId="660D8DE1"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 </w:t>
            </w:r>
          </w:p>
        </w:tc>
      </w:tr>
      <w:tr w:rsidR="00587444" w:rsidRPr="00587444" w14:paraId="5B1A898A" w14:textId="77777777" w:rsidTr="00DD69E7">
        <w:trPr>
          <w:trHeight w:val="320"/>
        </w:trPr>
        <w:tc>
          <w:tcPr>
            <w:tcW w:w="1153" w:type="pct"/>
          </w:tcPr>
          <w:p w14:paraId="3B24EC5C" w14:textId="77777777" w:rsidR="00587444" w:rsidRPr="00587444" w:rsidRDefault="00587444" w:rsidP="00587444">
            <w:pPr>
              <w:tabs>
                <w:tab w:val="right" w:pos="1202"/>
              </w:tabs>
              <w:suppressAutoHyphens w:val="0"/>
              <w:autoSpaceDN/>
              <w:spacing w:line="320" w:lineRule="exact"/>
              <w:outlineLvl w:val="0"/>
              <w:rPr>
                <w:rFonts w:ascii="Arial" w:hAnsi="Arial" w:cs="Arial"/>
                <w:b/>
                <w:bCs/>
                <w:sz w:val="15"/>
                <w:szCs w:val="15"/>
              </w:rPr>
            </w:pPr>
            <w:bookmarkStart w:id="1282" w:name="_Toc4062738"/>
            <w:r w:rsidRPr="00587444">
              <w:rPr>
                <w:rFonts w:ascii="Arial" w:hAnsi="Arial" w:cs="Arial"/>
                <w:spacing w:val="-2"/>
                <w:sz w:val="15"/>
                <w:szCs w:val="15"/>
              </w:rPr>
              <w:t>Other liabilities</w:t>
            </w:r>
            <w:bookmarkEnd w:id="1282"/>
            <w:r w:rsidRPr="00587444">
              <w:rPr>
                <w:rFonts w:ascii="Arial" w:hAnsi="Arial" w:cs="Arial"/>
                <w:spacing w:val="-2"/>
                <w:sz w:val="15"/>
                <w:szCs w:val="15"/>
              </w:rPr>
              <w:t xml:space="preserve"> </w:t>
            </w:r>
          </w:p>
        </w:tc>
        <w:tc>
          <w:tcPr>
            <w:tcW w:w="448" w:type="pct"/>
            <w:tcBorders>
              <w:top w:val="nil"/>
              <w:left w:val="nil"/>
              <w:bottom w:val="nil"/>
              <w:right w:val="nil"/>
            </w:tcBorders>
            <w:vAlign w:val="bottom"/>
          </w:tcPr>
          <w:p w14:paraId="128C4B42"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 </w:t>
            </w:r>
          </w:p>
        </w:tc>
        <w:tc>
          <w:tcPr>
            <w:tcW w:w="511" w:type="pct"/>
            <w:tcBorders>
              <w:top w:val="nil"/>
              <w:left w:val="nil"/>
              <w:bottom w:val="nil"/>
              <w:right w:val="nil"/>
            </w:tcBorders>
            <w:vAlign w:val="bottom"/>
          </w:tcPr>
          <w:p w14:paraId="2B2FE18B"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 </w:t>
            </w:r>
          </w:p>
        </w:tc>
        <w:tc>
          <w:tcPr>
            <w:tcW w:w="444" w:type="pct"/>
            <w:tcBorders>
              <w:top w:val="nil"/>
              <w:left w:val="nil"/>
              <w:bottom w:val="nil"/>
              <w:right w:val="nil"/>
            </w:tcBorders>
            <w:vAlign w:val="bottom"/>
          </w:tcPr>
          <w:p w14:paraId="66EC5EAC"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 </w:t>
            </w:r>
          </w:p>
        </w:tc>
        <w:tc>
          <w:tcPr>
            <w:tcW w:w="511" w:type="pct"/>
            <w:tcBorders>
              <w:top w:val="nil"/>
              <w:left w:val="nil"/>
              <w:bottom w:val="nil"/>
              <w:right w:val="nil"/>
            </w:tcBorders>
            <w:vAlign w:val="bottom"/>
          </w:tcPr>
          <w:p w14:paraId="14F8C9C6"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 </w:t>
            </w:r>
          </w:p>
        </w:tc>
        <w:tc>
          <w:tcPr>
            <w:tcW w:w="486" w:type="pct"/>
            <w:tcBorders>
              <w:top w:val="nil"/>
              <w:left w:val="nil"/>
              <w:bottom w:val="nil"/>
              <w:right w:val="nil"/>
            </w:tcBorders>
            <w:vAlign w:val="bottom"/>
          </w:tcPr>
          <w:p w14:paraId="276169E1"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 </w:t>
            </w:r>
          </w:p>
        </w:tc>
        <w:tc>
          <w:tcPr>
            <w:tcW w:w="475" w:type="pct"/>
            <w:tcBorders>
              <w:top w:val="nil"/>
              <w:left w:val="nil"/>
              <w:right w:val="nil"/>
            </w:tcBorders>
            <w:vAlign w:val="bottom"/>
          </w:tcPr>
          <w:p w14:paraId="5F279203"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676,523 </w:t>
            </w:r>
          </w:p>
        </w:tc>
        <w:tc>
          <w:tcPr>
            <w:tcW w:w="480" w:type="pct"/>
            <w:tcBorders>
              <w:top w:val="nil"/>
              <w:left w:val="nil"/>
              <w:right w:val="nil"/>
            </w:tcBorders>
            <w:vAlign w:val="bottom"/>
          </w:tcPr>
          <w:p w14:paraId="0C195C8D"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676,523 </w:t>
            </w:r>
          </w:p>
        </w:tc>
        <w:tc>
          <w:tcPr>
            <w:tcW w:w="492" w:type="pct"/>
            <w:tcBorders>
              <w:top w:val="nil"/>
              <w:left w:val="nil"/>
              <w:right w:val="nil"/>
            </w:tcBorders>
            <w:vAlign w:val="bottom"/>
          </w:tcPr>
          <w:p w14:paraId="4400506F"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 </w:t>
            </w:r>
          </w:p>
        </w:tc>
      </w:tr>
      <w:tr w:rsidR="00587444" w:rsidRPr="00587444" w14:paraId="507D7AD9" w14:textId="77777777" w:rsidTr="00DD69E7">
        <w:trPr>
          <w:trHeight w:val="320"/>
        </w:trPr>
        <w:tc>
          <w:tcPr>
            <w:tcW w:w="1153" w:type="pct"/>
            <w:vAlign w:val="bottom"/>
          </w:tcPr>
          <w:p w14:paraId="241B5D75" w14:textId="77777777" w:rsidR="00587444" w:rsidRPr="00587444" w:rsidRDefault="00587444" w:rsidP="00587444">
            <w:pPr>
              <w:tabs>
                <w:tab w:val="right" w:pos="1202"/>
              </w:tabs>
              <w:suppressAutoHyphens w:val="0"/>
              <w:autoSpaceDN/>
              <w:spacing w:line="320" w:lineRule="exact"/>
              <w:outlineLvl w:val="0"/>
              <w:rPr>
                <w:rFonts w:ascii="Arial" w:hAnsi="Arial" w:cs="Arial"/>
                <w:spacing w:val="-2"/>
                <w:sz w:val="15"/>
                <w:szCs w:val="15"/>
              </w:rPr>
            </w:pPr>
            <w:bookmarkStart w:id="1283" w:name="_Toc4062739"/>
            <w:r w:rsidRPr="00587444">
              <w:rPr>
                <w:rFonts w:ascii="Arial" w:hAnsi="Arial" w:cs="Arial"/>
                <w:b/>
                <w:bCs/>
                <w:sz w:val="15"/>
                <w:szCs w:val="15"/>
              </w:rPr>
              <w:t>Total liabilities</w:t>
            </w:r>
            <w:bookmarkEnd w:id="1283"/>
            <w:r w:rsidRPr="00587444">
              <w:rPr>
                <w:rFonts w:ascii="Arial" w:hAnsi="Arial" w:cs="Arial"/>
                <w:b/>
                <w:bCs/>
                <w:sz w:val="15"/>
                <w:szCs w:val="15"/>
              </w:rPr>
              <w:t xml:space="preserve"> </w:t>
            </w:r>
          </w:p>
        </w:tc>
        <w:tc>
          <w:tcPr>
            <w:tcW w:w="448" w:type="pct"/>
            <w:tcBorders>
              <w:top w:val="single" w:sz="8" w:space="0" w:color="auto"/>
              <w:left w:val="nil"/>
              <w:bottom w:val="single" w:sz="12" w:space="0" w:color="auto"/>
              <w:right w:val="nil"/>
            </w:tcBorders>
            <w:vAlign w:val="bottom"/>
          </w:tcPr>
          <w:p w14:paraId="48DD21AD"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 706,017 </w:t>
            </w:r>
          </w:p>
        </w:tc>
        <w:tc>
          <w:tcPr>
            <w:tcW w:w="511" w:type="pct"/>
            <w:tcBorders>
              <w:top w:val="single" w:sz="8" w:space="0" w:color="auto"/>
              <w:left w:val="nil"/>
              <w:bottom w:val="single" w:sz="12" w:space="0" w:color="auto"/>
              <w:right w:val="nil"/>
            </w:tcBorders>
            <w:vAlign w:val="bottom"/>
          </w:tcPr>
          <w:p w14:paraId="6661D152"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 290,734 </w:t>
            </w:r>
          </w:p>
        </w:tc>
        <w:tc>
          <w:tcPr>
            <w:tcW w:w="444" w:type="pct"/>
            <w:tcBorders>
              <w:top w:val="single" w:sz="8" w:space="0" w:color="auto"/>
              <w:left w:val="nil"/>
              <w:bottom w:val="single" w:sz="12" w:space="0" w:color="auto"/>
              <w:right w:val="nil"/>
            </w:tcBorders>
            <w:vAlign w:val="bottom"/>
          </w:tcPr>
          <w:p w14:paraId="51A83112"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3,396,753 </w:t>
            </w:r>
          </w:p>
        </w:tc>
        <w:tc>
          <w:tcPr>
            <w:tcW w:w="511" w:type="pct"/>
            <w:tcBorders>
              <w:top w:val="single" w:sz="8" w:space="0" w:color="auto"/>
              <w:left w:val="nil"/>
              <w:bottom w:val="single" w:sz="12" w:space="0" w:color="auto"/>
              <w:right w:val="nil"/>
            </w:tcBorders>
            <w:vAlign w:val="bottom"/>
          </w:tcPr>
          <w:p w14:paraId="3C6F6A2A"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 5,288,877 </w:t>
            </w:r>
          </w:p>
        </w:tc>
        <w:tc>
          <w:tcPr>
            <w:tcW w:w="486" w:type="pct"/>
            <w:tcBorders>
              <w:top w:val="single" w:sz="8" w:space="0" w:color="auto"/>
              <w:left w:val="nil"/>
              <w:bottom w:val="single" w:sz="12" w:space="0" w:color="auto"/>
              <w:right w:val="nil"/>
            </w:tcBorders>
            <w:vAlign w:val="bottom"/>
          </w:tcPr>
          <w:p w14:paraId="194892F2"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 6,939,483 </w:t>
            </w:r>
          </w:p>
        </w:tc>
        <w:tc>
          <w:tcPr>
            <w:tcW w:w="475" w:type="pct"/>
            <w:tcBorders>
              <w:top w:val="single" w:sz="8" w:space="0" w:color="auto"/>
              <w:left w:val="nil"/>
              <w:bottom w:val="single" w:sz="12" w:space="0" w:color="auto"/>
              <w:right w:val="nil"/>
            </w:tcBorders>
            <w:vAlign w:val="bottom"/>
          </w:tcPr>
          <w:p w14:paraId="1039FE8C"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 1,723,273 </w:t>
            </w:r>
          </w:p>
        </w:tc>
        <w:tc>
          <w:tcPr>
            <w:tcW w:w="480" w:type="pct"/>
            <w:tcBorders>
              <w:top w:val="single" w:sz="8" w:space="0" w:color="auto"/>
              <w:left w:val="nil"/>
              <w:bottom w:val="single" w:sz="12" w:space="0" w:color="auto"/>
              <w:right w:val="nil"/>
            </w:tcBorders>
            <w:vAlign w:val="bottom"/>
          </w:tcPr>
          <w:p w14:paraId="1BE6EFEB"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18,345,137 </w:t>
            </w:r>
          </w:p>
        </w:tc>
        <w:tc>
          <w:tcPr>
            <w:tcW w:w="492" w:type="pct"/>
            <w:tcBorders>
              <w:top w:val="single" w:sz="8" w:space="0" w:color="auto"/>
              <w:left w:val="nil"/>
              <w:bottom w:val="single" w:sz="12" w:space="0" w:color="auto"/>
              <w:right w:val="nil"/>
            </w:tcBorders>
            <w:vAlign w:val="bottom"/>
          </w:tcPr>
          <w:p w14:paraId="058EC08C"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16,468,082 </w:t>
            </w:r>
          </w:p>
        </w:tc>
      </w:tr>
      <w:tr w:rsidR="00587444" w:rsidRPr="00587444" w14:paraId="7F603E22" w14:textId="77777777" w:rsidTr="00DD69E7">
        <w:trPr>
          <w:trHeight w:val="320"/>
        </w:trPr>
        <w:tc>
          <w:tcPr>
            <w:tcW w:w="1153" w:type="pct"/>
            <w:vAlign w:val="bottom"/>
          </w:tcPr>
          <w:p w14:paraId="78DEB550" w14:textId="77777777" w:rsidR="00587444" w:rsidRPr="00587444" w:rsidRDefault="00587444" w:rsidP="00587444">
            <w:pPr>
              <w:tabs>
                <w:tab w:val="right" w:pos="1202"/>
              </w:tabs>
              <w:suppressAutoHyphens w:val="0"/>
              <w:autoSpaceDN/>
              <w:spacing w:line="320" w:lineRule="exact"/>
              <w:outlineLvl w:val="0"/>
              <w:rPr>
                <w:rFonts w:ascii="Arial" w:hAnsi="Arial" w:cs="Arial"/>
                <w:spacing w:val="-2"/>
                <w:sz w:val="15"/>
                <w:szCs w:val="15"/>
              </w:rPr>
            </w:pPr>
            <w:bookmarkStart w:id="1284" w:name="_Toc4062740"/>
            <w:r w:rsidRPr="00587444">
              <w:rPr>
                <w:rFonts w:ascii="Arial" w:hAnsi="Arial" w:cs="Arial"/>
                <w:b/>
                <w:bCs/>
                <w:spacing w:val="-2"/>
                <w:sz w:val="15"/>
                <w:szCs w:val="15"/>
              </w:rPr>
              <w:t>Interest rate gap</w:t>
            </w:r>
            <w:bookmarkEnd w:id="1284"/>
          </w:p>
        </w:tc>
        <w:tc>
          <w:tcPr>
            <w:tcW w:w="448" w:type="pct"/>
            <w:tcBorders>
              <w:top w:val="nil"/>
              <w:left w:val="nil"/>
              <w:bottom w:val="single" w:sz="12" w:space="0" w:color="auto"/>
              <w:right w:val="nil"/>
            </w:tcBorders>
            <w:shd w:val="clear" w:color="auto" w:fill="auto"/>
            <w:vAlign w:val="bottom"/>
          </w:tcPr>
          <w:p w14:paraId="12DEC024"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3,572,613 </w:t>
            </w:r>
          </w:p>
        </w:tc>
        <w:tc>
          <w:tcPr>
            <w:tcW w:w="511" w:type="pct"/>
            <w:tcBorders>
              <w:top w:val="nil"/>
              <w:left w:val="nil"/>
              <w:bottom w:val="single" w:sz="12" w:space="0" w:color="auto"/>
              <w:right w:val="nil"/>
            </w:tcBorders>
            <w:shd w:val="clear" w:color="auto" w:fill="auto"/>
            <w:vAlign w:val="bottom"/>
          </w:tcPr>
          <w:p w14:paraId="067DE525"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 816,321 </w:t>
            </w:r>
          </w:p>
        </w:tc>
        <w:tc>
          <w:tcPr>
            <w:tcW w:w="444" w:type="pct"/>
            <w:tcBorders>
              <w:top w:val="nil"/>
              <w:left w:val="nil"/>
              <w:bottom w:val="single" w:sz="12" w:space="0" w:color="auto"/>
              <w:right w:val="nil"/>
            </w:tcBorders>
            <w:shd w:val="clear" w:color="auto" w:fill="auto"/>
            <w:vAlign w:val="bottom"/>
          </w:tcPr>
          <w:p w14:paraId="26CC7B88"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 304,232 </w:t>
            </w:r>
          </w:p>
        </w:tc>
        <w:tc>
          <w:tcPr>
            <w:tcW w:w="511" w:type="pct"/>
            <w:tcBorders>
              <w:top w:val="nil"/>
              <w:left w:val="nil"/>
              <w:bottom w:val="single" w:sz="12" w:space="0" w:color="auto"/>
              <w:right w:val="nil"/>
            </w:tcBorders>
            <w:shd w:val="clear" w:color="auto" w:fill="auto"/>
            <w:vAlign w:val="bottom"/>
          </w:tcPr>
          <w:p w14:paraId="0DABE800"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 234,242 </w:t>
            </w:r>
          </w:p>
        </w:tc>
        <w:tc>
          <w:tcPr>
            <w:tcW w:w="486" w:type="pct"/>
            <w:tcBorders>
              <w:top w:val="nil"/>
              <w:left w:val="nil"/>
              <w:bottom w:val="single" w:sz="12" w:space="0" w:color="auto"/>
              <w:right w:val="nil"/>
            </w:tcBorders>
            <w:shd w:val="clear" w:color="auto" w:fill="auto"/>
            <w:vAlign w:val="bottom"/>
          </w:tcPr>
          <w:p w14:paraId="16F00871"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 5,458,736 </w:t>
            </w:r>
          </w:p>
        </w:tc>
        <w:tc>
          <w:tcPr>
            <w:tcW w:w="475" w:type="pct"/>
            <w:tcBorders>
              <w:top w:val="nil"/>
              <w:left w:val="nil"/>
              <w:bottom w:val="single" w:sz="12" w:space="0" w:color="auto"/>
              <w:right w:val="nil"/>
            </w:tcBorders>
            <w:shd w:val="clear" w:color="auto" w:fill="auto"/>
            <w:vAlign w:val="bottom"/>
          </w:tcPr>
          <w:p w14:paraId="1180929F"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 265,275 </w:t>
            </w:r>
          </w:p>
        </w:tc>
        <w:tc>
          <w:tcPr>
            <w:tcW w:w="480" w:type="pct"/>
            <w:tcBorders>
              <w:top w:val="nil"/>
              <w:left w:val="nil"/>
              <w:bottom w:val="single" w:sz="12" w:space="0" w:color="auto"/>
              <w:right w:val="nil"/>
            </w:tcBorders>
            <w:shd w:val="clear" w:color="auto" w:fill="auto"/>
            <w:vAlign w:val="bottom"/>
          </w:tcPr>
          <w:p w14:paraId="0C85A0C0"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10,651,419 </w:t>
            </w:r>
          </w:p>
        </w:tc>
        <w:tc>
          <w:tcPr>
            <w:tcW w:w="492" w:type="pct"/>
            <w:tcBorders>
              <w:top w:val="nil"/>
              <w:left w:val="nil"/>
              <w:bottom w:val="single" w:sz="12" w:space="0" w:color="auto"/>
              <w:right w:val="nil"/>
            </w:tcBorders>
            <w:shd w:val="clear" w:color="auto" w:fill="auto"/>
            <w:vAlign w:val="bottom"/>
          </w:tcPr>
          <w:p w14:paraId="7D74A80F"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 9,216,402 </w:t>
            </w:r>
          </w:p>
        </w:tc>
      </w:tr>
    </w:tbl>
    <w:p w14:paraId="2A3C93C4" w14:textId="77777777" w:rsidR="00587444" w:rsidRPr="00587444" w:rsidRDefault="00587444" w:rsidP="00587444">
      <w:pPr>
        <w:tabs>
          <w:tab w:val="left" w:pos="-720"/>
        </w:tabs>
        <w:autoSpaceDN/>
        <w:ind w:right="-6"/>
        <w:jc w:val="both"/>
        <w:rPr>
          <w:rFonts w:ascii="Arial" w:hAnsi="Arial" w:cs="Arial"/>
          <w:sz w:val="20"/>
          <w:szCs w:val="20"/>
          <w:highlight w:val="yellow"/>
          <w:lang w:val="en-GB"/>
        </w:rPr>
      </w:pPr>
    </w:p>
    <w:p w14:paraId="70FD91F4" w14:textId="77777777" w:rsidR="00587444" w:rsidRPr="00587444" w:rsidRDefault="00587444" w:rsidP="00587444">
      <w:pPr>
        <w:tabs>
          <w:tab w:val="left" w:pos="-720"/>
        </w:tabs>
        <w:autoSpaceDN/>
        <w:spacing w:line="140" w:lineRule="exact"/>
        <w:ind w:right="-6"/>
        <w:jc w:val="both"/>
        <w:rPr>
          <w:rFonts w:ascii="Arial" w:hAnsi="Arial" w:cs="Arial"/>
          <w:sz w:val="20"/>
          <w:szCs w:val="20"/>
          <w:highlight w:val="yellow"/>
          <w:lang w:val="en-GB"/>
        </w:rPr>
      </w:pPr>
    </w:p>
    <w:p w14:paraId="4AD52FFB" w14:textId="77777777" w:rsidR="00587444" w:rsidRPr="00587444" w:rsidRDefault="00587444" w:rsidP="00587444">
      <w:pPr>
        <w:tabs>
          <w:tab w:val="left" w:pos="-720"/>
        </w:tabs>
        <w:autoSpaceDN/>
        <w:spacing w:line="140" w:lineRule="exact"/>
        <w:ind w:right="-6"/>
        <w:jc w:val="both"/>
        <w:rPr>
          <w:rFonts w:ascii="Arial" w:hAnsi="Arial" w:cs="Arial"/>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6F9E9137" w14:textId="77777777" w:rsidR="00587444" w:rsidRPr="00587444" w:rsidRDefault="00587444" w:rsidP="00587444">
      <w:pPr>
        <w:tabs>
          <w:tab w:val="left" w:pos="-720"/>
        </w:tabs>
        <w:autoSpaceDN/>
        <w:ind w:right="-6"/>
        <w:jc w:val="both"/>
        <w:rPr>
          <w:rFonts w:ascii="Arial" w:hAnsi="Arial" w:cs="Arial"/>
          <w:sz w:val="20"/>
          <w:szCs w:val="20"/>
          <w:highlight w:val="yellow"/>
          <w:lang w:val="en-GB"/>
        </w:rPr>
      </w:pPr>
    </w:p>
    <w:p w14:paraId="3135CD70"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         Risk management (continued)</w:t>
      </w:r>
    </w:p>
    <w:p w14:paraId="78170F3C"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27B070ED"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31.5.      Market risk (continued)</w:t>
      </w:r>
    </w:p>
    <w:p w14:paraId="36E8FEF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23899BBA"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31.5.1.   Interest rate risk (continued)</w:t>
      </w:r>
    </w:p>
    <w:p w14:paraId="7127F42D"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24CF58BD" w14:textId="77777777" w:rsidR="00587444" w:rsidRPr="00587444" w:rsidRDefault="00587444" w:rsidP="00587444">
      <w:pPr>
        <w:tabs>
          <w:tab w:val="left" w:pos="-720"/>
        </w:tabs>
        <w:autoSpaceDN/>
        <w:ind w:right="-6"/>
        <w:jc w:val="both"/>
        <w:rPr>
          <w:rFonts w:ascii="Arial" w:hAnsi="Arial" w:cs="Arial"/>
          <w:sz w:val="20"/>
          <w:szCs w:val="20"/>
          <w:highlight w:val="yellow"/>
          <w:lang w:val="en-GB"/>
        </w:rPr>
      </w:pPr>
    </w:p>
    <w:tbl>
      <w:tblPr>
        <w:tblW w:w="5530" w:type="pct"/>
        <w:tblInd w:w="-709" w:type="dxa"/>
        <w:tblLayout w:type="fixed"/>
        <w:tblCellMar>
          <w:left w:w="120" w:type="dxa"/>
          <w:right w:w="120" w:type="dxa"/>
        </w:tblCellMar>
        <w:tblLook w:val="0000" w:firstRow="0" w:lastRow="0" w:firstColumn="0" w:lastColumn="0" w:noHBand="0" w:noVBand="0"/>
      </w:tblPr>
      <w:tblGrid>
        <w:gridCol w:w="2444"/>
        <w:gridCol w:w="952"/>
        <w:gridCol w:w="1085"/>
        <w:gridCol w:w="942"/>
        <w:gridCol w:w="1085"/>
        <w:gridCol w:w="1031"/>
        <w:gridCol w:w="1008"/>
        <w:gridCol w:w="1019"/>
        <w:gridCol w:w="1046"/>
      </w:tblGrid>
      <w:tr w:rsidR="00587444" w:rsidRPr="00587444" w14:paraId="4EA3A1D8" w14:textId="77777777" w:rsidTr="00DD69E7">
        <w:trPr>
          <w:trHeight w:val="698"/>
        </w:trPr>
        <w:tc>
          <w:tcPr>
            <w:tcW w:w="1151" w:type="pct"/>
            <w:shd w:val="clear" w:color="auto" w:fill="auto"/>
            <w:vAlign w:val="center"/>
          </w:tcPr>
          <w:p w14:paraId="418BFDD6"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Group</w:t>
            </w:r>
          </w:p>
          <w:p w14:paraId="3295D6E8"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p>
          <w:p w14:paraId="396245CB"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31 December 2021</w:t>
            </w:r>
          </w:p>
        </w:tc>
        <w:tc>
          <w:tcPr>
            <w:tcW w:w="448" w:type="pct"/>
            <w:shd w:val="clear" w:color="auto" w:fill="auto"/>
          </w:tcPr>
          <w:p w14:paraId="0A1C497A"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Up to 1 month</w:t>
            </w:r>
          </w:p>
        </w:tc>
        <w:tc>
          <w:tcPr>
            <w:tcW w:w="511" w:type="pct"/>
            <w:shd w:val="clear" w:color="auto" w:fill="auto"/>
          </w:tcPr>
          <w:p w14:paraId="7A3B80CB"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months</w:t>
            </w:r>
          </w:p>
        </w:tc>
        <w:tc>
          <w:tcPr>
            <w:tcW w:w="444" w:type="pct"/>
            <w:shd w:val="clear" w:color="auto" w:fill="auto"/>
          </w:tcPr>
          <w:p w14:paraId="57C8E3C8"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3 months to 1 year </w:t>
            </w:r>
          </w:p>
        </w:tc>
        <w:tc>
          <w:tcPr>
            <w:tcW w:w="511" w:type="pct"/>
            <w:shd w:val="clear" w:color="auto" w:fill="auto"/>
          </w:tcPr>
          <w:p w14:paraId="50D74932"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years</w:t>
            </w:r>
          </w:p>
        </w:tc>
        <w:tc>
          <w:tcPr>
            <w:tcW w:w="486" w:type="pct"/>
            <w:shd w:val="clear" w:color="auto" w:fill="auto"/>
          </w:tcPr>
          <w:p w14:paraId="6E1FDF53"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Over 3 years</w:t>
            </w:r>
          </w:p>
        </w:tc>
        <w:tc>
          <w:tcPr>
            <w:tcW w:w="475" w:type="pct"/>
            <w:shd w:val="clear" w:color="auto" w:fill="auto"/>
          </w:tcPr>
          <w:p w14:paraId="57C75D06"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Non-interest bearing</w:t>
            </w:r>
          </w:p>
        </w:tc>
        <w:tc>
          <w:tcPr>
            <w:tcW w:w="480" w:type="pct"/>
            <w:shd w:val="clear" w:color="auto" w:fill="auto"/>
          </w:tcPr>
          <w:p w14:paraId="1648A259"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Total </w:t>
            </w:r>
          </w:p>
        </w:tc>
        <w:tc>
          <w:tcPr>
            <w:tcW w:w="493" w:type="pct"/>
          </w:tcPr>
          <w:p w14:paraId="7B88EAC6"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Fixed interest rate</w:t>
            </w:r>
          </w:p>
        </w:tc>
      </w:tr>
      <w:tr w:rsidR="00587444" w:rsidRPr="00587444" w14:paraId="51F6F577" w14:textId="77777777" w:rsidTr="00DD69E7">
        <w:trPr>
          <w:trHeight w:hRule="exact" w:val="227"/>
        </w:trPr>
        <w:tc>
          <w:tcPr>
            <w:tcW w:w="1151" w:type="pct"/>
            <w:shd w:val="clear" w:color="auto" w:fill="auto"/>
            <w:vAlign w:val="center"/>
          </w:tcPr>
          <w:p w14:paraId="7684B54E"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p>
        </w:tc>
        <w:tc>
          <w:tcPr>
            <w:tcW w:w="448" w:type="pct"/>
            <w:shd w:val="clear" w:color="auto" w:fill="auto"/>
          </w:tcPr>
          <w:p w14:paraId="5C2C695F" w14:textId="77777777" w:rsidR="00587444" w:rsidRPr="00587444" w:rsidRDefault="00587444" w:rsidP="00587444">
            <w:pPr>
              <w:tabs>
                <w:tab w:val="left" w:pos="-720"/>
              </w:tabs>
              <w:autoSpaceDN/>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511" w:type="pct"/>
            <w:shd w:val="clear" w:color="auto" w:fill="auto"/>
          </w:tcPr>
          <w:p w14:paraId="2ED33B0D" w14:textId="77777777" w:rsidR="00587444" w:rsidRPr="00587444" w:rsidRDefault="00587444" w:rsidP="00587444">
            <w:pPr>
              <w:tabs>
                <w:tab w:val="left" w:pos="-720"/>
              </w:tabs>
              <w:autoSpaceDN/>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444" w:type="pct"/>
            <w:shd w:val="clear" w:color="auto" w:fill="auto"/>
          </w:tcPr>
          <w:p w14:paraId="788D3DE2" w14:textId="77777777" w:rsidR="00587444" w:rsidRPr="00587444" w:rsidRDefault="00587444" w:rsidP="00587444">
            <w:pPr>
              <w:tabs>
                <w:tab w:val="left" w:pos="-720"/>
              </w:tabs>
              <w:autoSpaceDN/>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511" w:type="pct"/>
            <w:shd w:val="clear" w:color="auto" w:fill="auto"/>
          </w:tcPr>
          <w:p w14:paraId="5D8BF0F9" w14:textId="77777777" w:rsidR="00587444" w:rsidRPr="00587444" w:rsidRDefault="00587444" w:rsidP="00587444">
            <w:pPr>
              <w:tabs>
                <w:tab w:val="left" w:pos="-720"/>
              </w:tabs>
              <w:autoSpaceDN/>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486" w:type="pct"/>
            <w:shd w:val="clear" w:color="auto" w:fill="auto"/>
          </w:tcPr>
          <w:p w14:paraId="5CA8739F" w14:textId="77777777" w:rsidR="00587444" w:rsidRPr="00587444" w:rsidRDefault="00587444" w:rsidP="00587444">
            <w:pPr>
              <w:tabs>
                <w:tab w:val="left" w:pos="-720"/>
              </w:tabs>
              <w:autoSpaceDN/>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475" w:type="pct"/>
            <w:shd w:val="clear" w:color="auto" w:fill="auto"/>
          </w:tcPr>
          <w:p w14:paraId="45687B92" w14:textId="77777777" w:rsidR="00587444" w:rsidRPr="00587444" w:rsidRDefault="00587444" w:rsidP="00587444">
            <w:pPr>
              <w:tabs>
                <w:tab w:val="left" w:pos="-720"/>
              </w:tabs>
              <w:autoSpaceDN/>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480" w:type="pct"/>
            <w:shd w:val="clear" w:color="auto" w:fill="auto"/>
          </w:tcPr>
          <w:p w14:paraId="54595D97" w14:textId="77777777" w:rsidR="00587444" w:rsidRPr="00587444" w:rsidRDefault="00587444" w:rsidP="00587444">
            <w:pPr>
              <w:tabs>
                <w:tab w:val="left" w:pos="-720"/>
              </w:tabs>
              <w:autoSpaceDN/>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493" w:type="pct"/>
            <w:shd w:val="clear" w:color="auto" w:fill="auto"/>
          </w:tcPr>
          <w:p w14:paraId="036843A0" w14:textId="77777777" w:rsidR="00587444" w:rsidRPr="00587444" w:rsidRDefault="00587444" w:rsidP="00587444">
            <w:pPr>
              <w:tabs>
                <w:tab w:val="left" w:pos="-720"/>
              </w:tabs>
              <w:autoSpaceDN/>
              <w:ind w:right="-6"/>
              <w:jc w:val="right"/>
              <w:rPr>
                <w:rFonts w:ascii="Arial" w:eastAsia="Calibri" w:hAnsi="Arial" w:cs="Arial"/>
                <w:b/>
                <w:sz w:val="15"/>
                <w:szCs w:val="15"/>
              </w:rPr>
            </w:pPr>
            <w:r w:rsidRPr="00587444">
              <w:rPr>
                <w:rFonts w:ascii="Arial" w:eastAsia="Calibri" w:hAnsi="Arial" w:cs="Arial"/>
                <w:b/>
                <w:sz w:val="15"/>
                <w:szCs w:val="15"/>
              </w:rPr>
              <w:t>HRK ‘000</w:t>
            </w:r>
          </w:p>
        </w:tc>
      </w:tr>
      <w:tr w:rsidR="00587444" w:rsidRPr="00587444" w14:paraId="41EBCF65" w14:textId="77777777" w:rsidTr="00DD69E7">
        <w:trPr>
          <w:trHeight w:val="261"/>
        </w:trPr>
        <w:tc>
          <w:tcPr>
            <w:tcW w:w="1151" w:type="pct"/>
            <w:shd w:val="clear" w:color="auto" w:fill="auto"/>
            <w:vAlign w:val="bottom"/>
          </w:tcPr>
          <w:p w14:paraId="0A33B3BF" w14:textId="77777777" w:rsidR="00587444" w:rsidRPr="00587444" w:rsidRDefault="00587444" w:rsidP="00587444">
            <w:pPr>
              <w:tabs>
                <w:tab w:val="left" w:pos="-720"/>
              </w:tabs>
              <w:autoSpaceDN/>
              <w:spacing w:line="280" w:lineRule="exact"/>
              <w:ind w:right="-5"/>
              <w:rPr>
                <w:rFonts w:ascii="Arial" w:eastAsia="Calibri" w:hAnsi="Arial" w:cs="Arial"/>
                <w:b/>
                <w:sz w:val="15"/>
                <w:szCs w:val="15"/>
              </w:rPr>
            </w:pPr>
            <w:r w:rsidRPr="00587444">
              <w:rPr>
                <w:rFonts w:ascii="Arial" w:eastAsia="Calibri" w:hAnsi="Arial" w:cs="Arial"/>
                <w:b/>
                <w:sz w:val="15"/>
                <w:szCs w:val="15"/>
              </w:rPr>
              <w:t xml:space="preserve">Assets </w:t>
            </w:r>
          </w:p>
        </w:tc>
        <w:tc>
          <w:tcPr>
            <w:tcW w:w="448" w:type="pct"/>
            <w:shd w:val="clear" w:color="auto" w:fill="auto"/>
          </w:tcPr>
          <w:p w14:paraId="7C834DDF"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511" w:type="pct"/>
            <w:shd w:val="clear" w:color="auto" w:fill="auto"/>
          </w:tcPr>
          <w:p w14:paraId="544F59A6"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444" w:type="pct"/>
            <w:shd w:val="clear" w:color="auto" w:fill="auto"/>
          </w:tcPr>
          <w:p w14:paraId="032F160B"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511" w:type="pct"/>
            <w:shd w:val="clear" w:color="auto" w:fill="auto"/>
          </w:tcPr>
          <w:p w14:paraId="406D4437"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486" w:type="pct"/>
            <w:shd w:val="clear" w:color="auto" w:fill="auto"/>
          </w:tcPr>
          <w:p w14:paraId="3ADECFDE"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475" w:type="pct"/>
            <w:shd w:val="clear" w:color="auto" w:fill="auto"/>
          </w:tcPr>
          <w:p w14:paraId="10D958FC"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480" w:type="pct"/>
            <w:shd w:val="clear" w:color="auto" w:fill="auto"/>
          </w:tcPr>
          <w:p w14:paraId="7D376D25"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493" w:type="pct"/>
          </w:tcPr>
          <w:p w14:paraId="52632E15"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r>
      <w:tr w:rsidR="00587444" w:rsidRPr="00587444" w14:paraId="6E9E3016" w14:textId="77777777" w:rsidTr="00DD69E7">
        <w:trPr>
          <w:trHeight w:val="549"/>
        </w:trPr>
        <w:tc>
          <w:tcPr>
            <w:tcW w:w="1151" w:type="pct"/>
            <w:shd w:val="clear" w:color="auto" w:fill="auto"/>
            <w:vAlign w:val="bottom"/>
          </w:tcPr>
          <w:p w14:paraId="0E802186"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Cash on hand and current accounts with banks</w:t>
            </w:r>
          </w:p>
        </w:tc>
        <w:tc>
          <w:tcPr>
            <w:tcW w:w="448" w:type="pct"/>
            <w:vAlign w:val="bottom"/>
          </w:tcPr>
          <w:p w14:paraId="6492BE43"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84,268</w:t>
            </w:r>
          </w:p>
        </w:tc>
        <w:tc>
          <w:tcPr>
            <w:tcW w:w="511" w:type="pct"/>
            <w:vAlign w:val="bottom"/>
          </w:tcPr>
          <w:p w14:paraId="6C99ED19"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44" w:type="pct"/>
            <w:vAlign w:val="bottom"/>
          </w:tcPr>
          <w:p w14:paraId="6829D356"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511" w:type="pct"/>
            <w:vAlign w:val="bottom"/>
          </w:tcPr>
          <w:p w14:paraId="279D82CE"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86" w:type="pct"/>
            <w:vAlign w:val="bottom"/>
          </w:tcPr>
          <w:p w14:paraId="60AFD647"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75" w:type="pct"/>
            <w:vAlign w:val="bottom"/>
          </w:tcPr>
          <w:p w14:paraId="54BC3988"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1,877,718</w:t>
            </w:r>
          </w:p>
        </w:tc>
        <w:tc>
          <w:tcPr>
            <w:tcW w:w="480" w:type="pct"/>
            <w:vAlign w:val="bottom"/>
          </w:tcPr>
          <w:p w14:paraId="53F80B25"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1,961,986</w:t>
            </w:r>
          </w:p>
        </w:tc>
        <w:tc>
          <w:tcPr>
            <w:tcW w:w="493" w:type="pct"/>
            <w:vAlign w:val="bottom"/>
          </w:tcPr>
          <w:p w14:paraId="6DD06421" w14:textId="77777777" w:rsidR="00587444" w:rsidRPr="00587444" w:rsidDel="00D96E20"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84,268</w:t>
            </w:r>
          </w:p>
        </w:tc>
      </w:tr>
      <w:tr w:rsidR="00587444" w:rsidRPr="00587444" w14:paraId="60E3EF91" w14:textId="77777777" w:rsidTr="00DD69E7">
        <w:trPr>
          <w:trHeight w:val="261"/>
        </w:trPr>
        <w:tc>
          <w:tcPr>
            <w:tcW w:w="1151" w:type="pct"/>
            <w:shd w:val="clear" w:color="auto" w:fill="auto"/>
            <w:vAlign w:val="bottom"/>
          </w:tcPr>
          <w:p w14:paraId="45A79DA0"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Deposits with other banks </w:t>
            </w:r>
          </w:p>
        </w:tc>
        <w:tc>
          <w:tcPr>
            <w:tcW w:w="448" w:type="pct"/>
            <w:vAlign w:val="bottom"/>
          </w:tcPr>
          <w:p w14:paraId="4A56D0AD"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511" w:type="pct"/>
            <w:vAlign w:val="bottom"/>
          </w:tcPr>
          <w:p w14:paraId="7F90569C"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44" w:type="pct"/>
            <w:vAlign w:val="bottom"/>
          </w:tcPr>
          <w:p w14:paraId="5F578FBD"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511" w:type="pct"/>
            <w:vAlign w:val="bottom"/>
          </w:tcPr>
          <w:p w14:paraId="3D32233F"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86" w:type="pct"/>
            <w:vAlign w:val="bottom"/>
          </w:tcPr>
          <w:p w14:paraId="477EFCB5"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75" w:type="pct"/>
            <w:vAlign w:val="bottom"/>
          </w:tcPr>
          <w:p w14:paraId="6DB176E8"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7,500</w:t>
            </w:r>
          </w:p>
        </w:tc>
        <w:tc>
          <w:tcPr>
            <w:tcW w:w="480" w:type="pct"/>
            <w:vAlign w:val="bottom"/>
          </w:tcPr>
          <w:p w14:paraId="4C2B833D"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7,500</w:t>
            </w:r>
          </w:p>
        </w:tc>
        <w:tc>
          <w:tcPr>
            <w:tcW w:w="493" w:type="pct"/>
            <w:vAlign w:val="bottom"/>
          </w:tcPr>
          <w:p w14:paraId="3C5696CC" w14:textId="77777777" w:rsidR="00587444" w:rsidRPr="00587444" w:rsidDel="00D96E20"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w:t>
            </w:r>
          </w:p>
        </w:tc>
      </w:tr>
      <w:tr w:rsidR="00587444" w:rsidRPr="00587444" w14:paraId="1B4F81C8" w14:textId="77777777" w:rsidTr="00DD69E7">
        <w:trPr>
          <w:trHeight w:val="209"/>
        </w:trPr>
        <w:tc>
          <w:tcPr>
            <w:tcW w:w="1151" w:type="pct"/>
            <w:shd w:val="clear" w:color="auto" w:fill="auto"/>
            <w:vAlign w:val="bottom"/>
          </w:tcPr>
          <w:p w14:paraId="236A7740"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Loans to financial institutions</w:t>
            </w:r>
          </w:p>
        </w:tc>
        <w:tc>
          <w:tcPr>
            <w:tcW w:w="448" w:type="pct"/>
            <w:tcBorders>
              <w:top w:val="nil"/>
              <w:left w:val="nil"/>
              <w:bottom w:val="nil"/>
              <w:right w:val="nil"/>
            </w:tcBorders>
            <w:vAlign w:val="bottom"/>
          </w:tcPr>
          <w:p w14:paraId="466DA977"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136,649</w:t>
            </w:r>
          </w:p>
        </w:tc>
        <w:tc>
          <w:tcPr>
            <w:tcW w:w="511" w:type="pct"/>
            <w:tcBorders>
              <w:top w:val="nil"/>
              <w:left w:val="nil"/>
              <w:bottom w:val="nil"/>
              <w:right w:val="nil"/>
            </w:tcBorders>
            <w:vAlign w:val="bottom"/>
          </w:tcPr>
          <w:p w14:paraId="780B248D"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300,681</w:t>
            </w:r>
          </w:p>
        </w:tc>
        <w:tc>
          <w:tcPr>
            <w:tcW w:w="444" w:type="pct"/>
            <w:tcBorders>
              <w:top w:val="nil"/>
              <w:left w:val="nil"/>
              <w:bottom w:val="nil"/>
              <w:right w:val="nil"/>
            </w:tcBorders>
            <w:vAlign w:val="bottom"/>
          </w:tcPr>
          <w:p w14:paraId="5E862BC2"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794,823</w:t>
            </w:r>
          </w:p>
        </w:tc>
        <w:tc>
          <w:tcPr>
            <w:tcW w:w="511" w:type="pct"/>
            <w:tcBorders>
              <w:top w:val="nil"/>
              <w:left w:val="nil"/>
              <w:bottom w:val="nil"/>
              <w:right w:val="nil"/>
            </w:tcBorders>
            <w:vAlign w:val="bottom"/>
          </w:tcPr>
          <w:p w14:paraId="5C49991A"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1,825,594</w:t>
            </w:r>
          </w:p>
        </w:tc>
        <w:tc>
          <w:tcPr>
            <w:tcW w:w="486" w:type="pct"/>
            <w:tcBorders>
              <w:top w:val="nil"/>
              <w:left w:val="nil"/>
              <w:bottom w:val="nil"/>
              <w:right w:val="nil"/>
            </w:tcBorders>
            <w:vAlign w:val="bottom"/>
          </w:tcPr>
          <w:p w14:paraId="0E835C4E"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3,989,089</w:t>
            </w:r>
          </w:p>
        </w:tc>
        <w:tc>
          <w:tcPr>
            <w:tcW w:w="475" w:type="pct"/>
            <w:tcBorders>
              <w:top w:val="nil"/>
              <w:left w:val="nil"/>
              <w:bottom w:val="nil"/>
              <w:right w:val="nil"/>
            </w:tcBorders>
            <w:vAlign w:val="bottom"/>
          </w:tcPr>
          <w:p w14:paraId="6078D85A"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3,307</w:t>
            </w:r>
          </w:p>
        </w:tc>
        <w:tc>
          <w:tcPr>
            <w:tcW w:w="480" w:type="pct"/>
            <w:tcBorders>
              <w:top w:val="nil"/>
              <w:left w:val="nil"/>
              <w:bottom w:val="nil"/>
              <w:right w:val="nil"/>
            </w:tcBorders>
            <w:vAlign w:val="bottom"/>
          </w:tcPr>
          <w:p w14:paraId="1710E17E"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7,050,143</w:t>
            </w:r>
          </w:p>
        </w:tc>
        <w:tc>
          <w:tcPr>
            <w:tcW w:w="493" w:type="pct"/>
            <w:tcBorders>
              <w:top w:val="nil"/>
              <w:left w:val="nil"/>
              <w:bottom w:val="nil"/>
              <w:right w:val="nil"/>
            </w:tcBorders>
            <w:vAlign w:val="bottom"/>
          </w:tcPr>
          <w:p w14:paraId="7DA76EB8" w14:textId="77777777" w:rsidR="00587444" w:rsidRPr="00587444" w:rsidDel="00D96E20"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6,925,020</w:t>
            </w:r>
          </w:p>
        </w:tc>
      </w:tr>
      <w:tr w:rsidR="00587444" w:rsidRPr="00587444" w14:paraId="6FBBC41C" w14:textId="77777777" w:rsidTr="00DD69E7">
        <w:trPr>
          <w:trHeight w:val="273"/>
        </w:trPr>
        <w:tc>
          <w:tcPr>
            <w:tcW w:w="1151" w:type="pct"/>
            <w:shd w:val="clear" w:color="auto" w:fill="auto"/>
            <w:vAlign w:val="bottom"/>
          </w:tcPr>
          <w:p w14:paraId="54328FBA"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other customers </w:t>
            </w:r>
          </w:p>
        </w:tc>
        <w:tc>
          <w:tcPr>
            <w:tcW w:w="448" w:type="pct"/>
            <w:tcBorders>
              <w:top w:val="nil"/>
              <w:left w:val="nil"/>
              <w:bottom w:val="nil"/>
              <w:right w:val="nil"/>
            </w:tcBorders>
            <w:vAlign w:val="bottom"/>
          </w:tcPr>
          <w:p w14:paraId="32C0A3A5"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1,721,753</w:t>
            </w:r>
          </w:p>
        </w:tc>
        <w:tc>
          <w:tcPr>
            <w:tcW w:w="511" w:type="pct"/>
            <w:tcBorders>
              <w:top w:val="nil"/>
              <w:left w:val="nil"/>
              <w:bottom w:val="nil"/>
              <w:right w:val="nil"/>
            </w:tcBorders>
            <w:vAlign w:val="bottom"/>
          </w:tcPr>
          <w:p w14:paraId="2352B8F3"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643,354</w:t>
            </w:r>
          </w:p>
        </w:tc>
        <w:tc>
          <w:tcPr>
            <w:tcW w:w="444" w:type="pct"/>
            <w:tcBorders>
              <w:top w:val="nil"/>
              <w:left w:val="nil"/>
              <w:bottom w:val="nil"/>
              <w:right w:val="nil"/>
            </w:tcBorders>
            <w:vAlign w:val="bottom"/>
          </w:tcPr>
          <w:p w14:paraId="378E0B1C"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1,294,971</w:t>
            </w:r>
          </w:p>
        </w:tc>
        <w:tc>
          <w:tcPr>
            <w:tcW w:w="511" w:type="pct"/>
            <w:tcBorders>
              <w:top w:val="nil"/>
              <w:left w:val="nil"/>
              <w:bottom w:val="nil"/>
              <w:right w:val="nil"/>
            </w:tcBorders>
            <w:vAlign w:val="bottom"/>
          </w:tcPr>
          <w:p w14:paraId="5F4CF9ED"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3,130,097</w:t>
            </w:r>
          </w:p>
        </w:tc>
        <w:tc>
          <w:tcPr>
            <w:tcW w:w="486" w:type="pct"/>
            <w:tcBorders>
              <w:top w:val="nil"/>
              <w:left w:val="nil"/>
              <w:bottom w:val="nil"/>
              <w:right w:val="nil"/>
            </w:tcBorders>
            <w:vAlign w:val="bottom"/>
          </w:tcPr>
          <w:p w14:paraId="271CE140"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8,977,083</w:t>
            </w:r>
          </w:p>
        </w:tc>
        <w:tc>
          <w:tcPr>
            <w:tcW w:w="475" w:type="pct"/>
            <w:tcBorders>
              <w:top w:val="nil"/>
              <w:left w:val="nil"/>
              <w:bottom w:val="nil"/>
              <w:right w:val="nil"/>
            </w:tcBorders>
            <w:vAlign w:val="bottom"/>
          </w:tcPr>
          <w:p w14:paraId="19FA1A29"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197,118</w:t>
            </w:r>
          </w:p>
        </w:tc>
        <w:tc>
          <w:tcPr>
            <w:tcW w:w="480" w:type="pct"/>
            <w:tcBorders>
              <w:top w:val="nil"/>
              <w:left w:val="nil"/>
              <w:bottom w:val="nil"/>
              <w:right w:val="nil"/>
            </w:tcBorders>
            <w:vAlign w:val="bottom"/>
          </w:tcPr>
          <w:p w14:paraId="2ACA5C6E"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15,964,376</w:t>
            </w:r>
          </w:p>
        </w:tc>
        <w:tc>
          <w:tcPr>
            <w:tcW w:w="493" w:type="pct"/>
            <w:tcBorders>
              <w:top w:val="nil"/>
              <w:left w:val="nil"/>
              <w:bottom w:val="nil"/>
              <w:right w:val="nil"/>
            </w:tcBorders>
            <w:vAlign w:val="bottom"/>
          </w:tcPr>
          <w:p w14:paraId="3048B104" w14:textId="77777777" w:rsidR="00587444" w:rsidRPr="00587444" w:rsidDel="00D96E20"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14,941,579</w:t>
            </w:r>
          </w:p>
        </w:tc>
      </w:tr>
      <w:tr w:rsidR="00587444" w:rsidRPr="00587444" w14:paraId="194BFBB6" w14:textId="77777777" w:rsidTr="00DD69E7">
        <w:trPr>
          <w:trHeight w:val="299"/>
        </w:trPr>
        <w:tc>
          <w:tcPr>
            <w:tcW w:w="1151" w:type="pct"/>
            <w:shd w:val="clear" w:color="auto" w:fill="auto"/>
          </w:tcPr>
          <w:p w14:paraId="115F6853"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profit or loss</w:t>
            </w:r>
          </w:p>
        </w:tc>
        <w:tc>
          <w:tcPr>
            <w:tcW w:w="448" w:type="pct"/>
            <w:vAlign w:val="bottom"/>
          </w:tcPr>
          <w:p w14:paraId="1431FF43"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511" w:type="pct"/>
            <w:vAlign w:val="bottom"/>
          </w:tcPr>
          <w:p w14:paraId="5D1A6F46"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44" w:type="pct"/>
            <w:vAlign w:val="bottom"/>
          </w:tcPr>
          <w:p w14:paraId="5A2BCAA3"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511" w:type="pct"/>
            <w:vAlign w:val="bottom"/>
          </w:tcPr>
          <w:p w14:paraId="5D09B2DE"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86" w:type="pct"/>
            <w:vAlign w:val="bottom"/>
          </w:tcPr>
          <w:p w14:paraId="581FDED1"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16,375</w:t>
            </w:r>
          </w:p>
        </w:tc>
        <w:tc>
          <w:tcPr>
            <w:tcW w:w="475" w:type="pct"/>
            <w:vAlign w:val="bottom"/>
          </w:tcPr>
          <w:p w14:paraId="59B3CE8B"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202,609</w:t>
            </w:r>
          </w:p>
        </w:tc>
        <w:tc>
          <w:tcPr>
            <w:tcW w:w="480" w:type="pct"/>
            <w:vAlign w:val="bottom"/>
          </w:tcPr>
          <w:p w14:paraId="6207836F"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218,984</w:t>
            </w:r>
          </w:p>
        </w:tc>
        <w:tc>
          <w:tcPr>
            <w:tcW w:w="493" w:type="pct"/>
            <w:vAlign w:val="bottom"/>
          </w:tcPr>
          <w:p w14:paraId="554A2A77" w14:textId="77777777" w:rsidR="00587444" w:rsidRPr="00587444" w:rsidDel="00D96E20"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16,375</w:t>
            </w:r>
          </w:p>
        </w:tc>
      </w:tr>
      <w:tr w:rsidR="00587444" w:rsidRPr="00587444" w14:paraId="11C8A018" w14:textId="77777777" w:rsidTr="00DD69E7">
        <w:trPr>
          <w:trHeight w:val="274"/>
        </w:trPr>
        <w:tc>
          <w:tcPr>
            <w:tcW w:w="1151" w:type="pct"/>
            <w:shd w:val="clear" w:color="auto" w:fill="auto"/>
          </w:tcPr>
          <w:p w14:paraId="13043EDA"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other comprehensive income</w:t>
            </w:r>
          </w:p>
        </w:tc>
        <w:tc>
          <w:tcPr>
            <w:tcW w:w="448" w:type="pct"/>
            <w:vAlign w:val="bottom"/>
          </w:tcPr>
          <w:p w14:paraId="24EBDA7C"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2,913,647</w:t>
            </w:r>
          </w:p>
        </w:tc>
        <w:tc>
          <w:tcPr>
            <w:tcW w:w="511" w:type="pct"/>
            <w:vAlign w:val="bottom"/>
          </w:tcPr>
          <w:p w14:paraId="07297DC0"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44" w:type="pct"/>
            <w:vAlign w:val="bottom"/>
          </w:tcPr>
          <w:p w14:paraId="5DC9D2CA"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511" w:type="pct"/>
            <w:vAlign w:val="bottom"/>
          </w:tcPr>
          <w:p w14:paraId="22A87763"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86" w:type="pct"/>
            <w:vAlign w:val="bottom"/>
          </w:tcPr>
          <w:p w14:paraId="33F8C8F0"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75" w:type="pct"/>
            <w:vAlign w:val="bottom"/>
          </w:tcPr>
          <w:p w14:paraId="6A416CF6"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58,883</w:t>
            </w:r>
          </w:p>
        </w:tc>
        <w:tc>
          <w:tcPr>
            <w:tcW w:w="480" w:type="pct"/>
            <w:vAlign w:val="bottom"/>
          </w:tcPr>
          <w:p w14:paraId="6AFE0809"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2,972,530</w:t>
            </w:r>
          </w:p>
        </w:tc>
        <w:tc>
          <w:tcPr>
            <w:tcW w:w="493" w:type="pct"/>
            <w:vAlign w:val="bottom"/>
          </w:tcPr>
          <w:p w14:paraId="2E8725F9" w14:textId="77777777" w:rsidR="00587444" w:rsidRPr="00587444" w:rsidDel="00D96E20"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2,913,647</w:t>
            </w:r>
          </w:p>
        </w:tc>
      </w:tr>
      <w:tr w:rsidR="00587444" w:rsidRPr="00587444" w14:paraId="694A6166" w14:textId="77777777" w:rsidTr="00DD69E7">
        <w:trPr>
          <w:trHeight w:val="274"/>
        </w:trPr>
        <w:tc>
          <w:tcPr>
            <w:tcW w:w="1151" w:type="pct"/>
            <w:shd w:val="clear" w:color="auto" w:fill="auto"/>
            <w:vAlign w:val="bottom"/>
          </w:tcPr>
          <w:p w14:paraId="58B27C01"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assets </w:t>
            </w:r>
          </w:p>
        </w:tc>
        <w:tc>
          <w:tcPr>
            <w:tcW w:w="448" w:type="pct"/>
            <w:tcBorders>
              <w:bottom w:val="single" w:sz="4" w:space="0" w:color="auto"/>
            </w:tcBorders>
            <w:vAlign w:val="bottom"/>
          </w:tcPr>
          <w:p w14:paraId="524C108C"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511" w:type="pct"/>
            <w:tcBorders>
              <w:bottom w:val="single" w:sz="4" w:space="0" w:color="auto"/>
            </w:tcBorders>
            <w:vAlign w:val="bottom"/>
          </w:tcPr>
          <w:p w14:paraId="4B23B110"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44" w:type="pct"/>
            <w:tcBorders>
              <w:bottom w:val="single" w:sz="4" w:space="0" w:color="auto"/>
            </w:tcBorders>
            <w:vAlign w:val="bottom"/>
          </w:tcPr>
          <w:p w14:paraId="334C835D"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511" w:type="pct"/>
            <w:tcBorders>
              <w:bottom w:val="single" w:sz="4" w:space="0" w:color="auto"/>
            </w:tcBorders>
            <w:vAlign w:val="bottom"/>
          </w:tcPr>
          <w:p w14:paraId="19584461"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86" w:type="pct"/>
            <w:tcBorders>
              <w:bottom w:val="single" w:sz="4" w:space="0" w:color="auto"/>
            </w:tcBorders>
            <w:vAlign w:val="bottom"/>
          </w:tcPr>
          <w:p w14:paraId="6A43FC8D"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75" w:type="pct"/>
            <w:tcBorders>
              <w:bottom w:val="single" w:sz="4" w:space="0" w:color="auto"/>
            </w:tcBorders>
            <w:vAlign w:val="bottom"/>
          </w:tcPr>
          <w:p w14:paraId="4D3C99B8"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37,537</w:t>
            </w:r>
          </w:p>
        </w:tc>
        <w:tc>
          <w:tcPr>
            <w:tcW w:w="480" w:type="pct"/>
            <w:tcBorders>
              <w:bottom w:val="single" w:sz="4" w:space="0" w:color="auto"/>
            </w:tcBorders>
            <w:vAlign w:val="bottom"/>
          </w:tcPr>
          <w:p w14:paraId="28E20249"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37,537</w:t>
            </w:r>
          </w:p>
        </w:tc>
        <w:tc>
          <w:tcPr>
            <w:tcW w:w="493" w:type="pct"/>
            <w:tcBorders>
              <w:bottom w:val="single" w:sz="4" w:space="0" w:color="auto"/>
            </w:tcBorders>
            <w:vAlign w:val="bottom"/>
          </w:tcPr>
          <w:p w14:paraId="017E6737" w14:textId="77777777" w:rsidR="00587444" w:rsidRPr="00587444" w:rsidDel="00D96E20" w:rsidRDefault="00587444" w:rsidP="00587444">
            <w:pPr>
              <w:suppressAutoHyphens w:val="0"/>
              <w:autoSpaceDN/>
              <w:spacing w:line="280" w:lineRule="exact"/>
              <w:jc w:val="right"/>
              <w:rPr>
                <w:rFonts w:ascii="Arial" w:eastAsia="Calibri" w:hAnsi="Arial" w:cs="Arial"/>
                <w:sz w:val="15"/>
                <w:szCs w:val="15"/>
              </w:rPr>
            </w:pPr>
          </w:p>
        </w:tc>
      </w:tr>
      <w:tr w:rsidR="00587444" w:rsidRPr="00587444" w14:paraId="55208F4C" w14:textId="77777777" w:rsidTr="00DD69E7">
        <w:trPr>
          <w:trHeight w:hRule="exact" w:val="389"/>
        </w:trPr>
        <w:tc>
          <w:tcPr>
            <w:tcW w:w="1151" w:type="pct"/>
            <w:shd w:val="clear" w:color="auto" w:fill="auto"/>
            <w:vAlign w:val="bottom"/>
          </w:tcPr>
          <w:p w14:paraId="65877DA4" w14:textId="77777777" w:rsidR="00587444" w:rsidRPr="00587444" w:rsidRDefault="00587444" w:rsidP="00587444">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b/>
                <w:bCs/>
                <w:sz w:val="15"/>
                <w:szCs w:val="15"/>
              </w:rPr>
              <w:t xml:space="preserve">Total assets </w:t>
            </w:r>
          </w:p>
        </w:tc>
        <w:tc>
          <w:tcPr>
            <w:tcW w:w="448" w:type="pct"/>
            <w:tcBorders>
              <w:top w:val="nil"/>
              <w:left w:val="nil"/>
              <w:bottom w:val="single" w:sz="8" w:space="0" w:color="auto"/>
              <w:right w:val="nil"/>
            </w:tcBorders>
            <w:vAlign w:val="bottom"/>
          </w:tcPr>
          <w:p w14:paraId="19EBDDFD"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4,856,317</w:t>
            </w:r>
          </w:p>
        </w:tc>
        <w:tc>
          <w:tcPr>
            <w:tcW w:w="511" w:type="pct"/>
            <w:tcBorders>
              <w:top w:val="nil"/>
              <w:left w:val="nil"/>
              <w:bottom w:val="single" w:sz="8" w:space="0" w:color="auto"/>
              <w:right w:val="nil"/>
            </w:tcBorders>
            <w:vAlign w:val="bottom"/>
          </w:tcPr>
          <w:p w14:paraId="08AFEB7C"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944,035</w:t>
            </w:r>
          </w:p>
        </w:tc>
        <w:tc>
          <w:tcPr>
            <w:tcW w:w="444" w:type="pct"/>
            <w:tcBorders>
              <w:top w:val="nil"/>
              <w:left w:val="nil"/>
              <w:bottom w:val="single" w:sz="8" w:space="0" w:color="auto"/>
              <w:right w:val="nil"/>
            </w:tcBorders>
            <w:vAlign w:val="bottom"/>
          </w:tcPr>
          <w:p w14:paraId="5FE9ACD7"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2,089,794</w:t>
            </w:r>
          </w:p>
        </w:tc>
        <w:tc>
          <w:tcPr>
            <w:tcW w:w="511" w:type="pct"/>
            <w:tcBorders>
              <w:top w:val="nil"/>
              <w:left w:val="nil"/>
              <w:bottom w:val="single" w:sz="8" w:space="0" w:color="auto"/>
              <w:right w:val="nil"/>
            </w:tcBorders>
            <w:vAlign w:val="bottom"/>
          </w:tcPr>
          <w:p w14:paraId="2298A82C"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4,955,691</w:t>
            </w:r>
          </w:p>
        </w:tc>
        <w:tc>
          <w:tcPr>
            <w:tcW w:w="486" w:type="pct"/>
            <w:tcBorders>
              <w:top w:val="nil"/>
              <w:left w:val="nil"/>
              <w:bottom w:val="single" w:sz="8" w:space="0" w:color="auto"/>
              <w:right w:val="nil"/>
            </w:tcBorders>
            <w:vAlign w:val="bottom"/>
          </w:tcPr>
          <w:p w14:paraId="55786152"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12,982,547</w:t>
            </w:r>
          </w:p>
        </w:tc>
        <w:tc>
          <w:tcPr>
            <w:tcW w:w="475" w:type="pct"/>
            <w:tcBorders>
              <w:top w:val="nil"/>
              <w:left w:val="nil"/>
              <w:bottom w:val="single" w:sz="8" w:space="0" w:color="auto"/>
              <w:right w:val="nil"/>
            </w:tcBorders>
            <w:vAlign w:val="bottom"/>
          </w:tcPr>
          <w:p w14:paraId="063A6F9E"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2,384,672</w:t>
            </w:r>
          </w:p>
        </w:tc>
        <w:tc>
          <w:tcPr>
            <w:tcW w:w="480" w:type="pct"/>
            <w:tcBorders>
              <w:top w:val="nil"/>
              <w:left w:val="nil"/>
              <w:bottom w:val="single" w:sz="8" w:space="0" w:color="auto"/>
              <w:right w:val="nil"/>
            </w:tcBorders>
            <w:vAlign w:val="bottom"/>
          </w:tcPr>
          <w:p w14:paraId="0AD8B84C"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28,213,056</w:t>
            </w:r>
          </w:p>
        </w:tc>
        <w:tc>
          <w:tcPr>
            <w:tcW w:w="493" w:type="pct"/>
            <w:tcBorders>
              <w:top w:val="nil"/>
              <w:left w:val="nil"/>
              <w:bottom w:val="single" w:sz="8" w:space="0" w:color="auto"/>
              <w:right w:val="nil"/>
            </w:tcBorders>
            <w:vAlign w:val="bottom"/>
          </w:tcPr>
          <w:p w14:paraId="3723026B"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24,880,889</w:t>
            </w:r>
          </w:p>
        </w:tc>
      </w:tr>
      <w:tr w:rsidR="00587444" w:rsidRPr="00587444" w14:paraId="78ED1775" w14:textId="77777777" w:rsidTr="00DD69E7">
        <w:trPr>
          <w:trHeight w:val="320"/>
        </w:trPr>
        <w:tc>
          <w:tcPr>
            <w:tcW w:w="1151" w:type="pct"/>
          </w:tcPr>
          <w:p w14:paraId="5D263AF0" w14:textId="77777777" w:rsidR="00587444" w:rsidRPr="00587444" w:rsidRDefault="00587444" w:rsidP="00587444">
            <w:pPr>
              <w:tabs>
                <w:tab w:val="right" w:pos="1202"/>
              </w:tabs>
              <w:suppressAutoHyphens w:val="0"/>
              <w:autoSpaceDN/>
              <w:spacing w:line="320" w:lineRule="exact"/>
              <w:outlineLvl w:val="0"/>
              <w:rPr>
                <w:rFonts w:ascii="Arial" w:hAnsi="Arial" w:cs="Arial"/>
                <w:b/>
                <w:spacing w:val="-2"/>
                <w:sz w:val="15"/>
                <w:szCs w:val="15"/>
              </w:rPr>
            </w:pPr>
            <w:r w:rsidRPr="00587444">
              <w:rPr>
                <w:rFonts w:ascii="Arial" w:hAnsi="Arial" w:cs="Arial"/>
                <w:b/>
                <w:spacing w:val="-2"/>
                <w:sz w:val="15"/>
                <w:szCs w:val="15"/>
              </w:rPr>
              <w:t>Liabilities</w:t>
            </w:r>
          </w:p>
        </w:tc>
        <w:tc>
          <w:tcPr>
            <w:tcW w:w="448" w:type="pct"/>
            <w:tcBorders>
              <w:top w:val="single" w:sz="12" w:space="0" w:color="auto"/>
            </w:tcBorders>
            <w:vAlign w:val="bottom"/>
          </w:tcPr>
          <w:p w14:paraId="1EAFEB59"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511" w:type="pct"/>
            <w:tcBorders>
              <w:top w:val="single" w:sz="12" w:space="0" w:color="auto"/>
            </w:tcBorders>
            <w:vAlign w:val="bottom"/>
          </w:tcPr>
          <w:p w14:paraId="5DE466DC"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44" w:type="pct"/>
            <w:tcBorders>
              <w:top w:val="single" w:sz="12" w:space="0" w:color="auto"/>
            </w:tcBorders>
            <w:vAlign w:val="bottom"/>
          </w:tcPr>
          <w:p w14:paraId="1E4AE23C"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511" w:type="pct"/>
            <w:tcBorders>
              <w:top w:val="single" w:sz="12" w:space="0" w:color="auto"/>
            </w:tcBorders>
            <w:vAlign w:val="bottom"/>
          </w:tcPr>
          <w:p w14:paraId="39D5E93F"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86" w:type="pct"/>
            <w:tcBorders>
              <w:top w:val="single" w:sz="12" w:space="0" w:color="auto"/>
            </w:tcBorders>
            <w:vAlign w:val="bottom"/>
          </w:tcPr>
          <w:p w14:paraId="5E61DA5F"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75" w:type="pct"/>
            <w:tcBorders>
              <w:top w:val="single" w:sz="12" w:space="0" w:color="auto"/>
            </w:tcBorders>
            <w:vAlign w:val="bottom"/>
          </w:tcPr>
          <w:p w14:paraId="6B034919"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80" w:type="pct"/>
            <w:tcBorders>
              <w:top w:val="single" w:sz="12" w:space="0" w:color="auto"/>
            </w:tcBorders>
            <w:vAlign w:val="bottom"/>
          </w:tcPr>
          <w:p w14:paraId="78183512"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93" w:type="pct"/>
            <w:tcBorders>
              <w:top w:val="single" w:sz="12" w:space="0" w:color="auto"/>
            </w:tcBorders>
          </w:tcPr>
          <w:p w14:paraId="53B8F072"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p>
        </w:tc>
      </w:tr>
      <w:tr w:rsidR="00587444" w:rsidRPr="00587444" w14:paraId="1C71751B" w14:textId="77777777" w:rsidTr="00DD69E7">
        <w:trPr>
          <w:trHeight w:val="320"/>
        </w:trPr>
        <w:tc>
          <w:tcPr>
            <w:tcW w:w="1151" w:type="pct"/>
          </w:tcPr>
          <w:p w14:paraId="3AA9DFBC" w14:textId="77777777" w:rsidR="00587444" w:rsidRPr="00587444" w:rsidRDefault="00587444" w:rsidP="00587444">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spacing w:val="-2"/>
                <w:sz w:val="15"/>
                <w:szCs w:val="15"/>
              </w:rPr>
              <w:t xml:space="preserve">Deposits from customers </w:t>
            </w:r>
          </w:p>
        </w:tc>
        <w:tc>
          <w:tcPr>
            <w:tcW w:w="448" w:type="pct"/>
            <w:tcBorders>
              <w:top w:val="nil"/>
              <w:left w:val="nil"/>
              <w:bottom w:val="nil"/>
              <w:right w:val="nil"/>
            </w:tcBorders>
            <w:vAlign w:val="bottom"/>
          </w:tcPr>
          <w:p w14:paraId="21F90F6F"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417,163</w:t>
            </w:r>
          </w:p>
        </w:tc>
        <w:tc>
          <w:tcPr>
            <w:tcW w:w="511" w:type="pct"/>
            <w:tcBorders>
              <w:top w:val="nil"/>
              <w:left w:val="nil"/>
              <w:bottom w:val="nil"/>
              <w:right w:val="nil"/>
            </w:tcBorders>
            <w:vAlign w:val="bottom"/>
          </w:tcPr>
          <w:p w14:paraId="6AD1CA85"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w:t>
            </w:r>
          </w:p>
        </w:tc>
        <w:tc>
          <w:tcPr>
            <w:tcW w:w="444" w:type="pct"/>
            <w:tcBorders>
              <w:top w:val="nil"/>
              <w:left w:val="nil"/>
              <w:bottom w:val="nil"/>
              <w:right w:val="nil"/>
            </w:tcBorders>
            <w:vAlign w:val="bottom"/>
          </w:tcPr>
          <w:p w14:paraId="0D534F2C"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w:t>
            </w:r>
          </w:p>
        </w:tc>
        <w:tc>
          <w:tcPr>
            <w:tcW w:w="511" w:type="pct"/>
            <w:tcBorders>
              <w:top w:val="nil"/>
              <w:left w:val="nil"/>
              <w:bottom w:val="nil"/>
              <w:right w:val="nil"/>
            </w:tcBorders>
            <w:vAlign w:val="bottom"/>
          </w:tcPr>
          <w:p w14:paraId="50111264"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w:t>
            </w:r>
          </w:p>
        </w:tc>
        <w:tc>
          <w:tcPr>
            <w:tcW w:w="486" w:type="pct"/>
            <w:tcBorders>
              <w:top w:val="nil"/>
              <w:left w:val="nil"/>
              <w:bottom w:val="nil"/>
              <w:right w:val="nil"/>
            </w:tcBorders>
            <w:vAlign w:val="bottom"/>
          </w:tcPr>
          <w:p w14:paraId="39FB6424"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w:t>
            </w:r>
          </w:p>
        </w:tc>
        <w:tc>
          <w:tcPr>
            <w:tcW w:w="475" w:type="pct"/>
            <w:tcBorders>
              <w:top w:val="nil"/>
              <w:left w:val="nil"/>
              <w:bottom w:val="nil"/>
              <w:right w:val="nil"/>
            </w:tcBorders>
            <w:vAlign w:val="bottom"/>
          </w:tcPr>
          <w:p w14:paraId="7C3D7C6F"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543,378</w:t>
            </w:r>
          </w:p>
        </w:tc>
        <w:tc>
          <w:tcPr>
            <w:tcW w:w="480" w:type="pct"/>
            <w:tcBorders>
              <w:top w:val="nil"/>
              <w:left w:val="nil"/>
              <w:bottom w:val="nil"/>
              <w:right w:val="nil"/>
            </w:tcBorders>
            <w:vAlign w:val="bottom"/>
          </w:tcPr>
          <w:p w14:paraId="5DDBB9D7"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960,541</w:t>
            </w:r>
          </w:p>
        </w:tc>
        <w:tc>
          <w:tcPr>
            <w:tcW w:w="493" w:type="pct"/>
            <w:tcBorders>
              <w:top w:val="nil"/>
              <w:left w:val="nil"/>
              <w:bottom w:val="nil"/>
              <w:right w:val="nil"/>
            </w:tcBorders>
            <w:vAlign w:val="bottom"/>
          </w:tcPr>
          <w:p w14:paraId="51754F56"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417,163</w:t>
            </w:r>
          </w:p>
        </w:tc>
      </w:tr>
      <w:tr w:rsidR="00587444" w:rsidRPr="00587444" w14:paraId="06767DDD" w14:textId="77777777" w:rsidTr="00DD69E7">
        <w:trPr>
          <w:trHeight w:val="299"/>
        </w:trPr>
        <w:tc>
          <w:tcPr>
            <w:tcW w:w="1151" w:type="pct"/>
          </w:tcPr>
          <w:p w14:paraId="47A63EA3" w14:textId="77777777" w:rsidR="00587444" w:rsidRPr="00587444" w:rsidRDefault="00587444" w:rsidP="00587444">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spacing w:val="-2"/>
                <w:sz w:val="15"/>
                <w:szCs w:val="15"/>
              </w:rPr>
              <w:t xml:space="preserve">Borrowings </w:t>
            </w:r>
          </w:p>
        </w:tc>
        <w:tc>
          <w:tcPr>
            <w:tcW w:w="448" w:type="pct"/>
            <w:tcBorders>
              <w:top w:val="nil"/>
              <w:left w:val="nil"/>
              <w:bottom w:val="nil"/>
              <w:right w:val="nil"/>
            </w:tcBorders>
            <w:vAlign w:val="bottom"/>
          </w:tcPr>
          <w:p w14:paraId="4FBDC509"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244,301</w:t>
            </w:r>
          </w:p>
        </w:tc>
        <w:tc>
          <w:tcPr>
            <w:tcW w:w="511" w:type="pct"/>
            <w:tcBorders>
              <w:top w:val="nil"/>
              <w:left w:val="nil"/>
              <w:bottom w:val="nil"/>
              <w:right w:val="nil"/>
            </w:tcBorders>
            <w:vAlign w:val="bottom"/>
          </w:tcPr>
          <w:p w14:paraId="3E3CD199"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310,552</w:t>
            </w:r>
          </w:p>
        </w:tc>
        <w:tc>
          <w:tcPr>
            <w:tcW w:w="444" w:type="pct"/>
            <w:tcBorders>
              <w:top w:val="nil"/>
              <w:left w:val="nil"/>
              <w:bottom w:val="nil"/>
              <w:right w:val="nil"/>
            </w:tcBorders>
            <w:vAlign w:val="bottom"/>
          </w:tcPr>
          <w:p w14:paraId="3E41A091"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1,807,992</w:t>
            </w:r>
          </w:p>
        </w:tc>
        <w:tc>
          <w:tcPr>
            <w:tcW w:w="511" w:type="pct"/>
            <w:tcBorders>
              <w:top w:val="nil"/>
              <w:left w:val="nil"/>
              <w:bottom w:val="nil"/>
              <w:right w:val="nil"/>
            </w:tcBorders>
            <w:vAlign w:val="bottom"/>
          </w:tcPr>
          <w:p w14:paraId="76B9A72D"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5,775,874</w:t>
            </w:r>
          </w:p>
        </w:tc>
        <w:tc>
          <w:tcPr>
            <w:tcW w:w="486" w:type="pct"/>
            <w:tcBorders>
              <w:top w:val="nil"/>
              <w:left w:val="nil"/>
              <w:bottom w:val="nil"/>
              <w:right w:val="nil"/>
            </w:tcBorders>
            <w:vAlign w:val="bottom"/>
          </w:tcPr>
          <w:p w14:paraId="4B4F54A5"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7,941,861</w:t>
            </w:r>
          </w:p>
        </w:tc>
        <w:tc>
          <w:tcPr>
            <w:tcW w:w="475" w:type="pct"/>
            <w:tcBorders>
              <w:top w:val="nil"/>
              <w:left w:val="nil"/>
              <w:bottom w:val="nil"/>
              <w:right w:val="nil"/>
            </w:tcBorders>
            <w:vAlign w:val="bottom"/>
          </w:tcPr>
          <w:p w14:paraId="3D6F1BFA"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34,657</w:t>
            </w:r>
          </w:p>
        </w:tc>
        <w:tc>
          <w:tcPr>
            <w:tcW w:w="480" w:type="pct"/>
            <w:tcBorders>
              <w:top w:val="nil"/>
              <w:left w:val="nil"/>
              <w:bottom w:val="nil"/>
              <w:right w:val="nil"/>
            </w:tcBorders>
            <w:vAlign w:val="bottom"/>
          </w:tcPr>
          <w:p w14:paraId="6A911E15" w14:textId="69B06626"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16,115</w:t>
            </w:r>
            <w:r w:rsidR="00ED7B8F">
              <w:rPr>
                <w:rFonts w:ascii="Arial" w:eastAsia="Calibri" w:hAnsi="Arial" w:cs="Arial"/>
                <w:bCs/>
                <w:color w:val="000000"/>
                <w:sz w:val="15"/>
                <w:szCs w:val="15"/>
                <w:lang w:val="hr-HR"/>
              </w:rPr>
              <w:t>,</w:t>
            </w:r>
            <w:r w:rsidRPr="00587444">
              <w:rPr>
                <w:rFonts w:ascii="Arial" w:eastAsia="Calibri" w:hAnsi="Arial" w:cs="Arial"/>
                <w:bCs/>
                <w:color w:val="000000"/>
                <w:sz w:val="15"/>
                <w:szCs w:val="15"/>
                <w:lang w:val="hr-HR"/>
              </w:rPr>
              <w:t>237</w:t>
            </w:r>
          </w:p>
        </w:tc>
        <w:tc>
          <w:tcPr>
            <w:tcW w:w="493" w:type="pct"/>
            <w:tcBorders>
              <w:top w:val="nil"/>
              <w:left w:val="nil"/>
              <w:bottom w:val="nil"/>
              <w:right w:val="nil"/>
            </w:tcBorders>
            <w:vAlign w:val="bottom"/>
          </w:tcPr>
          <w:p w14:paraId="5C3C0AC8"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16,069,304</w:t>
            </w:r>
          </w:p>
        </w:tc>
      </w:tr>
      <w:tr w:rsidR="00587444" w:rsidRPr="00587444" w14:paraId="0C4815B3" w14:textId="77777777" w:rsidTr="00DD69E7">
        <w:trPr>
          <w:trHeight w:val="320"/>
        </w:trPr>
        <w:tc>
          <w:tcPr>
            <w:tcW w:w="1151" w:type="pct"/>
          </w:tcPr>
          <w:p w14:paraId="0AC74DA5" w14:textId="77777777" w:rsidR="00587444" w:rsidRPr="00587444" w:rsidRDefault="00587444" w:rsidP="00587444">
            <w:pPr>
              <w:tabs>
                <w:tab w:val="left" w:pos="-720"/>
              </w:tabs>
              <w:autoSpaceDN/>
              <w:spacing w:line="280" w:lineRule="exact"/>
              <w:ind w:right="-5"/>
              <w:rPr>
                <w:rFonts w:ascii="Arial" w:hAnsi="Arial" w:cs="Arial"/>
                <w:spacing w:val="-2"/>
                <w:sz w:val="15"/>
                <w:szCs w:val="15"/>
              </w:rPr>
            </w:pPr>
            <w:r w:rsidRPr="00587444">
              <w:rPr>
                <w:rFonts w:ascii="Arial" w:hAnsi="Arial" w:cs="Arial"/>
                <w:spacing w:val="-2"/>
                <w:sz w:val="15"/>
                <w:szCs w:val="15"/>
              </w:rPr>
              <w:t>Provisions for guarantees, commitments and other liabilities</w:t>
            </w:r>
          </w:p>
        </w:tc>
        <w:tc>
          <w:tcPr>
            <w:tcW w:w="448" w:type="pct"/>
            <w:tcBorders>
              <w:top w:val="nil"/>
              <w:left w:val="nil"/>
              <w:bottom w:val="nil"/>
              <w:right w:val="nil"/>
            </w:tcBorders>
            <w:vAlign w:val="bottom"/>
          </w:tcPr>
          <w:p w14:paraId="1AFA7BED"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w:t>
            </w:r>
          </w:p>
        </w:tc>
        <w:tc>
          <w:tcPr>
            <w:tcW w:w="511" w:type="pct"/>
            <w:tcBorders>
              <w:top w:val="nil"/>
              <w:left w:val="nil"/>
              <w:bottom w:val="nil"/>
              <w:right w:val="nil"/>
            </w:tcBorders>
            <w:vAlign w:val="bottom"/>
          </w:tcPr>
          <w:p w14:paraId="1670E36E"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w:t>
            </w:r>
          </w:p>
        </w:tc>
        <w:tc>
          <w:tcPr>
            <w:tcW w:w="444" w:type="pct"/>
            <w:tcBorders>
              <w:top w:val="nil"/>
              <w:left w:val="nil"/>
              <w:bottom w:val="nil"/>
              <w:right w:val="nil"/>
            </w:tcBorders>
            <w:vAlign w:val="bottom"/>
          </w:tcPr>
          <w:p w14:paraId="03D1AC83"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w:t>
            </w:r>
          </w:p>
        </w:tc>
        <w:tc>
          <w:tcPr>
            <w:tcW w:w="511" w:type="pct"/>
            <w:tcBorders>
              <w:top w:val="nil"/>
              <w:left w:val="nil"/>
              <w:bottom w:val="nil"/>
              <w:right w:val="nil"/>
            </w:tcBorders>
            <w:vAlign w:val="bottom"/>
          </w:tcPr>
          <w:p w14:paraId="1DD3BDE3"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w:t>
            </w:r>
          </w:p>
        </w:tc>
        <w:tc>
          <w:tcPr>
            <w:tcW w:w="486" w:type="pct"/>
            <w:tcBorders>
              <w:top w:val="nil"/>
              <w:left w:val="nil"/>
              <w:bottom w:val="nil"/>
              <w:right w:val="nil"/>
            </w:tcBorders>
            <w:vAlign w:val="bottom"/>
          </w:tcPr>
          <w:p w14:paraId="5F286BF4"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w:t>
            </w:r>
          </w:p>
        </w:tc>
        <w:tc>
          <w:tcPr>
            <w:tcW w:w="475" w:type="pct"/>
            <w:tcBorders>
              <w:top w:val="nil"/>
              <w:left w:val="nil"/>
              <w:bottom w:val="nil"/>
              <w:right w:val="nil"/>
            </w:tcBorders>
            <w:vAlign w:val="bottom"/>
          </w:tcPr>
          <w:p w14:paraId="2CC25C37"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190,560</w:t>
            </w:r>
          </w:p>
        </w:tc>
        <w:tc>
          <w:tcPr>
            <w:tcW w:w="480" w:type="pct"/>
            <w:tcBorders>
              <w:top w:val="nil"/>
              <w:left w:val="nil"/>
              <w:bottom w:val="nil"/>
              <w:right w:val="nil"/>
            </w:tcBorders>
            <w:vAlign w:val="bottom"/>
          </w:tcPr>
          <w:p w14:paraId="37586506"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190,560</w:t>
            </w:r>
          </w:p>
        </w:tc>
        <w:tc>
          <w:tcPr>
            <w:tcW w:w="493" w:type="pct"/>
            <w:tcBorders>
              <w:top w:val="nil"/>
              <w:left w:val="nil"/>
              <w:bottom w:val="nil"/>
              <w:right w:val="nil"/>
            </w:tcBorders>
            <w:vAlign w:val="bottom"/>
          </w:tcPr>
          <w:p w14:paraId="5528761D"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w:t>
            </w:r>
          </w:p>
        </w:tc>
      </w:tr>
      <w:tr w:rsidR="00587444" w:rsidRPr="00587444" w14:paraId="06009165" w14:textId="77777777" w:rsidTr="00DD69E7">
        <w:trPr>
          <w:trHeight w:val="320"/>
        </w:trPr>
        <w:tc>
          <w:tcPr>
            <w:tcW w:w="1151" w:type="pct"/>
          </w:tcPr>
          <w:p w14:paraId="44751B5D" w14:textId="77777777" w:rsidR="00587444" w:rsidRPr="00587444" w:rsidRDefault="00587444" w:rsidP="00587444">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spacing w:val="-2"/>
                <w:sz w:val="15"/>
                <w:szCs w:val="15"/>
              </w:rPr>
              <w:t xml:space="preserve">Other liabilities </w:t>
            </w:r>
          </w:p>
        </w:tc>
        <w:tc>
          <w:tcPr>
            <w:tcW w:w="448" w:type="pct"/>
            <w:tcBorders>
              <w:top w:val="nil"/>
              <w:left w:val="nil"/>
              <w:bottom w:val="nil"/>
              <w:right w:val="nil"/>
            </w:tcBorders>
            <w:vAlign w:val="bottom"/>
          </w:tcPr>
          <w:p w14:paraId="5BA7A67C"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w:t>
            </w:r>
          </w:p>
        </w:tc>
        <w:tc>
          <w:tcPr>
            <w:tcW w:w="511" w:type="pct"/>
            <w:tcBorders>
              <w:top w:val="nil"/>
              <w:left w:val="nil"/>
              <w:bottom w:val="nil"/>
              <w:right w:val="nil"/>
            </w:tcBorders>
            <w:vAlign w:val="bottom"/>
          </w:tcPr>
          <w:p w14:paraId="49AACBDF"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w:t>
            </w:r>
          </w:p>
        </w:tc>
        <w:tc>
          <w:tcPr>
            <w:tcW w:w="444" w:type="pct"/>
            <w:tcBorders>
              <w:top w:val="nil"/>
              <w:left w:val="nil"/>
              <w:bottom w:val="nil"/>
              <w:right w:val="nil"/>
            </w:tcBorders>
            <w:vAlign w:val="bottom"/>
          </w:tcPr>
          <w:p w14:paraId="385C0846"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w:t>
            </w:r>
          </w:p>
        </w:tc>
        <w:tc>
          <w:tcPr>
            <w:tcW w:w="511" w:type="pct"/>
            <w:tcBorders>
              <w:top w:val="nil"/>
              <w:left w:val="nil"/>
              <w:bottom w:val="nil"/>
              <w:right w:val="nil"/>
            </w:tcBorders>
            <w:vAlign w:val="bottom"/>
          </w:tcPr>
          <w:p w14:paraId="3DB62C3D"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w:t>
            </w:r>
          </w:p>
        </w:tc>
        <w:tc>
          <w:tcPr>
            <w:tcW w:w="486" w:type="pct"/>
            <w:tcBorders>
              <w:top w:val="nil"/>
              <w:left w:val="nil"/>
              <w:bottom w:val="nil"/>
              <w:right w:val="nil"/>
            </w:tcBorders>
            <w:vAlign w:val="bottom"/>
          </w:tcPr>
          <w:p w14:paraId="10CBEC97"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w:t>
            </w:r>
          </w:p>
        </w:tc>
        <w:tc>
          <w:tcPr>
            <w:tcW w:w="475" w:type="pct"/>
            <w:tcBorders>
              <w:top w:val="nil"/>
              <w:left w:val="nil"/>
              <w:right w:val="nil"/>
            </w:tcBorders>
            <w:vAlign w:val="bottom"/>
          </w:tcPr>
          <w:p w14:paraId="7A401AD1"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435,239</w:t>
            </w:r>
          </w:p>
        </w:tc>
        <w:tc>
          <w:tcPr>
            <w:tcW w:w="480" w:type="pct"/>
            <w:tcBorders>
              <w:top w:val="nil"/>
              <w:left w:val="nil"/>
              <w:right w:val="nil"/>
            </w:tcBorders>
            <w:vAlign w:val="bottom"/>
          </w:tcPr>
          <w:p w14:paraId="0851CC73"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435,239</w:t>
            </w:r>
          </w:p>
        </w:tc>
        <w:tc>
          <w:tcPr>
            <w:tcW w:w="493" w:type="pct"/>
            <w:tcBorders>
              <w:top w:val="nil"/>
              <w:left w:val="nil"/>
              <w:right w:val="nil"/>
            </w:tcBorders>
            <w:vAlign w:val="bottom"/>
          </w:tcPr>
          <w:p w14:paraId="451D0974"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w:t>
            </w:r>
          </w:p>
        </w:tc>
      </w:tr>
      <w:tr w:rsidR="00587444" w:rsidRPr="00587444" w14:paraId="46820105" w14:textId="77777777" w:rsidTr="00DD69E7">
        <w:trPr>
          <w:trHeight w:val="320"/>
        </w:trPr>
        <w:tc>
          <w:tcPr>
            <w:tcW w:w="1151" w:type="pct"/>
            <w:vAlign w:val="bottom"/>
          </w:tcPr>
          <w:p w14:paraId="5ED67288" w14:textId="77777777" w:rsidR="00587444" w:rsidRPr="00587444" w:rsidRDefault="00587444" w:rsidP="00587444">
            <w:pPr>
              <w:tabs>
                <w:tab w:val="right" w:pos="1202"/>
              </w:tabs>
              <w:suppressAutoHyphens w:val="0"/>
              <w:autoSpaceDN/>
              <w:spacing w:line="320" w:lineRule="exact"/>
              <w:outlineLvl w:val="0"/>
              <w:rPr>
                <w:rFonts w:ascii="Arial" w:hAnsi="Arial" w:cs="Arial"/>
                <w:spacing w:val="-2"/>
                <w:sz w:val="15"/>
                <w:szCs w:val="15"/>
              </w:rPr>
            </w:pPr>
            <w:r w:rsidRPr="00587444">
              <w:rPr>
                <w:rFonts w:ascii="Arial" w:hAnsi="Arial" w:cs="Arial"/>
                <w:b/>
                <w:bCs/>
                <w:sz w:val="15"/>
                <w:szCs w:val="15"/>
              </w:rPr>
              <w:t xml:space="preserve">Total liabilities </w:t>
            </w:r>
          </w:p>
        </w:tc>
        <w:tc>
          <w:tcPr>
            <w:tcW w:w="448" w:type="pct"/>
            <w:tcBorders>
              <w:top w:val="single" w:sz="8" w:space="0" w:color="auto"/>
              <w:left w:val="nil"/>
              <w:bottom w:val="single" w:sz="12" w:space="0" w:color="auto"/>
              <w:right w:val="nil"/>
            </w:tcBorders>
            <w:vAlign w:val="bottom"/>
          </w:tcPr>
          <w:p w14:paraId="63F4B700"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661,464,</w:t>
            </w:r>
          </w:p>
        </w:tc>
        <w:tc>
          <w:tcPr>
            <w:tcW w:w="511" w:type="pct"/>
            <w:tcBorders>
              <w:top w:val="single" w:sz="8" w:space="0" w:color="auto"/>
              <w:left w:val="nil"/>
              <w:bottom w:val="single" w:sz="12" w:space="0" w:color="auto"/>
              <w:right w:val="nil"/>
            </w:tcBorders>
            <w:vAlign w:val="bottom"/>
          </w:tcPr>
          <w:p w14:paraId="3E1D74E9"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310,552</w:t>
            </w:r>
          </w:p>
        </w:tc>
        <w:tc>
          <w:tcPr>
            <w:tcW w:w="444" w:type="pct"/>
            <w:tcBorders>
              <w:top w:val="single" w:sz="8" w:space="0" w:color="auto"/>
              <w:left w:val="nil"/>
              <w:bottom w:val="single" w:sz="12" w:space="0" w:color="auto"/>
              <w:right w:val="nil"/>
            </w:tcBorders>
            <w:vAlign w:val="bottom"/>
          </w:tcPr>
          <w:p w14:paraId="0B1AD66E"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1,807,992</w:t>
            </w:r>
          </w:p>
        </w:tc>
        <w:tc>
          <w:tcPr>
            <w:tcW w:w="511" w:type="pct"/>
            <w:tcBorders>
              <w:top w:val="single" w:sz="8" w:space="0" w:color="auto"/>
              <w:left w:val="nil"/>
              <w:bottom w:val="single" w:sz="12" w:space="0" w:color="auto"/>
              <w:right w:val="nil"/>
            </w:tcBorders>
            <w:vAlign w:val="bottom"/>
          </w:tcPr>
          <w:p w14:paraId="1FA0EDE3"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5,775,874</w:t>
            </w:r>
          </w:p>
        </w:tc>
        <w:tc>
          <w:tcPr>
            <w:tcW w:w="486" w:type="pct"/>
            <w:tcBorders>
              <w:top w:val="single" w:sz="8" w:space="0" w:color="auto"/>
              <w:left w:val="nil"/>
              <w:bottom w:val="single" w:sz="12" w:space="0" w:color="auto"/>
              <w:right w:val="nil"/>
            </w:tcBorders>
            <w:vAlign w:val="bottom"/>
          </w:tcPr>
          <w:p w14:paraId="7BD2F294"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7,941,861</w:t>
            </w:r>
          </w:p>
        </w:tc>
        <w:tc>
          <w:tcPr>
            <w:tcW w:w="475" w:type="pct"/>
            <w:tcBorders>
              <w:top w:val="single" w:sz="8" w:space="0" w:color="auto"/>
              <w:left w:val="nil"/>
              <w:bottom w:val="single" w:sz="12" w:space="0" w:color="auto"/>
              <w:right w:val="nil"/>
            </w:tcBorders>
            <w:vAlign w:val="bottom"/>
          </w:tcPr>
          <w:p w14:paraId="66B12527"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1,203,834</w:t>
            </w:r>
          </w:p>
        </w:tc>
        <w:tc>
          <w:tcPr>
            <w:tcW w:w="480" w:type="pct"/>
            <w:tcBorders>
              <w:top w:val="single" w:sz="8" w:space="0" w:color="auto"/>
              <w:left w:val="nil"/>
              <w:bottom w:val="single" w:sz="12" w:space="0" w:color="auto"/>
              <w:right w:val="nil"/>
            </w:tcBorders>
            <w:vAlign w:val="bottom"/>
          </w:tcPr>
          <w:p w14:paraId="34EB4015"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17,701,577</w:t>
            </w:r>
          </w:p>
        </w:tc>
        <w:tc>
          <w:tcPr>
            <w:tcW w:w="493" w:type="pct"/>
            <w:tcBorders>
              <w:top w:val="single" w:sz="8" w:space="0" w:color="auto"/>
              <w:left w:val="nil"/>
              <w:bottom w:val="single" w:sz="12" w:space="0" w:color="auto"/>
              <w:right w:val="nil"/>
            </w:tcBorders>
            <w:vAlign w:val="bottom"/>
          </w:tcPr>
          <w:p w14:paraId="40062338"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16,486,467</w:t>
            </w:r>
          </w:p>
        </w:tc>
      </w:tr>
      <w:tr w:rsidR="00587444" w:rsidRPr="00587444" w14:paraId="5ED23ADD" w14:textId="77777777" w:rsidTr="00DD69E7">
        <w:trPr>
          <w:trHeight w:val="320"/>
        </w:trPr>
        <w:tc>
          <w:tcPr>
            <w:tcW w:w="1151" w:type="pct"/>
            <w:vAlign w:val="bottom"/>
          </w:tcPr>
          <w:p w14:paraId="046E0951" w14:textId="77777777" w:rsidR="00587444" w:rsidRPr="00587444" w:rsidRDefault="00587444" w:rsidP="00587444">
            <w:pPr>
              <w:tabs>
                <w:tab w:val="right" w:pos="1202"/>
              </w:tabs>
              <w:suppressAutoHyphens w:val="0"/>
              <w:autoSpaceDN/>
              <w:spacing w:line="320" w:lineRule="exact"/>
              <w:outlineLvl w:val="0"/>
              <w:rPr>
                <w:rFonts w:ascii="Arial" w:hAnsi="Arial" w:cs="Arial"/>
                <w:spacing w:val="-2"/>
                <w:sz w:val="15"/>
                <w:szCs w:val="15"/>
              </w:rPr>
            </w:pPr>
            <w:r w:rsidRPr="00587444">
              <w:rPr>
                <w:rFonts w:ascii="Arial" w:hAnsi="Arial" w:cs="Arial"/>
                <w:b/>
                <w:bCs/>
                <w:spacing w:val="-2"/>
                <w:sz w:val="15"/>
                <w:szCs w:val="15"/>
              </w:rPr>
              <w:t>Interest rate gap</w:t>
            </w:r>
          </w:p>
        </w:tc>
        <w:tc>
          <w:tcPr>
            <w:tcW w:w="448" w:type="pct"/>
            <w:tcBorders>
              <w:top w:val="nil"/>
              <w:left w:val="nil"/>
              <w:bottom w:val="single" w:sz="12" w:space="0" w:color="auto"/>
              <w:right w:val="nil"/>
            </w:tcBorders>
            <w:shd w:val="clear" w:color="auto" w:fill="auto"/>
            <w:vAlign w:val="bottom"/>
          </w:tcPr>
          <w:p w14:paraId="0C681C81"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4,194,853</w:t>
            </w:r>
          </w:p>
        </w:tc>
        <w:tc>
          <w:tcPr>
            <w:tcW w:w="511" w:type="pct"/>
            <w:tcBorders>
              <w:top w:val="nil"/>
              <w:left w:val="nil"/>
              <w:bottom w:val="single" w:sz="12" w:space="0" w:color="auto"/>
              <w:right w:val="nil"/>
            </w:tcBorders>
            <w:shd w:val="clear" w:color="auto" w:fill="auto"/>
            <w:vAlign w:val="bottom"/>
          </w:tcPr>
          <w:p w14:paraId="111A3D8F"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633,483</w:t>
            </w:r>
          </w:p>
        </w:tc>
        <w:tc>
          <w:tcPr>
            <w:tcW w:w="444" w:type="pct"/>
            <w:tcBorders>
              <w:top w:val="nil"/>
              <w:left w:val="nil"/>
              <w:bottom w:val="single" w:sz="12" w:space="0" w:color="auto"/>
              <w:right w:val="nil"/>
            </w:tcBorders>
            <w:shd w:val="clear" w:color="auto" w:fill="auto"/>
            <w:vAlign w:val="bottom"/>
          </w:tcPr>
          <w:p w14:paraId="36B84F5F"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281,802</w:t>
            </w:r>
          </w:p>
        </w:tc>
        <w:tc>
          <w:tcPr>
            <w:tcW w:w="511" w:type="pct"/>
            <w:tcBorders>
              <w:top w:val="nil"/>
              <w:left w:val="nil"/>
              <w:bottom w:val="single" w:sz="12" w:space="0" w:color="auto"/>
              <w:right w:val="nil"/>
            </w:tcBorders>
            <w:shd w:val="clear" w:color="auto" w:fill="auto"/>
            <w:vAlign w:val="bottom"/>
          </w:tcPr>
          <w:p w14:paraId="57C9C0BC"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(820,183)</w:t>
            </w:r>
          </w:p>
        </w:tc>
        <w:tc>
          <w:tcPr>
            <w:tcW w:w="486" w:type="pct"/>
            <w:tcBorders>
              <w:top w:val="nil"/>
              <w:left w:val="nil"/>
              <w:bottom w:val="single" w:sz="12" w:space="0" w:color="auto"/>
              <w:right w:val="nil"/>
            </w:tcBorders>
            <w:shd w:val="clear" w:color="auto" w:fill="auto"/>
            <w:vAlign w:val="bottom"/>
          </w:tcPr>
          <w:p w14:paraId="71F3C23D"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5,040,686</w:t>
            </w:r>
          </w:p>
        </w:tc>
        <w:tc>
          <w:tcPr>
            <w:tcW w:w="475" w:type="pct"/>
            <w:tcBorders>
              <w:top w:val="nil"/>
              <w:left w:val="nil"/>
              <w:bottom w:val="single" w:sz="12" w:space="0" w:color="auto"/>
              <w:right w:val="nil"/>
            </w:tcBorders>
            <w:shd w:val="clear" w:color="auto" w:fill="auto"/>
            <w:vAlign w:val="bottom"/>
          </w:tcPr>
          <w:p w14:paraId="2F6F851D"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1,180,838</w:t>
            </w:r>
          </w:p>
        </w:tc>
        <w:tc>
          <w:tcPr>
            <w:tcW w:w="480" w:type="pct"/>
            <w:tcBorders>
              <w:top w:val="nil"/>
              <w:left w:val="nil"/>
              <w:bottom w:val="single" w:sz="12" w:space="0" w:color="auto"/>
              <w:right w:val="nil"/>
            </w:tcBorders>
            <w:shd w:val="clear" w:color="auto" w:fill="auto"/>
            <w:vAlign w:val="bottom"/>
          </w:tcPr>
          <w:p w14:paraId="64527330"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10,511,479</w:t>
            </w:r>
          </w:p>
        </w:tc>
        <w:tc>
          <w:tcPr>
            <w:tcW w:w="493" w:type="pct"/>
            <w:tcBorders>
              <w:top w:val="nil"/>
              <w:left w:val="nil"/>
              <w:bottom w:val="single" w:sz="12" w:space="0" w:color="auto"/>
              <w:right w:val="nil"/>
            </w:tcBorders>
            <w:shd w:val="clear" w:color="auto" w:fill="auto"/>
            <w:vAlign w:val="bottom"/>
          </w:tcPr>
          <w:p w14:paraId="4A19E77B"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8,394,422</w:t>
            </w:r>
          </w:p>
        </w:tc>
      </w:tr>
    </w:tbl>
    <w:p w14:paraId="422920AE" w14:textId="77777777" w:rsidR="00587444" w:rsidRPr="00587444" w:rsidRDefault="00587444" w:rsidP="00587444">
      <w:pPr>
        <w:keepNext/>
        <w:suppressAutoHyphens w:val="0"/>
        <w:autoSpaceDN/>
        <w:jc w:val="both"/>
        <w:rPr>
          <w:rFonts w:ascii="Arial" w:hAnsi="Arial" w:cs="Arial"/>
          <w:b/>
          <w:bCs/>
          <w:sz w:val="20"/>
          <w:szCs w:val="20"/>
          <w:lang w:val="en-GB"/>
        </w:rPr>
      </w:pPr>
    </w:p>
    <w:p w14:paraId="3ED7785F" w14:textId="77777777" w:rsidR="00587444" w:rsidRPr="00587444" w:rsidRDefault="00587444" w:rsidP="00587444">
      <w:pPr>
        <w:tabs>
          <w:tab w:val="left" w:pos="-720"/>
        </w:tabs>
        <w:autoSpaceDN/>
        <w:ind w:right="-5"/>
        <w:jc w:val="both"/>
        <w:rPr>
          <w:rFonts w:ascii="Arial" w:hAnsi="Arial" w:cs="Arial"/>
          <w:sz w:val="20"/>
          <w:szCs w:val="20"/>
          <w:highlight w:val="yellow"/>
          <w:lang w:val="en-GB"/>
        </w:rPr>
      </w:pPr>
    </w:p>
    <w:p w14:paraId="6B31A116"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pPr>
    </w:p>
    <w:p w14:paraId="69FDBB41" w14:textId="77777777" w:rsidR="00587444" w:rsidRPr="00587444" w:rsidRDefault="00587444" w:rsidP="00587444">
      <w:pPr>
        <w:suppressAutoHyphens w:val="0"/>
        <w:autoSpaceDN/>
        <w:rPr>
          <w:rFonts w:ascii="Arial" w:hAnsi="Arial" w:cs="Arial"/>
          <w:sz w:val="20"/>
          <w:szCs w:val="20"/>
          <w:highlight w:val="yellow"/>
          <w:lang w:val="en-GB"/>
        </w:rPr>
      </w:pPr>
    </w:p>
    <w:p w14:paraId="4605ACF7" w14:textId="77777777" w:rsidR="00587444" w:rsidRPr="00587444" w:rsidRDefault="00587444" w:rsidP="00587444">
      <w:pPr>
        <w:suppressAutoHyphens w:val="0"/>
        <w:autoSpaceDN/>
        <w:rPr>
          <w:rFonts w:ascii="Arial" w:hAnsi="Arial" w:cs="Arial"/>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62C95F56" w14:textId="77777777" w:rsidR="00587444" w:rsidRPr="00587444" w:rsidRDefault="00587444" w:rsidP="00587444">
      <w:pPr>
        <w:keepNext/>
        <w:suppressAutoHyphens w:val="0"/>
        <w:autoSpaceDN/>
        <w:jc w:val="both"/>
        <w:rPr>
          <w:rFonts w:ascii="Arial" w:hAnsi="Arial" w:cs="Arial"/>
          <w:b/>
          <w:bCs/>
          <w:sz w:val="20"/>
          <w:szCs w:val="20"/>
          <w:lang w:val="en-GB"/>
        </w:rPr>
      </w:pPr>
    </w:p>
    <w:p w14:paraId="625B5DC0"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         Risk management (continued)</w:t>
      </w:r>
    </w:p>
    <w:p w14:paraId="66288416"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3B602B11"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31.5.      Market risk (continued)</w:t>
      </w:r>
    </w:p>
    <w:p w14:paraId="7360F44E"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698938F6"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31.5.1.   Interest rate risk (continued)</w:t>
      </w:r>
    </w:p>
    <w:p w14:paraId="505B3379" w14:textId="77777777" w:rsidR="00587444" w:rsidRPr="00587444" w:rsidRDefault="00587444" w:rsidP="00587444">
      <w:pPr>
        <w:suppressAutoHyphens w:val="0"/>
        <w:autoSpaceDN/>
        <w:ind w:right="-6"/>
        <w:jc w:val="both"/>
        <w:rPr>
          <w:rFonts w:ascii="Arial" w:hAnsi="Arial" w:cs="Arial"/>
          <w:iCs/>
          <w:sz w:val="20"/>
          <w:szCs w:val="20"/>
          <w:lang w:val="en-GB"/>
        </w:rPr>
      </w:pPr>
    </w:p>
    <w:p w14:paraId="55D27755" w14:textId="77777777" w:rsidR="00587444" w:rsidRPr="00587444" w:rsidRDefault="00587444" w:rsidP="00587444">
      <w:pPr>
        <w:suppressAutoHyphens w:val="0"/>
        <w:autoSpaceDN/>
        <w:ind w:right="-6"/>
        <w:jc w:val="both"/>
        <w:rPr>
          <w:rFonts w:ascii="Arial" w:hAnsi="Arial" w:cs="Arial"/>
          <w:iCs/>
          <w:sz w:val="20"/>
          <w:szCs w:val="20"/>
          <w:lang w:val="en-GB"/>
        </w:rPr>
      </w:pPr>
      <w:r w:rsidRPr="00587444">
        <w:rPr>
          <w:rFonts w:ascii="Arial" w:hAnsi="Arial" w:cs="Arial"/>
          <w:iCs/>
          <w:sz w:val="20"/>
          <w:szCs w:val="20"/>
          <w:lang w:val="en-GB"/>
        </w:rPr>
        <w:t>The following tables demonstrate the sensitivity of HBOR to the</w:t>
      </w:r>
      <w:r w:rsidRPr="00587444" w:rsidDel="004E50CC">
        <w:rPr>
          <w:rFonts w:ascii="Arial" w:hAnsi="Arial" w:cs="Arial"/>
          <w:iCs/>
          <w:sz w:val="20"/>
          <w:szCs w:val="20"/>
          <w:lang w:val="en-GB"/>
        </w:rPr>
        <w:t xml:space="preserve"> </w:t>
      </w:r>
      <w:r w:rsidRPr="00587444">
        <w:rPr>
          <w:rFonts w:ascii="Arial" w:hAnsi="Arial" w:cs="Arial"/>
          <w:iCs/>
          <w:sz w:val="20"/>
          <w:szCs w:val="20"/>
          <w:lang w:val="en-GB"/>
        </w:rPr>
        <w:t xml:space="preserve">interest rate risk as of 31 December 2022 and 2021 </w:t>
      </w:r>
      <w:proofErr w:type="gramStart"/>
      <w:r w:rsidRPr="00587444">
        <w:rPr>
          <w:rFonts w:ascii="Arial" w:hAnsi="Arial" w:cs="Arial"/>
          <w:iCs/>
          <w:sz w:val="20"/>
          <w:szCs w:val="20"/>
          <w:lang w:val="en-GB"/>
        </w:rPr>
        <w:t>on the basis of</w:t>
      </w:r>
      <w:proofErr w:type="gramEnd"/>
      <w:r w:rsidRPr="00587444">
        <w:rPr>
          <w:rFonts w:ascii="Arial" w:hAnsi="Arial" w:cs="Arial"/>
          <w:iCs/>
          <w:sz w:val="20"/>
          <w:szCs w:val="20"/>
          <w:lang w:val="en-GB"/>
        </w:rPr>
        <w:t xml:space="preserve"> known dates of changes in prices of assets and liabilities to which floating and fixed interest rates are applied. Periods of interest rates changes are determined </w:t>
      </w:r>
      <w:proofErr w:type="gramStart"/>
      <w:r w:rsidRPr="00587444">
        <w:rPr>
          <w:rFonts w:ascii="Arial" w:hAnsi="Arial" w:cs="Arial"/>
          <w:iCs/>
          <w:sz w:val="20"/>
          <w:szCs w:val="20"/>
          <w:lang w:val="en-GB"/>
        </w:rPr>
        <w:t>on the basis of</w:t>
      </w:r>
      <w:proofErr w:type="gramEnd"/>
      <w:r w:rsidRPr="00587444">
        <w:rPr>
          <w:rFonts w:ascii="Arial" w:hAnsi="Arial" w:cs="Arial"/>
          <w:iCs/>
          <w:sz w:val="20"/>
          <w:szCs w:val="20"/>
          <w:lang w:val="en-GB"/>
        </w:rPr>
        <w:t xml:space="preserve"> residual maturity and contracted period when interest rates change, depending on which is shorter.  </w:t>
      </w:r>
    </w:p>
    <w:p w14:paraId="0638D192" w14:textId="77777777" w:rsidR="00587444" w:rsidRPr="00587444" w:rsidRDefault="00587444" w:rsidP="00587444">
      <w:pPr>
        <w:suppressAutoHyphens w:val="0"/>
        <w:autoSpaceDN/>
        <w:ind w:right="-6"/>
        <w:jc w:val="both"/>
        <w:rPr>
          <w:rFonts w:ascii="Arial" w:hAnsi="Arial" w:cs="Arial"/>
          <w:iCs/>
          <w:sz w:val="20"/>
          <w:szCs w:val="20"/>
          <w:lang w:val="en-GB"/>
        </w:rPr>
      </w:pPr>
    </w:p>
    <w:p w14:paraId="4CCC91C6" w14:textId="77777777" w:rsidR="00587444" w:rsidRPr="00587444" w:rsidRDefault="00587444" w:rsidP="00587444">
      <w:pPr>
        <w:suppressAutoHyphens w:val="0"/>
        <w:autoSpaceDN/>
        <w:ind w:right="-6"/>
        <w:jc w:val="both"/>
        <w:rPr>
          <w:rFonts w:ascii="Arial" w:hAnsi="Arial" w:cs="Arial"/>
          <w:iCs/>
          <w:sz w:val="20"/>
          <w:szCs w:val="20"/>
          <w:lang w:val="en-GB"/>
        </w:rPr>
      </w:pPr>
      <w:r w:rsidRPr="00587444">
        <w:rPr>
          <w:rFonts w:ascii="Arial" w:hAnsi="Arial" w:cs="Arial"/>
          <w:iCs/>
          <w:sz w:val="20"/>
          <w:szCs w:val="20"/>
          <w:lang w:val="en-GB"/>
        </w:rPr>
        <w:t>Assets and liabilities on which interest is not charged are placed into the non-</w:t>
      </w:r>
      <w:proofErr w:type="gramStart"/>
      <w:r w:rsidRPr="00587444">
        <w:rPr>
          <w:rFonts w:ascii="Arial" w:hAnsi="Arial" w:cs="Arial"/>
          <w:iCs/>
          <w:sz w:val="20"/>
          <w:szCs w:val="20"/>
          <w:lang w:val="en-GB"/>
        </w:rPr>
        <w:t>interest bearing</w:t>
      </w:r>
      <w:proofErr w:type="gramEnd"/>
      <w:r w:rsidRPr="00587444">
        <w:rPr>
          <w:rFonts w:ascii="Arial" w:hAnsi="Arial" w:cs="Arial"/>
          <w:iCs/>
          <w:sz w:val="20"/>
          <w:szCs w:val="20"/>
          <w:lang w:val="en-GB"/>
        </w:rPr>
        <w:t xml:space="preserve"> category. </w:t>
      </w:r>
    </w:p>
    <w:p w14:paraId="5F013A8F" w14:textId="77777777" w:rsidR="00587444" w:rsidRPr="00587444" w:rsidRDefault="00587444" w:rsidP="00587444">
      <w:pPr>
        <w:tabs>
          <w:tab w:val="left" w:pos="-720"/>
        </w:tabs>
        <w:autoSpaceDN/>
        <w:ind w:right="-5"/>
        <w:jc w:val="both"/>
        <w:rPr>
          <w:rFonts w:ascii="Arial" w:hAnsi="Arial" w:cs="Arial"/>
          <w:sz w:val="20"/>
          <w:szCs w:val="20"/>
          <w:lang w:val="en-GB"/>
        </w:rPr>
      </w:pPr>
      <w:r w:rsidRPr="00587444">
        <w:rPr>
          <w:rFonts w:ascii="Arial" w:hAnsi="Arial" w:cs="Arial"/>
          <w:sz w:val="20"/>
          <w:szCs w:val="20"/>
          <w:lang w:val="en-GB"/>
        </w:rPr>
        <w:t xml:space="preserve">The tables below demonstrate the estimation of HBOR´s interest rate risk exposure as of 31 December 2022 and 2021 which may not be indicative for the positions in other periods. </w:t>
      </w:r>
    </w:p>
    <w:p w14:paraId="4D3073CA" w14:textId="77777777" w:rsidR="00587444" w:rsidRPr="00587444" w:rsidRDefault="00587444" w:rsidP="00587444">
      <w:pPr>
        <w:tabs>
          <w:tab w:val="left" w:pos="-720"/>
        </w:tabs>
        <w:autoSpaceDN/>
        <w:spacing w:line="360" w:lineRule="auto"/>
        <w:ind w:right="-5"/>
        <w:jc w:val="both"/>
        <w:rPr>
          <w:rFonts w:ascii="Arial" w:hAnsi="Arial" w:cs="Arial"/>
          <w:sz w:val="20"/>
          <w:szCs w:val="20"/>
          <w:highlight w:val="yellow"/>
          <w:lang w:val="en-GB"/>
        </w:rPr>
      </w:pPr>
    </w:p>
    <w:tbl>
      <w:tblPr>
        <w:tblW w:w="5374" w:type="pct"/>
        <w:tblInd w:w="-142" w:type="dxa"/>
        <w:tblLayout w:type="fixed"/>
        <w:tblCellMar>
          <w:left w:w="120" w:type="dxa"/>
          <w:right w:w="120" w:type="dxa"/>
        </w:tblCellMar>
        <w:tblLook w:val="0000" w:firstRow="0" w:lastRow="0" w:firstColumn="0" w:lastColumn="0" w:noHBand="0" w:noVBand="0"/>
      </w:tblPr>
      <w:tblGrid>
        <w:gridCol w:w="2214"/>
        <w:gridCol w:w="1007"/>
        <w:gridCol w:w="932"/>
        <w:gridCol w:w="1019"/>
        <w:gridCol w:w="988"/>
        <w:gridCol w:w="1046"/>
        <w:gridCol w:w="1017"/>
        <w:gridCol w:w="1046"/>
        <w:gridCol w:w="1044"/>
      </w:tblGrid>
      <w:tr w:rsidR="00587444" w:rsidRPr="00587444" w14:paraId="24B113EB" w14:textId="77777777" w:rsidTr="00DD69E7">
        <w:tc>
          <w:tcPr>
            <w:tcW w:w="1074" w:type="pct"/>
            <w:vAlign w:val="center"/>
          </w:tcPr>
          <w:p w14:paraId="56D6DF2D"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Bank</w:t>
            </w:r>
          </w:p>
          <w:p w14:paraId="0C3CB68A"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p>
          <w:p w14:paraId="103382E9"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31 December 2022</w:t>
            </w:r>
          </w:p>
        </w:tc>
        <w:tc>
          <w:tcPr>
            <w:tcW w:w="488" w:type="pct"/>
          </w:tcPr>
          <w:p w14:paraId="2331CFA8"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Up to 1 month</w:t>
            </w:r>
          </w:p>
        </w:tc>
        <w:tc>
          <w:tcPr>
            <w:tcW w:w="452" w:type="pct"/>
          </w:tcPr>
          <w:p w14:paraId="48F81D8C"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months</w:t>
            </w:r>
          </w:p>
        </w:tc>
        <w:tc>
          <w:tcPr>
            <w:tcW w:w="494" w:type="pct"/>
          </w:tcPr>
          <w:p w14:paraId="71926291"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3 months to 1 year </w:t>
            </w:r>
          </w:p>
        </w:tc>
        <w:tc>
          <w:tcPr>
            <w:tcW w:w="479" w:type="pct"/>
          </w:tcPr>
          <w:p w14:paraId="17DC454C"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years</w:t>
            </w:r>
          </w:p>
        </w:tc>
        <w:tc>
          <w:tcPr>
            <w:tcW w:w="507" w:type="pct"/>
          </w:tcPr>
          <w:p w14:paraId="785B2862"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Over 3 years</w:t>
            </w:r>
          </w:p>
        </w:tc>
        <w:tc>
          <w:tcPr>
            <w:tcW w:w="493" w:type="pct"/>
          </w:tcPr>
          <w:p w14:paraId="5C292525"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Non-interest bearing</w:t>
            </w:r>
          </w:p>
        </w:tc>
        <w:tc>
          <w:tcPr>
            <w:tcW w:w="507" w:type="pct"/>
          </w:tcPr>
          <w:p w14:paraId="3182EBDC"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Total </w:t>
            </w:r>
          </w:p>
        </w:tc>
        <w:tc>
          <w:tcPr>
            <w:tcW w:w="506" w:type="pct"/>
          </w:tcPr>
          <w:p w14:paraId="069F3496"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Fixed interest rate</w:t>
            </w:r>
          </w:p>
        </w:tc>
      </w:tr>
      <w:tr w:rsidR="00587444" w:rsidRPr="00587444" w14:paraId="6BC91BB6" w14:textId="77777777" w:rsidTr="00DD69E7">
        <w:tc>
          <w:tcPr>
            <w:tcW w:w="1074" w:type="pct"/>
            <w:vAlign w:val="center"/>
          </w:tcPr>
          <w:p w14:paraId="3855E567"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p>
        </w:tc>
        <w:tc>
          <w:tcPr>
            <w:tcW w:w="488" w:type="pct"/>
            <w:shd w:val="clear" w:color="auto" w:fill="auto"/>
          </w:tcPr>
          <w:p w14:paraId="524E81C0"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452" w:type="pct"/>
            <w:shd w:val="clear" w:color="auto" w:fill="auto"/>
          </w:tcPr>
          <w:p w14:paraId="28D47AB8"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494" w:type="pct"/>
            <w:shd w:val="clear" w:color="auto" w:fill="auto"/>
          </w:tcPr>
          <w:p w14:paraId="7A74A1C2"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479" w:type="pct"/>
            <w:shd w:val="clear" w:color="auto" w:fill="auto"/>
          </w:tcPr>
          <w:p w14:paraId="676E832A"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507" w:type="pct"/>
            <w:shd w:val="clear" w:color="auto" w:fill="auto"/>
          </w:tcPr>
          <w:p w14:paraId="15AACD7C"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493" w:type="pct"/>
            <w:shd w:val="clear" w:color="auto" w:fill="auto"/>
          </w:tcPr>
          <w:p w14:paraId="5499BEC0"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507" w:type="pct"/>
            <w:shd w:val="clear" w:color="auto" w:fill="auto"/>
          </w:tcPr>
          <w:p w14:paraId="2937A823"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506" w:type="pct"/>
            <w:shd w:val="clear" w:color="auto" w:fill="auto"/>
          </w:tcPr>
          <w:p w14:paraId="573A1F21"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HRK ‘000</w:t>
            </w:r>
          </w:p>
        </w:tc>
      </w:tr>
      <w:tr w:rsidR="00587444" w:rsidRPr="00587444" w14:paraId="28D4083A" w14:textId="77777777" w:rsidTr="00DD69E7">
        <w:tc>
          <w:tcPr>
            <w:tcW w:w="1074" w:type="pct"/>
            <w:vAlign w:val="bottom"/>
          </w:tcPr>
          <w:p w14:paraId="1D391672" w14:textId="77777777" w:rsidR="00587444" w:rsidRPr="00587444" w:rsidRDefault="00587444" w:rsidP="00587444">
            <w:pPr>
              <w:tabs>
                <w:tab w:val="left" w:pos="-720"/>
              </w:tabs>
              <w:autoSpaceDN/>
              <w:spacing w:line="280" w:lineRule="exact"/>
              <w:ind w:right="-5"/>
              <w:rPr>
                <w:rFonts w:ascii="Arial" w:eastAsia="Calibri" w:hAnsi="Arial" w:cs="Arial"/>
                <w:b/>
                <w:sz w:val="15"/>
                <w:szCs w:val="15"/>
              </w:rPr>
            </w:pPr>
            <w:r w:rsidRPr="00587444">
              <w:rPr>
                <w:rFonts w:ascii="Arial" w:eastAsia="Calibri" w:hAnsi="Arial" w:cs="Arial"/>
                <w:b/>
                <w:sz w:val="15"/>
                <w:szCs w:val="15"/>
              </w:rPr>
              <w:t xml:space="preserve">Assets </w:t>
            </w:r>
          </w:p>
        </w:tc>
        <w:tc>
          <w:tcPr>
            <w:tcW w:w="488" w:type="pct"/>
          </w:tcPr>
          <w:p w14:paraId="321EDAAC"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452" w:type="pct"/>
          </w:tcPr>
          <w:p w14:paraId="64B7C85B"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494" w:type="pct"/>
          </w:tcPr>
          <w:p w14:paraId="798E3D05"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479" w:type="pct"/>
          </w:tcPr>
          <w:p w14:paraId="60C7F395"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507" w:type="pct"/>
          </w:tcPr>
          <w:p w14:paraId="71D88440"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493" w:type="pct"/>
          </w:tcPr>
          <w:p w14:paraId="1A568563"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507" w:type="pct"/>
          </w:tcPr>
          <w:p w14:paraId="0447DD71"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506" w:type="pct"/>
          </w:tcPr>
          <w:p w14:paraId="5406ED8C"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r>
      <w:tr w:rsidR="00587444" w:rsidRPr="00587444" w14:paraId="15C616B6" w14:textId="77777777" w:rsidTr="00DD69E7">
        <w:tc>
          <w:tcPr>
            <w:tcW w:w="1074" w:type="pct"/>
            <w:vAlign w:val="bottom"/>
          </w:tcPr>
          <w:p w14:paraId="694C4FEA"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Cash on hand and current accounts with banks</w:t>
            </w:r>
          </w:p>
        </w:tc>
        <w:tc>
          <w:tcPr>
            <w:tcW w:w="488" w:type="pct"/>
            <w:vAlign w:val="bottom"/>
          </w:tcPr>
          <w:p w14:paraId="2FA2C2B6"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100,109 </w:t>
            </w:r>
          </w:p>
        </w:tc>
        <w:tc>
          <w:tcPr>
            <w:tcW w:w="452" w:type="pct"/>
            <w:vAlign w:val="bottom"/>
          </w:tcPr>
          <w:p w14:paraId="12149FE1"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94" w:type="pct"/>
            <w:vAlign w:val="bottom"/>
          </w:tcPr>
          <w:p w14:paraId="3C463376"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79" w:type="pct"/>
            <w:vAlign w:val="bottom"/>
          </w:tcPr>
          <w:p w14:paraId="6C30FC99"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507" w:type="pct"/>
            <w:vAlign w:val="bottom"/>
          </w:tcPr>
          <w:p w14:paraId="2E576568"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93" w:type="pct"/>
            <w:vAlign w:val="bottom"/>
          </w:tcPr>
          <w:p w14:paraId="69DA08F1"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1,616,410 </w:t>
            </w:r>
          </w:p>
        </w:tc>
        <w:tc>
          <w:tcPr>
            <w:tcW w:w="507" w:type="pct"/>
            <w:vAlign w:val="bottom"/>
          </w:tcPr>
          <w:p w14:paraId="6C95EE4C" w14:textId="77777777" w:rsidR="00587444" w:rsidRPr="00587444"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 xml:space="preserve"> 1,716,519 </w:t>
            </w:r>
          </w:p>
        </w:tc>
        <w:tc>
          <w:tcPr>
            <w:tcW w:w="506" w:type="pct"/>
            <w:vAlign w:val="bottom"/>
          </w:tcPr>
          <w:p w14:paraId="4EE3D743" w14:textId="77777777" w:rsidR="00587444" w:rsidRPr="00587444" w:rsidDel="00D96E20"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100,109 </w:t>
            </w:r>
          </w:p>
        </w:tc>
      </w:tr>
      <w:tr w:rsidR="00587444" w:rsidRPr="00587444" w14:paraId="18D9D4BD" w14:textId="77777777" w:rsidTr="00DD69E7">
        <w:tc>
          <w:tcPr>
            <w:tcW w:w="1074" w:type="pct"/>
            <w:vAlign w:val="bottom"/>
          </w:tcPr>
          <w:p w14:paraId="6B61F0C6"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Deposits with other banks </w:t>
            </w:r>
          </w:p>
        </w:tc>
        <w:tc>
          <w:tcPr>
            <w:tcW w:w="488" w:type="pct"/>
            <w:vAlign w:val="bottom"/>
          </w:tcPr>
          <w:p w14:paraId="275EBFA9"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52" w:type="pct"/>
            <w:vAlign w:val="bottom"/>
          </w:tcPr>
          <w:p w14:paraId="78EB873D"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94" w:type="pct"/>
            <w:vAlign w:val="bottom"/>
          </w:tcPr>
          <w:p w14:paraId="7EB02EFC"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79" w:type="pct"/>
            <w:vAlign w:val="bottom"/>
          </w:tcPr>
          <w:p w14:paraId="48077541"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507" w:type="pct"/>
            <w:vAlign w:val="bottom"/>
          </w:tcPr>
          <w:p w14:paraId="612A1441"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93" w:type="pct"/>
            <w:vAlign w:val="bottom"/>
          </w:tcPr>
          <w:p w14:paraId="2657F30E"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10,596 </w:t>
            </w:r>
          </w:p>
        </w:tc>
        <w:tc>
          <w:tcPr>
            <w:tcW w:w="507" w:type="pct"/>
            <w:vAlign w:val="bottom"/>
          </w:tcPr>
          <w:p w14:paraId="17143A14" w14:textId="77777777" w:rsidR="00587444" w:rsidRPr="00587444"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 xml:space="preserve"> 10,596 </w:t>
            </w:r>
          </w:p>
        </w:tc>
        <w:tc>
          <w:tcPr>
            <w:tcW w:w="506" w:type="pct"/>
            <w:vAlign w:val="bottom"/>
          </w:tcPr>
          <w:p w14:paraId="7E04CA82" w14:textId="77777777" w:rsidR="00587444" w:rsidRPr="00587444" w:rsidDel="00D96E20"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r>
      <w:tr w:rsidR="00587444" w:rsidRPr="00587444" w14:paraId="6D3B184E" w14:textId="77777777" w:rsidTr="00DD69E7">
        <w:tc>
          <w:tcPr>
            <w:tcW w:w="1074" w:type="pct"/>
            <w:vAlign w:val="bottom"/>
          </w:tcPr>
          <w:p w14:paraId="77C325B5"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financial institutions </w:t>
            </w:r>
          </w:p>
        </w:tc>
        <w:tc>
          <w:tcPr>
            <w:tcW w:w="488" w:type="pct"/>
            <w:tcBorders>
              <w:top w:val="nil"/>
              <w:left w:val="nil"/>
              <w:bottom w:val="nil"/>
              <w:right w:val="nil"/>
            </w:tcBorders>
            <w:vAlign w:val="bottom"/>
          </w:tcPr>
          <w:p w14:paraId="148A82CC"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241,456 </w:t>
            </w:r>
          </w:p>
        </w:tc>
        <w:tc>
          <w:tcPr>
            <w:tcW w:w="452" w:type="pct"/>
            <w:tcBorders>
              <w:top w:val="nil"/>
              <w:left w:val="nil"/>
              <w:bottom w:val="nil"/>
              <w:right w:val="nil"/>
            </w:tcBorders>
            <w:vAlign w:val="bottom"/>
          </w:tcPr>
          <w:p w14:paraId="20C89145"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285,706 </w:t>
            </w:r>
          </w:p>
        </w:tc>
        <w:tc>
          <w:tcPr>
            <w:tcW w:w="494" w:type="pct"/>
            <w:tcBorders>
              <w:top w:val="nil"/>
              <w:left w:val="nil"/>
              <w:bottom w:val="nil"/>
              <w:right w:val="nil"/>
            </w:tcBorders>
            <w:vAlign w:val="bottom"/>
          </w:tcPr>
          <w:p w14:paraId="4979D0A5"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824,255 </w:t>
            </w:r>
          </w:p>
        </w:tc>
        <w:tc>
          <w:tcPr>
            <w:tcW w:w="479" w:type="pct"/>
            <w:tcBorders>
              <w:top w:val="nil"/>
              <w:left w:val="nil"/>
              <w:bottom w:val="nil"/>
              <w:right w:val="nil"/>
            </w:tcBorders>
            <w:vAlign w:val="bottom"/>
          </w:tcPr>
          <w:p w14:paraId="614615D8"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1,881,654 </w:t>
            </w:r>
          </w:p>
        </w:tc>
        <w:tc>
          <w:tcPr>
            <w:tcW w:w="507" w:type="pct"/>
            <w:tcBorders>
              <w:top w:val="nil"/>
              <w:left w:val="nil"/>
              <w:bottom w:val="nil"/>
              <w:right w:val="nil"/>
            </w:tcBorders>
            <w:vAlign w:val="bottom"/>
          </w:tcPr>
          <w:p w14:paraId="58C0D962"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3,744,788 </w:t>
            </w:r>
          </w:p>
        </w:tc>
        <w:tc>
          <w:tcPr>
            <w:tcW w:w="493" w:type="pct"/>
            <w:tcBorders>
              <w:top w:val="nil"/>
              <w:left w:val="nil"/>
              <w:bottom w:val="nil"/>
              <w:right w:val="nil"/>
            </w:tcBorders>
            <w:vAlign w:val="bottom"/>
          </w:tcPr>
          <w:p w14:paraId="79605D3D"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6,853 </w:t>
            </w:r>
          </w:p>
        </w:tc>
        <w:tc>
          <w:tcPr>
            <w:tcW w:w="507" w:type="pct"/>
            <w:tcBorders>
              <w:top w:val="nil"/>
              <w:left w:val="nil"/>
              <w:bottom w:val="nil"/>
              <w:right w:val="nil"/>
            </w:tcBorders>
            <w:vAlign w:val="bottom"/>
          </w:tcPr>
          <w:p w14:paraId="00E5E8CC" w14:textId="77777777" w:rsidR="00587444" w:rsidRPr="00587444"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 xml:space="preserve"> 6,984,712 </w:t>
            </w:r>
          </w:p>
        </w:tc>
        <w:tc>
          <w:tcPr>
            <w:tcW w:w="506" w:type="pct"/>
            <w:tcBorders>
              <w:top w:val="nil"/>
              <w:left w:val="nil"/>
              <w:bottom w:val="nil"/>
              <w:right w:val="nil"/>
            </w:tcBorders>
            <w:vAlign w:val="bottom"/>
          </w:tcPr>
          <w:p w14:paraId="0F208280" w14:textId="77777777" w:rsidR="00587444" w:rsidRPr="00587444" w:rsidDel="00D96E20"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6,882,039 </w:t>
            </w:r>
          </w:p>
        </w:tc>
      </w:tr>
      <w:tr w:rsidR="00587444" w:rsidRPr="00587444" w14:paraId="47BB37F3" w14:textId="77777777" w:rsidTr="00DD69E7">
        <w:trPr>
          <w:trHeight w:val="309"/>
        </w:trPr>
        <w:tc>
          <w:tcPr>
            <w:tcW w:w="1074" w:type="pct"/>
            <w:vAlign w:val="bottom"/>
          </w:tcPr>
          <w:p w14:paraId="0F204955"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other customers </w:t>
            </w:r>
          </w:p>
        </w:tc>
        <w:tc>
          <w:tcPr>
            <w:tcW w:w="488" w:type="pct"/>
            <w:tcBorders>
              <w:top w:val="nil"/>
              <w:left w:val="nil"/>
              <w:bottom w:val="nil"/>
              <w:right w:val="nil"/>
            </w:tcBorders>
            <w:vAlign w:val="bottom"/>
          </w:tcPr>
          <w:p w14:paraId="64AA0DC8"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1,312,571 </w:t>
            </w:r>
          </w:p>
        </w:tc>
        <w:tc>
          <w:tcPr>
            <w:tcW w:w="452" w:type="pct"/>
            <w:tcBorders>
              <w:top w:val="nil"/>
              <w:left w:val="nil"/>
              <w:bottom w:val="nil"/>
              <w:right w:val="nil"/>
            </w:tcBorders>
            <w:vAlign w:val="bottom"/>
          </w:tcPr>
          <w:p w14:paraId="6ADF8B91"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821,349 </w:t>
            </w:r>
          </w:p>
        </w:tc>
        <w:tc>
          <w:tcPr>
            <w:tcW w:w="494" w:type="pct"/>
            <w:tcBorders>
              <w:top w:val="nil"/>
              <w:left w:val="nil"/>
              <w:bottom w:val="nil"/>
              <w:right w:val="nil"/>
            </w:tcBorders>
            <w:vAlign w:val="bottom"/>
          </w:tcPr>
          <w:p w14:paraId="1CFA38AF"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2,854,156 </w:t>
            </w:r>
          </w:p>
        </w:tc>
        <w:tc>
          <w:tcPr>
            <w:tcW w:w="479" w:type="pct"/>
            <w:tcBorders>
              <w:top w:val="nil"/>
              <w:left w:val="nil"/>
              <w:bottom w:val="nil"/>
              <w:right w:val="nil"/>
            </w:tcBorders>
            <w:vAlign w:val="bottom"/>
          </w:tcPr>
          <w:p w14:paraId="465D408E"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3,618,634 </w:t>
            </w:r>
          </w:p>
        </w:tc>
        <w:tc>
          <w:tcPr>
            <w:tcW w:w="507" w:type="pct"/>
            <w:tcBorders>
              <w:top w:val="nil"/>
              <w:left w:val="nil"/>
              <w:bottom w:val="nil"/>
              <w:right w:val="nil"/>
            </w:tcBorders>
            <w:vAlign w:val="bottom"/>
          </w:tcPr>
          <w:p w14:paraId="02825D28"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8,653,431 </w:t>
            </w:r>
          </w:p>
        </w:tc>
        <w:tc>
          <w:tcPr>
            <w:tcW w:w="493" w:type="pct"/>
            <w:tcBorders>
              <w:top w:val="nil"/>
              <w:left w:val="nil"/>
              <w:bottom w:val="nil"/>
              <w:right w:val="nil"/>
            </w:tcBorders>
            <w:vAlign w:val="bottom"/>
          </w:tcPr>
          <w:p w14:paraId="5E3C8BA4"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142,525 </w:t>
            </w:r>
          </w:p>
        </w:tc>
        <w:tc>
          <w:tcPr>
            <w:tcW w:w="507" w:type="pct"/>
            <w:tcBorders>
              <w:top w:val="nil"/>
              <w:left w:val="nil"/>
              <w:bottom w:val="nil"/>
              <w:right w:val="nil"/>
            </w:tcBorders>
            <w:vAlign w:val="bottom"/>
          </w:tcPr>
          <w:p w14:paraId="53C5F0B1" w14:textId="77777777" w:rsidR="00587444" w:rsidRPr="00587444"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 xml:space="preserve">17,402,666 </w:t>
            </w:r>
          </w:p>
        </w:tc>
        <w:tc>
          <w:tcPr>
            <w:tcW w:w="506" w:type="pct"/>
            <w:tcBorders>
              <w:top w:val="nil"/>
              <w:left w:val="nil"/>
              <w:bottom w:val="nil"/>
              <w:right w:val="nil"/>
            </w:tcBorders>
            <w:vAlign w:val="bottom"/>
          </w:tcPr>
          <w:p w14:paraId="6BAF862C" w14:textId="77777777" w:rsidR="00587444" w:rsidRPr="00587444" w:rsidDel="00D96E20"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16,032,437 </w:t>
            </w:r>
          </w:p>
        </w:tc>
      </w:tr>
      <w:tr w:rsidR="00587444" w:rsidRPr="00587444" w14:paraId="0C85F34C" w14:textId="77777777" w:rsidTr="00DD69E7">
        <w:tc>
          <w:tcPr>
            <w:tcW w:w="1074" w:type="pct"/>
          </w:tcPr>
          <w:p w14:paraId="745E49C1"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profit or loss</w:t>
            </w:r>
          </w:p>
        </w:tc>
        <w:tc>
          <w:tcPr>
            <w:tcW w:w="488" w:type="pct"/>
            <w:vAlign w:val="bottom"/>
          </w:tcPr>
          <w:p w14:paraId="60406134"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52" w:type="pct"/>
            <w:vAlign w:val="bottom"/>
          </w:tcPr>
          <w:p w14:paraId="20DDFDE8"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94" w:type="pct"/>
            <w:vAlign w:val="bottom"/>
          </w:tcPr>
          <w:p w14:paraId="7F6263FA"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79" w:type="pct"/>
            <w:vAlign w:val="bottom"/>
          </w:tcPr>
          <w:p w14:paraId="7CA25E96"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22,831 </w:t>
            </w:r>
          </w:p>
        </w:tc>
        <w:tc>
          <w:tcPr>
            <w:tcW w:w="507" w:type="pct"/>
            <w:vAlign w:val="bottom"/>
          </w:tcPr>
          <w:p w14:paraId="7C138890"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93" w:type="pct"/>
            <w:vAlign w:val="bottom"/>
          </w:tcPr>
          <w:p w14:paraId="146B080F"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108,692 </w:t>
            </w:r>
          </w:p>
        </w:tc>
        <w:tc>
          <w:tcPr>
            <w:tcW w:w="507" w:type="pct"/>
            <w:vAlign w:val="bottom"/>
          </w:tcPr>
          <w:p w14:paraId="6920D1C8" w14:textId="77777777" w:rsidR="00587444" w:rsidRPr="00587444"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 xml:space="preserve"> 131,523 </w:t>
            </w:r>
          </w:p>
        </w:tc>
        <w:tc>
          <w:tcPr>
            <w:tcW w:w="506" w:type="pct"/>
            <w:vAlign w:val="bottom"/>
          </w:tcPr>
          <w:p w14:paraId="2B1CD78D" w14:textId="77777777" w:rsidR="00587444" w:rsidRPr="00587444" w:rsidDel="00D96E20"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22,831 </w:t>
            </w:r>
          </w:p>
        </w:tc>
      </w:tr>
      <w:tr w:rsidR="00587444" w:rsidRPr="00587444" w14:paraId="4302348D" w14:textId="77777777" w:rsidTr="00DD69E7">
        <w:trPr>
          <w:trHeight w:val="519"/>
        </w:trPr>
        <w:tc>
          <w:tcPr>
            <w:tcW w:w="1074" w:type="pct"/>
          </w:tcPr>
          <w:p w14:paraId="09D3717F" w14:textId="77777777" w:rsidR="00587444" w:rsidRPr="00587444" w:rsidDel="0082071C" w:rsidRDefault="00587444" w:rsidP="00587444">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other comprehensive income</w:t>
            </w:r>
          </w:p>
        </w:tc>
        <w:tc>
          <w:tcPr>
            <w:tcW w:w="488" w:type="pct"/>
            <w:vAlign w:val="bottom"/>
          </w:tcPr>
          <w:p w14:paraId="0FB5C22C" w14:textId="77777777" w:rsidR="00587444" w:rsidRPr="00587444" w:rsidDel="008D408B"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2,572,370 </w:t>
            </w:r>
          </w:p>
        </w:tc>
        <w:tc>
          <w:tcPr>
            <w:tcW w:w="452" w:type="pct"/>
            <w:vAlign w:val="bottom"/>
          </w:tcPr>
          <w:p w14:paraId="4AE6CBD4" w14:textId="77777777" w:rsidR="00587444" w:rsidRPr="00587444" w:rsidDel="008D408B"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94" w:type="pct"/>
            <w:vAlign w:val="bottom"/>
          </w:tcPr>
          <w:p w14:paraId="1326668D" w14:textId="77777777" w:rsidR="00587444" w:rsidRPr="00587444" w:rsidDel="008D408B"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79" w:type="pct"/>
            <w:vAlign w:val="bottom"/>
          </w:tcPr>
          <w:p w14:paraId="4338DD3B" w14:textId="77777777" w:rsidR="00587444" w:rsidRPr="00587444" w:rsidDel="008D408B"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507" w:type="pct"/>
            <w:vAlign w:val="bottom"/>
          </w:tcPr>
          <w:p w14:paraId="778BE823" w14:textId="77777777" w:rsidR="00587444" w:rsidRPr="00587444" w:rsidDel="008D408B"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 </w:t>
            </w:r>
          </w:p>
        </w:tc>
        <w:tc>
          <w:tcPr>
            <w:tcW w:w="493" w:type="pct"/>
            <w:vAlign w:val="bottom"/>
          </w:tcPr>
          <w:p w14:paraId="4D558066" w14:textId="77777777" w:rsidR="00587444" w:rsidRPr="00587444" w:rsidDel="008D408B"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67,102 </w:t>
            </w:r>
          </w:p>
        </w:tc>
        <w:tc>
          <w:tcPr>
            <w:tcW w:w="507" w:type="pct"/>
            <w:vAlign w:val="bottom"/>
          </w:tcPr>
          <w:p w14:paraId="642BA24B" w14:textId="77777777" w:rsidR="00587444" w:rsidRPr="00587444" w:rsidDel="008D408B"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2,639,472 </w:t>
            </w:r>
          </w:p>
        </w:tc>
        <w:tc>
          <w:tcPr>
            <w:tcW w:w="506" w:type="pct"/>
            <w:vAlign w:val="bottom"/>
          </w:tcPr>
          <w:p w14:paraId="78FDFDE5" w14:textId="77777777" w:rsidR="00587444" w:rsidRPr="00587444" w:rsidDel="00D96E20"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 xml:space="preserve"> 2,572,370 </w:t>
            </w:r>
          </w:p>
        </w:tc>
      </w:tr>
      <w:tr w:rsidR="00587444" w:rsidRPr="00587444" w14:paraId="0729CB43" w14:textId="77777777" w:rsidTr="00DD69E7">
        <w:tc>
          <w:tcPr>
            <w:tcW w:w="1074" w:type="pct"/>
            <w:vAlign w:val="bottom"/>
          </w:tcPr>
          <w:p w14:paraId="46A6D087"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assets </w:t>
            </w:r>
          </w:p>
        </w:tc>
        <w:tc>
          <w:tcPr>
            <w:tcW w:w="488" w:type="pct"/>
            <w:tcBorders>
              <w:bottom w:val="single" w:sz="4" w:space="0" w:color="auto"/>
            </w:tcBorders>
            <w:vAlign w:val="bottom"/>
          </w:tcPr>
          <w:p w14:paraId="089A9394"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52" w:type="pct"/>
            <w:tcBorders>
              <w:bottom w:val="single" w:sz="4" w:space="0" w:color="auto"/>
            </w:tcBorders>
            <w:vAlign w:val="bottom"/>
          </w:tcPr>
          <w:p w14:paraId="2D1C41A6"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94" w:type="pct"/>
            <w:tcBorders>
              <w:bottom w:val="single" w:sz="4" w:space="0" w:color="auto"/>
            </w:tcBorders>
            <w:vAlign w:val="bottom"/>
          </w:tcPr>
          <w:p w14:paraId="300F4F94"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79" w:type="pct"/>
            <w:tcBorders>
              <w:bottom w:val="single" w:sz="4" w:space="0" w:color="auto"/>
            </w:tcBorders>
            <w:vAlign w:val="bottom"/>
          </w:tcPr>
          <w:p w14:paraId="566CA52D"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507" w:type="pct"/>
            <w:tcBorders>
              <w:bottom w:val="single" w:sz="4" w:space="0" w:color="auto"/>
            </w:tcBorders>
            <w:vAlign w:val="bottom"/>
          </w:tcPr>
          <w:p w14:paraId="210982F8"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93" w:type="pct"/>
            <w:tcBorders>
              <w:bottom w:val="single" w:sz="4" w:space="0" w:color="auto"/>
            </w:tcBorders>
            <w:vAlign w:val="bottom"/>
          </w:tcPr>
          <w:p w14:paraId="04F232D9"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28,192</w:t>
            </w:r>
          </w:p>
        </w:tc>
        <w:tc>
          <w:tcPr>
            <w:tcW w:w="507" w:type="pct"/>
            <w:tcBorders>
              <w:bottom w:val="single" w:sz="4" w:space="0" w:color="auto"/>
            </w:tcBorders>
            <w:vAlign w:val="bottom"/>
          </w:tcPr>
          <w:p w14:paraId="5A955EA3" w14:textId="77777777" w:rsidR="00587444" w:rsidRPr="00587444"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28,192</w:t>
            </w:r>
          </w:p>
        </w:tc>
        <w:tc>
          <w:tcPr>
            <w:tcW w:w="506" w:type="pct"/>
            <w:tcBorders>
              <w:bottom w:val="single" w:sz="4" w:space="0" w:color="auto"/>
            </w:tcBorders>
            <w:vAlign w:val="bottom"/>
          </w:tcPr>
          <w:p w14:paraId="2F5C68B6" w14:textId="77777777" w:rsidR="00587444" w:rsidRPr="00587444" w:rsidDel="00D96E20"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r>
      <w:tr w:rsidR="00587444" w:rsidRPr="00587444" w14:paraId="4AA6D3F9" w14:textId="77777777" w:rsidTr="00DD69E7">
        <w:trPr>
          <w:trHeight w:hRule="exact" w:val="407"/>
        </w:trPr>
        <w:tc>
          <w:tcPr>
            <w:tcW w:w="1074" w:type="pct"/>
            <w:vAlign w:val="bottom"/>
          </w:tcPr>
          <w:p w14:paraId="69678535" w14:textId="77777777" w:rsidR="00587444" w:rsidRPr="00587444" w:rsidRDefault="00587444" w:rsidP="00587444">
            <w:pPr>
              <w:tabs>
                <w:tab w:val="right" w:pos="1202"/>
              </w:tabs>
              <w:suppressAutoHyphens w:val="0"/>
              <w:autoSpaceDN/>
              <w:spacing w:line="320" w:lineRule="exact"/>
              <w:outlineLvl w:val="0"/>
              <w:rPr>
                <w:rFonts w:ascii="Arial" w:hAnsi="Arial" w:cs="Arial"/>
                <w:b/>
                <w:bCs/>
                <w:sz w:val="15"/>
                <w:szCs w:val="15"/>
              </w:rPr>
            </w:pPr>
            <w:bookmarkStart w:id="1285" w:name="_Toc4062749"/>
            <w:r w:rsidRPr="00587444">
              <w:rPr>
                <w:rFonts w:ascii="Arial" w:hAnsi="Arial" w:cs="Arial"/>
                <w:b/>
                <w:bCs/>
                <w:sz w:val="15"/>
                <w:szCs w:val="15"/>
              </w:rPr>
              <w:t>Total assets</w:t>
            </w:r>
            <w:bookmarkEnd w:id="1285"/>
          </w:p>
        </w:tc>
        <w:tc>
          <w:tcPr>
            <w:tcW w:w="488" w:type="pct"/>
            <w:tcBorders>
              <w:top w:val="nil"/>
              <w:left w:val="nil"/>
              <w:bottom w:val="single" w:sz="8" w:space="0" w:color="auto"/>
              <w:right w:val="nil"/>
            </w:tcBorders>
            <w:vAlign w:val="bottom"/>
          </w:tcPr>
          <w:p w14:paraId="436E211D" w14:textId="77777777" w:rsidR="00587444" w:rsidRPr="00587444" w:rsidRDefault="00587444" w:rsidP="00587444">
            <w:pPr>
              <w:suppressAutoHyphens w:val="0"/>
              <w:autoSpaceDN/>
              <w:spacing w:line="320" w:lineRule="exact"/>
              <w:jc w:val="right"/>
              <w:rPr>
                <w:rFonts w:ascii="Arial" w:hAnsi="Arial" w:cs="Arial"/>
                <w:b/>
                <w:bCs/>
                <w:color w:val="000000"/>
                <w:sz w:val="15"/>
                <w:szCs w:val="15"/>
              </w:rPr>
            </w:pPr>
            <w:r w:rsidRPr="00587444">
              <w:rPr>
                <w:rFonts w:ascii="Arial" w:eastAsia="Calibri" w:hAnsi="Arial" w:cs="Arial"/>
                <w:b/>
                <w:color w:val="000000"/>
                <w:sz w:val="15"/>
                <w:szCs w:val="15"/>
                <w:lang w:val="hr-HR"/>
              </w:rPr>
              <w:t xml:space="preserve"> 4,226,506 </w:t>
            </w:r>
          </w:p>
        </w:tc>
        <w:tc>
          <w:tcPr>
            <w:tcW w:w="452" w:type="pct"/>
            <w:tcBorders>
              <w:top w:val="nil"/>
              <w:left w:val="nil"/>
              <w:bottom w:val="single" w:sz="8" w:space="0" w:color="auto"/>
              <w:right w:val="nil"/>
            </w:tcBorders>
            <w:vAlign w:val="bottom"/>
          </w:tcPr>
          <w:p w14:paraId="72F92DB9" w14:textId="77777777" w:rsidR="00587444" w:rsidRPr="00587444" w:rsidRDefault="00587444" w:rsidP="00587444">
            <w:pPr>
              <w:suppressAutoHyphens w:val="0"/>
              <w:autoSpaceDN/>
              <w:spacing w:line="320" w:lineRule="exact"/>
              <w:jc w:val="right"/>
              <w:rPr>
                <w:rFonts w:ascii="Arial" w:hAnsi="Arial" w:cs="Arial"/>
                <w:b/>
                <w:bCs/>
                <w:color w:val="000000"/>
                <w:sz w:val="15"/>
                <w:szCs w:val="15"/>
              </w:rPr>
            </w:pPr>
            <w:r w:rsidRPr="00587444">
              <w:rPr>
                <w:rFonts w:ascii="Arial" w:eastAsia="Calibri" w:hAnsi="Arial" w:cs="Arial"/>
                <w:b/>
                <w:color w:val="000000"/>
                <w:sz w:val="15"/>
                <w:szCs w:val="15"/>
                <w:lang w:val="hr-HR"/>
              </w:rPr>
              <w:t xml:space="preserve">1,107,055 </w:t>
            </w:r>
          </w:p>
        </w:tc>
        <w:tc>
          <w:tcPr>
            <w:tcW w:w="494" w:type="pct"/>
            <w:tcBorders>
              <w:top w:val="nil"/>
              <w:left w:val="nil"/>
              <w:bottom w:val="single" w:sz="8" w:space="0" w:color="auto"/>
              <w:right w:val="nil"/>
            </w:tcBorders>
            <w:vAlign w:val="bottom"/>
          </w:tcPr>
          <w:p w14:paraId="5C5C0A64" w14:textId="77777777" w:rsidR="00587444" w:rsidRPr="00587444" w:rsidRDefault="00587444" w:rsidP="00587444">
            <w:pPr>
              <w:suppressAutoHyphens w:val="0"/>
              <w:autoSpaceDN/>
              <w:spacing w:line="320" w:lineRule="exact"/>
              <w:jc w:val="right"/>
              <w:rPr>
                <w:rFonts w:ascii="Arial" w:hAnsi="Arial" w:cs="Arial"/>
                <w:b/>
                <w:bCs/>
                <w:color w:val="000000"/>
                <w:sz w:val="15"/>
                <w:szCs w:val="15"/>
              </w:rPr>
            </w:pPr>
            <w:r w:rsidRPr="00587444">
              <w:rPr>
                <w:rFonts w:ascii="Arial" w:eastAsia="Calibri" w:hAnsi="Arial" w:cs="Arial"/>
                <w:b/>
                <w:color w:val="000000"/>
                <w:sz w:val="15"/>
                <w:szCs w:val="15"/>
                <w:lang w:val="hr-HR"/>
              </w:rPr>
              <w:t xml:space="preserve"> 3,678,411 </w:t>
            </w:r>
          </w:p>
        </w:tc>
        <w:tc>
          <w:tcPr>
            <w:tcW w:w="479" w:type="pct"/>
            <w:tcBorders>
              <w:top w:val="nil"/>
              <w:left w:val="nil"/>
              <w:bottom w:val="single" w:sz="8" w:space="0" w:color="auto"/>
              <w:right w:val="nil"/>
            </w:tcBorders>
            <w:vAlign w:val="bottom"/>
          </w:tcPr>
          <w:p w14:paraId="520785A7" w14:textId="77777777" w:rsidR="00587444" w:rsidRPr="00587444" w:rsidRDefault="00587444" w:rsidP="00587444">
            <w:pPr>
              <w:suppressAutoHyphens w:val="0"/>
              <w:autoSpaceDN/>
              <w:spacing w:line="320" w:lineRule="exact"/>
              <w:jc w:val="right"/>
              <w:rPr>
                <w:rFonts w:ascii="Arial" w:hAnsi="Arial" w:cs="Arial"/>
                <w:b/>
                <w:bCs/>
                <w:color w:val="000000"/>
                <w:sz w:val="15"/>
                <w:szCs w:val="15"/>
              </w:rPr>
            </w:pPr>
            <w:r w:rsidRPr="00587444">
              <w:rPr>
                <w:rFonts w:ascii="Arial" w:eastAsia="Calibri" w:hAnsi="Arial" w:cs="Arial"/>
                <w:b/>
                <w:color w:val="000000"/>
                <w:sz w:val="15"/>
                <w:szCs w:val="15"/>
                <w:lang w:val="hr-HR"/>
              </w:rPr>
              <w:t xml:space="preserve"> 5,523,119 </w:t>
            </w:r>
          </w:p>
        </w:tc>
        <w:tc>
          <w:tcPr>
            <w:tcW w:w="507" w:type="pct"/>
            <w:tcBorders>
              <w:top w:val="nil"/>
              <w:left w:val="nil"/>
              <w:bottom w:val="single" w:sz="8" w:space="0" w:color="auto"/>
              <w:right w:val="nil"/>
            </w:tcBorders>
            <w:vAlign w:val="bottom"/>
          </w:tcPr>
          <w:p w14:paraId="059F4405" w14:textId="77777777" w:rsidR="00587444" w:rsidRPr="00587444" w:rsidRDefault="00587444" w:rsidP="00587444">
            <w:pPr>
              <w:suppressAutoHyphens w:val="0"/>
              <w:autoSpaceDN/>
              <w:spacing w:line="320" w:lineRule="exact"/>
              <w:jc w:val="right"/>
              <w:rPr>
                <w:rFonts w:ascii="Arial" w:hAnsi="Arial" w:cs="Arial"/>
                <w:b/>
                <w:bCs/>
                <w:color w:val="000000"/>
                <w:sz w:val="15"/>
                <w:szCs w:val="15"/>
              </w:rPr>
            </w:pPr>
            <w:r w:rsidRPr="00587444">
              <w:rPr>
                <w:rFonts w:ascii="Arial" w:eastAsia="Calibri" w:hAnsi="Arial" w:cs="Arial"/>
                <w:b/>
                <w:color w:val="000000"/>
                <w:sz w:val="15"/>
                <w:szCs w:val="15"/>
                <w:lang w:val="hr-HR"/>
              </w:rPr>
              <w:t xml:space="preserve">12,398,219 </w:t>
            </w:r>
          </w:p>
        </w:tc>
        <w:tc>
          <w:tcPr>
            <w:tcW w:w="493" w:type="pct"/>
            <w:tcBorders>
              <w:top w:val="nil"/>
              <w:left w:val="nil"/>
              <w:bottom w:val="single" w:sz="8" w:space="0" w:color="auto"/>
              <w:right w:val="nil"/>
            </w:tcBorders>
            <w:vAlign w:val="bottom"/>
          </w:tcPr>
          <w:p w14:paraId="4A0119F4" w14:textId="77777777" w:rsidR="00587444" w:rsidRPr="00587444" w:rsidRDefault="00587444" w:rsidP="00587444">
            <w:pPr>
              <w:suppressAutoHyphens w:val="0"/>
              <w:autoSpaceDN/>
              <w:spacing w:line="320" w:lineRule="exact"/>
              <w:jc w:val="right"/>
              <w:rPr>
                <w:rFonts w:ascii="Arial" w:hAnsi="Arial" w:cs="Arial"/>
                <w:b/>
                <w:bCs/>
                <w:color w:val="000000"/>
                <w:sz w:val="15"/>
                <w:szCs w:val="15"/>
              </w:rPr>
            </w:pPr>
            <w:r w:rsidRPr="00587444">
              <w:rPr>
                <w:rFonts w:ascii="Arial" w:eastAsia="Calibri" w:hAnsi="Arial" w:cs="Arial"/>
                <w:b/>
                <w:color w:val="000000"/>
                <w:sz w:val="15"/>
                <w:szCs w:val="15"/>
                <w:lang w:val="hr-HR"/>
              </w:rPr>
              <w:t xml:space="preserve"> 1,980,370 </w:t>
            </w:r>
          </w:p>
        </w:tc>
        <w:tc>
          <w:tcPr>
            <w:tcW w:w="507" w:type="pct"/>
            <w:tcBorders>
              <w:top w:val="nil"/>
              <w:left w:val="nil"/>
              <w:bottom w:val="single" w:sz="8" w:space="0" w:color="auto"/>
              <w:right w:val="nil"/>
            </w:tcBorders>
            <w:vAlign w:val="bottom"/>
          </w:tcPr>
          <w:p w14:paraId="274D90F1" w14:textId="77777777" w:rsidR="00587444" w:rsidRPr="00587444" w:rsidRDefault="00587444" w:rsidP="00587444">
            <w:pPr>
              <w:suppressAutoHyphens w:val="0"/>
              <w:autoSpaceDN/>
              <w:spacing w:line="320" w:lineRule="exact"/>
              <w:jc w:val="right"/>
              <w:rPr>
                <w:rFonts w:ascii="Arial" w:hAnsi="Arial" w:cs="Arial"/>
                <w:b/>
                <w:bCs/>
                <w:color w:val="000000"/>
                <w:sz w:val="15"/>
                <w:szCs w:val="15"/>
              </w:rPr>
            </w:pPr>
            <w:r w:rsidRPr="00587444">
              <w:rPr>
                <w:rFonts w:ascii="Arial" w:eastAsia="Calibri" w:hAnsi="Arial" w:cs="Arial"/>
                <w:b/>
                <w:color w:val="000000"/>
                <w:sz w:val="15"/>
                <w:szCs w:val="15"/>
                <w:lang w:val="hr-HR"/>
              </w:rPr>
              <w:t xml:space="preserve">28,913,680 </w:t>
            </w:r>
          </w:p>
        </w:tc>
        <w:tc>
          <w:tcPr>
            <w:tcW w:w="506" w:type="pct"/>
            <w:tcBorders>
              <w:top w:val="nil"/>
              <w:left w:val="nil"/>
              <w:bottom w:val="single" w:sz="8" w:space="0" w:color="auto"/>
              <w:right w:val="nil"/>
            </w:tcBorders>
            <w:vAlign w:val="bottom"/>
          </w:tcPr>
          <w:p w14:paraId="65BE2538" w14:textId="77777777" w:rsidR="00587444" w:rsidRPr="00587444" w:rsidDel="00D96E20" w:rsidRDefault="00587444" w:rsidP="00587444">
            <w:pPr>
              <w:suppressAutoHyphens w:val="0"/>
              <w:autoSpaceDN/>
              <w:spacing w:line="320" w:lineRule="exact"/>
              <w:jc w:val="right"/>
              <w:rPr>
                <w:rFonts w:ascii="Arial" w:hAnsi="Arial" w:cs="Arial"/>
                <w:b/>
                <w:bCs/>
                <w:color w:val="000000"/>
                <w:sz w:val="15"/>
                <w:szCs w:val="15"/>
              </w:rPr>
            </w:pPr>
            <w:r w:rsidRPr="00587444">
              <w:rPr>
                <w:rFonts w:ascii="Arial" w:eastAsia="Calibri" w:hAnsi="Arial" w:cs="Arial"/>
                <w:b/>
                <w:color w:val="000000"/>
                <w:sz w:val="15"/>
                <w:szCs w:val="15"/>
                <w:lang w:val="hr-HR"/>
              </w:rPr>
              <w:t xml:space="preserve">25,609,786 </w:t>
            </w:r>
          </w:p>
        </w:tc>
      </w:tr>
      <w:tr w:rsidR="00587444" w:rsidRPr="00587444" w14:paraId="7EC167D4" w14:textId="77777777" w:rsidTr="00DD69E7">
        <w:trPr>
          <w:trHeight w:hRule="exact" w:val="295"/>
        </w:trPr>
        <w:tc>
          <w:tcPr>
            <w:tcW w:w="1074" w:type="pct"/>
            <w:vAlign w:val="bottom"/>
          </w:tcPr>
          <w:p w14:paraId="7D1ED03E" w14:textId="77777777" w:rsidR="00587444" w:rsidRPr="00587444" w:rsidRDefault="00587444" w:rsidP="00587444">
            <w:pPr>
              <w:tabs>
                <w:tab w:val="right" w:pos="1202"/>
              </w:tabs>
              <w:suppressAutoHyphens w:val="0"/>
              <w:autoSpaceDN/>
              <w:spacing w:line="320" w:lineRule="exact"/>
              <w:outlineLvl w:val="0"/>
              <w:rPr>
                <w:rFonts w:ascii="Arial" w:hAnsi="Arial" w:cs="Arial"/>
                <w:b/>
                <w:bCs/>
                <w:sz w:val="15"/>
                <w:szCs w:val="15"/>
              </w:rPr>
            </w:pPr>
          </w:p>
        </w:tc>
        <w:tc>
          <w:tcPr>
            <w:tcW w:w="488" w:type="pct"/>
            <w:tcBorders>
              <w:top w:val="single" w:sz="12" w:space="0" w:color="auto"/>
              <w:left w:val="nil"/>
              <w:right w:val="nil"/>
            </w:tcBorders>
            <w:vAlign w:val="bottom"/>
          </w:tcPr>
          <w:p w14:paraId="2227E418"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52" w:type="pct"/>
            <w:tcBorders>
              <w:top w:val="single" w:sz="12" w:space="0" w:color="auto"/>
              <w:left w:val="nil"/>
              <w:right w:val="nil"/>
            </w:tcBorders>
            <w:vAlign w:val="bottom"/>
          </w:tcPr>
          <w:p w14:paraId="6F663313"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94" w:type="pct"/>
            <w:tcBorders>
              <w:top w:val="single" w:sz="12" w:space="0" w:color="auto"/>
              <w:left w:val="nil"/>
              <w:right w:val="nil"/>
            </w:tcBorders>
            <w:vAlign w:val="bottom"/>
          </w:tcPr>
          <w:p w14:paraId="3EC24F3F"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79" w:type="pct"/>
            <w:tcBorders>
              <w:top w:val="single" w:sz="12" w:space="0" w:color="auto"/>
              <w:left w:val="nil"/>
              <w:right w:val="nil"/>
            </w:tcBorders>
            <w:vAlign w:val="bottom"/>
          </w:tcPr>
          <w:p w14:paraId="3F66FABB"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507" w:type="pct"/>
            <w:tcBorders>
              <w:top w:val="single" w:sz="12" w:space="0" w:color="auto"/>
              <w:left w:val="nil"/>
              <w:right w:val="nil"/>
            </w:tcBorders>
            <w:vAlign w:val="bottom"/>
          </w:tcPr>
          <w:p w14:paraId="6CAD9F6A"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93" w:type="pct"/>
            <w:tcBorders>
              <w:top w:val="single" w:sz="12" w:space="0" w:color="auto"/>
              <w:left w:val="nil"/>
              <w:right w:val="nil"/>
            </w:tcBorders>
            <w:vAlign w:val="bottom"/>
          </w:tcPr>
          <w:p w14:paraId="5BC98A49"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507" w:type="pct"/>
            <w:tcBorders>
              <w:top w:val="single" w:sz="12" w:space="0" w:color="auto"/>
              <w:left w:val="nil"/>
              <w:right w:val="nil"/>
            </w:tcBorders>
            <w:vAlign w:val="bottom"/>
          </w:tcPr>
          <w:p w14:paraId="5DCAF832"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506" w:type="pct"/>
            <w:tcBorders>
              <w:top w:val="single" w:sz="12" w:space="0" w:color="auto"/>
              <w:left w:val="nil"/>
              <w:right w:val="nil"/>
            </w:tcBorders>
            <w:vAlign w:val="bottom"/>
          </w:tcPr>
          <w:p w14:paraId="4EA082A9"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p>
        </w:tc>
      </w:tr>
      <w:tr w:rsidR="00587444" w:rsidRPr="00587444" w14:paraId="0C357A4C" w14:textId="77777777" w:rsidTr="00DD69E7">
        <w:trPr>
          <w:trHeight w:hRule="exact" w:val="279"/>
        </w:trPr>
        <w:tc>
          <w:tcPr>
            <w:tcW w:w="1074" w:type="pct"/>
          </w:tcPr>
          <w:p w14:paraId="5CB9396F" w14:textId="77777777" w:rsidR="00587444" w:rsidRPr="00587444" w:rsidRDefault="00587444" w:rsidP="00587444">
            <w:pPr>
              <w:tabs>
                <w:tab w:val="right" w:pos="1202"/>
              </w:tabs>
              <w:suppressAutoHyphens w:val="0"/>
              <w:autoSpaceDN/>
              <w:spacing w:line="320" w:lineRule="exact"/>
              <w:outlineLvl w:val="0"/>
              <w:rPr>
                <w:rFonts w:ascii="Arial" w:hAnsi="Arial" w:cs="Arial"/>
                <w:b/>
                <w:bCs/>
                <w:sz w:val="15"/>
                <w:szCs w:val="15"/>
              </w:rPr>
            </w:pPr>
            <w:bookmarkStart w:id="1286" w:name="_Toc4062750"/>
            <w:r w:rsidRPr="00587444">
              <w:rPr>
                <w:rFonts w:ascii="Arial" w:hAnsi="Arial" w:cs="Arial"/>
                <w:b/>
                <w:bCs/>
                <w:sz w:val="15"/>
                <w:szCs w:val="15"/>
              </w:rPr>
              <w:t>Liabilities</w:t>
            </w:r>
            <w:bookmarkEnd w:id="1286"/>
            <w:r w:rsidRPr="00587444">
              <w:rPr>
                <w:rFonts w:ascii="Arial" w:hAnsi="Arial" w:cs="Arial"/>
                <w:b/>
                <w:bCs/>
                <w:sz w:val="15"/>
                <w:szCs w:val="15"/>
              </w:rPr>
              <w:t xml:space="preserve"> </w:t>
            </w:r>
          </w:p>
        </w:tc>
        <w:tc>
          <w:tcPr>
            <w:tcW w:w="488" w:type="pct"/>
            <w:tcBorders>
              <w:left w:val="nil"/>
              <w:right w:val="nil"/>
            </w:tcBorders>
            <w:vAlign w:val="bottom"/>
          </w:tcPr>
          <w:p w14:paraId="48DD3642"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52" w:type="pct"/>
            <w:tcBorders>
              <w:left w:val="nil"/>
              <w:right w:val="nil"/>
            </w:tcBorders>
            <w:vAlign w:val="bottom"/>
          </w:tcPr>
          <w:p w14:paraId="69776122"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94" w:type="pct"/>
            <w:tcBorders>
              <w:left w:val="nil"/>
              <w:right w:val="nil"/>
            </w:tcBorders>
            <w:vAlign w:val="bottom"/>
          </w:tcPr>
          <w:p w14:paraId="23D6496B"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79" w:type="pct"/>
            <w:tcBorders>
              <w:left w:val="nil"/>
              <w:right w:val="nil"/>
            </w:tcBorders>
            <w:vAlign w:val="bottom"/>
          </w:tcPr>
          <w:p w14:paraId="6ECB4F35"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507" w:type="pct"/>
            <w:tcBorders>
              <w:left w:val="nil"/>
              <w:right w:val="nil"/>
            </w:tcBorders>
            <w:vAlign w:val="bottom"/>
          </w:tcPr>
          <w:p w14:paraId="08AA8D15"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93" w:type="pct"/>
            <w:tcBorders>
              <w:left w:val="nil"/>
              <w:right w:val="nil"/>
            </w:tcBorders>
            <w:vAlign w:val="bottom"/>
          </w:tcPr>
          <w:p w14:paraId="11F3169A"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507" w:type="pct"/>
            <w:tcBorders>
              <w:left w:val="nil"/>
              <w:right w:val="nil"/>
            </w:tcBorders>
            <w:vAlign w:val="bottom"/>
          </w:tcPr>
          <w:p w14:paraId="35B6DFB9"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506" w:type="pct"/>
            <w:tcBorders>
              <w:left w:val="nil"/>
              <w:right w:val="nil"/>
            </w:tcBorders>
            <w:vAlign w:val="bottom"/>
          </w:tcPr>
          <w:p w14:paraId="43B18483"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p>
        </w:tc>
      </w:tr>
      <w:tr w:rsidR="00587444" w:rsidRPr="00587444" w14:paraId="2CD82CB1" w14:textId="77777777" w:rsidTr="00DD69E7">
        <w:trPr>
          <w:trHeight w:hRule="exact" w:val="285"/>
        </w:trPr>
        <w:tc>
          <w:tcPr>
            <w:tcW w:w="1074" w:type="pct"/>
            <w:vAlign w:val="center"/>
          </w:tcPr>
          <w:p w14:paraId="7AA16DE1" w14:textId="77777777" w:rsidR="00587444" w:rsidRPr="00587444" w:rsidRDefault="00587444" w:rsidP="00587444">
            <w:pPr>
              <w:tabs>
                <w:tab w:val="right" w:pos="1202"/>
              </w:tabs>
              <w:suppressAutoHyphens w:val="0"/>
              <w:autoSpaceDN/>
              <w:spacing w:line="320" w:lineRule="exact"/>
              <w:outlineLvl w:val="0"/>
              <w:rPr>
                <w:rFonts w:ascii="Arial" w:hAnsi="Arial" w:cs="Arial"/>
                <w:b/>
                <w:bCs/>
                <w:sz w:val="15"/>
                <w:szCs w:val="15"/>
              </w:rPr>
            </w:pPr>
            <w:bookmarkStart w:id="1287" w:name="_Toc4062751"/>
            <w:r w:rsidRPr="00587444">
              <w:rPr>
                <w:rFonts w:ascii="Arial" w:hAnsi="Arial" w:cs="Arial"/>
                <w:spacing w:val="-2"/>
                <w:sz w:val="15"/>
                <w:szCs w:val="15"/>
              </w:rPr>
              <w:t>Deposits from customers</w:t>
            </w:r>
            <w:bookmarkEnd w:id="1287"/>
            <w:r w:rsidRPr="00587444">
              <w:rPr>
                <w:rFonts w:ascii="Arial" w:hAnsi="Arial" w:cs="Arial"/>
                <w:spacing w:val="-2"/>
                <w:sz w:val="15"/>
                <w:szCs w:val="15"/>
              </w:rPr>
              <w:t xml:space="preserve"> </w:t>
            </w:r>
          </w:p>
        </w:tc>
        <w:tc>
          <w:tcPr>
            <w:tcW w:w="488" w:type="pct"/>
            <w:tcBorders>
              <w:top w:val="nil"/>
              <w:left w:val="nil"/>
              <w:bottom w:val="nil"/>
              <w:right w:val="nil"/>
            </w:tcBorders>
            <w:vAlign w:val="bottom"/>
          </w:tcPr>
          <w:p w14:paraId="1E013A64"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150,690 </w:t>
            </w:r>
          </w:p>
        </w:tc>
        <w:tc>
          <w:tcPr>
            <w:tcW w:w="452" w:type="pct"/>
            <w:tcBorders>
              <w:top w:val="nil"/>
              <w:left w:val="nil"/>
              <w:bottom w:val="nil"/>
              <w:right w:val="nil"/>
            </w:tcBorders>
            <w:vAlign w:val="bottom"/>
          </w:tcPr>
          <w:p w14:paraId="3029C64D"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 </w:t>
            </w:r>
          </w:p>
        </w:tc>
        <w:tc>
          <w:tcPr>
            <w:tcW w:w="494" w:type="pct"/>
            <w:tcBorders>
              <w:top w:val="nil"/>
              <w:left w:val="nil"/>
              <w:bottom w:val="nil"/>
              <w:right w:val="nil"/>
            </w:tcBorders>
            <w:vAlign w:val="bottom"/>
          </w:tcPr>
          <w:p w14:paraId="4DA945BF"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 </w:t>
            </w:r>
          </w:p>
        </w:tc>
        <w:tc>
          <w:tcPr>
            <w:tcW w:w="479" w:type="pct"/>
            <w:tcBorders>
              <w:top w:val="nil"/>
              <w:left w:val="nil"/>
              <w:bottom w:val="nil"/>
              <w:right w:val="nil"/>
            </w:tcBorders>
            <w:vAlign w:val="bottom"/>
          </w:tcPr>
          <w:p w14:paraId="71E59F0E"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 </w:t>
            </w:r>
          </w:p>
        </w:tc>
        <w:tc>
          <w:tcPr>
            <w:tcW w:w="507" w:type="pct"/>
            <w:tcBorders>
              <w:top w:val="nil"/>
              <w:left w:val="nil"/>
              <w:bottom w:val="nil"/>
              <w:right w:val="nil"/>
            </w:tcBorders>
            <w:vAlign w:val="bottom"/>
          </w:tcPr>
          <w:p w14:paraId="1113C0CB"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 </w:t>
            </w:r>
          </w:p>
        </w:tc>
        <w:tc>
          <w:tcPr>
            <w:tcW w:w="493" w:type="pct"/>
            <w:tcBorders>
              <w:top w:val="nil"/>
              <w:left w:val="nil"/>
              <w:bottom w:val="nil"/>
              <w:right w:val="nil"/>
            </w:tcBorders>
            <w:vAlign w:val="bottom"/>
          </w:tcPr>
          <w:p w14:paraId="3DD7E405"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873,933 </w:t>
            </w:r>
          </w:p>
        </w:tc>
        <w:tc>
          <w:tcPr>
            <w:tcW w:w="507" w:type="pct"/>
            <w:tcBorders>
              <w:top w:val="nil"/>
              <w:left w:val="nil"/>
              <w:bottom w:val="nil"/>
              <w:right w:val="nil"/>
            </w:tcBorders>
            <w:vAlign w:val="bottom"/>
          </w:tcPr>
          <w:p w14:paraId="1E53571B"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1,024,623 </w:t>
            </w:r>
          </w:p>
        </w:tc>
        <w:tc>
          <w:tcPr>
            <w:tcW w:w="506" w:type="pct"/>
            <w:tcBorders>
              <w:top w:val="nil"/>
              <w:left w:val="nil"/>
              <w:bottom w:val="nil"/>
              <w:right w:val="nil"/>
            </w:tcBorders>
            <w:vAlign w:val="bottom"/>
          </w:tcPr>
          <w:p w14:paraId="7E415EA0"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150,690 </w:t>
            </w:r>
          </w:p>
        </w:tc>
      </w:tr>
      <w:tr w:rsidR="00587444" w:rsidRPr="00587444" w14:paraId="7E711181" w14:textId="77777777" w:rsidTr="00DD69E7">
        <w:trPr>
          <w:trHeight w:hRule="exact" w:val="277"/>
        </w:trPr>
        <w:tc>
          <w:tcPr>
            <w:tcW w:w="1074" w:type="pct"/>
          </w:tcPr>
          <w:p w14:paraId="7C3752D8"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Borrowings </w:t>
            </w:r>
          </w:p>
        </w:tc>
        <w:tc>
          <w:tcPr>
            <w:tcW w:w="488" w:type="pct"/>
            <w:tcBorders>
              <w:top w:val="nil"/>
              <w:left w:val="nil"/>
              <w:bottom w:val="nil"/>
              <w:right w:val="nil"/>
            </w:tcBorders>
            <w:vAlign w:val="bottom"/>
          </w:tcPr>
          <w:p w14:paraId="717232C9" w14:textId="77777777" w:rsidR="00587444" w:rsidRPr="00587444" w:rsidRDefault="00587444" w:rsidP="00587444">
            <w:pPr>
              <w:suppressAutoHyphens w:val="0"/>
              <w:autoSpaceDN/>
              <w:spacing w:line="28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555,327 </w:t>
            </w:r>
          </w:p>
        </w:tc>
        <w:tc>
          <w:tcPr>
            <w:tcW w:w="452" w:type="pct"/>
            <w:tcBorders>
              <w:top w:val="nil"/>
              <w:left w:val="nil"/>
              <w:bottom w:val="nil"/>
              <w:right w:val="nil"/>
            </w:tcBorders>
            <w:vAlign w:val="bottom"/>
          </w:tcPr>
          <w:p w14:paraId="45132ED9" w14:textId="77777777" w:rsidR="00587444" w:rsidRPr="00587444" w:rsidRDefault="00587444" w:rsidP="00587444">
            <w:pPr>
              <w:suppressAutoHyphens w:val="0"/>
              <w:autoSpaceDN/>
              <w:spacing w:line="28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290,734 </w:t>
            </w:r>
          </w:p>
        </w:tc>
        <w:tc>
          <w:tcPr>
            <w:tcW w:w="494" w:type="pct"/>
            <w:tcBorders>
              <w:top w:val="nil"/>
              <w:left w:val="nil"/>
              <w:bottom w:val="nil"/>
              <w:right w:val="nil"/>
            </w:tcBorders>
            <w:vAlign w:val="bottom"/>
          </w:tcPr>
          <w:p w14:paraId="0BF90EFB" w14:textId="77777777" w:rsidR="00587444" w:rsidRPr="00587444" w:rsidRDefault="00587444" w:rsidP="00587444">
            <w:pPr>
              <w:suppressAutoHyphens w:val="0"/>
              <w:autoSpaceDN/>
              <w:spacing w:line="28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3,396,753 </w:t>
            </w:r>
          </w:p>
        </w:tc>
        <w:tc>
          <w:tcPr>
            <w:tcW w:w="479" w:type="pct"/>
            <w:tcBorders>
              <w:top w:val="nil"/>
              <w:left w:val="nil"/>
              <w:bottom w:val="nil"/>
              <w:right w:val="nil"/>
            </w:tcBorders>
            <w:vAlign w:val="bottom"/>
          </w:tcPr>
          <w:p w14:paraId="6CC065FC" w14:textId="77777777" w:rsidR="00587444" w:rsidRPr="00587444" w:rsidRDefault="00587444" w:rsidP="00587444">
            <w:pPr>
              <w:suppressAutoHyphens w:val="0"/>
              <w:autoSpaceDN/>
              <w:spacing w:line="28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5,288,877 </w:t>
            </w:r>
          </w:p>
        </w:tc>
        <w:tc>
          <w:tcPr>
            <w:tcW w:w="507" w:type="pct"/>
            <w:tcBorders>
              <w:top w:val="nil"/>
              <w:left w:val="nil"/>
              <w:bottom w:val="nil"/>
              <w:right w:val="nil"/>
            </w:tcBorders>
            <w:vAlign w:val="bottom"/>
          </w:tcPr>
          <w:p w14:paraId="2C15543B" w14:textId="77777777" w:rsidR="00587444" w:rsidRPr="00587444" w:rsidRDefault="00587444" w:rsidP="00587444">
            <w:pPr>
              <w:suppressAutoHyphens w:val="0"/>
              <w:autoSpaceDN/>
              <w:spacing w:line="28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6,939,483 </w:t>
            </w:r>
          </w:p>
        </w:tc>
        <w:tc>
          <w:tcPr>
            <w:tcW w:w="493" w:type="pct"/>
            <w:tcBorders>
              <w:top w:val="nil"/>
              <w:left w:val="nil"/>
              <w:bottom w:val="nil"/>
              <w:right w:val="nil"/>
            </w:tcBorders>
            <w:vAlign w:val="bottom"/>
          </w:tcPr>
          <w:p w14:paraId="494D33A0" w14:textId="77777777" w:rsidR="00587444" w:rsidRPr="00587444" w:rsidRDefault="00587444" w:rsidP="00587444">
            <w:pPr>
              <w:suppressAutoHyphens w:val="0"/>
              <w:autoSpaceDN/>
              <w:spacing w:line="28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30,102 </w:t>
            </w:r>
          </w:p>
        </w:tc>
        <w:tc>
          <w:tcPr>
            <w:tcW w:w="507" w:type="pct"/>
            <w:tcBorders>
              <w:top w:val="nil"/>
              <w:left w:val="nil"/>
              <w:bottom w:val="nil"/>
              <w:right w:val="nil"/>
            </w:tcBorders>
            <w:vAlign w:val="bottom"/>
          </w:tcPr>
          <w:p w14:paraId="31C252F3" w14:textId="77777777" w:rsidR="00587444" w:rsidRPr="00587444" w:rsidRDefault="00587444" w:rsidP="00587444">
            <w:pPr>
              <w:suppressAutoHyphens w:val="0"/>
              <w:autoSpaceDN/>
              <w:spacing w:line="28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16,501,276 </w:t>
            </w:r>
          </w:p>
        </w:tc>
        <w:tc>
          <w:tcPr>
            <w:tcW w:w="506" w:type="pct"/>
            <w:tcBorders>
              <w:top w:val="nil"/>
              <w:left w:val="nil"/>
              <w:bottom w:val="nil"/>
              <w:right w:val="nil"/>
            </w:tcBorders>
            <w:vAlign w:val="bottom"/>
          </w:tcPr>
          <w:p w14:paraId="06F4F53E" w14:textId="77777777" w:rsidR="00587444" w:rsidRPr="00587444" w:rsidDel="00D96E20" w:rsidRDefault="00587444" w:rsidP="00587444">
            <w:pPr>
              <w:suppressAutoHyphens w:val="0"/>
              <w:autoSpaceDN/>
              <w:spacing w:line="28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16,317,392 </w:t>
            </w:r>
          </w:p>
        </w:tc>
      </w:tr>
      <w:tr w:rsidR="00587444" w:rsidRPr="00587444" w14:paraId="1656EB23" w14:textId="77777777" w:rsidTr="00DD69E7">
        <w:trPr>
          <w:trHeight w:hRule="exact" w:val="852"/>
        </w:trPr>
        <w:tc>
          <w:tcPr>
            <w:tcW w:w="1074" w:type="pct"/>
            <w:vAlign w:val="center"/>
          </w:tcPr>
          <w:p w14:paraId="52B974BA"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Provisions for guarantees, commitments and other liabilities</w:t>
            </w:r>
          </w:p>
        </w:tc>
        <w:tc>
          <w:tcPr>
            <w:tcW w:w="488" w:type="pct"/>
            <w:tcBorders>
              <w:top w:val="nil"/>
              <w:left w:val="nil"/>
              <w:bottom w:val="nil"/>
              <w:right w:val="nil"/>
            </w:tcBorders>
            <w:vAlign w:val="bottom"/>
          </w:tcPr>
          <w:p w14:paraId="2FBFEEF2"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 </w:t>
            </w:r>
          </w:p>
        </w:tc>
        <w:tc>
          <w:tcPr>
            <w:tcW w:w="452" w:type="pct"/>
            <w:tcBorders>
              <w:top w:val="nil"/>
              <w:left w:val="nil"/>
              <w:bottom w:val="nil"/>
              <w:right w:val="nil"/>
            </w:tcBorders>
            <w:vAlign w:val="bottom"/>
          </w:tcPr>
          <w:p w14:paraId="713E788D"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 </w:t>
            </w:r>
          </w:p>
        </w:tc>
        <w:tc>
          <w:tcPr>
            <w:tcW w:w="494" w:type="pct"/>
            <w:tcBorders>
              <w:top w:val="nil"/>
              <w:left w:val="nil"/>
              <w:bottom w:val="nil"/>
              <w:right w:val="nil"/>
            </w:tcBorders>
            <w:vAlign w:val="bottom"/>
          </w:tcPr>
          <w:p w14:paraId="04A3B3BC"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 </w:t>
            </w:r>
          </w:p>
        </w:tc>
        <w:tc>
          <w:tcPr>
            <w:tcW w:w="479" w:type="pct"/>
            <w:tcBorders>
              <w:top w:val="nil"/>
              <w:left w:val="nil"/>
              <w:bottom w:val="nil"/>
              <w:right w:val="nil"/>
            </w:tcBorders>
            <w:vAlign w:val="bottom"/>
          </w:tcPr>
          <w:p w14:paraId="1732E62D"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 </w:t>
            </w:r>
          </w:p>
        </w:tc>
        <w:tc>
          <w:tcPr>
            <w:tcW w:w="507" w:type="pct"/>
            <w:tcBorders>
              <w:top w:val="nil"/>
              <w:left w:val="nil"/>
              <w:bottom w:val="nil"/>
              <w:right w:val="nil"/>
            </w:tcBorders>
            <w:vAlign w:val="bottom"/>
          </w:tcPr>
          <w:p w14:paraId="16B50CA4"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 </w:t>
            </w:r>
          </w:p>
        </w:tc>
        <w:tc>
          <w:tcPr>
            <w:tcW w:w="493" w:type="pct"/>
            <w:tcBorders>
              <w:top w:val="nil"/>
              <w:left w:val="nil"/>
              <w:bottom w:val="nil"/>
              <w:right w:val="nil"/>
            </w:tcBorders>
            <w:vAlign w:val="bottom"/>
          </w:tcPr>
          <w:p w14:paraId="3AB29D36"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142,675 </w:t>
            </w:r>
          </w:p>
        </w:tc>
        <w:tc>
          <w:tcPr>
            <w:tcW w:w="507" w:type="pct"/>
            <w:tcBorders>
              <w:top w:val="nil"/>
              <w:left w:val="nil"/>
              <w:bottom w:val="nil"/>
              <w:right w:val="nil"/>
            </w:tcBorders>
            <w:vAlign w:val="bottom"/>
          </w:tcPr>
          <w:p w14:paraId="7145EBD8"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142,675 </w:t>
            </w:r>
          </w:p>
        </w:tc>
        <w:tc>
          <w:tcPr>
            <w:tcW w:w="506" w:type="pct"/>
            <w:tcBorders>
              <w:top w:val="nil"/>
              <w:left w:val="nil"/>
              <w:bottom w:val="nil"/>
              <w:right w:val="nil"/>
            </w:tcBorders>
            <w:vAlign w:val="bottom"/>
          </w:tcPr>
          <w:p w14:paraId="2275A565"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 xml:space="preserve"> - </w:t>
            </w:r>
          </w:p>
        </w:tc>
      </w:tr>
      <w:tr w:rsidR="00587444" w:rsidRPr="00587444" w14:paraId="2C7DF254" w14:textId="77777777" w:rsidTr="00DD69E7">
        <w:trPr>
          <w:trHeight w:hRule="exact" w:val="285"/>
        </w:trPr>
        <w:tc>
          <w:tcPr>
            <w:tcW w:w="1074" w:type="pct"/>
            <w:vAlign w:val="center"/>
          </w:tcPr>
          <w:p w14:paraId="1F875038"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liabilities </w:t>
            </w:r>
          </w:p>
        </w:tc>
        <w:tc>
          <w:tcPr>
            <w:tcW w:w="488" w:type="pct"/>
            <w:tcBorders>
              <w:top w:val="nil"/>
              <w:left w:val="nil"/>
              <w:bottom w:val="nil"/>
              <w:right w:val="nil"/>
            </w:tcBorders>
            <w:vAlign w:val="bottom"/>
          </w:tcPr>
          <w:p w14:paraId="251D3828"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 </w:t>
            </w:r>
          </w:p>
        </w:tc>
        <w:tc>
          <w:tcPr>
            <w:tcW w:w="452" w:type="pct"/>
            <w:tcBorders>
              <w:top w:val="nil"/>
              <w:left w:val="nil"/>
              <w:bottom w:val="nil"/>
              <w:right w:val="nil"/>
            </w:tcBorders>
            <w:vAlign w:val="bottom"/>
          </w:tcPr>
          <w:p w14:paraId="6D0018C4"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 </w:t>
            </w:r>
          </w:p>
        </w:tc>
        <w:tc>
          <w:tcPr>
            <w:tcW w:w="494" w:type="pct"/>
            <w:tcBorders>
              <w:top w:val="nil"/>
              <w:left w:val="nil"/>
              <w:bottom w:val="nil"/>
              <w:right w:val="nil"/>
            </w:tcBorders>
            <w:vAlign w:val="bottom"/>
          </w:tcPr>
          <w:p w14:paraId="37C306EC"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 </w:t>
            </w:r>
          </w:p>
        </w:tc>
        <w:tc>
          <w:tcPr>
            <w:tcW w:w="479" w:type="pct"/>
            <w:tcBorders>
              <w:top w:val="nil"/>
              <w:left w:val="nil"/>
              <w:bottom w:val="nil"/>
              <w:right w:val="nil"/>
            </w:tcBorders>
            <w:vAlign w:val="bottom"/>
          </w:tcPr>
          <w:p w14:paraId="4FED5EFB"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 </w:t>
            </w:r>
          </w:p>
        </w:tc>
        <w:tc>
          <w:tcPr>
            <w:tcW w:w="507" w:type="pct"/>
            <w:tcBorders>
              <w:top w:val="nil"/>
              <w:left w:val="nil"/>
              <w:bottom w:val="nil"/>
              <w:right w:val="nil"/>
            </w:tcBorders>
            <w:vAlign w:val="bottom"/>
          </w:tcPr>
          <w:p w14:paraId="60619574"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 </w:t>
            </w:r>
          </w:p>
        </w:tc>
        <w:tc>
          <w:tcPr>
            <w:tcW w:w="493" w:type="pct"/>
            <w:tcBorders>
              <w:top w:val="nil"/>
              <w:left w:val="nil"/>
              <w:right w:val="nil"/>
            </w:tcBorders>
            <w:vAlign w:val="bottom"/>
          </w:tcPr>
          <w:p w14:paraId="1AAF6DEB"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653,133 </w:t>
            </w:r>
          </w:p>
        </w:tc>
        <w:tc>
          <w:tcPr>
            <w:tcW w:w="507" w:type="pct"/>
            <w:tcBorders>
              <w:top w:val="nil"/>
              <w:left w:val="nil"/>
              <w:right w:val="nil"/>
            </w:tcBorders>
            <w:vAlign w:val="bottom"/>
          </w:tcPr>
          <w:p w14:paraId="57187DA0"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653,133 </w:t>
            </w:r>
          </w:p>
        </w:tc>
        <w:tc>
          <w:tcPr>
            <w:tcW w:w="506" w:type="pct"/>
            <w:tcBorders>
              <w:top w:val="nil"/>
              <w:left w:val="nil"/>
              <w:right w:val="nil"/>
            </w:tcBorders>
            <w:vAlign w:val="bottom"/>
          </w:tcPr>
          <w:p w14:paraId="6198583C"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 xml:space="preserve"> - </w:t>
            </w:r>
          </w:p>
        </w:tc>
      </w:tr>
      <w:tr w:rsidR="00587444" w:rsidRPr="00587444" w14:paraId="3BFB330A" w14:textId="77777777" w:rsidTr="00DD69E7">
        <w:trPr>
          <w:trHeight w:hRule="exact" w:val="298"/>
        </w:trPr>
        <w:tc>
          <w:tcPr>
            <w:tcW w:w="1074" w:type="pct"/>
            <w:vAlign w:val="center"/>
          </w:tcPr>
          <w:p w14:paraId="76C65601" w14:textId="77777777" w:rsidR="00587444" w:rsidRPr="00587444" w:rsidRDefault="00587444" w:rsidP="00587444">
            <w:pPr>
              <w:tabs>
                <w:tab w:val="right" w:pos="1202"/>
              </w:tabs>
              <w:suppressAutoHyphens w:val="0"/>
              <w:autoSpaceDN/>
              <w:spacing w:line="320" w:lineRule="exact"/>
              <w:outlineLvl w:val="0"/>
              <w:rPr>
                <w:rFonts w:ascii="Arial" w:hAnsi="Arial" w:cs="Arial"/>
                <w:b/>
                <w:bCs/>
                <w:sz w:val="15"/>
                <w:szCs w:val="15"/>
              </w:rPr>
            </w:pPr>
            <w:bookmarkStart w:id="1288" w:name="_Toc4062752"/>
            <w:r w:rsidRPr="00587444">
              <w:rPr>
                <w:rFonts w:ascii="Arial" w:hAnsi="Arial" w:cs="Arial"/>
                <w:b/>
                <w:bCs/>
                <w:sz w:val="15"/>
                <w:szCs w:val="15"/>
              </w:rPr>
              <w:t>Total liabilities</w:t>
            </w:r>
            <w:bookmarkEnd w:id="1288"/>
            <w:r w:rsidRPr="00587444">
              <w:rPr>
                <w:rFonts w:ascii="Arial" w:hAnsi="Arial" w:cs="Arial"/>
                <w:b/>
                <w:bCs/>
                <w:sz w:val="15"/>
                <w:szCs w:val="15"/>
              </w:rPr>
              <w:t xml:space="preserve"> </w:t>
            </w:r>
          </w:p>
        </w:tc>
        <w:tc>
          <w:tcPr>
            <w:tcW w:w="488" w:type="pct"/>
            <w:tcBorders>
              <w:top w:val="single" w:sz="8" w:space="0" w:color="auto"/>
              <w:left w:val="nil"/>
              <w:bottom w:val="single" w:sz="12" w:space="0" w:color="auto"/>
              <w:right w:val="nil"/>
            </w:tcBorders>
            <w:vAlign w:val="bottom"/>
          </w:tcPr>
          <w:p w14:paraId="31DE6E3C"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 706,017 </w:t>
            </w:r>
          </w:p>
        </w:tc>
        <w:tc>
          <w:tcPr>
            <w:tcW w:w="452" w:type="pct"/>
            <w:tcBorders>
              <w:top w:val="single" w:sz="8" w:space="0" w:color="auto"/>
              <w:left w:val="nil"/>
              <w:bottom w:val="single" w:sz="12" w:space="0" w:color="auto"/>
              <w:right w:val="nil"/>
            </w:tcBorders>
            <w:vAlign w:val="bottom"/>
          </w:tcPr>
          <w:p w14:paraId="3D37AFAA"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 290,734 </w:t>
            </w:r>
          </w:p>
        </w:tc>
        <w:tc>
          <w:tcPr>
            <w:tcW w:w="494" w:type="pct"/>
            <w:tcBorders>
              <w:top w:val="single" w:sz="8" w:space="0" w:color="auto"/>
              <w:left w:val="nil"/>
              <w:bottom w:val="single" w:sz="12" w:space="0" w:color="auto"/>
              <w:right w:val="nil"/>
            </w:tcBorders>
            <w:vAlign w:val="bottom"/>
          </w:tcPr>
          <w:p w14:paraId="1C5AEB9F"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 3,396,753 </w:t>
            </w:r>
          </w:p>
        </w:tc>
        <w:tc>
          <w:tcPr>
            <w:tcW w:w="479" w:type="pct"/>
            <w:tcBorders>
              <w:top w:val="single" w:sz="8" w:space="0" w:color="auto"/>
              <w:left w:val="nil"/>
              <w:bottom w:val="single" w:sz="12" w:space="0" w:color="auto"/>
              <w:right w:val="nil"/>
            </w:tcBorders>
            <w:vAlign w:val="bottom"/>
          </w:tcPr>
          <w:p w14:paraId="670DE496"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 5,288,877 </w:t>
            </w:r>
          </w:p>
        </w:tc>
        <w:tc>
          <w:tcPr>
            <w:tcW w:w="507" w:type="pct"/>
            <w:tcBorders>
              <w:top w:val="single" w:sz="8" w:space="0" w:color="auto"/>
              <w:left w:val="nil"/>
              <w:bottom w:val="single" w:sz="12" w:space="0" w:color="auto"/>
              <w:right w:val="nil"/>
            </w:tcBorders>
            <w:vAlign w:val="bottom"/>
          </w:tcPr>
          <w:p w14:paraId="1B0746AE"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 6,939,483 </w:t>
            </w:r>
          </w:p>
        </w:tc>
        <w:tc>
          <w:tcPr>
            <w:tcW w:w="493" w:type="pct"/>
            <w:tcBorders>
              <w:top w:val="single" w:sz="8" w:space="0" w:color="auto"/>
              <w:left w:val="nil"/>
              <w:bottom w:val="single" w:sz="12" w:space="0" w:color="auto"/>
              <w:right w:val="nil"/>
            </w:tcBorders>
            <w:vAlign w:val="bottom"/>
          </w:tcPr>
          <w:p w14:paraId="012F422E"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 1,699,843 </w:t>
            </w:r>
          </w:p>
        </w:tc>
        <w:tc>
          <w:tcPr>
            <w:tcW w:w="507" w:type="pct"/>
            <w:tcBorders>
              <w:top w:val="single" w:sz="8" w:space="0" w:color="auto"/>
              <w:left w:val="nil"/>
              <w:bottom w:val="single" w:sz="12" w:space="0" w:color="auto"/>
              <w:right w:val="nil"/>
            </w:tcBorders>
            <w:vAlign w:val="bottom"/>
          </w:tcPr>
          <w:p w14:paraId="0D0A7E56"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18,321,707 </w:t>
            </w:r>
          </w:p>
        </w:tc>
        <w:tc>
          <w:tcPr>
            <w:tcW w:w="506" w:type="pct"/>
            <w:tcBorders>
              <w:top w:val="single" w:sz="8" w:space="0" w:color="auto"/>
              <w:left w:val="nil"/>
              <w:bottom w:val="single" w:sz="12" w:space="0" w:color="auto"/>
              <w:right w:val="nil"/>
            </w:tcBorders>
            <w:vAlign w:val="bottom"/>
          </w:tcPr>
          <w:p w14:paraId="669D4F61"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 xml:space="preserve">16,468,082 </w:t>
            </w:r>
          </w:p>
        </w:tc>
      </w:tr>
      <w:tr w:rsidR="00587444" w:rsidRPr="00587444" w14:paraId="118C4FD4" w14:textId="77777777" w:rsidTr="00DD69E7">
        <w:trPr>
          <w:trHeight w:hRule="exact" w:val="397"/>
        </w:trPr>
        <w:tc>
          <w:tcPr>
            <w:tcW w:w="1074" w:type="pct"/>
            <w:vAlign w:val="center"/>
          </w:tcPr>
          <w:p w14:paraId="2EE1CCEB" w14:textId="77777777" w:rsidR="00587444" w:rsidRPr="00587444" w:rsidRDefault="00587444" w:rsidP="00587444">
            <w:pPr>
              <w:tabs>
                <w:tab w:val="right" w:pos="1202"/>
              </w:tabs>
              <w:suppressAutoHyphens w:val="0"/>
              <w:autoSpaceDN/>
              <w:spacing w:line="320" w:lineRule="exact"/>
              <w:outlineLvl w:val="0"/>
              <w:rPr>
                <w:rFonts w:ascii="Arial" w:hAnsi="Arial" w:cs="Arial"/>
                <w:b/>
                <w:bCs/>
                <w:sz w:val="15"/>
                <w:szCs w:val="15"/>
              </w:rPr>
            </w:pPr>
            <w:bookmarkStart w:id="1289" w:name="_Toc4062753"/>
            <w:r w:rsidRPr="00587444">
              <w:rPr>
                <w:rFonts w:ascii="Arial" w:hAnsi="Arial" w:cs="Arial"/>
                <w:b/>
                <w:bCs/>
                <w:spacing w:val="-2"/>
                <w:sz w:val="15"/>
                <w:szCs w:val="15"/>
              </w:rPr>
              <w:t>Interest rate gap</w:t>
            </w:r>
            <w:bookmarkEnd w:id="1289"/>
          </w:p>
        </w:tc>
        <w:tc>
          <w:tcPr>
            <w:tcW w:w="488" w:type="pct"/>
            <w:tcBorders>
              <w:top w:val="nil"/>
              <w:left w:val="nil"/>
              <w:bottom w:val="single" w:sz="12" w:space="0" w:color="auto"/>
              <w:right w:val="nil"/>
            </w:tcBorders>
            <w:shd w:val="clear" w:color="auto" w:fill="auto"/>
            <w:vAlign w:val="bottom"/>
          </w:tcPr>
          <w:p w14:paraId="277F1562" w14:textId="77777777" w:rsidR="00587444" w:rsidRPr="00587444" w:rsidRDefault="00587444" w:rsidP="00587444">
            <w:pPr>
              <w:suppressAutoHyphens w:val="0"/>
              <w:autoSpaceDN/>
              <w:spacing w:line="320" w:lineRule="exact"/>
              <w:jc w:val="right"/>
              <w:rPr>
                <w:rFonts w:ascii="Arial" w:eastAsia="Calibri" w:hAnsi="Arial" w:cs="Arial"/>
                <w:b/>
                <w:color w:val="000000"/>
                <w:sz w:val="15"/>
                <w:szCs w:val="15"/>
                <w:lang w:val="hr-HR"/>
              </w:rPr>
            </w:pPr>
            <w:r w:rsidRPr="00587444">
              <w:rPr>
                <w:rFonts w:ascii="Arial" w:eastAsia="Calibri" w:hAnsi="Arial" w:cs="Arial"/>
                <w:b/>
                <w:color w:val="000000"/>
                <w:sz w:val="15"/>
                <w:szCs w:val="15"/>
                <w:lang w:val="hr-HR"/>
              </w:rPr>
              <w:t xml:space="preserve"> 3,520,489 </w:t>
            </w:r>
          </w:p>
        </w:tc>
        <w:tc>
          <w:tcPr>
            <w:tcW w:w="452" w:type="pct"/>
            <w:tcBorders>
              <w:top w:val="nil"/>
              <w:left w:val="nil"/>
              <w:bottom w:val="single" w:sz="12" w:space="0" w:color="auto"/>
              <w:right w:val="nil"/>
            </w:tcBorders>
            <w:shd w:val="clear" w:color="auto" w:fill="auto"/>
            <w:vAlign w:val="bottom"/>
          </w:tcPr>
          <w:p w14:paraId="51642B6A" w14:textId="77777777" w:rsidR="00587444" w:rsidRPr="00587444" w:rsidRDefault="00587444" w:rsidP="00587444">
            <w:pPr>
              <w:suppressAutoHyphens w:val="0"/>
              <w:autoSpaceDN/>
              <w:spacing w:line="320" w:lineRule="exact"/>
              <w:jc w:val="right"/>
              <w:rPr>
                <w:rFonts w:ascii="Arial" w:eastAsia="Calibri" w:hAnsi="Arial" w:cs="Arial"/>
                <w:b/>
                <w:color w:val="000000"/>
                <w:sz w:val="15"/>
                <w:szCs w:val="15"/>
                <w:lang w:val="hr-HR"/>
              </w:rPr>
            </w:pPr>
            <w:r w:rsidRPr="00587444">
              <w:rPr>
                <w:rFonts w:ascii="Arial" w:eastAsia="Calibri" w:hAnsi="Arial" w:cs="Arial"/>
                <w:b/>
                <w:color w:val="000000"/>
                <w:sz w:val="15"/>
                <w:szCs w:val="15"/>
                <w:lang w:val="hr-HR"/>
              </w:rPr>
              <w:t xml:space="preserve"> 816,321 </w:t>
            </w:r>
          </w:p>
        </w:tc>
        <w:tc>
          <w:tcPr>
            <w:tcW w:w="494" w:type="pct"/>
            <w:tcBorders>
              <w:top w:val="nil"/>
              <w:left w:val="nil"/>
              <w:bottom w:val="single" w:sz="12" w:space="0" w:color="auto"/>
              <w:right w:val="nil"/>
            </w:tcBorders>
            <w:shd w:val="clear" w:color="auto" w:fill="auto"/>
            <w:vAlign w:val="bottom"/>
          </w:tcPr>
          <w:p w14:paraId="0AE2610C" w14:textId="77777777" w:rsidR="00587444" w:rsidRPr="00587444" w:rsidRDefault="00587444" w:rsidP="00587444">
            <w:pPr>
              <w:suppressAutoHyphens w:val="0"/>
              <w:autoSpaceDN/>
              <w:spacing w:line="320" w:lineRule="exact"/>
              <w:jc w:val="right"/>
              <w:rPr>
                <w:rFonts w:ascii="Arial" w:eastAsia="Calibri" w:hAnsi="Arial" w:cs="Arial"/>
                <w:b/>
                <w:color w:val="000000"/>
                <w:sz w:val="15"/>
                <w:szCs w:val="15"/>
                <w:lang w:val="hr-HR"/>
              </w:rPr>
            </w:pPr>
            <w:r w:rsidRPr="00587444">
              <w:rPr>
                <w:rFonts w:ascii="Arial" w:eastAsia="Calibri" w:hAnsi="Arial" w:cs="Arial"/>
                <w:b/>
                <w:color w:val="000000"/>
                <w:sz w:val="15"/>
                <w:szCs w:val="15"/>
                <w:lang w:val="hr-HR"/>
              </w:rPr>
              <w:t xml:space="preserve"> 281,658 </w:t>
            </w:r>
          </w:p>
        </w:tc>
        <w:tc>
          <w:tcPr>
            <w:tcW w:w="479" w:type="pct"/>
            <w:tcBorders>
              <w:top w:val="nil"/>
              <w:left w:val="nil"/>
              <w:bottom w:val="single" w:sz="12" w:space="0" w:color="auto"/>
              <w:right w:val="nil"/>
            </w:tcBorders>
            <w:shd w:val="clear" w:color="auto" w:fill="auto"/>
            <w:vAlign w:val="bottom"/>
          </w:tcPr>
          <w:p w14:paraId="29B1AD2D" w14:textId="77777777" w:rsidR="00587444" w:rsidRPr="00587444" w:rsidRDefault="00587444" w:rsidP="00587444">
            <w:pPr>
              <w:suppressAutoHyphens w:val="0"/>
              <w:autoSpaceDN/>
              <w:spacing w:line="320" w:lineRule="exact"/>
              <w:jc w:val="right"/>
              <w:rPr>
                <w:rFonts w:ascii="Arial" w:eastAsia="Calibri" w:hAnsi="Arial" w:cs="Arial"/>
                <w:b/>
                <w:color w:val="000000"/>
                <w:sz w:val="15"/>
                <w:szCs w:val="15"/>
                <w:lang w:val="hr-HR"/>
              </w:rPr>
            </w:pPr>
            <w:r w:rsidRPr="00587444">
              <w:rPr>
                <w:rFonts w:ascii="Arial" w:eastAsia="Calibri" w:hAnsi="Arial" w:cs="Arial"/>
                <w:b/>
                <w:color w:val="000000"/>
                <w:sz w:val="15"/>
                <w:szCs w:val="15"/>
                <w:lang w:val="hr-HR"/>
              </w:rPr>
              <w:t xml:space="preserve"> 234,242 </w:t>
            </w:r>
          </w:p>
        </w:tc>
        <w:tc>
          <w:tcPr>
            <w:tcW w:w="507" w:type="pct"/>
            <w:tcBorders>
              <w:top w:val="nil"/>
              <w:left w:val="nil"/>
              <w:bottom w:val="single" w:sz="12" w:space="0" w:color="auto"/>
              <w:right w:val="nil"/>
            </w:tcBorders>
            <w:shd w:val="clear" w:color="auto" w:fill="auto"/>
            <w:vAlign w:val="bottom"/>
          </w:tcPr>
          <w:p w14:paraId="204D6A72" w14:textId="77777777" w:rsidR="00587444" w:rsidRPr="00587444" w:rsidRDefault="00587444" w:rsidP="00587444">
            <w:pPr>
              <w:suppressAutoHyphens w:val="0"/>
              <w:autoSpaceDN/>
              <w:spacing w:line="320" w:lineRule="exact"/>
              <w:jc w:val="right"/>
              <w:rPr>
                <w:rFonts w:ascii="Arial" w:eastAsia="Calibri" w:hAnsi="Arial" w:cs="Arial"/>
                <w:b/>
                <w:color w:val="000000"/>
                <w:sz w:val="15"/>
                <w:szCs w:val="15"/>
                <w:lang w:val="hr-HR"/>
              </w:rPr>
            </w:pPr>
            <w:r w:rsidRPr="00587444">
              <w:rPr>
                <w:rFonts w:ascii="Arial" w:eastAsia="Calibri" w:hAnsi="Arial" w:cs="Arial"/>
                <w:b/>
                <w:color w:val="000000"/>
                <w:sz w:val="15"/>
                <w:szCs w:val="15"/>
                <w:lang w:val="hr-HR"/>
              </w:rPr>
              <w:t xml:space="preserve"> 5,458,736 </w:t>
            </w:r>
          </w:p>
        </w:tc>
        <w:tc>
          <w:tcPr>
            <w:tcW w:w="493" w:type="pct"/>
            <w:tcBorders>
              <w:top w:val="nil"/>
              <w:left w:val="nil"/>
              <w:bottom w:val="single" w:sz="12" w:space="0" w:color="auto"/>
              <w:right w:val="nil"/>
            </w:tcBorders>
            <w:shd w:val="clear" w:color="auto" w:fill="auto"/>
            <w:vAlign w:val="bottom"/>
          </w:tcPr>
          <w:p w14:paraId="54F95BBF" w14:textId="77777777" w:rsidR="00587444" w:rsidRPr="00587444" w:rsidRDefault="00587444" w:rsidP="00587444">
            <w:pPr>
              <w:suppressAutoHyphens w:val="0"/>
              <w:autoSpaceDN/>
              <w:spacing w:line="320" w:lineRule="exact"/>
              <w:jc w:val="right"/>
              <w:rPr>
                <w:rFonts w:ascii="Arial" w:eastAsia="Calibri" w:hAnsi="Arial" w:cs="Arial"/>
                <w:b/>
                <w:color w:val="000000"/>
                <w:sz w:val="15"/>
                <w:szCs w:val="15"/>
                <w:lang w:val="hr-HR"/>
              </w:rPr>
            </w:pPr>
            <w:r w:rsidRPr="00587444">
              <w:rPr>
                <w:rFonts w:ascii="Arial" w:eastAsia="Calibri" w:hAnsi="Arial" w:cs="Arial"/>
                <w:b/>
                <w:color w:val="000000"/>
                <w:sz w:val="15"/>
                <w:szCs w:val="15"/>
                <w:lang w:val="hr-HR"/>
              </w:rPr>
              <w:t xml:space="preserve"> 280,527 </w:t>
            </w:r>
          </w:p>
        </w:tc>
        <w:tc>
          <w:tcPr>
            <w:tcW w:w="507" w:type="pct"/>
            <w:tcBorders>
              <w:top w:val="nil"/>
              <w:left w:val="nil"/>
              <w:bottom w:val="single" w:sz="12" w:space="0" w:color="auto"/>
              <w:right w:val="nil"/>
            </w:tcBorders>
            <w:shd w:val="clear" w:color="auto" w:fill="auto"/>
            <w:vAlign w:val="bottom"/>
          </w:tcPr>
          <w:p w14:paraId="7D41A166" w14:textId="77777777" w:rsidR="00587444" w:rsidRPr="00587444" w:rsidRDefault="00587444" w:rsidP="00587444">
            <w:pPr>
              <w:suppressAutoHyphens w:val="0"/>
              <w:autoSpaceDN/>
              <w:spacing w:line="320" w:lineRule="exact"/>
              <w:jc w:val="right"/>
              <w:rPr>
                <w:rFonts w:ascii="Arial" w:eastAsia="Calibri" w:hAnsi="Arial" w:cs="Arial"/>
                <w:b/>
                <w:color w:val="000000"/>
                <w:sz w:val="15"/>
                <w:szCs w:val="15"/>
                <w:lang w:val="hr-HR"/>
              </w:rPr>
            </w:pPr>
            <w:r w:rsidRPr="00587444">
              <w:rPr>
                <w:rFonts w:ascii="Arial" w:eastAsia="Calibri" w:hAnsi="Arial" w:cs="Arial"/>
                <w:b/>
                <w:color w:val="000000"/>
                <w:sz w:val="15"/>
                <w:szCs w:val="15"/>
                <w:lang w:val="hr-HR"/>
              </w:rPr>
              <w:t xml:space="preserve">10,591,973 </w:t>
            </w:r>
          </w:p>
        </w:tc>
        <w:tc>
          <w:tcPr>
            <w:tcW w:w="506" w:type="pct"/>
            <w:tcBorders>
              <w:top w:val="nil"/>
              <w:left w:val="nil"/>
              <w:bottom w:val="single" w:sz="12" w:space="0" w:color="auto"/>
              <w:right w:val="nil"/>
            </w:tcBorders>
            <w:shd w:val="clear" w:color="auto" w:fill="auto"/>
            <w:vAlign w:val="bottom"/>
          </w:tcPr>
          <w:p w14:paraId="59D9BF4A" w14:textId="77777777" w:rsidR="00587444" w:rsidRPr="00587444" w:rsidDel="00D96E20" w:rsidRDefault="00587444" w:rsidP="00587444">
            <w:pPr>
              <w:suppressAutoHyphens w:val="0"/>
              <w:autoSpaceDN/>
              <w:spacing w:line="320" w:lineRule="exact"/>
              <w:jc w:val="right"/>
              <w:rPr>
                <w:rFonts w:ascii="Arial" w:eastAsia="Calibri" w:hAnsi="Arial" w:cs="Arial"/>
                <w:b/>
                <w:color w:val="000000"/>
                <w:sz w:val="15"/>
                <w:szCs w:val="15"/>
                <w:lang w:val="hr-HR"/>
              </w:rPr>
            </w:pPr>
            <w:r w:rsidRPr="00587444">
              <w:rPr>
                <w:rFonts w:ascii="Arial" w:eastAsia="Calibri" w:hAnsi="Arial" w:cs="Arial"/>
                <w:b/>
                <w:color w:val="000000"/>
                <w:sz w:val="15"/>
                <w:szCs w:val="15"/>
                <w:lang w:val="hr-HR"/>
              </w:rPr>
              <w:t xml:space="preserve"> 9,141,704 </w:t>
            </w:r>
          </w:p>
        </w:tc>
      </w:tr>
    </w:tbl>
    <w:p w14:paraId="4EDF389A" w14:textId="77777777" w:rsidR="00587444" w:rsidRPr="00587444" w:rsidRDefault="00587444" w:rsidP="00587444">
      <w:pPr>
        <w:tabs>
          <w:tab w:val="left" w:pos="-720"/>
        </w:tabs>
        <w:autoSpaceDN/>
        <w:spacing w:line="360" w:lineRule="auto"/>
        <w:ind w:right="-5"/>
        <w:jc w:val="both"/>
        <w:rPr>
          <w:rFonts w:ascii="Arial" w:hAnsi="Arial" w:cs="Arial"/>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648B5BD0"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514E1BAB"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         Risk management (continued)</w:t>
      </w:r>
    </w:p>
    <w:p w14:paraId="3C88588C"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55B9BC23"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31.5.      Market risk (continued)</w:t>
      </w:r>
    </w:p>
    <w:p w14:paraId="51737D48"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569A0294" w14:textId="77777777" w:rsidR="00587444" w:rsidRPr="00587444" w:rsidRDefault="00587444" w:rsidP="00587444">
      <w:pPr>
        <w:keepNext/>
        <w:suppressAutoHyphens w:val="0"/>
        <w:autoSpaceDN/>
        <w:ind w:left="709" w:hanging="709"/>
        <w:jc w:val="both"/>
        <w:rPr>
          <w:rFonts w:ascii="Arial" w:hAnsi="Arial" w:cs="Arial"/>
          <w:b/>
          <w:bCs/>
          <w:sz w:val="20"/>
          <w:szCs w:val="20"/>
          <w:lang w:val="pl-PL"/>
        </w:rPr>
      </w:pPr>
      <w:r w:rsidRPr="00587444">
        <w:rPr>
          <w:rFonts w:ascii="Arial" w:hAnsi="Arial" w:cs="Arial"/>
          <w:b/>
          <w:bCs/>
          <w:sz w:val="20"/>
          <w:szCs w:val="20"/>
          <w:lang w:val="en-GB"/>
        </w:rPr>
        <w:t>31.5.1.   Interest rate risk (continued)</w:t>
      </w:r>
    </w:p>
    <w:p w14:paraId="6D61D648" w14:textId="77777777" w:rsidR="00587444" w:rsidRPr="00587444" w:rsidRDefault="00587444" w:rsidP="00587444">
      <w:pPr>
        <w:tabs>
          <w:tab w:val="left" w:pos="-720"/>
        </w:tabs>
        <w:autoSpaceDN/>
        <w:rPr>
          <w:rFonts w:ascii="Arial" w:hAnsi="Arial" w:cs="Arial"/>
          <w:b/>
          <w:spacing w:val="-3"/>
          <w:sz w:val="20"/>
          <w:szCs w:val="20"/>
          <w:highlight w:val="yellow"/>
          <w:lang w:val="en-GB"/>
        </w:rPr>
      </w:pPr>
    </w:p>
    <w:tbl>
      <w:tblPr>
        <w:tblW w:w="5374" w:type="pct"/>
        <w:tblInd w:w="-142" w:type="dxa"/>
        <w:tblLayout w:type="fixed"/>
        <w:tblCellMar>
          <w:left w:w="120" w:type="dxa"/>
          <w:right w:w="120" w:type="dxa"/>
        </w:tblCellMar>
        <w:tblLook w:val="0000" w:firstRow="0" w:lastRow="0" w:firstColumn="0" w:lastColumn="0" w:noHBand="0" w:noVBand="0"/>
      </w:tblPr>
      <w:tblGrid>
        <w:gridCol w:w="2214"/>
        <w:gridCol w:w="1007"/>
        <w:gridCol w:w="932"/>
        <w:gridCol w:w="1019"/>
        <w:gridCol w:w="988"/>
        <w:gridCol w:w="1046"/>
        <w:gridCol w:w="1017"/>
        <w:gridCol w:w="1046"/>
        <w:gridCol w:w="1044"/>
      </w:tblGrid>
      <w:tr w:rsidR="00587444" w:rsidRPr="00587444" w14:paraId="65A0C3DA" w14:textId="77777777" w:rsidTr="00DD69E7">
        <w:tc>
          <w:tcPr>
            <w:tcW w:w="1073" w:type="pct"/>
            <w:vAlign w:val="center"/>
          </w:tcPr>
          <w:p w14:paraId="5D668549"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Bank</w:t>
            </w:r>
          </w:p>
          <w:p w14:paraId="4114288C"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p>
          <w:p w14:paraId="3D645355"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31 December 2021</w:t>
            </w:r>
          </w:p>
        </w:tc>
        <w:tc>
          <w:tcPr>
            <w:tcW w:w="488" w:type="pct"/>
          </w:tcPr>
          <w:p w14:paraId="4CDDC0DD"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Up to 1 month</w:t>
            </w:r>
          </w:p>
        </w:tc>
        <w:tc>
          <w:tcPr>
            <w:tcW w:w="452" w:type="pct"/>
          </w:tcPr>
          <w:p w14:paraId="723CC815"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months</w:t>
            </w:r>
          </w:p>
        </w:tc>
        <w:tc>
          <w:tcPr>
            <w:tcW w:w="494" w:type="pct"/>
          </w:tcPr>
          <w:p w14:paraId="20D4B9C1"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3 months to 1 year </w:t>
            </w:r>
          </w:p>
        </w:tc>
        <w:tc>
          <w:tcPr>
            <w:tcW w:w="479" w:type="pct"/>
          </w:tcPr>
          <w:p w14:paraId="1BE6D8CA"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years</w:t>
            </w:r>
          </w:p>
        </w:tc>
        <w:tc>
          <w:tcPr>
            <w:tcW w:w="507" w:type="pct"/>
          </w:tcPr>
          <w:p w14:paraId="02176F4A"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Over 3 years</w:t>
            </w:r>
          </w:p>
        </w:tc>
        <w:tc>
          <w:tcPr>
            <w:tcW w:w="493" w:type="pct"/>
          </w:tcPr>
          <w:p w14:paraId="58151C4F"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Non-interest bearing</w:t>
            </w:r>
          </w:p>
        </w:tc>
        <w:tc>
          <w:tcPr>
            <w:tcW w:w="507" w:type="pct"/>
          </w:tcPr>
          <w:p w14:paraId="3CEBE5E8"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Total </w:t>
            </w:r>
          </w:p>
        </w:tc>
        <w:tc>
          <w:tcPr>
            <w:tcW w:w="506" w:type="pct"/>
          </w:tcPr>
          <w:p w14:paraId="40DFD2A4"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Fixed interest rate</w:t>
            </w:r>
          </w:p>
        </w:tc>
      </w:tr>
      <w:tr w:rsidR="00587444" w:rsidRPr="00587444" w14:paraId="697CCDBE" w14:textId="77777777" w:rsidTr="00DD69E7">
        <w:tc>
          <w:tcPr>
            <w:tcW w:w="1073" w:type="pct"/>
            <w:vAlign w:val="center"/>
          </w:tcPr>
          <w:p w14:paraId="63868013"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p>
        </w:tc>
        <w:tc>
          <w:tcPr>
            <w:tcW w:w="488" w:type="pct"/>
            <w:shd w:val="clear" w:color="auto" w:fill="auto"/>
          </w:tcPr>
          <w:p w14:paraId="39EC38BC"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452" w:type="pct"/>
            <w:shd w:val="clear" w:color="auto" w:fill="auto"/>
          </w:tcPr>
          <w:p w14:paraId="36496A5A"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494" w:type="pct"/>
            <w:shd w:val="clear" w:color="auto" w:fill="auto"/>
          </w:tcPr>
          <w:p w14:paraId="3981C14F"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479" w:type="pct"/>
            <w:shd w:val="clear" w:color="auto" w:fill="auto"/>
          </w:tcPr>
          <w:p w14:paraId="41E1B988"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507" w:type="pct"/>
            <w:shd w:val="clear" w:color="auto" w:fill="auto"/>
          </w:tcPr>
          <w:p w14:paraId="0B977B57"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493" w:type="pct"/>
            <w:shd w:val="clear" w:color="auto" w:fill="auto"/>
          </w:tcPr>
          <w:p w14:paraId="4D635F6B"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507" w:type="pct"/>
            <w:shd w:val="clear" w:color="auto" w:fill="auto"/>
          </w:tcPr>
          <w:p w14:paraId="78506927"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HRK ‘000</w:t>
            </w:r>
          </w:p>
        </w:tc>
        <w:tc>
          <w:tcPr>
            <w:tcW w:w="506" w:type="pct"/>
            <w:shd w:val="clear" w:color="auto" w:fill="auto"/>
          </w:tcPr>
          <w:p w14:paraId="3FDF02D7"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HRK ‘000</w:t>
            </w:r>
          </w:p>
        </w:tc>
      </w:tr>
      <w:tr w:rsidR="00587444" w:rsidRPr="00587444" w14:paraId="2A924C92" w14:textId="77777777" w:rsidTr="00DD69E7">
        <w:tc>
          <w:tcPr>
            <w:tcW w:w="1073" w:type="pct"/>
            <w:vAlign w:val="bottom"/>
          </w:tcPr>
          <w:p w14:paraId="73EDD17B" w14:textId="77777777" w:rsidR="00587444" w:rsidRPr="00587444" w:rsidRDefault="00587444" w:rsidP="00587444">
            <w:pPr>
              <w:tabs>
                <w:tab w:val="left" w:pos="-720"/>
              </w:tabs>
              <w:autoSpaceDN/>
              <w:spacing w:line="280" w:lineRule="exact"/>
              <w:ind w:right="-5"/>
              <w:rPr>
                <w:rFonts w:ascii="Arial" w:eastAsia="Calibri" w:hAnsi="Arial" w:cs="Arial"/>
                <w:b/>
                <w:sz w:val="15"/>
                <w:szCs w:val="15"/>
              </w:rPr>
            </w:pPr>
            <w:r w:rsidRPr="00587444">
              <w:rPr>
                <w:rFonts w:ascii="Arial" w:eastAsia="Calibri" w:hAnsi="Arial" w:cs="Arial"/>
                <w:b/>
                <w:sz w:val="15"/>
                <w:szCs w:val="15"/>
              </w:rPr>
              <w:t xml:space="preserve">Assets </w:t>
            </w:r>
          </w:p>
        </w:tc>
        <w:tc>
          <w:tcPr>
            <w:tcW w:w="488" w:type="pct"/>
          </w:tcPr>
          <w:p w14:paraId="058A4543"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452" w:type="pct"/>
          </w:tcPr>
          <w:p w14:paraId="248FCC45"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494" w:type="pct"/>
          </w:tcPr>
          <w:p w14:paraId="3B9C3DFF"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479" w:type="pct"/>
          </w:tcPr>
          <w:p w14:paraId="74032BB0"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507" w:type="pct"/>
          </w:tcPr>
          <w:p w14:paraId="38AFE6CA"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493" w:type="pct"/>
          </w:tcPr>
          <w:p w14:paraId="4F35A3EE"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507" w:type="pct"/>
          </w:tcPr>
          <w:p w14:paraId="57DEC56A"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c>
          <w:tcPr>
            <w:tcW w:w="506" w:type="pct"/>
          </w:tcPr>
          <w:p w14:paraId="18485930" w14:textId="77777777" w:rsidR="00587444" w:rsidRPr="00587444" w:rsidRDefault="00587444" w:rsidP="00587444">
            <w:pPr>
              <w:tabs>
                <w:tab w:val="left" w:pos="-720"/>
              </w:tabs>
              <w:autoSpaceDN/>
              <w:spacing w:line="280" w:lineRule="exact"/>
              <w:ind w:right="-5"/>
              <w:jc w:val="right"/>
              <w:rPr>
                <w:rFonts w:ascii="Arial" w:eastAsia="Calibri" w:hAnsi="Arial" w:cs="Arial"/>
                <w:sz w:val="15"/>
                <w:szCs w:val="15"/>
              </w:rPr>
            </w:pPr>
          </w:p>
        </w:tc>
      </w:tr>
      <w:tr w:rsidR="00587444" w:rsidRPr="00587444" w14:paraId="6977BC57" w14:textId="77777777" w:rsidTr="00DD69E7">
        <w:tc>
          <w:tcPr>
            <w:tcW w:w="1073" w:type="pct"/>
            <w:vAlign w:val="bottom"/>
          </w:tcPr>
          <w:p w14:paraId="4990577A"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Cash on hand and current accounts with banks</w:t>
            </w:r>
          </w:p>
        </w:tc>
        <w:tc>
          <w:tcPr>
            <w:tcW w:w="488" w:type="pct"/>
            <w:vAlign w:val="bottom"/>
          </w:tcPr>
          <w:p w14:paraId="4178C660"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80,902</w:t>
            </w:r>
          </w:p>
        </w:tc>
        <w:tc>
          <w:tcPr>
            <w:tcW w:w="452" w:type="pct"/>
            <w:vAlign w:val="bottom"/>
          </w:tcPr>
          <w:p w14:paraId="515F2FA9"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94" w:type="pct"/>
            <w:vAlign w:val="bottom"/>
          </w:tcPr>
          <w:p w14:paraId="4BB4379E"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79" w:type="pct"/>
            <w:vAlign w:val="bottom"/>
          </w:tcPr>
          <w:p w14:paraId="5BC67E57"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507" w:type="pct"/>
            <w:vAlign w:val="bottom"/>
          </w:tcPr>
          <w:p w14:paraId="68E9B68E"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93" w:type="pct"/>
            <w:vAlign w:val="bottom"/>
          </w:tcPr>
          <w:p w14:paraId="690D5574"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1,877,718</w:t>
            </w:r>
          </w:p>
        </w:tc>
        <w:tc>
          <w:tcPr>
            <w:tcW w:w="507" w:type="pct"/>
            <w:vAlign w:val="bottom"/>
          </w:tcPr>
          <w:p w14:paraId="3F94243F" w14:textId="77777777" w:rsidR="00587444" w:rsidRPr="00587444"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1,958,620</w:t>
            </w:r>
          </w:p>
        </w:tc>
        <w:tc>
          <w:tcPr>
            <w:tcW w:w="506" w:type="pct"/>
            <w:vAlign w:val="bottom"/>
          </w:tcPr>
          <w:p w14:paraId="313F6E50" w14:textId="77777777" w:rsidR="00587444" w:rsidRPr="00587444" w:rsidDel="00D96E20"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80,902</w:t>
            </w:r>
          </w:p>
        </w:tc>
      </w:tr>
      <w:tr w:rsidR="00587444" w:rsidRPr="00587444" w14:paraId="4FBA9BBE" w14:textId="77777777" w:rsidTr="00DD69E7">
        <w:tc>
          <w:tcPr>
            <w:tcW w:w="1073" w:type="pct"/>
            <w:vAlign w:val="bottom"/>
          </w:tcPr>
          <w:p w14:paraId="3181482C"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Deposits with other banks </w:t>
            </w:r>
          </w:p>
        </w:tc>
        <w:tc>
          <w:tcPr>
            <w:tcW w:w="488" w:type="pct"/>
            <w:vAlign w:val="bottom"/>
          </w:tcPr>
          <w:p w14:paraId="47BA8F69"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52" w:type="pct"/>
            <w:vAlign w:val="bottom"/>
          </w:tcPr>
          <w:p w14:paraId="5B1C774D"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94" w:type="pct"/>
            <w:vAlign w:val="bottom"/>
          </w:tcPr>
          <w:p w14:paraId="6E199BBD"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79" w:type="pct"/>
            <w:vAlign w:val="bottom"/>
          </w:tcPr>
          <w:p w14:paraId="67788889"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507" w:type="pct"/>
            <w:vAlign w:val="bottom"/>
          </w:tcPr>
          <w:p w14:paraId="161AD8BF"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93" w:type="pct"/>
            <w:vAlign w:val="bottom"/>
          </w:tcPr>
          <w:p w14:paraId="1EF9DD39"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7,500</w:t>
            </w:r>
          </w:p>
        </w:tc>
        <w:tc>
          <w:tcPr>
            <w:tcW w:w="507" w:type="pct"/>
            <w:vAlign w:val="bottom"/>
          </w:tcPr>
          <w:p w14:paraId="72A89245" w14:textId="77777777" w:rsidR="00587444" w:rsidRPr="00587444"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7,500</w:t>
            </w:r>
          </w:p>
        </w:tc>
        <w:tc>
          <w:tcPr>
            <w:tcW w:w="506" w:type="pct"/>
            <w:vAlign w:val="bottom"/>
          </w:tcPr>
          <w:p w14:paraId="4800549B" w14:textId="77777777" w:rsidR="00587444" w:rsidRPr="00587444" w:rsidDel="00D96E20"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r>
      <w:tr w:rsidR="00587444" w:rsidRPr="00587444" w14:paraId="3F752184" w14:textId="77777777" w:rsidTr="00DD69E7">
        <w:tc>
          <w:tcPr>
            <w:tcW w:w="1073" w:type="pct"/>
            <w:vAlign w:val="bottom"/>
          </w:tcPr>
          <w:p w14:paraId="44F5B545"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financial institutions </w:t>
            </w:r>
          </w:p>
        </w:tc>
        <w:tc>
          <w:tcPr>
            <w:tcW w:w="488" w:type="pct"/>
            <w:tcBorders>
              <w:top w:val="nil"/>
              <w:left w:val="nil"/>
              <w:bottom w:val="nil"/>
              <w:right w:val="nil"/>
            </w:tcBorders>
            <w:vAlign w:val="bottom"/>
          </w:tcPr>
          <w:p w14:paraId="2137EB77"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136,649</w:t>
            </w:r>
          </w:p>
        </w:tc>
        <w:tc>
          <w:tcPr>
            <w:tcW w:w="452" w:type="pct"/>
            <w:tcBorders>
              <w:top w:val="nil"/>
              <w:left w:val="nil"/>
              <w:bottom w:val="nil"/>
              <w:right w:val="nil"/>
            </w:tcBorders>
            <w:vAlign w:val="bottom"/>
          </w:tcPr>
          <w:p w14:paraId="7950EE12"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300,681</w:t>
            </w:r>
          </w:p>
        </w:tc>
        <w:tc>
          <w:tcPr>
            <w:tcW w:w="494" w:type="pct"/>
            <w:tcBorders>
              <w:top w:val="nil"/>
              <w:left w:val="nil"/>
              <w:bottom w:val="nil"/>
              <w:right w:val="nil"/>
            </w:tcBorders>
            <w:vAlign w:val="bottom"/>
          </w:tcPr>
          <w:p w14:paraId="30CA316F"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794,823</w:t>
            </w:r>
          </w:p>
        </w:tc>
        <w:tc>
          <w:tcPr>
            <w:tcW w:w="479" w:type="pct"/>
            <w:tcBorders>
              <w:top w:val="nil"/>
              <w:left w:val="nil"/>
              <w:bottom w:val="nil"/>
              <w:right w:val="nil"/>
            </w:tcBorders>
            <w:vAlign w:val="bottom"/>
          </w:tcPr>
          <w:p w14:paraId="57D743C4"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1,825,594</w:t>
            </w:r>
          </w:p>
        </w:tc>
        <w:tc>
          <w:tcPr>
            <w:tcW w:w="507" w:type="pct"/>
            <w:tcBorders>
              <w:top w:val="nil"/>
              <w:left w:val="nil"/>
              <w:bottom w:val="nil"/>
              <w:right w:val="nil"/>
            </w:tcBorders>
            <w:vAlign w:val="bottom"/>
          </w:tcPr>
          <w:p w14:paraId="784FAB3D"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3,989,089</w:t>
            </w:r>
          </w:p>
        </w:tc>
        <w:tc>
          <w:tcPr>
            <w:tcW w:w="493" w:type="pct"/>
            <w:tcBorders>
              <w:top w:val="nil"/>
              <w:left w:val="nil"/>
              <w:bottom w:val="nil"/>
              <w:right w:val="nil"/>
            </w:tcBorders>
            <w:vAlign w:val="bottom"/>
          </w:tcPr>
          <w:p w14:paraId="236938BA"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3,307</w:t>
            </w:r>
          </w:p>
        </w:tc>
        <w:tc>
          <w:tcPr>
            <w:tcW w:w="507" w:type="pct"/>
            <w:tcBorders>
              <w:top w:val="nil"/>
              <w:left w:val="nil"/>
              <w:bottom w:val="nil"/>
              <w:right w:val="nil"/>
            </w:tcBorders>
            <w:vAlign w:val="bottom"/>
          </w:tcPr>
          <w:p w14:paraId="16B1EAE6" w14:textId="77777777" w:rsidR="00587444" w:rsidRPr="00587444"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7,050,143</w:t>
            </w:r>
          </w:p>
        </w:tc>
        <w:tc>
          <w:tcPr>
            <w:tcW w:w="506" w:type="pct"/>
            <w:tcBorders>
              <w:top w:val="nil"/>
              <w:left w:val="nil"/>
              <w:bottom w:val="nil"/>
              <w:right w:val="nil"/>
            </w:tcBorders>
            <w:vAlign w:val="bottom"/>
          </w:tcPr>
          <w:p w14:paraId="428D3D4A" w14:textId="77777777" w:rsidR="00587444" w:rsidRPr="00587444" w:rsidDel="00D96E20"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6,925,020</w:t>
            </w:r>
          </w:p>
        </w:tc>
      </w:tr>
      <w:tr w:rsidR="00587444" w:rsidRPr="00587444" w14:paraId="0015EB90" w14:textId="77777777" w:rsidTr="00DD69E7">
        <w:trPr>
          <w:trHeight w:val="309"/>
        </w:trPr>
        <w:tc>
          <w:tcPr>
            <w:tcW w:w="1073" w:type="pct"/>
            <w:vAlign w:val="bottom"/>
          </w:tcPr>
          <w:p w14:paraId="0B93926F"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other customers </w:t>
            </w:r>
          </w:p>
        </w:tc>
        <w:tc>
          <w:tcPr>
            <w:tcW w:w="488" w:type="pct"/>
            <w:tcBorders>
              <w:top w:val="nil"/>
              <w:left w:val="nil"/>
              <w:bottom w:val="nil"/>
              <w:right w:val="nil"/>
            </w:tcBorders>
            <w:vAlign w:val="bottom"/>
          </w:tcPr>
          <w:p w14:paraId="376558C2"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1,721,753</w:t>
            </w:r>
          </w:p>
        </w:tc>
        <w:tc>
          <w:tcPr>
            <w:tcW w:w="452" w:type="pct"/>
            <w:tcBorders>
              <w:top w:val="nil"/>
              <w:left w:val="nil"/>
              <w:bottom w:val="nil"/>
              <w:right w:val="nil"/>
            </w:tcBorders>
            <w:vAlign w:val="bottom"/>
          </w:tcPr>
          <w:p w14:paraId="460AD94D"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643,354</w:t>
            </w:r>
          </w:p>
        </w:tc>
        <w:tc>
          <w:tcPr>
            <w:tcW w:w="494" w:type="pct"/>
            <w:tcBorders>
              <w:top w:val="nil"/>
              <w:left w:val="nil"/>
              <w:bottom w:val="nil"/>
              <w:right w:val="nil"/>
            </w:tcBorders>
            <w:vAlign w:val="bottom"/>
          </w:tcPr>
          <w:p w14:paraId="293F3C1C"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1,294,971</w:t>
            </w:r>
          </w:p>
        </w:tc>
        <w:tc>
          <w:tcPr>
            <w:tcW w:w="479" w:type="pct"/>
            <w:tcBorders>
              <w:top w:val="nil"/>
              <w:left w:val="nil"/>
              <w:bottom w:val="nil"/>
              <w:right w:val="nil"/>
            </w:tcBorders>
            <w:vAlign w:val="bottom"/>
          </w:tcPr>
          <w:p w14:paraId="79F1CF8A"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3,130,097</w:t>
            </w:r>
          </w:p>
        </w:tc>
        <w:tc>
          <w:tcPr>
            <w:tcW w:w="507" w:type="pct"/>
            <w:tcBorders>
              <w:top w:val="nil"/>
              <w:left w:val="nil"/>
              <w:bottom w:val="nil"/>
              <w:right w:val="nil"/>
            </w:tcBorders>
            <w:vAlign w:val="bottom"/>
          </w:tcPr>
          <w:p w14:paraId="4CB3EB60"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8,977,083</w:t>
            </w:r>
          </w:p>
        </w:tc>
        <w:tc>
          <w:tcPr>
            <w:tcW w:w="493" w:type="pct"/>
            <w:tcBorders>
              <w:top w:val="nil"/>
              <w:left w:val="nil"/>
              <w:bottom w:val="nil"/>
              <w:right w:val="nil"/>
            </w:tcBorders>
            <w:vAlign w:val="bottom"/>
          </w:tcPr>
          <w:p w14:paraId="2D59A0A9"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197,118</w:t>
            </w:r>
          </w:p>
        </w:tc>
        <w:tc>
          <w:tcPr>
            <w:tcW w:w="507" w:type="pct"/>
            <w:tcBorders>
              <w:top w:val="nil"/>
              <w:left w:val="nil"/>
              <w:bottom w:val="nil"/>
              <w:right w:val="nil"/>
            </w:tcBorders>
            <w:vAlign w:val="bottom"/>
          </w:tcPr>
          <w:p w14:paraId="6275449D" w14:textId="77777777" w:rsidR="00587444" w:rsidRPr="00587444"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15,964,376</w:t>
            </w:r>
          </w:p>
        </w:tc>
        <w:tc>
          <w:tcPr>
            <w:tcW w:w="506" w:type="pct"/>
            <w:tcBorders>
              <w:top w:val="nil"/>
              <w:left w:val="nil"/>
              <w:bottom w:val="nil"/>
              <w:right w:val="nil"/>
            </w:tcBorders>
            <w:vAlign w:val="bottom"/>
          </w:tcPr>
          <w:p w14:paraId="47D63757" w14:textId="77777777" w:rsidR="00587444" w:rsidRPr="00587444" w:rsidDel="00D96E20"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14,941,579</w:t>
            </w:r>
          </w:p>
        </w:tc>
      </w:tr>
      <w:tr w:rsidR="00587444" w:rsidRPr="00587444" w14:paraId="62B085AC" w14:textId="77777777" w:rsidTr="00DD69E7">
        <w:tc>
          <w:tcPr>
            <w:tcW w:w="1073" w:type="pct"/>
          </w:tcPr>
          <w:p w14:paraId="63FA9674"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profit or loss</w:t>
            </w:r>
          </w:p>
        </w:tc>
        <w:tc>
          <w:tcPr>
            <w:tcW w:w="488" w:type="pct"/>
            <w:vAlign w:val="bottom"/>
          </w:tcPr>
          <w:p w14:paraId="1F6AC140"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52" w:type="pct"/>
            <w:vAlign w:val="bottom"/>
          </w:tcPr>
          <w:p w14:paraId="5D8484F2"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94" w:type="pct"/>
            <w:vAlign w:val="bottom"/>
          </w:tcPr>
          <w:p w14:paraId="3FED29CE"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79" w:type="pct"/>
            <w:vAlign w:val="bottom"/>
          </w:tcPr>
          <w:p w14:paraId="0869A146"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507" w:type="pct"/>
            <w:vAlign w:val="bottom"/>
          </w:tcPr>
          <w:p w14:paraId="575CC150"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16,375</w:t>
            </w:r>
          </w:p>
        </w:tc>
        <w:tc>
          <w:tcPr>
            <w:tcW w:w="493" w:type="pct"/>
            <w:vAlign w:val="bottom"/>
          </w:tcPr>
          <w:p w14:paraId="1C70ED76"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202,609</w:t>
            </w:r>
          </w:p>
        </w:tc>
        <w:tc>
          <w:tcPr>
            <w:tcW w:w="507" w:type="pct"/>
            <w:vAlign w:val="bottom"/>
          </w:tcPr>
          <w:p w14:paraId="335281B7" w14:textId="77777777" w:rsidR="00587444" w:rsidRPr="00587444"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218,984</w:t>
            </w:r>
          </w:p>
        </w:tc>
        <w:tc>
          <w:tcPr>
            <w:tcW w:w="506" w:type="pct"/>
            <w:vAlign w:val="bottom"/>
          </w:tcPr>
          <w:p w14:paraId="7F4705A5" w14:textId="77777777" w:rsidR="00587444" w:rsidRPr="00587444" w:rsidDel="00D96E20"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16,375</w:t>
            </w:r>
          </w:p>
        </w:tc>
      </w:tr>
      <w:tr w:rsidR="00587444" w:rsidRPr="00587444" w14:paraId="0474FD5B" w14:textId="77777777" w:rsidTr="00DD69E7">
        <w:trPr>
          <w:trHeight w:val="519"/>
        </w:trPr>
        <w:tc>
          <w:tcPr>
            <w:tcW w:w="1073" w:type="pct"/>
          </w:tcPr>
          <w:p w14:paraId="290505B5" w14:textId="77777777" w:rsidR="00587444" w:rsidRPr="00587444" w:rsidDel="0082071C" w:rsidRDefault="00587444" w:rsidP="00587444">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other comprehensive income</w:t>
            </w:r>
          </w:p>
        </w:tc>
        <w:tc>
          <w:tcPr>
            <w:tcW w:w="488" w:type="pct"/>
            <w:vAlign w:val="bottom"/>
          </w:tcPr>
          <w:p w14:paraId="40B8ABA6" w14:textId="77777777" w:rsidR="00587444" w:rsidRPr="00587444" w:rsidDel="008D408B"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2,857,247</w:t>
            </w:r>
          </w:p>
        </w:tc>
        <w:tc>
          <w:tcPr>
            <w:tcW w:w="452" w:type="pct"/>
            <w:vAlign w:val="bottom"/>
          </w:tcPr>
          <w:p w14:paraId="079DD04E" w14:textId="77777777" w:rsidR="00587444" w:rsidRPr="00587444" w:rsidDel="008D408B"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94" w:type="pct"/>
            <w:vAlign w:val="bottom"/>
          </w:tcPr>
          <w:p w14:paraId="4C4D0160" w14:textId="77777777" w:rsidR="00587444" w:rsidRPr="00587444" w:rsidDel="008D408B"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79" w:type="pct"/>
            <w:vAlign w:val="bottom"/>
          </w:tcPr>
          <w:p w14:paraId="413A8CD4" w14:textId="77777777" w:rsidR="00587444" w:rsidRPr="00587444" w:rsidDel="008D408B"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507" w:type="pct"/>
            <w:vAlign w:val="bottom"/>
          </w:tcPr>
          <w:p w14:paraId="7E396965" w14:textId="77777777" w:rsidR="00587444" w:rsidRPr="00587444" w:rsidDel="008D408B"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93" w:type="pct"/>
            <w:vAlign w:val="bottom"/>
          </w:tcPr>
          <w:p w14:paraId="7B8D335C" w14:textId="77777777" w:rsidR="00587444" w:rsidRPr="00587444" w:rsidDel="008D408B"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58,457</w:t>
            </w:r>
          </w:p>
        </w:tc>
        <w:tc>
          <w:tcPr>
            <w:tcW w:w="507" w:type="pct"/>
            <w:vAlign w:val="bottom"/>
          </w:tcPr>
          <w:p w14:paraId="72F8515F" w14:textId="77777777" w:rsidR="00587444" w:rsidRPr="00587444" w:rsidDel="008D408B"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2,915,704</w:t>
            </w:r>
          </w:p>
        </w:tc>
        <w:tc>
          <w:tcPr>
            <w:tcW w:w="506" w:type="pct"/>
            <w:vAlign w:val="bottom"/>
          </w:tcPr>
          <w:p w14:paraId="3B569A94" w14:textId="77777777" w:rsidR="00587444" w:rsidRPr="00587444" w:rsidDel="00D96E20"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2,857,247</w:t>
            </w:r>
          </w:p>
        </w:tc>
      </w:tr>
      <w:tr w:rsidR="00587444" w:rsidRPr="00587444" w14:paraId="212AF1EF" w14:textId="77777777" w:rsidTr="00DD69E7">
        <w:tc>
          <w:tcPr>
            <w:tcW w:w="1073" w:type="pct"/>
            <w:vAlign w:val="bottom"/>
          </w:tcPr>
          <w:p w14:paraId="17283A84"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assets </w:t>
            </w:r>
          </w:p>
        </w:tc>
        <w:tc>
          <w:tcPr>
            <w:tcW w:w="488" w:type="pct"/>
            <w:vAlign w:val="bottom"/>
          </w:tcPr>
          <w:p w14:paraId="7D59A51A"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52" w:type="pct"/>
            <w:vAlign w:val="bottom"/>
          </w:tcPr>
          <w:p w14:paraId="731FDDC3"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94" w:type="pct"/>
            <w:vAlign w:val="bottom"/>
          </w:tcPr>
          <w:p w14:paraId="288B83D8"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79" w:type="pct"/>
            <w:vAlign w:val="bottom"/>
          </w:tcPr>
          <w:p w14:paraId="0B4DAEA5"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507" w:type="pct"/>
            <w:vAlign w:val="bottom"/>
          </w:tcPr>
          <w:p w14:paraId="3E3193C2"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c>
          <w:tcPr>
            <w:tcW w:w="493" w:type="pct"/>
            <w:tcBorders>
              <w:bottom w:val="single" w:sz="4" w:space="0" w:color="auto"/>
            </w:tcBorders>
            <w:vAlign w:val="bottom"/>
          </w:tcPr>
          <w:p w14:paraId="0EFE4C93" w14:textId="77777777" w:rsidR="00587444" w:rsidRPr="00587444"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34,494</w:t>
            </w:r>
          </w:p>
        </w:tc>
        <w:tc>
          <w:tcPr>
            <w:tcW w:w="507" w:type="pct"/>
            <w:tcBorders>
              <w:bottom w:val="single" w:sz="4" w:space="0" w:color="auto"/>
            </w:tcBorders>
            <w:vAlign w:val="bottom"/>
          </w:tcPr>
          <w:p w14:paraId="4CCC67BD" w14:textId="77777777" w:rsidR="00587444" w:rsidRPr="00587444" w:rsidRDefault="00587444" w:rsidP="00587444">
            <w:pPr>
              <w:suppressAutoHyphens w:val="0"/>
              <w:autoSpaceDN/>
              <w:spacing w:line="280" w:lineRule="exact"/>
              <w:jc w:val="right"/>
              <w:rPr>
                <w:rFonts w:ascii="Arial" w:eastAsia="Calibri" w:hAnsi="Arial" w:cs="Arial"/>
                <w:bCs/>
                <w:sz w:val="15"/>
                <w:szCs w:val="15"/>
              </w:rPr>
            </w:pPr>
            <w:r w:rsidRPr="00587444">
              <w:rPr>
                <w:rFonts w:ascii="Arial" w:eastAsia="Calibri" w:hAnsi="Arial" w:cs="Arial"/>
                <w:bCs/>
                <w:color w:val="000000"/>
                <w:sz w:val="15"/>
                <w:szCs w:val="15"/>
                <w:lang w:val="hr-HR"/>
              </w:rPr>
              <w:t>34,494</w:t>
            </w:r>
          </w:p>
        </w:tc>
        <w:tc>
          <w:tcPr>
            <w:tcW w:w="506" w:type="pct"/>
            <w:tcBorders>
              <w:bottom w:val="single" w:sz="4" w:space="0" w:color="auto"/>
            </w:tcBorders>
            <w:vAlign w:val="bottom"/>
          </w:tcPr>
          <w:p w14:paraId="58B48A50" w14:textId="77777777" w:rsidR="00587444" w:rsidRPr="00587444" w:rsidDel="00D96E20" w:rsidRDefault="00587444" w:rsidP="00587444">
            <w:pPr>
              <w:suppressAutoHyphens w:val="0"/>
              <w:autoSpaceDN/>
              <w:spacing w:line="280" w:lineRule="exact"/>
              <w:jc w:val="right"/>
              <w:rPr>
                <w:rFonts w:ascii="Arial" w:eastAsia="Calibri" w:hAnsi="Arial" w:cs="Arial"/>
                <w:sz w:val="15"/>
                <w:szCs w:val="15"/>
              </w:rPr>
            </w:pPr>
            <w:r w:rsidRPr="00587444">
              <w:rPr>
                <w:rFonts w:ascii="Arial" w:eastAsia="Calibri" w:hAnsi="Arial" w:cs="Arial"/>
                <w:bCs/>
                <w:color w:val="000000"/>
                <w:sz w:val="15"/>
                <w:szCs w:val="15"/>
                <w:lang w:val="hr-HR"/>
              </w:rPr>
              <w:t>-</w:t>
            </w:r>
          </w:p>
        </w:tc>
      </w:tr>
      <w:tr w:rsidR="00587444" w:rsidRPr="00587444" w14:paraId="6FC07628" w14:textId="77777777" w:rsidTr="00DD69E7">
        <w:trPr>
          <w:trHeight w:hRule="exact" w:val="407"/>
        </w:trPr>
        <w:tc>
          <w:tcPr>
            <w:tcW w:w="1073" w:type="pct"/>
            <w:vAlign w:val="bottom"/>
          </w:tcPr>
          <w:p w14:paraId="0790339F" w14:textId="77777777" w:rsidR="00587444" w:rsidRPr="00587444" w:rsidRDefault="00587444" w:rsidP="00587444">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b/>
                <w:bCs/>
                <w:sz w:val="15"/>
                <w:szCs w:val="15"/>
              </w:rPr>
              <w:t>Total assets</w:t>
            </w:r>
          </w:p>
        </w:tc>
        <w:tc>
          <w:tcPr>
            <w:tcW w:w="488" w:type="pct"/>
            <w:tcBorders>
              <w:top w:val="single" w:sz="4" w:space="0" w:color="auto"/>
              <w:left w:val="nil"/>
              <w:bottom w:val="single" w:sz="8" w:space="0" w:color="auto"/>
              <w:right w:val="nil"/>
            </w:tcBorders>
            <w:vAlign w:val="bottom"/>
          </w:tcPr>
          <w:p w14:paraId="42190D6A" w14:textId="77777777" w:rsidR="00587444" w:rsidRPr="00587444" w:rsidRDefault="00587444" w:rsidP="00587444">
            <w:pPr>
              <w:suppressAutoHyphens w:val="0"/>
              <w:autoSpaceDN/>
              <w:spacing w:line="320" w:lineRule="exact"/>
              <w:jc w:val="right"/>
              <w:rPr>
                <w:rFonts w:ascii="Arial" w:hAnsi="Arial" w:cs="Arial"/>
                <w:b/>
                <w:bCs/>
                <w:color w:val="000000"/>
                <w:sz w:val="15"/>
                <w:szCs w:val="15"/>
              </w:rPr>
            </w:pPr>
            <w:r w:rsidRPr="00587444">
              <w:rPr>
                <w:rFonts w:ascii="Arial" w:eastAsia="Calibri" w:hAnsi="Arial" w:cs="Arial"/>
                <w:b/>
                <w:color w:val="000000"/>
                <w:sz w:val="15"/>
                <w:szCs w:val="15"/>
                <w:lang w:val="hr-HR"/>
              </w:rPr>
              <w:t>4,796,551</w:t>
            </w:r>
          </w:p>
        </w:tc>
        <w:tc>
          <w:tcPr>
            <w:tcW w:w="452" w:type="pct"/>
            <w:tcBorders>
              <w:top w:val="single" w:sz="4" w:space="0" w:color="auto"/>
              <w:left w:val="nil"/>
              <w:bottom w:val="single" w:sz="8" w:space="0" w:color="auto"/>
              <w:right w:val="nil"/>
            </w:tcBorders>
            <w:vAlign w:val="bottom"/>
          </w:tcPr>
          <w:p w14:paraId="56246D41" w14:textId="77777777" w:rsidR="00587444" w:rsidRPr="00587444" w:rsidRDefault="00587444" w:rsidP="00587444">
            <w:pPr>
              <w:suppressAutoHyphens w:val="0"/>
              <w:autoSpaceDN/>
              <w:spacing w:line="320" w:lineRule="exact"/>
              <w:jc w:val="right"/>
              <w:rPr>
                <w:rFonts w:ascii="Arial" w:hAnsi="Arial" w:cs="Arial"/>
                <w:b/>
                <w:bCs/>
                <w:color w:val="000000"/>
                <w:sz w:val="15"/>
                <w:szCs w:val="15"/>
              </w:rPr>
            </w:pPr>
            <w:r w:rsidRPr="00587444">
              <w:rPr>
                <w:rFonts w:ascii="Arial" w:eastAsia="Calibri" w:hAnsi="Arial" w:cs="Arial"/>
                <w:b/>
                <w:color w:val="000000"/>
                <w:sz w:val="15"/>
                <w:szCs w:val="15"/>
                <w:lang w:val="hr-HR"/>
              </w:rPr>
              <w:t>944,035</w:t>
            </w:r>
          </w:p>
        </w:tc>
        <w:tc>
          <w:tcPr>
            <w:tcW w:w="494" w:type="pct"/>
            <w:tcBorders>
              <w:top w:val="single" w:sz="4" w:space="0" w:color="auto"/>
              <w:left w:val="nil"/>
              <w:bottom w:val="single" w:sz="8" w:space="0" w:color="auto"/>
              <w:right w:val="nil"/>
            </w:tcBorders>
            <w:vAlign w:val="bottom"/>
          </w:tcPr>
          <w:p w14:paraId="4E8036F8" w14:textId="77777777" w:rsidR="00587444" w:rsidRPr="00587444" w:rsidRDefault="00587444" w:rsidP="00587444">
            <w:pPr>
              <w:suppressAutoHyphens w:val="0"/>
              <w:autoSpaceDN/>
              <w:spacing w:line="320" w:lineRule="exact"/>
              <w:jc w:val="right"/>
              <w:rPr>
                <w:rFonts w:ascii="Arial" w:hAnsi="Arial" w:cs="Arial"/>
                <w:b/>
                <w:bCs/>
                <w:color w:val="000000"/>
                <w:sz w:val="15"/>
                <w:szCs w:val="15"/>
              </w:rPr>
            </w:pPr>
            <w:r w:rsidRPr="00587444">
              <w:rPr>
                <w:rFonts w:ascii="Arial" w:eastAsia="Calibri" w:hAnsi="Arial" w:cs="Arial"/>
                <w:b/>
                <w:color w:val="000000"/>
                <w:sz w:val="15"/>
                <w:szCs w:val="15"/>
                <w:lang w:val="hr-HR"/>
              </w:rPr>
              <w:t>2,089,794</w:t>
            </w:r>
          </w:p>
        </w:tc>
        <w:tc>
          <w:tcPr>
            <w:tcW w:w="479" w:type="pct"/>
            <w:tcBorders>
              <w:top w:val="single" w:sz="4" w:space="0" w:color="auto"/>
              <w:left w:val="nil"/>
              <w:bottom w:val="single" w:sz="8" w:space="0" w:color="auto"/>
              <w:right w:val="nil"/>
            </w:tcBorders>
            <w:vAlign w:val="bottom"/>
          </w:tcPr>
          <w:p w14:paraId="27C9B890" w14:textId="77777777" w:rsidR="00587444" w:rsidRPr="00587444" w:rsidRDefault="00587444" w:rsidP="00587444">
            <w:pPr>
              <w:suppressAutoHyphens w:val="0"/>
              <w:autoSpaceDN/>
              <w:spacing w:line="320" w:lineRule="exact"/>
              <w:jc w:val="right"/>
              <w:rPr>
                <w:rFonts w:ascii="Arial" w:hAnsi="Arial" w:cs="Arial"/>
                <w:b/>
                <w:bCs/>
                <w:color w:val="000000"/>
                <w:sz w:val="15"/>
                <w:szCs w:val="15"/>
              </w:rPr>
            </w:pPr>
            <w:r w:rsidRPr="00587444">
              <w:rPr>
                <w:rFonts w:ascii="Arial" w:eastAsia="Calibri" w:hAnsi="Arial" w:cs="Arial"/>
                <w:b/>
                <w:color w:val="000000"/>
                <w:sz w:val="15"/>
                <w:szCs w:val="15"/>
                <w:lang w:val="hr-HR"/>
              </w:rPr>
              <w:t>4,955,691</w:t>
            </w:r>
          </w:p>
        </w:tc>
        <w:tc>
          <w:tcPr>
            <w:tcW w:w="507" w:type="pct"/>
            <w:tcBorders>
              <w:top w:val="single" w:sz="4" w:space="0" w:color="auto"/>
              <w:left w:val="nil"/>
              <w:bottom w:val="single" w:sz="8" w:space="0" w:color="auto"/>
              <w:right w:val="nil"/>
            </w:tcBorders>
            <w:vAlign w:val="bottom"/>
          </w:tcPr>
          <w:p w14:paraId="00BA3872" w14:textId="77777777" w:rsidR="00587444" w:rsidRPr="00587444" w:rsidRDefault="00587444" w:rsidP="00587444">
            <w:pPr>
              <w:suppressAutoHyphens w:val="0"/>
              <w:autoSpaceDN/>
              <w:spacing w:line="320" w:lineRule="exact"/>
              <w:jc w:val="right"/>
              <w:rPr>
                <w:rFonts w:ascii="Arial" w:hAnsi="Arial" w:cs="Arial"/>
                <w:b/>
                <w:bCs/>
                <w:color w:val="000000"/>
                <w:sz w:val="15"/>
                <w:szCs w:val="15"/>
              </w:rPr>
            </w:pPr>
            <w:r w:rsidRPr="00587444">
              <w:rPr>
                <w:rFonts w:ascii="Arial" w:eastAsia="Calibri" w:hAnsi="Arial" w:cs="Arial"/>
                <w:b/>
                <w:color w:val="000000"/>
                <w:sz w:val="15"/>
                <w:szCs w:val="15"/>
                <w:lang w:val="hr-HR"/>
              </w:rPr>
              <w:t>12,982,547</w:t>
            </w:r>
          </w:p>
        </w:tc>
        <w:tc>
          <w:tcPr>
            <w:tcW w:w="493" w:type="pct"/>
            <w:tcBorders>
              <w:top w:val="single" w:sz="4" w:space="0" w:color="auto"/>
              <w:left w:val="nil"/>
              <w:bottom w:val="single" w:sz="8" w:space="0" w:color="auto"/>
              <w:right w:val="nil"/>
            </w:tcBorders>
            <w:vAlign w:val="bottom"/>
          </w:tcPr>
          <w:p w14:paraId="03140F83" w14:textId="77777777" w:rsidR="00587444" w:rsidRPr="00587444" w:rsidRDefault="00587444" w:rsidP="00587444">
            <w:pPr>
              <w:suppressAutoHyphens w:val="0"/>
              <w:autoSpaceDN/>
              <w:spacing w:line="320" w:lineRule="exact"/>
              <w:jc w:val="right"/>
              <w:rPr>
                <w:rFonts w:ascii="Arial" w:hAnsi="Arial" w:cs="Arial"/>
                <w:b/>
                <w:bCs/>
                <w:color w:val="000000"/>
                <w:sz w:val="15"/>
                <w:szCs w:val="15"/>
              </w:rPr>
            </w:pPr>
            <w:r w:rsidRPr="00587444">
              <w:rPr>
                <w:rFonts w:ascii="Arial" w:eastAsia="Calibri" w:hAnsi="Arial" w:cs="Arial"/>
                <w:b/>
                <w:color w:val="000000"/>
                <w:sz w:val="15"/>
                <w:szCs w:val="15"/>
                <w:lang w:val="hr-HR"/>
              </w:rPr>
              <w:t>2,381,203</w:t>
            </w:r>
          </w:p>
        </w:tc>
        <w:tc>
          <w:tcPr>
            <w:tcW w:w="507" w:type="pct"/>
            <w:tcBorders>
              <w:top w:val="single" w:sz="4" w:space="0" w:color="auto"/>
              <w:left w:val="nil"/>
              <w:bottom w:val="single" w:sz="8" w:space="0" w:color="auto"/>
              <w:right w:val="nil"/>
            </w:tcBorders>
            <w:vAlign w:val="bottom"/>
          </w:tcPr>
          <w:p w14:paraId="33A3BA81" w14:textId="77777777" w:rsidR="00587444" w:rsidRPr="00587444" w:rsidRDefault="00587444" w:rsidP="00587444">
            <w:pPr>
              <w:suppressAutoHyphens w:val="0"/>
              <w:autoSpaceDN/>
              <w:spacing w:line="320" w:lineRule="exact"/>
              <w:jc w:val="right"/>
              <w:rPr>
                <w:rFonts w:ascii="Arial" w:hAnsi="Arial" w:cs="Arial"/>
                <w:b/>
                <w:bCs/>
                <w:color w:val="000000"/>
                <w:sz w:val="15"/>
                <w:szCs w:val="15"/>
              </w:rPr>
            </w:pPr>
            <w:r w:rsidRPr="00587444">
              <w:rPr>
                <w:rFonts w:ascii="Arial" w:eastAsia="Calibri" w:hAnsi="Arial" w:cs="Arial"/>
                <w:b/>
                <w:color w:val="000000"/>
                <w:sz w:val="15"/>
                <w:szCs w:val="15"/>
                <w:lang w:val="hr-HR"/>
              </w:rPr>
              <w:t>28,149,821</w:t>
            </w:r>
          </w:p>
        </w:tc>
        <w:tc>
          <w:tcPr>
            <w:tcW w:w="506" w:type="pct"/>
            <w:tcBorders>
              <w:top w:val="single" w:sz="4" w:space="0" w:color="auto"/>
              <w:left w:val="nil"/>
              <w:bottom w:val="single" w:sz="8" w:space="0" w:color="auto"/>
              <w:right w:val="nil"/>
            </w:tcBorders>
            <w:vAlign w:val="bottom"/>
          </w:tcPr>
          <w:p w14:paraId="2B36C8C2" w14:textId="77777777" w:rsidR="00587444" w:rsidRPr="00587444" w:rsidDel="00D96E20" w:rsidRDefault="00587444" w:rsidP="00587444">
            <w:pPr>
              <w:suppressAutoHyphens w:val="0"/>
              <w:autoSpaceDN/>
              <w:spacing w:line="320" w:lineRule="exact"/>
              <w:jc w:val="right"/>
              <w:rPr>
                <w:rFonts w:ascii="Arial" w:hAnsi="Arial" w:cs="Arial"/>
                <w:b/>
                <w:bCs/>
                <w:color w:val="000000"/>
                <w:sz w:val="15"/>
                <w:szCs w:val="15"/>
              </w:rPr>
            </w:pPr>
            <w:r w:rsidRPr="00587444">
              <w:rPr>
                <w:rFonts w:ascii="Arial" w:eastAsia="Calibri" w:hAnsi="Arial" w:cs="Arial"/>
                <w:b/>
                <w:color w:val="000000"/>
                <w:sz w:val="15"/>
                <w:szCs w:val="15"/>
                <w:lang w:val="hr-HR"/>
              </w:rPr>
              <w:t>24,821,123</w:t>
            </w:r>
          </w:p>
        </w:tc>
      </w:tr>
      <w:tr w:rsidR="00587444" w:rsidRPr="00587444" w14:paraId="6076E4DC" w14:textId="77777777" w:rsidTr="00DD69E7">
        <w:trPr>
          <w:trHeight w:hRule="exact" w:val="295"/>
        </w:trPr>
        <w:tc>
          <w:tcPr>
            <w:tcW w:w="1073" w:type="pct"/>
            <w:vAlign w:val="bottom"/>
          </w:tcPr>
          <w:p w14:paraId="4581BD27" w14:textId="77777777" w:rsidR="00587444" w:rsidRPr="00587444" w:rsidRDefault="00587444" w:rsidP="00587444">
            <w:pPr>
              <w:tabs>
                <w:tab w:val="right" w:pos="1202"/>
              </w:tabs>
              <w:suppressAutoHyphens w:val="0"/>
              <w:autoSpaceDN/>
              <w:spacing w:line="320" w:lineRule="exact"/>
              <w:outlineLvl w:val="0"/>
              <w:rPr>
                <w:rFonts w:ascii="Arial" w:hAnsi="Arial" w:cs="Arial"/>
                <w:b/>
                <w:bCs/>
                <w:sz w:val="15"/>
                <w:szCs w:val="15"/>
              </w:rPr>
            </w:pPr>
          </w:p>
        </w:tc>
        <w:tc>
          <w:tcPr>
            <w:tcW w:w="488" w:type="pct"/>
            <w:tcBorders>
              <w:top w:val="single" w:sz="12" w:space="0" w:color="auto"/>
              <w:left w:val="nil"/>
              <w:right w:val="nil"/>
            </w:tcBorders>
            <w:vAlign w:val="bottom"/>
          </w:tcPr>
          <w:p w14:paraId="1D425085"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52" w:type="pct"/>
            <w:tcBorders>
              <w:top w:val="single" w:sz="12" w:space="0" w:color="auto"/>
              <w:left w:val="nil"/>
              <w:right w:val="nil"/>
            </w:tcBorders>
            <w:vAlign w:val="bottom"/>
          </w:tcPr>
          <w:p w14:paraId="1417BF82"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94" w:type="pct"/>
            <w:tcBorders>
              <w:top w:val="single" w:sz="12" w:space="0" w:color="auto"/>
              <w:left w:val="nil"/>
              <w:right w:val="nil"/>
            </w:tcBorders>
            <w:vAlign w:val="bottom"/>
          </w:tcPr>
          <w:p w14:paraId="6E1A92C0"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79" w:type="pct"/>
            <w:tcBorders>
              <w:top w:val="single" w:sz="12" w:space="0" w:color="auto"/>
              <w:left w:val="nil"/>
              <w:right w:val="nil"/>
            </w:tcBorders>
            <w:vAlign w:val="bottom"/>
          </w:tcPr>
          <w:p w14:paraId="0C7CB641"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507" w:type="pct"/>
            <w:tcBorders>
              <w:top w:val="single" w:sz="12" w:space="0" w:color="auto"/>
              <w:left w:val="nil"/>
              <w:right w:val="nil"/>
            </w:tcBorders>
            <w:vAlign w:val="bottom"/>
          </w:tcPr>
          <w:p w14:paraId="2768A1AC"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93" w:type="pct"/>
            <w:tcBorders>
              <w:top w:val="single" w:sz="12" w:space="0" w:color="auto"/>
              <w:left w:val="nil"/>
              <w:right w:val="nil"/>
            </w:tcBorders>
            <w:vAlign w:val="bottom"/>
          </w:tcPr>
          <w:p w14:paraId="740F16F4"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507" w:type="pct"/>
            <w:tcBorders>
              <w:top w:val="single" w:sz="12" w:space="0" w:color="auto"/>
              <w:left w:val="nil"/>
              <w:right w:val="nil"/>
            </w:tcBorders>
            <w:vAlign w:val="bottom"/>
          </w:tcPr>
          <w:p w14:paraId="01F075D2"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506" w:type="pct"/>
            <w:tcBorders>
              <w:top w:val="single" w:sz="12" w:space="0" w:color="auto"/>
              <w:left w:val="nil"/>
              <w:right w:val="nil"/>
            </w:tcBorders>
            <w:vAlign w:val="bottom"/>
          </w:tcPr>
          <w:p w14:paraId="00E4B16A"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p>
        </w:tc>
      </w:tr>
      <w:tr w:rsidR="00587444" w:rsidRPr="00587444" w14:paraId="06C10072" w14:textId="77777777" w:rsidTr="00DD69E7">
        <w:trPr>
          <w:trHeight w:hRule="exact" w:val="279"/>
        </w:trPr>
        <w:tc>
          <w:tcPr>
            <w:tcW w:w="1073" w:type="pct"/>
          </w:tcPr>
          <w:p w14:paraId="4C36A2FB" w14:textId="77777777" w:rsidR="00587444" w:rsidRPr="00587444" w:rsidRDefault="00587444" w:rsidP="00587444">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b/>
                <w:bCs/>
                <w:sz w:val="15"/>
                <w:szCs w:val="15"/>
              </w:rPr>
              <w:t xml:space="preserve">Liabilities </w:t>
            </w:r>
          </w:p>
        </w:tc>
        <w:tc>
          <w:tcPr>
            <w:tcW w:w="488" w:type="pct"/>
            <w:tcBorders>
              <w:left w:val="nil"/>
              <w:right w:val="nil"/>
            </w:tcBorders>
            <w:vAlign w:val="bottom"/>
          </w:tcPr>
          <w:p w14:paraId="671766D3"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52" w:type="pct"/>
            <w:tcBorders>
              <w:left w:val="nil"/>
              <w:right w:val="nil"/>
            </w:tcBorders>
            <w:vAlign w:val="bottom"/>
          </w:tcPr>
          <w:p w14:paraId="07D09F39"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94" w:type="pct"/>
            <w:tcBorders>
              <w:left w:val="nil"/>
              <w:right w:val="nil"/>
            </w:tcBorders>
            <w:vAlign w:val="bottom"/>
          </w:tcPr>
          <w:p w14:paraId="6978F6C4"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79" w:type="pct"/>
            <w:tcBorders>
              <w:left w:val="nil"/>
              <w:right w:val="nil"/>
            </w:tcBorders>
            <w:vAlign w:val="bottom"/>
          </w:tcPr>
          <w:p w14:paraId="609FABB8"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507" w:type="pct"/>
            <w:tcBorders>
              <w:left w:val="nil"/>
              <w:right w:val="nil"/>
            </w:tcBorders>
            <w:vAlign w:val="bottom"/>
          </w:tcPr>
          <w:p w14:paraId="688BAEF9"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493" w:type="pct"/>
            <w:tcBorders>
              <w:left w:val="nil"/>
              <w:right w:val="nil"/>
            </w:tcBorders>
            <w:vAlign w:val="bottom"/>
          </w:tcPr>
          <w:p w14:paraId="51C46D55"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507" w:type="pct"/>
            <w:tcBorders>
              <w:left w:val="nil"/>
              <w:right w:val="nil"/>
            </w:tcBorders>
            <w:vAlign w:val="bottom"/>
          </w:tcPr>
          <w:p w14:paraId="77A33EC7"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p>
        </w:tc>
        <w:tc>
          <w:tcPr>
            <w:tcW w:w="506" w:type="pct"/>
            <w:tcBorders>
              <w:left w:val="nil"/>
              <w:right w:val="nil"/>
            </w:tcBorders>
            <w:vAlign w:val="bottom"/>
          </w:tcPr>
          <w:p w14:paraId="4CAC3D85"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p>
        </w:tc>
      </w:tr>
      <w:tr w:rsidR="00587444" w:rsidRPr="00587444" w14:paraId="13C05C68" w14:textId="77777777" w:rsidTr="00DD69E7">
        <w:trPr>
          <w:trHeight w:hRule="exact" w:val="285"/>
        </w:trPr>
        <w:tc>
          <w:tcPr>
            <w:tcW w:w="1073" w:type="pct"/>
            <w:vAlign w:val="center"/>
          </w:tcPr>
          <w:p w14:paraId="353AC2D2" w14:textId="77777777" w:rsidR="00587444" w:rsidRPr="00587444" w:rsidRDefault="00587444" w:rsidP="00587444">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spacing w:val="-2"/>
                <w:sz w:val="15"/>
                <w:szCs w:val="15"/>
              </w:rPr>
              <w:t xml:space="preserve">Deposits from customers </w:t>
            </w:r>
          </w:p>
        </w:tc>
        <w:tc>
          <w:tcPr>
            <w:tcW w:w="488" w:type="pct"/>
            <w:tcBorders>
              <w:top w:val="nil"/>
              <w:left w:val="nil"/>
              <w:bottom w:val="nil"/>
              <w:right w:val="nil"/>
            </w:tcBorders>
            <w:vAlign w:val="bottom"/>
          </w:tcPr>
          <w:p w14:paraId="2A50CEFA"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417,163</w:t>
            </w:r>
          </w:p>
        </w:tc>
        <w:tc>
          <w:tcPr>
            <w:tcW w:w="452" w:type="pct"/>
            <w:vAlign w:val="bottom"/>
          </w:tcPr>
          <w:p w14:paraId="79211ABE"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w:t>
            </w:r>
          </w:p>
        </w:tc>
        <w:tc>
          <w:tcPr>
            <w:tcW w:w="494" w:type="pct"/>
            <w:vAlign w:val="bottom"/>
          </w:tcPr>
          <w:p w14:paraId="060BE7A2"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w:t>
            </w:r>
          </w:p>
        </w:tc>
        <w:tc>
          <w:tcPr>
            <w:tcW w:w="479" w:type="pct"/>
            <w:vAlign w:val="bottom"/>
          </w:tcPr>
          <w:p w14:paraId="11C1E807"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w:t>
            </w:r>
          </w:p>
        </w:tc>
        <w:tc>
          <w:tcPr>
            <w:tcW w:w="507" w:type="pct"/>
            <w:vAlign w:val="bottom"/>
          </w:tcPr>
          <w:p w14:paraId="56EF1488"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w:t>
            </w:r>
          </w:p>
        </w:tc>
        <w:tc>
          <w:tcPr>
            <w:tcW w:w="493" w:type="pct"/>
            <w:tcBorders>
              <w:top w:val="nil"/>
              <w:left w:val="nil"/>
              <w:bottom w:val="nil"/>
              <w:right w:val="nil"/>
            </w:tcBorders>
            <w:vAlign w:val="bottom"/>
          </w:tcPr>
          <w:p w14:paraId="2CF383E4"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543,378</w:t>
            </w:r>
          </w:p>
        </w:tc>
        <w:tc>
          <w:tcPr>
            <w:tcW w:w="507" w:type="pct"/>
            <w:tcBorders>
              <w:top w:val="nil"/>
              <w:left w:val="nil"/>
              <w:bottom w:val="nil"/>
              <w:right w:val="nil"/>
            </w:tcBorders>
            <w:vAlign w:val="bottom"/>
          </w:tcPr>
          <w:p w14:paraId="15179D8B"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960,541</w:t>
            </w:r>
          </w:p>
        </w:tc>
        <w:tc>
          <w:tcPr>
            <w:tcW w:w="506" w:type="pct"/>
            <w:tcBorders>
              <w:top w:val="nil"/>
              <w:left w:val="nil"/>
              <w:bottom w:val="nil"/>
              <w:right w:val="nil"/>
            </w:tcBorders>
            <w:vAlign w:val="bottom"/>
          </w:tcPr>
          <w:p w14:paraId="46039D8F"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417,163</w:t>
            </w:r>
          </w:p>
        </w:tc>
      </w:tr>
      <w:tr w:rsidR="00587444" w:rsidRPr="00587444" w14:paraId="1D3B26A5" w14:textId="77777777" w:rsidTr="00DD69E7">
        <w:trPr>
          <w:trHeight w:hRule="exact" w:val="277"/>
        </w:trPr>
        <w:tc>
          <w:tcPr>
            <w:tcW w:w="1073" w:type="pct"/>
          </w:tcPr>
          <w:p w14:paraId="55A5B302"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Borrowings </w:t>
            </w:r>
          </w:p>
        </w:tc>
        <w:tc>
          <w:tcPr>
            <w:tcW w:w="488" w:type="pct"/>
            <w:tcBorders>
              <w:top w:val="nil"/>
              <w:left w:val="nil"/>
              <w:bottom w:val="nil"/>
              <w:right w:val="nil"/>
            </w:tcBorders>
            <w:vAlign w:val="bottom"/>
          </w:tcPr>
          <w:p w14:paraId="50D13A87" w14:textId="77777777" w:rsidR="00587444" w:rsidRPr="00587444" w:rsidRDefault="00587444" w:rsidP="00587444">
            <w:pPr>
              <w:suppressAutoHyphens w:val="0"/>
              <w:autoSpaceDN/>
              <w:spacing w:line="280" w:lineRule="exact"/>
              <w:jc w:val="right"/>
              <w:rPr>
                <w:rFonts w:ascii="Arial" w:hAnsi="Arial" w:cs="Arial"/>
                <w:sz w:val="15"/>
                <w:szCs w:val="15"/>
              </w:rPr>
            </w:pPr>
            <w:r w:rsidRPr="00587444">
              <w:rPr>
                <w:rFonts w:ascii="Arial" w:eastAsia="Calibri" w:hAnsi="Arial" w:cs="Arial"/>
                <w:bCs/>
                <w:color w:val="000000"/>
                <w:sz w:val="15"/>
                <w:szCs w:val="15"/>
                <w:lang w:val="hr-HR"/>
              </w:rPr>
              <w:t>244,301</w:t>
            </w:r>
          </w:p>
        </w:tc>
        <w:tc>
          <w:tcPr>
            <w:tcW w:w="452" w:type="pct"/>
            <w:tcBorders>
              <w:top w:val="nil"/>
              <w:left w:val="nil"/>
              <w:bottom w:val="nil"/>
              <w:right w:val="nil"/>
            </w:tcBorders>
            <w:vAlign w:val="bottom"/>
          </w:tcPr>
          <w:p w14:paraId="05BF2EFA" w14:textId="77777777" w:rsidR="00587444" w:rsidRPr="00587444" w:rsidRDefault="00587444" w:rsidP="00587444">
            <w:pPr>
              <w:suppressAutoHyphens w:val="0"/>
              <w:autoSpaceDN/>
              <w:spacing w:line="280" w:lineRule="exact"/>
              <w:jc w:val="right"/>
              <w:rPr>
                <w:rFonts w:ascii="Arial" w:hAnsi="Arial" w:cs="Arial"/>
                <w:sz w:val="15"/>
                <w:szCs w:val="15"/>
              </w:rPr>
            </w:pPr>
            <w:r w:rsidRPr="00587444">
              <w:rPr>
                <w:rFonts w:ascii="Arial" w:eastAsia="Calibri" w:hAnsi="Arial" w:cs="Arial"/>
                <w:bCs/>
                <w:color w:val="000000"/>
                <w:sz w:val="15"/>
                <w:szCs w:val="15"/>
                <w:lang w:val="hr-HR"/>
              </w:rPr>
              <w:t>310,552</w:t>
            </w:r>
          </w:p>
        </w:tc>
        <w:tc>
          <w:tcPr>
            <w:tcW w:w="494" w:type="pct"/>
            <w:tcBorders>
              <w:top w:val="nil"/>
              <w:left w:val="nil"/>
              <w:bottom w:val="nil"/>
              <w:right w:val="nil"/>
            </w:tcBorders>
            <w:vAlign w:val="bottom"/>
          </w:tcPr>
          <w:p w14:paraId="1279EFCF" w14:textId="77777777" w:rsidR="00587444" w:rsidRPr="00587444" w:rsidRDefault="00587444" w:rsidP="00587444">
            <w:pPr>
              <w:suppressAutoHyphens w:val="0"/>
              <w:autoSpaceDN/>
              <w:spacing w:line="280" w:lineRule="exact"/>
              <w:jc w:val="right"/>
              <w:rPr>
                <w:rFonts w:ascii="Arial" w:hAnsi="Arial" w:cs="Arial"/>
                <w:sz w:val="15"/>
                <w:szCs w:val="15"/>
              </w:rPr>
            </w:pPr>
            <w:r w:rsidRPr="00587444">
              <w:rPr>
                <w:rFonts w:ascii="Arial" w:eastAsia="Calibri" w:hAnsi="Arial" w:cs="Arial"/>
                <w:bCs/>
                <w:color w:val="000000"/>
                <w:sz w:val="15"/>
                <w:szCs w:val="15"/>
                <w:lang w:val="hr-HR"/>
              </w:rPr>
              <w:t>1,807,992</w:t>
            </w:r>
          </w:p>
        </w:tc>
        <w:tc>
          <w:tcPr>
            <w:tcW w:w="479" w:type="pct"/>
            <w:tcBorders>
              <w:top w:val="nil"/>
              <w:left w:val="nil"/>
              <w:bottom w:val="nil"/>
              <w:right w:val="nil"/>
            </w:tcBorders>
            <w:vAlign w:val="bottom"/>
          </w:tcPr>
          <w:p w14:paraId="6AF19A82" w14:textId="77777777" w:rsidR="00587444" w:rsidRPr="00587444" w:rsidRDefault="00587444" w:rsidP="00587444">
            <w:pPr>
              <w:suppressAutoHyphens w:val="0"/>
              <w:autoSpaceDN/>
              <w:spacing w:line="280" w:lineRule="exact"/>
              <w:jc w:val="right"/>
              <w:rPr>
                <w:rFonts w:ascii="Arial" w:hAnsi="Arial" w:cs="Arial"/>
                <w:sz w:val="15"/>
                <w:szCs w:val="15"/>
              </w:rPr>
            </w:pPr>
            <w:r w:rsidRPr="00587444">
              <w:rPr>
                <w:rFonts w:ascii="Arial" w:eastAsia="Calibri" w:hAnsi="Arial" w:cs="Arial"/>
                <w:bCs/>
                <w:color w:val="000000"/>
                <w:sz w:val="15"/>
                <w:szCs w:val="15"/>
                <w:lang w:val="hr-HR"/>
              </w:rPr>
              <w:t>5,775,874</w:t>
            </w:r>
          </w:p>
        </w:tc>
        <w:tc>
          <w:tcPr>
            <w:tcW w:w="507" w:type="pct"/>
            <w:tcBorders>
              <w:top w:val="nil"/>
              <w:left w:val="nil"/>
              <w:bottom w:val="nil"/>
              <w:right w:val="nil"/>
            </w:tcBorders>
            <w:vAlign w:val="bottom"/>
          </w:tcPr>
          <w:p w14:paraId="51C163EA" w14:textId="77777777" w:rsidR="00587444" w:rsidRPr="00587444" w:rsidRDefault="00587444" w:rsidP="00587444">
            <w:pPr>
              <w:suppressAutoHyphens w:val="0"/>
              <w:autoSpaceDN/>
              <w:spacing w:line="280" w:lineRule="exact"/>
              <w:jc w:val="right"/>
              <w:rPr>
                <w:rFonts w:ascii="Arial" w:hAnsi="Arial" w:cs="Arial"/>
                <w:sz w:val="15"/>
                <w:szCs w:val="15"/>
              </w:rPr>
            </w:pPr>
            <w:r w:rsidRPr="00587444">
              <w:rPr>
                <w:rFonts w:ascii="Arial" w:eastAsia="Calibri" w:hAnsi="Arial" w:cs="Arial"/>
                <w:bCs/>
                <w:color w:val="000000"/>
                <w:sz w:val="15"/>
                <w:szCs w:val="15"/>
                <w:lang w:val="hr-HR"/>
              </w:rPr>
              <w:t>7,941,861</w:t>
            </w:r>
          </w:p>
        </w:tc>
        <w:tc>
          <w:tcPr>
            <w:tcW w:w="493" w:type="pct"/>
            <w:tcBorders>
              <w:top w:val="nil"/>
              <w:left w:val="nil"/>
              <w:bottom w:val="nil"/>
              <w:right w:val="nil"/>
            </w:tcBorders>
            <w:vAlign w:val="bottom"/>
          </w:tcPr>
          <w:p w14:paraId="0322D710" w14:textId="77777777" w:rsidR="00587444" w:rsidRPr="00587444" w:rsidRDefault="00587444" w:rsidP="00587444">
            <w:pPr>
              <w:suppressAutoHyphens w:val="0"/>
              <w:autoSpaceDN/>
              <w:spacing w:line="280" w:lineRule="exact"/>
              <w:jc w:val="right"/>
              <w:rPr>
                <w:rFonts w:ascii="Arial" w:hAnsi="Arial" w:cs="Arial"/>
                <w:sz w:val="15"/>
                <w:szCs w:val="15"/>
              </w:rPr>
            </w:pPr>
            <w:r w:rsidRPr="00587444">
              <w:rPr>
                <w:rFonts w:ascii="Arial" w:eastAsia="Calibri" w:hAnsi="Arial" w:cs="Arial"/>
                <w:bCs/>
                <w:color w:val="000000"/>
                <w:sz w:val="15"/>
                <w:szCs w:val="15"/>
                <w:lang w:val="hr-HR"/>
              </w:rPr>
              <w:t>34,657</w:t>
            </w:r>
          </w:p>
        </w:tc>
        <w:tc>
          <w:tcPr>
            <w:tcW w:w="507" w:type="pct"/>
            <w:tcBorders>
              <w:top w:val="nil"/>
              <w:left w:val="nil"/>
              <w:bottom w:val="nil"/>
              <w:right w:val="nil"/>
            </w:tcBorders>
            <w:vAlign w:val="bottom"/>
          </w:tcPr>
          <w:p w14:paraId="6AA12620" w14:textId="77777777" w:rsidR="00587444" w:rsidRPr="00587444" w:rsidRDefault="00587444" w:rsidP="00587444">
            <w:pPr>
              <w:suppressAutoHyphens w:val="0"/>
              <w:autoSpaceDN/>
              <w:spacing w:line="280" w:lineRule="exact"/>
              <w:jc w:val="right"/>
              <w:rPr>
                <w:rFonts w:ascii="Arial" w:hAnsi="Arial" w:cs="Arial"/>
                <w:sz w:val="15"/>
                <w:szCs w:val="15"/>
              </w:rPr>
            </w:pPr>
            <w:r w:rsidRPr="00587444">
              <w:rPr>
                <w:rFonts w:ascii="Arial" w:eastAsia="Calibri" w:hAnsi="Arial" w:cs="Arial"/>
                <w:bCs/>
                <w:color w:val="000000"/>
                <w:sz w:val="15"/>
                <w:szCs w:val="15"/>
                <w:lang w:val="hr-HR"/>
              </w:rPr>
              <w:t>16,115,237</w:t>
            </w:r>
          </w:p>
        </w:tc>
        <w:tc>
          <w:tcPr>
            <w:tcW w:w="506" w:type="pct"/>
            <w:tcBorders>
              <w:top w:val="nil"/>
              <w:left w:val="nil"/>
              <w:bottom w:val="nil"/>
              <w:right w:val="nil"/>
            </w:tcBorders>
            <w:vAlign w:val="bottom"/>
          </w:tcPr>
          <w:p w14:paraId="43408500" w14:textId="77777777" w:rsidR="00587444" w:rsidRPr="00587444" w:rsidDel="00D96E20" w:rsidRDefault="00587444" w:rsidP="00587444">
            <w:pPr>
              <w:suppressAutoHyphens w:val="0"/>
              <w:autoSpaceDN/>
              <w:spacing w:line="280" w:lineRule="exact"/>
              <w:jc w:val="right"/>
              <w:rPr>
                <w:rFonts w:ascii="Arial" w:hAnsi="Arial" w:cs="Arial"/>
                <w:sz w:val="15"/>
                <w:szCs w:val="15"/>
              </w:rPr>
            </w:pPr>
            <w:r w:rsidRPr="00587444">
              <w:rPr>
                <w:rFonts w:ascii="Arial" w:eastAsia="Calibri" w:hAnsi="Arial" w:cs="Arial"/>
                <w:bCs/>
                <w:color w:val="000000"/>
                <w:sz w:val="15"/>
                <w:szCs w:val="15"/>
                <w:lang w:val="hr-HR"/>
              </w:rPr>
              <w:t>16,069,304</w:t>
            </w:r>
          </w:p>
        </w:tc>
      </w:tr>
      <w:tr w:rsidR="00587444" w:rsidRPr="00587444" w14:paraId="2F809690" w14:textId="77777777" w:rsidTr="00DD69E7">
        <w:trPr>
          <w:trHeight w:hRule="exact" w:val="852"/>
        </w:trPr>
        <w:tc>
          <w:tcPr>
            <w:tcW w:w="1073" w:type="pct"/>
            <w:vAlign w:val="center"/>
          </w:tcPr>
          <w:p w14:paraId="01465306"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Provisions for guarantees, commitments and other liabilities</w:t>
            </w:r>
          </w:p>
        </w:tc>
        <w:tc>
          <w:tcPr>
            <w:tcW w:w="488" w:type="pct"/>
            <w:tcBorders>
              <w:top w:val="nil"/>
              <w:left w:val="nil"/>
              <w:bottom w:val="nil"/>
              <w:right w:val="nil"/>
            </w:tcBorders>
            <w:vAlign w:val="bottom"/>
          </w:tcPr>
          <w:p w14:paraId="01EBC0CF"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w:t>
            </w:r>
          </w:p>
        </w:tc>
        <w:tc>
          <w:tcPr>
            <w:tcW w:w="452" w:type="pct"/>
            <w:vAlign w:val="bottom"/>
          </w:tcPr>
          <w:p w14:paraId="4C507E72"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w:t>
            </w:r>
          </w:p>
        </w:tc>
        <w:tc>
          <w:tcPr>
            <w:tcW w:w="494" w:type="pct"/>
            <w:vAlign w:val="bottom"/>
          </w:tcPr>
          <w:p w14:paraId="470FB80F"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w:t>
            </w:r>
          </w:p>
        </w:tc>
        <w:tc>
          <w:tcPr>
            <w:tcW w:w="479" w:type="pct"/>
            <w:vAlign w:val="bottom"/>
          </w:tcPr>
          <w:p w14:paraId="41150478"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w:t>
            </w:r>
          </w:p>
        </w:tc>
        <w:tc>
          <w:tcPr>
            <w:tcW w:w="507" w:type="pct"/>
            <w:vAlign w:val="bottom"/>
          </w:tcPr>
          <w:p w14:paraId="5E595472"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w:t>
            </w:r>
          </w:p>
        </w:tc>
        <w:tc>
          <w:tcPr>
            <w:tcW w:w="493" w:type="pct"/>
            <w:tcBorders>
              <w:top w:val="nil"/>
              <w:left w:val="nil"/>
              <w:bottom w:val="nil"/>
              <w:right w:val="nil"/>
            </w:tcBorders>
            <w:vAlign w:val="bottom"/>
          </w:tcPr>
          <w:p w14:paraId="240985FD"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190,303</w:t>
            </w:r>
          </w:p>
        </w:tc>
        <w:tc>
          <w:tcPr>
            <w:tcW w:w="507" w:type="pct"/>
            <w:tcBorders>
              <w:top w:val="nil"/>
              <w:left w:val="nil"/>
              <w:bottom w:val="nil"/>
              <w:right w:val="nil"/>
            </w:tcBorders>
            <w:vAlign w:val="bottom"/>
          </w:tcPr>
          <w:p w14:paraId="1C65F5F5"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190,303</w:t>
            </w:r>
          </w:p>
        </w:tc>
        <w:tc>
          <w:tcPr>
            <w:tcW w:w="506" w:type="pct"/>
            <w:tcBorders>
              <w:top w:val="nil"/>
              <w:left w:val="nil"/>
              <w:bottom w:val="nil"/>
              <w:right w:val="nil"/>
            </w:tcBorders>
            <w:vAlign w:val="bottom"/>
          </w:tcPr>
          <w:p w14:paraId="0E997094" w14:textId="77777777" w:rsidR="00587444" w:rsidRPr="00587444" w:rsidRDefault="00587444" w:rsidP="00587444">
            <w:pPr>
              <w:suppressAutoHyphens w:val="0"/>
              <w:autoSpaceDN/>
              <w:spacing w:line="320" w:lineRule="exact"/>
              <w:jc w:val="right"/>
              <w:rPr>
                <w:rFonts w:ascii="Arial" w:hAnsi="Arial" w:cs="Arial"/>
                <w:sz w:val="15"/>
                <w:szCs w:val="15"/>
              </w:rPr>
            </w:pPr>
            <w:r w:rsidRPr="00587444">
              <w:rPr>
                <w:rFonts w:ascii="Arial" w:eastAsia="Calibri" w:hAnsi="Arial" w:cs="Arial"/>
                <w:bCs/>
                <w:color w:val="000000"/>
                <w:sz w:val="15"/>
                <w:szCs w:val="15"/>
                <w:lang w:val="hr-HR"/>
              </w:rPr>
              <w:t>-</w:t>
            </w:r>
          </w:p>
        </w:tc>
      </w:tr>
      <w:tr w:rsidR="00587444" w:rsidRPr="00587444" w14:paraId="504A66B4" w14:textId="77777777" w:rsidTr="00DD69E7">
        <w:trPr>
          <w:trHeight w:hRule="exact" w:val="285"/>
        </w:trPr>
        <w:tc>
          <w:tcPr>
            <w:tcW w:w="1073" w:type="pct"/>
            <w:vAlign w:val="center"/>
          </w:tcPr>
          <w:p w14:paraId="731CE003" w14:textId="77777777" w:rsidR="00587444" w:rsidRPr="00587444" w:rsidRDefault="00587444" w:rsidP="00587444">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liabilities </w:t>
            </w:r>
          </w:p>
        </w:tc>
        <w:tc>
          <w:tcPr>
            <w:tcW w:w="488" w:type="pct"/>
            <w:tcBorders>
              <w:top w:val="nil"/>
              <w:left w:val="nil"/>
              <w:bottom w:val="nil"/>
              <w:right w:val="nil"/>
            </w:tcBorders>
            <w:vAlign w:val="bottom"/>
          </w:tcPr>
          <w:p w14:paraId="35CABACB"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w:t>
            </w:r>
          </w:p>
        </w:tc>
        <w:tc>
          <w:tcPr>
            <w:tcW w:w="452" w:type="pct"/>
            <w:vAlign w:val="bottom"/>
          </w:tcPr>
          <w:p w14:paraId="3D6CC035"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w:t>
            </w:r>
          </w:p>
        </w:tc>
        <w:tc>
          <w:tcPr>
            <w:tcW w:w="494" w:type="pct"/>
            <w:vAlign w:val="bottom"/>
          </w:tcPr>
          <w:p w14:paraId="10168F84"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w:t>
            </w:r>
          </w:p>
        </w:tc>
        <w:tc>
          <w:tcPr>
            <w:tcW w:w="479" w:type="pct"/>
            <w:vAlign w:val="bottom"/>
          </w:tcPr>
          <w:p w14:paraId="4C8C81C3"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w:t>
            </w:r>
          </w:p>
        </w:tc>
        <w:tc>
          <w:tcPr>
            <w:tcW w:w="507" w:type="pct"/>
            <w:vAlign w:val="bottom"/>
          </w:tcPr>
          <w:p w14:paraId="455AE244"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w:t>
            </w:r>
          </w:p>
        </w:tc>
        <w:tc>
          <w:tcPr>
            <w:tcW w:w="493" w:type="pct"/>
            <w:tcBorders>
              <w:top w:val="nil"/>
              <w:left w:val="nil"/>
              <w:bottom w:val="nil"/>
              <w:right w:val="nil"/>
            </w:tcBorders>
            <w:vAlign w:val="bottom"/>
          </w:tcPr>
          <w:p w14:paraId="4AA72F08"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416,178</w:t>
            </w:r>
          </w:p>
        </w:tc>
        <w:tc>
          <w:tcPr>
            <w:tcW w:w="507" w:type="pct"/>
            <w:tcBorders>
              <w:top w:val="nil"/>
              <w:left w:val="nil"/>
              <w:bottom w:val="nil"/>
              <w:right w:val="nil"/>
            </w:tcBorders>
            <w:vAlign w:val="bottom"/>
          </w:tcPr>
          <w:p w14:paraId="0AC42811"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416,178</w:t>
            </w:r>
          </w:p>
        </w:tc>
        <w:tc>
          <w:tcPr>
            <w:tcW w:w="506" w:type="pct"/>
            <w:tcBorders>
              <w:top w:val="nil"/>
              <w:left w:val="nil"/>
              <w:bottom w:val="nil"/>
              <w:right w:val="nil"/>
            </w:tcBorders>
            <w:vAlign w:val="bottom"/>
          </w:tcPr>
          <w:p w14:paraId="2241C5B5"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Cs/>
                <w:color w:val="000000"/>
                <w:sz w:val="15"/>
                <w:szCs w:val="15"/>
                <w:lang w:val="hr-HR"/>
              </w:rPr>
              <w:t>-</w:t>
            </w:r>
          </w:p>
        </w:tc>
      </w:tr>
      <w:tr w:rsidR="00587444" w:rsidRPr="00587444" w14:paraId="2105A165" w14:textId="77777777" w:rsidTr="00DD69E7">
        <w:trPr>
          <w:trHeight w:hRule="exact" w:val="298"/>
        </w:trPr>
        <w:tc>
          <w:tcPr>
            <w:tcW w:w="1073" w:type="pct"/>
            <w:vAlign w:val="center"/>
          </w:tcPr>
          <w:p w14:paraId="5152D8D6" w14:textId="77777777" w:rsidR="00587444" w:rsidRPr="00587444" w:rsidRDefault="00587444" w:rsidP="00587444">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b/>
                <w:bCs/>
                <w:sz w:val="15"/>
                <w:szCs w:val="15"/>
              </w:rPr>
              <w:t xml:space="preserve">Total liabilities </w:t>
            </w:r>
          </w:p>
        </w:tc>
        <w:tc>
          <w:tcPr>
            <w:tcW w:w="488" w:type="pct"/>
            <w:tcBorders>
              <w:top w:val="single" w:sz="4" w:space="0" w:color="auto"/>
              <w:left w:val="nil"/>
              <w:bottom w:val="single" w:sz="8" w:space="0" w:color="auto"/>
              <w:right w:val="nil"/>
            </w:tcBorders>
            <w:vAlign w:val="bottom"/>
          </w:tcPr>
          <w:p w14:paraId="72557496"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661,464</w:t>
            </w:r>
          </w:p>
        </w:tc>
        <w:tc>
          <w:tcPr>
            <w:tcW w:w="452" w:type="pct"/>
            <w:tcBorders>
              <w:top w:val="single" w:sz="4" w:space="0" w:color="auto"/>
              <w:left w:val="nil"/>
              <w:bottom w:val="single" w:sz="8" w:space="0" w:color="auto"/>
              <w:right w:val="nil"/>
            </w:tcBorders>
            <w:vAlign w:val="bottom"/>
          </w:tcPr>
          <w:p w14:paraId="53669F71"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310,552</w:t>
            </w:r>
          </w:p>
        </w:tc>
        <w:tc>
          <w:tcPr>
            <w:tcW w:w="494" w:type="pct"/>
            <w:tcBorders>
              <w:top w:val="single" w:sz="4" w:space="0" w:color="auto"/>
              <w:left w:val="nil"/>
              <w:bottom w:val="single" w:sz="8" w:space="0" w:color="auto"/>
              <w:right w:val="nil"/>
            </w:tcBorders>
            <w:vAlign w:val="bottom"/>
          </w:tcPr>
          <w:p w14:paraId="22FFA31F"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1,807,992</w:t>
            </w:r>
          </w:p>
        </w:tc>
        <w:tc>
          <w:tcPr>
            <w:tcW w:w="479" w:type="pct"/>
            <w:tcBorders>
              <w:top w:val="single" w:sz="4" w:space="0" w:color="auto"/>
              <w:left w:val="nil"/>
              <w:bottom w:val="single" w:sz="8" w:space="0" w:color="auto"/>
              <w:right w:val="nil"/>
            </w:tcBorders>
            <w:vAlign w:val="bottom"/>
          </w:tcPr>
          <w:p w14:paraId="44219369"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5,775,874</w:t>
            </w:r>
          </w:p>
        </w:tc>
        <w:tc>
          <w:tcPr>
            <w:tcW w:w="507" w:type="pct"/>
            <w:tcBorders>
              <w:top w:val="single" w:sz="4" w:space="0" w:color="auto"/>
              <w:left w:val="nil"/>
              <w:bottom w:val="single" w:sz="8" w:space="0" w:color="auto"/>
              <w:right w:val="nil"/>
            </w:tcBorders>
            <w:vAlign w:val="bottom"/>
          </w:tcPr>
          <w:p w14:paraId="5720F0FE"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7,941,861</w:t>
            </w:r>
          </w:p>
        </w:tc>
        <w:tc>
          <w:tcPr>
            <w:tcW w:w="493" w:type="pct"/>
            <w:tcBorders>
              <w:top w:val="single" w:sz="4" w:space="0" w:color="auto"/>
              <w:left w:val="nil"/>
              <w:bottom w:val="single" w:sz="8" w:space="0" w:color="auto"/>
              <w:right w:val="nil"/>
            </w:tcBorders>
            <w:vAlign w:val="bottom"/>
          </w:tcPr>
          <w:p w14:paraId="25CA35EA"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1,184,516</w:t>
            </w:r>
          </w:p>
        </w:tc>
        <w:tc>
          <w:tcPr>
            <w:tcW w:w="507" w:type="pct"/>
            <w:tcBorders>
              <w:top w:val="single" w:sz="4" w:space="0" w:color="auto"/>
              <w:left w:val="nil"/>
              <w:bottom w:val="single" w:sz="8" w:space="0" w:color="auto"/>
              <w:right w:val="nil"/>
            </w:tcBorders>
            <w:vAlign w:val="bottom"/>
          </w:tcPr>
          <w:p w14:paraId="59830C3A" w14:textId="77777777" w:rsidR="00587444" w:rsidRPr="00587444"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17,682,259</w:t>
            </w:r>
          </w:p>
        </w:tc>
        <w:tc>
          <w:tcPr>
            <w:tcW w:w="506" w:type="pct"/>
            <w:tcBorders>
              <w:top w:val="single" w:sz="4" w:space="0" w:color="auto"/>
              <w:left w:val="nil"/>
              <w:bottom w:val="single" w:sz="8" w:space="0" w:color="auto"/>
              <w:right w:val="nil"/>
            </w:tcBorders>
            <w:vAlign w:val="bottom"/>
          </w:tcPr>
          <w:p w14:paraId="1378EC15" w14:textId="77777777" w:rsidR="00587444" w:rsidRPr="00587444" w:rsidDel="00D96E20" w:rsidRDefault="00587444" w:rsidP="00587444">
            <w:pPr>
              <w:suppressAutoHyphens w:val="0"/>
              <w:autoSpaceDN/>
              <w:spacing w:line="320" w:lineRule="exact"/>
              <w:jc w:val="right"/>
              <w:rPr>
                <w:rFonts w:ascii="Arial" w:eastAsia="Calibri" w:hAnsi="Arial" w:cs="Arial"/>
                <w:b/>
                <w:bCs/>
                <w:sz w:val="15"/>
                <w:szCs w:val="15"/>
              </w:rPr>
            </w:pPr>
            <w:r w:rsidRPr="00587444">
              <w:rPr>
                <w:rFonts w:ascii="Arial" w:eastAsia="Calibri" w:hAnsi="Arial" w:cs="Arial"/>
                <w:b/>
                <w:color w:val="000000"/>
                <w:sz w:val="15"/>
                <w:szCs w:val="15"/>
                <w:lang w:val="hr-HR"/>
              </w:rPr>
              <w:t>16,486,467</w:t>
            </w:r>
          </w:p>
        </w:tc>
      </w:tr>
      <w:tr w:rsidR="00587444" w:rsidRPr="00587444" w14:paraId="7172C5D7" w14:textId="77777777" w:rsidTr="00DD69E7">
        <w:trPr>
          <w:trHeight w:hRule="exact" w:val="397"/>
        </w:trPr>
        <w:tc>
          <w:tcPr>
            <w:tcW w:w="1073" w:type="pct"/>
            <w:vAlign w:val="center"/>
          </w:tcPr>
          <w:p w14:paraId="700D6945" w14:textId="77777777" w:rsidR="00587444" w:rsidRPr="00587444" w:rsidRDefault="00587444" w:rsidP="00587444">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b/>
                <w:bCs/>
                <w:spacing w:val="-2"/>
                <w:sz w:val="15"/>
                <w:szCs w:val="15"/>
              </w:rPr>
              <w:t>Interest rate gap</w:t>
            </w:r>
          </w:p>
        </w:tc>
        <w:tc>
          <w:tcPr>
            <w:tcW w:w="488" w:type="pct"/>
            <w:tcBorders>
              <w:top w:val="single" w:sz="8" w:space="0" w:color="auto"/>
              <w:left w:val="nil"/>
              <w:bottom w:val="single" w:sz="12" w:space="0" w:color="auto"/>
              <w:right w:val="nil"/>
            </w:tcBorders>
            <w:vAlign w:val="bottom"/>
          </w:tcPr>
          <w:p w14:paraId="4D8C6424" w14:textId="77777777" w:rsidR="00587444" w:rsidRPr="00587444" w:rsidRDefault="00587444" w:rsidP="00587444">
            <w:pPr>
              <w:suppressAutoHyphens w:val="0"/>
              <w:autoSpaceDN/>
              <w:spacing w:line="320" w:lineRule="exact"/>
              <w:jc w:val="right"/>
              <w:rPr>
                <w:rFonts w:ascii="Arial" w:eastAsia="Calibri" w:hAnsi="Arial" w:cs="Arial"/>
                <w:b/>
                <w:color w:val="000000"/>
                <w:sz w:val="15"/>
                <w:szCs w:val="15"/>
                <w:lang w:val="hr-HR"/>
              </w:rPr>
            </w:pPr>
            <w:r w:rsidRPr="00587444">
              <w:rPr>
                <w:rFonts w:ascii="Arial" w:eastAsia="Calibri" w:hAnsi="Arial" w:cs="Arial"/>
                <w:b/>
                <w:color w:val="000000"/>
                <w:sz w:val="15"/>
                <w:szCs w:val="15"/>
                <w:lang w:val="hr-HR"/>
              </w:rPr>
              <w:t>4,135,087</w:t>
            </w:r>
          </w:p>
        </w:tc>
        <w:tc>
          <w:tcPr>
            <w:tcW w:w="452" w:type="pct"/>
            <w:tcBorders>
              <w:top w:val="single" w:sz="8" w:space="0" w:color="auto"/>
              <w:left w:val="nil"/>
              <w:bottom w:val="single" w:sz="12" w:space="0" w:color="auto"/>
              <w:right w:val="nil"/>
            </w:tcBorders>
            <w:vAlign w:val="bottom"/>
          </w:tcPr>
          <w:p w14:paraId="1DEA9E75" w14:textId="77777777" w:rsidR="00587444" w:rsidRPr="00587444" w:rsidRDefault="00587444" w:rsidP="00587444">
            <w:pPr>
              <w:suppressAutoHyphens w:val="0"/>
              <w:autoSpaceDN/>
              <w:spacing w:line="320" w:lineRule="exact"/>
              <w:jc w:val="right"/>
              <w:rPr>
                <w:rFonts w:ascii="Arial" w:eastAsia="Calibri" w:hAnsi="Arial" w:cs="Arial"/>
                <w:b/>
                <w:color w:val="000000"/>
                <w:sz w:val="15"/>
                <w:szCs w:val="15"/>
                <w:lang w:val="hr-HR"/>
              </w:rPr>
            </w:pPr>
            <w:r w:rsidRPr="00587444">
              <w:rPr>
                <w:rFonts w:ascii="Arial" w:eastAsia="Calibri" w:hAnsi="Arial" w:cs="Arial"/>
                <w:b/>
                <w:color w:val="000000"/>
                <w:sz w:val="15"/>
                <w:szCs w:val="15"/>
                <w:lang w:val="hr-HR"/>
              </w:rPr>
              <w:t>633,483</w:t>
            </w:r>
          </w:p>
        </w:tc>
        <w:tc>
          <w:tcPr>
            <w:tcW w:w="494" w:type="pct"/>
            <w:tcBorders>
              <w:top w:val="single" w:sz="8" w:space="0" w:color="auto"/>
              <w:left w:val="nil"/>
              <w:bottom w:val="single" w:sz="12" w:space="0" w:color="auto"/>
              <w:right w:val="nil"/>
            </w:tcBorders>
            <w:vAlign w:val="bottom"/>
          </w:tcPr>
          <w:p w14:paraId="4CCDBF20" w14:textId="77777777" w:rsidR="00587444" w:rsidRPr="00587444" w:rsidRDefault="00587444" w:rsidP="00587444">
            <w:pPr>
              <w:suppressAutoHyphens w:val="0"/>
              <w:autoSpaceDN/>
              <w:spacing w:line="320" w:lineRule="exact"/>
              <w:jc w:val="right"/>
              <w:rPr>
                <w:rFonts w:ascii="Arial" w:eastAsia="Calibri" w:hAnsi="Arial" w:cs="Arial"/>
                <w:b/>
                <w:color w:val="000000"/>
                <w:sz w:val="15"/>
                <w:szCs w:val="15"/>
                <w:lang w:val="hr-HR"/>
              </w:rPr>
            </w:pPr>
            <w:r w:rsidRPr="00587444">
              <w:rPr>
                <w:rFonts w:ascii="Arial" w:eastAsia="Calibri" w:hAnsi="Arial" w:cs="Arial"/>
                <w:b/>
                <w:color w:val="000000"/>
                <w:sz w:val="15"/>
                <w:szCs w:val="15"/>
                <w:lang w:val="hr-HR"/>
              </w:rPr>
              <w:t>281,802</w:t>
            </w:r>
          </w:p>
        </w:tc>
        <w:tc>
          <w:tcPr>
            <w:tcW w:w="479" w:type="pct"/>
            <w:tcBorders>
              <w:top w:val="single" w:sz="8" w:space="0" w:color="auto"/>
              <w:left w:val="nil"/>
              <w:bottom w:val="single" w:sz="12" w:space="0" w:color="auto"/>
              <w:right w:val="nil"/>
            </w:tcBorders>
            <w:vAlign w:val="bottom"/>
          </w:tcPr>
          <w:p w14:paraId="0C2A198D" w14:textId="77777777" w:rsidR="00587444" w:rsidRPr="00587444" w:rsidRDefault="00587444" w:rsidP="00587444">
            <w:pPr>
              <w:suppressAutoHyphens w:val="0"/>
              <w:autoSpaceDN/>
              <w:spacing w:line="320" w:lineRule="exact"/>
              <w:jc w:val="right"/>
              <w:rPr>
                <w:rFonts w:ascii="Arial" w:eastAsia="Calibri" w:hAnsi="Arial" w:cs="Arial"/>
                <w:b/>
                <w:color w:val="000000"/>
                <w:sz w:val="15"/>
                <w:szCs w:val="15"/>
                <w:lang w:val="hr-HR"/>
              </w:rPr>
            </w:pPr>
            <w:r w:rsidRPr="00587444">
              <w:rPr>
                <w:rFonts w:ascii="Arial" w:eastAsia="Calibri" w:hAnsi="Arial" w:cs="Arial"/>
                <w:b/>
                <w:color w:val="000000"/>
                <w:sz w:val="15"/>
                <w:szCs w:val="15"/>
                <w:lang w:val="hr-HR"/>
              </w:rPr>
              <w:t>(820,183)</w:t>
            </w:r>
          </w:p>
        </w:tc>
        <w:tc>
          <w:tcPr>
            <w:tcW w:w="507" w:type="pct"/>
            <w:tcBorders>
              <w:top w:val="single" w:sz="8" w:space="0" w:color="auto"/>
              <w:left w:val="nil"/>
              <w:bottom w:val="single" w:sz="12" w:space="0" w:color="auto"/>
              <w:right w:val="nil"/>
            </w:tcBorders>
            <w:vAlign w:val="bottom"/>
          </w:tcPr>
          <w:p w14:paraId="4622F16A" w14:textId="77777777" w:rsidR="00587444" w:rsidRPr="00587444" w:rsidRDefault="00587444" w:rsidP="00587444">
            <w:pPr>
              <w:suppressAutoHyphens w:val="0"/>
              <w:autoSpaceDN/>
              <w:spacing w:line="320" w:lineRule="exact"/>
              <w:jc w:val="right"/>
              <w:rPr>
                <w:rFonts w:ascii="Arial" w:eastAsia="Calibri" w:hAnsi="Arial" w:cs="Arial"/>
                <w:b/>
                <w:color w:val="000000"/>
                <w:sz w:val="15"/>
                <w:szCs w:val="15"/>
                <w:lang w:val="hr-HR"/>
              </w:rPr>
            </w:pPr>
            <w:r w:rsidRPr="00587444">
              <w:rPr>
                <w:rFonts w:ascii="Arial" w:eastAsia="Calibri" w:hAnsi="Arial" w:cs="Arial"/>
                <w:b/>
                <w:color w:val="000000"/>
                <w:sz w:val="15"/>
                <w:szCs w:val="15"/>
                <w:lang w:val="hr-HR"/>
              </w:rPr>
              <w:t>5,040,686</w:t>
            </w:r>
          </w:p>
        </w:tc>
        <w:tc>
          <w:tcPr>
            <w:tcW w:w="493" w:type="pct"/>
            <w:tcBorders>
              <w:top w:val="single" w:sz="8" w:space="0" w:color="auto"/>
              <w:left w:val="nil"/>
              <w:bottom w:val="single" w:sz="12" w:space="0" w:color="auto"/>
              <w:right w:val="nil"/>
            </w:tcBorders>
            <w:vAlign w:val="bottom"/>
          </w:tcPr>
          <w:p w14:paraId="45945C61" w14:textId="77777777" w:rsidR="00587444" w:rsidRPr="00587444" w:rsidRDefault="00587444" w:rsidP="00587444">
            <w:pPr>
              <w:suppressAutoHyphens w:val="0"/>
              <w:autoSpaceDN/>
              <w:spacing w:line="320" w:lineRule="exact"/>
              <w:jc w:val="right"/>
              <w:rPr>
                <w:rFonts w:ascii="Arial" w:eastAsia="Calibri" w:hAnsi="Arial" w:cs="Arial"/>
                <w:b/>
                <w:color w:val="000000"/>
                <w:sz w:val="15"/>
                <w:szCs w:val="15"/>
                <w:lang w:val="hr-HR"/>
              </w:rPr>
            </w:pPr>
            <w:r w:rsidRPr="00587444">
              <w:rPr>
                <w:rFonts w:ascii="Arial" w:eastAsia="Calibri" w:hAnsi="Arial" w:cs="Arial"/>
                <w:b/>
                <w:color w:val="000000"/>
                <w:sz w:val="15"/>
                <w:szCs w:val="15"/>
                <w:lang w:val="hr-HR"/>
              </w:rPr>
              <w:t>1,196,687</w:t>
            </w:r>
          </w:p>
        </w:tc>
        <w:tc>
          <w:tcPr>
            <w:tcW w:w="507" w:type="pct"/>
            <w:tcBorders>
              <w:top w:val="single" w:sz="8" w:space="0" w:color="auto"/>
              <w:left w:val="nil"/>
              <w:bottom w:val="single" w:sz="12" w:space="0" w:color="auto"/>
              <w:right w:val="nil"/>
            </w:tcBorders>
            <w:vAlign w:val="bottom"/>
          </w:tcPr>
          <w:p w14:paraId="67A8CC27" w14:textId="77777777" w:rsidR="00587444" w:rsidRPr="00587444" w:rsidRDefault="00587444" w:rsidP="00587444">
            <w:pPr>
              <w:suppressAutoHyphens w:val="0"/>
              <w:autoSpaceDN/>
              <w:spacing w:line="320" w:lineRule="exact"/>
              <w:jc w:val="right"/>
              <w:rPr>
                <w:rFonts w:ascii="Arial" w:eastAsia="Calibri" w:hAnsi="Arial" w:cs="Arial"/>
                <w:b/>
                <w:color w:val="000000"/>
                <w:sz w:val="15"/>
                <w:szCs w:val="15"/>
                <w:lang w:val="hr-HR"/>
              </w:rPr>
            </w:pPr>
            <w:r w:rsidRPr="00587444">
              <w:rPr>
                <w:rFonts w:ascii="Arial" w:eastAsia="Calibri" w:hAnsi="Arial" w:cs="Arial"/>
                <w:b/>
                <w:color w:val="000000"/>
                <w:sz w:val="15"/>
                <w:szCs w:val="15"/>
                <w:lang w:val="hr-HR"/>
              </w:rPr>
              <w:t>10,467,562</w:t>
            </w:r>
          </w:p>
        </w:tc>
        <w:tc>
          <w:tcPr>
            <w:tcW w:w="506" w:type="pct"/>
            <w:tcBorders>
              <w:top w:val="single" w:sz="8" w:space="0" w:color="auto"/>
              <w:left w:val="nil"/>
              <w:bottom w:val="single" w:sz="12" w:space="0" w:color="auto"/>
              <w:right w:val="nil"/>
            </w:tcBorders>
            <w:vAlign w:val="bottom"/>
          </w:tcPr>
          <w:p w14:paraId="51ACE8FB" w14:textId="77777777" w:rsidR="00587444" w:rsidRPr="00587444" w:rsidDel="00D96E20" w:rsidRDefault="00587444" w:rsidP="00587444">
            <w:pPr>
              <w:suppressAutoHyphens w:val="0"/>
              <w:autoSpaceDN/>
              <w:spacing w:line="320" w:lineRule="exact"/>
              <w:jc w:val="right"/>
              <w:rPr>
                <w:rFonts w:ascii="Arial" w:eastAsia="Calibri" w:hAnsi="Arial" w:cs="Arial"/>
                <w:b/>
                <w:color w:val="000000"/>
                <w:sz w:val="15"/>
                <w:szCs w:val="15"/>
                <w:lang w:val="hr-HR"/>
              </w:rPr>
            </w:pPr>
            <w:r w:rsidRPr="00587444">
              <w:rPr>
                <w:rFonts w:ascii="Arial" w:eastAsia="Calibri" w:hAnsi="Arial" w:cs="Arial"/>
                <w:b/>
                <w:color w:val="000000"/>
                <w:sz w:val="15"/>
                <w:szCs w:val="15"/>
                <w:lang w:val="hr-HR"/>
              </w:rPr>
              <w:t>8,334,656</w:t>
            </w:r>
          </w:p>
        </w:tc>
      </w:tr>
    </w:tbl>
    <w:p w14:paraId="5B1CAF15" w14:textId="77777777" w:rsidR="00587444" w:rsidRPr="00587444" w:rsidRDefault="00587444" w:rsidP="00587444">
      <w:pPr>
        <w:tabs>
          <w:tab w:val="left" w:pos="-720"/>
        </w:tabs>
        <w:autoSpaceDN/>
        <w:spacing w:line="360" w:lineRule="auto"/>
        <w:ind w:right="-5"/>
        <w:jc w:val="both"/>
        <w:rPr>
          <w:rFonts w:ascii="Arial" w:hAnsi="Arial" w:cs="Arial"/>
          <w:sz w:val="20"/>
          <w:szCs w:val="20"/>
          <w:highlight w:val="yellow"/>
          <w:lang w:val="en-GB"/>
        </w:rPr>
      </w:pPr>
    </w:p>
    <w:p w14:paraId="76759AB5" w14:textId="77777777" w:rsidR="00587444" w:rsidRPr="00587444" w:rsidRDefault="00587444" w:rsidP="00587444">
      <w:pPr>
        <w:tabs>
          <w:tab w:val="left" w:pos="-720"/>
        </w:tabs>
        <w:autoSpaceDN/>
        <w:spacing w:line="360" w:lineRule="auto"/>
        <w:ind w:right="-5"/>
        <w:jc w:val="both"/>
        <w:rPr>
          <w:rFonts w:ascii="Arial" w:hAnsi="Arial" w:cs="Arial"/>
          <w:sz w:val="20"/>
          <w:szCs w:val="20"/>
          <w:highlight w:val="yellow"/>
          <w:lang w:val="en-GB"/>
        </w:rPr>
      </w:pPr>
    </w:p>
    <w:p w14:paraId="18BD090B" w14:textId="77777777" w:rsidR="00587444" w:rsidRPr="00587444" w:rsidRDefault="00587444" w:rsidP="00587444">
      <w:pPr>
        <w:tabs>
          <w:tab w:val="left" w:pos="-720"/>
        </w:tabs>
        <w:autoSpaceDN/>
        <w:spacing w:line="360" w:lineRule="auto"/>
        <w:ind w:right="-5"/>
        <w:jc w:val="both"/>
        <w:rPr>
          <w:rFonts w:ascii="Arial" w:hAnsi="Arial" w:cs="Arial"/>
          <w:b/>
          <w:sz w:val="20"/>
          <w:szCs w:val="20"/>
          <w:highlight w:val="yellow"/>
          <w:lang w:val="en-GB"/>
        </w:rPr>
      </w:pPr>
    </w:p>
    <w:p w14:paraId="2710A511" w14:textId="77777777" w:rsidR="00587444" w:rsidRPr="00587444" w:rsidRDefault="00587444" w:rsidP="00587444">
      <w:pPr>
        <w:tabs>
          <w:tab w:val="left" w:pos="-720"/>
        </w:tabs>
        <w:autoSpaceDN/>
        <w:spacing w:line="360" w:lineRule="auto"/>
        <w:ind w:right="-5"/>
        <w:jc w:val="both"/>
        <w:rPr>
          <w:rFonts w:ascii="Arial" w:hAnsi="Arial" w:cs="Arial"/>
          <w:b/>
          <w:sz w:val="20"/>
          <w:szCs w:val="20"/>
          <w:highlight w:val="yellow"/>
          <w:lang w:val="en-GB"/>
        </w:rPr>
      </w:pPr>
    </w:p>
    <w:p w14:paraId="44994E40"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485BB542"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1456DD0"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         Risk management (continued)</w:t>
      </w:r>
    </w:p>
    <w:p w14:paraId="5F9266F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E8486CC"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31.5.      Market risk (continued)</w:t>
      </w:r>
    </w:p>
    <w:p w14:paraId="0D33EB1F"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1BCFC1C8"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31.5.1.   Interest rate risk (continued)</w:t>
      </w:r>
    </w:p>
    <w:p w14:paraId="0C49CE01"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670C69F" w14:textId="77777777" w:rsidR="00587444" w:rsidRPr="00587444" w:rsidRDefault="00587444" w:rsidP="00587444">
      <w:pPr>
        <w:tabs>
          <w:tab w:val="left" w:pos="-720"/>
        </w:tabs>
        <w:autoSpaceDN/>
        <w:ind w:right="-6"/>
        <w:jc w:val="both"/>
        <w:rPr>
          <w:rFonts w:ascii="Arial" w:hAnsi="Arial" w:cs="Arial"/>
          <w:sz w:val="20"/>
          <w:szCs w:val="20"/>
          <w:lang w:val="en-GB"/>
        </w:rPr>
      </w:pPr>
      <w:r w:rsidRPr="00587444">
        <w:rPr>
          <w:rFonts w:ascii="Arial" w:hAnsi="Arial" w:cs="Arial"/>
          <w:sz w:val="20"/>
          <w:szCs w:val="20"/>
          <w:lang w:val="en-GB"/>
        </w:rPr>
        <w:t xml:space="preserve">Total assets and total liabilities </w:t>
      </w:r>
      <w:proofErr w:type="gramStart"/>
      <w:r w:rsidRPr="00587444">
        <w:rPr>
          <w:rFonts w:ascii="Arial" w:hAnsi="Arial" w:cs="Arial"/>
          <w:sz w:val="20"/>
          <w:szCs w:val="20"/>
          <w:lang w:val="en-GB"/>
        </w:rPr>
        <w:t>on the basis of</w:t>
      </w:r>
      <w:proofErr w:type="gramEnd"/>
      <w:r w:rsidRPr="00587444">
        <w:rPr>
          <w:rFonts w:ascii="Arial" w:hAnsi="Arial" w:cs="Arial"/>
          <w:sz w:val="20"/>
          <w:szCs w:val="20"/>
          <w:lang w:val="en-GB"/>
        </w:rPr>
        <w:t xml:space="preserve"> a possibility of changes in interest rates (fixed or variable): </w:t>
      </w:r>
    </w:p>
    <w:p w14:paraId="2F807577" w14:textId="77777777" w:rsidR="00587444" w:rsidRPr="00587444" w:rsidRDefault="00587444" w:rsidP="00587444">
      <w:pPr>
        <w:tabs>
          <w:tab w:val="left" w:pos="-720"/>
        </w:tabs>
        <w:autoSpaceDN/>
        <w:spacing w:line="300" w:lineRule="exact"/>
        <w:ind w:right="-6"/>
        <w:jc w:val="both"/>
        <w:rPr>
          <w:rFonts w:ascii="Arial" w:hAnsi="Arial" w:cs="Arial"/>
          <w:sz w:val="20"/>
          <w:szCs w:val="20"/>
          <w:lang w:val="hr-HR"/>
        </w:rPr>
      </w:pPr>
    </w:p>
    <w:tbl>
      <w:tblPr>
        <w:tblW w:w="4999" w:type="pct"/>
        <w:tblInd w:w="-142" w:type="dxa"/>
        <w:tblLayout w:type="fixed"/>
        <w:tblCellMar>
          <w:left w:w="120" w:type="dxa"/>
          <w:right w:w="120" w:type="dxa"/>
        </w:tblCellMar>
        <w:tblLook w:val="0000" w:firstRow="0" w:lastRow="0" w:firstColumn="0" w:lastColumn="0" w:noHBand="0" w:noVBand="0"/>
      </w:tblPr>
      <w:tblGrid>
        <w:gridCol w:w="3535"/>
        <w:gridCol w:w="1514"/>
        <w:gridCol w:w="1516"/>
        <w:gridCol w:w="1514"/>
        <w:gridCol w:w="1514"/>
      </w:tblGrid>
      <w:tr w:rsidR="00587444" w:rsidRPr="00587444" w14:paraId="296216AF" w14:textId="77777777" w:rsidTr="00DD69E7">
        <w:trPr>
          <w:trHeight w:val="239"/>
        </w:trPr>
        <w:tc>
          <w:tcPr>
            <w:tcW w:w="1843" w:type="pct"/>
            <w:shd w:val="clear" w:color="auto" w:fill="auto"/>
            <w:vAlign w:val="bottom"/>
          </w:tcPr>
          <w:p w14:paraId="6E271671" w14:textId="77777777" w:rsidR="00587444" w:rsidRPr="00587444" w:rsidRDefault="00587444" w:rsidP="00587444">
            <w:pPr>
              <w:tabs>
                <w:tab w:val="left" w:pos="-720"/>
              </w:tabs>
              <w:autoSpaceDN/>
              <w:spacing w:line="360" w:lineRule="auto"/>
              <w:ind w:right="-5"/>
              <w:jc w:val="both"/>
              <w:rPr>
                <w:rFonts w:ascii="Arial" w:hAnsi="Arial" w:cs="Arial"/>
                <w:b/>
                <w:sz w:val="18"/>
                <w:szCs w:val="18"/>
              </w:rPr>
            </w:pPr>
          </w:p>
        </w:tc>
        <w:tc>
          <w:tcPr>
            <w:tcW w:w="1579" w:type="pct"/>
            <w:gridSpan w:val="2"/>
            <w:shd w:val="clear" w:color="auto" w:fill="auto"/>
            <w:vAlign w:val="bottom"/>
          </w:tcPr>
          <w:p w14:paraId="6C94E07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bookmarkStart w:id="1290" w:name="_Toc4062790"/>
            <w:r w:rsidRPr="00587444">
              <w:rPr>
                <w:rFonts w:ascii="Arial" w:hAnsi="Arial" w:cs="Arial"/>
                <w:b/>
                <w:sz w:val="18"/>
                <w:szCs w:val="18"/>
              </w:rPr>
              <w:t>Group</w:t>
            </w:r>
            <w:bookmarkEnd w:id="1290"/>
          </w:p>
        </w:tc>
        <w:tc>
          <w:tcPr>
            <w:tcW w:w="1578" w:type="pct"/>
            <w:gridSpan w:val="2"/>
            <w:shd w:val="clear" w:color="auto" w:fill="auto"/>
            <w:vAlign w:val="bottom"/>
          </w:tcPr>
          <w:p w14:paraId="26731E6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bookmarkStart w:id="1291" w:name="_Toc4062791"/>
            <w:r w:rsidRPr="00587444">
              <w:rPr>
                <w:rFonts w:ascii="Arial" w:hAnsi="Arial" w:cs="Arial"/>
                <w:b/>
                <w:sz w:val="18"/>
                <w:szCs w:val="18"/>
              </w:rPr>
              <w:t>Bank</w:t>
            </w:r>
            <w:bookmarkEnd w:id="1291"/>
          </w:p>
        </w:tc>
      </w:tr>
      <w:tr w:rsidR="00587444" w:rsidRPr="00587444" w14:paraId="6F831307" w14:textId="77777777" w:rsidTr="00DD69E7">
        <w:trPr>
          <w:trHeight w:val="211"/>
        </w:trPr>
        <w:tc>
          <w:tcPr>
            <w:tcW w:w="1843" w:type="pct"/>
            <w:shd w:val="clear" w:color="auto" w:fill="auto"/>
            <w:vAlign w:val="bottom"/>
          </w:tcPr>
          <w:p w14:paraId="330CF312" w14:textId="77777777" w:rsidR="00587444" w:rsidRPr="00587444" w:rsidRDefault="00587444" w:rsidP="00587444">
            <w:pPr>
              <w:tabs>
                <w:tab w:val="left" w:pos="-720"/>
              </w:tabs>
              <w:autoSpaceDN/>
              <w:spacing w:line="360" w:lineRule="auto"/>
              <w:ind w:right="-5"/>
              <w:jc w:val="both"/>
              <w:rPr>
                <w:rFonts w:ascii="Arial" w:hAnsi="Arial" w:cs="Arial"/>
                <w:b/>
                <w:sz w:val="18"/>
                <w:szCs w:val="18"/>
              </w:rPr>
            </w:pPr>
          </w:p>
        </w:tc>
        <w:tc>
          <w:tcPr>
            <w:tcW w:w="789" w:type="pct"/>
            <w:vAlign w:val="center"/>
          </w:tcPr>
          <w:p w14:paraId="12D5B58F" w14:textId="77777777" w:rsidR="00587444" w:rsidRPr="00587444" w:rsidRDefault="00587444" w:rsidP="00587444">
            <w:pPr>
              <w:suppressAutoHyphens w:val="0"/>
              <w:autoSpaceDN/>
              <w:spacing w:line="280" w:lineRule="exact"/>
              <w:jc w:val="right"/>
              <w:outlineLvl w:val="0"/>
              <w:rPr>
                <w:rFonts w:ascii="Arial" w:hAnsi="Arial" w:cs="Arial"/>
                <w:b/>
                <w:bCs/>
                <w:sz w:val="18"/>
                <w:szCs w:val="18"/>
              </w:rPr>
            </w:pPr>
            <w:bookmarkStart w:id="1292" w:name="_Toc4062792"/>
            <w:r w:rsidRPr="00587444">
              <w:rPr>
                <w:rFonts w:ascii="Arial" w:hAnsi="Arial" w:cs="Arial"/>
                <w:b/>
                <w:bCs/>
                <w:sz w:val="18"/>
                <w:szCs w:val="18"/>
              </w:rPr>
              <w:t xml:space="preserve">31 December </w:t>
            </w:r>
            <w:bookmarkEnd w:id="1292"/>
            <w:r w:rsidRPr="00587444">
              <w:rPr>
                <w:rFonts w:ascii="Arial" w:hAnsi="Arial" w:cs="Arial"/>
                <w:b/>
                <w:bCs/>
                <w:sz w:val="18"/>
                <w:szCs w:val="18"/>
              </w:rPr>
              <w:t>2022</w:t>
            </w:r>
          </w:p>
        </w:tc>
        <w:tc>
          <w:tcPr>
            <w:tcW w:w="790" w:type="pct"/>
            <w:vAlign w:val="center"/>
          </w:tcPr>
          <w:p w14:paraId="2BA2F562" w14:textId="77777777" w:rsidR="00587444" w:rsidRPr="00587444" w:rsidRDefault="00587444" w:rsidP="00587444">
            <w:pPr>
              <w:suppressAutoHyphens w:val="0"/>
              <w:autoSpaceDN/>
              <w:spacing w:line="280" w:lineRule="exact"/>
              <w:jc w:val="right"/>
              <w:outlineLvl w:val="0"/>
              <w:rPr>
                <w:rFonts w:ascii="Arial" w:hAnsi="Arial" w:cs="Arial"/>
                <w:b/>
                <w:bCs/>
                <w:sz w:val="18"/>
                <w:szCs w:val="18"/>
              </w:rPr>
            </w:pPr>
            <w:r w:rsidRPr="00587444">
              <w:rPr>
                <w:rFonts w:ascii="Arial" w:hAnsi="Arial" w:cs="Arial"/>
                <w:b/>
                <w:bCs/>
                <w:sz w:val="18"/>
                <w:szCs w:val="18"/>
              </w:rPr>
              <w:t>31 December 2021</w:t>
            </w:r>
          </w:p>
        </w:tc>
        <w:tc>
          <w:tcPr>
            <w:tcW w:w="789" w:type="pct"/>
            <w:vAlign w:val="center"/>
          </w:tcPr>
          <w:p w14:paraId="25AC808D" w14:textId="77777777" w:rsidR="00587444" w:rsidRPr="00587444" w:rsidRDefault="00587444" w:rsidP="00587444">
            <w:pPr>
              <w:suppressAutoHyphens w:val="0"/>
              <w:autoSpaceDN/>
              <w:spacing w:line="280" w:lineRule="exact"/>
              <w:jc w:val="right"/>
              <w:outlineLvl w:val="0"/>
              <w:rPr>
                <w:rFonts w:ascii="Arial" w:hAnsi="Arial" w:cs="Arial"/>
                <w:b/>
                <w:bCs/>
                <w:sz w:val="18"/>
                <w:szCs w:val="18"/>
              </w:rPr>
            </w:pPr>
            <w:bookmarkStart w:id="1293" w:name="_Toc4062793"/>
            <w:r w:rsidRPr="00587444">
              <w:rPr>
                <w:rFonts w:ascii="Arial" w:hAnsi="Arial" w:cs="Arial"/>
                <w:b/>
                <w:bCs/>
                <w:sz w:val="18"/>
                <w:szCs w:val="18"/>
              </w:rPr>
              <w:t xml:space="preserve">31 December </w:t>
            </w:r>
            <w:bookmarkEnd w:id="1293"/>
            <w:r w:rsidRPr="00587444">
              <w:rPr>
                <w:rFonts w:ascii="Arial" w:hAnsi="Arial" w:cs="Arial"/>
                <w:b/>
                <w:bCs/>
                <w:sz w:val="18"/>
                <w:szCs w:val="18"/>
              </w:rPr>
              <w:t>2022</w:t>
            </w:r>
          </w:p>
        </w:tc>
        <w:tc>
          <w:tcPr>
            <w:tcW w:w="789" w:type="pct"/>
            <w:vAlign w:val="center"/>
          </w:tcPr>
          <w:p w14:paraId="65CC73CB" w14:textId="77777777" w:rsidR="00587444" w:rsidRPr="00587444" w:rsidRDefault="00587444" w:rsidP="00587444">
            <w:pPr>
              <w:suppressAutoHyphens w:val="0"/>
              <w:autoSpaceDN/>
              <w:spacing w:line="280" w:lineRule="exact"/>
              <w:jc w:val="right"/>
              <w:outlineLvl w:val="0"/>
              <w:rPr>
                <w:rFonts w:ascii="Arial" w:hAnsi="Arial" w:cs="Arial"/>
                <w:b/>
                <w:bCs/>
                <w:sz w:val="18"/>
                <w:szCs w:val="18"/>
              </w:rPr>
            </w:pPr>
            <w:bookmarkStart w:id="1294" w:name="_Toc4062794"/>
            <w:r w:rsidRPr="00587444">
              <w:rPr>
                <w:rFonts w:ascii="Arial" w:hAnsi="Arial" w:cs="Arial"/>
                <w:b/>
                <w:bCs/>
                <w:sz w:val="18"/>
                <w:szCs w:val="18"/>
              </w:rPr>
              <w:t xml:space="preserve">31 December </w:t>
            </w:r>
            <w:bookmarkEnd w:id="1294"/>
            <w:r w:rsidRPr="00587444">
              <w:rPr>
                <w:rFonts w:ascii="Arial" w:hAnsi="Arial" w:cs="Arial"/>
                <w:b/>
                <w:bCs/>
                <w:sz w:val="18"/>
                <w:szCs w:val="18"/>
              </w:rPr>
              <w:t>2021</w:t>
            </w:r>
          </w:p>
        </w:tc>
      </w:tr>
      <w:tr w:rsidR="00587444" w:rsidRPr="00587444" w14:paraId="76777C63" w14:textId="77777777" w:rsidTr="00DD69E7">
        <w:trPr>
          <w:trHeight w:val="211"/>
        </w:trPr>
        <w:tc>
          <w:tcPr>
            <w:tcW w:w="1843" w:type="pct"/>
            <w:shd w:val="clear" w:color="auto" w:fill="auto"/>
            <w:vAlign w:val="bottom"/>
          </w:tcPr>
          <w:p w14:paraId="127DDD0C" w14:textId="77777777" w:rsidR="00587444" w:rsidRPr="00587444" w:rsidRDefault="00587444" w:rsidP="00587444">
            <w:pPr>
              <w:tabs>
                <w:tab w:val="left" w:pos="-720"/>
              </w:tabs>
              <w:autoSpaceDN/>
              <w:spacing w:line="360" w:lineRule="auto"/>
              <w:ind w:right="-5"/>
              <w:jc w:val="both"/>
              <w:rPr>
                <w:rFonts w:ascii="Arial" w:hAnsi="Arial" w:cs="Arial"/>
                <w:b/>
                <w:sz w:val="18"/>
                <w:szCs w:val="18"/>
              </w:rPr>
            </w:pPr>
          </w:p>
        </w:tc>
        <w:tc>
          <w:tcPr>
            <w:tcW w:w="789" w:type="pct"/>
            <w:vAlign w:val="center"/>
          </w:tcPr>
          <w:p w14:paraId="0195BF40" w14:textId="77777777" w:rsidR="00587444" w:rsidRPr="00587444" w:rsidRDefault="00587444" w:rsidP="00587444">
            <w:pPr>
              <w:suppressAutoHyphens w:val="0"/>
              <w:autoSpaceDN/>
              <w:spacing w:line="280" w:lineRule="exact"/>
              <w:jc w:val="right"/>
              <w:outlineLvl w:val="0"/>
              <w:rPr>
                <w:rFonts w:ascii="Arial" w:hAnsi="Arial" w:cs="Arial"/>
                <w:b/>
                <w:bCs/>
                <w:sz w:val="18"/>
                <w:szCs w:val="18"/>
              </w:rPr>
            </w:pPr>
            <w:bookmarkStart w:id="1295" w:name="_Toc4062796"/>
            <w:r w:rsidRPr="00587444">
              <w:rPr>
                <w:rFonts w:ascii="Arial" w:hAnsi="Arial" w:cs="Arial"/>
                <w:b/>
                <w:bCs/>
                <w:sz w:val="18"/>
                <w:szCs w:val="18"/>
              </w:rPr>
              <w:t>HRK ‘000</w:t>
            </w:r>
            <w:bookmarkEnd w:id="1295"/>
          </w:p>
        </w:tc>
        <w:tc>
          <w:tcPr>
            <w:tcW w:w="790" w:type="pct"/>
            <w:vAlign w:val="center"/>
          </w:tcPr>
          <w:p w14:paraId="68D69BF7" w14:textId="77777777" w:rsidR="00587444" w:rsidRPr="00587444" w:rsidRDefault="00587444" w:rsidP="00587444">
            <w:pPr>
              <w:suppressAutoHyphens w:val="0"/>
              <w:autoSpaceDN/>
              <w:spacing w:line="280" w:lineRule="exact"/>
              <w:jc w:val="right"/>
              <w:outlineLvl w:val="0"/>
              <w:rPr>
                <w:rFonts w:ascii="Arial" w:hAnsi="Arial" w:cs="Arial"/>
                <w:b/>
                <w:bCs/>
                <w:sz w:val="18"/>
                <w:szCs w:val="18"/>
              </w:rPr>
            </w:pPr>
            <w:r w:rsidRPr="00587444">
              <w:rPr>
                <w:rFonts w:ascii="Arial" w:hAnsi="Arial" w:cs="Arial"/>
                <w:b/>
                <w:bCs/>
                <w:sz w:val="18"/>
                <w:szCs w:val="18"/>
              </w:rPr>
              <w:t>HRK ‘000</w:t>
            </w:r>
          </w:p>
        </w:tc>
        <w:tc>
          <w:tcPr>
            <w:tcW w:w="789" w:type="pct"/>
            <w:vAlign w:val="center"/>
          </w:tcPr>
          <w:p w14:paraId="0C2A48E6" w14:textId="77777777" w:rsidR="00587444" w:rsidRPr="00587444" w:rsidRDefault="00587444" w:rsidP="00587444">
            <w:pPr>
              <w:suppressAutoHyphens w:val="0"/>
              <w:autoSpaceDN/>
              <w:spacing w:line="280" w:lineRule="exact"/>
              <w:jc w:val="right"/>
              <w:outlineLvl w:val="0"/>
              <w:rPr>
                <w:rFonts w:ascii="Arial" w:hAnsi="Arial" w:cs="Arial"/>
                <w:b/>
                <w:bCs/>
                <w:sz w:val="18"/>
                <w:szCs w:val="18"/>
              </w:rPr>
            </w:pPr>
            <w:bookmarkStart w:id="1296" w:name="_Toc4062797"/>
            <w:r w:rsidRPr="00587444">
              <w:rPr>
                <w:rFonts w:ascii="Arial" w:hAnsi="Arial" w:cs="Arial"/>
                <w:b/>
                <w:bCs/>
                <w:sz w:val="18"/>
                <w:szCs w:val="18"/>
              </w:rPr>
              <w:t>HRK ‘000</w:t>
            </w:r>
            <w:bookmarkEnd w:id="1296"/>
          </w:p>
        </w:tc>
        <w:tc>
          <w:tcPr>
            <w:tcW w:w="789" w:type="pct"/>
            <w:vAlign w:val="center"/>
          </w:tcPr>
          <w:p w14:paraId="4D3B494A" w14:textId="77777777" w:rsidR="00587444" w:rsidRPr="00587444" w:rsidRDefault="00587444" w:rsidP="00587444">
            <w:pPr>
              <w:suppressAutoHyphens w:val="0"/>
              <w:autoSpaceDN/>
              <w:spacing w:line="280" w:lineRule="exact"/>
              <w:jc w:val="right"/>
              <w:outlineLvl w:val="0"/>
              <w:rPr>
                <w:rFonts w:ascii="Arial" w:hAnsi="Arial" w:cs="Arial"/>
                <w:b/>
                <w:bCs/>
                <w:sz w:val="18"/>
                <w:szCs w:val="18"/>
              </w:rPr>
            </w:pPr>
            <w:bookmarkStart w:id="1297" w:name="_Toc4062798"/>
            <w:r w:rsidRPr="00587444">
              <w:rPr>
                <w:rFonts w:ascii="Arial" w:hAnsi="Arial" w:cs="Arial"/>
                <w:b/>
                <w:bCs/>
                <w:sz w:val="18"/>
                <w:szCs w:val="18"/>
              </w:rPr>
              <w:t>HRK ‘000</w:t>
            </w:r>
            <w:bookmarkEnd w:id="1297"/>
          </w:p>
        </w:tc>
      </w:tr>
      <w:tr w:rsidR="00587444" w:rsidRPr="00587444" w14:paraId="33187C6E" w14:textId="77777777" w:rsidTr="00DD69E7">
        <w:trPr>
          <w:trHeight w:hRule="exact" w:val="284"/>
        </w:trPr>
        <w:tc>
          <w:tcPr>
            <w:tcW w:w="1843" w:type="pct"/>
            <w:shd w:val="clear" w:color="auto" w:fill="auto"/>
            <w:vAlign w:val="bottom"/>
          </w:tcPr>
          <w:p w14:paraId="60EBE05E" w14:textId="77777777" w:rsidR="00587444" w:rsidRPr="00587444" w:rsidRDefault="00587444" w:rsidP="00587444">
            <w:pPr>
              <w:tabs>
                <w:tab w:val="left" w:pos="-720"/>
              </w:tabs>
              <w:autoSpaceDN/>
              <w:ind w:right="-5"/>
              <w:rPr>
                <w:rFonts w:ascii="Arial" w:hAnsi="Arial" w:cs="Arial"/>
                <w:b/>
                <w:sz w:val="18"/>
                <w:szCs w:val="18"/>
              </w:rPr>
            </w:pPr>
            <w:r w:rsidRPr="00587444">
              <w:rPr>
                <w:rFonts w:ascii="Arial" w:hAnsi="Arial" w:cs="Arial"/>
                <w:b/>
                <w:sz w:val="18"/>
                <w:szCs w:val="18"/>
              </w:rPr>
              <w:t>Assets</w:t>
            </w:r>
          </w:p>
        </w:tc>
        <w:tc>
          <w:tcPr>
            <w:tcW w:w="789" w:type="pct"/>
            <w:shd w:val="clear" w:color="auto" w:fill="auto"/>
            <w:vAlign w:val="bottom"/>
          </w:tcPr>
          <w:p w14:paraId="540B6079" w14:textId="77777777" w:rsidR="00587444" w:rsidRPr="00587444" w:rsidRDefault="00587444" w:rsidP="00587444">
            <w:pPr>
              <w:tabs>
                <w:tab w:val="left" w:pos="-720"/>
              </w:tabs>
              <w:autoSpaceDN/>
              <w:ind w:right="-5"/>
              <w:jc w:val="right"/>
              <w:rPr>
                <w:rFonts w:ascii="Arial" w:hAnsi="Arial" w:cs="Arial"/>
                <w:sz w:val="18"/>
                <w:szCs w:val="18"/>
              </w:rPr>
            </w:pPr>
          </w:p>
        </w:tc>
        <w:tc>
          <w:tcPr>
            <w:tcW w:w="790" w:type="pct"/>
            <w:shd w:val="clear" w:color="auto" w:fill="auto"/>
            <w:vAlign w:val="bottom"/>
          </w:tcPr>
          <w:p w14:paraId="5380D221" w14:textId="77777777" w:rsidR="00587444" w:rsidRPr="00587444" w:rsidRDefault="00587444" w:rsidP="00587444">
            <w:pPr>
              <w:tabs>
                <w:tab w:val="left" w:pos="-720"/>
              </w:tabs>
              <w:autoSpaceDN/>
              <w:ind w:right="-5"/>
              <w:jc w:val="right"/>
              <w:rPr>
                <w:rFonts w:ascii="Arial" w:hAnsi="Arial" w:cs="Arial"/>
                <w:sz w:val="18"/>
                <w:szCs w:val="18"/>
              </w:rPr>
            </w:pPr>
          </w:p>
        </w:tc>
        <w:tc>
          <w:tcPr>
            <w:tcW w:w="789" w:type="pct"/>
            <w:shd w:val="clear" w:color="auto" w:fill="auto"/>
            <w:vAlign w:val="bottom"/>
          </w:tcPr>
          <w:p w14:paraId="100A2378" w14:textId="77777777" w:rsidR="00587444" w:rsidRPr="00587444" w:rsidRDefault="00587444" w:rsidP="00587444">
            <w:pPr>
              <w:tabs>
                <w:tab w:val="left" w:pos="-720"/>
              </w:tabs>
              <w:autoSpaceDN/>
              <w:ind w:right="-5"/>
              <w:jc w:val="right"/>
              <w:rPr>
                <w:rFonts w:ascii="Arial" w:hAnsi="Arial" w:cs="Arial"/>
                <w:sz w:val="18"/>
                <w:szCs w:val="18"/>
              </w:rPr>
            </w:pPr>
          </w:p>
        </w:tc>
        <w:tc>
          <w:tcPr>
            <w:tcW w:w="789" w:type="pct"/>
            <w:shd w:val="clear" w:color="auto" w:fill="auto"/>
            <w:vAlign w:val="bottom"/>
          </w:tcPr>
          <w:p w14:paraId="6FFF6026" w14:textId="77777777" w:rsidR="00587444" w:rsidRPr="00587444" w:rsidRDefault="00587444" w:rsidP="00587444">
            <w:pPr>
              <w:tabs>
                <w:tab w:val="left" w:pos="-720"/>
              </w:tabs>
              <w:autoSpaceDN/>
              <w:ind w:right="-5"/>
              <w:jc w:val="right"/>
              <w:rPr>
                <w:rFonts w:ascii="Arial" w:hAnsi="Arial" w:cs="Arial"/>
                <w:sz w:val="18"/>
                <w:szCs w:val="18"/>
              </w:rPr>
            </w:pPr>
          </w:p>
        </w:tc>
      </w:tr>
      <w:tr w:rsidR="00587444" w:rsidRPr="00587444" w14:paraId="67657929" w14:textId="77777777" w:rsidTr="00DD69E7">
        <w:trPr>
          <w:trHeight w:hRule="exact" w:val="284"/>
        </w:trPr>
        <w:tc>
          <w:tcPr>
            <w:tcW w:w="1843" w:type="pct"/>
            <w:shd w:val="clear" w:color="auto" w:fill="auto"/>
            <w:vAlign w:val="bottom"/>
          </w:tcPr>
          <w:p w14:paraId="4D6A4DB8" w14:textId="77777777" w:rsidR="00587444" w:rsidRPr="00587444" w:rsidRDefault="00587444" w:rsidP="00587444">
            <w:pPr>
              <w:tabs>
                <w:tab w:val="left" w:pos="-720"/>
              </w:tabs>
              <w:autoSpaceDN/>
              <w:ind w:right="-5"/>
              <w:rPr>
                <w:rFonts w:ascii="Arial" w:hAnsi="Arial" w:cs="Arial"/>
                <w:b/>
                <w:sz w:val="18"/>
                <w:szCs w:val="18"/>
              </w:rPr>
            </w:pPr>
          </w:p>
        </w:tc>
        <w:tc>
          <w:tcPr>
            <w:tcW w:w="789" w:type="pct"/>
            <w:shd w:val="clear" w:color="auto" w:fill="auto"/>
            <w:vAlign w:val="bottom"/>
          </w:tcPr>
          <w:p w14:paraId="023469CF" w14:textId="77777777" w:rsidR="00587444" w:rsidRPr="00587444" w:rsidRDefault="00587444" w:rsidP="00587444">
            <w:pPr>
              <w:tabs>
                <w:tab w:val="left" w:pos="-720"/>
              </w:tabs>
              <w:autoSpaceDN/>
              <w:ind w:right="-5"/>
              <w:jc w:val="right"/>
              <w:rPr>
                <w:rFonts w:ascii="Arial" w:hAnsi="Arial" w:cs="Arial"/>
                <w:sz w:val="18"/>
                <w:szCs w:val="18"/>
              </w:rPr>
            </w:pPr>
          </w:p>
        </w:tc>
        <w:tc>
          <w:tcPr>
            <w:tcW w:w="790" w:type="pct"/>
            <w:shd w:val="clear" w:color="auto" w:fill="auto"/>
            <w:vAlign w:val="bottom"/>
          </w:tcPr>
          <w:p w14:paraId="2FCBD522" w14:textId="77777777" w:rsidR="00587444" w:rsidRPr="00587444" w:rsidRDefault="00587444" w:rsidP="00587444">
            <w:pPr>
              <w:tabs>
                <w:tab w:val="left" w:pos="-720"/>
              </w:tabs>
              <w:autoSpaceDN/>
              <w:ind w:right="-5"/>
              <w:jc w:val="right"/>
              <w:rPr>
                <w:rFonts w:ascii="Arial" w:hAnsi="Arial" w:cs="Arial"/>
                <w:sz w:val="18"/>
                <w:szCs w:val="18"/>
              </w:rPr>
            </w:pPr>
          </w:p>
        </w:tc>
        <w:tc>
          <w:tcPr>
            <w:tcW w:w="789" w:type="pct"/>
            <w:shd w:val="clear" w:color="auto" w:fill="auto"/>
            <w:vAlign w:val="bottom"/>
          </w:tcPr>
          <w:p w14:paraId="39BC5644" w14:textId="77777777" w:rsidR="00587444" w:rsidRPr="00587444" w:rsidRDefault="00587444" w:rsidP="00587444">
            <w:pPr>
              <w:tabs>
                <w:tab w:val="left" w:pos="-720"/>
              </w:tabs>
              <w:autoSpaceDN/>
              <w:ind w:right="-5"/>
              <w:jc w:val="right"/>
              <w:rPr>
                <w:rFonts w:ascii="Arial" w:hAnsi="Arial" w:cs="Arial"/>
                <w:sz w:val="18"/>
                <w:szCs w:val="18"/>
              </w:rPr>
            </w:pPr>
          </w:p>
        </w:tc>
        <w:tc>
          <w:tcPr>
            <w:tcW w:w="789" w:type="pct"/>
            <w:shd w:val="clear" w:color="auto" w:fill="auto"/>
            <w:vAlign w:val="bottom"/>
          </w:tcPr>
          <w:p w14:paraId="0946422D" w14:textId="77777777" w:rsidR="00587444" w:rsidRPr="00587444" w:rsidRDefault="00587444" w:rsidP="00587444">
            <w:pPr>
              <w:tabs>
                <w:tab w:val="left" w:pos="-720"/>
              </w:tabs>
              <w:autoSpaceDN/>
              <w:ind w:right="-5"/>
              <w:jc w:val="right"/>
              <w:rPr>
                <w:rFonts w:ascii="Arial" w:hAnsi="Arial" w:cs="Arial"/>
                <w:sz w:val="18"/>
                <w:szCs w:val="18"/>
              </w:rPr>
            </w:pPr>
          </w:p>
        </w:tc>
      </w:tr>
      <w:tr w:rsidR="00587444" w:rsidRPr="00587444" w14:paraId="69629B58" w14:textId="77777777" w:rsidTr="00DD69E7">
        <w:trPr>
          <w:trHeight w:hRule="exact" w:val="284"/>
        </w:trPr>
        <w:tc>
          <w:tcPr>
            <w:tcW w:w="1843" w:type="pct"/>
            <w:shd w:val="clear" w:color="auto" w:fill="auto"/>
            <w:vAlign w:val="bottom"/>
          </w:tcPr>
          <w:p w14:paraId="3AE5F84E" w14:textId="77777777" w:rsidR="00587444" w:rsidRPr="00587444" w:rsidRDefault="00587444" w:rsidP="00587444">
            <w:pPr>
              <w:tabs>
                <w:tab w:val="left" w:pos="-720"/>
              </w:tabs>
              <w:autoSpaceDN/>
              <w:ind w:right="-5"/>
              <w:rPr>
                <w:rFonts w:ascii="Arial" w:hAnsi="Arial" w:cs="Arial"/>
                <w:sz w:val="18"/>
                <w:szCs w:val="18"/>
              </w:rPr>
            </w:pPr>
            <w:r w:rsidRPr="00587444">
              <w:rPr>
                <w:rFonts w:ascii="Arial" w:hAnsi="Arial" w:cs="Arial"/>
                <w:sz w:val="18"/>
                <w:szCs w:val="18"/>
              </w:rPr>
              <w:t>Fixed interest rate assets</w:t>
            </w:r>
          </w:p>
        </w:tc>
        <w:tc>
          <w:tcPr>
            <w:tcW w:w="789" w:type="pct"/>
            <w:tcBorders>
              <w:top w:val="nil"/>
              <w:left w:val="nil"/>
              <w:bottom w:val="nil"/>
              <w:right w:val="nil"/>
            </w:tcBorders>
            <w:shd w:val="clear" w:color="auto" w:fill="auto"/>
            <w:vAlign w:val="bottom"/>
          </w:tcPr>
          <w:p w14:paraId="23739D15"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25,684,484</w:t>
            </w:r>
          </w:p>
        </w:tc>
        <w:tc>
          <w:tcPr>
            <w:tcW w:w="790" w:type="pct"/>
            <w:tcBorders>
              <w:top w:val="nil"/>
              <w:left w:val="nil"/>
              <w:bottom w:val="nil"/>
              <w:right w:val="nil"/>
            </w:tcBorders>
            <w:shd w:val="clear" w:color="auto" w:fill="auto"/>
            <w:vAlign w:val="bottom"/>
          </w:tcPr>
          <w:p w14:paraId="255DF2D1"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24,880,889</w:t>
            </w:r>
          </w:p>
        </w:tc>
        <w:tc>
          <w:tcPr>
            <w:tcW w:w="789" w:type="pct"/>
            <w:tcBorders>
              <w:top w:val="nil"/>
              <w:left w:val="nil"/>
              <w:bottom w:val="nil"/>
              <w:right w:val="nil"/>
            </w:tcBorders>
            <w:shd w:val="clear" w:color="auto" w:fill="auto"/>
            <w:vAlign w:val="bottom"/>
          </w:tcPr>
          <w:p w14:paraId="2038FAA5"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25,609,786</w:t>
            </w:r>
          </w:p>
        </w:tc>
        <w:tc>
          <w:tcPr>
            <w:tcW w:w="789" w:type="pct"/>
            <w:tcBorders>
              <w:top w:val="nil"/>
              <w:left w:val="nil"/>
              <w:bottom w:val="nil"/>
              <w:right w:val="nil"/>
            </w:tcBorders>
            <w:shd w:val="clear" w:color="auto" w:fill="auto"/>
            <w:vAlign w:val="bottom"/>
          </w:tcPr>
          <w:p w14:paraId="44F440B1"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24,821,123</w:t>
            </w:r>
          </w:p>
        </w:tc>
      </w:tr>
      <w:tr w:rsidR="00587444" w:rsidRPr="00587444" w14:paraId="39885A2C" w14:textId="77777777" w:rsidTr="00DD69E7">
        <w:trPr>
          <w:trHeight w:hRule="exact" w:val="284"/>
        </w:trPr>
        <w:tc>
          <w:tcPr>
            <w:tcW w:w="1843" w:type="pct"/>
            <w:shd w:val="clear" w:color="auto" w:fill="auto"/>
            <w:vAlign w:val="bottom"/>
          </w:tcPr>
          <w:p w14:paraId="06EE5F08" w14:textId="77777777" w:rsidR="00587444" w:rsidRPr="00587444" w:rsidRDefault="00587444" w:rsidP="00587444">
            <w:pPr>
              <w:tabs>
                <w:tab w:val="left" w:pos="-720"/>
              </w:tabs>
              <w:autoSpaceDN/>
              <w:spacing w:line="240" w:lineRule="exact"/>
              <w:ind w:right="-6"/>
              <w:rPr>
                <w:rFonts w:ascii="Arial" w:hAnsi="Arial" w:cs="Arial"/>
                <w:sz w:val="18"/>
                <w:szCs w:val="18"/>
              </w:rPr>
            </w:pPr>
            <w:r w:rsidRPr="00587444">
              <w:rPr>
                <w:rFonts w:ascii="Arial" w:hAnsi="Arial" w:cs="Arial"/>
                <w:sz w:val="18"/>
                <w:szCs w:val="18"/>
              </w:rPr>
              <w:t>Variable interest rate assets</w:t>
            </w:r>
          </w:p>
        </w:tc>
        <w:tc>
          <w:tcPr>
            <w:tcW w:w="789" w:type="pct"/>
            <w:tcBorders>
              <w:top w:val="nil"/>
              <w:left w:val="nil"/>
              <w:bottom w:val="nil"/>
              <w:right w:val="nil"/>
            </w:tcBorders>
            <w:shd w:val="clear" w:color="auto" w:fill="auto"/>
            <w:vAlign w:val="bottom"/>
          </w:tcPr>
          <w:p w14:paraId="01C06424"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1,323,524</w:t>
            </w:r>
          </w:p>
        </w:tc>
        <w:tc>
          <w:tcPr>
            <w:tcW w:w="790" w:type="pct"/>
            <w:tcBorders>
              <w:top w:val="nil"/>
              <w:left w:val="nil"/>
              <w:bottom w:val="nil"/>
              <w:right w:val="nil"/>
            </w:tcBorders>
            <w:shd w:val="clear" w:color="auto" w:fill="auto"/>
            <w:vAlign w:val="bottom"/>
          </w:tcPr>
          <w:p w14:paraId="4CCE6F53"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947,495</w:t>
            </w:r>
          </w:p>
        </w:tc>
        <w:tc>
          <w:tcPr>
            <w:tcW w:w="789" w:type="pct"/>
            <w:tcBorders>
              <w:top w:val="nil"/>
              <w:left w:val="nil"/>
              <w:bottom w:val="nil"/>
              <w:right w:val="nil"/>
            </w:tcBorders>
            <w:shd w:val="clear" w:color="auto" w:fill="auto"/>
            <w:vAlign w:val="bottom"/>
          </w:tcPr>
          <w:p w14:paraId="2691B07A"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1,323,524</w:t>
            </w:r>
          </w:p>
        </w:tc>
        <w:tc>
          <w:tcPr>
            <w:tcW w:w="789" w:type="pct"/>
            <w:tcBorders>
              <w:top w:val="nil"/>
              <w:left w:val="nil"/>
              <w:bottom w:val="nil"/>
              <w:right w:val="nil"/>
            </w:tcBorders>
            <w:shd w:val="clear" w:color="auto" w:fill="auto"/>
            <w:vAlign w:val="bottom"/>
          </w:tcPr>
          <w:p w14:paraId="3E2C0353"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947,495</w:t>
            </w:r>
          </w:p>
        </w:tc>
      </w:tr>
      <w:tr w:rsidR="00587444" w:rsidRPr="00587444" w14:paraId="248892FF" w14:textId="77777777" w:rsidTr="00DD69E7">
        <w:trPr>
          <w:trHeight w:hRule="exact" w:val="284"/>
        </w:trPr>
        <w:tc>
          <w:tcPr>
            <w:tcW w:w="1843" w:type="pct"/>
            <w:shd w:val="clear" w:color="auto" w:fill="auto"/>
            <w:vAlign w:val="bottom"/>
          </w:tcPr>
          <w:p w14:paraId="3EF82DB7" w14:textId="77777777" w:rsidR="00587444" w:rsidRPr="00587444" w:rsidRDefault="00587444" w:rsidP="00587444">
            <w:pPr>
              <w:tabs>
                <w:tab w:val="left" w:pos="-720"/>
              </w:tabs>
              <w:autoSpaceDN/>
              <w:spacing w:line="240" w:lineRule="exact"/>
              <w:ind w:right="-6"/>
              <w:rPr>
                <w:rFonts w:ascii="Arial" w:hAnsi="Arial" w:cs="Arial"/>
                <w:sz w:val="18"/>
                <w:szCs w:val="18"/>
              </w:rPr>
            </w:pPr>
            <w:r w:rsidRPr="00587444">
              <w:rPr>
                <w:rFonts w:ascii="Arial" w:hAnsi="Arial" w:cs="Arial"/>
                <w:sz w:val="18"/>
                <w:szCs w:val="18"/>
              </w:rPr>
              <w:t>Non-interest bearing</w:t>
            </w:r>
          </w:p>
        </w:tc>
        <w:tc>
          <w:tcPr>
            <w:tcW w:w="789" w:type="pct"/>
            <w:tcBorders>
              <w:top w:val="nil"/>
              <w:left w:val="nil"/>
              <w:bottom w:val="single" w:sz="4" w:space="0" w:color="auto"/>
              <w:right w:val="nil"/>
            </w:tcBorders>
            <w:shd w:val="clear" w:color="auto" w:fill="auto"/>
            <w:vAlign w:val="bottom"/>
          </w:tcPr>
          <w:p w14:paraId="51FE9641"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1,988,548</w:t>
            </w:r>
          </w:p>
        </w:tc>
        <w:tc>
          <w:tcPr>
            <w:tcW w:w="790" w:type="pct"/>
            <w:tcBorders>
              <w:top w:val="nil"/>
              <w:left w:val="nil"/>
              <w:bottom w:val="single" w:sz="4" w:space="0" w:color="auto"/>
              <w:right w:val="nil"/>
            </w:tcBorders>
            <w:shd w:val="clear" w:color="auto" w:fill="auto"/>
            <w:vAlign w:val="bottom"/>
          </w:tcPr>
          <w:p w14:paraId="2ED70E1C"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2,384,672</w:t>
            </w:r>
          </w:p>
        </w:tc>
        <w:tc>
          <w:tcPr>
            <w:tcW w:w="789" w:type="pct"/>
            <w:tcBorders>
              <w:top w:val="nil"/>
              <w:left w:val="nil"/>
              <w:bottom w:val="single" w:sz="4" w:space="0" w:color="auto"/>
              <w:right w:val="nil"/>
            </w:tcBorders>
            <w:shd w:val="clear" w:color="auto" w:fill="auto"/>
            <w:vAlign w:val="bottom"/>
          </w:tcPr>
          <w:p w14:paraId="0B45217D"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1,980,370</w:t>
            </w:r>
          </w:p>
        </w:tc>
        <w:tc>
          <w:tcPr>
            <w:tcW w:w="789" w:type="pct"/>
            <w:tcBorders>
              <w:top w:val="nil"/>
              <w:left w:val="nil"/>
              <w:bottom w:val="single" w:sz="4" w:space="0" w:color="auto"/>
              <w:right w:val="nil"/>
            </w:tcBorders>
            <w:shd w:val="clear" w:color="auto" w:fill="auto"/>
            <w:vAlign w:val="bottom"/>
          </w:tcPr>
          <w:p w14:paraId="76227FAA"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2,381,203</w:t>
            </w:r>
          </w:p>
        </w:tc>
      </w:tr>
      <w:tr w:rsidR="00587444" w:rsidRPr="00587444" w14:paraId="5DCB576E" w14:textId="77777777" w:rsidTr="00DD69E7">
        <w:trPr>
          <w:trHeight w:hRule="exact" w:val="382"/>
        </w:trPr>
        <w:tc>
          <w:tcPr>
            <w:tcW w:w="1843" w:type="pct"/>
            <w:shd w:val="clear" w:color="auto" w:fill="auto"/>
            <w:vAlign w:val="bottom"/>
          </w:tcPr>
          <w:p w14:paraId="267C0C64" w14:textId="77777777" w:rsidR="00587444" w:rsidRPr="00587444" w:rsidRDefault="00587444" w:rsidP="00587444">
            <w:pPr>
              <w:tabs>
                <w:tab w:val="left" w:pos="-720"/>
              </w:tabs>
              <w:autoSpaceDN/>
              <w:spacing w:line="240" w:lineRule="exact"/>
              <w:ind w:right="-6"/>
              <w:rPr>
                <w:rFonts w:ascii="Arial" w:hAnsi="Arial" w:cs="Arial"/>
                <w:sz w:val="18"/>
                <w:szCs w:val="18"/>
              </w:rPr>
            </w:pPr>
            <w:r w:rsidRPr="00587444">
              <w:rPr>
                <w:rFonts w:ascii="Arial" w:hAnsi="Arial" w:cs="Arial"/>
                <w:b/>
                <w:sz w:val="18"/>
                <w:szCs w:val="18"/>
              </w:rPr>
              <w:t xml:space="preserve">Total </w:t>
            </w:r>
          </w:p>
        </w:tc>
        <w:tc>
          <w:tcPr>
            <w:tcW w:w="789" w:type="pct"/>
            <w:tcBorders>
              <w:top w:val="single" w:sz="4" w:space="0" w:color="auto"/>
              <w:left w:val="nil"/>
              <w:bottom w:val="single" w:sz="12" w:space="0" w:color="auto"/>
              <w:right w:val="nil"/>
            </w:tcBorders>
            <w:shd w:val="clear" w:color="auto" w:fill="auto"/>
            <w:vAlign w:val="bottom"/>
          </w:tcPr>
          <w:p w14:paraId="7FF4244D" w14:textId="77777777" w:rsidR="00587444" w:rsidRPr="00587444" w:rsidRDefault="00587444" w:rsidP="00587444">
            <w:pPr>
              <w:tabs>
                <w:tab w:val="left" w:pos="-720"/>
              </w:tabs>
              <w:autoSpaceDN/>
              <w:ind w:right="-5"/>
              <w:jc w:val="right"/>
              <w:rPr>
                <w:rFonts w:ascii="Arial" w:hAnsi="Arial" w:cs="Arial"/>
                <w:b/>
                <w:sz w:val="18"/>
                <w:szCs w:val="18"/>
              </w:rPr>
            </w:pPr>
            <w:r w:rsidRPr="00587444">
              <w:rPr>
                <w:rFonts w:ascii="Arial" w:hAnsi="Arial" w:cs="Arial"/>
                <w:b/>
                <w:bCs/>
                <w:color w:val="000000"/>
                <w:sz w:val="18"/>
                <w:szCs w:val="18"/>
              </w:rPr>
              <w:t>28,996,556</w:t>
            </w:r>
          </w:p>
        </w:tc>
        <w:tc>
          <w:tcPr>
            <w:tcW w:w="790" w:type="pct"/>
            <w:tcBorders>
              <w:top w:val="single" w:sz="4" w:space="0" w:color="auto"/>
              <w:left w:val="nil"/>
              <w:bottom w:val="single" w:sz="12" w:space="0" w:color="auto"/>
              <w:right w:val="nil"/>
            </w:tcBorders>
            <w:shd w:val="clear" w:color="auto" w:fill="auto"/>
            <w:vAlign w:val="bottom"/>
          </w:tcPr>
          <w:p w14:paraId="5421A538" w14:textId="77777777" w:rsidR="00587444" w:rsidRPr="00587444" w:rsidRDefault="00587444" w:rsidP="00587444">
            <w:pPr>
              <w:tabs>
                <w:tab w:val="left" w:pos="-720"/>
              </w:tabs>
              <w:autoSpaceDN/>
              <w:ind w:right="-5"/>
              <w:jc w:val="right"/>
              <w:rPr>
                <w:rFonts w:ascii="Arial" w:hAnsi="Arial" w:cs="Arial"/>
                <w:b/>
                <w:sz w:val="18"/>
                <w:szCs w:val="18"/>
              </w:rPr>
            </w:pPr>
            <w:r w:rsidRPr="00587444">
              <w:rPr>
                <w:rFonts w:ascii="Arial" w:hAnsi="Arial" w:cs="Arial"/>
                <w:b/>
                <w:bCs/>
                <w:color w:val="000000"/>
                <w:sz w:val="18"/>
                <w:szCs w:val="18"/>
              </w:rPr>
              <w:t>28,213,056</w:t>
            </w:r>
          </w:p>
        </w:tc>
        <w:tc>
          <w:tcPr>
            <w:tcW w:w="789" w:type="pct"/>
            <w:tcBorders>
              <w:top w:val="single" w:sz="4" w:space="0" w:color="auto"/>
              <w:left w:val="nil"/>
              <w:bottom w:val="single" w:sz="12" w:space="0" w:color="auto"/>
              <w:right w:val="nil"/>
            </w:tcBorders>
            <w:shd w:val="clear" w:color="auto" w:fill="auto"/>
            <w:vAlign w:val="bottom"/>
          </w:tcPr>
          <w:p w14:paraId="29CC29F1" w14:textId="77777777" w:rsidR="00587444" w:rsidRPr="00587444" w:rsidRDefault="00587444" w:rsidP="00587444">
            <w:pPr>
              <w:tabs>
                <w:tab w:val="left" w:pos="-720"/>
              </w:tabs>
              <w:autoSpaceDN/>
              <w:ind w:right="-5"/>
              <w:jc w:val="right"/>
              <w:rPr>
                <w:rFonts w:ascii="Arial" w:hAnsi="Arial" w:cs="Arial"/>
                <w:b/>
                <w:sz w:val="18"/>
                <w:szCs w:val="18"/>
              </w:rPr>
            </w:pPr>
            <w:r w:rsidRPr="00587444">
              <w:rPr>
                <w:rFonts w:ascii="Arial" w:hAnsi="Arial" w:cs="Arial"/>
                <w:b/>
                <w:bCs/>
                <w:color w:val="000000"/>
                <w:sz w:val="18"/>
                <w:szCs w:val="18"/>
              </w:rPr>
              <w:t>28,913,680</w:t>
            </w:r>
          </w:p>
        </w:tc>
        <w:tc>
          <w:tcPr>
            <w:tcW w:w="789" w:type="pct"/>
            <w:tcBorders>
              <w:top w:val="single" w:sz="4" w:space="0" w:color="auto"/>
              <w:left w:val="nil"/>
              <w:bottom w:val="single" w:sz="12" w:space="0" w:color="auto"/>
              <w:right w:val="nil"/>
            </w:tcBorders>
            <w:shd w:val="clear" w:color="auto" w:fill="auto"/>
            <w:vAlign w:val="bottom"/>
          </w:tcPr>
          <w:p w14:paraId="1871B8CD" w14:textId="77777777" w:rsidR="00587444" w:rsidRPr="00587444" w:rsidRDefault="00587444" w:rsidP="00587444">
            <w:pPr>
              <w:tabs>
                <w:tab w:val="left" w:pos="-720"/>
              </w:tabs>
              <w:autoSpaceDN/>
              <w:ind w:right="-5"/>
              <w:jc w:val="right"/>
              <w:rPr>
                <w:rFonts w:ascii="Arial" w:hAnsi="Arial" w:cs="Arial"/>
                <w:b/>
                <w:sz w:val="18"/>
                <w:szCs w:val="18"/>
              </w:rPr>
            </w:pPr>
            <w:r w:rsidRPr="00587444">
              <w:rPr>
                <w:rFonts w:ascii="Arial" w:hAnsi="Arial" w:cs="Arial"/>
                <w:b/>
                <w:bCs/>
                <w:sz w:val="18"/>
                <w:szCs w:val="18"/>
              </w:rPr>
              <w:t>28,149,821</w:t>
            </w:r>
          </w:p>
        </w:tc>
      </w:tr>
      <w:tr w:rsidR="00587444" w:rsidRPr="00587444" w14:paraId="6E344348" w14:textId="77777777" w:rsidTr="00DD69E7">
        <w:trPr>
          <w:trHeight w:hRule="exact" w:val="382"/>
        </w:trPr>
        <w:tc>
          <w:tcPr>
            <w:tcW w:w="1843" w:type="pct"/>
            <w:shd w:val="clear" w:color="auto" w:fill="auto"/>
            <w:vAlign w:val="bottom"/>
          </w:tcPr>
          <w:p w14:paraId="5CE5F153" w14:textId="77777777" w:rsidR="00587444" w:rsidRPr="00587444" w:rsidRDefault="00587444" w:rsidP="00587444">
            <w:pPr>
              <w:tabs>
                <w:tab w:val="left" w:pos="-720"/>
              </w:tabs>
              <w:autoSpaceDN/>
              <w:spacing w:line="240" w:lineRule="exact"/>
              <w:ind w:right="-6"/>
              <w:rPr>
                <w:rFonts w:ascii="Arial" w:hAnsi="Arial" w:cs="Arial"/>
                <w:b/>
                <w:sz w:val="18"/>
                <w:szCs w:val="18"/>
              </w:rPr>
            </w:pPr>
          </w:p>
        </w:tc>
        <w:tc>
          <w:tcPr>
            <w:tcW w:w="789" w:type="pct"/>
            <w:tcBorders>
              <w:top w:val="single" w:sz="12" w:space="0" w:color="auto"/>
            </w:tcBorders>
            <w:shd w:val="clear" w:color="auto" w:fill="auto"/>
            <w:vAlign w:val="bottom"/>
          </w:tcPr>
          <w:p w14:paraId="7C67D93C" w14:textId="77777777" w:rsidR="00587444" w:rsidRPr="00587444" w:rsidRDefault="00587444" w:rsidP="00587444">
            <w:pPr>
              <w:tabs>
                <w:tab w:val="left" w:pos="-720"/>
              </w:tabs>
              <w:autoSpaceDN/>
              <w:ind w:right="-5"/>
              <w:jc w:val="right"/>
              <w:rPr>
                <w:rFonts w:ascii="Arial" w:hAnsi="Arial" w:cs="Arial"/>
                <w:b/>
                <w:sz w:val="18"/>
                <w:szCs w:val="18"/>
              </w:rPr>
            </w:pPr>
          </w:p>
        </w:tc>
        <w:tc>
          <w:tcPr>
            <w:tcW w:w="790" w:type="pct"/>
            <w:tcBorders>
              <w:top w:val="single" w:sz="12" w:space="0" w:color="auto"/>
            </w:tcBorders>
            <w:shd w:val="clear" w:color="auto" w:fill="auto"/>
            <w:vAlign w:val="bottom"/>
          </w:tcPr>
          <w:p w14:paraId="3705DC11" w14:textId="77777777" w:rsidR="00587444" w:rsidRPr="00587444" w:rsidRDefault="00587444" w:rsidP="00587444">
            <w:pPr>
              <w:tabs>
                <w:tab w:val="left" w:pos="-720"/>
              </w:tabs>
              <w:autoSpaceDN/>
              <w:ind w:right="-5"/>
              <w:jc w:val="right"/>
              <w:rPr>
                <w:rFonts w:ascii="Arial" w:hAnsi="Arial" w:cs="Arial"/>
                <w:b/>
                <w:sz w:val="18"/>
                <w:szCs w:val="18"/>
              </w:rPr>
            </w:pPr>
          </w:p>
        </w:tc>
        <w:tc>
          <w:tcPr>
            <w:tcW w:w="789" w:type="pct"/>
            <w:tcBorders>
              <w:top w:val="single" w:sz="12" w:space="0" w:color="auto"/>
            </w:tcBorders>
            <w:shd w:val="clear" w:color="auto" w:fill="auto"/>
            <w:vAlign w:val="bottom"/>
          </w:tcPr>
          <w:p w14:paraId="76D84905" w14:textId="77777777" w:rsidR="00587444" w:rsidRPr="00587444" w:rsidRDefault="00587444" w:rsidP="00587444">
            <w:pPr>
              <w:tabs>
                <w:tab w:val="left" w:pos="-720"/>
              </w:tabs>
              <w:autoSpaceDN/>
              <w:ind w:right="-5"/>
              <w:jc w:val="right"/>
              <w:rPr>
                <w:rFonts w:ascii="Arial" w:hAnsi="Arial" w:cs="Arial"/>
                <w:b/>
                <w:sz w:val="18"/>
                <w:szCs w:val="18"/>
              </w:rPr>
            </w:pPr>
          </w:p>
        </w:tc>
        <w:tc>
          <w:tcPr>
            <w:tcW w:w="789" w:type="pct"/>
            <w:tcBorders>
              <w:top w:val="single" w:sz="12" w:space="0" w:color="auto"/>
            </w:tcBorders>
            <w:shd w:val="clear" w:color="auto" w:fill="auto"/>
            <w:vAlign w:val="bottom"/>
          </w:tcPr>
          <w:p w14:paraId="627644A4" w14:textId="77777777" w:rsidR="00587444" w:rsidRPr="00587444" w:rsidRDefault="00587444" w:rsidP="00587444">
            <w:pPr>
              <w:tabs>
                <w:tab w:val="left" w:pos="-720"/>
              </w:tabs>
              <w:autoSpaceDN/>
              <w:ind w:right="-5"/>
              <w:jc w:val="right"/>
              <w:rPr>
                <w:rFonts w:ascii="Arial" w:hAnsi="Arial" w:cs="Arial"/>
                <w:b/>
                <w:sz w:val="18"/>
                <w:szCs w:val="18"/>
              </w:rPr>
            </w:pPr>
          </w:p>
        </w:tc>
      </w:tr>
      <w:tr w:rsidR="00587444" w:rsidRPr="00587444" w14:paraId="488D303F" w14:textId="77777777" w:rsidTr="00DD69E7">
        <w:trPr>
          <w:trHeight w:hRule="exact" w:val="284"/>
        </w:trPr>
        <w:tc>
          <w:tcPr>
            <w:tcW w:w="1843" w:type="pct"/>
            <w:shd w:val="clear" w:color="auto" w:fill="auto"/>
            <w:vAlign w:val="bottom"/>
          </w:tcPr>
          <w:p w14:paraId="66061D16" w14:textId="77777777" w:rsidR="00587444" w:rsidRPr="00587444" w:rsidRDefault="00587444" w:rsidP="00587444">
            <w:pPr>
              <w:tabs>
                <w:tab w:val="left" w:pos="-720"/>
              </w:tabs>
              <w:autoSpaceDN/>
              <w:spacing w:line="240" w:lineRule="exact"/>
              <w:ind w:right="-6"/>
              <w:rPr>
                <w:rFonts w:ascii="Arial" w:hAnsi="Arial" w:cs="Arial"/>
                <w:sz w:val="18"/>
                <w:szCs w:val="18"/>
              </w:rPr>
            </w:pPr>
            <w:r w:rsidRPr="00587444">
              <w:rPr>
                <w:rFonts w:ascii="Arial" w:hAnsi="Arial" w:cs="Arial"/>
                <w:b/>
                <w:sz w:val="18"/>
                <w:szCs w:val="18"/>
              </w:rPr>
              <w:t>Liabilities</w:t>
            </w:r>
          </w:p>
        </w:tc>
        <w:tc>
          <w:tcPr>
            <w:tcW w:w="789" w:type="pct"/>
            <w:shd w:val="clear" w:color="auto" w:fill="auto"/>
            <w:vAlign w:val="bottom"/>
          </w:tcPr>
          <w:p w14:paraId="1396BF9E" w14:textId="77777777" w:rsidR="00587444" w:rsidRPr="00587444" w:rsidRDefault="00587444" w:rsidP="00587444">
            <w:pPr>
              <w:tabs>
                <w:tab w:val="left" w:pos="-720"/>
              </w:tabs>
              <w:autoSpaceDN/>
              <w:ind w:right="-5"/>
              <w:jc w:val="right"/>
              <w:rPr>
                <w:rFonts w:ascii="Arial" w:hAnsi="Arial" w:cs="Arial"/>
                <w:sz w:val="18"/>
                <w:szCs w:val="18"/>
              </w:rPr>
            </w:pPr>
          </w:p>
        </w:tc>
        <w:tc>
          <w:tcPr>
            <w:tcW w:w="790" w:type="pct"/>
            <w:shd w:val="clear" w:color="auto" w:fill="auto"/>
            <w:vAlign w:val="bottom"/>
          </w:tcPr>
          <w:p w14:paraId="1941D616" w14:textId="77777777" w:rsidR="00587444" w:rsidRPr="00587444" w:rsidRDefault="00587444" w:rsidP="00587444">
            <w:pPr>
              <w:tabs>
                <w:tab w:val="left" w:pos="-720"/>
              </w:tabs>
              <w:autoSpaceDN/>
              <w:ind w:right="-5"/>
              <w:jc w:val="right"/>
              <w:rPr>
                <w:rFonts w:ascii="Arial" w:hAnsi="Arial" w:cs="Arial"/>
                <w:sz w:val="18"/>
                <w:szCs w:val="18"/>
              </w:rPr>
            </w:pPr>
          </w:p>
        </w:tc>
        <w:tc>
          <w:tcPr>
            <w:tcW w:w="789" w:type="pct"/>
            <w:shd w:val="clear" w:color="auto" w:fill="auto"/>
            <w:vAlign w:val="bottom"/>
          </w:tcPr>
          <w:p w14:paraId="0DBEBAA0" w14:textId="77777777" w:rsidR="00587444" w:rsidRPr="00587444" w:rsidRDefault="00587444" w:rsidP="00587444">
            <w:pPr>
              <w:tabs>
                <w:tab w:val="left" w:pos="-720"/>
              </w:tabs>
              <w:autoSpaceDN/>
              <w:ind w:right="-5"/>
              <w:jc w:val="right"/>
              <w:rPr>
                <w:rFonts w:ascii="Arial" w:hAnsi="Arial" w:cs="Arial"/>
                <w:sz w:val="18"/>
                <w:szCs w:val="18"/>
              </w:rPr>
            </w:pPr>
          </w:p>
        </w:tc>
        <w:tc>
          <w:tcPr>
            <w:tcW w:w="789" w:type="pct"/>
            <w:shd w:val="clear" w:color="auto" w:fill="auto"/>
            <w:vAlign w:val="bottom"/>
          </w:tcPr>
          <w:p w14:paraId="690A3B2E" w14:textId="77777777" w:rsidR="00587444" w:rsidRPr="00587444" w:rsidRDefault="00587444" w:rsidP="00587444">
            <w:pPr>
              <w:tabs>
                <w:tab w:val="left" w:pos="-720"/>
              </w:tabs>
              <w:autoSpaceDN/>
              <w:ind w:right="-5"/>
              <w:jc w:val="right"/>
              <w:rPr>
                <w:rFonts w:ascii="Arial" w:hAnsi="Arial" w:cs="Arial"/>
                <w:sz w:val="18"/>
                <w:szCs w:val="18"/>
              </w:rPr>
            </w:pPr>
          </w:p>
        </w:tc>
      </w:tr>
      <w:tr w:rsidR="00587444" w:rsidRPr="00587444" w14:paraId="4F1760C7" w14:textId="77777777" w:rsidTr="00DD69E7">
        <w:trPr>
          <w:trHeight w:hRule="exact" w:val="284"/>
        </w:trPr>
        <w:tc>
          <w:tcPr>
            <w:tcW w:w="1843" w:type="pct"/>
            <w:shd w:val="clear" w:color="auto" w:fill="auto"/>
            <w:vAlign w:val="bottom"/>
          </w:tcPr>
          <w:p w14:paraId="6B80C73D" w14:textId="77777777" w:rsidR="00587444" w:rsidRPr="00587444" w:rsidRDefault="00587444" w:rsidP="00587444">
            <w:pPr>
              <w:tabs>
                <w:tab w:val="left" w:pos="-720"/>
              </w:tabs>
              <w:autoSpaceDN/>
              <w:spacing w:line="240" w:lineRule="exact"/>
              <w:ind w:right="-6"/>
              <w:rPr>
                <w:rFonts w:ascii="Arial" w:hAnsi="Arial" w:cs="Arial"/>
                <w:b/>
                <w:sz w:val="18"/>
                <w:szCs w:val="18"/>
              </w:rPr>
            </w:pPr>
          </w:p>
        </w:tc>
        <w:tc>
          <w:tcPr>
            <w:tcW w:w="789" w:type="pct"/>
            <w:shd w:val="clear" w:color="auto" w:fill="auto"/>
            <w:vAlign w:val="bottom"/>
          </w:tcPr>
          <w:p w14:paraId="46684DA5" w14:textId="77777777" w:rsidR="00587444" w:rsidRPr="00587444" w:rsidRDefault="00587444" w:rsidP="00587444">
            <w:pPr>
              <w:tabs>
                <w:tab w:val="left" w:pos="-720"/>
              </w:tabs>
              <w:autoSpaceDN/>
              <w:ind w:right="-5"/>
              <w:jc w:val="right"/>
              <w:rPr>
                <w:rFonts w:ascii="Arial" w:hAnsi="Arial" w:cs="Arial"/>
                <w:sz w:val="18"/>
                <w:szCs w:val="18"/>
              </w:rPr>
            </w:pPr>
          </w:p>
        </w:tc>
        <w:tc>
          <w:tcPr>
            <w:tcW w:w="790" w:type="pct"/>
            <w:shd w:val="clear" w:color="auto" w:fill="auto"/>
            <w:vAlign w:val="bottom"/>
          </w:tcPr>
          <w:p w14:paraId="2A778EBB" w14:textId="77777777" w:rsidR="00587444" w:rsidRPr="00587444" w:rsidRDefault="00587444" w:rsidP="00587444">
            <w:pPr>
              <w:tabs>
                <w:tab w:val="left" w:pos="-720"/>
              </w:tabs>
              <w:autoSpaceDN/>
              <w:ind w:right="-5"/>
              <w:jc w:val="right"/>
              <w:rPr>
                <w:rFonts w:ascii="Arial" w:hAnsi="Arial" w:cs="Arial"/>
                <w:sz w:val="18"/>
                <w:szCs w:val="18"/>
              </w:rPr>
            </w:pPr>
          </w:p>
        </w:tc>
        <w:tc>
          <w:tcPr>
            <w:tcW w:w="789" w:type="pct"/>
            <w:shd w:val="clear" w:color="auto" w:fill="auto"/>
            <w:vAlign w:val="bottom"/>
          </w:tcPr>
          <w:p w14:paraId="47AB62F7" w14:textId="77777777" w:rsidR="00587444" w:rsidRPr="00587444" w:rsidRDefault="00587444" w:rsidP="00587444">
            <w:pPr>
              <w:tabs>
                <w:tab w:val="left" w:pos="-720"/>
              </w:tabs>
              <w:autoSpaceDN/>
              <w:ind w:right="-5"/>
              <w:jc w:val="right"/>
              <w:rPr>
                <w:rFonts w:ascii="Arial" w:hAnsi="Arial" w:cs="Arial"/>
                <w:sz w:val="18"/>
                <w:szCs w:val="18"/>
              </w:rPr>
            </w:pPr>
          </w:p>
        </w:tc>
        <w:tc>
          <w:tcPr>
            <w:tcW w:w="789" w:type="pct"/>
            <w:shd w:val="clear" w:color="auto" w:fill="auto"/>
            <w:vAlign w:val="bottom"/>
          </w:tcPr>
          <w:p w14:paraId="15007F11" w14:textId="77777777" w:rsidR="00587444" w:rsidRPr="00587444" w:rsidRDefault="00587444" w:rsidP="00587444">
            <w:pPr>
              <w:tabs>
                <w:tab w:val="left" w:pos="-720"/>
              </w:tabs>
              <w:autoSpaceDN/>
              <w:ind w:right="-5"/>
              <w:jc w:val="right"/>
              <w:rPr>
                <w:rFonts w:ascii="Arial" w:hAnsi="Arial" w:cs="Arial"/>
                <w:sz w:val="18"/>
                <w:szCs w:val="18"/>
              </w:rPr>
            </w:pPr>
          </w:p>
        </w:tc>
      </w:tr>
      <w:tr w:rsidR="00587444" w:rsidRPr="00587444" w14:paraId="3505566F" w14:textId="77777777" w:rsidTr="00DD69E7">
        <w:trPr>
          <w:trHeight w:hRule="exact" w:val="284"/>
        </w:trPr>
        <w:tc>
          <w:tcPr>
            <w:tcW w:w="1843" w:type="pct"/>
            <w:shd w:val="clear" w:color="auto" w:fill="auto"/>
            <w:vAlign w:val="bottom"/>
          </w:tcPr>
          <w:p w14:paraId="4EE89593" w14:textId="77777777" w:rsidR="00587444" w:rsidRPr="00587444" w:rsidRDefault="00587444" w:rsidP="00587444">
            <w:pPr>
              <w:tabs>
                <w:tab w:val="left" w:pos="-720"/>
              </w:tabs>
              <w:autoSpaceDN/>
              <w:spacing w:line="240" w:lineRule="exact"/>
              <w:ind w:right="-6"/>
              <w:rPr>
                <w:rFonts w:ascii="Arial" w:hAnsi="Arial" w:cs="Arial"/>
                <w:b/>
                <w:sz w:val="18"/>
                <w:szCs w:val="18"/>
              </w:rPr>
            </w:pPr>
            <w:r w:rsidRPr="00587444">
              <w:rPr>
                <w:rFonts w:ascii="Arial" w:hAnsi="Arial" w:cs="Arial"/>
                <w:sz w:val="18"/>
                <w:szCs w:val="18"/>
              </w:rPr>
              <w:t>Fixed interest rate liabilities</w:t>
            </w:r>
          </w:p>
        </w:tc>
        <w:tc>
          <w:tcPr>
            <w:tcW w:w="789" w:type="pct"/>
            <w:tcBorders>
              <w:top w:val="nil"/>
              <w:left w:val="nil"/>
              <w:bottom w:val="nil"/>
              <w:right w:val="nil"/>
            </w:tcBorders>
            <w:shd w:val="clear" w:color="auto" w:fill="auto"/>
            <w:vAlign w:val="bottom"/>
          </w:tcPr>
          <w:p w14:paraId="4BBEF5BA"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16,468,082</w:t>
            </w:r>
          </w:p>
        </w:tc>
        <w:tc>
          <w:tcPr>
            <w:tcW w:w="790" w:type="pct"/>
            <w:tcBorders>
              <w:top w:val="nil"/>
              <w:left w:val="nil"/>
              <w:bottom w:val="nil"/>
              <w:right w:val="nil"/>
            </w:tcBorders>
            <w:shd w:val="clear" w:color="auto" w:fill="auto"/>
            <w:vAlign w:val="bottom"/>
          </w:tcPr>
          <w:p w14:paraId="77E5CBCA"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16,486,467</w:t>
            </w:r>
          </w:p>
        </w:tc>
        <w:tc>
          <w:tcPr>
            <w:tcW w:w="789" w:type="pct"/>
            <w:tcBorders>
              <w:top w:val="nil"/>
              <w:left w:val="nil"/>
              <w:bottom w:val="nil"/>
              <w:right w:val="nil"/>
            </w:tcBorders>
            <w:shd w:val="clear" w:color="auto" w:fill="auto"/>
            <w:vAlign w:val="bottom"/>
          </w:tcPr>
          <w:p w14:paraId="45C801D0"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16,468,082</w:t>
            </w:r>
          </w:p>
        </w:tc>
        <w:tc>
          <w:tcPr>
            <w:tcW w:w="789" w:type="pct"/>
            <w:tcBorders>
              <w:top w:val="nil"/>
              <w:left w:val="nil"/>
              <w:bottom w:val="nil"/>
              <w:right w:val="nil"/>
            </w:tcBorders>
            <w:shd w:val="clear" w:color="auto" w:fill="auto"/>
            <w:vAlign w:val="bottom"/>
          </w:tcPr>
          <w:p w14:paraId="24FA651A"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16,486,467</w:t>
            </w:r>
          </w:p>
        </w:tc>
      </w:tr>
      <w:tr w:rsidR="00587444" w:rsidRPr="00587444" w14:paraId="678C5A16" w14:textId="77777777" w:rsidTr="00DD69E7">
        <w:trPr>
          <w:trHeight w:hRule="exact" w:val="284"/>
        </w:trPr>
        <w:tc>
          <w:tcPr>
            <w:tcW w:w="1843" w:type="pct"/>
            <w:shd w:val="clear" w:color="auto" w:fill="auto"/>
            <w:vAlign w:val="bottom"/>
          </w:tcPr>
          <w:p w14:paraId="28D1BECF" w14:textId="77777777" w:rsidR="00587444" w:rsidRPr="00587444" w:rsidRDefault="00587444" w:rsidP="00587444">
            <w:pPr>
              <w:tabs>
                <w:tab w:val="left" w:pos="-720"/>
              </w:tabs>
              <w:autoSpaceDN/>
              <w:spacing w:line="240" w:lineRule="exact"/>
              <w:ind w:right="-6"/>
              <w:rPr>
                <w:rFonts w:ascii="Arial" w:hAnsi="Arial" w:cs="Arial"/>
                <w:sz w:val="18"/>
                <w:szCs w:val="18"/>
              </w:rPr>
            </w:pPr>
            <w:r w:rsidRPr="00587444">
              <w:rPr>
                <w:rFonts w:ascii="Arial" w:hAnsi="Arial" w:cs="Arial"/>
                <w:sz w:val="18"/>
                <w:szCs w:val="18"/>
              </w:rPr>
              <w:t>Variable interest rate liabilities</w:t>
            </w:r>
          </w:p>
        </w:tc>
        <w:tc>
          <w:tcPr>
            <w:tcW w:w="789" w:type="pct"/>
            <w:tcBorders>
              <w:top w:val="nil"/>
              <w:left w:val="nil"/>
              <w:bottom w:val="nil"/>
              <w:right w:val="nil"/>
            </w:tcBorders>
            <w:shd w:val="clear" w:color="auto" w:fill="auto"/>
            <w:vAlign w:val="bottom"/>
          </w:tcPr>
          <w:p w14:paraId="1191E6EA"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153,782</w:t>
            </w:r>
          </w:p>
        </w:tc>
        <w:tc>
          <w:tcPr>
            <w:tcW w:w="790" w:type="pct"/>
            <w:tcBorders>
              <w:top w:val="nil"/>
              <w:left w:val="nil"/>
              <w:bottom w:val="nil"/>
              <w:right w:val="nil"/>
            </w:tcBorders>
            <w:shd w:val="clear" w:color="auto" w:fill="auto"/>
            <w:vAlign w:val="bottom"/>
          </w:tcPr>
          <w:p w14:paraId="25545F13"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11,276</w:t>
            </w:r>
          </w:p>
        </w:tc>
        <w:tc>
          <w:tcPr>
            <w:tcW w:w="789" w:type="pct"/>
            <w:tcBorders>
              <w:top w:val="nil"/>
              <w:left w:val="nil"/>
              <w:bottom w:val="nil"/>
              <w:right w:val="nil"/>
            </w:tcBorders>
            <w:shd w:val="clear" w:color="auto" w:fill="auto"/>
            <w:vAlign w:val="bottom"/>
          </w:tcPr>
          <w:p w14:paraId="30D01AFE"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153,782</w:t>
            </w:r>
          </w:p>
        </w:tc>
        <w:tc>
          <w:tcPr>
            <w:tcW w:w="789" w:type="pct"/>
            <w:tcBorders>
              <w:top w:val="nil"/>
              <w:left w:val="nil"/>
              <w:bottom w:val="nil"/>
              <w:right w:val="nil"/>
            </w:tcBorders>
            <w:shd w:val="clear" w:color="auto" w:fill="auto"/>
            <w:vAlign w:val="bottom"/>
          </w:tcPr>
          <w:p w14:paraId="3AA859DE"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11,276</w:t>
            </w:r>
          </w:p>
        </w:tc>
      </w:tr>
      <w:tr w:rsidR="00587444" w:rsidRPr="00587444" w14:paraId="05D66B18" w14:textId="77777777" w:rsidTr="00DD69E7">
        <w:trPr>
          <w:trHeight w:hRule="exact" w:val="284"/>
        </w:trPr>
        <w:tc>
          <w:tcPr>
            <w:tcW w:w="1843" w:type="pct"/>
            <w:shd w:val="clear" w:color="auto" w:fill="auto"/>
            <w:vAlign w:val="bottom"/>
          </w:tcPr>
          <w:p w14:paraId="0E68DFED" w14:textId="77777777" w:rsidR="00587444" w:rsidRPr="00587444" w:rsidRDefault="00587444" w:rsidP="00587444">
            <w:pPr>
              <w:tabs>
                <w:tab w:val="left" w:pos="-720"/>
              </w:tabs>
              <w:autoSpaceDN/>
              <w:spacing w:line="240" w:lineRule="exact"/>
              <w:ind w:right="-6"/>
              <w:rPr>
                <w:rFonts w:ascii="Arial" w:hAnsi="Arial" w:cs="Arial"/>
                <w:sz w:val="18"/>
                <w:szCs w:val="18"/>
              </w:rPr>
            </w:pPr>
            <w:r w:rsidRPr="00587444">
              <w:rPr>
                <w:rFonts w:ascii="Arial" w:hAnsi="Arial" w:cs="Arial"/>
                <w:sz w:val="18"/>
                <w:szCs w:val="18"/>
              </w:rPr>
              <w:t>Non-interest bearing</w:t>
            </w:r>
          </w:p>
        </w:tc>
        <w:tc>
          <w:tcPr>
            <w:tcW w:w="789" w:type="pct"/>
            <w:tcBorders>
              <w:top w:val="nil"/>
              <w:left w:val="nil"/>
              <w:bottom w:val="single" w:sz="4" w:space="0" w:color="auto"/>
              <w:right w:val="nil"/>
            </w:tcBorders>
            <w:shd w:val="clear" w:color="auto" w:fill="auto"/>
            <w:vAlign w:val="bottom"/>
          </w:tcPr>
          <w:p w14:paraId="68634A15"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1,723,273</w:t>
            </w:r>
          </w:p>
        </w:tc>
        <w:tc>
          <w:tcPr>
            <w:tcW w:w="790" w:type="pct"/>
            <w:tcBorders>
              <w:top w:val="nil"/>
              <w:left w:val="nil"/>
              <w:bottom w:val="single" w:sz="4" w:space="0" w:color="auto"/>
              <w:right w:val="nil"/>
            </w:tcBorders>
            <w:shd w:val="clear" w:color="auto" w:fill="auto"/>
            <w:vAlign w:val="bottom"/>
          </w:tcPr>
          <w:p w14:paraId="441DF04E"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1,203,834</w:t>
            </w:r>
          </w:p>
        </w:tc>
        <w:tc>
          <w:tcPr>
            <w:tcW w:w="789" w:type="pct"/>
            <w:tcBorders>
              <w:top w:val="nil"/>
              <w:left w:val="nil"/>
              <w:bottom w:val="single" w:sz="4" w:space="0" w:color="auto"/>
              <w:right w:val="nil"/>
            </w:tcBorders>
            <w:shd w:val="clear" w:color="auto" w:fill="auto"/>
            <w:vAlign w:val="bottom"/>
          </w:tcPr>
          <w:p w14:paraId="4B98B0A9"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1,699,843</w:t>
            </w:r>
          </w:p>
        </w:tc>
        <w:tc>
          <w:tcPr>
            <w:tcW w:w="789" w:type="pct"/>
            <w:tcBorders>
              <w:top w:val="nil"/>
              <w:left w:val="nil"/>
              <w:bottom w:val="single" w:sz="4" w:space="0" w:color="auto"/>
              <w:right w:val="nil"/>
            </w:tcBorders>
            <w:shd w:val="clear" w:color="auto" w:fill="auto"/>
            <w:vAlign w:val="bottom"/>
          </w:tcPr>
          <w:p w14:paraId="3BBE1272" w14:textId="77777777" w:rsidR="00587444" w:rsidRPr="00587444" w:rsidRDefault="00587444" w:rsidP="00587444">
            <w:pPr>
              <w:tabs>
                <w:tab w:val="left" w:pos="-720"/>
              </w:tabs>
              <w:autoSpaceDN/>
              <w:ind w:right="-5"/>
              <w:jc w:val="right"/>
              <w:rPr>
                <w:rFonts w:ascii="Arial" w:hAnsi="Arial" w:cs="Arial"/>
                <w:sz w:val="18"/>
                <w:szCs w:val="18"/>
              </w:rPr>
            </w:pPr>
            <w:r w:rsidRPr="00587444">
              <w:rPr>
                <w:rFonts w:ascii="Arial" w:hAnsi="Arial" w:cs="Arial"/>
                <w:sz w:val="18"/>
                <w:szCs w:val="18"/>
              </w:rPr>
              <w:t>1,184,516</w:t>
            </w:r>
          </w:p>
        </w:tc>
      </w:tr>
      <w:tr w:rsidR="00587444" w:rsidRPr="00587444" w14:paraId="6CBCD266" w14:textId="77777777" w:rsidTr="00DD69E7">
        <w:trPr>
          <w:trHeight w:hRule="exact" w:val="397"/>
        </w:trPr>
        <w:tc>
          <w:tcPr>
            <w:tcW w:w="1843" w:type="pct"/>
            <w:shd w:val="clear" w:color="auto" w:fill="auto"/>
            <w:vAlign w:val="bottom"/>
          </w:tcPr>
          <w:p w14:paraId="0DD73CBB" w14:textId="77777777" w:rsidR="00587444" w:rsidRPr="00587444" w:rsidRDefault="00587444" w:rsidP="00587444">
            <w:pPr>
              <w:tabs>
                <w:tab w:val="left" w:pos="-720"/>
              </w:tabs>
              <w:autoSpaceDN/>
              <w:spacing w:line="240" w:lineRule="exact"/>
              <w:ind w:right="-6"/>
              <w:rPr>
                <w:rFonts w:ascii="Arial" w:hAnsi="Arial" w:cs="Arial"/>
                <w:sz w:val="18"/>
                <w:szCs w:val="18"/>
              </w:rPr>
            </w:pPr>
            <w:r w:rsidRPr="00587444">
              <w:rPr>
                <w:rFonts w:ascii="Arial" w:hAnsi="Arial" w:cs="Arial"/>
                <w:b/>
                <w:sz w:val="18"/>
                <w:szCs w:val="18"/>
              </w:rPr>
              <w:t xml:space="preserve">Total liabilities </w:t>
            </w:r>
          </w:p>
        </w:tc>
        <w:tc>
          <w:tcPr>
            <w:tcW w:w="789" w:type="pct"/>
            <w:tcBorders>
              <w:top w:val="single" w:sz="4" w:space="0" w:color="auto"/>
              <w:left w:val="nil"/>
              <w:bottom w:val="single" w:sz="12" w:space="0" w:color="auto"/>
              <w:right w:val="nil"/>
            </w:tcBorders>
            <w:shd w:val="clear" w:color="auto" w:fill="auto"/>
            <w:vAlign w:val="bottom"/>
          </w:tcPr>
          <w:p w14:paraId="15419094" w14:textId="77777777" w:rsidR="00587444" w:rsidRPr="00587444" w:rsidRDefault="00587444" w:rsidP="00587444">
            <w:pPr>
              <w:tabs>
                <w:tab w:val="left" w:pos="-720"/>
              </w:tabs>
              <w:autoSpaceDN/>
              <w:ind w:right="-5"/>
              <w:jc w:val="right"/>
              <w:rPr>
                <w:rFonts w:ascii="Arial" w:hAnsi="Arial" w:cs="Arial"/>
                <w:b/>
                <w:sz w:val="18"/>
                <w:szCs w:val="18"/>
              </w:rPr>
            </w:pPr>
            <w:r w:rsidRPr="00587444">
              <w:rPr>
                <w:rFonts w:ascii="Arial" w:hAnsi="Arial" w:cs="Arial"/>
                <w:b/>
                <w:bCs/>
                <w:color w:val="000000"/>
                <w:sz w:val="18"/>
                <w:szCs w:val="18"/>
              </w:rPr>
              <w:t>18,345,137</w:t>
            </w:r>
          </w:p>
        </w:tc>
        <w:tc>
          <w:tcPr>
            <w:tcW w:w="790" w:type="pct"/>
            <w:tcBorders>
              <w:top w:val="single" w:sz="4" w:space="0" w:color="auto"/>
              <w:left w:val="nil"/>
              <w:bottom w:val="single" w:sz="12" w:space="0" w:color="auto"/>
              <w:right w:val="nil"/>
            </w:tcBorders>
            <w:shd w:val="clear" w:color="auto" w:fill="auto"/>
            <w:vAlign w:val="bottom"/>
          </w:tcPr>
          <w:p w14:paraId="0F542B8D" w14:textId="77777777" w:rsidR="00587444" w:rsidRPr="00587444" w:rsidRDefault="00587444" w:rsidP="00587444">
            <w:pPr>
              <w:tabs>
                <w:tab w:val="left" w:pos="-720"/>
              </w:tabs>
              <w:autoSpaceDN/>
              <w:ind w:right="-5"/>
              <w:jc w:val="right"/>
              <w:rPr>
                <w:rFonts w:ascii="Arial" w:hAnsi="Arial" w:cs="Arial"/>
                <w:b/>
                <w:sz w:val="18"/>
                <w:szCs w:val="18"/>
              </w:rPr>
            </w:pPr>
            <w:r w:rsidRPr="00587444">
              <w:rPr>
                <w:rFonts w:ascii="Arial" w:hAnsi="Arial" w:cs="Arial"/>
                <w:b/>
                <w:bCs/>
                <w:color w:val="000000"/>
                <w:sz w:val="18"/>
                <w:szCs w:val="18"/>
              </w:rPr>
              <w:t>17,701,577</w:t>
            </w:r>
          </w:p>
        </w:tc>
        <w:tc>
          <w:tcPr>
            <w:tcW w:w="789" w:type="pct"/>
            <w:tcBorders>
              <w:top w:val="single" w:sz="4" w:space="0" w:color="auto"/>
              <w:left w:val="nil"/>
              <w:bottom w:val="single" w:sz="12" w:space="0" w:color="auto"/>
              <w:right w:val="nil"/>
            </w:tcBorders>
            <w:shd w:val="clear" w:color="auto" w:fill="auto"/>
            <w:vAlign w:val="bottom"/>
          </w:tcPr>
          <w:p w14:paraId="2B177307" w14:textId="77777777" w:rsidR="00587444" w:rsidRPr="00587444" w:rsidRDefault="00587444" w:rsidP="00587444">
            <w:pPr>
              <w:tabs>
                <w:tab w:val="left" w:pos="-720"/>
              </w:tabs>
              <w:autoSpaceDN/>
              <w:ind w:right="-5"/>
              <w:jc w:val="right"/>
              <w:rPr>
                <w:rFonts w:ascii="Arial" w:hAnsi="Arial" w:cs="Arial"/>
                <w:b/>
                <w:sz w:val="18"/>
                <w:szCs w:val="18"/>
              </w:rPr>
            </w:pPr>
            <w:r w:rsidRPr="00587444">
              <w:rPr>
                <w:rFonts w:ascii="Arial" w:hAnsi="Arial" w:cs="Arial"/>
                <w:b/>
                <w:bCs/>
                <w:color w:val="000000"/>
                <w:sz w:val="18"/>
                <w:szCs w:val="18"/>
              </w:rPr>
              <w:t>18,321,707</w:t>
            </w:r>
          </w:p>
        </w:tc>
        <w:tc>
          <w:tcPr>
            <w:tcW w:w="789" w:type="pct"/>
            <w:tcBorders>
              <w:top w:val="single" w:sz="4" w:space="0" w:color="auto"/>
              <w:left w:val="nil"/>
              <w:bottom w:val="single" w:sz="12" w:space="0" w:color="auto"/>
              <w:right w:val="nil"/>
            </w:tcBorders>
            <w:shd w:val="clear" w:color="auto" w:fill="auto"/>
            <w:vAlign w:val="bottom"/>
          </w:tcPr>
          <w:p w14:paraId="3DA48CDD" w14:textId="77777777" w:rsidR="00587444" w:rsidRPr="00587444" w:rsidRDefault="00587444" w:rsidP="00587444">
            <w:pPr>
              <w:tabs>
                <w:tab w:val="left" w:pos="-720"/>
              </w:tabs>
              <w:autoSpaceDN/>
              <w:ind w:right="-5"/>
              <w:jc w:val="right"/>
              <w:rPr>
                <w:rFonts w:ascii="Arial" w:hAnsi="Arial" w:cs="Arial"/>
                <w:b/>
                <w:sz w:val="18"/>
                <w:szCs w:val="18"/>
              </w:rPr>
            </w:pPr>
            <w:r w:rsidRPr="00587444">
              <w:rPr>
                <w:rFonts w:ascii="Arial" w:hAnsi="Arial" w:cs="Arial"/>
                <w:b/>
                <w:bCs/>
                <w:sz w:val="18"/>
                <w:szCs w:val="18"/>
              </w:rPr>
              <w:t>17,682,259</w:t>
            </w:r>
          </w:p>
        </w:tc>
      </w:tr>
    </w:tbl>
    <w:p w14:paraId="22E08446" w14:textId="77777777" w:rsidR="00587444" w:rsidRPr="00587444" w:rsidRDefault="00587444" w:rsidP="00587444">
      <w:pPr>
        <w:keepNext/>
        <w:suppressAutoHyphens w:val="0"/>
        <w:autoSpaceDN/>
        <w:spacing w:before="240" w:line="360" w:lineRule="auto"/>
        <w:jc w:val="both"/>
        <w:rPr>
          <w:rFonts w:ascii="Arial" w:hAnsi="Arial" w:cs="Arial"/>
          <w:b/>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1A3F3697"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61E0B70"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         Risk management (continued)</w:t>
      </w:r>
    </w:p>
    <w:p w14:paraId="49A96D3A"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3D023FD"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31.5.      Market risk (continued)</w:t>
      </w:r>
    </w:p>
    <w:p w14:paraId="6301532F"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44E12DB5"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31.5.1.   Interest rate risk (continued)</w:t>
      </w:r>
    </w:p>
    <w:p w14:paraId="0DA3475B" w14:textId="77777777" w:rsidR="00587444" w:rsidRPr="00587444" w:rsidRDefault="00587444" w:rsidP="00587444">
      <w:pPr>
        <w:suppressAutoHyphens w:val="0"/>
        <w:autoSpaceDN/>
        <w:jc w:val="both"/>
        <w:rPr>
          <w:rFonts w:ascii="Arial" w:hAnsi="Arial" w:cs="Arial"/>
          <w:b/>
          <w:bCs/>
          <w:sz w:val="20"/>
          <w:szCs w:val="20"/>
          <w:lang w:val="en-GB"/>
        </w:rPr>
      </w:pPr>
    </w:p>
    <w:p w14:paraId="4BF5364A"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Sensitivity analysis</w:t>
      </w:r>
    </w:p>
    <w:p w14:paraId="1930929F" w14:textId="77777777" w:rsidR="00587444" w:rsidRPr="00587444" w:rsidRDefault="00587444" w:rsidP="00587444">
      <w:pPr>
        <w:suppressAutoHyphens w:val="0"/>
        <w:autoSpaceDN/>
        <w:jc w:val="both"/>
        <w:rPr>
          <w:rFonts w:ascii="Arial" w:hAnsi="Arial" w:cs="Arial"/>
          <w:bCs/>
          <w:sz w:val="20"/>
          <w:szCs w:val="20"/>
          <w:lang w:val="en-GB"/>
        </w:rPr>
      </w:pPr>
    </w:p>
    <w:p w14:paraId="77759A27" w14:textId="77777777" w:rsidR="00587444" w:rsidRPr="00587444" w:rsidRDefault="00587444" w:rsidP="00587444">
      <w:pPr>
        <w:suppressAutoHyphens w:val="0"/>
        <w:autoSpaceDN/>
        <w:jc w:val="both"/>
        <w:rPr>
          <w:rFonts w:ascii="Arial" w:hAnsi="Arial" w:cs="Arial"/>
          <w:bCs/>
          <w:sz w:val="20"/>
          <w:szCs w:val="20"/>
          <w:lang w:val="en-GB"/>
        </w:rPr>
      </w:pPr>
      <w:r w:rsidRPr="00587444">
        <w:rPr>
          <w:rFonts w:ascii="Arial" w:hAnsi="Arial" w:cs="Arial"/>
          <w:bCs/>
          <w:sz w:val="20"/>
          <w:szCs w:val="20"/>
          <w:lang w:val="en-GB"/>
        </w:rPr>
        <w:t xml:space="preserve">Assumptions used in preparing the interest risk sensitivity analysis relate to possible changes in reference interest rates </w:t>
      </w:r>
      <w:proofErr w:type="gramStart"/>
      <w:r w:rsidRPr="00587444">
        <w:rPr>
          <w:rFonts w:ascii="Arial" w:hAnsi="Arial" w:cs="Arial"/>
          <w:bCs/>
          <w:sz w:val="20"/>
          <w:szCs w:val="20"/>
          <w:lang w:val="en-GB"/>
        </w:rPr>
        <w:t>in order to</w:t>
      </w:r>
      <w:proofErr w:type="gramEnd"/>
      <w:r w:rsidRPr="00587444">
        <w:rPr>
          <w:rFonts w:ascii="Arial" w:hAnsi="Arial" w:cs="Arial"/>
          <w:bCs/>
          <w:sz w:val="20"/>
          <w:szCs w:val="20"/>
          <w:lang w:val="en-GB"/>
        </w:rPr>
        <w:t xml:space="preserve"> assess the hypothetical effect on HBOR’s profit.</w:t>
      </w:r>
    </w:p>
    <w:p w14:paraId="75A7B370" w14:textId="77777777" w:rsidR="00587444" w:rsidRPr="00587444" w:rsidRDefault="00587444" w:rsidP="00587444">
      <w:pPr>
        <w:keepNext/>
        <w:suppressAutoHyphens w:val="0"/>
        <w:autoSpaceDN/>
        <w:jc w:val="both"/>
        <w:rPr>
          <w:rFonts w:ascii="Arial" w:hAnsi="Arial" w:cs="Arial"/>
          <w:bCs/>
          <w:sz w:val="20"/>
          <w:szCs w:val="20"/>
          <w:lang w:val="en-GB"/>
        </w:rPr>
      </w:pPr>
    </w:p>
    <w:p w14:paraId="3D9BD7D5"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bCs/>
          <w:sz w:val="20"/>
          <w:szCs w:val="20"/>
          <w:lang w:val="en-GB"/>
        </w:rPr>
        <w:t xml:space="preserve">Volatility of reference interest rates for 2022 has been determined using the standard deviation method on the daily changes of the reference interest rates linked to EUR and USD. </w:t>
      </w:r>
      <w:proofErr w:type="gramStart"/>
      <w:r w:rsidRPr="00587444">
        <w:rPr>
          <w:rFonts w:ascii="Arial" w:hAnsi="Arial" w:cs="Arial"/>
          <w:bCs/>
          <w:sz w:val="20"/>
          <w:szCs w:val="20"/>
          <w:lang w:val="en-GB"/>
        </w:rPr>
        <w:t>On the basis of</w:t>
      </w:r>
      <w:proofErr w:type="gramEnd"/>
      <w:r w:rsidRPr="00587444">
        <w:rPr>
          <w:rFonts w:ascii="Arial" w:hAnsi="Arial" w:cs="Arial"/>
          <w:bCs/>
          <w:sz w:val="20"/>
          <w:szCs w:val="20"/>
          <w:lang w:val="en-GB"/>
        </w:rPr>
        <w:t xml:space="preserve"> the above volatility, possible changes in reference interest rates linked to EUR and USD have been established and used in the sensitivity analysis.</w:t>
      </w:r>
    </w:p>
    <w:p w14:paraId="1EB3E1DE" w14:textId="77777777" w:rsidR="00587444" w:rsidRPr="00587444" w:rsidRDefault="00587444" w:rsidP="00587444">
      <w:pPr>
        <w:suppressAutoHyphens w:val="0"/>
        <w:autoSpaceDN/>
        <w:jc w:val="both"/>
        <w:rPr>
          <w:rFonts w:ascii="Arial" w:hAnsi="Arial" w:cs="Arial"/>
          <w:bCs/>
          <w:sz w:val="20"/>
          <w:szCs w:val="20"/>
          <w:lang w:val="en-GB"/>
        </w:rPr>
      </w:pPr>
    </w:p>
    <w:p w14:paraId="75ECD32B" w14:textId="77777777" w:rsidR="00587444" w:rsidRPr="00587444" w:rsidRDefault="00587444" w:rsidP="00587444">
      <w:pPr>
        <w:suppressAutoHyphens w:val="0"/>
        <w:autoSpaceDN/>
        <w:jc w:val="both"/>
        <w:rPr>
          <w:rFonts w:ascii="Arial" w:hAnsi="Arial" w:cs="Arial"/>
          <w:bCs/>
          <w:sz w:val="20"/>
          <w:szCs w:val="20"/>
          <w:lang w:val="en-GB"/>
        </w:rPr>
      </w:pPr>
      <w:r w:rsidRPr="00587444">
        <w:rPr>
          <w:rFonts w:ascii="Arial" w:hAnsi="Arial" w:cs="Arial"/>
          <w:bCs/>
          <w:sz w:val="20"/>
          <w:szCs w:val="20"/>
          <w:lang w:val="en-GB"/>
        </w:rPr>
        <w:t>The analysis presents the sensitivity of interest rates to reasonably expected changes in basis points of variable interest rates. All other variables remain constant.</w:t>
      </w:r>
    </w:p>
    <w:p w14:paraId="196E0A71" w14:textId="77777777" w:rsidR="00587444" w:rsidRPr="00587444" w:rsidRDefault="00587444" w:rsidP="00587444">
      <w:pPr>
        <w:suppressAutoHyphens w:val="0"/>
        <w:autoSpaceDN/>
        <w:jc w:val="both"/>
        <w:rPr>
          <w:rFonts w:ascii="Arial" w:hAnsi="Arial" w:cs="Arial"/>
          <w:bCs/>
          <w:sz w:val="20"/>
          <w:szCs w:val="20"/>
          <w:lang w:val="en-GB"/>
        </w:rPr>
      </w:pPr>
    </w:p>
    <w:p w14:paraId="2D93413B" w14:textId="77777777" w:rsidR="00587444" w:rsidRPr="00587444" w:rsidRDefault="00587444" w:rsidP="00587444">
      <w:pPr>
        <w:suppressAutoHyphens w:val="0"/>
        <w:autoSpaceDN/>
        <w:jc w:val="both"/>
        <w:rPr>
          <w:rFonts w:ascii="Arial" w:hAnsi="Arial" w:cs="Arial"/>
          <w:bCs/>
          <w:sz w:val="20"/>
          <w:szCs w:val="20"/>
          <w:lang w:val="en-GB"/>
        </w:rPr>
      </w:pPr>
      <w:r w:rsidRPr="00587444">
        <w:rPr>
          <w:rFonts w:ascii="Arial" w:hAnsi="Arial" w:cs="Arial"/>
          <w:bCs/>
          <w:sz w:val="20"/>
          <w:szCs w:val="20"/>
          <w:lang w:val="en-GB"/>
        </w:rPr>
        <w:t>The sensitivity of profit is influenced by hypothetical changes in interest rates during a period of one year based on interest bearing assets and liabilities with a variable interest rate.</w:t>
      </w:r>
    </w:p>
    <w:p w14:paraId="053A4669" w14:textId="77777777" w:rsidR="00587444" w:rsidRPr="00587444" w:rsidRDefault="00587444" w:rsidP="00587444">
      <w:pPr>
        <w:suppressAutoHyphens w:val="0"/>
        <w:autoSpaceDN/>
        <w:jc w:val="both"/>
        <w:rPr>
          <w:rFonts w:ascii="Arial" w:hAnsi="Arial" w:cs="Arial"/>
          <w:bCs/>
          <w:sz w:val="20"/>
          <w:szCs w:val="20"/>
          <w:lang w:val="en-GB"/>
        </w:rPr>
      </w:pPr>
    </w:p>
    <w:tbl>
      <w:tblPr>
        <w:tblW w:w="5000" w:type="pct"/>
        <w:jc w:val="right"/>
        <w:tblLook w:val="01E0" w:firstRow="1" w:lastRow="1" w:firstColumn="1" w:lastColumn="1" w:noHBand="0" w:noVBand="0"/>
      </w:tblPr>
      <w:tblGrid>
        <w:gridCol w:w="2515"/>
        <w:gridCol w:w="1813"/>
        <w:gridCol w:w="1746"/>
        <w:gridCol w:w="1746"/>
        <w:gridCol w:w="1751"/>
      </w:tblGrid>
      <w:tr w:rsidR="00587444" w:rsidRPr="00587444" w14:paraId="513B31DB" w14:textId="77777777" w:rsidTr="00DD69E7">
        <w:trPr>
          <w:trHeight w:hRule="exact" w:val="546"/>
          <w:jc w:val="right"/>
        </w:trPr>
        <w:tc>
          <w:tcPr>
            <w:tcW w:w="1314" w:type="pct"/>
            <w:shd w:val="clear" w:color="auto" w:fill="auto"/>
          </w:tcPr>
          <w:p w14:paraId="27ABD2AF" w14:textId="77777777" w:rsidR="00587444" w:rsidRPr="00587444" w:rsidRDefault="00587444" w:rsidP="00587444">
            <w:pPr>
              <w:suppressAutoHyphens w:val="0"/>
              <w:autoSpaceDN/>
              <w:spacing w:before="240" w:after="120" w:line="360" w:lineRule="auto"/>
              <w:rPr>
                <w:rFonts w:ascii="Arial" w:hAnsi="Arial" w:cs="Arial"/>
                <w:bCs/>
                <w:kern w:val="19"/>
                <w:sz w:val="18"/>
                <w:szCs w:val="18"/>
                <w:lang w:val="en-GB"/>
              </w:rPr>
            </w:pPr>
            <w:r w:rsidRPr="00587444">
              <w:rPr>
                <w:rFonts w:ascii="Arial" w:hAnsi="Arial" w:cs="Arial"/>
                <w:b/>
                <w:bCs/>
                <w:kern w:val="19"/>
                <w:sz w:val="18"/>
                <w:szCs w:val="18"/>
                <w:lang w:val="en-GB"/>
              </w:rPr>
              <w:t>Currency</w:t>
            </w:r>
          </w:p>
        </w:tc>
        <w:tc>
          <w:tcPr>
            <w:tcW w:w="947" w:type="pct"/>
            <w:shd w:val="clear" w:color="auto" w:fill="auto"/>
          </w:tcPr>
          <w:p w14:paraId="05BE4152"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Increase in </w:t>
            </w:r>
          </w:p>
          <w:p w14:paraId="6EDC8DAD"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proofErr w:type="spellStart"/>
            <w:r w:rsidRPr="00587444">
              <w:rPr>
                <w:rFonts w:ascii="Arial" w:hAnsi="Arial" w:cs="Arial"/>
                <w:b/>
                <w:bCs/>
                <w:kern w:val="19"/>
                <w:sz w:val="18"/>
                <w:szCs w:val="18"/>
                <w:lang w:val="en-GB"/>
              </w:rPr>
              <w:t>b.p.</w:t>
            </w:r>
            <w:proofErr w:type="spellEnd"/>
            <w:r w:rsidRPr="00587444">
              <w:rPr>
                <w:rFonts w:ascii="Arial" w:hAnsi="Arial" w:cs="Arial"/>
                <w:b/>
                <w:bCs/>
                <w:kern w:val="19"/>
                <w:sz w:val="18"/>
                <w:szCs w:val="18"/>
                <w:lang w:val="en-GB"/>
              </w:rPr>
              <w:t xml:space="preserve"> in 2022</w:t>
            </w:r>
          </w:p>
          <w:p w14:paraId="1E340A1B"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p>
        </w:tc>
        <w:tc>
          <w:tcPr>
            <w:tcW w:w="912" w:type="pct"/>
            <w:shd w:val="clear" w:color="auto" w:fill="auto"/>
          </w:tcPr>
          <w:p w14:paraId="4D7462C8"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Effect on profit</w:t>
            </w:r>
          </w:p>
          <w:p w14:paraId="04FE7C9C" w14:textId="77777777" w:rsidR="00587444" w:rsidRPr="00587444" w:rsidRDefault="00587444" w:rsidP="00587444">
            <w:pPr>
              <w:suppressAutoHyphens w:val="0"/>
              <w:autoSpaceDN/>
              <w:spacing w:line="0" w:lineRule="atLeast"/>
              <w:jc w:val="right"/>
              <w:rPr>
                <w:rFonts w:ascii="Arial" w:hAnsi="Arial" w:cs="Arial"/>
                <w:b/>
                <w:kern w:val="19"/>
                <w:sz w:val="18"/>
                <w:szCs w:val="18"/>
                <w:lang w:val="en-GB"/>
              </w:rPr>
            </w:pPr>
            <w:r w:rsidRPr="00587444">
              <w:rPr>
                <w:rFonts w:ascii="Arial" w:hAnsi="Arial" w:cs="Arial"/>
                <w:b/>
                <w:bCs/>
                <w:kern w:val="19"/>
                <w:sz w:val="18"/>
                <w:szCs w:val="18"/>
                <w:lang w:val="en-GB"/>
              </w:rPr>
              <w:t xml:space="preserve"> in 2022</w:t>
            </w:r>
          </w:p>
        </w:tc>
        <w:tc>
          <w:tcPr>
            <w:tcW w:w="912" w:type="pct"/>
            <w:shd w:val="clear" w:color="auto" w:fill="auto"/>
          </w:tcPr>
          <w:p w14:paraId="31FF1A01"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Increase in </w:t>
            </w:r>
          </w:p>
          <w:p w14:paraId="22956E15"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proofErr w:type="spellStart"/>
            <w:r w:rsidRPr="00587444">
              <w:rPr>
                <w:rFonts w:ascii="Arial" w:hAnsi="Arial" w:cs="Arial"/>
                <w:b/>
                <w:bCs/>
                <w:kern w:val="19"/>
                <w:sz w:val="18"/>
                <w:szCs w:val="18"/>
                <w:lang w:val="en-GB"/>
              </w:rPr>
              <w:t>b.p.</w:t>
            </w:r>
            <w:proofErr w:type="spellEnd"/>
            <w:r w:rsidRPr="00587444">
              <w:rPr>
                <w:rFonts w:ascii="Arial" w:hAnsi="Arial" w:cs="Arial"/>
                <w:b/>
                <w:bCs/>
                <w:kern w:val="19"/>
                <w:sz w:val="18"/>
                <w:szCs w:val="18"/>
                <w:lang w:val="en-GB"/>
              </w:rPr>
              <w:t xml:space="preserve"> in 2021</w:t>
            </w:r>
          </w:p>
          <w:p w14:paraId="59ACEDAD"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p>
        </w:tc>
        <w:tc>
          <w:tcPr>
            <w:tcW w:w="915" w:type="pct"/>
            <w:shd w:val="clear" w:color="auto" w:fill="auto"/>
          </w:tcPr>
          <w:p w14:paraId="5A26DBB7"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Effect on profit</w:t>
            </w:r>
          </w:p>
          <w:p w14:paraId="1FC7DB77" w14:textId="77777777" w:rsidR="00587444" w:rsidRPr="00587444" w:rsidRDefault="00587444" w:rsidP="00587444">
            <w:pPr>
              <w:suppressAutoHyphens w:val="0"/>
              <w:autoSpaceDN/>
              <w:spacing w:line="0" w:lineRule="atLeast"/>
              <w:jc w:val="right"/>
              <w:rPr>
                <w:rFonts w:ascii="Arial" w:hAnsi="Arial" w:cs="Arial"/>
                <w:b/>
                <w:kern w:val="19"/>
                <w:sz w:val="18"/>
                <w:szCs w:val="18"/>
                <w:lang w:val="en-GB"/>
              </w:rPr>
            </w:pPr>
            <w:r w:rsidRPr="00587444">
              <w:rPr>
                <w:rFonts w:ascii="Arial" w:hAnsi="Arial" w:cs="Arial"/>
                <w:b/>
                <w:bCs/>
                <w:kern w:val="19"/>
                <w:sz w:val="18"/>
                <w:szCs w:val="18"/>
                <w:lang w:val="en-GB"/>
              </w:rPr>
              <w:t xml:space="preserve"> in 2021</w:t>
            </w:r>
          </w:p>
        </w:tc>
      </w:tr>
      <w:tr w:rsidR="00587444" w:rsidRPr="00587444" w14:paraId="762E5ED3" w14:textId="77777777" w:rsidTr="00DD69E7">
        <w:trPr>
          <w:trHeight w:hRule="exact" w:val="331"/>
          <w:jc w:val="right"/>
        </w:trPr>
        <w:tc>
          <w:tcPr>
            <w:tcW w:w="1314" w:type="pct"/>
            <w:shd w:val="clear" w:color="auto" w:fill="auto"/>
          </w:tcPr>
          <w:p w14:paraId="66F47F4A" w14:textId="77777777" w:rsidR="00587444" w:rsidRPr="00587444" w:rsidRDefault="00587444" w:rsidP="00587444">
            <w:pPr>
              <w:suppressAutoHyphens w:val="0"/>
              <w:autoSpaceDN/>
              <w:spacing w:before="240" w:after="120" w:line="360" w:lineRule="auto"/>
              <w:jc w:val="both"/>
              <w:rPr>
                <w:rFonts w:ascii="Arial" w:hAnsi="Arial" w:cs="Arial"/>
                <w:bCs/>
                <w:kern w:val="19"/>
                <w:sz w:val="18"/>
                <w:szCs w:val="18"/>
                <w:lang w:val="en-GB"/>
              </w:rPr>
            </w:pPr>
          </w:p>
        </w:tc>
        <w:tc>
          <w:tcPr>
            <w:tcW w:w="947" w:type="pct"/>
            <w:shd w:val="clear" w:color="auto" w:fill="auto"/>
            <w:vAlign w:val="center"/>
          </w:tcPr>
          <w:p w14:paraId="4CC426D4"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p>
        </w:tc>
        <w:tc>
          <w:tcPr>
            <w:tcW w:w="912" w:type="pct"/>
            <w:shd w:val="clear" w:color="auto" w:fill="auto"/>
            <w:vAlign w:val="center"/>
          </w:tcPr>
          <w:p w14:paraId="1C1270E7"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kern w:val="19"/>
                <w:sz w:val="18"/>
                <w:szCs w:val="18"/>
                <w:lang w:val="en-GB"/>
              </w:rPr>
              <w:t>HRK '000</w:t>
            </w:r>
          </w:p>
        </w:tc>
        <w:tc>
          <w:tcPr>
            <w:tcW w:w="912" w:type="pct"/>
            <w:shd w:val="clear" w:color="auto" w:fill="auto"/>
            <w:vAlign w:val="center"/>
          </w:tcPr>
          <w:p w14:paraId="0A821840"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p>
        </w:tc>
        <w:tc>
          <w:tcPr>
            <w:tcW w:w="915" w:type="pct"/>
            <w:shd w:val="clear" w:color="auto" w:fill="auto"/>
            <w:vAlign w:val="center"/>
          </w:tcPr>
          <w:p w14:paraId="3BE909EB"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kern w:val="19"/>
                <w:sz w:val="18"/>
                <w:szCs w:val="18"/>
                <w:lang w:val="en-GB"/>
              </w:rPr>
              <w:t>HRK '000</w:t>
            </w:r>
          </w:p>
        </w:tc>
      </w:tr>
      <w:tr w:rsidR="00587444" w:rsidRPr="00587444" w14:paraId="02B2CCDB" w14:textId="77777777" w:rsidTr="00DD69E7">
        <w:trPr>
          <w:trHeight w:hRule="exact" w:val="97"/>
          <w:jc w:val="right"/>
        </w:trPr>
        <w:tc>
          <w:tcPr>
            <w:tcW w:w="1314" w:type="pct"/>
            <w:shd w:val="clear" w:color="auto" w:fill="auto"/>
            <w:vAlign w:val="center"/>
          </w:tcPr>
          <w:p w14:paraId="6BF8B86A" w14:textId="77777777" w:rsidR="00587444" w:rsidRPr="00587444" w:rsidRDefault="00587444" w:rsidP="00587444">
            <w:pPr>
              <w:suppressAutoHyphens w:val="0"/>
              <w:autoSpaceDN/>
              <w:spacing w:line="360" w:lineRule="auto"/>
              <w:jc w:val="both"/>
              <w:rPr>
                <w:rFonts w:ascii="Arial" w:hAnsi="Arial" w:cs="Arial"/>
                <w:bCs/>
                <w:kern w:val="19"/>
                <w:sz w:val="18"/>
                <w:szCs w:val="18"/>
                <w:lang w:val="en-GB"/>
              </w:rPr>
            </w:pPr>
          </w:p>
        </w:tc>
        <w:tc>
          <w:tcPr>
            <w:tcW w:w="947" w:type="pct"/>
            <w:shd w:val="clear" w:color="auto" w:fill="auto"/>
            <w:vAlign w:val="center"/>
          </w:tcPr>
          <w:p w14:paraId="3FC7ACC6" w14:textId="77777777" w:rsidR="00587444" w:rsidRPr="00587444" w:rsidRDefault="00587444" w:rsidP="00587444">
            <w:pPr>
              <w:suppressAutoHyphens w:val="0"/>
              <w:autoSpaceDN/>
              <w:spacing w:line="360" w:lineRule="auto"/>
              <w:jc w:val="right"/>
              <w:rPr>
                <w:rFonts w:ascii="Arial" w:hAnsi="Arial" w:cs="Arial"/>
                <w:bCs/>
                <w:kern w:val="19"/>
                <w:sz w:val="18"/>
                <w:szCs w:val="18"/>
                <w:lang w:val="en-GB"/>
              </w:rPr>
            </w:pPr>
          </w:p>
        </w:tc>
        <w:tc>
          <w:tcPr>
            <w:tcW w:w="912" w:type="pct"/>
            <w:shd w:val="clear" w:color="auto" w:fill="auto"/>
            <w:vAlign w:val="center"/>
          </w:tcPr>
          <w:p w14:paraId="6A3C01EB" w14:textId="77777777" w:rsidR="00587444" w:rsidRPr="00587444" w:rsidRDefault="00587444" w:rsidP="00587444">
            <w:pPr>
              <w:suppressAutoHyphens w:val="0"/>
              <w:autoSpaceDN/>
              <w:spacing w:line="360" w:lineRule="auto"/>
              <w:jc w:val="right"/>
              <w:rPr>
                <w:rFonts w:ascii="Arial" w:hAnsi="Arial" w:cs="Arial"/>
                <w:bCs/>
                <w:kern w:val="19"/>
                <w:sz w:val="18"/>
                <w:szCs w:val="18"/>
                <w:lang w:val="en-GB"/>
              </w:rPr>
            </w:pPr>
          </w:p>
        </w:tc>
        <w:tc>
          <w:tcPr>
            <w:tcW w:w="912" w:type="pct"/>
            <w:shd w:val="clear" w:color="auto" w:fill="auto"/>
            <w:vAlign w:val="center"/>
          </w:tcPr>
          <w:p w14:paraId="1B2273FB" w14:textId="77777777" w:rsidR="00587444" w:rsidRPr="00587444" w:rsidRDefault="00587444" w:rsidP="00587444">
            <w:pPr>
              <w:suppressAutoHyphens w:val="0"/>
              <w:autoSpaceDN/>
              <w:spacing w:line="360" w:lineRule="auto"/>
              <w:jc w:val="right"/>
              <w:rPr>
                <w:rFonts w:ascii="Arial" w:hAnsi="Arial" w:cs="Arial"/>
                <w:bCs/>
                <w:kern w:val="19"/>
                <w:sz w:val="18"/>
                <w:szCs w:val="18"/>
                <w:lang w:val="en-GB"/>
              </w:rPr>
            </w:pPr>
          </w:p>
        </w:tc>
        <w:tc>
          <w:tcPr>
            <w:tcW w:w="915" w:type="pct"/>
            <w:shd w:val="clear" w:color="auto" w:fill="auto"/>
            <w:vAlign w:val="center"/>
          </w:tcPr>
          <w:p w14:paraId="13C83555" w14:textId="77777777" w:rsidR="00587444" w:rsidRPr="00587444" w:rsidRDefault="00587444" w:rsidP="00587444">
            <w:pPr>
              <w:suppressAutoHyphens w:val="0"/>
              <w:autoSpaceDN/>
              <w:spacing w:line="360" w:lineRule="auto"/>
              <w:jc w:val="right"/>
              <w:rPr>
                <w:rFonts w:ascii="Arial" w:hAnsi="Arial" w:cs="Arial"/>
                <w:bCs/>
                <w:kern w:val="19"/>
                <w:sz w:val="18"/>
                <w:szCs w:val="18"/>
                <w:lang w:val="en-GB"/>
              </w:rPr>
            </w:pPr>
          </w:p>
        </w:tc>
      </w:tr>
      <w:tr w:rsidR="00587444" w:rsidRPr="00587444" w14:paraId="2EEAF112" w14:textId="77777777" w:rsidTr="00DD69E7">
        <w:trPr>
          <w:trHeight w:hRule="exact" w:val="284"/>
          <w:jc w:val="right"/>
        </w:trPr>
        <w:tc>
          <w:tcPr>
            <w:tcW w:w="1314" w:type="pct"/>
            <w:shd w:val="clear" w:color="auto" w:fill="auto"/>
            <w:vAlign w:val="bottom"/>
          </w:tcPr>
          <w:p w14:paraId="2069B245" w14:textId="77777777" w:rsidR="00587444" w:rsidRPr="00587444" w:rsidRDefault="00587444" w:rsidP="00587444">
            <w:pPr>
              <w:suppressAutoHyphens w:val="0"/>
              <w:autoSpaceDN/>
              <w:spacing w:line="360" w:lineRule="auto"/>
              <w:jc w:val="both"/>
              <w:rPr>
                <w:rFonts w:ascii="Arial" w:hAnsi="Arial" w:cs="Arial"/>
                <w:bCs/>
                <w:kern w:val="19"/>
                <w:sz w:val="18"/>
                <w:szCs w:val="18"/>
                <w:lang w:val="en-GB"/>
              </w:rPr>
            </w:pPr>
            <w:r w:rsidRPr="00587444">
              <w:rPr>
                <w:rFonts w:ascii="Arial" w:hAnsi="Arial" w:cs="Arial"/>
                <w:bCs/>
                <w:kern w:val="19"/>
                <w:sz w:val="18"/>
                <w:szCs w:val="18"/>
                <w:lang w:val="en-GB"/>
              </w:rPr>
              <w:t>EUR</w:t>
            </w:r>
          </w:p>
        </w:tc>
        <w:tc>
          <w:tcPr>
            <w:tcW w:w="947" w:type="pct"/>
            <w:shd w:val="clear" w:color="auto" w:fill="auto"/>
            <w:vAlign w:val="bottom"/>
          </w:tcPr>
          <w:p w14:paraId="11E8CA34" w14:textId="77777777" w:rsidR="00587444" w:rsidRPr="00086507" w:rsidRDefault="00587444" w:rsidP="00587444">
            <w:pPr>
              <w:suppressAutoHyphens w:val="0"/>
              <w:autoSpaceDN/>
              <w:spacing w:line="360" w:lineRule="auto"/>
              <w:jc w:val="right"/>
              <w:rPr>
                <w:rFonts w:ascii="Arial" w:hAnsi="Arial" w:cs="Arial"/>
                <w:sz w:val="18"/>
                <w:szCs w:val="18"/>
                <w:lang w:val="hr-HR"/>
              </w:rPr>
            </w:pPr>
            <w:r w:rsidRPr="00086507">
              <w:rPr>
                <w:rFonts w:ascii="Arial" w:hAnsi="Arial" w:cs="Arial"/>
                <w:color w:val="000000"/>
                <w:sz w:val="18"/>
                <w:szCs w:val="18"/>
                <w:lang w:val="hr-HR"/>
              </w:rPr>
              <w:t>+9</w:t>
            </w:r>
          </w:p>
        </w:tc>
        <w:tc>
          <w:tcPr>
            <w:tcW w:w="912" w:type="pct"/>
            <w:shd w:val="clear" w:color="auto" w:fill="auto"/>
            <w:vAlign w:val="bottom"/>
          </w:tcPr>
          <w:p w14:paraId="2AA1DBCC" w14:textId="77777777" w:rsidR="00587444" w:rsidRPr="00086507" w:rsidRDefault="00587444" w:rsidP="00587444">
            <w:pPr>
              <w:suppressAutoHyphens w:val="0"/>
              <w:autoSpaceDN/>
              <w:spacing w:line="360" w:lineRule="auto"/>
              <w:jc w:val="right"/>
              <w:rPr>
                <w:rFonts w:ascii="Arial" w:hAnsi="Arial" w:cs="Arial"/>
                <w:sz w:val="18"/>
                <w:szCs w:val="18"/>
                <w:lang w:val="hr-HR"/>
              </w:rPr>
            </w:pPr>
            <w:r w:rsidRPr="00086507">
              <w:rPr>
                <w:rFonts w:ascii="Arial" w:hAnsi="Arial" w:cs="Arial"/>
                <w:color w:val="000000"/>
                <w:sz w:val="18"/>
                <w:szCs w:val="18"/>
                <w:lang w:val="hr-HR"/>
              </w:rPr>
              <w:t>1,057</w:t>
            </w:r>
          </w:p>
        </w:tc>
        <w:tc>
          <w:tcPr>
            <w:tcW w:w="912" w:type="pct"/>
            <w:shd w:val="clear" w:color="auto" w:fill="auto"/>
            <w:vAlign w:val="bottom"/>
          </w:tcPr>
          <w:p w14:paraId="1E79EFB6" w14:textId="77777777" w:rsidR="00587444" w:rsidRPr="00587444" w:rsidRDefault="00587444" w:rsidP="00587444">
            <w:pPr>
              <w:suppressAutoHyphens w:val="0"/>
              <w:autoSpaceDN/>
              <w:spacing w:line="360" w:lineRule="auto"/>
              <w:jc w:val="right"/>
              <w:rPr>
                <w:rFonts w:ascii="Arial" w:hAnsi="Arial" w:cs="Arial"/>
                <w:bCs/>
                <w:sz w:val="18"/>
                <w:szCs w:val="18"/>
                <w:lang w:val="hr-HR"/>
              </w:rPr>
            </w:pPr>
            <w:r w:rsidRPr="00587444">
              <w:rPr>
                <w:rFonts w:ascii="Arial" w:hAnsi="Arial" w:cs="Arial"/>
                <w:color w:val="000000"/>
                <w:sz w:val="18"/>
                <w:szCs w:val="18"/>
                <w:lang w:val="hr-HR"/>
              </w:rPr>
              <w:t>+6</w:t>
            </w:r>
          </w:p>
        </w:tc>
        <w:tc>
          <w:tcPr>
            <w:tcW w:w="915" w:type="pct"/>
            <w:shd w:val="clear" w:color="auto" w:fill="auto"/>
            <w:vAlign w:val="bottom"/>
          </w:tcPr>
          <w:p w14:paraId="46EDE159" w14:textId="7DDD2F3F" w:rsidR="00587444" w:rsidRPr="00587444" w:rsidRDefault="00587444" w:rsidP="00587444">
            <w:pPr>
              <w:suppressAutoHyphens w:val="0"/>
              <w:autoSpaceDN/>
              <w:spacing w:line="360" w:lineRule="auto"/>
              <w:jc w:val="right"/>
              <w:rPr>
                <w:rFonts w:ascii="Arial" w:hAnsi="Arial" w:cs="Arial"/>
                <w:bCs/>
                <w:sz w:val="18"/>
                <w:szCs w:val="18"/>
                <w:lang w:val="hr-HR"/>
              </w:rPr>
            </w:pPr>
            <w:r w:rsidRPr="00587444">
              <w:rPr>
                <w:rFonts w:ascii="Arial" w:hAnsi="Arial" w:cs="Arial"/>
                <w:color w:val="000000"/>
                <w:sz w:val="18"/>
                <w:szCs w:val="18"/>
                <w:lang w:val="hr-HR"/>
              </w:rPr>
              <w:t>-</w:t>
            </w:r>
            <w:r w:rsidR="00356C4F">
              <w:rPr>
                <w:rStyle w:val="FootnoteReference"/>
                <w:rFonts w:ascii="Arial" w:hAnsi="Arial" w:cs="Arial"/>
                <w:bCs/>
                <w:sz w:val="18"/>
                <w:szCs w:val="18"/>
                <w:lang w:val="hr-HR"/>
              </w:rPr>
              <w:footnoteReference w:customMarkFollows="1" w:id="5"/>
              <w:t>5</w:t>
            </w:r>
          </w:p>
        </w:tc>
      </w:tr>
      <w:tr w:rsidR="00587444" w:rsidRPr="00587444" w14:paraId="698B0513" w14:textId="77777777" w:rsidTr="00DD69E7">
        <w:trPr>
          <w:trHeight w:hRule="exact" w:val="284"/>
          <w:jc w:val="right"/>
        </w:trPr>
        <w:tc>
          <w:tcPr>
            <w:tcW w:w="1314" w:type="pct"/>
            <w:shd w:val="clear" w:color="auto" w:fill="auto"/>
            <w:vAlign w:val="bottom"/>
          </w:tcPr>
          <w:p w14:paraId="062EFBEF" w14:textId="77777777" w:rsidR="00587444" w:rsidRPr="00587444" w:rsidRDefault="00587444" w:rsidP="00587444">
            <w:pPr>
              <w:suppressAutoHyphens w:val="0"/>
              <w:autoSpaceDN/>
              <w:spacing w:line="360" w:lineRule="auto"/>
              <w:jc w:val="both"/>
              <w:rPr>
                <w:rFonts w:ascii="Arial" w:hAnsi="Arial" w:cs="Arial"/>
                <w:bCs/>
                <w:kern w:val="19"/>
                <w:sz w:val="18"/>
                <w:szCs w:val="18"/>
                <w:lang w:val="en-GB"/>
              </w:rPr>
            </w:pPr>
            <w:r w:rsidRPr="00587444">
              <w:rPr>
                <w:rFonts w:ascii="Arial" w:hAnsi="Arial" w:cs="Arial"/>
                <w:bCs/>
                <w:kern w:val="19"/>
                <w:sz w:val="18"/>
                <w:szCs w:val="18"/>
                <w:lang w:val="en-GB"/>
              </w:rPr>
              <w:t>USD</w:t>
            </w:r>
          </w:p>
        </w:tc>
        <w:tc>
          <w:tcPr>
            <w:tcW w:w="947" w:type="pct"/>
            <w:shd w:val="clear" w:color="auto" w:fill="auto"/>
            <w:vAlign w:val="bottom"/>
          </w:tcPr>
          <w:p w14:paraId="5383C2BC" w14:textId="77777777" w:rsidR="00587444" w:rsidRPr="00086507" w:rsidRDefault="00587444" w:rsidP="00587444">
            <w:pPr>
              <w:suppressAutoHyphens w:val="0"/>
              <w:autoSpaceDN/>
              <w:spacing w:line="360" w:lineRule="auto"/>
              <w:jc w:val="right"/>
              <w:rPr>
                <w:rFonts w:ascii="Arial" w:hAnsi="Arial" w:cs="Arial"/>
                <w:sz w:val="18"/>
                <w:szCs w:val="18"/>
                <w:lang w:val="hr-HR"/>
              </w:rPr>
            </w:pPr>
            <w:r w:rsidRPr="00086507">
              <w:rPr>
                <w:rFonts w:ascii="Arial" w:hAnsi="Arial" w:cs="Arial"/>
                <w:color w:val="000000"/>
                <w:sz w:val="18"/>
                <w:szCs w:val="18"/>
                <w:lang w:val="hr-HR"/>
              </w:rPr>
              <w:t>+2</w:t>
            </w:r>
          </w:p>
        </w:tc>
        <w:tc>
          <w:tcPr>
            <w:tcW w:w="912" w:type="pct"/>
            <w:shd w:val="clear" w:color="auto" w:fill="auto"/>
            <w:vAlign w:val="bottom"/>
          </w:tcPr>
          <w:p w14:paraId="00D28802" w14:textId="77777777" w:rsidR="00587444" w:rsidRPr="00086507" w:rsidRDefault="00587444" w:rsidP="00587444">
            <w:pPr>
              <w:suppressAutoHyphens w:val="0"/>
              <w:autoSpaceDN/>
              <w:spacing w:line="360" w:lineRule="auto"/>
              <w:jc w:val="right"/>
              <w:rPr>
                <w:rFonts w:ascii="Arial" w:hAnsi="Arial" w:cs="Arial"/>
                <w:sz w:val="18"/>
                <w:szCs w:val="18"/>
                <w:lang w:val="hr-HR"/>
              </w:rPr>
            </w:pPr>
            <w:r w:rsidRPr="00086507">
              <w:rPr>
                <w:rFonts w:ascii="Arial" w:hAnsi="Arial" w:cs="Arial"/>
                <w:color w:val="000000"/>
                <w:sz w:val="18"/>
                <w:szCs w:val="18"/>
                <w:lang w:val="hr-HR"/>
              </w:rPr>
              <w:t>-</w:t>
            </w:r>
          </w:p>
        </w:tc>
        <w:tc>
          <w:tcPr>
            <w:tcW w:w="912" w:type="pct"/>
            <w:shd w:val="clear" w:color="auto" w:fill="auto"/>
            <w:vAlign w:val="bottom"/>
          </w:tcPr>
          <w:p w14:paraId="27B862CF" w14:textId="77777777" w:rsidR="00587444" w:rsidRPr="00587444" w:rsidRDefault="00587444" w:rsidP="00587444">
            <w:pPr>
              <w:suppressAutoHyphens w:val="0"/>
              <w:autoSpaceDN/>
              <w:spacing w:line="360" w:lineRule="auto"/>
              <w:jc w:val="right"/>
              <w:rPr>
                <w:rFonts w:ascii="Arial" w:hAnsi="Arial" w:cs="Arial"/>
                <w:bCs/>
                <w:sz w:val="18"/>
                <w:szCs w:val="18"/>
                <w:lang w:val="hr-HR"/>
              </w:rPr>
            </w:pPr>
            <w:r w:rsidRPr="00587444">
              <w:rPr>
                <w:rFonts w:ascii="Arial" w:hAnsi="Arial" w:cs="Arial"/>
                <w:color w:val="000000"/>
                <w:sz w:val="18"/>
                <w:szCs w:val="18"/>
                <w:lang w:val="hr-HR"/>
              </w:rPr>
              <w:t>+10</w:t>
            </w:r>
          </w:p>
        </w:tc>
        <w:tc>
          <w:tcPr>
            <w:tcW w:w="915" w:type="pct"/>
            <w:shd w:val="clear" w:color="auto" w:fill="auto"/>
            <w:vAlign w:val="bottom"/>
          </w:tcPr>
          <w:p w14:paraId="67B36DDF" w14:textId="77777777" w:rsidR="00587444" w:rsidRPr="00587444" w:rsidRDefault="00587444" w:rsidP="00587444">
            <w:pPr>
              <w:suppressAutoHyphens w:val="0"/>
              <w:autoSpaceDN/>
              <w:spacing w:line="360" w:lineRule="auto"/>
              <w:jc w:val="right"/>
              <w:rPr>
                <w:rFonts w:ascii="Arial" w:hAnsi="Arial" w:cs="Arial"/>
                <w:bCs/>
                <w:sz w:val="18"/>
                <w:szCs w:val="18"/>
                <w:lang w:val="hr-HR"/>
              </w:rPr>
            </w:pPr>
            <w:r w:rsidRPr="00587444">
              <w:rPr>
                <w:rFonts w:ascii="Arial" w:hAnsi="Arial" w:cs="Arial"/>
                <w:color w:val="000000"/>
                <w:sz w:val="18"/>
                <w:szCs w:val="18"/>
                <w:lang w:val="hr-HR"/>
              </w:rPr>
              <w:t>174</w:t>
            </w:r>
          </w:p>
        </w:tc>
      </w:tr>
      <w:tr w:rsidR="00587444" w:rsidRPr="00587444" w14:paraId="217A5D25" w14:textId="77777777" w:rsidTr="00DD69E7">
        <w:trPr>
          <w:trHeight w:hRule="exact" w:val="284"/>
          <w:jc w:val="right"/>
        </w:trPr>
        <w:tc>
          <w:tcPr>
            <w:tcW w:w="1314" w:type="pct"/>
            <w:shd w:val="clear" w:color="auto" w:fill="auto"/>
            <w:vAlign w:val="center"/>
          </w:tcPr>
          <w:p w14:paraId="154E9235" w14:textId="77777777" w:rsidR="00587444" w:rsidRPr="00587444" w:rsidRDefault="00587444" w:rsidP="00587444">
            <w:pPr>
              <w:suppressAutoHyphens w:val="0"/>
              <w:autoSpaceDN/>
              <w:spacing w:line="360" w:lineRule="auto"/>
              <w:jc w:val="both"/>
              <w:rPr>
                <w:rFonts w:ascii="Arial" w:hAnsi="Arial" w:cs="Arial"/>
                <w:bCs/>
                <w:kern w:val="19"/>
                <w:sz w:val="18"/>
                <w:szCs w:val="18"/>
                <w:lang w:val="en-GB"/>
              </w:rPr>
            </w:pPr>
          </w:p>
        </w:tc>
        <w:tc>
          <w:tcPr>
            <w:tcW w:w="947" w:type="pct"/>
            <w:shd w:val="clear" w:color="auto" w:fill="auto"/>
            <w:vAlign w:val="center"/>
          </w:tcPr>
          <w:p w14:paraId="024BA8BD" w14:textId="77777777" w:rsidR="00587444" w:rsidRPr="00587444" w:rsidRDefault="00587444" w:rsidP="00587444">
            <w:pPr>
              <w:suppressAutoHyphens w:val="0"/>
              <w:autoSpaceDN/>
              <w:spacing w:line="360" w:lineRule="auto"/>
              <w:jc w:val="right"/>
              <w:rPr>
                <w:rFonts w:ascii="Arial" w:hAnsi="Arial" w:cs="Arial"/>
                <w:bCs/>
                <w:kern w:val="19"/>
                <w:sz w:val="18"/>
                <w:szCs w:val="18"/>
                <w:lang w:val="en-GB"/>
              </w:rPr>
            </w:pPr>
          </w:p>
        </w:tc>
        <w:tc>
          <w:tcPr>
            <w:tcW w:w="912" w:type="pct"/>
            <w:shd w:val="clear" w:color="auto" w:fill="auto"/>
            <w:vAlign w:val="center"/>
          </w:tcPr>
          <w:p w14:paraId="2B9517F4" w14:textId="77777777" w:rsidR="00587444" w:rsidRPr="00587444" w:rsidRDefault="00587444" w:rsidP="00587444">
            <w:pPr>
              <w:suppressAutoHyphens w:val="0"/>
              <w:autoSpaceDN/>
              <w:spacing w:line="360" w:lineRule="auto"/>
              <w:jc w:val="right"/>
              <w:rPr>
                <w:rFonts w:ascii="Arial" w:hAnsi="Arial" w:cs="Arial"/>
                <w:bCs/>
                <w:kern w:val="19"/>
                <w:sz w:val="18"/>
                <w:szCs w:val="18"/>
                <w:lang w:val="en-GB"/>
              </w:rPr>
            </w:pPr>
          </w:p>
        </w:tc>
        <w:tc>
          <w:tcPr>
            <w:tcW w:w="912" w:type="pct"/>
            <w:shd w:val="clear" w:color="auto" w:fill="auto"/>
            <w:vAlign w:val="center"/>
          </w:tcPr>
          <w:p w14:paraId="11C4B573" w14:textId="77777777" w:rsidR="00587444" w:rsidRPr="00587444" w:rsidRDefault="00587444" w:rsidP="00587444">
            <w:pPr>
              <w:suppressAutoHyphens w:val="0"/>
              <w:autoSpaceDN/>
              <w:spacing w:line="360" w:lineRule="auto"/>
              <w:jc w:val="right"/>
              <w:rPr>
                <w:rFonts w:ascii="Arial" w:hAnsi="Arial" w:cs="Arial"/>
                <w:bCs/>
                <w:kern w:val="19"/>
                <w:sz w:val="18"/>
                <w:szCs w:val="18"/>
                <w:lang w:val="en-GB"/>
              </w:rPr>
            </w:pPr>
          </w:p>
        </w:tc>
        <w:tc>
          <w:tcPr>
            <w:tcW w:w="915" w:type="pct"/>
            <w:shd w:val="clear" w:color="auto" w:fill="auto"/>
            <w:vAlign w:val="center"/>
          </w:tcPr>
          <w:p w14:paraId="4271C409" w14:textId="77777777" w:rsidR="00587444" w:rsidRPr="00587444" w:rsidRDefault="00587444" w:rsidP="00587444">
            <w:pPr>
              <w:suppressAutoHyphens w:val="0"/>
              <w:autoSpaceDN/>
              <w:spacing w:line="360" w:lineRule="auto"/>
              <w:jc w:val="right"/>
              <w:rPr>
                <w:rFonts w:ascii="Arial" w:hAnsi="Arial" w:cs="Arial"/>
                <w:bCs/>
                <w:kern w:val="19"/>
                <w:sz w:val="18"/>
                <w:szCs w:val="18"/>
                <w:lang w:val="en-GB"/>
              </w:rPr>
            </w:pPr>
          </w:p>
        </w:tc>
      </w:tr>
      <w:tr w:rsidR="00587444" w:rsidRPr="00587444" w14:paraId="26A9EB82" w14:textId="77777777" w:rsidTr="00DD69E7">
        <w:trPr>
          <w:trHeight w:hRule="exact" w:val="550"/>
          <w:jc w:val="right"/>
        </w:trPr>
        <w:tc>
          <w:tcPr>
            <w:tcW w:w="1314" w:type="pct"/>
            <w:shd w:val="clear" w:color="auto" w:fill="auto"/>
            <w:vAlign w:val="center"/>
          </w:tcPr>
          <w:p w14:paraId="6E54200B" w14:textId="77777777" w:rsidR="00587444" w:rsidRPr="00587444" w:rsidRDefault="00587444" w:rsidP="00587444">
            <w:pPr>
              <w:suppressAutoHyphens w:val="0"/>
              <w:autoSpaceDN/>
              <w:spacing w:before="240" w:after="120" w:line="360" w:lineRule="auto"/>
              <w:rPr>
                <w:rFonts w:ascii="Arial" w:hAnsi="Arial" w:cs="Arial"/>
                <w:b/>
                <w:bCs/>
                <w:kern w:val="19"/>
                <w:sz w:val="18"/>
                <w:szCs w:val="18"/>
                <w:lang w:val="en-GB"/>
              </w:rPr>
            </w:pPr>
            <w:r w:rsidRPr="00587444">
              <w:rPr>
                <w:rFonts w:ascii="Arial" w:hAnsi="Arial" w:cs="Arial"/>
                <w:b/>
                <w:bCs/>
                <w:kern w:val="19"/>
                <w:sz w:val="18"/>
                <w:szCs w:val="18"/>
                <w:lang w:val="en-GB"/>
              </w:rPr>
              <w:t>Currency</w:t>
            </w:r>
          </w:p>
        </w:tc>
        <w:tc>
          <w:tcPr>
            <w:tcW w:w="947" w:type="pct"/>
            <w:shd w:val="clear" w:color="auto" w:fill="auto"/>
          </w:tcPr>
          <w:p w14:paraId="2C5E2A67"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Decrease in </w:t>
            </w:r>
          </w:p>
          <w:p w14:paraId="338D742E"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proofErr w:type="spellStart"/>
            <w:r w:rsidRPr="00587444">
              <w:rPr>
                <w:rFonts w:ascii="Arial" w:hAnsi="Arial" w:cs="Arial"/>
                <w:b/>
                <w:bCs/>
                <w:kern w:val="19"/>
                <w:sz w:val="18"/>
                <w:szCs w:val="18"/>
                <w:lang w:val="en-GB"/>
              </w:rPr>
              <w:t>b.p.</w:t>
            </w:r>
            <w:proofErr w:type="spellEnd"/>
            <w:r w:rsidRPr="00587444">
              <w:rPr>
                <w:rFonts w:ascii="Arial" w:hAnsi="Arial" w:cs="Arial"/>
                <w:b/>
                <w:bCs/>
                <w:kern w:val="19"/>
                <w:sz w:val="18"/>
                <w:szCs w:val="18"/>
                <w:lang w:val="en-GB"/>
              </w:rPr>
              <w:t xml:space="preserve"> in 2022</w:t>
            </w:r>
          </w:p>
        </w:tc>
        <w:tc>
          <w:tcPr>
            <w:tcW w:w="912" w:type="pct"/>
            <w:shd w:val="clear" w:color="auto" w:fill="auto"/>
          </w:tcPr>
          <w:p w14:paraId="54AEDC7B"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Effect on profit</w:t>
            </w:r>
          </w:p>
          <w:p w14:paraId="534D375E" w14:textId="77777777" w:rsidR="00587444" w:rsidRPr="00587444" w:rsidRDefault="00587444" w:rsidP="00587444">
            <w:pPr>
              <w:suppressAutoHyphens w:val="0"/>
              <w:autoSpaceDN/>
              <w:spacing w:line="360" w:lineRule="auto"/>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 in 2022</w:t>
            </w:r>
          </w:p>
        </w:tc>
        <w:tc>
          <w:tcPr>
            <w:tcW w:w="912" w:type="pct"/>
            <w:shd w:val="clear" w:color="auto" w:fill="auto"/>
          </w:tcPr>
          <w:p w14:paraId="54520570"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Decrease in </w:t>
            </w:r>
          </w:p>
          <w:p w14:paraId="69A76FEE"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proofErr w:type="spellStart"/>
            <w:r w:rsidRPr="00587444">
              <w:rPr>
                <w:rFonts w:ascii="Arial" w:hAnsi="Arial" w:cs="Arial"/>
                <w:b/>
                <w:bCs/>
                <w:kern w:val="19"/>
                <w:sz w:val="18"/>
                <w:szCs w:val="18"/>
                <w:lang w:val="en-GB"/>
              </w:rPr>
              <w:t>b.p.</w:t>
            </w:r>
            <w:proofErr w:type="spellEnd"/>
            <w:r w:rsidRPr="00587444">
              <w:rPr>
                <w:rFonts w:ascii="Arial" w:hAnsi="Arial" w:cs="Arial"/>
                <w:b/>
                <w:bCs/>
                <w:kern w:val="19"/>
                <w:sz w:val="18"/>
                <w:szCs w:val="18"/>
                <w:lang w:val="en-GB"/>
              </w:rPr>
              <w:t xml:space="preserve"> in 2021</w:t>
            </w:r>
          </w:p>
        </w:tc>
        <w:tc>
          <w:tcPr>
            <w:tcW w:w="915" w:type="pct"/>
            <w:shd w:val="clear" w:color="auto" w:fill="auto"/>
          </w:tcPr>
          <w:p w14:paraId="577DD9EC"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Effect on profit</w:t>
            </w:r>
          </w:p>
          <w:p w14:paraId="121E121F" w14:textId="77777777" w:rsidR="00587444" w:rsidRPr="00587444" w:rsidRDefault="00587444" w:rsidP="00587444">
            <w:pPr>
              <w:suppressAutoHyphens w:val="0"/>
              <w:autoSpaceDN/>
              <w:spacing w:line="360" w:lineRule="auto"/>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 in 2021</w:t>
            </w:r>
          </w:p>
        </w:tc>
      </w:tr>
      <w:tr w:rsidR="00587444" w:rsidRPr="00587444" w14:paraId="23508EC7" w14:textId="77777777" w:rsidTr="00DD69E7">
        <w:trPr>
          <w:trHeight w:hRule="exact" w:val="365"/>
          <w:jc w:val="right"/>
        </w:trPr>
        <w:tc>
          <w:tcPr>
            <w:tcW w:w="1314" w:type="pct"/>
            <w:shd w:val="clear" w:color="auto" w:fill="auto"/>
            <w:vAlign w:val="bottom"/>
          </w:tcPr>
          <w:p w14:paraId="5FBC8F33" w14:textId="77777777" w:rsidR="00587444" w:rsidRPr="00587444" w:rsidRDefault="00587444" w:rsidP="00587444">
            <w:pPr>
              <w:suppressAutoHyphens w:val="0"/>
              <w:autoSpaceDN/>
              <w:spacing w:line="360" w:lineRule="auto"/>
              <w:jc w:val="both"/>
              <w:rPr>
                <w:rFonts w:ascii="Arial" w:hAnsi="Arial" w:cs="Arial"/>
                <w:b/>
                <w:bCs/>
                <w:kern w:val="19"/>
                <w:sz w:val="18"/>
                <w:szCs w:val="18"/>
                <w:lang w:val="en-GB"/>
              </w:rPr>
            </w:pPr>
          </w:p>
        </w:tc>
        <w:tc>
          <w:tcPr>
            <w:tcW w:w="947" w:type="pct"/>
            <w:shd w:val="clear" w:color="auto" w:fill="auto"/>
            <w:vAlign w:val="bottom"/>
          </w:tcPr>
          <w:p w14:paraId="5FCE8179"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p>
        </w:tc>
        <w:tc>
          <w:tcPr>
            <w:tcW w:w="912" w:type="pct"/>
            <w:shd w:val="clear" w:color="auto" w:fill="auto"/>
            <w:vAlign w:val="center"/>
          </w:tcPr>
          <w:p w14:paraId="1049F905"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kern w:val="19"/>
                <w:sz w:val="18"/>
                <w:szCs w:val="18"/>
                <w:lang w:val="en-GB"/>
              </w:rPr>
              <w:t>HRK '000</w:t>
            </w:r>
          </w:p>
        </w:tc>
        <w:tc>
          <w:tcPr>
            <w:tcW w:w="912" w:type="pct"/>
            <w:shd w:val="clear" w:color="auto" w:fill="auto"/>
            <w:vAlign w:val="bottom"/>
          </w:tcPr>
          <w:p w14:paraId="00E2E42D"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p>
        </w:tc>
        <w:tc>
          <w:tcPr>
            <w:tcW w:w="915" w:type="pct"/>
            <w:shd w:val="clear" w:color="auto" w:fill="auto"/>
            <w:vAlign w:val="center"/>
          </w:tcPr>
          <w:p w14:paraId="1B583E09"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kern w:val="19"/>
                <w:sz w:val="18"/>
                <w:szCs w:val="18"/>
                <w:lang w:val="en-GB"/>
              </w:rPr>
              <w:t>HRK '000</w:t>
            </w:r>
          </w:p>
        </w:tc>
      </w:tr>
      <w:tr w:rsidR="00587444" w:rsidRPr="00587444" w14:paraId="3386BAC0" w14:textId="77777777" w:rsidTr="00DD69E7">
        <w:trPr>
          <w:trHeight w:hRule="exact" w:val="113"/>
          <w:jc w:val="right"/>
        </w:trPr>
        <w:tc>
          <w:tcPr>
            <w:tcW w:w="1314" w:type="pct"/>
            <w:shd w:val="clear" w:color="auto" w:fill="auto"/>
            <w:vAlign w:val="center"/>
          </w:tcPr>
          <w:p w14:paraId="64822D6A" w14:textId="77777777" w:rsidR="00587444" w:rsidRPr="00587444" w:rsidRDefault="00587444" w:rsidP="00587444">
            <w:pPr>
              <w:suppressAutoHyphens w:val="0"/>
              <w:autoSpaceDN/>
              <w:spacing w:line="360" w:lineRule="auto"/>
              <w:jc w:val="both"/>
              <w:rPr>
                <w:rFonts w:ascii="Arial" w:hAnsi="Arial" w:cs="Arial"/>
                <w:bCs/>
                <w:kern w:val="19"/>
                <w:sz w:val="18"/>
                <w:szCs w:val="18"/>
                <w:lang w:val="en-GB"/>
              </w:rPr>
            </w:pPr>
          </w:p>
        </w:tc>
        <w:tc>
          <w:tcPr>
            <w:tcW w:w="947" w:type="pct"/>
            <w:shd w:val="clear" w:color="auto" w:fill="auto"/>
            <w:vAlign w:val="center"/>
          </w:tcPr>
          <w:p w14:paraId="711517C8" w14:textId="77777777" w:rsidR="00587444" w:rsidRPr="00587444" w:rsidRDefault="00587444" w:rsidP="00587444">
            <w:pPr>
              <w:suppressAutoHyphens w:val="0"/>
              <w:autoSpaceDN/>
              <w:spacing w:line="360" w:lineRule="auto"/>
              <w:jc w:val="right"/>
              <w:rPr>
                <w:rFonts w:ascii="Arial" w:hAnsi="Arial" w:cs="Arial"/>
                <w:bCs/>
                <w:kern w:val="19"/>
                <w:sz w:val="18"/>
                <w:szCs w:val="18"/>
                <w:lang w:val="en-GB"/>
              </w:rPr>
            </w:pPr>
          </w:p>
        </w:tc>
        <w:tc>
          <w:tcPr>
            <w:tcW w:w="912" w:type="pct"/>
            <w:shd w:val="clear" w:color="auto" w:fill="auto"/>
            <w:vAlign w:val="center"/>
          </w:tcPr>
          <w:p w14:paraId="513E34C3" w14:textId="77777777" w:rsidR="00587444" w:rsidRPr="00587444" w:rsidRDefault="00587444" w:rsidP="00587444">
            <w:pPr>
              <w:suppressAutoHyphens w:val="0"/>
              <w:autoSpaceDN/>
              <w:spacing w:line="360" w:lineRule="auto"/>
              <w:jc w:val="right"/>
              <w:rPr>
                <w:rFonts w:ascii="Arial" w:hAnsi="Arial" w:cs="Arial"/>
                <w:bCs/>
                <w:kern w:val="19"/>
                <w:sz w:val="18"/>
                <w:szCs w:val="18"/>
                <w:lang w:val="en-GB"/>
              </w:rPr>
            </w:pPr>
          </w:p>
        </w:tc>
        <w:tc>
          <w:tcPr>
            <w:tcW w:w="912" w:type="pct"/>
            <w:shd w:val="clear" w:color="auto" w:fill="auto"/>
            <w:vAlign w:val="center"/>
          </w:tcPr>
          <w:p w14:paraId="5A7B0643" w14:textId="77777777" w:rsidR="00587444" w:rsidRPr="00587444" w:rsidRDefault="00587444" w:rsidP="00587444">
            <w:pPr>
              <w:suppressAutoHyphens w:val="0"/>
              <w:autoSpaceDN/>
              <w:spacing w:line="360" w:lineRule="auto"/>
              <w:jc w:val="right"/>
              <w:rPr>
                <w:rFonts w:ascii="Arial" w:hAnsi="Arial" w:cs="Arial"/>
                <w:bCs/>
                <w:kern w:val="19"/>
                <w:sz w:val="18"/>
                <w:szCs w:val="18"/>
                <w:lang w:val="en-GB"/>
              </w:rPr>
            </w:pPr>
          </w:p>
        </w:tc>
        <w:tc>
          <w:tcPr>
            <w:tcW w:w="915" w:type="pct"/>
            <w:shd w:val="clear" w:color="auto" w:fill="auto"/>
            <w:vAlign w:val="center"/>
          </w:tcPr>
          <w:p w14:paraId="3CAC27FC" w14:textId="77777777" w:rsidR="00587444" w:rsidRPr="00587444" w:rsidRDefault="00587444" w:rsidP="00587444">
            <w:pPr>
              <w:suppressAutoHyphens w:val="0"/>
              <w:autoSpaceDN/>
              <w:spacing w:line="360" w:lineRule="auto"/>
              <w:jc w:val="right"/>
              <w:rPr>
                <w:rFonts w:ascii="Arial" w:hAnsi="Arial" w:cs="Arial"/>
                <w:bCs/>
                <w:kern w:val="19"/>
                <w:sz w:val="18"/>
                <w:szCs w:val="18"/>
                <w:lang w:val="en-GB"/>
              </w:rPr>
            </w:pPr>
          </w:p>
        </w:tc>
      </w:tr>
      <w:tr w:rsidR="00587444" w:rsidRPr="00587444" w14:paraId="357B6DCE" w14:textId="77777777" w:rsidTr="00DD69E7">
        <w:trPr>
          <w:trHeight w:hRule="exact" w:val="284"/>
          <w:jc w:val="right"/>
        </w:trPr>
        <w:tc>
          <w:tcPr>
            <w:tcW w:w="1314" w:type="pct"/>
            <w:shd w:val="clear" w:color="auto" w:fill="auto"/>
            <w:vAlign w:val="bottom"/>
          </w:tcPr>
          <w:p w14:paraId="52B7272C" w14:textId="77777777" w:rsidR="00587444" w:rsidRPr="00587444" w:rsidRDefault="00587444" w:rsidP="00587444">
            <w:pPr>
              <w:suppressAutoHyphens w:val="0"/>
              <w:autoSpaceDN/>
              <w:spacing w:line="360" w:lineRule="auto"/>
              <w:jc w:val="both"/>
              <w:rPr>
                <w:rFonts w:ascii="Arial" w:hAnsi="Arial" w:cs="Arial"/>
                <w:bCs/>
                <w:kern w:val="19"/>
                <w:sz w:val="18"/>
                <w:szCs w:val="18"/>
                <w:lang w:val="en-GB"/>
              </w:rPr>
            </w:pPr>
            <w:r w:rsidRPr="00587444">
              <w:rPr>
                <w:rFonts w:ascii="Arial" w:hAnsi="Arial" w:cs="Arial"/>
                <w:bCs/>
                <w:kern w:val="19"/>
                <w:sz w:val="18"/>
                <w:szCs w:val="18"/>
                <w:lang w:val="en-GB"/>
              </w:rPr>
              <w:t>EUR</w:t>
            </w:r>
          </w:p>
        </w:tc>
        <w:tc>
          <w:tcPr>
            <w:tcW w:w="947" w:type="pct"/>
            <w:shd w:val="clear" w:color="auto" w:fill="auto"/>
            <w:vAlign w:val="bottom"/>
          </w:tcPr>
          <w:p w14:paraId="5766B181" w14:textId="77777777" w:rsidR="00587444" w:rsidRPr="00086507" w:rsidRDefault="00587444" w:rsidP="00587444">
            <w:pPr>
              <w:suppressAutoHyphens w:val="0"/>
              <w:autoSpaceDN/>
              <w:spacing w:line="360" w:lineRule="auto"/>
              <w:jc w:val="right"/>
              <w:rPr>
                <w:rFonts w:ascii="Arial" w:hAnsi="Arial" w:cs="Arial"/>
                <w:sz w:val="18"/>
                <w:szCs w:val="18"/>
                <w:lang w:val="hr-HR"/>
              </w:rPr>
            </w:pPr>
            <w:r w:rsidRPr="00086507">
              <w:rPr>
                <w:rFonts w:ascii="Arial" w:hAnsi="Arial" w:cs="Arial"/>
                <w:color w:val="000000"/>
                <w:sz w:val="18"/>
                <w:szCs w:val="18"/>
                <w:lang w:val="hr-HR"/>
              </w:rPr>
              <w:t>-9</w:t>
            </w:r>
          </w:p>
        </w:tc>
        <w:tc>
          <w:tcPr>
            <w:tcW w:w="912" w:type="pct"/>
            <w:shd w:val="clear" w:color="auto" w:fill="auto"/>
            <w:vAlign w:val="bottom"/>
          </w:tcPr>
          <w:p w14:paraId="19B478A2" w14:textId="77777777" w:rsidR="00587444" w:rsidRPr="00086507" w:rsidRDefault="00587444" w:rsidP="00587444">
            <w:pPr>
              <w:suppressAutoHyphens w:val="0"/>
              <w:autoSpaceDN/>
              <w:spacing w:line="360" w:lineRule="auto"/>
              <w:jc w:val="right"/>
              <w:rPr>
                <w:rFonts w:ascii="Arial" w:hAnsi="Arial" w:cs="Arial"/>
                <w:sz w:val="18"/>
                <w:szCs w:val="18"/>
                <w:lang w:val="hr-HR"/>
              </w:rPr>
            </w:pPr>
            <w:r w:rsidRPr="00086507">
              <w:rPr>
                <w:rFonts w:ascii="Arial" w:hAnsi="Arial" w:cs="Arial"/>
                <w:color w:val="000000"/>
                <w:sz w:val="18"/>
                <w:szCs w:val="18"/>
                <w:lang w:val="hr-HR"/>
              </w:rPr>
              <w:t>(1,057)</w:t>
            </w:r>
          </w:p>
        </w:tc>
        <w:tc>
          <w:tcPr>
            <w:tcW w:w="912" w:type="pct"/>
            <w:shd w:val="clear" w:color="auto" w:fill="auto"/>
            <w:vAlign w:val="bottom"/>
          </w:tcPr>
          <w:p w14:paraId="3B849F5E" w14:textId="77777777" w:rsidR="00587444" w:rsidRPr="00587444" w:rsidRDefault="00587444" w:rsidP="00587444">
            <w:pPr>
              <w:suppressAutoHyphens w:val="0"/>
              <w:autoSpaceDN/>
              <w:spacing w:line="360" w:lineRule="auto"/>
              <w:jc w:val="right"/>
              <w:rPr>
                <w:rFonts w:ascii="Arial" w:hAnsi="Arial" w:cs="Arial"/>
                <w:bCs/>
                <w:sz w:val="18"/>
                <w:szCs w:val="18"/>
                <w:lang w:val="hr-HR"/>
              </w:rPr>
            </w:pPr>
            <w:r w:rsidRPr="00587444">
              <w:rPr>
                <w:rFonts w:ascii="Arial" w:hAnsi="Arial" w:cs="Arial"/>
                <w:color w:val="000000"/>
                <w:sz w:val="18"/>
                <w:szCs w:val="18"/>
                <w:lang w:val="hr-HR"/>
              </w:rPr>
              <w:t>-6</w:t>
            </w:r>
          </w:p>
        </w:tc>
        <w:tc>
          <w:tcPr>
            <w:tcW w:w="915" w:type="pct"/>
            <w:shd w:val="clear" w:color="auto" w:fill="auto"/>
            <w:vAlign w:val="bottom"/>
          </w:tcPr>
          <w:p w14:paraId="69E29BAF" w14:textId="77777777" w:rsidR="00587444" w:rsidRPr="00587444" w:rsidRDefault="00587444" w:rsidP="00587444">
            <w:pPr>
              <w:suppressAutoHyphens w:val="0"/>
              <w:autoSpaceDN/>
              <w:spacing w:line="360" w:lineRule="auto"/>
              <w:jc w:val="right"/>
              <w:rPr>
                <w:rFonts w:ascii="Arial" w:hAnsi="Arial" w:cs="Arial"/>
                <w:bCs/>
                <w:sz w:val="18"/>
                <w:szCs w:val="18"/>
                <w:lang w:val="hr-HR"/>
              </w:rPr>
            </w:pPr>
            <w:r w:rsidRPr="00587444">
              <w:rPr>
                <w:rFonts w:ascii="Arial" w:hAnsi="Arial" w:cs="Arial"/>
                <w:color w:val="000000"/>
                <w:sz w:val="18"/>
                <w:szCs w:val="18"/>
                <w:lang w:val="hr-HR"/>
              </w:rPr>
              <w:t>-</w:t>
            </w:r>
          </w:p>
        </w:tc>
      </w:tr>
      <w:tr w:rsidR="00587444" w:rsidRPr="00587444" w14:paraId="5239DC13" w14:textId="77777777" w:rsidTr="00DD69E7">
        <w:trPr>
          <w:trHeight w:hRule="exact" w:val="284"/>
          <w:jc w:val="right"/>
        </w:trPr>
        <w:tc>
          <w:tcPr>
            <w:tcW w:w="1314" w:type="pct"/>
            <w:shd w:val="clear" w:color="auto" w:fill="auto"/>
            <w:vAlign w:val="bottom"/>
          </w:tcPr>
          <w:p w14:paraId="5B303A85" w14:textId="77777777" w:rsidR="00587444" w:rsidRPr="00587444" w:rsidRDefault="00587444" w:rsidP="00587444">
            <w:pPr>
              <w:suppressAutoHyphens w:val="0"/>
              <w:autoSpaceDN/>
              <w:spacing w:line="360" w:lineRule="auto"/>
              <w:jc w:val="both"/>
              <w:rPr>
                <w:rFonts w:ascii="Arial" w:hAnsi="Arial" w:cs="Arial"/>
                <w:bCs/>
                <w:kern w:val="19"/>
                <w:sz w:val="18"/>
                <w:szCs w:val="18"/>
                <w:lang w:val="en-GB"/>
              </w:rPr>
            </w:pPr>
            <w:r w:rsidRPr="00587444">
              <w:rPr>
                <w:rFonts w:ascii="Arial" w:hAnsi="Arial" w:cs="Arial"/>
                <w:bCs/>
                <w:kern w:val="19"/>
                <w:sz w:val="18"/>
                <w:szCs w:val="18"/>
                <w:lang w:val="en-GB"/>
              </w:rPr>
              <w:t>USD</w:t>
            </w:r>
          </w:p>
        </w:tc>
        <w:tc>
          <w:tcPr>
            <w:tcW w:w="947" w:type="pct"/>
            <w:shd w:val="clear" w:color="auto" w:fill="auto"/>
            <w:vAlign w:val="bottom"/>
          </w:tcPr>
          <w:p w14:paraId="6441F37B" w14:textId="77777777" w:rsidR="00587444" w:rsidRPr="00086507" w:rsidRDefault="00587444" w:rsidP="00587444">
            <w:pPr>
              <w:suppressAutoHyphens w:val="0"/>
              <w:autoSpaceDN/>
              <w:spacing w:line="360" w:lineRule="auto"/>
              <w:jc w:val="right"/>
              <w:rPr>
                <w:rFonts w:ascii="Arial" w:hAnsi="Arial" w:cs="Arial"/>
                <w:sz w:val="18"/>
                <w:szCs w:val="18"/>
                <w:lang w:val="hr-HR"/>
              </w:rPr>
            </w:pPr>
            <w:r w:rsidRPr="00086507">
              <w:rPr>
                <w:rFonts w:ascii="Arial" w:hAnsi="Arial" w:cs="Arial"/>
                <w:color w:val="000000"/>
                <w:sz w:val="18"/>
                <w:szCs w:val="18"/>
                <w:lang w:val="hr-HR"/>
              </w:rPr>
              <w:t>-2</w:t>
            </w:r>
          </w:p>
        </w:tc>
        <w:tc>
          <w:tcPr>
            <w:tcW w:w="912" w:type="pct"/>
            <w:shd w:val="clear" w:color="auto" w:fill="auto"/>
            <w:vAlign w:val="bottom"/>
          </w:tcPr>
          <w:p w14:paraId="5126967D" w14:textId="77777777" w:rsidR="00587444" w:rsidRPr="00086507" w:rsidRDefault="00587444" w:rsidP="00587444">
            <w:pPr>
              <w:suppressAutoHyphens w:val="0"/>
              <w:autoSpaceDN/>
              <w:spacing w:line="360" w:lineRule="auto"/>
              <w:jc w:val="right"/>
              <w:rPr>
                <w:rFonts w:ascii="Arial" w:hAnsi="Arial" w:cs="Arial"/>
                <w:sz w:val="18"/>
                <w:szCs w:val="18"/>
                <w:lang w:val="hr-HR"/>
              </w:rPr>
            </w:pPr>
            <w:r w:rsidRPr="00086507">
              <w:rPr>
                <w:rFonts w:ascii="Arial" w:hAnsi="Arial" w:cs="Arial"/>
                <w:color w:val="000000"/>
                <w:sz w:val="18"/>
                <w:szCs w:val="18"/>
                <w:lang w:val="hr-HR"/>
              </w:rPr>
              <w:t>-</w:t>
            </w:r>
          </w:p>
        </w:tc>
        <w:tc>
          <w:tcPr>
            <w:tcW w:w="912" w:type="pct"/>
            <w:shd w:val="clear" w:color="auto" w:fill="auto"/>
            <w:vAlign w:val="bottom"/>
          </w:tcPr>
          <w:p w14:paraId="50682D53" w14:textId="77777777" w:rsidR="00587444" w:rsidRPr="00587444" w:rsidRDefault="00587444" w:rsidP="00587444">
            <w:pPr>
              <w:suppressAutoHyphens w:val="0"/>
              <w:autoSpaceDN/>
              <w:spacing w:line="360" w:lineRule="auto"/>
              <w:jc w:val="right"/>
              <w:rPr>
                <w:rFonts w:ascii="Arial" w:hAnsi="Arial" w:cs="Arial"/>
                <w:bCs/>
                <w:sz w:val="18"/>
                <w:szCs w:val="18"/>
                <w:lang w:val="hr-HR"/>
              </w:rPr>
            </w:pPr>
            <w:r w:rsidRPr="00587444">
              <w:rPr>
                <w:rFonts w:ascii="Arial" w:hAnsi="Arial" w:cs="Arial"/>
                <w:color w:val="000000"/>
                <w:sz w:val="18"/>
                <w:szCs w:val="18"/>
                <w:lang w:val="hr-HR"/>
              </w:rPr>
              <w:t>-10</w:t>
            </w:r>
          </w:p>
        </w:tc>
        <w:tc>
          <w:tcPr>
            <w:tcW w:w="915" w:type="pct"/>
            <w:shd w:val="clear" w:color="auto" w:fill="auto"/>
            <w:vAlign w:val="bottom"/>
          </w:tcPr>
          <w:p w14:paraId="479FA2EB" w14:textId="77777777" w:rsidR="00587444" w:rsidRPr="00587444" w:rsidRDefault="00587444" w:rsidP="00587444">
            <w:pPr>
              <w:suppressAutoHyphens w:val="0"/>
              <w:autoSpaceDN/>
              <w:spacing w:line="360" w:lineRule="auto"/>
              <w:jc w:val="right"/>
              <w:rPr>
                <w:rFonts w:ascii="Arial" w:hAnsi="Arial" w:cs="Arial"/>
                <w:bCs/>
                <w:sz w:val="18"/>
                <w:szCs w:val="18"/>
                <w:lang w:val="hr-HR"/>
              </w:rPr>
            </w:pPr>
            <w:r w:rsidRPr="00587444">
              <w:rPr>
                <w:rFonts w:ascii="Arial" w:hAnsi="Arial" w:cs="Arial"/>
                <w:color w:val="000000"/>
                <w:sz w:val="18"/>
                <w:szCs w:val="18"/>
                <w:lang w:val="hr-HR"/>
              </w:rPr>
              <w:t>(174)</w:t>
            </w:r>
          </w:p>
        </w:tc>
      </w:tr>
    </w:tbl>
    <w:p w14:paraId="10BCA26B" w14:textId="77777777" w:rsidR="00587444" w:rsidRPr="00587444" w:rsidRDefault="00587444" w:rsidP="00587444">
      <w:pPr>
        <w:suppressAutoHyphens w:val="0"/>
        <w:autoSpaceDN/>
        <w:spacing w:line="360" w:lineRule="auto"/>
        <w:jc w:val="both"/>
        <w:rPr>
          <w:rFonts w:ascii="Arial" w:hAnsi="Arial" w:cs="Arial"/>
          <w:bCs/>
          <w:sz w:val="20"/>
          <w:szCs w:val="20"/>
          <w:highlight w:val="yellow"/>
          <w:lang w:val="en-GB"/>
        </w:rPr>
      </w:pPr>
    </w:p>
    <w:p w14:paraId="2FAF8A5C" w14:textId="77777777" w:rsidR="00587444" w:rsidRPr="00587444" w:rsidRDefault="00587444" w:rsidP="00587444">
      <w:pPr>
        <w:tabs>
          <w:tab w:val="left" w:pos="8615"/>
        </w:tabs>
        <w:suppressAutoHyphens w:val="0"/>
        <w:autoSpaceDN/>
        <w:spacing w:line="360" w:lineRule="auto"/>
        <w:jc w:val="both"/>
        <w:rPr>
          <w:rFonts w:ascii="Arial" w:hAnsi="Arial" w:cs="Arial"/>
          <w:bCs/>
          <w:sz w:val="20"/>
          <w:szCs w:val="20"/>
          <w:lang w:val="en-GB"/>
        </w:rPr>
      </w:pPr>
      <w:r w:rsidRPr="00587444">
        <w:rPr>
          <w:rFonts w:ascii="Arial" w:hAnsi="Arial" w:cs="Arial"/>
          <w:bCs/>
          <w:sz w:val="20"/>
          <w:szCs w:val="20"/>
          <w:lang w:val="en-GB"/>
        </w:rPr>
        <w:tab/>
      </w:r>
    </w:p>
    <w:p w14:paraId="7C5BBAB1" w14:textId="77777777" w:rsidR="00587444" w:rsidRPr="00587444" w:rsidRDefault="00587444" w:rsidP="00587444">
      <w:pPr>
        <w:tabs>
          <w:tab w:val="left" w:pos="8615"/>
        </w:tabs>
        <w:suppressAutoHyphens w:val="0"/>
        <w:autoSpaceDN/>
        <w:spacing w:line="360" w:lineRule="auto"/>
        <w:jc w:val="both"/>
        <w:rPr>
          <w:rFonts w:ascii="Arial" w:hAnsi="Arial" w:cs="Arial"/>
          <w:bCs/>
          <w:sz w:val="20"/>
          <w:szCs w:val="20"/>
          <w:lang w:val="en-GB"/>
        </w:rPr>
      </w:pPr>
    </w:p>
    <w:p w14:paraId="66161F3F" w14:textId="77777777" w:rsidR="00587444" w:rsidRPr="00587444" w:rsidRDefault="00587444" w:rsidP="00587444">
      <w:pPr>
        <w:tabs>
          <w:tab w:val="left" w:pos="8615"/>
        </w:tabs>
        <w:suppressAutoHyphens w:val="0"/>
        <w:autoSpaceDN/>
        <w:spacing w:line="360" w:lineRule="auto"/>
        <w:jc w:val="both"/>
        <w:rPr>
          <w:rFonts w:ascii="Arial" w:hAnsi="Arial" w:cs="Arial"/>
          <w:bCs/>
          <w:sz w:val="20"/>
          <w:szCs w:val="20"/>
          <w:lang w:val="en-GB"/>
        </w:rPr>
        <w:sectPr w:rsidR="00587444" w:rsidRPr="00587444" w:rsidSect="00DD69E7">
          <w:pgSz w:w="11907" w:h="16840" w:code="9"/>
          <w:pgMar w:top="1418" w:right="1134" w:bottom="1134" w:left="1418" w:header="851" w:footer="851" w:gutter="0"/>
          <w:cols w:space="720"/>
          <w:noEndnote/>
        </w:sectPr>
      </w:pPr>
    </w:p>
    <w:p w14:paraId="79B992F8"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5F482130"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         Risk management (continued)</w:t>
      </w:r>
    </w:p>
    <w:p w14:paraId="6D2E1A42"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1CB23E6E"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31.5.      Market risk (continued)</w:t>
      </w:r>
    </w:p>
    <w:p w14:paraId="7D11BD87"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2CA0CD65"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 xml:space="preserve">31.5.2.   Currency risk </w:t>
      </w:r>
    </w:p>
    <w:p w14:paraId="2FF45E27" w14:textId="77777777" w:rsidR="00587444" w:rsidRPr="00587444" w:rsidRDefault="00587444" w:rsidP="00587444">
      <w:pPr>
        <w:keepNext/>
        <w:suppressAutoHyphens w:val="0"/>
        <w:autoSpaceDN/>
        <w:jc w:val="both"/>
        <w:rPr>
          <w:rFonts w:ascii="Arial" w:hAnsi="Arial" w:cs="Arial"/>
          <w:sz w:val="20"/>
          <w:szCs w:val="20"/>
          <w:lang w:val="en-GB"/>
        </w:rPr>
      </w:pPr>
    </w:p>
    <w:p w14:paraId="4CCCDC6D"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Total assets and total liabilities as of 31 December 2022 and 31 December 2021 in HRK and foreign currencies can be shown as follows:</w:t>
      </w:r>
    </w:p>
    <w:p w14:paraId="6A312EC4" w14:textId="77777777" w:rsidR="00587444" w:rsidRPr="00587444" w:rsidRDefault="00587444" w:rsidP="00587444">
      <w:pPr>
        <w:keepNext/>
        <w:suppressAutoHyphens w:val="0"/>
        <w:autoSpaceDN/>
        <w:jc w:val="both"/>
        <w:rPr>
          <w:rFonts w:ascii="Arial" w:hAnsi="Arial" w:cs="Arial"/>
          <w:sz w:val="20"/>
          <w:szCs w:val="20"/>
          <w:lang w:val="en-GB"/>
        </w:rPr>
      </w:pPr>
    </w:p>
    <w:tbl>
      <w:tblPr>
        <w:tblW w:w="5129" w:type="pct"/>
        <w:tblInd w:w="-164" w:type="dxa"/>
        <w:tblLayout w:type="fixed"/>
        <w:tblCellMar>
          <w:left w:w="120" w:type="dxa"/>
          <w:right w:w="120" w:type="dxa"/>
        </w:tblCellMar>
        <w:tblLook w:val="0000" w:firstRow="0" w:lastRow="0" w:firstColumn="0" w:lastColumn="0" w:noHBand="0" w:noVBand="0"/>
      </w:tblPr>
      <w:tblGrid>
        <w:gridCol w:w="2976"/>
        <w:gridCol w:w="1045"/>
        <w:gridCol w:w="1134"/>
        <w:gridCol w:w="1144"/>
        <w:gridCol w:w="1134"/>
        <w:gridCol w:w="1280"/>
        <w:gridCol w:w="1130"/>
      </w:tblGrid>
      <w:tr w:rsidR="00587444" w:rsidRPr="00587444" w14:paraId="4216A944" w14:textId="77777777" w:rsidTr="00B7396E">
        <w:trPr>
          <w:trHeight w:val="556"/>
        </w:trPr>
        <w:tc>
          <w:tcPr>
            <w:tcW w:w="1512" w:type="pct"/>
            <w:vAlign w:val="bottom"/>
          </w:tcPr>
          <w:p w14:paraId="7BDC07FD" w14:textId="77777777"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bookmarkStart w:id="1298" w:name="_Toc4062800"/>
            <w:r w:rsidRPr="00587444">
              <w:rPr>
                <w:rFonts w:ascii="Arial" w:hAnsi="Arial" w:cs="Arial"/>
                <w:b/>
                <w:sz w:val="17"/>
                <w:szCs w:val="17"/>
              </w:rPr>
              <w:t>Group</w:t>
            </w:r>
            <w:bookmarkEnd w:id="1298"/>
          </w:p>
          <w:p w14:paraId="432B7F9A" w14:textId="77777777"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p>
          <w:p w14:paraId="76CB192C" w14:textId="77777777"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bookmarkStart w:id="1299" w:name="_Toc4062801"/>
            <w:r w:rsidRPr="00587444">
              <w:rPr>
                <w:rFonts w:ascii="Arial" w:hAnsi="Arial" w:cs="Arial"/>
                <w:b/>
                <w:bCs/>
                <w:sz w:val="17"/>
                <w:szCs w:val="17"/>
              </w:rPr>
              <w:t>31 December</w:t>
            </w:r>
            <w:r w:rsidRPr="00587444">
              <w:rPr>
                <w:rFonts w:ascii="Arial" w:hAnsi="Arial" w:cs="Arial"/>
                <w:b/>
                <w:sz w:val="17"/>
                <w:szCs w:val="17"/>
              </w:rPr>
              <w:t xml:space="preserve"> </w:t>
            </w:r>
            <w:bookmarkEnd w:id="1299"/>
            <w:r w:rsidRPr="00587444">
              <w:rPr>
                <w:rFonts w:ascii="Arial" w:hAnsi="Arial" w:cs="Arial"/>
                <w:b/>
                <w:sz w:val="17"/>
                <w:szCs w:val="17"/>
              </w:rPr>
              <w:t>2022</w:t>
            </w:r>
          </w:p>
        </w:tc>
        <w:tc>
          <w:tcPr>
            <w:tcW w:w="531" w:type="pct"/>
          </w:tcPr>
          <w:p w14:paraId="6891B23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00" w:name="_Toc4062802"/>
            <w:r w:rsidRPr="00587444">
              <w:rPr>
                <w:rFonts w:ascii="Arial" w:hAnsi="Arial" w:cs="Arial"/>
                <w:b/>
                <w:sz w:val="17"/>
                <w:szCs w:val="17"/>
              </w:rPr>
              <w:t>USD</w:t>
            </w:r>
            <w:bookmarkEnd w:id="1300"/>
          </w:p>
        </w:tc>
        <w:tc>
          <w:tcPr>
            <w:tcW w:w="576" w:type="pct"/>
          </w:tcPr>
          <w:p w14:paraId="386E739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01" w:name="_Toc4062803"/>
            <w:r w:rsidRPr="00587444">
              <w:rPr>
                <w:rFonts w:ascii="Arial" w:hAnsi="Arial" w:cs="Arial"/>
                <w:b/>
                <w:sz w:val="17"/>
                <w:szCs w:val="17"/>
              </w:rPr>
              <w:t>EUR</w:t>
            </w:r>
            <w:bookmarkEnd w:id="1301"/>
            <w:r w:rsidRPr="00587444">
              <w:rPr>
                <w:rFonts w:ascii="Arial" w:hAnsi="Arial" w:cs="Arial"/>
                <w:b/>
                <w:sz w:val="17"/>
                <w:szCs w:val="17"/>
              </w:rPr>
              <w:t xml:space="preserve"> </w:t>
            </w:r>
          </w:p>
        </w:tc>
        <w:tc>
          <w:tcPr>
            <w:tcW w:w="581" w:type="pct"/>
          </w:tcPr>
          <w:p w14:paraId="6C457D79" w14:textId="77777777" w:rsidR="001D0F8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02" w:name="_Toc4062804"/>
            <w:r w:rsidRPr="00587444">
              <w:rPr>
                <w:rFonts w:ascii="Arial" w:hAnsi="Arial" w:cs="Arial"/>
                <w:b/>
                <w:sz w:val="17"/>
                <w:szCs w:val="17"/>
              </w:rPr>
              <w:t xml:space="preserve">Other </w:t>
            </w:r>
          </w:p>
          <w:p w14:paraId="00556DFB" w14:textId="35507FD9"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foreign currencies</w:t>
            </w:r>
            <w:bookmarkEnd w:id="1302"/>
            <w:r w:rsidRPr="00587444">
              <w:rPr>
                <w:rFonts w:ascii="Arial" w:hAnsi="Arial" w:cs="Arial"/>
                <w:b/>
                <w:sz w:val="17"/>
                <w:szCs w:val="17"/>
              </w:rPr>
              <w:t xml:space="preserve"> </w:t>
            </w:r>
          </w:p>
        </w:tc>
        <w:tc>
          <w:tcPr>
            <w:tcW w:w="576" w:type="pct"/>
          </w:tcPr>
          <w:p w14:paraId="25102F32" w14:textId="77777777" w:rsidR="001D0F8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03" w:name="_Toc4062805"/>
            <w:r w:rsidRPr="00587444">
              <w:rPr>
                <w:rFonts w:ascii="Arial" w:hAnsi="Arial" w:cs="Arial"/>
                <w:b/>
                <w:sz w:val="17"/>
                <w:szCs w:val="17"/>
              </w:rPr>
              <w:t xml:space="preserve">Total </w:t>
            </w:r>
          </w:p>
          <w:p w14:paraId="6868EEE7" w14:textId="40EB7C66"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foreign currencies</w:t>
            </w:r>
            <w:bookmarkEnd w:id="1303"/>
            <w:r w:rsidRPr="00587444">
              <w:rPr>
                <w:rFonts w:ascii="Arial" w:hAnsi="Arial" w:cs="Arial"/>
                <w:b/>
                <w:sz w:val="17"/>
                <w:szCs w:val="17"/>
              </w:rPr>
              <w:t xml:space="preserve"> </w:t>
            </w:r>
          </w:p>
        </w:tc>
        <w:tc>
          <w:tcPr>
            <w:tcW w:w="650" w:type="pct"/>
          </w:tcPr>
          <w:p w14:paraId="1CA2010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04" w:name="_Toc4062806"/>
            <w:r w:rsidRPr="00587444">
              <w:rPr>
                <w:rFonts w:ascii="Arial" w:hAnsi="Arial" w:cs="Arial"/>
                <w:b/>
                <w:sz w:val="17"/>
                <w:szCs w:val="17"/>
              </w:rPr>
              <w:t>HRK</w:t>
            </w:r>
            <w:bookmarkEnd w:id="1304"/>
          </w:p>
        </w:tc>
        <w:tc>
          <w:tcPr>
            <w:tcW w:w="574" w:type="pct"/>
          </w:tcPr>
          <w:p w14:paraId="0E0DCA4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05" w:name="_Toc4062807"/>
            <w:r w:rsidRPr="00587444">
              <w:rPr>
                <w:rFonts w:ascii="Arial" w:hAnsi="Arial" w:cs="Arial"/>
                <w:b/>
                <w:sz w:val="17"/>
                <w:szCs w:val="17"/>
              </w:rPr>
              <w:t>Total</w:t>
            </w:r>
            <w:bookmarkEnd w:id="1305"/>
            <w:r w:rsidRPr="00587444">
              <w:rPr>
                <w:rFonts w:ascii="Arial" w:hAnsi="Arial" w:cs="Arial"/>
                <w:b/>
                <w:sz w:val="17"/>
                <w:szCs w:val="17"/>
              </w:rPr>
              <w:t xml:space="preserve"> </w:t>
            </w:r>
          </w:p>
        </w:tc>
      </w:tr>
      <w:tr w:rsidR="00587444" w:rsidRPr="00587444" w14:paraId="6BC523B5" w14:textId="77777777" w:rsidTr="00B7396E">
        <w:trPr>
          <w:trHeight w:hRule="exact" w:val="284"/>
        </w:trPr>
        <w:tc>
          <w:tcPr>
            <w:tcW w:w="1512" w:type="pct"/>
          </w:tcPr>
          <w:p w14:paraId="7A685F81" w14:textId="77777777"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p>
        </w:tc>
        <w:tc>
          <w:tcPr>
            <w:tcW w:w="531" w:type="pct"/>
          </w:tcPr>
          <w:p w14:paraId="1124D4D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06" w:name="_Toc4062808"/>
            <w:r w:rsidRPr="00587444">
              <w:rPr>
                <w:rFonts w:ascii="Arial" w:hAnsi="Arial" w:cs="Arial"/>
                <w:b/>
                <w:sz w:val="17"/>
                <w:szCs w:val="17"/>
              </w:rPr>
              <w:t>HRK ‘000</w:t>
            </w:r>
            <w:bookmarkEnd w:id="1306"/>
          </w:p>
        </w:tc>
        <w:tc>
          <w:tcPr>
            <w:tcW w:w="576" w:type="pct"/>
          </w:tcPr>
          <w:p w14:paraId="4D063B6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07" w:name="_Toc4062809"/>
            <w:r w:rsidRPr="00587444">
              <w:rPr>
                <w:rFonts w:ascii="Arial" w:hAnsi="Arial" w:cs="Arial"/>
                <w:b/>
                <w:sz w:val="17"/>
                <w:szCs w:val="17"/>
              </w:rPr>
              <w:t>HRK ‘000</w:t>
            </w:r>
            <w:bookmarkEnd w:id="1307"/>
          </w:p>
        </w:tc>
        <w:tc>
          <w:tcPr>
            <w:tcW w:w="581" w:type="pct"/>
          </w:tcPr>
          <w:p w14:paraId="0321F5E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08" w:name="_Toc4062810"/>
            <w:r w:rsidRPr="00587444">
              <w:rPr>
                <w:rFonts w:ascii="Arial" w:hAnsi="Arial" w:cs="Arial"/>
                <w:b/>
                <w:sz w:val="17"/>
                <w:szCs w:val="17"/>
              </w:rPr>
              <w:t>HRK ‘000</w:t>
            </w:r>
            <w:bookmarkEnd w:id="1308"/>
          </w:p>
        </w:tc>
        <w:tc>
          <w:tcPr>
            <w:tcW w:w="576" w:type="pct"/>
          </w:tcPr>
          <w:p w14:paraId="48E4433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09" w:name="_Toc4062811"/>
            <w:r w:rsidRPr="00587444">
              <w:rPr>
                <w:rFonts w:ascii="Arial" w:hAnsi="Arial" w:cs="Arial"/>
                <w:b/>
                <w:sz w:val="17"/>
                <w:szCs w:val="17"/>
              </w:rPr>
              <w:t>HRK ‘000</w:t>
            </w:r>
            <w:bookmarkEnd w:id="1309"/>
          </w:p>
        </w:tc>
        <w:tc>
          <w:tcPr>
            <w:tcW w:w="650" w:type="pct"/>
          </w:tcPr>
          <w:p w14:paraId="77F35EB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10" w:name="_Toc4062812"/>
            <w:r w:rsidRPr="00587444">
              <w:rPr>
                <w:rFonts w:ascii="Arial" w:hAnsi="Arial" w:cs="Arial"/>
                <w:b/>
                <w:sz w:val="17"/>
                <w:szCs w:val="17"/>
              </w:rPr>
              <w:t>HRK ‘000</w:t>
            </w:r>
            <w:bookmarkEnd w:id="1310"/>
          </w:p>
        </w:tc>
        <w:tc>
          <w:tcPr>
            <w:tcW w:w="574" w:type="pct"/>
          </w:tcPr>
          <w:p w14:paraId="4E8552C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11" w:name="_Toc4062813"/>
            <w:r w:rsidRPr="00587444">
              <w:rPr>
                <w:rFonts w:ascii="Arial" w:hAnsi="Arial" w:cs="Arial"/>
                <w:b/>
                <w:sz w:val="17"/>
                <w:szCs w:val="17"/>
              </w:rPr>
              <w:t>HRK ‘000</w:t>
            </w:r>
            <w:bookmarkEnd w:id="1311"/>
          </w:p>
        </w:tc>
      </w:tr>
      <w:tr w:rsidR="00587444" w:rsidRPr="00587444" w14:paraId="3949A79A" w14:textId="77777777" w:rsidTr="00B7396E">
        <w:trPr>
          <w:trHeight w:val="239"/>
        </w:trPr>
        <w:tc>
          <w:tcPr>
            <w:tcW w:w="1512" w:type="pct"/>
          </w:tcPr>
          <w:p w14:paraId="04F7D649" w14:textId="77777777" w:rsidR="00587444" w:rsidRPr="00587444" w:rsidRDefault="00587444" w:rsidP="00587444">
            <w:pPr>
              <w:tabs>
                <w:tab w:val="right" w:pos="1202"/>
              </w:tabs>
              <w:suppressAutoHyphens w:val="0"/>
              <w:autoSpaceDN/>
              <w:spacing w:line="240" w:lineRule="exact"/>
              <w:outlineLvl w:val="0"/>
              <w:rPr>
                <w:rFonts w:ascii="Arial" w:hAnsi="Arial" w:cs="Arial"/>
                <w:b/>
                <w:sz w:val="17"/>
                <w:szCs w:val="17"/>
              </w:rPr>
            </w:pPr>
            <w:bookmarkStart w:id="1312" w:name="_Toc4062814"/>
            <w:r w:rsidRPr="00587444">
              <w:rPr>
                <w:rFonts w:ascii="Arial" w:hAnsi="Arial" w:cs="Arial"/>
                <w:b/>
                <w:sz w:val="17"/>
                <w:szCs w:val="17"/>
              </w:rPr>
              <w:t>Assets</w:t>
            </w:r>
            <w:bookmarkEnd w:id="1312"/>
            <w:r w:rsidRPr="00587444">
              <w:rPr>
                <w:rFonts w:ascii="Arial" w:hAnsi="Arial" w:cs="Arial"/>
                <w:b/>
                <w:sz w:val="17"/>
                <w:szCs w:val="17"/>
              </w:rPr>
              <w:t xml:space="preserve"> </w:t>
            </w:r>
          </w:p>
        </w:tc>
        <w:tc>
          <w:tcPr>
            <w:tcW w:w="531" w:type="pct"/>
            <w:vAlign w:val="bottom"/>
          </w:tcPr>
          <w:p w14:paraId="32E467FE"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c>
          <w:tcPr>
            <w:tcW w:w="576" w:type="pct"/>
            <w:vAlign w:val="bottom"/>
          </w:tcPr>
          <w:p w14:paraId="7F763AF5"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c>
          <w:tcPr>
            <w:tcW w:w="581" w:type="pct"/>
            <w:vAlign w:val="bottom"/>
          </w:tcPr>
          <w:p w14:paraId="75C0D857"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c>
          <w:tcPr>
            <w:tcW w:w="576" w:type="pct"/>
            <w:vAlign w:val="bottom"/>
          </w:tcPr>
          <w:p w14:paraId="02386DE2"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c>
          <w:tcPr>
            <w:tcW w:w="650" w:type="pct"/>
            <w:vAlign w:val="bottom"/>
          </w:tcPr>
          <w:p w14:paraId="49DC1659"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c>
          <w:tcPr>
            <w:tcW w:w="574" w:type="pct"/>
            <w:vAlign w:val="bottom"/>
          </w:tcPr>
          <w:p w14:paraId="1B52245C"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r>
      <w:tr w:rsidR="00587444" w:rsidRPr="00587444" w14:paraId="05C16A18" w14:textId="77777777" w:rsidTr="00B7396E">
        <w:trPr>
          <w:trHeight w:val="254"/>
        </w:trPr>
        <w:tc>
          <w:tcPr>
            <w:tcW w:w="1512" w:type="pct"/>
            <w:vAlign w:val="bottom"/>
          </w:tcPr>
          <w:p w14:paraId="59AF920A"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bookmarkStart w:id="1313" w:name="_Toc4062815"/>
            <w:r w:rsidRPr="00587444">
              <w:rPr>
                <w:rFonts w:ascii="Arial" w:hAnsi="Arial" w:cs="Arial"/>
                <w:spacing w:val="-2"/>
                <w:sz w:val="17"/>
                <w:szCs w:val="17"/>
              </w:rPr>
              <w:t>Cash on hand and current accounts with banks</w:t>
            </w:r>
            <w:bookmarkEnd w:id="1313"/>
          </w:p>
        </w:tc>
        <w:tc>
          <w:tcPr>
            <w:tcW w:w="531" w:type="pct"/>
            <w:tcBorders>
              <w:top w:val="nil"/>
              <w:left w:val="nil"/>
              <w:right w:val="nil"/>
            </w:tcBorders>
            <w:vAlign w:val="bottom"/>
          </w:tcPr>
          <w:p w14:paraId="3F827455"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14,662</w:t>
            </w:r>
          </w:p>
        </w:tc>
        <w:tc>
          <w:tcPr>
            <w:tcW w:w="576" w:type="pct"/>
            <w:tcBorders>
              <w:top w:val="nil"/>
              <w:left w:val="nil"/>
              <w:right w:val="nil"/>
            </w:tcBorders>
            <w:vAlign w:val="bottom"/>
          </w:tcPr>
          <w:p w14:paraId="0AB5AD89"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85,431</w:t>
            </w:r>
          </w:p>
        </w:tc>
        <w:tc>
          <w:tcPr>
            <w:tcW w:w="581" w:type="pct"/>
            <w:tcBorders>
              <w:top w:val="nil"/>
              <w:left w:val="nil"/>
              <w:right w:val="nil"/>
            </w:tcBorders>
            <w:vAlign w:val="bottom"/>
          </w:tcPr>
          <w:p w14:paraId="76CF0D46"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29</w:t>
            </w:r>
          </w:p>
        </w:tc>
        <w:tc>
          <w:tcPr>
            <w:tcW w:w="576" w:type="pct"/>
            <w:tcBorders>
              <w:top w:val="nil"/>
              <w:left w:val="nil"/>
              <w:right w:val="nil"/>
            </w:tcBorders>
            <w:vAlign w:val="bottom"/>
          </w:tcPr>
          <w:p w14:paraId="003D3297"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100,122</w:t>
            </w:r>
          </w:p>
        </w:tc>
        <w:tc>
          <w:tcPr>
            <w:tcW w:w="650" w:type="pct"/>
            <w:tcBorders>
              <w:top w:val="nil"/>
              <w:left w:val="nil"/>
              <w:right w:val="nil"/>
            </w:tcBorders>
            <w:vAlign w:val="bottom"/>
          </w:tcPr>
          <w:p w14:paraId="46CA7D95"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1,621,797</w:t>
            </w:r>
          </w:p>
        </w:tc>
        <w:tc>
          <w:tcPr>
            <w:tcW w:w="574" w:type="pct"/>
            <w:tcBorders>
              <w:top w:val="nil"/>
              <w:left w:val="nil"/>
            </w:tcBorders>
            <w:vAlign w:val="bottom"/>
          </w:tcPr>
          <w:p w14:paraId="614095D8"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1,721,919</w:t>
            </w:r>
          </w:p>
        </w:tc>
      </w:tr>
      <w:tr w:rsidR="00587444" w:rsidRPr="00587444" w14:paraId="1EBEA9D3" w14:textId="77777777" w:rsidTr="00B7396E">
        <w:trPr>
          <w:trHeight w:val="254"/>
        </w:trPr>
        <w:tc>
          <w:tcPr>
            <w:tcW w:w="1512" w:type="pct"/>
            <w:vAlign w:val="bottom"/>
          </w:tcPr>
          <w:p w14:paraId="680FE066"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bookmarkStart w:id="1314" w:name="_Toc4062816"/>
            <w:r w:rsidRPr="00587444">
              <w:rPr>
                <w:rFonts w:ascii="Arial" w:hAnsi="Arial" w:cs="Arial"/>
                <w:spacing w:val="-2"/>
                <w:sz w:val="17"/>
                <w:szCs w:val="17"/>
              </w:rPr>
              <w:t>Deposits with other banks</w:t>
            </w:r>
            <w:bookmarkEnd w:id="1314"/>
            <w:r w:rsidRPr="00587444">
              <w:rPr>
                <w:rFonts w:ascii="Arial" w:hAnsi="Arial" w:cs="Arial"/>
                <w:spacing w:val="-2"/>
                <w:sz w:val="17"/>
                <w:szCs w:val="17"/>
              </w:rPr>
              <w:t xml:space="preserve"> </w:t>
            </w:r>
          </w:p>
        </w:tc>
        <w:tc>
          <w:tcPr>
            <w:tcW w:w="531" w:type="pct"/>
            <w:tcBorders>
              <w:top w:val="nil"/>
              <w:left w:val="nil"/>
              <w:bottom w:val="nil"/>
              <w:right w:val="nil"/>
            </w:tcBorders>
            <w:vAlign w:val="bottom"/>
          </w:tcPr>
          <w:p w14:paraId="4420A669"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w:t>
            </w:r>
          </w:p>
        </w:tc>
        <w:tc>
          <w:tcPr>
            <w:tcW w:w="576" w:type="pct"/>
            <w:tcBorders>
              <w:top w:val="nil"/>
              <w:left w:val="nil"/>
              <w:bottom w:val="nil"/>
              <w:right w:val="nil"/>
            </w:tcBorders>
            <w:vAlign w:val="bottom"/>
          </w:tcPr>
          <w:p w14:paraId="339CDF90"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33,180</w:t>
            </w:r>
          </w:p>
        </w:tc>
        <w:tc>
          <w:tcPr>
            <w:tcW w:w="581" w:type="pct"/>
            <w:tcBorders>
              <w:top w:val="nil"/>
              <w:left w:val="nil"/>
              <w:bottom w:val="nil"/>
              <w:right w:val="nil"/>
            </w:tcBorders>
            <w:vAlign w:val="bottom"/>
          </w:tcPr>
          <w:p w14:paraId="243973DA"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w:t>
            </w:r>
          </w:p>
        </w:tc>
        <w:tc>
          <w:tcPr>
            <w:tcW w:w="576" w:type="pct"/>
            <w:tcBorders>
              <w:top w:val="nil"/>
              <w:left w:val="nil"/>
              <w:bottom w:val="nil"/>
              <w:right w:val="nil"/>
            </w:tcBorders>
            <w:vAlign w:val="bottom"/>
          </w:tcPr>
          <w:p w14:paraId="4B1E322F"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33,180</w:t>
            </w:r>
          </w:p>
        </w:tc>
        <w:tc>
          <w:tcPr>
            <w:tcW w:w="650" w:type="pct"/>
            <w:tcBorders>
              <w:top w:val="nil"/>
              <w:left w:val="nil"/>
              <w:bottom w:val="nil"/>
              <w:right w:val="nil"/>
            </w:tcBorders>
            <w:vAlign w:val="bottom"/>
          </w:tcPr>
          <w:p w14:paraId="6078138F"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w:t>
            </w:r>
          </w:p>
        </w:tc>
        <w:tc>
          <w:tcPr>
            <w:tcW w:w="574" w:type="pct"/>
            <w:tcBorders>
              <w:top w:val="nil"/>
              <w:left w:val="nil"/>
              <w:bottom w:val="nil"/>
            </w:tcBorders>
            <w:vAlign w:val="bottom"/>
          </w:tcPr>
          <w:p w14:paraId="799330A9"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33,180</w:t>
            </w:r>
          </w:p>
        </w:tc>
      </w:tr>
      <w:tr w:rsidR="00587444" w:rsidRPr="00587444" w14:paraId="4E7E81DC" w14:textId="77777777" w:rsidTr="00B7396E">
        <w:trPr>
          <w:trHeight w:val="239"/>
        </w:trPr>
        <w:tc>
          <w:tcPr>
            <w:tcW w:w="1512" w:type="pct"/>
            <w:vAlign w:val="bottom"/>
          </w:tcPr>
          <w:p w14:paraId="1385C2D2"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bookmarkStart w:id="1315" w:name="_Toc4062817"/>
            <w:r w:rsidRPr="00587444">
              <w:rPr>
                <w:rFonts w:ascii="Arial" w:hAnsi="Arial" w:cs="Arial"/>
                <w:spacing w:val="-2"/>
                <w:sz w:val="17"/>
                <w:szCs w:val="17"/>
              </w:rPr>
              <w:t>Loans to financial institutions</w:t>
            </w:r>
            <w:bookmarkEnd w:id="1315"/>
          </w:p>
        </w:tc>
        <w:tc>
          <w:tcPr>
            <w:tcW w:w="531" w:type="pct"/>
            <w:tcBorders>
              <w:top w:val="nil"/>
              <w:left w:val="nil"/>
              <w:bottom w:val="nil"/>
              <w:right w:val="nil"/>
            </w:tcBorders>
            <w:vAlign w:val="bottom"/>
          </w:tcPr>
          <w:p w14:paraId="0D8FAA7D"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w:t>
            </w:r>
          </w:p>
        </w:tc>
        <w:tc>
          <w:tcPr>
            <w:tcW w:w="576" w:type="pct"/>
            <w:tcBorders>
              <w:top w:val="nil"/>
              <w:left w:val="nil"/>
              <w:bottom w:val="nil"/>
              <w:right w:val="nil"/>
            </w:tcBorders>
            <w:vAlign w:val="bottom"/>
          </w:tcPr>
          <w:p w14:paraId="5B8C39BA"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3,305,996</w:t>
            </w:r>
          </w:p>
        </w:tc>
        <w:tc>
          <w:tcPr>
            <w:tcW w:w="581" w:type="pct"/>
            <w:tcBorders>
              <w:top w:val="nil"/>
              <w:left w:val="nil"/>
              <w:bottom w:val="nil"/>
              <w:right w:val="nil"/>
            </w:tcBorders>
            <w:vAlign w:val="bottom"/>
          </w:tcPr>
          <w:p w14:paraId="2D8F76E1"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w:t>
            </w:r>
          </w:p>
        </w:tc>
        <w:tc>
          <w:tcPr>
            <w:tcW w:w="576" w:type="pct"/>
            <w:tcBorders>
              <w:top w:val="nil"/>
              <w:left w:val="nil"/>
              <w:bottom w:val="nil"/>
              <w:right w:val="nil"/>
            </w:tcBorders>
            <w:vAlign w:val="bottom"/>
          </w:tcPr>
          <w:p w14:paraId="73D05533"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3,305,996</w:t>
            </w:r>
          </w:p>
        </w:tc>
        <w:tc>
          <w:tcPr>
            <w:tcW w:w="650" w:type="pct"/>
            <w:tcBorders>
              <w:top w:val="nil"/>
              <w:left w:val="nil"/>
              <w:bottom w:val="nil"/>
              <w:right w:val="nil"/>
            </w:tcBorders>
            <w:vAlign w:val="bottom"/>
          </w:tcPr>
          <w:p w14:paraId="1A617FF6"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3,678,716</w:t>
            </w:r>
          </w:p>
        </w:tc>
        <w:tc>
          <w:tcPr>
            <w:tcW w:w="574" w:type="pct"/>
            <w:tcBorders>
              <w:top w:val="nil"/>
              <w:left w:val="nil"/>
              <w:bottom w:val="nil"/>
            </w:tcBorders>
            <w:vAlign w:val="bottom"/>
          </w:tcPr>
          <w:p w14:paraId="2976D2B7"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6,984,712</w:t>
            </w:r>
          </w:p>
        </w:tc>
      </w:tr>
      <w:tr w:rsidR="00587444" w:rsidRPr="00587444" w14:paraId="51E17903" w14:textId="77777777" w:rsidTr="00B7396E">
        <w:trPr>
          <w:trHeight w:val="254"/>
        </w:trPr>
        <w:tc>
          <w:tcPr>
            <w:tcW w:w="1512" w:type="pct"/>
            <w:vAlign w:val="bottom"/>
          </w:tcPr>
          <w:p w14:paraId="6648A46B"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bookmarkStart w:id="1316" w:name="_Toc4062818"/>
            <w:r w:rsidRPr="00587444">
              <w:rPr>
                <w:rFonts w:ascii="Arial" w:hAnsi="Arial" w:cs="Arial"/>
                <w:spacing w:val="-2"/>
                <w:sz w:val="17"/>
                <w:szCs w:val="17"/>
              </w:rPr>
              <w:t>Loans to other customers</w:t>
            </w:r>
            <w:bookmarkEnd w:id="1316"/>
            <w:r w:rsidRPr="00587444">
              <w:rPr>
                <w:rFonts w:ascii="Arial" w:hAnsi="Arial" w:cs="Arial"/>
                <w:spacing w:val="-2"/>
                <w:sz w:val="17"/>
                <w:szCs w:val="17"/>
              </w:rPr>
              <w:t xml:space="preserve"> </w:t>
            </w:r>
          </w:p>
        </w:tc>
        <w:tc>
          <w:tcPr>
            <w:tcW w:w="531" w:type="pct"/>
            <w:tcBorders>
              <w:top w:val="nil"/>
              <w:left w:val="nil"/>
              <w:bottom w:val="nil"/>
              <w:right w:val="nil"/>
            </w:tcBorders>
            <w:vAlign w:val="bottom"/>
          </w:tcPr>
          <w:p w14:paraId="0BD8925D"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146,813</w:t>
            </w:r>
          </w:p>
        </w:tc>
        <w:tc>
          <w:tcPr>
            <w:tcW w:w="576" w:type="pct"/>
            <w:tcBorders>
              <w:top w:val="nil"/>
              <w:left w:val="nil"/>
              <w:bottom w:val="nil"/>
              <w:right w:val="nil"/>
            </w:tcBorders>
            <w:vAlign w:val="bottom"/>
          </w:tcPr>
          <w:p w14:paraId="0E73A612"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9,998,144</w:t>
            </w:r>
          </w:p>
        </w:tc>
        <w:tc>
          <w:tcPr>
            <w:tcW w:w="581" w:type="pct"/>
            <w:tcBorders>
              <w:top w:val="nil"/>
              <w:left w:val="nil"/>
              <w:bottom w:val="nil"/>
              <w:right w:val="nil"/>
            </w:tcBorders>
            <w:vAlign w:val="bottom"/>
          </w:tcPr>
          <w:p w14:paraId="05B6C16E"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134,679</w:t>
            </w:r>
          </w:p>
        </w:tc>
        <w:tc>
          <w:tcPr>
            <w:tcW w:w="576" w:type="pct"/>
            <w:tcBorders>
              <w:top w:val="nil"/>
              <w:left w:val="nil"/>
              <w:bottom w:val="nil"/>
              <w:right w:val="nil"/>
            </w:tcBorders>
            <w:vAlign w:val="bottom"/>
          </w:tcPr>
          <w:p w14:paraId="4F2757FA"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10,279,636</w:t>
            </w:r>
          </w:p>
        </w:tc>
        <w:tc>
          <w:tcPr>
            <w:tcW w:w="650" w:type="pct"/>
            <w:tcBorders>
              <w:top w:val="nil"/>
              <w:left w:val="nil"/>
              <w:bottom w:val="nil"/>
              <w:right w:val="nil"/>
            </w:tcBorders>
            <w:vAlign w:val="bottom"/>
          </w:tcPr>
          <w:p w14:paraId="3366E272"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7,123,030</w:t>
            </w:r>
          </w:p>
        </w:tc>
        <w:tc>
          <w:tcPr>
            <w:tcW w:w="574" w:type="pct"/>
            <w:tcBorders>
              <w:top w:val="nil"/>
              <w:left w:val="nil"/>
              <w:bottom w:val="nil"/>
            </w:tcBorders>
            <w:vAlign w:val="bottom"/>
          </w:tcPr>
          <w:p w14:paraId="0D09F3FA"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17,402,666</w:t>
            </w:r>
          </w:p>
        </w:tc>
      </w:tr>
      <w:tr w:rsidR="00587444" w:rsidRPr="00587444" w14:paraId="0FD871C5" w14:textId="77777777" w:rsidTr="00B7396E">
        <w:trPr>
          <w:trHeight w:val="215"/>
        </w:trPr>
        <w:tc>
          <w:tcPr>
            <w:tcW w:w="1512" w:type="pct"/>
            <w:vAlign w:val="bottom"/>
          </w:tcPr>
          <w:p w14:paraId="51EC54F6" w14:textId="77777777" w:rsidR="00587444" w:rsidRPr="00587444" w:rsidRDefault="00587444" w:rsidP="00587444">
            <w:pPr>
              <w:tabs>
                <w:tab w:val="right" w:pos="1202"/>
              </w:tabs>
              <w:suppressAutoHyphens w:val="0"/>
              <w:autoSpaceDN/>
              <w:spacing w:line="240" w:lineRule="exact"/>
              <w:outlineLvl w:val="0"/>
              <w:rPr>
                <w:rFonts w:ascii="Arial" w:hAnsi="Arial" w:cs="Arial"/>
                <w:spacing w:val="-2"/>
                <w:sz w:val="17"/>
                <w:szCs w:val="17"/>
              </w:rPr>
            </w:pPr>
            <w:bookmarkStart w:id="1317" w:name="_Toc4062819"/>
            <w:r w:rsidRPr="00587444">
              <w:rPr>
                <w:rFonts w:ascii="Arial" w:hAnsi="Arial" w:cs="Arial"/>
                <w:spacing w:val="-2"/>
                <w:sz w:val="17"/>
                <w:szCs w:val="17"/>
              </w:rPr>
              <w:t>Financial assets at fair value through profit or loss</w:t>
            </w:r>
            <w:bookmarkEnd w:id="1317"/>
          </w:p>
        </w:tc>
        <w:tc>
          <w:tcPr>
            <w:tcW w:w="531" w:type="pct"/>
            <w:tcBorders>
              <w:top w:val="nil"/>
              <w:left w:val="nil"/>
              <w:bottom w:val="nil"/>
              <w:right w:val="nil"/>
            </w:tcBorders>
            <w:vAlign w:val="bottom"/>
          </w:tcPr>
          <w:p w14:paraId="72843848"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22,831</w:t>
            </w:r>
          </w:p>
        </w:tc>
        <w:tc>
          <w:tcPr>
            <w:tcW w:w="576" w:type="pct"/>
            <w:tcBorders>
              <w:top w:val="nil"/>
              <w:left w:val="nil"/>
              <w:bottom w:val="nil"/>
              <w:right w:val="nil"/>
            </w:tcBorders>
            <w:vAlign w:val="bottom"/>
          </w:tcPr>
          <w:p w14:paraId="557016F8"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107,622</w:t>
            </w:r>
          </w:p>
        </w:tc>
        <w:tc>
          <w:tcPr>
            <w:tcW w:w="581" w:type="pct"/>
            <w:tcBorders>
              <w:top w:val="nil"/>
              <w:left w:val="nil"/>
              <w:bottom w:val="nil"/>
              <w:right w:val="nil"/>
            </w:tcBorders>
            <w:vAlign w:val="bottom"/>
          </w:tcPr>
          <w:p w14:paraId="482E08D3"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w:t>
            </w:r>
          </w:p>
        </w:tc>
        <w:tc>
          <w:tcPr>
            <w:tcW w:w="576" w:type="pct"/>
            <w:tcBorders>
              <w:top w:val="nil"/>
              <w:left w:val="nil"/>
              <w:bottom w:val="nil"/>
              <w:right w:val="nil"/>
            </w:tcBorders>
            <w:vAlign w:val="bottom"/>
          </w:tcPr>
          <w:p w14:paraId="2915739A"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130,453</w:t>
            </w:r>
          </w:p>
        </w:tc>
        <w:tc>
          <w:tcPr>
            <w:tcW w:w="650" w:type="pct"/>
            <w:tcBorders>
              <w:top w:val="nil"/>
              <w:left w:val="nil"/>
              <w:bottom w:val="nil"/>
              <w:right w:val="nil"/>
            </w:tcBorders>
            <w:vAlign w:val="bottom"/>
          </w:tcPr>
          <w:p w14:paraId="37009278"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1,070</w:t>
            </w:r>
          </w:p>
        </w:tc>
        <w:tc>
          <w:tcPr>
            <w:tcW w:w="574" w:type="pct"/>
            <w:tcBorders>
              <w:top w:val="nil"/>
              <w:left w:val="nil"/>
              <w:bottom w:val="nil"/>
            </w:tcBorders>
            <w:vAlign w:val="bottom"/>
          </w:tcPr>
          <w:p w14:paraId="2BFFCFED"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131,523</w:t>
            </w:r>
          </w:p>
        </w:tc>
      </w:tr>
      <w:tr w:rsidR="00587444" w:rsidRPr="00587444" w14:paraId="47DBBAAB" w14:textId="77777777" w:rsidTr="00B7396E">
        <w:trPr>
          <w:trHeight w:val="254"/>
        </w:trPr>
        <w:tc>
          <w:tcPr>
            <w:tcW w:w="1512" w:type="pct"/>
            <w:vAlign w:val="bottom"/>
          </w:tcPr>
          <w:p w14:paraId="5203C050" w14:textId="77777777" w:rsidR="00B7396E" w:rsidRDefault="00587444" w:rsidP="00587444">
            <w:pPr>
              <w:tabs>
                <w:tab w:val="right" w:pos="1202"/>
              </w:tabs>
              <w:suppressAutoHyphens w:val="0"/>
              <w:autoSpaceDN/>
              <w:spacing w:line="240" w:lineRule="exact"/>
              <w:outlineLvl w:val="0"/>
              <w:rPr>
                <w:rFonts w:ascii="Arial" w:hAnsi="Arial" w:cs="Arial"/>
                <w:spacing w:val="-2"/>
                <w:sz w:val="17"/>
                <w:szCs w:val="17"/>
              </w:rPr>
            </w:pPr>
            <w:bookmarkStart w:id="1318" w:name="_Toc4062820"/>
            <w:r w:rsidRPr="00587444">
              <w:rPr>
                <w:rFonts w:ascii="Arial" w:hAnsi="Arial" w:cs="Arial"/>
                <w:spacing w:val="-2"/>
                <w:sz w:val="17"/>
                <w:szCs w:val="17"/>
              </w:rPr>
              <w:t xml:space="preserve">Financial assets at fair value through other comprehensive </w:t>
            </w:r>
          </w:p>
          <w:p w14:paraId="7D914EA8" w14:textId="62D2F4BC"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income</w:t>
            </w:r>
            <w:bookmarkEnd w:id="1318"/>
          </w:p>
        </w:tc>
        <w:tc>
          <w:tcPr>
            <w:tcW w:w="531" w:type="pct"/>
            <w:tcBorders>
              <w:top w:val="nil"/>
              <w:left w:val="nil"/>
              <w:bottom w:val="nil"/>
              <w:right w:val="nil"/>
            </w:tcBorders>
            <w:vAlign w:val="bottom"/>
          </w:tcPr>
          <w:p w14:paraId="4A8376CC"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w:t>
            </w:r>
          </w:p>
        </w:tc>
        <w:tc>
          <w:tcPr>
            <w:tcW w:w="576" w:type="pct"/>
            <w:tcBorders>
              <w:top w:val="nil"/>
              <w:left w:val="nil"/>
              <w:bottom w:val="nil"/>
              <w:right w:val="nil"/>
            </w:tcBorders>
            <w:vAlign w:val="bottom"/>
          </w:tcPr>
          <w:p w14:paraId="30713C03"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697,965</w:t>
            </w:r>
          </w:p>
        </w:tc>
        <w:tc>
          <w:tcPr>
            <w:tcW w:w="581" w:type="pct"/>
            <w:tcBorders>
              <w:top w:val="nil"/>
              <w:left w:val="nil"/>
              <w:bottom w:val="nil"/>
              <w:right w:val="nil"/>
            </w:tcBorders>
            <w:vAlign w:val="bottom"/>
          </w:tcPr>
          <w:p w14:paraId="03181902"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w:t>
            </w:r>
          </w:p>
        </w:tc>
        <w:tc>
          <w:tcPr>
            <w:tcW w:w="576" w:type="pct"/>
            <w:tcBorders>
              <w:top w:val="nil"/>
              <w:left w:val="nil"/>
              <w:bottom w:val="nil"/>
              <w:right w:val="nil"/>
            </w:tcBorders>
            <w:vAlign w:val="bottom"/>
          </w:tcPr>
          <w:p w14:paraId="4E841401"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697,965</w:t>
            </w:r>
          </w:p>
        </w:tc>
        <w:tc>
          <w:tcPr>
            <w:tcW w:w="650" w:type="pct"/>
            <w:tcBorders>
              <w:top w:val="nil"/>
              <w:left w:val="nil"/>
              <w:bottom w:val="nil"/>
              <w:right w:val="nil"/>
            </w:tcBorders>
            <w:vAlign w:val="bottom"/>
          </w:tcPr>
          <w:p w14:paraId="3C003FA2"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1,988,657</w:t>
            </w:r>
          </w:p>
        </w:tc>
        <w:tc>
          <w:tcPr>
            <w:tcW w:w="574" w:type="pct"/>
            <w:tcBorders>
              <w:top w:val="nil"/>
              <w:left w:val="nil"/>
              <w:bottom w:val="nil"/>
            </w:tcBorders>
            <w:vAlign w:val="bottom"/>
          </w:tcPr>
          <w:p w14:paraId="70960F74"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2,686,622</w:t>
            </w:r>
          </w:p>
        </w:tc>
      </w:tr>
      <w:tr w:rsidR="00587444" w:rsidRPr="00587444" w14:paraId="58C64DAA" w14:textId="77777777" w:rsidTr="00B7396E">
        <w:trPr>
          <w:trHeight w:val="507"/>
        </w:trPr>
        <w:tc>
          <w:tcPr>
            <w:tcW w:w="1512" w:type="pct"/>
            <w:vAlign w:val="bottom"/>
          </w:tcPr>
          <w:p w14:paraId="539510C1"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bookmarkStart w:id="1319" w:name="_Toc4062822"/>
            <w:r w:rsidRPr="00587444">
              <w:rPr>
                <w:rFonts w:ascii="Arial" w:hAnsi="Arial" w:cs="Arial"/>
                <w:spacing w:val="-2"/>
                <w:sz w:val="17"/>
                <w:szCs w:val="17"/>
              </w:rPr>
              <w:t>Property, plant and equipment and intangible assets</w:t>
            </w:r>
            <w:bookmarkEnd w:id="1319"/>
          </w:p>
        </w:tc>
        <w:tc>
          <w:tcPr>
            <w:tcW w:w="531" w:type="pct"/>
            <w:tcBorders>
              <w:top w:val="nil"/>
              <w:left w:val="nil"/>
              <w:bottom w:val="nil"/>
              <w:right w:val="nil"/>
            </w:tcBorders>
            <w:vAlign w:val="bottom"/>
          </w:tcPr>
          <w:p w14:paraId="18B0A5C4"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w:t>
            </w:r>
          </w:p>
        </w:tc>
        <w:tc>
          <w:tcPr>
            <w:tcW w:w="576" w:type="pct"/>
            <w:tcBorders>
              <w:top w:val="nil"/>
              <w:left w:val="nil"/>
              <w:bottom w:val="nil"/>
              <w:right w:val="nil"/>
            </w:tcBorders>
            <w:vAlign w:val="bottom"/>
          </w:tcPr>
          <w:p w14:paraId="4BD40806"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w:t>
            </w:r>
          </w:p>
        </w:tc>
        <w:tc>
          <w:tcPr>
            <w:tcW w:w="581" w:type="pct"/>
            <w:tcBorders>
              <w:top w:val="nil"/>
              <w:left w:val="nil"/>
              <w:bottom w:val="nil"/>
              <w:right w:val="nil"/>
            </w:tcBorders>
            <w:vAlign w:val="bottom"/>
          </w:tcPr>
          <w:p w14:paraId="2044B462"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w:t>
            </w:r>
          </w:p>
        </w:tc>
        <w:tc>
          <w:tcPr>
            <w:tcW w:w="576" w:type="pct"/>
            <w:tcBorders>
              <w:top w:val="nil"/>
              <w:left w:val="nil"/>
              <w:bottom w:val="nil"/>
              <w:right w:val="nil"/>
            </w:tcBorders>
            <w:vAlign w:val="bottom"/>
          </w:tcPr>
          <w:p w14:paraId="06C8E427"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w:t>
            </w:r>
          </w:p>
        </w:tc>
        <w:tc>
          <w:tcPr>
            <w:tcW w:w="650" w:type="pct"/>
            <w:tcBorders>
              <w:top w:val="nil"/>
              <w:left w:val="nil"/>
              <w:bottom w:val="nil"/>
              <w:right w:val="nil"/>
            </w:tcBorders>
            <w:vAlign w:val="bottom"/>
          </w:tcPr>
          <w:p w14:paraId="63E569C2"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38,831</w:t>
            </w:r>
          </w:p>
        </w:tc>
        <w:tc>
          <w:tcPr>
            <w:tcW w:w="574" w:type="pct"/>
            <w:tcBorders>
              <w:top w:val="nil"/>
              <w:left w:val="nil"/>
              <w:bottom w:val="nil"/>
            </w:tcBorders>
            <w:vAlign w:val="bottom"/>
          </w:tcPr>
          <w:p w14:paraId="73171D27"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38,831</w:t>
            </w:r>
          </w:p>
        </w:tc>
      </w:tr>
      <w:tr w:rsidR="00587444" w:rsidRPr="00587444" w14:paraId="788D1457" w14:textId="77777777" w:rsidTr="00B7396E">
        <w:trPr>
          <w:trHeight w:val="239"/>
        </w:trPr>
        <w:tc>
          <w:tcPr>
            <w:tcW w:w="1512" w:type="pct"/>
            <w:vAlign w:val="bottom"/>
          </w:tcPr>
          <w:p w14:paraId="4A9E4D32"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Foreclosed assets</w:t>
            </w:r>
          </w:p>
        </w:tc>
        <w:tc>
          <w:tcPr>
            <w:tcW w:w="531" w:type="pct"/>
            <w:tcBorders>
              <w:top w:val="nil"/>
              <w:left w:val="nil"/>
              <w:bottom w:val="nil"/>
              <w:right w:val="nil"/>
            </w:tcBorders>
            <w:vAlign w:val="bottom"/>
          </w:tcPr>
          <w:p w14:paraId="36045A38"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w:t>
            </w:r>
          </w:p>
        </w:tc>
        <w:tc>
          <w:tcPr>
            <w:tcW w:w="576" w:type="pct"/>
            <w:tcBorders>
              <w:top w:val="nil"/>
              <w:left w:val="nil"/>
              <w:bottom w:val="nil"/>
              <w:right w:val="nil"/>
            </w:tcBorders>
            <w:vAlign w:val="bottom"/>
          </w:tcPr>
          <w:p w14:paraId="6005F520"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w:t>
            </w:r>
          </w:p>
        </w:tc>
        <w:tc>
          <w:tcPr>
            <w:tcW w:w="581" w:type="pct"/>
            <w:tcBorders>
              <w:top w:val="nil"/>
              <w:left w:val="nil"/>
              <w:bottom w:val="nil"/>
              <w:right w:val="nil"/>
            </w:tcBorders>
            <w:vAlign w:val="bottom"/>
          </w:tcPr>
          <w:p w14:paraId="5F99C435"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w:t>
            </w:r>
          </w:p>
        </w:tc>
        <w:tc>
          <w:tcPr>
            <w:tcW w:w="576" w:type="pct"/>
            <w:tcBorders>
              <w:top w:val="nil"/>
              <w:left w:val="nil"/>
              <w:bottom w:val="nil"/>
              <w:right w:val="nil"/>
            </w:tcBorders>
            <w:vAlign w:val="bottom"/>
          </w:tcPr>
          <w:p w14:paraId="29092190"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w:t>
            </w:r>
          </w:p>
        </w:tc>
        <w:tc>
          <w:tcPr>
            <w:tcW w:w="650" w:type="pct"/>
            <w:tcBorders>
              <w:top w:val="nil"/>
              <w:left w:val="nil"/>
              <w:bottom w:val="nil"/>
              <w:right w:val="nil"/>
            </w:tcBorders>
            <w:vAlign w:val="bottom"/>
          </w:tcPr>
          <w:p w14:paraId="5E5951E6"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24,776</w:t>
            </w:r>
          </w:p>
        </w:tc>
        <w:tc>
          <w:tcPr>
            <w:tcW w:w="574" w:type="pct"/>
            <w:tcBorders>
              <w:top w:val="nil"/>
              <w:left w:val="nil"/>
              <w:bottom w:val="nil"/>
            </w:tcBorders>
            <w:vAlign w:val="bottom"/>
          </w:tcPr>
          <w:p w14:paraId="23A7D46D"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24,776</w:t>
            </w:r>
          </w:p>
        </w:tc>
      </w:tr>
      <w:tr w:rsidR="00587444" w:rsidRPr="00587444" w14:paraId="50AAD7EB" w14:textId="77777777" w:rsidTr="00B7396E">
        <w:trPr>
          <w:trHeight w:val="254"/>
        </w:trPr>
        <w:tc>
          <w:tcPr>
            <w:tcW w:w="1512" w:type="pct"/>
            <w:vAlign w:val="bottom"/>
          </w:tcPr>
          <w:p w14:paraId="57523707"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bookmarkStart w:id="1320" w:name="_Toc4062824"/>
            <w:r w:rsidRPr="00587444">
              <w:rPr>
                <w:rFonts w:ascii="Arial" w:hAnsi="Arial" w:cs="Arial"/>
                <w:spacing w:val="-2"/>
                <w:sz w:val="17"/>
                <w:szCs w:val="17"/>
              </w:rPr>
              <w:t>Other assets</w:t>
            </w:r>
            <w:bookmarkEnd w:id="1320"/>
            <w:r w:rsidRPr="00587444">
              <w:rPr>
                <w:rFonts w:ascii="Arial" w:hAnsi="Arial" w:cs="Arial"/>
                <w:spacing w:val="-2"/>
                <w:sz w:val="17"/>
                <w:szCs w:val="17"/>
              </w:rPr>
              <w:t xml:space="preserve"> </w:t>
            </w:r>
          </w:p>
        </w:tc>
        <w:tc>
          <w:tcPr>
            <w:tcW w:w="531" w:type="pct"/>
            <w:tcBorders>
              <w:top w:val="nil"/>
              <w:left w:val="nil"/>
              <w:bottom w:val="nil"/>
              <w:right w:val="nil"/>
            </w:tcBorders>
            <w:vAlign w:val="bottom"/>
          </w:tcPr>
          <w:p w14:paraId="0815F744"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w:t>
            </w:r>
          </w:p>
        </w:tc>
        <w:tc>
          <w:tcPr>
            <w:tcW w:w="576" w:type="pct"/>
            <w:tcBorders>
              <w:top w:val="nil"/>
              <w:left w:val="nil"/>
              <w:bottom w:val="nil"/>
              <w:right w:val="nil"/>
            </w:tcBorders>
            <w:vAlign w:val="bottom"/>
          </w:tcPr>
          <w:p w14:paraId="4DBB9882"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8,326</w:t>
            </w:r>
          </w:p>
        </w:tc>
        <w:tc>
          <w:tcPr>
            <w:tcW w:w="581" w:type="pct"/>
            <w:tcBorders>
              <w:top w:val="nil"/>
              <w:left w:val="nil"/>
              <w:bottom w:val="nil"/>
              <w:right w:val="nil"/>
            </w:tcBorders>
            <w:vAlign w:val="bottom"/>
          </w:tcPr>
          <w:p w14:paraId="30D6A4E5"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w:t>
            </w:r>
          </w:p>
        </w:tc>
        <w:tc>
          <w:tcPr>
            <w:tcW w:w="576" w:type="pct"/>
            <w:tcBorders>
              <w:top w:val="nil"/>
              <w:left w:val="nil"/>
              <w:bottom w:val="nil"/>
              <w:right w:val="nil"/>
            </w:tcBorders>
            <w:vAlign w:val="bottom"/>
          </w:tcPr>
          <w:p w14:paraId="3580ADB9"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8,326</w:t>
            </w:r>
          </w:p>
        </w:tc>
        <w:tc>
          <w:tcPr>
            <w:tcW w:w="650" w:type="pct"/>
            <w:tcBorders>
              <w:top w:val="nil"/>
              <w:left w:val="nil"/>
              <w:bottom w:val="nil"/>
              <w:right w:val="nil"/>
            </w:tcBorders>
            <w:vAlign w:val="bottom"/>
          </w:tcPr>
          <w:p w14:paraId="24956574"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27,608</w:t>
            </w:r>
          </w:p>
        </w:tc>
        <w:tc>
          <w:tcPr>
            <w:tcW w:w="574" w:type="pct"/>
            <w:tcBorders>
              <w:top w:val="nil"/>
              <w:left w:val="nil"/>
              <w:bottom w:val="nil"/>
            </w:tcBorders>
            <w:vAlign w:val="bottom"/>
          </w:tcPr>
          <w:p w14:paraId="1261E56A"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35,934</w:t>
            </w:r>
          </w:p>
        </w:tc>
      </w:tr>
      <w:tr w:rsidR="00587444" w:rsidRPr="00587444" w14:paraId="023715F6" w14:textId="77777777" w:rsidTr="00B7396E">
        <w:trPr>
          <w:trHeight w:val="393"/>
        </w:trPr>
        <w:tc>
          <w:tcPr>
            <w:tcW w:w="1512" w:type="pct"/>
            <w:vAlign w:val="bottom"/>
          </w:tcPr>
          <w:p w14:paraId="452A25FE"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7"/>
                <w:szCs w:val="17"/>
              </w:rPr>
            </w:pPr>
            <w:bookmarkStart w:id="1321" w:name="_Toc4062825"/>
            <w:r w:rsidRPr="00587444">
              <w:rPr>
                <w:rFonts w:ascii="Arial" w:hAnsi="Arial" w:cs="Arial"/>
                <w:b/>
                <w:bCs/>
                <w:sz w:val="17"/>
                <w:szCs w:val="17"/>
              </w:rPr>
              <w:t>Total assets</w:t>
            </w:r>
            <w:bookmarkEnd w:id="1321"/>
            <w:r w:rsidRPr="00587444">
              <w:rPr>
                <w:rFonts w:ascii="Arial" w:hAnsi="Arial" w:cs="Arial"/>
                <w:b/>
                <w:bCs/>
                <w:sz w:val="17"/>
                <w:szCs w:val="17"/>
              </w:rPr>
              <w:t xml:space="preserve"> </w:t>
            </w:r>
          </w:p>
        </w:tc>
        <w:tc>
          <w:tcPr>
            <w:tcW w:w="531" w:type="pct"/>
            <w:tcBorders>
              <w:top w:val="single" w:sz="4" w:space="0" w:color="000000"/>
              <w:bottom w:val="single" w:sz="8" w:space="0" w:color="000000"/>
            </w:tcBorders>
            <w:vAlign w:val="bottom"/>
          </w:tcPr>
          <w:p w14:paraId="7D005005"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184,306</w:t>
            </w:r>
          </w:p>
        </w:tc>
        <w:tc>
          <w:tcPr>
            <w:tcW w:w="576" w:type="pct"/>
            <w:tcBorders>
              <w:top w:val="single" w:sz="4" w:space="0" w:color="000000"/>
              <w:bottom w:val="single" w:sz="8" w:space="0" w:color="000000"/>
            </w:tcBorders>
            <w:vAlign w:val="bottom"/>
          </w:tcPr>
          <w:p w14:paraId="100ACC5A"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14,236,664</w:t>
            </w:r>
          </w:p>
        </w:tc>
        <w:tc>
          <w:tcPr>
            <w:tcW w:w="581" w:type="pct"/>
            <w:tcBorders>
              <w:top w:val="single" w:sz="4" w:space="0" w:color="000000"/>
              <w:bottom w:val="single" w:sz="8" w:space="0" w:color="000000"/>
            </w:tcBorders>
            <w:vAlign w:val="bottom"/>
          </w:tcPr>
          <w:p w14:paraId="094E47FB"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134,708</w:t>
            </w:r>
          </w:p>
        </w:tc>
        <w:tc>
          <w:tcPr>
            <w:tcW w:w="576" w:type="pct"/>
            <w:tcBorders>
              <w:top w:val="single" w:sz="4" w:space="0" w:color="000000"/>
              <w:bottom w:val="single" w:sz="8" w:space="0" w:color="000000"/>
            </w:tcBorders>
            <w:vAlign w:val="bottom"/>
          </w:tcPr>
          <w:p w14:paraId="1B2C0CE7" w14:textId="77777777" w:rsidR="00587444" w:rsidRPr="00587444" w:rsidRDefault="00587444" w:rsidP="00587444">
            <w:pPr>
              <w:suppressAutoHyphens w:val="0"/>
              <w:autoSpaceDN/>
              <w:spacing w:line="240" w:lineRule="exac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14,555,678</w:t>
            </w:r>
          </w:p>
        </w:tc>
        <w:tc>
          <w:tcPr>
            <w:tcW w:w="650" w:type="pct"/>
            <w:tcBorders>
              <w:top w:val="single" w:sz="4" w:space="0" w:color="000000"/>
              <w:bottom w:val="single" w:sz="8" w:space="0" w:color="000000"/>
            </w:tcBorders>
            <w:vAlign w:val="bottom"/>
          </w:tcPr>
          <w:p w14:paraId="03F7AD8C"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14,504,485*</w:t>
            </w:r>
          </w:p>
        </w:tc>
        <w:tc>
          <w:tcPr>
            <w:tcW w:w="574" w:type="pct"/>
            <w:tcBorders>
              <w:top w:val="single" w:sz="4" w:space="0" w:color="000000"/>
              <w:bottom w:val="single" w:sz="8" w:space="0" w:color="000000"/>
            </w:tcBorders>
            <w:vAlign w:val="bottom"/>
          </w:tcPr>
          <w:p w14:paraId="4FC98D1B"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29,060,163</w:t>
            </w:r>
          </w:p>
        </w:tc>
      </w:tr>
      <w:tr w:rsidR="00587444" w:rsidRPr="00587444" w14:paraId="6569D6F5" w14:textId="77777777" w:rsidTr="00B7396E">
        <w:trPr>
          <w:trHeight w:val="97"/>
        </w:trPr>
        <w:tc>
          <w:tcPr>
            <w:tcW w:w="1512" w:type="pct"/>
            <w:vAlign w:val="bottom"/>
          </w:tcPr>
          <w:p w14:paraId="165226FB"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7"/>
                <w:szCs w:val="17"/>
              </w:rPr>
            </w:pPr>
          </w:p>
        </w:tc>
        <w:tc>
          <w:tcPr>
            <w:tcW w:w="531" w:type="pct"/>
            <w:tcBorders>
              <w:top w:val="single" w:sz="12" w:space="0" w:color="auto"/>
            </w:tcBorders>
            <w:vAlign w:val="bottom"/>
          </w:tcPr>
          <w:p w14:paraId="68AE2FE5" w14:textId="77777777" w:rsidR="00587444" w:rsidRPr="00587444" w:rsidRDefault="00587444" w:rsidP="00587444">
            <w:pPr>
              <w:suppressAutoHyphens w:val="0"/>
              <w:autoSpaceDN/>
              <w:spacing w:line="240" w:lineRule="exact"/>
              <w:jc w:val="right"/>
              <w:rPr>
                <w:rFonts w:ascii="Arial" w:hAnsi="Arial" w:cs="Arial"/>
                <w:b/>
                <w:bCs/>
                <w:sz w:val="17"/>
                <w:szCs w:val="17"/>
              </w:rPr>
            </w:pPr>
          </w:p>
        </w:tc>
        <w:tc>
          <w:tcPr>
            <w:tcW w:w="576" w:type="pct"/>
            <w:tcBorders>
              <w:top w:val="single" w:sz="12" w:space="0" w:color="auto"/>
            </w:tcBorders>
            <w:vAlign w:val="bottom"/>
          </w:tcPr>
          <w:p w14:paraId="7D704452" w14:textId="77777777" w:rsidR="00587444" w:rsidRPr="00587444" w:rsidRDefault="00587444" w:rsidP="00587444">
            <w:pPr>
              <w:suppressAutoHyphens w:val="0"/>
              <w:autoSpaceDN/>
              <w:spacing w:line="240" w:lineRule="exact"/>
              <w:jc w:val="right"/>
              <w:rPr>
                <w:rFonts w:ascii="Arial" w:hAnsi="Arial" w:cs="Arial"/>
                <w:b/>
                <w:bCs/>
                <w:sz w:val="17"/>
                <w:szCs w:val="17"/>
              </w:rPr>
            </w:pPr>
          </w:p>
        </w:tc>
        <w:tc>
          <w:tcPr>
            <w:tcW w:w="581" w:type="pct"/>
            <w:tcBorders>
              <w:top w:val="single" w:sz="12" w:space="0" w:color="auto"/>
            </w:tcBorders>
            <w:vAlign w:val="bottom"/>
          </w:tcPr>
          <w:p w14:paraId="56F9FFB7" w14:textId="77777777" w:rsidR="00587444" w:rsidRPr="00587444" w:rsidRDefault="00587444" w:rsidP="00587444">
            <w:pPr>
              <w:suppressAutoHyphens w:val="0"/>
              <w:autoSpaceDN/>
              <w:spacing w:line="240" w:lineRule="exact"/>
              <w:jc w:val="right"/>
              <w:rPr>
                <w:rFonts w:ascii="Arial" w:hAnsi="Arial" w:cs="Arial"/>
                <w:b/>
                <w:bCs/>
                <w:sz w:val="17"/>
                <w:szCs w:val="17"/>
              </w:rPr>
            </w:pPr>
          </w:p>
        </w:tc>
        <w:tc>
          <w:tcPr>
            <w:tcW w:w="576" w:type="pct"/>
            <w:tcBorders>
              <w:top w:val="single" w:sz="12" w:space="0" w:color="auto"/>
            </w:tcBorders>
            <w:vAlign w:val="bottom"/>
          </w:tcPr>
          <w:p w14:paraId="4FD3E81F" w14:textId="77777777" w:rsidR="00587444" w:rsidRPr="00587444" w:rsidRDefault="00587444" w:rsidP="00587444">
            <w:pPr>
              <w:suppressAutoHyphens w:val="0"/>
              <w:autoSpaceDN/>
              <w:spacing w:line="240" w:lineRule="exact"/>
              <w:jc w:val="right"/>
              <w:rPr>
                <w:rFonts w:ascii="Arial" w:hAnsi="Arial" w:cs="Arial"/>
                <w:b/>
                <w:bCs/>
                <w:sz w:val="17"/>
                <w:szCs w:val="17"/>
              </w:rPr>
            </w:pPr>
          </w:p>
        </w:tc>
        <w:tc>
          <w:tcPr>
            <w:tcW w:w="650" w:type="pct"/>
            <w:tcBorders>
              <w:top w:val="single" w:sz="12" w:space="0" w:color="auto"/>
            </w:tcBorders>
            <w:vAlign w:val="bottom"/>
          </w:tcPr>
          <w:p w14:paraId="0F7CC289" w14:textId="77777777" w:rsidR="00587444" w:rsidRPr="00587444" w:rsidRDefault="00587444" w:rsidP="00587444">
            <w:pPr>
              <w:suppressAutoHyphens w:val="0"/>
              <w:autoSpaceDN/>
              <w:spacing w:line="240" w:lineRule="exact"/>
              <w:jc w:val="right"/>
              <w:rPr>
                <w:rFonts w:ascii="Arial" w:hAnsi="Arial" w:cs="Arial"/>
                <w:b/>
                <w:bCs/>
                <w:sz w:val="17"/>
                <w:szCs w:val="17"/>
              </w:rPr>
            </w:pPr>
          </w:p>
        </w:tc>
        <w:tc>
          <w:tcPr>
            <w:tcW w:w="574" w:type="pct"/>
            <w:tcBorders>
              <w:top w:val="single" w:sz="12" w:space="0" w:color="auto"/>
            </w:tcBorders>
            <w:vAlign w:val="bottom"/>
          </w:tcPr>
          <w:p w14:paraId="403FAA02" w14:textId="77777777" w:rsidR="00587444" w:rsidRPr="00587444" w:rsidRDefault="00587444" w:rsidP="00587444">
            <w:pPr>
              <w:suppressAutoHyphens w:val="0"/>
              <w:autoSpaceDN/>
              <w:spacing w:line="240" w:lineRule="exact"/>
              <w:jc w:val="right"/>
              <w:rPr>
                <w:rFonts w:ascii="Arial" w:hAnsi="Arial" w:cs="Arial"/>
                <w:b/>
                <w:bCs/>
                <w:sz w:val="17"/>
                <w:szCs w:val="17"/>
              </w:rPr>
            </w:pPr>
          </w:p>
        </w:tc>
      </w:tr>
      <w:tr w:rsidR="00587444" w:rsidRPr="00587444" w14:paraId="1E082CDF" w14:textId="77777777" w:rsidTr="00B7396E">
        <w:trPr>
          <w:trHeight w:val="277"/>
        </w:trPr>
        <w:tc>
          <w:tcPr>
            <w:tcW w:w="1512" w:type="pct"/>
            <w:vAlign w:val="bottom"/>
          </w:tcPr>
          <w:p w14:paraId="286852BE"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7"/>
                <w:szCs w:val="17"/>
              </w:rPr>
            </w:pPr>
            <w:bookmarkStart w:id="1322" w:name="_Toc4062826"/>
            <w:r w:rsidRPr="00587444">
              <w:rPr>
                <w:rFonts w:ascii="Arial" w:hAnsi="Arial" w:cs="Arial"/>
                <w:b/>
                <w:bCs/>
                <w:sz w:val="17"/>
                <w:szCs w:val="17"/>
              </w:rPr>
              <w:t>Liabilities</w:t>
            </w:r>
            <w:bookmarkEnd w:id="1322"/>
            <w:r w:rsidRPr="00587444">
              <w:rPr>
                <w:rFonts w:ascii="Arial" w:hAnsi="Arial" w:cs="Arial"/>
                <w:b/>
                <w:bCs/>
                <w:sz w:val="17"/>
                <w:szCs w:val="17"/>
              </w:rPr>
              <w:t xml:space="preserve"> </w:t>
            </w:r>
          </w:p>
        </w:tc>
        <w:tc>
          <w:tcPr>
            <w:tcW w:w="531" w:type="pct"/>
            <w:shd w:val="clear" w:color="auto" w:fill="auto"/>
            <w:vAlign w:val="bottom"/>
          </w:tcPr>
          <w:p w14:paraId="453AFF6A" w14:textId="77777777" w:rsidR="00587444" w:rsidRPr="00587444" w:rsidRDefault="00587444" w:rsidP="00587444">
            <w:pPr>
              <w:autoSpaceDN/>
              <w:spacing w:line="240" w:lineRule="exact"/>
              <w:ind w:left="-123"/>
              <w:jc w:val="right"/>
              <w:rPr>
                <w:rFonts w:ascii="Arial" w:eastAsia="Calibri" w:hAnsi="Arial" w:cs="Arial"/>
                <w:spacing w:val="-2"/>
                <w:sz w:val="17"/>
                <w:szCs w:val="17"/>
              </w:rPr>
            </w:pPr>
          </w:p>
        </w:tc>
        <w:tc>
          <w:tcPr>
            <w:tcW w:w="576" w:type="pct"/>
            <w:shd w:val="clear" w:color="auto" w:fill="auto"/>
            <w:vAlign w:val="bottom"/>
          </w:tcPr>
          <w:p w14:paraId="03656EC9" w14:textId="77777777" w:rsidR="00587444" w:rsidRPr="00587444" w:rsidRDefault="00587444" w:rsidP="00587444">
            <w:pPr>
              <w:autoSpaceDN/>
              <w:spacing w:line="240" w:lineRule="exact"/>
              <w:jc w:val="right"/>
              <w:rPr>
                <w:rFonts w:ascii="Arial" w:eastAsia="Calibri" w:hAnsi="Arial" w:cs="Arial"/>
                <w:spacing w:val="-2"/>
                <w:sz w:val="17"/>
                <w:szCs w:val="17"/>
              </w:rPr>
            </w:pPr>
          </w:p>
        </w:tc>
        <w:tc>
          <w:tcPr>
            <w:tcW w:w="581" w:type="pct"/>
            <w:shd w:val="clear" w:color="auto" w:fill="auto"/>
            <w:vAlign w:val="bottom"/>
          </w:tcPr>
          <w:p w14:paraId="6557D05C" w14:textId="77777777" w:rsidR="00587444" w:rsidRPr="00587444" w:rsidRDefault="00587444" w:rsidP="00587444">
            <w:pPr>
              <w:autoSpaceDN/>
              <w:spacing w:line="240" w:lineRule="exact"/>
              <w:jc w:val="right"/>
              <w:rPr>
                <w:rFonts w:ascii="Arial" w:eastAsia="Calibri" w:hAnsi="Arial" w:cs="Arial"/>
                <w:spacing w:val="-2"/>
                <w:sz w:val="17"/>
                <w:szCs w:val="17"/>
              </w:rPr>
            </w:pPr>
          </w:p>
        </w:tc>
        <w:tc>
          <w:tcPr>
            <w:tcW w:w="576" w:type="pct"/>
            <w:shd w:val="clear" w:color="auto" w:fill="auto"/>
            <w:vAlign w:val="bottom"/>
          </w:tcPr>
          <w:p w14:paraId="74E1543A" w14:textId="77777777" w:rsidR="00587444" w:rsidRPr="00587444" w:rsidRDefault="00587444" w:rsidP="00587444">
            <w:pPr>
              <w:autoSpaceDN/>
              <w:spacing w:line="240" w:lineRule="exact"/>
              <w:jc w:val="right"/>
              <w:rPr>
                <w:rFonts w:ascii="Arial" w:eastAsia="Calibri" w:hAnsi="Arial" w:cs="Arial"/>
                <w:spacing w:val="-2"/>
                <w:sz w:val="17"/>
                <w:szCs w:val="17"/>
              </w:rPr>
            </w:pPr>
          </w:p>
        </w:tc>
        <w:tc>
          <w:tcPr>
            <w:tcW w:w="650" w:type="pct"/>
            <w:shd w:val="clear" w:color="auto" w:fill="auto"/>
            <w:vAlign w:val="bottom"/>
          </w:tcPr>
          <w:p w14:paraId="03692A1D" w14:textId="77777777" w:rsidR="00587444" w:rsidRPr="00587444" w:rsidRDefault="00587444" w:rsidP="00587444">
            <w:pPr>
              <w:autoSpaceDN/>
              <w:spacing w:line="240" w:lineRule="exact"/>
              <w:jc w:val="right"/>
              <w:rPr>
                <w:rFonts w:ascii="Arial" w:eastAsia="Calibri" w:hAnsi="Arial" w:cs="Arial"/>
                <w:spacing w:val="-2"/>
                <w:sz w:val="17"/>
                <w:szCs w:val="17"/>
              </w:rPr>
            </w:pPr>
          </w:p>
        </w:tc>
        <w:tc>
          <w:tcPr>
            <w:tcW w:w="574" w:type="pct"/>
            <w:shd w:val="clear" w:color="auto" w:fill="auto"/>
            <w:vAlign w:val="bottom"/>
          </w:tcPr>
          <w:p w14:paraId="74814385" w14:textId="77777777" w:rsidR="00587444" w:rsidRPr="00587444" w:rsidRDefault="00587444" w:rsidP="00587444">
            <w:pPr>
              <w:suppressAutoHyphens w:val="0"/>
              <w:autoSpaceDN/>
              <w:spacing w:line="240" w:lineRule="exact"/>
              <w:jc w:val="right"/>
              <w:rPr>
                <w:rFonts w:ascii="Arial" w:eastAsia="Calibri" w:hAnsi="Arial" w:cs="Arial"/>
                <w:b/>
                <w:sz w:val="17"/>
                <w:szCs w:val="17"/>
              </w:rPr>
            </w:pPr>
          </w:p>
        </w:tc>
      </w:tr>
      <w:tr w:rsidR="00587444" w:rsidRPr="00587444" w14:paraId="58DFBB6E" w14:textId="77777777" w:rsidTr="00B7396E">
        <w:trPr>
          <w:trHeight w:val="254"/>
        </w:trPr>
        <w:tc>
          <w:tcPr>
            <w:tcW w:w="1512" w:type="pct"/>
            <w:vAlign w:val="bottom"/>
          </w:tcPr>
          <w:p w14:paraId="3AAE1BB0"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bookmarkStart w:id="1323" w:name="_Toc4062827"/>
            <w:r w:rsidRPr="00587444">
              <w:rPr>
                <w:rFonts w:ascii="Arial" w:hAnsi="Arial" w:cs="Arial"/>
                <w:sz w:val="17"/>
                <w:szCs w:val="17"/>
              </w:rPr>
              <w:t>Deposits from customers</w:t>
            </w:r>
            <w:bookmarkEnd w:id="1323"/>
            <w:r w:rsidRPr="00587444">
              <w:rPr>
                <w:rFonts w:ascii="Arial" w:hAnsi="Arial" w:cs="Arial"/>
                <w:sz w:val="17"/>
                <w:szCs w:val="17"/>
              </w:rPr>
              <w:t xml:space="preserve"> </w:t>
            </w:r>
          </w:p>
        </w:tc>
        <w:tc>
          <w:tcPr>
            <w:tcW w:w="531" w:type="pct"/>
            <w:tcBorders>
              <w:top w:val="nil"/>
              <w:left w:val="nil"/>
              <w:bottom w:val="nil"/>
              <w:right w:val="nil"/>
            </w:tcBorders>
            <w:vAlign w:val="bottom"/>
          </w:tcPr>
          <w:p w14:paraId="4468FD03"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7,558</w:t>
            </w:r>
          </w:p>
        </w:tc>
        <w:tc>
          <w:tcPr>
            <w:tcW w:w="576" w:type="pct"/>
            <w:tcBorders>
              <w:top w:val="nil"/>
              <w:left w:val="nil"/>
              <w:bottom w:val="nil"/>
              <w:right w:val="nil"/>
            </w:tcBorders>
            <w:vAlign w:val="bottom"/>
          </w:tcPr>
          <w:p w14:paraId="0ABF4046"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272,376</w:t>
            </w:r>
          </w:p>
        </w:tc>
        <w:tc>
          <w:tcPr>
            <w:tcW w:w="581" w:type="pct"/>
            <w:tcBorders>
              <w:top w:val="nil"/>
              <w:left w:val="nil"/>
              <w:bottom w:val="nil"/>
              <w:right w:val="nil"/>
            </w:tcBorders>
            <w:vAlign w:val="bottom"/>
          </w:tcPr>
          <w:p w14:paraId="66116B49"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w:t>
            </w:r>
          </w:p>
        </w:tc>
        <w:tc>
          <w:tcPr>
            <w:tcW w:w="576" w:type="pct"/>
            <w:tcBorders>
              <w:top w:val="nil"/>
              <w:left w:val="nil"/>
              <w:bottom w:val="nil"/>
              <w:right w:val="nil"/>
            </w:tcBorders>
            <w:vAlign w:val="bottom"/>
          </w:tcPr>
          <w:p w14:paraId="454DAFA7"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279,934</w:t>
            </w:r>
          </w:p>
        </w:tc>
        <w:tc>
          <w:tcPr>
            <w:tcW w:w="650" w:type="pct"/>
            <w:tcBorders>
              <w:top w:val="nil"/>
              <w:left w:val="nil"/>
              <w:bottom w:val="nil"/>
              <w:right w:val="nil"/>
            </w:tcBorders>
            <w:vAlign w:val="bottom"/>
          </w:tcPr>
          <w:p w14:paraId="5058753B"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744,689</w:t>
            </w:r>
          </w:p>
        </w:tc>
        <w:tc>
          <w:tcPr>
            <w:tcW w:w="574" w:type="pct"/>
            <w:tcBorders>
              <w:top w:val="nil"/>
              <w:left w:val="nil"/>
              <w:bottom w:val="nil"/>
            </w:tcBorders>
            <w:vAlign w:val="bottom"/>
          </w:tcPr>
          <w:p w14:paraId="6C9630EC"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1,024,623</w:t>
            </w:r>
          </w:p>
        </w:tc>
      </w:tr>
      <w:tr w:rsidR="00587444" w:rsidRPr="00587444" w14:paraId="4F5C104C" w14:textId="77777777" w:rsidTr="00B7396E">
        <w:trPr>
          <w:trHeight w:val="239"/>
        </w:trPr>
        <w:tc>
          <w:tcPr>
            <w:tcW w:w="1512" w:type="pct"/>
            <w:vAlign w:val="bottom"/>
          </w:tcPr>
          <w:p w14:paraId="1A2641CE"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bookmarkStart w:id="1324" w:name="_Toc4062828"/>
            <w:r w:rsidRPr="00587444">
              <w:rPr>
                <w:rFonts w:ascii="Arial" w:hAnsi="Arial" w:cs="Arial"/>
                <w:sz w:val="17"/>
                <w:szCs w:val="17"/>
              </w:rPr>
              <w:t>Borrowings</w:t>
            </w:r>
            <w:bookmarkEnd w:id="1324"/>
            <w:r w:rsidRPr="00587444">
              <w:rPr>
                <w:rFonts w:ascii="Arial" w:hAnsi="Arial" w:cs="Arial"/>
                <w:sz w:val="17"/>
                <w:szCs w:val="17"/>
              </w:rPr>
              <w:t xml:space="preserve"> </w:t>
            </w:r>
          </w:p>
        </w:tc>
        <w:tc>
          <w:tcPr>
            <w:tcW w:w="531" w:type="pct"/>
            <w:tcBorders>
              <w:top w:val="nil"/>
              <w:left w:val="nil"/>
              <w:bottom w:val="nil"/>
              <w:right w:val="nil"/>
            </w:tcBorders>
            <w:vAlign w:val="bottom"/>
          </w:tcPr>
          <w:p w14:paraId="48B74351"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180,116</w:t>
            </w:r>
          </w:p>
        </w:tc>
        <w:tc>
          <w:tcPr>
            <w:tcW w:w="576" w:type="pct"/>
            <w:tcBorders>
              <w:top w:val="nil"/>
              <w:left w:val="nil"/>
              <w:bottom w:val="nil"/>
              <w:right w:val="nil"/>
            </w:tcBorders>
            <w:vAlign w:val="bottom"/>
          </w:tcPr>
          <w:p w14:paraId="399E5F34"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13,820,173</w:t>
            </w:r>
          </w:p>
        </w:tc>
        <w:tc>
          <w:tcPr>
            <w:tcW w:w="581" w:type="pct"/>
            <w:tcBorders>
              <w:top w:val="nil"/>
              <w:left w:val="nil"/>
              <w:bottom w:val="nil"/>
              <w:right w:val="nil"/>
            </w:tcBorders>
            <w:vAlign w:val="bottom"/>
          </w:tcPr>
          <w:p w14:paraId="0BB7337F"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w:t>
            </w:r>
          </w:p>
        </w:tc>
        <w:tc>
          <w:tcPr>
            <w:tcW w:w="576" w:type="pct"/>
            <w:tcBorders>
              <w:top w:val="nil"/>
              <w:left w:val="nil"/>
              <w:bottom w:val="nil"/>
              <w:right w:val="nil"/>
            </w:tcBorders>
            <w:vAlign w:val="bottom"/>
          </w:tcPr>
          <w:p w14:paraId="0E3F4E4E"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14,000,289</w:t>
            </w:r>
          </w:p>
        </w:tc>
        <w:tc>
          <w:tcPr>
            <w:tcW w:w="650" w:type="pct"/>
            <w:tcBorders>
              <w:top w:val="nil"/>
              <w:left w:val="nil"/>
              <w:bottom w:val="nil"/>
              <w:right w:val="nil"/>
            </w:tcBorders>
            <w:vAlign w:val="bottom"/>
          </w:tcPr>
          <w:p w14:paraId="2DABBE89"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2,500,987</w:t>
            </w:r>
          </w:p>
        </w:tc>
        <w:tc>
          <w:tcPr>
            <w:tcW w:w="574" w:type="pct"/>
            <w:tcBorders>
              <w:top w:val="nil"/>
              <w:left w:val="nil"/>
              <w:bottom w:val="nil"/>
            </w:tcBorders>
            <w:vAlign w:val="bottom"/>
          </w:tcPr>
          <w:p w14:paraId="30B94A17"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16,501,276</w:t>
            </w:r>
          </w:p>
        </w:tc>
      </w:tr>
      <w:tr w:rsidR="00587444" w:rsidRPr="00587444" w14:paraId="4295D889" w14:textId="77777777" w:rsidTr="00B7396E">
        <w:trPr>
          <w:trHeight w:val="254"/>
        </w:trPr>
        <w:tc>
          <w:tcPr>
            <w:tcW w:w="1512" w:type="pct"/>
            <w:vAlign w:val="bottom"/>
          </w:tcPr>
          <w:p w14:paraId="6C97383A" w14:textId="77777777" w:rsidR="001D0F8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Provisions for guarantees, </w:t>
            </w:r>
          </w:p>
          <w:p w14:paraId="19EA1971" w14:textId="7CA1F73F"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commitments and other liabilities</w:t>
            </w:r>
          </w:p>
        </w:tc>
        <w:tc>
          <w:tcPr>
            <w:tcW w:w="531" w:type="pct"/>
            <w:tcBorders>
              <w:top w:val="nil"/>
              <w:left w:val="nil"/>
              <w:bottom w:val="nil"/>
              <w:right w:val="nil"/>
            </w:tcBorders>
            <w:vAlign w:val="bottom"/>
          </w:tcPr>
          <w:p w14:paraId="44DEB1C2" w14:textId="77777777" w:rsidR="00587444" w:rsidRPr="00587444" w:rsidRDefault="00587444" w:rsidP="00587444">
            <w:pPr>
              <w:suppressAutoHyphens w:val="0"/>
              <w:autoSpaceDN/>
              <w:spacing w:line="240" w:lineRule="exact"/>
              <w:jc w:val="right"/>
              <w:rPr>
                <w:rFonts w:ascii="Arial" w:hAnsi="Arial" w:cs="Arial"/>
                <w:sz w:val="17"/>
                <w:szCs w:val="17"/>
              </w:rPr>
            </w:pPr>
            <w:r w:rsidRPr="00587444">
              <w:rPr>
                <w:rFonts w:ascii="Arial" w:eastAsia="Arial Unicode MS" w:hAnsi="Arial" w:cs="Arial"/>
                <w:color w:val="000000"/>
                <w:sz w:val="17"/>
                <w:szCs w:val="17"/>
                <w:lang w:val="hr-HR"/>
              </w:rPr>
              <w:t>-</w:t>
            </w:r>
          </w:p>
        </w:tc>
        <w:tc>
          <w:tcPr>
            <w:tcW w:w="576" w:type="pct"/>
            <w:tcBorders>
              <w:top w:val="nil"/>
              <w:left w:val="nil"/>
              <w:bottom w:val="nil"/>
              <w:right w:val="nil"/>
            </w:tcBorders>
            <w:vAlign w:val="bottom"/>
          </w:tcPr>
          <w:p w14:paraId="2E5631AD" w14:textId="77777777" w:rsidR="00587444" w:rsidRPr="00587444" w:rsidRDefault="00587444" w:rsidP="00587444">
            <w:pPr>
              <w:suppressAutoHyphens w:val="0"/>
              <w:autoSpaceDN/>
              <w:spacing w:line="240" w:lineRule="exact"/>
              <w:jc w:val="right"/>
              <w:rPr>
                <w:rFonts w:ascii="Arial" w:hAnsi="Arial" w:cs="Arial"/>
                <w:sz w:val="17"/>
                <w:szCs w:val="17"/>
              </w:rPr>
            </w:pPr>
            <w:r w:rsidRPr="00587444">
              <w:rPr>
                <w:rFonts w:ascii="Arial" w:eastAsia="Arial Unicode MS" w:hAnsi="Arial" w:cs="Arial"/>
                <w:color w:val="000000"/>
                <w:sz w:val="17"/>
                <w:szCs w:val="17"/>
                <w:lang w:val="hr-HR"/>
              </w:rPr>
              <w:t>25,778</w:t>
            </w:r>
          </w:p>
        </w:tc>
        <w:tc>
          <w:tcPr>
            <w:tcW w:w="581" w:type="pct"/>
            <w:tcBorders>
              <w:top w:val="nil"/>
              <w:left w:val="nil"/>
              <w:bottom w:val="nil"/>
              <w:right w:val="nil"/>
            </w:tcBorders>
            <w:vAlign w:val="bottom"/>
          </w:tcPr>
          <w:p w14:paraId="3BBC774A" w14:textId="77777777" w:rsidR="00587444" w:rsidRPr="00587444" w:rsidRDefault="00587444" w:rsidP="00587444">
            <w:pPr>
              <w:suppressAutoHyphens w:val="0"/>
              <w:autoSpaceDN/>
              <w:spacing w:line="240" w:lineRule="exact"/>
              <w:jc w:val="right"/>
              <w:rPr>
                <w:rFonts w:ascii="Arial" w:hAnsi="Arial" w:cs="Arial"/>
                <w:sz w:val="17"/>
                <w:szCs w:val="17"/>
              </w:rPr>
            </w:pPr>
            <w:r w:rsidRPr="00587444">
              <w:rPr>
                <w:rFonts w:ascii="Arial" w:eastAsia="Arial Unicode MS" w:hAnsi="Arial" w:cs="Arial"/>
                <w:color w:val="000000"/>
                <w:sz w:val="17"/>
                <w:szCs w:val="17"/>
                <w:lang w:val="hr-HR"/>
              </w:rPr>
              <w:t>12,091</w:t>
            </w:r>
          </w:p>
        </w:tc>
        <w:tc>
          <w:tcPr>
            <w:tcW w:w="576" w:type="pct"/>
            <w:tcBorders>
              <w:top w:val="nil"/>
              <w:left w:val="nil"/>
              <w:bottom w:val="nil"/>
              <w:right w:val="nil"/>
            </w:tcBorders>
            <w:vAlign w:val="bottom"/>
          </w:tcPr>
          <w:p w14:paraId="483929A0" w14:textId="77777777" w:rsidR="00587444" w:rsidRPr="00587444" w:rsidRDefault="00587444" w:rsidP="00587444">
            <w:pPr>
              <w:suppressAutoHyphens w:val="0"/>
              <w:autoSpaceDN/>
              <w:spacing w:line="240" w:lineRule="exact"/>
              <w:jc w:val="right"/>
              <w:rPr>
                <w:rFonts w:ascii="Arial" w:hAnsi="Arial" w:cs="Arial"/>
                <w:sz w:val="17"/>
                <w:szCs w:val="17"/>
              </w:rPr>
            </w:pPr>
            <w:r w:rsidRPr="00587444">
              <w:rPr>
                <w:rFonts w:ascii="Arial" w:eastAsia="Arial Unicode MS" w:hAnsi="Arial" w:cs="Arial"/>
                <w:color w:val="000000"/>
                <w:sz w:val="17"/>
                <w:szCs w:val="17"/>
                <w:lang w:val="hr-HR"/>
              </w:rPr>
              <w:t>37,869</w:t>
            </w:r>
          </w:p>
        </w:tc>
        <w:tc>
          <w:tcPr>
            <w:tcW w:w="650" w:type="pct"/>
            <w:tcBorders>
              <w:top w:val="nil"/>
              <w:left w:val="nil"/>
              <w:bottom w:val="nil"/>
              <w:right w:val="nil"/>
            </w:tcBorders>
            <w:vAlign w:val="bottom"/>
          </w:tcPr>
          <w:p w14:paraId="53FEAD80" w14:textId="77777777" w:rsidR="00587444" w:rsidRPr="00587444" w:rsidRDefault="00587444" w:rsidP="00587444">
            <w:pPr>
              <w:suppressAutoHyphens w:val="0"/>
              <w:autoSpaceDN/>
              <w:spacing w:line="240" w:lineRule="exact"/>
              <w:jc w:val="right"/>
              <w:rPr>
                <w:rFonts w:ascii="Arial" w:hAnsi="Arial" w:cs="Arial"/>
                <w:sz w:val="17"/>
                <w:szCs w:val="17"/>
              </w:rPr>
            </w:pPr>
            <w:r w:rsidRPr="00587444">
              <w:rPr>
                <w:rFonts w:ascii="Arial" w:eastAsia="Arial Unicode MS" w:hAnsi="Arial" w:cs="Arial"/>
                <w:color w:val="000000"/>
                <w:sz w:val="17"/>
                <w:szCs w:val="17"/>
                <w:lang w:val="hr-HR"/>
              </w:rPr>
              <w:t>104,846</w:t>
            </w:r>
          </w:p>
        </w:tc>
        <w:tc>
          <w:tcPr>
            <w:tcW w:w="574" w:type="pct"/>
            <w:tcBorders>
              <w:top w:val="nil"/>
              <w:left w:val="nil"/>
              <w:bottom w:val="nil"/>
            </w:tcBorders>
            <w:vAlign w:val="bottom"/>
          </w:tcPr>
          <w:p w14:paraId="6C52E130" w14:textId="77777777" w:rsidR="00587444" w:rsidRPr="00587444" w:rsidRDefault="00587444" w:rsidP="00587444">
            <w:pPr>
              <w:suppressAutoHyphens w:val="0"/>
              <w:autoSpaceDN/>
              <w:spacing w:line="240" w:lineRule="exact"/>
              <w:jc w:val="right"/>
              <w:rPr>
                <w:rFonts w:ascii="Arial" w:hAnsi="Arial" w:cs="Arial"/>
                <w:sz w:val="17"/>
                <w:szCs w:val="17"/>
              </w:rPr>
            </w:pPr>
            <w:r w:rsidRPr="00587444">
              <w:rPr>
                <w:rFonts w:ascii="Arial" w:eastAsia="Arial Unicode MS" w:hAnsi="Arial" w:cs="Arial"/>
                <w:color w:val="000000"/>
                <w:sz w:val="17"/>
                <w:szCs w:val="17"/>
                <w:lang w:val="hr-HR"/>
              </w:rPr>
              <w:t>142,715</w:t>
            </w:r>
          </w:p>
        </w:tc>
      </w:tr>
      <w:tr w:rsidR="00587444" w:rsidRPr="00587444" w14:paraId="16484294" w14:textId="77777777" w:rsidTr="00B7396E">
        <w:trPr>
          <w:trHeight w:val="150"/>
        </w:trPr>
        <w:tc>
          <w:tcPr>
            <w:tcW w:w="1512" w:type="pct"/>
            <w:vAlign w:val="bottom"/>
          </w:tcPr>
          <w:p w14:paraId="09A0E168"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bookmarkStart w:id="1325" w:name="_Toc4062830"/>
            <w:r w:rsidRPr="00587444">
              <w:rPr>
                <w:rFonts w:ascii="Arial" w:hAnsi="Arial" w:cs="Arial"/>
                <w:sz w:val="17"/>
                <w:szCs w:val="17"/>
              </w:rPr>
              <w:t>Other liabilities</w:t>
            </w:r>
            <w:bookmarkEnd w:id="1325"/>
            <w:r w:rsidRPr="00587444">
              <w:rPr>
                <w:rFonts w:ascii="Arial" w:hAnsi="Arial" w:cs="Arial"/>
                <w:sz w:val="17"/>
                <w:szCs w:val="17"/>
              </w:rPr>
              <w:t xml:space="preserve"> </w:t>
            </w:r>
          </w:p>
        </w:tc>
        <w:tc>
          <w:tcPr>
            <w:tcW w:w="531" w:type="pct"/>
            <w:tcBorders>
              <w:top w:val="nil"/>
              <w:left w:val="nil"/>
              <w:bottom w:val="single" w:sz="4" w:space="0" w:color="auto"/>
              <w:right w:val="nil"/>
            </w:tcBorders>
            <w:vAlign w:val="bottom"/>
          </w:tcPr>
          <w:p w14:paraId="7BF3F9E4"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223</w:t>
            </w:r>
          </w:p>
        </w:tc>
        <w:tc>
          <w:tcPr>
            <w:tcW w:w="576" w:type="pct"/>
            <w:tcBorders>
              <w:top w:val="nil"/>
              <w:left w:val="nil"/>
              <w:bottom w:val="single" w:sz="4" w:space="0" w:color="auto"/>
              <w:right w:val="nil"/>
            </w:tcBorders>
            <w:vAlign w:val="bottom"/>
          </w:tcPr>
          <w:p w14:paraId="59C698FC"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24,933</w:t>
            </w:r>
          </w:p>
        </w:tc>
        <w:tc>
          <w:tcPr>
            <w:tcW w:w="581" w:type="pct"/>
            <w:tcBorders>
              <w:top w:val="nil"/>
              <w:left w:val="nil"/>
              <w:bottom w:val="single" w:sz="4" w:space="0" w:color="auto"/>
              <w:right w:val="nil"/>
            </w:tcBorders>
            <w:vAlign w:val="bottom"/>
          </w:tcPr>
          <w:p w14:paraId="32E7F0D0"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54</w:t>
            </w:r>
          </w:p>
        </w:tc>
        <w:tc>
          <w:tcPr>
            <w:tcW w:w="576" w:type="pct"/>
            <w:tcBorders>
              <w:top w:val="nil"/>
              <w:left w:val="nil"/>
              <w:bottom w:val="single" w:sz="4" w:space="0" w:color="auto"/>
              <w:right w:val="nil"/>
            </w:tcBorders>
            <w:vAlign w:val="bottom"/>
          </w:tcPr>
          <w:p w14:paraId="070E194F"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25,210</w:t>
            </w:r>
          </w:p>
        </w:tc>
        <w:tc>
          <w:tcPr>
            <w:tcW w:w="650" w:type="pct"/>
            <w:tcBorders>
              <w:top w:val="nil"/>
              <w:left w:val="nil"/>
              <w:bottom w:val="single" w:sz="4" w:space="0" w:color="auto"/>
              <w:right w:val="nil"/>
            </w:tcBorders>
            <w:vAlign w:val="bottom"/>
          </w:tcPr>
          <w:p w14:paraId="42ED9296"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651,313</w:t>
            </w:r>
          </w:p>
        </w:tc>
        <w:tc>
          <w:tcPr>
            <w:tcW w:w="574" w:type="pct"/>
            <w:tcBorders>
              <w:top w:val="nil"/>
              <w:left w:val="nil"/>
              <w:bottom w:val="single" w:sz="4" w:space="0" w:color="auto"/>
            </w:tcBorders>
            <w:vAlign w:val="bottom"/>
          </w:tcPr>
          <w:p w14:paraId="2F1D68BF"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676,523</w:t>
            </w:r>
          </w:p>
        </w:tc>
      </w:tr>
      <w:tr w:rsidR="00587444" w:rsidRPr="00587444" w14:paraId="2135C593" w14:textId="77777777" w:rsidTr="00B7396E">
        <w:trPr>
          <w:trHeight w:val="333"/>
        </w:trPr>
        <w:tc>
          <w:tcPr>
            <w:tcW w:w="1512" w:type="pct"/>
            <w:vAlign w:val="bottom"/>
          </w:tcPr>
          <w:p w14:paraId="6D2EDD69"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7"/>
                <w:szCs w:val="17"/>
              </w:rPr>
            </w:pPr>
            <w:bookmarkStart w:id="1326" w:name="_Toc4062831"/>
            <w:r w:rsidRPr="00587444">
              <w:rPr>
                <w:rFonts w:ascii="Arial" w:hAnsi="Arial" w:cs="Arial"/>
                <w:b/>
                <w:bCs/>
                <w:sz w:val="17"/>
                <w:szCs w:val="17"/>
              </w:rPr>
              <w:t>Total liabilities</w:t>
            </w:r>
            <w:bookmarkEnd w:id="1326"/>
            <w:r w:rsidRPr="00587444">
              <w:rPr>
                <w:rFonts w:ascii="Arial" w:hAnsi="Arial" w:cs="Arial"/>
                <w:b/>
                <w:bCs/>
                <w:sz w:val="17"/>
                <w:szCs w:val="17"/>
              </w:rPr>
              <w:t xml:space="preserve"> </w:t>
            </w:r>
          </w:p>
        </w:tc>
        <w:tc>
          <w:tcPr>
            <w:tcW w:w="531" w:type="pct"/>
            <w:tcBorders>
              <w:top w:val="single" w:sz="4" w:space="0" w:color="auto"/>
              <w:left w:val="nil"/>
              <w:bottom w:val="single" w:sz="12" w:space="0" w:color="auto"/>
              <w:right w:val="nil"/>
            </w:tcBorders>
            <w:vAlign w:val="bottom"/>
          </w:tcPr>
          <w:p w14:paraId="39F10772"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187,897</w:t>
            </w:r>
          </w:p>
        </w:tc>
        <w:tc>
          <w:tcPr>
            <w:tcW w:w="576" w:type="pct"/>
            <w:tcBorders>
              <w:top w:val="single" w:sz="4" w:space="0" w:color="auto"/>
              <w:left w:val="nil"/>
              <w:bottom w:val="single" w:sz="12" w:space="0" w:color="auto"/>
              <w:right w:val="nil"/>
            </w:tcBorders>
            <w:vAlign w:val="bottom"/>
          </w:tcPr>
          <w:p w14:paraId="6EB77575" w14:textId="77777777" w:rsidR="00587444" w:rsidRPr="00587444" w:rsidRDefault="00587444" w:rsidP="00587444">
            <w:pPr>
              <w:suppressAutoHyphens w:val="0"/>
              <w:autoSpaceDN/>
              <w:spacing w:line="240" w:lineRule="exac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14,143,260</w:t>
            </w:r>
          </w:p>
        </w:tc>
        <w:tc>
          <w:tcPr>
            <w:tcW w:w="581" w:type="pct"/>
            <w:tcBorders>
              <w:top w:val="single" w:sz="4" w:space="0" w:color="auto"/>
              <w:left w:val="nil"/>
              <w:bottom w:val="single" w:sz="12" w:space="0" w:color="auto"/>
              <w:right w:val="nil"/>
            </w:tcBorders>
            <w:vAlign w:val="bottom"/>
          </w:tcPr>
          <w:p w14:paraId="0F21E991"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12,145</w:t>
            </w:r>
          </w:p>
        </w:tc>
        <w:tc>
          <w:tcPr>
            <w:tcW w:w="576" w:type="pct"/>
            <w:tcBorders>
              <w:top w:val="single" w:sz="4" w:space="0" w:color="auto"/>
              <w:left w:val="nil"/>
              <w:bottom w:val="single" w:sz="12" w:space="0" w:color="auto"/>
              <w:right w:val="nil"/>
            </w:tcBorders>
            <w:vAlign w:val="bottom"/>
          </w:tcPr>
          <w:p w14:paraId="230A0E0F"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14,343,302</w:t>
            </w:r>
          </w:p>
        </w:tc>
        <w:tc>
          <w:tcPr>
            <w:tcW w:w="650" w:type="pct"/>
            <w:tcBorders>
              <w:top w:val="single" w:sz="4" w:space="0" w:color="auto"/>
              <w:left w:val="nil"/>
              <w:bottom w:val="single" w:sz="12" w:space="0" w:color="auto"/>
              <w:right w:val="nil"/>
            </w:tcBorders>
            <w:vAlign w:val="bottom"/>
          </w:tcPr>
          <w:p w14:paraId="53CA19A2"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4,001,835</w:t>
            </w:r>
          </w:p>
        </w:tc>
        <w:tc>
          <w:tcPr>
            <w:tcW w:w="574" w:type="pct"/>
            <w:tcBorders>
              <w:top w:val="single" w:sz="4" w:space="0" w:color="auto"/>
              <w:left w:val="nil"/>
              <w:bottom w:val="single" w:sz="12" w:space="0" w:color="auto"/>
            </w:tcBorders>
            <w:vAlign w:val="bottom"/>
          </w:tcPr>
          <w:p w14:paraId="0B4640EF" w14:textId="77777777" w:rsidR="00587444" w:rsidRPr="00587444" w:rsidRDefault="00587444" w:rsidP="00587444">
            <w:pPr>
              <w:suppressAutoHyphens w:val="0"/>
              <w:autoSpaceDN/>
              <w:spacing w:line="240" w:lineRule="exac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18,345,137</w:t>
            </w:r>
          </w:p>
        </w:tc>
      </w:tr>
      <w:tr w:rsidR="00587444" w:rsidRPr="00587444" w14:paraId="5E6C7369" w14:textId="77777777" w:rsidTr="00B7396E">
        <w:trPr>
          <w:trHeight w:val="381"/>
        </w:trPr>
        <w:tc>
          <w:tcPr>
            <w:tcW w:w="1512" w:type="pct"/>
            <w:vAlign w:val="bottom"/>
          </w:tcPr>
          <w:p w14:paraId="26E96D73" w14:textId="77777777" w:rsidR="00587444" w:rsidRPr="00587444" w:rsidRDefault="00587444" w:rsidP="00587444">
            <w:pPr>
              <w:suppressAutoHyphens w:val="0"/>
              <w:autoSpaceDN/>
              <w:spacing w:line="240" w:lineRule="exact"/>
              <w:rPr>
                <w:rFonts w:ascii="Arial" w:eastAsia="Calibri" w:hAnsi="Arial" w:cs="Arial"/>
                <w:b/>
                <w:bCs/>
                <w:sz w:val="17"/>
                <w:szCs w:val="17"/>
              </w:rPr>
            </w:pPr>
            <w:r w:rsidRPr="00587444">
              <w:rPr>
                <w:rFonts w:ascii="Arial" w:eastAsia="Calibri" w:hAnsi="Arial" w:cs="Arial"/>
                <w:b/>
                <w:bCs/>
                <w:sz w:val="17"/>
                <w:szCs w:val="17"/>
              </w:rPr>
              <w:t>Currency gap</w:t>
            </w:r>
          </w:p>
        </w:tc>
        <w:tc>
          <w:tcPr>
            <w:tcW w:w="531" w:type="pct"/>
            <w:tcBorders>
              <w:top w:val="single" w:sz="12" w:space="0" w:color="auto"/>
              <w:left w:val="nil"/>
              <w:bottom w:val="single" w:sz="12" w:space="0" w:color="auto"/>
              <w:right w:val="nil"/>
            </w:tcBorders>
            <w:shd w:val="clear" w:color="000000" w:fill="auto"/>
            <w:vAlign w:val="bottom"/>
          </w:tcPr>
          <w:p w14:paraId="64188E78"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(3,591)</w:t>
            </w:r>
          </w:p>
        </w:tc>
        <w:tc>
          <w:tcPr>
            <w:tcW w:w="576" w:type="pct"/>
            <w:tcBorders>
              <w:top w:val="single" w:sz="12" w:space="0" w:color="auto"/>
              <w:left w:val="nil"/>
              <w:bottom w:val="single" w:sz="12" w:space="0" w:color="auto"/>
              <w:right w:val="nil"/>
            </w:tcBorders>
            <w:shd w:val="clear" w:color="000000" w:fill="auto"/>
            <w:vAlign w:val="bottom"/>
          </w:tcPr>
          <w:p w14:paraId="1D1E8C8E"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93,404</w:t>
            </w:r>
          </w:p>
        </w:tc>
        <w:tc>
          <w:tcPr>
            <w:tcW w:w="581" w:type="pct"/>
            <w:tcBorders>
              <w:top w:val="single" w:sz="12" w:space="0" w:color="auto"/>
              <w:left w:val="nil"/>
              <w:bottom w:val="single" w:sz="12" w:space="0" w:color="auto"/>
              <w:right w:val="nil"/>
            </w:tcBorders>
            <w:shd w:val="clear" w:color="000000" w:fill="auto"/>
            <w:vAlign w:val="bottom"/>
          </w:tcPr>
          <w:p w14:paraId="3802D9D6"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122,563</w:t>
            </w:r>
          </w:p>
        </w:tc>
        <w:tc>
          <w:tcPr>
            <w:tcW w:w="576" w:type="pct"/>
            <w:tcBorders>
              <w:top w:val="single" w:sz="12" w:space="0" w:color="auto"/>
              <w:left w:val="nil"/>
              <w:bottom w:val="single" w:sz="12" w:space="0" w:color="auto"/>
              <w:right w:val="nil"/>
            </w:tcBorders>
            <w:shd w:val="clear" w:color="000000" w:fill="auto"/>
            <w:vAlign w:val="bottom"/>
          </w:tcPr>
          <w:p w14:paraId="606BADB3"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212,376</w:t>
            </w:r>
          </w:p>
        </w:tc>
        <w:tc>
          <w:tcPr>
            <w:tcW w:w="650" w:type="pct"/>
            <w:tcBorders>
              <w:top w:val="single" w:sz="12" w:space="0" w:color="auto"/>
              <w:left w:val="nil"/>
              <w:bottom w:val="single" w:sz="12" w:space="0" w:color="auto"/>
              <w:right w:val="nil"/>
            </w:tcBorders>
            <w:shd w:val="clear" w:color="000000" w:fill="auto"/>
            <w:vAlign w:val="bottom"/>
          </w:tcPr>
          <w:p w14:paraId="1DF38665"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10,502,650</w:t>
            </w:r>
          </w:p>
        </w:tc>
        <w:tc>
          <w:tcPr>
            <w:tcW w:w="574" w:type="pct"/>
            <w:tcBorders>
              <w:top w:val="single" w:sz="12" w:space="0" w:color="auto"/>
              <w:left w:val="nil"/>
              <w:bottom w:val="single" w:sz="12" w:space="0" w:color="auto"/>
            </w:tcBorders>
            <w:shd w:val="clear" w:color="000000" w:fill="auto"/>
            <w:vAlign w:val="bottom"/>
          </w:tcPr>
          <w:p w14:paraId="2277866B"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10,715,026</w:t>
            </w:r>
          </w:p>
        </w:tc>
      </w:tr>
    </w:tbl>
    <w:p w14:paraId="01947A5C" w14:textId="77777777" w:rsidR="00587444" w:rsidRPr="00587444" w:rsidRDefault="00587444" w:rsidP="00587444">
      <w:pPr>
        <w:keepNext/>
        <w:suppressAutoHyphens w:val="0"/>
        <w:autoSpaceDN/>
        <w:jc w:val="both"/>
        <w:rPr>
          <w:rFonts w:ascii="Arial" w:hAnsi="Arial" w:cs="Arial"/>
          <w:sz w:val="20"/>
          <w:szCs w:val="20"/>
          <w:lang w:val="en-GB"/>
        </w:rPr>
      </w:pPr>
    </w:p>
    <w:p w14:paraId="3826CE86" w14:textId="77777777" w:rsidR="00587444" w:rsidRPr="00587444" w:rsidRDefault="00587444" w:rsidP="00587444">
      <w:pPr>
        <w:keepNext/>
        <w:suppressAutoHyphens w:val="0"/>
        <w:autoSpaceDN/>
        <w:jc w:val="both"/>
        <w:rPr>
          <w:rFonts w:ascii="Arial" w:hAnsi="Arial" w:cs="Arial"/>
          <w:sz w:val="20"/>
          <w:szCs w:val="20"/>
          <w:lang w:val="en-GB"/>
        </w:rPr>
      </w:pPr>
    </w:p>
    <w:p w14:paraId="43CDBFE0" w14:textId="77777777" w:rsidR="00587444" w:rsidRPr="00943B2E" w:rsidRDefault="00587444" w:rsidP="00587444">
      <w:pPr>
        <w:tabs>
          <w:tab w:val="right" w:pos="1202"/>
        </w:tabs>
        <w:suppressAutoHyphens w:val="0"/>
        <w:autoSpaceDN/>
        <w:jc w:val="both"/>
        <w:outlineLvl w:val="0"/>
        <w:rPr>
          <w:rFonts w:ascii="Arial" w:hAnsi="Arial" w:cs="Arial"/>
          <w:i/>
          <w:sz w:val="18"/>
          <w:szCs w:val="18"/>
        </w:rPr>
      </w:pPr>
      <w:bookmarkStart w:id="1327" w:name="_Toc4062832"/>
      <w:r w:rsidRPr="00943B2E">
        <w:rPr>
          <w:rFonts w:ascii="Arial" w:hAnsi="Arial" w:cs="Arial"/>
          <w:i/>
          <w:sz w:val="18"/>
          <w:szCs w:val="18"/>
        </w:rPr>
        <w:t>*Amounts linked to a one-way currency clause represent HRK 27,641 thousand.</w:t>
      </w:r>
      <w:bookmarkEnd w:id="1327"/>
      <w:r w:rsidRPr="00943B2E" w:rsidDel="00597E6E">
        <w:rPr>
          <w:rFonts w:ascii="Arial" w:hAnsi="Arial" w:cs="Arial"/>
          <w:i/>
          <w:sz w:val="18"/>
          <w:szCs w:val="18"/>
        </w:rPr>
        <w:t xml:space="preserve"> </w:t>
      </w:r>
    </w:p>
    <w:p w14:paraId="4746C778" w14:textId="77777777" w:rsidR="00587444" w:rsidRPr="00587444" w:rsidRDefault="00587444" w:rsidP="00587444">
      <w:pPr>
        <w:keepNext/>
        <w:suppressAutoHyphens w:val="0"/>
        <w:autoSpaceDN/>
        <w:jc w:val="both"/>
        <w:rPr>
          <w:rFonts w:ascii="Arial" w:hAnsi="Arial" w:cs="Arial"/>
          <w:sz w:val="20"/>
          <w:szCs w:val="20"/>
          <w:lang w:val="en-GB"/>
        </w:rPr>
      </w:pPr>
    </w:p>
    <w:p w14:paraId="015F314C" w14:textId="77777777" w:rsidR="00587444" w:rsidRPr="00587444" w:rsidRDefault="00587444" w:rsidP="00587444">
      <w:pPr>
        <w:keepNext/>
        <w:suppressAutoHyphens w:val="0"/>
        <w:autoSpaceDN/>
        <w:jc w:val="both"/>
        <w:rPr>
          <w:rFonts w:ascii="Arial" w:hAnsi="Arial" w:cs="Arial"/>
          <w:sz w:val="20"/>
          <w:szCs w:val="20"/>
          <w:lang w:val="en-GB"/>
        </w:rPr>
      </w:pPr>
    </w:p>
    <w:p w14:paraId="3BF2D6E6" w14:textId="77777777" w:rsidR="00587444" w:rsidRPr="00587444" w:rsidRDefault="00587444" w:rsidP="00587444">
      <w:pPr>
        <w:tabs>
          <w:tab w:val="right" w:pos="1202"/>
        </w:tabs>
        <w:suppressAutoHyphens w:val="0"/>
        <w:autoSpaceDN/>
        <w:outlineLvl w:val="0"/>
        <w:rPr>
          <w:rFonts w:ascii="Arial" w:hAnsi="Arial" w:cs="Arial"/>
          <w:bCs/>
          <w:i/>
          <w:spacing w:val="-2"/>
          <w:sz w:val="20"/>
          <w:szCs w:val="20"/>
          <w:lang w:val="en-GB"/>
        </w:rPr>
        <w:sectPr w:rsidR="00587444" w:rsidRPr="00587444" w:rsidSect="00DD69E7">
          <w:pgSz w:w="11907" w:h="16840" w:code="9"/>
          <w:pgMar w:top="1418" w:right="1134" w:bottom="1134" w:left="1418" w:header="851" w:footer="851" w:gutter="0"/>
          <w:cols w:space="720"/>
          <w:noEndnote/>
        </w:sectPr>
      </w:pPr>
    </w:p>
    <w:p w14:paraId="6E2B086D"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3EF1EDC"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         Risk management (continued)</w:t>
      </w:r>
    </w:p>
    <w:p w14:paraId="077F88B6"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42AC56BA"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31.5.      Market risk (continued)</w:t>
      </w:r>
    </w:p>
    <w:p w14:paraId="688808A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45C06B12"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31.5.2.   Currency risk (continued)</w:t>
      </w:r>
    </w:p>
    <w:p w14:paraId="01D8762C" w14:textId="77777777" w:rsidR="00587444" w:rsidRPr="00587444" w:rsidRDefault="00587444" w:rsidP="00587444">
      <w:pPr>
        <w:keepNext/>
        <w:suppressAutoHyphens w:val="0"/>
        <w:autoSpaceDN/>
        <w:jc w:val="both"/>
        <w:rPr>
          <w:rFonts w:ascii="Arial" w:hAnsi="Arial" w:cs="Arial"/>
          <w:sz w:val="20"/>
          <w:szCs w:val="20"/>
          <w:lang w:val="en-GB"/>
        </w:rPr>
      </w:pPr>
    </w:p>
    <w:p w14:paraId="683A2749" w14:textId="77777777" w:rsidR="00587444" w:rsidRPr="00587444" w:rsidRDefault="00587444" w:rsidP="00587444">
      <w:pPr>
        <w:keepNext/>
        <w:suppressAutoHyphens w:val="0"/>
        <w:autoSpaceDN/>
        <w:jc w:val="both"/>
        <w:rPr>
          <w:rFonts w:ascii="Arial" w:hAnsi="Arial" w:cs="Arial"/>
          <w:sz w:val="20"/>
          <w:szCs w:val="20"/>
          <w:lang w:val="en-GB"/>
        </w:rPr>
      </w:pPr>
    </w:p>
    <w:tbl>
      <w:tblPr>
        <w:tblW w:w="5129" w:type="pct"/>
        <w:tblInd w:w="-164" w:type="dxa"/>
        <w:tblLayout w:type="fixed"/>
        <w:tblCellMar>
          <w:left w:w="120" w:type="dxa"/>
          <w:right w:w="120" w:type="dxa"/>
        </w:tblCellMar>
        <w:tblLook w:val="0000" w:firstRow="0" w:lastRow="0" w:firstColumn="0" w:lastColumn="0" w:noHBand="0" w:noVBand="0"/>
      </w:tblPr>
      <w:tblGrid>
        <w:gridCol w:w="2976"/>
        <w:gridCol w:w="1045"/>
        <w:gridCol w:w="1134"/>
        <w:gridCol w:w="1144"/>
        <w:gridCol w:w="1134"/>
        <w:gridCol w:w="1280"/>
        <w:gridCol w:w="1130"/>
      </w:tblGrid>
      <w:tr w:rsidR="00587444" w:rsidRPr="00587444" w14:paraId="13CC1D32" w14:textId="77777777" w:rsidTr="00B7396E">
        <w:trPr>
          <w:trHeight w:val="556"/>
        </w:trPr>
        <w:tc>
          <w:tcPr>
            <w:tcW w:w="1512" w:type="pct"/>
            <w:vAlign w:val="bottom"/>
          </w:tcPr>
          <w:p w14:paraId="1A02094B" w14:textId="77777777"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r w:rsidRPr="00587444">
              <w:rPr>
                <w:rFonts w:ascii="Arial" w:hAnsi="Arial" w:cs="Arial"/>
                <w:b/>
                <w:sz w:val="17"/>
                <w:szCs w:val="17"/>
              </w:rPr>
              <w:t>Group</w:t>
            </w:r>
          </w:p>
          <w:p w14:paraId="5B2B50B2" w14:textId="77777777"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p>
          <w:p w14:paraId="27C39D53" w14:textId="77777777"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r w:rsidRPr="00587444">
              <w:rPr>
                <w:rFonts w:ascii="Arial" w:hAnsi="Arial" w:cs="Arial"/>
                <w:b/>
                <w:bCs/>
                <w:sz w:val="17"/>
                <w:szCs w:val="17"/>
              </w:rPr>
              <w:t>31 December</w:t>
            </w:r>
            <w:r w:rsidRPr="00587444">
              <w:rPr>
                <w:rFonts w:ascii="Arial" w:hAnsi="Arial" w:cs="Arial"/>
                <w:b/>
                <w:sz w:val="17"/>
                <w:szCs w:val="17"/>
              </w:rPr>
              <w:t xml:space="preserve"> 2021</w:t>
            </w:r>
          </w:p>
        </w:tc>
        <w:tc>
          <w:tcPr>
            <w:tcW w:w="531" w:type="pct"/>
          </w:tcPr>
          <w:p w14:paraId="167738C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USD</w:t>
            </w:r>
          </w:p>
        </w:tc>
        <w:tc>
          <w:tcPr>
            <w:tcW w:w="576" w:type="pct"/>
          </w:tcPr>
          <w:p w14:paraId="76C9993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EUR </w:t>
            </w:r>
          </w:p>
        </w:tc>
        <w:tc>
          <w:tcPr>
            <w:tcW w:w="581" w:type="pct"/>
          </w:tcPr>
          <w:p w14:paraId="0E47CA56" w14:textId="77777777" w:rsidR="00E33EB2"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Other</w:t>
            </w:r>
          </w:p>
          <w:p w14:paraId="2F077693" w14:textId="00671972"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 foreign currencies </w:t>
            </w:r>
          </w:p>
        </w:tc>
        <w:tc>
          <w:tcPr>
            <w:tcW w:w="576" w:type="pct"/>
          </w:tcPr>
          <w:p w14:paraId="2E6531CC" w14:textId="77777777" w:rsidR="00E33EB2"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Total </w:t>
            </w:r>
          </w:p>
          <w:p w14:paraId="4C5CA3AB" w14:textId="732A0741"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foreign currencies </w:t>
            </w:r>
          </w:p>
        </w:tc>
        <w:tc>
          <w:tcPr>
            <w:tcW w:w="650" w:type="pct"/>
          </w:tcPr>
          <w:p w14:paraId="18FFAEC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HRK</w:t>
            </w:r>
          </w:p>
        </w:tc>
        <w:tc>
          <w:tcPr>
            <w:tcW w:w="574" w:type="pct"/>
          </w:tcPr>
          <w:p w14:paraId="23E142C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Total </w:t>
            </w:r>
          </w:p>
        </w:tc>
      </w:tr>
      <w:tr w:rsidR="00587444" w:rsidRPr="00587444" w14:paraId="4DBB4CA2" w14:textId="77777777" w:rsidTr="00B7396E">
        <w:trPr>
          <w:trHeight w:hRule="exact" w:val="284"/>
        </w:trPr>
        <w:tc>
          <w:tcPr>
            <w:tcW w:w="1512" w:type="pct"/>
          </w:tcPr>
          <w:p w14:paraId="1888CA87" w14:textId="77777777"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p>
        </w:tc>
        <w:tc>
          <w:tcPr>
            <w:tcW w:w="531" w:type="pct"/>
          </w:tcPr>
          <w:p w14:paraId="52CE5BD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HRK ‘000</w:t>
            </w:r>
          </w:p>
        </w:tc>
        <w:tc>
          <w:tcPr>
            <w:tcW w:w="576" w:type="pct"/>
          </w:tcPr>
          <w:p w14:paraId="51A5DC7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HRK ‘000</w:t>
            </w:r>
          </w:p>
        </w:tc>
        <w:tc>
          <w:tcPr>
            <w:tcW w:w="581" w:type="pct"/>
          </w:tcPr>
          <w:p w14:paraId="63076BC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HRK ‘000</w:t>
            </w:r>
          </w:p>
        </w:tc>
        <w:tc>
          <w:tcPr>
            <w:tcW w:w="576" w:type="pct"/>
          </w:tcPr>
          <w:p w14:paraId="2EBF04D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HRK ‘000</w:t>
            </w:r>
          </w:p>
        </w:tc>
        <w:tc>
          <w:tcPr>
            <w:tcW w:w="650" w:type="pct"/>
          </w:tcPr>
          <w:p w14:paraId="712896F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HRK ‘000</w:t>
            </w:r>
          </w:p>
        </w:tc>
        <w:tc>
          <w:tcPr>
            <w:tcW w:w="574" w:type="pct"/>
          </w:tcPr>
          <w:p w14:paraId="3D35A30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HRK ‘000</w:t>
            </w:r>
          </w:p>
        </w:tc>
      </w:tr>
      <w:tr w:rsidR="00587444" w:rsidRPr="00587444" w14:paraId="097DA4EB" w14:textId="77777777" w:rsidTr="00B7396E">
        <w:trPr>
          <w:trHeight w:val="239"/>
        </w:trPr>
        <w:tc>
          <w:tcPr>
            <w:tcW w:w="1512" w:type="pct"/>
          </w:tcPr>
          <w:p w14:paraId="2577B294" w14:textId="77777777" w:rsidR="00587444" w:rsidRPr="00587444" w:rsidRDefault="00587444" w:rsidP="00587444">
            <w:pPr>
              <w:tabs>
                <w:tab w:val="right" w:pos="1202"/>
              </w:tabs>
              <w:suppressAutoHyphens w:val="0"/>
              <w:autoSpaceDN/>
              <w:spacing w:line="240" w:lineRule="exact"/>
              <w:outlineLvl w:val="0"/>
              <w:rPr>
                <w:rFonts w:ascii="Arial" w:hAnsi="Arial" w:cs="Arial"/>
                <w:b/>
                <w:sz w:val="17"/>
                <w:szCs w:val="17"/>
              </w:rPr>
            </w:pPr>
            <w:r w:rsidRPr="00587444">
              <w:rPr>
                <w:rFonts w:ascii="Arial" w:hAnsi="Arial" w:cs="Arial"/>
                <w:b/>
                <w:sz w:val="17"/>
                <w:szCs w:val="17"/>
              </w:rPr>
              <w:t xml:space="preserve">Assets </w:t>
            </w:r>
          </w:p>
        </w:tc>
        <w:tc>
          <w:tcPr>
            <w:tcW w:w="531" w:type="pct"/>
            <w:vAlign w:val="bottom"/>
          </w:tcPr>
          <w:p w14:paraId="7C0A956E"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c>
          <w:tcPr>
            <w:tcW w:w="576" w:type="pct"/>
            <w:vAlign w:val="bottom"/>
          </w:tcPr>
          <w:p w14:paraId="3D13899C"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c>
          <w:tcPr>
            <w:tcW w:w="581" w:type="pct"/>
            <w:vAlign w:val="bottom"/>
          </w:tcPr>
          <w:p w14:paraId="3192E7D6"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c>
          <w:tcPr>
            <w:tcW w:w="576" w:type="pct"/>
            <w:vAlign w:val="bottom"/>
          </w:tcPr>
          <w:p w14:paraId="6BD4BF20"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c>
          <w:tcPr>
            <w:tcW w:w="650" w:type="pct"/>
            <w:vAlign w:val="bottom"/>
          </w:tcPr>
          <w:p w14:paraId="5BB52C47"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c>
          <w:tcPr>
            <w:tcW w:w="574" w:type="pct"/>
            <w:vAlign w:val="bottom"/>
          </w:tcPr>
          <w:p w14:paraId="50709129"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r>
      <w:tr w:rsidR="00587444" w:rsidRPr="00587444" w14:paraId="3E50B622" w14:textId="77777777" w:rsidTr="00B7396E">
        <w:trPr>
          <w:trHeight w:val="254"/>
        </w:trPr>
        <w:tc>
          <w:tcPr>
            <w:tcW w:w="1512" w:type="pct"/>
            <w:vAlign w:val="bottom"/>
          </w:tcPr>
          <w:p w14:paraId="342C88BD"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Cash on hand and current accounts with banks</w:t>
            </w:r>
          </w:p>
        </w:tc>
        <w:tc>
          <w:tcPr>
            <w:tcW w:w="531" w:type="pct"/>
            <w:tcBorders>
              <w:top w:val="nil"/>
              <w:left w:val="nil"/>
              <w:right w:val="nil"/>
            </w:tcBorders>
            <w:vAlign w:val="bottom"/>
          </w:tcPr>
          <w:p w14:paraId="2B868B6F"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55,583 </w:t>
            </w:r>
          </w:p>
        </w:tc>
        <w:tc>
          <w:tcPr>
            <w:tcW w:w="576" w:type="pct"/>
            <w:tcBorders>
              <w:top w:val="nil"/>
              <w:left w:val="nil"/>
              <w:right w:val="nil"/>
            </w:tcBorders>
            <w:vAlign w:val="bottom"/>
          </w:tcPr>
          <w:p w14:paraId="639FF3D2"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25,337 </w:t>
            </w:r>
          </w:p>
        </w:tc>
        <w:tc>
          <w:tcPr>
            <w:tcW w:w="581" w:type="pct"/>
            <w:tcBorders>
              <w:top w:val="nil"/>
              <w:left w:val="nil"/>
              <w:right w:val="nil"/>
            </w:tcBorders>
            <w:vAlign w:val="bottom"/>
          </w:tcPr>
          <w:p w14:paraId="0A59989B"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 </w:t>
            </w:r>
          </w:p>
        </w:tc>
        <w:tc>
          <w:tcPr>
            <w:tcW w:w="576" w:type="pct"/>
            <w:tcBorders>
              <w:top w:val="nil"/>
              <w:left w:val="nil"/>
              <w:right w:val="nil"/>
            </w:tcBorders>
            <w:vAlign w:val="bottom"/>
          </w:tcPr>
          <w:p w14:paraId="2A403991"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80,920 </w:t>
            </w:r>
          </w:p>
        </w:tc>
        <w:tc>
          <w:tcPr>
            <w:tcW w:w="650" w:type="pct"/>
            <w:tcBorders>
              <w:top w:val="nil"/>
              <w:left w:val="nil"/>
              <w:right w:val="nil"/>
            </w:tcBorders>
            <w:vAlign w:val="bottom"/>
          </w:tcPr>
          <w:p w14:paraId="7CED3F8C"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1,881,066 </w:t>
            </w:r>
          </w:p>
        </w:tc>
        <w:tc>
          <w:tcPr>
            <w:tcW w:w="574" w:type="pct"/>
            <w:tcBorders>
              <w:top w:val="nil"/>
              <w:left w:val="nil"/>
            </w:tcBorders>
            <w:vAlign w:val="bottom"/>
          </w:tcPr>
          <w:p w14:paraId="34ABCFD4"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1,961,986 </w:t>
            </w:r>
          </w:p>
        </w:tc>
      </w:tr>
      <w:tr w:rsidR="00587444" w:rsidRPr="00587444" w14:paraId="13CE7CF7" w14:textId="77777777" w:rsidTr="00B7396E">
        <w:trPr>
          <w:trHeight w:val="254"/>
        </w:trPr>
        <w:tc>
          <w:tcPr>
            <w:tcW w:w="1512" w:type="pct"/>
            <w:vAlign w:val="bottom"/>
          </w:tcPr>
          <w:p w14:paraId="39680015"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Deposits with other banks </w:t>
            </w:r>
          </w:p>
        </w:tc>
        <w:tc>
          <w:tcPr>
            <w:tcW w:w="531" w:type="pct"/>
            <w:tcBorders>
              <w:top w:val="nil"/>
              <w:left w:val="nil"/>
              <w:bottom w:val="nil"/>
              <w:right w:val="nil"/>
            </w:tcBorders>
            <w:vAlign w:val="bottom"/>
          </w:tcPr>
          <w:p w14:paraId="65D7F547"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 </w:t>
            </w:r>
          </w:p>
        </w:tc>
        <w:tc>
          <w:tcPr>
            <w:tcW w:w="576" w:type="pct"/>
            <w:tcBorders>
              <w:top w:val="nil"/>
              <w:left w:val="nil"/>
              <w:bottom w:val="nil"/>
              <w:right w:val="nil"/>
            </w:tcBorders>
            <w:vAlign w:val="bottom"/>
          </w:tcPr>
          <w:p w14:paraId="28E981DB"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7,500 </w:t>
            </w:r>
          </w:p>
        </w:tc>
        <w:tc>
          <w:tcPr>
            <w:tcW w:w="581" w:type="pct"/>
            <w:tcBorders>
              <w:top w:val="nil"/>
              <w:left w:val="nil"/>
              <w:bottom w:val="nil"/>
              <w:right w:val="nil"/>
            </w:tcBorders>
            <w:vAlign w:val="bottom"/>
          </w:tcPr>
          <w:p w14:paraId="212778F7"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 </w:t>
            </w:r>
          </w:p>
        </w:tc>
        <w:tc>
          <w:tcPr>
            <w:tcW w:w="576" w:type="pct"/>
            <w:tcBorders>
              <w:top w:val="nil"/>
              <w:left w:val="nil"/>
              <w:bottom w:val="nil"/>
              <w:right w:val="nil"/>
            </w:tcBorders>
            <w:vAlign w:val="bottom"/>
          </w:tcPr>
          <w:p w14:paraId="02585D5F"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7,500 </w:t>
            </w:r>
          </w:p>
        </w:tc>
        <w:tc>
          <w:tcPr>
            <w:tcW w:w="650" w:type="pct"/>
            <w:tcBorders>
              <w:top w:val="nil"/>
              <w:left w:val="nil"/>
              <w:bottom w:val="nil"/>
              <w:right w:val="nil"/>
            </w:tcBorders>
            <w:vAlign w:val="bottom"/>
          </w:tcPr>
          <w:p w14:paraId="1302BD7C"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 </w:t>
            </w:r>
          </w:p>
        </w:tc>
        <w:tc>
          <w:tcPr>
            <w:tcW w:w="574" w:type="pct"/>
            <w:tcBorders>
              <w:top w:val="nil"/>
              <w:left w:val="nil"/>
              <w:bottom w:val="nil"/>
            </w:tcBorders>
            <w:vAlign w:val="bottom"/>
          </w:tcPr>
          <w:p w14:paraId="6B2C0BD3"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7,500 </w:t>
            </w:r>
          </w:p>
        </w:tc>
      </w:tr>
      <w:tr w:rsidR="00587444" w:rsidRPr="00587444" w14:paraId="67CE47CB" w14:textId="77777777" w:rsidTr="00B7396E">
        <w:trPr>
          <w:trHeight w:val="239"/>
        </w:trPr>
        <w:tc>
          <w:tcPr>
            <w:tcW w:w="1512" w:type="pct"/>
            <w:vAlign w:val="bottom"/>
          </w:tcPr>
          <w:p w14:paraId="739CC500"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Loans to financial institutions</w:t>
            </w:r>
          </w:p>
        </w:tc>
        <w:tc>
          <w:tcPr>
            <w:tcW w:w="531" w:type="pct"/>
            <w:tcBorders>
              <w:top w:val="nil"/>
              <w:left w:val="nil"/>
              <w:bottom w:val="nil"/>
              <w:right w:val="nil"/>
            </w:tcBorders>
            <w:vAlign w:val="bottom"/>
          </w:tcPr>
          <w:p w14:paraId="603E96D2"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 </w:t>
            </w:r>
          </w:p>
        </w:tc>
        <w:tc>
          <w:tcPr>
            <w:tcW w:w="576" w:type="pct"/>
            <w:tcBorders>
              <w:top w:val="nil"/>
              <w:left w:val="nil"/>
              <w:bottom w:val="nil"/>
              <w:right w:val="nil"/>
            </w:tcBorders>
            <w:vAlign w:val="bottom"/>
          </w:tcPr>
          <w:p w14:paraId="5C2CE003"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3,336,385 </w:t>
            </w:r>
          </w:p>
        </w:tc>
        <w:tc>
          <w:tcPr>
            <w:tcW w:w="581" w:type="pct"/>
            <w:tcBorders>
              <w:top w:val="nil"/>
              <w:left w:val="nil"/>
              <w:bottom w:val="nil"/>
              <w:right w:val="nil"/>
            </w:tcBorders>
            <w:vAlign w:val="bottom"/>
          </w:tcPr>
          <w:p w14:paraId="409AB83E"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 </w:t>
            </w:r>
          </w:p>
        </w:tc>
        <w:tc>
          <w:tcPr>
            <w:tcW w:w="576" w:type="pct"/>
            <w:tcBorders>
              <w:top w:val="nil"/>
              <w:left w:val="nil"/>
              <w:bottom w:val="nil"/>
              <w:right w:val="nil"/>
            </w:tcBorders>
            <w:vAlign w:val="bottom"/>
          </w:tcPr>
          <w:p w14:paraId="0A9B049C"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3,336,385 </w:t>
            </w:r>
          </w:p>
        </w:tc>
        <w:tc>
          <w:tcPr>
            <w:tcW w:w="650" w:type="pct"/>
            <w:tcBorders>
              <w:top w:val="nil"/>
              <w:left w:val="nil"/>
              <w:bottom w:val="nil"/>
              <w:right w:val="nil"/>
            </w:tcBorders>
            <w:vAlign w:val="bottom"/>
          </w:tcPr>
          <w:p w14:paraId="780C7F3A"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3,713,758 </w:t>
            </w:r>
          </w:p>
        </w:tc>
        <w:tc>
          <w:tcPr>
            <w:tcW w:w="574" w:type="pct"/>
            <w:tcBorders>
              <w:top w:val="nil"/>
              <w:left w:val="nil"/>
              <w:bottom w:val="nil"/>
            </w:tcBorders>
            <w:vAlign w:val="bottom"/>
          </w:tcPr>
          <w:p w14:paraId="1279DADF"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7,050,143 </w:t>
            </w:r>
          </w:p>
        </w:tc>
      </w:tr>
      <w:tr w:rsidR="00587444" w:rsidRPr="00587444" w14:paraId="2777FD66" w14:textId="77777777" w:rsidTr="00B7396E">
        <w:trPr>
          <w:trHeight w:val="259"/>
        </w:trPr>
        <w:tc>
          <w:tcPr>
            <w:tcW w:w="1512" w:type="pct"/>
            <w:vAlign w:val="bottom"/>
          </w:tcPr>
          <w:p w14:paraId="6FA52C15"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Loans to other customers </w:t>
            </w:r>
          </w:p>
        </w:tc>
        <w:tc>
          <w:tcPr>
            <w:tcW w:w="531" w:type="pct"/>
            <w:tcBorders>
              <w:top w:val="nil"/>
              <w:left w:val="nil"/>
              <w:bottom w:val="nil"/>
              <w:right w:val="nil"/>
            </w:tcBorders>
            <w:vAlign w:val="bottom"/>
          </w:tcPr>
          <w:p w14:paraId="2E990CB4"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225,452 </w:t>
            </w:r>
          </w:p>
        </w:tc>
        <w:tc>
          <w:tcPr>
            <w:tcW w:w="576" w:type="pct"/>
            <w:tcBorders>
              <w:top w:val="nil"/>
              <w:left w:val="nil"/>
              <w:bottom w:val="nil"/>
              <w:right w:val="nil"/>
            </w:tcBorders>
            <w:vAlign w:val="bottom"/>
          </w:tcPr>
          <w:p w14:paraId="40891E99"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9,745,523 </w:t>
            </w:r>
          </w:p>
        </w:tc>
        <w:tc>
          <w:tcPr>
            <w:tcW w:w="581" w:type="pct"/>
            <w:tcBorders>
              <w:top w:val="nil"/>
              <w:left w:val="nil"/>
              <w:bottom w:val="nil"/>
              <w:right w:val="nil"/>
            </w:tcBorders>
            <w:vAlign w:val="bottom"/>
          </w:tcPr>
          <w:p w14:paraId="676798D0"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 </w:t>
            </w:r>
          </w:p>
        </w:tc>
        <w:tc>
          <w:tcPr>
            <w:tcW w:w="576" w:type="pct"/>
            <w:tcBorders>
              <w:top w:val="nil"/>
              <w:left w:val="nil"/>
              <w:bottom w:val="nil"/>
              <w:right w:val="nil"/>
            </w:tcBorders>
            <w:vAlign w:val="bottom"/>
          </w:tcPr>
          <w:p w14:paraId="0C5E5D79"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9,970,975 </w:t>
            </w:r>
          </w:p>
        </w:tc>
        <w:tc>
          <w:tcPr>
            <w:tcW w:w="650" w:type="pct"/>
            <w:tcBorders>
              <w:top w:val="nil"/>
              <w:left w:val="nil"/>
              <w:bottom w:val="nil"/>
              <w:right w:val="nil"/>
            </w:tcBorders>
            <w:vAlign w:val="bottom"/>
          </w:tcPr>
          <w:p w14:paraId="1B34B2BE"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5,993,401 </w:t>
            </w:r>
          </w:p>
        </w:tc>
        <w:tc>
          <w:tcPr>
            <w:tcW w:w="574" w:type="pct"/>
            <w:tcBorders>
              <w:top w:val="nil"/>
              <w:left w:val="nil"/>
              <w:bottom w:val="nil"/>
            </w:tcBorders>
            <w:vAlign w:val="bottom"/>
          </w:tcPr>
          <w:p w14:paraId="4FB9D6F3" w14:textId="2D747279"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15,964,376 </w:t>
            </w:r>
          </w:p>
        </w:tc>
      </w:tr>
      <w:tr w:rsidR="00587444" w:rsidRPr="00587444" w14:paraId="687FB365" w14:textId="77777777" w:rsidTr="00B7396E">
        <w:trPr>
          <w:trHeight w:val="215"/>
        </w:trPr>
        <w:tc>
          <w:tcPr>
            <w:tcW w:w="1512" w:type="pct"/>
            <w:vAlign w:val="bottom"/>
          </w:tcPr>
          <w:p w14:paraId="4140F2B8" w14:textId="77777777" w:rsidR="00587444" w:rsidRPr="00587444" w:rsidRDefault="00587444" w:rsidP="00587444">
            <w:pPr>
              <w:tabs>
                <w:tab w:val="right" w:pos="1202"/>
              </w:tabs>
              <w:suppressAutoHyphens w:val="0"/>
              <w:autoSpaceDN/>
              <w:spacing w:line="240" w:lineRule="exact"/>
              <w:outlineLvl w:val="0"/>
              <w:rPr>
                <w:rFonts w:ascii="Arial" w:hAnsi="Arial" w:cs="Arial"/>
                <w:spacing w:val="-2"/>
                <w:sz w:val="17"/>
                <w:szCs w:val="17"/>
              </w:rPr>
            </w:pPr>
            <w:r w:rsidRPr="00587444">
              <w:rPr>
                <w:rFonts w:ascii="Arial" w:hAnsi="Arial" w:cs="Arial"/>
                <w:spacing w:val="-2"/>
                <w:sz w:val="17"/>
                <w:szCs w:val="17"/>
              </w:rPr>
              <w:t>Financial assets at fair value through profit or loss</w:t>
            </w:r>
          </w:p>
        </w:tc>
        <w:tc>
          <w:tcPr>
            <w:tcW w:w="531" w:type="pct"/>
            <w:tcBorders>
              <w:top w:val="nil"/>
              <w:left w:val="nil"/>
              <w:bottom w:val="nil"/>
              <w:right w:val="nil"/>
            </w:tcBorders>
            <w:vAlign w:val="bottom"/>
          </w:tcPr>
          <w:p w14:paraId="73AC4D50"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16,044 </w:t>
            </w:r>
          </w:p>
        </w:tc>
        <w:tc>
          <w:tcPr>
            <w:tcW w:w="576" w:type="pct"/>
            <w:tcBorders>
              <w:top w:val="nil"/>
              <w:left w:val="nil"/>
              <w:bottom w:val="nil"/>
              <w:right w:val="nil"/>
            </w:tcBorders>
            <w:vAlign w:val="bottom"/>
          </w:tcPr>
          <w:p w14:paraId="341EF96A"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100,103 </w:t>
            </w:r>
          </w:p>
        </w:tc>
        <w:tc>
          <w:tcPr>
            <w:tcW w:w="581" w:type="pct"/>
            <w:tcBorders>
              <w:top w:val="nil"/>
              <w:left w:val="nil"/>
              <w:bottom w:val="nil"/>
              <w:right w:val="nil"/>
            </w:tcBorders>
            <w:vAlign w:val="bottom"/>
          </w:tcPr>
          <w:p w14:paraId="23531B05"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 </w:t>
            </w:r>
          </w:p>
        </w:tc>
        <w:tc>
          <w:tcPr>
            <w:tcW w:w="576" w:type="pct"/>
            <w:tcBorders>
              <w:top w:val="nil"/>
              <w:left w:val="nil"/>
              <w:bottom w:val="nil"/>
              <w:right w:val="nil"/>
            </w:tcBorders>
            <w:vAlign w:val="bottom"/>
          </w:tcPr>
          <w:p w14:paraId="46405B8B"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116,147 </w:t>
            </w:r>
          </w:p>
        </w:tc>
        <w:tc>
          <w:tcPr>
            <w:tcW w:w="650" w:type="pct"/>
            <w:tcBorders>
              <w:top w:val="nil"/>
              <w:left w:val="nil"/>
              <w:bottom w:val="nil"/>
              <w:right w:val="nil"/>
            </w:tcBorders>
            <w:vAlign w:val="bottom"/>
          </w:tcPr>
          <w:p w14:paraId="2E04BD56"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102,837 </w:t>
            </w:r>
          </w:p>
        </w:tc>
        <w:tc>
          <w:tcPr>
            <w:tcW w:w="574" w:type="pct"/>
            <w:tcBorders>
              <w:top w:val="nil"/>
              <w:left w:val="nil"/>
              <w:bottom w:val="nil"/>
            </w:tcBorders>
            <w:vAlign w:val="bottom"/>
          </w:tcPr>
          <w:p w14:paraId="06E05DEB"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218,984 </w:t>
            </w:r>
          </w:p>
        </w:tc>
      </w:tr>
      <w:tr w:rsidR="00587444" w:rsidRPr="00587444" w14:paraId="1DE60C3F" w14:textId="77777777" w:rsidTr="00B7396E">
        <w:trPr>
          <w:trHeight w:val="254"/>
        </w:trPr>
        <w:tc>
          <w:tcPr>
            <w:tcW w:w="1512" w:type="pct"/>
            <w:vAlign w:val="bottom"/>
          </w:tcPr>
          <w:p w14:paraId="6ACF25A2" w14:textId="77777777" w:rsidR="001D0F84" w:rsidRDefault="00587444" w:rsidP="00587444">
            <w:pPr>
              <w:tabs>
                <w:tab w:val="right" w:pos="1202"/>
              </w:tabs>
              <w:suppressAutoHyphens w:val="0"/>
              <w:autoSpaceDN/>
              <w:spacing w:line="240" w:lineRule="exact"/>
              <w:outlineLvl w:val="0"/>
              <w:rPr>
                <w:rFonts w:ascii="Arial" w:hAnsi="Arial" w:cs="Arial"/>
                <w:spacing w:val="-2"/>
                <w:sz w:val="17"/>
                <w:szCs w:val="17"/>
              </w:rPr>
            </w:pPr>
            <w:r w:rsidRPr="00587444">
              <w:rPr>
                <w:rFonts w:ascii="Arial" w:hAnsi="Arial" w:cs="Arial"/>
                <w:spacing w:val="-2"/>
                <w:sz w:val="17"/>
                <w:szCs w:val="17"/>
              </w:rPr>
              <w:t xml:space="preserve">Financial assets at fair value through other comprehensive </w:t>
            </w:r>
          </w:p>
          <w:p w14:paraId="06121E49" w14:textId="6D9E3E76"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income</w:t>
            </w:r>
          </w:p>
        </w:tc>
        <w:tc>
          <w:tcPr>
            <w:tcW w:w="531" w:type="pct"/>
            <w:tcBorders>
              <w:top w:val="nil"/>
              <w:left w:val="nil"/>
              <w:bottom w:val="nil"/>
              <w:right w:val="nil"/>
            </w:tcBorders>
            <w:vAlign w:val="bottom"/>
          </w:tcPr>
          <w:p w14:paraId="00207BEA"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 </w:t>
            </w:r>
          </w:p>
        </w:tc>
        <w:tc>
          <w:tcPr>
            <w:tcW w:w="576" w:type="pct"/>
            <w:tcBorders>
              <w:top w:val="nil"/>
              <w:left w:val="nil"/>
              <w:bottom w:val="nil"/>
              <w:right w:val="nil"/>
            </w:tcBorders>
            <w:vAlign w:val="bottom"/>
          </w:tcPr>
          <w:p w14:paraId="793E659E"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827,581 </w:t>
            </w:r>
          </w:p>
        </w:tc>
        <w:tc>
          <w:tcPr>
            <w:tcW w:w="581" w:type="pct"/>
            <w:tcBorders>
              <w:top w:val="nil"/>
              <w:left w:val="nil"/>
              <w:bottom w:val="nil"/>
              <w:right w:val="nil"/>
            </w:tcBorders>
            <w:vAlign w:val="bottom"/>
          </w:tcPr>
          <w:p w14:paraId="69CD65A5"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 </w:t>
            </w:r>
          </w:p>
        </w:tc>
        <w:tc>
          <w:tcPr>
            <w:tcW w:w="576" w:type="pct"/>
            <w:tcBorders>
              <w:top w:val="nil"/>
              <w:left w:val="nil"/>
              <w:bottom w:val="nil"/>
              <w:right w:val="nil"/>
            </w:tcBorders>
            <w:vAlign w:val="bottom"/>
          </w:tcPr>
          <w:p w14:paraId="07C14DED"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827,581 </w:t>
            </w:r>
          </w:p>
        </w:tc>
        <w:tc>
          <w:tcPr>
            <w:tcW w:w="650" w:type="pct"/>
            <w:tcBorders>
              <w:top w:val="nil"/>
              <w:left w:val="nil"/>
              <w:bottom w:val="nil"/>
              <w:right w:val="nil"/>
            </w:tcBorders>
            <w:vAlign w:val="bottom"/>
          </w:tcPr>
          <w:p w14:paraId="1DD72E8E"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2,144,949 </w:t>
            </w:r>
          </w:p>
        </w:tc>
        <w:tc>
          <w:tcPr>
            <w:tcW w:w="574" w:type="pct"/>
            <w:tcBorders>
              <w:top w:val="nil"/>
              <w:left w:val="nil"/>
              <w:bottom w:val="nil"/>
            </w:tcBorders>
            <w:vAlign w:val="bottom"/>
          </w:tcPr>
          <w:p w14:paraId="6321AC90"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2,972,530 </w:t>
            </w:r>
          </w:p>
        </w:tc>
      </w:tr>
      <w:tr w:rsidR="00587444" w:rsidRPr="00587444" w14:paraId="1B638B37" w14:textId="77777777" w:rsidTr="00B7396E">
        <w:trPr>
          <w:trHeight w:val="507"/>
        </w:trPr>
        <w:tc>
          <w:tcPr>
            <w:tcW w:w="1512" w:type="pct"/>
            <w:vAlign w:val="bottom"/>
          </w:tcPr>
          <w:p w14:paraId="1D709100"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Property, plant and equipment and intangible assets</w:t>
            </w:r>
          </w:p>
        </w:tc>
        <w:tc>
          <w:tcPr>
            <w:tcW w:w="531" w:type="pct"/>
            <w:tcBorders>
              <w:top w:val="nil"/>
              <w:left w:val="nil"/>
              <w:bottom w:val="nil"/>
              <w:right w:val="nil"/>
            </w:tcBorders>
            <w:vAlign w:val="bottom"/>
          </w:tcPr>
          <w:p w14:paraId="027764C0"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 </w:t>
            </w:r>
          </w:p>
        </w:tc>
        <w:tc>
          <w:tcPr>
            <w:tcW w:w="576" w:type="pct"/>
            <w:tcBorders>
              <w:top w:val="nil"/>
              <w:left w:val="nil"/>
              <w:bottom w:val="nil"/>
              <w:right w:val="nil"/>
            </w:tcBorders>
            <w:vAlign w:val="bottom"/>
          </w:tcPr>
          <w:p w14:paraId="3960D29F"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 </w:t>
            </w:r>
          </w:p>
        </w:tc>
        <w:tc>
          <w:tcPr>
            <w:tcW w:w="581" w:type="pct"/>
            <w:tcBorders>
              <w:top w:val="nil"/>
              <w:left w:val="nil"/>
              <w:bottom w:val="nil"/>
              <w:right w:val="nil"/>
            </w:tcBorders>
            <w:vAlign w:val="bottom"/>
          </w:tcPr>
          <w:p w14:paraId="527CF26F"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 </w:t>
            </w:r>
          </w:p>
        </w:tc>
        <w:tc>
          <w:tcPr>
            <w:tcW w:w="576" w:type="pct"/>
            <w:tcBorders>
              <w:top w:val="nil"/>
              <w:left w:val="nil"/>
              <w:bottom w:val="nil"/>
              <w:right w:val="nil"/>
            </w:tcBorders>
            <w:vAlign w:val="bottom"/>
          </w:tcPr>
          <w:p w14:paraId="1E6D608C"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 </w:t>
            </w:r>
          </w:p>
        </w:tc>
        <w:tc>
          <w:tcPr>
            <w:tcW w:w="650" w:type="pct"/>
            <w:tcBorders>
              <w:top w:val="nil"/>
              <w:left w:val="nil"/>
              <w:bottom w:val="nil"/>
              <w:right w:val="nil"/>
            </w:tcBorders>
            <w:vAlign w:val="bottom"/>
          </w:tcPr>
          <w:p w14:paraId="651D94A1"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43,937 </w:t>
            </w:r>
          </w:p>
        </w:tc>
        <w:tc>
          <w:tcPr>
            <w:tcW w:w="574" w:type="pct"/>
            <w:tcBorders>
              <w:top w:val="nil"/>
              <w:left w:val="nil"/>
              <w:bottom w:val="nil"/>
            </w:tcBorders>
            <w:vAlign w:val="bottom"/>
          </w:tcPr>
          <w:p w14:paraId="3ADBC00D"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43,937 </w:t>
            </w:r>
          </w:p>
        </w:tc>
      </w:tr>
      <w:tr w:rsidR="00587444" w:rsidRPr="00587444" w14:paraId="3DC782A0" w14:textId="77777777" w:rsidTr="00B7396E">
        <w:trPr>
          <w:trHeight w:val="239"/>
        </w:trPr>
        <w:tc>
          <w:tcPr>
            <w:tcW w:w="1512" w:type="pct"/>
            <w:vAlign w:val="bottom"/>
          </w:tcPr>
          <w:p w14:paraId="54E08450"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Foreclosed assets</w:t>
            </w:r>
          </w:p>
        </w:tc>
        <w:tc>
          <w:tcPr>
            <w:tcW w:w="531" w:type="pct"/>
            <w:tcBorders>
              <w:top w:val="nil"/>
              <w:left w:val="nil"/>
              <w:bottom w:val="nil"/>
              <w:right w:val="nil"/>
            </w:tcBorders>
            <w:vAlign w:val="bottom"/>
          </w:tcPr>
          <w:p w14:paraId="4440C7E8"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 </w:t>
            </w:r>
          </w:p>
        </w:tc>
        <w:tc>
          <w:tcPr>
            <w:tcW w:w="576" w:type="pct"/>
            <w:tcBorders>
              <w:top w:val="nil"/>
              <w:left w:val="nil"/>
              <w:bottom w:val="nil"/>
              <w:right w:val="nil"/>
            </w:tcBorders>
            <w:vAlign w:val="bottom"/>
          </w:tcPr>
          <w:p w14:paraId="0441D6C4"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 </w:t>
            </w:r>
          </w:p>
        </w:tc>
        <w:tc>
          <w:tcPr>
            <w:tcW w:w="581" w:type="pct"/>
            <w:tcBorders>
              <w:top w:val="nil"/>
              <w:left w:val="nil"/>
              <w:bottom w:val="nil"/>
              <w:right w:val="nil"/>
            </w:tcBorders>
            <w:vAlign w:val="bottom"/>
          </w:tcPr>
          <w:p w14:paraId="6CD8DB9E"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 </w:t>
            </w:r>
          </w:p>
        </w:tc>
        <w:tc>
          <w:tcPr>
            <w:tcW w:w="576" w:type="pct"/>
            <w:tcBorders>
              <w:top w:val="nil"/>
              <w:left w:val="nil"/>
              <w:bottom w:val="nil"/>
              <w:right w:val="nil"/>
            </w:tcBorders>
            <w:vAlign w:val="bottom"/>
          </w:tcPr>
          <w:p w14:paraId="566E2200"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 </w:t>
            </w:r>
          </w:p>
        </w:tc>
        <w:tc>
          <w:tcPr>
            <w:tcW w:w="650" w:type="pct"/>
            <w:tcBorders>
              <w:top w:val="nil"/>
              <w:left w:val="nil"/>
              <w:bottom w:val="nil"/>
              <w:right w:val="nil"/>
            </w:tcBorders>
            <w:vAlign w:val="bottom"/>
          </w:tcPr>
          <w:p w14:paraId="5A1B3F87"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21,369 </w:t>
            </w:r>
          </w:p>
        </w:tc>
        <w:tc>
          <w:tcPr>
            <w:tcW w:w="574" w:type="pct"/>
            <w:tcBorders>
              <w:top w:val="nil"/>
              <w:left w:val="nil"/>
              <w:bottom w:val="nil"/>
            </w:tcBorders>
            <w:vAlign w:val="bottom"/>
          </w:tcPr>
          <w:p w14:paraId="6260FC9A"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21,369 </w:t>
            </w:r>
          </w:p>
        </w:tc>
      </w:tr>
      <w:tr w:rsidR="00587444" w:rsidRPr="00587444" w14:paraId="7FF2E020" w14:textId="77777777" w:rsidTr="00B7396E">
        <w:trPr>
          <w:trHeight w:val="254"/>
        </w:trPr>
        <w:tc>
          <w:tcPr>
            <w:tcW w:w="1512" w:type="pct"/>
            <w:vAlign w:val="bottom"/>
          </w:tcPr>
          <w:p w14:paraId="29EB166F"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Other assets </w:t>
            </w:r>
          </w:p>
        </w:tc>
        <w:tc>
          <w:tcPr>
            <w:tcW w:w="531" w:type="pct"/>
            <w:tcBorders>
              <w:top w:val="nil"/>
              <w:left w:val="nil"/>
              <w:bottom w:val="single" w:sz="4" w:space="0" w:color="000000"/>
              <w:right w:val="nil"/>
            </w:tcBorders>
            <w:vAlign w:val="bottom"/>
          </w:tcPr>
          <w:p w14:paraId="3AC85FCA"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 </w:t>
            </w:r>
          </w:p>
        </w:tc>
        <w:tc>
          <w:tcPr>
            <w:tcW w:w="576" w:type="pct"/>
            <w:tcBorders>
              <w:top w:val="nil"/>
              <w:left w:val="nil"/>
              <w:bottom w:val="single" w:sz="4" w:space="0" w:color="000000"/>
              <w:right w:val="nil"/>
            </w:tcBorders>
            <w:vAlign w:val="bottom"/>
          </w:tcPr>
          <w:p w14:paraId="340F9C74"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1,372 </w:t>
            </w:r>
          </w:p>
        </w:tc>
        <w:tc>
          <w:tcPr>
            <w:tcW w:w="581" w:type="pct"/>
            <w:tcBorders>
              <w:top w:val="nil"/>
              <w:left w:val="nil"/>
              <w:bottom w:val="single" w:sz="4" w:space="0" w:color="000000"/>
              <w:right w:val="nil"/>
            </w:tcBorders>
            <w:vAlign w:val="bottom"/>
          </w:tcPr>
          <w:p w14:paraId="55F1E056"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 </w:t>
            </w:r>
          </w:p>
        </w:tc>
        <w:tc>
          <w:tcPr>
            <w:tcW w:w="576" w:type="pct"/>
            <w:tcBorders>
              <w:top w:val="nil"/>
              <w:left w:val="nil"/>
              <w:bottom w:val="single" w:sz="4" w:space="0" w:color="000000"/>
              <w:right w:val="nil"/>
            </w:tcBorders>
            <w:vAlign w:val="bottom"/>
          </w:tcPr>
          <w:p w14:paraId="3B38270C"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1,372 </w:t>
            </w:r>
          </w:p>
        </w:tc>
        <w:tc>
          <w:tcPr>
            <w:tcW w:w="650" w:type="pct"/>
            <w:tcBorders>
              <w:top w:val="nil"/>
              <w:left w:val="nil"/>
              <w:bottom w:val="single" w:sz="4" w:space="0" w:color="000000"/>
              <w:right w:val="nil"/>
            </w:tcBorders>
            <w:vAlign w:val="bottom"/>
          </w:tcPr>
          <w:p w14:paraId="743ECF19"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36,165 </w:t>
            </w:r>
          </w:p>
        </w:tc>
        <w:tc>
          <w:tcPr>
            <w:tcW w:w="574" w:type="pct"/>
            <w:tcBorders>
              <w:top w:val="nil"/>
              <w:left w:val="nil"/>
              <w:bottom w:val="single" w:sz="4" w:space="0" w:color="000000"/>
            </w:tcBorders>
            <w:vAlign w:val="bottom"/>
          </w:tcPr>
          <w:p w14:paraId="289BE6D2"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37,537 </w:t>
            </w:r>
          </w:p>
        </w:tc>
      </w:tr>
      <w:tr w:rsidR="00587444" w:rsidRPr="00587444" w14:paraId="40CCA019" w14:textId="77777777" w:rsidTr="00B7396E">
        <w:trPr>
          <w:trHeight w:val="393"/>
        </w:trPr>
        <w:tc>
          <w:tcPr>
            <w:tcW w:w="1512" w:type="pct"/>
            <w:vAlign w:val="bottom"/>
          </w:tcPr>
          <w:p w14:paraId="238D23AA"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Total assets </w:t>
            </w:r>
          </w:p>
        </w:tc>
        <w:tc>
          <w:tcPr>
            <w:tcW w:w="531" w:type="pct"/>
            <w:tcBorders>
              <w:top w:val="single" w:sz="4" w:space="0" w:color="000000"/>
              <w:bottom w:val="single" w:sz="12" w:space="0" w:color="auto"/>
            </w:tcBorders>
            <w:vAlign w:val="bottom"/>
          </w:tcPr>
          <w:p w14:paraId="789DE3EE"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 xml:space="preserve">297,079 </w:t>
            </w:r>
          </w:p>
        </w:tc>
        <w:tc>
          <w:tcPr>
            <w:tcW w:w="576" w:type="pct"/>
            <w:tcBorders>
              <w:top w:val="single" w:sz="4" w:space="0" w:color="000000"/>
              <w:bottom w:val="single" w:sz="12" w:space="0" w:color="auto"/>
            </w:tcBorders>
            <w:vAlign w:val="bottom"/>
          </w:tcPr>
          <w:p w14:paraId="5C3E23FC"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 xml:space="preserve">14,043,801 </w:t>
            </w:r>
          </w:p>
        </w:tc>
        <w:tc>
          <w:tcPr>
            <w:tcW w:w="581" w:type="pct"/>
            <w:tcBorders>
              <w:top w:val="single" w:sz="4" w:space="0" w:color="000000"/>
              <w:bottom w:val="single" w:sz="12" w:space="0" w:color="auto"/>
            </w:tcBorders>
            <w:vAlign w:val="bottom"/>
          </w:tcPr>
          <w:p w14:paraId="56F76492"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 xml:space="preserve"> - </w:t>
            </w:r>
          </w:p>
        </w:tc>
        <w:tc>
          <w:tcPr>
            <w:tcW w:w="576" w:type="pct"/>
            <w:tcBorders>
              <w:top w:val="single" w:sz="4" w:space="0" w:color="000000"/>
              <w:bottom w:val="single" w:sz="12" w:space="0" w:color="auto"/>
            </w:tcBorders>
            <w:vAlign w:val="bottom"/>
          </w:tcPr>
          <w:p w14:paraId="6BDA0FB3" w14:textId="77777777" w:rsidR="00587444" w:rsidRPr="00587444" w:rsidRDefault="00587444" w:rsidP="00587444">
            <w:pPr>
              <w:suppressAutoHyphens w:val="0"/>
              <w:autoSpaceDN/>
              <w:spacing w:line="240" w:lineRule="exac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 xml:space="preserve">14,340,880 </w:t>
            </w:r>
          </w:p>
        </w:tc>
        <w:tc>
          <w:tcPr>
            <w:tcW w:w="650" w:type="pct"/>
            <w:tcBorders>
              <w:top w:val="single" w:sz="4" w:space="0" w:color="000000"/>
              <w:bottom w:val="single" w:sz="12" w:space="0" w:color="auto"/>
            </w:tcBorders>
            <w:vAlign w:val="bottom"/>
          </w:tcPr>
          <w:p w14:paraId="27993DFD"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 xml:space="preserve"> 13,937,482* </w:t>
            </w:r>
          </w:p>
        </w:tc>
        <w:tc>
          <w:tcPr>
            <w:tcW w:w="574" w:type="pct"/>
            <w:tcBorders>
              <w:top w:val="single" w:sz="4" w:space="0" w:color="000000"/>
              <w:bottom w:val="single" w:sz="12" w:space="0" w:color="auto"/>
            </w:tcBorders>
            <w:vAlign w:val="bottom"/>
          </w:tcPr>
          <w:p w14:paraId="3CEBE568"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 xml:space="preserve">28,278,362 </w:t>
            </w:r>
          </w:p>
        </w:tc>
      </w:tr>
      <w:tr w:rsidR="00587444" w:rsidRPr="00587444" w14:paraId="324511BA" w14:textId="77777777" w:rsidTr="00B7396E">
        <w:trPr>
          <w:trHeight w:val="97"/>
        </w:trPr>
        <w:tc>
          <w:tcPr>
            <w:tcW w:w="1512" w:type="pct"/>
            <w:vAlign w:val="bottom"/>
          </w:tcPr>
          <w:p w14:paraId="0526A658"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7"/>
                <w:szCs w:val="17"/>
              </w:rPr>
            </w:pPr>
          </w:p>
        </w:tc>
        <w:tc>
          <w:tcPr>
            <w:tcW w:w="531" w:type="pct"/>
            <w:tcBorders>
              <w:top w:val="single" w:sz="12" w:space="0" w:color="auto"/>
            </w:tcBorders>
            <w:vAlign w:val="bottom"/>
          </w:tcPr>
          <w:p w14:paraId="36C8277B" w14:textId="77777777" w:rsidR="00587444" w:rsidRPr="00587444" w:rsidRDefault="00587444" w:rsidP="00587444">
            <w:pPr>
              <w:suppressAutoHyphens w:val="0"/>
              <w:autoSpaceDN/>
              <w:spacing w:line="240" w:lineRule="exact"/>
              <w:jc w:val="right"/>
              <w:rPr>
                <w:rFonts w:ascii="Arial" w:hAnsi="Arial" w:cs="Arial"/>
                <w:b/>
                <w:bCs/>
                <w:sz w:val="17"/>
                <w:szCs w:val="17"/>
              </w:rPr>
            </w:pPr>
          </w:p>
        </w:tc>
        <w:tc>
          <w:tcPr>
            <w:tcW w:w="576" w:type="pct"/>
            <w:tcBorders>
              <w:top w:val="single" w:sz="12" w:space="0" w:color="auto"/>
            </w:tcBorders>
            <w:vAlign w:val="bottom"/>
          </w:tcPr>
          <w:p w14:paraId="379F6549" w14:textId="77777777" w:rsidR="00587444" w:rsidRPr="00587444" w:rsidRDefault="00587444" w:rsidP="00587444">
            <w:pPr>
              <w:suppressAutoHyphens w:val="0"/>
              <w:autoSpaceDN/>
              <w:spacing w:line="240" w:lineRule="exact"/>
              <w:jc w:val="right"/>
              <w:rPr>
                <w:rFonts w:ascii="Arial" w:hAnsi="Arial" w:cs="Arial"/>
                <w:b/>
                <w:bCs/>
                <w:sz w:val="17"/>
                <w:szCs w:val="17"/>
              </w:rPr>
            </w:pPr>
          </w:p>
        </w:tc>
        <w:tc>
          <w:tcPr>
            <w:tcW w:w="581" w:type="pct"/>
            <w:tcBorders>
              <w:top w:val="single" w:sz="12" w:space="0" w:color="auto"/>
            </w:tcBorders>
            <w:vAlign w:val="bottom"/>
          </w:tcPr>
          <w:p w14:paraId="78FD85EC" w14:textId="77777777" w:rsidR="00587444" w:rsidRPr="00587444" w:rsidRDefault="00587444" w:rsidP="00587444">
            <w:pPr>
              <w:suppressAutoHyphens w:val="0"/>
              <w:autoSpaceDN/>
              <w:spacing w:line="240" w:lineRule="exact"/>
              <w:jc w:val="right"/>
              <w:rPr>
                <w:rFonts w:ascii="Arial" w:hAnsi="Arial" w:cs="Arial"/>
                <w:b/>
                <w:bCs/>
                <w:sz w:val="17"/>
                <w:szCs w:val="17"/>
              </w:rPr>
            </w:pPr>
          </w:p>
        </w:tc>
        <w:tc>
          <w:tcPr>
            <w:tcW w:w="576" w:type="pct"/>
            <w:tcBorders>
              <w:top w:val="single" w:sz="12" w:space="0" w:color="auto"/>
            </w:tcBorders>
            <w:vAlign w:val="bottom"/>
          </w:tcPr>
          <w:p w14:paraId="310797DC" w14:textId="77777777" w:rsidR="00587444" w:rsidRPr="00587444" w:rsidRDefault="00587444" w:rsidP="00587444">
            <w:pPr>
              <w:suppressAutoHyphens w:val="0"/>
              <w:autoSpaceDN/>
              <w:spacing w:line="240" w:lineRule="exact"/>
              <w:jc w:val="right"/>
              <w:rPr>
                <w:rFonts w:ascii="Arial" w:hAnsi="Arial" w:cs="Arial"/>
                <w:b/>
                <w:bCs/>
                <w:sz w:val="17"/>
                <w:szCs w:val="17"/>
              </w:rPr>
            </w:pPr>
          </w:p>
        </w:tc>
        <w:tc>
          <w:tcPr>
            <w:tcW w:w="650" w:type="pct"/>
            <w:tcBorders>
              <w:top w:val="single" w:sz="12" w:space="0" w:color="auto"/>
            </w:tcBorders>
            <w:vAlign w:val="bottom"/>
          </w:tcPr>
          <w:p w14:paraId="0B59A6C5" w14:textId="77777777" w:rsidR="00587444" w:rsidRPr="00587444" w:rsidRDefault="00587444" w:rsidP="00587444">
            <w:pPr>
              <w:suppressAutoHyphens w:val="0"/>
              <w:autoSpaceDN/>
              <w:spacing w:line="240" w:lineRule="exact"/>
              <w:jc w:val="right"/>
              <w:rPr>
                <w:rFonts w:ascii="Arial" w:hAnsi="Arial" w:cs="Arial"/>
                <w:b/>
                <w:bCs/>
                <w:sz w:val="17"/>
                <w:szCs w:val="17"/>
              </w:rPr>
            </w:pPr>
          </w:p>
        </w:tc>
        <w:tc>
          <w:tcPr>
            <w:tcW w:w="574" w:type="pct"/>
            <w:tcBorders>
              <w:top w:val="single" w:sz="12" w:space="0" w:color="auto"/>
            </w:tcBorders>
            <w:vAlign w:val="bottom"/>
          </w:tcPr>
          <w:p w14:paraId="095F90DD" w14:textId="77777777" w:rsidR="00587444" w:rsidRPr="00587444" w:rsidRDefault="00587444" w:rsidP="00587444">
            <w:pPr>
              <w:suppressAutoHyphens w:val="0"/>
              <w:autoSpaceDN/>
              <w:spacing w:line="240" w:lineRule="exact"/>
              <w:jc w:val="right"/>
              <w:rPr>
                <w:rFonts w:ascii="Arial" w:hAnsi="Arial" w:cs="Arial"/>
                <w:b/>
                <w:bCs/>
                <w:sz w:val="17"/>
                <w:szCs w:val="17"/>
              </w:rPr>
            </w:pPr>
          </w:p>
        </w:tc>
      </w:tr>
      <w:tr w:rsidR="00587444" w:rsidRPr="00587444" w14:paraId="5C246F53" w14:textId="77777777" w:rsidTr="00B7396E">
        <w:trPr>
          <w:trHeight w:val="277"/>
        </w:trPr>
        <w:tc>
          <w:tcPr>
            <w:tcW w:w="1512" w:type="pct"/>
            <w:vAlign w:val="bottom"/>
          </w:tcPr>
          <w:p w14:paraId="1EC5E331"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Liabilities </w:t>
            </w:r>
          </w:p>
        </w:tc>
        <w:tc>
          <w:tcPr>
            <w:tcW w:w="531" w:type="pct"/>
            <w:shd w:val="clear" w:color="auto" w:fill="auto"/>
            <w:vAlign w:val="bottom"/>
          </w:tcPr>
          <w:p w14:paraId="28A98161" w14:textId="77777777" w:rsidR="00587444" w:rsidRPr="00587444" w:rsidRDefault="00587444" w:rsidP="00587444">
            <w:pPr>
              <w:autoSpaceDN/>
              <w:spacing w:line="240" w:lineRule="exact"/>
              <w:ind w:left="-123"/>
              <w:jc w:val="right"/>
              <w:rPr>
                <w:rFonts w:ascii="Arial" w:eastAsia="Calibri" w:hAnsi="Arial" w:cs="Arial"/>
                <w:spacing w:val="-2"/>
                <w:sz w:val="17"/>
                <w:szCs w:val="17"/>
              </w:rPr>
            </w:pPr>
          </w:p>
        </w:tc>
        <w:tc>
          <w:tcPr>
            <w:tcW w:w="576" w:type="pct"/>
            <w:shd w:val="clear" w:color="auto" w:fill="auto"/>
            <w:vAlign w:val="bottom"/>
          </w:tcPr>
          <w:p w14:paraId="09D53105" w14:textId="77777777" w:rsidR="00587444" w:rsidRPr="00587444" w:rsidRDefault="00587444" w:rsidP="00587444">
            <w:pPr>
              <w:autoSpaceDN/>
              <w:spacing w:line="240" w:lineRule="exact"/>
              <w:jc w:val="right"/>
              <w:rPr>
                <w:rFonts w:ascii="Arial" w:eastAsia="Calibri" w:hAnsi="Arial" w:cs="Arial"/>
                <w:spacing w:val="-2"/>
                <w:sz w:val="17"/>
                <w:szCs w:val="17"/>
              </w:rPr>
            </w:pPr>
          </w:p>
        </w:tc>
        <w:tc>
          <w:tcPr>
            <w:tcW w:w="581" w:type="pct"/>
            <w:shd w:val="clear" w:color="auto" w:fill="auto"/>
            <w:vAlign w:val="bottom"/>
          </w:tcPr>
          <w:p w14:paraId="52C64AEE" w14:textId="77777777" w:rsidR="00587444" w:rsidRPr="00587444" w:rsidRDefault="00587444" w:rsidP="00587444">
            <w:pPr>
              <w:autoSpaceDN/>
              <w:spacing w:line="240" w:lineRule="exact"/>
              <w:jc w:val="right"/>
              <w:rPr>
                <w:rFonts w:ascii="Arial" w:eastAsia="Calibri" w:hAnsi="Arial" w:cs="Arial"/>
                <w:spacing w:val="-2"/>
                <w:sz w:val="17"/>
                <w:szCs w:val="17"/>
              </w:rPr>
            </w:pPr>
          </w:p>
        </w:tc>
        <w:tc>
          <w:tcPr>
            <w:tcW w:w="576" w:type="pct"/>
            <w:shd w:val="clear" w:color="auto" w:fill="auto"/>
            <w:vAlign w:val="bottom"/>
          </w:tcPr>
          <w:p w14:paraId="1C357C8E" w14:textId="77777777" w:rsidR="00587444" w:rsidRPr="00587444" w:rsidRDefault="00587444" w:rsidP="00587444">
            <w:pPr>
              <w:autoSpaceDN/>
              <w:spacing w:line="240" w:lineRule="exact"/>
              <w:jc w:val="right"/>
              <w:rPr>
                <w:rFonts w:ascii="Arial" w:eastAsia="Calibri" w:hAnsi="Arial" w:cs="Arial"/>
                <w:spacing w:val="-2"/>
                <w:sz w:val="17"/>
                <w:szCs w:val="17"/>
              </w:rPr>
            </w:pPr>
          </w:p>
        </w:tc>
        <w:tc>
          <w:tcPr>
            <w:tcW w:w="650" w:type="pct"/>
            <w:shd w:val="clear" w:color="auto" w:fill="auto"/>
            <w:vAlign w:val="bottom"/>
          </w:tcPr>
          <w:p w14:paraId="4AF8233C" w14:textId="77777777" w:rsidR="00587444" w:rsidRPr="00587444" w:rsidRDefault="00587444" w:rsidP="00587444">
            <w:pPr>
              <w:autoSpaceDN/>
              <w:spacing w:line="240" w:lineRule="exact"/>
              <w:jc w:val="right"/>
              <w:rPr>
                <w:rFonts w:ascii="Arial" w:eastAsia="Calibri" w:hAnsi="Arial" w:cs="Arial"/>
                <w:spacing w:val="-2"/>
                <w:sz w:val="17"/>
                <w:szCs w:val="17"/>
              </w:rPr>
            </w:pPr>
          </w:p>
        </w:tc>
        <w:tc>
          <w:tcPr>
            <w:tcW w:w="574" w:type="pct"/>
            <w:shd w:val="clear" w:color="auto" w:fill="auto"/>
            <w:vAlign w:val="bottom"/>
          </w:tcPr>
          <w:p w14:paraId="2C6C91DC" w14:textId="77777777" w:rsidR="00587444" w:rsidRPr="00587444" w:rsidRDefault="00587444" w:rsidP="00587444">
            <w:pPr>
              <w:suppressAutoHyphens w:val="0"/>
              <w:autoSpaceDN/>
              <w:spacing w:line="240" w:lineRule="exact"/>
              <w:jc w:val="right"/>
              <w:rPr>
                <w:rFonts w:ascii="Arial" w:eastAsia="Calibri" w:hAnsi="Arial" w:cs="Arial"/>
                <w:b/>
                <w:sz w:val="17"/>
                <w:szCs w:val="17"/>
              </w:rPr>
            </w:pPr>
          </w:p>
        </w:tc>
      </w:tr>
      <w:tr w:rsidR="00587444" w:rsidRPr="00587444" w14:paraId="08635D9E" w14:textId="77777777" w:rsidTr="00B7396E">
        <w:trPr>
          <w:trHeight w:val="254"/>
        </w:trPr>
        <w:tc>
          <w:tcPr>
            <w:tcW w:w="1512" w:type="pct"/>
            <w:vAlign w:val="bottom"/>
          </w:tcPr>
          <w:p w14:paraId="7CCFAB26"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Deposits from customers </w:t>
            </w:r>
          </w:p>
        </w:tc>
        <w:tc>
          <w:tcPr>
            <w:tcW w:w="531" w:type="pct"/>
            <w:tcBorders>
              <w:top w:val="nil"/>
              <w:left w:val="nil"/>
              <w:bottom w:val="nil"/>
              <w:right w:val="nil"/>
            </w:tcBorders>
            <w:vAlign w:val="bottom"/>
          </w:tcPr>
          <w:p w14:paraId="45E5D581"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106,027 </w:t>
            </w:r>
          </w:p>
        </w:tc>
        <w:tc>
          <w:tcPr>
            <w:tcW w:w="576" w:type="pct"/>
            <w:tcBorders>
              <w:top w:val="nil"/>
              <w:left w:val="nil"/>
              <w:bottom w:val="nil"/>
              <w:right w:val="nil"/>
            </w:tcBorders>
            <w:vAlign w:val="bottom"/>
          </w:tcPr>
          <w:p w14:paraId="1D3C83B7"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471,389 </w:t>
            </w:r>
          </w:p>
        </w:tc>
        <w:tc>
          <w:tcPr>
            <w:tcW w:w="581" w:type="pct"/>
            <w:tcBorders>
              <w:top w:val="nil"/>
              <w:left w:val="nil"/>
              <w:bottom w:val="nil"/>
              <w:right w:val="nil"/>
            </w:tcBorders>
            <w:vAlign w:val="bottom"/>
          </w:tcPr>
          <w:p w14:paraId="3595D2C1"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w:t>
            </w:r>
          </w:p>
        </w:tc>
        <w:tc>
          <w:tcPr>
            <w:tcW w:w="576" w:type="pct"/>
            <w:tcBorders>
              <w:top w:val="nil"/>
              <w:left w:val="nil"/>
              <w:bottom w:val="nil"/>
              <w:right w:val="nil"/>
            </w:tcBorders>
            <w:vAlign w:val="bottom"/>
          </w:tcPr>
          <w:p w14:paraId="4FC316B2"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577,416 </w:t>
            </w:r>
          </w:p>
        </w:tc>
        <w:tc>
          <w:tcPr>
            <w:tcW w:w="650" w:type="pct"/>
            <w:tcBorders>
              <w:top w:val="nil"/>
              <w:left w:val="nil"/>
              <w:bottom w:val="nil"/>
              <w:right w:val="nil"/>
            </w:tcBorders>
            <w:vAlign w:val="bottom"/>
          </w:tcPr>
          <w:p w14:paraId="0A4A89AD"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383,125 </w:t>
            </w:r>
          </w:p>
        </w:tc>
        <w:tc>
          <w:tcPr>
            <w:tcW w:w="574" w:type="pct"/>
            <w:tcBorders>
              <w:top w:val="nil"/>
              <w:left w:val="nil"/>
              <w:bottom w:val="nil"/>
            </w:tcBorders>
            <w:vAlign w:val="bottom"/>
          </w:tcPr>
          <w:p w14:paraId="6890719C"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960,541 </w:t>
            </w:r>
          </w:p>
        </w:tc>
      </w:tr>
      <w:tr w:rsidR="00587444" w:rsidRPr="00587444" w14:paraId="4C01B493" w14:textId="77777777" w:rsidTr="00B7396E">
        <w:trPr>
          <w:trHeight w:val="239"/>
        </w:trPr>
        <w:tc>
          <w:tcPr>
            <w:tcW w:w="1512" w:type="pct"/>
            <w:vAlign w:val="bottom"/>
          </w:tcPr>
          <w:p w14:paraId="670B381C"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Borrowings </w:t>
            </w:r>
          </w:p>
        </w:tc>
        <w:tc>
          <w:tcPr>
            <w:tcW w:w="531" w:type="pct"/>
            <w:tcBorders>
              <w:top w:val="nil"/>
              <w:left w:val="nil"/>
              <w:bottom w:val="nil"/>
              <w:right w:val="nil"/>
            </w:tcBorders>
            <w:vAlign w:val="bottom"/>
          </w:tcPr>
          <w:p w14:paraId="34746F7A"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189,999 </w:t>
            </w:r>
          </w:p>
        </w:tc>
        <w:tc>
          <w:tcPr>
            <w:tcW w:w="576" w:type="pct"/>
            <w:tcBorders>
              <w:top w:val="nil"/>
              <w:left w:val="nil"/>
              <w:bottom w:val="nil"/>
              <w:right w:val="nil"/>
            </w:tcBorders>
            <w:vAlign w:val="bottom"/>
          </w:tcPr>
          <w:p w14:paraId="71E564F9"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14,424,638 </w:t>
            </w:r>
          </w:p>
        </w:tc>
        <w:tc>
          <w:tcPr>
            <w:tcW w:w="581" w:type="pct"/>
            <w:tcBorders>
              <w:top w:val="nil"/>
              <w:left w:val="nil"/>
              <w:bottom w:val="nil"/>
              <w:right w:val="nil"/>
            </w:tcBorders>
            <w:vAlign w:val="bottom"/>
          </w:tcPr>
          <w:p w14:paraId="085F9381"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 </w:t>
            </w:r>
          </w:p>
        </w:tc>
        <w:tc>
          <w:tcPr>
            <w:tcW w:w="576" w:type="pct"/>
            <w:tcBorders>
              <w:top w:val="nil"/>
              <w:left w:val="nil"/>
              <w:bottom w:val="nil"/>
              <w:right w:val="nil"/>
            </w:tcBorders>
            <w:vAlign w:val="bottom"/>
          </w:tcPr>
          <w:p w14:paraId="55AA76D5"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14,614,637 </w:t>
            </w:r>
          </w:p>
        </w:tc>
        <w:tc>
          <w:tcPr>
            <w:tcW w:w="650" w:type="pct"/>
            <w:tcBorders>
              <w:top w:val="nil"/>
              <w:left w:val="nil"/>
              <w:bottom w:val="nil"/>
              <w:right w:val="nil"/>
            </w:tcBorders>
            <w:vAlign w:val="bottom"/>
          </w:tcPr>
          <w:p w14:paraId="079DA159"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1,500,600 </w:t>
            </w:r>
          </w:p>
        </w:tc>
        <w:tc>
          <w:tcPr>
            <w:tcW w:w="574" w:type="pct"/>
            <w:tcBorders>
              <w:top w:val="nil"/>
              <w:left w:val="nil"/>
              <w:bottom w:val="nil"/>
            </w:tcBorders>
            <w:vAlign w:val="bottom"/>
          </w:tcPr>
          <w:p w14:paraId="45439040"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16,115,237 </w:t>
            </w:r>
          </w:p>
        </w:tc>
      </w:tr>
      <w:tr w:rsidR="00587444" w:rsidRPr="00587444" w14:paraId="4C423977" w14:textId="77777777" w:rsidTr="00B7396E">
        <w:trPr>
          <w:trHeight w:val="254"/>
        </w:trPr>
        <w:tc>
          <w:tcPr>
            <w:tcW w:w="1512" w:type="pct"/>
            <w:vAlign w:val="bottom"/>
          </w:tcPr>
          <w:p w14:paraId="627B2C79" w14:textId="77777777" w:rsidR="001D0F8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Provisions for guarantees, </w:t>
            </w:r>
          </w:p>
          <w:p w14:paraId="7879569F" w14:textId="27E39FEE"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commitments and other liabilities</w:t>
            </w:r>
          </w:p>
        </w:tc>
        <w:tc>
          <w:tcPr>
            <w:tcW w:w="531" w:type="pct"/>
            <w:tcBorders>
              <w:top w:val="nil"/>
              <w:left w:val="nil"/>
              <w:bottom w:val="nil"/>
              <w:right w:val="nil"/>
            </w:tcBorders>
            <w:vAlign w:val="bottom"/>
          </w:tcPr>
          <w:p w14:paraId="61FD0F31" w14:textId="77777777" w:rsidR="00587444" w:rsidRPr="00587444" w:rsidRDefault="00587444" w:rsidP="00587444">
            <w:pPr>
              <w:suppressAutoHyphens w:val="0"/>
              <w:autoSpaceDN/>
              <w:spacing w:line="240" w:lineRule="exact"/>
              <w:jc w:val="right"/>
              <w:rPr>
                <w:rFonts w:ascii="Arial" w:hAnsi="Arial" w:cs="Arial"/>
                <w:sz w:val="17"/>
                <w:szCs w:val="17"/>
              </w:rPr>
            </w:pPr>
            <w:r w:rsidRPr="00587444">
              <w:rPr>
                <w:rFonts w:ascii="Arial" w:eastAsia="Arial Unicode MS" w:hAnsi="Arial" w:cs="Arial"/>
                <w:color w:val="000000"/>
                <w:sz w:val="17"/>
                <w:szCs w:val="17"/>
                <w:lang w:val="hr-HR"/>
              </w:rPr>
              <w:t xml:space="preserve"> 23,613 </w:t>
            </w:r>
          </w:p>
        </w:tc>
        <w:tc>
          <w:tcPr>
            <w:tcW w:w="576" w:type="pct"/>
            <w:tcBorders>
              <w:top w:val="nil"/>
              <w:left w:val="nil"/>
              <w:bottom w:val="nil"/>
              <w:right w:val="nil"/>
            </w:tcBorders>
            <w:vAlign w:val="bottom"/>
          </w:tcPr>
          <w:p w14:paraId="443CA756" w14:textId="77777777" w:rsidR="00587444" w:rsidRPr="00587444" w:rsidRDefault="00587444" w:rsidP="00587444">
            <w:pPr>
              <w:suppressAutoHyphens w:val="0"/>
              <w:autoSpaceDN/>
              <w:spacing w:line="240" w:lineRule="exact"/>
              <w:jc w:val="right"/>
              <w:rPr>
                <w:rFonts w:ascii="Arial" w:hAnsi="Arial" w:cs="Arial"/>
                <w:sz w:val="17"/>
                <w:szCs w:val="17"/>
              </w:rPr>
            </w:pPr>
            <w:r w:rsidRPr="00587444">
              <w:rPr>
                <w:rFonts w:ascii="Arial" w:eastAsia="Arial Unicode MS" w:hAnsi="Arial" w:cs="Arial"/>
                <w:color w:val="000000"/>
                <w:sz w:val="17"/>
                <w:szCs w:val="17"/>
                <w:lang w:val="hr-HR"/>
              </w:rPr>
              <w:t xml:space="preserve">25,674 </w:t>
            </w:r>
          </w:p>
        </w:tc>
        <w:tc>
          <w:tcPr>
            <w:tcW w:w="581" w:type="pct"/>
            <w:tcBorders>
              <w:top w:val="nil"/>
              <w:left w:val="nil"/>
              <w:bottom w:val="nil"/>
              <w:right w:val="nil"/>
            </w:tcBorders>
            <w:vAlign w:val="bottom"/>
          </w:tcPr>
          <w:p w14:paraId="65EC7498" w14:textId="77777777" w:rsidR="00587444" w:rsidRPr="00587444" w:rsidRDefault="00587444" w:rsidP="00587444">
            <w:pPr>
              <w:suppressAutoHyphens w:val="0"/>
              <w:autoSpaceDN/>
              <w:spacing w:line="240" w:lineRule="exact"/>
              <w:jc w:val="right"/>
              <w:rPr>
                <w:rFonts w:ascii="Arial" w:hAnsi="Arial" w:cs="Arial"/>
                <w:sz w:val="17"/>
                <w:szCs w:val="17"/>
              </w:rPr>
            </w:pPr>
            <w:r w:rsidRPr="00587444">
              <w:rPr>
                <w:rFonts w:ascii="Arial" w:eastAsia="Arial Unicode MS" w:hAnsi="Arial" w:cs="Arial"/>
                <w:color w:val="000000"/>
                <w:sz w:val="17"/>
                <w:szCs w:val="17"/>
                <w:lang w:val="hr-HR"/>
              </w:rPr>
              <w:t xml:space="preserve">15,098 </w:t>
            </w:r>
          </w:p>
        </w:tc>
        <w:tc>
          <w:tcPr>
            <w:tcW w:w="576" w:type="pct"/>
            <w:tcBorders>
              <w:top w:val="nil"/>
              <w:left w:val="nil"/>
              <w:bottom w:val="nil"/>
              <w:right w:val="nil"/>
            </w:tcBorders>
            <w:vAlign w:val="bottom"/>
          </w:tcPr>
          <w:p w14:paraId="3B41C9B4" w14:textId="77777777" w:rsidR="00587444" w:rsidRPr="00587444" w:rsidRDefault="00587444" w:rsidP="00587444">
            <w:pPr>
              <w:suppressAutoHyphens w:val="0"/>
              <w:autoSpaceDN/>
              <w:spacing w:line="240" w:lineRule="exact"/>
              <w:jc w:val="right"/>
              <w:rPr>
                <w:rFonts w:ascii="Arial" w:hAnsi="Arial" w:cs="Arial"/>
                <w:sz w:val="17"/>
                <w:szCs w:val="17"/>
              </w:rPr>
            </w:pPr>
            <w:r w:rsidRPr="00587444">
              <w:rPr>
                <w:rFonts w:ascii="Arial" w:eastAsia="Arial Unicode MS" w:hAnsi="Arial" w:cs="Arial"/>
                <w:color w:val="000000"/>
                <w:sz w:val="17"/>
                <w:szCs w:val="17"/>
                <w:lang w:val="hr-HR"/>
              </w:rPr>
              <w:t xml:space="preserve"> 64,385 </w:t>
            </w:r>
          </w:p>
        </w:tc>
        <w:tc>
          <w:tcPr>
            <w:tcW w:w="650" w:type="pct"/>
            <w:tcBorders>
              <w:top w:val="nil"/>
              <w:left w:val="nil"/>
              <w:bottom w:val="nil"/>
              <w:right w:val="nil"/>
            </w:tcBorders>
            <w:vAlign w:val="bottom"/>
          </w:tcPr>
          <w:p w14:paraId="65E3DA1A" w14:textId="77777777" w:rsidR="00587444" w:rsidRPr="00587444" w:rsidRDefault="00587444" w:rsidP="00587444">
            <w:pPr>
              <w:suppressAutoHyphens w:val="0"/>
              <w:autoSpaceDN/>
              <w:spacing w:line="240" w:lineRule="exact"/>
              <w:jc w:val="right"/>
              <w:rPr>
                <w:rFonts w:ascii="Arial" w:hAnsi="Arial" w:cs="Arial"/>
                <w:sz w:val="17"/>
                <w:szCs w:val="17"/>
              </w:rPr>
            </w:pPr>
            <w:r w:rsidRPr="00587444">
              <w:rPr>
                <w:rFonts w:ascii="Arial" w:eastAsia="Arial Unicode MS" w:hAnsi="Arial" w:cs="Arial"/>
                <w:color w:val="000000"/>
                <w:sz w:val="17"/>
                <w:szCs w:val="17"/>
                <w:lang w:val="hr-HR"/>
              </w:rPr>
              <w:t xml:space="preserve"> 126,175 </w:t>
            </w:r>
          </w:p>
        </w:tc>
        <w:tc>
          <w:tcPr>
            <w:tcW w:w="574" w:type="pct"/>
            <w:tcBorders>
              <w:top w:val="nil"/>
              <w:left w:val="nil"/>
              <w:bottom w:val="nil"/>
            </w:tcBorders>
            <w:vAlign w:val="bottom"/>
          </w:tcPr>
          <w:p w14:paraId="7132FDDF" w14:textId="77777777" w:rsidR="00587444" w:rsidRPr="00587444" w:rsidRDefault="00587444" w:rsidP="00587444">
            <w:pPr>
              <w:suppressAutoHyphens w:val="0"/>
              <w:autoSpaceDN/>
              <w:spacing w:line="240" w:lineRule="exact"/>
              <w:jc w:val="right"/>
              <w:rPr>
                <w:rFonts w:ascii="Arial" w:hAnsi="Arial" w:cs="Arial"/>
                <w:sz w:val="17"/>
                <w:szCs w:val="17"/>
              </w:rPr>
            </w:pPr>
            <w:r w:rsidRPr="00587444">
              <w:rPr>
                <w:rFonts w:ascii="Arial" w:eastAsia="Arial Unicode MS" w:hAnsi="Arial" w:cs="Arial"/>
                <w:color w:val="000000"/>
                <w:sz w:val="17"/>
                <w:szCs w:val="17"/>
                <w:lang w:val="hr-HR"/>
              </w:rPr>
              <w:t xml:space="preserve"> 190,560 </w:t>
            </w:r>
          </w:p>
        </w:tc>
      </w:tr>
      <w:tr w:rsidR="00587444" w:rsidRPr="00587444" w14:paraId="6787C6C6" w14:textId="77777777" w:rsidTr="00B7396E">
        <w:trPr>
          <w:trHeight w:val="150"/>
        </w:trPr>
        <w:tc>
          <w:tcPr>
            <w:tcW w:w="1512" w:type="pct"/>
            <w:vAlign w:val="bottom"/>
          </w:tcPr>
          <w:p w14:paraId="23A361F9"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Other liabilities </w:t>
            </w:r>
          </w:p>
        </w:tc>
        <w:tc>
          <w:tcPr>
            <w:tcW w:w="531" w:type="pct"/>
            <w:tcBorders>
              <w:top w:val="nil"/>
              <w:left w:val="nil"/>
              <w:bottom w:val="single" w:sz="4" w:space="0" w:color="auto"/>
              <w:right w:val="nil"/>
            </w:tcBorders>
            <w:vAlign w:val="bottom"/>
          </w:tcPr>
          <w:p w14:paraId="4DF25BD5"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125 </w:t>
            </w:r>
          </w:p>
        </w:tc>
        <w:tc>
          <w:tcPr>
            <w:tcW w:w="576" w:type="pct"/>
            <w:tcBorders>
              <w:top w:val="nil"/>
              <w:left w:val="nil"/>
              <w:bottom w:val="single" w:sz="4" w:space="0" w:color="auto"/>
              <w:right w:val="nil"/>
            </w:tcBorders>
            <w:vAlign w:val="bottom"/>
          </w:tcPr>
          <w:p w14:paraId="65B9D411"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12,493 </w:t>
            </w:r>
          </w:p>
        </w:tc>
        <w:tc>
          <w:tcPr>
            <w:tcW w:w="581" w:type="pct"/>
            <w:tcBorders>
              <w:top w:val="nil"/>
              <w:left w:val="nil"/>
              <w:bottom w:val="single" w:sz="4" w:space="0" w:color="auto"/>
              <w:right w:val="nil"/>
            </w:tcBorders>
            <w:vAlign w:val="bottom"/>
          </w:tcPr>
          <w:p w14:paraId="25097A47"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55 </w:t>
            </w:r>
          </w:p>
        </w:tc>
        <w:tc>
          <w:tcPr>
            <w:tcW w:w="576" w:type="pct"/>
            <w:tcBorders>
              <w:top w:val="nil"/>
              <w:left w:val="nil"/>
              <w:bottom w:val="single" w:sz="4" w:space="0" w:color="auto"/>
              <w:right w:val="nil"/>
            </w:tcBorders>
            <w:vAlign w:val="bottom"/>
          </w:tcPr>
          <w:p w14:paraId="77A4B10F"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12,673 </w:t>
            </w:r>
          </w:p>
        </w:tc>
        <w:tc>
          <w:tcPr>
            <w:tcW w:w="650" w:type="pct"/>
            <w:tcBorders>
              <w:top w:val="nil"/>
              <w:left w:val="nil"/>
              <w:bottom w:val="single" w:sz="4" w:space="0" w:color="auto"/>
              <w:right w:val="nil"/>
            </w:tcBorders>
            <w:vAlign w:val="bottom"/>
          </w:tcPr>
          <w:p w14:paraId="0429804B"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422,566 </w:t>
            </w:r>
          </w:p>
        </w:tc>
        <w:tc>
          <w:tcPr>
            <w:tcW w:w="574" w:type="pct"/>
            <w:tcBorders>
              <w:top w:val="nil"/>
              <w:left w:val="nil"/>
              <w:bottom w:val="single" w:sz="4" w:space="0" w:color="auto"/>
            </w:tcBorders>
            <w:vAlign w:val="bottom"/>
          </w:tcPr>
          <w:p w14:paraId="472B69D4"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r w:rsidRPr="00587444">
              <w:rPr>
                <w:rFonts w:ascii="Arial" w:eastAsia="Arial Unicode MS" w:hAnsi="Arial" w:cs="Arial"/>
                <w:color w:val="000000"/>
                <w:sz w:val="17"/>
                <w:szCs w:val="17"/>
                <w:lang w:val="hr-HR"/>
              </w:rPr>
              <w:t xml:space="preserve"> 435,239 </w:t>
            </w:r>
          </w:p>
        </w:tc>
      </w:tr>
      <w:tr w:rsidR="00587444" w:rsidRPr="00587444" w14:paraId="69F7BB45" w14:textId="77777777" w:rsidTr="00B7396E">
        <w:trPr>
          <w:trHeight w:val="333"/>
        </w:trPr>
        <w:tc>
          <w:tcPr>
            <w:tcW w:w="1512" w:type="pct"/>
            <w:vAlign w:val="bottom"/>
          </w:tcPr>
          <w:p w14:paraId="5EE1952F"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Total liabilities </w:t>
            </w:r>
          </w:p>
        </w:tc>
        <w:tc>
          <w:tcPr>
            <w:tcW w:w="531" w:type="pct"/>
            <w:tcBorders>
              <w:top w:val="single" w:sz="4" w:space="0" w:color="auto"/>
              <w:left w:val="nil"/>
              <w:bottom w:val="single" w:sz="12" w:space="0" w:color="auto"/>
              <w:right w:val="nil"/>
            </w:tcBorders>
            <w:vAlign w:val="bottom"/>
          </w:tcPr>
          <w:p w14:paraId="0F252490"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 xml:space="preserve">319,764 </w:t>
            </w:r>
          </w:p>
        </w:tc>
        <w:tc>
          <w:tcPr>
            <w:tcW w:w="576" w:type="pct"/>
            <w:tcBorders>
              <w:top w:val="single" w:sz="4" w:space="0" w:color="auto"/>
              <w:left w:val="nil"/>
              <w:bottom w:val="single" w:sz="12" w:space="0" w:color="auto"/>
              <w:right w:val="nil"/>
            </w:tcBorders>
            <w:vAlign w:val="bottom"/>
          </w:tcPr>
          <w:p w14:paraId="1EF85ECA" w14:textId="77777777" w:rsidR="00587444" w:rsidRPr="00587444" w:rsidRDefault="00587444" w:rsidP="00587444">
            <w:pPr>
              <w:suppressAutoHyphens w:val="0"/>
              <w:autoSpaceDN/>
              <w:spacing w:line="240" w:lineRule="exac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 xml:space="preserve">14,934,194 </w:t>
            </w:r>
          </w:p>
        </w:tc>
        <w:tc>
          <w:tcPr>
            <w:tcW w:w="581" w:type="pct"/>
            <w:tcBorders>
              <w:top w:val="single" w:sz="4" w:space="0" w:color="auto"/>
              <w:left w:val="nil"/>
              <w:bottom w:val="single" w:sz="12" w:space="0" w:color="auto"/>
              <w:right w:val="nil"/>
            </w:tcBorders>
            <w:vAlign w:val="bottom"/>
          </w:tcPr>
          <w:p w14:paraId="395920E2"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 xml:space="preserve">15,153 </w:t>
            </w:r>
          </w:p>
        </w:tc>
        <w:tc>
          <w:tcPr>
            <w:tcW w:w="576" w:type="pct"/>
            <w:tcBorders>
              <w:top w:val="single" w:sz="4" w:space="0" w:color="auto"/>
              <w:left w:val="nil"/>
              <w:bottom w:val="single" w:sz="12" w:space="0" w:color="auto"/>
              <w:right w:val="nil"/>
            </w:tcBorders>
            <w:vAlign w:val="bottom"/>
          </w:tcPr>
          <w:p w14:paraId="2B4F4C1A"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 xml:space="preserve">15,269,111 </w:t>
            </w:r>
          </w:p>
        </w:tc>
        <w:tc>
          <w:tcPr>
            <w:tcW w:w="650" w:type="pct"/>
            <w:tcBorders>
              <w:top w:val="single" w:sz="4" w:space="0" w:color="auto"/>
              <w:left w:val="nil"/>
              <w:bottom w:val="single" w:sz="12" w:space="0" w:color="auto"/>
              <w:right w:val="nil"/>
            </w:tcBorders>
            <w:vAlign w:val="bottom"/>
          </w:tcPr>
          <w:p w14:paraId="1C275EA9"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 xml:space="preserve"> 2,432,466 </w:t>
            </w:r>
          </w:p>
        </w:tc>
        <w:tc>
          <w:tcPr>
            <w:tcW w:w="574" w:type="pct"/>
            <w:tcBorders>
              <w:top w:val="single" w:sz="4" w:space="0" w:color="auto"/>
              <w:left w:val="nil"/>
              <w:bottom w:val="single" w:sz="12" w:space="0" w:color="auto"/>
            </w:tcBorders>
            <w:vAlign w:val="bottom"/>
          </w:tcPr>
          <w:p w14:paraId="2D672B60" w14:textId="77777777" w:rsidR="00587444" w:rsidRPr="00587444" w:rsidRDefault="00587444" w:rsidP="00587444">
            <w:pPr>
              <w:suppressAutoHyphens w:val="0"/>
              <w:autoSpaceDN/>
              <w:spacing w:line="240" w:lineRule="exac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 xml:space="preserve">17,701,577 </w:t>
            </w:r>
          </w:p>
        </w:tc>
      </w:tr>
      <w:tr w:rsidR="00587444" w:rsidRPr="00587444" w14:paraId="7F50DA4D" w14:textId="77777777" w:rsidTr="00B7396E">
        <w:trPr>
          <w:trHeight w:val="381"/>
        </w:trPr>
        <w:tc>
          <w:tcPr>
            <w:tcW w:w="1512" w:type="pct"/>
            <w:vAlign w:val="bottom"/>
          </w:tcPr>
          <w:p w14:paraId="5FD82526" w14:textId="77777777" w:rsidR="00587444" w:rsidRPr="00587444" w:rsidRDefault="00587444" w:rsidP="00587444">
            <w:pPr>
              <w:suppressAutoHyphens w:val="0"/>
              <w:autoSpaceDN/>
              <w:spacing w:line="240" w:lineRule="exact"/>
              <w:rPr>
                <w:rFonts w:ascii="Arial" w:eastAsia="Calibri" w:hAnsi="Arial" w:cs="Arial"/>
                <w:b/>
                <w:bCs/>
                <w:sz w:val="17"/>
                <w:szCs w:val="17"/>
              </w:rPr>
            </w:pPr>
            <w:r w:rsidRPr="00587444">
              <w:rPr>
                <w:rFonts w:ascii="Arial" w:eastAsia="Calibri" w:hAnsi="Arial" w:cs="Arial"/>
                <w:b/>
                <w:bCs/>
                <w:sz w:val="17"/>
                <w:szCs w:val="17"/>
              </w:rPr>
              <w:t>Currency gap</w:t>
            </w:r>
          </w:p>
        </w:tc>
        <w:tc>
          <w:tcPr>
            <w:tcW w:w="531" w:type="pct"/>
            <w:tcBorders>
              <w:top w:val="single" w:sz="12" w:space="0" w:color="auto"/>
              <w:left w:val="nil"/>
              <w:bottom w:val="single" w:sz="12" w:space="0" w:color="auto"/>
              <w:right w:val="nil"/>
            </w:tcBorders>
            <w:shd w:val="clear" w:color="000000" w:fill="auto"/>
            <w:vAlign w:val="bottom"/>
          </w:tcPr>
          <w:p w14:paraId="02160FE8"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 xml:space="preserve"> (22,685) </w:t>
            </w:r>
          </w:p>
        </w:tc>
        <w:tc>
          <w:tcPr>
            <w:tcW w:w="576" w:type="pct"/>
            <w:tcBorders>
              <w:top w:val="single" w:sz="12" w:space="0" w:color="auto"/>
              <w:left w:val="nil"/>
              <w:bottom w:val="single" w:sz="12" w:space="0" w:color="auto"/>
              <w:right w:val="nil"/>
            </w:tcBorders>
            <w:shd w:val="clear" w:color="000000" w:fill="auto"/>
            <w:vAlign w:val="bottom"/>
          </w:tcPr>
          <w:p w14:paraId="236CD661"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 xml:space="preserve"> (890,393)</w:t>
            </w:r>
          </w:p>
        </w:tc>
        <w:tc>
          <w:tcPr>
            <w:tcW w:w="581" w:type="pct"/>
            <w:tcBorders>
              <w:top w:val="single" w:sz="12" w:space="0" w:color="auto"/>
              <w:left w:val="nil"/>
              <w:bottom w:val="single" w:sz="12" w:space="0" w:color="auto"/>
              <w:right w:val="nil"/>
            </w:tcBorders>
            <w:shd w:val="clear" w:color="000000" w:fill="auto"/>
            <w:vAlign w:val="bottom"/>
          </w:tcPr>
          <w:p w14:paraId="21690954"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 xml:space="preserve"> (15,153)</w:t>
            </w:r>
          </w:p>
        </w:tc>
        <w:tc>
          <w:tcPr>
            <w:tcW w:w="576" w:type="pct"/>
            <w:tcBorders>
              <w:top w:val="single" w:sz="12" w:space="0" w:color="auto"/>
              <w:left w:val="nil"/>
              <w:bottom w:val="single" w:sz="12" w:space="0" w:color="auto"/>
              <w:right w:val="nil"/>
            </w:tcBorders>
            <w:shd w:val="clear" w:color="000000" w:fill="auto"/>
            <w:vAlign w:val="bottom"/>
          </w:tcPr>
          <w:p w14:paraId="5597ADF0"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 xml:space="preserve"> (928,231)</w:t>
            </w:r>
          </w:p>
        </w:tc>
        <w:tc>
          <w:tcPr>
            <w:tcW w:w="650" w:type="pct"/>
            <w:tcBorders>
              <w:top w:val="single" w:sz="12" w:space="0" w:color="auto"/>
              <w:left w:val="nil"/>
              <w:bottom w:val="single" w:sz="12" w:space="0" w:color="auto"/>
              <w:right w:val="nil"/>
            </w:tcBorders>
            <w:shd w:val="clear" w:color="000000" w:fill="auto"/>
            <w:vAlign w:val="bottom"/>
          </w:tcPr>
          <w:p w14:paraId="36F8A289"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 xml:space="preserve"> 11,505,016 </w:t>
            </w:r>
          </w:p>
        </w:tc>
        <w:tc>
          <w:tcPr>
            <w:tcW w:w="574" w:type="pct"/>
            <w:tcBorders>
              <w:top w:val="single" w:sz="12" w:space="0" w:color="auto"/>
              <w:left w:val="nil"/>
              <w:bottom w:val="single" w:sz="12" w:space="0" w:color="auto"/>
            </w:tcBorders>
            <w:shd w:val="clear" w:color="000000" w:fill="auto"/>
            <w:vAlign w:val="bottom"/>
          </w:tcPr>
          <w:p w14:paraId="7B802D25" w14:textId="77777777" w:rsidR="00587444" w:rsidRPr="00587444" w:rsidRDefault="00587444" w:rsidP="00587444">
            <w:pPr>
              <w:suppressAutoHyphens w:val="0"/>
              <w:autoSpaceDN/>
              <w:spacing w:line="240" w:lineRule="exact"/>
              <w:jc w:val="right"/>
              <w:rPr>
                <w:rFonts w:ascii="Arial" w:eastAsia="Arial Unicode MS" w:hAnsi="Arial" w:cs="Arial"/>
                <w:b/>
                <w:bCs/>
                <w:sz w:val="17"/>
                <w:szCs w:val="17"/>
              </w:rPr>
            </w:pPr>
            <w:r w:rsidRPr="00587444">
              <w:rPr>
                <w:rFonts w:ascii="Arial" w:eastAsia="Arial Unicode MS" w:hAnsi="Arial" w:cs="Arial"/>
                <w:b/>
                <w:bCs/>
                <w:color w:val="000000"/>
                <w:sz w:val="17"/>
                <w:szCs w:val="17"/>
                <w:lang w:val="hr-HR"/>
              </w:rPr>
              <w:t xml:space="preserve">10,576,785 </w:t>
            </w:r>
          </w:p>
        </w:tc>
      </w:tr>
    </w:tbl>
    <w:p w14:paraId="5BD3B189" w14:textId="77777777" w:rsidR="00587444" w:rsidRPr="00587444" w:rsidRDefault="00587444" w:rsidP="00587444">
      <w:pPr>
        <w:keepNext/>
        <w:suppressAutoHyphens w:val="0"/>
        <w:autoSpaceDN/>
        <w:jc w:val="both"/>
        <w:rPr>
          <w:rFonts w:ascii="Arial" w:hAnsi="Arial" w:cs="Arial"/>
          <w:sz w:val="20"/>
          <w:szCs w:val="20"/>
          <w:lang w:val="en-GB"/>
        </w:rPr>
      </w:pPr>
    </w:p>
    <w:p w14:paraId="634EAE75" w14:textId="77777777" w:rsidR="00587444" w:rsidRPr="00587444" w:rsidRDefault="00587444" w:rsidP="00587444">
      <w:pPr>
        <w:keepNext/>
        <w:suppressAutoHyphens w:val="0"/>
        <w:autoSpaceDN/>
        <w:jc w:val="both"/>
        <w:rPr>
          <w:rFonts w:ascii="Arial" w:hAnsi="Arial" w:cs="Arial"/>
          <w:sz w:val="20"/>
          <w:szCs w:val="20"/>
          <w:lang w:val="en-GB"/>
        </w:rPr>
      </w:pPr>
    </w:p>
    <w:p w14:paraId="5C87A89A" w14:textId="77777777" w:rsidR="00587444" w:rsidRPr="00943B2E" w:rsidRDefault="00587444" w:rsidP="00587444">
      <w:pPr>
        <w:tabs>
          <w:tab w:val="right" w:pos="1202"/>
        </w:tabs>
        <w:suppressAutoHyphens w:val="0"/>
        <w:autoSpaceDN/>
        <w:jc w:val="both"/>
        <w:outlineLvl w:val="0"/>
        <w:rPr>
          <w:rFonts w:ascii="Arial" w:hAnsi="Arial" w:cs="Arial"/>
          <w:i/>
          <w:sz w:val="18"/>
          <w:szCs w:val="18"/>
        </w:rPr>
      </w:pPr>
      <w:r w:rsidRPr="00943B2E">
        <w:rPr>
          <w:rFonts w:ascii="Arial" w:hAnsi="Arial" w:cs="Arial"/>
          <w:i/>
          <w:sz w:val="18"/>
          <w:szCs w:val="18"/>
        </w:rPr>
        <w:t>*Amounts linked to a one-way currency clause represent HRK 28,554 thousand.</w:t>
      </w:r>
      <w:r w:rsidRPr="00943B2E" w:rsidDel="00597E6E">
        <w:rPr>
          <w:rFonts w:ascii="Arial" w:hAnsi="Arial" w:cs="Arial"/>
          <w:i/>
          <w:sz w:val="18"/>
          <w:szCs w:val="18"/>
        </w:rPr>
        <w:t xml:space="preserve"> </w:t>
      </w:r>
    </w:p>
    <w:p w14:paraId="5B5BFD93"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731BE43D" w14:textId="77777777" w:rsidR="00587444" w:rsidRPr="00587444" w:rsidRDefault="00587444" w:rsidP="00587444">
      <w:pPr>
        <w:tabs>
          <w:tab w:val="right" w:pos="1202"/>
        </w:tabs>
        <w:suppressAutoHyphens w:val="0"/>
        <w:autoSpaceDN/>
        <w:outlineLvl w:val="0"/>
        <w:rPr>
          <w:rFonts w:ascii="Arial" w:hAnsi="Arial" w:cs="Arial"/>
          <w:bCs/>
          <w:i/>
          <w:spacing w:val="-2"/>
          <w:sz w:val="20"/>
          <w:szCs w:val="20"/>
          <w:lang w:val="en-GB"/>
        </w:rPr>
      </w:pPr>
    </w:p>
    <w:p w14:paraId="100FF153" w14:textId="77777777" w:rsidR="00587444" w:rsidRPr="00587444" w:rsidRDefault="00587444" w:rsidP="00587444">
      <w:pPr>
        <w:tabs>
          <w:tab w:val="right" w:pos="1202"/>
        </w:tabs>
        <w:suppressAutoHyphens w:val="0"/>
        <w:autoSpaceDN/>
        <w:outlineLvl w:val="0"/>
        <w:rPr>
          <w:rFonts w:ascii="Arial" w:hAnsi="Arial" w:cs="Arial"/>
          <w:bCs/>
          <w:i/>
          <w:spacing w:val="-2"/>
          <w:sz w:val="20"/>
          <w:szCs w:val="20"/>
          <w:lang w:val="en-GB"/>
        </w:rPr>
        <w:sectPr w:rsidR="00587444" w:rsidRPr="00587444" w:rsidSect="00DD69E7">
          <w:pgSz w:w="11907" w:h="16840" w:code="9"/>
          <w:pgMar w:top="1418" w:right="1134" w:bottom="1134" w:left="1418" w:header="851" w:footer="851" w:gutter="0"/>
          <w:cols w:space="720"/>
          <w:noEndnote/>
        </w:sectPr>
      </w:pPr>
    </w:p>
    <w:p w14:paraId="4EA9A5B0"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5D46350A"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         Risk management (continued)</w:t>
      </w:r>
    </w:p>
    <w:p w14:paraId="696DB43F"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30A8B92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31.5.      Market risk (continued)</w:t>
      </w:r>
    </w:p>
    <w:p w14:paraId="53D3754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72468DB6"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31.5.2.   Currency risk (continued)</w:t>
      </w:r>
    </w:p>
    <w:p w14:paraId="17B7816C" w14:textId="77777777" w:rsidR="00587444" w:rsidRPr="00587444" w:rsidRDefault="00587444" w:rsidP="00587444">
      <w:pPr>
        <w:tabs>
          <w:tab w:val="left" w:pos="-720"/>
        </w:tabs>
        <w:autoSpaceDN/>
        <w:rPr>
          <w:rFonts w:ascii="Arial" w:hAnsi="Arial" w:cs="Arial"/>
          <w:b/>
          <w:spacing w:val="-3"/>
          <w:sz w:val="20"/>
          <w:szCs w:val="20"/>
          <w:lang w:val="en-GB"/>
        </w:rPr>
      </w:pPr>
    </w:p>
    <w:p w14:paraId="75ECBAE9"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Total assets and total liabilities as of 31 December 2022 and 31 December 2021 in HRK and foreign currencies can be shown as follows:</w:t>
      </w:r>
    </w:p>
    <w:p w14:paraId="15CB8312" w14:textId="77777777" w:rsidR="00587444" w:rsidRPr="00587444" w:rsidRDefault="00587444" w:rsidP="00587444">
      <w:pPr>
        <w:keepNext/>
        <w:suppressAutoHyphens w:val="0"/>
        <w:autoSpaceDN/>
        <w:jc w:val="both"/>
        <w:rPr>
          <w:rFonts w:ascii="Arial" w:hAnsi="Arial" w:cs="Arial"/>
          <w:sz w:val="20"/>
          <w:szCs w:val="20"/>
          <w:lang w:val="en-GB"/>
        </w:rPr>
      </w:pPr>
    </w:p>
    <w:tbl>
      <w:tblPr>
        <w:tblW w:w="5267" w:type="pct"/>
        <w:tblInd w:w="-306" w:type="dxa"/>
        <w:tblLayout w:type="fixed"/>
        <w:tblCellMar>
          <w:left w:w="120" w:type="dxa"/>
          <w:right w:w="120" w:type="dxa"/>
        </w:tblCellMar>
        <w:tblLook w:val="0000" w:firstRow="0" w:lastRow="0" w:firstColumn="0" w:lastColumn="0" w:noHBand="0" w:noVBand="0"/>
      </w:tblPr>
      <w:tblGrid>
        <w:gridCol w:w="2797"/>
        <w:gridCol w:w="1023"/>
        <w:gridCol w:w="1148"/>
        <w:gridCol w:w="1245"/>
        <w:gridCol w:w="1243"/>
        <w:gridCol w:w="1371"/>
        <w:gridCol w:w="1280"/>
      </w:tblGrid>
      <w:tr w:rsidR="00587444" w:rsidRPr="00587444" w14:paraId="3FA1C70F" w14:textId="77777777" w:rsidTr="00DD69E7">
        <w:trPr>
          <w:trHeight w:val="630"/>
        </w:trPr>
        <w:tc>
          <w:tcPr>
            <w:tcW w:w="1384" w:type="pct"/>
            <w:vAlign w:val="bottom"/>
          </w:tcPr>
          <w:p w14:paraId="3B6FF7EC" w14:textId="77777777" w:rsidR="00587444" w:rsidRPr="00587444" w:rsidRDefault="00587444" w:rsidP="00587444">
            <w:pPr>
              <w:tabs>
                <w:tab w:val="right" w:pos="1202"/>
              </w:tabs>
              <w:suppressAutoHyphens w:val="0"/>
              <w:autoSpaceDN/>
              <w:spacing w:line="240" w:lineRule="exact"/>
              <w:outlineLvl w:val="0"/>
              <w:rPr>
                <w:rFonts w:ascii="Arial" w:hAnsi="Arial" w:cs="Arial"/>
                <w:b/>
                <w:sz w:val="17"/>
                <w:szCs w:val="17"/>
              </w:rPr>
            </w:pPr>
            <w:bookmarkStart w:id="1328" w:name="_Toc4062867"/>
            <w:bookmarkStart w:id="1329" w:name="_Hlk97826105"/>
            <w:r w:rsidRPr="00587444">
              <w:rPr>
                <w:rFonts w:ascii="Arial" w:hAnsi="Arial" w:cs="Arial"/>
                <w:b/>
                <w:sz w:val="17"/>
                <w:szCs w:val="17"/>
              </w:rPr>
              <w:t>Bank</w:t>
            </w:r>
            <w:bookmarkEnd w:id="1328"/>
          </w:p>
          <w:p w14:paraId="5186DCEB" w14:textId="77777777" w:rsidR="00587444" w:rsidRPr="00587444" w:rsidRDefault="00587444" w:rsidP="00587444">
            <w:pPr>
              <w:tabs>
                <w:tab w:val="right" w:pos="1202"/>
              </w:tabs>
              <w:suppressAutoHyphens w:val="0"/>
              <w:autoSpaceDN/>
              <w:spacing w:line="240" w:lineRule="exact"/>
              <w:outlineLvl w:val="0"/>
              <w:rPr>
                <w:rFonts w:ascii="Arial" w:hAnsi="Arial" w:cs="Arial"/>
                <w:b/>
                <w:sz w:val="17"/>
                <w:szCs w:val="17"/>
              </w:rPr>
            </w:pPr>
          </w:p>
          <w:p w14:paraId="3DD60873" w14:textId="77777777" w:rsidR="00587444" w:rsidRPr="00587444" w:rsidRDefault="00587444" w:rsidP="00587444">
            <w:pPr>
              <w:tabs>
                <w:tab w:val="right" w:pos="1202"/>
              </w:tabs>
              <w:suppressAutoHyphens w:val="0"/>
              <w:autoSpaceDN/>
              <w:spacing w:line="240" w:lineRule="exact"/>
              <w:outlineLvl w:val="0"/>
              <w:rPr>
                <w:rFonts w:ascii="Arial" w:hAnsi="Arial" w:cs="Arial"/>
                <w:b/>
                <w:sz w:val="17"/>
                <w:szCs w:val="17"/>
              </w:rPr>
            </w:pPr>
            <w:bookmarkStart w:id="1330" w:name="_Toc4062868"/>
            <w:r w:rsidRPr="00587444">
              <w:rPr>
                <w:rFonts w:ascii="Arial" w:hAnsi="Arial" w:cs="Arial"/>
                <w:b/>
                <w:bCs/>
                <w:sz w:val="17"/>
                <w:szCs w:val="17"/>
              </w:rPr>
              <w:t>31 December</w:t>
            </w:r>
            <w:r w:rsidRPr="00587444">
              <w:rPr>
                <w:rFonts w:ascii="Arial" w:hAnsi="Arial" w:cs="Arial"/>
                <w:b/>
                <w:sz w:val="17"/>
                <w:szCs w:val="17"/>
              </w:rPr>
              <w:t xml:space="preserve"> 202</w:t>
            </w:r>
            <w:bookmarkEnd w:id="1330"/>
            <w:r w:rsidRPr="00587444">
              <w:rPr>
                <w:rFonts w:ascii="Arial" w:hAnsi="Arial" w:cs="Arial"/>
                <w:b/>
                <w:sz w:val="17"/>
                <w:szCs w:val="17"/>
              </w:rPr>
              <w:t>2</w:t>
            </w:r>
          </w:p>
        </w:tc>
        <w:tc>
          <w:tcPr>
            <w:tcW w:w="506" w:type="pct"/>
          </w:tcPr>
          <w:p w14:paraId="570EFEE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31" w:name="_Toc4062869"/>
            <w:r w:rsidRPr="00587444">
              <w:rPr>
                <w:rFonts w:ascii="Arial" w:hAnsi="Arial" w:cs="Arial"/>
                <w:b/>
                <w:sz w:val="17"/>
                <w:szCs w:val="17"/>
              </w:rPr>
              <w:t>USD</w:t>
            </w:r>
            <w:bookmarkEnd w:id="1331"/>
          </w:p>
        </w:tc>
        <w:tc>
          <w:tcPr>
            <w:tcW w:w="568" w:type="pct"/>
          </w:tcPr>
          <w:p w14:paraId="755545D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32" w:name="_Toc4062870"/>
            <w:r w:rsidRPr="00587444">
              <w:rPr>
                <w:rFonts w:ascii="Arial" w:hAnsi="Arial" w:cs="Arial"/>
                <w:b/>
                <w:sz w:val="17"/>
                <w:szCs w:val="17"/>
              </w:rPr>
              <w:t>EUR</w:t>
            </w:r>
            <w:bookmarkEnd w:id="1332"/>
            <w:r w:rsidRPr="00587444">
              <w:rPr>
                <w:rFonts w:ascii="Arial" w:hAnsi="Arial" w:cs="Arial"/>
                <w:b/>
                <w:sz w:val="17"/>
                <w:szCs w:val="17"/>
              </w:rPr>
              <w:t xml:space="preserve"> </w:t>
            </w:r>
          </w:p>
        </w:tc>
        <w:tc>
          <w:tcPr>
            <w:tcW w:w="616" w:type="pct"/>
          </w:tcPr>
          <w:p w14:paraId="63665C1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33" w:name="_Toc4062871"/>
            <w:r w:rsidRPr="00587444">
              <w:rPr>
                <w:rFonts w:ascii="Arial" w:hAnsi="Arial" w:cs="Arial"/>
                <w:b/>
                <w:sz w:val="17"/>
                <w:szCs w:val="17"/>
              </w:rPr>
              <w:t>Other</w:t>
            </w:r>
            <w:bookmarkEnd w:id="1333"/>
            <w:r w:rsidRPr="00587444">
              <w:rPr>
                <w:rFonts w:ascii="Arial" w:hAnsi="Arial" w:cs="Arial"/>
                <w:b/>
                <w:sz w:val="17"/>
                <w:szCs w:val="17"/>
              </w:rPr>
              <w:t xml:space="preserve"> </w:t>
            </w:r>
          </w:p>
          <w:p w14:paraId="68E6F34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34" w:name="_Toc4062872"/>
            <w:r w:rsidRPr="00587444">
              <w:rPr>
                <w:rFonts w:ascii="Arial" w:hAnsi="Arial" w:cs="Arial"/>
                <w:b/>
                <w:sz w:val="17"/>
                <w:szCs w:val="17"/>
              </w:rPr>
              <w:t>foreign currencies</w:t>
            </w:r>
            <w:bookmarkEnd w:id="1334"/>
            <w:r w:rsidRPr="00587444">
              <w:rPr>
                <w:rFonts w:ascii="Arial" w:hAnsi="Arial" w:cs="Arial"/>
                <w:b/>
                <w:sz w:val="17"/>
                <w:szCs w:val="17"/>
              </w:rPr>
              <w:t xml:space="preserve"> </w:t>
            </w:r>
          </w:p>
        </w:tc>
        <w:tc>
          <w:tcPr>
            <w:tcW w:w="615" w:type="pct"/>
          </w:tcPr>
          <w:p w14:paraId="7F0FFBB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35" w:name="_Toc4062873"/>
            <w:r w:rsidRPr="00587444">
              <w:rPr>
                <w:rFonts w:ascii="Arial" w:hAnsi="Arial" w:cs="Arial"/>
                <w:b/>
                <w:sz w:val="17"/>
                <w:szCs w:val="17"/>
              </w:rPr>
              <w:t>Total</w:t>
            </w:r>
            <w:bookmarkEnd w:id="1335"/>
          </w:p>
          <w:p w14:paraId="23380D7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 </w:t>
            </w:r>
            <w:bookmarkStart w:id="1336" w:name="_Toc4062874"/>
            <w:r w:rsidRPr="00587444">
              <w:rPr>
                <w:rFonts w:ascii="Arial" w:hAnsi="Arial" w:cs="Arial"/>
                <w:b/>
                <w:sz w:val="17"/>
                <w:szCs w:val="17"/>
              </w:rPr>
              <w:t>foreign currencies</w:t>
            </w:r>
            <w:bookmarkEnd w:id="1336"/>
            <w:r w:rsidRPr="00587444">
              <w:rPr>
                <w:rFonts w:ascii="Arial" w:hAnsi="Arial" w:cs="Arial"/>
                <w:b/>
                <w:sz w:val="17"/>
                <w:szCs w:val="17"/>
              </w:rPr>
              <w:t xml:space="preserve"> </w:t>
            </w:r>
          </w:p>
        </w:tc>
        <w:tc>
          <w:tcPr>
            <w:tcW w:w="678" w:type="pct"/>
          </w:tcPr>
          <w:p w14:paraId="38698FC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37" w:name="_Toc4062875"/>
            <w:r w:rsidRPr="00587444">
              <w:rPr>
                <w:rFonts w:ascii="Arial" w:hAnsi="Arial" w:cs="Arial"/>
                <w:b/>
                <w:sz w:val="17"/>
                <w:szCs w:val="17"/>
              </w:rPr>
              <w:t>HRK</w:t>
            </w:r>
            <w:bookmarkEnd w:id="1337"/>
          </w:p>
        </w:tc>
        <w:tc>
          <w:tcPr>
            <w:tcW w:w="633" w:type="pct"/>
          </w:tcPr>
          <w:p w14:paraId="44BDC7A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38" w:name="_Toc4062876"/>
            <w:r w:rsidRPr="00587444">
              <w:rPr>
                <w:rFonts w:ascii="Arial" w:hAnsi="Arial" w:cs="Arial"/>
                <w:b/>
                <w:sz w:val="17"/>
                <w:szCs w:val="17"/>
              </w:rPr>
              <w:t>Total</w:t>
            </w:r>
            <w:bookmarkEnd w:id="1338"/>
            <w:r w:rsidRPr="00587444">
              <w:rPr>
                <w:rFonts w:ascii="Arial" w:hAnsi="Arial" w:cs="Arial"/>
                <w:b/>
                <w:sz w:val="17"/>
                <w:szCs w:val="17"/>
              </w:rPr>
              <w:t xml:space="preserve"> </w:t>
            </w:r>
          </w:p>
        </w:tc>
      </w:tr>
      <w:tr w:rsidR="00587444" w:rsidRPr="00587444" w14:paraId="5EA65579" w14:textId="77777777" w:rsidTr="00DD69E7">
        <w:trPr>
          <w:trHeight w:hRule="exact" w:val="229"/>
        </w:trPr>
        <w:tc>
          <w:tcPr>
            <w:tcW w:w="1384" w:type="pct"/>
          </w:tcPr>
          <w:p w14:paraId="3C5E5F6B" w14:textId="77777777" w:rsidR="00587444" w:rsidRPr="00587444" w:rsidRDefault="00587444" w:rsidP="00587444">
            <w:pPr>
              <w:tabs>
                <w:tab w:val="right" w:pos="1202"/>
              </w:tabs>
              <w:suppressAutoHyphens w:val="0"/>
              <w:autoSpaceDN/>
              <w:spacing w:line="240" w:lineRule="exact"/>
              <w:outlineLvl w:val="0"/>
              <w:rPr>
                <w:rFonts w:ascii="Arial" w:hAnsi="Arial" w:cs="Arial"/>
                <w:b/>
                <w:sz w:val="17"/>
                <w:szCs w:val="17"/>
              </w:rPr>
            </w:pPr>
          </w:p>
        </w:tc>
        <w:tc>
          <w:tcPr>
            <w:tcW w:w="506" w:type="pct"/>
          </w:tcPr>
          <w:p w14:paraId="0B7F64F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39" w:name="_Toc4062877"/>
            <w:r w:rsidRPr="00587444">
              <w:rPr>
                <w:rFonts w:ascii="Arial" w:hAnsi="Arial" w:cs="Arial"/>
                <w:b/>
                <w:sz w:val="17"/>
                <w:szCs w:val="17"/>
              </w:rPr>
              <w:t>HRK ‘000</w:t>
            </w:r>
            <w:bookmarkEnd w:id="1339"/>
          </w:p>
        </w:tc>
        <w:tc>
          <w:tcPr>
            <w:tcW w:w="568" w:type="pct"/>
          </w:tcPr>
          <w:p w14:paraId="31510A1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40" w:name="_Toc4062878"/>
            <w:r w:rsidRPr="00587444">
              <w:rPr>
                <w:rFonts w:ascii="Arial" w:hAnsi="Arial" w:cs="Arial"/>
                <w:b/>
                <w:sz w:val="17"/>
                <w:szCs w:val="17"/>
              </w:rPr>
              <w:t>HRK ‘000</w:t>
            </w:r>
            <w:bookmarkEnd w:id="1340"/>
          </w:p>
        </w:tc>
        <w:tc>
          <w:tcPr>
            <w:tcW w:w="616" w:type="pct"/>
          </w:tcPr>
          <w:p w14:paraId="0CFCA3D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41" w:name="_Toc4062879"/>
            <w:r w:rsidRPr="00587444">
              <w:rPr>
                <w:rFonts w:ascii="Arial" w:hAnsi="Arial" w:cs="Arial"/>
                <w:b/>
                <w:sz w:val="17"/>
                <w:szCs w:val="17"/>
              </w:rPr>
              <w:t>HRK ‘000</w:t>
            </w:r>
            <w:bookmarkEnd w:id="1341"/>
          </w:p>
        </w:tc>
        <w:tc>
          <w:tcPr>
            <w:tcW w:w="615" w:type="pct"/>
          </w:tcPr>
          <w:p w14:paraId="5327462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42" w:name="_Toc4062880"/>
            <w:r w:rsidRPr="00587444">
              <w:rPr>
                <w:rFonts w:ascii="Arial" w:hAnsi="Arial" w:cs="Arial"/>
                <w:b/>
                <w:sz w:val="17"/>
                <w:szCs w:val="17"/>
              </w:rPr>
              <w:t>HRK ‘000</w:t>
            </w:r>
            <w:bookmarkEnd w:id="1342"/>
          </w:p>
        </w:tc>
        <w:tc>
          <w:tcPr>
            <w:tcW w:w="678" w:type="pct"/>
          </w:tcPr>
          <w:p w14:paraId="24BA289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43" w:name="_Toc4062881"/>
            <w:r w:rsidRPr="00587444">
              <w:rPr>
                <w:rFonts w:ascii="Arial" w:hAnsi="Arial" w:cs="Arial"/>
                <w:b/>
                <w:sz w:val="17"/>
                <w:szCs w:val="17"/>
              </w:rPr>
              <w:t>HRK ‘000</w:t>
            </w:r>
            <w:bookmarkEnd w:id="1343"/>
          </w:p>
        </w:tc>
        <w:tc>
          <w:tcPr>
            <w:tcW w:w="633" w:type="pct"/>
          </w:tcPr>
          <w:p w14:paraId="14B4296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1344" w:name="_Toc4062882"/>
            <w:r w:rsidRPr="00587444">
              <w:rPr>
                <w:rFonts w:ascii="Arial" w:hAnsi="Arial" w:cs="Arial"/>
                <w:b/>
                <w:sz w:val="17"/>
                <w:szCs w:val="17"/>
              </w:rPr>
              <w:t>HRK ‘000</w:t>
            </w:r>
            <w:bookmarkEnd w:id="1344"/>
          </w:p>
        </w:tc>
      </w:tr>
      <w:tr w:rsidR="00587444" w:rsidRPr="00587444" w14:paraId="38341B29" w14:textId="77777777" w:rsidTr="00DD69E7">
        <w:trPr>
          <w:trHeight w:val="217"/>
        </w:trPr>
        <w:tc>
          <w:tcPr>
            <w:tcW w:w="1384" w:type="pct"/>
          </w:tcPr>
          <w:p w14:paraId="2E29EE1B" w14:textId="77777777" w:rsidR="00587444" w:rsidRPr="00587444" w:rsidRDefault="00587444" w:rsidP="00587444">
            <w:pPr>
              <w:tabs>
                <w:tab w:val="right" w:pos="1202"/>
              </w:tabs>
              <w:suppressAutoHyphens w:val="0"/>
              <w:autoSpaceDN/>
              <w:spacing w:line="240" w:lineRule="exact"/>
              <w:outlineLvl w:val="0"/>
              <w:rPr>
                <w:rFonts w:ascii="Arial" w:hAnsi="Arial" w:cs="Arial"/>
                <w:b/>
                <w:sz w:val="17"/>
                <w:szCs w:val="17"/>
              </w:rPr>
            </w:pPr>
            <w:bookmarkStart w:id="1345" w:name="_Toc4062883"/>
            <w:r w:rsidRPr="00587444">
              <w:rPr>
                <w:rFonts w:ascii="Arial" w:hAnsi="Arial" w:cs="Arial"/>
                <w:b/>
                <w:sz w:val="17"/>
                <w:szCs w:val="17"/>
              </w:rPr>
              <w:t>Assets</w:t>
            </w:r>
            <w:bookmarkEnd w:id="1345"/>
            <w:r w:rsidRPr="00587444">
              <w:rPr>
                <w:rFonts w:ascii="Arial" w:hAnsi="Arial" w:cs="Arial"/>
                <w:b/>
                <w:sz w:val="17"/>
                <w:szCs w:val="17"/>
              </w:rPr>
              <w:t xml:space="preserve"> </w:t>
            </w:r>
          </w:p>
        </w:tc>
        <w:tc>
          <w:tcPr>
            <w:tcW w:w="506" w:type="pct"/>
            <w:vAlign w:val="bottom"/>
          </w:tcPr>
          <w:p w14:paraId="19A051E9"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c>
          <w:tcPr>
            <w:tcW w:w="568" w:type="pct"/>
            <w:vAlign w:val="bottom"/>
          </w:tcPr>
          <w:p w14:paraId="367311CA"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c>
          <w:tcPr>
            <w:tcW w:w="616" w:type="pct"/>
            <w:vAlign w:val="bottom"/>
          </w:tcPr>
          <w:p w14:paraId="777E4A6C"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c>
          <w:tcPr>
            <w:tcW w:w="615" w:type="pct"/>
            <w:vAlign w:val="bottom"/>
          </w:tcPr>
          <w:p w14:paraId="42F9FB7C"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c>
          <w:tcPr>
            <w:tcW w:w="678" w:type="pct"/>
            <w:vAlign w:val="bottom"/>
          </w:tcPr>
          <w:p w14:paraId="0B318D68"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c>
          <w:tcPr>
            <w:tcW w:w="633" w:type="pct"/>
            <w:vAlign w:val="bottom"/>
          </w:tcPr>
          <w:p w14:paraId="070A7B98"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r>
      <w:tr w:rsidR="00587444" w:rsidRPr="00587444" w14:paraId="6DC4B754" w14:textId="77777777" w:rsidTr="00DD69E7">
        <w:trPr>
          <w:trHeight w:val="281"/>
        </w:trPr>
        <w:tc>
          <w:tcPr>
            <w:tcW w:w="1384" w:type="pct"/>
            <w:vAlign w:val="bottom"/>
          </w:tcPr>
          <w:p w14:paraId="23DC5176" w14:textId="77777777" w:rsidR="001D0F84" w:rsidRDefault="00587444" w:rsidP="00587444">
            <w:pPr>
              <w:tabs>
                <w:tab w:val="right" w:pos="1202"/>
              </w:tabs>
              <w:suppressAutoHyphens w:val="0"/>
              <w:autoSpaceDN/>
              <w:spacing w:line="240" w:lineRule="exact"/>
              <w:outlineLvl w:val="0"/>
              <w:rPr>
                <w:rFonts w:ascii="Arial" w:hAnsi="Arial" w:cs="Arial"/>
                <w:spacing w:val="-2"/>
                <w:sz w:val="17"/>
                <w:szCs w:val="17"/>
              </w:rPr>
            </w:pPr>
            <w:bookmarkStart w:id="1346" w:name="_Toc4062884"/>
            <w:r w:rsidRPr="00587444">
              <w:rPr>
                <w:rFonts w:ascii="Arial" w:hAnsi="Arial" w:cs="Arial"/>
                <w:spacing w:val="-2"/>
                <w:sz w:val="17"/>
                <w:szCs w:val="17"/>
              </w:rPr>
              <w:t xml:space="preserve">Cash on hand and current </w:t>
            </w:r>
          </w:p>
          <w:p w14:paraId="4202BC6D" w14:textId="56089F83"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accounts with banks</w:t>
            </w:r>
            <w:bookmarkEnd w:id="1346"/>
          </w:p>
        </w:tc>
        <w:tc>
          <w:tcPr>
            <w:tcW w:w="506" w:type="pct"/>
            <w:tcBorders>
              <w:top w:val="nil"/>
              <w:left w:val="nil"/>
              <w:right w:val="nil"/>
            </w:tcBorders>
            <w:vAlign w:val="bottom"/>
          </w:tcPr>
          <w:p w14:paraId="7E0374D7"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14,662 </w:t>
            </w:r>
          </w:p>
        </w:tc>
        <w:tc>
          <w:tcPr>
            <w:tcW w:w="568" w:type="pct"/>
            <w:tcBorders>
              <w:top w:val="nil"/>
              <w:left w:val="nil"/>
              <w:right w:val="nil"/>
            </w:tcBorders>
            <w:vAlign w:val="bottom"/>
          </w:tcPr>
          <w:p w14:paraId="65A654BD"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85,418 </w:t>
            </w:r>
          </w:p>
        </w:tc>
        <w:tc>
          <w:tcPr>
            <w:tcW w:w="616" w:type="pct"/>
            <w:tcBorders>
              <w:top w:val="nil"/>
              <w:left w:val="nil"/>
              <w:right w:val="nil"/>
            </w:tcBorders>
            <w:vAlign w:val="bottom"/>
          </w:tcPr>
          <w:p w14:paraId="390DC195"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29 </w:t>
            </w:r>
          </w:p>
        </w:tc>
        <w:tc>
          <w:tcPr>
            <w:tcW w:w="615" w:type="pct"/>
            <w:tcBorders>
              <w:top w:val="nil"/>
              <w:left w:val="nil"/>
              <w:right w:val="nil"/>
            </w:tcBorders>
            <w:vAlign w:val="bottom"/>
          </w:tcPr>
          <w:p w14:paraId="5FC852AF"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100,109 </w:t>
            </w:r>
          </w:p>
        </w:tc>
        <w:tc>
          <w:tcPr>
            <w:tcW w:w="678" w:type="pct"/>
            <w:tcBorders>
              <w:top w:val="nil"/>
              <w:left w:val="nil"/>
              <w:right w:val="nil"/>
            </w:tcBorders>
            <w:vAlign w:val="bottom"/>
          </w:tcPr>
          <w:p w14:paraId="2318F072"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1,616,410 </w:t>
            </w:r>
          </w:p>
        </w:tc>
        <w:tc>
          <w:tcPr>
            <w:tcW w:w="633" w:type="pct"/>
            <w:tcBorders>
              <w:top w:val="nil"/>
              <w:left w:val="nil"/>
            </w:tcBorders>
            <w:vAlign w:val="bottom"/>
          </w:tcPr>
          <w:p w14:paraId="0ECD1C56"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1,716,519 </w:t>
            </w:r>
          </w:p>
        </w:tc>
      </w:tr>
      <w:tr w:rsidR="00587444" w:rsidRPr="00587444" w14:paraId="740D892E" w14:textId="77777777" w:rsidTr="00DD69E7">
        <w:trPr>
          <w:trHeight w:hRule="exact" w:val="301"/>
        </w:trPr>
        <w:tc>
          <w:tcPr>
            <w:tcW w:w="1384" w:type="pct"/>
            <w:vAlign w:val="bottom"/>
          </w:tcPr>
          <w:p w14:paraId="2EB9F22D"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bookmarkStart w:id="1347" w:name="_Toc4062885"/>
            <w:r w:rsidRPr="00587444">
              <w:rPr>
                <w:rFonts w:ascii="Arial" w:hAnsi="Arial" w:cs="Arial"/>
                <w:spacing w:val="-2"/>
                <w:sz w:val="17"/>
                <w:szCs w:val="17"/>
              </w:rPr>
              <w:t>Deposits with other banks</w:t>
            </w:r>
            <w:bookmarkEnd w:id="1347"/>
            <w:r w:rsidRPr="00587444">
              <w:rPr>
                <w:rFonts w:ascii="Arial" w:hAnsi="Arial" w:cs="Arial"/>
                <w:spacing w:val="-2"/>
                <w:sz w:val="17"/>
                <w:szCs w:val="17"/>
              </w:rPr>
              <w:t xml:space="preserve"> </w:t>
            </w:r>
          </w:p>
        </w:tc>
        <w:tc>
          <w:tcPr>
            <w:tcW w:w="506" w:type="pct"/>
            <w:tcBorders>
              <w:top w:val="nil"/>
              <w:left w:val="nil"/>
              <w:bottom w:val="nil"/>
              <w:right w:val="nil"/>
            </w:tcBorders>
            <w:vAlign w:val="bottom"/>
          </w:tcPr>
          <w:p w14:paraId="2E8C681D"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568" w:type="pct"/>
            <w:tcBorders>
              <w:top w:val="nil"/>
              <w:left w:val="nil"/>
              <w:bottom w:val="nil"/>
              <w:right w:val="nil"/>
            </w:tcBorders>
            <w:vAlign w:val="bottom"/>
          </w:tcPr>
          <w:p w14:paraId="5B82EA1D"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10,596 </w:t>
            </w:r>
          </w:p>
        </w:tc>
        <w:tc>
          <w:tcPr>
            <w:tcW w:w="616" w:type="pct"/>
            <w:tcBorders>
              <w:top w:val="nil"/>
              <w:left w:val="nil"/>
              <w:bottom w:val="nil"/>
              <w:right w:val="nil"/>
            </w:tcBorders>
            <w:vAlign w:val="bottom"/>
          </w:tcPr>
          <w:p w14:paraId="485C429C"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nil"/>
              <w:right w:val="nil"/>
            </w:tcBorders>
            <w:vAlign w:val="bottom"/>
          </w:tcPr>
          <w:p w14:paraId="16743FFA"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10,596 </w:t>
            </w:r>
          </w:p>
        </w:tc>
        <w:tc>
          <w:tcPr>
            <w:tcW w:w="678" w:type="pct"/>
            <w:tcBorders>
              <w:top w:val="nil"/>
              <w:left w:val="nil"/>
              <w:bottom w:val="nil"/>
              <w:right w:val="nil"/>
            </w:tcBorders>
            <w:vAlign w:val="bottom"/>
          </w:tcPr>
          <w:p w14:paraId="04C7237B"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33" w:type="pct"/>
            <w:tcBorders>
              <w:top w:val="nil"/>
              <w:left w:val="nil"/>
              <w:bottom w:val="nil"/>
            </w:tcBorders>
            <w:vAlign w:val="bottom"/>
          </w:tcPr>
          <w:p w14:paraId="66A8C800"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10,596 </w:t>
            </w:r>
          </w:p>
        </w:tc>
      </w:tr>
      <w:tr w:rsidR="00587444" w:rsidRPr="00587444" w14:paraId="0ED6C943" w14:textId="77777777" w:rsidTr="00DD69E7">
        <w:trPr>
          <w:trHeight w:hRule="exact" w:val="301"/>
        </w:trPr>
        <w:tc>
          <w:tcPr>
            <w:tcW w:w="1384" w:type="pct"/>
            <w:vAlign w:val="bottom"/>
          </w:tcPr>
          <w:p w14:paraId="46549A1A"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bookmarkStart w:id="1348" w:name="_Toc4062886"/>
            <w:r w:rsidRPr="00587444">
              <w:rPr>
                <w:rFonts w:ascii="Arial" w:hAnsi="Arial" w:cs="Arial"/>
                <w:spacing w:val="-2"/>
                <w:sz w:val="17"/>
                <w:szCs w:val="17"/>
              </w:rPr>
              <w:t>Loans to financial institutions</w:t>
            </w:r>
            <w:bookmarkEnd w:id="1348"/>
          </w:p>
        </w:tc>
        <w:tc>
          <w:tcPr>
            <w:tcW w:w="506" w:type="pct"/>
            <w:tcBorders>
              <w:top w:val="nil"/>
              <w:left w:val="nil"/>
              <w:bottom w:val="nil"/>
              <w:right w:val="nil"/>
            </w:tcBorders>
            <w:vAlign w:val="bottom"/>
          </w:tcPr>
          <w:p w14:paraId="36A8C2F8"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568" w:type="pct"/>
            <w:tcBorders>
              <w:top w:val="nil"/>
              <w:left w:val="nil"/>
              <w:bottom w:val="nil"/>
              <w:right w:val="nil"/>
            </w:tcBorders>
            <w:vAlign w:val="bottom"/>
          </w:tcPr>
          <w:p w14:paraId="034C70AD"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3,305,996 </w:t>
            </w:r>
          </w:p>
        </w:tc>
        <w:tc>
          <w:tcPr>
            <w:tcW w:w="616" w:type="pct"/>
            <w:tcBorders>
              <w:top w:val="nil"/>
              <w:left w:val="nil"/>
              <w:bottom w:val="nil"/>
              <w:right w:val="nil"/>
            </w:tcBorders>
            <w:vAlign w:val="bottom"/>
          </w:tcPr>
          <w:p w14:paraId="268B4263"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nil"/>
              <w:right w:val="nil"/>
            </w:tcBorders>
            <w:vAlign w:val="bottom"/>
          </w:tcPr>
          <w:p w14:paraId="477EA9E2"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3,305,996 </w:t>
            </w:r>
          </w:p>
        </w:tc>
        <w:tc>
          <w:tcPr>
            <w:tcW w:w="678" w:type="pct"/>
            <w:tcBorders>
              <w:top w:val="nil"/>
              <w:left w:val="nil"/>
              <w:bottom w:val="nil"/>
              <w:right w:val="nil"/>
            </w:tcBorders>
            <w:vAlign w:val="bottom"/>
          </w:tcPr>
          <w:p w14:paraId="61480C61"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3,678,716 </w:t>
            </w:r>
          </w:p>
        </w:tc>
        <w:tc>
          <w:tcPr>
            <w:tcW w:w="633" w:type="pct"/>
            <w:tcBorders>
              <w:top w:val="nil"/>
              <w:left w:val="nil"/>
              <w:bottom w:val="nil"/>
            </w:tcBorders>
            <w:vAlign w:val="bottom"/>
          </w:tcPr>
          <w:p w14:paraId="240FD7CE"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6,984,712 </w:t>
            </w:r>
          </w:p>
        </w:tc>
      </w:tr>
      <w:tr w:rsidR="00587444" w:rsidRPr="00587444" w14:paraId="55741653" w14:textId="77777777" w:rsidTr="00DD69E7">
        <w:trPr>
          <w:trHeight w:hRule="exact" w:val="301"/>
        </w:trPr>
        <w:tc>
          <w:tcPr>
            <w:tcW w:w="1384" w:type="pct"/>
            <w:vAlign w:val="bottom"/>
          </w:tcPr>
          <w:p w14:paraId="60F3D77E"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bookmarkStart w:id="1349" w:name="_Toc4062887"/>
            <w:r w:rsidRPr="00587444">
              <w:rPr>
                <w:rFonts w:ascii="Arial" w:hAnsi="Arial" w:cs="Arial"/>
                <w:spacing w:val="-2"/>
                <w:sz w:val="17"/>
                <w:szCs w:val="17"/>
              </w:rPr>
              <w:t>Loans to other customers</w:t>
            </w:r>
            <w:bookmarkEnd w:id="1349"/>
            <w:r w:rsidRPr="00587444">
              <w:rPr>
                <w:rFonts w:ascii="Arial" w:hAnsi="Arial" w:cs="Arial"/>
                <w:spacing w:val="-2"/>
                <w:sz w:val="17"/>
                <w:szCs w:val="17"/>
              </w:rPr>
              <w:t xml:space="preserve"> </w:t>
            </w:r>
          </w:p>
        </w:tc>
        <w:tc>
          <w:tcPr>
            <w:tcW w:w="506" w:type="pct"/>
            <w:tcBorders>
              <w:top w:val="nil"/>
              <w:left w:val="nil"/>
              <w:bottom w:val="nil"/>
              <w:right w:val="nil"/>
            </w:tcBorders>
            <w:vAlign w:val="bottom"/>
          </w:tcPr>
          <w:p w14:paraId="059EF9E8"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146,813 </w:t>
            </w:r>
          </w:p>
        </w:tc>
        <w:tc>
          <w:tcPr>
            <w:tcW w:w="568" w:type="pct"/>
            <w:tcBorders>
              <w:top w:val="nil"/>
              <w:left w:val="nil"/>
              <w:bottom w:val="nil"/>
              <w:right w:val="nil"/>
            </w:tcBorders>
            <w:vAlign w:val="bottom"/>
          </w:tcPr>
          <w:p w14:paraId="3EE5F9CB"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9,998,144 </w:t>
            </w:r>
          </w:p>
        </w:tc>
        <w:tc>
          <w:tcPr>
            <w:tcW w:w="616" w:type="pct"/>
            <w:tcBorders>
              <w:top w:val="nil"/>
              <w:left w:val="nil"/>
              <w:bottom w:val="nil"/>
              <w:right w:val="nil"/>
            </w:tcBorders>
            <w:vAlign w:val="bottom"/>
          </w:tcPr>
          <w:p w14:paraId="17ACC9A6"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134,679 </w:t>
            </w:r>
          </w:p>
        </w:tc>
        <w:tc>
          <w:tcPr>
            <w:tcW w:w="615" w:type="pct"/>
            <w:tcBorders>
              <w:top w:val="nil"/>
              <w:left w:val="nil"/>
              <w:bottom w:val="nil"/>
              <w:right w:val="nil"/>
            </w:tcBorders>
            <w:vAlign w:val="bottom"/>
          </w:tcPr>
          <w:p w14:paraId="5AC0A42B"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10,279,636 </w:t>
            </w:r>
          </w:p>
        </w:tc>
        <w:tc>
          <w:tcPr>
            <w:tcW w:w="678" w:type="pct"/>
            <w:tcBorders>
              <w:top w:val="nil"/>
              <w:left w:val="nil"/>
              <w:bottom w:val="nil"/>
              <w:right w:val="nil"/>
            </w:tcBorders>
            <w:vAlign w:val="bottom"/>
          </w:tcPr>
          <w:p w14:paraId="2B66EEAC"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7,123,030 </w:t>
            </w:r>
          </w:p>
        </w:tc>
        <w:tc>
          <w:tcPr>
            <w:tcW w:w="633" w:type="pct"/>
            <w:tcBorders>
              <w:top w:val="nil"/>
              <w:left w:val="nil"/>
              <w:bottom w:val="nil"/>
            </w:tcBorders>
            <w:vAlign w:val="bottom"/>
          </w:tcPr>
          <w:p w14:paraId="26DF094A"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17,402,666 </w:t>
            </w:r>
          </w:p>
        </w:tc>
      </w:tr>
      <w:tr w:rsidR="00587444" w:rsidRPr="00587444" w14:paraId="745A5FD9" w14:textId="77777777" w:rsidTr="00DD69E7">
        <w:trPr>
          <w:trHeight w:hRule="exact" w:val="522"/>
        </w:trPr>
        <w:tc>
          <w:tcPr>
            <w:tcW w:w="1384" w:type="pct"/>
            <w:vAlign w:val="center"/>
          </w:tcPr>
          <w:p w14:paraId="61896211" w14:textId="77777777" w:rsidR="00587444" w:rsidRPr="00587444" w:rsidRDefault="00587444" w:rsidP="00587444">
            <w:pPr>
              <w:tabs>
                <w:tab w:val="right" w:pos="1202"/>
              </w:tabs>
              <w:suppressAutoHyphens w:val="0"/>
              <w:autoSpaceDN/>
              <w:spacing w:line="240" w:lineRule="exact"/>
              <w:outlineLvl w:val="0"/>
              <w:rPr>
                <w:rFonts w:ascii="Arial" w:hAnsi="Arial" w:cs="Arial"/>
                <w:spacing w:val="-2"/>
                <w:sz w:val="17"/>
                <w:szCs w:val="17"/>
              </w:rPr>
            </w:pPr>
            <w:bookmarkStart w:id="1350" w:name="_Toc4062888"/>
            <w:r w:rsidRPr="00587444">
              <w:rPr>
                <w:rFonts w:ascii="Arial" w:eastAsia="Calibri" w:hAnsi="Arial" w:cs="Arial"/>
                <w:sz w:val="17"/>
                <w:szCs w:val="17"/>
              </w:rPr>
              <w:t>Financial assets at fair value through profit or loss</w:t>
            </w:r>
            <w:bookmarkEnd w:id="1350"/>
          </w:p>
        </w:tc>
        <w:tc>
          <w:tcPr>
            <w:tcW w:w="506" w:type="pct"/>
            <w:tcBorders>
              <w:top w:val="nil"/>
              <w:left w:val="nil"/>
              <w:bottom w:val="nil"/>
              <w:right w:val="nil"/>
            </w:tcBorders>
            <w:vAlign w:val="bottom"/>
          </w:tcPr>
          <w:p w14:paraId="6E83FFF0"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22,831 </w:t>
            </w:r>
          </w:p>
        </w:tc>
        <w:tc>
          <w:tcPr>
            <w:tcW w:w="568" w:type="pct"/>
            <w:tcBorders>
              <w:top w:val="nil"/>
              <w:left w:val="nil"/>
              <w:bottom w:val="nil"/>
              <w:right w:val="nil"/>
            </w:tcBorders>
            <w:vAlign w:val="bottom"/>
          </w:tcPr>
          <w:p w14:paraId="58FE8B41"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107,622 </w:t>
            </w:r>
          </w:p>
        </w:tc>
        <w:tc>
          <w:tcPr>
            <w:tcW w:w="616" w:type="pct"/>
            <w:tcBorders>
              <w:top w:val="nil"/>
              <w:left w:val="nil"/>
              <w:bottom w:val="nil"/>
              <w:right w:val="nil"/>
            </w:tcBorders>
            <w:vAlign w:val="bottom"/>
          </w:tcPr>
          <w:p w14:paraId="38311A33"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nil"/>
              <w:right w:val="nil"/>
            </w:tcBorders>
            <w:vAlign w:val="bottom"/>
          </w:tcPr>
          <w:p w14:paraId="4EC6EB58"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130,453 </w:t>
            </w:r>
          </w:p>
        </w:tc>
        <w:tc>
          <w:tcPr>
            <w:tcW w:w="678" w:type="pct"/>
            <w:tcBorders>
              <w:top w:val="nil"/>
              <w:left w:val="nil"/>
              <w:bottom w:val="nil"/>
              <w:right w:val="nil"/>
            </w:tcBorders>
            <w:vAlign w:val="bottom"/>
          </w:tcPr>
          <w:p w14:paraId="403F807C"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1,070 </w:t>
            </w:r>
          </w:p>
        </w:tc>
        <w:tc>
          <w:tcPr>
            <w:tcW w:w="633" w:type="pct"/>
            <w:tcBorders>
              <w:top w:val="nil"/>
              <w:left w:val="nil"/>
              <w:bottom w:val="nil"/>
            </w:tcBorders>
            <w:vAlign w:val="bottom"/>
          </w:tcPr>
          <w:p w14:paraId="5F30F601"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131,523 </w:t>
            </w:r>
          </w:p>
        </w:tc>
      </w:tr>
      <w:tr w:rsidR="00587444" w:rsidRPr="00587444" w14:paraId="7E6BA2AD" w14:textId="77777777" w:rsidTr="00DD69E7">
        <w:trPr>
          <w:trHeight w:hRule="exact" w:val="714"/>
        </w:trPr>
        <w:tc>
          <w:tcPr>
            <w:tcW w:w="1384" w:type="pct"/>
            <w:vAlign w:val="center"/>
          </w:tcPr>
          <w:p w14:paraId="293E4C7A" w14:textId="77777777" w:rsidR="001D0F84" w:rsidRDefault="00587444" w:rsidP="00587444">
            <w:pPr>
              <w:tabs>
                <w:tab w:val="right" w:pos="1202"/>
              </w:tabs>
              <w:suppressAutoHyphens w:val="0"/>
              <w:autoSpaceDN/>
              <w:spacing w:line="240" w:lineRule="exact"/>
              <w:outlineLvl w:val="0"/>
              <w:rPr>
                <w:rFonts w:ascii="Arial" w:eastAsia="Calibri" w:hAnsi="Arial" w:cs="Arial"/>
                <w:sz w:val="17"/>
                <w:szCs w:val="17"/>
              </w:rPr>
            </w:pPr>
            <w:bookmarkStart w:id="1351" w:name="_Toc4062889"/>
            <w:r w:rsidRPr="00587444">
              <w:rPr>
                <w:rFonts w:ascii="Arial" w:eastAsia="Calibri" w:hAnsi="Arial" w:cs="Arial"/>
                <w:sz w:val="17"/>
                <w:szCs w:val="17"/>
              </w:rPr>
              <w:t xml:space="preserve">Financial assets at fair value through other comprehensive </w:t>
            </w:r>
          </w:p>
          <w:p w14:paraId="4A1BFFB8" w14:textId="2A6614F2" w:rsidR="00587444" w:rsidRPr="00587444" w:rsidRDefault="00587444" w:rsidP="00587444">
            <w:pPr>
              <w:tabs>
                <w:tab w:val="right" w:pos="1202"/>
              </w:tabs>
              <w:suppressAutoHyphens w:val="0"/>
              <w:autoSpaceDN/>
              <w:spacing w:line="240" w:lineRule="exact"/>
              <w:outlineLvl w:val="0"/>
              <w:rPr>
                <w:rFonts w:ascii="Arial" w:hAnsi="Arial" w:cs="Arial"/>
                <w:spacing w:val="-2"/>
                <w:sz w:val="17"/>
                <w:szCs w:val="17"/>
              </w:rPr>
            </w:pPr>
            <w:r w:rsidRPr="00587444">
              <w:rPr>
                <w:rFonts w:ascii="Arial" w:eastAsia="Calibri" w:hAnsi="Arial" w:cs="Arial"/>
                <w:sz w:val="17"/>
                <w:szCs w:val="17"/>
              </w:rPr>
              <w:t>income</w:t>
            </w:r>
            <w:bookmarkEnd w:id="1351"/>
          </w:p>
        </w:tc>
        <w:tc>
          <w:tcPr>
            <w:tcW w:w="506" w:type="pct"/>
            <w:tcBorders>
              <w:top w:val="nil"/>
              <w:left w:val="nil"/>
              <w:bottom w:val="nil"/>
              <w:right w:val="nil"/>
            </w:tcBorders>
            <w:vAlign w:val="bottom"/>
          </w:tcPr>
          <w:p w14:paraId="2F2E014C"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568" w:type="pct"/>
            <w:tcBorders>
              <w:top w:val="nil"/>
              <w:left w:val="nil"/>
              <w:bottom w:val="nil"/>
              <w:right w:val="nil"/>
            </w:tcBorders>
            <w:vAlign w:val="bottom"/>
          </w:tcPr>
          <w:p w14:paraId="12F49714"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674,892 </w:t>
            </w:r>
          </w:p>
        </w:tc>
        <w:tc>
          <w:tcPr>
            <w:tcW w:w="616" w:type="pct"/>
            <w:tcBorders>
              <w:top w:val="nil"/>
              <w:left w:val="nil"/>
              <w:bottom w:val="nil"/>
              <w:right w:val="nil"/>
            </w:tcBorders>
            <w:vAlign w:val="bottom"/>
          </w:tcPr>
          <w:p w14:paraId="4C54A545"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nil"/>
              <w:right w:val="nil"/>
            </w:tcBorders>
            <w:vAlign w:val="bottom"/>
          </w:tcPr>
          <w:p w14:paraId="66551B16"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674,892 </w:t>
            </w:r>
          </w:p>
        </w:tc>
        <w:tc>
          <w:tcPr>
            <w:tcW w:w="678" w:type="pct"/>
            <w:tcBorders>
              <w:top w:val="nil"/>
              <w:left w:val="nil"/>
              <w:bottom w:val="nil"/>
              <w:right w:val="nil"/>
            </w:tcBorders>
            <w:vAlign w:val="bottom"/>
          </w:tcPr>
          <w:p w14:paraId="69FCFEB8"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1,964,580 </w:t>
            </w:r>
          </w:p>
        </w:tc>
        <w:tc>
          <w:tcPr>
            <w:tcW w:w="633" w:type="pct"/>
            <w:tcBorders>
              <w:top w:val="nil"/>
              <w:left w:val="nil"/>
              <w:bottom w:val="nil"/>
            </w:tcBorders>
            <w:vAlign w:val="bottom"/>
          </w:tcPr>
          <w:p w14:paraId="29C4CFFB"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2,639,472 </w:t>
            </w:r>
          </w:p>
        </w:tc>
      </w:tr>
      <w:tr w:rsidR="00587444" w:rsidRPr="00587444" w14:paraId="2AE47A2F" w14:textId="77777777" w:rsidTr="00DD69E7">
        <w:trPr>
          <w:trHeight w:hRule="exact" w:val="301"/>
        </w:trPr>
        <w:tc>
          <w:tcPr>
            <w:tcW w:w="1384" w:type="pct"/>
            <w:vAlign w:val="bottom"/>
          </w:tcPr>
          <w:p w14:paraId="024CC688"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bookmarkStart w:id="1352" w:name="_Toc4062890"/>
            <w:r w:rsidRPr="00587444">
              <w:rPr>
                <w:rFonts w:ascii="Arial" w:hAnsi="Arial" w:cs="Arial"/>
                <w:spacing w:val="-2"/>
                <w:sz w:val="17"/>
                <w:szCs w:val="17"/>
              </w:rPr>
              <w:t>Investments in subsidiaries</w:t>
            </w:r>
            <w:bookmarkEnd w:id="1352"/>
          </w:p>
        </w:tc>
        <w:tc>
          <w:tcPr>
            <w:tcW w:w="506" w:type="pct"/>
            <w:tcBorders>
              <w:top w:val="nil"/>
              <w:left w:val="nil"/>
              <w:bottom w:val="nil"/>
              <w:right w:val="nil"/>
            </w:tcBorders>
            <w:vAlign w:val="bottom"/>
          </w:tcPr>
          <w:p w14:paraId="5668F04C"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568" w:type="pct"/>
            <w:tcBorders>
              <w:top w:val="nil"/>
              <w:left w:val="nil"/>
              <w:bottom w:val="nil"/>
              <w:right w:val="nil"/>
            </w:tcBorders>
            <w:vAlign w:val="bottom"/>
          </w:tcPr>
          <w:p w14:paraId="12D789DA"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6" w:type="pct"/>
            <w:tcBorders>
              <w:top w:val="nil"/>
              <w:left w:val="nil"/>
              <w:bottom w:val="nil"/>
              <w:right w:val="nil"/>
            </w:tcBorders>
            <w:vAlign w:val="bottom"/>
          </w:tcPr>
          <w:p w14:paraId="71D02C6F"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nil"/>
              <w:right w:val="nil"/>
            </w:tcBorders>
            <w:vAlign w:val="bottom"/>
          </w:tcPr>
          <w:p w14:paraId="5A45A006"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78" w:type="pct"/>
            <w:tcBorders>
              <w:top w:val="nil"/>
              <w:left w:val="nil"/>
              <w:bottom w:val="nil"/>
              <w:right w:val="nil"/>
            </w:tcBorders>
            <w:vAlign w:val="bottom"/>
          </w:tcPr>
          <w:p w14:paraId="3C18F034"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56,124 </w:t>
            </w:r>
          </w:p>
        </w:tc>
        <w:tc>
          <w:tcPr>
            <w:tcW w:w="633" w:type="pct"/>
            <w:tcBorders>
              <w:top w:val="nil"/>
              <w:left w:val="nil"/>
              <w:bottom w:val="nil"/>
            </w:tcBorders>
            <w:vAlign w:val="bottom"/>
          </w:tcPr>
          <w:p w14:paraId="23C3D58E"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56,124 </w:t>
            </w:r>
          </w:p>
        </w:tc>
      </w:tr>
      <w:tr w:rsidR="00587444" w:rsidRPr="00587444" w14:paraId="48C70537" w14:textId="77777777" w:rsidTr="00DD69E7">
        <w:trPr>
          <w:trHeight w:val="464"/>
        </w:trPr>
        <w:tc>
          <w:tcPr>
            <w:tcW w:w="1384" w:type="pct"/>
            <w:vAlign w:val="bottom"/>
          </w:tcPr>
          <w:p w14:paraId="1A302F7F"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bookmarkStart w:id="1353" w:name="_Toc4062891"/>
            <w:r w:rsidRPr="00587444">
              <w:rPr>
                <w:rFonts w:ascii="Arial" w:hAnsi="Arial" w:cs="Arial"/>
                <w:spacing w:val="-2"/>
                <w:sz w:val="17"/>
                <w:szCs w:val="17"/>
              </w:rPr>
              <w:t>Property, plant and equipment and intangible assets</w:t>
            </w:r>
            <w:bookmarkEnd w:id="1353"/>
          </w:p>
        </w:tc>
        <w:tc>
          <w:tcPr>
            <w:tcW w:w="506" w:type="pct"/>
            <w:tcBorders>
              <w:top w:val="nil"/>
              <w:left w:val="nil"/>
              <w:bottom w:val="nil"/>
              <w:right w:val="nil"/>
            </w:tcBorders>
            <w:vAlign w:val="bottom"/>
          </w:tcPr>
          <w:p w14:paraId="459AED7C"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568" w:type="pct"/>
            <w:tcBorders>
              <w:top w:val="nil"/>
              <w:left w:val="nil"/>
              <w:bottom w:val="nil"/>
              <w:right w:val="nil"/>
            </w:tcBorders>
            <w:vAlign w:val="bottom"/>
          </w:tcPr>
          <w:p w14:paraId="6395796C"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6" w:type="pct"/>
            <w:tcBorders>
              <w:top w:val="nil"/>
              <w:left w:val="nil"/>
              <w:bottom w:val="nil"/>
              <w:right w:val="nil"/>
            </w:tcBorders>
            <w:vAlign w:val="bottom"/>
          </w:tcPr>
          <w:p w14:paraId="78601A18"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nil"/>
              <w:right w:val="nil"/>
            </w:tcBorders>
            <w:vAlign w:val="bottom"/>
          </w:tcPr>
          <w:p w14:paraId="19D60035"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78" w:type="pct"/>
            <w:tcBorders>
              <w:top w:val="nil"/>
              <w:left w:val="nil"/>
              <w:bottom w:val="nil"/>
              <w:right w:val="nil"/>
            </w:tcBorders>
            <w:vAlign w:val="bottom"/>
          </w:tcPr>
          <w:p w14:paraId="41D2C3E6"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37,727 </w:t>
            </w:r>
          </w:p>
        </w:tc>
        <w:tc>
          <w:tcPr>
            <w:tcW w:w="633" w:type="pct"/>
            <w:tcBorders>
              <w:top w:val="nil"/>
              <w:left w:val="nil"/>
              <w:bottom w:val="nil"/>
            </w:tcBorders>
            <w:vAlign w:val="bottom"/>
          </w:tcPr>
          <w:p w14:paraId="4DB235CE"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37,727 </w:t>
            </w:r>
          </w:p>
        </w:tc>
      </w:tr>
      <w:tr w:rsidR="00587444" w:rsidRPr="00587444" w14:paraId="7DDEFF16" w14:textId="77777777" w:rsidTr="00DD69E7">
        <w:trPr>
          <w:trHeight w:val="277"/>
        </w:trPr>
        <w:tc>
          <w:tcPr>
            <w:tcW w:w="1384" w:type="pct"/>
            <w:vAlign w:val="bottom"/>
          </w:tcPr>
          <w:p w14:paraId="161FDF9B"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Foreclosed assets</w:t>
            </w:r>
          </w:p>
        </w:tc>
        <w:tc>
          <w:tcPr>
            <w:tcW w:w="506" w:type="pct"/>
            <w:tcBorders>
              <w:top w:val="nil"/>
              <w:left w:val="nil"/>
              <w:bottom w:val="nil"/>
              <w:right w:val="nil"/>
            </w:tcBorders>
            <w:vAlign w:val="bottom"/>
          </w:tcPr>
          <w:p w14:paraId="5FD201DE"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568" w:type="pct"/>
            <w:tcBorders>
              <w:top w:val="nil"/>
              <w:left w:val="nil"/>
              <w:bottom w:val="nil"/>
              <w:right w:val="nil"/>
            </w:tcBorders>
            <w:vAlign w:val="bottom"/>
          </w:tcPr>
          <w:p w14:paraId="169E8335"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6" w:type="pct"/>
            <w:tcBorders>
              <w:top w:val="nil"/>
              <w:left w:val="nil"/>
              <w:bottom w:val="nil"/>
              <w:right w:val="nil"/>
            </w:tcBorders>
            <w:vAlign w:val="bottom"/>
          </w:tcPr>
          <w:p w14:paraId="5A1C4EC3"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nil"/>
              <w:right w:val="nil"/>
            </w:tcBorders>
            <w:vAlign w:val="bottom"/>
          </w:tcPr>
          <w:p w14:paraId="0B0665C3"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78" w:type="pct"/>
            <w:tcBorders>
              <w:top w:val="nil"/>
              <w:left w:val="nil"/>
              <w:bottom w:val="nil"/>
              <w:right w:val="nil"/>
            </w:tcBorders>
            <w:vAlign w:val="bottom"/>
          </w:tcPr>
          <w:p w14:paraId="0F7A91EE"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24,776 </w:t>
            </w:r>
          </w:p>
        </w:tc>
        <w:tc>
          <w:tcPr>
            <w:tcW w:w="633" w:type="pct"/>
            <w:tcBorders>
              <w:top w:val="nil"/>
              <w:left w:val="nil"/>
              <w:bottom w:val="nil"/>
            </w:tcBorders>
            <w:vAlign w:val="bottom"/>
          </w:tcPr>
          <w:p w14:paraId="6C3D11C1"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24,776 </w:t>
            </w:r>
          </w:p>
        </w:tc>
      </w:tr>
      <w:tr w:rsidR="00587444" w:rsidRPr="00587444" w14:paraId="1EB0D4F3" w14:textId="77777777" w:rsidTr="00DD69E7">
        <w:trPr>
          <w:trHeight w:val="205"/>
        </w:trPr>
        <w:tc>
          <w:tcPr>
            <w:tcW w:w="1384" w:type="pct"/>
          </w:tcPr>
          <w:p w14:paraId="6EECF76F"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bookmarkStart w:id="1354" w:name="_Toc4062893"/>
            <w:r w:rsidRPr="00587444">
              <w:rPr>
                <w:rFonts w:ascii="Arial" w:hAnsi="Arial" w:cs="Arial"/>
                <w:spacing w:val="-2"/>
                <w:sz w:val="17"/>
                <w:szCs w:val="17"/>
              </w:rPr>
              <w:t>Other assets</w:t>
            </w:r>
            <w:bookmarkEnd w:id="1354"/>
            <w:r w:rsidRPr="00587444">
              <w:rPr>
                <w:rFonts w:ascii="Arial" w:hAnsi="Arial" w:cs="Arial"/>
                <w:spacing w:val="-2"/>
                <w:sz w:val="17"/>
                <w:szCs w:val="17"/>
              </w:rPr>
              <w:t xml:space="preserve"> </w:t>
            </w:r>
          </w:p>
        </w:tc>
        <w:tc>
          <w:tcPr>
            <w:tcW w:w="506" w:type="pct"/>
            <w:tcBorders>
              <w:top w:val="nil"/>
              <w:left w:val="nil"/>
              <w:bottom w:val="nil"/>
              <w:right w:val="nil"/>
            </w:tcBorders>
            <w:vAlign w:val="bottom"/>
          </w:tcPr>
          <w:p w14:paraId="13DD54B0"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568" w:type="pct"/>
            <w:tcBorders>
              <w:top w:val="nil"/>
              <w:left w:val="nil"/>
              <w:bottom w:val="nil"/>
              <w:right w:val="nil"/>
            </w:tcBorders>
            <w:vAlign w:val="bottom"/>
          </w:tcPr>
          <w:p w14:paraId="2D06A50D"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3,886 </w:t>
            </w:r>
          </w:p>
        </w:tc>
        <w:tc>
          <w:tcPr>
            <w:tcW w:w="616" w:type="pct"/>
            <w:tcBorders>
              <w:top w:val="nil"/>
              <w:left w:val="nil"/>
              <w:bottom w:val="nil"/>
              <w:right w:val="nil"/>
            </w:tcBorders>
            <w:vAlign w:val="bottom"/>
          </w:tcPr>
          <w:p w14:paraId="72F6B7A4"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nil"/>
              <w:right w:val="nil"/>
            </w:tcBorders>
            <w:vAlign w:val="bottom"/>
          </w:tcPr>
          <w:p w14:paraId="7DEFF933"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3,886 </w:t>
            </w:r>
          </w:p>
        </w:tc>
        <w:tc>
          <w:tcPr>
            <w:tcW w:w="678" w:type="pct"/>
            <w:tcBorders>
              <w:top w:val="nil"/>
              <w:left w:val="nil"/>
              <w:bottom w:val="nil"/>
              <w:right w:val="nil"/>
            </w:tcBorders>
            <w:vAlign w:val="bottom"/>
          </w:tcPr>
          <w:p w14:paraId="7A3805A5"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24,306 </w:t>
            </w:r>
          </w:p>
        </w:tc>
        <w:tc>
          <w:tcPr>
            <w:tcW w:w="633" w:type="pct"/>
            <w:tcBorders>
              <w:top w:val="nil"/>
              <w:left w:val="nil"/>
              <w:bottom w:val="nil"/>
            </w:tcBorders>
            <w:vAlign w:val="bottom"/>
          </w:tcPr>
          <w:p w14:paraId="523D8F57"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28,192 </w:t>
            </w:r>
          </w:p>
        </w:tc>
      </w:tr>
      <w:tr w:rsidR="00587444" w:rsidRPr="00587444" w14:paraId="22F5799C" w14:textId="77777777" w:rsidTr="00DD69E7">
        <w:trPr>
          <w:trHeight w:hRule="exact" w:val="343"/>
        </w:trPr>
        <w:tc>
          <w:tcPr>
            <w:tcW w:w="1384" w:type="pct"/>
            <w:vAlign w:val="bottom"/>
          </w:tcPr>
          <w:p w14:paraId="00E627AD"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7"/>
                <w:szCs w:val="17"/>
              </w:rPr>
            </w:pPr>
            <w:bookmarkStart w:id="1355" w:name="_Toc4062894"/>
            <w:r w:rsidRPr="00587444">
              <w:rPr>
                <w:rFonts w:ascii="Arial" w:hAnsi="Arial" w:cs="Arial"/>
                <w:b/>
                <w:bCs/>
                <w:sz w:val="17"/>
                <w:szCs w:val="17"/>
              </w:rPr>
              <w:t>Total assets</w:t>
            </w:r>
            <w:bookmarkEnd w:id="1355"/>
            <w:r w:rsidRPr="00587444">
              <w:rPr>
                <w:rFonts w:ascii="Arial" w:hAnsi="Arial" w:cs="Arial"/>
                <w:b/>
                <w:bCs/>
                <w:sz w:val="17"/>
                <w:szCs w:val="17"/>
              </w:rPr>
              <w:t xml:space="preserve"> </w:t>
            </w:r>
          </w:p>
        </w:tc>
        <w:tc>
          <w:tcPr>
            <w:tcW w:w="506" w:type="pct"/>
            <w:tcBorders>
              <w:top w:val="single" w:sz="4" w:space="0" w:color="000000"/>
              <w:bottom w:val="single" w:sz="8" w:space="0" w:color="000000"/>
            </w:tcBorders>
            <w:vAlign w:val="bottom"/>
          </w:tcPr>
          <w:p w14:paraId="188CD092" w14:textId="77777777" w:rsidR="00587444" w:rsidRPr="00587444" w:rsidRDefault="00587444" w:rsidP="00587444">
            <w:pPr>
              <w:suppressAutoHyphens w:val="0"/>
              <w:autoSpaceDN/>
              <w:spacing w:line="240" w:lineRule="exact"/>
              <w:jc w:val="right"/>
              <w:rPr>
                <w:rFonts w:ascii="Arial" w:hAnsi="Arial" w:cs="Arial"/>
                <w:b/>
                <w:bCs/>
                <w:color w:val="000000"/>
                <w:sz w:val="17"/>
                <w:szCs w:val="17"/>
                <w:lang w:val="hr-HR"/>
              </w:rPr>
            </w:pPr>
            <w:r w:rsidRPr="00587444">
              <w:rPr>
                <w:rFonts w:ascii="Arial" w:hAnsi="Arial" w:cs="Arial"/>
                <w:b/>
                <w:bCs/>
                <w:color w:val="000000"/>
                <w:sz w:val="17"/>
                <w:szCs w:val="17"/>
                <w:lang w:val="hr-HR"/>
              </w:rPr>
              <w:t xml:space="preserve"> 184,306 </w:t>
            </w:r>
          </w:p>
        </w:tc>
        <w:tc>
          <w:tcPr>
            <w:tcW w:w="568" w:type="pct"/>
            <w:tcBorders>
              <w:top w:val="single" w:sz="4" w:space="0" w:color="000000"/>
              <w:bottom w:val="single" w:sz="8" w:space="0" w:color="000000"/>
            </w:tcBorders>
            <w:vAlign w:val="bottom"/>
          </w:tcPr>
          <w:p w14:paraId="6D2A37C5" w14:textId="77777777" w:rsidR="00587444" w:rsidRPr="00587444" w:rsidRDefault="00587444" w:rsidP="00587444">
            <w:pPr>
              <w:suppressAutoHyphens w:val="0"/>
              <w:autoSpaceDN/>
              <w:spacing w:line="240" w:lineRule="exact"/>
              <w:jc w:val="right"/>
              <w:rPr>
                <w:rFonts w:ascii="Arial" w:hAnsi="Arial" w:cs="Arial"/>
                <w:b/>
                <w:bCs/>
                <w:color w:val="000000"/>
                <w:sz w:val="17"/>
                <w:szCs w:val="17"/>
                <w:lang w:val="hr-HR"/>
              </w:rPr>
            </w:pPr>
            <w:r w:rsidRPr="00587444">
              <w:rPr>
                <w:rFonts w:ascii="Arial" w:hAnsi="Arial" w:cs="Arial"/>
                <w:b/>
                <w:bCs/>
                <w:color w:val="000000"/>
                <w:sz w:val="17"/>
                <w:szCs w:val="17"/>
                <w:lang w:val="hr-HR"/>
              </w:rPr>
              <w:t xml:space="preserve">14,186,554 </w:t>
            </w:r>
          </w:p>
        </w:tc>
        <w:tc>
          <w:tcPr>
            <w:tcW w:w="616" w:type="pct"/>
            <w:tcBorders>
              <w:top w:val="single" w:sz="4" w:space="0" w:color="000000"/>
              <w:bottom w:val="single" w:sz="8" w:space="0" w:color="000000"/>
            </w:tcBorders>
            <w:vAlign w:val="bottom"/>
          </w:tcPr>
          <w:p w14:paraId="07AA77E5" w14:textId="77777777" w:rsidR="00587444" w:rsidRPr="00587444" w:rsidRDefault="00587444" w:rsidP="00587444">
            <w:pPr>
              <w:suppressAutoHyphens w:val="0"/>
              <w:autoSpaceDN/>
              <w:spacing w:line="240" w:lineRule="exact"/>
              <w:jc w:val="right"/>
              <w:rPr>
                <w:rFonts w:ascii="Arial" w:hAnsi="Arial" w:cs="Arial"/>
                <w:b/>
                <w:bCs/>
                <w:color w:val="000000"/>
                <w:sz w:val="17"/>
                <w:szCs w:val="17"/>
                <w:lang w:val="hr-HR"/>
              </w:rPr>
            </w:pPr>
            <w:r w:rsidRPr="00587444">
              <w:rPr>
                <w:rFonts w:ascii="Arial" w:hAnsi="Arial" w:cs="Arial"/>
                <w:b/>
                <w:bCs/>
                <w:color w:val="000000"/>
                <w:sz w:val="17"/>
                <w:szCs w:val="17"/>
                <w:lang w:val="hr-HR"/>
              </w:rPr>
              <w:t xml:space="preserve"> 134,708 </w:t>
            </w:r>
          </w:p>
        </w:tc>
        <w:tc>
          <w:tcPr>
            <w:tcW w:w="615" w:type="pct"/>
            <w:tcBorders>
              <w:top w:val="single" w:sz="4" w:space="0" w:color="000000"/>
              <w:bottom w:val="single" w:sz="8" w:space="0" w:color="000000"/>
            </w:tcBorders>
            <w:vAlign w:val="bottom"/>
          </w:tcPr>
          <w:p w14:paraId="31C636AD" w14:textId="77777777" w:rsidR="00587444" w:rsidRPr="00587444" w:rsidRDefault="00587444" w:rsidP="00587444">
            <w:pPr>
              <w:suppressAutoHyphens w:val="0"/>
              <w:autoSpaceDN/>
              <w:spacing w:line="240" w:lineRule="exact"/>
              <w:jc w:val="right"/>
              <w:rPr>
                <w:rFonts w:ascii="Arial" w:hAnsi="Arial" w:cs="Arial"/>
                <w:b/>
                <w:bCs/>
                <w:color w:val="000000"/>
                <w:sz w:val="17"/>
                <w:szCs w:val="17"/>
                <w:lang w:val="hr-HR"/>
              </w:rPr>
            </w:pPr>
            <w:r w:rsidRPr="00587444">
              <w:rPr>
                <w:rFonts w:ascii="Arial" w:hAnsi="Arial" w:cs="Arial"/>
                <w:b/>
                <w:bCs/>
                <w:color w:val="000000"/>
                <w:sz w:val="17"/>
                <w:szCs w:val="17"/>
                <w:lang w:val="hr-HR"/>
              </w:rPr>
              <w:t xml:space="preserve">14,505,568 </w:t>
            </w:r>
          </w:p>
        </w:tc>
        <w:tc>
          <w:tcPr>
            <w:tcW w:w="678" w:type="pct"/>
            <w:tcBorders>
              <w:top w:val="single" w:sz="4" w:space="0" w:color="000000"/>
              <w:bottom w:val="single" w:sz="8" w:space="0" w:color="000000"/>
            </w:tcBorders>
            <w:vAlign w:val="bottom"/>
          </w:tcPr>
          <w:p w14:paraId="1C2C6451" w14:textId="77777777" w:rsidR="00587444" w:rsidRPr="00587444" w:rsidRDefault="00587444" w:rsidP="00587444">
            <w:pPr>
              <w:suppressAutoHyphens w:val="0"/>
              <w:autoSpaceDN/>
              <w:spacing w:line="240" w:lineRule="exact"/>
              <w:jc w:val="right"/>
              <w:rPr>
                <w:rFonts w:ascii="Arial" w:hAnsi="Arial" w:cs="Arial"/>
                <w:b/>
                <w:bCs/>
                <w:color w:val="000000"/>
                <w:sz w:val="17"/>
                <w:szCs w:val="17"/>
                <w:lang w:val="hr-HR"/>
              </w:rPr>
            </w:pPr>
            <w:r w:rsidRPr="00587444">
              <w:rPr>
                <w:rFonts w:ascii="Arial" w:hAnsi="Arial" w:cs="Arial"/>
                <w:b/>
                <w:bCs/>
                <w:color w:val="000000"/>
                <w:sz w:val="17"/>
                <w:szCs w:val="17"/>
                <w:lang w:val="hr-HR"/>
              </w:rPr>
              <w:t xml:space="preserve"> 14,526,739* </w:t>
            </w:r>
          </w:p>
        </w:tc>
        <w:tc>
          <w:tcPr>
            <w:tcW w:w="633" w:type="pct"/>
            <w:tcBorders>
              <w:top w:val="single" w:sz="4" w:space="0" w:color="000000"/>
              <w:bottom w:val="single" w:sz="8" w:space="0" w:color="000000"/>
            </w:tcBorders>
            <w:vAlign w:val="bottom"/>
          </w:tcPr>
          <w:p w14:paraId="6E112641" w14:textId="77777777" w:rsidR="00587444" w:rsidRPr="00587444" w:rsidRDefault="00587444" w:rsidP="00587444">
            <w:pPr>
              <w:suppressAutoHyphens w:val="0"/>
              <w:autoSpaceDN/>
              <w:spacing w:line="240" w:lineRule="exact"/>
              <w:jc w:val="right"/>
              <w:rPr>
                <w:rFonts w:ascii="Arial" w:hAnsi="Arial" w:cs="Arial"/>
                <w:b/>
                <w:bCs/>
                <w:color w:val="000000"/>
                <w:sz w:val="17"/>
                <w:szCs w:val="17"/>
                <w:lang w:val="hr-HR"/>
              </w:rPr>
            </w:pPr>
            <w:r w:rsidRPr="00587444">
              <w:rPr>
                <w:rFonts w:ascii="Arial" w:hAnsi="Arial" w:cs="Arial"/>
                <w:b/>
                <w:bCs/>
                <w:color w:val="000000"/>
                <w:sz w:val="17"/>
                <w:szCs w:val="17"/>
                <w:lang w:val="hr-HR"/>
              </w:rPr>
              <w:t xml:space="preserve">29,032,307 </w:t>
            </w:r>
          </w:p>
        </w:tc>
      </w:tr>
      <w:tr w:rsidR="00587444" w:rsidRPr="00587444" w14:paraId="62F0A9CF" w14:textId="77777777" w:rsidTr="00DD69E7">
        <w:trPr>
          <w:trHeight w:hRule="exact" w:val="215"/>
        </w:trPr>
        <w:tc>
          <w:tcPr>
            <w:tcW w:w="1384" w:type="pct"/>
            <w:vAlign w:val="bottom"/>
          </w:tcPr>
          <w:p w14:paraId="3E472206"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7"/>
                <w:szCs w:val="17"/>
              </w:rPr>
            </w:pPr>
          </w:p>
        </w:tc>
        <w:tc>
          <w:tcPr>
            <w:tcW w:w="506" w:type="pct"/>
            <w:tcBorders>
              <w:top w:val="single" w:sz="12" w:space="0" w:color="auto"/>
            </w:tcBorders>
            <w:vAlign w:val="bottom"/>
          </w:tcPr>
          <w:p w14:paraId="49F11D8A"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c>
          <w:tcPr>
            <w:tcW w:w="568" w:type="pct"/>
            <w:tcBorders>
              <w:top w:val="single" w:sz="12" w:space="0" w:color="auto"/>
            </w:tcBorders>
            <w:vAlign w:val="bottom"/>
          </w:tcPr>
          <w:p w14:paraId="42071D69"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c>
          <w:tcPr>
            <w:tcW w:w="616" w:type="pct"/>
            <w:tcBorders>
              <w:top w:val="single" w:sz="12" w:space="0" w:color="auto"/>
            </w:tcBorders>
            <w:vAlign w:val="bottom"/>
          </w:tcPr>
          <w:p w14:paraId="26001CAA"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c>
          <w:tcPr>
            <w:tcW w:w="615" w:type="pct"/>
            <w:tcBorders>
              <w:top w:val="single" w:sz="12" w:space="0" w:color="auto"/>
            </w:tcBorders>
            <w:vAlign w:val="bottom"/>
          </w:tcPr>
          <w:p w14:paraId="6D585F3A"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c>
          <w:tcPr>
            <w:tcW w:w="678" w:type="pct"/>
            <w:tcBorders>
              <w:top w:val="single" w:sz="12" w:space="0" w:color="auto"/>
            </w:tcBorders>
            <w:vAlign w:val="bottom"/>
          </w:tcPr>
          <w:p w14:paraId="724A1A1F"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c>
          <w:tcPr>
            <w:tcW w:w="633" w:type="pct"/>
            <w:tcBorders>
              <w:top w:val="single" w:sz="12" w:space="0" w:color="auto"/>
            </w:tcBorders>
            <w:vAlign w:val="bottom"/>
          </w:tcPr>
          <w:p w14:paraId="1FD90063"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r>
      <w:tr w:rsidR="00587444" w:rsidRPr="00587444" w14:paraId="2F555527" w14:textId="77777777" w:rsidTr="00DD69E7">
        <w:trPr>
          <w:trHeight w:val="307"/>
        </w:trPr>
        <w:tc>
          <w:tcPr>
            <w:tcW w:w="1384" w:type="pct"/>
            <w:vAlign w:val="bottom"/>
          </w:tcPr>
          <w:p w14:paraId="45AF4DDB"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7"/>
                <w:szCs w:val="17"/>
              </w:rPr>
            </w:pPr>
            <w:bookmarkStart w:id="1356" w:name="_Toc4062895"/>
            <w:r w:rsidRPr="00587444">
              <w:rPr>
                <w:rFonts w:ascii="Arial" w:hAnsi="Arial" w:cs="Arial"/>
                <w:b/>
                <w:bCs/>
                <w:sz w:val="17"/>
                <w:szCs w:val="17"/>
              </w:rPr>
              <w:t>Liabilities</w:t>
            </w:r>
            <w:bookmarkEnd w:id="1356"/>
            <w:r w:rsidRPr="00587444">
              <w:rPr>
                <w:rFonts w:ascii="Arial" w:hAnsi="Arial" w:cs="Arial"/>
                <w:b/>
                <w:bCs/>
                <w:sz w:val="17"/>
                <w:szCs w:val="17"/>
              </w:rPr>
              <w:t xml:space="preserve"> </w:t>
            </w:r>
          </w:p>
        </w:tc>
        <w:tc>
          <w:tcPr>
            <w:tcW w:w="506" w:type="pct"/>
            <w:vAlign w:val="bottom"/>
          </w:tcPr>
          <w:p w14:paraId="714A945C"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c>
          <w:tcPr>
            <w:tcW w:w="568" w:type="pct"/>
            <w:vAlign w:val="bottom"/>
          </w:tcPr>
          <w:p w14:paraId="552A8A67"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c>
          <w:tcPr>
            <w:tcW w:w="616" w:type="pct"/>
            <w:vAlign w:val="bottom"/>
          </w:tcPr>
          <w:p w14:paraId="5C0C6A5B"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c>
          <w:tcPr>
            <w:tcW w:w="615" w:type="pct"/>
            <w:vAlign w:val="bottom"/>
          </w:tcPr>
          <w:p w14:paraId="63591633"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c>
          <w:tcPr>
            <w:tcW w:w="678" w:type="pct"/>
            <w:vAlign w:val="bottom"/>
          </w:tcPr>
          <w:p w14:paraId="6BB58701"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c>
          <w:tcPr>
            <w:tcW w:w="633" w:type="pct"/>
            <w:vAlign w:val="bottom"/>
          </w:tcPr>
          <w:p w14:paraId="2E092175"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r>
      <w:tr w:rsidR="00587444" w:rsidRPr="00587444" w14:paraId="4E1B7301" w14:textId="77777777" w:rsidTr="00DD69E7">
        <w:trPr>
          <w:trHeight w:hRule="exact" w:val="286"/>
        </w:trPr>
        <w:tc>
          <w:tcPr>
            <w:tcW w:w="1384" w:type="pct"/>
            <w:vAlign w:val="bottom"/>
          </w:tcPr>
          <w:p w14:paraId="77B0963A"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bookmarkStart w:id="1357" w:name="_Toc4062896"/>
            <w:r w:rsidRPr="00587444">
              <w:rPr>
                <w:rFonts w:ascii="Arial" w:hAnsi="Arial" w:cs="Arial"/>
                <w:sz w:val="17"/>
                <w:szCs w:val="17"/>
              </w:rPr>
              <w:t>Deposits from customers</w:t>
            </w:r>
            <w:bookmarkEnd w:id="1357"/>
            <w:r w:rsidRPr="00587444">
              <w:rPr>
                <w:rFonts w:ascii="Arial" w:hAnsi="Arial" w:cs="Arial"/>
                <w:sz w:val="17"/>
                <w:szCs w:val="17"/>
              </w:rPr>
              <w:t xml:space="preserve"> </w:t>
            </w:r>
          </w:p>
        </w:tc>
        <w:tc>
          <w:tcPr>
            <w:tcW w:w="506" w:type="pct"/>
            <w:tcBorders>
              <w:top w:val="nil"/>
              <w:left w:val="nil"/>
              <w:bottom w:val="nil"/>
              <w:right w:val="nil"/>
            </w:tcBorders>
            <w:vAlign w:val="bottom"/>
          </w:tcPr>
          <w:p w14:paraId="4C801FD6"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7,558 </w:t>
            </w:r>
          </w:p>
        </w:tc>
        <w:tc>
          <w:tcPr>
            <w:tcW w:w="568" w:type="pct"/>
            <w:tcBorders>
              <w:top w:val="nil"/>
              <w:left w:val="nil"/>
              <w:bottom w:val="nil"/>
              <w:right w:val="nil"/>
            </w:tcBorders>
            <w:vAlign w:val="bottom"/>
          </w:tcPr>
          <w:p w14:paraId="6A523CD1"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272,376 </w:t>
            </w:r>
          </w:p>
        </w:tc>
        <w:tc>
          <w:tcPr>
            <w:tcW w:w="616" w:type="pct"/>
            <w:tcBorders>
              <w:top w:val="nil"/>
              <w:left w:val="nil"/>
              <w:bottom w:val="nil"/>
              <w:right w:val="nil"/>
            </w:tcBorders>
            <w:vAlign w:val="bottom"/>
          </w:tcPr>
          <w:p w14:paraId="6FF4033A"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nil"/>
              <w:right w:val="nil"/>
            </w:tcBorders>
            <w:vAlign w:val="bottom"/>
          </w:tcPr>
          <w:p w14:paraId="7F2CB816"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279,934 </w:t>
            </w:r>
          </w:p>
        </w:tc>
        <w:tc>
          <w:tcPr>
            <w:tcW w:w="678" w:type="pct"/>
            <w:tcBorders>
              <w:top w:val="nil"/>
              <w:left w:val="nil"/>
              <w:bottom w:val="nil"/>
              <w:right w:val="nil"/>
            </w:tcBorders>
            <w:vAlign w:val="bottom"/>
          </w:tcPr>
          <w:p w14:paraId="719F131C"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744,689 </w:t>
            </w:r>
          </w:p>
        </w:tc>
        <w:tc>
          <w:tcPr>
            <w:tcW w:w="633" w:type="pct"/>
            <w:tcBorders>
              <w:top w:val="nil"/>
              <w:left w:val="nil"/>
              <w:bottom w:val="nil"/>
            </w:tcBorders>
            <w:vAlign w:val="bottom"/>
          </w:tcPr>
          <w:p w14:paraId="7EAD0165"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1,024,623 </w:t>
            </w:r>
          </w:p>
        </w:tc>
      </w:tr>
      <w:tr w:rsidR="00587444" w:rsidRPr="00587444" w14:paraId="4DC81D08" w14:textId="77777777" w:rsidTr="00DD69E7">
        <w:trPr>
          <w:trHeight w:hRule="exact" w:val="286"/>
        </w:trPr>
        <w:tc>
          <w:tcPr>
            <w:tcW w:w="1384" w:type="pct"/>
            <w:vAlign w:val="bottom"/>
          </w:tcPr>
          <w:p w14:paraId="0E17DC30"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bookmarkStart w:id="1358" w:name="_Toc4062897"/>
            <w:r w:rsidRPr="00587444">
              <w:rPr>
                <w:rFonts w:ascii="Arial" w:hAnsi="Arial" w:cs="Arial"/>
                <w:sz w:val="17"/>
                <w:szCs w:val="17"/>
              </w:rPr>
              <w:t>Borrowings</w:t>
            </w:r>
            <w:bookmarkEnd w:id="1358"/>
            <w:r w:rsidRPr="00587444">
              <w:rPr>
                <w:rFonts w:ascii="Arial" w:hAnsi="Arial" w:cs="Arial"/>
                <w:sz w:val="17"/>
                <w:szCs w:val="17"/>
              </w:rPr>
              <w:t xml:space="preserve"> </w:t>
            </w:r>
          </w:p>
        </w:tc>
        <w:tc>
          <w:tcPr>
            <w:tcW w:w="506" w:type="pct"/>
            <w:tcBorders>
              <w:top w:val="nil"/>
              <w:left w:val="nil"/>
              <w:bottom w:val="nil"/>
              <w:right w:val="nil"/>
            </w:tcBorders>
            <w:vAlign w:val="bottom"/>
          </w:tcPr>
          <w:p w14:paraId="4466C35A"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180,116 </w:t>
            </w:r>
          </w:p>
        </w:tc>
        <w:tc>
          <w:tcPr>
            <w:tcW w:w="568" w:type="pct"/>
            <w:tcBorders>
              <w:top w:val="nil"/>
              <w:left w:val="nil"/>
              <w:bottom w:val="nil"/>
              <w:right w:val="nil"/>
            </w:tcBorders>
            <w:vAlign w:val="bottom"/>
          </w:tcPr>
          <w:p w14:paraId="35612A17"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13,820,173 </w:t>
            </w:r>
          </w:p>
        </w:tc>
        <w:tc>
          <w:tcPr>
            <w:tcW w:w="616" w:type="pct"/>
            <w:tcBorders>
              <w:top w:val="nil"/>
              <w:left w:val="nil"/>
              <w:bottom w:val="nil"/>
              <w:right w:val="nil"/>
            </w:tcBorders>
            <w:vAlign w:val="bottom"/>
          </w:tcPr>
          <w:p w14:paraId="6B987863"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nil"/>
              <w:right w:val="nil"/>
            </w:tcBorders>
            <w:vAlign w:val="bottom"/>
          </w:tcPr>
          <w:p w14:paraId="534F6B78"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14,000,289 </w:t>
            </w:r>
          </w:p>
        </w:tc>
        <w:tc>
          <w:tcPr>
            <w:tcW w:w="678" w:type="pct"/>
            <w:tcBorders>
              <w:top w:val="nil"/>
              <w:left w:val="nil"/>
              <w:bottom w:val="nil"/>
              <w:right w:val="nil"/>
            </w:tcBorders>
            <w:vAlign w:val="bottom"/>
          </w:tcPr>
          <w:p w14:paraId="28DABE06"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2,500,987 </w:t>
            </w:r>
          </w:p>
        </w:tc>
        <w:tc>
          <w:tcPr>
            <w:tcW w:w="633" w:type="pct"/>
            <w:tcBorders>
              <w:top w:val="nil"/>
              <w:left w:val="nil"/>
              <w:bottom w:val="nil"/>
            </w:tcBorders>
            <w:vAlign w:val="bottom"/>
          </w:tcPr>
          <w:p w14:paraId="6AB8C771"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16,501,276 </w:t>
            </w:r>
          </w:p>
        </w:tc>
      </w:tr>
      <w:tr w:rsidR="00587444" w:rsidRPr="00587444" w14:paraId="5972D8E3" w14:textId="77777777" w:rsidTr="00DD69E7">
        <w:trPr>
          <w:trHeight w:hRule="exact" w:val="537"/>
        </w:trPr>
        <w:tc>
          <w:tcPr>
            <w:tcW w:w="1384" w:type="pct"/>
            <w:vAlign w:val="bottom"/>
          </w:tcPr>
          <w:p w14:paraId="3BC7D778" w14:textId="77777777" w:rsidR="001D0F8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Provisions for guarantees, </w:t>
            </w:r>
          </w:p>
          <w:p w14:paraId="110E93BA" w14:textId="562DF2C8"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commitments and other liabilities</w:t>
            </w:r>
          </w:p>
        </w:tc>
        <w:tc>
          <w:tcPr>
            <w:tcW w:w="506" w:type="pct"/>
            <w:tcBorders>
              <w:top w:val="nil"/>
              <w:left w:val="nil"/>
              <w:bottom w:val="nil"/>
              <w:right w:val="nil"/>
            </w:tcBorders>
            <w:vAlign w:val="bottom"/>
          </w:tcPr>
          <w:p w14:paraId="7745F58C"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568" w:type="pct"/>
            <w:tcBorders>
              <w:top w:val="nil"/>
              <w:left w:val="nil"/>
              <w:bottom w:val="nil"/>
              <w:right w:val="nil"/>
            </w:tcBorders>
            <w:vAlign w:val="bottom"/>
          </w:tcPr>
          <w:p w14:paraId="51E9F7CA"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25,778 </w:t>
            </w:r>
          </w:p>
        </w:tc>
        <w:tc>
          <w:tcPr>
            <w:tcW w:w="616" w:type="pct"/>
            <w:tcBorders>
              <w:top w:val="nil"/>
              <w:left w:val="nil"/>
              <w:bottom w:val="nil"/>
              <w:right w:val="nil"/>
            </w:tcBorders>
            <w:vAlign w:val="bottom"/>
          </w:tcPr>
          <w:p w14:paraId="17D3EB02"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12,091 </w:t>
            </w:r>
          </w:p>
        </w:tc>
        <w:tc>
          <w:tcPr>
            <w:tcW w:w="615" w:type="pct"/>
            <w:tcBorders>
              <w:top w:val="nil"/>
              <w:left w:val="nil"/>
              <w:bottom w:val="nil"/>
              <w:right w:val="nil"/>
            </w:tcBorders>
            <w:vAlign w:val="bottom"/>
          </w:tcPr>
          <w:p w14:paraId="37EB7169"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37,869 </w:t>
            </w:r>
          </w:p>
        </w:tc>
        <w:tc>
          <w:tcPr>
            <w:tcW w:w="678" w:type="pct"/>
            <w:tcBorders>
              <w:top w:val="nil"/>
              <w:left w:val="nil"/>
              <w:bottom w:val="nil"/>
              <w:right w:val="nil"/>
            </w:tcBorders>
            <w:vAlign w:val="bottom"/>
          </w:tcPr>
          <w:p w14:paraId="5E6AA022"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104,806 </w:t>
            </w:r>
          </w:p>
        </w:tc>
        <w:tc>
          <w:tcPr>
            <w:tcW w:w="633" w:type="pct"/>
            <w:tcBorders>
              <w:top w:val="nil"/>
              <w:left w:val="nil"/>
              <w:bottom w:val="nil"/>
            </w:tcBorders>
            <w:vAlign w:val="bottom"/>
          </w:tcPr>
          <w:p w14:paraId="3B8E3422"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142,675 </w:t>
            </w:r>
          </w:p>
        </w:tc>
      </w:tr>
      <w:tr w:rsidR="00587444" w:rsidRPr="00587444" w14:paraId="671621F6" w14:textId="77777777" w:rsidTr="00DD69E7">
        <w:trPr>
          <w:trHeight w:hRule="exact" w:val="286"/>
        </w:trPr>
        <w:tc>
          <w:tcPr>
            <w:tcW w:w="1384" w:type="pct"/>
            <w:vAlign w:val="bottom"/>
          </w:tcPr>
          <w:p w14:paraId="25F762D2"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bookmarkStart w:id="1359" w:name="_Toc4062899"/>
            <w:r w:rsidRPr="00587444">
              <w:rPr>
                <w:rFonts w:ascii="Arial" w:hAnsi="Arial" w:cs="Arial"/>
                <w:sz w:val="17"/>
                <w:szCs w:val="17"/>
              </w:rPr>
              <w:t>Other liabilities</w:t>
            </w:r>
            <w:bookmarkEnd w:id="1359"/>
            <w:r w:rsidRPr="00587444">
              <w:rPr>
                <w:rFonts w:ascii="Arial" w:hAnsi="Arial" w:cs="Arial"/>
                <w:sz w:val="17"/>
                <w:szCs w:val="17"/>
              </w:rPr>
              <w:t xml:space="preserve"> </w:t>
            </w:r>
          </w:p>
        </w:tc>
        <w:tc>
          <w:tcPr>
            <w:tcW w:w="506" w:type="pct"/>
            <w:tcBorders>
              <w:top w:val="nil"/>
              <w:left w:val="nil"/>
              <w:bottom w:val="single" w:sz="4" w:space="0" w:color="auto"/>
              <w:right w:val="nil"/>
            </w:tcBorders>
            <w:vAlign w:val="bottom"/>
          </w:tcPr>
          <w:p w14:paraId="1E96CA6A"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568" w:type="pct"/>
            <w:tcBorders>
              <w:top w:val="nil"/>
              <w:left w:val="nil"/>
              <w:bottom w:val="single" w:sz="4" w:space="0" w:color="auto"/>
              <w:right w:val="nil"/>
            </w:tcBorders>
            <w:vAlign w:val="bottom"/>
          </w:tcPr>
          <w:p w14:paraId="19DFF9DC"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7,325 </w:t>
            </w:r>
          </w:p>
        </w:tc>
        <w:tc>
          <w:tcPr>
            <w:tcW w:w="616" w:type="pct"/>
            <w:tcBorders>
              <w:top w:val="nil"/>
              <w:left w:val="nil"/>
              <w:bottom w:val="single" w:sz="4" w:space="0" w:color="auto"/>
              <w:right w:val="nil"/>
            </w:tcBorders>
            <w:vAlign w:val="bottom"/>
          </w:tcPr>
          <w:p w14:paraId="40812CFC"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single" w:sz="4" w:space="0" w:color="auto"/>
              <w:right w:val="nil"/>
            </w:tcBorders>
            <w:vAlign w:val="bottom"/>
          </w:tcPr>
          <w:p w14:paraId="36A7A500"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7,325 </w:t>
            </w:r>
          </w:p>
        </w:tc>
        <w:tc>
          <w:tcPr>
            <w:tcW w:w="678" w:type="pct"/>
            <w:tcBorders>
              <w:top w:val="nil"/>
              <w:left w:val="nil"/>
              <w:bottom w:val="single" w:sz="4" w:space="0" w:color="auto"/>
              <w:right w:val="nil"/>
            </w:tcBorders>
            <w:vAlign w:val="bottom"/>
          </w:tcPr>
          <w:p w14:paraId="5871C897"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645,808 </w:t>
            </w:r>
          </w:p>
        </w:tc>
        <w:tc>
          <w:tcPr>
            <w:tcW w:w="633" w:type="pct"/>
            <w:tcBorders>
              <w:top w:val="nil"/>
              <w:left w:val="nil"/>
              <w:bottom w:val="single" w:sz="4" w:space="0" w:color="auto"/>
            </w:tcBorders>
            <w:vAlign w:val="bottom"/>
          </w:tcPr>
          <w:p w14:paraId="20292FA9"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653,133 </w:t>
            </w:r>
          </w:p>
        </w:tc>
      </w:tr>
      <w:tr w:rsidR="00587444" w:rsidRPr="00587444" w14:paraId="2F7D23D6" w14:textId="77777777" w:rsidTr="00DD69E7">
        <w:trPr>
          <w:trHeight w:hRule="exact" w:val="343"/>
        </w:trPr>
        <w:tc>
          <w:tcPr>
            <w:tcW w:w="1384" w:type="pct"/>
            <w:vAlign w:val="bottom"/>
          </w:tcPr>
          <w:p w14:paraId="5721C3B7"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7"/>
                <w:szCs w:val="17"/>
              </w:rPr>
            </w:pPr>
            <w:bookmarkStart w:id="1360" w:name="_Toc4062900"/>
            <w:r w:rsidRPr="00587444">
              <w:rPr>
                <w:rFonts w:ascii="Arial" w:hAnsi="Arial" w:cs="Arial"/>
                <w:b/>
                <w:bCs/>
                <w:sz w:val="17"/>
                <w:szCs w:val="17"/>
              </w:rPr>
              <w:t>Total liabilities</w:t>
            </w:r>
            <w:bookmarkEnd w:id="1360"/>
            <w:r w:rsidRPr="00587444">
              <w:rPr>
                <w:rFonts w:ascii="Arial" w:hAnsi="Arial" w:cs="Arial"/>
                <w:b/>
                <w:bCs/>
                <w:sz w:val="17"/>
                <w:szCs w:val="17"/>
              </w:rPr>
              <w:t xml:space="preserve"> </w:t>
            </w:r>
          </w:p>
        </w:tc>
        <w:tc>
          <w:tcPr>
            <w:tcW w:w="506" w:type="pct"/>
            <w:tcBorders>
              <w:top w:val="single" w:sz="4" w:space="0" w:color="auto"/>
              <w:left w:val="nil"/>
              <w:bottom w:val="single" w:sz="12" w:space="0" w:color="auto"/>
              <w:right w:val="nil"/>
            </w:tcBorders>
            <w:vAlign w:val="bottom"/>
          </w:tcPr>
          <w:p w14:paraId="455E2C28"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 187,674 </w:t>
            </w:r>
          </w:p>
        </w:tc>
        <w:tc>
          <w:tcPr>
            <w:tcW w:w="568" w:type="pct"/>
            <w:tcBorders>
              <w:top w:val="single" w:sz="4" w:space="0" w:color="auto"/>
              <w:left w:val="nil"/>
              <w:bottom w:val="single" w:sz="12" w:space="0" w:color="auto"/>
              <w:right w:val="nil"/>
            </w:tcBorders>
            <w:vAlign w:val="bottom"/>
          </w:tcPr>
          <w:p w14:paraId="48D0CADB"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14,125,652</w:t>
            </w:r>
          </w:p>
        </w:tc>
        <w:tc>
          <w:tcPr>
            <w:tcW w:w="616" w:type="pct"/>
            <w:tcBorders>
              <w:top w:val="single" w:sz="4" w:space="0" w:color="auto"/>
              <w:left w:val="nil"/>
              <w:bottom w:val="single" w:sz="12" w:space="0" w:color="auto"/>
              <w:right w:val="nil"/>
            </w:tcBorders>
            <w:vAlign w:val="bottom"/>
          </w:tcPr>
          <w:p w14:paraId="0D03029D"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 12,091 </w:t>
            </w:r>
          </w:p>
        </w:tc>
        <w:tc>
          <w:tcPr>
            <w:tcW w:w="615" w:type="pct"/>
            <w:tcBorders>
              <w:top w:val="single" w:sz="4" w:space="0" w:color="auto"/>
              <w:left w:val="nil"/>
              <w:bottom w:val="single" w:sz="12" w:space="0" w:color="auto"/>
              <w:right w:val="nil"/>
            </w:tcBorders>
            <w:vAlign w:val="bottom"/>
          </w:tcPr>
          <w:p w14:paraId="4787E659"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14,325,417 </w:t>
            </w:r>
          </w:p>
        </w:tc>
        <w:tc>
          <w:tcPr>
            <w:tcW w:w="678" w:type="pct"/>
            <w:tcBorders>
              <w:top w:val="single" w:sz="4" w:space="0" w:color="auto"/>
              <w:left w:val="nil"/>
              <w:bottom w:val="single" w:sz="12" w:space="0" w:color="auto"/>
              <w:right w:val="nil"/>
            </w:tcBorders>
            <w:vAlign w:val="bottom"/>
          </w:tcPr>
          <w:p w14:paraId="439CCFB4"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 3,996,290 </w:t>
            </w:r>
          </w:p>
        </w:tc>
        <w:tc>
          <w:tcPr>
            <w:tcW w:w="633" w:type="pct"/>
            <w:tcBorders>
              <w:top w:val="single" w:sz="4" w:space="0" w:color="auto"/>
              <w:left w:val="nil"/>
              <w:bottom w:val="single" w:sz="12" w:space="0" w:color="auto"/>
            </w:tcBorders>
            <w:vAlign w:val="bottom"/>
          </w:tcPr>
          <w:p w14:paraId="71D91164"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18,321,707 </w:t>
            </w:r>
          </w:p>
        </w:tc>
      </w:tr>
      <w:tr w:rsidR="00587444" w:rsidRPr="00587444" w14:paraId="796FECB8" w14:textId="77777777" w:rsidTr="00DD69E7">
        <w:trPr>
          <w:trHeight w:hRule="exact" w:val="458"/>
        </w:trPr>
        <w:tc>
          <w:tcPr>
            <w:tcW w:w="1384" w:type="pct"/>
            <w:vAlign w:val="bottom"/>
          </w:tcPr>
          <w:p w14:paraId="6ED4A1FB" w14:textId="77777777" w:rsidR="00587444" w:rsidRPr="00587444" w:rsidRDefault="00587444" w:rsidP="00587444">
            <w:pPr>
              <w:suppressAutoHyphens w:val="0"/>
              <w:autoSpaceDN/>
              <w:spacing w:line="240" w:lineRule="exact"/>
              <w:rPr>
                <w:rFonts w:ascii="Arial" w:eastAsia="Calibri" w:hAnsi="Arial" w:cs="Arial"/>
                <w:b/>
                <w:bCs/>
                <w:spacing w:val="-2"/>
                <w:sz w:val="17"/>
                <w:szCs w:val="17"/>
              </w:rPr>
            </w:pPr>
            <w:r w:rsidRPr="00587444">
              <w:rPr>
                <w:rFonts w:ascii="Arial" w:eastAsia="Calibri" w:hAnsi="Arial" w:cs="Arial"/>
                <w:b/>
                <w:bCs/>
                <w:sz w:val="17"/>
                <w:szCs w:val="17"/>
              </w:rPr>
              <w:t>Currency gap</w:t>
            </w:r>
          </w:p>
        </w:tc>
        <w:tc>
          <w:tcPr>
            <w:tcW w:w="506" w:type="pct"/>
            <w:tcBorders>
              <w:top w:val="single" w:sz="12" w:space="0" w:color="auto"/>
              <w:left w:val="nil"/>
              <w:bottom w:val="single" w:sz="12" w:space="0" w:color="auto"/>
              <w:right w:val="nil"/>
            </w:tcBorders>
            <w:shd w:val="clear" w:color="000000" w:fill="auto"/>
            <w:vAlign w:val="bottom"/>
          </w:tcPr>
          <w:p w14:paraId="6E5700D5"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 (3,368)</w:t>
            </w:r>
          </w:p>
        </w:tc>
        <w:tc>
          <w:tcPr>
            <w:tcW w:w="568" w:type="pct"/>
            <w:tcBorders>
              <w:top w:val="single" w:sz="12" w:space="0" w:color="auto"/>
              <w:left w:val="nil"/>
              <w:bottom w:val="single" w:sz="12" w:space="0" w:color="auto"/>
              <w:right w:val="nil"/>
            </w:tcBorders>
            <w:shd w:val="clear" w:color="000000" w:fill="auto"/>
            <w:vAlign w:val="bottom"/>
          </w:tcPr>
          <w:p w14:paraId="1AC7E5E4"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 60,902 </w:t>
            </w:r>
          </w:p>
        </w:tc>
        <w:tc>
          <w:tcPr>
            <w:tcW w:w="616" w:type="pct"/>
            <w:tcBorders>
              <w:top w:val="single" w:sz="12" w:space="0" w:color="auto"/>
              <w:left w:val="nil"/>
              <w:bottom w:val="single" w:sz="12" w:space="0" w:color="auto"/>
              <w:right w:val="nil"/>
            </w:tcBorders>
            <w:shd w:val="clear" w:color="000000" w:fill="auto"/>
            <w:vAlign w:val="bottom"/>
          </w:tcPr>
          <w:p w14:paraId="01CB0EB5"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 122,617 </w:t>
            </w:r>
          </w:p>
        </w:tc>
        <w:tc>
          <w:tcPr>
            <w:tcW w:w="615" w:type="pct"/>
            <w:tcBorders>
              <w:top w:val="single" w:sz="12" w:space="0" w:color="auto"/>
              <w:left w:val="nil"/>
              <w:bottom w:val="single" w:sz="12" w:space="0" w:color="auto"/>
              <w:right w:val="nil"/>
            </w:tcBorders>
            <w:shd w:val="clear" w:color="000000" w:fill="auto"/>
            <w:vAlign w:val="bottom"/>
          </w:tcPr>
          <w:p w14:paraId="65FFF60A"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 180,151 </w:t>
            </w:r>
          </w:p>
        </w:tc>
        <w:tc>
          <w:tcPr>
            <w:tcW w:w="678" w:type="pct"/>
            <w:tcBorders>
              <w:top w:val="single" w:sz="12" w:space="0" w:color="auto"/>
              <w:left w:val="nil"/>
              <w:bottom w:val="single" w:sz="12" w:space="0" w:color="auto"/>
              <w:right w:val="nil"/>
            </w:tcBorders>
            <w:shd w:val="clear" w:color="000000" w:fill="auto"/>
            <w:vAlign w:val="bottom"/>
          </w:tcPr>
          <w:p w14:paraId="278ED7FF"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 10,530,449 </w:t>
            </w:r>
          </w:p>
        </w:tc>
        <w:tc>
          <w:tcPr>
            <w:tcW w:w="633" w:type="pct"/>
            <w:tcBorders>
              <w:top w:val="single" w:sz="12" w:space="0" w:color="auto"/>
              <w:left w:val="nil"/>
              <w:bottom w:val="single" w:sz="12" w:space="0" w:color="auto"/>
            </w:tcBorders>
            <w:shd w:val="clear" w:color="000000" w:fill="auto"/>
            <w:vAlign w:val="bottom"/>
          </w:tcPr>
          <w:p w14:paraId="2E010D81"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10,710,600 </w:t>
            </w:r>
          </w:p>
        </w:tc>
      </w:tr>
      <w:bookmarkEnd w:id="1329"/>
    </w:tbl>
    <w:p w14:paraId="55D94D66" w14:textId="77777777" w:rsidR="00587444" w:rsidRPr="00587444" w:rsidRDefault="00587444" w:rsidP="00587444">
      <w:pPr>
        <w:keepNext/>
        <w:suppressAutoHyphens w:val="0"/>
        <w:autoSpaceDN/>
        <w:jc w:val="both"/>
        <w:rPr>
          <w:rFonts w:ascii="Arial" w:hAnsi="Arial" w:cs="Arial"/>
          <w:sz w:val="20"/>
          <w:szCs w:val="20"/>
          <w:lang w:val="en-GB"/>
        </w:rPr>
      </w:pPr>
    </w:p>
    <w:p w14:paraId="0C7B13F4" w14:textId="77777777" w:rsidR="00587444" w:rsidRPr="00943B2E" w:rsidRDefault="00587444" w:rsidP="00587444">
      <w:pPr>
        <w:keepNext/>
        <w:suppressAutoHyphens w:val="0"/>
        <w:autoSpaceDN/>
        <w:jc w:val="both"/>
        <w:rPr>
          <w:rFonts w:ascii="Arial" w:hAnsi="Arial" w:cs="Arial"/>
          <w:sz w:val="18"/>
          <w:szCs w:val="18"/>
          <w:lang w:val="en-GB"/>
        </w:rPr>
      </w:pPr>
    </w:p>
    <w:p w14:paraId="68B93F92" w14:textId="77777777" w:rsidR="00587444" w:rsidRPr="00943B2E" w:rsidRDefault="00587444" w:rsidP="00587444">
      <w:pPr>
        <w:tabs>
          <w:tab w:val="right" w:pos="1202"/>
        </w:tabs>
        <w:suppressAutoHyphens w:val="0"/>
        <w:autoSpaceDN/>
        <w:jc w:val="both"/>
        <w:outlineLvl w:val="0"/>
        <w:rPr>
          <w:rFonts w:ascii="Arial" w:hAnsi="Arial" w:cs="Arial"/>
          <w:i/>
          <w:sz w:val="18"/>
          <w:szCs w:val="18"/>
        </w:rPr>
      </w:pPr>
      <w:bookmarkStart w:id="1361" w:name="_Toc4062901"/>
      <w:r w:rsidRPr="00943B2E">
        <w:rPr>
          <w:rFonts w:ascii="Arial" w:hAnsi="Arial" w:cs="Arial"/>
          <w:i/>
          <w:sz w:val="18"/>
          <w:szCs w:val="18"/>
        </w:rPr>
        <w:t>* Amounts linked to a one-way currency clause represent HRK 27,641 thousand.</w:t>
      </w:r>
      <w:bookmarkEnd w:id="1361"/>
    </w:p>
    <w:p w14:paraId="25C8AC44" w14:textId="77777777" w:rsidR="00587444" w:rsidRPr="00587444" w:rsidRDefault="00587444" w:rsidP="00587444">
      <w:pPr>
        <w:suppressAutoHyphens w:val="0"/>
        <w:autoSpaceDN/>
        <w:spacing w:before="120" w:after="120" w:line="360" w:lineRule="auto"/>
        <w:jc w:val="both"/>
        <w:rPr>
          <w:rFonts w:ascii="Arial" w:hAnsi="Arial" w:cs="Arial"/>
          <w:b/>
          <w:bCs/>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1E857995"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1960A8C"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         Risk management (continued)</w:t>
      </w:r>
    </w:p>
    <w:p w14:paraId="741F3FEC"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6DE4413C"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31.5.      Market risk (continued)</w:t>
      </w:r>
    </w:p>
    <w:p w14:paraId="68A793F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7FE3ECE6"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31.5.2.   Currency risk (continued)</w:t>
      </w:r>
    </w:p>
    <w:p w14:paraId="66043E05"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tbl>
      <w:tblPr>
        <w:tblW w:w="5267" w:type="pct"/>
        <w:tblInd w:w="-306" w:type="dxa"/>
        <w:tblLayout w:type="fixed"/>
        <w:tblCellMar>
          <w:left w:w="120" w:type="dxa"/>
          <w:right w:w="120" w:type="dxa"/>
        </w:tblCellMar>
        <w:tblLook w:val="0000" w:firstRow="0" w:lastRow="0" w:firstColumn="0" w:lastColumn="0" w:noHBand="0" w:noVBand="0"/>
      </w:tblPr>
      <w:tblGrid>
        <w:gridCol w:w="2797"/>
        <w:gridCol w:w="1023"/>
        <w:gridCol w:w="1148"/>
        <w:gridCol w:w="1245"/>
        <w:gridCol w:w="1243"/>
        <w:gridCol w:w="1371"/>
        <w:gridCol w:w="1280"/>
      </w:tblGrid>
      <w:tr w:rsidR="00587444" w:rsidRPr="00587444" w14:paraId="2D428992" w14:textId="77777777" w:rsidTr="00DD69E7">
        <w:trPr>
          <w:trHeight w:val="630"/>
        </w:trPr>
        <w:tc>
          <w:tcPr>
            <w:tcW w:w="1384" w:type="pct"/>
            <w:vAlign w:val="bottom"/>
          </w:tcPr>
          <w:p w14:paraId="4BCC396E" w14:textId="77777777" w:rsidR="00587444" w:rsidRPr="00587444" w:rsidRDefault="00587444" w:rsidP="00587444">
            <w:pPr>
              <w:tabs>
                <w:tab w:val="right" w:pos="1202"/>
              </w:tabs>
              <w:suppressAutoHyphens w:val="0"/>
              <w:autoSpaceDN/>
              <w:spacing w:line="240" w:lineRule="exact"/>
              <w:outlineLvl w:val="0"/>
              <w:rPr>
                <w:rFonts w:ascii="Arial" w:hAnsi="Arial" w:cs="Arial"/>
                <w:b/>
                <w:sz w:val="17"/>
                <w:szCs w:val="17"/>
              </w:rPr>
            </w:pPr>
            <w:r w:rsidRPr="00587444">
              <w:rPr>
                <w:rFonts w:ascii="Arial" w:hAnsi="Arial" w:cs="Arial"/>
                <w:b/>
                <w:sz w:val="17"/>
                <w:szCs w:val="17"/>
              </w:rPr>
              <w:t>Bank</w:t>
            </w:r>
          </w:p>
          <w:p w14:paraId="74C41536" w14:textId="77777777" w:rsidR="00587444" w:rsidRPr="00587444" w:rsidRDefault="00587444" w:rsidP="00587444">
            <w:pPr>
              <w:tabs>
                <w:tab w:val="right" w:pos="1202"/>
              </w:tabs>
              <w:suppressAutoHyphens w:val="0"/>
              <w:autoSpaceDN/>
              <w:spacing w:line="240" w:lineRule="exact"/>
              <w:outlineLvl w:val="0"/>
              <w:rPr>
                <w:rFonts w:ascii="Arial" w:hAnsi="Arial" w:cs="Arial"/>
                <w:b/>
                <w:sz w:val="17"/>
                <w:szCs w:val="17"/>
              </w:rPr>
            </w:pPr>
          </w:p>
          <w:p w14:paraId="216EBA2C" w14:textId="77777777" w:rsidR="00587444" w:rsidRPr="00587444" w:rsidRDefault="00587444" w:rsidP="00587444">
            <w:pPr>
              <w:tabs>
                <w:tab w:val="right" w:pos="1202"/>
              </w:tabs>
              <w:suppressAutoHyphens w:val="0"/>
              <w:autoSpaceDN/>
              <w:spacing w:line="240" w:lineRule="exact"/>
              <w:outlineLvl w:val="0"/>
              <w:rPr>
                <w:rFonts w:ascii="Arial" w:hAnsi="Arial" w:cs="Arial"/>
                <w:b/>
                <w:sz w:val="17"/>
                <w:szCs w:val="17"/>
              </w:rPr>
            </w:pPr>
            <w:r w:rsidRPr="00587444">
              <w:rPr>
                <w:rFonts w:ascii="Arial" w:hAnsi="Arial" w:cs="Arial"/>
                <w:b/>
                <w:bCs/>
                <w:sz w:val="17"/>
                <w:szCs w:val="17"/>
              </w:rPr>
              <w:t>31 December</w:t>
            </w:r>
            <w:r w:rsidRPr="00587444">
              <w:rPr>
                <w:rFonts w:ascii="Arial" w:hAnsi="Arial" w:cs="Arial"/>
                <w:b/>
                <w:sz w:val="17"/>
                <w:szCs w:val="17"/>
              </w:rPr>
              <w:t xml:space="preserve"> 2021</w:t>
            </w:r>
          </w:p>
        </w:tc>
        <w:tc>
          <w:tcPr>
            <w:tcW w:w="506" w:type="pct"/>
          </w:tcPr>
          <w:p w14:paraId="2FE8DFB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USD</w:t>
            </w:r>
          </w:p>
        </w:tc>
        <w:tc>
          <w:tcPr>
            <w:tcW w:w="568" w:type="pct"/>
          </w:tcPr>
          <w:p w14:paraId="13DB05A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EUR </w:t>
            </w:r>
          </w:p>
        </w:tc>
        <w:tc>
          <w:tcPr>
            <w:tcW w:w="616" w:type="pct"/>
          </w:tcPr>
          <w:p w14:paraId="5474F53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Other </w:t>
            </w:r>
          </w:p>
          <w:p w14:paraId="5E7E7B63" w14:textId="77777777" w:rsidR="001D0F8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foreign </w:t>
            </w:r>
          </w:p>
          <w:p w14:paraId="25F124FD" w14:textId="105D186B"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currencies </w:t>
            </w:r>
          </w:p>
        </w:tc>
        <w:tc>
          <w:tcPr>
            <w:tcW w:w="615" w:type="pct"/>
          </w:tcPr>
          <w:p w14:paraId="2F24D31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Total</w:t>
            </w:r>
          </w:p>
          <w:p w14:paraId="32C37A7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 foreign currencies </w:t>
            </w:r>
          </w:p>
        </w:tc>
        <w:tc>
          <w:tcPr>
            <w:tcW w:w="678" w:type="pct"/>
          </w:tcPr>
          <w:p w14:paraId="103D0D6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HRK</w:t>
            </w:r>
          </w:p>
        </w:tc>
        <w:tc>
          <w:tcPr>
            <w:tcW w:w="633" w:type="pct"/>
          </w:tcPr>
          <w:p w14:paraId="113805C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Total </w:t>
            </w:r>
          </w:p>
        </w:tc>
      </w:tr>
      <w:tr w:rsidR="00587444" w:rsidRPr="00587444" w14:paraId="38864386" w14:textId="77777777" w:rsidTr="00DD69E7">
        <w:trPr>
          <w:trHeight w:hRule="exact" w:val="229"/>
        </w:trPr>
        <w:tc>
          <w:tcPr>
            <w:tcW w:w="1384" w:type="pct"/>
          </w:tcPr>
          <w:p w14:paraId="6CA47D8E" w14:textId="77777777" w:rsidR="00587444" w:rsidRPr="00587444" w:rsidRDefault="00587444" w:rsidP="00587444">
            <w:pPr>
              <w:tabs>
                <w:tab w:val="right" w:pos="1202"/>
              </w:tabs>
              <w:suppressAutoHyphens w:val="0"/>
              <w:autoSpaceDN/>
              <w:spacing w:line="240" w:lineRule="exact"/>
              <w:outlineLvl w:val="0"/>
              <w:rPr>
                <w:rFonts w:ascii="Arial" w:hAnsi="Arial" w:cs="Arial"/>
                <w:b/>
                <w:sz w:val="17"/>
                <w:szCs w:val="17"/>
              </w:rPr>
            </w:pPr>
          </w:p>
        </w:tc>
        <w:tc>
          <w:tcPr>
            <w:tcW w:w="506" w:type="pct"/>
          </w:tcPr>
          <w:p w14:paraId="7D71906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HRK ‘000</w:t>
            </w:r>
          </w:p>
        </w:tc>
        <w:tc>
          <w:tcPr>
            <w:tcW w:w="568" w:type="pct"/>
          </w:tcPr>
          <w:p w14:paraId="08BE3F0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HRK ‘000</w:t>
            </w:r>
          </w:p>
        </w:tc>
        <w:tc>
          <w:tcPr>
            <w:tcW w:w="616" w:type="pct"/>
          </w:tcPr>
          <w:p w14:paraId="0583ACA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HRK ‘000</w:t>
            </w:r>
          </w:p>
        </w:tc>
        <w:tc>
          <w:tcPr>
            <w:tcW w:w="615" w:type="pct"/>
          </w:tcPr>
          <w:p w14:paraId="278371B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HRK ‘000</w:t>
            </w:r>
          </w:p>
        </w:tc>
        <w:tc>
          <w:tcPr>
            <w:tcW w:w="678" w:type="pct"/>
          </w:tcPr>
          <w:p w14:paraId="78AE344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HRK ‘000</w:t>
            </w:r>
          </w:p>
        </w:tc>
        <w:tc>
          <w:tcPr>
            <w:tcW w:w="633" w:type="pct"/>
          </w:tcPr>
          <w:p w14:paraId="4E19380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HRK ‘000</w:t>
            </w:r>
          </w:p>
        </w:tc>
      </w:tr>
      <w:tr w:rsidR="00587444" w:rsidRPr="00587444" w14:paraId="0A326CE0" w14:textId="77777777" w:rsidTr="00DD69E7">
        <w:trPr>
          <w:trHeight w:val="217"/>
        </w:trPr>
        <w:tc>
          <w:tcPr>
            <w:tcW w:w="1384" w:type="pct"/>
          </w:tcPr>
          <w:p w14:paraId="11D93842" w14:textId="77777777" w:rsidR="00587444" w:rsidRPr="00587444" w:rsidRDefault="00587444" w:rsidP="00587444">
            <w:pPr>
              <w:tabs>
                <w:tab w:val="right" w:pos="1202"/>
              </w:tabs>
              <w:suppressAutoHyphens w:val="0"/>
              <w:autoSpaceDN/>
              <w:spacing w:line="240" w:lineRule="exact"/>
              <w:outlineLvl w:val="0"/>
              <w:rPr>
                <w:rFonts w:ascii="Arial" w:hAnsi="Arial" w:cs="Arial"/>
                <w:b/>
                <w:sz w:val="17"/>
                <w:szCs w:val="17"/>
              </w:rPr>
            </w:pPr>
            <w:r w:rsidRPr="00587444">
              <w:rPr>
                <w:rFonts w:ascii="Arial" w:hAnsi="Arial" w:cs="Arial"/>
                <w:b/>
                <w:sz w:val="17"/>
                <w:szCs w:val="17"/>
              </w:rPr>
              <w:t xml:space="preserve">Assets </w:t>
            </w:r>
          </w:p>
        </w:tc>
        <w:tc>
          <w:tcPr>
            <w:tcW w:w="506" w:type="pct"/>
            <w:vAlign w:val="bottom"/>
          </w:tcPr>
          <w:p w14:paraId="555007E1"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c>
          <w:tcPr>
            <w:tcW w:w="568" w:type="pct"/>
            <w:vAlign w:val="bottom"/>
          </w:tcPr>
          <w:p w14:paraId="7A4B1CA6"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c>
          <w:tcPr>
            <w:tcW w:w="616" w:type="pct"/>
            <w:vAlign w:val="bottom"/>
          </w:tcPr>
          <w:p w14:paraId="2E970B4F"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c>
          <w:tcPr>
            <w:tcW w:w="615" w:type="pct"/>
            <w:vAlign w:val="bottom"/>
          </w:tcPr>
          <w:p w14:paraId="7399AB0A"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c>
          <w:tcPr>
            <w:tcW w:w="678" w:type="pct"/>
            <w:vAlign w:val="bottom"/>
          </w:tcPr>
          <w:p w14:paraId="69439A90"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c>
          <w:tcPr>
            <w:tcW w:w="633" w:type="pct"/>
            <w:vAlign w:val="bottom"/>
          </w:tcPr>
          <w:p w14:paraId="618D70EF" w14:textId="77777777" w:rsidR="00587444" w:rsidRPr="00587444" w:rsidRDefault="00587444" w:rsidP="00587444">
            <w:pPr>
              <w:suppressAutoHyphens w:val="0"/>
              <w:autoSpaceDN/>
              <w:spacing w:line="240" w:lineRule="exact"/>
              <w:jc w:val="right"/>
              <w:rPr>
                <w:rFonts w:ascii="Arial" w:eastAsia="Arial Unicode MS" w:hAnsi="Arial" w:cs="Arial"/>
                <w:sz w:val="17"/>
                <w:szCs w:val="17"/>
              </w:rPr>
            </w:pPr>
          </w:p>
        </w:tc>
      </w:tr>
      <w:tr w:rsidR="00587444" w:rsidRPr="00587444" w14:paraId="0F7D5A4A" w14:textId="77777777" w:rsidTr="00DD69E7">
        <w:trPr>
          <w:trHeight w:val="281"/>
        </w:trPr>
        <w:tc>
          <w:tcPr>
            <w:tcW w:w="1384" w:type="pct"/>
            <w:vAlign w:val="bottom"/>
          </w:tcPr>
          <w:p w14:paraId="40A5CA10" w14:textId="77777777" w:rsidR="001D0F84" w:rsidRDefault="00587444" w:rsidP="00587444">
            <w:pPr>
              <w:tabs>
                <w:tab w:val="right" w:pos="1202"/>
              </w:tabs>
              <w:suppressAutoHyphens w:val="0"/>
              <w:autoSpaceDN/>
              <w:spacing w:line="240" w:lineRule="exact"/>
              <w:outlineLvl w:val="0"/>
              <w:rPr>
                <w:rFonts w:ascii="Arial" w:hAnsi="Arial" w:cs="Arial"/>
                <w:spacing w:val="-2"/>
                <w:sz w:val="17"/>
                <w:szCs w:val="17"/>
              </w:rPr>
            </w:pPr>
            <w:r w:rsidRPr="00587444">
              <w:rPr>
                <w:rFonts w:ascii="Arial" w:hAnsi="Arial" w:cs="Arial"/>
                <w:spacing w:val="-2"/>
                <w:sz w:val="17"/>
                <w:szCs w:val="17"/>
              </w:rPr>
              <w:t xml:space="preserve">Cash on hand and current </w:t>
            </w:r>
          </w:p>
          <w:p w14:paraId="4B877E01" w14:textId="675846EC"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accounts with banks</w:t>
            </w:r>
          </w:p>
        </w:tc>
        <w:tc>
          <w:tcPr>
            <w:tcW w:w="506" w:type="pct"/>
            <w:tcBorders>
              <w:top w:val="nil"/>
              <w:left w:val="nil"/>
              <w:right w:val="nil"/>
            </w:tcBorders>
            <w:vAlign w:val="bottom"/>
          </w:tcPr>
          <w:p w14:paraId="27F9C1C9"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55,583 </w:t>
            </w:r>
          </w:p>
        </w:tc>
        <w:tc>
          <w:tcPr>
            <w:tcW w:w="568" w:type="pct"/>
            <w:tcBorders>
              <w:top w:val="nil"/>
              <w:left w:val="nil"/>
              <w:right w:val="nil"/>
            </w:tcBorders>
            <w:vAlign w:val="bottom"/>
          </w:tcPr>
          <w:p w14:paraId="338BF232"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25,319 </w:t>
            </w:r>
          </w:p>
        </w:tc>
        <w:tc>
          <w:tcPr>
            <w:tcW w:w="616" w:type="pct"/>
            <w:tcBorders>
              <w:top w:val="nil"/>
              <w:left w:val="nil"/>
              <w:right w:val="nil"/>
            </w:tcBorders>
            <w:vAlign w:val="bottom"/>
          </w:tcPr>
          <w:p w14:paraId="1AD72828"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right w:val="nil"/>
            </w:tcBorders>
            <w:vAlign w:val="bottom"/>
          </w:tcPr>
          <w:p w14:paraId="4B2C3EA7"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80,902 </w:t>
            </w:r>
          </w:p>
        </w:tc>
        <w:tc>
          <w:tcPr>
            <w:tcW w:w="678" w:type="pct"/>
            <w:tcBorders>
              <w:top w:val="nil"/>
              <w:left w:val="nil"/>
              <w:right w:val="nil"/>
            </w:tcBorders>
            <w:vAlign w:val="bottom"/>
          </w:tcPr>
          <w:p w14:paraId="7B6C6860"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1,877,718 </w:t>
            </w:r>
          </w:p>
        </w:tc>
        <w:tc>
          <w:tcPr>
            <w:tcW w:w="633" w:type="pct"/>
            <w:tcBorders>
              <w:top w:val="nil"/>
              <w:left w:val="nil"/>
            </w:tcBorders>
            <w:vAlign w:val="bottom"/>
          </w:tcPr>
          <w:p w14:paraId="08ED37AB"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1,958,620 </w:t>
            </w:r>
          </w:p>
        </w:tc>
      </w:tr>
      <w:tr w:rsidR="00587444" w:rsidRPr="00587444" w14:paraId="1C43A350" w14:textId="77777777" w:rsidTr="00DD69E7">
        <w:trPr>
          <w:trHeight w:hRule="exact" w:val="301"/>
        </w:trPr>
        <w:tc>
          <w:tcPr>
            <w:tcW w:w="1384" w:type="pct"/>
            <w:vAlign w:val="bottom"/>
          </w:tcPr>
          <w:p w14:paraId="56FD8114"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Deposits with other banks </w:t>
            </w:r>
          </w:p>
        </w:tc>
        <w:tc>
          <w:tcPr>
            <w:tcW w:w="506" w:type="pct"/>
            <w:tcBorders>
              <w:top w:val="nil"/>
              <w:left w:val="nil"/>
              <w:bottom w:val="nil"/>
              <w:right w:val="nil"/>
            </w:tcBorders>
            <w:vAlign w:val="bottom"/>
          </w:tcPr>
          <w:p w14:paraId="564DBEF2"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568" w:type="pct"/>
            <w:tcBorders>
              <w:top w:val="nil"/>
              <w:left w:val="nil"/>
              <w:bottom w:val="nil"/>
              <w:right w:val="nil"/>
            </w:tcBorders>
            <w:vAlign w:val="bottom"/>
          </w:tcPr>
          <w:p w14:paraId="7FA32C37"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7,500 </w:t>
            </w:r>
          </w:p>
        </w:tc>
        <w:tc>
          <w:tcPr>
            <w:tcW w:w="616" w:type="pct"/>
            <w:tcBorders>
              <w:top w:val="nil"/>
              <w:left w:val="nil"/>
              <w:bottom w:val="nil"/>
              <w:right w:val="nil"/>
            </w:tcBorders>
            <w:vAlign w:val="bottom"/>
          </w:tcPr>
          <w:p w14:paraId="31E4462C"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nil"/>
              <w:right w:val="nil"/>
            </w:tcBorders>
            <w:vAlign w:val="bottom"/>
          </w:tcPr>
          <w:p w14:paraId="1D64DA22"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7,500 </w:t>
            </w:r>
          </w:p>
        </w:tc>
        <w:tc>
          <w:tcPr>
            <w:tcW w:w="678" w:type="pct"/>
            <w:tcBorders>
              <w:top w:val="nil"/>
              <w:left w:val="nil"/>
              <w:bottom w:val="nil"/>
              <w:right w:val="nil"/>
            </w:tcBorders>
            <w:vAlign w:val="bottom"/>
          </w:tcPr>
          <w:p w14:paraId="4110FD27"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33" w:type="pct"/>
            <w:tcBorders>
              <w:top w:val="nil"/>
              <w:left w:val="nil"/>
              <w:bottom w:val="nil"/>
            </w:tcBorders>
            <w:vAlign w:val="bottom"/>
          </w:tcPr>
          <w:p w14:paraId="43CCA0DA"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7,500 </w:t>
            </w:r>
          </w:p>
        </w:tc>
      </w:tr>
      <w:tr w:rsidR="00587444" w:rsidRPr="00587444" w14:paraId="0E9D81BD" w14:textId="77777777" w:rsidTr="00DD69E7">
        <w:trPr>
          <w:trHeight w:hRule="exact" w:val="301"/>
        </w:trPr>
        <w:tc>
          <w:tcPr>
            <w:tcW w:w="1384" w:type="pct"/>
            <w:vAlign w:val="bottom"/>
          </w:tcPr>
          <w:p w14:paraId="69DCFEEA"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Loans to financial institutions</w:t>
            </w:r>
          </w:p>
        </w:tc>
        <w:tc>
          <w:tcPr>
            <w:tcW w:w="506" w:type="pct"/>
            <w:tcBorders>
              <w:top w:val="nil"/>
              <w:left w:val="nil"/>
              <w:bottom w:val="nil"/>
              <w:right w:val="nil"/>
            </w:tcBorders>
            <w:vAlign w:val="bottom"/>
          </w:tcPr>
          <w:p w14:paraId="5E2C4274"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568" w:type="pct"/>
            <w:tcBorders>
              <w:top w:val="nil"/>
              <w:left w:val="nil"/>
              <w:bottom w:val="nil"/>
              <w:right w:val="nil"/>
            </w:tcBorders>
            <w:vAlign w:val="bottom"/>
          </w:tcPr>
          <w:p w14:paraId="62FE481C"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3,336,385 </w:t>
            </w:r>
          </w:p>
        </w:tc>
        <w:tc>
          <w:tcPr>
            <w:tcW w:w="616" w:type="pct"/>
            <w:tcBorders>
              <w:top w:val="nil"/>
              <w:left w:val="nil"/>
              <w:bottom w:val="nil"/>
              <w:right w:val="nil"/>
            </w:tcBorders>
            <w:vAlign w:val="bottom"/>
          </w:tcPr>
          <w:p w14:paraId="5021508F"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nil"/>
              <w:right w:val="nil"/>
            </w:tcBorders>
            <w:vAlign w:val="bottom"/>
          </w:tcPr>
          <w:p w14:paraId="291C577E"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3,336,385 </w:t>
            </w:r>
          </w:p>
        </w:tc>
        <w:tc>
          <w:tcPr>
            <w:tcW w:w="678" w:type="pct"/>
            <w:tcBorders>
              <w:top w:val="nil"/>
              <w:left w:val="nil"/>
              <w:bottom w:val="nil"/>
              <w:right w:val="nil"/>
            </w:tcBorders>
            <w:vAlign w:val="bottom"/>
          </w:tcPr>
          <w:p w14:paraId="3F553293"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3,713,758 </w:t>
            </w:r>
          </w:p>
        </w:tc>
        <w:tc>
          <w:tcPr>
            <w:tcW w:w="633" w:type="pct"/>
            <w:tcBorders>
              <w:top w:val="nil"/>
              <w:left w:val="nil"/>
              <w:bottom w:val="nil"/>
            </w:tcBorders>
            <w:vAlign w:val="bottom"/>
          </w:tcPr>
          <w:p w14:paraId="4281F4EA"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7,050,143 </w:t>
            </w:r>
          </w:p>
        </w:tc>
      </w:tr>
      <w:tr w:rsidR="00587444" w:rsidRPr="00587444" w14:paraId="58989C47" w14:textId="77777777" w:rsidTr="00DD69E7">
        <w:trPr>
          <w:trHeight w:hRule="exact" w:val="301"/>
        </w:trPr>
        <w:tc>
          <w:tcPr>
            <w:tcW w:w="1384" w:type="pct"/>
            <w:vAlign w:val="bottom"/>
          </w:tcPr>
          <w:p w14:paraId="4B86E323"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Loans to other customers </w:t>
            </w:r>
          </w:p>
        </w:tc>
        <w:tc>
          <w:tcPr>
            <w:tcW w:w="506" w:type="pct"/>
            <w:tcBorders>
              <w:top w:val="nil"/>
              <w:left w:val="nil"/>
              <w:bottom w:val="nil"/>
              <w:right w:val="nil"/>
            </w:tcBorders>
            <w:vAlign w:val="bottom"/>
          </w:tcPr>
          <w:p w14:paraId="10C48764"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225,452 </w:t>
            </w:r>
          </w:p>
        </w:tc>
        <w:tc>
          <w:tcPr>
            <w:tcW w:w="568" w:type="pct"/>
            <w:tcBorders>
              <w:top w:val="nil"/>
              <w:left w:val="nil"/>
              <w:bottom w:val="nil"/>
              <w:right w:val="nil"/>
            </w:tcBorders>
            <w:vAlign w:val="bottom"/>
          </w:tcPr>
          <w:p w14:paraId="5E8ABA5A"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9,745,523 </w:t>
            </w:r>
          </w:p>
        </w:tc>
        <w:tc>
          <w:tcPr>
            <w:tcW w:w="616" w:type="pct"/>
            <w:tcBorders>
              <w:top w:val="nil"/>
              <w:left w:val="nil"/>
              <w:bottom w:val="nil"/>
              <w:right w:val="nil"/>
            </w:tcBorders>
            <w:vAlign w:val="bottom"/>
          </w:tcPr>
          <w:p w14:paraId="0B1C034A"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nil"/>
              <w:right w:val="nil"/>
            </w:tcBorders>
            <w:vAlign w:val="bottom"/>
          </w:tcPr>
          <w:p w14:paraId="4CB6D346"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9,970,975 </w:t>
            </w:r>
          </w:p>
        </w:tc>
        <w:tc>
          <w:tcPr>
            <w:tcW w:w="678" w:type="pct"/>
            <w:tcBorders>
              <w:top w:val="nil"/>
              <w:left w:val="nil"/>
              <w:bottom w:val="nil"/>
              <w:right w:val="nil"/>
            </w:tcBorders>
            <w:vAlign w:val="bottom"/>
          </w:tcPr>
          <w:p w14:paraId="1CD3F069"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5,993,401 </w:t>
            </w:r>
          </w:p>
        </w:tc>
        <w:tc>
          <w:tcPr>
            <w:tcW w:w="633" w:type="pct"/>
            <w:tcBorders>
              <w:top w:val="nil"/>
              <w:left w:val="nil"/>
              <w:bottom w:val="nil"/>
            </w:tcBorders>
            <w:vAlign w:val="bottom"/>
          </w:tcPr>
          <w:p w14:paraId="09BAA6AB"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15,964,376 </w:t>
            </w:r>
          </w:p>
        </w:tc>
      </w:tr>
      <w:tr w:rsidR="00587444" w:rsidRPr="00587444" w14:paraId="729B47D0" w14:textId="77777777" w:rsidTr="00DD69E7">
        <w:trPr>
          <w:trHeight w:hRule="exact" w:val="522"/>
        </w:trPr>
        <w:tc>
          <w:tcPr>
            <w:tcW w:w="1384" w:type="pct"/>
            <w:vAlign w:val="center"/>
          </w:tcPr>
          <w:p w14:paraId="71B0256F" w14:textId="77777777" w:rsidR="00587444" w:rsidRPr="00587444" w:rsidRDefault="00587444" w:rsidP="00587444">
            <w:pPr>
              <w:tabs>
                <w:tab w:val="right" w:pos="1202"/>
              </w:tabs>
              <w:suppressAutoHyphens w:val="0"/>
              <w:autoSpaceDN/>
              <w:spacing w:line="240" w:lineRule="exact"/>
              <w:outlineLvl w:val="0"/>
              <w:rPr>
                <w:rFonts w:ascii="Arial" w:hAnsi="Arial" w:cs="Arial"/>
                <w:spacing w:val="-2"/>
                <w:sz w:val="17"/>
                <w:szCs w:val="17"/>
              </w:rPr>
            </w:pPr>
            <w:r w:rsidRPr="00587444">
              <w:rPr>
                <w:rFonts w:ascii="Arial" w:eastAsia="Calibri" w:hAnsi="Arial" w:cs="Arial"/>
                <w:sz w:val="17"/>
                <w:szCs w:val="17"/>
              </w:rPr>
              <w:t>Financial assets at fair value through profit or loss</w:t>
            </w:r>
          </w:p>
        </w:tc>
        <w:tc>
          <w:tcPr>
            <w:tcW w:w="506" w:type="pct"/>
            <w:tcBorders>
              <w:top w:val="nil"/>
              <w:left w:val="nil"/>
              <w:bottom w:val="nil"/>
              <w:right w:val="nil"/>
            </w:tcBorders>
            <w:vAlign w:val="bottom"/>
          </w:tcPr>
          <w:p w14:paraId="0D9904C5"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16,044 </w:t>
            </w:r>
          </w:p>
        </w:tc>
        <w:tc>
          <w:tcPr>
            <w:tcW w:w="568" w:type="pct"/>
            <w:tcBorders>
              <w:top w:val="nil"/>
              <w:left w:val="nil"/>
              <w:bottom w:val="nil"/>
              <w:right w:val="nil"/>
            </w:tcBorders>
            <w:vAlign w:val="bottom"/>
          </w:tcPr>
          <w:p w14:paraId="4258AD58"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100,103 </w:t>
            </w:r>
          </w:p>
        </w:tc>
        <w:tc>
          <w:tcPr>
            <w:tcW w:w="616" w:type="pct"/>
            <w:tcBorders>
              <w:top w:val="nil"/>
              <w:left w:val="nil"/>
              <w:bottom w:val="nil"/>
              <w:right w:val="nil"/>
            </w:tcBorders>
            <w:vAlign w:val="bottom"/>
          </w:tcPr>
          <w:p w14:paraId="5EFED026"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nil"/>
              <w:right w:val="nil"/>
            </w:tcBorders>
            <w:vAlign w:val="bottom"/>
          </w:tcPr>
          <w:p w14:paraId="70843112"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116,147 </w:t>
            </w:r>
          </w:p>
        </w:tc>
        <w:tc>
          <w:tcPr>
            <w:tcW w:w="678" w:type="pct"/>
            <w:tcBorders>
              <w:top w:val="nil"/>
              <w:left w:val="nil"/>
              <w:bottom w:val="nil"/>
              <w:right w:val="nil"/>
            </w:tcBorders>
            <w:vAlign w:val="bottom"/>
          </w:tcPr>
          <w:p w14:paraId="1A5B75A1"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102,837 </w:t>
            </w:r>
          </w:p>
        </w:tc>
        <w:tc>
          <w:tcPr>
            <w:tcW w:w="633" w:type="pct"/>
            <w:tcBorders>
              <w:top w:val="nil"/>
              <w:left w:val="nil"/>
              <w:bottom w:val="nil"/>
            </w:tcBorders>
            <w:vAlign w:val="bottom"/>
          </w:tcPr>
          <w:p w14:paraId="41BC5F28"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218,984 </w:t>
            </w:r>
          </w:p>
        </w:tc>
      </w:tr>
      <w:tr w:rsidR="00587444" w:rsidRPr="00587444" w14:paraId="003FB9F7" w14:textId="77777777" w:rsidTr="00DD69E7">
        <w:trPr>
          <w:trHeight w:hRule="exact" w:val="714"/>
        </w:trPr>
        <w:tc>
          <w:tcPr>
            <w:tcW w:w="1384" w:type="pct"/>
            <w:vAlign w:val="center"/>
          </w:tcPr>
          <w:p w14:paraId="12C1850C" w14:textId="77777777" w:rsidR="001D0F84" w:rsidRDefault="00587444" w:rsidP="00587444">
            <w:pPr>
              <w:tabs>
                <w:tab w:val="right" w:pos="1202"/>
              </w:tabs>
              <w:suppressAutoHyphens w:val="0"/>
              <w:autoSpaceDN/>
              <w:spacing w:line="240" w:lineRule="exact"/>
              <w:outlineLvl w:val="0"/>
              <w:rPr>
                <w:rFonts w:ascii="Arial" w:eastAsia="Calibri" w:hAnsi="Arial" w:cs="Arial"/>
                <w:sz w:val="17"/>
                <w:szCs w:val="17"/>
              </w:rPr>
            </w:pPr>
            <w:r w:rsidRPr="00587444">
              <w:rPr>
                <w:rFonts w:ascii="Arial" w:eastAsia="Calibri" w:hAnsi="Arial" w:cs="Arial"/>
                <w:sz w:val="17"/>
                <w:szCs w:val="17"/>
              </w:rPr>
              <w:t xml:space="preserve">Financial assets at fair value through other comprehensive </w:t>
            </w:r>
          </w:p>
          <w:p w14:paraId="4A1EDEF0" w14:textId="3345AB18" w:rsidR="00587444" w:rsidRPr="00587444" w:rsidRDefault="00587444" w:rsidP="00587444">
            <w:pPr>
              <w:tabs>
                <w:tab w:val="right" w:pos="1202"/>
              </w:tabs>
              <w:suppressAutoHyphens w:val="0"/>
              <w:autoSpaceDN/>
              <w:spacing w:line="240" w:lineRule="exact"/>
              <w:outlineLvl w:val="0"/>
              <w:rPr>
                <w:rFonts w:ascii="Arial" w:hAnsi="Arial" w:cs="Arial"/>
                <w:spacing w:val="-2"/>
                <w:sz w:val="17"/>
                <w:szCs w:val="17"/>
              </w:rPr>
            </w:pPr>
            <w:r w:rsidRPr="00587444">
              <w:rPr>
                <w:rFonts w:ascii="Arial" w:eastAsia="Calibri" w:hAnsi="Arial" w:cs="Arial"/>
                <w:sz w:val="17"/>
                <w:szCs w:val="17"/>
              </w:rPr>
              <w:t>income</w:t>
            </w:r>
          </w:p>
        </w:tc>
        <w:tc>
          <w:tcPr>
            <w:tcW w:w="506" w:type="pct"/>
            <w:tcBorders>
              <w:top w:val="nil"/>
              <w:left w:val="nil"/>
              <w:bottom w:val="nil"/>
              <w:right w:val="nil"/>
            </w:tcBorders>
            <w:vAlign w:val="bottom"/>
          </w:tcPr>
          <w:p w14:paraId="1D5B7814"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568" w:type="pct"/>
            <w:tcBorders>
              <w:top w:val="nil"/>
              <w:left w:val="nil"/>
              <w:bottom w:val="nil"/>
              <w:right w:val="nil"/>
            </w:tcBorders>
            <w:vAlign w:val="bottom"/>
          </w:tcPr>
          <w:p w14:paraId="591A5767"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798,195 </w:t>
            </w:r>
          </w:p>
        </w:tc>
        <w:tc>
          <w:tcPr>
            <w:tcW w:w="616" w:type="pct"/>
            <w:tcBorders>
              <w:top w:val="nil"/>
              <w:left w:val="nil"/>
              <w:bottom w:val="nil"/>
              <w:right w:val="nil"/>
            </w:tcBorders>
            <w:vAlign w:val="bottom"/>
          </w:tcPr>
          <w:p w14:paraId="6297F6D6"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nil"/>
              <w:right w:val="nil"/>
            </w:tcBorders>
            <w:vAlign w:val="bottom"/>
          </w:tcPr>
          <w:p w14:paraId="7AE56993"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798,195 </w:t>
            </w:r>
          </w:p>
        </w:tc>
        <w:tc>
          <w:tcPr>
            <w:tcW w:w="678" w:type="pct"/>
            <w:tcBorders>
              <w:top w:val="nil"/>
              <w:left w:val="nil"/>
              <w:bottom w:val="nil"/>
              <w:right w:val="nil"/>
            </w:tcBorders>
            <w:vAlign w:val="bottom"/>
          </w:tcPr>
          <w:p w14:paraId="4E101394"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2,117,509 </w:t>
            </w:r>
          </w:p>
        </w:tc>
        <w:tc>
          <w:tcPr>
            <w:tcW w:w="633" w:type="pct"/>
            <w:tcBorders>
              <w:top w:val="nil"/>
              <w:left w:val="nil"/>
              <w:bottom w:val="nil"/>
            </w:tcBorders>
            <w:vAlign w:val="bottom"/>
          </w:tcPr>
          <w:p w14:paraId="59CBF340" w14:textId="77777777" w:rsidR="00587444" w:rsidRPr="00587444" w:rsidDel="001F1161"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2,915,704 </w:t>
            </w:r>
          </w:p>
        </w:tc>
      </w:tr>
      <w:tr w:rsidR="00587444" w:rsidRPr="00587444" w14:paraId="503491F2" w14:textId="77777777" w:rsidTr="00DD69E7">
        <w:trPr>
          <w:trHeight w:hRule="exact" w:val="301"/>
        </w:trPr>
        <w:tc>
          <w:tcPr>
            <w:tcW w:w="1384" w:type="pct"/>
            <w:vAlign w:val="bottom"/>
          </w:tcPr>
          <w:p w14:paraId="27CDF8CC"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Investments in subsidiaries</w:t>
            </w:r>
          </w:p>
        </w:tc>
        <w:tc>
          <w:tcPr>
            <w:tcW w:w="506" w:type="pct"/>
            <w:tcBorders>
              <w:top w:val="nil"/>
              <w:left w:val="nil"/>
              <w:bottom w:val="nil"/>
              <w:right w:val="nil"/>
            </w:tcBorders>
            <w:vAlign w:val="bottom"/>
          </w:tcPr>
          <w:p w14:paraId="23CE6934"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568" w:type="pct"/>
            <w:tcBorders>
              <w:top w:val="nil"/>
              <w:left w:val="nil"/>
              <w:bottom w:val="nil"/>
              <w:right w:val="nil"/>
            </w:tcBorders>
            <w:vAlign w:val="bottom"/>
          </w:tcPr>
          <w:p w14:paraId="40A6AF81"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6" w:type="pct"/>
            <w:tcBorders>
              <w:top w:val="nil"/>
              <w:left w:val="nil"/>
              <w:bottom w:val="nil"/>
              <w:right w:val="nil"/>
            </w:tcBorders>
            <w:vAlign w:val="bottom"/>
          </w:tcPr>
          <w:p w14:paraId="55A7C9DE"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nil"/>
              <w:right w:val="nil"/>
            </w:tcBorders>
            <w:vAlign w:val="bottom"/>
          </w:tcPr>
          <w:p w14:paraId="20F839F8"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78" w:type="pct"/>
            <w:tcBorders>
              <w:top w:val="nil"/>
              <w:left w:val="nil"/>
              <w:bottom w:val="nil"/>
              <w:right w:val="nil"/>
            </w:tcBorders>
            <w:vAlign w:val="bottom"/>
          </w:tcPr>
          <w:p w14:paraId="6DD49D48"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36,124 </w:t>
            </w:r>
          </w:p>
        </w:tc>
        <w:tc>
          <w:tcPr>
            <w:tcW w:w="633" w:type="pct"/>
            <w:tcBorders>
              <w:top w:val="nil"/>
              <w:left w:val="nil"/>
              <w:bottom w:val="nil"/>
            </w:tcBorders>
            <w:vAlign w:val="bottom"/>
          </w:tcPr>
          <w:p w14:paraId="10A2CA38"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36,124 </w:t>
            </w:r>
          </w:p>
        </w:tc>
      </w:tr>
      <w:tr w:rsidR="00587444" w:rsidRPr="00587444" w14:paraId="12AF9C66" w14:textId="77777777" w:rsidTr="00DD69E7">
        <w:trPr>
          <w:trHeight w:val="464"/>
        </w:trPr>
        <w:tc>
          <w:tcPr>
            <w:tcW w:w="1384" w:type="pct"/>
            <w:vAlign w:val="bottom"/>
          </w:tcPr>
          <w:p w14:paraId="0BCFD552"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Property, plant and equipment and intangible assets</w:t>
            </w:r>
          </w:p>
        </w:tc>
        <w:tc>
          <w:tcPr>
            <w:tcW w:w="506" w:type="pct"/>
            <w:tcBorders>
              <w:top w:val="nil"/>
              <w:left w:val="nil"/>
              <w:bottom w:val="nil"/>
              <w:right w:val="nil"/>
            </w:tcBorders>
            <w:vAlign w:val="bottom"/>
          </w:tcPr>
          <w:p w14:paraId="3F376D8D"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568" w:type="pct"/>
            <w:tcBorders>
              <w:top w:val="nil"/>
              <w:left w:val="nil"/>
              <w:bottom w:val="nil"/>
              <w:right w:val="nil"/>
            </w:tcBorders>
            <w:vAlign w:val="bottom"/>
          </w:tcPr>
          <w:p w14:paraId="4C728DFE"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6" w:type="pct"/>
            <w:tcBorders>
              <w:top w:val="nil"/>
              <w:left w:val="nil"/>
              <w:bottom w:val="nil"/>
              <w:right w:val="nil"/>
            </w:tcBorders>
            <w:vAlign w:val="bottom"/>
          </w:tcPr>
          <w:p w14:paraId="61BE25F5"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nil"/>
              <w:right w:val="nil"/>
            </w:tcBorders>
            <w:vAlign w:val="bottom"/>
          </w:tcPr>
          <w:p w14:paraId="56C31C4B"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78" w:type="pct"/>
            <w:tcBorders>
              <w:top w:val="nil"/>
              <w:left w:val="nil"/>
              <w:bottom w:val="nil"/>
              <w:right w:val="nil"/>
            </w:tcBorders>
            <w:vAlign w:val="bottom"/>
          </w:tcPr>
          <w:p w14:paraId="16213F7E"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42,674 </w:t>
            </w:r>
          </w:p>
        </w:tc>
        <w:tc>
          <w:tcPr>
            <w:tcW w:w="633" w:type="pct"/>
            <w:tcBorders>
              <w:top w:val="nil"/>
              <w:left w:val="nil"/>
              <w:bottom w:val="nil"/>
            </w:tcBorders>
            <w:vAlign w:val="bottom"/>
          </w:tcPr>
          <w:p w14:paraId="148D7AE0"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42,674 </w:t>
            </w:r>
          </w:p>
        </w:tc>
      </w:tr>
      <w:tr w:rsidR="00587444" w:rsidRPr="00587444" w14:paraId="00CB437A" w14:textId="77777777" w:rsidTr="00DD69E7">
        <w:trPr>
          <w:trHeight w:val="277"/>
        </w:trPr>
        <w:tc>
          <w:tcPr>
            <w:tcW w:w="1384" w:type="pct"/>
            <w:vAlign w:val="bottom"/>
          </w:tcPr>
          <w:p w14:paraId="760FB14B"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Foreclosed assets</w:t>
            </w:r>
          </w:p>
        </w:tc>
        <w:tc>
          <w:tcPr>
            <w:tcW w:w="506" w:type="pct"/>
            <w:tcBorders>
              <w:top w:val="nil"/>
              <w:left w:val="nil"/>
              <w:bottom w:val="nil"/>
              <w:right w:val="nil"/>
            </w:tcBorders>
            <w:vAlign w:val="bottom"/>
          </w:tcPr>
          <w:p w14:paraId="53118BF2"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568" w:type="pct"/>
            <w:tcBorders>
              <w:top w:val="nil"/>
              <w:left w:val="nil"/>
              <w:bottom w:val="nil"/>
              <w:right w:val="nil"/>
            </w:tcBorders>
            <w:vAlign w:val="bottom"/>
          </w:tcPr>
          <w:p w14:paraId="6332ACF0"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6" w:type="pct"/>
            <w:tcBorders>
              <w:top w:val="nil"/>
              <w:left w:val="nil"/>
              <w:bottom w:val="nil"/>
              <w:right w:val="nil"/>
            </w:tcBorders>
            <w:vAlign w:val="bottom"/>
          </w:tcPr>
          <w:p w14:paraId="2A214DDA"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nil"/>
              <w:right w:val="nil"/>
            </w:tcBorders>
            <w:vAlign w:val="bottom"/>
          </w:tcPr>
          <w:p w14:paraId="5AB475CA"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78" w:type="pct"/>
            <w:tcBorders>
              <w:top w:val="nil"/>
              <w:left w:val="nil"/>
              <w:bottom w:val="nil"/>
              <w:right w:val="nil"/>
            </w:tcBorders>
            <w:vAlign w:val="bottom"/>
          </w:tcPr>
          <w:p w14:paraId="5817BF2B"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21,369 </w:t>
            </w:r>
          </w:p>
        </w:tc>
        <w:tc>
          <w:tcPr>
            <w:tcW w:w="633" w:type="pct"/>
            <w:tcBorders>
              <w:top w:val="nil"/>
              <w:left w:val="nil"/>
              <w:bottom w:val="nil"/>
            </w:tcBorders>
            <w:vAlign w:val="bottom"/>
          </w:tcPr>
          <w:p w14:paraId="220DA6F8"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21,369 </w:t>
            </w:r>
          </w:p>
        </w:tc>
      </w:tr>
      <w:tr w:rsidR="00587444" w:rsidRPr="00587444" w14:paraId="7D52DEFA" w14:textId="77777777" w:rsidTr="00DD69E7">
        <w:trPr>
          <w:trHeight w:val="205"/>
        </w:trPr>
        <w:tc>
          <w:tcPr>
            <w:tcW w:w="1384" w:type="pct"/>
          </w:tcPr>
          <w:p w14:paraId="10E84876"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Other assets </w:t>
            </w:r>
          </w:p>
        </w:tc>
        <w:tc>
          <w:tcPr>
            <w:tcW w:w="506" w:type="pct"/>
            <w:tcBorders>
              <w:top w:val="nil"/>
              <w:left w:val="nil"/>
              <w:bottom w:val="nil"/>
              <w:right w:val="nil"/>
            </w:tcBorders>
            <w:vAlign w:val="bottom"/>
          </w:tcPr>
          <w:p w14:paraId="3A307FA1"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568" w:type="pct"/>
            <w:tcBorders>
              <w:top w:val="nil"/>
              <w:left w:val="nil"/>
              <w:bottom w:val="nil"/>
              <w:right w:val="nil"/>
            </w:tcBorders>
            <w:vAlign w:val="bottom"/>
          </w:tcPr>
          <w:p w14:paraId="719D21A2"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491 </w:t>
            </w:r>
          </w:p>
        </w:tc>
        <w:tc>
          <w:tcPr>
            <w:tcW w:w="616" w:type="pct"/>
            <w:tcBorders>
              <w:top w:val="nil"/>
              <w:left w:val="nil"/>
              <w:bottom w:val="nil"/>
              <w:right w:val="nil"/>
            </w:tcBorders>
            <w:vAlign w:val="bottom"/>
          </w:tcPr>
          <w:p w14:paraId="342039CA"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nil"/>
              <w:right w:val="nil"/>
            </w:tcBorders>
            <w:vAlign w:val="bottom"/>
          </w:tcPr>
          <w:p w14:paraId="5355D0A0"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491</w:t>
            </w:r>
          </w:p>
        </w:tc>
        <w:tc>
          <w:tcPr>
            <w:tcW w:w="678" w:type="pct"/>
            <w:tcBorders>
              <w:top w:val="nil"/>
              <w:left w:val="nil"/>
              <w:bottom w:val="nil"/>
              <w:right w:val="nil"/>
            </w:tcBorders>
            <w:vAlign w:val="bottom"/>
          </w:tcPr>
          <w:p w14:paraId="1E316697"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34,003 </w:t>
            </w:r>
          </w:p>
        </w:tc>
        <w:tc>
          <w:tcPr>
            <w:tcW w:w="633" w:type="pct"/>
            <w:tcBorders>
              <w:top w:val="nil"/>
              <w:left w:val="nil"/>
              <w:bottom w:val="nil"/>
            </w:tcBorders>
            <w:vAlign w:val="bottom"/>
          </w:tcPr>
          <w:p w14:paraId="683967E0"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34,494 </w:t>
            </w:r>
          </w:p>
        </w:tc>
      </w:tr>
      <w:tr w:rsidR="00587444" w:rsidRPr="00587444" w14:paraId="2BF0EE6C" w14:textId="77777777" w:rsidTr="00DD69E7">
        <w:trPr>
          <w:trHeight w:hRule="exact" w:val="343"/>
        </w:trPr>
        <w:tc>
          <w:tcPr>
            <w:tcW w:w="1384" w:type="pct"/>
            <w:vAlign w:val="bottom"/>
          </w:tcPr>
          <w:p w14:paraId="6F411E85"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Total assets </w:t>
            </w:r>
          </w:p>
        </w:tc>
        <w:tc>
          <w:tcPr>
            <w:tcW w:w="506" w:type="pct"/>
            <w:tcBorders>
              <w:top w:val="single" w:sz="4" w:space="0" w:color="000000"/>
              <w:bottom w:val="single" w:sz="12" w:space="0" w:color="auto"/>
            </w:tcBorders>
            <w:vAlign w:val="bottom"/>
          </w:tcPr>
          <w:p w14:paraId="303CBE57" w14:textId="77777777" w:rsidR="00587444" w:rsidRPr="00587444" w:rsidRDefault="00587444" w:rsidP="00587444">
            <w:pPr>
              <w:suppressAutoHyphens w:val="0"/>
              <w:autoSpaceDN/>
              <w:spacing w:line="240" w:lineRule="exact"/>
              <w:jc w:val="right"/>
              <w:rPr>
                <w:rFonts w:ascii="Arial" w:hAnsi="Arial" w:cs="Arial"/>
                <w:b/>
                <w:bCs/>
                <w:color w:val="000000"/>
                <w:sz w:val="17"/>
                <w:szCs w:val="17"/>
                <w:lang w:val="hr-HR"/>
              </w:rPr>
            </w:pPr>
            <w:r w:rsidRPr="00587444">
              <w:rPr>
                <w:rFonts w:ascii="Arial" w:hAnsi="Arial" w:cs="Arial"/>
                <w:b/>
                <w:bCs/>
                <w:color w:val="000000"/>
                <w:sz w:val="17"/>
                <w:szCs w:val="17"/>
                <w:lang w:val="hr-HR"/>
              </w:rPr>
              <w:t xml:space="preserve"> 297,079 </w:t>
            </w:r>
          </w:p>
        </w:tc>
        <w:tc>
          <w:tcPr>
            <w:tcW w:w="568" w:type="pct"/>
            <w:tcBorders>
              <w:top w:val="single" w:sz="4" w:space="0" w:color="000000"/>
              <w:bottom w:val="single" w:sz="12" w:space="0" w:color="auto"/>
            </w:tcBorders>
            <w:vAlign w:val="bottom"/>
          </w:tcPr>
          <w:p w14:paraId="255EEA58" w14:textId="77777777" w:rsidR="00587444" w:rsidRPr="00587444" w:rsidRDefault="00587444" w:rsidP="00587444">
            <w:pPr>
              <w:suppressAutoHyphens w:val="0"/>
              <w:autoSpaceDN/>
              <w:spacing w:line="240" w:lineRule="exact"/>
              <w:jc w:val="right"/>
              <w:rPr>
                <w:rFonts w:ascii="Arial" w:hAnsi="Arial" w:cs="Arial"/>
                <w:b/>
                <w:bCs/>
                <w:color w:val="000000"/>
                <w:sz w:val="17"/>
                <w:szCs w:val="17"/>
                <w:lang w:val="hr-HR"/>
              </w:rPr>
            </w:pPr>
            <w:r w:rsidRPr="00587444">
              <w:rPr>
                <w:rFonts w:ascii="Arial" w:hAnsi="Arial" w:cs="Arial"/>
                <w:b/>
                <w:bCs/>
                <w:color w:val="000000"/>
                <w:sz w:val="17"/>
                <w:szCs w:val="17"/>
                <w:lang w:val="hr-HR"/>
              </w:rPr>
              <w:t xml:space="preserve">14,013,516 </w:t>
            </w:r>
          </w:p>
        </w:tc>
        <w:tc>
          <w:tcPr>
            <w:tcW w:w="616" w:type="pct"/>
            <w:tcBorders>
              <w:top w:val="single" w:sz="4" w:space="0" w:color="000000"/>
              <w:bottom w:val="single" w:sz="12" w:space="0" w:color="auto"/>
            </w:tcBorders>
            <w:vAlign w:val="bottom"/>
          </w:tcPr>
          <w:p w14:paraId="45510A89" w14:textId="77777777" w:rsidR="00587444" w:rsidRPr="00587444" w:rsidRDefault="00587444" w:rsidP="00587444">
            <w:pPr>
              <w:suppressAutoHyphens w:val="0"/>
              <w:autoSpaceDN/>
              <w:spacing w:line="240" w:lineRule="exact"/>
              <w:jc w:val="right"/>
              <w:rPr>
                <w:rFonts w:ascii="Arial" w:hAnsi="Arial" w:cs="Arial"/>
                <w:b/>
                <w:bCs/>
                <w:color w:val="000000"/>
                <w:sz w:val="17"/>
                <w:szCs w:val="17"/>
                <w:lang w:val="hr-HR"/>
              </w:rPr>
            </w:pPr>
            <w:r w:rsidRPr="00587444">
              <w:rPr>
                <w:rFonts w:ascii="Arial" w:hAnsi="Arial" w:cs="Arial"/>
                <w:b/>
                <w:bCs/>
                <w:color w:val="000000"/>
                <w:sz w:val="17"/>
                <w:szCs w:val="17"/>
                <w:lang w:val="hr-HR"/>
              </w:rPr>
              <w:t xml:space="preserve"> - </w:t>
            </w:r>
          </w:p>
        </w:tc>
        <w:tc>
          <w:tcPr>
            <w:tcW w:w="615" w:type="pct"/>
            <w:tcBorders>
              <w:top w:val="single" w:sz="4" w:space="0" w:color="000000"/>
              <w:bottom w:val="single" w:sz="12" w:space="0" w:color="auto"/>
            </w:tcBorders>
            <w:vAlign w:val="bottom"/>
          </w:tcPr>
          <w:p w14:paraId="510DF812" w14:textId="77777777" w:rsidR="00587444" w:rsidRPr="00587444" w:rsidRDefault="00587444" w:rsidP="00587444">
            <w:pPr>
              <w:suppressAutoHyphens w:val="0"/>
              <w:autoSpaceDN/>
              <w:spacing w:line="240" w:lineRule="exact"/>
              <w:jc w:val="right"/>
              <w:rPr>
                <w:rFonts w:ascii="Arial" w:hAnsi="Arial" w:cs="Arial"/>
                <w:b/>
                <w:bCs/>
                <w:color w:val="000000"/>
                <w:sz w:val="17"/>
                <w:szCs w:val="17"/>
                <w:lang w:val="hr-HR"/>
              </w:rPr>
            </w:pPr>
            <w:r w:rsidRPr="00587444">
              <w:rPr>
                <w:rFonts w:ascii="Arial" w:hAnsi="Arial" w:cs="Arial"/>
                <w:b/>
                <w:bCs/>
                <w:color w:val="000000"/>
                <w:sz w:val="17"/>
                <w:szCs w:val="17"/>
                <w:lang w:val="hr-HR"/>
              </w:rPr>
              <w:t xml:space="preserve"> 14,310,595 </w:t>
            </w:r>
          </w:p>
        </w:tc>
        <w:tc>
          <w:tcPr>
            <w:tcW w:w="678" w:type="pct"/>
            <w:tcBorders>
              <w:top w:val="single" w:sz="4" w:space="0" w:color="000000"/>
              <w:bottom w:val="single" w:sz="12" w:space="0" w:color="auto"/>
            </w:tcBorders>
            <w:vAlign w:val="bottom"/>
          </w:tcPr>
          <w:p w14:paraId="1FF29D43" w14:textId="77777777" w:rsidR="00587444" w:rsidRPr="00587444" w:rsidRDefault="00587444" w:rsidP="00587444">
            <w:pPr>
              <w:suppressAutoHyphens w:val="0"/>
              <w:autoSpaceDN/>
              <w:spacing w:line="240" w:lineRule="exact"/>
              <w:jc w:val="right"/>
              <w:rPr>
                <w:rFonts w:ascii="Arial" w:hAnsi="Arial" w:cs="Arial"/>
                <w:b/>
                <w:bCs/>
                <w:color w:val="000000"/>
                <w:sz w:val="17"/>
                <w:szCs w:val="17"/>
                <w:lang w:val="hr-HR"/>
              </w:rPr>
            </w:pPr>
            <w:r w:rsidRPr="00587444">
              <w:rPr>
                <w:rFonts w:ascii="Arial" w:hAnsi="Arial" w:cs="Arial"/>
                <w:b/>
                <w:bCs/>
                <w:color w:val="000000"/>
                <w:sz w:val="17"/>
                <w:szCs w:val="17"/>
                <w:lang w:val="hr-HR"/>
              </w:rPr>
              <w:t xml:space="preserve"> 13,939,393* </w:t>
            </w:r>
          </w:p>
        </w:tc>
        <w:tc>
          <w:tcPr>
            <w:tcW w:w="633" w:type="pct"/>
            <w:tcBorders>
              <w:top w:val="single" w:sz="4" w:space="0" w:color="000000"/>
              <w:bottom w:val="single" w:sz="12" w:space="0" w:color="auto"/>
            </w:tcBorders>
            <w:vAlign w:val="bottom"/>
          </w:tcPr>
          <w:p w14:paraId="3987DB32" w14:textId="77777777" w:rsidR="00587444" w:rsidRPr="00587444" w:rsidRDefault="00587444" w:rsidP="00587444">
            <w:pPr>
              <w:suppressAutoHyphens w:val="0"/>
              <w:autoSpaceDN/>
              <w:spacing w:line="240" w:lineRule="exact"/>
              <w:jc w:val="right"/>
              <w:rPr>
                <w:rFonts w:ascii="Arial" w:hAnsi="Arial" w:cs="Arial"/>
                <w:b/>
                <w:bCs/>
                <w:color w:val="000000"/>
                <w:sz w:val="17"/>
                <w:szCs w:val="17"/>
                <w:lang w:val="hr-HR"/>
              </w:rPr>
            </w:pPr>
            <w:r w:rsidRPr="00587444">
              <w:rPr>
                <w:rFonts w:ascii="Arial" w:hAnsi="Arial" w:cs="Arial"/>
                <w:b/>
                <w:bCs/>
                <w:color w:val="000000"/>
                <w:sz w:val="17"/>
                <w:szCs w:val="17"/>
                <w:lang w:val="hr-HR"/>
              </w:rPr>
              <w:t xml:space="preserve">28,249,988 </w:t>
            </w:r>
          </w:p>
        </w:tc>
      </w:tr>
      <w:tr w:rsidR="00587444" w:rsidRPr="00587444" w14:paraId="1C012BEE" w14:textId="77777777" w:rsidTr="00DD69E7">
        <w:trPr>
          <w:trHeight w:hRule="exact" w:val="215"/>
        </w:trPr>
        <w:tc>
          <w:tcPr>
            <w:tcW w:w="1384" w:type="pct"/>
            <w:vAlign w:val="bottom"/>
          </w:tcPr>
          <w:p w14:paraId="54F7763B"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7"/>
                <w:szCs w:val="17"/>
              </w:rPr>
            </w:pPr>
          </w:p>
        </w:tc>
        <w:tc>
          <w:tcPr>
            <w:tcW w:w="506" w:type="pct"/>
            <w:tcBorders>
              <w:top w:val="single" w:sz="12" w:space="0" w:color="auto"/>
            </w:tcBorders>
            <w:vAlign w:val="bottom"/>
          </w:tcPr>
          <w:p w14:paraId="347F9CD6"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c>
          <w:tcPr>
            <w:tcW w:w="568" w:type="pct"/>
            <w:tcBorders>
              <w:top w:val="single" w:sz="12" w:space="0" w:color="auto"/>
            </w:tcBorders>
            <w:vAlign w:val="bottom"/>
          </w:tcPr>
          <w:p w14:paraId="1EB08AB2"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c>
          <w:tcPr>
            <w:tcW w:w="616" w:type="pct"/>
            <w:tcBorders>
              <w:top w:val="single" w:sz="12" w:space="0" w:color="auto"/>
            </w:tcBorders>
            <w:vAlign w:val="bottom"/>
          </w:tcPr>
          <w:p w14:paraId="75C5970B"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c>
          <w:tcPr>
            <w:tcW w:w="615" w:type="pct"/>
            <w:tcBorders>
              <w:top w:val="single" w:sz="12" w:space="0" w:color="auto"/>
            </w:tcBorders>
            <w:vAlign w:val="bottom"/>
          </w:tcPr>
          <w:p w14:paraId="38406CAB"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c>
          <w:tcPr>
            <w:tcW w:w="678" w:type="pct"/>
            <w:tcBorders>
              <w:top w:val="single" w:sz="12" w:space="0" w:color="auto"/>
            </w:tcBorders>
            <w:vAlign w:val="bottom"/>
          </w:tcPr>
          <w:p w14:paraId="1A95B6B6"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c>
          <w:tcPr>
            <w:tcW w:w="633" w:type="pct"/>
            <w:tcBorders>
              <w:top w:val="single" w:sz="12" w:space="0" w:color="auto"/>
            </w:tcBorders>
            <w:vAlign w:val="bottom"/>
          </w:tcPr>
          <w:p w14:paraId="7C8F2EBE"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r>
      <w:tr w:rsidR="00587444" w:rsidRPr="00587444" w14:paraId="27B11B89" w14:textId="77777777" w:rsidTr="00DD69E7">
        <w:trPr>
          <w:trHeight w:val="307"/>
        </w:trPr>
        <w:tc>
          <w:tcPr>
            <w:tcW w:w="1384" w:type="pct"/>
            <w:vAlign w:val="bottom"/>
          </w:tcPr>
          <w:p w14:paraId="73FF1B81"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Liabilities </w:t>
            </w:r>
          </w:p>
        </w:tc>
        <w:tc>
          <w:tcPr>
            <w:tcW w:w="506" w:type="pct"/>
            <w:vAlign w:val="bottom"/>
          </w:tcPr>
          <w:p w14:paraId="1CCF2019"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c>
          <w:tcPr>
            <w:tcW w:w="568" w:type="pct"/>
            <w:vAlign w:val="bottom"/>
          </w:tcPr>
          <w:p w14:paraId="510F18DA"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c>
          <w:tcPr>
            <w:tcW w:w="616" w:type="pct"/>
            <w:vAlign w:val="bottom"/>
          </w:tcPr>
          <w:p w14:paraId="4B393EC2"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c>
          <w:tcPr>
            <w:tcW w:w="615" w:type="pct"/>
            <w:vAlign w:val="bottom"/>
          </w:tcPr>
          <w:p w14:paraId="6E2970F7"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c>
          <w:tcPr>
            <w:tcW w:w="678" w:type="pct"/>
            <w:vAlign w:val="bottom"/>
          </w:tcPr>
          <w:p w14:paraId="46DFA16D"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c>
          <w:tcPr>
            <w:tcW w:w="633" w:type="pct"/>
            <w:vAlign w:val="bottom"/>
          </w:tcPr>
          <w:p w14:paraId="0C40A971"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p>
        </w:tc>
      </w:tr>
      <w:tr w:rsidR="00587444" w:rsidRPr="00587444" w14:paraId="292DEBB8" w14:textId="77777777" w:rsidTr="00DD69E7">
        <w:trPr>
          <w:trHeight w:hRule="exact" w:val="286"/>
        </w:trPr>
        <w:tc>
          <w:tcPr>
            <w:tcW w:w="1384" w:type="pct"/>
            <w:vAlign w:val="bottom"/>
          </w:tcPr>
          <w:p w14:paraId="507A152F"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Deposits from customers </w:t>
            </w:r>
          </w:p>
        </w:tc>
        <w:tc>
          <w:tcPr>
            <w:tcW w:w="506" w:type="pct"/>
            <w:tcBorders>
              <w:top w:val="nil"/>
              <w:left w:val="nil"/>
              <w:bottom w:val="nil"/>
              <w:right w:val="nil"/>
            </w:tcBorders>
            <w:vAlign w:val="bottom"/>
          </w:tcPr>
          <w:p w14:paraId="768B91AD"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106,027 </w:t>
            </w:r>
          </w:p>
        </w:tc>
        <w:tc>
          <w:tcPr>
            <w:tcW w:w="568" w:type="pct"/>
            <w:tcBorders>
              <w:top w:val="nil"/>
              <w:left w:val="nil"/>
              <w:bottom w:val="nil"/>
              <w:right w:val="nil"/>
            </w:tcBorders>
            <w:vAlign w:val="bottom"/>
          </w:tcPr>
          <w:p w14:paraId="63607F60"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471,389 </w:t>
            </w:r>
          </w:p>
        </w:tc>
        <w:tc>
          <w:tcPr>
            <w:tcW w:w="616" w:type="pct"/>
            <w:tcBorders>
              <w:top w:val="nil"/>
              <w:left w:val="nil"/>
              <w:bottom w:val="nil"/>
              <w:right w:val="nil"/>
            </w:tcBorders>
            <w:vAlign w:val="bottom"/>
          </w:tcPr>
          <w:p w14:paraId="08036483"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nil"/>
              <w:right w:val="nil"/>
            </w:tcBorders>
            <w:vAlign w:val="bottom"/>
          </w:tcPr>
          <w:p w14:paraId="0533B8E1"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577,416 </w:t>
            </w:r>
          </w:p>
        </w:tc>
        <w:tc>
          <w:tcPr>
            <w:tcW w:w="678" w:type="pct"/>
            <w:tcBorders>
              <w:top w:val="nil"/>
              <w:left w:val="nil"/>
              <w:bottom w:val="nil"/>
              <w:right w:val="nil"/>
            </w:tcBorders>
            <w:vAlign w:val="bottom"/>
          </w:tcPr>
          <w:p w14:paraId="2C484790"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383,125 </w:t>
            </w:r>
          </w:p>
        </w:tc>
        <w:tc>
          <w:tcPr>
            <w:tcW w:w="633" w:type="pct"/>
            <w:tcBorders>
              <w:top w:val="nil"/>
              <w:left w:val="nil"/>
              <w:bottom w:val="nil"/>
            </w:tcBorders>
            <w:vAlign w:val="bottom"/>
          </w:tcPr>
          <w:p w14:paraId="6BEE1F26"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960,541 </w:t>
            </w:r>
          </w:p>
        </w:tc>
      </w:tr>
      <w:tr w:rsidR="00587444" w:rsidRPr="00587444" w14:paraId="046DE8AE" w14:textId="77777777" w:rsidTr="00DD69E7">
        <w:trPr>
          <w:trHeight w:hRule="exact" w:val="286"/>
        </w:trPr>
        <w:tc>
          <w:tcPr>
            <w:tcW w:w="1384" w:type="pct"/>
            <w:vAlign w:val="bottom"/>
          </w:tcPr>
          <w:p w14:paraId="61B8AF82"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Borrowings </w:t>
            </w:r>
          </w:p>
        </w:tc>
        <w:tc>
          <w:tcPr>
            <w:tcW w:w="506" w:type="pct"/>
            <w:tcBorders>
              <w:top w:val="nil"/>
              <w:left w:val="nil"/>
              <w:bottom w:val="nil"/>
              <w:right w:val="nil"/>
            </w:tcBorders>
            <w:vAlign w:val="bottom"/>
          </w:tcPr>
          <w:p w14:paraId="0531FAE0"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189,999 </w:t>
            </w:r>
          </w:p>
        </w:tc>
        <w:tc>
          <w:tcPr>
            <w:tcW w:w="568" w:type="pct"/>
            <w:tcBorders>
              <w:top w:val="nil"/>
              <w:left w:val="nil"/>
              <w:bottom w:val="nil"/>
              <w:right w:val="nil"/>
            </w:tcBorders>
            <w:vAlign w:val="bottom"/>
          </w:tcPr>
          <w:p w14:paraId="69722562"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14,424,638 </w:t>
            </w:r>
          </w:p>
        </w:tc>
        <w:tc>
          <w:tcPr>
            <w:tcW w:w="616" w:type="pct"/>
            <w:tcBorders>
              <w:top w:val="nil"/>
              <w:left w:val="nil"/>
              <w:bottom w:val="nil"/>
              <w:right w:val="nil"/>
            </w:tcBorders>
            <w:vAlign w:val="bottom"/>
          </w:tcPr>
          <w:p w14:paraId="5B1121C7"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nil"/>
              <w:right w:val="nil"/>
            </w:tcBorders>
            <w:vAlign w:val="bottom"/>
          </w:tcPr>
          <w:p w14:paraId="3B49AED4"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14,614,637 </w:t>
            </w:r>
          </w:p>
        </w:tc>
        <w:tc>
          <w:tcPr>
            <w:tcW w:w="678" w:type="pct"/>
            <w:tcBorders>
              <w:top w:val="nil"/>
              <w:left w:val="nil"/>
              <w:bottom w:val="nil"/>
              <w:right w:val="nil"/>
            </w:tcBorders>
            <w:vAlign w:val="bottom"/>
          </w:tcPr>
          <w:p w14:paraId="14C4C533"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1,500,600 </w:t>
            </w:r>
          </w:p>
        </w:tc>
        <w:tc>
          <w:tcPr>
            <w:tcW w:w="633" w:type="pct"/>
            <w:tcBorders>
              <w:top w:val="nil"/>
              <w:left w:val="nil"/>
              <w:bottom w:val="nil"/>
            </w:tcBorders>
            <w:vAlign w:val="bottom"/>
          </w:tcPr>
          <w:p w14:paraId="5BCDE242"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16,115,237 </w:t>
            </w:r>
          </w:p>
        </w:tc>
      </w:tr>
      <w:tr w:rsidR="00587444" w:rsidRPr="00587444" w14:paraId="2C27A6BF" w14:textId="77777777" w:rsidTr="00DD69E7">
        <w:trPr>
          <w:trHeight w:hRule="exact" w:val="537"/>
        </w:trPr>
        <w:tc>
          <w:tcPr>
            <w:tcW w:w="1384" w:type="pct"/>
            <w:vAlign w:val="bottom"/>
          </w:tcPr>
          <w:p w14:paraId="6D085568" w14:textId="77777777" w:rsidR="001D0F8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Provisions for guarantees, </w:t>
            </w:r>
          </w:p>
          <w:p w14:paraId="07840181" w14:textId="2519E238"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commitments and other liabilities</w:t>
            </w:r>
          </w:p>
        </w:tc>
        <w:tc>
          <w:tcPr>
            <w:tcW w:w="506" w:type="pct"/>
            <w:tcBorders>
              <w:top w:val="nil"/>
              <w:left w:val="nil"/>
              <w:bottom w:val="nil"/>
              <w:right w:val="nil"/>
            </w:tcBorders>
            <w:vAlign w:val="bottom"/>
          </w:tcPr>
          <w:p w14:paraId="6E3A5E5E"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23,613 </w:t>
            </w:r>
          </w:p>
        </w:tc>
        <w:tc>
          <w:tcPr>
            <w:tcW w:w="568" w:type="pct"/>
            <w:tcBorders>
              <w:top w:val="nil"/>
              <w:left w:val="nil"/>
              <w:bottom w:val="nil"/>
              <w:right w:val="nil"/>
            </w:tcBorders>
            <w:vAlign w:val="bottom"/>
          </w:tcPr>
          <w:p w14:paraId="5043384E"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25,674 </w:t>
            </w:r>
          </w:p>
        </w:tc>
        <w:tc>
          <w:tcPr>
            <w:tcW w:w="616" w:type="pct"/>
            <w:tcBorders>
              <w:top w:val="nil"/>
              <w:left w:val="nil"/>
              <w:bottom w:val="nil"/>
              <w:right w:val="nil"/>
            </w:tcBorders>
            <w:vAlign w:val="bottom"/>
          </w:tcPr>
          <w:p w14:paraId="3DD3E16D"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15,098 </w:t>
            </w:r>
          </w:p>
        </w:tc>
        <w:tc>
          <w:tcPr>
            <w:tcW w:w="615" w:type="pct"/>
            <w:tcBorders>
              <w:top w:val="nil"/>
              <w:left w:val="nil"/>
              <w:bottom w:val="nil"/>
              <w:right w:val="nil"/>
            </w:tcBorders>
            <w:vAlign w:val="bottom"/>
          </w:tcPr>
          <w:p w14:paraId="047BEB51"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64,385 </w:t>
            </w:r>
          </w:p>
        </w:tc>
        <w:tc>
          <w:tcPr>
            <w:tcW w:w="678" w:type="pct"/>
            <w:tcBorders>
              <w:top w:val="nil"/>
              <w:left w:val="nil"/>
              <w:bottom w:val="nil"/>
              <w:right w:val="nil"/>
            </w:tcBorders>
            <w:vAlign w:val="bottom"/>
          </w:tcPr>
          <w:p w14:paraId="20FF384D"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125,918 </w:t>
            </w:r>
          </w:p>
        </w:tc>
        <w:tc>
          <w:tcPr>
            <w:tcW w:w="633" w:type="pct"/>
            <w:tcBorders>
              <w:top w:val="nil"/>
              <w:left w:val="nil"/>
              <w:bottom w:val="nil"/>
            </w:tcBorders>
            <w:vAlign w:val="bottom"/>
          </w:tcPr>
          <w:p w14:paraId="7A1FAC73"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190,303 </w:t>
            </w:r>
          </w:p>
        </w:tc>
      </w:tr>
      <w:tr w:rsidR="00587444" w:rsidRPr="00587444" w14:paraId="7FBE5011" w14:textId="77777777" w:rsidTr="00DD69E7">
        <w:trPr>
          <w:trHeight w:hRule="exact" w:val="286"/>
        </w:trPr>
        <w:tc>
          <w:tcPr>
            <w:tcW w:w="1384" w:type="pct"/>
            <w:vAlign w:val="bottom"/>
          </w:tcPr>
          <w:p w14:paraId="0834C7AE" w14:textId="77777777" w:rsidR="00587444" w:rsidRPr="00587444" w:rsidRDefault="00587444" w:rsidP="00587444">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Other liabilities </w:t>
            </w:r>
          </w:p>
        </w:tc>
        <w:tc>
          <w:tcPr>
            <w:tcW w:w="506" w:type="pct"/>
            <w:tcBorders>
              <w:top w:val="nil"/>
              <w:left w:val="nil"/>
              <w:bottom w:val="single" w:sz="4" w:space="0" w:color="auto"/>
              <w:right w:val="nil"/>
            </w:tcBorders>
            <w:vAlign w:val="bottom"/>
          </w:tcPr>
          <w:p w14:paraId="6BDD0CF7"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w:t>
            </w:r>
          </w:p>
        </w:tc>
        <w:tc>
          <w:tcPr>
            <w:tcW w:w="568" w:type="pct"/>
            <w:tcBorders>
              <w:top w:val="nil"/>
              <w:left w:val="nil"/>
              <w:bottom w:val="single" w:sz="4" w:space="0" w:color="auto"/>
              <w:right w:val="nil"/>
            </w:tcBorders>
            <w:vAlign w:val="bottom"/>
          </w:tcPr>
          <w:p w14:paraId="1A4746C2"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3,597 </w:t>
            </w:r>
          </w:p>
        </w:tc>
        <w:tc>
          <w:tcPr>
            <w:tcW w:w="616" w:type="pct"/>
            <w:tcBorders>
              <w:top w:val="nil"/>
              <w:left w:val="nil"/>
              <w:bottom w:val="single" w:sz="4" w:space="0" w:color="auto"/>
              <w:right w:val="nil"/>
            </w:tcBorders>
            <w:vAlign w:val="bottom"/>
          </w:tcPr>
          <w:p w14:paraId="3B725106"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 </w:t>
            </w:r>
          </w:p>
        </w:tc>
        <w:tc>
          <w:tcPr>
            <w:tcW w:w="615" w:type="pct"/>
            <w:tcBorders>
              <w:top w:val="nil"/>
              <w:left w:val="nil"/>
              <w:bottom w:val="single" w:sz="4" w:space="0" w:color="auto"/>
              <w:right w:val="nil"/>
            </w:tcBorders>
            <w:vAlign w:val="bottom"/>
          </w:tcPr>
          <w:p w14:paraId="2B9B3723"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3,597 </w:t>
            </w:r>
          </w:p>
        </w:tc>
        <w:tc>
          <w:tcPr>
            <w:tcW w:w="678" w:type="pct"/>
            <w:tcBorders>
              <w:top w:val="nil"/>
              <w:left w:val="nil"/>
              <w:bottom w:val="single" w:sz="4" w:space="0" w:color="auto"/>
              <w:right w:val="nil"/>
            </w:tcBorders>
            <w:vAlign w:val="bottom"/>
          </w:tcPr>
          <w:p w14:paraId="7C9EF907"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 412,581 </w:t>
            </w:r>
          </w:p>
        </w:tc>
        <w:tc>
          <w:tcPr>
            <w:tcW w:w="633" w:type="pct"/>
            <w:tcBorders>
              <w:top w:val="nil"/>
              <w:left w:val="nil"/>
              <w:bottom w:val="single" w:sz="4" w:space="0" w:color="auto"/>
            </w:tcBorders>
            <w:vAlign w:val="bottom"/>
          </w:tcPr>
          <w:p w14:paraId="79C46E09" w14:textId="77777777" w:rsidR="00587444" w:rsidRPr="00587444" w:rsidRDefault="00587444" w:rsidP="00587444">
            <w:pPr>
              <w:suppressAutoHyphens w:val="0"/>
              <w:autoSpaceDN/>
              <w:spacing w:line="240" w:lineRule="exact"/>
              <w:jc w:val="right"/>
              <w:rPr>
                <w:rFonts w:ascii="Arial" w:eastAsia="Arial Unicode MS" w:hAnsi="Arial" w:cs="Arial"/>
                <w:color w:val="000000"/>
                <w:sz w:val="17"/>
                <w:szCs w:val="17"/>
              </w:rPr>
            </w:pPr>
            <w:r w:rsidRPr="00587444">
              <w:rPr>
                <w:rFonts w:ascii="Arial" w:hAnsi="Arial" w:cs="Arial"/>
                <w:color w:val="000000"/>
                <w:sz w:val="17"/>
                <w:szCs w:val="17"/>
                <w:lang w:val="hr-HR"/>
              </w:rPr>
              <w:t xml:space="preserve">416,178 </w:t>
            </w:r>
          </w:p>
        </w:tc>
      </w:tr>
      <w:tr w:rsidR="00587444" w:rsidRPr="00587444" w14:paraId="28E852DB" w14:textId="77777777" w:rsidTr="00DD69E7">
        <w:trPr>
          <w:trHeight w:hRule="exact" w:val="343"/>
        </w:trPr>
        <w:tc>
          <w:tcPr>
            <w:tcW w:w="1384" w:type="pct"/>
            <w:vAlign w:val="bottom"/>
          </w:tcPr>
          <w:p w14:paraId="4312A5AB" w14:textId="77777777" w:rsidR="00587444" w:rsidRPr="00587444" w:rsidRDefault="00587444" w:rsidP="00587444">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Total liabilities </w:t>
            </w:r>
          </w:p>
        </w:tc>
        <w:tc>
          <w:tcPr>
            <w:tcW w:w="506" w:type="pct"/>
            <w:tcBorders>
              <w:top w:val="single" w:sz="4" w:space="0" w:color="auto"/>
              <w:left w:val="nil"/>
              <w:bottom w:val="single" w:sz="12" w:space="0" w:color="auto"/>
              <w:right w:val="nil"/>
            </w:tcBorders>
            <w:vAlign w:val="bottom"/>
          </w:tcPr>
          <w:p w14:paraId="3D6A76F3"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 319,639 </w:t>
            </w:r>
          </w:p>
        </w:tc>
        <w:tc>
          <w:tcPr>
            <w:tcW w:w="568" w:type="pct"/>
            <w:tcBorders>
              <w:top w:val="single" w:sz="4" w:space="0" w:color="auto"/>
              <w:left w:val="nil"/>
              <w:bottom w:val="single" w:sz="12" w:space="0" w:color="auto"/>
              <w:right w:val="nil"/>
            </w:tcBorders>
            <w:vAlign w:val="bottom"/>
          </w:tcPr>
          <w:p w14:paraId="38621C59"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14,925,298 </w:t>
            </w:r>
          </w:p>
        </w:tc>
        <w:tc>
          <w:tcPr>
            <w:tcW w:w="616" w:type="pct"/>
            <w:tcBorders>
              <w:top w:val="single" w:sz="4" w:space="0" w:color="auto"/>
              <w:left w:val="nil"/>
              <w:bottom w:val="single" w:sz="12" w:space="0" w:color="auto"/>
              <w:right w:val="nil"/>
            </w:tcBorders>
            <w:vAlign w:val="bottom"/>
          </w:tcPr>
          <w:p w14:paraId="26E65488"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15,098 </w:t>
            </w:r>
          </w:p>
        </w:tc>
        <w:tc>
          <w:tcPr>
            <w:tcW w:w="615" w:type="pct"/>
            <w:tcBorders>
              <w:top w:val="single" w:sz="4" w:space="0" w:color="auto"/>
              <w:left w:val="nil"/>
              <w:bottom w:val="single" w:sz="12" w:space="0" w:color="auto"/>
              <w:right w:val="nil"/>
            </w:tcBorders>
            <w:vAlign w:val="bottom"/>
          </w:tcPr>
          <w:p w14:paraId="6D45A2D8"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 15,260,035 </w:t>
            </w:r>
          </w:p>
        </w:tc>
        <w:tc>
          <w:tcPr>
            <w:tcW w:w="678" w:type="pct"/>
            <w:tcBorders>
              <w:top w:val="single" w:sz="4" w:space="0" w:color="auto"/>
              <w:left w:val="nil"/>
              <w:bottom w:val="single" w:sz="12" w:space="0" w:color="auto"/>
              <w:right w:val="nil"/>
            </w:tcBorders>
            <w:vAlign w:val="bottom"/>
          </w:tcPr>
          <w:p w14:paraId="23853693"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 2,422,224 </w:t>
            </w:r>
          </w:p>
        </w:tc>
        <w:tc>
          <w:tcPr>
            <w:tcW w:w="633" w:type="pct"/>
            <w:tcBorders>
              <w:top w:val="single" w:sz="4" w:space="0" w:color="auto"/>
              <w:left w:val="nil"/>
              <w:bottom w:val="single" w:sz="12" w:space="0" w:color="auto"/>
            </w:tcBorders>
            <w:vAlign w:val="bottom"/>
          </w:tcPr>
          <w:p w14:paraId="488B73DA"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17,682,259 </w:t>
            </w:r>
          </w:p>
        </w:tc>
      </w:tr>
      <w:tr w:rsidR="00587444" w:rsidRPr="00587444" w14:paraId="5770DDB0" w14:textId="77777777" w:rsidTr="00DD69E7">
        <w:trPr>
          <w:trHeight w:hRule="exact" w:val="458"/>
        </w:trPr>
        <w:tc>
          <w:tcPr>
            <w:tcW w:w="1384" w:type="pct"/>
            <w:vAlign w:val="bottom"/>
          </w:tcPr>
          <w:p w14:paraId="73BF5B2B" w14:textId="77777777" w:rsidR="00587444" w:rsidRPr="00587444" w:rsidRDefault="00587444" w:rsidP="00587444">
            <w:pPr>
              <w:suppressAutoHyphens w:val="0"/>
              <w:autoSpaceDN/>
              <w:spacing w:line="240" w:lineRule="exact"/>
              <w:rPr>
                <w:rFonts w:ascii="Arial" w:eastAsia="Calibri" w:hAnsi="Arial" w:cs="Arial"/>
                <w:b/>
                <w:bCs/>
                <w:spacing w:val="-2"/>
                <w:sz w:val="17"/>
                <w:szCs w:val="17"/>
              </w:rPr>
            </w:pPr>
            <w:r w:rsidRPr="00587444">
              <w:rPr>
                <w:rFonts w:ascii="Arial" w:eastAsia="Calibri" w:hAnsi="Arial" w:cs="Arial"/>
                <w:b/>
                <w:bCs/>
                <w:sz w:val="17"/>
                <w:szCs w:val="17"/>
              </w:rPr>
              <w:t>Currency gap</w:t>
            </w:r>
          </w:p>
        </w:tc>
        <w:tc>
          <w:tcPr>
            <w:tcW w:w="506" w:type="pct"/>
            <w:tcBorders>
              <w:top w:val="single" w:sz="12" w:space="0" w:color="auto"/>
              <w:left w:val="nil"/>
              <w:bottom w:val="single" w:sz="12" w:space="0" w:color="auto"/>
              <w:right w:val="nil"/>
            </w:tcBorders>
            <w:shd w:val="clear" w:color="000000" w:fill="auto"/>
            <w:vAlign w:val="bottom"/>
          </w:tcPr>
          <w:p w14:paraId="0F1988FE"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 (22,560) </w:t>
            </w:r>
          </w:p>
        </w:tc>
        <w:tc>
          <w:tcPr>
            <w:tcW w:w="568" w:type="pct"/>
            <w:tcBorders>
              <w:top w:val="single" w:sz="12" w:space="0" w:color="auto"/>
              <w:left w:val="nil"/>
              <w:bottom w:val="single" w:sz="12" w:space="0" w:color="auto"/>
              <w:right w:val="nil"/>
            </w:tcBorders>
            <w:shd w:val="clear" w:color="000000" w:fill="auto"/>
            <w:vAlign w:val="bottom"/>
          </w:tcPr>
          <w:p w14:paraId="61A9423A"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 (911,782)</w:t>
            </w:r>
          </w:p>
        </w:tc>
        <w:tc>
          <w:tcPr>
            <w:tcW w:w="616" w:type="pct"/>
            <w:tcBorders>
              <w:top w:val="single" w:sz="12" w:space="0" w:color="auto"/>
              <w:left w:val="nil"/>
              <w:bottom w:val="single" w:sz="12" w:space="0" w:color="auto"/>
              <w:right w:val="nil"/>
            </w:tcBorders>
            <w:shd w:val="clear" w:color="000000" w:fill="auto"/>
            <w:vAlign w:val="bottom"/>
          </w:tcPr>
          <w:p w14:paraId="355E8FA0"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 (15,098)</w:t>
            </w:r>
          </w:p>
        </w:tc>
        <w:tc>
          <w:tcPr>
            <w:tcW w:w="615" w:type="pct"/>
            <w:tcBorders>
              <w:top w:val="single" w:sz="12" w:space="0" w:color="auto"/>
              <w:left w:val="nil"/>
              <w:bottom w:val="single" w:sz="12" w:space="0" w:color="auto"/>
              <w:right w:val="nil"/>
            </w:tcBorders>
            <w:shd w:val="clear" w:color="000000" w:fill="auto"/>
            <w:vAlign w:val="bottom"/>
          </w:tcPr>
          <w:p w14:paraId="07B8BDD4"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 (949,440)</w:t>
            </w:r>
          </w:p>
        </w:tc>
        <w:tc>
          <w:tcPr>
            <w:tcW w:w="678" w:type="pct"/>
            <w:tcBorders>
              <w:top w:val="single" w:sz="12" w:space="0" w:color="auto"/>
              <w:left w:val="nil"/>
              <w:bottom w:val="single" w:sz="12" w:space="0" w:color="auto"/>
              <w:right w:val="nil"/>
            </w:tcBorders>
            <w:shd w:val="clear" w:color="000000" w:fill="auto"/>
            <w:vAlign w:val="bottom"/>
          </w:tcPr>
          <w:p w14:paraId="5557132E"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11,517,169 </w:t>
            </w:r>
          </w:p>
        </w:tc>
        <w:tc>
          <w:tcPr>
            <w:tcW w:w="633" w:type="pct"/>
            <w:tcBorders>
              <w:top w:val="single" w:sz="12" w:space="0" w:color="auto"/>
              <w:left w:val="nil"/>
              <w:bottom w:val="single" w:sz="12" w:space="0" w:color="auto"/>
            </w:tcBorders>
            <w:shd w:val="clear" w:color="000000" w:fill="auto"/>
            <w:vAlign w:val="bottom"/>
          </w:tcPr>
          <w:p w14:paraId="0887A926" w14:textId="77777777" w:rsidR="00587444" w:rsidRPr="00587444" w:rsidRDefault="00587444" w:rsidP="00587444">
            <w:pPr>
              <w:suppressAutoHyphens w:val="0"/>
              <w:autoSpaceDN/>
              <w:spacing w:line="240" w:lineRule="exact"/>
              <w:jc w:val="right"/>
              <w:rPr>
                <w:rFonts w:ascii="Arial" w:eastAsia="Arial Unicode MS" w:hAnsi="Arial" w:cs="Arial"/>
                <w:b/>
                <w:color w:val="000000"/>
                <w:sz w:val="17"/>
                <w:szCs w:val="17"/>
              </w:rPr>
            </w:pPr>
            <w:r w:rsidRPr="00587444">
              <w:rPr>
                <w:rFonts w:ascii="Arial" w:hAnsi="Arial" w:cs="Arial"/>
                <w:b/>
                <w:bCs/>
                <w:color w:val="000000"/>
                <w:sz w:val="17"/>
                <w:szCs w:val="17"/>
                <w:lang w:val="hr-HR"/>
              </w:rPr>
              <w:t xml:space="preserve">10,567,729 </w:t>
            </w:r>
          </w:p>
        </w:tc>
      </w:tr>
    </w:tbl>
    <w:p w14:paraId="1FF57C56" w14:textId="77777777" w:rsidR="00587444" w:rsidRPr="00587444" w:rsidRDefault="00587444" w:rsidP="00587444">
      <w:pPr>
        <w:keepNext/>
        <w:suppressAutoHyphens w:val="0"/>
        <w:autoSpaceDN/>
        <w:jc w:val="both"/>
        <w:rPr>
          <w:rFonts w:ascii="Arial" w:hAnsi="Arial" w:cs="Arial"/>
          <w:sz w:val="20"/>
          <w:szCs w:val="20"/>
          <w:lang w:val="en-GB"/>
        </w:rPr>
      </w:pPr>
    </w:p>
    <w:p w14:paraId="27AFA917" w14:textId="77777777" w:rsidR="00587444" w:rsidRPr="00587444" w:rsidRDefault="00587444" w:rsidP="00587444">
      <w:pPr>
        <w:keepNext/>
        <w:suppressAutoHyphens w:val="0"/>
        <w:autoSpaceDN/>
        <w:jc w:val="both"/>
        <w:rPr>
          <w:rFonts w:ascii="Arial" w:hAnsi="Arial" w:cs="Arial"/>
          <w:sz w:val="20"/>
          <w:szCs w:val="20"/>
          <w:lang w:val="en-GB"/>
        </w:rPr>
      </w:pPr>
    </w:p>
    <w:p w14:paraId="18F69387" w14:textId="77777777" w:rsidR="00587444" w:rsidRPr="00587444" w:rsidRDefault="00587444" w:rsidP="00587444">
      <w:pPr>
        <w:keepNext/>
        <w:suppressAutoHyphens w:val="0"/>
        <w:autoSpaceDN/>
        <w:jc w:val="both"/>
        <w:rPr>
          <w:rFonts w:ascii="Arial" w:hAnsi="Arial" w:cs="Arial"/>
          <w:sz w:val="20"/>
          <w:szCs w:val="20"/>
          <w:lang w:val="en-GB"/>
        </w:rPr>
      </w:pPr>
    </w:p>
    <w:p w14:paraId="4686500D" w14:textId="77777777" w:rsidR="00587444" w:rsidRPr="00943B2E" w:rsidRDefault="00587444" w:rsidP="00587444">
      <w:pPr>
        <w:tabs>
          <w:tab w:val="right" w:pos="1202"/>
        </w:tabs>
        <w:suppressAutoHyphens w:val="0"/>
        <w:autoSpaceDN/>
        <w:jc w:val="both"/>
        <w:outlineLvl w:val="0"/>
        <w:rPr>
          <w:rFonts w:ascii="Arial" w:hAnsi="Arial" w:cs="Arial"/>
          <w:i/>
          <w:sz w:val="18"/>
          <w:szCs w:val="18"/>
        </w:rPr>
      </w:pPr>
      <w:r w:rsidRPr="00943B2E">
        <w:rPr>
          <w:rFonts w:ascii="Arial" w:hAnsi="Arial" w:cs="Arial"/>
          <w:i/>
          <w:sz w:val="18"/>
          <w:szCs w:val="18"/>
        </w:rPr>
        <w:t>* Amounts linked to a one-way currency clause represent HRK 28,554 thousand.</w:t>
      </w:r>
    </w:p>
    <w:p w14:paraId="29B9CA6E" w14:textId="77777777" w:rsidR="00587444" w:rsidRPr="00587444" w:rsidRDefault="00587444" w:rsidP="00587444">
      <w:pPr>
        <w:suppressAutoHyphens w:val="0"/>
        <w:autoSpaceDN/>
        <w:spacing w:before="120" w:after="120" w:line="360" w:lineRule="auto"/>
        <w:jc w:val="both"/>
        <w:rPr>
          <w:rFonts w:ascii="Arial" w:hAnsi="Arial" w:cs="Arial"/>
          <w:b/>
          <w:bCs/>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5797B148"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7178F065"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         Risk management (continued)</w:t>
      </w:r>
    </w:p>
    <w:p w14:paraId="47AB3958"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EC3B91E"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31.5.      Market risk (continued)</w:t>
      </w:r>
    </w:p>
    <w:p w14:paraId="05A166B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1BEDC0B7"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31.5.2.   Currency risk (continued)</w:t>
      </w:r>
    </w:p>
    <w:p w14:paraId="0B06DE3D" w14:textId="77777777" w:rsidR="00587444" w:rsidRPr="00587444" w:rsidRDefault="00587444" w:rsidP="00587444">
      <w:pPr>
        <w:suppressAutoHyphens w:val="0"/>
        <w:autoSpaceDN/>
        <w:jc w:val="both"/>
        <w:rPr>
          <w:rFonts w:ascii="Arial" w:hAnsi="Arial" w:cs="Arial"/>
          <w:b/>
          <w:bCs/>
          <w:sz w:val="20"/>
          <w:szCs w:val="20"/>
          <w:lang w:val="en-GB"/>
        </w:rPr>
      </w:pPr>
    </w:p>
    <w:p w14:paraId="21886EA7"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Sensitivity analysis</w:t>
      </w:r>
    </w:p>
    <w:p w14:paraId="0A09C1C1" w14:textId="77777777" w:rsidR="00587444" w:rsidRPr="00587444" w:rsidRDefault="00587444" w:rsidP="00587444">
      <w:pPr>
        <w:suppressAutoHyphens w:val="0"/>
        <w:autoSpaceDN/>
        <w:jc w:val="both"/>
        <w:rPr>
          <w:rFonts w:ascii="Arial" w:hAnsi="Arial" w:cs="Arial"/>
          <w:bCs/>
          <w:sz w:val="20"/>
          <w:szCs w:val="20"/>
          <w:lang w:val="en-GB"/>
        </w:rPr>
      </w:pPr>
    </w:p>
    <w:p w14:paraId="335ACEB9" w14:textId="77777777" w:rsidR="00587444" w:rsidRPr="00587444" w:rsidRDefault="00587444" w:rsidP="007B030C">
      <w:pPr>
        <w:autoSpaceDN/>
        <w:jc w:val="both"/>
        <w:rPr>
          <w:rFonts w:ascii="Arial" w:hAnsi="Arial" w:cs="Arial"/>
          <w:bCs/>
          <w:sz w:val="20"/>
          <w:szCs w:val="20"/>
          <w:lang w:val="en-GB"/>
        </w:rPr>
      </w:pPr>
      <w:r w:rsidRPr="00587444">
        <w:rPr>
          <w:rFonts w:ascii="Arial" w:hAnsi="Arial" w:cs="Arial"/>
          <w:bCs/>
          <w:sz w:val="20"/>
          <w:szCs w:val="20"/>
          <w:lang w:val="en-GB"/>
        </w:rPr>
        <w:t>Sensitivity analysis of the Bank’s total assets and total liabilities to fluctuations in foreign exchange rates is carried out for those foreign currencies that represent Bank’s significant currencies as at the reporting date.</w:t>
      </w:r>
    </w:p>
    <w:p w14:paraId="3DB95F3B" w14:textId="77777777" w:rsidR="00587444" w:rsidRPr="00587444" w:rsidRDefault="00587444" w:rsidP="007B030C">
      <w:pPr>
        <w:autoSpaceDN/>
        <w:jc w:val="both"/>
        <w:rPr>
          <w:rFonts w:ascii="Arial" w:hAnsi="Arial" w:cs="Arial"/>
          <w:bCs/>
          <w:sz w:val="20"/>
          <w:szCs w:val="20"/>
          <w:lang w:val="en-GB"/>
        </w:rPr>
      </w:pPr>
    </w:p>
    <w:p w14:paraId="0B8733FA" w14:textId="77777777" w:rsidR="00587444" w:rsidRPr="00587444" w:rsidRDefault="00587444" w:rsidP="007B030C">
      <w:pPr>
        <w:autoSpaceDN/>
        <w:jc w:val="both"/>
        <w:rPr>
          <w:rFonts w:ascii="Arial" w:hAnsi="Arial" w:cs="Arial"/>
          <w:bCs/>
          <w:sz w:val="20"/>
          <w:szCs w:val="20"/>
          <w:lang w:val="en-GB"/>
        </w:rPr>
      </w:pPr>
      <w:r w:rsidRPr="00587444">
        <w:rPr>
          <w:rFonts w:ascii="Arial" w:hAnsi="Arial" w:cs="Arial"/>
          <w:bCs/>
          <w:sz w:val="20"/>
          <w:szCs w:val="20"/>
          <w:lang w:val="en-GB"/>
        </w:rPr>
        <w:t xml:space="preserve">An assumption of reasonably possible fluctuations in EUR exchange rates against HRK was used in the foreign currency risk sensitivity analysis, with the other variables remaining stable, </w:t>
      </w:r>
      <w:proofErr w:type="gramStart"/>
      <w:r w:rsidRPr="00587444">
        <w:rPr>
          <w:rFonts w:ascii="Arial" w:hAnsi="Arial" w:cs="Arial"/>
          <w:bCs/>
          <w:sz w:val="20"/>
          <w:szCs w:val="20"/>
          <w:lang w:val="en-GB"/>
        </w:rPr>
        <w:t>in order to</w:t>
      </w:r>
      <w:proofErr w:type="gramEnd"/>
      <w:r w:rsidRPr="00587444">
        <w:rPr>
          <w:rFonts w:ascii="Arial" w:hAnsi="Arial" w:cs="Arial"/>
          <w:bCs/>
          <w:sz w:val="20"/>
          <w:szCs w:val="20"/>
          <w:lang w:val="en-GB"/>
        </w:rPr>
        <w:t xml:space="preserve"> assess the hypothetical effect on HBOR’s profit as of 31 December 2022.</w:t>
      </w:r>
    </w:p>
    <w:p w14:paraId="5CE1B39E" w14:textId="77777777" w:rsidR="00587444" w:rsidRPr="00587444" w:rsidRDefault="00587444" w:rsidP="007B030C">
      <w:pPr>
        <w:keepNext/>
        <w:autoSpaceDN/>
        <w:jc w:val="both"/>
        <w:rPr>
          <w:rFonts w:ascii="Arial" w:hAnsi="Arial" w:cs="Arial"/>
          <w:bCs/>
          <w:sz w:val="20"/>
          <w:szCs w:val="20"/>
          <w:lang w:val="en-GB"/>
        </w:rPr>
      </w:pPr>
    </w:p>
    <w:p w14:paraId="59B49E45" w14:textId="77777777" w:rsidR="00587444" w:rsidRPr="00587444" w:rsidRDefault="00587444" w:rsidP="007B030C">
      <w:pPr>
        <w:keepNext/>
        <w:autoSpaceDN/>
        <w:jc w:val="both"/>
        <w:rPr>
          <w:rFonts w:ascii="Arial" w:hAnsi="Arial" w:cs="Arial"/>
          <w:sz w:val="20"/>
          <w:szCs w:val="20"/>
          <w:lang w:val="en-GB"/>
        </w:rPr>
      </w:pPr>
      <w:r w:rsidRPr="00587444">
        <w:rPr>
          <w:rFonts w:ascii="Arial" w:hAnsi="Arial" w:cs="Arial"/>
          <w:bCs/>
          <w:sz w:val="20"/>
          <w:szCs w:val="20"/>
          <w:lang w:val="en-GB"/>
        </w:rPr>
        <w:t>Volatility of the exchange rate EUR/HRK, determined using the standard deviation method on the changes of the foreign exchange rate EUR/HRK, equalled 1.19% in the last 12 months (2021:1.49%).</w:t>
      </w:r>
    </w:p>
    <w:p w14:paraId="0128B029" w14:textId="77777777" w:rsidR="00587444" w:rsidRPr="00587444" w:rsidRDefault="00587444" w:rsidP="007B030C">
      <w:pPr>
        <w:autoSpaceDN/>
        <w:jc w:val="both"/>
        <w:rPr>
          <w:rFonts w:ascii="Arial" w:hAnsi="Arial" w:cs="Arial"/>
          <w:bCs/>
          <w:sz w:val="20"/>
          <w:szCs w:val="20"/>
          <w:lang w:val="en-GB"/>
        </w:rPr>
      </w:pPr>
    </w:p>
    <w:p w14:paraId="10FAC860" w14:textId="77777777" w:rsidR="00587444" w:rsidRPr="00587444" w:rsidRDefault="00587444" w:rsidP="007B030C">
      <w:pPr>
        <w:autoSpaceDN/>
        <w:jc w:val="both"/>
        <w:rPr>
          <w:rFonts w:ascii="Arial" w:hAnsi="Arial" w:cs="Arial"/>
          <w:bCs/>
          <w:sz w:val="20"/>
          <w:szCs w:val="20"/>
          <w:lang w:val="en-GB"/>
        </w:rPr>
      </w:pPr>
      <w:r w:rsidRPr="00587444">
        <w:rPr>
          <w:rFonts w:ascii="Arial" w:hAnsi="Arial" w:cs="Arial"/>
          <w:bCs/>
          <w:sz w:val="20"/>
          <w:szCs w:val="20"/>
          <w:lang w:val="en-GB"/>
        </w:rPr>
        <w:t>The effect of the assumed changes in the foreign exchange rate EUR/HRK by total asset and total liabilities items denominated or indexed to EUR on HBOR’s profits is stated below.</w:t>
      </w:r>
    </w:p>
    <w:p w14:paraId="7FE5B62E" w14:textId="77777777" w:rsidR="00587444" w:rsidRPr="00587444" w:rsidRDefault="00587444" w:rsidP="00587444">
      <w:pPr>
        <w:suppressAutoHyphens w:val="0"/>
        <w:autoSpaceDN/>
        <w:jc w:val="both"/>
        <w:rPr>
          <w:rFonts w:ascii="Arial" w:hAnsi="Arial" w:cs="Arial"/>
          <w:bCs/>
          <w:sz w:val="20"/>
          <w:szCs w:val="20"/>
          <w:lang w:val="en-GB"/>
        </w:rPr>
      </w:pPr>
    </w:p>
    <w:tbl>
      <w:tblPr>
        <w:tblW w:w="5000" w:type="pct"/>
        <w:jc w:val="center"/>
        <w:tblLook w:val="01E0" w:firstRow="1" w:lastRow="1" w:firstColumn="1" w:lastColumn="1" w:noHBand="0" w:noVBand="0"/>
      </w:tblPr>
      <w:tblGrid>
        <w:gridCol w:w="2369"/>
        <w:gridCol w:w="1702"/>
        <w:gridCol w:w="1834"/>
        <w:gridCol w:w="1838"/>
        <w:gridCol w:w="1828"/>
      </w:tblGrid>
      <w:tr w:rsidR="00587444" w:rsidRPr="00587444" w14:paraId="09306C07" w14:textId="77777777" w:rsidTr="00DD69E7">
        <w:trPr>
          <w:trHeight w:hRule="exact" w:val="774"/>
          <w:jc w:val="center"/>
        </w:trPr>
        <w:tc>
          <w:tcPr>
            <w:tcW w:w="1238" w:type="pct"/>
            <w:vAlign w:val="bottom"/>
          </w:tcPr>
          <w:p w14:paraId="2A8B0DF8" w14:textId="77777777" w:rsidR="00587444" w:rsidRPr="00587444" w:rsidRDefault="00587444" w:rsidP="00587444">
            <w:pPr>
              <w:suppressAutoHyphens w:val="0"/>
              <w:autoSpaceDN/>
              <w:jc w:val="right"/>
              <w:rPr>
                <w:rFonts w:ascii="Arial" w:hAnsi="Arial" w:cs="Arial"/>
                <w:b/>
                <w:sz w:val="19"/>
                <w:szCs w:val="19"/>
                <w:lang w:val="en-GB"/>
              </w:rPr>
            </w:pPr>
          </w:p>
        </w:tc>
        <w:tc>
          <w:tcPr>
            <w:tcW w:w="889" w:type="pct"/>
            <w:vAlign w:val="bottom"/>
          </w:tcPr>
          <w:p w14:paraId="111D173E" w14:textId="77777777" w:rsidR="001D0F84" w:rsidRDefault="00587444" w:rsidP="00587444">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 xml:space="preserve">Change in </w:t>
            </w:r>
          </w:p>
          <w:p w14:paraId="33A399B8" w14:textId="78EF5858" w:rsidR="00587444" w:rsidRPr="00587444" w:rsidRDefault="00587444" w:rsidP="00587444">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 xml:space="preserve">currency rate </w:t>
            </w:r>
          </w:p>
          <w:p w14:paraId="264CEB48" w14:textId="77777777"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bCs/>
                <w:sz w:val="19"/>
                <w:szCs w:val="19"/>
                <w:lang w:val="en-GB"/>
              </w:rPr>
              <w:t>in 2022</w:t>
            </w:r>
          </w:p>
        </w:tc>
        <w:tc>
          <w:tcPr>
            <w:tcW w:w="958" w:type="pct"/>
            <w:vAlign w:val="bottom"/>
          </w:tcPr>
          <w:p w14:paraId="6FEAEEE9" w14:textId="77777777" w:rsidR="00587444" w:rsidRPr="00587444" w:rsidRDefault="00587444" w:rsidP="00587444">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Effect on</w:t>
            </w:r>
          </w:p>
          <w:p w14:paraId="22DC64F8" w14:textId="77777777" w:rsidR="00587444" w:rsidRPr="00587444" w:rsidRDefault="00587444" w:rsidP="00587444">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 xml:space="preserve">profit </w:t>
            </w:r>
          </w:p>
          <w:p w14:paraId="7C1A4F8A" w14:textId="77777777"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bCs/>
                <w:sz w:val="19"/>
                <w:szCs w:val="19"/>
                <w:lang w:val="en-GB"/>
              </w:rPr>
              <w:t>in 2022</w:t>
            </w:r>
          </w:p>
        </w:tc>
        <w:tc>
          <w:tcPr>
            <w:tcW w:w="960" w:type="pct"/>
            <w:vAlign w:val="bottom"/>
          </w:tcPr>
          <w:p w14:paraId="470EF800" w14:textId="77777777" w:rsidR="001D0F84" w:rsidRDefault="00587444" w:rsidP="00587444">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 xml:space="preserve">Change in </w:t>
            </w:r>
          </w:p>
          <w:p w14:paraId="186A4BFC" w14:textId="24114EF6" w:rsidR="00587444" w:rsidRPr="00587444" w:rsidRDefault="00587444" w:rsidP="00587444">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 xml:space="preserve">currency rate </w:t>
            </w:r>
          </w:p>
          <w:p w14:paraId="40F1B6EC" w14:textId="77777777"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bCs/>
                <w:sz w:val="19"/>
                <w:szCs w:val="19"/>
                <w:lang w:val="en-GB"/>
              </w:rPr>
              <w:t>in 2021</w:t>
            </w:r>
          </w:p>
        </w:tc>
        <w:tc>
          <w:tcPr>
            <w:tcW w:w="955" w:type="pct"/>
            <w:vAlign w:val="bottom"/>
          </w:tcPr>
          <w:p w14:paraId="1403544D" w14:textId="77777777" w:rsidR="00587444" w:rsidRPr="00587444" w:rsidRDefault="00587444" w:rsidP="00587444">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Effect on</w:t>
            </w:r>
          </w:p>
          <w:p w14:paraId="5EC5DC45" w14:textId="77777777" w:rsidR="00587444" w:rsidRPr="00587444" w:rsidRDefault="00587444" w:rsidP="00587444">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 xml:space="preserve">profit </w:t>
            </w:r>
          </w:p>
          <w:p w14:paraId="67A03C26" w14:textId="77777777"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bCs/>
                <w:sz w:val="19"/>
                <w:szCs w:val="19"/>
                <w:lang w:val="en-GB"/>
              </w:rPr>
              <w:t>in 2021</w:t>
            </w:r>
          </w:p>
        </w:tc>
      </w:tr>
      <w:tr w:rsidR="00587444" w:rsidRPr="00587444" w14:paraId="2386D160" w14:textId="77777777" w:rsidTr="00DD69E7">
        <w:trPr>
          <w:trHeight w:hRule="exact" w:val="207"/>
          <w:jc w:val="center"/>
        </w:trPr>
        <w:tc>
          <w:tcPr>
            <w:tcW w:w="1238" w:type="pct"/>
          </w:tcPr>
          <w:p w14:paraId="21AD0370" w14:textId="77777777" w:rsidR="00587444" w:rsidRPr="00587444" w:rsidRDefault="00587444" w:rsidP="00587444">
            <w:pPr>
              <w:suppressAutoHyphens w:val="0"/>
              <w:autoSpaceDN/>
              <w:jc w:val="right"/>
              <w:rPr>
                <w:rFonts w:ascii="Arial" w:hAnsi="Arial" w:cs="Arial"/>
                <w:sz w:val="19"/>
                <w:szCs w:val="19"/>
                <w:lang w:val="en-GB"/>
              </w:rPr>
            </w:pPr>
          </w:p>
        </w:tc>
        <w:tc>
          <w:tcPr>
            <w:tcW w:w="889" w:type="pct"/>
          </w:tcPr>
          <w:p w14:paraId="0569B0B0" w14:textId="77777777"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w:t>
            </w:r>
          </w:p>
        </w:tc>
        <w:tc>
          <w:tcPr>
            <w:tcW w:w="958" w:type="pct"/>
            <w:vAlign w:val="center"/>
          </w:tcPr>
          <w:p w14:paraId="42AC10FA" w14:textId="77777777"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bCs/>
                <w:sz w:val="19"/>
                <w:szCs w:val="19"/>
                <w:lang w:val="en-GB"/>
              </w:rPr>
              <w:t>HRK' 000</w:t>
            </w:r>
          </w:p>
        </w:tc>
        <w:tc>
          <w:tcPr>
            <w:tcW w:w="960" w:type="pct"/>
          </w:tcPr>
          <w:p w14:paraId="5E1413C5" w14:textId="77777777"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w:t>
            </w:r>
          </w:p>
        </w:tc>
        <w:tc>
          <w:tcPr>
            <w:tcW w:w="955" w:type="pct"/>
            <w:vAlign w:val="center"/>
          </w:tcPr>
          <w:p w14:paraId="43475B4F" w14:textId="77777777" w:rsidR="00587444" w:rsidRPr="00587444" w:rsidRDefault="00587444" w:rsidP="00587444">
            <w:pPr>
              <w:suppressAutoHyphens w:val="0"/>
              <w:autoSpaceDN/>
              <w:jc w:val="right"/>
              <w:rPr>
                <w:rFonts w:ascii="Arial" w:hAnsi="Arial" w:cs="Arial"/>
                <w:sz w:val="19"/>
                <w:szCs w:val="19"/>
                <w:lang w:val="en-GB"/>
              </w:rPr>
            </w:pPr>
            <w:r w:rsidRPr="00587444">
              <w:rPr>
                <w:rFonts w:ascii="Arial" w:hAnsi="Arial" w:cs="Arial"/>
                <w:b/>
                <w:bCs/>
                <w:sz w:val="19"/>
                <w:szCs w:val="19"/>
                <w:lang w:val="en-GB"/>
              </w:rPr>
              <w:t>HRK' 000</w:t>
            </w:r>
          </w:p>
        </w:tc>
      </w:tr>
      <w:tr w:rsidR="00587444" w:rsidRPr="00587444" w14:paraId="0798817D" w14:textId="77777777" w:rsidTr="00DD69E7">
        <w:trPr>
          <w:trHeight w:hRule="exact" w:val="175"/>
          <w:jc w:val="center"/>
        </w:trPr>
        <w:tc>
          <w:tcPr>
            <w:tcW w:w="1238" w:type="pct"/>
          </w:tcPr>
          <w:p w14:paraId="061B0407" w14:textId="77777777" w:rsidR="00587444" w:rsidRPr="00587444" w:rsidRDefault="00587444" w:rsidP="00587444">
            <w:pPr>
              <w:suppressAutoHyphens w:val="0"/>
              <w:autoSpaceDN/>
              <w:jc w:val="both"/>
              <w:rPr>
                <w:rFonts w:ascii="Arial" w:hAnsi="Arial" w:cs="Arial"/>
                <w:sz w:val="19"/>
                <w:szCs w:val="19"/>
                <w:lang w:val="en-GB"/>
              </w:rPr>
            </w:pPr>
          </w:p>
        </w:tc>
        <w:tc>
          <w:tcPr>
            <w:tcW w:w="889" w:type="pct"/>
          </w:tcPr>
          <w:p w14:paraId="55764434" w14:textId="77777777" w:rsidR="00587444" w:rsidRPr="00587444" w:rsidRDefault="00587444" w:rsidP="00587444">
            <w:pPr>
              <w:suppressAutoHyphens w:val="0"/>
              <w:autoSpaceDN/>
              <w:jc w:val="center"/>
              <w:rPr>
                <w:rFonts w:ascii="Arial" w:hAnsi="Arial" w:cs="Arial"/>
                <w:sz w:val="19"/>
                <w:szCs w:val="19"/>
                <w:lang w:val="en-GB"/>
              </w:rPr>
            </w:pPr>
          </w:p>
        </w:tc>
        <w:tc>
          <w:tcPr>
            <w:tcW w:w="958" w:type="pct"/>
            <w:vAlign w:val="center"/>
          </w:tcPr>
          <w:p w14:paraId="3523598E" w14:textId="77777777" w:rsidR="00587444" w:rsidRPr="00587444" w:rsidRDefault="00587444" w:rsidP="00587444">
            <w:pPr>
              <w:suppressAutoHyphens w:val="0"/>
              <w:autoSpaceDN/>
              <w:jc w:val="center"/>
              <w:rPr>
                <w:rFonts w:ascii="Arial" w:hAnsi="Arial" w:cs="Arial"/>
                <w:b/>
                <w:bCs/>
                <w:sz w:val="19"/>
                <w:szCs w:val="19"/>
                <w:lang w:val="en-GB"/>
              </w:rPr>
            </w:pPr>
          </w:p>
        </w:tc>
        <w:tc>
          <w:tcPr>
            <w:tcW w:w="960" w:type="pct"/>
          </w:tcPr>
          <w:p w14:paraId="282F6E2F" w14:textId="77777777" w:rsidR="00587444" w:rsidRPr="00587444" w:rsidRDefault="00587444" w:rsidP="00587444">
            <w:pPr>
              <w:suppressAutoHyphens w:val="0"/>
              <w:autoSpaceDN/>
              <w:jc w:val="center"/>
              <w:rPr>
                <w:rFonts w:ascii="Arial" w:hAnsi="Arial" w:cs="Arial"/>
                <w:sz w:val="19"/>
                <w:szCs w:val="19"/>
                <w:lang w:val="en-GB"/>
              </w:rPr>
            </w:pPr>
          </w:p>
        </w:tc>
        <w:tc>
          <w:tcPr>
            <w:tcW w:w="955" w:type="pct"/>
            <w:vAlign w:val="center"/>
          </w:tcPr>
          <w:p w14:paraId="3EA2D37F" w14:textId="77777777" w:rsidR="00587444" w:rsidRPr="00587444" w:rsidRDefault="00587444" w:rsidP="00587444">
            <w:pPr>
              <w:suppressAutoHyphens w:val="0"/>
              <w:autoSpaceDN/>
              <w:jc w:val="center"/>
              <w:rPr>
                <w:rFonts w:ascii="Arial" w:hAnsi="Arial" w:cs="Arial"/>
                <w:b/>
                <w:bCs/>
                <w:sz w:val="19"/>
                <w:szCs w:val="19"/>
                <w:lang w:val="en-GB"/>
              </w:rPr>
            </w:pPr>
          </w:p>
        </w:tc>
      </w:tr>
      <w:tr w:rsidR="00587444" w:rsidRPr="00587444" w14:paraId="0EDFC27D" w14:textId="77777777" w:rsidTr="00DD69E7">
        <w:trPr>
          <w:trHeight w:hRule="exact" w:val="284"/>
          <w:jc w:val="center"/>
        </w:trPr>
        <w:tc>
          <w:tcPr>
            <w:tcW w:w="1238" w:type="pct"/>
            <w:vAlign w:val="bottom"/>
          </w:tcPr>
          <w:p w14:paraId="00AC3D6E" w14:textId="77777777" w:rsidR="00587444" w:rsidRPr="00587444" w:rsidRDefault="00587444" w:rsidP="00587444">
            <w:pPr>
              <w:suppressAutoHyphens w:val="0"/>
              <w:autoSpaceDN/>
              <w:jc w:val="both"/>
              <w:rPr>
                <w:rFonts w:ascii="Arial" w:hAnsi="Arial" w:cs="Arial"/>
                <w:sz w:val="19"/>
                <w:szCs w:val="19"/>
                <w:lang w:val="en-GB"/>
              </w:rPr>
            </w:pPr>
            <w:r w:rsidRPr="00587444">
              <w:rPr>
                <w:rFonts w:ascii="Arial" w:hAnsi="Arial" w:cs="Arial"/>
                <w:bCs/>
                <w:sz w:val="19"/>
                <w:szCs w:val="19"/>
                <w:lang w:val="en-GB"/>
              </w:rPr>
              <w:t>EUR</w:t>
            </w:r>
          </w:p>
        </w:tc>
        <w:tc>
          <w:tcPr>
            <w:tcW w:w="889" w:type="pct"/>
            <w:vAlign w:val="center"/>
          </w:tcPr>
          <w:p w14:paraId="6ABD4E18" w14:textId="77777777" w:rsidR="00587444" w:rsidRPr="00587444" w:rsidRDefault="00587444" w:rsidP="00587444">
            <w:pPr>
              <w:suppressAutoHyphens w:val="0"/>
              <w:autoSpaceDN/>
              <w:jc w:val="right"/>
              <w:rPr>
                <w:rFonts w:ascii="Arial" w:hAnsi="Arial" w:cs="Arial"/>
                <w:bCs/>
                <w:sz w:val="19"/>
                <w:szCs w:val="19"/>
                <w:lang w:val="hr-HR"/>
              </w:rPr>
            </w:pPr>
            <w:r w:rsidRPr="00587444">
              <w:rPr>
                <w:rFonts w:ascii="Arial" w:hAnsi="Arial" w:cs="Arial"/>
                <w:bCs/>
                <w:color w:val="000000"/>
                <w:sz w:val="19"/>
                <w:szCs w:val="19"/>
                <w:lang w:val="hr-HR"/>
              </w:rPr>
              <w:t>+1.19</w:t>
            </w:r>
          </w:p>
        </w:tc>
        <w:tc>
          <w:tcPr>
            <w:tcW w:w="958" w:type="pct"/>
            <w:vAlign w:val="center"/>
          </w:tcPr>
          <w:p w14:paraId="7B69E434" w14:textId="77777777" w:rsidR="00587444" w:rsidRPr="00587444" w:rsidRDefault="00587444" w:rsidP="00587444">
            <w:pPr>
              <w:suppressAutoHyphens w:val="0"/>
              <w:autoSpaceDN/>
              <w:jc w:val="right"/>
              <w:rPr>
                <w:rFonts w:ascii="Arial" w:hAnsi="Arial" w:cs="Arial"/>
                <w:bCs/>
                <w:sz w:val="19"/>
                <w:szCs w:val="19"/>
                <w:lang w:val="hr-HR"/>
              </w:rPr>
            </w:pPr>
            <w:r w:rsidRPr="00587444">
              <w:rPr>
                <w:rFonts w:ascii="Arial" w:hAnsi="Arial" w:cs="Arial"/>
                <w:bCs/>
                <w:color w:val="000000"/>
                <w:sz w:val="19"/>
                <w:szCs w:val="19"/>
                <w:lang w:val="hr-HR"/>
              </w:rPr>
              <w:t>5,041</w:t>
            </w:r>
          </w:p>
        </w:tc>
        <w:tc>
          <w:tcPr>
            <w:tcW w:w="960" w:type="pct"/>
            <w:vAlign w:val="center"/>
          </w:tcPr>
          <w:p w14:paraId="2864A35E" w14:textId="77777777" w:rsidR="00587444" w:rsidRPr="00587444" w:rsidRDefault="00587444" w:rsidP="00587444">
            <w:pPr>
              <w:suppressAutoHyphens w:val="0"/>
              <w:autoSpaceDN/>
              <w:jc w:val="right"/>
              <w:rPr>
                <w:rFonts w:ascii="Arial" w:hAnsi="Arial" w:cs="Arial"/>
                <w:bCs/>
                <w:sz w:val="19"/>
                <w:szCs w:val="19"/>
                <w:lang w:val="hr-HR"/>
              </w:rPr>
            </w:pPr>
            <w:r w:rsidRPr="00587444">
              <w:rPr>
                <w:rFonts w:ascii="Arial" w:hAnsi="Arial" w:cs="Arial"/>
                <w:bCs/>
                <w:color w:val="000000"/>
                <w:sz w:val="19"/>
                <w:szCs w:val="19"/>
                <w:lang w:val="hr-HR"/>
              </w:rPr>
              <w:t>+1.49</w:t>
            </w:r>
          </w:p>
        </w:tc>
        <w:tc>
          <w:tcPr>
            <w:tcW w:w="955" w:type="pct"/>
            <w:vAlign w:val="center"/>
          </w:tcPr>
          <w:p w14:paraId="37DC0605" w14:textId="77777777" w:rsidR="00587444" w:rsidRPr="00587444" w:rsidRDefault="00587444" w:rsidP="00587444">
            <w:pPr>
              <w:suppressAutoHyphens w:val="0"/>
              <w:autoSpaceDN/>
              <w:jc w:val="right"/>
              <w:rPr>
                <w:rFonts w:ascii="Arial" w:hAnsi="Arial" w:cs="Arial"/>
                <w:bCs/>
                <w:sz w:val="19"/>
                <w:szCs w:val="19"/>
                <w:lang w:val="hr-HR"/>
              </w:rPr>
            </w:pPr>
            <w:r w:rsidRPr="00587444">
              <w:rPr>
                <w:rFonts w:ascii="Arial" w:hAnsi="Arial" w:cs="Arial"/>
                <w:bCs/>
                <w:color w:val="000000"/>
                <w:sz w:val="19"/>
                <w:szCs w:val="19"/>
                <w:lang w:val="hr-HR"/>
              </w:rPr>
              <w:t>(11,246)</w:t>
            </w:r>
          </w:p>
        </w:tc>
      </w:tr>
      <w:tr w:rsidR="00587444" w:rsidRPr="00587444" w14:paraId="5F96487F" w14:textId="77777777" w:rsidTr="00DD69E7">
        <w:trPr>
          <w:trHeight w:hRule="exact" w:val="85"/>
          <w:jc w:val="center"/>
        </w:trPr>
        <w:tc>
          <w:tcPr>
            <w:tcW w:w="1238" w:type="pct"/>
            <w:vAlign w:val="bottom"/>
          </w:tcPr>
          <w:p w14:paraId="3934F2A1" w14:textId="77777777" w:rsidR="00587444" w:rsidRPr="00587444" w:rsidRDefault="00587444" w:rsidP="00587444">
            <w:pPr>
              <w:suppressAutoHyphens w:val="0"/>
              <w:autoSpaceDN/>
              <w:jc w:val="both"/>
              <w:rPr>
                <w:rFonts w:ascii="Arial" w:hAnsi="Arial" w:cs="Arial"/>
                <w:sz w:val="19"/>
                <w:szCs w:val="19"/>
                <w:lang w:val="en-GB"/>
              </w:rPr>
            </w:pPr>
          </w:p>
        </w:tc>
        <w:tc>
          <w:tcPr>
            <w:tcW w:w="889" w:type="pct"/>
            <w:vAlign w:val="center"/>
          </w:tcPr>
          <w:p w14:paraId="3F4CCD53" w14:textId="77777777" w:rsidR="00587444" w:rsidRPr="00587444" w:rsidRDefault="00587444" w:rsidP="00587444">
            <w:pPr>
              <w:suppressAutoHyphens w:val="0"/>
              <w:autoSpaceDN/>
              <w:jc w:val="right"/>
              <w:rPr>
                <w:rFonts w:ascii="Arial" w:hAnsi="Arial" w:cs="Arial"/>
                <w:bCs/>
                <w:sz w:val="19"/>
                <w:szCs w:val="19"/>
                <w:lang w:val="hr-HR"/>
              </w:rPr>
            </w:pPr>
          </w:p>
        </w:tc>
        <w:tc>
          <w:tcPr>
            <w:tcW w:w="958" w:type="pct"/>
            <w:vAlign w:val="center"/>
          </w:tcPr>
          <w:p w14:paraId="006DC3E5" w14:textId="77777777" w:rsidR="00587444" w:rsidRPr="00587444" w:rsidRDefault="00587444" w:rsidP="00587444">
            <w:pPr>
              <w:suppressAutoHyphens w:val="0"/>
              <w:autoSpaceDN/>
              <w:jc w:val="both"/>
              <w:rPr>
                <w:rFonts w:ascii="Arial" w:hAnsi="Arial" w:cs="Arial"/>
                <w:bCs/>
                <w:sz w:val="19"/>
                <w:szCs w:val="19"/>
                <w:lang w:val="hr-HR"/>
              </w:rPr>
            </w:pPr>
          </w:p>
        </w:tc>
        <w:tc>
          <w:tcPr>
            <w:tcW w:w="960" w:type="pct"/>
            <w:vAlign w:val="center"/>
          </w:tcPr>
          <w:p w14:paraId="0E00DA66" w14:textId="77777777" w:rsidR="00587444" w:rsidRPr="00587444" w:rsidRDefault="00587444" w:rsidP="00587444">
            <w:pPr>
              <w:suppressAutoHyphens w:val="0"/>
              <w:autoSpaceDN/>
              <w:jc w:val="right"/>
              <w:rPr>
                <w:rFonts w:ascii="Arial" w:hAnsi="Arial" w:cs="Arial"/>
                <w:bCs/>
                <w:sz w:val="19"/>
                <w:szCs w:val="19"/>
                <w:lang w:val="hr-HR"/>
              </w:rPr>
            </w:pPr>
          </w:p>
        </w:tc>
        <w:tc>
          <w:tcPr>
            <w:tcW w:w="955" w:type="pct"/>
            <w:vAlign w:val="center"/>
          </w:tcPr>
          <w:p w14:paraId="51C722FE" w14:textId="77777777" w:rsidR="00587444" w:rsidRPr="00587444" w:rsidRDefault="00587444" w:rsidP="00587444">
            <w:pPr>
              <w:suppressAutoHyphens w:val="0"/>
              <w:autoSpaceDN/>
              <w:jc w:val="right"/>
              <w:rPr>
                <w:rFonts w:ascii="Arial" w:hAnsi="Arial" w:cs="Arial"/>
                <w:bCs/>
                <w:sz w:val="19"/>
                <w:szCs w:val="19"/>
                <w:lang w:val="hr-HR"/>
              </w:rPr>
            </w:pPr>
          </w:p>
        </w:tc>
      </w:tr>
      <w:tr w:rsidR="00587444" w:rsidRPr="00587444" w14:paraId="13F306AA" w14:textId="77777777" w:rsidTr="00DD69E7">
        <w:trPr>
          <w:trHeight w:hRule="exact" w:val="284"/>
          <w:jc w:val="center"/>
        </w:trPr>
        <w:tc>
          <w:tcPr>
            <w:tcW w:w="1238" w:type="pct"/>
            <w:vAlign w:val="bottom"/>
          </w:tcPr>
          <w:p w14:paraId="2368069B" w14:textId="77777777" w:rsidR="00587444" w:rsidRPr="00587444" w:rsidRDefault="00587444" w:rsidP="00587444">
            <w:pPr>
              <w:suppressAutoHyphens w:val="0"/>
              <w:autoSpaceDN/>
              <w:jc w:val="both"/>
              <w:rPr>
                <w:rFonts w:ascii="Arial" w:hAnsi="Arial" w:cs="Arial"/>
                <w:sz w:val="19"/>
                <w:szCs w:val="19"/>
                <w:lang w:val="en-GB"/>
              </w:rPr>
            </w:pPr>
            <w:r w:rsidRPr="00587444">
              <w:rPr>
                <w:rFonts w:ascii="Arial" w:hAnsi="Arial" w:cs="Arial"/>
                <w:bCs/>
                <w:sz w:val="19"/>
                <w:szCs w:val="19"/>
                <w:lang w:val="en-GB"/>
              </w:rPr>
              <w:t>EUR</w:t>
            </w:r>
          </w:p>
        </w:tc>
        <w:tc>
          <w:tcPr>
            <w:tcW w:w="889" w:type="pct"/>
            <w:vAlign w:val="center"/>
          </w:tcPr>
          <w:p w14:paraId="68D2334F" w14:textId="77777777" w:rsidR="00587444" w:rsidRPr="00587444" w:rsidRDefault="00587444" w:rsidP="00587444">
            <w:pPr>
              <w:suppressAutoHyphens w:val="0"/>
              <w:autoSpaceDN/>
              <w:jc w:val="right"/>
              <w:rPr>
                <w:rFonts w:ascii="Arial" w:hAnsi="Arial" w:cs="Arial"/>
                <w:bCs/>
                <w:sz w:val="19"/>
                <w:szCs w:val="19"/>
                <w:lang w:val="hr-HR"/>
              </w:rPr>
            </w:pPr>
            <w:r w:rsidRPr="00587444">
              <w:rPr>
                <w:rFonts w:ascii="Arial" w:hAnsi="Arial" w:cs="Arial"/>
                <w:bCs/>
                <w:color w:val="000000"/>
                <w:sz w:val="19"/>
                <w:szCs w:val="19"/>
                <w:lang w:val="hr-HR"/>
              </w:rPr>
              <w:t>-1.19</w:t>
            </w:r>
          </w:p>
        </w:tc>
        <w:tc>
          <w:tcPr>
            <w:tcW w:w="958" w:type="pct"/>
            <w:vAlign w:val="center"/>
          </w:tcPr>
          <w:p w14:paraId="63075715" w14:textId="77777777" w:rsidR="00587444" w:rsidRPr="00587444" w:rsidRDefault="00587444" w:rsidP="00587444">
            <w:pPr>
              <w:suppressAutoHyphens w:val="0"/>
              <w:autoSpaceDN/>
              <w:jc w:val="right"/>
              <w:rPr>
                <w:rFonts w:ascii="Arial" w:hAnsi="Arial" w:cs="Arial"/>
                <w:bCs/>
                <w:sz w:val="19"/>
                <w:szCs w:val="19"/>
                <w:lang w:val="hr-HR"/>
              </w:rPr>
            </w:pPr>
            <w:r w:rsidRPr="00587444">
              <w:rPr>
                <w:rFonts w:ascii="Arial" w:hAnsi="Arial" w:cs="Arial"/>
                <w:bCs/>
                <w:color w:val="000000"/>
                <w:sz w:val="19"/>
                <w:szCs w:val="19"/>
                <w:lang w:val="hr-HR"/>
              </w:rPr>
              <w:t>(5,038)</w:t>
            </w:r>
          </w:p>
        </w:tc>
        <w:tc>
          <w:tcPr>
            <w:tcW w:w="960" w:type="pct"/>
            <w:vAlign w:val="center"/>
          </w:tcPr>
          <w:p w14:paraId="2BA4A45C" w14:textId="77777777" w:rsidR="00587444" w:rsidRPr="00587444" w:rsidRDefault="00587444" w:rsidP="00587444">
            <w:pPr>
              <w:suppressAutoHyphens w:val="0"/>
              <w:autoSpaceDN/>
              <w:jc w:val="right"/>
              <w:rPr>
                <w:rFonts w:ascii="Arial" w:hAnsi="Arial" w:cs="Arial"/>
                <w:bCs/>
                <w:sz w:val="19"/>
                <w:szCs w:val="19"/>
                <w:lang w:val="hr-HR"/>
              </w:rPr>
            </w:pPr>
            <w:r w:rsidRPr="00587444">
              <w:rPr>
                <w:rFonts w:ascii="Arial" w:hAnsi="Arial" w:cs="Arial"/>
                <w:bCs/>
                <w:color w:val="000000"/>
                <w:sz w:val="19"/>
                <w:szCs w:val="19"/>
                <w:lang w:val="hr-HR"/>
              </w:rPr>
              <w:t>-1.49</w:t>
            </w:r>
          </w:p>
        </w:tc>
        <w:tc>
          <w:tcPr>
            <w:tcW w:w="955" w:type="pct"/>
            <w:vAlign w:val="center"/>
          </w:tcPr>
          <w:p w14:paraId="66422E31" w14:textId="77777777" w:rsidR="00587444" w:rsidRPr="00587444" w:rsidRDefault="00587444" w:rsidP="00587444">
            <w:pPr>
              <w:suppressAutoHyphens w:val="0"/>
              <w:autoSpaceDN/>
              <w:jc w:val="right"/>
              <w:rPr>
                <w:rFonts w:ascii="Arial" w:hAnsi="Arial" w:cs="Arial"/>
                <w:bCs/>
                <w:sz w:val="19"/>
                <w:szCs w:val="19"/>
                <w:lang w:val="hr-HR"/>
              </w:rPr>
            </w:pPr>
            <w:r w:rsidRPr="00587444">
              <w:rPr>
                <w:rFonts w:ascii="Arial" w:hAnsi="Arial" w:cs="Arial"/>
                <w:bCs/>
                <w:color w:val="000000"/>
                <w:sz w:val="19"/>
                <w:szCs w:val="19"/>
                <w:lang w:val="hr-HR"/>
              </w:rPr>
              <w:t>10,779</w:t>
            </w:r>
          </w:p>
        </w:tc>
      </w:tr>
    </w:tbl>
    <w:p w14:paraId="6D535AB5" w14:textId="77777777" w:rsidR="00587444" w:rsidRPr="00587444" w:rsidRDefault="00587444" w:rsidP="00587444">
      <w:pPr>
        <w:suppressAutoHyphens w:val="0"/>
        <w:autoSpaceDN/>
        <w:jc w:val="both"/>
        <w:rPr>
          <w:rFonts w:ascii="Arial" w:hAnsi="Arial" w:cs="Arial"/>
          <w:sz w:val="20"/>
          <w:szCs w:val="20"/>
          <w:lang w:val="en-GB"/>
        </w:rPr>
      </w:pPr>
    </w:p>
    <w:p w14:paraId="31CBBF60" w14:textId="77777777" w:rsidR="00587444" w:rsidRPr="00587444" w:rsidRDefault="00587444" w:rsidP="00587444">
      <w:pPr>
        <w:suppressAutoHyphens w:val="0"/>
        <w:autoSpaceDN/>
        <w:jc w:val="both"/>
        <w:rPr>
          <w:rFonts w:ascii="Arial" w:hAnsi="Arial" w:cs="Arial"/>
          <w:sz w:val="20"/>
          <w:szCs w:val="20"/>
          <w:lang w:val="en-GB" w:eastAsia="hr-HR"/>
        </w:rPr>
        <w:sectPr w:rsidR="00587444" w:rsidRPr="00587444" w:rsidSect="00DD69E7">
          <w:pgSz w:w="11907" w:h="16840" w:code="9"/>
          <w:pgMar w:top="1418" w:right="1134" w:bottom="1134" w:left="1418" w:header="851" w:footer="851" w:gutter="0"/>
          <w:cols w:space="720"/>
          <w:noEndnote/>
        </w:sectPr>
      </w:pPr>
    </w:p>
    <w:p w14:paraId="707995D2" w14:textId="77777777" w:rsidR="00587444" w:rsidRPr="00587444" w:rsidRDefault="00587444" w:rsidP="00587444">
      <w:pPr>
        <w:keepNext/>
        <w:suppressAutoHyphens w:val="0"/>
        <w:autoSpaceDN/>
        <w:ind w:left="709" w:hanging="709"/>
        <w:jc w:val="both"/>
        <w:rPr>
          <w:rFonts w:ascii="Arial" w:hAnsi="Arial" w:cs="Arial"/>
          <w:sz w:val="20"/>
          <w:szCs w:val="20"/>
          <w:lang w:val="en-GB" w:eastAsia="hr-HR"/>
        </w:rPr>
      </w:pPr>
    </w:p>
    <w:p w14:paraId="0375923A"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32.</w:t>
      </w:r>
      <w:r w:rsidRPr="00587444">
        <w:rPr>
          <w:rFonts w:ascii="Arial" w:hAnsi="Arial" w:cs="Arial"/>
          <w:b/>
          <w:bCs/>
          <w:sz w:val="20"/>
          <w:szCs w:val="20"/>
          <w:lang w:val="en-GB"/>
        </w:rPr>
        <w:tab/>
        <w:t>Fair value of financial assets and financial liabilities</w:t>
      </w:r>
    </w:p>
    <w:p w14:paraId="50777524" w14:textId="77777777" w:rsidR="00587444" w:rsidRPr="00587444" w:rsidRDefault="00587444" w:rsidP="00587444">
      <w:pPr>
        <w:keepNext/>
        <w:suppressAutoHyphens w:val="0"/>
        <w:autoSpaceDN/>
        <w:ind w:left="709" w:hanging="709"/>
        <w:jc w:val="both"/>
        <w:rPr>
          <w:rFonts w:ascii="Arial" w:hAnsi="Arial" w:cs="Arial"/>
          <w:bCs/>
          <w:spacing w:val="-3"/>
          <w:sz w:val="16"/>
          <w:szCs w:val="16"/>
          <w:lang w:val="en-GB"/>
        </w:rPr>
      </w:pPr>
    </w:p>
    <w:p w14:paraId="11D5B727" w14:textId="77777777" w:rsidR="00587444" w:rsidRPr="00587444" w:rsidRDefault="00587444" w:rsidP="00587444">
      <w:pPr>
        <w:keepNext/>
        <w:suppressAutoHyphens w:val="0"/>
        <w:autoSpaceDN/>
        <w:ind w:left="709" w:hanging="709"/>
        <w:jc w:val="both"/>
        <w:rPr>
          <w:rFonts w:ascii="Arial" w:hAnsi="Arial" w:cs="Arial"/>
          <w:bCs/>
          <w:spacing w:val="-3"/>
          <w:sz w:val="20"/>
          <w:szCs w:val="20"/>
          <w:lang w:val="en-GB"/>
        </w:rPr>
      </w:pPr>
      <w:r w:rsidRPr="00587444">
        <w:rPr>
          <w:rFonts w:ascii="Arial" w:hAnsi="Arial" w:cs="Arial"/>
          <w:bCs/>
          <w:spacing w:val="-3"/>
          <w:sz w:val="20"/>
          <w:szCs w:val="20"/>
          <w:lang w:val="en-GB"/>
        </w:rPr>
        <w:t>The accounting policy on fair value measurements is discussed in Note 4.1.</w:t>
      </w:r>
    </w:p>
    <w:p w14:paraId="4EE01B2C" w14:textId="77777777" w:rsidR="00587444" w:rsidRPr="00587444" w:rsidRDefault="00587444" w:rsidP="00587444">
      <w:pPr>
        <w:keepNext/>
        <w:suppressAutoHyphens w:val="0"/>
        <w:autoSpaceDN/>
        <w:ind w:left="709" w:hanging="709"/>
        <w:jc w:val="both"/>
        <w:rPr>
          <w:rFonts w:ascii="Arial" w:hAnsi="Arial" w:cs="Arial"/>
          <w:bCs/>
          <w:spacing w:val="-3"/>
          <w:sz w:val="20"/>
          <w:szCs w:val="20"/>
          <w:lang w:val="en-GB"/>
        </w:rPr>
      </w:pPr>
    </w:p>
    <w:p w14:paraId="067F562F"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 xml:space="preserve">32.1. </w:t>
      </w:r>
      <w:r w:rsidRPr="00587444">
        <w:rPr>
          <w:rFonts w:ascii="Arial" w:hAnsi="Arial" w:cs="Arial"/>
          <w:b/>
          <w:bCs/>
          <w:spacing w:val="-3"/>
          <w:sz w:val="20"/>
          <w:szCs w:val="20"/>
          <w:lang w:val="en-GB"/>
        </w:rPr>
        <w:tab/>
        <w:t xml:space="preserve">Fair value of financial assets and financial liabilities initially recognized and measured at fair value </w:t>
      </w:r>
    </w:p>
    <w:p w14:paraId="5E19EB77" w14:textId="77777777" w:rsidR="00587444" w:rsidRPr="00587444" w:rsidRDefault="00587444" w:rsidP="00587444">
      <w:pPr>
        <w:keepNext/>
        <w:suppressAutoHyphens w:val="0"/>
        <w:autoSpaceDN/>
        <w:ind w:left="709" w:hanging="709"/>
        <w:jc w:val="both"/>
        <w:rPr>
          <w:rFonts w:ascii="Arial" w:hAnsi="Arial" w:cs="Arial"/>
          <w:bCs/>
          <w:spacing w:val="-3"/>
          <w:sz w:val="16"/>
          <w:szCs w:val="16"/>
          <w:lang w:val="en-GB"/>
        </w:rPr>
      </w:pPr>
    </w:p>
    <w:p w14:paraId="236B1C62" w14:textId="77777777" w:rsidR="00587444" w:rsidRPr="00587444" w:rsidRDefault="00587444" w:rsidP="00587444">
      <w:pPr>
        <w:keepNext/>
        <w:suppressAutoHyphens w:val="0"/>
        <w:autoSpaceDN/>
        <w:jc w:val="both"/>
        <w:rPr>
          <w:rFonts w:ascii="Arial" w:hAnsi="Arial" w:cs="Arial"/>
          <w:bCs/>
          <w:spacing w:val="-3"/>
          <w:sz w:val="20"/>
          <w:szCs w:val="20"/>
          <w:lang w:val="en-GB"/>
        </w:rPr>
      </w:pPr>
      <w:r w:rsidRPr="00587444">
        <w:rPr>
          <w:rFonts w:ascii="Arial" w:hAnsi="Arial" w:cs="Arial"/>
          <w:bCs/>
          <w:spacing w:val="-3"/>
          <w:sz w:val="20"/>
          <w:szCs w:val="20"/>
          <w:lang w:val="en-GB"/>
        </w:rPr>
        <w:t>Below is a breakdown of the financial assets at fair value based on IFRS 9 classification on 31 December 2022 and 31 December 2021.</w:t>
      </w:r>
    </w:p>
    <w:p w14:paraId="5F2CA182" w14:textId="77777777" w:rsidR="00587444" w:rsidRPr="00587444" w:rsidRDefault="00587444" w:rsidP="00587444">
      <w:pPr>
        <w:keepNext/>
        <w:suppressAutoHyphens w:val="0"/>
        <w:autoSpaceDN/>
        <w:jc w:val="both"/>
        <w:rPr>
          <w:rFonts w:ascii="Arial" w:hAnsi="Arial" w:cs="Arial"/>
          <w:bCs/>
          <w:spacing w:val="-3"/>
          <w:sz w:val="16"/>
          <w:szCs w:val="16"/>
          <w:lang w:val="en-GB"/>
        </w:rPr>
      </w:pPr>
    </w:p>
    <w:tbl>
      <w:tblPr>
        <w:tblW w:w="9468" w:type="dxa"/>
        <w:jc w:val="center"/>
        <w:tblLayout w:type="fixed"/>
        <w:tblCellMar>
          <w:left w:w="122" w:type="dxa"/>
          <w:right w:w="122" w:type="dxa"/>
        </w:tblCellMar>
        <w:tblLook w:val="0000" w:firstRow="0" w:lastRow="0" w:firstColumn="0" w:lastColumn="0" w:noHBand="0" w:noVBand="0"/>
      </w:tblPr>
      <w:tblGrid>
        <w:gridCol w:w="6066"/>
        <w:gridCol w:w="1134"/>
        <w:gridCol w:w="1134"/>
        <w:gridCol w:w="1134"/>
      </w:tblGrid>
      <w:tr w:rsidR="00587444" w:rsidRPr="00587444" w14:paraId="0AA4B8E0" w14:textId="77777777" w:rsidTr="00DD69E7">
        <w:trPr>
          <w:trHeight w:val="233"/>
          <w:jc w:val="center"/>
        </w:trPr>
        <w:tc>
          <w:tcPr>
            <w:tcW w:w="6066" w:type="dxa"/>
            <w:shd w:val="clear" w:color="auto" w:fill="auto"/>
          </w:tcPr>
          <w:p w14:paraId="4E3CE41F" w14:textId="77777777" w:rsidR="00587444" w:rsidRPr="00587444" w:rsidRDefault="00587444" w:rsidP="00587444">
            <w:pPr>
              <w:tabs>
                <w:tab w:val="right" w:pos="1202"/>
              </w:tabs>
              <w:suppressAutoHyphens w:val="0"/>
              <w:autoSpaceDN/>
              <w:outlineLvl w:val="0"/>
              <w:rPr>
                <w:rFonts w:ascii="Arial" w:hAnsi="Arial" w:cs="Arial"/>
                <w:sz w:val="17"/>
                <w:szCs w:val="17"/>
              </w:rPr>
            </w:pPr>
            <w:bookmarkStart w:id="1362" w:name="_Toc4062935"/>
            <w:r w:rsidRPr="00587444">
              <w:rPr>
                <w:rFonts w:ascii="Arial" w:hAnsi="Arial" w:cs="Arial"/>
                <w:b/>
                <w:sz w:val="17"/>
                <w:szCs w:val="17"/>
              </w:rPr>
              <w:t>Group</w:t>
            </w:r>
            <w:bookmarkEnd w:id="1362"/>
          </w:p>
        </w:tc>
        <w:tc>
          <w:tcPr>
            <w:tcW w:w="3402" w:type="dxa"/>
            <w:gridSpan w:val="3"/>
          </w:tcPr>
          <w:p w14:paraId="110868AF"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rPr>
            </w:pPr>
            <w:bookmarkStart w:id="1363" w:name="_Toc4062936"/>
            <w:r w:rsidRPr="00587444">
              <w:rPr>
                <w:rFonts w:ascii="Arial" w:hAnsi="Arial" w:cs="Arial"/>
                <w:b/>
                <w:bCs/>
                <w:sz w:val="17"/>
                <w:szCs w:val="17"/>
              </w:rPr>
              <w:t xml:space="preserve">31 December </w:t>
            </w:r>
            <w:bookmarkEnd w:id="1363"/>
            <w:r w:rsidRPr="00587444">
              <w:rPr>
                <w:rFonts w:ascii="Arial" w:hAnsi="Arial" w:cs="Arial"/>
                <w:b/>
                <w:bCs/>
                <w:sz w:val="17"/>
                <w:szCs w:val="17"/>
              </w:rPr>
              <w:t>2022</w:t>
            </w:r>
          </w:p>
        </w:tc>
      </w:tr>
      <w:tr w:rsidR="00587444" w:rsidRPr="00587444" w14:paraId="75027244" w14:textId="77777777" w:rsidTr="00DD69E7">
        <w:trPr>
          <w:trHeight w:val="238"/>
          <w:jc w:val="center"/>
        </w:trPr>
        <w:tc>
          <w:tcPr>
            <w:tcW w:w="6066" w:type="dxa"/>
            <w:shd w:val="clear" w:color="auto" w:fill="auto"/>
            <w:vAlign w:val="bottom"/>
          </w:tcPr>
          <w:p w14:paraId="6C551ECC"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p>
        </w:tc>
        <w:tc>
          <w:tcPr>
            <w:tcW w:w="1134" w:type="dxa"/>
            <w:shd w:val="clear" w:color="auto" w:fill="auto"/>
            <w:vAlign w:val="bottom"/>
          </w:tcPr>
          <w:p w14:paraId="188B6582"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364" w:name="_Toc4062937"/>
            <w:r w:rsidRPr="00587444">
              <w:rPr>
                <w:rFonts w:ascii="Arial" w:hAnsi="Arial" w:cs="Arial"/>
                <w:b/>
                <w:spacing w:val="-2"/>
                <w:sz w:val="17"/>
                <w:szCs w:val="17"/>
              </w:rPr>
              <w:t>Level 1</w:t>
            </w:r>
            <w:bookmarkEnd w:id="1364"/>
          </w:p>
        </w:tc>
        <w:tc>
          <w:tcPr>
            <w:tcW w:w="1134" w:type="dxa"/>
            <w:shd w:val="clear" w:color="auto" w:fill="auto"/>
            <w:vAlign w:val="bottom"/>
          </w:tcPr>
          <w:p w14:paraId="36C1E732"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365" w:name="_Toc4062938"/>
            <w:r w:rsidRPr="00587444">
              <w:rPr>
                <w:rFonts w:ascii="Arial" w:hAnsi="Arial" w:cs="Arial"/>
                <w:b/>
                <w:spacing w:val="-2"/>
                <w:sz w:val="17"/>
                <w:szCs w:val="17"/>
              </w:rPr>
              <w:t>Level 2</w:t>
            </w:r>
            <w:bookmarkEnd w:id="1365"/>
          </w:p>
        </w:tc>
        <w:tc>
          <w:tcPr>
            <w:tcW w:w="1134" w:type="dxa"/>
            <w:shd w:val="clear" w:color="auto" w:fill="auto"/>
            <w:vAlign w:val="bottom"/>
          </w:tcPr>
          <w:p w14:paraId="47CF4121"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366" w:name="_Toc4062939"/>
            <w:r w:rsidRPr="00587444">
              <w:rPr>
                <w:rFonts w:ascii="Arial" w:hAnsi="Arial" w:cs="Arial"/>
                <w:b/>
                <w:spacing w:val="-2"/>
                <w:sz w:val="17"/>
                <w:szCs w:val="17"/>
              </w:rPr>
              <w:t>Level 3</w:t>
            </w:r>
            <w:bookmarkEnd w:id="1366"/>
          </w:p>
        </w:tc>
      </w:tr>
      <w:tr w:rsidR="00587444" w:rsidRPr="00587444" w14:paraId="1A460986" w14:textId="77777777" w:rsidTr="00DD69E7">
        <w:trPr>
          <w:trHeight w:hRule="exact" w:val="205"/>
          <w:jc w:val="center"/>
        </w:trPr>
        <w:tc>
          <w:tcPr>
            <w:tcW w:w="6066" w:type="dxa"/>
            <w:shd w:val="clear" w:color="auto" w:fill="auto"/>
            <w:vAlign w:val="bottom"/>
          </w:tcPr>
          <w:p w14:paraId="79E68E64"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p>
        </w:tc>
        <w:tc>
          <w:tcPr>
            <w:tcW w:w="1134" w:type="dxa"/>
            <w:shd w:val="clear" w:color="auto" w:fill="auto"/>
            <w:vAlign w:val="bottom"/>
          </w:tcPr>
          <w:p w14:paraId="1CF17D8E"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367" w:name="_Toc4062940"/>
            <w:r w:rsidRPr="00587444">
              <w:rPr>
                <w:rFonts w:ascii="Arial" w:hAnsi="Arial" w:cs="Arial"/>
                <w:b/>
                <w:spacing w:val="-2"/>
                <w:sz w:val="17"/>
                <w:szCs w:val="17"/>
              </w:rPr>
              <w:t>HRK ‘000</w:t>
            </w:r>
            <w:bookmarkEnd w:id="1367"/>
          </w:p>
        </w:tc>
        <w:tc>
          <w:tcPr>
            <w:tcW w:w="1134" w:type="dxa"/>
            <w:shd w:val="clear" w:color="auto" w:fill="auto"/>
            <w:vAlign w:val="bottom"/>
          </w:tcPr>
          <w:p w14:paraId="776A615C"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368" w:name="_Toc4062941"/>
            <w:r w:rsidRPr="00587444">
              <w:rPr>
                <w:rFonts w:ascii="Arial" w:hAnsi="Arial" w:cs="Arial"/>
                <w:b/>
                <w:spacing w:val="-2"/>
                <w:sz w:val="17"/>
                <w:szCs w:val="17"/>
              </w:rPr>
              <w:t>HRK ‘000</w:t>
            </w:r>
            <w:bookmarkEnd w:id="1368"/>
          </w:p>
        </w:tc>
        <w:tc>
          <w:tcPr>
            <w:tcW w:w="1134" w:type="dxa"/>
            <w:shd w:val="clear" w:color="auto" w:fill="auto"/>
            <w:vAlign w:val="bottom"/>
          </w:tcPr>
          <w:p w14:paraId="47261024"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369" w:name="_Toc4062942"/>
            <w:r w:rsidRPr="00587444">
              <w:rPr>
                <w:rFonts w:ascii="Arial" w:hAnsi="Arial" w:cs="Arial"/>
                <w:b/>
                <w:spacing w:val="-2"/>
                <w:sz w:val="17"/>
                <w:szCs w:val="17"/>
              </w:rPr>
              <w:t>HRK ‘000</w:t>
            </w:r>
            <w:bookmarkEnd w:id="1369"/>
          </w:p>
        </w:tc>
      </w:tr>
      <w:tr w:rsidR="00587444" w:rsidRPr="00587444" w14:paraId="15238761" w14:textId="77777777" w:rsidTr="00DD69E7">
        <w:trPr>
          <w:trHeight w:val="232"/>
          <w:jc w:val="center"/>
        </w:trPr>
        <w:tc>
          <w:tcPr>
            <w:tcW w:w="6066" w:type="dxa"/>
            <w:vAlign w:val="bottom"/>
          </w:tcPr>
          <w:p w14:paraId="0BE8285C" w14:textId="77777777" w:rsidR="00587444" w:rsidRPr="00587444" w:rsidRDefault="00587444" w:rsidP="00587444">
            <w:pPr>
              <w:tabs>
                <w:tab w:val="right" w:pos="1202"/>
              </w:tabs>
              <w:suppressAutoHyphens w:val="0"/>
              <w:autoSpaceDN/>
              <w:outlineLvl w:val="0"/>
              <w:rPr>
                <w:rFonts w:ascii="Arial" w:hAnsi="Arial" w:cs="Arial"/>
                <w:spacing w:val="-2"/>
                <w:sz w:val="17"/>
                <w:szCs w:val="17"/>
                <w:highlight w:val="yellow"/>
              </w:rPr>
            </w:pPr>
            <w:bookmarkStart w:id="1370" w:name="_Toc4062943"/>
            <w:r w:rsidRPr="00587444">
              <w:rPr>
                <w:rFonts w:ascii="Arial" w:hAnsi="Arial" w:cs="Arial"/>
                <w:b/>
                <w:sz w:val="17"/>
                <w:szCs w:val="17"/>
              </w:rPr>
              <w:t>Financial assets at fair value through profit or loss:</w:t>
            </w:r>
            <w:bookmarkEnd w:id="1370"/>
          </w:p>
        </w:tc>
        <w:tc>
          <w:tcPr>
            <w:tcW w:w="1134" w:type="dxa"/>
            <w:vAlign w:val="bottom"/>
          </w:tcPr>
          <w:p w14:paraId="6460FA42"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776D8F96"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412A76FC"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p>
        </w:tc>
      </w:tr>
      <w:tr w:rsidR="00587444" w:rsidRPr="00587444" w14:paraId="3E05B4B0" w14:textId="77777777" w:rsidTr="00DD69E7">
        <w:trPr>
          <w:trHeight w:val="230"/>
          <w:jc w:val="center"/>
        </w:trPr>
        <w:tc>
          <w:tcPr>
            <w:tcW w:w="6066" w:type="dxa"/>
            <w:vAlign w:val="bottom"/>
          </w:tcPr>
          <w:p w14:paraId="0F0D41F3" w14:textId="77777777" w:rsidR="00587444" w:rsidRPr="00587444" w:rsidRDefault="00587444" w:rsidP="00587444">
            <w:pPr>
              <w:tabs>
                <w:tab w:val="right" w:pos="1202"/>
              </w:tabs>
              <w:suppressAutoHyphens w:val="0"/>
              <w:autoSpaceDN/>
              <w:outlineLvl w:val="0"/>
              <w:rPr>
                <w:rFonts w:ascii="Arial" w:hAnsi="Arial" w:cs="Arial"/>
                <w:b/>
                <w:i/>
                <w:sz w:val="17"/>
                <w:szCs w:val="17"/>
                <w:highlight w:val="yellow"/>
              </w:rPr>
            </w:pPr>
            <w:bookmarkStart w:id="1371" w:name="_Toc4062944"/>
            <w:r w:rsidRPr="00587444">
              <w:rPr>
                <w:rFonts w:ascii="Arial" w:hAnsi="Arial" w:cs="Arial"/>
                <w:b/>
                <w:i/>
                <w:sz w:val="17"/>
                <w:szCs w:val="17"/>
              </w:rPr>
              <w:t>Loans at FVPL:</w:t>
            </w:r>
            <w:bookmarkEnd w:id="1371"/>
          </w:p>
        </w:tc>
        <w:tc>
          <w:tcPr>
            <w:tcW w:w="1134" w:type="dxa"/>
            <w:tcBorders>
              <w:top w:val="nil"/>
              <w:left w:val="nil"/>
              <w:right w:val="nil"/>
            </w:tcBorders>
            <w:shd w:val="clear" w:color="auto" w:fill="auto"/>
            <w:vAlign w:val="bottom"/>
          </w:tcPr>
          <w:p w14:paraId="0AA7B31D"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5E8F1CFA"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33577A90"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r>
      <w:tr w:rsidR="00587444" w:rsidRPr="00587444" w14:paraId="3E32604C" w14:textId="77777777" w:rsidTr="00DD69E7">
        <w:trPr>
          <w:trHeight w:val="230"/>
          <w:jc w:val="center"/>
        </w:trPr>
        <w:tc>
          <w:tcPr>
            <w:tcW w:w="6066" w:type="dxa"/>
            <w:vAlign w:val="bottom"/>
          </w:tcPr>
          <w:p w14:paraId="7BF19DA0"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bookmarkStart w:id="1372" w:name="_Toc4062945"/>
            <w:r w:rsidRPr="00587444">
              <w:rPr>
                <w:rFonts w:ascii="Arial" w:hAnsi="Arial" w:cs="Arial"/>
                <w:sz w:val="17"/>
                <w:szCs w:val="17"/>
              </w:rPr>
              <w:t>Mezzanine loans</w:t>
            </w:r>
            <w:bookmarkEnd w:id="1372"/>
          </w:p>
        </w:tc>
        <w:tc>
          <w:tcPr>
            <w:tcW w:w="1134" w:type="dxa"/>
            <w:tcBorders>
              <w:top w:val="nil"/>
              <w:left w:val="nil"/>
              <w:right w:val="nil"/>
            </w:tcBorders>
            <w:shd w:val="clear" w:color="auto" w:fill="auto"/>
            <w:vAlign w:val="bottom"/>
          </w:tcPr>
          <w:p w14:paraId="7F38ED38"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45F18557"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5D952828"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22,831</w:t>
            </w:r>
          </w:p>
        </w:tc>
      </w:tr>
      <w:tr w:rsidR="00587444" w:rsidRPr="00587444" w14:paraId="47F0AE0C" w14:textId="77777777" w:rsidTr="00DD69E7">
        <w:trPr>
          <w:trHeight w:val="230"/>
          <w:jc w:val="center"/>
        </w:trPr>
        <w:tc>
          <w:tcPr>
            <w:tcW w:w="6066" w:type="dxa"/>
            <w:vAlign w:val="bottom"/>
          </w:tcPr>
          <w:p w14:paraId="2DA50E50" w14:textId="77777777" w:rsidR="00587444" w:rsidRPr="00587444" w:rsidRDefault="00587444" w:rsidP="00587444">
            <w:pPr>
              <w:tabs>
                <w:tab w:val="right" w:pos="1202"/>
              </w:tabs>
              <w:suppressAutoHyphens w:val="0"/>
              <w:autoSpaceDN/>
              <w:outlineLvl w:val="0"/>
              <w:rPr>
                <w:rFonts w:ascii="Arial" w:hAnsi="Arial" w:cs="Arial"/>
                <w:b/>
                <w:i/>
                <w:sz w:val="17"/>
                <w:szCs w:val="17"/>
                <w:highlight w:val="yellow"/>
              </w:rPr>
            </w:pPr>
            <w:bookmarkStart w:id="1373" w:name="_Toc4062949"/>
            <w:r w:rsidRPr="00587444">
              <w:rPr>
                <w:rFonts w:ascii="Arial" w:hAnsi="Arial" w:cs="Arial"/>
                <w:b/>
                <w:i/>
                <w:sz w:val="17"/>
                <w:szCs w:val="17"/>
              </w:rPr>
              <w:t>Investments in investment funds:</w:t>
            </w:r>
            <w:bookmarkEnd w:id="1373"/>
          </w:p>
        </w:tc>
        <w:tc>
          <w:tcPr>
            <w:tcW w:w="1134" w:type="dxa"/>
            <w:tcBorders>
              <w:top w:val="nil"/>
              <w:left w:val="nil"/>
              <w:right w:val="nil"/>
            </w:tcBorders>
            <w:shd w:val="clear" w:color="auto" w:fill="auto"/>
            <w:vAlign w:val="bottom"/>
          </w:tcPr>
          <w:p w14:paraId="3022F093"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47740541"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48FA5DE3"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587444" w:rsidRPr="00587444" w14:paraId="19420FD7" w14:textId="77777777" w:rsidTr="00DD69E7">
        <w:trPr>
          <w:trHeight w:val="230"/>
          <w:jc w:val="center"/>
        </w:trPr>
        <w:tc>
          <w:tcPr>
            <w:tcW w:w="6066" w:type="dxa"/>
            <w:vAlign w:val="bottom"/>
          </w:tcPr>
          <w:p w14:paraId="7751E15E" w14:textId="77777777" w:rsidR="00587444" w:rsidRPr="00587444" w:rsidRDefault="00587444" w:rsidP="00587444">
            <w:pPr>
              <w:tabs>
                <w:tab w:val="right" w:pos="1202"/>
              </w:tabs>
              <w:suppressAutoHyphens w:val="0"/>
              <w:autoSpaceDN/>
              <w:outlineLvl w:val="0"/>
              <w:rPr>
                <w:rFonts w:ascii="Arial" w:hAnsi="Arial" w:cs="Arial"/>
                <w:b/>
                <w:i/>
                <w:sz w:val="17"/>
                <w:szCs w:val="17"/>
                <w:highlight w:val="yellow"/>
              </w:rPr>
            </w:pPr>
            <w:bookmarkStart w:id="1374" w:name="_Toc4062950"/>
            <w:r w:rsidRPr="00587444">
              <w:rPr>
                <w:rFonts w:ascii="Arial" w:hAnsi="Arial" w:cs="Arial"/>
                <w:sz w:val="17"/>
                <w:szCs w:val="17"/>
              </w:rPr>
              <w:t>Investments in investment funds at fair value through profit or loss</w:t>
            </w:r>
            <w:bookmarkEnd w:id="1374"/>
          </w:p>
        </w:tc>
        <w:tc>
          <w:tcPr>
            <w:tcW w:w="1134" w:type="dxa"/>
            <w:tcBorders>
              <w:top w:val="nil"/>
              <w:left w:val="nil"/>
              <w:right w:val="nil"/>
            </w:tcBorders>
            <w:shd w:val="clear" w:color="auto" w:fill="auto"/>
            <w:vAlign w:val="bottom"/>
          </w:tcPr>
          <w:p w14:paraId="1B3FB947"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pacing w:val="-2"/>
                <w:sz w:val="17"/>
                <w:szCs w:val="17"/>
                <w:lang w:val="hr-HR"/>
              </w:rPr>
              <w:t>107,303</w:t>
            </w:r>
          </w:p>
        </w:tc>
        <w:tc>
          <w:tcPr>
            <w:tcW w:w="1134" w:type="dxa"/>
            <w:tcBorders>
              <w:top w:val="nil"/>
              <w:left w:val="nil"/>
              <w:right w:val="nil"/>
            </w:tcBorders>
            <w:shd w:val="clear" w:color="auto" w:fill="auto"/>
            <w:vAlign w:val="bottom"/>
          </w:tcPr>
          <w:p w14:paraId="76B3A272"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pacing w:val="-2"/>
                <w:sz w:val="17"/>
                <w:szCs w:val="17"/>
                <w:lang w:val="hr-HR"/>
              </w:rPr>
              <w:t>-</w:t>
            </w:r>
          </w:p>
        </w:tc>
        <w:tc>
          <w:tcPr>
            <w:tcW w:w="1134" w:type="dxa"/>
            <w:tcBorders>
              <w:top w:val="nil"/>
              <w:left w:val="nil"/>
              <w:right w:val="nil"/>
            </w:tcBorders>
            <w:shd w:val="clear" w:color="auto" w:fill="auto"/>
            <w:vAlign w:val="bottom"/>
          </w:tcPr>
          <w:p w14:paraId="646BDE75"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pacing w:val="-2"/>
                <w:sz w:val="17"/>
                <w:szCs w:val="17"/>
                <w:lang w:val="hr-HR"/>
              </w:rPr>
              <w:t>-</w:t>
            </w:r>
          </w:p>
        </w:tc>
      </w:tr>
      <w:tr w:rsidR="00587444" w:rsidRPr="00587444" w14:paraId="630D90EF" w14:textId="77777777" w:rsidTr="00DD69E7">
        <w:trPr>
          <w:trHeight w:val="195"/>
          <w:jc w:val="center"/>
        </w:trPr>
        <w:tc>
          <w:tcPr>
            <w:tcW w:w="6066" w:type="dxa"/>
            <w:vAlign w:val="bottom"/>
          </w:tcPr>
          <w:p w14:paraId="16665CB6" w14:textId="77777777" w:rsidR="00587444" w:rsidRPr="00587444" w:rsidRDefault="00587444" w:rsidP="00587444">
            <w:pPr>
              <w:tabs>
                <w:tab w:val="right" w:pos="1202"/>
              </w:tabs>
              <w:suppressAutoHyphens w:val="0"/>
              <w:autoSpaceDN/>
              <w:outlineLvl w:val="0"/>
              <w:rPr>
                <w:rFonts w:ascii="Arial" w:hAnsi="Arial" w:cs="Arial"/>
                <w:b/>
                <w:sz w:val="17"/>
                <w:szCs w:val="17"/>
                <w:highlight w:val="yellow"/>
              </w:rPr>
            </w:pPr>
            <w:bookmarkStart w:id="1375" w:name="_Toc4062954"/>
            <w:r w:rsidRPr="00587444">
              <w:rPr>
                <w:rFonts w:ascii="Arial" w:hAnsi="Arial" w:cs="Arial"/>
                <w:b/>
                <w:sz w:val="17"/>
                <w:szCs w:val="17"/>
              </w:rPr>
              <w:t>Equity instruments:</w:t>
            </w:r>
            <w:bookmarkEnd w:id="1375"/>
          </w:p>
          <w:p w14:paraId="6FFF6F08" w14:textId="77777777" w:rsidR="00587444" w:rsidRPr="00587444" w:rsidRDefault="00587444" w:rsidP="00587444">
            <w:pPr>
              <w:tabs>
                <w:tab w:val="right" w:pos="1202"/>
              </w:tabs>
              <w:suppressAutoHyphens w:val="0"/>
              <w:autoSpaceDN/>
              <w:outlineLvl w:val="0"/>
              <w:rPr>
                <w:rFonts w:ascii="Arial" w:hAnsi="Arial" w:cs="Arial"/>
                <w:b/>
                <w:i/>
                <w:spacing w:val="-2"/>
                <w:sz w:val="17"/>
                <w:szCs w:val="17"/>
              </w:rPr>
            </w:pPr>
            <w:bookmarkStart w:id="1376" w:name="_Toc4062955"/>
            <w:r w:rsidRPr="00587444">
              <w:rPr>
                <w:rFonts w:ascii="Arial" w:hAnsi="Arial" w:cs="Arial"/>
                <w:b/>
                <w:i/>
                <w:spacing w:val="-2"/>
                <w:sz w:val="17"/>
                <w:szCs w:val="17"/>
              </w:rPr>
              <w:t>Listed equity instruments:</w:t>
            </w:r>
            <w:bookmarkEnd w:id="1376"/>
          </w:p>
          <w:p w14:paraId="35537999"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bookmarkStart w:id="1377" w:name="_Toc4062956"/>
            <w:r w:rsidRPr="00587444">
              <w:rPr>
                <w:rFonts w:ascii="Arial" w:hAnsi="Arial" w:cs="Arial"/>
                <w:sz w:val="17"/>
                <w:szCs w:val="17"/>
              </w:rPr>
              <w:t>Investments in corporate shares</w:t>
            </w:r>
            <w:bookmarkEnd w:id="1377"/>
          </w:p>
        </w:tc>
        <w:tc>
          <w:tcPr>
            <w:tcW w:w="1134" w:type="dxa"/>
            <w:tcBorders>
              <w:top w:val="nil"/>
              <w:left w:val="nil"/>
              <w:right w:val="nil"/>
            </w:tcBorders>
            <w:shd w:val="clear" w:color="auto" w:fill="auto"/>
            <w:vAlign w:val="bottom"/>
          </w:tcPr>
          <w:p w14:paraId="5E6CA771"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0960711F"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53E06849"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587444" w:rsidRPr="00587444" w14:paraId="7F5BECD2" w14:textId="77777777" w:rsidTr="00DD69E7">
        <w:trPr>
          <w:trHeight w:val="195"/>
          <w:jc w:val="center"/>
        </w:trPr>
        <w:tc>
          <w:tcPr>
            <w:tcW w:w="6066" w:type="dxa"/>
            <w:vAlign w:val="bottom"/>
          </w:tcPr>
          <w:p w14:paraId="1A7E078E"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bookmarkStart w:id="1378" w:name="_Toc4062960"/>
            <w:r w:rsidRPr="00587444">
              <w:rPr>
                <w:rFonts w:ascii="Arial" w:hAnsi="Arial" w:cs="Arial"/>
                <w:b/>
                <w:i/>
                <w:spacing w:val="-2"/>
                <w:sz w:val="17"/>
                <w:szCs w:val="17"/>
              </w:rPr>
              <w:t>Unlisted equity instruments:</w:t>
            </w:r>
            <w:bookmarkEnd w:id="1378"/>
          </w:p>
        </w:tc>
        <w:tc>
          <w:tcPr>
            <w:tcW w:w="1134" w:type="dxa"/>
            <w:tcBorders>
              <w:left w:val="nil"/>
              <w:right w:val="nil"/>
            </w:tcBorders>
            <w:shd w:val="clear" w:color="auto" w:fill="auto"/>
            <w:vAlign w:val="bottom"/>
          </w:tcPr>
          <w:p w14:paraId="6FF4872F"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12F3038C"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0FDBD3E0"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587444" w:rsidRPr="00587444" w14:paraId="1F531BE4" w14:textId="77777777" w:rsidTr="00DD69E7">
        <w:trPr>
          <w:trHeight w:hRule="exact" w:val="230"/>
          <w:jc w:val="center"/>
        </w:trPr>
        <w:tc>
          <w:tcPr>
            <w:tcW w:w="6066" w:type="dxa"/>
            <w:shd w:val="clear" w:color="auto" w:fill="auto"/>
            <w:vAlign w:val="bottom"/>
          </w:tcPr>
          <w:p w14:paraId="04993A31" w14:textId="77777777" w:rsidR="00587444" w:rsidRPr="00587444" w:rsidRDefault="00587444" w:rsidP="00587444">
            <w:pPr>
              <w:tabs>
                <w:tab w:val="right" w:pos="1202"/>
              </w:tabs>
              <w:suppressAutoHyphens w:val="0"/>
              <w:autoSpaceDN/>
              <w:outlineLvl w:val="0"/>
              <w:rPr>
                <w:rFonts w:ascii="Arial" w:hAnsi="Arial" w:cs="Arial"/>
                <w:b/>
                <w:i/>
                <w:spacing w:val="-2"/>
                <w:sz w:val="17"/>
                <w:szCs w:val="17"/>
              </w:rPr>
            </w:pPr>
            <w:bookmarkStart w:id="1379" w:name="_Toc4062961"/>
            <w:r w:rsidRPr="00587444">
              <w:rPr>
                <w:rFonts w:ascii="Arial" w:hAnsi="Arial" w:cs="Arial"/>
                <w:sz w:val="17"/>
                <w:szCs w:val="17"/>
              </w:rPr>
              <w:t>Investments in corporate shares</w:t>
            </w:r>
            <w:bookmarkEnd w:id="1379"/>
          </w:p>
        </w:tc>
        <w:tc>
          <w:tcPr>
            <w:tcW w:w="1134" w:type="dxa"/>
            <w:tcBorders>
              <w:left w:val="nil"/>
              <w:right w:val="nil"/>
            </w:tcBorders>
            <w:shd w:val="clear" w:color="auto" w:fill="auto"/>
            <w:vAlign w:val="bottom"/>
          </w:tcPr>
          <w:p w14:paraId="055A0DB2"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6ACC195D"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32F5EB5D"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31</w:t>
            </w:r>
          </w:p>
        </w:tc>
      </w:tr>
      <w:tr w:rsidR="00587444" w:rsidRPr="00587444" w14:paraId="1805A30A" w14:textId="77777777" w:rsidTr="00DD69E7">
        <w:trPr>
          <w:trHeight w:hRule="exact" w:val="230"/>
          <w:jc w:val="center"/>
        </w:trPr>
        <w:tc>
          <w:tcPr>
            <w:tcW w:w="6066" w:type="dxa"/>
            <w:shd w:val="clear" w:color="auto" w:fill="auto"/>
            <w:vAlign w:val="bottom"/>
          </w:tcPr>
          <w:p w14:paraId="5261A9C8" w14:textId="77777777" w:rsidR="00587444" w:rsidRPr="00587444" w:rsidRDefault="00587444" w:rsidP="00587444">
            <w:pPr>
              <w:tabs>
                <w:tab w:val="right" w:pos="1202"/>
              </w:tabs>
              <w:suppressAutoHyphens w:val="0"/>
              <w:autoSpaceDN/>
              <w:outlineLvl w:val="0"/>
              <w:rPr>
                <w:rFonts w:ascii="Arial" w:hAnsi="Arial" w:cs="Arial"/>
                <w:sz w:val="17"/>
                <w:szCs w:val="17"/>
              </w:rPr>
            </w:pPr>
            <w:r w:rsidRPr="00587444">
              <w:rPr>
                <w:rFonts w:ascii="Arial" w:hAnsi="Arial" w:cs="Arial"/>
                <w:sz w:val="17"/>
                <w:szCs w:val="17"/>
              </w:rPr>
              <w:t>Depository receipt - DR</w:t>
            </w:r>
          </w:p>
        </w:tc>
        <w:tc>
          <w:tcPr>
            <w:tcW w:w="1134" w:type="dxa"/>
            <w:tcBorders>
              <w:left w:val="nil"/>
              <w:right w:val="nil"/>
            </w:tcBorders>
            <w:shd w:val="clear" w:color="auto" w:fill="auto"/>
            <w:vAlign w:val="bottom"/>
          </w:tcPr>
          <w:p w14:paraId="07BB4117"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35BCC441"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25C1D498"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319</w:t>
            </w:r>
          </w:p>
        </w:tc>
      </w:tr>
      <w:tr w:rsidR="00587444" w:rsidRPr="00587444" w14:paraId="1C35B96C" w14:textId="77777777" w:rsidTr="00DD69E7">
        <w:trPr>
          <w:trHeight w:hRule="exact" w:val="230"/>
          <w:jc w:val="center"/>
        </w:trPr>
        <w:tc>
          <w:tcPr>
            <w:tcW w:w="6066" w:type="dxa"/>
            <w:shd w:val="clear" w:color="auto" w:fill="auto"/>
            <w:vAlign w:val="bottom"/>
          </w:tcPr>
          <w:p w14:paraId="2B4C659D" w14:textId="77777777" w:rsidR="00587444" w:rsidRPr="00587444" w:rsidRDefault="00587444" w:rsidP="00587444">
            <w:pPr>
              <w:tabs>
                <w:tab w:val="right" w:pos="1202"/>
              </w:tabs>
              <w:suppressAutoHyphens w:val="0"/>
              <w:autoSpaceDN/>
              <w:outlineLvl w:val="0"/>
              <w:rPr>
                <w:rFonts w:ascii="Arial" w:hAnsi="Arial" w:cs="Arial"/>
                <w:b/>
                <w:bCs/>
                <w:sz w:val="17"/>
                <w:szCs w:val="17"/>
              </w:rPr>
            </w:pPr>
            <w:r w:rsidRPr="00587444">
              <w:rPr>
                <w:rFonts w:ascii="Arial" w:hAnsi="Arial" w:cs="Arial"/>
                <w:b/>
                <w:bCs/>
                <w:sz w:val="17"/>
                <w:szCs w:val="17"/>
              </w:rPr>
              <w:t>Derivative financial assets-positive fair value</w:t>
            </w:r>
          </w:p>
        </w:tc>
        <w:tc>
          <w:tcPr>
            <w:tcW w:w="1134" w:type="dxa"/>
            <w:tcBorders>
              <w:left w:val="nil"/>
              <w:right w:val="nil"/>
            </w:tcBorders>
            <w:shd w:val="clear" w:color="auto" w:fill="auto"/>
            <w:vAlign w:val="bottom"/>
          </w:tcPr>
          <w:p w14:paraId="2CE30D9B"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1D8DB76C"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60C261FB"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587444" w:rsidRPr="00587444" w14:paraId="2A1ED7E6" w14:textId="77777777" w:rsidTr="00DD69E7">
        <w:trPr>
          <w:trHeight w:hRule="exact" w:val="230"/>
          <w:jc w:val="center"/>
        </w:trPr>
        <w:tc>
          <w:tcPr>
            <w:tcW w:w="6066" w:type="dxa"/>
            <w:shd w:val="clear" w:color="auto" w:fill="auto"/>
            <w:vAlign w:val="bottom"/>
          </w:tcPr>
          <w:p w14:paraId="5417128A" w14:textId="77777777" w:rsidR="00587444" w:rsidRPr="00587444" w:rsidRDefault="00587444" w:rsidP="00587444">
            <w:pPr>
              <w:tabs>
                <w:tab w:val="right" w:pos="1202"/>
              </w:tabs>
              <w:suppressAutoHyphens w:val="0"/>
              <w:autoSpaceDN/>
              <w:outlineLvl w:val="0"/>
              <w:rPr>
                <w:rFonts w:ascii="Arial" w:hAnsi="Arial" w:cs="Arial"/>
                <w:sz w:val="17"/>
                <w:szCs w:val="17"/>
              </w:rPr>
            </w:pPr>
            <w:r w:rsidRPr="00587444">
              <w:rPr>
                <w:rFonts w:ascii="Arial" w:hAnsi="Arial" w:cs="Arial"/>
                <w:sz w:val="17"/>
                <w:szCs w:val="17"/>
              </w:rPr>
              <w:t>FX swap</w:t>
            </w:r>
          </w:p>
        </w:tc>
        <w:tc>
          <w:tcPr>
            <w:tcW w:w="1134" w:type="dxa"/>
            <w:tcBorders>
              <w:left w:val="nil"/>
              <w:right w:val="nil"/>
            </w:tcBorders>
            <w:shd w:val="clear" w:color="auto" w:fill="auto"/>
            <w:vAlign w:val="bottom"/>
          </w:tcPr>
          <w:p w14:paraId="142F1BB7"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6E46FE50"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1,039</w:t>
            </w:r>
          </w:p>
        </w:tc>
        <w:tc>
          <w:tcPr>
            <w:tcW w:w="1134" w:type="dxa"/>
            <w:tcBorders>
              <w:top w:val="nil"/>
              <w:left w:val="nil"/>
              <w:right w:val="nil"/>
            </w:tcBorders>
            <w:shd w:val="clear" w:color="auto" w:fill="auto"/>
            <w:vAlign w:val="bottom"/>
          </w:tcPr>
          <w:p w14:paraId="3497442A"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r>
      <w:tr w:rsidR="00587444" w:rsidRPr="00587444" w14:paraId="53398889" w14:textId="77777777" w:rsidTr="00DD69E7">
        <w:trPr>
          <w:trHeight w:val="254"/>
          <w:jc w:val="center"/>
        </w:trPr>
        <w:tc>
          <w:tcPr>
            <w:tcW w:w="6066" w:type="dxa"/>
            <w:vAlign w:val="bottom"/>
          </w:tcPr>
          <w:p w14:paraId="7C4D67D2"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bookmarkStart w:id="1380" w:name="_Toc4062969"/>
            <w:r w:rsidRPr="00587444">
              <w:rPr>
                <w:rFonts w:ascii="Arial" w:hAnsi="Arial" w:cs="Arial"/>
                <w:b/>
                <w:sz w:val="17"/>
                <w:szCs w:val="17"/>
              </w:rPr>
              <w:t>Total financial assets at fair value through profit or loss</w:t>
            </w:r>
            <w:bookmarkEnd w:id="1380"/>
          </w:p>
        </w:tc>
        <w:tc>
          <w:tcPr>
            <w:tcW w:w="1134" w:type="dxa"/>
            <w:tcBorders>
              <w:top w:val="single" w:sz="4" w:space="0" w:color="auto"/>
              <w:left w:val="nil"/>
              <w:bottom w:val="single" w:sz="12" w:space="0" w:color="auto"/>
              <w:right w:val="nil"/>
            </w:tcBorders>
            <w:shd w:val="clear" w:color="auto" w:fill="auto"/>
            <w:vAlign w:val="bottom"/>
          </w:tcPr>
          <w:p w14:paraId="4094D841"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eastAsia="Calibri" w:hAnsi="Arial" w:cs="Arial"/>
                <w:b/>
                <w:color w:val="000000"/>
                <w:sz w:val="17"/>
                <w:szCs w:val="17"/>
                <w:lang w:val="hr-HR"/>
              </w:rPr>
              <w:t>107,303</w:t>
            </w:r>
          </w:p>
        </w:tc>
        <w:tc>
          <w:tcPr>
            <w:tcW w:w="1134" w:type="dxa"/>
            <w:tcBorders>
              <w:top w:val="single" w:sz="4" w:space="0" w:color="auto"/>
              <w:left w:val="nil"/>
              <w:bottom w:val="single" w:sz="12" w:space="0" w:color="auto"/>
              <w:right w:val="nil"/>
            </w:tcBorders>
            <w:shd w:val="clear" w:color="auto" w:fill="auto"/>
            <w:vAlign w:val="bottom"/>
          </w:tcPr>
          <w:p w14:paraId="2938FDEC"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eastAsia="Calibri" w:hAnsi="Arial" w:cs="Arial"/>
                <w:b/>
                <w:color w:val="000000"/>
                <w:sz w:val="17"/>
                <w:szCs w:val="17"/>
                <w:lang w:val="hr-HR"/>
              </w:rPr>
              <w:t>1,039</w:t>
            </w:r>
          </w:p>
        </w:tc>
        <w:tc>
          <w:tcPr>
            <w:tcW w:w="1134" w:type="dxa"/>
            <w:tcBorders>
              <w:top w:val="single" w:sz="4" w:space="0" w:color="auto"/>
              <w:left w:val="nil"/>
              <w:bottom w:val="single" w:sz="12" w:space="0" w:color="auto"/>
              <w:right w:val="nil"/>
            </w:tcBorders>
            <w:shd w:val="clear" w:color="auto" w:fill="auto"/>
            <w:vAlign w:val="bottom"/>
          </w:tcPr>
          <w:p w14:paraId="0A720514"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eastAsia="Calibri" w:hAnsi="Arial" w:cs="Arial"/>
                <w:b/>
                <w:color w:val="000000"/>
                <w:sz w:val="17"/>
                <w:szCs w:val="17"/>
                <w:lang w:val="hr-HR"/>
              </w:rPr>
              <w:t>23,181</w:t>
            </w:r>
          </w:p>
        </w:tc>
      </w:tr>
      <w:tr w:rsidR="00587444" w:rsidRPr="00587444" w14:paraId="090F2DEB" w14:textId="77777777" w:rsidTr="00DD69E7">
        <w:trPr>
          <w:trHeight w:val="174"/>
          <w:jc w:val="center"/>
        </w:trPr>
        <w:tc>
          <w:tcPr>
            <w:tcW w:w="6066" w:type="dxa"/>
            <w:shd w:val="clear" w:color="auto" w:fill="auto"/>
            <w:vAlign w:val="bottom"/>
          </w:tcPr>
          <w:p w14:paraId="6137D96B" w14:textId="77777777" w:rsidR="00587444" w:rsidRPr="00587444" w:rsidRDefault="00587444" w:rsidP="00587444">
            <w:pPr>
              <w:tabs>
                <w:tab w:val="right" w:pos="1202"/>
              </w:tabs>
              <w:suppressAutoHyphens w:val="0"/>
              <w:autoSpaceDN/>
              <w:outlineLvl w:val="0"/>
              <w:rPr>
                <w:rFonts w:ascii="Arial" w:hAnsi="Arial" w:cs="Arial"/>
                <w:b/>
                <w:spacing w:val="-2"/>
                <w:sz w:val="17"/>
                <w:szCs w:val="17"/>
                <w:highlight w:val="yellow"/>
              </w:rPr>
            </w:pPr>
            <w:bookmarkStart w:id="1381" w:name="_Toc4062973"/>
            <w:r w:rsidRPr="00587444">
              <w:rPr>
                <w:rFonts w:ascii="Arial" w:hAnsi="Arial" w:cs="Arial"/>
                <w:b/>
                <w:spacing w:val="-2"/>
                <w:sz w:val="17"/>
                <w:szCs w:val="17"/>
              </w:rPr>
              <w:t>Financial assets at fair value through other comprehensive income:</w:t>
            </w:r>
            <w:bookmarkEnd w:id="1381"/>
          </w:p>
        </w:tc>
        <w:tc>
          <w:tcPr>
            <w:tcW w:w="1134" w:type="dxa"/>
            <w:vAlign w:val="bottom"/>
          </w:tcPr>
          <w:p w14:paraId="369CBC0F"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35E74B4A"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0540266F"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587444" w:rsidRPr="00587444" w14:paraId="6EF0CE07" w14:textId="77777777" w:rsidTr="00DD69E7">
        <w:trPr>
          <w:trHeight w:val="246"/>
          <w:jc w:val="center"/>
        </w:trPr>
        <w:tc>
          <w:tcPr>
            <w:tcW w:w="6066" w:type="dxa"/>
            <w:shd w:val="clear" w:color="auto" w:fill="auto"/>
            <w:vAlign w:val="bottom"/>
          </w:tcPr>
          <w:p w14:paraId="26614FB0" w14:textId="77777777" w:rsidR="00587444" w:rsidRPr="00587444" w:rsidRDefault="00587444" w:rsidP="00587444">
            <w:pPr>
              <w:tabs>
                <w:tab w:val="right" w:pos="1202"/>
              </w:tabs>
              <w:suppressAutoHyphens w:val="0"/>
              <w:autoSpaceDN/>
              <w:outlineLvl w:val="0"/>
              <w:rPr>
                <w:rFonts w:ascii="Arial" w:hAnsi="Arial" w:cs="Arial"/>
                <w:b/>
                <w:spacing w:val="-2"/>
                <w:sz w:val="17"/>
                <w:szCs w:val="17"/>
                <w:highlight w:val="yellow"/>
              </w:rPr>
            </w:pPr>
            <w:bookmarkStart w:id="1382" w:name="_Toc4062974"/>
            <w:r w:rsidRPr="00587444">
              <w:rPr>
                <w:rFonts w:ascii="Arial" w:hAnsi="Arial" w:cs="Arial"/>
                <w:b/>
                <w:spacing w:val="-2"/>
                <w:sz w:val="17"/>
                <w:szCs w:val="17"/>
              </w:rPr>
              <w:t>Debt instruments:</w:t>
            </w:r>
            <w:bookmarkEnd w:id="1382"/>
          </w:p>
        </w:tc>
        <w:tc>
          <w:tcPr>
            <w:tcW w:w="1134" w:type="dxa"/>
            <w:vAlign w:val="bottom"/>
          </w:tcPr>
          <w:p w14:paraId="7E3AD911"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32A661FB"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340996F4"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587444" w:rsidRPr="00587444" w14:paraId="6A01911A" w14:textId="77777777" w:rsidTr="00DD69E7">
        <w:trPr>
          <w:trHeight w:val="246"/>
          <w:jc w:val="center"/>
        </w:trPr>
        <w:tc>
          <w:tcPr>
            <w:tcW w:w="6066" w:type="dxa"/>
            <w:shd w:val="clear" w:color="auto" w:fill="auto"/>
            <w:vAlign w:val="bottom"/>
          </w:tcPr>
          <w:p w14:paraId="271CD602" w14:textId="77777777" w:rsidR="00587444" w:rsidRPr="00587444" w:rsidRDefault="00587444" w:rsidP="00587444">
            <w:pPr>
              <w:tabs>
                <w:tab w:val="right" w:pos="1202"/>
              </w:tabs>
              <w:suppressAutoHyphens w:val="0"/>
              <w:autoSpaceDN/>
              <w:outlineLvl w:val="0"/>
              <w:rPr>
                <w:rFonts w:ascii="Arial" w:hAnsi="Arial" w:cs="Arial"/>
                <w:b/>
                <w:i/>
                <w:spacing w:val="-2"/>
                <w:sz w:val="17"/>
                <w:szCs w:val="17"/>
                <w:highlight w:val="yellow"/>
              </w:rPr>
            </w:pPr>
            <w:bookmarkStart w:id="1383" w:name="_Toc4062975"/>
            <w:r w:rsidRPr="00587444">
              <w:rPr>
                <w:rFonts w:ascii="Arial" w:hAnsi="Arial" w:cs="Arial"/>
                <w:b/>
                <w:i/>
                <w:spacing w:val="-2"/>
                <w:sz w:val="17"/>
                <w:szCs w:val="17"/>
              </w:rPr>
              <w:t>Listed debt instruments:</w:t>
            </w:r>
            <w:bookmarkEnd w:id="1383"/>
          </w:p>
        </w:tc>
        <w:tc>
          <w:tcPr>
            <w:tcW w:w="1134" w:type="dxa"/>
            <w:vAlign w:val="bottom"/>
          </w:tcPr>
          <w:p w14:paraId="184AE11F"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0BAB264D"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3FE908C0"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587444" w:rsidRPr="00587444" w14:paraId="0AB690EB" w14:textId="77777777" w:rsidTr="00DD69E7">
        <w:trPr>
          <w:trHeight w:val="246"/>
          <w:jc w:val="center"/>
        </w:trPr>
        <w:tc>
          <w:tcPr>
            <w:tcW w:w="6066" w:type="dxa"/>
            <w:shd w:val="clear" w:color="auto" w:fill="auto"/>
            <w:vAlign w:val="bottom"/>
          </w:tcPr>
          <w:p w14:paraId="59288D1A"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bookmarkStart w:id="1384" w:name="_Toc4062976"/>
            <w:r w:rsidRPr="00587444">
              <w:rPr>
                <w:rFonts w:ascii="Arial" w:hAnsi="Arial" w:cs="Arial"/>
                <w:spacing w:val="-2"/>
                <w:sz w:val="17"/>
                <w:szCs w:val="17"/>
              </w:rPr>
              <w:t>Bonds of the Republic of Croatia</w:t>
            </w:r>
            <w:bookmarkEnd w:id="1384"/>
          </w:p>
        </w:tc>
        <w:tc>
          <w:tcPr>
            <w:tcW w:w="1134" w:type="dxa"/>
            <w:tcBorders>
              <w:top w:val="nil"/>
              <w:left w:val="nil"/>
              <w:bottom w:val="nil"/>
              <w:right w:val="nil"/>
            </w:tcBorders>
            <w:shd w:val="clear" w:color="auto" w:fill="auto"/>
            <w:vAlign w:val="bottom"/>
          </w:tcPr>
          <w:p w14:paraId="03BA058D"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pacing w:val="-2"/>
                <w:sz w:val="17"/>
                <w:szCs w:val="17"/>
                <w:lang w:val="hr-HR"/>
              </w:rPr>
              <w:t xml:space="preserve"> 1,333,611 </w:t>
            </w:r>
          </w:p>
        </w:tc>
        <w:tc>
          <w:tcPr>
            <w:tcW w:w="1134" w:type="dxa"/>
            <w:tcBorders>
              <w:top w:val="nil"/>
              <w:left w:val="nil"/>
              <w:bottom w:val="nil"/>
              <w:right w:val="nil"/>
            </w:tcBorders>
            <w:shd w:val="clear" w:color="auto" w:fill="auto"/>
            <w:vAlign w:val="bottom"/>
          </w:tcPr>
          <w:p w14:paraId="1273A34E"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pacing w:val="-2"/>
                <w:sz w:val="17"/>
                <w:szCs w:val="17"/>
                <w:lang w:val="hr-HR"/>
              </w:rPr>
              <w:t xml:space="preserve"> - </w:t>
            </w:r>
          </w:p>
        </w:tc>
        <w:tc>
          <w:tcPr>
            <w:tcW w:w="1134" w:type="dxa"/>
            <w:tcBorders>
              <w:top w:val="nil"/>
              <w:left w:val="nil"/>
              <w:bottom w:val="nil"/>
              <w:right w:val="nil"/>
            </w:tcBorders>
            <w:shd w:val="clear" w:color="auto" w:fill="auto"/>
            <w:vAlign w:val="bottom"/>
          </w:tcPr>
          <w:p w14:paraId="794C99D6"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pacing w:val="-2"/>
                <w:sz w:val="17"/>
                <w:szCs w:val="17"/>
                <w:lang w:val="hr-HR"/>
              </w:rPr>
              <w:t xml:space="preserve"> - </w:t>
            </w:r>
          </w:p>
        </w:tc>
      </w:tr>
      <w:tr w:rsidR="00587444" w:rsidRPr="00587444" w14:paraId="36BA3BEC" w14:textId="77777777" w:rsidTr="00DD69E7">
        <w:trPr>
          <w:trHeight w:val="246"/>
          <w:jc w:val="center"/>
        </w:trPr>
        <w:tc>
          <w:tcPr>
            <w:tcW w:w="6066" w:type="dxa"/>
            <w:shd w:val="clear" w:color="auto" w:fill="auto"/>
            <w:vAlign w:val="bottom"/>
          </w:tcPr>
          <w:p w14:paraId="18E249AF"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bookmarkStart w:id="1385" w:name="_Toc4062980"/>
            <w:r w:rsidRPr="00587444">
              <w:rPr>
                <w:rFonts w:ascii="Arial" w:hAnsi="Arial" w:cs="Arial"/>
                <w:spacing w:val="-2"/>
                <w:sz w:val="17"/>
                <w:szCs w:val="17"/>
              </w:rPr>
              <w:t>Corporate bonds</w:t>
            </w:r>
            <w:bookmarkEnd w:id="1385"/>
          </w:p>
        </w:tc>
        <w:tc>
          <w:tcPr>
            <w:tcW w:w="1134" w:type="dxa"/>
            <w:tcBorders>
              <w:top w:val="nil"/>
              <w:left w:val="nil"/>
              <w:bottom w:val="nil"/>
              <w:right w:val="nil"/>
            </w:tcBorders>
            <w:shd w:val="clear" w:color="auto" w:fill="auto"/>
            <w:vAlign w:val="bottom"/>
          </w:tcPr>
          <w:p w14:paraId="3C318EE6"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pacing w:val="-2"/>
                <w:sz w:val="17"/>
                <w:szCs w:val="17"/>
                <w:lang w:val="hr-HR"/>
              </w:rPr>
              <w:t xml:space="preserve"> 2,179 </w:t>
            </w:r>
          </w:p>
        </w:tc>
        <w:tc>
          <w:tcPr>
            <w:tcW w:w="1134" w:type="dxa"/>
            <w:tcBorders>
              <w:top w:val="nil"/>
              <w:left w:val="nil"/>
              <w:bottom w:val="nil"/>
              <w:right w:val="nil"/>
            </w:tcBorders>
            <w:shd w:val="clear" w:color="auto" w:fill="auto"/>
            <w:vAlign w:val="bottom"/>
          </w:tcPr>
          <w:p w14:paraId="5443DC9A"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pacing w:val="-2"/>
                <w:sz w:val="17"/>
                <w:szCs w:val="17"/>
                <w:lang w:val="hr-HR"/>
              </w:rPr>
              <w:t xml:space="preserve"> - </w:t>
            </w:r>
          </w:p>
        </w:tc>
        <w:tc>
          <w:tcPr>
            <w:tcW w:w="1134" w:type="dxa"/>
            <w:tcBorders>
              <w:top w:val="nil"/>
              <w:left w:val="nil"/>
              <w:bottom w:val="nil"/>
              <w:right w:val="nil"/>
            </w:tcBorders>
            <w:shd w:val="clear" w:color="auto" w:fill="auto"/>
            <w:vAlign w:val="bottom"/>
          </w:tcPr>
          <w:p w14:paraId="4A72F1FC"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pacing w:val="-2"/>
                <w:sz w:val="17"/>
                <w:szCs w:val="17"/>
                <w:lang w:val="hr-HR"/>
              </w:rPr>
              <w:t xml:space="preserve"> - </w:t>
            </w:r>
          </w:p>
        </w:tc>
      </w:tr>
      <w:tr w:rsidR="00587444" w:rsidRPr="00587444" w14:paraId="5E990ED6" w14:textId="77777777" w:rsidTr="00DD69E7">
        <w:trPr>
          <w:trHeight w:val="246"/>
          <w:jc w:val="center"/>
        </w:trPr>
        <w:tc>
          <w:tcPr>
            <w:tcW w:w="6066" w:type="dxa"/>
            <w:shd w:val="clear" w:color="auto" w:fill="auto"/>
            <w:vAlign w:val="bottom"/>
          </w:tcPr>
          <w:p w14:paraId="21998B60"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bookmarkStart w:id="1386" w:name="_Toc4062984"/>
            <w:r w:rsidRPr="00587444">
              <w:rPr>
                <w:rFonts w:ascii="Arial" w:hAnsi="Arial" w:cs="Arial"/>
                <w:spacing w:val="-2"/>
                <w:sz w:val="17"/>
                <w:szCs w:val="17"/>
              </w:rPr>
              <w:t>Treasury bills of the Ministry of Finance</w:t>
            </w:r>
            <w:bookmarkEnd w:id="1386"/>
            <w:r w:rsidRPr="00587444">
              <w:rPr>
                <w:rFonts w:ascii="Arial" w:hAnsi="Arial" w:cs="Arial"/>
                <w:spacing w:val="-2"/>
                <w:sz w:val="17"/>
                <w:szCs w:val="17"/>
              </w:rPr>
              <w:t xml:space="preserve"> </w:t>
            </w:r>
          </w:p>
        </w:tc>
        <w:tc>
          <w:tcPr>
            <w:tcW w:w="1134" w:type="dxa"/>
            <w:tcBorders>
              <w:top w:val="nil"/>
              <w:left w:val="nil"/>
              <w:bottom w:val="nil"/>
              <w:right w:val="nil"/>
            </w:tcBorders>
            <w:shd w:val="clear" w:color="auto" w:fill="auto"/>
            <w:vAlign w:val="bottom"/>
          </w:tcPr>
          <w:p w14:paraId="1A84B606"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pacing w:val="-2"/>
                <w:sz w:val="17"/>
                <w:szCs w:val="17"/>
                <w:lang w:val="hr-HR"/>
              </w:rPr>
              <w:t xml:space="preserve"> - </w:t>
            </w:r>
          </w:p>
        </w:tc>
        <w:tc>
          <w:tcPr>
            <w:tcW w:w="1134" w:type="dxa"/>
            <w:tcBorders>
              <w:top w:val="nil"/>
              <w:left w:val="nil"/>
              <w:bottom w:val="nil"/>
              <w:right w:val="nil"/>
            </w:tcBorders>
            <w:shd w:val="clear" w:color="auto" w:fill="auto"/>
            <w:vAlign w:val="bottom"/>
          </w:tcPr>
          <w:p w14:paraId="7047B6FA"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pacing w:val="-2"/>
                <w:sz w:val="17"/>
                <w:szCs w:val="17"/>
                <w:lang w:val="hr-HR"/>
              </w:rPr>
              <w:t xml:space="preserve"> 1,281,368 </w:t>
            </w:r>
          </w:p>
        </w:tc>
        <w:tc>
          <w:tcPr>
            <w:tcW w:w="1134" w:type="dxa"/>
            <w:tcBorders>
              <w:top w:val="nil"/>
              <w:left w:val="nil"/>
              <w:bottom w:val="nil"/>
              <w:right w:val="nil"/>
            </w:tcBorders>
            <w:shd w:val="clear" w:color="auto" w:fill="auto"/>
            <w:vAlign w:val="bottom"/>
          </w:tcPr>
          <w:p w14:paraId="0A439ADF"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pacing w:val="-2"/>
                <w:sz w:val="17"/>
                <w:szCs w:val="17"/>
                <w:lang w:val="hr-HR"/>
              </w:rPr>
              <w:t xml:space="preserve"> - </w:t>
            </w:r>
          </w:p>
        </w:tc>
      </w:tr>
      <w:tr w:rsidR="00587444" w:rsidRPr="00587444" w14:paraId="125844DD" w14:textId="77777777" w:rsidTr="00DD69E7">
        <w:trPr>
          <w:trHeight w:val="246"/>
          <w:jc w:val="center"/>
        </w:trPr>
        <w:tc>
          <w:tcPr>
            <w:tcW w:w="6066" w:type="dxa"/>
            <w:shd w:val="clear" w:color="auto" w:fill="auto"/>
            <w:vAlign w:val="bottom"/>
          </w:tcPr>
          <w:p w14:paraId="30DB1FEE"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bookmarkStart w:id="1387" w:name="_Toc4062988"/>
            <w:r w:rsidRPr="00587444">
              <w:rPr>
                <w:rFonts w:ascii="Arial" w:hAnsi="Arial" w:cs="Arial"/>
                <w:spacing w:val="-2"/>
                <w:sz w:val="17"/>
                <w:szCs w:val="17"/>
              </w:rPr>
              <w:t>Accrued interest</w:t>
            </w:r>
            <w:bookmarkEnd w:id="1387"/>
            <w:r w:rsidRPr="00587444">
              <w:rPr>
                <w:rFonts w:ascii="Arial" w:hAnsi="Arial" w:cs="Arial"/>
                <w:spacing w:val="-2"/>
                <w:sz w:val="17"/>
                <w:szCs w:val="17"/>
              </w:rPr>
              <w:t xml:space="preserve"> </w:t>
            </w:r>
          </w:p>
        </w:tc>
        <w:tc>
          <w:tcPr>
            <w:tcW w:w="1134" w:type="dxa"/>
            <w:tcBorders>
              <w:top w:val="nil"/>
              <w:left w:val="nil"/>
              <w:bottom w:val="nil"/>
              <w:right w:val="nil"/>
            </w:tcBorders>
            <w:shd w:val="clear" w:color="auto" w:fill="auto"/>
            <w:vAlign w:val="bottom"/>
          </w:tcPr>
          <w:p w14:paraId="6164AE6C"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pacing w:val="-2"/>
                <w:sz w:val="17"/>
                <w:szCs w:val="17"/>
                <w:lang w:val="hr-HR"/>
              </w:rPr>
              <w:t xml:space="preserve"> 14,321 </w:t>
            </w:r>
          </w:p>
        </w:tc>
        <w:tc>
          <w:tcPr>
            <w:tcW w:w="1134" w:type="dxa"/>
            <w:tcBorders>
              <w:top w:val="nil"/>
              <w:left w:val="nil"/>
              <w:bottom w:val="nil"/>
              <w:right w:val="nil"/>
            </w:tcBorders>
            <w:shd w:val="clear" w:color="auto" w:fill="auto"/>
            <w:vAlign w:val="bottom"/>
          </w:tcPr>
          <w:p w14:paraId="6E845194"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pacing w:val="-2"/>
                <w:sz w:val="17"/>
                <w:szCs w:val="17"/>
                <w:lang w:val="hr-HR"/>
              </w:rPr>
              <w:t xml:space="preserve"> - </w:t>
            </w:r>
          </w:p>
        </w:tc>
        <w:tc>
          <w:tcPr>
            <w:tcW w:w="1134" w:type="dxa"/>
            <w:tcBorders>
              <w:top w:val="nil"/>
              <w:left w:val="nil"/>
              <w:bottom w:val="nil"/>
              <w:right w:val="nil"/>
            </w:tcBorders>
            <w:shd w:val="clear" w:color="auto" w:fill="auto"/>
            <w:vAlign w:val="bottom"/>
          </w:tcPr>
          <w:p w14:paraId="653A8DA1"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pacing w:val="-2"/>
                <w:sz w:val="17"/>
                <w:szCs w:val="17"/>
                <w:lang w:val="hr-HR"/>
              </w:rPr>
              <w:t xml:space="preserve"> - </w:t>
            </w:r>
          </w:p>
        </w:tc>
      </w:tr>
      <w:tr w:rsidR="00587444" w:rsidRPr="00587444" w14:paraId="034651E2" w14:textId="77777777" w:rsidTr="00DD69E7">
        <w:trPr>
          <w:trHeight w:val="246"/>
          <w:jc w:val="center"/>
        </w:trPr>
        <w:tc>
          <w:tcPr>
            <w:tcW w:w="6066" w:type="dxa"/>
            <w:shd w:val="clear" w:color="auto" w:fill="auto"/>
            <w:vAlign w:val="bottom"/>
          </w:tcPr>
          <w:p w14:paraId="5F5690EC" w14:textId="77777777" w:rsidR="00587444" w:rsidRPr="00587444" w:rsidRDefault="00587444" w:rsidP="00587444">
            <w:pPr>
              <w:tabs>
                <w:tab w:val="right" w:pos="1202"/>
              </w:tabs>
              <w:suppressAutoHyphens w:val="0"/>
              <w:autoSpaceDN/>
              <w:outlineLvl w:val="0"/>
              <w:rPr>
                <w:rFonts w:ascii="Arial" w:hAnsi="Arial" w:cs="Arial"/>
                <w:b/>
                <w:i/>
                <w:spacing w:val="-2"/>
                <w:sz w:val="17"/>
                <w:szCs w:val="17"/>
                <w:highlight w:val="yellow"/>
              </w:rPr>
            </w:pPr>
            <w:bookmarkStart w:id="1388" w:name="_Toc4062992"/>
            <w:r w:rsidRPr="00587444">
              <w:rPr>
                <w:rFonts w:ascii="Arial" w:hAnsi="Arial" w:cs="Arial"/>
                <w:b/>
                <w:i/>
                <w:spacing w:val="-2"/>
                <w:sz w:val="17"/>
                <w:szCs w:val="17"/>
              </w:rPr>
              <w:t>Unlisted debt instruments:</w:t>
            </w:r>
            <w:bookmarkEnd w:id="1388"/>
          </w:p>
        </w:tc>
        <w:tc>
          <w:tcPr>
            <w:tcW w:w="1134" w:type="dxa"/>
            <w:tcBorders>
              <w:top w:val="nil"/>
              <w:left w:val="nil"/>
              <w:bottom w:val="nil"/>
              <w:right w:val="nil"/>
            </w:tcBorders>
            <w:shd w:val="clear" w:color="auto" w:fill="auto"/>
            <w:vAlign w:val="bottom"/>
          </w:tcPr>
          <w:p w14:paraId="1702A83F"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bottom w:val="nil"/>
              <w:right w:val="nil"/>
            </w:tcBorders>
            <w:shd w:val="clear" w:color="auto" w:fill="auto"/>
            <w:vAlign w:val="bottom"/>
          </w:tcPr>
          <w:p w14:paraId="5BFD2BB0"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bottom w:val="nil"/>
              <w:right w:val="nil"/>
            </w:tcBorders>
            <w:shd w:val="clear" w:color="auto" w:fill="auto"/>
            <w:vAlign w:val="bottom"/>
          </w:tcPr>
          <w:p w14:paraId="1A81DEA0"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587444" w:rsidRPr="00587444" w14:paraId="34C96C29" w14:textId="77777777" w:rsidTr="00DD69E7">
        <w:trPr>
          <w:trHeight w:val="246"/>
          <w:jc w:val="center"/>
        </w:trPr>
        <w:tc>
          <w:tcPr>
            <w:tcW w:w="6066" w:type="dxa"/>
            <w:shd w:val="clear" w:color="auto" w:fill="auto"/>
            <w:vAlign w:val="bottom"/>
          </w:tcPr>
          <w:p w14:paraId="3BBFEF98" w14:textId="77777777" w:rsidR="00587444" w:rsidRPr="00587444" w:rsidRDefault="00587444" w:rsidP="00587444">
            <w:pPr>
              <w:tabs>
                <w:tab w:val="right" w:pos="1202"/>
              </w:tabs>
              <w:suppressAutoHyphens w:val="0"/>
              <w:autoSpaceDN/>
              <w:outlineLvl w:val="0"/>
              <w:rPr>
                <w:rFonts w:ascii="Arial" w:hAnsi="Arial" w:cs="Arial"/>
                <w:spacing w:val="-2"/>
                <w:sz w:val="17"/>
                <w:szCs w:val="17"/>
                <w:highlight w:val="yellow"/>
              </w:rPr>
            </w:pPr>
            <w:bookmarkStart w:id="1389" w:name="_Toc4062993"/>
            <w:r w:rsidRPr="00587444">
              <w:rPr>
                <w:rFonts w:ascii="Arial" w:hAnsi="Arial" w:cs="Arial"/>
                <w:spacing w:val="-2"/>
                <w:sz w:val="17"/>
                <w:szCs w:val="17"/>
              </w:rPr>
              <w:t>Corporate bonds</w:t>
            </w:r>
            <w:bookmarkEnd w:id="1389"/>
          </w:p>
        </w:tc>
        <w:tc>
          <w:tcPr>
            <w:tcW w:w="1134" w:type="dxa"/>
            <w:tcBorders>
              <w:top w:val="nil"/>
              <w:left w:val="nil"/>
              <w:bottom w:val="nil"/>
              <w:right w:val="nil"/>
            </w:tcBorders>
            <w:shd w:val="clear" w:color="auto" w:fill="auto"/>
            <w:vAlign w:val="bottom"/>
          </w:tcPr>
          <w:p w14:paraId="4D575F4E"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2BF00FF3"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33A0A43C"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pacing w:val="-2"/>
                <w:sz w:val="17"/>
                <w:szCs w:val="17"/>
                <w:lang w:val="hr-HR"/>
              </w:rPr>
              <w:t>464</w:t>
            </w:r>
          </w:p>
        </w:tc>
      </w:tr>
      <w:tr w:rsidR="00587444" w:rsidRPr="00587444" w14:paraId="2D790320" w14:textId="77777777" w:rsidTr="00DD69E7">
        <w:trPr>
          <w:trHeight w:val="246"/>
          <w:jc w:val="center"/>
        </w:trPr>
        <w:tc>
          <w:tcPr>
            <w:tcW w:w="6066" w:type="dxa"/>
            <w:shd w:val="clear" w:color="auto" w:fill="auto"/>
            <w:vAlign w:val="bottom"/>
          </w:tcPr>
          <w:p w14:paraId="2E473CFC"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Convertible bonds - CB</w:t>
            </w:r>
          </w:p>
        </w:tc>
        <w:tc>
          <w:tcPr>
            <w:tcW w:w="1134" w:type="dxa"/>
            <w:tcBorders>
              <w:top w:val="nil"/>
              <w:left w:val="nil"/>
              <w:bottom w:val="nil"/>
              <w:right w:val="nil"/>
            </w:tcBorders>
            <w:shd w:val="clear" w:color="auto" w:fill="auto"/>
            <w:vAlign w:val="bottom"/>
          </w:tcPr>
          <w:p w14:paraId="7DFB4C16"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2CA2DF34"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7F59A76D"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pacing w:val="-2"/>
                <w:sz w:val="17"/>
                <w:szCs w:val="17"/>
                <w:lang w:val="hr-HR"/>
              </w:rPr>
              <w:t>1,472</w:t>
            </w:r>
          </w:p>
        </w:tc>
      </w:tr>
      <w:tr w:rsidR="00587444" w:rsidRPr="00587444" w14:paraId="3CF207A1" w14:textId="77777777" w:rsidTr="00DD69E7">
        <w:trPr>
          <w:trHeight w:val="246"/>
          <w:jc w:val="center"/>
        </w:trPr>
        <w:tc>
          <w:tcPr>
            <w:tcW w:w="6066" w:type="dxa"/>
            <w:shd w:val="clear" w:color="auto" w:fill="auto"/>
            <w:vAlign w:val="bottom"/>
          </w:tcPr>
          <w:p w14:paraId="1679A64A" w14:textId="77777777" w:rsidR="00587444" w:rsidRPr="00587444" w:rsidRDefault="00587444" w:rsidP="00587444">
            <w:pPr>
              <w:tabs>
                <w:tab w:val="right" w:pos="1202"/>
              </w:tabs>
              <w:suppressAutoHyphens w:val="0"/>
              <w:autoSpaceDN/>
              <w:outlineLvl w:val="0"/>
              <w:rPr>
                <w:rFonts w:ascii="Arial" w:hAnsi="Arial" w:cs="Arial"/>
                <w:spacing w:val="-2"/>
                <w:sz w:val="17"/>
                <w:szCs w:val="17"/>
                <w:highlight w:val="yellow"/>
              </w:rPr>
            </w:pPr>
            <w:bookmarkStart w:id="1390" w:name="_Toc4062997"/>
            <w:r w:rsidRPr="00587444">
              <w:rPr>
                <w:rFonts w:ascii="Arial" w:hAnsi="Arial" w:cs="Arial"/>
                <w:spacing w:val="-2"/>
                <w:sz w:val="17"/>
                <w:szCs w:val="17"/>
              </w:rPr>
              <w:t>Accrued interest</w:t>
            </w:r>
            <w:bookmarkEnd w:id="1390"/>
          </w:p>
        </w:tc>
        <w:tc>
          <w:tcPr>
            <w:tcW w:w="1134" w:type="dxa"/>
            <w:tcBorders>
              <w:top w:val="nil"/>
              <w:left w:val="nil"/>
              <w:bottom w:val="nil"/>
              <w:right w:val="nil"/>
            </w:tcBorders>
            <w:shd w:val="clear" w:color="auto" w:fill="auto"/>
            <w:vAlign w:val="bottom"/>
          </w:tcPr>
          <w:p w14:paraId="53ED192F"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49EBF1AC"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c>
          <w:tcPr>
            <w:tcW w:w="1134" w:type="dxa"/>
            <w:tcBorders>
              <w:top w:val="nil"/>
              <w:left w:val="nil"/>
              <w:bottom w:val="single" w:sz="4" w:space="0" w:color="auto"/>
              <w:right w:val="nil"/>
            </w:tcBorders>
            <w:shd w:val="clear" w:color="auto" w:fill="auto"/>
            <w:vAlign w:val="bottom"/>
          </w:tcPr>
          <w:p w14:paraId="7BA325E7"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pacing w:val="-2"/>
                <w:sz w:val="17"/>
                <w:szCs w:val="17"/>
                <w:lang w:val="hr-HR"/>
              </w:rPr>
              <w:t>32</w:t>
            </w:r>
          </w:p>
        </w:tc>
      </w:tr>
      <w:tr w:rsidR="00587444" w:rsidRPr="00587444" w14:paraId="714F6D6D" w14:textId="77777777" w:rsidTr="00DD69E7">
        <w:trPr>
          <w:trHeight w:val="246"/>
          <w:jc w:val="center"/>
        </w:trPr>
        <w:tc>
          <w:tcPr>
            <w:tcW w:w="6066" w:type="dxa"/>
            <w:shd w:val="clear" w:color="auto" w:fill="auto"/>
            <w:vAlign w:val="bottom"/>
          </w:tcPr>
          <w:p w14:paraId="2C1B76F1" w14:textId="77777777" w:rsidR="00587444" w:rsidRPr="00587444" w:rsidRDefault="00587444" w:rsidP="00587444">
            <w:pPr>
              <w:tabs>
                <w:tab w:val="right" w:pos="1202"/>
              </w:tabs>
              <w:suppressAutoHyphens w:val="0"/>
              <w:autoSpaceDN/>
              <w:outlineLvl w:val="0"/>
              <w:rPr>
                <w:rFonts w:ascii="Arial" w:hAnsi="Arial" w:cs="Arial"/>
                <w:b/>
                <w:spacing w:val="-2"/>
                <w:sz w:val="17"/>
                <w:szCs w:val="17"/>
                <w:highlight w:val="yellow"/>
              </w:rPr>
            </w:pPr>
            <w:bookmarkStart w:id="1391" w:name="_Toc4063001"/>
            <w:r w:rsidRPr="00587444">
              <w:rPr>
                <w:rFonts w:ascii="Arial" w:hAnsi="Arial" w:cs="Arial"/>
                <w:b/>
                <w:spacing w:val="-2"/>
                <w:sz w:val="17"/>
                <w:szCs w:val="17"/>
              </w:rPr>
              <w:t>Total debt instruments</w:t>
            </w:r>
            <w:bookmarkEnd w:id="1391"/>
          </w:p>
        </w:tc>
        <w:tc>
          <w:tcPr>
            <w:tcW w:w="1134" w:type="dxa"/>
            <w:tcBorders>
              <w:top w:val="single" w:sz="4" w:space="0" w:color="auto"/>
              <w:left w:val="nil"/>
              <w:bottom w:val="single" w:sz="12" w:space="0" w:color="auto"/>
              <w:right w:val="nil"/>
            </w:tcBorders>
            <w:shd w:val="clear" w:color="auto" w:fill="auto"/>
            <w:vAlign w:val="bottom"/>
          </w:tcPr>
          <w:p w14:paraId="34AED205"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eastAsia="Calibri" w:hAnsi="Arial" w:cs="Arial"/>
                <w:b/>
                <w:color w:val="000000"/>
                <w:spacing w:val="-2"/>
                <w:sz w:val="17"/>
                <w:szCs w:val="17"/>
                <w:lang w:val="hr-HR" w:eastAsia="hr-HR"/>
              </w:rPr>
              <w:t>1,350,111</w:t>
            </w:r>
          </w:p>
        </w:tc>
        <w:tc>
          <w:tcPr>
            <w:tcW w:w="1134" w:type="dxa"/>
            <w:tcBorders>
              <w:top w:val="single" w:sz="4" w:space="0" w:color="auto"/>
              <w:left w:val="nil"/>
              <w:bottom w:val="single" w:sz="12" w:space="0" w:color="auto"/>
              <w:right w:val="nil"/>
            </w:tcBorders>
            <w:shd w:val="clear" w:color="auto" w:fill="auto"/>
            <w:vAlign w:val="bottom"/>
          </w:tcPr>
          <w:p w14:paraId="31BBD4D2"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eastAsia="Calibri" w:hAnsi="Arial" w:cs="Arial"/>
                <w:b/>
                <w:color w:val="000000"/>
                <w:spacing w:val="-2"/>
                <w:sz w:val="17"/>
                <w:szCs w:val="17"/>
                <w:lang w:val="hr-HR" w:eastAsia="hr-HR"/>
              </w:rPr>
              <w:t>1,281,368</w:t>
            </w:r>
          </w:p>
        </w:tc>
        <w:tc>
          <w:tcPr>
            <w:tcW w:w="1134" w:type="dxa"/>
            <w:tcBorders>
              <w:top w:val="single" w:sz="4" w:space="0" w:color="auto"/>
              <w:left w:val="nil"/>
              <w:bottom w:val="single" w:sz="12" w:space="0" w:color="auto"/>
              <w:right w:val="nil"/>
            </w:tcBorders>
            <w:shd w:val="clear" w:color="auto" w:fill="auto"/>
            <w:vAlign w:val="bottom"/>
          </w:tcPr>
          <w:p w14:paraId="0DE04F50"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eastAsia="Calibri" w:hAnsi="Arial" w:cs="Arial"/>
                <w:b/>
                <w:color w:val="000000"/>
                <w:spacing w:val="-2"/>
                <w:sz w:val="17"/>
                <w:szCs w:val="17"/>
                <w:lang w:val="hr-HR" w:eastAsia="hr-HR"/>
              </w:rPr>
              <w:t>1,968</w:t>
            </w:r>
          </w:p>
        </w:tc>
      </w:tr>
      <w:tr w:rsidR="00587444" w:rsidRPr="00587444" w14:paraId="1E1393D2" w14:textId="77777777" w:rsidTr="00DD69E7">
        <w:trPr>
          <w:trHeight w:val="246"/>
          <w:jc w:val="center"/>
        </w:trPr>
        <w:tc>
          <w:tcPr>
            <w:tcW w:w="6066" w:type="dxa"/>
            <w:shd w:val="clear" w:color="auto" w:fill="auto"/>
            <w:vAlign w:val="bottom"/>
          </w:tcPr>
          <w:p w14:paraId="0F25E5BD" w14:textId="77777777" w:rsidR="00587444" w:rsidRPr="00587444" w:rsidRDefault="00587444" w:rsidP="00587444">
            <w:pPr>
              <w:tabs>
                <w:tab w:val="right" w:pos="1202"/>
              </w:tabs>
              <w:suppressAutoHyphens w:val="0"/>
              <w:autoSpaceDN/>
              <w:outlineLvl w:val="0"/>
              <w:rPr>
                <w:rFonts w:ascii="Arial" w:hAnsi="Arial" w:cs="Arial"/>
                <w:b/>
                <w:i/>
                <w:spacing w:val="-2"/>
                <w:sz w:val="17"/>
                <w:szCs w:val="17"/>
                <w:highlight w:val="yellow"/>
              </w:rPr>
            </w:pPr>
            <w:bookmarkStart w:id="1392" w:name="_Toc4063005"/>
            <w:r w:rsidRPr="00587444">
              <w:rPr>
                <w:rFonts w:ascii="Arial" w:hAnsi="Arial" w:cs="Arial"/>
                <w:b/>
                <w:i/>
                <w:spacing w:val="-2"/>
                <w:sz w:val="17"/>
                <w:szCs w:val="17"/>
              </w:rPr>
              <w:t>Unlisted equity instruments:</w:t>
            </w:r>
            <w:bookmarkEnd w:id="1392"/>
            <w:r w:rsidRPr="00587444" w:rsidDel="00D51A81">
              <w:rPr>
                <w:rFonts w:ascii="Arial" w:hAnsi="Arial" w:cs="Arial"/>
                <w:b/>
                <w:i/>
                <w:spacing w:val="-2"/>
                <w:sz w:val="17"/>
                <w:szCs w:val="17"/>
              </w:rPr>
              <w:t xml:space="preserve"> </w:t>
            </w:r>
          </w:p>
        </w:tc>
        <w:tc>
          <w:tcPr>
            <w:tcW w:w="1134" w:type="dxa"/>
            <w:tcBorders>
              <w:top w:val="single" w:sz="12" w:space="0" w:color="auto"/>
            </w:tcBorders>
            <w:vAlign w:val="bottom"/>
          </w:tcPr>
          <w:p w14:paraId="3BEB2FF1"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single" w:sz="12" w:space="0" w:color="auto"/>
            </w:tcBorders>
            <w:vAlign w:val="bottom"/>
          </w:tcPr>
          <w:p w14:paraId="489B17CD"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single" w:sz="12" w:space="0" w:color="auto"/>
            </w:tcBorders>
            <w:vAlign w:val="bottom"/>
          </w:tcPr>
          <w:p w14:paraId="00ECF8DB"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587444" w:rsidRPr="00587444" w14:paraId="4A3818EA" w14:textId="77777777" w:rsidTr="00DD69E7">
        <w:trPr>
          <w:trHeight w:val="246"/>
          <w:jc w:val="center"/>
        </w:trPr>
        <w:tc>
          <w:tcPr>
            <w:tcW w:w="6066" w:type="dxa"/>
            <w:shd w:val="clear" w:color="auto" w:fill="auto"/>
            <w:vAlign w:val="bottom"/>
          </w:tcPr>
          <w:p w14:paraId="701AA3D9"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bookmarkStart w:id="1393" w:name="_Toc4063006"/>
            <w:r w:rsidRPr="00587444">
              <w:rPr>
                <w:rFonts w:ascii="Arial" w:hAnsi="Arial" w:cs="Arial"/>
                <w:sz w:val="17"/>
                <w:szCs w:val="17"/>
              </w:rPr>
              <w:t xml:space="preserve">Investment in shares of foreign legal entities </w:t>
            </w:r>
            <w:bookmarkEnd w:id="1393"/>
          </w:p>
        </w:tc>
        <w:tc>
          <w:tcPr>
            <w:tcW w:w="1134" w:type="dxa"/>
            <w:tcBorders>
              <w:top w:val="nil"/>
              <w:left w:val="nil"/>
              <w:bottom w:val="nil"/>
              <w:right w:val="nil"/>
            </w:tcBorders>
            <w:shd w:val="clear" w:color="auto" w:fill="auto"/>
            <w:vAlign w:val="bottom"/>
          </w:tcPr>
          <w:p w14:paraId="490CA8E4"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05B80807"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55</w:t>
            </w:r>
          </w:p>
        </w:tc>
        <w:tc>
          <w:tcPr>
            <w:tcW w:w="1134" w:type="dxa"/>
            <w:tcBorders>
              <w:top w:val="nil"/>
              <w:left w:val="nil"/>
              <w:bottom w:val="nil"/>
              <w:right w:val="nil"/>
            </w:tcBorders>
            <w:shd w:val="clear" w:color="auto" w:fill="auto"/>
            <w:vAlign w:val="bottom"/>
          </w:tcPr>
          <w:p w14:paraId="001895D1"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r>
      <w:tr w:rsidR="00587444" w:rsidRPr="00587444" w14:paraId="00E7201C" w14:textId="77777777" w:rsidTr="00DD69E7">
        <w:trPr>
          <w:trHeight w:val="246"/>
          <w:jc w:val="center"/>
        </w:trPr>
        <w:tc>
          <w:tcPr>
            <w:tcW w:w="6066" w:type="dxa"/>
            <w:shd w:val="clear" w:color="auto" w:fill="auto"/>
            <w:vAlign w:val="bottom"/>
          </w:tcPr>
          <w:p w14:paraId="6520A65E"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bookmarkStart w:id="1394" w:name="_Toc4063010"/>
            <w:r w:rsidRPr="00587444">
              <w:rPr>
                <w:rFonts w:ascii="Arial" w:hAnsi="Arial" w:cs="Arial"/>
                <w:sz w:val="17"/>
                <w:szCs w:val="17"/>
              </w:rPr>
              <w:t>Shares of foreign financial institutions – EIF</w:t>
            </w:r>
            <w:bookmarkEnd w:id="1394"/>
          </w:p>
        </w:tc>
        <w:tc>
          <w:tcPr>
            <w:tcW w:w="1134" w:type="dxa"/>
            <w:tcBorders>
              <w:top w:val="nil"/>
              <w:left w:val="nil"/>
              <w:bottom w:val="nil"/>
              <w:right w:val="nil"/>
            </w:tcBorders>
            <w:shd w:val="clear" w:color="auto" w:fill="auto"/>
            <w:vAlign w:val="bottom"/>
          </w:tcPr>
          <w:p w14:paraId="309B5810"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528E3793"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53,120</w:t>
            </w:r>
          </w:p>
        </w:tc>
        <w:tc>
          <w:tcPr>
            <w:tcW w:w="1134" w:type="dxa"/>
            <w:tcBorders>
              <w:top w:val="nil"/>
              <w:left w:val="nil"/>
              <w:bottom w:val="nil"/>
              <w:right w:val="nil"/>
            </w:tcBorders>
            <w:shd w:val="clear" w:color="auto" w:fill="auto"/>
            <w:vAlign w:val="bottom"/>
          </w:tcPr>
          <w:p w14:paraId="34F6F378"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r>
      <w:tr w:rsidR="00587444" w:rsidRPr="00587444" w14:paraId="324CE374" w14:textId="77777777" w:rsidTr="00DD69E7">
        <w:trPr>
          <w:trHeight w:val="246"/>
          <w:jc w:val="center"/>
        </w:trPr>
        <w:tc>
          <w:tcPr>
            <w:tcW w:w="6066" w:type="dxa"/>
            <w:shd w:val="clear" w:color="auto" w:fill="auto"/>
            <w:vAlign w:val="bottom"/>
          </w:tcPr>
          <w:p w14:paraId="3DC779A9" w14:textId="77777777" w:rsidR="00587444" w:rsidRPr="00587444" w:rsidRDefault="00587444" w:rsidP="00587444">
            <w:pPr>
              <w:tabs>
                <w:tab w:val="right" w:pos="1202"/>
              </w:tabs>
              <w:suppressAutoHyphens w:val="0"/>
              <w:autoSpaceDN/>
              <w:outlineLvl w:val="0"/>
              <w:rPr>
                <w:rFonts w:ascii="Arial" w:hAnsi="Arial" w:cs="Arial"/>
                <w:b/>
                <w:sz w:val="17"/>
                <w:szCs w:val="17"/>
                <w:highlight w:val="yellow"/>
              </w:rPr>
            </w:pPr>
            <w:bookmarkStart w:id="1395" w:name="_Toc4063014"/>
            <w:r w:rsidRPr="00587444">
              <w:rPr>
                <w:rFonts w:ascii="Arial" w:hAnsi="Arial" w:cs="Arial"/>
                <w:b/>
                <w:sz w:val="17"/>
                <w:szCs w:val="17"/>
              </w:rPr>
              <w:t>Total equity instruments</w:t>
            </w:r>
            <w:bookmarkEnd w:id="1395"/>
          </w:p>
        </w:tc>
        <w:tc>
          <w:tcPr>
            <w:tcW w:w="1134" w:type="dxa"/>
            <w:tcBorders>
              <w:top w:val="single" w:sz="4" w:space="0" w:color="auto"/>
              <w:left w:val="nil"/>
              <w:bottom w:val="single" w:sz="8" w:space="0" w:color="auto"/>
              <w:right w:val="nil"/>
            </w:tcBorders>
            <w:shd w:val="clear" w:color="auto" w:fill="auto"/>
            <w:vAlign w:val="bottom"/>
          </w:tcPr>
          <w:p w14:paraId="289317AC"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eastAsia="Calibri" w:hAnsi="Arial" w:cs="Arial"/>
                <w:b/>
                <w:color w:val="000000"/>
                <w:sz w:val="17"/>
                <w:szCs w:val="17"/>
                <w:lang w:val="hr-HR"/>
              </w:rPr>
              <w:t>-</w:t>
            </w:r>
          </w:p>
        </w:tc>
        <w:tc>
          <w:tcPr>
            <w:tcW w:w="1134" w:type="dxa"/>
            <w:tcBorders>
              <w:top w:val="single" w:sz="4" w:space="0" w:color="auto"/>
              <w:left w:val="nil"/>
              <w:bottom w:val="single" w:sz="8" w:space="0" w:color="auto"/>
              <w:right w:val="nil"/>
            </w:tcBorders>
            <w:shd w:val="clear" w:color="auto" w:fill="auto"/>
            <w:vAlign w:val="bottom"/>
          </w:tcPr>
          <w:p w14:paraId="2DFFE72B"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eastAsia="Calibri" w:hAnsi="Arial" w:cs="Arial"/>
                <w:b/>
                <w:color w:val="000000"/>
                <w:sz w:val="17"/>
                <w:szCs w:val="17"/>
                <w:lang w:val="hr-HR"/>
              </w:rPr>
              <w:t>53,175</w:t>
            </w:r>
          </w:p>
        </w:tc>
        <w:tc>
          <w:tcPr>
            <w:tcW w:w="1134" w:type="dxa"/>
            <w:tcBorders>
              <w:top w:val="single" w:sz="4" w:space="0" w:color="auto"/>
              <w:left w:val="nil"/>
              <w:bottom w:val="single" w:sz="8" w:space="0" w:color="auto"/>
              <w:right w:val="nil"/>
            </w:tcBorders>
            <w:shd w:val="clear" w:color="auto" w:fill="auto"/>
            <w:vAlign w:val="bottom"/>
          </w:tcPr>
          <w:p w14:paraId="4D54339D"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eastAsia="Calibri" w:hAnsi="Arial" w:cs="Arial"/>
                <w:b/>
                <w:color w:val="000000"/>
                <w:sz w:val="17"/>
                <w:szCs w:val="17"/>
                <w:lang w:val="hr-HR"/>
              </w:rPr>
              <w:t>-</w:t>
            </w:r>
          </w:p>
        </w:tc>
      </w:tr>
      <w:tr w:rsidR="00587444" w:rsidRPr="00587444" w14:paraId="3385B3E7" w14:textId="77777777" w:rsidTr="00DD69E7">
        <w:trPr>
          <w:trHeight w:hRule="exact" w:val="340"/>
          <w:jc w:val="center"/>
        </w:trPr>
        <w:tc>
          <w:tcPr>
            <w:tcW w:w="6066" w:type="dxa"/>
            <w:shd w:val="clear" w:color="auto" w:fill="auto"/>
            <w:vAlign w:val="bottom"/>
          </w:tcPr>
          <w:p w14:paraId="4ABEB5AD" w14:textId="77777777" w:rsidR="00587444" w:rsidRPr="00587444" w:rsidRDefault="00587444" w:rsidP="00587444">
            <w:pPr>
              <w:tabs>
                <w:tab w:val="right" w:pos="1202"/>
              </w:tabs>
              <w:suppressAutoHyphens w:val="0"/>
              <w:autoSpaceDN/>
              <w:outlineLvl w:val="0"/>
              <w:rPr>
                <w:rFonts w:ascii="Arial" w:hAnsi="Arial" w:cs="Arial"/>
                <w:b/>
                <w:sz w:val="17"/>
                <w:szCs w:val="17"/>
                <w:highlight w:val="yellow"/>
              </w:rPr>
            </w:pPr>
            <w:bookmarkStart w:id="1396" w:name="_Toc4063018"/>
            <w:r w:rsidRPr="00587444">
              <w:rPr>
                <w:rFonts w:ascii="Arial" w:hAnsi="Arial" w:cs="Arial"/>
                <w:b/>
                <w:sz w:val="17"/>
                <w:szCs w:val="17"/>
              </w:rPr>
              <w:t>Total financial assets at fair value through other comprehensive income</w:t>
            </w:r>
            <w:bookmarkEnd w:id="1396"/>
          </w:p>
        </w:tc>
        <w:tc>
          <w:tcPr>
            <w:tcW w:w="1134" w:type="dxa"/>
            <w:tcBorders>
              <w:top w:val="single" w:sz="12" w:space="0" w:color="auto"/>
              <w:left w:val="nil"/>
              <w:bottom w:val="single" w:sz="12" w:space="0" w:color="auto"/>
              <w:right w:val="nil"/>
            </w:tcBorders>
            <w:shd w:val="clear" w:color="auto" w:fill="auto"/>
            <w:vAlign w:val="bottom"/>
          </w:tcPr>
          <w:p w14:paraId="114C9434"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eastAsia="Calibri" w:hAnsi="Arial" w:cs="Arial"/>
                <w:b/>
                <w:color w:val="000000"/>
                <w:spacing w:val="-2"/>
                <w:sz w:val="17"/>
                <w:szCs w:val="17"/>
                <w:lang w:val="hr-HR" w:eastAsia="hr-HR"/>
              </w:rPr>
              <w:t xml:space="preserve"> 1,350,111 </w:t>
            </w:r>
          </w:p>
        </w:tc>
        <w:tc>
          <w:tcPr>
            <w:tcW w:w="1134" w:type="dxa"/>
            <w:tcBorders>
              <w:top w:val="single" w:sz="12" w:space="0" w:color="auto"/>
              <w:left w:val="nil"/>
              <w:bottom w:val="single" w:sz="12" w:space="0" w:color="auto"/>
              <w:right w:val="nil"/>
            </w:tcBorders>
            <w:shd w:val="clear" w:color="auto" w:fill="auto"/>
            <w:vAlign w:val="bottom"/>
          </w:tcPr>
          <w:p w14:paraId="41DE4703"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eastAsia="Calibri" w:hAnsi="Arial" w:cs="Arial"/>
                <w:b/>
                <w:color w:val="000000"/>
                <w:spacing w:val="-2"/>
                <w:sz w:val="17"/>
                <w:szCs w:val="17"/>
                <w:lang w:val="hr-HR" w:eastAsia="hr-HR"/>
              </w:rPr>
              <w:t xml:space="preserve"> 1,334,543 </w:t>
            </w:r>
          </w:p>
        </w:tc>
        <w:tc>
          <w:tcPr>
            <w:tcW w:w="1134" w:type="dxa"/>
            <w:tcBorders>
              <w:top w:val="single" w:sz="12" w:space="0" w:color="auto"/>
              <w:left w:val="nil"/>
              <w:bottom w:val="single" w:sz="12" w:space="0" w:color="auto"/>
              <w:right w:val="nil"/>
            </w:tcBorders>
            <w:shd w:val="clear" w:color="auto" w:fill="auto"/>
            <w:vAlign w:val="bottom"/>
          </w:tcPr>
          <w:p w14:paraId="075719CE"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eastAsia="Calibri" w:hAnsi="Arial" w:cs="Arial"/>
                <w:b/>
                <w:color w:val="000000"/>
                <w:spacing w:val="-2"/>
                <w:sz w:val="17"/>
                <w:szCs w:val="17"/>
                <w:lang w:val="hr-HR" w:eastAsia="hr-HR"/>
              </w:rPr>
              <w:t xml:space="preserve"> 1,968 </w:t>
            </w:r>
          </w:p>
        </w:tc>
      </w:tr>
    </w:tbl>
    <w:p w14:paraId="2B536402" w14:textId="77777777" w:rsidR="00587444" w:rsidRPr="00587444" w:rsidRDefault="00587444" w:rsidP="00587444">
      <w:pPr>
        <w:keepNext/>
        <w:suppressAutoHyphens w:val="0"/>
        <w:autoSpaceDN/>
        <w:jc w:val="both"/>
        <w:rPr>
          <w:rFonts w:ascii="Arial" w:hAnsi="Arial" w:cs="Arial"/>
          <w:bCs/>
          <w:spacing w:val="-3"/>
          <w:sz w:val="20"/>
          <w:szCs w:val="20"/>
          <w:lang w:val="en-GB"/>
        </w:rPr>
      </w:pPr>
    </w:p>
    <w:p w14:paraId="39307852" w14:textId="77777777" w:rsidR="00587444" w:rsidRPr="00587444" w:rsidRDefault="00587444" w:rsidP="00587444">
      <w:pPr>
        <w:tabs>
          <w:tab w:val="left" w:pos="8930"/>
        </w:tabs>
        <w:suppressAutoHyphens w:val="0"/>
        <w:autoSpaceDE w:val="0"/>
        <w:jc w:val="both"/>
        <w:rPr>
          <w:rFonts w:ascii="Arial" w:eastAsia="Calibri" w:hAnsi="Arial" w:cs="Arial"/>
          <w:color w:val="000000"/>
          <w:sz w:val="20"/>
          <w:szCs w:val="20"/>
          <w:lang w:val="en-GB"/>
        </w:rPr>
      </w:pPr>
      <w:r w:rsidRPr="00587444">
        <w:rPr>
          <w:rFonts w:ascii="Arial" w:eastAsia="Calibri" w:hAnsi="Arial" w:cs="Arial"/>
          <w:color w:val="000000"/>
          <w:sz w:val="20"/>
          <w:szCs w:val="20"/>
          <w:lang w:val="en-GB"/>
        </w:rPr>
        <w:t xml:space="preserve">Treasury bills of the Ministry of Finance are presented at level 2 of the fair value hierarchy because the quoted purchase (“bid”) prices on Bloomberg are higher (with a negative purchase yield) compared to the prices simultaneously realised at the primary auction of treasury bills, where treasury bills were issued with positive yields. To calculate fair value, the discounted cash flow method was used at a discount rate that corresponded to the yields realised at the last auction of the Ministry of Finance before the valuation date. </w:t>
      </w:r>
    </w:p>
    <w:p w14:paraId="1384A23B" w14:textId="77777777" w:rsidR="00587444" w:rsidRPr="00587444" w:rsidRDefault="00587444" w:rsidP="00587444">
      <w:pPr>
        <w:tabs>
          <w:tab w:val="left" w:pos="8930"/>
        </w:tabs>
        <w:suppressAutoHyphens w:val="0"/>
        <w:autoSpaceDE w:val="0"/>
        <w:jc w:val="both"/>
        <w:rPr>
          <w:rFonts w:ascii="Arial" w:eastAsia="Calibri" w:hAnsi="Arial" w:cs="Arial"/>
          <w:color w:val="000000"/>
          <w:sz w:val="16"/>
          <w:szCs w:val="16"/>
          <w:lang w:val="en-GB"/>
        </w:rPr>
      </w:pPr>
    </w:p>
    <w:p w14:paraId="62506D00" w14:textId="77777777" w:rsidR="00587444" w:rsidRPr="00587444" w:rsidRDefault="00587444" w:rsidP="00587444">
      <w:pPr>
        <w:tabs>
          <w:tab w:val="left" w:pos="8930"/>
        </w:tabs>
        <w:suppressAutoHyphens w:val="0"/>
        <w:autoSpaceDE w:val="0"/>
        <w:jc w:val="both"/>
        <w:rPr>
          <w:rFonts w:ascii="Arial" w:eastAsia="Calibri" w:hAnsi="Arial" w:cs="Arial"/>
          <w:color w:val="000000"/>
          <w:sz w:val="20"/>
          <w:szCs w:val="20"/>
          <w:lang w:val="en-GB"/>
        </w:rPr>
      </w:pPr>
      <w:r w:rsidRPr="00587444">
        <w:rPr>
          <w:rFonts w:ascii="Arial" w:hAnsi="Arial" w:cs="Arial"/>
          <w:spacing w:val="-3"/>
          <w:sz w:val="20"/>
          <w:szCs w:val="20"/>
        </w:rPr>
        <w:t>Debt Instruments: Corporate Bonds were classified within Level 3 of the fair value hierarchy. The valuation technique used was the method of the discounted cash flows based on market interest rates, spread linked to internal credit-rating and internally determined spread linked to financial instrument liquidity.</w:t>
      </w:r>
    </w:p>
    <w:p w14:paraId="42728259" w14:textId="77777777" w:rsidR="00587444" w:rsidRPr="00587444" w:rsidRDefault="00587444" w:rsidP="00587444">
      <w:pPr>
        <w:keepNext/>
        <w:suppressAutoHyphens w:val="0"/>
        <w:autoSpaceDN/>
        <w:jc w:val="both"/>
        <w:rPr>
          <w:rFonts w:ascii="Arial" w:hAnsi="Arial" w:cs="Arial"/>
          <w:spacing w:val="-3"/>
          <w:sz w:val="16"/>
          <w:szCs w:val="16"/>
          <w:highlight w:val="yellow"/>
        </w:rPr>
      </w:pPr>
    </w:p>
    <w:p w14:paraId="3DFF7902" w14:textId="77777777" w:rsidR="00587444" w:rsidRPr="00587444" w:rsidRDefault="00587444" w:rsidP="00587444">
      <w:pPr>
        <w:suppressAutoHyphens w:val="0"/>
        <w:autoSpaceDN/>
        <w:jc w:val="both"/>
        <w:rPr>
          <w:rFonts w:ascii="Arial" w:hAnsi="Arial" w:cs="Arial"/>
          <w:b/>
          <w:bCs/>
          <w:spacing w:val="-3"/>
          <w:sz w:val="20"/>
          <w:szCs w:val="20"/>
          <w:lang w:val="en-GB"/>
        </w:rPr>
      </w:pPr>
      <w:r w:rsidRPr="00587444">
        <w:rPr>
          <w:rFonts w:ascii="Arial" w:hAnsi="Arial" w:cs="Arial"/>
          <w:spacing w:val="-3"/>
          <w:sz w:val="20"/>
          <w:szCs w:val="20"/>
        </w:rPr>
        <w:t xml:space="preserve">There were no transfers between the levels in the reporting period.  </w:t>
      </w:r>
    </w:p>
    <w:p w14:paraId="0CD2120E"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720B4BC5"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 xml:space="preserve">32. </w:t>
      </w:r>
      <w:r w:rsidRPr="00587444">
        <w:rPr>
          <w:rFonts w:ascii="Arial" w:hAnsi="Arial" w:cs="Arial"/>
          <w:b/>
          <w:bCs/>
          <w:spacing w:val="-3"/>
          <w:sz w:val="20"/>
          <w:szCs w:val="20"/>
          <w:lang w:val="en-GB"/>
        </w:rPr>
        <w:tab/>
        <w:t>Fair value of financial assets and financial liabilities (continued)</w:t>
      </w:r>
    </w:p>
    <w:p w14:paraId="3666B69C"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1D7843D5"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 xml:space="preserve">32.1.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29CF0EF5"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tbl>
      <w:tblPr>
        <w:tblW w:w="9255" w:type="dxa"/>
        <w:jc w:val="center"/>
        <w:tblLayout w:type="fixed"/>
        <w:tblCellMar>
          <w:left w:w="122" w:type="dxa"/>
          <w:right w:w="122" w:type="dxa"/>
        </w:tblCellMar>
        <w:tblLook w:val="0000" w:firstRow="0" w:lastRow="0" w:firstColumn="0" w:lastColumn="0" w:noHBand="0" w:noVBand="0"/>
      </w:tblPr>
      <w:tblGrid>
        <w:gridCol w:w="5568"/>
        <w:gridCol w:w="1228"/>
        <w:gridCol w:w="1229"/>
        <w:gridCol w:w="1230"/>
      </w:tblGrid>
      <w:tr w:rsidR="00587444" w:rsidRPr="00587444" w14:paraId="0FA914CF" w14:textId="77777777" w:rsidTr="00DD69E7">
        <w:trPr>
          <w:trHeight w:val="233"/>
          <w:jc w:val="center"/>
        </w:trPr>
        <w:tc>
          <w:tcPr>
            <w:tcW w:w="5568" w:type="dxa"/>
            <w:shd w:val="clear" w:color="auto" w:fill="auto"/>
          </w:tcPr>
          <w:p w14:paraId="077D98E9" w14:textId="77777777" w:rsidR="00587444" w:rsidRPr="00587444" w:rsidRDefault="00587444" w:rsidP="00587444">
            <w:pPr>
              <w:tabs>
                <w:tab w:val="right" w:pos="1202"/>
              </w:tabs>
              <w:suppressAutoHyphens w:val="0"/>
              <w:autoSpaceDN/>
              <w:outlineLvl w:val="0"/>
              <w:rPr>
                <w:rFonts w:ascii="Arial" w:hAnsi="Arial" w:cs="Arial"/>
                <w:sz w:val="17"/>
                <w:szCs w:val="17"/>
              </w:rPr>
            </w:pPr>
            <w:r w:rsidRPr="00587444">
              <w:rPr>
                <w:rFonts w:ascii="Arial" w:hAnsi="Arial" w:cs="Arial"/>
                <w:b/>
                <w:sz w:val="17"/>
                <w:szCs w:val="17"/>
              </w:rPr>
              <w:t>Group</w:t>
            </w:r>
          </w:p>
        </w:tc>
        <w:tc>
          <w:tcPr>
            <w:tcW w:w="3687" w:type="dxa"/>
            <w:gridSpan w:val="3"/>
          </w:tcPr>
          <w:p w14:paraId="785FD631"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rPr>
            </w:pPr>
            <w:r w:rsidRPr="00587444">
              <w:rPr>
                <w:rFonts w:ascii="Arial" w:hAnsi="Arial" w:cs="Arial"/>
                <w:b/>
                <w:bCs/>
                <w:sz w:val="17"/>
                <w:szCs w:val="17"/>
              </w:rPr>
              <w:t>31 December 2021</w:t>
            </w:r>
          </w:p>
        </w:tc>
      </w:tr>
      <w:tr w:rsidR="00587444" w:rsidRPr="00587444" w14:paraId="3EF8CFCD" w14:textId="77777777" w:rsidTr="00DD69E7">
        <w:trPr>
          <w:trHeight w:val="238"/>
          <w:jc w:val="center"/>
        </w:trPr>
        <w:tc>
          <w:tcPr>
            <w:tcW w:w="5568" w:type="dxa"/>
            <w:shd w:val="clear" w:color="auto" w:fill="auto"/>
            <w:vAlign w:val="bottom"/>
          </w:tcPr>
          <w:p w14:paraId="648FF82D"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p>
        </w:tc>
        <w:tc>
          <w:tcPr>
            <w:tcW w:w="1228" w:type="dxa"/>
            <w:shd w:val="clear" w:color="auto" w:fill="auto"/>
            <w:vAlign w:val="bottom"/>
          </w:tcPr>
          <w:p w14:paraId="0230D248"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1</w:t>
            </w:r>
          </w:p>
        </w:tc>
        <w:tc>
          <w:tcPr>
            <w:tcW w:w="1229" w:type="dxa"/>
            <w:shd w:val="clear" w:color="auto" w:fill="auto"/>
            <w:vAlign w:val="bottom"/>
          </w:tcPr>
          <w:p w14:paraId="25FFD845"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2</w:t>
            </w:r>
          </w:p>
        </w:tc>
        <w:tc>
          <w:tcPr>
            <w:tcW w:w="1230" w:type="dxa"/>
            <w:shd w:val="clear" w:color="auto" w:fill="auto"/>
            <w:vAlign w:val="bottom"/>
          </w:tcPr>
          <w:p w14:paraId="631886D0"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3</w:t>
            </w:r>
          </w:p>
        </w:tc>
      </w:tr>
      <w:tr w:rsidR="00587444" w:rsidRPr="00587444" w14:paraId="13C0D3FB" w14:textId="77777777" w:rsidTr="00DD69E7">
        <w:trPr>
          <w:trHeight w:hRule="exact" w:val="205"/>
          <w:jc w:val="center"/>
        </w:trPr>
        <w:tc>
          <w:tcPr>
            <w:tcW w:w="5568" w:type="dxa"/>
            <w:shd w:val="clear" w:color="auto" w:fill="auto"/>
            <w:vAlign w:val="bottom"/>
          </w:tcPr>
          <w:p w14:paraId="6A48B713"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p>
        </w:tc>
        <w:tc>
          <w:tcPr>
            <w:tcW w:w="1228" w:type="dxa"/>
            <w:shd w:val="clear" w:color="auto" w:fill="auto"/>
            <w:vAlign w:val="bottom"/>
          </w:tcPr>
          <w:p w14:paraId="02A4384F"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HRK ‘000</w:t>
            </w:r>
          </w:p>
        </w:tc>
        <w:tc>
          <w:tcPr>
            <w:tcW w:w="1229" w:type="dxa"/>
            <w:shd w:val="clear" w:color="auto" w:fill="auto"/>
            <w:vAlign w:val="bottom"/>
          </w:tcPr>
          <w:p w14:paraId="7110F175"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HRK ‘000</w:t>
            </w:r>
          </w:p>
        </w:tc>
        <w:tc>
          <w:tcPr>
            <w:tcW w:w="1230" w:type="dxa"/>
            <w:shd w:val="clear" w:color="auto" w:fill="auto"/>
            <w:vAlign w:val="bottom"/>
          </w:tcPr>
          <w:p w14:paraId="320C0FA4"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HRK ‘000</w:t>
            </w:r>
          </w:p>
        </w:tc>
      </w:tr>
      <w:tr w:rsidR="00587444" w:rsidRPr="00587444" w14:paraId="0D24E999" w14:textId="77777777" w:rsidTr="00DD69E7">
        <w:trPr>
          <w:trHeight w:val="232"/>
          <w:jc w:val="center"/>
        </w:trPr>
        <w:tc>
          <w:tcPr>
            <w:tcW w:w="5568" w:type="dxa"/>
            <w:vAlign w:val="bottom"/>
          </w:tcPr>
          <w:p w14:paraId="67911002" w14:textId="77777777" w:rsidR="00587444" w:rsidRPr="00587444" w:rsidRDefault="00587444" w:rsidP="00587444">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b/>
                <w:sz w:val="17"/>
                <w:szCs w:val="17"/>
              </w:rPr>
              <w:t>Financial assets at fair value through profit or loss:</w:t>
            </w:r>
          </w:p>
        </w:tc>
        <w:tc>
          <w:tcPr>
            <w:tcW w:w="1228" w:type="dxa"/>
            <w:vAlign w:val="bottom"/>
          </w:tcPr>
          <w:p w14:paraId="43201609"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p>
        </w:tc>
        <w:tc>
          <w:tcPr>
            <w:tcW w:w="1229" w:type="dxa"/>
            <w:vAlign w:val="bottom"/>
          </w:tcPr>
          <w:p w14:paraId="40FA3408"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p>
        </w:tc>
        <w:tc>
          <w:tcPr>
            <w:tcW w:w="1230" w:type="dxa"/>
            <w:vAlign w:val="bottom"/>
          </w:tcPr>
          <w:p w14:paraId="59AAEBCC"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p>
        </w:tc>
      </w:tr>
      <w:tr w:rsidR="00587444" w:rsidRPr="00587444" w14:paraId="5D0130B4" w14:textId="77777777" w:rsidTr="00DD69E7">
        <w:trPr>
          <w:trHeight w:val="230"/>
          <w:jc w:val="center"/>
        </w:trPr>
        <w:tc>
          <w:tcPr>
            <w:tcW w:w="5568" w:type="dxa"/>
            <w:vAlign w:val="bottom"/>
          </w:tcPr>
          <w:p w14:paraId="5C22490E" w14:textId="77777777" w:rsidR="00587444" w:rsidRPr="00587444" w:rsidRDefault="00587444" w:rsidP="00587444">
            <w:pPr>
              <w:tabs>
                <w:tab w:val="right" w:pos="1202"/>
              </w:tabs>
              <w:suppressAutoHyphens w:val="0"/>
              <w:autoSpaceDN/>
              <w:outlineLvl w:val="0"/>
              <w:rPr>
                <w:rFonts w:ascii="Arial" w:hAnsi="Arial" w:cs="Arial"/>
                <w:b/>
                <w:i/>
                <w:sz w:val="17"/>
                <w:szCs w:val="17"/>
                <w:highlight w:val="yellow"/>
              </w:rPr>
            </w:pPr>
            <w:r w:rsidRPr="00587444">
              <w:rPr>
                <w:rFonts w:ascii="Arial" w:hAnsi="Arial" w:cs="Arial"/>
                <w:b/>
                <w:i/>
                <w:sz w:val="17"/>
                <w:szCs w:val="17"/>
              </w:rPr>
              <w:t>Loans at FVPL:</w:t>
            </w:r>
          </w:p>
        </w:tc>
        <w:tc>
          <w:tcPr>
            <w:tcW w:w="1228" w:type="dxa"/>
            <w:tcBorders>
              <w:top w:val="nil"/>
              <w:left w:val="nil"/>
              <w:right w:val="nil"/>
            </w:tcBorders>
            <w:shd w:val="clear" w:color="auto" w:fill="auto"/>
            <w:vAlign w:val="bottom"/>
          </w:tcPr>
          <w:p w14:paraId="2A5979F3"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229" w:type="dxa"/>
            <w:tcBorders>
              <w:top w:val="nil"/>
              <w:left w:val="nil"/>
              <w:right w:val="nil"/>
            </w:tcBorders>
            <w:shd w:val="clear" w:color="auto" w:fill="auto"/>
            <w:vAlign w:val="bottom"/>
          </w:tcPr>
          <w:p w14:paraId="45A82D47"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230" w:type="dxa"/>
            <w:tcBorders>
              <w:top w:val="nil"/>
              <w:left w:val="nil"/>
              <w:right w:val="nil"/>
            </w:tcBorders>
            <w:shd w:val="clear" w:color="auto" w:fill="auto"/>
            <w:vAlign w:val="bottom"/>
          </w:tcPr>
          <w:p w14:paraId="5FDDDA01"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r>
      <w:tr w:rsidR="00587444" w:rsidRPr="00587444" w14:paraId="03B06505" w14:textId="77777777" w:rsidTr="00DD69E7">
        <w:trPr>
          <w:trHeight w:val="230"/>
          <w:jc w:val="center"/>
        </w:trPr>
        <w:tc>
          <w:tcPr>
            <w:tcW w:w="5568" w:type="dxa"/>
            <w:vAlign w:val="bottom"/>
          </w:tcPr>
          <w:p w14:paraId="11B64927"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Mezzanine loans</w:t>
            </w:r>
          </w:p>
        </w:tc>
        <w:tc>
          <w:tcPr>
            <w:tcW w:w="1228" w:type="dxa"/>
            <w:tcBorders>
              <w:top w:val="nil"/>
              <w:left w:val="nil"/>
              <w:right w:val="nil"/>
            </w:tcBorders>
            <w:shd w:val="clear" w:color="auto" w:fill="auto"/>
            <w:vAlign w:val="bottom"/>
          </w:tcPr>
          <w:p w14:paraId="192115E4"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 </w:t>
            </w:r>
          </w:p>
        </w:tc>
        <w:tc>
          <w:tcPr>
            <w:tcW w:w="1229" w:type="dxa"/>
            <w:tcBorders>
              <w:top w:val="nil"/>
              <w:left w:val="nil"/>
              <w:right w:val="nil"/>
            </w:tcBorders>
            <w:shd w:val="clear" w:color="auto" w:fill="auto"/>
            <w:vAlign w:val="bottom"/>
          </w:tcPr>
          <w:p w14:paraId="25519290"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 </w:t>
            </w:r>
          </w:p>
        </w:tc>
        <w:tc>
          <w:tcPr>
            <w:tcW w:w="1230" w:type="dxa"/>
            <w:tcBorders>
              <w:top w:val="nil"/>
              <w:left w:val="nil"/>
              <w:right w:val="nil"/>
            </w:tcBorders>
            <w:shd w:val="clear" w:color="auto" w:fill="auto"/>
            <w:vAlign w:val="bottom"/>
          </w:tcPr>
          <w:p w14:paraId="457063C5"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16,375 </w:t>
            </w:r>
          </w:p>
        </w:tc>
      </w:tr>
      <w:tr w:rsidR="00587444" w:rsidRPr="00587444" w14:paraId="0FA54A0C" w14:textId="77777777" w:rsidTr="00DD69E7">
        <w:trPr>
          <w:trHeight w:val="230"/>
          <w:jc w:val="center"/>
        </w:trPr>
        <w:tc>
          <w:tcPr>
            <w:tcW w:w="5568" w:type="dxa"/>
            <w:vAlign w:val="bottom"/>
          </w:tcPr>
          <w:p w14:paraId="21202C3D" w14:textId="77777777" w:rsidR="00587444" w:rsidRPr="00587444" w:rsidRDefault="00587444" w:rsidP="00587444">
            <w:pPr>
              <w:tabs>
                <w:tab w:val="right" w:pos="1202"/>
              </w:tabs>
              <w:suppressAutoHyphens w:val="0"/>
              <w:autoSpaceDN/>
              <w:outlineLvl w:val="0"/>
              <w:rPr>
                <w:rFonts w:ascii="Arial" w:hAnsi="Arial" w:cs="Arial"/>
                <w:b/>
                <w:i/>
                <w:sz w:val="17"/>
                <w:szCs w:val="17"/>
                <w:highlight w:val="yellow"/>
              </w:rPr>
            </w:pPr>
            <w:r w:rsidRPr="00587444">
              <w:rPr>
                <w:rFonts w:ascii="Arial" w:hAnsi="Arial" w:cs="Arial"/>
                <w:b/>
                <w:i/>
                <w:sz w:val="17"/>
                <w:szCs w:val="17"/>
              </w:rPr>
              <w:t>Investments in investment funds:</w:t>
            </w:r>
          </w:p>
        </w:tc>
        <w:tc>
          <w:tcPr>
            <w:tcW w:w="1228" w:type="dxa"/>
            <w:tcBorders>
              <w:top w:val="nil"/>
              <w:left w:val="nil"/>
              <w:right w:val="nil"/>
            </w:tcBorders>
            <w:shd w:val="clear" w:color="auto" w:fill="auto"/>
            <w:vAlign w:val="bottom"/>
          </w:tcPr>
          <w:p w14:paraId="6A4DD535"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29" w:type="dxa"/>
            <w:tcBorders>
              <w:top w:val="nil"/>
              <w:left w:val="nil"/>
              <w:right w:val="nil"/>
            </w:tcBorders>
            <w:shd w:val="clear" w:color="auto" w:fill="auto"/>
            <w:vAlign w:val="bottom"/>
          </w:tcPr>
          <w:p w14:paraId="46F9432C"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30" w:type="dxa"/>
            <w:tcBorders>
              <w:top w:val="nil"/>
              <w:left w:val="nil"/>
              <w:right w:val="nil"/>
            </w:tcBorders>
            <w:shd w:val="clear" w:color="auto" w:fill="auto"/>
            <w:vAlign w:val="bottom"/>
          </w:tcPr>
          <w:p w14:paraId="6392BE8E"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587444" w:rsidRPr="00587444" w14:paraId="43D83FB1" w14:textId="77777777" w:rsidTr="00DD69E7">
        <w:trPr>
          <w:trHeight w:val="230"/>
          <w:jc w:val="center"/>
        </w:trPr>
        <w:tc>
          <w:tcPr>
            <w:tcW w:w="5568" w:type="dxa"/>
            <w:vAlign w:val="bottom"/>
          </w:tcPr>
          <w:p w14:paraId="53165685" w14:textId="77777777" w:rsidR="00587444" w:rsidRPr="00587444" w:rsidRDefault="00587444" w:rsidP="00587444">
            <w:pPr>
              <w:tabs>
                <w:tab w:val="right" w:pos="1202"/>
              </w:tabs>
              <w:suppressAutoHyphens w:val="0"/>
              <w:autoSpaceDN/>
              <w:outlineLvl w:val="0"/>
              <w:rPr>
                <w:rFonts w:ascii="Arial" w:hAnsi="Arial" w:cs="Arial"/>
                <w:b/>
                <w:i/>
                <w:sz w:val="17"/>
                <w:szCs w:val="17"/>
                <w:highlight w:val="yellow"/>
              </w:rPr>
            </w:pPr>
            <w:r w:rsidRPr="00587444">
              <w:rPr>
                <w:rFonts w:ascii="Arial" w:hAnsi="Arial" w:cs="Arial"/>
                <w:sz w:val="17"/>
                <w:szCs w:val="17"/>
              </w:rPr>
              <w:t>Investments in investment funds at fair value through profit or loss</w:t>
            </w:r>
          </w:p>
        </w:tc>
        <w:tc>
          <w:tcPr>
            <w:tcW w:w="1228" w:type="dxa"/>
            <w:tcBorders>
              <w:top w:val="nil"/>
              <w:left w:val="nil"/>
              <w:right w:val="nil"/>
            </w:tcBorders>
            <w:shd w:val="clear" w:color="auto" w:fill="auto"/>
            <w:vAlign w:val="bottom"/>
          </w:tcPr>
          <w:p w14:paraId="1B0213F2"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202,260 </w:t>
            </w:r>
          </w:p>
        </w:tc>
        <w:tc>
          <w:tcPr>
            <w:tcW w:w="1229" w:type="dxa"/>
            <w:tcBorders>
              <w:top w:val="nil"/>
              <w:left w:val="nil"/>
              <w:right w:val="nil"/>
            </w:tcBorders>
            <w:shd w:val="clear" w:color="auto" w:fill="auto"/>
            <w:vAlign w:val="bottom"/>
          </w:tcPr>
          <w:p w14:paraId="39C3E668"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 </w:t>
            </w:r>
          </w:p>
        </w:tc>
        <w:tc>
          <w:tcPr>
            <w:tcW w:w="1230" w:type="dxa"/>
            <w:tcBorders>
              <w:top w:val="nil"/>
              <w:left w:val="nil"/>
              <w:right w:val="nil"/>
            </w:tcBorders>
            <w:shd w:val="clear" w:color="auto" w:fill="auto"/>
            <w:vAlign w:val="bottom"/>
          </w:tcPr>
          <w:p w14:paraId="2B6B062A"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 </w:t>
            </w:r>
          </w:p>
        </w:tc>
      </w:tr>
      <w:tr w:rsidR="00587444" w:rsidRPr="00587444" w14:paraId="48F7C25F" w14:textId="77777777" w:rsidTr="00DD69E7">
        <w:trPr>
          <w:trHeight w:val="195"/>
          <w:jc w:val="center"/>
        </w:trPr>
        <w:tc>
          <w:tcPr>
            <w:tcW w:w="5568" w:type="dxa"/>
            <w:vAlign w:val="bottom"/>
          </w:tcPr>
          <w:p w14:paraId="5A10393F" w14:textId="77777777" w:rsidR="00587444" w:rsidRPr="00587444" w:rsidRDefault="00587444" w:rsidP="00587444">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Equity instruments:</w:t>
            </w:r>
          </w:p>
          <w:p w14:paraId="3B711ED2" w14:textId="77777777" w:rsidR="00587444" w:rsidRPr="00587444" w:rsidRDefault="00587444" w:rsidP="00587444">
            <w:pPr>
              <w:tabs>
                <w:tab w:val="right" w:pos="1202"/>
              </w:tabs>
              <w:suppressAutoHyphens w:val="0"/>
              <w:autoSpaceDN/>
              <w:outlineLvl w:val="0"/>
              <w:rPr>
                <w:rFonts w:ascii="Arial" w:hAnsi="Arial" w:cs="Arial"/>
                <w:b/>
                <w:i/>
                <w:spacing w:val="-2"/>
                <w:sz w:val="17"/>
                <w:szCs w:val="17"/>
              </w:rPr>
            </w:pPr>
            <w:r w:rsidRPr="00587444">
              <w:rPr>
                <w:rFonts w:ascii="Arial" w:hAnsi="Arial" w:cs="Arial"/>
                <w:b/>
                <w:i/>
                <w:spacing w:val="-2"/>
                <w:sz w:val="17"/>
                <w:szCs w:val="17"/>
              </w:rPr>
              <w:t>Listed equity instruments:</w:t>
            </w:r>
          </w:p>
          <w:p w14:paraId="7DB83E92"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Investments in corporate shares</w:t>
            </w:r>
          </w:p>
        </w:tc>
        <w:tc>
          <w:tcPr>
            <w:tcW w:w="1228" w:type="dxa"/>
            <w:tcBorders>
              <w:top w:val="nil"/>
              <w:left w:val="nil"/>
              <w:right w:val="nil"/>
            </w:tcBorders>
            <w:shd w:val="clear" w:color="auto" w:fill="auto"/>
            <w:vAlign w:val="bottom"/>
          </w:tcPr>
          <w:p w14:paraId="2045508A"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c>
          <w:tcPr>
            <w:tcW w:w="1229" w:type="dxa"/>
            <w:tcBorders>
              <w:top w:val="nil"/>
              <w:left w:val="nil"/>
              <w:right w:val="nil"/>
            </w:tcBorders>
            <w:shd w:val="clear" w:color="auto" w:fill="auto"/>
            <w:vAlign w:val="bottom"/>
          </w:tcPr>
          <w:p w14:paraId="1E2F8E62"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c>
          <w:tcPr>
            <w:tcW w:w="1230" w:type="dxa"/>
            <w:tcBorders>
              <w:top w:val="nil"/>
              <w:left w:val="nil"/>
              <w:right w:val="nil"/>
            </w:tcBorders>
            <w:shd w:val="clear" w:color="auto" w:fill="auto"/>
            <w:vAlign w:val="bottom"/>
          </w:tcPr>
          <w:p w14:paraId="21760DAF"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 xml:space="preserve">    -</w:t>
            </w:r>
          </w:p>
        </w:tc>
      </w:tr>
      <w:tr w:rsidR="00587444" w:rsidRPr="00587444" w14:paraId="596CC56A" w14:textId="77777777" w:rsidTr="00DD69E7">
        <w:trPr>
          <w:trHeight w:val="195"/>
          <w:jc w:val="center"/>
        </w:trPr>
        <w:tc>
          <w:tcPr>
            <w:tcW w:w="5568" w:type="dxa"/>
            <w:vAlign w:val="bottom"/>
          </w:tcPr>
          <w:p w14:paraId="63E8A182"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r w:rsidRPr="00587444">
              <w:rPr>
                <w:rFonts w:ascii="Arial" w:hAnsi="Arial" w:cs="Arial"/>
                <w:b/>
                <w:i/>
                <w:spacing w:val="-2"/>
                <w:sz w:val="17"/>
                <w:szCs w:val="17"/>
              </w:rPr>
              <w:t>Unlisted equity instruments:</w:t>
            </w:r>
          </w:p>
        </w:tc>
        <w:tc>
          <w:tcPr>
            <w:tcW w:w="1228" w:type="dxa"/>
            <w:tcBorders>
              <w:left w:val="nil"/>
              <w:right w:val="nil"/>
            </w:tcBorders>
            <w:shd w:val="clear" w:color="auto" w:fill="auto"/>
            <w:vAlign w:val="bottom"/>
          </w:tcPr>
          <w:p w14:paraId="6E88E0C0"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29" w:type="dxa"/>
            <w:tcBorders>
              <w:top w:val="nil"/>
              <w:left w:val="nil"/>
              <w:right w:val="nil"/>
            </w:tcBorders>
            <w:shd w:val="clear" w:color="auto" w:fill="auto"/>
            <w:vAlign w:val="bottom"/>
          </w:tcPr>
          <w:p w14:paraId="14230E81"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30" w:type="dxa"/>
            <w:tcBorders>
              <w:top w:val="nil"/>
              <w:left w:val="nil"/>
              <w:right w:val="nil"/>
            </w:tcBorders>
            <w:shd w:val="clear" w:color="auto" w:fill="auto"/>
            <w:vAlign w:val="bottom"/>
          </w:tcPr>
          <w:p w14:paraId="1FF01BF2"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587444" w:rsidRPr="00587444" w14:paraId="1787A9CD" w14:textId="77777777" w:rsidTr="00DD69E7">
        <w:trPr>
          <w:trHeight w:hRule="exact" w:val="230"/>
          <w:jc w:val="center"/>
        </w:trPr>
        <w:tc>
          <w:tcPr>
            <w:tcW w:w="5568" w:type="dxa"/>
            <w:shd w:val="clear" w:color="auto" w:fill="auto"/>
            <w:vAlign w:val="bottom"/>
          </w:tcPr>
          <w:p w14:paraId="3CDE5DAF" w14:textId="77777777" w:rsidR="00587444" w:rsidRPr="00587444" w:rsidRDefault="00587444" w:rsidP="00587444">
            <w:pPr>
              <w:tabs>
                <w:tab w:val="right" w:pos="1202"/>
              </w:tabs>
              <w:suppressAutoHyphens w:val="0"/>
              <w:autoSpaceDN/>
              <w:outlineLvl w:val="0"/>
              <w:rPr>
                <w:rFonts w:ascii="Arial" w:hAnsi="Arial" w:cs="Arial"/>
                <w:b/>
                <w:i/>
                <w:spacing w:val="-2"/>
                <w:sz w:val="17"/>
                <w:szCs w:val="17"/>
              </w:rPr>
            </w:pPr>
            <w:r w:rsidRPr="00587444">
              <w:rPr>
                <w:rFonts w:ascii="Arial" w:hAnsi="Arial" w:cs="Arial"/>
                <w:sz w:val="17"/>
                <w:szCs w:val="17"/>
              </w:rPr>
              <w:t>Investments in corporate shares</w:t>
            </w:r>
          </w:p>
        </w:tc>
        <w:tc>
          <w:tcPr>
            <w:tcW w:w="1228" w:type="dxa"/>
            <w:tcBorders>
              <w:left w:val="nil"/>
              <w:right w:val="nil"/>
            </w:tcBorders>
            <w:shd w:val="clear" w:color="auto" w:fill="auto"/>
            <w:vAlign w:val="bottom"/>
          </w:tcPr>
          <w:p w14:paraId="39BCC4D0"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 </w:t>
            </w:r>
          </w:p>
        </w:tc>
        <w:tc>
          <w:tcPr>
            <w:tcW w:w="1229" w:type="dxa"/>
            <w:tcBorders>
              <w:top w:val="nil"/>
              <w:left w:val="nil"/>
              <w:right w:val="nil"/>
            </w:tcBorders>
            <w:shd w:val="clear" w:color="auto" w:fill="auto"/>
            <w:vAlign w:val="bottom"/>
          </w:tcPr>
          <w:p w14:paraId="19D728EC"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 </w:t>
            </w:r>
          </w:p>
        </w:tc>
        <w:tc>
          <w:tcPr>
            <w:tcW w:w="1230" w:type="dxa"/>
            <w:tcBorders>
              <w:top w:val="nil"/>
              <w:left w:val="nil"/>
              <w:right w:val="nil"/>
            </w:tcBorders>
            <w:shd w:val="clear" w:color="auto" w:fill="auto"/>
            <w:vAlign w:val="bottom"/>
          </w:tcPr>
          <w:p w14:paraId="6E49928A"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31 </w:t>
            </w:r>
          </w:p>
        </w:tc>
      </w:tr>
      <w:tr w:rsidR="00587444" w:rsidRPr="00587444" w14:paraId="1AF6E825" w14:textId="77777777" w:rsidTr="00DD69E7">
        <w:trPr>
          <w:trHeight w:hRule="exact" w:val="230"/>
          <w:jc w:val="center"/>
        </w:trPr>
        <w:tc>
          <w:tcPr>
            <w:tcW w:w="5568" w:type="dxa"/>
            <w:shd w:val="clear" w:color="auto" w:fill="auto"/>
            <w:vAlign w:val="bottom"/>
          </w:tcPr>
          <w:p w14:paraId="4A89E614" w14:textId="77777777" w:rsidR="00587444" w:rsidRPr="00587444" w:rsidRDefault="00587444" w:rsidP="00587444">
            <w:pPr>
              <w:tabs>
                <w:tab w:val="right" w:pos="1202"/>
              </w:tabs>
              <w:suppressAutoHyphens w:val="0"/>
              <w:autoSpaceDN/>
              <w:outlineLvl w:val="0"/>
              <w:rPr>
                <w:rFonts w:ascii="Arial" w:hAnsi="Arial" w:cs="Arial"/>
                <w:sz w:val="17"/>
                <w:szCs w:val="17"/>
              </w:rPr>
            </w:pPr>
            <w:r w:rsidRPr="00587444">
              <w:rPr>
                <w:rFonts w:ascii="Arial" w:hAnsi="Arial" w:cs="Arial"/>
                <w:sz w:val="17"/>
                <w:szCs w:val="17"/>
              </w:rPr>
              <w:t>Depository receipt - DR</w:t>
            </w:r>
          </w:p>
        </w:tc>
        <w:tc>
          <w:tcPr>
            <w:tcW w:w="1228" w:type="dxa"/>
            <w:tcBorders>
              <w:left w:val="nil"/>
              <w:right w:val="nil"/>
            </w:tcBorders>
            <w:shd w:val="clear" w:color="auto" w:fill="auto"/>
            <w:vAlign w:val="bottom"/>
          </w:tcPr>
          <w:p w14:paraId="274C677B"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c>
          <w:tcPr>
            <w:tcW w:w="1229" w:type="dxa"/>
            <w:tcBorders>
              <w:top w:val="nil"/>
              <w:left w:val="nil"/>
              <w:right w:val="nil"/>
            </w:tcBorders>
            <w:shd w:val="clear" w:color="auto" w:fill="auto"/>
            <w:vAlign w:val="bottom"/>
          </w:tcPr>
          <w:p w14:paraId="392AA7D6"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c>
          <w:tcPr>
            <w:tcW w:w="1230" w:type="dxa"/>
            <w:tcBorders>
              <w:top w:val="nil"/>
              <w:left w:val="nil"/>
              <w:right w:val="nil"/>
            </w:tcBorders>
            <w:shd w:val="clear" w:color="auto" w:fill="auto"/>
            <w:vAlign w:val="bottom"/>
          </w:tcPr>
          <w:p w14:paraId="34758187"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318 </w:t>
            </w:r>
          </w:p>
        </w:tc>
      </w:tr>
      <w:tr w:rsidR="00587444" w:rsidRPr="00587444" w14:paraId="3349E165" w14:textId="77777777" w:rsidTr="00DD69E7">
        <w:trPr>
          <w:trHeight w:val="254"/>
          <w:jc w:val="center"/>
        </w:trPr>
        <w:tc>
          <w:tcPr>
            <w:tcW w:w="5568" w:type="dxa"/>
            <w:vAlign w:val="bottom"/>
          </w:tcPr>
          <w:p w14:paraId="0D348D97"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r w:rsidRPr="00587444">
              <w:rPr>
                <w:rFonts w:ascii="Arial" w:hAnsi="Arial" w:cs="Arial"/>
                <w:b/>
                <w:sz w:val="17"/>
                <w:szCs w:val="17"/>
              </w:rPr>
              <w:t>Total financial assets at fair value through profit or loss</w:t>
            </w:r>
          </w:p>
        </w:tc>
        <w:tc>
          <w:tcPr>
            <w:tcW w:w="1228" w:type="dxa"/>
            <w:tcBorders>
              <w:top w:val="single" w:sz="4" w:space="0" w:color="auto"/>
              <w:left w:val="nil"/>
              <w:bottom w:val="single" w:sz="12" w:space="0" w:color="auto"/>
              <w:right w:val="nil"/>
            </w:tcBorders>
            <w:shd w:val="clear" w:color="auto" w:fill="auto"/>
            <w:vAlign w:val="bottom"/>
          </w:tcPr>
          <w:p w14:paraId="34288B89"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hAnsi="Arial" w:cs="Arial"/>
                <w:b/>
                <w:bCs/>
                <w:sz w:val="17"/>
                <w:szCs w:val="17"/>
              </w:rPr>
              <w:t xml:space="preserve"> 202,260 </w:t>
            </w:r>
          </w:p>
        </w:tc>
        <w:tc>
          <w:tcPr>
            <w:tcW w:w="1229" w:type="dxa"/>
            <w:tcBorders>
              <w:top w:val="single" w:sz="4" w:space="0" w:color="auto"/>
              <w:left w:val="nil"/>
              <w:bottom w:val="single" w:sz="12" w:space="0" w:color="auto"/>
              <w:right w:val="nil"/>
            </w:tcBorders>
            <w:shd w:val="clear" w:color="auto" w:fill="auto"/>
            <w:vAlign w:val="bottom"/>
          </w:tcPr>
          <w:p w14:paraId="127DCAA8"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hAnsi="Arial" w:cs="Arial"/>
                <w:b/>
                <w:bCs/>
                <w:sz w:val="17"/>
                <w:szCs w:val="17"/>
              </w:rPr>
              <w:t xml:space="preserve"> - </w:t>
            </w:r>
          </w:p>
        </w:tc>
        <w:tc>
          <w:tcPr>
            <w:tcW w:w="1230" w:type="dxa"/>
            <w:tcBorders>
              <w:top w:val="single" w:sz="4" w:space="0" w:color="auto"/>
              <w:left w:val="nil"/>
              <w:bottom w:val="single" w:sz="12" w:space="0" w:color="auto"/>
              <w:right w:val="nil"/>
            </w:tcBorders>
            <w:shd w:val="clear" w:color="auto" w:fill="auto"/>
            <w:vAlign w:val="bottom"/>
          </w:tcPr>
          <w:p w14:paraId="7ED4583C"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hAnsi="Arial" w:cs="Arial"/>
                <w:b/>
                <w:bCs/>
                <w:sz w:val="17"/>
                <w:szCs w:val="17"/>
              </w:rPr>
              <w:t xml:space="preserve"> 16,724 </w:t>
            </w:r>
          </w:p>
        </w:tc>
      </w:tr>
      <w:tr w:rsidR="00587444" w:rsidRPr="00587444" w14:paraId="17A2D3BC" w14:textId="77777777" w:rsidTr="00DD69E7">
        <w:trPr>
          <w:trHeight w:val="174"/>
          <w:jc w:val="center"/>
        </w:trPr>
        <w:tc>
          <w:tcPr>
            <w:tcW w:w="5568" w:type="dxa"/>
            <w:shd w:val="clear" w:color="auto" w:fill="auto"/>
            <w:vAlign w:val="bottom"/>
          </w:tcPr>
          <w:p w14:paraId="3919FD6E" w14:textId="77777777" w:rsidR="001D0F84" w:rsidRDefault="00587444" w:rsidP="00587444">
            <w:pPr>
              <w:tabs>
                <w:tab w:val="right" w:pos="1202"/>
              </w:tabs>
              <w:suppressAutoHyphens w:val="0"/>
              <w:autoSpaceDN/>
              <w:outlineLvl w:val="0"/>
              <w:rPr>
                <w:rFonts w:ascii="Arial" w:hAnsi="Arial" w:cs="Arial"/>
                <w:b/>
                <w:spacing w:val="-2"/>
                <w:sz w:val="17"/>
                <w:szCs w:val="17"/>
              </w:rPr>
            </w:pPr>
            <w:r w:rsidRPr="00587444">
              <w:rPr>
                <w:rFonts w:ascii="Arial" w:hAnsi="Arial" w:cs="Arial"/>
                <w:b/>
                <w:spacing w:val="-2"/>
                <w:sz w:val="17"/>
                <w:szCs w:val="17"/>
              </w:rPr>
              <w:t xml:space="preserve">Financial assets at fair value through other comprehensive </w:t>
            </w:r>
          </w:p>
          <w:p w14:paraId="3458B33D" w14:textId="244D0087" w:rsidR="00587444" w:rsidRPr="00587444" w:rsidRDefault="00587444" w:rsidP="00587444">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income:</w:t>
            </w:r>
          </w:p>
        </w:tc>
        <w:tc>
          <w:tcPr>
            <w:tcW w:w="1228" w:type="dxa"/>
            <w:vAlign w:val="bottom"/>
          </w:tcPr>
          <w:p w14:paraId="49E0F2F1"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29" w:type="dxa"/>
            <w:vAlign w:val="bottom"/>
          </w:tcPr>
          <w:p w14:paraId="55D4E1D7"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30" w:type="dxa"/>
            <w:vAlign w:val="bottom"/>
          </w:tcPr>
          <w:p w14:paraId="62E8CA39"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587444" w:rsidRPr="00587444" w14:paraId="0E52943A" w14:textId="77777777" w:rsidTr="00DD69E7">
        <w:trPr>
          <w:trHeight w:val="246"/>
          <w:jc w:val="center"/>
        </w:trPr>
        <w:tc>
          <w:tcPr>
            <w:tcW w:w="5568" w:type="dxa"/>
            <w:shd w:val="clear" w:color="auto" w:fill="auto"/>
            <w:vAlign w:val="bottom"/>
          </w:tcPr>
          <w:p w14:paraId="5CA1A3C5" w14:textId="77777777" w:rsidR="00587444" w:rsidRPr="00587444" w:rsidRDefault="00587444" w:rsidP="00587444">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Debt instruments:</w:t>
            </w:r>
          </w:p>
        </w:tc>
        <w:tc>
          <w:tcPr>
            <w:tcW w:w="1228" w:type="dxa"/>
            <w:vAlign w:val="bottom"/>
          </w:tcPr>
          <w:p w14:paraId="4014998E"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29" w:type="dxa"/>
            <w:vAlign w:val="bottom"/>
          </w:tcPr>
          <w:p w14:paraId="7153A005"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30" w:type="dxa"/>
            <w:vAlign w:val="bottom"/>
          </w:tcPr>
          <w:p w14:paraId="302ECBF0"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587444" w:rsidRPr="00587444" w14:paraId="43B1123F" w14:textId="77777777" w:rsidTr="00DD69E7">
        <w:trPr>
          <w:trHeight w:val="246"/>
          <w:jc w:val="center"/>
        </w:trPr>
        <w:tc>
          <w:tcPr>
            <w:tcW w:w="5568" w:type="dxa"/>
            <w:shd w:val="clear" w:color="auto" w:fill="auto"/>
            <w:vAlign w:val="bottom"/>
          </w:tcPr>
          <w:p w14:paraId="110D26FA" w14:textId="77777777" w:rsidR="00587444" w:rsidRPr="00587444" w:rsidRDefault="00587444" w:rsidP="00587444">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Listed debt instruments:</w:t>
            </w:r>
          </w:p>
        </w:tc>
        <w:tc>
          <w:tcPr>
            <w:tcW w:w="1228" w:type="dxa"/>
            <w:vAlign w:val="bottom"/>
          </w:tcPr>
          <w:p w14:paraId="409CF73F"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29" w:type="dxa"/>
            <w:vAlign w:val="bottom"/>
          </w:tcPr>
          <w:p w14:paraId="60C60F17"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30" w:type="dxa"/>
            <w:vAlign w:val="bottom"/>
          </w:tcPr>
          <w:p w14:paraId="293DD214"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587444" w:rsidRPr="00587444" w14:paraId="339A7B0D" w14:textId="77777777" w:rsidTr="00DD69E7">
        <w:trPr>
          <w:trHeight w:val="246"/>
          <w:jc w:val="center"/>
        </w:trPr>
        <w:tc>
          <w:tcPr>
            <w:tcW w:w="5568" w:type="dxa"/>
            <w:shd w:val="clear" w:color="auto" w:fill="auto"/>
            <w:vAlign w:val="bottom"/>
          </w:tcPr>
          <w:p w14:paraId="7B15D193"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Bonds of the Republic of Croatia</w:t>
            </w:r>
          </w:p>
        </w:tc>
        <w:tc>
          <w:tcPr>
            <w:tcW w:w="1228" w:type="dxa"/>
            <w:tcBorders>
              <w:top w:val="nil"/>
              <w:left w:val="nil"/>
              <w:bottom w:val="nil"/>
              <w:right w:val="nil"/>
            </w:tcBorders>
            <w:shd w:val="clear" w:color="auto" w:fill="auto"/>
            <w:vAlign w:val="bottom"/>
          </w:tcPr>
          <w:p w14:paraId="0F15FAAD"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1,358,981 </w:t>
            </w:r>
          </w:p>
        </w:tc>
        <w:tc>
          <w:tcPr>
            <w:tcW w:w="1229" w:type="dxa"/>
            <w:tcBorders>
              <w:top w:val="nil"/>
              <w:left w:val="nil"/>
              <w:bottom w:val="nil"/>
              <w:right w:val="nil"/>
            </w:tcBorders>
            <w:shd w:val="clear" w:color="auto" w:fill="auto"/>
            <w:vAlign w:val="bottom"/>
          </w:tcPr>
          <w:p w14:paraId="593E8581"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 </w:t>
            </w:r>
          </w:p>
        </w:tc>
        <w:tc>
          <w:tcPr>
            <w:tcW w:w="1230" w:type="dxa"/>
            <w:tcBorders>
              <w:top w:val="nil"/>
              <w:left w:val="nil"/>
              <w:bottom w:val="nil"/>
              <w:right w:val="nil"/>
            </w:tcBorders>
            <w:shd w:val="clear" w:color="auto" w:fill="auto"/>
            <w:vAlign w:val="bottom"/>
          </w:tcPr>
          <w:p w14:paraId="4E948AB7"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 </w:t>
            </w:r>
          </w:p>
        </w:tc>
      </w:tr>
      <w:tr w:rsidR="00587444" w:rsidRPr="00587444" w14:paraId="7589D744" w14:textId="77777777" w:rsidTr="00DD69E7">
        <w:trPr>
          <w:trHeight w:val="246"/>
          <w:jc w:val="center"/>
        </w:trPr>
        <w:tc>
          <w:tcPr>
            <w:tcW w:w="5568" w:type="dxa"/>
            <w:shd w:val="clear" w:color="auto" w:fill="auto"/>
            <w:vAlign w:val="bottom"/>
          </w:tcPr>
          <w:p w14:paraId="486F8321"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Corporate bonds</w:t>
            </w:r>
          </w:p>
        </w:tc>
        <w:tc>
          <w:tcPr>
            <w:tcW w:w="1228" w:type="dxa"/>
            <w:tcBorders>
              <w:top w:val="nil"/>
              <w:left w:val="nil"/>
              <w:bottom w:val="nil"/>
              <w:right w:val="nil"/>
            </w:tcBorders>
            <w:shd w:val="clear" w:color="auto" w:fill="auto"/>
            <w:vAlign w:val="bottom"/>
          </w:tcPr>
          <w:p w14:paraId="790667EB"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2,393 </w:t>
            </w:r>
          </w:p>
        </w:tc>
        <w:tc>
          <w:tcPr>
            <w:tcW w:w="1229" w:type="dxa"/>
            <w:tcBorders>
              <w:top w:val="nil"/>
              <w:left w:val="nil"/>
              <w:bottom w:val="nil"/>
              <w:right w:val="nil"/>
            </w:tcBorders>
            <w:shd w:val="clear" w:color="auto" w:fill="auto"/>
            <w:vAlign w:val="bottom"/>
          </w:tcPr>
          <w:p w14:paraId="05CDA7E6"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 </w:t>
            </w:r>
          </w:p>
        </w:tc>
        <w:tc>
          <w:tcPr>
            <w:tcW w:w="1230" w:type="dxa"/>
            <w:tcBorders>
              <w:top w:val="nil"/>
              <w:left w:val="nil"/>
              <w:bottom w:val="nil"/>
              <w:right w:val="nil"/>
            </w:tcBorders>
            <w:shd w:val="clear" w:color="auto" w:fill="auto"/>
            <w:vAlign w:val="bottom"/>
          </w:tcPr>
          <w:p w14:paraId="3DAECA0B"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 </w:t>
            </w:r>
          </w:p>
        </w:tc>
      </w:tr>
      <w:tr w:rsidR="00587444" w:rsidRPr="00587444" w14:paraId="6848A684" w14:textId="77777777" w:rsidTr="00DD69E7">
        <w:trPr>
          <w:trHeight w:val="246"/>
          <w:jc w:val="center"/>
        </w:trPr>
        <w:tc>
          <w:tcPr>
            <w:tcW w:w="5568" w:type="dxa"/>
            <w:shd w:val="clear" w:color="auto" w:fill="auto"/>
            <w:vAlign w:val="bottom"/>
          </w:tcPr>
          <w:p w14:paraId="441452A6"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 xml:space="preserve">Treasury bills of the Ministry of Finance </w:t>
            </w:r>
          </w:p>
        </w:tc>
        <w:tc>
          <w:tcPr>
            <w:tcW w:w="1228" w:type="dxa"/>
            <w:tcBorders>
              <w:top w:val="nil"/>
              <w:left w:val="nil"/>
              <w:bottom w:val="nil"/>
              <w:right w:val="nil"/>
            </w:tcBorders>
            <w:shd w:val="clear" w:color="auto" w:fill="auto"/>
            <w:vAlign w:val="bottom"/>
          </w:tcPr>
          <w:p w14:paraId="5AB38963"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w:t>
            </w:r>
          </w:p>
        </w:tc>
        <w:tc>
          <w:tcPr>
            <w:tcW w:w="1229" w:type="dxa"/>
            <w:tcBorders>
              <w:top w:val="nil"/>
              <w:left w:val="nil"/>
              <w:bottom w:val="nil"/>
              <w:right w:val="nil"/>
            </w:tcBorders>
            <w:shd w:val="clear" w:color="auto" w:fill="auto"/>
            <w:vAlign w:val="bottom"/>
          </w:tcPr>
          <w:p w14:paraId="34AA8810"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1,550,344</w:t>
            </w:r>
          </w:p>
        </w:tc>
        <w:tc>
          <w:tcPr>
            <w:tcW w:w="1230" w:type="dxa"/>
            <w:tcBorders>
              <w:top w:val="nil"/>
              <w:left w:val="nil"/>
              <w:bottom w:val="nil"/>
              <w:right w:val="nil"/>
            </w:tcBorders>
            <w:shd w:val="clear" w:color="auto" w:fill="auto"/>
            <w:vAlign w:val="bottom"/>
          </w:tcPr>
          <w:p w14:paraId="0D329346"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 </w:t>
            </w:r>
          </w:p>
        </w:tc>
      </w:tr>
      <w:tr w:rsidR="00587444" w:rsidRPr="00587444" w14:paraId="05B3ED8C" w14:textId="77777777" w:rsidTr="00DD69E7">
        <w:trPr>
          <w:trHeight w:val="246"/>
          <w:jc w:val="center"/>
        </w:trPr>
        <w:tc>
          <w:tcPr>
            <w:tcW w:w="5568" w:type="dxa"/>
            <w:shd w:val="clear" w:color="auto" w:fill="auto"/>
            <w:vAlign w:val="bottom"/>
          </w:tcPr>
          <w:p w14:paraId="4628F7BC"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 xml:space="preserve">Accrued interest </w:t>
            </w:r>
          </w:p>
        </w:tc>
        <w:tc>
          <w:tcPr>
            <w:tcW w:w="1228" w:type="dxa"/>
            <w:tcBorders>
              <w:top w:val="nil"/>
              <w:left w:val="nil"/>
              <w:bottom w:val="nil"/>
              <w:right w:val="nil"/>
            </w:tcBorders>
            <w:shd w:val="clear" w:color="auto" w:fill="auto"/>
            <w:vAlign w:val="bottom"/>
          </w:tcPr>
          <w:p w14:paraId="2CB4C2B6"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15,620 </w:t>
            </w:r>
          </w:p>
        </w:tc>
        <w:tc>
          <w:tcPr>
            <w:tcW w:w="1229" w:type="dxa"/>
            <w:tcBorders>
              <w:top w:val="nil"/>
              <w:left w:val="nil"/>
              <w:bottom w:val="nil"/>
              <w:right w:val="nil"/>
            </w:tcBorders>
            <w:shd w:val="clear" w:color="auto" w:fill="auto"/>
            <w:vAlign w:val="bottom"/>
          </w:tcPr>
          <w:p w14:paraId="2D9E8AAC"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 </w:t>
            </w:r>
          </w:p>
        </w:tc>
        <w:tc>
          <w:tcPr>
            <w:tcW w:w="1230" w:type="dxa"/>
            <w:tcBorders>
              <w:top w:val="nil"/>
              <w:left w:val="nil"/>
              <w:bottom w:val="nil"/>
              <w:right w:val="nil"/>
            </w:tcBorders>
            <w:shd w:val="clear" w:color="auto" w:fill="auto"/>
            <w:vAlign w:val="bottom"/>
          </w:tcPr>
          <w:p w14:paraId="363AB80F"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 </w:t>
            </w:r>
          </w:p>
        </w:tc>
      </w:tr>
      <w:tr w:rsidR="00587444" w:rsidRPr="00587444" w14:paraId="70779D30" w14:textId="77777777" w:rsidTr="00DD69E7">
        <w:trPr>
          <w:trHeight w:val="246"/>
          <w:jc w:val="center"/>
        </w:trPr>
        <w:tc>
          <w:tcPr>
            <w:tcW w:w="5568" w:type="dxa"/>
            <w:shd w:val="clear" w:color="auto" w:fill="auto"/>
            <w:vAlign w:val="bottom"/>
          </w:tcPr>
          <w:p w14:paraId="62ACBC05" w14:textId="77777777" w:rsidR="00587444" w:rsidRPr="00587444" w:rsidRDefault="00587444" w:rsidP="00587444">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Unlisted debt instruments:</w:t>
            </w:r>
          </w:p>
        </w:tc>
        <w:tc>
          <w:tcPr>
            <w:tcW w:w="1228" w:type="dxa"/>
            <w:tcBorders>
              <w:top w:val="nil"/>
              <w:left w:val="nil"/>
              <w:bottom w:val="nil"/>
              <w:right w:val="nil"/>
            </w:tcBorders>
            <w:shd w:val="clear" w:color="auto" w:fill="auto"/>
            <w:vAlign w:val="bottom"/>
          </w:tcPr>
          <w:p w14:paraId="17B5F372"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29" w:type="dxa"/>
            <w:tcBorders>
              <w:top w:val="nil"/>
              <w:left w:val="nil"/>
              <w:bottom w:val="nil"/>
              <w:right w:val="nil"/>
            </w:tcBorders>
            <w:shd w:val="clear" w:color="auto" w:fill="auto"/>
            <w:vAlign w:val="bottom"/>
          </w:tcPr>
          <w:p w14:paraId="3A4917E8"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30" w:type="dxa"/>
            <w:tcBorders>
              <w:top w:val="nil"/>
              <w:left w:val="nil"/>
              <w:bottom w:val="nil"/>
              <w:right w:val="nil"/>
            </w:tcBorders>
            <w:shd w:val="clear" w:color="auto" w:fill="auto"/>
            <w:vAlign w:val="bottom"/>
          </w:tcPr>
          <w:p w14:paraId="212701AA"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587444" w:rsidRPr="00587444" w14:paraId="06AF6E2A" w14:textId="77777777" w:rsidTr="00DD69E7">
        <w:trPr>
          <w:trHeight w:val="246"/>
          <w:jc w:val="center"/>
        </w:trPr>
        <w:tc>
          <w:tcPr>
            <w:tcW w:w="5568" w:type="dxa"/>
            <w:shd w:val="clear" w:color="auto" w:fill="auto"/>
            <w:vAlign w:val="bottom"/>
          </w:tcPr>
          <w:p w14:paraId="37D630C0" w14:textId="77777777" w:rsidR="00587444" w:rsidRPr="00587444" w:rsidRDefault="00587444" w:rsidP="00587444">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Corporate bonds</w:t>
            </w:r>
          </w:p>
        </w:tc>
        <w:tc>
          <w:tcPr>
            <w:tcW w:w="1228" w:type="dxa"/>
            <w:tcBorders>
              <w:top w:val="nil"/>
              <w:left w:val="nil"/>
              <w:bottom w:val="nil"/>
              <w:right w:val="nil"/>
            </w:tcBorders>
            <w:shd w:val="clear" w:color="auto" w:fill="auto"/>
            <w:vAlign w:val="bottom"/>
          </w:tcPr>
          <w:p w14:paraId="2F190866"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 </w:t>
            </w:r>
          </w:p>
        </w:tc>
        <w:tc>
          <w:tcPr>
            <w:tcW w:w="1229" w:type="dxa"/>
            <w:tcBorders>
              <w:top w:val="nil"/>
              <w:left w:val="nil"/>
              <w:bottom w:val="nil"/>
              <w:right w:val="nil"/>
            </w:tcBorders>
            <w:shd w:val="clear" w:color="auto" w:fill="auto"/>
            <w:vAlign w:val="bottom"/>
          </w:tcPr>
          <w:p w14:paraId="6E63F1F1"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 </w:t>
            </w:r>
          </w:p>
        </w:tc>
        <w:tc>
          <w:tcPr>
            <w:tcW w:w="1230" w:type="dxa"/>
            <w:tcBorders>
              <w:top w:val="nil"/>
              <w:left w:val="nil"/>
              <w:bottom w:val="nil"/>
              <w:right w:val="nil"/>
            </w:tcBorders>
            <w:shd w:val="clear" w:color="auto" w:fill="auto"/>
            <w:vAlign w:val="bottom"/>
          </w:tcPr>
          <w:p w14:paraId="0B458FEF"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532 </w:t>
            </w:r>
          </w:p>
        </w:tc>
      </w:tr>
      <w:tr w:rsidR="00587444" w:rsidRPr="00587444" w14:paraId="0C0410C8" w14:textId="77777777" w:rsidTr="00DD69E7">
        <w:trPr>
          <w:trHeight w:val="246"/>
          <w:jc w:val="center"/>
        </w:trPr>
        <w:tc>
          <w:tcPr>
            <w:tcW w:w="5568" w:type="dxa"/>
            <w:shd w:val="clear" w:color="auto" w:fill="auto"/>
            <w:vAlign w:val="bottom"/>
          </w:tcPr>
          <w:p w14:paraId="1321E66D"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Convertible bonds - CB</w:t>
            </w:r>
          </w:p>
        </w:tc>
        <w:tc>
          <w:tcPr>
            <w:tcW w:w="1228" w:type="dxa"/>
            <w:tcBorders>
              <w:top w:val="nil"/>
              <w:left w:val="nil"/>
              <w:bottom w:val="nil"/>
              <w:right w:val="nil"/>
            </w:tcBorders>
            <w:shd w:val="clear" w:color="auto" w:fill="auto"/>
            <w:vAlign w:val="bottom"/>
          </w:tcPr>
          <w:p w14:paraId="16919AAC"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c>
          <w:tcPr>
            <w:tcW w:w="1229" w:type="dxa"/>
            <w:tcBorders>
              <w:top w:val="nil"/>
              <w:left w:val="nil"/>
              <w:bottom w:val="nil"/>
              <w:right w:val="nil"/>
            </w:tcBorders>
            <w:shd w:val="clear" w:color="auto" w:fill="auto"/>
            <w:vAlign w:val="bottom"/>
          </w:tcPr>
          <w:p w14:paraId="6AE77F5D"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eastAsia="Calibri" w:hAnsi="Arial" w:cs="Arial"/>
                <w:color w:val="000000"/>
                <w:sz w:val="17"/>
                <w:szCs w:val="17"/>
                <w:lang w:val="hr-HR"/>
              </w:rPr>
              <w:t>-</w:t>
            </w:r>
          </w:p>
        </w:tc>
        <w:tc>
          <w:tcPr>
            <w:tcW w:w="1230" w:type="dxa"/>
            <w:tcBorders>
              <w:top w:val="nil"/>
              <w:left w:val="nil"/>
              <w:bottom w:val="nil"/>
              <w:right w:val="nil"/>
            </w:tcBorders>
            <w:shd w:val="clear" w:color="auto" w:fill="auto"/>
            <w:vAlign w:val="bottom"/>
          </w:tcPr>
          <w:p w14:paraId="4E0E0C8B"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1,397 </w:t>
            </w:r>
          </w:p>
        </w:tc>
      </w:tr>
      <w:tr w:rsidR="00587444" w:rsidRPr="00587444" w14:paraId="237F2894" w14:textId="77777777" w:rsidTr="00DD69E7">
        <w:trPr>
          <w:trHeight w:val="246"/>
          <w:jc w:val="center"/>
        </w:trPr>
        <w:tc>
          <w:tcPr>
            <w:tcW w:w="5568" w:type="dxa"/>
            <w:shd w:val="clear" w:color="auto" w:fill="auto"/>
            <w:vAlign w:val="bottom"/>
          </w:tcPr>
          <w:p w14:paraId="13048BCC" w14:textId="77777777" w:rsidR="00587444" w:rsidRPr="00587444" w:rsidRDefault="00587444" w:rsidP="00587444">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Accrued interest</w:t>
            </w:r>
          </w:p>
        </w:tc>
        <w:tc>
          <w:tcPr>
            <w:tcW w:w="1228" w:type="dxa"/>
            <w:tcBorders>
              <w:top w:val="nil"/>
              <w:left w:val="nil"/>
              <w:bottom w:val="nil"/>
              <w:right w:val="nil"/>
            </w:tcBorders>
            <w:shd w:val="clear" w:color="auto" w:fill="auto"/>
            <w:vAlign w:val="bottom"/>
          </w:tcPr>
          <w:p w14:paraId="3073BAFF"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 </w:t>
            </w:r>
          </w:p>
        </w:tc>
        <w:tc>
          <w:tcPr>
            <w:tcW w:w="1229" w:type="dxa"/>
            <w:tcBorders>
              <w:top w:val="nil"/>
              <w:left w:val="nil"/>
              <w:bottom w:val="nil"/>
              <w:right w:val="nil"/>
            </w:tcBorders>
            <w:shd w:val="clear" w:color="auto" w:fill="auto"/>
            <w:vAlign w:val="bottom"/>
          </w:tcPr>
          <w:p w14:paraId="62D990B7"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 </w:t>
            </w:r>
          </w:p>
        </w:tc>
        <w:tc>
          <w:tcPr>
            <w:tcW w:w="1230" w:type="dxa"/>
            <w:tcBorders>
              <w:top w:val="nil"/>
              <w:left w:val="nil"/>
              <w:bottom w:val="single" w:sz="4" w:space="0" w:color="auto"/>
              <w:right w:val="nil"/>
            </w:tcBorders>
            <w:shd w:val="clear" w:color="auto" w:fill="auto"/>
            <w:vAlign w:val="bottom"/>
          </w:tcPr>
          <w:p w14:paraId="4F91B2A4"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247 </w:t>
            </w:r>
          </w:p>
        </w:tc>
      </w:tr>
      <w:tr w:rsidR="00587444" w:rsidRPr="00587444" w14:paraId="686B10A3" w14:textId="77777777" w:rsidTr="00DD69E7">
        <w:trPr>
          <w:trHeight w:val="246"/>
          <w:jc w:val="center"/>
        </w:trPr>
        <w:tc>
          <w:tcPr>
            <w:tcW w:w="5568" w:type="dxa"/>
            <w:shd w:val="clear" w:color="auto" w:fill="auto"/>
            <w:vAlign w:val="bottom"/>
          </w:tcPr>
          <w:p w14:paraId="604477ED" w14:textId="77777777" w:rsidR="00587444" w:rsidRPr="00587444" w:rsidRDefault="00587444" w:rsidP="00587444">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Total debt instruments</w:t>
            </w:r>
          </w:p>
        </w:tc>
        <w:tc>
          <w:tcPr>
            <w:tcW w:w="1228" w:type="dxa"/>
            <w:tcBorders>
              <w:top w:val="single" w:sz="4" w:space="0" w:color="auto"/>
              <w:left w:val="nil"/>
              <w:bottom w:val="single" w:sz="12" w:space="0" w:color="auto"/>
              <w:right w:val="nil"/>
            </w:tcBorders>
            <w:shd w:val="clear" w:color="auto" w:fill="auto"/>
            <w:vAlign w:val="bottom"/>
          </w:tcPr>
          <w:p w14:paraId="3DB9A7D9"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hAnsi="Arial" w:cs="Arial"/>
                <w:b/>
                <w:bCs/>
                <w:sz w:val="17"/>
                <w:szCs w:val="17"/>
              </w:rPr>
              <w:t xml:space="preserve"> 1,376,994</w:t>
            </w:r>
          </w:p>
        </w:tc>
        <w:tc>
          <w:tcPr>
            <w:tcW w:w="1229" w:type="dxa"/>
            <w:tcBorders>
              <w:top w:val="single" w:sz="4" w:space="0" w:color="auto"/>
              <w:left w:val="nil"/>
              <w:bottom w:val="single" w:sz="12" w:space="0" w:color="auto"/>
              <w:right w:val="nil"/>
            </w:tcBorders>
            <w:shd w:val="clear" w:color="auto" w:fill="auto"/>
            <w:vAlign w:val="bottom"/>
          </w:tcPr>
          <w:p w14:paraId="16690720"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hAnsi="Arial" w:cs="Arial"/>
                <w:b/>
                <w:bCs/>
                <w:sz w:val="17"/>
                <w:szCs w:val="17"/>
              </w:rPr>
              <w:t xml:space="preserve">  1,550,344</w:t>
            </w:r>
          </w:p>
        </w:tc>
        <w:tc>
          <w:tcPr>
            <w:tcW w:w="1230" w:type="dxa"/>
            <w:tcBorders>
              <w:top w:val="single" w:sz="4" w:space="0" w:color="auto"/>
              <w:left w:val="nil"/>
              <w:bottom w:val="single" w:sz="12" w:space="0" w:color="auto"/>
              <w:right w:val="nil"/>
            </w:tcBorders>
            <w:shd w:val="clear" w:color="auto" w:fill="auto"/>
            <w:vAlign w:val="bottom"/>
          </w:tcPr>
          <w:p w14:paraId="5643218D"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hAnsi="Arial" w:cs="Arial"/>
                <w:b/>
                <w:bCs/>
                <w:sz w:val="17"/>
                <w:szCs w:val="17"/>
              </w:rPr>
              <w:t xml:space="preserve"> 2,176 </w:t>
            </w:r>
          </w:p>
        </w:tc>
      </w:tr>
      <w:tr w:rsidR="00587444" w:rsidRPr="00587444" w14:paraId="72BE5EE3" w14:textId="77777777" w:rsidTr="00DD69E7">
        <w:trPr>
          <w:trHeight w:val="246"/>
          <w:jc w:val="center"/>
        </w:trPr>
        <w:tc>
          <w:tcPr>
            <w:tcW w:w="5568" w:type="dxa"/>
            <w:shd w:val="clear" w:color="auto" w:fill="auto"/>
            <w:vAlign w:val="bottom"/>
          </w:tcPr>
          <w:p w14:paraId="6E6A2510" w14:textId="77777777" w:rsidR="00587444" w:rsidRPr="00587444" w:rsidRDefault="00587444" w:rsidP="00587444">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Unlisted equity instruments:</w:t>
            </w:r>
            <w:r w:rsidRPr="00587444" w:rsidDel="00D51A81">
              <w:rPr>
                <w:rFonts w:ascii="Arial" w:hAnsi="Arial" w:cs="Arial"/>
                <w:b/>
                <w:i/>
                <w:spacing w:val="-2"/>
                <w:sz w:val="17"/>
                <w:szCs w:val="17"/>
              </w:rPr>
              <w:t xml:space="preserve"> </w:t>
            </w:r>
          </w:p>
        </w:tc>
        <w:tc>
          <w:tcPr>
            <w:tcW w:w="1228" w:type="dxa"/>
            <w:tcBorders>
              <w:top w:val="single" w:sz="12" w:space="0" w:color="auto"/>
            </w:tcBorders>
            <w:vAlign w:val="bottom"/>
          </w:tcPr>
          <w:p w14:paraId="791CCD92"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29" w:type="dxa"/>
            <w:tcBorders>
              <w:top w:val="single" w:sz="12" w:space="0" w:color="auto"/>
            </w:tcBorders>
            <w:vAlign w:val="bottom"/>
          </w:tcPr>
          <w:p w14:paraId="6107567E"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30" w:type="dxa"/>
            <w:tcBorders>
              <w:top w:val="single" w:sz="12" w:space="0" w:color="auto"/>
            </w:tcBorders>
            <w:vAlign w:val="bottom"/>
          </w:tcPr>
          <w:p w14:paraId="718E14BC" w14:textId="77777777" w:rsidR="00587444" w:rsidRPr="00587444" w:rsidDel="00561A80"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587444" w:rsidRPr="00587444" w14:paraId="76B500B1" w14:textId="77777777" w:rsidTr="00DD69E7">
        <w:trPr>
          <w:trHeight w:val="246"/>
          <w:jc w:val="center"/>
        </w:trPr>
        <w:tc>
          <w:tcPr>
            <w:tcW w:w="5568" w:type="dxa"/>
            <w:shd w:val="clear" w:color="auto" w:fill="auto"/>
            <w:vAlign w:val="bottom"/>
          </w:tcPr>
          <w:p w14:paraId="0C4B2E91"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 xml:space="preserve">Investment in shares of foreign legal entities </w:t>
            </w:r>
          </w:p>
        </w:tc>
        <w:tc>
          <w:tcPr>
            <w:tcW w:w="1228" w:type="dxa"/>
            <w:tcBorders>
              <w:top w:val="nil"/>
              <w:left w:val="nil"/>
              <w:bottom w:val="nil"/>
              <w:right w:val="nil"/>
            </w:tcBorders>
            <w:shd w:val="clear" w:color="auto" w:fill="auto"/>
            <w:vAlign w:val="bottom"/>
          </w:tcPr>
          <w:p w14:paraId="3B462D25"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 </w:t>
            </w:r>
          </w:p>
        </w:tc>
        <w:tc>
          <w:tcPr>
            <w:tcW w:w="1229" w:type="dxa"/>
            <w:tcBorders>
              <w:top w:val="nil"/>
              <w:left w:val="nil"/>
              <w:bottom w:val="nil"/>
              <w:right w:val="nil"/>
            </w:tcBorders>
            <w:shd w:val="clear" w:color="auto" w:fill="auto"/>
            <w:vAlign w:val="bottom"/>
          </w:tcPr>
          <w:p w14:paraId="0E3EAE53"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45 </w:t>
            </w:r>
          </w:p>
        </w:tc>
        <w:tc>
          <w:tcPr>
            <w:tcW w:w="1230" w:type="dxa"/>
            <w:tcBorders>
              <w:top w:val="nil"/>
              <w:left w:val="nil"/>
              <w:bottom w:val="nil"/>
              <w:right w:val="nil"/>
            </w:tcBorders>
            <w:shd w:val="clear" w:color="auto" w:fill="auto"/>
            <w:vAlign w:val="bottom"/>
          </w:tcPr>
          <w:p w14:paraId="15B25D61"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 </w:t>
            </w:r>
          </w:p>
        </w:tc>
      </w:tr>
      <w:tr w:rsidR="00587444" w:rsidRPr="00587444" w14:paraId="1D0F70E6" w14:textId="77777777" w:rsidTr="00DD69E7">
        <w:trPr>
          <w:trHeight w:val="246"/>
          <w:jc w:val="center"/>
        </w:trPr>
        <w:tc>
          <w:tcPr>
            <w:tcW w:w="5568" w:type="dxa"/>
            <w:shd w:val="clear" w:color="auto" w:fill="auto"/>
            <w:vAlign w:val="bottom"/>
          </w:tcPr>
          <w:p w14:paraId="18E877D2"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Shares of foreign financial institutions – EIF</w:t>
            </w:r>
          </w:p>
        </w:tc>
        <w:tc>
          <w:tcPr>
            <w:tcW w:w="1228" w:type="dxa"/>
            <w:tcBorders>
              <w:top w:val="nil"/>
              <w:left w:val="nil"/>
              <w:bottom w:val="nil"/>
              <w:right w:val="nil"/>
            </w:tcBorders>
            <w:shd w:val="clear" w:color="auto" w:fill="auto"/>
            <w:vAlign w:val="bottom"/>
          </w:tcPr>
          <w:p w14:paraId="29496DF6"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 </w:t>
            </w:r>
          </w:p>
        </w:tc>
        <w:tc>
          <w:tcPr>
            <w:tcW w:w="1229" w:type="dxa"/>
            <w:tcBorders>
              <w:top w:val="nil"/>
              <w:left w:val="nil"/>
              <w:bottom w:val="nil"/>
              <w:right w:val="nil"/>
            </w:tcBorders>
            <w:shd w:val="clear" w:color="auto" w:fill="auto"/>
            <w:vAlign w:val="bottom"/>
          </w:tcPr>
          <w:p w14:paraId="010C3277"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42,971 </w:t>
            </w:r>
          </w:p>
        </w:tc>
        <w:tc>
          <w:tcPr>
            <w:tcW w:w="1230" w:type="dxa"/>
            <w:tcBorders>
              <w:top w:val="nil"/>
              <w:left w:val="nil"/>
              <w:bottom w:val="nil"/>
              <w:right w:val="nil"/>
            </w:tcBorders>
            <w:shd w:val="clear" w:color="auto" w:fill="auto"/>
            <w:vAlign w:val="bottom"/>
          </w:tcPr>
          <w:p w14:paraId="4BF8A645" w14:textId="77777777" w:rsidR="00587444" w:rsidRPr="00587444" w:rsidRDefault="00587444" w:rsidP="00587444">
            <w:pPr>
              <w:tabs>
                <w:tab w:val="right" w:pos="1202"/>
              </w:tabs>
              <w:suppressAutoHyphens w:val="0"/>
              <w:autoSpaceDN/>
              <w:jc w:val="right"/>
              <w:outlineLvl w:val="0"/>
              <w:rPr>
                <w:rFonts w:ascii="Arial" w:eastAsia="Calibri" w:hAnsi="Arial" w:cs="Arial"/>
                <w:color w:val="000000"/>
                <w:spacing w:val="-2"/>
                <w:sz w:val="17"/>
                <w:szCs w:val="17"/>
                <w:lang w:val="hr-HR"/>
              </w:rPr>
            </w:pPr>
            <w:r w:rsidRPr="00587444">
              <w:rPr>
                <w:rFonts w:ascii="Arial" w:hAnsi="Arial" w:cs="Arial"/>
                <w:sz w:val="17"/>
                <w:szCs w:val="17"/>
              </w:rPr>
              <w:t xml:space="preserve"> - </w:t>
            </w:r>
          </w:p>
        </w:tc>
      </w:tr>
      <w:tr w:rsidR="00587444" w:rsidRPr="00587444" w14:paraId="514B13C7" w14:textId="77777777" w:rsidTr="00DD69E7">
        <w:trPr>
          <w:trHeight w:val="246"/>
          <w:jc w:val="center"/>
        </w:trPr>
        <w:tc>
          <w:tcPr>
            <w:tcW w:w="5568" w:type="dxa"/>
            <w:shd w:val="clear" w:color="auto" w:fill="auto"/>
            <w:vAlign w:val="bottom"/>
          </w:tcPr>
          <w:p w14:paraId="746ADF99" w14:textId="77777777" w:rsidR="00587444" w:rsidRPr="00587444" w:rsidRDefault="00587444" w:rsidP="00587444">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Total equity instruments</w:t>
            </w:r>
          </w:p>
        </w:tc>
        <w:tc>
          <w:tcPr>
            <w:tcW w:w="1228" w:type="dxa"/>
            <w:tcBorders>
              <w:top w:val="single" w:sz="4" w:space="0" w:color="auto"/>
              <w:left w:val="nil"/>
              <w:bottom w:val="single" w:sz="8" w:space="0" w:color="auto"/>
              <w:right w:val="nil"/>
            </w:tcBorders>
            <w:shd w:val="clear" w:color="auto" w:fill="auto"/>
            <w:vAlign w:val="bottom"/>
          </w:tcPr>
          <w:p w14:paraId="4310EBB0"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hAnsi="Arial" w:cs="Arial"/>
                <w:b/>
                <w:bCs/>
                <w:sz w:val="17"/>
                <w:szCs w:val="17"/>
              </w:rPr>
              <w:t xml:space="preserve"> - </w:t>
            </w:r>
          </w:p>
        </w:tc>
        <w:tc>
          <w:tcPr>
            <w:tcW w:w="1229" w:type="dxa"/>
            <w:tcBorders>
              <w:top w:val="single" w:sz="4" w:space="0" w:color="auto"/>
              <w:left w:val="nil"/>
              <w:bottom w:val="single" w:sz="8" w:space="0" w:color="auto"/>
              <w:right w:val="nil"/>
            </w:tcBorders>
            <w:shd w:val="clear" w:color="auto" w:fill="auto"/>
            <w:vAlign w:val="bottom"/>
          </w:tcPr>
          <w:p w14:paraId="7B2EA98F"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hAnsi="Arial" w:cs="Arial"/>
                <w:b/>
                <w:bCs/>
                <w:sz w:val="17"/>
                <w:szCs w:val="17"/>
              </w:rPr>
              <w:t xml:space="preserve"> 43,016 </w:t>
            </w:r>
          </w:p>
        </w:tc>
        <w:tc>
          <w:tcPr>
            <w:tcW w:w="1230" w:type="dxa"/>
            <w:tcBorders>
              <w:top w:val="single" w:sz="4" w:space="0" w:color="auto"/>
              <w:left w:val="nil"/>
              <w:bottom w:val="single" w:sz="8" w:space="0" w:color="auto"/>
              <w:right w:val="nil"/>
            </w:tcBorders>
            <w:shd w:val="clear" w:color="auto" w:fill="auto"/>
            <w:vAlign w:val="bottom"/>
          </w:tcPr>
          <w:p w14:paraId="482BBEFF"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hAnsi="Arial" w:cs="Arial"/>
                <w:b/>
                <w:bCs/>
                <w:sz w:val="17"/>
                <w:szCs w:val="17"/>
              </w:rPr>
              <w:t xml:space="preserve"> - </w:t>
            </w:r>
          </w:p>
        </w:tc>
      </w:tr>
      <w:tr w:rsidR="00587444" w:rsidRPr="00587444" w14:paraId="56EBF351" w14:textId="77777777" w:rsidTr="00DD69E7">
        <w:trPr>
          <w:trHeight w:hRule="exact" w:val="475"/>
          <w:jc w:val="center"/>
        </w:trPr>
        <w:tc>
          <w:tcPr>
            <w:tcW w:w="5568" w:type="dxa"/>
            <w:shd w:val="clear" w:color="auto" w:fill="auto"/>
            <w:vAlign w:val="bottom"/>
          </w:tcPr>
          <w:p w14:paraId="48429CA6" w14:textId="77777777" w:rsidR="00587444" w:rsidRPr="00587444" w:rsidRDefault="00587444" w:rsidP="00587444">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Total financial assets at fair value through other comprehensive income</w:t>
            </w:r>
          </w:p>
        </w:tc>
        <w:tc>
          <w:tcPr>
            <w:tcW w:w="1228" w:type="dxa"/>
            <w:tcBorders>
              <w:top w:val="single" w:sz="12" w:space="0" w:color="auto"/>
              <w:left w:val="nil"/>
              <w:bottom w:val="single" w:sz="12" w:space="0" w:color="auto"/>
              <w:right w:val="nil"/>
            </w:tcBorders>
            <w:shd w:val="clear" w:color="auto" w:fill="auto"/>
            <w:vAlign w:val="bottom"/>
          </w:tcPr>
          <w:p w14:paraId="3E806099"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hAnsi="Arial" w:cs="Arial"/>
                <w:b/>
                <w:bCs/>
                <w:sz w:val="17"/>
                <w:szCs w:val="17"/>
              </w:rPr>
              <w:t xml:space="preserve"> 1,376,994 </w:t>
            </w:r>
          </w:p>
        </w:tc>
        <w:tc>
          <w:tcPr>
            <w:tcW w:w="1229" w:type="dxa"/>
            <w:tcBorders>
              <w:top w:val="single" w:sz="12" w:space="0" w:color="auto"/>
              <w:left w:val="nil"/>
              <w:bottom w:val="single" w:sz="12" w:space="0" w:color="auto"/>
              <w:right w:val="nil"/>
            </w:tcBorders>
            <w:shd w:val="clear" w:color="auto" w:fill="auto"/>
            <w:vAlign w:val="bottom"/>
          </w:tcPr>
          <w:p w14:paraId="5E06B4AF"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hAnsi="Arial" w:cs="Arial"/>
                <w:b/>
                <w:bCs/>
                <w:sz w:val="17"/>
                <w:szCs w:val="17"/>
              </w:rPr>
              <w:t xml:space="preserve"> 1,593,360 </w:t>
            </w:r>
          </w:p>
        </w:tc>
        <w:tc>
          <w:tcPr>
            <w:tcW w:w="1230" w:type="dxa"/>
            <w:tcBorders>
              <w:top w:val="single" w:sz="12" w:space="0" w:color="auto"/>
              <w:left w:val="nil"/>
              <w:bottom w:val="single" w:sz="12" w:space="0" w:color="auto"/>
              <w:right w:val="nil"/>
            </w:tcBorders>
            <w:shd w:val="clear" w:color="auto" w:fill="auto"/>
            <w:vAlign w:val="bottom"/>
          </w:tcPr>
          <w:p w14:paraId="424E7504" w14:textId="77777777" w:rsidR="00587444" w:rsidRPr="00587444" w:rsidRDefault="00587444" w:rsidP="00587444">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587444">
              <w:rPr>
                <w:rFonts w:ascii="Arial" w:hAnsi="Arial" w:cs="Arial"/>
                <w:b/>
                <w:bCs/>
                <w:sz w:val="17"/>
                <w:szCs w:val="17"/>
              </w:rPr>
              <w:t xml:space="preserve"> 2,176 </w:t>
            </w:r>
          </w:p>
        </w:tc>
      </w:tr>
    </w:tbl>
    <w:p w14:paraId="34E2549A" w14:textId="77777777" w:rsidR="00587444" w:rsidRPr="00587444" w:rsidRDefault="00587444" w:rsidP="00587444">
      <w:pPr>
        <w:suppressAutoHyphens w:val="0"/>
        <w:autoSpaceDN/>
        <w:ind w:right="-1"/>
        <w:jc w:val="both"/>
        <w:rPr>
          <w:rFonts w:ascii="Arial" w:eastAsia="Calibri" w:hAnsi="Arial" w:cs="Arial"/>
          <w:sz w:val="20"/>
          <w:szCs w:val="20"/>
          <w:lang w:val="en-GB"/>
        </w:rPr>
      </w:pPr>
    </w:p>
    <w:p w14:paraId="69D45A2E" w14:textId="77777777" w:rsidR="00587444" w:rsidRPr="00587444" w:rsidRDefault="00587444" w:rsidP="00587444">
      <w:pPr>
        <w:suppressAutoHyphens w:val="0"/>
        <w:autoSpaceDN/>
        <w:ind w:right="-1"/>
        <w:jc w:val="both"/>
        <w:rPr>
          <w:rFonts w:ascii="Arial" w:eastAsia="Calibri" w:hAnsi="Arial" w:cs="Arial"/>
          <w:sz w:val="20"/>
          <w:szCs w:val="20"/>
          <w:lang w:val="en-GB"/>
        </w:rPr>
      </w:pPr>
    </w:p>
    <w:p w14:paraId="1294866F" w14:textId="77777777" w:rsidR="00587444" w:rsidRPr="00587444" w:rsidRDefault="00587444" w:rsidP="00587444">
      <w:pPr>
        <w:suppressAutoHyphens w:val="0"/>
        <w:autoSpaceDN/>
        <w:spacing w:before="240" w:after="120" w:line="360" w:lineRule="auto"/>
        <w:ind w:left="709" w:hanging="709"/>
        <w:jc w:val="both"/>
        <w:rPr>
          <w:rFonts w:ascii="Arial" w:hAnsi="Arial" w:cs="Arial"/>
          <w:b/>
          <w:bCs/>
          <w:spacing w:val="-3"/>
          <w:sz w:val="20"/>
          <w:szCs w:val="20"/>
          <w:lang w:val="en-GB"/>
        </w:rPr>
        <w:sectPr w:rsidR="00587444" w:rsidRPr="00587444" w:rsidSect="00DD69E7">
          <w:pgSz w:w="11907" w:h="16840" w:code="9"/>
          <w:pgMar w:top="1418" w:right="1134" w:bottom="1134" w:left="1418" w:header="851" w:footer="851" w:gutter="0"/>
          <w:cols w:space="720"/>
          <w:noEndnote/>
        </w:sectPr>
      </w:pPr>
    </w:p>
    <w:p w14:paraId="66F5FD21"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05FCCCA9"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 xml:space="preserve">32. </w:t>
      </w:r>
      <w:r w:rsidRPr="00587444">
        <w:rPr>
          <w:rFonts w:ascii="Arial" w:hAnsi="Arial" w:cs="Arial"/>
          <w:b/>
          <w:bCs/>
          <w:spacing w:val="-3"/>
          <w:sz w:val="20"/>
          <w:szCs w:val="20"/>
          <w:lang w:val="en-GB"/>
        </w:rPr>
        <w:tab/>
        <w:t>Fair value of financial assets and financial liabilities (continued)</w:t>
      </w:r>
    </w:p>
    <w:p w14:paraId="4E441190"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2462948F"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 xml:space="preserve">32.1.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74EA0438"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tbl>
      <w:tblPr>
        <w:tblW w:w="9468" w:type="dxa"/>
        <w:jc w:val="center"/>
        <w:tblLayout w:type="fixed"/>
        <w:tblCellMar>
          <w:left w:w="122" w:type="dxa"/>
          <w:right w:w="122" w:type="dxa"/>
        </w:tblCellMar>
        <w:tblLook w:val="0000" w:firstRow="0" w:lastRow="0" w:firstColumn="0" w:lastColumn="0" w:noHBand="0" w:noVBand="0"/>
      </w:tblPr>
      <w:tblGrid>
        <w:gridCol w:w="6066"/>
        <w:gridCol w:w="1134"/>
        <w:gridCol w:w="1134"/>
        <w:gridCol w:w="1134"/>
      </w:tblGrid>
      <w:tr w:rsidR="00587444" w:rsidRPr="00587444" w14:paraId="5A5A81EF" w14:textId="77777777" w:rsidTr="00DD69E7">
        <w:trPr>
          <w:trHeight w:val="311"/>
          <w:jc w:val="center"/>
        </w:trPr>
        <w:tc>
          <w:tcPr>
            <w:tcW w:w="6066" w:type="dxa"/>
            <w:shd w:val="clear" w:color="auto" w:fill="auto"/>
          </w:tcPr>
          <w:p w14:paraId="50B0C31E" w14:textId="77777777" w:rsidR="00587444" w:rsidRPr="00587444" w:rsidRDefault="00587444" w:rsidP="00587444">
            <w:pPr>
              <w:tabs>
                <w:tab w:val="right" w:pos="1202"/>
              </w:tabs>
              <w:suppressAutoHyphens w:val="0"/>
              <w:autoSpaceDN/>
              <w:outlineLvl w:val="0"/>
              <w:rPr>
                <w:rFonts w:ascii="Arial" w:hAnsi="Arial" w:cs="Arial"/>
                <w:sz w:val="17"/>
                <w:szCs w:val="17"/>
              </w:rPr>
            </w:pPr>
            <w:bookmarkStart w:id="1397" w:name="_Toc4063115"/>
            <w:r w:rsidRPr="00587444">
              <w:rPr>
                <w:rFonts w:ascii="Arial" w:hAnsi="Arial" w:cs="Arial"/>
                <w:b/>
                <w:sz w:val="17"/>
                <w:szCs w:val="17"/>
              </w:rPr>
              <w:t>Bank</w:t>
            </w:r>
            <w:bookmarkEnd w:id="1397"/>
          </w:p>
        </w:tc>
        <w:tc>
          <w:tcPr>
            <w:tcW w:w="3402" w:type="dxa"/>
            <w:gridSpan w:val="3"/>
            <w:vAlign w:val="bottom"/>
          </w:tcPr>
          <w:p w14:paraId="283A2998"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rPr>
            </w:pPr>
            <w:bookmarkStart w:id="1398" w:name="_Toc4063116"/>
            <w:r w:rsidRPr="00587444">
              <w:rPr>
                <w:rFonts w:ascii="Arial" w:hAnsi="Arial" w:cs="Arial"/>
                <w:b/>
                <w:bCs/>
                <w:sz w:val="17"/>
                <w:szCs w:val="17"/>
              </w:rPr>
              <w:t>31 December 202</w:t>
            </w:r>
            <w:bookmarkEnd w:id="1398"/>
            <w:r w:rsidRPr="00587444">
              <w:rPr>
                <w:rFonts w:ascii="Arial" w:hAnsi="Arial" w:cs="Arial"/>
                <w:b/>
                <w:bCs/>
                <w:sz w:val="17"/>
                <w:szCs w:val="17"/>
              </w:rPr>
              <w:t>2</w:t>
            </w:r>
          </w:p>
        </w:tc>
      </w:tr>
      <w:tr w:rsidR="00587444" w:rsidRPr="00587444" w14:paraId="5CD6B509" w14:textId="77777777" w:rsidTr="00DD69E7">
        <w:trPr>
          <w:trHeight w:val="311"/>
          <w:jc w:val="center"/>
        </w:trPr>
        <w:tc>
          <w:tcPr>
            <w:tcW w:w="6066" w:type="dxa"/>
            <w:shd w:val="clear" w:color="auto" w:fill="auto"/>
            <w:vAlign w:val="bottom"/>
          </w:tcPr>
          <w:p w14:paraId="5D37A63C"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p>
        </w:tc>
        <w:tc>
          <w:tcPr>
            <w:tcW w:w="1134" w:type="dxa"/>
            <w:shd w:val="clear" w:color="auto" w:fill="auto"/>
            <w:vAlign w:val="bottom"/>
          </w:tcPr>
          <w:p w14:paraId="3AF121AA"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399" w:name="_Toc4063117"/>
            <w:r w:rsidRPr="00587444">
              <w:rPr>
                <w:rFonts w:ascii="Arial" w:hAnsi="Arial" w:cs="Arial"/>
                <w:b/>
                <w:spacing w:val="-2"/>
                <w:sz w:val="17"/>
                <w:szCs w:val="17"/>
              </w:rPr>
              <w:t>Level 1</w:t>
            </w:r>
            <w:bookmarkEnd w:id="1399"/>
          </w:p>
        </w:tc>
        <w:tc>
          <w:tcPr>
            <w:tcW w:w="1134" w:type="dxa"/>
            <w:shd w:val="clear" w:color="auto" w:fill="auto"/>
            <w:vAlign w:val="bottom"/>
          </w:tcPr>
          <w:p w14:paraId="4FA556BE"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400" w:name="_Toc4063118"/>
            <w:r w:rsidRPr="00587444">
              <w:rPr>
                <w:rFonts w:ascii="Arial" w:hAnsi="Arial" w:cs="Arial"/>
                <w:b/>
                <w:spacing w:val="-2"/>
                <w:sz w:val="17"/>
                <w:szCs w:val="17"/>
              </w:rPr>
              <w:t>Level 2</w:t>
            </w:r>
            <w:bookmarkEnd w:id="1400"/>
          </w:p>
        </w:tc>
        <w:tc>
          <w:tcPr>
            <w:tcW w:w="1134" w:type="dxa"/>
            <w:shd w:val="clear" w:color="auto" w:fill="auto"/>
            <w:vAlign w:val="bottom"/>
          </w:tcPr>
          <w:p w14:paraId="14FD84A7"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401" w:name="_Toc4063119"/>
            <w:r w:rsidRPr="00587444">
              <w:rPr>
                <w:rFonts w:ascii="Arial" w:hAnsi="Arial" w:cs="Arial"/>
                <w:b/>
                <w:spacing w:val="-2"/>
                <w:sz w:val="17"/>
                <w:szCs w:val="17"/>
              </w:rPr>
              <w:t>Level 3</w:t>
            </w:r>
            <w:bookmarkEnd w:id="1401"/>
          </w:p>
        </w:tc>
      </w:tr>
      <w:tr w:rsidR="00587444" w:rsidRPr="00587444" w14:paraId="3EE4701E" w14:textId="77777777" w:rsidTr="00DD69E7">
        <w:trPr>
          <w:trHeight w:val="311"/>
          <w:jc w:val="center"/>
        </w:trPr>
        <w:tc>
          <w:tcPr>
            <w:tcW w:w="6066" w:type="dxa"/>
            <w:shd w:val="clear" w:color="auto" w:fill="auto"/>
            <w:vAlign w:val="bottom"/>
          </w:tcPr>
          <w:p w14:paraId="33EC0737"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p>
        </w:tc>
        <w:tc>
          <w:tcPr>
            <w:tcW w:w="1134" w:type="dxa"/>
            <w:shd w:val="clear" w:color="auto" w:fill="auto"/>
            <w:vAlign w:val="bottom"/>
          </w:tcPr>
          <w:p w14:paraId="00DDA6DF"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402" w:name="_Toc4063120"/>
            <w:r w:rsidRPr="00587444">
              <w:rPr>
                <w:rFonts w:ascii="Arial" w:hAnsi="Arial" w:cs="Arial"/>
                <w:b/>
                <w:spacing w:val="-2"/>
                <w:sz w:val="17"/>
                <w:szCs w:val="17"/>
              </w:rPr>
              <w:t>HRK ‘000</w:t>
            </w:r>
            <w:bookmarkEnd w:id="1402"/>
          </w:p>
        </w:tc>
        <w:tc>
          <w:tcPr>
            <w:tcW w:w="1134" w:type="dxa"/>
            <w:shd w:val="clear" w:color="auto" w:fill="auto"/>
            <w:vAlign w:val="bottom"/>
          </w:tcPr>
          <w:p w14:paraId="52575CFA"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403" w:name="_Toc4063121"/>
            <w:r w:rsidRPr="00587444">
              <w:rPr>
                <w:rFonts w:ascii="Arial" w:hAnsi="Arial" w:cs="Arial"/>
                <w:b/>
                <w:spacing w:val="-2"/>
                <w:sz w:val="17"/>
                <w:szCs w:val="17"/>
              </w:rPr>
              <w:t>HRK ‘000</w:t>
            </w:r>
            <w:bookmarkEnd w:id="1403"/>
          </w:p>
        </w:tc>
        <w:tc>
          <w:tcPr>
            <w:tcW w:w="1134" w:type="dxa"/>
            <w:shd w:val="clear" w:color="auto" w:fill="auto"/>
            <w:vAlign w:val="bottom"/>
          </w:tcPr>
          <w:p w14:paraId="7C96C3DA"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404" w:name="_Toc4063122"/>
            <w:r w:rsidRPr="00587444">
              <w:rPr>
                <w:rFonts w:ascii="Arial" w:hAnsi="Arial" w:cs="Arial"/>
                <w:b/>
                <w:spacing w:val="-2"/>
                <w:sz w:val="17"/>
                <w:szCs w:val="17"/>
              </w:rPr>
              <w:t>HRK ‘000</w:t>
            </w:r>
            <w:bookmarkEnd w:id="1404"/>
          </w:p>
        </w:tc>
      </w:tr>
      <w:tr w:rsidR="00587444" w:rsidRPr="00587444" w14:paraId="7328A7A1" w14:textId="77777777" w:rsidTr="00DD69E7">
        <w:trPr>
          <w:trHeight w:val="444"/>
          <w:jc w:val="center"/>
        </w:trPr>
        <w:tc>
          <w:tcPr>
            <w:tcW w:w="6066" w:type="dxa"/>
            <w:vAlign w:val="bottom"/>
          </w:tcPr>
          <w:p w14:paraId="5CADF45B" w14:textId="77777777" w:rsidR="00587444" w:rsidRPr="00587444" w:rsidRDefault="00587444" w:rsidP="00587444">
            <w:pPr>
              <w:tabs>
                <w:tab w:val="right" w:pos="1202"/>
              </w:tabs>
              <w:suppressAutoHyphens w:val="0"/>
              <w:autoSpaceDN/>
              <w:outlineLvl w:val="0"/>
              <w:rPr>
                <w:rFonts w:ascii="Arial" w:hAnsi="Arial" w:cs="Arial"/>
                <w:spacing w:val="-2"/>
                <w:sz w:val="17"/>
                <w:szCs w:val="17"/>
                <w:highlight w:val="yellow"/>
              </w:rPr>
            </w:pPr>
            <w:bookmarkStart w:id="1405" w:name="_Toc4063123"/>
            <w:r w:rsidRPr="00587444">
              <w:rPr>
                <w:rFonts w:ascii="Arial" w:hAnsi="Arial" w:cs="Arial"/>
                <w:b/>
                <w:sz w:val="17"/>
                <w:szCs w:val="17"/>
              </w:rPr>
              <w:t>Financial assets at fair value through profit or loss:</w:t>
            </w:r>
            <w:bookmarkEnd w:id="1405"/>
          </w:p>
        </w:tc>
        <w:tc>
          <w:tcPr>
            <w:tcW w:w="1134" w:type="dxa"/>
            <w:vAlign w:val="bottom"/>
          </w:tcPr>
          <w:p w14:paraId="18842F83"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221F7003"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2B18D824"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p>
        </w:tc>
      </w:tr>
      <w:tr w:rsidR="00587444" w:rsidRPr="00587444" w14:paraId="227DA79A" w14:textId="77777777" w:rsidTr="00DD69E7">
        <w:trPr>
          <w:trHeight w:val="255"/>
          <w:jc w:val="center"/>
        </w:trPr>
        <w:tc>
          <w:tcPr>
            <w:tcW w:w="6066" w:type="dxa"/>
            <w:vAlign w:val="bottom"/>
          </w:tcPr>
          <w:p w14:paraId="79B3C16C" w14:textId="77777777" w:rsidR="00587444" w:rsidRPr="00587444" w:rsidRDefault="00587444" w:rsidP="00587444">
            <w:pPr>
              <w:tabs>
                <w:tab w:val="right" w:pos="1202"/>
              </w:tabs>
              <w:suppressAutoHyphens w:val="0"/>
              <w:autoSpaceDN/>
              <w:outlineLvl w:val="0"/>
              <w:rPr>
                <w:rFonts w:ascii="Arial" w:hAnsi="Arial" w:cs="Arial"/>
                <w:b/>
                <w:i/>
                <w:sz w:val="17"/>
                <w:szCs w:val="17"/>
                <w:highlight w:val="yellow"/>
              </w:rPr>
            </w:pPr>
            <w:bookmarkStart w:id="1406" w:name="_Toc4063124"/>
            <w:r w:rsidRPr="00587444">
              <w:rPr>
                <w:rFonts w:ascii="Arial" w:hAnsi="Arial" w:cs="Arial"/>
                <w:b/>
                <w:i/>
                <w:sz w:val="17"/>
                <w:szCs w:val="17"/>
              </w:rPr>
              <w:t>Loans at FVPL:</w:t>
            </w:r>
            <w:bookmarkEnd w:id="1406"/>
          </w:p>
        </w:tc>
        <w:tc>
          <w:tcPr>
            <w:tcW w:w="1134" w:type="dxa"/>
            <w:tcBorders>
              <w:top w:val="nil"/>
              <w:left w:val="nil"/>
              <w:right w:val="nil"/>
            </w:tcBorders>
            <w:shd w:val="clear" w:color="auto" w:fill="auto"/>
            <w:vAlign w:val="bottom"/>
          </w:tcPr>
          <w:p w14:paraId="001048D8"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0BC73CA5"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756E45EE"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r>
      <w:tr w:rsidR="00587444" w:rsidRPr="00587444" w14:paraId="2BC48816" w14:textId="77777777" w:rsidTr="00DD69E7">
        <w:trPr>
          <w:trHeight w:val="239"/>
          <w:jc w:val="center"/>
        </w:trPr>
        <w:tc>
          <w:tcPr>
            <w:tcW w:w="6066" w:type="dxa"/>
            <w:vAlign w:val="bottom"/>
          </w:tcPr>
          <w:p w14:paraId="49939530"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bookmarkStart w:id="1407" w:name="_Toc4063125"/>
            <w:r w:rsidRPr="00587444">
              <w:rPr>
                <w:rFonts w:ascii="Arial" w:hAnsi="Arial" w:cs="Arial"/>
                <w:sz w:val="17"/>
                <w:szCs w:val="17"/>
              </w:rPr>
              <w:t>Mezzanine loans</w:t>
            </w:r>
            <w:bookmarkEnd w:id="1407"/>
          </w:p>
        </w:tc>
        <w:tc>
          <w:tcPr>
            <w:tcW w:w="1134" w:type="dxa"/>
            <w:tcBorders>
              <w:top w:val="nil"/>
              <w:left w:val="nil"/>
              <w:right w:val="nil"/>
            </w:tcBorders>
            <w:shd w:val="clear" w:color="auto" w:fill="auto"/>
            <w:vAlign w:val="bottom"/>
          </w:tcPr>
          <w:p w14:paraId="3DCF2EE6"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50470CF0"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50C835CB"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22,831</w:t>
            </w:r>
          </w:p>
        </w:tc>
      </w:tr>
      <w:tr w:rsidR="00587444" w:rsidRPr="00587444" w14:paraId="6D13F013" w14:textId="77777777" w:rsidTr="00DD69E7">
        <w:trPr>
          <w:trHeight w:val="255"/>
          <w:jc w:val="center"/>
        </w:trPr>
        <w:tc>
          <w:tcPr>
            <w:tcW w:w="6066" w:type="dxa"/>
            <w:vAlign w:val="bottom"/>
          </w:tcPr>
          <w:p w14:paraId="2DA57794" w14:textId="77777777" w:rsidR="00587444" w:rsidRPr="00587444" w:rsidRDefault="00587444" w:rsidP="00587444">
            <w:pPr>
              <w:tabs>
                <w:tab w:val="right" w:pos="1202"/>
              </w:tabs>
              <w:suppressAutoHyphens w:val="0"/>
              <w:autoSpaceDN/>
              <w:outlineLvl w:val="0"/>
              <w:rPr>
                <w:rFonts w:ascii="Arial" w:hAnsi="Arial" w:cs="Arial"/>
                <w:b/>
                <w:i/>
                <w:sz w:val="17"/>
                <w:szCs w:val="17"/>
                <w:highlight w:val="yellow"/>
              </w:rPr>
            </w:pPr>
            <w:bookmarkStart w:id="1408" w:name="_Toc4063129"/>
            <w:r w:rsidRPr="00587444">
              <w:rPr>
                <w:rFonts w:ascii="Arial" w:hAnsi="Arial" w:cs="Arial"/>
                <w:b/>
                <w:i/>
                <w:sz w:val="17"/>
                <w:szCs w:val="17"/>
              </w:rPr>
              <w:t>Investments in investment funds:</w:t>
            </w:r>
            <w:bookmarkEnd w:id="1408"/>
          </w:p>
        </w:tc>
        <w:tc>
          <w:tcPr>
            <w:tcW w:w="1134" w:type="dxa"/>
            <w:tcBorders>
              <w:top w:val="nil"/>
              <w:left w:val="nil"/>
              <w:right w:val="nil"/>
            </w:tcBorders>
            <w:shd w:val="clear" w:color="auto" w:fill="auto"/>
            <w:vAlign w:val="bottom"/>
          </w:tcPr>
          <w:p w14:paraId="3FE93C76"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71C15095"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203D5C8A"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r>
      <w:tr w:rsidR="00587444" w:rsidRPr="00587444" w14:paraId="5E10B7CB" w14:textId="77777777" w:rsidTr="00DD69E7">
        <w:trPr>
          <w:trHeight w:val="255"/>
          <w:jc w:val="center"/>
        </w:trPr>
        <w:tc>
          <w:tcPr>
            <w:tcW w:w="6066" w:type="dxa"/>
            <w:vAlign w:val="bottom"/>
          </w:tcPr>
          <w:p w14:paraId="30EDEFDB" w14:textId="77777777" w:rsidR="00587444" w:rsidRPr="00587444" w:rsidRDefault="00587444" w:rsidP="00587444">
            <w:pPr>
              <w:tabs>
                <w:tab w:val="right" w:pos="1202"/>
              </w:tabs>
              <w:suppressAutoHyphens w:val="0"/>
              <w:autoSpaceDN/>
              <w:outlineLvl w:val="0"/>
              <w:rPr>
                <w:rFonts w:ascii="Arial" w:hAnsi="Arial" w:cs="Arial"/>
                <w:b/>
                <w:i/>
                <w:sz w:val="17"/>
                <w:szCs w:val="17"/>
                <w:highlight w:val="yellow"/>
              </w:rPr>
            </w:pPr>
            <w:bookmarkStart w:id="1409" w:name="_Toc4063130"/>
            <w:r w:rsidRPr="00587444">
              <w:rPr>
                <w:rFonts w:ascii="Arial" w:hAnsi="Arial" w:cs="Arial"/>
                <w:sz w:val="17"/>
                <w:szCs w:val="17"/>
              </w:rPr>
              <w:t>Investments in investment funds at fair value through profit or loss</w:t>
            </w:r>
            <w:bookmarkEnd w:id="1409"/>
          </w:p>
        </w:tc>
        <w:tc>
          <w:tcPr>
            <w:tcW w:w="1134" w:type="dxa"/>
            <w:tcBorders>
              <w:top w:val="nil"/>
              <w:left w:val="nil"/>
              <w:right w:val="nil"/>
            </w:tcBorders>
            <w:shd w:val="clear" w:color="auto" w:fill="auto"/>
            <w:vAlign w:val="bottom"/>
          </w:tcPr>
          <w:p w14:paraId="33176E37"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107,303</w:t>
            </w:r>
          </w:p>
        </w:tc>
        <w:tc>
          <w:tcPr>
            <w:tcW w:w="1134" w:type="dxa"/>
            <w:tcBorders>
              <w:top w:val="nil"/>
              <w:left w:val="nil"/>
              <w:right w:val="nil"/>
            </w:tcBorders>
            <w:shd w:val="clear" w:color="auto" w:fill="auto"/>
            <w:vAlign w:val="bottom"/>
          </w:tcPr>
          <w:p w14:paraId="24EBFCAA"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0C48C094"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r>
      <w:tr w:rsidR="00587444" w:rsidRPr="00587444" w14:paraId="0180BB38" w14:textId="77777777" w:rsidTr="00DD69E7">
        <w:trPr>
          <w:trHeight w:val="216"/>
          <w:jc w:val="center"/>
        </w:trPr>
        <w:tc>
          <w:tcPr>
            <w:tcW w:w="6066" w:type="dxa"/>
            <w:vAlign w:val="bottom"/>
          </w:tcPr>
          <w:p w14:paraId="4267D245" w14:textId="77777777" w:rsidR="00587444" w:rsidRPr="00587444" w:rsidRDefault="00587444" w:rsidP="00587444">
            <w:pPr>
              <w:tabs>
                <w:tab w:val="right" w:pos="1202"/>
              </w:tabs>
              <w:suppressAutoHyphens w:val="0"/>
              <w:autoSpaceDN/>
              <w:outlineLvl w:val="0"/>
              <w:rPr>
                <w:rFonts w:ascii="Arial" w:hAnsi="Arial" w:cs="Arial"/>
                <w:b/>
                <w:sz w:val="17"/>
                <w:szCs w:val="17"/>
                <w:highlight w:val="yellow"/>
              </w:rPr>
            </w:pPr>
            <w:bookmarkStart w:id="1410" w:name="_Toc4063134"/>
            <w:r w:rsidRPr="00587444">
              <w:rPr>
                <w:rFonts w:ascii="Arial" w:hAnsi="Arial" w:cs="Arial"/>
                <w:b/>
                <w:sz w:val="17"/>
                <w:szCs w:val="17"/>
              </w:rPr>
              <w:t>Equity instruments:</w:t>
            </w:r>
            <w:bookmarkEnd w:id="1410"/>
          </w:p>
          <w:p w14:paraId="23FA6DA5" w14:textId="77777777" w:rsidR="00587444" w:rsidRPr="00587444" w:rsidRDefault="00587444" w:rsidP="00587444">
            <w:pPr>
              <w:tabs>
                <w:tab w:val="right" w:pos="1202"/>
              </w:tabs>
              <w:suppressAutoHyphens w:val="0"/>
              <w:autoSpaceDN/>
              <w:outlineLvl w:val="0"/>
              <w:rPr>
                <w:rFonts w:ascii="Arial" w:hAnsi="Arial" w:cs="Arial"/>
                <w:b/>
                <w:i/>
                <w:spacing w:val="-2"/>
                <w:sz w:val="17"/>
                <w:szCs w:val="17"/>
              </w:rPr>
            </w:pPr>
            <w:bookmarkStart w:id="1411" w:name="_Toc4063135"/>
            <w:r w:rsidRPr="00587444">
              <w:rPr>
                <w:rFonts w:ascii="Arial" w:hAnsi="Arial" w:cs="Arial"/>
                <w:b/>
                <w:i/>
                <w:spacing w:val="-2"/>
                <w:sz w:val="17"/>
                <w:szCs w:val="17"/>
              </w:rPr>
              <w:t>Listed equity instruments:</w:t>
            </w:r>
            <w:bookmarkEnd w:id="1411"/>
          </w:p>
          <w:p w14:paraId="594D1ED8"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bookmarkStart w:id="1412" w:name="_Toc4063136"/>
            <w:r w:rsidRPr="00587444">
              <w:rPr>
                <w:rFonts w:ascii="Arial" w:hAnsi="Arial" w:cs="Arial"/>
                <w:sz w:val="17"/>
                <w:szCs w:val="17"/>
              </w:rPr>
              <w:t>Investments in companies’ shares</w:t>
            </w:r>
            <w:bookmarkEnd w:id="1412"/>
          </w:p>
        </w:tc>
        <w:tc>
          <w:tcPr>
            <w:tcW w:w="1134" w:type="dxa"/>
            <w:tcBorders>
              <w:top w:val="nil"/>
              <w:left w:val="nil"/>
              <w:right w:val="nil"/>
            </w:tcBorders>
            <w:shd w:val="clear" w:color="auto" w:fill="auto"/>
            <w:vAlign w:val="bottom"/>
          </w:tcPr>
          <w:p w14:paraId="7EA51E61"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1F8B6E3E"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431115DE"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r>
      <w:tr w:rsidR="00587444" w:rsidRPr="00587444" w14:paraId="7B736B54" w14:textId="77777777" w:rsidTr="00DD69E7">
        <w:trPr>
          <w:trHeight w:val="299"/>
          <w:jc w:val="center"/>
        </w:trPr>
        <w:tc>
          <w:tcPr>
            <w:tcW w:w="6066" w:type="dxa"/>
            <w:vAlign w:val="bottom"/>
          </w:tcPr>
          <w:p w14:paraId="429B1774"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bookmarkStart w:id="1413" w:name="_Toc4063140"/>
            <w:r w:rsidRPr="00587444">
              <w:rPr>
                <w:rFonts w:ascii="Arial" w:hAnsi="Arial" w:cs="Arial"/>
                <w:b/>
                <w:i/>
                <w:spacing w:val="-2"/>
                <w:sz w:val="17"/>
                <w:szCs w:val="17"/>
              </w:rPr>
              <w:t>Unlisted equity instruments:</w:t>
            </w:r>
            <w:bookmarkEnd w:id="1413"/>
          </w:p>
        </w:tc>
        <w:tc>
          <w:tcPr>
            <w:tcW w:w="1134" w:type="dxa"/>
            <w:tcBorders>
              <w:left w:val="nil"/>
              <w:right w:val="nil"/>
            </w:tcBorders>
            <w:shd w:val="clear" w:color="auto" w:fill="auto"/>
            <w:vAlign w:val="bottom"/>
          </w:tcPr>
          <w:p w14:paraId="52DF9B40"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6753D0F2"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1583C6EF"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r>
      <w:tr w:rsidR="00587444" w:rsidRPr="00587444" w14:paraId="62A95431" w14:textId="77777777" w:rsidTr="00DD69E7">
        <w:trPr>
          <w:trHeight w:val="299"/>
          <w:jc w:val="center"/>
        </w:trPr>
        <w:tc>
          <w:tcPr>
            <w:tcW w:w="6066" w:type="dxa"/>
            <w:vAlign w:val="bottom"/>
          </w:tcPr>
          <w:p w14:paraId="15E971AD" w14:textId="77777777" w:rsidR="00587444" w:rsidRPr="00587444" w:rsidRDefault="00587444" w:rsidP="00587444">
            <w:pPr>
              <w:tabs>
                <w:tab w:val="right" w:pos="1202"/>
              </w:tabs>
              <w:suppressAutoHyphens w:val="0"/>
              <w:autoSpaceDN/>
              <w:outlineLvl w:val="0"/>
              <w:rPr>
                <w:rFonts w:ascii="Arial" w:hAnsi="Arial" w:cs="Arial"/>
                <w:b/>
                <w:i/>
                <w:spacing w:val="-2"/>
                <w:sz w:val="17"/>
                <w:szCs w:val="17"/>
              </w:rPr>
            </w:pPr>
            <w:bookmarkStart w:id="1414" w:name="_Toc4063141"/>
            <w:r w:rsidRPr="00587444">
              <w:rPr>
                <w:rFonts w:ascii="Arial" w:hAnsi="Arial" w:cs="Arial"/>
                <w:sz w:val="17"/>
                <w:szCs w:val="17"/>
              </w:rPr>
              <w:t>Investments in companies’ shares</w:t>
            </w:r>
            <w:bookmarkEnd w:id="1414"/>
          </w:p>
        </w:tc>
        <w:tc>
          <w:tcPr>
            <w:tcW w:w="1134" w:type="dxa"/>
            <w:tcBorders>
              <w:left w:val="nil"/>
              <w:right w:val="nil"/>
            </w:tcBorders>
            <w:shd w:val="clear" w:color="auto" w:fill="auto"/>
            <w:vAlign w:val="bottom"/>
          </w:tcPr>
          <w:p w14:paraId="37BAAC93"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0F7B5C1F"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0A89C724"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31</w:t>
            </w:r>
          </w:p>
        </w:tc>
      </w:tr>
      <w:tr w:rsidR="00587444" w:rsidRPr="00587444" w14:paraId="57E9D3A5" w14:textId="77777777" w:rsidTr="00DD69E7">
        <w:trPr>
          <w:trHeight w:val="299"/>
          <w:jc w:val="center"/>
        </w:trPr>
        <w:tc>
          <w:tcPr>
            <w:tcW w:w="6066" w:type="dxa"/>
            <w:vAlign w:val="bottom"/>
          </w:tcPr>
          <w:p w14:paraId="150FCAC6"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Depository receipt - DR</w:t>
            </w:r>
          </w:p>
        </w:tc>
        <w:tc>
          <w:tcPr>
            <w:tcW w:w="1134" w:type="dxa"/>
            <w:tcBorders>
              <w:left w:val="nil"/>
              <w:right w:val="nil"/>
            </w:tcBorders>
            <w:shd w:val="clear" w:color="auto" w:fill="auto"/>
            <w:vAlign w:val="bottom"/>
          </w:tcPr>
          <w:p w14:paraId="19E2C1C8"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2B30E3CF"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0DA040FD"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319</w:t>
            </w:r>
          </w:p>
        </w:tc>
      </w:tr>
      <w:tr w:rsidR="00587444" w:rsidRPr="00587444" w14:paraId="57CEA3D2" w14:textId="77777777" w:rsidTr="00DD69E7">
        <w:trPr>
          <w:trHeight w:val="299"/>
          <w:jc w:val="center"/>
        </w:trPr>
        <w:tc>
          <w:tcPr>
            <w:tcW w:w="6066" w:type="dxa"/>
            <w:vAlign w:val="bottom"/>
          </w:tcPr>
          <w:p w14:paraId="40694173" w14:textId="77777777" w:rsidR="00587444" w:rsidRPr="00587444" w:rsidRDefault="00587444" w:rsidP="00587444">
            <w:pPr>
              <w:tabs>
                <w:tab w:val="right" w:pos="1202"/>
              </w:tabs>
              <w:suppressAutoHyphens w:val="0"/>
              <w:autoSpaceDN/>
              <w:outlineLvl w:val="0"/>
              <w:rPr>
                <w:rFonts w:ascii="Arial" w:hAnsi="Arial" w:cs="Arial"/>
                <w:b/>
                <w:bCs/>
                <w:sz w:val="17"/>
                <w:szCs w:val="17"/>
              </w:rPr>
            </w:pPr>
            <w:r w:rsidRPr="00587444">
              <w:rPr>
                <w:rFonts w:ascii="Arial" w:hAnsi="Arial" w:cs="Arial"/>
                <w:b/>
                <w:bCs/>
                <w:sz w:val="17"/>
                <w:szCs w:val="17"/>
              </w:rPr>
              <w:t>Derivative financial assets-positive fair value</w:t>
            </w:r>
          </w:p>
        </w:tc>
        <w:tc>
          <w:tcPr>
            <w:tcW w:w="1134" w:type="dxa"/>
            <w:tcBorders>
              <w:left w:val="nil"/>
              <w:right w:val="nil"/>
            </w:tcBorders>
            <w:shd w:val="clear" w:color="auto" w:fill="auto"/>
            <w:vAlign w:val="bottom"/>
          </w:tcPr>
          <w:p w14:paraId="2100B0D2"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328C2C2D"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4687838D"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r>
      <w:tr w:rsidR="00587444" w:rsidRPr="00587444" w14:paraId="3868DEA5" w14:textId="77777777" w:rsidTr="00DD69E7">
        <w:trPr>
          <w:trHeight w:val="299"/>
          <w:jc w:val="center"/>
        </w:trPr>
        <w:tc>
          <w:tcPr>
            <w:tcW w:w="6066" w:type="dxa"/>
            <w:vAlign w:val="bottom"/>
          </w:tcPr>
          <w:p w14:paraId="2D6F82D6" w14:textId="77777777" w:rsidR="00587444" w:rsidRPr="00587444" w:rsidRDefault="00587444" w:rsidP="00587444">
            <w:pPr>
              <w:tabs>
                <w:tab w:val="right" w:pos="1202"/>
              </w:tabs>
              <w:suppressAutoHyphens w:val="0"/>
              <w:autoSpaceDN/>
              <w:outlineLvl w:val="0"/>
              <w:rPr>
                <w:rFonts w:ascii="Arial" w:hAnsi="Arial" w:cs="Arial"/>
                <w:sz w:val="17"/>
                <w:szCs w:val="17"/>
              </w:rPr>
            </w:pPr>
            <w:r w:rsidRPr="00587444">
              <w:rPr>
                <w:rFonts w:ascii="Arial" w:hAnsi="Arial" w:cs="Arial"/>
                <w:sz w:val="17"/>
                <w:szCs w:val="17"/>
              </w:rPr>
              <w:t>FX swap</w:t>
            </w:r>
          </w:p>
        </w:tc>
        <w:tc>
          <w:tcPr>
            <w:tcW w:w="1134" w:type="dxa"/>
            <w:tcBorders>
              <w:left w:val="nil"/>
              <w:right w:val="nil"/>
            </w:tcBorders>
            <w:shd w:val="clear" w:color="auto" w:fill="auto"/>
            <w:vAlign w:val="bottom"/>
          </w:tcPr>
          <w:p w14:paraId="29FB1386"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2028D5F8"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1,039</w:t>
            </w:r>
          </w:p>
        </w:tc>
        <w:tc>
          <w:tcPr>
            <w:tcW w:w="1134" w:type="dxa"/>
            <w:tcBorders>
              <w:top w:val="nil"/>
              <w:left w:val="nil"/>
              <w:right w:val="nil"/>
            </w:tcBorders>
            <w:shd w:val="clear" w:color="auto" w:fill="auto"/>
            <w:vAlign w:val="bottom"/>
          </w:tcPr>
          <w:p w14:paraId="59A56036"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r>
      <w:tr w:rsidR="00587444" w:rsidRPr="00587444" w14:paraId="690BC9DA" w14:textId="77777777" w:rsidTr="00DD69E7">
        <w:trPr>
          <w:trHeight w:val="283"/>
          <w:jc w:val="center"/>
        </w:trPr>
        <w:tc>
          <w:tcPr>
            <w:tcW w:w="6066" w:type="dxa"/>
            <w:vAlign w:val="bottom"/>
          </w:tcPr>
          <w:p w14:paraId="2A32306B"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bookmarkStart w:id="1415" w:name="_Toc4063149"/>
            <w:r w:rsidRPr="00587444">
              <w:rPr>
                <w:rFonts w:ascii="Arial" w:hAnsi="Arial" w:cs="Arial"/>
                <w:b/>
                <w:sz w:val="17"/>
                <w:szCs w:val="17"/>
              </w:rPr>
              <w:t>Total financial assets at fair value through profit or loss</w:t>
            </w:r>
            <w:bookmarkEnd w:id="1415"/>
          </w:p>
        </w:tc>
        <w:tc>
          <w:tcPr>
            <w:tcW w:w="1134" w:type="dxa"/>
            <w:tcBorders>
              <w:top w:val="single" w:sz="4" w:space="0" w:color="auto"/>
              <w:left w:val="nil"/>
              <w:bottom w:val="single" w:sz="12" w:space="0" w:color="auto"/>
              <w:right w:val="nil"/>
            </w:tcBorders>
            <w:shd w:val="clear" w:color="auto" w:fill="auto"/>
            <w:vAlign w:val="bottom"/>
          </w:tcPr>
          <w:p w14:paraId="62782F7E" w14:textId="77777777" w:rsidR="00587444" w:rsidRPr="00587444" w:rsidRDefault="00587444" w:rsidP="00587444">
            <w:pPr>
              <w:tabs>
                <w:tab w:val="right" w:pos="1202"/>
              </w:tabs>
              <w:suppressAutoHyphens w:val="0"/>
              <w:autoSpaceDN/>
              <w:jc w:val="right"/>
              <w:outlineLvl w:val="0"/>
              <w:rPr>
                <w:rFonts w:ascii="Arial" w:hAnsi="Arial" w:cs="Arial"/>
                <w:b/>
                <w:sz w:val="17"/>
                <w:szCs w:val="17"/>
              </w:rPr>
            </w:pPr>
            <w:r w:rsidRPr="00587444">
              <w:rPr>
                <w:rFonts w:ascii="Arial" w:eastAsia="Calibri" w:hAnsi="Arial" w:cs="Arial"/>
                <w:b/>
                <w:color w:val="000000"/>
                <w:sz w:val="17"/>
                <w:szCs w:val="17"/>
                <w:lang w:val="hr-HR"/>
              </w:rPr>
              <w:t>107,303</w:t>
            </w:r>
          </w:p>
        </w:tc>
        <w:tc>
          <w:tcPr>
            <w:tcW w:w="1134" w:type="dxa"/>
            <w:tcBorders>
              <w:top w:val="single" w:sz="4" w:space="0" w:color="auto"/>
              <w:left w:val="nil"/>
              <w:bottom w:val="single" w:sz="12" w:space="0" w:color="auto"/>
              <w:right w:val="nil"/>
            </w:tcBorders>
            <w:shd w:val="clear" w:color="auto" w:fill="auto"/>
            <w:vAlign w:val="bottom"/>
          </w:tcPr>
          <w:p w14:paraId="37C2DE93" w14:textId="77777777" w:rsidR="00587444" w:rsidRPr="00587444" w:rsidRDefault="00587444" w:rsidP="00587444">
            <w:pPr>
              <w:tabs>
                <w:tab w:val="right" w:pos="1202"/>
              </w:tabs>
              <w:suppressAutoHyphens w:val="0"/>
              <w:autoSpaceDN/>
              <w:jc w:val="right"/>
              <w:outlineLvl w:val="0"/>
              <w:rPr>
                <w:rFonts w:ascii="Arial" w:hAnsi="Arial" w:cs="Arial"/>
                <w:b/>
                <w:sz w:val="17"/>
                <w:szCs w:val="17"/>
              </w:rPr>
            </w:pPr>
            <w:r w:rsidRPr="00587444">
              <w:rPr>
                <w:rFonts w:ascii="Arial" w:eastAsia="Calibri" w:hAnsi="Arial" w:cs="Arial"/>
                <w:b/>
                <w:color w:val="000000"/>
                <w:sz w:val="17"/>
                <w:szCs w:val="17"/>
                <w:lang w:val="hr-HR"/>
              </w:rPr>
              <w:t>1,039</w:t>
            </w:r>
          </w:p>
        </w:tc>
        <w:tc>
          <w:tcPr>
            <w:tcW w:w="1134" w:type="dxa"/>
            <w:tcBorders>
              <w:top w:val="single" w:sz="4" w:space="0" w:color="auto"/>
              <w:left w:val="nil"/>
              <w:bottom w:val="single" w:sz="12" w:space="0" w:color="auto"/>
              <w:right w:val="nil"/>
            </w:tcBorders>
            <w:shd w:val="clear" w:color="auto" w:fill="auto"/>
            <w:vAlign w:val="bottom"/>
          </w:tcPr>
          <w:p w14:paraId="49E17329" w14:textId="77777777" w:rsidR="00587444" w:rsidRPr="00587444" w:rsidRDefault="00587444" w:rsidP="00587444">
            <w:pPr>
              <w:tabs>
                <w:tab w:val="right" w:pos="1202"/>
              </w:tabs>
              <w:suppressAutoHyphens w:val="0"/>
              <w:autoSpaceDN/>
              <w:jc w:val="right"/>
              <w:outlineLvl w:val="0"/>
              <w:rPr>
                <w:rFonts w:ascii="Arial" w:hAnsi="Arial" w:cs="Arial"/>
                <w:b/>
                <w:sz w:val="17"/>
                <w:szCs w:val="17"/>
              </w:rPr>
            </w:pPr>
            <w:r w:rsidRPr="00587444">
              <w:rPr>
                <w:rFonts w:ascii="Arial" w:eastAsia="Calibri" w:hAnsi="Arial" w:cs="Arial"/>
                <w:b/>
                <w:color w:val="000000"/>
                <w:sz w:val="17"/>
                <w:szCs w:val="17"/>
                <w:lang w:val="hr-HR"/>
              </w:rPr>
              <w:t>23,181</w:t>
            </w:r>
          </w:p>
        </w:tc>
      </w:tr>
      <w:tr w:rsidR="00587444" w:rsidRPr="00587444" w14:paraId="723873E7" w14:textId="77777777" w:rsidTr="00DD69E7">
        <w:trPr>
          <w:trHeight w:val="340"/>
          <w:jc w:val="center"/>
        </w:trPr>
        <w:tc>
          <w:tcPr>
            <w:tcW w:w="6066" w:type="dxa"/>
            <w:shd w:val="clear" w:color="auto" w:fill="auto"/>
            <w:vAlign w:val="bottom"/>
          </w:tcPr>
          <w:p w14:paraId="044BA7DC" w14:textId="77777777" w:rsidR="00587444" w:rsidRPr="00587444" w:rsidRDefault="00587444" w:rsidP="00587444">
            <w:pPr>
              <w:tabs>
                <w:tab w:val="right" w:pos="1202"/>
              </w:tabs>
              <w:suppressAutoHyphens w:val="0"/>
              <w:autoSpaceDN/>
              <w:outlineLvl w:val="0"/>
              <w:rPr>
                <w:rFonts w:ascii="Arial" w:hAnsi="Arial" w:cs="Arial"/>
                <w:b/>
                <w:spacing w:val="-2"/>
                <w:sz w:val="17"/>
                <w:szCs w:val="17"/>
                <w:highlight w:val="yellow"/>
              </w:rPr>
            </w:pPr>
            <w:bookmarkStart w:id="1416" w:name="_Toc4063153"/>
            <w:r w:rsidRPr="00587444">
              <w:rPr>
                <w:rFonts w:ascii="Arial" w:hAnsi="Arial" w:cs="Arial"/>
                <w:b/>
                <w:spacing w:val="-2"/>
                <w:sz w:val="17"/>
                <w:szCs w:val="17"/>
              </w:rPr>
              <w:t>Financial assets at fair value through other comprehensive income:</w:t>
            </w:r>
            <w:bookmarkEnd w:id="1416"/>
          </w:p>
        </w:tc>
        <w:tc>
          <w:tcPr>
            <w:tcW w:w="1134" w:type="dxa"/>
            <w:vAlign w:val="bottom"/>
          </w:tcPr>
          <w:p w14:paraId="65735978"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153C336D"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418DA67A"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r>
      <w:tr w:rsidR="00587444" w:rsidRPr="00587444" w14:paraId="4517622D" w14:textId="77777777" w:rsidTr="00DD69E7">
        <w:trPr>
          <w:trHeight w:val="291"/>
          <w:jc w:val="center"/>
        </w:trPr>
        <w:tc>
          <w:tcPr>
            <w:tcW w:w="6066" w:type="dxa"/>
            <w:shd w:val="clear" w:color="auto" w:fill="auto"/>
            <w:vAlign w:val="bottom"/>
          </w:tcPr>
          <w:p w14:paraId="7AC36019" w14:textId="77777777" w:rsidR="00587444" w:rsidRPr="00587444" w:rsidRDefault="00587444" w:rsidP="00587444">
            <w:pPr>
              <w:tabs>
                <w:tab w:val="right" w:pos="1202"/>
              </w:tabs>
              <w:suppressAutoHyphens w:val="0"/>
              <w:autoSpaceDN/>
              <w:outlineLvl w:val="0"/>
              <w:rPr>
                <w:rFonts w:ascii="Arial" w:hAnsi="Arial" w:cs="Arial"/>
                <w:b/>
                <w:spacing w:val="-2"/>
                <w:sz w:val="17"/>
                <w:szCs w:val="17"/>
                <w:highlight w:val="yellow"/>
              </w:rPr>
            </w:pPr>
            <w:bookmarkStart w:id="1417" w:name="_Toc4063154"/>
            <w:r w:rsidRPr="00587444">
              <w:rPr>
                <w:rFonts w:ascii="Arial" w:hAnsi="Arial" w:cs="Arial"/>
                <w:b/>
                <w:spacing w:val="-2"/>
                <w:sz w:val="17"/>
                <w:szCs w:val="17"/>
              </w:rPr>
              <w:t>Debt instruments:</w:t>
            </w:r>
            <w:bookmarkEnd w:id="1417"/>
          </w:p>
        </w:tc>
        <w:tc>
          <w:tcPr>
            <w:tcW w:w="1134" w:type="dxa"/>
            <w:vAlign w:val="bottom"/>
          </w:tcPr>
          <w:p w14:paraId="344A9099"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2B9A1E9E"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52954F7D"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r>
      <w:tr w:rsidR="00587444" w:rsidRPr="00587444" w14:paraId="22B505A0" w14:textId="77777777" w:rsidTr="00DD69E7">
        <w:trPr>
          <w:trHeight w:val="291"/>
          <w:jc w:val="center"/>
        </w:trPr>
        <w:tc>
          <w:tcPr>
            <w:tcW w:w="6066" w:type="dxa"/>
            <w:shd w:val="clear" w:color="auto" w:fill="auto"/>
            <w:vAlign w:val="bottom"/>
          </w:tcPr>
          <w:p w14:paraId="2D1E242D" w14:textId="77777777" w:rsidR="00587444" w:rsidRPr="00587444" w:rsidRDefault="00587444" w:rsidP="00587444">
            <w:pPr>
              <w:tabs>
                <w:tab w:val="right" w:pos="1202"/>
              </w:tabs>
              <w:suppressAutoHyphens w:val="0"/>
              <w:autoSpaceDN/>
              <w:outlineLvl w:val="0"/>
              <w:rPr>
                <w:rFonts w:ascii="Arial" w:hAnsi="Arial" w:cs="Arial"/>
                <w:b/>
                <w:i/>
                <w:spacing w:val="-2"/>
                <w:sz w:val="17"/>
                <w:szCs w:val="17"/>
                <w:highlight w:val="yellow"/>
              </w:rPr>
            </w:pPr>
            <w:bookmarkStart w:id="1418" w:name="_Toc4063155"/>
            <w:r w:rsidRPr="00587444">
              <w:rPr>
                <w:rFonts w:ascii="Arial" w:hAnsi="Arial" w:cs="Arial"/>
                <w:b/>
                <w:i/>
                <w:spacing w:val="-2"/>
                <w:sz w:val="17"/>
                <w:szCs w:val="17"/>
              </w:rPr>
              <w:t>Listed debt instruments:</w:t>
            </w:r>
            <w:bookmarkEnd w:id="1418"/>
          </w:p>
        </w:tc>
        <w:tc>
          <w:tcPr>
            <w:tcW w:w="1134" w:type="dxa"/>
            <w:tcBorders>
              <w:top w:val="nil"/>
              <w:left w:val="nil"/>
              <w:bottom w:val="nil"/>
              <w:right w:val="nil"/>
            </w:tcBorders>
            <w:shd w:val="clear" w:color="auto" w:fill="auto"/>
            <w:vAlign w:val="bottom"/>
          </w:tcPr>
          <w:p w14:paraId="785EA54A"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c>
          <w:tcPr>
            <w:tcW w:w="1134" w:type="dxa"/>
            <w:tcBorders>
              <w:top w:val="nil"/>
              <w:left w:val="nil"/>
              <w:bottom w:val="nil"/>
              <w:right w:val="nil"/>
            </w:tcBorders>
            <w:shd w:val="clear" w:color="auto" w:fill="auto"/>
            <w:vAlign w:val="bottom"/>
          </w:tcPr>
          <w:p w14:paraId="61F80B01"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c>
          <w:tcPr>
            <w:tcW w:w="1134" w:type="dxa"/>
            <w:tcBorders>
              <w:top w:val="nil"/>
              <w:left w:val="nil"/>
              <w:bottom w:val="nil"/>
              <w:right w:val="nil"/>
            </w:tcBorders>
            <w:shd w:val="clear" w:color="auto" w:fill="auto"/>
            <w:vAlign w:val="bottom"/>
          </w:tcPr>
          <w:p w14:paraId="03CB20C6"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r>
      <w:tr w:rsidR="00587444" w:rsidRPr="00587444" w14:paraId="64547985" w14:textId="77777777" w:rsidTr="00DD69E7">
        <w:trPr>
          <w:trHeight w:val="291"/>
          <w:jc w:val="center"/>
        </w:trPr>
        <w:tc>
          <w:tcPr>
            <w:tcW w:w="6066" w:type="dxa"/>
            <w:shd w:val="clear" w:color="auto" w:fill="auto"/>
            <w:vAlign w:val="bottom"/>
          </w:tcPr>
          <w:p w14:paraId="15A59FB9" w14:textId="77777777" w:rsidR="00587444" w:rsidRPr="00587444" w:rsidRDefault="00587444" w:rsidP="00587444">
            <w:pPr>
              <w:tabs>
                <w:tab w:val="right" w:pos="1202"/>
              </w:tabs>
              <w:suppressAutoHyphens w:val="0"/>
              <w:autoSpaceDN/>
              <w:outlineLvl w:val="0"/>
              <w:rPr>
                <w:rFonts w:ascii="Arial" w:hAnsi="Arial" w:cs="Arial"/>
                <w:spacing w:val="-2"/>
                <w:sz w:val="17"/>
                <w:szCs w:val="17"/>
                <w:highlight w:val="yellow"/>
              </w:rPr>
            </w:pPr>
            <w:bookmarkStart w:id="1419" w:name="_Toc4063156"/>
            <w:r w:rsidRPr="00587444">
              <w:rPr>
                <w:rFonts w:ascii="Arial" w:hAnsi="Arial" w:cs="Arial"/>
                <w:spacing w:val="-2"/>
                <w:sz w:val="17"/>
                <w:szCs w:val="17"/>
              </w:rPr>
              <w:t>Bonds of the Republic of Croatia</w:t>
            </w:r>
            <w:bookmarkEnd w:id="1419"/>
          </w:p>
        </w:tc>
        <w:tc>
          <w:tcPr>
            <w:tcW w:w="1134" w:type="dxa"/>
            <w:tcBorders>
              <w:top w:val="nil"/>
              <w:left w:val="nil"/>
              <w:bottom w:val="nil"/>
              <w:right w:val="nil"/>
            </w:tcBorders>
            <w:shd w:val="clear" w:color="auto" w:fill="auto"/>
            <w:vAlign w:val="bottom"/>
          </w:tcPr>
          <w:p w14:paraId="0DED3275"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1,289,066</w:t>
            </w:r>
          </w:p>
        </w:tc>
        <w:tc>
          <w:tcPr>
            <w:tcW w:w="1134" w:type="dxa"/>
            <w:tcBorders>
              <w:top w:val="nil"/>
              <w:left w:val="nil"/>
              <w:bottom w:val="nil"/>
              <w:right w:val="nil"/>
            </w:tcBorders>
            <w:shd w:val="clear" w:color="auto" w:fill="auto"/>
            <w:vAlign w:val="bottom"/>
          </w:tcPr>
          <w:p w14:paraId="5FB57976"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50017E3B"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r>
      <w:tr w:rsidR="00587444" w:rsidRPr="00587444" w14:paraId="1AB5A001" w14:textId="77777777" w:rsidTr="00DD69E7">
        <w:trPr>
          <w:trHeight w:val="291"/>
          <w:jc w:val="center"/>
        </w:trPr>
        <w:tc>
          <w:tcPr>
            <w:tcW w:w="6066" w:type="dxa"/>
            <w:shd w:val="clear" w:color="auto" w:fill="auto"/>
            <w:vAlign w:val="bottom"/>
          </w:tcPr>
          <w:p w14:paraId="17C6C639" w14:textId="77777777" w:rsidR="00587444" w:rsidRPr="00587444" w:rsidRDefault="00587444" w:rsidP="00587444">
            <w:pPr>
              <w:tabs>
                <w:tab w:val="right" w:pos="1202"/>
              </w:tabs>
              <w:suppressAutoHyphens w:val="0"/>
              <w:autoSpaceDN/>
              <w:outlineLvl w:val="0"/>
              <w:rPr>
                <w:rFonts w:ascii="Arial" w:hAnsi="Arial" w:cs="Arial"/>
                <w:spacing w:val="-2"/>
                <w:sz w:val="17"/>
                <w:szCs w:val="17"/>
                <w:highlight w:val="yellow"/>
              </w:rPr>
            </w:pPr>
            <w:bookmarkStart w:id="1420" w:name="_Toc4063160"/>
            <w:r w:rsidRPr="00587444">
              <w:rPr>
                <w:rFonts w:ascii="Arial" w:hAnsi="Arial" w:cs="Arial"/>
                <w:spacing w:val="-2"/>
                <w:sz w:val="17"/>
                <w:szCs w:val="17"/>
              </w:rPr>
              <w:t>Treasury bills of the Ministry of Finance</w:t>
            </w:r>
            <w:bookmarkEnd w:id="1420"/>
            <w:r w:rsidRPr="00587444">
              <w:rPr>
                <w:rFonts w:ascii="Arial" w:hAnsi="Arial" w:cs="Arial"/>
                <w:spacing w:val="-2"/>
                <w:sz w:val="17"/>
                <w:szCs w:val="17"/>
              </w:rPr>
              <w:t xml:space="preserve"> </w:t>
            </w:r>
          </w:p>
        </w:tc>
        <w:tc>
          <w:tcPr>
            <w:tcW w:w="1134" w:type="dxa"/>
            <w:tcBorders>
              <w:top w:val="nil"/>
              <w:left w:val="nil"/>
              <w:bottom w:val="nil"/>
              <w:right w:val="nil"/>
            </w:tcBorders>
            <w:shd w:val="clear" w:color="auto" w:fill="auto"/>
            <w:vAlign w:val="bottom"/>
          </w:tcPr>
          <w:p w14:paraId="3FAF498E"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42A5A60D"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1,281,368</w:t>
            </w:r>
          </w:p>
        </w:tc>
        <w:tc>
          <w:tcPr>
            <w:tcW w:w="1134" w:type="dxa"/>
            <w:tcBorders>
              <w:top w:val="nil"/>
              <w:left w:val="nil"/>
              <w:bottom w:val="nil"/>
              <w:right w:val="nil"/>
            </w:tcBorders>
            <w:shd w:val="clear" w:color="auto" w:fill="auto"/>
            <w:vAlign w:val="bottom"/>
          </w:tcPr>
          <w:p w14:paraId="67E015EA"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r>
      <w:tr w:rsidR="00587444" w:rsidRPr="00587444" w14:paraId="241416BC" w14:textId="77777777" w:rsidTr="00DD69E7">
        <w:trPr>
          <w:trHeight w:val="291"/>
          <w:jc w:val="center"/>
        </w:trPr>
        <w:tc>
          <w:tcPr>
            <w:tcW w:w="6066" w:type="dxa"/>
            <w:shd w:val="clear" w:color="auto" w:fill="auto"/>
            <w:vAlign w:val="bottom"/>
          </w:tcPr>
          <w:p w14:paraId="44C812B7" w14:textId="77777777" w:rsidR="00587444" w:rsidRPr="00587444" w:rsidRDefault="00587444" w:rsidP="00587444">
            <w:pPr>
              <w:tabs>
                <w:tab w:val="right" w:pos="1202"/>
              </w:tabs>
              <w:suppressAutoHyphens w:val="0"/>
              <w:autoSpaceDN/>
              <w:outlineLvl w:val="0"/>
              <w:rPr>
                <w:rFonts w:ascii="Arial" w:hAnsi="Arial" w:cs="Arial"/>
                <w:spacing w:val="-2"/>
                <w:sz w:val="17"/>
                <w:szCs w:val="17"/>
                <w:highlight w:val="yellow"/>
              </w:rPr>
            </w:pPr>
            <w:bookmarkStart w:id="1421" w:name="_Toc4063164"/>
            <w:r w:rsidRPr="00587444">
              <w:rPr>
                <w:rFonts w:ascii="Arial" w:hAnsi="Arial" w:cs="Arial"/>
                <w:spacing w:val="-2"/>
                <w:sz w:val="17"/>
                <w:szCs w:val="17"/>
              </w:rPr>
              <w:t>Accrued interest</w:t>
            </w:r>
            <w:bookmarkEnd w:id="1421"/>
          </w:p>
        </w:tc>
        <w:tc>
          <w:tcPr>
            <w:tcW w:w="1134" w:type="dxa"/>
            <w:tcBorders>
              <w:top w:val="nil"/>
              <w:left w:val="nil"/>
              <w:bottom w:val="nil"/>
              <w:right w:val="nil"/>
            </w:tcBorders>
            <w:shd w:val="clear" w:color="auto" w:fill="auto"/>
            <w:vAlign w:val="bottom"/>
          </w:tcPr>
          <w:p w14:paraId="4A82D3D7"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13,895</w:t>
            </w:r>
          </w:p>
        </w:tc>
        <w:tc>
          <w:tcPr>
            <w:tcW w:w="1134" w:type="dxa"/>
            <w:tcBorders>
              <w:top w:val="nil"/>
              <w:left w:val="nil"/>
              <w:bottom w:val="nil"/>
              <w:right w:val="nil"/>
            </w:tcBorders>
            <w:shd w:val="clear" w:color="auto" w:fill="auto"/>
            <w:vAlign w:val="bottom"/>
          </w:tcPr>
          <w:p w14:paraId="1805C563"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3072181E"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r>
      <w:tr w:rsidR="00587444" w:rsidRPr="00587444" w14:paraId="7DA5287D" w14:textId="77777777" w:rsidTr="00DD69E7">
        <w:trPr>
          <w:trHeight w:val="291"/>
          <w:jc w:val="center"/>
        </w:trPr>
        <w:tc>
          <w:tcPr>
            <w:tcW w:w="6066" w:type="dxa"/>
            <w:shd w:val="clear" w:color="auto" w:fill="auto"/>
            <w:vAlign w:val="bottom"/>
          </w:tcPr>
          <w:p w14:paraId="31B8E9FD" w14:textId="77777777" w:rsidR="00587444" w:rsidRPr="00587444" w:rsidRDefault="00587444" w:rsidP="00587444">
            <w:pPr>
              <w:tabs>
                <w:tab w:val="right" w:pos="1202"/>
              </w:tabs>
              <w:suppressAutoHyphens w:val="0"/>
              <w:autoSpaceDN/>
              <w:outlineLvl w:val="0"/>
              <w:rPr>
                <w:rFonts w:ascii="Arial" w:hAnsi="Arial" w:cs="Arial"/>
                <w:b/>
                <w:i/>
                <w:spacing w:val="-2"/>
                <w:sz w:val="17"/>
                <w:szCs w:val="17"/>
                <w:highlight w:val="yellow"/>
              </w:rPr>
            </w:pPr>
            <w:bookmarkStart w:id="1422" w:name="_Toc4063168"/>
            <w:r w:rsidRPr="00587444">
              <w:rPr>
                <w:rFonts w:ascii="Arial" w:hAnsi="Arial" w:cs="Arial"/>
                <w:b/>
                <w:i/>
                <w:spacing w:val="-2"/>
                <w:sz w:val="17"/>
                <w:szCs w:val="17"/>
              </w:rPr>
              <w:t>Unlisted debt instruments:</w:t>
            </w:r>
            <w:bookmarkEnd w:id="1422"/>
          </w:p>
        </w:tc>
        <w:tc>
          <w:tcPr>
            <w:tcW w:w="1134" w:type="dxa"/>
            <w:tcBorders>
              <w:top w:val="nil"/>
              <w:left w:val="nil"/>
              <w:bottom w:val="nil"/>
              <w:right w:val="nil"/>
            </w:tcBorders>
            <w:shd w:val="clear" w:color="auto" w:fill="auto"/>
            <w:vAlign w:val="bottom"/>
          </w:tcPr>
          <w:p w14:paraId="1DF55186"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134" w:type="dxa"/>
            <w:tcBorders>
              <w:top w:val="nil"/>
              <w:left w:val="nil"/>
              <w:bottom w:val="nil"/>
              <w:right w:val="nil"/>
            </w:tcBorders>
            <w:shd w:val="clear" w:color="auto" w:fill="auto"/>
            <w:vAlign w:val="bottom"/>
          </w:tcPr>
          <w:p w14:paraId="67454783" w14:textId="77777777" w:rsidR="00587444" w:rsidRPr="00587444" w:rsidRDefault="00587444" w:rsidP="00587444">
            <w:pPr>
              <w:tabs>
                <w:tab w:val="right" w:pos="1202"/>
              </w:tabs>
              <w:suppressAutoHyphens w:val="0"/>
              <w:autoSpaceDN/>
              <w:jc w:val="right"/>
              <w:outlineLvl w:val="0"/>
              <w:rPr>
                <w:rFonts w:ascii="Arial" w:hAnsi="Arial" w:cs="Arial"/>
                <w:spacing w:val="-2"/>
                <w:sz w:val="17"/>
                <w:szCs w:val="17"/>
              </w:rPr>
            </w:pPr>
          </w:p>
        </w:tc>
        <w:tc>
          <w:tcPr>
            <w:tcW w:w="1134" w:type="dxa"/>
            <w:tcBorders>
              <w:top w:val="nil"/>
              <w:left w:val="nil"/>
              <w:bottom w:val="nil"/>
              <w:right w:val="nil"/>
            </w:tcBorders>
            <w:shd w:val="clear" w:color="auto" w:fill="auto"/>
            <w:vAlign w:val="bottom"/>
          </w:tcPr>
          <w:p w14:paraId="67D55184" w14:textId="77777777" w:rsidR="00587444" w:rsidRPr="00587444" w:rsidRDefault="00587444" w:rsidP="00587444">
            <w:pPr>
              <w:tabs>
                <w:tab w:val="right" w:pos="1202"/>
              </w:tabs>
              <w:suppressAutoHyphens w:val="0"/>
              <w:autoSpaceDN/>
              <w:jc w:val="right"/>
              <w:outlineLvl w:val="0"/>
              <w:rPr>
                <w:rFonts w:ascii="Arial" w:hAnsi="Arial" w:cs="Arial"/>
                <w:spacing w:val="-2"/>
                <w:sz w:val="17"/>
                <w:szCs w:val="17"/>
              </w:rPr>
            </w:pPr>
          </w:p>
        </w:tc>
      </w:tr>
      <w:tr w:rsidR="00587444" w:rsidRPr="00587444" w14:paraId="0351B00E" w14:textId="77777777" w:rsidTr="00DD69E7">
        <w:trPr>
          <w:trHeight w:val="291"/>
          <w:jc w:val="center"/>
        </w:trPr>
        <w:tc>
          <w:tcPr>
            <w:tcW w:w="6066" w:type="dxa"/>
            <w:shd w:val="clear" w:color="auto" w:fill="auto"/>
            <w:vAlign w:val="bottom"/>
          </w:tcPr>
          <w:p w14:paraId="440F470F" w14:textId="77777777" w:rsidR="00587444" w:rsidRPr="00587444" w:rsidRDefault="00587444" w:rsidP="00587444">
            <w:pPr>
              <w:tabs>
                <w:tab w:val="right" w:pos="1202"/>
              </w:tabs>
              <w:suppressAutoHyphens w:val="0"/>
              <w:autoSpaceDN/>
              <w:outlineLvl w:val="0"/>
              <w:rPr>
                <w:rFonts w:ascii="Arial" w:hAnsi="Arial" w:cs="Arial"/>
                <w:spacing w:val="-2"/>
                <w:sz w:val="17"/>
                <w:szCs w:val="17"/>
                <w:highlight w:val="yellow"/>
              </w:rPr>
            </w:pPr>
            <w:bookmarkStart w:id="1423" w:name="_Toc4063169"/>
            <w:r w:rsidRPr="00587444">
              <w:rPr>
                <w:rFonts w:ascii="Arial" w:hAnsi="Arial" w:cs="Arial"/>
                <w:spacing w:val="-2"/>
                <w:sz w:val="17"/>
                <w:szCs w:val="17"/>
              </w:rPr>
              <w:t>Corporate bonds</w:t>
            </w:r>
            <w:bookmarkEnd w:id="1423"/>
          </w:p>
        </w:tc>
        <w:tc>
          <w:tcPr>
            <w:tcW w:w="1134" w:type="dxa"/>
            <w:tcBorders>
              <w:top w:val="nil"/>
              <w:left w:val="nil"/>
              <w:bottom w:val="nil"/>
              <w:right w:val="nil"/>
            </w:tcBorders>
            <w:shd w:val="clear" w:color="auto" w:fill="auto"/>
            <w:vAlign w:val="bottom"/>
          </w:tcPr>
          <w:p w14:paraId="1925E9D6"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5E8872FC"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33B008E3" w14:textId="77777777" w:rsidR="00587444" w:rsidRPr="00587444" w:rsidRDefault="00587444" w:rsidP="00587444">
            <w:pPr>
              <w:tabs>
                <w:tab w:val="right" w:pos="1202"/>
              </w:tabs>
              <w:suppressAutoHyphens w:val="0"/>
              <w:autoSpaceDN/>
              <w:jc w:val="right"/>
              <w:outlineLvl w:val="0"/>
              <w:rPr>
                <w:rFonts w:ascii="Arial" w:hAnsi="Arial" w:cs="Arial"/>
                <w:spacing w:val="-2"/>
                <w:sz w:val="17"/>
                <w:szCs w:val="17"/>
              </w:rPr>
            </w:pPr>
            <w:r w:rsidRPr="00587444">
              <w:rPr>
                <w:rFonts w:ascii="Arial" w:eastAsia="Calibri" w:hAnsi="Arial" w:cs="Arial"/>
                <w:color w:val="000000"/>
                <w:spacing w:val="-2"/>
                <w:sz w:val="17"/>
                <w:szCs w:val="17"/>
                <w:lang w:val="hr-HR"/>
              </w:rPr>
              <w:t>464</w:t>
            </w:r>
          </w:p>
        </w:tc>
      </w:tr>
      <w:tr w:rsidR="00587444" w:rsidRPr="00587444" w14:paraId="42C99A54" w14:textId="77777777" w:rsidTr="00DD69E7">
        <w:trPr>
          <w:trHeight w:val="291"/>
          <w:jc w:val="center"/>
        </w:trPr>
        <w:tc>
          <w:tcPr>
            <w:tcW w:w="6066" w:type="dxa"/>
            <w:shd w:val="clear" w:color="auto" w:fill="auto"/>
            <w:vAlign w:val="bottom"/>
          </w:tcPr>
          <w:p w14:paraId="6FDBB66A"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Convertible bonds - CB</w:t>
            </w:r>
          </w:p>
        </w:tc>
        <w:tc>
          <w:tcPr>
            <w:tcW w:w="1134" w:type="dxa"/>
            <w:tcBorders>
              <w:top w:val="nil"/>
              <w:left w:val="nil"/>
              <w:bottom w:val="nil"/>
              <w:right w:val="nil"/>
            </w:tcBorders>
            <w:shd w:val="clear" w:color="auto" w:fill="auto"/>
            <w:vAlign w:val="bottom"/>
          </w:tcPr>
          <w:p w14:paraId="5AF1FC97"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107415FC"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507C11F4" w14:textId="77777777" w:rsidR="00587444" w:rsidRPr="00587444" w:rsidRDefault="00587444" w:rsidP="00587444">
            <w:pPr>
              <w:tabs>
                <w:tab w:val="right" w:pos="1202"/>
              </w:tabs>
              <w:suppressAutoHyphens w:val="0"/>
              <w:autoSpaceDN/>
              <w:jc w:val="right"/>
              <w:outlineLvl w:val="0"/>
              <w:rPr>
                <w:rFonts w:ascii="Arial" w:hAnsi="Arial" w:cs="Arial"/>
                <w:spacing w:val="-2"/>
                <w:sz w:val="17"/>
                <w:szCs w:val="17"/>
              </w:rPr>
            </w:pPr>
            <w:r w:rsidRPr="00587444">
              <w:rPr>
                <w:rFonts w:ascii="Arial" w:eastAsia="Calibri" w:hAnsi="Arial" w:cs="Arial"/>
                <w:color w:val="000000"/>
                <w:spacing w:val="-2"/>
                <w:sz w:val="17"/>
                <w:szCs w:val="17"/>
                <w:lang w:val="hr-HR"/>
              </w:rPr>
              <w:t>1,472</w:t>
            </w:r>
          </w:p>
        </w:tc>
      </w:tr>
      <w:tr w:rsidR="00587444" w:rsidRPr="00587444" w14:paraId="2D037452" w14:textId="77777777" w:rsidTr="00DD69E7">
        <w:trPr>
          <w:trHeight w:val="291"/>
          <w:jc w:val="center"/>
        </w:trPr>
        <w:tc>
          <w:tcPr>
            <w:tcW w:w="6066" w:type="dxa"/>
            <w:shd w:val="clear" w:color="auto" w:fill="auto"/>
            <w:vAlign w:val="bottom"/>
          </w:tcPr>
          <w:p w14:paraId="4B325671" w14:textId="77777777" w:rsidR="00587444" w:rsidRPr="00587444" w:rsidRDefault="00587444" w:rsidP="00587444">
            <w:pPr>
              <w:tabs>
                <w:tab w:val="right" w:pos="1202"/>
              </w:tabs>
              <w:suppressAutoHyphens w:val="0"/>
              <w:autoSpaceDN/>
              <w:outlineLvl w:val="0"/>
              <w:rPr>
                <w:rFonts w:ascii="Arial" w:hAnsi="Arial" w:cs="Arial"/>
                <w:spacing w:val="-2"/>
                <w:sz w:val="17"/>
                <w:szCs w:val="17"/>
                <w:highlight w:val="yellow"/>
              </w:rPr>
            </w:pPr>
            <w:bookmarkStart w:id="1424" w:name="_Toc4063173"/>
            <w:r w:rsidRPr="00587444">
              <w:rPr>
                <w:rFonts w:ascii="Arial" w:hAnsi="Arial" w:cs="Arial"/>
                <w:spacing w:val="-2"/>
                <w:sz w:val="17"/>
                <w:szCs w:val="17"/>
              </w:rPr>
              <w:t>Accrued interest</w:t>
            </w:r>
            <w:bookmarkEnd w:id="1424"/>
          </w:p>
        </w:tc>
        <w:tc>
          <w:tcPr>
            <w:tcW w:w="1134" w:type="dxa"/>
            <w:tcBorders>
              <w:top w:val="nil"/>
              <w:left w:val="nil"/>
              <w:bottom w:val="single" w:sz="4" w:space="0" w:color="auto"/>
              <w:right w:val="nil"/>
            </w:tcBorders>
            <w:shd w:val="clear" w:color="auto" w:fill="auto"/>
            <w:vAlign w:val="bottom"/>
          </w:tcPr>
          <w:p w14:paraId="652B034B"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pacing w:val="-2"/>
                <w:sz w:val="17"/>
                <w:szCs w:val="17"/>
                <w:lang w:val="hr-HR"/>
              </w:rPr>
              <w:t>-</w:t>
            </w:r>
          </w:p>
        </w:tc>
        <w:tc>
          <w:tcPr>
            <w:tcW w:w="1134" w:type="dxa"/>
            <w:tcBorders>
              <w:top w:val="nil"/>
              <w:left w:val="nil"/>
              <w:bottom w:val="single" w:sz="4" w:space="0" w:color="auto"/>
              <w:right w:val="nil"/>
            </w:tcBorders>
            <w:shd w:val="clear" w:color="auto" w:fill="auto"/>
            <w:vAlign w:val="bottom"/>
          </w:tcPr>
          <w:p w14:paraId="3E2A30B5"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pacing w:val="-2"/>
                <w:sz w:val="17"/>
                <w:szCs w:val="17"/>
                <w:lang w:val="hr-HR"/>
              </w:rPr>
              <w:t>-</w:t>
            </w:r>
          </w:p>
        </w:tc>
        <w:tc>
          <w:tcPr>
            <w:tcW w:w="1134" w:type="dxa"/>
            <w:tcBorders>
              <w:top w:val="nil"/>
              <w:left w:val="nil"/>
              <w:bottom w:val="single" w:sz="4" w:space="0" w:color="auto"/>
              <w:right w:val="nil"/>
            </w:tcBorders>
            <w:shd w:val="clear" w:color="auto" w:fill="auto"/>
            <w:vAlign w:val="bottom"/>
          </w:tcPr>
          <w:p w14:paraId="739B6F23" w14:textId="77777777" w:rsidR="00587444" w:rsidRPr="00587444" w:rsidRDefault="00587444" w:rsidP="00587444">
            <w:pPr>
              <w:tabs>
                <w:tab w:val="right" w:pos="1202"/>
              </w:tabs>
              <w:suppressAutoHyphens w:val="0"/>
              <w:autoSpaceDN/>
              <w:jc w:val="right"/>
              <w:outlineLvl w:val="0"/>
              <w:rPr>
                <w:rFonts w:ascii="Arial" w:hAnsi="Arial" w:cs="Arial"/>
                <w:spacing w:val="-2"/>
                <w:sz w:val="17"/>
                <w:szCs w:val="17"/>
              </w:rPr>
            </w:pPr>
            <w:r w:rsidRPr="00587444">
              <w:rPr>
                <w:rFonts w:ascii="Arial" w:eastAsia="Calibri" w:hAnsi="Arial" w:cs="Arial"/>
                <w:color w:val="000000"/>
                <w:spacing w:val="-2"/>
                <w:sz w:val="17"/>
                <w:szCs w:val="17"/>
                <w:lang w:val="hr-HR"/>
              </w:rPr>
              <w:t>32</w:t>
            </w:r>
          </w:p>
        </w:tc>
      </w:tr>
      <w:tr w:rsidR="00587444" w:rsidRPr="00587444" w14:paraId="2850374D" w14:textId="77777777" w:rsidTr="00DD69E7">
        <w:trPr>
          <w:trHeight w:val="291"/>
          <w:jc w:val="center"/>
        </w:trPr>
        <w:tc>
          <w:tcPr>
            <w:tcW w:w="6066" w:type="dxa"/>
            <w:shd w:val="clear" w:color="auto" w:fill="auto"/>
            <w:vAlign w:val="bottom"/>
          </w:tcPr>
          <w:p w14:paraId="78924920" w14:textId="77777777" w:rsidR="00587444" w:rsidRPr="00587444" w:rsidRDefault="00587444" w:rsidP="00587444">
            <w:pPr>
              <w:tabs>
                <w:tab w:val="right" w:pos="1202"/>
              </w:tabs>
              <w:suppressAutoHyphens w:val="0"/>
              <w:autoSpaceDN/>
              <w:outlineLvl w:val="0"/>
              <w:rPr>
                <w:rFonts w:ascii="Arial" w:hAnsi="Arial" w:cs="Arial"/>
                <w:b/>
                <w:spacing w:val="-2"/>
                <w:sz w:val="17"/>
                <w:szCs w:val="17"/>
                <w:highlight w:val="yellow"/>
              </w:rPr>
            </w:pPr>
            <w:bookmarkStart w:id="1425" w:name="_Toc4063177"/>
            <w:r w:rsidRPr="00587444">
              <w:rPr>
                <w:rFonts w:ascii="Arial" w:hAnsi="Arial" w:cs="Arial"/>
                <w:b/>
                <w:spacing w:val="-2"/>
                <w:sz w:val="17"/>
                <w:szCs w:val="17"/>
              </w:rPr>
              <w:t>Total debt instruments</w:t>
            </w:r>
            <w:bookmarkEnd w:id="1425"/>
          </w:p>
        </w:tc>
        <w:tc>
          <w:tcPr>
            <w:tcW w:w="1134" w:type="dxa"/>
            <w:tcBorders>
              <w:top w:val="single" w:sz="4" w:space="0" w:color="auto"/>
              <w:left w:val="nil"/>
              <w:bottom w:val="single" w:sz="4" w:space="0" w:color="auto"/>
              <w:right w:val="nil"/>
            </w:tcBorders>
            <w:shd w:val="clear" w:color="auto" w:fill="auto"/>
            <w:vAlign w:val="bottom"/>
          </w:tcPr>
          <w:p w14:paraId="1F0C3A93"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lang w:eastAsia="hr-HR"/>
              </w:rPr>
            </w:pPr>
            <w:r w:rsidRPr="00587444">
              <w:rPr>
                <w:rFonts w:ascii="Arial" w:eastAsia="Calibri" w:hAnsi="Arial" w:cs="Arial"/>
                <w:b/>
                <w:bCs/>
                <w:color w:val="000000"/>
                <w:spacing w:val="-2"/>
                <w:sz w:val="17"/>
                <w:szCs w:val="17"/>
                <w:lang w:val="hr-HR"/>
              </w:rPr>
              <w:t>1,302,961</w:t>
            </w:r>
          </w:p>
        </w:tc>
        <w:tc>
          <w:tcPr>
            <w:tcW w:w="1134" w:type="dxa"/>
            <w:tcBorders>
              <w:top w:val="single" w:sz="4" w:space="0" w:color="auto"/>
              <w:left w:val="nil"/>
              <w:bottom w:val="single" w:sz="4" w:space="0" w:color="auto"/>
              <w:right w:val="nil"/>
            </w:tcBorders>
            <w:shd w:val="clear" w:color="auto" w:fill="auto"/>
            <w:vAlign w:val="bottom"/>
          </w:tcPr>
          <w:p w14:paraId="332FED40" w14:textId="77777777" w:rsidR="00587444" w:rsidRPr="00587444" w:rsidRDefault="00587444" w:rsidP="00587444">
            <w:pPr>
              <w:tabs>
                <w:tab w:val="right" w:pos="1202"/>
              </w:tabs>
              <w:suppressAutoHyphens w:val="0"/>
              <w:autoSpaceDN/>
              <w:jc w:val="right"/>
              <w:outlineLvl w:val="0"/>
              <w:rPr>
                <w:rFonts w:ascii="Arial" w:hAnsi="Arial" w:cs="Arial"/>
                <w:spacing w:val="-2"/>
                <w:sz w:val="17"/>
                <w:szCs w:val="17"/>
                <w:lang w:eastAsia="hr-HR"/>
              </w:rPr>
            </w:pPr>
            <w:r w:rsidRPr="00587444">
              <w:rPr>
                <w:rFonts w:ascii="Arial" w:eastAsia="Calibri" w:hAnsi="Arial" w:cs="Arial"/>
                <w:b/>
                <w:bCs/>
                <w:color w:val="000000"/>
                <w:spacing w:val="-2"/>
                <w:sz w:val="17"/>
                <w:szCs w:val="17"/>
                <w:lang w:val="hr-HR"/>
              </w:rPr>
              <w:t>1,281,368</w:t>
            </w:r>
          </w:p>
        </w:tc>
        <w:tc>
          <w:tcPr>
            <w:tcW w:w="1134" w:type="dxa"/>
            <w:tcBorders>
              <w:top w:val="single" w:sz="4" w:space="0" w:color="auto"/>
              <w:left w:val="nil"/>
              <w:bottom w:val="single" w:sz="4" w:space="0" w:color="auto"/>
              <w:right w:val="nil"/>
            </w:tcBorders>
            <w:shd w:val="clear" w:color="auto" w:fill="auto"/>
            <w:vAlign w:val="bottom"/>
          </w:tcPr>
          <w:p w14:paraId="50AD6D8A"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lang w:eastAsia="hr-HR"/>
              </w:rPr>
            </w:pPr>
            <w:r w:rsidRPr="00587444">
              <w:rPr>
                <w:rFonts w:ascii="Arial" w:eastAsia="Calibri" w:hAnsi="Arial" w:cs="Arial"/>
                <w:b/>
                <w:bCs/>
                <w:color w:val="000000"/>
                <w:spacing w:val="-2"/>
                <w:sz w:val="17"/>
                <w:szCs w:val="17"/>
                <w:lang w:val="hr-HR"/>
              </w:rPr>
              <w:t>1,968</w:t>
            </w:r>
          </w:p>
        </w:tc>
      </w:tr>
      <w:tr w:rsidR="00587444" w:rsidRPr="00587444" w14:paraId="710EF962" w14:textId="77777777" w:rsidTr="00DD69E7">
        <w:trPr>
          <w:trHeight w:val="340"/>
          <w:jc w:val="center"/>
        </w:trPr>
        <w:tc>
          <w:tcPr>
            <w:tcW w:w="6066" w:type="dxa"/>
            <w:shd w:val="clear" w:color="auto" w:fill="auto"/>
            <w:vAlign w:val="bottom"/>
          </w:tcPr>
          <w:p w14:paraId="28665B97" w14:textId="77777777" w:rsidR="00587444" w:rsidRPr="00587444" w:rsidRDefault="00587444" w:rsidP="00587444">
            <w:pPr>
              <w:tabs>
                <w:tab w:val="right" w:pos="1202"/>
              </w:tabs>
              <w:suppressAutoHyphens w:val="0"/>
              <w:autoSpaceDN/>
              <w:outlineLvl w:val="0"/>
              <w:rPr>
                <w:rFonts w:ascii="Arial" w:hAnsi="Arial" w:cs="Arial"/>
                <w:b/>
                <w:i/>
                <w:spacing w:val="-2"/>
                <w:sz w:val="17"/>
                <w:szCs w:val="17"/>
                <w:highlight w:val="yellow"/>
              </w:rPr>
            </w:pPr>
            <w:bookmarkStart w:id="1426" w:name="_Toc4063181"/>
            <w:r w:rsidRPr="00587444">
              <w:rPr>
                <w:rFonts w:ascii="Arial" w:hAnsi="Arial" w:cs="Arial"/>
                <w:b/>
                <w:i/>
                <w:spacing w:val="-2"/>
                <w:sz w:val="17"/>
                <w:szCs w:val="17"/>
              </w:rPr>
              <w:t>Unlisted equity instruments:</w:t>
            </w:r>
            <w:bookmarkEnd w:id="1426"/>
            <w:r w:rsidRPr="00587444" w:rsidDel="00D51A81">
              <w:rPr>
                <w:rFonts w:ascii="Arial" w:hAnsi="Arial" w:cs="Arial"/>
                <w:b/>
                <w:i/>
                <w:spacing w:val="-2"/>
                <w:sz w:val="17"/>
                <w:szCs w:val="17"/>
              </w:rPr>
              <w:t xml:space="preserve"> </w:t>
            </w:r>
          </w:p>
        </w:tc>
        <w:tc>
          <w:tcPr>
            <w:tcW w:w="1134" w:type="dxa"/>
            <w:tcBorders>
              <w:top w:val="single" w:sz="4" w:space="0" w:color="auto"/>
              <w:left w:val="nil"/>
              <w:right w:val="nil"/>
            </w:tcBorders>
            <w:shd w:val="clear" w:color="auto" w:fill="auto"/>
            <w:vAlign w:val="bottom"/>
          </w:tcPr>
          <w:p w14:paraId="79D488CB"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c>
          <w:tcPr>
            <w:tcW w:w="1134" w:type="dxa"/>
            <w:tcBorders>
              <w:top w:val="single" w:sz="4" w:space="0" w:color="auto"/>
              <w:left w:val="nil"/>
              <w:right w:val="nil"/>
            </w:tcBorders>
            <w:shd w:val="clear" w:color="auto" w:fill="auto"/>
            <w:vAlign w:val="bottom"/>
          </w:tcPr>
          <w:p w14:paraId="6990C4E3"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c>
          <w:tcPr>
            <w:tcW w:w="1134" w:type="dxa"/>
            <w:tcBorders>
              <w:top w:val="single" w:sz="4" w:space="0" w:color="auto"/>
              <w:left w:val="nil"/>
              <w:right w:val="nil"/>
            </w:tcBorders>
            <w:shd w:val="clear" w:color="auto" w:fill="auto"/>
            <w:vAlign w:val="bottom"/>
          </w:tcPr>
          <w:p w14:paraId="71DE1D17"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r>
      <w:tr w:rsidR="00587444" w:rsidRPr="00587444" w14:paraId="3022470C" w14:textId="77777777" w:rsidTr="00DD69E7">
        <w:trPr>
          <w:trHeight w:val="291"/>
          <w:jc w:val="center"/>
        </w:trPr>
        <w:tc>
          <w:tcPr>
            <w:tcW w:w="6066" w:type="dxa"/>
            <w:shd w:val="clear" w:color="auto" w:fill="auto"/>
            <w:vAlign w:val="bottom"/>
          </w:tcPr>
          <w:p w14:paraId="66821285"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bookmarkStart w:id="1427" w:name="_Toc4063182"/>
            <w:r w:rsidRPr="00587444">
              <w:rPr>
                <w:rFonts w:ascii="Arial" w:hAnsi="Arial" w:cs="Arial"/>
                <w:sz w:val="17"/>
                <w:szCs w:val="17"/>
              </w:rPr>
              <w:t>Investment in shares of foreign legal entities – SWIFT</w:t>
            </w:r>
            <w:bookmarkEnd w:id="1427"/>
          </w:p>
        </w:tc>
        <w:tc>
          <w:tcPr>
            <w:tcW w:w="1134" w:type="dxa"/>
            <w:tcBorders>
              <w:top w:val="nil"/>
              <w:left w:val="nil"/>
              <w:bottom w:val="nil"/>
              <w:right w:val="nil"/>
            </w:tcBorders>
            <w:shd w:val="clear" w:color="auto" w:fill="auto"/>
            <w:vAlign w:val="bottom"/>
          </w:tcPr>
          <w:p w14:paraId="270D6424"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47C77B2A"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55</w:t>
            </w:r>
          </w:p>
        </w:tc>
        <w:tc>
          <w:tcPr>
            <w:tcW w:w="1134" w:type="dxa"/>
            <w:tcBorders>
              <w:top w:val="nil"/>
              <w:left w:val="nil"/>
              <w:bottom w:val="nil"/>
              <w:right w:val="nil"/>
            </w:tcBorders>
            <w:shd w:val="clear" w:color="auto" w:fill="auto"/>
            <w:vAlign w:val="bottom"/>
          </w:tcPr>
          <w:p w14:paraId="4ACCDC0A"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r>
      <w:tr w:rsidR="00587444" w:rsidRPr="00587444" w14:paraId="79BC9F0E" w14:textId="77777777" w:rsidTr="00DD69E7">
        <w:trPr>
          <w:trHeight w:val="291"/>
          <w:jc w:val="center"/>
        </w:trPr>
        <w:tc>
          <w:tcPr>
            <w:tcW w:w="6066" w:type="dxa"/>
            <w:shd w:val="clear" w:color="auto" w:fill="auto"/>
            <w:vAlign w:val="bottom"/>
          </w:tcPr>
          <w:p w14:paraId="2E0C61EA"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bookmarkStart w:id="1428" w:name="_Toc4063186"/>
            <w:r w:rsidRPr="00587444">
              <w:rPr>
                <w:rFonts w:ascii="Arial" w:hAnsi="Arial" w:cs="Arial"/>
                <w:sz w:val="17"/>
                <w:szCs w:val="17"/>
              </w:rPr>
              <w:t>Shares of foreign financial institutions – EIF</w:t>
            </w:r>
            <w:bookmarkEnd w:id="1428"/>
          </w:p>
        </w:tc>
        <w:tc>
          <w:tcPr>
            <w:tcW w:w="1134" w:type="dxa"/>
            <w:tcBorders>
              <w:top w:val="nil"/>
              <w:left w:val="nil"/>
              <w:bottom w:val="single" w:sz="4" w:space="0" w:color="auto"/>
              <w:right w:val="nil"/>
            </w:tcBorders>
            <w:shd w:val="clear" w:color="auto" w:fill="auto"/>
            <w:vAlign w:val="bottom"/>
          </w:tcPr>
          <w:p w14:paraId="2C151D95"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411CB339"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53,120</w:t>
            </w:r>
          </w:p>
        </w:tc>
        <w:tc>
          <w:tcPr>
            <w:tcW w:w="1134" w:type="dxa"/>
            <w:tcBorders>
              <w:top w:val="nil"/>
              <w:left w:val="nil"/>
              <w:bottom w:val="single" w:sz="4" w:space="0" w:color="auto"/>
              <w:right w:val="nil"/>
            </w:tcBorders>
            <w:shd w:val="clear" w:color="auto" w:fill="auto"/>
            <w:vAlign w:val="bottom"/>
          </w:tcPr>
          <w:p w14:paraId="0514603C"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r>
      <w:tr w:rsidR="00587444" w:rsidRPr="00587444" w14:paraId="1F4A9214" w14:textId="77777777" w:rsidTr="00DD69E7">
        <w:trPr>
          <w:trHeight w:val="291"/>
          <w:jc w:val="center"/>
        </w:trPr>
        <w:tc>
          <w:tcPr>
            <w:tcW w:w="6066" w:type="dxa"/>
            <w:shd w:val="clear" w:color="auto" w:fill="auto"/>
            <w:vAlign w:val="bottom"/>
          </w:tcPr>
          <w:p w14:paraId="542EE44E" w14:textId="77777777" w:rsidR="00587444" w:rsidRPr="00587444" w:rsidRDefault="00587444" w:rsidP="00587444">
            <w:pPr>
              <w:tabs>
                <w:tab w:val="right" w:pos="1202"/>
              </w:tabs>
              <w:suppressAutoHyphens w:val="0"/>
              <w:autoSpaceDN/>
              <w:outlineLvl w:val="0"/>
              <w:rPr>
                <w:rFonts w:ascii="Arial" w:hAnsi="Arial" w:cs="Arial"/>
                <w:b/>
                <w:sz w:val="17"/>
                <w:szCs w:val="17"/>
                <w:highlight w:val="yellow"/>
              </w:rPr>
            </w:pPr>
            <w:bookmarkStart w:id="1429" w:name="_Toc4063190"/>
            <w:r w:rsidRPr="00587444">
              <w:rPr>
                <w:rFonts w:ascii="Arial" w:hAnsi="Arial" w:cs="Arial"/>
                <w:b/>
                <w:sz w:val="17"/>
                <w:szCs w:val="17"/>
              </w:rPr>
              <w:t>Total equity instruments</w:t>
            </w:r>
            <w:bookmarkEnd w:id="1429"/>
          </w:p>
        </w:tc>
        <w:tc>
          <w:tcPr>
            <w:tcW w:w="1134" w:type="dxa"/>
            <w:tcBorders>
              <w:top w:val="single" w:sz="4" w:space="0" w:color="auto"/>
              <w:left w:val="nil"/>
              <w:bottom w:val="single" w:sz="12" w:space="0" w:color="auto"/>
              <w:right w:val="nil"/>
            </w:tcBorders>
            <w:shd w:val="clear" w:color="auto" w:fill="auto"/>
            <w:vAlign w:val="bottom"/>
          </w:tcPr>
          <w:p w14:paraId="25F966DE"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b/>
                <w:bCs/>
                <w:color w:val="000000"/>
                <w:sz w:val="17"/>
                <w:szCs w:val="17"/>
                <w:lang w:val="hr-HR"/>
              </w:rPr>
              <w:t>-</w:t>
            </w:r>
          </w:p>
        </w:tc>
        <w:tc>
          <w:tcPr>
            <w:tcW w:w="1134" w:type="dxa"/>
            <w:tcBorders>
              <w:top w:val="single" w:sz="4" w:space="0" w:color="auto"/>
              <w:left w:val="nil"/>
              <w:bottom w:val="single" w:sz="8" w:space="0" w:color="auto"/>
              <w:right w:val="nil"/>
            </w:tcBorders>
            <w:shd w:val="clear" w:color="auto" w:fill="auto"/>
            <w:vAlign w:val="bottom"/>
          </w:tcPr>
          <w:p w14:paraId="6BEC2704" w14:textId="77777777" w:rsidR="00587444" w:rsidRPr="00587444" w:rsidRDefault="00587444" w:rsidP="00587444">
            <w:pPr>
              <w:tabs>
                <w:tab w:val="right" w:pos="1202"/>
              </w:tabs>
              <w:suppressAutoHyphens w:val="0"/>
              <w:autoSpaceDN/>
              <w:jc w:val="right"/>
              <w:outlineLvl w:val="0"/>
              <w:rPr>
                <w:rFonts w:ascii="Arial" w:hAnsi="Arial" w:cs="Arial"/>
                <w:b/>
                <w:sz w:val="17"/>
                <w:szCs w:val="17"/>
              </w:rPr>
            </w:pPr>
            <w:r w:rsidRPr="00587444">
              <w:rPr>
                <w:rFonts w:ascii="Arial" w:eastAsia="Calibri" w:hAnsi="Arial" w:cs="Arial"/>
                <w:b/>
                <w:bCs/>
                <w:color w:val="000000"/>
                <w:sz w:val="17"/>
                <w:szCs w:val="17"/>
                <w:lang w:val="hr-HR"/>
              </w:rPr>
              <w:t>53,175</w:t>
            </w:r>
          </w:p>
        </w:tc>
        <w:tc>
          <w:tcPr>
            <w:tcW w:w="1134" w:type="dxa"/>
            <w:tcBorders>
              <w:top w:val="single" w:sz="4" w:space="0" w:color="auto"/>
              <w:left w:val="nil"/>
              <w:bottom w:val="single" w:sz="12" w:space="0" w:color="auto"/>
              <w:right w:val="nil"/>
            </w:tcBorders>
            <w:shd w:val="clear" w:color="auto" w:fill="auto"/>
            <w:vAlign w:val="bottom"/>
          </w:tcPr>
          <w:p w14:paraId="5DA1B285" w14:textId="77777777" w:rsidR="00587444" w:rsidRPr="00587444" w:rsidRDefault="00587444" w:rsidP="00587444">
            <w:pPr>
              <w:tabs>
                <w:tab w:val="right" w:pos="1202"/>
              </w:tabs>
              <w:suppressAutoHyphens w:val="0"/>
              <w:autoSpaceDN/>
              <w:jc w:val="right"/>
              <w:outlineLvl w:val="0"/>
              <w:rPr>
                <w:rFonts w:ascii="Arial" w:hAnsi="Arial" w:cs="Arial"/>
                <w:b/>
                <w:sz w:val="17"/>
                <w:szCs w:val="17"/>
              </w:rPr>
            </w:pPr>
            <w:r w:rsidRPr="00587444">
              <w:rPr>
                <w:rFonts w:ascii="Arial" w:eastAsia="Calibri" w:hAnsi="Arial" w:cs="Arial"/>
                <w:b/>
                <w:bCs/>
                <w:color w:val="000000"/>
                <w:sz w:val="17"/>
                <w:szCs w:val="17"/>
                <w:lang w:val="hr-HR"/>
              </w:rPr>
              <w:t>-</w:t>
            </w:r>
          </w:p>
        </w:tc>
      </w:tr>
      <w:tr w:rsidR="00587444" w:rsidRPr="00587444" w14:paraId="3A785A2E" w14:textId="77777777" w:rsidTr="00DD69E7">
        <w:trPr>
          <w:trHeight w:hRule="exact" w:val="340"/>
          <w:jc w:val="center"/>
        </w:trPr>
        <w:tc>
          <w:tcPr>
            <w:tcW w:w="6066" w:type="dxa"/>
            <w:shd w:val="clear" w:color="auto" w:fill="auto"/>
            <w:vAlign w:val="bottom"/>
          </w:tcPr>
          <w:p w14:paraId="0AD2C31D" w14:textId="77777777" w:rsidR="00587444" w:rsidRPr="00587444" w:rsidRDefault="00587444" w:rsidP="00587444">
            <w:pPr>
              <w:tabs>
                <w:tab w:val="right" w:pos="1202"/>
              </w:tabs>
              <w:suppressAutoHyphens w:val="0"/>
              <w:autoSpaceDN/>
              <w:outlineLvl w:val="0"/>
              <w:rPr>
                <w:rFonts w:ascii="Arial" w:hAnsi="Arial" w:cs="Arial"/>
                <w:b/>
                <w:sz w:val="17"/>
                <w:szCs w:val="17"/>
                <w:highlight w:val="yellow"/>
              </w:rPr>
            </w:pPr>
            <w:bookmarkStart w:id="1430" w:name="_Toc4063194"/>
            <w:r w:rsidRPr="00587444">
              <w:rPr>
                <w:rFonts w:ascii="Arial" w:hAnsi="Arial" w:cs="Arial"/>
                <w:b/>
                <w:sz w:val="17"/>
                <w:szCs w:val="17"/>
              </w:rPr>
              <w:t>Total financial assets at fair value through other comprehensive income</w:t>
            </w:r>
            <w:bookmarkEnd w:id="1430"/>
          </w:p>
        </w:tc>
        <w:tc>
          <w:tcPr>
            <w:tcW w:w="1134" w:type="dxa"/>
            <w:tcBorders>
              <w:top w:val="single" w:sz="12" w:space="0" w:color="auto"/>
              <w:left w:val="nil"/>
              <w:bottom w:val="single" w:sz="12" w:space="0" w:color="auto"/>
              <w:right w:val="nil"/>
            </w:tcBorders>
            <w:shd w:val="clear" w:color="auto" w:fill="auto"/>
            <w:vAlign w:val="bottom"/>
          </w:tcPr>
          <w:p w14:paraId="5293EBB4" w14:textId="77777777" w:rsidR="00587444" w:rsidRPr="00587444" w:rsidRDefault="00587444" w:rsidP="00587444">
            <w:pPr>
              <w:tabs>
                <w:tab w:val="right" w:pos="1202"/>
              </w:tabs>
              <w:suppressAutoHyphens w:val="0"/>
              <w:autoSpaceDN/>
              <w:jc w:val="right"/>
              <w:outlineLvl w:val="0"/>
              <w:rPr>
                <w:rFonts w:ascii="Arial" w:hAnsi="Arial" w:cs="Arial"/>
                <w:b/>
                <w:sz w:val="17"/>
                <w:szCs w:val="17"/>
              </w:rPr>
            </w:pPr>
            <w:r w:rsidRPr="00587444">
              <w:rPr>
                <w:rFonts w:ascii="Arial" w:eastAsia="Calibri" w:hAnsi="Arial" w:cs="Arial"/>
                <w:b/>
                <w:color w:val="000000"/>
                <w:sz w:val="17"/>
                <w:szCs w:val="17"/>
                <w:lang w:val="hr-HR"/>
              </w:rPr>
              <w:t>1,302,961</w:t>
            </w:r>
          </w:p>
        </w:tc>
        <w:tc>
          <w:tcPr>
            <w:tcW w:w="1134" w:type="dxa"/>
            <w:tcBorders>
              <w:top w:val="single" w:sz="12" w:space="0" w:color="auto"/>
              <w:left w:val="nil"/>
              <w:bottom w:val="single" w:sz="12" w:space="0" w:color="auto"/>
              <w:right w:val="nil"/>
            </w:tcBorders>
            <w:shd w:val="clear" w:color="auto" w:fill="auto"/>
            <w:vAlign w:val="bottom"/>
          </w:tcPr>
          <w:p w14:paraId="0FC62CC3" w14:textId="77777777" w:rsidR="00587444" w:rsidRPr="00587444" w:rsidRDefault="00587444" w:rsidP="00587444">
            <w:pPr>
              <w:tabs>
                <w:tab w:val="right" w:pos="1202"/>
              </w:tabs>
              <w:suppressAutoHyphens w:val="0"/>
              <w:autoSpaceDN/>
              <w:jc w:val="right"/>
              <w:outlineLvl w:val="0"/>
              <w:rPr>
                <w:rFonts w:ascii="Arial" w:hAnsi="Arial" w:cs="Arial"/>
                <w:b/>
                <w:sz w:val="17"/>
                <w:szCs w:val="17"/>
              </w:rPr>
            </w:pPr>
            <w:r w:rsidRPr="00587444">
              <w:rPr>
                <w:rFonts w:ascii="Arial" w:eastAsia="Calibri" w:hAnsi="Arial" w:cs="Arial"/>
                <w:b/>
                <w:color w:val="000000"/>
                <w:sz w:val="17"/>
                <w:szCs w:val="17"/>
                <w:lang w:val="hr-HR"/>
              </w:rPr>
              <w:t>1,334,543</w:t>
            </w:r>
          </w:p>
        </w:tc>
        <w:tc>
          <w:tcPr>
            <w:tcW w:w="1134" w:type="dxa"/>
            <w:tcBorders>
              <w:top w:val="single" w:sz="12" w:space="0" w:color="auto"/>
              <w:left w:val="nil"/>
              <w:bottom w:val="single" w:sz="12" w:space="0" w:color="auto"/>
              <w:right w:val="nil"/>
            </w:tcBorders>
            <w:shd w:val="clear" w:color="auto" w:fill="auto"/>
            <w:vAlign w:val="bottom"/>
          </w:tcPr>
          <w:p w14:paraId="40AFFC8C" w14:textId="77777777" w:rsidR="00587444" w:rsidRPr="00587444" w:rsidRDefault="00587444" w:rsidP="00587444">
            <w:pPr>
              <w:tabs>
                <w:tab w:val="right" w:pos="1202"/>
              </w:tabs>
              <w:suppressAutoHyphens w:val="0"/>
              <w:autoSpaceDN/>
              <w:jc w:val="right"/>
              <w:outlineLvl w:val="0"/>
              <w:rPr>
                <w:rFonts w:ascii="Arial" w:hAnsi="Arial" w:cs="Arial"/>
                <w:b/>
                <w:sz w:val="17"/>
                <w:szCs w:val="17"/>
              </w:rPr>
            </w:pPr>
            <w:r w:rsidRPr="00587444">
              <w:rPr>
                <w:rFonts w:ascii="Arial" w:eastAsia="Calibri" w:hAnsi="Arial" w:cs="Arial"/>
                <w:b/>
                <w:color w:val="000000"/>
                <w:sz w:val="17"/>
                <w:szCs w:val="17"/>
                <w:lang w:val="hr-HR"/>
              </w:rPr>
              <w:t>1,968</w:t>
            </w:r>
          </w:p>
        </w:tc>
      </w:tr>
    </w:tbl>
    <w:p w14:paraId="36286FF4"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485BA3EE"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7EACB574"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sectPr w:rsidR="00587444" w:rsidRPr="00587444" w:rsidSect="00DD69E7">
          <w:pgSz w:w="11907" w:h="16840" w:code="9"/>
          <w:pgMar w:top="1418" w:right="1134" w:bottom="1134" w:left="1418" w:header="851" w:footer="851" w:gutter="0"/>
          <w:cols w:space="720"/>
          <w:noEndnote/>
        </w:sectPr>
      </w:pPr>
    </w:p>
    <w:p w14:paraId="42BA14BB"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77BA31DB"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 xml:space="preserve">32. </w:t>
      </w:r>
      <w:r w:rsidRPr="00587444">
        <w:rPr>
          <w:rFonts w:ascii="Arial" w:hAnsi="Arial" w:cs="Arial"/>
          <w:b/>
          <w:bCs/>
          <w:spacing w:val="-3"/>
          <w:sz w:val="20"/>
          <w:szCs w:val="20"/>
          <w:lang w:val="en-GB"/>
        </w:rPr>
        <w:tab/>
        <w:t>Fair value of financial assets and financial liabilities (continued)</w:t>
      </w:r>
    </w:p>
    <w:p w14:paraId="3D179C4A"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4DD394EE"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 xml:space="preserve">32.1.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49054454"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6A1B2A7F"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tbl>
      <w:tblPr>
        <w:tblW w:w="9384" w:type="dxa"/>
        <w:jc w:val="center"/>
        <w:tblLayout w:type="fixed"/>
        <w:tblCellMar>
          <w:left w:w="122" w:type="dxa"/>
          <w:right w:w="122" w:type="dxa"/>
        </w:tblCellMar>
        <w:tblLook w:val="0000" w:firstRow="0" w:lastRow="0" w:firstColumn="0" w:lastColumn="0" w:noHBand="0" w:noVBand="0"/>
      </w:tblPr>
      <w:tblGrid>
        <w:gridCol w:w="5528"/>
        <w:gridCol w:w="1276"/>
        <w:gridCol w:w="1276"/>
        <w:gridCol w:w="1304"/>
      </w:tblGrid>
      <w:tr w:rsidR="00587444" w:rsidRPr="00587444" w14:paraId="668EBA01" w14:textId="77777777" w:rsidTr="00DD69E7">
        <w:trPr>
          <w:trHeight w:val="311"/>
          <w:jc w:val="center"/>
        </w:trPr>
        <w:tc>
          <w:tcPr>
            <w:tcW w:w="5528" w:type="dxa"/>
            <w:shd w:val="clear" w:color="auto" w:fill="auto"/>
          </w:tcPr>
          <w:p w14:paraId="2F3A3E21" w14:textId="77777777" w:rsidR="00587444" w:rsidRPr="00587444" w:rsidRDefault="00587444" w:rsidP="00587444">
            <w:pPr>
              <w:tabs>
                <w:tab w:val="right" w:pos="1202"/>
              </w:tabs>
              <w:suppressAutoHyphens w:val="0"/>
              <w:autoSpaceDN/>
              <w:outlineLvl w:val="0"/>
              <w:rPr>
                <w:rFonts w:ascii="Arial" w:hAnsi="Arial" w:cs="Arial"/>
                <w:sz w:val="17"/>
                <w:szCs w:val="17"/>
              </w:rPr>
            </w:pPr>
            <w:r w:rsidRPr="00587444">
              <w:rPr>
                <w:rFonts w:ascii="Arial" w:hAnsi="Arial" w:cs="Arial"/>
                <w:b/>
                <w:sz w:val="17"/>
                <w:szCs w:val="17"/>
              </w:rPr>
              <w:t>Bank</w:t>
            </w:r>
          </w:p>
        </w:tc>
        <w:tc>
          <w:tcPr>
            <w:tcW w:w="3856" w:type="dxa"/>
            <w:gridSpan w:val="3"/>
            <w:vAlign w:val="bottom"/>
          </w:tcPr>
          <w:p w14:paraId="686E325B" w14:textId="77777777" w:rsidR="00587444" w:rsidRPr="00587444" w:rsidRDefault="00587444" w:rsidP="00587444">
            <w:pPr>
              <w:tabs>
                <w:tab w:val="right" w:pos="1202"/>
              </w:tabs>
              <w:suppressAutoHyphens w:val="0"/>
              <w:autoSpaceDN/>
              <w:jc w:val="right"/>
              <w:outlineLvl w:val="0"/>
              <w:rPr>
                <w:rFonts w:ascii="Arial" w:hAnsi="Arial" w:cs="Arial"/>
                <w:b/>
                <w:bCs/>
                <w:sz w:val="17"/>
                <w:szCs w:val="17"/>
              </w:rPr>
            </w:pPr>
            <w:r w:rsidRPr="00587444">
              <w:rPr>
                <w:rFonts w:ascii="Arial" w:hAnsi="Arial" w:cs="Arial"/>
                <w:b/>
                <w:bCs/>
                <w:sz w:val="17"/>
                <w:szCs w:val="17"/>
              </w:rPr>
              <w:t>31 December 2021</w:t>
            </w:r>
          </w:p>
        </w:tc>
      </w:tr>
      <w:tr w:rsidR="00587444" w:rsidRPr="00587444" w14:paraId="062E0515" w14:textId="77777777" w:rsidTr="00DD69E7">
        <w:trPr>
          <w:trHeight w:val="311"/>
          <w:jc w:val="center"/>
        </w:trPr>
        <w:tc>
          <w:tcPr>
            <w:tcW w:w="5528" w:type="dxa"/>
            <w:shd w:val="clear" w:color="auto" w:fill="auto"/>
            <w:vAlign w:val="bottom"/>
          </w:tcPr>
          <w:p w14:paraId="0C829640"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p>
        </w:tc>
        <w:tc>
          <w:tcPr>
            <w:tcW w:w="1276" w:type="dxa"/>
            <w:shd w:val="clear" w:color="auto" w:fill="auto"/>
            <w:vAlign w:val="bottom"/>
          </w:tcPr>
          <w:p w14:paraId="08CADF95"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1</w:t>
            </w:r>
          </w:p>
        </w:tc>
        <w:tc>
          <w:tcPr>
            <w:tcW w:w="1276" w:type="dxa"/>
            <w:shd w:val="clear" w:color="auto" w:fill="auto"/>
            <w:vAlign w:val="bottom"/>
          </w:tcPr>
          <w:p w14:paraId="69F011CC"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2</w:t>
            </w:r>
          </w:p>
        </w:tc>
        <w:tc>
          <w:tcPr>
            <w:tcW w:w="1304" w:type="dxa"/>
            <w:shd w:val="clear" w:color="auto" w:fill="auto"/>
            <w:vAlign w:val="bottom"/>
          </w:tcPr>
          <w:p w14:paraId="39E7A191"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3</w:t>
            </w:r>
          </w:p>
        </w:tc>
      </w:tr>
      <w:tr w:rsidR="00587444" w:rsidRPr="00587444" w14:paraId="6447B9D0" w14:textId="77777777" w:rsidTr="00DD69E7">
        <w:trPr>
          <w:trHeight w:val="311"/>
          <w:jc w:val="center"/>
        </w:trPr>
        <w:tc>
          <w:tcPr>
            <w:tcW w:w="5528" w:type="dxa"/>
            <w:shd w:val="clear" w:color="auto" w:fill="auto"/>
            <w:vAlign w:val="bottom"/>
          </w:tcPr>
          <w:p w14:paraId="2E859C18"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p>
        </w:tc>
        <w:tc>
          <w:tcPr>
            <w:tcW w:w="1276" w:type="dxa"/>
            <w:shd w:val="clear" w:color="auto" w:fill="auto"/>
            <w:vAlign w:val="bottom"/>
          </w:tcPr>
          <w:p w14:paraId="56C217AA"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HRK ‘000</w:t>
            </w:r>
          </w:p>
        </w:tc>
        <w:tc>
          <w:tcPr>
            <w:tcW w:w="1276" w:type="dxa"/>
            <w:shd w:val="clear" w:color="auto" w:fill="auto"/>
            <w:vAlign w:val="bottom"/>
          </w:tcPr>
          <w:p w14:paraId="6F12B184"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HRK ‘000</w:t>
            </w:r>
          </w:p>
        </w:tc>
        <w:tc>
          <w:tcPr>
            <w:tcW w:w="1304" w:type="dxa"/>
            <w:shd w:val="clear" w:color="auto" w:fill="auto"/>
            <w:vAlign w:val="bottom"/>
          </w:tcPr>
          <w:p w14:paraId="3B311036"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HRK ‘000</w:t>
            </w:r>
          </w:p>
        </w:tc>
      </w:tr>
      <w:tr w:rsidR="00587444" w:rsidRPr="00587444" w14:paraId="3FA351F0" w14:textId="77777777" w:rsidTr="00DD69E7">
        <w:trPr>
          <w:trHeight w:val="444"/>
          <w:jc w:val="center"/>
        </w:trPr>
        <w:tc>
          <w:tcPr>
            <w:tcW w:w="5528" w:type="dxa"/>
            <w:vAlign w:val="bottom"/>
          </w:tcPr>
          <w:p w14:paraId="2EB0445E" w14:textId="77777777" w:rsidR="00587444" w:rsidRPr="00587444" w:rsidRDefault="00587444" w:rsidP="00587444">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b/>
                <w:sz w:val="17"/>
                <w:szCs w:val="17"/>
              </w:rPr>
              <w:t>Financial assets at fair value through profit or loss:</w:t>
            </w:r>
          </w:p>
        </w:tc>
        <w:tc>
          <w:tcPr>
            <w:tcW w:w="1276" w:type="dxa"/>
            <w:vAlign w:val="bottom"/>
          </w:tcPr>
          <w:p w14:paraId="3B3BA1E4"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p>
        </w:tc>
        <w:tc>
          <w:tcPr>
            <w:tcW w:w="1276" w:type="dxa"/>
            <w:vAlign w:val="bottom"/>
          </w:tcPr>
          <w:p w14:paraId="79BE7633"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p>
        </w:tc>
        <w:tc>
          <w:tcPr>
            <w:tcW w:w="1304" w:type="dxa"/>
            <w:vAlign w:val="bottom"/>
          </w:tcPr>
          <w:p w14:paraId="1AC98295"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p>
        </w:tc>
      </w:tr>
      <w:tr w:rsidR="00587444" w:rsidRPr="00587444" w14:paraId="3362E8FF" w14:textId="77777777" w:rsidTr="00DD69E7">
        <w:trPr>
          <w:trHeight w:val="255"/>
          <w:jc w:val="center"/>
        </w:trPr>
        <w:tc>
          <w:tcPr>
            <w:tcW w:w="5528" w:type="dxa"/>
            <w:vAlign w:val="bottom"/>
          </w:tcPr>
          <w:p w14:paraId="778B4CC9" w14:textId="77777777" w:rsidR="00587444" w:rsidRPr="00587444" w:rsidRDefault="00587444" w:rsidP="00587444">
            <w:pPr>
              <w:tabs>
                <w:tab w:val="right" w:pos="1202"/>
              </w:tabs>
              <w:suppressAutoHyphens w:val="0"/>
              <w:autoSpaceDN/>
              <w:outlineLvl w:val="0"/>
              <w:rPr>
                <w:rFonts w:ascii="Arial" w:hAnsi="Arial" w:cs="Arial"/>
                <w:b/>
                <w:i/>
                <w:sz w:val="17"/>
                <w:szCs w:val="17"/>
                <w:highlight w:val="yellow"/>
              </w:rPr>
            </w:pPr>
            <w:r w:rsidRPr="00587444">
              <w:rPr>
                <w:rFonts w:ascii="Arial" w:hAnsi="Arial" w:cs="Arial"/>
                <w:b/>
                <w:i/>
                <w:sz w:val="17"/>
                <w:szCs w:val="17"/>
              </w:rPr>
              <w:t>Loans at FVPL:</w:t>
            </w:r>
          </w:p>
        </w:tc>
        <w:tc>
          <w:tcPr>
            <w:tcW w:w="1276" w:type="dxa"/>
            <w:tcBorders>
              <w:top w:val="nil"/>
              <w:left w:val="nil"/>
              <w:right w:val="nil"/>
            </w:tcBorders>
            <w:shd w:val="clear" w:color="auto" w:fill="auto"/>
            <w:vAlign w:val="bottom"/>
          </w:tcPr>
          <w:p w14:paraId="360DAABD"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276" w:type="dxa"/>
            <w:tcBorders>
              <w:top w:val="nil"/>
              <w:left w:val="nil"/>
              <w:right w:val="nil"/>
            </w:tcBorders>
            <w:shd w:val="clear" w:color="auto" w:fill="auto"/>
            <w:vAlign w:val="bottom"/>
          </w:tcPr>
          <w:p w14:paraId="455BE7E8"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304" w:type="dxa"/>
            <w:tcBorders>
              <w:top w:val="nil"/>
              <w:left w:val="nil"/>
              <w:right w:val="nil"/>
            </w:tcBorders>
            <w:shd w:val="clear" w:color="auto" w:fill="auto"/>
            <w:vAlign w:val="bottom"/>
          </w:tcPr>
          <w:p w14:paraId="71DC818D"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r>
      <w:tr w:rsidR="00587444" w:rsidRPr="00587444" w14:paraId="6251A40A" w14:textId="77777777" w:rsidTr="00DD69E7">
        <w:trPr>
          <w:trHeight w:val="239"/>
          <w:jc w:val="center"/>
        </w:trPr>
        <w:tc>
          <w:tcPr>
            <w:tcW w:w="5528" w:type="dxa"/>
            <w:vAlign w:val="bottom"/>
          </w:tcPr>
          <w:p w14:paraId="74915254"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Mezzanine loans</w:t>
            </w:r>
          </w:p>
        </w:tc>
        <w:tc>
          <w:tcPr>
            <w:tcW w:w="1276" w:type="dxa"/>
            <w:tcBorders>
              <w:top w:val="nil"/>
              <w:left w:val="nil"/>
              <w:right w:val="nil"/>
            </w:tcBorders>
            <w:shd w:val="clear" w:color="auto" w:fill="auto"/>
            <w:vAlign w:val="bottom"/>
          </w:tcPr>
          <w:p w14:paraId="06105C9A"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c>
          <w:tcPr>
            <w:tcW w:w="1276" w:type="dxa"/>
            <w:tcBorders>
              <w:top w:val="nil"/>
              <w:left w:val="nil"/>
              <w:right w:val="nil"/>
            </w:tcBorders>
            <w:shd w:val="clear" w:color="auto" w:fill="auto"/>
            <w:vAlign w:val="bottom"/>
          </w:tcPr>
          <w:p w14:paraId="3CBD2BA1"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c>
          <w:tcPr>
            <w:tcW w:w="1304" w:type="dxa"/>
            <w:tcBorders>
              <w:top w:val="nil"/>
              <w:left w:val="nil"/>
              <w:right w:val="nil"/>
            </w:tcBorders>
            <w:shd w:val="clear" w:color="auto" w:fill="auto"/>
            <w:vAlign w:val="bottom"/>
          </w:tcPr>
          <w:p w14:paraId="403F955B"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16,375</w:t>
            </w:r>
          </w:p>
        </w:tc>
      </w:tr>
      <w:tr w:rsidR="00587444" w:rsidRPr="00587444" w14:paraId="2A3BE328" w14:textId="77777777" w:rsidTr="00DD69E7">
        <w:trPr>
          <w:trHeight w:val="255"/>
          <w:jc w:val="center"/>
        </w:trPr>
        <w:tc>
          <w:tcPr>
            <w:tcW w:w="5528" w:type="dxa"/>
            <w:vAlign w:val="bottom"/>
          </w:tcPr>
          <w:p w14:paraId="710F079E" w14:textId="77777777" w:rsidR="00587444" w:rsidRPr="00587444" w:rsidRDefault="00587444" w:rsidP="00587444">
            <w:pPr>
              <w:tabs>
                <w:tab w:val="right" w:pos="1202"/>
              </w:tabs>
              <w:suppressAutoHyphens w:val="0"/>
              <w:autoSpaceDN/>
              <w:outlineLvl w:val="0"/>
              <w:rPr>
                <w:rFonts w:ascii="Arial" w:hAnsi="Arial" w:cs="Arial"/>
                <w:b/>
                <w:i/>
                <w:sz w:val="17"/>
                <w:szCs w:val="17"/>
                <w:highlight w:val="yellow"/>
              </w:rPr>
            </w:pPr>
            <w:r w:rsidRPr="00587444">
              <w:rPr>
                <w:rFonts w:ascii="Arial" w:hAnsi="Arial" w:cs="Arial"/>
                <w:b/>
                <w:i/>
                <w:sz w:val="17"/>
                <w:szCs w:val="17"/>
              </w:rPr>
              <w:t>Investments in investment funds:</w:t>
            </w:r>
          </w:p>
        </w:tc>
        <w:tc>
          <w:tcPr>
            <w:tcW w:w="1276" w:type="dxa"/>
            <w:tcBorders>
              <w:top w:val="nil"/>
              <w:left w:val="nil"/>
              <w:right w:val="nil"/>
            </w:tcBorders>
            <w:shd w:val="clear" w:color="auto" w:fill="auto"/>
            <w:vAlign w:val="bottom"/>
          </w:tcPr>
          <w:p w14:paraId="68A43F7E"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276" w:type="dxa"/>
            <w:tcBorders>
              <w:top w:val="nil"/>
              <w:left w:val="nil"/>
              <w:right w:val="nil"/>
            </w:tcBorders>
            <w:shd w:val="clear" w:color="auto" w:fill="auto"/>
            <w:vAlign w:val="bottom"/>
          </w:tcPr>
          <w:p w14:paraId="0024B1CC"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304" w:type="dxa"/>
            <w:tcBorders>
              <w:top w:val="nil"/>
              <w:left w:val="nil"/>
              <w:right w:val="nil"/>
            </w:tcBorders>
            <w:shd w:val="clear" w:color="auto" w:fill="auto"/>
            <w:vAlign w:val="bottom"/>
          </w:tcPr>
          <w:p w14:paraId="1AC59D9A"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r>
      <w:tr w:rsidR="00587444" w:rsidRPr="00587444" w14:paraId="25B7D631" w14:textId="77777777" w:rsidTr="00DD69E7">
        <w:trPr>
          <w:trHeight w:val="255"/>
          <w:jc w:val="center"/>
        </w:trPr>
        <w:tc>
          <w:tcPr>
            <w:tcW w:w="5528" w:type="dxa"/>
            <w:vAlign w:val="bottom"/>
          </w:tcPr>
          <w:p w14:paraId="56863EF6" w14:textId="77777777" w:rsidR="00587444" w:rsidRPr="00587444" w:rsidRDefault="00587444" w:rsidP="00587444">
            <w:pPr>
              <w:tabs>
                <w:tab w:val="right" w:pos="1202"/>
              </w:tabs>
              <w:suppressAutoHyphens w:val="0"/>
              <w:autoSpaceDN/>
              <w:outlineLvl w:val="0"/>
              <w:rPr>
                <w:rFonts w:ascii="Arial" w:hAnsi="Arial" w:cs="Arial"/>
                <w:b/>
                <w:i/>
                <w:sz w:val="17"/>
                <w:szCs w:val="17"/>
                <w:highlight w:val="yellow"/>
              </w:rPr>
            </w:pPr>
            <w:r w:rsidRPr="00587444">
              <w:rPr>
                <w:rFonts w:ascii="Arial" w:hAnsi="Arial" w:cs="Arial"/>
                <w:sz w:val="17"/>
                <w:szCs w:val="17"/>
              </w:rPr>
              <w:t>Investments in investment funds at fair value through profit or loss</w:t>
            </w:r>
          </w:p>
        </w:tc>
        <w:tc>
          <w:tcPr>
            <w:tcW w:w="1276" w:type="dxa"/>
            <w:tcBorders>
              <w:top w:val="nil"/>
              <w:left w:val="nil"/>
              <w:right w:val="nil"/>
            </w:tcBorders>
            <w:shd w:val="clear" w:color="auto" w:fill="auto"/>
            <w:vAlign w:val="bottom"/>
          </w:tcPr>
          <w:p w14:paraId="772A3D81"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202,260</w:t>
            </w:r>
          </w:p>
        </w:tc>
        <w:tc>
          <w:tcPr>
            <w:tcW w:w="1276" w:type="dxa"/>
            <w:tcBorders>
              <w:top w:val="nil"/>
              <w:left w:val="nil"/>
              <w:right w:val="nil"/>
            </w:tcBorders>
            <w:shd w:val="clear" w:color="auto" w:fill="auto"/>
            <w:vAlign w:val="bottom"/>
          </w:tcPr>
          <w:p w14:paraId="2A866B69"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c>
          <w:tcPr>
            <w:tcW w:w="1304" w:type="dxa"/>
            <w:tcBorders>
              <w:top w:val="nil"/>
              <w:left w:val="nil"/>
              <w:right w:val="nil"/>
            </w:tcBorders>
            <w:shd w:val="clear" w:color="auto" w:fill="auto"/>
            <w:vAlign w:val="bottom"/>
          </w:tcPr>
          <w:p w14:paraId="01D36434"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r>
      <w:tr w:rsidR="00587444" w:rsidRPr="00587444" w14:paraId="3649C0E2" w14:textId="77777777" w:rsidTr="00DD69E7">
        <w:trPr>
          <w:trHeight w:val="216"/>
          <w:jc w:val="center"/>
        </w:trPr>
        <w:tc>
          <w:tcPr>
            <w:tcW w:w="5528" w:type="dxa"/>
            <w:vAlign w:val="bottom"/>
          </w:tcPr>
          <w:p w14:paraId="18A0CB3B" w14:textId="77777777" w:rsidR="00587444" w:rsidRPr="00587444" w:rsidRDefault="00587444" w:rsidP="00587444">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Equity instruments:</w:t>
            </w:r>
          </w:p>
          <w:p w14:paraId="6BA14E1A" w14:textId="77777777" w:rsidR="00587444" w:rsidRPr="00587444" w:rsidRDefault="00587444" w:rsidP="00587444">
            <w:pPr>
              <w:tabs>
                <w:tab w:val="right" w:pos="1202"/>
              </w:tabs>
              <w:suppressAutoHyphens w:val="0"/>
              <w:autoSpaceDN/>
              <w:outlineLvl w:val="0"/>
              <w:rPr>
                <w:rFonts w:ascii="Arial" w:hAnsi="Arial" w:cs="Arial"/>
                <w:b/>
                <w:i/>
                <w:spacing w:val="-2"/>
                <w:sz w:val="17"/>
                <w:szCs w:val="17"/>
              </w:rPr>
            </w:pPr>
            <w:r w:rsidRPr="00587444">
              <w:rPr>
                <w:rFonts w:ascii="Arial" w:hAnsi="Arial" w:cs="Arial"/>
                <w:b/>
                <w:i/>
                <w:spacing w:val="-2"/>
                <w:sz w:val="17"/>
                <w:szCs w:val="17"/>
              </w:rPr>
              <w:t>Listed equity instruments:</w:t>
            </w:r>
          </w:p>
          <w:p w14:paraId="263E3A13"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Investments in companies’ shares</w:t>
            </w:r>
          </w:p>
        </w:tc>
        <w:tc>
          <w:tcPr>
            <w:tcW w:w="1276" w:type="dxa"/>
            <w:tcBorders>
              <w:top w:val="nil"/>
              <w:left w:val="nil"/>
              <w:right w:val="nil"/>
            </w:tcBorders>
            <w:shd w:val="clear" w:color="auto" w:fill="auto"/>
            <w:vAlign w:val="bottom"/>
          </w:tcPr>
          <w:p w14:paraId="3C46C3D8"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c>
          <w:tcPr>
            <w:tcW w:w="1276" w:type="dxa"/>
            <w:tcBorders>
              <w:top w:val="nil"/>
              <w:left w:val="nil"/>
              <w:right w:val="nil"/>
            </w:tcBorders>
            <w:shd w:val="clear" w:color="auto" w:fill="auto"/>
            <w:vAlign w:val="bottom"/>
          </w:tcPr>
          <w:p w14:paraId="01D40040"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c>
          <w:tcPr>
            <w:tcW w:w="1304" w:type="dxa"/>
            <w:tcBorders>
              <w:top w:val="nil"/>
              <w:left w:val="nil"/>
              <w:right w:val="nil"/>
            </w:tcBorders>
            <w:shd w:val="clear" w:color="auto" w:fill="auto"/>
            <w:vAlign w:val="bottom"/>
          </w:tcPr>
          <w:p w14:paraId="3D1A555E"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eastAsia="Calibri" w:hAnsi="Arial" w:cs="Arial"/>
                <w:color w:val="000000"/>
                <w:sz w:val="17"/>
                <w:szCs w:val="17"/>
                <w:lang w:val="hr-HR"/>
              </w:rPr>
              <w:t>-</w:t>
            </w:r>
          </w:p>
        </w:tc>
      </w:tr>
      <w:tr w:rsidR="00587444" w:rsidRPr="00587444" w14:paraId="432250A0" w14:textId="77777777" w:rsidTr="00DD69E7">
        <w:trPr>
          <w:trHeight w:val="299"/>
          <w:jc w:val="center"/>
        </w:trPr>
        <w:tc>
          <w:tcPr>
            <w:tcW w:w="5528" w:type="dxa"/>
            <w:vAlign w:val="bottom"/>
          </w:tcPr>
          <w:p w14:paraId="46795E64"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r w:rsidRPr="00587444">
              <w:rPr>
                <w:rFonts w:ascii="Arial" w:hAnsi="Arial" w:cs="Arial"/>
                <w:b/>
                <w:i/>
                <w:spacing w:val="-2"/>
                <w:sz w:val="17"/>
                <w:szCs w:val="17"/>
              </w:rPr>
              <w:t>Unlisted equity instruments:</w:t>
            </w:r>
          </w:p>
        </w:tc>
        <w:tc>
          <w:tcPr>
            <w:tcW w:w="1276" w:type="dxa"/>
            <w:tcBorders>
              <w:left w:val="nil"/>
              <w:right w:val="nil"/>
            </w:tcBorders>
            <w:shd w:val="clear" w:color="auto" w:fill="auto"/>
            <w:vAlign w:val="bottom"/>
          </w:tcPr>
          <w:p w14:paraId="3926F653"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276" w:type="dxa"/>
            <w:tcBorders>
              <w:top w:val="nil"/>
              <w:left w:val="nil"/>
              <w:right w:val="nil"/>
            </w:tcBorders>
            <w:shd w:val="clear" w:color="auto" w:fill="auto"/>
            <w:vAlign w:val="bottom"/>
          </w:tcPr>
          <w:p w14:paraId="26C49962"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304" w:type="dxa"/>
            <w:tcBorders>
              <w:top w:val="nil"/>
              <w:left w:val="nil"/>
              <w:right w:val="nil"/>
            </w:tcBorders>
            <w:shd w:val="clear" w:color="auto" w:fill="auto"/>
            <w:vAlign w:val="bottom"/>
          </w:tcPr>
          <w:p w14:paraId="5F3D062A"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r>
      <w:tr w:rsidR="00587444" w:rsidRPr="00587444" w14:paraId="37F89F3D" w14:textId="77777777" w:rsidTr="00DD69E7">
        <w:trPr>
          <w:trHeight w:val="299"/>
          <w:jc w:val="center"/>
        </w:trPr>
        <w:tc>
          <w:tcPr>
            <w:tcW w:w="5528" w:type="dxa"/>
            <w:vAlign w:val="bottom"/>
          </w:tcPr>
          <w:p w14:paraId="167BDC06" w14:textId="77777777" w:rsidR="00587444" w:rsidRPr="00587444" w:rsidRDefault="00587444" w:rsidP="00587444">
            <w:pPr>
              <w:tabs>
                <w:tab w:val="right" w:pos="1202"/>
              </w:tabs>
              <w:suppressAutoHyphens w:val="0"/>
              <w:autoSpaceDN/>
              <w:outlineLvl w:val="0"/>
              <w:rPr>
                <w:rFonts w:ascii="Arial" w:hAnsi="Arial" w:cs="Arial"/>
                <w:b/>
                <w:i/>
                <w:spacing w:val="-2"/>
                <w:sz w:val="17"/>
                <w:szCs w:val="17"/>
              </w:rPr>
            </w:pPr>
            <w:r w:rsidRPr="00587444">
              <w:rPr>
                <w:rFonts w:ascii="Arial" w:hAnsi="Arial" w:cs="Arial"/>
                <w:sz w:val="17"/>
                <w:szCs w:val="17"/>
              </w:rPr>
              <w:t>Investments in companies’ shares</w:t>
            </w:r>
          </w:p>
        </w:tc>
        <w:tc>
          <w:tcPr>
            <w:tcW w:w="1276" w:type="dxa"/>
            <w:tcBorders>
              <w:left w:val="nil"/>
              <w:right w:val="nil"/>
            </w:tcBorders>
            <w:shd w:val="clear" w:color="auto" w:fill="auto"/>
            <w:vAlign w:val="bottom"/>
          </w:tcPr>
          <w:p w14:paraId="28B49A1D"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c>
          <w:tcPr>
            <w:tcW w:w="1276" w:type="dxa"/>
            <w:tcBorders>
              <w:top w:val="nil"/>
              <w:left w:val="nil"/>
              <w:right w:val="nil"/>
            </w:tcBorders>
            <w:shd w:val="clear" w:color="auto" w:fill="auto"/>
            <w:vAlign w:val="bottom"/>
          </w:tcPr>
          <w:p w14:paraId="33890C66"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c>
          <w:tcPr>
            <w:tcW w:w="1304" w:type="dxa"/>
            <w:tcBorders>
              <w:top w:val="nil"/>
              <w:left w:val="nil"/>
              <w:right w:val="nil"/>
            </w:tcBorders>
            <w:shd w:val="clear" w:color="auto" w:fill="auto"/>
            <w:vAlign w:val="bottom"/>
          </w:tcPr>
          <w:p w14:paraId="2BAD71EF"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31</w:t>
            </w:r>
          </w:p>
        </w:tc>
      </w:tr>
      <w:tr w:rsidR="00587444" w:rsidRPr="00587444" w14:paraId="22D1A1E4" w14:textId="77777777" w:rsidTr="00DD69E7">
        <w:trPr>
          <w:trHeight w:val="299"/>
          <w:jc w:val="center"/>
        </w:trPr>
        <w:tc>
          <w:tcPr>
            <w:tcW w:w="5528" w:type="dxa"/>
            <w:vAlign w:val="bottom"/>
          </w:tcPr>
          <w:p w14:paraId="5801B097"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Depository receipt - DR</w:t>
            </w:r>
          </w:p>
        </w:tc>
        <w:tc>
          <w:tcPr>
            <w:tcW w:w="1276" w:type="dxa"/>
            <w:tcBorders>
              <w:left w:val="nil"/>
              <w:right w:val="nil"/>
            </w:tcBorders>
            <w:shd w:val="clear" w:color="auto" w:fill="auto"/>
            <w:vAlign w:val="bottom"/>
          </w:tcPr>
          <w:p w14:paraId="53E06AFE"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c>
          <w:tcPr>
            <w:tcW w:w="1276" w:type="dxa"/>
            <w:tcBorders>
              <w:top w:val="nil"/>
              <w:left w:val="nil"/>
              <w:right w:val="nil"/>
            </w:tcBorders>
            <w:shd w:val="clear" w:color="auto" w:fill="auto"/>
            <w:vAlign w:val="bottom"/>
          </w:tcPr>
          <w:p w14:paraId="63757FD1"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c>
          <w:tcPr>
            <w:tcW w:w="1304" w:type="dxa"/>
            <w:tcBorders>
              <w:top w:val="nil"/>
              <w:left w:val="nil"/>
              <w:right w:val="nil"/>
            </w:tcBorders>
            <w:shd w:val="clear" w:color="auto" w:fill="auto"/>
            <w:vAlign w:val="bottom"/>
          </w:tcPr>
          <w:p w14:paraId="2DB56432"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318</w:t>
            </w:r>
          </w:p>
        </w:tc>
      </w:tr>
      <w:tr w:rsidR="00587444" w:rsidRPr="00587444" w14:paraId="0F89A590" w14:textId="77777777" w:rsidTr="00DD69E7">
        <w:trPr>
          <w:trHeight w:val="219"/>
          <w:jc w:val="center"/>
        </w:trPr>
        <w:tc>
          <w:tcPr>
            <w:tcW w:w="5528" w:type="dxa"/>
            <w:vAlign w:val="bottom"/>
          </w:tcPr>
          <w:p w14:paraId="5F3C657E"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r w:rsidRPr="00587444">
              <w:rPr>
                <w:rFonts w:ascii="Arial" w:hAnsi="Arial" w:cs="Arial"/>
                <w:b/>
                <w:sz w:val="17"/>
                <w:szCs w:val="17"/>
              </w:rPr>
              <w:t>Total financial assets at fair value through profit or loss</w:t>
            </w:r>
          </w:p>
        </w:tc>
        <w:tc>
          <w:tcPr>
            <w:tcW w:w="1276" w:type="dxa"/>
            <w:tcBorders>
              <w:top w:val="single" w:sz="4" w:space="0" w:color="auto"/>
              <w:left w:val="nil"/>
              <w:bottom w:val="single" w:sz="12" w:space="0" w:color="auto"/>
              <w:right w:val="nil"/>
            </w:tcBorders>
            <w:shd w:val="clear" w:color="auto" w:fill="auto"/>
            <w:vAlign w:val="bottom"/>
          </w:tcPr>
          <w:p w14:paraId="2B0E7F6C" w14:textId="77777777" w:rsidR="00587444" w:rsidRPr="00587444" w:rsidRDefault="00587444" w:rsidP="00587444">
            <w:pPr>
              <w:tabs>
                <w:tab w:val="right" w:pos="1202"/>
              </w:tabs>
              <w:suppressAutoHyphens w:val="0"/>
              <w:autoSpaceDN/>
              <w:jc w:val="right"/>
              <w:outlineLvl w:val="0"/>
              <w:rPr>
                <w:rFonts w:ascii="Arial" w:hAnsi="Arial" w:cs="Arial"/>
                <w:b/>
                <w:sz w:val="17"/>
                <w:szCs w:val="17"/>
              </w:rPr>
            </w:pPr>
            <w:r w:rsidRPr="00587444">
              <w:rPr>
                <w:rFonts w:ascii="Arial" w:hAnsi="Arial" w:cs="Arial"/>
                <w:b/>
                <w:bCs/>
                <w:sz w:val="17"/>
                <w:szCs w:val="17"/>
              </w:rPr>
              <w:t>202,260</w:t>
            </w:r>
          </w:p>
        </w:tc>
        <w:tc>
          <w:tcPr>
            <w:tcW w:w="1276" w:type="dxa"/>
            <w:tcBorders>
              <w:top w:val="single" w:sz="4" w:space="0" w:color="auto"/>
              <w:left w:val="nil"/>
              <w:bottom w:val="single" w:sz="12" w:space="0" w:color="auto"/>
              <w:right w:val="nil"/>
            </w:tcBorders>
            <w:shd w:val="clear" w:color="auto" w:fill="auto"/>
            <w:vAlign w:val="bottom"/>
          </w:tcPr>
          <w:p w14:paraId="663B143F" w14:textId="77777777" w:rsidR="00587444" w:rsidRPr="00587444" w:rsidRDefault="00587444" w:rsidP="00587444">
            <w:pPr>
              <w:tabs>
                <w:tab w:val="right" w:pos="1202"/>
              </w:tabs>
              <w:suppressAutoHyphens w:val="0"/>
              <w:autoSpaceDN/>
              <w:jc w:val="right"/>
              <w:outlineLvl w:val="0"/>
              <w:rPr>
                <w:rFonts w:ascii="Arial" w:hAnsi="Arial" w:cs="Arial"/>
                <w:b/>
                <w:sz w:val="17"/>
                <w:szCs w:val="17"/>
              </w:rPr>
            </w:pPr>
            <w:r w:rsidRPr="00587444">
              <w:rPr>
                <w:rFonts w:ascii="Arial" w:hAnsi="Arial" w:cs="Arial"/>
                <w:b/>
                <w:bCs/>
                <w:sz w:val="17"/>
                <w:szCs w:val="17"/>
              </w:rPr>
              <w:t>-</w:t>
            </w:r>
          </w:p>
        </w:tc>
        <w:tc>
          <w:tcPr>
            <w:tcW w:w="1304" w:type="dxa"/>
            <w:tcBorders>
              <w:top w:val="single" w:sz="4" w:space="0" w:color="auto"/>
              <w:left w:val="nil"/>
              <w:bottom w:val="single" w:sz="12" w:space="0" w:color="auto"/>
              <w:right w:val="nil"/>
            </w:tcBorders>
            <w:shd w:val="clear" w:color="auto" w:fill="auto"/>
            <w:vAlign w:val="bottom"/>
          </w:tcPr>
          <w:p w14:paraId="03848FB4" w14:textId="77777777" w:rsidR="00587444" w:rsidRPr="00587444" w:rsidRDefault="00587444" w:rsidP="00587444">
            <w:pPr>
              <w:tabs>
                <w:tab w:val="right" w:pos="1202"/>
              </w:tabs>
              <w:suppressAutoHyphens w:val="0"/>
              <w:autoSpaceDN/>
              <w:jc w:val="right"/>
              <w:outlineLvl w:val="0"/>
              <w:rPr>
                <w:rFonts w:ascii="Arial" w:hAnsi="Arial" w:cs="Arial"/>
                <w:b/>
                <w:sz w:val="17"/>
                <w:szCs w:val="17"/>
              </w:rPr>
            </w:pPr>
            <w:r w:rsidRPr="00587444">
              <w:rPr>
                <w:rFonts w:ascii="Arial" w:hAnsi="Arial" w:cs="Arial"/>
                <w:b/>
                <w:bCs/>
                <w:sz w:val="17"/>
                <w:szCs w:val="17"/>
              </w:rPr>
              <w:t>16,724</w:t>
            </w:r>
          </w:p>
        </w:tc>
      </w:tr>
      <w:tr w:rsidR="00587444" w:rsidRPr="00587444" w14:paraId="566BDA6B" w14:textId="77777777" w:rsidTr="00DD69E7">
        <w:trPr>
          <w:trHeight w:val="501"/>
          <w:jc w:val="center"/>
        </w:trPr>
        <w:tc>
          <w:tcPr>
            <w:tcW w:w="5528" w:type="dxa"/>
            <w:shd w:val="clear" w:color="auto" w:fill="auto"/>
            <w:vAlign w:val="bottom"/>
          </w:tcPr>
          <w:p w14:paraId="1740548B" w14:textId="77777777" w:rsidR="001D0F84" w:rsidRDefault="00587444" w:rsidP="00587444">
            <w:pPr>
              <w:tabs>
                <w:tab w:val="right" w:pos="1202"/>
              </w:tabs>
              <w:suppressAutoHyphens w:val="0"/>
              <w:autoSpaceDN/>
              <w:outlineLvl w:val="0"/>
              <w:rPr>
                <w:rFonts w:ascii="Arial" w:hAnsi="Arial" w:cs="Arial"/>
                <w:b/>
                <w:spacing w:val="-2"/>
                <w:sz w:val="17"/>
                <w:szCs w:val="17"/>
              </w:rPr>
            </w:pPr>
            <w:r w:rsidRPr="00587444">
              <w:rPr>
                <w:rFonts w:ascii="Arial" w:hAnsi="Arial" w:cs="Arial"/>
                <w:b/>
                <w:spacing w:val="-2"/>
                <w:sz w:val="17"/>
                <w:szCs w:val="17"/>
              </w:rPr>
              <w:t xml:space="preserve">Financial assets at fair value through other comprehensive </w:t>
            </w:r>
          </w:p>
          <w:p w14:paraId="2EA14F7E" w14:textId="351C3C41" w:rsidR="00587444" w:rsidRPr="00587444" w:rsidRDefault="00587444" w:rsidP="00587444">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income:</w:t>
            </w:r>
          </w:p>
        </w:tc>
        <w:tc>
          <w:tcPr>
            <w:tcW w:w="1276" w:type="dxa"/>
            <w:vAlign w:val="bottom"/>
          </w:tcPr>
          <w:p w14:paraId="7D7367DE"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c>
          <w:tcPr>
            <w:tcW w:w="1276" w:type="dxa"/>
            <w:vAlign w:val="bottom"/>
          </w:tcPr>
          <w:p w14:paraId="4F649A59"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c>
          <w:tcPr>
            <w:tcW w:w="1304" w:type="dxa"/>
            <w:vAlign w:val="bottom"/>
          </w:tcPr>
          <w:p w14:paraId="618214FB"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r>
      <w:tr w:rsidR="00587444" w:rsidRPr="00587444" w14:paraId="23567BA8" w14:textId="77777777" w:rsidTr="00DD69E7">
        <w:trPr>
          <w:trHeight w:val="291"/>
          <w:jc w:val="center"/>
        </w:trPr>
        <w:tc>
          <w:tcPr>
            <w:tcW w:w="5528" w:type="dxa"/>
            <w:shd w:val="clear" w:color="auto" w:fill="auto"/>
            <w:vAlign w:val="bottom"/>
          </w:tcPr>
          <w:p w14:paraId="02A710AB" w14:textId="77777777" w:rsidR="00587444" w:rsidRPr="00587444" w:rsidRDefault="00587444" w:rsidP="00587444">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Debt instruments:</w:t>
            </w:r>
          </w:p>
        </w:tc>
        <w:tc>
          <w:tcPr>
            <w:tcW w:w="1276" w:type="dxa"/>
            <w:vAlign w:val="bottom"/>
          </w:tcPr>
          <w:p w14:paraId="5E3722C5"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c>
          <w:tcPr>
            <w:tcW w:w="1276" w:type="dxa"/>
            <w:vAlign w:val="bottom"/>
          </w:tcPr>
          <w:p w14:paraId="043DD7AF"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c>
          <w:tcPr>
            <w:tcW w:w="1304" w:type="dxa"/>
            <w:vAlign w:val="bottom"/>
          </w:tcPr>
          <w:p w14:paraId="5387FF35"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r>
      <w:tr w:rsidR="00587444" w:rsidRPr="00587444" w14:paraId="29D9AF29" w14:textId="77777777" w:rsidTr="00DD69E7">
        <w:trPr>
          <w:trHeight w:val="291"/>
          <w:jc w:val="center"/>
        </w:trPr>
        <w:tc>
          <w:tcPr>
            <w:tcW w:w="5528" w:type="dxa"/>
            <w:shd w:val="clear" w:color="auto" w:fill="auto"/>
            <w:vAlign w:val="bottom"/>
          </w:tcPr>
          <w:p w14:paraId="47D2A8FC" w14:textId="77777777" w:rsidR="00587444" w:rsidRPr="00587444" w:rsidRDefault="00587444" w:rsidP="00587444">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Listed debt instruments:</w:t>
            </w:r>
          </w:p>
        </w:tc>
        <w:tc>
          <w:tcPr>
            <w:tcW w:w="1276" w:type="dxa"/>
            <w:tcBorders>
              <w:top w:val="nil"/>
              <w:left w:val="nil"/>
              <w:bottom w:val="nil"/>
              <w:right w:val="nil"/>
            </w:tcBorders>
            <w:shd w:val="clear" w:color="auto" w:fill="auto"/>
            <w:vAlign w:val="bottom"/>
          </w:tcPr>
          <w:p w14:paraId="77A993ED"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c>
          <w:tcPr>
            <w:tcW w:w="1276" w:type="dxa"/>
            <w:tcBorders>
              <w:top w:val="nil"/>
              <w:left w:val="nil"/>
              <w:bottom w:val="nil"/>
              <w:right w:val="nil"/>
            </w:tcBorders>
            <w:shd w:val="clear" w:color="auto" w:fill="auto"/>
            <w:vAlign w:val="bottom"/>
          </w:tcPr>
          <w:p w14:paraId="3F9CD6C5"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c>
          <w:tcPr>
            <w:tcW w:w="1304" w:type="dxa"/>
            <w:tcBorders>
              <w:top w:val="nil"/>
              <w:left w:val="nil"/>
              <w:bottom w:val="nil"/>
              <w:right w:val="nil"/>
            </w:tcBorders>
            <w:shd w:val="clear" w:color="auto" w:fill="auto"/>
            <w:vAlign w:val="bottom"/>
          </w:tcPr>
          <w:p w14:paraId="7EE81E27"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r>
      <w:tr w:rsidR="00587444" w:rsidRPr="00587444" w14:paraId="1E39E8F3" w14:textId="77777777" w:rsidTr="00DD69E7">
        <w:trPr>
          <w:trHeight w:val="291"/>
          <w:jc w:val="center"/>
        </w:trPr>
        <w:tc>
          <w:tcPr>
            <w:tcW w:w="5528" w:type="dxa"/>
            <w:shd w:val="clear" w:color="auto" w:fill="auto"/>
            <w:vAlign w:val="bottom"/>
          </w:tcPr>
          <w:p w14:paraId="1F218E70" w14:textId="77777777" w:rsidR="00587444" w:rsidRPr="00587444" w:rsidRDefault="00587444" w:rsidP="00587444">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Bonds of the Republic of Croatia</w:t>
            </w:r>
          </w:p>
        </w:tc>
        <w:tc>
          <w:tcPr>
            <w:tcW w:w="1276" w:type="dxa"/>
            <w:tcBorders>
              <w:top w:val="nil"/>
              <w:left w:val="nil"/>
              <w:bottom w:val="nil"/>
              <w:right w:val="nil"/>
            </w:tcBorders>
            <w:shd w:val="clear" w:color="auto" w:fill="auto"/>
            <w:vAlign w:val="bottom"/>
          </w:tcPr>
          <w:p w14:paraId="656230A8"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1,304,974</w:t>
            </w:r>
          </w:p>
        </w:tc>
        <w:tc>
          <w:tcPr>
            <w:tcW w:w="1276" w:type="dxa"/>
            <w:tcBorders>
              <w:top w:val="nil"/>
              <w:left w:val="nil"/>
              <w:bottom w:val="nil"/>
              <w:right w:val="nil"/>
            </w:tcBorders>
            <w:shd w:val="clear" w:color="auto" w:fill="auto"/>
            <w:vAlign w:val="bottom"/>
          </w:tcPr>
          <w:p w14:paraId="02F1924C"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 xml:space="preserve"> - </w:t>
            </w:r>
          </w:p>
        </w:tc>
        <w:tc>
          <w:tcPr>
            <w:tcW w:w="1304" w:type="dxa"/>
            <w:tcBorders>
              <w:top w:val="nil"/>
              <w:left w:val="nil"/>
              <w:bottom w:val="nil"/>
              <w:right w:val="nil"/>
            </w:tcBorders>
            <w:shd w:val="clear" w:color="auto" w:fill="auto"/>
            <w:vAlign w:val="bottom"/>
          </w:tcPr>
          <w:p w14:paraId="08862B5B"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 xml:space="preserve"> - </w:t>
            </w:r>
          </w:p>
        </w:tc>
      </w:tr>
      <w:tr w:rsidR="00587444" w:rsidRPr="00587444" w14:paraId="74CD3E01" w14:textId="77777777" w:rsidTr="00DD69E7">
        <w:trPr>
          <w:trHeight w:val="291"/>
          <w:jc w:val="center"/>
        </w:trPr>
        <w:tc>
          <w:tcPr>
            <w:tcW w:w="5528" w:type="dxa"/>
            <w:shd w:val="clear" w:color="auto" w:fill="auto"/>
            <w:vAlign w:val="bottom"/>
          </w:tcPr>
          <w:p w14:paraId="2EAA872A" w14:textId="77777777" w:rsidR="00587444" w:rsidRPr="00587444" w:rsidRDefault="00587444" w:rsidP="00587444">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 xml:space="preserve">Treasury bills of the Ministry of Finance </w:t>
            </w:r>
          </w:p>
        </w:tc>
        <w:tc>
          <w:tcPr>
            <w:tcW w:w="1276" w:type="dxa"/>
            <w:tcBorders>
              <w:top w:val="nil"/>
              <w:left w:val="nil"/>
              <w:bottom w:val="nil"/>
              <w:right w:val="nil"/>
            </w:tcBorders>
            <w:shd w:val="clear" w:color="auto" w:fill="auto"/>
            <w:vAlign w:val="bottom"/>
          </w:tcPr>
          <w:p w14:paraId="5F101921"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c>
          <w:tcPr>
            <w:tcW w:w="1276" w:type="dxa"/>
            <w:tcBorders>
              <w:top w:val="nil"/>
              <w:left w:val="nil"/>
              <w:bottom w:val="nil"/>
              <w:right w:val="nil"/>
            </w:tcBorders>
            <w:shd w:val="clear" w:color="auto" w:fill="auto"/>
            <w:vAlign w:val="bottom"/>
          </w:tcPr>
          <w:p w14:paraId="07A0F865"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1,550,344</w:t>
            </w:r>
          </w:p>
        </w:tc>
        <w:tc>
          <w:tcPr>
            <w:tcW w:w="1304" w:type="dxa"/>
            <w:tcBorders>
              <w:top w:val="nil"/>
              <w:left w:val="nil"/>
              <w:bottom w:val="nil"/>
              <w:right w:val="nil"/>
            </w:tcBorders>
            <w:shd w:val="clear" w:color="auto" w:fill="auto"/>
            <w:vAlign w:val="bottom"/>
          </w:tcPr>
          <w:p w14:paraId="4565FDFA"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r>
      <w:tr w:rsidR="00587444" w:rsidRPr="00587444" w14:paraId="38736740" w14:textId="77777777" w:rsidTr="00DD69E7">
        <w:trPr>
          <w:trHeight w:val="291"/>
          <w:jc w:val="center"/>
        </w:trPr>
        <w:tc>
          <w:tcPr>
            <w:tcW w:w="5528" w:type="dxa"/>
            <w:shd w:val="clear" w:color="auto" w:fill="auto"/>
            <w:vAlign w:val="bottom"/>
          </w:tcPr>
          <w:p w14:paraId="00D09292" w14:textId="77777777" w:rsidR="00587444" w:rsidRPr="00587444" w:rsidRDefault="00587444" w:rsidP="00587444">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Accrued interest</w:t>
            </w:r>
          </w:p>
        </w:tc>
        <w:tc>
          <w:tcPr>
            <w:tcW w:w="1276" w:type="dxa"/>
            <w:tcBorders>
              <w:top w:val="nil"/>
              <w:left w:val="nil"/>
              <w:bottom w:val="nil"/>
              <w:right w:val="nil"/>
            </w:tcBorders>
            <w:shd w:val="clear" w:color="auto" w:fill="auto"/>
            <w:vAlign w:val="bottom"/>
          </w:tcPr>
          <w:p w14:paraId="5C939539"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15,194</w:t>
            </w:r>
          </w:p>
        </w:tc>
        <w:tc>
          <w:tcPr>
            <w:tcW w:w="1276" w:type="dxa"/>
            <w:tcBorders>
              <w:top w:val="nil"/>
              <w:left w:val="nil"/>
              <w:bottom w:val="nil"/>
              <w:right w:val="nil"/>
            </w:tcBorders>
            <w:shd w:val="clear" w:color="auto" w:fill="auto"/>
            <w:vAlign w:val="bottom"/>
          </w:tcPr>
          <w:p w14:paraId="24D08FAA"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c>
          <w:tcPr>
            <w:tcW w:w="1304" w:type="dxa"/>
            <w:tcBorders>
              <w:top w:val="nil"/>
              <w:left w:val="nil"/>
              <w:bottom w:val="nil"/>
              <w:right w:val="nil"/>
            </w:tcBorders>
            <w:shd w:val="clear" w:color="auto" w:fill="auto"/>
            <w:vAlign w:val="bottom"/>
          </w:tcPr>
          <w:p w14:paraId="70243789"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r>
      <w:tr w:rsidR="00587444" w:rsidRPr="00587444" w14:paraId="158D35AA" w14:textId="77777777" w:rsidTr="00DD69E7">
        <w:trPr>
          <w:trHeight w:val="291"/>
          <w:jc w:val="center"/>
        </w:trPr>
        <w:tc>
          <w:tcPr>
            <w:tcW w:w="5528" w:type="dxa"/>
            <w:shd w:val="clear" w:color="auto" w:fill="auto"/>
            <w:vAlign w:val="bottom"/>
          </w:tcPr>
          <w:p w14:paraId="3E4CCC0E" w14:textId="77777777" w:rsidR="00587444" w:rsidRPr="00587444" w:rsidRDefault="00587444" w:rsidP="00587444">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Unlisted debt instruments:</w:t>
            </w:r>
          </w:p>
        </w:tc>
        <w:tc>
          <w:tcPr>
            <w:tcW w:w="1276" w:type="dxa"/>
            <w:tcBorders>
              <w:top w:val="nil"/>
              <w:left w:val="nil"/>
              <w:bottom w:val="nil"/>
              <w:right w:val="nil"/>
            </w:tcBorders>
            <w:shd w:val="clear" w:color="auto" w:fill="auto"/>
            <w:vAlign w:val="bottom"/>
          </w:tcPr>
          <w:p w14:paraId="233D0BB5"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276" w:type="dxa"/>
            <w:tcBorders>
              <w:top w:val="nil"/>
              <w:left w:val="nil"/>
              <w:bottom w:val="nil"/>
              <w:right w:val="nil"/>
            </w:tcBorders>
            <w:shd w:val="clear" w:color="auto" w:fill="auto"/>
            <w:vAlign w:val="bottom"/>
          </w:tcPr>
          <w:p w14:paraId="77F6D154" w14:textId="77777777" w:rsidR="00587444" w:rsidRPr="00587444" w:rsidRDefault="00587444" w:rsidP="00587444">
            <w:pPr>
              <w:tabs>
                <w:tab w:val="right" w:pos="1202"/>
              </w:tabs>
              <w:suppressAutoHyphens w:val="0"/>
              <w:autoSpaceDN/>
              <w:jc w:val="right"/>
              <w:outlineLvl w:val="0"/>
              <w:rPr>
                <w:rFonts w:ascii="Arial" w:hAnsi="Arial" w:cs="Arial"/>
                <w:spacing w:val="-2"/>
                <w:sz w:val="17"/>
                <w:szCs w:val="17"/>
              </w:rPr>
            </w:pPr>
          </w:p>
        </w:tc>
        <w:tc>
          <w:tcPr>
            <w:tcW w:w="1304" w:type="dxa"/>
            <w:tcBorders>
              <w:top w:val="nil"/>
              <w:left w:val="nil"/>
              <w:bottom w:val="nil"/>
              <w:right w:val="nil"/>
            </w:tcBorders>
            <w:shd w:val="clear" w:color="auto" w:fill="auto"/>
            <w:vAlign w:val="bottom"/>
          </w:tcPr>
          <w:p w14:paraId="52C974A8" w14:textId="77777777" w:rsidR="00587444" w:rsidRPr="00587444" w:rsidRDefault="00587444" w:rsidP="00587444">
            <w:pPr>
              <w:tabs>
                <w:tab w:val="right" w:pos="1202"/>
              </w:tabs>
              <w:suppressAutoHyphens w:val="0"/>
              <w:autoSpaceDN/>
              <w:jc w:val="right"/>
              <w:outlineLvl w:val="0"/>
              <w:rPr>
                <w:rFonts w:ascii="Arial" w:hAnsi="Arial" w:cs="Arial"/>
                <w:spacing w:val="-2"/>
                <w:sz w:val="17"/>
                <w:szCs w:val="17"/>
              </w:rPr>
            </w:pPr>
          </w:p>
        </w:tc>
      </w:tr>
      <w:tr w:rsidR="00587444" w:rsidRPr="00587444" w14:paraId="78A00BFA" w14:textId="77777777" w:rsidTr="00DD69E7">
        <w:trPr>
          <w:trHeight w:val="291"/>
          <w:jc w:val="center"/>
        </w:trPr>
        <w:tc>
          <w:tcPr>
            <w:tcW w:w="5528" w:type="dxa"/>
            <w:shd w:val="clear" w:color="auto" w:fill="auto"/>
            <w:vAlign w:val="bottom"/>
          </w:tcPr>
          <w:p w14:paraId="65506C0F" w14:textId="77777777" w:rsidR="00587444" w:rsidRPr="00587444" w:rsidRDefault="00587444" w:rsidP="00587444">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Corporate bonds</w:t>
            </w:r>
          </w:p>
        </w:tc>
        <w:tc>
          <w:tcPr>
            <w:tcW w:w="1276" w:type="dxa"/>
            <w:tcBorders>
              <w:top w:val="nil"/>
              <w:left w:val="nil"/>
              <w:bottom w:val="nil"/>
              <w:right w:val="nil"/>
            </w:tcBorders>
            <w:shd w:val="clear" w:color="auto" w:fill="auto"/>
            <w:vAlign w:val="bottom"/>
          </w:tcPr>
          <w:p w14:paraId="594E6938"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c>
          <w:tcPr>
            <w:tcW w:w="1276" w:type="dxa"/>
            <w:tcBorders>
              <w:top w:val="nil"/>
              <w:left w:val="nil"/>
              <w:bottom w:val="nil"/>
              <w:right w:val="nil"/>
            </w:tcBorders>
            <w:shd w:val="clear" w:color="auto" w:fill="auto"/>
            <w:vAlign w:val="bottom"/>
          </w:tcPr>
          <w:p w14:paraId="30276728"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c>
          <w:tcPr>
            <w:tcW w:w="1304" w:type="dxa"/>
            <w:tcBorders>
              <w:top w:val="nil"/>
              <w:left w:val="nil"/>
              <w:bottom w:val="nil"/>
              <w:right w:val="nil"/>
            </w:tcBorders>
            <w:shd w:val="clear" w:color="auto" w:fill="auto"/>
            <w:vAlign w:val="bottom"/>
          </w:tcPr>
          <w:p w14:paraId="72AD2CE4" w14:textId="77777777" w:rsidR="00587444" w:rsidRPr="00587444" w:rsidRDefault="00587444" w:rsidP="00587444">
            <w:pPr>
              <w:tabs>
                <w:tab w:val="right" w:pos="1202"/>
              </w:tabs>
              <w:suppressAutoHyphens w:val="0"/>
              <w:autoSpaceDN/>
              <w:jc w:val="right"/>
              <w:outlineLvl w:val="0"/>
              <w:rPr>
                <w:rFonts w:ascii="Arial" w:hAnsi="Arial" w:cs="Arial"/>
                <w:spacing w:val="-2"/>
                <w:sz w:val="17"/>
                <w:szCs w:val="17"/>
              </w:rPr>
            </w:pPr>
            <w:r w:rsidRPr="00587444">
              <w:rPr>
                <w:rFonts w:ascii="Arial" w:hAnsi="Arial" w:cs="Arial"/>
                <w:sz w:val="17"/>
                <w:szCs w:val="17"/>
              </w:rPr>
              <w:t>532</w:t>
            </w:r>
          </w:p>
        </w:tc>
      </w:tr>
      <w:tr w:rsidR="00587444" w:rsidRPr="00587444" w14:paraId="2E139D21" w14:textId="77777777" w:rsidTr="00DD69E7">
        <w:trPr>
          <w:trHeight w:val="291"/>
          <w:jc w:val="center"/>
        </w:trPr>
        <w:tc>
          <w:tcPr>
            <w:tcW w:w="5528" w:type="dxa"/>
            <w:shd w:val="clear" w:color="auto" w:fill="auto"/>
            <w:vAlign w:val="bottom"/>
          </w:tcPr>
          <w:p w14:paraId="2EF87E6A"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Convertible bonds - CB</w:t>
            </w:r>
          </w:p>
        </w:tc>
        <w:tc>
          <w:tcPr>
            <w:tcW w:w="1276" w:type="dxa"/>
            <w:tcBorders>
              <w:top w:val="nil"/>
              <w:left w:val="nil"/>
              <w:bottom w:val="nil"/>
              <w:right w:val="nil"/>
            </w:tcBorders>
            <w:shd w:val="clear" w:color="auto" w:fill="auto"/>
            <w:vAlign w:val="bottom"/>
          </w:tcPr>
          <w:p w14:paraId="0E168772"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c>
          <w:tcPr>
            <w:tcW w:w="1276" w:type="dxa"/>
            <w:tcBorders>
              <w:top w:val="nil"/>
              <w:left w:val="nil"/>
              <w:bottom w:val="nil"/>
              <w:right w:val="nil"/>
            </w:tcBorders>
            <w:shd w:val="clear" w:color="auto" w:fill="auto"/>
            <w:vAlign w:val="bottom"/>
          </w:tcPr>
          <w:p w14:paraId="1156D936"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c>
          <w:tcPr>
            <w:tcW w:w="1304" w:type="dxa"/>
            <w:tcBorders>
              <w:top w:val="nil"/>
              <w:left w:val="nil"/>
              <w:bottom w:val="nil"/>
              <w:right w:val="nil"/>
            </w:tcBorders>
            <w:shd w:val="clear" w:color="auto" w:fill="auto"/>
            <w:vAlign w:val="bottom"/>
          </w:tcPr>
          <w:p w14:paraId="4BD7BA51" w14:textId="77777777" w:rsidR="00587444" w:rsidRPr="00587444" w:rsidRDefault="00587444" w:rsidP="00587444">
            <w:pPr>
              <w:tabs>
                <w:tab w:val="right" w:pos="1202"/>
              </w:tabs>
              <w:suppressAutoHyphens w:val="0"/>
              <w:autoSpaceDN/>
              <w:jc w:val="right"/>
              <w:outlineLvl w:val="0"/>
              <w:rPr>
                <w:rFonts w:ascii="Arial" w:hAnsi="Arial" w:cs="Arial"/>
                <w:spacing w:val="-2"/>
                <w:sz w:val="17"/>
                <w:szCs w:val="17"/>
              </w:rPr>
            </w:pPr>
            <w:r w:rsidRPr="00587444">
              <w:rPr>
                <w:rFonts w:ascii="Arial" w:hAnsi="Arial" w:cs="Arial"/>
                <w:sz w:val="17"/>
                <w:szCs w:val="17"/>
              </w:rPr>
              <w:t>1,397</w:t>
            </w:r>
          </w:p>
        </w:tc>
      </w:tr>
      <w:tr w:rsidR="00587444" w:rsidRPr="00587444" w14:paraId="58CBE0A6" w14:textId="77777777" w:rsidTr="00DD69E7">
        <w:trPr>
          <w:trHeight w:val="291"/>
          <w:jc w:val="center"/>
        </w:trPr>
        <w:tc>
          <w:tcPr>
            <w:tcW w:w="5528" w:type="dxa"/>
            <w:shd w:val="clear" w:color="auto" w:fill="auto"/>
            <w:vAlign w:val="bottom"/>
          </w:tcPr>
          <w:p w14:paraId="417FBD73" w14:textId="77777777" w:rsidR="00587444" w:rsidRPr="00587444" w:rsidRDefault="00587444" w:rsidP="00587444">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Accrued interest</w:t>
            </w:r>
          </w:p>
        </w:tc>
        <w:tc>
          <w:tcPr>
            <w:tcW w:w="1276" w:type="dxa"/>
            <w:tcBorders>
              <w:top w:val="nil"/>
              <w:left w:val="nil"/>
              <w:bottom w:val="single" w:sz="4" w:space="0" w:color="auto"/>
              <w:right w:val="nil"/>
            </w:tcBorders>
            <w:shd w:val="clear" w:color="auto" w:fill="auto"/>
            <w:vAlign w:val="bottom"/>
          </w:tcPr>
          <w:p w14:paraId="5C93C309"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c>
          <w:tcPr>
            <w:tcW w:w="1276" w:type="dxa"/>
            <w:tcBorders>
              <w:top w:val="nil"/>
              <w:left w:val="nil"/>
              <w:bottom w:val="single" w:sz="4" w:space="0" w:color="auto"/>
              <w:right w:val="nil"/>
            </w:tcBorders>
            <w:shd w:val="clear" w:color="auto" w:fill="auto"/>
            <w:vAlign w:val="bottom"/>
          </w:tcPr>
          <w:p w14:paraId="2BAE1D71"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c>
          <w:tcPr>
            <w:tcW w:w="1304" w:type="dxa"/>
            <w:tcBorders>
              <w:top w:val="nil"/>
              <w:left w:val="nil"/>
              <w:bottom w:val="single" w:sz="4" w:space="0" w:color="auto"/>
              <w:right w:val="nil"/>
            </w:tcBorders>
            <w:shd w:val="clear" w:color="auto" w:fill="auto"/>
            <w:vAlign w:val="bottom"/>
          </w:tcPr>
          <w:p w14:paraId="51AC447A" w14:textId="77777777" w:rsidR="00587444" w:rsidRPr="00587444" w:rsidRDefault="00587444" w:rsidP="00587444">
            <w:pPr>
              <w:tabs>
                <w:tab w:val="right" w:pos="1202"/>
              </w:tabs>
              <w:suppressAutoHyphens w:val="0"/>
              <w:autoSpaceDN/>
              <w:jc w:val="right"/>
              <w:outlineLvl w:val="0"/>
              <w:rPr>
                <w:rFonts w:ascii="Arial" w:hAnsi="Arial" w:cs="Arial"/>
                <w:spacing w:val="-2"/>
                <w:sz w:val="17"/>
                <w:szCs w:val="17"/>
              </w:rPr>
            </w:pPr>
            <w:r w:rsidRPr="00587444">
              <w:rPr>
                <w:rFonts w:ascii="Arial" w:hAnsi="Arial" w:cs="Arial"/>
                <w:sz w:val="17"/>
                <w:szCs w:val="17"/>
              </w:rPr>
              <w:t>247</w:t>
            </w:r>
          </w:p>
        </w:tc>
      </w:tr>
      <w:tr w:rsidR="00587444" w:rsidRPr="00587444" w14:paraId="5421EBDD" w14:textId="77777777" w:rsidTr="00DD69E7">
        <w:trPr>
          <w:trHeight w:val="291"/>
          <w:jc w:val="center"/>
        </w:trPr>
        <w:tc>
          <w:tcPr>
            <w:tcW w:w="5528" w:type="dxa"/>
            <w:shd w:val="clear" w:color="auto" w:fill="auto"/>
            <w:vAlign w:val="bottom"/>
          </w:tcPr>
          <w:p w14:paraId="20762277" w14:textId="77777777" w:rsidR="00587444" w:rsidRPr="00587444" w:rsidRDefault="00587444" w:rsidP="00587444">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Total debt instruments</w:t>
            </w:r>
          </w:p>
        </w:tc>
        <w:tc>
          <w:tcPr>
            <w:tcW w:w="1276" w:type="dxa"/>
            <w:tcBorders>
              <w:top w:val="single" w:sz="4" w:space="0" w:color="auto"/>
              <w:left w:val="nil"/>
              <w:bottom w:val="single" w:sz="4" w:space="0" w:color="auto"/>
              <w:right w:val="nil"/>
            </w:tcBorders>
            <w:shd w:val="clear" w:color="auto" w:fill="auto"/>
            <w:vAlign w:val="bottom"/>
          </w:tcPr>
          <w:p w14:paraId="6F14E0C1"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lang w:eastAsia="hr-HR"/>
              </w:rPr>
            </w:pPr>
            <w:r w:rsidRPr="00587444">
              <w:rPr>
                <w:rFonts w:ascii="Arial" w:hAnsi="Arial" w:cs="Arial"/>
                <w:b/>
                <w:bCs/>
                <w:sz w:val="17"/>
                <w:szCs w:val="17"/>
              </w:rPr>
              <w:t>1,320,168</w:t>
            </w:r>
          </w:p>
        </w:tc>
        <w:tc>
          <w:tcPr>
            <w:tcW w:w="1276" w:type="dxa"/>
            <w:tcBorders>
              <w:top w:val="single" w:sz="4" w:space="0" w:color="auto"/>
              <w:left w:val="nil"/>
              <w:bottom w:val="single" w:sz="4" w:space="0" w:color="auto"/>
              <w:right w:val="nil"/>
            </w:tcBorders>
            <w:shd w:val="clear" w:color="auto" w:fill="auto"/>
            <w:vAlign w:val="bottom"/>
          </w:tcPr>
          <w:p w14:paraId="0EFF4ECB" w14:textId="77777777" w:rsidR="00587444" w:rsidRPr="00587444" w:rsidRDefault="00587444" w:rsidP="00587444">
            <w:pPr>
              <w:tabs>
                <w:tab w:val="right" w:pos="1202"/>
              </w:tabs>
              <w:suppressAutoHyphens w:val="0"/>
              <w:autoSpaceDN/>
              <w:jc w:val="right"/>
              <w:outlineLvl w:val="0"/>
              <w:rPr>
                <w:rFonts w:ascii="Arial" w:hAnsi="Arial" w:cs="Arial"/>
                <w:spacing w:val="-2"/>
                <w:sz w:val="17"/>
                <w:szCs w:val="17"/>
                <w:lang w:eastAsia="hr-HR"/>
              </w:rPr>
            </w:pPr>
            <w:r w:rsidRPr="00587444">
              <w:rPr>
                <w:rFonts w:ascii="Arial" w:hAnsi="Arial" w:cs="Arial"/>
                <w:b/>
                <w:bCs/>
                <w:sz w:val="17"/>
                <w:szCs w:val="17"/>
              </w:rPr>
              <w:t>1,550,344</w:t>
            </w:r>
          </w:p>
        </w:tc>
        <w:tc>
          <w:tcPr>
            <w:tcW w:w="1304" w:type="dxa"/>
            <w:tcBorders>
              <w:top w:val="single" w:sz="4" w:space="0" w:color="auto"/>
              <w:left w:val="nil"/>
              <w:bottom w:val="single" w:sz="4" w:space="0" w:color="auto"/>
              <w:right w:val="nil"/>
            </w:tcBorders>
            <w:shd w:val="clear" w:color="auto" w:fill="auto"/>
            <w:vAlign w:val="bottom"/>
          </w:tcPr>
          <w:p w14:paraId="737E6CD4"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lang w:eastAsia="hr-HR"/>
              </w:rPr>
            </w:pPr>
            <w:r w:rsidRPr="00587444">
              <w:rPr>
                <w:rFonts w:ascii="Arial" w:hAnsi="Arial" w:cs="Arial"/>
                <w:b/>
                <w:bCs/>
                <w:sz w:val="17"/>
                <w:szCs w:val="17"/>
              </w:rPr>
              <w:t>2,176</w:t>
            </w:r>
          </w:p>
        </w:tc>
      </w:tr>
      <w:tr w:rsidR="00587444" w:rsidRPr="00587444" w14:paraId="39356840" w14:textId="77777777" w:rsidTr="00DD69E7">
        <w:trPr>
          <w:trHeight w:val="489"/>
          <w:jc w:val="center"/>
        </w:trPr>
        <w:tc>
          <w:tcPr>
            <w:tcW w:w="5528" w:type="dxa"/>
            <w:shd w:val="clear" w:color="auto" w:fill="auto"/>
            <w:vAlign w:val="bottom"/>
          </w:tcPr>
          <w:p w14:paraId="34625806" w14:textId="77777777" w:rsidR="00587444" w:rsidRPr="00587444" w:rsidRDefault="00587444" w:rsidP="00587444">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Unlisted equity instruments:</w:t>
            </w:r>
            <w:r w:rsidRPr="00587444" w:rsidDel="00D51A81">
              <w:rPr>
                <w:rFonts w:ascii="Arial" w:hAnsi="Arial" w:cs="Arial"/>
                <w:b/>
                <w:i/>
                <w:spacing w:val="-2"/>
                <w:sz w:val="17"/>
                <w:szCs w:val="17"/>
              </w:rPr>
              <w:t xml:space="preserve"> </w:t>
            </w:r>
          </w:p>
        </w:tc>
        <w:tc>
          <w:tcPr>
            <w:tcW w:w="1276" w:type="dxa"/>
            <w:tcBorders>
              <w:top w:val="single" w:sz="12" w:space="0" w:color="auto"/>
            </w:tcBorders>
            <w:vAlign w:val="bottom"/>
          </w:tcPr>
          <w:p w14:paraId="3BD7B6BF"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c>
          <w:tcPr>
            <w:tcW w:w="1276" w:type="dxa"/>
            <w:tcBorders>
              <w:top w:val="single" w:sz="12" w:space="0" w:color="auto"/>
            </w:tcBorders>
            <w:vAlign w:val="bottom"/>
          </w:tcPr>
          <w:p w14:paraId="5D8A8BAF"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c>
          <w:tcPr>
            <w:tcW w:w="1304" w:type="dxa"/>
            <w:tcBorders>
              <w:top w:val="single" w:sz="12" w:space="0" w:color="auto"/>
            </w:tcBorders>
            <w:vAlign w:val="bottom"/>
          </w:tcPr>
          <w:p w14:paraId="271DB1A9" w14:textId="77777777" w:rsidR="00587444" w:rsidRPr="00587444" w:rsidDel="00561A80" w:rsidRDefault="00587444" w:rsidP="00587444">
            <w:pPr>
              <w:tabs>
                <w:tab w:val="right" w:pos="1202"/>
              </w:tabs>
              <w:suppressAutoHyphens w:val="0"/>
              <w:autoSpaceDN/>
              <w:jc w:val="right"/>
              <w:outlineLvl w:val="0"/>
              <w:rPr>
                <w:rFonts w:ascii="Arial" w:hAnsi="Arial" w:cs="Arial"/>
                <w:spacing w:val="-2"/>
                <w:sz w:val="17"/>
                <w:szCs w:val="17"/>
              </w:rPr>
            </w:pPr>
          </w:p>
        </w:tc>
      </w:tr>
      <w:tr w:rsidR="00587444" w:rsidRPr="00587444" w14:paraId="0A8B7502" w14:textId="77777777" w:rsidTr="00DD69E7">
        <w:trPr>
          <w:trHeight w:val="291"/>
          <w:jc w:val="center"/>
        </w:trPr>
        <w:tc>
          <w:tcPr>
            <w:tcW w:w="5528" w:type="dxa"/>
            <w:shd w:val="clear" w:color="auto" w:fill="auto"/>
            <w:vAlign w:val="bottom"/>
          </w:tcPr>
          <w:p w14:paraId="50ED4082"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Investment in shares of foreign legal entities – SWIFT</w:t>
            </w:r>
          </w:p>
        </w:tc>
        <w:tc>
          <w:tcPr>
            <w:tcW w:w="1276" w:type="dxa"/>
            <w:tcBorders>
              <w:top w:val="nil"/>
              <w:left w:val="nil"/>
              <w:bottom w:val="nil"/>
              <w:right w:val="nil"/>
            </w:tcBorders>
            <w:shd w:val="clear" w:color="auto" w:fill="auto"/>
            <w:vAlign w:val="bottom"/>
          </w:tcPr>
          <w:p w14:paraId="38D08C3A"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c>
          <w:tcPr>
            <w:tcW w:w="1276" w:type="dxa"/>
            <w:tcBorders>
              <w:top w:val="nil"/>
              <w:left w:val="nil"/>
              <w:bottom w:val="nil"/>
              <w:right w:val="nil"/>
            </w:tcBorders>
            <w:shd w:val="clear" w:color="auto" w:fill="auto"/>
            <w:vAlign w:val="bottom"/>
          </w:tcPr>
          <w:p w14:paraId="33A04E1C"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45</w:t>
            </w:r>
          </w:p>
        </w:tc>
        <w:tc>
          <w:tcPr>
            <w:tcW w:w="1304" w:type="dxa"/>
            <w:tcBorders>
              <w:top w:val="nil"/>
              <w:left w:val="nil"/>
              <w:bottom w:val="nil"/>
              <w:right w:val="nil"/>
            </w:tcBorders>
            <w:shd w:val="clear" w:color="auto" w:fill="auto"/>
            <w:vAlign w:val="bottom"/>
          </w:tcPr>
          <w:p w14:paraId="27E15520"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r>
      <w:tr w:rsidR="00587444" w:rsidRPr="00587444" w14:paraId="4E15F01F" w14:textId="77777777" w:rsidTr="00DD69E7">
        <w:trPr>
          <w:trHeight w:val="291"/>
          <w:jc w:val="center"/>
        </w:trPr>
        <w:tc>
          <w:tcPr>
            <w:tcW w:w="5528" w:type="dxa"/>
            <w:shd w:val="clear" w:color="auto" w:fill="auto"/>
            <w:vAlign w:val="bottom"/>
          </w:tcPr>
          <w:p w14:paraId="2314930A" w14:textId="77777777" w:rsidR="00587444" w:rsidRPr="00587444" w:rsidRDefault="00587444" w:rsidP="00587444">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Shares of foreign financial institutions – EIF</w:t>
            </w:r>
          </w:p>
        </w:tc>
        <w:tc>
          <w:tcPr>
            <w:tcW w:w="1276" w:type="dxa"/>
            <w:tcBorders>
              <w:top w:val="nil"/>
              <w:left w:val="nil"/>
              <w:bottom w:val="single" w:sz="4" w:space="0" w:color="auto"/>
              <w:right w:val="nil"/>
            </w:tcBorders>
            <w:shd w:val="clear" w:color="auto" w:fill="auto"/>
            <w:vAlign w:val="bottom"/>
          </w:tcPr>
          <w:p w14:paraId="67599AC8"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c>
          <w:tcPr>
            <w:tcW w:w="1276" w:type="dxa"/>
            <w:tcBorders>
              <w:top w:val="nil"/>
              <w:left w:val="nil"/>
              <w:bottom w:val="single" w:sz="4" w:space="0" w:color="auto"/>
              <w:right w:val="nil"/>
            </w:tcBorders>
            <w:shd w:val="clear" w:color="auto" w:fill="auto"/>
            <w:vAlign w:val="bottom"/>
          </w:tcPr>
          <w:p w14:paraId="7393D4AD"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42,971</w:t>
            </w:r>
          </w:p>
        </w:tc>
        <w:tc>
          <w:tcPr>
            <w:tcW w:w="1304" w:type="dxa"/>
            <w:tcBorders>
              <w:top w:val="nil"/>
              <w:left w:val="nil"/>
              <w:bottom w:val="single" w:sz="4" w:space="0" w:color="auto"/>
              <w:right w:val="nil"/>
            </w:tcBorders>
            <w:shd w:val="clear" w:color="auto" w:fill="auto"/>
            <w:vAlign w:val="bottom"/>
          </w:tcPr>
          <w:p w14:paraId="0952F1E1"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sz w:val="17"/>
                <w:szCs w:val="17"/>
              </w:rPr>
              <w:t>-</w:t>
            </w:r>
          </w:p>
        </w:tc>
      </w:tr>
      <w:tr w:rsidR="00587444" w:rsidRPr="00587444" w14:paraId="6B38EA06" w14:textId="77777777" w:rsidTr="00DD69E7">
        <w:trPr>
          <w:trHeight w:val="291"/>
          <w:jc w:val="center"/>
        </w:trPr>
        <w:tc>
          <w:tcPr>
            <w:tcW w:w="5528" w:type="dxa"/>
            <w:shd w:val="clear" w:color="auto" w:fill="auto"/>
            <w:vAlign w:val="bottom"/>
          </w:tcPr>
          <w:p w14:paraId="3AA9B59F" w14:textId="77777777" w:rsidR="00587444" w:rsidRPr="00587444" w:rsidRDefault="00587444" w:rsidP="00587444">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Total equity instruments</w:t>
            </w:r>
          </w:p>
        </w:tc>
        <w:tc>
          <w:tcPr>
            <w:tcW w:w="1276" w:type="dxa"/>
            <w:tcBorders>
              <w:top w:val="single" w:sz="4" w:space="0" w:color="auto"/>
              <w:left w:val="nil"/>
              <w:bottom w:val="single" w:sz="12" w:space="0" w:color="auto"/>
              <w:right w:val="nil"/>
            </w:tcBorders>
            <w:shd w:val="clear" w:color="auto" w:fill="auto"/>
            <w:vAlign w:val="bottom"/>
          </w:tcPr>
          <w:p w14:paraId="1BA95EDE"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r w:rsidRPr="00587444">
              <w:rPr>
                <w:rFonts w:ascii="Arial" w:hAnsi="Arial" w:cs="Arial"/>
                <w:b/>
                <w:bCs/>
                <w:sz w:val="17"/>
                <w:szCs w:val="17"/>
              </w:rPr>
              <w:t>-</w:t>
            </w:r>
          </w:p>
        </w:tc>
        <w:tc>
          <w:tcPr>
            <w:tcW w:w="1276" w:type="dxa"/>
            <w:tcBorders>
              <w:top w:val="single" w:sz="4" w:space="0" w:color="auto"/>
              <w:left w:val="nil"/>
              <w:bottom w:val="single" w:sz="12" w:space="0" w:color="auto"/>
              <w:right w:val="nil"/>
            </w:tcBorders>
            <w:shd w:val="clear" w:color="auto" w:fill="auto"/>
            <w:vAlign w:val="bottom"/>
          </w:tcPr>
          <w:p w14:paraId="4BA936C6" w14:textId="77777777" w:rsidR="00587444" w:rsidRPr="00587444" w:rsidRDefault="00587444" w:rsidP="00587444">
            <w:pPr>
              <w:tabs>
                <w:tab w:val="right" w:pos="1202"/>
              </w:tabs>
              <w:suppressAutoHyphens w:val="0"/>
              <w:autoSpaceDN/>
              <w:jc w:val="right"/>
              <w:outlineLvl w:val="0"/>
              <w:rPr>
                <w:rFonts w:ascii="Arial" w:hAnsi="Arial" w:cs="Arial"/>
                <w:b/>
                <w:sz w:val="17"/>
                <w:szCs w:val="17"/>
              </w:rPr>
            </w:pPr>
            <w:r w:rsidRPr="00587444">
              <w:rPr>
                <w:rFonts w:ascii="Arial" w:hAnsi="Arial" w:cs="Arial"/>
                <w:b/>
                <w:bCs/>
                <w:sz w:val="17"/>
                <w:szCs w:val="17"/>
              </w:rPr>
              <w:t>43,016</w:t>
            </w:r>
          </w:p>
        </w:tc>
        <w:tc>
          <w:tcPr>
            <w:tcW w:w="1304" w:type="dxa"/>
            <w:tcBorders>
              <w:top w:val="single" w:sz="4" w:space="0" w:color="auto"/>
              <w:left w:val="nil"/>
              <w:bottom w:val="single" w:sz="12" w:space="0" w:color="auto"/>
              <w:right w:val="nil"/>
            </w:tcBorders>
            <w:shd w:val="clear" w:color="auto" w:fill="auto"/>
            <w:vAlign w:val="bottom"/>
          </w:tcPr>
          <w:p w14:paraId="35A738C0" w14:textId="77777777" w:rsidR="00587444" w:rsidRPr="00587444" w:rsidRDefault="00587444" w:rsidP="00587444">
            <w:pPr>
              <w:tabs>
                <w:tab w:val="right" w:pos="1202"/>
              </w:tabs>
              <w:suppressAutoHyphens w:val="0"/>
              <w:autoSpaceDN/>
              <w:jc w:val="right"/>
              <w:outlineLvl w:val="0"/>
              <w:rPr>
                <w:rFonts w:ascii="Arial" w:hAnsi="Arial" w:cs="Arial"/>
                <w:b/>
                <w:sz w:val="17"/>
                <w:szCs w:val="17"/>
              </w:rPr>
            </w:pPr>
            <w:r w:rsidRPr="00587444">
              <w:rPr>
                <w:rFonts w:ascii="Arial" w:hAnsi="Arial" w:cs="Arial"/>
                <w:b/>
                <w:bCs/>
                <w:sz w:val="17"/>
                <w:szCs w:val="17"/>
              </w:rPr>
              <w:t>-</w:t>
            </w:r>
          </w:p>
        </w:tc>
      </w:tr>
      <w:tr w:rsidR="00587444" w:rsidRPr="00587444" w14:paraId="6B44DE25" w14:textId="77777777" w:rsidTr="00DD69E7">
        <w:trPr>
          <w:trHeight w:hRule="exact" w:val="529"/>
          <w:jc w:val="center"/>
        </w:trPr>
        <w:tc>
          <w:tcPr>
            <w:tcW w:w="5528" w:type="dxa"/>
            <w:shd w:val="clear" w:color="auto" w:fill="auto"/>
            <w:vAlign w:val="bottom"/>
          </w:tcPr>
          <w:p w14:paraId="0176E4F0" w14:textId="77777777" w:rsidR="00587444" w:rsidRPr="00587444" w:rsidRDefault="00587444" w:rsidP="00587444">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Total financial assets at fair value through other comprehensive income</w:t>
            </w:r>
          </w:p>
        </w:tc>
        <w:tc>
          <w:tcPr>
            <w:tcW w:w="1276" w:type="dxa"/>
            <w:tcBorders>
              <w:top w:val="single" w:sz="12" w:space="0" w:color="auto"/>
              <w:left w:val="nil"/>
              <w:bottom w:val="single" w:sz="12" w:space="0" w:color="auto"/>
              <w:right w:val="nil"/>
            </w:tcBorders>
            <w:shd w:val="clear" w:color="auto" w:fill="auto"/>
            <w:vAlign w:val="bottom"/>
          </w:tcPr>
          <w:p w14:paraId="49398F4C" w14:textId="77777777" w:rsidR="00587444" w:rsidRPr="00587444" w:rsidRDefault="00587444" w:rsidP="00587444">
            <w:pPr>
              <w:tabs>
                <w:tab w:val="right" w:pos="1202"/>
              </w:tabs>
              <w:suppressAutoHyphens w:val="0"/>
              <w:autoSpaceDN/>
              <w:jc w:val="right"/>
              <w:outlineLvl w:val="0"/>
              <w:rPr>
                <w:rFonts w:ascii="Arial" w:hAnsi="Arial" w:cs="Arial"/>
                <w:b/>
                <w:sz w:val="17"/>
                <w:szCs w:val="17"/>
              </w:rPr>
            </w:pPr>
            <w:r w:rsidRPr="00587444">
              <w:rPr>
                <w:rFonts w:ascii="Arial" w:hAnsi="Arial" w:cs="Arial"/>
                <w:b/>
                <w:bCs/>
                <w:sz w:val="17"/>
                <w:szCs w:val="17"/>
              </w:rPr>
              <w:t>1,320,168</w:t>
            </w:r>
          </w:p>
        </w:tc>
        <w:tc>
          <w:tcPr>
            <w:tcW w:w="1276" w:type="dxa"/>
            <w:tcBorders>
              <w:top w:val="single" w:sz="12" w:space="0" w:color="auto"/>
              <w:left w:val="nil"/>
              <w:bottom w:val="single" w:sz="12" w:space="0" w:color="auto"/>
              <w:right w:val="nil"/>
            </w:tcBorders>
            <w:shd w:val="clear" w:color="auto" w:fill="auto"/>
            <w:vAlign w:val="bottom"/>
          </w:tcPr>
          <w:p w14:paraId="403B34B9" w14:textId="77777777" w:rsidR="00587444" w:rsidRPr="00587444" w:rsidRDefault="00587444" w:rsidP="00587444">
            <w:pPr>
              <w:tabs>
                <w:tab w:val="right" w:pos="1202"/>
              </w:tabs>
              <w:suppressAutoHyphens w:val="0"/>
              <w:autoSpaceDN/>
              <w:jc w:val="right"/>
              <w:outlineLvl w:val="0"/>
              <w:rPr>
                <w:rFonts w:ascii="Arial" w:hAnsi="Arial" w:cs="Arial"/>
                <w:b/>
                <w:sz w:val="17"/>
                <w:szCs w:val="17"/>
              </w:rPr>
            </w:pPr>
            <w:r w:rsidRPr="00587444">
              <w:rPr>
                <w:rFonts w:ascii="Arial" w:hAnsi="Arial" w:cs="Arial"/>
                <w:b/>
                <w:bCs/>
                <w:sz w:val="17"/>
                <w:szCs w:val="17"/>
              </w:rPr>
              <w:t>1,593,360</w:t>
            </w:r>
          </w:p>
        </w:tc>
        <w:tc>
          <w:tcPr>
            <w:tcW w:w="1304" w:type="dxa"/>
            <w:tcBorders>
              <w:top w:val="single" w:sz="12" w:space="0" w:color="auto"/>
              <w:left w:val="nil"/>
              <w:bottom w:val="single" w:sz="12" w:space="0" w:color="auto"/>
              <w:right w:val="nil"/>
            </w:tcBorders>
            <w:shd w:val="clear" w:color="auto" w:fill="auto"/>
            <w:vAlign w:val="bottom"/>
          </w:tcPr>
          <w:p w14:paraId="3A62618B" w14:textId="77777777" w:rsidR="00587444" w:rsidRPr="00587444" w:rsidRDefault="00587444" w:rsidP="00587444">
            <w:pPr>
              <w:tabs>
                <w:tab w:val="right" w:pos="1202"/>
              </w:tabs>
              <w:suppressAutoHyphens w:val="0"/>
              <w:autoSpaceDN/>
              <w:jc w:val="right"/>
              <w:outlineLvl w:val="0"/>
              <w:rPr>
                <w:rFonts w:ascii="Arial" w:hAnsi="Arial" w:cs="Arial"/>
                <w:b/>
                <w:sz w:val="17"/>
                <w:szCs w:val="17"/>
              </w:rPr>
            </w:pPr>
            <w:r w:rsidRPr="00587444">
              <w:rPr>
                <w:rFonts w:ascii="Arial" w:hAnsi="Arial" w:cs="Arial"/>
                <w:b/>
                <w:bCs/>
                <w:sz w:val="17"/>
                <w:szCs w:val="17"/>
              </w:rPr>
              <w:t>2,176</w:t>
            </w:r>
          </w:p>
        </w:tc>
      </w:tr>
    </w:tbl>
    <w:p w14:paraId="4C0B2AAD"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637104CA"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01D1A057"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sectPr w:rsidR="00587444" w:rsidRPr="00587444" w:rsidSect="00DD69E7">
          <w:pgSz w:w="11907" w:h="16840" w:code="9"/>
          <w:pgMar w:top="1418" w:right="1134" w:bottom="1134" w:left="1418" w:header="851" w:footer="851" w:gutter="0"/>
          <w:cols w:space="720"/>
          <w:noEndnote/>
        </w:sectPr>
      </w:pPr>
    </w:p>
    <w:p w14:paraId="6200CCBF"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53BB9C7F"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 xml:space="preserve">32. </w:t>
      </w:r>
      <w:r w:rsidRPr="00587444">
        <w:rPr>
          <w:rFonts w:ascii="Arial" w:hAnsi="Arial" w:cs="Arial"/>
          <w:b/>
          <w:bCs/>
          <w:spacing w:val="-3"/>
          <w:sz w:val="20"/>
          <w:szCs w:val="20"/>
          <w:lang w:val="en-GB"/>
        </w:rPr>
        <w:tab/>
        <w:t>Fair value of financial assets and financial liabilities (continued)</w:t>
      </w:r>
    </w:p>
    <w:p w14:paraId="5F6F8E33"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55AF211A"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 xml:space="preserve">32.1.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3A95D5D6"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21394218"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r w:rsidRPr="00587444">
        <w:rPr>
          <w:rFonts w:ascii="Arial" w:hAnsi="Arial" w:cs="Arial"/>
          <w:b/>
          <w:spacing w:val="-3"/>
          <w:sz w:val="20"/>
          <w:szCs w:val="20"/>
          <w:lang w:val="en-GB"/>
        </w:rPr>
        <w:t>32.1.1.</w:t>
      </w:r>
      <w:r w:rsidRPr="00587444">
        <w:rPr>
          <w:rFonts w:ascii="Arial" w:hAnsi="Arial" w:cs="Arial"/>
          <w:sz w:val="20"/>
          <w:szCs w:val="20"/>
        </w:rPr>
        <w:t xml:space="preserve"> </w:t>
      </w:r>
      <w:r w:rsidRPr="00587444">
        <w:rPr>
          <w:rFonts w:ascii="Arial" w:hAnsi="Arial" w:cs="Arial"/>
          <w:b/>
          <w:spacing w:val="-3"/>
          <w:sz w:val="20"/>
          <w:szCs w:val="20"/>
          <w:lang w:val="en-GB"/>
        </w:rPr>
        <w:t>Level 3 - fair value</w:t>
      </w:r>
    </w:p>
    <w:p w14:paraId="2CA953E8"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7704C62B" w14:textId="77777777" w:rsidR="00587444" w:rsidRPr="00587444" w:rsidRDefault="00587444" w:rsidP="00587444">
      <w:pPr>
        <w:tabs>
          <w:tab w:val="left" w:pos="709"/>
        </w:tabs>
        <w:suppressAutoHyphens w:val="0"/>
        <w:autoSpaceDN/>
        <w:jc w:val="both"/>
        <w:rPr>
          <w:rFonts w:ascii="Arial" w:hAnsi="Arial" w:cs="Arial"/>
          <w:b/>
          <w:i/>
          <w:spacing w:val="-3"/>
          <w:sz w:val="20"/>
          <w:szCs w:val="20"/>
          <w:lang w:val="en-GB"/>
        </w:rPr>
      </w:pPr>
      <w:r w:rsidRPr="00587444">
        <w:rPr>
          <w:rFonts w:ascii="Arial" w:hAnsi="Arial" w:cs="Arial"/>
          <w:b/>
          <w:i/>
          <w:spacing w:val="-3"/>
          <w:sz w:val="20"/>
          <w:szCs w:val="20"/>
          <w:lang w:val="en-GB"/>
        </w:rPr>
        <w:t>a)  Mezzanine loans</w:t>
      </w:r>
    </w:p>
    <w:p w14:paraId="0D334620"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0315FFB0" w14:textId="77777777"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For the assessment of fair value of mezzanine loans, the method of discounting expected future cash flows is used.</w:t>
      </w:r>
    </w:p>
    <w:p w14:paraId="7DFEB00A" w14:textId="77777777"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Due to their contractual characteristics, mezzanine loans do not pass the SPPI test. Characteristics due to which mezzanine loans do not pass the SPPI test are as follows:</w:t>
      </w:r>
    </w:p>
    <w:p w14:paraId="2EB47D2D" w14:textId="77777777" w:rsidR="00587444" w:rsidRPr="00587444" w:rsidRDefault="00587444" w:rsidP="007B030C">
      <w:pPr>
        <w:tabs>
          <w:tab w:val="left" w:pos="709"/>
        </w:tabs>
        <w:autoSpaceDN/>
        <w:jc w:val="both"/>
        <w:rPr>
          <w:rFonts w:ascii="Arial" w:hAnsi="Arial" w:cs="Arial"/>
          <w:spacing w:val="-3"/>
          <w:sz w:val="20"/>
          <w:szCs w:val="20"/>
          <w:lang w:val="en-GB"/>
        </w:rPr>
      </w:pPr>
    </w:p>
    <w:p w14:paraId="5D32F665" w14:textId="77777777" w:rsidR="00587444" w:rsidRPr="00587444" w:rsidRDefault="00587444" w:rsidP="007B030C">
      <w:pPr>
        <w:tabs>
          <w:tab w:val="left" w:pos="709"/>
          <w:tab w:val="left" w:pos="1276"/>
        </w:tabs>
        <w:autoSpaceDN/>
        <w:ind w:left="1276" w:hanging="283"/>
        <w:jc w:val="both"/>
        <w:rPr>
          <w:rFonts w:ascii="Arial" w:hAnsi="Arial" w:cs="Arial"/>
          <w:spacing w:val="-3"/>
          <w:sz w:val="20"/>
          <w:szCs w:val="20"/>
          <w:lang w:val="en-GB"/>
        </w:rPr>
      </w:pPr>
      <w:r w:rsidRPr="00587444">
        <w:rPr>
          <w:rFonts w:ascii="Arial" w:hAnsi="Arial" w:cs="Arial"/>
          <w:spacing w:val="-3"/>
          <w:sz w:val="20"/>
          <w:szCs w:val="20"/>
          <w:lang w:val="en-GB"/>
        </w:rPr>
        <w:t>-</w:t>
      </w:r>
      <w:r w:rsidRPr="00587444">
        <w:rPr>
          <w:rFonts w:ascii="Arial" w:hAnsi="Arial" w:cs="Arial"/>
          <w:spacing w:val="-3"/>
          <w:sz w:val="20"/>
          <w:szCs w:val="20"/>
          <w:lang w:val="en-GB"/>
        </w:rPr>
        <w:tab/>
        <w:t>the debtor has the right of premature repayment of mezzanine debt to the creditor,</w:t>
      </w:r>
    </w:p>
    <w:p w14:paraId="072372BC" w14:textId="77777777" w:rsidR="00587444" w:rsidRPr="00587444" w:rsidRDefault="00587444" w:rsidP="007B030C">
      <w:pPr>
        <w:tabs>
          <w:tab w:val="left" w:pos="709"/>
          <w:tab w:val="left" w:pos="1276"/>
        </w:tabs>
        <w:autoSpaceDN/>
        <w:ind w:left="1276" w:hanging="283"/>
        <w:jc w:val="both"/>
        <w:rPr>
          <w:rFonts w:ascii="Arial" w:hAnsi="Arial" w:cs="Arial"/>
          <w:spacing w:val="-3"/>
          <w:sz w:val="20"/>
          <w:szCs w:val="20"/>
          <w:lang w:val="en-GB"/>
        </w:rPr>
      </w:pPr>
      <w:r w:rsidRPr="00587444">
        <w:rPr>
          <w:rFonts w:ascii="Arial" w:hAnsi="Arial" w:cs="Arial"/>
          <w:spacing w:val="-3"/>
          <w:sz w:val="20"/>
          <w:szCs w:val="20"/>
          <w:lang w:val="en-GB"/>
        </w:rPr>
        <w:t>-</w:t>
      </w:r>
      <w:r w:rsidRPr="00587444">
        <w:rPr>
          <w:rFonts w:ascii="Arial" w:hAnsi="Arial" w:cs="Arial"/>
          <w:spacing w:val="-3"/>
          <w:sz w:val="20"/>
          <w:szCs w:val="20"/>
          <w:lang w:val="en-GB"/>
        </w:rPr>
        <w:tab/>
        <w:t xml:space="preserve">in the case of realisation of contractually defined indicators of the debtor’s performance (debtor’s net debt to average EBITDA ratio for the previous three years must be lower than the limit) over the predetermined period, creditor of the mezzanine debt has the right, but not the obligation, to covert a mezzanine debt to a „senior </w:t>
      </w:r>
      <w:proofErr w:type="gramStart"/>
      <w:r w:rsidRPr="00587444">
        <w:rPr>
          <w:rFonts w:ascii="Arial" w:hAnsi="Arial" w:cs="Arial"/>
          <w:spacing w:val="-3"/>
          <w:sz w:val="20"/>
          <w:szCs w:val="20"/>
          <w:lang w:val="en-GB"/>
        </w:rPr>
        <w:t>debt“</w:t>
      </w:r>
      <w:proofErr w:type="gramEnd"/>
      <w:r w:rsidRPr="00587444">
        <w:rPr>
          <w:rFonts w:ascii="Arial" w:hAnsi="Arial" w:cs="Arial"/>
          <w:spacing w:val="-3"/>
          <w:sz w:val="20"/>
          <w:szCs w:val="20"/>
          <w:lang w:val="en-GB"/>
        </w:rPr>
        <w:t>,</w:t>
      </w:r>
    </w:p>
    <w:p w14:paraId="75F55B4E" w14:textId="77777777" w:rsidR="00587444" w:rsidRPr="00587444" w:rsidRDefault="00587444" w:rsidP="007B030C">
      <w:pPr>
        <w:tabs>
          <w:tab w:val="left" w:pos="709"/>
          <w:tab w:val="left" w:pos="1276"/>
        </w:tabs>
        <w:autoSpaceDN/>
        <w:ind w:left="1276" w:hanging="283"/>
        <w:jc w:val="both"/>
        <w:rPr>
          <w:rFonts w:ascii="Arial" w:hAnsi="Arial" w:cs="Arial"/>
          <w:spacing w:val="-3"/>
          <w:sz w:val="20"/>
          <w:szCs w:val="20"/>
          <w:lang w:val="en-GB"/>
        </w:rPr>
      </w:pPr>
      <w:r w:rsidRPr="00587444">
        <w:rPr>
          <w:rFonts w:ascii="Arial" w:hAnsi="Arial" w:cs="Arial"/>
          <w:spacing w:val="-3"/>
          <w:sz w:val="20"/>
          <w:szCs w:val="20"/>
          <w:lang w:val="en-GB"/>
        </w:rPr>
        <w:t>-</w:t>
      </w:r>
      <w:r w:rsidRPr="00587444">
        <w:rPr>
          <w:rFonts w:ascii="Arial" w:hAnsi="Arial" w:cs="Arial"/>
          <w:spacing w:val="-3"/>
          <w:sz w:val="20"/>
          <w:szCs w:val="20"/>
          <w:lang w:val="en-GB"/>
        </w:rPr>
        <w:tab/>
        <w:t>the creditor of the mezzanine debt has the right, but not the obligation, to require from the debtor, to pay the due amount of mezzanine debt into the debtor’s equity (increase in equity capital of the debtor by the entry of right-claim)</w:t>
      </w:r>
    </w:p>
    <w:p w14:paraId="60BCA456" w14:textId="77777777" w:rsidR="00587444" w:rsidRPr="00587444" w:rsidRDefault="00587444" w:rsidP="007B030C">
      <w:pPr>
        <w:tabs>
          <w:tab w:val="left" w:pos="709"/>
          <w:tab w:val="left" w:pos="1276"/>
        </w:tabs>
        <w:autoSpaceDN/>
        <w:ind w:left="1276" w:hanging="283"/>
        <w:jc w:val="both"/>
        <w:rPr>
          <w:rFonts w:ascii="Arial" w:hAnsi="Arial" w:cs="Arial"/>
          <w:spacing w:val="-3"/>
          <w:sz w:val="20"/>
          <w:szCs w:val="20"/>
          <w:lang w:val="en-GB"/>
        </w:rPr>
      </w:pPr>
      <w:r w:rsidRPr="00587444">
        <w:rPr>
          <w:rFonts w:ascii="Arial" w:hAnsi="Arial" w:cs="Arial"/>
          <w:spacing w:val="-3"/>
          <w:sz w:val="20"/>
          <w:szCs w:val="20"/>
          <w:lang w:val="en-GB"/>
        </w:rPr>
        <w:t>-</w:t>
      </w:r>
      <w:r w:rsidRPr="00587444">
        <w:rPr>
          <w:rFonts w:ascii="Arial" w:hAnsi="Arial" w:cs="Arial"/>
          <w:spacing w:val="-3"/>
          <w:sz w:val="20"/>
          <w:szCs w:val="20"/>
          <w:lang w:val="en-GB"/>
        </w:rPr>
        <w:tab/>
        <w:t>the debtor has the option to close the debt through refinancing by another creditor</w:t>
      </w:r>
    </w:p>
    <w:p w14:paraId="3FF971C0" w14:textId="77777777" w:rsidR="00587444" w:rsidRPr="00587444" w:rsidRDefault="00587444" w:rsidP="007B030C">
      <w:pPr>
        <w:tabs>
          <w:tab w:val="left" w:pos="709"/>
          <w:tab w:val="left" w:pos="1276"/>
        </w:tabs>
        <w:autoSpaceDN/>
        <w:ind w:left="1276" w:hanging="283"/>
        <w:jc w:val="both"/>
        <w:rPr>
          <w:rFonts w:ascii="Arial" w:hAnsi="Arial" w:cs="Arial"/>
          <w:spacing w:val="-3"/>
          <w:sz w:val="20"/>
          <w:szCs w:val="20"/>
          <w:lang w:val="en-GB"/>
        </w:rPr>
      </w:pPr>
      <w:r w:rsidRPr="00587444">
        <w:rPr>
          <w:rFonts w:ascii="Arial" w:hAnsi="Arial" w:cs="Arial"/>
          <w:spacing w:val="-3"/>
          <w:sz w:val="20"/>
          <w:szCs w:val="20"/>
          <w:lang w:val="en-GB"/>
        </w:rPr>
        <w:t>-    if all the possibilities of mezzanine debt closing have not been implemented, the mezzanine debt can be closed from the sale of assets owned by the debtor and</w:t>
      </w:r>
    </w:p>
    <w:p w14:paraId="5F8DABEA" w14:textId="77777777" w:rsidR="00587444" w:rsidRPr="00587444" w:rsidRDefault="00587444" w:rsidP="007B030C">
      <w:pPr>
        <w:tabs>
          <w:tab w:val="left" w:pos="709"/>
          <w:tab w:val="left" w:pos="1276"/>
        </w:tabs>
        <w:autoSpaceDN/>
        <w:ind w:left="1276" w:hanging="283"/>
        <w:jc w:val="both"/>
        <w:rPr>
          <w:rFonts w:ascii="Arial" w:hAnsi="Arial" w:cs="Arial"/>
          <w:spacing w:val="-3"/>
          <w:sz w:val="20"/>
          <w:szCs w:val="20"/>
          <w:lang w:val="en-GB"/>
        </w:rPr>
      </w:pPr>
      <w:r w:rsidRPr="00587444">
        <w:rPr>
          <w:rFonts w:ascii="Arial" w:hAnsi="Arial" w:cs="Arial"/>
          <w:spacing w:val="-3"/>
          <w:sz w:val="20"/>
          <w:szCs w:val="20"/>
          <w:lang w:val="en-GB"/>
        </w:rPr>
        <w:t xml:space="preserve">-   in case of premature closing of mezzanine debt by repayment, refinancing or converting the mezzanine debt into equity, interest on mezzanine debt is calculated from the date of premature closing of mezzanine debt, </w:t>
      </w:r>
      <w:proofErr w:type="gramStart"/>
      <w:r w:rsidRPr="00587444">
        <w:rPr>
          <w:rFonts w:ascii="Arial" w:hAnsi="Arial" w:cs="Arial"/>
          <w:spacing w:val="-3"/>
          <w:sz w:val="20"/>
          <w:szCs w:val="20"/>
          <w:lang w:val="en-GB"/>
        </w:rPr>
        <w:t>i.e.</w:t>
      </w:r>
      <w:proofErr w:type="gramEnd"/>
      <w:r w:rsidRPr="00587444">
        <w:rPr>
          <w:rFonts w:ascii="Arial" w:hAnsi="Arial" w:cs="Arial"/>
          <w:spacing w:val="-3"/>
          <w:sz w:val="20"/>
          <w:szCs w:val="20"/>
          <w:lang w:val="en-GB"/>
        </w:rPr>
        <w:t xml:space="preserve"> until mezzanine debt exists in such form.</w:t>
      </w:r>
    </w:p>
    <w:p w14:paraId="59090FB1" w14:textId="77777777" w:rsidR="00587444" w:rsidRPr="00587444" w:rsidRDefault="00587444" w:rsidP="007B030C">
      <w:pPr>
        <w:tabs>
          <w:tab w:val="left" w:pos="709"/>
          <w:tab w:val="left" w:pos="1276"/>
        </w:tabs>
        <w:autoSpaceDN/>
        <w:jc w:val="both"/>
        <w:rPr>
          <w:rFonts w:ascii="Arial" w:hAnsi="Arial" w:cs="Arial"/>
          <w:spacing w:val="-3"/>
          <w:sz w:val="20"/>
          <w:szCs w:val="20"/>
          <w:lang w:val="en-GB"/>
        </w:rPr>
      </w:pPr>
    </w:p>
    <w:p w14:paraId="4BABD16B" w14:textId="77777777" w:rsidR="00587444" w:rsidRPr="00AE4D68" w:rsidRDefault="00587444" w:rsidP="007B030C">
      <w:pPr>
        <w:tabs>
          <w:tab w:val="left" w:pos="709"/>
        </w:tabs>
        <w:autoSpaceDN/>
        <w:jc w:val="both"/>
        <w:rPr>
          <w:rFonts w:ascii="Arial" w:hAnsi="Arial" w:cs="Arial"/>
          <w:iCs/>
          <w:spacing w:val="-3"/>
          <w:sz w:val="20"/>
          <w:szCs w:val="20"/>
          <w:lang w:val="en-GB"/>
        </w:rPr>
      </w:pPr>
      <w:r w:rsidRPr="00AE4D68">
        <w:rPr>
          <w:rFonts w:ascii="Arial" w:hAnsi="Arial" w:cs="Arial"/>
          <w:iCs/>
          <w:spacing w:val="-3"/>
          <w:sz w:val="20"/>
          <w:szCs w:val="20"/>
          <w:lang w:val="en-GB"/>
        </w:rPr>
        <w:t>Due to the above-mentioned characteristics of the mezzanine loan, the assessment of fair value of these loans was carried out in accordance with the precautionary principle, according to which income is recognised only when it is actually incurred, and expenses also when they are possible, under the assumption that the regular operations of debtor are continued in the future. This is a situation in which the Group would, upon the final maturity of the mezzanine loan, convert its receivables into the debtor’s equity.</w:t>
      </w:r>
    </w:p>
    <w:p w14:paraId="198DC0BA" w14:textId="77777777" w:rsidR="00587444" w:rsidRPr="00AE4D68" w:rsidRDefault="00587444" w:rsidP="007B030C">
      <w:pPr>
        <w:tabs>
          <w:tab w:val="left" w:pos="709"/>
        </w:tabs>
        <w:autoSpaceDN/>
        <w:jc w:val="both"/>
        <w:rPr>
          <w:rFonts w:ascii="Arial" w:hAnsi="Arial" w:cs="Arial"/>
          <w:iCs/>
          <w:spacing w:val="-3"/>
          <w:sz w:val="20"/>
          <w:szCs w:val="20"/>
          <w:lang w:val="en-GB"/>
        </w:rPr>
      </w:pPr>
    </w:p>
    <w:p w14:paraId="6E2764A7" w14:textId="77777777" w:rsidR="00587444" w:rsidRPr="00AE4D68" w:rsidRDefault="00587444" w:rsidP="007B030C">
      <w:pPr>
        <w:tabs>
          <w:tab w:val="left" w:pos="709"/>
        </w:tabs>
        <w:autoSpaceDN/>
        <w:jc w:val="both"/>
        <w:rPr>
          <w:rFonts w:ascii="Arial" w:hAnsi="Arial" w:cs="Arial"/>
          <w:iCs/>
          <w:spacing w:val="-3"/>
          <w:sz w:val="20"/>
          <w:szCs w:val="20"/>
          <w:lang w:val="en-GB"/>
        </w:rPr>
      </w:pPr>
      <w:r w:rsidRPr="00AE4D68">
        <w:rPr>
          <w:rFonts w:ascii="Arial" w:hAnsi="Arial" w:cs="Arial"/>
          <w:iCs/>
          <w:spacing w:val="-3"/>
          <w:sz w:val="20"/>
          <w:szCs w:val="20"/>
          <w:lang w:val="en-GB"/>
        </w:rPr>
        <w:t xml:space="preserve">On 31 December 2022, the market price of ordinary shares of the debtor that the Bank could subscribe amounted to HRK 22,831 thousand, </w:t>
      </w:r>
      <w:proofErr w:type="gramStart"/>
      <w:r w:rsidRPr="00AE4D68">
        <w:rPr>
          <w:rFonts w:ascii="Arial" w:hAnsi="Arial" w:cs="Arial"/>
          <w:iCs/>
          <w:spacing w:val="-3"/>
          <w:sz w:val="20"/>
          <w:szCs w:val="20"/>
          <w:lang w:val="en-GB"/>
        </w:rPr>
        <w:t>assuming that</w:t>
      </w:r>
      <w:proofErr w:type="gramEnd"/>
      <w:r w:rsidRPr="00AE4D68">
        <w:rPr>
          <w:rFonts w:ascii="Arial" w:hAnsi="Arial" w:cs="Arial"/>
          <w:iCs/>
          <w:spacing w:val="-3"/>
          <w:sz w:val="20"/>
          <w:szCs w:val="20"/>
          <w:lang w:val="en-GB"/>
        </w:rPr>
        <w:t xml:space="preserve"> the market price of the shares included all market expectations related to future operations of the issuer. Given that the calculation was made on the assumption that the debtor’s mezzanine debt had been converted into the debtor’s equity on 31 December 2022, there is no need to discount the market value of the debtor’s ordinary shares that the Bank could subscribe and in this way of settlement, the estimated fair value of the mezzanine loan on 31 December 2022 amounted to HRK 22,831 thousand, i.e. USD 3,232 thousand at the exchange rate on 31 December 2022.</w:t>
      </w:r>
    </w:p>
    <w:p w14:paraId="784D46A3" w14:textId="77777777" w:rsidR="00587444" w:rsidRPr="00587444" w:rsidRDefault="00587444" w:rsidP="007B030C">
      <w:pPr>
        <w:tabs>
          <w:tab w:val="left" w:pos="709"/>
        </w:tabs>
        <w:autoSpaceDN/>
        <w:jc w:val="both"/>
        <w:rPr>
          <w:rFonts w:ascii="Arial" w:hAnsi="Arial" w:cs="Arial"/>
          <w:spacing w:val="-3"/>
          <w:sz w:val="20"/>
          <w:szCs w:val="20"/>
          <w:lang w:val="en-GB"/>
        </w:rPr>
      </w:pPr>
    </w:p>
    <w:p w14:paraId="479BD1AD" w14:textId="77777777"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Based on the Decision in the pre-bankruptcy proceedings, HBOR took over 50% of the debtor's claims as senior debt and 50% of claims as mezzanine debt. Mezzanine debt is stated in the amount of HRK 22,831 thousand.</w:t>
      </w:r>
    </w:p>
    <w:p w14:paraId="3FC7BA6E" w14:textId="77777777" w:rsidR="00587444" w:rsidRPr="00587444" w:rsidRDefault="00587444" w:rsidP="007B030C">
      <w:pPr>
        <w:tabs>
          <w:tab w:val="left" w:pos="709"/>
        </w:tabs>
        <w:autoSpaceDN/>
        <w:jc w:val="both"/>
        <w:rPr>
          <w:rFonts w:ascii="Arial" w:hAnsi="Arial" w:cs="Arial"/>
          <w:spacing w:val="-3"/>
          <w:sz w:val="20"/>
          <w:szCs w:val="20"/>
          <w:lang w:val="en-GB"/>
        </w:rPr>
      </w:pPr>
    </w:p>
    <w:p w14:paraId="6C47ECF8" w14:textId="6A4517E8" w:rsidR="00587444" w:rsidRPr="00587444" w:rsidRDefault="00587444" w:rsidP="007B030C">
      <w:pPr>
        <w:tabs>
          <w:tab w:val="left" w:pos="284"/>
        </w:tabs>
        <w:autoSpaceDN/>
        <w:jc w:val="both"/>
        <w:rPr>
          <w:rFonts w:ascii="Arial" w:hAnsi="Arial" w:cs="Arial"/>
          <w:b/>
          <w:i/>
          <w:spacing w:val="-3"/>
          <w:sz w:val="20"/>
          <w:szCs w:val="20"/>
          <w:lang w:val="en-GB"/>
        </w:rPr>
      </w:pPr>
      <w:r w:rsidRPr="00587444">
        <w:rPr>
          <w:rFonts w:ascii="Arial" w:hAnsi="Arial" w:cs="Arial"/>
          <w:b/>
          <w:i/>
          <w:spacing w:val="-3"/>
          <w:sz w:val="20"/>
          <w:szCs w:val="20"/>
          <w:lang w:val="en-GB"/>
        </w:rPr>
        <w:t>b)</w:t>
      </w:r>
      <w:r w:rsidRPr="00587444">
        <w:rPr>
          <w:rFonts w:ascii="Arial" w:hAnsi="Arial" w:cs="Arial"/>
          <w:b/>
          <w:i/>
          <w:spacing w:val="-3"/>
          <w:sz w:val="20"/>
          <w:szCs w:val="20"/>
          <w:lang w:val="en-GB"/>
        </w:rPr>
        <w:tab/>
      </w:r>
      <w:proofErr w:type="gramStart"/>
      <w:r w:rsidRPr="00587444">
        <w:rPr>
          <w:rFonts w:ascii="Arial" w:hAnsi="Arial" w:cs="Arial"/>
          <w:b/>
          <w:i/>
          <w:spacing w:val="-3"/>
          <w:sz w:val="20"/>
          <w:szCs w:val="20"/>
          <w:lang w:val="en-GB"/>
        </w:rPr>
        <w:t>Corporate</w:t>
      </w:r>
      <w:proofErr w:type="gramEnd"/>
      <w:r w:rsidRPr="00587444">
        <w:rPr>
          <w:rFonts w:ascii="Arial" w:hAnsi="Arial" w:cs="Arial"/>
          <w:b/>
          <w:i/>
          <w:spacing w:val="-3"/>
          <w:sz w:val="20"/>
          <w:szCs w:val="20"/>
          <w:lang w:val="en-GB"/>
        </w:rPr>
        <w:t xml:space="preserve"> bonds that are allocated to </w:t>
      </w:r>
      <w:r w:rsidR="00943B2E">
        <w:rPr>
          <w:rFonts w:ascii="Arial" w:hAnsi="Arial" w:cs="Arial"/>
          <w:b/>
          <w:i/>
          <w:spacing w:val="-3"/>
          <w:sz w:val="20"/>
          <w:szCs w:val="20"/>
          <w:lang w:val="en-GB"/>
        </w:rPr>
        <w:t>Level</w:t>
      </w:r>
      <w:r w:rsidRPr="00587444">
        <w:rPr>
          <w:rFonts w:ascii="Arial" w:hAnsi="Arial" w:cs="Arial"/>
          <w:b/>
          <w:i/>
          <w:spacing w:val="-3"/>
          <w:sz w:val="20"/>
          <w:szCs w:val="20"/>
          <w:lang w:val="en-GB"/>
        </w:rPr>
        <w:t xml:space="preserve"> 3</w:t>
      </w:r>
    </w:p>
    <w:p w14:paraId="1E5ACC39" w14:textId="77777777" w:rsidR="00587444" w:rsidRPr="00587444" w:rsidRDefault="00587444" w:rsidP="007B030C">
      <w:pPr>
        <w:tabs>
          <w:tab w:val="left" w:pos="709"/>
        </w:tabs>
        <w:autoSpaceDN/>
        <w:jc w:val="both"/>
        <w:rPr>
          <w:rFonts w:ascii="Arial" w:hAnsi="Arial" w:cs="Arial"/>
          <w:spacing w:val="-3"/>
          <w:sz w:val="20"/>
          <w:szCs w:val="20"/>
          <w:lang w:val="en-GB"/>
        </w:rPr>
      </w:pPr>
    </w:p>
    <w:p w14:paraId="1C59705D" w14:textId="77777777" w:rsidR="00587444" w:rsidRPr="00587444" w:rsidRDefault="00587444" w:rsidP="007B030C">
      <w:pPr>
        <w:tabs>
          <w:tab w:val="left" w:pos="709"/>
        </w:tabs>
        <w:autoSpaceDN/>
        <w:jc w:val="both"/>
        <w:rPr>
          <w:rFonts w:ascii="Arial" w:hAnsi="Arial" w:cs="Arial"/>
          <w:i/>
          <w:spacing w:val="-3"/>
          <w:sz w:val="20"/>
          <w:szCs w:val="20"/>
          <w:lang w:val="en-GB"/>
        </w:rPr>
      </w:pPr>
      <w:r w:rsidRPr="00587444">
        <w:rPr>
          <w:rFonts w:ascii="Arial" w:hAnsi="Arial" w:cs="Arial"/>
          <w:i/>
          <w:spacing w:val="-3"/>
          <w:sz w:val="20"/>
          <w:szCs w:val="20"/>
          <w:lang w:val="en-GB"/>
        </w:rPr>
        <w:t>(i) Techniques of valuation and significant input data that are not visible</w:t>
      </w:r>
    </w:p>
    <w:p w14:paraId="2E386878" w14:textId="77777777" w:rsidR="00587444" w:rsidRPr="00587444" w:rsidRDefault="00587444" w:rsidP="007B030C">
      <w:pPr>
        <w:tabs>
          <w:tab w:val="left" w:pos="709"/>
        </w:tabs>
        <w:autoSpaceDN/>
        <w:jc w:val="both"/>
        <w:rPr>
          <w:rFonts w:ascii="Arial" w:hAnsi="Arial" w:cs="Arial"/>
          <w:i/>
          <w:spacing w:val="-3"/>
          <w:sz w:val="20"/>
          <w:szCs w:val="20"/>
          <w:lang w:val="en-GB"/>
        </w:rPr>
      </w:pPr>
    </w:p>
    <w:p w14:paraId="450C7E6A" w14:textId="77777777"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 xml:space="preserve">For the assessment of fair value of illiquid corporate bonds in the HBOR portfolio, the method of discounted cash flow of bonds is used. The fair value of bonds is the present value of all future cash flows of bonds calculated by applying the discount rate defined as yield on risk-free investments increased by the premium of specific credit risk for the respective bond and the premium for bond liquidity risk. </w:t>
      </w:r>
    </w:p>
    <w:p w14:paraId="0B5A728A" w14:textId="77777777" w:rsidR="00587444" w:rsidRPr="00587444" w:rsidRDefault="00587444" w:rsidP="00587444">
      <w:pPr>
        <w:tabs>
          <w:tab w:val="left" w:pos="709"/>
        </w:tabs>
        <w:suppressAutoHyphens w:val="0"/>
        <w:autoSpaceDN/>
        <w:jc w:val="both"/>
        <w:rPr>
          <w:rFonts w:ascii="Arial" w:hAnsi="Arial" w:cs="Arial"/>
          <w:spacing w:val="-3"/>
          <w:sz w:val="20"/>
          <w:szCs w:val="20"/>
          <w:lang w:val="en-GB"/>
        </w:rPr>
      </w:pPr>
    </w:p>
    <w:p w14:paraId="27E8DD4B" w14:textId="77777777" w:rsidR="00587444" w:rsidRPr="00587444" w:rsidRDefault="00587444" w:rsidP="00587444">
      <w:pPr>
        <w:tabs>
          <w:tab w:val="left" w:pos="709"/>
        </w:tabs>
        <w:suppressAutoHyphens w:val="0"/>
        <w:autoSpaceDN/>
        <w:jc w:val="both"/>
        <w:rPr>
          <w:rFonts w:ascii="Arial" w:hAnsi="Arial" w:cs="Arial"/>
          <w:spacing w:val="-3"/>
          <w:sz w:val="20"/>
          <w:szCs w:val="20"/>
          <w:lang w:val="en-GB"/>
        </w:rPr>
        <w:sectPr w:rsidR="00587444" w:rsidRPr="00587444" w:rsidSect="00DD69E7">
          <w:pgSz w:w="11907" w:h="16840" w:code="9"/>
          <w:pgMar w:top="1418" w:right="1134" w:bottom="1134" w:left="1418" w:header="851" w:footer="851" w:gutter="0"/>
          <w:cols w:space="720"/>
          <w:noEndnote/>
        </w:sectPr>
      </w:pPr>
      <w:r w:rsidRPr="00587444">
        <w:rPr>
          <w:rFonts w:ascii="Arial" w:hAnsi="Arial" w:cs="Arial"/>
          <w:spacing w:val="-3"/>
          <w:sz w:val="20"/>
          <w:szCs w:val="20"/>
          <w:lang w:val="en-GB"/>
        </w:rPr>
        <w:t xml:space="preserve">. </w:t>
      </w:r>
    </w:p>
    <w:p w14:paraId="2B7E52D3" w14:textId="77777777" w:rsidR="00587444" w:rsidRPr="00587444" w:rsidRDefault="00587444" w:rsidP="00587444">
      <w:pPr>
        <w:tabs>
          <w:tab w:val="left" w:pos="709"/>
        </w:tabs>
        <w:suppressAutoHyphens w:val="0"/>
        <w:autoSpaceDN/>
        <w:jc w:val="both"/>
        <w:rPr>
          <w:rFonts w:ascii="Arial" w:hAnsi="Arial" w:cs="Arial"/>
          <w:spacing w:val="-3"/>
          <w:sz w:val="20"/>
          <w:szCs w:val="20"/>
          <w:lang w:val="en-GB"/>
        </w:rPr>
      </w:pPr>
    </w:p>
    <w:p w14:paraId="283C348E"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r w:rsidRPr="00587444">
        <w:rPr>
          <w:rFonts w:ascii="Arial" w:hAnsi="Arial" w:cs="Arial"/>
          <w:b/>
          <w:spacing w:val="-3"/>
          <w:sz w:val="20"/>
          <w:szCs w:val="20"/>
          <w:lang w:val="en-GB"/>
        </w:rPr>
        <w:t xml:space="preserve">32. </w:t>
      </w:r>
      <w:r w:rsidRPr="00587444">
        <w:rPr>
          <w:rFonts w:ascii="Arial" w:hAnsi="Arial" w:cs="Arial"/>
          <w:b/>
          <w:spacing w:val="-3"/>
          <w:sz w:val="20"/>
          <w:szCs w:val="20"/>
          <w:lang w:val="en-GB"/>
        </w:rPr>
        <w:tab/>
        <w:t>Fair value of financial assets and financial liabilities (continued)</w:t>
      </w:r>
    </w:p>
    <w:p w14:paraId="28B90580"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5D14D824"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r w:rsidRPr="00587444">
        <w:rPr>
          <w:rFonts w:ascii="Arial" w:hAnsi="Arial" w:cs="Arial"/>
          <w:b/>
          <w:spacing w:val="-3"/>
          <w:sz w:val="20"/>
          <w:szCs w:val="20"/>
          <w:lang w:val="en-GB"/>
        </w:rPr>
        <w:t xml:space="preserve">32.1. </w:t>
      </w:r>
      <w:r w:rsidRPr="00587444">
        <w:rPr>
          <w:rFonts w:ascii="Arial" w:hAnsi="Arial" w:cs="Arial"/>
          <w:b/>
          <w:spacing w:val="-3"/>
          <w:sz w:val="20"/>
          <w:szCs w:val="20"/>
          <w:lang w:val="en-GB"/>
        </w:rPr>
        <w:tab/>
        <w:t>Fair value of financial assets and financial liabilities initially recognized and measured at fair value (continued)</w:t>
      </w:r>
    </w:p>
    <w:p w14:paraId="03B4B25A"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462ACEEF"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r w:rsidRPr="00587444">
        <w:rPr>
          <w:rFonts w:ascii="Arial" w:hAnsi="Arial" w:cs="Arial"/>
          <w:b/>
          <w:spacing w:val="-3"/>
          <w:sz w:val="20"/>
          <w:szCs w:val="20"/>
          <w:lang w:val="en-GB"/>
        </w:rPr>
        <w:t>32.1.1. Level 3 - fair value (continued)</w:t>
      </w:r>
    </w:p>
    <w:p w14:paraId="73516F0D"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161E49D3" w14:textId="280F56A1" w:rsidR="00587444" w:rsidRPr="00587444" w:rsidRDefault="00587444" w:rsidP="00587444">
      <w:pPr>
        <w:tabs>
          <w:tab w:val="left" w:pos="284"/>
        </w:tabs>
        <w:suppressAutoHyphens w:val="0"/>
        <w:autoSpaceDN/>
        <w:jc w:val="both"/>
        <w:rPr>
          <w:rFonts w:ascii="Arial" w:hAnsi="Arial" w:cs="Arial"/>
          <w:b/>
          <w:i/>
          <w:spacing w:val="-3"/>
          <w:sz w:val="20"/>
          <w:szCs w:val="20"/>
          <w:lang w:val="en-GB"/>
        </w:rPr>
      </w:pPr>
      <w:r w:rsidRPr="00587444">
        <w:rPr>
          <w:rFonts w:ascii="Arial" w:hAnsi="Arial" w:cs="Arial"/>
          <w:b/>
          <w:i/>
          <w:spacing w:val="-3"/>
          <w:sz w:val="20"/>
          <w:szCs w:val="20"/>
          <w:lang w:val="en-GB"/>
        </w:rPr>
        <w:t>b)</w:t>
      </w:r>
      <w:r w:rsidRPr="00587444">
        <w:rPr>
          <w:rFonts w:ascii="Arial" w:hAnsi="Arial" w:cs="Arial"/>
          <w:b/>
          <w:i/>
          <w:spacing w:val="-3"/>
          <w:sz w:val="20"/>
          <w:szCs w:val="20"/>
          <w:lang w:val="en-GB"/>
        </w:rPr>
        <w:tab/>
      </w:r>
      <w:proofErr w:type="gramStart"/>
      <w:r w:rsidRPr="00587444">
        <w:rPr>
          <w:rFonts w:ascii="Arial" w:hAnsi="Arial" w:cs="Arial"/>
          <w:b/>
          <w:i/>
          <w:spacing w:val="-3"/>
          <w:sz w:val="20"/>
          <w:szCs w:val="20"/>
          <w:lang w:val="en-GB"/>
        </w:rPr>
        <w:t>Corporate</w:t>
      </w:r>
      <w:proofErr w:type="gramEnd"/>
      <w:r w:rsidRPr="00587444">
        <w:rPr>
          <w:rFonts w:ascii="Arial" w:hAnsi="Arial" w:cs="Arial"/>
          <w:b/>
          <w:i/>
          <w:spacing w:val="-3"/>
          <w:sz w:val="20"/>
          <w:szCs w:val="20"/>
          <w:lang w:val="en-GB"/>
        </w:rPr>
        <w:t xml:space="preserve"> bonds that are allocated to </w:t>
      </w:r>
      <w:r w:rsidR="00D53A27">
        <w:rPr>
          <w:rFonts w:ascii="Arial" w:hAnsi="Arial" w:cs="Arial"/>
          <w:b/>
          <w:i/>
          <w:spacing w:val="-3"/>
          <w:sz w:val="20"/>
          <w:szCs w:val="20"/>
          <w:lang w:val="en-GB"/>
        </w:rPr>
        <w:t>Level</w:t>
      </w:r>
      <w:r w:rsidRPr="00587444">
        <w:rPr>
          <w:rFonts w:ascii="Arial" w:hAnsi="Arial" w:cs="Arial"/>
          <w:b/>
          <w:i/>
          <w:spacing w:val="-3"/>
          <w:sz w:val="20"/>
          <w:szCs w:val="20"/>
          <w:lang w:val="en-GB"/>
        </w:rPr>
        <w:t xml:space="preserve"> 3 (continued)</w:t>
      </w:r>
    </w:p>
    <w:p w14:paraId="2302E01F" w14:textId="77777777" w:rsidR="00587444" w:rsidRPr="00587444" w:rsidRDefault="00587444" w:rsidP="00587444">
      <w:pPr>
        <w:tabs>
          <w:tab w:val="left" w:pos="284"/>
        </w:tabs>
        <w:suppressAutoHyphens w:val="0"/>
        <w:autoSpaceDN/>
        <w:jc w:val="both"/>
        <w:rPr>
          <w:rFonts w:ascii="Arial" w:hAnsi="Arial" w:cs="Arial"/>
          <w:b/>
          <w:spacing w:val="-3"/>
          <w:sz w:val="20"/>
          <w:szCs w:val="20"/>
          <w:lang w:val="en-GB"/>
        </w:rPr>
      </w:pPr>
    </w:p>
    <w:p w14:paraId="405CCF24" w14:textId="77777777" w:rsidR="00587444" w:rsidRPr="00587444" w:rsidRDefault="00587444" w:rsidP="007B030C">
      <w:pPr>
        <w:tabs>
          <w:tab w:val="left" w:pos="709"/>
        </w:tabs>
        <w:autoSpaceDN/>
        <w:jc w:val="both"/>
        <w:rPr>
          <w:rFonts w:ascii="Arial" w:hAnsi="Arial" w:cs="Arial"/>
          <w:i/>
          <w:spacing w:val="-3"/>
          <w:sz w:val="20"/>
          <w:szCs w:val="20"/>
          <w:lang w:val="en-GB"/>
        </w:rPr>
      </w:pPr>
      <w:r w:rsidRPr="00587444">
        <w:rPr>
          <w:rFonts w:ascii="Arial" w:hAnsi="Arial" w:cs="Arial"/>
          <w:i/>
          <w:spacing w:val="-3"/>
          <w:sz w:val="20"/>
          <w:szCs w:val="20"/>
          <w:lang w:val="en-GB"/>
        </w:rPr>
        <w:t>(i) Techniques of valuation and significant input data that are not visible (continued)</w:t>
      </w:r>
    </w:p>
    <w:p w14:paraId="438375AA" w14:textId="77777777" w:rsidR="00587444" w:rsidRPr="00587444" w:rsidRDefault="00587444" w:rsidP="007B030C">
      <w:pPr>
        <w:tabs>
          <w:tab w:val="left" w:pos="709"/>
        </w:tabs>
        <w:autoSpaceDN/>
        <w:jc w:val="both"/>
        <w:rPr>
          <w:rFonts w:ascii="Arial" w:hAnsi="Arial" w:cs="Arial"/>
          <w:i/>
          <w:spacing w:val="-3"/>
          <w:sz w:val="20"/>
          <w:szCs w:val="20"/>
          <w:lang w:val="en-GB"/>
        </w:rPr>
      </w:pPr>
    </w:p>
    <w:p w14:paraId="2545CF94" w14:textId="63B43121" w:rsidR="00587444" w:rsidRPr="00D53A27" w:rsidRDefault="00587444" w:rsidP="007B030C">
      <w:pPr>
        <w:tabs>
          <w:tab w:val="left" w:pos="709"/>
        </w:tabs>
        <w:autoSpaceDN/>
        <w:jc w:val="both"/>
        <w:rPr>
          <w:rFonts w:ascii="Arial" w:hAnsi="Arial" w:cs="Arial"/>
          <w:iCs/>
          <w:spacing w:val="-3"/>
          <w:sz w:val="20"/>
          <w:szCs w:val="20"/>
          <w:lang w:val="en-GB"/>
        </w:rPr>
      </w:pPr>
      <w:r w:rsidRPr="00D53A27">
        <w:rPr>
          <w:rFonts w:ascii="Arial" w:hAnsi="Arial" w:cs="Arial"/>
          <w:iCs/>
          <w:spacing w:val="-3"/>
          <w:sz w:val="20"/>
          <w:szCs w:val="20"/>
          <w:lang w:val="en-GB"/>
        </w:rPr>
        <w:t>The discount rate on risk-free investments is calculated as linearly interpolated/extrapolated yield of Croatian bonds of the same duration and of the same foreign currency as the bonds valued. The source of information on the yields on bonds of the Republic of Croatia is the Bloomberg information system</w:t>
      </w:r>
      <w:r w:rsidR="00D53A27" w:rsidRPr="00D53A27">
        <w:rPr>
          <w:rFonts w:ascii="Arial" w:hAnsi="Arial" w:cs="Arial"/>
          <w:iCs/>
          <w:spacing w:val="-3"/>
          <w:sz w:val="20"/>
          <w:szCs w:val="20"/>
          <w:lang w:val="en-GB"/>
        </w:rPr>
        <w:t>.</w:t>
      </w:r>
    </w:p>
    <w:p w14:paraId="02392BEC" w14:textId="6F7B2E82" w:rsidR="00587444" w:rsidRPr="00587444" w:rsidRDefault="00D53A27" w:rsidP="007B030C">
      <w:pPr>
        <w:tabs>
          <w:tab w:val="left" w:pos="709"/>
        </w:tabs>
        <w:autoSpaceDN/>
        <w:jc w:val="both"/>
        <w:rPr>
          <w:rFonts w:ascii="Arial" w:hAnsi="Arial" w:cs="Arial"/>
          <w:i/>
          <w:spacing w:val="-3"/>
          <w:sz w:val="20"/>
          <w:szCs w:val="20"/>
          <w:lang w:val="en-GB"/>
        </w:rPr>
      </w:pPr>
      <w:r>
        <w:rPr>
          <w:rFonts w:ascii="Arial" w:hAnsi="Arial" w:cs="Arial"/>
          <w:i/>
          <w:spacing w:val="-3"/>
          <w:sz w:val="20"/>
          <w:szCs w:val="20"/>
          <w:lang w:val="en-GB"/>
        </w:rPr>
        <w:t>.</w:t>
      </w:r>
    </w:p>
    <w:p w14:paraId="6656B754" w14:textId="77777777"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 xml:space="preserve">The premium of the specific risk amount for the respective bond depends on HBOR’s internal credit rating of the bond issuer, </w:t>
      </w:r>
      <w:proofErr w:type="gramStart"/>
      <w:r w:rsidRPr="00587444">
        <w:rPr>
          <w:rFonts w:ascii="Arial" w:hAnsi="Arial" w:cs="Arial"/>
          <w:spacing w:val="-3"/>
          <w:sz w:val="20"/>
          <w:szCs w:val="20"/>
          <w:lang w:val="en-GB"/>
        </w:rPr>
        <w:t>i.e.</w:t>
      </w:r>
      <w:proofErr w:type="gramEnd"/>
      <w:r w:rsidRPr="00587444">
        <w:rPr>
          <w:rFonts w:ascii="Arial" w:hAnsi="Arial" w:cs="Arial"/>
          <w:spacing w:val="-3"/>
          <w:sz w:val="20"/>
          <w:szCs w:val="20"/>
          <w:lang w:val="en-GB"/>
        </w:rPr>
        <w:t xml:space="preserve"> if the issuer is a member of a business group, the risk premium depends on internal credit rating of the parent company.</w:t>
      </w:r>
    </w:p>
    <w:p w14:paraId="27C3ED02" w14:textId="77777777" w:rsidR="00587444" w:rsidRPr="00587444" w:rsidRDefault="00587444" w:rsidP="007B030C">
      <w:pPr>
        <w:tabs>
          <w:tab w:val="left" w:pos="709"/>
        </w:tabs>
        <w:autoSpaceDN/>
        <w:jc w:val="both"/>
        <w:rPr>
          <w:rFonts w:ascii="Arial" w:hAnsi="Arial" w:cs="Arial"/>
          <w:spacing w:val="-3"/>
          <w:sz w:val="20"/>
          <w:szCs w:val="20"/>
          <w:lang w:val="en-GB"/>
        </w:rPr>
      </w:pPr>
    </w:p>
    <w:p w14:paraId="226827E4" w14:textId="77777777" w:rsidR="00587444" w:rsidRPr="00587444" w:rsidRDefault="00587444" w:rsidP="007B030C">
      <w:pPr>
        <w:tabs>
          <w:tab w:val="left" w:pos="284"/>
        </w:tabs>
        <w:autoSpaceDN/>
        <w:jc w:val="both"/>
        <w:rPr>
          <w:rFonts w:ascii="Arial" w:hAnsi="Arial" w:cs="Arial"/>
          <w:i/>
          <w:spacing w:val="-3"/>
          <w:sz w:val="20"/>
          <w:szCs w:val="20"/>
          <w:lang w:val="en-GB"/>
        </w:rPr>
      </w:pPr>
      <w:r w:rsidRPr="00587444">
        <w:rPr>
          <w:rFonts w:ascii="Arial" w:hAnsi="Arial" w:cs="Arial"/>
          <w:i/>
          <w:spacing w:val="-3"/>
          <w:sz w:val="20"/>
          <w:szCs w:val="20"/>
          <w:lang w:val="en-GB"/>
        </w:rPr>
        <w:t xml:space="preserve">ii) </w:t>
      </w:r>
      <w:r w:rsidRPr="00587444">
        <w:rPr>
          <w:rFonts w:ascii="Arial" w:hAnsi="Arial" w:cs="Arial"/>
          <w:i/>
          <w:spacing w:val="-3"/>
          <w:sz w:val="20"/>
          <w:szCs w:val="20"/>
          <w:lang w:val="en-GB"/>
        </w:rPr>
        <w:tab/>
        <w:t xml:space="preserve">Sensitivity analysis of corporate bond with the stated potential effect on profit/loss as </w:t>
      </w:r>
      <w:proofErr w:type="gramStart"/>
      <w:r w:rsidRPr="00587444">
        <w:rPr>
          <w:rFonts w:ascii="Arial" w:hAnsi="Arial" w:cs="Arial"/>
          <w:i/>
          <w:spacing w:val="-3"/>
          <w:sz w:val="20"/>
          <w:szCs w:val="20"/>
          <w:lang w:val="en-GB"/>
        </w:rPr>
        <w:t>at</w:t>
      </w:r>
      <w:proofErr w:type="gramEnd"/>
      <w:r w:rsidRPr="00587444">
        <w:rPr>
          <w:rFonts w:ascii="Arial" w:hAnsi="Arial" w:cs="Arial"/>
          <w:i/>
          <w:spacing w:val="-3"/>
          <w:sz w:val="20"/>
          <w:szCs w:val="20"/>
          <w:lang w:val="en-GB"/>
        </w:rPr>
        <w:t xml:space="preserve"> 31 December 2022, under the assumption of a change in discount rate (yield) of 2% and 10%</w:t>
      </w:r>
    </w:p>
    <w:p w14:paraId="10CF1838" w14:textId="77777777" w:rsidR="00587444" w:rsidRPr="00587444" w:rsidRDefault="00587444" w:rsidP="007B030C">
      <w:pPr>
        <w:tabs>
          <w:tab w:val="left" w:pos="709"/>
        </w:tabs>
        <w:autoSpaceDN/>
        <w:jc w:val="both"/>
        <w:rPr>
          <w:rFonts w:ascii="Arial" w:hAnsi="Arial" w:cs="Arial"/>
          <w:spacing w:val="-3"/>
          <w:sz w:val="20"/>
          <w:szCs w:val="20"/>
          <w:lang w:val="en-GB"/>
        </w:rPr>
      </w:pPr>
    </w:p>
    <w:p w14:paraId="73E0CD45" w14:textId="77777777"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 xml:space="preserve">Under the assumption that the market interest rates change by 2% compared with those in effect as </w:t>
      </w:r>
      <w:proofErr w:type="gramStart"/>
      <w:r w:rsidRPr="00587444">
        <w:rPr>
          <w:rFonts w:ascii="Arial" w:hAnsi="Arial" w:cs="Arial"/>
          <w:spacing w:val="-3"/>
          <w:sz w:val="20"/>
          <w:szCs w:val="20"/>
          <w:lang w:val="en-GB"/>
        </w:rPr>
        <w:t>at</w:t>
      </w:r>
      <w:proofErr w:type="gramEnd"/>
      <w:r w:rsidRPr="00587444">
        <w:rPr>
          <w:rFonts w:ascii="Arial" w:hAnsi="Arial" w:cs="Arial"/>
          <w:spacing w:val="-3"/>
          <w:sz w:val="20"/>
          <w:szCs w:val="20"/>
          <w:lang w:val="en-GB"/>
        </w:rPr>
        <w:t xml:space="preserve"> 31 December 2021, the impacts would be as follows:</w:t>
      </w:r>
    </w:p>
    <w:p w14:paraId="122FC15C" w14:textId="77777777" w:rsidR="00587444" w:rsidRPr="00587444" w:rsidRDefault="00587444" w:rsidP="007B030C">
      <w:pPr>
        <w:tabs>
          <w:tab w:val="left" w:pos="567"/>
          <w:tab w:val="left" w:pos="709"/>
        </w:tabs>
        <w:autoSpaceDN/>
        <w:ind w:left="993" w:hanging="426"/>
        <w:jc w:val="both"/>
        <w:rPr>
          <w:rFonts w:ascii="Arial" w:hAnsi="Arial" w:cs="Arial"/>
          <w:spacing w:val="-3"/>
          <w:sz w:val="20"/>
          <w:szCs w:val="20"/>
          <w:lang w:val="en-GB"/>
        </w:rPr>
      </w:pPr>
      <w:r w:rsidRPr="00587444">
        <w:rPr>
          <w:rFonts w:ascii="Arial" w:hAnsi="Arial" w:cs="Arial"/>
          <w:spacing w:val="-3"/>
          <w:sz w:val="20"/>
          <w:szCs w:val="20"/>
          <w:lang w:val="en-GB"/>
        </w:rPr>
        <w:t>a)</w:t>
      </w:r>
      <w:r w:rsidRPr="00587444">
        <w:rPr>
          <w:rFonts w:ascii="Arial" w:hAnsi="Arial" w:cs="Arial"/>
          <w:spacing w:val="-3"/>
          <w:sz w:val="20"/>
          <w:szCs w:val="20"/>
          <w:lang w:val="en-GB"/>
        </w:rPr>
        <w:tab/>
        <w:t>In the case of a decrease in market yield on no-risk investment (linearly interpolated/extrapolated yield on bonds of the Republic of Croatia of the same duration and the same currency as the respective bond) by 2%, the discount rate would equal 15.35%, the bond price would be 30.88%, which would result in an increase in HBOR’s generated profits of HRK 8 thousand.</w:t>
      </w:r>
    </w:p>
    <w:p w14:paraId="4D19B279" w14:textId="77777777" w:rsidR="00587444" w:rsidRPr="00587444" w:rsidRDefault="00587444" w:rsidP="007B030C">
      <w:pPr>
        <w:tabs>
          <w:tab w:val="left" w:pos="567"/>
          <w:tab w:val="left" w:pos="709"/>
        </w:tabs>
        <w:autoSpaceDN/>
        <w:ind w:left="993" w:hanging="426"/>
        <w:jc w:val="both"/>
        <w:rPr>
          <w:rFonts w:ascii="Arial" w:hAnsi="Arial" w:cs="Arial"/>
          <w:spacing w:val="-3"/>
          <w:sz w:val="20"/>
          <w:szCs w:val="20"/>
          <w:lang w:val="en-GB"/>
        </w:rPr>
      </w:pPr>
      <w:r w:rsidRPr="00587444">
        <w:rPr>
          <w:rFonts w:ascii="Arial" w:hAnsi="Arial" w:cs="Arial"/>
          <w:spacing w:val="-3"/>
          <w:sz w:val="20"/>
          <w:szCs w:val="20"/>
          <w:lang w:val="en-GB"/>
        </w:rPr>
        <w:t>b)</w:t>
      </w:r>
      <w:r w:rsidRPr="00587444">
        <w:rPr>
          <w:rFonts w:ascii="Arial" w:hAnsi="Arial" w:cs="Arial"/>
          <w:spacing w:val="-3"/>
          <w:sz w:val="20"/>
          <w:szCs w:val="20"/>
          <w:lang w:val="en-GB"/>
        </w:rPr>
        <w:tab/>
        <w:t>In the case of an increase in market yield on no-risk investment (linearly interpolated/extrapolated yield on bonds of the Republic of Croatia of the same duration and the same currency as the corporate bond) by 2%, the discount rate would equal 19.35%, the bond price would be 29.81%, which would result in a decrease in HBOR’s generated profits of HRK 8 thousand.</w:t>
      </w:r>
    </w:p>
    <w:p w14:paraId="6DE0B3CE" w14:textId="77777777" w:rsidR="00587444" w:rsidRPr="00587444" w:rsidRDefault="00587444" w:rsidP="007B030C">
      <w:pPr>
        <w:tabs>
          <w:tab w:val="left" w:pos="709"/>
        </w:tabs>
        <w:autoSpaceDN/>
        <w:jc w:val="both"/>
        <w:rPr>
          <w:rFonts w:ascii="Arial" w:hAnsi="Arial" w:cs="Arial"/>
          <w:spacing w:val="-3"/>
          <w:sz w:val="20"/>
          <w:szCs w:val="20"/>
          <w:lang w:val="en-GB"/>
        </w:rPr>
      </w:pPr>
    </w:p>
    <w:p w14:paraId="605EDC98" w14:textId="77777777"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 xml:space="preserve">The change in interest rates defined in the “Decision on the Management of Interest Rate Risk in the Bank Book”, which is applied when calculating standard interest rate shock, is used as the basis for the change in the market interest rate of 2% compared with the market terms and conditions in effect as </w:t>
      </w:r>
      <w:proofErr w:type="gramStart"/>
      <w:r w:rsidRPr="00587444">
        <w:rPr>
          <w:rFonts w:ascii="Arial" w:hAnsi="Arial" w:cs="Arial"/>
          <w:spacing w:val="-3"/>
          <w:sz w:val="20"/>
          <w:szCs w:val="20"/>
          <w:lang w:val="en-GB"/>
        </w:rPr>
        <w:t>at</w:t>
      </w:r>
      <w:proofErr w:type="gramEnd"/>
      <w:r w:rsidRPr="00587444">
        <w:rPr>
          <w:rFonts w:ascii="Arial" w:hAnsi="Arial" w:cs="Arial"/>
          <w:spacing w:val="-3"/>
          <w:sz w:val="20"/>
          <w:szCs w:val="20"/>
          <w:lang w:val="en-GB"/>
        </w:rPr>
        <w:t xml:space="preserve"> 31 December 2022. “Standard interest rate shock is a parallel positive or negative change in interest rates on a reference yield curve of 200 basis points by applying the lower limit rate of 0%, except for the cases in which negative interest rate can be achieved.” </w:t>
      </w:r>
    </w:p>
    <w:p w14:paraId="3241AFAD" w14:textId="77777777" w:rsidR="00587444" w:rsidRPr="00587444" w:rsidRDefault="00587444" w:rsidP="007B030C">
      <w:pPr>
        <w:tabs>
          <w:tab w:val="left" w:pos="709"/>
        </w:tabs>
        <w:autoSpaceDN/>
        <w:jc w:val="both"/>
        <w:rPr>
          <w:rFonts w:ascii="Arial" w:hAnsi="Arial" w:cs="Arial"/>
          <w:spacing w:val="-3"/>
          <w:sz w:val="20"/>
          <w:szCs w:val="20"/>
          <w:lang w:val="en-GB"/>
        </w:rPr>
      </w:pPr>
    </w:p>
    <w:p w14:paraId="1CFD4E60" w14:textId="77777777"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In the case of a decrease in expected cash flows on corporate bonds of 10%, the generated profit of HBOR would decrease by HRK 46 thousand.</w:t>
      </w:r>
    </w:p>
    <w:p w14:paraId="3CB47A23" w14:textId="77777777" w:rsidR="00587444" w:rsidRPr="00587444" w:rsidRDefault="00587444" w:rsidP="00587444">
      <w:pPr>
        <w:tabs>
          <w:tab w:val="left" w:pos="709"/>
        </w:tabs>
        <w:suppressAutoHyphens w:val="0"/>
        <w:autoSpaceDN/>
        <w:jc w:val="both"/>
        <w:rPr>
          <w:rFonts w:ascii="Arial" w:hAnsi="Arial" w:cs="Arial"/>
          <w:spacing w:val="-3"/>
          <w:sz w:val="20"/>
          <w:szCs w:val="20"/>
          <w:lang w:val="en-GB"/>
        </w:rPr>
      </w:pPr>
    </w:p>
    <w:p w14:paraId="72BE7292" w14:textId="77777777" w:rsidR="00587444" w:rsidRPr="00587444" w:rsidRDefault="00587444" w:rsidP="00587444">
      <w:pPr>
        <w:suppressAutoHyphens w:val="0"/>
        <w:autoSpaceDN/>
        <w:jc w:val="both"/>
        <w:rPr>
          <w:rFonts w:ascii="Arial" w:hAnsi="Arial" w:cs="Arial"/>
          <w:bCs/>
          <w:i/>
          <w:spacing w:val="-3"/>
          <w:sz w:val="20"/>
          <w:szCs w:val="20"/>
        </w:rPr>
        <w:sectPr w:rsidR="00587444" w:rsidRPr="00587444" w:rsidSect="00DD69E7">
          <w:pgSz w:w="11907" w:h="16840" w:code="9"/>
          <w:pgMar w:top="1418" w:right="1134" w:bottom="1134" w:left="1418" w:header="851" w:footer="851" w:gutter="0"/>
          <w:cols w:space="720"/>
          <w:noEndnote/>
        </w:sectPr>
      </w:pPr>
    </w:p>
    <w:p w14:paraId="0F3E2D6C" w14:textId="77777777" w:rsidR="00587444" w:rsidRPr="00587444" w:rsidRDefault="00587444" w:rsidP="00587444">
      <w:pPr>
        <w:suppressAutoHyphens w:val="0"/>
        <w:autoSpaceDN/>
        <w:jc w:val="both"/>
        <w:rPr>
          <w:rFonts w:ascii="Arial" w:eastAsia="Calibri" w:hAnsi="Arial" w:cs="Arial"/>
          <w:sz w:val="20"/>
          <w:szCs w:val="20"/>
        </w:rPr>
      </w:pPr>
    </w:p>
    <w:p w14:paraId="5F614EBE"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 xml:space="preserve">32. </w:t>
      </w:r>
      <w:r w:rsidRPr="00587444">
        <w:rPr>
          <w:rFonts w:ascii="Arial" w:hAnsi="Arial" w:cs="Arial"/>
          <w:b/>
          <w:bCs/>
          <w:spacing w:val="-3"/>
          <w:sz w:val="20"/>
          <w:szCs w:val="20"/>
          <w:lang w:val="en-GB"/>
        </w:rPr>
        <w:tab/>
        <w:t>Fair value of financial assets and financial liabilities (continued)</w:t>
      </w:r>
    </w:p>
    <w:p w14:paraId="3316A5F1"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06E8DD01"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 xml:space="preserve">321.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2E7329A9"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1311F803"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r w:rsidRPr="00587444">
        <w:rPr>
          <w:rFonts w:ascii="Arial" w:hAnsi="Arial" w:cs="Arial"/>
          <w:b/>
          <w:spacing w:val="-3"/>
          <w:sz w:val="20"/>
          <w:szCs w:val="20"/>
          <w:lang w:val="en-GB"/>
        </w:rPr>
        <w:t>32.1.1.</w:t>
      </w:r>
      <w:r w:rsidRPr="00587444">
        <w:rPr>
          <w:rFonts w:ascii="Arial" w:hAnsi="Arial" w:cs="Arial"/>
          <w:sz w:val="20"/>
          <w:szCs w:val="20"/>
        </w:rPr>
        <w:t xml:space="preserve"> </w:t>
      </w:r>
      <w:r w:rsidRPr="00587444">
        <w:rPr>
          <w:rFonts w:ascii="Arial" w:hAnsi="Arial" w:cs="Arial"/>
          <w:b/>
          <w:spacing w:val="-3"/>
          <w:sz w:val="20"/>
          <w:szCs w:val="20"/>
          <w:lang w:val="en-GB"/>
        </w:rPr>
        <w:t>Level 3 - fair value (continued)</w:t>
      </w:r>
    </w:p>
    <w:p w14:paraId="336446BC"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28FA6441" w14:textId="77777777" w:rsidR="00587444" w:rsidRPr="00587444" w:rsidRDefault="00587444" w:rsidP="00587444">
      <w:pPr>
        <w:tabs>
          <w:tab w:val="left" w:pos="284"/>
        </w:tabs>
        <w:suppressAutoHyphens w:val="0"/>
        <w:autoSpaceDN/>
        <w:jc w:val="both"/>
        <w:rPr>
          <w:rFonts w:ascii="Arial" w:eastAsia="Calibri" w:hAnsi="Arial" w:cs="Arial"/>
          <w:b/>
          <w:i/>
          <w:sz w:val="20"/>
          <w:szCs w:val="20"/>
        </w:rPr>
      </w:pPr>
      <w:r w:rsidRPr="00587444">
        <w:rPr>
          <w:rFonts w:ascii="Arial" w:eastAsia="Calibri" w:hAnsi="Arial" w:cs="Arial"/>
          <w:b/>
          <w:i/>
          <w:sz w:val="20"/>
          <w:szCs w:val="20"/>
        </w:rPr>
        <w:t xml:space="preserve">c) </w:t>
      </w:r>
      <w:r w:rsidRPr="00587444">
        <w:rPr>
          <w:rFonts w:ascii="Arial" w:eastAsia="Calibri" w:hAnsi="Arial" w:cs="Arial"/>
          <w:b/>
          <w:i/>
          <w:sz w:val="20"/>
          <w:szCs w:val="20"/>
        </w:rPr>
        <w:tab/>
        <w:t>Adjustment of fair value of Level 3:</w:t>
      </w:r>
    </w:p>
    <w:p w14:paraId="28E4CFCE"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6D04E288" w14:textId="77777777" w:rsidR="00587444" w:rsidRPr="00587444" w:rsidRDefault="00587444">
      <w:pPr>
        <w:numPr>
          <w:ilvl w:val="0"/>
          <w:numId w:val="59"/>
        </w:numPr>
        <w:tabs>
          <w:tab w:val="left" w:pos="284"/>
        </w:tabs>
        <w:suppressAutoHyphens w:val="0"/>
        <w:autoSpaceDN/>
        <w:ind w:left="284" w:hanging="284"/>
        <w:contextualSpacing/>
        <w:jc w:val="both"/>
        <w:rPr>
          <w:rFonts w:ascii="Arial" w:hAnsi="Arial" w:cs="Arial"/>
          <w:spacing w:val="-3"/>
          <w:sz w:val="20"/>
          <w:szCs w:val="20"/>
          <w:lang w:val="en-GB"/>
        </w:rPr>
      </w:pPr>
      <w:r w:rsidRPr="00587444">
        <w:rPr>
          <w:rFonts w:ascii="Arial" w:hAnsi="Arial" w:cs="Arial"/>
          <w:spacing w:val="-3"/>
          <w:sz w:val="20"/>
          <w:szCs w:val="20"/>
          <w:lang w:val="en-GB"/>
        </w:rPr>
        <w:t>The fair value of Level 3 financial assets measured at fair value upon initial recognition – mezzanine loans:</w:t>
      </w:r>
    </w:p>
    <w:p w14:paraId="6F736D4B"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tbl>
      <w:tblPr>
        <w:tblpPr w:leftFromText="180" w:rightFromText="180" w:vertAnchor="text" w:horzAnchor="margin" w:tblpXSpec="center" w:tblpY="10"/>
        <w:tblW w:w="4849" w:type="pct"/>
        <w:tblCellMar>
          <w:left w:w="122" w:type="dxa"/>
          <w:right w:w="122" w:type="dxa"/>
        </w:tblCellMar>
        <w:tblLook w:val="04A0" w:firstRow="1" w:lastRow="0" w:firstColumn="1" w:lastColumn="0" w:noHBand="0" w:noVBand="1"/>
      </w:tblPr>
      <w:tblGrid>
        <w:gridCol w:w="6111"/>
        <w:gridCol w:w="1599"/>
        <w:gridCol w:w="1599"/>
      </w:tblGrid>
      <w:tr w:rsidR="00587444" w:rsidRPr="00587444" w14:paraId="721DB778" w14:textId="77777777" w:rsidTr="00DD69E7">
        <w:trPr>
          <w:trHeight w:hRule="exact" w:val="253"/>
        </w:trPr>
        <w:tc>
          <w:tcPr>
            <w:tcW w:w="3282" w:type="pct"/>
          </w:tcPr>
          <w:p w14:paraId="3A34DA0C"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r w:rsidRPr="00587444">
              <w:rPr>
                <w:rFonts w:ascii="Arial" w:hAnsi="Arial" w:cs="Arial"/>
                <w:b/>
                <w:spacing w:val="-2"/>
                <w:sz w:val="20"/>
                <w:szCs w:val="20"/>
              </w:rPr>
              <w:t>Group and Bank</w:t>
            </w:r>
          </w:p>
        </w:tc>
        <w:tc>
          <w:tcPr>
            <w:tcW w:w="859" w:type="pct"/>
            <w:vAlign w:val="center"/>
          </w:tcPr>
          <w:p w14:paraId="189DC552"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1431" w:name="_Toc4063277"/>
            <w:r w:rsidRPr="00587444">
              <w:rPr>
                <w:rFonts w:ascii="Arial" w:hAnsi="Arial" w:cs="Arial"/>
                <w:b/>
                <w:sz w:val="20"/>
                <w:szCs w:val="20"/>
              </w:rPr>
              <w:t>202</w:t>
            </w:r>
            <w:bookmarkEnd w:id="1431"/>
            <w:r w:rsidRPr="00587444">
              <w:rPr>
                <w:rFonts w:ascii="Arial" w:hAnsi="Arial" w:cs="Arial"/>
                <w:b/>
                <w:sz w:val="20"/>
                <w:szCs w:val="20"/>
              </w:rPr>
              <w:t>2</w:t>
            </w:r>
          </w:p>
        </w:tc>
        <w:tc>
          <w:tcPr>
            <w:tcW w:w="859" w:type="pct"/>
          </w:tcPr>
          <w:p w14:paraId="77A78EC9"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1432" w:name="_Toc4063278"/>
            <w:r w:rsidRPr="00587444">
              <w:rPr>
                <w:rFonts w:ascii="Arial" w:hAnsi="Arial" w:cs="Arial"/>
                <w:b/>
                <w:sz w:val="20"/>
                <w:szCs w:val="20"/>
              </w:rPr>
              <w:t>202</w:t>
            </w:r>
            <w:bookmarkEnd w:id="1432"/>
            <w:r w:rsidRPr="00587444">
              <w:rPr>
                <w:rFonts w:ascii="Arial" w:hAnsi="Arial" w:cs="Arial"/>
                <w:b/>
                <w:sz w:val="20"/>
                <w:szCs w:val="20"/>
              </w:rPr>
              <w:t>1</w:t>
            </w:r>
          </w:p>
        </w:tc>
      </w:tr>
      <w:tr w:rsidR="00587444" w:rsidRPr="00587444" w14:paraId="128E0845" w14:textId="77777777" w:rsidTr="00DD69E7">
        <w:trPr>
          <w:trHeight w:hRule="exact" w:val="227"/>
        </w:trPr>
        <w:tc>
          <w:tcPr>
            <w:tcW w:w="3282" w:type="pct"/>
          </w:tcPr>
          <w:p w14:paraId="79145992"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p>
        </w:tc>
        <w:tc>
          <w:tcPr>
            <w:tcW w:w="859" w:type="pct"/>
          </w:tcPr>
          <w:p w14:paraId="1CBD344C"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1433" w:name="_Toc4063281"/>
            <w:r w:rsidRPr="00587444">
              <w:rPr>
                <w:rFonts w:ascii="Arial" w:hAnsi="Arial" w:cs="Arial"/>
                <w:b/>
                <w:sz w:val="20"/>
                <w:szCs w:val="20"/>
              </w:rPr>
              <w:t>HRK ‘000</w:t>
            </w:r>
            <w:bookmarkEnd w:id="1433"/>
          </w:p>
        </w:tc>
        <w:tc>
          <w:tcPr>
            <w:tcW w:w="859" w:type="pct"/>
          </w:tcPr>
          <w:p w14:paraId="218BFDA3"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1434" w:name="_Toc4063282"/>
            <w:r w:rsidRPr="00587444">
              <w:rPr>
                <w:rFonts w:ascii="Arial" w:hAnsi="Arial" w:cs="Arial"/>
                <w:b/>
                <w:sz w:val="20"/>
                <w:szCs w:val="20"/>
              </w:rPr>
              <w:t>HRK ‘000</w:t>
            </w:r>
            <w:bookmarkEnd w:id="1434"/>
          </w:p>
        </w:tc>
      </w:tr>
      <w:tr w:rsidR="00587444" w:rsidRPr="00587444" w14:paraId="14E632EF" w14:textId="77777777" w:rsidTr="00DD69E7">
        <w:trPr>
          <w:trHeight w:hRule="exact" w:val="284"/>
        </w:trPr>
        <w:tc>
          <w:tcPr>
            <w:tcW w:w="3282" w:type="pct"/>
          </w:tcPr>
          <w:p w14:paraId="6DDFFF6D" w14:textId="77777777" w:rsidR="00587444" w:rsidRPr="00587444" w:rsidRDefault="00587444" w:rsidP="00587444">
            <w:pPr>
              <w:tabs>
                <w:tab w:val="right" w:pos="1202"/>
              </w:tabs>
              <w:suppressAutoHyphens w:val="0"/>
              <w:autoSpaceDN/>
              <w:spacing w:line="260" w:lineRule="exact"/>
              <w:outlineLvl w:val="0"/>
              <w:rPr>
                <w:rFonts w:ascii="Arial" w:hAnsi="Arial" w:cs="Arial"/>
                <w:b/>
                <w:i/>
                <w:spacing w:val="-2"/>
                <w:sz w:val="20"/>
                <w:szCs w:val="20"/>
              </w:rPr>
            </w:pPr>
          </w:p>
        </w:tc>
        <w:tc>
          <w:tcPr>
            <w:tcW w:w="859" w:type="pct"/>
          </w:tcPr>
          <w:p w14:paraId="4556F9ED"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c>
          <w:tcPr>
            <w:tcW w:w="859" w:type="pct"/>
          </w:tcPr>
          <w:p w14:paraId="34BEC05B"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r>
      <w:tr w:rsidR="00587444" w:rsidRPr="00587444" w14:paraId="00FCAC66" w14:textId="77777777" w:rsidTr="00DD69E7">
        <w:trPr>
          <w:trHeight w:hRule="exact" w:val="284"/>
        </w:trPr>
        <w:tc>
          <w:tcPr>
            <w:tcW w:w="3282" w:type="pct"/>
            <w:vAlign w:val="bottom"/>
            <w:hideMark/>
          </w:tcPr>
          <w:p w14:paraId="5E3CC66D" w14:textId="77777777" w:rsidR="00587444" w:rsidRPr="00587444" w:rsidRDefault="00587444" w:rsidP="00587444">
            <w:pPr>
              <w:suppressAutoHyphens w:val="0"/>
              <w:autoSpaceDN/>
              <w:spacing w:line="256" w:lineRule="auto"/>
              <w:rPr>
                <w:rFonts w:ascii="Arial" w:eastAsia="Calibri" w:hAnsi="Arial" w:cs="Arial"/>
                <w:b/>
                <w:bCs/>
                <w:sz w:val="20"/>
                <w:szCs w:val="20"/>
              </w:rPr>
            </w:pPr>
            <w:r w:rsidRPr="00587444">
              <w:rPr>
                <w:rFonts w:ascii="Arial" w:eastAsia="Calibri" w:hAnsi="Arial" w:cs="Arial"/>
                <w:b/>
                <w:bCs/>
                <w:sz w:val="20"/>
                <w:szCs w:val="20"/>
              </w:rPr>
              <w:t xml:space="preserve">Balance as </w:t>
            </w:r>
            <w:proofErr w:type="gramStart"/>
            <w:r w:rsidRPr="00587444">
              <w:rPr>
                <w:rFonts w:ascii="Arial" w:eastAsia="Calibri" w:hAnsi="Arial" w:cs="Arial"/>
                <w:b/>
                <w:bCs/>
                <w:sz w:val="20"/>
                <w:szCs w:val="20"/>
              </w:rPr>
              <w:t>at</w:t>
            </w:r>
            <w:proofErr w:type="gramEnd"/>
            <w:r w:rsidRPr="00587444">
              <w:rPr>
                <w:rFonts w:ascii="Arial" w:eastAsia="Calibri" w:hAnsi="Arial" w:cs="Arial"/>
                <w:b/>
                <w:bCs/>
                <w:sz w:val="20"/>
                <w:szCs w:val="20"/>
              </w:rPr>
              <w:t xml:space="preserve"> 1 January </w:t>
            </w:r>
          </w:p>
        </w:tc>
        <w:tc>
          <w:tcPr>
            <w:tcW w:w="859" w:type="pct"/>
            <w:tcBorders>
              <w:top w:val="nil"/>
              <w:left w:val="nil"/>
              <w:bottom w:val="single" w:sz="2" w:space="0" w:color="auto"/>
              <w:right w:val="nil"/>
            </w:tcBorders>
            <w:vAlign w:val="bottom"/>
          </w:tcPr>
          <w:p w14:paraId="5C952800"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color w:val="000000"/>
                <w:sz w:val="20"/>
                <w:szCs w:val="20"/>
                <w:lang w:val="hr-HR"/>
              </w:rPr>
              <w:t>16,375</w:t>
            </w:r>
          </w:p>
        </w:tc>
        <w:tc>
          <w:tcPr>
            <w:tcW w:w="859" w:type="pct"/>
            <w:tcBorders>
              <w:top w:val="nil"/>
              <w:left w:val="nil"/>
              <w:bottom w:val="single" w:sz="4" w:space="0" w:color="auto"/>
              <w:right w:val="nil"/>
            </w:tcBorders>
            <w:vAlign w:val="bottom"/>
          </w:tcPr>
          <w:p w14:paraId="612C711F"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color w:val="000000"/>
                <w:sz w:val="20"/>
                <w:szCs w:val="20"/>
                <w:lang w:val="hr-HR"/>
              </w:rPr>
              <w:t>2,658</w:t>
            </w:r>
          </w:p>
        </w:tc>
      </w:tr>
      <w:tr w:rsidR="00587444" w:rsidRPr="00587444" w14:paraId="35A66A0C" w14:textId="77777777" w:rsidTr="00DD69E7">
        <w:trPr>
          <w:trHeight w:hRule="exact" w:val="374"/>
        </w:trPr>
        <w:tc>
          <w:tcPr>
            <w:tcW w:w="3282" w:type="pct"/>
            <w:vAlign w:val="bottom"/>
            <w:hideMark/>
          </w:tcPr>
          <w:p w14:paraId="786E7B60" w14:textId="77777777" w:rsidR="00587444" w:rsidRPr="00587444" w:rsidRDefault="00587444" w:rsidP="00587444">
            <w:pPr>
              <w:suppressAutoHyphens w:val="0"/>
              <w:autoSpaceDN/>
              <w:spacing w:line="256" w:lineRule="auto"/>
              <w:rPr>
                <w:rFonts w:ascii="Arial" w:eastAsia="Calibri" w:hAnsi="Arial" w:cs="Arial"/>
                <w:sz w:val="20"/>
                <w:szCs w:val="20"/>
              </w:rPr>
            </w:pPr>
            <w:r w:rsidRPr="00587444">
              <w:rPr>
                <w:rFonts w:ascii="Arial" w:eastAsia="Calibri" w:hAnsi="Arial" w:cs="Arial"/>
                <w:sz w:val="20"/>
                <w:szCs w:val="20"/>
              </w:rPr>
              <w:t>Increase/decrease in fair value through profit or loss</w:t>
            </w:r>
          </w:p>
        </w:tc>
        <w:tc>
          <w:tcPr>
            <w:tcW w:w="859" w:type="pct"/>
            <w:tcBorders>
              <w:top w:val="single" w:sz="2" w:space="0" w:color="auto"/>
              <w:left w:val="nil"/>
              <w:right w:val="nil"/>
            </w:tcBorders>
            <w:shd w:val="clear" w:color="auto" w:fill="auto"/>
            <w:vAlign w:val="bottom"/>
          </w:tcPr>
          <w:p w14:paraId="4180062A"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7,479</w:t>
            </w:r>
          </w:p>
        </w:tc>
        <w:tc>
          <w:tcPr>
            <w:tcW w:w="859" w:type="pct"/>
            <w:tcBorders>
              <w:top w:val="single" w:sz="4" w:space="0" w:color="auto"/>
              <w:left w:val="nil"/>
              <w:right w:val="nil"/>
            </w:tcBorders>
            <w:shd w:val="clear" w:color="auto" w:fill="auto"/>
            <w:vAlign w:val="bottom"/>
          </w:tcPr>
          <w:p w14:paraId="67795B0A"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(2,328)</w:t>
            </w:r>
          </w:p>
        </w:tc>
      </w:tr>
      <w:tr w:rsidR="00587444" w:rsidRPr="00587444" w14:paraId="1009F33C" w14:textId="77777777" w:rsidTr="00DD69E7">
        <w:trPr>
          <w:trHeight w:hRule="exact" w:val="374"/>
        </w:trPr>
        <w:tc>
          <w:tcPr>
            <w:tcW w:w="3282" w:type="pct"/>
            <w:vAlign w:val="bottom"/>
          </w:tcPr>
          <w:p w14:paraId="4C3F18EA" w14:textId="77777777" w:rsidR="00587444" w:rsidRPr="00587444" w:rsidRDefault="00587444" w:rsidP="00587444">
            <w:pPr>
              <w:suppressAutoHyphens w:val="0"/>
              <w:autoSpaceDN/>
              <w:spacing w:line="256" w:lineRule="auto"/>
              <w:rPr>
                <w:rFonts w:ascii="Arial" w:eastAsia="Calibri" w:hAnsi="Arial" w:cs="Arial"/>
                <w:sz w:val="20"/>
                <w:szCs w:val="20"/>
              </w:rPr>
            </w:pPr>
            <w:r w:rsidRPr="00587444">
              <w:rPr>
                <w:rFonts w:ascii="Arial" w:eastAsia="Calibri" w:hAnsi="Arial" w:cs="Arial"/>
                <w:sz w:val="20"/>
                <w:szCs w:val="20"/>
              </w:rPr>
              <w:t>Net foreign exchange</w:t>
            </w:r>
          </w:p>
        </w:tc>
        <w:tc>
          <w:tcPr>
            <w:tcW w:w="859" w:type="pct"/>
            <w:tcBorders>
              <w:left w:val="nil"/>
              <w:right w:val="nil"/>
            </w:tcBorders>
            <w:shd w:val="clear" w:color="auto" w:fill="auto"/>
            <w:vAlign w:val="bottom"/>
          </w:tcPr>
          <w:p w14:paraId="2BAB9895"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1,679</w:t>
            </w:r>
          </w:p>
        </w:tc>
        <w:tc>
          <w:tcPr>
            <w:tcW w:w="859" w:type="pct"/>
            <w:tcBorders>
              <w:left w:val="nil"/>
              <w:right w:val="nil"/>
            </w:tcBorders>
            <w:shd w:val="clear" w:color="auto" w:fill="auto"/>
            <w:vAlign w:val="bottom"/>
          </w:tcPr>
          <w:p w14:paraId="71096238" w14:textId="77777777" w:rsidR="00587444" w:rsidRPr="00587444" w:rsidRDefault="00587444" w:rsidP="00587444">
            <w:pPr>
              <w:tabs>
                <w:tab w:val="right" w:pos="1202"/>
              </w:tabs>
              <w:suppressAutoHyphens w:val="0"/>
              <w:autoSpaceDN/>
              <w:spacing w:line="260" w:lineRule="exact"/>
              <w:jc w:val="right"/>
              <w:outlineLvl w:val="0"/>
              <w:rPr>
                <w:rFonts w:ascii="Arial" w:eastAsia="Calibri" w:hAnsi="Arial" w:cs="Arial"/>
                <w:color w:val="000000"/>
                <w:sz w:val="20"/>
                <w:szCs w:val="20"/>
                <w:lang w:val="hr-HR"/>
              </w:rPr>
            </w:pPr>
            <w:r w:rsidRPr="00587444">
              <w:rPr>
                <w:rFonts w:ascii="Arial" w:eastAsia="Calibri" w:hAnsi="Arial" w:cs="Arial"/>
                <w:color w:val="000000"/>
                <w:sz w:val="20"/>
                <w:szCs w:val="20"/>
                <w:lang w:val="hr-HR"/>
              </w:rPr>
              <w:t>-</w:t>
            </w:r>
          </w:p>
        </w:tc>
      </w:tr>
      <w:tr w:rsidR="00587444" w:rsidRPr="00587444" w14:paraId="0C886A48" w14:textId="77777777" w:rsidTr="00DD69E7">
        <w:trPr>
          <w:trHeight w:hRule="exact" w:val="374"/>
        </w:trPr>
        <w:tc>
          <w:tcPr>
            <w:tcW w:w="3282" w:type="pct"/>
            <w:vAlign w:val="bottom"/>
          </w:tcPr>
          <w:p w14:paraId="68C5060F" w14:textId="77777777" w:rsidR="00587444" w:rsidRPr="00587444" w:rsidRDefault="00587444" w:rsidP="00587444">
            <w:pPr>
              <w:suppressAutoHyphens w:val="0"/>
              <w:autoSpaceDN/>
              <w:spacing w:line="256" w:lineRule="auto"/>
              <w:rPr>
                <w:rFonts w:ascii="Arial" w:eastAsia="Calibri" w:hAnsi="Arial" w:cs="Arial"/>
                <w:sz w:val="20"/>
                <w:szCs w:val="20"/>
              </w:rPr>
            </w:pPr>
            <w:r w:rsidRPr="00587444">
              <w:rPr>
                <w:rFonts w:ascii="Arial" w:eastAsia="Calibri" w:hAnsi="Arial" w:cs="Arial"/>
                <w:sz w:val="20"/>
                <w:szCs w:val="20"/>
              </w:rPr>
              <w:t>Sale of mezzanine loans</w:t>
            </w:r>
          </w:p>
        </w:tc>
        <w:tc>
          <w:tcPr>
            <w:tcW w:w="859" w:type="pct"/>
            <w:tcBorders>
              <w:left w:val="nil"/>
              <w:right w:val="nil"/>
            </w:tcBorders>
            <w:shd w:val="clear" w:color="auto" w:fill="auto"/>
            <w:vAlign w:val="bottom"/>
          </w:tcPr>
          <w:p w14:paraId="69864F4E"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(2,702)</w:t>
            </w:r>
          </w:p>
        </w:tc>
        <w:tc>
          <w:tcPr>
            <w:tcW w:w="859" w:type="pct"/>
            <w:tcBorders>
              <w:left w:val="nil"/>
              <w:right w:val="nil"/>
            </w:tcBorders>
            <w:shd w:val="clear" w:color="auto" w:fill="auto"/>
            <w:vAlign w:val="bottom"/>
          </w:tcPr>
          <w:p w14:paraId="609D45B7" w14:textId="77777777" w:rsidR="00587444" w:rsidRPr="00587444" w:rsidRDefault="00587444" w:rsidP="00587444">
            <w:pPr>
              <w:tabs>
                <w:tab w:val="right" w:pos="1202"/>
              </w:tabs>
              <w:suppressAutoHyphens w:val="0"/>
              <w:autoSpaceDN/>
              <w:spacing w:line="260" w:lineRule="exact"/>
              <w:jc w:val="right"/>
              <w:outlineLvl w:val="0"/>
              <w:rPr>
                <w:rFonts w:ascii="Arial" w:eastAsia="Calibri" w:hAnsi="Arial" w:cs="Arial"/>
                <w:color w:val="000000"/>
                <w:sz w:val="20"/>
                <w:szCs w:val="20"/>
                <w:lang w:val="hr-HR"/>
              </w:rPr>
            </w:pPr>
            <w:r w:rsidRPr="00587444">
              <w:rPr>
                <w:rFonts w:ascii="Arial" w:eastAsia="Calibri" w:hAnsi="Arial" w:cs="Arial"/>
                <w:color w:val="000000"/>
                <w:sz w:val="20"/>
                <w:szCs w:val="20"/>
                <w:lang w:val="hr-HR"/>
              </w:rPr>
              <w:t>-</w:t>
            </w:r>
          </w:p>
        </w:tc>
      </w:tr>
      <w:tr w:rsidR="00587444" w:rsidRPr="00587444" w14:paraId="06FA6F01" w14:textId="77777777" w:rsidTr="00DD69E7">
        <w:trPr>
          <w:trHeight w:hRule="exact" w:val="374"/>
        </w:trPr>
        <w:tc>
          <w:tcPr>
            <w:tcW w:w="3282" w:type="pct"/>
            <w:vAlign w:val="bottom"/>
          </w:tcPr>
          <w:p w14:paraId="6861F5BD" w14:textId="77777777" w:rsidR="00587444" w:rsidRPr="00587444" w:rsidRDefault="00587444" w:rsidP="00587444">
            <w:pPr>
              <w:suppressAutoHyphens w:val="0"/>
              <w:autoSpaceDN/>
              <w:spacing w:line="256" w:lineRule="auto"/>
              <w:rPr>
                <w:rFonts w:ascii="Arial" w:eastAsia="Calibri" w:hAnsi="Arial" w:cs="Arial"/>
                <w:sz w:val="20"/>
                <w:szCs w:val="20"/>
              </w:rPr>
            </w:pPr>
            <w:r w:rsidRPr="00587444">
              <w:rPr>
                <w:rFonts w:ascii="Arial" w:eastAsia="Calibri" w:hAnsi="Arial" w:cs="Arial"/>
                <w:sz w:val="20"/>
                <w:szCs w:val="20"/>
              </w:rPr>
              <w:t>Other</w:t>
            </w:r>
          </w:p>
        </w:tc>
        <w:tc>
          <w:tcPr>
            <w:tcW w:w="859" w:type="pct"/>
            <w:tcBorders>
              <w:left w:val="nil"/>
              <w:bottom w:val="single" w:sz="8" w:space="0" w:color="auto"/>
              <w:right w:val="nil"/>
            </w:tcBorders>
            <w:shd w:val="clear" w:color="auto" w:fill="auto"/>
            <w:vAlign w:val="bottom"/>
          </w:tcPr>
          <w:p w14:paraId="111D4C99" w14:textId="77777777" w:rsidR="00587444" w:rsidRPr="00587444" w:rsidDel="00725F87" w:rsidRDefault="00587444" w:rsidP="00587444">
            <w:pPr>
              <w:tabs>
                <w:tab w:val="right" w:pos="1202"/>
              </w:tabs>
              <w:suppressAutoHyphens w:val="0"/>
              <w:autoSpaceDN/>
              <w:spacing w:line="260" w:lineRule="exact"/>
              <w:jc w:val="right"/>
              <w:outlineLvl w:val="0"/>
              <w:rPr>
                <w:rFonts w:ascii="Arial" w:eastAsia="Calibri" w:hAnsi="Arial" w:cs="Arial"/>
                <w:color w:val="000000"/>
                <w:sz w:val="20"/>
                <w:szCs w:val="20"/>
                <w:lang w:val="hr-HR"/>
              </w:rPr>
            </w:pPr>
            <w:r w:rsidRPr="00587444">
              <w:rPr>
                <w:rFonts w:ascii="Arial" w:eastAsia="Calibri" w:hAnsi="Arial" w:cs="Arial"/>
                <w:color w:val="000000"/>
                <w:sz w:val="20"/>
                <w:szCs w:val="20"/>
                <w:lang w:val="hr-HR"/>
              </w:rPr>
              <w:t>-</w:t>
            </w:r>
          </w:p>
        </w:tc>
        <w:tc>
          <w:tcPr>
            <w:tcW w:w="859" w:type="pct"/>
            <w:tcBorders>
              <w:left w:val="nil"/>
              <w:bottom w:val="single" w:sz="8" w:space="0" w:color="auto"/>
              <w:right w:val="nil"/>
            </w:tcBorders>
            <w:shd w:val="clear" w:color="auto" w:fill="auto"/>
            <w:vAlign w:val="bottom"/>
          </w:tcPr>
          <w:p w14:paraId="2C104381" w14:textId="77777777" w:rsidR="00587444" w:rsidRPr="00587444" w:rsidRDefault="00587444" w:rsidP="00587444">
            <w:pPr>
              <w:tabs>
                <w:tab w:val="right" w:pos="1202"/>
              </w:tabs>
              <w:suppressAutoHyphens w:val="0"/>
              <w:autoSpaceDN/>
              <w:spacing w:line="260" w:lineRule="exact"/>
              <w:jc w:val="right"/>
              <w:outlineLvl w:val="0"/>
              <w:rPr>
                <w:rFonts w:ascii="Arial" w:eastAsia="Calibri" w:hAnsi="Arial" w:cs="Arial"/>
                <w:color w:val="000000"/>
                <w:sz w:val="20"/>
                <w:szCs w:val="20"/>
                <w:lang w:val="hr-HR"/>
              </w:rPr>
            </w:pPr>
            <w:r w:rsidRPr="00587444">
              <w:rPr>
                <w:rFonts w:ascii="Arial" w:eastAsia="Calibri" w:hAnsi="Arial" w:cs="Arial"/>
                <w:color w:val="000000"/>
                <w:sz w:val="20"/>
                <w:szCs w:val="20"/>
                <w:lang w:val="hr-HR"/>
              </w:rPr>
              <w:t>16,045</w:t>
            </w:r>
          </w:p>
        </w:tc>
      </w:tr>
      <w:tr w:rsidR="00587444" w:rsidRPr="00587444" w14:paraId="36C7F9D9" w14:textId="77777777" w:rsidTr="00DD69E7">
        <w:trPr>
          <w:trHeight w:hRule="exact" w:val="397"/>
        </w:trPr>
        <w:tc>
          <w:tcPr>
            <w:tcW w:w="3282" w:type="pct"/>
            <w:vAlign w:val="bottom"/>
          </w:tcPr>
          <w:p w14:paraId="5081233F" w14:textId="77777777" w:rsidR="00587444" w:rsidRPr="00587444" w:rsidRDefault="00587444" w:rsidP="00587444">
            <w:pPr>
              <w:suppressAutoHyphens w:val="0"/>
              <w:autoSpaceDN/>
              <w:rPr>
                <w:rFonts w:ascii="Arial" w:eastAsia="Calibri" w:hAnsi="Arial" w:cs="Arial"/>
                <w:b/>
                <w:bCs/>
                <w:sz w:val="20"/>
                <w:szCs w:val="20"/>
              </w:rPr>
            </w:pPr>
            <w:r w:rsidRPr="00587444">
              <w:rPr>
                <w:rFonts w:ascii="Arial" w:eastAsia="Calibri" w:hAnsi="Arial" w:cs="Arial"/>
                <w:b/>
                <w:bCs/>
                <w:sz w:val="20"/>
                <w:szCs w:val="20"/>
              </w:rPr>
              <w:t xml:space="preserve">Balance as of 31 December </w:t>
            </w:r>
          </w:p>
        </w:tc>
        <w:tc>
          <w:tcPr>
            <w:tcW w:w="859" w:type="pct"/>
            <w:tcBorders>
              <w:top w:val="single" w:sz="8" w:space="0" w:color="000000"/>
              <w:left w:val="nil"/>
              <w:bottom w:val="single" w:sz="12" w:space="0" w:color="auto"/>
              <w:right w:val="nil"/>
            </w:tcBorders>
            <w:shd w:val="clear" w:color="auto" w:fill="auto"/>
            <w:vAlign w:val="bottom"/>
          </w:tcPr>
          <w:p w14:paraId="05321656" w14:textId="77777777" w:rsidR="00587444" w:rsidRPr="00587444" w:rsidRDefault="00587444" w:rsidP="00587444">
            <w:pPr>
              <w:tabs>
                <w:tab w:val="right" w:pos="1202"/>
              </w:tabs>
              <w:suppressAutoHyphens w:val="0"/>
              <w:autoSpaceDN/>
              <w:jc w:val="right"/>
              <w:outlineLvl w:val="0"/>
              <w:rPr>
                <w:rFonts w:ascii="Arial" w:hAnsi="Arial" w:cs="Arial"/>
                <w:b/>
                <w:sz w:val="20"/>
                <w:szCs w:val="20"/>
              </w:rPr>
            </w:pPr>
            <w:r w:rsidRPr="00587444">
              <w:rPr>
                <w:rFonts w:ascii="Arial" w:eastAsia="Calibri" w:hAnsi="Arial" w:cs="Arial"/>
                <w:b/>
                <w:color w:val="000000"/>
                <w:sz w:val="20"/>
                <w:szCs w:val="20"/>
                <w:lang w:val="hr-HR"/>
              </w:rPr>
              <w:t>22,831</w:t>
            </w:r>
          </w:p>
        </w:tc>
        <w:tc>
          <w:tcPr>
            <w:tcW w:w="859" w:type="pct"/>
            <w:tcBorders>
              <w:top w:val="single" w:sz="8" w:space="0" w:color="000000"/>
              <w:left w:val="nil"/>
              <w:bottom w:val="single" w:sz="12" w:space="0" w:color="auto"/>
              <w:right w:val="nil"/>
            </w:tcBorders>
            <w:shd w:val="clear" w:color="auto" w:fill="auto"/>
            <w:vAlign w:val="bottom"/>
          </w:tcPr>
          <w:p w14:paraId="6D8F8AAD" w14:textId="77777777" w:rsidR="00587444" w:rsidRPr="00587444" w:rsidRDefault="00587444" w:rsidP="00587444">
            <w:pPr>
              <w:tabs>
                <w:tab w:val="right" w:pos="1202"/>
              </w:tabs>
              <w:suppressAutoHyphens w:val="0"/>
              <w:autoSpaceDN/>
              <w:jc w:val="right"/>
              <w:outlineLvl w:val="0"/>
              <w:rPr>
                <w:rFonts w:ascii="Arial" w:hAnsi="Arial" w:cs="Arial"/>
                <w:b/>
                <w:sz w:val="20"/>
                <w:szCs w:val="20"/>
              </w:rPr>
            </w:pPr>
            <w:r w:rsidRPr="00587444">
              <w:rPr>
                <w:rFonts w:ascii="Arial" w:eastAsia="Calibri" w:hAnsi="Arial" w:cs="Arial"/>
                <w:b/>
                <w:color w:val="000000"/>
                <w:sz w:val="20"/>
                <w:szCs w:val="20"/>
                <w:lang w:val="hr-HR"/>
              </w:rPr>
              <w:t>16,375</w:t>
            </w:r>
          </w:p>
        </w:tc>
      </w:tr>
    </w:tbl>
    <w:p w14:paraId="30C8BBFF"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1FE0E807"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12320579" w14:textId="77777777" w:rsidR="00587444" w:rsidRPr="00587444" w:rsidRDefault="00587444" w:rsidP="00587444">
      <w:pPr>
        <w:suppressAutoHyphens w:val="0"/>
        <w:autoSpaceDN/>
        <w:jc w:val="both"/>
        <w:rPr>
          <w:rFonts w:ascii="Arial" w:eastAsia="Calibri" w:hAnsi="Arial" w:cs="Arial"/>
          <w:b/>
          <w:sz w:val="20"/>
          <w:szCs w:val="20"/>
        </w:rPr>
      </w:pPr>
    </w:p>
    <w:p w14:paraId="2408BDE3" w14:textId="77777777"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ii) The fair value of Level 3 financial assets measured at fair value upon initial recognition – unlisted debt securities:</w:t>
      </w:r>
    </w:p>
    <w:p w14:paraId="7E697983" w14:textId="77777777" w:rsidR="00587444" w:rsidRPr="00587444" w:rsidRDefault="00587444" w:rsidP="00587444">
      <w:pPr>
        <w:suppressAutoHyphens w:val="0"/>
        <w:autoSpaceDN/>
        <w:jc w:val="both"/>
        <w:rPr>
          <w:rFonts w:ascii="Arial" w:eastAsia="Calibri" w:hAnsi="Arial" w:cs="Arial"/>
          <w:b/>
          <w:sz w:val="20"/>
          <w:szCs w:val="20"/>
        </w:rPr>
      </w:pPr>
    </w:p>
    <w:tbl>
      <w:tblPr>
        <w:tblpPr w:leftFromText="180" w:rightFromText="180" w:vertAnchor="text" w:horzAnchor="margin" w:tblpXSpec="center" w:tblpY="10"/>
        <w:tblW w:w="4773" w:type="pct"/>
        <w:tblCellMar>
          <w:left w:w="122" w:type="dxa"/>
          <w:right w:w="122" w:type="dxa"/>
        </w:tblCellMar>
        <w:tblLook w:val="04A0" w:firstRow="1" w:lastRow="0" w:firstColumn="1" w:lastColumn="0" w:noHBand="0" w:noVBand="1"/>
      </w:tblPr>
      <w:tblGrid>
        <w:gridCol w:w="6110"/>
        <w:gridCol w:w="1600"/>
        <w:gridCol w:w="1453"/>
      </w:tblGrid>
      <w:tr w:rsidR="00587444" w:rsidRPr="00587444" w14:paraId="439E2F44" w14:textId="77777777" w:rsidTr="00DD69E7">
        <w:trPr>
          <w:trHeight w:hRule="exact" w:val="253"/>
        </w:trPr>
        <w:tc>
          <w:tcPr>
            <w:tcW w:w="3334" w:type="pct"/>
          </w:tcPr>
          <w:p w14:paraId="2F67A4CE"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r w:rsidRPr="00587444">
              <w:rPr>
                <w:rFonts w:ascii="Arial" w:hAnsi="Arial" w:cs="Arial"/>
                <w:b/>
                <w:spacing w:val="-2"/>
                <w:sz w:val="20"/>
                <w:szCs w:val="20"/>
              </w:rPr>
              <w:t>Group and Bank</w:t>
            </w:r>
          </w:p>
        </w:tc>
        <w:tc>
          <w:tcPr>
            <w:tcW w:w="873" w:type="pct"/>
            <w:vAlign w:val="center"/>
          </w:tcPr>
          <w:p w14:paraId="362A4363"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1435" w:name="_Toc4063299"/>
            <w:r w:rsidRPr="00587444">
              <w:rPr>
                <w:rFonts w:ascii="Arial" w:hAnsi="Arial" w:cs="Arial"/>
                <w:b/>
                <w:sz w:val="20"/>
                <w:szCs w:val="20"/>
              </w:rPr>
              <w:t>202</w:t>
            </w:r>
            <w:bookmarkEnd w:id="1435"/>
            <w:r w:rsidRPr="00587444">
              <w:rPr>
                <w:rFonts w:ascii="Arial" w:hAnsi="Arial" w:cs="Arial"/>
                <w:b/>
                <w:sz w:val="20"/>
                <w:szCs w:val="20"/>
              </w:rPr>
              <w:t>2</w:t>
            </w:r>
          </w:p>
        </w:tc>
        <w:tc>
          <w:tcPr>
            <w:tcW w:w="793" w:type="pct"/>
          </w:tcPr>
          <w:p w14:paraId="0E67EA8F"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1436" w:name="_Toc4063300"/>
            <w:r w:rsidRPr="00587444">
              <w:rPr>
                <w:rFonts w:ascii="Arial" w:hAnsi="Arial" w:cs="Arial"/>
                <w:b/>
                <w:sz w:val="20"/>
                <w:szCs w:val="20"/>
              </w:rPr>
              <w:t>202</w:t>
            </w:r>
            <w:bookmarkEnd w:id="1436"/>
            <w:r w:rsidRPr="00587444">
              <w:rPr>
                <w:rFonts w:ascii="Arial" w:hAnsi="Arial" w:cs="Arial"/>
                <w:b/>
                <w:sz w:val="20"/>
                <w:szCs w:val="20"/>
              </w:rPr>
              <w:t>1</w:t>
            </w:r>
          </w:p>
        </w:tc>
      </w:tr>
      <w:tr w:rsidR="00587444" w:rsidRPr="00587444" w14:paraId="681501FC" w14:textId="77777777" w:rsidTr="00DD69E7">
        <w:trPr>
          <w:trHeight w:hRule="exact" w:val="227"/>
        </w:trPr>
        <w:tc>
          <w:tcPr>
            <w:tcW w:w="3334" w:type="pct"/>
          </w:tcPr>
          <w:p w14:paraId="268809D6"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p>
        </w:tc>
        <w:tc>
          <w:tcPr>
            <w:tcW w:w="873" w:type="pct"/>
          </w:tcPr>
          <w:p w14:paraId="4BEE312E"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1437" w:name="_Toc4063303"/>
            <w:r w:rsidRPr="00587444">
              <w:rPr>
                <w:rFonts w:ascii="Arial" w:hAnsi="Arial" w:cs="Arial"/>
                <w:b/>
                <w:sz w:val="20"/>
                <w:szCs w:val="20"/>
              </w:rPr>
              <w:t>HRK ‘000</w:t>
            </w:r>
            <w:bookmarkEnd w:id="1437"/>
          </w:p>
        </w:tc>
        <w:tc>
          <w:tcPr>
            <w:tcW w:w="793" w:type="pct"/>
          </w:tcPr>
          <w:p w14:paraId="0BE194C5"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1438" w:name="_Toc4063304"/>
            <w:r w:rsidRPr="00587444">
              <w:rPr>
                <w:rFonts w:ascii="Arial" w:hAnsi="Arial" w:cs="Arial"/>
                <w:b/>
                <w:sz w:val="20"/>
                <w:szCs w:val="20"/>
              </w:rPr>
              <w:t>HRK ‘000</w:t>
            </w:r>
            <w:bookmarkEnd w:id="1438"/>
          </w:p>
        </w:tc>
      </w:tr>
      <w:tr w:rsidR="00587444" w:rsidRPr="00587444" w14:paraId="6F9DD82E" w14:textId="77777777" w:rsidTr="00DD69E7">
        <w:trPr>
          <w:trHeight w:hRule="exact" w:val="284"/>
        </w:trPr>
        <w:tc>
          <w:tcPr>
            <w:tcW w:w="3334" w:type="pct"/>
          </w:tcPr>
          <w:p w14:paraId="08FA1823" w14:textId="77777777" w:rsidR="00587444" w:rsidRPr="00587444" w:rsidRDefault="00587444" w:rsidP="00587444">
            <w:pPr>
              <w:tabs>
                <w:tab w:val="right" w:pos="1202"/>
              </w:tabs>
              <w:suppressAutoHyphens w:val="0"/>
              <w:autoSpaceDN/>
              <w:spacing w:line="260" w:lineRule="exact"/>
              <w:outlineLvl w:val="0"/>
              <w:rPr>
                <w:rFonts w:ascii="Arial" w:hAnsi="Arial" w:cs="Arial"/>
                <w:b/>
                <w:i/>
                <w:spacing w:val="-2"/>
                <w:sz w:val="20"/>
                <w:szCs w:val="20"/>
              </w:rPr>
            </w:pPr>
          </w:p>
        </w:tc>
        <w:tc>
          <w:tcPr>
            <w:tcW w:w="873" w:type="pct"/>
          </w:tcPr>
          <w:p w14:paraId="7D7CA64A"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c>
          <w:tcPr>
            <w:tcW w:w="793" w:type="pct"/>
          </w:tcPr>
          <w:p w14:paraId="32047233"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r>
      <w:tr w:rsidR="00587444" w:rsidRPr="00587444" w14:paraId="1853F185" w14:textId="77777777" w:rsidTr="00DD69E7">
        <w:trPr>
          <w:trHeight w:hRule="exact" w:val="284"/>
        </w:trPr>
        <w:tc>
          <w:tcPr>
            <w:tcW w:w="3334" w:type="pct"/>
            <w:vAlign w:val="bottom"/>
            <w:hideMark/>
          </w:tcPr>
          <w:p w14:paraId="157B4BC2" w14:textId="77777777" w:rsidR="00587444" w:rsidRPr="00587444" w:rsidRDefault="00587444" w:rsidP="00587444">
            <w:pPr>
              <w:suppressAutoHyphens w:val="0"/>
              <w:autoSpaceDN/>
              <w:spacing w:line="256" w:lineRule="auto"/>
              <w:rPr>
                <w:rFonts w:ascii="Arial" w:eastAsia="Calibri" w:hAnsi="Arial" w:cs="Arial"/>
                <w:b/>
                <w:bCs/>
                <w:sz w:val="20"/>
                <w:szCs w:val="20"/>
              </w:rPr>
            </w:pPr>
            <w:r w:rsidRPr="00587444">
              <w:rPr>
                <w:rFonts w:ascii="Arial" w:eastAsia="Calibri" w:hAnsi="Arial" w:cs="Arial"/>
                <w:b/>
                <w:bCs/>
                <w:sz w:val="20"/>
                <w:szCs w:val="20"/>
              </w:rPr>
              <w:t xml:space="preserve">Balance as </w:t>
            </w:r>
            <w:proofErr w:type="gramStart"/>
            <w:r w:rsidRPr="00587444">
              <w:rPr>
                <w:rFonts w:ascii="Arial" w:eastAsia="Calibri" w:hAnsi="Arial" w:cs="Arial"/>
                <w:b/>
                <w:bCs/>
                <w:sz w:val="20"/>
                <w:szCs w:val="20"/>
              </w:rPr>
              <w:t>at</w:t>
            </w:r>
            <w:proofErr w:type="gramEnd"/>
            <w:r w:rsidRPr="00587444">
              <w:rPr>
                <w:rFonts w:ascii="Arial" w:eastAsia="Calibri" w:hAnsi="Arial" w:cs="Arial"/>
                <w:b/>
                <w:bCs/>
                <w:sz w:val="20"/>
                <w:szCs w:val="20"/>
              </w:rPr>
              <w:t xml:space="preserve"> 1 January </w:t>
            </w:r>
          </w:p>
        </w:tc>
        <w:tc>
          <w:tcPr>
            <w:tcW w:w="873" w:type="pct"/>
            <w:tcBorders>
              <w:top w:val="nil"/>
              <w:left w:val="nil"/>
              <w:bottom w:val="single" w:sz="2" w:space="0" w:color="auto"/>
              <w:right w:val="nil"/>
            </w:tcBorders>
            <w:vAlign w:val="bottom"/>
          </w:tcPr>
          <w:p w14:paraId="36160C72"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color w:val="000000"/>
                <w:sz w:val="20"/>
                <w:szCs w:val="20"/>
                <w:lang w:val="hr-HR"/>
              </w:rPr>
              <w:t>2,176</w:t>
            </w:r>
          </w:p>
        </w:tc>
        <w:tc>
          <w:tcPr>
            <w:tcW w:w="793" w:type="pct"/>
            <w:tcBorders>
              <w:top w:val="nil"/>
              <w:left w:val="nil"/>
              <w:bottom w:val="single" w:sz="2" w:space="0" w:color="auto"/>
              <w:right w:val="nil"/>
            </w:tcBorders>
            <w:vAlign w:val="bottom"/>
          </w:tcPr>
          <w:p w14:paraId="06E84962"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r w:rsidRPr="00587444">
              <w:rPr>
                <w:rFonts w:ascii="Arial" w:eastAsia="Calibri" w:hAnsi="Arial" w:cs="Arial"/>
                <w:b/>
                <w:color w:val="000000"/>
                <w:sz w:val="20"/>
                <w:szCs w:val="20"/>
                <w:lang w:val="hr-HR"/>
              </w:rPr>
              <w:t>2,262</w:t>
            </w:r>
          </w:p>
        </w:tc>
      </w:tr>
      <w:tr w:rsidR="00587444" w:rsidRPr="00587444" w14:paraId="6EDED384" w14:textId="77777777" w:rsidTr="00DD69E7">
        <w:trPr>
          <w:trHeight w:hRule="exact" w:val="374"/>
        </w:trPr>
        <w:tc>
          <w:tcPr>
            <w:tcW w:w="3334" w:type="pct"/>
            <w:vAlign w:val="bottom"/>
            <w:hideMark/>
          </w:tcPr>
          <w:p w14:paraId="676548A4" w14:textId="77777777" w:rsidR="00587444" w:rsidRPr="00587444" w:rsidRDefault="00587444" w:rsidP="00587444">
            <w:pPr>
              <w:suppressAutoHyphens w:val="0"/>
              <w:autoSpaceDN/>
              <w:spacing w:line="256" w:lineRule="auto"/>
              <w:rPr>
                <w:rFonts w:ascii="Arial" w:eastAsia="Calibri" w:hAnsi="Arial" w:cs="Arial"/>
                <w:sz w:val="20"/>
                <w:szCs w:val="20"/>
              </w:rPr>
            </w:pPr>
            <w:r w:rsidRPr="00587444">
              <w:rPr>
                <w:rFonts w:ascii="Arial" w:eastAsia="Calibri" w:hAnsi="Arial" w:cs="Arial"/>
                <w:sz w:val="20"/>
                <w:szCs w:val="20"/>
              </w:rPr>
              <w:t>Decrease in fair value through other comprehensive income</w:t>
            </w:r>
          </w:p>
        </w:tc>
        <w:tc>
          <w:tcPr>
            <w:tcW w:w="873" w:type="pct"/>
            <w:tcBorders>
              <w:top w:val="nil"/>
              <w:left w:val="nil"/>
              <w:right w:val="nil"/>
            </w:tcBorders>
            <w:shd w:val="clear" w:color="auto" w:fill="auto"/>
            <w:vAlign w:val="bottom"/>
          </w:tcPr>
          <w:p w14:paraId="33A0A6CD"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(71)</w:t>
            </w:r>
          </w:p>
        </w:tc>
        <w:tc>
          <w:tcPr>
            <w:tcW w:w="793" w:type="pct"/>
            <w:tcBorders>
              <w:top w:val="nil"/>
              <w:left w:val="nil"/>
              <w:right w:val="nil"/>
            </w:tcBorders>
            <w:shd w:val="clear" w:color="auto" w:fill="auto"/>
            <w:vAlign w:val="bottom"/>
          </w:tcPr>
          <w:p w14:paraId="352BDD8A"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(22)</w:t>
            </w:r>
          </w:p>
        </w:tc>
      </w:tr>
      <w:tr w:rsidR="00587444" w:rsidRPr="00587444" w14:paraId="1F509367" w14:textId="77777777" w:rsidTr="00DD69E7">
        <w:trPr>
          <w:trHeight w:hRule="exact" w:val="340"/>
        </w:trPr>
        <w:tc>
          <w:tcPr>
            <w:tcW w:w="3334" w:type="pct"/>
            <w:vAlign w:val="bottom"/>
          </w:tcPr>
          <w:p w14:paraId="75656DBB" w14:textId="77777777" w:rsidR="00587444" w:rsidRPr="00587444" w:rsidRDefault="00587444" w:rsidP="00587444">
            <w:pPr>
              <w:suppressAutoHyphens w:val="0"/>
              <w:autoSpaceDN/>
              <w:spacing w:line="256" w:lineRule="auto"/>
              <w:rPr>
                <w:rFonts w:ascii="Arial" w:eastAsia="Calibri" w:hAnsi="Arial" w:cs="Arial"/>
                <w:sz w:val="20"/>
                <w:szCs w:val="20"/>
              </w:rPr>
            </w:pPr>
            <w:r w:rsidRPr="00587444">
              <w:rPr>
                <w:rFonts w:ascii="Arial" w:eastAsia="Calibri" w:hAnsi="Arial" w:cs="Arial"/>
                <w:sz w:val="20"/>
                <w:szCs w:val="20"/>
              </w:rPr>
              <w:t>Net foreign exchange</w:t>
            </w:r>
          </w:p>
        </w:tc>
        <w:tc>
          <w:tcPr>
            <w:tcW w:w="873" w:type="pct"/>
            <w:tcBorders>
              <w:top w:val="nil"/>
              <w:left w:val="nil"/>
              <w:right w:val="nil"/>
            </w:tcBorders>
            <w:shd w:val="clear" w:color="auto" w:fill="auto"/>
            <w:vAlign w:val="bottom"/>
          </w:tcPr>
          <w:p w14:paraId="4F2F85A9"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7</w:t>
            </w:r>
          </w:p>
        </w:tc>
        <w:tc>
          <w:tcPr>
            <w:tcW w:w="793" w:type="pct"/>
            <w:tcBorders>
              <w:top w:val="nil"/>
              <w:left w:val="nil"/>
              <w:right w:val="nil"/>
            </w:tcBorders>
            <w:shd w:val="clear" w:color="auto" w:fill="auto"/>
            <w:vAlign w:val="bottom"/>
          </w:tcPr>
          <w:p w14:paraId="6D277F6E"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(14)</w:t>
            </w:r>
          </w:p>
        </w:tc>
      </w:tr>
      <w:tr w:rsidR="00587444" w:rsidRPr="00587444" w14:paraId="016A7135" w14:textId="77777777" w:rsidTr="00DD69E7">
        <w:trPr>
          <w:trHeight w:hRule="exact" w:val="340"/>
        </w:trPr>
        <w:tc>
          <w:tcPr>
            <w:tcW w:w="3334" w:type="pct"/>
            <w:vAlign w:val="bottom"/>
          </w:tcPr>
          <w:p w14:paraId="71339462" w14:textId="77777777" w:rsidR="00587444" w:rsidRPr="00587444" w:rsidRDefault="00587444" w:rsidP="00587444">
            <w:pPr>
              <w:suppressAutoHyphens w:val="0"/>
              <w:autoSpaceDN/>
              <w:spacing w:line="256" w:lineRule="auto"/>
              <w:rPr>
                <w:rFonts w:ascii="Arial" w:eastAsia="Calibri" w:hAnsi="Arial" w:cs="Arial"/>
                <w:sz w:val="20"/>
                <w:szCs w:val="20"/>
              </w:rPr>
            </w:pPr>
            <w:r w:rsidRPr="00587444">
              <w:rPr>
                <w:rFonts w:ascii="Arial" w:eastAsia="Calibri" w:hAnsi="Arial" w:cs="Arial"/>
                <w:sz w:val="20"/>
                <w:szCs w:val="20"/>
              </w:rPr>
              <w:t xml:space="preserve">Accrued interest </w:t>
            </w:r>
          </w:p>
        </w:tc>
        <w:tc>
          <w:tcPr>
            <w:tcW w:w="873" w:type="pct"/>
            <w:tcBorders>
              <w:left w:val="nil"/>
              <w:bottom w:val="single" w:sz="8" w:space="0" w:color="000000"/>
              <w:right w:val="nil"/>
            </w:tcBorders>
            <w:shd w:val="clear" w:color="auto" w:fill="auto"/>
            <w:vAlign w:val="bottom"/>
          </w:tcPr>
          <w:p w14:paraId="62D055C1"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(144)</w:t>
            </w:r>
          </w:p>
        </w:tc>
        <w:tc>
          <w:tcPr>
            <w:tcW w:w="793" w:type="pct"/>
            <w:tcBorders>
              <w:left w:val="nil"/>
              <w:bottom w:val="single" w:sz="8" w:space="0" w:color="000000"/>
              <w:right w:val="nil"/>
            </w:tcBorders>
            <w:shd w:val="clear" w:color="auto" w:fill="auto"/>
            <w:vAlign w:val="bottom"/>
          </w:tcPr>
          <w:p w14:paraId="6D76CB84"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r w:rsidRPr="00587444">
              <w:rPr>
                <w:rFonts w:ascii="Arial" w:eastAsia="Calibri" w:hAnsi="Arial" w:cs="Arial"/>
                <w:color w:val="000000"/>
                <w:sz w:val="20"/>
                <w:szCs w:val="20"/>
                <w:lang w:val="hr-HR"/>
              </w:rPr>
              <w:t>(50)</w:t>
            </w:r>
          </w:p>
        </w:tc>
      </w:tr>
      <w:tr w:rsidR="00587444" w:rsidRPr="00587444" w14:paraId="4FEA8BBA" w14:textId="77777777" w:rsidTr="00DD69E7">
        <w:trPr>
          <w:trHeight w:hRule="exact" w:val="397"/>
        </w:trPr>
        <w:tc>
          <w:tcPr>
            <w:tcW w:w="3334" w:type="pct"/>
            <w:vAlign w:val="bottom"/>
          </w:tcPr>
          <w:p w14:paraId="6B85A13E" w14:textId="77777777" w:rsidR="00587444" w:rsidRPr="00587444" w:rsidRDefault="00587444" w:rsidP="00587444">
            <w:pPr>
              <w:suppressAutoHyphens w:val="0"/>
              <w:autoSpaceDN/>
              <w:rPr>
                <w:rFonts w:ascii="Arial" w:eastAsia="Calibri" w:hAnsi="Arial" w:cs="Arial"/>
                <w:b/>
                <w:bCs/>
                <w:sz w:val="20"/>
                <w:szCs w:val="20"/>
              </w:rPr>
            </w:pPr>
            <w:r w:rsidRPr="00587444">
              <w:rPr>
                <w:rFonts w:ascii="Arial" w:eastAsia="Calibri" w:hAnsi="Arial" w:cs="Arial"/>
                <w:b/>
                <w:bCs/>
                <w:sz w:val="20"/>
                <w:szCs w:val="20"/>
              </w:rPr>
              <w:t xml:space="preserve">Balance as of 31 December </w:t>
            </w:r>
          </w:p>
        </w:tc>
        <w:tc>
          <w:tcPr>
            <w:tcW w:w="873" w:type="pct"/>
            <w:tcBorders>
              <w:top w:val="single" w:sz="8" w:space="0" w:color="000000"/>
              <w:left w:val="nil"/>
              <w:bottom w:val="single" w:sz="12" w:space="0" w:color="auto"/>
              <w:right w:val="nil"/>
            </w:tcBorders>
            <w:shd w:val="clear" w:color="auto" w:fill="auto"/>
            <w:vAlign w:val="bottom"/>
          </w:tcPr>
          <w:p w14:paraId="0087C110" w14:textId="77777777" w:rsidR="00587444" w:rsidRPr="00587444" w:rsidRDefault="00587444" w:rsidP="00587444">
            <w:pPr>
              <w:tabs>
                <w:tab w:val="right" w:pos="1202"/>
              </w:tabs>
              <w:suppressAutoHyphens w:val="0"/>
              <w:autoSpaceDN/>
              <w:jc w:val="right"/>
              <w:outlineLvl w:val="0"/>
              <w:rPr>
                <w:rFonts w:ascii="Arial" w:hAnsi="Arial" w:cs="Arial"/>
                <w:b/>
                <w:sz w:val="20"/>
                <w:szCs w:val="20"/>
              </w:rPr>
            </w:pPr>
            <w:r w:rsidRPr="00587444">
              <w:rPr>
                <w:rFonts w:ascii="Arial" w:eastAsia="Calibri" w:hAnsi="Arial" w:cs="Arial"/>
                <w:b/>
                <w:color w:val="000000"/>
                <w:sz w:val="20"/>
                <w:szCs w:val="20"/>
                <w:lang w:val="hr-HR"/>
              </w:rPr>
              <w:t>1,968</w:t>
            </w:r>
          </w:p>
        </w:tc>
        <w:tc>
          <w:tcPr>
            <w:tcW w:w="793" w:type="pct"/>
            <w:tcBorders>
              <w:top w:val="single" w:sz="8" w:space="0" w:color="000000"/>
              <w:left w:val="nil"/>
              <w:bottom w:val="single" w:sz="12" w:space="0" w:color="auto"/>
              <w:right w:val="nil"/>
            </w:tcBorders>
            <w:shd w:val="clear" w:color="auto" w:fill="auto"/>
            <w:vAlign w:val="bottom"/>
          </w:tcPr>
          <w:p w14:paraId="7306334A" w14:textId="77777777" w:rsidR="00587444" w:rsidRPr="00587444" w:rsidRDefault="00587444" w:rsidP="00587444">
            <w:pPr>
              <w:tabs>
                <w:tab w:val="right" w:pos="1202"/>
              </w:tabs>
              <w:suppressAutoHyphens w:val="0"/>
              <w:autoSpaceDN/>
              <w:jc w:val="right"/>
              <w:outlineLvl w:val="0"/>
              <w:rPr>
                <w:rFonts w:ascii="Arial" w:hAnsi="Arial" w:cs="Arial"/>
                <w:b/>
                <w:sz w:val="20"/>
                <w:szCs w:val="20"/>
              </w:rPr>
            </w:pPr>
            <w:r w:rsidRPr="00587444">
              <w:rPr>
                <w:rFonts w:ascii="Arial" w:eastAsia="Calibri" w:hAnsi="Arial" w:cs="Arial"/>
                <w:b/>
                <w:color w:val="000000"/>
                <w:sz w:val="20"/>
                <w:szCs w:val="20"/>
                <w:lang w:val="hr-HR"/>
              </w:rPr>
              <w:t>2,176</w:t>
            </w:r>
          </w:p>
        </w:tc>
      </w:tr>
    </w:tbl>
    <w:p w14:paraId="73FF4EE3" w14:textId="77777777" w:rsidR="00587444" w:rsidRPr="00587444" w:rsidRDefault="00587444" w:rsidP="00587444">
      <w:pPr>
        <w:suppressAutoHyphens w:val="0"/>
        <w:autoSpaceDN/>
        <w:jc w:val="both"/>
        <w:rPr>
          <w:rFonts w:ascii="Arial" w:hAnsi="Arial" w:cs="Arial"/>
          <w:b/>
          <w:bCs/>
          <w:spacing w:val="-3"/>
          <w:sz w:val="20"/>
          <w:szCs w:val="20"/>
        </w:rPr>
      </w:pPr>
    </w:p>
    <w:p w14:paraId="24823F05" w14:textId="77777777" w:rsidR="00587444" w:rsidRPr="00587444" w:rsidRDefault="00587444" w:rsidP="00587444">
      <w:pPr>
        <w:suppressAutoHyphens w:val="0"/>
        <w:autoSpaceDN/>
        <w:rPr>
          <w:rFonts w:ascii="Arial" w:hAnsi="Arial" w:cs="Arial"/>
          <w:b/>
          <w:bCs/>
          <w:spacing w:val="-3"/>
          <w:sz w:val="20"/>
          <w:szCs w:val="20"/>
          <w:lang w:val="en-GB"/>
        </w:rPr>
      </w:pPr>
      <w:r w:rsidRPr="00587444">
        <w:rPr>
          <w:rFonts w:ascii="Arial" w:hAnsi="Arial" w:cs="Arial"/>
          <w:spacing w:val="-3"/>
          <w:sz w:val="20"/>
          <w:szCs w:val="20"/>
          <w:lang w:val="en-GB"/>
        </w:rPr>
        <w:br w:type="page"/>
      </w:r>
    </w:p>
    <w:p w14:paraId="33B873AA"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463A1A39" w14:textId="77777777" w:rsidR="00587444" w:rsidRPr="00587444" w:rsidRDefault="00587444" w:rsidP="00587444">
      <w:pPr>
        <w:keepNext/>
        <w:suppressAutoHyphens w:val="0"/>
        <w:autoSpaceDN/>
        <w:jc w:val="both"/>
        <w:rPr>
          <w:rFonts w:ascii="Arial" w:hAnsi="Arial" w:cs="Arial"/>
          <w:b/>
          <w:bCs/>
          <w:spacing w:val="-3"/>
          <w:sz w:val="20"/>
          <w:szCs w:val="20"/>
          <w:lang w:val="en-GB"/>
        </w:rPr>
      </w:pPr>
      <w:r w:rsidRPr="00587444">
        <w:rPr>
          <w:rFonts w:ascii="Arial" w:hAnsi="Arial" w:cs="Arial"/>
          <w:b/>
          <w:bCs/>
          <w:spacing w:val="-3"/>
          <w:sz w:val="20"/>
          <w:szCs w:val="20"/>
          <w:lang w:val="en-GB"/>
        </w:rPr>
        <w:t xml:space="preserve">32. </w:t>
      </w:r>
      <w:r w:rsidRPr="00587444">
        <w:rPr>
          <w:rFonts w:ascii="Arial" w:hAnsi="Arial" w:cs="Arial"/>
          <w:b/>
          <w:bCs/>
          <w:spacing w:val="-3"/>
          <w:sz w:val="20"/>
          <w:szCs w:val="20"/>
          <w:lang w:val="en-GB"/>
        </w:rPr>
        <w:tab/>
        <w:t>Fair value of financial assets and financial liabilities (continued)</w:t>
      </w:r>
    </w:p>
    <w:p w14:paraId="3E0CD1E7"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0CDD528E"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 xml:space="preserve">32.2. </w:t>
      </w:r>
      <w:r w:rsidRPr="00587444">
        <w:rPr>
          <w:rFonts w:ascii="Arial" w:hAnsi="Arial" w:cs="Arial"/>
          <w:b/>
          <w:bCs/>
          <w:spacing w:val="-3"/>
          <w:sz w:val="20"/>
          <w:szCs w:val="20"/>
          <w:lang w:val="en-GB"/>
        </w:rPr>
        <w:tab/>
        <w:t>Financial instruments not measured at fair value</w:t>
      </w:r>
    </w:p>
    <w:p w14:paraId="21B4B794"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2CF35FC4" w14:textId="77777777"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 xml:space="preserve">The following table sets out the fair values of financial instruments not measured at fair value and analyses them by level in the fair value hierarchy into which each fair value measurement is </w:t>
      </w:r>
      <w:proofErr w:type="spellStart"/>
      <w:r w:rsidRPr="00587444">
        <w:rPr>
          <w:rFonts w:ascii="Arial" w:eastAsia="Calibri" w:hAnsi="Arial" w:cs="Arial"/>
          <w:sz w:val="20"/>
          <w:szCs w:val="20"/>
        </w:rPr>
        <w:t>categorised</w:t>
      </w:r>
      <w:proofErr w:type="spellEnd"/>
      <w:r w:rsidRPr="00587444">
        <w:rPr>
          <w:rFonts w:ascii="Arial" w:eastAsia="Calibri" w:hAnsi="Arial" w:cs="Arial"/>
          <w:sz w:val="20"/>
          <w:szCs w:val="20"/>
        </w:rPr>
        <w:t>.</w:t>
      </w:r>
    </w:p>
    <w:tbl>
      <w:tblPr>
        <w:tblpPr w:leftFromText="181" w:rightFromText="181" w:vertAnchor="text" w:horzAnchor="margin" w:tblpY="360"/>
        <w:tblW w:w="9627" w:type="dxa"/>
        <w:tblLook w:val="0000" w:firstRow="0" w:lastRow="0" w:firstColumn="0" w:lastColumn="0" w:noHBand="0" w:noVBand="0"/>
      </w:tblPr>
      <w:tblGrid>
        <w:gridCol w:w="3417"/>
        <w:gridCol w:w="1042"/>
        <w:gridCol w:w="1043"/>
        <w:gridCol w:w="1132"/>
        <w:gridCol w:w="1432"/>
        <w:gridCol w:w="1561"/>
      </w:tblGrid>
      <w:tr w:rsidR="00587444" w:rsidRPr="00587444" w14:paraId="03D191AE" w14:textId="77777777" w:rsidTr="00DD69E7">
        <w:trPr>
          <w:trHeight w:val="252"/>
        </w:trPr>
        <w:tc>
          <w:tcPr>
            <w:tcW w:w="0" w:type="auto"/>
            <w:vAlign w:val="bottom"/>
          </w:tcPr>
          <w:p w14:paraId="0FADA21F" w14:textId="77777777" w:rsidR="00587444" w:rsidRPr="00587444" w:rsidRDefault="00587444" w:rsidP="00587444">
            <w:pPr>
              <w:suppressAutoHyphens w:val="0"/>
              <w:autoSpaceDN/>
              <w:rPr>
                <w:rFonts w:ascii="Arial" w:hAnsi="Arial" w:cs="Arial"/>
                <w:b/>
                <w:sz w:val="18"/>
                <w:szCs w:val="18"/>
              </w:rPr>
            </w:pPr>
            <w:bookmarkStart w:id="1439" w:name="_Hlk36043439"/>
            <w:r w:rsidRPr="00587444">
              <w:rPr>
                <w:rFonts w:ascii="Arial" w:hAnsi="Arial" w:cs="Arial"/>
                <w:b/>
                <w:sz w:val="18"/>
                <w:szCs w:val="18"/>
              </w:rPr>
              <w:t>Group</w:t>
            </w:r>
          </w:p>
          <w:p w14:paraId="1331306B" w14:textId="77777777" w:rsidR="00587444" w:rsidRPr="00587444" w:rsidRDefault="00587444" w:rsidP="00587444">
            <w:pPr>
              <w:suppressAutoHyphens w:val="0"/>
              <w:autoSpaceDN/>
              <w:rPr>
                <w:rFonts w:ascii="Arial" w:hAnsi="Arial" w:cs="Arial"/>
                <w:b/>
                <w:sz w:val="18"/>
                <w:szCs w:val="18"/>
              </w:rPr>
            </w:pPr>
            <w:r w:rsidRPr="00587444">
              <w:rPr>
                <w:rFonts w:ascii="Arial" w:hAnsi="Arial" w:cs="Arial"/>
                <w:b/>
                <w:sz w:val="18"/>
                <w:szCs w:val="18"/>
              </w:rPr>
              <w:t>31 December 2022</w:t>
            </w:r>
          </w:p>
        </w:tc>
        <w:tc>
          <w:tcPr>
            <w:tcW w:w="1042" w:type="dxa"/>
            <w:vAlign w:val="center"/>
          </w:tcPr>
          <w:p w14:paraId="611B3257"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1</w:t>
            </w:r>
          </w:p>
        </w:tc>
        <w:tc>
          <w:tcPr>
            <w:tcW w:w="1043" w:type="dxa"/>
            <w:vAlign w:val="center"/>
          </w:tcPr>
          <w:p w14:paraId="6B6719A8"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2</w:t>
            </w:r>
          </w:p>
        </w:tc>
        <w:tc>
          <w:tcPr>
            <w:tcW w:w="1132" w:type="dxa"/>
            <w:vAlign w:val="center"/>
          </w:tcPr>
          <w:p w14:paraId="6D502B01"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3</w:t>
            </w:r>
          </w:p>
        </w:tc>
        <w:tc>
          <w:tcPr>
            <w:tcW w:w="1432" w:type="dxa"/>
            <w:vAlign w:val="center"/>
          </w:tcPr>
          <w:p w14:paraId="74C8CA8C" w14:textId="77777777" w:rsidR="00D53A27"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 xml:space="preserve">Total fair </w:t>
            </w:r>
          </w:p>
          <w:p w14:paraId="378EB1A3" w14:textId="12CD9B3A"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values</w:t>
            </w:r>
          </w:p>
        </w:tc>
        <w:tc>
          <w:tcPr>
            <w:tcW w:w="1561" w:type="dxa"/>
            <w:vAlign w:val="center"/>
          </w:tcPr>
          <w:p w14:paraId="78417FD2"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Total carrying amount</w:t>
            </w:r>
          </w:p>
        </w:tc>
      </w:tr>
      <w:tr w:rsidR="00587444" w:rsidRPr="00587444" w14:paraId="5D1853F7" w14:textId="77777777" w:rsidTr="00DD69E7">
        <w:trPr>
          <w:trHeight w:hRule="exact" w:val="236"/>
        </w:trPr>
        <w:tc>
          <w:tcPr>
            <w:tcW w:w="0" w:type="auto"/>
            <w:vAlign w:val="bottom"/>
          </w:tcPr>
          <w:p w14:paraId="19CE7364" w14:textId="77777777" w:rsidR="00587444" w:rsidRPr="00587444" w:rsidRDefault="00587444" w:rsidP="00587444">
            <w:pPr>
              <w:suppressAutoHyphens w:val="0"/>
              <w:autoSpaceDN/>
              <w:rPr>
                <w:rFonts w:ascii="Arial" w:hAnsi="Arial" w:cs="Arial"/>
                <w:sz w:val="18"/>
                <w:szCs w:val="18"/>
              </w:rPr>
            </w:pPr>
          </w:p>
        </w:tc>
        <w:tc>
          <w:tcPr>
            <w:tcW w:w="1042" w:type="dxa"/>
            <w:vAlign w:val="center"/>
          </w:tcPr>
          <w:p w14:paraId="202D7921"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c>
          <w:tcPr>
            <w:tcW w:w="1043" w:type="dxa"/>
            <w:vAlign w:val="center"/>
          </w:tcPr>
          <w:p w14:paraId="0B8CAA81"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c>
          <w:tcPr>
            <w:tcW w:w="1132" w:type="dxa"/>
            <w:vAlign w:val="center"/>
          </w:tcPr>
          <w:p w14:paraId="2E75BD3A"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c>
          <w:tcPr>
            <w:tcW w:w="1432" w:type="dxa"/>
            <w:vAlign w:val="center"/>
          </w:tcPr>
          <w:p w14:paraId="75E933E8"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c>
          <w:tcPr>
            <w:tcW w:w="1561" w:type="dxa"/>
            <w:vAlign w:val="center"/>
          </w:tcPr>
          <w:p w14:paraId="0E794352"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r>
      <w:tr w:rsidR="00587444" w:rsidRPr="00587444" w14:paraId="58B15F4A" w14:textId="77777777" w:rsidTr="00DD69E7">
        <w:trPr>
          <w:trHeight w:hRule="exact" w:val="148"/>
        </w:trPr>
        <w:tc>
          <w:tcPr>
            <w:tcW w:w="0" w:type="auto"/>
            <w:vAlign w:val="bottom"/>
          </w:tcPr>
          <w:p w14:paraId="095A06E5" w14:textId="77777777" w:rsidR="00587444" w:rsidRPr="00587444" w:rsidRDefault="00587444" w:rsidP="00587444">
            <w:pPr>
              <w:suppressAutoHyphens w:val="0"/>
              <w:autoSpaceDN/>
              <w:rPr>
                <w:rFonts w:ascii="Arial" w:hAnsi="Arial" w:cs="Arial"/>
                <w:sz w:val="18"/>
                <w:szCs w:val="18"/>
              </w:rPr>
            </w:pPr>
          </w:p>
        </w:tc>
        <w:tc>
          <w:tcPr>
            <w:tcW w:w="1042" w:type="dxa"/>
            <w:vAlign w:val="center"/>
          </w:tcPr>
          <w:p w14:paraId="5DC742B3" w14:textId="77777777" w:rsidR="00587444" w:rsidRPr="00587444" w:rsidRDefault="00587444" w:rsidP="00587444">
            <w:pPr>
              <w:suppressAutoHyphens w:val="0"/>
              <w:autoSpaceDN/>
              <w:jc w:val="right"/>
              <w:rPr>
                <w:rFonts w:ascii="Arial" w:hAnsi="Arial" w:cs="Arial"/>
                <w:b/>
                <w:sz w:val="18"/>
                <w:szCs w:val="18"/>
              </w:rPr>
            </w:pPr>
          </w:p>
        </w:tc>
        <w:tc>
          <w:tcPr>
            <w:tcW w:w="1043" w:type="dxa"/>
            <w:vAlign w:val="center"/>
          </w:tcPr>
          <w:p w14:paraId="4056C01E" w14:textId="77777777" w:rsidR="00587444" w:rsidRPr="00587444" w:rsidRDefault="00587444" w:rsidP="00587444">
            <w:pPr>
              <w:suppressAutoHyphens w:val="0"/>
              <w:autoSpaceDN/>
              <w:jc w:val="right"/>
              <w:rPr>
                <w:rFonts w:ascii="Arial" w:hAnsi="Arial" w:cs="Arial"/>
                <w:b/>
                <w:sz w:val="18"/>
                <w:szCs w:val="18"/>
              </w:rPr>
            </w:pPr>
          </w:p>
        </w:tc>
        <w:tc>
          <w:tcPr>
            <w:tcW w:w="1132" w:type="dxa"/>
            <w:vAlign w:val="center"/>
          </w:tcPr>
          <w:p w14:paraId="5B1518BC" w14:textId="77777777" w:rsidR="00587444" w:rsidRPr="00587444" w:rsidRDefault="00587444" w:rsidP="00587444">
            <w:pPr>
              <w:suppressAutoHyphens w:val="0"/>
              <w:autoSpaceDN/>
              <w:jc w:val="right"/>
              <w:rPr>
                <w:rFonts w:ascii="Arial" w:hAnsi="Arial" w:cs="Arial"/>
                <w:b/>
                <w:sz w:val="18"/>
                <w:szCs w:val="18"/>
              </w:rPr>
            </w:pPr>
          </w:p>
        </w:tc>
        <w:tc>
          <w:tcPr>
            <w:tcW w:w="1432" w:type="dxa"/>
            <w:vAlign w:val="center"/>
          </w:tcPr>
          <w:p w14:paraId="5362DC55" w14:textId="77777777" w:rsidR="00587444" w:rsidRPr="00587444" w:rsidRDefault="00587444" w:rsidP="00587444">
            <w:pPr>
              <w:suppressAutoHyphens w:val="0"/>
              <w:autoSpaceDN/>
              <w:jc w:val="right"/>
              <w:rPr>
                <w:rFonts w:ascii="Arial" w:hAnsi="Arial" w:cs="Arial"/>
                <w:b/>
                <w:sz w:val="18"/>
                <w:szCs w:val="18"/>
              </w:rPr>
            </w:pPr>
          </w:p>
        </w:tc>
        <w:tc>
          <w:tcPr>
            <w:tcW w:w="1561" w:type="dxa"/>
            <w:vAlign w:val="center"/>
          </w:tcPr>
          <w:p w14:paraId="12AB8245" w14:textId="77777777" w:rsidR="00587444" w:rsidRPr="00587444" w:rsidRDefault="00587444" w:rsidP="00587444">
            <w:pPr>
              <w:suppressAutoHyphens w:val="0"/>
              <w:autoSpaceDN/>
              <w:jc w:val="right"/>
              <w:rPr>
                <w:rFonts w:ascii="Arial" w:hAnsi="Arial" w:cs="Arial"/>
                <w:b/>
                <w:sz w:val="18"/>
                <w:szCs w:val="18"/>
              </w:rPr>
            </w:pPr>
          </w:p>
        </w:tc>
      </w:tr>
      <w:tr w:rsidR="00587444" w:rsidRPr="00587444" w14:paraId="0D4A27A3" w14:textId="77777777" w:rsidTr="00DD69E7">
        <w:trPr>
          <w:trHeight w:val="259"/>
        </w:trPr>
        <w:tc>
          <w:tcPr>
            <w:tcW w:w="0" w:type="auto"/>
            <w:vAlign w:val="bottom"/>
          </w:tcPr>
          <w:p w14:paraId="27A18C00" w14:textId="77777777" w:rsidR="00587444" w:rsidRPr="00587444" w:rsidRDefault="00587444" w:rsidP="00587444">
            <w:pPr>
              <w:tabs>
                <w:tab w:val="right" w:pos="1202"/>
              </w:tabs>
              <w:suppressAutoHyphens w:val="0"/>
              <w:autoSpaceDN/>
              <w:outlineLvl w:val="0"/>
              <w:rPr>
                <w:rFonts w:ascii="Arial" w:hAnsi="Arial" w:cs="Arial"/>
                <w:b/>
                <w:bCs/>
                <w:sz w:val="18"/>
                <w:szCs w:val="18"/>
              </w:rPr>
            </w:pPr>
            <w:bookmarkStart w:id="1440" w:name="_Toc4063325"/>
            <w:r w:rsidRPr="00587444">
              <w:rPr>
                <w:rFonts w:ascii="Arial" w:eastAsia="Calibri" w:hAnsi="Arial" w:cs="Arial"/>
                <w:b/>
                <w:bCs/>
                <w:sz w:val="18"/>
                <w:szCs w:val="18"/>
              </w:rPr>
              <w:t>Assets</w:t>
            </w:r>
            <w:bookmarkEnd w:id="1440"/>
          </w:p>
        </w:tc>
        <w:tc>
          <w:tcPr>
            <w:tcW w:w="1042" w:type="dxa"/>
            <w:vAlign w:val="center"/>
          </w:tcPr>
          <w:p w14:paraId="7B84A7F9"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043" w:type="dxa"/>
            <w:vAlign w:val="center"/>
          </w:tcPr>
          <w:p w14:paraId="2B2D02B4"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132" w:type="dxa"/>
            <w:vAlign w:val="center"/>
          </w:tcPr>
          <w:p w14:paraId="78CD87FB"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432" w:type="dxa"/>
            <w:vAlign w:val="center"/>
          </w:tcPr>
          <w:p w14:paraId="7FE6AB28"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561" w:type="dxa"/>
            <w:vAlign w:val="center"/>
          </w:tcPr>
          <w:p w14:paraId="4F410ADA"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r>
      <w:tr w:rsidR="00587444" w:rsidRPr="00587444" w14:paraId="27AF66E6" w14:textId="77777777" w:rsidTr="00DD69E7">
        <w:trPr>
          <w:trHeight w:val="259"/>
        </w:trPr>
        <w:tc>
          <w:tcPr>
            <w:tcW w:w="0" w:type="auto"/>
            <w:vAlign w:val="bottom"/>
          </w:tcPr>
          <w:p w14:paraId="70DF54E7"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1441" w:name="_Toc4063326"/>
            <w:r w:rsidRPr="00587444">
              <w:rPr>
                <w:rFonts w:ascii="Arial" w:eastAsia="Calibri" w:hAnsi="Arial" w:cs="Arial"/>
                <w:sz w:val="18"/>
                <w:szCs w:val="18"/>
              </w:rPr>
              <w:t>Cash on hand and current accounts with banks</w:t>
            </w:r>
            <w:bookmarkEnd w:id="1441"/>
          </w:p>
        </w:tc>
        <w:tc>
          <w:tcPr>
            <w:tcW w:w="1042" w:type="dxa"/>
            <w:vAlign w:val="bottom"/>
          </w:tcPr>
          <w:p w14:paraId="42C9271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1,721,919</w:t>
            </w:r>
          </w:p>
        </w:tc>
        <w:tc>
          <w:tcPr>
            <w:tcW w:w="1043" w:type="dxa"/>
            <w:vAlign w:val="bottom"/>
          </w:tcPr>
          <w:p w14:paraId="39EC887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132" w:type="dxa"/>
            <w:vAlign w:val="bottom"/>
          </w:tcPr>
          <w:p w14:paraId="423C66D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432" w:type="dxa"/>
            <w:vAlign w:val="bottom"/>
          </w:tcPr>
          <w:p w14:paraId="2243357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1,721,919</w:t>
            </w:r>
          </w:p>
        </w:tc>
        <w:tc>
          <w:tcPr>
            <w:tcW w:w="1561" w:type="dxa"/>
            <w:tcBorders>
              <w:top w:val="nil"/>
              <w:left w:val="nil"/>
              <w:bottom w:val="nil"/>
              <w:right w:val="nil"/>
            </w:tcBorders>
            <w:shd w:val="clear" w:color="auto" w:fill="auto"/>
            <w:vAlign w:val="bottom"/>
          </w:tcPr>
          <w:p w14:paraId="0767799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napToGrid w:val="0"/>
                <w:sz w:val="18"/>
                <w:szCs w:val="18"/>
              </w:rPr>
            </w:pPr>
            <w:r w:rsidRPr="00587444">
              <w:rPr>
                <w:rFonts w:ascii="Arial" w:hAnsi="Arial" w:cs="Arial"/>
                <w:sz w:val="18"/>
                <w:szCs w:val="18"/>
              </w:rPr>
              <w:t>1,721,919</w:t>
            </w:r>
          </w:p>
        </w:tc>
      </w:tr>
      <w:tr w:rsidR="00587444" w:rsidRPr="00587444" w14:paraId="367C35C4" w14:textId="77777777" w:rsidTr="00DD69E7">
        <w:trPr>
          <w:trHeight w:val="261"/>
        </w:trPr>
        <w:tc>
          <w:tcPr>
            <w:tcW w:w="0" w:type="auto"/>
            <w:vAlign w:val="bottom"/>
          </w:tcPr>
          <w:p w14:paraId="0F0B5A60"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1442" w:name="_Toc4063332"/>
            <w:r w:rsidRPr="00587444">
              <w:rPr>
                <w:rFonts w:ascii="Arial" w:eastAsia="Calibri" w:hAnsi="Arial" w:cs="Arial"/>
                <w:sz w:val="18"/>
                <w:szCs w:val="18"/>
              </w:rPr>
              <w:t>Deposits with other banks</w:t>
            </w:r>
            <w:bookmarkEnd w:id="1442"/>
          </w:p>
        </w:tc>
        <w:tc>
          <w:tcPr>
            <w:tcW w:w="1042" w:type="dxa"/>
            <w:vAlign w:val="bottom"/>
          </w:tcPr>
          <w:p w14:paraId="4196E00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043" w:type="dxa"/>
            <w:vAlign w:val="bottom"/>
          </w:tcPr>
          <w:p w14:paraId="541D4D8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33,180</w:t>
            </w:r>
          </w:p>
        </w:tc>
        <w:tc>
          <w:tcPr>
            <w:tcW w:w="1132" w:type="dxa"/>
            <w:vAlign w:val="bottom"/>
          </w:tcPr>
          <w:p w14:paraId="033302F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432" w:type="dxa"/>
            <w:vAlign w:val="bottom"/>
          </w:tcPr>
          <w:p w14:paraId="5706756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33,180</w:t>
            </w:r>
          </w:p>
        </w:tc>
        <w:tc>
          <w:tcPr>
            <w:tcW w:w="1561" w:type="dxa"/>
            <w:tcBorders>
              <w:top w:val="nil"/>
              <w:left w:val="nil"/>
              <w:bottom w:val="nil"/>
              <w:right w:val="nil"/>
            </w:tcBorders>
            <w:shd w:val="clear" w:color="auto" w:fill="auto"/>
            <w:vAlign w:val="bottom"/>
          </w:tcPr>
          <w:p w14:paraId="2DD3EEC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napToGrid w:val="0"/>
                <w:sz w:val="18"/>
                <w:szCs w:val="18"/>
              </w:rPr>
            </w:pPr>
            <w:r w:rsidRPr="00587444">
              <w:rPr>
                <w:rFonts w:ascii="Arial" w:hAnsi="Arial" w:cs="Arial"/>
                <w:sz w:val="18"/>
                <w:szCs w:val="18"/>
              </w:rPr>
              <w:t xml:space="preserve">  33,180</w:t>
            </w:r>
          </w:p>
        </w:tc>
      </w:tr>
      <w:tr w:rsidR="00587444" w:rsidRPr="00587444" w14:paraId="63F8DBF0" w14:textId="77777777" w:rsidTr="00DD69E7">
        <w:trPr>
          <w:trHeight w:val="261"/>
        </w:trPr>
        <w:tc>
          <w:tcPr>
            <w:tcW w:w="0" w:type="auto"/>
            <w:vAlign w:val="bottom"/>
          </w:tcPr>
          <w:p w14:paraId="56276224"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1443" w:name="_Toc4063338"/>
            <w:r w:rsidRPr="00587444">
              <w:rPr>
                <w:rFonts w:ascii="Arial" w:eastAsia="Calibri" w:hAnsi="Arial" w:cs="Arial"/>
                <w:sz w:val="18"/>
                <w:szCs w:val="18"/>
              </w:rPr>
              <w:t>Loans to financial institutions</w:t>
            </w:r>
            <w:bookmarkEnd w:id="1443"/>
          </w:p>
        </w:tc>
        <w:tc>
          <w:tcPr>
            <w:tcW w:w="1042" w:type="dxa"/>
            <w:vAlign w:val="bottom"/>
          </w:tcPr>
          <w:p w14:paraId="3FECD2E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043" w:type="dxa"/>
            <w:vAlign w:val="bottom"/>
          </w:tcPr>
          <w:p w14:paraId="7B648B6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132" w:type="dxa"/>
            <w:vAlign w:val="bottom"/>
          </w:tcPr>
          <w:p w14:paraId="5B44452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6,219,749 </w:t>
            </w:r>
          </w:p>
        </w:tc>
        <w:tc>
          <w:tcPr>
            <w:tcW w:w="1432" w:type="dxa"/>
            <w:vAlign w:val="bottom"/>
          </w:tcPr>
          <w:p w14:paraId="651D000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6,219,749 </w:t>
            </w:r>
          </w:p>
        </w:tc>
        <w:tc>
          <w:tcPr>
            <w:tcW w:w="1561" w:type="dxa"/>
            <w:tcBorders>
              <w:top w:val="nil"/>
              <w:left w:val="nil"/>
              <w:bottom w:val="nil"/>
              <w:right w:val="nil"/>
            </w:tcBorders>
            <w:shd w:val="clear" w:color="auto" w:fill="auto"/>
            <w:vAlign w:val="bottom"/>
          </w:tcPr>
          <w:p w14:paraId="249785E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napToGrid w:val="0"/>
                <w:sz w:val="18"/>
                <w:szCs w:val="18"/>
              </w:rPr>
            </w:pPr>
            <w:r w:rsidRPr="00587444">
              <w:rPr>
                <w:rFonts w:ascii="Arial" w:hAnsi="Arial" w:cs="Arial"/>
                <w:sz w:val="18"/>
                <w:szCs w:val="18"/>
              </w:rPr>
              <w:t xml:space="preserve"> 6,984,712 </w:t>
            </w:r>
          </w:p>
        </w:tc>
      </w:tr>
      <w:tr w:rsidR="00587444" w:rsidRPr="00587444" w14:paraId="596BE7EE" w14:textId="77777777" w:rsidTr="00DD69E7">
        <w:trPr>
          <w:trHeight w:val="220"/>
        </w:trPr>
        <w:tc>
          <w:tcPr>
            <w:tcW w:w="0" w:type="auto"/>
            <w:vAlign w:val="bottom"/>
          </w:tcPr>
          <w:p w14:paraId="5D1A6B0A"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1444" w:name="_Toc4063344"/>
            <w:r w:rsidRPr="00587444">
              <w:rPr>
                <w:rFonts w:ascii="Arial" w:eastAsia="Calibri" w:hAnsi="Arial" w:cs="Arial"/>
                <w:sz w:val="18"/>
                <w:szCs w:val="18"/>
              </w:rPr>
              <w:t>Loans to other customers</w:t>
            </w:r>
            <w:bookmarkEnd w:id="1444"/>
          </w:p>
        </w:tc>
        <w:tc>
          <w:tcPr>
            <w:tcW w:w="1042" w:type="dxa"/>
            <w:tcBorders>
              <w:bottom w:val="single" w:sz="4" w:space="0" w:color="auto"/>
            </w:tcBorders>
            <w:vAlign w:val="bottom"/>
          </w:tcPr>
          <w:p w14:paraId="59894B3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043" w:type="dxa"/>
            <w:tcBorders>
              <w:bottom w:val="single" w:sz="4" w:space="0" w:color="auto"/>
            </w:tcBorders>
            <w:vAlign w:val="bottom"/>
          </w:tcPr>
          <w:p w14:paraId="0316EB4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132" w:type="dxa"/>
            <w:tcBorders>
              <w:bottom w:val="single" w:sz="4" w:space="0" w:color="auto"/>
            </w:tcBorders>
            <w:vAlign w:val="bottom"/>
          </w:tcPr>
          <w:p w14:paraId="214DA18C" w14:textId="77777777" w:rsidR="00587444" w:rsidRPr="00587444" w:rsidRDefault="00587444" w:rsidP="00587444">
            <w:pPr>
              <w:tabs>
                <w:tab w:val="right" w:pos="1202"/>
              </w:tabs>
              <w:suppressAutoHyphens w:val="0"/>
              <w:autoSpaceDN/>
              <w:spacing w:line="301" w:lineRule="exact"/>
              <w:outlineLvl w:val="0"/>
              <w:rPr>
                <w:rFonts w:ascii="Arial" w:hAnsi="Arial" w:cs="Arial"/>
                <w:color w:val="000000"/>
                <w:sz w:val="18"/>
                <w:szCs w:val="18"/>
              </w:rPr>
            </w:pPr>
            <w:r w:rsidRPr="00587444">
              <w:rPr>
                <w:rFonts w:ascii="Arial" w:hAnsi="Arial" w:cs="Arial"/>
                <w:sz w:val="18"/>
                <w:szCs w:val="18"/>
              </w:rPr>
              <w:t xml:space="preserve">17,453,789 </w:t>
            </w:r>
          </w:p>
        </w:tc>
        <w:tc>
          <w:tcPr>
            <w:tcW w:w="1432" w:type="dxa"/>
            <w:tcBorders>
              <w:bottom w:val="single" w:sz="4" w:space="0" w:color="auto"/>
            </w:tcBorders>
            <w:vAlign w:val="bottom"/>
          </w:tcPr>
          <w:p w14:paraId="3A3B30A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17,453,789 </w:t>
            </w:r>
          </w:p>
        </w:tc>
        <w:tc>
          <w:tcPr>
            <w:tcW w:w="1561" w:type="dxa"/>
            <w:tcBorders>
              <w:top w:val="nil"/>
              <w:left w:val="nil"/>
              <w:bottom w:val="single" w:sz="4" w:space="0" w:color="auto"/>
              <w:right w:val="nil"/>
            </w:tcBorders>
            <w:shd w:val="clear" w:color="auto" w:fill="auto"/>
            <w:vAlign w:val="bottom"/>
          </w:tcPr>
          <w:p w14:paraId="0BC681B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18"/>
                <w:szCs w:val="18"/>
              </w:rPr>
            </w:pPr>
            <w:r w:rsidRPr="00587444">
              <w:rPr>
                <w:rFonts w:ascii="Arial" w:hAnsi="Arial" w:cs="Arial"/>
                <w:sz w:val="18"/>
                <w:szCs w:val="18"/>
              </w:rPr>
              <w:t xml:space="preserve"> 17,402,666 </w:t>
            </w:r>
          </w:p>
        </w:tc>
      </w:tr>
      <w:tr w:rsidR="00587444" w:rsidRPr="00587444" w14:paraId="6B529718" w14:textId="77777777" w:rsidTr="00DD69E7">
        <w:trPr>
          <w:trHeight w:val="318"/>
        </w:trPr>
        <w:tc>
          <w:tcPr>
            <w:tcW w:w="0" w:type="auto"/>
            <w:vAlign w:val="bottom"/>
          </w:tcPr>
          <w:p w14:paraId="1BAD7F1D" w14:textId="77777777" w:rsidR="00587444" w:rsidRPr="00587444" w:rsidRDefault="00587444" w:rsidP="00587444">
            <w:pPr>
              <w:keepNext/>
              <w:keepLines/>
              <w:tabs>
                <w:tab w:val="decimal" w:pos="1202"/>
              </w:tabs>
              <w:suppressAutoHyphens w:val="0"/>
              <w:autoSpaceDN/>
              <w:rPr>
                <w:rFonts w:ascii="Arial" w:hAnsi="Arial" w:cs="Arial"/>
                <w:b/>
                <w:position w:val="4"/>
                <w:sz w:val="18"/>
                <w:szCs w:val="18"/>
              </w:rPr>
            </w:pPr>
          </w:p>
        </w:tc>
        <w:tc>
          <w:tcPr>
            <w:tcW w:w="1042" w:type="dxa"/>
            <w:tcBorders>
              <w:top w:val="single" w:sz="4" w:space="0" w:color="auto"/>
            </w:tcBorders>
            <w:vAlign w:val="bottom"/>
          </w:tcPr>
          <w:p w14:paraId="69F2335B" w14:textId="77777777" w:rsidR="00587444" w:rsidRPr="00587444" w:rsidRDefault="00587444" w:rsidP="00587444">
            <w:pPr>
              <w:keepLines/>
              <w:suppressAutoHyphens w:val="0"/>
              <w:autoSpaceDN/>
              <w:rPr>
                <w:rFonts w:ascii="Arial" w:hAnsi="Arial" w:cs="Arial"/>
                <w:spacing w:val="-2"/>
                <w:position w:val="4"/>
                <w:sz w:val="18"/>
                <w:szCs w:val="18"/>
              </w:rPr>
            </w:pPr>
            <w:r w:rsidRPr="00587444">
              <w:rPr>
                <w:rFonts w:ascii="Arial" w:hAnsi="Arial" w:cs="Arial"/>
                <w:b/>
                <w:bCs/>
                <w:color w:val="000000"/>
                <w:sz w:val="18"/>
                <w:szCs w:val="18"/>
                <w:lang w:val="hr-HR"/>
              </w:rPr>
              <w:t>1,721,919</w:t>
            </w:r>
          </w:p>
        </w:tc>
        <w:tc>
          <w:tcPr>
            <w:tcW w:w="1043" w:type="dxa"/>
            <w:tcBorders>
              <w:top w:val="single" w:sz="4" w:space="0" w:color="auto"/>
            </w:tcBorders>
            <w:vAlign w:val="bottom"/>
          </w:tcPr>
          <w:p w14:paraId="0BA91044" w14:textId="77777777" w:rsidR="00587444" w:rsidRPr="00587444" w:rsidRDefault="00587444" w:rsidP="00587444">
            <w:pPr>
              <w:keepLines/>
              <w:suppressAutoHyphens w:val="0"/>
              <w:autoSpaceDN/>
              <w:jc w:val="right"/>
              <w:rPr>
                <w:rFonts w:ascii="Arial" w:hAnsi="Arial" w:cs="Arial"/>
                <w:spacing w:val="-2"/>
                <w:position w:val="4"/>
                <w:sz w:val="18"/>
                <w:szCs w:val="18"/>
              </w:rPr>
            </w:pPr>
            <w:r w:rsidRPr="00587444">
              <w:rPr>
                <w:rFonts w:ascii="Arial" w:hAnsi="Arial" w:cs="Arial"/>
                <w:b/>
                <w:bCs/>
                <w:color w:val="000000"/>
                <w:sz w:val="18"/>
                <w:szCs w:val="18"/>
                <w:lang w:val="hr-HR"/>
              </w:rPr>
              <w:t>33,180</w:t>
            </w:r>
          </w:p>
        </w:tc>
        <w:tc>
          <w:tcPr>
            <w:tcW w:w="1132" w:type="dxa"/>
            <w:tcBorders>
              <w:top w:val="single" w:sz="4" w:space="0" w:color="auto"/>
            </w:tcBorders>
            <w:vAlign w:val="bottom"/>
          </w:tcPr>
          <w:p w14:paraId="6FE1AAE3" w14:textId="77777777" w:rsidR="00587444" w:rsidRPr="00587444" w:rsidRDefault="00587444" w:rsidP="00587444">
            <w:pPr>
              <w:keepLines/>
              <w:suppressAutoHyphens w:val="0"/>
              <w:autoSpaceDN/>
              <w:rPr>
                <w:rFonts w:ascii="Arial" w:hAnsi="Arial" w:cs="Arial"/>
                <w:spacing w:val="-2"/>
                <w:position w:val="4"/>
                <w:sz w:val="18"/>
                <w:szCs w:val="18"/>
              </w:rPr>
            </w:pPr>
            <w:r w:rsidRPr="00587444">
              <w:rPr>
                <w:rFonts w:ascii="Arial" w:hAnsi="Arial" w:cs="Arial"/>
                <w:b/>
                <w:bCs/>
                <w:color w:val="000000"/>
                <w:sz w:val="18"/>
                <w:szCs w:val="18"/>
                <w:lang w:val="hr-HR"/>
              </w:rPr>
              <w:t xml:space="preserve">23,673,538 </w:t>
            </w:r>
          </w:p>
        </w:tc>
        <w:tc>
          <w:tcPr>
            <w:tcW w:w="1432" w:type="dxa"/>
            <w:tcBorders>
              <w:top w:val="single" w:sz="4" w:space="0" w:color="auto"/>
            </w:tcBorders>
            <w:vAlign w:val="bottom"/>
          </w:tcPr>
          <w:p w14:paraId="3F65AA6B" w14:textId="77777777" w:rsidR="00587444" w:rsidRPr="00587444" w:rsidRDefault="00587444" w:rsidP="00587444">
            <w:pPr>
              <w:keepLines/>
              <w:suppressAutoHyphens w:val="0"/>
              <w:autoSpaceDN/>
              <w:jc w:val="right"/>
              <w:rPr>
                <w:rFonts w:ascii="Arial" w:hAnsi="Arial" w:cs="Arial"/>
                <w:spacing w:val="-2"/>
                <w:position w:val="4"/>
                <w:sz w:val="18"/>
                <w:szCs w:val="18"/>
              </w:rPr>
            </w:pPr>
            <w:r w:rsidRPr="00587444">
              <w:rPr>
                <w:rFonts w:ascii="Arial" w:hAnsi="Arial" w:cs="Arial"/>
                <w:b/>
                <w:bCs/>
                <w:color w:val="000000"/>
                <w:sz w:val="18"/>
                <w:szCs w:val="18"/>
                <w:lang w:val="hr-HR"/>
              </w:rPr>
              <w:t>25,428,637</w:t>
            </w:r>
          </w:p>
        </w:tc>
        <w:tc>
          <w:tcPr>
            <w:tcW w:w="1561" w:type="dxa"/>
            <w:tcBorders>
              <w:top w:val="single" w:sz="4" w:space="0" w:color="auto"/>
              <w:left w:val="nil"/>
              <w:bottom w:val="nil"/>
              <w:right w:val="nil"/>
            </w:tcBorders>
            <w:shd w:val="clear" w:color="auto" w:fill="auto"/>
            <w:vAlign w:val="bottom"/>
          </w:tcPr>
          <w:p w14:paraId="3A47B0B3" w14:textId="77777777" w:rsidR="00587444" w:rsidRPr="00587444" w:rsidRDefault="00587444" w:rsidP="00587444">
            <w:pPr>
              <w:keepLines/>
              <w:suppressAutoHyphens w:val="0"/>
              <w:autoSpaceDN/>
              <w:jc w:val="right"/>
              <w:rPr>
                <w:rFonts w:ascii="Arial" w:hAnsi="Arial" w:cs="Arial"/>
                <w:spacing w:val="-2"/>
                <w:position w:val="4"/>
                <w:sz w:val="18"/>
                <w:szCs w:val="18"/>
              </w:rPr>
            </w:pPr>
            <w:r w:rsidRPr="00587444">
              <w:rPr>
                <w:rFonts w:ascii="Arial" w:hAnsi="Arial" w:cs="Arial"/>
                <w:b/>
                <w:bCs/>
                <w:color w:val="000000"/>
                <w:sz w:val="18"/>
                <w:szCs w:val="18"/>
                <w:lang w:val="hr-HR"/>
              </w:rPr>
              <w:t xml:space="preserve">  26,142,477</w:t>
            </w:r>
          </w:p>
        </w:tc>
      </w:tr>
      <w:tr w:rsidR="00587444" w:rsidRPr="00587444" w14:paraId="57CECD71" w14:textId="77777777" w:rsidTr="00DD69E7">
        <w:trPr>
          <w:trHeight w:hRule="exact" w:val="148"/>
        </w:trPr>
        <w:tc>
          <w:tcPr>
            <w:tcW w:w="0" w:type="auto"/>
            <w:vAlign w:val="bottom"/>
          </w:tcPr>
          <w:p w14:paraId="5A7B6C47" w14:textId="77777777" w:rsidR="00587444" w:rsidRPr="00587444" w:rsidRDefault="00587444" w:rsidP="00587444">
            <w:pPr>
              <w:keepNext/>
              <w:keepLines/>
              <w:tabs>
                <w:tab w:val="decimal" w:pos="1202"/>
              </w:tabs>
              <w:suppressAutoHyphens w:val="0"/>
              <w:autoSpaceDN/>
              <w:rPr>
                <w:rFonts w:ascii="Arial" w:hAnsi="Arial" w:cs="Arial"/>
                <w:b/>
                <w:position w:val="4"/>
                <w:sz w:val="18"/>
                <w:szCs w:val="18"/>
              </w:rPr>
            </w:pPr>
          </w:p>
        </w:tc>
        <w:tc>
          <w:tcPr>
            <w:tcW w:w="1042" w:type="dxa"/>
            <w:tcBorders>
              <w:top w:val="single" w:sz="12" w:space="0" w:color="auto"/>
            </w:tcBorders>
            <w:vAlign w:val="bottom"/>
          </w:tcPr>
          <w:p w14:paraId="4BF5C3AC" w14:textId="77777777" w:rsidR="00587444" w:rsidRPr="00587444" w:rsidRDefault="00587444" w:rsidP="00587444">
            <w:pPr>
              <w:keepLines/>
              <w:suppressAutoHyphens w:val="0"/>
              <w:autoSpaceDN/>
              <w:jc w:val="right"/>
              <w:rPr>
                <w:rFonts w:ascii="Arial" w:hAnsi="Arial" w:cs="Arial"/>
                <w:spacing w:val="-2"/>
                <w:position w:val="4"/>
                <w:sz w:val="18"/>
                <w:szCs w:val="18"/>
              </w:rPr>
            </w:pPr>
          </w:p>
        </w:tc>
        <w:tc>
          <w:tcPr>
            <w:tcW w:w="1043" w:type="dxa"/>
            <w:tcBorders>
              <w:top w:val="single" w:sz="12" w:space="0" w:color="auto"/>
            </w:tcBorders>
            <w:vAlign w:val="bottom"/>
          </w:tcPr>
          <w:p w14:paraId="2E607C32" w14:textId="77777777" w:rsidR="00587444" w:rsidRPr="00587444" w:rsidRDefault="00587444" w:rsidP="00587444">
            <w:pPr>
              <w:keepLines/>
              <w:suppressAutoHyphens w:val="0"/>
              <w:autoSpaceDN/>
              <w:jc w:val="right"/>
              <w:rPr>
                <w:rFonts w:ascii="Arial" w:hAnsi="Arial" w:cs="Arial"/>
                <w:spacing w:val="-2"/>
                <w:position w:val="4"/>
                <w:sz w:val="18"/>
                <w:szCs w:val="18"/>
              </w:rPr>
            </w:pPr>
          </w:p>
        </w:tc>
        <w:tc>
          <w:tcPr>
            <w:tcW w:w="1132" w:type="dxa"/>
            <w:tcBorders>
              <w:top w:val="single" w:sz="12" w:space="0" w:color="auto"/>
            </w:tcBorders>
            <w:vAlign w:val="bottom"/>
          </w:tcPr>
          <w:p w14:paraId="4689546B" w14:textId="77777777" w:rsidR="00587444" w:rsidRPr="00587444" w:rsidRDefault="00587444" w:rsidP="00587444">
            <w:pPr>
              <w:keepLines/>
              <w:suppressAutoHyphens w:val="0"/>
              <w:autoSpaceDN/>
              <w:jc w:val="right"/>
              <w:rPr>
                <w:rFonts w:ascii="Arial" w:hAnsi="Arial" w:cs="Arial"/>
                <w:spacing w:val="-2"/>
                <w:position w:val="4"/>
                <w:sz w:val="18"/>
                <w:szCs w:val="18"/>
              </w:rPr>
            </w:pPr>
          </w:p>
        </w:tc>
        <w:tc>
          <w:tcPr>
            <w:tcW w:w="1432" w:type="dxa"/>
            <w:tcBorders>
              <w:top w:val="single" w:sz="12" w:space="0" w:color="auto"/>
            </w:tcBorders>
            <w:vAlign w:val="bottom"/>
          </w:tcPr>
          <w:p w14:paraId="1D7866F0" w14:textId="77777777" w:rsidR="00587444" w:rsidRPr="00587444" w:rsidRDefault="00587444" w:rsidP="00587444">
            <w:pPr>
              <w:keepLines/>
              <w:suppressAutoHyphens w:val="0"/>
              <w:autoSpaceDN/>
              <w:jc w:val="right"/>
              <w:rPr>
                <w:rFonts w:ascii="Arial" w:hAnsi="Arial" w:cs="Arial"/>
                <w:spacing w:val="-2"/>
                <w:position w:val="4"/>
                <w:sz w:val="18"/>
                <w:szCs w:val="18"/>
              </w:rPr>
            </w:pPr>
          </w:p>
        </w:tc>
        <w:tc>
          <w:tcPr>
            <w:tcW w:w="1561" w:type="dxa"/>
            <w:tcBorders>
              <w:top w:val="single" w:sz="12" w:space="0" w:color="auto"/>
            </w:tcBorders>
            <w:vAlign w:val="bottom"/>
          </w:tcPr>
          <w:p w14:paraId="2F11C567" w14:textId="77777777" w:rsidR="00587444" w:rsidRPr="00587444" w:rsidRDefault="00587444" w:rsidP="00587444">
            <w:pPr>
              <w:keepLines/>
              <w:suppressAutoHyphens w:val="0"/>
              <w:autoSpaceDN/>
              <w:jc w:val="right"/>
              <w:rPr>
                <w:rFonts w:ascii="Arial" w:hAnsi="Arial" w:cs="Arial"/>
                <w:spacing w:val="-2"/>
                <w:position w:val="4"/>
                <w:sz w:val="18"/>
                <w:szCs w:val="18"/>
              </w:rPr>
            </w:pPr>
          </w:p>
        </w:tc>
      </w:tr>
      <w:tr w:rsidR="00587444" w:rsidRPr="00587444" w14:paraId="645CAB10" w14:textId="77777777" w:rsidTr="00DD69E7">
        <w:trPr>
          <w:trHeight w:val="261"/>
        </w:trPr>
        <w:tc>
          <w:tcPr>
            <w:tcW w:w="0" w:type="auto"/>
            <w:vAlign w:val="bottom"/>
          </w:tcPr>
          <w:p w14:paraId="33AC5DC4" w14:textId="77777777" w:rsidR="00587444" w:rsidRPr="00587444" w:rsidRDefault="00587444" w:rsidP="00587444">
            <w:pPr>
              <w:tabs>
                <w:tab w:val="right" w:pos="1202"/>
              </w:tabs>
              <w:suppressAutoHyphens w:val="0"/>
              <w:autoSpaceDN/>
              <w:outlineLvl w:val="0"/>
              <w:rPr>
                <w:rFonts w:ascii="Arial" w:hAnsi="Arial" w:cs="Arial"/>
                <w:b/>
                <w:bCs/>
                <w:sz w:val="18"/>
                <w:szCs w:val="18"/>
              </w:rPr>
            </w:pPr>
            <w:bookmarkStart w:id="1445" w:name="_Toc4063350"/>
            <w:r w:rsidRPr="00587444">
              <w:rPr>
                <w:rFonts w:ascii="Arial" w:eastAsia="Calibri" w:hAnsi="Arial" w:cs="Arial"/>
                <w:b/>
                <w:bCs/>
                <w:sz w:val="18"/>
                <w:szCs w:val="18"/>
              </w:rPr>
              <w:t>Liabilities</w:t>
            </w:r>
            <w:bookmarkEnd w:id="1445"/>
          </w:p>
        </w:tc>
        <w:tc>
          <w:tcPr>
            <w:tcW w:w="1042" w:type="dxa"/>
            <w:vAlign w:val="bottom"/>
          </w:tcPr>
          <w:p w14:paraId="7695E963"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043" w:type="dxa"/>
            <w:vAlign w:val="bottom"/>
          </w:tcPr>
          <w:p w14:paraId="70277C37"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132" w:type="dxa"/>
            <w:vAlign w:val="bottom"/>
          </w:tcPr>
          <w:p w14:paraId="35D5308F"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432" w:type="dxa"/>
            <w:vAlign w:val="bottom"/>
          </w:tcPr>
          <w:p w14:paraId="4EB4AB0D"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561" w:type="dxa"/>
            <w:vAlign w:val="bottom"/>
          </w:tcPr>
          <w:p w14:paraId="0412E80B"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r>
      <w:tr w:rsidR="00587444" w:rsidRPr="00587444" w14:paraId="50B43990" w14:textId="77777777" w:rsidTr="00DD69E7">
        <w:trPr>
          <w:trHeight w:val="261"/>
        </w:trPr>
        <w:tc>
          <w:tcPr>
            <w:tcW w:w="0" w:type="auto"/>
            <w:vAlign w:val="bottom"/>
          </w:tcPr>
          <w:p w14:paraId="521B6013"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1446" w:name="_Toc4063351"/>
            <w:r w:rsidRPr="00587444">
              <w:rPr>
                <w:rFonts w:ascii="Arial" w:eastAsia="Calibri" w:hAnsi="Arial" w:cs="Arial"/>
                <w:sz w:val="18"/>
                <w:szCs w:val="18"/>
              </w:rPr>
              <w:t>Deposits from customers</w:t>
            </w:r>
            <w:bookmarkEnd w:id="1446"/>
          </w:p>
        </w:tc>
        <w:tc>
          <w:tcPr>
            <w:tcW w:w="1042" w:type="dxa"/>
            <w:vAlign w:val="bottom"/>
          </w:tcPr>
          <w:p w14:paraId="7F419BE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color w:val="000000"/>
                <w:sz w:val="18"/>
                <w:szCs w:val="18"/>
                <w:lang w:val="hr-HR"/>
              </w:rPr>
              <w:t xml:space="preserve"> - </w:t>
            </w:r>
          </w:p>
        </w:tc>
        <w:tc>
          <w:tcPr>
            <w:tcW w:w="1043" w:type="dxa"/>
            <w:vAlign w:val="bottom"/>
          </w:tcPr>
          <w:p w14:paraId="130604E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color w:val="000000"/>
                <w:sz w:val="18"/>
                <w:szCs w:val="18"/>
                <w:lang w:val="hr-HR"/>
              </w:rPr>
              <w:t xml:space="preserve">1,024,623 </w:t>
            </w:r>
          </w:p>
        </w:tc>
        <w:tc>
          <w:tcPr>
            <w:tcW w:w="1132" w:type="dxa"/>
            <w:vAlign w:val="bottom"/>
          </w:tcPr>
          <w:p w14:paraId="68F780B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color w:val="000000"/>
                <w:sz w:val="18"/>
                <w:szCs w:val="18"/>
                <w:lang w:val="hr-HR"/>
              </w:rPr>
              <w:t xml:space="preserve"> - </w:t>
            </w:r>
          </w:p>
        </w:tc>
        <w:tc>
          <w:tcPr>
            <w:tcW w:w="1432" w:type="dxa"/>
            <w:vAlign w:val="bottom"/>
          </w:tcPr>
          <w:p w14:paraId="7A11C20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color w:val="000000"/>
                <w:sz w:val="18"/>
                <w:szCs w:val="18"/>
                <w:lang w:val="hr-HR"/>
              </w:rPr>
              <w:t xml:space="preserve"> 1,024,623 </w:t>
            </w:r>
          </w:p>
        </w:tc>
        <w:tc>
          <w:tcPr>
            <w:tcW w:w="1561" w:type="dxa"/>
            <w:tcBorders>
              <w:top w:val="nil"/>
              <w:left w:val="nil"/>
              <w:bottom w:val="nil"/>
              <w:right w:val="nil"/>
            </w:tcBorders>
            <w:shd w:val="clear" w:color="auto" w:fill="auto"/>
            <w:vAlign w:val="bottom"/>
          </w:tcPr>
          <w:p w14:paraId="164E30D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color w:val="000000"/>
                <w:sz w:val="18"/>
                <w:szCs w:val="18"/>
                <w:lang w:val="hr-HR"/>
              </w:rPr>
              <w:t>1,024,623</w:t>
            </w:r>
          </w:p>
        </w:tc>
      </w:tr>
      <w:tr w:rsidR="00587444" w:rsidRPr="00587444" w14:paraId="18F86A6F" w14:textId="77777777" w:rsidTr="00DD69E7">
        <w:trPr>
          <w:trHeight w:val="261"/>
        </w:trPr>
        <w:tc>
          <w:tcPr>
            <w:tcW w:w="0" w:type="auto"/>
            <w:vAlign w:val="bottom"/>
          </w:tcPr>
          <w:p w14:paraId="2D112F84"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1447" w:name="_Toc4063357"/>
            <w:r w:rsidRPr="00587444">
              <w:rPr>
                <w:rFonts w:ascii="Arial" w:eastAsia="Calibri" w:hAnsi="Arial" w:cs="Arial"/>
                <w:sz w:val="18"/>
                <w:szCs w:val="18"/>
              </w:rPr>
              <w:t>Borrowings</w:t>
            </w:r>
            <w:bookmarkEnd w:id="1447"/>
          </w:p>
        </w:tc>
        <w:tc>
          <w:tcPr>
            <w:tcW w:w="1042" w:type="dxa"/>
            <w:tcBorders>
              <w:bottom w:val="single" w:sz="4" w:space="0" w:color="auto"/>
            </w:tcBorders>
            <w:vAlign w:val="bottom"/>
          </w:tcPr>
          <w:p w14:paraId="0758AB8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color w:val="000000"/>
                <w:sz w:val="18"/>
                <w:szCs w:val="18"/>
                <w:lang w:val="hr-HR"/>
              </w:rPr>
              <w:t xml:space="preserve"> - </w:t>
            </w:r>
          </w:p>
        </w:tc>
        <w:tc>
          <w:tcPr>
            <w:tcW w:w="1043" w:type="dxa"/>
            <w:tcBorders>
              <w:bottom w:val="single" w:sz="4" w:space="0" w:color="auto"/>
            </w:tcBorders>
            <w:vAlign w:val="bottom"/>
          </w:tcPr>
          <w:p w14:paraId="6FB8317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color w:val="000000"/>
                <w:sz w:val="18"/>
                <w:szCs w:val="18"/>
                <w:lang w:val="hr-HR"/>
              </w:rPr>
              <w:t xml:space="preserve"> - </w:t>
            </w:r>
          </w:p>
        </w:tc>
        <w:tc>
          <w:tcPr>
            <w:tcW w:w="1132" w:type="dxa"/>
            <w:tcBorders>
              <w:bottom w:val="single" w:sz="4" w:space="0" w:color="auto"/>
            </w:tcBorders>
            <w:vAlign w:val="bottom"/>
          </w:tcPr>
          <w:p w14:paraId="084E14D2" w14:textId="77777777" w:rsidR="00587444" w:rsidRPr="00587444" w:rsidRDefault="00587444" w:rsidP="00587444">
            <w:pPr>
              <w:tabs>
                <w:tab w:val="right" w:pos="1202"/>
              </w:tabs>
              <w:suppressAutoHyphens w:val="0"/>
              <w:autoSpaceDN/>
              <w:spacing w:line="301" w:lineRule="exact"/>
              <w:outlineLvl w:val="0"/>
              <w:rPr>
                <w:rFonts w:ascii="Arial" w:hAnsi="Arial" w:cs="Arial"/>
                <w:color w:val="000000"/>
                <w:sz w:val="18"/>
                <w:szCs w:val="18"/>
              </w:rPr>
            </w:pPr>
            <w:r w:rsidRPr="00587444">
              <w:rPr>
                <w:rFonts w:ascii="Arial" w:hAnsi="Arial" w:cs="Arial"/>
                <w:color w:val="000000"/>
                <w:sz w:val="18"/>
                <w:szCs w:val="18"/>
                <w:lang w:val="hr-HR"/>
              </w:rPr>
              <w:t xml:space="preserve">14,554,859 </w:t>
            </w:r>
          </w:p>
        </w:tc>
        <w:tc>
          <w:tcPr>
            <w:tcW w:w="1432" w:type="dxa"/>
            <w:tcBorders>
              <w:bottom w:val="single" w:sz="4" w:space="0" w:color="auto"/>
            </w:tcBorders>
            <w:vAlign w:val="bottom"/>
          </w:tcPr>
          <w:p w14:paraId="3681827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color w:val="000000"/>
                <w:sz w:val="18"/>
                <w:szCs w:val="18"/>
                <w:lang w:val="hr-HR"/>
              </w:rPr>
              <w:t xml:space="preserve"> 14,554,859 </w:t>
            </w:r>
          </w:p>
        </w:tc>
        <w:tc>
          <w:tcPr>
            <w:tcW w:w="1561" w:type="dxa"/>
            <w:tcBorders>
              <w:top w:val="nil"/>
              <w:left w:val="nil"/>
              <w:bottom w:val="single" w:sz="4" w:space="0" w:color="auto"/>
              <w:right w:val="nil"/>
            </w:tcBorders>
            <w:shd w:val="clear" w:color="auto" w:fill="auto"/>
            <w:vAlign w:val="bottom"/>
          </w:tcPr>
          <w:p w14:paraId="2178238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color w:val="000000"/>
                <w:sz w:val="18"/>
                <w:szCs w:val="18"/>
                <w:lang w:val="hr-HR"/>
              </w:rPr>
              <w:t>16,501,276</w:t>
            </w:r>
          </w:p>
        </w:tc>
      </w:tr>
      <w:tr w:rsidR="00587444" w:rsidRPr="00587444" w14:paraId="6EBFF63B" w14:textId="77777777" w:rsidTr="00DD69E7">
        <w:trPr>
          <w:trHeight w:val="261"/>
        </w:trPr>
        <w:tc>
          <w:tcPr>
            <w:tcW w:w="0" w:type="auto"/>
            <w:vAlign w:val="bottom"/>
          </w:tcPr>
          <w:p w14:paraId="0D17DD20" w14:textId="77777777" w:rsidR="00587444" w:rsidRPr="00587444" w:rsidRDefault="00587444" w:rsidP="00587444">
            <w:pPr>
              <w:tabs>
                <w:tab w:val="right" w:pos="1202"/>
              </w:tabs>
              <w:suppressAutoHyphens w:val="0"/>
              <w:autoSpaceDN/>
              <w:outlineLvl w:val="0"/>
              <w:rPr>
                <w:rFonts w:ascii="Arial" w:hAnsi="Arial" w:cs="Arial"/>
                <w:sz w:val="18"/>
                <w:szCs w:val="18"/>
              </w:rPr>
            </w:pPr>
          </w:p>
        </w:tc>
        <w:tc>
          <w:tcPr>
            <w:tcW w:w="1042" w:type="dxa"/>
            <w:tcBorders>
              <w:top w:val="single" w:sz="4" w:space="0" w:color="auto"/>
              <w:left w:val="nil"/>
              <w:bottom w:val="single" w:sz="12" w:space="0" w:color="auto"/>
              <w:right w:val="nil"/>
            </w:tcBorders>
            <w:shd w:val="clear" w:color="auto" w:fill="auto"/>
            <w:vAlign w:val="bottom"/>
          </w:tcPr>
          <w:p w14:paraId="678ABBF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b/>
                <w:bCs/>
                <w:color w:val="000000"/>
                <w:sz w:val="18"/>
                <w:szCs w:val="18"/>
                <w:lang w:val="hr-HR"/>
              </w:rPr>
              <w:t xml:space="preserve"> - </w:t>
            </w:r>
          </w:p>
        </w:tc>
        <w:tc>
          <w:tcPr>
            <w:tcW w:w="1043" w:type="dxa"/>
            <w:tcBorders>
              <w:top w:val="single" w:sz="4" w:space="0" w:color="auto"/>
              <w:left w:val="nil"/>
              <w:bottom w:val="single" w:sz="12" w:space="0" w:color="auto"/>
              <w:right w:val="nil"/>
            </w:tcBorders>
            <w:shd w:val="clear" w:color="auto" w:fill="auto"/>
            <w:vAlign w:val="bottom"/>
          </w:tcPr>
          <w:p w14:paraId="5059B41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b/>
                <w:bCs/>
                <w:color w:val="000000"/>
                <w:sz w:val="18"/>
                <w:szCs w:val="18"/>
                <w:lang w:val="hr-HR"/>
              </w:rPr>
              <w:t xml:space="preserve">1,024,623 </w:t>
            </w:r>
          </w:p>
        </w:tc>
        <w:tc>
          <w:tcPr>
            <w:tcW w:w="1132" w:type="dxa"/>
            <w:tcBorders>
              <w:top w:val="single" w:sz="4" w:space="0" w:color="auto"/>
              <w:left w:val="nil"/>
              <w:bottom w:val="single" w:sz="12" w:space="0" w:color="auto"/>
              <w:right w:val="nil"/>
            </w:tcBorders>
            <w:shd w:val="clear" w:color="auto" w:fill="auto"/>
            <w:vAlign w:val="bottom"/>
          </w:tcPr>
          <w:p w14:paraId="1C5DD901" w14:textId="77777777" w:rsidR="00587444" w:rsidRPr="00587444" w:rsidRDefault="00587444" w:rsidP="00587444">
            <w:pPr>
              <w:tabs>
                <w:tab w:val="right" w:pos="1202"/>
              </w:tabs>
              <w:suppressAutoHyphens w:val="0"/>
              <w:autoSpaceDN/>
              <w:spacing w:line="301" w:lineRule="exact"/>
              <w:outlineLvl w:val="0"/>
              <w:rPr>
                <w:rFonts w:ascii="Arial" w:hAnsi="Arial" w:cs="Arial"/>
                <w:color w:val="000000"/>
                <w:sz w:val="18"/>
                <w:szCs w:val="18"/>
              </w:rPr>
            </w:pPr>
            <w:r w:rsidRPr="00587444">
              <w:rPr>
                <w:rFonts w:ascii="Arial" w:hAnsi="Arial" w:cs="Arial"/>
                <w:b/>
                <w:bCs/>
                <w:color w:val="000000"/>
                <w:sz w:val="18"/>
                <w:szCs w:val="18"/>
                <w:lang w:val="hr-HR"/>
              </w:rPr>
              <w:t xml:space="preserve">14,554,859 </w:t>
            </w:r>
          </w:p>
        </w:tc>
        <w:tc>
          <w:tcPr>
            <w:tcW w:w="1432" w:type="dxa"/>
            <w:tcBorders>
              <w:top w:val="single" w:sz="4" w:space="0" w:color="auto"/>
              <w:left w:val="nil"/>
              <w:bottom w:val="single" w:sz="12" w:space="0" w:color="auto"/>
              <w:right w:val="nil"/>
            </w:tcBorders>
            <w:shd w:val="clear" w:color="auto" w:fill="auto"/>
            <w:vAlign w:val="bottom"/>
          </w:tcPr>
          <w:p w14:paraId="575AB34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b/>
                <w:bCs/>
                <w:color w:val="000000"/>
                <w:sz w:val="18"/>
                <w:szCs w:val="18"/>
                <w:lang w:val="hr-HR"/>
              </w:rPr>
              <w:t xml:space="preserve"> 15,579,482 </w:t>
            </w:r>
          </w:p>
        </w:tc>
        <w:tc>
          <w:tcPr>
            <w:tcW w:w="1561" w:type="dxa"/>
            <w:tcBorders>
              <w:top w:val="single" w:sz="4" w:space="0" w:color="auto"/>
              <w:left w:val="nil"/>
              <w:bottom w:val="single" w:sz="12" w:space="0" w:color="auto"/>
              <w:right w:val="nil"/>
            </w:tcBorders>
            <w:shd w:val="clear" w:color="auto" w:fill="auto"/>
            <w:vAlign w:val="bottom"/>
          </w:tcPr>
          <w:p w14:paraId="4D9BD82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b/>
                <w:bCs/>
                <w:color w:val="000000"/>
                <w:sz w:val="18"/>
                <w:szCs w:val="18"/>
                <w:lang w:val="hr-HR"/>
              </w:rPr>
              <w:t xml:space="preserve"> 17,525,899 </w:t>
            </w:r>
          </w:p>
        </w:tc>
      </w:tr>
      <w:bookmarkEnd w:id="1439"/>
    </w:tbl>
    <w:p w14:paraId="555619C3"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63273012"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716C0165"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577E7E3F"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tbl>
      <w:tblPr>
        <w:tblpPr w:leftFromText="181" w:rightFromText="181" w:vertAnchor="text" w:horzAnchor="margin" w:tblpY="360"/>
        <w:tblW w:w="9615" w:type="dxa"/>
        <w:tblLook w:val="0000" w:firstRow="0" w:lastRow="0" w:firstColumn="0" w:lastColumn="0" w:noHBand="0" w:noVBand="0"/>
      </w:tblPr>
      <w:tblGrid>
        <w:gridCol w:w="3417"/>
        <w:gridCol w:w="1042"/>
        <w:gridCol w:w="1043"/>
        <w:gridCol w:w="1191"/>
        <w:gridCol w:w="1361"/>
        <w:gridCol w:w="1561"/>
      </w:tblGrid>
      <w:tr w:rsidR="00587444" w:rsidRPr="00587444" w14:paraId="153358D1" w14:textId="77777777" w:rsidTr="00E33EB2">
        <w:trPr>
          <w:trHeight w:val="252"/>
        </w:trPr>
        <w:tc>
          <w:tcPr>
            <w:tcW w:w="0" w:type="auto"/>
            <w:vAlign w:val="bottom"/>
          </w:tcPr>
          <w:p w14:paraId="2ABE08C9" w14:textId="77777777" w:rsidR="00587444" w:rsidRPr="00587444" w:rsidRDefault="00587444" w:rsidP="00587444">
            <w:pPr>
              <w:suppressAutoHyphens w:val="0"/>
              <w:autoSpaceDN/>
              <w:rPr>
                <w:rFonts w:ascii="Arial" w:hAnsi="Arial" w:cs="Arial"/>
                <w:b/>
                <w:sz w:val="18"/>
                <w:szCs w:val="18"/>
              </w:rPr>
            </w:pPr>
            <w:r w:rsidRPr="00587444">
              <w:rPr>
                <w:rFonts w:ascii="Arial" w:hAnsi="Arial" w:cs="Arial"/>
                <w:b/>
                <w:sz w:val="18"/>
                <w:szCs w:val="18"/>
              </w:rPr>
              <w:t>Group</w:t>
            </w:r>
          </w:p>
          <w:p w14:paraId="5763CEF3" w14:textId="77777777" w:rsidR="00587444" w:rsidRPr="00587444" w:rsidRDefault="00587444" w:rsidP="00587444">
            <w:pPr>
              <w:suppressAutoHyphens w:val="0"/>
              <w:autoSpaceDN/>
              <w:rPr>
                <w:rFonts w:ascii="Arial" w:hAnsi="Arial" w:cs="Arial"/>
                <w:b/>
                <w:sz w:val="18"/>
                <w:szCs w:val="18"/>
              </w:rPr>
            </w:pPr>
            <w:r w:rsidRPr="00587444">
              <w:rPr>
                <w:rFonts w:ascii="Arial" w:hAnsi="Arial" w:cs="Arial"/>
                <w:b/>
                <w:sz w:val="18"/>
                <w:szCs w:val="18"/>
              </w:rPr>
              <w:t>31 December 2021</w:t>
            </w:r>
          </w:p>
        </w:tc>
        <w:tc>
          <w:tcPr>
            <w:tcW w:w="1042" w:type="dxa"/>
            <w:vAlign w:val="center"/>
          </w:tcPr>
          <w:p w14:paraId="2B072881"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1</w:t>
            </w:r>
          </w:p>
        </w:tc>
        <w:tc>
          <w:tcPr>
            <w:tcW w:w="1043" w:type="dxa"/>
            <w:vAlign w:val="center"/>
          </w:tcPr>
          <w:p w14:paraId="4CA9A9BD"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2</w:t>
            </w:r>
          </w:p>
        </w:tc>
        <w:tc>
          <w:tcPr>
            <w:tcW w:w="1191" w:type="dxa"/>
            <w:vAlign w:val="center"/>
          </w:tcPr>
          <w:p w14:paraId="23E19F70"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3</w:t>
            </w:r>
          </w:p>
        </w:tc>
        <w:tc>
          <w:tcPr>
            <w:tcW w:w="1361" w:type="dxa"/>
            <w:vAlign w:val="center"/>
          </w:tcPr>
          <w:p w14:paraId="23DCDE4E" w14:textId="77777777" w:rsidR="00D53A27"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 xml:space="preserve">Total fair </w:t>
            </w:r>
          </w:p>
          <w:p w14:paraId="21AE551F" w14:textId="560F4BD4"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values</w:t>
            </w:r>
          </w:p>
        </w:tc>
        <w:tc>
          <w:tcPr>
            <w:tcW w:w="1561" w:type="dxa"/>
            <w:vAlign w:val="center"/>
          </w:tcPr>
          <w:p w14:paraId="38043A0A"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Total carrying amount</w:t>
            </w:r>
          </w:p>
        </w:tc>
      </w:tr>
      <w:tr w:rsidR="00587444" w:rsidRPr="00587444" w14:paraId="6D1FF742" w14:textId="77777777" w:rsidTr="00E33EB2">
        <w:trPr>
          <w:trHeight w:hRule="exact" w:val="236"/>
        </w:trPr>
        <w:tc>
          <w:tcPr>
            <w:tcW w:w="0" w:type="auto"/>
            <w:vAlign w:val="bottom"/>
          </w:tcPr>
          <w:p w14:paraId="6DE312D4" w14:textId="77777777" w:rsidR="00587444" w:rsidRPr="00587444" w:rsidRDefault="00587444" w:rsidP="00587444">
            <w:pPr>
              <w:suppressAutoHyphens w:val="0"/>
              <w:autoSpaceDN/>
              <w:rPr>
                <w:rFonts w:ascii="Arial" w:hAnsi="Arial" w:cs="Arial"/>
                <w:sz w:val="18"/>
                <w:szCs w:val="18"/>
              </w:rPr>
            </w:pPr>
          </w:p>
        </w:tc>
        <w:tc>
          <w:tcPr>
            <w:tcW w:w="1042" w:type="dxa"/>
            <w:vAlign w:val="center"/>
          </w:tcPr>
          <w:p w14:paraId="3B56451A"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c>
          <w:tcPr>
            <w:tcW w:w="1043" w:type="dxa"/>
            <w:vAlign w:val="center"/>
          </w:tcPr>
          <w:p w14:paraId="77A5DA79"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c>
          <w:tcPr>
            <w:tcW w:w="1191" w:type="dxa"/>
            <w:vAlign w:val="center"/>
          </w:tcPr>
          <w:p w14:paraId="30BB409B"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c>
          <w:tcPr>
            <w:tcW w:w="1361" w:type="dxa"/>
            <w:vAlign w:val="center"/>
          </w:tcPr>
          <w:p w14:paraId="1AAA3C79"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c>
          <w:tcPr>
            <w:tcW w:w="1561" w:type="dxa"/>
            <w:vAlign w:val="center"/>
          </w:tcPr>
          <w:p w14:paraId="0FDEB059"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r>
      <w:tr w:rsidR="00587444" w:rsidRPr="00587444" w14:paraId="48B26C5F" w14:textId="77777777" w:rsidTr="00E33EB2">
        <w:trPr>
          <w:trHeight w:hRule="exact" w:val="148"/>
        </w:trPr>
        <w:tc>
          <w:tcPr>
            <w:tcW w:w="0" w:type="auto"/>
            <w:vAlign w:val="bottom"/>
          </w:tcPr>
          <w:p w14:paraId="7E5D9044" w14:textId="77777777" w:rsidR="00587444" w:rsidRPr="00587444" w:rsidRDefault="00587444" w:rsidP="00587444">
            <w:pPr>
              <w:suppressAutoHyphens w:val="0"/>
              <w:autoSpaceDN/>
              <w:rPr>
                <w:rFonts w:ascii="Arial" w:hAnsi="Arial" w:cs="Arial"/>
                <w:sz w:val="18"/>
                <w:szCs w:val="18"/>
              </w:rPr>
            </w:pPr>
          </w:p>
        </w:tc>
        <w:tc>
          <w:tcPr>
            <w:tcW w:w="1042" w:type="dxa"/>
            <w:vAlign w:val="center"/>
          </w:tcPr>
          <w:p w14:paraId="6674731E" w14:textId="77777777" w:rsidR="00587444" w:rsidRPr="00587444" w:rsidRDefault="00587444" w:rsidP="00587444">
            <w:pPr>
              <w:suppressAutoHyphens w:val="0"/>
              <w:autoSpaceDN/>
              <w:jc w:val="right"/>
              <w:rPr>
                <w:rFonts w:ascii="Arial" w:hAnsi="Arial" w:cs="Arial"/>
                <w:b/>
                <w:sz w:val="18"/>
                <w:szCs w:val="18"/>
              </w:rPr>
            </w:pPr>
          </w:p>
        </w:tc>
        <w:tc>
          <w:tcPr>
            <w:tcW w:w="1043" w:type="dxa"/>
            <w:vAlign w:val="center"/>
          </w:tcPr>
          <w:p w14:paraId="1C712DD4" w14:textId="77777777" w:rsidR="00587444" w:rsidRPr="00587444" w:rsidRDefault="00587444" w:rsidP="00587444">
            <w:pPr>
              <w:suppressAutoHyphens w:val="0"/>
              <w:autoSpaceDN/>
              <w:jc w:val="right"/>
              <w:rPr>
                <w:rFonts w:ascii="Arial" w:hAnsi="Arial" w:cs="Arial"/>
                <w:b/>
                <w:sz w:val="18"/>
                <w:szCs w:val="18"/>
              </w:rPr>
            </w:pPr>
          </w:p>
        </w:tc>
        <w:tc>
          <w:tcPr>
            <w:tcW w:w="1191" w:type="dxa"/>
            <w:vAlign w:val="center"/>
          </w:tcPr>
          <w:p w14:paraId="3CF7CF05" w14:textId="77777777" w:rsidR="00587444" w:rsidRPr="00587444" w:rsidRDefault="00587444" w:rsidP="00587444">
            <w:pPr>
              <w:suppressAutoHyphens w:val="0"/>
              <w:autoSpaceDN/>
              <w:jc w:val="right"/>
              <w:rPr>
                <w:rFonts w:ascii="Arial" w:hAnsi="Arial" w:cs="Arial"/>
                <w:b/>
                <w:sz w:val="18"/>
                <w:szCs w:val="18"/>
              </w:rPr>
            </w:pPr>
          </w:p>
        </w:tc>
        <w:tc>
          <w:tcPr>
            <w:tcW w:w="1361" w:type="dxa"/>
            <w:vAlign w:val="center"/>
          </w:tcPr>
          <w:p w14:paraId="09CDC4B7" w14:textId="77777777" w:rsidR="00587444" w:rsidRPr="00587444" w:rsidRDefault="00587444" w:rsidP="00587444">
            <w:pPr>
              <w:suppressAutoHyphens w:val="0"/>
              <w:autoSpaceDN/>
              <w:jc w:val="right"/>
              <w:rPr>
                <w:rFonts w:ascii="Arial" w:hAnsi="Arial" w:cs="Arial"/>
                <w:b/>
                <w:sz w:val="18"/>
                <w:szCs w:val="18"/>
              </w:rPr>
            </w:pPr>
          </w:p>
        </w:tc>
        <w:tc>
          <w:tcPr>
            <w:tcW w:w="1561" w:type="dxa"/>
            <w:vAlign w:val="center"/>
          </w:tcPr>
          <w:p w14:paraId="3600686A" w14:textId="77777777" w:rsidR="00587444" w:rsidRPr="00587444" w:rsidRDefault="00587444" w:rsidP="00587444">
            <w:pPr>
              <w:suppressAutoHyphens w:val="0"/>
              <w:autoSpaceDN/>
              <w:jc w:val="right"/>
              <w:rPr>
                <w:rFonts w:ascii="Arial" w:hAnsi="Arial" w:cs="Arial"/>
                <w:b/>
                <w:sz w:val="18"/>
                <w:szCs w:val="18"/>
              </w:rPr>
            </w:pPr>
          </w:p>
        </w:tc>
      </w:tr>
      <w:tr w:rsidR="00587444" w:rsidRPr="00587444" w14:paraId="07F52FB0" w14:textId="77777777" w:rsidTr="00E33EB2">
        <w:trPr>
          <w:trHeight w:val="259"/>
        </w:trPr>
        <w:tc>
          <w:tcPr>
            <w:tcW w:w="0" w:type="auto"/>
            <w:vAlign w:val="bottom"/>
          </w:tcPr>
          <w:p w14:paraId="7FF44562" w14:textId="77777777" w:rsidR="00587444" w:rsidRPr="00587444" w:rsidRDefault="00587444" w:rsidP="00587444">
            <w:pPr>
              <w:tabs>
                <w:tab w:val="right" w:pos="1202"/>
              </w:tabs>
              <w:suppressAutoHyphens w:val="0"/>
              <w:autoSpaceDN/>
              <w:outlineLvl w:val="0"/>
              <w:rPr>
                <w:rFonts w:ascii="Arial" w:hAnsi="Arial" w:cs="Arial"/>
                <w:b/>
                <w:bCs/>
                <w:sz w:val="18"/>
                <w:szCs w:val="18"/>
              </w:rPr>
            </w:pPr>
            <w:r w:rsidRPr="00587444">
              <w:rPr>
                <w:rFonts w:ascii="Arial" w:eastAsia="Calibri" w:hAnsi="Arial" w:cs="Arial"/>
                <w:b/>
                <w:bCs/>
                <w:sz w:val="18"/>
                <w:szCs w:val="18"/>
              </w:rPr>
              <w:t>Assets</w:t>
            </w:r>
          </w:p>
        </w:tc>
        <w:tc>
          <w:tcPr>
            <w:tcW w:w="1042" w:type="dxa"/>
            <w:vAlign w:val="center"/>
          </w:tcPr>
          <w:p w14:paraId="5916CEBD"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043" w:type="dxa"/>
            <w:vAlign w:val="center"/>
          </w:tcPr>
          <w:p w14:paraId="5B061887"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191" w:type="dxa"/>
            <w:vAlign w:val="center"/>
          </w:tcPr>
          <w:p w14:paraId="13E7D427"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361" w:type="dxa"/>
            <w:vAlign w:val="center"/>
          </w:tcPr>
          <w:p w14:paraId="3FC29F3B"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561" w:type="dxa"/>
            <w:vAlign w:val="center"/>
          </w:tcPr>
          <w:p w14:paraId="286363B7"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r>
      <w:tr w:rsidR="00587444" w:rsidRPr="00587444" w14:paraId="1CD59321" w14:textId="77777777" w:rsidTr="00E33EB2">
        <w:trPr>
          <w:trHeight w:val="259"/>
        </w:trPr>
        <w:tc>
          <w:tcPr>
            <w:tcW w:w="0" w:type="auto"/>
            <w:vAlign w:val="bottom"/>
          </w:tcPr>
          <w:p w14:paraId="64331BFF" w14:textId="77777777" w:rsidR="00587444" w:rsidRPr="00587444" w:rsidRDefault="00587444" w:rsidP="00587444">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Cash on hand and current accounts with banks</w:t>
            </w:r>
          </w:p>
        </w:tc>
        <w:tc>
          <w:tcPr>
            <w:tcW w:w="1042" w:type="dxa"/>
            <w:vAlign w:val="bottom"/>
          </w:tcPr>
          <w:p w14:paraId="17C5F42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1,961,986 </w:t>
            </w:r>
          </w:p>
        </w:tc>
        <w:tc>
          <w:tcPr>
            <w:tcW w:w="1043" w:type="dxa"/>
            <w:vAlign w:val="bottom"/>
          </w:tcPr>
          <w:p w14:paraId="2034794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191" w:type="dxa"/>
            <w:vAlign w:val="bottom"/>
          </w:tcPr>
          <w:p w14:paraId="181E3F7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361" w:type="dxa"/>
            <w:vAlign w:val="bottom"/>
          </w:tcPr>
          <w:p w14:paraId="5B7660F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1,961,986 </w:t>
            </w:r>
          </w:p>
        </w:tc>
        <w:tc>
          <w:tcPr>
            <w:tcW w:w="1561" w:type="dxa"/>
            <w:tcBorders>
              <w:top w:val="nil"/>
              <w:left w:val="nil"/>
              <w:bottom w:val="nil"/>
              <w:right w:val="nil"/>
            </w:tcBorders>
            <w:shd w:val="clear" w:color="auto" w:fill="auto"/>
            <w:vAlign w:val="bottom"/>
          </w:tcPr>
          <w:p w14:paraId="6772092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napToGrid w:val="0"/>
                <w:sz w:val="18"/>
                <w:szCs w:val="18"/>
              </w:rPr>
            </w:pPr>
            <w:r w:rsidRPr="00587444">
              <w:rPr>
                <w:rFonts w:ascii="Arial" w:hAnsi="Arial" w:cs="Arial"/>
                <w:sz w:val="18"/>
                <w:szCs w:val="18"/>
              </w:rPr>
              <w:t xml:space="preserve"> 1,961,986 </w:t>
            </w:r>
          </w:p>
        </w:tc>
      </w:tr>
      <w:tr w:rsidR="00587444" w:rsidRPr="00587444" w14:paraId="3917A413" w14:textId="77777777" w:rsidTr="00E33EB2">
        <w:trPr>
          <w:trHeight w:val="261"/>
        </w:trPr>
        <w:tc>
          <w:tcPr>
            <w:tcW w:w="0" w:type="auto"/>
            <w:vAlign w:val="bottom"/>
          </w:tcPr>
          <w:p w14:paraId="487A25CA" w14:textId="77777777" w:rsidR="00587444" w:rsidRPr="00587444" w:rsidRDefault="00587444" w:rsidP="00587444">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Deposits with other banks</w:t>
            </w:r>
          </w:p>
        </w:tc>
        <w:tc>
          <w:tcPr>
            <w:tcW w:w="1042" w:type="dxa"/>
            <w:vAlign w:val="bottom"/>
          </w:tcPr>
          <w:p w14:paraId="1108973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043" w:type="dxa"/>
            <w:vAlign w:val="bottom"/>
          </w:tcPr>
          <w:p w14:paraId="119D005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7,500 </w:t>
            </w:r>
          </w:p>
        </w:tc>
        <w:tc>
          <w:tcPr>
            <w:tcW w:w="1191" w:type="dxa"/>
            <w:vAlign w:val="bottom"/>
          </w:tcPr>
          <w:p w14:paraId="4F23567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361" w:type="dxa"/>
            <w:vAlign w:val="bottom"/>
          </w:tcPr>
          <w:p w14:paraId="19B8B79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7,500 </w:t>
            </w:r>
          </w:p>
        </w:tc>
        <w:tc>
          <w:tcPr>
            <w:tcW w:w="1561" w:type="dxa"/>
            <w:tcBorders>
              <w:top w:val="nil"/>
              <w:left w:val="nil"/>
              <w:bottom w:val="nil"/>
              <w:right w:val="nil"/>
            </w:tcBorders>
            <w:shd w:val="clear" w:color="auto" w:fill="auto"/>
            <w:vAlign w:val="bottom"/>
          </w:tcPr>
          <w:p w14:paraId="5E67398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napToGrid w:val="0"/>
                <w:sz w:val="18"/>
                <w:szCs w:val="18"/>
              </w:rPr>
            </w:pPr>
            <w:r w:rsidRPr="00587444">
              <w:rPr>
                <w:rFonts w:ascii="Arial" w:hAnsi="Arial" w:cs="Arial"/>
                <w:sz w:val="18"/>
                <w:szCs w:val="18"/>
              </w:rPr>
              <w:t xml:space="preserve"> 7,500 </w:t>
            </w:r>
          </w:p>
        </w:tc>
      </w:tr>
      <w:tr w:rsidR="00587444" w:rsidRPr="00587444" w14:paraId="066A7B07" w14:textId="77777777" w:rsidTr="00E33EB2">
        <w:trPr>
          <w:trHeight w:val="261"/>
        </w:trPr>
        <w:tc>
          <w:tcPr>
            <w:tcW w:w="0" w:type="auto"/>
            <w:vAlign w:val="bottom"/>
          </w:tcPr>
          <w:p w14:paraId="5AFE3C2D" w14:textId="77777777" w:rsidR="00587444" w:rsidRPr="00587444" w:rsidRDefault="00587444" w:rsidP="00587444">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Loans to financial institutions</w:t>
            </w:r>
          </w:p>
        </w:tc>
        <w:tc>
          <w:tcPr>
            <w:tcW w:w="1042" w:type="dxa"/>
            <w:vAlign w:val="bottom"/>
          </w:tcPr>
          <w:p w14:paraId="66576AE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043" w:type="dxa"/>
            <w:vAlign w:val="bottom"/>
          </w:tcPr>
          <w:p w14:paraId="42AE0B7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191" w:type="dxa"/>
            <w:vAlign w:val="bottom"/>
          </w:tcPr>
          <w:p w14:paraId="29FAE0B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7,073,126 </w:t>
            </w:r>
          </w:p>
        </w:tc>
        <w:tc>
          <w:tcPr>
            <w:tcW w:w="1361" w:type="dxa"/>
            <w:vAlign w:val="bottom"/>
          </w:tcPr>
          <w:p w14:paraId="188BE2C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7,073,126 </w:t>
            </w:r>
          </w:p>
        </w:tc>
        <w:tc>
          <w:tcPr>
            <w:tcW w:w="1561" w:type="dxa"/>
            <w:tcBorders>
              <w:top w:val="nil"/>
              <w:left w:val="nil"/>
              <w:bottom w:val="nil"/>
              <w:right w:val="nil"/>
            </w:tcBorders>
            <w:shd w:val="clear" w:color="auto" w:fill="auto"/>
            <w:vAlign w:val="bottom"/>
          </w:tcPr>
          <w:p w14:paraId="4988211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napToGrid w:val="0"/>
                <w:sz w:val="18"/>
                <w:szCs w:val="18"/>
              </w:rPr>
            </w:pPr>
            <w:r w:rsidRPr="00587444">
              <w:rPr>
                <w:rFonts w:ascii="Arial" w:hAnsi="Arial" w:cs="Arial"/>
                <w:sz w:val="18"/>
                <w:szCs w:val="18"/>
              </w:rPr>
              <w:t xml:space="preserve"> 7,050,143 </w:t>
            </w:r>
          </w:p>
        </w:tc>
      </w:tr>
      <w:tr w:rsidR="00587444" w:rsidRPr="00587444" w14:paraId="43F6CE5F" w14:textId="77777777" w:rsidTr="00E33EB2">
        <w:trPr>
          <w:trHeight w:val="220"/>
        </w:trPr>
        <w:tc>
          <w:tcPr>
            <w:tcW w:w="0" w:type="auto"/>
            <w:vAlign w:val="bottom"/>
          </w:tcPr>
          <w:p w14:paraId="3DFE5ED6" w14:textId="77777777" w:rsidR="00587444" w:rsidRPr="00587444" w:rsidRDefault="00587444" w:rsidP="00587444">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Loans to other customers</w:t>
            </w:r>
          </w:p>
        </w:tc>
        <w:tc>
          <w:tcPr>
            <w:tcW w:w="1042" w:type="dxa"/>
            <w:tcBorders>
              <w:bottom w:val="single" w:sz="4" w:space="0" w:color="auto"/>
            </w:tcBorders>
            <w:vAlign w:val="bottom"/>
          </w:tcPr>
          <w:p w14:paraId="6289006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043" w:type="dxa"/>
            <w:tcBorders>
              <w:bottom w:val="single" w:sz="4" w:space="0" w:color="auto"/>
            </w:tcBorders>
            <w:vAlign w:val="bottom"/>
          </w:tcPr>
          <w:p w14:paraId="3CE2106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191" w:type="dxa"/>
            <w:tcBorders>
              <w:bottom w:val="single" w:sz="4" w:space="0" w:color="auto"/>
            </w:tcBorders>
            <w:vAlign w:val="bottom"/>
          </w:tcPr>
          <w:p w14:paraId="479CA2E6" w14:textId="379923A6" w:rsidR="00587444" w:rsidRPr="00587444" w:rsidRDefault="00587444" w:rsidP="00E33EB2">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w:t>
            </w:r>
            <w:r w:rsidR="00E33EB2">
              <w:rPr>
                <w:rFonts w:ascii="Arial" w:hAnsi="Arial" w:cs="Arial"/>
                <w:sz w:val="18"/>
                <w:szCs w:val="18"/>
              </w:rPr>
              <w:t>1</w:t>
            </w:r>
            <w:r w:rsidRPr="00587444">
              <w:rPr>
                <w:rFonts w:ascii="Arial" w:hAnsi="Arial" w:cs="Arial"/>
                <w:sz w:val="18"/>
                <w:szCs w:val="18"/>
              </w:rPr>
              <w:t>7,912,813</w:t>
            </w:r>
          </w:p>
        </w:tc>
        <w:tc>
          <w:tcPr>
            <w:tcW w:w="1361" w:type="dxa"/>
            <w:tcBorders>
              <w:bottom w:val="single" w:sz="4" w:space="0" w:color="auto"/>
            </w:tcBorders>
            <w:vAlign w:val="bottom"/>
          </w:tcPr>
          <w:p w14:paraId="5F223D1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17,912,813 </w:t>
            </w:r>
          </w:p>
        </w:tc>
        <w:tc>
          <w:tcPr>
            <w:tcW w:w="1561" w:type="dxa"/>
            <w:tcBorders>
              <w:top w:val="nil"/>
              <w:left w:val="nil"/>
              <w:bottom w:val="single" w:sz="4" w:space="0" w:color="auto"/>
              <w:right w:val="nil"/>
            </w:tcBorders>
            <w:shd w:val="clear" w:color="auto" w:fill="auto"/>
            <w:vAlign w:val="bottom"/>
          </w:tcPr>
          <w:p w14:paraId="3F8DF4D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18"/>
                <w:szCs w:val="18"/>
              </w:rPr>
            </w:pPr>
            <w:r w:rsidRPr="00587444">
              <w:rPr>
                <w:rFonts w:ascii="Arial" w:hAnsi="Arial" w:cs="Arial"/>
                <w:sz w:val="18"/>
                <w:szCs w:val="18"/>
              </w:rPr>
              <w:t xml:space="preserve"> 15,964,376 </w:t>
            </w:r>
          </w:p>
        </w:tc>
      </w:tr>
      <w:tr w:rsidR="00587444" w:rsidRPr="00587444" w14:paraId="66E9D48E" w14:textId="77777777" w:rsidTr="00E33EB2">
        <w:trPr>
          <w:trHeight w:val="318"/>
        </w:trPr>
        <w:tc>
          <w:tcPr>
            <w:tcW w:w="0" w:type="auto"/>
            <w:vAlign w:val="bottom"/>
          </w:tcPr>
          <w:p w14:paraId="6E57EC6C" w14:textId="77777777" w:rsidR="00587444" w:rsidRPr="00587444" w:rsidRDefault="00587444" w:rsidP="00587444">
            <w:pPr>
              <w:keepNext/>
              <w:keepLines/>
              <w:tabs>
                <w:tab w:val="decimal" w:pos="1202"/>
              </w:tabs>
              <w:suppressAutoHyphens w:val="0"/>
              <w:autoSpaceDN/>
              <w:rPr>
                <w:rFonts w:ascii="Arial" w:hAnsi="Arial" w:cs="Arial"/>
                <w:b/>
                <w:position w:val="4"/>
                <w:sz w:val="18"/>
                <w:szCs w:val="18"/>
              </w:rPr>
            </w:pPr>
          </w:p>
        </w:tc>
        <w:tc>
          <w:tcPr>
            <w:tcW w:w="1042" w:type="dxa"/>
            <w:tcBorders>
              <w:top w:val="single" w:sz="4" w:space="0" w:color="auto"/>
            </w:tcBorders>
            <w:vAlign w:val="bottom"/>
          </w:tcPr>
          <w:p w14:paraId="3E15EA3D" w14:textId="77777777" w:rsidR="00587444" w:rsidRPr="00587444" w:rsidRDefault="00587444" w:rsidP="00587444">
            <w:pPr>
              <w:keepLines/>
              <w:suppressAutoHyphens w:val="0"/>
              <w:autoSpaceDN/>
              <w:rPr>
                <w:rFonts w:ascii="Arial" w:hAnsi="Arial" w:cs="Arial"/>
                <w:spacing w:val="-2"/>
                <w:position w:val="4"/>
                <w:sz w:val="18"/>
                <w:szCs w:val="18"/>
              </w:rPr>
            </w:pPr>
            <w:r w:rsidRPr="00587444">
              <w:rPr>
                <w:rFonts w:ascii="Arial" w:hAnsi="Arial" w:cs="Arial"/>
                <w:b/>
                <w:bCs/>
                <w:sz w:val="18"/>
                <w:szCs w:val="18"/>
              </w:rPr>
              <w:t xml:space="preserve">1,961,986 </w:t>
            </w:r>
          </w:p>
        </w:tc>
        <w:tc>
          <w:tcPr>
            <w:tcW w:w="1043" w:type="dxa"/>
            <w:tcBorders>
              <w:top w:val="single" w:sz="4" w:space="0" w:color="auto"/>
            </w:tcBorders>
            <w:vAlign w:val="bottom"/>
          </w:tcPr>
          <w:p w14:paraId="69C7FB80" w14:textId="77777777" w:rsidR="00587444" w:rsidRPr="00587444" w:rsidRDefault="00587444" w:rsidP="00587444">
            <w:pPr>
              <w:keepLines/>
              <w:suppressAutoHyphens w:val="0"/>
              <w:autoSpaceDN/>
              <w:jc w:val="right"/>
              <w:rPr>
                <w:rFonts w:ascii="Arial" w:hAnsi="Arial" w:cs="Arial"/>
                <w:spacing w:val="-2"/>
                <w:position w:val="4"/>
                <w:sz w:val="18"/>
                <w:szCs w:val="18"/>
              </w:rPr>
            </w:pPr>
            <w:r w:rsidRPr="00587444">
              <w:rPr>
                <w:rFonts w:ascii="Arial" w:hAnsi="Arial" w:cs="Arial"/>
                <w:b/>
                <w:bCs/>
                <w:sz w:val="18"/>
                <w:szCs w:val="18"/>
              </w:rPr>
              <w:t xml:space="preserve"> 7,500 </w:t>
            </w:r>
          </w:p>
        </w:tc>
        <w:tc>
          <w:tcPr>
            <w:tcW w:w="1191" w:type="dxa"/>
            <w:tcBorders>
              <w:top w:val="single" w:sz="4" w:space="0" w:color="auto"/>
            </w:tcBorders>
            <w:vAlign w:val="bottom"/>
          </w:tcPr>
          <w:p w14:paraId="3808596F" w14:textId="77777777" w:rsidR="00587444" w:rsidRPr="00587444" w:rsidRDefault="00587444" w:rsidP="00587444">
            <w:pPr>
              <w:keepLines/>
              <w:suppressAutoHyphens w:val="0"/>
              <w:autoSpaceDN/>
              <w:rPr>
                <w:rFonts w:ascii="Arial" w:hAnsi="Arial" w:cs="Arial"/>
                <w:spacing w:val="-2"/>
                <w:position w:val="4"/>
                <w:sz w:val="18"/>
                <w:szCs w:val="18"/>
              </w:rPr>
            </w:pPr>
            <w:r w:rsidRPr="00587444">
              <w:rPr>
                <w:rFonts w:ascii="Arial" w:hAnsi="Arial" w:cs="Arial"/>
                <w:b/>
                <w:bCs/>
                <w:sz w:val="18"/>
                <w:szCs w:val="18"/>
              </w:rPr>
              <w:t xml:space="preserve">24,985,939 </w:t>
            </w:r>
          </w:p>
        </w:tc>
        <w:tc>
          <w:tcPr>
            <w:tcW w:w="1361" w:type="dxa"/>
            <w:tcBorders>
              <w:top w:val="single" w:sz="4" w:space="0" w:color="auto"/>
            </w:tcBorders>
            <w:vAlign w:val="bottom"/>
          </w:tcPr>
          <w:p w14:paraId="335BBB6F" w14:textId="77777777" w:rsidR="00587444" w:rsidRPr="00587444" w:rsidRDefault="00587444" w:rsidP="00587444">
            <w:pPr>
              <w:keepLines/>
              <w:suppressAutoHyphens w:val="0"/>
              <w:autoSpaceDN/>
              <w:jc w:val="right"/>
              <w:rPr>
                <w:rFonts w:ascii="Arial" w:hAnsi="Arial" w:cs="Arial"/>
                <w:spacing w:val="-2"/>
                <w:position w:val="4"/>
                <w:sz w:val="18"/>
                <w:szCs w:val="18"/>
              </w:rPr>
            </w:pPr>
            <w:r w:rsidRPr="00587444">
              <w:rPr>
                <w:rFonts w:ascii="Arial" w:hAnsi="Arial" w:cs="Arial"/>
                <w:b/>
                <w:bCs/>
                <w:sz w:val="18"/>
                <w:szCs w:val="18"/>
              </w:rPr>
              <w:t xml:space="preserve"> 26,955,425 </w:t>
            </w:r>
          </w:p>
        </w:tc>
        <w:tc>
          <w:tcPr>
            <w:tcW w:w="1561" w:type="dxa"/>
            <w:tcBorders>
              <w:top w:val="single" w:sz="4" w:space="0" w:color="auto"/>
              <w:left w:val="nil"/>
              <w:bottom w:val="nil"/>
              <w:right w:val="nil"/>
            </w:tcBorders>
            <w:shd w:val="clear" w:color="auto" w:fill="auto"/>
            <w:vAlign w:val="bottom"/>
          </w:tcPr>
          <w:p w14:paraId="61326F6F" w14:textId="77777777" w:rsidR="00587444" w:rsidRPr="00587444" w:rsidRDefault="00587444" w:rsidP="00587444">
            <w:pPr>
              <w:keepLines/>
              <w:suppressAutoHyphens w:val="0"/>
              <w:autoSpaceDN/>
              <w:jc w:val="right"/>
              <w:rPr>
                <w:rFonts w:ascii="Arial" w:hAnsi="Arial" w:cs="Arial"/>
                <w:spacing w:val="-2"/>
                <w:position w:val="4"/>
                <w:sz w:val="18"/>
                <w:szCs w:val="18"/>
              </w:rPr>
            </w:pPr>
            <w:r w:rsidRPr="00587444">
              <w:rPr>
                <w:rFonts w:ascii="Arial" w:hAnsi="Arial" w:cs="Arial"/>
                <w:b/>
                <w:bCs/>
                <w:sz w:val="18"/>
                <w:szCs w:val="18"/>
              </w:rPr>
              <w:t xml:space="preserve"> 24,984,005 </w:t>
            </w:r>
          </w:p>
        </w:tc>
      </w:tr>
      <w:tr w:rsidR="00587444" w:rsidRPr="00587444" w14:paraId="5D7A840E" w14:textId="77777777" w:rsidTr="00E33EB2">
        <w:trPr>
          <w:trHeight w:hRule="exact" w:val="148"/>
        </w:trPr>
        <w:tc>
          <w:tcPr>
            <w:tcW w:w="0" w:type="auto"/>
            <w:vAlign w:val="bottom"/>
          </w:tcPr>
          <w:p w14:paraId="338C469F" w14:textId="77777777" w:rsidR="00587444" w:rsidRPr="00587444" w:rsidRDefault="00587444" w:rsidP="00587444">
            <w:pPr>
              <w:keepNext/>
              <w:keepLines/>
              <w:tabs>
                <w:tab w:val="decimal" w:pos="1202"/>
              </w:tabs>
              <w:suppressAutoHyphens w:val="0"/>
              <w:autoSpaceDN/>
              <w:rPr>
                <w:rFonts w:ascii="Arial" w:hAnsi="Arial" w:cs="Arial"/>
                <w:b/>
                <w:position w:val="4"/>
                <w:sz w:val="18"/>
                <w:szCs w:val="18"/>
              </w:rPr>
            </w:pPr>
          </w:p>
        </w:tc>
        <w:tc>
          <w:tcPr>
            <w:tcW w:w="1042" w:type="dxa"/>
            <w:tcBorders>
              <w:top w:val="single" w:sz="12" w:space="0" w:color="auto"/>
            </w:tcBorders>
            <w:vAlign w:val="bottom"/>
          </w:tcPr>
          <w:p w14:paraId="277DFEFB" w14:textId="77777777" w:rsidR="00587444" w:rsidRPr="00587444" w:rsidRDefault="00587444" w:rsidP="00587444">
            <w:pPr>
              <w:keepLines/>
              <w:suppressAutoHyphens w:val="0"/>
              <w:autoSpaceDN/>
              <w:jc w:val="right"/>
              <w:rPr>
                <w:rFonts w:ascii="Arial" w:hAnsi="Arial" w:cs="Arial"/>
                <w:spacing w:val="-2"/>
                <w:position w:val="4"/>
                <w:sz w:val="18"/>
                <w:szCs w:val="18"/>
              </w:rPr>
            </w:pPr>
          </w:p>
        </w:tc>
        <w:tc>
          <w:tcPr>
            <w:tcW w:w="1043" w:type="dxa"/>
            <w:tcBorders>
              <w:top w:val="single" w:sz="12" w:space="0" w:color="auto"/>
            </w:tcBorders>
            <w:vAlign w:val="bottom"/>
          </w:tcPr>
          <w:p w14:paraId="27ABA605" w14:textId="77777777" w:rsidR="00587444" w:rsidRPr="00587444" w:rsidRDefault="00587444" w:rsidP="00587444">
            <w:pPr>
              <w:keepLines/>
              <w:suppressAutoHyphens w:val="0"/>
              <w:autoSpaceDN/>
              <w:jc w:val="right"/>
              <w:rPr>
                <w:rFonts w:ascii="Arial" w:hAnsi="Arial" w:cs="Arial"/>
                <w:spacing w:val="-2"/>
                <w:position w:val="4"/>
                <w:sz w:val="18"/>
                <w:szCs w:val="18"/>
              </w:rPr>
            </w:pPr>
          </w:p>
        </w:tc>
        <w:tc>
          <w:tcPr>
            <w:tcW w:w="1191" w:type="dxa"/>
            <w:tcBorders>
              <w:top w:val="single" w:sz="12" w:space="0" w:color="auto"/>
            </w:tcBorders>
            <w:vAlign w:val="bottom"/>
          </w:tcPr>
          <w:p w14:paraId="7F0CE88D" w14:textId="77777777" w:rsidR="00587444" w:rsidRPr="00587444" w:rsidRDefault="00587444" w:rsidP="00587444">
            <w:pPr>
              <w:keepLines/>
              <w:suppressAutoHyphens w:val="0"/>
              <w:autoSpaceDN/>
              <w:jc w:val="right"/>
              <w:rPr>
                <w:rFonts w:ascii="Arial" w:hAnsi="Arial" w:cs="Arial"/>
                <w:spacing w:val="-2"/>
                <w:position w:val="4"/>
                <w:sz w:val="18"/>
                <w:szCs w:val="18"/>
              </w:rPr>
            </w:pPr>
          </w:p>
        </w:tc>
        <w:tc>
          <w:tcPr>
            <w:tcW w:w="1361" w:type="dxa"/>
            <w:tcBorders>
              <w:top w:val="single" w:sz="12" w:space="0" w:color="auto"/>
            </w:tcBorders>
            <w:vAlign w:val="bottom"/>
          </w:tcPr>
          <w:p w14:paraId="2D426827" w14:textId="77777777" w:rsidR="00587444" w:rsidRPr="00587444" w:rsidRDefault="00587444" w:rsidP="00587444">
            <w:pPr>
              <w:keepLines/>
              <w:suppressAutoHyphens w:val="0"/>
              <w:autoSpaceDN/>
              <w:jc w:val="right"/>
              <w:rPr>
                <w:rFonts w:ascii="Arial" w:hAnsi="Arial" w:cs="Arial"/>
                <w:spacing w:val="-2"/>
                <w:position w:val="4"/>
                <w:sz w:val="18"/>
                <w:szCs w:val="18"/>
              </w:rPr>
            </w:pPr>
          </w:p>
        </w:tc>
        <w:tc>
          <w:tcPr>
            <w:tcW w:w="1561" w:type="dxa"/>
            <w:tcBorders>
              <w:top w:val="single" w:sz="12" w:space="0" w:color="auto"/>
            </w:tcBorders>
            <w:vAlign w:val="bottom"/>
          </w:tcPr>
          <w:p w14:paraId="67A26E9E" w14:textId="77777777" w:rsidR="00587444" w:rsidRPr="00587444" w:rsidRDefault="00587444" w:rsidP="00587444">
            <w:pPr>
              <w:keepLines/>
              <w:suppressAutoHyphens w:val="0"/>
              <w:autoSpaceDN/>
              <w:jc w:val="right"/>
              <w:rPr>
                <w:rFonts w:ascii="Arial" w:hAnsi="Arial" w:cs="Arial"/>
                <w:spacing w:val="-2"/>
                <w:position w:val="4"/>
                <w:sz w:val="18"/>
                <w:szCs w:val="18"/>
              </w:rPr>
            </w:pPr>
          </w:p>
        </w:tc>
      </w:tr>
      <w:tr w:rsidR="00587444" w:rsidRPr="00587444" w14:paraId="67010E9D" w14:textId="77777777" w:rsidTr="00E33EB2">
        <w:trPr>
          <w:trHeight w:val="261"/>
        </w:trPr>
        <w:tc>
          <w:tcPr>
            <w:tcW w:w="0" w:type="auto"/>
            <w:vAlign w:val="bottom"/>
          </w:tcPr>
          <w:p w14:paraId="4028F310" w14:textId="77777777" w:rsidR="00587444" w:rsidRPr="00587444" w:rsidRDefault="00587444" w:rsidP="00587444">
            <w:pPr>
              <w:tabs>
                <w:tab w:val="right" w:pos="1202"/>
              </w:tabs>
              <w:suppressAutoHyphens w:val="0"/>
              <w:autoSpaceDN/>
              <w:outlineLvl w:val="0"/>
              <w:rPr>
                <w:rFonts w:ascii="Arial" w:hAnsi="Arial" w:cs="Arial"/>
                <w:b/>
                <w:bCs/>
                <w:sz w:val="18"/>
                <w:szCs w:val="18"/>
              </w:rPr>
            </w:pPr>
            <w:r w:rsidRPr="00587444">
              <w:rPr>
                <w:rFonts w:ascii="Arial" w:eastAsia="Calibri" w:hAnsi="Arial" w:cs="Arial"/>
                <w:b/>
                <w:bCs/>
                <w:sz w:val="18"/>
                <w:szCs w:val="18"/>
              </w:rPr>
              <w:t>Liabilities</w:t>
            </w:r>
          </w:p>
        </w:tc>
        <w:tc>
          <w:tcPr>
            <w:tcW w:w="1042" w:type="dxa"/>
            <w:vAlign w:val="bottom"/>
          </w:tcPr>
          <w:p w14:paraId="7E018ED1"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043" w:type="dxa"/>
            <w:vAlign w:val="bottom"/>
          </w:tcPr>
          <w:p w14:paraId="1CD0D83F"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191" w:type="dxa"/>
            <w:vAlign w:val="bottom"/>
          </w:tcPr>
          <w:p w14:paraId="1304A728"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361" w:type="dxa"/>
            <w:vAlign w:val="bottom"/>
          </w:tcPr>
          <w:p w14:paraId="348D5AD6"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561" w:type="dxa"/>
            <w:vAlign w:val="bottom"/>
          </w:tcPr>
          <w:p w14:paraId="2DE28B26"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r>
      <w:tr w:rsidR="00587444" w:rsidRPr="00587444" w14:paraId="6C5A1511" w14:textId="77777777" w:rsidTr="00E33EB2">
        <w:trPr>
          <w:trHeight w:val="261"/>
        </w:trPr>
        <w:tc>
          <w:tcPr>
            <w:tcW w:w="0" w:type="auto"/>
            <w:vAlign w:val="bottom"/>
          </w:tcPr>
          <w:p w14:paraId="2E9A86C3" w14:textId="77777777" w:rsidR="00587444" w:rsidRPr="00587444" w:rsidRDefault="00587444" w:rsidP="00587444">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Deposits from customers</w:t>
            </w:r>
          </w:p>
        </w:tc>
        <w:tc>
          <w:tcPr>
            <w:tcW w:w="1042" w:type="dxa"/>
            <w:vAlign w:val="bottom"/>
          </w:tcPr>
          <w:p w14:paraId="7930A5A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043" w:type="dxa"/>
            <w:vAlign w:val="bottom"/>
          </w:tcPr>
          <w:p w14:paraId="5A4EF39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960,541 </w:t>
            </w:r>
          </w:p>
        </w:tc>
        <w:tc>
          <w:tcPr>
            <w:tcW w:w="1191" w:type="dxa"/>
            <w:vAlign w:val="bottom"/>
          </w:tcPr>
          <w:p w14:paraId="21E2F90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361" w:type="dxa"/>
            <w:vAlign w:val="bottom"/>
          </w:tcPr>
          <w:p w14:paraId="1B78B5A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960,541 </w:t>
            </w:r>
          </w:p>
        </w:tc>
        <w:tc>
          <w:tcPr>
            <w:tcW w:w="1561" w:type="dxa"/>
            <w:tcBorders>
              <w:top w:val="nil"/>
              <w:left w:val="nil"/>
              <w:bottom w:val="nil"/>
              <w:right w:val="nil"/>
            </w:tcBorders>
            <w:shd w:val="clear" w:color="auto" w:fill="auto"/>
            <w:vAlign w:val="bottom"/>
          </w:tcPr>
          <w:p w14:paraId="00DE547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 xml:space="preserve"> 960,541 </w:t>
            </w:r>
          </w:p>
        </w:tc>
      </w:tr>
      <w:tr w:rsidR="00587444" w:rsidRPr="00587444" w14:paraId="6B3E2957" w14:textId="77777777" w:rsidTr="00E33EB2">
        <w:trPr>
          <w:trHeight w:val="261"/>
        </w:trPr>
        <w:tc>
          <w:tcPr>
            <w:tcW w:w="0" w:type="auto"/>
            <w:vAlign w:val="bottom"/>
          </w:tcPr>
          <w:p w14:paraId="56E718D9" w14:textId="77777777" w:rsidR="00587444" w:rsidRPr="00587444" w:rsidRDefault="00587444" w:rsidP="00587444">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Borrowings</w:t>
            </w:r>
          </w:p>
        </w:tc>
        <w:tc>
          <w:tcPr>
            <w:tcW w:w="1042" w:type="dxa"/>
            <w:vAlign w:val="bottom"/>
          </w:tcPr>
          <w:p w14:paraId="7AB122F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043" w:type="dxa"/>
            <w:vAlign w:val="bottom"/>
          </w:tcPr>
          <w:p w14:paraId="789700F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191" w:type="dxa"/>
            <w:vAlign w:val="bottom"/>
          </w:tcPr>
          <w:p w14:paraId="540C2C23" w14:textId="77777777" w:rsidR="00587444" w:rsidRPr="00587444" w:rsidRDefault="00587444" w:rsidP="00587444">
            <w:pPr>
              <w:tabs>
                <w:tab w:val="right" w:pos="1202"/>
              </w:tabs>
              <w:suppressAutoHyphens w:val="0"/>
              <w:autoSpaceDN/>
              <w:spacing w:line="301" w:lineRule="exact"/>
              <w:outlineLvl w:val="0"/>
              <w:rPr>
                <w:rFonts w:ascii="Arial" w:hAnsi="Arial" w:cs="Arial"/>
                <w:color w:val="000000"/>
                <w:sz w:val="18"/>
                <w:szCs w:val="18"/>
              </w:rPr>
            </w:pPr>
            <w:r w:rsidRPr="00587444">
              <w:rPr>
                <w:rFonts w:ascii="Arial" w:hAnsi="Arial" w:cs="Arial"/>
                <w:sz w:val="18"/>
                <w:szCs w:val="18"/>
              </w:rPr>
              <w:t xml:space="preserve">16,634,493 </w:t>
            </w:r>
          </w:p>
        </w:tc>
        <w:tc>
          <w:tcPr>
            <w:tcW w:w="1361" w:type="dxa"/>
            <w:vAlign w:val="bottom"/>
          </w:tcPr>
          <w:p w14:paraId="72062E0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16,634,493 </w:t>
            </w:r>
          </w:p>
        </w:tc>
        <w:tc>
          <w:tcPr>
            <w:tcW w:w="1561" w:type="dxa"/>
            <w:tcBorders>
              <w:top w:val="nil"/>
              <w:left w:val="nil"/>
              <w:bottom w:val="nil"/>
              <w:right w:val="nil"/>
            </w:tcBorders>
            <w:shd w:val="clear" w:color="auto" w:fill="auto"/>
            <w:vAlign w:val="bottom"/>
          </w:tcPr>
          <w:p w14:paraId="7220B14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 xml:space="preserve"> 16,115,237 </w:t>
            </w:r>
          </w:p>
        </w:tc>
      </w:tr>
      <w:tr w:rsidR="00587444" w:rsidRPr="00587444" w14:paraId="62033CF6" w14:textId="77777777" w:rsidTr="00E33EB2">
        <w:trPr>
          <w:trHeight w:val="261"/>
        </w:trPr>
        <w:tc>
          <w:tcPr>
            <w:tcW w:w="0" w:type="auto"/>
            <w:vAlign w:val="bottom"/>
          </w:tcPr>
          <w:p w14:paraId="4AC4D721" w14:textId="77777777" w:rsidR="00587444" w:rsidRPr="00587444" w:rsidRDefault="00587444" w:rsidP="00587444">
            <w:pPr>
              <w:tabs>
                <w:tab w:val="right" w:pos="1202"/>
              </w:tabs>
              <w:suppressAutoHyphens w:val="0"/>
              <w:autoSpaceDN/>
              <w:outlineLvl w:val="0"/>
              <w:rPr>
                <w:rFonts w:ascii="Arial" w:hAnsi="Arial" w:cs="Arial"/>
                <w:sz w:val="18"/>
                <w:szCs w:val="18"/>
              </w:rPr>
            </w:pPr>
          </w:p>
        </w:tc>
        <w:tc>
          <w:tcPr>
            <w:tcW w:w="1042" w:type="dxa"/>
            <w:tcBorders>
              <w:top w:val="single" w:sz="4" w:space="0" w:color="auto"/>
              <w:left w:val="nil"/>
              <w:bottom w:val="single" w:sz="8" w:space="0" w:color="auto"/>
              <w:right w:val="nil"/>
            </w:tcBorders>
            <w:shd w:val="clear" w:color="auto" w:fill="auto"/>
            <w:vAlign w:val="bottom"/>
          </w:tcPr>
          <w:p w14:paraId="7C7DF5C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b/>
                <w:bCs/>
                <w:sz w:val="18"/>
                <w:szCs w:val="18"/>
              </w:rPr>
              <w:t xml:space="preserve"> - </w:t>
            </w:r>
          </w:p>
        </w:tc>
        <w:tc>
          <w:tcPr>
            <w:tcW w:w="1043" w:type="dxa"/>
            <w:tcBorders>
              <w:top w:val="single" w:sz="4" w:space="0" w:color="auto"/>
              <w:left w:val="nil"/>
              <w:bottom w:val="single" w:sz="8" w:space="0" w:color="auto"/>
              <w:right w:val="nil"/>
            </w:tcBorders>
            <w:shd w:val="clear" w:color="auto" w:fill="auto"/>
            <w:vAlign w:val="bottom"/>
          </w:tcPr>
          <w:p w14:paraId="074C0AD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b/>
                <w:bCs/>
                <w:sz w:val="18"/>
                <w:szCs w:val="18"/>
              </w:rPr>
              <w:t xml:space="preserve"> 960,541 </w:t>
            </w:r>
          </w:p>
        </w:tc>
        <w:tc>
          <w:tcPr>
            <w:tcW w:w="1191" w:type="dxa"/>
            <w:tcBorders>
              <w:top w:val="single" w:sz="4" w:space="0" w:color="auto"/>
              <w:left w:val="nil"/>
              <w:bottom w:val="single" w:sz="8" w:space="0" w:color="auto"/>
              <w:right w:val="nil"/>
            </w:tcBorders>
            <w:shd w:val="clear" w:color="auto" w:fill="auto"/>
            <w:vAlign w:val="bottom"/>
          </w:tcPr>
          <w:p w14:paraId="0B48079D" w14:textId="77777777" w:rsidR="00587444" w:rsidRPr="00587444" w:rsidRDefault="00587444" w:rsidP="00587444">
            <w:pPr>
              <w:tabs>
                <w:tab w:val="right" w:pos="1202"/>
              </w:tabs>
              <w:suppressAutoHyphens w:val="0"/>
              <w:autoSpaceDN/>
              <w:spacing w:line="301" w:lineRule="exact"/>
              <w:outlineLvl w:val="0"/>
              <w:rPr>
                <w:rFonts w:ascii="Arial" w:hAnsi="Arial" w:cs="Arial"/>
                <w:color w:val="000000"/>
                <w:sz w:val="18"/>
                <w:szCs w:val="18"/>
              </w:rPr>
            </w:pPr>
            <w:r w:rsidRPr="00587444">
              <w:rPr>
                <w:rFonts w:ascii="Arial" w:hAnsi="Arial" w:cs="Arial"/>
                <w:b/>
                <w:bCs/>
                <w:sz w:val="18"/>
                <w:szCs w:val="18"/>
              </w:rPr>
              <w:t xml:space="preserve">16,634,493 </w:t>
            </w:r>
          </w:p>
        </w:tc>
        <w:tc>
          <w:tcPr>
            <w:tcW w:w="1361" w:type="dxa"/>
            <w:tcBorders>
              <w:top w:val="single" w:sz="4" w:space="0" w:color="auto"/>
              <w:left w:val="nil"/>
              <w:bottom w:val="single" w:sz="8" w:space="0" w:color="auto"/>
              <w:right w:val="nil"/>
            </w:tcBorders>
            <w:shd w:val="clear" w:color="auto" w:fill="auto"/>
            <w:vAlign w:val="bottom"/>
          </w:tcPr>
          <w:p w14:paraId="6558C60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b/>
                <w:bCs/>
                <w:sz w:val="18"/>
                <w:szCs w:val="18"/>
              </w:rPr>
              <w:t xml:space="preserve"> 17,595,034 </w:t>
            </w:r>
          </w:p>
        </w:tc>
        <w:tc>
          <w:tcPr>
            <w:tcW w:w="1561" w:type="dxa"/>
            <w:tcBorders>
              <w:top w:val="single" w:sz="4" w:space="0" w:color="auto"/>
              <w:left w:val="nil"/>
              <w:bottom w:val="single" w:sz="8" w:space="0" w:color="auto"/>
              <w:right w:val="nil"/>
            </w:tcBorders>
            <w:shd w:val="clear" w:color="auto" w:fill="auto"/>
            <w:vAlign w:val="bottom"/>
          </w:tcPr>
          <w:p w14:paraId="19B2235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b/>
                <w:bCs/>
                <w:sz w:val="18"/>
                <w:szCs w:val="18"/>
              </w:rPr>
              <w:t xml:space="preserve"> 17,075,778 </w:t>
            </w:r>
          </w:p>
        </w:tc>
      </w:tr>
    </w:tbl>
    <w:p w14:paraId="3146A094" w14:textId="77777777" w:rsidR="00587444" w:rsidRPr="00587444" w:rsidRDefault="00587444" w:rsidP="00587444">
      <w:pPr>
        <w:tabs>
          <w:tab w:val="left" w:pos="709"/>
        </w:tabs>
        <w:suppressAutoHyphens w:val="0"/>
        <w:autoSpaceDN/>
        <w:jc w:val="both"/>
        <w:rPr>
          <w:rFonts w:ascii="Arial" w:hAnsi="Arial" w:cs="Arial"/>
          <w:b/>
          <w:sz w:val="20"/>
          <w:szCs w:val="20"/>
        </w:rPr>
        <w:sectPr w:rsidR="00587444" w:rsidRPr="00587444" w:rsidSect="00DD69E7">
          <w:pgSz w:w="11907" w:h="16840" w:code="9"/>
          <w:pgMar w:top="1418" w:right="1134" w:bottom="1134" w:left="1418" w:header="851" w:footer="851" w:gutter="0"/>
          <w:cols w:space="720"/>
          <w:noEndnote/>
        </w:sectPr>
      </w:pPr>
    </w:p>
    <w:p w14:paraId="7D8B273A"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5E6CD7A0"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 xml:space="preserve">32. </w:t>
      </w:r>
      <w:r w:rsidRPr="00587444">
        <w:rPr>
          <w:rFonts w:ascii="Arial" w:hAnsi="Arial" w:cs="Arial"/>
          <w:b/>
          <w:bCs/>
          <w:spacing w:val="-3"/>
          <w:sz w:val="20"/>
          <w:szCs w:val="20"/>
          <w:lang w:val="en-GB"/>
        </w:rPr>
        <w:tab/>
        <w:t>Fair value of financial assets and financial liabilities (continued)</w:t>
      </w:r>
    </w:p>
    <w:p w14:paraId="10990333" w14:textId="77777777" w:rsidR="00587444" w:rsidRPr="00587444" w:rsidRDefault="00587444" w:rsidP="00587444">
      <w:pPr>
        <w:keepNext/>
        <w:suppressAutoHyphens w:val="0"/>
        <w:autoSpaceDN/>
        <w:jc w:val="both"/>
        <w:rPr>
          <w:rFonts w:ascii="Arial" w:hAnsi="Arial" w:cs="Arial"/>
          <w:bCs/>
          <w:spacing w:val="-3"/>
          <w:sz w:val="20"/>
          <w:szCs w:val="20"/>
          <w:lang w:val="en-GB"/>
        </w:rPr>
      </w:pPr>
    </w:p>
    <w:p w14:paraId="591C687C" w14:textId="77777777" w:rsidR="00587444" w:rsidRPr="00587444" w:rsidRDefault="00587444" w:rsidP="00587444">
      <w:pPr>
        <w:keepNext/>
        <w:suppressAutoHyphens w:val="0"/>
        <w:autoSpaceDN/>
        <w:jc w:val="both"/>
        <w:rPr>
          <w:rFonts w:ascii="Arial" w:hAnsi="Arial" w:cs="Arial"/>
          <w:b/>
          <w:bCs/>
          <w:spacing w:val="-3"/>
          <w:sz w:val="20"/>
          <w:szCs w:val="20"/>
          <w:lang w:val="en-GB"/>
        </w:rPr>
      </w:pPr>
      <w:r w:rsidRPr="00587444">
        <w:rPr>
          <w:rFonts w:ascii="Arial" w:hAnsi="Arial" w:cs="Arial"/>
          <w:b/>
          <w:bCs/>
          <w:spacing w:val="-3"/>
          <w:sz w:val="20"/>
          <w:szCs w:val="20"/>
          <w:lang w:val="en-GB"/>
        </w:rPr>
        <w:t xml:space="preserve">32.2. </w:t>
      </w:r>
      <w:r w:rsidRPr="00587444">
        <w:rPr>
          <w:rFonts w:ascii="Arial" w:hAnsi="Arial" w:cs="Arial"/>
          <w:b/>
          <w:bCs/>
          <w:spacing w:val="-3"/>
          <w:sz w:val="20"/>
          <w:szCs w:val="20"/>
          <w:lang w:val="en-GB"/>
        </w:rPr>
        <w:tab/>
        <w:t>Financial instruments not measured at fair value (continued)</w:t>
      </w:r>
    </w:p>
    <w:tbl>
      <w:tblPr>
        <w:tblpPr w:leftFromText="181" w:rightFromText="181" w:vertAnchor="text" w:horzAnchor="margin" w:tblpY="360"/>
        <w:tblW w:w="9621" w:type="dxa"/>
        <w:tblLayout w:type="fixed"/>
        <w:tblLook w:val="0000" w:firstRow="0" w:lastRow="0" w:firstColumn="0" w:lastColumn="0" w:noHBand="0" w:noVBand="0"/>
      </w:tblPr>
      <w:tblGrid>
        <w:gridCol w:w="3413"/>
        <w:gridCol w:w="1043"/>
        <w:gridCol w:w="1043"/>
        <w:gridCol w:w="1134"/>
        <w:gridCol w:w="1429"/>
        <w:gridCol w:w="1559"/>
      </w:tblGrid>
      <w:tr w:rsidR="00587444" w:rsidRPr="00587444" w14:paraId="2201A2CE" w14:textId="77777777" w:rsidTr="00DD69E7">
        <w:trPr>
          <w:trHeight w:val="217"/>
        </w:trPr>
        <w:tc>
          <w:tcPr>
            <w:tcW w:w="3413" w:type="dxa"/>
            <w:vAlign w:val="bottom"/>
          </w:tcPr>
          <w:p w14:paraId="31E1364A" w14:textId="77777777" w:rsidR="00587444" w:rsidRPr="00587444" w:rsidRDefault="00587444" w:rsidP="00587444">
            <w:pPr>
              <w:suppressAutoHyphens w:val="0"/>
              <w:autoSpaceDN/>
              <w:rPr>
                <w:rFonts w:ascii="Arial" w:hAnsi="Arial" w:cs="Arial"/>
                <w:b/>
                <w:sz w:val="18"/>
                <w:szCs w:val="18"/>
              </w:rPr>
            </w:pPr>
            <w:bookmarkStart w:id="1448" w:name="_Hlk125631507"/>
            <w:r w:rsidRPr="00587444">
              <w:rPr>
                <w:rFonts w:ascii="Arial" w:eastAsia="Calibri" w:hAnsi="Arial" w:cs="Arial"/>
                <w:b/>
                <w:bCs/>
                <w:sz w:val="18"/>
                <w:szCs w:val="18"/>
              </w:rPr>
              <w:t>Bank</w:t>
            </w:r>
            <w:r w:rsidRPr="00587444">
              <w:rPr>
                <w:rFonts w:ascii="Arial" w:hAnsi="Arial" w:cs="Arial"/>
                <w:b/>
                <w:sz w:val="18"/>
                <w:szCs w:val="18"/>
              </w:rPr>
              <w:t xml:space="preserve"> </w:t>
            </w:r>
          </w:p>
          <w:p w14:paraId="27EC752C" w14:textId="77777777" w:rsidR="00587444" w:rsidRPr="00587444" w:rsidRDefault="00587444" w:rsidP="00587444">
            <w:pPr>
              <w:suppressAutoHyphens w:val="0"/>
              <w:autoSpaceDN/>
              <w:rPr>
                <w:rFonts w:ascii="Arial" w:hAnsi="Arial" w:cs="Arial"/>
                <w:b/>
                <w:sz w:val="18"/>
                <w:szCs w:val="18"/>
              </w:rPr>
            </w:pPr>
          </w:p>
          <w:p w14:paraId="3557ECFB" w14:textId="77777777" w:rsidR="00587444" w:rsidRPr="00587444" w:rsidRDefault="00587444" w:rsidP="00587444">
            <w:pPr>
              <w:suppressAutoHyphens w:val="0"/>
              <w:autoSpaceDN/>
              <w:rPr>
                <w:rFonts w:ascii="Arial" w:hAnsi="Arial" w:cs="Arial"/>
                <w:b/>
                <w:sz w:val="18"/>
                <w:szCs w:val="18"/>
              </w:rPr>
            </w:pPr>
            <w:r w:rsidRPr="00587444">
              <w:rPr>
                <w:rFonts w:ascii="Arial" w:hAnsi="Arial" w:cs="Arial"/>
                <w:b/>
                <w:sz w:val="18"/>
                <w:szCs w:val="18"/>
              </w:rPr>
              <w:t>31 December 2022</w:t>
            </w:r>
          </w:p>
        </w:tc>
        <w:tc>
          <w:tcPr>
            <w:tcW w:w="1043" w:type="dxa"/>
            <w:vAlign w:val="center"/>
          </w:tcPr>
          <w:p w14:paraId="092B246A"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1</w:t>
            </w:r>
          </w:p>
        </w:tc>
        <w:tc>
          <w:tcPr>
            <w:tcW w:w="1043" w:type="dxa"/>
            <w:vAlign w:val="center"/>
          </w:tcPr>
          <w:p w14:paraId="5720B812"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2</w:t>
            </w:r>
          </w:p>
        </w:tc>
        <w:tc>
          <w:tcPr>
            <w:tcW w:w="1134" w:type="dxa"/>
            <w:vAlign w:val="center"/>
          </w:tcPr>
          <w:p w14:paraId="1D4261E8"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3</w:t>
            </w:r>
          </w:p>
        </w:tc>
        <w:tc>
          <w:tcPr>
            <w:tcW w:w="1429" w:type="dxa"/>
            <w:vAlign w:val="center"/>
          </w:tcPr>
          <w:p w14:paraId="16B2D32E"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Total fair values</w:t>
            </w:r>
          </w:p>
        </w:tc>
        <w:tc>
          <w:tcPr>
            <w:tcW w:w="1559" w:type="dxa"/>
            <w:vAlign w:val="center"/>
          </w:tcPr>
          <w:p w14:paraId="655C53A4"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Total carrying amount</w:t>
            </w:r>
          </w:p>
        </w:tc>
      </w:tr>
      <w:tr w:rsidR="00587444" w:rsidRPr="00587444" w14:paraId="4520106B" w14:textId="77777777" w:rsidTr="00DD69E7">
        <w:trPr>
          <w:trHeight w:hRule="exact" w:val="257"/>
        </w:trPr>
        <w:tc>
          <w:tcPr>
            <w:tcW w:w="3413" w:type="dxa"/>
            <w:vAlign w:val="bottom"/>
          </w:tcPr>
          <w:p w14:paraId="33CF85B7" w14:textId="77777777" w:rsidR="00587444" w:rsidRPr="00587444" w:rsidRDefault="00587444" w:rsidP="00587444">
            <w:pPr>
              <w:suppressAutoHyphens w:val="0"/>
              <w:autoSpaceDN/>
              <w:rPr>
                <w:rFonts w:ascii="Arial" w:hAnsi="Arial" w:cs="Arial"/>
                <w:sz w:val="18"/>
                <w:szCs w:val="18"/>
              </w:rPr>
            </w:pPr>
          </w:p>
        </w:tc>
        <w:tc>
          <w:tcPr>
            <w:tcW w:w="1043" w:type="dxa"/>
            <w:vAlign w:val="center"/>
          </w:tcPr>
          <w:p w14:paraId="3B497EE5"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c>
          <w:tcPr>
            <w:tcW w:w="1043" w:type="dxa"/>
            <w:vAlign w:val="center"/>
          </w:tcPr>
          <w:p w14:paraId="0D95E0A0"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c>
          <w:tcPr>
            <w:tcW w:w="1134" w:type="dxa"/>
            <w:vAlign w:val="center"/>
          </w:tcPr>
          <w:p w14:paraId="49D70DE6"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c>
          <w:tcPr>
            <w:tcW w:w="1429" w:type="dxa"/>
            <w:vAlign w:val="center"/>
          </w:tcPr>
          <w:p w14:paraId="5A3D1E19"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c>
          <w:tcPr>
            <w:tcW w:w="1559" w:type="dxa"/>
            <w:vAlign w:val="center"/>
          </w:tcPr>
          <w:p w14:paraId="75B89459"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r>
      <w:tr w:rsidR="00587444" w:rsidRPr="00587444" w14:paraId="1B401FC4" w14:textId="77777777" w:rsidTr="00DD69E7">
        <w:trPr>
          <w:trHeight w:hRule="exact" w:val="128"/>
        </w:trPr>
        <w:tc>
          <w:tcPr>
            <w:tcW w:w="3413" w:type="dxa"/>
            <w:vAlign w:val="bottom"/>
          </w:tcPr>
          <w:p w14:paraId="7A22BCE6" w14:textId="77777777" w:rsidR="00587444" w:rsidRPr="00587444" w:rsidRDefault="00587444" w:rsidP="00587444">
            <w:pPr>
              <w:suppressAutoHyphens w:val="0"/>
              <w:autoSpaceDN/>
              <w:rPr>
                <w:rFonts w:ascii="Arial" w:hAnsi="Arial" w:cs="Arial"/>
                <w:sz w:val="18"/>
                <w:szCs w:val="18"/>
              </w:rPr>
            </w:pPr>
          </w:p>
        </w:tc>
        <w:tc>
          <w:tcPr>
            <w:tcW w:w="1043" w:type="dxa"/>
            <w:vAlign w:val="center"/>
          </w:tcPr>
          <w:p w14:paraId="21B5B034" w14:textId="77777777" w:rsidR="00587444" w:rsidRPr="00587444" w:rsidRDefault="00587444" w:rsidP="00587444">
            <w:pPr>
              <w:suppressAutoHyphens w:val="0"/>
              <w:autoSpaceDN/>
              <w:jc w:val="right"/>
              <w:rPr>
                <w:rFonts w:ascii="Arial" w:hAnsi="Arial" w:cs="Arial"/>
                <w:b/>
                <w:sz w:val="18"/>
                <w:szCs w:val="18"/>
              </w:rPr>
            </w:pPr>
          </w:p>
        </w:tc>
        <w:tc>
          <w:tcPr>
            <w:tcW w:w="1043" w:type="dxa"/>
            <w:vAlign w:val="center"/>
          </w:tcPr>
          <w:p w14:paraId="52357D0D" w14:textId="77777777" w:rsidR="00587444" w:rsidRPr="00587444" w:rsidRDefault="00587444" w:rsidP="00587444">
            <w:pPr>
              <w:suppressAutoHyphens w:val="0"/>
              <w:autoSpaceDN/>
              <w:jc w:val="right"/>
              <w:rPr>
                <w:rFonts w:ascii="Arial" w:hAnsi="Arial" w:cs="Arial"/>
                <w:b/>
                <w:sz w:val="18"/>
                <w:szCs w:val="18"/>
              </w:rPr>
            </w:pPr>
          </w:p>
        </w:tc>
        <w:tc>
          <w:tcPr>
            <w:tcW w:w="1134" w:type="dxa"/>
            <w:vAlign w:val="center"/>
          </w:tcPr>
          <w:p w14:paraId="690B4478" w14:textId="77777777" w:rsidR="00587444" w:rsidRPr="00587444" w:rsidRDefault="00587444" w:rsidP="00587444">
            <w:pPr>
              <w:suppressAutoHyphens w:val="0"/>
              <w:autoSpaceDN/>
              <w:jc w:val="right"/>
              <w:rPr>
                <w:rFonts w:ascii="Arial" w:hAnsi="Arial" w:cs="Arial"/>
                <w:b/>
                <w:sz w:val="18"/>
                <w:szCs w:val="18"/>
              </w:rPr>
            </w:pPr>
          </w:p>
        </w:tc>
        <w:tc>
          <w:tcPr>
            <w:tcW w:w="1429" w:type="dxa"/>
            <w:vAlign w:val="center"/>
          </w:tcPr>
          <w:p w14:paraId="704EAD3F" w14:textId="77777777" w:rsidR="00587444" w:rsidRPr="00587444" w:rsidRDefault="00587444" w:rsidP="00587444">
            <w:pPr>
              <w:suppressAutoHyphens w:val="0"/>
              <w:autoSpaceDN/>
              <w:jc w:val="right"/>
              <w:rPr>
                <w:rFonts w:ascii="Arial" w:hAnsi="Arial" w:cs="Arial"/>
                <w:b/>
                <w:sz w:val="18"/>
                <w:szCs w:val="18"/>
              </w:rPr>
            </w:pPr>
          </w:p>
        </w:tc>
        <w:tc>
          <w:tcPr>
            <w:tcW w:w="1559" w:type="dxa"/>
            <w:vAlign w:val="center"/>
          </w:tcPr>
          <w:p w14:paraId="15593B2E" w14:textId="77777777" w:rsidR="00587444" w:rsidRPr="00587444" w:rsidRDefault="00587444" w:rsidP="00587444">
            <w:pPr>
              <w:suppressAutoHyphens w:val="0"/>
              <w:autoSpaceDN/>
              <w:jc w:val="right"/>
              <w:rPr>
                <w:rFonts w:ascii="Arial" w:hAnsi="Arial" w:cs="Arial"/>
                <w:b/>
                <w:sz w:val="18"/>
                <w:szCs w:val="18"/>
              </w:rPr>
            </w:pPr>
          </w:p>
        </w:tc>
      </w:tr>
      <w:tr w:rsidR="00587444" w:rsidRPr="00587444" w14:paraId="4C7E2332" w14:textId="77777777" w:rsidTr="00DD69E7">
        <w:trPr>
          <w:trHeight w:val="223"/>
        </w:trPr>
        <w:tc>
          <w:tcPr>
            <w:tcW w:w="3413" w:type="dxa"/>
            <w:vAlign w:val="bottom"/>
          </w:tcPr>
          <w:p w14:paraId="060F63B2" w14:textId="77777777" w:rsidR="00587444" w:rsidRPr="00587444" w:rsidRDefault="00587444" w:rsidP="00587444">
            <w:pPr>
              <w:tabs>
                <w:tab w:val="right" w:pos="1202"/>
              </w:tabs>
              <w:suppressAutoHyphens w:val="0"/>
              <w:autoSpaceDN/>
              <w:outlineLvl w:val="0"/>
              <w:rPr>
                <w:rFonts w:ascii="Arial" w:hAnsi="Arial" w:cs="Arial"/>
                <w:b/>
                <w:bCs/>
                <w:sz w:val="18"/>
                <w:szCs w:val="18"/>
              </w:rPr>
            </w:pPr>
            <w:bookmarkStart w:id="1449" w:name="_Toc4063428"/>
            <w:r w:rsidRPr="00587444">
              <w:rPr>
                <w:rFonts w:ascii="Arial" w:eastAsia="Calibri" w:hAnsi="Arial" w:cs="Arial"/>
                <w:b/>
                <w:bCs/>
                <w:sz w:val="18"/>
                <w:szCs w:val="18"/>
              </w:rPr>
              <w:t>Assets</w:t>
            </w:r>
            <w:bookmarkEnd w:id="1449"/>
          </w:p>
        </w:tc>
        <w:tc>
          <w:tcPr>
            <w:tcW w:w="1043" w:type="dxa"/>
            <w:vAlign w:val="center"/>
          </w:tcPr>
          <w:p w14:paraId="17704DB4"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043" w:type="dxa"/>
            <w:vAlign w:val="center"/>
          </w:tcPr>
          <w:p w14:paraId="4A61A20B"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134" w:type="dxa"/>
            <w:vAlign w:val="center"/>
          </w:tcPr>
          <w:p w14:paraId="1E926DEB"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429" w:type="dxa"/>
            <w:vAlign w:val="center"/>
          </w:tcPr>
          <w:p w14:paraId="728F95C0"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559" w:type="dxa"/>
            <w:vAlign w:val="center"/>
          </w:tcPr>
          <w:p w14:paraId="0970EE99"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r>
      <w:tr w:rsidR="00587444" w:rsidRPr="00587444" w14:paraId="77D1202D" w14:textId="77777777" w:rsidTr="00DD69E7">
        <w:trPr>
          <w:trHeight w:val="223"/>
        </w:trPr>
        <w:tc>
          <w:tcPr>
            <w:tcW w:w="3413" w:type="dxa"/>
            <w:vAlign w:val="bottom"/>
          </w:tcPr>
          <w:p w14:paraId="1E19172C"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1450" w:name="_Toc4063429"/>
            <w:r w:rsidRPr="00587444">
              <w:rPr>
                <w:rFonts w:ascii="Arial" w:eastAsia="Calibri" w:hAnsi="Arial" w:cs="Arial"/>
                <w:sz w:val="18"/>
                <w:szCs w:val="18"/>
              </w:rPr>
              <w:t>Cash on hand and current accounts with banks</w:t>
            </w:r>
            <w:bookmarkEnd w:id="1450"/>
          </w:p>
        </w:tc>
        <w:tc>
          <w:tcPr>
            <w:tcW w:w="1043" w:type="dxa"/>
            <w:vAlign w:val="bottom"/>
          </w:tcPr>
          <w:p w14:paraId="439ABCF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1,716,519 </w:t>
            </w:r>
          </w:p>
        </w:tc>
        <w:tc>
          <w:tcPr>
            <w:tcW w:w="1043" w:type="dxa"/>
            <w:vAlign w:val="bottom"/>
          </w:tcPr>
          <w:p w14:paraId="224F27B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134" w:type="dxa"/>
            <w:vAlign w:val="bottom"/>
          </w:tcPr>
          <w:p w14:paraId="51B474B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429" w:type="dxa"/>
            <w:vAlign w:val="bottom"/>
          </w:tcPr>
          <w:p w14:paraId="12EEA8B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1,716,519 </w:t>
            </w:r>
          </w:p>
        </w:tc>
        <w:tc>
          <w:tcPr>
            <w:tcW w:w="1559" w:type="dxa"/>
            <w:tcBorders>
              <w:top w:val="nil"/>
              <w:left w:val="nil"/>
              <w:bottom w:val="nil"/>
              <w:right w:val="nil"/>
            </w:tcBorders>
            <w:shd w:val="clear" w:color="auto" w:fill="auto"/>
            <w:vAlign w:val="bottom"/>
          </w:tcPr>
          <w:p w14:paraId="68CC11B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napToGrid w:val="0"/>
                <w:sz w:val="18"/>
                <w:szCs w:val="18"/>
              </w:rPr>
            </w:pPr>
            <w:r w:rsidRPr="00587444">
              <w:rPr>
                <w:rFonts w:ascii="Arial" w:hAnsi="Arial" w:cs="Arial"/>
                <w:sz w:val="18"/>
                <w:szCs w:val="18"/>
              </w:rPr>
              <w:t>1,716,519</w:t>
            </w:r>
          </w:p>
        </w:tc>
      </w:tr>
      <w:tr w:rsidR="00587444" w:rsidRPr="00587444" w14:paraId="034989A4" w14:textId="77777777" w:rsidTr="00DD69E7">
        <w:trPr>
          <w:trHeight w:val="223"/>
        </w:trPr>
        <w:tc>
          <w:tcPr>
            <w:tcW w:w="3413" w:type="dxa"/>
            <w:vAlign w:val="bottom"/>
          </w:tcPr>
          <w:p w14:paraId="2CCC581C"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1451" w:name="_Toc4063435"/>
            <w:r w:rsidRPr="00587444">
              <w:rPr>
                <w:rFonts w:ascii="Arial" w:eastAsia="Calibri" w:hAnsi="Arial" w:cs="Arial"/>
                <w:sz w:val="18"/>
                <w:szCs w:val="18"/>
              </w:rPr>
              <w:t>Deposits with other banks</w:t>
            </w:r>
            <w:bookmarkEnd w:id="1451"/>
          </w:p>
        </w:tc>
        <w:tc>
          <w:tcPr>
            <w:tcW w:w="1043" w:type="dxa"/>
            <w:vAlign w:val="bottom"/>
          </w:tcPr>
          <w:p w14:paraId="365CE41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043" w:type="dxa"/>
            <w:vAlign w:val="bottom"/>
          </w:tcPr>
          <w:p w14:paraId="24A72FD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10,596 </w:t>
            </w:r>
          </w:p>
        </w:tc>
        <w:tc>
          <w:tcPr>
            <w:tcW w:w="1134" w:type="dxa"/>
            <w:vAlign w:val="bottom"/>
          </w:tcPr>
          <w:p w14:paraId="3CE3B4C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429" w:type="dxa"/>
            <w:vAlign w:val="bottom"/>
          </w:tcPr>
          <w:p w14:paraId="069C314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10,596 </w:t>
            </w:r>
          </w:p>
        </w:tc>
        <w:tc>
          <w:tcPr>
            <w:tcW w:w="1559" w:type="dxa"/>
            <w:tcBorders>
              <w:top w:val="nil"/>
              <w:left w:val="nil"/>
              <w:bottom w:val="nil"/>
              <w:right w:val="nil"/>
            </w:tcBorders>
            <w:shd w:val="clear" w:color="auto" w:fill="auto"/>
            <w:vAlign w:val="bottom"/>
          </w:tcPr>
          <w:p w14:paraId="311B66F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napToGrid w:val="0"/>
                <w:sz w:val="18"/>
                <w:szCs w:val="18"/>
              </w:rPr>
            </w:pPr>
            <w:r w:rsidRPr="00587444">
              <w:rPr>
                <w:rFonts w:ascii="Arial" w:hAnsi="Arial" w:cs="Arial"/>
                <w:sz w:val="18"/>
                <w:szCs w:val="18"/>
              </w:rPr>
              <w:t xml:space="preserve"> 10,596 </w:t>
            </w:r>
          </w:p>
        </w:tc>
      </w:tr>
      <w:tr w:rsidR="00587444" w:rsidRPr="00587444" w14:paraId="538CFA3E" w14:textId="77777777" w:rsidTr="00DD69E7">
        <w:trPr>
          <w:trHeight w:val="231"/>
        </w:trPr>
        <w:tc>
          <w:tcPr>
            <w:tcW w:w="3413" w:type="dxa"/>
            <w:vAlign w:val="bottom"/>
          </w:tcPr>
          <w:p w14:paraId="37321ABE"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1452" w:name="_Toc4063441"/>
            <w:r w:rsidRPr="00587444">
              <w:rPr>
                <w:rFonts w:ascii="Arial" w:eastAsia="Calibri" w:hAnsi="Arial" w:cs="Arial"/>
                <w:sz w:val="18"/>
                <w:szCs w:val="18"/>
              </w:rPr>
              <w:t>Loans to financial institutions</w:t>
            </w:r>
            <w:bookmarkEnd w:id="1452"/>
          </w:p>
        </w:tc>
        <w:tc>
          <w:tcPr>
            <w:tcW w:w="1043" w:type="dxa"/>
            <w:vAlign w:val="bottom"/>
          </w:tcPr>
          <w:p w14:paraId="1838AD6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043" w:type="dxa"/>
            <w:vAlign w:val="bottom"/>
          </w:tcPr>
          <w:p w14:paraId="5161837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134" w:type="dxa"/>
            <w:vAlign w:val="bottom"/>
          </w:tcPr>
          <w:p w14:paraId="24FC47E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6,219,749 </w:t>
            </w:r>
          </w:p>
        </w:tc>
        <w:tc>
          <w:tcPr>
            <w:tcW w:w="1429" w:type="dxa"/>
            <w:vAlign w:val="bottom"/>
          </w:tcPr>
          <w:p w14:paraId="7D5FA8E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6,219,749 </w:t>
            </w:r>
          </w:p>
        </w:tc>
        <w:tc>
          <w:tcPr>
            <w:tcW w:w="1559" w:type="dxa"/>
            <w:tcBorders>
              <w:top w:val="nil"/>
              <w:left w:val="nil"/>
              <w:bottom w:val="nil"/>
              <w:right w:val="nil"/>
            </w:tcBorders>
            <w:shd w:val="clear" w:color="auto" w:fill="auto"/>
            <w:vAlign w:val="bottom"/>
          </w:tcPr>
          <w:p w14:paraId="59DECDE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napToGrid w:val="0"/>
                <w:sz w:val="18"/>
                <w:szCs w:val="18"/>
              </w:rPr>
            </w:pPr>
            <w:r w:rsidRPr="00587444">
              <w:rPr>
                <w:rFonts w:ascii="Arial" w:hAnsi="Arial" w:cs="Arial"/>
                <w:sz w:val="18"/>
                <w:szCs w:val="18"/>
              </w:rPr>
              <w:t xml:space="preserve"> 6,984,712 </w:t>
            </w:r>
          </w:p>
        </w:tc>
      </w:tr>
      <w:tr w:rsidR="00587444" w:rsidRPr="00587444" w14:paraId="55BFC2CC" w14:textId="77777777" w:rsidTr="00DD69E7">
        <w:trPr>
          <w:trHeight w:val="223"/>
        </w:trPr>
        <w:tc>
          <w:tcPr>
            <w:tcW w:w="3413" w:type="dxa"/>
            <w:vAlign w:val="bottom"/>
          </w:tcPr>
          <w:p w14:paraId="6268FDA1"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1453" w:name="_Toc4063447"/>
            <w:r w:rsidRPr="00587444">
              <w:rPr>
                <w:rFonts w:ascii="Arial" w:eastAsia="Calibri" w:hAnsi="Arial" w:cs="Arial"/>
                <w:sz w:val="18"/>
                <w:szCs w:val="18"/>
              </w:rPr>
              <w:t>Loans to other customers</w:t>
            </w:r>
            <w:bookmarkEnd w:id="1453"/>
          </w:p>
        </w:tc>
        <w:tc>
          <w:tcPr>
            <w:tcW w:w="1043" w:type="dxa"/>
            <w:tcBorders>
              <w:bottom w:val="single" w:sz="4" w:space="0" w:color="auto"/>
            </w:tcBorders>
            <w:vAlign w:val="bottom"/>
          </w:tcPr>
          <w:p w14:paraId="70D6F2E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043" w:type="dxa"/>
            <w:tcBorders>
              <w:bottom w:val="single" w:sz="4" w:space="0" w:color="auto"/>
            </w:tcBorders>
            <w:vAlign w:val="bottom"/>
          </w:tcPr>
          <w:p w14:paraId="0131C44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134" w:type="dxa"/>
            <w:tcBorders>
              <w:bottom w:val="single" w:sz="4" w:space="0" w:color="auto"/>
            </w:tcBorders>
            <w:vAlign w:val="bottom"/>
          </w:tcPr>
          <w:p w14:paraId="6D44173B" w14:textId="77777777" w:rsidR="00587444" w:rsidRPr="00587444" w:rsidRDefault="00587444" w:rsidP="00587444">
            <w:pPr>
              <w:tabs>
                <w:tab w:val="right" w:pos="1202"/>
              </w:tabs>
              <w:suppressAutoHyphens w:val="0"/>
              <w:autoSpaceDN/>
              <w:spacing w:line="301" w:lineRule="exact"/>
              <w:outlineLvl w:val="0"/>
              <w:rPr>
                <w:rFonts w:ascii="Arial" w:hAnsi="Arial" w:cs="Arial"/>
                <w:color w:val="000000"/>
                <w:sz w:val="18"/>
                <w:szCs w:val="18"/>
              </w:rPr>
            </w:pPr>
            <w:r w:rsidRPr="00587444">
              <w:rPr>
                <w:rFonts w:ascii="Arial" w:hAnsi="Arial" w:cs="Arial"/>
                <w:sz w:val="18"/>
                <w:szCs w:val="18"/>
              </w:rPr>
              <w:t xml:space="preserve">17,453,789 </w:t>
            </w:r>
          </w:p>
        </w:tc>
        <w:tc>
          <w:tcPr>
            <w:tcW w:w="1429" w:type="dxa"/>
            <w:tcBorders>
              <w:bottom w:val="single" w:sz="4" w:space="0" w:color="auto"/>
            </w:tcBorders>
            <w:vAlign w:val="bottom"/>
          </w:tcPr>
          <w:p w14:paraId="683C362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17,453,789 </w:t>
            </w:r>
          </w:p>
        </w:tc>
        <w:tc>
          <w:tcPr>
            <w:tcW w:w="1559" w:type="dxa"/>
            <w:tcBorders>
              <w:top w:val="nil"/>
              <w:left w:val="nil"/>
              <w:bottom w:val="single" w:sz="4" w:space="0" w:color="auto"/>
              <w:right w:val="nil"/>
            </w:tcBorders>
            <w:shd w:val="clear" w:color="auto" w:fill="auto"/>
            <w:vAlign w:val="bottom"/>
          </w:tcPr>
          <w:p w14:paraId="68F68E5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18"/>
                <w:szCs w:val="18"/>
              </w:rPr>
            </w:pPr>
            <w:r w:rsidRPr="00587444">
              <w:rPr>
                <w:rFonts w:ascii="Arial" w:hAnsi="Arial" w:cs="Arial"/>
                <w:sz w:val="18"/>
                <w:szCs w:val="18"/>
              </w:rPr>
              <w:t xml:space="preserve"> 17,402,666 </w:t>
            </w:r>
          </w:p>
        </w:tc>
      </w:tr>
      <w:tr w:rsidR="00587444" w:rsidRPr="00587444" w14:paraId="01119D7B" w14:textId="77777777" w:rsidTr="00DD69E7">
        <w:trPr>
          <w:trHeight w:hRule="exact" w:val="412"/>
        </w:trPr>
        <w:tc>
          <w:tcPr>
            <w:tcW w:w="3413" w:type="dxa"/>
            <w:vAlign w:val="bottom"/>
          </w:tcPr>
          <w:p w14:paraId="38A0FD7A" w14:textId="77777777" w:rsidR="00587444" w:rsidRPr="00587444" w:rsidRDefault="00587444" w:rsidP="00587444">
            <w:pPr>
              <w:keepNext/>
              <w:keepLines/>
              <w:tabs>
                <w:tab w:val="decimal" w:pos="1202"/>
              </w:tabs>
              <w:suppressAutoHyphens w:val="0"/>
              <w:autoSpaceDN/>
              <w:rPr>
                <w:rFonts w:ascii="Arial" w:hAnsi="Arial" w:cs="Arial"/>
                <w:b/>
                <w:position w:val="4"/>
                <w:sz w:val="18"/>
                <w:szCs w:val="18"/>
              </w:rPr>
            </w:pPr>
          </w:p>
        </w:tc>
        <w:tc>
          <w:tcPr>
            <w:tcW w:w="1043" w:type="dxa"/>
            <w:tcBorders>
              <w:top w:val="single" w:sz="4" w:space="0" w:color="auto"/>
            </w:tcBorders>
            <w:vAlign w:val="bottom"/>
          </w:tcPr>
          <w:p w14:paraId="13290458" w14:textId="77777777" w:rsidR="00587444" w:rsidRPr="00587444" w:rsidRDefault="00587444" w:rsidP="00587444">
            <w:pPr>
              <w:keepLines/>
              <w:suppressAutoHyphens w:val="0"/>
              <w:autoSpaceDN/>
              <w:rPr>
                <w:rFonts w:ascii="Arial" w:hAnsi="Arial" w:cs="Arial"/>
                <w:b/>
                <w:spacing w:val="-2"/>
                <w:position w:val="4"/>
                <w:sz w:val="18"/>
                <w:szCs w:val="18"/>
              </w:rPr>
            </w:pPr>
            <w:r w:rsidRPr="00587444">
              <w:rPr>
                <w:rFonts w:ascii="Arial" w:hAnsi="Arial" w:cs="Arial"/>
                <w:b/>
                <w:bCs/>
                <w:color w:val="000000"/>
                <w:sz w:val="18"/>
                <w:szCs w:val="18"/>
                <w:lang w:val="hr-HR"/>
              </w:rPr>
              <w:t xml:space="preserve">1,716,519 </w:t>
            </w:r>
          </w:p>
        </w:tc>
        <w:tc>
          <w:tcPr>
            <w:tcW w:w="1043" w:type="dxa"/>
            <w:tcBorders>
              <w:top w:val="single" w:sz="4" w:space="0" w:color="auto"/>
            </w:tcBorders>
            <w:vAlign w:val="bottom"/>
          </w:tcPr>
          <w:p w14:paraId="27986156" w14:textId="77777777" w:rsidR="00587444" w:rsidRPr="00587444" w:rsidRDefault="00587444" w:rsidP="00587444">
            <w:pPr>
              <w:keepLines/>
              <w:suppressAutoHyphens w:val="0"/>
              <w:autoSpaceDN/>
              <w:jc w:val="right"/>
              <w:rPr>
                <w:rFonts w:ascii="Arial" w:hAnsi="Arial" w:cs="Arial"/>
                <w:spacing w:val="-2"/>
                <w:position w:val="4"/>
                <w:sz w:val="18"/>
                <w:szCs w:val="18"/>
              </w:rPr>
            </w:pPr>
            <w:r w:rsidRPr="00587444">
              <w:rPr>
                <w:rFonts w:ascii="Arial" w:hAnsi="Arial" w:cs="Arial"/>
                <w:b/>
                <w:bCs/>
                <w:color w:val="000000"/>
                <w:sz w:val="18"/>
                <w:szCs w:val="18"/>
                <w:lang w:val="hr-HR"/>
              </w:rPr>
              <w:t xml:space="preserve"> 10,596 </w:t>
            </w:r>
          </w:p>
        </w:tc>
        <w:tc>
          <w:tcPr>
            <w:tcW w:w="1134" w:type="dxa"/>
            <w:tcBorders>
              <w:top w:val="single" w:sz="4" w:space="0" w:color="auto"/>
            </w:tcBorders>
            <w:vAlign w:val="bottom"/>
          </w:tcPr>
          <w:p w14:paraId="1BDAF104" w14:textId="77777777" w:rsidR="00587444" w:rsidRPr="00587444" w:rsidRDefault="00587444" w:rsidP="00587444">
            <w:pPr>
              <w:keepLines/>
              <w:suppressAutoHyphens w:val="0"/>
              <w:autoSpaceDN/>
              <w:rPr>
                <w:rFonts w:ascii="Arial" w:hAnsi="Arial" w:cs="Arial"/>
                <w:spacing w:val="-2"/>
                <w:position w:val="4"/>
                <w:sz w:val="18"/>
                <w:szCs w:val="18"/>
              </w:rPr>
            </w:pPr>
            <w:r w:rsidRPr="00587444">
              <w:rPr>
                <w:rFonts w:ascii="Arial" w:hAnsi="Arial" w:cs="Arial"/>
                <w:b/>
                <w:bCs/>
                <w:color w:val="000000"/>
                <w:sz w:val="18"/>
                <w:szCs w:val="18"/>
                <w:lang w:val="hr-HR"/>
              </w:rPr>
              <w:t xml:space="preserve">23,673,538 </w:t>
            </w:r>
          </w:p>
        </w:tc>
        <w:tc>
          <w:tcPr>
            <w:tcW w:w="1429" w:type="dxa"/>
            <w:tcBorders>
              <w:top w:val="single" w:sz="4" w:space="0" w:color="auto"/>
            </w:tcBorders>
            <w:vAlign w:val="bottom"/>
          </w:tcPr>
          <w:p w14:paraId="395CF8F3" w14:textId="77777777" w:rsidR="00587444" w:rsidRPr="00587444" w:rsidRDefault="00587444" w:rsidP="00587444">
            <w:pPr>
              <w:keepLines/>
              <w:suppressAutoHyphens w:val="0"/>
              <w:autoSpaceDN/>
              <w:jc w:val="right"/>
              <w:rPr>
                <w:rFonts w:ascii="Arial" w:hAnsi="Arial" w:cs="Arial"/>
                <w:spacing w:val="-2"/>
                <w:position w:val="4"/>
                <w:sz w:val="18"/>
                <w:szCs w:val="18"/>
              </w:rPr>
            </w:pPr>
            <w:r w:rsidRPr="00587444">
              <w:rPr>
                <w:rFonts w:ascii="Arial" w:hAnsi="Arial" w:cs="Arial"/>
                <w:b/>
                <w:bCs/>
                <w:color w:val="000000"/>
                <w:sz w:val="18"/>
                <w:szCs w:val="18"/>
                <w:lang w:val="hr-HR"/>
              </w:rPr>
              <w:t xml:space="preserve"> 25,400,653 </w:t>
            </w:r>
          </w:p>
        </w:tc>
        <w:tc>
          <w:tcPr>
            <w:tcW w:w="1559" w:type="dxa"/>
            <w:tcBorders>
              <w:top w:val="single" w:sz="4" w:space="0" w:color="auto"/>
              <w:left w:val="nil"/>
              <w:bottom w:val="nil"/>
              <w:right w:val="nil"/>
            </w:tcBorders>
            <w:shd w:val="clear" w:color="auto" w:fill="auto"/>
            <w:vAlign w:val="bottom"/>
          </w:tcPr>
          <w:p w14:paraId="3EC75B98" w14:textId="77777777" w:rsidR="00587444" w:rsidRPr="00587444" w:rsidRDefault="00587444" w:rsidP="00587444">
            <w:pPr>
              <w:keepLines/>
              <w:suppressAutoHyphens w:val="0"/>
              <w:autoSpaceDN/>
              <w:jc w:val="right"/>
              <w:rPr>
                <w:rFonts w:ascii="Arial" w:hAnsi="Arial" w:cs="Arial"/>
                <w:spacing w:val="-2"/>
                <w:position w:val="4"/>
                <w:sz w:val="18"/>
                <w:szCs w:val="18"/>
              </w:rPr>
            </w:pPr>
            <w:r w:rsidRPr="00587444">
              <w:rPr>
                <w:rFonts w:ascii="Arial" w:hAnsi="Arial" w:cs="Arial"/>
                <w:b/>
                <w:bCs/>
                <w:color w:val="000000"/>
                <w:sz w:val="18"/>
                <w:szCs w:val="18"/>
                <w:lang w:val="hr-HR"/>
              </w:rPr>
              <w:t xml:space="preserve"> 26,114,493 </w:t>
            </w:r>
          </w:p>
        </w:tc>
      </w:tr>
      <w:tr w:rsidR="00587444" w:rsidRPr="00587444" w14:paraId="4D9D12CB" w14:textId="77777777" w:rsidTr="00DD69E7">
        <w:trPr>
          <w:trHeight w:hRule="exact" w:val="128"/>
        </w:trPr>
        <w:tc>
          <w:tcPr>
            <w:tcW w:w="3413" w:type="dxa"/>
            <w:vAlign w:val="bottom"/>
          </w:tcPr>
          <w:p w14:paraId="1BD32132" w14:textId="77777777" w:rsidR="00587444" w:rsidRPr="00587444" w:rsidRDefault="00587444" w:rsidP="00587444">
            <w:pPr>
              <w:keepNext/>
              <w:keepLines/>
              <w:tabs>
                <w:tab w:val="decimal" w:pos="1202"/>
              </w:tabs>
              <w:suppressAutoHyphens w:val="0"/>
              <w:autoSpaceDN/>
              <w:rPr>
                <w:rFonts w:ascii="Arial" w:hAnsi="Arial" w:cs="Arial"/>
                <w:b/>
                <w:position w:val="4"/>
                <w:sz w:val="18"/>
                <w:szCs w:val="18"/>
              </w:rPr>
            </w:pPr>
          </w:p>
        </w:tc>
        <w:tc>
          <w:tcPr>
            <w:tcW w:w="1043" w:type="dxa"/>
            <w:tcBorders>
              <w:top w:val="single" w:sz="12" w:space="0" w:color="auto"/>
            </w:tcBorders>
            <w:vAlign w:val="bottom"/>
          </w:tcPr>
          <w:p w14:paraId="0DAD46C5" w14:textId="77777777" w:rsidR="00587444" w:rsidRPr="00587444" w:rsidRDefault="00587444" w:rsidP="00587444">
            <w:pPr>
              <w:keepLines/>
              <w:suppressAutoHyphens w:val="0"/>
              <w:autoSpaceDN/>
              <w:jc w:val="right"/>
              <w:rPr>
                <w:rFonts w:ascii="Arial" w:hAnsi="Arial" w:cs="Arial"/>
                <w:spacing w:val="-2"/>
                <w:position w:val="4"/>
                <w:sz w:val="18"/>
                <w:szCs w:val="18"/>
              </w:rPr>
            </w:pPr>
          </w:p>
        </w:tc>
        <w:tc>
          <w:tcPr>
            <w:tcW w:w="1043" w:type="dxa"/>
            <w:tcBorders>
              <w:top w:val="single" w:sz="12" w:space="0" w:color="auto"/>
            </w:tcBorders>
            <w:vAlign w:val="bottom"/>
          </w:tcPr>
          <w:p w14:paraId="4B80BD1C" w14:textId="77777777" w:rsidR="00587444" w:rsidRPr="00587444" w:rsidRDefault="00587444" w:rsidP="00587444">
            <w:pPr>
              <w:keepLines/>
              <w:suppressAutoHyphens w:val="0"/>
              <w:autoSpaceDN/>
              <w:jc w:val="right"/>
              <w:rPr>
                <w:rFonts w:ascii="Arial" w:hAnsi="Arial" w:cs="Arial"/>
                <w:spacing w:val="-2"/>
                <w:position w:val="4"/>
                <w:sz w:val="18"/>
                <w:szCs w:val="18"/>
              </w:rPr>
            </w:pPr>
          </w:p>
        </w:tc>
        <w:tc>
          <w:tcPr>
            <w:tcW w:w="1134" w:type="dxa"/>
            <w:tcBorders>
              <w:top w:val="single" w:sz="12" w:space="0" w:color="auto"/>
            </w:tcBorders>
            <w:vAlign w:val="bottom"/>
          </w:tcPr>
          <w:p w14:paraId="24E3AC95" w14:textId="77777777" w:rsidR="00587444" w:rsidRPr="00587444" w:rsidRDefault="00587444" w:rsidP="00587444">
            <w:pPr>
              <w:keepLines/>
              <w:suppressAutoHyphens w:val="0"/>
              <w:autoSpaceDN/>
              <w:jc w:val="right"/>
              <w:rPr>
                <w:rFonts w:ascii="Arial" w:hAnsi="Arial" w:cs="Arial"/>
                <w:spacing w:val="-2"/>
                <w:position w:val="4"/>
                <w:sz w:val="18"/>
                <w:szCs w:val="18"/>
              </w:rPr>
            </w:pPr>
          </w:p>
        </w:tc>
        <w:tc>
          <w:tcPr>
            <w:tcW w:w="1429" w:type="dxa"/>
            <w:tcBorders>
              <w:top w:val="single" w:sz="12" w:space="0" w:color="auto"/>
            </w:tcBorders>
            <w:vAlign w:val="bottom"/>
          </w:tcPr>
          <w:p w14:paraId="4D60A459" w14:textId="77777777" w:rsidR="00587444" w:rsidRPr="00587444" w:rsidRDefault="00587444" w:rsidP="00587444">
            <w:pPr>
              <w:keepLines/>
              <w:suppressAutoHyphens w:val="0"/>
              <w:autoSpaceDN/>
              <w:jc w:val="right"/>
              <w:rPr>
                <w:rFonts w:ascii="Arial" w:hAnsi="Arial" w:cs="Arial"/>
                <w:spacing w:val="-2"/>
                <w:position w:val="4"/>
                <w:sz w:val="18"/>
                <w:szCs w:val="18"/>
              </w:rPr>
            </w:pPr>
          </w:p>
        </w:tc>
        <w:tc>
          <w:tcPr>
            <w:tcW w:w="1559" w:type="dxa"/>
            <w:tcBorders>
              <w:top w:val="single" w:sz="12" w:space="0" w:color="auto"/>
            </w:tcBorders>
            <w:vAlign w:val="bottom"/>
          </w:tcPr>
          <w:p w14:paraId="0F8DCA78" w14:textId="77777777" w:rsidR="00587444" w:rsidRPr="00587444" w:rsidRDefault="00587444" w:rsidP="00587444">
            <w:pPr>
              <w:keepLines/>
              <w:suppressAutoHyphens w:val="0"/>
              <w:autoSpaceDN/>
              <w:jc w:val="right"/>
              <w:rPr>
                <w:rFonts w:ascii="Arial" w:hAnsi="Arial" w:cs="Arial"/>
                <w:spacing w:val="-2"/>
                <w:position w:val="4"/>
                <w:sz w:val="18"/>
                <w:szCs w:val="18"/>
              </w:rPr>
            </w:pPr>
          </w:p>
        </w:tc>
      </w:tr>
      <w:tr w:rsidR="00587444" w:rsidRPr="00587444" w14:paraId="597FAB1D" w14:textId="77777777" w:rsidTr="00DD69E7">
        <w:trPr>
          <w:trHeight w:val="231"/>
        </w:trPr>
        <w:tc>
          <w:tcPr>
            <w:tcW w:w="3413" w:type="dxa"/>
            <w:vAlign w:val="bottom"/>
          </w:tcPr>
          <w:p w14:paraId="1DE6CE3D" w14:textId="77777777" w:rsidR="00587444" w:rsidRPr="00587444" w:rsidRDefault="00587444" w:rsidP="00587444">
            <w:pPr>
              <w:tabs>
                <w:tab w:val="right" w:pos="1202"/>
              </w:tabs>
              <w:suppressAutoHyphens w:val="0"/>
              <w:autoSpaceDN/>
              <w:outlineLvl w:val="0"/>
              <w:rPr>
                <w:rFonts w:ascii="Arial" w:hAnsi="Arial" w:cs="Arial"/>
                <w:b/>
                <w:bCs/>
                <w:sz w:val="18"/>
                <w:szCs w:val="18"/>
              </w:rPr>
            </w:pPr>
            <w:bookmarkStart w:id="1454" w:name="_Toc4063453"/>
            <w:r w:rsidRPr="00587444">
              <w:rPr>
                <w:rFonts w:ascii="Arial" w:eastAsia="Calibri" w:hAnsi="Arial" w:cs="Arial"/>
                <w:b/>
                <w:bCs/>
                <w:sz w:val="18"/>
                <w:szCs w:val="18"/>
              </w:rPr>
              <w:t>Liabilities</w:t>
            </w:r>
            <w:bookmarkEnd w:id="1454"/>
          </w:p>
        </w:tc>
        <w:tc>
          <w:tcPr>
            <w:tcW w:w="1043" w:type="dxa"/>
            <w:vAlign w:val="bottom"/>
          </w:tcPr>
          <w:p w14:paraId="3A82C17E"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043" w:type="dxa"/>
            <w:vAlign w:val="bottom"/>
          </w:tcPr>
          <w:p w14:paraId="4545D59E"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134" w:type="dxa"/>
            <w:vAlign w:val="bottom"/>
          </w:tcPr>
          <w:p w14:paraId="2320D5E2"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429" w:type="dxa"/>
            <w:vAlign w:val="bottom"/>
          </w:tcPr>
          <w:p w14:paraId="3DB9FD84"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559" w:type="dxa"/>
            <w:vAlign w:val="bottom"/>
          </w:tcPr>
          <w:p w14:paraId="233F968F"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r>
      <w:tr w:rsidR="00587444" w:rsidRPr="00587444" w14:paraId="7CAE0417" w14:textId="77777777" w:rsidTr="00DD69E7">
        <w:trPr>
          <w:trHeight w:val="223"/>
        </w:trPr>
        <w:tc>
          <w:tcPr>
            <w:tcW w:w="3413" w:type="dxa"/>
            <w:vAlign w:val="bottom"/>
          </w:tcPr>
          <w:p w14:paraId="11D45619"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1455" w:name="_Toc4063454"/>
            <w:r w:rsidRPr="00587444">
              <w:rPr>
                <w:rFonts w:ascii="Arial" w:eastAsia="Calibri" w:hAnsi="Arial" w:cs="Arial"/>
                <w:sz w:val="18"/>
                <w:szCs w:val="18"/>
              </w:rPr>
              <w:t>Deposits from customers</w:t>
            </w:r>
            <w:bookmarkEnd w:id="1455"/>
          </w:p>
        </w:tc>
        <w:tc>
          <w:tcPr>
            <w:tcW w:w="1043" w:type="dxa"/>
            <w:vAlign w:val="bottom"/>
          </w:tcPr>
          <w:p w14:paraId="19F7B96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color w:val="000000"/>
                <w:sz w:val="18"/>
                <w:szCs w:val="18"/>
                <w:lang w:val="hr-HR"/>
              </w:rPr>
              <w:t xml:space="preserve"> - </w:t>
            </w:r>
          </w:p>
        </w:tc>
        <w:tc>
          <w:tcPr>
            <w:tcW w:w="1043" w:type="dxa"/>
            <w:vAlign w:val="bottom"/>
          </w:tcPr>
          <w:p w14:paraId="4F90605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color w:val="000000"/>
                <w:sz w:val="18"/>
                <w:szCs w:val="18"/>
                <w:lang w:val="hr-HR"/>
              </w:rPr>
              <w:t xml:space="preserve">1,024,623 </w:t>
            </w:r>
          </w:p>
        </w:tc>
        <w:tc>
          <w:tcPr>
            <w:tcW w:w="1134" w:type="dxa"/>
            <w:vAlign w:val="bottom"/>
          </w:tcPr>
          <w:p w14:paraId="70CD8F3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color w:val="000000"/>
                <w:sz w:val="18"/>
                <w:szCs w:val="18"/>
                <w:lang w:val="hr-HR"/>
              </w:rPr>
              <w:t xml:space="preserve"> - </w:t>
            </w:r>
          </w:p>
        </w:tc>
        <w:tc>
          <w:tcPr>
            <w:tcW w:w="1429" w:type="dxa"/>
            <w:vAlign w:val="bottom"/>
          </w:tcPr>
          <w:p w14:paraId="18FD5E5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color w:val="000000"/>
                <w:sz w:val="18"/>
                <w:szCs w:val="18"/>
                <w:lang w:val="hr-HR"/>
              </w:rPr>
              <w:t xml:space="preserve"> 1,024,623 </w:t>
            </w:r>
          </w:p>
        </w:tc>
        <w:tc>
          <w:tcPr>
            <w:tcW w:w="1559" w:type="dxa"/>
            <w:tcBorders>
              <w:top w:val="nil"/>
              <w:left w:val="nil"/>
              <w:bottom w:val="nil"/>
              <w:right w:val="nil"/>
            </w:tcBorders>
            <w:shd w:val="clear" w:color="auto" w:fill="auto"/>
            <w:vAlign w:val="bottom"/>
          </w:tcPr>
          <w:p w14:paraId="4B18422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color w:val="000000"/>
                <w:sz w:val="18"/>
                <w:szCs w:val="18"/>
                <w:lang w:val="hr-HR"/>
              </w:rPr>
              <w:t>1,024,623</w:t>
            </w:r>
          </w:p>
        </w:tc>
      </w:tr>
      <w:tr w:rsidR="00587444" w:rsidRPr="00587444" w14:paraId="028669CE" w14:textId="77777777" w:rsidTr="00DD69E7">
        <w:trPr>
          <w:trHeight w:val="223"/>
        </w:trPr>
        <w:tc>
          <w:tcPr>
            <w:tcW w:w="3413" w:type="dxa"/>
            <w:vAlign w:val="bottom"/>
          </w:tcPr>
          <w:p w14:paraId="3ADFDC38"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1456" w:name="_Toc4063460"/>
            <w:r w:rsidRPr="00587444">
              <w:rPr>
                <w:rFonts w:ascii="Arial" w:eastAsia="Calibri" w:hAnsi="Arial" w:cs="Arial"/>
                <w:sz w:val="18"/>
                <w:szCs w:val="18"/>
              </w:rPr>
              <w:t>Borrowings</w:t>
            </w:r>
            <w:bookmarkEnd w:id="1456"/>
          </w:p>
        </w:tc>
        <w:tc>
          <w:tcPr>
            <w:tcW w:w="1043" w:type="dxa"/>
            <w:tcBorders>
              <w:bottom w:val="single" w:sz="4" w:space="0" w:color="auto"/>
            </w:tcBorders>
            <w:vAlign w:val="bottom"/>
          </w:tcPr>
          <w:p w14:paraId="39101F8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color w:val="000000"/>
                <w:sz w:val="18"/>
                <w:szCs w:val="18"/>
                <w:lang w:val="hr-HR"/>
              </w:rPr>
              <w:t xml:space="preserve"> - </w:t>
            </w:r>
          </w:p>
        </w:tc>
        <w:tc>
          <w:tcPr>
            <w:tcW w:w="1043" w:type="dxa"/>
            <w:tcBorders>
              <w:bottom w:val="single" w:sz="4" w:space="0" w:color="auto"/>
            </w:tcBorders>
            <w:vAlign w:val="bottom"/>
          </w:tcPr>
          <w:p w14:paraId="3A96F11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color w:val="000000"/>
                <w:sz w:val="18"/>
                <w:szCs w:val="18"/>
                <w:lang w:val="hr-HR"/>
              </w:rPr>
              <w:t xml:space="preserve"> - </w:t>
            </w:r>
          </w:p>
        </w:tc>
        <w:tc>
          <w:tcPr>
            <w:tcW w:w="1134" w:type="dxa"/>
            <w:tcBorders>
              <w:bottom w:val="single" w:sz="4" w:space="0" w:color="auto"/>
            </w:tcBorders>
            <w:vAlign w:val="bottom"/>
          </w:tcPr>
          <w:p w14:paraId="4BACA24D" w14:textId="77777777" w:rsidR="00587444" w:rsidRPr="00587444" w:rsidRDefault="00587444" w:rsidP="00587444">
            <w:pPr>
              <w:tabs>
                <w:tab w:val="right" w:pos="1202"/>
              </w:tabs>
              <w:suppressAutoHyphens w:val="0"/>
              <w:autoSpaceDN/>
              <w:spacing w:line="301" w:lineRule="exact"/>
              <w:outlineLvl w:val="0"/>
              <w:rPr>
                <w:rFonts w:ascii="Arial" w:hAnsi="Arial" w:cs="Arial"/>
                <w:color w:val="000000"/>
                <w:sz w:val="18"/>
                <w:szCs w:val="18"/>
              </w:rPr>
            </w:pPr>
            <w:r w:rsidRPr="00587444">
              <w:rPr>
                <w:rFonts w:ascii="Arial" w:hAnsi="Arial" w:cs="Arial"/>
                <w:color w:val="000000"/>
                <w:sz w:val="18"/>
                <w:szCs w:val="18"/>
                <w:lang w:val="hr-HR"/>
              </w:rPr>
              <w:t xml:space="preserve">14,554,859 </w:t>
            </w:r>
          </w:p>
        </w:tc>
        <w:tc>
          <w:tcPr>
            <w:tcW w:w="1429" w:type="dxa"/>
            <w:tcBorders>
              <w:bottom w:val="single" w:sz="4" w:space="0" w:color="auto"/>
            </w:tcBorders>
            <w:vAlign w:val="bottom"/>
          </w:tcPr>
          <w:p w14:paraId="38DB49B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color w:val="000000"/>
                <w:sz w:val="18"/>
                <w:szCs w:val="18"/>
                <w:lang w:val="hr-HR"/>
              </w:rPr>
              <w:t xml:space="preserve"> 14,554,859 </w:t>
            </w:r>
          </w:p>
        </w:tc>
        <w:tc>
          <w:tcPr>
            <w:tcW w:w="1559" w:type="dxa"/>
            <w:tcBorders>
              <w:top w:val="nil"/>
              <w:left w:val="nil"/>
              <w:bottom w:val="single" w:sz="4" w:space="0" w:color="auto"/>
              <w:right w:val="nil"/>
            </w:tcBorders>
            <w:shd w:val="clear" w:color="auto" w:fill="auto"/>
            <w:vAlign w:val="bottom"/>
          </w:tcPr>
          <w:p w14:paraId="4FA831A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color w:val="000000"/>
                <w:sz w:val="18"/>
                <w:szCs w:val="18"/>
                <w:lang w:val="hr-HR"/>
              </w:rPr>
              <w:t>16,501,276</w:t>
            </w:r>
          </w:p>
        </w:tc>
      </w:tr>
      <w:tr w:rsidR="00587444" w:rsidRPr="00587444" w14:paraId="18EB69C1" w14:textId="77777777" w:rsidTr="00DD69E7">
        <w:trPr>
          <w:trHeight w:val="411"/>
        </w:trPr>
        <w:tc>
          <w:tcPr>
            <w:tcW w:w="3413" w:type="dxa"/>
            <w:vAlign w:val="bottom"/>
          </w:tcPr>
          <w:p w14:paraId="7995C0E6" w14:textId="77777777" w:rsidR="00587444" w:rsidRPr="00587444" w:rsidRDefault="00587444" w:rsidP="00587444">
            <w:pPr>
              <w:tabs>
                <w:tab w:val="right" w:pos="1202"/>
              </w:tabs>
              <w:suppressAutoHyphens w:val="0"/>
              <w:autoSpaceDN/>
              <w:outlineLvl w:val="0"/>
              <w:rPr>
                <w:rFonts w:ascii="Arial" w:eastAsia="Calibri" w:hAnsi="Arial" w:cs="Arial"/>
                <w:sz w:val="18"/>
                <w:szCs w:val="18"/>
              </w:rPr>
            </w:pPr>
          </w:p>
        </w:tc>
        <w:tc>
          <w:tcPr>
            <w:tcW w:w="1043" w:type="dxa"/>
            <w:tcBorders>
              <w:top w:val="single" w:sz="4" w:space="0" w:color="auto"/>
              <w:left w:val="nil"/>
              <w:bottom w:val="single" w:sz="12" w:space="0" w:color="auto"/>
              <w:right w:val="nil"/>
            </w:tcBorders>
            <w:shd w:val="clear" w:color="auto" w:fill="auto"/>
            <w:vAlign w:val="bottom"/>
          </w:tcPr>
          <w:p w14:paraId="0116393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b/>
                <w:bCs/>
                <w:color w:val="000000"/>
                <w:sz w:val="18"/>
                <w:szCs w:val="18"/>
                <w:lang w:val="hr-HR"/>
              </w:rPr>
              <w:t xml:space="preserve"> - </w:t>
            </w:r>
          </w:p>
        </w:tc>
        <w:tc>
          <w:tcPr>
            <w:tcW w:w="1043" w:type="dxa"/>
            <w:tcBorders>
              <w:top w:val="single" w:sz="4" w:space="0" w:color="auto"/>
              <w:left w:val="nil"/>
              <w:bottom w:val="single" w:sz="12" w:space="0" w:color="auto"/>
              <w:right w:val="nil"/>
            </w:tcBorders>
            <w:shd w:val="clear" w:color="auto" w:fill="auto"/>
            <w:vAlign w:val="bottom"/>
          </w:tcPr>
          <w:p w14:paraId="4C9C93C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b/>
                <w:bCs/>
                <w:color w:val="000000"/>
                <w:sz w:val="18"/>
                <w:szCs w:val="18"/>
                <w:lang w:val="hr-HR"/>
              </w:rPr>
              <w:t xml:space="preserve">1,024,623 </w:t>
            </w:r>
          </w:p>
        </w:tc>
        <w:tc>
          <w:tcPr>
            <w:tcW w:w="1134" w:type="dxa"/>
            <w:tcBorders>
              <w:top w:val="single" w:sz="4" w:space="0" w:color="auto"/>
              <w:left w:val="nil"/>
              <w:bottom w:val="single" w:sz="12" w:space="0" w:color="auto"/>
              <w:right w:val="nil"/>
            </w:tcBorders>
            <w:shd w:val="clear" w:color="auto" w:fill="auto"/>
            <w:vAlign w:val="bottom"/>
          </w:tcPr>
          <w:p w14:paraId="2DDDC249" w14:textId="77777777" w:rsidR="00587444" w:rsidRPr="00587444" w:rsidRDefault="00587444" w:rsidP="00587444">
            <w:pPr>
              <w:tabs>
                <w:tab w:val="right" w:pos="1202"/>
              </w:tabs>
              <w:suppressAutoHyphens w:val="0"/>
              <w:autoSpaceDN/>
              <w:spacing w:line="301" w:lineRule="exact"/>
              <w:outlineLvl w:val="0"/>
              <w:rPr>
                <w:rFonts w:ascii="Arial" w:hAnsi="Arial" w:cs="Arial"/>
                <w:color w:val="000000"/>
                <w:sz w:val="18"/>
                <w:szCs w:val="18"/>
              </w:rPr>
            </w:pPr>
            <w:r w:rsidRPr="00587444">
              <w:rPr>
                <w:rFonts w:ascii="Arial" w:hAnsi="Arial" w:cs="Arial"/>
                <w:b/>
                <w:bCs/>
                <w:color w:val="000000"/>
                <w:sz w:val="18"/>
                <w:szCs w:val="18"/>
                <w:lang w:val="hr-HR"/>
              </w:rPr>
              <w:t xml:space="preserve">14,554,859 </w:t>
            </w:r>
          </w:p>
        </w:tc>
        <w:tc>
          <w:tcPr>
            <w:tcW w:w="1429" w:type="dxa"/>
            <w:tcBorders>
              <w:top w:val="single" w:sz="4" w:space="0" w:color="auto"/>
              <w:left w:val="nil"/>
              <w:bottom w:val="single" w:sz="12" w:space="0" w:color="auto"/>
              <w:right w:val="nil"/>
            </w:tcBorders>
            <w:shd w:val="clear" w:color="auto" w:fill="auto"/>
            <w:vAlign w:val="bottom"/>
          </w:tcPr>
          <w:p w14:paraId="2F73480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b/>
                <w:bCs/>
                <w:color w:val="000000"/>
                <w:sz w:val="18"/>
                <w:szCs w:val="18"/>
                <w:lang w:val="hr-HR"/>
              </w:rPr>
              <w:t xml:space="preserve"> 15,579,482 </w:t>
            </w:r>
          </w:p>
        </w:tc>
        <w:tc>
          <w:tcPr>
            <w:tcW w:w="1559" w:type="dxa"/>
            <w:tcBorders>
              <w:top w:val="single" w:sz="4" w:space="0" w:color="auto"/>
              <w:left w:val="nil"/>
              <w:bottom w:val="single" w:sz="12" w:space="0" w:color="auto"/>
              <w:right w:val="nil"/>
            </w:tcBorders>
            <w:shd w:val="clear" w:color="auto" w:fill="auto"/>
            <w:vAlign w:val="bottom"/>
          </w:tcPr>
          <w:p w14:paraId="749F28C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b/>
                <w:bCs/>
                <w:color w:val="000000"/>
                <w:sz w:val="18"/>
                <w:szCs w:val="18"/>
                <w:lang w:val="hr-HR"/>
              </w:rPr>
              <w:t xml:space="preserve"> 17,525,899 </w:t>
            </w:r>
          </w:p>
        </w:tc>
      </w:tr>
    </w:tbl>
    <w:bookmarkEnd w:id="1448"/>
    <w:p w14:paraId="1A44CB7C" w14:textId="77777777" w:rsidR="00587444" w:rsidRPr="00587444" w:rsidRDefault="00587444" w:rsidP="00587444">
      <w:pPr>
        <w:tabs>
          <w:tab w:val="right" w:pos="1202"/>
        </w:tabs>
        <w:suppressAutoHyphens w:val="0"/>
        <w:autoSpaceDN/>
        <w:outlineLvl w:val="0"/>
        <w:rPr>
          <w:rFonts w:ascii="Arial" w:eastAsia="Calibri" w:hAnsi="Arial" w:cs="Arial"/>
          <w:b/>
          <w:bCs/>
          <w:sz w:val="20"/>
          <w:szCs w:val="20"/>
        </w:rPr>
      </w:pPr>
      <w:r w:rsidRPr="00587444">
        <w:rPr>
          <w:rFonts w:ascii="Arial" w:eastAsia="Calibri" w:hAnsi="Arial" w:cs="Arial"/>
          <w:b/>
          <w:bCs/>
          <w:sz w:val="20"/>
          <w:szCs w:val="20"/>
        </w:rPr>
        <w:t xml:space="preserve">  </w:t>
      </w:r>
      <w:bookmarkStart w:id="1457" w:name="_Toc4063477"/>
      <w:r w:rsidRPr="00587444">
        <w:rPr>
          <w:rFonts w:ascii="Arial" w:eastAsia="Calibri" w:hAnsi="Arial" w:cs="Arial"/>
          <w:b/>
          <w:bCs/>
          <w:sz w:val="20"/>
          <w:szCs w:val="20"/>
        </w:rPr>
        <w:t xml:space="preserve">              </w:t>
      </w:r>
      <w:bookmarkEnd w:id="1457"/>
    </w:p>
    <w:p w14:paraId="5C3F1AA1" w14:textId="77777777" w:rsidR="00587444" w:rsidRPr="00587444" w:rsidRDefault="00587444" w:rsidP="00587444">
      <w:pPr>
        <w:suppressAutoHyphens w:val="0"/>
        <w:autoSpaceDN/>
        <w:rPr>
          <w:rFonts w:ascii="Arial" w:hAnsi="Arial" w:cs="Arial"/>
          <w:b/>
          <w:spacing w:val="-3"/>
          <w:sz w:val="20"/>
          <w:szCs w:val="20"/>
          <w:lang w:val="en-GB"/>
        </w:rPr>
      </w:pPr>
    </w:p>
    <w:p w14:paraId="7BED705F" w14:textId="77777777" w:rsidR="00587444" w:rsidRPr="00587444" w:rsidRDefault="00587444" w:rsidP="00587444">
      <w:pPr>
        <w:suppressAutoHyphens w:val="0"/>
        <w:autoSpaceDN/>
        <w:rPr>
          <w:rFonts w:ascii="Arial" w:hAnsi="Arial" w:cs="Arial"/>
          <w:b/>
          <w:sz w:val="20"/>
          <w:szCs w:val="20"/>
        </w:rPr>
      </w:pPr>
    </w:p>
    <w:p w14:paraId="5EFCDD34" w14:textId="77777777" w:rsidR="00587444" w:rsidRPr="00587444" w:rsidRDefault="00587444" w:rsidP="00587444">
      <w:pPr>
        <w:suppressAutoHyphens w:val="0"/>
        <w:autoSpaceDN/>
        <w:rPr>
          <w:rFonts w:ascii="Arial" w:hAnsi="Arial" w:cs="Arial"/>
          <w:b/>
          <w:sz w:val="20"/>
          <w:szCs w:val="20"/>
        </w:rPr>
      </w:pPr>
    </w:p>
    <w:tbl>
      <w:tblPr>
        <w:tblpPr w:leftFromText="181" w:rightFromText="181" w:vertAnchor="text" w:horzAnchor="margin" w:tblpY="360"/>
        <w:tblW w:w="9621" w:type="dxa"/>
        <w:tblLayout w:type="fixed"/>
        <w:tblLook w:val="0000" w:firstRow="0" w:lastRow="0" w:firstColumn="0" w:lastColumn="0" w:noHBand="0" w:noVBand="0"/>
      </w:tblPr>
      <w:tblGrid>
        <w:gridCol w:w="3413"/>
        <w:gridCol w:w="1043"/>
        <w:gridCol w:w="1043"/>
        <w:gridCol w:w="1134"/>
        <w:gridCol w:w="1429"/>
        <w:gridCol w:w="1559"/>
      </w:tblGrid>
      <w:tr w:rsidR="00587444" w:rsidRPr="00587444" w14:paraId="318D3B9F" w14:textId="77777777" w:rsidTr="00DD69E7">
        <w:trPr>
          <w:trHeight w:val="217"/>
        </w:trPr>
        <w:tc>
          <w:tcPr>
            <w:tcW w:w="3413" w:type="dxa"/>
            <w:vAlign w:val="bottom"/>
          </w:tcPr>
          <w:p w14:paraId="25BEF4ED" w14:textId="77777777" w:rsidR="00587444" w:rsidRPr="00587444" w:rsidRDefault="00587444" w:rsidP="00587444">
            <w:pPr>
              <w:suppressAutoHyphens w:val="0"/>
              <w:autoSpaceDN/>
              <w:rPr>
                <w:rFonts w:ascii="Arial" w:hAnsi="Arial" w:cs="Arial"/>
                <w:b/>
                <w:sz w:val="18"/>
                <w:szCs w:val="18"/>
              </w:rPr>
            </w:pPr>
            <w:r w:rsidRPr="00587444">
              <w:rPr>
                <w:rFonts w:ascii="Arial" w:eastAsia="Calibri" w:hAnsi="Arial" w:cs="Arial"/>
                <w:b/>
                <w:bCs/>
                <w:sz w:val="18"/>
                <w:szCs w:val="18"/>
              </w:rPr>
              <w:t>Bank</w:t>
            </w:r>
            <w:r w:rsidRPr="00587444">
              <w:rPr>
                <w:rFonts w:ascii="Arial" w:hAnsi="Arial" w:cs="Arial"/>
                <w:b/>
                <w:sz w:val="18"/>
                <w:szCs w:val="18"/>
              </w:rPr>
              <w:t xml:space="preserve"> </w:t>
            </w:r>
          </w:p>
          <w:p w14:paraId="29C6E431" w14:textId="77777777" w:rsidR="00587444" w:rsidRPr="00587444" w:rsidRDefault="00587444" w:rsidP="00587444">
            <w:pPr>
              <w:suppressAutoHyphens w:val="0"/>
              <w:autoSpaceDN/>
              <w:rPr>
                <w:rFonts w:ascii="Arial" w:hAnsi="Arial" w:cs="Arial"/>
                <w:b/>
                <w:sz w:val="18"/>
                <w:szCs w:val="18"/>
              </w:rPr>
            </w:pPr>
          </w:p>
          <w:p w14:paraId="4E2CF933" w14:textId="77777777" w:rsidR="00587444" w:rsidRPr="00587444" w:rsidRDefault="00587444" w:rsidP="00587444">
            <w:pPr>
              <w:suppressAutoHyphens w:val="0"/>
              <w:autoSpaceDN/>
              <w:rPr>
                <w:rFonts w:ascii="Arial" w:hAnsi="Arial" w:cs="Arial"/>
                <w:b/>
                <w:sz w:val="18"/>
                <w:szCs w:val="18"/>
              </w:rPr>
            </w:pPr>
            <w:r w:rsidRPr="00587444">
              <w:rPr>
                <w:rFonts w:ascii="Arial" w:hAnsi="Arial" w:cs="Arial"/>
                <w:b/>
                <w:sz w:val="18"/>
                <w:szCs w:val="18"/>
              </w:rPr>
              <w:t>31 December 2021</w:t>
            </w:r>
          </w:p>
        </w:tc>
        <w:tc>
          <w:tcPr>
            <w:tcW w:w="1043" w:type="dxa"/>
            <w:vAlign w:val="center"/>
          </w:tcPr>
          <w:p w14:paraId="2E610BB8"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1</w:t>
            </w:r>
          </w:p>
        </w:tc>
        <w:tc>
          <w:tcPr>
            <w:tcW w:w="1043" w:type="dxa"/>
            <w:vAlign w:val="center"/>
          </w:tcPr>
          <w:p w14:paraId="5C0B64CA"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2</w:t>
            </w:r>
          </w:p>
        </w:tc>
        <w:tc>
          <w:tcPr>
            <w:tcW w:w="1134" w:type="dxa"/>
            <w:vAlign w:val="center"/>
          </w:tcPr>
          <w:p w14:paraId="3C267625"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3</w:t>
            </w:r>
          </w:p>
        </w:tc>
        <w:tc>
          <w:tcPr>
            <w:tcW w:w="1429" w:type="dxa"/>
            <w:vAlign w:val="center"/>
          </w:tcPr>
          <w:p w14:paraId="2A8F3E56"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Total fair values</w:t>
            </w:r>
          </w:p>
        </w:tc>
        <w:tc>
          <w:tcPr>
            <w:tcW w:w="1559" w:type="dxa"/>
            <w:vAlign w:val="center"/>
          </w:tcPr>
          <w:p w14:paraId="54573B5D"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Total carrying amount</w:t>
            </w:r>
          </w:p>
        </w:tc>
      </w:tr>
      <w:tr w:rsidR="00587444" w:rsidRPr="00587444" w14:paraId="29723775" w14:textId="77777777" w:rsidTr="00DD69E7">
        <w:trPr>
          <w:trHeight w:hRule="exact" w:val="257"/>
        </w:trPr>
        <w:tc>
          <w:tcPr>
            <w:tcW w:w="3413" w:type="dxa"/>
            <w:vAlign w:val="bottom"/>
          </w:tcPr>
          <w:p w14:paraId="12351EA0" w14:textId="77777777" w:rsidR="00587444" w:rsidRPr="00587444" w:rsidRDefault="00587444" w:rsidP="00587444">
            <w:pPr>
              <w:suppressAutoHyphens w:val="0"/>
              <w:autoSpaceDN/>
              <w:rPr>
                <w:rFonts w:ascii="Arial" w:hAnsi="Arial" w:cs="Arial"/>
                <w:sz w:val="18"/>
                <w:szCs w:val="18"/>
              </w:rPr>
            </w:pPr>
          </w:p>
        </w:tc>
        <w:tc>
          <w:tcPr>
            <w:tcW w:w="1043" w:type="dxa"/>
            <w:vAlign w:val="center"/>
          </w:tcPr>
          <w:p w14:paraId="1AE4AE21"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c>
          <w:tcPr>
            <w:tcW w:w="1043" w:type="dxa"/>
            <w:vAlign w:val="center"/>
          </w:tcPr>
          <w:p w14:paraId="51F8DED6"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c>
          <w:tcPr>
            <w:tcW w:w="1134" w:type="dxa"/>
            <w:vAlign w:val="center"/>
          </w:tcPr>
          <w:p w14:paraId="53899015"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c>
          <w:tcPr>
            <w:tcW w:w="1429" w:type="dxa"/>
            <w:vAlign w:val="center"/>
          </w:tcPr>
          <w:p w14:paraId="5F695563"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c>
          <w:tcPr>
            <w:tcW w:w="1559" w:type="dxa"/>
            <w:vAlign w:val="center"/>
          </w:tcPr>
          <w:p w14:paraId="66FD960C"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r>
      <w:tr w:rsidR="00587444" w:rsidRPr="00587444" w14:paraId="18B85BB3" w14:textId="77777777" w:rsidTr="00DD69E7">
        <w:trPr>
          <w:trHeight w:hRule="exact" w:val="128"/>
        </w:trPr>
        <w:tc>
          <w:tcPr>
            <w:tcW w:w="3413" w:type="dxa"/>
            <w:vAlign w:val="bottom"/>
          </w:tcPr>
          <w:p w14:paraId="1DC648F7" w14:textId="77777777" w:rsidR="00587444" w:rsidRPr="00587444" w:rsidRDefault="00587444" w:rsidP="00587444">
            <w:pPr>
              <w:suppressAutoHyphens w:val="0"/>
              <w:autoSpaceDN/>
              <w:rPr>
                <w:rFonts w:ascii="Arial" w:hAnsi="Arial" w:cs="Arial"/>
                <w:sz w:val="18"/>
                <w:szCs w:val="18"/>
              </w:rPr>
            </w:pPr>
          </w:p>
        </w:tc>
        <w:tc>
          <w:tcPr>
            <w:tcW w:w="1043" w:type="dxa"/>
            <w:vAlign w:val="center"/>
          </w:tcPr>
          <w:p w14:paraId="5AE9EDD1" w14:textId="77777777" w:rsidR="00587444" w:rsidRPr="00587444" w:rsidRDefault="00587444" w:rsidP="00587444">
            <w:pPr>
              <w:suppressAutoHyphens w:val="0"/>
              <w:autoSpaceDN/>
              <w:jc w:val="right"/>
              <w:rPr>
                <w:rFonts w:ascii="Arial" w:hAnsi="Arial" w:cs="Arial"/>
                <w:b/>
                <w:sz w:val="18"/>
                <w:szCs w:val="18"/>
              </w:rPr>
            </w:pPr>
          </w:p>
        </w:tc>
        <w:tc>
          <w:tcPr>
            <w:tcW w:w="1043" w:type="dxa"/>
            <w:vAlign w:val="center"/>
          </w:tcPr>
          <w:p w14:paraId="5B554CB5" w14:textId="77777777" w:rsidR="00587444" w:rsidRPr="00587444" w:rsidRDefault="00587444" w:rsidP="00587444">
            <w:pPr>
              <w:suppressAutoHyphens w:val="0"/>
              <w:autoSpaceDN/>
              <w:jc w:val="right"/>
              <w:rPr>
                <w:rFonts w:ascii="Arial" w:hAnsi="Arial" w:cs="Arial"/>
                <w:b/>
                <w:sz w:val="18"/>
                <w:szCs w:val="18"/>
              </w:rPr>
            </w:pPr>
          </w:p>
        </w:tc>
        <w:tc>
          <w:tcPr>
            <w:tcW w:w="1134" w:type="dxa"/>
            <w:vAlign w:val="center"/>
          </w:tcPr>
          <w:p w14:paraId="726C972A" w14:textId="77777777" w:rsidR="00587444" w:rsidRPr="00587444" w:rsidRDefault="00587444" w:rsidP="00587444">
            <w:pPr>
              <w:suppressAutoHyphens w:val="0"/>
              <w:autoSpaceDN/>
              <w:jc w:val="right"/>
              <w:rPr>
                <w:rFonts w:ascii="Arial" w:hAnsi="Arial" w:cs="Arial"/>
                <w:b/>
                <w:sz w:val="18"/>
                <w:szCs w:val="18"/>
              </w:rPr>
            </w:pPr>
          </w:p>
        </w:tc>
        <w:tc>
          <w:tcPr>
            <w:tcW w:w="1429" w:type="dxa"/>
            <w:vAlign w:val="center"/>
          </w:tcPr>
          <w:p w14:paraId="4AF0172D" w14:textId="77777777" w:rsidR="00587444" w:rsidRPr="00587444" w:rsidRDefault="00587444" w:rsidP="00587444">
            <w:pPr>
              <w:suppressAutoHyphens w:val="0"/>
              <w:autoSpaceDN/>
              <w:jc w:val="right"/>
              <w:rPr>
                <w:rFonts w:ascii="Arial" w:hAnsi="Arial" w:cs="Arial"/>
                <w:b/>
                <w:sz w:val="18"/>
                <w:szCs w:val="18"/>
              </w:rPr>
            </w:pPr>
          </w:p>
        </w:tc>
        <w:tc>
          <w:tcPr>
            <w:tcW w:w="1559" w:type="dxa"/>
            <w:vAlign w:val="center"/>
          </w:tcPr>
          <w:p w14:paraId="77B5E8FE" w14:textId="77777777" w:rsidR="00587444" w:rsidRPr="00587444" w:rsidRDefault="00587444" w:rsidP="00587444">
            <w:pPr>
              <w:suppressAutoHyphens w:val="0"/>
              <w:autoSpaceDN/>
              <w:jc w:val="right"/>
              <w:rPr>
                <w:rFonts w:ascii="Arial" w:hAnsi="Arial" w:cs="Arial"/>
                <w:b/>
                <w:sz w:val="18"/>
                <w:szCs w:val="18"/>
              </w:rPr>
            </w:pPr>
          </w:p>
        </w:tc>
      </w:tr>
      <w:tr w:rsidR="00587444" w:rsidRPr="00587444" w14:paraId="2A6A5028" w14:textId="77777777" w:rsidTr="00DD69E7">
        <w:trPr>
          <w:trHeight w:val="223"/>
        </w:trPr>
        <w:tc>
          <w:tcPr>
            <w:tcW w:w="3413" w:type="dxa"/>
            <w:vAlign w:val="bottom"/>
          </w:tcPr>
          <w:p w14:paraId="73A2AC94" w14:textId="77777777" w:rsidR="00587444" w:rsidRPr="00587444" w:rsidRDefault="00587444" w:rsidP="00587444">
            <w:pPr>
              <w:tabs>
                <w:tab w:val="right" w:pos="1202"/>
              </w:tabs>
              <w:suppressAutoHyphens w:val="0"/>
              <w:autoSpaceDN/>
              <w:outlineLvl w:val="0"/>
              <w:rPr>
                <w:rFonts w:ascii="Arial" w:hAnsi="Arial" w:cs="Arial"/>
                <w:b/>
                <w:bCs/>
                <w:sz w:val="18"/>
                <w:szCs w:val="18"/>
              </w:rPr>
            </w:pPr>
            <w:r w:rsidRPr="00587444">
              <w:rPr>
                <w:rFonts w:ascii="Arial" w:eastAsia="Calibri" w:hAnsi="Arial" w:cs="Arial"/>
                <w:b/>
                <w:bCs/>
                <w:sz w:val="18"/>
                <w:szCs w:val="18"/>
              </w:rPr>
              <w:t>Assets</w:t>
            </w:r>
          </w:p>
        </w:tc>
        <w:tc>
          <w:tcPr>
            <w:tcW w:w="1043" w:type="dxa"/>
            <w:vAlign w:val="center"/>
          </w:tcPr>
          <w:p w14:paraId="42C39FB4"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043" w:type="dxa"/>
            <w:vAlign w:val="center"/>
          </w:tcPr>
          <w:p w14:paraId="65D292A2"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134" w:type="dxa"/>
            <w:vAlign w:val="center"/>
          </w:tcPr>
          <w:p w14:paraId="5A502D50"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429" w:type="dxa"/>
            <w:vAlign w:val="center"/>
          </w:tcPr>
          <w:p w14:paraId="50E73572"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559" w:type="dxa"/>
            <w:vAlign w:val="center"/>
          </w:tcPr>
          <w:p w14:paraId="50FA3905"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r>
      <w:tr w:rsidR="00587444" w:rsidRPr="00587444" w14:paraId="3C2DBB77" w14:textId="77777777" w:rsidTr="00DD69E7">
        <w:trPr>
          <w:trHeight w:val="223"/>
        </w:trPr>
        <w:tc>
          <w:tcPr>
            <w:tcW w:w="3413" w:type="dxa"/>
            <w:vAlign w:val="bottom"/>
          </w:tcPr>
          <w:p w14:paraId="4B91D21E" w14:textId="77777777" w:rsidR="00587444" w:rsidRPr="00587444" w:rsidRDefault="00587444" w:rsidP="00587444">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Cash on hand and current accounts with banks</w:t>
            </w:r>
          </w:p>
        </w:tc>
        <w:tc>
          <w:tcPr>
            <w:tcW w:w="1043" w:type="dxa"/>
            <w:vAlign w:val="bottom"/>
          </w:tcPr>
          <w:p w14:paraId="34369C9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1,958,620 </w:t>
            </w:r>
          </w:p>
        </w:tc>
        <w:tc>
          <w:tcPr>
            <w:tcW w:w="1043" w:type="dxa"/>
            <w:vAlign w:val="bottom"/>
          </w:tcPr>
          <w:p w14:paraId="2E2248F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134" w:type="dxa"/>
            <w:vAlign w:val="bottom"/>
          </w:tcPr>
          <w:p w14:paraId="7454F13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429" w:type="dxa"/>
            <w:vAlign w:val="bottom"/>
          </w:tcPr>
          <w:p w14:paraId="79B760A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1,958,620 </w:t>
            </w:r>
          </w:p>
        </w:tc>
        <w:tc>
          <w:tcPr>
            <w:tcW w:w="1559" w:type="dxa"/>
            <w:tcBorders>
              <w:top w:val="nil"/>
              <w:left w:val="nil"/>
              <w:bottom w:val="nil"/>
              <w:right w:val="nil"/>
            </w:tcBorders>
            <w:shd w:val="clear" w:color="auto" w:fill="auto"/>
            <w:vAlign w:val="bottom"/>
          </w:tcPr>
          <w:p w14:paraId="0B0439E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napToGrid w:val="0"/>
                <w:sz w:val="18"/>
                <w:szCs w:val="18"/>
              </w:rPr>
            </w:pPr>
            <w:r w:rsidRPr="00587444">
              <w:rPr>
                <w:rFonts w:ascii="Arial" w:hAnsi="Arial" w:cs="Arial"/>
                <w:sz w:val="18"/>
                <w:szCs w:val="18"/>
              </w:rPr>
              <w:t>1,958,620</w:t>
            </w:r>
          </w:p>
        </w:tc>
      </w:tr>
      <w:tr w:rsidR="00587444" w:rsidRPr="00587444" w14:paraId="27F46397" w14:textId="77777777" w:rsidTr="00DD69E7">
        <w:trPr>
          <w:trHeight w:val="223"/>
        </w:trPr>
        <w:tc>
          <w:tcPr>
            <w:tcW w:w="3413" w:type="dxa"/>
            <w:vAlign w:val="bottom"/>
          </w:tcPr>
          <w:p w14:paraId="417DA3B0" w14:textId="77777777" w:rsidR="00587444" w:rsidRPr="00587444" w:rsidRDefault="00587444" w:rsidP="00587444">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Deposits with other banks</w:t>
            </w:r>
          </w:p>
        </w:tc>
        <w:tc>
          <w:tcPr>
            <w:tcW w:w="1043" w:type="dxa"/>
            <w:vAlign w:val="bottom"/>
          </w:tcPr>
          <w:p w14:paraId="0BFD808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043" w:type="dxa"/>
            <w:vAlign w:val="bottom"/>
          </w:tcPr>
          <w:p w14:paraId="1737F8C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7,500 </w:t>
            </w:r>
          </w:p>
        </w:tc>
        <w:tc>
          <w:tcPr>
            <w:tcW w:w="1134" w:type="dxa"/>
            <w:vAlign w:val="bottom"/>
          </w:tcPr>
          <w:p w14:paraId="5950E12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429" w:type="dxa"/>
            <w:vAlign w:val="bottom"/>
          </w:tcPr>
          <w:p w14:paraId="0EDAB21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7,500 </w:t>
            </w:r>
          </w:p>
        </w:tc>
        <w:tc>
          <w:tcPr>
            <w:tcW w:w="1559" w:type="dxa"/>
            <w:tcBorders>
              <w:top w:val="nil"/>
              <w:left w:val="nil"/>
              <w:bottom w:val="nil"/>
              <w:right w:val="nil"/>
            </w:tcBorders>
            <w:shd w:val="clear" w:color="auto" w:fill="auto"/>
            <w:vAlign w:val="bottom"/>
          </w:tcPr>
          <w:p w14:paraId="76EE1DA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napToGrid w:val="0"/>
                <w:sz w:val="18"/>
                <w:szCs w:val="18"/>
              </w:rPr>
            </w:pPr>
            <w:r w:rsidRPr="00587444">
              <w:rPr>
                <w:rFonts w:ascii="Arial" w:hAnsi="Arial" w:cs="Arial"/>
                <w:sz w:val="18"/>
                <w:szCs w:val="18"/>
              </w:rPr>
              <w:t xml:space="preserve"> 7,500 </w:t>
            </w:r>
          </w:p>
        </w:tc>
      </w:tr>
      <w:tr w:rsidR="00587444" w:rsidRPr="00587444" w14:paraId="76B59624" w14:textId="77777777" w:rsidTr="00DD69E7">
        <w:trPr>
          <w:trHeight w:val="231"/>
        </w:trPr>
        <w:tc>
          <w:tcPr>
            <w:tcW w:w="3413" w:type="dxa"/>
            <w:vAlign w:val="bottom"/>
          </w:tcPr>
          <w:p w14:paraId="659D5C1D" w14:textId="77777777" w:rsidR="00587444" w:rsidRPr="00587444" w:rsidRDefault="00587444" w:rsidP="00587444">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Loans to financial institutions</w:t>
            </w:r>
          </w:p>
        </w:tc>
        <w:tc>
          <w:tcPr>
            <w:tcW w:w="1043" w:type="dxa"/>
            <w:vAlign w:val="bottom"/>
          </w:tcPr>
          <w:p w14:paraId="60E3B09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043" w:type="dxa"/>
            <w:vAlign w:val="bottom"/>
          </w:tcPr>
          <w:p w14:paraId="19FA1B2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134" w:type="dxa"/>
            <w:vAlign w:val="bottom"/>
          </w:tcPr>
          <w:p w14:paraId="2AEF49A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7,073,126 </w:t>
            </w:r>
          </w:p>
        </w:tc>
        <w:tc>
          <w:tcPr>
            <w:tcW w:w="1429" w:type="dxa"/>
            <w:vAlign w:val="bottom"/>
          </w:tcPr>
          <w:p w14:paraId="38EA74C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7,073,126 </w:t>
            </w:r>
          </w:p>
        </w:tc>
        <w:tc>
          <w:tcPr>
            <w:tcW w:w="1559" w:type="dxa"/>
            <w:tcBorders>
              <w:top w:val="nil"/>
              <w:left w:val="nil"/>
              <w:bottom w:val="nil"/>
              <w:right w:val="nil"/>
            </w:tcBorders>
            <w:shd w:val="clear" w:color="auto" w:fill="auto"/>
            <w:vAlign w:val="bottom"/>
          </w:tcPr>
          <w:p w14:paraId="158DA9B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napToGrid w:val="0"/>
                <w:sz w:val="18"/>
                <w:szCs w:val="18"/>
              </w:rPr>
            </w:pPr>
            <w:r w:rsidRPr="00587444">
              <w:rPr>
                <w:rFonts w:ascii="Arial" w:hAnsi="Arial" w:cs="Arial"/>
                <w:sz w:val="18"/>
                <w:szCs w:val="18"/>
              </w:rPr>
              <w:t xml:space="preserve"> 7,050,143 </w:t>
            </w:r>
          </w:p>
        </w:tc>
      </w:tr>
      <w:tr w:rsidR="00587444" w:rsidRPr="00587444" w14:paraId="0C877E24" w14:textId="77777777" w:rsidTr="00DD69E7">
        <w:trPr>
          <w:trHeight w:val="223"/>
        </w:trPr>
        <w:tc>
          <w:tcPr>
            <w:tcW w:w="3413" w:type="dxa"/>
            <w:vAlign w:val="bottom"/>
          </w:tcPr>
          <w:p w14:paraId="2F4DE528" w14:textId="77777777" w:rsidR="00587444" w:rsidRPr="00587444" w:rsidRDefault="00587444" w:rsidP="00587444">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Loans to other customers</w:t>
            </w:r>
          </w:p>
        </w:tc>
        <w:tc>
          <w:tcPr>
            <w:tcW w:w="1043" w:type="dxa"/>
            <w:tcBorders>
              <w:bottom w:val="single" w:sz="4" w:space="0" w:color="auto"/>
            </w:tcBorders>
            <w:vAlign w:val="bottom"/>
          </w:tcPr>
          <w:p w14:paraId="5A5CEF9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043" w:type="dxa"/>
            <w:tcBorders>
              <w:bottom w:val="single" w:sz="4" w:space="0" w:color="auto"/>
            </w:tcBorders>
            <w:vAlign w:val="bottom"/>
          </w:tcPr>
          <w:p w14:paraId="3A607FA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134" w:type="dxa"/>
            <w:tcBorders>
              <w:bottom w:val="single" w:sz="4" w:space="0" w:color="auto"/>
            </w:tcBorders>
            <w:vAlign w:val="bottom"/>
          </w:tcPr>
          <w:p w14:paraId="230EC114" w14:textId="77777777" w:rsidR="00587444" w:rsidRPr="00587444" w:rsidRDefault="00587444" w:rsidP="00587444">
            <w:pPr>
              <w:tabs>
                <w:tab w:val="right" w:pos="1202"/>
              </w:tabs>
              <w:suppressAutoHyphens w:val="0"/>
              <w:autoSpaceDN/>
              <w:spacing w:line="301" w:lineRule="exact"/>
              <w:outlineLvl w:val="0"/>
              <w:rPr>
                <w:rFonts w:ascii="Arial" w:hAnsi="Arial" w:cs="Arial"/>
                <w:color w:val="000000"/>
                <w:sz w:val="18"/>
                <w:szCs w:val="18"/>
              </w:rPr>
            </w:pPr>
            <w:r w:rsidRPr="00587444">
              <w:rPr>
                <w:rFonts w:ascii="Arial" w:hAnsi="Arial" w:cs="Arial"/>
                <w:sz w:val="18"/>
                <w:szCs w:val="18"/>
              </w:rPr>
              <w:t xml:space="preserve">17,912,813 </w:t>
            </w:r>
          </w:p>
        </w:tc>
        <w:tc>
          <w:tcPr>
            <w:tcW w:w="1429" w:type="dxa"/>
            <w:tcBorders>
              <w:bottom w:val="single" w:sz="4" w:space="0" w:color="auto"/>
            </w:tcBorders>
            <w:vAlign w:val="bottom"/>
          </w:tcPr>
          <w:p w14:paraId="0811DCB5"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17,912,813 </w:t>
            </w:r>
          </w:p>
        </w:tc>
        <w:tc>
          <w:tcPr>
            <w:tcW w:w="1559" w:type="dxa"/>
            <w:tcBorders>
              <w:top w:val="nil"/>
              <w:left w:val="nil"/>
              <w:bottom w:val="single" w:sz="4" w:space="0" w:color="auto"/>
              <w:right w:val="nil"/>
            </w:tcBorders>
            <w:shd w:val="clear" w:color="auto" w:fill="auto"/>
            <w:vAlign w:val="bottom"/>
          </w:tcPr>
          <w:p w14:paraId="304CC75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18"/>
                <w:szCs w:val="18"/>
              </w:rPr>
            </w:pPr>
            <w:r w:rsidRPr="00587444">
              <w:rPr>
                <w:rFonts w:ascii="Arial" w:hAnsi="Arial" w:cs="Arial"/>
                <w:sz w:val="18"/>
                <w:szCs w:val="18"/>
              </w:rPr>
              <w:t xml:space="preserve"> 15,964,376 </w:t>
            </w:r>
          </w:p>
        </w:tc>
      </w:tr>
      <w:tr w:rsidR="00587444" w:rsidRPr="00587444" w14:paraId="35CDBF21" w14:textId="77777777" w:rsidTr="00DD69E7">
        <w:trPr>
          <w:trHeight w:hRule="exact" w:val="412"/>
        </w:trPr>
        <w:tc>
          <w:tcPr>
            <w:tcW w:w="3413" w:type="dxa"/>
            <w:vAlign w:val="bottom"/>
          </w:tcPr>
          <w:p w14:paraId="44FEED64" w14:textId="77777777" w:rsidR="00587444" w:rsidRPr="00587444" w:rsidRDefault="00587444" w:rsidP="00587444">
            <w:pPr>
              <w:keepNext/>
              <w:keepLines/>
              <w:tabs>
                <w:tab w:val="decimal" w:pos="1202"/>
              </w:tabs>
              <w:suppressAutoHyphens w:val="0"/>
              <w:autoSpaceDN/>
              <w:rPr>
                <w:rFonts w:ascii="Arial" w:hAnsi="Arial" w:cs="Arial"/>
                <w:b/>
                <w:position w:val="4"/>
                <w:sz w:val="18"/>
                <w:szCs w:val="18"/>
              </w:rPr>
            </w:pPr>
          </w:p>
        </w:tc>
        <w:tc>
          <w:tcPr>
            <w:tcW w:w="1043" w:type="dxa"/>
            <w:tcBorders>
              <w:top w:val="single" w:sz="4" w:space="0" w:color="auto"/>
            </w:tcBorders>
            <w:vAlign w:val="bottom"/>
          </w:tcPr>
          <w:p w14:paraId="02E5E5A8" w14:textId="77777777" w:rsidR="00587444" w:rsidRPr="00587444" w:rsidRDefault="00587444" w:rsidP="00587444">
            <w:pPr>
              <w:keepLines/>
              <w:suppressAutoHyphens w:val="0"/>
              <w:autoSpaceDN/>
              <w:rPr>
                <w:rFonts w:ascii="Arial" w:hAnsi="Arial" w:cs="Arial"/>
                <w:b/>
                <w:spacing w:val="-2"/>
                <w:position w:val="4"/>
                <w:sz w:val="18"/>
                <w:szCs w:val="18"/>
              </w:rPr>
            </w:pPr>
            <w:r w:rsidRPr="00587444">
              <w:rPr>
                <w:rFonts w:ascii="Arial" w:hAnsi="Arial" w:cs="Arial"/>
                <w:b/>
                <w:bCs/>
                <w:sz w:val="18"/>
                <w:szCs w:val="18"/>
              </w:rPr>
              <w:t xml:space="preserve">1,958,620 </w:t>
            </w:r>
          </w:p>
        </w:tc>
        <w:tc>
          <w:tcPr>
            <w:tcW w:w="1043" w:type="dxa"/>
            <w:tcBorders>
              <w:top w:val="single" w:sz="4" w:space="0" w:color="auto"/>
            </w:tcBorders>
            <w:vAlign w:val="bottom"/>
          </w:tcPr>
          <w:p w14:paraId="48A806B8" w14:textId="77777777" w:rsidR="00587444" w:rsidRPr="00587444" w:rsidRDefault="00587444" w:rsidP="00587444">
            <w:pPr>
              <w:keepLines/>
              <w:suppressAutoHyphens w:val="0"/>
              <w:autoSpaceDN/>
              <w:jc w:val="right"/>
              <w:rPr>
                <w:rFonts w:ascii="Arial" w:hAnsi="Arial" w:cs="Arial"/>
                <w:spacing w:val="-2"/>
                <w:position w:val="4"/>
                <w:sz w:val="18"/>
                <w:szCs w:val="18"/>
              </w:rPr>
            </w:pPr>
            <w:r w:rsidRPr="00587444">
              <w:rPr>
                <w:rFonts w:ascii="Arial" w:hAnsi="Arial" w:cs="Arial"/>
                <w:b/>
                <w:bCs/>
                <w:sz w:val="18"/>
                <w:szCs w:val="18"/>
              </w:rPr>
              <w:t xml:space="preserve"> 7,500 </w:t>
            </w:r>
          </w:p>
        </w:tc>
        <w:tc>
          <w:tcPr>
            <w:tcW w:w="1134" w:type="dxa"/>
            <w:tcBorders>
              <w:top w:val="single" w:sz="4" w:space="0" w:color="auto"/>
            </w:tcBorders>
            <w:vAlign w:val="bottom"/>
          </w:tcPr>
          <w:p w14:paraId="71168C85" w14:textId="77777777" w:rsidR="00587444" w:rsidRPr="00587444" w:rsidRDefault="00587444" w:rsidP="00587444">
            <w:pPr>
              <w:keepLines/>
              <w:suppressAutoHyphens w:val="0"/>
              <w:autoSpaceDN/>
              <w:rPr>
                <w:rFonts w:ascii="Arial" w:hAnsi="Arial" w:cs="Arial"/>
                <w:spacing w:val="-2"/>
                <w:position w:val="4"/>
                <w:sz w:val="18"/>
                <w:szCs w:val="18"/>
              </w:rPr>
            </w:pPr>
            <w:r w:rsidRPr="00587444">
              <w:rPr>
                <w:rFonts w:ascii="Arial" w:hAnsi="Arial" w:cs="Arial"/>
                <w:b/>
                <w:bCs/>
                <w:sz w:val="18"/>
                <w:szCs w:val="18"/>
              </w:rPr>
              <w:t xml:space="preserve">24,985,939 </w:t>
            </w:r>
          </w:p>
        </w:tc>
        <w:tc>
          <w:tcPr>
            <w:tcW w:w="1429" w:type="dxa"/>
            <w:tcBorders>
              <w:top w:val="single" w:sz="4" w:space="0" w:color="auto"/>
            </w:tcBorders>
            <w:vAlign w:val="bottom"/>
          </w:tcPr>
          <w:p w14:paraId="0919CCB2" w14:textId="77777777" w:rsidR="00587444" w:rsidRPr="00587444" w:rsidRDefault="00587444" w:rsidP="00587444">
            <w:pPr>
              <w:keepLines/>
              <w:suppressAutoHyphens w:val="0"/>
              <w:autoSpaceDN/>
              <w:jc w:val="right"/>
              <w:rPr>
                <w:rFonts w:ascii="Arial" w:hAnsi="Arial" w:cs="Arial"/>
                <w:spacing w:val="-2"/>
                <w:position w:val="4"/>
                <w:sz w:val="18"/>
                <w:szCs w:val="18"/>
              </w:rPr>
            </w:pPr>
            <w:r w:rsidRPr="00587444">
              <w:rPr>
                <w:rFonts w:ascii="Arial" w:hAnsi="Arial" w:cs="Arial"/>
                <w:b/>
                <w:bCs/>
                <w:sz w:val="18"/>
                <w:szCs w:val="18"/>
              </w:rPr>
              <w:t xml:space="preserve"> 26,952,059 </w:t>
            </w:r>
          </w:p>
        </w:tc>
        <w:tc>
          <w:tcPr>
            <w:tcW w:w="1559" w:type="dxa"/>
            <w:tcBorders>
              <w:top w:val="single" w:sz="4" w:space="0" w:color="auto"/>
              <w:left w:val="nil"/>
              <w:bottom w:val="nil"/>
              <w:right w:val="nil"/>
            </w:tcBorders>
            <w:shd w:val="clear" w:color="auto" w:fill="auto"/>
            <w:vAlign w:val="bottom"/>
          </w:tcPr>
          <w:p w14:paraId="3DCE7E3D" w14:textId="77777777" w:rsidR="00587444" w:rsidRPr="00587444" w:rsidRDefault="00587444" w:rsidP="00587444">
            <w:pPr>
              <w:keepLines/>
              <w:suppressAutoHyphens w:val="0"/>
              <w:autoSpaceDN/>
              <w:jc w:val="right"/>
              <w:rPr>
                <w:rFonts w:ascii="Arial" w:hAnsi="Arial" w:cs="Arial"/>
                <w:spacing w:val="-2"/>
                <w:position w:val="4"/>
                <w:sz w:val="18"/>
                <w:szCs w:val="18"/>
              </w:rPr>
            </w:pPr>
            <w:r w:rsidRPr="00587444">
              <w:rPr>
                <w:rFonts w:ascii="Arial" w:hAnsi="Arial" w:cs="Arial"/>
                <w:b/>
                <w:bCs/>
                <w:sz w:val="18"/>
                <w:szCs w:val="18"/>
              </w:rPr>
              <w:t xml:space="preserve"> 24,980,639 </w:t>
            </w:r>
          </w:p>
        </w:tc>
      </w:tr>
      <w:tr w:rsidR="00587444" w:rsidRPr="00587444" w14:paraId="34525968" w14:textId="77777777" w:rsidTr="00DD69E7">
        <w:trPr>
          <w:trHeight w:hRule="exact" w:val="128"/>
        </w:trPr>
        <w:tc>
          <w:tcPr>
            <w:tcW w:w="3413" w:type="dxa"/>
            <w:vAlign w:val="bottom"/>
          </w:tcPr>
          <w:p w14:paraId="312A2E14" w14:textId="77777777" w:rsidR="00587444" w:rsidRPr="00587444" w:rsidRDefault="00587444" w:rsidP="00587444">
            <w:pPr>
              <w:keepNext/>
              <w:keepLines/>
              <w:tabs>
                <w:tab w:val="decimal" w:pos="1202"/>
              </w:tabs>
              <w:suppressAutoHyphens w:val="0"/>
              <w:autoSpaceDN/>
              <w:rPr>
                <w:rFonts w:ascii="Arial" w:hAnsi="Arial" w:cs="Arial"/>
                <w:b/>
                <w:position w:val="4"/>
                <w:sz w:val="18"/>
                <w:szCs w:val="18"/>
              </w:rPr>
            </w:pPr>
          </w:p>
        </w:tc>
        <w:tc>
          <w:tcPr>
            <w:tcW w:w="1043" w:type="dxa"/>
            <w:tcBorders>
              <w:top w:val="single" w:sz="12" w:space="0" w:color="auto"/>
              <w:left w:val="nil"/>
              <w:bottom w:val="nil"/>
              <w:right w:val="nil"/>
            </w:tcBorders>
            <w:vAlign w:val="bottom"/>
          </w:tcPr>
          <w:p w14:paraId="3A368DFB" w14:textId="77777777" w:rsidR="00587444" w:rsidRPr="00587444" w:rsidRDefault="00587444" w:rsidP="00587444">
            <w:pPr>
              <w:keepLines/>
              <w:suppressAutoHyphens w:val="0"/>
              <w:autoSpaceDN/>
              <w:jc w:val="right"/>
              <w:rPr>
                <w:rFonts w:ascii="Arial" w:hAnsi="Arial" w:cs="Arial"/>
                <w:spacing w:val="-2"/>
                <w:position w:val="4"/>
                <w:sz w:val="18"/>
                <w:szCs w:val="18"/>
              </w:rPr>
            </w:pPr>
          </w:p>
        </w:tc>
        <w:tc>
          <w:tcPr>
            <w:tcW w:w="1043" w:type="dxa"/>
            <w:tcBorders>
              <w:top w:val="single" w:sz="12" w:space="0" w:color="auto"/>
              <w:left w:val="nil"/>
              <w:bottom w:val="nil"/>
              <w:right w:val="nil"/>
            </w:tcBorders>
            <w:vAlign w:val="bottom"/>
          </w:tcPr>
          <w:p w14:paraId="59F1B26B" w14:textId="77777777" w:rsidR="00587444" w:rsidRPr="00587444" w:rsidRDefault="00587444" w:rsidP="00587444">
            <w:pPr>
              <w:keepLines/>
              <w:suppressAutoHyphens w:val="0"/>
              <w:autoSpaceDN/>
              <w:jc w:val="right"/>
              <w:rPr>
                <w:rFonts w:ascii="Arial" w:hAnsi="Arial" w:cs="Arial"/>
                <w:spacing w:val="-2"/>
                <w:position w:val="4"/>
                <w:sz w:val="18"/>
                <w:szCs w:val="18"/>
              </w:rPr>
            </w:pPr>
          </w:p>
        </w:tc>
        <w:tc>
          <w:tcPr>
            <w:tcW w:w="1134" w:type="dxa"/>
            <w:tcBorders>
              <w:top w:val="single" w:sz="12" w:space="0" w:color="auto"/>
              <w:left w:val="nil"/>
              <w:bottom w:val="nil"/>
              <w:right w:val="nil"/>
            </w:tcBorders>
            <w:vAlign w:val="bottom"/>
          </w:tcPr>
          <w:p w14:paraId="2856A3B7" w14:textId="77777777" w:rsidR="00587444" w:rsidRPr="00587444" w:rsidRDefault="00587444" w:rsidP="00587444">
            <w:pPr>
              <w:keepLines/>
              <w:suppressAutoHyphens w:val="0"/>
              <w:autoSpaceDN/>
              <w:jc w:val="right"/>
              <w:rPr>
                <w:rFonts w:ascii="Arial" w:hAnsi="Arial" w:cs="Arial"/>
                <w:spacing w:val="-2"/>
                <w:position w:val="4"/>
                <w:sz w:val="18"/>
                <w:szCs w:val="18"/>
              </w:rPr>
            </w:pPr>
          </w:p>
        </w:tc>
        <w:tc>
          <w:tcPr>
            <w:tcW w:w="1429" w:type="dxa"/>
            <w:tcBorders>
              <w:top w:val="single" w:sz="12" w:space="0" w:color="auto"/>
              <w:left w:val="nil"/>
              <w:bottom w:val="nil"/>
              <w:right w:val="nil"/>
            </w:tcBorders>
            <w:vAlign w:val="bottom"/>
          </w:tcPr>
          <w:p w14:paraId="1ED36C17" w14:textId="77777777" w:rsidR="00587444" w:rsidRPr="00587444" w:rsidRDefault="00587444" w:rsidP="00587444">
            <w:pPr>
              <w:keepLines/>
              <w:suppressAutoHyphens w:val="0"/>
              <w:autoSpaceDN/>
              <w:jc w:val="right"/>
              <w:rPr>
                <w:rFonts w:ascii="Arial" w:hAnsi="Arial" w:cs="Arial"/>
                <w:spacing w:val="-2"/>
                <w:position w:val="4"/>
                <w:sz w:val="18"/>
                <w:szCs w:val="18"/>
              </w:rPr>
            </w:pPr>
          </w:p>
        </w:tc>
        <w:tc>
          <w:tcPr>
            <w:tcW w:w="1559" w:type="dxa"/>
            <w:tcBorders>
              <w:top w:val="single" w:sz="12" w:space="0" w:color="auto"/>
              <w:left w:val="nil"/>
              <w:bottom w:val="nil"/>
              <w:right w:val="nil"/>
            </w:tcBorders>
            <w:vAlign w:val="bottom"/>
          </w:tcPr>
          <w:p w14:paraId="2FE66235" w14:textId="77777777" w:rsidR="00587444" w:rsidRPr="00587444" w:rsidRDefault="00587444" w:rsidP="00587444">
            <w:pPr>
              <w:keepLines/>
              <w:suppressAutoHyphens w:val="0"/>
              <w:autoSpaceDN/>
              <w:jc w:val="right"/>
              <w:rPr>
                <w:rFonts w:ascii="Arial" w:hAnsi="Arial" w:cs="Arial"/>
                <w:spacing w:val="-2"/>
                <w:position w:val="4"/>
                <w:sz w:val="18"/>
                <w:szCs w:val="18"/>
              </w:rPr>
            </w:pPr>
          </w:p>
        </w:tc>
      </w:tr>
      <w:tr w:rsidR="00587444" w:rsidRPr="00587444" w14:paraId="38578072" w14:textId="77777777" w:rsidTr="00DD69E7">
        <w:trPr>
          <w:trHeight w:val="231"/>
        </w:trPr>
        <w:tc>
          <w:tcPr>
            <w:tcW w:w="3413" w:type="dxa"/>
            <w:vAlign w:val="bottom"/>
          </w:tcPr>
          <w:p w14:paraId="563CAF90" w14:textId="77777777" w:rsidR="00587444" w:rsidRPr="00587444" w:rsidRDefault="00587444" w:rsidP="00587444">
            <w:pPr>
              <w:tabs>
                <w:tab w:val="right" w:pos="1202"/>
              </w:tabs>
              <w:suppressAutoHyphens w:val="0"/>
              <w:autoSpaceDN/>
              <w:outlineLvl w:val="0"/>
              <w:rPr>
                <w:rFonts w:ascii="Arial" w:hAnsi="Arial" w:cs="Arial"/>
                <w:b/>
                <w:bCs/>
                <w:sz w:val="18"/>
                <w:szCs w:val="18"/>
              </w:rPr>
            </w:pPr>
            <w:r w:rsidRPr="00587444">
              <w:rPr>
                <w:rFonts w:ascii="Arial" w:eastAsia="Calibri" w:hAnsi="Arial" w:cs="Arial"/>
                <w:b/>
                <w:bCs/>
                <w:sz w:val="18"/>
                <w:szCs w:val="18"/>
              </w:rPr>
              <w:t>Liabilities</w:t>
            </w:r>
          </w:p>
        </w:tc>
        <w:tc>
          <w:tcPr>
            <w:tcW w:w="1043" w:type="dxa"/>
            <w:vAlign w:val="bottom"/>
          </w:tcPr>
          <w:p w14:paraId="71281DC5"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043" w:type="dxa"/>
            <w:vAlign w:val="bottom"/>
          </w:tcPr>
          <w:p w14:paraId="2B0B1570"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134" w:type="dxa"/>
            <w:vAlign w:val="bottom"/>
          </w:tcPr>
          <w:p w14:paraId="634241BA"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429" w:type="dxa"/>
            <w:vAlign w:val="bottom"/>
          </w:tcPr>
          <w:p w14:paraId="7FE066D1"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c>
          <w:tcPr>
            <w:tcW w:w="1559" w:type="dxa"/>
            <w:vAlign w:val="bottom"/>
          </w:tcPr>
          <w:p w14:paraId="5ED54F7E"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p>
        </w:tc>
      </w:tr>
      <w:tr w:rsidR="00587444" w:rsidRPr="00587444" w14:paraId="305176FC" w14:textId="77777777" w:rsidTr="00DD69E7">
        <w:trPr>
          <w:trHeight w:val="223"/>
        </w:trPr>
        <w:tc>
          <w:tcPr>
            <w:tcW w:w="3413" w:type="dxa"/>
            <w:vAlign w:val="bottom"/>
          </w:tcPr>
          <w:p w14:paraId="0FE76FEE" w14:textId="77777777" w:rsidR="00587444" w:rsidRPr="00587444" w:rsidRDefault="00587444" w:rsidP="00587444">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Deposits from customers</w:t>
            </w:r>
          </w:p>
        </w:tc>
        <w:tc>
          <w:tcPr>
            <w:tcW w:w="1043" w:type="dxa"/>
            <w:vAlign w:val="bottom"/>
          </w:tcPr>
          <w:p w14:paraId="3CBDC11F"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043" w:type="dxa"/>
            <w:vAlign w:val="bottom"/>
          </w:tcPr>
          <w:p w14:paraId="56A69CED"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960,541 </w:t>
            </w:r>
          </w:p>
        </w:tc>
        <w:tc>
          <w:tcPr>
            <w:tcW w:w="1134" w:type="dxa"/>
            <w:vAlign w:val="bottom"/>
          </w:tcPr>
          <w:p w14:paraId="50DF01B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429" w:type="dxa"/>
            <w:vAlign w:val="bottom"/>
          </w:tcPr>
          <w:p w14:paraId="1650DC1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960,541 </w:t>
            </w:r>
          </w:p>
        </w:tc>
        <w:tc>
          <w:tcPr>
            <w:tcW w:w="1559" w:type="dxa"/>
            <w:tcBorders>
              <w:top w:val="nil"/>
              <w:left w:val="nil"/>
              <w:bottom w:val="nil"/>
              <w:right w:val="nil"/>
            </w:tcBorders>
            <w:shd w:val="clear" w:color="auto" w:fill="auto"/>
            <w:vAlign w:val="bottom"/>
          </w:tcPr>
          <w:p w14:paraId="37180A5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960,541</w:t>
            </w:r>
          </w:p>
        </w:tc>
      </w:tr>
      <w:tr w:rsidR="00587444" w:rsidRPr="00587444" w14:paraId="5CFFCF78" w14:textId="77777777" w:rsidTr="00DD69E7">
        <w:trPr>
          <w:trHeight w:val="223"/>
        </w:trPr>
        <w:tc>
          <w:tcPr>
            <w:tcW w:w="3413" w:type="dxa"/>
            <w:vAlign w:val="bottom"/>
          </w:tcPr>
          <w:p w14:paraId="404E710C" w14:textId="77777777" w:rsidR="00587444" w:rsidRPr="00587444" w:rsidRDefault="00587444" w:rsidP="00587444">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Borrowings</w:t>
            </w:r>
          </w:p>
        </w:tc>
        <w:tc>
          <w:tcPr>
            <w:tcW w:w="1043" w:type="dxa"/>
            <w:vAlign w:val="bottom"/>
          </w:tcPr>
          <w:p w14:paraId="1C53A87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043" w:type="dxa"/>
            <w:vAlign w:val="bottom"/>
          </w:tcPr>
          <w:p w14:paraId="50736FB1"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 </w:t>
            </w:r>
          </w:p>
        </w:tc>
        <w:tc>
          <w:tcPr>
            <w:tcW w:w="1134" w:type="dxa"/>
            <w:vAlign w:val="bottom"/>
          </w:tcPr>
          <w:p w14:paraId="7790C08D" w14:textId="77777777" w:rsidR="00587444" w:rsidRPr="00587444" w:rsidRDefault="00587444" w:rsidP="00587444">
            <w:pPr>
              <w:tabs>
                <w:tab w:val="right" w:pos="1202"/>
              </w:tabs>
              <w:suppressAutoHyphens w:val="0"/>
              <w:autoSpaceDN/>
              <w:spacing w:line="301" w:lineRule="exact"/>
              <w:outlineLvl w:val="0"/>
              <w:rPr>
                <w:rFonts w:ascii="Arial" w:hAnsi="Arial" w:cs="Arial"/>
                <w:color w:val="000000"/>
                <w:sz w:val="18"/>
                <w:szCs w:val="18"/>
              </w:rPr>
            </w:pPr>
            <w:r w:rsidRPr="00587444">
              <w:rPr>
                <w:rFonts w:ascii="Arial" w:hAnsi="Arial" w:cs="Arial"/>
                <w:sz w:val="18"/>
                <w:szCs w:val="18"/>
              </w:rPr>
              <w:t xml:space="preserve">16,634,493 </w:t>
            </w:r>
          </w:p>
        </w:tc>
        <w:tc>
          <w:tcPr>
            <w:tcW w:w="1429" w:type="dxa"/>
            <w:vAlign w:val="bottom"/>
          </w:tcPr>
          <w:p w14:paraId="0737C69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16,634,493 </w:t>
            </w:r>
          </w:p>
        </w:tc>
        <w:tc>
          <w:tcPr>
            <w:tcW w:w="1559" w:type="dxa"/>
            <w:tcBorders>
              <w:top w:val="nil"/>
              <w:left w:val="nil"/>
              <w:bottom w:val="nil"/>
              <w:right w:val="nil"/>
            </w:tcBorders>
            <w:shd w:val="clear" w:color="auto" w:fill="auto"/>
            <w:vAlign w:val="bottom"/>
          </w:tcPr>
          <w:p w14:paraId="01CAD2A6"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16,115,237</w:t>
            </w:r>
          </w:p>
        </w:tc>
      </w:tr>
      <w:tr w:rsidR="00587444" w:rsidRPr="00587444" w14:paraId="2E4E4EC7" w14:textId="77777777" w:rsidTr="00DD69E7">
        <w:trPr>
          <w:trHeight w:val="411"/>
        </w:trPr>
        <w:tc>
          <w:tcPr>
            <w:tcW w:w="3413" w:type="dxa"/>
            <w:vAlign w:val="bottom"/>
          </w:tcPr>
          <w:p w14:paraId="5CC70C08" w14:textId="77777777" w:rsidR="00587444" w:rsidRPr="00587444" w:rsidRDefault="00587444" w:rsidP="00587444">
            <w:pPr>
              <w:tabs>
                <w:tab w:val="right" w:pos="1202"/>
              </w:tabs>
              <w:suppressAutoHyphens w:val="0"/>
              <w:autoSpaceDN/>
              <w:outlineLvl w:val="0"/>
              <w:rPr>
                <w:rFonts w:ascii="Arial" w:eastAsia="Calibri" w:hAnsi="Arial" w:cs="Arial"/>
                <w:sz w:val="18"/>
                <w:szCs w:val="18"/>
              </w:rPr>
            </w:pPr>
          </w:p>
        </w:tc>
        <w:tc>
          <w:tcPr>
            <w:tcW w:w="1043" w:type="dxa"/>
            <w:tcBorders>
              <w:top w:val="single" w:sz="4" w:space="0" w:color="auto"/>
              <w:left w:val="nil"/>
              <w:bottom w:val="single" w:sz="8" w:space="0" w:color="auto"/>
              <w:right w:val="nil"/>
            </w:tcBorders>
            <w:shd w:val="clear" w:color="auto" w:fill="auto"/>
            <w:vAlign w:val="bottom"/>
          </w:tcPr>
          <w:p w14:paraId="5B256CC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b/>
                <w:bCs/>
                <w:sz w:val="18"/>
                <w:szCs w:val="18"/>
              </w:rPr>
              <w:t xml:space="preserve"> - </w:t>
            </w:r>
          </w:p>
        </w:tc>
        <w:tc>
          <w:tcPr>
            <w:tcW w:w="1043" w:type="dxa"/>
            <w:tcBorders>
              <w:top w:val="single" w:sz="4" w:space="0" w:color="auto"/>
              <w:left w:val="nil"/>
              <w:bottom w:val="single" w:sz="8" w:space="0" w:color="auto"/>
              <w:right w:val="nil"/>
            </w:tcBorders>
            <w:shd w:val="clear" w:color="auto" w:fill="auto"/>
            <w:vAlign w:val="bottom"/>
          </w:tcPr>
          <w:p w14:paraId="45CB721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b/>
                <w:bCs/>
                <w:sz w:val="18"/>
                <w:szCs w:val="18"/>
              </w:rPr>
              <w:t xml:space="preserve"> 960,541 </w:t>
            </w:r>
          </w:p>
        </w:tc>
        <w:tc>
          <w:tcPr>
            <w:tcW w:w="1134" w:type="dxa"/>
            <w:tcBorders>
              <w:top w:val="single" w:sz="4" w:space="0" w:color="auto"/>
              <w:left w:val="nil"/>
              <w:bottom w:val="single" w:sz="8" w:space="0" w:color="auto"/>
              <w:right w:val="nil"/>
            </w:tcBorders>
            <w:shd w:val="clear" w:color="auto" w:fill="auto"/>
            <w:vAlign w:val="bottom"/>
          </w:tcPr>
          <w:p w14:paraId="28E423F0" w14:textId="77777777" w:rsidR="00587444" w:rsidRPr="00587444" w:rsidRDefault="00587444" w:rsidP="00587444">
            <w:pPr>
              <w:tabs>
                <w:tab w:val="right" w:pos="1202"/>
              </w:tabs>
              <w:suppressAutoHyphens w:val="0"/>
              <w:autoSpaceDN/>
              <w:spacing w:line="301" w:lineRule="exact"/>
              <w:outlineLvl w:val="0"/>
              <w:rPr>
                <w:rFonts w:ascii="Arial" w:hAnsi="Arial" w:cs="Arial"/>
                <w:color w:val="000000"/>
                <w:sz w:val="18"/>
                <w:szCs w:val="18"/>
              </w:rPr>
            </w:pPr>
            <w:r w:rsidRPr="00587444">
              <w:rPr>
                <w:rFonts w:ascii="Arial" w:hAnsi="Arial" w:cs="Arial"/>
                <w:b/>
                <w:bCs/>
                <w:sz w:val="18"/>
                <w:szCs w:val="18"/>
              </w:rPr>
              <w:t xml:space="preserve">16,634,493 </w:t>
            </w:r>
          </w:p>
        </w:tc>
        <w:tc>
          <w:tcPr>
            <w:tcW w:w="1429" w:type="dxa"/>
            <w:tcBorders>
              <w:top w:val="single" w:sz="4" w:space="0" w:color="auto"/>
              <w:left w:val="nil"/>
              <w:bottom w:val="single" w:sz="8" w:space="0" w:color="auto"/>
              <w:right w:val="nil"/>
            </w:tcBorders>
            <w:shd w:val="clear" w:color="auto" w:fill="auto"/>
            <w:vAlign w:val="bottom"/>
          </w:tcPr>
          <w:p w14:paraId="53436A4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b/>
                <w:bCs/>
                <w:sz w:val="18"/>
                <w:szCs w:val="18"/>
              </w:rPr>
              <w:t xml:space="preserve"> 17,595,034 </w:t>
            </w:r>
          </w:p>
        </w:tc>
        <w:tc>
          <w:tcPr>
            <w:tcW w:w="1559" w:type="dxa"/>
            <w:tcBorders>
              <w:top w:val="single" w:sz="4" w:space="0" w:color="auto"/>
              <w:left w:val="nil"/>
              <w:bottom w:val="single" w:sz="8" w:space="0" w:color="auto"/>
              <w:right w:val="nil"/>
            </w:tcBorders>
            <w:shd w:val="clear" w:color="auto" w:fill="auto"/>
            <w:vAlign w:val="bottom"/>
          </w:tcPr>
          <w:p w14:paraId="5C51198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b/>
                <w:bCs/>
                <w:sz w:val="18"/>
                <w:szCs w:val="18"/>
              </w:rPr>
              <w:t xml:space="preserve"> 17,075,778 </w:t>
            </w:r>
          </w:p>
        </w:tc>
      </w:tr>
    </w:tbl>
    <w:p w14:paraId="0D30FB3E" w14:textId="77777777" w:rsidR="00587444" w:rsidRPr="00587444" w:rsidRDefault="00587444" w:rsidP="00587444">
      <w:pPr>
        <w:tabs>
          <w:tab w:val="left" w:pos="709"/>
        </w:tabs>
        <w:suppressAutoHyphens w:val="0"/>
        <w:autoSpaceDN/>
        <w:jc w:val="both"/>
        <w:rPr>
          <w:rFonts w:ascii="Arial" w:hAnsi="Arial" w:cs="Arial"/>
          <w:b/>
          <w:sz w:val="20"/>
          <w:szCs w:val="20"/>
        </w:rPr>
      </w:pPr>
    </w:p>
    <w:p w14:paraId="2B232FEC" w14:textId="77777777" w:rsidR="00587444" w:rsidRPr="00587444" w:rsidRDefault="00587444" w:rsidP="00587444">
      <w:pPr>
        <w:suppressAutoHyphens w:val="0"/>
        <w:autoSpaceDN/>
        <w:rPr>
          <w:rFonts w:ascii="Arial" w:hAnsi="Arial" w:cs="Arial"/>
          <w:b/>
          <w:spacing w:val="-3"/>
          <w:sz w:val="20"/>
          <w:szCs w:val="20"/>
          <w:lang w:val="en-GB"/>
        </w:rPr>
      </w:pPr>
    </w:p>
    <w:p w14:paraId="7FF245A0"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0C66039D"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40A55482"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sectPr w:rsidR="00587444" w:rsidRPr="00587444" w:rsidSect="00DD69E7">
          <w:pgSz w:w="11907" w:h="16840" w:code="9"/>
          <w:pgMar w:top="1418" w:right="1134" w:bottom="1134" w:left="1418" w:header="851" w:footer="851" w:gutter="0"/>
          <w:cols w:space="720"/>
          <w:noEndnote/>
        </w:sectPr>
      </w:pPr>
    </w:p>
    <w:p w14:paraId="21A7DB17" w14:textId="77777777" w:rsidR="00587444" w:rsidRPr="00587444" w:rsidRDefault="00587444" w:rsidP="0073106F">
      <w:pPr>
        <w:tabs>
          <w:tab w:val="left" w:pos="709"/>
        </w:tabs>
        <w:autoSpaceDN/>
        <w:jc w:val="both"/>
        <w:rPr>
          <w:rFonts w:ascii="Arial" w:hAnsi="Arial" w:cs="Arial"/>
          <w:b/>
          <w:spacing w:val="-3"/>
          <w:sz w:val="20"/>
          <w:szCs w:val="20"/>
          <w:lang w:val="en-GB"/>
        </w:rPr>
      </w:pPr>
    </w:p>
    <w:p w14:paraId="3F8CCF5B" w14:textId="77777777" w:rsidR="00587444" w:rsidRPr="00587444" w:rsidRDefault="00587444" w:rsidP="0073106F">
      <w:pPr>
        <w:keepNext/>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33.</w:t>
      </w:r>
      <w:r w:rsidRPr="00587444">
        <w:rPr>
          <w:rFonts w:ascii="Arial" w:hAnsi="Arial" w:cs="Arial"/>
          <w:b/>
          <w:bCs/>
          <w:spacing w:val="-3"/>
          <w:sz w:val="20"/>
          <w:szCs w:val="20"/>
          <w:lang w:val="en-GB"/>
        </w:rPr>
        <w:tab/>
        <w:t>Reporting by segments</w:t>
      </w:r>
    </w:p>
    <w:p w14:paraId="17FBB346" w14:textId="77777777" w:rsidR="00587444" w:rsidRPr="00587444" w:rsidRDefault="00587444" w:rsidP="0073106F">
      <w:pPr>
        <w:tabs>
          <w:tab w:val="left" w:pos="709"/>
        </w:tabs>
        <w:autoSpaceDN/>
        <w:jc w:val="both"/>
        <w:rPr>
          <w:rFonts w:ascii="Arial" w:hAnsi="Arial" w:cs="Arial"/>
          <w:b/>
          <w:sz w:val="20"/>
          <w:szCs w:val="20"/>
          <w:lang w:val="en-GB"/>
        </w:rPr>
      </w:pPr>
    </w:p>
    <w:p w14:paraId="2E193669"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 xml:space="preserve">General information on segments is given in relation to business segments of the Group. </w:t>
      </w:r>
    </w:p>
    <w:p w14:paraId="1849138B"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Since the Group does not allocate administrative costs and interest by segments, the profitability of segments is not presented.</w:t>
      </w:r>
    </w:p>
    <w:p w14:paraId="467F7437" w14:textId="77777777" w:rsidR="00587444" w:rsidRPr="00587444" w:rsidRDefault="00587444" w:rsidP="0073106F">
      <w:pPr>
        <w:autoSpaceDN/>
        <w:jc w:val="both"/>
        <w:rPr>
          <w:rFonts w:ascii="Arial" w:hAnsi="Arial" w:cs="Arial"/>
          <w:sz w:val="20"/>
          <w:szCs w:val="20"/>
          <w:lang w:val="en-GB"/>
        </w:rPr>
      </w:pPr>
    </w:p>
    <w:p w14:paraId="229A4F14"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 xml:space="preserve">Assets and liabilities by segments are presented in net terms, </w:t>
      </w:r>
      <w:proofErr w:type="gramStart"/>
      <w:r w:rsidRPr="00587444">
        <w:rPr>
          <w:rFonts w:ascii="Arial" w:hAnsi="Arial" w:cs="Arial"/>
          <w:sz w:val="20"/>
          <w:szCs w:val="20"/>
          <w:lang w:val="en-GB"/>
        </w:rPr>
        <w:t>i.e.</w:t>
      </w:r>
      <w:proofErr w:type="gramEnd"/>
      <w:r w:rsidRPr="00587444">
        <w:rPr>
          <w:rFonts w:ascii="Arial" w:hAnsi="Arial" w:cs="Arial"/>
          <w:sz w:val="20"/>
          <w:szCs w:val="20"/>
          <w:lang w:val="en-GB"/>
        </w:rPr>
        <w:t xml:space="preserve"> gross after impairment and provisioning, and before the effect of mitigation through collateral received.</w:t>
      </w:r>
    </w:p>
    <w:p w14:paraId="14D877BA" w14:textId="77777777" w:rsidR="00587444" w:rsidRPr="00587444" w:rsidRDefault="00587444" w:rsidP="0073106F">
      <w:pPr>
        <w:autoSpaceDN/>
        <w:jc w:val="both"/>
        <w:rPr>
          <w:rFonts w:ascii="Arial" w:hAnsi="Arial" w:cs="Arial"/>
          <w:sz w:val="20"/>
          <w:szCs w:val="20"/>
          <w:lang w:val="en-GB"/>
        </w:rPr>
      </w:pPr>
    </w:p>
    <w:p w14:paraId="4F75DCA8"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 xml:space="preserve">Business operations of segments are divided in terms of organisation and management. Each segment </w:t>
      </w:r>
      <w:proofErr w:type="gramStart"/>
      <w:r w:rsidRPr="00587444">
        <w:rPr>
          <w:rFonts w:ascii="Arial" w:hAnsi="Arial" w:cs="Arial"/>
          <w:sz w:val="20"/>
          <w:szCs w:val="20"/>
          <w:lang w:val="en-GB"/>
        </w:rPr>
        <w:t>as a whole provides</w:t>
      </w:r>
      <w:proofErr w:type="gramEnd"/>
      <w:r w:rsidRPr="00587444">
        <w:rPr>
          <w:rFonts w:ascii="Arial" w:hAnsi="Arial" w:cs="Arial"/>
          <w:sz w:val="20"/>
          <w:szCs w:val="20"/>
          <w:lang w:val="en-GB"/>
        </w:rPr>
        <w:t xml:space="preserve"> various products and services and operates in various markets.</w:t>
      </w:r>
    </w:p>
    <w:p w14:paraId="779EFACF" w14:textId="77777777" w:rsidR="00587444" w:rsidRPr="00587444" w:rsidRDefault="00587444" w:rsidP="0073106F">
      <w:pPr>
        <w:autoSpaceDN/>
        <w:jc w:val="both"/>
        <w:rPr>
          <w:rFonts w:ascii="Arial" w:hAnsi="Arial" w:cs="Arial"/>
          <w:sz w:val="20"/>
          <w:szCs w:val="20"/>
          <w:lang w:val="en-GB"/>
        </w:rPr>
      </w:pPr>
    </w:p>
    <w:p w14:paraId="2908D8FA" w14:textId="77777777" w:rsidR="00587444" w:rsidRPr="00587444" w:rsidRDefault="00587444" w:rsidP="0073106F">
      <w:pPr>
        <w:autoSpaceDN/>
        <w:jc w:val="both"/>
        <w:rPr>
          <w:rFonts w:ascii="Arial" w:hAnsi="Arial" w:cs="Arial"/>
          <w:b/>
          <w:sz w:val="20"/>
          <w:szCs w:val="20"/>
          <w:lang w:val="en-GB"/>
        </w:rPr>
      </w:pPr>
      <w:r w:rsidRPr="00587444">
        <w:rPr>
          <w:rFonts w:ascii="Arial" w:hAnsi="Arial" w:cs="Arial"/>
          <w:b/>
          <w:sz w:val="20"/>
          <w:szCs w:val="20"/>
          <w:lang w:val="en-GB"/>
        </w:rPr>
        <w:t>Business segments:</w:t>
      </w:r>
    </w:p>
    <w:p w14:paraId="5378B960" w14:textId="77777777" w:rsidR="00587444" w:rsidRPr="00587444" w:rsidRDefault="00587444" w:rsidP="0073106F">
      <w:pPr>
        <w:autoSpaceDN/>
        <w:jc w:val="both"/>
        <w:rPr>
          <w:rFonts w:ascii="Arial" w:hAnsi="Arial" w:cs="Arial"/>
          <w:b/>
          <w:sz w:val="20"/>
          <w:szCs w:val="20"/>
          <w:lang w:val="en-GB"/>
        </w:rPr>
      </w:pPr>
    </w:p>
    <w:p w14:paraId="596C6773"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The Group has following business segments:</w:t>
      </w:r>
    </w:p>
    <w:p w14:paraId="2EC97CDF" w14:textId="77777777" w:rsidR="00587444" w:rsidRPr="00587444" w:rsidRDefault="00587444" w:rsidP="0073106F">
      <w:pPr>
        <w:autoSpaceDN/>
        <w:jc w:val="both"/>
        <w:rPr>
          <w:rFonts w:ascii="Arial" w:hAnsi="Arial" w:cs="Arial"/>
          <w:sz w:val="20"/>
          <w:szCs w:val="20"/>
          <w:lang w:val="en-GB"/>
        </w:rPr>
      </w:pPr>
    </w:p>
    <w:tbl>
      <w:tblPr>
        <w:tblW w:w="9356" w:type="dxa"/>
        <w:tblLook w:val="01E0" w:firstRow="1" w:lastRow="1" w:firstColumn="1" w:lastColumn="1" w:noHBand="0" w:noVBand="0"/>
      </w:tblPr>
      <w:tblGrid>
        <w:gridCol w:w="2977"/>
        <w:gridCol w:w="284"/>
        <w:gridCol w:w="6095"/>
      </w:tblGrid>
      <w:tr w:rsidR="00587444" w:rsidRPr="00587444" w14:paraId="4CEBE83E" w14:textId="77777777" w:rsidTr="00DD69E7">
        <w:tc>
          <w:tcPr>
            <w:tcW w:w="2977" w:type="dxa"/>
            <w:shd w:val="clear" w:color="auto" w:fill="auto"/>
          </w:tcPr>
          <w:p w14:paraId="02C8458A" w14:textId="77777777" w:rsidR="00587444" w:rsidRPr="00587444" w:rsidRDefault="00587444" w:rsidP="0073106F">
            <w:pPr>
              <w:autoSpaceDN/>
              <w:jc w:val="both"/>
              <w:rPr>
                <w:rFonts w:ascii="Arial" w:hAnsi="Arial" w:cs="Arial"/>
                <w:b/>
                <w:sz w:val="20"/>
                <w:szCs w:val="20"/>
                <w:lang w:val="en-GB"/>
              </w:rPr>
            </w:pPr>
            <w:r w:rsidRPr="00587444">
              <w:rPr>
                <w:rFonts w:ascii="Arial" w:hAnsi="Arial" w:cs="Arial"/>
                <w:b/>
                <w:sz w:val="20"/>
                <w:szCs w:val="20"/>
                <w:lang w:val="en-GB"/>
              </w:rPr>
              <w:t>Segment:</w:t>
            </w:r>
          </w:p>
        </w:tc>
        <w:tc>
          <w:tcPr>
            <w:tcW w:w="284" w:type="dxa"/>
            <w:shd w:val="clear" w:color="auto" w:fill="auto"/>
          </w:tcPr>
          <w:p w14:paraId="58208065" w14:textId="77777777" w:rsidR="00587444" w:rsidRPr="00587444" w:rsidRDefault="00587444" w:rsidP="0073106F">
            <w:pPr>
              <w:autoSpaceDN/>
              <w:jc w:val="both"/>
              <w:rPr>
                <w:rFonts w:ascii="Arial" w:hAnsi="Arial" w:cs="Arial"/>
                <w:b/>
                <w:sz w:val="20"/>
                <w:szCs w:val="20"/>
                <w:lang w:val="en-GB"/>
              </w:rPr>
            </w:pPr>
          </w:p>
        </w:tc>
        <w:tc>
          <w:tcPr>
            <w:tcW w:w="6095" w:type="dxa"/>
            <w:shd w:val="clear" w:color="auto" w:fill="auto"/>
          </w:tcPr>
          <w:p w14:paraId="71EA848C" w14:textId="77777777" w:rsidR="00587444" w:rsidRPr="00587444" w:rsidRDefault="00587444" w:rsidP="0073106F">
            <w:pPr>
              <w:autoSpaceDN/>
              <w:jc w:val="both"/>
              <w:rPr>
                <w:rFonts w:ascii="Arial" w:hAnsi="Arial" w:cs="Arial"/>
                <w:b/>
                <w:sz w:val="20"/>
                <w:szCs w:val="20"/>
                <w:lang w:val="en-GB" w:eastAsia="hr-HR"/>
              </w:rPr>
            </w:pPr>
            <w:r w:rsidRPr="00587444">
              <w:rPr>
                <w:rFonts w:ascii="Arial" w:hAnsi="Arial" w:cs="Arial"/>
                <w:b/>
                <w:sz w:val="20"/>
                <w:szCs w:val="20"/>
                <w:lang w:val="en-GB" w:eastAsia="hr-HR"/>
              </w:rPr>
              <w:t>Business activities of the segment include:</w:t>
            </w:r>
          </w:p>
        </w:tc>
      </w:tr>
      <w:tr w:rsidR="00587444" w:rsidRPr="00587444" w14:paraId="68F55C2E" w14:textId="77777777" w:rsidTr="00DD69E7">
        <w:tc>
          <w:tcPr>
            <w:tcW w:w="2977" w:type="dxa"/>
            <w:shd w:val="clear" w:color="auto" w:fill="auto"/>
          </w:tcPr>
          <w:p w14:paraId="11397642" w14:textId="77777777" w:rsidR="00587444" w:rsidRPr="00587444" w:rsidRDefault="00587444" w:rsidP="0073106F">
            <w:pPr>
              <w:autoSpaceDN/>
              <w:jc w:val="both"/>
              <w:rPr>
                <w:rFonts w:ascii="Arial" w:hAnsi="Arial" w:cs="Arial"/>
                <w:sz w:val="20"/>
                <w:szCs w:val="20"/>
                <w:lang w:val="en-GB"/>
              </w:rPr>
            </w:pPr>
          </w:p>
        </w:tc>
        <w:tc>
          <w:tcPr>
            <w:tcW w:w="284" w:type="dxa"/>
            <w:shd w:val="clear" w:color="auto" w:fill="auto"/>
          </w:tcPr>
          <w:p w14:paraId="647A6C62" w14:textId="77777777" w:rsidR="00587444" w:rsidRPr="00587444" w:rsidRDefault="00587444" w:rsidP="0073106F">
            <w:pPr>
              <w:autoSpaceDN/>
              <w:jc w:val="both"/>
              <w:rPr>
                <w:rFonts w:ascii="Arial" w:hAnsi="Arial" w:cs="Arial"/>
                <w:sz w:val="20"/>
                <w:szCs w:val="20"/>
                <w:lang w:val="en-GB"/>
              </w:rPr>
            </w:pPr>
          </w:p>
        </w:tc>
        <w:tc>
          <w:tcPr>
            <w:tcW w:w="6095" w:type="dxa"/>
            <w:shd w:val="clear" w:color="auto" w:fill="auto"/>
          </w:tcPr>
          <w:p w14:paraId="479CE476" w14:textId="77777777" w:rsidR="00587444" w:rsidRPr="00587444" w:rsidRDefault="00587444" w:rsidP="0073106F">
            <w:pPr>
              <w:autoSpaceDN/>
              <w:jc w:val="both"/>
              <w:rPr>
                <w:rFonts w:ascii="Arial" w:hAnsi="Arial" w:cs="Arial"/>
                <w:sz w:val="20"/>
                <w:szCs w:val="20"/>
                <w:lang w:val="en-GB" w:eastAsia="hr-HR"/>
              </w:rPr>
            </w:pPr>
          </w:p>
        </w:tc>
      </w:tr>
      <w:tr w:rsidR="00587444" w:rsidRPr="00587444" w14:paraId="43ABEDE2" w14:textId="77777777" w:rsidTr="00DD69E7">
        <w:tc>
          <w:tcPr>
            <w:tcW w:w="2977" w:type="dxa"/>
            <w:shd w:val="clear" w:color="auto" w:fill="auto"/>
          </w:tcPr>
          <w:p w14:paraId="27DE3E55"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Banking activities</w:t>
            </w:r>
          </w:p>
        </w:tc>
        <w:tc>
          <w:tcPr>
            <w:tcW w:w="284" w:type="dxa"/>
            <w:shd w:val="clear" w:color="auto" w:fill="auto"/>
          </w:tcPr>
          <w:p w14:paraId="140A12C1" w14:textId="77777777" w:rsidR="00587444" w:rsidRPr="00587444" w:rsidRDefault="00587444" w:rsidP="0073106F">
            <w:pPr>
              <w:autoSpaceDN/>
              <w:jc w:val="both"/>
              <w:rPr>
                <w:rFonts w:ascii="Arial" w:hAnsi="Arial" w:cs="Arial"/>
                <w:sz w:val="20"/>
                <w:szCs w:val="20"/>
                <w:lang w:val="en-GB"/>
              </w:rPr>
            </w:pPr>
          </w:p>
        </w:tc>
        <w:tc>
          <w:tcPr>
            <w:tcW w:w="6095" w:type="dxa"/>
            <w:shd w:val="clear" w:color="auto" w:fill="auto"/>
          </w:tcPr>
          <w:p w14:paraId="617E41B7" w14:textId="77777777" w:rsidR="00587444" w:rsidRPr="00587444" w:rsidRDefault="00587444" w:rsidP="0073106F">
            <w:pPr>
              <w:autoSpaceDN/>
              <w:jc w:val="both"/>
              <w:rPr>
                <w:rFonts w:ascii="Arial" w:hAnsi="Arial" w:cs="Arial"/>
                <w:sz w:val="20"/>
                <w:szCs w:val="20"/>
                <w:lang w:val="en-GB" w:eastAsia="hr-HR"/>
              </w:rPr>
            </w:pPr>
            <w:r w:rsidRPr="00587444">
              <w:rPr>
                <w:rFonts w:ascii="Arial" w:hAnsi="Arial" w:cs="Arial"/>
                <w:sz w:val="20"/>
                <w:szCs w:val="20"/>
                <w:lang w:val="en-GB" w:eastAsia="hr-HR"/>
              </w:rPr>
              <w:t>Financing reconstruction and development of the Croatian economy, financing of infrastructure, export promotion, support for the development of small and medium-sized companies, environmental protection, and export credit insurance of Croatian goods and services against non-market risks for and on behalf of the Republic of Croatia.</w:t>
            </w:r>
          </w:p>
        </w:tc>
      </w:tr>
      <w:tr w:rsidR="00587444" w:rsidRPr="00587444" w14:paraId="71F581AB" w14:textId="77777777" w:rsidTr="00DD69E7">
        <w:tc>
          <w:tcPr>
            <w:tcW w:w="2977" w:type="dxa"/>
            <w:shd w:val="clear" w:color="auto" w:fill="auto"/>
          </w:tcPr>
          <w:p w14:paraId="35D1E03A" w14:textId="77777777" w:rsidR="00587444" w:rsidRPr="00587444" w:rsidRDefault="00587444" w:rsidP="0073106F">
            <w:pPr>
              <w:autoSpaceDN/>
              <w:jc w:val="both"/>
              <w:rPr>
                <w:rFonts w:ascii="Arial" w:hAnsi="Arial" w:cs="Arial"/>
                <w:sz w:val="20"/>
                <w:szCs w:val="20"/>
                <w:lang w:val="en-GB"/>
              </w:rPr>
            </w:pPr>
          </w:p>
        </w:tc>
        <w:tc>
          <w:tcPr>
            <w:tcW w:w="284" w:type="dxa"/>
            <w:shd w:val="clear" w:color="auto" w:fill="auto"/>
          </w:tcPr>
          <w:p w14:paraId="4F93E4D7" w14:textId="77777777" w:rsidR="00587444" w:rsidRPr="00587444" w:rsidRDefault="00587444" w:rsidP="0073106F">
            <w:pPr>
              <w:autoSpaceDN/>
              <w:jc w:val="both"/>
              <w:rPr>
                <w:rFonts w:ascii="Arial" w:hAnsi="Arial" w:cs="Arial"/>
                <w:sz w:val="20"/>
                <w:szCs w:val="20"/>
                <w:lang w:val="en-GB"/>
              </w:rPr>
            </w:pPr>
          </w:p>
        </w:tc>
        <w:tc>
          <w:tcPr>
            <w:tcW w:w="6095" w:type="dxa"/>
            <w:shd w:val="clear" w:color="auto" w:fill="auto"/>
          </w:tcPr>
          <w:p w14:paraId="77BEE8CA" w14:textId="77777777" w:rsidR="00587444" w:rsidRPr="00587444" w:rsidRDefault="00587444" w:rsidP="0073106F">
            <w:pPr>
              <w:autoSpaceDN/>
              <w:jc w:val="both"/>
              <w:rPr>
                <w:rFonts w:ascii="Arial" w:hAnsi="Arial" w:cs="Arial"/>
                <w:sz w:val="20"/>
                <w:szCs w:val="20"/>
                <w:lang w:val="en-GB"/>
              </w:rPr>
            </w:pPr>
          </w:p>
        </w:tc>
      </w:tr>
      <w:tr w:rsidR="00587444" w:rsidRPr="00587444" w14:paraId="53E7C640" w14:textId="77777777" w:rsidTr="00DD69E7">
        <w:tc>
          <w:tcPr>
            <w:tcW w:w="2977" w:type="dxa"/>
            <w:shd w:val="clear" w:color="auto" w:fill="auto"/>
          </w:tcPr>
          <w:p w14:paraId="727C79B9"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Insurance activities</w:t>
            </w:r>
          </w:p>
        </w:tc>
        <w:tc>
          <w:tcPr>
            <w:tcW w:w="284" w:type="dxa"/>
            <w:shd w:val="clear" w:color="auto" w:fill="auto"/>
          </w:tcPr>
          <w:p w14:paraId="2C56B11C" w14:textId="77777777" w:rsidR="00587444" w:rsidRPr="00587444" w:rsidRDefault="00587444" w:rsidP="0073106F">
            <w:pPr>
              <w:autoSpaceDN/>
              <w:jc w:val="both"/>
              <w:rPr>
                <w:rFonts w:ascii="Arial" w:hAnsi="Arial" w:cs="Arial"/>
                <w:sz w:val="20"/>
                <w:szCs w:val="20"/>
                <w:lang w:val="en-GB"/>
              </w:rPr>
            </w:pPr>
          </w:p>
        </w:tc>
        <w:tc>
          <w:tcPr>
            <w:tcW w:w="6095" w:type="dxa"/>
            <w:shd w:val="clear" w:color="auto" w:fill="auto"/>
          </w:tcPr>
          <w:p w14:paraId="14D53F3D"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Insurance of foreign and domestic short-term receivables of business entities relating to deliveries of goods and services.</w:t>
            </w:r>
          </w:p>
        </w:tc>
      </w:tr>
      <w:tr w:rsidR="00587444" w:rsidRPr="00587444" w14:paraId="4DDDA90A" w14:textId="77777777" w:rsidTr="00DD69E7">
        <w:tc>
          <w:tcPr>
            <w:tcW w:w="2977" w:type="dxa"/>
            <w:shd w:val="clear" w:color="auto" w:fill="auto"/>
          </w:tcPr>
          <w:p w14:paraId="7DAD5CD6" w14:textId="77777777" w:rsidR="00587444" w:rsidRPr="00587444" w:rsidRDefault="00587444" w:rsidP="0073106F">
            <w:pPr>
              <w:autoSpaceDN/>
              <w:jc w:val="both"/>
              <w:rPr>
                <w:rFonts w:ascii="Arial" w:hAnsi="Arial" w:cs="Arial"/>
                <w:sz w:val="20"/>
                <w:szCs w:val="20"/>
                <w:lang w:val="en-GB"/>
              </w:rPr>
            </w:pPr>
          </w:p>
        </w:tc>
        <w:tc>
          <w:tcPr>
            <w:tcW w:w="284" w:type="dxa"/>
            <w:shd w:val="clear" w:color="auto" w:fill="auto"/>
          </w:tcPr>
          <w:p w14:paraId="7ECF8AE7" w14:textId="77777777" w:rsidR="00587444" w:rsidRPr="00587444" w:rsidRDefault="00587444" w:rsidP="0073106F">
            <w:pPr>
              <w:autoSpaceDN/>
              <w:jc w:val="both"/>
              <w:rPr>
                <w:rFonts w:ascii="Arial" w:hAnsi="Arial" w:cs="Arial"/>
                <w:sz w:val="20"/>
                <w:szCs w:val="20"/>
                <w:lang w:val="en-GB"/>
              </w:rPr>
            </w:pPr>
          </w:p>
        </w:tc>
        <w:tc>
          <w:tcPr>
            <w:tcW w:w="6095" w:type="dxa"/>
            <w:shd w:val="clear" w:color="auto" w:fill="auto"/>
          </w:tcPr>
          <w:p w14:paraId="7B10C836" w14:textId="77777777" w:rsidR="00587444" w:rsidRPr="00587444" w:rsidRDefault="00587444" w:rsidP="0073106F">
            <w:pPr>
              <w:autoSpaceDN/>
              <w:jc w:val="both"/>
              <w:rPr>
                <w:rFonts w:ascii="Arial" w:hAnsi="Arial" w:cs="Arial"/>
                <w:sz w:val="20"/>
                <w:szCs w:val="20"/>
                <w:lang w:val="en-GB"/>
              </w:rPr>
            </w:pPr>
          </w:p>
        </w:tc>
      </w:tr>
      <w:tr w:rsidR="00587444" w:rsidRPr="00587444" w14:paraId="2217F740" w14:textId="77777777" w:rsidTr="00DD69E7">
        <w:tc>
          <w:tcPr>
            <w:tcW w:w="2977" w:type="dxa"/>
            <w:shd w:val="clear" w:color="auto" w:fill="auto"/>
          </w:tcPr>
          <w:p w14:paraId="4BAAD45A"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Other</w:t>
            </w:r>
          </w:p>
        </w:tc>
        <w:tc>
          <w:tcPr>
            <w:tcW w:w="284" w:type="dxa"/>
            <w:shd w:val="clear" w:color="auto" w:fill="auto"/>
          </w:tcPr>
          <w:p w14:paraId="73A153DD" w14:textId="77777777" w:rsidR="00587444" w:rsidRPr="00587444" w:rsidRDefault="00587444" w:rsidP="0073106F">
            <w:pPr>
              <w:autoSpaceDN/>
              <w:jc w:val="both"/>
              <w:rPr>
                <w:rFonts w:ascii="Arial" w:hAnsi="Arial" w:cs="Arial"/>
                <w:sz w:val="20"/>
                <w:szCs w:val="20"/>
                <w:lang w:val="en-GB"/>
              </w:rPr>
            </w:pPr>
          </w:p>
        </w:tc>
        <w:tc>
          <w:tcPr>
            <w:tcW w:w="6095" w:type="dxa"/>
            <w:shd w:val="clear" w:color="auto" w:fill="auto"/>
          </w:tcPr>
          <w:p w14:paraId="0F1B36F4"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 xml:space="preserve">Preparation of analyses, credit risk assessment and providing information on creditworthiness. </w:t>
            </w:r>
          </w:p>
        </w:tc>
      </w:tr>
    </w:tbl>
    <w:p w14:paraId="0C75061B" w14:textId="77777777" w:rsidR="00587444" w:rsidRPr="00587444" w:rsidRDefault="00587444" w:rsidP="00587444">
      <w:pPr>
        <w:suppressAutoHyphens w:val="0"/>
        <w:autoSpaceDN/>
        <w:spacing w:before="120" w:line="300" w:lineRule="exact"/>
        <w:jc w:val="both"/>
        <w:rPr>
          <w:rFonts w:ascii="Arial" w:hAnsi="Arial" w:cs="Arial"/>
          <w:sz w:val="20"/>
          <w:szCs w:val="20"/>
          <w:highlight w:val="yellow"/>
          <w:lang w:val="en-GB"/>
        </w:rPr>
      </w:pPr>
    </w:p>
    <w:p w14:paraId="0077E19A" w14:textId="77777777" w:rsidR="00587444" w:rsidRPr="00587444" w:rsidRDefault="00587444" w:rsidP="00587444">
      <w:pPr>
        <w:suppressAutoHyphens w:val="0"/>
        <w:autoSpaceDN/>
        <w:spacing w:before="120" w:line="300" w:lineRule="exact"/>
        <w:jc w:val="both"/>
        <w:rPr>
          <w:rFonts w:ascii="Arial" w:hAnsi="Arial" w:cs="Arial"/>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12166F5F" w14:textId="77777777" w:rsidR="00587444" w:rsidRPr="00587444" w:rsidRDefault="00587444" w:rsidP="00587444">
      <w:pPr>
        <w:suppressAutoHyphens w:val="0"/>
        <w:autoSpaceDN/>
        <w:jc w:val="both"/>
        <w:rPr>
          <w:rFonts w:ascii="Arial" w:hAnsi="Arial" w:cs="Arial"/>
          <w:b/>
          <w:spacing w:val="-3"/>
          <w:sz w:val="20"/>
          <w:szCs w:val="20"/>
          <w:lang w:val="en-GB"/>
        </w:rPr>
      </w:pPr>
    </w:p>
    <w:p w14:paraId="01BB3941"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pacing w:val="-3"/>
          <w:sz w:val="20"/>
          <w:szCs w:val="20"/>
          <w:lang w:val="en-GB"/>
        </w:rPr>
        <w:t xml:space="preserve">33. </w:t>
      </w:r>
      <w:r w:rsidRPr="00587444">
        <w:rPr>
          <w:rFonts w:ascii="Arial" w:hAnsi="Arial" w:cs="Arial"/>
          <w:b/>
          <w:spacing w:val="-3"/>
          <w:sz w:val="20"/>
          <w:szCs w:val="20"/>
          <w:lang w:val="en-GB"/>
        </w:rPr>
        <w:tab/>
      </w:r>
      <w:r w:rsidRPr="00587444">
        <w:rPr>
          <w:rFonts w:ascii="Arial" w:hAnsi="Arial" w:cs="Arial"/>
          <w:b/>
          <w:sz w:val="20"/>
          <w:szCs w:val="20"/>
          <w:lang w:val="en-GB"/>
        </w:rPr>
        <w:t>Reporting by segments (continued)</w:t>
      </w:r>
    </w:p>
    <w:p w14:paraId="069011E6" w14:textId="77777777" w:rsidR="00587444" w:rsidRPr="00587444" w:rsidRDefault="00587444" w:rsidP="00587444">
      <w:pPr>
        <w:suppressAutoHyphens w:val="0"/>
        <w:autoSpaceDN/>
        <w:jc w:val="both"/>
        <w:rPr>
          <w:rFonts w:ascii="Arial" w:hAnsi="Arial" w:cs="Arial"/>
          <w:b/>
          <w:sz w:val="20"/>
          <w:szCs w:val="20"/>
          <w:lang w:val="en-GB"/>
        </w:rPr>
      </w:pPr>
    </w:p>
    <w:tbl>
      <w:tblPr>
        <w:tblpPr w:leftFromText="181" w:rightFromText="181" w:vertAnchor="text" w:horzAnchor="margin" w:tblpXSpec="center" w:tblpY="1"/>
        <w:tblW w:w="9639" w:type="dxa"/>
        <w:tblLayout w:type="fixed"/>
        <w:tblLook w:val="04A0" w:firstRow="1" w:lastRow="0" w:firstColumn="1" w:lastColumn="0" w:noHBand="0" w:noVBand="1"/>
      </w:tblPr>
      <w:tblGrid>
        <w:gridCol w:w="3369"/>
        <w:gridCol w:w="1275"/>
        <w:gridCol w:w="1418"/>
        <w:gridCol w:w="1134"/>
        <w:gridCol w:w="1309"/>
        <w:gridCol w:w="1134"/>
      </w:tblGrid>
      <w:tr w:rsidR="00587444" w:rsidRPr="00587444" w14:paraId="5F6D6A5A" w14:textId="77777777" w:rsidTr="00DD69E7">
        <w:trPr>
          <w:trHeight w:val="600"/>
        </w:trPr>
        <w:tc>
          <w:tcPr>
            <w:tcW w:w="3369" w:type="dxa"/>
            <w:tcBorders>
              <w:left w:val="nil"/>
              <w:right w:val="nil"/>
            </w:tcBorders>
            <w:shd w:val="clear" w:color="auto" w:fill="auto"/>
            <w:vAlign w:val="bottom"/>
          </w:tcPr>
          <w:p w14:paraId="600B64E2" w14:textId="77777777" w:rsidR="00587444" w:rsidRPr="00587444" w:rsidRDefault="00587444" w:rsidP="00587444">
            <w:pPr>
              <w:suppressAutoHyphens w:val="0"/>
              <w:autoSpaceDN/>
              <w:spacing w:line="300" w:lineRule="exact"/>
              <w:rPr>
                <w:rFonts w:ascii="Arial" w:hAnsi="Arial" w:cs="Arial"/>
                <w:b/>
                <w:bCs/>
                <w:sz w:val="18"/>
                <w:szCs w:val="18"/>
                <w:lang w:val="en-GB"/>
              </w:rPr>
            </w:pPr>
            <w:r w:rsidRPr="00587444">
              <w:rPr>
                <w:rFonts w:ascii="Arial" w:eastAsia="Calibri" w:hAnsi="Arial" w:cs="Arial"/>
                <w:b/>
                <w:bCs/>
                <w:noProof/>
                <w:sz w:val="18"/>
                <w:szCs w:val="18"/>
                <w:lang w:val="hr-HR"/>
              </w:rPr>
              <w:t>Jan 1 – Dec 31, 2022</w:t>
            </w:r>
          </w:p>
        </w:tc>
        <w:tc>
          <w:tcPr>
            <w:tcW w:w="1275" w:type="dxa"/>
            <w:tcBorders>
              <w:left w:val="nil"/>
              <w:right w:val="nil"/>
            </w:tcBorders>
            <w:shd w:val="clear" w:color="auto" w:fill="auto"/>
          </w:tcPr>
          <w:p w14:paraId="07CC17AF" w14:textId="77777777" w:rsidR="00943B2E"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Banking </w:t>
            </w:r>
          </w:p>
          <w:p w14:paraId="302A0D65" w14:textId="6B5DC7EF"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418" w:type="dxa"/>
            <w:tcBorders>
              <w:left w:val="nil"/>
              <w:right w:val="nil"/>
            </w:tcBorders>
            <w:shd w:val="clear" w:color="auto" w:fill="auto"/>
          </w:tcPr>
          <w:p w14:paraId="360F9B95" w14:textId="77777777" w:rsidR="00943B2E"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Insurance </w:t>
            </w:r>
          </w:p>
          <w:p w14:paraId="58509FBA" w14:textId="3BB551CB"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134" w:type="dxa"/>
            <w:tcBorders>
              <w:left w:val="nil"/>
              <w:right w:val="nil"/>
            </w:tcBorders>
            <w:shd w:val="clear" w:color="auto" w:fill="auto"/>
          </w:tcPr>
          <w:p w14:paraId="4C798637" w14:textId="77777777" w:rsidR="00943B2E"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Other </w:t>
            </w:r>
          </w:p>
          <w:p w14:paraId="280C79B7" w14:textId="0FD07DDF"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309" w:type="dxa"/>
            <w:tcBorders>
              <w:left w:val="nil"/>
              <w:right w:val="nil"/>
            </w:tcBorders>
            <w:shd w:val="clear" w:color="auto" w:fill="auto"/>
          </w:tcPr>
          <w:p w14:paraId="01A61E7A" w14:textId="77777777"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Unallocated</w:t>
            </w:r>
          </w:p>
        </w:tc>
        <w:tc>
          <w:tcPr>
            <w:tcW w:w="1134" w:type="dxa"/>
            <w:tcBorders>
              <w:left w:val="nil"/>
              <w:right w:val="nil"/>
            </w:tcBorders>
            <w:shd w:val="clear" w:color="auto" w:fill="auto"/>
          </w:tcPr>
          <w:p w14:paraId="5CEBDC40" w14:textId="77777777"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Total</w:t>
            </w:r>
          </w:p>
        </w:tc>
      </w:tr>
      <w:tr w:rsidR="00587444" w:rsidRPr="00587444" w14:paraId="1D605051" w14:textId="77777777" w:rsidTr="00DD69E7">
        <w:trPr>
          <w:trHeight w:val="59"/>
        </w:trPr>
        <w:tc>
          <w:tcPr>
            <w:tcW w:w="3369" w:type="dxa"/>
            <w:tcBorders>
              <w:left w:val="nil"/>
              <w:bottom w:val="nil"/>
              <w:right w:val="nil"/>
            </w:tcBorders>
            <w:shd w:val="clear" w:color="auto" w:fill="auto"/>
            <w:vAlign w:val="bottom"/>
          </w:tcPr>
          <w:p w14:paraId="0395E19B"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275" w:type="dxa"/>
            <w:tcBorders>
              <w:left w:val="nil"/>
              <w:bottom w:val="nil"/>
              <w:right w:val="nil"/>
            </w:tcBorders>
            <w:shd w:val="clear" w:color="auto" w:fill="auto"/>
            <w:noWrap/>
          </w:tcPr>
          <w:p w14:paraId="27FCA1CB" w14:textId="77777777" w:rsidR="00587444" w:rsidRPr="00587444" w:rsidRDefault="00587444" w:rsidP="00587444">
            <w:pPr>
              <w:suppressAutoHyphens w:val="0"/>
              <w:autoSpaceDN/>
              <w:spacing w:line="300" w:lineRule="exact"/>
              <w:jc w:val="right"/>
              <w:rPr>
                <w:rFonts w:ascii="Arial" w:hAnsi="Arial" w:cs="Arial"/>
                <w:b/>
                <w:sz w:val="18"/>
                <w:szCs w:val="18"/>
                <w:lang w:val="en-GB"/>
              </w:rPr>
            </w:pPr>
            <w:r w:rsidRPr="00587444">
              <w:rPr>
                <w:rFonts w:ascii="Arial" w:hAnsi="Arial" w:cs="Arial"/>
                <w:b/>
                <w:sz w:val="18"/>
                <w:szCs w:val="18"/>
                <w:lang w:val="en-GB"/>
              </w:rPr>
              <w:t>HRK '000</w:t>
            </w:r>
          </w:p>
        </w:tc>
        <w:tc>
          <w:tcPr>
            <w:tcW w:w="1418" w:type="dxa"/>
            <w:tcBorders>
              <w:left w:val="nil"/>
              <w:bottom w:val="nil"/>
              <w:right w:val="nil"/>
            </w:tcBorders>
            <w:shd w:val="clear" w:color="auto" w:fill="auto"/>
            <w:noWrap/>
          </w:tcPr>
          <w:p w14:paraId="21D7C236" w14:textId="77777777" w:rsidR="00587444" w:rsidRPr="00587444" w:rsidRDefault="00587444" w:rsidP="00587444">
            <w:pPr>
              <w:suppressAutoHyphens w:val="0"/>
              <w:autoSpaceDN/>
              <w:spacing w:line="300" w:lineRule="exact"/>
              <w:jc w:val="right"/>
              <w:rPr>
                <w:rFonts w:ascii="Arial" w:hAnsi="Arial" w:cs="Arial"/>
                <w:b/>
                <w:sz w:val="18"/>
                <w:szCs w:val="18"/>
                <w:lang w:val="en-GB"/>
              </w:rPr>
            </w:pPr>
            <w:r w:rsidRPr="00587444">
              <w:rPr>
                <w:rFonts w:ascii="Arial" w:hAnsi="Arial" w:cs="Arial"/>
                <w:b/>
                <w:sz w:val="18"/>
                <w:szCs w:val="18"/>
                <w:lang w:val="en-GB"/>
              </w:rPr>
              <w:t>HRK '000</w:t>
            </w:r>
          </w:p>
        </w:tc>
        <w:tc>
          <w:tcPr>
            <w:tcW w:w="1134" w:type="dxa"/>
            <w:tcBorders>
              <w:left w:val="nil"/>
              <w:bottom w:val="nil"/>
              <w:right w:val="nil"/>
            </w:tcBorders>
            <w:shd w:val="clear" w:color="auto" w:fill="auto"/>
            <w:noWrap/>
          </w:tcPr>
          <w:p w14:paraId="6D4266CF" w14:textId="77777777" w:rsidR="00587444" w:rsidRPr="00587444" w:rsidRDefault="00587444" w:rsidP="00587444">
            <w:pPr>
              <w:suppressAutoHyphens w:val="0"/>
              <w:autoSpaceDN/>
              <w:spacing w:line="300" w:lineRule="exact"/>
              <w:jc w:val="right"/>
              <w:rPr>
                <w:rFonts w:ascii="Arial" w:hAnsi="Arial" w:cs="Arial"/>
                <w:b/>
                <w:sz w:val="18"/>
                <w:szCs w:val="18"/>
                <w:lang w:val="en-GB"/>
              </w:rPr>
            </w:pPr>
            <w:r w:rsidRPr="00587444">
              <w:rPr>
                <w:rFonts w:ascii="Arial" w:hAnsi="Arial" w:cs="Arial"/>
                <w:b/>
                <w:sz w:val="18"/>
                <w:szCs w:val="18"/>
                <w:lang w:val="en-GB"/>
              </w:rPr>
              <w:t>HRK '000</w:t>
            </w:r>
          </w:p>
        </w:tc>
        <w:tc>
          <w:tcPr>
            <w:tcW w:w="1309" w:type="dxa"/>
            <w:tcBorders>
              <w:left w:val="nil"/>
              <w:bottom w:val="nil"/>
              <w:right w:val="nil"/>
            </w:tcBorders>
            <w:shd w:val="clear" w:color="auto" w:fill="auto"/>
            <w:noWrap/>
          </w:tcPr>
          <w:p w14:paraId="276F0132" w14:textId="77777777" w:rsidR="00587444" w:rsidRPr="00587444" w:rsidRDefault="00587444" w:rsidP="00587444">
            <w:pPr>
              <w:suppressAutoHyphens w:val="0"/>
              <w:autoSpaceDN/>
              <w:spacing w:line="300" w:lineRule="exact"/>
              <w:jc w:val="right"/>
              <w:rPr>
                <w:rFonts w:ascii="Arial" w:hAnsi="Arial" w:cs="Arial"/>
                <w:b/>
                <w:sz w:val="18"/>
                <w:szCs w:val="18"/>
                <w:lang w:val="en-GB"/>
              </w:rPr>
            </w:pPr>
            <w:r w:rsidRPr="00587444">
              <w:rPr>
                <w:rFonts w:ascii="Arial" w:hAnsi="Arial" w:cs="Arial"/>
                <w:b/>
                <w:sz w:val="18"/>
                <w:szCs w:val="18"/>
                <w:lang w:val="en-GB"/>
              </w:rPr>
              <w:t>HRK '000</w:t>
            </w:r>
          </w:p>
        </w:tc>
        <w:tc>
          <w:tcPr>
            <w:tcW w:w="1134" w:type="dxa"/>
            <w:tcBorders>
              <w:left w:val="nil"/>
              <w:bottom w:val="nil"/>
              <w:right w:val="nil"/>
            </w:tcBorders>
            <w:shd w:val="clear" w:color="auto" w:fill="auto"/>
            <w:noWrap/>
          </w:tcPr>
          <w:p w14:paraId="688DA784" w14:textId="77777777" w:rsidR="00587444" w:rsidRPr="00587444" w:rsidRDefault="00587444" w:rsidP="00587444">
            <w:pPr>
              <w:suppressAutoHyphens w:val="0"/>
              <w:autoSpaceDN/>
              <w:spacing w:line="300" w:lineRule="exact"/>
              <w:jc w:val="right"/>
              <w:rPr>
                <w:rFonts w:ascii="Arial" w:hAnsi="Arial" w:cs="Arial"/>
                <w:b/>
                <w:sz w:val="18"/>
                <w:szCs w:val="18"/>
                <w:lang w:val="en-GB"/>
              </w:rPr>
            </w:pPr>
            <w:r w:rsidRPr="00587444">
              <w:rPr>
                <w:rFonts w:ascii="Arial" w:hAnsi="Arial" w:cs="Arial"/>
                <w:b/>
                <w:sz w:val="18"/>
                <w:szCs w:val="18"/>
                <w:lang w:val="en-GB"/>
              </w:rPr>
              <w:t>HRK '000</w:t>
            </w:r>
          </w:p>
        </w:tc>
      </w:tr>
      <w:tr w:rsidR="00587444" w:rsidRPr="00587444" w14:paraId="4A225CA0" w14:textId="77777777" w:rsidTr="00DD69E7">
        <w:trPr>
          <w:trHeight w:val="59"/>
        </w:trPr>
        <w:tc>
          <w:tcPr>
            <w:tcW w:w="3369" w:type="dxa"/>
            <w:tcBorders>
              <w:top w:val="nil"/>
              <w:left w:val="nil"/>
              <w:bottom w:val="nil"/>
              <w:right w:val="nil"/>
            </w:tcBorders>
            <w:shd w:val="clear" w:color="auto" w:fill="auto"/>
            <w:vAlign w:val="bottom"/>
          </w:tcPr>
          <w:p w14:paraId="12F5F358"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275" w:type="dxa"/>
            <w:tcBorders>
              <w:top w:val="nil"/>
              <w:left w:val="nil"/>
              <w:bottom w:val="nil"/>
              <w:right w:val="nil"/>
            </w:tcBorders>
            <w:shd w:val="clear" w:color="auto" w:fill="auto"/>
            <w:noWrap/>
            <w:vAlign w:val="bottom"/>
          </w:tcPr>
          <w:p w14:paraId="00852820"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418" w:type="dxa"/>
            <w:tcBorders>
              <w:top w:val="nil"/>
              <w:left w:val="nil"/>
              <w:bottom w:val="nil"/>
              <w:right w:val="nil"/>
            </w:tcBorders>
            <w:shd w:val="clear" w:color="auto" w:fill="auto"/>
            <w:noWrap/>
            <w:vAlign w:val="bottom"/>
          </w:tcPr>
          <w:p w14:paraId="0F610D19"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134" w:type="dxa"/>
            <w:tcBorders>
              <w:top w:val="nil"/>
              <w:left w:val="nil"/>
              <w:bottom w:val="nil"/>
              <w:right w:val="nil"/>
            </w:tcBorders>
            <w:shd w:val="clear" w:color="auto" w:fill="auto"/>
            <w:noWrap/>
            <w:vAlign w:val="bottom"/>
          </w:tcPr>
          <w:p w14:paraId="194037C6"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309" w:type="dxa"/>
            <w:tcBorders>
              <w:top w:val="nil"/>
              <w:left w:val="nil"/>
              <w:bottom w:val="nil"/>
              <w:right w:val="nil"/>
            </w:tcBorders>
            <w:shd w:val="clear" w:color="auto" w:fill="auto"/>
            <w:noWrap/>
            <w:vAlign w:val="bottom"/>
          </w:tcPr>
          <w:p w14:paraId="4FA8750B"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134" w:type="dxa"/>
            <w:tcBorders>
              <w:top w:val="nil"/>
              <w:left w:val="nil"/>
              <w:bottom w:val="nil"/>
              <w:right w:val="nil"/>
            </w:tcBorders>
            <w:shd w:val="clear" w:color="auto" w:fill="auto"/>
            <w:noWrap/>
            <w:vAlign w:val="bottom"/>
          </w:tcPr>
          <w:p w14:paraId="0C9EFB7B" w14:textId="77777777" w:rsidR="00587444" w:rsidRPr="00587444" w:rsidRDefault="00587444" w:rsidP="00587444">
            <w:pPr>
              <w:suppressAutoHyphens w:val="0"/>
              <w:autoSpaceDN/>
              <w:spacing w:line="140" w:lineRule="exact"/>
              <w:rPr>
                <w:rFonts w:ascii="Arial" w:hAnsi="Arial" w:cs="Arial"/>
                <w:sz w:val="18"/>
                <w:szCs w:val="18"/>
                <w:lang w:val="en-GB"/>
              </w:rPr>
            </w:pPr>
          </w:p>
        </w:tc>
      </w:tr>
      <w:tr w:rsidR="00587444" w:rsidRPr="00587444" w14:paraId="07ADB5E1" w14:textId="77777777" w:rsidTr="00DD69E7">
        <w:trPr>
          <w:trHeight w:val="300"/>
        </w:trPr>
        <w:tc>
          <w:tcPr>
            <w:tcW w:w="3369" w:type="dxa"/>
            <w:tcBorders>
              <w:top w:val="nil"/>
              <w:left w:val="nil"/>
              <w:bottom w:val="nil"/>
              <w:right w:val="nil"/>
            </w:tcBorders>
            <w:shd w:val="clear" w:color="auto" w:fill="auto"/>
            <w:vAlign w:val="bottom"/>
          </w:tcPr>
          <w:p w14:paraId="23482FC8"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interest income</w:t>
            </w:r>
          </w:p>
        </w:tc>
        <w:tc>
          <w:tcPr>
            <w:tcW w:w="1275" w:type="dxa"/>
            <w:shd w:val="clear" w:color="auto" w:fill="auto"/>
            <w:noWrap/>
            <w:vAlign w:val="bottom"/>
          </w:tcPr>
          <w:p w14:paraId="235DD457"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469,475 </w:t>
            </w:r>
          </w:p>
        </w:tc>
        <w:tc>
          <w:tcPr>
            <w:tcW w:w="1418" w:type="dxa"/>
            <w:shd w:val="clear" w:color="auto" w:fill="auto"/>
            <w:noWrap/>
            <w:vAlign w:val="bottom"/>
          </w:tcPr>
          <w:p w14:paraId="61A7C86C"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1,302 </w:t>
            </w:r>
          </w:p>
        </w:tc>
        <w:tc>
          <w:tcPr>
            <w:tcW w:w="1134" w:type="dxa"/>
            <w:shd w:val="clear" w:color="auto" w:fill="auto"/>
            <w:noWrap/>
            <w:vAlign w:val="bottom"/>
          </w:tcPr>
          <w:p w14:paraId="7CC0C7A0"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 </w:t>
            </w:r>
          </w:p>
        </w:tc>
        <w:tc>
          <w:tcPr>
            <w:tcW w:w="1309" w:type="dxa"/>
            <w:shd w:val="clear" w:color="auto" w:fill="auto"/>
            <w:noWrap/>
            <w:vAlign w:val="bottom"/>
          </w:tcPr>
          <w:p w14:paraId="0AB730A7"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w:t>
            </w:r>
          </w:p>
        </w:tc>
        <w:tc>
          <w:tcPr>
            <w:tcW w:w="1134" w:type="dxa"/>
            <w:shd w:val="clear" w:color="auto" w:fill="auto"/>
            <w:noWrap/>
            <w:vAlign w:val="bottom"/>
          </w:tcPr>
          <w:p w14:paraId="30D21CF5"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470,777 </w:t>
            </w:r>
          </w:p>
        </w:tc>
      </w:tr>
      <w:tr w:rsidR="00587444" w:rsidRPr="00587444" w14:paraId="57C58146" w14:textId="77777777" w:rsidTr="00DD69E7">
        <w:trPr>
          <w:trHeight w:val="300"/>
        </w:trPr>
        <w:tc>
          <w:tcPr>
            <w:tcW w:w="3369" w:type="dxa"/>
            <w:tcBorders>
              <w:top w:val="nil"/>
              <w:left w:val="nil"/>
              <w:bottom w:val="nil"/>
              <w:right w:val="nil"/>
            </w:tcBorders>
            <w:shd w:val="clear" w:color="auto" w:fill="auto"/>
            <w:vAlign w:val="bottom"/>
          </w:tcPr>
          <w:p w14:paraId="2E27282B"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fee income</w:t>
            </w:r>
          </w:p>
        </w:tc>
        <w:tc>
          <w:tcPr>
            <w:tcW w:w="1275" w:type="dxa"/>
            <w:shd w:val="clear" w:color="auto" w:fill="auto"/>
            <w:noWrap/>
            <w:vAlign w:val="bottom"/>
          </w:tcPr>
          <w:p w14:paraId="2F3CD2A3"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19,392 </w:t>
            </w:r>
          </w:p>
        </w:tc>
        <w:tc>
          <w:tcPr>
            <w:tcW w:w="1418" w:type="dxa"/>
            <w:shd w:val="clear" w:color="auto" w:fill="auto"/>
            <w:noWrap/>
            <w:vAlign w:val="bottom"/>
          </w:tcPr>
          <w:p w14:paraId="4B6988F6"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1,860 </w:t>
            </w:r>
          </w:p>
        </w:tc>
        <w:tc>
          <w:tcPr>
            <w:tcW w:w="1134" w:type="dxa"/>
            <w:shd w:val="clear" w:color="auto" w:fill="auto"/>
            <w:noWrap/>
            <w:vAlign w:val="bottom"/>
          </w:tcPr>
          <w:p w14:paraId="2AB825BA"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2,017 </w:t>
            </w:r>
          </w:p>
        </w:tc>
        <w:tc>
          <w:tcPr>
            <w:tcW w:w="1309" w:type="dxa"/>
            <w:shd w:val="clear" w:color="auto" w:fill="auto"/>
            <w:noWrap/>
            <w:vAlign w:val="bottom"/>
          </w:tcPr>
          <w:p w14:paraId="758C1AAC"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 </w:t>
            </w:r>
          </w:p>
        </w:tc>
        <w:tc>
          <w:tcPr>
            <w:tcW w:w="1134" w:type="dxa"/>
            <w:shd w:val="clear" w:color="auto" w:fill="auto"/>
            <w:noWrap/>
            <w:vAlign w:val="bottom"/>
          </w:tcPr>
          <w:p w14:paraId="1AE82AFA"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23,269 </w:t>
            </w:r>
          </w:p>
        </w:tc>
      </w:tr>
      <w:tr w:rsidR="00587444" w:rsidRPr="00587444" w14:paraId="64B2A61B" w14:textId="77777777" w:rsidTr="00DD69E7">
        <w:trPr>
          <w:trHeight w:val="280"/>
        </w:trPr>
        <w:tc>
          <w:tcPr>
            <w:tcW w:w="3369" w:type="dxa"/>
            <w:tcBorders>
              <w:top w:val="nil"/>
              <w:left w:val="nil"/>
              <w:bottom w:val="nil"/>
              <w:right w:val="nil"/>
            </w:tcBorders>
            <w:shd w:val="clear" w:color="auto" w:fill="auto"/>
            <w:vAlign w:val="bottom"/>
          </w:tcPr>
          <w:p w14:paraId="4EFD4D12"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 xml:space="preserve">Net income/(expenses) from financial operations </w:t>
            </w:r>
          </w:p>
        </w:tc>
        <w:tc>
          <w:tcPr>
            <w:tcW w:w="1275" w:type="dxa"/>
            <w:shd w:val="clear" w:color="auto" w:fill="auto"/>
            <w:noWrap/>
            <w:vAlign w:val="bottom"/>
          </w:tcPr>
          <w:p w14:paraId="668281EE" w14:textId="77777777" w:rsidR="00587444" w:rsidRPr="00587444" w:rsidRDefault="00587444" w:rsidP="00587444">
            <w:pPr>
              <w:suppressAutoHyphens w:val="0"/>
              <w:autoSpaceDN/>
              <w:spacing w:line="300" w:lineRule="exact"/>
              <w:jc w:val="right"/>
              <w:rPr>
                <w:rFonts w:ascii="Arial" w:hAnsi="Arial" w:cs="Arial"/>
                <w:sz w:val="18"/>
                <w:szCs w:val="18"/>
                <w:lang w:val="pl-PL"/>
              </w:rPr>
            </w:pPr>
            <w:r w:rsidRPr="00587444">
              <w:rPr>
                <w:rFonts w:ascii="Arial" w:hAnsi="Arial" w:cs="Arial"/>
                <w:color w:val="000000"/>
                <w:sz w:val="18"/>
                <w:szCs w:val="18"/>
                <w:lang w:val="hr-HR"/>
              </w:rPr>
              <w:t xml:space="preserve"> 16,725 </w:t>
            </w:r>
          </w:p>
        </w:tc>
        <w:tc>
          <w:tcPr>
            <w:tcW w:w="1418" w:type="dxa"/>
            <w:shd w:val="clear" w:color="auto" w:fill="auto"/>
            <w:noWrap/>
            <w:vAlign w:val="bottom"/>
          </w:tcPr>
          <w:p w14:paraId="37BF71DC"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43 </w:t>
            </w:r>
          </w:p>
        </w:tc>
        <w:tc>
          <w:tcPr>
            <w:tcW w:w="1134" w:type="dxa"/>
            <w:shd w:val="clear" w:color="auto" w:fill="auto"/>
            <w:noWrap/>
            <w:vAlign w:val="bottom"/>
          </w:tcPr>
          <w:p w14:paraId="467FDC10"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 </w:t>
            </w:r>
          </w:p>
        </w:tc>
        <w:tc>
          <w:tcPr>
            <w:tcW w:w="1309" w:type="dxa"/>
            <w:shd w:val="clear" w:color="auto" w:fill="auto"/>
            <w:noWrap/>
            <w:vAlign w:val="bottom"/>
          </w:tcPr>
          <w:p w14:paraId="322A352B"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 </w:t>
            </w:r>
          </w:p>
        </w:tc>
        <w:tc>
          <w:tcPr>
            <w:tcW w:w="1134" w:type="dxa"/>
            <w:shd w:val="clear" w:color="auto" w:fill="auto"/>
            <w:noWrap/>
            <w:vAlign w:val="bottom"/>
          </w:tcPr>
          <w:p w14:paraId="184686EB"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16,768 </w:t>
            </w:r>
          </w:p>
        </w:tc>
      </w:tr>
      <w:tr w:rsidR="00587444" w:rsidRPr="00587444" w14:paraId="4D183D98" w14:textId="77777777" w:rsidTr="00DD69E7">
        <w:trPr>
          <w:trHeight w:val="280"/>
        </w:trPr>
        <w:tc>
          <w:tcPr>
            <w:tcW w:w="3369" w:type="dxa"/>
            <w:tcBorders>
              <w:top w:val="nil"/>
              <w:left w:val="nil"/>
              <w:bottom w:val="nil"/>
              <w:right w:val="nil"/>
            </w:tcBorders>
            <w:shd w:val="clear" w:color="auto" w:fill="auto"/>
            <w:vAlign w:val="bottom"/>
          </w:tcPr>
          <w:p w14:paraId="349B579D"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Impairment gain</w:t>
            </w:r>
          </w:p>
        </w:tc>
        <w:tc>
          <w:tcPr>
            <w:tcW w:w="1275" w:type="dxa"/>
            <w:shd w:val="clear" w:color="auto" w:fill="auto"/>
            <w:noWrap/>
            <w:vAlign w:val="bottom"/>
          </w:tcPr>
          <w:p w14:paraId="467CFAE6" w14:textId="77777777" w:rsidR="00587444" w:rsidRPr="00587444" w:rsidRDefault="00587444" w:rsidP="00587444">
            <w:pPr>
              <w:suppressAutoHyphens w:val="0"/>
              <w:autoSpaceDN/>
              <w:spacing w:line="300" w:lineRule="exact"/>
              <w:jc w:val="right"/>
              <w:rPr>
                <w:rFonts w:ascii="Arial" w:hAnsi="Arial" w:cs="Arial"/>
                <w:sz w:val="18"/>
                <w:szCs w:val="18"/>
                <w:lang w:val="pl-PL"/>
              </w:rPr>
            </w:pPr>
            <w:r w:rsidRPr="00587444">
              <w:rPr>
                <w:rFonts w:ascii="Arial" w:hAnsi="Arial" w:cs="Arial"/>
                <w:color w:val="000000"/>
                <w:sz w:val="18"/>
                <w:szCs w:val="18"/>
                <w:lang w:val="hr-HR"/>
              </w:rPr>
              <w:t>-</w:t>
            </w:r>
          </w:p>
        </w:tc>
        <w:tc>
          <w:tcPr>
            <w:tcW w:w="1418" w:type="dxa"/>
            <w:shd w:val="clear" w:color="auto" w:fill="auto"/>
            <w:noWrap/>
            <w:vAlign w:val="bottom"/>
          </w:tcPr>
          <w:p w14:paraId="43B233BA"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135 </w:t>
            </w:r>
          </w:p>
        </w:tc>
        <w:tc>
          <w:tcPr>
            <w:tcW w:w="1134" w:type="dxa"/>
            <w:shd w:val="clear" w:color="auto" w:fill="auto"/>
            <w:noWrap/>
            <w:vAlign w:val="bottom"/>
          </w:tcPr>
          <w:p w14:paraId="26774F2C"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22 </w:t>
            </w:r>
          </w:p>
        </w:tc>
        <w:tc>
          <w:tcPr>
            <w:tcW w:w="1309" w:type="dxa"/>
            <w:shd w:val="clear" w:color="auto" w:fill="auto"/>
            <w:noWrap/>
            <w:vAlign w:val="bottom"/>
          </w:tcPr>
          <w:p w14:paraId="4A251457"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w:t>
            </w:r>
          </w:p>
        </w:tc>
        <w:tc>
          <w:tcPr>
            <w:tcW w:w="1134" w:type="dxa"/>
            <w:shd w:val="clear" w:color="auto" w:fill="auto"/>
            <w:noWrap/>
            <w:vAlign w:val="bottom"/>
          </w:tcPr>
          <w:p w14:paraId="0B8A20C8"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157 </w:t>
            </w:r>
          </w:p>
        </w:tc>
      </w:tr>
      <w:tr w:rsidR="00587444" w:rsidRPr="00587444" w14:paraId="4D8BDF1D" w14:textId="77777777" w:rsidTr="00DD69E7">
        <w:trPr>
          <w:trHeight w:val="300"/>
        </w:trPr>
        <w:tc>
          <w:tcPr>
            <w:tcW w:w="3369" w:type="dxa"/>
            <w:tcBorders>
              <w:top w:val="nil"/>
              <w:left w:val="nil"/>
              <w:bottom w:val="nil"/>
              <w:right w:val="nil"/>
            </w:tcBorders>
            <w:shd w:val="clear" w:color="auto" w:fill="auto"/>
            <w:vAlign w:val="bottom"/>
          </w:tcPr>
          <w:p w14:paraId="35FFDF1D"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premiums earned</w:t>
            </w:r>
          </w:p>
        </w:tc>
        <w:tc>
          <w:tcPr>
            <w:tcW w:w="1275" w:type="dxa"/>
            <w:shd w:val="clear" w:color="auto" w:fill="auto"/>
            <w:noWrap/>
            <w:vAlign w:val="bottom"/>
          </w:tcPr>
          <w:p w14:paraId="341F2EC8"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 </w:t>
            </w:r>
          </w:p>
        </w:tc>
        <w:tc>
          <w:tcPr>
            <w:tcW w:w="1418" w:type="dxa"/>
            <w:shd w:val="clear" w:color="auto" w:fill="auto"/>
            <w:noWrap/>
            <w:vAlign w:val="bottom"/>
          </w:tcPr>
          <w:p w14:paraId="2B5280EE"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10,925 </w:t>
            </w:r>
          </w:p>
        </w:tc>
        <w:tc>
          <w:tcPr>
            <w:tcW w:w="1134" w:type="dxa"/>
            <w:shd w:val="clear" w:color="auto" w:fill="auto"/>
            <w:noWrap/>
            <w:vAlign w:val="bottom"/>
          </w:tcPr>
          <w:p w14:paraId="1728EEE0"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w:t>
            </w:r>
          </w:p>
        </w:tc>
        <w:tc>
          <w:tcPr>
            <w:tcW w:w="1309" w:type="dxa"/>
            <w:shd w:val="clear" w:color="auto" w:fill="auto"/>
            <w:noWrap/>
            <w:vAlign w:val="bottom"/>
          </w:tcPr>
          <w:p w14:paraId="1860B4A2"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w:t>
            </w:r>
          </w:p>
        </w:tc>
        <w:tc>
          <w:tcPr>
            <w:tcW w:w="1134" w:type="dxa"/>
            <w:shd w:val="clear" w:color="auto" w:fill="auto"/>
            <w:noWrap/>
            <w:vAlign w:val="bottom"/>
          </w:tcPr>
          <w:p w14:paraId="50FE799A"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10,925 </w:t>
            </w:r>
          </w:p>
        </w:tc>
      </w:tr>
      <w:tr w:rsidR="00587444" w:rsidRPr="00587444" w14:paraId="18E5B5AA" w14:textId="77777777" w:rsidTr="00DD69E7">
        <w:trPr>
          <w:trHeight w:val="300"/>
        </w:trPr>
        <w:tc>
          <w:tcPr>
            <w:tcW w:w="3369" w:type="dxa"/>
            <w:tcBorders>
              <w:top w:val="nil"/>
              <w:left w:val="nil"/>
              <w:right w:val="nil"/>
            </w:tcBorders>
            <w:shd w:val="clear" w:color="auto" w:fill="auto"/>
            <w:vAlign w:val="bottom"/>
          </w:tcPr>
          <w:p w14:paraId="09FB3108"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Other income</w:t>
            </w:r>
          </w:p>
        </w:tc>
        <w:tc>
          <w:tcPr>
            <w:tcW w:w="1275" w:type="dxa"/>
            <w:tcBorders>
              <w:top w:val="nil"/>
              <w:left w:val="nil"/>
              <w:bottom w:val="single" w:sz="2" w:space="0" w:color="auto"/>
              <w:right w:val="nil"/>
            </w:tcBorders>
            <w:shd w:val="clear" w:color="auto" w:fill="auto"/>
            <w:noWrap/>
            <w:vAlign w:val="bottom"/>
          </w:tcPr>
          <w:p w14:paraId="0494BD0D"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14,163 </w:t>
            </w:r>
          </w:p>
        </w:tc>
        <w:tc>
          <w:tcPr>
            <w:tcW w:w="1418" w:type="dxa"/>
            <w:tcBorders>
              <w:top w:val="nil"/>
              <w:left w:val="nil"/>
              <w:bottom w:val="single" w:sz="2" w:space="0" w:color="auto"/>
              <w:right w:val="nil"/>
            </w:tcBorders>
            <w:shd w:val="clear" w:color="auto" w:fill="auto"/>
            <w:noWrap/>
            <w:vAlign w:val="bottom"/>
          </w:tcPr>
          <w:p w14:paraId="59255797"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62 </w:t>
            </w:r>
          </w:p>
        </w:tc>
        <w:tc>
          <w:tcPr>
            <w:tcW w:w="1134" w:type="dxa"/>
            <w:tcBorders>
              <w:top w:val="nil"/>
              <w:left w:val="nil"/>
              <w:bottom w:val="single" w:sz="2" w:space="0" w:color="auto"/>
              <w:right w:val="nil"/>
            </w:tcBorders>
            <w:shd w:val="clear" w:color="auto" w:fill="auto"/>
            <w:noWrap/>
            <w:vAlign w:val="bottom"/>
          </w:tcPr>
          <w:p w14:paraId="089E1AB8"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303 </w:t>
            </w:r>
          </w:p>
        </w:tc>
        <w:tc>
          <w:tcPr>
            <w:tcW w:w="1309" w:type="dxa"/>
            <w:tcBorders>
              <w:top w:val="nil"/>
              <w:left w:val="nil"/>
              <w:bottom w:val="single" w:sz="2" w:space="0" w:color="auto"/>
              <w:right w:val="nil"/>
            </w:tcBorders>
            <w:shd w:val="clear" w:color="auto" w:fill="auto"/>
            <w:noWrap/>
            <w:vAlign w:val="bottom"/>
          </w:tcPr>
          <w:p w14:paraId="3473B6AC"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(288)</w:t>
            </w:r>
          </w:p>
        </w:tc>
        <w:tc>
          <w:tcPr>
            <w:tcW w:w="1134" w:type="dxa"/>
            <w:tcBorders>
              <w:top w:val="nil"/>
              <w:left w:val="nil"/>
              <w:bottom w:val="single" w:sz="2" w:space="0" w:color="auto"/>
              <w:right w:val="nil"/>
            </w:tcBorders>
            <w:shd w:val="clear" w:color="auto" w:fill="auto"/>
            <w:noWrap/>
            <w:vAlign w:val="bottom"/>
          </w:tcPr>
          <w:p w14:paraId="5633B64E"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14,240 </w:t>
            </w:r>
          </w:p>
        </w:tc>
      </w:tr>
      <w:tr w:rsidR="00587444" w:rsidRPr="00587444" w14:paraId="56327241" w14:textId="77777777" w:rsidTr="00DD69E7">
        <w:trPr>
          <w:trHeight w:val="300"/>
        </w:trPr>
        <w:tc>
          <w:tcPr>
            <w:tcW w:w="3369" w:type="dxa"/>
            <w:tcBorders>
              <w:left w:val="nil"/>
              <w:right w:val="nil"/>
            </w:tcBorders>
            <w:shd w:val="clear" w:color="auto" w:fill="auto"/>
            <w:vAlign w:val="bottom"/>
          </w:tcPr>
          <w:p w14:paraId="3F7700BE" w14:textId="77777777" w:rsidR="00587444" w:rsidRPr="00587444" w:rsidRDefault="00587444" w:rsidP="00587444">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Income from operating activities</w:t>
            </w:r>
          </w:p>
        </w:tc>
        <w:tc>
          <w:tcPr>
            <w:tcW w:w="1275" w:type="dxa"/>
            <w:tcBorders>
              <w:top w:val="single" w:sz="2" w:space="0" w:color="auto"/>
              <w:left w:val="nil"/>
              <w:bottom w:val="single" w:sz="12" w:space="0" w:color="auto"/>
              <w:right w:val="nil"/>
            </w:tcBorders>
            <w:shd w:val="clear" w:color="auto" w:fill="auto"/>
            <w:noWrap/>
            <w:vAlign w:val="bottom"/>
          </w:tcPr>
          <w:p w14:paraId="53644586"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519,755 </w:t>
            </w:r>
          </w:p>
        </w:tc>
        <w:tc>
          <w:tcPr>
            <w:tcW w:w="1418" w:type="dxa"/>
            <w:tcBorders>
              <w:top w:val="single" w:sz="2" w:space="0" w:color="auto"/>
              <w:left w:val="nil"/>
              <w:bottom w:val="single" w:sz="12" w:space="0" w:color="auto"/>
              <w:right w:val="nil"/>
            </w:tcBorders>
            <w:shd w:val="clear" w:color="auto" w:fill="auto"/>
            <w:noWrap/>
            <w:vAlign w:val="bottom"/>
          </w:tcPr>
          <w:p w14:paraId="48CC10FA"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14,327 </w:t>
            </w:r>
          </w:p>
        </w:tc>
        <w:tc>
          <w:tcPr>
            <w:tcW w:w="1134" w:type="dxa"/>
            <w:tcBorders>
              <w:top w:val="single" w:sz="2" w:space="0" w:color="auto"/>
              <w:left w:val="nil"/>
              <w:bottom w:val="single" w:sz="12" w:space="0" w:color="auto"/>
              <w:right w:val="nil"/>
            </w:tcBorders>
            <w:shd w:val="clear" w:color="auto" w:fill="auto"/>
            <w:noWrap/>
            <w:vAlign w:val="bottom"/>
          </w:tcPr>
          <w:p w14:paraId="57B424DB"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2,342 </w:t>
            </w:r>
          </w:p>
        </w:tc>
        <w:tc>
          <w:tcPr>
            <w:tcW w:w="1309" w:type="dxa"/>
            <w:tcBorders>
              <w:top w:val="single" w:sz="2" w:space="0" w:color="auto"/>
              <w:left w:val="nil"/>
              <w:bottom w:val="single" w:sz="12" w:space="0" w:color="auto"/>
              <w:right w:val="nil"/>
            </w:tcBorders>
            <w:shd w:val="clear" w:color="auto" w:fill="auto"/>
            <w:noWrap/>
            <w:vAlign w:val="bottom"/>
          </w:tcPr>
          <w:p w14:paraId="34F6BDD3"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(288)</w:t>
            </w:r>
          </w:p>
        </w:tc>
        <w:tc>
          <w:tcPr>
            <w:tcW w:w="1134" w:type="dxa"/>
            <w:tcBorders>
              <w:top w:val="single" w:sz="2" w:space="0" w:color="auto"/>
              <w:left w:val="nil"/>
              <w:bottom w:val="single" w:sz="12" w:space="0" w:color="auto"/>
              <w:right w:val="nil"/>
            </w:tcBorders>
            <w:shd w:val="clear" w:color="auto" w:fill="auto"/>
            <w:noWrap/>
            <w:vAlign w:val="bottom"/>
          </w:tcPr>
          <w:p w14:paraId="78DD2070"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536,136 </w:t>
            </w:r>
          </w:p>
        </w:tc>
      </w:tr>
      <w:tr w:rsidR="00587444" w:rsidRPr="00587444" w14:paraId="171B735F" w14:textId="77777777" w:rsidTr="00DD69E7">
        <w:trPr>
          <w:trHeight w:val="60"/>
        </w:trPr>
        <w:tc>
          <w:tcPr>
            <w:tcW w:w="3369" w:type="dxa"/>
            <w:tcBorders>
              <w:left w:val="nil"/>
              <w:bottom w:val="nil"/>
              <w:right w:val="nil"/>
            </w:tcBorders>
            <w:shd w:val="clear" w:color="auto" w:fill="auto"/>
            <w:vAlign w:val="bottom"/>
          </w:tcPr>
          <w:p w14:paraId="68561455"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shd w:val="clear" w:color="auto" w:fill="auto"/>
            <w:noWrap/>
            <w:vAlign w:val="bottom"/>
          </w:tcPr>
          <w:p w14:paraId="4956F039"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shd w:val="clear" w:color="auto" w:fill="auto"/>
            <w:noWrap/>
            <w:vAlign w:val="bottom"/>
          </w:tcPr>
          <w:p w14:paraId="274A9167"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72B8D5F6"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shd w:val="clear" w:color="auto" w:fill="auto"/>
            <w:noWrap/>
            <w:vAlign w:val="bottom"/>
          </w:tcPr>
          <w:p w14:paraId="37F52B64"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538E59E4" w14:textId="77777777" w:rsidR="00587444" w:rsidRPr="00587444" w:rsidRDefault="00587444" w:rsidP="00587444">
            <w:pPr>
              <w:suppressAutoHyphens w:val="0"/>
              <w:autoSpaceDN/>
              <w:spacing w:line="140" w:lineRule="exact"/>
              <w:jc w:val="right"/>
              <w:rPr>
                <w:rFonts w:ascii="Arial" w:hAnsi="Arial" w:cs="Arial"/>
                <w:sz w:val="18"/>
                <w:szCs w:val="18"/>
              </w:rPr>
            </w:pPr>
          </w:p>
        </w:tc>
      </w:tr>
      <w:tr w:rsidR="00587444" w:rsidRPr="00587444" w14:paraId="56EAB1B5" w14:textId="77777777" w:rsidTr="00DD69E7">
        <w:trPr>
          <w:trHeight w:val="300"/>
        </w:trPr>
        <w:tc>
          <w:tcPr>
            <w:tcW w:w="3369" w:type="dxa"/>
            <w:tcBorders>
              <w:top w:val="nil"/>
              <w:left w:val="nil"/>
              <w:bottom w:val="nil"/>
              <w:right w:val="nil"/>
            </w:tcBorders>
            <w:shd w:val="clear" w:color="auto" w:fill="auto"/>
            <w:vAlign w:val="bottom"/>
          </w:tcPr>
          <w:p w14:paraId="1325BA70"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Operating costs</w:t>
            </w:r>
          </w:p>
        </w:tc>
        <w:tc>
          <w:tcPr>
            <w:tcW w:w="1275" w:type="dxa"/>
            <w:shd w:val="clear" w:color="auto" w:fill="auto"/>
            <w:noWrap/>
            <w:vAlign w:val="bottom"/>
          </w:tcPr>
          <w:p w14:paraId="296E13A2"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(189,148)</w:t>
            </w:r>
          </w:p>
        </w:tc>
        <w:tc>
          <w:tcPr>
            <w:tcW w:w="1418" w:type="dxa"/>
            <w:shd w:val="clear" w:color="auto" w:fill="auto"/>
            <w:noWrap/>
            <w:vAlign w:val="bottom"/>
          </w:tcPr>
          <w:p w14:paraId="7EF4097C"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(7,388)</w:t>
            </w:r>
          </w:p>
        </w:tc>
        <w:tc>
          <w:tcPr>
            <w:tcW w:w="1134" w:type="dxa"/>
            <w:shd w:val="clear" w:color="auto" w:fill="auto"/>
            <w:noWrap/>
            <w:vAlign w:val="bottom"/>
          </w:tcPr>
          <w:p w14:paraId="731CDFDE"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(1,835)</w:t>
            </w:r>
          </w:p>
        </w:tc>
        <w:tc>
          <w:tcPr>
            <w:tcW w:w="1309" w:type="dxa"/>
            <w:shd w:val="clear" w:color="auto" w:fill="auto"/>
            <w:noWrap/>
            <w:vAlign w:val="bottom"/>
          </w:tcPr>
          <w:p w14:paraId="35C53160"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288 </w:t>
            </w:r>
          </w:p>
        </w:tc>
        <w:tc>
          <w:tcPr>
            <w:tcW w:w="1134" w:type="dxa"/>
            <w:shd w:val="clear" w:color="auto" w:fill="auto"/>
            <w:noWrap/>
            <w:vAlign w:val="bottom"/>
          </w:tcPr>
          <w:p w14:paraId="6903EEBD"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(198,083)</w:t>
            </w:r>
          </w:p>
        </w:tc>
      </w:tr>
      <w:tr w:rsidR="00587444" w:rsidRPr="00587444" w14:paraId="2C0F7180" w14:textId="77777777" w:rsidTr="00DD69E7">
        <w:trPr>
          <w:trHeight w:val="345"/>
        </w:trPr>
        <w:tc>
          <w:tcPr>
            <w:tcW w:w="3369" w:type="dxa"/>
            <w:tcBorders>
              <w:top w:val="nil"/>
              <w:left w:val="nil"/>
              <w:bottom w:val="nil"/>
              <w:right w:val="nil"/>
            </w:tcBorders>
            <w:shd w:val="clear" w:color="auto" w:fill="auto"/>
            <w:vAlign w:val="bottom"/>
          </w:tcPr>
          <w:p w14:paraId="04B05FEC"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Impairment loss and provisions</w:t>
            </w:r>
          </w:p>
        </w:tc>
        <w:tc>
          <w:tcPr>
            <w:tcW w:w="1275" w:type="dxa"/>
            <w:shd w:val="clear" w:color="auto" w:fill="auto"/>
            <w:noWrap/>
            <w:vAlign w:val="bottom"/>
          </w:tcPr>
          <w:p w14:paraId="7D5C9B2D" w14:textId="77777777" w:rsidR="00587444" w:rsidRPr="00587444" w:rsidRDefault="00587444" w:rsidP="00587444">
            <w:pPr>
              <w:suppressAutoHyphens w:val="0"/>
              <w:autoSpaceDN/>
              <w:spacing w:line="300" w:lineRule="exact"/>
              <w:jc w:val="right"/>
              <w:rPr>
                <w:rFonts w:ascii="Arial" w:hAnsi="Arial" w:cs="Arial"/>
                <w:sz w:val="18"/>
                <w:szCs w:val="18"/>
                <w:lang w:val="pl-PL"/>
              </w:rPr>
            </w:pPr>
            <w:r w:rsidRPr="00587444">
              <w:rPr>
                <w:rFonts w:ascii="Arial" w:hAnsi="Arial" w:cs="Arial"/>
                <w:color w:val="000000"/>
                <w:sz w:val="18"/>
                <w:szCs w:val="18"/>
                <w:lang w:val="hr-HR"/>
              </w:rPr>
              <w:t xml:space="preserve"> (144,434)</w:t>
            </w:r>
          </w:p>
        </w:tc>
        <w:tc>
          <w:tcPr>
            <w:tcW w:w="1418" w:type="dxa"/>
            <w:shd w:val="clear" w:color="auto" w:fill="auto"/>
            <w:noWrap/>
            <w:vAlign w:val="bottom"/>
          </w:tcPr>
          <w:p w14:paraId="64BA0143" w14:textId="77777777" w:rsidR="00587444" w:rsidRPr="00587444" w:rsidRDefault="00587444" w:rsidP="00587444">
            <w:pPr>
              <w:suppressAutoHyphens w:val="0"/>
              <w:autoSpaceDN/>
              <w:spacing w:line="300" w:lineRule="exact"/>
              <w:jc w:val="right"/>
              <w:rPr>
                <w:rFonts w:ascii="Arial" w:hAnsi="Arial" w:cs="Arial"/>
                <w:sz w:val="18"/>
                <w:szCs w:val="18"/>
                <w:lang w:val="pl-PL"/>
              </w:rPr>
            </w:pPr>
            <w:r w:rsidRPr="00587444">
              <w:rPr>
                <w:rFonts w:ascii="Arial" w:hAnsi="Arial" w:cs="Arial"/>
                <w:color w:val="000000"/>
                <w:sz w:val="18"/>
                <w:szCs w:val="18"/>
                <w:lang w:val="hr-HR"/>
              </w:rPr>
              <w:t xml:space="preserve"> - </w:t>
            </w:r>
          </w:p>
        </w:tc>
        <w:tc>
          <w:tcPr>
            <w:tcW w:w="1134" w:type="dxa"/>
            <w:shd w:val="clear" w:color="auto" w:fill="auto"/>
            <w:noWrap/>
            <w:vAlign w:val="bottom"/>
          </w:tcPr>
          <w:p w14:paraId="4ECF412E" w14:textId="77777777" w:rsidR="00587444" w:rsidRPr="00587444" w:rsidRDefault="00587444" w:rsidP="00587444">
            <w:pPr>
              <w:suppressAutoHyphens w:val="0"/>
              <w:autoSpaceDN/>
              <w:spacing w:line="300" w:lineRule="exact"/>
              <w:jc w:val="right"/>
              <w:rPr>
                <w:rFonts w:ascii="Arial" w:hAnsi="Arial" w:cs="Arial"/>
                <w:sz w:val="18"/>
                <w:szCs w:val="18"/>
                <w:lang w:val="pl-PL"/>
              </w:rPr>
            </w:pPr>
            <w:r w:rsidRPr="00587444">
              <w:rPr>
                <w:rFonts w:ascii="Arial" w:hAnsi="Arial" w:cs="Arial"/>
                <w:color w:val="000000"/>
                <w:sz w:val="18"/>
                <w:szCs w:val="18"/>
                <w:lang w:val="hr-HR"/>
              </w:rPr>
              <w:t xml:space="preserve"> -    </w:t>
            </w:r>
          </w:p>
        </w:tc>
        <w:tc>
          <w:tcPr>
            <w:tcW w:w="1309" w:type="dxa"/>
            <w:shd w:val="clear" w:color="auto" w:fill="auto"/>
            <w:noWrap/>
            <w:vAlign w:val="bottom"/>
          </w:tcPr>
          <w:p w14:paraId="00045363" w14:textId="77777777" w:rsidR="00587444" w:rsidRPr="00587444" w:rsidRDefault="00587444" w:rsidP="00587444">
            <w:pPr>
              <w:suppressAutoHyphens w:val="0"/>
              <w:autoSpaceDN/>
              <w:spacing w:line="300" w:lineRule="exact"/>
              <w:jc w:val="right"/>
              <w:rPr>
                <w:rFonts w:ascii="Arial" w:hAnsi="Arial" w:cs="Arial"/>
                <w:sz w:val="18"/>
                <w:szCs w:val="18"/>
                <w:lang w:val="pl-PL"/>
              </w:rPr>
            </w:pPr>
            <w:r w:rsidRPr="00587444">
              <w:rPr>
                <w:rFonts w:ascii="Arial" w:hAnsi="Arial" w:cs="Arial"/>
                <w:color w:val="000000"/>
                <w:sz w:val="18"/>
                <w:szCs w:val="18"/>
                <w:lang w:val="hr-HR"/>
              </w:rPr>
              <w:t xml:space="preserve"> - </w:t>
            </w:r>
          </w:p>
        </w:tc>
        <w:tc>
          <w:tcPr>
            <w:tcW w:w="1134" w:type="dxa"/>
            <w:shd w:val="clear" w:color="auto" w:fill="auto"/>
            <w:noWrap/>
            <w:vAlign w:val="bottom"/>
          </w:tcPr>
          <w:p w14:paraId="40FFAFFE"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(144,434)</w:t>
            </w:r>
          </w:p>
        </w:tc>
      </w:tr>
      <w:tr w:rsidR="00587444" w:rsidRPr="00587444" w14:paraId="6018F72B" w14:textId="77777777" w:rsidTr="00DD69E7">
        <w:trPr>
          <w:trHeight w:val="310"/>
        </w:trPr>
        <w:tc>
          <w:tcPr>
            <w:tcW w:w="3369" w:type="dxa"/>
            <w:tcBorders>
              <w:top w:val="nil"/>
              <w:left w:val="nil"/>
              <w:bottom w:val="nil"/>
              <w:right w:val="nil"/>
            </w:tcBorders>
            <w:shd w:val="clear" w:color="auto" w:fill="auto"/>
            <w:vAlign w:val="bottom"/>
          </w:tcPr>
          <w:p w14:paraId="6782151D"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Expenses for insured cases</w:t>
            </w:r>
          </w:p>
        </w:tc>
        <w:tc>
          <w:tcPr>
            <w:tcW w:w="1275" w:type="dxa"/>
            <w:shd w:val="clear" w:color="auto" w:fill="auto"/>
            <w:noWrap/>
            <w:vAlign w:val="bottom"/>
          </w:tcPr>
          <w:p w14:paraId="0470DCAB" w14:textId="77777777" w:rsidR="00587444" w:rsidRPr="00587444" w:rsidRDefault="00587444" w:rsidP="00587444">
            <w:pPr>
              <w:suppressAutoHyphens w:val="0"/>
              <w:autoSpaceDN/>
              <w:spacing w:line="300" w:lineRule="exact"/>
              <w:jc w:val="right"/>
              <w:rPr>
                <w:rFonts w:ascii="Arial" w:hAnsi="Arial" w:cs="Arial"/>
                <w:sz w:val="18"/>
                <w:szCs w:val="18"/>
                <w:lang w:val="pl-PL"/>
              </w:rPr>
            </w:pPr>
            <w:r w:rsidRPr="00587444">
              <w:rPr>
                <w:rFonts w:ascii="Arial" w:hAnsi="Arial" w:cs="Arial"/>
                <w:color w:val="000000"/>
                <w:sz w:val="18"/>
                <w:szCs w:val="18"/>
                <w:lang w:val="hr-HR"/>
              </w:rPr>
              <w:t>-</w:t>
            </w:r>
          </w:p>
        </w:tc>
        <w:tc>
          <w:tcPr>
            <w:tcW w:w="1418" w:type="dxa"/>
            <w:shd w:val="clear" w:color="auto" w:fill="auto"/>
            <w:noWrap/>
            <w:vAlign w:val="bottom"/>
          </w:tcPr>
          <w:p w14:paraId="78CE4B82" w14:textId="77777777" w:rsidR="00587444" w:rsidRPr="00587444" w:rsidRDefault="00587444" w:rsidP="00587444">
            <w:pPr>
              <w:suppressAutoHyphens w:val="0"/>
              <w:autoSpaceDN/>
              <w:spacing w:line="300" w:lineRule="exact"/>
              <w:jc w:val="right"/>
              <w:rPr>
                <w:rFonts w:ascii="Arial" w:hAnsi="Arial" w:cs="Arial"/>
                <w:sz w:val="18"/>
                <w:szCs w:val="18"/>
                <w:lang w:val="pl-PL"/>
              </w:rPr>
            </w:pPr>
            <w:r w:rsidRPr="00587444">
              <w:rPr>
                <w:rFonts w:ascii="Arial" w:hAnsi="Arial" w:cs="Arial"/>
                <w:color w:val="000000"/>
                <w:sz w:val="18"/>
                <w:szCs w:val="18"/>
                <w:lang w:val="hr-HR"/>
              </w:rPr>
              <w:t xml:space="preserve"> (4,327)</w:t>
            </w:r>
          </w:p>
        </w:tc>
        <w:tc>
          <w:tcPr>
            <w:tcW w:w="1134" w:type="dxa"/>
            <w:shd w:val="clear" w:color="auto" w:fill="auto"/>
            <w:noWrap/>
            <w:vAlign w:val="bottom"/>
          </w:tcPr>
          <w:p w14:paraId="1D33ADB2" w14:textId="77777777" w:rsidR="00587444" w:rsidRPr="00587444" w:rsidRDefault="00587444" w:rsidP="00587444">
            <w:pPr>
              <w:suppressAutoHyphens w:val="0"/>
              <w:autoSpaceDN/>
              <w:spacing w:line="300" w:lineRule="exact"/>
              <w:jc w:val="right"/>
              <w:rPr>
                <w:rFonts w:ascii="Arial" w:hAnsi="Arial" w:cs="Arial"/>
                <w:sz w:val="18"/>
                <w:szCs w:val="18"/>
                <w:lang w:val="pl-PL"/>
              </w:rPr>
            </w:pPr>
            <w:r w:rsidRPr="00587444">
              <w:rPr>
                <w:rFonts w:ascii="Arial" w:hAnsi="Arial" w:cs="Arial"/>
                <w:color w:val="000000"/>
                <w:sz w:val="18"/>
                <w:szCs w:val="18"/>
                <w:lang w:val="hr-HR"/>
              </w:rPr>
              <w:t>-</w:t>
            </w:r>
          </w:p>
        </w:tc>
        <w:tc>
          <w:tcPr>
            <w:tcW w:w="1309" w:type="dxa"/>
            <w:shd w:val="clear" w:color="auto" w:fill="auto"/>
            <w:noWrap/>
            <w:vAlign w:val="bottom"/>
          </w:tcPr>
          <w:p w14:paraId="629B35B1" w14:textId="77777777" w:rsidR="00587444" w:rsidRPr="00587444" w:rsidRDefault="00587444" w:rsidP="00587444">
            <w:pPr>
              <w:suppressAutoHyphens w:val="0"/>
              <w:autoSpaceDN/>
              <w:spacing w:line="300" w:lineRule="exact"/>
              <w:jc w:val="right"/>
              <w:rPr>
                <w:rFonts w:ascii="Arial" w:hAnsi="Arial" w:cs="Arial"/>
                <w:sz w:val="18"/>
                <w:szCs w:val="18"/>
                <w:lang w:val="pl-PL"/>
              </w:rPr>
            </w:pPr>
            <w:r w:rsidRPr="00587444">
              <w:rPr>
                <w:rFonts w:ascii="Arial" w:hAnsi="Arial" w:cs="Arial"/>
                <w:color w:val="000000"/>
                <w:sz w:val="18"/>
                <w:szCs w:val="18"/>
                <w:lang w:val="hr-HR"/>
              </w:rPr>
              <w:t>-</w:t>
            </w:r>
          </w:p>
        </w:tc>
        <w:tc>
          <w:tcPr>
            <w:tcW w:w="1134" w:type="dxa"/>
            <w:shd w:val="clear" w:color="auto" w:fill="auto"/>
            <w:noWrap/>
            <w:vAlign w:val="bottom"/>
          </w:tcPr>
          <w:p w14:paraId="7767B1B2"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(4,327)</w:t>
            </w:r>
          </w:p>
        </w:tc>
      </w:tr>
      <w:tr w:rsidR="00587444" w:rsidRPr="00587444" w14:paraId="5E44EDBE" w14:textId="77777777" w:rsidTr="00DD69E7">
        <w:trPr>
          <w:trHeight w:val="300"/>
        </w:trPr>
        <w:tc>
          <w:tcPr>
            <w:tcW w:w="3369" w:type="dxa"/>
            <w:tcBorders>
              <w:top w:val="nil"/>
              <w:left w:val="nil"/>
              <w:bottom w:val="nil"/>
              <w:right w:val="nil"/>
            </w:tcBorders>
            <w:shd w:val="clear" w:color="auto" w:fill="auto"/>
            <w:vAlign w:val="bottom"/>
          </w:tcPr>
          <w:p w14:paraId="38CF100D"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change in provisions</w:t>
            </w:r>
          </w:p>
        </w:tc>
        <w:tc>
          <w:tcPr>
            <w:tcW w:w="1275" w:type="dxa"/>
            <w:shd w:val="clear" w:color="auto" w:fill="auto"/>
            <w:noWrap/>
            <w:vAlign w:val="bottom"/>
          </w:tcPr>
          <w:p w14:paraId="7AA79DFB"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w:t>
            </w:r>
          </w:p>
        </w:tc>
        <w:tc>
          <w:tcPr>
            <w:tcW w:w="1418" w:type="dxa"/>
            <w:shd w:val="clear" w:color="auto" w:fill="auto"/>
            <w:noWrap/>
            <w:vAlign w:val="bottom"/>
          </w:tcPr>
          <w:p w14:paraId="0B64AF88"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1,441 </w:t>
            </w:r>
          </w:p>
        </w:tc>
        <w:tc>
          <w:tcPr>
            <w:tcW w:w="1134" w:type="dxa"/>
            <w:shd w:val="clear" w:color="auto" w:fill="auto"/>
            <w:noWrap/>
            <w:vAlign w:val="bottom"/>
          </w:tcPr>
          <w:p w14:paraId="30AEA5EF"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w:t>
            </w:r>
          </w:p>
        </w:tc>
        <w:tc>
          <w:tcPr>
            <w:tcW w:w="1309" w:type="dxa"/>
            <w:shd w:val="clear" w:color="auto" w:fill="auto"/>
            <w:noWrap/>
            <w:vAlign w:val="bottom"/>
          </w:tcPr>
          <w:p w14:paraId="37209E23"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 </w:t>
            </w:r>
          </w:p>
        </w:tc>
        <w:tc>
          <w:tcPr>
            <w:tcW w:w="1134" w:type="dxa"/>
            <w:shd w:val="clear" w:color="auto" w:fill="auto"/>
            <w:noWrap/>
            <w:vAlign w:val="bottom"/>
          </w:tcPr>
          <w:p w14:paraId="795F7629"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1,441 </w:t>
            </w:r>
          </w:p>
        </w:tc>
      </w:tr>
      <w:tr w:rsidR="00587444" w:rsidRPr="00587444" w14:paraId="58369AFA" w14:textId="77777777" w:rsidTr="00DD69E7">
        <w:trPr>
          <w:trHeight w:val="300"/>
        </w:trPr>
        <w:tc>
          <w:tcPr>
            <w:tcW w:w="3369" w:type="dxa"/>
            <w:tcBorders>
              <w:top w:val="nil"/>
              <w:left w:val="nil"/>
              <w:right w:val="nil"/>
            </w:tcBorders>
            <w:shd w:val="clear" w:color="auto" w:fill="auto"/>
            <w:vAlign w:val="bottom"/>
          </w:tcPr>
          <w:p w14:paraId="15616CC4"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Other expenses</w:t>
            </w:r>
          </w:p>
        </w:tc>
        <w:tc>
          <w:tcPr>
            <w:tcW w:w="1275" w:type="dxa"/>
            <w:tcBorders>
              <w:top w:val="nil"/>
              <w:left w:val="nil"/>
              <w:bottom w:val="single" w:sz="4" w:space="0" w:color="auto"/>
              <w:right w:val="nil"/>
            </w:tcBorders>
            <w:shd w:val="clear" w:color="auto" w:fill="auto"/>
            <w:noWrap/>
            <w:vAlign w:val="bottom"/>
          </w:tcPr>
          <w:p w14:paraId="55964D67"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w:t>
            </w:r>
          </w:p>
        </w:tc>
        <w:tc>
          <w:tcPr>
            <w:tcW w:w="1418" w:type="dxa"/>
            <w:tcBorders>
              <w:top w:val="nil"/>
              <w:left w:val="nil"/>
              <w:bottom w:val="single" w:sz="4" w:space="0" w:color="auto"/>
              <w:right w:val="nil"/>
            </w:tcBorders>
            <w:shd w:val="clear" w:color="auto" w:fill="auto"/>
            <w:noWrap/>
            <w:vAlign w:val="bottom"/>
          </w:tcPr>
          <w:p w14:paraId="02245D16"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(603)</w:t>
            </w:r>
          </w:p>
        </w:tc>
        <w:tc>
          <w:tcPr>
            <w:tcW w:w="1134" w:type="dxa"/>
            <w:tcBorders>
              <w:top w:val="nil"/>
              <w:left w:val="nil"/>
              <w:bottom w:val="single" w:sz="4" w:space="0" w:color="auto"/>
              <w:right w:val="nil"/>
            </w:tcBorders>
            <w:shd w:val="clear" w:color="auto" w:fill="auto"/>
            <w:noWrap/>
            <w:vAlign w:val="bottom"/>
          </w:tcPr>
          <w:p w14:paraId="4813C159"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w:t>
            </w:r>
          </w:p>
        </w:tc>
        <w:tc>
          <w:tcPr>
            <w:tcW w:w="1309" w:type="dxa"/>
            <w:tcBorders>
              <w:top w:val="nil"/>
              <w:left w:val="nil"/>
              <w:bottom w:val="single" w:sz="4" w:space="0" w:color="auto"/>
              <w:right w:val="nil"/>
            </w:tcBorders>
            <w:shd w:val="clear" w:color="auto" w:fill="auto"/>
            <w:noWrap/>
            <w:vAlign w:val="bottom"/>
          </w:tcPr>
          <w:p w14:paraId="38ED618E"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w:t>
            </w:r>
          </w:p>
        </w:tc>
        <w:tc>
          <w:tcPr>
            <w:tcW w:w="1134" w:type="dxa"/>
            <w:tcBorders>
              <w:top w:val="nil"/>
              <w:left w:val="nil"/>
              <w:bottom w:val="single" w:sz="4" w:space="0" w:color="auto"/>
              <w:right w:val="nil"/>
            </w:tcBorders>
            <w:shd w:val="clear" w:color="auto" w:fill="auto"/>
            <w:noWrap/>
            <w:vAlign w:val="bottom"/>
          </w:tcPr>
          <w:p w14:paraId="05C4567D"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(603)</w:t>
            </w:r>
          </w:p>
        </w:tc>
      </w:tr>
      <w:tr w:rsidR="00587444" w:rsidRPr="00587444" w14:paraId="31F0489C" w14:textId="77777777" w:rsidTr="00DD69E7">
        <w:trPr>
          <w:trHeight w:val="300"/>
        </w:trPr>
        <w:tc>
          <w:tcPr>
            <w:tcW w:w="3369" w:type="dxa"/>
            <w:tcBorders>
              <w:left w:val="nil"/>
              <w:right w:val="nil"/>
            </w:tcBorders>
            <w:shd w:val="clear" w:color="auto" w:fill="auto"/>
            <w:vAlign w:val="bottom"/>
          </w:tcPr>
          <w:p w14:paraId="41E4510C" w14:textId="77777777" w:rsidR="00587444" w:rsidRPr="00587444" w:rsidRDefault="00587444" w:rsidP="00587444">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Operating expenses</w:t>
            </w:r>
          </w:p>
        </w:tc>
        <w:tc>
          <w:tcPr>
            <w:tcW w:w="1275" w:type="dxa"/>
            <w:tcBorders>
              <w:top w:val="single" w:sz="4" w:space="0" w:color="auto"/>
              <w:left w:val="nil"/>
              <w:bottom w:val="single" w:sz="12" w:space="0" w:color="auto"/>
              <w:right w:val="nil"/>
            </w:tcBorders>
            <w:shd w:val="clear" w:color="auto" w:fill="auto"/>
            <w:noWrap/>
          </w:tcPr>
          <w:p w14:paraId="6F06063C"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(333,582)</w:t>
            </w:r>
          </w:p>
        </w:tc>
        <w:tc>
          <w:tcPr>
            <w:tcW w:w="1418" w:type="dxa"/>
            <w:tcBorders>
              <w:top w:val="single" w:sz="4" w:space="0" w:color="auto"/>
              <w:left w:val="nil"/>
              <w:bottom w:val="single" w:sz="12" w:space="0" w:color="auto"/>
              <w:right w:val="nil"/>
            </w:tcBorders>
            <w:shd w:val="clear" w:color="auto" w:fill="auto"/>
            <w:noWrap/>
          </w:tcPr>
          <w:p w14:paraId="552A1392"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(10,877)</w:t>
            </w:r>
          </w:p>
        </w:tc>
        <w:tc>
          <w:tcPr>
            <w:tcW w:w="1134" w:type="dxa"/>
            <w:tcBorders>
              <w:top w:val="single" w:sz="4" w:space="0" w:color="auto"/>
              <w:left w:val="nil"/>
              <w:bottom w:val="single" w:sz="12" w:space="0" w:color="auto"/>
              <w:right w:val="nil"/>
            </w:tcBorders>
            <w:shd w:val="clear" w:color="auto" w:fill="auto"/>
            <w:noWrap/>
          </w:tcPr>
          <w:p w14:paraId="4A3DB7E8"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(1,835)</w:t>
            </w:r>
          </w:p>
        </w:tc>
        <w:tc>
          <w:tcPr>
            <w:tcW w:w="1309" w:type="dxa"/>
            <w:tcBorders>
              <w:top w:val="single" w:sz="4" w:space="0" w:color="auto"/>
              <w:left w:val="nil"/>
              <w:bottom w:val="single" w:sz="12" w:space="0" w:color="auto"/>
              <w:right w:val="nil"/>
            </w:tcBorders>
            <w:shd w:val="clear" w:color="auto" w:fill="auto"/>
            <w:noWrap/>
          </w:tcPr>
          <w:p w14:paraId="3CC52064"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288 </w:t>
            </w:r>
          </w:p>
        </w:tc>
        <w:tc>
          <w:tcPr>
            <w:tcW w:w="1134" w:type="dxa"/>
            <w:tcBorders>
              <w:top w:val="single" w:sz="4" w:space="0" w:color="auto"/>
              <w:left w:val="nil"/>
              <w:bottom w:val="single" w:sz="12" w:space="0" w:color="auto"/>
              <w:right w:val="nil"/>
            </w:tcBorders>
            <w:shd w:val="clear" w:color="auto" w:fill="auto"/>
            <w:noWrap/>
          </w:tcPr>
          <w:p w14:paraId="71785F63"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(346,006)</w:t>
            </w:r>
          </w:p>
        </w:tc>
      </w:tr>
      <w:tr w:rsidR="00587444" w:rsidRPr="00587444" w14:paraId="404CFB3D" w14:textId="77777777" w:rsidTr="00DD69E7">
        <w:trPr>
          <w:trHeight w:val="174"/>
        </w:trPr>
        <w:tc>
          <w:tcPr>
            <w:tcW w:w="3369" w:type="dxa"/>
            <w:tcBorders>
              <w:left w:val="nil"/>
              <w:bottom w:val="nil"/>
              <w:right w:val="nil"/>
            </w:tcBorders>
            <w:shd w:val="clear" w:color="auto" w:fill="auto"/>
            <w:vAlign w:val="bottom"/>
          </w:tcPr>
          <w:p w14:paraId="6A1E5506"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shd w:val="clear" w:color="auto" w:fill="auto"/>
            <w:noWrap/>
            <w:vAlign w:val="bottom"/>
          </w:tcPr>
          <w:p w14:paraId="28B0A48B"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shd w:val="clear" w:color="auto" w:fill="auto"/>
            <w:noWrap/>
            <w:vAlign w:val="bottom"/>
          </w:tcPr>
          <w:p w14:paraId="1BA5286A"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2A0C1BAA"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shd w:val="clear" w:color="auto" w:fill="auto"/>
            <w:noWrap/>
            <w:vAlign w:val="bottom"/>
          </w:tcPr>
          <w:p w14:paraId="2D8E023B"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3BF85120" w14:textId="77777777" w:rsidR="00587444" w:rsidRPr="00587444" w:rsidRDefault="00587444" w:rsidP="00587444">
            <w:pPr>
              <w:suppressAutoHyphens w:val="0"/>
              <w:autoSpaceDN/>
              <w:spacing w:line="140" w:lineRule="exact"/>
              <w:jc w:val="right"/>
              <w:rPr>
                <w:rFonts w:ascii="Arial" w:hAnsi="Arial" w:cs="Arial"/>
                <w:sz w:val="18"/>
                <w:szCs w:val="18"/>
              </w:rPr>
            </w:pPr>
          </w:p>
        </w:tc>
      </w:tr>
      <w:tr w:rsidR="00587444" w:rsidRPr="00587444" w14:paraId="4E7A0401" w14:textId="77777777" w:rsidTr="00DD69E7">
        <w:trPr>
          <w:trHeight w:val="300"/>
        </w:trPr>
        <w:tc>
          <w:tcPr>
            <w:tcW w:w="3369" w:type="dxa"/>
            <w:tcBorders>
              <w:top w:val="nil"/>
              <w:left w:val="nil"/>
              <w:bottom w:val="nil"/>
              <w:right w:val="nil"/>
            </w:tcBorders>
            <w:shd w:val="clear" w:color="auto" w:fill="auto"/>
            <w:vAlign w:val="bottom"/>
          </w:tcPr>
          <w:p w14:paraId="644F18FE" w14:textId="77777777" w:rsidR="00587444" w:rsidRPr="00587444" w:rsidRDefault="00587444" w:rsidP="00587444">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Profit before income tax</w:t>
            </w:r>
          </w:p>
        </w:tc>
        <w:tc>
          <w:tcPr>
            <w:tcW w:w="1275" w:type="dxa"/>
            <w:shd w:val="clear" w:color="auto" w:fill="auto"/>
            <w:noWrap/>
          </w:tcPr>
          <w:p w14:paraId="497EAD34"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color w:val="000000"/>
                <w:sz w:val="18"/>
                <w:szCs w:val="18"/>
                <w:lang w:val="hr-HR"/>
              </w:rPr>
              <w:t xml:space="preserve"> 186,173 </w:t>
            </w:r>
          </w:p>
        </w:tc>
        <w:tc>
          <w:tcPr>
            <w:tcW w:w="1418" w:type="dxa"/>
            <w:shd w:val="clear" w:color="auto" w:fill="auto"/>
            <w:noWrap/>
          </w:tcPr>
          <w:p w14:paraId="1BC77112" w14:textId="77777777" w:rsidR="00587444" w:rsidRPr="00587444" w:rsidRDefault="00587444" w:rsidP="00587444">
            <w:pPr>
              <w:suppressAutoHyphens w:val="0"/>
              <w:autoSpaceDN/>
              <w:spacing w:line="300" w:lineRule="exact"/>
              <w:jc w:val="right"/>
              <w:rPr>
                <w:rFonts w:ascii="Arial" w:hAnsi="Arial" w:cs="Arial"/>
                <w:bCs/>
                <w:sz w:val="18"/>
                <w:szCs w:val="18"/>
              </w:rPr>
            </w:pPr>
            <w:r w:rsidRPr="00587444">
              <w:rPr>
                <w:rFonts w:ascii="Arial" w:hAnsi="Arial" w:cs="Arial"/>
                <w:color w:val="000000"/>
                <w:sz w:val="18"/>
                <w:szCs w:val="18"/>
                <w:lang w:val="hr-HR"/>
              </w:rPr>
              <w:t xml:space="preserve"> 3,450 </w:t>
            </w:r>
          </w:p>
        </w:tc>
        <w:tc>
          <w:tcPr>
            <w:tcW w:w="1134" w:type="dxa"/>
            <w:shd w:val="clear" w:color="auto" w:fill="auto"/>
            <w:noWrap/>
          </w:tcPr>
          <w:p w14:paraId="4D497676" w14:textId="77777777" w:rsidR="00587444" w:rsidRPr="00587444" w:rsidRDefault="00587444" w:rsidP="00587444">
            <w:pPr>
              <w:suppressAutoHyphens w:val="0"/>
              <w:autoSpaceDN/>
              <w:spacing w:line="300" w:lineRule="exact"/>
              <w:jc w:val="right"/>
              <w:rPr>
                <w:rFonts w:ascii="Arial" w:hAnsi="Arial" w:cs="Arial"/>
                <w:bCs/>
                <w:sz w:val="18"/>
                <w:szCs w:val="18"/>
              </w:rPr>
            </w:pPr>
            <w:r w:rsidRPr="00587444">
              <w:rPr>
                <w:rFonts w:ascii="Arial" w:hAnsi="Arial" w:cs="Arial"/>
                <w:color w:val="000000"/>
                <w:sz w:val="18"/>
                <w:szCs w:val="18"/>
                <w:lang w:val="hr-HR"/>
              </w:rPr>
              <w:t xml:space="preserve"> 507 </w:t>
            </w:r>
          </w:p>
        </w:tc>
        <w:tc>
          <w:tcPr>
            <w:tcW w:w="1309" w:type="dxa"/>
            <w:shd w:val="clear" w:color="auto" w:fill="auto"/>
            <w:noWrap/>
          </w:tcPr>
          <w:p w14:paraId="16526C2E" w14:textId="77777777" w:rsidR="00587444" w:rsidRPr="00587444" w:rsidRDefault="00587444" w:rsidP="00587444">
            <w:pPr>
              <w:suppressAutoHyphens w:val="0"/>
              <w:autoSpaceDN/>
              <w:spacing w:line="300" w:lineRule="exact"/>
              <w:jc w:val="right"/>
              <w:rPr>
                <w:rFonts w:ascii="Arial" w:hAnsi="Arial" w:cs="Arial"/>
                <w:bCs/>
                <w:sz w:val="18"/>
                <w:szCs w:val="18"/>
              </w:rPr>
            </w:pPr>
            <w:r w:rsidRPr="00587444">
              <w:rPr>
                <w:rFonts w:ascii="Arial" w:hAnsi="Arial" w:cs="Arial"/>
                <w:color w:val="000000"/>
                <w:sz w:val="18"/>
                <w:szCs w:val="18"/>
                <w:lang w:val="hr-HR"/>
              </w:rPr>
              <w:t xml:space="preserve"> - </w:t>
            </w:r>
          </w:p>
        </w:tc>
        <w:tc>
          <w:tcPr>
            <w:tcW w:w="1134" w:type="dxa"/>
            <w:shd w:val="clear" w:color="auto" w:fill="auto"/>
            <w:noWrap/>
          </w:tcPr>
          <w:p w14:paraId="730CD5FB" w14:textId="77777777" w:rsidR="00587444" w:rsidRPr="00587444" w:rsidRDefault="00587444" w:rsidP="00587444">
            <w:pPr>
              <w:suppressAutoHyphens w:val="0"/>
              <w:autoSpaceDN/>
              <w:spacing w:line="300" w:lineRule="exact"/>
              <w:jc w:val="right"/>
              <w:rPr>
                <w:rFonts w:ascii="Arial" w:hAnsi="Arial" w:cs="Arial"/>
                <w:bCs/>
                <w:sz w:val="18"/>
                <w:szCs w:val="18"/>
              </w:rPr>
            </w:pPr>
            <w:r w:rsidRPr="00587444">
              <w:rPr>
                <w:rFonts w:ascii="Arial" w:hAnsi="Arial" w:cs="Arial"/>
                <w:color w:val="000000"/>
                <w:sz w:val="18"/>
                <w:szCs w:val="18"/>
                <w:lang w:val="hr-HR"/>
              </w:rPr>
              <w:t xml:space="preserve"> 190,130 </w:t>
            </w:r>
          </w:p>
        </w:tc>
      </w:tr>
      <w:tr w:rsidR="00587444" w:rsidRPr="00587444" w14:paraId="6FB3C211" w14:textId="77777777" w:rsidTr="00DD69E7">
        <w:trPr>
          <w:trHeight w:val="300"/>
        </w:trPr>
        <w:tc>
          <w:tcPr>
            <w:tcW w:w="3369" w:type="dxa"/>
            <w:tcBorders>
              <w:top w:val="nil"/>
              <w:left w:val="nil"/>
              <w:right w:val="nil"/>
            </w:tcBorders>
            <w:shd w:val="clear" w:color="auto" w:fill="auto"/>
            <w:vAlign w:val="bottom"/>
          </w:tcPr>
          <w:p w14:paraId="39F88416"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Income tax</w:t>
            </w:r>
          </w:p>
        </w:tc>
        <w:tc>
          <w:tcPr>
            <w:tcW w:w="1275" w:type="dxa"/>
            <w:tcBorders>
              <w:top w:val="nil"/>
              <w:left w:val="nil"/>
              <w:bottom w:val="single" w:sz="4" w:space="0" w:color="auto"/>
              <w:right w:val="nil"/>
            </w:tcBorders>
            <w:shd w:val="clear" w:color="auto" w:fill="auto"/>
            <w:noWrap/>
            <w:vAlign w:val="bottom"/>
          </w:tcPr>
          <w:p w14:paraId="0DF02526"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w:t>
            </w:r>
          </w:p>
        </w:tc>
        <w:tc>
          <w:tcPr>
            <w:tcW w:w="1418" w:type="dxa"/>
            <w:tcBorders>
              <w:top w:val="nil"/>
              <w:left w:val="nil"/>
              <w:bottom w:val="single" w:sz="4" w:space="0" w:color="auto"/>
              <w:right w:val="nil"/>
            </w:tcBorders>
            <w:shd w:val="clear" w:color="auto" w:fill="auto"/>
            <w:noWrap/>
            <w:vAlign w:val="bottom"/>
          </w:tcPr>
          <w:p w14:paraId="50CDDE86" w14:textId="77777777" w:rsidR="00587444" w:rsidRPr="00587444" w:rsidRDefault="00587444" w:rsidP="00587444">
            <w:pPr>
              <w:suppressAutoHyphens w:val="0"/>
              <w:autoSpaceDN/>
              <w:spacing w:line="300" w:lineRule="exact"/>
              <w:jc w:val="right"/>
              <w:rPr>
                <w:rFonts w:ascii="Arial" w:hAnsi="Arial" w:cs="Arial"/>
                <w:bCs/>
                <w:sz w:val="18"/>
                <w:szCs w:val="18"/>
              </w:rPr>
            </w:pPr>
            <w:r w:rsidRPr="00587444">
              <w:rPr>
                <w:rFonts w:ascii="Arial" w:hAnsi="Arial" w:cs="Arial"/>
                <w:bCs/>
                <w:sz w:val="18"/>
                <w:szCs w:val="18"/>
              </w:rPr>
              <w:t>(672)</w:t>
            </w:r>
          </w:p>
        </w:tc>
        <w:tc>
          <w:tcPr>
            <w:tcW w:w="1134" w:type="dxa"/>
            <w:tcBorders>
              <w:top w:val="nil"/>
              <w:left w:val="nil"/>
              <w:bottom w:val="single" w:sz="4" w:space="0" w:color="auto"/>
              <w:right w:val="nil"/>
            </w:tcBorders>
            <w:shd w:val="clear" w:color="auto" w:fill="auto"/>
            <w:noWrap/>
            <w:vAlign w:val="bottom"/>
          </w:tcPr>
          <w:p w14:paraId="04DE8B9B" w14:textId="77777777" w:rsidR="00587444" w:rsidRPr="00587444" w:rsidRDefault="00587444" w:rsidP="00587444">
            <w:pPr>
              <w:suppressAutoHyphens w:val="0"/>
              <w:autoSpaceDN/>
              <w:spacing w:line="300" w:lineRule="exact"/>
              <w:jc w:val="right"/>
              <w:rPr>
                <w:rFonts w:ascii="Arial" w:hAnsi="Arial" w:cs="Arial"/>
                <w:bCs/>
                <w:sz w:val="18"/>
                <w:szCs w:val="18"/>
              </w:rPr>
            </w:pPr>
            <w:r w:rsidRPr="00587444">
              <w:rPr>
                <w:rFonts w:ascii="Arial" w:hAnsi="Arial" w:cs="Arial"/>
                <w:bCs/>
                <w:sz w:val="18"/>
                <w:szCs w:val="18"/>
              </w:rPr>
              <w:t>-</w:t>
            </w:r>
          </w:p>
        </w:tc>
        <w:tc>
          <w:tcPr>
            <w:tcW w:w="1309" w:type="dxa"/>
            <w:tcBorders>
              <w:top w:val="nil"/>
              <w:left w:val="nil"/>
              <w:bottom w:val="single" w:sz="4" w:space="0" w:color="auto"/>
              <w:right w:val="nil"/>
            </w:tcBorders>
            <w:shd w:val="clear" w:color="auto" w:fill="auto"/>
            <w:noWrap/>
            <w:vAlign w:val="bottom"/>
          </w:tcPr>
          <w:p w14:paraId="689E7360" w14:textId="77777777" w:rsidR="00587444" w:rsidRPr="00587444" w:rsidRDefault="00587444" w:rsidP="00587444">
            <w:pPr>
              <w:suppressAutoHyphens w:val="0"/>
              <w:autoSpaceDN/>
              <w:spacing w:line="300" w:lineRule="exact"/>
              <w:jc w:val="right"/>
              <w:rPr>
                <w:rFonts w:ascii="Arial" w:hAnsi="Arial" w:cs="Arial"/>
                <w:bCs/>
                <w:sz w:val="18"/>
                <w:szCs w:val="18"/>
              </w:rPr>
            </w:pPr>
            <w:r w:rsidRPr="00587444">
              <w:rPr>
                <w:rFonts w:ascii="Arial" w:hAnsi="Arial" w:cs="Arial"/>
                <w:bCs/>
                <w:sz w:val="18"/>
                <w:szCs w:val="18"/>
              </w:rPr>
              <w:t>-</w:t>
            </w:r>
          </w:p>
        </w:tc>
        <w:tc>
          <w:tcPr>
            <w:tcW w:w="1134" w:type="dxa"/>
            <w:tcBorders>
              <w:top w:val="nil"/>
              <w:left w:val="nil"/>
              <w:bottom w:val="single" w:sz="4" w:space="0" w:color="auto"/>
              <w:right w:val="nil"/>
            </w:tcBorders>
            <w:shd w:val="clear" w:color="auto" w:fill="auto"/>
            <w:noWrap/>
            <w:vAlign w:val="bottom"/>
          </w:tcPr>
          <w:p w14:paraId="21BD2150" w14:textId="77777777" w:rsidR="00587444" w:rsidRPr="00587444" w:rsidRDefault="00587444" w:rsidP="00587444">
            <w:pPr>
              <w:suppressAutoHyphens w:val="0"/>
              <w:autoSpaceDN/>
              <w:spacing w:line="300" w:lineRule="exact"/>
              <w:jc w:val="right"/>
              <w:rPr>
                <w:rFonts w:ascii="Arial" w:hAnsi="Arial" w:cs="Arial"/>
                <w:bCs/>
                <w:sz w:val="18"/>
                <w:szCs w:val="18"/>
              </w:rPr>
            </w:pPr>
            <w:r w:rsidRPr="00587444">
              <w:rPr>
                <w:rFonts w:ascii="Arial" w:hAnsi="Arial" w:cs="Arial"/>
                <w:bCs/>
                <w:sz w:val="18"/>
                <w:szCs w:val="18"/>
              </w:rPr>
              <w:t>(672)</w:t>
            </w:r>
          </w:p>
        </w:tc>
      </w:tr>
      <w:tr w:rsidR="00587444" w:rsidRPr="00587444" w14:paraId="1A487E8D" w14:textId="77777777" w:rsidTr="00DD69E7">
        <w:trPr>
          <w:trHeight w:val="315"/>
        </w:trPr>
        <w:tc>
          <w:tcPr>
            <w:tcW w:w="3369" w:type="dxa"/>
            <w:tcBorders>
              <w:left w:val="nil"/>
              <w:right w:val="nil"/>
            </w:tcBorders>
            <w:shd w:val="clear" w:color="auto" w:fill="auto"/>
            <w:vAlign w:val="bottom"/>
          </w:tcPr>
          <w:p w14:paraId="5E28F55E" w14:textId="77777777" w:rsidR="00587444" w:rsidRPr="00587444" w:rsidRDefault="00587444" w:rsidP="00587444">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Profit for the year</w:t>
            </w:r>
          </w:p>
        </w:tc>
        <w:tc>
          <w:tcPr>
            <w:tcW w:w="1275" w:type="dxa"/>
            <w:shd w:val="clear" w:color="auto" w:fill="auto"/>
            <w:noWrap/>
          </w:tcPr>
          <w:p w14:paraId="645A0644"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186,173 </w:t>
            </w:r>
          </w:p>
        </w:tc>
        <w:tc>
          <w:tcPr>
            <w:tcW w:w="1418" w:type="dxa"/>
            <w:shd w:val="clear" w:color="auto" w:fill="auto"/>
            <w:noWrap/>
          </w:tcPr>
          <w:p w14:paraId="6CAF46DA"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2,778 </w:t>
            </w:r>
          </w:p>
        </w:tc>
        <w:tc>
          <w:tcPr>
            <w:tcW w:w="1134" w:type="dxa"/>
            <w:tcBorders>
              <w:top w:val="single" w:sz="4" w:space="0" w:color="auto"/>
              <w:left w:val="nil"/>
              <w:bottom w:val="single" w:sz="12" w:space="0" w:color="auto"/>
              <w:right w:val="nil"/>
            </w:tcBorders>
            <w:shd w:val="clear" w:color="auto" w:fill="auto"/>
            <w:noWrap/>
          </w:tcPr>
          <w:p w14:paraId="1B3E0578"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507 </w:t>
            </w:r>
          </w:p>
        </w:tc>
        <w:tc>
          <w:tcPr>
            <w:tcW w:w="1309" w:type="dxa"/>
            <w:tcBorders>
              <w:top w:val="single" w:sz="4" w:space="0" w:color="auto"/>
              <w:left w:val="nil"/>
              <w:bottom w:val="single" w:sz="12" w:space="0" w:color="auto"/>
              <w:right w:val="nil"/>
            </w:tcBorders>
            <w:shd w:val="clear" w:color="auto" w:fill="auto"/>
            <w:noWrap/>
          </w:tcPr>
          <w:p w14:paraId="35649234"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 </w:t>
            </w:r>
          </w:p>
        </w:tc>
        <w:tc>
          <w:tcPr>
            <w:tcW w:w="1134" w:type="dxa"/>
            <w:tcBorders>
              <w:top w:val="single" w:sz="4" w:space="0" w:color="auto"/>
              <w:left w:val="nil"/>
              <w:bottom w:val="single" w:sz="12" w:space="0" w:color="auto"/>
              <w:right w:val="nil"/>
            </w:tcBorders>
            <w:shd w:val="clear" w:color="auto" w:fill="auto"/>
            <w:noWrap/>
          </w:tcPr>
          <w:p w14:paraId="6E49A4E9"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189,458 </w:t>
            </w:r>
          </w:p>
        </w:tc>
      </w:tr>
      <w:tr w:rsidR="00587444" w:rsidRPr="00587444" w14:paraId="5D5D98AB" w14:textId="77777777" w:rsidTr="00DD69E7">
        <w:trPr>
          <w:trHeight w:val="52"/>
        </w:trPr>
        <w:tc>
          <w:tcPr>
            <w:tcW w:w="3369" w:type="dxa"/>
            <w:tcBorders>
              <w:left w:val="nil"/>
              <w:bottom w:val="nil"/>
              <w:right w:val="nil"/>
            </w:tcBorders>
            <w:shd w:val="clear" w:color="auto" w:fill="auto"/>
            <w:vAlign w:val="bottom"/>
          </w:tcPr>
          <w:p w14:paraId="6A2B9D18"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shd w:val="clear" w:color="auto" w:fill="auto"/>
            <w:noWrap/>
            <w:vAlign w:val="bottom"/>
          </w:tcPr>
          <w:p w14:paraId="26369290"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shd w:val="clear" w:color="auto" w:fill="auto"/>
            <w:noWrap/>
            <w:vAlign w:val="bottom"/>
          </w:tcPr>
          <w:p w14:paraId="16A166EC"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48F61F96"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shd w:val="clear" w:color="auto" w:fill="auto"/>
            <w:noWrap/>
            <w:vAlign w:val="bottom"/>
          </w:tcPr>
          <w:p w14:paraId="25268BA5"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52C7FDBA" w14:textId="77777777" w:rsidR="00587444" w:rsidRPr="00587444" w:rsidRDefault="00587444" w:rsidP="00587444">
            <w:pPr>
              <w:suppressAutoHyphens w:val="0"/>
              <w:autoSpaceDN/>
              <w:spacing w:line="140" w:lineRule="exact"/>
              <w:jc w:val="right"/>
              <w:rPr>
                <w:rFonts w:ascii="Arial" w:hAnsi="Arial" w:cs="Arial"/>
                <w:sz w:val="18"/>
                <w:szCs w:val="18"/>
              </w:rPr>
            </w:pPr>
          </w:p>
        </w:tc>
      </w:tr>
      <w:tr w:rsidR="00587444" w:rsidRPr="00587444" w14:paraId="44263851" w14:textId="77777777" w:rsidTr="00DD69E7">
        <w:trPr>
          <w:trHeight w:val="300"/>
        </w:trPr>
        <w:tc>
          <w:tcPr>
            <w:tcW w:w="3369" w:type="dxa"/>
            <w:tcBorders>
              <w:top w:val="nil"/>
              <w:left w:val="nil"/>
              <w:right w:val="nil"/>
            </w:tcBorders>
            <w:shd w:val="clear" w:color="auto" w:fill="auto"/>
            <w:vAlign w:val="bottom"/>
          </w:tcPr>
          <w:p w14:paraId="6AB6B8A0" w14:textId="77777777" w:rsidR="00587444" w:rsidRPr="00587444" w:rsidRDefault="00587444" w:rsidP="00587444">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31 December 2022</w:t>
            </w:r>
          </w:p>
        </w:tc>
        <w:tc>
          <w:tcPr>
            <w:tcW w:w="1275" w:type="dxa"/>
            <w:tcBorders>
              <w:top w:val="nil"/>
              <w:left w:val="nil"/>
              <w:bottom w:val="single" w:sz="4" w:space="0" w:color="auto"/>
              <w:right w:val="nil"/>
            </w:tcBorders>
            <w:shd w:val="clear" w:color="auto" w:fill="auto"/>
            <w:noWrap/>
            <w:vAlign w:val="bottom"/>
          </w:tcPr>
          <w:p w14:paraId="7ED5D087" w14:textId="77777777" w:rsidR="00587444" w:rsidRPr="00587444" w:rsidRDefault="00587444" w:rsidP="00587444">
            <w:pPr>
              <w:suppressAutoHyphens w:val="0"/>
              <w:autoSpaceDN/>
              <w:spacing w:line="300" w:lineRule="exact"/>
              <w:jc w:val="right"/>
              <w:rPr>
                <w:rFonts w:ascii="Arial" w:hAnsi="Arial" w:cs="Arial"/>
                <w:sz w:val="18"/>
                <w:szCs w:val="18"/>
              </w:rPr>
            </w:pPr>
          </w:p>
        </w:tc>
        <w:tc>
          <w:tcPr>
            <w:tcW w:w="1418" w:type="dxa"/>
            <w:tcBorders>
              <w:top w:val="nil"/>
              <w:left w:val="nil"/>
              <w:bottom w:val="single" w:sz="4" w:space="0" w:color="auto"/>
              <w:right w:val="nil"/>
            </w:tcBorders>
            <w:shd w:val="clear" w:color="auto" w:fill="auto"/>
            <w:noWrap/>
            <w:vAlign w:val="bottom"/>
          </w:tcPr>
          <w:p w14:paraId="6BADB54A" w14:textId="77777777" w:rsidR="00587444" w:rsidRPr="00587444" w:rsidRDefault="00587444" w:rsidP="00587444">
            <w:pPr>
              <w:suppressAutoHyphens w:val="0"/>
              <w:autoSpaceDN/>
              <w:spacing w:line="300" w:lineRule="exact"/>
              <w:jc w:val="right"/>
              <w:rPr>
                <w:rFonts w:ascii="Arial" w:hAnsi="Arial" w:cs="Arial"/>
                <w:sz w:val="18"/>
                <w:szCs w:val="18"/>
              </w:rPr>
            </w:pPr>
          </w:p>
        </w:tc>
        <w:tc>
          <w:tcPr>
            <w:tcW w:w="1134" w:type="dxa"/>
            <w:tcBorders>
              <w:top w:val="nil"/>
              <w:left w:val="nil"/>
              <w:bottom w:val="single" w:sz="4" w:space="0" w:color="auto"/>
              <w:right w:val="nil"/>
            </w:tcBorders>
            <w:shd w:val="clear" w:color="auto" w:fill="auto"/>
            <w:noWrap/>
            <w:vAlign w:val="bottom"/>
          </w:tcPr>
          <w:p w14:paraId="0210C79B" w14:textId="77777777" w:rsidR="00587444" w:rsidRPr="00587444" w:rsidRDefault="00587444" w:rsidP="00587444">
            <w:pPr>
              <w:suppressAutoHyphens w:val="0"/>
              <w:autoSpaceDN/>
              <w:spacing w:line="300" w:lineRule="exact"/>
              <w:jc w:val="right"/>
              <w:rPr>
                <w:rFonts w:ascii="Arial" w:hAnsi="Arial" w:cs="Arial"/>
                <w:sz w:val="18"/>
                <w:szCs w:val="18"/>
              </w:rPr>
            </w:pPr>
          </w:p>
        </w:tc>
        <w:tc>
          <w:tcPr>
            <w:tcW w:w="1309" w:type="dxa"/>
            <w:tcBorders>
              <w:top w:val="nil"/>
              <w:left w:val="nil"/>
              <w:bottom w:val="single" w:sz="4" w:space="0" w:color="auto"/>
              <w:right w:val="nil"/>
            </w:tcBorders>
            <w:shd w:val="clear" w:color="auto" w:fill="auto"/>
            <w:noWrap/>
            <w:vAlign w:val="bottom"/>
          </w:tcPr>
          <w:p w14:paraId="58C63231" w14:textId="77777777" w:rsidR="00587444" w:rsidRPr="00587444" w:rsidRDefault="00587444" w:rsidP="00587444">
            <w:pPr>
              <w:suppressAutoHyphens w:val="0"/>
              <w:autoSpaceDN/>
              <w:spacing w:line="300" w:lineRule="exact"/>
              <w:jc w:val="right"/>
              <w:rPr>
                <w:rFonts w:ascii="Arial" w:hAnsi="Arial" w:cs="Arial"/>
                <w:sz w:val="18"/>
                <w:szCs w:val="18"/>
              </w:rPr>
            </w:pPr>
          </w:p>
        </w:tc>
        <w:tc>
          <w:tcPr>
            <w:tcW w:w="1134" w:type="dxa"/>
            <w:tcBorders>
              <w:top w:val="nil"/>
              <w:left w:val="nil"/>
              <w:bottom w:val="single" w:sz="4" w:space="0" w:color="auto"/>
              <w:right w:val="nil"/>
            </w:tcBorders>
            <w:shd w:val="clear" w:color="auto" w:fill="auto"/>
            <w:noWrap/>
            <w:vAlign w:val="bottom"/>
          </w:tcPr>
          <w:p w14:paraId="46805413" w14:textId="77777777" w:rsidR="00587444" w:rsidRPr="00587444" w:rsidRDefault="00587444" w:rsidP="00587444">
            <w:pPr>
              <w:suppressAutoHyphens w:val="0"/>
              <w:autoSpaceDN/>
              <w:spacing w:line="300" w:lineRule="exact"/>
              <w:jc w:val="right"/>
              <w:rPr>
                <w:rFonts w:ascii="Arial" w:hAnsi="Arial" w:cs="Arial"/>
                <w:sz w:val="18"/>
                <w:szCs w:val="18"/>
              </w:rPr>
            </w:pPr>
          </w:p>
        </w:tc>
      </w:tr>
      <w:tr w:rsidR="00587444" w:rsidRPr="00587444" w14:paraId="31407C61" w14:textId="77777777" w:rsidTr="00DD69E7">
        <w:trPr>
          <w:trHeight w:val="300"/>
        </w:trPr>
        <w:tc>
          <w:tcPr>
            <w:tcW w:w="3369" w:type="dxa"/>
            <w:tcBorders>
              <w:top w:val="nil"/>
              <w:left w:val="nil"/>
              <w:right w:val="nil"/>
            </w:tcBorders>
            <w:shd w:val="clear" w:color="auto" w:fill="auto"/>
            <w:vAlign w:val="bottom"/>
          </w:tcPr>
          <w:p w14:paraId="094B45FC"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Assets of segment</w:t>
            </w:r>
          </w:p>
        </w:tc>
        <w:tc>
          <w:tcPr>
            <w:tcW w:w="1275" w:type="dxa"/>
            <w:tcBorders>
              <w:top w:val="nil"/>
              <w:left w:val="nil"/>
              <w:bottom w:val="single" w:sz="4" w:space="0" w:color="auto"/>
              <w:right w:val="nil"/>
            </w:tcBorders>
            <w:shd w:val="clear" w:color="auto" w:fill="auto"/>
            <w:noWrap/>
          </w:tcPr>
          <w:p w14:paraId="27C87DC2"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b/>
                <w:bCs/>
                <w:color w:val="000000"/>
                <w:sz w:val="18"/>
                <w:szCs w:val="18"/>
                <w:lang w:val="hr-HR"/>
              </w:rPr>
              <w:t xml:space="preserve">29,032,307 </w:t>
            </w:r>
          </w:p>
        </w:tc>
        <w:tc>
          <w:tcPr>
            <w:tcW w:w="1418" w:type="dxa"/>
            <w:tcBorders>
              <w:top w:val="nil"/>
              <w:left w:val="nil"/>
              <w:bottom w:val="single" w:sz="4" w:space="0" w:color="auto"/>
              <w:right w:val="nil"/>
            </w:tcBorders>
            <w:shd w:val="clear" w:color="auto" w:fill="auto"/>
            <w:noWrap/>
          </w:tcPr>
          <w:p w14:paraId="518D5192"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b/>
                <w:bCs/>
                <w:color w:val="000000"/>
                <w:sz w:val="18"/>
                <w:szCs w:val="18"/>
                <w:lang w:val="hr-HR"/>
              </w:rPr>
              <w:t xml:space="preserve"> 83,316 </w:t>
            </w:r>
          </w:p>
        </w:tc>
        <w:tc>
          <w:tcPr>
            <w:tcW w:w="1134" w:type="dxa"/>
            <w:tcBorders>
              <w:top w:val="nil"/>
              <w:left w:val="nil"/>
              <w:bottom w:val="single" w:sz="4" w:space="0" w:color="auto"/>
              <w:right w:val="nil"/>
            </w:tcBorders>
            <w:shd w:val="clear" w:color="auto" w:fill="auto"/>
            <w:noWrap/>
          </w:tcPr>
          <w:p w14:paraId="357F1C91"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b/>
                <w:bCs/>
                <w:color w:val="000000"/>
                <w:sz w:val="18"/>
                <w:szCs w:val="18"/>
                <w:lang w:val="hr-HR"/>
              </w:rPr>
              <w:t xml:space="preserve"> 1,192 </w:t>
            </w:r>
          </w:p>
        </w:tc>
        <w:tc>
          <w:tcPr>
            <w:tcW w:w="1309" w:type="dxa"/>
            <w:tcBorders>
              <w:top w:val="nil"/>
              <w:left w:val="nil"/>
              <w:bottom w:val="single" w:sz="4" w:space="0" w:color="auto"/>
              <w:right w:val="nil"/>
            </w:tcBorders>
            <w:shd w:val="clear" w:color="auto" w:fill="auto"/>
            <w:noWrap/>
          </w:tcPr>
          <w:p w14:paraId="6877A7F0"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b/>
                <w:bCs/>
                <w:color w:val="000000"/>
                <w:sz w:val="18"/>
                <w:szCs w:val="18"/>
                <w:lang w:val="hr-HR"/>
              </w:rPr>
              <w:t xml:space="preserve"> (56,652)</w:t>
            </w:r>
          </w:p>
        </w:tc>
        <w:tc>
          <w:tcPr>
            <w:tcW w:w="1134" w:type="dxa"/>
            <w:tcBorders>
              <w:top w:val="nil"/>
              <w:left w:val="nil"/>
              <w:bottom w:val="single" w:sz="4" w:space="0" w:color="auto"/>
              <w:right w:val="nil"/>
            </w:tcBorders>
            <w:shd w:val="clear" w:color="auto" w:fill="auto"/>
            <w:noWrap/>
          </w:tcPr>
          <w:p w14:paraId="5172840B"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b/>
                <w:bCs/>
                <w:color w:val="000000"/>
                <w:sz w:val="18"/>
                <w:szCs w:val="18"/>
                <w:lang w:val="hr-HR"/>
              </w:rPr>
              <w:t xml:space="preserve">29,060,163 </w:t>
            </w:r>
          </w:p>
        </w:tc>
      </w:tr>
      <w:tr w:rsidR="00587444" w:rsidRPr="00587444" w14:paraId="65F3B931" w14:textId="77777777" w:rsidTr="00DD69E7">
        <w:trPr>
          <w:trHeight w:val="315"/>
        </w:trPr>
        <w:tc>
          <w:tcPr>
            <w:tcW w:w="3369" w:type="dxa"/>
            <w:tcBorders>
              <w:left w:val="nil"/>
              <w:right w:val="nil"/>
            </w:tcBorders>
            <w:shd w:val="clear" w:color="auto" w:fill="auto"/>
            <w:vAlign w:val="bottom"/>
          </w:tcPr>
          <w:p w14:paraId="11F05BAD" w14:textId="77777777" w:rsidR="00587444" w:rsidRPr="00587444" w:rsidRDefault="00587444" w:rsidP="00587444">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Total assets</w:t>
            </w:r>
          </w:p>
        </w:tc>
        <w:tc>
          <w:tcPr>
            <w:tcW w:w="1275" w:type="dxa"/>
            <w:tcBorders>
              <w:top w:val="single" w:sz="4" w:space="0" w:color="auto"/>
              <w:left w:val="nil"/>
              <w:bottom w:val="single" w:sz="12" w:space="0" w:color="auto"/>
              <w:right w:val="nil"/>
            </w:tcBorders>
            <w:shd w:val="clear" w:color="auto" w:fill="auto"/>
            <w:noWrap/>
          </w:tcPr>
          <w:p w14:paraId="4CF9A56F" w14:textId="77777777" w:rsidR="00587444" w:rsidRPr="00587444" w:rsidRDefault="00587444" w:rsidP="00587444">
            <w:pPr>
              <w:suppressAutoHyphens w:val="0"/>
              <w:autoSpaceDN/>
              <w:spacing w:line="300" w:lineRule="exact"/>
              <w:jc w:val="right"/>
              <w:rPr>
                <w:rFonts w:ascii="Arial" w:hAnsi="Arial" w:cs="Arial"/>
                <w:b/>
                <w:sz w:val="18"/>
                <w:szCs w:val="18"/>
              </w:rPr>
            </w:pPr>
            <w:r w:rsidRPr="00587444">
              <w:rPr>
                <w:rFonts w:ascii="Arial" w:hAnsi="Arial" w:cs="Arial"/>
                <w:b/>
                <w:bCs/>
                <w:color w:val="000000"/>
                <w:sz w:val="18"/>
                <w:szCs w:val="18"/>
                <w:lang w:val="hr-HR"/>
              </w:rPr>
              <w:t xml:space="preserve">29,032,307 </w:t>
            </w:r>
          </w:p>
        </w:tc>
        <w:tc>
          <w:tcPr>
            <w:tcW w:w="1418" w:type="dxa"/>
            <w:tcBorders>
              <w:top w:val="single" w:sz="4" w:space="0" w:color="auto"/>
              <w:left w:val="nil"/>
              <w:bottom w:val="single" w:sz="12" w:space="0" w:color="auto"/>
              <w:right w:val="nil"/>
            </w:tcBorders>
            <w:shd w:val="clear" w:color="auto" w:fill="auto"/>
            <w:noWrap/>
          </w:tcPr>
          <w:p w14:paraId="204C65E6" w14:textId="77777777" w:rsidR="00587444" w:rsidRPr="00587444" w:rsidRDefault="00587444" w:rsidP="00587444">
            <w:pPr>
              <w:suppressAutoHyphens w:val="0"/>
              <w:autoSpaceDN/>
              <w:spacing w:line="300" w:lineRule="exact"/>
              <w:jc w:val="right"/>
              <w:rPr>
                <w:rFonts w:ascii="Arial" w:hAnsi="Arial" w:cs="Arial"/>
                <w:b/>
                <w:sz w:val="18"/>
                <w:szCs w:val="18"/>
              </w:rPr>
            </w:pPr>
            <w:r w:rsidRPr="00587444">
              <w:rPr>
                <w:rFonts w:ascii="Arial" w:hAnsi="Arial" w:cs="Arial"/>
                <w:b/>
                <w:bCs/>
                <w:color w:val="000000"/>
                <w:sz w:val="18"/>
                <w:szCs w:val="18"/>
                <w:lang w:val="hr-HR"/>
              </w:rPr>
              <w:t xml:space="preserve"> 83,316 </w:t>
            </w:r>
          </w:p>
        </w:tc>
        <w:tc>
          <w:tcPr>
            <w:tcW w:w="1134" w:type="dxa"/>
            <w:tcBorders>
              <w:top w:val="single" w:sz="4" w:space="0" w:color="auto"/>
              <w:left w:val="nil"/>
              <w:bottom w:val="single" w:sz="12" w:space="0" w:color="auto"/>
              <w:right w:val="nil"/>
            </w:tcBorders>
            <w:shd w:val="clear" w:color="auto" w:fill="auto"/>
            <w:noWrap/>
          </w:tcPr>
          <w:p w14:paraId="2DEDE27A" w14:textId="77777777" w:rsidR="00587444" w:rsidRPr="00587444" w:rsidRDefault="00587444" w:rsidP="00587444">
            <w:pPr>
              <w:suppressAutoHyphens w:val="0"/>
              <w:autoSpaceDN/>
              <w:spacing w:line="300" w:lineRule="exact"/>
              <w:jc w:val="right"/>
              <w:rPr>
                <w:rFonts w:ascii="Arial" w:hAnsi="Arial" w:cs="Arial"/>
                <w:b/>
                <w:sz w:val="18"/>
                <w:szCs w:val="18"/>
              </w:rPr>
            </w:pPr>
            <w:r w:rsidRPr="00587444">
              <w:rPr>
                <w:rFonts w:ascii="Arial" w:hAnsi="Arial" w:cs="Arial"/>
                <w:b/>
                <w:bCs/>
                <w:color w:val="000000"/>
                <w:sz w:val="18"/>
                <w:szCs w:val="18"/>
                <w:lang w:val="hr-HR"/>
              </w:rPr>
              <w:t xml:space="preserve"> 1,192 </w:t>
            </w:r>
          </w:p>
        </w:tc>
        <w:tc>
          <w:tcPr>
            <w:tcW w:w="1309" w:type="dxa"/>
            <w:tcBorders>
              <w:top w:val="single" w:sz="4" w:space="0" w:color="auto"/>
              <w:left w:val="nil"/>
              <w:bottom w:val="single" w:sz="12" w:space="0" w:color="auto"/>
              <w:right w:val="nil"/>
            </w:tcBorders>
            <w:shd w:val="clear" w:color="auto" w:fill="auto"/>
            <w:noWrap/>
          </w:tcPr>
          <w:p w14:paraId="1A162575" w14:textId="77777777" w:rsidR="00587444" w:rsidRPr="00587444" w:rsidRDefault="00587444" w:rsidP="00587444">
            <w:pPr>
              <w:suppressAutoHyphens w:val="0"/>
              <w:autoSpaceDN/>
              <w:spacing w:line="300" w:lineRule="exact"/>
              <w:jc w:val="right"/>
              <w:rPr>
                <w:rFonts w:ascii="Arial" w:hAnsi="Arial" w:cs="Arial"/>
                <w:b/>
                <w:sz w:val="18"/>
                <w:szCs w:val="18"/>
              </w:rPr>
            </w:pPr>
            <w:r w:rsidRPr="00587444">
              <w:rPr>
                <w:rFonts w:ascii="Arial" w:hAnsi="Arial" w:cs="Arial"/>
                <w:b/>
                <w:bCs/>
                <w:color w:val="000000"/>
                <w:sz w:val="18"/>
                <w:szCs w:val="18"/>
                <w:lang w:val="hr-HR"/>
              </w:rPr>
              <w:t xml:space="preserve"> (56,652)</w:t>
            </w:r>
          </w:p>
        </w:tc>
        <w:tc>
          <w:tcPr>
            <w:tcW w:w="1134" w:type="dxa"/>
            <w:tcBorders>
              <w:top w:val="single" w:sz="4" w:space="0" w:color="auto"/>
              <w:left w:val="nil"/>
              <w:bottom w:val="single" w:sz="12" w:space="0" w:color="auto"/>
              <w:right w:val="nil"/>
            </w:tcBorders>
            <w:shd w:val="clear" w:color="auto" w:fill="auto"/>
            <w:noWrap/>
          </w:tcPr>
          <w:p w14:paraId="5EA7C9C0" w14:textId="77777777" w:rsidR="00587444" w:rsidRPr="00587444" w:rsidRDefault="00587444" w:rsidP="00587444">
            <w:pPr>
              <w:suppressAutoHyphens w:val="0"/>
              <w:autoSpaceDN/>
              <w:spacing w:line="300" w:lineRule="exact"/>
              <w:jc w:val="right"/>
              <w:rPr>
                <w:rFonts w:ascii="Arial" w:hAnsi="Arial" w:cs="Arial"/>
                <w:b/>
                <w:sz w:val="18"/>
                <w:szCs w:val="18"/>
              </w:rPr>
            </w:pPr>
            <w:r w:rsidRPr="00587444">
              <w:rPr>
                <w:rFonts w:ascii="Arial" w:hAnsi="Arial" w:cs="Arial"/>
                <w:b/>
                <w:bCs/>
                <w:color w:val="000000"/>
                <w:sz w:val="18"/>
                <w:szCs w:val="18"/>
                <w:lang w:val="hr-HR"/>
              </w:rPr>
              <w:t xml:space="preserve">29,060,163 </w:t>
            </w:r>
          </w:p>
        </w:tc>
      </w:tr>
      <w:tr w:rsidR="00587444" w:rsidRPr="00587444" w14:paraId="74A0C2BD" w14:textId="77777777" w:rsidTr="00DD69E7">
        <w:trPr>
          <w:trHeight w:val="121"/>
        </w:trPr>
        <w:tc>
          <w:tcPr>
            <w:tcW w:w="3369" w:type="dxa"/>
            <w:tcBorders>
              <w:left w:val="nil"/>
              <w:bottom w:val="nil"/>
              <w:right w:val="nil"/>
            </w:tcBorders>
            <w:shd w:val="clear" w:color="auto" w:fill="auto"/>
            <w:vAlign w:val="bottom"/>
          </w:tcPr>
          <w:p w14:paraId="521482F6"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shd w:val="clear" w:color="auto" w:fill="auto"/>
            <w:noWrap/>
            <w:vAlign w:val="bottom"/>
          </w:tcPr>
          <w:p w14:paraId="77F1025D"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shd w:val="clear" w:color="auto" w:fill="auto"/>
            <w:noWrap/>
            <w:vAlign w:val="bottom"/>
          </w:tcPr>
          <w:p w14:paraId="73F4924F"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089DC987"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shd w:val="clear" w:color="auto" w:fill="auto"/>
            <w:noWrap/>
            <w:vAlign w:val="bottom"/>
          </w:tcPr>
          <w:p w14:paraId="2848F804"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125F7F3B" w14:textId="77777777" w:rsidR="00587444" w:rsidRPr="00587444" w:rsidRDefault="00587444" w:rsidP="00587444">
            <w:pPr>
              <w:suppressAutoHyphens w:val="0"/>
              <w:autoSpaceDN/>
              <w:spacing w:line="140" w:lineRule="exact"/>
              <w:jc w:val="right"/>
              <w:rPr>
                <w:rFonts w:ascii="Arial" w:hAnsi="Arial" w:cs="Arial"/>
                <w:sz w:val="18"/>
                <w:szCs w:val="18"/>
              </w:rPr>
            </w:pPr>
          </w:p>
        </w:tc>
      </w:tr>
      <w:tr w:rsidR="00587444" w:rsidRPr="00587444" w14:paraId="37958B09" w14:textId="77777777" w:rsidTr="00DD69E7">
        <w:trPr>
          <w:trHeight w:val="300"/>
        </w:trPr>
        <w:tc>
          <w:tcPr>
            <w:tcW w:w="3369" w:type="dxa"/>
            <w:tcBorders>
              <w:top w:val="nil"/>
              <w:left w:val="nil"/>
              <w:bottom w:val="nil"/>
              <w:right w:val="nil"/>
            </w:tcBorders>
            <w:shd w:val="clear" w:color="auto" w:fill="auto"/>
            <w:vAlign w:val="bottom"/>
          </w:tcPr>
          <w:p w14:paraId="565BB15D"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Liabilities of segment</w:t>
            </w:r>
          </w:p>
        </w:tc>
        <w:tc>
          <w:tcPr>
            <w:tcW w:w="1275" w:type="dxa"/>
            <w:shd w:val="clear" w:color="auto" w:fill="auto"/>
            <w:noWrap/>
          </w:tcPr>
          <w:p w14:paraId="16B01B6C"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b/>
                <w:bCs/>
                <w:color w:val="000000"/>
                <w:sz w:val="18"/>
                <w:szCs w:val="18"/>
                <w:lang w:val="hr-HR"/>
              </w:rPr>
              <w:t xml:space="preserve">18,321,707 </w:t>
            </w:r>
          </w:p>
        </w:tc>
        <w:tc>
          <w:tcPr>
            <w:tcW w:w="1418" w:type="dxa"/>
            <w:shd w:val="clear" w:color="auto" w:fill="auto"/>
            <w:noWrap/>
          </w:tcPr>
          <w:p w14:paraId="7D18C184"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b/>
                <w:bCs/>
                <w:color w:val="000000"/>
                <w:sz w:val="18"/>
                <w:szCs w:val="18"/>
                <w:lang w:val="hr-HR"/>
              </w:rPr>
              <w:t xml:space="preserve"> 23,286 </w:t>
            </w:r>
          </w:p>
        </w:tc>
        <w:tc>
          <w:tcPr>
            <w:tcW w:w="1134" w:type="dxa"/>
            <w:shd w:val="clear" w:color="auto" w:fill="auto"/>
            <w:noWrap/>
          </w:tcPr>
          <w:p w14:paraId="39C4E981"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b/>
                <w:bCs/>
                <w:color w:val="000000"/>
                <w:sz w:val="18"/>
                <w:szCs w:val="18"/>
                <w:lang w:val="hr-HR"/>
              </w:rPr>
              <w:t xml:space="preserve"> 170 </w:t>
            </w:r>
          </w:p>
        </w:tc>
        <w:tc>
          <w:tcPr>
            <w:tcW w:w="1309" w:type="dxa"/>
            <w:shd w:val="clear" w:color="auto" w:fill="auto"/>
            <w:noWrap/>
          </w:tcPr>
          <w:p w14:paraId="523EB9C7"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b/>
                <w:bCs/>
                <w:color w:val="000000"/>
                <w:sz w:val="18"/>
                <w:szCs w:val="18"/>
                <w:lang w:val="hr-HR"/>
              </w:rPr>
              <w:t xml:space="preserve"> (26)</w:t>
            </w:r>
          </w:p>
        </w:tc>
        <w:tc>
          <w:tcPr>
            <w:tcW w:w="1134" w:type="dxa"/>
            <w:shd w:val="clear" w:color="auto" w:fill="auto"/>
            <w:noWrap/>
          </w:tcPr>
          <w:p w14:paraId="4B69DECF"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b/>
                <w:bCs/>
                <w:color w:val="000000"/>
                <w:sz w:val="18"/>
                <w:szCs w:val="18"/>
                <w:lang w:val="hr-HR"/>
              </w:rPr>
              <w:t xml:space="preserve">18,345,137 </w:t>
            </w:r>
          </w:p>
        </w:tc>
      </w:tr>
      <w:tr w:rsidR="00587444" w:rsidRPr="00587444" w14:paraId="27C90E72" w14:textId="77777777" w:rsidTr="00DD69E7">
        <w:trPr>
          <w:trHeight w:val="300"/>
        </w:trPr>
        <w:tc>
          <w:tcPr>
            <w:tcW w:w="3369" w:type="dxa"/>
            <w:tcBorders>
              <w:top w:val="nil"/>
              <w:left w:val="nil"/>
              <w:right w:val="nil"/>
            </w:tcBorders>
            <w:shd w:val="clear" w:color="auto" w:fill="auto"/>
            <w:vAlign w:val="bottom"/>
          </w:tcPr>
          <w:p w14:paraId="7F0397F4"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Total equity</w:t>
            </w:r>
          </w:p>
        </w:tc>
        <w:tc>
          <w:tcPr>
            <w:tcW w:w="1275" w:type="dxa"/>
            <w:tcBorders>
              <w:top w:val="nil"/>
              <w:left w:val="nil"/>
              <w:bottom w:val="single" w:sz="4" w:space="0" w:color="auto"/>
              <w:right w:val="nil"/>
            </w:tcBorders>
            <w:shd w:val="clear" w:color="auto" w:fill="auto"/>
            <w:noWrap/>
          </w:tcPr>
          <w:p w14:paraId="47E97AFA"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b/>
                <w:bCs/>
                <w:color w:val="000000"/>
                <w:sz w:val="18"/>
                <w:szCs w:val="18"/>
                <w:lang w:val="hr-HR"/>
              </w:rPr>
              <w:t xml:space="preserve">10,710,600 </w:t>
            </w:r>
          </w:p>
        </w:tc>
        <w:tc>
          <w:tcPr>
            <w:tcW w:w="1418" w:type="dxa"/>
            <w:tcBorders>
              <w:top w:val="nil"/>
              <w:left w:val="nil"/>
              <w:bottom w:val="single" w:sz="4" w:space="0" w:color="auto"/>
              <w:right w:val="nil"/>
            </w:tcBorders>
            <w:shd w:val="clear" w:color="auto" w:fill="auto"/>
            <w:noWrap/>
          </w:tcPr>
          <w:p w14:paraId="631FB517"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b/>
                <w:bCs/>
                <w:color w:val="000000"/>
                <w:sz w:val="18"/>
                <w:szCs w:val="18"/>
                <w:lang w:val="hr-HR"/>
              </w:rPr>
              <w:t xml:space="preserve"> 2,112 </w:t>
            </w:r>
          </w:p>
        </w:tc>
        <w:tc>
          <w:tcPr>
            <w:tcW w:w="1134" w:type="dxa"/>
            <w:tcBorders>
              <w:top w:val="nil"/>
              <w:left w:val="nil"/>
              <w:bottom w:val="single" w:sz="4" w:space="0" w:color="auto"/>
              <w:right w:val="nil"/>
            </w:tcBorders>
            <w:shd w:val="clear" w:color="auto" w:fill="auto"/>
            <w:noWrap/>
          </w:tcPr>
          <w:p w14:paraId="52731F40"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b/>
                <w:bCs/>
                <w:color w:val="000000"/>
                <w:sz w:val="18"/>
                <w:szCs w:val="18"/>
                <w:lang w:val="hr-HR"/>
              </w:rPr>
              <w:t xml:space="preserve"> 764 </w:t>
            </w:r>
          </w:p>
        </w:tc>
        <w:tc>
          <w:tcPr>
            <w:tcW w:w="1309" w:type="dxa"/>
            <w:tcBorders>
              <w:top w:val="nil"/>
              <w:left w:val="nil"/>
              <w:bottom w:val="single" w:sz="4" w:space="0" w:color="auto"/>
              <w:right w:val="nil"/>
            </w:tcBorders>
            <w:shd w:val="clear" w:color="auto" w:fill="auto"/>
            <w:noWrap/>
          </w:tcPr>
          <w:p w14:paraId="2582C9AC"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b/>
                <w:bCs/>
                <w:color w:val="000000"/>
                <w:sz w:val="18"/>
                <w:szCs w:val="18"/>
                <w:lang w:val="hr-HR"/>
              </w:rPr>
              <w:t xml:space="preserve"> 1,550 </w:t>
            </w:r>
          </w:p>
        </w:tc>
        <w:tc>
          <w:tcPr>
            <w:tcW w:w="1134" w:type="dxa"/>
            <w:tcBorders>
              <w:top w:val="nil"/>
              <w:left w:val="nil"/>
              <w:bottom w:val="single" w:sz="4" w:space="0" w:color="auto"/>
              <w:right w:val="nil"/>
            </w:tcBorders>
            <w:shd w:val="clear" w:color="auto" w:fill="auto"/>
            <w:noWrap/>
          </w:tcPr>
          <w:p w14:paraId="257F82C9"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b/>
                <w:bCs/>
                <w:color w:val="000000"/>
                <w:sz w:val="18"/>
                <w:szCs w:val="18"/>
                <w:lang w:val="hr-HR"/>
              </w:rPr>
              <w:t xml:space="preserve">10,715,026 </w:t>
            </w:r>
          </w:p>
        </w:tc>
      </w:tr>
      <w:tr w:rsidR="00587444" w:rsidRPr="00587444" w14:paraId="1CD1F169" w14:textId="77777777" w:rsidTr="00DD69E7">
        <w:trPr>
          <w:trHeight w:val="315"/>
        </w:trPr>
        <w:tc>
          <w:tcPr>
            <w:tcW w:w="3369" w:type="dxa"/>
            <w:tcBorders>
              <w:left w:val="nil"/>
              <w:right w:val="nil"/>
            </w:tcBorders>
            <w:shd w:val="clear" w:color="auto" w:fill="auto"/>
            <w:vAlign w:val="bottom"/>
          </w:tcPr>
          <w:p w14:paraId="673BF272" w14:textId="77777777" w:rsidR="00587444" w:rsidRPr="00587444" w:rsidRDefault="00587444" w:rsidP="00587444">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Total liabilities and total equity</w:t>
            </w:r>
          </w:p>
        </w:tc>
        <w:tc>
          <w:tcPr>
            <w:tcW w:w="1275" w:type="dxa"/>
            <w:tcBorders>
              <w:top w:val="single" w:sz="4" w:space="0" w:color="auto"/>
              <w:left w:val="nil"/>
              <w:bottom w:val="single" w:sz="12" w:space="0" w:color="auto"/>
              <w:right w:val="nil"/>
            </w:tcBorders>
            <w:shd w:val="clear" w:color="auto" w:fill="auto"/>
            <w:noWrap/>
          </w:tcPr>
          <w:p w14:paraId="01D0E0C0"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29,032,307 </w:t>
            </w:r>
          </w:p>
        </w:tc>
        <w:tc>
          <w:tcPr>
            <w:tcW w:w="1418" w:type="dxa"/>
            <w:tcBorders>
              <w:top w:val="single" w:sz="4" w:space="0" w:color="auto"/>
              <w:left w:val="nil"/>
              <w:bottom w:val="single" w:sz="12" w:space="0" w:color="auto"/>
              <w:right w:val="nil"/>
            </w:tcBorders>
            <w:shd w:val="clear" w:color="auto" w:fill="auto"/>
            <w:noWrap/>
          </w:tcPr>
          <w:p w14:paraId="454AD75A"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25,398 </w:t>
            </w:r>
          </w:p>
        </w:tc>
        <w:tc>
          <w:tcPr>
            <w:tcW w:w="1134" w:type="dxa"/>
            <w:tcBorders>
              <w:top w:val="single" w:sz="4" w:space="0" w:color="auto"/>
              <w:left w:val="nil"/>
              <w:bottom w:val="single" w:sz="12" w:space="0" w:color="auto"/>
              <w:right w:val="nil"/>
            </w:tcBorders>
            <w:shd w:val="clear" w:color="auto" w:fill="auto"/>
            <w:noWrap/>
          </w:tcPr>
          <w:p w14:paraId="63347AFA"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934 </w:t>
            </w:r>
          </w:p>
        </w:tc>
        <w:tc>
          <w:tcPr>
            <w:tcW w:w="1309" w:type="dxa"/>
            <w:tcBorders>
              <w:top w:val="single" w:sz="4" w:space="0" w:color="auto"/>
              <w:left w:val="nil"/>
              <w:bottom w:val="single" w:sz="12" w:space="0" w:color="auto"/>
              <w:right w:val="nil"/>
            </w:tcBorders>
            <w:shd w:val="clear" w:color="auto" w:fill="auto"/>
            <w:noWrap/>
          </w:tcPr>
          <w:p w14:paraId="6F5EAD26"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1,524 </w:t>
            </w:r>
          </w:p>
        </w:tc>
        <w:tc>
          <w:tcPr>
            <w:tcW w:w="1134" w:type="dxa"/>
            <w:tcBorders>
              <w:top w:val="single" w:sz="4" w:space="0" w:color="auto"/>
              <w:left w:val="nil"/>
              <w:bottom w:val="single" w:sz="12" w:space="0" w:color="auto"/>
              <w:right w:val="nil"/>
            </w:tcBorders>
            <w:shd w:val="clear" w:color="auto" w:fill="auto"/>
            <w:noWrap/>
          </w:tcPr>
          <w:p w14:paraId="1E256CF7"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29,060,163 </w:t>
            </w:r>
          </w:p>
        </w:tc>
      </w:tr>
    </w:tbl>
    <w:p w14:paraId="3D270D08" w14:textId="77777777" w:rsidR="00587444" w:rsidRPr="00587444" w:rsidRDefault="00587444" w:rsidP="00587444">
      <w:pPr>
        <w:suppressAutoHyphens w:val="0"/>
        <w:autoSpaceDN/>
        <w:jc w:val="both"/>
        <w:rPr>
          <w:rFonts w:ascii="Arial" w:hAnsi="Arial" w:cs="Arial"/>
          <w:sz w:val="20"/>
          <w:szCs w:val="20"/>
          <w:lang w:val="en"/>
        </w:rPr>
      </w:pPr>
    </w:p>
    <w:p w14:paraId="1E2BB51D" w14:textId="77777777" w:rsidR="00587444" w:rsidRPr="00587444" w:rsidRDefault="00587444" w:rsidP="00587444">
      <w:pPr>
        <w:suppressAutoHyphens w:val="0"/>
        <w:autoSpaceDN/>
        <w:jc w:val="both"/>
        <w:rPr>
          <w:rFonts w:ascii="Arial" w:hAnsi="Arial" w:cs="Arial"/>
          <w:sz w:val="20"/>
          <w:szCs w:val="20"/>
          <w:lang w:val="en"/>
        </w:rPr>
      </w:pPr>
      <w:r w:rsidRPr="00587444">
        <w:rPr>
          <w:rFonts w:ascii="Arial" w:hAnsi="Arial" w:cs="Arial"/>
          <w:sz w:val="20"/>
          <w:szCs w:val="20"/>
          <w:lang w:val="en"/>
        </w:rPr>
        <w:t>Intra-group transactions are presented under "Unallocated".</w:t>
      </w:r>
    </w:p>
    <w:p w14:paraId="0DCFDEC6" w14:textId="77777777" w:rsidR="00587444" w:rsidRPr="00587444" w:rsidRDefault="00587444" w:rsidP="00587444">
      <w:pPr>
        <w:suppressAutoHyphens w:val="0"/>
        <w:autoSpaceDN/>
        <w:jc w:val="both"/>
        <w:rPr>
          <w:rFonts w:ascii="Arial" w:hAnsi="Arial" w:cs="Arial"/>
          <w:sz w:val="20"/>
          <w:szCs w:val="20"/>
          <w:lang w:val="en"/>
        </w:rPr>
      </w:pPr>
    </w:p>
    <w:p w14:paraId="7AA1FF1C" w14:textId="77777777" w:rsidR="00587444" w:rsidRPr="00587444"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The Group decided to apply a simple approach of stating operating segments by taking into consideration the main business model of each member of the Group as previously described in this Note.</w:t>
      </w:r>
    </w:p>
    <w:p w14:paraId="33C4C351"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pPr>
    </w:p>
    <w:p w14:paraId="1E85D4DE"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0F440558" w14:textId="77777777" w:rsidR="00587444" w:rsidRPr="00587444" w:rsidRDefault="00587444" w:rsidP="00587444">
      <w:pPr>
        <w:suppressAutoHyphens w:val="0"/>
        <w:autoSpaceDN/>
        <w:jc w:val="both"/>
        <w:rPr>
          <w:rFonts w:ascii="Arial" w:hAnsi="Arial" w:cs="Arial"/>
          <w:b/>
          <w:spacing w:val="-3"/>
          <w:sz w:val="20"/>
          <w:szCs w:val="20"/>
          <w:lang w:val="en-GB"/>
        </w:rPr>
      </w:pPr>
    </w:p>
    <w:p w14:paraId="3F8DB964"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pacing w:val="-3"/>
          <w:sz w:val="20"/>
          <w:szCs w:val="20"/>
          <w:lang w:val="en-GB"/>
        </w:rPr>
        <w:t xml:space="preserve">33. </w:t>
      </w:r>
      <w:r w:rsidRPr="00587444">
        <w:rPr>
          <w:rFonts w:ascii="Arial" w:hAnsi="Arial" w:cs="Arial"/>
          <w:b/>
          <w:spacing w:val="-3"/>
          <w:sz w:val="20"/>
          <w:szCs w:val="20"/>
          <w:lang w:val="en-GB"/>
        </w:rPr>
        <w:tab/>
      </w:r>
      <w:r w:rsidRPr="00587444">
        <w:rPr>
          <w:rFonts w:ascii="Arial" w:hAnsi="Arial" w:cs="Arial"/>
          <w:b/>
          <w:sz w:val="20"/>
          <w:szCs w:val="20"/>
          <w:lang w:val="en-GB"/>
        </w:rPr>
        <w:t>Reporting by segments (continued)</w:t>
      </w:r>
    </w:p>
    <w:p w14:paraId="3B0E028D" w14:textId="77777777" w:rsidR="00587444" w:rsidRPr="00587444" w:rsidRDefault="00587444" w:rsidP="00587444">
      <w:pPr>
        <w:suppressAutoHyphens w:val="0"/>
        <w:autoSpaceDN/>
        <w:jc w:val="both"/>
        <w:rPr>
          <w:rFonts w:ascii="Arial" w:hAnsi="Arial" w:cs="Arial"/>
          <w:b/>
          <w:sz w:val="20"/>
          <w:szCs w:val="20"/>
          <w:lang w:val="en-GB"/>
        </w:rPr>
      </w:pPr>
    </w:p>
    <w:tbl>
      <w:tblPr>
        <w:tblpPr w:leftFromText="181" w:rightFromText="181" w:vertAnchor="text" w:horzAnchor="margin" w:tblpXSpec="center" w:tblpY="1"/>
        <w:tblW w:w="9639" w:type="dxa"/>
        <w:tblLayout w:type="fixed"/>
        <w:tblLook w:val="04A0" w:firstRow="1" w:lastRow="0" w:firstColumn="1" w:lastColumn="0" w:noHBand="0" w:noVBand="1"/>
      </w:tblPr>
      <w:tblGrid>
        <w:gridCol w:w="3369"/>
        <w:gridCol w:w="1275"/>
        <w:gridCol w:w="1418"/>
        <w:gridCol w:w="1134"/>
        <w:gridCol w:w="1309"/>
        <w:gridCol w:w="1134"/>
      </w:tblGrid>
      <w:tr w:rsidR="00587444" w:rsidRPr="00587444" w14:paraId="47FEAEC7" w14:textId="77777777" w:rsidTr="00DD69E7">
        <w:trPr>
          <w:trHeight w:val="600"/>
        </w:trPr>
        <w:tc>
          <w:tcPr>
            <w:tcW w:w="3369" w:type="dxa"/>
            <w:tcBorders>
              <w:left w:val="nil"/>
              <w:right w:val="nil"/>
            </w:tcBorders>
            <w:shd w:val="clear" w:color="auto" w:fill="auto"/>
            <w:vAlign w:val="bottom"/>
          </w:tcPr>
          <w:p w14:paraId="2384B12B" w14:textId="77777777" w:rsidR="00587444" w:rsidRPr="00587444" w:rsidRDefault="00587444" w:rsidP="00587444">
            <w:pPr>
              <w:suppressAutoHyphens w:val="0"/>
              <w:autoSpaceDN/>
              <w:spacing w:line="300" w:lineRule="exact"/>
              <w:rPr>
                <w:rFonts w:ascii="Arial" w:hAnsi="Arial" w:cs="Arial"/>
                <w:b/>
                <w:bCs/>
                <w:sz w:val="18"/>
                <w:szCs w:val="18"/>
                <w:lang w:val="en-GB"/>
              </w:rPr>
            </w:pPr>
            <w:r w:rsidRPr="00587444">
              <w:rPr>
                <w:rFonts w:ascii="Arial" w:eastAsia="Calibri" w:hAnsi="Arial" w:cs="Arial"/>
                <w:b/>
                <w:bCs/>
                <w:noProof/>
                <w:sz w:val="18"/>
                <w:szCs w:val="18"/>
                <w:lang w:val="hr-HR"/>
              </w:rPr>
              <w:t>Jan 1 – Dec 31, 2021</w:t>
            </w:r>
          </w:p>
        </w:tc>
        <w:tc>
          <w:tcPr>
            <w:tcW w:w="1275" w:type="dxa"/>
            <w:tcBorders>
              <w:left w:val="nil"/>
              <w:right w:val="nil"/>
            </w:tcBorders>
            <w:shd w:val="clear" w:color="auto" w:fill="auto"/>
          </w:tcPr>
          <w:p w14:paraId="4EDD2EE0" w14:textId="77777777" w:rsidR="00943B2E"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Banking </w:t>
            </w:r>
          </w:p>
          <w:p w14:paraId="348D7F36" w14:textId="6D1EBA47"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418" w:type="dxa"/>
            <w:tcBorders>
              <w:left w:val="nil"/>
              <w:right w:val="nil"/>
            </w:tcBorders>
            <w:shd w:val="clear" w:color="auto" w:fill="auto"/>
          </w:tcPr>
          <w:p w14:paraId="6A80E979" w14:textId="77777777" w:rsidR="00943B2E"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Insurance</w:t>
            </w:r>
          </w:p>
          <w:p w14:paraId="3356041F" w14:textId="165C3599"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 activities</w:t>
            </w:r>
          </w:p>
        </w:tc>
        <w:tc>
          <w:tcPr>
            <w:tcW w:w="1134" w:type="dxa"/>
            <w:tcBorders>
              <w:left w:val="nil"/>
              <w:right w:val="nil"/>
            </w:tcBorders>
            <w:shd w:val="clear" w:color="auto" w:fill="auto"/>
          </w:tcPr>
          <w:p w14:paraId="355710D4" w14:textId="77777777" w:rsidR="00943B2E"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Other </w:t>
            </w:r>
          </w:p>
          <w:p w14:paraId="05E8FA5F" w14:textId="6E89BE51"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309" w:type="dxa"/>
            <w:tcBorders>
              <w:left w:val="nil"/>
              <w:right w:val="nil"/>
            </w:tcBorders>
            <w:shd w:val="clear" w:color="auto" w:fill="auto"/>
          </w:tcPr>
          <w:p w14:paraId="55D9D192" w14:textId="77777777"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Unallocated</w:t>
            </w:r>
          </w:p>
        </w:tc>
        <w:tc>
          <w:tcPr>
            <w:tcW w:w="1134" w:type="dxa"/>
            <w:tcBorders>
              <w:left w:val="nil"/>
              <w:right w:val="nil"/>
            </w:tcBorders>
            <w:shd w:val="clear" w:color="auto" w:fill="auto"/>
          </w:tcPr>
          <w:p w14:paraId="2049BDAF" w14:textId="77777777"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Total</w:t>
            </w:r>
          </w:p>
        </w:tc>
      </w:tr>
      <w:tr w:rsidR="00587444" w:rsidRPr="00587444" w14:paraId="2FD56819" w14:textId="77777777" w:rsidTr="00DD69E7">
        <w:trPr>
          <w:trHeight w:val="59"/>
        </w:trPr>
        <w:tc>
          <w:tcPr>
            <w:tcW w:w="3369" w:type="dxa"/>
            <w:tcBorders>
              <w:left w:val="nil"/>
              <w:bottom w:val="nil"/>
              <w:right w:val="nil"/>
            </w:tcBorders>
            <w:shd w:val="clear" w:color="auto" w:fill="auto"/>
            <w:vAlign w:val="bottom"/>
          </w:tcPr>
          <w:p w14:paraId="1083D7B8"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275" w:type="dxa"/>
            <w:tcBorders>
              <w:left w:val="nil"/>
              <w:bottom w:val="nil"/>
              <w:right w:val="nil"/>
            </w:tcBorders>
            <w:shd w:val="clear" w:color="auto" w:fill="auto"/>
            <w:noWrap/>
          </w:tcPr>
          <w:p w14:paraId="2CF77600" w14:textId="77777777" w:rsidR="00587444" w:rsidRPr="00587444" w:rsidRDefault="00587444" w:rsidP="00587444">
            <w:pPr>
              <w:suppressAutoHyphens w:val="0"/>
              <w:autoSpaceDN/>
              <w:spacing w:line="300" w:lineRule="exact"/>
              <w:jc w:val="right"/>
              <w:rPr>
                <w:rFonts w:ascii="Arial" w:hAnsi="Arial" w:cs="Arial"/>
                <w:b/>
                <w:sz w:val="18"/>
                <w:szCs w:val="18"/>
                <w:lang w:val="en-GB"/>
              </w:rPr>
            </w:pPr>
            <w:r w:rsidRPr="00587444">
              <w:rPr>
                <w:rFonts w:ascii="Arial" w:hAnsi="Arial" w:cs="Arial"/>
                <w:b/>
                <w:sz w:val="18"/>
                <w:szCs w:val="18"/>
                <w:lang w:val="en-GB"/>
              </w:rPr>
              <w:t>HRK '000</w:t>
            </w:r>
          </w:p>
        </w:tc>
        <w:tc>
          <w:tcPr>
            <w:tcW w:w="1418" w:type="dxa"/>
            <w:tcBorders>
              <w:left w:val="nil"/>
              <w:bottom w:val="nil"/>
              <w:right w:val="nil"/>
            </w:tcBorders>
            <w:shd w:val="clear" w:color="auto" w:fill="auto"/>
            <w:noWrap/>
          </w:tcPr>
          <w:p w14:paraId="2C76B4C5" w14:textId="77777777" w:rsidR="00587444" w:rsidRPr="00587444" w:rsidRDefault="00587444" w:rsidP="00587444">
            <w:pPr>
              <w:suppressAutoHyphens w:val="0"/>
              <w:autoSpaceDN/>
              <w:spacing w:line="300" w:lineRule="exact"/>
              <w:jc w:val="right"/>
              <w:rPr>
                <w:rFonts w:ascii="Arial" w:hAnsi="Arial" w:cs="Arial"/>
                <w:b/>
                <w:sz w:val="18"/>
                <w:szCs w:val="18"/>
                <w:lang w:val="en-GB"/>
              </w:rPr>
            </w:pPr>
            <w:r w:rsidRPr="00587444">
              <w:rPr>
                <w:rFonts w:ascii="Arial" w:hAnsi="Arial" w:cs="Arial"/>
                <w:b/>
                <w:sz w:val="18"/>
                <w:szCs w:val="18"/>
                <w:lang w:val="en-GB"/>
              </w:rPr>
              <w:t>HRK '000</w:t>
            </w:r>
          </w:p>
        </w:tc>
        <w:tc>
          <w:tcPr>
            <w:tcW w:w="1134" w:type="dxa"/>
            <w:tcBorders>
              <w:left w:val="nil"/>
              <w:bottom w:val="nil"/>
              <w:right w:val="nil"/>
            </w:tcBorders>
            <w:shd w:val="clear" w:color="auto" w:fill="auto"/>
            <w:noWrap/>
          </w:tcPr>
          <w:p w14:paraId="6101AA14" w14:textId="77777777" w:rsidR="00587444" w:rsidRPr="00587444" w:rsidRDefault="00587444" w:rsidP="00587444">
            <w:pPr>
              <w:suppressAutoHyphens w:val="0"/>
              <w:autoSpaceDN/>
              <w:spacing w:line="300" w:lineRule="exact"/>
              <w:jc w:val="right"/>
              <w:rPr>
                <w:rFonts w:ascii="Arial" w:hAnsi="Arial" w:cs="Arial"/>
                <w:b/>
                <w:sz w:val="18"/>
                <w:szCs w:val="18"/>
                <w:lang w:val="en-GB"/>
              </w:rPr>
            </w:pPr>
            <w:r w:rsidRPr="00587444">
              <w:rPr>
                <w:rFonts w:ascii="Arial" w:hAnsi="Arial" w:cs="Arial"/>
                <w:b/>
                <w:sz w:val="18"/>
                <w:szCs w:val="18"/>
                <w:lang w:val="en-GB"/>
              </w:rPr>
              <w:t>HRK '000</w:t>
            </w:r>
          </w:p>
        </w:tc>
        <w:tc>
          <w:tcPr>
            <w:tcW w:w="1309" w:type="dxa"/>
            <w:tcBorders>
              <w:left w:val="nil"/>
              <w:bottom w:val="nil"/>
              <w:right w:val="nil"/>
            </w:tcBorders>
            <w:shd w:val="clear" w:color="auto" w:fill="auto"/>
            <w:noWrap/>
          </w:tcPr>
          <w:p w14:paraId="17E6AA2B" w14:textId="77777777" w:rsidR="00587444" w:rsidRPr="00587444" w:rsidRDefault="00587444" w:rsidP="00587444">
            <w:pPr>
              <w:suppressAutoHyphens w:val="0"/>
              <w:autoSpaceDN/>
              <w:spacing w:line="300" w:lineRule="exact"/>
              <w:jc w:val="right"/>
              <w:rPr>
                <w:rFonts w:ascii="Arial" w:hAnsi="Arial" w:cs="Arial"/>
                <w:b/>
                <w:sz w:val="18"/>
                <w:szCs w:val="18"/>
                <w:lang w:val="en-GB"/>
              </w:rPr>
            </w:pPr>
            <w:r w:rsidRPr="00587444">
              <w:rPr>
                <w:rFonts w:ascii="Arial" w:hAnsi="Arial" w:cs="Arial"/>
                <w:b/>
                <w:sz w:val="18"/>
                <w:szCs w:val="18"/>
                <w:lang w:val="en-GB"/>
              </w:rPr>
              <w:t>HRK '000</w:t>
            </w:r>
          </w:p>
        </w:tc>
        <w:tc>
          <w:tcPr>
            <w:tcW w:w="1134" w:type="dxa"/>
            <w:tcBorders>
              <w:left w:val="nil"/>
              <w:bottom w:val="nil"/>
              <w:right w:val="nil"/>
            </w:tcBorders>
            <w:shd w:val="clear" w:color="auto" w:fill="auto"/>
            <w:noWrap/>
          </w:tcPr>
          <w:p w14:paraId="071AF27D" w14:textId="77777777" w:rsidR="00587444" w:rsidRPr="00587444" w:rsidRDefault="00587444" w:rsidP="00587444">
            <w:pPr>
              <w:suppressAutoHyphens w:val="0"/>
              <w:autoSpaceDN/>
              <w:spacing w:line="300" w:lineRule="exact"/>
              <w:jc w:val="right"/>
              <w:rPr>
                <w:rFonts w:ascii="Arial" w:hAnsi="Arial" w:cs="Arial"/>
                <w:b/>
                <w:sz w:val="18"/>
                <w:szCs w:val="18"/>
                <w:lang w:val="en-GB"/>
              </w:rPr>
            </w:pPr>
            <w:r w:rsidRPr="00587444">
              <w:rPr>
                <w:rFonts w:ascii="Arial" w:hAnsi="Arial" w:cs="Arial"/>
                <w:b/>
                <w:sz w:val="18"/>
                <w:szCs w:val="18"/>
                <w:lang w:val="en-GB"/>
              </w:rPr>
              <w:t>HRK '000</w:t>
            </w:r>
          </w:p>
        </w:tc>
      </w:tr>
      <w:tr w:rsidR="00587444" w:rsidRPr="00587444" w14:paraId="4B597833" w14:textId="77777777" w:rsidTr="00DD69E7">
        <w:trPr>
          <w:trHeight w:val="59"/>
        </w:trPr>
        <w:tc>
          <w:tcPr>
            <w:tcW w:w="3369" w:type="dxa"/>
            <w:tcBorders>
              <w:top w:val="nil"/>
              <w:left w:val="nil"/>
              <w:bottom w:val="nil"/>
              <w:right w:val="nil"/>
            </w:tcBorders>
            <w:shd w:val="clear" w:color="auto" w:fill="auto"/>
            <w:vAlign w:val="bottom"/>
          </w:tcPr>
          <w:p w14:paraId="290753E3"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275" w:type="dxa"/>
            <w:tcBorders>
              <w:top w:val="nil"/>
              <w:left w:val="nil"/>
              <w:bottom w:val="nil"/>
              <w:right w:val="nil"/>
            </w:tcBorders>
            <w:shd w:val="clear" w:color="auto" w:fill="auto"/>
            <w:noWrap/>
            <w:vAlign w:val="bottom"/>
          </w:tcPr>
          <w:p w14:paraId="1929E5E9"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418" w:type="dxa"/>
            <w:tcBorders>
              <w:top w:val="nil"/>
              <w:left w:val="nil"/>
              <w:bottom w:val="nil"/>
              <w:right w:val="nil"/>
            </w:tcBorders>
            <w:shd w:val="clear" w:color="auto" w:fill="auto"/>
            <w:noWrap/>
            <w:vAlign w:val="bottom"/>
          </w:tcPr>
          <w:p w14:paraId="7765E931"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134" w:type="dxa"/>
            <w:tcBorders>
              <w:top w:val="nil"/>
              <w:left w:val="nil"/>
              <w:bottom w:val="nil"/>
              <w:right w:val="nil"/>
            </w:tcBorders>
            <w:shd w:val="clear" w:color="auto" w:fill="auto"/>
            <w:noWrap/>
            <w:vAlign w:val="bottom"/>
          </w:tcPr>
          <w:p w14:paraId="1BAFFCEE"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309" w:type="dxa"/>
            <w:tcBorders>
              <w:top w:val="nil"/>
              <w:left w:val="nil"/>
              <w:bottom w:val="nil"/>
              <w:right w:val="nil"/>
            </w:tcBorders>
            <w:shd w:val="clear" w:color="auto" w:fill="auto"/>
            <w:noWrap/>
            <w:vAlign w:val="bottom"/>
          </w:tcPr>
          <w:p w14:paraId="49870150"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134" w:type="dxa"/>
            <w:tcBorders>
              <w:top w:val="nil"/>
              <w:left w:val="nil"/>
              <w:bottom w:val="nil"/>
              <w:right w:val="nil"/>
            </w:tcBorders>
            <w:shd w:val="clear" w:color="auto" w:fill="auto"/>
            <w:noWrap/>
            <w:vAlign w:val="bottom"/>
          </w:tcPr>
          <w:p w14:paraId="5B4A4582" w14:textId="77777777" w:rsidR="00587444" w:rsidRPr="00587444" w:rsidRDefault="00587444" w:rsidP="00587444">
            <w:pPr>
              <w:suppressAutoHyphens w:val="0"/>
              <w:autoSpaceDN/>
              <w:spacing w:line="140" w:lineRule="exact"/>
              <w:rPr>
                <w:rFonts w:ascii="Arial" w:hAnsi="Arial" w:cs="Arial"/>
                <w:sz w:val="18"/>
                <w:szCs w:val="18"/>
                <w:lang w:val="en-GB"/>
              </w:rPr>
            </w:pPr>
          </w:p>
        </w:tc>
      </w:tr>
      <w:tr w:rsidR="00587444" w:rsidRPr="00587444" w14:paraId="55164331" w14:textId="77777777" w:rsidTr="00DD69E7">
        <w:trPr>
          <w:trHeight w:val="300"/>
        </w:trPr>
        <w:tc>
          <w:tcPr>
            <w:tcW w:w="3369" w:type="dxa"/>
            <w:tcBorders>
              <w:top w:val="nil"/>
              <w:left w:val="nil"/>
              <w:bottom w:val="nil"/>
              <w:right w:val="nil"/>
            </w:tcBorders>
            <w:shd w:val="clear" w:color="auto" w:fill="auto"/>
            <w:vAlign w:val="bottom"/>
          </w:tcPr>
          <w:p w14:paraId="42650C8D"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interest income</w:t>
            </w:r>
          </w:p>
        </w:tc>
        <w:tc>
          <w:tcPr>
            <w:tcW w:w="1275" w:type="dxa"/>
            <w:shd w:val="clear" w:color="auto" w:fill="auto"/>
            <w:noWrap/>
          </w:tcPr>
          <w:p w14:paraId="399F56C3"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491,557 </w:t>
            </w:r>
          </w:p>
        </w:tc>
        <w:tc>
          <w:tcPr>
            <w:tcW w:w="1418" w:type="dxa"/>
            <w:shd w:val="clear" w:color="auto" w:fill="auto"/>
            <w:noWrap/>
          </w:tcPr>
          <w:p w14:paraId="30D05301"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1,254 </w:t>
            </w:r>
          </w:p>
        </w:tc>
        <w:tc>
          <w:tcPr>
            <w:tcW w:w="1134" w:type="dxa"/>
            <w:shd w:val="clear" w:color="auto" w:fill="auto"/>
            <w:noWrap/>
          </w:tcPr>
          <w:p w14:paraId="430D10E0"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 </w:t>
            </w:r>
          </w:p>
        </w:tc>
        <w:tc>
          <w:tcPr>
            <w:tcW w:w="1309" w:type="dxa"/>
            <w:shd w:val="clear" w:color="auto" w:fill="auto"/>
            <w:noWrap/>
          </w:tcPr>
          <w:p w14:paraId="674D2E19"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w:t>
            </w:r>
          </w:p>
        </w:tc>
        <w:tc>
          <w:tcPr>
            <w:tcW w:w="1134" w:type="dxa"/>
            <w:shd w:val="clear" w:color="auto" w:fill="auto"/>
            <w:noWrap/>
          </w:tcPr>
          <w:p w14:paraId="16EE754A"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492,811 </w:t>
            </w:r>
          </w:p>
        </w:tc>
      </w:tr>
      <w:tr w:rsidR="00587444" w:rsidRPr="00587444" w14:paraId="06E8D2FE" w14:textId="77777777" w:rsidTr="00DD69E7">
        <w:trPr>
          <w:trHeight w:val="300"/>
        </w:trPr>
        <w:tc>
          <w:tcPr>
            <w:tcW w:w="3369" w:type="dxa"/>
            <w:tcBorders>
              <w:top w:val="nil"/>
              <w:left w:val="nil"/>
              <w:bottom w:val="nil"/>
              <w:right w:val="nil"/>
            </w:tcBorders>
            <w:shd w:val="clear" w:color="auto" w:fill="auto"/>
            <w:vAlign w:val="bottom"/>
          </w:tcPr>
          <w:p w14:paraId="521C8831"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fee income</w:t>
            </w:r>
          </w:p>
        </w:tc>
        <w:tc>
          <w:tcPr>
            <w:tcW w:w="1275" w:type="dxa"/>
            <w:shd w:val="clear" w:color="auto" w:fill="auto"/>
            <w:noWrap/>
          </w:tcPr>
          <w:p w14:paraId="2BA18E07"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23,448 </w:t>
            </w:r>
          </w:p>
        </w:tc>
        <w:tc>
          <w:tcPr>
            <w:tcW w:w="1418" w:type="dxa"/>
            <w:shd w:val="clear" w:color="auto" w:fill="auto"/>
            <w:noWrap/>
          </w:tcPr>
          <w:p w14:paraId="6FD26E4B"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1,426 </w:t>
            </w:r>
          </w:p>
        </w:tc>
        <w:tc>
          <w:tcPr>
            <w:tcW w:w="1134" w:type="dxa"/>
            <w:shd w:val="clear" w:color="auto" w:fill="auto"/>
            <w:noWrap/>
          </w:tcPr>
          <w:p w14:paraId="76DE2595"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1,892 </w:t>
            </w:r>
          </w:p>
        </w:tc>
        <w:tc>
          <w:tcPr>
            <w:tcW w:w="1309" w:type="dxa"/>
            <w:shd w:val="clear" w:color="auto" w:fill="auto"/>
            <w:noWrap/>
          </w:tcPr>
          <w:p w14:paraId="4354CC86"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 </w:t>
            </w:r>
          </w:p>
        </w:tc>
        <w:tc>
          <w:tcPr>
            <w:tcW w:w="1134" w:type="dxa"/>
            <w:shd w:val="clear" w:color="auto" w:fill="auto"/>
            <w:noWrap/>
          </w:tcPr>
          <w:p w14:paraId="27371336"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26,766 </w:t>
            </w:r>
          </w:p>
        </w:tc>
      </w:tr>
      <w:tr w:rsidR="00587444" w:rsidRPr="00587444" w14:paraId="3DF303F7" w14:textId="77777777" w:rsidTr="00DD69E7">
        <w:trPr>
          <w:trHeight w:val="280"/>
        </w:trPr>
        <w:tc>
          <w:tcPr>
            <w:tcW w:w="3369" w:type="dxa"/>
            <w:tcBorders>
              <w:top w:val="nil"/>
              <w:left w:val="nil"/>
              <w:bottom w:val="nil"/>
              <w:right w:val="nil"/>
            </w:tcBorders>
            <w:shd w:val="clear" w:color="auto" w:fill="auto"/>
            <w:vAlign w:val="bottom"/>
          </w:tcPr>
          <w:p w14:paraId="2CF2FB9E"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 xml:space="preserve">Net income/(expenses) from financial operations </w:t>
            </w:r>
          </w:p>
        </w:tc>
        <w:tc>
          <w:tcPr>
            <w:tcW w:w="1275" w:type="dxa"/>
            <w:shd w:val="clear" w:color="auto" w:fill="auto"/>
            <w:noWrap/>
          </w:tcPr>
          <w:p w14:paraId="00ABAFB9" w14:textId="77777777" w:rsidR="00587444" w:rsidRPr="00587444" w:rsidRDefault="00587444" w:rsidP="00587444">
            <w:pPr>
              <w:suppressAutoHyphens w:val="0"/>
              <w:autoSpaceDN/>
              <w:spacing w:line="300" w:lineRule="exact"/>
              <w:jc w:val="right"/>
              <w:rPr>
                <w:rFonts w:ascii="Arial" w:hAnsi="Arial" w:cs="Arial"/>
                <w:sz w:val="18"/>
                <w:szCs w:val="18"/>
                <w:lang w:val="pl-PL"/>
              </w:rPr>
            </w:pPr>
            <w:r w:rsidRPr="00587444">
              <w:rPr>
                <w:rFonts w:ascii="Arial" w:hAnsi="Arial" w:cs="Arial"/>
                <w:color w:val="000000"/>
                <w:sz w:val="18"/>
                <w:szCs w:val="18"/>
                <w:lang w:val="hr-HR"/>
              </w:rPr>
              <w:t xml:space="preserve"> (11,837)</w:t>
            </w:r>
          </w:p>
        </w:tc>
        <w:tc>
          <w:tcPr>
            <w:tcW w:w="1418" w:type="dxa"/>
            <w:shd w:val="clear" w:color="auto" w:fill="auto"/>
            <w:noWrap/>
          </w:tcPr>
          <w:p w14:paraId="5580FF15"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(56)</w:t>
            </w:r>
          </w:p>
        </w:tc>
        <w:tc>
          <w:tcPr>
            <w:tcW w:w="1134" w:type="dxa"/>
            <w:shd w:val="clear" w:color="auto" w:fill="auto"/>
            <w:noWrap/>
          </w:tcPr>
          <w:p w14:paraId="50C6AF48"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 </w:t>
            </w:r>
          </w:p>
        </w:tc>
        <w:tc>
          <w:tcPr>
            <w:tcW w:w="1309" w:type="dxa"/>
            <w:shd w:val="clear" w:color="auto" w:fill="auto"/>
            <w:noWrap/>
          </w:tcPr>
          <w:p w14:paraId="713F3C9D"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 </w:t>
            </w:r>
          </w:p>
        </w:tc>
        <w:tc>
          <w:tcPr>
            <w:tcW w:w="1134" w:type="dxa"/>
            <w:shd w:val="clear" w:color="auto" w:fill="auto"/>
            <w:noWrap/>
          </w:tcPr>
          <w:p w14:paraId="22053C9C"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(11,893)</w:t>
            </w:r>
          </w:p>
        </w:tc>
      </w:tr>
      <w:tr w:rsidR="00587444" w:rsidRPr="00587444" w14:paraId="20967588" w14:textId="77777777" w:rsidTr="00DD69E7">
        <w:trPr>
          <w:trHeight w:val="300"/>
        </w:trPr>
        <w:tc>
          <w:tcPr>
            <w:tcW w:w="3369" w:type="dxa"/>
            <w:tcBorders>
              <w:top w:val="nil"/>
              <w:left w:val="nil"/>
              <w:bottom w:val="nil"/>
              <w:right w:val="nil"/>
            </w:tcBorders>
            <w:shd w:val="clear" w:color="auto" w:fill="auto"/>
            <w:vAlign w:val="bottom"/>
          </w:tcPr>
          <w:p w14:paraId="2EEBE5A9"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premiums earned</w:t>
            </w:r>
          </w:p>
        </w:tc>
        <w:tc>
          <w:tcPr>
            <w:tcW w:w="1275" w:type="dxa"/>
            <w:shd w:val="clear" w:color="auto" w:fill="auto"/>
            <w:noWrap/>
          </w:tcPr>
          <w:p w14:paraId="2AD65073"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 </w:t>
            </w:r>
          </w:p>
        </w:tc>
        <w:tc>
          <w:tcPr>
            <w:tcW w:w="1418" w:type="dxa"/>
            <w:shd w:val="clear" w:color="auto" w:fill="auto"/>
            <w:noWrap/>
          </w:tcPr>
          <w:p w14:paraId="7AD90D43"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7,980 </w:t>
            </w:r>
          </w:p>
        </w:tc>
        <w:tc>
          <w:tcPr>
            <w:tcW w:w="1134" w:type="dxa"/>
            <w:shd w:val="clear" w:color="auto" w:fill="auto"/>
            <w:noWrap/>
          </w:tcPr>
          <w:p w14:paraId="73DEBA19"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w:t>
            </w:r>
          </w:p>
        </w:tc>
        <w:tc>
          <w:tcPr>
            <w:tcW w:w="1309" w:type="dxa"/>
            <w:shd w:val="clear" w:color="auto" w:fill="auto"/>
            <w:noWrap/>
          </w:tcPr>
          <w:p w14:paraId="42964D8A"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w:t>
            </w:r>
          </w:p>
        </w:tc>
        <w:tc>
          <w:tcPr>
            <w:tcW w:w="1134" w:type="dxa"/>
            <w:shd w:val="clear" w:color="auto" w:fill="auto"/>
            <w:noWrap/>
          </w:tcPr>
          <w:p w14:paraId="1B2975BC"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7,980 </w:t>
            </w:r>
          </w:p>
        </w:tc>
      </w:tr>
      <w:tr w:rsidR="00587444" w:rsidRPr="00587444" w14:paraId="3F1C3338" w14:textId="77777777" w:rsidTr="00DD69E7">
        <w:trPr>
          <w:trHeight w:val="300"/>
        </w:trPr>
        <w:tc>
          <w:tcPr>
            <w:tcW w:w="3369" w:type="dxa"/>
            <w:tcBorders>
              <w:top w:val="nil"/>
              <w:left w:val="nil"/>
              <w:right w:val="nil"/>
            </w:tcBorders>
            <w:shd w:val="clear" w:color="auto" w:fill="auto"/>
            <w:vAlign w:val="bottom"/>
          </w:tcPr>
          <w:p w14:paraId="472799C7"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Other income</w:t>
            </w:r>
          </w:p>
        </w:tc>
        <w:tc>
          <w:tcPr>
            <w:tcW w:w="1275" w:type="dxa"/>
            <w:tcBorders>
              <w:top w:val="nil"/>
              <w:left w:val="nil"/>
              <w:bottom w:val="single" w:sz="2" w:space="0" w:color="auto"/>
              <w:right w:val="nil"/>
            </w:tcBorders>
            <w:shd w:val="clear" w:color="auto" w:fill="auto"/>
            <w:noWrap/>
          </w:tcPr>
          <w:p w14:paraId="55434A0C"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23,972 </w:t>
            </w:r>
          </w:p>
        </w:tc>
        <w:tc>
          <w:tcPr>
            <w:tcW w:w="1418" w:type="dxa"/>
            <w:tcBorders>
              <w:top w:val="nil"/>
              <w:left w:val="nil"/>
              <w:bottom w:val="single" w:sz="2" w:space="0" w:color="auto"/>
              <w:right w:val="nil"/>
            </w:tcBorders>
            <w:shd w:val="clear" w:color="auto" w:fill="auto"/>
            <w:noWrap/>
          </w:tcPr>
          <w:p w14:paraId="117C97A3"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86 </w:t>
            </w:r>
          </w:p>
        </w:tc>
        <w:tc>
          <w:tcPr>
            <w:tcW w:w="1134" w:type="dxa"/>
            <w:tcBorders>
              <w:top w:val="nil"/>
              <w:left w:val="nil"/>
              <w:bottom w:val="single" w:sz="2" w:space="0" w:color="auto"/>
              <w:right w:val="nil"/>
            </w:tcBorders>
            <w:shd w:val="clear" w:color="auto" w:fill="auto"/>
            <w:noWrap/>
          </w:tcPr>
          <w:p w14:paraId="73D2038E"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258 </w:t>
            </w:r>
          </w:p>
        </w:tc>
        <w:tc>
          <w:tcPr>
            <w:tcW w:w="1309" w:type="dxa"/>
            <w:tcBorders>
              <w:top w:val="nil"/>
              <w:left w:val="nil"/>
              <w:bottom w:val="single" w:sz="2" w:space="0" w:color="auto"/>
              <w:right w:val="nil"/>
            </w:tcBorders>
            <w:shd w:val="clear" w:color="auto" w:fill="auto"/>
            <w:noWrap/>
          </w:tcPr>
          <w:p w14:paraId="5ADF5964"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(266)</w:t>
            </w:r>
          </w:p>
        </w:tc>
        <w:tc>
          <w:tcPr>
            <w:tcW w:w="1134" w:type="dxa"/>
            <w:tcBorders>
              <w:top w:val="nil"/>
              <w:left w:val="nil"/>
              <w:bottom w:val="single" w:sz="2" w:space="0" w:color="auto"/>
              <w:right w:val="nil"/>
            </w:tcBorders>
            <w:shd w:val="clear" w:color="auto" w:fill="auto"/>
            <w:noWrap/>
          </w:tcPr>
          <w:p w14:paraId="45754671"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 xml:space="preserve"> 24,050 </w:t>
            </w:r>
          </w:p>
        </w:tc>
      </w:tr>
      <w:tr w:rsidR="00587444" w:rsidRPr="00587444" w14:paraId="5430F0E0" w14:textId="77777777" w:rsidTr="00DD69E7">
        <w:trPr>
          <w:trHeight w:val="300"/>
        </w:trPr>
        <w:tc>
          <w:tcPr>
            <w:tcW w:w="3369" w:type="dxa"/>
            <w:tcBorders>
              <w:left w:val="nil"/>
              <w:right w:val="nil"/>
            </w:tcBorders>
            <w:shd w:val="clear" w:color="auto" w:fill="auto"/>
            <w:vAlign w:val="bottom"/>
          </w:tcPr>
          <w:p w14:paraId="37E5C0D6" w14:textId="77777777" w:rsidR="00587444" w:rsidRPr="00587444" w:rsidRDefault="00587444" w:rsidP="00587444">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Income from operating activities</w:t>
            </w:r>
          </w:p>
        </w:tc>
        <w:tc>
          <w:tcPr>
            <w:tcW w:w="1275" w:type="dxa"/>
            <w:tcBorders>
              <w:top w:val="single" w:sz="2" w:space="0" w:color="auto"/>
              <w:left w:val="nil"/>
              <w:bottom w:val="single" w:sz="12" w:space="0" w:color="auto"/>
              <w:right w:val="nil"/>
            </w:tcBorders>
            <w:shd w:val="clear" w:color="auto" w:fill="auto"/>
            <w:noWrap/>
          </w:tcPr>
          <w:p w14:paraId="0423B540"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527,140 </w:t>
            </w:r>
          </w:p>
        </w:tc>
        <w:tc>
          <w:tcPr>
            <w:tcW w:w="1418" w:type="dxa"/>
            <w:tcBorders>
              <w:top w:val="single" w:sz="2" w:space="0" w:color="auto"/>
              <w:left w:val="nil"/>
              <w:bottom w:val="single" w:sz="12" w:space="0" w:color="auto"/>
              <w:right w:val="nil"/>
            </w:tcBorders>
            <w:shd w:val="clear" w:color="auto" w:fill="auto"/>
            <w:noWrap/>
          </w:tcPr>
          <w:p w14:paraId="68ED141E"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10,690 </w:t>
            </w:r>
          </w:p>
        </w:tc>
        <w:tc>
          <w:tcPr>
            <w:tcW w:w="1134" w:type="dxa"/>
            <w:tcBorders>
              <w:top w:val="single" w:sz="2" w:space="0" w:color="auto"/>
              <w:left w:val="nil"/>
              <w:bottom w:val="single" w:sz="12" w:space="0" w:color="auto"/>
              <w:right w:val="nil"/>
            </w:tcBorders>
            <w:shd w:val="clear" w:color="auto" w:fill="auto"/>
            <w:noWrap/>
          </w:tcPr>
          <w:p w14:paraId="6A29A1C1"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2,150 </w:t>
            </w:r>
          </w:p>
        </w:tc>
        <w:tc>
          <w:tcPr>
            <w:tcW w:w="1309" w:type="dxa"/>
            <w:tcBorders>
              <w:top w:val="single" w:sz="2" w:space="0" w:color="auto"/>
              <w:left w:val="nil"/>
              <w:bottom w:val="single" w:sz="12" w:space="0" w:color="auto"/>
              <w:right w:val="nil"/>
            </w:tcBorders>
            <w:shd w:val="clear" w:color="auto" w:fill="auto"/>
            <w:noWrap/>
          </w:tcPr>
          <w:p w14:paraId="5A2F67AA"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(266)</w:t>
            </w:r>
          </w:p>
        </w:tc>
        <w:tc>
          <w:tcPr>
            <w:tcW w:w="1134" w:type="dxa"/>
            <w:tcBorders>
              <w:top w:val="single" w:sz="2" w:space="0" w:color="auto"/>
              <w:left w:val="nil"/>
              <w:bottom w:val="single" w:sz="12" w:space="0" w:color="auto"/>
              <w:right w:val="nil"/>
            </w:tcBorders>
            <w:shd w:val="clear" w:color="auto" w:fill="auto"/>
            <w:noWrap/>
          </w:tcPr>
          <w:p w14:paraId="67A8DCF1"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 xml:space="preserve"> 539,714 </w:t>
            </w:r>
          </w:p>
        </w:tc>
      </w:tr>
      <w:tr w:rsidR="00587444" w:rsidRPr="00587444" w14:paraId="5BC51E49" w14:textId="77777777" w:rsidTr="00DD69E7">
        <w:trPr>
          <w:trHeight w:val="60"/>
        </w:trPr>
        <w:tc>
          <w:tcPr>
            <w:tcW w:w="3369" w:type="dxa"/>
            <w:tcBorders>
              <w:left w:val="nil"/>
              <w:bottom w:val="nil"/>
              <w:right w:val="nil"/>
            </w:tcBorders>
            <w:shd w:val="clear" w:color="auto" w:fill="auto"/>
            <w:vAlign w:val="bottom"/>
          </w:tcPr>
          <w:p w14:paraId="7495ADB8"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shd w:val="clear" w:color="auto" w:fill="auto"/>
            <w:noWrap/>
            <w:vAlign w:val="bottom"/>
          </w:tcPr>
          <w:p w14:paraId="2D365EB6"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shd w:val="clear" w:color="auto" w:fill="auto"/>
            <w:noWrap/>
            <w:vAlign w:val="bottom"/>
          </w:tcPr>
          <w:p w14:paraId="19DC3121"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2F557DA1"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shd w:val="clear" w:color="auto" w:fill="auto"/>
            <w:noWrap/>
            <w:vAlign w:val="bottom"/>
          </w:tcPr>
          <w:p w14:paraId="7DC15DA1"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7E31E903" w14:textId="77777777" w:rsidR="00587444" w:rsidRPr="00587444" w:rsidRDefault="00587444" w:rsidP="00587444">
            <w:pPr>
              <w:suppressAutoHyphens w:val="0"/>
              <w:autoSpaceDN/>
              <w:spacing w:line="140" w:lineRule="exact"/>
              <w:jc w:val="right"/>
              <w:rPr>
                <w:rFonts w:ascii="Arial" w:hAnsi="Arial" w:cs="Arial"/>
                <w:sz w:val="18"/>
                <w:szCs w:val="18"/>
              </w:rPr>
            </w:pPr>
          </w:p>
        </w:tc>
      </w:tr>
      <w:tr w:rsidR="00587444" w:rsidRPr="00587444" w14:paraId="4F616AC3" w14:textId="77777777" w:rsidTr="00DD69E7">
        <w:trPr>
          <w:trHeight w:val="300"/>
        </w:trPr>
        <w:tc>
          <w:tcPr>
            <w:tcW w:w="3369" w:type="dxa"/>
            <w:tcBorders>
              <w:top w:val="nil"/>
              <w:left w:val="nil"/>
              <w:bottom w:val="nil"/>
              <w:right w:val="nil"/>
            </w:tcBorders>
            <w:shd w:val="clear" w:color="auto" w:fill="auto"/>
            <w:vAlign w:val="bottom"/>
          </w:tcPr>
          <w:p w14:paraId="3427BCA6"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Operating costs</w:t>
            </w:r>
          </w:p>
        </w:tc>
        <w:tc>
          <w:tcPr>
            <w:tcW w:w="1275" w:type="dxa"/>
            <w:shd w:val="clear" w:color="auto" w:fill="auto"/>
            <w:noWrap/>
            <w:vAlign w:val="bottom"/>
          </w:tcPr>
          <w:p w14:paraId="737CF5E2"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(177,054)</w:t>
            </w:r>
          </w:p>
        </w:tc>
        <w:tc>
          <w:tcPr>
            <w:tcW w:w="1418" w:type="dxa"/>
            <w:shd w:val="clear" w:color="auto" w:fill="auto"/>
            <w:noWrap/>
            <w:vAlign w:val="bottom"/>
          </w:tcPr>
          <w:p w14:paraId="1BF1C72E"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(6,536)</w:t>
            </w:r>
          </w:p>
        </w:tc>
        <w:tc>
          <w:tcPr>
            <w:tcW w:w="1134" w:type="dxa"/>
            <w:shd w:val="clear" w:color="auto" w:fill="auto"/>
            <w:noWrap/>
            <w:vAlign w:val="bottom"/>
          </w:tcPr>
          <w:p w14:paraId="2572EEBA"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(1,803)</w:t>
            </w:r>
          </w:p>
        </w:tc>
        <w:tc>
          <w:tcPr>
            <w:tcW w:w="1309" w:type="dxa"/>
            <w:shd w:val="clear" w:color="auto" w:fill="auto"/>
            <w:noWrap/>
            <w:vAlign w:val="bottom"/>
          </w:tcPr>
          <w:p w14:paraId="453D2631"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266</w:t>
            </w:r>
          </w:p>
        </w:tc>
        <w:tc>
          <w:tcPr>
            <w:tcW w:w="1134" w:type="dxa"/>
            <w:shd w:val="clear" w:color="auto" w:fill="auto"/>
            <w:noWrap/>
            <w:vAlign w:val="bottom"/>
          </w:tcPr>
          <w:p w14:paraId="55EF10B9"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(185,127)</w:t>
            </w:r>
          </w:p>
        </w:tc>
      </w:tr>
      <w:tr w:rsidR="00587444" w:rsidRPr="00587444" w14:paraId="6C596840" w14:textId="77777777" w:rsidTr="00DD69E7">
        <w:trPr>
          <w:trHeight w:val="345"/>
        </w:trPr>
        <w:tc>
          <w:tcPr>
            <w:tcW w:w="3369" w:type="dxa"/>
            <w:tcBorders>
              <w:top w:val="nil"/>
              <w:left w:val="nil"/>
              <w:bottom w:val="nil"/>
              <w:right w:val="nil"/>
            </w:tcBorders>
            <w:shd w:val="clear" w:color="auto" w:fill="auto"/>
            <w:vAlign w:val="bottom"/>
          </w:tcPr>
          <w:p w14:paraId="6749A7B5"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Impairment loss and provisions</w:t>
            </w:r>
          </w:p>
        </w:tc>
        <w:tc>
          <w:tcPr>
            <w:tcW w:w="1275" w:type="dxa"/>
            <w:shd w:val="clear" w:color="auto" w:fill="auto"/>
            <w:noWrap/>
            <w:vAlign w:val="bottom"/>
          </w:tcPr>
          <w:p w14:paraId="0FB3C80A" w14:textId="77777777" w:rsidR="00587444" w:rsidRPr="00587444" w:rsidRDefault="00587444" w:rsidP="00587444">
            <w:pPr>
              <w:suppressAutoHyphens w:val="0"/>
              <w:autoSpaceDN/>
              <w:spacing w:line="300" w:lineRule="exact"/>
              <w:jc w:val="right"/>
              <w:rPr>
                <w:rFonts w:ascii="Arial" w:hAnsi="Arial" w:cs="Arial"/>
                <w:sz w:val="18"/>
                <w:szCs w:val="18"/>
                <w:lang w:val="pl-PL"/>
              </w:rPr>
            </w:pPr>
            <w:r w:rsidRPr="00587444">
              <w:rPr>
                <w:rFonts w:ascii="Arial" w:hAnsi="Arial" w:cs="Arial"/>
                <w:color w:val="000000"/>
                <w:sz w:val="18"/>
                <w:szCs w:val="18"/>
                <w:lang w:val="hr-HR"/>
              </w:rPr>
              <w:t>(163,004)</w:t>
            </w:r>
          </w:p>
        </w:tc>
        <w:tc>
          <w:tcPr>
            <w:tcW w:w="1418" w:type="dxa"/>
            <w:shd w:val="clear" w:color="auto" w:fill="auto"/>
            <w:noWrap/>
            <w:vAlign w:val="bottom"/>
          </w:tcPr>
          <w:p w14:paraId="7F0DCFB7" w14:textId="77777777" w:rsidR="00587444" w:rsidRPr="00587444" w:rsidRDefault="00587444" w:rsidP="00587444">
            <w:pPr>
              <w:suppressAutoHyphens w:val="0"/>
              <w:autoSpaceDN/>
              <w:spacing w:line="300" w:lineRule="exact"/>
              <w:jc w:val="right"/>
              <w:rPr>
                <w:rFonts w:ascii="Arial" w:hAnsi="Arial" w:cs="Arial"/>
                <w:sz w:val="18"/>
                <w:szCs w:val="18"/>
                <w:lang w:val="pl-PL"/>
              </w:rPr>
            </w:pPr>
            <w:r w:rsidRPr="00587444">
              <w:rPr>
                <w:rFonts w:ascii="Arial" w:hAnsi="Arial" w:cs="Arial"/>
                <w:color w:val="000000"/>
                <w:sz w:val="18"/>
                <w:szCs w:val="18"/>
                <w:lang w:val="hr-HR"/>
              </w:rPr>
              <w:t>(18)</w:t>
            </w:r>
          </w:p>
        </w:tc>
        <w:tc>
          <w:tcPr>
            <w:tcW w:w="1134" w:type="dxa"/>
            <w:shd w:val="clear" w:color="auto" w:fill="auto"/>
            <w:noWrap/>
            <w:vAlign w:val="bottom"/>
          </w:tcPr>
          <w:p w14:paraId="4FE6A680" w14:textId="77777777" w:rsidR="00587444" w:rsidRPr="00587444" w:rsidRDefault="00587444" w:rsidP="00587444">
            <w:pPr>
              <w:suppressAutoHyphens w:val="0"/>
              <w:autoSpaceDN/>
              <w:spacing w:line="300" w:lineRule="exact"/>
              <w:jc w:val="right"/>
              <w:rPr>
                <w:rFonts w:ascii="Arial" w:hAnsi="Arial" w:cs="Arial"/>
                <w:sz w:val="18"/>
                <w:szCs w:val="18"/>
                <w:lang w:val="pl-PL"/>
              </w:rPr>
            </w:pPr>
            <w:r w:rsidRPr="00587444">
              <w:rPr>
                <w:rFonts w:ascii="Arial" w:hAnsi="Arial" w:cs="Arial"/>
                <w:color w:val="000000"/>
                <w:sz w:val="18"/>
                <w:szCs w:val="18"/>
                <w:lang w:val="hr-HR"/>
              </w:rPr>
              <w:t>9</w:t>
            </w:r>
          </w:p>
        </w:tc>
        <w:tc>
          <w:tcPr>
            <w:tcW w:w="1309" w:type="dxa"/>
            <w:shd w:val="clear" w:color="auto" w:fill="auto"/>
            <w:noWrap/>
            <w:vAlign w:val="bottom"/>
          </w:tcPr>
          <w:p w14:paraId="5E8E62A0" w14:textId="77777777" w:rsidR="00587444" w:rsidRPr="00587444" w:rsidRDefault="00587444" w:rsidP="00587444">
            <w:pPr>
              <w:suppressAutoHyphens w:val="0"/>
              <w:autoSpaceDN/>
              <w:spacing w:line="300" w:lineRule="exact"/>
              <w:jc w:val="right"/>
              <w:rPr>
                <w:rFonts w:ascii="Arial" w:hAnsi="Arial" w:cs="Arial"/>
                <w:sz w:val="18"/>
                <w:szCs w:val="18"/>
                <w:lang w:val="pl-PL"/>
              </w:rPr>
            </w:pPr>
            <w:r w:rsidRPr="00587444">
              <w:rPr>
                <w:rFonts w:ascii="Arial" w:hAnsi="Arial" w:cs="Arial"/>
                <w:color w:val="000000"/>
                <w:sz w:val="18"/>
                <w:szCs w:val="18"/>
                <w:lang w:val="hr-HR"/>
              </w:rPr>
              <w:t>-</w:t>
            </w:r>
          </w:p>
        </w:tc>
        <w:tc>
          <w:tcPr>
            <w:tcW w:w="1134" w:type="dxa"/>
            <w:shd w:val="clear" w:color="auto" w:fill="auto"/>
            <w:noWrap/>
            <w:vAlign w:val="bottom"/>
          </w:tcPr>
          <w:p w14:paraId="176A8412"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(163,013)</w:t>
            </w:r>
          </w:p>
        </w:tc>
      </w:tr>
      <w:tr w:rsidR="00587444" w:rsidRPr="00587444" w14:paraId="3246C388" w14:textId="77777777" w:rsidTr="00DD69E7">
        <w:trPr>
          <w:trHeight w:val="310"/>
        </w:trPr>
        <w:tc>
          <w:tcPr>
            <w:tcW w:w="3369" w:type="dxa"/>
            <w:tcBorders>
              <w:top w:val="nil"/>
              <w:left w:val="nil"/>
              <w:bottom w:val="nil"/>
              <w:right w:val="nil"/>
            </w:tcBorders>
            <w:shd w:val="clear" w:color="auto" w:fill="auto"/>
            <w:vAlign w:val="bottom"/>
          </w:tcPr>
          <w:p w14:paraId="3D01448E"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Expenses for insured cases</w:t>
            </w:r>
          </w:p>
        </w:tc>
        <w:tc>
          <w:tcPr>
            <w:tcW w:w="1275" w:type="dxa"/>
            <w:shd w:val="clear" w:color="auto" w:fill="auto"/>
            <w:noWrap/>
            <w:vAlign w:val="bottom"/>
          </w:tcPr>
          <w:p w14:paraId="74AFC53D" w14:textId="77777777" w:rsidR="00587444" w:rsidRPr="00587444" w:rsidRDefault="00587444" w:rsidP="00587444">
            <w:pPr>
              <w:suppressAutoHyphens w:val="0"/>
              <w:autoSpaceDN/>
              <w:spacing w:line="300" w:lineRule="exact"/>
              <w:jc w:val="right"/>
              <w:rPr>
                <w:rFonts w:ascii="Arial" w:hAnsi="Arial" w:cs="Arial"/>
                <w:sz w:val="18"/>
                <w:szCs w:val="18"/>
                <w:lang w:val="pl-PL"/>
              </w:rPr>
            </w:pPr>
            <w:r w:rsidRPr="00587444">
              <w:rPr>
                <w:rFonts w:ascii="Arial" w:hAnsi="Arial" w:cs="Arial"/>
                <w:color w:val="000000"/>
                <w:sz w:val="18"/>
                <w:szCs w:val="18"/>
                <w:lang w:val="hr-HR"/>
              </w:rPr>
              <w:t>-</w:t>
            </w:r>
          </w:p>
        </w:tc>
        <w:tc>
          <w:tcPr>
            <w:tcW w:w="1418" w:type="dxa"/>
            <w:shd w:val="clear" w:color="auto" w:fill="auto"/>
            <w:noWrap/>
            <w:vAlign w:val="bottom"/>
          </w:tcPr>
          <w:p w14:paraId="162EA435" w14:textId="77777777" w:rsidR="00587444" w:rsidRPr="00587444" w:rsidRDefault="00587444" w:rsidP="00587444">
            <w:pPr>
              <w:suppressAutoHyphens w:val="0"/>
              <w:autoSpaceDN/>
              <w:spacing w:line="300" w:lineRule="exact"/>
              <w:jc w:val="right"/>
              <w:rPr>
                <w:rFonts w:ascii="Arial" w:hAnsi="Arial" w:cs="Arial"/>
                <w:sz w:val="18"/>
                <w:szCs w:val="18"/>
                <w:lang w:val="pl-PL"/>
              </w:rPr>
            </w:pPr>
            <w:r w:rsidRPr="00587444">
              <w:rPr>
                <w:rFonts w:ascii="Arial" w:hAnsi="Arial" w:cs="Arial"/>
                <w:color w:val="000000"/>
                <w:sz w:val="18"/>
                <w:szCs w:val="18"/>
                <w:lang w:val="hr-HR"/>
              </w:rPr>
              <w:t>(1,272)</w:t>
            </w:r>
          </w:p>
        </w:tc>
        <w:tc>
          <w:tcPr>
            <w:tcW w:w="1134" w:type="dxa"/>
            <w:shd w:val="clear" w:color="auto" w:fill="auto"/>
            <w:noWrap/>
            <w:vAlign w:val="bottom"/>
          </w:tcPr>
          <w:p w14:paraId="165E403A" w14:textId="77777777" w:rsidR="00587444" w:rsidRPr="00587444" w:rsidRDefault="00587444" w:rsidP="00587444">
            <w:pPr>
              <w:suppressAutoHyphens w:val="0"/>
              <w:autoSpaceDN/>
              <w:spacing w:line="300" w:lineRule="exact"/>
              <w:jc w:val="right"/>
              <w:rPr>
                <w:rFonts w:ascii="Arial" w:hAnsi="Arial" w:cs="Arial"/>
                <w:sz w:val="18"/>
                <w:szCs w:val="18"/>
                <w:lang w:val="pl-PL"/>
              </w:rPr>
            </w:pPr>
            <w:r w:rsidRPr="00587444">
              <w:rPr>
                <w:rFonts w:ascii="Arial" w:hAnsi="Arial" w:cs="Arial"/>
                <w:color w:val="000000"/>
                <w:sz w:val="18"/>
                <w:szCs w:val="18"/>
                <w:lang w:val="hr-HR"/>
              </w:rPr>
              <w:t>-</w:t>
            </w:r>
          </w:p>
        </w:tc>
        <w:tc>
          <w:tcPr>
            <w:tcW w:w="1309" w:type="dxa"/>
            <w:shd w:val="clear" w:color="auto" w:fill="auto"/>
            <w:noWrap/>
            <w:vAlign w:val="bottom"/>
          </w:tcPr>
          <w:p w14:paraId="38D2A2AC" w14:textId="77777777" w:rsidR="00587444" w:rsidRPr="00587444" w:rsidRDefault="00587444" w:rsidP="00587444">
            <w:pPr>
              <w:suppressAutoHyphens w:val="0"/>
              <w:autoSpaceDN/>
              <w:spacing w:line="300" w:lineRule="exact"/>
              <w:jc w:val="right"/>
              <w:rPr>
                <w:rFonts w:ascii="Arial" w:hAnsi="Arial" w:cs="Arial"/>
                <w:sz w:val="18"/>
                <w:szCs w:val="18"/>
                <w:lang w:val="pl-PL"/>
              </w:rPr>
            </w:pPr>
            <w:r w:rsidRPr="00587444">
              <w:rPr>
                <w:rFonts w:ascii="Arial" w:hAnsi="Arial" w:cs="Arial"/>
                <w:color w:val="000000"/>
                <w:sz w:val="18"/>
                <w:szCs w:val="18"/>
                <w:lang w:val="hr-HR"/>
              </w:rPr>
              <w:t>-</w:t>
            </w:r>
          </w:p>
        </w:tc>
        <w:tc>
          <w:tcPr>
            <w:tcW w:w="1134" w:type="dxa"/>
            <w:shd w:val="clear" w:color="auto" w:fill="auto"/>
            <w:noWrap/>
          </w:tcPr>
          <w:p w14:paraId="03B783C5"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(1,272)</w:t>
            </w:r>
          </w:p>
        </w:tc>
      </w:tr>
      <w:tr w:rsidR="00587444" w:rsidRPr="00587444" w14:paraId="2538D527" w14:textId="77777777" w:rsidTr="00DD69E7">
        <w:trPr>
          <w:trHeight w:val="300"/>
        </w:trPr>
        <w:tc>
          <w:tcPr>
            <w:tcW w:w="3369" w:type="dxa"/>
            <w:tcBorders>
              <w:top w:val="nil"/>
              <w:left w:val="nil"/>
              <w:bottom w:val="nil"/>
              <w:right w:val="nil"/>
            </w:tcBorders>
            <w:shd w:val="clear" w:color="auto" w:fill="auto"/>
            <w:vAlign w:val="bottom"/>
          </w:tcPr>
          <w:p w14:paraId="5FC7FD44"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change in provisions</w:t>
            </w:r>
          </w:p>
        </w:tc>
        <w:tc>
          <w:tcPr>
            <w:tcW w:w="1275" w:type="dxa"/>
            <w:shd w:val="clear" w:color="auto" w:fill="auto"/>
            <w:noWrap/>
            <w:vAlign w:val="bottom"/>
          </w:tcPr>
          <w:p w14:paraId="164BF0C6"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w:t>
            </w:r>
          </w:p>
        </w:tc>
        <w:tc>
          <w:tcPr>
            <w:tcW w:w="1418" w:type="dxa"/>
            <w:shd w:val="clear" w:color="auto" w:fill="auto"/>
            <w:noWrap/>
            <w:vAlign w:val="bottom"/>
          </w:tcPr>
          <w:p w14:paraId="7A6091F3"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(1,549)</w:t>
            </w:r>
          </w:p>
        </w:tc>
        <w:tc>
          <w:tcPr>
            <w:tcW w:w="1134" w:type="dxa"/>
            <w:shd w:val="clear" w:color="auto" w:fill="auto"/>
            <w:noWrap/>
            <w:vAlign w:val="bottom"/>
          </w:tcPr>
          <w:p w14:paraId="65CC160E"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w:t>
            </w:r>
          </w:p>
        </w:tc>
        <w:tc>
          <w:tcPr>
            <w:tcW w:w="1309" w:type="dxa"/>
            <w:shd w:val="clear" w:color="auto" w:fill="auto"/>
            <w:noWrap/>
            <w:vAlign w:val="bottom"/>
          </w:tcPr>
          <w:p w14:paraId="6176FDD0"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w:t>
            </w:r>
          </w:p>
        </w:tc>
        <w:tc>
          <w:tcPr>
            <w:tcW w:w="1134" w:type="dxa"/>
            <w:shd w:val="clear" w:color="auto" w:fill="auto"/>
            <w:noWrap/>
          </w:tcPr>
          <w:p w14:paraId="2CF3EF87"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(1,549)</w:t>
            </w:r>
          </w:p>
        </w:tc>
      </w:tr>
      <w:tr w:rsidR="00587444" w:rsidRPr="00587444" w14:paraId="4CDB122B" w14:textId="77777777" w:rsidTr="00DD69E7">
        <w:trPr>
          <w:trHeight w:val="300"/>
        </w:trPr>
        <w:tc>
          <w:tcPr>
            <w:tcW w:w="3369" w:type="dxa"/>
            <w:tcBorders>
              <w:top w:val="nil"/>
              <w:left w:val="nil"/>
              <w:right w:val="nil"/>
            </w:tcBorders>
            <w:shd w:val="clear" w:color="auto" w:fill="auto"/>
            <w:vAlign w:val="bottom"/>
          </w:tcPr>
          <w:p w14:paraId="1055FB1C"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Other expenses</w:t>
            </w:r>
          </w:p>
        </w:tc>
        <w:tc>
          <w:tcPr>
            <w:tcW w:w="1275" w:type="dxa"/>
            <w:tcBorders>
              <w:top w:val="nil"/>
              <w:left w:val="nil"/>
              <w:bottom w:val="single" w:sz="4" w:space="0" w:color="auto"/>
              <w:right w:val="nil"/>
            </w:tcBorders>
            <w:shd w:val="clear" w:color="auto" w:fill="auto"/>
            <w:noWrap/>
            <w:vAlign w:val="bottom"/>
          </w:tcPr>
          <w:p w14:paraId="4D8F0EA7"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w:t>
            </w:r>
          </w:p>
        </w:tc>
        <w:tc>
          <w:tcPr>
            <w:tcW w:w="1418" w:type="dxa"/>
            <w:tcBorders>
              <w:top w:val="nil"/>
              <w:left w:val="nil"/>
              <w:bottom w:val="single" w:sz="4" w:space="0" w:color="auto"/>
              <w:right w:val="nil"/>
            </w:tcBorders>
            <w:shd w:val="clear" w:color="auto" w:fill="auto"/>
            <w:noWrap/>
            <w:vAlign w:val="bottom"/>
          </w:tcPr>
          <w:p w14:paraId="04320054"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(354)</w:t>
            </w:r>
          </w:p>
        </w:tc>
        <w:tc>
          <w:tcPr>
            <w:tcW w:w="1134" w:type="dxa"/>
            <w:tcBorders>
              <w:top w:val="nil"/>
              <w:left w:val="nil"/>
              <w:bottom w:val="single" w:sz="4" w:space="0" w:color="auto"/>
              <w:right w:val="nil"/>
            </w:tcBorders>
            <w:shd w:val="clear" w:color="auto" w:fill="auto"/>
            <w:noWrap/>
            <w:vAlign w:val="bottom"/>
          </w:tcPr>
          <w:p w14:paraId="0D4339F6"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w:t>
            </w:r>
          </w:p>
        </w:tc>
        <w:tc>
          <w:tcPr>
            <w:tcW w:w="1309" w:type="dxa"/>
            <w:tcBorders>
              <w:top w:val="nil"/>
              <w:left w:val="nil"/>
              <w:bottom w:val="single" w:sz="4" w:space="0" w:color="auto"/>
              <w:right w:val="nil"/>
            </w:tcBorders>
            <w:shd w:val="clear" w:color="auto" w:fill="auto"/>
            <w:noWrap/>
            <w:vAlign w:val="bottom"/>
          </w:tcPr>
          <w:p w14:paraId="6713429E"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w:t>
            </w:r>
          </w:p>
        </w:tc>
        <w:tc>
          <w:tcPr>
            <w:tcW w:w="1134" w:type="dxa"/>
            <w:tcBorders>
              <w:top w:val="nil"/>
              <w:left w:val="nil"/>
              <w:bottom w:val="single" w:sz="4" w:space="0" w:color="auto"/>
              <w:right w:val="nil"/>
            </w:tcBorders>
            <w:shd w:val="clear" w:color="auto" w:fill="auto"/>
            <w:noWrap/>
          </w:tcPr>
          <w:p w14:paraId="68EFA6B3"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(354)</w:t>
            </w:r>
          </w:p>
        </w:tc>
      </w:tr>
      <w:tr w:rsidR="00587444" w:rsidRPr="00587444" w14:paraId="685C56B3" w14:textId="77777777" w:rsidTr="00DD69E7">
        <w:trPr>
          <w:trHeight w:val="300"/>
        </w:trPr>
        <w:tc>
          <w:tcPr>
            <w:tcW w:w="3369" w:type="dxa"/>
            <w:tcBorders>
              <w:left w:val="nil"/>
              <w:right w:val="nil"/>
            </w:tcBorders>
            <w:shd w:val="clear" w:color="auto" w:fill="auto"/>
            <w:vAlign w:val="bottom"/>
          </w:tcPr>
          <w:p w14:paraId="0B54E01A" w14:textId="77777777" w:rsidR="00587444" w:rsidRPr="00587444" w:rsidRDefault="00587444" w:rsidP="00587444">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Operating expenses</w:t>
            </w:r>
          </w:p>
        </w:tc>
        <w:tc>
          <w:tcPr>
            <w:tcW w:w="1275" w:type="dxa"/>
            <w:tcBorders>
              <w:top w:val="single" w:sz="4" w:space="0" w:color="auto"/>
              <w:left w:val="nil"/>
              <w:bottom w:val="single" w:sz="12" w:space="0" w:color="auto"/>
              <w:right w:val="nil"/>
            </w:tcBorders>
            <w:shd w:val="clear" w:color="auto" w:fill="auto"/>
            <w:noWrap/>
            <w:vAlign w:val="bottom"/>
          </w:tcPr>
          <w:p w14:paraId="52260F2D"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(340,058)</w:t>
            </w:r>
          </w:p>
        </w:tc>
        <w:tc>
          <w:tcPr>
            <w:tcW w:w="1418" w:type="dxa"/>
            <w:tcBorders>
              <w:top w:val="single" w:sz="4" w:space="0" w:color="auto"/>
              <w:left w:val="nil"/>
              <w:bottom w:val="single" w:sz="12" w:space="0" w:color="auto"/>
              <w:right w:val="nil"/>
            </w:tcBorders>
            <w:shd w:val="clear" w:color="auto" w:fill="auto"/>
            <w:noWrap/>
            <w:vAlign w:val="bottom"/>
          </w:tcPr>
          <w:p w14:paraId="19210100"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(9,729)</w:t>
            </w:r>
          </w:p>
        </w:tc>
        <w:tc>
          <w:tcPr>
            <w:tcW w:w="1134" w:type="dxa"/>
            <w:tcBorders>
              <w:top w:val="single" w:sz="4" w:space="0" w:color="auto"/>
              <w:left w:val="nil"/>
              <w:bottom w:val="single" w:sz="12" w:space="0" w:color="auto"/>
              <w:right w:val="nil"/>
            </w:tcBorders>
            <w:shd w:val="clear" w:color="auto" w:fill="auto"/>
            <w:noWrap/>
            <w:vAlign w:val="bottom"/>
          </w:tcPr>
          <w:p w14:paraId="223013B3"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(1,794)</w:t>
            </w:r>
          </w:p>
        </w:tc>
        <w:tc>
          <w:tcPr>
            <w:tcW w:w="1309" w:type="dxa"/>
            <w:tcBorders>
              <w:top w:val="single" w:sz="4" w:space="0" w:color="auto"/>
              <w:left w:val="nil"/>
              <w:bottom w:val="single" w:sz="12" w:space="0" w:color="auto"/>
              <w:right w:val="nil"/>
            </w:tcBorders>
            <w:shd w:val="clear" w:color="auto" w:fill="auto"/>
            <w:noWrap/>
            <w:vAlign w:val="bottom"/>
          </w:tcPr>
          <w:p w14:paraId="2970846F"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266</w:t>
            </w:r>
          </w:p>
        </w:tc>
        <w:tc>
          <w:tcPr>
            <w:tcW w:w="1134" w:type="dxa"/>
            <w:tcBorders>
              <w:top w:val="single" w:sz="4" w:space="0" w:color="auto"/>
              <w:left w:val="nil"/>
              <w:bottom w:val="single" w:sz="12" w:space="0" w:color="auto"/>
              <w:right w:val="nil"/>
            </w:tcBorders>
            <w:shd w:val="clear" w:color="auto" w:fill="auto"/>
            <w:noWrap/>
            <w:vAlign w:val="bottom"/>
          </w:tcPr>
          <w:p w14:paraId="5C9557F6"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(351,315)</w:t>
            </w:r>
          </w:p>
        </w:tc>
      </w:tr>
      <w:tr w:rsidR="00587444" w:rsidRPr="00587444" w14:paraId="160DCE24" w14:textId="77777777" w:rsidTr="00DD69E7">
        <w:trPr>
          <w:trHeight w:val="174"/>
        </w:trPr>
        <w:tc>
          <w:tcPr>
            <w:tcW w:w="3369" w:type="dxa"/>
            <w:tcBorders>
              <w:left w:val="nil"/>
              <w:bottom w:val="nil"/>
              <w:right w:val="nil"/>
            </w:tcBorders>
            <w:shd w:val="clear" w:color="auto" w:fill="auto"/>
            <w:vAlign w:val="bottom"/>
          </w:tcPr>
          <w:p w14:paraId="3977052B"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shd w:val="clear" w:color="auto" w:fill="auto"/>
            <w:noWrap/>
            <w:vAlign w:val="bottom"/>
          </w:tcPr>
          <w:p w14:paraId="260E0AEE"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shd w:val="clear" w:color="auto" w:fill="auto"/>
            <w:noWrap/>
            <w:vAlign w:val="bottom"/>
          </w:tcPr>
          <w:p w14:paraId="03C60ACE"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5F99391B"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shd w:val="clear" w:color="auto" w:fill="auto"/>
            <w:noWrap/>
            <w:vAlign w:val="bottom"/>
          </w:tcPr>
          <w:p w14:paraId="1430AA76"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2A0828B1" w14:textId="77777777" w:rsidR="00587444" w:rsidRPr="00587444" w:rsidRDefault="00587444" w:rsidP="00587444">
            <w:pPr>
              <w:suppressAutoHyphens w:val="0"/>
              <w:autoSpaceDN/>
              <w:spacing w:line="140" w:lineRule="exact"/>
              <w:jc w:val="right"/>
              <w:rPr>
                <w:rFonts w:ascii="Arial" w:hAnsi="Arial" w:cs="Arial"/>
                <w:sz w:val="18"/>
                <w:szCs w:val="18"/>
              </w:rPr>
            </w:pPr>
          </w:p>
        </w:tc>
      </w:tr>
      <w:tr w:rsidR="00587444" w:rsidRPr="00587444" w14:paraId="0B77F00C" w14:textId="77777777" w:rsidTr="00DD69E7">
        <w:trPr>
          <w:trHeight w:val="300"/>
        </w:trPr>
        <w:tc>
          <w:tcPr>
            <w:tcW w:w="3369" w:type="dxa"/>
            <w:tcBorders>
              <w:top w:val="nil"/>
              <w:left w:val="nil"/>
              <w:bottom w:val="nil"/>
              <w:right w:val="nil"/>
            </w:tcBorders>
            <w:shd w:val="clear" w:color="auto" w:fill="auto"/>
            <w:vAlign w:val="bottom"/>
          </w:tcPr>
          <w:p w14:paraId="2AAA0BA1" w14:textId="77777777" w:rsidR="00587444" w:rsidRPr="00587444" w:rsidRDefault="00587444" w:rsidP="00587444">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Profit before income tax</w:t>
            </w:r>
          </w:p>
        </w:tc>
        <w:tc>
          <w:tcPr>
            <w:tcW w:w="1275" w:type="dxa"/>
            <w:shd w:val="clear" w:color="auto" w:fill="auto"/>
            <w:noWrap/>
            <w:vAlign w:val="bottom"/>
          </w:tcPr>
          <w:p w14:paraId="588CDD14"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Cs/>
                <w:color w:val="000000"/>
                <w:sz w:val="18"/>
                <w:szCs w:val="18"/>
                <w:lang w:val="hr-HR"/>
              </w:rPr>
              <w:t>187,082</w:t>
            </w:r>
          </w:p>
        </w:tc>
        <w:tc>
          <w:tcPr>
            <w:tcW w:w="1418" w:type="dxa"/>
            <w:shd w:val="clear" w:color="auto" w:fill="auto"/>
            <w:noWrap/>
            <w:vAlign w:val="bottom"/>
          </w:tcPr>
          <w:p w14:paraId="2F0A2DF2" w14:textId="77777777" w:rsidR="00587444" w:rsidRPr="00587444" w:rsidRDefault="00587444" w:rsidP="00587444">
            <w:pPr>
              <w:suppressAutoHyphens w:val="0"/>
              <w:autoSpaceDN/>
              <w:spacing w:line="300" w:lineRule="exact"/>
              <w:jc w:val="right"/>
              <w:rPr>
                <w:rFonts w:ascii="Arial" w:hAnsi="Arial" w:cs="Arial"/>
                <w:bCs/>
                <w:sz w:val="18"/>
                <w:szCs w:val="18"/>
              </w:rPr>
            </w:pPr>
            <w:r w:rsidRPr="00587444">
              <w:rPr>
                <w:rFonts w:ascii="Arial" w:hAnsi="Arial" w:cs="Arial"/>
                <w:bCs/>
                <w:sz w:val="18"/>
                <w:szCs w:val="18"/>
              </w:rPr>
              <w:t>961</w:t>
            </w:r>
          </w:p>
        </w:tc>
        <w:tc>
          <w:tcPr>
            <w:tcW w:w="1134" w:type="dxa"/>
            <w:shd w:val="clear" w:color="auto" w:fill="auto"/>
            <w:noWrap/>
            <w:vAlign w:val="bottom"/>
          </w:tcPr>
          <w:p w14:paraId="3491630C" w14:textId="77777777" w:rsidR="00587444" w:rsidRPr="00587444" w:rsidRDefault="00587444" w:rsidP="00587444">
            <w:pPr>
              <w:suppressAutoHyphens w:val="0"/>
              <w:autoSpaceDN/>
              <w:spacing w:line="300" w:lineRule="exact"/>
              <w:jc w:val="right"/>
              <w:rPr>
                <w:rFonts w:ascii="Arial" w:hAnsi="Arial" w:cs="Arial"/>
                <w:bCs/>
                <w:sz w:val="18"/>
                <w:szCs w:val="18"/>
              </w:rPr>
            </w:pPr>
            <w:r w:rsidRPr="00587444">
              <w:rPr>
                <w:rFonts w:ascii="Arial" w:hAnsi="Arial" w:cs="Arial"/>
                <w:bCs/>
                <w:sz w:val="18"/>
                <w:szCs w:val="18"/>
              </w:rPr>
              <w:t>356</w:t>
            </w:r>
          </w:p>
        </w:tc>
        <w:tc>
          <w:tcPr>
            <w:tcW w:w="1309" w:type="dxa"/>
            <w:shd w:val="clear" w:color="auto" w:fill="auto"/>
            <w:noWrap/>
            <w:vAlign w:val="bottom"/>
          </w:tcPr>
          <w:p w14:paraId="48919DCC" w14:textId="77777777" w:rsidR="00587444" w:rsidRPr="00587444" w:rsidRDefault="00587444" w:rsidP="00587444">
            <w:pPr>
              <w:suppressAutoHyphens w:val="0"/>
              <w:autoSpaceDN/>
              <w:spacing w:line="300" w:lineRule="exact"/>
              <w:jc w:val="right"/>
              <w:rPr>
                <w:rFonts w:ascii="Arial" w:hAnsi="Arial" w:cs="Arial"/>
                <w:bCs/>
                <w:sz w:val="18"/>
                <w:szCs w:val="18"/>
              </w:rPr>
            </w:pPr>
            <w:r w:rsidRPr="00587444">
              <w:rPr>
                <w:rFonts w:ascii="Arial" w:hAnsi="Arial" w:cs="Arial"/>
                <w:bCs/>
                <w:sz w:val="18"/>
                <w:szCs w:val="18"/>
              </w:rPr>
              <w:t>-</w:t>
            </w:r>
          </w:p>
        </w:tc>
        <w:tc>
          <w:tcPr>
            <w:tcW w:w="1134" w:type="dxa"/>
            <w:shd w:val="clear" w:color="auto" w:fill="auto"/>
            <w:noWrap/>
            <w:vAlign w:val="bottom"/>
          </w:tcPr>
          <w:p w14:paraId="155F7E2B" w14:textId="77777777" w:rsidR="00587444" w:rsidRPr="00587444" w:rsidRDefault="00587444" w:rsidP="00587444">
            <w:pPr>
              <w:suppressAutoHyphens w:val="0"/>
              <w:autoSpaceDN/>
              <w:spacing w:line="300" w:lineRule="exact"/>
              <w:jc w:val="right"/>
              <w:rPr>
                <w:rFonts w:ascii="Arial" w:hAnsi="Arial" w:cs="Arial"/>
                <w:bCs/>
                <w:sz w:val="18"/>
                <w:szCs w:val="18"/>
              </w:rPr>
            </w:pPr>
            <w:r w:rsidRPr="00587444">
              <w:rPr>
                <w:rFonts w:ascii="Arial" w:hAnsi="Arial" w:cs="Arial"/>
                <w:bCs/>
                <w:sz w:val="18"/>
                <w:szCs w:val="18"/>
              </w:rPr>
              <w:t>188,399</w:t>
            </w:r>
          </w:p>
        </w:tc>
      </w:tr>
      <w:tr w:rsidR="00587444" w:rsidRPr="00587444" w14:paraId="33DDC262" w14:textId="77777777" w:rsidTr="00DD69E7">
        <w:trPr>
          <w:trHeight w:val="300"/>
        </w:trPr>
        <w:tc>
          <w:tcPr>
            <w:tcW w:w="3369" w:type="dxa"/>
            <w:tcBorders>
              <w:top w:val="nil"/>
              <w:left w:val="nil"/>
              <w:right w:val="nil"/>
            </w:tcBorders>
            <w:shd w:val="clear" w:color="auto" w:fill="auto"/>
            <w:vAlign w:val="bottom"/>
          </w:tcPr>
          <w:p w14:paraId="1340A739"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Income tax</w:t>
            </w:r>
          </w:p>
        </w:tc>
        <w:tc>
          <w:tcPr>
            <w:tcW w:w="1275" w:type="dxa"/>
            <w:tcBorders>
              <w:top w:val="nil"/>
              <w:left w:val="nil"/>
              <w:bottom w:val="single" w:sz="4" w:space="0" w:color="auto"/>
              <w:right w:val="nil"/>
            </w:tcBorders>
            <w:shd w:val="clear" w:color="auto" w:fill="auto"/>
            <w:noWrap/>
            <w:vAlign w:val="bottom"/>
          </w:tcPr>
          <w:p w14:paraId="325BE54A"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w:t>
            </w:r>
          </w:p>
        </w:tc>
        <w:tc>
          <w:tcPr>
            <w:tcW w:w="1418" w:type="dxa"/>
            <w:tcBorders>
              <w:top w:val="nil"/>
              <w:left w:val="nil"/>
              <w:bottom w:val="single" w:sz="4" w:space="0" w:color="auto"/>
              <w:right w:val="nil"/>
            </w:tcBorders>
            <w:shd w:val="clear" w:color="auto" w:fill="auto"/>
            <w:noWrap/>
            <w:vAlign w:val="bottom"/>
          </w:tcPr>
          <w:p w14:paraId="0A780879" w14:textId="77777777" w:rsidR="00587444" w:rsidRPr="00587444" w:rsidRDefault="00587444" w:rsidP="00587444">
            <w:pPr>
              <w:suppressAutoHyphens w:val="0"/>
              <w:autoSpaceDN/>
              <w:spacing w:line="300" w:lineRule="exact"/>
              <w:jc w:val="right"/>
              <w:rPr>
                <w:rFonts w:ascii="Arial" w:hAnsi="Arial" w:cs="Arial"/>
                <w:bCs/>
                <w:sz w:val="18"/>
                <w:szCs w:val="18"/>
              </w:rPr>
            </w:pPr>
            <w:r w:rsidRPr="00587444">
              <w:rPr>
                <w:rFonts w:ascii="Arial" w:hAnsi="Arial" w:cs="Arial"/>
                <w:bCs/>
                <w:sz w:val="18"/>
                <w:szCs w:val="18"/>
              </w:rPr>
              <w:t>(179)</w:t>
            </w:r>
          </w:p>
        </w:tc>
        <w:tc>
          <w:tcPr>
            <w:tcW w:w="1134" w:type="dxa"/>
            <w:tcBorders>
              <w:top w:val="nil"/>
              <w:left w:val="nil"/>
              <w:bottom w:val="single" w:sz="4" w:space="0" w:color="auto"/>
              <w:right w:val="nil"/>
            </w:tcBorders>
            <w:shd w:val="clear" w:color="auto" w:fill="auto"/>
            <w:noWrap/>
            <w:vAlign w:val="bottom"/>
          </w:tcPr>
          <w:p w14:paraId="39E9D376" w14:textId="77777777" w:rsidR="00587444" w:rsidRPr="00587444" w:rsidRDefault="00587444" w:rsidP="00587444">
            <w:pPr>
              <w:suppressAutoHyphens w:val="0"/>
              <w:autoSpaceDN/>
              <w:spacing w:line="300" w:lineRule="exact"/>
              <w:jc w:val="right"/>
              <w:rPr>
                <w:rFonts w:ascii="Arial" w:hAnsi="Arial" w:cs="Arial"/>
                <w:bCs/>
                <w:sz w:val="18"/>
                <w:szCs w:val="18"/>
              </w:rPr>
            </w:pPr>
            <w:r w:rsidRPr="00587444">
              <w:rPr>
                <w:rFonts w:ascii="Arial" w:hAnsi="Arial" w:cs="Arial"/>
                <w:bCs/>
                <w:sz w:val="18"/>
                <w:szCs w:val="18"/>
              </w:rPr>
              <w:t>(35)</w:t>
            </w:r>
          </w:p>
        </w:tc>
        <w:tc>
          <w:tcPr>
            <w:tcW w:w="1309" w:type="dxa"/>
            <w:tcBorders>
              <w:top w:val="nil"/>
              <w:left w:val="nil"/>
              <w:bottom w:val="single" w:sz="4" w:space="0" w:color="auto"/>
              <w:right w:val="nil"/>
            </w:tcBorders>
            <w:shd w:val="clear" w:color="auto" w:fill="auto"/>
            <w:noWrap/>
            <w:vAlign w:val="bottom"/>
          </w:tcPr>
          <w:p w14:paraId="5A6236F9" w14:textId="77777777" w:rsidR="00587444" w:rsidRPr="00587444" w:rsidRDefault="00587444" w:rsidP="00587444">
            <w:pPr>
              <w:suppressAutoHyphens w:val="0"/>
              <w:autoSpaceDN/>
              <w:spacing w:line="300" w:lineRule="exact"/>
              <w:jc w:val="right"/>
              <w:rPr>
                <w:rFonts w:ascii="Arial" w:hAnsi="Arial" w:cs="Arial"/>
                <w:bCs/>
                <w:sz w:val="18"/>
                <w:szCs w:val="18"/>
              </w:rPr>
            </w:pPr>
            <w:r w:rsidRPr="00587444">
              <w:rPr>
                <w:rFonts w:ascii="Arial" w:hAnsi="Arial" w:cs="Arial"/>
                <w:bCs/>
                <w:sz w:val="18"/>
                <w:szCs w:val="18"/>
              </w:rPr>
              <w:t>-</w:t>
            </w:r>
          </w:p>
        </w:tc>
        <w:tc>
          <w:tcPr>
            <w:tcW w:w="1134" w:type="dxa"/>
            <w:tcBorders>
              <w:top w:val="nil"/>
              <w:left w:val="nil"/>
              <w:bottom w:val="single" w:sz="4" w:space="0" w:color="auto"/>
              <w:right w:val="nil"/>
            </w:tcBorders>
            <w:shd w:val="clear" w:color="auto" w:fill="auto"/>
            <w:noWrap/>
            <w:vAlign w:val="bottom"/>
          </w:tcPr>
          <w:p w14:paraId="04E3D7E3" w14:textId="77777777" w:rsidR="00587444" w:rsidRPr="00587444" w:rsidRDefault="00587444" w:rsidP="00587444">
            <w:pPr>
              <w:suppressAutoHyphens w:val="0"/>
              <w:autoSpaceDN/>
              <w:spacing w:line="300" w:lineRule="exact"/>
              <w:jc w:val="right"/>
              <w:rPr>
                <w:rFonts w:ascii="Arial" w:hAnsi="Arial" w:cs="Arial"/>
                <w:bCs/>
                <w:sz w:val="18"/>
                <w:szCs w:val="18"/>
              </w:rPr>
            </w:pPr>
            <w:r w:rsidRPr="00587444">
              <w:rPr>
                <w:rFonts w:ascii="Arial" w:hAnsi="Arial" w:cs="Arial"/>
                <w:bCs/>
                <w:sz w:val="18"/>
                <w:szCs w:val="18"/>
              </w:rPr>
              <w:t>(214)</w:t>
            </w:r>
          </w:p>
        </w:tc>
      </w:tr>
      <w:tr w:rsidR="00587444" w:rsidRPr="00587444" w14:paraId="30C245D3" w14:textId="77777777" w:rsidTr="00DD69E7">
        <w:trPr>
          <w:trHeight w:val="315"/>
        </w:trPr>
        <w:tc>
          <w:tcPr>
            <w:tcW w:w="3369" w:type="dxa"/>
            <w:tcBorders>
              <w:left w:val="nil"/>
              <w:right w:val="nil"/>
            </w:tcBorders>
            <w:shd w:val="clear" w:color="auto" w:fill="auto"/>
            <w:vAlign w:val="bottom"/>
          </w:tcPr>
          <w:p w14:paraId="5D76F5CD" w14:textId="77777777" w:rsidR="00587444" w:rsidRPr="00587444" w:rsidRDefault="00587444" w:rsidP="00587444">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Profit for the year</w:t>
            </w:r>
          </w:p>
        </w:tc>
        <w:tc>
          <w:tcPr>
            <w:tcW w:w="1275" w:type="dxa"/>
            <w:shd w:val="clear" w:color="auto" w:fill="auto"/>
            <w:noWrap/>
            <w:vAlign w:val="bottom"/>
          </w:tcPr>
          <w:p w14:paraId="37C0AF43"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187,082</w:t>
            </w:r>
          </w:p>
        </w:tc>
        <w:tc>
          <w:tcPr>
            <w:tcW w:w="1418" w:type="dxa"/>
            <w:shd w:val="clear" w:color="auto" w:fill="auto"/>
            <w:noWrap/>
            <w:vAlign w:val="bottom"/>
          </w:tcPr>
          <w:p w14:paraId="7610657E"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sz w:val="18"/>
                <w:szCs w:val="18"/>
              </w:rPr>
              <w:t>782</w:t>
            </w:r>
          </w:p>
        </w:tc>
        <w:tc>
          <w:tcPr>
            <w:tcW w:w="1134" w:type="dxa"/>
            <w:tcBorders>
              <w:top w:val="single" w:sz="4" w:space="0" w:color="auto"/>
              <w:left w:val="nil"/>
              <w:bottom w:val="single" w:sz="12" w:space="0" w:color="auto"/>
              <w:right w:val="nil"/>
            </w:tcBorders>
            <w:shd w:val="clear" w:color="auto" w:fill="auto"/>
            <w:noWrap/>
            <w:vAlign w:val="bottom"/>
          </w:tcPr>
          <w:p w14:paraId="6E128FE7"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sz w:val="18"/>
                <w:szCs w:val="18"/>
              </w:rPr>
              <w:t>321</w:t>
            </w:r>
          </w:p>
        </w:tc>
        <w:tc>
          <w:tcPr>
            <w:tcW w:w="1309" w:type="dxa"/>
            <w:tcBorders>
              <w:top w:val="single" w:sz="4" w:space="0" w:color="auto"/>
              <w:left w:val="nil"/>
              <w:bottom w:val="single" w:sz="12" w:space="0" w:color="auto"/>
              <w:right w:val="nil"/>
            </w:tcBorders>
            <w:shd w:val="clear" w:color="auto" w:fill="auto"/>
            <w:noWrap/>
            <w:vAlign w:val="bottom"/>
          </w:tcPr>
          <w:p w14:paraId="592777F1"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sz w:val="18"/>
                <w:szCs w:val="18"/>
              </w:rPr>
              <w:t>-</w:t>
            </w:r>
          </w:p>
        </w:tc>
        <w:tc>
          <w:tcPr>
            <w:tcW w:w="1134" w:type="dxa"/>
            <w:tcBorders>
              <w:top w:val="single" w:sz="4" w:space="0" w:color="auto"/>
              <w:left w:val="nil"/>
              <w:bottom w:val="single" w:sz="12" w:space="0" w:color="auto"/>
              <w:right w:val="nil"/>
            </w:tcBorders>
            <w:shd w:val="clear" w:color="auto" w:fill="auto"/>
            <w:noWrap/>
            <w:vAlign w:val="bottom"/>
          </w:tcPr>
          <w:p w14:paraId="5A314F76"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sz w:val="18"/>
                <w:szCs w:val="18"/>
              </w:rPr>
              <w:t>188,185</w:t>
            </w:r>
          </w:p>
        </w:tc>
      </w:tr>
      <w:tr w:rsidR="00587444" w:rsidRPr="00587444" w14:paraId="139CF2A8" w14:textId="77777777" w:rsidTr="00DD69E7">
        <w:trPr>
          <w:trHeight w:val="52"/>
        </w:trPr>
        <w:tc>
          <w:tcPr>
            <w:tcW w:w="3369" w:type="dxa"/>
            <w:tcBorders>
              <w:left w:val="nil"/>
              <w:bottom w:val="nil"/>
              <w:right w:val="nil"/>
            </w:tcBorders>
            <w:shd w:val="clear" w:color="auto" w:fill="auto"/>
            <w:vAlign w:val="bottom"/>
          </w:tcPr>
          <w:p w14:paraId="27FD6EF8"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275" w:type="dxa"/>
            <w:tcBorders>
              <w:top w:val="single" w:sz="12" w:space="0" w:color="auto"/>
              <w:left w:val="nil"/>
              <w:right w:val="nil"/>
            </w:tcBorders>
            <w:shd w:val="clear" w:color="auto" w:fill="auto"/>
            <w:noWrap/>
            <w:vAlign w:val="bottom"/>
          </w:tcPr>
          <w:p w14:paraId="4096E63A"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418" w:type="dxa"/>
            <w:tcBorders>
              <w:top w:val="single" w:sz="12" w:space="0" w:color="auto"/>
              <w:left w:val="nil"/>
              <w:right w:val="nil"/>
            </w:tcBorders>
            <w:shd w:val="clear" w:color="auto" w:fill="auto"/>
            <w:noWrap/>
            <w:vAlign w:val="bottom"/>
          </w:tcPr>
          <w:p w14:paraId="780B1981"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134" w:type="dxa"/>
            <w:tcBorders>
              <w:top w:val="single" w:sz="12" w:space="0" w:color="auto"/>
              <w:left w:val="nil"/>
              <w:right w:val="nil"/>
            </w:tcBorders>
            <w:shd w:val="clear" w:color="auto" w:fill="auto"/>
            <w:noWrap/>
            <w:vAlign w:val="bottom"/>
          </w:tcPr>
          <w:p w14:paraId="5CDE7348"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309" w:type="dxa"/>
            <w:tcBorders>
              <w:top w:val="single" w:sz="12" w:space="0" w:color="auto"/>
              <w:left w:val="nil"/>
              <w:right w:val="nil"/>
            </w:tcBorders>
            <w:shd w:val="clear" w:color="auto" w:fill="auto"/>
            <w:noWrap/>
            <w:vAlign w:val="bottom"/>
          </w:tcPr>
          <w:p w14:paraId="5CF97017"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134" w:type="dxa"/>
            <w:tcBorders>
              <w:top w:val="single" w:sz="12" w:space="0" w:color="auto"/>
              <w:left w:val="nil"/>
              <w:right w:val="nil"/>
            </w:tcBorders>
            <w:shd w:val="clear" w:color="auto" w:fill="auto"/>
            <w:noWrap/>
            <w:vAlign w:val="bottom"/>
          </w:tcPr>
          <w:p w14:paraId="684E0183" w14:textId="77777777" w:rsidR="00587444" w:rsidRPr="00587444" w:rsidRDefault="00587444" w:rsidP="00587444">
            <w:pPr>
              <w:suppressAutoHyphens w:val="0"/>
              <w:autoSpaceDN/>
              <w:spacing w:line="140" w:lineRule="exact"/>
              <w:jc w:val="right"/>
              <w:rPr>
                <w:rFonts w:ascii="Arial" w:hAnsi="Arial" w:cs="Arial"/>
                <w:sz w:val="18"/>
                <w:szCs w:val="18"/>
              </w:rPr>
            </w:pPr>
          </w:p>
        </w:tc>
      </w:tr>
      <w:tr w:rsidR="00587444" w:rsidRPr="00587444" w14:paraId="579EEBEB" w14:textId="77777777" w:rsidTr="00DD69E7">
        <w:trPr>
          <w:trHeight w:val="300"/>
        </w:trPr>
        <w:tc>
          <w:tcPr>
            <w:tcW w:w="3369" w:type="dxa"/>
            <w:tcBorders>
              <w:top w:val="nil"/>
              <w:left w:val="nil"/>
              <w:right w:val="nil"/>
            </w:tcBorders>
            <w:shd w:val="clear" w:color="auto" w:fill="auto"/>
            <w:vAlign w:val="bottom"/>
          </w:tcPr>
          <w:p w14:paraId="0715D85F" w14:textId="77777777" w:rsidR="00587444" w:rsidRPr="00587444" w:rsidRDefault="00587444" w:rsidP="00587444">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31 December 2021</w:t>
            </w:r>
          </w:p>
        </w:tc>
        <w:tc>
          <w:tcPr>
            <w:tcW w:w="1275" w:type="dxa"/>
            <w:tcBorders>
              <w:top w:val="nil"/>
              <w:left w:val="nil"/>
              <w:bottom w:val="single" w:sz="4" w:space="0" w:color="auto"/>
              <w:right w:val="nil"/>
            </w:tcBorders>
            <w:shd w:val="clear" w:color="auto" w:fill="auto"/>
            <w:noWrap/>
            <w:vAlign w:val="bottom"/>
          </w:tcPr>
          <w:p w14:paraId="6C1A76F9" w14:textId="77777777" w:rsidR="00587444" w:rsidRPr="00587444" w:rsidRDefault="00587444" w:rsidP="00587444">
            <w:pPr>
              <w:suppressAutoHyphens w:val="0"/>
              <w:autoSpaceDN/>
              <w:spacing w:line="300" w:lineRule="exact"/>
              <w:jc w:val="right"/>
              <w:rPr>
                <w:rFonts w:ascii="Arial" w:hAnsi="Arial" w:cs="Arial"/>
                <w:sz w:val="18"/>
                <w:szCs w:val="18"/>
              </w:rPr>
            </w:pPr>
          </w:p>
        </w:tc>
        <w:tc>
          <w:tcPr>
            <w:tcW w:w="1418" w:type="dxa"/>
            <w:tcBorders>
              <w:top w:val="nil"/>
              <w:left w:val="nil"/>
              <w:bottom w:val="single" w:sz="4" w:space="0" w:color="auto"/>
              <w:right w:val="nil"/>
            </w:tcBorders>
            <w:shd w:val="clear" w:color="auto" w:fill="auto"/>
            <w:noWrap/>
            <w:vAlign w:val="bottom"/>
          </w:tcPr>
          <w:p w14:paraId="4E530CB7" w14:textId="77777777" w:rsidR="00587444" w:rsidRPr="00587444" w:rsidRDefault="00587444" w:rsidP="00587444">
            <w:pPr>
              <w:suppressAutoHyphens w:val="0"/>
              <w:autoSpaceDN/>
              <w:spacing w:line="300" w:lineRule="exact"/>
              <w:jc w:val="right"/>
              <w:rPr>
                <w:rFonts w:ascii="Arial" w:hAnsi="Arial" w:cs="Arial"/>
                <w:sz w:val="18"/>
                <w:szCs w:val="18"/>
              </w:rPr>
            </w:pPr>
          </w:p>
        </w:tc>
        <w:tc>
          <w:tcPr>
            <w:tcW w:w="1134" w:type="dxa"/>
            <w:tcBorders>
              <w:top w:val="nil"/>
              <w:left w:val="nil"/>
              <w:bottom w:val="single" w:sz="4" w:space="0" w:color="auto"/>
              <w:right w:val="nil"/>
            </w:tcBorders>
            <w:shd w:val="clear" w:color="auto" w:fill="auto"/>
            <w:noWrap/>
            <w:vAlign w:val="bottom"/>
          </w:tcPr>
          <w:p w14:paraId="631BB5CD" w14:textId="77777777" w:rsidR="00587444" w:rsidRPr="00587444" w:rsidRDefault="00587444" w:rsidP="00587444">
            <w:pPr>
              <w:suppressAutoHyphens w:val="0"/>
              <w:autoSpaceDN/>
              <w:spacing w:line="300" w:lineRule="exact"/>
              <w:jc w:val="right"/>
              <w:rPr>
                <w:rFonts w:ascii="Arial" w:hAnsi="Arial" w:cs="Arial"/>
                <w:sz w:val="18"/>
                <w:szCs w:val="18"/>
              </w:rPr>
            </w:pPr>
          </w:p>
        </w:tc>
        <w:tc>
          <w:tcPr>
            <w:tcW w:w="1309" w:type="dxa"/>
            <w:tcBorders>
              <w:top w:val="nil"/>
              <w:left w:val="nil"/>
              <w:bottom w:val="single" w:sz="4" w:space="0" w:color="auto"/>
              <w:right w:val="nil"/>
            </w:tcBorders>
            <w:shd w:val="clear" w:color="auto" w:fill="auto"/>
            <w:noWrap/>
            <w:vAlign w:val="bottom"/>
          </w:tcPr>
          <w:p w14:paraId="391A53D6" w14:textId="77777777" w:rsidR="00587444" w:rsidRPr="00587444" w:rsidRDefault="00587444" w:rsidP="00587444">
            <w:pPr>
              <w:suppressAutoHyphens w:val="0"/>
              <w:autoSpaceDN/>
              <w:spacing w:line="300" w:lineRule="exact"/>
              <w:jc w:val="right"/>
              <w:rPr>
                <w:rFonts w:ascii="Arial" w:hAnsi="Arial" w:cs="Arial"/>
                <w:sz w:val="18"/>
                <w:szCs w:val="18"/>
              </w:rPr>
            </w:pPr>
          </w:p>
        </w:tc>
        <w:tc>
          <w:tcPr>
            <w:tcW w:w="1134" w:type="dxa"/>
            <w:tcBorders>
              <w:top w:val="nil"/>
              <w:left w:val="nil"/>
              <w:bottom w:val="single" w:sz="4" w:space="0" w:color="auto"/>
              <w:right w:val="nil"/>
            </w:tcBorders>
            <w:shd w:val="clear" w:color="auto" w:fill="auto"/>
            <w:noWrap/>
            <w:vAlign w:val="bottom"/>
          </w:tcPr>
          <w:p w14:paraId="420F14D4" w14:textId="77777777" w:rsidR="00587444" w:rsidRPr="00587444" w:rsidRDefault="00587444" w:rsidP="00587444">
            <w:pPr>
              <w:suppressAutoHyphens w:val="0"/>
              <w:autoSpaceDN/>
              <w:spacing w:line="300" w:lineRule="exact"/>
              <w:jc w:val="right"/>
              <w:rPr>
                <w:rFonts w:ascii="Arial" w:hAnsi="Arial" w:cs="Arial"/>
                <w:sz w:val="18"/>
                <w:szCs w:val="18"/>
              </w:rPr>
            </w:pPr>
          </w:p>
        </w:tc>
      </w:tr>
      <w:tr w:rsidR="00587444" w:rsidRPr="00587444" w14:paraId="0CE31A12" w14:textId="77777777" w:rsidTr="00DD69E7">
        <w:trPr>
          <w:trHeight w:val="300"/>
        </w:trPr>
        <w:tc>
          <w:tcPr>
            <w:tcW w:w="3369" w:type="dxa"/>
            <w:tcBorders>
              <w:top w:val="nil"/>
              <w:left w:val="nil"/>
              <w:right w:val="nil"/>
            </w:tcBorders>
            <w:shd w:val="clear" w:color="auto" w:fill="auto"/>
            <w:vAlign w:val="bottom"/>
          </w:tcPr>
          <w:p w14:paraId="06CD8D96"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Assets of segment</w:t>
            </w:r>
          </w:p>
        </w:tc>
        <w:tc>
          <w:tcPr>
            <w:tcW w:w="1275" w:type="dxa"/>
            <w:tcBorders>
              <w:top w:val="nil"/>
              <w:left w:val="nil"/>
              <w:bottom w:val="single" w:sz="4" w:space="0" w:color="auto"/>
              <w:right w:val="nil"/>
            </w:tcBorders>
            <w:shd w:val="clear" w:color="auto" w:fill="auto"/>
            <w:noWrap/>
            <w:vAlign w:val="bottom"/>
          </w:tcPr>
          <w:p w14:paraId="16BD6699"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28,249,988</w:t>
            </w:r>
          </w:p>
        </w:tc>
        <w:tc>
          <w:tcPr>
            <w:tcW w:w="1418" w:type="dxa"/>
            <w:tcBorders>
              <w:top w:val="nil"/>
              <w:left w:val="nil"/>
              <w:bottom w:val="single" w:sz="4" w:space="0" w:color="auto"/>
              <w:right w:val="nil"/>
            </w:tcBorders>
            <w:shd w:val="clear" w:color="auto" w:fill="auto"/>
            <w:noWrap/>
            <w:vAlign w:val="bottom"/>
          </w:tcPr>
          <w:p w14:paraId="7B15AA69"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63,867</w:t>
            </w:r>
          </w:p>
        </w:tc>
        <w:tc>
          <w:tcPr>
            <w:tcW w:w="1134" w:type="dxa"/>
            <w:tcBorders>
              <w:top w:val="nil"/>
              <w:left w:val="nil"/>
              <w:bottom w:val="single" w:sz="4" w:space="0" w:color="auto"/>
              <w:right w:val="nil"/>
            </w:tcBorders>
            <w:shd w:val="clear" w:color="auto" w:fill="auto"/>
            <w:noWrap/>
            <w:vAlign w:val="bottom"/>
          </w:tcPr>
          <w:p w14:paraId="09376C25"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1,162</w:t>
            </w:r>
          </w:p>
        </w:tc>
        <w:tc>
          <w:tcPr>
            <w:tcW w:w="1309" w:type="dxa"/>
            <w:tcBorders>
              <w:top w:val="nil"/>
              <w:left w:val="nil"/>
              <w:bottom w:val="single" w:sz="4" w:space="0" w:color="auto"/>
              <w:right w:val="nil"/>
            </w:tcBorders>
            <w:shd w:val="clear" w:color="auto" w:fill="auto"/>
            <w:noWrap/>
            <w:vAlign w:val="bottom"/>
          </w:tcPr>
          <w:p w14:paraId="2E3C6D6E"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(36,655)</w:t>
            </w:r>
          </w:p>
        </w:tc>
        <w:tc>
          <w:tcPr>
            <w:tcW w:w="1134" w:type="dxa"/>
            <w:tcBorders>
              <w:top w:val="nil"/>
              <w:left w:val="nil"/>
              <w:bottom w:val="single" w:sz="4" w:space="0" w:color="auto"/>
              <w:right w:val="nil"/>
            </w:tcBorders>
            <w:shd w:val="clear" w:color="auto" w:fill="auto"/>
            <w:noWrap/>
            <w:vAlign w:val="bottom"/>
          </w:tcPr>
          <w:p w14:paraId="5F3EF252"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28,278,362</w:t>
            </w:r>
          </w:p>
        </w:tc>
      </w:tr>
      <w:tr w:rsidR="00587444" w:rsidRPr="00587444" w14:paraId="460FF338" w14:textId="77777777" w:rsidTr="00DD69E7">
        <w:trPr>
          <w:trHeight w:val="315"/>
        </w:trPr>
        <w:tc>
          <w:tcPr>
            <w:tcW w:w="3369" w:type="dxa"/>
            <w:tcBorders>
              <w:left w:val="nil"/>
              <w:right w:val="nil"/>
            </w:tcBorders>
            <w:shd w:val="clear" w:color="auto" w:fill="auto"/>
            <w:vAlign w:val="bottom"/>
          </w:tcPr>
          <w:p w14:paraId="7F6BD5B0" w14:textId="77777777" w:rsidR="00587444" w:rsidRPr="00587444" w:rsidRDefault="00587444" w:rsidP="00587444">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Total assets</w:t>
            </w:r>
          </w:p>
        </w:tc>
        <w:tc>
          <w:tcPr>
            <w:tcW w:w="1275" w:type="dxa"/>
            <w:tcBorders>
              <w:top w:val="single" w:sz="4" w:space="0" w:color="auto"/>
              <w:left w:val="nil"/>
              <w:bottom w:val="single" w:sz="12" w:space="0" w:color="auto"/>
              <w:right w:val="nil"/>
            </w:tcBorders>
            <w:shd w:val="clear" w:color="auto" w:fill="auto"/>
            <w:noWrap/>
            <w:vAlign w:val="bottom"/>
          </w:tcPr>
          <w:p w14:paraId="66F1C722" w14:textId="77777777" w:rsidR="00587444" w:rsidRPr="00587444" w:rsidRDefault="00587444" w:rsidP="00587444">
            <w:pPr>
              <w:suppressAutoHyphens w:val="0"/>
              <w:autoSpaceDN/>
              <w:spacing w:line="300" w:lineRule="exact"/>
              <w:jc w:val="right"/>
              <w:rPr>
                <w:rFonts w:ascii="Arial" w:hAnsi="Arial" w:cs="Arial"/>
                <w:b/>
                <w:sz w:val="18"/>
                <w:szCs w:val="18"/>
              </w:rPr>
            </w:pPr>
            <w:r w:rsidRPr="00587444">
              <w:rPr>
                <w:rFonts w:ascii="Arial" w:hAnsi="Arial" w:cs="Arial"/>
                <w:b/>
                <w:bCs/>
                <w:color w:val="000000"/>
                <w:sz w:val="18"/>
                <w:szCs w:val="18"/>
                <w:lang w:val="hr-HR"/>
              </w:rPr>
              <w:t>28,249,988</w:t>
            </w:r>
          </w:p>
        </w:tc>
        <w:tc>
          <w:tcPr>
            <w:tcW w:w="1418" w:type="dxa"/>
            <w:tcBorders>
              <w:top w:val="single" w:sz="4" w:space="0" w:color="auto"/>
              <w:left w:val="nil"/>
              <w:bottom w:val="single" w:sz="12" w:space="0" w:color="auto"/>
              <w:right w:val="nil"/>
            </w:tcBorders>
            <w:shd w:val="clear" w:color="auto" w:fill="auto"/>
            <w:noWrap/>
            <w:vAlign w:val="bottom"/>
          </w:tcPr>
          <w:p w14:paraId="6471497A" w14:textId="77777777" w:rsidR="00587444" w:rsidRPr="00587444" w:rsidRDefault="00587444" w:rsidP="00587444">
            <w:pPr>
              <w:suppressAutoHyphens w:val="0"/>
              <w:autoSpaceDN/>
              <w:spacing w:line="300" w:lineRule="exact"/>
              <w:jc w:val="right"/>
              <w:rPr>
                <w:rFonts w:ascii="Arial" w:hAnsi="Arial" w:cs="Arial"/>
                <w:b/>
                <w:sz w:val="18"/>
                <w:szCs w:val="18"/>
              </w:rPr>
            </w:pPr>
            <w:r w:rsidRPr="00587444">
              <w:rPr>
                <w:rFonts w:ascii="Arial" w:hAnsi="Arial" w:cs="Arial"/>
                <w:b/>
                <w:bCs/>
                <w:color w:val="000000"/>
                <w:sz w:val="18"/>
                <w:szCs w:val="18"/>
                <w:lang w:val="hr-HR"/>
              </w:rPr>
              <w:t>63,867</w:t>
            </w:r>
          </w:p>
        </w:tc>
        <w:tc>
          <w:tcPr>
            <w:tcW w:w="1134" w:type="dxa"/>
            <w:tcBorders>
              <w:top w:val="single" w:sz="4" w:space="0" w:color="auto"/>
              <w:left w:val="nil"/>
              <w:bottom w:val="single" w:sz="12" w:space="0" w:color="auto"/>
              <w:right w:val="nil"/>
            </w:tcBorders>
            <w:shd w:val="clear" w:color="auto" w:fill="auto"/>
            <w:noWrap/>
            <w:vAlign w:val="bottom"/>
          </w:tcPr>
          <w:p w14:paraId="691CBD43" w14:textId="77777777" w:rsidR="00587444" w:rsidRPr="00587444" w:rsidRDefault="00587444" w:rsidP="00587444">
            <w:pPr>
              <w:suppressAutoHyphens w:val="0"/>
              <w:autoSpaceDN/>
              <w:spacing w:line="300" w:lineRule="exact"/>
              <w:jc w:val="right"/>
              <w:rPr>
                <w:rFonts w:ascii="Arial" w:hAnsi="Arial" w:cs="Arial"/>
                <w:b/>
                <w:sz w:val="18"/>
                <w:szCs w:val="18"/>
              </w:rPr>
            </w:pPr>
            <w:r w:rsidRPr="00587444">
              <w:rPr>
                <w:rFonts w:ascii="Arial" w:hAnsi="Arial" w:cs="Arial"/>
                <w:b/>
                <w:bCs/>
                <w:color w:val="000000"/>
                <w:sz w:val="18"/>
                <w:szCs w:val="18"/>
                <w:lang w:val="hr-HR"/>
              </w:rPr>
              <w:t>1,162</w:t>
            </w:r>
          </w:p>
        </w:tc>
        <w:tc>
          <w:tcPr>
            <w:tcW w:w="1309" w:type="dxa"/>
            <w:tcBorders>
              <w:top w:val="single" w:sz="4" w:space="0" w:color="auto"/>
              <w:left w:val="nil"/>
              <w:bottom w:val="single" w:sz="12" w:space="0" w:color="auto"/>
              <w:right w:val="nil"/>
            </w:tcBorders>
            <w:shd w:val="clear" w:color="auto" w:fill="auto"/>
            <w:noWrap/>
            <w:vAlign w:val="bottom"/>
          </w:tcPr>
          <w:p w14:paraId="0E959B6B" w14:textId="77777777" w:rsidR="00587444" w:rsidRPr="00587444" w:rsidRDefault="00587444" w:rsidP="00587444">
            <w:pPr>
              <w:suppressAutoHyphens w:val="0"/>
              <w:autoSpaceDN/>
              <w:spacing w:line="300" w:lineRule="exact"/>
              <w:jc w:val="right"/>
              <w:rPr>
                <w:rFonts w:ascii="Arial" w:hAnsi="Arial" w:cs="Arial"/>
                <w:b/>
                <w:sz w:val="18"/>
                <w:szCs w:val="18"/>
              </w:rPr>
            </w:pPr>
            <w:r w:rsidRPr="00587444">
              <w:rPr>
                <w:rFonts w:ascii="Arial" w:hAnsi="Arial" w:cs="Arial"/>
                <w:b/>
                <w:bCs/>
                <w:color w:val="000000"/>
                <w:sz w:val="18"/>
                <w:szCs w:val="18"/>
                <w:lang w:val="hr-HR"/>
              </w:rPr>
              <w:t>(36,655)</w:t>
            </w:r>
          </w:p>
        </w:tc>
        <w:tc>
          <w:tcPr>
            <w:tcW w:w="1134" w:type="dxa"/>
            <w:tcBorders>
              <w:top w:val="single" w:sz="4" w:space="0" w:color="auto"/>
              <w:left w:val="nil"/>
              <w:bottom w:val="single" w:sz="12" w:space="0" w:color="auto"/>
              <w:right w:val="nil"/>
            </w:tcBorders>
            <w:shd w:val="clear" w:color="auto" w:fill="auto"/>
            <w:noWrap/>
            <w:vAlign w:val="bottom"/>
          </w:tcPr>
          <w:p w14:paraId="1C7816D0" w14:textId="77777777" w:rsidR="00587444" w:rsidRPr="00587444" w:rsidRDefault="00587444" w:rsidP="00587444">
            <w:pPr>
              <w:suppressAutoHyphens w:val="0"/>
              <w:autoSpaceDN/>
              <w:spacing w:line="300" w:lineRule="exact"/>
              <w:jc w:val="right"/>
              <w:rPr>
                <w:rFonts w:ascii="Arial" w:hAnsi="Arial" w:cs="Arial"/>
                <w:b/>
                <w:sz w:val="18"/>
                <w:szCs w:val="18"/>
              </w:rPr>
            </w:pPr>
            <w:r w:rsidRPr="00587444">
              <w:rPr>
                <w:rFonts w:ascii="Arial" w:hAnsi="Arial" w:cs="Arial"/>
                <w:b/>
                <w:bCs/>
                <w:color w:val="000000"/>
                <w:sz w:val="18"/>
                <w:szCs w:val="18"/>
                <w:lang w:val="hr-HR"/>
              </w:rPr>
              <w:t>28,278,362</w:t>
            </w:r>
          </w:p>
        </w:tc>
      </w:tr>
      <w:tr w:rsidR="00587444" w:rsidRPr="00587444" w14:paraId="6E370DB4" w14:textId="77777777" w:rsidTr="00DD69E7">
        <w:trPr>
          <w:trHeight w:val="121"/>
        </w:trPr>
        <w:tc>
          <w:tcPr>
            <w:tcW w:w="3369" w:type="dxa"/>
            <w:tcBorders>
              <w:left w:val="nil"/>
              <w:bottom w:val="nil"/>
              <w:right w:val="nil"/>
            </w:tcBorders>
            <w:shd w:val="clear" w:color="auto" w:fill="auto"/>
            <w:vAlign w:val="bottom"/>
          </w:tcPr>
          <w:p w14:paraId="6CF27406"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shd w:val="clear" w:color="auto" w:fill="auto"/>
            <w:noWrap/>
            <w:vAlign w:val="bottom"/>
          </w:tcPr>
          <w:p w14:paraId="2C59EB5D"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shd w:val="clear" w:color="auto" w:fill="auto"/>
            <w:noWrap/>
            <w:vAlign w:val="bottom"/>
          </w:tcPr>
          <w:p w14:paraId="10A718E4"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7572AEF4"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shd w:val="clear" w:color="auto" w:fill="auto"/>
            <w:noWrap/>
            <w:vAlign w:val="bottom"/>
          </w:tcPr>
          <w:p w14:paraId="4BAEB576" w14:textId="77777777" w:rsidR="00587444" w:rsidRPr="00587444" w:rsidRDefault="00587444" w:rsidP="00587444">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08743C39" w14:textId="77777777" w:rsidR="00587444" w:rsidRPr="00587444" w:rsidRDefault="00587444" w:rsidP="00587444">
            <w:pPr>
              <w:suppressAutoHyphens w:val="0"/>
              <w:autoSpaceDN/>
              <w:spacing w:line="140" w:lineRule="exact"/>
              <w:jc w:val="right"/>
              <w:rPr>
                <w:rFonts w:ascii="Arial" w:hAnsi="Arial" w:cs="Arial"/>
                <w:sz w:val="18"/>
                <w:szCs w:val="18"/>
              </w:rPr>
            </w:pPr>
          </w:p>
        </w:tc>
      </w:tr>
      <w:tr w:rsidR="00587444" w:rsidRPr="00587444" w14:paraId="0F5F86A2" w14:textId="77777777" w:rsidTr="00DD69E7">
        <w:trPr>
          <w:trHeight w:val="300"/>
        </w:trPr>
        <w:tc>
          <w:tcPr>
            <w:tcW w:w="3369" w:type="dxa"/>
            <w:tcBorders>
              <w:top w:val="nil"/>
              <w:left w:val="nil"/>
              <w:bottom w:val="nil"/>
              <w:right w:val="nil"/>
            </w:tcBorders>
            <w:shd w:val="clear" w:color="auto" w:fill="auto"/>
            <w:vAlign w:val="bottom"/>
          </w:tcPr>
          <w:p w14:paraId="511598AB"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Liabilities of segment</w:t>
            </w:r>
          </w:p>
        </w:tc>
        <w:tc>
          <w:tcPr>
            <w:tcW w:w="1275" w:type="dxa"/>
            <w:shd w:val="clear" w:color="auto" w:fill="auto"/>
            <w:noWrap/>
            <w:vAlign w:val="bottom"/>
          </w:tcPr>
          <w:p w14:paraId="448EAFB6"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17,682,259</w:t>
            </w:r>
          </w:p>
        </w:tc>
        <w:tc>
          <w:tcPr>
            <w:tcW w:w="1418" w:type="dxa"/>
            <w:shd w:val="clear" w:color="auto" w:fill="auto"/>
            <w:noWrap/>
            <w:vAlign w:val="bottom"/>
          </w:tcPr>
          <w:p w14:paraId="30F7BFEC"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19,187</w:t>
            </w:r>
          </w:p>
        </w:tc>
        <w:tc>
          <w:tcPr>
            <w:tcW w:w="1134" w:type="dxa"/>
            <w:shd w:val="clear" w:color="auto" w:fill="auto"/>
            <w:noWrap/>
            <w:vAlign w:val="bottom"/>
          </w:tcPr>
          <w:p w14:paraId="2B8A7C4E"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160</w:t>
            </w:r>
          </w:p>
        </w:tc>
        <w:tc>
          <w:tcPr>
            <w:tcW w:w="1309" w:type="dxa"/>
            <w:shd w:val="clear" w:color="auto" w:fill="auto"/>
            <w:noWrap/>
            <w:vAlign w:val="bottom"/>
          </w:tcPr>
          <w:p w14:paraId="7ACF7F52"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(29)</w:t>
            </w:r>
          </w:p>
        </w:tc>
        <w:tc>
          <w:tcPr>
            <w:tcW w:w="1134" w:type="dxa"/>
            <w:shd w:val="clear" w:color="auto" w:fill="auto"/>
            <w:noWrap/>
            <w:vAlign w:val="bottom"/>
          </w:tcPr>
          <w:p w14:paraId="05545578"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17,701,577</w:t>
            </w:r>
          </w:p>
        </w:tc>
      </w:tr>
      <w:tr w:rsidR="00587444" w:rsidRPr="00587444" w14:paraId="13857093" w14:textId="77777777" w:rsidTr="00DD69E7">
        <w:trPr>
          <w:trHeight w:val="300"/>
        </w:trPr>
        <w:tc>
          <w:tcPr>
            <w:tcW w:w="3369" w:type="dxa"/>
            <w:tcBorders>
              <w:top w:val="nil"/>
              <w:left w:val="nil"/>
              <w:right w:val="nil"/>
            </w:tcBorders>
            <w:shd w:val="clear" w:color="auto" w:fill="auto"/>
            <w:vAlign w:val="bottom"/>
          </w:tcPr>
          <w:p w14:paraId="5EBCA481" w14:textId="77777777" w:rsidR="00587444" w:rsidRPr="00587444" w:rsidRDefault="00587444" w:rsidP="00587444">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Total equity</w:t>
            </w:r>
          </w:p>
        </w:tc>
        <w:tc>
          <w:tcPr>
            <w:tcW w:w="1275" w:type="dxa"/>
            <w:tcBorders>
              <w:top w:val="nil"/>
              <w:left w:val="nil"/>
              <w:bottom w:val="single" w:sz="4" w:space="0" w:color="auto"/>
              <w:right w:val="nil"/>
            </w:tcBorders>
            <w:shd w:val="clear" w:color="auto" w:fill="auto"/>
            <w:noWrap/>
            <w:vAlign w:val="bottom"/>
          </w:tcPr>
          <w:p w14:paraId="05FFD6C9"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10,567,729</w:t>
            </w:r>
          </w:p>
        </w:tc>
        <w:tc>
          <w:tcPr>
            <w:tcW w:w="1418" w:type="dxa"/>
            <w:tcBorders>
              <w:top w:val="nil"/>
              <w:left w:val="nil"/>
              <w:bottom w:val="single" w:sz="4" w:space="0" w:color="auto"/>
              <w:right w:val="nil"/>
            </w:tcBorders>
            <w:shd w:val="clear" w:color="auto" w:fill="auto"/>
            <w:noWrap/>
            <w:vAlign w:val="bottom"/>
          </w:tcPr>
          <w:p w14:paraId="42DFA267"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6,567</w:t>
            </w:r>
          </w:p>
        </w:tc>
        <w:tc>
          <w:tcPr>
            <w:tcW w:w="1134" w:type="dxa"/>
            <w:tcBorders>
              <w:top w:val="nil"/>
              <w:left w:val="nil"/>
              <w:bottom w:val="single" w:sz="4" w:space="0" w:color="auto"/>
              <w:right w:val="nil"/>
            </w:tcBorders>
            <w:shd w:val="clear" w:color="auto" w:fill="auto"/>
            <w:noWrap/>
            <w:vAlign w:val="bottom"/>
          </w:tcPr>
          <w:p w14:paraId="18662AE7"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718</w:t>
            </w:r>
          </w:p>
        </w:tc>
        <w:tc>
          <w:tcPr>
            <w:tcW w:w="1309" w:type="dxa"/>
            <w:tcBorders>
              <w:top w:val="nil"/>
              <w:left w:val="nil"/>
              <w:bottom w:val="single" w:sz="4" w:space="0" w:color="auto"/>
              <w:right w:val="nil"/>
            </w:tcBorders>
            <w:shd w:val="clear" w:color="auto" w:fill="auto"/>
            <w:noWrap/>
            <w:vAlign w:val="bottom"/>
          </w:tcPr>
          <w:p w14:paraId="22889F76"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1,771</w:t>
            </w:r>
          </w:p>
        </w:tc>
        <w:tc>
          <w:tcPr>
            <w:tcW w:w="1134" w:type="dxa"/>
            <w:tcBorders>
              <w:top w:val="nil"/>
              <w:left w:val="nil"/>
              <w:bottom w:val="single" w:sz="4" w:space="0" w:color="auto"/>
              <w:right w:val="nil"/>
            </w:tcBorders>
            <w:shd w:val="clear" w:color="auto" w:fill="auto"/>
            <w:noWrap/>
            <w:vAlign w:val="bottom"/>
          </w:tcPr>
          <w:p w14:paraId="6E5A268A" w14:textId="77777777" w:rsidR="00587444" w:rsidRPr="00587444" w:rsidRDefault="00587444" w:rsidP="00587444">
            <w:pPr>
              <w:suppressAutoHyphens w:val="0"/>
              <w:autoSpaceDN/>
              <w:spacing w:line="300" w:lineRule="exact"/>
              <w:jc w:val="right"/>
              <w:rPr>
                <w:rFonts w:ascii="Arial" w:hAnsi="Arial" w:cs="Arial"/>
                <w:sz w:val="18"/>
                <w:szCs w:val="18"/>
              </w:rPr>
            </w:pPr>
            <w:r w:rsidRPr="00587444">
              <w:rPr>
                <w:rFonts w:ascii="Arial" w:hAnsi="Arial" w:cs="Arial"/>
                <w:color w:val="000000"/>
                <w:sz w:val="18"/>
                <w:szCs w:val="18"/>
                <w:lang w:val="hr-HR"/>
              </w:rPr>
              <w:t>10,576,785</w:t>
            </w:r>
          </w:p>
        </w:tc>
      </w:tr>
      <w:tr w:rsidR="00587444" w:rsidRPr="00587444" w14:paraId="06ED4BA4" w14:textId="77777777" w:rsidTr="00DD69E7">
        <w:trPr>
          <w:trHeight w:val="315"/>
        </w:trPr>
        <w:tc>
          <w:tcPr>
            <w:tcW w:w="3369" w:type="dxa"/>
            <w:tcBorders>
              <w:left w:val="nil"/>
              <w:right w:val="nil"/>
            </w:tcBorders>
            <w:shd w:val="clear" w:color="auto" w:fill="auto"/>
            <w:vAlign w:val="bottom"/>
          </w:tcPr>
          <w:p w14:paraId="013C755F" w14:textId="77777777" w:rsidR="00587444" w:rsidRPr="00587444" w:rsidRDefault="00587444" w:rsidP="00587444">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Total liabilities and total equity</w:t>
            </w:r>
          </w:p>
        </w:tc>
        <w:tc>
          <w:tcPr>
            <w:tcW w:w="1275" w:type="dxa"/>
            <w:tcBorders>
              <w:top w:val="single" w:sz="4" w:space="0" w:color="auto"/>
              <w:left w:val="nil"/>
              <w:bottom w:val="single" w:sz="12" w:space="0" w:color="auto"/>
              <w:right w:val="nil"/>
            </w:tcBorders>
            <w:shd w:val="clear" w:color="auto" w:fill="auto"/>
            <w:noWrap/>
            <w:vAlign w:val="bottom"/>
          </w:tcPr>
          <w:p w14:paraId="076F794F"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28,249,988</w:t>
            </w:r>
          </w:p>
        </w:tc>
        <w:tc>
          <w:tcPr>
            <w:tcW w:w="1418" w:type="dxa"/>
            <w:tcBorders>
              <w:top w:val="single" w:sz="4" w:space="0" w:color="auto"/>
              <w:left w:val="nil"/>
              <w:bottom w:val="single" w:sz="12" w:space="0" w:color="auto"/>
              <w:right w:val="nil"/>
            </w:tcBorders>
            <w:shd w:val="clear" w:color="auto" w:fill="auto"/>
            <w:noWrap/>
            <w:vAlign w:val="bottom"/>
          </w:tcPr>
          <w:p w14:paraId="5A8D7D3A"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25,754</w:t>
            </w:r>
          </w:p>
        </w:tc>
        <w:tc>
          <w:tcPr>
            <w:tcW w:w="1134" w:type="dxa"/>
            <w:tcBorders>
              <w:top w:val="single" w:sz="4" w:space="0" w:color="auto"/>
              <w:left w:val="nil"/>
              <w:bottom w:val="single" w:sz="12" w:space="0" w:color="auto"/>
              <w:right w:val="nil"/>
            </w:tcBorders>
            <w:shd w:val="clear" w:color="auto" w:fill="auto"/>
            <w:noWrap/>
            <w:vAlign w:val="bottom"/>
          </w:tcPr>
          <w:p w14:paraId="010A01E3"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878</w:t>
            </w:r>
          </w:p>
        </w:tc>
        <w:tc>
          <w:tcPr>
            <w:tcW w:w="1309" w:type="dxa"/>
            <w:tcBorders>
              <w:top w:val="single" w:sz="4" w:space="0" w:color="auto"/>
              <w:left w:val="nil"/>
              <w:bottom w:val="single" w:sz="12" w:space="0" w:color="auto"/>
              <w:right w:val="nil"/>
            </w:tcBorders>
            <w:shd w:val="clear" w:color="auto" w:fill="auto"/>
            <w:noWrap/>
            <w:vAlign w:val="bottom"/>
          </w:tcPr>
          <w:p w14:paraId="77F71B28"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1,742</w:t>
            </w:r>
          </w:p>
        </w:tc>
        <w:tc>
          <w:tcPr>
            <w:tcW w:w="1134" w:type="dxa"/>
            <w:tcBorders>
              <w:top w:val="single" w:sz="4" w:space="0" w:color="auto"/>
              <w:left w:val="nil"/>
              <w:bottom w:val="single" w:sz="12" w:space="0" w:color="auto"/>
              <w:right w:val="nil"/>
            </w:tcBorders>
            <w:shd w:val="clear" w:color="auto" w:fill="auto"/>
            <w:noWrap/>
            <w:vAlign w:val="bottom"/>
          </w:tcPr>
          <w:p w14:paraId="5DD9C87D" w14:textId="77777777" w:rsidR="00587444" w:rsidRPr="00587444" w:rsidRDefault="00587444" w:rsidP="00587444">
            <w:pPr>
              <w:suppressAutoHyphens w:val="0"/>
              <w:autoSpaceDN/>
              <w:spacing w:line="300" w:lineRule="exact"/>
              <w:jc w:val="right"/>
              <w:rPr>
                <w:rFonts w:ascii="Arial" w:hAnsi="Arial" w:cs="Arial"/>
                <w:b/>
                <w:bCs/>
                <w:sz w:val="18"/>
                <w:szCs w:val="18"/>
              </w:rPr>
            </w:pPr>
            <w:r w:rsidRPr="00587444">
              <w:rPr>
                <w:rFonts w:ascii="Arial" w:hAnsi="Arial" w:cs="Arial"/>
                <w:b/>
                <w:bCs/>
                <w:color w:val="000000"/>
                <w:sz w:val="18"/>
                <w:szCs w:val="18"/>
                <w:lang w:val="hr-HR"/>
              </w:rPr>
              <w:t>28,278,362</w:t>
            </w:r>
          </w:p>
        </w:tc>
      </w:tr>
    </w:tbl>
    <w:p w14:paraId="587B7917" w14:textId="77777777" w:rsidR="00587444" w:rsidRPr="00587444" w:rsidRDefault="00587444" w:rsidP="00587444">
      <w:pPr>
        <w:suppressAutoHyphens w:val="0"/>
        <w:autoSpaceDN/>
        <w:jc w:val="both"/>
        <w:rPr>
          <w:rFonts w:ascii="Arial" w:hAnsi="Arial" w:cs="Arial"/>
          <w:b/>
          <w:sz w:val="20"/>
          <w:szCs w:val="20"/>
          <w:lang w:val="en-GB"/>
        </w:rPr>
      </w:pPr>
    </w:p>
    <w:p w14:paraId="13E14F22" w14:textId="77777777" w:rsidR="00587444" w:rsidRPr="00587444" w:rsidRDefault="00587444" w:rsidP="00587444">
      <w:pPr>
        <w:suppressAutoHyphens w:val="0"/>
        <w:autoSpaceDN/>
        <w:jc w:val="both"/>
        <w:rPr>
          <w:rFonts w:ascii="Arial" w:hAnsi="Arial" w:cs="Arial"/>
          <w:b/>
          <w:sz w:val="20"/>
          <w:szCs w:val="20"/>
          <w:lang w:val="en-GB"/>
        </w:rPr>
      </w:pPr>
    </w:p>
    <w:p w14:paraId="45A594C8" w14:textId="77777777" w:rsidR="00587444" w:rsidRPr="00587444" w:rsidRDefault="00587444" w:rsidP="00587444">
      <w:pPr>
        <w:suppressAutoHyphens w:val="0"/>
        <w:autoSpaceDN/>
        <w:jc w:val="both"/>
        <w:rPr>
          <w:rFonts w:ascii="Arial" w:hAnsi="Arial" w:cs="Arial"/>
          <w:sz w:val="20"/>
          <w:szCs w:val="20"/>
          <w:lang w:val="en"/>
        </w:rPr>
      </w:pPr>
      <w:r w:rsidRPr="00587444">
        <w:rPr>
          <w:rFonts w:ascii="Arial" w:hAnsi="Arial" w:cs="Arial"/>
          <w:sz w:val="20"/>
          <w:szCs w:val="20"/>
          <w:lang w:val="en"/>
        </w:rPr>
        <w:t>Intra-group transactions are presented under "Unallocated”</w:t>
      </w:r>
    </w:p>
    <w:p w14:paraId="7C4996CB" w14:textId="77777777" w:rsidR="00587444" w:rsidRPr="00587444" w:rsidRDefault="00587444" w:rsidP="00587444">
      <w:pPr>
        <w:suppressAutoHyphens w:val="0"/>
        <w:autoSpaceDN/>
        <w:spacing w:before="120" w:line="300" w:lineRule="exact"/>
        <w:jc w:val="both"/>
        <w:rPr>
          <w:rFonts w:ascii="Arial" w:hAnsi="Arial" w:cs="Arial"/>
          <w:b/>
          <w:sz w:val="20"/>
          <w:szCs w:val="20"/>
          <w:lang w:val="en-GB"/>
        </w:rPr>
      </w:pPr>
    </w:p>
    <w:p w14:paraId="2E2AD74B" w14:textId="77777777" w:rsidR="00587444" w:rsidRPr="00587444" w:rsidRDefault="00587444" w:rsidP="00587444">
      <w:pPr>
        <w:suppressAutoHyphens w:val="0"/>
        <w:autoSpaceDN/>
        <w:spacing w:before="120" w:line="300" w:lineRule="exact"/>
        <w:jc w:val="both"/>
        <w:rPr>
          <w:rFonts w:ascii="Arial" w:hAnsi="Arial" w:cs="Arial"/>
          <w:b/>
          <w:sz w:val="20"/>
          <w:szCs w:val="20"/>
          <w:lang w:val="en-GB"/>
        </w:rPr>
      </w:pPr>
    </w:p>
    <w:p w14:paraId="3C92214D"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pPr>
    </w:p>
    <w:p w14:paraId="4D1464A2"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D69E7">
          <w:pgSz w:w="11907" w:h="16840" w:code="9"/>
          <w:pgMar w:top="1418" w:right="1134" w:bottom="1134" w:left="1418" w:header="851" w:footer="851" w:gutter="0"/>
          <w:cols w:space="720"/>
          <w:noEndnote/>
        </w:sectPr>
      </w:pPr>
    </w:p>
    <w:p w14:paraId="226576A4"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2985389D"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34.</w:t>
      </w:r>
      <w:r w:rsidRPr="00587444">
        <w:rPr>
          <w:rFonts w:ascii="Arial" w:hAnsi="Arial" w:cs="Arial"/>
          <w:b/>
          <w:bCs/>
          <w:spacing w:val="-3"/>
          <w:sz w:val="20"/>
          <w:szCs w:val="20"/>
          <w:lang w:val="en-GB"/>
        </w:rPr>
        <w:tab/>
        <w:t>Capital management</w:t>
      </w:r>
    </w:p>
    <w:p w14:paraId="76D99A00" w14:textId="77777777" w:rsidR="00587444" w:rsidRPr="00587444" w:rsidRDefault="00587444" w:rsidP="00587444">
      <w:pPr>
        <w:keepNext/>
        <w:tabs>
          <w:tab w:val="right" w:pos="9781"/>
        </w:tabs>
        <w:suppressAutoHyphens w:val="0"/>
        <w:autoSpaceDN/>
        <w:jc w:val="both"/>
        <w:rPr>
          <w:rFonts w:ascii="Arial" w:hAnsi="Arial" w:cs="Arial"/>
          <w:sz w:val="20"/>
          <w:szCs w:val="20"/>
          <w:lang w:val="en-GB"/>
        </w:rPr>
      </w:pPr>
    </w:p>
    <w:p w14:paraId="14F5F055" w14:textId="77777777" w:rsidR="00587444" w:rsidRPr="00587444" w:rsidRDefault="00587444" w:rsidP="0073106F">
      <w:pPr>
        <w:keepNext/>
        <w:tabs>
          <w:tab w:val="right" w:pos="9781"/>
        </w:tabs>
        <w:autoSpaceDN/>
        <w:jc w:val="both"/>
        <w:rPr>
          <w:rFonts w:ascii="Arial" w:hAnsi="Arial" w:cs="Arial"/>
          <w:color w:val="000000"/>
          <w:sz w:val="20"/>
          <w:szCs w:val="20"/>
          <w:lang w:val="en-GB"/>
        </w:rPr>
      </w:pPr>
      <w:r w:rsidRPr="00587444">
        <w:rPr>
          <w:rFonts w:ascii="Arial" w:hAnsi="Arial" w:cs="Arial"/>
          <w:color w:val="000000"/>
          <w:sz w:val="20"/>
          <w:szCs w:val="20"/>
          <w:lang w:val="en-GB"/>
        </w:rPr>
        <w:t>The primary objectives of the Bank's capital management are to ensure the presumptions of going concern and to respect regulatory and contracted demands imposed by creditors regarding a certain capital adequacy level.</w:t>
      </w:r>
    </w:p>
    <w:p w14:paraId="3A11A9F2" w14:textId="77777777" w:rsidR="00587444" w:rsidRPr="00587444" w:rsidRDefault="00587444" w:rsidP="0073106F">
      <w:pPr>
        <w:keepNext/>
        <w:tabs>
          <w:tab w:val="right" w:pos="9781"/>
        </w:tabs>
        <w:autoSpaceDN/>
        <w:jc w:val="both"/>
        <w:rPr>
          <w:rFonts w:ascii="Arial" w:hAnsi="Arial" w:cs="Arial"/>
          <w:color w:val="000000"/>
          <w:sz w:val="20"/>
          <w:szCs w:val="20"/>
          <w:lang w:val="en-GB"/>
        </w:rPr>
      </w:pPr>
    </w:p>
    <w:p w14:paraId="52B1842D" w14:textId="77777777" w:rsidR="00587444" w:rsidRPr="00587444" w:rsidRDefault="00587444" w:rsidP="0073106F">
      <w:pPr>
        <w:keepNext/>
        <w:tabs>
          <w:tab w:val="right" w:pos="9781"/>
        </w:tabs>
        <w:autoSpaceDN/>
        <w:jc w:val="both"/>
        <w:rPr>
          <w:rFonts w:ascii="Arial" w:hAnsi="Arial" w:cs="Arial"/>
          <w:color w:val="000000"/>
          <w:sz w:val="20"/>
          <w:szCs w:val="20"/>
          <w:lang w:val="en-GB"/>
        </w:rPr>
      </w:pPr>
      <w:r w:rsidRPr="00587444">
        <w:rPr>
          <w:rFonts w:ascii="Arial" w:hAnsi="Arial" w:cs="Arial"/>
          <w:color w:val="000000"/>
          <w:sz w:val="20"/>
          <w:szCs w:val="20"/>
          <w:lang w:val="en-GB"/>
        </w:rPr>
        <w:t>The Group has identified the regulatory capital as a manageable capital category.</w:t>
      </w:r>
    </w:p>
    <w:p w14:paraId="7F289553" w14:textId="77777777" w:rsidR="00587444" w:rsidRPr="00587444" w:rsidRDefault="00587444" w:rsidP="0073106F">
      <w:pPr>
        <w:keepNext/>
        <w:tabs>
          <w:tab w:val="right" w:pos="9781"/>
        </w:tabs>
        <w:autoSpaceDN/>
        <w:jc w:val="both"/>
        <w:rPr>
          <w:rFonts w:ascii="Arial" w:hAnsi="Arial" w:cs="Arial"/>
          <w:color w:val="000000"/>
          <w:sz w:val="20"/>
          <w:szCs w:val="20"/>
          <w:lang w:val="en-GB"/>
        </w:rPr>
      </w:pPr>
    </w:p>
    <w:p w14:paraId="52F58F55" w14:textId="77777777" w:rsidR="00587444" w:rsidRPr="00587444" w:rsidRDefault="00587444" w:rsidP="0073106F">
      <w:pPr>
        <w:keepNext/>
        <w:tabs>
          <w:tab w:val="right" w:pos="9781"/>
        </w:tabs>
        <w:autoSpaceDN/>
        <w:jc w:val="both"/>
        <w:rPr>
          <w:rFonts w:ascii="Arial" w:hAnsi="Arial" w:cs="Arial"/>
          <w:color w:val="000000"/>
          <w:sz w:val="20"/>
          <w:szCs w:val="20"/>
          <w:lang w:val="en-GB"/>
        </w:rPr>
      </w:pPr>
      <w:r w:rsidRPr="00587444">
        <w:rPr>
          <w:rFonts w:ascii="Arial" w:hAnsi="Arial" w:cs="Arial"/>
          <w:color w:val="000000"/>
          <w:sz w:val="20"/>
          <w:szCs w:val="20"/>
          <w:lang w:val="en-GB"/>
        </w:rPr>
        <w:t xml:space="preserve">Regulatory capital is the funding source amount that is maintained for the purpose of safe and stable operations, </w:t>
      </w:r>
      <w:proofErr w:type="gramStart"/>
      <w:r w:rsidRPr="00587444">
        <w:rPr>
          <w:rFonts w:ascii="Arial" w:hAnsi="Arial" w:cs="Arial"/>
          <w:color w:val="000000"/>
          <w:sz w:val="20"/>
          <w:szCs w:val="20"/>
          <w:lang w:val="en-GB"/>
        </w:rPr>
        <w:t>i.e.</w:t>
      </w:r>
      <w:proofErr w:type="gramEnd"/>
      <w:r w:rsidRPr="00587444">
        <w:rPr>
          <w:rFonts w:ascii="Arial" w:hAnsi="Arial" w:cs="Arial"/>
          <w:color w:val="000000"/>
          <w:sz w:val="20"/>
          <w:szCs w:val="20"/>
          <w:lang w:val="en-GB"/>
        </w:rPr>
        <w:t xml:space="preserve"> for the purpose of fulfilling the obligations towards the creditors.</w:t>
      </w:r>
    </w:p>
    <w:p w14:paraId="31888539" w14:textId="77777777" w:rsidR="00587444" w:rsidRPr="00587444" w:rsidRDefault="00587444" w:rsidP="0073106F">
      <w:pPr>
        <w:keepNext/>
        <w:tabs>
          <w:tab w:val="right" w:pos="9781"/>
        </w:tabs>
        <w:autoSpaceDN/>
        <w:jc w:val="both"/>
        <w:rPr>
          <w:rFonts w:ascii="Arial" w:hAnsi="Arial" w:cs="Arial"/>
          <w:color w:val="000000"/>
          <w:sz w:val="20"/>
          <w:szCs w:val="20"/>
          <w:lang w:val="en-GB"/>
        </w:rPr>
      </w:pPr>
    </w:p>
    <w:p w14:paraId="5D6BB146" w14:textId="77777777" w:rsidR="00587444" w:rsidRPr="00587444" w:rsidRDefault="00587444" w:rsidP="0073106F">
      <w:pPr>
        <w:keepNext/>
        <w:tabs>
          <w:tab w:val="right" w:pos="9781"/>
        </w:tabs>
        <w:autoSpaceDN/>
        <w:jc w:val="both"/>
        <w:rPr>
          <w:rFonts w:ascii="Arial" w:hAnsi="Arial" w:cs="Arial"/>
          <w:color w:val="000000"/>
          <w:sz w:val="20"/>
          <w:szCs w:val="20"/>
          <w:lang w:val="en-GB"/>
        </w:rPr>
      </w:pPr>
      <w:r w:rsidRPr="00587444">
        <w:rPr>
          <w:rFonts w:ascii="Arial" w:hAnsi="Arial" w:cs="Arial"/>
          <w:color w:val="000000"/>
          <w:sz w:val="20"/>
          <w:szCs w:val="20"/>
          <w:lang w:val="en-GB"/>
        </w:rPr>
        <w:t>HBOR’s regulatory capital is the sum of the equity capital and the supplementary capital.</w:t>
      </w:r>
    </w:p>
    <w:p w14:paraId="077CB4E8" w14:textId="77777777" w:rsidR="00587444" w:rsidRPr="00587444" w:rsidRDefault="00587444" w:rsidP="0073106F">
      <w:pPr>
        <w:keepNext/>
        <w:tabs>
          <w:tab w:val="right" w:pos="9781"/>
        </w:tabs>
        <w:autoSpaceDN/>
        <w:jc w:val="both"/>
        <w:rPr>
          <w:rFonts w:ascii="Arial" w:hAnsi="Arial" w:cs="Arial"/>
          <w:color w:val="000000"/>
          <w:sz w:val="20"/>
          <w:szCs w:val="20"/>
          <w:lang w:val="hr-HR"/>
        </w:rPr>
      </w:pPr>
    </w:p>
    <w:p w14:paraId="5634E007" w14:textId="77777777" w:rsidR="00587444" w:rsidRPr="00587444" w:rsidRDefault="00587444" w:rsidP="0073106F">
      <w:pPr>
        <w:keepNext/>
        <w:tabs>
          <w:tab w:val="right" w:pos="9781"/>
        </w:tabs>
        <w:autoSpaceDN/>
        <w:jc w:val="both"/>
        <w:rPr>
          <w:rFonts w:ascii="Arial" w:hAnsi="Arial" w:cs="Arial"/>
          <w:sz w:val="20"/>
          <w:szCs w:val="20"/>
          <w:lang w:val="en-GB"/>
        </w:rPr>
      </w:pPr>
      <w:r w:rsidRPr="00587444">
        <w:rPr>
          <w:rFonts w:ascii="Arial" w:hAnsi="Arial" w:cs="Arial"/>
          <w:sz w:val="20"/>
          <w:szCs w:val="20"/>
          <w:lang w:val="en-GB"/>
        </w:rPr>
        <w:t xml:space="preserve">HBOR ensures that it </w:t>
      </w:r>
      <w:proofErr w:type="gramStart"/>
      <w:r w:rsidRPr="00587444">
        <w:rPr>
          <w:rFonts w:ascii="Arial" w:hAnsi="Arial" w:cs="Arial"/>
          <w:sz w:val="20"/>
          <w:szCs w:val="20"/>
          <w:lang w:val="en-GB"/>
        </w:rPr>
        <w:t>has at all times</w:t>
      </w:r>
      <w:proofErr w:type="gramEnd"/>
      <w:r w:rsidRPr="00587444">
        <w:rPr>
          <w:rFonts w:ascii="Arial" w:hAnsi="Arial" w:cs="Arial"/>
          <w:sz w:val="20"/>
          <w:szCs w:val="20"/>
          <w:lang w:val="en-GB"/>
        </w:rPr>
        <w:t xml:space="preserve"> an amount of capital adequate to the types, scope and complexity of operations it performs and the risks it is or could be exposed to in its operations.</w:t>
      </w:r>
    </w:p>
    <w:p w14:paraId="45834BC7" w14:textId="77777777" w:rsidR="00587444" w:rsidRPr="00587444" w:rsidRDefault="00587444" w:rsidP="0073106F">
      <w:pPr>
        <w:keepNext/>
        <w:tabs>
          <w:tab w:val="right" w:pos="9781"/>
        </w:tabs>
        <w:autoSpaceDN/>
        <w:jc w:val="both"/>
        <w:rPr>
          <w:rFonts w:ascii="Arial" w:hAnsi="Arial" w:cs="Arial"/>
          <w:sz w:val="20"/>
          <w:szCs w:val="20"/>
          <w:lang w:val="en-GB"/>
        </w:rPr>
      </w:pPr>
      <w:r w:rsidRPr="00587444">
        <w:rPr>
          <w:rFonts w:ascii="Arial" w:hAnsi="Arial" w:cs="Arial"/>
          <w:sz w:val="20"/>
          <w:szCs w:val="20"/>
          <w:lang w:val="en-GB"/>
        </w:rPr>
        <w:t>HBOR's total capital ratio is calculated as the ratio between the regulatory capital and the total:</w:t>
      </w:r>
    </w:p>
    <w:p w14:paraId="58FEE5F6" w14:textId="77777777" w:rsidR="00587444" w:rsidRPr="00587444" w:rsidRDefault="00587444" w:rsidP="0073106F">
      <w:pPr>
        <w:keepNext/>
        <w:numPr>
          <w:ilvl w:val="0"/>
          <w:numId w:val="26"/>
        </w:numPr>
        <w:tabs>
          <w:tab w:val="right" w:pos="9781"/>
        </w:tabs>
        <w:autoSpaceDN/>
        <w:ind w:left="426" w:hanging="284"/>
        <w:jc w:val="both"/>
        <w:rPr>
          <w:rFonts w:ascii="Arial" w:hAnsi="Arial" w:cs="Arial"/>
          <w:sz w:val="20"/>
          <w:szCs w:val="20"/>
          <w:lang w:val="en-GB"/>
        </w:rPr>
      </w:pPr>
      <w:r w:rsidRPr="00587444">
        <w:rPr>
          <w:rFonts w:ascii="Arial" w:hAnsi="Arial" w:cs="Arial"/>
          <w:sz w:val="20"/>
          <w:szCs w:val="20"/>
          <w:lang w:val="en-GB"/>
        </w:rPr>
        <w:t xml:space="preserve">1. amount of credit risk weighted exposure (prescribed by the Methodology for the Calculation of HBOR’s Total Capital Ratio), and </w:t>
      </w:r>
    </w:p>
    <w:p w14:paraId="45C8F1F2" w14:textId="77777777" w:rsidR="00587444" w:rsidRPr="00587444" w:rsidRDefault="00587444" w:rsidP="0073106F">
      <w:pPr>
        <w:keepNext/>
        <w:numPr>
          <w:ilvl w:val="0"/>
          <w:numId w:val="26"/>
        </w:numPr>
        <w:tabs>
          <w:tab w:val="right" w:pos="9781"/>
        </w:tabs>
        <w:autoSpaceDN/>
        <w:ind w:left="426" w:hanging="284"/>
        <w:jc w:val="both"/>
        <w:rPr>
          <w:rFonts w:ascii="Arial" w:hAnsi="Arial" w:cs="Arial"/>
          <w:sz w:val="20"/>
          <w:szCs w:val="20"/>
          <w:lang w:val="en-GB"/>
        </w:rPr>
      </w:pPr>
      <w:r w:rsidRPr="00587444">
        <w:rPr>
          <w:rFonts w:ascii="Arial" w:hAnsi="Arial" w:cs="Arial"/>
          <w:sz w:val="20"/>
          <w:szCs w:val="20"/>
          <w:lang w:val="en-GB"/>
        </w:rPr>
        <w:t xml:space="preserve">2. amount of initial capital requirements for market risks, settlement risk and operational risk (prescribed by the Methodology for the Calculation of HBOR’s Total Capital Ratio) multiplied by 12.5. </w:t>
      </w:r>
    </w:p>
    <w:p w14:paraId="48F6BA1D" w14:textId="77777777" w:rsidR="00587444" w:rsidRPr="00587444" w:rsidRDefault="00587444" w:rsidP="0073106F">
      <w:pPr>
        <w:autoSpaceDN/>
        <w:jc w:val="both"/>
        <w:rPr>
          <w:rFonts w:ascii="Arial" w:hAnsi="Arial" w:cs="Arial"/>
          <w:sz w:val="20"/>
          <w:szCs w:val="20"/>
          <w:lang w:val="en-GB"/>
        </w:rPr>
      </w:pPr>
    </w:p>
    <w:p w14:paraId="3C4EC546" w14:textId="77777777" w:rsidR="00587444" w:rsidRPr="00587444" w:rsidRDefault="00587444" w:rsidP="0073106F">
      <w:pPr>
        <w:autoSpaceDN/>
        <w:jc w:val="both"/>
        <w:rPr>
          <w:rFonts w:ascii="Arial" w:eastAsia="ArialMT" w:hAnsi="Arial" w:cs="Arial"/>
          <w:sz w:val="20"/>
          <w:szCs w:val="20"/>
        </w:rPr>
      </w:pPr>
      <w:r w:rsidRPr="00587444">
        <w:rPr>
          <w:rFonts w:ascii="Arial" w:eastAsia="ArialMT" w:hAnsi="Arial" w:cs="Arial"/>
          <w:sz w:val="20"/>
          <w:szCs w:val="20"/>
        </w:rPr>
        <w:t>The total capital ratio is calculated on the basis of the internal methodology based on the regulatory framework in accordance with Basel II calculation requirements,</w:t>
      </w:r>
      <w:r w:rsidRPr="00587444">
        <w:t xml:space="preserve"> </w:t>
      </w:r>
      <w:r w:rsidRPr="00587444">
        <w:rPr>
          <w:rFonts w:ascii="Arial" w:eastAsia="ArialMT" w:hAnsi="Arial" w:cs="Arial"/>
          <w:sz w:val="20"/>
          <w:szCs w:val="20"/>
        </w:rPr>
        <w:t>on the application of certain provisions of the banking regulations in effect depending on the possibilities of HBOR’s system and with further strategic focus on its development in accordance with the banking regulations in effect as applicable to HBOR as a development and export bank of the Republic of Croatia.</w:t>
      </w:r>
    </w:p>
    <w:p w14:paraId="34F2E6FF" w14:textId="77777777" w:rsidR="00587444" w:rsidRPr="00587444" w:rsidRDefault="00587444" w:rsidP="0073106F">
      <w:pPr>
        <w:autoSpaceDN/>
        <w:jc w:val="both"/>
        <w:rPr>
          <w:rFonts w:ascii="Arial" w:eastAsia="ArialMT" w:hAnsi="Arial" w:cs="Arial"/>
          <w:sz w:val="20"/>
          <w:szCs w:val="20"/>
        </w:rPr>
      </w:pPr>
    </w:p>
    <w:p w14:paraId="659492EF" w14:textId="77777777" w:rsidR="00587444" w:rsidRPr="00587444" w:rsidRDefault="00587444" w:rsidP="0073106F">
      <w:pPr>
        <w:autoSpaceDN/>
        <w:jc w:val="both"/>
        <w:rPr>
          <w:rFonts w:ascii="Arial" w:eastAsia="ArialMT" w:hAnsi="Arial" w:cs="Arial"/>
          <w:sz w:val="20"/>
          <w:szCs w:val="20"/>
        </w:rPr>
      </w:pPr>
      <w:r w:rsidRPr="00587444">
        <w:rPr>
          <w:rFonts w:ascii="Arial" w:eastAsia="ArialMT" w:hAnsi="Arial" w:cs="Arial"/>
          <w:sz w:val="20"/>
          <w:szCs w:val="20"/>
        </w:rPr>
        <w:t xml:space="preserve">Risk appetite relates to the level and type of risk that HBOR is willing to take </w:t>
      </w:r>
      <w:proofErr w:type="gramStart"/>
      <w:r w:rsidRPr="00587444">
        <w:rPr>
          <w:rFonts w:ascii="Arial" w:eastAsia="ArialMT" w:hAnsi="Arial" w:cs="Arial"/>
          <w:sz w:val="20"/>
          <w:szCs w:val="20"/>
        </w:rPr>
        <w:t>in order to</w:t>
      </w:r>
      <w:proofErr w:type="gramEnd"/>
      <w:r w:rsidRPr="00587444">
        <w:rPr>
          <w:rFonts w:ascii="Arial" w:eastAsia="ArialMT" w:hAnsi="Arial" w:cs="Arial"/>
          <w:sz w:val="20"/>
          <w:szCs w:val="20"/>
        </w:rPr>
        <w:t xml:space="preserve"> achieve the goals of its business strategy, and it is always determined within the defined risk bearing capacity that represents the highest level of risk that HBOR can take considering its capital base, its risk management and control ability and regulatory restrictions if prescribed and applicable to HBOR.</w:t>
      </w:r>
    </w:p>
    <w:p w14:paraId="0FD5D3E9" w14:textId="77777777" w:rsidR="00587444" w:rsidRPr="00587444" w:rsidRDefault="00587444" w:rsidP="0073106F">
      <w:pPr>
        <w:autoSpaceDN/>
        <w:jc w:val="both"/>
        <w:rPr>
          <w:rFonts w:ascii="Arial" w:eastAsia="ArialMT" w:hAnsi="Arial" w:cs="Arial"/>
          <w:sz w:val="20"/>
          <w:szCs w:val="20"/>
        </w:rPr>
      </w:pPr>
    </w:p>
    <w:p w14:paraId="192F5981" w14:textId="77777777" w:rsidR="00587444" w:rsidRPr="00587444" w:rsidRDefault="00587444" w:rsidP="0073106F">
      <w:pPr>
        <w:autoSpaceDN/>
        <w:jc w:val="both"/>
        <w:rPr>
          <w:rFonts w:ascii="Arial" w:eastAsia="ArialMT" w:hAnsi="Arial" w:cs="Arial"/>
          <w:sz w:val="20"/>
          <w:szCs w:val="20"/>
        </w:rPr>
      </w:pPr>
      <w:r w:rsidRPr="00587444">
        <w:rPr>
          <w:rFonts w:ascii="Arial" w:eastAsia="ArialMT" w:hAnsi="Arial" w:cs="Arial"/>
          <w:sz w:val="20"/>
          <w:szCs w:val="20"/>
        </w:rPr>
        <w:t>Within the framework of defining the risk appetite at the strategic level, a minimum acceptable total capital ratio of 20% was determined.</w:t>
      </w:r>
    </w:p>
    <w:p w14:paraId="488964C2" w14:textId="77777777" w:rsidR="00587444" w:rsidRPr="00587444" w:rsidRDefault="00587444" w:rsidP="0073106F">
      <w:pPr>
        <w:autoSpaceDN/>
        <w:jc w:val="both"/>
        <w:rPr>
          <w:rFonts w:ascii="Arial" w:eastAsia="ArialMT" w:hAnsi="Arial" w:cs="Arial"/>
          <w:sz w:val="20"/>
          <w:szCs w:val="20"/>
        </w:rPr>
      </w:pPr>
    </w:p>
    <w:p w14:paraId="59EB3779" w14:textId="77777777" w:rsidR="00587444" w:rsidRPr="00587444" w:rsidRDefault="00587444" w:rsidP="0073106F">
      <w:pPr>
        <w:autoSpaceDN/>
        <w:jc w:val="both"/>
        <w:rPr>
          <w:rFonts w:ascii="Arial" w:eastAsia="ArialMT" w:hAnsi="Arial" w:cs="Arial"/>
          <w:sz w:val="20"/>
          <w:szCs w:val="20"/>
        </w:rPr>
      </w:pPr>
      <w:r w:rsidRPr="00587444">
        <w:rPr>
          <w:rFonts w:ascii="Arial" w:eastAsia="ArialMT" w:hAnsi="Arial" w:cs="Arial"/>
          <w:sz w:val="20"/>
          <w:szCs w:val="20"/>
        </w:rPr>
        <w:t xml:space="preserve">The text to follow contains a breakdown of capital adequacy ratio as </w:t>
      </w:r>
      <w:proofErr w:type="gramStart"/>
      <w:r w:rsidRPr="00587444">
        <w:rPr>
          <w:rFonts w:ascii="Arial" w:eastAsia="ArialMT" w:hAnsi="Arial" w:cs="Arial"/>
          <w:sz w:val="20"/>
          <w:szCs w:val="20"/>
        </w:rPr>
        <w:t>at</w:t>
      </w:r>
      <w:proofErr w:type="gramEnd"/>
      <w:r w:rsidRPr="00587444">
        <w:rPr>
          <w:rFonts w:ascii="Arial" w:eastAsia="ArialMT" w:hAnsi="Arial" w:cs="Arial"/>
          <w:sz w:val="20"/>
          <w:szCs w:val="20"/>
        </w:rPr>
        <w:t xml:space="preserve"> 31 December 2022 and 31 December 2021.</w:t>
      </w:r>
    </w:p>
    <w:p w14:paraId="2FBC045C" w14:textId="77777777" w:rsidR="00587444" w:rsidRPr="00587444" w:rsidRDefault="00587444" w:rsidP="00587444">
      <w:pPr>
        <w:suppressAutoHyphens w:val="0"/>
        <w:autoSpaceDN/>
        <w:jc w:val="both"/>
        <w:rPr>
          <w:rFonts w:ascii="Arial" w:eastAsia="ArialMT" w:hAnsi="Arial" w:cs="Arial"/>
          <w:sz w:val="20"/>
          <w:szCs w:val="20"/>
        </w:rPr>
      </w:pPr>
    </w:p>
    <w:tbl>
      <w:tblPr>
        <w:tblW w:w="5349" w:type="pct"/>
        <w:jc w:val="center"/>
        <w:tblBorders>
          <w:bottom w:val="single" w:sz="12" w:space="0" w:color="auto"/>
        </w:tblBorders>
        <w:tblLayout w:type="fixed"/>
        <w:tblLook w:val="01E0" w:firstRow="1" w:lastRow="1" w:firstColumn="1" w:lastColumn="1" w:noHBand="0" w:noVBand="0"/>
      </w:tblPr>
      <w:tblGrid>
        <w:gridCol w:w="4062"/>
        <w:gridCol w:w="1545"/>
        <w:gridCol w:w="1544"/>
        <w:gridCol w:w="1544"/>
        <w:gridCol w:w="1544"/>
      </w:tblGrid>
      <w:tr w:rsidR="00587444" w:rsidRPr="00587444" w14:paraId="5B5BBE1F" w14:textId="77777777" w:rsidTr="00DD69E7">
        <w:trPr>
          <w:trHeight w:val="172"/>
          <w:jc w:val="center"/>
        </w:trPr>
        <w:tc>
          <w:tcPr>
            <w:tcW w:w="1983" w:type="pct"/>
          </w:tcPr>
          <w:p w14:paraId="5B000A5F" w14:textId="77777777" w:rsidR="00587444" w:rsidRPr="00587444" w:rsidRDefault="00587444" w:rsidP="00587444">
            <w:pPr>
              <w:tabs>
                <w:tab w:val="right" w:pos="9781"/>
              </w:tabs>
              <w:suppressAutoHyphens w:val="0"/>
              <w:autoSpaceDN/>
              <w:jc w:val="both"/>
              <w:rPr>
                <w:rFonts w:ascii="Arial" w:hAnsi="Arial" w:cs="Arial"/>
                <w:sz w:val="18"/>
                <w:szCs w:val="18"/>
              </w:rPr>
            </w:pPr>
          </w:p>
        </w:tc>
        <w:tc>
          <w:tcPr>
            <w:tcW w:w="754" w:type="pct"/>
            <w:vAlign w:val="bottom"/>
          </w:tcPr>
          <w:p w14:paraId="2B9ACD42"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p>
        </w:tc>
        <w:tc>
          <w:tcPr>
            <w:tcW w:w="754" w:type="pct"/>
            <w:vAlign w:val="bottom"/>
          </w:tcPr>
          <w:p w14:paraId="6CC12248"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bookmarkStart w:id="1458" w:name="_Toc4063527"/>
            <w:r w:rsidRPr="00587444">
              <w:rPr>
                <w:rFonts w:ascii="Arial" w:hAnsi="Arial" w:cs="Arial"/>
                <w:b/>
                <w:sz w:val="18"/>
                <w:szCs w:val="18"/>
              </w:rPr>
              <w:t>Group</w:t>
            </w:r>
            <w:bookmarkEnd w:id="1458"/>
          </w:p>
        </w:tc>
        <w:tc>
          <w:tcPr>
            <w:tcW w:w="754" w:type="pct"/>
            <w:vAlign w:val="bottom"/>
          </w:tcPr>
          <w:p w14:paraId="484D2508"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p>
        </w:tc>
        <w:tc>
          <w:tcPr>
            <w:tcW w:w="754" w:type="pct"/>
          </w:tcPr>
          <w:p w14:paraId="52928DEE"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bookmarkStart w:id="1459" w:name="_Toc4063528"/>
            <w:r w:rsidRPr="00587444">
              <w:rPr>
                <w:rFonts w:ascii="Arial" w:hAnsi="Arial" w:cs="Arial"/>
                <w:b/>
                <w:sz w:val="18"/>
                <w:szCs w:val="18"/>
              </w:rPr>
              <w:t>Bank</w:t>
            </w:r>
            <w:bookmarkEnd w:id="1459"/>
          </w:p>
        </w:tc>
      </w:tr>
      <w:tr w:rsidR="00587444" w:rsidRPr="00587444" w14:paraId="207C568B" w14:textId="77777777" w:rsidTr="00DD69E7">
        <w:trPr>
          <w:trHeight w:val="172"/>
          <w:jc w:val="center"/>
        </w:trPr>
        <w:tc>
          <w:tcPr>
            <w:tcW w:w="1983" w:type="pct"/>
          </w:tcPr>
          <w:p w14:paraId="6999A338" w14:textId="77777777" w:rsidR="00587444" w:rsidRPr="00587444" w:rsidRDefault="00587444" w:rsidP="00587444">
            <w:pPr>
              <w:tabs>
                <w:tab w:val="right" w:pos="9781"/>
              </w:tabs>
              <w:suppressAutoHyphens w:val="0"/>
              <w:autoSpaceDN/>
              <w:jc w:val="both"/>
              <w:rPr>
                <w:rFonts w:ascii="Arial" w:hAnsi="Arial" w:cs="Arial"/>
                <w:sz w:val="18"/>
                <w:szCs w:val="18"/>
              </w:rPr>
            </w:pPr>
          </w:p>
        </w:tc>
        <w:tc>
          <w:tcPr>
            <w:tcW w:w="754" w:type="pct"/>
            <w:vAlign w:val="center"/>
          </w:tcPr>
          <w:p w14:paraId="46179421" w14:textId="77777777" w:rsidR="00587444" w:rsidRPr="00587444" w:rsidRDefault="00587444" w:rsidP="00587444">
            <w:pPr>
              <w:suppressAutoHyphens w:val="0"/>
              <w:autoSpaceDN/>
              <w:jc w:val="right"/>
              <w:rPr>
                <w:rFonts w:ascii="Arial" w:hAnsi="Arial" w:cs="Arial"/>
                <w:b/>
                <w:bCs/>
                <w:sz w:val="18"/>
                <w:szCs w:val="18"/>
              </w:rPr>
            </w:pPr>
            <w:r w:rsidRPr="00587444">
              <w:rPr>
                <w:rFonts w:ascii="Arial" w:hAnsi="Arial" w:cs="Arial"/>
                <w:b/>
                <w:bCs/>
                <w:sz w:val="18"/>
                <w:szCs w:val="18"/>
              </w:rPr>
              <w:t>31 December 2022</w:t>
            </w:r>
          </w:p>
        </w:tc>
        <w:tc>
          <w:tcPr>
            <w:tcW w:w="754" w:type="pct"/>
            <w:vAlign w:val="center"/>
          </w:tcPr>
          <w:p w14:paraId="119A8856"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bCs/>
                <w:sz w:val="18"/>
                <w:szCs w:val="18"/>
              </w:rPr>
              <w:t>31 December</w:t>
            </w:r>
            <w:r w:rsidRPr="00587444">
              <w:rPr>
                <w:rFonts w:ascii="Arial" w:hAnsi="Arial" w:cs="Arial"/>
                <w:b/>
                <w:sz w:val="18"/>
                <w:szCs w:val="18"/>
              </w:rPr>
              <w:t xml:space="preserve"> 2021</w:t>
            </w:r>
          </w:p>
        </w:tc>
        <w:tc>
          <w:tcPr>
            <w:tcW w:w="754" w:type="pct"/>
            <w:vAlign w:val="center"/>
          </w:tcPr>
          <w:p w14:paraId="706D169E" w14:textId="77777777" w:rsidR="00587444" w:rsidRPr="00587444" w:rsidRDefault="00587444" w:rsidP="00587444">
            <w:pPr>
              <w:suppressAutoHyphens w:val="0"/>
              <w:autoSpaceDN/>
              <w:jc w:val="right"/>
              <w:rPr>
                <w:rFonts w:ascii="Arial" w:hAnsi="Arial" w:cs="Arial"/>
                <w:b/>
                <w:bCs/>
                <w:sz w:val="18"/>
                <w:szCs w:val="18"/>
              </w:rPr>
            </w:pPr>
            <w:r w:rsidRPr="00587444">
              <w:rPr>
                <w:rFonts w:ascii="Arial" w:hAnsi="Arial" w:cs="Arial"/>
                <w:b/>
                <w:bCs/>
                <w:sz w:val="18"/>
                <w:szCs w:val="18"/>
              </w:rPr>
              <w:t>31 December 2022</w:t>
            </w:r>
          </w:p>
        </w:tc>
        <w:tc>
          <w:tcPr>
            <w:tcW w:w="754" w:type="pct"/>
            <w:vAlign w:val="center"/>
          </w:tcPr>
          <w:p w14:paraId="2409A143"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bCs/>
                <w:sz w:val="18"/>
                <w:szCs w:val="18"/>
              </w:rPr>
              <w:t>31 December</w:t>
            </w:r>
            <w:r w:rsidRPr="00587444">
              <w:rPr>
                <w:rFonts w:ascii="Arial" w:hAnsi="Arial" w:cs="Arial"/>
                <w:b/>
                <w:sz w:val="18"/>
                <w:szCs w:val="18"/>
              </w:rPr>
              <w:t xml:space="preserve"> 2021</w:t>
            </w:r>
          </w:p>
        </w:tc>
      </w:tr>
      <w:tr w:rsidR="00587444" w:rsidRPr="00587444" w14:paraId="46514FCE" w14:textId="77777777" w:rsidTr="00DD69E7">
        <w:trPr>
          <w:trHeight w:val="172"/>
          <w:jc w:val="center"/>
        </w:trPr>
        <w:tc>
          <w:tcPr>
            <w:tcW w:w="1983" w:type="pct"/>
          </w:tcPr>
          <w:p w14:paraId="5D10C5BF" w14:textId="77777777" w:rsidR="00587444" w:rsidRPr="00587444" w:rsidRDefault="00587444" w:rsidP="00587444">
            <w:pPr>
              <w:tabs>
                <w:tab w:val="right" w:pos="9781"/>
              </w:tabs>
              <w:suppressAutoHyphens w:val="0"/>
              <w:autoSpaceDN/>
              <w:jc w:val="both"/>
              <w:rPr>
                <w:rFonts w:ascii="Arial" w:hAnsi="Arial" w:cs="Arial"/>
                <w:sz w:val="18"/>
                <w:szCs w:val="18"/>
              </w:rPr>
            </w:pPr>
          </w:p>
        </w:tc>
        <w:tc>
          <w:tcPr>
            <w:tcW w:w="754" w:type="pct"/>
            <w:vAlign w:val="center"/>
          </w:tcPr>
          <w:p w14:paraId="677F1384" w14:textId="77777777" w:rsidR="00587444" w:rsidRPr="00587444" w:rsidRDefault="00587444" w:rsidP="00587444">
            <w:pPr>
              <w:suppressAutoHyphens w:val="0"/>
              <w:autoSpaceDN/>
              <w:jc w:val="right"/>
              <w:rPr>
                <w:rFonts w:ascii="Arial" w:hAnsi="Arial" w:cs="Arial"/>
                <w:b/>
                <w:bCs/>
                <w:sz w:val="18"/>
                <w:szCs w:val="18"/>
              </w:rPr>
            </w:pPr>
            <w:r w:rsidRPr="00587444">
              <w:rPr>
                <w:rFonts w:ascii="Arial" w:hAnsi="Arial" w:cs="Arial"/>
                <w:b/>
                <w:bCs/>
                <w:sz w:val="18"/>
                <w:szCs w:val="18"/>
              </w:rPr>
              <w:t>HRK ‘000</w:t>
            </w:r>
          </w:p>
        </w:tc>
        <w:tc>
          <w:tcPr>
            <w:tcW w:w="754" w:type="pct"/>
            <w:vAlign w:val="center"/>
          </w:tcPr>
          <w:p w14:paraId="111C94B5"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c>
          <w:tcPr>
            <w:tcW w:w="754" w:type="pct"/>
            <w:vAlign w:val="center"/>
          </w:tcPr>
          <w:p w14:paraId="1081B0DC" w14:textId="77777777" w:rsidR="00587444" w:rsidRPr="00587444" w:rsidRDefault="00587444" w:rsidP="00587444">
            <w:pPr>
              <w:suppressAutoHyphens w:val="0"/>
              <w:autoSpaceDN/>
              <w:jc w:val="right"/>
              <w:rPr>
                <w:rFonts w:ascii="Arial" w:hAnsi="Arial" w:cs="Arial"/>
                <w:b/>
                <w:bCs/>
                <w:sz w:val="18"/>
                <w:szCs w:val="18"/>
              </w:rPr>
            </w:pPr>
            <w:r w:rsidRPr="00587444">
              <w:rPr>
                <w:rFonts w:ascii="Arial" w:hAnsi="Arial" w:cs="Arial"/>
                <w:b/>
                <w:bCs/>
                <w:sz w:val="18"/>
                <w:szCs w:val="18"/>
              </w:rPr>
              <w:t>HRK ‘000</w:t>
            </w:r>
          </w:p>
        </w:tc>
        <w:tc>
          <w:tcPr>
            <w:tcW w:w="754" w:type="pct"/>
            <w:vAlign w:val="center"/>
          </w:tcPr>
          <w:p w14:paraId="5A6A97E0"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HRK ‘000</w:t>
            </w:r>
          </w:p>
        </w:tc>
      </w:tr>
      <w:tr w:rsidR="00587444" w:rsidRPr="00587444" w14:paraId="6BC2A763" w14:textId="77777777" w:rsidTr="00DD69E7">
        <w:trPr>
          <w:trHeight w:val="125"/>
          <w:jc w:val="center"/>
        </w:trPr>
        <w:tc>
          <w:tcPr>
            <w:tcW w:w="1983" w:type="pct"/>
          </w:tcPr>
          <w:p w14:paraId="386F6D19" w14:textId="77777777" w:rsidR="00587444" w:rsidRPr="00587444" w:rsidRDefault="00587444" w:rsidP="00587444">
            <w:pPr>
              <w:tabs>
                <w:tab w:val="right" w:pos="9781"/>
              </w:tabs>
              <w:suppressAutoHyphens w:val="0"/>
              <w:autoSpaceDN/>
              <w:jc w:val="both"/>
              <w:rPr>
                <w:rFonts w:ascii="Arial" w:hAnsi="Arial" w:cs="Arial"/>
                <w:sz w:val="18"/>
                <w:szCs w:val="18"/>
              </w:rPr>
            </w:pPr>
          </w:p>
        </w:tc>
        <w:tc>
          <w:tcPr>
            <w:tcW w:w="754" w:type="pct"/>
            <w:vAlign w:val="center"/>
          </w:tcPr>
          <w:p w14:paraId="25B93B10" w14:textId="77777777" w:rsidR="00587444" w:rsidRPr="00587444" w:rsidRDefault="00587444" w:rsidP="00587444">
            <w:pPr>
              <w:suppressAutoHyphens w:val="0"/>
              <w:autoSpaceDN/>
              <w:jc w:val="right"/>
              <w:rPr>
                <w:rFonts w:ascii="Arial" w:hAnsi="Arial" w:cs="Arial"/>
                <w:b/>
                <w:bCs/>
                <w:sz w:val="18"/>
                <w:szCs w:val="18"/>
              </w:rPr>
            </w:pPr>
          </w:p>
        </w:tc>
        <w:tc>
          <w:tcPr>
            <w:tcW w:w="754" w:type="pct"/>
            <w:vAlign w:val="center"/>
          </w:tcPr>
          <w:p w14:paraId="4E1BACA1" w14:textId="77777777" w:rsidR="00587444" w:rsidRPr="00587444" w:rsidRDefault="00587444" w:rsidP="00587444">
            <w:pPr>
              <w:suppressAutoHyphens w:val="0"/>
              <w:autoSpaceDN/>
              <w:jc w:val="right"/>
              <w:rPr>
                <w:rFonts w:ascii="Arial" w:hAnsi="Arial" w:cs="Arial"/>
                <w:b/>
                <w:sz w:val="18"/>
                <w:szCs w:val="18"/>
              </w:rPr>
            </w:pPr>
          </w:p>
        </w:tc>
        <w:tc>
          <w:tcPr>
            <w:tcW w:w="754" w:type="pct"/>
            <w:vAlign w:val="center"/>
          </w:tcPr>
          <w:p w14:paraId="16BA71D6" w14:textId="77777777" w:rsidR="00587444" w:rsidRPr="00587444" w:rsidRDefault="00587444" w:rsidP="00587444">
            <w:pPr>
              <w:suppressAutoHyphens w:val="0"/>
              <w:autoSpaceDN/>
              <w:jc w:val="right"/>
              <w:rPr>
                <w:rFonts w:ascii="Arial" w:hAnsi="Arial" w:cs="Arial"/>
                <w:b/>
                <w:bCs/>
                <w:sz w:val="18"/>
                <w:szCs w:val="18"/>
              </w:rPr>
            </w:pPr>
          </w:p>
        </w:tc>
        <w:tc>
          <w:tcPr>
            <w:tcW w:w="754" w:type="pct"/>
            <w:vAlign w:val="center"/>
          </w:tcPr>
          <w:p w14:paraId="09ADCDF3" w14:textId="77777777" w:rsidR="00587444" w:rsidRPr="00587444" w:rsidRDefault="00587444" w:rsidP="00587444">
            <w:pPr>
              <w:suppressAutoHyphens w:val="0"/>
              <w:autoSpaceDN/>
              <w:jc w:val="right"/>
              <w:rPr>
                <w:rFonts w:ascii="Arial" w:hAnsi="Arial" w:cs="Arial"/>
                <w:b/>
                <w:sz w:val="18"/>
                <w:szCs w:val="18"/>
              </w:rPr>
            </w:pPr>
          </w:p>
        </w:tc>
      </w:tr>
      <w:tr w:rsidR="00587444" w:rsidRPr="00587444" w14:paraId="03210751" w14:textId="77777777" w:rsidTr="00DD69E7">
        <w:trPr>
          <w:trHeight w:val="211"/>
          <w:jc w:val="center"/>
        </w:trPr>
        <w:tc>
          <w:tcPr>
            <w:tcW w:w="1983" w:type="pct"/>
            <w:vAlign w:val="bottom"/>
          </w:tcPr>
          <w:p w14:paraId="259C5F14" w14:textId="77777777" w:rsidR="00587444" w:rsidRPr="00587444" w:rsidRDefault="00587444" w:rsidP="00587444">
            <w:pPr>
              <w:tabs>
                <w:tab w:val="right" w:pos="1202"/>
                <w:tab w:val="right" w:pos="9781"/>
              </w:tabs>
              <w:suppressAutoHyphens w:val="0"/>
              <w:autoSpaceDN/>
              <w:outlineLvl w:val="0"/>
              <w:rPr>
                <w:rFonts w:ascii="Arial" w:hAnsi="Arial" w:cs="Arial"/>
                <w:b/>
                <w:bCs/>
                <w:sz w:val="18"/>
                <w:szCs w:val="18"/>
              </w:rPr>
            </w:pPr>
            <w:bookmarkStart w:id="1460" w:name="_Toc4063529"/>
            <w:r w:rsidRPr="00587444">
              <w:rPr>
                <w:rFonts w:ascii="Arial" w:hAnsi="Arial" w:cs="Arial"/>
                <w:b/>
                <w:bCs/>
                <w:sz w:val="18"/>
                <w:szCs w:val="18"/>
              </w:rPr>
              <w:t>Total regulatory capital</w:t>
            </w:r>
            <w:bookmarkEnd w:id="1460"/>
            <w:r w:rsidRPr="00587444">
              <w:rPr>
                <w:rFonts w:ascii="Arial" w:hAnsi="Arial" w:cs="Arial"/>
                <w:b/>
                <w:bCs/>
                <w:sz w:val="18"/>
                <w:szCs w:val="18"/>
              </w:rPr>
              <w:t xml:space="preserve"> </w:t>
            </w:r>
          </w:p>
        </w:tc>
        <w:tc>
          <w:tcPr>
            <w:tcW w:w="754" w:type="pct"/>
            <w:tcBorders>
              <w:top w:val="nil"/>
              <w:left w:val="nil"/>
              <w:bottom w:val="nil"/>
              <w:right w:val="nil"/>
            </w:tcBorders>
            <w:shd w:val="clear" w:color="auto" w:fill="auto"/>
            <w:vAlign w:val="bottom"/>
          </w:tcPr>
          <w:p w14:paraId="7AF83B2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sz w:val="18"/>
                <w:szCs w:val="18"/>
              </w:rPr>
            </w:pPr>
            <w:r w:rsidRPr="00587444">
              <w:rPr>
                <w:rFonts w:ascii="Arial" w:hAnsi="Arial" w:cs="Arial"/>
                <w:b/>
                <w:bCs/>
                <w:sz w:val="18"/>
                <w:szCs w:val="18"/>
              </w:rPr>
              <w:t>10,660,761</w:t>
            </w:r>
          </w:p>
        </w:tc>
        <w:tc>
          <w:tcPr>
            <w:tcW w:w="754" w:type="pct"/>
            <w:tcBorders>
              <w:top w:val="nil"/>
              <w:left w:val="nil"/>
              <w:bottom w:val="nil"/>
              <w:right w:val="nil"/>
            </w:tcBorders>
            <w:shd w:val="clear" w:color="auto" w:fill="auto"/>
            <w:vAlign w:val="bottom"/>
          </w:tcPr>
          <w:p w14:paraId="2001826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sz w:val="18"/>
                <w:szCs w:val="18"/>
              </w:rPr>
            </w:pPr>
            <w:r w:rsidRPr="00587444">
              <w:rPr>
                <w:rFonts w:ascii="Arial" w:hAnsi="Arial" w:cs="Arial"/>
                <w:b/>
                <w:bCs/>
                <w:sz w:val="18"/>
                <w:szCs w:val="18"/>
              </w:rPr>
              <w:t xml:space="preserve"> 10,310,733 </w:t>
            </w:r>
          </w:p>
        </w:tc>
        <w:tc>
          <w:tcPr>
            <w:tcW w:w="754" w:type="pct"/>
            <w:tcBorders>
              <w:top w:val="nil"/>
              <w:left w:val="nil"/>
              <w:bottom w:val="nil"/>
              <w:right w:val="nil"/>
            </w:tcBorders>
            <w:shd w:val="clear" w:color="auto" w:fill="auto"/>
            <w:vAlign w:val="bottom"/>
          </w:tcPr>
          <w:p w14:paraId="74F3CD5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sz w:val="18"/>
                <w:szCs w:val="18"/>
              </w:rPr>
            </w:pPr>
            <w:r w:rsidRPr="00587444">
              <w:rPr>
                <w:rFonts w:ascii="Arial" w:hAnsi="Arial" w:cs="Arial"/>
                <w:b/>
                <w:bCs/>
                <w:sz w:val="18"/>
                <w:szCs w:val="18"/>
              </w:rPr>
              <w:t>10,658,048</w:t>
            </w:r>
          </w:p>
        </w:tc>
        <w:tc>
          <w:tcPr>
            <w:tcW w:w="754" w:type="pct"/>
            <w:tcBorders>
              <w:top w:val="nil"/>
              <w:left w:val="nil"/>
              <w:bottom w:val="nil"/>
              <w:right w:val="nil"/>
            </w:tcBorders>
            <w:shd w:val="clear" w:color="auto" w:fill="auto"/>
            <w:vAlign w:val="bottom"/>
          </w:tcPr>
          <w:p w14:paraId="481906A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sz w:val="18"/>
                <w:szCs w:val="18"/>
              </w:rPr>
            </w:pPr>
            <w:r w:rsidRPr="00587444">
              <w:rPr>
                <w:rFonts w:ascii="Arial" w:hAnsi="Arial" w:cs="Arial"/>
                <w:b/>
                <w:bCs/>
                <w:sz w:val="18"/>
                <w:szCs w:val="18"/>
              </w:rPr>
              <w:t xml:space="preserve"> 10,310,068 </w:t>
            </w:r>
          </w:p>
        </w:tc>
      </w:tr>
      <w:tr w:rsidR="00587444" w:rsidRPr="00587444" w14:paraId="441D325D" w14:textId="77777777" w:rsidTr="00DD69E7">
        <w:trPr>
          <w:trHeight w:val="211"/>
          <w:jc w:val="center"/>
        </w:trPr>
        <w:tc>
          <w:tcPr>
            <w:tcW w:w="1983" w:type="pct"/>
            <w:vAlign w:val="bottom"/>
          </w:tcPr>
          <w:p w14:paraId="25226F51" w14:textId="77777777" w:rsidR="00587444" w:rsidRPr="00587444" w:rsidRDefault="00587444" w:rsidP="00587444">
            <w:pPr>
              <w:tabs>
                <w:tab w:val="right" w:pos="1202"/>
                <w:tab w:val="right" w:pos="9781"/>
              </w:tabs>
              <w:suppressAutoHyphens w:val="0"/>
              <w:autoSpaceDN/>
              <w:outlineLvl w:val="0"/>
              <w:rPr>
                <w:rFonts w:ascii="Arial" w:hAnsi="Arial" w:cs="Arial"/>
                <w:bCs/>
                <w:sz w:val="18"/>
                <w:szCs w:val="18"/>
              </w:rPr>
            </w:pPr>
            <w:bookmarkStart w:id="1461" w:name="_Toc4063534"/>
            <w:r w:rsidRPr="00587444">
              <w:rPr>
                <w:rFonts w:ascii="Arial" w:hAnsi="Arial" w:cs="Arial"/>
                <w:bCs/>
                <w:sz w:val="18"/>
                <w:szCs w:val="18"/>
              </w:rPr>
              <w:t>Credit risk weighted exposure amount</w:t>
            </w:r>
            <w:bookmarkEnd w:id="1461"/>
            <w:r w:rsidRPr="00587444">
              <w:rPr>
                <w:rFonts w:ascii="Arial" w:hAnsi="Arial" w:cs="Arial"/>
                <w:bCs/>
                <w:sz w:val="18"/>
                <w:szCs w:val="18"/>
              </w:rPr>
              <w:t xml:space="preserve"> </w:t>
            </w:r>
          </w:p>
        </w:tc>
        <w:tc>
          <w:tcPr>
            <w:tcW w:w="754" w:type="pct"/>
            <w:tcBorders>
              <w:top w:val="nil"/>
              <w:left w:val="nil"/>
              <w:bottom w:val="nil"/>
              <w:right w:val="nil"/>
            </w:tcBorders>
            <w:shd w:val="clear" w:color="auto" w:fill="auto"/>
            <w:vAlign w:val="bottom"/>
          </w:tcPr>
          <w:p w14:paraId="35153572"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17,098,424</w:t>
            </w:r>
          </w:p>
        </w:tc>
        <w:tc>
          <w:tcPr>
            <w:tcW w:w="754" w:type="pct"/>
            <w:tcBorders>
              <w:top w:val="nil"/>
              <w:left w:val="nil"/>
              <w:bottom w:val="nil"/>
              <w:right w:val="nil"/>
            </w:tcBorders>
            <w:shd w:val="clear" w:color="auto" w:fill="auto"/>
            <w:vAlign w:val="bottom"/>
          </w:tcPr>
          <w:p w14:paraId="09B017A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 xml:space="preserve"> 14,243,551 </w:t>
            </w:r>
          </w:p>
        </w:tc>
        <w:tc>
          <w:tcPr>
            <w:tcW w:w="754" w:type="pct"/>
            <w:tcBorders>
              <w:top w:val="nil"/>
              <w:left w:val="nil"/>
              <w:bottom w:val="nil"/>
              <w:right w:val="nil"/>
            </w:tcBorders>
            <w:shd w:val="clear" w:color="auto" w:fill="auto"/>
            <w:vAlign w:val="bottom"/>
          </w:tcPr>
          <w:p w14:paraId="438929B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17,082,528</w:t>
            </w:r>
          </w:p>
        </w:tc>
        <w:tc>
          <w:tcPr>
            <w:tcW w:w="754" w:type="pct"/>
            <w:tcBorders>
              <w:top w:val="nil"/>
              <w:left w:val="nil"/>
              <w:bottom w:val="nil"/>
              <w:right w:val="nil"/>
            </w:tcBorders>
            <w:shd w:val="clear" w:color="auto" w:fill="auto"/>
            <w:vAlign w:val="bottom"/>
          </w:tcPr>
          <w:p w14:paraId="0011C0C7"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 xml:space="preserve"> 14,237,375 </w:t>
            </w:r>
          </w:p>
        </w:tc>
      </w:tr>
      <w:tr w:rsidR="00587444" w:rsidRPr="00587444" w14:paraId="07185D62" w14:textId="77777777" w:rsidTr="00DD69E7">
        <w:trPr>
          <w:trHeight w:val="211"/>
          <w:jc w:val="center"/>
        </w:trPr>
        <w:tc>
          <w:tcPr>
            <w:tcW w:w="1983" w:type="pct"/>
            <w:vAlign w:val="bottom"/>
          </w:tcPr>
          <w:p w14:paraId="2F21E9BD" w14:textId="77777777" w:rsidR="00587444" w:rsidRPr="00587444" w:rsidRDefault="00587444" w:rsidP="00587444">
            <w:pPr>
              <w:tabs>
                <w:tab w:val="right" w:pos="1202"/>
                <w:tab w:val="right" w:pos="9781"/>
              </w:tabs>
              <w:suppressAutoHyphens w:val="0"/>
              <w:autoSpaceDN/>
              <w:outlineLvl w:val="0"/>
              <w:rPr>
                <w:rFonts w:ascii="Arial" w:hAnsi="Arial" w:cs="Arial"/>
                <w:bCs/>
                <w:sz w:val="18"/>
                <w:szCs w:val="18"/>
              </w:rPr>
            </w:pPr>
            <w:bookmarkStart w:id="1462" w:name="_Toc4063539"/>
            <w:r w:rsidRPr="00587444">
              <w:rPr>
                <w:rFonts w:ascii="Arial" w:hAnsi="Arial" w:cs="Arial"/>
                <w:bCs/>
                <w:sz w:val="18"/>
                <w:szCs w:val="18"/>
              </w:rPr>
              <w:t>Capital requirements for operating risk</w:t>
            </w:r>
            <w:bookmarkEnd w:id="1462"/>
            <w:r w:rsidRPr="00587444">
              <w:rPr>
                <w:rFonts w:ascii="Arial" w:hAnsi="Arial" w:cs="Arial"/>
                <w:bCs/>
                <w:sz w:val="18"/>
                <w:szCs w:val="18"/>
              </w:rPr>
              <w:t xml:space="preserve"> </w:t>
            </w:r>
          </w:p>
        </w:tc>
        <w:tc>
          <w:tcPr>
            <w:tcW w:w="754" w:type="pct"/>
            <w:tcBorders>
              <w:top w:val="nil"/>
              <w:left w:val="nil"/>
              <w:bottom w:val="nil"/>
              <w:right w:val="nil"/>
            </w:tcBorders>
            <w:shd w:val="clear" w:color="auto" w:fill="auto"/>
            <w:vAlign w:val="bottom"/>
          </w:tcPr>
          <w:p w14:paraId="4310B181" w14:textId="77777777" w:rsidR="00587444" w:rsidRPr="00587444" w:rsidDel="00810202"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934,316</w:t>
            </w:r>
          </w:p>
        </w:tc>
        <w:tc>
          <w:tcPr>
            <w:tcW w:w="754" w:type="pct"/>
            <w:tcBorders>
              <w:top w:val="nil"/>
              <w:left w:val="nil"/>
              <w:bottom w:val="nil"/>
              <w:right w:val="nil"/>
            </w:tcBorders>
            <w:shd w:val="clear" w:color="auto" w:fill="auto"/>
            <w:vAlign w:val="bottom"/>
          </w:tcPr>
          <w:p w14:paraId="7276846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 xml:space="preserve"> 849,144 </w:t>
            </w:r>
          </w:p>
        </w:tc>
        <w:tc>
          <w:tcPr>
            <w:tcW w:w="754" w:type="pct"/>
            <w:tcBorders>
              <w:top w:val="nil"/>
              <w:left w:val="nil"/>
              <w:bottom w:val="nil"/>
              <w:right w:val="nil"/>
            </w:tcBorders>
            <w:shd w:val="clear" w:color="auto" w:fill="auto"/>
            <w:vAlign w:val="bottom"/>
          </w:tcPr>
          <w:p w14:paraId="47C1EB0F" w14:textId="77777777" w:rsidR="00587444" w:rsidRPr="00587444" w:rsidDel="00810202"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909,244</w:t>
            </w:r>
          </w:p>
        </w:tc>
        <w:tc>
          <w:tcPr>
            <w:tcW w:w="754" w:type="pct"/>
            <w:tcBorders>
              <w:top w:val="nil"/>
              <w:left w:val="nil"/>
              <w:bottom w:val="nil"/>
              <w:right w:val="nil"/>
            </w:tcBorders>
            <w:shd w:val="clear" w:color="auto" w:fill="auto"/>
            <w:vAlign w:val="bottom"/>
          </w:tcPr>
          <w:p w14:paraId="75638CA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827,476 </w:t>
            </w:r>
          </w:p>
        </w:tc>
      </w:tr>
      <w:tr w:rsidR="00587444" w:rsidRPr="00587444" w14:paraId="6BF297C3" w14:textId="77777777" w:rsidTr="00DD69E7">
        <w:trPr>
          <w:trHeight w:val="211"/>
          <w:jc w:val="center"/>
        </w:trPr>
        <w:tc>
          <w:tcPr>
            <w:tcW w:w="1983" w:type="pct"/>
            <w:vAlign w:val="bottom"/>
          </w:tcPr>
          <w:p w14:paraId="4CC32363" w14:textId="77777777" w:rsidR="00587444" w:rsidRPr="00587444" w:rsidRDefault="00587444" w:rsidP="00587444">
            <w:pPr>
              <w:tabs>
                <w:tab w:val="right" w:pos="1202"/>
                <w:tab w:val="right" w:pos="9781"/>
              </w:tabs>
              <w:suppressAutoHyphens w:val="0"/>
              <w:autoSpaceDN/>
              <w:outlineLvl w:val="0"/>
              <w:rPr>
                <w:rFonts w:ascii="Arial" w:hAnsi="Arial" w:cs="Arial"/>
                <w:bCs/>
                <w:sz w:val="18"/>
                <w:szCs w:val="18"/>
              </w:rPr>
            </w:pPr>
            <w:bookmarkStart w:id="1463" w:name="_Toc4063544"/>
            <w:r w:rsidRPr="00587444">
              <w:rPr>
                <w:rFonts w:ascii="Arial" w:hAnsi="Arial" w:cs="Arial"/>
                <w:bCs/>
                <w:sz w:val="18"/>
                <w:szCs w:val="18"/>
              </w:rPr>
              <w:t>Capital requirements for currency risk</w:t>
            </w:r>
            <w:bookmarkEnd w:id="1463"/>
            <w:r w:rsidRPr="00587444">
              <w:rPr>
                <w:rFonts w:ascii="Arial" w:hAnsi="Arial" w:cs="Arial"/>
                <w:bCs/>
                <w:sz w:val="18"/>
                <w:szCs w:val="18"/>
              </w:rPr>
              <w:t xml:space="preserve"> </w:t>
            </w:r>
          </w:p>
        </w:tc>
        <w:tc>
          <w:tcPr>
            <w:tcW w:w="754" w:type="pct"/>
            <w:tcBorders>
              <w:top w:val="nil"/>
              <w:left w:val="nil"/>
              <w:bottom w:val="nil"/>
              <w:right w:val="nil"/>
            </w:tcBorders>
            <w:shd w:val="clear" w:color="auto" w:fill="auto"/>
            <w:vAlign w:val="bottom"/>
          </w:tcPr>
          <w:p w14:paraId="75315BF0" w14:textId="77777777" w:rsidR="00587444" w:rsidRPr="00587444" w:rsidDel="00810202"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475,427</w:t>
            </w:r>
          </w:p>
        </w:tc>
        <w:tc>
          <w:tcPr>
            <w:tcW w:w="754" w:type="pct"/>
            <w:tcBorders>
              <w:top w:val="nil"/>
              <w:left w:val="nil"/>
              <w:bottom w:val="nil"/>
              <w:right w:val="nil"/>
            </w:tcBorders>
            <w:shd w:val="clear" w:color="auto" w:fill="auto"/>
            <w:vAlign w:val="bottom"/>
          </w:tcPr>
          <w:p w14:paraId="01A0F144"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 xml:space="preserve"> 749,598 </w:t>
            </w:r>
          </w:p>
        </w:tc>
        <w:tc>
          <w:tcPr>
            <w:tcW w:w="754" w:type="pct"/>
            <w:tcBorders>
              <w:top w:val="nil"/>
              <w:left w:val="nil"/>
              <w:bottom w:val="nil"/>
              <w:right w:val="nil"/>
            </w:tcBorders>
            <w:shd w:val="clear" w:color="auto" w:fill="auto"/>
            <w:vAlign w:val="bottom"/>
          </w:tcPr>
          <w:p w14:paraId="1654608C" w14:textId="77777777" w:rsidR="00587444" w:rsidRPr="00587444" w:rsidDel="00810202" w:rsidRDefault="00587444" w:rsidP="00587444">
            <w:pPr>
              <w:tabs>
                <w:tab w:val="right" w:pos="1202"/>
              </w:tabs>
              <w:suppressAutoHyphens w:val="0"/>
              <w:autoSpaceDN/>
              <w:spacing w:line="301" w:lineRule="exact"/>
              <w:jc w:val="right"/>
              <w:outlineLvl w:val="0"/>
              <w:rPr>
                <w:rFonts w:ascii="Arial" w:hAnsi="Arial" w:cs="Arial"/>
                <w:sz w:val="18"/>
                <w:szCs w:val="18"/>
              </w:rPr>
            </w:pPr>
            <w:r w:rsidRPr="00587444">
              <w:rPr>
                <w:rFonts w:ascii="Arial" w:hAnsi="Arial" w:cs="Arial"/>
                <w:sz w:val="18"/>
                <w:szCs w:val="18"/>
              </w:rPr>
              <w:t>452,800</w:t>
            </w:r>
          </w:p>
        </w:tc>
        <w:tc>
          <w:tcPr>
            <w:tcW w:w="754" w:type="pct"/>
            <w:tcBorders>
              <w:top w:val="nil"/>
              <w:left w:val="nil"/>
              <w:bottom w:val="nil"/>
              <w:right w:val="nil"/>
            </w:tcBorders>
            <w:shd w:val="clear" w:color="auto" w:fill="auto"/>
            <w:vAlign w:val="bottom"/>
          </w:tcPr>
          <w:p w14:paraId="3E08A01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color w:val="000000"/>
                <w:sz w:val="18"/>
                <w:szCs w:val="18"/>
              </w:rPr>
            </w:pPr>
            <w:r w:rsidRPr="00587444">
              <w:rPr>
                <w:rFonts w:ascii="Arial" w:hAnsi="Arial" w:cs="Arial"/>
                <w:sz w:val="18"/>
                <w:szCs w:val="18"/>
              </w:rPr>
              <w:t xml:space="preserve"> 719,956 </w:t>
            </w:r>
          </w:p>
        </w:tc>
      </w:tr>
      <w:tr w:rsidR="00587444" w:rsidRPr="00587444" w14:paraId="01798324" w14:textId="77777777" w:rsidTr="00DD69E7">
        <w:trPr>
          <w:trHeight w:val="211"/>
          <w:jc w:val="center"/>
        </w:trPr>
        <w:tc>
          <w:tcPr>
            <w:tcW w:w="1983" w:type="pct"/>
            <w:vAlign w:val="bottom"/>
          </w:tcPr>
          <w:p w14:paraId="54B510AB" w14:textId="77777777" w:rsidR="00587444" w:rsidRPr="00587444" w:rsidRDefault="00587444" w:rsidP="00587444">
            <w:pPr>
              <w:tabs>
                <w:tab w:val="right" w:pos="1202"/>
                <w:tab w:val="right" w:pos="9781"/>
              </w:tabs>
              <w:suppressAutoHyphens w:val="0"/>
              <w:autoSpaceDN/>
              <w:outlineLvl w:val="0"/>
              <w:rPr>
                <w:rFonts w:ascii="Arial" w:hAnsi="Arial" w:cs="Arial"/>
                <w:b/>
                <w:bCs/>
                <w:sz w:val="18"/>
                <w:szCs w:val="18"/>
              </w:rPr>
            </w:pPr>
            <w:bookmarkStart w:id="1464" w:name="_Toc4063559"/>
            <w:r w:rsidRPr="00587444">
              <w:rPr>
                <w:rFonts w:ascii="Arial" w:hAnsi="Arial" w:cs="Arial"/>
                <w:b/>
                <w:bCs/>
                <w:sz w:val="18"/>
                <w:szCs w:val="18"/>
              </w:rPr>
              <w:t>Total capital requirements</w:t>
            </w:r>
            <w:bookmarkEnd w:id="1464"/>
          </w:p>
        </w:tc>
        <w:tc>
          <w:tcPr>
            <w:tcW w:w="754" w:type="pct"/>
            <w:tcBorders>
              <w:top w:val="nil"/>
              <w:left w:val="nil"/>
              <w:bottom w:val="nil"/>
              <w:right w:val="nil"/>
            </w:tcBorders>
            <w:shd w:val="clear" w:color="auto" w:fill="auto"/>
            <w:vAlign w:val="bottom"/>
          </w:tcPr>
          <w:p w14:paraId="414D61A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sz w:val="18"/>
                <w:szCs w:val="18"/>
              </w:rPr>
            </w:pPr>
            <w:r w:rsidRPr="00587444">
              <w:rPr>
                <w:rFonts w:ascii="Arial" w:hAnsi="Arial" w:cs="Arial"/>
                <w:b/>
                <w:bCs/>
                <w:sz w:val="18"/>
                <w:szCs w:val="18"/>
              </w:rPr>
              <w:t>18,508,167</w:t>
            </w:r>
          </w:p>
        </w:tc>
        <w:tc>
          <w:tcPr>
            <w:tcW w:w="754" w:type="pct"/>
            <w:tcBorders>
              <w:top w:val="nil"/>
              <w:left w:val="nil"/>
              <w:bottom w:val="nil"/>
              <w:right w:val="nil"/>
            </w:tcBorders>
            <w:shd w:val="clear" w:color="auto" w:fill="auto"/>
            <w:vAlign w:val="bottom"/>
          </w:tcPr>
          <w:p w14:paraId="50A78B2C"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sz w:val="18"/>
                <w:szCs w:val="18"/>
              </w:rPr>
            </w:pPr>
            <w:r w:rsidRPr="00587444">
              <w:rPr>
                <w:rFonts w:ascii="Arial" w:hAnsi="Arial" w:cs="Arial"/>
                <w:b/>
                <w:bCs/>
                <w:sz w:val="18"/>
                <w:szCs w:val="18"/>
              </w:rPr>
              <w:t>15,842,293</w:t>
            </w:r>
          </w:p>
        </w:tc>
        <w:tc>
          <w:tcPr>
            <w:tcW w:w="754" w:type="pct"/>
            <w:tcBorders>
              <w:top w:val="nil"/>
              <w:left w:val="nil"/>
              <w:bottom w:val="nil"/>
              <w:right w:val="nil"/>
            </w:tcBorders>
            <w:shd w:val="clear" w:color="auto" w:fill="auto"/>
            <w:vAlign w:val="bottom"/>
          </w:tcPr>
          <w:p w14:paraId="4692F279"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bCs/>
                <w:sz w:val="18"/>
                <w:szCs w:val="18"/>
              </w:rPr>
            </w:pPr>
            <w:r w:rsidRPr="00587444">
              <w:rPr>
                <w:rFonts w:ascii="Arial" w:hAnsi="Arial" w:cs="Arial"/>
                <w:b/>
                <w:bCs/>
                <w:sz w:val="18"/>
                <w:szCs w:val="18"/>
              </w:rPr>
              <w:t>18,444,572</w:t>
            </w:r>
          </w:p>
        </w:tc>
        <w:tc>
          <w:tcPr>
            <w:tcW w:w="754" w:type="pct"/>
            <w:tcBorders>
              <w:top w:val="nil"/>
              <w:left w:val="nil"/>
              <w:bottom w:val="nil"/>
              <w:right w:val="nil"/>
            </w:tcBorders>
            <w:shd w:val="clear" w:color="auto" w:fill="auto"/>
            <w:vAlign w:val="bottom"/>
          </w:tcPr>
          <w:p w14:paraId="0E6CDD7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sz w:val="18"/>
                <w:szCs w:val="18"/>
              </w:rPr>
            </w:pPr>
            <w:r w:rsidRPr="00587444">
              <w:rPr>
                <w:rFonts w:ascii="Arial" w:hAnsi="Arial" w:cs="Arial"/>
                <w:b/>
                <w:color w:val="000000"/>
                <w:sz w:val="18"/>
                <w:szCs w:val="18"/>
                <w:lang w:val="hr-HR"/>
              </w:rPr>
              <w:t>15,784,807</w:t>
            </w:r>
          </w:p>
        </w:tc>
      </w:tr>
      <w:tr w:rsidR="00587444" w:rsidRPr="00587444" w14:paraId="2D1BE2DB" w14:textId="77777777" w:rsidTr="00DD69E7">
        <w:trPr>
          <w:trHeight w:val="211"/>
          <w:jc w:val="center"/>
        </w:trPr>
        <w:tc>
          <w:tcPr>
            <w:tcW w:w="1983" w:type="pct"/>
            <w:vAlign w:val="bottom"/>
          </w:tcPr>
          <w:p w14:paraId="2DA8AC2F" w14:textId="77777777" w:rsidR="00587444" w:rsidRPr="00587444" w:rsidRDefault="00587444" w:rsidP="00587444">
            <w:pPr>
              <w:tabs>
                <w:tab w:val="right" w:pos="1202"/>
                <w:tab w:val="right" w:pos="9781"/>
              </w:tabs>
              <w:suppressAutoHyphens w:val="0"/>
              <w:autoSpaceDN/>
              <w:outlineLvl w:val="0"/>
              <w:rPr>
                <w:rFonts w:ascii="Arial" w:hAnsi="Arial" w:cs="Arial"/>
                <w:b/>
                <w:bCs/>
                <w:sz w:val="18"/>
                <w:szCs w:val="18"/>
              </w:rPr>
            </w:pPr>
          </w:p>
        </w:tc>
        <w:tc>
          <w:tcPr>
            <w:tcW w:w="754" w:type="pct"/>
            <w:tcBorders>
              <w:top w:val="single" w:sz="12" w:space="0" w:color="auto"/>
              <w:bottom w:val="nil"/>
            </w:tcBorders>
            <w:shd w:val="clear" w:color="auto" w:fill="auto"/>
            <w:vAlign w:val="bottom"/>
          </w:tcPr>
          <w:p w14:paraId="3AE25214" w14:textId="77777777" w:rsidR="00587444" w:rsidRPr="00587444" w:rsidDel="003D2ACC" w:rsidRDefault="00587444" w:rsidP="00587444">
            <w:pPr>
              <w:tabs>
                <w:tab w:val="right" w:pos="1202"/>
              </w:tabs>
              <w:suppressAutoHyphens w:val="0"/>
              <w:autoSpaceDN/>
              <w:jc w:val="right"/>
              <w:outlineLvl w:val="0"/>
              <w:rPr>
                <w:rFonts w:ascii="Arial" w:hAnsi="Arial" w:cs="Arial"/>
                <w:b/>
                <w:color w:val="000000"/>
                <w:sz w:val="18"/>
                <w:szCs w:val="18"/>
              </w:rPr>
            </w:pPr>
            <w:r w:rsidRPr="00587444">
              <w:rPr>
                <w:rFonts w:ascii="Arial" w:hAnsi="Arial" w:cs="Arial"/>
                <w:b/>
                <w:sz w:val="18"/>
                <w:szCs w:val="18"/>
              </w:rPr>
              <w:t>%</w:t>
            </w:r>
          </w:p>
        </w:tc>
        <w:tc>
          <w:tcPr>
            <w:tcW w:w="754" w:type="pct"/>
            <w:tcBorders>
              <w:top w:val="single" w:sz="12" w:space="0" w:color="auto"/>
              <w:bottom w:val="nil"/>
            </w:tcBorders>
            <w:shd w:val="clear" w:color="auto" w:fill="auto"/>
            <w:vAlign w:val="bottom"/>
          </w:tcPr>
          <w:p w14:paraId="1773A7C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color w:val="000000"/>
                <w:sz w:val="18"/>
                <w:szCs w:val="18"/>
              </w:rPr>
            </w:pPr>
            <w:r w:rsidRPr="00587444">
              <w:rPr>
                <w:rFonts w:ascii="Arial" w:hAnsi="Arial" w:cs="Arial"/>
                <w:b/>
                <w:sz w:val="18"/>
                <w:szCs w:val="18"/>
              </w:rPr>
              <w:t>%</w:t>
            </w:r>
          </w:p>
        </w:tc>
        <w:tc>
          <w:tcPr>
            <w:tcW w:w="754" w:type="pct"/>
            <w:tcBorders>
              <w:top w:val="single" w:sz="12" w:space="0" w:color="auto"/>
              <w:bottom w:val="nil"/>
            </w:tcBorders>
            <w:shd w:val="clear" w:color="auto" w:fill="auto"/>
            <w:vAlign w:val="bottom"/>
          </w:tcPr>
          <w:p w14:paraId="4AF8BC5C" w14:textId="77777777" w:rsidR="00587444" w:rsidRPr="00587444" w:rsidDel="00810202" w:rsidRDefault="00587444" w:rsidP="00587444">
            <w:pPr>
              <w:tabs>
                <w:tab w:val="right" w:pos="1202"/>
              </w:tabs>
              <w:suppressAutoHyphens w:val="0"/>
              <w:autoSpaceDN/>
              <w:jc w:val="right"/>
              <w:outlineLvl w:val="0"/>
              <w:rPr>
                <w:rFonts w:ascii="Arial" w:eastAsia="Calibri" w:hAnsi="Arial" w:cs="Arial"/>
                <w:b/>
                <w:color w:val="000000"/>
                <w:sz w:val="18"/>
                <w:szCs w:val="18"/>
              </w:rPr>
            </w:pPr>
            <w:bookmarkStart w:id="1465" w:name="_Toc4063564"/>
            <w:r w:rsidRPr="00587444">
              <w:rPr>
                <w:rFonts w:ascii="Arial" w:hAnsi="Arial" w:cs="Arial"/>
                <w:b/>
                <w:sz w:val="18"/>
                <w:szCs w:val="18"/>
              </w:rPr>
              <w:t>%</w:t>
            </w:r>
            <w:bookmarkEnd w:id="1465"/>
          </w:p>
        </w:tc>
        <w:tc>
          <w:tcPr>
            <w:tcW w:w="754" w:type="pct"/>
            <w:tcBorders>
              <w:top w:val="single" w:sz="12" w:space="0" w:color="auto"/>
              <w:bottom w:val="nil"/>
            </w:tcBorders>
            <w:shd w:val="clear" w:color="auto" w:fill="auto"/>
            <w:vAlign w:val="bottom"/>
          </w:tcPr>
          <w:p w14:paraId="435EF64E"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b/>
                <w:color w:val="000000"/>
                <w:sz w:val="18"/>
                <w:szCs w:val="18"/>
              </w:rPr>
            </w:pPr>
            <w:r w:rsidRPr="00587444">
              <w:rPr>
                <w:rFonts w:ascii="Arial" w:hAnsi="Arial" w:cs="Arial"/>
                <w:b/>
                <w:sz w:val="18"/>
                <w:szCs w:val="18"/>
              </w:rPr>
              <w:t>%</w:t>
            </w:r>
          </w:p>
        </w:tc>
      </w:tr>
      <w:tr w:rsidR="00587444" w:rsidRPr="00587444" w14:paraId="18D0F9AD" w14:textId="77777777" w:rsidTr="00DD69E7">
        <w:trPr>
          <w:trHeight w:val="172"/>
          <w:jc w:val="center"/>
        </w:trPr>
        <w:tc>
          <w:tcPr>
            <w:tcW w:w="1983" w:type="pct"/>
            <w:vAlign w:val="bottom"/>
          </w:tcPr>
          <w:p w14:paraId="21DAC134" w14:textId="77777777" w:rsidR="00587444" w:rsidRPr="00587444" w:rsidRDefault="00587444" w:rsidP="00587444">
            <w:pPr>
              <w:tabs>
                <w:tab w:val="right" w:pos="9781"/>
              </w:tabs>
              <w:suppressAutoHyphens w:val="0"/>
              <w:autoSpaceDN/>
              <w:jc w:val="both"/>
              <w:rPr>
                <w:rFonts w:ascii="Arial" w:hAnsi="Arial" w:cs="Arial"/>
                <w:sz w:val="18"/>
                <w:szCs w:val="18"/>
              </w:rPr>
            </w:pPr>
            <w:r w:rsidRPr="00587444">
              <w:rPr>
                <w:rFonts w:ascii="Arial" w:hAnsi="Arial" w:cs="Arial"/>
                <w:b/>
                <w:bCs/>
                <w:sz w:val="18"/>
                <w:szCs w:val="18"/>
              </w:rPr>
              <w:t xml:space="preserve">Capital adequacy ratio </w:t>
            </w:r>
          </w:p>
        </w:tc>
        <w:tc>
          <w:tcPr>
            <w:tcW w:w="754" w:type="pct"/>
            <w:tcBorders>
              <w:bottom w:val="single" w:sz="12" w:space="0" w:color="auto"/>
            </w:tcBorders>
            <w:vAlign w:val="bottom"/>
          </w:tcPr>
          <w:p w14:paraId="6032B2F8" w14:textId="77777777" w:rsidR="00587444" w:rsidRPr="00587444" w:rsidRDefault="00587444" w:rsidP="00587444">
            <w:pPr>
              <w:tabs>
                <w:tab w:val="right" w:pos="9781"/>
              </w:tabs>
              <w:suppressAutoHyphens w:val="0"/>
              <w:autoSpaceDN/>
              <w:jc w:val="right"/>
              <w:rPr>
                <w:rFonts w:ascii="Arial" w:hAnsi="Arial" w:cs="Arial"/>
                <w:b/>
                <w:sz w:val="18"/>
                <w:szCs w:val="18"/>
              </w:rPr>
            </w:pPr>
            <w:r w:rsidRPr="00587444">
              <w:rPr>
                <w:rFonts w:ascii="Arial" w:hAnsi="Arial" w:cs="Arial"/>
                <w:b/>
                <w:sz w:val="18"/>
                <w:szCs w:val="18"/>
              </w:rPr>
              <w:t>57.60</w:t>
            </w:r>
          </w:p>
        </w:tc>
        <w:tc>
          <w:tcPr>
            <w:tcW w:w="754" w:type="pct"/>
            <w:tcBorders>
              <w:bottom w:val="single" w:sz="12" w:space="0" w:color="auto"/>
            </w:tcBorders>
            <w:vAlign w:val="bottom"/>
          </w:tcPr>
          <w:p w14:paraId="1408AE16" w14:textId="77777777" w:rsidR="00587444" w:rsidRPr="00587444" w:rsidRDefault="00587444" w:rsidP="00587444">
            <w:pPr>
              <w:tabs>
                <w:tab w:val="right" w:pos="9781"/>
              </w:tabs>
              <w:suppressAutoHyphens w:val="0"/>
              <w:autoSpaceDN/>
              <w:jc w:val="right"/>
              <w:rPr>
                <w:rFonts w:ascii="Arial" w:hAnsi="Arial" w:cs="Arial"/>
                <w:b/>
                <w:sz w:val="18"/>
                <w:szCs w:val="18"/>
              </w:rPr>
            </w:pPr>
            <w:r w:rsidRPr="00587444">
              <w:rPr>
                <w:rFonts w:ascii="Arial" w:hAnsi="Arial" w:cs="Arial"/>
                <w:b/>
                <w:sz w:val="18"/>
                <w:szCs w:val="18"/>
              </w:rPr>
              <w:t>65.08</w:t>
            </w:r>
          </w:p>
        </w:tc>
        <w:tc>
          <w:tcPr>
            <w:tcW w:w="754" w:type="pct"/>
            <w:tcBorders>
              <w:bottom w:val="single" w:sz="12" w:space="0" w:color="auto"/>
            </w:tcBorders>
            <w:vAlign w:val="bottom"/>
          </w:tcPr>
          <w:p w14:paraId="2C0B3B3D" w14:textId="77777777" w:rsidR="00587444" w:rsidRPr="00587444" w:rsidRDefault="00587444" w:rsidP="00587444">
            <w:pPr>
              <w:tabs>
                <w:tab w:val="right" w:pos="9781"/>
              </w:tabs>
              <w:suppressAutoHyphens w:val="0"/>
              <w:autoSpaceDN/>
              <w:jc w:val="right"/>
              <w:rPr>
                <w:rFonts w:ascii="Arial" w:hAnsi="Arial" w:cs="Arial"/>
                <w:b/>
                <w:sz w:val="18"/>
                <w:szCs w:val="18"/>
              </w:rPr>
            </w:pPr>
            <w:r w:rsidRPr="00587444">
              <w:rPr>
                <w:rFonts w:ascii="Arial" w:hAnsi="Arial" w:cs="Arial"/>
                <w:b/>
                <w:sz w:val="18"/>
                <w:szCs w:val="18"/>
              </w:rPr>
              <w:t>57.78</w:t>
            </w:r>
          </w:p>
        </w:tc>
        <w:tc>
          <w:tcPr>
            <w:tcW w:w="754" w:type="pct"/>
            <w:tcBorders>
              <w:bottom w:val="single" w:sz="12" w:space="0" w:color="auto"/>
            </w:tcBorders>
            <w:shd w:val="clear" w:color="auto" w:fill="auto"/>
            <w:vAlign w:val="bottom"/>
          </w:tcPr>
          <w:p w14:paraId="45EC644F" w14:textId="77777777" w:rsidR="00587444" w:rsidRPr="00587444" w:rsidRDefault="00587444" w:rsidP="00587444">
            <w:pPr>
              <w:tabs>
                <w:tab w:val="right" w:pos="9781"/>
              </w:tabs>
              <w:suppressAutoHyphens w:val="0"/>
              <w:autoSpaceDN/>
              <w:jc w:val="right"/>
              <w:rPr>
                <w:rFonts w:ascii="Arial" w:hAnsi="Arial" w:cs="Arial"/>
                <w:b/>
                <w:sz w:val="18"/>
                <w:szCs w:val="18"/>
              </w:rPr>
            </w:pPr>
            <w:r w:rsidRPr="00587444">
              <w:rPr>
                <w:rFonts w:ascii="Arial" w:hAnsi="Arial" w:cs="Arial"/>
                <w:b/>
                <w:bCs/>
                <w:color w:val="000000"/>
                <w:sz w:val="18"/>
                <w:szCs w:val="18"/>
                <w:lang w:val="hr-HR"/>
              </w:rPr>
              <w:t>65.32</w:t>
            </w:r>
          </w:p>
        </w:tc>
      </w:tr>
      <w:tr w:rsidR="00587444" w:rsidRPr="00587444" w14:paraId="08E38312" w14:textId="77777777" w:rsidTr="00DD69E7">
        <w:trPr>
          <w:trHeight w:val="172"/>
          <w:jc w:val="center"/>
        </w:trPr>
        <w:tc>
          <w:tcPr>
            <w:tcW w:w="1983" w:type="pct"/>
            <w:vAlign w:val="bottom"/>
          </w:tcPr>
          <w:p w14:paraId="2407268F" w14:textId="77777777" w:rsidR="00587444" w:rsidRPr="00587444" w:rsidRDefault="00587444" w:rsidP="00587444">
            <w:pPr>
              <w:tabs>
                <w:tab w:val="right" w:pos="9781"/>
              </w:tabs>
              <w:suppressAutoHyphens w:val="0"/>
              <w:autoSpaceDN/>
              <w:jc w:val="both"/>
              <w:rPr>
                <w:rFonts w:ascii="Arial" w:hAnsi="Arial" w:cs="Arial"/>
                <w:b/>
                <w:bCs/>
                <w:sz w:val="18"/>
                <w:szCs w:val="18"/>
              </w:rPr>
            </w:pPr>
          </w:p>
        </w:tc>
        <w:tc>
          <w:tcPr>
            <w:tcW w:w="754" w:type="pct"/>
            <w:tcBorders>
              <w:top w:val="single" w:sz="12" w:space="0" w:color="auto"/>
            </w:tcBorders>
            <w:vAlign w:val="bottom"/>
          </w:tcPr>
          <w:p w14:paraId="415F0514" w14:textId="77777777" w:rsidR="00587444" w:rsidRPr="00587444" w:rsidDel="00865364" w:rsidRDefault="00587444" w:rsidP="00587444">
            <w:pPr>
              <w:tabs>
                <w:tab w:val="right" w:pos="9781"/>
              </w:tabs>
              <w:suppressAutoHyphens w:val="0"/>
              <w:autoSpaceDN/>
              <w:jc w:val="right"/>
              <w:rPr>
                <w:rFonts w:ascii="Arial" w:hAnsi="Arial" w:cs="Arial"/>
                <w:b/>
                <w:bCs/>
                <w:sz w:val="18"/>
                <w:szCs w:val="18"/>
              </w:rPr>
            </w:pPr>
          </w:p>
        </w:tc>
        <w:tc>
          <w:tcPr>
            <w:tcW w:w="754" w:type="pct"/>
            <w:tcBorders>
              <w:top w:val="single" w:sz="12" w:space="0" w:color="auto"/>
            </w:tcBorders>
            <w:vAlign w:val="bottom"/>
          </w:tcPr>
          <w:p w14:paraId="7552B4E4" w14:textId="77777777" w:rsidR="00587444" w:rsidRPr="00587444" w:rsidRDefault="00587444" w:rsidP="00587444">
            <w:pPr>
              <w:tabs>
                <w:tab w:val="right" w:pos="9781"/>
              </w:tabs>
              <w:suppressAutoHyphens w:val="0"/>
              <w:autoSpaceDN/>
              <w:jc w:val="right"/>
              <w:rPr>
                <w:rFonts w:ascii="Arial" w:eastAsia="Calibri" w:hAnsi="Arial" w:cs="Arial"/>
                <w:b/>
                <w:bCs/>
                <w:color w:val="000000"/>
                <w:sz w:val="18"/>
                <w:szCs w:val="18"/>
              </w:rPr>
            </w:pPr>
          </w:p>
        </w:tc>
        <w:tc>
          <w:tcPr>
            <w:tcW w:w="754" w:type="pct"/>
            <w:tcBorders>
              <w:top w:val="single" w:sz="12" w:space="0" w:color="auto"/>
            </w:tcBorders>
            <w:vAlign w:val="bottom"/>
          </w:tcPr>
          <w:p w14:paraId="00F28CDD" w14:textId="77777777" w:rsidR="00587444" w:rsidRPr="00587444" w:rsidDel="00865364" w:rsidRDefault="00587444" w:rsidP="00587444">
            <w:pPr>
              <w:tabs>
                <w:tab w:val="right" w:pos="9781"/>
              </w:tabs>
              <w:suppressAutoHyphens w:val="0"/>
              <w:autoSpaceDN/>
              <w:jc w:val="right"/>
              <w:rPr>
                <w:rFonts w:ascii="Arial" w:hAnsi="Arial" w:cs="Arial"/>
                <w:b/>
                <w:sz w:val="18"/>
                <w:szCs w:val="18"/>
              </w:rPr>
            </w:pPr>
          </w:p>
        </w:tc>
        <w:tc>
          <w:tcPr>
            <w:tcW w:w="754" w:type="pct"/>
            <w:tcBorders>
              <w:top w:val="single" w:sz="12" w:space="0" w:color="auto"/>
            </w:tcBorders>
            <w:vAlign w:val="bottom"/>
          </w:tcPr>
          <w:p w14:paraId="74129B7A" w14:textId="77777777" w:rsidR="00587444" w:rsidRPr="00587444" w:rsidRDefault="00587444" w:rsidP="00587444">
            <w:pPr>
              <w:tabs>
                <w:tab w:val="right" w:pos="9781"/>
              </w:tabs>
              <w:suppressAutoHyphens w:val="0"/>
              <w:autoSpaceDN/>
              <w:jc w:val="right"/>
              <w:rPr>
                <w:rFonts w:ascii="Arial" w:eastAsia="Calibri" w:hAnsi="Arial" w:cs="Arial"/>
                <w:b/>
                <w:sz w:val="18"/>
                <w:szCs w:val="18"/>
              </w:rPr>
            </w:pPr>
          </w:p>
        </w:tc>
      </w:tr>
      <w:tr w:rsidR="00587444" w:rsidRPr="00587444" w14:paraId="307173A6" w14:textId="77777777" w:rsidTr="00DD69E7">
        <w:trPr>
          <w:trHeight w:val="172"/>
          <w:jc w:val="center"/>
        </w:trPr>
        <w:tc>
          <w:tcPr>
            <w:tcW w:w="1983" w:type="pct"/>
            <w:tcBorders>
              <w:bottom w:val="nil"/>
            </w:tcBorders>
            <w:vAlign w:val="bottom"/>
          </w:tcPr>
          <w:p w14:paraId="1B281033" w14:textId="77777777" w:rsidR="00587444" w:rsidRPr="00587444" w:rsidRDefault="00587444" w:rsidP="00587444">
            <w:pPr>
              <w:tabs>
                <w:tab w:val="right" w:pos="9781"/>
              </w:tabs>
              <w:suppressAutoHyphens w:val="0"/>
              <w:autoSpaceDN/>
              <w:rPr>
                <w:rFonts w:ascii="Arial" w:hAnsi="Arial" w:cs="Arial"/>
                <w:sz w:val="18"/>
                <w:szCs w:val="18"/>
              </w:rPr>
            </w:pPr>
          </w:p>
        </w:tc>
        <w:tc>
          <w:tcPr>
            <w:tcW w:w="754" w:type="pct"/>
            <w:vAlign w:val="bottom"/>
          </w:tcPr>
          <w:p w14:paraId="6B023304"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r w:rsidRPr="00587444">
              <w:rPr>
                <w:rFonts w:ascii="Arial" w:hAnsi="Arial" w:cs="Arial"/>
                <w:b/>
                <w:sz w:val="18"/>
                <w:szCs w:val="18"/>
              </w:rPr>
              <w:t>HRK ‘000</w:t>
            </w:r>
          </w:p>
        </w:tc>
        <w:tc>
          <w:tcPr>
            <w:tcW w:w="754" w:type="pct"/>
            <w:vAlign w:val="bottom"/>
          </w:tcPr>
          <w:p w14:paraId="4E6C0D06"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r w:rsidRPr="00587444">
              <w:rPr>
                <w:rFonts w:ascii="Arial" w:hAnsi="Arial" w:cs="Arial"/>
                <w:b/>
                <w:sz w:val="18"/>
                <w:szCs w:val="18"/>
              </w:rPr>
              <w:t>HRK ‘000</w:t>
            </w:r>
          </w:p>
        </w:tc>
        <w:tc>
          <w:tcPr>
            <w:tcW w:w="754" w:type="pct"/>
            <w:vAlign w:val="bottom"/>
          </w:tcPr>
          <w:p w14:paraId="223C80AA"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bookmarkStart w:id="1466" w:name="_Toc4063568"/>
            <w:r w:rsidRPr="00587444">
              <w:rPr>
                <w:rFonts w:ascii="Arial" w:hAnsi="Arial" w:cs="Arial"/>
                <w:b/>
                <w:sz w:val="18"/>
                <w:szCs w:val="18"/>
              </w:rPr>
              <w:t>HRK ‘000</w:t>
            </w:r>
            <w:bookmarkEnd w:id="1466"/>
          </w:p>
        </w:tc>
        <w:tc>
          <w:tcPr>
            <w:tcW w:w="754" w:type="pct"/>
            <w:vAlign w:val="bottom"/>
          </w:tcPr>
          <w:p w14:paraId="0620B94D"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r w:rsidRPr="00587444">
              <w:rPr>
                <w:rFonts w:ascii="Arial" w:hAnsi="Arial" w:cs="Arial"/>
                <w:b/>
                <w:sz w:val="18"/>
                <w:szCs w:val="18"/>
              </w:rPr>
              <w:t>HRK ‘000</w:t>
            </w:r>
          </w:p>
        </w:tc>
      </w:tr>
      <w:tr w:rsidR="00587444" w:rsidRPr="00587444" w14:paraId="5EEFA7F2" w14:textId="77777777" w:rsidTr="00DD69E7">
        <w:trPr>
          <w:trHeight w:val="519"/>
          <w:jc w:val="center"/>
        </w:trPr>
        <w:tc>
          <w:tcPr>
            <w:tcW w:w="1983" w:type="pct"/>
            <w:tcBorders>
              <w:bottom w:val="nil"/>
            </w:tcBorders>
            <w:vAlign w:val="bottom"/>
          </w:tcPr>
          <w:p w14:paraId="14E9BAA2" w14:textId="77777777" w:rsidR="00470B01" w:rsidRDefault="00587444" w:rsidP="00587444">
            <w:pPr>
              <w:tabs>
                <w:tab w:val="right" w:pos="1202"/>
                <w:tab w:val="right" w:pos="9781"/>
              </w:tabs>
              <w:suppressAutoHyphens w:val="0"/>
              <w:autoSpaceDN/>
              <w:outlineLvl w:val="0"/>
              <w:rPr>
                <w:rFonts w:ascii="Arial" w:hAnsi="Arial" w:cs="Arial"/>
                <w:b/>
                <w:bCs/>
                <w:sz w:val="18"/>
                <w:szCs w:val="18"/>
              </w:rPr>
            </w:pPr>
            <w:bookmarkStart w:id="1467" w:name="_Toc4063572"/>
            <w:r w:rsidRPr="00587444">
              <w:rPr>
                <w:rFonts w:ascii="Arial" w:hAnsi="Arial" w:cs="Arial"/>
                <w:b/>
                <w:bCs/>
                <w:sz w:val="18"/>
                <w:szCs w:val="18"/>
              </w:rPr>
              <w:t xml:space="preserve">Own funds needed for ensuring capital </w:t>
            </w:r>
          </w:p>
          <w:p w14:paraId="0B6E7562" w14:textId="18A534DD" w:rsidR="00587444" w:rsidRPr="00587444" w:rsidRDefault="00587444" w:rsidP="00587444">
            <w:pPr>
              <w:tabs>
                <w:tab w:val="right" w:pos="1202"/>
                <w:tab w:val="right" w:pos="9781"/>
              </w:tabs>
              <w:suppressAutoHyphens w:val="0"/>
              <w:autoSpaceDN/>
              <w:outlineLvl w:val="0"/>
              <w:rPr>
                <w:rFonts w:ascii="Arial" w:hAnsi="Arial" w:cs="Arial"/>
                <w:b/>
                <w:bCs/>
                <w:sz w:val="18"/>
                <w:szCs w:val="18"/>
              </w:rPr>
            </w:pPr>
            <w:r w:rsidRPr="00587444">
              <w:rPr>
                <w:rFonts w:ascii="Arial" w:hAnsi="Arial" w:cs="Arial"/>
                <w:b/>
                <w:bCs/>
                <w:sz w:val="18"/>
                <w:szCs w:val="18"/>
              </w:rPr>
              <w:t>adequacy according to regulatory requirements</w:t>
            </w:r>
            <w:bookmarkEnd w:id="1467"/>
            <w:r w:rsidRPr="00587444">
              <w:rPr>
                <w:rFonts w:ascii="Arial" w:hAnsi="Arial" w:cs="Arial"/>
                <w:b/>
                <w:bCs/>
                <w:sz w:val="18"/>
                <w:szCs w:val="18"/>
              </w:rPr>
              <w:t xml:space="preserve"> </w:t>
            </w:r>
          </w:p>
        </w:tc>
        <w:tc>
          <w:tcPr>
            <w:tcW w:w="754" w:type="pct"/>
            <w:vAlign w:val="bottom"/>
          </w:tcPr>
          <w:p w14:paraId="2799EE6B" w14:textId="77777777" w:rsidR="00587444" w:rsidRPr="00587444" w:rsidRDefault="00587444" w:rsidP="00587444">
            <w:pPr>
              <w:tabs>
                <w:tab w:val="right" w:pos="1202"/>
              </w:tabs>
              <w:suppressAutoHyphens w:val="0"/>
              <w:autoSpaceDN/>
              <w:jc w:val="right"/>
              <w:outlineLvl w:val="0"/>
              <w:rPr>
                <w:rFonts w:ascii="Arial" w:hAnsi="Arial" w:cs="Arial"/>
                <w:b/>
                <w:bCs/>
                <w:color w:val="000000"/>
                <w:sz w:val="18"/>
                <w:szCs w:val="18"/>
                <w:lang w:val="hr-HR"/>
              </w:rPr>
            </w:pPr>
            <w:r w:rsidRPr="00587444">
              <w:rPr>
                <w:rFonts w:ascii="Arial" w:hAnsi="Arial" w:cs="Arial"/>
                <w:b/>
                <w:bCs/>
                <w:color w:val="000000"/>
                <w:sz w:val="18"/>
                <w:szCs w:val="18"/>
                <w:lang w:val="hr-HR"/>
              </w:rPr>
              <w:t>2,220,980</w:t>
            </w:r>
          </w:p>
        </w:tc>
        <w:tc>
          <w:tcPr>
            <w:tcW w:w="754" w:type="pct"/>
            <w:vAlign w:val="bottom"/>
          </w:tcPr>
          <w:p w14:paraId="575C5317" w14:textId="77777777" w:rsidR="00587444" w:rsidRPr="00587444" w:rsidRDefault="00587444" w:rsidP="00587444">
            <w:pPr>
              <w:tabs>
                <w:tab w:val="right" w:pos="1202"/>
              </w:tabs>
              <w:suppressAutoHyphens w:val="0"/>
              <w:autoSpaceDN/>
              <w:jc w:val="right"/>
              <w:outlineLvl w:val="0"/>
              <w:rPr>
                <w:rFonts w:ascii="Arial" w:hAnsi="Arial" w:cs="Arial"/>
                <w:b/>
                <w:bCs/>
                <w:color w:val="000000"/>
                <w:sz w:val="18"/>
                <w:szCs w:val="18"/>
                <w:lang w:val="hr-HR"/>
              </w:rPr>
            </w:pPr>
            <w:r w:rsidRPr="00587444">
              <w:rPr>
                <w:rFonts w:ascii="Arial" w:hAnsi="Arial" w:cs="Arial"/>
                <w:b/>
                <w:bCs/>
                <w:color w:val="000000"/>
                <w:sz w:val="18"/>
                <w:szCs w:val="18"/>
                <w:lang w:val="hr-HR"/>
              </w:rPr>
              <w:t>1,901,075</w:t>
            </w:r>
          </w:p>
        </w:tc>
        <w:tc>
          <w:tcPr>
            <w:tcW w:w="754" w:type="pct"/>
            <w:vAlign w:val="bottom"/>
          </w:tcPr>
          <w:p w14:paraId="0BEC797E" w14:textId="77777777" w:rsidR="00587444" w:rsidRPr="00587444" w:rsidRDefault="00587444" w:rsidP="00587444">
            <w:pPr>
              <w:tabs>
                <w:tab w:val="right" w:pos="1202"/>
              </w:tabs>
              <w:suppressAutoHyphens w:val="0"/>
              <w:autoSpaceDN/>
              <w:jc w:val="right"/>
              <w:outlineLvl w:val="0"/>
              <w:rPr>
                <w:rFonts w:ascii="Arial" w:hAnsi="Arial" w:cs="Arial"/>
                <w:b/>
                <w:bCs/>
                <w:color w:val="000000"/>
                <w:sz w:val="18"/>
                <w:szCs w:val="18"/>
                <w:lang w:val="hr-HR"/>
              </w:rPr>
            </w:pPr>
            <w:r w:rsidRPr="00587444">
              <w:rPr>
                <w:rFonts w:ascii="Arial" w:hAnsi="Arial" w:cs="Arial"/>
                <w:b/>
                <w:bCs/>
                <w:color w:val="000000"/>
                <w:sz w:val="18"/>
                <w:szCs w:val="18"/>
                <w:lang w:val="hr-HR"/>
              </w:rPr>
              <w:t>2,213,349</w:t>
            </w:r>
          </w:p>
        </w:tc>
        <w:tc>
          <w:tcPr>
            <w:tcW w:w="754" w:type="pct"/>
            <w:vAlign w:val="bottom"/>
          </w:tcPr>
          <w:p w14:paraId="09FD8BFA" w14:textId="77777777" w:rsidR="00587444" w:rsidRPr="00587444" w:rsidRDefault="00587444" w:rsidP="00587444">
            <w:pPr>
              <w:tabs>
                <w:tab w:val="right" w:pos="1202"/>
              </w:tabs>
              <w:suppressAutoHyphens w:val="0"/>
              <w:autoSpaceDN/>
              <w:jc w:val="right"/>
              <w:outlineLvl w:val="0"/>
              <w:rPr>
                <w:rFonts w:ascii="Arial" w:hAnsi="Arial" w:cs="Arial"/>
                <w:b/>
                <w:bCs/>
                <w:sz w:val="18"/>
                <w:szCs w:val="18"/>
              </w:rPr>
            </w:pPr>
            <w:r w:rsidRPr="00587444">
              <w:rPr>
                <w:rFonts w:ascii="Arial" w:hAnsi="Arial" w:cs="Arial"/>
                <w:b/>
                <w:bCs/>
                <w:color w:val="000000"/>
                <w:sz w:val="18"/>
                <w:szCs w:val="18"/>
                <w:lang w:val="hr-HR"/>
              </w:rPr>
              <w:t>1,894,177</w:t>
            </w:r>
          </w:p>
        </w:tc>
      </w:tr>
    </w:tbl>
    <w:p w14:paraId="2B0ADC9C" w14:textId="77777777" w:rsidR="00587444" w:rsidRPr="00587444" w:rsidRDefault="00587444" w:rsidP="00587444">
      <w:pPr>
        <w:keepNext/>
        <w:suppressAutoHyphens w:val="0"/>
        <w:autoSpaceDN/>
        <w:jc w:val="both"/>
        <w:rPr>
          <w:rFonts w:ascii="Arial" w:hAnsi="Arial" w:cs="Arial"/>
          <w:b/>
          <w:noProof/>
          <w:sz w:val="20"/>
          <w:szCs w:val="20"/>
          <w:lang w:val="en-GB" w:eastAsia="hr-HR"/>
        </w:rPr>
      </w:pPr>
    </w:p>
    <w:p w14:paraId="5ABE2383" w14:textId="77777777" w:rsidR="00587444" w:rsidRPr="00587444" w:rsidRDefault="00587444" w:rsidP="00587444">
      <w:pPr>
        <w:keepNext/>
        <w:tabs>
          <w:tab w:val="left" w:pos="720"/>
          <w:tab w:val="left" w:pos="1440"/>
          <w:tab w:val="left" w:pos="2160"/>
          <w:tab w:val="left" w:pos="2880"/>
          <w:tab w:val="left" w:pos="3600"/>
        </w:tabs>
        <w:suppressAutoHyphens w:val="0"/>
        <w:autoSpaceDN/>
        <w:spacing w:before="120" w:line="300" w:lineRule="exact"/>
        <w:ind w:left="709" w:hanging="709"/>
        <w:jc w:val="both"/>
        <w:rPr>
          <w:rFonts w:ascii="Arial" w:hAnsi="Arial" w:cs="Arial"/>
          <w:bCs/>
          <w:spacing w:val="-3"/>
          <w:sz w:val="20"/>
          <w:szCs w:val="20"/>
          <w:lang w:val="en-GB"/>
        </w:rPr>
        <w:sectPr w:rsidR="00587444" w:rsidRPr="00587444" w:rsidSect="00DD69E7">
          <w:pgSz w:w="11907" w:h="16840" w:code="9"/>
          <w:pgMar w:top="1418" w:right="1134" w:bottom="1134" w:left="1418" w:header="851" w:footer="851" w:gutter="0"/>
          <w:cols w:space="720"/>
          <w:noEndnote/>
        </w:sectPr>
      </w:pPr>
    </w:p>
    <w:p w14:paraId="4B65466F" w14:textId="77777777" w:rsidR="00587444" w:rsidRPr="00587444" w:rsidRDefault="00587444" w:rsidP="00587444">
      <w:pPr>
        <w:tabs>
          <w:tab w:val="left" w:pos="709"/>
        </w:tabs>
        <w:suppressAutoHyphens w:val="0"/>
        <w:autoSpaceDN/>
        <w:rPr>
          <w:rFonts w:ascii="Arial" w:hAnsi="Arial" w:cs="Arial"/>
          <w:b/>
          <w:sz w:val="20"/>
          <w:szCs w:val="20"/>
          <w:highlight w:val="yellow"/>
          <w:lang w:val="en-GB" w:eastAsia="hr-HR"/>
        </w:rPr>
      </w:pPr>
    </w:p>
    <w:p w14:paraId="074BF51B"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 xml:space="preserve">35. </w:t>
      </w:r>
      <w:r w:rsidRPr="00587444">
        <w:rPr>
          <w:rFonts w:ascii="Arial" w:hAnsi="Arial" w:cs="Arial"/>
          <w:b/>
          <w:bCs/>
          <w:spacing w:val="-3"/>
          <w:sz w:val="20"/>
          <w:szCs w:val="20"/>
          <w:lang w:val="en-GB"/>
        </w:rPr>
        <w:tab/>
        <w:t>Earnings per share</w:t>
      </w:r>
    </w:p>
    <w:p w14:paraId="0806CC0D" w14:textId="77777777" w:rsidR="00587444" w:rsidRPr="00587444" w:rsidRDefault="00587444" w:rsidP="00587444">
      <w:pPr>
        <w:suppressAutoHyphens w:val="0"/>
        <w:autoSpaceDN/>
        <w:jc w:val="both"/>
        <w:rPr>
          <w:rFonts w:ascii="Arial" w:hAnsi="Arial" w:cs="Arial"/>
          <w:sz w:val="20"/>
          <w:szCs w:val="20"/>
          <w:lang w:val="en-GB" w:eastAsia="hr-HR"/>
        </w:rPr>
      </w:pPr>
    </w:p>
    <w:p w14:paraId="07CECDE4" w14:textId="77777777" w:rsidR="00587444" w:rsidRPr="00587444" w:rsidRDefault="00587444" w:rsidP="00587444">
      <w:pPr>
        <w:suppressAutoHyphens w:val="0"/>
        <w:autoSpaceDN/>
        <w:jc w:val="both"/>
        <w:rPr>
          <w:rFonts w:ascii="Arial" w:hAnsi="Arial" w:cs="Arial"/>
          <w:sz w:val="20"/>
          <w:szCs w:val="20"/>
          <w:lang w:val="en-GB" w:eastAsia="hr-HR"/>
        </w:rPr>
      </w:pPr>
      <w:r w:rsidRPr="00587444">
        <w:rPr>
          <w:rFonts w:ascii="Arial" w:hAnsi="Arial" w:cs="Arial"/>
          <w:sz w:val="20"/>
          <w:szCs w:val="20"/>
          <w:lang w:val="en-GB" w:eastAsia="hr-HR"/>
        </w:rPr>
        <w:t xml:space="preserve">Pursuant to the HBOR Act, the equity capital of the Bank consists of one share in the company that may not be divided, </w:t>
      </w:r>
      <w:proofErr w:type="gramStart"/>
      <w:r w:rsidRPr="00587444">
        <w:rPr>
          <w:rFonts w:ascii="Arial" w:hAnsi="Arial" w:cs="Arial"/>
          <w:sz w:val="20"/>
          <w:szCs w:val="20"/>
          <w:lang w:val="en-GB" w:eastAsia="hr-HR"/>
        </w:rPr>
        <w:t>transferred</w:t>
      </w:r>
      <w:proofErr w:type="gramEnd"/>
      <w:r w:rsidRPr="00587444">
        <w:rPr>
          <w:rFonts w:ascii="Arial" w:hAnsi="Arial" w:cs="Arial"/>
          <w:sz w:val="20"/>
          <w:szCs w:val="20"/>
          <w:lang w:val="en-GB" w:eastAsia="hr-HR"/>
        </w:rPr>
        <w:t xml:space="preserve"> or pledged and is owned solely by the Republic of Croatia.</w:t>
      </w:r>
    </w:p>
    <w:p w14:paraId="23BD5C07" w14:textId="77777777" w:rsidR="00587444" w:rsidRPr="00587444" w:rsidRDefault="00587444" w:rsidP="00587444">
      <w:pPr>
        <w:suppressAutoHyphens w:val="0"/>
        <w:autoSpaceDN/>
        <w:jc w:val="both"/>
        <w:rPr>
          <w:rFonts w:ascii="Arial" w:hAnsi="Arial" w:cs="Arial"/>
          <w:bCs/>
          <w:sz w:val="20"/>
          <w:szCs w:val="20"/>
          <w:lang w:val="en-GB"/>
        </w:rPr>
      </w:pPr>
      <w:proofErr w:type="gramStart"/>
      <w:r w:rsidRPr="00587444">
        <w:rPr>
          <w:rFonts w:ascii="Arial" w:hAnsi="Arial" w:cs="Arial"/>
          <w:bCs/>
          <w:sz w:val="20"/>
          <w:szCs w:val="20"/>
          <w:lang w:val="en-GB"/>
        </w:rPr>
        <w:t>For the purpose of</w:t>
      </w:r>
      <w:proofErr w:type="gramEnd"/>
      <w:r w:rsidRPr="00587444">
        <w:rPr>
          <w:rFonts w:ascii="Arial" w:hAnsi="Arial" w:cs="Arial"/>
          <w:bCs/>
          <w:sz w:val="20"/>
          <w:szCs w:val="20"/>
          <w:lang w:val="en-GB"/>
        </w:rPr>
        <w:t xml:space="preserve"> calculation of earnings per share, earning is presented as net profit after taxation.</w:t>
      </w:r>
    </w:p>
    <w:p w14:paraId="328034DD"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7B78BE39"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62269CE5" w14:textId="77777777" w:rsidR="00587444" w:rsidRPr="00587444" w:rsidRDefault="00587444" w:rsidP="00587444">
      <w:pPr>
        <w:suppressAutoHyphens w:val="0"/>
        <w:autoSpaceDN/>
        <w:jc w:val="both"/>
        <w:rPr>
          <w:rFonts w:ascii="Arial" w:hAnsi="Arial" w:cs="Arial"/>
          <w:b/>
          <w:bCs/>
          <w:sz w:val="20"/>
          <w:szCs w:val="20"/>
          <w:lang w:val="pl-PL"/>
        </w:rPr>
      </w:pPr>
      <w:r w:rsidRPr="00587444">
        <w:rPr>
          <w:rFonts w:ascii="Arial" w:hAnsi="Arial" w:cs="Arial"/>
          <w:b/>
          <w:bCs/>
          <w:sz w:val="20"/>
          <w:szCs w:val="20"/>
          <w:lang w:val="pl-PL"/>
        </w:rPr>
        <w:t xml:space="preserve">36. </w:t>
      </w:r>
      <w:r w:rsidRPr="00587444">
        <w:rPr>
          <w:rFonts w:ascii="Arial" w:hAnsi="Arial" w:cs="Arial"/>
          <w:b/>
          <w:bCs/>
          <w:sz w:val="20"/>
          <w:szCs w:val="20"/>
          <w:lang w:val="pl-PL"/>
        </w:rPr>
        <w:tab/>
        <w:t>Events after the reporting period date</w:t>
      </w:r>
    </w:p>
    <w:p w14:paraId="7E5DF7B2" w14:textId="77777777" w:rsidR="00587444" w:rsidRPr="00587444" w:rsidRDefault="00587444" w:rsidP="00587444">
      <w:pPr>
        <w:suppressAutoHyphens w:val="0"/>
        <w:autoSpaceDN/>
        <w:jc w:val="both"/>
        <w:rPr>
          <w:rFonts w:ascii="Arial" w:hAnsi="Arial" w:cs="Arial"/>
          <w:b/>
          <w:bCs/>
          <w:sz w:val="20"/>
          <w:szCs w:val="20"/>
          <w:lang w:val="pl-PL"/>
        </w:rPr>
      </w:pPr>
    </w:p>
    <w:p w14:paraId="75F46730" w14:textId="77777777" w:rsidR="00587444" w:rsidRPr="00587444" w:rsidRDefault="00587444" w:rsidP="00587444">
      <w:pPr>
        <w:suppressAutoHyphens w:val="0"/>
        <w:autoSpaceDN/>
        <w:jc w:val="both"/>
        <w:rPr>
          <w:rFonts w:ascii="Arial" w:hAnsi="Arial" w:cs="Arial"/>
          <w:bCs/>
          <w:sz w:val="20"/>
          <w:szCs w:val="20"/>
          <w:lang w:val="en-GB"/>
        </w:rPr>
      </w:pPr>
      <w:r w:rsidRPr="00587444">
        <w:rPr>
          <w:rFonts w:ascii="Arial" w:hAnsi="Arial" w:cs="Arial"/>
          <w:b/>
          <w:bCs/>
          <w:sz w:val="20"/>
          <w:szCs w:val="20"/>
          <w:lang w:val="pl-PL"/>
        </w:rPr>
        <w:t>36.1.     Supervisory Board of HBOR</w:t>
      </w:r>
    </w:p>
    <w:p w14:paraId="3C27A2A2" w14:textId="77777777" w:rsidR="00587444" w:rsidRPr="00587444" w:rsidRDefault="00587444" w:rsidP="00587444">
      <w:pPr>
        <w:suppressAutoHyphens w:val="0"/>
        <w:autoSpaceDN/>
        <w:jc w:val="both"/>
        <w:rPr>
          <w:rFonts w:ascii="Arial" w:hAnsi="Arial" w:cs="Arial"/>
          <w:sz w:val="20"/>
          <w:szCs w:val="20"/>
          <w:highlight w:val="yellow"/>
          <w:lang w:val="en-GB"/>
        </w:rPr>
      </w:pPr>
    </w:p>
    <w:p w14:paraId="594ED8B4" w14:textId="77777777" w:rsidR="00737B16" w:rsidRDefault="00737B16" w:rsidP="00737B16">
      <w:pPr>
        <w:contextualSpacing/>
        <w:jc w:val="both"/>
        <w:rPr>
          <w:rFonts w:ascii="Arial" w:eastAsia="Calibri" w:hAnsi="Arial" w:cs="Arial"/>
          <w:sz w:val="20"/>
          <w:szCs w:val="20"/>
        </w:rPr>
      </w:pPr>
      <w:r w:rsidRPr="00024F62">
        <w:rPr>
          <w:rFonts w:ascii="Arial" w:eastAsia="Calibri" w:hAnsi="Arial" w:cs="Arial"/>
          <w:sz w:val="20"/>
          <w:szCs w:val="20"/>
        </w:rPr>
        <w:t xml:space="preserve">After the reporting period, the Government of the Republic of Croatia adopted, at the meeting held on 20 January 2023, a Decision on Dismissal and Appointment of Several Members of the Supervisory Board of the Croatian Bank for Reconstruction and Development, by which the following members of the Supervisory Board were dismissed from their positions: Nataša </w:t>
      </w:r>
      <w:proofErr w:type="spellStart"/>
      <w:r w:rsidRPr="00024F62">
        <w:rPr>
          <w:rFonts w:ascii="Arial" w:eastAsia="Calibri" w:hAnsi="Arial" w:cs="Arial"/>
          <w:sz w:val="20"/>
          <w:szCs w:val="20"/>
        </w:rPr>
        <w:t>Tramišak</w:t>
      </w:r>
      <w:proofErr w:type="spellEnd"/>
      <w:r w:rsidRPr="00024F62">
        <w:rPr>
          <w:rFonts w:ascii="Arial" w:eastAsia="Calibri" w:hAnsi="Arial" w:cs="Arial"/>
          <w:sz w:val="20"/>
          <w:szCs w:val="20"/>
        </w:rPr>
        <w:t xml:space="preserve"> and Ivan </w:t>
      </w:r>
      <w:proofErr w:type="spellStart"/>
      <w:r w:rsidRPr="00024F62">
        <w:rPr>
          <w:rFonts w:ascii="Arial" w:eastAsia="Calibri" w:hAnsi="Arial" w:cs="Arial"/>
          <w:sz w:val="20"/>
          <w:szCs w:val="20"/>
        </w:rPr>
        <w:t>Paladina</w:t>
      </w:r>
      <w:proofErr w:type="spellEnd"/>
      <w:r w:rsidRPr="00024F62">
        <w:rPr>
          <w:rFonts w:ascii="Arial" w:eastAsia="Calibri" w:hAnsi="Arial" w:cs="Arial"/>
          <w:sz w:val="20"/>
          <w:szCs w:val="20"/>
        </w:rPr>
        <w:t xml:space="preserve">, whereas </w:t>
      </w:r>
      <w:proofErr w:type="spellStart"/>
      <w:r w:rsidRPr="00024F62">
        <w:rPr>
          <w:rFonts w:ascii="Arial" w:eastAsia="Calibri" w:hAnsi="Arial" w:cs="Arial"/>
          <w:sz w:val="20"/>
          <w:szCs w:val="20"/>
        </w:rPr>
        <w:t>Šime</w:t>
      </w:r>
      <w:proofErr w:type="spellEnd"/>
      <w:r w:rsidRPr="00024F62">
        <w:rPr>
          <w:rFonts w:ascii="Arial" w:eastAsia="Calibri" w:hAnsi="Arial" w:cs="Arial"/>
          <w:sz w:val="20"/>
          <w:szCs w:val="20"/>
        </w:rPr>
        <w:t xml:space="preserve"> </w:t>
      </w:r>
      <w:proofErr w:type="spellStart"/>
      <w:r w:rsidRPr="00024F62">
        <w:rPr>
          <w:rFonts w:ascii="Arial" w:eastAsia="Calibri" w:hAnsi="Arial" w:cs="Arial"/>
          <w:sz w:val="20"/>
          <w:szCs w:val="20"/>
        </w:rPr>
        <w:t>Erlić</w:t>
      </w:r>
      <w:proofErr w:type="spellEnd"/>
      <w:r w:rsidRPr="00024F62">
        <w:rPr>
          <w:rFonts w:ascii="Arial" w:eastAsia="Calibri" w:hAnsi="Arial" w:cs="Arial"/>
          <w:sz w:val="20"/>
          <w:szCs w:val="20"/>
        </w:rPr>
        <w:t xml:space="preserve">, Minister of Regional Development and EU Funds, was appointed ex-officio member of the Supervisory Board of HBOR and Branko </w:t>
      </w:r>
      <w:proofErr w:type="spellStart"/>
      <w:r w:rsidRPr="00024F62">
        <w:rPr>
          <w:rFonts w:ascii="Arial" w:eastAsia="Calibri" w:hAnsi="Arial" w:cs="Arial"/>
          <w:sz w:val="20"/>
          <w:szCs w:val="20"/>
        </w:rPr>
        <w:t>Bačić</w:t>
      </w:r>
      <w:proofErr w:type="spellEnd"/>
      <w:r w:rsidRPr="00024F62">
        <w:rPr>
          <w:rFonts w:ascii="Arial" w:eastAsia="Calibri" w:hAnsi="Arial" w:cs="Arial"/>
          <w:sz w:val="20"/>
          <w:szCs w:val="20"/>
        </w:rPr>
        <w:t>, Deputy Prime Minister and Minister of Physical Planning, Construction and State Assets, was appointed member of the Supervisory Board of HBOR.</w:t>
      </w:r>
    </w:p>
    <w:p w14:paraId="57F394C3" w14:textId="77777777" w:rsidR="00587444" w:rsidRPr="00587444" w:rsidRDefault="00587444" w:rsidP="00587444">
      <w:pPr>
        <w:suppressAutoHyphens w:val="0"/>
        <w:autoSpaceDN/>
        <w:contextualSpacing/>
        <w:rPr>
          <w:rFonts w:ascii="Arial" w:eastAsia="Calibri" w:hAnsi="Arial" w:cs="Arial"/>
          <w:sz w:val="20"/>
          <w:szCs w:val="20"/>
        </w:rPr>
      </w:pPr>
    </w:p>
    <w:p w14:paraId="369EE4EB" w14:textId="77777777" w:rsidR="00587444" w:rsidRPr="00587444" w:rsidRDefault="00587444" w:rsidP="00587444">
      <w:pPr>
        <w:suppressAutoHyphens w:val="0"/>
        <w:autoSpaceDN/>
        <w:contextualSpacing/>
        <w:rPr>
          <w:rFonts w:ascii="Arial" w:eastAsia="Calibri" w:hAnsi="Arial" w:cs="Arial"/>
          <w:sz w:val="20"/>
          <w:szCs w:val="20"/>
        </w:rPr>
      </w:pPr>
      <w:r w:rsidRPr="00587444">
        <w:rPr>
          <w:rFonts w:ascii="Arial" w:eastAsia="Calibri" w:hAnsi="Arial" w:cs="Arial"/>
          <w:sz w:val="20"/>
          <w:szCs w:val="20"/>
        </w:rPr>
        <w:t xml:space="preserve">Pursuant to </w:t>
      </w:r>
      <w:proofErr w:type="gramStart"/>
      <w:r w:rsidRPr="00587444">
        <w:rPr>
          <w:rFonts w:ascii="Arial" w:eastAsia="Calibri" w:hAnsi="Arial" w:cs="Arial"/>
          <w:sz w:val="20"/>
          <w:szCs w:val="20"/>
        </w:rPr>
        <w:t>the aforementioned, HBOR's</w:t>
      </w:r>
      <w:proofErr w:type="gramEnd"/>
      <w:r w:rsidRPr="00587444">
        <w:rPr>
          <w:rFonts w:ascii="Arial" w:eastAsia="Calibri" w:hAnsi="Arial" w:cs="Arial"/>
          <w:sz w:val="20"/>
          <w:szCs w:val="20"/>
        </w:rPr>
        <w:t xml:space="preserve"> Supervisory Board has consisted of the following members as of 20 January 2023:</w:t>
      </w:r>
    </w:p>
    <w:p w14:paraId="08C0CA51" w14:textId="77777777" w:rsidR="00587444" w:rsidRPr="00587444" w:rsidRDefault="00587444" w:rsidP="00587444">
      <w:pPr>
        <w:suppressAutoHyphens w:val="0"/>
        <w:autoSpaceDN/>
        <w:contextualSpacing/>
        <w:rPr>
          <w:rFonts w:ascii="Arial" w:eastAsia="Calibri" w:hAnsi="Arial" w:cs="Arial"/>
          <w:sz w:val="20"/>
          <w:szCs w:val="20"/>
        </w:rPr>
      </w:pPr>
    </w:p>
    <w:p w14:paraId="6C4E211F" w14:textId="77777777" w:rsidR="0097584B" w:rsidRPr="001F4143" w:rsidRDefault="0097584B" w:rsidP="0073106F">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1F4143">
        <w:rPr>
          <w:rFonts w:ascii="Arial" w:eastAsia="Calibri" w:hAnsi="Arial" w:cs="Arial"/>
          <w:sz w:val="20"/>
          <w:szCs w:val="20"/>
        </w:rPr>
        <w:t xml:space="preserve">Marko </w:t>
      </w:r>
      <w:proofErr w:type="spellStart"/>
      <w:r w:rsidRPr="001F4143">
        <w:rPr>
          <w:rFonts w:ascii="Arial" w:eastAsia="Calibri" w:hAnsi="Arial" w:cs="Arial"/>
          <w:sz w:val="20"/>
          <w:szCs w:val="20"/>
        </w:rPr>
        <w:t>Primorac</w:t>
      </w:r>
      <w:proofErr w:type="spellEnd"/>
      <w:r w:rsidRPr="001F4143">
        <w:rPr>
          <w:rFonts w:ascii="Arial" w:eastAsia="Calibri" w:hAnsi="Arial" w:cs="Arial"/>
          <w:sz w:val="20"/>
          <w:szCs w:val="20"/>
        </w:rPr>
        <w:t>, PhD, associate professor, Minister of Finance - ex officio President of the Supervisory Board,</w:t>
      </w:r>
    </w:p>
    <w:p w14:paraId="0C598D1D" w14:textId="77777777" w:rsidR="0097584B" w:rsidRPr="00B60C5C" w:rsidRDefault="0097584B" w:rsidP="0073106F">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B60C5C">
        <w:rPr>
          <w:rFonts w:ascii="Arial" w:eastAsia="Calibri" w:hAnsi="Arial" w:cs="Arial"/>
          <w:sz w:val="20"/>
          <w:szCs w:val="20"/>
        </w:rPr>
        <w:t xml:space="preserve">Davor </w:t>
      </w:r>
      <w:proofErr w:type="spellStart"/>
      <w:r w:rsidRPr="00B60C5C">
        <w:rPr>
          <w:rFonts w:ascii="Arial" w:eastAsia="Calibri" w:hAnsi="Arial" w:cs="Arial"/>
          <w:sz w:val="20"/>
          <w:szCs w:val="20"/>
        </w:rPr>
        <w:t>Filipović</w:t>
      </w:r>
      <w:proofErr w:type="spellEnd"/>
      <w:r w:rsidRPr="00B60C5C">
        <w:rPr>
          <w:rFonts w:ascii="Arial" w:eastAsia="Calibri" w:hAnsi="Arial" w:cs="Arial"/>
          <w:sz w:val="20"/>
          <w:szCs w:val="20"/>
        </w:rPr>
        <w:t>, PhD, associate professor, Minister of the Economy and Sustainable Development – ex officio Deputy President of the Supervisory Board,</w:t>
      </w:r>
    </w:p>
    <w:p w14:paraId="628745E9" w14:textId="77777777" w:rsidR="0097584B" w:rsidRPr="00B60C5C" w:rsidRDefault="0097584B" w:rsidP="0073106F">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B60C5C">
        <w:rPr>
          <w:rFonts w:ascii="Arial" w:eastAsia="Calibri" w:hAnsi="Arial" w:cs="Arial"/>
          <w:sz w:val="20"/>
          <w:szCs w:val="20"/>
        </w:rPr>
        <w:t xml:space="preserve">Nikolina </w:t>
      </w:r>
      <w:proofErr w:type="spellStart"/>
      <w:r w:rsidRPr="00B60C5C">
        <w:rPr>
          <w:rFonts w:ascii="Arial" w:eastAsia="Calibri" w:hAnsi="Arial" w:cs="Arial"/>
          <w:sz w:val="20"/>
          <w:szCs w:val="20"/>
        </w:rPr>
        <w:t>Brnjac</w:t>
      </w:r>
      <w:proofErr w:type="spellEnd"/>
      <w:r w:rsidRPr="00B60C5C">
        <w:rPr>
          <w:rFonts w:ascii="Arial" w:eastAsia="Calibri" w:hAnsi="Arial" w:cs="Arial"/>
          <w:sz w:val="20"/>
          <w:szCs w:val="20"/>
        </w:rPr>
        <w:t>, PhD, Minister of Tourism and Sports,</w:t>
      </w:r>
    </w:p>
    <w:p w14:paraId="7A91D435" w14:textId="77777777" w:rsidR="0097584B" w:rsidRPr="00B60C5C" w:rsidRDefault="0097584B" w:rsidP="0073106F">
      <w:pPr>
        <w:widowControl w:val="0"/>
        <w:numPr>
          <w:ilvl w:val="0"/>
          <w:numId w:val="39"/>
        </w:numPr>
        <w:autoSpaceDN/>
        <w:spacing w:after="160" w:line="240" w:lineRule="exact"/>
        <w:ind w:left="851" w:hanging="142"/>
        <w:contextualSpacing/>
        <w:jc w:val="both"/>
        <w:rPr>
          <w:rFonts w:ascii="Arial" w:eastAsia="Calibri" w:hAnsi="Arial" w:cs="Arial"/>
          <w:sz w:val="20"/>
          <w:szCs w:val="20"/>
        </w:rPr>
      </w:pPr>
      <w:proofErr w:type="spellStart"/>
      <w:r w:rsidRPr="00B60C5C">
        <w:rPr>
          <w:rFonts w:ascii="Arial" w:eastAsia="Calibri" w:hAnsi="Arial" w:cs="Arial"/>
          <w:sz w:val="20"/>
          <w:szCs w:val="20"/>
        </w:rPr>
        <w:t>Šime</w:t>
      </w:r>
      <w:proofErr w:type="spellEnd"/>
      <w:r w:rsidRPr="00B60C5C">
        <w:rPr>
          <w:rFonts w:ascii="Arial" w:eastAsia="Calibri" w:hAnsi="Arial" w:cs="Arial"/>
          <w:sz w:val="20"/>
          <w:szCs w:val="20"/>
        </w:rPr>
        <w:t xml:space="preserve"> </w:t>
      </w:r>
      <w:proofErr w:type="spellStart"/>
      <w:r w:rsidRPr="00B60C5C">
        <w:rPr>
          <w:rFonts w:ascii="Arial" w:eastAsia="Calibri" w:hAnsi="Arial" w:cs="Arial"/>
          <w:sz w:val="20"/>
          <w:szCs w:val="20"/>
        </w:rPr>
        <w:t>Erlić</w:t>
      </w:r>
      <w:proofErr w:type="spellEnd"/>
      <w:r w:rsidRPr="00B60C5C">
        <w:rPr>
          <w:rFonts w:ascii="Arial" w:eastAsia="Calibri" w:hAnsi="Arial" w:cs="Arial"/>
          <w:sz w:val="20"/>
          <w:szCs w:val="20"/>
        </w:rPr>
        <w:t>, Minister of Regional Development and EU Funds,</w:t>
      </w:r>
    </w:p>
    <w:p w14:paraId="4786E9EB" w14:textId="77777777" w:rsidR="0097584B" w:rsidRDefault="0097584B" w:rsidP="0073106F">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1F4143">
        <w:rPr>
          <w:rFonts w:ascii="Arial" w:eastAsia="Calibri" w:hAnsi="Arial" w:cs="Arial"/>
          <w:sz w:val="20"/>
          <w:szCs w:val="20"/>
        </w:rPr>
        <w:t xml:space="preserve">Marija </w:t>
      </w:r>
      <w:proofErr w:type="spellStart"/>
      <w:r w:rsidRPr="001F4143">
        <w:rPr>
          <w:rFonts w:ascii="Arial" w:eastAsia="Calibri" w:hAnsi="Arial" w:cs="Arial"/>
          <w:sz w:val="20"/>
          <w:szCs w:val="20"/>
        </w:rPr>
        <w:t>Vučković</w:t>
      </w:r>
      <w:proofErr w:type="spellEnd"/>
      <w:r w:rsidRPr="001F4143">
        <w:rPr>
          <w:rFonts w:ascii="Arial" w:eastAsia="Calibri" w:hAnsi="Arial" w:cs="Arial"/>
          <w:sz w:val="20"/>
          <w:szCs w:val="20"/>
        </w:rPr>
        <w:t>, MSc, Minister of Agriculture,</w:t>
      </w:r>
    </w:p>
    <w:p w14:paraId="1DC8AF2B" w14:textId="77777777" w:rsidR="0097584B" w:rsidRDefault="0097584B" w:rsidP="0073106F">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B60C5C">
        <w:rPr>
          <w:rFonts w:ascii="Arial" w:eastAsia="Calibri" w:hAnsi="Arial" w:cs="Arial"/>
          <w:sz w:val="20"/>
          <w:szCs w:val="20"/>
        </w:rPr>
        <w:t xml:space="preserve">Branko </w:t>
      </w:r>
      <w:proofErr w:type="spellStart"/>
      <w:r w:rsidRPr="00B60C5C">
        <w:rPr>
          <w:rFonts w:ascii="Arial" w:eastAsia="Calibri" w:hAnsi="Arial" w:cs="Arial"/>
          <w:sz w:val="20"/>
          <w:szCs w:val="20"/>
        </w:rPr>
        <w:t>Bačić</w:t>
      </w:r>
      <w:proofErr w:type="spellEnd"/>
      <w:r w:rsidRPr="00B60C5C">
        <w:rPr>
          <w:rFonts w:ascii="Arial" w:eastAsia="Calibri" w:hAnsi="Arial" w:cs="Arial"/>
          <w:sz w:val="20"/>
          <w:szCs w:val="20"/>
        </w:rPr>
        <w:t>, Deputy Prime Minister of the Republic of Croatia and Minister of Physical Planning, Construction and State Assets,</w:t>
      </w:r>
    </w:p>
    <w:p w14:paraId="36F4D372" w14:textId="77777777" w:rsidR="0097584B" w:rsidRPr="00B60C5C" w:rsidRDefault="0097584B" w:rsidP="0073106F">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B60C5C">
        <w:rPr>
          <w:rFonts w:ascii="Arial" w:eastAsia="Calibri" w:hAnsi="Arial" w:cs="Arial"/>
          <w:sz w:val="20"/>
          <w:szCs w:val="20"/>
        </w:rPr>
        <w:t xml:space="preserve">Luka </w:t>
      </w:r>
      <w:proofErr w:type="spellStart"/>
      <w:r w:rsidRPr="00B60C5C">
        <w:rPr>
          <w:rFonts w:ascii="Arial" w:eastAsia="Calibri" w:hAnsi="Arial" w:cs="Arial"/>
          <w:sz w:val="20"/>
          <w:szCs w:val="20"/>
        </w:rPr>
        <w:t>Burilović</w:t>
      </w:r>
      <w:proofErr w:type="spellEnd"/>
      <w:r w:rsidRPr="00B60C5C">
        <w:rPr>
          <w:rFonts w:ascii="Arial" w:eastAsia="Calibri" w:hAnsi="Arial" w:cs="Arial"/>
          <w:sz w:val="20"/>
          <w:szCs w:val="20"/>
        </w:rPr>
        <w:t>, PhD, Chairman of the Croatian Chamber of Economy – ex officio Member of the Supervisory Board,</w:t>
      </w:r>
    </w:p>
    <w:p w14:paraId="6960998C" w14:textId="77777777" w:rsidR="0097584B" w:rsidRPr="00B60C5C" w:rsidRDefault="0097584B" w:rsidP="0073106F">
      <w:pPr>
        <w:widowControl w:val="0"/>
        <w:numPr>
          <w:ilvl w:val="0"/>
          <w:numId w:val="39"/>
        </w:numPr>
        <w:autoSpaceDN/>
        <w:spacing w:after="160" w:line="240" w:lineRule="exact"/>
        <w:ind w:left="851" w:hanging="142"/>
        <w:contextualSpacing/>
        <w:jc w:val="both"/>
        <w:rPr>
          <w:rFonts w:ascii="Arial" w:eastAsia="Calibri" w:hAnsi="Arial" w:cs="Arial"/>
          <w:sz w:val="20"/>
          <w:szCs w:val="20"/>
        </w:rPr>
      </w:pPr>
      <w:proofErr w:type="spellStart"/>
      <w:r w:rsidRPr="00B60C5C">
        <w:rPr>
          <w:rFonts w:ascii="Arial" w:eastAsia="Calibri" w:hAnsi="Arial" w:cs="Arial"/>
          <w:sz w:val="20"/>
          <w:szCs w:val="20"/>
        </w:rPr>
        <w:t>Žarko</w:t>
      </w:r>
      <w:proofErr w:type="spellEnd"/>
      <w:r w:rsidRPr="00B60C5C">
        <w:rPr>
          <w:rFonts w:ascii="Arial" w:eastAsia="Calibri" w:hAnsi="Arial" w:cs="Arial"/>
          <w:sz w:val="20"/>
          <w:szCs w:val="20"/>
        </w:rPr>
        <w:t xml:space="preserve"> </w:t>
      </w:r>
      <w:proofErr w:type="spellStart"/>
      <w:r w:rsidRPr="00B60C5C">
        <w:rPr>
          <w:rFonts w:ascii="Arial" w:eastAsia="Calibri" w:hAnsi="Arial" w:cs="Arial"/>
          <w:sz w:val="20"/>
          <w:szCs w:val="20"/>
        </w:rPr>
        <w:t>Tušek</w:t>
      </w:r>
      <w:proofErr w:type="spellEnd"/>
      <w:r w:rsidRPr="00B60C5C">
        <w:rPr>
          <w:rFonts w:ascii="Arial" w:eastAsia="Calibri" w:hAnsi="Arial" w:cs="Arial"/>
          <w:sz w:val="20"/>
          <w:szCs w:val="20"/>
        </w:rPr>
        <w:t>, member of Parliament,</w:t>
      </w:r>
    </w:p>
    <w:p w14:paraId="39EF8798" w14:textId="77777777" w:rsidR="0097584B" w:rsidRPr="00B60C5C" w:rsidRDefault="0097584B" w:rsidP="0073106F">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B60C5C">
        <w:rPr>
          <w:rFonts w:ascii="Arial" w:eastAsia="Calibri" w:hAnsi="Arial" w:cs="Arial"/>
          <w:sz w:val="20"/>
          <w:szCs w:val="20"/>
        </w:rPr>
        <w:t xml:space="preserve">Predrag </w:t>
      </w:r>
      <w:proofErr w:type="spellStart"/>
      <w:r w:rsidRPr="00B60C5C">
        <w:rPr>
          <w:rFonts w:ascii="Arial" w:eastAsia="Calibri" w:hAnsi="Arial" w:cs="Arial"/>
          <w:sz w:val="20"/>
          <w:szCs w:val="20"/>
        </w:rPr>
        <w:t>Štromar</w:t>
      </w:r>
      <w:proofErr w:type="spellEnd"/>
      <w:r w:rsidRPr="00B60C5C">
        <w:rPr>
          <w:rFonts w:ascii="Arial" w:eastAsia="Calibri" w:hAnsi="Arial" w:cs="Arial"/>
          <w:sz w:val="20"/>
          <w:szCs w:val="20"/>
        </w:rPr>
        <w:t>, member of Parliament,</w:t>
      </w:r>
    </w:p>
    <w:p w14:paraId="3531B619" w14:textId="77777777" w:rsidR="0097584B" w:rsidRPr="00B60C5C" w:rsidRDefault="0097584B" w:rsidP="0073106F">
      <w:pPr>
        <w:widowControl w:val="0"/>
        <w:numPr>
          <w:ilvl w:val="0"/>
          <w:numId w:val="39"/>
        </w:numPr>
        <w:autoSpaceDN/>
        <w:spacing w:after="160" w:line="240" w:lineRule="exact"/>
        <w:ind w:left="851" w:hanging="142"/>
        <w:contextualSpacing/>
        <w:jc w:val="both"/>
        <w:rPr>
          <w:rFonts w:ascii="Arial" w:eastAsia="Calibri" w:hAnsi="Arial" w:cs="Arial"/>
          <w:sz w:val="20"/>
          <w:szCs w:val="20"/>
        </w:rPr>
      </w:pPr>
      <w:proofErr w:type="spellStart"/>
      <w:r w:rsidRPr="00B60C5C">
        <w:rPr>
          <w:rFonts w:ascii="Arial" w:eastAsia="Calibri" w:hAnsi="Arial" w:cs="Arial"/>
          <w:sz w:val="20"/>
          <w:szCs w:val="20"/>
        </w:rPr>
        <w:t>Siniša</w:t>
      </w:r>
      <w:proofErr w:type="spellEnd"/>
      <w:r w:rsidRPr="00B60C5C">
        <w:rPr>
          <w:rFonts w:ascii="Arial" w:eastAsia="Calibri" w:hAnsi="Arial" w:cs="Arial"/>
          <w:sz w:val="20"/>
          <w:szCs w:val="20"/>
        </w:rPr>
        <w:t xml:space="preserve"> </w:t>
      </w:r>
      <w:proofErr w:type="spellStart"/>
      <w:r w:rsidRPr="00B60C5C">
        <w:rPr>
          <w:rFonts w:ascii="Arial" w:eastAsia="Calibri" w:hAnsi="Arial" w:cs="Arial"/>
          <w:sz w:val="20"/>
          <w:szCs w:val="20"/>
        </w:rPr>
        <w:t>Hajdaš</w:t>
      </w:r>
      <w:proofErr w:type="spellEnd"/>
      <w:r w:rsidRPr="00B60C5C">
        <w:rPr>
          <w:rFonts w:ascii="Arial" w:eastAsia="Calibri" w:hAnsi="Arial" w:cs="Arial"/>
          <w:sz w:val="20"/>
          <w:szCs w:val="20"/>
        </w:rPr>
        <w:t xml:space="preserve"> </w:t>
      </w:r>
      <w:proofErr w:type="spellStart"/>
      <w:r w:rsidRPr="00B60C5C">
        <w:rPr>
          <w:rFonts w:ascii="Arial" w:eastAsia="Calibri" w:hAnsi="Arial" w:cs="Arial"/>
          <w:sz w:val="20"/>
          <w:szCs w:val="20"/>
        </w:rPr>
        <w:t>Dončić</w:t>
      </w:r>
      <w:proofErr w:type="spellEnd"/>
      <w:r w:rsidRPr="00B60C5C">
        <w:rPr>
          <w:rFonts w:ascii="Arial" w:eastAsia="Calibri" w:hAnsi="Arial" w:cs="Arial"/>
          <w:sz w:val="20"/>
          <w:szCs w:val="20"/>
        </w:rPr>
        <w:t>, PhD, member of Parliament.</w:t>
      </w:r>
    </w:p>
    <w:p w14:paraId="2EE0CD68" w14:textId="77777777" w:rsidR="00587444" w:rsidRPr="00587444" w:rsidRDefault="00587444" w:rsidP="00587444">
      <w:pPr>
        <w:suppressAutoHyphens w:val="0"/>
        <w:autoSpaceDN/>
        <w:jc w:val="both"/>
        <w:rPr>
          <w:rFonts w:ascii="Arial" w:hAnsi="Arial" w:cs="Arial"/>
          <w:sz w:val="20"/>
          <w:szCs w:val="20"/>
          <w:highlight w:val="yellow"/>
          <w:lang w:val="en-GB"/>
        </w:rPr>
      </w:pPr>
    </w:p>
    <w:p w14:paraId="0134E4F4" w14:textId="77777777" w:rsidR="00587444" w:rsidRPr="00587444" w:rsidRDefault="00587444" w:rsidP="00587444">
      <w:pPr>
        <w:suppressAutoHyphens w:val="0"/>
        <w:autoSpaceDN/>
        <w:rPr>
          <w:lang w:val="en-GB"/>
        </w:rPr>
      </w:pPr>
    </w:p>
    <w:p w14:paraId="654013C5" w14:textId="77777777" w:rsidR="00587444" w:rsidRPr="00587444" w:rsidRDefault="00587444" w:rsidP="00587444">
      <w:pPr>
        <w:tabs>
          <w:tab w:val="left" w:pos="567"/>
        </w:tabs>
        <w:suppressAutoHyphens w:val="0"/>
        <w:autoSpaceDN/>
        <w:jc w:val="both"/>
        <w:rPr>
          <w:rFonts w:ascii="Arial" w:hAnsi="Arial" w:cs="Arial"/>
          <w:b/>
          <w:sz w:val="20"/>
          <w:szCs w:val="20"/>
          <w:lang w:val="en-GB"/>
        </w:rPr>
      </w:pPr>
      <w:r w:rsidRPr="00587444">
        <w:rPr>
          <w:rFonts w:ascii="Arial" w:hAnsi="Arial" w:cs="Arial"/>
          <w:b/>
          <w:sz w:val="20"/>
          <w:szCs w:val="20"/>
          <w:lang w:val="en-GB"/>
        </w:rPr>
        <w:t>36.2. Supervisory Board and Audit Committee of HKO</w:t>
      </w:r>
    </w:p>
    <w:p w14:paraId="66435012" w14:textId="77777777" w:rsidR="00587444" w:rsidRPr="00587444" w:rsidRDefault="00587444" w:rsidP="00587444">
      <w:pPr>
        <w:widowControl w:val="0"/>
        <w:suppressAutoHyphens w:val="0"/>
        <w:autoSpaceDN/>
        <w:jc w:val="both"/>
        <w:rPr>
          <w:rFonts w:ascii="Arial" w:hAnsi="Arial" w:cs="Arial"/>
          <w:color w:val="000000"/>
          <w:sz w:val="20"/>
          <w:szCs w:val="20"/>
          <w:lang w:val="en-GB"/>
        </w:rPr>
      </w:pPr>
    </w:p>
    <w:p w14:paraId="3F63B03C" w14:textId="77777777" w:rsidR="00587444" w:rsidRPr="00587444" w:rsidRDefault="00587444" w:rsidP="00587444">
      <w:pPr>
        <w:widowControl w:val="0"/>
        <w:suppressAutoHyphens w:val="0"/>
        <w:autoSpaceDN/>
        <w:jc w:val="both"/>
        <w:rPr>
          <w:rFonts w:ascii="Arial" w:hAnsi="Arial" w:cs="Arial"/>
          <w:i/>
          <w:iCs/>
          <w:color w:val="000000"/>
          <w:sz w:val="20"/>
          <w:szCs w:val="20"/>
          <w:lang w:val="en-GB"/>
        </w:rPr>
      </w:pPr>
      <w:r w:rsidRPr="00587444">
        <w:rPr>
          <w:rFonts w:ascii="Arial" w:hAnsi="Arial" w:cs="Arial"/>
          <w:i/>
          <w:iCs/>
          <w:color w:val="000000"/>
          <w:sz w:val="20"/>
          <w:szCs w:val="20"/>
          <w:lang w:val="en-GB"/>
        </w:rPr>
        <w:t>Supervisory Board</w:t>
      </w:r>
    </w:p>
    <w:p w14:paraId="6E6CC4A3" w14:textId="77777777" w:rsidR="00587444" w:rsidRPr="00587444" w:rsidRDefault="00587444" w:rsidP="00587444">
      <w:pPr>
        <w:widowControl w:val="0"/>
        <w:suppressAutoHyphens w:val="0"/>
        <w:autoSpaceDN/>
        <w:jc w:val="both"/>
        <w:rPr>
          <w:rFonts w:ascii="Arial" w:hAnsi="Arial" w:cs="Arial"/>
          <w:color w:val="000000"/>
          <w:sz w:val="20"/>
          <w:szCs w:val="20"/>
          <w:lang w:val="en-GB"/>
        </w:rPr>
      </w:pPr>
      <w:r w:rsidRPr="00587444">
        <w:rPr>
          <w:rFonts w:ascii="Arial" w:hAnsi="Arial" w:cs="Arial"/>
          <w:color w:val="000000"/>
          <w:sz w:val="20"/>
          <w:szCs w:val="20"/>
          <w:lang w:val="en-GB"/>
        </w:rPr>
        <w:t xml:space="preserve">As </w:t>
      </w:r>
      <w:proofErr w:type="gramStart"/>
      <w:r w:rsidRPr="00587444">
        <w:rPr>
          <w:rFonts w:ascii="Arial" w:hAnsi="Arial" w:cs="Arial"/>
          <w:color w:val="000000"/>
          <w:sz w:val="20"/>
          <w:szCs w:val="20"/>
          <w:lang w:val="en-GB"/>
        </w:rPr>
        <w:t>at</w:t>
      </w:r>
      <w:proofErr w:type="gramEnd"/>
      <w:r w:rsidRPr="00587444">
        <w:rPr>
          <w:rFonts w:ascii="Arial" w:hAnsi="Arial" w:cs="Arial"/>
          <w:color w:val="000000"/>
          <w:sz w:val="20"/>
          <w:szCs w:val="20"/>
          <w:lang w:val="en-GB"/>
        </w:rPr>
        <w:t xml:space="preserve"> 31 December 2022, the Supervisory Board consisted of the following members:</w:t>
      </w:r>
    </w:p>
    <w:p w14:paraId="5DC08F0F" w14:textId="77777777" w:rsidR="00587444" w:rsidRPr="00587444" w:rsidRDefault="00587444" w:rsidP="00587444">
      <w:pPr>
        <w:widowControl w:val="0"/>
        <w:suppressAutoHyphens w:val="0"/>
        <w:autoSpaceDN/>
        <w:jc w:val="both"/>
        <w:rPr>
          <w:rFonts w:ascii="Arial" w:hAnsi="Arial" w:cs="Arial"/>
          <w:color w:val="000000"/>
          <w:sz w:val="20"/>
          <w:szCs w:val="20"/>
          <w:lang w:val="en-GB"/>
        </w:rPr>
      </w:pPr>
    </w:p>
    <w:p w14:paraId="3F3D1761" w14:textId="77777777" w:rsidR="00587444" w:rsidRPr="00587444" w:rsidRDefault="00587444" w:rsidP="00587444">
      <w:pPr>
        <w:suppressAutoHyphens w:val="0"/>
        <w:autoSpaceDN/>
        <w:ind w:firstLine="567"/>
        <w:jc w:val="both"/>
        <w:rPr>
          <w:rFonts w:ascii="Arial" w:hAnsi="Arial" w:cs="Arial"/>
          <w:sz w:val="20"/>
          <w:szCs w:val="20"/>
          <w:lang w:val="en-GB"/>
        </w:rPr>
      </w:pPr>
      <w:r w:rsidRPr="00587444">
        <w:rPr>
          <w:rFonts w:ascii="Arial" w:hAnsi="Arial" w:cs="Arial"/>
          <w:sz w:val="20"/>
          <w:szCs w:val="20"/>
          <w:lang w:val="en-GB"/>
        </w:rPr>
        <w:t xml:space="preserve">- Vedran Jakšić, </w:t>
      </w:r>
      <w:bookmarkStart w:id="1468" w:name="_Hlk128988951"/>
      <w:r w:rsidRPr="00587444">
        <w:rPr>
          <w:rFonts w:ascii="Arial" w:hAnsi="Arial" w:cs="Arial"/>
          <w:sz w:val="20"/>
          <w:szCs w:val="20"/>
          <w:lang w:val="en-GB"/>
        </w:rPr>
        <w:t xml:space="preserve">Chairman of the Supervisory Board </w:t>
      </w:r>
      <w:bookmarkEnd w:id="1468"/>
      <w:r w:rsidRPr="00587444">
        <w:rPr>
          <w:rFonts w:ascii="Arial" w:hAnsi="Arial" w:cs="Arial"/>
          <w:sz w:val="20"/>
          <w:szCs w:val="20"/>
          <w:lang w:val="en-GB"/>
        </w:rPr>
        <w:t>(until 3 January 2023),</w:t>
      </w:r>
    </w:p>
    <w:p w14:paraId="25B6B16B" w14:textId="77777777" w:rsidR="00587444" w:rsidRPr="00587444" w:rsidRDefault="00587444" w:rsidP="00587444">
      <w:pPr>
        <w:suppressAutoHyphens w:val="0"/>
        <w:autoSpaceDN/>
        <w:ind w:firstLine="567"/>
        <w:jc w:val="both"/>
        <w:rPr>
          <w:rFonts w:ascii="Arial" w:hAnsi="Arial" w:cs="Arial"/>
          <w:sz w:val="20"/>
          <w:szCs w:val="20"/>
          <w:lang w:val="en-GB"/>
        </w:rPr>
      </w:pPr>
      <w:r w:rsidRPr="00587444">
        <w:rPr>
          <w:rFonts w:ascii="Arial" w:hAnsi="Arial" w:cs="Arial"/>
          <w:sz w:val="20"/>
          <w:szCs w:val="20"/>
          <w:lang w:val="en-GB"/>
        </w:rPr>
        <w:t>- Andreja Mergeduš, Deputy Chairman of the Supervisory Board,</w:t>
      </w:r>
    </w:p>
    <w:p w14:paraId="6CC10CCB" w14:textId="77777777" w:rsidR="00587444" w:rsidRPr="00587444" w:rsidRDefault="00587444" w:rsidP="00587444">
      <w:pPr>
        <w:suppressAutoHyphens w:val="0"/>
        <w:autoSpaceDN/>
        <w:ind w:firstLine="567"/>
        <w:jc w:val="both"/>
        <w:rPr>
          <w:rFonts w:ascii="Arial" w:hAnsi="Arial" w:cs="Arial"/>
          <w:sz w:val="20"/>
          <w:szCs w:val="20"/>
          <w:lang w:val="en-GB"/>
        </w:rPr>
      </w:pPr>
      <w:r w:rsidRPr="00587444">
        <w:rPr>
          <w:rFonts w:ascii="Arial" w:hAnsi="Arial" w:cs="Arial"/>
          <w:sz w:val="20"/>
          <w:szCs w:val="20"/>
          <w:lang w:val="en-GB"/>
        </w:rPr>
        <w:t xml:space="preserve">- Ante Artuković, </w:t>
      </w:r>
      <w:bookmarkStart w:id="1469" w:name="_Hlk128988993"/>
      <w:r w:rsidRPr="00587444">
        <w:rPr>
          <w:rFonts w:ascii="Arial" w:hAnsi="Arial" w:cs="Arial"/>
          <w:sz w:val="20"/>
          <w:szCs w:val="20"/>
          <w:lang w:val="en-GB"/>
        </w:rPr>
        <w:t>Member of the Supervisory Board</w:t>
      </w:r>
      <w:bookmarkEnd w:id="1469"/>
      <w:r w:rsidRPr="00587444">
        <w:rPr>
          <w:rFonts w:ascii="Arial" w:hAnsi="Arial" w:cs="Arial"/>
          <w:sz w:val="20"/>
          <w:szCs w:val="20"/>
          <w:lang w:val="en-GB"/>
        </w:rPr>
        <w:t>,</w:t>
      </w:r>
    </w:p>
    <w:p w14:paraId="4514A70E" w14:textId="77777777" w:rsidR="00587444" w:rsidRPr="00587444" w:rsidRDefault="00587444" w:rsidP="00587444">
      <w:pPr>
        <w:suppressAutoHyphens w:val="0"/>
        <w:autoSpaceDN/>
        <w:ind w:firstLine="567"/>
        <w:jc w:val="both"/>
        <w:rPr>
          <w:rFonts w:ascii="Arial" w:hAnsi="Arial" w:cs="Arial"/>
          <w:sz w:val="20"/>
          <w:szCs w:val="20"/>
          <w:lang w:val="en-GB"/>
        </w:rPr>
      </w:pPr>
      <w:r w:rsidRPr="00587444">
        <w:rPr>
          <w:rFonts w:ascii="Arial" w:hAnsi="Arial" w:cs="Arial"/>
          <w:sz w:val="20"/>
          <w:szCs w:val="20"/>
          <w:lang w:val="en-GB"/>
        </w:rPr>
        <w:t>- Gordan Kuvek, Member of the Supervisory Board,</w:t>
      </w:r>
    </w:p>
    <w:p w14:paraId="44599FB9" w14:textId="77777777" w:rsidR="00587444" w:rsidRPr="00587444" w:rsidRDefault="00587444" w:rsidP="00587444">
      <w:pPr>
        <w:suppressAutoHyphens w:val="0"/>
        <w:autoSpaceDN/>
        <w:ind w:firstLine="567"/>
        <w:jc w:val="both"/>
        <w:rPr>
          <w:rFonts w:ascii="Arial" w:hAnsi="Arial" w:cs="Arial"/>
          <w:sz w:val="20"/>
          <w:szCs w:val="20"/>
          <w:lang w:val="en-GB"/>
        </w:rPr>
      </w:pPr>
      <w:r w:rsidRPr="00587444">
        <w:rPr>
          <w:rFonts w:ascii="Arial" w:hAnsi="Arial" w:cs="Arial"/>
          <w:sz w:val="20"/>
          <w:szCs w:val="20"/>
          <w:lang w:val="en-GB"/>
        </w:rPr>
        <w:t>- Marija Jerkić, Member of the Supervisory Board.</w:t>
      </w:r>
    </w:p>
    <w:p w14:paraId="3D515BAB" w14:textId="77777777" w:rsidR="00587444" w:rsidRPr="00587444" w:rsidRDefault="00587444" w:rsidP="00220518">
      <w:pPr>
        <w:suppressAutoHyphens w:val="0"/>
        <w:autoSpaceDN/>
        <w:jc w:val="both"/>
        <w:rPr>
          <w:rFonts w:ascii="Arial" w:hAnsi="Arial" w:cs="Arial"/>
          <w:color w:val="000000"/>
          <w:sz w:val="20"/>
          <w:szCs w:val="20"/>
          <w:lang w:val="en-GB"/>
        </w:rPr>
      </w:pPr>
    </w:p>
    <w:p w14:paraId="63B275DC" w14:textId="77777777" w:rsidR="00893DF5" w:rsidRPr="00AA0607" w:rsidRDefault="00893DF5" w:rsidP="00893DF5">
      <w:pPr>
        <w:jc w:val="both"/>
        <w:rPr>
          <w:rFonts w:ascii="Arial" w:hAnsi="Arial" w:cs="Arial"/>
          <w:color w:val="000000" w:themeColor="text1"/>
          <w:sz w:val="20"/>
          <w:szCs w:val="20"/>
          <w:lang w:val="en-GB"/>
        </w:rPr>
      </w:pPr>
      <w:r>
        <w:rPr>
          <w:rFonts w:ascii="Arial" w:hAnsi="Arial" w:cs="Arial"/>
          <w:color w:val="000000" w:themeColor="text1"/>
          <w:sz w:val="20"/>
          <w:szCs w:val="20"/>
          <w:lang w:val="en-GB"/>
        </w:rPr>
        <w:t xml:space="preserve">After the reporting period, by the decision of the Supervisory Board of </w:t>
      </w:r>
      <w:r w:rsidRPr="00AA0607">
        <w:rPr>
          <w:rFonts w:ascii="Arial" w:hAnsi="Arial" w:cs="Arial"/>
          <w:color w:val="000000" w:themeColor="text1"/>
          <w:sz w:val="20"/>
          <w:szCs w:val="20"/>
          <w:lang w:val="en-GB"/>
        </w:rPr>
        <w:t>HKO</w:t>
      </w:r>
      <w:r>
        <w:rPr>
          <w:rFonts w:ascii="Arial" w:hAnsi="Arial" w:cs="Arial"/>
          <w:color w:val="000000" w:themeColor="text1"/>
          <w:sz w:val="20"/>
          <w:szCs w:val="20"/>
          <w:lang w:val="en-GB"/>
        </w:rPr>
        <w:t xml:space="preserve"> made at the meeting held on </w:t>
      </w:r>
      <w:r w:rsidRPr="00AA0607">
        <w:rPr>
          <w:rFonts w:ascii="Arial" w:hAnsi="Arial" w:cs="Arial"/>
          <w:color w:val="000000" w:themeColor="text1"/>
          <w:sz w:val="20"/>
          <w:szCs w:val="20"/>
          <w:lang w:val="en-GB"/>
        </w:rPr>
        <w:t>2</w:t>
      </w:r>
      <w:r>
        <w:rPr>
          <w:rFonts w:ascii="Arial" w:hAnsi="Arial" w:cs="Arial"/>
          <w:color w:val="000000" w:themeColor="text1"/>
          <w:sz w:val="20"/>
          <w:szCs w:val="20"/>
          <w:lang w:val="en-GB"/>
        </w:rPr>
        <w:t xml:space="preserve"> March </w:t>
      </w:r>
      <w:r w:rsidRPr="00AA0607">
        <w:rPr>
          <w:rFonts w:ascii="Arial" w:hAnsi="Arial" w:cs="Arial"/>
          <w:color w:val="000000" w:themeColor="text1"/>
          <w:sz w:val="20"/>
          <w:szCs w:val="20"/>
          <w:lang w:val="en-GB"/>
        </w:rPr>
        <w:t>2023</w:t>
      </w:r>
      <w:r>
        <w:rPr>
          <w:rFonts w:ascii="Arial" w:hAnsi="Arial" w:cs="Arial"/>
          <w:color w:val="000000" w:themeColor="text1"/>
          <w:sz w:val="20"/>
          <w:szCs w:val="20"/>
          <w:lang w:val="en-GB"/>
        </w:rPr>
        <w:t xml:space="preserve">, Mr Ante Artuković, Executive Director of the Analysis Division of the Croatian Bank for Reconstruction and Development, was elected Chairman of the Supervisory Board of </w:t>
      </w:r>
      <w:r w:rsidRPr="00AA0607">
        <w:rPr>
          <w:rFonts w:ascii="Arial" w:hAnsi="Arial" w:cs="Arial"/>
          <w:color w:val="000000" w:themeColor="text1"/>
          <w:sz w:val="20"/>
          <w:szCs w:val="20"/>
          <w:lang w:val="en-GB"/>
        </w:rPr>
        <w:t>HKO</w:t>
      </w:r>
      <w:r>
        <w:rPr>
          <w:rFonts w:ascii="Arial" w:hAnsi="Arial" w:cs="Arial"/>
          <w:color w:val="000000" w:themeColor="text1"/>
          <w:sz w:val="20"/>
          <w:szCs w:val="20"/>
          <w:lang w:val="en-GB"/>
        </w:rPr>
        <w:t xml:space="preserve"> and Mr </w:t>
      </w:r>
      <w:r w:rsidRPr="00AA0607">
        <w:rPr>
          <w:rFonts w:ascii="Arial" w:hAnsi="Arial" w:cs="Arial"/>
          <w:color w:val="000000" w:themeColor="text1"/>
          <w:sz w:val="20"/>
          <w:szCs w:val="20"/>
          <w:lang w:val="en-GB"/>
        </w:rPr>
        <w:t xml:space="preserve">Marin Pranjić, </w:t>
      </w:r>
      <w:r>
        <w:rPr>
          <w:rFonts w:ascii="Arial" w:hAnsi="Arial" w:cs="Arial"/>
          <w:color w:val="000000" w:themeColor="text1"/>
          <w:sz w:val="20"/>
          <w:szCs w:val="20"/>
          <w:lang w:val="en-GB"/>
        </w:rPr>
        <w:t>Executive Director of the Accounting Division of the Croatian Bank for Reconstruction and Development, was elected member of the Supervisory Board</w:t>
      </w:r>
      <w:r w:rsidRPr="00AA0607">
        <w:rPr>
          <w:rFonts w:ascii="Arial" w:hAnsi="Arial" w:cs="Arial"/>
          <w:color w:val="000000" w:themeColor="text1"/>
          <w:sz w:val="20"/>
          <w:szCs w:val="20"/>
          <w:lang w:val="en-GB"/>
        </w:rPr>
        <w:t xml:space="preserve">. </w:t>
      </w:r>
    </w:p>
    <w:p w14:paraId="3B1596DA" w14:textId="77777777" w:rsidR="00893DF5" w:rsidRDefault="00893DF5" w:rsidP="00893DF5">
      <w:pPr>
        <w:jc w:val="both"/>
        <w:rPr>
          <w:rFonts w:ascii="Arial" w:eastAsia="SimSun" w:hAnsi="Arial" w:cs="Arial"/>
          <w:color w:val="000000" w:themeColor="text1"/>
          <w:sz w:val="20"/>
          <w:szCs w:val="20"/>
          <w:lang w:val="en-GB"/>
        </w:rPr>
      </w:pPr>
      <w:r>
        <w:rPr>
          <w:rFonts w:ascii="Arial" w:hAnsi="Arial" w:cs="Arial"/>
          <w:color w:val="000000" w:themeColor="text1"/>
          <w:sz w:val="20"/>
          <w:szCs w:val="20"/>
          <w:lang w:val="en-GB"/>
        </w:rPr>
        <w:t xml:space="preserve">On 3 February 2023, the </w:t>
      </w:r>
      <w:r w:rsidRPr="00DF6CEB">
        <w:rPr>
          <w:rFonts w:ascii="Arial" w:hAnsi="Arial" w:cs="Arial"/>
          <w:color w:val="000000" w:themeColor="text1"/>
          <w:sz w:val="20"/>
          <w:szCs w:val="20"/>
          <w:lang w:val="en-GB"/>
        </w:rPr>
        <w:t>Croatian Financial Services Supervisory Agen</w:t>
      </w:r>
      <w:r>
        <w:rPr>
          <w:rFonts w:ascii="Arial" w:hAnsi="Arial" w:cs="Arial"/>
          <w:color w:val="000000" w:themeColor="text1"/>
          <w:sz w:val="20"/>
          <w:szCs w:val="20"/>
          <w:lang w:val="en-GB"/>
        </w:rPr>
        <w:t xml:space="preserve">cy passed a resolution, by means of which an approval is </w:t>
      </w:r>
      <w:r w:rsidRPr="00F25EB4">
        <w:rPr>
          <w:rFonts w:ascii="Arial" w:eastAsia="SimSun" w:hAnsi="Arial" w:cs="Arial"/>
          <w:color w:val="000000" w:themeColor="text1"/>
          <w:sz w:val="20"/>
          <w:szCs w:val="20"/>
          <w:lang w:val="en-GB"/>
        </w:rPr>
        <w:t>issue</w:t>
      </w:r>
      <w:r>
        <w:rPr>
          <w:rFonts w:ascii="Arial" w:eastAsia="SimSun" w:hAnsi="Arial" w:cs="Arial"/>
          <w:color w:val="000000" w:themeColor="text1"/>
          <w:sz w:val="20"/>
          <w:szCs w:val="20"/>
          <w:lang w:val="en-GB"/>
        </w:rPr>
        <w:t>d</w:t>
      </w:r>
      <w:r w:rsidRPr="00F25EB4">
        <w:rPr>
          <w:rFonts w:ascii="Arial" w:eastAsia="SimSun" w:hAnsi="Arial" w:cs="Arial"/>
          <w:color w:val="000000" w:themeColor="text1"/>
          <w:sz w:val="20"/>
          <w:szCs w:val="20"/>
          <w:lang w:val="en-GB"/>
        </w:rPr>
        <w:t xml:space="preserve"> </w:t>
      </w:r>
      <w:r>
        <w:rPr>
          <w:rFonts w:ascii="Arial" w:eastAsia="SimSun" w:hAnsi="Arial" w:cs="Arial"/>
          <w:color w:val="000000" w:themeColor="text1"/>
          <w:sz w:val="20"/>
          <w:szCs w:val="20"/>
          <w:lang w:val="en-GB"/>
        </w:rPr>
        <w:t xml:space="preserve">for Marin </w:t>
      </w:r>
      <w:r w:rsidRPr="00AA0607">
        <w:rPr>
          <w:rFonts w:ascii="Arial" w:eastAsia="SimSun" w:hAnsi="Arial" w:cs="Arial"/>
          <w:color w:val="000000" w:themeColor="text1"/>
          <w:sz w:val="20"/>
          <w:szCs w:val="20"/>
          <w:lang w:val="en-GB"/>
        </w:rPr>
        <w:t>Pranjić</w:t>
      </w:r>
      <w:r w:rsidRPr="00300333">
        <w:rPr>
          <w:rFonts w:ascii="Arial" w:eastAsia="SimSun" w:hAnsi="Arial" w:cs="Arial"/>
          <w:color w:val="000000" w:themeColor="text1"/>
          <w:sz w:val="20"/>
          <w:szCs w:val="20"/>
          <w:lang w:val="en-GB"/>
        </w:rPr>
        <w:t xml:space="preserve"> </w:t>
      </w:r>
      <w:r w:rsidRPr="00F25EB4">
        <w:rPr>
          <w:rFonts w:ascii="Arial" w:eastAsia="SimSun" w:hAnsi="Arial" w:cs="Arial"/>
          <w:color w:val="000000" w:themeColor="text1"/>
          <w:sz w:val="20"/>
          <w:szCs w:val="20"/>
          <w:lang w:val="en-GB"/>
        </w:rPr>
        <w:t xml:space="preserve">for performing the function of a member of the </w:t>
      </w:r>
      <w:r>
        <w:rPr>
          <w:rFonts w:ascii="Arial" w:eastAsia="SimSun" w:hAnsi="Arial" w:cs="Arial"/>
          <w:color w:val="000000" w:themeColor="text1"/>
          <w:sz w:val="20"/>
          <w:szCs w:val="20"/>
          <w:lang w:val="en-GB"/>
        </w:rPr>
        <w:t xml:space="preserve"> </w:t>
      </w:r>
    </w:p>
    <w:p w14:paraId="5060778D" w14:textId="4F103031" w:rsidR="00893DF5" w:rsidRDefault="00893DF5" w:rsidP="00893DF5">
      <w:pPr>
        <w:rPr>
          <w:rFonts w:ascii="Arial" w:eastAsia="SimSun" w:hAnsi="Arial" w:cs="Arial"/>
          <w:color w:val="000000" w:themeColor="text1"/>
          <w:sz w:val="20"/>
          <w:szCs w:val="20"/>
          <w:lang w:val="en-GB"/>
        </w:rPr>
        <w:sectPr w:rsidR="00893DF5" w:rsidSect="00C06CDD">
          <w:pgSz w:w="11907" w:h="16840" w:code="9"/>
          <w:pgMar w:top="1418" w:right="1134" w:bottom="1134" w:left="1418" w:header="851" w:footer="851" w:gutter="0"/>
          <w:cols w:space="720"/>
          <w:noEndnote/>
        </w:sectPr>
      </w:pPr>
      <w:r w:rsidRPr="00F25EB4">
        <w:rPr>
          <w:rFonts w:ascii="Arial" w:eastAsia="SimSun" w:hAnsi="Arial" w:cs="Arial"/>
          <w:color w:val="000000" w:themeColor="text1"/>
          <w:sz w:val="20"/>
          <w:szCs w:val="20"/>
          <w:lang w:val="en-GB"/>
        </w:rPr>
        <w:t xml:space="preserve">Supervisory Board </w:t>
      </w:r>
      <w:r>
        <w:rPr>
          <w:rFonts w:ascii="Arial" w:eastAsia="SimSun" w:hAnsi="Arial" w:cs="Arial"/>
          <w:color w:val="000000" w:themeColor="text1"/>
          <w:sz w:val="20"/>
          <w:szCs w:val="20"/>
          <w:lang w:val="en-GB"/>
        </w:rPr>
        <w:t>of HKO.</w:t>
      </w:r>
    </w:p>
    <w:p w14:paraId="073CC90C" w14:textId="77777777" w:rsidR="00587444" w:rsidRPr="00587444" w:rsidRDefault="00587444" w:rsidP="00BB5943">
      <w:pPr>
        <w:keepNext/>
        <w:suppressAutoHyphens w:val="0"/>
        <w:autoSpaceDN/>
        <w:jc w:val="both"/>
        <w:rPr>
          <w:rFonts w:ascii="Arial" w:hAnsi="Arial" w:cs="Arial"/>
          <w:b/>
          <w:bCs/>
          <w:spacing w:val="-3"/>
          <w:sz w:val="20"/>
          <w:szCs w:val="20"/>
          <w:lang w:val="en-GB"/>
        </w:rPr>
      </w:pPr>
    </w:p>
    <w:p w14:paraId="41F97B2B" w14:textId="77777777" w:rsidR="00587444" w:rsidRPr="00587444" w:rsidRDefault="00587444" w:rsidP="00587444">
      <w:pPr>
        <w:suppressAutoHyphens w:val="0"/>
        <w:autoSpaceDN/>
        <w:jc w:val="both"/>
        <w:rPr>
          <w:rFonts w:ascii="Arial" w:hAnsi="Arial" w:cs="Arial"/>
          <w:b/>
          <w:bCs/>
          <w:sz w:val="20"/>
          <w:szCs w:val="20"/>
          <w:lang w:val="pl-PL"/>
        </w:rPr>
      </w:pPr>
      <w:r w:rsidRPr="00587444">
        <w:rPr>
          <w:rFonts w:ascii="Arial" w:hAnsi="Arial" w:cs="Arial"/>
          <w:b/>
          <w:bCs/>
          <w:sz w:val="20"/>
          <w:szCs w:val="20"/>
          <w:lang w:val="pl-PL"/>
        </w:rPr>
        <w:t xml:space="preserve">36. </w:t>
      </w:r>
      <w:r w:rsidRPr="00587444">
        <w:rPr>
          <w:rFonts w:ascii="Arial" w:hAnsi="Arial" w:cs="Arial"/>
          <w:b/>
          <w:bCs/>
          <w:sz w:val="20"/>
          <w:szCs w:val="20"/>
          <w:lang w:val="pl-PL"/>
        </w:rPr>
        <w:tab/>
        <w:t>Events after the reporting period date (continued)</w:t>
      </w:r>
    </w:p>
    <w:p w14:paraId="1AF7081A" w14:textId="77777777" w:rsidR="00587444" w:rsidRPr="00587444" w:rsidRDefault="00587444" w:rsidP="00587444">
      <w:pPr>
        <w:suppressAutoHyphens w:val="0"/>
        <w:autoSpaceDN/>
        <w:jc w:val="both"/>
        <w:rPr>
          <w:rFonts w:ascii="Arial" w:eastAsia="PMingLiU" w:hAnsi="Arial" w:cs="Arial"/>
          <w:color w:val="000000"/>
          <w:sz w:val="20"/>
          <w:szCs w:val="20"/>
          <w:lang w:val="en-GB"/>
        </w:rPr>
      </w:pPr>
    </w:p>
    <w:p w14:paraId="11FE7B01" w14:textId="77777777" w:rsidR="00587444" w:rsidRPr="00587444" w:rsidRDefault="00587444" w:rsidP="00587444">
      <w:pPr>
        <w:tabs>
          <w:tab w:val="left" w:pos="567"/>
        </w:tabs>
        <w:suppressAutoHyphens w:val="0"/>
        <w:autoSpaceDN/>
        <w:jc w:val="both"/>
        <w:rPr>
          <w:rFonts w:ascii="Arial" w:hAnsi="Arial" w:cs="Arial"/>
          <w:b/>
          <w:sz w:val="20"/>
          <w:szCs w:val="20"/>
          <w:lang w:val="en-GB"/>
        </w:rPr>
      </w:pPr>
      <w:r w:rsidRPr="00587444">
        <w:rPr>
          <w:rFonts w:ascii="Arial" w:hAnsi="Arial" w:cs="Arial"/>
          <w:b/>
          <w:sz w:val="20"/>
          <w:szCs w:val="20"/>
          <w:lang w:val="en-GB"/>
        </w:rPr>
        <w:t>36.2. Supervisory Board and Audit Committee of HKO (continued)</w:t>
      </w:r>
    </w:p>
    <w:p w14:paraId="6AC1999F" w14:textId="77777777" w:rsidR="00587444" w:rsidRPr="00587444" w:rsidRDefault="00587444" w:rsidP="00587444">
      <w:pPr>
        <w:suppressAutoHyphens w:val="0"/>
        <w:autoSpaceDN/>
        <w:jc w:val="both"/>
        <w:rPr>
          <w:lang w:val="en-GB"/>
        </w:rPr>
      </w:pPr>
    </w:p>
    <w:p w14:paraId="202F54D0" w14:textId="77777777" w:rsidR="00587444" w:rsidRPr="00587444" w:rsidRDefault="00587444" w:rsidP="00587444">
      <w:pPr>
        <w:suppressAutoHyphens w:val="0"/>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Pursuant to the above, as of 2 March 2023, the Supervisory Board of HKO has consisted of the following members:</w:t>
      </w:r>
    </w:p>
    <w:p w14:paraId="52D56031" w14:textId="77777777" w:rsidR="00587444" w:rsidRPr="00587444" w:rsidRDefault="00587444" w:rsidP="00587444">
      <w:pPr>
        <w:suppressAutoHyphens w:val="0"/>
        <w:autoSpaceDN/>
        <w:ind w:left="567"/>
        <w:jc w:val="both"/>
        <w:rPr>
          <w:rFonts w:ascii="Arial" w:hAnsi="Arial" w:cs="Arial"/>
          <w:sz w:val="20"/>
          <w:szCs w:val="20"/>
          <w:lang w:val="en-GB"/>
        </w:rPr>
      </w:pPr>
      <w:r w:rsidRPr="00587444">
        <w:rPr>
          <w:rFonts w:ascii="Arial" w:hAnsi="Arial" w:cs="Arial"/>
          <w:color w:val="000000"/>
          <w:sz w:val="20"/>
          <w:szCs w:val="20"/>
          <w:lang w:val="en-GB" w:eastAsia="hr-HR"/>
        </w:rPr>
        <w:t>-</w:t>
      </w:r>
      <w:r w:rsidRPr="00587444">
        <w:rPr>
          <w:rFonts w:ascii="Arial" w:hAnsi="Arial" w:cs="Arial"/>
          <w:sz w:val="20"/>
          <w:szCs w:val="20"/>
          <w:lang w:val="en-GB"/>
        </w:rPr>
        <w:t xml:space="preserve"> Ante Artuković, Chairman of the Supervisory Board,</w:t>
      </w:r>
    </w:p>
    <w:p w14:paraId="5ED80D38" w14:textId="77777777" w:rsidR="00587444" w:rsidRPr="00587444" w:rsidRDefault="00587444" w:rsidP="00587444">
      <w:pPr>
        <w:suppressAutoHyphens w:val="0"/>
        <w:autoSpaceDN/>
        <w:ind w:left="567"/>
        <w:jc w:val="both"/>
        <w:rPr>
          <w:rFonts w:ascii="Arial" w:hAnsi="Arial" w:cs="Arial"/>
          <w:sz w:val="20"/>
          <w:szCs w:val="20"/>
          <w:lang w:val="en-GB"/>
        </w:rPr>
      </w:pPr>
      <w:r w:rsidRPr="00587444">
        <w:rPr>
          <w:rFonts w:ascii="Arial" w:hAnsi="Arial" w:cs="Arial"/>
          <w:sz w:val="20"/>
          <w:szCs w:val="20"/>
          <w:lang w:val="en-GB"/>
        </w:rPr>
        <w:t>- Andreja Mergeduš, Deputy Chairman of the Supervisory Board,</w:t>
      </w:r>
    </w:p>
    <w:p w14:paraId="217FF9E2" w14:textId="77777777" w:rsidR="00587444" w:rsidRPr="00587444" w:rsidRDefault="00587444" w:rsidP="00587444">
      <w:pPr>
        <w:suppressAutoHyphens w:val="0"/>
        <w:autoSpaceDN/>
        <w:ind w:left="567"/>
        <w:jc w:val="both"/>
        <w:rPr>
          <w:rFonts w:ascii="Arial" w:hAnsi="Arial" w:cs="Arial"/>
          <w:sz w:val="20"/>
          <w:szCs w:val="20"/>
          <w:lang w:val="en-GB"/>
        </w:rPr>
      </w:pPr>
      <w:r w:rsidRPr="00587444">
        <w:rPr>
          <w:rFonts w:ascii="Arial" w:hAnsi="Arial" w:cs="Arial"/>
          <w:sz w:val="20"/>
          <w:szCs w:val="20"/>
          <w:lang w:val="en-GB"/>
        </w:rPr>
        <w:t>- Marija Jerkić, Member of the Supervisory Board,</w:t>
      </w:r>
    </w:p>
    <w:p w14:paraId="45A21317" w14:textId="77777777" w:rsidR="00587444" w:rsidRPr="00587444" w:rsidRDefault="00587444" w:rsidP="00587444">
      <w:pPr>
        <w:suppressAutoHyphens w:val="0"/>
        <w:autoSpaceDN/>
        <w:ind w:left="567"/>
        <w:jc w:val="both"/>
        <w:rPr>
          <w:rFonts w:ascii="Arial" w:hAnsi="Arial" w:cs="Arial"/>
          <w:sz w:val="20"/>
          <w:szCs w:val="20"/>
          <w:lang w:val="en-GB"/>
        </w:rPr>
      </w:pPr>
      <w:r w:rsidRPr="00587444">
        <w:rPr>
          <w:rFonts w:ascii="Arial" w:hAnsi="Arial" w:cs="Arial"/>
          <w:sz w:val="20"/>
          <w:szCs w:val="20"/>
          <w:lang w:val="en-GB"/>
        </w:rPr>
        <w:t>- Gordan Kuvek, Member of the Supervisory Board,</w:t>
      </w:r>
    </w:p>
    <w:p w14:paraId="75C337D6" w14:textId="77777777" w:rsidR="00587444" w:rsidRPr="00587444" w:rsidRDefault="00587444" w:rsidP="00587444">
      <w:pPr>
        <w:suppressAutoHyphens w:val="0"/>
        <w:autoSpaceDN/>
        <w:ind w:left="567"/>
        <w:jc w:val="both"/>
        <w:rPr>
          <w:rFonts w:ascii="Arial" w:hAnsi="Arial" w:cs="Arial"/>
          <w:sz w:val="20"/>
          <w:szCs w:val="20"/>
          <w:lang w:val="en-GB"/>
        </w:rPr>
      </w:pPr>
      <w:r w:rsidRPr="00587444">
        <w:rPr>
          <w:rFonts w:ascii="Arial" w:hAnsi="Arial" w:cs="Arial"/>
          <w:sz w:val="20"/>
          <w:szCs w:val="20"/>
          <w:lang w:val="en-GB"/>
        </w:rPr>
        <w:t>- Marin Pranjić, Member of the Supervisory Board.</w:t>
      </w:r>
    </w:p>
    <w:p w14:paraId="5D420ED1" w14:textId="77777777" w:rsidR="00587444" w:rsidRPr="00587444" w:rsidRDefault="00587444" w:rsidP="00587444">
      <w:pPr>
        <w:suppressAutoHyphens w:val="0"/>
        <w:autoSpaceDN/>
        <w:jc w:val="both"/>
        <w:rPr>
          <w:rFonts w:ascii="Arial" w:hAnsi="Arial" w:cs="Arial"/>
          <w:sz w:val="20"/>
          <w:szCs w:val="20"/>
          <w:lang w:val="en-GB"/>
        </w:rPr>
      </w:pPr>
    </w:p>
    <w:p w14:paraId="4A3F4E5A" w14:textId="77777777" w:rsidR="00587444" w:rsidRPr="00587444" w:rsidRDefault="00587444" w:rsidP="00587444">
      <w:pPr>
        <w:suppressAutoHyphens w:val="0"/>
        <w:autoSpaceDN/>
        <w:jc w:val="both"/>
        <w:rPr>
          <w:rFonts w:ascii="Arial" w:hAnsi="Arial" w:cs="Arial"/>
          <w:i/>
          <w:iCs/>
          <w:sz w:val="20"/>
          <w:szCs w:val="20"/>
          <w:lang w:val="en-GB"/>
        </w:rPr>
      </w:pPr>
      <w:r w:rsidRPr="00587444">
        <w:rPr>
          <w:rFonts w:ascii="Arial" w:hAnsi="Arial" w:cs="Arial"/>
          <w:i/>
          <w:iCs/>
          <w:sz w:val="20"/>
          <w:szCs w:val="20"/>
          <w:lang w:val="en-GB"/>
        </w:rPr>
        <w:t>Audit Committee</w:t>
      </w:r>
    </w:p>
    <w:p w14:paraId="79ADB825" w14:textId="77777777" w:rsidR="00587444" w:rsidRPr="00587444" w:rsidRDefault="00587444" w:rsidP="00587444">
      <w:pPr>
        <w:suppressAutoHyphens w:val="0"/>
        <w:autoSpaceDN/>
        <w:jc w:val="both"/>
        <w:rPr>
          <w:rFonts w:ascii="Arial" w:eastAsia="PMingLiU" w:hAnsi="Arial" w:cs="Arial"/>
          <w:sz w:val="20"/>
          <w:szCs w:val="20"/>
          <w:lang w:val="en-GB"/>
        </w:rPr>
      </w:pPr>
      <w:r w:rsidRPr="00587444">
        <w:rPr>
          <w:rFonts w:ascii="Arial" w:eastAsia="PMingLiU" w:hAnsi="Arial" w:cs="Arial"/>
          <w:sz w:val="20"/>
          <w:szCs w:val="20"/>
          <w:lang w:val="en-GB"/>
        </w:rPr>
        <w:t>In 2022, the Audit Committee of HKO consisted of the following members:</w:t>
      </w:r>
    </w:p>
    <w:p w14:paraId="187E6166" w14:textId="77777777" w:rsidR="00587444" w:rsidRPr="00587444" w:rsidRDefault="00587444" w:rsidP="00587444">
      <w:pPr>
        <w:numPr>
          <w:ilvl w:val="0"/>
          <w:numId w:val="20"/>
        </w:numPr>
        <w:tabs>
          <w:tab w:val="left" w:pos="3836"/>
        </w:tabs>
        <w:suppressAutoHyphens w:val="0"/>
        <w:autoSpaceDN/>
        <w:ind w:left="567" w:hanging="284"/>
        <w:jc w:val="both"/>
        <w:rPr>
          <w:rFonts w:ascii="Arial" w:eastAsia="SimSun" w:hAnsi="Arial" w:cs="Arial"/>
          <w:sz w:val="20"/>
          <w:szCs w:val="20"/>
          <w:lang w:val="en-GB"/>
        </w:rPr>
      </w:pPr>
      <w:r w:rsidRPr="00587444">
        <w:rPr>
          <w:rFonts w:ascii="Arial" w:eastAsia="SimSun" w:hAnsi="Arial" w:cs="Arial"/>
          <w:sz w:val="20"/>
          <w:szCs w:val="20"/>
          <w:lang w:val="en-GB"/>
        </w:rPr>
        <w:t>Ante Artuković, Chairman of the Audit Committee,</w:t>
      </w:r>
    </w:p>
    <w:p w14:paraId="436B4691" w14:textId="77777777" w:rsidR="00587444" w:rsidRPr="00587444" w:rsidRDefault="00587444" w:rsidP="00587444">
      <w:pPr>
        <w:numPr>
          <w:ilvl w:val="0"/>
          <w:numId w:val="20"/>
        </w:numPr>
        <w:tabs>
          <w:tab w:val="left" w:pos="3836"/>
        </w:tabs>
        <w:suppressAutoHyphens w:val="0"/>
        <w:autoSpaceDN/>
        <w:ind w:left="567" w:hanging="284"/>
        <w:jc w:val="both"/>
        <w:rPr>
          <w:rFonts w:ascii="Arial" w:eastAsia="SimSun" w:hAnsi="Arial" w:cs="Arial"/>
          <w:sz w:val="20"/>
          <w:szCs w:val="20"/>
          <w:lang w:val="en-GB"/>
        </w:rPr>
      </w:pPr>
      <w:r w:rsidRPr="00587444">
        <w:rPr>
          <w:rFonts w:ascii="Arial" w:eastAsia="SimSun" w:hAnsi="Arial" w:cs="Arial"/>
          <w:sz w:val="20"/>
          <w:szCs w:val="20"/>
          <w:lang w:val="en-GB"/>
        </w:rPr>
        <w:t>Vedran Jakšić, Deputy Chairman of the Audit Committee (until 19 December 2022),</w:t>
      </w:r>
    </w:p>
    <w:p w14:paraId="057F1194" w14:textId="77777777" w:rsidR="00587444" w:rsidRPr="00587444" w:rsidRDefault="00587444" w:rsidP="00587444">
      <w:pPr>
        <w:numPr>
          <w:ilvl w:val="0"/>
          <w:numId w:val="20"/>
        </w:numPr>
        <w:tabs>
          <w:tab w:val="left" w:pos="3836"/>
        </w:tabs>
        <w:suppressAutoHyphens w:val="0"/>
        <w:autoSpaceDN/>
        <w:ind w:left="567" w:hanging="284"/>
        <w:jc w:val="both"/>
        <w:rPr>
          <w:rFonts w:ascii="Arial" w:eastAsia="SimSun" w:hAnsi="Arial" w:cs="Arial"/>
          <w:sz w:val="20"/>
          <w:szCs w:val="20"/>
          <w:lang w:val="en-GB"/>
        </w:rPr>
      </w:pPr>
      <w:r w:rsidRPr="00587444">
        <w:rPr>
          <w:rFonts w:ascii="Arial" w:eastAsia="SimSun" w:hAnsi="Arial" w:cs="Arial"/>
          <w:sz w:val="20"/>
          <w:szCs w:val="20"/>
          <w:lang w:val="en-GB"/>
        </w:rPr>
        <w:t>Andreja Mergeduš, Deputy Chairman of the Audit Committee (from 19 December 2022),</w:t>
      </w:r>
    </w:p>
    <w:p w14:paraId="76D219A1" w14:textId="77777777" w:rsidR="00587444" w:rsidRPr="00587444" w:rsidRDefault="00587444" w:rsidP="00587444">
      <w:pPr>
        <w:numPr>
          <w:ilvl w:val="0"/>
          <w:numId w:val="20"/>
        </w:numPr>
        <w:tabs>
          <w:tab w:val="left" w:pos="3836"/>
        </w:tabs>
        <w:suppressAutoHyphens w:val="0"/>
        <w:autoSpaceDN/>
        <w:ind w:left="567" w:hanging="284"/>
        <w:jc w:val="both"/>
        <w:rPr>
          <w:rFonts w:ascii="Arial" w:eastAsia="SimSun" w:hAnsi="Arial" w:cs="Arial"/>
          <w:sz w:val="20"/>
          <w:szCs w:val="20"/>
          <w:lang w:val="en-GB"/>
        </w:rPr>
      </w:pPr>
      <w:r w:rsidRPr="00587444">
        <w:rPr>
          <w:rFonts w:ascii="Arial" w:eastAsia="SimSun" w:hAnsi="Arial" w:cs="Arial"/>
          <w:sz w:val="20"/>
          <w:szCs w:val="20"/>
          <w:lang w:val="en-GB"/>
        </w:rPr>
        <w:t xml:space="preserve">Andreja </w:t>
      </w:r>
      <w:proofErr w:type="spellStart"/>
      <w:r w:rsidRPr="00587444">
        <w:rPr>
          <w:rFonts w:ascii="Arial" w:eastAsia="SimSun" w:hAnsi="Arial" w:cs="Arial"/>
          <w:sz w:val="20"/>
          <w:szCs w:val="20"/>
          <w:lang w:val="en-GB"/>
        </w:rPr>
        <w:t>Svečnjak</w:t>
      </w:r>
      <w:proofErr w:type="spellEnd"/>
      <w:r w:rsidRPr="00587444">
        <w:rPr>
          <w:rFonts w:ascii="Arial" w:eastAsia="SimSun" w:hAnsi="Arial" w:cs="Arial"/>
          <w:sz w:val="20"/>
          <w:szCs w:val="20"/>
          <w:lang w:val="en-GB"/>
        </w:rPr>
        <w:t>, Member of the Audit Committee.</w:t>
      </w:r>
    </w:p>
    <w:p w14:paraId="752E1E89" w14:textId="77777777" w:rsidR="00587444" w:rsidRPr="00587444" w:rsidRDefault="00587444" w:rsidP="00587444">
      <w:pPr>
        <w:suppressAutoHyphens w:val="0"/>
        <w:autoSpaceDN/>
        <w:ind w:left="567"/>
        <w:jc w:val="both"/>
        <w:rPr>
          <w:rFonts w:ascii="Arial" w:hAnsi="Arial" w:cs="Arial"/>
          <w:color w:val="000000"/>
          <w:sz w:val="20"/>
          <w:szCs w:val="20"/>
          <w:lang w:val="en-GB"/>
        </w:rPr>
      </w:pPr>
    </w:p>
    <w:p w14:paraId="1B800A8E" w14:textId="77777777" w:rsidR="00463F86" w:rsidRPr="00AA0607" w:rsidRDefault="00463F86" w:rsidP="00463F86">
      <w:pPr>
        <w:jc w:val="both"/>
        <w:rPr>
          <w:rFonts w:ascii="Arial" w:hAnsi="Arial" w:cs="Arial"/>
          <w:i/>
          <w:iCs/>
          <w:sz w:val="20"/>
          <w:szCs w:val="20"/>
          <w:lang w:val="en-GB"/>
        </w:rPr>
      </w:pPr>
      <w:r>
        <w:rPr>
          <w:rFonts w:ascii="Arial" w:hAnsi="Arial" w:cs="Arial"/>
          <w:color w:val="000000" w:themeColor="text1"/>
          <w:sz w:val="20"/>
          <w:szCs w:val="20"/>
          <w:lang w:val="en-GB"/>
        </w:rPr>
        <w:t xml:space="preserve">By </w:t>
      </w:r>
      <w:r w:rsidRPr="00D86276">
        <w:rPr>
          <w:rFonts w:ascii="Arial" w:hAnsi="Arial" w:cs="Arial"/>
          <w:color w:val="000000" w:themeColor="text1"/>
          <w:sz w:val="20"/>
          <w:szCs w:val="20"/>
          <w:lang w:val="en-GB"/>
        </w:rPr>
        <w:t xml:space="preserve">the decision of the Supervisory Board of HKO made at the meeting held on 2 March 2023, Mr </w:t>
      </w:r>
      <w:r>
        <w:rPr>
          <w:rFonts w:ascii="Arial" w:hAnsi="Arial" w:cs="Arial"/>
          <w:color w:val="000000" w:themeColor="text1"/>
          <w:sz w:val="20"/>
          <w:szCs w:val="20"/>
          <w:lang w:val="en-GB"/>
        </w:rPr>
        <w:t>Marin Pranjić</w:t>
      </w:r>
      <w:r w:rsidRPr="00D86276">
        <w:rPr>
          <w:rFonts w:ascii="Arial" w:hAnsi="Arial" w:cs="Arial"/>
          <w:color w:val="000000" w:themeColor="text1"/>
          <w:sz w:val="20"/>
          <w:szCs w:val="20"/>
          <w:lang w:val="en-GB"/>
        </w:rPr>
        <w:t xml:space="preserve">, Executive Director of the </w:t>
      </w:r>
      <w:r>
        <w:rPr>
          <w:rFonts w:ascii="Arial" w:hAnsi="Arial" w:cs="Arial"/>
          <w:color w:val="000000" w:themeColor="text1"/>
          <w:sz w:val="20"/>
          <w:szCs w:val="20"/>
          <w:lang w:val="en-GB"/>
        </w:rPr>
        <w:t xml:space="preserve">Accounting </w:t>
      </w:r>
      <w:r w:rsidRPr="00D86276">
        <w:rPr>
          <w:rFonts w:ascii="Arial" w:hAnsi="Arial" w:cs="Arial"/>
          <w:color w:val="000000" w:themeColor="text1"/>
          <w:sz w:val="20"/>
          <w:szCs w:val="20"/>
          <w:lang w:val="en-GB"/>
        </w:rPr>
        <w:t xml:space="preserve">Division of the Croatian Bank for Reconstruction and Development, was elected Chairman of the </w:t>
      </w:r>
      <w:r>
        <w:rPr>
          <w:rFonts w:ascii="Arial" w:hAnsi="Arial" w:cs="Arial"/>
          <w:color w:val="000000" w:themeColor="text1"/>
          <w:sz w:val="20"/>
          <w:szCs w:val="20"/>
          <w:lang w:val="en-GB"/>
        </w:rPr>
        <w:t xml:space="preserve">Audit Committee </w:t>
      </w:r>
      <w:r w:rsidRPr="00D86276">
        <w:rPr>
          <w:rFonts w:ascii="Arial" w:hAnsi="Arial" w:cs="Arial"/>
          <w:color w:val="000000" w:themeColor="text1"/>
          <w:sz w:val="20"/>
          <w:szCs w:val="20"/>
          <w:lang w:val="en-GB"/>
        </w:rPr>
        <w:t xml:space="preserve">of HKO and Mr </w:t>
      </w:r>
      <w:r>
        <w:rPr>
          <w:rFonts w:ascii="Arial" w:hAnsi="Arial" w:cs="Arial"/>
          <w:color w:val="000000" w:themeColor="text1"/>
          <w:sz w:val="20"/>
          <w:szCs w:val="20"/>
          <w:lang w:val="en-GB"/>
        </w:rPr>
        <w:t>Ante Artuković</w:t>
      </w:r>
      <w:r w:rsidRPr="00D86276">
        <w:rPr>
          <w:rFonts w:ascii="Arial" w:hAnsi="Arial" w:cs="Arial"/>
          <w:color w:val="000000" w:themeColor="text1"/>
          <w:sz w:val="20"/>
          <w:szCs w:val="20"/>
          <w:lang w:val="en-GB"/>
        </w:rPr>
        <w:t xml:space="preserve">, Executive Director of the </w:t>
      </w:r>
      <w:r>
        <w:rPr>
          <w:rFonts w:ascii="Arial" w:hAnsi="Arial" w:cs="Arial"/>
          <w:color w:val="000000" w:themeColor="text1"/>
          <w:sz w:val="20"/>
          <w:szCs w:val="20"/>
          <w:lang w:val="en-GB"/>
        </w:rPr>
        <w:t xml:space="preserve">Analysis </w:t>
      </w:r>
      <w:r w:rsidRPr="00D86276">
        <w:rPr>
          <w:rFonts w:ascii="Arial" w:hAnsi="Arial" w:cs="Arial"/>
          <w:color w:val="000000" w:themeColor="text1"/>
          <w:sz w:val="20"/>
          <w:szCs w:val="20"/>
          <w:lang w:val="en-GB"/>
        </w:rPr>
        <w:t xml:space="preserve">Division of the Croatian Bank for Reconstruction and Development, was elected </w:t>
      </w:r>
      <w:r>
        <w:rPr>
          <w:rFonts w:ascii="Arial" w:hAnsi="Arial" w:cs="Arial"/>
          <w:color w:val="000000" w:themeColor="text1"/>
          <w:sz w:val="20"/>
          <w:szCs w:val="20"/>
          <w:lang w:val="en-GB"/>
        </w:rPr>
        <w:t>Deputy Chairman of the Audit Committee</w:t>
      </w:r>
      <w:r w:rsidRPr="00AA0607">
        <w:rPr>
          <w:rFonts w:ascii="Arial" w:hAnsi="Arial" w:cs="Arial"/>
          <w:color w:val="000000" w:themeColor="text1"/>
          <w:sz w:val="20"/>
          <w:szCs w:val="20"/>
          <w:lang w:val="en-GB"/>
        </w:rPr>
        <w:t>.</w:t>
      </w:r>
    </w:p>
    <w:p w14:paraId="5DD75172" w14:textId="77777777" w:rsidR="00587444" w:rsidRPr="00587444" w:rsidRDefault="00587444" w:rsidP="00587444">
      <w:pPr>
        <w:suppressAutoHyphens w:val="0"/>
        <w:autoSpaceDN/>
        <w:jc w:val="both"/>
        <w:rPr>
          <w:rFonts w:ascii="Arial" w:hAnsi="Arial" w:cs="Arial"/>
          <w:color w:val="000000"/>
          <w:sz w:val="20"/>
          <w:szCs w:val="20"/>
          <w:lang w:val="en-GB" w:eastAsia="hr-HR"/>
        </w:rPr>
      </w:pPr>
    </w:p>
    <w:p w14:paraId="285C750E" w14:textId="77777777" w:rsidR="00587444" w:rsidRPr="00587444" w:rsidRDefault="00587444" w:rsidP="00587444">
      <w:pPr>
        <w:suppressAutoHyphens w:val="0"/>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Pursuant to the above, as of 2 March 2023, the Audit Committee of HKO has consisted of the following members:</w:t>
      </w:r>
    </w:p>
    <w:p w14:paraId="7E03707A" w14:textId="77777777" w:rsidR="00587444" w:rsidRPr="00587444" w:rsidRDefault="00587444" w:rsidP="00587444">
      <w:pPr>
        <w:suppressAutoHyphens w:val="0"/>
        <w:autoSpaceDN/>
        <w:jc w:val="both"/>
        <w:rPr>
          <w:rFonts w:ascii="Arial" w:hAnsi="Arial" w:cs="Arial"/>
          <w:i/>
          <w:iCs/>
          <w:sz w:val="20"/>
          <w:szCs w:val="20"/>
          <w:lang w:val="en-GB"/>
        </w:rPr>
      </w:pPr>
    </w:p>
    <w:p w14:paraId="64FEE2B7" w14:textId="77777777" w:rsidR="00587444" w:rsidRPr="00587444" w:rsidRDefault="00587444" w:rsidP="00587444">
      <w:pPr>
        <w:suppressAutoHyphens w:val="0"/>
        <w:autoSpaceDN/>
        <w:ind w:left="1134" w:hanging="567"/>
        <w:jc w:val="both"/>
        <w:rPr>
          <w:rFonts w:ascii="Arial" w:hAnsi="Arial" w:cs="Arial"/>
          <w:sz w:val="20"/>
          <w:szCs w:val="20"/>
          <w:lang w:val="en-GB"/>
        </w:rPr>
      </w:pPr>
      <w:r w:rsidRPr="00587444">
        <w:rPr>
          <w:rFonts w:ascii="Arial" w:hAnsi="Arial" w:cs="Arial"/>
          <w:sz w:val="20"/>
          <w:szCs w:val="20"/>
          <w:lang w:val="en-GB"/>
        </w:rPr>
        <w:t>- Marin Pranjić, Chairman of the Audit Committee,</w:t>
      </w:r>
    </w:p>
    <w:p w14:paraId="214C83FD" w14:textId="77777777" w:rsidR="00587444" w:rsidRPr="00587444" w:rsidRDefault="00587444" w:rsidP="00587444">
      <w:pPr>
        <w:suppressAutoHyphens w:val="0"/>
        <w:autoSpaceDN/>
        <w:ind w:left="1134" w:hanging="567"/>
        <w:jc w:val="both"/>
        <w:rPr>
          <w:rFonts w:ascii="Arial" w:hAnsi="Arial" w:cs="Arial"/>
          <w:sz w:val="20"/>
          <w:szCs w:val="20"/>
          <w:lang w:val="en-GB"/>
        </w:rPr>
      </w:pPr>
      <w:r w:rsidRPr="00587444">
        <w:rPr>
          <w:rFonts w:ascii="Arial" w:hAnsi="Arial" w:cs="Arial"/>
          <w:sz w:val="20"/>
          <w:szCs w:val="20"/>
          <w:lang w:val="en-GB"/>
        </w:rPr>
        <w:t>- Ante Artuković, Deputy Chairman of the Audit Committee,</w:t>
      </w:r>
    </w:p>
    <w:p w14:paraId="0F703DE8" w14:textId="77777777" w:rsidR="00587444" w:rsidRPr="00587444" w:rsidRDefault="00587444" w:rsidP="00587444">
      <w:pPr>
        <w:suppressAutoHyphens w:val="0"/>
        <w:autoSpaceDN/>
        <w:ind w:left="1134" w:hanging="567"/>
        <w:jc w:val="both"/>
        <w:rPr>
          <w:rFonts w:ascii="Arial" w:hAnsi="Arial" w:cs="Arial"/>
          <w:sz w:val="20"/>
          <w:szCs w:val="20"/>
          <w:lang w:val="en-GB"/>
        </w:rPr>
      </w:pPr>
      <w:r w:rsidRPr="00587444">
        <w:rPr>
          <w:rFonts w:ascii="Arial" w:hAnsi="Arial" w:cs="Arial"/>
          <w:sz w:val="20"/>
          <w:szCs w:val="20"/>
          <w:lang w:val="en-GB"/>
        </w:rPr>
        <w:t xml:space="preserve">- Andreja </w:t>
      </w:r>
      <w:proofErr w:type="spellStart"/>
      <w:r w:rsidRPr="00587444">
        <w:rPr>
          <w:rFonts w:ascii="Arial" w:hAnsi="Arial" w:cs="Arial"/>
          <w:sz w:val="20"/>
          <w:szCs w:val="20"/>
          <w:lang w:val="en-GB"/>
        </w:rPr>
        <w:t>Svečnjak</w:t>
      </w:r>
      <w:proofErr w:type="spellEnd"/>
      <w:r w:rsidRPr="00587444">
        <w:rPr>
          <w:rFonts w:ascii="Arial" w:hAnsi="Arial" w:cs="Arial"/>
          <w:sz w:val="20"/>
          <w:szCs w:val="20"/>
          <w:lang w:val="en-GB"/>
        </w:rPr>
        <w:t>, Member of the Audit Committee.</w:t>
      </w:r>
    </w:p>
    <w:p w14:paraId="60039B36" w14:textId="77777777" w:rsidR="00587444" w:rsidRPr="00587444" w:rsidRDefault="00587444" w:rsidP="00587444">
      <w:pPr>
        <w:suppressAutoHyphens w:val="0"/>
        <w:autoSpaceDN/>
        <w:jc w:val="both"/>
        <w:rPr>
          <w:rFonts w:ascii="Arial" w:hAnsi="Arial" w:cs="Arial"/>
          <w:sz w:val="20"/>
          <w:szCs w:val="20"/>
          <w:lang w:val="en-GB"/>
        </w:rPr>
      </w:pPr>
    </w:p>
    <w:p w14:paraId="05664DB9" w14:textId="77777777" w:rsidR="00587444" w:rsidRPr="00587444" w:rsidRDefault="00587444" w:rsidP="00587444">
      <w:pPr>
        <w:suppressAutoHyphens w:val="0"/>
        <w:autoSpaceDN/>
        <w:jc w:val="both"/>
        <w:rPr>
          <w:rFonts w:ascii="Arial" w:hAnsi="Arial" w:cs="Arial"/>
          <w:sz w:val="20"/>
          <w:szCs w:val="20"/>
          <w:lang w:val="en-GB"/>
        </w:rPr>
      </w:pPr>
    </w:p>
    <w:p w14:paraId="40C06349" w14:textId="77777777" w:rsidR="00587444" w:rsidRPr="00587444" w:rsidRDefault="00587444" w:rsidP="00587444">
      <w:pPr>
        <w:tabs>
          <w:tab w:val="left" w:pos="567"/>
        </w:tabs>
        <w:suppressAutoHyphens w:val="0"/>
        <w:autoSpaceDN/>
        <w:jc w:val="both"/>
        <w:rPr>
          <w:rFonts w:ascii="Arial" w:hAnsi="Arial" w:cs="Arial"/>
          <w:b/>
          <w:sz w:val="20"/>
          <w:szCs w:val="20"/>
          <w:lang w:val="en-GB"/>
        </w:rPr>
      </w:pPr>
      <w:r w:rsidRPr="00587444">
        <w:rPr>
          <w:rFonts w:ascii="Arial" w:hAnsi="Arial" w:cs="Arial"/>
          <w:b/>
          <w:sz w:val="20"/>
          <w:szCs w:val="20"/>
          <w:lang w:val="en-GB"/>
        </w:rPr>
        <w:t>36.3. Introduction of the Euro as the official currency in the Republic of Croatia</w:t>
      </w:r>
    </w:p>
    <w:p w14:paraId="2FADC063" w14:textId="77777777" w:rsidR="00587444" w:rsidRPr="00587444" w:rsidRDefault="00587444" w:rsidP="00587444">
      <w:pPr>
        <w:suppressAutoHyphens w:val="0"/>
        <w:autoSpaceDN/>
        <w:jc w:val="both"/>
        <w:rPr>
          <w:rFonts w:ascii="Arial" w:hAnsi="Arial" w:cs="Arial"/>
          <w:color w:val="000000"/>
          <w:sz w:val="20"/>
          <w:szCs w:val="20"/>
          <w:lang w:val="en-GB"/>
        </w:rPr>
      </w:pPr>
    </w:p>
    <w:p w14:paraId="2D43F6B7" w14:textId="77777777" w:rsidR="0027688D" w:rsidRDefault="0027688D" w:rsidP="0027688D">
      <w:pPr>
        <w:jc w:val="both"/>
        <w:rPr>
          <w:rFonts w:ascii="Arial" w:hAnsi="Arial" w:cs="Arial"/>
          <w:color w:val="000000" w:themeColor="text1"/>
          <w:sz w:val="20"/>
          <w:szCs w:val="20"/>
          <w:lang w:val="en-GB"/>
        </w:rPr>
      </w:pPr>
      <w:r w:rsidRPr="00BF4BFE">
        <w:rPr>
          <w:rFonts w:ascii="Arial" w:hAnsi="Arial" w:cs="Arial"/>
          <w:color w:val="000000" w:themeColor="text1"/>
          <w:sz w:val="20"/>
          <w:szCs w:val="20"/>
          <w:lang w:val="en-GB"/>
        </w:rPr>
        <w:t xml:space="preserve">In parallel with the activities of the introduction of the euro at the national level, in early 2021, HBOR began to assess the impact of replacing the </w:t>
      </w:r>
      <w:proofErr w:type="spellStart"/>
      <w:r w:rsidRPr="00BF4BFE">
        <w:rPr>
          <w:rFonts w:ascii="Arial" w:hAnsi="Arial" w:cs="Arial"/>
          <w:color w:val="000000" w:themeColor="text1"/>
          <w:sz w:val="20"/>
          <w:szCs w:val="20"/>
          <w:lang w:val="en-GB"/>
        </w:rPr>
        <w:t>kuna</w:t>
      </w:r>
      <w:proofErr w:type="spellEnd"/>
      <w:r w:rsidRPr="00BF4BFE">
        <w:rPr>
          <w:rFonts w:ascii="Arial" w:hAnsi="Arial" w:cs="Arial"/>
          <w:color w:val="000000" w:themeColor="text1"/>
          <w:sz w:val="20"/>
          <w:szCs w:val="20"/>
          <w:lang w:val="en-GB"/>
        </w:rPr>
        <w:t xml:space="preserve"> with the euro in every aspect of business operations for the purpose of initiating the project of introducing the euro. Special focus was placed on the analysis of all HBOR’s business activities with the aim of timely harmonisation with the National Plan for the Changeover from the Croatian Kuna to the Euro, the Act on the Introduction of the Euro as the Official Currency in the Republic of Croatia and the amendments to the primary and secondary legislation in the area of payment system, tax system, capital market, financial system and commercial law. </w:t>
      </w:r>
    </w:p>
    <w:p w14:paraId="235C93EA" w14:textId="77777777" w:rsidR="0027688D" w:rsidRDefault="0027688D" w:rsidP="0027688D">
      <w:pPr>
        <w:jc w:val="both"/>
        <w:rPr>
          <w:rFonts w:ascii="Arial" w:hAnsi="Arial" w:cs="Arial"/>
          <w:color w:val="000000" w:themeColor="text1"/>
          <w:sz w:val="20"/>
          <w:szCs w:val="20"/>
          <w:lang w:val="en-GB"/>
        </w:rPr>
      </w:pPr>
    </w:p>
    <w:p w14:paraId="31A32BC9" w14:textId="77777777" w:rsidR="0027688D" w:rsidRPr="00BF4BFE" w:rsidRDefault="0027688D" w:rsidP="0027688D">
      <w:pPr>
        <w:jc w:val="both"/>
        <w:rPr>
          <w:rFonts w:ascii="Arial" w:hAnsi="Arial" w:cs="Arial"/>
          <w:color w:val="000000" w:themeColor="text1"/>
          <w:sz w:val="20"/>
          <w:szCs w:val="20"/>
          <w:lang w:val="en-GB"/>
        </w:rPr>
      </w:pPr>
      <w:r w:rsidRPr="00BF4BFE">
        <w:rPr>
          <w:rFonts w:ascii="Arial" w:hAnsi="Arial" w:cs="Arial"/>
          <w:color w:val="000000" w:themeColor="text1"/>
          <w:sz w:val="20"/>
          <w:szCs w:val="20"/>
          <w:lang w:val="en-GB"/>
        </w:rPr>
        <w:t>Under the two-year project of introducing the euro, HBOR complied in a timely manner with the obligations prescribed by the Act on the Introduction of the Euro as the Official Currency in the Republic of Croatia and successfully completed the project of introducing the euro in HBOR.</w:t>
      </w:r>
    </w:p>
    <w:p w14:paraId="19503F04" w14:textId="77777777" w:rsidR="00587444" w:rsidRPr="00587444" w:rsidRDefault="00587444" w:rsidP="00587444">
      <w:pPr>
        <w:keepNext/>
        <w:suppressAutoHyphens w:val="0"/>
        <w:autoSpaceDN/>
        <w:spacing w:before="120" w:after="120" w:line="300" w:lineRule="exact"/>
        <w:jc w:val="both"/>
        <w:rPr>
          <w:rFonts w:ascii="Arial" w:hAnsi="Arial" w:cs="Arial"/>
          <w:bCs/>
          <w:sz w:val="20"/>
          <w:szCs w:val="20"/>
          <w:lang w:val="hr-HR"/>
        </w:rPr>
        <w:sectPr w:rsidR="00587444" w:rsidRPr="00587444" w:rsidSect="00DD69E7">
          <w:pgSz w:w="11907" w:h="16840" w:code="9"/>
          <w:pgMar w:top="1418" w:right="1134" w:bottom="1134" w:left="1418" w:header="851" w:footer="851" w:gutter="0"/>
          <w:cols w:space="720"/>
          <w:noEndnote/>
        </w:sectPr>
      </w:pPr>
    </w:p>
    <w:tbl>
      <w:tblPr>
        <w:tblpPr w:leftFromText="181" w:rightFromText="181" w:vertAnchor="page" w:horzAnchor="margin" w:tblpY="2632"/>
        <w:tblOverlap w:val="never"/>
        <w:tblW w:w="9346" w:type="dxa"/>
        <w:tblLayout w:type="fixed"/>
        <w:tblLook w:val="04A0" w:firstRow="1" w:lastRow="0" w:firstColumn="1" w:lastColumn="0" w:noHBand="0" w:noVBand="1"/>
      </w:tblPr>
      <w:tblGrid>
        <w:gridCol w:w="6626"/>
        <w:gridCol w:w="1456"/>
        <w:gridCol w:w="1264"/>
      </w:tblGrid>
      <w:tr w:rsidR="00587444" w:rsidRPr="00587444" w14:paraId="579D5570" w14:textId="77777777" w:rsidTr="00DD69E7">
        <w:trPr>
          <w:trHeight w:val="85"/>
        </w:trPr>
        <w:tc>
          <w:tcPr>
            <w:tcW w:w="6626" w:type="dxa"/>
            <w:vAlign w:val="bottom"/>
          </w:tcPr>
          <w:p w14:paraId="368E3863" w14:textId="77777777" w:rsidR="00587444" w:rsidRPr="00587444" w:rsidRDefault="00587444" w:rsidP="00587444">
            <w:pPr>
              <w:suppressAutoHyphens w:val="0"/>
              <w:autoSpaceDN/>
              <w:spacing w:line="220" w:lineRule="exact"/>
              <w:rPr>
                <w:rFonts w:ascii="Arial" w:hAnsi="Arial" w:cs="Arial"/>
                <w:b/>
                <w:bCs/>
                <w:sz w:val="18"/>
                <w:szCs w:val="18"/>
                <w:lang w:val="en-GB"/>
              </w:rPr>
            </w:pPr>
          </w:p>
        </w:tc>
        <w:tc>
          <w:tcPr>
            <w:tcW w:w="1456" w:type="dxa"/>
            <w:noWrap/>
            <w:vAlign w:val="bottom"/>
            <w:hideMark/>
          </w:tcPr>
          <w:p w14:paraId="0916048C"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2022</w:t>
            </w:r>
          </w:p>
        </w:tc>
        <w:tc>
          <w:tcPr>
            <w:tcW w:w="1264" w:type="dxa"/>
            <w:hideMark/>
          </w:tcPr>
          <w:p w14:paraId="2CB93119"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2021</w:t>
            </w:r>
          </w:p>
        </w:tc>
      </w:tr>
      <w:tr w:rsidR="00587444" w:rsidRPr="00587444" w14:paraId="1D1D6331" w14:textId="77777777" w:rsidTr="00DD69E7">
        <w:trPr>
          <w:trHeight w:val="68"/>
        </w:trPr>
        <w:tc>
          <w:tcPr>
            <w:tcW w:w="6626" w:type="dxa"/>
            <w:vAlign w:val="bottom"/>
          </w:tcPr>
          <w:p w14:paraId="49E37CDC" w14:textId="77777777" w:rsidR="00587444" w:rsidRPr="00587444" w:rsidRDefault="00587444" w:rsidP="00587444">
            <w:pPr>
              <w:suppressAutoHyphens w:val="0"/>
              <w:autoSpaceDN/>
              <w:spacing w:line="220" w:lineRule="exact"/>
              <w:rPr>
                <w:rFonts w:ascii="Arial" w:hAnsi="Arial" w:cs="Arial"/>
                <w:b/>
                <w:bCs/>
                <w:sz w:val="18"/>
                <w:szCs w:val="18"/>
                <w:lang w:val="en-GB"/>
              </w:rPr>
            </w:pPr>
          </w:p>
        </w:tc>
        <w:tc>
          <w:tcPr>
            <w:tcW w:w="1456" w:type="dxa"/>
            <w:noWrap/>
            <w:vAlign w:val="bottom"/>
            <w:hideMark/>
          </w:tcPr>
          <w:p w14:paraId="3739CF3A"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HRK ‘000</w:t>
            </w:r>
          </w:p>
        </w:tc>
        <w:tc>
          <w:tcPr>
            <w:tcW w:w="1264" w:type="dxa"/>
            <w:hideMark/>
          </w:tcPr>
          <w:p w14:paraId="3FCFAC9A"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HRK ‘000</w:t>
            </w:r>
          </w:p>
        </w:tc>
      </w:tr>
      <w:tr w:rsidR="00587444" w:rsidRPr="00587444" w14:paraId="693D8252" w14:textId="77777777" w:rsidTr="00DD69E7">
        <w:trPr>
          <w:trHeight w:val="78"/>
        </w:trPr>
        <w:tc>
          <w:tcPr>
            <w:tcW w:w="6626" w:type="dxa"/>
            <w:vAlign w:val="bottom"/>
            <w:hideMark/>
          </w:tcPr>
          <w:p w14:paraId="0B732113" w14:textId="77777777" w:rsidR="00587444" w:rsidRPr="00587444" w:rsidRDefault="00587444" w:rsidP="00587444">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Premium earned</w:t>
            </w:r>
          </w:p>
        </w:tc>
        <w:tc>
          <w:tcPr>
            <w:tcW w:w="1456" w:type="dxa"/>
            <w:noWrap/>
            <w:vAlign w:val="bottom"/>
          </w:tcPr>
          <w:p w14:paraId="5AC89A50"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c>
          <w:tcPr>
            <w:tcW w:w="1264" w:type="dxa"/>
          </w:tcPr>
          <w:p w14:paraId="5CD4C2AE"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r>
      <w:tr w:rsidR="00587444" w:rsidRPr="00587444" w14:paraId="4CC0C57F" w14:textId="77777777" w:rsidTr="00DD69E7">
        <w:trPr>
          <w:trHeight w:val="47"/>
        </w:trPr>
        <w:tc>
          <w:tcPr>
            <w:tcW w:w="6626" w:type="dxa"/>
            <w:vAlign w:val="bottom"/>
            <w:hideMark/>
          </w:tcPr>
          <w:p w14:paraId="77BD8051"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Gross premium written</w:t>
            </w:r>
          </w:p>
        </w:tc>
        <w:tc>
          <w:tcPr>
            <w:tcW w:w="1456" w:type="dxa"/>
            <w:shd w:val="clear" w:color="auto" w:fill="auto"/>
            <w:noWrap/>
            <w:vAlign w:val="bottom"/>
          </w:tcPr>
          <w:p w14:paraId="3BF09F48" w14:textId="77777777" w:rsidR="00587444" w:rsidRPr="00587444" w:rsidRDefault="00587444" w:rsidP="00587444">
            <w:pPr>
              <w:suppressAutoHyphens w:val="0"/>
              <w:autoSpaceDN/>
              <w:spacing w:line="220" w:lineRule="exact"/>
              <w:jc w:val="right"/>
              <w:rPr>
                <w:rFonts w:ascii="Arial" w:hAnsi="Arial" w:cs="Arial"/>
                <w:sz w:val="18"/>
                <w:szCs w:val="18"/>
                <w:lang w:val="hr-HR"/>
              </w:rPr>
            </w:pPr>
            <w:r w:rsidRPr="00587444">
              <w:rPr>
                <w:rFonts w:ascii="Arial" w:hAnsi="Arial" w:cs="Arial"/>
                <w:bCs/>
                <w:color w:val="000000"/>
                <w:sz w:val="18"/>
                <w:szCs w:val="18"/>
              </w:rPr>
              <w:t>19,712</w:t>
            </w:r>
          </w:p>
        </w:tc>
        <w:tc>
          <w:tcPr>
            <w:tcW w:w="1264" w:type="dxa"/>
            <w:shd w:val="clear" w:color="auto" w:fill="auto"/>
          </w:tcPr>
          <w:p w14:paraId="191B70BD"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17,613</w:t>
            </w:r>
          </w:p>
        </w:tc>
      </w:tr>
      <w:tr w:rsidR="00587444" w:rsidRPr="00587444" w14:paraId="3F9D8CEB" w14:textId="77777777" w:rsidTr="00DD69E7">
        <w:trPr>
          <w:trHeight w:val="130"/>
        </w:trPr>
        <w:tc>
          <w:tcPr>
            <w:tcW w:w="6626" w:type="dxa"/>
            <w:vAlign w:val="bottom"/>
            <w:hideMark/>
          </w:tcPr>
          <w:p w14:paraId="1A6573E1"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Premium impairment allowance originated and reserved on collection</w:t>
            </w:r>
          </w:p>
        </w:tc>
        <w:tc>
          <w:tcPr>
            <w:tcW w:w="1456" w:type="dxa"/>
            <w:shd w:val="clear" w:color="auto" w:fill="auto"/>
            <w:noWrap/>
            <w:vAlign w:val="bottom"/>
          </w:tcPr>
          <w:p w14:paraId="411B30F1" w14:textId="77777777" w:rsidR="00587444" w:rsidRPr="00587444" w:rsidRDefault="00587444" w:rsidP="00587444">
            <w:pPr>
              <w:suppressAutoHyphens w:val="0"/>
              <w:autoSpaceDN/>
              <w:spacing w:line="220" w:lineRule="exact"/>
              <w:jc w:val="right"/>
              <w:rPr>
                <w:rFonts w:ascii="Arial" w:hAnsi="Arial" w:cs="Arial"/>
                <w:sz w:val="18"/>
                <w:szCs w:val="18"/>
                <w:lang w:val="hr-HR"/>
              </w:rPr>
            </w:pPr>
            <w:r w:rsidRPr="00587444">
              <w:rPr>
                <w:rFonts w:ascii="Arial" w:hAnsi="Arial" w:cs="Arial"/>
                <w:bCs/>
                <w:color w:val="000000"/>
                <w:sz w:val="18"/>
                <w:szCs w:val="18"/>
              </w:rPr>
              <w:t xml:space="preserve"> (6)</w:t>
            </w:r>
          </w:p>
        </w:tc>
        <w:tc>
          <w:tcPr>
            <w:tcW w:w="1264" w:type="dxa"/>
            <w:shd w:val="clear" w:color="auto" w:fill="auto"/>
          </w:tcPr>
          <w:p w14:paraId="4B315BDA"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(18)</w:t>
            </w:r>
          </w:p>
        </w:tc>
      </w:tr>
      <w:tr w:rsidR="00587444" w:rsidRPr="00587444" w14:paraId="5E79DCFD" w14:textId="77777777" w:rsidTr="00DD69E7">
        <w:trPr>
          <w:trHeight w:val="132"/>
        </w:trPr>
        <w:tc>
          <w:tcPr>
            <w:tcW w:w="6626" w:type="dxa"/>
            <w:vAlign w:val="bottom"/>
            <w:hideMark/>
          </w:tcPr>
          <w:p w14:paraId="1A33DB3B"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Gross outward reinsurance premium</w:t>
            </w:r>
          </w:p>
        </w:tc>
        <w:tc>
          <w:tcPr>
            <w:tcW w:w="1456" w:type="dxa"/>
            <w:shd w:val="clear" w:color="auto" w:fill="auto"/>
            <w:noWrap/>
            <w:vAlign w:val="bottom"/>
          </w:tcPr>
          <w:p w14:paraId="526E2154" w14:textId="77777777" w:rsidR="00587444" w:rsidRPr="00587444" w:rsidRDefault="00587444" w:rsidP="00587444">
            <w:pPr>
              <w:suppressAutoHyphens w:val="0"/>
              <w:autoSpaceDN/>
              <w:spacing w:line="220" w:lineRule="exact"/>
              <w:jc w:val="right"/>
              <w:rPr>
                <w:rFonts w:ascii="Arial" w:hAnsi="Arial" w:cs="Arial"/>
                <w:sz w:val="18"/>
                <w:szCs w:val="18"/>
                <w:lang w:val="hr-HR"/>
              </w:rPr>
            </w:pPr>
            <w:r w:rsidRPr="00587444">
              <w:rPr>
                <w:rFonts w:ascii="Arial" w:hAnsi="Arial" w:cs="Arial"/>
                <w:bCs/>
                <w:color w:val="000000"/>
                <w:sz w:val="18"/>
                <w:szCs w:val="18"/>
              </w:rPr>
              <w:t xml:space="preserve"> (8,277)</w:t>
            </w:r>
          </w:p>
        </w:tc>
        <w:tc>
          <w:tcPr>
            <w:tcW w:w="1264" w:type="dxa"/>
            <w:shd w:val="clear" w:color="auto" w:fill="auto"/>
          </w:tcPr>
          <w:p w14:paraId="66016483"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(8,046)</w:t>
            </w:r>
          </w:p>
        </w:tc>
      </w:tr>
      <w:tr w:rsidR="00587444" w:rsidRPr="00587444" w14:paraId="68B42F4A" w14:textId="77777777" w:rsidTr="00DD69E7">
        <w:trPr>
          <w:trHeight w:val="118"/>
        </w:trPr>
        <w:tc>
          <w:tcPr>
            <w:tcW w:w="6626" w:type="dxa"/>
            <w:vAlign w:val="bottom"/>
            <w:hideMark/>
          </w:tcPr>
          <w:p w14:paraId="041FC93B" w14:textId="77777777" w:rsidR="00587444" w:rsidRPr="00587444" w:rsidRDefault="00587444" w:rsidP="00587444">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Net premium written</w:t>
            </w:r>
          </w:p>
        </w:tc>
        <w:tc>
          <w:tcPr>
            <w:tcW w:w="1456" w:type="dxa"/>
            <w:tcBorders>
              <w:top w:val="single" w:sz="4" w:space="0" w:color="auto"/>
              <w:left w:val="nil"/>
              <w:bottom w:val="single" w:sz="12" w:space="0" w:color="auto"/>
              <w:right w:val="nil"/>
            </w:tcBorders>
            <w:shd w:val="clear" w:color="auto" w:fill="auto"/>
            <w:noWrap/>
            <w:vAlign w:val="bottom"/>
          </w:tcPr>
          <w:p w14:paraId="52777E73" w14:textId="77777777" w:rsidR="00587444" w:rsidRPr="00587444" w:rsidRDefault="00587444" w:rsidP="00587444">
            <w:pPr>
              <w:suppressAutoHyphens w:val="0"/>
              <w:autoSpaceDN/>
              <w:spacing w:line="220" w:lineRule="exact"/>
              <w:jc w:val="right"/>
              <w:rPr>
                <w:rFonts w:ascii="Arial" w:hAnsi="Arial" w:cs="Arial"/>
                <w:b/>
                <w:bCs/>
                <w:sz w:val="18"/>
                <w:szCs w:val="18"/>
                <w:lang w:val="hr-HR"/>
              </w:rPr>
            </w:pPr>
            <w:r w:rsidRPr="00587444">
              <w:rPr>
                <w:rFonts w:ascii="Arial" w:hAnsi="Arial" w:cs="Arial"/>
                <w:b/>
                <w:bCs/>
                <w:color w:val="000000"/>
                <w:sz w:val="18"/>
                <w:szCs w:val="18"/>
                <w:lang w:val="hr-HR"/>
              </w:rPr>
              <w:t>11,429</w:t>
            </w:r>
          </w:p>
        </w:tc>
        <w:tc>
          <w:tcPr>
            <w:tcW w:w="1264" w:type="dxa"/>
            <w:tcBorders>
              <w:top w:val="single" w:sz="4" w:space="0" w:color="auto"/>
              <w:left w:val="nil"/>
              <w:bottom w:val="single" w:sz="12" w:space="0" w:color="auto"/>
              <w:right w:val="nil"/>
            </w:tcBorders>
            <w:shd w:val="clear" w:color="auto" w:fill="auto"/>
          </w:tcPr>
          <w:p w14:paraId="4D3AED73"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rPr>
              <w:t>9,549</w:t>
            </w:r>
          </w:p>
        </w:tc>
      </w:tr>
      <w:tr w:rsidR="00587444" w:rsidRPr="00587444" w14:paraId="48978203" w14:textId="77777777" w:rsidTr="00DD69E7">
        <w:trPr>
          <w:trHeight w:val="42"/>
        </w:trPr>
        <w:tc>
          <w:tcPr>
            <w:tcW w:w="6626" w:type="dxa"/>
            <w:vAlign w:val="bottom"/>
          </w:tcPr>
          <w:p w14:paraId="638713E8"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456" w:type="dxa"/>
            <w:tcBorders>
              <w:top w:val="single" w:sz="12" w:space="0" w:color="auto"/>
              <w:left w:val="nil"/>
              <w:bottom w:val="nil"/>
              <w:right w:val="nil"/>
            </w:tcBorders>
            <w:shd w:val="clear" w:color="auto" w:fill="auto"/>
            <w:noWrap/>
            <w:vAlign w:val="bottom"/>
          </w:tcPr>
          <w:p w14:paraId="501385F2"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c>
          <w:tcPr>
            <w:tcW w:w="1264" w:type="dxa"/>
            <w:tcBorders>
              <w:top w:val="single" w:sz="12" w:space="0" w:color="auto"/>
              <w:left w:val="nil"/>
              <w:bottom w:val="nil"/>
              <w:right w:val="nil"/>
            </w:tcBorders>
            <w:shd w:val="clear" w:color="auto" w:fill="auto"/>
          </w:tcPr>
          <w:p w14:paraId="18066684"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r>
      <w:tr w:rsidR="00587444" w:rsidRPr="00587444" w14:paraId="00E939B8" w14:textId="77777777" w:rsidTr="00DD69E7">
        <w:trPr>
          <w:trHeight w:val="107"/>
        </w:trPr>
        <w:tc>
          <w:tcPr>
            <w:tcW w:w="6626" w:type="dxa"/>
            <w:vAlign w:val="bottom"/>
            <w:hideMark/>
          </w:tcPr>
          <w:p w14:paraId="77637F6F"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Changes in the gross unearned premium reserve</w:t>
            </w:r>
          </w:p>
        </w:tc>
        <w:tc>
          <w:tcPr>
            <w:tcW w:w="1456" w:type="dxa"/>
            <w:shd w:val="clear" w:color="auto" w:fill="auto"/>
            <w:noWrap/>
            <w:vAlign w:val="bottom"/>
          </w:tcPr>
          <w:p w14:paraId="3F1CB711" w14:textId="77777777" w:rsidR="00587444" w:rsidRPr="00587444" w:rsidRDefault="00587444" w:rsidP="00587444">
            <w:pPr>
              <w:suppressAutoHyphens w:val="0"/>
              <w:autoSpaceDN/>
              <w:spacing w:line="220" w:lineRule="exact"/>
              <w:jc w:val="right"/>
              <w:rPr>
                <w:rFonts w:ascii="Arial" w:hAnsi="Arial" w:cs="Arial"/>
                <w:sz w:val="18"/>
                <w:szCs w:val="18"/>
              </w:rPr>
            </w:pPr>
            <w:r w:rsidRPr="00587444">
              <w:rPr>
                <w:rFonts w:ascii="Arial" w:hAnsi="Arial" w:cs="Arial"/>
                <w:color w:val="000000"/>
                <w:sz w:val="18"/>
                <w:szCs w:val="18"/>
                <w:lang w:val="hr-HR"/>
              </w:rPr>
              <w:t>(3)</w:t>
            </w:r>
          </w:p>
        </w:tc>
        <w:tc>
          <w:tcPr>
            <w:tcW w:w="1264" w:type="dxa"/>
            <w:shd w:val="clear" w:color="auto" w:fill="auto"/>
          </w:tcPr>
          <w:p w14:paraId="4BA7D6D3"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(2,993)</w:t>
            </w:r>
          </w:p>
        </w:tc>
      </w:tr>
      <w:tr w:rsidR="00587444" w:rsidRPr="00587444" w14:paraId="3123E69E" w14:textId="77777777" w:rsidTr="00DD69E7">
        <w:trPr>
          <w:trHeight w:val="183"/>
        </w:trPr>
        <w:tc>
          <w:tcPr>
            <w:tcW w:w="6626" w:type="dxa"/>
            <w:vAlign w:val="bottom"/>
            <w:hideMark/>
          </w:tcPr>
          <w:p w14:paraId="0E57EBE3"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Changes in the gross unearned premium reserve, reinsurer's share</w:t>
            </w:r>
          </w:p>
        </w:tc>
        <w:tc>
          <w:tcPr>
            <w:tcW w:w="1456" w:type="dxa"/>
            <w:tcBorders>
              <w:top w:val="nil"/>
              <w:left w:val="nil"/>
              <w:bottom w:val="single" w:sz="4" w:space="0" w:color="auto"/>
              <w:right w:val="nil"/>
            </w:tcBorders>
            <w:shd w:val="clear" w:color="auto" w:fill="auto"/>
            <w:noWrap/>
            <w:vAlign w:val="bottom"/>
          </w:tcPr>
          <w:p w14:paraId="5E01251A" w14:textId="77777777" w:rsidR="00587444" w:rsidRPr="00587444" w:rsidRDefault="00587444" w:rsidP="00587444">
            <w:pPr>
              <w:suppressAutoHyphens w:val="0"/>
              <w:autoSpaceDN/>
              <w:spacing w:line="220" w:lineRule="exact"/>
              <w:jc w:val="right"/>
              <w:rPr>
                <w:rFonts w:ascii="Arial" w:hAnsi="Arial" w:cs="Arial"/>
                <w:sz w:val="18"/>
                <w:szCs w:val="18"/>
              </w:rPr>
            </w:pPr>
            <w:r w:rsidRPr="00587444">
              <w:rPr>
                <w:rFonts w:ascii="Arial" w:hAnsi="Arial" w:cs="Arial"/>
                <w:color w:val="000000"/>
                <w:sz w:val="18"/>
                <w:szCs w:val="18"/>
                <w:lang w:val="hr-HR"/>
              </w:rPr>
              <w:t>(501)</w:t>
            </w:r>
          </w:p>
        </w:tc>
        <w:tc>
          <w:tcPr>
            <w:tcW w:w="1264" w:type="dxa"/>
            <w:tcBorders>
              <w:top w:val="nil"/>
              <w:left w:val="nil"/>
              <w:bottom w:val="single" w:sz="4" w:space="0" w:color="auto"/>
              <w:right w:val="nil"/>
            </w:tcBorders>
            <w:shd w:val="clear" w:color="auto" w:fill="auto"/>
          </w:tcPr>
          <w:p w14:paraId="6CF94047"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1,424</w:t>
            </w:r>
          </w:p>
        </w:tc>
      </w:tr>
      <w:tr w:rsidR="00587444" w:rsidRPr="00587444" w14:paraId="05531D35" w14:textId="77777777" w:rsidTr="00DD69E7">
        <w:trPr>
          <w:trHeight w:val="137"/>
        </w:trPr>
        <w:tc>
          <w:tcPr>
            <w:tcW w:w="6626" w:type="dxa"/>
            <w:vAlign w:val="bottom"/>
            <w:hideMark/>
          </w:tcPr>
          <w:p w14:paraId="49531AEF"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Net premium earned</w:t>
            </w:r>
          </w:p>
        </w:tc>
        <w:tc>
          <w:tcPr>
            <w:tcW w:w="1456" w:type="dxa"/>
            <w:tcBorders>
              <w:top w:val="nil"/>
              <w:left w:val="nil"/>
              <w:bottom w:val="single" w:sz="12" w:space="0" w:color="auto"/>
              <w:right w:val="nil"/>
            </w:tcBorders>
            <w:shd w:val="clear" w:color="auto" w:fill="auto"/>
            <w:noWrap/>
            <w:vAlign w:val="bottom"/>
          </w:tcPr>
          <w:p w14:paraId="143D0D02"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lang w:val="hr-HR"/>
              </w:rPr>
              <w:t>10,925</w:t>
            </w:r>
          </w:p>
        </w:tc>
        <w:tc>
          <w:tcPr>
            <w:tcW w:w="1264" w:type="dxa"/>
            <w:tcBorders>
              <w:top w:val="nil"/>
              <w:left w:val="nil"/>
              <w:bottom w:val="single" w:sz="12" w:space="0" w:color="auto"/>
              <w:right w:val="nil"/>
            </w:tcBorders>
            <w:shd w:val="clear" w:color="auto" w:fill="auto"/>
          </w:tcPr>
          <w:p w14:paraId="0528B276"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rPr>
              <w:t>7,980</w:t>
            </w:r>
          </w:p>
        </w:tc>
      </w:tr>
      <w:tr w:rsidR="00587444" w:rsidRPr="00587444" w14:paraId="2D761491" w14:textId="77777777" w:rsidTr="00DD69E7">
        <w:trPr>
          <w:trHeight w:val="40"/>
        </w:trPr>
        <w:tc>
          <w:tcPr>
            <w:tcW w:w="6626" w:type="dxa"/>
            <w:vAlign w:val="bottom"/>
          </w:tcPr>
          <w:p w14:paraId="6094208A"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456" w:type="dxa"/>
            <w:tcBorders>
              <w:top w:val="single" w:sz="12" w:space="0" w:color="auto"/>
              <w:left w:val="nil"/>
              <w:bottom w:val="nil"/>
              <w:right w:val="nil"/>
            </w:tcBorders>
            <w:shd w:val="clear" w:color="auto" w:fill="auto"/>
            <w:noWrap/>
            <w:vAlign w:val="bottom"/>
          </w:tcPr>
          <w:p w14:paraId="2DB1475E"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c>
          <w:tcPr>
            <w:tcW w:w="1264" w:type="dxa"/>
            <w:tcBorders>
              <w:top w:val="single" w:sz="12" w:space="0" w:color="auto"/>
              <w:left w:val="nil"/>
              <w:bottom w:val="nil"/>
              <w:right w:val="nil"/>
            </w:tcBorders>
            <w:shd w:val="clear" w:color="auto" w:fill="auto"/>
          </w:tcPr>
          <w:p w14:paraId="050BB6F2"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r>
      <w:tr w:rsidR="00587444" w:rsidRPr="00587444" w14:paraId="35EDC048" w14:textId="77777777" w:rsidTr="00DD69E7">
        <w:trPr>
          <w:trHeight w:val="159"/>
        </w:trPr>
        <w:tc>
          <w:tcPr>
            <w:tcW w:w="6626" w:type="dxa"/>
            <w:vAlign w:val="bottom"/>
            <w:hideMark/>
          </w:tcPr>
          <w:p w14:paraId="25FFD06D" w14:textId="77777777" w:rsidR="00587444" w:rsidRPr="00587444" w:rsidRDefault="00587444" w:rsidP="00587444">
            <w:pPr>
              <w:suppressAutoHyphens w:val="0"/>
              <w:autoSpaceDN/>
              <w:spacing w:line="220" w:lineRule="exact"/>
              <w:rPr>
                <w:rFonts w:ascii="Arial" w:hAnsi="Arial" w:cs="Arial"/>
                <w:bCs/>
                <w:sz w:val="18"/>
                <w:szCs w:val="18"/>
                <w:lang w:val="en-GB"/>
              </w:rPr>
            </w:pPr>
            <w:r w:rsidRPr="00587444">
              <w:rPr>
                <w:rFonts w:ascii="Arial" w:hAnsi="Arial" w:cs="Arial"/>
                <w:bCs/>
                <w:sz w:val="18"/>
                <w:szCs w:val="18"/>
                <w:lang w:val="en-GB"/>
              </w:rPr>
              <w:t>Fee and commission income</w:t>
            </w:r>
          </w:p>
        </w:tc>
        <w:tc>
          <w:tcPr>
            <w:tcW w:w="1456" w:type="dxa"/>
            <w:shd w:val="clear" w:color="auto" w:fill="auto"/>
            <w:noWrap/>
            <w:vAlign w:val="bottom"/>
          </w:tcPr>
          <w:p w14:paraId="61EB9F97" w14:textId="77777777" w:rsidR="00587444" w:rsidRPr="00587444" w:rsidRDefault="00587444" w:rsidP="00587444">
            <w:pPr>
              <w:suppressAutoHyphens w:val="0"/>
              <w:autoSpaceDN/>
              <w:spacing w:line="220" w:lineRule="exact"/>
              <w:jc w:val="right"/>
              <w:rPr>
                <w:rFonts w:ascii="Arial" w:hAnsi="Arial" w:cs="Arial"/>
                <w:sz w:val="18"/>
                <w:szCs w:val="18"/>
              </w:rPr>
            </w:pPr>
            <w:r w:rsidRPr="00587444">
              <w:rPr>
                <w:rFonts w:ascii="Arial" w:hAnsi="Arial" w:cs="Arial"/>
                <w:bCs/>
                <w:color w:val="000000"/>
                <w:sz w:val="18"/>
                <w:szCs w:val="18"/>
              </w:rPr>
              <w:t>3,877</w:t>
            </w:r>
          </w:p>
        </w:tc>
        <w:tc>
          <w:tcPr>
            <w:tcW w:w="1264" w:type="dxa"/>
            <w:shd w:val="clear" w:color="auto" w:fill="auto"/>
          </w:tcPr>
          <w:p w14:paraId="27565453"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rPr>
              <w:t>3,318</w:t>
            </w:r>
          </w:p>
        </w:tc>
      </w:tr>
      <w:tr w:rsidR="00587444" w:rsidRPr="00587444" w14:paraId="27267848" w14:textId="77777777" w:rsidTr="00DD69E7">
        <w:trPr>
          <w:trHeight w:val="141"/>
        </w:trPr>
        <w:tc>
          <w:tcPr>
            <w:tcW w:w="6626" w:type="dxa"/>
            <w:vAlign w:val="bottom"/>
            <w:hideMark/>
          </w:tcPr>
          <w:p w14:paraId="7CF6529C"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investment income</w:t>
            </w:r>
          </w:p>
        </w:tc>
        <w:tc>
          <w:tcPr>
            <w:tcW w:w="1456" w:type="dxa"/>
            <w:shd w:val="clear" w:color="auto" w:fill="auto"/>
            <w:noWrap/>
            <w:vAlign w:val="bottom"/>
          </w:tcPr>
          <w:p w14:paraId="10CC1D51" w14:textId="77777777" w:rsidR="00587444" w:rsidRPr="00587444" w:rsidRDefault="00587444" w:rsidP="00587444">
            <w:pPr>
              <w:suppressAutoHyphens w:val="0"/>
              <w:autoSpaceDN/>
              <w:spacing w:line="220" w:lineRule="exact"/>
              <w:jc w:val="right"/>
              <w:rPr>
                <w:rFonts w:ascii="Arial" w:hAnsi="Arial" w:cs="Arial"/>
                <w:sz w:val="18"/>
                <w:szCs w:val="18"/>
              </w:rPr>
            </w:pPr>
            <w:r w:rsidRPr="00587444">
              <w:rPr>
                <w:rFonts w:ascii="Arial" w:hAnsi="Arial" w:cs="Arial"/>
                <w:bCs/>
                <w:color w:val="000000"/>
                <w:sz w:val="18"/>
                <w:szCs w:val="18"/>
              </w:rPr>
              <w:t>1,339</w:t>
            </w:r>
          </w:p>
        </w:tc>
        <w:tc>
          <w:tcPr>
            <w:tcW w:w="1264" w:type="dxa"/>
            <w:shd w:val="clear" w:color="auto" w:fill="auto"/>
          </w:tcPr>
          <w:p w14:paraId="018D5C9C"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rPr>
              <w:t>1,206</w:t>
            </w:r>
          </w:p>
        </w:tc>
      </w:tr>
      <w:tr w:rsidR="00587444" w:rsidRPr="00587444" w14:paraId="23526032" w14:textId="77777777" w:rsidTr="00DD69E7">
        <w:trPr>
          <w:trHeight w:val="134"/>
        </w:trPr>
        <w:tc>
          <w:tcPr>
            <w:tcW w:w="6626" w:type="dxa"/>
            <w:vAlign w:val="bottom"/>
            <w:hideMark/>
          </w:tcPr>
          <w:p w14:paraId="09E1310F"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Other operating income</w:t>
            </w:r>
          </w:p>
        </w:tc>
        <w:tc>
          <w:tcPr>
            <w:tcW w:w="1456" w:type="dxa"/>
            <w:tcBorders>
              <w:top w:val="nil"/>
              <w:left w:val="nil"/>
              <w:bottom w:val="single" w:sz="4" w:space="0" w:color="auto"/>
              <w:right w:val="nil"/>
            </w:tcBorders>
            <w:shd w:val="clear" w:color="auto" w:fill="auto"/>
            <w:noWrap/>
            <w:vAlign w:val="bottom"/>
          </w:tcPr>
          <w:p w14:paraId="1F23D5B2" w14:textId="77777777" w:rsidR="00587444" w:rsidRPr="00587444" w:rsidRDefault="00587444" w:rsidP="00587444">
            <w:pPr>
              <w:suppressAutoHyphens w:val="0"/>
              <w:autoSpaceDN/>
              <w:spacing w:line="220" w:lineRule="exact"/>
              <w:jc w:val="right"/>
              <w:rPr>
                <w:rFonts w:ascii="Arial" w:hAnsi="Arial" w:cs="Arial"/>
                <w:sz w:val="18"/>
                <w:szCs w:val="18"/>
              </w:rPr>
            </w:pPr>
            <w:r w:rsidRPr="00587444">
              <w:rPr>
                <w:rFonts w:ascii="Arial" w:hAnsi="Arial" w:cs="Arial"/>
                <w:bCs/>
                <w:color w:val="000000"/>
                <w:sz w:val="18"/>
                <w:szCs w:val="18"/>
              </w:rPr>
              <w:t>76</w:t>
            </w:r>
          </w:p>
        </w:tc>
        <w:tc>
          <w:tcPr>
            <w:tcW w:w="1264" w:type="dxa"/>
            <w:tcBorders>
              <w:top w:val="nil"/>
              <w:left w:val="nil"/>
              <w:bottom w:val="single" w:sz="4" w:space="0" w:color="auto"/>
              <w:right w:val="nil"/>
            </w:tcBorders>
            <w:shd w:val="clear" w:color="auto" w:fill="auto"/>
          </w:tcPr>
          <w:p w14:paraId="3CC9C333"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bCs/>
                <w:color w:val="000000"/>
                <w:sz w:val="18"/>
                <w:szCs w:val="18"/>
              </w:rPr>
              <w:t>78</w:t>
            </w:r>
          </w:p>
        </w:tc>
      </w:tr>
      <w:tr w:rsidR="00587444" w:rsidRPr="00587444" w14:paraId="3DC83B29" w14:textId="77777777" w:rsidTr="00DD69E7">
        <w:trPr>
          <w:trHeight w:val="120"/>
        </w:trPr>
        <w:tc>
          <w:tcPr>
            <w:tcW w:w="6626" w:type="dxa"/>
            <w:vAlign w:val="bottom"/>
            <w:hideMark/>
          </w:tcPr>
          <w:p w14:paraId="2A412619"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Net income</w:t>
            </w:r>
          </w:p>
        </w:tc>
        <w:tc>
          <w:tcPr>
            <w:tcW w:w="1456" w:type="dxa"/>
            <w:tcBorders>
              <w:top w:val="single" w:sz="4" w:space="0" w:color="auto"/>
              <w:left w:val="nil"/>
              <w:bottom w:val="single" w:sz="12" w:space="0" w:color="auto"/>
              <w:right w:val="nil"/>
            </w:tcBorders>
            <w:shd w:val="clear" w:color="auto" w:fill="auto"/>
            <w:noWrap/>
            <w:vAlign w:val="bottom"/>
          </w:tcPr>
          <w:p w14:paraId="205F4EF2" w14:textId="77777777" w:rsidR="00587444" w:rsidRPr="00587444" w:rsidRDefault="00587444" w:rsidP="00587444">
            <w:pPr>
              <w:suppressAutoHyphens w:val="0"/>
              <w:autoSpaceDN/>
              <w:spacing w:line="220" w:lineRule="exact"/>
              <w:jc w:val="right"/>
              <w:rPr>
                <w:rFonts w:ascii="Arial" w:hAnsi="Arial" w:cs="Arial"/>
                <w:b/>
                <w:bCs/>
                <w:sz w:val="18"/>
                <w:szCs w:val="18"/>
                <w:lang w:val="hr-HR"/>
              </w:rPr>
            </w:pPr>
            <w:r w:rsidRPr="00587444">
              <w:rPr>
                <w:rFonts w:ascii="Arial" w:hAnsi="Arial" w:cs="Arial"/>
                <w:b/>
                <w:bCs/>
                <w:color w:val="000000"/>
                <w:sz w:val="18"/>
                <w:szCs w:val="18"/>
                <w:lang w:val="hr-HR"/>
              </w:rPr>
              <w:t>16,217</w:t>
            </w:r>
          </w:p>
        </w:tc>
        <w:tc>
          <w:tcPr>
            <w:tcW w:w="1264" w:type="dxa"/>
            <w:tcBorders>
              <w:top w:val="single" w:sz="4" w:space="0" w:color="auto"/>
              <w:left w:val="nil"/>
              <w:bottom w:val="single" w:sz="12" w:space="0" w:color="auto"/>
              <w:right w:val="nil"/>
            </w:tcBorders>
            <w:shd w:val="clear" w:color="auto" w:fill="auto"/>
          </w:tcPr>
          <w:p w14:paraId="036466CB"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color w:val="000000"/>
                <w:sz w:val="18"/>
                <w:szCs w:val="18"/>
              </w:rPr>
              <w:t>12,582</w:t>
            </w:r>
          </w:p>
        </w:tc>
      </w:tr>
      <w:tr w:rsidR="00587444" w:rsidRPr="00587444" w14:paraId="076FA3DF" w14:textId="77777777" w:rsidTr="00DD69E7">
        <w:trPr>
          <w:trHeight w:val="57"/>
        </w:trPr>
        <w:tc>
          <w:tcPr>
            <w:tcW w:w="6626" w:type="dxa"/>
            <w:vAlign w:val="bottom"/>
          </w:tcPr>
          <w:p w14:paraId="45925D53"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456" w:type="dxa"/>
            <w:tcBorders>
              <w:top w:val="single" w:sz="12" w:space="0" w:color="auto"/>
              <w:left w:val="nil"/>
              <w:bottom w:val="nil"/>
              <w:right w:val="nil"/>
            </w:tcBorders>
            <w:shd w:val="clear" w:color="auto" w:fill="auto"/>
            <w:noWrap/>
            <w:vAlign w:val="bottom"/>
          </w:tcPr>
          <w:p w14:paraId="1B13134B"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c>
          <w:tcPr>
            <w:tcW w:w="1264" w:type="dxa"/>
            <w:tcBorders>
              <w:top w:val="single" w:sz="12" w:space="0" w:color="auto"/>
              <w:left w:val="nil"/>
              <w:bottom w:val="nil"/>
              <w:right w:val="nil"/>
            </w:tcBorders>
            <w:shd w:val="clear" w:color="auto" w:fill="auto"/>
          </w:tcPr>
          <w:p w14:paraId="45D7EB6E"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r>
      <w:tr w:rsidR="00587444" w:rsidRPr="00587444" w14:paraId="026743AC" w14:textId="77777777" w:rsidTr="00DD69E7">
        <w:trPr>
          <w:trHeight w:val="118"/>
        </w:trPr>
        <w:tc>
          <w:tcPr>
            <w:tcW w:w="6626" w:type="dxa"/>
            <w:vAlign w:val="bottom"/>
            <w:hideMark/>
          </w:tcPr>
          <w:p w14:paraId="60EE4B5F"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Gross expense for returned premiums</w:t>
            </w:r>
          </w:p>
        </w:tc>
        <w:tc>
          <w:tcPr>
            <w:tcW w:w="1456" w:type="dxa"/>
            <w:shd w:val="clear" w:color="auto" w:fill="auto"/>
            <w:noWrap/>
            <w:vAlign w:val="bottom"/>
          </w:tcPr>
          <w:p w14:paraId="30CE5F8B"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 xml:space="preserve"> (1,116)</w:t>
            </w:r>
          </w:p>
        </w:tc>
        <w:tc>
          <w:tcPr>
            <w:tcW w:w="1264" w:type="dxa"/>
            <w:shd w:val="clear" w:color="auto" w:fill="auto"/>
          </w:tcPr>
          <w:p w14:paraId="78341DC7"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(640)</w:t>
            </w:r>
          </w:p>
        </w:tc>
      </w:tr>
      <w:tr w:rsidR="00587444" w:rsidRPr="00587444" w14:paraId="0ED95B8B" w14:textId="77777777" w:rsidTr="00DD69E7">
        <w:trPr>
          <w:trHeight w:val="162"/>
        </w:trPr>
        <w:tc>
          <w:tcPr>
            <w:tcW w:w="6626" w:type="dxa"/>
            <w:vAlign w:val="bottom"/>
            <w:hideMark/>
          </w:tcPr>
          <w:p w14:paraId="4E9BD202"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Reinsurer's share</w:t>
            </w:r>
          </w:p>
        </w:tc>
        <w:tc>
          <w:tcPr>
            <w:tcW w:w="1456" w:type="dxa"/>
            <w:shd w:val="clear" w:color="auto" w:fill="auto"/>
            <w:noWrap/>
            <w:vAlign w:val="bottom"/>
          </w:tcPr>
          <w:p w14:paraId="4AD47D3B"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514</w:t>
            </w:r>
          </w:p>
        </w:tc>
        <w:tc>
          <w:tcPr>
            <w:tcW w:w="1264" w:type="dxa"/>
            <w:shd w:val="clear" w:color="auto" w:fill="auto"/>
          </w:tcPr>
          <w:p w14:paraId="54D51D7E"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286</w:t>
            </w:r>
          </w:p>
        </w:tc>
      </w:tr>
      <w:tr w:rsidR="00587444" w:rsidRPr="00587444" w14:paraId="30B1ECF0" w14:textId="77777777" w:rsidTr="00DD69E7">
        <w:trPr>
          <w:trHeight w:val="206"/>
        </w:trPr>
        <w:tc>
          <w:tcPr>
            <w:tcW w:w="6626" w:type="dxa"/>
            <w:vAlign w:val="bottom"/>
            <w:hideMark/>
          </w:tcPr>
          <w:p w14:paraId="4399A522"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Gross reserve for returned premiums</w:t>
            </w:r>
          </w:p>
        </w:tc>
        <w:tc>
          <w:tcPr>
            <w:tcW w:w="1456" w:type="dxa"/>
            <w:shd w:val="clear" w:color="auto" w:fill="auto"/>
            <w:noWrap/>
            <w:vAlign w:val="bottom"/>
          </w:tcPr>
          <w:p w14:paraId="7860E7AF"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(721)</w:t>
            </w:r>
          </w:p>
        </w:tc>
        <w:tc>
          <w:tcPr>
            <w:tcW w:w="1264" w:type="dxa"/>
            <w:shd w:val="clear" w:color="auto" w:fill="auto"/>
          </w:tcPr>
          <w:p w14:paraId="38A518B7"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(606)</w:t>
            </w:r>
          </w:p>
        </w:tc>
      </w:tr>
      <w:tr w:rsidR="00587444" w:rsidRPr="00587444" w14:paraId="2074C00A" w14:textId="77777777" w:rsidTr="00DD69E7">
        <w:trPr>
          <w:trHeight w:val="95"/>
        </w:trPr>
        <w:tc>
          <w:tcPr>
            <w:tcW w:w="6626" w:type="dxa"/>
            <w:vAlign w:val="bottom"/>
            <w:hideMark/>
          </w:tcPr>
          <w:p w14:paraId="34DB7F77"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Reinsurer's share</w:t>
            </w:r>
          </w:p>
        </w:tc>
        <w:tc>
          <w:tcPr>
            <w:tcW w:w="1456" w:type="dxa"/>
            <w:tcBorders>
              <w:top w:val="nil"/>
              <w:left w:val="nil"/>
              <w:bottom w:val="single" w:sz="4" w:space="0" w:color="auto"/>
              <w:right w:val="nil"/>
            </w:tcBorders>
            <w:shd w:val="clear" w:color="auto" w:fill="auto"/>
            <w:noWrap/>
            <w:vAlign w:val="bottom"/>
          </w:tcPr>
          <w:p w14:paraId="63B5CE9F"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 xml:space="preserve"> 264 </w:t>
            </w:r>
          </w:p>
        </w:tc>
        <w:tc>
          <w:tcPr>
            <w:tcW w:w="1264" w:type="dxa"/>
            <w:tcBorders>
              <w:top w:val="nil"/>
              <w:left w:val="nil"/>
              <w:bottom w:val="single" w:sz="4" w:space="0" w:color="auto"/>
              <w:right w:val="nil"/>
            </w:tcBorders>
            <w:shd w:val="clear" w:color="auto" w:fill="auto"/>
          </w:tcPr>
          <w:p w14:paraId="50C49429"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295</w:t>
            </w:r>
          </w:p>
        </w:tc>
      </w:tr>
      <w:tr w:rsidR="00587444" w:rsidRPr="00587444" w14:paraId="00E2A4E7" w14:textId="77777777" w:rsidTr="00DD69E7">
        <w:trPr>
          <w:trHeight w:val="132"/>
        </w:trPr>
        <w:tc>
          <w:tcPr>
            <w:tcW w:w="6626" w:type="dxa"/>
            <w:vAlign w:val="bottom"/>
            <w:hideMark/>
          </w:tcPr>
          <w:p w14:paraId="39F7FCA0"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Net expense and reserve for returned premiums</w:t>
            </w:r>
          </w:p>
        </w:tc>
        <w:tc>
          <w:tcPr>
            <w:tcW w:w="1456" w:type="dxa"/>
            <w:tcBorders>
              <w:top w:val="single" w:sz="4" w:space="0" w:color="auto"/>
              <w:left w:val="nil"/>
              <w:bottom w:val="single" w:sz="12" w:space="0" w:color="auto"/>
              <w:right w:val="nil"/>
            </w:tcBorders>
            <w:shd w:val="clear" w:color="auto" w:fill="auto"/>
            <w:noWrap/>
            <w:vAlign w:val="bottom"/>
          </w:tcPr>
          <w:p w14:paraId="79A35A6B" w14:textId="77777777" w:rsidR="00587444" w:rsidRPr="00587444" w:rsidRDefault="00587444" w:rsidP="00587444">
            <w:pPr>
              <w:suppressAutoHyphens w:val="0"/>
              <w:autoSpaceDN/>
              <w:spacing w:line="220" w:lineRule="exact"/>
              <w:jc w:val="right"/>
              <w:rPr>
                <w:rFonts w:ascii="Arial" w:hAnsi="Arial" w:cs="Arial"/>
                <w:b/>
                <w:sz w:val="18"/>
                <w:szCs w:val="18"/>
                <w:lang w:val="en-GB"/>
              </w:rPr>
            </w:pPr>
            <w:r w:rsidRPr="00587444">
              <w:rPr>
                <w:rFonts w:ascii="Arial" w:hAnsi="Arial" w:cs="Arial"/>
                <w:b/>
                <w:color w:val="000000"/>
                <w:sz w:val="18"/>
                <w:szCs w:val="18"/>
                <w:lang w:val="hr-HR"/>
              </w:rPr>
              <w:t>(1,059)</w:t>
            </w:r>
          </w:p>
        </w:tc>
        <w:tc>
          <w:tcPr>
            <w:tcW w:w="1264" w:type="dxa"/>
            <w:tcBorders>
              <w:top w:val="single" w:sz="4" w:space="0" w:color="auto"/>
              <w:left w:val="nil"/>
              <w:bottom w:val="single" w:sz="12" w:space="0" w:color="auto"/>
              <w:right w:val="nil"/>
            </w:tcBorders>
            <w:shd w:val="clear" w:color="auto" w:fill="auto"/>
          </w:tcPr>
          <w:p w14:paraId="0AD0A1FA" w14:textId="77777777" w:rsidR="00587444" w:rsidRPr="00587444" w:rsidRDefault="00587444" w:rsidP="00587444">
            <w:pPr>
              <w:suppressAutoHyphens w:val="0"/>
              <w:autoSpaceDN/>
              <w:spacing w:line="220" w:lineRule="exact"/>
              <w:jc w:val="right"/>
              <w:rPr>
                <w:rFonts w:ascii="Arial" w:hAnsi="Arial" w:cs="Arial"/>
                <w:b/>
                <w:sz w:val="18"/>
                <w:szCs w:val="18"/>
                <w:lang w:val="en-GB"/>
              </w:rPr>
            </w:pPr>
            <w:r w:rsidRPr="00587444">
              <w:rPr>
                <w:rFonts w:ascii="Arial" w:hAnsi="Arial" w:cs="Arial"/>
                <w:b/>
                <w:bCs/>
                <w:color w:val="000000"/>
                <w:sz w:val="18"/>
                <w:szCs w:val="18"/>
              </w:rPr>
              <w:t>(665)</w:t>
            </w:r>
          </w:p>
        </w:tc>
      </w:tr>
      <w:tr w:rsidR="00587444" w:rsidRPr="00587444" w14:paraId="67CCC80C" w14:textId="77777777" w:rsidTr="00DD69E7">
        <w:trPr>
          <w:trHeight w:val="87"/>
        </w:trPr>
        <w:tc>
          <w:tcPr>
            <w:tcW w:w="6626" w:type="dxa"/>
            <w:vAlign w:val="bottom"/>
          </w:tcPr>
          <w:p w14:paraId="11DCE46C"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456" w:type="dxa"/>
            <w:tcBorders>
              <w:top w:val="single" w:sz="12" w:space="0" w:color="auto"/>
              <w:left w:val="nil"/>
              <w:bottom w:val="nil"/>
              <w:right w:val="nil"/>
            </w:tcBorders>
            <w:shd w:val="clear" w:color="auto" w:fill="auto"/>
            <w:noWrap/>
            <w:vAlign w:val="bottom"/>
          </w:tcPr>
          <w:p w14:paraId="6233C70B"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c>
          <w:tcPr>
            <w:tcW w:w="1264" w:type="dxa"/>
            <w:tcBorders>
              <w:top w:val="single" w:sz="12" w:space="0" w:color="auto"/>
              <w:left w:val="nil"/>
              <w:bottom w:val="nil"/>
              <w:right w:val="nil"/>
            </w:tcBorders>
            <w:shd w:val="clear" w:color="auto" w:fill="auto"/>
          </w:tcPr>
          <w:p w14:paraId="7767E518"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r>
      <w:tr w:rsidR="00587444" w:rsidRPr="00587444" w14:paraId="7826B48C" w14:textId="77777777" w:rsidTr="00DD69E7">
        <w:trPr>
          <w:trHeight w:val="174"/>
        </w:trPr>
        <w:tc>
          <w:tcPr>
            <w:tcW w:w="6626" w:type="dxa"/>
            <w:vAlign w:val="bottom"/>
            <w:hideMark/>
          </w:tcPr>
          <w:p w14:paraId="362357CA"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Claims incurred</w:t>
            </w:r>
          </w:p>
        </w:tc>
        <w:tc>
          <w:tcPr>
            <w:tcW w:w="1456" w:type="dxa"/>
            <w:shd w:val="clear" w:color="auto" w:fill="auto"/>
            <w:noWrap/>
            <w:vAlign w:val="bottom"/>
          </w:tcPr>
          <w:p w14:paraId="04EBBBA6"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 xml:space="preserve"> (6,323)</w:t>
            </w:r>
          </w:p>
        </w:tc>
        <w:tc>
          <w:tcPr>
            <w:tcW w:w="1264" w:type="dxa"/>
            <w:shd w:val="clear" w:color="auto" w:fill="auto"/>
          </w:tcPr>
          <w:p w14:paraId="628A8BEB"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(2,290)</w:t>
            </w:r>
          </w:p>
        </w:tc>
      </w:tr>
      <w:tr w:rsidR="00587444" w:rsidRPr="00587444" w14:paraId="6A971481" w14:textId="77777777" w:rsidTr="00DD69E7">
        <w:trPr>
          <w:trHeight w:val="105"/>
        </w:trPr>
        <w:tc>
          <w:tcPr>
            <w:tcW w:w="6626" w:type="dxa"/>
            <w:vAlign w:val="bottom"/>
            <w:hideMark/>
          </w:tcPr>
          <w:p w14:paraId="7FE95A90"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Claims incurred, reinsurer's share</w:t>
            </w:r>
          </w:p>
        </w:tc>
        <w:tc>
          <w:tcPr>
            <w:tcW w:w="1456" w:type="dxa"/>
            <w:shd w:val="clear" w:color="auto" w:fill="auto"/>
            <w:noWrap/>
            <w:vAlign w:val="bottom"/>
          </w:tcPr>
          <w:p w14:paraId="36444252"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1,996</w:t>
            </w:r>
          </w:p>
        </w:tc>
        <w:tc>
          <w:tcPr>
            <w:tcW w:w="1264" w:type="dxa"/>
            <w:shd w:val="clear" w:color="auto" w:fill="auto"/>
          </w:tcPr>
          <w:p w14:paraId="73B10EF0"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1,018</w:t>
            </w:r>
          </w:p>
        </w:tc>
      </w:tr>
      <w:tr w:rsidR="00587444" w:rsidRPr="00587444" w14:paraId="26D205CD" w14:textId="77777777" w:rsidTr="00DD69E7">
        <w:trPr>
          <w:trHeight w:val="148"/>
        </w:trPr>
        <w:tc>
          <w:tcPr>
            <w:tcW w:w="6626" w:type="dxa"/>
            <w:vAlign w:val="bottom"/>
            <w:hideMark/>
          </w:tcPr>
          <w:p w14:paraId="40FA9ADD"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Change in the claims provision</w:t>
            </w:r>
          </w:p>
        </w:tc>
        <w:tc>
          <w:tcPr>
            <w:tcW w:w="1456" w:type="dxa"/>
            <w:shd w:val="clear" w:color="auto" w:fill="auto"/>
            <w:noWrap/>
            <w:vAlign w:val="bottom"/>
          </w:tcPr>
          <w:p w14:paraId="6913EFBE"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 xml:space="preserve"> 2,916 </w:t>
            </w:r>
          </w:p>
        </w:tc>
        <w:tc>
          <w:tcPr>
            <w:tcW w:w="1264" w:type="dxa"/>
            <w:shd w:val="clear" w:color="auto" w:fill="auto"/>
          </w:tcPr>
          <w:p w14:paraId="3CE13599"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(1,004)</w:t>
            </w:r>
          </w:p>
        </w:tc>
      </w:tr>
      <w:tr w:rsidR="00587444" w:rsidRPr="00587444" w14:paraId="4EB330F4" w14:textId="77777777" w:rsidTr="00DD69E7">
        <w:trPr>
          <w:trHeight w:val="88"/>
        </w:trPr>
        <w:tc>
          <w:tcPr>
            <w:tcW w:w="6626" w:type="dxa"/>
            <w:vAlign w:val="bottom"/>
            <w:hideMark/>
          </w:tcPr>
          <w:p w14:paraId="62354D6E"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Change in the claims provision, reinsurer's share</w:t>
            </w:r>
          </w:p>
        </w:tc>
        <w:tc>
          <w:tcPr>
            <w:tcW w:w="1456" w:type="dxa"/>
            <w:tcBorders>
              <w:top w:val="nil"/>
              <w:left w:val="nil"/>
              <w:bottom w:val="single" w:sz="4" w:space="0" w:color="auto"/>
              <w:right w:val="nil"/>
            </w:tcBorders>
            <w:shd w:val="clear" w:color="auto" w:fill="auto"/>
            <w:noWrap/>
            <w:vAlign w:val="bottom"/>
          </w:tcPr>
          <w:p w14:paraId="31E86B80"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(1,018)</w:t>
            </w:r>
          </w:p>
        </w:tc>
        <w:tc>
          <w:tcPr>
            <w:tcW w:w="1264" w:type="dxa"/>
            <w:tcBorders>
              <w:top w:val="nil"/>
              <w:left w:val="nil"/>
              <w:bottom w:val="single" w:sz="4" w:space="0" w:color="auto"/>
              <w:right w:val="nil"/>
            </w:tcBorders>
            <w:shd w:val="clear" w:color="auto" w:fill="auto"/>
          </w:tcPr>
          <w:p w14:paraId="3C70CE9D"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(234)</w:t>
            </w:r>
          </w:p>
        </w:tc>
      </w:tr>
      <w:tr w:rsidR="00587444" w:rsidRPr="00587444" w14:paraId="3C15C56C" w14:textId="77777777" w:rsidTr="00DD69E7">
        <w:trPr>
          <w:trHeight w:val="104"/>
        </w:trPr>
        <w:tc>
          <w:tcPr>
            <w:tcW w:w="6626" w:type="dxa"/>
            <w:vAlign w:val="bottom"/>
            <w:hideMark/>
          </w:tcPr>
          <w:p w14:paraId="4B69EB43"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Net claims incurred</w:t>
            </w:r>
          </w:p>
        </w:tc>
        <w:tc>
          <w:tcPr>
            <w:tcW w:w="1456" w:type="dxa"/>
            <w:tcBorders>
              <w:top w:val="single" w:sz="4" w:space="0" w:color="auto"/>
              <w:left w:val="nil"/>
              <w:bottom w:val="single" w:sz="12" w:space="0" w:color="auto"/>
              <w:right w:val="nil"/>
            </w:tcBorders>
            <w:shd w:val="clear" w:color="auto" w:fill="auto"/>
            <w:noWrap/>
            <w:vAlign w:val="bottom"/>
          </w:tcPr>
          <w:p w14:paraId="39735563"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lang w:val="hr-HR"/>
              </w:rPr>
              <w:t>(2,429)</w:t>
            </w:r>
          </w:p>
        </w:tc>
        <w:tc>
          <w:tcPr>
            <w:tcW w:w="1264" w:type="dxa"/>
            <w:tcBorders>
              <w:top w:val="single" w:sz="4" w:space="0" w:color="auto"/>
              <w:left w:val="nil"/>
              <w:bottom w:val="single" w:sz="12" w:space="0" w:color="auto"/>
              <w:right w:val="nil"/>
            </w:tcBorders>
            <w:shd w:val="clear" w:color="auto" w:fill="auto"/>
          </w:tcPr>
          <w:p w14:paraId="189F8DF6"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rPr>
              <w:t>(2,510)</w:t>
            </w:r>
          </w:p>
        </w:tc>
      </w:tr>
      <w:tr w:rsidR="00587444" w:rsidRPr="00587444" w14:paraId="52425D58" w14:textId="77777777" w:rsidTr="00DD69E7">
        <w:trPr>
          <w:trHeight w:val="40"/>
        </w:trPr>
        <w:tc>
          <w:tcPr>
            <w:tcW w:w="6626" w:type="dxa"/>
            <w:vAlign w:val="bottom"/>
          </w:tcPr>
          <w:p w14:paraId="2A439CC6" w14:textId="77777777" w:rsidR="00587444" w:rsidRPr="00587444" w:rsidRDefault="00587444" w:rsidP="00587444">
            <w:pPr>
              <w:suppressAutoHyphens w:val="0"/>
              <w:autoSpaceDN/>
              <w:spacing w:line="140" w:lineRule="exact"/>
              <w:rPr>
                <w:rFonts w:ascii="Arial" w:hAnsi="Arial" w:cs="Arial"/>
                <w:b/>
                <w:bCs/>
                <w:sz w:val="18"/>
                <w:szCs w:val="18"/>
                <w:lang w:val="en-GB"/>
              </w:rPr>
            </w:pPr>
          </w:p>
        </w:tc>
        <w:tc>
          <w:tcPr>
            <w:tcW w:w="1456" w:type="dxa"/>
            <w:tcBorders>
              <w:top w:val="single" w:sz="12" w:space="0" w:color="auto"/>
              <w:left w:val="nil"/>
              <w:bottom w:val="nil"/>
              <w:right w:val="nil"/>
            </w:tcBorders>
            <w:shd w:val="clear" w:color="auto" w:fill="auto"/>
            <w:noWrap/>
            <w:vAlign w:val="bottom"/>
          </w:tcPr>
          <w:p w14:paraId="7EE217EA" w14:textId="77777777" w:rsidR="00587444" w:rsidRPr="00587444" w:rsidRDefault="00587444" w:rsidP="00587444">
            <w:pPr>
              <w:suppressAutoHyphens w:val="0"/>
              <w:autoSpaceDN/>
              <w:spacing w:line="140" w:lineRule="exact"/>
              <w:jc w:val="right"/>
              <w:rPr>
                <w:rFonts w:ascii="Arial" w:hAnsi="Arial" w:cs="Arial"/>
                <w:b/>
                <w:bCs/>
                <w:sz w:val="18"/>
                <w:szCs w:val="18"/>
                <w:lang w:val="en-GB"/>
              </w:rPr>
            </w:pPr>
          </w:p>
        </w:tc>
        <w:tc>
          <w:tcPr>
            <w:tcW w:w="1264" w:type="dxa"/>
            <w:tcBorders>
              <w:top w:val="single" w:sz="12" w:space="0" w:color="auto"/>
              <w:left w:val="nil"/>
              <w:bottom w:val="nil"/>
              <w:right w:val="nil"/>
            </w:tcBorders>
            <w:shd w:val="clear" w:color="auto" w:fill="auto"/>
          </w:tcPr>
          <w:p w14:paraId="42BC70DB" w14:textId="77777777" w:rsidR="00587444" w:rsidRPr="00587444" w:rsidRDefault="00587444" w:rsidP="00587444">
            <w:pPr>
              <w:suppressAutoHyphens w:val="0"/>
              <w:autoSpaceDN/>
              <w:spacing w:line="140" w:lineRule="exact"/>
              <w:jc w:val="right"/>
              <w:rPr>
                <w:rFonts w:ascii="Arial" w:hAnsi="Arial" w:cs="Arial"/>
                <w:b/>
                <w:bCs/>
                <w:sz w:val="18"/>
                <w:szCs w:val="18"/>
                <w:lang w:val="en-GB"/>
              </w:rPr>
            </w:pPr>
          </w:p>
        </w:tc>
      </w:tr>
      <w:tr w:rsidR="00587444" w:rsidRPr="00587444" w14:paraId="575CD690" w14:textId="77777777" w:rsidTr="00DD69E7">
        <w:trPr>
          <w:trHeight w:val="166"/>
        </w:trPr>
        <w:tc>
          <w:tcPr>
            <w:tcW w:w="6626" w:type="dxa"/>
            <w:vAlign w:val="bottom"/>
            <w:hideMark/>
          </w:tcPr>
          <w:p w14:paraId="5703E65D" w14:textId="77777777" w:rsidR="00587444" w:rsidRPr="00587444" w:rsidRDefault="00587444" w:rsidP="00587444">
            <w:pPr>
              <w:suppressAutoHyphens w:val="0"/>
              <w:autoSpaceDN/>
              <w:spacing w:line="220" w:lineRule="exact"/>
              <w:rPr>
                <w:rFonts w:ascii="Arial" w:hAnsi="Arial" w:cs="Arial"/>
                <w:bCs/>
                <w:sz w:val="18"/>
                <w:szCs w:val="18"/>
                <w:lang w:val="en-GB"/>
              </w:rPr>
            </w:pPr>
            <w:r w:rsidRPr="00587444">
              <w:rPr>
                <w:rFonts w:ascii="Arial" w:hAnsi="Arial" w:cs="Arial"/>
                <w:bCs/>
                <w:sz w:val="18"/>
                <w:szCs w:val="18"/>
                <w:lang w:val="en-GB"/>
              </w:rPr>
              <w:t>Marketing and provision expenses</w:t>
            </w:r>
          </w:p>
        </w:tc>
        <w:tc>
          <w:tcPr>
            <w:tcW w:w="1456" w:type="dxa"/>
            <w:shd w:val="clear" w:color="auto" w:fill="auto"/>
            <w:noWrap/>
            <w:vAlign w:val="bottom"/>
          </w:tcPr>
          <w:p w14:paraId="4BA95F1E"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rPr>
              <w:t xml:space="preserve"> (911)</w:t>
            </w:r>
          </w:p>
        </w:tc>
        <w:tc>
          <w:tcPr>
            <w:tcW w:w="1264" w:type="dxa"/>
            <w:shd w:val="clear" w:color="auto" w:fill="auto"/>
          </w:tcPr>
          <w:p w14:paraId="3BB2D9DD"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rPr>
              <w:t>(453)</w:t>
            </w:r>
          </w:p>
        </w:tc>
      </w:tr>
      <w:tr w:rsidR="00587444" w:rsidRPr="00587444" w14:paraId="40C9A651" w14:textId="77777777" w:rsidTr="00DD69E7">
        <w:trPr>
          <w:trHeight w:val="97"/>
        </w:trPr>
        <w:tc>
          <w:tcPr>
            <w:tcW w:w="6626" w:type="dxa"/>
            <w:vAlign w:val="bottom"/>
            <w:hideMark/>
          </w:tcPr>
          <w:p w14:paraId="1FA04601" w14:textId="77777777" w:rsidR="00587444" w:rsidRPr="00587444" w:rsidRDefault="00587444" w:rsidP="00587444">
            <w:pPr>
              <w:suppressAutoHyphens w:val="0"/>
              <w:autoSpaceDN/>
              <w:spacing w:line="220" w:lineRule="exact"/>
              <w:rPr>
                <w:rFonts w:ascii="Arial" w:hAnsi="Arial" w:cs="Arial"/>
                <w:bCs/>
                <w:sz w:val="18"/>
                <w:szCs w:val="18"/>
                <w:lang w:val="en-GB"/>
              </w:rPr>
            </w:pPr>
            <w:r w:rsidRPr="00587444">
              <w:rPr>
                <w:rFonts w:ascii="Arial" w:hAnsi="Arial" w:cs="Arial"/>
                <w:bCs/>
                <w:sz w:val="18"/>
                <w:szCs w:val="18"/>
                <w:lang w:val="en-GB"/>
              </w:rPr>
              <w:t>Administrative expenses</w:t>
            </w:r>
          </w:p>
        </w:tc>
        <w:tc>
          <w:tcPr>
            <w:tcW w:w="1456" w:type="dxa"/>
            <w:shd w:val="clear" w:color="auto" w:fill="auto"/>
            <w:noWrap/>
            <w:vAlign w:val="bottom"/>
          </w:tcPr>
          <w:p w14:paraId="62AA5938"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rPr>
              <w:t xml:space="preserve"> (8,002)</w:t>
            </w:r>
          </w:p>
        </w:tc>
        <w:tc>
          <w:tcPr>
            <w:tcW w:w="1264" w:type="dxa"/>
            <w:shd w:val="clear" w:color="auto" w:fill="auto"/>
          </w:tcPr>
          <w:p w14:paraId="3C2DB6C6"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rPr>
              <w:t>(7,593)</w:t>
            </w:r>
          </w:p>
        </w:tc>
      </w:tr>
      <w:tr w:rsidR="00587444" w:rsidRPr="00587444" w14:paraId="5A53E013" w14:textId="77777777" w:rsidTr="00DD69E7">
        <w:trPr>
          <w:trHeight w:val="150"/>
        </w:trPr>
        <w:tc>
          <w:tcPr>
            <w:tcW w:w="6626" w:type="dxa"/>
            <w:vAlign w:val="bottom"/>
            <w:hideMark/>
          </w:tcPr>
          <w:p w14:paraId="12FE49D8" w14:textId="77777777" w:rsidR="00587444" w:rsidRPr="00587444" w:rsidRDefault="00587444" w:rsidP="00587444">
            <w:pPr>
              <w:suppressAutoHyphens w:val="0"/>
              <w:autoSpaceDN/>
              <w:spacing w:line="220" w:lineRule="exact"/>
              <w:rPr>
                <w:rFonts w:ascii="Arial" w:hAnsi="Arial" w:cs="Arial"/>
                <w:bCs/>
                <w:sz w:val="18"/>
                <w:szCs w:val="18"/>
                <w:lang w:val="en-GB"/>
              </w:rPr>
            </w:pPr>
            <w:r w:rsidRPr="00587444">
              <w:rPr>
                <w:rFonts w:ascii="Arial" w:hAnsi="Arial" w:cs="Arial"/>
                <w:bCs/>
                <w:sz w:val="18"/>
                <w:szCs w:val="18"/>
                <w:lang w:val="en-GB"/>
              </w:rPr>
              <w:t>Other operating expenses</w:t>
            </w:r>
          </w:p>
        </w:tc>
        <w:tc>
          <w:tcPr>
            <w:tcW w:w="1456" w:type="dxa"/>
            <w:shd w:val="clear" w:color="auto" w:fill="auto"/>
            <w:noWrap/>
            <w:vAlign w:val="bottom"/>
          </w:tcPr>
          <w:p w14:paraId="4063A3D5"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rPr>
              <w:t xml:space="preserve"> 134 </w:t>
            </w:r>
          </w:p>
        </w:tc>
        <w:tc>
          <w:tcPr>
            <w:tcW w:w="1264" w:type="dxa"/>
            <w:shd w:val="clear" w:color="auto" w:fill="auto"/>
          </w:tcPr>
          <w:p w14:paraId="4990FD57"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rPr>
              <w:t>(36)</w:t>
            </w:r>
          </w:p>
        </w:tc>
      </w:tr>
      <w:tr w:rsidR="00587444" w:rsidRPr="00587444" w14:paraId="55DC8072" w14:textId="77777777" w:rsidTr="00DD69E7">
        <w:trPr>
          <w:trHeight w:val="194"/>
        </w:trPr>
        <w:tc>
          <w:tcPr>
            <w:tcW w:w="6626" w:type="dxa"/>
            <w:vAlign w:val="bottom"/>
            <w:hideMark/>
          </w:tcPr>
          <w:p w14:paraId="5EC82133" w14:textId="77777777" w:rsidR="00587444" w:rsidRPr="00587444" w:rsidRDefault="00587444" w:rsidP="00587444">
            <w:pPr>
              <w:suppressAutoHyphens w:val="0"/>
              <w:autoSpaceDN/>
              <w:spacing w:line="220" w:lineRule="exact"/>
              <w:rPr>
                <w:rFonts w:ascii="Arial" w:hAnsi="Arial" w:cs="Arial"/>
                <w:bCs/>
                <w:sz w:val="18"/>
                <w:szCs w:val="18"/>
                <w:lang w:val="en-GB"/>
              </w:rPr>
            </w:pPr>
            <w:r w:rsidRPr="00587444">
              <w:rPr>
                <w:rFonts w:ascii="Arial" w:hAnsi="Arial" w:cs="Arial"/>
                <w:bCs/>
                <w:sz w:val="18"/>
                <w:szCs w:val="18"/>
                <w:lang w:val="en-GB"/>
              </w:rPr>
              <w:t>Net exchange differences other than those on financial instruments</w:t>
            </w:r>
          </w:p>
        </w:tc>
        <w:tc>
          <w:tcPr>
            <w:tcW w:w="1456" w:type="dxa"/>
            <w:tcBorders>
              <w:top w:val="nil"/>
              <w:left w:val="nil"/>
              <w:bottom w:val="single" w:sz="4" w:space="0" w:color="auto"/>
              <w:right w:val="nil"/>
            </w:tcBorders>
            <w:shd w:val="clear" w:color="auto" w:fill="auto"/>
            <w:noWrap/>
            <w:vAlign w:val="bottom"/>
          </w:tcPr>
          <w:p w14:paraId="3EAE9BBC"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rPr>
              <w:t xml:space="preserve"> 7 </w:t>
            </w:r>
          </w:p>
        </w:tc>
        <w:tc>
          <w:tcPr>
            <w:tcW w:w="1264" w:type="dxa"/>
            <w:tcBorders>
              <w:top w:val="nil"/>
              <w:left w:val="nil"/>
              <w:bottom w:val="single" w:sz="4" w:space="0" w:color="auto"/>
              <w:right w:val="nil"/>
            </w:tcBorders>
            <w:shd w:val="clear" w:color="auto" w:fill="auto"/>
          </w:tcPr>
          <w:p w14:paraId="4B995EF3"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rPr>
              <w:t>(8)</w:t>
            </w:r>
          </w:p>
        </w:tc>
      </w:tr>
      <w:tr w:rsidR="00587444" w:rsidRPr="00587444" w14:paraId="41F3B727" w14:textId="77777777" w:rsidTr="00DD69E7">
        <w:trPr>
          <w:trHeight w:val="78"/>
        </w:trPr>
        <w:tc>
          <w:tcPr>
            <w:tcW w:w="6626" w:type="dxa"/>
            <w:vAlign w:val="bottom"/>
            <w:hideMark/>
          </w:tcPr>
          <w:p w14:paraId="07386C09"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Profit before income tax</w:t>
            </w:r>
          </w:p>
        </w:tc>
        <w:tc>
          <w:tcPr>
            <w:tcW w:w="1456" w:type="dxa"/>
            <w:tcBorders>
              <w:top w:val="single" w:sz="4" w:space="0" w:color="auto"/>
              <w:left w:val="nil"/>
              <w:bottom w:val="single" w:sz="12" w:space="0" w:color="auto"/>
              <w:right w:val="nil"/>
            </w:tcBorders>
            <w:shd w:val="clear" w:color="auto" w:fill="auto"/>
            <w:noWrap/>
            <w:vAlign w:val="bottom"/>
          </w:tcPr>
          <w:p w14:paraId="1A9547D9"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lang w:val="hr-HR"/>
              </w:rPr>
              <w:t>3,957</w:t>
            </w:r>
          </w:p>
        </w:tc>
        <w:tc>
          <w:tcPr>
            <w:tcW w:w="1264" w:type="dxa"/>
            <w:tcBorders>
              <w:top w:val="single" w:sz="4" w:space="0" w:color="auto"/>
              <w:left w:val="nil"/>
              <w:bottom w:val="single" w:sz="12" w:space="0" w:color="auto"/>
              <w:right w:val="nil"/>
            </w:tcBorders>
            <w:shd w:val="clear" w:color="auto" w:fill="auto"/>
          </w:tcPr>
          <w:p w14:paraId="6BF21A9C"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color w:val="000000"/>
                <w:sz w:val="18"/>
                <w:szCs w:val="18"/>
              </w:rPr>
              <w:t>1,317</w:t>
            </w:r>
          </w:p>
        </w:tc>
      </w:tr>
      <w:tr w:rsidR="00587444" w:rsidRPr="00587444" w14:paraId="4D10A152" w14:textId="77777777" w:rsidTr="00DD69E7">
        <w:trPr>
          <w:trHeight w:val="40"/>
        </w:trPr>
        <w:tc>
          <w:tcPr>
            <w:tcW w:w="6626" w:type="dxa"/>
            <w:vAlign w:val="bottom"/>
          </w:tcPr>
          <w:p w14:paraId="3DC61CF9" w14:textId="77777777" w:rsidR="00587444" w:rsidRPr="00587444" w:rsidRDefault="00587444" w:rsidP="00587444">
            <w:pPr>
              <w:suppressAutoHyphens w:val="0"/>
              <w:autoSpaceDN/>
              <w:spacing w:line="140" w:lineRule="exact"/>
              <w:rPr>
                <w:rFonts w:ascii="Arial" w:hAnsi="Arial" w:cs="Arial"/>
                <w:bCs/>
                <w:sz w:val="18"/>
                <w:szCs w:val="18"/>
                <w:lang w:val="en-GB"/>
              </w:rPr>
            </w:pPr>
          </w:p>
        </w:tc>
        <w:tc>
          <w:tcPr>
            <w:tcW w:w="1456" w:type="dxa"/>
            <w:tcBorders>
              <w:top w:val="single" w:sz="12" w:space="0" w:color="auto"/>
              <w:left w:val="nil"/>
              <w:bottom w:val="nil"/>
              <w:right w:val="nil"/>
            </w:tcBorders>
            <w:shd w:val="clear" w:color="auto" w:fill="auto"/>
            <w:noWrap/>
            <w:vAlign w:val="bottom"/>
          </w:tcPr>
          <w:p w14:paraId="74525312" w14:textId="77777777" w:rsidR="00587444" w:rsidRPr="00587444" w:rsidRDefault="00587444" w:rsidP="00587444">
            <w:pPr>
              <w:suppressAutoHyphens w:val="0"/>
              <w:autoSpaceDN/>
              <w:spacing w:line="140" w:lineRule="exact"/>
              <w:jc w:val="right"/>
              <w:rPr>
                <w:rFonts w:ascii="Arial" w:hAnsi="Arial" w:cs="Arial"/>
                <w:bCs/>
                <w:sz w:val="18"/>
                <w:szCs w:val="18"/>
                <w:lang w:val="en-GB"/>
              </w:rPr>
            </w:pPr>
          </w:p>
        </w:tc>
        <w:tc>
          <w:tcPr>
            <w:tcW w:w="1264" w:type="dxa"/>
            <w:tcBorders>
              <w:top w:val="single" w:sz="12" w:space="0" w:color="auto"/>
              <w:left w:val="nil"/>
              <w:bottom w:val="nil"/>
              <w:right w:val="nil"/>
            </w:tcBorders>
            <w:shd w:val="clear" w:color="auto" w:fill="auto"/>
          </w:tcPr>
          <w:p w14:paraId="1549D8D8" w14:textId="77777777" w:rsidR="00587444" w:rsidRPr="00587444" w:rsidRDefault="00587444" w:rsidP="00587444">
            <w:pPr>
              <w:suppressAutoHyphens w:val="0"/>
              <w:autoSpaceDN/>
              <w:spacing w:line="140" w:lineRule="exact"/>
              <w:jc w:val="right"/>
              <w:rPr>
                <w:rFonts w:ascii="Arial" w:hAnsi="Arial" w:cs="Arial"/>
                <w:bCs/>
                <w:sz w:val="18"/>
                <w:szCs w:val="18"/>
                <w:lang w:val="en-GB"/>
              </w:rPr>
            </w:pPr>
          </w:p>
        </w:tc>
      </w:tr>
      <w:tr w:rsidR="00587444" w:rsidRPr="00587444" w14:paraId="2D9BC665" w14:textId="77777777" w:rsidTr="00DD69E7">
        <w:trPr>
          <w:trHeight w:val="109"/>
        </w:trPr>
        <w:tc>
          <w:tcPr>
            <w:tcW w:w="6626" w:type="dxa"/>
            <w:vAlign w:val="bottom"/>
            <w:hideMark/>
          </w:tcPr>
          <w:p w14:paraId="1209B23D" w14:textId="77777777" w:rsidR="00587444" w:rsidRPr="00587444" w:rsidRDefault="00587444" w:rsidP="00587444">
            <w:pPr>
              <w:suppressAutoHyphens w:val="0"/>
              <w:autoSpaceDN/>
              <w:spacing w:line="220" w:lineRule="exact"/>
              <w:rPr>
                <w:rFonts w:ascii="Arial" w:hAnsi="Arial" w:cs="Arial"/>
                <w:bCs/>
                <w:sz w:val="18"/>
                <w:szCs w:val="18"/>
                <w:lang w:val="en-GB"/>
              </w:rPr>
            </w:pPr>
            <w:r w:rsidRPr="00587444">
              <w:rPr>
                <w:rFonts w:ascii="Arial" w:hAnsi="Arial" w:cs="Arial"/>
                <w:bCs/>
                <w:sz w:val="18"/>
                <w:szCs w:val="18"/>
                <w:lang w:val="en-GB"/>
              </w:rPr>
              <w:t>Income tax</w:t>
            </w:r>
          </w:p>
        </w:tc>
        <w:tc>
          <w:tcPr>
            <w:tcW w:w="1456" w:type="dxa"/>
            <w:shd w:val="clear" w:color="auto" w:fill="auto"/>
            <w:noWrap/>
            <w:vAlign w:val="bottom"/>
          </w:tcPr>
          <w:p w14:paraId="190793C5"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lang w:val="hr-HR"/>
              </w:rPr>
              <w:t>(672)</w:t>
            </w:r>
          </w:p>
        </w:tc>
        <w:tc>
          <w:tcPr>
            <w:tcW w:w="1264" w:type="dxa"/>
            <w:shd w:val="clear" w:color="auto" w:fill="auto"/>
          </w:tcPr>
          <w:p w14:paraId="52BCBC97"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lang w:val="hr-HR"/>
              </w:rPr>
              <w:t>(214)</w:t>
            </w:r>
          </w:p>
        </w:tc>
      </w:tr>
      <w:tr w:rsidR="00587444" w:rsidRPr="00587444" w14:paraId="4E2FC68B" w14:textId="77777777" w:rsidTr="00DD69E7">
        <w:trPr>
          <w:trHeight w:val="116"/>
        </w:trPr>
        <w:tc>
          <w:tcPr>
            <w:tcW w:w="6626" w:type="dxa"/>
            <w:vAlign w:val="bottom"/>
          </w:tcPr>
          <w:p w14:paraId="4C16ECDA" w14:textId="77777777" w:rsidR="00587444" w:rsidRPr="00587444" w:rsidRDefault="00587444" w:rsidP="00587444">
            <w:pPr>
              <w:suppressAutoHyphens w:val="0"/>
              <w:autoSpaceDN/>
              <w:spacing w:line="140" w:lineRule="exact"/>
              <w:rPr>
                <w:rFonts w:ascii="Arial" w:hAnsi="Arial" w:cs="Arial"/>
                <w:b/>
                <w:bCs/>
                <w:sz w:val="18"/>
                <w:szCs w:val="18"/>
                <w:lang w:val="en-GB"/>
              </w:rPr>
            </w:pPr>
          </w:p>
        </w:tc>
        <w:tc>
          <w:tcPr>
            <w:tcW w:w="1456" w:type="dxa"/>
            <w:tcBorders>
              <w:top w:val="nil"/>
              <w:left w:val="nil"/>
              <w:bottom w:val="single" w:sz="4" w:space="0" w:color="auto"/>
              <w:right w:val="nil"/>
            </w:tcBorders>
            <w:shd w:val="clear" w:color="auto" w:fill="auto"/>
            <w:noWrap/>
            <w:vAlign w:val="bottom"/>
          </w:tcPr>
          <w:p w14:paraId="26895112" w14:textId="77777777" w:rsidR="00587444" w:rsidRPr="00587444" w:rsidRDefault="00587444" w:rsidP="00587444">
            <w:pPr>
              <w:suppressAutoHyphens w:val="0"/>
              <w:autoSpaceDN/>
              <w:spacing w:line="140" w:lineRule="exact"/>
              <w:jc w:val="right"/>
              <w:rPr>
                <w:rFonts w:ascii="Arial" w:hAnsi="Arial" w:cs="Arial"/>
                <w:b/>
                <w:bCs/>
                <w:sz w:val="18"/>
                <w:szCs w:val="18"/>
                <w:lang w:val="en-GB"/>
              </w:rPr>
            </w:pPr>
          </w:p>
        </w:tc>
        <w:tc>
          <w:tcPr>
            <w:tcW w:w="1264" w:type="dxa"/>
            <w:tcBorders>
              <w:top w:val="nil"/>
              <w:left w:val="nil"/>
              <w:bottom w:val="single" w:sz="4" w:space="0" w:color="auto"/>
              <w:right w:val="nil"/>
            </w:tcBorders>
            <w:shd w:val="clear" w:color="auto" w:fill="auto"/>
          </w:tcPr>
          <w:p w14:paraId="7CF7EC43" w14:textId="77777777" w:rsidR="00587444" w:rsidRPr="00587444" w:rsidRDefault="00587444" w:rsidP="00587444">
            <w:pPr>
              <w:suppressAutoHyphens w:val="0"/>
              <w:autoSpaceDN/>
              <w:spacing w:line="140" w:lineRule="exact"/>
              <w:jc w:val="right"/>
              <w:rPr>
                <w:rFonts w:ascii="Arial" w:hAnsi="Arial" w:cs="Arial"/>
                <w:b/>
                <w:bCs/>
                <w:sz w:val="18"/>
                <w:szCs w:val="18"/>
                <w:lang w:val="en-GB"/>
              </w:rPr>
            </w:pPr>
          </w:p>
        </w:tc>
      </w:tr>
      <w:tr w:rsidR="00587444" w:rsidRPr="00587444" w14:paraId="5063A361" w14:textId="77777777" w:rsidTr="00DD69E7">
        <w:trPr>
          <w:trHeight w:val="144"/>
        </w:trPr>
        <w:tc>
          <w:tcPr>
            <w:tcW w:w="6626" w:type="dxa"/>
            <w:vAlign w:val="bottom"/>
            <w:hideMark/>
          </w:tcPr>
          <w:p w14:paraId="19E0943F"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Profit for the year</w:t>
            </w:r>
          </w:p>
        </w:tc>
        <w:tc>
          <w:tcPr>
            <w:tcW w:w="1456" w:type="dxa"/>
            <w:tcBorders>
              <w:top w:val="single" w:sz="4" w:space="0" w:color="auto"/>
              <w:left w:val="nil"/>
              <w:bottom w:val="single" w:sz="12" w:space="0" w:color="auto"/>
              <w:right w:val="nil"/>
            </w:tcBorders>
            <w:shd w:val="clear" w:color="auto" w:fill="auto"/>
            <w:noWrap/>
            <w:vAlign w:val="bottom"/>
          </w:tcPr>
          <w:p w14:paraId="57A3EEE1"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lang w:val="hr-HR"/>
              </w:rPr>
              <w:t>3,285</w:t>
            </w:r>
          </w:p>
        </w:tc>
        <w:tc>
          <w:tcPr>
            <w:tcW w:w="1264" w:type="dxa"/>
            <w:tcBorders>
              <w:top w:val="single" w:sz="4" w:space="0" w:color="auto"/>
              <w:left w:val="nil"/>
              <w:bottom w:val="single" w:sz="12" w:space="0" w:color="auto"/>
              <w:right w:val="nil"/>
            </w:tcBorders>
            <w:shd w:val="clear" w:color="auto" w:fill="auto"/>
          </w:tcPr>
          <w:p w14:paraId="47101E35"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lang w:val="hr-HR"/>
              </w:rPr>
              <w:t>1,103</w:t>
            </w:r>
          </w:p>
        </w:tc>
      </w:tr>
      <w:tr w:rsidR="00587444" w:rsidRPr="00587444" w14:paraId="0FFE96C5" w14:textId="77777777" w:rsidTr="00DD69E7">
        <w:trPr>
          <w:trHeight w:val="44"/>
        </w:trPr>
        <w:tc>
          <w:tcPr>
            <w:tcW w:w="6626" w:type="dxa"/>
            <w:vAlign w:val="bottom"/>
          </w:tcPr>
          <w:p w14:paraId="197FAF0F" w14:textId="77777777" w:rsidR="00587444" w:rsidRPr="00587444" w:rsidRDefault="00587444" w:rsidP="00587444">
            <w:pPr>
              <w:suppressAutoHyphens w:val="0"/>
              <w:autoSpaceDN/>
              <w:spacing w:line="140" w:lineRule="exact"/>
              <w:rPr>
                <w:rFonts w:ascii="Arial" w:hAnsi="Arial" w:cs="Arial"/>
                <w:b/>
                <w:bCs/>
                <w:sz w:val="18"/>
                <w:szCs w:val="18"/>
                <w:lang w:val="en-GB"/>
              </w:rPr>
            </w:pPr>
          </w:p>
        </w:tc>
        <w:tc>
          <w:tcPr>
            <w:tcW w:w="1456" w:type="dxa"/>
            <w:tcBorders>
              <w:top w:val="single" w:sz="12" w:space="0" w:color="auto"/>
              <w:left w:val="nil"/>
              <w:bottom w:val="nil"/>
              <w:right w:val="nil"/>
            </w:tcBorders>
            <w:shd w:val="clear" w:color="auto" w:fill="auto"/>
            <w:noWrap/>
            <w:vAlign w:val="bottom"/>
          </w:tcPr>
          <w:p w14:paraId="526B9EBA" w14:textId="77777777" w:rsidR="00587444" w:rsidRPr="00587444" w:rsidRDefault="00587444" w:rsidP="00587444">
            <w:pPr>
              <w:suppressAutoHyphens w:val="0"/>
              <w:autoSpaceDN/>
              <w:spacing w:line="140" w:lineRule="exact"/>
              <w:jc w:val="right"/>
              <w:rPr>
                <w:rFonts w:ascii="Arial" w:hAnsi="Arial" w:cs="Arial"/>
                <w:b/>
                <w:bCs/>
                <w:sz w:val="18"/>
                <w:szCs w:val="18"/>
                <w:lang w:val="en-GB"/>
              </w:rPr>
            </w:pPr>
          </w:p>
        </w:tc>
        <w:tc>
          <w:tcPr>
            <w:tcW w:w="1264" w:type="dxa"/>
            <w:tcBorders>
              <w:top w:val="single" w:sz="12" w:space="0" w:color="auto"/>
              <w:left w:val="nil"/>
              <w:bottom w:val="nil"/>
              <w:right w:val="nil"/>
            </w:tcBorders>
            <w:shd w:val="clear" w:color="auto" w:fill="auto"/>
          </w:tcPr>
          <w:p w14:paraId="05B51BF7" w14:textId="77777777" w:rsidR="00587444" w:rsidRPr="00587444" w:rsidRDefault="00587444" w:rsidP="00587444">
            <w:pPr>
              <w:suppressAutoHyphens w:val="0"/>
              <w:autoSpaceDN/>
              <w:spacing w:line="140" w:lineRule="exact"/>
              <w:jc w:val="right"/>
              <w:rPr>
                <w:rFonts w:ascii="Arial" w:hAnsi="Arial" w:cs="Arial"/>
                <w:b/>
                <w:bCs/>
                <w:sz w:val="18"/>
                <w:szCs w:val="18"/>
                <w:lang w:val="en-GB"/>
              </w:rPr>
            </w:pPr>
          </w:p>
        </w:tc>
      </w:tr>
      <w:tr w:rsidR="00587444" w:rsidRPr="00587444" w14:paraId="29191F84" w14:textId="77777777" w:rsidTr="00DD69E7">
        <w:trPr>
          <w:trHeight w:val="228"/>
        </w:trPr>
        <w:tc>
          <w:tcPr>
            <w:tcW w:w="6626" w:type="dxa"/>
            <w:vAlign w:val="bottom"/>
            <w:hideMark/>
          </w:tcPr>
          <w:p w14:paraId="34EAB459"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Other comprehensive income</w:t>
            </w:r>
          </w:p>
        </w:tc>
        <w:tc>
          <w:tcPr>
            <w:tcW w:w="1456" w:type="dxa"/>
            <w:shd w:val="clear" w:color="auto" w:fill="auto"/>
            <w:noWrap/>
            <w:vAlign w:val="bottom"/>
          </w:tcPr>
          <w:p w14:paraId="2B157753"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p>
        </w:tc>
        <w:tc>
          <w:tcPr>
            <w:tcW w:w="1264" w:type="dxa"/>
            <w:shd w:val="clear" w:color="auto" w:fill="auto"/>
          </w:tcPr>
          <w:p w14:paraId="718F7F72"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p>
        </w:tc>
      </w:tr>
      <w:tr w:rsidR="00587444" w:rsidRPr="00587444" w14:paraId="59F94513" w14:textId="77777777" w:rsidTr="00DD69E7">
        <w:trPr>
          <w:trHeight w:val="257"/>
        </w:trPr>
        <w:tc>
          <w:tcPr>
            <w:tcW w:w="6626" w:type="dxa"/>
            <w:vAlign w:val="bottom"/>
            <w:hideMark/>
          </w:tcPr>
          <w:p w14:paraId="43DAE265"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Items that are not transferred subsequently to profit or loss:</w:t>
            </w:r>
          </w:p>
        </w:tc>
        <w:tc>
          <w:tcPr>
            <w:tcW w:w="1456" w:type="dxa"/>
            <w:shd w:val="clear" w:color="auto" w:fill="auto"/>
            <w:noWrap/>
            <w:vAlign w:val="bottom"/>
          </w:tcPr>
          <w:p w14:paraId="3F2C158F"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p>
        </w:tc>
        <w:tc>
          <w:tcPr>
            <w:tcW w:w="1264" w:type="dxa"/>
            <w:shd w:val="clear" w:color="auto" w:fill="auto"/>
            <w:vAlign w:val="bottom"/>
          </w:tcPr>
          <w:p w14:paraId="1943D2C3"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p>
        </w:tc>
      </w:tr>
      <w:tr w:rsidR="00587444" w:rsidRPr="00587444" w14:paraId="7E09F997" w14:textId="77777777" w:rsidTr="00DD69E7">
        <w:trPr>
          <w:trHeight w:val="99"/>
        </w:trPr>
        <w:tc>
          <w:tcPr>
            <w:tcW w:w="6626" w:type="dxa"/>
            <w:vAlign w:val="bottom"/>
            <w:hideMark/>
          </w:tcPr>
          <w:p w14:paraId="4ADBD99F"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items that are not transferred subsequently to profit or loss</w:t>
            </w:r>
          </w:p>
        </w:tc>
        <w:tc>
          <w:tcPr>
            <w:tcW w:w="1456" w:type="dxa"/>
            <w:tcBorders>
              <w:top w:val="single" w:sz="4" w:space="0" w:color="auto"/>
              <w:left w:val="nil"/>
              <w:bottom w:val="single" w:sz="12" w:space="0" w:color="auto"/>
              <w:right w:val="nil"/>
            </w:tcBorders>
            <w:shd w:val="clear" w:color="auto" w:fill="auto"/>
            <w:noWrap/>
            <w:vAlign w:val="bottom"/>
          </w:tcPr>
          <w:p w14:paraId="6F387BEE"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lang w:val="hr-HR"/>
              </w:rPr>
              <w:t>-</w:t>
            </w:r>
          </w:p>
        </w:tc>
        <w:tc>
          <w:tcPr>
            <w:tcW w:w="1264" w:type="dxa"/>
            <w:tcBorders>
              <w:top w:val="single" w:sz="4" w:space="0" w:color="auto"/>
              <w:left w:val="nil"/>
              <w:bottom w:val="single" w:sz="12" w:space="0" w:color="auto"/>
              <w:right w:val="nil"/>
            </w:tcBorders>
            <w:shd w:val="clear" w:color="auto" w:fill="auto"/>
            <w:vAlign w:val="bottom"/>
          </w:tcPr>
          <w:p w14:paraId="64F74B20"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rPr>
              <w:t>-</w:t>
            </w:r>
          </w:p>
        </w:tc>
      </w:tr>
      <w:tr w:rsidR="00587444" w:rsidRPr="00587444" w14:paraId="40E0F2E8" w14:textId="77777777" w:rsidTr="00DD69E7">
        <w:trPr>
          <w:trHeight w:val="69"/>
        </w:trPr>
        <w:tc>
          <w:tcPr>
            <w:tcW w:w="6626" w:type="dxa"/>
            <w:vAlign w:val="bottom"/>
          </w:tcPr>
          <w:p w14:paraId="5FB9166E" w14:textId="77777777" w:rsidR="00587444" w:rsidRPr="00587444" w:rsidRDefault="00587444" w:rsidP="00587444">
            <w:pPr>
              <w:suppressAutoHyphens w:val="0"/>
              <w:autoSpaceDN/>
              <w:spacing w:line="140" w:lineRule="exact"/>
              <w:rPr>
                <w:rFonts w:ascii="Arial" w:hAnsi="Arial" w:cs="Arial"/>
                <w:bCs/>
                <w:sz w:val="18"/>
                <w:szCs w:val="18"/>
                <w:lang w:val="en-GB"/>
              </w:rPr>
            </w:pPr>
          </w:p>
        </w:tc>
        <w:tc>
          <w:tcPr>
            <w:tcW w:w="1456" w:type="dxa"/>
            <w:tcBorders>
              <w:top w:val="single" w:sz="12" w:space="0" w:color="auto"/>
              <w:left w:val="nil"/>
              <w:bottom w:val="nil"/>
              <w:right w:val="nil"/>
            </w:tcBorders>
            <w:shd w:val="clear" w:color="auto" w:fill="auto"/>
            <w:noWrap/>
            <w:vAlign w:val="bottom"/>
          </w:tcPr>
          <w:p w14:paraId="5A9E6E79" w14:textId="77777777" w:rsidR="00587444" w:rsidRPr="00587444" w:rsidRDefault="00587444" w:rsidP="00587444">
            <w:pPr>
              <w:suppressAutoHyphens w:val="0"/>
              <w:autoSpaceDN/>
              <w:spacing w:line="140" w:lineRule="exact"/>
              <w:jc w:val="right"/>
              <w:rPr>
                <w:rFonts w:ascii="Arial" w:hAnsi="Arial" w:cs="Arial"/>
                <w:bCs/>
                <w:sz w:val="18"/>
                <w:szCs w:val="18"/>
                <w:lang w:val="en-GB"/>
              </w:rPr>
            </w:pPr>
          </w:p>
        </w:tc>
        <w:tc>
          <w:tcPr>
            <w:tcW w:w="1264" w:type="dxa"/>
            <w:tcBorders>
              <w:top w:val="single" w:sz="12" w:space="0" w:color="auto"/>
              <w:left w:val="nil"/>
              <w:bottom w:val="nil"/>
              <w:right w:val="nil"/>
            </w:tcBorders>
            <w:shd w:val="clear" w:color="auto" w:fill="auto"/>
          </w:tcPr>
          <w:p w14:paraId="0B01031C" w14:textId="77777777" w:rsidR="00587444" w:rsidRPr="00587444" w:rsidRDefault="00587444" w:rsidP="00587444">
            <w:pPr>
              <w:suppressAutoHyphens w:val="0"/>
              <w:autoSpaceDN/>
              <w:spacing w:line="140" w:lineRule="exact"/>
              <w:jc w:val="right"/>
              <w:rPr>
                <w:rFonts w:ascii="Arial" w:hAnsi="Arial" w:cs="Arial"/>
                <w:bCs/>
                <w:sz w:val="18"/>
                <w:szCs w:val="18"/>
                <w:lang w:val="en-GB"/>
              </w:rPr>
            </w:pPr>
          </w:p>
        </w:tc>
      </w:tr>
      <w:tr w:rsidR="00587444" w:rsidRPr="00587444" w14:paraId="37BBFE41" w14:textId="77777777" w:rsidTr="00DD69E7">
        <w:trPr>
          <w:trHeight w:val="132"/>
        </w:trPr>
        <w:tc>
          <w:tcPr>
            <w:tcW w:w="6626" w:type="dxa"/>
            <w:vAlign w:val="bottom"/>
            <w:hideMark/>
          </w:tcPr>
          <w:p w14:paraId="10D38ECB"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Items that may be reclassified subsequently to profit or loss:</w:t>
            </w:r>
          </w:p>
        </w:tc>
        <w:tc>
          <w:tcPr>
            <w:tcW w:w="1456" w:type="dxa"/>
            <w:shd w:val="clear" w:color="auto" w:fill="auto"/>
            <w:noWrap/>
            <w:vAlign w:val="bottom"/>
          </w:tcPr>
          <w:p w14:paraId="1F19B36D"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p>
        </w:tc>
        <w:tc>
          <w:tcPr>
            <w:tcW w:w="1264" w:type="dxa"/>
            <w:shd w:val="clear" w:color="auto" w:fill="auto"/>
          </w:tcPr>
          <w:p w14:paraId="3805207C"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p>
        </w:tc>
      </w:tr>
      <w:tr w:rsidR="00587444" w:rsidRPr="00587444" w14:paraId="213F071B" w14:textId="77777777" w:rsidTr="00DD69E7">
        <w:trPr>
          <w:trHeight w:val="123"/>
        </w:trPr>
        <w:tc>
          <w:tcPr>
            <w:tcW w:w="6626" w:type="dxa"/>
            <w:vAlign w:val="bottom"/>
            <w:hideMark/>
          </w:tcPr>
          <w:p w14:paraId="4215C8D9" w14:textId="77777777" w:rsidR="00587444" w:rsidRPr="00587444" w:rsidRDefault="00587444" w:rsidP="00587444">
            <w:pPr>
              <w:suppressAutoHyphens w:val="0"/>
              <w:autoSpaceDN/>
              <w:spacing w:line="220" w:lineRule="exact"/>
              <w:rPr>
                <w:rFonts w:ascii="Arial" w:hAnsi="Arial" w:cs="Arial"/>
                <w:bCs/>
                <w:sz w:val="18"/>
                <w:szCs w:val="18"/>
                <w:lang w:val="en-GB"/>
              </w:rPr>
            </w:pPr>
            <w:r w:rsidRPr="00587444">
              <w:rPr>
                <w:rFonts w:ascii="Arial" w:hAnsi="Arial" w:cs="Arial"/>
                <w:bCs/>
                <w:sz w:val="18"/>
                <w:szCs w:val="18"/>
                <w:lang w:val="en-GB"/>
              </w:rPr>
              <w:t>Gains on revaluation of financial assets available for sale</w:t>
            </w:r>
          </w:p>
        </w:tc>
        <w:tc>
          <w:tcPr>
            <w:tcW w:w="1456" w:type="dxa"/>
            <w:shd w:val="clear" w:color="auto" w:fill="auto"/>
            <w:noWrap/>
            <w:vAlign w:val="bottom"/>
          </w:tcPr>
          <w:p w14:paraId="58C70060"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lang w:val="hr-HR"/>
              </w:rPr>
              <w:t>1,710</w:t>
            </w:r>
          </w:p>
        </w:tc>
        <w:tc>
          <w:tcPr>
            <w:tcW w:w="1264" w:type="dxa"/>
            <w:shd w:val="clear" w:color="auto" w:fill="auto"/>
            <w:vAlign w:val="bottom"/>
          </w:tcPr>
          <w:p w14:paraId="65665105"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lang w:val="hr-HR"/>
              </w:rPr>
              <w:t>764</w:t>
            </w:r>
          </w:p>
        </w:tc>
      </w:tr>
      <w:tr w:rsidR="00587444" w:rsidRPr="00587444" w14:paraId="313B6212" w14:textId="77777777" w:rsidTr="00DD69E7">
        <w:trPr>
          <w:trHeight w:val="190"/>
        </w:trPr>
        <w:tc>
          <w:tcPr>
            <w:tcW w:w="6626" w:type="dxa"/>
            <w:vAlign w:val="bottom"/>
            <w:hideMark/>
          </w:tcPr>
          <w:p w14:paraId="0A006BEE" w14:textId="77777777" w:rsidR="00587444" w:rsidRPr="00587444" w:rsidRDefault="00587444" w:rsidP="00587444">
            <w:pPr>
              <w:suppressAutoHyphens w:val="0"/>
              <w:autoSpaceDN/>
              <w:spacing w:line="220" w:lineRule="exact"/>
              <w:rPr>
                <w:rFonts w:ascii="Arial" w:hAnsi="Arial" w:cs="Arial"/>
                <w:bCs/>
                <w:sz w:val="18"/>
                <w:szCs w:val="18"/>
                <w:lang w:val="en-GB"/>
              </w:rPr>
            </w:pPr>
            <w:r w:rsidRPr="00587444">
              <w:rPr>
                <w:rFonts w:ascii="Arial" w:hAnsi="Arial" w:cs="Arial"/>
                <w:bCs/>
                <w:sz w:val="18"/>
                <w:szCs w:val="18"/>
                <w:lang w:val="en-GB"/>
              </w:rPr>
              <w:t>Decrease in the fair value of financial assets available for sale</w:t>
            </w:r>
          </w:p>
        </w:tc>
        <w:tc>
          <w:tcPr>
            <w:tcW w:w="1456" w:type="dxa"/>
            <w:shd w:val="clear" w:color="auto" w:fill="auto"/>
            <w:noWrap/>
            <w:vAlign w:val="bottom"/>
          </w:tcPr>
          <w:p w14:paraId="4D394A20"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lang w:val="hr-HR"/>
              </w:rPr>
              <w:t>(11,362)</w:t>
            </w:r>
          </w:p>
        </w:tc>
        <w:tc>
          <w:tcPr>
            <w:tcW w:w="1264" w:type="dxa"/>
            <w:shd w:val="clear" w:color="auto" w:fill="auto"/>
            <w:vAlign w:val="bottom"/>
          </w:tcPr>
          <w:p w14:paraId="29DD7E1A"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lang w:val="hr-HR"/>
              </w:rPr>
              <w:t>(2,213)</w:t>
            </w:r>
          </w:p>
        </w:tc>
      </w:tr>
      <w:tr w:rsidR="00587444" w:rsidRPr="00587444" w14:paraId="3EE116DE" w14:textId="77777777" w:rsidTr="00DD69E7">
        <w:trPr>
          <w:trHeight w:val="190"/>
        </w:trPr>
        <w:tc>
          <w:tcPr>
            <w:tcW w:w="6626" w:type="dxa"/>
            <w:vAlign w:val="bottom"/>
            <w:hideMark/>
          </w:tcPr>
          <w:p w14:paraId="4E2E0FF9" w14:textId="77777777" w:rsidR="00587444" w:rsidRPr="00587444" w:rsidRDefault="00587444" w:rsidP="00587444">
            <w:pPr>
              <w:suppressAutoHyphens w:val="0"/>
              <w:autoSpaceDN/>
              <w:spacing w:line="220" w:lineRule="exact"/>
              <w:rPr>
                <w:rFonts w:ascii="Arial" w:hAnsi="Arial" w:cs="Arial"/>
                <w:bCs/>
                <w:sz w:val="18"/>
                <w:szCs w:val="18"/>
                <w:lang w:val="en-GB"/>
              </w:rPr>
            </w:pPr>
            <w:r w:rsidRPr="00587444">
              <w:rPr>
                <w:rFonts w:ascii="Arial" w:hAnsi="Arial" w:cs="Arial"/>
                <w:bCs/>
                <w:sz w:val="18"/>
                <w:szCs w:val="18"/>
                <w:lang w:val="en-GB"/>
              </w:rPr>
              <w:t xml:space="preserve">Transfer of realized gains on asset available for sale to profit or loss </w:t>
            </w:r>
          </w:p>
        </w:tc>
        <w:tc>
          <w:tcPr>
            <w:tcW w:w="1456" w:type="dxa"/>
            <w:shd w:val="clear" w:color="auto" w:fill="auto"/>
            <w:noWrap/>
            <w:vAlign w:val="bottom"/>
          </w:tcPr>
          <w:p w14:paraId="5827AF94"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lang w:val="hr-HR"/>
              </w:rPr>
              <w:t>-</w:t>
            </w:r>
          </w:p>
        </w:tc>
        <w:tc>
          <w:tcPr>
            <w:tcW w:w="1264" w:type="dxa"/>
            <w:shd w:val="clear" w:color="auto" w:fill="auto"/>
            <w:vAlign w:val="bottom"/>
          </w:tcPr>
          <w:p w14:paraId="05879EBB"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lang w:val="hr-HR"/>
              </w:rPr>
              <w:t>-</w:t>
            </w:r>
          </w:p>
        </w:tc>
      </w:tr>
      <w:tr w:rsidR="00587444" w:rsidRPr="00587444" w14:paraId="0FC24A5C" w14:textId="77777777" w:rsidTr="00DD69E7">
        <w:trPr>
          <w:trHeight w:val="109"/>
        </w:trPr>
        <w:tc>
          <w:tcPr>
            <w:tcW w:w="6626" w:type="dxa"/>
            <w:vAlign w:val="bottom"/>
            <w:hideMark/>
          </w:tcPr>
          <w:p w14:paraId="5C371F8F" w14:textId="77777777" w:rsidR="00587444" w:rsidRPr="00587444" w:rsidRDefault="00587444" w:rsidP="00587444">
            <w:pPr>
              <w:suppressAutoHyphens w:val="0"/>
              <w:autoSpaceDN/>
              <w:spacing w:line="220" w:lineRule="exact"/>
              <w:rPr>
                <w:rFonts w:ascii="Arial" w:hAnsi="Arial" w:cs="Arial"/>
                <w:bCs/>
                <w:sz w:val="18"/>
                <w:szCs w:val="18"/>
                <w:lang w:val="en-GB"/>
              </w:rPr>
            </w:pPr>
            <w:r w:rsidRPr="00587444">
              <w:rPr>
                <w:rFonts w:ascii="Arial" w:hAnsi="Arial" w:cs="Arial"/>
                <w:bCs/>
                <w:sz w:val="18"/>
                <w:szCs w:val="18"/>
                <w:lang w:val="en-GB"/>
              </w:rPr>
              <w:t xml:space="preserve">Deferred tax </w:t>
            </w:r>
          </w:p>
        </w:tc>
        <w:tc>
          <w:tcPr>
            <w:tcW w:w="1456" w:type="dxa"/>
            <w:tcBorders>
              <w:top w:val="nil"/>
              <w:left w:val="nil"/>
              <w:bottom w:val="single" w:sz="4" w:space="0" w:color="auto"/>
              <w:right w:val="nil"/>
            </w:tcBorders>
            <w:shd w:val="clear" w:color="auto" w:fill="auto"/>
            <w:noWrap/>
            <w:vAlign w:val="bottom"/>
          </w:tcPr>
          <w:p w14:paraId="49C293C8"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lang w:val="hr-HR"/>
              </w:rPr>
              <w:t>1,737</w:t>
            </w:r>
          </w:p>
        </w:tc>
        <w:tc>
          <w:tcPr>
            <w:tcW w:w="1264" w:type="dxa"/>
            <w:tcBorders>
              <w:top w:val="nil"/>
              <w:left w:val="nil"/>
              <w:bottom w:val="single" w:sz="4" w:space="0" w:color="auto"/>
              <w:right w:val="nil"/>
            </w:tcBorders>
            <w:shd w:val="clear" w:color="auto" w:fill="auto"/>
            <w:vAlign w:val="bottom"/>
          </w:tcPr>
          <w:p w14:paraId="48AC2989"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lang w:val="hr-HR"/>
              </w:rPr>
              <w:t>262</w:t>
            </w:r>
          </w:p>
        </w:tc>
      </w:tr>
      <w:tr w:rsidR="00587444" w:rsidRPr="00587444" w14:paraId="3542C882" w14:textId="77777777" w:rsidTr="00DD69E7">
        <w:trPr>
          <w:trHeight w:val="228"/>
        </w:trPr>
        <w:tc>
          <w:tcPr>
            <w:tcW w:w="6626" w:type="dxa"/>
            <w:vAlign w:val="bottom"/>
            <w:hideMark/>
          </w:tcPr>
          <w:p w14:paraId="2BAB59E1"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items that may be reclassified subsequently to profit or loss:</w:t>
            </w:r>
          </w:p>
        </w:tc>
        <w:tc>
          <w:tcPr>
            <w:tcW w:w="1456" w:type="dxa"/>
            <w:tcBorders>
              <w:top w:val="single" w:sz="4" w:space="0" w:color="auto"/>
              <w:left w:val="nil"/>
              <w:bottom w:val="single" w:sz="12" w:space="0" w:color="auto"/>
              <w:right w:val="nil"/>
            </w:tcBorders>
            <w:shd w:val="clear" w:color="auto" w:fill="auto"/>
            <w:noWrap/>
            <w:vAlign w:val="bottom"/>
          </w:tcPr>
          <w:p w14:paraId="67A3D7E4"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color w:val="000000"/>
                <w:sz w:val="18"/>
                <w:szCs w:val="18"/>
                <w:lang w:val="hr-HR"/>
              </w:rPr>
              <w:t>(7,915)</w:t>
            </w:r>
          </w:p>
        </w:tc>
        <w:tc>
          <w:tcPr>
            <w:tcW w:w="1264" w:type="dxa"/>
            <w:tcBorders>
              <w:top w:val="single" w:sz="4" w:space="0" w:color="auto"/>
              <w:left w:val="nil"/>
              <w:bottom w:val="single" w:sz="12" w:space="0" w:color="auto"/>
              <w:right w:val="nil"/>
            </w:tcBorders>
            <w:shd w:val="clear" w:color="auto" w:fill="auto"/>
            <w:vAlign w:val="bottom"/>
          </w:tcPr>
          <w:p w14:paraId="139E26CA"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color w:val="000000"/>
                <w:sz w:val="18"/>
                <w:szCs w:val="18"/>
                <w:lang w:val="hr-HR"/>
              </w:rPr>
              <w:t>(1,187)</w:t>
            </w:r>
          </w:p>
        </w:tc>
      </w:tr>
      <w:tr w:rsidR="00587444" w:rsidRPr="00587444" w14:paraId="752DAE6C" w14:textId="77777777" w:rsidTr="002A7CD6">
        <w:trPr>
          <w:trHeight w:val="44"/>
        </w:trPr>
        <w:tc>
          <w:tcPr>
            <w:tcW w:w="6626" w:type="dxa"/>
            <w:vAlign w:val="bottom"/>
          </w:tcPr>
          <w:p w14:paraId="5E12F4BF" w14:textId="77777777" w:rsidR="00587444" w:rsidRPr="00587444" w:rsidRDefault="00587444" w:rsidP="00587444">
            <w:pPr>
              <w:suppressAutoHyphens w:val="0"/>
              <w:autoSpaceDN/>
              <w:spacing w:line="140" w:lineRule="exact"/>
              <w:rPr>
                <w:rFonts w:ascii="Arial" w:hAnsi="Arial" w:cs="Arial"/>
                <w:b/>
                <w:bCs/>
                <w:sz w:val="18"/>
                <w:szCs w:val="18"/>
                <w:lang w:val="en-GB"/>
              </w:rPr>
            </w:pPr>
          </w:p>
        </w:tc>
        <w:tc>
          <w:tcPr>
            <w:tcW w:w="1456" w:type="dxa"/>
            <w:tcBorders>
              <w:top w:val="single" w:sz="12" w:space="0" w:color="auto"/>
              <w:left w:val="nil"/>
              <w:right w:val="nil"/>
            </w:tcBorders>
            <w:shd w:val="clear" w:color="auto" w:fill="auto"/>
            <w:noWrap/>
            <w:vAlign w:val="bottom"/>
          </w:tcPr>
          <w:p w14:paraId="18443535" w14:textId="77777777" w:rsidR="00587444" w:rsidRPr="00587444" w:rsidRDefault="00587444" w:rsidP="00587444">
            <w:pPr>
              <w:suppressAutoHyphens w:val="0"/>
              <w:autoSpaceDN/>
              <w:spacing w:line="140" w:lineRule="exact"/>
              <w:jc w:val="right"/>
              <w:rPr>
                <w:rFonts w:ascii="Arial" w:hAnsi="Arial" w:cs="Arial"/>
                <w:bCs/>
                <w:sz w:val="18"/>
                <w:szCs w:val="18"/>
                <w:lang w:val="en-GB"/>
              </w:rPr>
            </w:pPr>
          </w:p>
        </w:tc>
        <w:tc>
          <w:tcPr>
            <w:tcW w:w="1264" w:type="dxa"/>
            <w:tcBorders>
              <w:top w:val="single" w:sz="12" w:space="0" w:color="auto"/>
              <w:left w:val="nil"/>
              <w:right w:val="nil"/>
            </w:tcBorders>
            <w:shd w:val="clear" w:color="auto" w:fill="auto"/>
            <w:vAlign w:val="bottom"/>
          </w:tcPr>
          <w:p w14:paraId="0BB9E25D" w14:textId="77777777" w:rsidR="00587444" w:rsidRPr="00587444" w:rsidRDefault="00587444" w:rsidP="00587444">
            <w:pPr>
              <w:suppressAutoHyphens w:val="0"/>
              <w:autoSpaceDN/>
              <w:spacing w:line="140" w:lineRule="exact"/>
              <w:jc w:val="right"/>
              <w:rPr>
                <w:rFonts w:ascii="Arial" w:hAnsi="Arial" w:cs="Arial"/>
                <w:bCs/>
                <w:sz w:val="18"/>
                <w:szCs w:val="18"/>
                <w:lang w:val="en-GB"/>
              </w:rPr>
            </w:pPr>
          </w:p>
        </w:tc>
      </w:tr>
      <w:tr w:rsidR="00587444" w:rsidRPr="00587444" w14:paraId="234E1435" w14:textId="77777777" w:rsidTr="002A7CD6">
        <w:trPr>
          <w:trHeight w:val="101"/>
        </w:trPr>
        <w:tc>
          <w:tcPr>
            <w:tcW w:w="6626" w:type="dxa"/>
            <w:vAlign w:val="bottom"/>
            <w:hideMark/>
          </w:tcPr>
          <w:p w14:paraId="74895E9E"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Other comprehensive income after income tax</w:t>
            </w:r>
          </w:p>
        </w:tc>
        <w:tc>
          <w:tcPr>
            <w:tcW w:w="1456" w:type="dxa"/>
            <w:tcBorders>
              <w:bottom w:val="single" w:sz="4" w:space="0" w:color="auto"/>
            </w:tcBorders>
            <w:shd w:val="clear" w:color="auto" w:fill="auto"/>
            <w:noWrap/>
            <w:vAlign w:val="bottom"/>
          </w:tcPr>
          <w:p w14:paraId="54FFB721"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color w:val="000000"/>
                <w:sz w:val="18"/>
                <w:szCs w:val="18"/>
                <w:lang w:val="hr-HR"/>
              </w:rPr>
              <w:t>(7,915)</w:t>
            </w:r>
          </w:p>
        </w:tc>
        <w:tc>
          <w:tcPr>
            <w:tcW w:w="1264" w:type="dxa"/>
            <w:tcBorders>
              <w:bottom w:val="single" w:sz="4" w:space="0" w:color="auto"/>
            </w:tcBorders>
            <w:shd w:val="clear" w:color="auto" w:fill="auto"/>
            <w:vAlign w:val="bottom"/>
          </w:tcPr>
          <w:p w14:paraId="71213DD5"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color w:val="000000"/>
                <w:sz w:val="18"/>
                <w:szCs w:val="18"/>
                <w:lang w:val="hr-HR"/>
              </w:rPr>
              <w:t>(1,187)</w:t>
            </w:r>
          </w:p>
        </w:tc>
      </w:tr>
      <w:tr w:rsidR="00587444" w:rsidRPr="00587444" w14:paraId="17EF7AE8" w14:textId="77777777" w:rsidTr="002A7CD6">
        <w:trPr>
          <w:trHeight w:val="70"/>
        </w:trPr>
        <w:tc>
          <w:tcPr>
            <w:tcW w:w="6626" w:type="dxa"/>
            <w:vAlign w:val="bottom"/>
          </w:tcPr>
          <w:p w14:paraId="056A0A9A" w14:textId="77777777" w:rsidR="00587444" w:rsidRPr="00587444" w:rsidRDefault="00587444" w:rsidP="00587444">
            <w:pPr>
              <w:suppressAutoHyphens w:val="0"/>
              <w:autoSpaceDN/>
              <w:spacing w:line="140" w:lineRule="exact"/>
              <w:rPr>
                <w:rFonts w:ascii="Arial" w:hAnsi="Arial" w:cs="Arial"/>
                <w:b/>
                <w:bCs/>
                <w:sz w:val="18"/>
                <w:szCs w:val="18"/>
                <w:lang w:val="en-GB"/>
              </w:rPr>
            </w:pPr>
          </w:p>
        </w:tc>
        <w:tc>
          <w:tcPr>
            <w:tcW w:w="1456" w:type="dxa"/>
            <w:tcBorders>
              <w:top w:val="single" w:sz="4" w:space="0" w:color="auto"/>
              <w:left w:val="nil"/>
              <w:right w:val="nil"/>
            </w:tcBorders>
            <w:shd w:val="clear" w:color="auto" w:fill="auto"/>
            <w:noWrap/>
            <w:vAlign w:val="bottom"/>
          </w:tcPr>
          <w:p w14:paraId="50256526" w14:textId="77777777" w:rsidR="00587444" w:rsidRPr="00587444" w:rsidRDefault="00587444" w:rsidP="00587444">
            <w:pPr>
              <w:suppressAutoHyphens w:val="0"/>
              <w:autoSpaceDN/>
              <w:spacing w:line="140" w:lineRule="exact"/>
              <w:jc w:val="right"/>
              <w:rPr>
                <w:rFonts w:ascii="Arial" w:hAnsi="Arial" w:cs="Arial"/>
                <w:b/>
                <w:bCs/>
                <w:sz w:val="18"/>
                <w:szCs w:val="18"/>
                <w:lang w:val="en-GB"/>
              </w:rPr>
            </w:pPr>
          </w:p>
        </w:tc>
        <w:tc>
          <w:tcPr>
            <w:tcW w:w="1264" w:type="dxa"/>
            <w:tcBorders>
              <w:top w:val="single" w:sz="4" w:space="0" w:color="auto"/>
              <w:left w:val="nil"/>
              <w:right w:val="nil"/>
            </w:tcBorders>
            <w:shd w:val="clear" w:color="auto" w:fill="auto"/>
            <w:vAlign w:val="bottom"/>
          </w:tcPr>
          <w:p w14:paraId="45A64D47" w14:textId="77777777" w:rsidR="00587444" w:rsidRPr="00587444" w:rsidRDefault="00587444" w:rsidP="00587444">
            <w:pPr>
              <w:suppressAutoHyphens w:val="0"/>
              <w:autoSpaceDN/>
              <w:spacing w:line="140" w:lineRule="exact"/>
              <w:jc w:val="right"/>
              <w:rPr>
                <w:rFonts w:ascii="Arial" w:hAnsi="Arial" w:cs="Arial"/>
                <w:b/>
                <w:bCs/>
                <w:sz w:val="18"/>
                <w:szCs w:val="18"/>
                <w:lang w:val="en-GB"/>
              </w:rPr>
            </w:pPr>
          </w:p>
        </w:tc>
      </w:tr>
      <w:tr w:rsidR="00587444" w:rsidRPr="00587444" w14:paraId="529F4AFD" w14:textId="77777777" w:rsidTr="002A7CD6">
        <w:trPr>
          <w:trHeight w:val="132"/>
        </w:trPr>
        <w:tc>
          <w:tcPr>
            <w:tcW w:w="6626" w:type="dxa"/>
            <w:vAlign w:val="bottom"/>
            <w:hideMark/>
          </w:tcPr>
          <w:p w14:paraId="594ACF27"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comprehensive income after income tax</w:t>
            </w:r>
          </w:p>
        </w:tc>
        <w:tc>
          <w:tcPr>
            <w:tcW w:w="1456" w:type="dxa"/>
            <w:tcBorders>
              <w:left w:val="nil"/>
              <w:bottom w:val="single" w:sz="12" w:space="0" w:color="auto"/>
              <w:right w:val="nil"/>
            </w:tcBorders>
            <w:shd w:val="clear" w:color="auto" w:fill="auto"/>
            <w:noWrap/>
            <w:vAlign w:val="bottom"/>
          </w:tcPr>
          <w:p w14:paraId="25F9DFD7"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color w:val="000000"/>
                <w:sz w:val="18"/>
                <w:szCs w:val="18"/>
                <w:lang w:val="hr-HR"/>
              </w:rPr>
              <w:t>(4,630)</w:t>
            </w:r>
          </w:p>
        </w:tc>
        <w:tc>
          <w:tcPr>
            <w:tcW w:w="1264" w:type="dxa"/>
            <w:tcBorders>
              <w:left w:val="nil"/>
              <w:bottom w:val="single" w:sz="12" w:space="0" w:color="auto"/>
              <w:right w:val="nil"/>
            </w:tcBorders>
            <w:shd w:val="clear" w:color="auto" w:fill="auto"/>
            <w:vAlign w:val="bottom"/>
          </w:tcPr>
          <w:p w14:paraId="7E0CF852"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color w:val="000000"/>
                <w:sz w:val="18"/>
                <w:szCs w:val="18"/>
                <w:lang w:val="hr-HR"/>
              </w:rPr>
              <w:t>(84)</w:t>
            </w:r>
          </w:p>
        </w:tc>
      </w:tr>
      <w:tr w:rsidR="00587444" w:rsidRPr="00587444" w14:paraId="50BE3AC8" w14:textId="77777777" w:rsidTr="00DD69E7">
        <w:trPr>
          <w:trHeight w:val="125"/>
        </w:trPr>
        <w:tc>
          <w:tcPr>
            <w:tcW w:w="6626" w:type="dxa"/>
            <w:vAlign w:val="bottom"/>
          </w:tcPr>
          <w:p w14:paraId="440CA6A6" w14:textId="77777777" w:rsidR="00587444" w:rsidRPr="00587444" w:rsidRDefault="00587444" w:rsidP="00587444">
            <w:pPr>
              <w:suppressAutoHyphens w:val="0"/>
              <w:autoSpaceDN/>
              <w:spacing w:line="140" w:lineRule="exact"/>
              <w:rPr>
                <w:rFonts w:ascii="Arial" w:hAnsi="Arial" w:cs="Arial"/>
                <w:bCs/>
                <w:color w:val="000000"/>
                <w:sz w:val="18"/>
                <w:szCs w:val="18"/>
                <w:lang w:val="hr-HR"/>
              </w:rPr>
            </w:pPr>
          </w:p>
        </w:tc>
        <w:tc>
          <w:tcPr>
            <w:tcW w:w="1456" w:type="dxa"/>
            <w:tcBorders>
              <w:top w:val="single" w:sz="12" w:space="0" w:color="auto"/>
              <w:left w:val="nil"/>
              <w:bottom w:val="nil"/>
              <w:right w:val="nil"/>
            </w:tcBorders>
            <w:shd w:val="clear" w:color="auto" w:fill="auto"/>
            <w:noWrap/>
            <w:vAlign w:val="bottom"/>
          </w:tcPr>
          <w:p w14:paraId="346206DF" w14:textId="77777777" w:rsidR="00587444" w:rsidRPr="00587444" w:rsidRDefault="00587444" w:rsidP="00587444">
            <w:pPr>
              <w:suppressAutoHyphens w:val="0"/>
              <w:autoSpaceDN/>
              <w:spacing w:line="140" w:lineRule="exact"/>
              <w:jc w:val="right"/>
              <w:rPr>
                <w:rFonts w:ascii="Arial" w:hAnsi="Arial" w:cs="Arial"/>
                <w:bCs/>
                <w:color w:val="000000"/>
                <w:sz w:val="18"/>
                <w:szCs w:val="18"/>
                <w:lang w:val="hr-HR"/>
              </w:rPr>
            </w:pPr>
          </w:p>
        </w:tc>
        <w:tc>
          <w:tcPr>
            <w:tcW w:w="1264" w:type="dxa"/>
            <w:tcBorders>
              <w:top w:val="single" w:sz="12" w:space="0" w:color="auto"/>
              <w:left w:val="nil"/>
              <w:bottom w:val="nil"/>
              <w:right w:val="nil"/>
            </w:tcBorders>
            <w:shd w:val="clear" w:color="auto" w:fill="auto"/>
            <w:vAlign w:val="bottom"/>
          </w:tcPr>
          <w:p w14:paraId="2FAE6750" w14:textId="77777777" w:rsidR="00587444" w:rsidRPr="00587444" w:rsidRDefault="00587444" w:rsidP="00587444">
            <w:pPr>
              <w:suppressAutoHyphens w:val="0"/>
              <w:autoSpaceDN/>
              <w:spacing w:line="140" w:lineRule="exact"/>
              <w:jc w:val="right"/>
              <w:rPr>
                <w:rFonts w:ascii="Arial" w:hAnsi="Arial" w:cs="Arial"/>
                <w:bCs/>
                <w:color w:val="000000"/>
                <w:sz w:val="18"/>
                <w:szCs w:val="18"/>
                <w:lang w:val="hr-HR"/>
              </w:rPr>
            </w:pPr>
          </w:p>
        </w:tc>
      </w:tr>
      <w:tr w:rsidR="00587444" w:rsidRPr="00587444" w14:paraId="7ADC214E" w14:textId="77777777" w:rsidTr="00DD69E7">
        <w:trPr>
          <w:trHeight w:val="74"/>
        </w:trPr>
        <w:tc>
          <w:tcPr>
            <w:tcW w:w="6626" w:type="dxa"/>
            <w:vAlign w:val="bottom"/>
            <w:hideMark/>
          </w:tcPr>
          <w:p w14:paraId="2CE1F8E1"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Attributable to:</w:t>
            </w:r>
          </w:p>
        </w:tc>
        <w:tc>
          <w:tcPr>
            <w:tcW w:w="1456" w:type="dxa"/>
            <w:shd w:val="clear" w:color="auto" w:fill="auto"/>
            <w:noWrap/>
            <w:vAlign w:val="bottom"/>
          </w:tcPr>
          <w:p w14:paraId="74158AA1"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p>
        </w:tc>
        <w:tc>
          <w:tcPr>
            <w:tcW w:w="1264" w:type="dxa"/>
            <w:shd w:val="clear" w:color="auto" w:fill="auto"/>
            <w:vAlign w:val="bottom"/>
          </w:tcPr>
          <w:p w14:paraId="797439D9"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p>
        </w:tc>
      </w:tr>
      <w:tr w:rsidR="00587444" w:rsidRPr="00587444" w14:paraId="0D566960" w14:textId="77777777" w:rsidTr="00DD69E7">
        <w:trPr>
          <w:trHeight w:val="58"/>
        </w:trPr>
        <w:tc>
          <w:tcPr>
            <w:tcW w:w="6626" w:type="dxa"/>
            <w:vAlign w:val="bottom"/>
            <w:hideMark/>
          </w:tcPr>
          <w:p w14:paraId="69F6A7B1" w14:textId="77777777" w:rsidR="00587444" w:rsidRPr="00587444" w:rsidRDefault="00587444" w:rsidP="00587444">
            <w:pPr>
              <w:suppressAutoHyphens w:val="0"/>
              <w:autoSpaceDN/>
              <w:spacing w:line="220" w:lineRule="exact"/>
              <w:rPr>
                <w:rFonts w:ascii="Arial" w:hAnsi="Arial" w:cs="Arial"/>
                <w:bCs/>
                <w:sz w:val="18"/>
                <w:szCs w:val="18"/>
                <w:lang w:val="en-GB"/>
              </w:rPr>
            </w:pPr>
            <w:r w:rsidRPr="00587444">
              <w:rPr>
                <w:rFonts w:ascii="Arial" w:hAnsi="Arial" w:cs="Arial"/>
                <w:bCs/>
                <w:sz w:val="18"/>
                <w:szCs w:val="18"/>
                <w:lang w:val="en-GB"/>
              </w:rPr>
              <w:t>Equity holder of the parent</w:t>
            </w:r>
          </w:p>
        </w:tc>
        <w:tc>
          <w:tcPr>
            <w:tcW w:w="1456" w:type="dxa"/>
            <w:tcBorders>
              <w:top w:val="nil"/>
              <w:left w:val="nil"/>
              <w:bottom w:val="single" w:sz="12" w:space="0" w:color="auto"/>
              <w:right w:val="nil"/>
            </w:tcBorders>
            <w:shd w:val="clear" w:color="auto" w:fill="auto"/>
            <w:noWrap/>
            <w:vAlign w:val="bottom"/>
          </w:tcPr>
          <w:p w14:paraId="368C22F8"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color w:val="000000"/>
                <w:sz w:val="18"/>
                <w:szCs w:val="18"/>
                <w:lang w:val="hr-HR"/>
              </w:rPr>
              <w:t>(4,630)</w:t>
            </w:r>
          </w:p>
        </w:tc>
        <w:tc>
          <w:tcPr>
            <w:tcW w:w="1264" w:type="dxa"/>
            <w:tcBorders>
              <w:top w:val="nil"/>
              <w:left w:val="nil"/>
              <w:bottom w:val="single" w:sz="12" w:space="0" w:color="auto"/>
              <w:right w:val="nil"/>
            </w:tcBorders>
            <w:shd w:val="clear" w:color="auto" w:fill="auto"/>
            <w:vAlign w:val="bottom"/>
          </w:tcPr>
          <w:p w14:paraId="39264CA0"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color w:val="000000"/>
                <w:sz w:val="18"/>
                <w:szCs w:val="18"/>
              </w:rPr>
              <w:t>(84)</w:t>
            </w:r>
          </w:p>
        </w:tc>
      </w:tr>
    </w:tbl>
    <w:p w14:paraId="471533C8" w14:textId="77777777" w:rsidR="00587444" w:rsidRPr="00587444" w:rsidRDefault="00587444" w:rsidP="00587444">
      <w:pPr>
        <w:suppressAutoHyphens w:val="0"/>
        <w:autoSpaceDN/>
        <w:spacing w:before="120"/>
        <w:jc w:val="both"/>
        <w:rPr>
          <w:rFonts w:ascii="Arial" w:hAnsi="Arial" w:cs="Arial"/>
          <w:color w:val="000000"/>
          <w:sz w:val="20"/>
          <w:szCs w:val="20"/>
          <w:lang w:val="hr-HR"/>
        </w:rPr>
      </w:pPr>
    </w:p>
    <w:p w14:paraId="13706A6F" w14:textId="77777777" w:rsidR="00587444" w:rsidRPr="00587444" w:rsidRDefault="00587444" w:rsidP="00587444">
      <w:pPr>
        <w:suppressAutoHyphens w:val="0"/>
        <w:autoSpaceDN/>
        <w:jc w:val="both"/>
        <w:rPr>
          <w:rFonts w:ascii="Arial" w:hAnsi="Arial" w:cs="Arial"/>
          <w:color w:val="000000"/>
          <w:sz w:val="20"/>
          <w:szCs w:val="20"/>
          <w:lang w:val="hr-HR"/>
        </w:rPr>
      </w:pPr>
    </w:p>
    <w:p w14:paraId="5AAFD194" w14:textId="77777777" w:rsidR="00587444" w:rsidRPr="00587444" w:rsidRDefault="00587444" w:rsidP="00587444">
      <w:pPr>
        <w:suppressAutoHyphens w:val="0"/>
        <w:autoSpaceDN/>
        <w:spacing w:before="120"/>
        <w:jc w:val="both"/>
        <w:rPr>
          <w:rFonts w:ascii="Arial" w:hAnsi="Arial" w:cs="Arial"/>
          <w:color w:val="000000"/>
          <w:sz w:val="20"/>
          <w:szCs w:val="20"/>
          <w:lang w:val="hr-HR"/>
        </w:rPr>
      </w:pPr>
    </w:p>
    <w:p w14:paraId="26080FE1" w14:textId="50B59B93" w:rsidR="00587444" w:rsidRPr="00587444" w:rsidRDefault="00587444" w:rsidP="00587444">
      <w:pPr>
        <w:suppressAutoHyphens w:val="0"/>
        <w:autoSpaceDN/>
        <w:spacing w:before="120"/>
        <w:jc w:val="both"/>
        <w:rPr>
          <w:rFonts w:ascii="Arial" w:hAnsi="Arial" w:cs="Arial"/>
          <w:color w:val="000000"/>
          <w:sz w:val="20"/>
          <w:szCs w:val="20"/>
          <w:lang w:val="en-GB"/>
        </w:rPr>
      </w:pPr>
      <w:r w:rsidRPr="00587444">
        <w:rPr>
          <w:rFonts w:ascii="Arial" w:hAnsi="Arial" w:cs="Arial"/>
          <w:color w:val="000000"/>
          <w:sz w:val="20"/>
          <w:szCs w:val="20"/>
          <w:lang w:val="en-GB"/>
        </w:rPr>
        <w:t>Profit before and after taxation in the separate financial statements of the HKO Group differs from the result</w:t>
      </w:r>
      <w:r w:rsidRPr="00587444">
        <w:rPr>
          <w:lang w:val="en-GB"/>
        </w:rPr>
        <w:t xml:space="preserve"> </w:t>
      </w:r>
      <w:r w:rsidRPr="00587444">
        <w:rPr>
          <w:rFonts w:ascii="Arial" w:hAnsi="Arial" w:cs="Arial"/>
          <w:color w:val="000000"/>
          <w:sz w:val="20"/>
          <w:szCs w:val="20"/>
          <w:lang w:val="en-GB"/>
        </w:rPr>
        <w:t>in the Consolidated Income Statement of HBOR Group, as IFRS 9 has not been applied in separate financial statements</w:t>
      </w:r>
      <w:r w:rsidR="005D302B">
        <w:rPr>
          <w:rFonts w:ascii="Arial" w:hAnsi="Arial" w:cs="Arial"/>
          <w:color w:val="000000"/>
          <w:sz w:val="20"/>
          <w:szCs w:val="20"/>
          <w:lang w:val="en-GB"/>
        </w:rPr>
        <w:t>.</w:t>
      </w:r>
      <w:r w:rsidRPr="00587444">
        <w:rPr>
          <w:rFonts w:ascii="Arial" w:hAnsi="Arial" w:cs="Arial"/>
          <w:color w:val="000000"/>
          <w:sz w:val="20"/>
          <w:szCs w:val="20"/>
          <w:lang w:val="en-GB"/>
        </w:rPr>
        <w:t xml:space="preserve"> </w:t>
      </w:r>
    </w:p>
    <w:p w14:paraId="1E5600E8" w14:textId="77777777" w:rsidR="00587444" w:rsidRPr="00587444" w:rsidRDefault="00587444" w:rsidP="00587444">
      <w:pPr>
        <w:suppressAutoHyphens w:val="0"/>
        <w:autoSpaceDN/>
        <w:spacing w:before="120"/>
        <w:jc w:val="both"/>
        <w:rPr>
          <w:rFonts w:ascii="Arial" w:hAnsi="Arial" w:cs="Arial"/>
          <w:b/>
          <w:color w:val="000000"/>
          <w:sz w:val="20"/>
          <w:szCs w:val="20"/>
          <w:lang w:val="hr-HR"/>
        </w:rPr>
        <w:sectPr w:rsidR="00587444" w:rsidRPr="00587444" w:rsidSect="00DD69E7">
          <w:headerReference w:type="default" r:id="rId94"/>
          <w:pgSz w:w="11907" w:h="16840" w:code="9"/>
          <w:pgMar w:top="1418" w:right="1134" w:bottom="1134" w:left="1418" w:header="851" w:footer="851" w:gutter="0"/>
          <w:cols w:space="720"/>
          <w:noEndnote/>
        </w:sectPr>
      </w:pPr>
    </w:p>
    <w:tbl>
      <w:tblPr>
        <w:tblpPr w:leftFromText="181" w:rightFromText="181" w:vertAnchor="text" w:horzAnchor="margin" w:tblpXSpec="center" w:tblpY="450"/>
        <w:tblW w:w="8515" w:type="dxa"/>
        <w:tblLayout w:type="fixed"/>
        <w:tblLook w:val="04A0" w:firstRow="1" w:lastRow="0" w:firstColumn="1" w:lastColumn="0" w:noHBand="0" w:noVBand="1"/>
      </w:tblPr>
      <w:tblGrid>
        <w:gridCol w:w="5840"/>
        <w:gridCol w:w="1337"/>
        <w:gridCol w:w="1338"/>
      </w:tblGrid>
      <w:tr w:rsidR="00587444" w:rsidRPr="00587444" w14:paraId="781C5E71" w14:textId="77777777" w:rsidTr="00DD69E7">
        <w:trPr>
          <w:trHeight w:val="119"/>
        </w:trPr>
        <w:tc>
          <w:tcPr>
            <w:tcW w:w="5840" w:type="dxa"/>
            <w:vAlign w:val="bottom"/>
          </w:tcPr>
          <w:p w14:paraId="646D99C6" w14:textId="77777777" w:rsidR="00587444" w:rsidRPr="00587444" w:rsidRDefault="00587444" w:rsidP="00587444">
            <w:pPr>
              <w:suppressAutoHyphens w:val="0"/>
              <w:autoSpaceDN/>
              <w:spacing w:line="220" w:lineRule="exact"/>
              <w:rPr>
                <w:rFonts w:ascii="Arial" w:hAnsi="Arial" w:cs="Arial"/>
                <w:b/>
                <w:bCs/>
                <w:sz w:val="18"/>
                <w:szCs w:val="18"/>
                <w:lang w:val="en-GB"/>
              </w:rPr>
            </w:pPr>
          </w:p>
        </w:tc>
        <w:tc>
          <w:tcPr>
            <w:tcW w:w="1337" w:type="dxa"/>
            <w:noWrap/>
            <w:vAlign w:val="bottom"/>
            <w:hideMark/>
          </w:tcPr>
          <w:p w14:paraId="5BB1246F"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2022</w:t>
            </w:r>
          </w:p>
        </w:tc>
        <w:tc>
          <w:tcPr>
            <w:tcW w:w="1338" w:type="dxa"/>
            <w:hideMark/>
          </w:tcPr>
          <w:p w14:paraId="35CF988E"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2021</w:t>
            </w:r>
          </w:p>
        </w:tc>
      </w:tr>
      <w:tr w:rsidR="00587444" w:rsidRPr="00587444" w14:paraId="5DF5D32B" w14:textId="77777777" w:rsidTr="00DD69E7">
        <w:trPr>
          <w:trHeight w:val="95"/>
        </w:trPr>
        <w:tc>
          <w:tcPr>
            <w:tcW w:w="5840" w:type="dxa"/>
            <w:vAlign w:val="bottom"/>
          </w:tcPr>
          <w:p w14:paraId="7360139A" w14:textId="77777777" w:rsidR="00587444" w:rsidRPr="00587444" w:rsidRDefault="00587444" w:rsidP="00587444">
            <w:pPr>
              <w:suppressAutoHyphens w:val="0"/>
              <w:autoSpaceDN/>
              <w:spacing w:line="220" w:lineRule="exact"/>
              <w:rPr>
                <w:rFonts w:ascii="Arial" w:hAnsi="Arial" w:cs="Arial"/>
                <w:b/>
                <w:bCs/>
                <w:sz w:val="18"/>
                <w:szCs w:val="18"/>
                <w:lang w:val="en-GB"/>
              </w:rPr>
            </w:pPr>
          </w:p>
        </w:tc>
        <w:tc>
          <w:tcPr>
            <w:tcW w:w="1337" w:type="dxa"/>
            <w:noWrap/>
            <w:vAlign w:val="bottom"/>
            <w:hideMark/>
          </w:tcPr>
          <w:p w14:paraId="47DCF334"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HRK ‘000</w:t>
            </w:r>
          </w:p>
        </w:tc>
        <w:tc>
          <w:tcPr>
            <w:tcW w:w="1338" w:type="dxa"/>
            <w:hideMark/>
          </w:tcPr>
          <w:p w14:paraId="026B0044"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HRK ‘000</w:t>
            </w:r>
          </w:p>
        </w:tc>
      </w:tr>
      <w:tr w:rsidR="00587444" w:rsidRPr="00587444" w14:paraId="0F741DEE" w14:textId="77777777" w:rsidTr="00DD69E7">
        <w:trPr>
          <w:trHeight w:val="59"/>
        </w:trPr>
        <w:tc>
          <w:tcPr>
            <w:tcW w:w="5840" w:type="dxa"/>
            <w:vAlign w:val="bottom"/>
          </w:tcPr>
          <w:p w14:paraId="3AB307BE"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337" w:type="dxa"/>
            <w:noWrap/>
            <w:vAlign w:val="bottom"/>
          </w:tcPr>
          <w:p w14:paraId="013CDCD1"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338" w:type="dxa"/>
          </w:tcPr>
          <w:p w14:paraId="16EFFAC5" w14:textId="77777777" w:rsidR="00587444" w:rsidRPr="00587444" w:rsidRDefault="00587444" w:rsidP="00587444">
            <w:pPr>
              <w:suppressAutoHyphens w:val="0"/>
              <w:autoSpaceDN/>
              <w:spacing w:line="140" w:lineRule="exact"/>
              <w:rPr>
                <w:rFonts w:ascii="Arial" w:hAnsi="Arial" w:cs="Arial"/>
                <w:sz w:val="18"/>
                <w:szCs w:val="18"/>
                <w:lang w:val="en-GB"/>
              </w:rPr>
            </w:pPr>
          </w:p>
        </w:tc>
      </w:tr>
      <w:tr w:rsidR="00587444" w:rsidRPr="00587444" w14:paraId="1DFD2799" w14:textId="77777777" w:rsidTr="00DD69E7">
        <w:trPr>
          <w:trHeight w:val="109"/>
        </w:trPr>
        <w:tc>
          <w:tcPr>
            <w:tcW w:w="5840" w:type="dxa"/>
            <w:vAlign w:val="bottom"/>
            <w:hideMark/>
          </w:tcPr>
          <w:p w14:paraId="74ACE194" w14:textId="77777777" w:rsidR="00587444" w:rsidRPr="00587444" w:rsidRDefault="00587444" w:rsidP="00587444">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Assets</w:t>
            </w:r>
          </w:p>
        </w:tc>
        <w:tc>
          <w:tcPr>
            <w:tcW w:w="1337" w:type="dxa"/>
            <w:noWrap/>
            <w:vAlign w:val="bottom"/>
          </w:tcPr>
          <w:p w14:paraId="2756D01C"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c>
          <w:tcPr>
            <w:tcW w:w="1338" w:type="dxa"/>
          </w:tcPr>
          <w:p w14:paraId="487A7C3E"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r>
      <w:tr w:rsidR="00587444" w:rsidRPr="00587444" w14:paraId="651BC773" w14:textId="77777777" w:rsidTr="00DD69E7">
        <w:trPr>
          <w:trHeight w:val="66"/>
        </w:trPr>
        <w:tc>
          <w:tcPr>
            <w:tcW w:w="5840" w:type="dxa"/>
            <w:vAlign w:val="bottom"/>
            <w:hideMark/>
          </w:tcPr>
          <w:p w14:paraId="13E4E097" w14:textId="77777777" w:rsidR="00587444" w:rsidRPr="00587444" w:rsidRDefault="00587444" w:rsidP="00587444">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Non-current assets</w:t>
            </w:r>
          </w:p>
        </w:tc>
        <w:tc>
          <w:tcPr>
            <w:tcW w:w="1337" w:type="dxa"/>
            <w:noWrap/>
            <w:vAlign w:val="bottom"/>
          </w:tcPr>
          <w:p w14:paraId="4E88C9AF"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c>
          <w:tcPr>
            <w:tcW w:w="1338" w:type="dxa"/>
          </w:tcPr>
          <w:p w14:paraId="70AE2DB1"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r>
      <w:tr w:rsidR="00587444" w:rsidRPr="00587444" w14:paraId="629300B6" w14:textId="77777777" w:rsidTr="00DD69E7">
        <w:trPr>
          <w:trHeight w:val="181"/>
        </w:trPr>
        <w:tc>
          <w:tcPr>
            <w:tcW w:w="5840" w:type="dxa"/>
            <w:vAlign w:val="bottom"/>
            <w:hideMark/>
          </w:tcPr>
          <w:p w14:paraId="75BF7332"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Property and equipment</w:t>
            </w:r>
          </w:p>
        </w:tc>
        <w:tc>
          <w:tcPr>
            <w:tcW w:w="1337" w:type="dxa"/>
            <w:shd w:val="clear" w:color="auto" w:fill="auto"/>
            <w:noWrap/>
            <w:vAlign w:val="bottom"/>
          </w:tcPr>
          <w:p w14:paraId="4CB33EFF"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533</w:t>
            </w:r>
          </w:p>
        </w:tc>
        <w:tc>
          <w:tcPr>
            <w:tcW w:w="1338" w:type="dxa"/>
            <w:shd w:val="clear" w:color="auto" w:fill="auto"/>
            <w:hideMark/>
          </w:tcPr>
          <w:p w14:paraId="1384A3F7"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825</w:t>
            </w:r>
          </w:p>
        </w:tc>
      </w:tr>
      <w:tr w:rsidR="00587444" w:rsidRPr="00587444" w14:paraId="766FE71B" w14:textId="77777777" w:rsidTr="00DD69E7">
        <w:trPr>
          <w:trHeight w:val="181"/>
        </w:trPr>
        <w:tc>
          <w:tcPr>
            <w:tcW w:w="5840" w:type="dxa"/>
            <w:vAlign w:val="bottom"/>
            <w:hideMark/>
          </w:tcPr>
          <w:p w14:paraId="3C8F38FC"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Intangible assets</w:t>
            </w:r>
          </w:p>
        </w:tc>
        <w:tc>
          <w:tcPr>
            <w:tcW w:w="1337" w:type="dxa"/>
            <w:shd w:val="clear" w:color="auto" w:fill="auto"/>
            <w:noWrap/>
            <w:vAlign w:val="bottom"/>
          </w:tcPr>
          <w:p w14:paraId="5D89E07B"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571</w:t>
            </w:r>
          </w:p>
        </w:tc>
        <w:tc>
          <w:tcPr>
            <w:tcW w:w="1338" w:type="dxa"/>
            <w:shd w:val="clear" w:color="auto" w:fill="auto"/>
            <w:hideMark/>
          </w:tcPr>
          <w:p w14:paraId="0D75ACB9"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439</w:t>
            </w:r>
          </w:p>
        </w:tc>
      </w:tr>
      <w:tr w:rsidR="00587444" w:rsidRPr="00587444" w14:paraId="10C46DB7" w14:textId="77777777" w:rsidTr="00DD69E7">
        <w:trPr>
          <w:trHeight w:val="181"/>
        </w:trPr>
        <w:tc>
          <w:tcPr>
            <w:tcW w:w="5840" w:type="dxa"/>
            <w:vAlign w:val="bottom"/>
          </w:tcPr>
          <w:p w14:paraId="3E01F5F6"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Deferred tax assets</w:t>
            </w:r>
          </w:p>
        </w:tc>
        <w:tc>
          <w:tcPr>
            <w:tcW w:w="1337" w:type="dxa"/>
            <w:shd w:val="clear" w:color="auto" w:fill="auto"/>
            <w:noWrap/>
            <w:vAlign w:val="bottom"/>
          </w:tcPr>
          <w:p w14:paraId="6C45C1A5"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1,174</w:t>
            </w:r>
          </w:p>
        </w:tc>
        <w:tc>
          <w:tcPr>
            <w:tcW w:w="1338" w:type="dxa"/>
            <w:shd w:val="clear" w:color="auto" w:fill="auto"/>
          </w:tcPr>
          <w:p w14:paraId="4B22CAA1" w14:textId="627C9472" w:rsidR="00587444" w:rsidRPr="00587444" w:rsidRDefault="00EB77C6" w:rsidP="00587444">
            <w:pPr>
              <w:suppressAutoHyphens w:val="0"/>
              <w:autoSpaceDN/>
              <w:spacing w:line="220" w:lineRule="exact"/>
              <w:jc w:val="right"/>
              <w:rPr>
                <w:rFonts w:ascii="Arial" w:hAnsi="Arial" w:cs="Arial"/>
                <w:color w:val="000000"/>
                <w:sz w:val="18"/>
                <w:szCs w:val="18"/>
              </w:rPr>
            </w:pPr>
            <w:r>
              <w:rPr>
                <w:rFonts w:ascii="Arial" w:hAnsi="Arial" w:cs="Arial"/>
                <w:color w:val="000000"/>
                <w:sz w:val="18"/>
                <w:szCs w:val="18"/>
              </w:rPr>
              <w:t>-</w:t>
            </w:r>
          </w:p>
        </w:tc>
      </w:tr>
      <w:tr w:rsidR="00587444" w:rsidRPr="00587444" w14:paraId="680CA8E1" w14:textId="77777777" w:rsidTr="00DD69E7">
        <w:trPr>
          <w:trHeight w:val="165"/>
        </w:trPr>
        <w:tc>
          <w:tcPr>
            <w:tcW w:w="5840" w:type="dxa"/>
            <w:vAlign w:val="bottom"/>
            <w:hideMark/>
          </w:tcPr>
          <w:p w14:paraId="5AB1B62F" w14:textId="77777777" w:rsidR="00587444" w:rsidRPr="00587444" w:rsidRDefault="00587444" w:rsidP="00587444">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Total non-current assets</w:t>
            </w:r>
          </w:p>
        </w:tc>
        <w:tc>
          <w:tcPr>
            <w:tcW w:w="1337" w:type="dxa"/>
            <w:tcBorders>
              <w:top w:val="single" w:sz="4" w:space="0" w:color="auto"/>
              <w:left w:val="nil"/>
              <w:bottom w:val="single" w:sz="12" w:space="0" w:color="auto"/>
              <w:right w:val="nil"/>
            </w:tcBorders>
            <w:shd w:val="clear" w:color="auto" w:fill="auto"/>
            <w:noWrap/>
            <w:vAlign w:val="bottom"/>
          </w:tcPr>
          <w:p w14:paraId="6EA70575"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lang w:val="hr-HR"/>
              </w:rPr>
              <w:t>2,278</w:t>
            </w:r>
          </w:p>
        </w:tc>
        <w:tc>
          <w:tcPr>
            <w:tcW w:w="1338" w:type="dxa"/>
            <w:tcBorders>
              <w:top w:val="single" w:sz="4" w:space="0" w:color="auto"/>
              <w:left w:val="nil"/>
              <w:bottom w:val="single" w:sz="12" w:space="0" w:color="auto"/>
              <w:right w:val="nil"/>
            </w:tcBorders>
            <w:shd w:val="clear" w:color="auto" w:fill="auto"/>
            <w:vAlign w:val="bottom"/>
            <w:hideMark/>
          </w:tcPr>
          <w:p w14:paraId="18895849"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lang w:val="hr-HR"/>
              </w:rPr>
              <w:t>1,264</w:t>
            </w:r>
          </w:p>
        </w:tc>
      </w:tr>
      <w:tr w:rsidR="00587444" w:rsidRPr="00587444" w14:paraId="00D3F65A" w14:textId="77777777" w:rsidTr="00DD69E7">
        <w:trPr>
          <w:trHeight w:val="60"/>
        </w:trPr>
        <w:tc>
          <w:tcPr>
            <w:tcW w:w="5840" w:type="dxa"/>
            <w:vAlign w:val="bottom"/>
          </w:tcPr>
          <w:p w14:paraId="48B7C110"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4C767048"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c>
          <w:tcPr>
            <w:tcW w:w="1338" w:type="dxa"/>
            <w:tcBorders>
              <w:top w:val="single" w:sz="12" w:space="0" w:color="auto"/>
              <w:left w:val="nil"/>
              <w:bottom w:val="nil"/>
              <w:right w:val="nil"/>
            </w:tcBorders>
            <w:shd w:val="clear" w:color="auto" w:fill="auto"/>
            <w:vAlign w:val="bottom"/>
          </w:tcPr>
          <w:p w14:paraId="76BE6274"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r>
      <w:tr w:rsidR="00587444" w:rsidRPr="00587444" w14:paraId="01AD8971" w14:textId="77777777" w:rsidTr="00DD69E7">
        <w:trPr>
          <w:trHeight w:val="149"/>
        </w:trPr>
        <w:tc>
          <w:tcPr>
            <w:tcW w:w="5840" w:type="dxa"/>
            <w:vAlign w:val="bottom"/>
            <w:hideMark/>
          </w:tcPr>
          <w:p w14:paraId="5E9E980F" w14:textId="77777777" w:rsidR="00587444" w:rsidRPr="00587444" w:rsidRDefault="00587444" w:rsidP="00587444">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Current assets</w:t>
            </w:r>
          </w:p>
        </w:tc>
        <w:tc>
          <w:tcPr>
            <w:tcW w:w="1337" w:type="dxa"/>
            <w:shd w:val="clear" w:color="auto" w:fill="auto"/>
            <w:noWrap/>
            <w:vAlign w:val="bottom"/>
          </w:tcPr>
          <w:p w14:paraId="053C6E97"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c>
          <w:tcPr>
            <w:tcW w:w="1338" w:type="dxa"/>
            <w:shd w:val="clear" w:color="auto" w:fill="auto"/>
            <w:vAlign w:val="bottom"/>
          </w:tcPr>
          <w:p w14:paraId="7A6B4E73"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r>
      <w:tr w:rsidR="00587444" w:rsidRPr="00587444" w14:paraId="2CC639ED" w14:textId="77777777" w:rsidTr="00DD69E7">
        <w:trPr>
          <w:trHeight w:val="255"/>
        </w:trPr>
        <w:tc>
          <w:tcPr>
            <w:tcW w:w="5840" w:type="dxa"/>
            <w:vAlign w:val="bottom"/>
            <w:hideMark/>
          </w:tcPr>
          <w:p w14:paraId="797E6AAC"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Investments available for sale</w:t>
            </w:r>
          </w:p>
        </w:tc>
        <w:tc>
          <w:tcPr>
            <w:tcW w:w="1337" w:type="dxa"/>
            <w:shd w:val="clear" w:color="auto" w:fill="auto"/>
            <w:noWrap/>
            <w:vAlign w:val="bottom"/>
          </w:tcPr>
          <w:p w14:paraId="01CF324A"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47,150</w:t>
            </w:r>
          </w:p>
        </w:tc>
        <w:tc>
          <w:tcPr>
            <w:tcW w:w="1338" w:type="dxa"/>
            <w:shd w:val="clear" w:color="auto" w:fill="auto"/>
            <w:vAlign w:val="bottom"/>
            <w:hideMark/>
          </w:tcPr>
          <w:p w14:paraId="04C8F75C"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56,826</w:t>
            </w:r>
          </w:p>
        </w:tc>
      </w:tr>
      <w:tr w:rsidR="00587444" w:rsidRPr="00587444" w14:paraId="533E33F5" w14:textId="77777777" w:rsidTr="00DD69E7">
        <w:trPr>
          <w:trHeight w:val="255"/>
        </w:trPr>
        <w:tc>
          <w:tcPr>
            <w:tcW w:w="5840" w:type="dxa"/>
            <w:vAlign w:val="bottom"/>
          </w:tcPr>
          <w:p w14:paraId="4BA8F7BA"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Deposits with banks</w:t>
            </w:r>
          </w:p>
        </w:tc>
        <w:tc>
          <w:tcPr>
            <w:tcW w:w="1337" w:type="dxa"/>
            <w:shd w:val="clear" w:color="auto" w:fill="auto"/>
            <w:noWrap/>
            <w:vAlign w:val="bottom"/>
          </w:tcPr>
          <w:p w14:paraId="2C3485D5"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22,584</w:t>
            </w:r>
          </w:p>
        </w:tc>
        <w:tc>
          <w:tcPr>
            <w:tcW w:w="1338" w:type="dxa"/>
            <w:shd w:val="clear" w:color="auto" w:fill="auto"/>
            <w:vAlign w:val="bottom"/>
          </w:tcPr>
          <w:p w14:paraId="75FF03B5" w14:textId="2E32809B" w:rsidR="00587444" w:rsidRPr="00587444" w:rsidRDefault="00EB77C6" w:rsidP="00587444">
            <w:pPr>
              <w:suppressAutoHyphens w:val="0"/>
              <w:autoSpaceDN/>
              <w:spacing w:line="220" w:lineRule="exact"/>
              <w:jc w:val="right"/>
              <w:rPr>
                <w:rFonts w:ascii="Arial" w:hAnsi="Arial" w:cs="Arial"/>
                <w:color w:val="000000"/>
                <w:sz w:val="18"/>
                <w:szCs w:val="18"/>
                <w:lang w:val="hr-HR"/>
              </w:rPr>
            </w:pPr>
            <w:r>
              <w:rPr>
                <w:rFonts w:ascii="Arial" w:hAnsi="Arial" w:cs="Arial"/>
                <w:color w:val="000000"/>
                <w:sz w:val="18"/>
                <w:szCs w:val="18"/>
                <w:lang w:val="hr-HR"/>
              </w:rPr>
              <w:t>-</w:t>
            </w:r>
          </w:p>
        </w:tc>
      </w:tr>
      <w:tr w:rsidR="00587444" w:rsidRPr="00587444" w14:paraId="69866928" w14:textId="77777777" w:rsidTr="00DD69E7">
        <w:trPr>
          <w:trHeight w:val="255"/>
        </w:trPr>
        <w:tc>
          <w:tcPr>
            <w:tcW w:w="5840" w:type="dxa"/>
            <w:vAlign w:val="bottom"/>
            <w:hideMark/>
          </w:tcPr>
          <w:p w14:paraId="145C2BED"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Receivables from insurance operations</w:t>
            </w:r>
          </w:p>
        </w:tc>
        <w:tc>
          <w:tcPr>
            <w:tcW w:w="1337" w:type="dxa"/>
            <w:shd w:val="clear" w:color="auto" w:fill="auto"/>
            <w:noWrap/>
            <w:vAlign w:val="bottom"/>
          </w:tcPr>
          <w:p w14:paraId="2F0DE87C"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5,761</w:t>
            </w:r>
          </w:p>
        </w:tc>
        <w:tc>
          <w:tcPr>
            <w:tcW w:w="1338" w:type="dxa"/>
            <w:shd w:val="clear" w:color="auto" w:fill="auto"/>
            <w:vAlign w:val="bottom"/>
            <w:hideMark/>
          </w:tcPr>
          <w:p w14:paraId="439C982A"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2,361</w:t>
            </w:r>
          </w:p>
        </w:tc>
      </w:tr>
      <w:tr w:rsidR="00587444" w:rsidRPr="00587444" w14:paraId="0942D185" w14:textId="77777777" w:rsidTr="00DD69E7">
        <w:trPr>
          <w:trHeight w:val="255"/>
        </w:trPr>
        <w:tc>
          <w:tcPr>
            <w:tcW w:w="5840" w:type="dxa"/>
            <w:vAlign w:val="bottom"/>
            <w:hideMark/>
          </w:tcPr>
          <w:p w14:paraId="647D24EE"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 xml:space="preserve">Other receivables </w:t>
            </w:r>
          </w:p>
        </w:tc>
        <w:tc>
          <w:tcPr>
            <w:tcW w:w="1337" w:type="dxa"/>
            <w:shd w:val="clear" w:color="auto" w:fill="auto"/>
            <w:noWrap/>
            <w:vAlign w:val="bottom"/>
          </w:tcPr>
          <w:p w14:paraId="2FFEB2E7"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808</w:t>
            </w:r>
          </w:p>
        </w:tc>
        <w:tc>
          <w:tcPr>
            <w:tcW w:w="1338" w:type="dxa"/>
            <w:shd w:val="clear" w:color="auto" w:fill="auto"/>
            <w:vAlign w:val="bottom"/>
            <w:hideMark/>
          </w:tcPr>
          <w:p w14:paraId="592205BC"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683</w:t>
            </w:r>
          </w:p>
        </w:tc>
      </w:tr>
      <w:tr w:rsidR="00587444" w:rsidRPr="00587444" w14:paraId="6135EE98" w14:textId="77777777" w:rsidTr="00DD69E7">
        <w:trPr>
          <w:trHeight w:val="255"/>
        </w:trPr>
        <w:tc>
          <w:tcPr>
            <w:tcW w:w="5840" w:type="dxa"/>
            <w:vAlign w:val="bottom"/>
            <w:hideMark/>
          </w:tcPr>
          <w:p w14:paraId="636C9516"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Cash and cash equivalents</w:t>
            </w:r>
          </w:p>
        </w:tc>
        <w:tc>
          <w:tcPr>
            <w:tcW w:w="1337" w:type="dxa"/>
            <w:tcBorders>
              <w:top w:val="nil"/>
              <w:left w:val="nil"/>
              <w:bottom w:val="single" w:sz="4" w:space="0" w:color="auto"/>
              <w:right w:val="nil"/>
            </w:tcBorders>
            <w:shd w:val="clear" w:color="auto" w:fill="auto"/>
            <w:noWrap/>
            <w:vAlign w:val="bottom"/>
          </w:tcPr>
          <w:p w14:paraId="57A0488E"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5,400</w:t>
            </w:r>
          </w:p>
        </w:tc>
        <w:tc>
          <w:tcPr>
            <w:tcW w:w="1338" w:type="dxa"/>
            <w:tcBorders>
              <w:top w:val="nil"/>
              <w:left w:val="nil"/>
              <w:bottom w:val="single" w:sz="4" w:space="0" w:color="auto"/>
              <w:right w:val="nil"/>
            </w:tcBorders>
            <w:shd w:val="clear" w:color="auto" w:fill="auto"/>
            <w:vAlign w:val="bottom"/>
            <w:hideMark/>
          </w:tcPr>
          <w:p w14:paraId="3B0C4814"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3,366</w:t>
            </w:r>
          </w:p>
        </w:tc>
      </w:tr>
      <w:tr w:rsidR="00587444" w:rsidRPr="00587444" w14:paraId="0B93066B" w14:textId="77777777" w:rsidTr="00DD69E7">
        <w:trPr>
          <w:trHeight w:val="191"/>
        </w:trPr>
        <w:tc>
          <w:tcPr>
            <w:tcW w:w="5840" w:type="dxa"/>
            <w:vAlign w:val="bottom"/>
            <w:hideMark/>
          </w:tcPr>
          <w:p w14:paraId="6D0F3A6C"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current assets</w:t>
            </w:r>
          </w:p>
        </w:tc>
        <w:tc>
          <w:tcPr>
            <w:tcW w:w="1337" w:type="dxa"/>
            <w:tcBorders>
              <w:top w:val="single" w:sz="4" w:space="0" w:color="auto"/>
              <w:left w:val="nil"/>
              <w:bottom w:val="single" w:sz="12" w:space="0" w:color="auto"/>
              <w:right w:val="nil"/>
            </w:tcBorders>
            <w:shd w:val="clear" w:color="auto" w:fill="auto"/>
            <w:noWrap/>
            <w:vAlign w:val="bottom"/>
          </w:tcPr>
          <w:p w14:paraId="7C412F13"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lang w:val="hr-HR"/>
              </w:rPr>
              <w:t>81,703</w:t>
            </w:r>
          </w:p>
        </w:tc>
        <w:tc>
          <w:tcPr>
            <w:tcW w:w="1338" w:type="dxa"/>
            <w:tcBorders>
              <w:top w:val="single" w:sz="4" w:space="0" w:color="auto"/>
              <w:left w:val="nil"/>
              <w:bottom w:val="single" w:sz="12" w:space="0" w:color="auto"/>
              <w:right w:val="nil"/>
            </w:tcBorders>
            <w:shd w:val="clear" w:color="auto" w:fill="auto"/>
            <w:vAlign w:val="bottom"/>
            <w:hideMark/>
          </w:tcPr>
          <w:p w14:paraId="6BB7F731"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lang w:val="hr-HR"/>
              </w:rPr>
              <w:t>63,236</w:t>
            </w:r>
          </w:p>
        </w:tc>
      </w:tr>
      <w:tr w:rsidR="00587444" w:rsidRPr="00587444" w14:paraId="626B33B9" w14:textId="77777777" w:rsidTr="00DD69E7">
        <w:trPr>
          <w:trHeight w:val="56"/>
        </w:trPr>
        <w:tc>
          <w:tcPr>
            <w:tcW w:w="5840" w:type="dxa"/>
            <w:vAlign w:val="bottom"/>
          </w:tcPr>
          <w:p w14:paraId="2269F4D7"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337" w:type="dxa"/>
            <w:tcBorders>
              <w:top w:val="single" w:sz="12" w:space="0" w:color="auto"/>
              <w:left w:val="nil"/>
              <w:bottom w:val="single" w:sz="4" w:space="0" w:color="auto"/>
              <w:right w:val="nil"/>
            </w:tcBorders>
            <w:shd w:val="clear" w:color="auto" w:fill="auto"/>
            <w:noWrap/>
            <w:vAlign w:val="bottom"/>
          </w:tcPr>
          <w:p w14:paraId="55E297E6"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c>
          <w:tcPr>
            <w:tcW w:w="1338" w:type="dxa"/>
            <w:tcBorders>
              <w:top w:val="single" w:sz="12" w:space="0" w:color="auto"/>
              <w:left w:val="nil"/>
              <w:bottom w:val="single" w:sz="4" w:space="0" w:color="auto"/>
              <w:right w:val="nil"/>
            </w:tcBorders>
            <w:shd w:val="clear" w:color="auto" w:fill="auto"/>
            <w:vAlign w:val="bottom"/>
          </w:tcPr>
          <w:p w14:paraId="70EA2A71"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r>
      <w:tr w:rsidR="00587444" w:rsidRPr="00587444" w14:paraId="56046F04" w14:textId="77777777" w:rsidTr="00DD69E7">
        <w:trPr>
          <w:trHeight w:val="221"/>
        </w:trPr>
        <w:tc>
          <w:tcPr>
            <w:tcW w:w="5840" w:type="dxa"/>
            <w:vAlign w:val="bottom"/>
            <w:hideMark/>
          </w:tcPr>
          <w:p w14:paraId="45AC3804"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assets</w:t>
            </w:r>
          </w:p>
        </w:tc>
        <w:tc>
          <w:tcPr>
            <w:tcW w:w="1337" w:type="dxa"/>
            <w:tcBorders>
              <w:top w:val="single" w:sz="4" w:space="0" w:color="auto"/>
              <w:left w:val="nil"/>
              <w:bottom w:val="single" w:sz="12" w:space="0" w:color="auto"/>
              <w:right w:val="nil"/>
            </w:tcBorders>
            <w:shd w:val="clear" w:color="auto" w:fill="auto"/>
            <w:noWrap/>
            <w:vAlign w:val="bottom"/>
          </w:tcPr>
          <w:p w14:paraId="7AEDDC4C"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lang w:val="hr-HR"/>
              </w:rPr>
              <w:t>83,981</w:t>
            </w:r>
          </w:p>
        </w:tc>
        <w:tc>
          <w:tcPr>
            <w:tcW w:w="1338" w:type="dxa"/>
            <w:tcBorders>
              <w:top w:val="single" w:sz="4" w:space="0" w:color="auto"/>
              <w:left w:val="nil"/>
              <w:bottom w:val="single" w:sz="12" w:space="0" w:color="auto"/>
              <w:right w:val="nil"/>
            </w:tcBorders>
            <w:shd w:val="clear" w:color="auto" w:fill="auto"/>
            <w:vAlign w:val="bottom"/>
            <w:hideMark/>
          </w:tcPr>
          <w:p w14:paraId="12295090"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rPr>
              <w:t>64,500</w:t>
            </w:r>
          </w:p>
        </w:tc>
      </w:tr>
      <w:tr w:rsidR="00587444" w:rsidRPr="00587444" w14:paraId="6E372400" w14:textId="77777777" w:rsidTr="00DD69E7">
        <w:trPr>
          <w:trHeight w:val="74"/>
        </w:trPr>
        <w:tc>
          <w:tcPr>
            <w:tcW w:w="5840" w:type="dxa"/>
            <w:vAlign w:val="bottom"/>
          </w:tcPr>
          <w:p w14:paraId="0323C9F8"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0F07D696" w14:textId="77777777" w:rsidR="00587444" w:rsidRPr="00587444" w:rsidRDefault="00587444" w:rsidP="00587444">
            <w:pPr>
              <w:suppressAutoHyphens w:val="0"/>
              <w:autoSpaceDN/>
              <w:spacing w:line="140" w:lineRule="exact"/>
              <w:jc w:val="right"/>
              <w:rPr>
                <w:rFonts w:ascii="Arial" w:hAnsi="Arial" w:cs="Arial"/>
                <w:bCs/>
                <w:sz w:val="18"/>
                <w:szCs w:val="18"/>
                <w:lang w:val="en-GB"/>
              </w:rPr>
            </w:pPr>
          </w:p>
        </w:tc>
        <w:tc>
          <w:tcPr>
            <w:tcW w:w="1338" w:type="dxa"/>
            <w:tcBorders>
              <w:top w:val="single" w:sz="12" w:space="0" w:color="auto"/>
              <w:left w:val="nil"/>
              <w:bottom w:val="nil"/>
              <w:right w:val="nil"/>
            </w:tcBorders>
            <w:shd w:val="clear" w:color="auto" w:fill="auto"/>
            <w:vAlign w:val="bottom"/>
          </w:tcPr>
          <w:p w14:paraId="3ABFE168" w14:textId="77777777" w:rsidR="00587444" w:rsidRPr="00587444" w:rsidRDefault="00587444" w:rsidP="00587444">
            <w:pPr>
              <w:suppressAutoHyphens w:val="0"/>
              <w:autoSpaceDN/>
              <w:spacing w:line="140" w:lineRule="exact"/>
              <w:jc w:val="right"/>
              <w:rPr>
                <w:rFonts w:ascii="Arial" w:hAnsi="Arial" w:cs="Arial"/>
                <w:bCs/>
                <w:sz w:val="18"/>
                <w:szCs w:val="18"/>
                <w:lang w:val="en-GB"/>
              </w:rPr>
            </w:pPr>
          </w:p>
        </w:tc>
      </w:tr>
      <w:tr w:rsidR="00587444" w:rsidRPr="00587444" w14:paraId="0DB9601E" w14:textId="77777777" w:rsidTr="00DD69E7">
        <w:trPr>
          <w:trHeight w:val="197"/>
        </w:trPr>
        <w:tc>
          <w:tcPr>
            <w:tcW w:w="5840" w:type="dxa"/>
            <w:vAlign w:val="bottom"/>
            <w:hideMark/>
          </w:tcPr>
          <w:p w14:paraId="546D104E" w14:textId="77777777" w:rsidR="00587444" w:rsidRPr="00587444" w:rsidRDefault="00587444" w:rsidP="00587444">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Equity and liabilities</w:t>
            </w:r>
          </w:p>
        </w:tc>
        <w:tc>
          <w:tcPr>
            <w:tcW w:w="1337" w:type="dxa"/>
            <w:shd w:val="clear" w:color="auto" w:fill="auto"/>
            <w:noWrap/>
            <w:vAlign w:val="bottom"/>
          </w:tcPr>
          <w:p w14:paraId="7717675C"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p>
        </w:tc>
        <w:tc>
          <w:tcPr>
            <w:tcW w:w="1338" w:type="dxa"/>
            <w:shd w:val="clear" w:color="auto" w:fill="auto"/>
            <w:vAlign w:val="bottom"/>
          </w:tcPr>
          <w:p w14:paraId="57E52B42"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p>
        </w:tc>
      </w:tr>
      <w:tr w:rsidR="00587444" w:rsidRPr="00587444" w14:paraId="27463090" w14:textId="77777777" w:rsidTr="00DD69E7">
        <w:trPr>
          <w:trHeight w:val="187"/>
        </w:trPr>
        <w:tc>
          <w:tcPr>
            <w:tcW w:w="5840" w:type="dxa"/>
            <w:vAlign w:val="bottom"/>
            <w:hideMark/>
          </w:tcPr>
          <w:p w14:paraId="1BA909E9" w14:textId="77777777" w:rsidR="00587444" w:rsidRPr="00587444" w:rsidRDefault="00587444" w:rsidP="00587444">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Equity</w:t>
            </w:r>
          </w:p>
        </w:tc>
        <w:tc>
          <w:tcPr>
            <w:tcW w:w="1337" w:type="dxa"/>
            <w:shd w:val="clear" w:color="auto" w:fill="auto"/>
            <w:noWrap/>
            <w:vAlign w:val="bottom"/>
          </w:tcPr>
          <w:p w14:paraId="3EEDED29"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c>
          <w:tcPr>
            <w:tcW w:w="1338" w:type="dxa"/>
            <w:shd w:val="clear" w:color="auto" w:fill="auto"/>
            <w:vAlign w:val="bottom"/>
          </w:tcPr>
          <w:p w14:paraId="48B01C9B"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r>
      <w:tr w:rsidR="00587444" w:rsidRPr="00587444" w14:paraId="398EFAF9" w14:textId="77777777" w:rsidTr="00DD69E7">
        <w:trPr>
          <w:trHeight w:val="187"/>
        </w:trPr>
        <w:tc>
          <w:tcPr>
            <w:tcW w:w="5840" w:type="dxa"/>
            <w:vAlign w:val="bottom"/>
            <w:hideMark/>
          </w:tcPr>
          <w:p w14:paraId="4AC1DE60"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Share capital</w:t>
            </w:r>
          </w:p>
        </w:tc>
        <w:tc>
          <w:tcPr>
            <w:tcW w:w="1337" w:type="dxa"/>
            <w:shd w:val="clear" w:color="auto" w:fill="auto"/>
            <w:noWrap/>
            <w:vAlign w:val="bottom"/>
          </w:tcPr>
          <w:p w14:paraId="0A7CEF75"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57,500</w:t>
            </w:r>
          </w:p>
        </w:tc>
        <w:tc>
          <w:tcPr>
            <w:tcW w:w="1338" w:type="dxa"/>
            <w:shd w:val="clear" w:color="auto" w:fill="auto"/>
            <w:vAlign w:val="bottom"/>
            <w:hideMark/>
          </w:tcPr>
          <w:p w14:paraId="75FB022A"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37,500</w:t>
            </w:r>
          </w:p>
        </w:tc>
      </w:tr>
      <w:tr w:rsidR="00587444" w:rsidRPr="00587444" w14:paraId="0660C695" w14:textId="77777777" w:rsidTr="00DD69E7">
        <w:trPr>
          <w:trHeight w:val="187"/>
        </w:trPr>
        <w:tc>
          <w:tcPr>
            <w:tcW w:w="5840" w:type="dxa"/>
            <w:vAlign w:val="bottom"/>
            <w:hideMark/>
          </w:tcPr>
          <w:p w14:paraId="3D3EE3B8"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Retained earnings and reserves</w:t>
            </w:r>
          </w:p>
        </w:tc>
        <w:tc>
          <w:tcPr>
            <w:tcW w:w="1337" w:type="dxa"/>
            <w:shd w:val="clear" w:color="auto" w:fill="auto"/>
            <w:noWrap/>
            <w:vAlign w:val="bottom"/>
          </w:tcPr>
          <w:p w14:paraId="30B2EBB4"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5,044</w:t>
            </w:r>
          </w:p>
        </w:tc>
        <w:tc>
          <w:tcPr>
            <w:tcW w:w="1338" w:type="dxa"/>
            <w:shd w:val="clear" w:color="auto" w:fill="auto"/>
            <w:hideMark/>
          </w:tcPr>
          <w:p w14:paraId="5B091468"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3,941</w:t>
            </w:r>
          </w:p>
        </w:tc>
      </w:tr>
      <w:tr w:rsidR="00587444" w:rsidRPr="00587444" w14:paraId="75E0C4DC" w14:textId="77777777" w:rsidTr="00DD69E7">
        <w:trPr>
          <w:trHeight w:val="187"/>
        </w:trPr>
        <w:tc>
          <w:tcPr>
            <w:tcW w:w="5840" w:type="dxa"/>
            <w:vAlign w:val="bottom"/>
            <w:hideMark/>
          </w:tcPr>
          <w:p w14:paraId="49AEEBB7"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Other reserves</w:t>
            </w:r>
          </w:p>
        </w:tc>
        <w:tc>
          <w:tcPr>
            <w:tcW w:w="1337" w:type="dxa"/>
            <w:shd w:val="clear" w:color="auto" w:fill="auto"/>
            <w:noWrap/>
            <w:vAlign w:val="bottom"/>
          </w:tcPr>
          <w:p w14:paraId="56959E0D" w14:textId="77777777" w:rsidR="00587444" w:rsidRPr="00587444" w:rsidRDefault="00587444" w:rsidP="00587444">
            <w:pPr>
              <w:suppressAutoHyphens w:val="0"/>
              <w:autoSpaceDN/>
              <w:spacing w:line="220" w:lineRule="exact"/>
              <w:jc w:val="right"/>
              <w:rPr>
                <w:rFonts w:ascii="Arial" w:hAnsi="Arial" w:cs="Arial"/>
                <w:sz w:val="18"/>
                <w:szCs w:val="18"/>
                <w:lang w:val="hr-HR"/>
              </w:rPr>
            </w:pPr>
            <w:r w:rsidRPr="00587444">
              <w:rPr>
                <w:rFonts w:ascii="Arial" w:hAnsi="Arial" w:cs="Arial"/>
                <w:color w:val="000000"/>
                <w:sz w:val="18"/>
                <w:szCs w:val="18"/>
                <w:lang w:val="hr-HR"/>
              </w:rPr>
              <w:t>(5,277)</w:t>
            </w:r>
          </w:p>
        </w:tc>
        <w:tc>
          <w:tcPr>
            <w:tcW w:w="1338" w:type="dxa"/>
            <w:shd w:val="clear" w:color="auto" w:fill="auto"/>
            <w:hideMark/>
          </w:tcPr>
          <w:p w14:paraId="44DD3901"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2,638</w:t>
            </w:r>
          </w:p>
        </w:tc>
      </w:tr>
      <w:tr w:rsidR="00587444" w:rsidRPr="00587444" w14:paraId="3DC6682A" w14:textId="77777777" w:rsidTr="00DD69E7">
        <w:trPr>
          <w:trHeight w:val="187"/>
        </w:trPr>
        <w:tc>
          <w:tcPr>
            <w:tcW w:w="5840" w:type="dxa"/>
            <w:vAlign w:val="bottom"/>
            <w:hideMark/>
          </w:tcPr>
          <w:p w14:paraId="4AED2288"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Profit for the year</w:t>
            </w:r>
          </w:p>
        </w:tc>
        <w:tc>
          <w:tcPr>
            <w:tcW w:w="1337" w:type="dxa"/>
            <w:tcBorders>
              <w:top w:val="nil"/>
              <w:left w:val="nil"/>
              <w:bottom w:val="single" w:sz="4" w:space="0" w:color="auto"/>
              <w:right w:val="nil"/>
            </w:tcBorders>
            <w:shd w:val="clear" w:color="auto" w:fill="auto"/>
            <w:noWrap/>
            <w:vAlign w:val="bottom"/>
          </w:tcPr>
          <w:p w14:paraId="0652A9EE" w14:textId="77777777" w:rsidR="00587444" w:rsidRPr="00587444" w:rsidRDefault="00587444" w:rsidP="00587444">
            <w:pPr>
              <w:suppressAutoHyphens w:val="0"/>
              <w:autoSpaceDN/>
              <w:spacing w:line="220" w:lineRule="exact"/>
              <w:jc w:val="right"/>
              <w:rPr>
                <w:rFonts w:ascii="Arial" w:hAnsi="Arial" w:cs="Arial"/>
                <w:sz w:val="18"/>
                <w:szCs w:val="18"/>
                <w:lang w:val="hr-HR"/>
              </w:rPr>
            </w:pPr>
            <w:r w:rsidRPr="00587444">
              <w:rPr>
                <w:rFonts w:ascii="Arial" w:hAnsi="Arial" w:cs="Arial"/>
                <w:color w:val="000000"/>
                <w:sz w:val="18"/>
                <w:szCs w:val="18"/>
                <w:lang w:val="hr-HR"/>
              </w:rPr>
              <w:t>3,285</w:t>
            </w:r>
          </w:p>
        </w:tc>
        <w:tc>
          <w:tcPr>
            <w:tcW w:w="1338" w:type="dxa"/>
            <w:tcBorders>
              <w:top w:val="nil"/>
              <w:left w:val="nil"/>
              <w:bottom w:val="single" w:sz="4" w:space="0" w:color="auto"/>
              <w:right w:val="nil"/>
            </w:tcBorders>
            <w:shd w:val="clear" w:color="auto" w:fill="auto"/>
            <w:hideMark/>
          </w:tcPr>
          <w:p w14:paraId="2C4DBFDE"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1,103</w:t>
            </w:r>
          </w:p>
        </w:tc>
      </w:tr>
      <w:tr w:rsidR="00587444" w:rsidRPr="00587444" w14:paraId="5343D5E6" w14:textId="77777777" w:rsidTr="00DD69E7">
        <w:trPr>
          <w:trHeight w:val="167"/>
        </w:trPr>
        <w:tc>
          <w:tcPr>
            <w:tcW w:w="5840" w:type="dxa"/>
            <w:vAlign w:val="bottom"/>
            <w:hideMark/>
          </w:tcPr>
          <w:p w14:paraId="7F96D5CA"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equity</w:t>
            </w:r>
          </w:p>
        </w:tc>
        <w:tc>
          <w:tcPr>
            <w:tcW w:w="1337" w:type="dxa"/>
            <w:tcBorders>
              <w:top w:val="single" w:sz="4" w:space="0" w:color="auto"/>
              <w:left w:val="nil"/>
              <w:bottom w:val="single" w:sz="12" w:space="0" w:color="auto"/>
              <w:right w:val="nil"/>
            </w:tcBorders>
            <w:shd w:val="clear" w:color="auto" w:fill="auto"/>
            <w:noWrap/>
            <w:vAlign w:val="bottom"/>
          </w:tcPr>
          <w:p w14:paraId="5894B1F9"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lang w:val="hr-HR"/>
              </w:rPr>
              <w:t>60,552</w:t>
            </w:r>
          </w:p>
        </w:tc>
        <w:tc>
          <w:tcPr>
            <w:tcW w:w="1338" w:type="dxa"/>
            <w:tcBorders>
              <w:top w:val="single" w:sz="4" w:space="0" w:color="auto"/>
              <w:left w:val="nil"/>
              <w:bottom w:val="single" w:sz="12" w:space="0" w:color="auto"/>
              <w:right w:val="nil"/>
            </w:tcBorders>
            <w:shd w:val="clear" w:color="auto" w:fill="auto"/>
            <w:hideMark/>
          </w:tcPr>
          <w:p w14:paraId="5B7C8694"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rPr>
              <w:t>45,182</w:t>
            </w:r>
          </w:p>
        </w:tc>
      </w:tr>
      <w:tr w:rsidR="00587444" w:rsidRPr="00587444" w14:paraId="0A578748" w14:textId="77777777" w:rsidTr="00DD69E7">
        <w:trPr>
          <w:trHeight w:val="96"/>
        </w:trPr>
        <w:tc>
          <w:tcPr>
            <w:tcW w:w="5840" w:type="dxa"/>
            <w:vAlign w:val="bottom"/>
          </w:tcPr>
          <w:p w14:paraId="6C71B53D"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6142D972"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c>
          <w:tcPr>
            <w:tcW w:w="1338" w:type="dxa"/>
            <w:tcBorders>
              <w:top w:val="single" w:sz="12" w:space="0" w:color="auto"/>
              <w:left w:val="nil"/>
              <w:bottom w:val="nil"/>
              <w:right w:val="nil"/>
            </w:tcBorders>
            <w:shd w:val="clear" w:color="auto" w:fill="auto"/>
            <w:vAlign w:val="bottom"/>
          </w:tcPr>
          <w:p w14:paraId="5C9CE705"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r>
      <w:tr w:rsidR="00587444" w:rsidRPr="00587444" w14:paraId="5924A5C5" w14:textId="77777777" w:rsidTr="00DD69E7">
        <w:trPr>
          <w:trHeight w:val="165"/>
        </w:trPr>
        <w:tc>
          <w:tcPr>
            <w:tcW w:w="5840" w:type="dxa"/>
            <w:vAlign w:val="bottom"/>
            <w:hideMark/>
          </w:tcPr>
          <w:p w14:paraId="5AED8E2D" w14:textId="77777777" w:rsidR="00587444" w:rsidRPr="00587444" w:rsidRDefault="00587444" w:rsidP="00587444">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Technical provisions</w:t>
            </w:r>
          </w:p>
        </w:tc>
        <w:tc>
          <w:tcPr>
            <w:tcW w:w="1337" w:type="dxa"/>
            <w:shd w:val="clear" w:color="auto" w:fill="auto"/>
            <w:noWrap/>
            <w:vAlign w:val="bottom"/>
          </w:tcPr>
          <w:p w14:paraId="667436F4"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c>
          <w:tcPr>
            <w:tcW w:w="1338" w:type="dxa"/>
            <w:shd w:val="clear" w:color="auto" w:fill="auto"/>
            <w:vAlign w:val="bottom"/>
          </w:tcPr>
          <w:p w14:paraId="136D09FB"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r>
      <w:tr w:rsidR="00587444" w:rsidRPr="00587444" w14:paraId="121E5D02" w14:textId="77777777" w:rsidTr="00DD69E7">
        <w:trPr>
          <w:trHeight w:val="165"/>
        </w:trPr>
        <w:tc>
          <w:tcPr>
            <w:tcW w:w="5840" w:type="dxa"/>
            <w:vAlign w:val="bottom"/>
            <w:hideMark/>
          </w:tcPr>
          <w:p w14:paraId="6DF84A42"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Gross technical provisions</w:t>
            </w:r>
          </w:p>
        </w:tc>
        <w:tc>
          <w:tcPr>
            <w:tcW w:w="1337" w:type="dxa"/>
            <w:shd w:val="clear" w:color="auto" w:fill="auto"/>
            <w:noWrap/>
            <w:vAlign w:val="bottom"/>
          </w:tcPr>
          <w:p w14:paraId="6945C20E"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21,669</w:t>
            </w:r>
          </w:p>
        </w:tc>
        <w:tc>
          <w:tcPr>
            <w:tcW w:w="1338" w:type="dxa"/>
            <w:shd w:val="clear" w:color="auto" w:fill="auto"/>
            <w:hideMark/>
          </w:tcPr>
          <w:p w14:paraId="34328B7F"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23,861</w:t>
            </w:r>
          </w:p>
        </w:tc>
      </w:tr>
      <w:tr w:rsidR="00587444" w:rsidRPr="00587444" w14:paraId="51197A3E" w14:textId="77777777" w:rsidTr="00DD69E7">
        <w:trPr>
          <w:trHeight w:val="165"/>
        </w:trPr>
        <w:tc>
          <w:tcPr>
            <w:tcW w:w="5840" w:type="dxa"/>
            <w:vAlign w:val="bottom"/>
            <w:hideMark/>
          </w:tcPr>
          <w:p w14:paraId="31E2CF59"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Technical provisions, reinsurer's share</w:t>
            </w:r>
          </w:p>
        </w:tc>
        <w:tc>
          <w:tcPr>
            <w:tcW w:w="1337" w:type="dxa"/>
            <w:tcBorders>
              <w:top w:val="nil"/>
              <w:left w:val="nil"/>
              <w:bottom w:val="single" w:sz="4" w:space="0" w:color="auto"/>
              <w:right w:val="nil"/>
            </w:tcBorders>
            <w:shd w:val="clear" w:color="auto" w:fill="auto"/>
            <w:noWrap/>
            <w:vAlign w:val="bottom"/>
          </w:tcPr>
          <w:p w14:paraId="653956F5"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(9,062)</w:t>
            </w:r>
          </w:p>
        </w:tc>
        <w:tc>
          <w:tcPr>
            <w:tcW w:w="1338" w:type="dxa"/>
            <w:tcBorders>
              <w:top w:val="nil"/>
              <w:left w:val="nil"/>
              <w:bottom w:val="single" w:sz="4" w:space="0" w:color="auto"/>
              <w:right w:val="nil"/>
            </w:tcBorders>
            <w:shd w:val="clear" w:color="auto" w:fill="auto"/>
            <w:hideMark/>
          </w:tcPr>
          <w:p w14:paraId="63C9D5BC"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(10,317)</w:t>
            </w:r>
          </w:p>
        </w:tc>
      </w:tr>
      <w:tr w:rsidR="00587444" w:rsidRPr="00587444" w14:paraId="66A71E5D" w14:textId="77777777" w:rsidTr="00DD69E7">
        <w:trPr>
          <w:trHeight w:val="183"/>
        </w:trPr>
        <w:tc>
          <w:tcPr>
            <w:tcW w:w="5840" w:type="dxa"/>
            <w:vAlign w:val="bottom"/>
          </w:tcPr>
          <w:p w14:paraId="59737A68" w14:textId="77777777" w:rsidR="00587444" w:rsidRPr="00587444" w:rsidRDefault="00587444" w:rsidP="00587444">
            <w:pPr>
              <w:suppressAutoHyphens w:val="0"/>
              <w:autoSpaceDN/>
              <w:spacing w:line="220" w:lineRule="exact"/>
              <w:rPr>
                <w:rFonts w:ascii="Arial" w:hAnsi="Arial" w:cs="Arial"/>
                <w:b/>
                <w:bCs/>
                <w:sz w:val="18"/>
                <w:szCs w:val="18"/>
                <w:lang w:val="en-GB"/>
              </w:rPr>
            </w:pPr>
          </w:p>
        </w:tc>
        <w:tc>
          <w:tcPr>
            <w:tcW w:w="1337" w:type="dxa"/>
            <w:tcBorders>
              <w:top w:val="single" w:sz="4" w:space="0" w:color="auto"/>
              <w:left w:val="nil"/>
              <w:bottom w:val="single" w:sz="12" w:space="0" w:color="auto"/>
              <w:right w:val="nil"/>
            </w:tcBorders>
            <w:shd w:val="clear" w:color="auto" w:fill="auto"/>
            <w:noWrap/>
            <w:vAlign w:val="bottom"/>
          </w:tcPr>
          <w:p w14:paraId="3E2BD879"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lang w:val="hr-HR"/>
              </w:rPr>
              <w:t>12,607</w:t>
            </w:r>
          </w:p>
        </w:tc>
        <w:tc>
          <w:tcPr>
            <w:tcW w:w="1338" w:type="dxa"/>
            <w:tcBorders>
              <w:top w:val="single" w:sz="4" w:space="0" w:color="auto"/>
              <w:left w:val="nil"/>
              <w:bottom w:val="single" w:sz="12" w:space="0" w:color="auto"/>
              <w:right w:val="nil"/>
            </w:tcBorders>
            <w:shd w:val="clear" w:color="auto" w:fill="auto"/>
            <w:hideMark/>
          </w:tcPr>
          <w:p w14:paraId="331C7AFE"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rPr>
              <w:t>13,544</w:t>
            </w:r>
          </w:p>
        </w:tc>
      </w:tr>
      <w:tr w:rsidR="00587444" w:rsidRPr="00587444" w14:paraId="3ABE0FE2" w14:textId="77777777" w:rsidTr="00DD69E7">
        <w:trPr>
          <w:trHeight w:val="121"/>
        </w:trPr>
        <w:tc>
          <w:tcPr>
            <w:tcW w:w="5840" w:type="dxa"/>
            <w:vAlign w:val="bottom"/>
          </w:tcPr>
          <w:p w14:paraId="3444C98D"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4DF4F20D"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c>
          <w:tcPr>
            <w:tcW w:w="1338" w:type="dxa"/>
            <w:tcBorders>
              <w:top w:val="single" w:sz="12" w:space="0" w:color="auto"/>
              <w:left w:val="nil"/>
              <w:bottom w:val="nil"/>
              <w:right w:val="nil"/>
            </w:tcBorders>
            <w:shd w:val="clear" w:color="auto" w:fill="auto"/>
            <w:vAlign w:val="bottom"/>
          </w:tcPr>
          <w:p w14:paraId="48F6AFAB"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r>
      <w:tr w:rsidR="00587444" w:rsidRPr="00587444" w14:paraId="38F4ACED" w14:textId="77777777" w:rsidTr="00DD69E7">
        <w:trPr>
          <w:trHeight w:val="241"/>
        </w:trPr>
        <w:tc>
          <w:tcPr>
            <w:tcW w:w="5840" w:type="dxa"/>
            <w:vAlign w:val="bottom"/>
            <w:hideMark/>
          </w:tcPr>
          <w:p w14:paraId="287425FF" w14:textId="77777777" w:rsidR="00587444" w:rsidRPr="00587444" w:rsidRDefault="00587444" w:rsidP="00587444">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Current liabilities</w:t>
            </w:r>
          </w:p>
        </w:tc>
        <w:tc>
          <w:tcPr>
            <w:tcW w:w="1337" w:type="dxa"/>
            <w:shd w:val="clear" w:color="auto" w:fill="auto"/>
            <w:noWrap/>
            <w:vAlign w:val="bottom"/>
          </w:tcPr>
          <w:p w14:paraId="0AE279C3"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c>
          <w:tcPr>
            <w:tcW w:w="1338" w:type="dxa"/>
            <w:shd w:val="clear" w:color="auto" w:fill="auto"/>
            <w:vAlign w:val="bottom"/>
          </w:tcPr>
          <w:p w14:paraId="2D65E450"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r>
      <w:tr w:rsidR="00587444" w:rsidRPr="00587444" w14:paraId="3C2D7D40" w14:textId="77777777" w:rsidTr="00DD69E7">
        <w:trPr>
          <w:trHeight w:val="146"/>
        </w:trPr>
        <w:tc>
          <w:tcPr>
            <w:tcW w:w="5840" w:type="dxa"/>
            <w:vAlign w:val="bottom"/>
            <w:hideMark/>
          </w:tcPr>
          <w:p w14:paraId="1D9ACE1A"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Liabilities from insurance operations</w:t>
            </w:r>
          </w:p>
        </w:tc>
        <w:tc>
          <w:tcPr>
            <w:tcW w:w="1337" w:type="dxa"/>
            <w:shd w:val="clear" w:color="auto" w:fill="auto"/>
            <w:noWrap/>
            <w:vAlign w:val="bottom"/>
          </w:tcPr>
          <w:p w14:paraId="56E1724B"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8,509</w:t>
            </w:r>
          </w:p>
        </w:tc>
        <w:tc>
          <w:tcPr>
            <w:tcW w:w="1338" w:type="dxa"/>
            <w:shd w:val="clear" w:color="auto" w:fill="auto"/>
            <w:hideMark/>
          </w:tcPr>
          <w:p w14:paraId="21EA7F97"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2,568</w:t>
            </w:r>
          </w:p>
        </w:tc>
      </w:tr>
      <w:tr w:rsidR="00587444" w:rsidRPr="00587444" w14:paraId="2538643F" w14:textId="77777777" w:rsidTr="00DD69E7">
        <w:trPr>
          <w:trHeight w:val="205"/>
        </w:trPr>
        <w:tc>
          <w:tcPr>
            <w:tcW w:w="5840" w:type="dxa"/>
            <w:vAlign w:val="bottom"/>
            <w:hideMark/>
          </w:tcPr>
          <w:p w14:paraId="382ADF56"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Other liabilities</w:t>
            </w:r>
          </w:p>
        </w:tc>
        <w:tc>
          <w:tcPr>
            <w:tcW w:w="1337" w:type="dxa"/>
            <w:tcBorders>
              <w:top w:val="nil"/>
              <w:left w:val="nil"/>
              <w:bottom w:val="single" w:sz="4" w:space="0" w:color="auto"/>
              <w:right w:val="nil"/>
            </w:tcBorders>
            <w:shd w:val="clear" w:color="auto" w:fill="auto"/>
            <w:noWrap/>
            <w:vAlign w:val="bottom"/>
          </w:tcPr>
          <w:p w14:paraId="5FC6ACF9"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2,313</w:t>
            </w:r>
          </w:p>
        </w:tc>
        <w:tc>
          <w:tcPr>
            <w:tcW w:w="1338" w:type="dxa"/>
            <w:tcBorders>
              <w:top w:val="nil"/>
              <w:left w:val="nil"/>
              <w:bottom w:val="single" w:sz="4" w:space="0" w:color="auto"/>
              <w:right w:val="nil"/>
            </w:tcBorders>
            <w:shd w:val="clear" w:color="auto" w:fill="auto"/>
            <w:hideMark/>
          </w:tcPr>
          <w:p w14:paraId="63E6B847"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rPr>
              <w:t>3,206</w:t>
            </w:r>
          </w:p>
        </w:tc>
      </w:tr>
      <w:tr w:rsidR="00587444" w:rsidRPr="00587444" w14:paraId="6F8A72E8" w14:textId="77777777" w:rsidTr="00DD69E7">
        <w:trPr>
          <w:trHeight w:val="145"/>
        </w:trPr>
        <w:tc>
          <w:tcPr>
            <w:tcW w:w="5840" w:type="dxa"/>
            <w:vAlign w:val="bottom"/>
            <w:hideMark/>
          </w:tcPr>
          <w:p w14:paraId="7F6A804D"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liabilities</w:t>
            </w:r>
          </w:p>
        </w:tc>
        <w:tc>
          <w:tcPr>
            <w:tcW w:w="1337" w:type="dxa"/>
            <w:tcBorders>
              <w:top w:val="single" w:sz="4" w:space="0" w:color="auto"/>
              <w:left w:val="nil"/>
              <w:bottom w:val="single" w:sz="12" w:space="0" w:color="auto"/>
              <w:right w:val="nil"/>
            </w:tcBorders>
            <w:shd w:val="clear" w:color="auto" w:fill="auto"/>
            <w:noWrap/>
            <w:vAlign w:val="bottom"/>
          </w:tcPr>
          <w:p w14:paraId="33C90BC0"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lang w:val="hr-HR"/>
              </w:rPr>
              <w:t>10,822</w:t>
            </w:r>
          </w:p>
        </w:tc>
        <w:tc>
          <w:tcPr>
            <w:tcW w:w="1338" w:type="dxa"/>
            <w:tcBorders>
              <w:top w:val="single" w:sz="4" w:space="0" w:color="auto"/>
              <w:left w:val="nil"/>
              <w:bottom w:val="single" w:sz="12" w:space="0" w:color="auto"/>
              <w:right w:val="nil"/>
            </w:tcBorders>
            <w:shd w:val="clear" w:color="auto" w:fill="auto"/>
            <w:hideMark/>
          </w:tcPr>
          <w:p w14:paraId="42D48F4E"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rPr>
              <w:t>5,774</w:t>
            </w:r>
          </w:p>
        </w:tc>
      </w:tr>
      <w:tr w:rsidR="00587444" w:rsidRPr="00587444" w14:paraId="3F14C3C6" w14:textId="77777777" w:rsidTr="00DD69E7">
        <w:trPr>
          <w:trHeight w:val="56"/>
        </w:trPr>
        <w:tc>
          <w:tcPr>
            <w:tcW w:w="5840" w:type="dxa"/>
            <w:vAlign w:val="bottom"/>
          </w:tcPr>
          <w:p w14:paraId="2D672ABD" w14:textId="77777777" w:rsidR="00587444" w:rsidRPr="00587444" w:rsidRDefault="00587444" w:rsidP="00587444">
            <w:pPr>
              <w:suppressAutoHyphens w:val="0"/>
              <w:autoSpaceDN/>
              <w:spacing w:line="140" w:lineRule="exact"/>
              <w:rPr>
                <w:rFonts w:ascii="Arial" w:hAnsi="Arial" w:cs="Arial"/>
                <w:b/>
                <w:bCs/>
                <w:sz w:val="18"/>
                <w:szCs w:val="18"/>
                <w:lang w:val="en-GB"/>
              </w:rPr>
            </w:pPr>
          </w:p>
        </w:tc>
        <w:tc>
          <w:tcPr>
            <w:tcW w:w="1337" w:type="dxa"/>
            <w:tcBorders>
              <w:top w:val="single" w:sz="12" w:space="0" w:color="auto"/>
              <w:left w:val="nil"/>
              <w:bottom w:val="single" w:sz="4" w:space="0" w:color="auto"/>
              <w:right w:val="nil"/>
            </w:tcBorders>
            <w:shd w:val="clear" w:color="auto" w:fill="auto"/>
            <w:noWrap/>
            <w:vAlign w:val="bottom"/>
          </w:tcPr>
          <w:p w14:paraId="69DF6342" w14:textId="77777777" w:rsidR="00587444" w:rsidRPr="00587444" w:rsidRDefault="00587444" w:rsidP="00587444">
            <w:pPr>
              <w:suppressAutoHyphens w:val="0"/>
              <w:autoSpaceDN/>
              <w:spacing w:line="140" w:lineRule="exact"/>
              <w:jc w:val="right"/>
              <w:rPr>
                <w:rFonts w:ascii="Arial" w:hAnsi="Arial" w:cs="Arial"/>
                <w:b/>
                <w:bCs/>
                <w:sz w:val="18"/>
                <w:szCs w:val="18"/>
                <w:lang w:val="en-GB"/>
              </w:rPr>
            </w:pPr>
          </w:p>
        </w:tc>
        <w:tc>
          <w:tcPr>
            <w:tcW w:w="1338" w:type="dxa"/>
            <w:tcBorders>
              <w:top w:val="single" w:sz="12" w:space="0" w:color="auto"/>
              <w:left w:val="nil"/>
              <w:bottom w:val="single" w:sz="4" w:space="0" w:color="auto"/>
              <w:right w:val="nil"/>
            </w:tcBorders>
            <w:shd w:val="clear" w:color="auto" w:fill="auto"/>
            <w:vAlign w:val="bottom"/>
          </w:tcPr>
          <w:p w14:paraId="39EFC992" w14:textId="77777777" w:rsidR="00587444" w:rsidRPr="00587444" w:rsidRDefault="00587444" w:rsidP="00587444">
            <w:pPr>
              <w:suppressAutoHyphens w:val="0"/>
              <w:autoSpaceDN/>
              <w:spacing w:line="140" w:lineRule="exact"/>
              <w:jc w:val="right"/>
              <w:rPr>
                <w:rFonts w:ascii="Arial" w:hAnsi="Arial" w:cs="Arial"/>
                <w:b/>
                <w:bCs/>
                <w:sz w:val="18"/>
                <w:szCs w:val="18"/>
                <w:lang w:val="en-GB"/>
              </w:rPr>
            </w:pPr>
          </w:p>
        </w:tc>
      </w:tr>
      <w:tr w:rsidR="00587444" w:rsidRPr="00587444" w14:paraId="56C43B93" w14:textId="77777777" w:rsidTr="00DD69E7">
        <w:trPr>
          <w:trHeight w:val="231"/>
        </w:trPr>
        <w:tc>
          <w:tcPr>
            <w:tcW w:w="5840" w:type="dxa"/>
            <w:vAlign w:val="bottom"/>
            <w:hideMark/>
          </w:tcPr>
          <w:p w14:paraId="1AA765B0"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equity and liabilities</w:t>
            </w:r>
          </w:p>
        </w:tc>
        <w:tc>
          <w:tcPr>
            <w:tcW w:w="1337" w:type="dxa"/>
            <w:tcBorders>
              <w:top w:val="single" w:sz="4" w:space="0" w:color="auto"/>
              <w:left w:val="nil"/>
              <w:bottom w:val="single" w:sz="12" w:space="0" w:color="auto"/>
              <w:right w:val="nil"/>
            </w:tcBorders>
            <w:shd w:val="clear" w:color="auto" w:fill="auto"/>
            <w:noWrap/>
            <w:vAlign w:val="bottom"/>
          </w:tcPr>
          <w:p w14:paraId="22F4D3DA"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lang w:val="hr-HR"/>
              </w:rPr>
              <w:t>83,981</w:t>
            </w:r>
          </w:p>
        </w:tc>
        <w:tc>
          <w:tcPr>
            <w:tcW w:w="1338" w:type="dxa"/>
            <w:tcBorders>
              <w:top w:val="single" w:sz="4" w:space="0" w:color="auto"/>
              <w:left w:val="nil"/>
              <w:bottom w:val="single" w:sz="12" w:space="0" w:color="auto"/>
              <w:right w:val="nil"/>
            </w:tcBorders>
            <w:shd w:val="clear" w:color="auto" w:fill="auto"/>
            <w:vAlign w:val="bottom"/>
            <w:hideMark/>
          </w:tcPr>
          <w:p w14:paraId="25700D8A"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lang w:val="hr-HR"/>
              </w:rPr>
              <w:t>64,500</w:t>
            </w:r>
          </w:p>
        </w:tc>
      </w:tr>
    </w:tbl>
    <w:p w14:paraId="412E6B71"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pPr>
    </w:p>
    <w:p w14:paraId="2CDC9D40"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pPr>
    </w:p>
    <w:p w14:paraId="268979DE"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pPr>
    </w:p>
    <w:p w14:paraId="0314F66B"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pPr>
    </w:p>
    <w:p w14:paraId="563E2642"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sectPr w:rsidR="00587444" w:rsidRPr="00587444" w:rsidSect="00DD69E7">
          <w:headerReference w:type="default" r:id="rId95"/>
          <w:pgSz w:w="11907" w:h="16840" w:code="9"/>
          <w:pgMar w:top="1418" w:right="1134" w:bottom="1134" w:left="1418" w:header="851" w:footer="851" w:gutter="0"/>
          <w:cols w:space="720"/>
          <w:noEndnote/>
        </w:sectPr>
      </w:pPr>
    </w:p>
    <w:tbl>
      <w:tblPr>
        <w:tblpPr w:leftFromText="181" w:rightFromText="181" w:vertAnchor="text" w:horzAnchor="margin" w:tblpY="335"/>
        <w:tblW w:w="9078" w:type="dxa"/>
        <w:tblLayout w:type="fixed"/>
        <w:tblLook w:val="04A0" w:firstRow="1" w:lastRow="0" w:firstColumn="1" w:lastColumn="0" w:noHBand="0" w:noVBand="1"/>
      </w:tblPr>
      <w:tblGrid>
        <w:gridCol w:w="6549"/>
        <w:gridCol w:w="1339"/>
        <w:gridCol w:w="1190"/>
      </w:tblGrid>
      <w:tr w:rsidR="00587444" w:rsidRPr="00587444" w14:paraId="31986077" w14:textId="77777777" w:rsidTr="00DD69E7">
        <w:trPr>
          <w:trHeight w:val="65"/>
        </w:trPr>
        <w:tc>
          <w:tcPr>
            <w:tcW w:w="6549" w:type="dxa"/>
          </w:tcPr>
          <w:p w14:paraId="294EA572"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339" w:type="dxa"/>
          </w:tcPr>
          <w:p w14:paraId="492DCD5F"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c>
          <w:tcPr>
            <w:tcW w:w="1190" w:type="dxa"/>
          </w:tcPr>
          <w:p w14:paraId="7D2C8FDF"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r>
      <w:tr w:rsidR="00587444" w:rsidRPr="00587444" w14:paraId="4026E7E0" w14:textId="77777777" w:rsidTr="00DD69E7">
        <w:trPr>
          <w:trHeight w:val="118"/>
        </w:trPr>
        <w:tc>
          <w:tcPr>
            <w:tcW w:w="6549" w:type="dxa"/>
            <w:vAlign w:val="bottom"/>
          </w:tcPr>
          <w:p w14:paraId="3DB971D9" w14:textId="77777777" w:rsidR="00587444" w:rsidRPr="00587444" w:rsidRDefault="00587444" w:rsidP="00587444">
            <w:pPr>
              <w:suppressAutoHyphens w:val="0"/>
              <w:autoSpaceDN/>
              <w:spacing w:line="220" w:lineRule="exact"/>
              <w:rPr>
                <w:rFonts w:ascii="Arial" w:hAnsi="Arial" w:cs="Arial"/>
                <w:b/>
                <w:bCs/>
                <w:sz w:val="18"/>
                <w:szCs w:val="18"/>
                <w:lang w:val="en-GB"/>
              </w:rPr>
            </w:pPr>
          </w:p>
        </w:tc>
        <w:tc>
          <w:tcPr>
            <w:tcW w:w="1339" w:type="dxa"/>
            <w:noWrap/>
            <w:vAlign w:val="bottom"/>
            <w:hideMark/>
          </w:tcPr>
          <w:p w14:paraId="0E5169A7"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2022</w:t>
            </w:r>
          </w:p>
        </w:tc>
        <w:tc>
          <w:tcPr>
            <w:tcW w:w="1190" w:type="dxa"/>
            <w:hideMark/>
          </w:tcPr>
          <w:p w14:paraId="644EDAA5"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2021</w:t>
            </w:r>
          </w:p>
        </w:tc>
      </w:tr>
      <w:tr w:rsidR="00587444" w:rsidRPr="00587444" w14:paraId="3E6E07DF" w14:textId="77777777" w:rsidTr="00DD69E7">
        <w:trPr>
          <w:trHeight w:val="94"/>
        </w:trPr>
        <w:tc>
          <w:tcPr>
            <w:tcW w:w="6549" w:type="dxa"/>
            <w:vAlign w:val="bottom"/>
          </w:tcPr>
          <w:p w14:paraId="2F9A407C" w14:textId="77777777" w:rsidR="00587444" w:rsidRPr="00587444" w:rsidRDefault="00587444" w:rsidP="00587444">
            <w:pPr>
              <w:suppressAutoHyphens w:val="0"/>
              <w:autoSpaceDN/>
              <w:spacing w:line="220" w:lineRule="exact"/>
              <w:rPr>
                <w:rFonts w:ascii="Arial" w:hAnsi="Arial" w:cs="Arial"/>
                <w:b/>
                <w:bCs/>
                <w:sz w:val="18"/>
                <w:szCs w:val="18"/>
                <w:lang w:val="en-GB"/>
              </w:rPr>
            </w:pPr>
          </w:p>
        </w:tc>
        <w:tc>
          <w:tcPr>
            <w:tcW w:w="1339" w:type="dxa"/>
            <w:noWrap/>
            <w:vAlign w:val="bottom"/>
            <w:hideMark/>
          </w:tcPr>
          <w:p w14:paraId="4BA8B328"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HRK ‘000</w:t>
            </w:r>
          </w:p>
        </w:tc>
        <w:tc>
          <w:tcPr>
            <w:tcW w:w="1190" w:type="dxa"/>
            <w:hideMark/>
          </w:tcPr>
          <w:p w14:paraId="21EDE4C4"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HRK ‘000</w:t>
            </w:r>
          </w:p>
        </w:tc>
      </w:tr>
      <w:tr w:rsidR="00587444" w:rsidRPr="00587444" w14:paraId="44F25538" w14:textId="77777777" w:rsidTr="00DD69E7">
        <w:trPr>
          <w:trHeight w:val="58"/>
        </w:trPr>
        <w:tc>
          <w:tcPr>
            <w:tcW w:w="6549" w:type="dxa"/>
            <w:vAlign w:val="bottom"/>
          </w:tcPr>
          <w:p w14:paraId="1E30D998"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339" w:type="dxa"/>
            <w:noWrap/>
            <w:vAlign w:val="bottom"/>
          </w:tcPr>
          <w:p w14:paraId="53185F0E"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190" w:type="dxa"/>
          </w:tcPr>
          <w:p w14:paraId="690376D2" w14:textId="77777777" w:rsidR="00587444" w:rsidRPr="00587444" w:rsidRDefault="00587444" w:rsidP="00587444">
            <w:pPr>
              <w:suppressAutoHyphens w:val="0"/>
              <w:autoSpaceDN/>
              <w:spacing w:line="140" w:lineRule="exact"/>
              <w:rPr>
                <w:rFonts w:ascii="Arial" w:hAnsi="Arial" w:cs="Arial"/>
                <w:sz w:val="18"/>
                <w:szCs w:val="18"/>
                <w:lang w:val="en-GB"/>
              </w:rPr>
            </w:pPr>
          </w:p>
        </w:tc>
      </w:tr>
      <w:tr w:rsidR="00587444" w:rsidRPr="00587444" w14:paraId="590B504A" w14:textId="77777777" w:rsidTr="00DD69E7">
        <w:trPr>
          <w:trHeight w:val="69"/>
        </w:trPr>
        <w:tc>
          <w:tcPr>
            <w:tcW w:w="6549" w:type="dxa"/>
            <w:vAlign w:val="bottom"/>
            <w:hideMark/>
          </w:tcPr>
          <w:p w14:paraId="1FBC13A5" w14:textId="77777777" w:rsidR="00587444" w:rsidRPr="00587444" w:rsidRDefault="00587444" w:rsidP="00587444">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Operating activities</w:t>
            </w:r>
          </w:p>
        </w:tc>
        <w:tc>
          <w:tcPr>
            <w:tcW w:w="1339" w:type="dxa"/>
            <w:noWrap/>
            <w:vAlign w:val="bottom"/>
          </w:tcPr>
          <w:p w14:paraId="0D4A73AA"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c>
          <w:tcPr>
            <w:tcW w:w="1190" w:type="dxa"/>
          </w:tcPr>
          <w:p w14:paraId="7C44089C"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r>
      <w:tr w:rsidR="00587444" w:rsidRPr="00587444" w14:paraId="7FA8D795" w14:textId="77777777" w:rsidTr="00DD69E7">
        <w:trPr>
          <w:trHeight w:val="65"/>
        </w:trPr>
        <w:tc>
          <w:tcPr>
            <w:tcW w:w="6549" w:type="dxa"/>
            <w:vAlign w:val="bottom"/>
            <w:hideMark/>
          </w:tcPr>
          <w:p w14:paraId="22141E65"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Profit before income tax</w:t>
            </w:r>
          </w:p>
        </w:tc>
        <w:tc>
          <w:tcPr>
            <w:tcW w:w="1339" w:type="dxa"/>
            <w:shd w:val="clear" w:color="auto" w:fill="auto"/>
            <w:noWrap/>
            <w:vAlign w:val="bottom"/>
          </w:tcPr>
          <w:p w14:paraId="78DED7AA"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lang w:val="hr-HR"/>
              </w:rPr>
              <w:t>3,957</w:t>
            </w:r>
          </w:p>
        </w:tc>
        <w:tc>
          <w:tcPr>
            <w:tcW w:w="1190" w:type="dxa"/>
            <w:shd w:val="clear" w:color="auto" w:fill="auto"/>
            <w:vAlign w:val="bottom"/>
          </w:tcPr>
          <w:p w14:paraId="18047FD5"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r w:rsidRPr="00587444">
              <w:rPr>
                <w:rFonts w:ascii="Arial" w:hAnsi="Arial" w:cs="Arial"/>
                <w:bCs/>
                <w:color w:val="000000"/>
                <w:sz w:val="18"/>
                <w:szCs w:val="18"/>
                <w:lang w:val="hr-HR"/>
              </w:rPr>
              <w:t>1,317</w:t>
            </w:r>
          </w:p>
        </w:tc>
      </w:tr>
      <w:tr w:rsidR="00587444" w:rsidRPr="00587444" w14:paraId="722DA8A6" w14:textId="77777777" w:rsidTr="00DD69E7">
        <w:trPr>
          <w:trHeight w:val="179"/>
        </w:trPr>
        <w:tc>
          <w:tcPr>
            <w:tcW w:w="6549" w:type="dxa"/>
            <w:vAlign w:val="bottom"/>
            <w:hideMark/>
          </w:tcPr>
          <w:p w14:paraId="0B635ABB" w14:textId="77777777" w:rsidR="00587444" w:rsidRPr="00587444" w:rsidRDefault="00587444" w:rsidP="00587444">
            <w:pPr>
              <w:suppressAutoHyphens w:val="0"/>
              <w:autoSpaceDN/>
              <w:spacing w:line="220" w:lineRule="exact"/>
              <w:rPr>
                <w:rFonts w:ascii="Arial" w:hAnsi="Arial" w:cs="Arial"/>
                <w:i/>
                <w:sz w:val="18"/>
                <w:szCs w:val="18"/>
                <w:lang w:val="en-GB"/>
              </w:rPr>
            </w:pPr>
            <w:r w:rsidRPr="00587444">
              <w:rPr>
                <w:rFonts w:ascii="Arial" w:hAnsi="Arial" w:cs="Arial"/>
                <w:i/>
                <w:sz w:val="18"/>
                <w:szCs w:val="18"/>
                <w:lang w:val="en-GB"/>
              </w:rPr>
              <w:t>Adjustments to reconcile to net cash from and used in operating activities:</w:t>
            </w:r>
          </w:p>
        </w:tc>
        <w:tc>
          <w:tcPr>
            <w:tcW w:w="1339" w:type="dxa"/>
            <w:shd w:val="clear" w:color="auto" w:fill="auto"/>
            <w:noWrap/>
            <w:vAlign w:val="bottom"/>
          </w:tcPr>
          <w:p w14:paraId="7D9C651D"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c>
          <w:tcPr>
            <w:tcW w:w="1190" w:type="dxa"/>
            <w:shd w:val="clear" w:color="auto" w:fill="auto"/>
            <w:vAlign w:val="bottom"/>
          </w:tcPr>
          <w:p w14:paraId="73DFF7AD"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r>
      <w:tr w:rsidR="00587444" w:rsidRPr="00587444" w14:paraId="1CF1315C" w14:textId="77777777" w:rsidTr="00DD69E7">
        <w:trPr>
          <w:trHeight w:val="179"/>
        </w:trPr>
        <w:tc>
          <w:tcPr>
            <w:tcW w:w="6549" w:type="dxa"/>
            <w:vAlign w:val="bottom"/>
            <w:hideMark/>
          </w:tcPr>
          <w:p w14:paraId="5CABCB6F"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Depreciation</w:t>
            </w:r>
          </w:p>
        </w:tc>
        <w:tc>
          <w:tcPr>
            <w:tcW w:w="1339" w:type="dxa"/>
            <w:shd w:val="clear" w:color="auto" w:fill="auto"/>
            <w:noWrap/>
            <w:vAlign w:val="bottom"/>
          </w:tcPr>
          <w:p w14:paraId="45A84727"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353</w:t>
            </w:r>
          </w:p>
        </w:tc>
        <w:tc>
          <w:tcPr>
            <w:tcW w:w="1190" w:type="dxa"/>
            <w:shd w:val="clear" w:color="auto" w:fill="auto"/>
            <w:vAlign w:val="bottom"/>
          </w:tcPr>
          <w:p w14:paraId="63BE773C"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314</w:t>
            </w:r>
          </w:p>
        </w:tc>
      </w:tr>
      <w:tr w:rsidR="00587444" w:rsidRPr="00587444" w14:paraId="4B1FE7EE" w14:textId="77777777" w:rsidTr="00DD69E7">
        <w:trPr>
          <w:trHeight w:val="179"/>
        </w:trPr>
        <w:tc>
          <w:tcPr>
            <w:tcW w:w="6549" w:type="dxa"/>
            <w:vAlign w:val="bottom"/>
            <w:hideMark/>
          </w:tcPr>
          <w:p w14:paraId="6BFF53DC"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Impairment loss and provisions</w:t>
            </w:r>
          </w:p>
        </w:tc>
        <w:tc>
          <w:tcPr>
            <w:tcW w:w="1339" w:type="dxa"/>
            <w:shd w:val="clear" w:color="auto" w:fill="auto"/>
            <w:noWrap/>
            <w:vAlign w:val="bottom"/>
          </w:tcPr>
          <w:p w14:paraId="3D411D07"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(151)</w:t>
            </w:r>
          </w:p>
        </w:tc>
        <w:tc>
          <w:tcPr>
            <w:tcW w:w="1190" w:type="dxa"/>
            <w:shd w:val="clear" w:color="auto" w:fill="auto"/>
            <w:vAlign w:val="bottom"/>
          </w:tcPr>
          <w:p w14:paraId="060363FF"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26</w:t>
            </w:r>
          </w:p>
        </w:tc>
      </w:tr>
      <w:tr w:rsidR="00587444" w:rsidRPr="00587444" w14:paraId="0E3A50F5" w14:textId="77777777" w:rsidTr="00DD69E7">
        <w:trPr>
          <w:trHeight w:val="183"/>
        </w:trPr>
        <w:tc>
          <w:tcPr>
            <w:tcW w:w="6549" w:type="dxa"/>
            <w:vAlign w:val="bottom"/>
            <w:hideMark/>
          </w:tcPr>
          <w:p w14:paraId="22117B71"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Income tax</w:t>
            </w:r>
          </w:p>
        </w:tc>
        <w:tc>
          <w:tcPr>
            <w:tcW w:w="1339" w:type="dxa"/>
            <w:shd w:val="clear" w:color="auto" w:fill="auto"/>
            <w:noWrap/>
            <w:vAlign w:val="bottom"/>
          </w:tcPr>
          <w:p w14:paraId="13B959B2"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(201)</w:t>
            </w:r>
          </w:p>
        </w:tc>
        <w:tc>
          <w:tcPr>
            <w:tcW w:w="1190" w:type="dxa"/>
            <w:shd w:val="clear" w:color="auto" w:fill="auto"/>
            <w:vAlign w:val="bottom"/>
          </w:tcPr>
          <w:p w14:paraId="48B2CB9E"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(369)</w:t>
            </w:r>
          </w:p>
        </w:tc>
      </w:tr>
      <w:tr w:rsidR="00587444" w:rsidRPr="00587444" w14:paraId="02227F45" w14:textId="77777777" w:rsidTr="00DD69E7">
        <w:trPr>
          <w:trHeight w:val="183"/>
        </w:trPr>
        <w:tc>
          <w:tcPr>
            <w:tcW w:w="6549" w:type="dxa"/>
            <w:vAlign w:val="bottom"/>
            <w:hideMark/>
          </w:tcPr>
          <w:p w14:paraId="6E407156"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Accrued interest</w:t>
            </w:r>
          </w:p>
        </w:tc>
        <w:tc>
          <w:tcPr>
            <w:tcW w:w="1339" w:type="dxa"/>
            <w:shd w:val="clear" w:color="auto" w:fill="auto"/>
            <w:noWrap/>
            <w:vAlign w:val="bottom"/>
          </w:tcPr>
          <w:p w14:paraId="3948E222"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(10)</w:t>
            </w:r>
          </w:p>
        </w:tc>
        <w:tc>
          <w:tcPr>
            <w:tcW w:w="1190" w:type="dxa"/>
            <w:shd w:val="clear" w:color="auto" w:fill="auto"/>
            <w:vAlign w:val="bottom"/>
          </w:tcPr>
          <w:p w14:paraId="3C180FCA"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19</w:t>
            </w:r>
          </w:p>
        </w:tc>
      </w:tr>
      <w:tr w:rsidR="00587444" w:rsidRPr="00587444" w14:paraId="798004B3" w14:textId="77777777" w:rsidTr="00DD69E7">
        <w:trPr>
          <w:trHeight w:val="183"/>
        </w:trPr>
        <w:tc>
          <w:tcPr>
            <w:tcW w:w="6549" w:type="dxa"/>
            <w:vAlign w:val="bottom"/>
          </w:tcPr>
          <w:p w14:paraId="0079271A"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Other</w:t>
            </w:r>
          </w:p>
        </w:tc>
        <w:tc>
          <w:tcPr>
            <w:tcW w:w="1339" w:type="dxa"/>
            <w:shd w:val="clear" w:color="auto" w:fill="auto"/>
            <w:noWrap/>
            <w:vAlign w:val="bottom"/>
          </w:tcPr>
          <w:p w14:paraId="42DDCA4B"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w:t>
            </w:r>
          </w:p>
        </w:tc>
        <w:tc>
          <w:tcPr>
            <w:tcW w:w="1190" w:type="dxa"/>
            <w:shd w:val="clear" w:color="auto" w:fill="auto"/>
            <w:vAlign w:val="bottom"/>
          </w:tcPr>
          <w:p w14:paraId="51A67269" w14:textId="77777777" w:rsidR="00587444" w:rsidRPr="00587444" w:rsidRDefault="00587444" w:rsidP="00587444">
            <w:pPr>
              <w:suppressAutoHyphens w:val="0"/>
              <w:autoSpaceDN/>
              <w:spacing w:line="220" w:lineRule="exact"/>
              <w:jc w:val="right"/>
              <w:rPr>
                <w:rFonts w:ascii="Arial" w:hAnsi="Arial" w:cs="Arial"/>
                <w:bCs/>
                <w:sz w:val="18"/>
                <w:szCs w:val="18"/>
                <w:lang w:val="hr-HR"/>
              </w:rPr>
            </w:pPr>
            <w:r w:rsidRPr="00587444">
              <w:rPr>
                <w:rFonts w:ascii="Arial" w:hAnsi="Arial" w:cs="Arial"/>
                <w:color w:val="000000"/>
                <w:sz w:val="18"/>
                <w:szCs w:val="18"/>
                <w:lang w:val="hr-HR"/>
              </w:rPr>
              <w:t>(22)</w:t>
            </w:r>
          </w:p>
        </w:tc>
      </w:tr>
      <w:tr w:rsidR="00587444" w:rsidRPr="00587444" w14:paraId="7F2E1991" w14:textId="77777777" w:rsidTr="00DD69E7">
        <w:trPr>
          <w:trHeight w:val="163"/>
        </w:trPr>
        <w:tc>
          <w:tcPr>
            <w:tcW w:w="6549" w:type="dxa"/>
            <w:vAlign w:val="bottom"/>
            <w:hideMark/>
          </w:tcPr>
          <w:p w14:paraId="3F415012" w14:textId="77777777" w:rsidR="00587444" w:rsidRPr="00587444" w:rsidRDefault="00587444" w:rsidP="00587444">
            <w:pPr>
              <w:suppressAutoHyphens w:val="0"/>
              <w:autoSpaceDN/>
              <w:spacing w:line="220" w:lineRule="exact"/>
              <w:rPr>
                <w:rFonts w:ascii="Arial" w:hAnsi="Arial" w:cs="Arial"/>
                <w:i/>
                <w:sz w:val="18"/>
                <w:szCs w:val="18"/>
                <w:lang w:val="en-GB"/>
              </w:rPr>
            </w:pPr>
            <w:r w:rsidRPr="00587444">
              <w:rPr>
                <w:rFonts w:ascii="Arial" w:hAnsi="Arial" w:cs="Arial"/>
                <w:i/>
                <w:sz w:val="18"/>
                <w:szCs w:val="18"/>
                <w:lang w:val="en-GB"/>
              </w:rPr>
              <w:t>Operating profit before working capital changes</w:t>
            </w:r>
          </w:p>
        </w:tc>
        <w:tc>
          <w:tcPr>
            <w:tcW w:w="1339" w:type="dxa"/>
            <w:shd w:val="clear" w:color="auto" w:fill="auto"/>
            <w:noWrap/>
            <w:vAlign w:val="bottom"/>
          </w:tcPr>
          <w:p w14:paraId="47A9A4EB" w14:textId="77777777" w:rsidR="00587444" w:rsidRPr="00587444" w:rsidRDefault="00587444" w:rsidP="00587444">
            <w:pPr>
              <w:suppressAutoHyphens w:val="0"/>
              <w:autoSpaceDN/>
              <w:spacing w:line="220" w:lineRule="exact"/>
              <w:jc w:val="right"/>
              <w:rPr>
                <w:rFonts w:ascii="Arial" w:hAnsi="Arial" w:cs="Arial"/>
                <w:bCs/>
                <w:i/>
                <w:sz w:val="18"/>
                <w:szCs w:val="18"/>
                <w:lang w:val="en-GB"/>
              </w:rPr>
            </w:pPr>
            <w:r w:rsidRPr="00587444">
              <w:rPr>
                <w:rFonts w:ascii="Arial" w:hAnsi="Arial" w:cs="Arial"/>
                <w:bCs/>
                <w:i/>
                <w:color w:val="000000"/>
                <w:sz w:val="18"/>
                <w:szCs w:val="18"/>
                <w:lang w:val="hr-HR"/>
              </w:rPr>
              <w:t>3,948</w:t>
            </w:r>
          </w:p>
        </w:tc>
        <w:tc>
          <w:tcPr>
            <w:tcW w:w="1190" w:type="dxa"/>
            <w:shd w:val="clear" w:color="auto" w:fill="auto"/>
            <w:vAlign w:val="bottom"/>
          </w:tcPr>
          <w:p w14:paraId="5228B82B" w14:textId="77777777" w:rsidR="00587444" w:rsidRPr="00587444" w:rsidRDefault="00587444" w:rsidP="00587444">
            <w:pPr>
              <w:suppressAutoHyphens w:val="0"/>
              <w:autoSpaceDN/>
              <w:spacing w:line="220" w:lineRule="exact"/>
              <w:jc w:val="right"/>
              <w:rPr>
                <w:rFonts w:ascii="Arial" w:hAnsi="Arial" w:cs="Arial"/>
                <w:bCs/>
                <w:i/>
                <w:sz w:val="18"/>
                <w:szCs w:val="18"/>
                <w:lang w:val="en-GB"/>
              </w:rPr>
            </w:pPr>
            <w:r w:rsidRPr="00587444">
              <w:rPr>
                <w:rFonts w:ascii="Arial" w:hAnsi="Arial" w:cs="Arial"/>
                <w:bCs/>
                <w:i/>
                <w:color w:val="000000"/>
                <w:sz w:val="18"/>
                <w:szCs w:val="18"/>
                <w:lang w:val="hr-HR"/>
              </w:rPr>
              <w:t>1,285</w:t>
            </w:r>
          </w:p>
        </w:tc>
      </w:tr>
      <w:tr w:rsidR="00587444" w:rsidRPr="00587444" w14:paraId="30A1831C" w14:textId="77777777" w:rsidTr="00DD69E7">
        <w:trPr>
          <w:trHeight w:val="59"/>
        </w:trPr>
        <w:tc>
          <w:tcPr>
            <w:tcW w:w="6549" w:type="dxa"/>
            <w:vAlign w:val="bottom"/>
          </w:tcPr>
          <w:p w14:paraId="2697C89D"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339" w:type="dxa"/>
            <w:shd w:val="clear" w:color="auto" w:fill="auto"/>
            <w:noWrap/>
            <w:vAlign w:val="bottom"/>
          </w:tcPr>
          <w:p w14:paraId="27F7E91B"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c>
          <w:tcPr>
            <w:tcW w:w="1190" w:type="dxa"/>
            <w:shd w:val="clear" w:color="auto" w:fill="auto"/>
            <w:vAlign w:val="bottom"/>
          </w:tcPr>
          <w:p w14:paraId="6CB681E1"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r>
      <w:tr w:rsidR="00587444" w:rsidRPr="00587444" w14:paraId="5F8FF4D5" w14:textId="77777777" w:rsidTr="00DD69E7">
        <w:trPr>
          <w:trHeight w:val="147"/>
        </w:trPr>
        <w:tc>
          <w:tcPr>
            <w:tcW w:w="6549" w:type="dxa"/>
            <w:vAlign w:val="bottom"/>
            <w:hideMark/>
          </w:tcPr>
          <w:p w14:paraId="3F2F9214" w14:textId="77777777" w:rsidR="00587444" w:rsidRPr="00587444" w:rsidRDefault="00587444" w:rsidP="00587444">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Changes in operating assets and liabilities:</w:t>
            </w:r>
          </w:p>
        </w:tc>
        <w:tc>
          <w:tcPr>
            <w:tcW w:w="1339" w:type="dxa"/>
            <w:shd w:val="clear" w:color="auto" w:fill="auto"/>
            <w:noWrap/>
            <w:vAlign w:val="bottom"/>
          </w:tcPr>
          <w:p w14:paraId="1F03D8FE"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c>
          <w:tcPr>
            <w:tcW w:w="1190" w:type="dxa"/>
            <w:shd w:val="clear" w:color="auto" w:fill="auto"/>
            <w:vAlign w:val="bottom"/>
          </w:tcPr>
          <w:p w14:paraId="71A845F0"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r>
      <w:tr w:rsidR="00587444" w:rsidRPr="00587444" w14:paraId="7B687182" w14:textId="77777777" w:rsidTr="00DD69E7">
        <w:trPr>
          <w:trHeight w:val="253"/>
        </w:trPr>
        <w:tc>
          <w:tcPr>
            <w:tcW w:w="6549" w:type="dxa"/>
            <w:vAlign w:val="bottom"/>
            <w:hideMark/>
          </w:tcPr>
          <w:p w14:paraId="30B077E8"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realized (gain)/loss on assets available for sale</w:t>
            </w:r>
          </w:p>
        </w:tc>
        <w:tc>
          <w:tcPr>
            <w:tcW w:w="1339" w:type="dxa"/>
            <w:shd w:val="clear" w:color="auto" w:fill="auto"/>
            <w:noWrap/>
            <w:vAlign w:val="bottom"/>
          </w:tcPr>
          <w:p w14:paraId="7CF4C1AA"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(22,604)</w:t>
            </w:r>
          </w:p>
        </w:tc>
        <w:tc>
          <w:tcPr>
            <w:tcW w:w="1190" w:type="dxa"/>
            <w:shd w:val="clear" w:color="auto" w:fill="auto"/>
            <w:vAlign w:val="bottom"/>
          </w:tcPr>
          <w:p w14:paraId="54B69469"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w:t>
            </w:r>
          </w:p>
        </w:tc>
      </w:tr>
      <w:tr w:rsidR="00587444" w:rsidRPr="00587444" w14:paraId="5B85332B" w14:textId="77777777" w:rsidTr="00DD69E7">
        <w:trPr>
          <w:trHeight w:val="253"/>
        </w:trPr>
        <w:tc>
          <w:tcPr>
            <w:tcW w:w="6549" w:type="dxa"/>
            <w:vAlign w:val="bottom"/>
            <w:hideMark/>
          </w:tcPr>
          <w:p w14:paraId="70D7819C"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 xml:space="preserve">Decrease of discount in assets available for sale and assets held to maturity </w:t>
            </w:r>
          </w:p>
        </w:tc>
        <w:tc>
          <w:tcPr>
            <w:tcW w:w="1339" w:type="dxa"/>
            <w:shd w:val="clear" w:color="auto" w:fill="auto"/>
            <w:noWrap/>
            <w:vAlign w:val="bottom"/>
          </w:tcPr>
          <w:p w14:paraId="16942167"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91</w:t>
            </w:r>
          </w:p>
        </w:tc>
        <w:tc>
          <w:tcPr>
            <w:tcW w:w="1190" w:type="dxa"/>
            <w:shd w:val="clear" w:color="auto" w:fill="auto"/>
            <w:vAlign w:val="bottom"/>
          </w:tcPr>
          <w:p w14:paraId="4BD23D44"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91</w:t>
            </w:r>
          </w:p>
        </w:tc>
      </w:tr>
      <w:tr w:rsidR="00587444" w:rsidRPr="00587444" w14:paraId="0D8C1B56" w14:textId="77777777" w:rsidTr="00DD69E7">
        <w:trPr>
          <w:trHeight w:val="253"/>
        </w:trPr>
        <w:tc>
          <w:tcPr>
            <w:tcW w:w="6549" w:type="dxa"/>
            <w:vAlign w:val="bottom"/>
            <w:hideMark/>
          </w:tcPr>
          <w:p w14:paraId="2008CDD1"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Premium receivables</w:t>
            </w:r>
          </w:p>
        </w:tc>
        <w:tc>
          <w:tcPr>
            <w:tcW w:w="1339" w:type="dxa"/>
            <w:shd w:val="clear" w:color="auto" w:fill="auto"/>
            <w:noWrap/>
            <w:vAlign w:val="bottom"/>
          </w:tcPr>
          <w:p w14:paraId="0CCC9290"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 xml:space="preserve"> (3,405)</w:t>
            </w:r>
          </w:p>
        </w:tc>
        <w:tc>
          <w:tcPr>
            <w:tcW w:w="1190" w:type="dxa"/>
            <w:shd w:val="clear" w:color="auto" w:fill="auto"/>
            <w:vAlign w:val="bottom"/>
          </w:tcPr>
          <w:p w14:paraId="1F1F444E"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118</w:t>
            </w:r>
          </w:p>
        </w:tc>
      </w:tr>
      <w:tr w:rsidR="00587444" w:rsidRPr="00587444" w14:paraId="26CFF9EE" w14:textId="77777777" w:rsidTr="00DD69E7">
        <w:trPr>
          <w:trHeight w:val="253"/>
        </w:trPr>
        <w:tc>
          <w:tcPr>
            <w:tcW w:w="6549" w:type="dxa"/>
            <w:vAlign w:val="bottom"/>
            <w:hideMark/>
          </w:tcPr>
          <w:p w14:paraId="53017228"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decrease/(increase) in other assets</w:t>
            </w:r>
          </w:p>
        </w:tc>
        <w:tc>
          <w:tcPr>
            <w:tcW w:w="1339" w:type="dxa"/>
            <w:shd w:val="clear" w:color="auto" w:fill="auto"/>
            <w:noWrap/>
            <w:vAlign w:val="bottom"/>
          </w:tcPr>
          <w:p w14:paraId="7985400B"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 xml:space="preserve"> (159)</w:t>
            </w:r>
          </w:p>
        </w:tc>
        <w:tc>
          <w:tcPr>
            <w:tcW w:w="1190" w:type="dxa"/>
            <w:shd w:val="clear" w:color="auto" w:fill="auto"/>
            <w:vAlign w:val="bottom"/>
          </w:tcPr>
          <w:p w14:paraId="07F6EC32"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(168)</w:t>
            </w:r>
          </w:p>
        </w:tc>
      </w:tr>
      <w:tr w:rsidR="00587444" w:rsidRPr="00587444" w14:paraId="1E3C461B" w14:textId="77777777" w:rsidTr="00DD69E7">
        <w:trPr>
          <w:trHeight w:val="253"/>
        </w:trPr>
        <w:tc>
          <w:tcPr>
            <w:tcW w:w="6549" w:type="dxa"/>
            <w:vAlign w:val="bottom"/>
            <w:hideMark/>
          </w:tcPr>
          <w:p w14:paraId="13B3E90B"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 xml:space="preserve">Net decrease of assets and liabilities from insurance operations </w:t>
            </w:r>
          </w:p>
        </w:tc>
        <w:tc>
          <w:tcPr>
            <w:tcW w:w="1339" w:type="dxa"/>
            <w:shd w:val="clear" w:color="auto" w:fill="auto"/>
            <w:noWrap/>
            <w:vAlign w:val="bottom"/>
          </w:tcPr>
          <w:p w14:paraId="78000CB5"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5,941</w:t>
            </w:r>
          </w:p>
        </w:tc>
        <w:tc>
          <w:tcPr>
            <w:tcW w:w="1190" w:type="dxa"/>
            <w:shd w:val="clear" w:color="auto" w:fill="auto"/>
            <w:vAlign w:val="bottom"/>
          </w:tcPr>
          <w:p w14:paraId="34F4610F"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(812)</w:t>
            </w:r>
          </w:p>
        </w:tc>
      </w:tr>
      <w:tr w:rsidR="00587444" w:rsidRPr="00587444" w14:paraId="5CD8CF68" w14:textId="77777777" w:rsidTr="00DD69E7">
        <w:trPr>
          <w:trHeight w:val="253"/>
        </w:trPr>
        <w:tc>
          <w:tcPr>
            <w:tcW w:w="6549" w:type="dxa"/>
            <w:vAlign w:val="bottom"/>
            <w:hideMark/>
          </w:tcPr>
          <w:p w14:paraId="095A427E"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increase in technical provisions</w:t>
            </w:r>
          </w:p>
        </w:tc>
        <w:tc>
          <w:tcPr>
            <w:tcW w:w="1339" w:type="dxa"/>
            <w:shd w:val="clear" w:color="auto" w:fill="auto"/>
            <w:noWrap/>
            <w:vAlign w:val="bottom"/>
          </w:tcPr>
          <w:p w14:paraId="66B59697"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(937)</w:t>
            </w:r>
          </w:p>
        </w:tc>
        <w:tc>
          <w:tcPr>
            <w:tcW w:w="1190" w:type="dxa"/>
            <w:shd w:val="clear" w:color="auto" w:fill="auto"/>
            <w:vAlign w:val="bottom"/>
          </w:tcPr>
          <w:p w14:paraId="5F5F0F3F"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3,118</w:t>
            </w:r>
          </w:p>
        </w:tc>
      </w:tr>
      <w:tr w:rsidR="00587444" w:rsidRPr="00587444" w14:paraId="422394A2" w14:textId="77777777" w:rsidTr="00DD69E7">
        <w:trPr>
          <w:trHeight w:val="253"/>
        </w:trPr>
        <w:tc>
          <w:tcPr>
            <w:tcW w:w="6549" w:type="dxa"/>
            <w:vAlign w:val="bottom"/>
            <w:hideMark/>
          </w:tcPr>
          <w:p w14:paraId="0499BBBA"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increase in other liabilities</w:t>
            </w:r>
          </w:p>
        </w:tc>
        <w:tc>
          <w:tcPr>
            <w:tcW w:w="1339" w:type="dxa"/>
            <w:tcBorders>
              <w:top w:val="nil"/>
              <w:left w:val="nil"/>
              <w:bottom w:val="single" w:sz="4" w:space="0" w:color="auto"/>
              <w:right w:val="nil"/>
            </w:tcBorders>
            <w:shd w:val="clear" w:color="auto" w:fill="auto"/>
            <w:noWrap/>
            <w:vAlign w:val="bottom"/>
          </w:tcPr>
          <w:p w14:paraId="18C3741D"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 xml:space="preserve"> (577)</w:t>
            </w:r>
          </w:p>
        </w:tc>
        <w:tc>
          <w:tcPr>
            <w:tcW w:w="1190" w:type="dxa"/>
            <w:tcBorders>
              <w:top w:val="nil"/>
              <w:left w:val="nil"/>
              <w:bottom w:val="single" w:sz="4" w:space="0" w:color="auto"/>
              <w:right w:val="nil"/>
            </w:tcBorders>
            <w:shd w:val="clear" w:color="auto" w:fill="auto"/>
            <w:vAlign w:val="bottom"/>
          </w:tcPr>
          <w:p w14:paraId="1D4A3017"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383</w:t>
            </w:r>
          </w:p>
        </w:tc>
      </w:tr>
      <w:tr w:rsidR="00587444" w:rsidRPr="00587444" w14:paraId="23BCDEB1" w14:textId="77777777" w:rsidTr="00DD69E7">
        <w:trPr>
          <w:trHeight w:val="189"/>
        </w:trPr>
        <w:tc>
          <w:tcPr>
            <w:tcW w:w="6549" w:type="dxa"/>
            <w:vAlign w:val="bottom"/>
            <w:hideMark/>
          </w:tcPr>
          <w:p w14:paraId="6A09E01E"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Net cash provided from operating activities</w:t>
            </w:r>
          </w:p>
        </w:tc>
        <w:tc>
          <w:tcPr>
            <w:tcW w:w="1339" w:type="dxa"/>
            <w:tcBorders>
              <w:top w:val="single" w:sz="4" w:space="0" w:color="auto"/>
              <w:left w:val="nil"/>
              <w:bottom w:val="nil"/>
              <w:right w:val="nil"/>
            </w:tcBorders>
            <w:shd w:val="clear" w:color="auto" w:fill="auto"/>
            <w:noWrap/>
            <w:vAlign w:val="bottom"/>
          </w:tcPr>
          <w:p w14:paraId="17E7D3DD"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lang w:val="hr-HR"/>
              </w:rPr>
              <w:t>(17,702)</w:t>
            </w:r>
          </w:p>
        </w:tc>
        <w:tc>
          <w:tcPr>
            <w:tcW w:w="1190" w:type="dxa"/>
            <w:tcBorders>
              <w:top w:val="single" w:sz="4" w:space="0" w:color="auto"/>
              <w:left w:val="nil"/>
              <w:bottom w:val="nil"/>
              <w:right w:val="nil"/>
            </w:tcBorders>
            <w:shd w:val="clear" w:color="auto" w:fill="auto"/>
            <w:vAlign w:val="bottom"/>
          </w:tcPr>
          <w:p w14:paraId="33B78D84"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lang w:val="hr-HR"/>
              </w:rPr>
              <w:t>4,015</w:t>
            </w:r>
          </w:p>
        </w:tc>
      </w:tr>
      <w:tr w:rsidR="00587444" w:rsidRPr="00587444" w14:paraId="69165A9D" w14:textId="77777777" w:rsidTr="00DD69E7">
        <w:trPr>
          <w:trHeight w:val="73"/>
        </w:trPr>
        <w:tc>
          <w:tcPr>
            <w:tcW w:w="6549" w:type="dxa"/>
            <w:vAlign w:val="bottom"/>
          </w:tcPr>
          <w:p w14:paraId="1FB7E8B2"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339" w:type="dxa"/>
            <w:tcBorders>
              <w:top w:val="single" w:sz="12" w:space="0" w:color="auto"/>
              <w:left w:val="nil"/>
              <w:bottom w:val="nil"/>
              <w:right w:val="nil"/>
            </w:tcBorders>
            <w:shd w:val="clear" w:color="auto" w:fill="auto"/>
            <w:noWrap/>
            <w:vAlign w:val="bottom"/>
          </w:tcPr>
          <w:p w14:paraId="6D66B793" w14:textId="77777777" w:rsidR="00587444" w:rsidRPr="00587444" w:rsidRDefault="00587444" w:rsidP="00587444">
            <w:pPr>
              <w:suppressAutoHyphens w:val="0"/>
              <w:autoSpaceDN/>
              <w:spacing w:line="140" w:lineRule="exact"/>
              <w:jc w:val="right"/>
              <w:rPr>
                <w:rFonts w:ascii="Arial" w:hAnsi="Arial" w:cs="Arial"/>
                <w:bCs/>
                <w:sz w:val="18"/>
                <w:szCs w:val="18"/>
                <w:lang w:val="en-GB"/>
              </w:rPr>
            </w:pPr>
          </w:p>
        </w:tc>
        <w:tc>
          <w:tcPr>
            <w:tcW w:w="1190" w:type="dxa"/>
            <w:tcBorders>
              <w:top w:val="single" w:sz="12" w:space="0" w:color="auto"/>
              <w:left w:val="nil"/>
              <w:bottom w:val="nil"/>
              <w:right w:val="nil"/>
            </w:tcBorders>
            <w:shd w:val="clear" w:color="auto" w:fill="auto"/>
            <w:vAlign w:val="bottom"/>
          </w:tcPr>
          <w:p w14:paraId="189D641D" w14:textId="77777777" w:rsidR="00587444" w:rsidRPr="00587444" w:rsidRDefault="00587444" w:rsidP="00587444">
            <w:pPr>
              <w:suppressAutoHyphens w:val="0"/>
              <w:autoSpaceDN/>
              <w:spacing w:line="140" w:lineRule="exact"/>
              <w:jc w:val="right"/>
              <w:rPr>
                <w:rFonts w:ascii="Arial" w:hAnsi="Arial" w:cs="Arial"/>
                <w:bCs/>
                <w:sz w:val="18"/>
                <w:szCs w:val="18"/>
                <w:lang w:val="en-GB"/>
              </w:rPr>
            </w:pPr>
          </w:p>
        </w:tc>
      </w:tr>
      <w:tr w:rsidR="00587444" w:rsidRPr="00587444" w14:paraId="58DD5394" w14:textId="77777777" w:rsidTr="00DD69E7">
        <w:trPr>
          <w:trHeight w:val="195"/>
        </w:trPr>
        <w:tc>
          <w:tcPr>
            <w:tcW w:w="6549" w:type="dxa"/>
            <w:vAlign w:val="bottom"/>
            <w:hideMark/>
          </w:tcPr>
          <w:p w14:paraId="199F2E13" w14:textId="77777777" w:rsidR="00587444" w:rsidRPr="00587444" w:rsidRDefault="00587444" w:rsidP="00587444">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Investment activities</w:t>
            </w:r>
          </w:p>
        </w:tc>
        <w:tc>
          <w:tcPr>
            <w:tcW w:w="1339" w:type="dxa"/>
            <w:shd w:val="clear" w:color="auto" w:fill="auto"/>
            <w:noWrap/>
            <w:vAlign w:val="bottom"/>
          </w:tcPr>
          <w:p w14:paraId="0AB75E1B"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p>
        </w:tc>
        <w:tc>
          <w:tcPr>
            <w:tcW w:w="1190" w:type="dxa"/>
            <w:shd w:val="clear" w:color="auto" w:fill="auto"/>
            <w:vAlign w:val="bottom"/>
          </w:tcPr>
          <w:p w14:paraId="37A1E50F" w14:textId="77777777" w:rsidR="00587444" w:rsidRPr="00587444" w:rsidRDefault="00587444" w:rsidP="00587444">
            <w:pPr>
              <w:suppressAutoHyphens w:val="0"/>
              <w:autoSpaceDN/>
              <w:spacing w:line="220" w:lineRule="exact"/>
              <w:jc w:val="right"/>
              <w:rPr>
                <w:rFonts w:ascii="Arial" w:hAnsi="Arial" w:cs="Arial"/>
                <w:bCs/>
                <w:sz w:val="18"/>
                <w:szCs w:val="18"/>
                <w:lang w:val="en-GB"/>
              </w:rPr>
            </w:pPr>
          </w:p>
        </w:tc>
      </w:tr>
      <w:tr w:rsidR="00587444" w:rsidRPr="00587444" w14:paraId="4A0A0CDE" w14:textId="77777777" w:rsidTr="00DD69E7">
        <w:trPr>
          <w:trHeight w:val="185"/>
        </w:trPr>
        <w:tc>
          <w:tcPr>
            <w:tcW w:w="6549" w:type="dxa"/>
            <w:vAlign w:val="bottom"/>
            <w:hideMark/>
          </w:tcPr>
          <w:p w14:paraId="3DDC3A85"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purchase of assets available for sale</w:t>
            </w:r>
          </w:p>
        </w:tc>
        <w:tc>
          <w:tcPr>
            <w:tcW w:w="1339" w:type="dxa"/>
            <w:shd w:val="clear" w:color="auto" w:fill="auto"/>
            <w:noWrap/>
            <w:vAlign w:val="bottom"/>
          </w:tcPr>
          <w:p w14:paraId="44BDCD6B"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w:t>
            </w:r>
          </w:p>
        </w:tc>
        <w:tc>
          <w:tcPr>
            <w:tcW w:w="1190" w:type="dxa"/>
            <w:shd w:val="clear" w:color="auto" w:fill="auto"/>
            <w:vAlign w:val="bottom"/>
          </w:tcPr>
          <w:p w14:paraId="407E5830"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(8,003)</w:t>
            </w:r>
          </w:p>
        </w:tc>
      </w:tr>
      <w:tr w:rsidR="00587444" w:rsidRPr="00587444" w14:paraId="1EA11BC4" w14:textId="77777777" w:rsidTr="00DD69E7">
        <w:trPr>
          <w:trHeight w:val="185"/>
        </w:trPr>
        <w:tc>
          <w:tcPr>
            <w:tcW w:w="6549" w:type="dxa"/>
            <w:vAlign w:val="bottom"/>
            <w:hideMark/>
          </w:tcPr>
          <w:p w14:paraId="7E9C7BE8"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sale of assets available for sale</w:t>
            </w:r>
          </w:p>
        </w:tc>
        <w:tc>
          <w:tcPr>
            <w:tcW w:w="1339" w:type="dxa"/>
            <w:shd w:val="clear" w:color="auto" w:fill="auto"/>
            <w:noWrap/>
            <w:vAlign w:val="bottom"/>
          </w:tcPr>
          <w:p w14:paraId="544A7CA0"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w:t>
            </w:r>
          </w:p>
        </w:tc>
        <w:tc>
          <w:tcPr>
            <w:tcW w:w="1190" w:type="dxa"/>
            <w:shd w:val="clear" w:color="auto" w:fill="auto"/>
            <w:vAlign w:val="bottom"/>
          </w:tcPr>
          <w:p w14:paraId="489BDE04"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2,000</w:t>
            </w:r>
          </w:p>
        </w:tc>
      </w:tr>
      <w:tr w:rsidR="00587444" w:rsidRPr="00587444" w14:paraId="24A2E51B" w14:textId="77777777" w:rsidTr="00DD69E7">
        <w:trPr>
          <w:trHeight w:val="185"/>
        </w:trPr>
        <w:tc>
          <w:tcPr>
            <w:tcW w:w="6549" w:type="dxa"/>
            <w:vAlign w:val="bottom"/>
            <w:hideMark/>
          </w:tcPr>
          <w:p w14:paraId="25B2FFA7"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purchase of property, plant and equipment and intangible assets</w:t>
            </w:r>
          </w:p>
        </w:tc>
        <w:tc>
          <w:tcPr>
            <w:tcW w:w="1339" w:type="dxa"/>
            <w:tcBorders>
              <w:top w:val="nil"/>
              <w:left w:val="nil"/>
              <w:bottom w:val="single" w:sz="4" w:space="0" w:color="auto"/>
              <w:right w:val="nil"/>
            </w:tcBorders>
            <w:shd w:val="clear" w:color="auto" w:fill="auto"/>
            <w:noWrap/>
            <w:vAlign w:val="bottom"/>
          </w:tcPr>
          <w:p w14:paraId="5F066E27"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(194)</w:t>
            </w:r>
          </w:p>
        </w:tc>
        <w:tc>
          <w:tcPr>
            <w:tcW w:w="1190" w:type="dxa"/>
            <w:tcBorders>
              <w:top w:val="nil"/>
              <w:left w:val="nil"/>
              <w:bottom w:val="single" w:sz="4" w:space="0" w:color="auto"/>
              <w:right w:val="nil"/>
            </w:tcBorders>
            <w:shd w:val="clear" w:color="auto" w:fill="auto"/>
            <w:vAlign w:val="bottom"/>
          </w:tcPr>
          <w:p w14:paraId="14BCA8C2"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(661)</w:t>
            </w:r>
          </w:p>
        </w:tc>
      </w:tr>
      <w:tr w:rsidR="00587444" w:rsidRPr="00587444" w14:paraId="22BF93EC" w14:textId="77777777" w:rsidTr="00DD69E7">
        <w:trPr>
          <w:trHeight w:val="165"/>
        </w:trPr>
        <w:tc>
          <w:tcPr>
            <w:tcW w:w="6549" w:type="dxa"/>
            <w:vAlign w:val="bottom"/>
            <w:hideMark/>
          </w:tcPr>
          <w:p w14:paraId="183C135B"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Net cash (used in) investment activities</w:t>
            </w:r>
          </w:p>
        </w:tc>
        <w:tc>
          <w:tcPr>
            <w:tcW w:w="1339" w:type="dxa"/>
            <w:tcBorders>
              <w:top w:val="single" w:sz="4" w:space="0" w:color="auto"/>
              <w:left w:val="nil"/>
              <w:bottom w:val="single" w:sz="12" w:space="0" w:color="auto"/>
              <w:right w:val="nil"/>
            </w:tcBorders>
            <w:shd w:val="clear" w:color="auto" w:fill="auto"/>
            <w:noWrap/>
            <w:vAlign w:val="bottom"/>
          </w:tcPr>
          <w:p w14:paraId="53BF35AA"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lang w:val="hr-HR"/>
              </w:rPr>
              <w:t>(194)</w:t>
            </w:r>
          </w:p>
        </w:tc>
        <w:tc>
          <w:tcPr>
            <w:tcW w:w="1190" w:type="dxa"/>
            <w:tcBorders>
              <w:top w:val="single" w:sz="4" w:space="0" w:color="auto"/>
              <w:left w:val="nil"/>
              <w:bottom w:val="single" w:sz="12" w:space="0" w:color="auto"/>
              <w:right w:val="nil"/>
            </w:tcBorders>
            <w:shd w:val="clear" w:color="auto" w:fill="auto"/>
            <w:vAlign w:val="bottom"/>
          </w:tcPr>
          <w:p w14:paraId="697AB005"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lang w:val="hr-HR"/>
              </w:rPr>
              <w:t>(6,664)</w:t>
            </w:r>
          </w:p>
        </w:tc>
      </w:tr>
      <w:tr w:rsidR="00587444" w:rsidRPr="00587444" w14:paraId="64298A68" w14:textId="77777777" w:rsidTr="00DD69E7">
        <w:trPr>
          <w:trHeight w:val="165"/>
        </w:trPr>
        <w:tc>
          <w:tcPr>
            <w:tcW w:w="6549" w:type="dxa"/>
            <w:vAlign w:val="bottom"/>
          </w:tcPr>
          <w:p w14:paraId="2A9A91FD" w14:textId="77777777" w:rsidR="00587444" w:rsidRPr="00587444" w:rsidRDefault="00587444" w:rsidP="00587444">
            <w:pPr>
              <w:suppressAutoHyphens w:val="0"/>
              <w:autoSpaceDN/>
              <w:spacing w:line="220" w:lineRule="exact"/>
              <w:rPr>
                <w:rFonts w:ascii="Arial" w:hAnsi="Arial" w:cs="Arial"/>
                <w:b/>
                <w:bCs/>
                <w:sz w:val="18"/>
                <w:szCs w:val="18"/>
                <w:lang w:val="en-GB"/>
              </w:rPr>
            </w:pPr>
          </w:p>
        </w:tc>
        <w:tc>
          <w:tcPr>
            <w:tcW w:w="1339" w:type="dxa"/>
            <w:tcBorders>
              <w:top w:val="single" w:sz="12" w:space="0" w:color="auto"/>
              <w:left w:val="nil"/>
              <w:bottom w:val="nil"/>
              <w:right w:val="nil"/>
            </w:tcBorders>
            <w:shd w:val="clear" w:color="auto" w:fill="auto"/>
            <w:noWrap/>
            <w:vAlign w:val="bottom"/>
          </w:tcPr>
          <w:p w14:paraId="06DF54CE"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p>
        </w:tc>
        <w:tc>
          <w:tcPr>
            <w:tcW w:w="1190" w:type="dxa"/>
            <w:tcBorders>
              <w:top w:val="single" w:sz="4" w:space="0" w:color="auto"/>
              <w:left w:val="nil"/>
              <w:right w:val="nil"/>
            </w:tcBorders>
            <w:shd w:val="clear" w:color="auto" w:fill="auto"/>
            <w:vAlign w:val="bottom"/>
          </w:tcPr>
          <w:p w14:paraId="40C517A9" w14:textId="77777777" w:rsidR="00587444" w:rsidRPr="00587444" w:rsidRDefault="00587444" w:rsidP="00587444">
            <w:pPr>
              <w:suppressAutoHyphens w:val="0"/>
              <w:autoSpaceDN/>
              <w:spacing w:line="220" w:lineRule="exact"/>
              <w:jc w:val="right"/>
              <w:rPr>
                <w:rFonts w:ascii="Arial" w:hAnsi="Arial" w:cs="Arial"/>
                <w:b/>
                <w:bCs/>
                <w:color w:val="000000"/>
                <w:sz w:val="18"/>
                <w:szCs w:val="18"/>
                <w:lang w:val="hr-HR"/>
              </w:rPr>
            </w:pPr>
          </w:p>
        </w:tc>
      </w:tr>
      <w:tr w:rsidR="00587444" w:rsidRPr="00587444" w14:paraId="21C51176" w14:textId="77777777" w:rsidTr="00DD69E7">
        <w:trPr>
          <w:trHeight w:val="165"/>
        </w:trPr>
        <w:tc>
          <w:tcPr>
            <w:tcW w:w="6549" w:type="dxa"/>
            <w:vAlign w:val="bottom"/>
          </w:tcPr>
          <w:p w14:paraId="28AF93B8"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Financing activities</w:t>
            </w:r>
          </w:p>
        </w:tc>
        <w:tc>
          <w:tcPr>
            <w:tcW w:w="1339" w:type="dxa"/>
            <w:tcBorders>
              <w:left w:val="nil"/>
              <w:bottom w:val="nil"/>
              <w:right w:val="nil"/>
            </w:tcBorders>
            <w:shd w:val="clear" w:color="auto" w:fill="auto"/>
            <w:noWrap/>
            <w:vAlign w:val="bottom"/>
          </w:tcPr>
          <w:p w14:paraId="72C2CECF"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p>
        </w:tc>
        <w:tc>
          <w:tcPr>
            <w:tcW w:w="1190" w:type="dxa"/>
            <w:tcBorders>
              <w:left w:val="nil"/>
              <w:right w:val="nil"/>
            </w:tcBorders>
            <w:shd w:val="clear" w:color="auto" w:fill="auto"/>
            <w:vAlign w:val="bottom"/>
          </w:tcPr>
          <w:p w14:paraId="3684DAA7" w14:textId="77777777" w:rsidR="00587444" w:rsidRPr="00587444" w:rsidRDefault="00587444" w:rsidP="00587444">
            <w:pPr>
              <w:suppressAutoHyphens w:val="0"/>
              <w:autoSpaceDN/>
              <w:spacing w:line="220" w:lineRule="exact"/>
              <w:jc w:val="right"/>
              <w:rPr>
                <w:rFonts w:ascii="Arial" w:hAnsi="Arial" w:cs="Arial"/>
                <w:b/>
                <w:bCs/>
                <w:color w:val="000000"/>
                <w:sz w:val="18"/>
                <w:szCs w:val="18"/>
                <w:lang w:val="hr-HR"/>
              </w:rPr>
            </w:pPr>
          </w:p>
        </w:tc>
      </w:tr>
      <w:tr w:rsidR="00587444" w:rsidRPr="00587444" w14:paraId="611EF1AA" w14:textId="77777777" w:rsidTr="00DD69E7">
        <w:trPr>
          <w:trHeight w:val="165"/>
        </w:trPr>
        <w:tc>
          <w:tcPr>
            <w:tcW w:w="6549" w:type="dxa"/>
            <w:vAlign w:val="bottom"/>
          </w:tcPr>
          <w:p w14:paraId="203B98B6"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increase in founder’s capital</w:t>
            </w:r>
          </w:p>
        </w:tc>
        <w:tc>
          <w:tcPr>
            <w:tcW w:w="1339" w:type="dxa"/>
            <w:tcBorders>
              <w:left w:val="nil"/>
              <w:bottom w:val="single" w:sz="4" w:space="0" w:color="auto"/>
              <w:right w:val="nil"/>
            </w:tcBorders>
            <w:shd w:val="clear" w:color="auto" w:fill="auto"/>
            <w:noWrap/>
            <w:vAlign w:val="bottom"/>
          </w:tcPr>
          <w:p w14:paraId="295E447A"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color w:val="000000"/>
                <w:sz w:val="18"/>
                <w:szCs w:val="18"/>
                <w:lang w:val="hr-HR"/>
              </w:rPr>
              <w:t>20,000</w:t>
            </w:r>
          </w:p>
        </w:tc>
        <w:tc>
          <w:tcPr>
            <w:tcW w:w="1190" w:type="dxa"/>
            <w:tcBorders>
              <w:left w:val="nil"/>
              <w:bottom w:val="single" w:sz="4" w:space="0" w:color="auto"/>
              <w:right w:val="nil"/>
            </w:tcBorders>
            <w:shd w:val="clear" w:color="auto" w:fill="auto"/>
            <w:vAlign w:val="bottom"/>
          </w:tcPr>
          <w:p w14:paraId="2075C54D" w14:textId="77777777" w:rsidR="00587444" w:rsidRPr="00587444" w:rsidRDefault="00587444" w:rsidP="00587444">
            <w:pPr>
              <w:suppressAutoHyphens w:val="0"/>
              <w:autoSpaceDN/>
              <w:spacing w:line="220" w:lineRule="exact"/>
              <w:jc w:val="right"/>
              <w:rPr>
                <w:rFonts w:ascii="Arial" w:hAnsi="Arial" w:cs="Arial"/>
                <w:b/>
                <w:bCs/>
                <w:color w:val="000000"/>
                <w:sz w:val="18"/>
                <w:szCs w:val="18"/>
                <w:lang w:val="hr-HR"/>
              </w:rPr>
            </w:pPr>
            <w:r w:rsidRPr="00587444">
              <w:rPr>
                <w:rFonts w:ascii="Arial" w:hAnsi="Arial" w:cs="Arial"/>
                <w:b/>
                <w:bCs/>
                <w:color w:val="000000"/>
                <w:sz w:val="18"/>
                <w:szCs w:val="18"/>
                <w:lang w:val="hr-HR"/>
              </w:rPr>
              <w:t>-</w:t>
            </w:r>
          </w:p>
        </w:tc>
      </w:tr>
      <w:tr w:rsidR="00587444" w:rsidRPr="00587444" w14:paraId="4AB966E2" w14:textId="77777777" w:rsidTr="00DD69E7">
        <w:trPr>
          <w:trHeight w:val="165"/>
        </w:trPr>
        <w:tc>
          <w:tcPr>
            <w:tcW w:w="6549" w:type="dxa"/>
            <w:vAlign w:val="bottom"/>
          </w:tcPr>
          <w:p w14:paraId="7B29E6AA" w14:textId="77777777" w:rsidR="00587444" w:rsidRPr="00587444" w:rsidRDefault="00587444" w:rsidP="00587444">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Net cash provided from</w:t>
            </w:r>
            <w:r w:rsidRPr="00587444">
              <w:t xml:space="preserve"> </w:t>
            </w:r>
            <w:r w:rsidRPr="00587444">
              <w:rPr>
                <w:rFonts w:ascii="Arial" w:hAnsi="Arial" w:cs="Arial"/>
                <w:b/>
                <w:bCs/>
                <w:sz w:val="18"/>
                <w:szCs w:val="18"/>
                <w:lang w:val="en-GB"/>
              </w:rPr>
              <w:t>financing activities</w:t>
            </w:r>
          </w:p>
        </w:tc>
        <w:tc>
          <w:tcPr>
            <w:tcW w:w="1339" w:type="dxa"/>
            <w:tcBorders>
              <w:top w:val="single" w:sz="4" w:space="0" w:color="auto"/>
              <w:left w:val="nil"/>
              <w:bottom w:val="single" w:sz="12" w:space="0" w:color="auto"/>
              <w:right w:val="nil"/>
            </w:tcBorders>
            <w:shd w:val="clear" w:color="auto" w:fill="auto"/>
            <w:noWrap/>
            <w:vAlign w:val="bottom"/>
          </w:tcPr>
          <w:p w14:paraId="1182F4C8" w14:textId="77777777" w:rsidR="00587444" w:rsidRPr="00587444" w:rsidRDefault="00587444" w:rsidP="00587444">
            <w:pPr>
              <w:suppressAutoHyphens w:val="0"/>
              <w:autoSpaceDN/>
              <w:spacing w:line="220" w:lineRule="exact"/>
              <w:jc w:val="right"/>
              <w:rPr>
                <w:rFonts w:ascii="Arial" w:hAnsi="Arial" w:cs="Arial"/>
                <w:b/>
                <w:bCs/>
                <w:sz w:val="18"/>
                <w:szCs w:val="18"/>
                <w:lang w:val="en-GB"/>
              </w:rPr>
            </w:pPr>
            <w:r w:rsidRPr="00587444">
              <w:rPr>
                <w:rFonts w:ascii="Arial" w:hAnsi="Arial" w:cs="Arial"/>
                <w:b/>
                <w:bCs/>
                <w:color w:val="000000"/>
                <w:sz w:val="18"/>
                <w:szCs w:val="18"/>
                <w:lang w:val="hr-HR"/>
              </w:rPr>
              <w:t>20,000</w:t>
            </w:r>
          </w:p>
        </w:tc>
        <w:tc>
          <w:tcPr>
            <w:tcW w:w="1190" w:type="dxa"/>
            <w:tcBorders>
              <w:top w:val="single" w:sz="4" w:space="0" w:color="auto"/>
              <w:left w:val="nil"/>
              <w:bottom w:val="single" w:sz="12" w:space="0" w:color="auto"/>
              <w:right w:val="nil"/>
            </w:tcBorders>
            <w:shd w:val="clear" w:color="auto" w:fill="auto"/>
            <w:vAlign w:val="bottom"/>
          </w:tcPr>
          <w:p w14:paraId="67F55B38" w14:textId="77777777" w:rsidR="00587444" w:rsidRPr="00587444" w:rsidRDefault="00587444" w:rsidP="00587444">
            <w:pPr>
              <w:suppressAutoHyphens w:val="0"/>
              <w:autoSpaceDN/>
              <w:spacing w:line="220" w:lineRule="exact"/>
              <w:jc w:val="right"/>
              <w:rPr>
                <w:rFonts w:ascii="Arial" w:hAnsi="Arial" w:cs="Arial"/>
                <w:b/>
                <w:bCs/>
                <w:color w:val="000000"/>
                <w:sz w:val="18"/>
                <w:szCs w:val="18"/>
                <w:lang w:val="hr-HR"/>
              </w:rPr>
            </w:pPr>
            <w:r w:rsidRPr="00587444">
              <w:rPr>
                <w:rFonts w:ascii="Arial" w:hAnsi="Arial" w:cs="Arial"/>
                <w:b/>
                <w:bCs/>
                <w:color w:val="000000"/>
                <w:sz w:val="18"/>
                <w:szCs w:val="18"/>
                <w:lang w:val="hr-HR"/>
              </w:rPr>
              <w:t>-</w:t>
            </w:r>
          </w:p>
        </w:tc>
      </w:tr>
      <w:tr w:rsidR="00587444" w:rsidRPr="00587444" w14:paraId="368ACAA3" w14:textId="77777777" w:rsidTr="00DD69E7">
        <w:trPr>
          <w:trHeight w:val="95"/>
        </w:trPr>
        <w:tc>
          <w:tcPr>
            <w:tcW w:w="6549" w:type="dxa"/>
            <w:vAlign w:val="bottom"/>
          </w:tcPr>
          <w:p w14:paraId="45ACC963"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339" w:type="dxa"/>
            <w:tcBorders>
              <w:top w:val="single" w:sz="12" w:space="0" w:color="auto"/>
              <w:left w:val="nil"/>
              <w:bottom w:val="nil"/>
              <w:right w:val="nil"/>
            </w:tcBorders>
            <w:shd w:val="clear" w:color="auto" w:fill="auto"/>
            <w:noWrap/>
            <w:vAlign w:val="bottom"/>
          </w:tcPr>
          <w:p w14:paraId="10B6BA47"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c>
          <w:tcPr>
            <w:tcW w:w="1190" w:type="dxa"/>
            <w:tcBorders>
              <w:top w:val="single" w:sz="12" w:space="0" w:color="auto"/>
              <w:left w:val="nil"/>
              <w:bottom w:val="nil"/>
              <w:right w:val="nil"/>
            </w:tcBorders>
            <w:shd w:val="clear" w:color="auto" w:fill="auto"/>
            <w:vAlign w:val="bottom"/>
          </w:tcPr>
          <w:p w14:paraId="4D14EB11"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r>
      <w:tr w:rsidR="00587444" w:rsidRPr="00587444" w14:paraId="7082DBB6" w14:textId="77777777" w:rsidTr="00DD69E7">
        <w:trPr>
          <w:trHeight w:val="163"/>
        </w:trPr>
        <w:tc>
          <w:tcPr>
            <w:tcW w:w="6549" w:type="dxa"/>
            <w:vAlign w:val="bottom"/>
            <w:hideMark/>
          </w:tcPr>
          <w:p w14:paraId="058C926E" w14:textId="77777777" w:rsidR="00587444" w:rsidRPr="00587444" w:rsidRDefault="00587444" w:rsidP="00587444">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Effect of foreign currency to cash and cash equivalents</w:t>
            </w:r>
          </w:p>
        </w:tc>
        <w:tc>
          <w:tcPr>
            <w:tcW w:w="1339" w:type="dxa"/>
            <w:shd w:val="clear" w:color="auto" w:fill="auto"/>
            <w:noWrap/>
            <w:vAlign w:val="bottom"/>
          </w:tcPr>
          <w:p w14:paraId="7CDA36D0"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c>
          <w:tcPr>
            <w:tcW w:w="1190" w:type="dxa"/>
            <w:shd w:val="clear" w:color="auto" w:fill="auto"/>
            <w:vAlign w:val="bottom"/>
          </w:tcPr>
          <w:p w14:paraId="5A75B3E2" w14:textId="77777777" w:rsidR="00587444" w:rsidRPr="00587444" w:rsidRDefault="00587444" w:rsidP="00587444">
            <w:pPr>
              <w:suppressAutoHyphens w:val="0"/>
              <w:autoSpaceDN/>
              <w:spacing w:line="220" w:lineRule="exact"/>
              <w:jc w:val="right"/>
              <w:rPr>
                <w:rFonts w:ascii="Arial" w:hAnsi="Arial" w:cs="Arial"/>
                <w:sz w:val="18"/>
                <w:szCs w:val="18"/>
                <w:lang w:val="en-GB"/>
              </w:rPr>
            </w:pPr>
          </w:p>
        </w:tc>
      </w:tr>
      <w:tr w:rsidR="00587444" w:rsidRPr="00587444" w14:paraId="525509ED" w14:textId="77777777" w:rsidTr="00DD69E7">
        <w:trPr>
          <w:trHeight w:val="163"/>
        </w:trPr>
        <w:tc>
          <w:tcPr>
            <w:tcW w:w="6549" w:type="dxa"/>
            <w:vAlign w:val="bottom"/>
            <w:hideMark/>
          </w:tcPr>
          <w:p w14:paraId="6733C38F"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foreign exchange</w:t>
            </w:r>
          </w:p>
        </w:tc>
        <w:tc>
          <w:tcPr>
            <w:tcW w:w="1339" w:type="dxa"/>
            <w:shd w:val="clear" w:color="auto" w:fill="auto"/>
            <w:noWrap/>
            <w:vAlign w:val="bottom"/>
          </w:tcPr>
          <w:p w14:paraId="47E23B43"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(71)</w:t>
            </w:r>
          </w:p>
        </w:tc>
        <w:tc>
          <w:tcPr>
            <w:tcW w:w="1190" w:type="dxa"/>
            <w:shd w:val="clear" w:color="auto" w:fill="auto"/>
            <w:vAlign w:val="bottom"/>
          </w:tcPr>
          <w:p w14:paraId="4D084BE9"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56</w:t>
            </w:r>
          </w:p>
        </w:tc>
      </w:tr>
      <w:tr w:rsidR="00587444" w:rsidRPr="00587444" w14:paraId="13AB64AB" w14:textId="77777777" w:rsidTr="00DD69E7">
        <w:trPr>
          <w:trHeight w:val="163"/>
        </w:trPr>
        <w:tc>
          <w:tcPr>
            <w:tcW w:w="6549" w:type="dxa"/>
            <w:vAlign w:val="bottom"/>
            <w:hideMark/>
          </w:tcPr>
          <w:p w14:paraId="236AB299" w14:textId="77777777" w:rsidR="00587444" w:rsidRPr="00587444" w:rsidRDefault="00587444" w:rsidP="00587444">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Net effect</w:t>
            </w:r>
          </w:p>
        </w:tc>
        <w:tc>
          <w:tcPr>
            <w:tcW w:w="1339" w:type="dxa"/>
            <w:tcBorders>
              <w:top w:val="single" w:sz="4" w:space="0" w:color="auto"/>
              <w:left w:val="nil"/>
              <w:bottom w:val="nil"/>
              <w:right w:val="nil"/>
            </w:tcBorders>
            <w:shd w:val="clear" w:color="auto" w:fill="auto"/>
            <w:noWrap/>
            <w:vAlign w:val="bottom"/>
          </w:tcPr>
          <w:p w14:paraId="4F5267D4" w14:textId="77777777" w:rsidR="00587444" w:rsidRPr="00587444" w:rsidRDefault="00587444" w:rsidP="00587444">
            <w:pPr>
              <w:suppressAutoHyphens w:val="0"/>
              <w:autoSpaceDN/>
              <w:spacing w:line="220" w:lineRule="exact"/>
              <w:jc w:val="right"/>
              <w:rPr>
                <w:rFonts w:ascii="Arial" w:hAnsi="Arial" w:cs="Arial"/>
                <w:b/>
                <w:sz w:val="18"/>
                <w:szCs w:val="18"/>
                <w:lang w:val="en-GB"/>
              </w:rPr>
            </w:pPr>
            <w:r w:rsidRPr="00587444">
              <w:rPr>
                <w:rFonts w:ascii="Arial" w:hAnsi="Arial" w:cs="Arial"/>
                <w:b/>
                <w:color w:val="000000"/>
                <w:sz w:val="18"/>
                <w:szCs w:val="18"/>
                <w:lang w:val="hr-HR"/>
              </w:rPr>
              <w:t>(71)</w:t>
            </w:r>
          </w:p>
        </w:tc>
        <w:tc>
          <w:tcPr>
            <w:tcW w:w="1190" w:type="dxa"/>
            <w:tcBorders>
              <w:top w:val="single" w:sz="4" w:space="0" w:color="auto"/>
              <w:left w:val="nil"/>
              <w:bottom w:val="nil"/>
              <w:right w:val="nil"/>
            </w:tcBorders>
            <w:shd w:val="clear" w:color="auto" w:fill="auto"/>
            <w:vAlign w:val="bottom"/>
          </w:tcPr>
          <w:p w14:paraId="27661E76" w14:textId="77777777" w:rsidR="00587444" w:rsidRPr="00587444" w:rsidRDefault="00587444" w:rsidP="00587444">
            <w:pPr>
              <w:suppressAutoHyphens w:val="0"/>
              <w:autoSpaceDN/>
              <w:spacing w:line="220" w:lineRule="exact"/>
              <w:jc w:val="right"/>
              <w:rPr>
                <w:rFonts w:ascii="Arial" w:hAnsi="Arial" w:cs="Arial"/>
                <w:b/>
                <w:sz w:val="18"/>
                <w:szCs w:val="18"/>
                <w:lang w:val="en-GB"/>
              </w:rPr>
            </w:pPr>
            <w:r w:rsidRPr="00587444">
              <w:rPr>
                <w:rFonts w:ascii="Arial" w:hAnsi="Arial" w:cs="Arial"/>
                <w:b/>
                <w:color w:val="000000"/>
                <w:sz w:val="18"/>
                <w:szCs w:val="18"/>
                <w:lang w:val="hr-HR"/>
              </w:rPr>
              <w:t>56</w:t>
            </w:r>
          </w:p>
        </w:tc>
      </w:tr>
      <w:tr w:rsidR="00587444" w:rsidRPr="00587444" w14:paraId="59C3C805" w14:textId="77777777" w:rsidTr="00DD69E7">
        <w:trPr>
          <w:trHeight w:val="55"/>
        </w:trPr>
        <w:tc>
          <w:tcPr>
            <w:tcW w:w="6549" w:type="dxa"/>
            <w:vAlign w:val="bottom"/>
          </w:tcPr>
          <w:p w14:paraId="3141B8C2"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339" w:type="dxa"/>
            <w:tcBorders>
              <w:top w:val="single" w:sz="12" w:space="0" w:color="auto"/>
              <w:left w:val="nil"/>
              <w:bottom w:val="nil"/>
              <w:right w:val="nil"/>
            </w:tcBorders>
            <w:shd w:val="clear" w:color="auto" w:fill="auto"/>
            <w:noWrap/>
            <w:vAlign w:val="bottom"/>
          </w:tcPr>
          <w:p w14:paraId="4159ACA3"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c>
          <w:tcPr>
            <w:tcW w:w="1190" w:type="dxa"/>
            <w:tcBorders>
              <w:top w:val="single" w:sz="12" w:space="0" w:color="auto"/>
              <w:left w:val="nil"/>
              <w:bottom w:val="nil"/>
              <w:right w:val="nil"/>
            </w:tcBorders>
            <w:shd w:val="clear" w:color="auto" w:fill="auto"/>
            <w:vAlign w:val="bottom"/>
          </w:tcPr>
          <w:p w14:paraId="2840D1F7"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r>
      <w:tr w:rsidR="00587444" w:rsidRPr="00587444" w14:paraId="1990D35A" w14:textId="77777777" w:rsidTr="00DD69E7">
        <w:trPr>
          <w:trHeight w:val="163"/>
        </w:trPr>
        <w:tc>
          <w:tcPr>
            <w:tcW w:w="6549" w:type="dxa"/>
            <w:vAlign w:val="bottom"/>
            <w:hideMark/>
          </w:tcPr>
          <w:p w14:paraId="46DD591C"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w:t>
            </w:r>
            <w:r w:rsidRPr="00587444">
              <w:t xml:space="preserve"> </w:t>
            </w:r>
            <w:r w:rsidRPr="00587444">
              <w:rPr>
                <w:rFonts w:ascii="Arial" w:hAnsi="Arial" w:cs="Arial"/>
                <w:sz w:val="18"/>
                <w:szCs w:val="18"/>
                <w:lang w:val="en-GB"/>
              </w:rPr>
              <w:t>increase/(decrease) in cash and cash equivalents</w:t>
            </w:r>
          </w:p>
        </w:tc>
        <w:tc>
          <w:tcPr>
            <w:tcW w:w="1339" w:type="dxa"/>
            <w:shd w:val="clear" w:color="auto" w:fill="auto"/>
            <w:noWrap/>
            <w:vAlign w:val="bottom"/>
          </w:tcPr>
          <w:p w14:paraId="34B0533A"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2,033</w:t>
            </w:r>
          </w:p>
        </w:tc>
        <w:tc>
          <w:tcPr>
            <w:tcW w:w="1190" w:type="dxa"/>
            <w:shd w:val="clear" w:color="auto" w:fill="auto"/>
            <w:vAlign w:val="bottom"/>
          </w:tcPr>
          <w:p w14:paraId="6B75998E"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(2,593)</w:t>
            </w:r>
          </w:p>
        </w:tc>
      </w:tr>
      <w:tr w:rsidR="00587444" w:rsidRPr="00587444" w14:paraId="76D02551" w14:textId="77777777" w:rsidTr="00DD69E7">
        <w:trPr>
          <w:trHeight w:val="65"/>
        </w:trPr>
        <w:tc>
          <w:tcPr>
            <w:tcW w:w="6549" w:type="dxa"/>
            <w:vAlign w:val="bottom"/>
          </w:tcPr>
          <w:p w14:paraId="6408D36C"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339" w:type="dxa"/>
            <w:shd w:val="clear" w:color="auto" w:fill="auto"/>
            <w:noWrap/>
            <w:vAlign w:val="bottom"/>
          </w:tcPr>
          <w:p w14:paraId="41A3CB1F"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c>
          <w:tcPr>
            <w:tcW w:w="1190" w:type="dxa"/>
            <w:shd w:val="clear" w:color="auto" w:fill="auto"/>
            <w:vAlign w:val="bottom"/>
          </w:tcPr>
          <w:p w14:paraId="43B44BE3"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r>
      <w:tr w:rsidR="00587444" w:rsidRPr="00587444" w14:paraId="30470BC1" w14:textId="77777777" w:rsidTr="00DD69E7">
        <w:trPr>
          <w:trHeight w:val="163"/>
        </w:trPr>
        <w:tc>
          <w:tcPr>
            <w:tcW w:w="6549" w:type="dxa"/>
            <w:vAlign w:val="bottom"/>
            <w:hideMark/>
          </w:tcPr>
          <w:p w14:paraId="2A349D2C"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Balance as of 1 January</w:t>
            </w:r>
          </w:p>
        </w:tc>
        <w:tc>
          <w:tcPr>
            <w:tcW w:w="1339" w:type="dxa"/>
            <w:shd w:val="clear" w:color="auto" w:fill="auto"/>
            <w:noWrap/>
            <w:vAlign w:val="bottom"/>
          </w:tcPr>
          <w:p w14:paraId="3F7E677E"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3,371</w:t>
            </w:r>
          </w:p>
        </w:tc>
        <w:tc>
          <w:tcPr>
            <w:tcW w:w="1190" w:type="dxa"/>
            <w:shd w:val="clear" w:color="auto" w:fill="auto"/>
            <w:vAlign w:val="bottom"/>
          </w:tcPr>
          <w:p w14:paraId="6F5523B0"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5,964</w:t>
            </w:r>
          </w:p>
        </w:tc>
      </w:tr>
      <w:tr w:rsidR="00587444" w:rsidRPr="00587444" w14:paraId="0EFA1F35" w14:textId="77777777" w:rsidTr="00DD69E7">
        <w:trPr>
          <w:trHeight w:val="163"/>
        </w:trPr>
        <w:tc>
          <w:tcPr>
            <w:tcW w:w="6549" w:type="dxa"/>
            <w:vAlign w:val="bottom"/>
            <w:hideMark/>
          </w:tcPr>
          <w:p w14:paraId="309AA57C" w14:textId="77777777" w:rsidR="00587444" w:rsidRPr="00587444" w:rsidRDefault="00587444" w:rsidP="00587444">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increase/(decrease) in cash</w:t>
            </w:r>
          </w:p>
        </w:tc>
        <w:tc>
          <w:tcPr>
            <w:tcW w:w="1339" w:type="dxa"/>
            <w:shd w:val="clear" w:color="auto" w:fill="auto"/>
            <w:noWrap/>
            <w:vAlign w:val="bottom"/>
          </w:tcPr>
          <w:p w14:paraId="37CB4CA1"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2,033</w:t>
            </w:r>
          </w:p>
        </w:tc>
        <w:tc>
          <w:tcPr>
            <w:tcW w:w="1190" w:type="dxa"/>
            <w:shd w:val="clear" w:color="auto" w:fill="auto"/>
            <w:vAlign w:val="bottom"/>
          </w:tcPr>
          <w:p w14:paraId="0D479A60" w14:textId="77777777" w:rsidR="00587444" w:rsidRPr="00587444" w:rsidRDefault="00587444" w:rsidP="00587444">
            <w:pPr>
              <w:suppressAutoHyphens w:val="0"/>
              <w:autoSpaceDN/>
              <w:spacing w:line="220" w:lineRule="exact"/>
              <w:jc w:val="right"/>
              <w:rPr>
                <w:rFonts w:ascii="Arial" w:hAnsi="Arial" w:cs="Arial"/>
                <w:sz w:val="18"/>
                <w:szCs w:val="18"/>
                <w:lang w:val="en-GB"/>
              </w:rPr>
            </w:pPr>
            <w:r w:rsidRPr="00587444">
              <w:rPr>
                <w:rFonts w:ascii="Arial" w:hAnsi="Arial" w:cs="Arial"/>
                <w:color w:val="000000"/>
                <w:sz w:val="18"/>
                <w:szCs w:val="18"/>
                <w:lang w:val="hr-HR"/>
              </w:rPr>
              <w:t>(2,593)</w:t>
            </w:r>
          </w:p>
        </w:tc>
      </w:tr>
      <w:tr w:rsidR="00587444" w:rsidRPr="00587444" w14:paraId="01B1EDB9" w14:textId="77777777" w:rsidTr="00DD69E7">
        <w:trPr>
          <w:trHeight w:val="65"/>
        </w:trPr>
        <w:tc>
          <w:tcPr>
            <w:tcW w:w="6549" w:type="dxa"/>
            <w:vAlign w:val="bottom"/>
          </w:tcPr>
          <w:p w14:paraId="2C8BEEED"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339" w:type="dxa"/>
            <w:shd w:val="clear" w:color="auto" w:fill="auto"/>
            <w:noWrap/>
            <w:vAlign w:val="bottom"/>
          </w:tcPr>
          <w:p w14:paraId="0F59B632"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c>
          <w:tcPr>
            <w:tcW w:w="1190" w:type="dxa"/>
            <w:shd w:val="clear" w:color="auto" w:fill="auto"/>
            <w:vAlign w:val="bottom"/>
          </w:tcPr>
          <w:p w14:paraId="7FAF4333"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r>
      <w:tr w:rsidR="00587444" w:rsidRPr="00587444" w14:paraId="27C035AA" w14:textId="77777777" w:rsidTr="00DD69E7">
        <w:trPr>
          <w:trHeight w:val="163"/>
        </w:trPr>
        <w:tc>
          <w:tcPr>
            <w:tcW w:w="6549" w:type="dxa"/>
            <w:vAlign w:val="bottom"/>
            <w:hideMark/>
          </w:tcPr>
          <w:p w14:paraId="21F97ECB" w14:textId="77777777" w:rsidR="00587444" w:rsidRPr="00587444" w:rsidRDefault="00587444" w:rsidP="00587444">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 xml:space="preserve">Balance as of 31 December </w:t>
            </w:r>
          </w:p>
        </w:tc>
        <w:tc>
          <w:tcPr>
            <w:tcW w:w="1339" w:type="dxa"/>
            <w:tcBorders>
              <w:top w:val="single" w:sz="4" w:space="0" w:color="auto"/>
              <w:left w:val="nil"/>
              <w:bottom w:val="single" w:sz="12" w:space="0" w:color="auto"/>
              <w:right w:val="nil"/>
            </w:tcBorders>
            <w:shd w:val="clear" w:color="auto" w:fill="auto"/>
            <w:noWrap/>
            <w:vAlign w:val="bottom"/>
          </w:tcPr>
          <w:p w14:paraId="7B81E825" w14:textId="77777777" w:rsidR="00587444" w:rsidRPr="00587444" w:rsidRDefault="00587444" w:rsidP="00587444">
            <w:pPr>
              <w:suppressAutoHyphens w:val="0"/>
              <w:autoSpaceDN/>
              <w:spacing w:line="220" w:lineRule="exact"/>
              <w:jc w:val="right"/>
              <w:rPr>
                <w:rFonts w:ascii="Arial" w:hAnsi="Arial" w:cs="Arial"/>
                <w:b/>
                <w:sz w:val="18"/>
                <w:szCs w:val="18"/>
                <w:lang w:val="en-GB"/>
              </w:rPr>
            </w:pPr>
            <w:r w:rsidRPr="00587444">
              <w:rPr>
                <w:rFonts w:ascii="Arial" w:hAnsi="Arial" w:cs="Arial"/>
                <w:b/>
                <w:color w:val="000000"/>
                <w:sz w:val="18"/>
                <w:szCs w:val="18"/>
                <w:lang w:val="hr-HR"/>
              </w:rPr>
              <w:t>5,404</w:t>
            </w:r>
          </w:p>
        </w:tc>
        <w:tc>
          <w:tcPr>
            <w:tcW w:w="1190" w:type="dxa"/>
            <w:tcBorders>
              <w:top w:val="single" w:sz="4" w:space="0" w:color="auto"/>
              <w:left w:val="nil"/>
              <w:bottom w:val="single" w:sz="12" w:space="0" w:color="auto"/>
              <w:right w:val="nil"/>
            </w:tcBorders>
            <w:shd w:val="clear" w:color="auto" w:fill="auto"/>
            <w:vAlign w:val="bottom"/>
          </w:tcPr>
          <w:p w14:paraId="41B3BF57" w14:textId="77777777" w:rsidR="00587444" w:rsidRPr="00587444" w:rsidRDefault="00587444" w:rsidP="00587444">
            <w:pPr>
              <w:suppressAutoHyphens w:val="0"/>
              <w:autoSpaceDN/>
              <w:spacing w:line="220" w:lineRule="exact"/>
              <w:jc w:val="right"/>
              <w:rPr>
                <w:rFonts w:ascii="Arial" w:hAnsi="Arial" w:cs="Arial"/>
                <w:b/>
                <w:sz w:val="18"/>
                <w:szCs w:val="18"/>
                <w:lang w:val="en-GB"/>
              </w:rPr>
            </w:pPr>
            <w:r w:rsidRPr="00587444">
              <w:rPr>
                <w:rFonts w:ascii="Arial" w:hAnsi="Arial" w:cs="Arial"/>
                <w:b/>
                <w:color w:val="000000"/>
                <w:sz w:val="18"/>
                <w:szCs w:val="18"/>
                <w:lang w:val="hr-HR"/>
              </w:rPr>
              <w:t>3,371</w:t>
            </w:r>
          </w:p>
        </w:tc>
      </w:tr>
    </w:tbl>
    <w:p w14:paraId="13D7720F"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pPr>
    </w:p>
    <w:p w14:paraId="4B3F5EDF" w14:textId="135FFE26" w:rsidR="00587444" w:rsidRDefault="00587444" w:rsidP="00587444">
      <w:pPr>
        <w:keepNext/>
        <w:suppressAutoHyphens w:val="0"/>
        <w:autoSpaceDN/>
        <w:spacing w:before="120" w:line="300" w:lineRule="exact"/>
        <w:jc w:val="both"/>
        <w:rPr>
          <w:rFonts w:ascii="Arial" w:hAnsi="Arial" w:cs="Arial"/>
          <w:b/>
          <w:bCs/>
          <w:sz w:val="20"/>
          <w:szCs w:val="20"/>
          <w:lang w:val="hr-HR"/>
        </w:rPr>
      </w:pPr>
    </w:p>
    <w:p w14:paraId="46409172" w14:textId="77777777" w:rsidR="00816931" w:rsidRDefault="00816931" w:rsidP="00587444">
      <w:pPr>
        <w:keepNext/>
        <w:suppressAutoHyphens w:val="0"/>
        <w:autoSpaceDN/>
        <w:spacing w:before="120" w:line="300" w:lineRule="exact"/>
        <w:jc w:val="both"/>
        <w:rPr>
          <w:rFonts w:ascii="Arial" w:hAnsi="Arial" w:cs="Arial"/>
          <w:b/>
          <w:bCs/>
          <w:sz w:val="20"/>
          <w:szCs w:val="20"/>
          <w:lang w:val="hr-HR"/>
        </w:rPr>
        <w:sectPr w:rsidR="00816931" w:rsidSect="00DD69E7">
          <w:headerReference w:type="default" r:id="rId96"/>
          <w:pgSz w:w="11907" w:h="16840" w:code="9"/>
          <w:pgMar w:top="1418" w:right="1134" w:bottom="1134" w:left="1418" w:header="851" w:footer="851" w:gutter="0"/>
          <w:cols w:space="720"/>
          <w:noEndnote/>
        </w:sectPr>
      </w:pPr>
    </w:p>
    <w:p w14:paraId="64A5C341" w14:textId="64B6A524" w:rsidR="00816931" w:rsidRDefault="00816931" w:rsidP="00587444">
      <w:pPr>
        <w:keepNext/>
        <w:suppressAutoHyphens w:val="0"/>
        <w:autoSpaceDN/>
        <w:spacing w:before="120" w:line="300" w:lineRule="exact"/>
        <w:jc w:val="both"/>
        <w:rPr>
          <w:rFonts w:ascii="Arial" w:hAnsi="Arial" w:cs="Arial"/>
          <w:b/>
          <w:bCs/>
          <w:sz w:val="20"/>
          <w:szCs w:val="20"/>
          <w:lang w:val="hr-HR"/>
        </w:rPr>
      </w:pPr>
    </w:p>
    <w:tbl>
      <w:tblPr>
        <w:tblpPr w:leftFromText="180" w:rightFromText="180" w:vertAnchor="page" w:horzAnchor="margin" w:tblpY="3218"/>
        <w:tblW w:w="5180" w:type="pct"/>
        <w:tblLayout w:type="fixed"/>
        <w:tblCellMar>
          <w:left w:w="120" w:type="dxa"/>
          <w:right w:w="120" w:type="dxa"/>
        </w:tblCellMar>
        <w:tblLook w:val="04A0" w:firstRow="1" w:lastRow="0" w:firstColumn="1" w:lastColumn="0" w:noHBand="0" w:noVBand="1"/>
      </w:tblPr>
      <w:tblGrid>
        <w:gridCol w:w="2807"/>
        <w:gridCol w:w="1121"/>
        <w:gridCol w:w="1163"/>
        <w:gridCol w:w="1105"/>
        <w:gridCol w:w="1217"/>
        <w:gridCol w:w="1455"/>
        <w:gridCol w:w="1072"/>
      </w:tblGrid>
      <w:tr w:rsidR="00810F30" w:rsidRPr="00587444" w14:paraId="2474859F" w14:textId="77777777" w:rsidTr="00810F30">
        <w:trPr>
          <w:trHeight w:val="778"/>
        </w:trPr>
        <w:tc>
          <w:tcPr>
            <w:tcW w:w="1412" w:type="pct"/>
          </w:tcPr>
          <w:p w14:paraId="260C0F3B" w14:textId="77777777" w:rsidR="00810F30" w:rsidRPr="00587444" w:rsidRDefault="00810F30" w:rsidP="00810F30">
            <w:pPr>
              <w:tabs>
                <w:tab w:val="right" w:pos="1202"/>
              </w:tabs>
              <w:suppressAutoHyphens w:val="0"/>
              <w:autoSpaceDN/>
              <w:spacing w:line="301" w:lineRule="exact"/>
              <w:outlineLvl w:val="0"/>
              <w:rPr>
                <w:rFonts w:ascii="Arial" w:hAnsi="Arial" w:cs="Arial"/>
                <w:b/>
                <w:iCs/>
                <w:sz w:val="17"/>
                <w:szCs w:val="17"/>
              </w:rPr>
            </w:pPr>
          </w:p>
        </w:tc>
        <w:tc>
          <w:tcPr>
            <w:tcW w:w="564" w:type="pct"/>
            <w:vAlign w:val="bottom"/>
            <w:hideMark/>
          </w:tcPr>
          <w:p w14:paraId="37B10421"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 xml:space="preserve">Share </w:t>
            </w:r>
          </w:p>
          <w:p w14:paraId="1CF83A96"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capital</w:t>
            </w:r>
          </w:p>
        </w:tc>
        <w:tc>
          <w:tcPr>
            <w:tcW w:w="585" w:type="pct"/>
            <w:vAlign w:val="bottom"/>
            <w:hideMark/>
          </w:tcPr>
          <w:p w14:paraId="79EC42BD" w14:textId="77777777" w:rsidR="00810F30" w:rsidRDefault="00810F30" w:rsidP="00810F30">
            <w:pPr>
              <w:tabs>
                <w:tab w:val="right" w:pos="1202"/>
              </w:tabs>
              <w:suppressAutoHyphens w:val="0"/>
              <w:autoSpaceDN/>
              <w:spacing w:line="301" w:lineRule="exact"/>
              <w:ind w:left="67" w:hanging="142"/>
              <w:jc w:val="right"/>
              <w:outlineLvl w:val="0"/>
              <w:rPr>
                <w:rFonts w:ascii="Arial" w:hAnsi="Arial" w:cs="Arial"/>
                <w:b/>
                <w:iCs/>
                <w:sz w:val="17"/>
                <w:szCs w:val="17"/>
              </w:rPr>
            </w:pPr>
            <w:r w:rsidRPr="00587444">
              <w:rPr>
                <w:rFonts w:ascii="Arial" w:hAnsi="Arial" w:cs="Arial"/>
                <w:b/>
                <w:iCs/>
                <w:sz w:val="17"/>
                <w:szCs w:val="17"/>
              </w:rPr>
              <w:t xml:space="preserve">Retained earnings and </w:t>
            </w:r>
          </w:p>
          <w:p w14:paraId="77C939FA" w14:textId="77777777" w:rsidR="00810F30" w:rsidRPr="00587444" w:rsidRDefault="00810F30" w:rsidP="00810F30">
            <w:pPr>
              <w:tabs>
                <w:tab w:val="right" w:pos="1202"/>
              </w:tabs>
              <w:suppressAutoHyphens w:val="0"/>
              <w:autoSpaceDN/>
              <w:spacing w:line="301" w:lineRule="exact"/>
              <w:ind w:left="67" w:hanging="142"/>
              <w:jc w:val="right"/>
              <w:outlineLvl w:val="0"/>
              <w:rPr>
                <w:rFonts w:ascii="Arial" w:hAnsi="Arial" w:cs="Arial"/>
                <w:b/>
                <w:iCs/>
                <w:sz w:val="17"/>
                <w:szCs w:val="17"/>
              </w:rPr>
            </w:pPr>
            <w:r w:rsidRPr="00587444">
              <w:rPr>
                <w:rFonts w:ascii="Arial" w:hAnsi="Arial" w:cs="Arial"/>
                <w:b/>
                <w:iCs/>
                <w:sz w:val="17"/>
                <w:szCs w:val="17"/>
              </w:rPr>
              <w:t>reserves</w:t>
            </w:r>
          </w:p>
        </w:tc>
        <w:tc>
          <w:tcPr>
            <w:tcW w:w="556" w:type="pct"/>
            <w:vAlign w:val="bottom"/>
            <w:hideMark/>
          </w:tcPr>
          <w:p w14:paraId="7DC22C9E" w14:textId="77777777" w:rsidR="00810F30"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 xml:space="preserve">Other </w:t>
            </w:r>
          </w:p>
          <w:p w14:paraId="1D36B2E5"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reserves</w:t>
            </w:r>
          </w:p>
        </w:tc>
        <w:tc>
          <w:tcPr>
            <w:tcW w:w="612" w:type="pct"/>
            <w:vAlign w:val="bottom"/>
            <w:hideMark/>
          </w:tcPr>
          <w:p w14:paraId="5679BAA8"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Profit/(loss) for the year</w:t>
            </w:r>
          </w:p>
        </w:tc>
        <w:tc>
          <w:tcPr>
            <w:tcW w:w="732" w:type="pct"/>
            <w:vAlign w:val="bottom"/>
            <w:hideMark/>
          </w:tcPr>
          <w:p w14:paraId="16FA931B" w14:textId="77777777" w:rsidR="00810F30" w:rsidRDefault="00810F30" w:rsidP="00810F30">
            <w:pPr>
              <w:tabs>
                <w:tab w:val="right" w:pos="1202"/>
              </w:tabs>
              <w:suppressAutoHyphens w:val="0"/>
              <w:autoSpaceDN/>
              <w:spacing w:line="240" w:lineRule="exact"/>
              <w:jc w:val="right"/>
              <w:outlineLvl w:val="0"/>
              <w:rPr>
                <w:rFonts w:ascii="Arial" w:hAnsi="Arial" w:cs="Arial"/>
                <w:b/>
                <w:iCs/>
                <w:sz w:val="17"/>
                <w:szCs w:val="17"/>
              </w:rPr>
            </w:pPr>
            <w:r w:rsidRPr="00587444">
              <w:rPr>
                <w:rFonts w:ascii="Arial" w:hAnsi="Arial" w:cs="Arial"/>
                <w:b/>
                <w:iCs/>
                <w:sz w:val="17"/>
                <w:szCs w:val="17"/>
              </w:rPr>
              <w:t xml:space="preserve">Total </w:t>
            </w:r>
          </w:p>
          <w:p w14:paraId="25EA1EA5" w14:textId="77777777" w:rsidR="00810F30" w:rsidRDefault="00810F30" w:rsidP="00810F30">
            <w:pPr>
              <w:tabs>
                <w:tab w:val="right" w:pos="1202"/>
              </w:tabs>
              <w:suppressAutoHyphens w:val="0"/>
              <w:autoSpaceDN/>
              <w:spacing w:line="240" w:lineRule="exact"/>
              <w:jc w:val="right"/>
              <w:outlineLvl w:val="0"/>
              <w:rPr>
                <w:rFonts w:ascii="Arial" w:hAnsi="Arial" w:cs="Arial"/>
                <w:b/>
                <w:iCs/>
                <w:sz w:val="17"/>
                <w:szCs w:val="17"/>
              </w:rPr>
            </w:pPr>
            <w:r w:rsidRPr="00587444">
              <w:rPr>
                <w:rFonts w:ascii="Arial" w:hAnsi="Arial" w:cs="Arial"/>
                <w:b/>
                <w:iCs/>
                <w:sz w:val="17"/>
                <w:szCs w:val="17"/>
              </w:rPr>
              <w:t xml:space="preserve">equity </w:t>
            </w:r>
          </w:p>
          <w:p w14:paraId="21A65D63" w14:textId="77777777" w:rsidR="00810F30" w:rsidRDefault="00810F30" w:rsidP="00810F30">
            <w:pPr>
              <w:tabs>
                <w:tab w:val="right" w:pos="1202"/>
              </w:tabs>
              <w:suppressAutoHyphens w:val="0"/>
              <w:autoSpaceDN/>
              <w:spacing w:line="240" w:lineRule="exact"/>
              <w:jc w:val="right"/>
              <w:outlineLvl w:val="0"/>
              <w:rPr>
                <w:rFonts w:ascii="Arial" w:hAnsi="Arial" w:cs="Arial"/>
                <w:b/>
                <w:iCs/>
                <w:sz w:val="17"/>
                <w:szCs w:val="17"/>
              </w:rPr>
            </w:pPr>
            <w:r w:rsidRPr="00587444">
              <w:rPr>
                <w:rFonts w:ascii="Arial" w:hAnsi="Arial" w:cs="Arial"/>
                <w:b/>
                <w:iCs/>
                <w:sz w:val="17"/>
                <w:szCs w:val="17"/>
              </w:rPr>
              <w:t xml:space="preserve">attributable to the </w:t>
            </w:r>
          </w:p>
          <w:p w14:paraId="06595059" w14:textId="77777777" w:rsidR="00810F30" w:rsidRDefault="00810F30" w:rsidP="00810F30">
            <w:pPr>
              <w:tabs>
                <w:tab w:val="right" w:pos="1202"/>
              </w:tabs>
              <w:suppressAutoHyphens w:val="0"/>
              <w:autoSpaceDN/>
              <w:spacing w:line="240" w:lineRule="exact"/>
              <w:jc w:val="right"/>
              <w:outlineLvl w:val="0"/>
              <w:rPr>
                <w:rFonts w:ascii="Arial" w:hAnsi="Arial" w:cs="Arial"/>
                <w:b/>
                <w:iCs/>
                <w:sz w:val="17"/>
                <w:szCs w:val="17"/>
              </w:rPr>
            </w:pPr>
            <w:r w:rsidRPr="00587444">
              <w:rPr>
                <w:rFonts w:ascii="Arial" w:hAnsi="Arial" w:cs="Arial"/>
                <w:b/>
                <w:iCs/>
                <w:sz w:val="17"/>
                <w:szCs w:val="17"/>
              </w:rPr>
              <w:t xml:space="preserve">equity holders of the </w:t>
            </w:r>
          </w:p>
          <w:p w14:paraId="2B6C0E58" w14:textId="77777777" w:rsidR="00810F30" w:rsidRPr="00587444" w:rsidRDefault="00810F30" w:rsidP="00810F30">
            <w:pPr>
              <w:tabs>
                <w:tab w:val="right" w:pos="1202"/>
              </w:tabs>
              <w:suppressAutoHyphens w:val="0"/>
              <w:autoSpaceDN/>
              <w:spacing w:line="240" w:lineRule="exact"/>
              <w:jc w:val="right"/>
              <w:outlineLvl w:val="0"/>
              <w:rPr>
                <w:rFonts w:ascii="Arial" w:hAnsi="Arial" w:cs="Arial"/>
                <w:b/>
                <w:iCs/>
                <w:sz w:val="17"/>
                <w:szCs w:val="17"/>
              </w:rPr>
            </w:pPr>
            <w:r w:rsidRPr="00587444">
              <w:rPr>
                <w:rFonts w:ascii="Arial" w:hAnsi="Arial" w:cs="Arial"/>
                <w:b/>
                <w:iCs/>
                <w:sz w:val="17"/>
                <w:szCs w:val="17"/>
              </w:rPr>
              <w:t>Company</w:t>
            </w:r>
          </w:p>
        </w:tc>
        <w:tc>
          <w:tcPr>
            <w:tcW w:w="539" w:type="pct"/>
            <w:vAlign w:val="bottom"/>
            <w:hideMark/>
          </w:tcPr>
          <w:p w14:paraId="6B6F1FA8"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 xml:space="preserve">Total </w:t>
            </w:r>
          </w:p>
          <w:p w14:paraId="211E5A22"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equity</w:t>
            </w:r>
          </w:p>
        </w:tc>
      </w:tr>
      <w:tr w:rsidR="00810F30" w:rsidRPr="00587444" w14:paraId="5279D561" w14:textId="77777777" w:rsidTr="00810F30">
        <w:trPr>
          <w:trHeight w:hRule="exact" w:val="282"/>
        </w:trPr>
        <w:tc>
          <w:tcPr>
            <w:tcW w:w="1412" w:type="pct"/>
            <w:vAlign w:val="center"/>
          </w:tcPr>
          <w:p w14:paraId="2536F23D" w14:textId="77777777" w:rsidR="00810F30" w:rsidRPr="00587444" w:rsidRDefault="00810F30" w:rsidP="00810F30">
            <w:pPr>
              <w:tabs>
                <w:tab w:val="right" w:pos="1202"/>
              </w:tabs>
              <w:suppressAutoHyphens w:val="0"/>
              <w:autoSpaceDN/>
              <w:spacing w:line="140" w:lineRule="exact"/>
              <w:outlineLvl w:val="0"/>
              <w:rPr>
                <w:rFonts w:ascii="Arial" w:hAnsi="Arial" w:cs="Arial"/>
                <w:iCs/>
                <w:sz w:val="17"/>
                <w:szCs w:val="17"/>
              </w:rPr>
            </w:pPr>
          </w:p>
        </w:tc>
        <w:tc>
          <w:tcPr>
            <w:tcW w:w="564" w:type="pct"/>
            <w:vAlign w:val="bottom"/>
          </w:tcPr>
          <w:p w14:paraId="47F7E0F5" w14:textId="77777777" w:rsidR="00810F30" w:rsidRPr="00587444" w:rsidRDefault="00810F30" w:rsidP="00810F30">
            <w:pPr>
              <w:tabs>
                <w:tab w:val="right" w:pos="1202"/>
              </w:tabs>
              <w:suppressAutoHyphens w:val="0"/>
              <w:autoSpaceDN/>
              <w:jc w:val="right"/>
              <w:outlineLvl w:val="0"/>
              <w:rPr>
                <w:rFonts w:ascii="Arial" w:hAnsi="Arial" w:cs="Arial"/>
                <w:b/>
                <w:bCs/>
                <w:sz w:val="17"/>
                <w:szCs w:val="17"/>
              </w:rPr>
            </w:pPr>
            <w:r w:rsidRPr="00587444">
              <w:rPr>
                <w:rFonts w:ascii="Arial" w:hAnsi="Arial" w:cs="Arial"/>
                <w:b/>
                <w:bCs/>
                <w:sz w:val="17"/>
                <w:szCs w:val="17"/>
              </w:rPr>
              <w:t>HRK ‘000</w:t>
            </w:r>
          </w:p>
        </w:tc>
        <w:tc>
          <w:tcPr>
            <w:tcW w:w="585" w:type="pct"/>
            <w:vAlign w:val="bottom"/>
          </w:tcPr>
          <w:p w14:paraId="0B7DE5D5" w14:textId="77777777" w:rsidR="00810F30" w:rsidRPr="00587444" w:rsidRDefault="00810F30" w:rsidP="00810F30">
            <w:pPr>
              <w:tabs>
                <w:tab w:val="right" w:pos="1202"/>
              </w:tabs>
              <w:suppressAutoHyphens w:val="0"/>
              <w:autoSpaceDN/>
              <w:jc w:val="right"/>
              <w:outlineLvl w:val="0"/>
              <w:rPr>
                <w:rFonts w:ascii="Arial" w:hAnsi="Arial" w:cs="Arial"/>
                <w:b/>
                <w:bCs/>
                <w:sz w:val="17"/>
                <w:szCs w:val="17"/>
              </w:rPr>
            </w:pPr>
            <w:r w:rsidRPr="00587444">
              <w:rPr>
                <w:rFonts w:ascii="Arial" w:hAnsi="Arial" w:cs="Arial"/>
                <w:b/>
                <w:bCs/>
                <w:sz w:val="17"/>
                <w:szCs w:val="17"/>
              </w:rPr>
              <w:t>HRK ‘000</w:t>
            </w:r>
          </w:p>
        </w:tc>
        <w:tc>
          <w:tcPr>
            <w:tcW w:w="556" w:type="pct"/>
            <w:vAlign w:val="bottom"/>
          </w:tcPr>
          <w:p w14:paraId="77E6D326" w14:textId="77777777" w:rsidR="00810F30" w:rsidRPr="00587444" w:rsidRDefault="00810F30" w:rsidP="00810F30">
            <w:pPr>
              <w:tabs>
                <w:tab w:val="right" w:pos="1202"/>
              </w:tabs>
              <w:suppressAutoHyphens w:val="0"/>
              <w:autoSpaceDN/>
              <w:jc w:val="right"/>
              <w:outlineLvl w:val="0"/>
              <w:rPr>
                <w:rFonts w:ascii="Arial" w:hAnsi="Arial" w:cs="Arial"/>
                <w:b/>
                <w:bCs/>
                <w:sz w:val="17"/>
                <w:szCs w:val="17"/>
              </w:rPr>
            </w:pPr>
            <w:r w:rsidRPr="00587444">
              <w:rPr>
                <w:rFonts w:ascii="Arial" w:hAnsi="Arial" w:cs="Arial"/>
                <w:b/>
                <w:bCs/>
                <w:sz w:val="17"/>
                <w:szCs w:val="17"/>
              </w:rPr>
              <w:t>HRK ‘000</w:t>
            </w:r>
          </w:p>
        </w:tc>
        <w:tc>
          <w:tcPr>
            <w:tcW w:w="612" w:type="pct"/>
            <w:vAlign w:val="bottom"/>
          </w:tcPr>
          <w:p w14:paraId="6D3F508A" w14:textId="77777777" w:rsidR="00810F30" w:rsidRPr="00587444" w:rsidRDefault="00810F30" w:rsidP="00810F30">
            <w:pPr>
              <w:tabs>
                <w:tab w:val="right" w:pos="1202"/>
              </w:tabs>
              <w:suppressAutoHyphens w:val="0"/>
              <w:autoSpaceDN/>
              <w:jc w:val="right"/>
              <w:outlineLvl w:val="0"/>
              <w:rPr>
                <w:rFonts w:ascii="Arial" w:hAnsi="Arial" w:cs="Arial"/>
                <w:b/>
                <w:bCs/>
                <w:sz w:val="17"/>
                <w:szCs w:val="17"/>
              </w:rPr>
            </w:pPr>
            <w:r w:rsidRPr="00587444">
              <w:rPr>
                <w:rFonts w:ascii="Arial" w:hAnsi="Arial" w:cs="Arial"/>
                <w:b/>
                <w:bCs/>
                <w:sz w:val="17"/>
                <w:szCs w:val="17"/>
              </w:rPr>
              <w:t>HRK ‘000</w:t>
            </w:r>
          </w:p>
        </w:tc>
        <w:tc>
          <w:tcPr>
            <w:tcW w:w="732" w:type="pct"/>
            <w:vAlign w:val="bottom"/>
          </w:tcPr>
          <w:p w14:paraId="3101A22A" w14:textId="77777777" w:rsidR="00810F30" w:rsidRPr="00587444" w:rsidRDefault="00810F30" w:rsidP="00810F30">
            <w:pPr>
              <w:tabs>
                <w:tab w:val="right" w:pos="1202"/>
              </w:tabs>
              <w:suppressAutoHyphens w:val="0"/>
              <w:autoSpaceDN/>
              <w:jc w:val="right"/>
              <w:outlineLvl w:val="0"/>
              <w:rPr>
                <w:rFonts w:ascii="Arial" w:hAnsi="Arial" w:cs="Arial"/>
                <w:b/>
                <w:bCs/>
                <w:sz w:val="17"/>
                <w:szCs w:val="17"/>
              </w:rPr>
            </w:pPr>
            <w:r w:rsidRPr="00587444">
              <w:rPr>
                <w:rFonts w:ascii="Arial" w:hAnsi="Arial" w:cs="Arial"/>
                <w:b/>
                <w:bCs/>
                <w:sz w:val="17"/>
                <w:szCs w:val="17"/>
              </w:rPr>
              <w:t>HRK ‘000</w:t>
            </w:r>
          </w:p>
        </w:tc>
        <w:tc>
          <w:tcPr>
            <w:tcW w:w="539" w:type="pct"/>
            <w:vAlign w:val="bottom"/>
          </w:tcPr>
          <w:p w14:paraId="26B6EB9E" w14:textId="77777777" w:rsidR="00810F30" w:rsidRPr="00587444" w:rsidRDefault="00810F30" w:rsidP="00810F30">
            <w:pPr>
              <w:tabs>
                <w:tab w:val="right" w:pos="1202"/>
              </w:tabs>
              <w:suppressAutoHyphens w:val="0"/>
              <w:autoSpaceDN/>
              <w:jc w:val="right"/>
              <w:outlineLvl w:val="0"/>
              <w:rPr>
                <w:rFonts w:ascii="Arial" w:hAnsi="Arial" w:cs="Arial"/>
                <w:b/>
                <w:bCs/>
                <w:sz w:val="17"/>
                <w:szCs w:val="17"/>
              </w:rPr>
            </w:pPr>
            <w:r w:rsidRPr="00587444">
              <w:rPr>
                <w:rFonts w:ascii="Arial" w:hAnsi="Arial" w:cs="Arial"/>
                <w:b/>
                <w:bCs/>
                <w:sz w:val="17"/>
                <w:szCs w:val="17"/>
              </w:rPr>
              <w:t>HRK ‘000</w:t>
            </w:r>
          </w:p>
        </w:tc>
      </w:tr>
      <w:tr w:rsidR="00810F30" w:rsidRPr="00587444" w14:paraId="2B871047" w14:textId="77777777" w:rsidTr="00810F30">
        <w:trPr>
          <w:trHeight w:val="470"/>
        </w:trPr>
        <w:tc>
          <w:tcPr>
            <w:tcW w:w="1412" w:type="pct"/>
            <w:vAlign w:val="bottom"/>
            <w:hideMark/>
          </w:tcPr>
          <w:p w14:paraId="26FBC0EF" w14:textId="77777777" w:rsidR="00810F30" w:rsidRPr="00587444" w:rsidRDefault="00810F30" w:rsidP="00810F30">
            <w:pPr>
              <w:tabs>
                <w:tab w:val="right" w:pos="1202"/>
              </w:tabs>
              <w:suppressAutoHyphens w:val="0"/>
              <w:autoSpaceDN/>
              <w:spacing w:line="240" w:lineRule="exact"/>
              <w:outlineLvl w:val="0"/>
              <w:rPr>
                <w:rFonts w:ascii="Arial" w:hAnsi="Arial" w:cs="Arial"/>
                <w:b/>
                <w:iCs/>
                <w:sz w:val="17"/>
                <w:szCs w:val="17"/>
              </w:rPr>
            </w:pPr>
            <w:r w:rsidRPr="00587444">
              <w:rPr>
                <w:rFonts w:ascii="Arial" w:hAnsi="Arial" w:cs="Arial"/>
                <w:b/>
                <w:iCs/>
                <w:sz w:val="17"/>
                <w:szCs w:val="17"/>
              </w:rPr>
              <w:t>Balance as of 1 January 2021</w:t>
            </w:r>
          </w:p>
        </w:tc>
        <w:tc>
          <w:tcPr>
            <w:tcW w:w="564" w:type="pct"/>
            <w:tcBorders>
              <w:top w:val="nil"/>
              <w:left w:val="nil"/>
              <w:bottom w:val="single" w:sz="12" w:space="0" w:color="auto"/>
              <w:right w:val="nil"/>
            </w:tcBorders>
            <w:shd w:val="clear" w:color="auto" w:fill="auto"/>
            <w:vAlign w:val="bottom"/>
          </w:tcPr>
          <w:p w14:paraId="23254A5F"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37,500</w:t>
            </w:r>
          </w:p>
        </w:tc>
        <w:tc>
          <w:tcPr>
            <w:tcW w:w="585" w:type="pct"/>
            <w:tcBorders>
              <w:top w:val="nil"/>
              <w:left w:val="nil"/>
              <w:bottom w:val="single" w:sz="12" w:space="0" w:color="auto"/>
              <w:right w:val="nil"/>
            </w:tcBorders>
            <w:shd w:val="clear" w:color="auto" w:fill="auto"/>
            <w:vAlign w:val="bottom"/>
          </w:tcPr>
          <w:p w14:paraId="68A2E52B"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1,749</w:t>
            </w:r>
          </w:p>
        </w:tc>
        <w:tc>
          <w:tcPr>
            <w:tcW w:w="556" w:type="pct"/>
            <w:tcBorders>
              <w:top w:val="nil"/>
              <w:left w:val="nil"/>
              <w:bottom w:val="single" w:sz="12" w:space="0" w:color="auto"/>
              <w:right w:val="nil"/>
            </w:tcBorders>
            <w:shd w:val="clear" w:color="auto" w:fill="auto"/>
            <w:vAlign w:val="bottom"/>
          </w:tcPr>
          <w:p w14:paraId="4C3E8779"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3,825</w:t>
            </w:r>
          </w:p>
        </w:tc>
        <w:tc>
          <w:tcPr>
            <w:tcW w:w="612" w:type="pct"/>
            <w:tcBorders>
              <w:top w:val="nil"/>
              <w:left w:val="nil"/>
              <w:bottom w:val="single" w:sz="12" w:space="0" w:color="auto"/>
              <w:right w:val="nil"/>
            </w:tcBorders>
            <w:shd w:val="clear" w:color="auto" w:fill="auto"/>
            <w:vAlign w:val="bottom"/>
          </w:tcPr>
          <w:p w14:paraId="15E01988"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2,192</w:t>
            </w:r>
          </w:p>
        </w:tc>
        <w:tc>
          <w:tcPr>
            <w:tcW w:w="732" w:type="pct"/>
            <w:tcBorders>
              <w:top w:val="nil"/>
              <w:left w:val="nil"/>
              <w:bottom w:val="single" w:sz="12" w:space="0" w:color="auto"/>
              <w:right w:val="nil"/>
            </w:tcBorders>
            <w:shd w:val="clear" w:color="auto" w:fill="auto"/>
            <w:vAlign w:val="bottom"/>
          </w:tcPr>
          <w:p w14:paraId="51403173"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45,266</w:t>
            </w:r>
          </w:p>
        </w:tc>
        <w:tc>
          <w:tcPr>
            <w:tcW w:w="539" w:type="pct"/>
            <w:tcBorders>
              <w:top w:val="nil"/>
              <w:left w:val="nil"/>
              <w:bottom w:val="single" w:sz="12" w:space="0" w:color="auto"/>
              <w:right w:val="nil"/>
            </w:tcBorders>
            <w:shd w:val="clear" w:color="auto" w:fill="auto"/>
            <w:vAlign w:val="bottom"/>
          </w:tcPr>
          <w:p w14:paraId="26B5E7B7"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45,266</w:t>
            </w:r>
          </w:p>
        </w:tc>
      </w:tr>
      <w:tr w:rsidR="00810F30" w:rsidRPr="00587444" w14:paraId="7B281C26" w14:textId="77777777" w:rsidTr="00810F30">
        <w:trPr>
          <w:trHeight w:val="101"/>
        </w:trPr>
        <w:tc>
          <w:tcPr>
            <w:tcW w:w="1412" w:type="pct"/>
          </w:tcPr>
          <w:p w14:paraId="7788417E" w14:textId="77777777" w:rsidR="00810F30" w:rsidRPr="00587444" w:rsidRDefault="00810F30" w:rsidP="00810F30">
            <w:pPr>
              <w:tabs>
                <w:tab w:val="right" w:pos="1202"/>
              </w:tabs>
              <w:suppressAutoHyphens w:val="0"/>
              <w:autoSpaceDN/>
              <w:spacing w:line="140" w:lineRule="exact"/>
              <w:jc w:val="right"/>
              <w:outlineLvl w:val="0"/>
              <w:rPr>
                <w:rFonts w:ascii="Arial" w:hAnsi="Arial" w:cs="Arial"/>
                <w:b/>
                <w:iCs/>
                <w:sz w:val="17"/>
                <w:szCs w:val="17"/>
              </w:rPr>
            </w:pPr>
          </w:p>
        </w:tc>
        <w:tc>
          <w:tcPr>
            <w:tcW w:w="564" w:type="pct"/>
            <w:tcBorders>
              <w:top w:val="single" w:sz="12" w:space="0" w:color="auto"/>
            </w:tcBorders>
            <w:vAlign w:val="bottom"/>
          </w:tcPr>
          <w:p w14:paraId="41456679" w14:textId="77777777" w:rsidR="00810F30" w:rsidRPr="00587444" w:rsidRDefault="00810F30" w:rsidP="00810F30">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85" w:type="pct"/>
            <w:tcBorders>
              <w:top w:val="single" w:sz="12" w:space="0" w:color="auto"/>
            </w:tcBorders>
            <w:vAlign w:val="bottom"/>
          </w:tcPr>
          <w:p w14:paraId="1E7918C9" w14:textId="77777777" w:rsidR="00810F30" w:rsidRPr="00587444" w:rsidRDefault="00810F30" w:rsidP="00810F30">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56" w:type="pct"/>
            <w:tcBorders>
              <w:top w:val="single" w:sz="12" w:space="0" w:color="auto"/>
            </w:tcBorders>
            <w:vAlign w:val="bottom"/>
          </w:tcPr>
          <w:p w14:paraId="26B88EEB" w14:textId="77777777" w:rsidR="00810F30" w:rsidRPr="00587444" w:rsidRDefault="00810F30" w:rsidP="00810F30">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612" w:type="pct"/>
            <w:tcBorders>
              <w:top w:val="single" w:sz="12" w:space="0" w:color="auto"/>
            </w:tcBorders>
            <w:vAlign w:val="bottom"/>
          </w:tcPr>
          <w:p w14:paraId="114F942E" w14:textId="77777777" w:rsidR="00810F30" w:rsidRPr="00587444" w:rsidRDefault="00810F30" w:rsidP="00810F30">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732" w:type="pct"/>
            <w:tcBorders>
              <w:top w:val="single" w:sz="12" w:space="0" w:color="auto"/>
            </w:tcBorders>
            <w:vAlign w:val="bottom"/>
          </w:tcPr>
          <w:p w14:paraId="34F47524" w14:textId="77777777" w:rsidR="00810F30" w:rsidRPr="00587444" w:rsidRDefault="00810F30" w:rsidP="00810F30">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39" w:type="pct"/>
            <w:tcBorders>
              <w:top w:val="single" w:sz="12" w:space="0" w:color="auto"/>
            </w:tcBorders>
            <w:vAlign w:val="bottom"/>
          </w:tcPr>
          <w:p w14:paraId="213EA40C" w14:textId="77777777" w:rsidR="00810F30" w:rsidRPr="00587444" w:rsidRDefault="00810F30" w:rsidP="00810F30">
            <w:pPr>
              <w:keepNext/>
              <w:keepLines/>
              <w:tabs>
                <w:tab w:val="decimal" w:pos="1015"/>
              </w:tabs>
              <w:suppressAutoHyphens w:val="0"/>
              <w:autoSpaceDN/>
              <w:spacing w:line="140" w:lineRule="exact"/>
              <w:jc w:val="right"/>
              <w:rPr>
                <w:rFonts w:ascii="Arial" w:hAnsi="Arial" w:cs="Arial"/>
                <w:b/>
                <w:position w:val="4"/>
                <w:sz w:val="17"/>
                <w:szCs w:val="17"/>
                <w:u w:val="thick"/>
              </w:rPr>
            </w:pPr>
          </w:p>
        </w:tc>
      </w:tr>
      <w:tr w:rsidR="00810F30" w:rsidRPr="00587444" w14:paraId="0DBE31BA" w14:textId="77777777" w:rsidTr="00810F30">
        <w:trPr>
          <w:trHeight w:val="76"/>
        </w:trPr>
        <w:tc>
          <w:tcPr>
            <w:tcW w:w="1412" w:type="pct"/>
            <w:vAlign w:val="bottom"/>
            <w:hideMark/>
          </w:tcPr>
          <w:p w14:paraId="4CCCDC0F" w14:textId="77777777" w:rsidR="00810F30" w:rsidRPr="00587444" w:rsidRDefault="00810F30" w:rsidP="00810F30">
            <w:pPr>
              <w:tabs>
                <w:tab w:val="right" w:pos="1202"/>
              </w:tabs>
              <w:suppressAutoHyphens w:val="0"/>
              <w:autoSpaceDN/>
              <w:spacing w:line="240" w:lineRule="exact"/>
              <w:outlineLvl w:val="0"/>
              <w:rPr>
                <w:rFonts w:ascii="Arial" w:hAnsi="Arial" w:cs="Arial"/>
                <w:iCs/>
                <w:sz w:val="17"/>
                <w:szCs w:val="17"/>
              </w:rPr>
            </w:pPr>
            <w:r w:rsidRPr="00587444">
              <w:rPr>
                <w:rFonts w:ascii="Arial" w:hAnsi="Arial" w:cs="Arial"/>
                <w:iCs/>
                <w:sz w:val="17"/>
                <w:szCs w:val="17"/>
              </w:rPr>
              <w:t>Profit for the year</w:t>
            </w:r>
          </w:p>
        </w:tc>
        <w:tc>
          <w:tcPr>
            <w:tcW w:w="564" w:type="pct"/>
            <w:vAlign w:val="bottom"/>
          </w:tcPr>
          <w:p w14:paraId="6A2307D5"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w:t>
            </w:r>
          </w:p>
        </w:tc>
        <w:tc>
          <w:tcPr>
            <w:tcW w:w="585" w:type="pct"/>
            <w:vAlign w:val="bottom"/>
          </w:tcPr>
          <w:p w14:paraId="5CF07528"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w:t>
            </w:r>
          </w:p>
        </w:tc>
        <w:tc>
          <w:tcPr>
            <w:tcW w:w="556" w:type="pct"/>
            <w:vAlign w:val="bottom"/>
          </w:tcPr>
          <w:p w14:paraId="0FCB6643"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w:t>
            </w:r>
          </w:p>
        </w:tc>
        <w:tc>
          <w:tcPr>
            <w:tcW w:w="612" w:type="pct"/>
            <w:vAlign w:val="bottom"/>
          </w:tcPr>
          <w:p w14:paraId="091ECCF1"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1,103</w:t>
            </w:r>
          </w:p>
        </w:tc>
        <w:tc>
          <w:tcPr>
            <w:tcW w:w="732" w:type="pct"/>
            <w:vAlign w:val="bottom"/>
          </w:tcPr>
          <w:p w14:paraId="7DA900A7"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1,103</w:t>
            </w:r>
          </w:p>
        </w:tc>
        <w:tc>
          <w:tcPr>
            <w:tcW w:w="539" w:type="pct"/>
            <w:shd w:val="clear" w:color="auto" w:fill="auto"/>
            <w:vAlign w:val="bottom"/>
          </w:tcPr>
          <w:p w14:paraId="578B1555"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1,103</w:t>
            </w:r>
          </w:p>
        </w:tc>
      </w:tr>
      <w:tr w:rsidR="00810F30" w:rsidRPr="00587444" w14:paraId="1B9F3F52" w14:textId="77777777" w:rsidTr="00810F30">
        <w:trPr>
          <w:trHeight w:val="76"/>
        </w:trPr>
        <w:tc>
          <w:tcPr>
            <w:tcW w:w="1412" w:type="pct"/>
            <w:vAlign w:val="bottom"/>
            <w:hideMark/>
          </w:tcPr>
          <w:p w14:paraId="548669DC" w14:textId="77777777" w:rsidR="00810F30" w:rsidRPr="00587444" w:rsidRDefault="00810F30" w:rsidP="00810F30">
            <w:pPr>
              <w:tabs>
                <w:tab w:val="right" w:pos="1202"/>
              </w:tabs>
              <w:suppressAutoHyphens w:val="0"/>
              <w:autoSpaceDN/>
              <w:spacing w:line="240" w:lineRule="exact"/>
              <w:outlineLvl w:val="0"/>
              <w:rPr>
                <w:rFonts w:ascii="Arial" w:hAnsi="Arial" w:cs="Arial"/>
                <w:iCs/>
                <w:sz w:val="17"/>
                <w:szCs w:val="17"/>
              </w:rPr>
            </w:pPr>
            <w:r w:rsidRPr="00587444">
              <w:rPr>
                <w:rFonts w:ascii="Arial" w:hAnsi="Arial" w:cs="Arial"/>
                <w:iCs/>
                <w:sz w:val="17"/>
                <w:szCs w:val="17"/>
              </w:rPr>
              <w:t>Other comprehensive income</w:t>
            </w:r>
          </w:p>
        </w:tc>
        <w:tc>
          <w:tcPr>
            <w:tcW w:w="564" w:type="pct"/>
            <w:tcBorders>
              <w:top w:val="nil"/>
              <w:left w:val="nil"/>
              <w:bottom w:val="single" w:sz="4" w:space="0" w:color="auto"/>
              <w:right w:val="nil"/>
            </w:tcBorders>
            <w:vAlign w:val="bottom"/>
          </w:tcPr>
          <w:p w14:paraId="43980D17"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w:t>
            </w:r>
          </w:p>
        </w:tc>
        <w:tc>
          <w:tcPr>
            <w:tcW w:w="585" w:type="pct"/>
            <w:tcBorders>
              <w:top w:val="nil"/>
              <w:left w:val="nil"/>
              <w:bottom w:val="single" w:sz="4" w:space="0" w:color="auto"/>
              <w:right w:val="nil"/>
            </w:tcBorders>
            <w:vAlign w:val="bottom"/>
          </w:tcPr>
          <w:p w14:paraId="3B3B01F9"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w:t>
            </w:r>
          </w:p>
        </w:tc>
        <w:tc>
          <w:tcPr>
            <w:tcW w:w="556" w:type="pct"/>
            <w:tcBorders>
              <w:top w:val="nil"/>
              <w:left w:val="nil"/>
              <w:bottom w:val="single" w:sz="4" w:space="0" w:color="auto"/>
              <w:right w:val="nil"/>
            </w:tcBorders>
            <w:vAlign w:val="bottom"/>
          </w:tcPr>
          <w:p w14:paraId="61C78665"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(1,187)</w:t>
            </w:r>
          </w:p>
        </w:tc>
        <w:tc>
          <w:tcPr>
            <w:tcW w:w="612" w:type="pct"/>
            <w:tcBorders>
              <w:top w:val="nil"/>
              <w:left w:val="nil"/>
              <w:bottom w:val="single" w:sz="4" w:space="0" w:color="auto"/>
              <w:right w:val="nil"/>
            </w:tcBorders>
            <w:vAlign w:val="bottom"/>
          </w:tcPr>
          <w:p w14:paraId="3E7BC1D5"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w:t>
            </w:r>
          </w:p>
        </w:tc>
        <w:tc>
          <w:tcPr>
            <w:tcW w:w="732" w:type="pct"/>
            <w:tcBorders>
              <w:top w:val="nil"/>
              <w:left w:val="nil"/>
              <w:bottom w:val="single" w:sz="4" w:space="0" w:color="auto"/>
              <w:right w:val="nil"/>
            </w:tcBorders>
            <w:vAlign w:val="bottom"/>
          </w:tcPr>
          <w:p w14:paraId="2CC7ECDC"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(1,187)</w:t>
            </w:r>
          </w:p>
        </w:tc>
        <w:tc>
          <w:tcPr>
            <w:tcW w:w="539" w:type="pct"/>
            <w:tcBorders>
              <w:top w:val="nil"/>
              <w:left w:val="nil"/>
              <w:bottom w:val="single" w:sz="4" w:space="0" w:color="auto"/>
              <w:right w:val="nil"/>
            </w:tcBorders>
            <w:shd w:val="clear" w:color="auto" w:fill="auto"/>
            <w:vAlign w:val="bottom"/>
          </w:tcPr>
          <w:p w14:paraId="0CD67DA8"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(1,187)</w:t>
            </w:r>
          </w:p>
        </w:tc>
      </w:tr>
      <w:tr w:rsidR="00810F30" w:rsidRPr="00587444" w14:paraId="0E187A8D" w14:textId="77777777" w:rsidTr="00810F30">
        <w:trPr>
          <w:trHeight w:val="131"/>
        </w:trPr>
        <w:tc>
          <w:tcPr>
            <w:tcW w:w="1412" w:type="pct"/>
            <w:vAlign w:val="bottom"/>
          </w:tcPr>
          <w:p w14:paraId="474CE37D" w14:textId="77777777" w:rsidR="00810F30" w:rsidRPr="00587444" w:rsidRDefault="00810F30" w:rsidP="00810F30">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tcBorders>
            <w:vAlign w:val="bottom"/>
          </w:tcPr>
          <w:p w14:paraId="6BBFFCD0"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tcBorders>
            <w:vAlign w:val="bottom"/>
          </w:tcPr>
          <w:p w14:paraId="3F529F90"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tcBorders>
            <w:vAlign w:val="bottom"/>
          </w:tcPr>
          <w:p w14:paraId="5FC035A5"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612" w:type="pct"/>
            <w:tcBorders>
              <w:top w:val="single" w:sz="4" w:space="0" w:color="auto"/>
            </w:tcBorders>
            <w:vAlign w:val="bottom"/>
          </w:tcPr>
          <w:p w14:paraId="6BD6EF14"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732" w:type="pct"/>
            <w:tcBorders>
              <w:top w:val="single" w:sz="4" w:space="0" w:color="auto"/>
            </w:tcBorders>
            <w:vAlign w:val="bottom"/>
          </w:tcPr>
          <w:p w14:paraId="2F9EC0F0" w14:textId="77777777" w:rsidR="00810F30" w:rsidRPr="00587444" w:rsidRDefault="00810F30" w:rsidP="00810F30">
            <w:pPr>
              <w:keepNext/>
              <w:keepLines/>
              <w:tabs>
                <w:tab w:val="decimal" w:pos="1015"/>
              </w:tabs>
              <w:suppressAutoHyphens w:val="0"/>
              <w:autoSpaceDN/>
              <w:spacing w:line="140" w:lineRule="exact"/>
              <w:jc w:val="right"/>
              <w:rPr>
                <w:rFonts w:ascii="Arial" w:hAnsi="Arial" w:cs="Arial"/>
                <w:b/>
                <w:spacing w:val="-2"/>
                <w:position w:val="4"/>
                <w:sz w:val="17"/>
                <w:szCs w:val="17"/>
              </w:rPr>
            </w:pPr>
          </w:p>
        </w:tc>
        <w:tc>
          <w:tcPr>
            <w:tcW w:w="539" w:type="pct"/>
            <w:tcBorders>
              <w:top w:val="single" w:sz="4" w:space="0" w:color="auto"/>
            </w:tcBorders>
            <w:vAlign w:val="bottom"/>
          </w:tcPr>
          <w:p w14:paraId="785C759A" w14:textId="77777777" w:rsidR="00810F30" w:rsidRPr="00587444" w:rsidRDefault="00810F30" w:rsidP="00810F30">
            <w:pPr>
              <w:keepNext/>
              <w:keepLines/>
              <w:tabs>
                <w:tab w:val="decimal" w:pos="1015"/>
              </w:tabs>
              <w:suppressAutoHyphens w:val="0"/>
              <w:autoSpaceDN/>
              <w:spacing w:line="140" w:lineRule="exact"/>
              <w:jc w:val="right"/>
              <w:rPr>
                <w:rFonts w:ascii="Arial" w:hAnsi="Arial" w:cs="Arial"/>
                <w:b/>
                <w:spacing w:val="-2"/>
                <w:position w:val="4"/>
                <w:sz w:val="17"/>
                <w:szCs w:val="17"/>
              </w:rPr>
            </w:pPr>
          </w:p>
        </w:tc>
      </w:tr>
      <w:tr w:rsidR="00810F30" w:rsidRPr="00587444" w14:paraId="34BBF718" w14:textId="77777777" w:rsidTr="00810F30">
        <w:trPr>
          <w:trHeight w:val="76"/>
        </w:trPr>
        <w:tc>
          <w:tcPr>
            <w:tcW w:w="1412" w:type="pct"/>
            <w:vAlign w:val="bottom"/>
            <w:hideMark/>
          </w:tcPr>
          <w:p w14:paraId="5C223263" w14:textId="77777777" w:rsidR="00810F30" w:rsidRPr="00587444" w:rsidRDefault="00810F30" w:rsidP="00810F30">
            <w:pPr>
              <w:tabs>
                <w:tab w:val="right" w:pos="1202"/>
              </w:tabs>
              <w:suppressAutoHyphens w:val="0"/>
              <w:autoSpaceDN/>
              <w:spacing w:line="200" w:lineRule="exact"/>
              <w:outlineLvl w:val="0"/>
              <w:rPr>
                <w:rFonts w:ascii="Arial" w:hAnsi="Arial" w:cs="Arial"/>
                <w:iCs/>
                <w:sz w:val="17"/>
                <w:szCs w:val="17"/>
              </w:rPr>
            </w:pPr>
            <w:r w:rsidRPr="00587444">
              <w:rPr>
                <w:rFonts w:ascii="Arial" w:hAnsi="Arial" w:cs="Arial"/>
                <w:iCs/>
                <w:sz w:val="17"/>
                <w:szCs w:val="17"/>
              </w:rPr>
              <w:t>Total comprehensive income</w:t>
            </w:r>
          </w:p>
        </w:tc>
        <w:tc>
          <w:tcPr>
            <w:tcW w:w="564" w:type="pct"/>
            <w:tcBorders>
              <w:top w:val="nil"/>
              <w:left w:val="nil"/>
              <w:bottom w:val="single" w:sz="4" w:space="0" w:color="auto"/>
              <w:right w:val="nil"/>
            </w:tcBorders>
            <w:shd w:val="clear" w:color="auto" w:fill="auto"/>
            <w:vAlign w:val="bottom"/>
          </w:tcPr>
          <w:p w14:paraId="26F3DE87"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w:t>
            </w:r>
          </w:p>
        </w:tc>
        <w:tc>
          <w:tcPr>
            <w:tcW w:w="585" w:type="pct"/>
            <w:tcBorders>
              <w:top w:val="nil"/>
              <w:left w:val="nil"/>
              <w:bottom w:val="single" w:sz="4" w:space="0" w:color="auto"/>
              <w:right w:val="nil"/>
            </w:tcBorders>
            <w:shd w:val="clear" w:color="auto" w:fill="auto"/>
            <w:vAlign w:val="bottom"/>
          </w:tcPr>
          <w:p w14:paraId="74AC9D5B"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w:t>
            </w:r>
          </w:p>
        </w:tc>
        <w:tc>
          <w:tcPr>
            <w:tcW w:w="556" w:type="pct"/>
            <w:tcBorders>
              <w:top w:val="nil"/>
              <w:left w:val="nil"/>
              <w:bottom w:val="single" w:sz="4" w:space="0" w:color="auto"/>
              <w:right w:val="nil"/>
            </w:tcBorders>
            <w:shd w:val="clear" w:color="auto" w:fill="auto"/>
            <w:vAlign w:val="bottom"/>
          </w:tcPr>
          <w:p w14:paraId="1D1DB4BB"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(1,187)</w:t>
            </w:r>
          </w:p>
        </w:tc>
        <w:tc>
          <w:tcPr>
            <w:tcW w:w="612" w:type="pct"/>
            <w:tcBorders>
              <w:top w:val="nil"/>
              <w:left w:val="nil"/>
              <w:bottom w:val="single" w:sz="4" w:space="0" w:color="auto"/>
              <w:right w:val="nil"/>
            </w:tcBorders>
            <w:shd w:val="clear" w:color="auto" w:fill="auto"/>
            <w:vAlign w:val="bottom"/>
          </w:tcPr>
          <w:p w14:paraId="17AB2967"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1,103</w:t>
            </w:r>
          </w:p>
        </w:tc>
        <w:tc>
          <w:tcPr>
            <w:tcW w:w="732" w:type="pct"/>
            <w:tcBorders>
              <w:top w:val="nil"/>
              <w:left w:val="nil"/>
              <w:bottom w:val="single" w:sz="4" w:space="0" w:color="auto"/>
              <w:right w:val="nil"/>
            </w:tcBorders>
            <w:shd w:val="clear" w:color="auto" w:fill="auto"/>
            <w:vAlign w:val="bottom"/>
          </w:tcPr>
          <w:p w14:paraId="1C600220"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(84)</w:t>
            </w:r>
          </w:p>
        </w:tc>
        <w:tc>
          <w:tcPr>
            <w:tcW w:w="539" w:type="pct"/>
            <w:tcBorders>
              <w:top w:val="nil"/>
              <w:left w:val="nil"/>
              <w:bottom w:val="single" w:sz="4" w:space="0" w:color="auto"/>
              <w:right w:val="nil"/>
            </w:tcBorders>
            <w:shd w:val="clear" w:color="auto" w:fill="auto"/>
            <w:vAlign w:val="bottom"/>
          </w:tcPr>
          <w:p w14:paraId="2A3E57D3"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(84)</w:t>
            </w:r>
          </w:p>
        </w:tc>
      </w:tr>
      <w:tr w:rsidR="00810F30" w:rsidRPr="00587444" w14:paraId="400B215D" w14:textId="77777777" w:rsidTr="00810F30">
        <w:trPr>
          <w:trHeight w:val="131"/>
        </w:trPr>
        <w:tc>
          <w:tcPr>
            <w:tcW w:w="1412" w:type="pct"/>
            <w:vAlign w:val="bottom"/>
          </w:tcPr>
          <w:p w14:paraId="2A032B76" w14:textId="77777777" w:rsidR="00810F30" w:rsidRPr="00587444" w:rsidRDefault="00810F30" w:rsidP="00810F30">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tcBorders>
            <w:vAlign w:val="bottom"/>
          </w:tcPr>
          <w:p w14:paraId="56A71C3E"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tcBorders>
            <w:vAlign w:val="bottom"/>
          </w:tcPr>
          <w:p w14:paraId="63F35036"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tcBorders>
            <w:vAlign w:val="bottom"/>
          </w:tcPr>
          <w:p w14:paraId="085911B8"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612" w:type="pct"/>
            <w:tcBorders>
              <w:top w:val="single" w:sz="4" w:space="0" w:color="auto"/>
            </w:tcBorders>
            <w:vAlign w:val="bottom"/>
          </w:tcPr>
          <w:p w14:paraId="5C097B1C"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732" w:type="pct"/>
            <w:tcBorders>
              <w:top w:val="single" w:sz="4" w:space="0" w:color="auto"/>
            </w:tcBorders>
            <w:vAlign w:val="bottom"/>
          </w:tcPr>
          <w:p w14:paraId="72C4D502"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b/>
                <w:spacing w:val="-2"/>
                <w:position w:val="4"/>
                <w:sz w:val="17"/>
                <w:szCs w:val="17"/>
              </w:rPr>
            </w:pPr>
          </w:p>
        </w:tc>
        <w:tc>
          <w:tcPr>
            <w:tcW w:w="539" w:type="pct"/>
            <w:tcBorders>
              <w:top w:val="single" w:sz="4" w:space="0" w:color="auto"/>
            </w:tcBorders>
            <w:vAlign w:val="bottom"/>
          </w:tcPr>
          <w:p w14:paraId="042CA6E4"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b/>
                <w:spacing w:val="-2"/>
                <w:position w:val="4"/>
                <w:sz w:val="17"/>
                <w:szCs w:val="17"/>
              </w:rPr>
            </w:pPr>
          </w:p>
        </w:tc>
      </w:tr>
      <w:tr w:rsidR="00810F30" w:rsidRPr="00587444" w14:paraId="10A9F31E" w14:textId="77777777" w:rsidTr="00810F30">
        <w:trPr>
          <w:trHeight w:val="460"/>
        </w:trPr>
        <w:tc>
          <w:tcPr>
            <w:tcW w:w="1412" w:type="pct"/>
            <w:vAlign w:val="bottom"/>
            <w:hideMark/>
          </w:tcPr>
          <w:p w14:paraId="060BD0E5" w14:textId="77777777" w:rsidR="00810F30" w:rsidRDefault="00810F30" w:rsidP="00810F30">
            <w:pPr>
              <w:tabs>
                <w:tab w:val="right" w:pos="1202"/>
              </w:tabs>
              <w:suppressAutoHyphens w:val="0"/>
              <w:autoSpaceDN/>
              <w:spacing w:line="200" w:lineRule="exact"/>
              <w:outlineLvl w:val="0"/>
              <w:rPr>
                <w:rFonts w:ascii="Arial" w:hAnsi="Arial" w:cs="Arial"/>
                <w:iCs/>
                <w:sz w:val="17"/>
                <w:szCs w:val="17"/>
              </w:rPr>
            </w:pPr>
            <w:r w:rsidRPr="00587444">
              <w:rPr>
                <w:rFonts w:ascii="Arial" w:hAnsi="Arial" w:cs="Arial"/>
                <w:iCs/>
                <w:sz w:val="17"/>
                <w:szCs w:val="17"/>
              </w:rPr>
              <w:t xml:space="preserve">Transfer of profit 2020 to </w:t>
            </w:r>
          </w:p>
          <w:p w14:paraId="0E598815" w14:textId="77777777" w:rsidR="00810F30" w:rsidRPr="00587444" w:rsidRDefault="00810F30" w:rsidP="00810F30">
            <w:pPr>
              <w:tabs>
                <w:tab w:val="right" w:pos="1202"/>
              </w:tabs>
              <w:suppressAutoHyphens w:val="0"/>
              <w:autoSpaceDN/>
              <w:spacing w:line="200" w:lineRule="exact"/>
              <w:outlineLvl w:val="0"/>
              <w:rPr>
                <w:rFonts w:ascii="Arial" w:hAnsi="Arial" w:cs="Arial"/>
                <w:i/>
                <w:iCs/>
                <w:sz w:val="17"/>
                <w:szCs w:val="17"/>
              </w:rPr>
            </w:pPr>
            <w:r w:rsidRPr="00587444">
              <w:rPr>
                <w:rFonts w:ascii="Arial" w:hAnsi="Arial" w:cs="Arial"/>
                <w:iCs/>
                <w:sz w:val="17"/>
                <w:szCs w:val="17"/>
              </w:rPr>
              <w:t>retained earnings</w:t>
            </w:r>
          </w:p>
        </w:tc>
        <w:tc>
          <w:tcPr>
            <w:tcW w:w="564" w:type="pct"/>
            <w:shd w:val="clear" w:color="auto" w:fill="auto"/>
            <w:vAlign w:val="bottom"/>
          </w:tcPr>
          <w:p w14:paraId="1BC64B86"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w:t>
            </w:r>
          </w:p>
        </w:tc>
        <w:tc>
          <w:tcPr>
            <w:tcW w:w="585" w:type="pct"/>
            <w:shd w:val="clear" w:color="auto" w:fill="auto"/>
            <w:vAlign w:val="bottom"/>
          </w:tcPr>
          <w:p w14:paraId="214C0882"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2,192</w:t>
            </w:r>
          </w:p>
        </w:tc>
        <w:tc>
          <w:tcPr>
            <w:tcW w:w="556" w:type="pct"/>
            <w:shd w:val="clear" w:color="auto" w:fill="auto"/>
            <w:vAlign w:val="bottom"/>
          </w:tcPr>
          <w:p w14:paraId="7CEF18DF"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w:t>
            </w:r>
          </w:p>
        </w:tc>
        <w:tc>
          <w:tcPr>
            <w:tcW w:w="612" w:type="pct"/>
            <w:shd w:val="clear" w:color="auto" w:fill="auto"/>
            <w:vAlign w:val="bottom"/>
          </w:tcPr>
          <w:p w14:paraId="7B9A254F"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(2,192)</w:t>
            </w:r>
          </w:p>
        </w:tc>
        <w:tc>
          <w:tcPr>
            <w:tcW w:w="732" w:type="pct"/>
            <w:shd w:val="clear" w:color="auto" w:fill="auto"/>
            <w:vAlign w:val="bottom"/>
          </w:tcPr>
          <w:p w14:paraId="6396431B"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w:t>
            </w:r>
          </w:p>
        </w:tc>
        <w:tc>
          <w:tcPr>
            <w:tcW w:w="539" w:type="pct"/>
            <w:shd w:val="clear" w:color="auto" w:fill="auto"/>
            <w:vAlign w:val="bottom"/>
          </w:tcPr>
          <w:p w14:paraId="169942F2"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w:t>
            </w:r>
          </w:p>
        </w:tc>
      </w:tr>
      <w:tr w:rsidR="00810F30" w:rsidRPr="00587444" w14:paraId="72FB038E" w14:textId="77777777" w:rsidTr="00810F30">
        <w:trPr>
          <w:trHeight w:val="131"/>
        </w:trPr>
        <w:tc>
          <w:tcPr>
            <w:tcW w:w="1412" w:type="pct"/>
            <w:vAlign w:val="bottom"/>
          </w:tcPr>
          <w:p w14:paraId="62E07806" w14:textId="77777777" w:rsidR="00810F30" w:rsidRPr="00587444" w:rsidRDefault="00810F30" w:rsidP="00810F30">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tcBorders>
            <w:vAlign w:val="bottom"/>
          </w:tcPr>
          <w:p w14:paraId="58696BE0"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tcBorders>
            <w:vAlign w:val="bottom"/>
          </w:tcPr>
          <w:p w14:paraId="5F5C4737"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tcBorders>
            <w:vAlign w:val="bottom"/>
          </w:tcPr>
          <w:p w14:paraId="7224F6D3"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612" w:type="pct"/>
            <w:tcBorders>
              <w:top w:val="single" w:sz="4" w:space="0" w:color="auto"/>
            </w:tcBorders>
            <w:vAlign w:val="bottom"/>
          </w:tcPr>
          <w:p w14:paraId="0F1DE16F"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732" w:type="pct"/>
            <w:tcBorders>
              <w:top w:val="single" w:sz="4" w:space="0" w:color="auto"/>
            </w:tcBorders>
            <w:vAlign w:val="bottom"/>
          </w:tcPr>
          <w:p w14:paraId="085E1EA4"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39" w:type="pct"/>
            <w:tcBorders>
              <w:top w:val="single" w:sz="4" w:space="0" w:color="auto"/>
            </w:tcBorders>
            <w:vAlign w:val="bottom"/>
          </w:tcPr>
          <w:p w14:paraId="1DCA3FB7"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r>
      <w:tr w:rsidR="00810F30" w:rsidRPr="00587444" w14:paraId="73A40732" w14:textId="77777777" w:rsidTr="00810F30">
        <w:trPr>
          <w:trHeight w:val="449"/>
        </w:trPr>
        <w:tc>
          <w:tcPr>
            <w:tcW w:w="1412" w:type="pct"/>
            <w:vAlign w:val="bottom"/>
            <w:hideMark/>
          </w:tcPr>
          <w:p w14:paraId="22C441A5" w14:textId="77777777" w:rsidR="00810F30" w:rsidRPr="00587444" w:rsidRDefault="00810F30" w:rsidP="00810F30">
            <w:pPr>
              <w:tabs>
                <w:tab w:val="right" w:pos="1202"/>
              </w:tabs>
              <w:suppressAutoHyphens w:val="0"/>
              <w:autoSpaceDN/>
              <w:spacing w:line="240" w:lineRule="exact"/>
              <w:outlineLvl w:val="0"/>
              <w:rPr>
                <w:rFonts w:ascii="Arial" w:hAnsi="Arial" w:cs="Arial"/>
                <w:b/>
                <w:iCs/>
                <w:sz w:val="17"/>
                <w:szCs w:val="17"/>
              </w:rPr>
            </w:pPr>
            <w:r w:rsidRPr="00587444">
              <w:rPr>
                <w:rFonts w:ascii="Arial" w:hAnsi="Arial" w:cs="Arial"/>
                <w:b/>
                <w:iCs/>
                <w:sz w:val="17"/>
                <w:szCs w:val="17"/>
              </w:rPr>
              <w:t>Balance as of 31 December 2021</w:t>
            </w:r>
          </w:p>
        </w:tc>
        <w:tc>
          <w:tcPr>
            <w:tcW w:w="564" w:type="pct"/>
            <w:tcBorders>
              <w:top w:val="nil"/>
              <w:left w:val="nil"/>
              <w:bottom w:val="single" w:sz="12" w:space="0" w:color="auto"/>
              <w:right w:val="nil"/>
            </w:tcBorders>
            <w:shd w:val="clear" w:color="auto" w:fill="auto"/>
            <w:vAlign w:val="bottom"/>
          </w:tcPr>
          <w:p w14:paraId="5E170F83"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37,500</w:t>
            </w:r>
          </w:p>
        </w:tc>
        <w:tc>
          <w:tcPr>
            <w:tcW w:w="585" w:type="pct"/>
            <w:tcBorders>
              <w:top w:val="nil"/>
              <w:left w:val="nil"/>
              <w:bottom w:val="single" w:sz="12" w:space="0" w:color="auto"/>
              <w:right w:val="nil"/>
            </w:tcBorders>
            <w:shd w:val="clear" w:color="auto" w:fill="auto"/>
            <w:vAlign w:val="bottom"/>
          </w:tcPr>
          <w:p w14:paraId="35BAF3C0"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3,941</w:t>
            </w:r>
          </w:p>
        </w:tc>
        <w:tc>
          <w:tcPr>
            <w:tcW w:w="556" w:type="pct"/>
            <w:tcBorders>
              <w:top w:val="nil"/>
              <w:left w:val="nil"/>
              <w:bottom w:val="single" w:sz="12" w:space="0" w:color="auto"/>
              <w:right w:val="nil"/>
            </w:tcBorders>
            <w:shd w:val="clear" w:color="auto" w:fill="auto"/>
            <w:vAlign w:val="bottom"/>
          </w:tcPr>
          <w:p w14:paraId="6025DA73"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2,638</w:t>
            </w:r>
          </w:p>
        </w:tc>
        <w:tc>
          <w:tcPr>
            <w:tcW w:w="612" w:type="pct"/>
            <w:tcBorders>
              <w:top w:val="nil"/>
              <w:left w:val="nil"/>
              <w:bottom w:val="single" w:sz="12" w:space="0" w:color="auto"/>
              <w:right w:val="nil"/>
            </w:tcBorders>
            <w:shd w:val="clear" w:color="auto" w:fill="auto"/>
            <w:vAlign w:val="bottom"/>
          </w:tcPr>
          <w:p w14:paraId="273A557B"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1,103</w:t>
            </w:r>
          </w:p>
        </w:tc>
        <w:tc>
          <w:tcPr>
            <w:tcW w:w="732" w:type="pct"/>
            <w:tcBorders>
              <w:top w:val="nil"/>
              <w:left w:val="nil"/>
              <w:bottom w:val="single" w:sz="12" w:space="0" w:color="auto"/>
              <w:right w:val="nil"/>
            </w:tcBorders>
            <w:shd w:val="clear" w:color="auto" w:fill="auto"/>
            <w:vAlign w:val="bottom"/>
          </w:tcPr>
          <w:p w14:paraId="03EE1226"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45,182</w:t>
            </w:r>
          </w:p>
        </w:tc>
        <w:tc>
          <w:tcPr>
            <w:tcW w:w="539" w:type="pct"/>
            <w:tcBorders>
              <w:top w:val="nil"/>
              <w:left w:val="nil"/>
              <w:bottom w:val="single" w:sz="12" w:space="0" w:color="auto"/>
              <w:right w:val="nil"/>
            </w:tcBorders>
            <w:shd w:val="clear" w:color="auto" w:fill="auto"/>
            <w:vAlign w:val="bottom"/>
          </w:tcPr>
          <w:p w14:paraId="5F3AF3B3"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45,182</w:t>
            </w:r>
          </w:p>
        </w:tc>
      </w:tr>
      <w:tr w:rsidR="00810F30" w:rsidRPr="00587444" w14:paraId="7E1E4DC9" w14:textId="77777777" w:rsidTr="00810F30">
        <w:trPr>
          <w:trHeight w:val="75"/>
        </w:trPr>
        <w:tc>
          <w:tcPr>
            <w:tcW w:w="1412" w:type="pct"/>
            <w:vAlign w:val="bottom"/>
          </w:tcPr>
          <w:p w14:paraId="76B4FBF4" w14:textId="77777777" w:rsidR="00810F30" w:rsidRPr="00587444" w:rsidRDefault="00810F30" w:rsidP="00810F30">
            <w:pPr>
              <w:tabs>
                <w:tab w:val="right" w:pos="1202"/>
              </w:tabs>
              <w:suppressAutoHyphens w:val="0"/>
              <w:autoSpaceDN/>
              <w:spacing w:line="140" w:lineRule="exact"/>
              <w:outlineLvl w:val="0"/>
              <w:rPr>
                <w:rFonts w:ascii="Arial" w:hAnsi="Arial" w:cs="Arial"/>
                <w:b/>
                <w:iCs/>
                <w:sz w:val="17"/>
                <w:szCs w:val="17"/>
              </w:rPr>
            </w:pPr>
          </w:p>
        </w:tc>
        <w:tc>
          <w:tcPr>
            <w:tcW w:w="564" w:type="pct"/>
            <w:tcBorders>
              <w:top w:val="single" w:sz="12" w:space="0" w:color="auto"/>
            </w:tcBorders>
            <w:vAlign w:val="bottom"/>
          </w:tcPr>
          <w:p w14:paraId="1832A3F9" w14:textId="77777777" w:rsidR="00810F30" w:rsidRPr="00587444" w:rsidRDefault="00810F30" w:rsidP="00810F30">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85" w:type="pct"/>
            <w:tcBorders>
              <w:top w:val="single" w:sz="12" w:space="0" w:color="auto"/>
            </w:tcBorders>
            <w:vAlign w:val="bottom"/>
          </w:tcPr>
          <w:p w14:paraId="69C94353" w14:textId="77777777" w:rsidR="00810F30" w:rsidRPr="00587444" w:rsidRDefault="00810F30" w:rsidP="00810F30">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56" w:type="pct"/>
            <w:tcBorders>
              <w:top w:val="single" w:sz="12" w:space="0" w:color="auto"/>
            </w:tcBorders>
            <w:vAlign w:val="bottom"/>
          </w:tcPr>
          <w:p w14:paraId="6928A602" w14:textId="77777777" w:rsidR="00810F30" w:rsidRPr="00587444" w:rsidRDefault="00810F30" w:rsidP="00810F30">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612" w:type="pct"/>
            <w:tcBorders>
              <w:top w:val="single" w:sz="12" w:space="0" w:color="auto"/>
            </w:tcBorders>
            <w:vAlign w:val="bottom"/>
          </w:tcPr>
          <w:p w14:paraId="57759948" w14:textId="77777777" w:rsidR="00810F30" w:rsidRPr="00587444" w:rsidRDefault="00810F30" w:rsidP="00810F30">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732" w:type="pct"/>
            <w:tcBorders>
              <w:top w:val="single" w:sz="12" w:space="0" w:color="auto"/>
            </w:tcBorders>
            <w:vAlign w:val="bottom"/>
          </w:tcPr>
          <w:p w14:paraId="558630FA" w14:textId="77777777" w:rsidR="00810F30" w:rsidRPr="00587444" w:rsidRDefault="00810F30" w:rsidP="00810F30">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39" w:type="pct"/>
            <w:tcBorders>
              <w:top w:val="single" w:sz="12" w:space="0" w:color="auto"/>
            </w:tcBorders>
            <w:vAlign w:val="bottom"/>
          </w:tcPr>
          <w:p w14:paraId="1811CE26" w14:textId="77777777" w:rsidR="00810F30" w:rsidRPr="00587444" w:rsidRDefault="00810F30" w:rsidP="00810F30">
            <w:pPr>
              <w:keepNext/>
              <w:keepLines/>
              <w:tabs>
                <w:tab w:val="decimal" w:pos="1015"/>
              </w:tabs>
              <w:suppressAutoHyphens w:val="0"/>
              <w:autoSpaceDN/>
              <w:spacing w:line="140" w:lineRule="exact"/>
              <w:jc w:val="right"/>
              <w:rPr>
                <w:rFonts w:ascii="Arial" w:hAnsi="Arial" w:cs="Arial"/>
                <w:b/>
                <w:position w:val="4"/>
                <w:sz w:val="17"/>
                <w:szCs w:val="17"/>
                <w:u w:val="thick"/>
              </w:rPr>
            </w:pPr>
          </w:p>
        </w:tc>
      </w:tr>
      <w:tr w:rsidR="00810F30" w:rsidRPr="00587444" w14:paraId="5A3787D4" w14:textId="77777777" w:rsidTr="00810F30">
        <w:trPr>
          <w:trHeight w:val="75"/>
        </w:trPr>
        <w:tc>
          <w:tcPr>
            <w:tcW w:w="1412" w:type="pct"/>
            <w:vAlign w:val="bottom"/>
            <w:hideMark/>
          </w:tcPr>
          <w:p w14:paraId="6B9B0AE2" w14:textId="77777777" w:rsidR="00810F30" w:rsidRPr="00587444" w:rsidRDefault="00810F30" w:rsidP="00810F30">
            <w:pPr>
              <w:tabs>
                <w:tab w:val="right" w:pos="1202"/>
              </w:tabs>
              <w:suppressAutoHyphens w:val="0"/>
              <w:autoSpaceDN/>
              <w:spacing w:line="240" w:lineRule="exact"/>
              <w:outlineLvl w:val="0"/>
              <w:rPr>
                <w:rFonts w:ascii="Arial" w:hAnsi="Arial" w:cs="Arial"/>
                <w:iCs/>
                <w:sz w:val="17"/>
                <w:szCs w:val="17"/>
              </w:rPr>
            </w:pPr>
            <w:r w:rsidRPr="00587444">
              <w:rPr>
                <w:rFonts w:ascii="Arial" w:hAnsi="Arial" w:cs="Arial"/>
                <w:iCs/>
                <w:sz w:val="17"/>
                <w:szCs w:val="17"/>
              </w:rPr>
              <w:t>Profit for the year</w:t>
            </w:r>
          </w:p>
        </w:tc>
        <w:tc>
          <w:tcPr>
            <w:tcW w:w="564" w:type="pct"/>
            <w:vAlign w:val="bottom"/>
          </w:tcPr>
          <w:p w14:paraId="35FD6B7A"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w:t>
            </w:r>
          </w:p>
        </w:tc>
        <w:tc>
          <w:tcPr>
            <w:tcW w:w="585" w:type="pct"/>
            <w:vAlign w:val="bottom"/>
          </w:tcPr>
          <w:p w14:paraId="5610E609"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w:t>
            </w:r>
          </w:p>
        </w:tc>
        <w:tc>
          <w:tcPr>
            <w:tcW w:w="556" w:type="pct"/>
            <w:vAlign w:val="bottom"/>
          </w:tcPr>
          <w:p w14:paraId="6155C261" w14:textId="77777777" w:rsidR="00810F30" w:rsidRPr="00587444" w:rsidRDefault="00810F30" w:rsidP="00810F30">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587444">
              <w:rPr>
                <w:rFonts w:ascii="Arial" w:hAnsi="Arial" w:cs="Arial"/>
                <w:color w:val="000000"/>
                <w:sz w:val="17"/>
                <w:szCs w:val="17"/>
              </w:rPr>
              <w:t>-</w:t>
            </w:r>
          </w:p>
        </w:tc>
        <w:tc>
          <w:tcPr>
            <w:tcW w:w="612" w:type="pct"/>
            <w:vAlign w:val="bottom"/>
          </w:tcPr>
          <w:p w14:paraId="320EFEA5" w14:textId="77777777" w:rsidR="00810F30" w:rsidRPr="00587444" w:rsidRDefault="00810F30" w:rsidP="00810F30">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587444">
              <w:rPr>
                <w:rFonts w:ascii="Arial" w:hAnsi="Arial" w:cs="Arial"/>
                <w:color w:val="000000"/>
                <w:sz w:val="17"/>
                <w:szCs w:val="17"/>
              </w:rPr>
              <w:t>3,285</w:t>
            </w:r>
          </w:p>
        </w:tc>
        <w:tc>
          <w:tcPr>
            <w:tcW w:w="732" w:type="pct"/>
            <w:vAlign w:val="bottom"/>
          </w:tcPr>
          <w:p w14:paraId="044BE001" w14:textId="77777777" w:rsidR="00810F30" w:rsidRPr="00587444" w:rsidRDefault="00810F30" w:rsidP="00810F30">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587444">
              <w:rPr>
                <w:rFonts w:ascii="Arial" w:hAnsi="Arial" w:cs="Arial"/>
                <w:b/>
                <w:bCs/>
                <w:color w:val="000000"/>
                <w:sz w:val="17"/>
                <w:szCs w:val="17"/>
              </w:rPr>
              <w:t>3,285</w:t>
            </w:r>
          </w:p>
        </w:tc>
        <w:tc>
          <w:tcPr>
            <w:tcW w:w="539" w:type="pct"/>
            <w:shd w:val="clear" w:color="auto" w:fill="auto"/>
            <w:vAlign w:val="bottom"/>
          </w:tcPr>
          <w:p w14:paraId="6DDD3497" w14:textId="77777777" w:rsidR="00810F30" w:rsidRPr="00587444" w:rsidRDefault="00810F30" w:rsidP="00810F30">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587444">
              <w:rPr>
                <w:rFonts w:ascii="Arial" w:hAnsi="Arial" w:cs="Arial"/>
                <w:b/>
                <w:bCs/>
                <w:color w:val="000000"/>
                <w:sz w:val="17"/>
                <w:szCs w:val="17"/>
              </w:rPr>
              <w:t>3,285</w:t>
            </w:r>
          </w:p>
        </w:tc>
      </w:tr>
      <w:tr w:rsidR="00810F30" w:rsidRPr="00587444" w14:paraId="1BDE5174" w14:textId="77777777" w:rsidTr="00810F30">
        <w:trPr>
          <w:trHeight w:val="75"/>
        </w:trPr>
        <w:tc>
          <w:tcPr>
            <w:tcW w:w="1412" w:type="pct"/>
            <w:vAlign w:val="bottom"/>
            <w:hideMark/>
          </w:tcPr>
          <w:p w14:paraId="1F62BD57" w14:textId="77777777" w:rsidR="00810F30" w:rsidRPr="00587444" w:rsidRDefault="00810F30" w:rsidP="00810F30">
            <w:pPr>
              <w:tabs>
                <w:tab w:val="right" w:pos="1202"/>
              </w:tabs>
              <w:suppressAutoHyphens w:val="0"/>
              <w:autoSpaceDN/>
              <w:spacing w:line="200" w:lineRule="exact"/>
              <w:outlineLvl w:val="0"/>
              <w:rPr>
                <w:rFonts w:ascii="Arial" w:hAnsi="Arial" w:cs="Arial"/>
                <w:iCs/>
                <w:sz w:val="17"/>
                <w:szCs w:val="17"/>
              </w:rPr>
            </w:pPr>
            <w:r w:rsidRPr="00587444">
              <w:rPr>
                <w:rFonts w:ascii="Arial" w:hAnsi="Arial" w:cs="Arial"/>
                <w:iCs/>
                <w:sz w:val="17"/>
                <w:szCs w:val="17"/>
              </w:rPr>
              <w:t>Other comprehensive income</w:t>
            </w:r>
          </w:p>
        </w:tc>
        <w:tc>
          <w:tcPr>
            <w:tcW w:w="564" w:type="pct"/>
            <w:tcBorders>
              <w:top w:val="nil"/>
              <w:left w:val="nil"/>
              <w:bottom w:val="single" w:sz="4" w:space="0" w:color="auto"/>
              <w:right w:val="nil"/>
            </w:tcBorders>
            <w:vAlign w:val="bottom"/>
          </w:tcPr>
          <w:p w14:paraId="2A06669B"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w:t>
            </w:r>
          </w:p>
        </w:tc>
        <w:tc>
          <w:tcPr>
            <w:tcW w:w="585" w:type="pct"/>
            <w:tcBorders>
              <w:top w:val="nil"/>
              <w:left w:val="nil"/>
              <w:bottom w:val="single" w:sz="4" w:space="0" w:color="auto"/>
              <w:right w:val="nil"/>
            </w:tcBorders>
            <w:vAlign w:val="bottom"/>
          </w:tcPr>
          <w:p w14:paraId="529B2465"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w:t>
            </w:r>
          </w:p>
        </w:tc>
        <w:tc>
          <w:tcPr>
            <w:tcW w:w="556" w:type="pct"/>
            <w:tcBorders>
              <w:top w:val="nil"/>
              <w:left w:val="nil"/>
              <w:bottom w:val="single" w:sz="4" w:space="0" w:color="auto"/>
              <w:right w:val="nil"/>
            </w:tcBorders>
            <w:vAlign w:val="bottom"/>
          </w:tcPr>
          <w:p w14:paraId="24D01999" w14:textId="77777777" w:rsidR="00810F30" w:rsidRPr="00587444" w:rsidRDefault="00810F30" w:rsidP="00810F30">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587444">
              <w:rPr>
                <w:rFonts w:ascii="Arial" w:hAnsi="Arial" w:cs="Arial"/>
                <w:color w:val="000000"/>
                <w:sz w:val="17"/>
                <w:szCs w:val="17"/>
              </w:rPr>
              <w:t>(7,915)</w:t>
            </w:r>
          </w:p>
        </w:tc>
        <w:tc>
          <w:tcPr>
            <w:tcW w:w="612" w:type="pct"/>
            <w:tcBorders>
              <w:top w:val="nil"/>
              <w:left w:val="nil"/>
              <w:bottom w:val="single" w:sz="4" w:space="0" w:color="auto"/>
              <w:right w:val="nil"/>
            </w:tcBorders>
            <w:vAlign w:val="bottom"/>
          </w:tcPr>
          <w:p w14:paraId="5E72D36E" w14:textId="77777777" w:rsidR="00810F30" w:rsidRPr="00587444" w:rsidRDefault="00810F30" w:rsidP="00810F30">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587444">
              <w:rPr>
                <w:rFonts w:ascii="Arial" w:hAnsi="Arial" w:cs="Arial"/>
                <w:color w:val="000000"/>
                <w:sz w:val="17"/>
                <w:szCs w:val="17"/>
              </w:rPr>
              <w:t>-</w:t>
            </w:r>
          </w:p>
        </w:tc>
        <w:tc>
          <w:tcPr>
            <w:tcW w:w="732" w:type="pct"/>
            <w:tcBorders>
              <w:top w:val="nil"/>
              <w:left w:val="nil"/>
              <w:bottom w:val="single" w:sz="4" w:space="0" w:color="auto"/>
              <w:right w:val="nil"/>
            </w:tcBorders>
            <w:vAlign w:val="bottom"/>
          </w:tcPr>
          <w:p w14:paraId="7625FC6C" w14:textId="77777777" w:rsidR="00810F30" w:rsidRPr="00587444" w:rsidRDefault="00810F30" w:rsidP="00810F30">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587444">
              <w:rPr>
                <w:rFonts w:ascii="Arial" w:hAnsi="Arial" w:cs="Arial"/>
                <w:b/>
                <w:bCs/>
                <w:color w:val="000000"/>
                <w:sz w:val="17"/>
                <w:szCs w:val="17"/>
              </w:rPr>
              <w:t>(7,915)</w:t>
            </w:r>
          </w:p>
        </w:tc>
        <w:tc>
          <w:tcPr>
            <w:tcW w:w="539" w:type="pct"/>
            <w:tcBorders>
              <w:top w:val="nil"/>
              <w:left w:val="nil"/>
              <w:bottom w:val="single" w:sz="4" w:space="0" w:color="auto"/>
              <w:right w:val="nil"/>
            </w:tcBorders>
            <w:shd w:val="clear" w:color="auto" w:fill="auto"/>
            <w:vAlign w:val="bottom"/>
          </w:tcPr>
          <w:p w14:paraId="2A51B6CB" w14:textId="77777777" w:rsidR="00810F30" w:rsidRPr="00587444" w:rsidRDefault="00810F30" w:rsidP="00810F30">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587444">
              <w:rPr>
                <w:rFonts w:ascii="Arial" w:hAnsi="Arial" w:cs="Arial"/>
                <w:b/>
                <w:bCs/>
                <w:color w:val="000000"/>
                <w:sz w:val="17"/>
                <w:szCs w:val="17"/>
              </w:rPr>
              <w:t>(7,915)</w:t>
            </w:r>
          </w:p>
        </w:tc>
      </w:tr>
      <w:tr w:rsidR="00810F30" w:rsidRPr="00587444" w14:paraId="5A42BAB0" w14:textId="77777777" w:rsidTr="00810F30">
        <w:trPr>
          <w:trHeight w:val="75"/>
        </w:trPr>
        <w:tc>
          <w:tcPr>
            <w:tcW w:w="1412" w:type="pct"/>
            <w:vAlign w:val="bottom"/>
          </w:tcPr>
          <w:p w14:paraId="3AE7A276" w14:textId="77777777" w:rsidR="00810F30" w:rsidRPr="00587444" w:rsidRDefault="00810F30" w:rsidP="00810F30">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left w:val="nil"/>
              <w:bottom w:val="nil"/>
              <w:right w:val="nil"/>
            </w:tcBorders>
            <w:vAlign w:val="bottom"/>
          </w:tcPr>
          <w:p w14:paraId="6350621B"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left w:val="nil"/>
              <w:bottom w:val="nil"/>
              <w:right w:val="nil"/>
            </w:tcBorders>
            <w:vAlign w:val="bottom"/>
          </w:tcPr>
          <w:p w14:paraId="1DD08C76"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left w:val="nil"/>
              <w:bottom w:val="nil"/>
              <w:right w:val="nil"/>
            </w:tcBorders>
            <w:vAlign w:val="bottom"/>
          </w:tcPr>
          <w:p w14:paraId="64A95EDC"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612" w:type="pct"/>
            <w:tcBorders>
              <w:top w:val="single" w:sz="4" w:space="0" w:color="auto"/>
              <w:left w:val="nil"/>
              <w:bottom w:val="nil"/>
              <w:right w:val="nil"/>
            </w:tcBorders>
            <w:vAlign w:val="bottom"/>
          </w:tcPr>
          <w:p w14:paraId="50A90F83"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732" w:type="pct"/>
            <w:tcBorders>
              <w:top w:val="single" w:sz="4" w:space="0" w:color="auto"/>
              <w:left w:val="nil"/>
              <w:bottom w:val="nil"/>
              <w:right w:val="nil"/>
            </w:tcBorders>
            <w:vAlign w:val="bottom"/>
          </w:tcPr>
          <w:p w14:paraId="00C4FC85"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539" w:type="pct"/>
            <w:tcBorders>
              <w:top w:val="single" w:sz="4" w:space="0" w:color="auto"/>
              <w:left w:val="nil"/>
              <w:bottom w:val="nil"/>
              <w:right w:val="nil"/>
            </w:tcBorders>
            <w:vAlign w:val="bottom"/>
          </w:tcPr>
          <w:p w14:paraId="20182B52"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r>
      <w:tr w:rsidR="00810F30" w:rsidRPr="00587444" w14:paraId="1D1CACBB" w14:textId="77777777" w:rsidTr="00810F30">
        <w:trPr>
          <w:trHeight w:val="244"/>
        </w:trPr>
        <w:tc>
          <w:tcPr>
            <w:tcW w:w="1412" w:type="pct"/>
            <w:vAlign w:val="bottom"/>
            <w:hideMark/>
          </w:tcPr>
          <w:p w14:paraId="4D00C55F" w14:textId="77777777" w:rsidR="00810F30" w:rsidRPr="00587444" w:rsidRDefault="00810F30" w:rsidP="00810F30">
            <w:pPr>
              <w:tabs>
                <w:tab w:val="right" w:pos="1202"/>
              </w:tabs>
              <w:suppressAutoHyphens w:val="0"/>
              <w:autoSpaceDN/>
              <w:spacing w:line="200" w:lineRule="exact"/>
              <w:outlineLvl w:val="0"/>
              <w:rPr>
                <w:rFonts w:ascii="Arial" w:hAnsi="Arial" w:cs="Arial"/>
                <w:iCs/>
                <w:sz w:val="17"/>
                <w:szCs w:val="17"/>
              </w:rPr>
            </w:pPr>
            <w:r w:rsidRPr="00587444">
              <w:rPr>
                <w:rFonts w:ascii="Arial" w:hAnsi="Arial" w:cs="Arial"/>
                <w:iCs/>
                <w:sz w:val="17"/>
                <w:szCs w:val="17"/>
              </w:rPr>
              <w:t>Total comprehensive income</w:t>
            </w:r>
          </w:p>
        </w:tc>
        <w:tc>
          <w:tcPr>
            <w:tcW w:w="564" w:type="pct"/>
            <w:tcBorders>
              <w:top w:val="nil"/>
              <w:left w:val="nil"/>
              <w:bottom w:val="single" w:sz="4" w:space="0" w:color="auto"/>
              <w:right w:val="nil"/>
            </w:tcBorders>
            <w:shd w:val="clear" w:color="auto" w:fill="auto"/>
            <w:vAlign w:val="bottom"/>
          </w:tcPr>
          <w:p w14:paraId="31A09DFC"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w:t>
            </w:r>
          </w:p>
        </w:tc>
        <w:tc>
          <w:tcPr>
            <w:tcW w:w="585" w:type="pct"/>
            <w:tcBorders>
              <w:top w:val="nil"/>
              <w:left w:val="nil"/>
              <w:bottom w:val="single" w:sz="4" w:space="0" w:color="auto"/>
              <w:right w:val="nil"/>
            </w:tcBorders>
            <w:shd w:val="clear" w:color="auto" w:fill="auto"/>
            <w:vAlign w:val="bottom"/>
          </w:tcPr>
          <w:p w14:paraId="79D9A988"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iCs/>
                <w:sz w:val="17"/>
                <w:szCs w:val="17"/>
              </w:rPr>
            </w:pPr>
            <w:r w:rsidRPr="00587444">
              <w:rPr>
                <w:rFonts w:ascii="Arial" w:hAnsi="Arial" w:cs="Arial"/>
                <w:color w:val="000000"/>
                <w:sz w:val="17"/>
                <w:szCs w:val="17"/>
              </w:rPr>
              <w:t>-</w:t>
            </w:r>
          </w:p>
        </w:tc>
        <w:tc>
          <w:tcPr>
            <w:tcW w:w="556" w:type="pct"/>
            <w:tcBorders>
              <w:top w:val="nil"/>
              <w:left w:val="nil"/>
              <w:bottom w:val="single" w:sz="4" w:space="0" w:color="auto"/>
              <w:right w:val="nil"/>
            </w:tcBorders>
            <w:shd w:val="clear" w:color="auto" w:fill="auto"/>
            <w:vAlign w:val="bottom"/>
          </w:tcPr>
          <w:p w14:paraId="2E49B035" w14:textId="77777777" w:rsidR="00810F30" w:rsidRPr="00587444" w:rsidRDefault="00810F30" w:rsidP="00810F30">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587444">
              <w:rPr>
                <w:rFonts w:ascii="Arial" w:hAnsi="Arial" w:cs="Arial"/>
                <w:color w:val="000000"/>
                <w:sz w:val="17"/>
                <w:szCs w:val="17"/>
              </w:rPr>
              <w:t>(7,915)</w:t>
            </w:r>
          </w:p>
        </w:tc>
        <w:tc>
          <w:tcPr>
            <w:tcW w:w="612" w:type="pct"/>
            <w:tcBorders>
              <w:top w:val="nil"/>
              <w:left w:val="nil"/>
              <w:bottom w:val="single" w:sz="4" w:space="0" w:color="auto"/>
              <w:right w:val="nil"/>
            </w:tcBorders>
            <w:shd w:val="clear" w:color="auto" w:fill="auto"/>
            <w:vAlign w:val="bottom"/>
          </w:tcPr>
          <w:p w14:paraId="5BF9A703" w14:textId="77777777" w:rsidR="00810F30" w:rsidRPr="00587444" w:rsidRDefault="00810F30" w:rsidP="00810F30">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587444">
              <w:rPr>
                <w:rFonts w:ascii="Arial" w:hAnsi="Arial" w:cs="Arial"/>
                <w:color w:val="000000"/>
                <w:sz w:val="17"/>
                <w:szCs w:val="17"/>
              </w:rPr>
              <w:t>3,285</w:t>
            </w:r>
          </w:p>
        </w:tc>
        <w:tc>
          <w:tcPr>
            <w:tcW w:w="732" w:type="pct"/>
            <w:tcBorders>
              <w:top w:val="nil"/>
              <w:left w:val="nil"/>
              <w:bottom w:val="single" w:sz="4" w:space="0" w:color="auto"/>
              <w:right w:val="nil"/>
            </w:tcBorders>
            <w:shd w:val="clear" w:color="auto" w:fill="auto"/>
            <w:vAlign w:val="bottom"/>
          </w:tcPr>
          <w:p w14:paraId="1388FC0E" w14:textId="77777777" w:rsidR="00810F30" w:rsidRPr="00587444" w:rsidRDefault="00810F30" w:rsidP="00810F30">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587444">
              <w:rPr>
                <w:rFonts w:ascii="Arial" w:hAnsi="Arial" w:cs="Arial"/>
                <w:b/>
                <w:bCs/>
                <w:color w:val="000000"/>
                <w:sz w:val="17"/>
                <w:szCs w:val="17"/>
              </w:rPr>
              <w:t>(4,630)</w:t>
            </w:r>
          </w:p>
        </w:tc>
        <w:tc>
          <w:tcPr>
            <w:tcW w:w="539" w:type="pct"/>
            <w:tcBorders>
              <w:top w:val="nil"/>
              <w:left w:val="nil"/>
              <w:bottom w:val="single" w:sz="4" w:space="0" w:color="auto"/>
              <w:right w:val="nil"/>
            </w:tcBorders>
            <w:shd w:val="clear" w:color="auto" w:fill="auto"/>
            <w:vAlign w:val="bottom"/>
          </w:tcPr>
          <w:p w14:paraId="093A5006" w14:textId="77777777" w:rsidR="00810F30" w:rsidRPr="00587444" w:rsidRDefault="00810F30" w:rsidP="00810F30">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587444">
              <w:rPr>
                <w:rFonts w:ascii="Arial" w:hAnsi="Arial" w:cs="Arial"/>
                <w:b/>
                <w:bCs/>
                <w:color w:val="000000"/>
                <w:sz w:val="17"/>
                <w:szCs w:val="17"/>
              </w:rPr>
              <w:t>(4,630)</w:t>
            </w:r>
          </w:p>
        </w:tc>
      </w:tr>
      <w:tr w:rsidR="00810F30" w:rsidRPr="00587444" w14:paraId="374C8A9B" w14:textId="77777777" w:rsidTr="00810F30">
        <w:trPr>
          <w:trHeight w:val="75"/>
        </w:trPr>
        <w:tc>
          <w:tcPr>
            <w:tcW w:w="1412" w:type="pct"/>
            <w:vAlign w:val="bottom"/>
          </w:tcPr>
          <w:p w14:paraId="701B3E66" w14:textId="77777777" w:rsidR="00810F30" w:rsidRPr="00587444" w:rsidRDefault="00810F30" w:rsidP="00810F30">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left w:val="nil"/>
              <w:bottom w:val="nil"/>
              <w:right w:val="nil"/>
            </w:tcBorders>
            <w:vAlign w:val="bottom"/>
          </w:tcPr>
          <w:p w14:paraId="6035BF4C"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left w:val="nil"/>
              <w:bottom w:val="nil"/>
              <w:right w:val="nil"/>
            </w:tcBorders>
            <w:vAlign w:val="bottom"/>
          </w:tcPr>
          <w:p w14:paraId="08F8A459"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left w:val="nil"/>
              <w:bottom w:val="nil"/>
              <w:right w:val="nil"/>
            </w:tcBorders>
            <w:vAlign w:val="bottom"/>
          </w:tcPr>
          <w:p w14:paraId="45C5A6B9"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612" w:type="pct"/>
            <w:tcBorders>
              <w:top w:val="single" w:sz="4" w:space="0" w:color="auto"/>
              <w:left w:val="nil"/>
              <w:bottom w:val="nil"/>
              <w:right w:val="nil"/>
            </w:tcBorders>
            <w:vAlign w:val="bottom"/>
          </w:tcPr>
          <w:p w14:paraId="4A99F07B"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732" w:type="pct"/>
            <w:tcBorders>
              <w:top w:val="single" w:sz="4" w:space="0" w:color="auto"/>
              <w:left w:val="nil"/>
              <w:bottom w:val="nil"/>
              <w:right w:val="nil"/>
            </w:tcBorders>
            <w:vAlign w:val="bottom"/>
          </w:tcPr>
          <w:p w14:paraId="0EAB8065"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539" w:type="pct"/>
            <w:tcBorders>
              <w:top w:val="single" w:sz="4" w:space="0" w:color="auto"/>
              <w:left w:val="nil"/>
              <w:bottom w:val="nil"/>
              <w:right w:val="nil"/>
            </w:tcBorders>
            <w:vAlign w:val="bottom"/>
          </w:tcPr>
          <w:p w14:paraId="646950C5"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r>
      <w:tr w:rsidR="00810F30" w:rsidRPr="00587444" w14:paraId="7A1696A8" w14:textId="77777777" w:rsidTr="00810F30">
        <w:trPr>
          <w:trHeight w:val="419"/>
        </w:trPr>
        <w:tc>
          <w:tcPr>
            <w:tcW w:w="1412" w:type="pct"/>
            <w:vAlign w:val="bottom"/>
          </w:tcPr>
          <w:p w14:paraId="0E6E2B83" w14:textId="77777777" w:rsidR="00810F30" w:rsidRPr="00587444" w:rsidRDefault="00810F30" w:rsidP="00810F30">
            <w:pPr>
              <w:tabs>
                <w:tab w:val="right" w:pos="1202"/>
              </w:tabs>
              <w:suppressAutoHyphens w:val="0"/>
              <w:autoSpaceDN/>
              <w:spacing w:line="200" w:lineRule="exact"/>
              <w:outlineLvl w:val="0"/>
              <w:rPr>
                <w:rFonts w:ascii="Arial" w:hAnsi="Arial" w:cs="Arial"/>
                <w:iCs/>
                <w:sz w:val="17"/>
                <w:szCs w:val="17"/>
                <w:highlight w:val="yellow"/>
              </w:rPr>
            </w:pPr>
            <w:r w:rsidRPr="00587444">
              <w:rPr>
                <w:rFonts w:ascii="Arial" w:hAnsi="Arial" w:cs="Arial"/>
                <w:iCs/>
                <w:sz w:val="17"/>
                <w:szCs w:val="17"/>
              </w:rPr>
              <w:t>Transfer of profit from 2021 to retained earnings</w:t>
            </w:r>
          </w:p>
        </w:tc>
        <w:tc>
          <w:tcPr>
            <w:tcW w:w="564" w:type="pct"/>
            <w:shd w:val="clear" w:color="auto" w:fill="auto"/>
            <w:vAlign w:val="bottom"/>
          </w:tcPr>
          <w:p w14:paraId="3387F3D8"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color w:val="000000"/>
                <w:sz w:val="17"/>
                <w:szCs w:val="17"/>
              </w:rPr>
            </w:pPr>
            <w:r w:rsidRPr="00587444">
              <w:rPr>
                <w:rFonts w:ascii="Arial" w:hAnsi="Arial" w:cs="Arial"/>
                <w:color w:val="000000"/>
                <w:sz w:val="17"/>
                <w:szCs w:val="17"/>
              </w:rPr>
              <w:t>-</w:t>
            </w:r>
          </w:p>
        </w:tc>
        <w:tc>
          <w:tcPr>
            <w:tcW w:w="585" w:type="pct"/>
            <w:shd w:val="clear" w:color="auto" w:fill="auto"/>
            <w:vAlign w:val="bottom"/>
          </w:tcPr>
          <w:p w14:paraId="01A2623D"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color w:val="000000"/>
                <w:sz w:val="17"/>
                <w:szCs w:val="17"/>
              </w:rPr>
            </w:pPr>
            <w:r w:rsidRPr="00587444">
              <w:rPr>
                <w:rFonts w:ascii="Arial" w:hAnsi="Arial" w:cs="Arial"/>
                <w:color w:val="000000"/>
                <w:sz w:val="17"/>
                <w:szCs w:val="17"/>
              </w:rPr>
              <w:t>1,103</w:t>
            </w:r>
          </w:p>
        </w:tc>
        <w:tc>
          <w:tcPr>
            <w:tcW w:w="556" w:type="pct"/>
            <w:shd w:val="clear" w:color="auto" w:fill="auto"/>
            <w:vAlign w:val="bottom"/>
          </w:tcPr>
          <w:p w14:paraId="4D9F7D8D"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color w:val="000000"/>
                <w:sz w:val="17"/>
                <w:szCs w:val="17"/>
              </w:rPr>
            </w:pPr>
            <w:r w:rsidRPr="00587444">
              <w:rPr>
                <w:rFonts w:ascii="Arial" w:hAnsi="Arial" w:cs="Arial"/>
                <w:color w:val="000000"/>
                <w:sz w:val="17"/>
                <w:szCs w:val="17"/>
              </w:rPr>
              <w:t>-</w:t>
            </w:r>
          </w:p>
        </w:tc>
        <w:tc>
          <w:tcPr>
            <w:tcW w:w="612" w:type="pct"/>
            <w:shd w:val="clear" w:color="auto" w:fill="auto"/>
            <w:vAlign w:val="bottom"/>
          </w:tcPr>
          <w:p w14:paraId="7AA05752"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color w:val="000000"/>
                <w:sz w:val="17"/>
                <w:szCs w:val="17"/>
              </w:rPr>
            </w:pPr>
            <w:r w:rsidRPr="00587444">
              <w:rPr>
                <w:rFonts w:ascii="Arial" w:hAnsi="Arial" w:cs="Arial"/>
                <w:color w:val="000000"/>
                <w:sz w:val="17"/>
                <w:szCs w:val="17"/>
              </w:rPr>
              <w:t>(1,103)</w:t>
            </w:r>
          </w:p>
        </w:tc>
        <w:tc>
          <w:tcPr>
            <w:tcW w:w="732" w:type="pct"/>
            <w:shd w:val="clear" w:color="auto" w:fill="auto"/>
            <w:vAlign w:val="bottom"/>
          </w:tcPr>
          <w:p w14:paraId="7442ECEE"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bCs/>
                <w:color w:val="000000"/>
                <w:sz w:val="17"/>
                <w:szCs w:val="17"/>
              </w:rPr>
            </w:pPr>
            <w:r w:rsidRPr="00587444">
              <w:rPr>
                <w:rFonts w:ascii="Arial" w:hAnsi="Arial" w:cs="Arial"/>
                <w:b/>
                <w:bCs/>
                <w:color w:val="000000"/>
                <w:sz w:val="17"/>
                <w:szCs w:val="17"/>
              </w:rPr>
              <w:t>-</w:t>
            </w:r>
          </w:p>
        </w:tc>
        <w:tc>
          <w:tcPr>
            <w:tcW w:w="539" w:type="pct"/>
            <w:shd w:val="clear" w:color="auto" w:fill="auto"/>
            <w:vAlign w:val="bottom"/>
          </w:tcPr>
          <w:p w14:paraId="46886850"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bCs/>
                <w:color w:val="000000"/>
                <w:sz w:val="17"/>
                <w:szCs w:val="17"/>
              </w:rPr>
            </w:pPr>
            <w:r w:rsidRPr="00587444">
              <w:rPr>
                <w:rFonts w:ascii="Arial" w:hAnsi="Arial" w:cs="Arial"/>
                <w:b/>
                <w:bCs/>
                <w:color w:val="000000"/>
                <w:sz w:val="17"/>
                <w:szCs w:val="17"/>
              </w:rPr>
              <w:t>-</w:t>
            </w:r>
          </w:p>
        </w:tc>
      </w:tr>
      <w:tr w:rsidR="00810F30" w:rsidRPr="00587444" w14:paraId="0BBBDDF2" w14:textId="77777777" w:rsidTr="00810F30">
        <w:trPr>
          <w:trHeight w:val="283"/>
        </w:trPr>
        <w:tc>
          <w:tcPr>
            <w:tcW w:w="1412" w:type="pct"/>
            <w:vAlign w:val="bottom"/>
            <w:hideMark/>
          </w:tcPr>
          <w:p w14:paraId="4F9EA3D1" w14:textId="77777777" w:rsidR="00810F30" w:rsidRPr="00587444" w:rsidRDefault="00810F30" w:rsidP="00810F30">
            <w:pPr>
              <w:tabs>
                <w:tab w:val="right" w:pos="1202"/>
              </w:tabs>
              <w:suppressAutoHyphens w:val="0"/>
              <w:autoSpaceDN/>
              <w:spacing w:line="200" w:lineRule="exact"/>
              <w:outlineLvl w:val="0"/>
              <w:rPr>
                <w:rFonts w:ascii="Arial" w:hAnsi="Arial" w:cs="Arial"/>
                <w:iCs/>
                <w:sz w:val="17"/>
                <w:szCs w:val="17"/>
                <w:highlight w:val="yellow"/>
              </w:rPr>
            </w:pPr>
            <w:r w:rsidRPr="00587444">
              <w:rPr>
                <w:rFonts w:ascii="Arial" w:hAnsi="Arial" w:cs="Arial"/>
                <w:iCs/>
                <w:sz w:val="17"/>
                <w:szCs w:val="17"/>
              </w:rPr>
              <w:t>Capital paid-in</w:t>
            </w:r>
          </w:p>
        </w:tc>
        <w:tc>
          <w:tcPr>
            <w:tcW w:w="564" w:type="pct"/>
            <w:shd w:val="clear" w:color="auto" w:fill="auto"/>
            <w:vAlign w:val="bottom"/>
          </w:tcPr>
          <w:p w14:paraId="13FF5B46"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color w:val="000000"/>
                <w:sz w:val="17"/>
                <w:szCs w:val="17"/>
              </w:rPr>
            </w:pPr>
            <w:r w:rsidRPr="00587444">
              <w:rPr>
                <w:rFonts w:ascii="Arial" w:hAnsi="Arial" w:cs="Arial"/>
                <w:color w:val="000000"/>
                <w:sz w:val="17"/>
                <w:szCs w:val="17"/>
              </w:rPr>
              <w:t>20,000</w:t>
            </w:r>
          </w:p>
        </w:tc>
        <w:tc>
          <w:tcPr>
            <w:tcW w:w="585" w:type="pct"/>
            <w:shd w:val="clear" w:color="auto" w:fill="auto"/>
            <w:vAlign w:val="bottom"/>
          </w:tcPr>
          <w:p w14:paraId="465D57CF"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color w:val="000000"/>
                <w:sz w:val="17"/>
                <w:szCs w:val="17"/>
              </w:rPr>
            </w:pPr>
            <w:r w:rsidRPr="00587444">
              <w:rPr>
                <w:rFonts w:ascii="Arial" w:hAnsi="Arial" w:cs="Arial"/>
                <w:color w:val="000000"/>
                <w:sz w:val="17"/>
                <w:szCs w:val="17"/>
              </w:rPr>
              <w:t>-</w:t>
            </w:r>
          </w:p>
        </w:tc>
        <w:tc>
          <w:tcPr>
            <w:tcW w:w="556" w:type="pct"/>
            <w:shd w:val="clear" w:color="auto" w:fill="auto"/>
            <w:vAlign w:val="bottom"/>
          </w:tcPr>
          <w:p w14:paraId="05FE6FB4"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color w:val="000000"/>
                <w:sz w:val="17"/>
                <w:szCs w:val="17"/>
              </w:rPr>
            </w:pPr>
            <w:r w:rsidRPr="00587444">
              <w:rPr>
                <w:rFonts w:ascii="Arial" w:hAnsi="Arial" w:cs="Arial"/>
                <w:color w:val="000000"/>
                <w:sz w:val="17"/>
                <w:szCs w:val="17"/>
              </w:rPr>
              <w:t>-</w:t>
            </w:r>
          </w:p>
        </w:tc>
        <w:tc>
          <w:tcPr>
            <w:tcW w:w="612" w:type="pct"/>
            <w:shd w:val="clear" w:color="auto" w:fill="auto"/>
            <w:vAlign w:val="bottom"/>
          </w:tcPr>
          <w:p w14:paraId="0D0FF528"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color w:val="000000"/>
                <w:sz w:val="17"/>
                <w:szCs w:val="17"/>
              </w:rPr>
            </w:pPr>
            <w:r w:rsidRPr="00587444">
              <w:rPr>
                <w:rFonts w:ascii="Arial" w:hAnsi="Arial" w:cs="Arial"/>
                <w:color w:val="000000"/>
                <w:sz w:val="17"/>
                <w:szCs w:val="17"/>
              </w:rPr>
              <w:t>-</w:t>
            </w:r>
          </w:p>
        </w:tc>
        <w:tc>
          <w:tcPr>
            <w:tcW w:w="732" w:type="pct"/>
            <w:shd w:val="clear" w:color="auto" w:fill="auto"/>
            <w:vAlign w:val="bottom"/>
          </w:tcPr>
          <w:p w14:paraId="383CABD1"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bCs/>
                <w:color w:val="000000"/>
                <w:sz w:val="17"/>
                <w:szCs w:val="17"/>
              </w:rPr>
            </w:pPr>
            <w:r w:rsidRPr="00587444">
              <w:rPr>
                <w:rFonts w:ascii="Arial" w:hAnsi="Arial" w:cs="Arial"/>
                <w:b/>
                <w:bCs/>
                <w:color w:val="000000"/>
                <w:sz w:val="17"/>
                <w:szCs w:val="17"/>
              </w:rPr>
              <w:t>20,000</w:t>
            </w:r>
          </w:p>
        </w:tc>
        <w:tc>
          <w:tcPr>
            <w:tcW w:w="539" w:type="pct"/>
            <w:shd w:val="clear" w:color="auto" w:fill="auto"/>
            <w:vAlign w:val="bottom"/>
          </w:tcPr>
          <w:p w14:paraId="0A9831D1"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bCs/>
                <w:color w:val="000000"/>
                <w:sz w:val="17"/>
                <w:szCs w:val="17"/>
              </w:rPr>
            </w:pPr>
            <w:r w:rsidRPr="00587444">
              <w:rPr>
                <w:rFonts w:ascii="Arial" w:hAnsi="Arial" w:cs="Arial"/>
                <w:b/>
                <w:bCs/>
                <w:color w:val="000000"/>
                <w:sz w:val="17"/>
                <w:szCs w:val="17"/>
              </w:rPr>
              <w:t>20,000</w:t>
            </w:r>
          </w:p>
        </w:tc>
      </w:tr>
      <w:tr w:rsidR="00810F30" w:rsidRPr="00587444" w14:paraId="0F623C12" w14:textId="77777777" w:rsidTr="00810F30">
        <w:trPr>
          <w:trHeight w:val="71"/>
        </w:trPr>
        <w:tc>
          <w:tcPr>
            <w:tcW w:w="1412" w:type="pct"/>
            <w:vAlign w:val="bottom"/>
          </w:tcPr>
          <w:p w14:paraId="413E372D" w14:textId="77777777" w:rsidR="00810F30" w:rsidRPr="00587444" w:rsidRDefault="00810F30" w:rsidP="00810F30">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left w:val="nil"/>
              <w:bottom w:val="nil"/>
              <w:right w:val="nil"/>
            </w:tcBorders>
            <w:vAlign w:val="bottom"/>
          </w:tcPr>
          <w:p w14:paraId="0AD77DE9"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left w:val="nil"/>
              <w:bottom w:val="nil"/>
              <w:right w:val="nil"/>
            </w:tcBorders>
            <w:vAlign w:val="bottom"/>
          </w:tcPr>
          <w:p w14:paraId="08060ED7"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left w:val="nil"/>
              <w:bottom w:val="nil"/>
              <w:right w:val="nil"/>
            </w:tcBorders>
            <w:vAlign w:val="bottom"/>
          </w:tcPr>
          <w:p w14:paraId="6B74149C"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612" w:type="pct"/>
            <w:tcBorders>
              <w:top w:val="single" w:sz="4" w:space="0" w:color="auto"/>
              <w:left w:val="nil"/>
              <w:bottom w:val="nil"/>
              <w:right w:val="nil"/>
            </w:tcBorders>
            <w:vAlign w:val="bottom"/>
          </w:tcPr>
          <w:p w14:paraId="5F47A1F3"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732" w:type="pct"/>
            <w:tcBorders>
              <w:top w:val="single" w:sz="4" w:space="0" w:color="auto"/>
              <w:left w:val="nil"/>
              <w:bottom w:val="nil"/>
              <w:right w:val="nil"/>
            </w:tcBorders>
            <w:vAlign w:val="bottom"/>
          </w:tcPr>
          <w:p w14:paraId="5A1CDC17"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539" w:type="pct"/>
            <w:tcBorders>
              <w:top w:val="single" w:sz="4" w:space="0" w:color="auto"/>
              <w:left w:val="nil"/>
              <w:bottom w:val="nil"/>
              <w:right w:val="nil"/>
            </w:tcBorders>
            <w:vAlign w:val="bottom"/>
          </w:tcPr>
          <w:p w14:paraId="20343F04" w14:textId="77777777" w:rsidR="00810F30" w:rsidRPr="00587444" w:rsidRDefault="00810F30" w:rsidP="00810F30">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r>
      <w:tr w:rsidR="00810F30" w:rsidRPr="00587444" w14:paraId="59C3245A" w14:textId="77777777" w:rsidTr="00810F30">
        <w:trPr>
          <w:trHeight w:val="75"/>
        </w:trPr>
        <w:tc>
          <w:tcPr>
            <w:tcW w:w="1412" w:type="pct"/>
            <w:vAlign w:val="bottom"/>
            <w:hideMark/>
          </w:tcPr>
          <w:p w14:paraId="46A73A2F" w14:textId="77777777" w:rsidR="00810F30" w:rsidRPr="00587444" w:rsidRDefault="00810F30" w:rsidP="00810F30">
            <w:pPr>
              <w:tabs>
                <w:tab w:val="right" w:pos="1202"/>
              </w:tabs>
              <w:suppressAutoHyphens w:val="0"/>
              <w:autoSpaceDN/>
              <w:spacing w:line="240" w:lineRule="exact"/>
              <w:outlineLvl w:val="0"/>
              <w:rPr>
                <w:rFonts w:ascii="Arial" w:hAnsi="Arial" w:cs="Arial"/>
                <w:iCs/>
                <w:sz w:val="17"/>
                <w:szCs w:val="17"/>
              </w:rPr>
            </w:pPr>
            <w:r w:rsidRPr="00587444">
              <w:rPr>
                <w:rFonts w:ascii="Arial" w:hAnsi="Arial" w:cs="Arial"/>
                <w:b/>
                <w:iCs/>
                <w:sz w:val="17"/>
                <w:szCs w:val="17"/>
              </w:rPr>
              <w:t>Balance as of 31 December 2022</w:t>
            </w:r>
          </w:p>
        </w:tc>
        <w:tc>
          <w:tcPr>
            <w:tcW w:w="564" w:type="pct"/>
            <w:tcBorders>
              <w:top w:val="nil"/>
              <w:left w:val="nil"/>
              <w:bottom w:val="single" w:sz="12" w:space="0" w:color="auto"/>
              <w:right w:val="nil"/>
            </w:tcBorders>
            <w:shd w:val="clear" w:color="auto" w:fill="auto"/>
            <w:vAlign w:val="bottom"/>
          </w:tcPr>
          <w:p w14:paraId="186FE708"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57,500</w:t>
            </w:r>
          </w:p>
        </w:tc>
        <w:tc>
          <w:tcPr>
            <w:tcW w:w="585" w:type="pct"/>
            <w:tcBorders>
              <w:top w:val="nil"/>
              <w:left w:val="nil"/>
              <w:bottom w:val="single" w:sz="12" w:space="0" w:color="auto"/>
              <w:right w:val="nil"/>
            </w:tcBorders>
            <w:shd w:val="clear" w:color="auto" w:fill="auto"/>
            <w:vAlign w:val="bottom"/>
          </w:tcPr>
          <w:p w14:paraId="17FEDC19"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bCs/>
                <w:color w:val="000000"/>
                <w:sz w:val="17"/>
                <w:szCs w:val="17"/>
              </w:rPr>
              <w:t>5,044</w:t>
            </w:r>
          </w:p>
        </w:tc>
        <w:tc>
          <w:tcPr>
            <w:tcW w:w="556" w:type="pct"/>
            <w:tcBorders>
              <w:top w:val="nil"/>
              <w:left w:val="nil"/>
              <w:bottom w:val="single" w:sz="12" w:space="0" w:color="auto"/>
              <w:right w:val="nil"/>
            </w:tcBorders>
            <w:shd w:val="clear" w:color="auto" w:fill="auto"/>
            <w:vAlign w:val="bottom"/>
          </w:tcPr>
          <w:p w14:paraId="274E7BC8" w14:textId="77777777" w:rsidR="00810F30" w:rsidRPr="00587444" w:rsidRDefault="00810F30" w:rsidP="00810F30">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587444">
              <w:rPr>
                <w:rFonts w:ascii="Arial" w:hAnsi="Arial" w:cs="Arial"/>
                <w:b/>
                <w:bCs/>
                <w:color w:val="000000"/>
                <w:sz w:val="17"/>
                <w:szCs w:val="17"/>
              </w:rPr>
              <w:t>(5,277)</w:t>
            </w:r>
          </w:p>
        </w:tc>
        <w:tc>
          <w:tcPr>
            <w:tcW w:w="612" w:type="pct"/>
            <w:tcBorders>
              <w:top w:val="nil"/>
              <w:left w:val="nil"/>
              <w:bottom w:val="single" w:sz="12" w:space="0" w:color="auto"/>
              <w:right w:val="nil"/>
            </w:tcBorders>
            <w:shd w:val="clear" w:color="auto" w:fill="auto"/>
            <w:vAlign w:val="bottom"/>
          </w:tcPr>
          <w:p w14:paraId="08EF7330" w14:textId="77777777" w:rsidR="00810F30" w:rsidRPr="00587444" w:rsidRDefault="00810F30" w:rsidP="00810F30">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587444">
              <w:rPr>
                <w:rFonts w:ascii="Arial" w:hAnsi="Arial" w:cs="Arial"/>
                <w:b/>
                <w:bCs/>
                <w:color w:val="000000"/>
                <w:sz w:val="17"/>
                <w:szCs w:val="17"/>
              </w:rPr>
              <w:t>3,285</w:t>
            </w:r>
          </w:p>
        </w:tc>
        <w:tc>
          <w:tcPr>
            <w:tcW w:w="732" w:type="pct"/>
            <w:tcBorders>
              <w:top w:val="nil"/>
              <w:left w:val="nil"/>
              <w:bottom w:val="single" w:sz="12" w:space="0" w:color="auto"/>
              <w:right w:val="nil"/>
            </w:tcBorders>
            <w:shd w:val="clear" w:color="auto" w:fill="auto"/>
            <w:vAlign w:val="bottom"/>
          </w:tcPr>
          <w:p w14:paraId="6522AF82" w14:textId="77777777" w:rsidR="00810F30" w:rsidRPr="00587444" w:rsidRDefault="00810F30" w:rsidP="00810F30">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587444">
              <w:rPr>
                <w:rFonts w:ascii="Arial" w:hAnsi="Arial" w:cs="Arial"/>
                <w:b/>
                <w:bCs/>
                <w:color w:val="000000"/>
                <w:sz w:val="17"/>
                <w:szCs w:val="17"/>
              </w:rPr>
              <w:t>60,552</w:t>
            </w:r>
          </w:p>
        </w:tc>
        <w:tc>
          <w:tcPr>
            <w:tcW w:w="539" w:type="pct"/>
            <w:tcBorders>
              <w:top w:val="nil"/>
              <w:left w:val="nil"/>
              <w:bottom w:val="single" w:sz="12" w:space="0" w:color="auto"/>
              <w:right w:val="nil"/>
            </w:tcBorders>
            <w:shd w:val="clear" w:color="auto" w:fill="auto"/>
            <w:vAlign w:val="bottom"/>
          </w:tcPr>
          <w:p w14:paraId="7EB3FB78" w14:textId="77777777" w:rsidR="00810F30" w:rsidRPr="00587444" w:rsidRDefault="00810F30" w:rsidP="00810F30">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587444">
              <w:rPr>
                <w:rFonts w:ascii="Arial" w:hAnsi="Arial" w:cs="Arial"/>
                <w:b/>
                <w:bCs/>
                <w:color w:val="000000"/>
                <w:sz w:val="17"/>
                <w:szCs w:val="17"/>
              </w:rPr>
              <w:t>60,552</w:t>
            </w:r>
          </w:p>
        </w:tc>
      </w:tr>
    </w:tbl>
    <w:p w14:paraId="43653849" w14:textId="77777777" w:rsidR="00FC4337" w:rsidRDefault="00FC4337" w:rsidP="00587444">
      <w:pPr>
        <w:keepNext/>
        <w:suppressAutoHyphens w:val="0"/>
        <w:autoSpaceDN/>
        <w:spacing w:before="120" w:line="300" w:lineRule="exact"/>
        <w:jc w:val="both"/>
        <w:rPr>
          <w:rFonts w:ascii="Arial" w:hAnsi="Arial" w:cs="Arial"/>
          <w:b/>
          <w:bCs/>
          <w:sz w:val="20"/>
          <w:szCs w:val="20"/>
          <w:lang w:val="hr-HR"/>
        </w:rPr>
      </w:pPr>
    </w:p>
    <w:p w14:paraId="69D09AF8" w14:textId="77777777" w:rsidR="00FC4337" w:rsidRDefault="00FC4337" w:rsidP="00587444">
      <w:pPr>
        <w:keepNext/>
        <w:suppressAutoHyphens w:val="0"/>
        <w:autoSpaceDN/>
        <w:spacing w:before="120" w:line="300" w:lineRule="exact"/>
        <w:jc w:val="both"/>
        <w:rPr>
          <w:rFonts w:ascii="Arial" w:hAnsi="Arial" w:cs="Arial"/>
          <w:b/>
          <w:bCs/>
          <w:sz w:val="20"/>
          <w:szCs w:val="20"/>
          <w:lang w:val="hr-HR"/>
        </w:rPr>
      </w:pPr>
    </w:p>
    <w:p w14:paraId="66F2105B" w14:textId="77777777" w:rsidR="00FC4337" w:rsidRDefault="00FC4337" w:rsidP="00587444">
      <w:pPr>
        <w:keepNext/>
        <w:suppressAutoHyphens w:val="0"/>
        <w:autoSpaceDN/>
        <w:spacing w:before="120" w:line="300" w:lineRule="exact"/>
        <w:jc w:val="both"/>
        <w:rPr>
          <w:rFonts w:ascii="Arial" w:hAnsi="Arial" w:cs="Arial"/>
          <w:b/>
          <w:bCs/>
          <w:sz w:val="20"/>
          <w:szCs w:val="20"/>
          <w:lang w:val="hr-HR"/>
        </w:rPr>
      </w:pPr>
    </w:p>
    <w:p w14:paraId="53D59BB9" w14:textId="77777777" w:rsidR="00F61E6E" w:rsidRPr="00891780" w:rsidRDefault="00F61E6E" w:rsidP="00FC4337">
      <w:pPr>
        <w:keepNext/>
        <w:suppressAutoHyphens w:val="0"/>
        <w:autoSpaceDN/>
        <w:spacing w:before="120" w:line="300" w:lineRule="exact"/>
        <w:jc w:val="both"/>
        <w:rPr>
          <w:rStyle w:val="Zadanifontodlomka2"/>
          <w:rFonts w:ascii="Calibri" w:hAnsi="Calibri" w:cs="Calibri"/>
          <w:b/>
          <w:bCs/>
          <w:spacing w:val="-3"/>
          <w:sz w:val="22"/>
          <w:szCs w:val="22"/>
          <w:lang w:val="en-GB"/>
        </w:rPr>
      </w:pPr>
    </w:p>
    <w:sectPr w:rsidR="00F61E6E" w:rsidRPr="00891780" w:rsidSect="00803380">
      <w:headerReference w:type="first" r:id="rId97"/>
      <w:footerReference w:type="first" r:id="rId98"/>
      <w:pgSz w:w="11907" w:h="16840"/>
      <w:pgMar w:top="1418" w:right="1134" w:bottom="1134" w:left="1418" w:header="851"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63C68" w14:textId="77777777" w:rsidR="000C1D03" w:rsidRDefault="000C1D03">
      <w:r>
        <w:separator/>
      </w:r>
    </w:p>
  </w:endnote>
  <w:endnote w:type="continuationSeparator" w:id="0">
    <w:p w14:paraId="1B7BFD81" w14:textId="77777777" w:rsidR="000C1D03" w:rsidRDefault="000C1D03">
      <w:r>
        <w:continuationSeparator/>
      </w:r>
    </w:p>
  </w:endnote>
  <w:endnote w:type="continuationNotice" w:id="1">
    <w:p w14:paraId="1BFA9B25" w14:textId="77777777" w:rsidR="000C1D03" w:rsidRDefault="000C1D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msRmn 12pt 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Times New Roman"/>
    <w:charset w:val="00"/>
    <w:family w:val="swiss"/>
    <w:pitch w:val="default"/>
    <w:sig w:usb0="00000003" w:usb1="00000000" w:usb2="00000000" w:usb3="00000000" w:csb0="00000001" w:csb1="00000000"/>
  </w:font>
  <w:font w:name="FrutigerNextPro-Light">
    <w:altName w:val="Times New Roman"/>
    <w:panose1 w:val="00000000000000000000"/>
    <w:charset w:val="4D"/>
    <w:family w:val="auto"/>
    <w:notTrueType/>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00"/>
    <w:family w:val="roman"/>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Futura Lt BT">
    <w:altName w:val="Segoe UI Semilight"/>
    <w:charset w:val="00"/>
    <w:family w:val="swiss"/>
    <w:pitch w:val="variable"/>
    <w:sig w:usb0="00000087" w:usb1="00000000" w:usb2="00000000" w:usb3="00000000" w:csb0="0000001B" w:csb1="00000000"/>
  </w:font>
  <w:font w:name="Trebuchet MS">
    <w:altName w:val="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SimHei">
    <w:altName w:val="黑体"/>
    <w:panose1 w:val="02010600030101010101"/>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D6AB" w14:textId="29BC7333" w:rsidR="00955B06" w:rsidRDefault="00054989">
    <w:pPr>
      <w:pStyle w:val="Podnoje1"/>
      <w:pBdr>
        <w:top w:val="single" w:sz="4" w:space="1" w:color="000000"/>
      </w:pBdr>
      <w:tabs>
        <w:tab w:val="clear" w:pos="4153"/>
        <w:tab w:val="clear" w:pos="8306"/>
        <w:tab w:val="left" w:pos="8916"/>
      </w:tabs>
      <w:ind w:right="4"/>
    </w:pP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rFonts w:ascii="Calibri" w:hAnsi="Calibri"/>
        <w:sz w:val="19"/>
        <w:lang w:val="pl-PL"/>
      </w:rPr>
      <w:t>5</w:t>
    </w:r>
    <w:r>
      <w:rPr>
        <w:rStyle w:val="Brojstranice1"/>
        <w:rFonts w:ascii="Calibri" w:hAnsi="Calibri"/>
        <w:sz w:val="19"/>
        <w:lang w:val="pl-PL"/>
      </w:rPr>
      <w:fldChar w:fldCharType="end"/>
    </w:r>
    <w:r>
      <w:rPr>
        <w:rStyle w:val="Brojstranice1"/>
        <w:rFonts w:ascii="Calibri" w:hAnsi="Calibri"/>
        <w:sz w:val="19"/>
        <w:lang w:val="pl-PL"/>
      </w:rPr>
      <w:t xml:space="preserve">  </w:t>
    </w:r>
    <w:r w:rsidR="00746F64" w:rsidRPr="00746F64">
      <w:rPr>
        <w:rStyle w:val="Brojstranice1"/>
        <w:rFonts w:ascii="Calibri" w:hAnsi="Calibri"/>
        <w:sz w:val="19"/>
      </w:rPr>
      <w:t>Croatian Bank for Reconstruction and Development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15E14" w14:textId="77777777" w:rsidR="00587444" w:rsidRPr="00587444" w:rsidRDefault="00587444" w:rsidP="00DD69E7">
    <w:pPr>
      <w:pStyle w:val="Footer"/>
      <w:pBdr>
        <w:top w:val="single" w:sz="4" w:space="1" w:color="auto"/>
      </w:pBdr>
      <w:tabs>
        <w:tab w:val="left" w:pos="8916"/>
      </w:tabs>
      <w:ind w:right="4"/>
      <w:rPr>
        <w:rStyle w:val="PageNumber"/>
        <w:rFonts w:ascii="Calibri" w:hAnsi="Calibri"/>
        <w:sz w:val="19"/>
      </w:rPr>
    </w:pPr>
    <w:proofErr w:type="gramStart"/>
    <w:r w:rsidRPr="00587444">
      <w:rPr>
        <w:rFonts w:ascii="Calibri" w:hAnsi="Calibri" w:cs="Arial"/>
        <w:sz w:val="19"/>
        <w:szCs w:val="19"/>
      </w:rPr>
      <w:t>76</w:t>
    </w:r>
    <w:r w:rsidRPr="00587444">
      <w:rPr>
        <w:rFonts w:ascii="Calibri" w:hAnsi="Calibri" w:cs="Arial"/>
        <w:noProof/>
        <w:sz w:val="19"/>
        <w:szCs w:val="19"/>
      </w:rPr>
      <w:t xml:space="preserve">  </w:t>
    </w:r>
    <w:r w:rsidRPr="00587444">
      <w:rPr>
        <w:rFonts w:ascii="Calibri" w:hAnsi="Calibri" w:cs="Arial"/>
        <w:sz w:val="19"/>
        <w:szCs w:val="19"/>
      </w:rPr>
      <w:t>Croatian</w:t>
    </w:r>
    <w:proofErr w:type="gramEnd"/>
    <w:r w:rsidRPr="00587444">
      <w:rPr>
        <w:rFonts w:ascii="Calibri" w:hAnsi="Calibri" w:cs="Arial"/>
        <w:sz w:val="19"/>
        <w:szCs w:val="19"/>
      </w:rPr>
      <w:t xml:space="preserve"> Bank for Reconstruction and Development</w:t>
    </w:r>
    <w:r w:rsidRPr="00587444">
      <w:rPr>
        <w:rFonts w:ascii="Calibri" w:hAnsi="Calibri" w:cs="Arial"/>
        <w:sz w:val="19"/>
        <w:szCs w:val="19"/>
      </w:rPr>
      <w:tab/>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80219" w14:textId="77777777" w:rsidR="00587444" w:rsidRPr="00587444" w:rsidRDefault="00587444" w:rsidP="00DD69E7">
    <w:pPr>
      <w:pStyle w:val="Footer"/>
      <w:pBdr>
        <w:top w:val="single" w:sz="4" w:space="1" w:color="auto"/>
      </w:pBdr>
      <w:tabs>
        <w:tab w:val="left" w:pos="8916"/>
      </w:tabs>
      <w:ind w:right="4"/>
      <w:rPr>
        <w:rStyle w:val="PageNumber"/>
        <w:rFonts w:ascii="Calibri" w:hAnsi="Calibri"/>
        <w:sz w:val="19"/>
      </w:rPr>
    </w:pPr>
    <w:proofErr w:type="gramStart"/>
    <w:r w:rsidRPr="00587444">
      <w:rPr>
        <w:rFonts w:ascii="Calibri" w:hAnsi="Calibri" w:cs="Arial"/>
        <w:sz w:val="19"/>
        <w:szCs w:val="19"/>
      </w:rPr>
      <w:t>77</w:t>
    </w:r>
    <w:r w:rsidRPr="00587444">
      <w:rPr>
        <w:rFonts w:ascii="Calibri" w:hAnsi="Calibri" w:cs="Arial"/>
        <w:noProof/>
        <w:sz w:val="19"/>
        <w:szCs w:val="19"/>
      </w:rPr>
      <w:t xml:space="preserve">  </w:t>
    </w:r>
    <w:r w:rsidRPr="00587444">
      <w:rPr>
        <w:rFonts w:ascii="Calibri" w:hAnsi="Calibri" w:cs="Arial"/>
        <w:sz w:val="19"/>
        <w:szCs w:val="19"/>
      </w:rPr>
      <w:t>Croatian</w:t>
    </w:r>
    <w:proofErr w:type="gramEnd"/>
    <w:r w:rsidRPr="00587444">
      <w:rPr>
        <w:rFonts w:ascii="Calibri" w:hAnsi="Calibri" w:cs="Arial"/>
        <w:sz w:val="19"/>
        <w:szCs w:val="19"/>
      </w:rPr>
      <w:t xml:space="preserve"> Bank for Reconstruction and Development</w:t>
    </w:r>
    <w:r w:rsidRPr="00587444">
      <w:rPr>
        <w:rFonts w:ascii="Calibri" w:hAnsi="Calibri" w:cs="Arial"/>
        <w:sz w:val="19"/>
        <w:szCs w:val="19"/>
      </w:rPr>
      <w:tab/>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97EF0" w14:textId="77777777" w:rsidR="00587444" w:rsidRPr="00587444" w:rsidRDefault="00587444" w:rsidP="00DD69E7">
    <w:pPr>
      <w:pStyle w:val="Footer"/>
      <w:pBdr>
        <w:top w:val="single" w:sz="4" w:space="1" w:color="auto"/>
      </w:pBdr>
      <w:tabs>
        <w:tab w:val="left" w:pos="8916"/>
      </w:tabs>
      <w:ind w:right="4"/>
      <w:rPr>
        <w:rStyle w:val="PageNumber"/>
        <w:rFonts w:ascii="Calibri" w:hAnsi="Calibri"/>
        <w:sz w:val="19"/>
      </w:rPr>
    </w:pPr>
    <w:proofErr w:type="gramStart"/>
    <w:r w:rsidRPr="00587444">
      <w:rPr>
        <w:rFonts w:ascii="Calibri" w:hAnsi="Calibri" w:cs="Arial"/>
        <w:sz w:val="19"/>
        <w:szCs w:val="19"/>
      </w:rPr>
      <w:t>78</w:t>
    </w:r>
    <w:r w:rsidRPr="00587444">
      <w:rPr>
        <w:rFonts w:ascii="Calibri" w:hAnsi="Calibri" w:cs="Arial"/>
        <w:noProof/>
        <w:sz w:val="19"/>
        <w:szCs w:val="19"/>
      </w:rPr>
      <w:t xml:space="preserve">  </w:t>
    </w:r>
    <w:r w:rsidRPr="00587444">
      <w:rPr>
        <w:rFonts w:ascii="Calibri" w:hAnsi="Calibri" w:cs="Arial"/>
        <w:sz w:val="19"/>
        <w:szCs w:val="19"/>
      </w:rPr>
      <w:t>Croatian</w:t>
    </w:r>
    <w:proofErr w:type="gramEnd"/>
    <w:r w:rsidRPr="00587444">
      <w:rPr>
        <w:rFonts w:ascii="Calibri" w:hAnsi="Calibri" w:cs="Arial"/>
        <w:sz w:val="19"/>
        <w:szCs w:val="19"/>
      </w:rPr>
      <w:t xml:space="preserve"> Bank for Reconstruction and Development</w:t>
    </w:r>
    <w:r w:rsidRPr="00587444">
      <w:rPr>
        <w:rFonts w:ascii="Calibri" w:hAnsi="Calibri" w:cs="Arial"/>
        <w:sz w:val="19"/>
        <w:szCs w:val="19"/>
      </w:rPr>
      <w:tab/>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B8E62" w14:textId="77777777" w:rsidR="00587444" w:rsidRPr="00587444" w:rsidRDefault="00587444" w:rsidP="00DD69E7">
    <w:pPr>
      <w:pStyle w:val="Footer"/>
      <w:pBdr>
        <w:top w:val="single" w:sz="4" w:space="1" w:color="auto"/>
      </w:pBdr>
      <w:tabs>
        <w:tab w:val="left" w:pos="8916"/>
      </w:tabs>
      <w:ind w:right="4"/>
      <w:rPr>
        <w:rStyle w:val="PageNumber"/>
        <w:rFonts w:ascii="Calibri" w:hAnsi="Calibri"/>
        <w:sz w:val="19"/>
      </w:rPr>
    </w:pPr>
    <w:proofErr w:type="gramStart"/>
    <w:r w:rsidRPr="00587444">
      <w:rPr>
        <w:rFonts w:ascii="Calibri" w:hAnsi="Calibri" w:cs="Arial"/>
        <w:sz w:val="19"/>
        <w:szCs w:val="19"/>
      </w:rPr>
      <w:t>79</w:t>
    </w:r>
    <w:r w:rsidRPr="00587444">
      <w:rPr>
        <w:rFonts w:ascii="Calibri" w:hAnsi="Calibri" w:cs="Arial"/>
        <w:noProof/>
        <w:sz w:val="19"/>
        <w:szCs w:val="19"/>
      </w:rPr>
      <w:t xml:space="preserve">  </w:t>
    </w:r>
    <w:r w:rsidRPr="00587444">
      <w:rPr>
        <w:rFonts w:ascii="Calibri" w:hAnsi="Calibri" w:cs="Arial"/>
        <w:sz w:val="19"/>
        <w:szCs w:val="19"/>
      </w:rPr>
      <w:t>Croatian</w:t>
    </w:r>
    <w:proofErr w:type="gramEnd"/>
    <w:r w:rsidRPr="00587444">
      <w:rPr>
        <w:rFonts w:ascii="Calibri" w:hAnsi="Calibri" w:cs="Arial"/>
        <w:sz w:val="19"/>
        <w:szCs w:val="19"/>
      </w:rPr>
      <w:t xml:space="preserve"> Bank for Reconstruction and Development</w:t>
    </w:r>
    <w:r w:rsidRPr="00587444">
      <w:rPr>
        <w:rFonts w:ascii="Calibri" w:hAnsi="Calibri" w:cs="Arial"/>
        <w:sz w:val="19"/>
        <w:szCs w:val="19"/>
      </w:rPr>
      <w:tab/>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04320" w14:textId="77777777" w:rsidR="00587444" w:rsidRPr="00F35950" w:rsidRDefault="00587444" w:rsidP="00DD69E7">
    <w:pPr>
      <w:pStyle w:val="Footer"/>
      <w:pBdr>
        <w:top w:val="single" w:sz="4" w:space="1" w:color="auto"/>
      </w:pBdr>
      <w:tabs>
        <w:tab w:val="left" w:pos="8916"/>
      </w:tabs>
      <w:ind w:right="4"/>
      <w:rPr>
        <w:rStyle w:val="PageNumber"/>
        <w:rFonts w:ascii="Calibri" w:hAnsi="Calibri" w:cs="Calibri"/>
        <w:lang w:val="pl-PL"/>
      </w:rPr>
    </w:pPr>
    <w:r w:rsidRPr="00587444">
      <w:rPr>
        <w:rStyle w:val="PageNumber"/>
        <w:rFonts w:ascii="Calibri" w:hAnsi="Calibri"/>
        <w:sz w:val="19"/>
        <w:lang w:val="pl-PL"/>
      </w:rPr>
      <w:fldChar w:fldCharType="begin"/>
    </w:r>
    <w:r w:rsidRPr="00587444">
      <w:rPr>
        <w:rStyle w:val="PageNumber"/>
        <w:rFonts w:ascii="Calibri" w:hAnsi="Calibri"/>
        <w:sz w:val="19"/>
        <w:lang w:val="pl-PL"/>
      </w:rPr>
      <w:instrText xml:space="preserve"> PAGE   \* MERGEFORMAT </w:instrText>
    </w:r>
    <w:r w:rsidRPr="00587444">
      <w:rPr>
        <w:rStyle w:val="PageNumber"/>
        <w:rFonts w:ascii="Calibri" w:hAnsi="Calibri"/>
        <w:sz w:val="19"/>
        <w:lang w:val="pl-PL"/>
      </w:rPr>
      <w:fldChar w:fldCharType="separate"/>
    </w:r>
    <w:r w:rsidRPr="00587444">
      <w:rPr>
        <w:rStyle w:val="PageNumber"/>
        <w:rFonts w:ascii="Calibri" w:hAnsi="Calibri"/>
        <w:sz w:val="19"/>
        <w:lang w:val="pl-PL"/>
      </w:rPr>
      <w:t>81</w:t>
    </w:r>
    <w:r w:rsidRPr="00587444">
      <w:rPr>
        <w:rStyle w:val="PageNumber"/>
        <w:rFonts w:ascii="Calibri" w:hAnsi="Calibri"/>
        <w:noProof/>
        <w:sz w:val="19"/>
        <w:lang w:val="pl-PL"/>
      </w:rPr>
      <w:fldChar w:fldCharType="end"/>
    </w:r>
    <w:r w:rsidRPr="00587444">
      <w:rPr>
        <w:rStyle w:val="PageNumber"/>
        <w:rFonts w:ascii="Calibri" w:hAnsi="Calibri"/>
        <w:noProof/>
        <w:sz w:val="19"/>
        <w:lang w:val="pl-PL"/>
      </w:rPr>
      <w:t xml:space="preserve">  </w:t>
    </w:r>
    <w:r w:rsidRPr="00587444">
      <w:rPr>
        <w:rStyle w:val="PageNumber"/>
        <w:rFonts w:ascii="Calibri" w:hAnsi="Calibri"/>
        <w:sz w:val="19"/>
        <w:lang w:val="pl-PL"/>
      </w:rPr>
      <w:t>Croatian Bank for Reconstruction and Development</w:t>
    </w:r>
    <w:r w:rsidRPr="00587444">
      <w:rPr>
        <w:rFonts w:ascii="Calibri" w:hAnsi="Calibri" w:cs="Arial"/>
        <w:sz w:val="19"/>
        <w:szCs w:val="19"/>
      </w:rPr>
      <w:tab/>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A9DA5" w14:textId="77777777" w:rsidR="00587444" w:rsidRPr="00587444" w:rsidRDefault="00587444" w:rsidP="00DD69E7">
    <w:pPr>
      <w:pStyle w:val="Footer"/>
      <w:pBdr>
        <w:top w:val="single" w:sz="4" w:space="1" w:color="auto"/>
      </w:pBdr>
      <w:tabs>
        <w:tab w:val="left" w:pos="8916"/>
      </w:tabs>
      <w:ind w:right="4"/>
      <w:rPr>
        <w:rStyle w:val="PageNumber"/>
        <w:rFonts w:ascii="Calibri" w:hAnsi="Calibri"/>
        <w:sz w:val="19"/>
      </w:rPr>
    </w:pPr>
    <w:r w:rsidRPr="00587444">
      <w:rPr>
        <w:rFonts w:ascii="Calibri" w:hAnsi="Calibri" w:cs="Arial"/>
        <w:sz w:val="19"/>
        <w:szCs w:val="19"/>
      </w:rPr>
      <w:fldChar w:fldCharType="begin"/>
    </w:r>
    <w:r w:rsidRPr="00587444">
      <w:rPr>
        <w:rFonts w:ascii="Calibri" w:hAnsi="Calibri" w:cs="Arial"/>
        <w:sz w:val="19"/>
        <w:szCs w:val="19"/>
      </w:rPr>
      <w:instrText xml:space="preserve"> PAGE   \* MERGEFORMAT </w:instrText>
    </w:r>
    <w:r w:rsidRPr="00587444">
      <w:rPr>
        <w:rFonts w:ascii="Calibri" w:hAnsi="Calibri" w:cs="Arial"/>
        <w:sz w:val="19"/>
        <w:szCs w:val="19"/>
      </w:rPr>
      <w:fldChar w:fldCharType="separate"/>
    </w:r>
    <w:r w:rsidRPr="00587444">
      <w:rPr>
        <w:rFonts w:ascii="Calibri" w:hAnsi="Calibri" w:cs="Arial"/>
        <w:sz w:val="19"/>
        <w:szCs w:val="19"/>
      </w:rPr>
      <w:t>32</w:t>
    </w:r>
    <w:r w:rsidRPr="00587444">
      <w:rPr>
        <w:rFonts w:ascii="Calibri" w:hAnsi="Calibri" w:cs="Arial"/>
        <w:noProof/>
        <w:sz w:val="19"/>
        <w:szCs w:val="19"/>
      </w:rPr>
      <w:fldChar w:fldCharType="end"/>
    </w:r>
    <w:r w:rsidRPr="00587444">
      <w:rPr>
        <w:rFonts w:ascii="Calibri" w:hAnsi="Calibri" w:cs="Arial"/>
        <w:noProof/>
        <w:sz w:val="19"/>
        <w:szCs w:val="19"/>
      </w:rPr>
      <w:t xml:space="preserve">  </w:t>
    </w:r>
    <w:r w:rsidRPr="00587444">
      <w:rPr>
        <w:rFonts w:ascii="Calibri" w:hAnsi="Calibri" w:cs="Arial"/>
        <w:sz w:val="19"/>
        <w:szCs w:val="19"/>
      </w:rPr>
      <w:t>Croatian Bank for Reconstruction and Development</w:t>
    </w:r>
    <w:r w:rsidRPr="00587444">
      <w:rPr>
        <w:rFonts w:ascii="Calibri" w:hAnsi="Calibri" w:cs="Arial"/>
        <w:sz w:val="19"/>
        <w:szCs w:val="19"/>
      </w:rPr>
      <w:tab/>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6CF7" w14:textId="77777777" w:rsidR="00587444" w:rsidRPr="00587444" w:rsidRDefault="00587444" w:rsidP="00DD69E7">
    <w:pPr>
      <w:pStyle w:val="Footer"/>
      <w:pBdr>
        <w:top w:val="single" w:sz="4" w:space="1" w:color="auto"/>
      </w:pBdr>
      <w:tabs>
        <w:tab w:val="left" w:pos="8916"/>
      </w:tabs>
      <w:ind w:right="4"/>
      <w:rPr>
        <w:rStyle w:val="PageNumber"/>
        <w:rFonts w:ascii="Calibri" w:hAnsi="Calibri"/>
        <w:sz w:val="19"/>
      </w:rPr>
    </w:pPr>
    <w:r w:rsidRPr="00587444">
      <w:rPr>
        <w:rFonts w:ascii="Calibri" w:hAnsi="Calibri" w:cs="Arial"/>
        <w:sz w:val="19"/>
        <w:szCs w:val="19"/>
      </w:rPr>
      <w:fldChar w:fldCharType="begin"/>
    </w:r>
    <w:r w:rsidRPr="00587444">
      <w:rPr>
        <w:rFonts w:ascii="Calibri" w:hAnsi="Calibri" w:cs="Arial"/>
        <w:sz w:val="19"/>
        <w:szCs w:val="19"/>
      </w:rPr>
      <w:instrText xml:space="preserve"> PAGE   \* MERGEFORMAT </w:instrText>
    </w:r>
    <w:r w:rsidRPr="00587444">
      <w:rPr>
        <w:rFonts w:ascii="Calibri" w:hAnsi="Calibri" w:cs="Arial"/>
        <w:sz w:val="19"/>
        <w:szCs w:val="19"/>
      </w:rPr>
      <w:fldChar w:fldCharType="separate"/>
    </w:r>
    <w:r w:rsidRPr="00587444">
      <w:rPr>
        <w:rFonts w:ascii="Calibri" w:hAnsi="Calibri" w:cs="Arial"/>
        <w:sz w:val="19"/>
        <w:szCs w:val="19"/>
      </w:rPr>
      <w:t>50</w:t>
    </w:r>
    <w:r w:rsidRPr="00587444">
      <w:rPr>
        <w:rFonts w:ascii="Calibri" w:hAnsi="Calibri" w:cs="Arial"/>
        <w:noProof/>
        <w:sz w:val="19"/>
        <w:szCs w:val="19"/>
      </w:rPr>
      <w:fldChar w:fldCharType="end"/>
    </w:r>
    <w:r w:rsidRPr="00587444">
      <w:rPr>
        <w:rFonts w:ascii="Calibri" w:hAnsi="Calibri" w:cs="Arial"/>
        <w:noProof/>
        <w:sz w:val="19"/>
        <w:szCs w:val="19"/>
      </w:rPr>
      <w:t xml:space="preserve">  </w:t>
    </w:r>
    <w:r w:rsidRPr="00587444">
      <w:rPr>
        <w:rFonts w:ascii="Calibri" w:hAnsi="Calibri" w:cs="Arial"/>
        <w:sz w:val="19"/>
        <w:szCs w:val="19"/>
      </w:rPr>
      <w:t>Croatian Bank for Reconstruction and Development</w:t>
    </w:r>
    <w:r w:rsidRPr="00587444">
      <w:rPr>
        <w:rFonts w:ascii="Calibri" w:hAnsi="Calibri" w:cs="Arial"/>
        <w:sz w:val="19"/>
        <w:szCs w:val="19"/>
      </w:rPr>
      <w:tab/>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FB806" w14:textId="77777777" w:rsidR="00587444" w:rsidRPr="00587444" w:rsidRDefault="00587444" w:rsidP="00DD69E7">
    <w:pPr>
      <w:pStyle w:val="Footer"/>
      <w:pBdr>
        <w:top w:val="single" w:sz="4" w:space="1" w:color="auto"/>
      </w:pBdr>
      <w:tabs>
        <w:tab w:val="left" w:pos="8916"/>
      </w:tabs>
      <w:ind w:right="4"/>
      <w:rPr>
        <w:rStyle w:val="PageNumber"/>
        <w:rFonts w:ascii="Calibri" w:hAnsi="Calibri"/>
        <w:sz w:val="19"/>
      </w:rPr>
    </w:pPr>
    <w:r w:rsidRPr="00587444">
      <w:rPr>
        <w:rFonts w:ascii="Calibri" w:hAnsi="Calibri" w:cs="Arial"/>
        <w:sz w:val="19"/>
        <w:szCs w:val="19"/>
      </w:rPr>
      <w:fldChar w:fldCharType="begin"/>
    </w:r>
    <w:r w:rsidRPr="00587444">
      <w:rPr>
        <w:rFonts w:ascii="Calibri" w:hAnsi="Calibri" w:cs="Arial"/>
        <w:sz w:val="19"/>
        <w:szCs w:val="19"/>
      </w:rPr>
      <w:instrText xml:space="preserve"> PAGE   \* MERGEFORMAT </w:instrText>
    </w:r>
    <w:r w:rsidRPr="00587444">
      <w:rPr>
        <w:rFonts w:ascii="Calibri" w:hAnsi="Calibri" w:cs="Arial"/>
        <w:sz w:val="19"/>
        <w:szCs w:val="19"/>
      </w:rPr>
      <w:fldChar w:fldCharType="separate"/>
    </w:r>
    <w:r w:rsidRPr="00587444">
      <w:rPr>
        <w:rFonts w:ascii="Calibri" w:hAnsi="Calibri" w:cs="Arial"/>
        <w:sz w:val="19"/>
        <w:szCs w:val="19"/>
      </w:rPr>
      <w:t>54</w:t>
    </w:r>
    <w:r w:rsidRPr="00587444">
      <w:rPr>
        <w:rFonts w:ascii="Calibri" w:hAnsi="Calibri" w:cs="Arial"/>
        <w:noProof/>
        <w:sz w:val="19"/>
        <w:szCs w:val="19"/>
      </w:rPr>
      <w:fldChar w:fldCharType="end"/>
    </w:r>
    <w:r w:rsidRPr="00587444">
      <w:rPr>
        <w:rFonts w:ascii="Calibri" w:hAnsi="Calibri" w:cs="Arial"/>
        <w:noProof/>
        <w:sz w:val="19"/>
        <w:szCs w:val="19"/>
      </w:rPr>
      <w:t xml:space="preserve">  </w:t>
    </w:r>
    <w:r w:rsidRPr="00587444">
      <w:rPr>
        <w:rFonts w:ascii="Calibri" w:hAnsi="Calibri" w:cs="Arial"/>
        <w:sz w:val="19"/>
        <w:szCs w:val="19"/>
      </w:rPr>
      <w:t>Croatian Bank for Reconstruction and Development</w:t>
    </w:r>
    <w:r w:rsidRPr="00587444">
      <w:rPr>
        <w:rFonts w:ascii="Calibri" w:hAnsi="Calibri" w:cs="Arial"/>
        <w:sz w:val="19"/>
        <w:szCs w:val="19"/>
      </w:rPr>
      <w:tab/>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B9798" w14:textId="77777777" w:rsidR="000D4278" w:rsidRPr="00587444" w:rsidRDefault="000D4278" w:rsidP="000D4278">
    <w:pPr>
      <w:pStyle w:val="Footer"/>
      <w:pBdr>
        <w:top w:val="single" w:sz="4" w:space="1" w:color="auto"/>
      </w:pBdr>
      <w:tabs>
        <w:tab w:val="left" w:pos="8916"/>
      </w:tabs>
      <w:ind w:right="4"/>
      <w:rPr>
        <w:rStyle w:val="PageNumber"/>
        <w:rFonts w:ascii="Calibri" w:hAnsi="Calibri"/>
        <w:sz w:val="19"/>
      </w:rPr>
    </w:pPr>
    <w:r w:rsidRPr="00587444">
      <w:rPr>
        <w:rFonts w:ascii="Calibri" w:hAnsi="Calibri" w:cs="Arial"/>
        <w:sz w:val="19"/>
        <w:szCs w:val="19"/>
      </w:rPr>
      <w:fldChar w:fldCharType="begin"/>
    </w:r>
    <w:r w:rsidRPr="00587444">
      <w:rPr>
        <w:rFonts w:ascii="Calibri" w:hAnsi="Calibri" w:cs="Arial"/>
        <w:sz w:val="19"/>
        <w:szCs w:val="19"/>
      </w:rPr>
      <w:instrText xml:space="preserve"> PAGE   \* MERGEFORMAT </w:instrText>
    </w:r>
    <w:r w:rsidRPr="00587444">
      <w:rPr>
        <w:rFonts w:ascii="Calibri" w:hAnsi="Calibri" w:cs="Arial"/>
        <w:sz w:val="19"/>
        <w:szCs w:val="19"/>
      </w:rPr>
      <w:fldChar w:fldCharType="separate"/>
    </w:r>
    <w:r>
      <w:rPr>
        <w:rFonts w:ascii="Calibri" w:hAnsi="Calibri" w:cs="Arial"/>
        <w:sz w:val="19"/>
        <w:szCs w:val="19"/>
      </w:rPr>
      <w:t>165</w:t>
    </w:r>
    <w:r w:rsidRPr="00587444">
      <w:rPr>
        <w:rFonts w:ascii="Calibri" w:hAnsi="Calibri" w:cs="Arial"/>
        <w:noProof/>
        <w:sz w:val="19"/>
        <w:szCs w:val="19"/>
      </w:rPr>
      <w:fldChar w:fldCharType="end"/>
    </w:r>
    <w:r w:rsidRPr="00587444">
      <w:rPr>
        <w:rFonts w:ascii="Calibri" w:hAnsi="Calibri" w:cs="Arial"/>
        <w:noProof/>
        <w:sz w:val="19"/>
        <w:szCs w:val="19"/>
      </w:rPr>
      <w:t xml:space="preserve">  </w:t>
    </w:r>
    <w:r w:rsidRPr="00587444">
      <w:rPr>
        <w:rFonts w:ascii="Calibri" w:hAnsi="Calibri" w:cs="Arial"/>
        <w:sz w:val="19"/>
        <w:szCs w:val="19"/>
      </w:rPr>
      <w:t>Croatian Bank for Reconstruction and Development</w:t>
    </w:r>
    <w:r w:rsidRPr="00587444">
      <w:rPr>
        <w:rFonts w:ascii="Calibri" w:hAnsi="Calibri" w:cs="Arial"/>
        <w:sz w:val="19"/>
        <w:szCs w:val="19"/>
      </w:rPr>
      <w:tab/>
      <w:t xml:space="preserve">   </w:t>
    </w:r>
  </w:p>
  <w:p w14:paraId="2DC889DC" w14:textId="206357CB" w:rsidR="000D4278" w:rsidRPr="00DB0E5A" w:rsidRDefault="000D4278" w:rsidP="00E76387">
    <w:pPr>
      <w:pStyle w:val="Footer"/>
      <w:rPr>
        <w:rFonts w:ascii="Calibri" w:hAnsi="Calibri"/>
        <w:sz w:val="19"/>
      </w:rPr>
    </w:pPr>
    <w:r w:rsidRPr="00E76387">
      <w:rPr>
        <w:color w:val="FFFFFF" w:themeColor="background1"/>
      </w:rPr>
      <w:t>for Reconstruction and Development</w:t>
    </w:r>
    <w:r w:rsidRPr="00E76387">
      <w:tab/>
    </w:r>
    <w:r w:rsidRPr="00587444">
      <w:rPr>
        <w:rFonts w:ascii="Calibri" w:hAnsi="Calibri" w:cs="Arial"/>
        <w:sz w:val="19"/>
        <w:szCs w:val="19"/>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BA312" w14:textId="77777777" w:rsidR="00587444" w:rsidRPr="00587444" w:rsidRDefault="00587444" w:rsidP="00DD69E7">
    <w:pPr>
      <w:pStyle w:val="Footer"/>
      <w:pBdr>
        <w:top w:val="single" w:sz="4" w:space="1" w:color="auto"/>
      </w:pBdr>
      <w:ind w:right="283"/>
      <w:rPr>
        <w:rFonts w:ascii="Calibri" w:hAnsi="Calibri"/>
        <w:sz w:val="19"/>
      </w:rPr>
    </w:pPr>
    <w:r w:rsidRPr="00587444">
      <w:rPr>
        <w:rFonts w:ascii="Calibri" w:hAnsi="Calibri" w:cs="Arial"/>
        <w:sz w:val="19"/>
        <w:szCs w:val="19"/>
      </w:rPr>
      <w:fldChar w:fldCharType="begin"/>
    </w:r>
    <w:r w:rsidRPr="00587444">
      <w:rPr>
        <w:rFonts w:ascii="Calibri" w:hAnsi="Calibri" w:cs="Arial"/>
        <w:sz w:val="19"/>
        <w:szCs w:val="19"/>
      </w:rPr>
      <w:instrText xml:space="preserve"> PAGE   \* MERGEFORMAT </w:instrText>
    </w:r>
    <w:r w:rsidRPr="00587444">
      <w:rPr>
        <w:rFonts w:ascii="Calibri" w:hAnsi="Calibri" w:cs="Arial"/>
        <w:sz w:val="19"/>
        <w:szCs w:val="19"/>
      </w:rPr>
      <w:fldChar w:fldCharType="separate"/>
    </w:r>
    <w:r w:rsidRPr="00587444">
      <w:rPr>
        <w:rFonts w:ascii="Calibri" w:hAnsi="Calibri" w:cs="Arial"/>
        <w:noProof/>
        <w:sz w:val="19"/>
        <w:szCs w:val="19"/>
      </w:rPr>
      <w:t>1</w:t>
    </w:r>
    <w:r w:rsidRPr="00587444">
      <w:rPr>
        <w:rFonts w:ascii="Calibri" w:hAnsi="Calibri" w:cs="Arial"/>
        <w:noProof/>
        <w:sz w:val="19"/>
        <w:szCs w:val="19"/>
      </w:rPr>
      <w:fldChar w:fldCharType="end"/>
    </w:r>
    <w:r w:rsidRPr="00587444">
      <w:rPr>
        <w:rFonts w:ascii="Calibri" w:hAnsi="Calibri" w:cs="Arial"/>
        <w:sz w:val="19"/>
        <w:szCs w:val="19"/>
      </w:rPr>
      <w:t xml:space="preserve">  Croatian Bank for Reconstruction and Development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AB32" w14:textId="77777777" w:rsidR="00816931" w:rsidRDefault="00DB0E5A" w:rsidP="00E76387">
    <w:pPr>
      <w:pStyle w:val="Footer"/>
      <w:rPr>
        <w:color w:val="FFFFFF" w:themeColor="background1"/>
      </w:rPr>
    </w:pPr>
    <w:r w:rsidRPr="00E76387">
      <w:rPr>
        <w:color w:val="FFFFFF" w:themeColor="background1"/>
      </w:rPr>
      <w:fldChar w:fldCharType="begin"/>
    </w:r>
    <w:r w:rsidRPr="00E76387">
      <w:rPr>
        <w:color w:val="FFFFFF" w:themeColor="background1"/>
      </w:rPr>
      <w:instrText xml:space="preserve"> PAGE   \* MERGEFORMAT </w:instrText>
    </w:r>
    <w:r w:rsidRPr="00E76387">
      <w:rPr>
        <w:color w:val="FFFFFF" w:themeColor="background1"/>
      </w:rPr>
      <w:fldChar w:fldCharType="separate"/>
    </w:r>
    <w:r w:rsidRPr="00E76387">
      <w:rPr>
        <w:color w:val="FFFFFF" w:themeColor="background1"/>
      </w:rPr>
      <w:t>165</w:t>
    </w:r>
    <w:r w:rsidRPr="00E76387">
      <w:rPr>
        <w:color w:val="FFFFFF" w:themeColor="background1"/>
      </w:rPr>
      <w:fldChar w:fldCharType="end"/>
    </w:r>
    <w:r w:rsidRPr="00E76387">
      <w:rPr>
        <w:color w:val="FFFFFF" w:themeColor="background1"/>
      </w:rPr>
      <w:t xml:space="preserve">  Croatian Ba</w:t>
    </w:r>
  </w:p>
  <w:p w14:paraId="0AC14661" w14:textId="175ECD5A" w:rsidR="00DB0E5A" w:rsidRPr="00DB0E5A" w:rsidRDefault="00DB0E5A" w:rsidP="00E76387">
    <w:pPr>
      <w:pStyle w:val="Footer"/>
      <w:rPr>
        <w:rFonts w:ascii="Calibri" w:hAnsi="Calibri"/>
        <w:sz w:val="19"/>
      </w:rPr>
    </w:pPr>
    <w:proofErr w:type="spellStart"/>
    <w:r w:rsidRPr="00E76387">
      <w:rPr>
        <w:color w:val="FFFFFF" w:themeColor="background1"/>
      </w:rPr>
      <w:t>nk</w:t>
    </w:r>
    <w:proofErr w:type="spellEnd"/>
    <w:r w:rsidRPr="00E76387">
      <w:rPr>
        <w:color w:val="FFFFFF" w:themeColor="background1"/>
      </w:rPr>
      <w:t xml:space="preserve"> for Reconstruction and Development</w:t>
    </w:r>
    <w:r w:rsidRPr="00E76387">
      <w:tab/>
    </w:r>
    <w:r w:rsidRPr="00587444">
      <w:rPr>
        <w:rFonts w:ascii="Calibri" w:hAnsi="Calibri" w:cs="Arial"/>
        <w:sz w:val="19"/>
        <w:szCs w:val="19"/>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AA2D9" w14:textId="77777777" w:rsidR="00587444" w:rsidRPr="00587444" w:rsidRDefault="00587444" w:rsidP="00DD69E7">
    <w:pPr>
      <w:pStyle w:val="Footer"/>
      <w:pBdr>
        <w:top w:val="single" w:sz="4" w:space="1" w:color="auto"/>
      </w:pBdr>
      <w:ind w:right="283"/>
      <w:rPr>
        <w:rFonts w:ascii="Calibri" w:hAnsi="Calibri"/>
        <w:sz w:val="19"/>
      </w:rPr>
    </w:pPr>
    <w:r w:rsidRPr="00587444">
      <w:rPr>
        <w:rFonts w:ascii="Calibri" w:hAnsi="Calibri" w:cs="Arial"/>
        <w:sz w:val="19"/>
        <w:szCs w:val="19"/>
      </w:rPr>
      <w:fldChar w:fldCharType="begin"/>
    </w:r>
    <w:r w:rsidRPr="00587444">
      <w:rPr>
        <w:rFonts w:ascii="Calibri" w:hAnsi="Calibri" w:cs="Arial"/>
        <w:sz w:val="19"/>
        <w:szCs w:val="19"/>
      </w:rPr>
      <w:instrText xml:space="preserve"> PAGE   \* MERGEFORMAT </w:instrText>
    </w:r>
    <w:r w:rsidRPr="00587444">
      <w:rPr>
        <w:rFonts w:ascii="Calibri" w:hAnsi="Calibri" w:cs="Arial"/>
        <w:sz w:val="19"/>
        <w:szCs w:val="19"/>
      </w:rPr>
      <w:fldChar w:fldCharType="separate"/>
    </w:r>
    <w:r w:rsidRPr="00587444">
      <w:rPr>
        <w:rFonts w:ascii="Calibri" w:hAnsi="Calibri" w:cs="Arial"/>
        <w:noProof/>
        <w:sz w:val="19"/>
        <w:szCs w:val="19"/>
      </w:rPr>
      <w:t>1</w:t>
    </w:r>
    <w:r w:rsidRPr="00587444">
      <w:rPr>
        <w:rFonts w:ascii="Calibri" w:hAnsi="Calibri" w:cs="Arial"/>
        <w:noProof/>
        <w:sz w:val="19"/>
        <w:szCs w:val="19"/>
      </w:rPr>
      <w:fldChar w:fldCharType="end"/>
    </w:r>
    <w:r w:rsidRPr="00587444">
      <w:rPr>
        <w:rFonts w:ascii="Calibri" w:hAnsi="Calibri" w:cs="Arial"/>
        <w:sz w:val="19"/>
        <w:szCs w:val="19"/>
      </w:rPr>
      <w:t xml:space="preserve">  Croatian Bank for Reconstruction and Development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1CA15" w14:textId="77777777" w:rsidR="00587444" w:rsidRPr="00587444" w:rsidRDefault="00587444" w:rsidP="00DD69E7">
    <w:pPr>
      <w:pStyle w:val="Footer"/>
      <w:pBdr>
        <w:top w:val="single" w:sz="4" w:space="1" w:color="auto"/>
      </w:pBdr>
      <w:ind w:right="283"/>
      <w:rPr>
        <w:rFonts w:ascii="Calibri" w:hAnsi="Calibri"/>
        <w:sz w:val="19"/>
      </w:rPr>
    </w:pPr>
    <w:r w:rsidRPr="00587444">
      <w:rPr>
        <w:rFonts w:ascii="Calibri" w:hAnsi="Calibri" w:cs="Arial"/>
        <w:sz w:val="19"/>
        <w:szCs w:val="19"/>
      </w:rPr>
      <w:fldChar w:fldCharType="begin"/>
    </w:r>
    <w:r w:rsidRPr="00587444">
      <w:rPr>
        <w:rFonts w:ascii="Calibri" w:hAnsi="Calibri" w:cs="Arial"/>
        <w:sz w:val="19"/>
        <w:szCs w:val="19"/>
      </w:rPr>
      <w:instrText xml:space="preserve"> PAGE   \* MERGEFORMAT </w:instrText>
    </w:r>
    <w:r w:rsidRPr="00587444">
      <w:rPr>
        <w:rFonts w:ascii="Calibri" w:hAnsi="Calibri" w:cs="Arial"/>
        <w:sz w:val="19"/>
        <w:szCs w:val="19"/>
      </w:rPr>
      <w:fldChar w:fldCharType="separate"/>
    </w:r>
    <w:r w:rsidRPr="00587444">
      <w:rPr>
        <w:rFonts w:ascii="Calibri" w:hAnsi="Calibri" w:cs="Arial"/>
        <w:noProof/>
        <w:sz w:val="19"/>
        <w:szCs w:val="19"/>
      </w:rPr>
      <w:t>1</w:t>
    </w:r>
    <w:r w:rsidRPr="00587444">
      <w:rPr>
        <w:rFonts w:ascii="Calibri" w:hAnsi="Calibri" w:cs="Arial"/>
        <w:noProof/>
        <w:sz w:val="19"/>
        <w:szCs w:val="19"/>
      </w:rPr>
      <w:fldChar w:fldCharType="end"/>
    </w:r>
    <w:r w:rsidRPr="00587444">
      <w:rPr>
        <w:rFonts w:ascii="Calibri" w:hAnsi="Calibri" w:cs="Arial"/>
        <w:sz w:val="19"/>
        <w:szCs w:val="19"/>
      </w:rPr>
      <w:t xml:space="preserve">  Croatian Bank for Reconstruction and Development</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488B8" w14:textId="77777777" w:rsidR="00587444" w:rsidRPr="00587444" w:rsidRDefault="00587444" w:rsidP="00DD69E7">
    <w:pPr>
      <w:pStyle w:val="Footer"/>
      <w:pBdr>
        <w:top w:val="single" w:sz="4" w:space="1" w:color="auto"/>
      </w:pBdr>
      <w:ind w:right="283"/>
      <w:rPr>
        <w:rFonts w:ascii="Calibri" w:hAnsi="Calibri"/>
        <w:sz w:val="19"/>
      </w:rPr>
    </w:pPr>
    <w:r w:rsidRPr="00587444">
      <w:rPr>
        <w:rFonts w:ascii="Calibri" w:hAnsi="Calibri" w:cs="Arial"/>
        <w:sz w:val="19"/>
        <w:szCs w:val="19"/>
      </w:rPr>
      <w:fldChar w:fldCharType="begin"/>
    </w:r>
    <w:r w:rsidRPr="00587444">
      <w:rPr>
        <w:rFonts w:ascii="Calibri" w:hAnsi="Calibri" w:cs="Arial"/>
        <w:sz w:val="19"/>
        <w:szCs w:val="19"/>
      </w:rPr>
      <w:instrText xml:space="preserve"> PAGE   \* MERGEFORMAT </w:instrText>
    </w:r>
    <w:r w:rsidRPr="00587444">
      <w:rPr>
        <w:rFonts w:ascii="Calibri" w:hAnsi="Calibri" w:cs="Arial"/>
        <w:sz w:val="19"/>
        <w:szCs w:val="19"/>
      </w:rPr>
      <w:fldChar w:fldCharType="separate"/>
    </w:r>
    <w:r w:rsidRPr="00587444">
      <w:rPr>
        <w:rFonts w:ascii="Calibri" w:hAnsi="Calibri" w:cs="Arial"/>
        <w:noProof/>
        <w:sz w:val="19"/>
        <w:szCs w:val="19"/>
      </w:rPr>
      <w:t>1</w:t>
    </w:r>
    <w:r w:rsidRPr="00587444">
      <w:rPr>
        <w:rFonts w:ascii="Calibri" w:hAnsi="Calibri" w:cs="Arial"/>
        <w:noProof/>
        <w:sz w:val="19"/>
        <w:szCs w:val="19"/>
      </w:rPr>
      <w:fldChar w:fldCharType="end"/>
    </w:r>
    <w:r w:rsidRPr="00587444">
      <w:rPr>
        <w:rFonts w:ascii="Calibri" w:hAnsi="Calibri" w:cs="Arial"/>
        <w:sz w:val="19"/>
        <w:szCs w:val="19"/>
      </w:rPr>
      <w:t xml:space="preserve">  Croatian Bank for Reconstruction and Development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AA561" w14:textId="77777777" w:rsidR="00587444" w:rsidRPr="00587444" w:rsidRDefault="00587444" w:rsidP="00DD69E7">
    <w:pPr>
      <w:pStyle w:val="Footer"/>
      <w:pBdr>
        <w:top w:val="single" w:sz="4" w:space="1" w:color="auto"/>
      </w:pBdr>
      <w:ind w:right="283"/>
      <w:rPr>
        <w:rFonts w:ascii="Calibri" w:hAnsi="Calibri"/>
        <w:sz w:val="19"/>
      </w:rPr>
    </w:pPr>
    <w:r w:rsidRPr="00587444">
      <w:rPr>
        <w:rFonts w:ascii="Calibri" w:hAnsi="Calibri" w:cs="Arial"/>
        <w:sz w:val="19"/>
        <w:szCs w:val="19"/>
      </w:rPr>
      <w:fldChar w:fldCharType="begin"/>
    </w:r>
    <w:r w:rsidRPr="00587444">
      <w:rPr>
        <w:rFonts w:ascii="Calibri" w:hAnsi="Calibri" w:cs="Arial"/>
        <w:sz w:val="19"/>
        <w:szCs w:val="19"/>
      </w:rPr>
      <w:instrText xml:space="preserve"> PAGE   \* MERGEFORMAT </w:instrText>
    </w:r>
    <w:r w:rsidRPr="00587444">
      <w:rPr>
        <w:rFonts w:ascii="Calibri" w:hAnsi="Calibri" w:cs="Arial"/>
        <w:sz w:val="19"/>
        <w:szCs w:val="19"/>
      </w:rPr>
      <w:fldChar w:fldCharType="separate"/>
    </w:r>
    <w:r w:rsidRPr="00587444">
      <w:rPr>
        <w:rFonts w:ascii="Calibri" w:hAnsi="Calibri" w:cs="Arial"/>
        <w:noProof/>
        <w:sz w:val="19"/>
        <w:szCs w:val="19"/>
      </w:rPr>
      <w:t>1</w:t>
    </w:r>
    <w:r w:rsidRPr="00587444">
      <w:rPr>
        <w:rFonts w:ascii="Calibri" w:hAnsi="Calibri" w:cs="Arial"/>
        <w:noProof/>
        <w:sz w:val="19"/>
        <w:szCs w:val="19"/>
      </w:rPr>
      <w:fldChar w:fldCharType="end"/>
    </w:r>
    <w:r w:rsidRPr="00587444">
      <w:rPr>
        <w:rFonts w:ascii="Calibri" w:hAnsi="Calibri" w:cs="Arial"/>
        <w:sz w:val="19"/>
        <w:szCs w:val="19"/>
      </w:rPr>
      <w:t xml:space="preserve">  Croatian Bank for Reconstruction and Development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E70A7" w14:textId="262B4DC9" w:rsidR="00F61E6E" w:rsidRPr="00DB0E5A" w:rsidRDefault="00070ED0" w:rsidP="00070ED0">
    <w:pPr>
      <w:pStyle w:val="Footer"/>
      <w:pBdr>
        <w:top w:val="single" w:sz="4" w:space="1" w:color="auto"/>
      </w:pBdr>
      <w:ind w:right="283"/>
      <w:rPr>
        <w:rFonts w:ascii="Calibri" w:hAnsi="Calibri"/>
        <w:sz w:val="19"/>
      </w:rPr>
    </w:pPr>
    <w:r w:rsidRPr="00587444">
      <w:rPr>
        <w:rFonts w:ascii="Calibri" w:hAnsi="Calibri" w:cs="Arial"/>
        <w:sz w:val="19"/>
        <w:szCs w:val="19"/>
      </w:rPr>
      <w:fldChar w:fldCharType="begin"/>
    </w:r>
    <w:r w:rsidRPr="00587444">
      <w:rPr>
        <w:rFonts w:ascii="Calibri" w:hAnsi="Calibri" w:cs="Arial"/>
        <w:sz w:val="19"/>
        <w:szCs w:val="19"/>
      </w:rPr>
      <w:instrText xml:space="preserve"> PAGE   \* MERGEFORMAT </w:instrText>
    </w:r>
    <w:r w:rsidRPr="00587444">
      <w:rPr>
        <w:rFonts w:ascii="Calibri" w:hAnsi="Calibri" w:cs="Arial"/>
        <w:sz w:val="19"/>
        <w:szCs w:val="19"/>
      </w:rPr>
      <w:fldChar w:fldCharType="separate"/>
    </w:r>
    <w:r>
      <w:rPr>
        <w:rFonts w:ascii="Calibri" w:hAnsi="Calibri" w:cs="Arial"/>
        <w:sz w:val="19"/>
        <w:szCs w:val="19"/>
      </w:rPr>
      <w:t>229</w:t>
    </w:r>
    <w:r w:rsidRPr="00587444">
      <w:rPr>
        <w:rFonts w:ascii="Calibri" w:hAnsi="Calibri" w:cs="Arial"/>
        <w:noProof/>
        <w:sz w:val="19"/>
        <w:szCs w:val="19"/>
      </w:rPr>
      <w:fldChar w:fldCharType="end"/>
    </w:r>
    <w:r w:rsidRPr="00587444">
      <w:rPr>
        <w:rFonts w:ascii="Calibri" w:hAnsi="Calibri" w:cs="Arial"/>
        <w:sz w:val="19"/>
        <w:szCs w:val="19"/>
      </w:rPr>
      <w:t xml:space="preserve">  Croatian Bank for Reconstruction and </w:t>
    </w:r>
    <w:proofErr w:type="spellStart"/>
    <w:r w:rsidRPr="00587444">
      <w:rPr>
        <w:rFonts w:ascii="Calibri" w:hAnsi="Calibri" w:cs="Arial"/>
        <w:sz w:val="19"/>
        <w:szCs w:val="19"/>
      </w:rPr>
      <w:t>Development</w:t>
    </w:r>
    <w:r w:rsidR="00F61E6E" w:rsidRPr="00E76387">
      <w:rPr>
        <w:color w:val="FFFFFF" w:themeColor="background1"/>
      </w:rPr>
      <w:t>Reconstruction</w:t>
    </w:r>
    <w:proofErr w:type="spellEnd"/>
    <w:r w:rsidR="00F61E6E" w:rsidRPr="00E76387">
      <w:rPr>
        <w:color w:val="FFFFFF" w:themeColor="background1"/>
      </w:rPr>
      <w:t xml:space="preserve"> and Development</w:t>
    </w:r>
    <w:r w:rsidR="00F61E6E" w:rsidRPr="00E76387">
      <w:tab/>
    </w:r>
    <w:r w:rsidR="00F61E6E" w:rsidRPr="00587444">
      <w:rPr>
        <w:rFonts w:ascii="Calibri" w:hAnsi="Calibri" w:cs="Arial"/>
        <w:sz w:val="19"/>
        <w:szCs w:val="19"/>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4E007" w14:textId="4E732CE8" w:rsidR="00587444" w:rsidRPr="00587444" w:rsidRDefault="00587444" w:rsidP="005874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2FF9D" w14:textId="5FB4F184" w:rsidR="00587444" w:rsidRPr="00587444" w:rsidRDefault="00587444" w:rsidP="0058744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3C790" w14:textId="77777777" w:rsidR="00587444" w:rsidRPr="00A021AA" w:rsidRDefault="00587444" w:rsidP="00DD69E7">
    <w:pPr>
      <w:pStyle w:val="Footer"/>
      <w:pBdr>
        <w:top w:val="single" w:sz="4" w:space="1" w:color="auto"/>
      </w:pBdr>
      <w:ind w:right="283"/>
      <w:rPr>
        <w:rStyle w:val="PageNumber"/>
        <w:rFonts w:ascii="Arial" w:hAnsi="Arial"/>
        <w:sz w:val="19"/>
        <w:lang w:val="pl-PL"/>
      </w:rPr>
    </w:pPr>
    <w:proofErr w:type="gramStart"/>
    <w:r w:rsidRPr="00587444">
      <w:rPr>
        <w:rFonts w:ascii="Calibri" w:hAnsi="Calibri" w:cs="Arial"/>
        <w:sz w:val="19"/>
        <w:szCs w:val="19"/>
      </w:rPr>
      <w:t>63</w:t>
    </w:r>
    <w:r w:rsidRPr="00587444">
      <w:rPr>
        <w:rFonts w:ascii="Calibri" w:hAnsi="Calibri" w:cs="Arial"/>
        <w:noProof/>
        <w:sz w:val="19"/>
        <w:szCs w:val="19"/>
      </w:rPr>
      <w:t xml:space="preserve">  </w:t>
    </w:r>
    <w:r w:rsidRPr="00587444">
      <w:rPr>
        <w:rFonts w:ascii="Calibri" w:hAnsi="Calibri" w:cs="Arial"/>
        <w:sz w:val="19"/>
        <w:szCs w:val="19"/>
      </w:rPr>
      <w:t>Croatian</w:t>
    </w:r>
    <w:proofErr w:type="gramEnd"/>
    <w:r w:rsidRPr="00587444">
      <w:rPr>
        <w:rFonts w:ascii="Calibri" w:hAnsi="Calibri" w:cs="Arial"/>
        <w:sz w:val="19"/>
        <w:szCs w:val="19"/>
      </w:rPr>
      <w:t xml:space="preserve"> Bank for Reconstruction and Development</w:t>
    </w:r>
    <w:r w:rsidRPr="00587444">
      <w:rPr>
        <w:rFonts w:ascii="Calibri" w:hAnsi="Calibri" w:cs="Arial"/>
        <w:sz w:val="19"/>
        <w:szCs w:val="19"/>
      </w:rPr>
      <w:tab/>
    </w:r>
  </w:p>
  <w:p w14:paraId="36DBBFBF" w14:textId="77777777" w:rsidR="00587444" w:rsidRPr="00B7373C" w:rsidRDefault="00587444" w:rsidP="00DD69E7">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2430000"/>
      <w:docPartObj>
        <w:docPartGallery w:val="Page Numbers (Bottom of Page)"/>
        <w:docPartUnique/>
      </w:docPartObj>
    </w:sdtPr>
    <w:sdtEndPr>
      <w:rPr>
        <w:rFonts w:ascii="Trebuchet MS" w:hAnsi="Trebuchet MS"/>
        <w:sz w:val="18"/>
        <w:szCs w:val="18"/>
      </w:rPr>
    </w:sdtEndPr>
    <w:sdtContent>
      <w:p w14:paraId="2AFFA718" w14:textId="0DC89FD5" w:rsidR="006D5D5B" w:rsidRPr="00CD5024" w:rsidRDefault="006D5D5B">
        <w:pPr>
          <w:pStyle w:val="Footer"/>
          <w:jc w:val="right"/>
          <w:rPr>
            <w:rFonts w:ascii="Trebuchet MS" w:hAnsi="Trebuchet MS"/>
            <w:sz w:val="18"/>
            <w:szCs w:val="18"/>
          </w:rPr>
        </w:pPr>
        <w:r w:rsidRPr="00CD5024">
          <w:rPr>
            <w:rFonts w:ascii="Trebuchet MS" w:hAnsi="Trebuchet MS"/>
            <w:sz w:val="18"/>
            <w:szCs w:val="18"/>
          </w:rPr>
          <w:fldChar w:fldCharType="begin"/>
        </w:r>
        <w:r w:rsidRPr="00CD5024">
          <w:rPr>
            <w:rFonts w:ascii="Trebuchet MS" w:hAnsi="Trebuchet MS"/>
            <w:sz w:val="18"/>
            <w:szCs w:val="18"/>
          </w:rPr>
          <w:instrText>PAGE   \* MERGEFORMAT</w:instrText>
        </w:r>
        <w:r w:rsidRPr="00CD5024">
          <w:rPr>
            <w:rFonts w:ascii="Trebuchet MS" w:hAnsi="Trebuchet MS"/>
            <w:sz w:val="18"/>
            <w:szCs w:val="18"/>
          </w:rPr>
          <w:fldChar w:fldCharType="separate"/>
        </w:r>
        <w:r w:rsidRPr="00CD5024">
          <w:rPr>
            <w:rFonts w:ascii="Trebuchet MS" w:hAnsi="Trebuchet MS"/>
            <w:sz w:val="18"/>
            <w:szCs w:val="18"/>
            <w:lang w:val="hr-HR"/>
          </w:rPr>
          <w:t>2</w:t>
        </w:r>
        <w:r w:rsidRPr="00CD5024">
          <w:rPr>
            <w:rFonts w:ascii="Trebuchet MS" w:hAnsi="Trebuchet MS"/>
            <w:sz w:val="18"/>
            <w:szCs w:val="18"/>
          </w:rPr>
          <w:fldChar w:fldCharType="end"/>
        </w:r>
      </w:p>
    </w:sdtContent>
  </w:sdt>
  <w:p w14:paraId="310F52C6" w14:textId="77777777" w:rsidR="00587444" w:rsidRDefault="00587444" w:rsidP="00DD69E7">
    <w:pPr>
      <w:pStyle w:val="Footer"/>
      <w:ind w:right="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29794" w14:textId="77777777" w:rsidR="00587444" w:rsidRPr="005C3E7D" w:rsidRDefault="00587444" w:rsidP="00DD69E7">
    <w:pPr>
      <w:pStyle w:val="Footer"/>
      <w:pBdr>
        <w:top w:val="single" w:sz="4" w:space="1" w:color="auto"/>
      </w:pBdr>
      <w:tabs>
        <w:tab w:val="left" w:pos="8916"/>
      </w:tabs>
      <w:ind w:right="4"/>
      <w:rPr>
        <w:rFonts w:ascii="Calibri" w:hAnsi="Calibri" w:cs="Calibri"/>
        <w:lang w:val="pl-PL"/>
      </w:rPr>
    </w:pPr>
    <w:r w:rsidRPr="005C3E7D">
      <w:rPr>
        <w:rFonts w:ascii="Calibri" w:hAnsi="Calibri"/>
        <w:sz w:val="19"/>
        <w:lang w:val="pl-PL"/>
      </w:rPr>
      <w:fldChar w:fldCharType="begin"/>
    </w:r>
    <w:r w:rsidRPr="005C3E7D">
      <w:rPr>
        <w:rFonts w:ascii="Calibri" w:hAnsi="Calibri"/>
        <w:sz w:val="19"/>
        <w:lang w:val="pl-PL"/>
      </w:rPr>
      <w:instrText xml:space="preserve"> PAGE   \* MERGEFORMAT </w:instrText>
    </w:r>
    <w:r w:rsidRPr="005C3E7D">
      <w:rPr>
        <w:rFonts w:ascii="Calibri" w:hAnsi="Calibri"/>
        <w:sz w:val="19"/>
        <w:lang w:val="pl-PL"/>
      </w:rPr>
      <w:fldChar w:fldCharType="separate"/>
    </w:r>
    <w:r w:rsidRPr="005C3E7D">
      <w:rPr>
        <w:rFonts w:ascii="Calibri" w:hAnsi="Calibri"/>
        <w:sz w:val="19"/>
        <w:lang w:val="pl-PL"/>
      </w:rPr>
      <w:t>72</w:t>
    </w:r>
    <w:r w:rsidRPr="005C3E7D">
      <w:rPr>
        <w:rFonts w:ascii="Calibri" w:hAnsi="Calibri"/>
        <w:noProof/>
        <w:sz w:val="19"/>
        <w:lang w:val="pl-PL"/>
      </w:rPr>
      <w:fldChar w:fldCharType="end"/>
    </w:r>
    <w:r w:rsidRPr="005C3E7D">
      <w:rPr>
        <w:rFonts w:ascii="Calibri" w:hAnsi="Calibri"/>
        <w:noProof/>
        <w:sz w:val="19"/>
        <w:lang w:val="pl-PL"/>
      </w:rPr>
      <w:t xml:space="preserve">  </w:t>
    </w:r>
    <w:r>
      <w:rPr>
        <w:rFonts w:ascii="Calibri" w:hAnsi="Calibri"/>
        <w:sz w:val="19"/>
        <w:lang w:val="pl-PL"/>
      </w:rPr>
      <w:t>Croatian Bank for Reconstruction and Development</w:t>
    </w:r>
  </w:p>
  <w:p w14:paraId="267DEFF2" w14:textId="77777777" w:rsidR="00587444" w:rsidRPr="00A65E3A" w:rsidRDefault="00587444" w:rsidP="00DD69E7">
    <w:pPr>
      <w:pBdr>
        <w:top w:val="single" w:sz="4" w:space="1" w:color="auto"/>
      </w:pBdr>
      <w:tabs>
        <w:tab w:val="left" w:pos="8916"/>
      </w:tabs>
      <w:ind w:right="4"/>
      <w:rPr>
        <w:rStyle w:val="PageNumber"/>
        <w:rFonts w:ascii="Calibri" w:hAnsi="Calibri" w:cs="Calibri"/>
        <w:szCs w:val="20"/>
        <w:lang w:val="pl-PL"/>
      </w:rPr>
    </w:pPr>
    <w:r w:rsidRPr="00587444">
      <w:rPr>
        <w:rFonts w:ascii="Calibri" w:hAnsi="Calibri" w:cs="Arial"/>
        <w:sz w:val="19"/>
        <w:szCs w:val="19"/>
      </w:rPr>
      <w:tab/>
    </w:r>
  </w:p>
  <w:p w14:paraId="486ACEF6" w14:textId="77777777" w:rsidR="00587444" w:rsidRDefault="0058744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E6921" w14:textId="77777777" w:rsidR="00587444" w:rsidRPr="00587444" w:rsidRDefault="00587444" w:rsidP="00DD69E7">
    <w:pPr>
      <w:pStyle w:val="Footer"/>
      <w:pBdr>
        <w:top w:val="single" w:sz="4" w:space="1" w:color="auto"/>
      </w:pBdr>
      <w:tabs>
        <w:tab w:val="left" w:pos="8916"/>
      </w:tabs>
      <w:ind w:right="4"/>
      <w:rPr>
        <w:rStyle w:val="PageNumber"/>
        <w:rFonts w:ascii="Calibri" w:hAnsi="Calibri"/>
        <w:sz w:val="19"/>
      </w:rPr>
    </w:pPr>
    <w:proofErr w:type="gramStart"/>
    <w:r w:rsidRPr="00587444">
      <w:rPr>
        <w:rFonts w:ascii="Calibri" w:hAnsi="Calibri" w:cs="Arial"/>
        <w:sz w:val="19"/>
        <w:szCs w:val="19"/>
      </w:rPr>
      <w:t>74</w:t>
    </w:r>
    <w:r w:rsidRPr="00587444">
      <w:rPr>
        <w:rFonts w:ascii="Calibri" w:hAnsi="Calibri" w:cs="Arial"/>
        <w:noProof/>
        <w:sz w:val="19"/>
        <w:szCs w:val="19"/>
      </w:rPr>
      <w:t xml:space="preserve">  </w:t>
    </w:r>
    <w:r w:rsidRPr="00587444">
      <w:rPr>
        <w:rFonts w:ascii="Calibri" w:hAnsi="Calibri" w:cs="Arial"/>
        <w:sz w:val="19"/>
        <w:szCs w:val="19"/>
      </w:rPr>
      <w:t>Croatian</w:t>
    </w:r>
    <w:proofErr w:type="gramEnd"/>
    <w:r w:rsidRPr="00587444">
      <w:rPr>
        <w:rFonts w:ascii="Calibri" w:hAnsi="Calibri" w:cs="Arial"/>
        <w:sz w:val="19"/>
        <w:szCs w:val="19"/>
      </w:rPr>
      <w:t xml:space="preserve"> Bank for Reconstruction and Development</w:t>
    </w:r>
    <w:r w:rsidRPr="00587444">
      <w:rPr>
        <w:rFonts w:ascii="Calibri" w:hAnsi="Calibri" w:cs="Arial"/>
        <w:sz w:val="19"/>
        <w:szCs w:val="19"/>
      </w:rP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D556" w14:textId="77777777" w:rsidR="00587444" w:rsidRPr="00587444" w:rsidRDefault="00587444" w:rsidP="00DD69E7">
    <w:pPr>
      <w:pStyle w:val="Footer"/>
      <w:pBdr>
        <w:top w:val="single" w:sz="4" w:space="1" w:color="auto"/>
      </w:pBdr>
      <w:tabs>
        <w:tab w:val="left" w:pos="8916"/>
      </w:tabs>
      <w:ind w:right="4"/>
      <w:rPr>
        <w:rStyle w:val="PageNumber"/>
        <w:rFonts w:ascii="Calibri" w:hAnsi="Calibri"/>
        <w:sz w:val="19"/>
      </w:rPr>
    </w:pPr>
    <w:proofErr w:type="gramStart"/>
    <w:r w:rsidRPr="00587444">
      <w:rPr>
        <w:rFonts w:ascii="Calibri" w:hAnsi="Calibri" w:cs="Arial"/>
        <w:sz w:val="19"/>
        <w:szCs w:val="19"/>
      </w:rPr>
      <w:t>75</w:t>
    </w:r>
    <w:r w:rsidRPr="00587444">
      <w:rPr>
        <w:rFonts w:ascii="Calibri" w:hAnsi="Calibri" w:cs="Arial"/>
        <w:noProof/>
        <w:sz w:val="19"/>
        <w:szCs w:val="19"/>
      </w:rPr>
      <w:t xml:space="preserve">  </w:t>
    </w:r>
    <w:r w:rsidRPr="00587444">
      <w:rPr>
        <w:rFonts w:ascii="Calibri" w:hAnsi="Calibri" w:cs="Arial"/>
        <w:sz w:val="19"/>
        <w:szCs w:val="19"/>
      </w:rPr>
      <w:t>Croatian</w:t>
    </w:r>
    <w:proofErr w:type="gramEnd"/>
    <w:r w:rsidRPr="00587444">
      <w:rPr>
        <w:rFonts w:ascii="Calibri" w:hAnsi="Calibri" w:cs="Arial"/>
        <w:sz w:val="19"/>
        <w:szCs w:val="19"/>
      </w:rPr>
      <w:t xml:space="preserve"> Bank for Reconstruction and Development</w:t>
    </w:r>
    <w:r w:rsidRPr="00587444">
      <w:rPr>
        <w:rFonts w:ascii="Calibri" w:hAnsi="Calibri" w:cs="Arial"/>
        <w:sz w:val="19"/>
        <w:szCs w:val="19"/>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3C355" w14:textId="77777777" w:rsidR="000C1D03" w:rsidRDefault="000C1D03">
      <w:r>
        <w:rPr>
          <w:color w:val="000000"/>
        </w:rPr>
        <w:separator/>
      </w:r>
    </w:p>
  </w:footnote>
  <w:footnote w:type="continuationSeparator" w:id="0">
    <w:p w14:paraId="21D34E63" w14:textId="77777777" w:rsidR="000C1D03" w:rsidRDefault="000C1D03">
      <w:r>
        <w:continuationSeparator/>
      </w:r>
    </w:p>
  </w:footnote>
  <w:footnote w:type="continuationNotice" w:id="1">
    <w:p w14:paraId="4E5CC7EB" w14:textId="77777777" w:rsidR="000C1D03" w:rsidRDefault="000C1D03"/>
  </w:footnote>
  <w:footnote w:id="2">
    <w:p w14:paraId="0820A906" w14:textId="77777777" w:rsidR="00587444" w:rsidRDefault="00587444" w:rsidP="00587444">
      <w:pPr>
        <w:pStyle w:val="FootnoteText"/>
      </w:pPr>
      <w:r w:rsidRPr="00356C4F">
        <w:rPr>
          <w:rStyle w:val="FootnoteReference"/>
          <w:rFonts w:ascii="Arial" w:hAnsi="Arial" w:cs="Arial"/>
          <w:sz w:val="18"/>
          <w:szCs w:val="18"/>
        </w:rPr>
        <w:footnoteRef/>
      </w:r>
      <w:r w:rsidRPr="00356C4F">
        <w:rPr>
          <w:rFonts w:ascii="Arial" w:hAnsi="Arial" w:cs="Arial"/>
          <w:sz w:val="18"/>
          <w:szCs w:val="18"/>
        </w:rPr>
        <w:t xml:space="preserve"> </w:t>
      </w:r>
      <w:r w:rsidRPr="00A81FE7">
        <w:rPr>
          <w:rFonts w:ascii="Arial" w:hAnsi="Arial" w:cs="Arial"/>
          <w:sz w:val="18"/>
          <w:szCs w:val="18"/>
        </w:rPr>
        <w:t>Working Capital Crisis 2022 is a new programme in 2022, and there is no balance in 2022</w:t>
      </w:r>
    </w:p>
  </w:footnote>
  <w:footnote w:id="3">
    <w:p w14:paraId="68011309" w14:textId="77777777" w:rsidR="00587444" w:rsidRPr="00B16FA3" w:rsidRDefault="00587444" w:rsidP="00587444">
      <w:pPr>
        <w:pStyle w:val="FootnoteText"/>
        <w:rPr>
          <w:rFonts w:ascii="Arial" w:hAnsi="Arial" w:cs="Arial"/>
          <w:sz w:val="18"/>
          <w:szCs w:val="18"/>
        </w:rPr>
      </w:pPr>
      <w:r w:rsidRPr="00356C4F">
        <w:rPr>
          <w:rStyle w:val="FootnoteReference"/>
          <w:rFonts w:ascii="Arial" w:hAnsi="Arial" w:cs="Arial"/>
          <w:sz w:val="18"/>
          <w:szCs w:val="18"/>
        </w:rPr>
        <w:footnoteRef/>
      </w:r>
      <w:r w:rsidRPr="00356C4F">
        <w:rPr>
          <w:rFonts w:ascii="Arial" w:hAnsi="Arial" w:cs="Arial"/>
          <w:sz w:val="18"/>
          <w:szCs w:val="18"/>
        </w:rPr>
        <w:t xml:space="preserve"> </w:t>
      </w:r>
      <w:r w:rsidRPr="00A81FE7">
        <w:rPr>
          <w:rFonts w:ascii="Arial" w:hAnsi="Arial" w:cs="Arial"/>
          <w:sz w:val="18"/>
          <w:szCs w:val="18"/>
        </w:rPr>
        <w:t>Working Capital Crisis 2022 is a new programme in 2022, and there is no balance in 2021</w:t>
      </w:r>
    </w:p>
  </w:footnote>
  <w:footnote w:id="4">
    <w:p w14:paraId="0C442188" w14:textId="164C05A4" w:rsidR="00587444" w:rsidRPr="00356C4F" w:rsidRDefault="004C472A" w:rsidP="00587444">
      <w:pPr>
        <w:pStyle w:val="FootnoteText"/>
        <w:jc w:val="both"/>
        <w:rPr>
          <w:rFonts w:ascii="Arial" w:hAnsi="Arial" w:cs="Arial"/>
          <w:sz w:val="18"/>
          <w:szCs w:val="18"/>
        </w:rPr>
      </w:pPr>
      <w:r w:rsidRPr="00356C4F">
        <w:rPr>
          <w:rStyle w:val="FootnoteReference"/>
          <w:rFonts w:ascii="Arial" w:hAnsi="Arial" w:cs="Arial"/>
          <w:i/>
          <w:iCs/>
          <w:sz w:val="18"/>
          <w:szCs w:val="18"/>
        </w:rPr>
        <w:t>3</w:t>
      </w:r>
      <w:r w:rsidRPr="00356C4F">
        <w:rPr>
          <w:rFonts w:ascii="Arial" w:hAnsi="Arial" w:cs="Arial"/>
          <w:i/>
          <w:iCs/>
          <w:sz w:val="18"/>
          <w:szCs w:val="18"/>
        </w:rPr>
        <w:t xml:space="preserve"> </w:t>
      </w:r>
      <w:r w:rsidR="00587444" w:rsidRPr="00356C4F">
        <w:rPr>
          <w:rStyle w:val="FootnoteReference"/>
          <w:rFonts w:ascii="Arial" w:hAnsi="Arial" w:cs="Arial"/>
          <w:i/>
          <w:iCs/>
          <w:sz w:val="18"/>
          <w:szCs w:val="18"/>
        </w:rPr>
        <w:t xml:space="preserve">and  </w:t>
      </w:r>
      <w:r w:rsidRPr="00356C4F">
        <w:rPr>
          <w:rStyle w:val="FootnoteReference"/>
          <w:rFonts w:ascii="Arial" w:hAnsi="Arial" w:cs="Arial"/>
          <w:i/>
          <w:iCs/>
          <w:sz w:val="18"/>
          <w:szCs w:val="18"/>
        </w:rPr>
        <w:t>4</w:t>
      </w:r>
      <w:r w:rsidR="00587444" w:rsidRPr="00356C4F">
        <w:rPr>
          <w:rFonts w:ascii="Arial" w:hAnsi="Arial" w:cs="Arial"/>
          <w:i/>
          <w:iCs/>
          <w:sz w:val="18"/>
          <w:szCs w:val="18"/>
        </w:rPr>
        <w:t xml:space="preserve"> </w:t>
      </w:r>
      <w:r w:rsidR="00587444" w:rsidRPr="00356C4F">
        <w:rPr>
          <w:rFonts w:ascii="Arial" w:hAnsi="Arial" w:cs="Arial"/>
          <w:i/>
          <w:sz w:val="18"/>
          <w:szCs w:val="18"/>
          <w:lang w:val="en-GB"/>
        </w:rPr>
        <w:t>The fair value of net assets value of the Economic Co-operation Funds and the Three Seas Initiative Investment Fund in 2022 is recognised on the basis of the latest available data and does not represent the final fair value, whereas, in 2021, the amount was recognised in accordance with the audited financial statements.</w:t>
      </w:r>
    </w:p>
  </w:footnote>
  <w:footnote w:id="5">
    <w:p w14:paraId="51F9F948" w14:textId="7D249683" w:rsidR="00356C4F" w:rsidRPr="00356C4F" w:rsidRDefault="00356C4F" w:rsidP="00587444">
      <w:pPr>
        <w:pStyle w:val="FootnoteText"/>
        <w:rPr>
          <w:rFonts w:ascii="Arial" w:hAnsi="Arial" w:cs="Arial"/>
          <w:i/>
          <w:iCs/>
          <w:sz w:val="18"/>
          <w:szCs w:val="18"/>
        </w:rPr>
      </w:pPr>
      <w:r w:rsidRPr="00356C4F">
        <w:rPr>
          <w:rStyle w:val="FootnoteReference"/>
          <w:rFonts w:ascii="Arial" w:hAnsi="Arial" w:cs="Arial"/>
          <w:sz w:val="18"/>
          <w:szCs w:val="18"/>
        </w:rPr>
        <w:t>5</w:t>
      </w:r>
      <w:r w:rsidRPr="00356C4F">
        <w:rPr>
          <w:rFonts w:ascii="Arial" w:hAnsi="Arial" w:cs="Arial"/>
          <w:sz w:val="18"/>
          <w:szCs w:val="18"/>
        </w:rPr>
        <w:t xml:space="preserve"> </w:t>
      </w:r>
      <w:r w:rsidRPr="00356C4F">
        <w:rPr>
          <w:rStyle w:val="y2iqfc"/>
          <w:rFonts w:ascii="Arial" w:hAnsi="Arial" w:cs="Arial"/>
          <w:i/>
          <w:iCs/>
          <w:color w:val="202124"/>
          <w:sz w:val="18"/>
          <w:szCs w:val="18"/>
          <w:lang w:val="en"/>
        </w:rPr>
        <w:t>There is no impact due to the application of zero floor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F0531" w14:textId="1EE0DF98" w:rsidR="00685E1E" w:rsidRDefault="00685E1E" w:rsidP="00685E1E">
    <w:pPr>
      <w:pStyle w:val="Header"/>
      <w:tabs>
        <w:tab w:val="clear" w:pos="4536"/>
        <w:tab w:val="clear" w:pos="9072"/>
        <w:tab w:val="left" w:pos="1702"/>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73046"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Consolidated Financial Statements of the Group</w:t>
    </w:r>
  </w:p>
  <w:p w14:paraId="1B53CB8B"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 xml:space="preserve">Statement of Cash Flows </w:t>
    </w:r>
  </w:p>
  <w:p w14:paraId="78B44C5D" w14:textId="77777777" w:rsidR="00587444" w:rsidRPr="00581A94" w:rsidRDefault="00587444" w:rsidP="00DD69E7">
    <w:pPr>
      <w:tabs>
        <w:tab w:val="center" w:pos="4536"/>
        <w:tab w:val="right" w:pos="9072"/>
      </w:tabs>
      <w:spacing w:line="301" w:lineRule="atLeast"/>
      <w:rPr>
        <w:rFonts w:ascii="Arial" w:hAnsi="Arial" w:cs="Arial"/>
        <w:lang w:val="en-GB"/>
      </w:rPr>
    </w:pPr>
    <w:r w:rsidRPr="00581A94">
      <w:rPr>
        <w:rFonts w:ascii="Arial" w:hAnsi="Arial" w:cs="Arial"/>
        <w:lang w:val="en-GB"/>
      </w:rPr>
      <w:t xml:space="preserve">for the year ended 31 December </w:t>
    </w:r>
  </w:p>
  <w:p w14:paraId="37E286D1" w14:textId="77777777" w:rsidR="00587444" w:rsidRPr="00581A94" w:rsidRDefault="00587444" w:rsidP="00DD69E7">
    <w:pPr>
      <w:pStyle w:val="PH"/>
      <w:pBdr>
        <w:bottom w:val="single" w:sz="4" w:space="1" w:color="auto"/>
      </w:pBdr>
      <w:rPr>
        <w:rFonts w:cs="Arial"/>
        <w:sz w:val="20"/>
      </w:rPr>
    </w:pPr>
    <w:r w:rsidRPr="00581A94">
      <w:rPr>
        <w:rFonts w:cs="Arial"/>
        <w:sz w:val="20"/>
        <w:lang w:val="en-US"/>
      </w:rPr>
      <w:t>(All amounts are expressed in HRK thousand)</w:t>
    </w:r>
  </w:p>
  <w:p w14:paraId="085AE3A9" w14:textId="77777777" w:rsidR="00587444" w:rsidRPr="00AC4579" w:rsidRDefault="00587444" w:rsidP="00DD69E7">
    <w:pPr>
      <w:pStyle w:val="BodyText3"/>
      <w:rPr>
        <w:sz w:val="8"/>
        <w:szCs w:val="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D006B"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Consolidated Financial Statements of the Group</w:t>
    </w:r>
  </w:p>
  <w:p w14:paraId="6D55FF1B"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Statement of Changes in Equity</w:t>
    </w:r>
  </w:p>
  <w:p w14:paraId="1728A0C7" w14:textId="77777777" w:rsidR="00587444" w:rsidRPr="00581A94" w:rsidRDefault="00587444" w:rsidP="00DD69E7">
    <w:pPr>
      <w:tabs>
        <w:tab w:val="center" w:pos="4536"/>
        <w:tab w:val="right" w:pos="9072"/>
      </w:tabs>
      <w:spacing w:line="301" w:lineRule="atLeast"/>
      <w:rPr>
        <w:rFonts w:ascii="Arial" w:hAnsi="Arial" w:cs="Arial"/>
        <w:lang w:val="en-GB"/>
      </w:rPr>
    </w:pPr>
    <w:r w:rsidRPr="00581A94">
      <w:rPr>
        <w:rFonts w:ascii="Arial" w:hAnsi="Arial" w:cs="Arial"/>
        <w:lang w:val="en-GB"/>
      </w:rPr>
      <w:t>for the year ended 31 December</w:t>
    </w:r>
  </w:p>
  <w:p w14:paraId="0CACB069" w14:textId="77777777" w:rsidR="00587444" w:rsidRPr="00581A94" w:rsidRDefault="00587444" w:rsidP="00DD69E7">
    <w:pPr>
      <w:pStyle w:val="PH"/>
      <w:pBdr>
        <w:bottom w:val="single" w:sz="4" w:space="1" w:color="auto"/>
      </w:pBdr>
      <w:rPr>
        <w:rFonts w:cs="Arial"/>
        <w:sz w:val="20"/>
      </w:rPr>
    </w:pPr>
    <w:r w:rsidRPr="00581A94">
      <w:rPr>
        <w:rFonts w:cs="Arial"/>
        <w:sz w:val="20"/>
        <w:lang w:val="en-US"/>
      </w:rPr>
      <w:t>(All amounts are expressed in HRK thousand)</w:t>
    </w:r>
  </w:p>
  <w:p w14:paraId="57F875DF" w14:textId="77777777" w:rsidR="00587444" w:rsidRPr="00AC4579" w:rsidRDefault="00587444" w:rsidP="00DD69E7">
    <w:pPr>
      <w:pStyle w:val="BodyText3"/>
      <w:rPr>
        <w:sz w:val="8"/>
        <w:szCs w:val="8"/>
      </w:rPr>
    </w:pPr>
  </w:p>
  <w:p w14:paraId="71CEE205" w14:textId="77777777" w:rsidR="00587444" w:rsidRPr="00AC4579" w:rsidRDefault="00587444" w:rsidP="00DD69E7">
    <w:pPr>
      <w:pStyle w:val="BodyText3"/>
      <w:rPr>
        <w:sz w:val="8"/>
        <w:szCs w:val="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7B232"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Separate Financial Statements of the Bank</w:t>
    </w:r>
  </w:p>
  <w:p w14:paraId="440C1D0D" w14:textId="77777777" w:rsidR="00587444" w:rsidRPr="00581A94" w:rsidRDefault="00587444" w:rsidP="00DD69E7">
    <w:pPr>
      <w:tabs>
        <w:tab w:val="center" w:pos="4536"/>
        <w:tab w:val="right" w:pos="9072"/>
      </w:tabs>
      <w:rPr>
        <w:rFonts w:ascii="Arial" w:hAnsi="Arial" w:cs="Arial"/>
      </w:rPr>
    </w:pPr>
    <w:r w:rsidRPr="00581A94">
      <w:rPr>
        <w:rFonts w:ascii="Arial" w:hAnsi="Arial" w:cs="Arial"/>
        <w:lang w:val="en-GB"/>
      </w:rPr>
      <w:t>Income Statement</w:t>
    </w:r>
  </w:p>
  <w:p w14:paraId="1FC3635A" w14:textId="77777777" w:rsidR="00587444" w:rsidRPr="00581A94" w:rsidRDefault="00587444" w:rsidP="00DD69E7">
    <w:pPr>
      <w:tabs>
        <w:tab w:val="center" w:pos="4536"/>
        <w:tab w:val="right" w:pos="9072"/>
      </w:tabs>
      <w:spacing w:line="301" w:lineRule="atLeast"/>
      <w:rPr>
        <w:rFonts w:ascii="Arial" w:hAnsi="Arial" w:cs="Arial"/>
        <w:lang w:val="en-GB"/>
      </w:rPr>
    </w:pPr>
    <w:r w:rsidRPr="00581A94">
      <w:rPr>
        <w:rFonts w:ascii="Arial" w:hAnsi="Arial" w:cs="Arial"/>
        <w:lang w:val="en-GB"/>
      </w:rPr>
      <w:t>for the year ended 31 December</w:t>
    </w:r>
  </w:p>
  <w:p w14:paraId="25C72F31" w14:textId="77777777" w:rsidR="00587444" w:rsidRPr="00581A94" w:rsidRDefault="00587444" w:rsidP="00DD69E7">
    <w:pPr>
      <w:pStyle w:val="PH"/>
      <w:pBdr>
        <w:bottom w:val="single" w:sz="4" w:space="1" w:color="auto"/>
      </w:pBdr>
      <w:rPr>
        <w:rFonts w:cs="Arial"/>
        <w:sz w:val="20"/>
      </w:rPr>
    </w:pPr>
    <w:r w:rsidRPr="00581A94">
      <w:rPr>
        <w:rFonts w:cs="Arial"/>
        <w:sz w:val="20"/>
        <w:lang w:val="en-US"/>
      </w:rPr>
      <w:t>(All amounts are expressed in HRK thousand)</w:t>
    </w:r>
  </w:p>
  <w:p w14:paraId="656A26D1" w14:textId="77777777" w:rsidR="00587444" w:rsidRPr="00AC4579" w:rsidRDefault="00587444" w:rsidP="00DD69E7">
    <w:pPr>
      <w:pStyle w:val="BodyText3"/>
      <w:rPr>
        <w:sz w:val="8"/>
        <w:szCs w:val="8"/>
      </w:rPr>
    </w:pPr>
  </w:p>
  <w:p w14:paraId="34600CB9" w14:textId="77777777" w:rsidR="00587444" w:rsidRPr="00AC4579" w:rsidRDefault="00587444" w:rsidP="00DD69E7">
    <w:pPr>
      <w:pStyle w:val="BodyText3"/>
      <w:rPr>
        <w:sz w:val="8"/>
        <w:szCs w:val="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EC26"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Separate Financial Statements of the Bank</w:t>
    </w:r>
  </w:p>
  <w:p w14:paraId="69ED1EA8"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Statement of Profit or Loss and Other Comprehensive Income</w:t>
    </w:r>
  </w:p>
  <w:p w14:paraId="48BDFD5B" w14:textId="77777777" w:rsidR="00587444" w:rsidRPr="00581A94" w:rsidRDefault="00587444" w:rsidP="00DD69E7">
    <w:pPr>
      <w:tabs>
        <w:tab w:val="center" w:pos="4536"/>
        <w:tab w:val="right" w:pos="9072"/>
      </w:tabs>
      <w:spacing w:line="301" w:lineRule="atLeast"/>
      <w:rPr>
        <w:rFonts w:ascii="Arial" w:hAnsi="Arial" w:cs="Arial"/>
        <w:lang w:val="en-GB"/>
      </w:rPr>
    </w:pPr>
    <w:r w:rsidRPr="00581A94">
      <w:rPr>
        <w:rFonts w:ascii="Arial" w:hAnsi="Arial" w:cs="Arial"/>
        <w:lang w:val="en-GB"/>
      </w:rPr>
      <w:t>for the year ended 31 December</w:t>
    </w:r>
  </w:p>
  <w:p w14:paraId="3BAD5C3C" w14:textId="77777777" w:rsidR="00587444" w:rsidRPr="00581A94" w:rsidRDefault="00587444" w:rsidP="00DD69E7">
    <w:pPr>
      <w:pStyle w:val="PH"/>
      <w:pBdr>
        <w:bottom w:val="single" w:sz="4" w:space="1" w:color="auto"/>
      </w:pBdr>
      <w:rPr>
        <w:rFonts w:cs="Arial"/>
        <w:sz w:val="20"/>
      </w:rPr>
    </w:pPr>
    <w:r w:rsidRPr="00581A94">
      <w:rPr>
        <w:rFonts w:cs="Arial"/>
        <w:sz w:val="20"/>
        <w:lang w:val="en-US"/>
      </w:rPr>
      <w:t>(All amounts are expressed in HRK thousand)</w:t>
    </w:r>
  </w:p>
  <w:p w14:paraId="04B82AEA" w14:textId="77777777" w:rsidR="00587444" w:rsidRPr="00610870" w:rsidRDefault="00587444" w:rsidP="00DD69E7">
    <w:pPr>
      <w:pStyle w:val="Header"/>
      <w:rPr>
        <w:lang w:val="en-G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47C01"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Separate Financial Statements of the Bank</w:t>
    </w:r>
  </w:p>
  <w:p w14:paraId="159607C9"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 xml:space="preserve">Statement of Financial Position </w:t>
    </w:r>
  </w:p>
  <w:p w14:paraId="37B56032" w14:textId="77777777" w:rsidR="00587444" w:rsidRPr="00581A94" w:rsidRDefault="00587444" w:rsidP="00DD69E7">
    <w:pPr>
      <w:tabs>
        <w:tab w:val="center" w:pos="4536"/>
        <w:tab w:val="right" w:pos="9072"/>
      </w:tabs>
      <w:spacing w:line="301" w:lineRule="atLeast"/>
      <w:rPr>
        <w:rFonts w:ascii="Arial" w:hAnsi="Arial" w:cs="Arial"/>
        <w:lang w:val="en-GB"/>
      </w:rPr>
    </w:pPr>
    <w:r w:rsidRPr="00581A94">
      <w:rPr>
        <w:rFonts w:ascii="Arial" w:hAnsi="Arial" w:cs="Arial"/>
        <w:lang w:val="en-GB"/>
      </w:rPr>
      <w:t>as of 31 December</w:t>
    </w:r>
  </w:p>
  <w:p w14:paraId="44381E27" w14:textId="77777777" w:rsidR="00587444" w:rsidRPr="00581A94" w:rsidRDefault="00587444" w:rsidP="00DD69E7">
    <w:pPr>
      <w:pStyle w:val="PH"/>
      <w:pBdr>
        <w:bottom w:val="single" w:sz="4" w:space="1" w:color="auto"/>
      </w:pBdr>
      <w:rPr>
        <w:rFonts w:cs="Arial"/>
        <w:sz w:val="20"/>
      </w:rPr>
    </w:pPr>
    <w:r w:rsidRPr="00581A94">
      <w:rPr>
        <w:rFonts w:cs="Arial"/>
        <w:sz w:val="20"/>
      </w:rPr>
      <w:t>(All amounts are expressed in HRK thousand)</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03037" w14:textId="77777777" w:rsidR="00587444" w:rsidRPr="00581A94" w:rsidRDefault="00587444" w:rsidP="00DD69E7">
    <w:pPr>
      <w:tabs>
        <w:tab w:val="center" w:pos="4536"/>
        <w:tab w:val="right" w:pos="9072"/>
      </w:tabs>
      <w:rPr>
        <w:rFonts w:ascii="Arial" w:hAnsi="Arial" w:cs="Arial"/>
      </w:rPr>
    </w:pPr>
    <w:r w:rsidRPr="00581A94">
      <w:rPr>
        <w:rFonts w:ascii="Arial" w:hAnsi="Arial" w:cs="Arial"/>
        <w:lang w:val="en-GB"/>
      </w:rPr>
      <w:t>Separate Financial Statements of the Bank</w:t>
    </w:r>
  </w:p>
  <w:p w14:paraId="0E665F36" w14:textId="77777777" w:rsidR="00587444" w:rsidRPr="00581A94" w:rsidRDefault="00587444" w:rsidP="00DD69E7">
    <w:pPr>
      <w:tabs>
        <w:tab w:val="center" w:pos="4536"/>
        <w:tab w:val="right" w:pos="9072"/>
      </w:tabs>
      <w:rPr>
        <w:rFonts w:ascii="Arial" w:hAnsi="Arial" w:cs="Arial"/>
      </w:rPr>
    </w:pPr>
    <w:r w:rsidRPr="00581A94">
      <w:rPr>
        <w:rFonts w:ascii="Arial" w:hAnsi="Arial" w:cs="Arial"/>
        <w:lang w:val="en-GB"/>
      </w:rPr>
      <w:t xml:space="preserve">Statement of Cash Flows </w:t>
    </w:r>
  </w:p>
  <w:p w14:paraId="085F5B0F" w14:textId="77777777" w:rsidR="00587444" w:rsidRPr="00581A94" w:rsidRDefault="00587444" w:rsidP="00DD69E7">
    <w:pPr>
      <w:tabs>
        <w:tab w:val="center" w:pos="4536"/>
        <w:tab w:val="right" w:pos="9072"/>
      </w:tabs>
      <w:spacing w:line="301" w:lineRule="atLeast"/>
      <w:rPr>
        <w:rFonts w:ascii="Arial" w:hAnsi="Arial" w:cs="Arial"/>
        <w:lang w:val="en-GB"/>
      </w:rPr>
    </w:pPr>
    <w:r w:rsidRPr="00581A94">
      <w:rPr>
        <w:rFonts w:ascii="Arial" w:hAnsi="Arial" w:cs="Arial"/>
        <w:lang w:val="en-GB"/>
      </w:rPr>
      <w:t xml:space="preserve">for the year ended 31 December </w:t>
    </w:r>
  </w:p>
  <w:p w14:paraId="4D350A04" w14:textId="77777777" w:rsidR="00587444" w:rsidRPr="00581A94" w:rsidRDefault="00587444" w:rsidP="00DD69E7">
    <w:pPr>
      <w:pStyle w:val="BodyText3"/>
      <w:pBdr>
        <w:bottom w:val="single" w:sz="4" w:space="1" w:color="auto"/>
      </w:pBdr>
      <w:spacing w:line="301" w:lineRule="atLeast"/>
      <w:rPr>
        <w:rFonts w:ascii="Arial" w:hAnsi="Arial" w:cs="Arial"/>
        <w:sz w:val="20"/>
      </w:rPr>
    </w:pPr>
    <w:r w:rsidRPr="00581A94">
      <w:rPr>
        <w:rFonts w:ascii="Arial" w:hAnsi="Arial" w:cs="Arial"/>
        <w:sz w:val="20"/>
      </w:rPr>
      <w:t>(All amounts are expressed in HRK thousand)</w:t>
    </w:r>
  </w:p>
  <w:p w14:paraId="06CE24CE" w14:textId="77777777" w:rsidR="00587444" w:rsidRPr="00610870" w:rsidRDefault="00587444" w:rsidP="00DD69E7">
    <w:pPr>
      <w:pStyle w:val="Header"/>
      <w:rPr>
        <w:lang w:val="en-GB"/>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3034F"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Separate Financial Statements of the Bank</w:t>
    </w:r>
  </w:p>
  <w:p w14:paraId="1072D913" w14:textId="77777777" w:rsidR="00587444" w:rsidRPr="00581A94" w:rsidRDefault="00587444" w:rsidP="00DD69E7">
    <w:pPr>
      <w:tabs>
        <w:tab w:val="center" w:pos="4536"/>
        <w:tab w:val="right" w:pos="9072"/>
      </w:tabs>
      <w:rPr>
        <w:rFonts w:ascii="Arial" w:hAnsi="Arial" w:cs="Arial"/>
      </w:rPr>
    </w:pPr>
    <w:r w:rsidRPr="00581A94">
      <w:rPr>
        <w:rFonts w:ascii="Arial" w:hAnsi="Arial" w:cs="Arial"/>
        <w:lang w:val="en-GB"/>
      </w:rPr>
      <w:t>Statement of Changes in Equity</w:t>
    </w:r>
    <w:r w:rsidRPr="00581A94" w:rsidDel="00600CB5">
      <w:rPr>
        <w:rFonts w:ascii="Arial" w:hAnsi="Arial" w:cs="Arial"/>
        <w:lang w:val="en-GB"/>
      </w:rPr>
      <w:t xml:space="preserve"> </w:t>
    </w:r>
  </w:p>
  <w:p w14:paraId="20FE6C8B" w14:textId="77777777" w:rsidR="00587444" w:rsidRPr="00581A94" w:rsidRDefault="00587444" w:rsidP="00DD69E7">
    <w:pPr>
      <w:tabs>
        <w:tab w:val="center" w:pos="4536"/>
        <w:tab w:val="right" w:pos="9072"/>
      </w:tabs>
      <w:spacing w:line="301" w:lineRule="atLeast"/>
      <w:rPr>
        <w:rFonts w:ascii="Arial" w:hAnsi="Arial" w:cs="Arial"/>
        <w:lang w:val="en-GB"/>
      </w:rPr>
    </w:pPr>
    <w:r w:rsidRPr="00581A94">
      <w:rPr>
        <w:rFonts w:ascii="Arial" w:hAnsi="Arial" w:cs="Arial"/>
        <w:lang w:val="en-GB"/>
      </w:rPr>
      <w:t>for the year ended 31 December</w:t>
    </w:r>
  </w:p>
  <w:p w14:paraId="5B96E4A4" w14:textId="77777777" w:rsidR="00587444" w:rsidRPr="00581A94" w:rsidRDefault="00587444" w:rsidP="00DD69E7">
    <w:pPr>
      <w:pStyle w:val="PH"/>
      <w:pBdr>
        <w:bottom w:val="single" w:sz="4" w:space="1" w:color="auto"/>
      </w:pBdr>
      <w:rPr>
        <w:rFonts w:cs="Arial"/>
        <w:sz w:val="20"/>
      </w:rPr>
    </w:pPr>
    <w:r w:rsidRPr="00581A94">
      <w:rPr>
        <w:rFonts w:cs="Arial"/>
        <w:sz w:val="20"/>
      </w:rPr>
      <w:t>(All amounts are expressed in HRK thousand)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98B4" w14:textId="77777777" w:rsidR="00587444" w:rsidRPr="00581A94" w:rsidRDefault="00587444" w:rsidP="00DD69E7">
    <w:pPr>
      <w:autoSpaceDE w:val="0"/>
      <w:adjustRightInd w:val="0"/>
      <w:spacing w:line="300" w:lineRule="exact"/>
      <w:rPr>
        <w:rFonts w:ascii="Arial" w:hAnsi="Arial" w:cs="Arial"/>
      </w:rPr>
    </w:pPr>
    <w:r w:rsidRPr="00581A94">
      <w:rPr>
        <w:rFonts w:ascii="Arial" w:hAnsi="Arial" w:cs="Arial"/>
      </w:rPr>
      <w:t>Notes to the Financial Statements which include significant accounting policies and other explanations</w:t>
    </w:r>
    <w:r w:rsidRPr="00581A94" w:rsidDel="00560F35">
      <w:rPr>
        <w:rFonts w:ascii="Arial" w:hAnsi="Arial" w:cs="Arial"/>
      </w:rPr>
      <w:t xml:space="preserve"> </w:t>
    </w:r>
  </w:p>
  <w:p w14:paraId="396D2FDF" w14:textId="77777777" w:rsidR="00587444" w:rsidRPr="00581A94" w:rsidRDefault="00587444" w:rsidP="00DD69E7">
    <w:pPr>
      <w:autoSpaceDE w:val="0"/>
      <w:adjustRightInd w:val="0"/>
      <w:spacing w:line="301" w:lineRule="atLeast"/>
      <w:rPr>
        <w:rFonts w:ascii="Arial" w:hAnsi="Arial" w:cs="Arial"/>
      </w:rPr>
    </w:pPr>
    <w:r w:rsidRPr="00581A94">
      <w:rPr>
        <w:rFonts w:ascii="Arial" w:hAnsi="Arial" w:cs="Arial"/>
      </w:rPr>
      <w:t>for the year ended 31 December 202</w:t>
    </w:r>
    <w:r>
      <w:rPr>
        <w:rFonts w:ascii="Arial" w:hAnsi="Arial" w:cs="Arial"/>
      </w:rPr>
      <w:t>2</w:t>
    </w:r>
    <w:r w:rsidRPr="00581A94">
      <w:rPr>
        <w:rFonts w:ascii="Arial" w:hAnsi="Arial" w:cs="Arial"/>
      </w:rPr>
      <w:t xml:space="preserve"> </w:t>
    </w:r>
  </w:p>
  <w:p w14:paraId="2CD248DE" w14:textId="77777777" w:rsidR="00587444" w:rsidRPr="00581A94" w:rsidRDefault="00587444" w:rsidP="00DD69E7">
    <w:pPr>
      <w:pStyle w:val="PH"/>
      <w:pBdr>
        <w:bottom w:val="single" w:sz="4" w:space="1" w:color="auto"/>
      </w:pBdr>
      <w:rPr>
        <w:rFonts w:cs="Arial"/>
        <w:sz w:val="20"/>
      </w:rPr>
    </w:pPr>
    <w:r w:rsidRPr="00581A94">
      <w:rPr>
        <w:rFonts w:cs="Arial"/>
        <w:sz w:val="20"/>
      </w:rPr>
      <w:t>(All amounts are expressed in HRK thousand)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ABEE7" w14:textId="77777777" w:rsidR="00587444" w:rsidRPr="00581A94" w:rsidRDefault="00587444" w:rsidP="00DD69E7">
    <w:pPr>
      <w:spacing w:line="300" w:lineRule="exact"/>
      <w:jc w:val="both"/>
      <w:rPr>
        <w:rFonts w:ascii="Arial" w:hAnsi="Arial" w:cs="Arial"/>
      </w:rPr>
    </w:pPr>
    <w:r w:rsidRPr="00581A94">
      <w:rPr>
        <w:rFonts w:ascii="Arial" w:hAnsi="Arial" w:cs="Arial"/>
      </w:rPr>
      <w:t xml:space="preserve">Notes to the Financial Statements which include significant accounting policies and other explanations  </w:t>
    </w:r>
  </w:p>
  <w:p w14:paraId="17FA9A4F" w14:textId="77777777" w:rsidR="00587444" w:rsidRPr="00581A94" w:rsidRDefault="00587444" w:rsidP="00DD69E7">
    <w:pPr>
      <w:spacing w:line="300" w:lineRule="exact"/>
      <w:jc w:val="both"/>
      <w:rPr>
        <w:rFonts w:ascii="Arial" w:hAnsi="Arial" w:cs="Arial"/>
      </w:rPr>
    </w:pPr>
    <w:r w:rsidRPr="00581A94">
      <w:rPr>
        <w:rFonts w:ascii="Arial" w:hAnsi="Arial" w:cs="Arial"/>
      </w:rPr>
      <w:t>for the year ended 31 December 202</w:t>
    </w:r>
    <w:r>
      <w:rPr>
        <w:rFonts w:ascii="Arial" w:hAnsi="Arial" w:cs="Arial"/>
      </w:rPr>
      <w:t>2</w:t>
    </w:r>
    <w:r w:rsidRPr="00581A94">
      <w:rPr>
        <w:rFonts w:ascii="Arial" w:hAnsi="Arial" w:cs="Arial"/>
      </w:rPr>
      <w:t xml:space="preserve"> (continued) </w:t>
    </w:r>
  </w:p>
  <w:p w14:paraId="03FE7BE1" w14:textId="77777777" w:rsidR="00587444" w:rsidRPr="00581A94" w:rsidRDefault="00587444" w:rsidP="00DD69E7">
    <w:pPr>
      <w:pStyle w:val="PH"/>
      <w:pBdr>
        <w:bottom w:val="single" w:sz="4" w:space="1" w:color="auto"/>
      </w:pBdr>
      <w:spacing w:line="300" w:lineRule="exact"/>
      <w:rPr>
        <w:rFonts w:cs="Arial"/>
        <w:sz w:val="20"/>
      </w:rPr>
    </w:pPr>
    <w:r w:rsidRPr="00581A94" w:rsidDel="003659F2">
      <w:rPr>
        <w:rFonts w:cs="Arial"/>
        <w:sz w:val="20"/>
        <w:lang w:val="en-US"/>
      </w:rPr>
      <w:t xml:space="preserve"> </w:t>
    </w:r>
    <w:r w:rsidRPr="00581A94">
      <w:rPr>
        <w:rFonts w:cs="Arial"/>
        <w:sz w:val="20"/>
      </w:rPr>
      <w:t>(All amounts are expressed in HRK thousand)</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779A5" w14:textId="77777777" w:rsidR="00587444" w:rsidRPr="00BD171B" w:rsidRDefault="00587444" w:rsidP="00DD69E7">
    <w:pPr>
      <w:spacing w:line="300" w:lineRule="exact"/>
      <w:jc w:val="both"/>
      <w:rPr>
        <w:rFonts w:ascii="Arial" w:hAnsi="Arial" w:cs="Arial"/>
      </w:rPr>
    </w:pPr>
    <w:r w:rsidRPr="00BD171B">
      <w:rPr>
        <w:rFonts w:ascii="Arial" w:hAnsi="Arial" w:cs="Arial"/>
      </w:rPr>
      <w:t xml:space="preserve">Notes to the Financial Statements which include significant accounting policies and other explanations </w:t>
    </w:r>
  </w:p>
  <w:p w14:paraId="47928B07" w14:textId="77777777" w:rsidR="00587444" w:rsidRPr="00BD171B" w:rsidRDefault="00587444" w:rsidP="00DD69E7">
    <w:pPr>
      <w:spacing w:line="301" w:lineRule="atLeast"/>
      <w:jc w:val="both"/>
      <w:rPr>
        <w:rFonts w:ascii="Arial" w:hAnsi="Arial" w:cs="Arial"/>
      </w:rPr>
    </w:pPr>
    <w:r w:rsidRPr="00BD171B">
      <w:rPr>
        <w:rFonts w:ascii="Arial" w:hAnsi="Arial" w:cs="Arial"/>
      </w:rPr>
      <w:t xml:space="preserve">for the year ended 31 December 2022 (continued) </w:t>
    </w:r>
  </w:p>
  <w:p w14:paraId="5BEC6E72" w14:textId="77777777" w:rsidR="00587444" w:rsidRPr="00BD171B" w:rsidRDefault="00587444" w:rsidP="00DD69E7">
    <w:pPr>
      <w:pStyle w:val="PH"/>
      <w:pBdr>
        <w:bottom w:val="single" w:sz="4" w:space="1" w:color="auto"/>
      </w:pBdr>
      <w:rPr>
        <w:rFonts w:cs="Arial"/>
        <w:sz w:val="20"/>
      </w:rPr>
    </w:pPr>
    <w:r w:rsidRPr="00BD171B" w:rsidDel="003659F2">
      <w:rPr>
        <w:rFonts w:cs="Arial"/>
        <w:sz w:val="20"/>
        <w:lang w:val="en-US"/>
      </w:rPr>
      <w:t xml:space="preserve"> </w:t>
    </w:r>
    <w:r w:rsidRPr="00BD171B">
      <w:rPr>
        <w:rFonts w:cs="Arial"/>
        <w:sz w:val="20"/>
      </w:rPr>
      <w:t>(All amounts are expressed in HRK thousand)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2AC08" w14:textId="77777777" w:rsidR="00587444" w:rsidRDefault="00587444">
    <w:pPr>
      <w:pStyle w:val="Header"/>
      <w:framePr w:wrap="auto" w:vAnchor="text" w:hAnchor="page" w:x="4762" w:y="-311"/>
      <w:rPr>
        <w:rStyle w:val="PageNumber"/>
      </w:rPr>
    </w:pPr>
  </w:p>
  <w:p w14:paraId="637EA238" w14:textId="77777777" w:rsidR="00587444" w:rsidRPr="00DD507C" w:rsidRDefault="00587444">
    <w:pPr>
      <w:pStyle w:val="PH"/>
      <w:pBdr>
        <w:bottom w:val="single" w:sz="4" w:space="1" w:color="auto"/>
      </w:pBdr>
      <w:rPr>
        <w:rFonts w:cs="Arial"/>
        <w:szCs w:val="24"/>
      </w:rPr>
    </w:pPr>
    <w:r w:rsidRPr="00DD507C">
      <w:rPr>
        <w:rFonts w:cs="Arial"/>
        <w:szCs w:val="24"/>
      </w:rPr>
      <w:t>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F8D97" w14:textId="77777777" w:rsidR="00587444" w:rsidRPr="00587444" w:rsidRDefault="00587444" w:rsidP="00DD69E7">
    <w:pPr>
      <w:spacing w:line="300" w:lineRule="exact"/>
      <w:jc w:val="both"/>
      <w:rPr>
        <w:rFonts w:ascii="Calibri" w:hAnsi="Calibri"/>
        <w:sz w:val="28"/>
        <w:szCs w:val="28"/>
      </w:rPr>
    </w:pPr>
    <w:r w:rsidRPr="00587444">
      <w:rPr>
        <w:rFonts w:ascii="Calibri" w:hAnsi="Calibri"/>
        <w:sz w:val="28"/>
        <w:szCs w:val="28"/>
      </w:rPr>
      <w:t xml:space="preserve">Notes to the Financial Statements which include significant accounting policies and other explanations </w:t>
    </w:r>
  </w:p>
  <w:p w14:paraId="07D7AF0D" w14:textId="77777777" w:rsidR="00587444" w:rsidRPr="00587444" w:rsidRDefault="00587444" w:rsidP="00DD69E7">
    <w:pPr>
      <w:spacing w:line="301" w:lineRule="atLeast"/>
      <w:jc w:val="both"/>
      <w:rPr>
        <w:rFonts w:ascii="Calibri" w:hAnsi="Calibri"/>
        <w:sz w:val="28"/>
        <w:szCs w:val="28"/>
      </w:rPr>
    </w:pPr>
    <w:r w:rsidRPr="00587444">
      <w:rPr>
        <w:rFonts w:ascii="Calibri" w:hAnsi="Calibri" w:cs="Arial"/>
        <w:sz w:val="28"/>
        <w:szCs w:val="28"/>
      </w:rPr>
      <w:t xml:space="preserve">for the year ended 31 December 2022 </w:t>
    </w:r>
    <w:r w:rsidRPr="00587444">
      <w:rPr>
        <w:rFonts w:ascii="Calibri" w:hAnsi="Calibri"/>
        <w:sz w:val="28"/>
        <w:szCs w:val="28"/>
      </w:rPr>
      <w:t xml:space="preserve">(continued) </w:t>
    </w:r>
  </w:p>
  <w:p w14:paraId="78634D5A" w14:textId="77777777" w:rsidR="00587444" w:rsidRPr="00587444" w:rsidRDefault="00587444" w:rsidP="00DD69E7">
    <w:pPr>
      <w:pStyle w:val="PH"/>
      <w:pBdr>
        <w:bottom w:val="single" w:sz="4" w:space="1" w:color="auto"/>
      </w:pBdr>
      <w:rPr>
        <w:rFonts w:ascii="Calibri" w:hAnsi="Calibri" w:cs="Arial"/>
        <w:sz w:val="22"/>
        <w:szCs w:val="22"/>
      </w:rPr>
    </w:pPr>
    <w:r w:rsidRPr="00587444" w:rsidDel="003659F2">
      <w:rPr>
        <w:rFonts w:ascii="Calibri" w:hAnsi="Calibri" w:cs="Arial"/>
        <w:sz w:val="28"/>
        <w:szCs w:val="28"/>
        <w:lang w:val="en-US"/>
      </w:rPr>
      <w:t xml:space="preserve"> </w:t>
    </w:r>
    <w:r w:rsidRPr="00587444">
      <w:rPr>
        <w:rFonts w:ascii="Calibri" w:hAnsi="Calibri" w:cs="Arial"/>
        <w:sz w:val="22"/>
        <w:szCs w:val="22"/>
      </w:rPr>
      <w:t>(All amounts are expressed in HRK thousand)</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6195" w14:textId="77777777" w:rsidR="00587444" w:rsidRPr="00587444" w:rsidRDefault="00587444" w:rsidP="00DD69E7">
    <w:pPr>
      <w:spacing w:line="300" w:lineRule="exact"/>
      <w:jc w:val="both"/>
      <w:rPr>
        <w:rFonts w:ascii="Calibri" w:hAnsi="Calibri"/>
        <w:sz w:val="28"/>
        <w:szCs w:val="28"/>
      </w:rPr>
    </w:pPr>
    <w:r w:rsidRPr="00587444">
      <w:rPr>
        <w:rFonts w:ascii="Calibri" w:hAnsi="Calibri"/>
        <w:sz w:val="28"/>
        <w:szCs w:val="28"/>
      </w:rPr>
      <w:t xml:space="preserve">Notes to the Financial Statements which include significant accounting policies and other explanations </w:t>
    </w:r>
  </w:p>
  <w:p w14:paraId="35095803" w14:textId="77777777" w:rsidR="00587444" w:rsidRPr="00587444" w:rsidRDefault="00587444" w:rsidP="00DD69E7">
    <w:pPr>
      <w:spacing w:line="301" w:lineRule="atLeast"/>
      <w:jc w:val="both"/>
      <w:rPr>
        <w:rFonts w:ascii="Calibri" w:hAnsi="Calibri"/>
        <w:sz w:val="28"/>
        <w:szCs w:val="28"/>
      </w:rPr>
    </w:pPr>
    <w:r w:rsidRPr="00587444">
      <w:rPr>
        <w:rFonts w:ascii="Calibri" w:hAnsi="Calibri" w:cs="Arial"/>
        <w:sz w:val="28"/>
        <w:szCs w:val="28"/>
      </w:rPr>
      <w:t xml:space="preserve">for the year ended 31 December 2022 </w:t>
    </w:r>
    <w:r w:rsidRPr="00587444">
      <w:rPr>
        <w:rFonts w:ascii="Calibri" w:hAnsi="Calibri"/>
        <w:sz w:val="28"/>
        <w:szCs w:val="28"/>
      </w:rPr>
      <w:t xml:space="preserve">(continued) </w:t>
    </w:r>
  </w:p>
  <w:p w14:paraId="42823E7C" w14:textId="77777777" w:rsidR="00587444" w:rsidRPr="00587444" w:rsidRDefault="00587444" w:rsidP="00DD69E7">
    <w:pPr>
      <w:pStyle w:val="PH"/>
      <w:pBdr>
        <w:bottom w:val="single" w:sz="4" w:space="1" w:color="auto"/>
      </w:pBdr>
      <w:rPr>
        <w:rFonts w:ascii="Calibri" w:hAnsi="Calibri" w:cs="Arial"/>
        <w:sz w:val="22"/>
        <w:szCs w:val="22"/>
      </w:rPr>
    </w:pPr>
    <w:r w:rsidRPr="00587444" w:rsidDel="003659F2">
      <w:rPr>
        <w:rFonts w:ascii="Calibri" w:hAnsi="Calibri" w:cs="Arial"/>
        <w:sz w:val="28"/>
        <w:szCs w:val="28"/>
        <w:lang w:val="en-US"/>
      </w:rPr>
      <w:t xml:space="preserve"> </w:t>
    </w:r>
    <w:r w:rsidRPr="00587444">
      <w:rPr>
        <w:rFonts w:ascii="Calibri" w:hAnsi="Calibri" w:cs="Arial"/>
        <w:sz w:val="22"/>
        <w:szCs w:val="22"/>
      </w:rPr>
      <w:t>(All amounts are expressed in HRK thousand)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CF25" w14:textId="77777777" w:rsidR="00587444" w:rsidRPr="00587444" w:rsidRDefault="00587444" w:rsidP="00DD69E7">
    <w:pPr>
      <w:spacing w:line="300" w:lineRule="exact"/>
      <w:jc w:val="both"/>
      <w:rPr>
        <w:rFonts w:ascii="Calibri" w:hAnsi="Calibri"/>
        <w:sz w:val="28"/>
        <w:szCs w:val="28"/>
      </w:rPr>
    </w:pPr>
    <w:r w:rsidRPr="00587444">
      <w:rPr>
        <w:rFonts w:ascii="Calibri" w:hAnsi="Calibri"/>
        <w:sz w:val="28"/>
        <w:szCs w:val="28"/>
      </w:rPr>
      <w:t xml:space="preserve">Notes to the Financial Statements which include significant accounting policies and other explanations </w:t>
    </w:r>
  </w:p>
  <w:p w14:paraId="451992D0" w14:textId="77777777" w:rsidR="00587444" w:rsidRPr="00587444" w:rsidRDefault="00587444" w:rsidP="00DD69E7">
    <w:pPr>
      <w:spacing w:line="301" w:lineRule="atLeast"/>
      <w:jc w:val="both"/>
      <w:rPr>
        <w:rFonts w:ascii="Calibri" w:hAnsi="Calibri"/>
        <w:sz w:val="28"/>
        <w:szCs w:val="28"/>
      </w:rPr>
    </w:pPr>
    <w:r w:rsidRPr="00587444">
      <w:rPr>
        <w:rFonts w:ascii="Calibri" w:hAnsi="Calibri" w:cs="Arial"/>
        <w:sz w:val="28"/>
        <w:szCs w:val="28"/>
      </w:rPr>
      <w:t xml:space="preserve">for the year ended 31 December 2022 </w:t>
    </w:r>
    <w:r w:rsidRPr="00587444">
      <w:rPr>
        <w:rFonts w:ascii="Calibri" w:hAnsi="Calibri"/>
        <w:sz w:val="28"/>
        <w:szCs w:val="28"/>
      </w:rPr>
      <w:t xml:space="preserve">(continued) </w:t>
    </w:r>
  </w:p>
  <w:p w14:paraId="0121FD46" w14:textId="77777777" w:rsidR="00587444" w:rsidRDefault="00587444" w:rsidP="00DD69E7">
    <w:pPr>
      <w:pStyle w:val="PH"/>
      <w:pBdr>
        <w:bottom w:val="single" w:sz="4" w:space="1" w:color="auto"/>
      </w:pBdr>
    </w:pPr>
    <w:r w:rsidRPr="00587444" w:rsidDel="003659F2">
      <w:rPr>
        <w:rFonts w:ascii="Calibri" w:hAnsi="Calibri" w:cs="Arial"/>
        <w:sz w:val="28"/>
        <w:szCs w:val="28"/>
        <w:lang w:val="en-US"/>
      </w:rPr>
      <w:t xml:space="preserve"> </w:t>
    </w:r>
    <w:r w:rsidRPr="00587444">
      <w:rPr>
        <w:rFonts w:ascii="Calibri" w:hAnsi="Calibri" w:cs="Arial"/>
        <w:sz w:val="22"/>
        <w:szCs w:val="22"/>
      </w:rPr>
      <w:t>(All amounts are expressed in HRK thousand)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A9635" w14:textId="77777777" w:rsidR="00587444" w:rsidRPr="00587444" w:rsidRDefault="00587444" w:rsidP="00DD69E7">
    <w:pPr>
      <w:spacing w:line="300" w:lineRule="exact"/>
      <w:jc w:val="both"/>
      <w:rPr>
        <w:rFonts w:ascii="Calibri" w:hAnsi="Calibri"/>
        <w:sz w:val="28"/>
        <w:szCs w:val="28"/>
      </w:rPr>
    </w:pPr>
    <w:r w:rsidRPr="00587444">
      <w:rPr>
        <w:rFonts w:ascii="Calibri" w:hAnsi="Calibri"/>
        <w:sz w:val="28"/>
        <w:szCs w:val="28"/>
      </w:rPr>
      <w:t xml:space="preserve">Notes to the Financial Statements which include significant accounting policies and other explanations </w:t>
    </w:r>
  </w:p>
  <w:p w14:paraId="5FA13B0B" w14:textId="77777777" w:rsidR="00587444" w:rsidRPr="00587444" w:rsidRDefault="00587444" w:rsidP="00DD69E7">
    <w:pPr>
      <w:spacing w:line="300" w:lineRule="exact"/>
      <w:jc w:val="both"/>
      <w:rPr>
        <w:rFonts w:ascii="Calibri" w:hAnsi="Calibri"/>
        <w:sz w:val="28"/>
        <w:szCs w:val="28"/>
      </w:rPr>
    </w:pPr>
    <w:r w:rsidRPr="00587444">
      <w:rPr>
        <w:rFonts w:ascii="Calibri" w:hAnsi="Calibri"/>
        <w:sz w:val="28"/>
        <w:szCs w:val="28"/>
      </w:rPr>
      <w:t xml:space="preserve">for the year ended 31 December 2022 (continued) </w:t>
    </w:r>
  </w:p>
  <w:p w14:paraId="4762F7A4" w14:textId="77777777" w:rsidR="00587444" w:rsidRPr="00587444" w:rsidRDefault="00587444" w:rsidP="00DD69E7">
    <w:pPr>
      <w:pBdr>
        <w:bottom w:val="single" w:sz="4" w:space="1" w:color="auto"/>
      </w:pBdr>
      <w:spacing w:line="310" w:lineRule="atLeast"/>
      <w:rPr>
        <w:rFonts w:ascii="Calibri" w:hAnsi="Calibri" w:cs="Calibri"/>
        <w:sz w:val="22"/>
        <w:szCs w:val="22"/>
      </w:rPr>
    </w:pPr>
    <w:r w:rsidRPr="00587444">
      <w:rPr>
        <w:rFonts w:ascii="Calibri" w:hAnsi="Calibri" w:cs="Calibri"/>
        <w:sz w:val="22"/>
        <w:szCs w:val="22"/>
      </w:rPr>
      <w:t xml:space="preserve"> (All amounts are expressed in HRK thousand)</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31AFC" w14:textId="77777777" w:rsidR="00587444" w:rsidRPr="00587444" w:rsidRDefault="00587444" w:rsidP="00DD69E7">
    <w:pPr>
      <w:spacing w:line="300" w:lineRule="exact"/>
      <w:jc w:val="both"/>
      <w:rPr>
        <w:rFonts w:ascii="Calibri" w:hAnsi="Calibri"/>
        <w:sz w:val="28"/>
        <w:szCs w:val="28"/>
      </w:rPr>
    </w:pPr>
    <w:r w:rsidRPr="00587444">
      <w:rPr>
        <w:rFonts w:ascii="Calibri" w:hAnsi="Calibri"/>
        <w:sz w:val="28"/>
        <w:szCs w:val="28"/>
      </w:rPr>
      <w:t xml:space="preserve">Notes to the Financial Statements which include significant accounting policies and other explanations </w:t>
    </w:r>
  </w:p>
  <w:p w14:paraId="62BF1A8C" w14:textId="77777777" w:rsidR="00587444" w:rsidRPr="00587444" w:rsidRDefault="00587444" w:rsidP="00DD69E7">
    <w:pPr>
      <w:spacing w:line="300" w:lineRule="exact"/>
      <w:jc w:val="both"/>
      <w:rPr>
        <w:rFonts w:ascii="Calibri" w:hAnsi="Calibri"/>
        <w:sz w:val="28"/>
        <w:szCs w:val="28"/>
      </w:rPr>
    </w:pPr>
    <w:r w:rsidRPr="00587444">
      <w:rPr>
        <w:rFonts w:ascii="Calibri" w:hAnsi="Calibri"/>
        <w:sz w:val="28"/>
        <w:szCs w:val="28"/>
      </w:rPr>
      <w:t xml:space="preserve">for the year ended 31 December 2022 (continued) </w:t>
    </w:r>
  </w:p>
  <w:p w14:paraId="586A675E" w14:textId="77777777" w:rsidR="00587444" w:rsidRPr="00EA22B8" w:rsidRDefault="00587444" w:rsidP="00DD69E7">
    <w:pPr>
      <w:pBdr>
        <w:bottom w:val="single" w:sz="4" w:space="1" w:color="auto"/>
      </w:pBdr>
      <w:spacing w:line="310" w:lineRule="atLeast"/>
      <w:rPr>
        <w:rFonts w:cs="Arial"/>
        <w:sz w:val="20"/>
        <w:szCs w:val="20"/>
      </w:rPr>
    </w:pPr>
    <w:r w:rsidRPr="00587444">
      <w:rPr>
        <w:rFonts w:ascii="Calibri" w:hAnsi="Calibri" w:cs="Calibri"/>
        <w:sz w:val="28"/>
        <w:szCs w:val="28"/>
      </w:rPr>
      <w:t xml:space="preserve"> </w:t>
    </w:r>
    <w:r w:rsidRPr="00587444">
      <w:rPr>
        <w:rFonts w:ascii="Calibri" w:hAnsi="Calibri" w:cs="Calibri"/>
        <w:sz w:val="20"/>
        <w:szCs w:val="20"/>
      </w:rPr>
      <w:t>(All amounts are expressed in HRK thousand)</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18EBF" w14:textId="77777777" w:rsidR="00587444" w:rsidRPr="00587444" w:rsidRDefault="00587444" w:rsidP="00DD69E7">
    <w:pPr>
      <w:spacing w:line="300" w:lineRule="exact"/>
      <w:jc w:val="both"/>
      <w:rPr>
        <w:rFonts w:ascii="Calibri" w:hAnsi="Calibri"/>
        <w:sz w:val="28"/>
        <w:szCs w:val="28"/>
      </w:rPr>
    </w:pPr>
    <w:r w:rsidRPr="00587444">
      <w:rPr>
        <w:rFonts w:ascii="Calibri" w:hAnsi="Calibri"/>
        <w:sz w:val="28"/>
        <w:szCs w:val="28"/>
      </w:rPr>
      <w:t xml:space="preserve">Notes to the Financial Statements which include significant accounting policies and other explanations </w:t>
    </w:r>
  </w:p>
  <w:p w14:paraId="5EFE0D80" w14:textId="77777777" w:rsidR="00587444" w:rsidRPr="00587444" w:rsidRDefault="00587444" w:rsidP="00DD69E7">
    <w:pPr>
      <w:spacing w:line="301" w:lineRule="atLeast"/>
      <w:jc w:val="both"/>
      <w:rPr>
        <w:rFonts w:ascii="Calibri" w:hAnsi="Calibri"/>
        <w:sz w:val="28"/>
        <w:szCs w:val="28"/>
      </w:rPr>
    </w:pPr>
    <w:r w:rsidRPr="00587444">
      <w:rPr>
        <w:rFonts w:ascii="Calibri" w:hAnsi="Calibri" w:cs="Arial"/>
        <w:sz w:val="28"/>
        <w:szCs w:val="28"/>
      </w:rPr>
      <w:t xml:space="preserve">for the year ended 31 December 2022 </w:t>
    </w:r>
    <w:r w:rsidRPr="00587444">
      <w:rPr>
        <w:rFonts w:ascii="Calibri" w:hAnsi="Calibri"/>
        <w:sz w:val="28"/>
        <w:szCs w:val="28"/>
      </w:rPr>
      <w:t xml:space="preserve">(continued) </w:t>
    </w:r>
  </w:p>
  <w:p w14:paraId="5358D8B7" w14:textId="77777777" w:rsidR="00587444" w:rsidRPr="00587444" w:rsidRDefault="00587444" w:rsidP="00DD69E7">
    <w:pPr>
      <w:pStyle w:val="PH"/>
      <w:pBdr>
        <w:bottom w:val="single" w:sz="4" w:space="1" w:color="auto"/>
      </w:pBdr>
      <w:rPr>
        <w:rFonts w:ascii="Calibri" w:hAnsi="Calibri" w:cs="Arial"/>
        <w:sz w:val="22"/>
        <w:szCs w:val="22"/>
      </w:rPr>
    </w:pPr>
    <w:r w:rsidRPr="00587444" w:rsidDel="003659F2">
      <w:rPr>
        <w:rFonts w:ascii="Calibri" w:hAnsi="Calibri" w:cs="Arial"/>
        <w:sz w:val="28"/>
        <w:szCs w:val="28"/>
        <w:lang w:val="en-US"/>
      </w:rPr>
      <w:t xml:space="preserve"> </w:t>
    </w:r>
    <w:r w:rsidRPr="00587444">
      <w:rPr>
        <w:rFonts w:ascii="Calibri" w:hAnsi="Calibri" w:cs="Arial"/>
        <w:sz w:val="22"/>
        <w:szCs w:val="22"/>
      </w:rPr>
      <w:t>(All amounts are expressed in HRK thousand)</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F73FA" w14:textId="77777777" w:rsidR="00587444" w:rsidRPr="00175775" w:rsidRDefault="00587444" w:rsidP="00DD69E7">
    <w:pPr>
      <w:pStyle w:val="PH"/>
      <w:pBdr>
        <w:bottom w:val="single" w:sz="4" w:space="1" w:color="auto"/>
      </w:pBdr>
      <w:spacing w:line="240" w:lineRule="auto"/>
      <w:jc w:val="both"/>
      <w:rPr>
        <w:rFonts w:cs="Arial"/>
        <w:szCs w:val="24"/>
        <w:lang w:val="en-US"/>
      </w:rPr>
    </w:pPr>
    <w:r w:rsidRPr="00175775">
      <w:rPr>
        <w:rFonts w:cs="Arial"/>
        <w:szCs w:val="24"/>
        <w:lang w:val="en-US"/>
      </w:rPr>
      <w:t>Appendix - financial performance of the HKO Group</w:t>
    </w:r>
  </w:p>
  <w:p w14:paraId="31110EF8" w14:textId="77777777" w:rsidR="00587444" w:rsidRPr="00175775" w:rsidRDefault="00587444" w:rsidP="00DD69E7">
    <w:pPr>
      <w:pStyle w:val="PH"/>
      <w:pBdr>
        <w:bottom w:val="single" w:sz="4" w:space="1" w:color="auto"/>
      </w:pBdr>
      <w:spacing w:line="240" w:lineRule="auto"/>
      <w:jc w:val="both"/>
      <w:rPr>
        <w:rFonts w:cs="Arial"/>
        <w:szCs w:val="24"/>
        <w:lang w:val="en-US"/>
      </w:rPr>
    </w:pPr>
    <w:r w:rsidRPr="00175775">
      <w:rPr>
        <w:rFonts w:cs="Arial"/>
        <w:szCs w:val="24"/>
        <w:lang w:val="en-US"/>
      </w:rPr>
      <w:t>Statement of Profit or Loss and Other Comprehensive Income</w:t>
    </w:r>
  </w:p>
  <w:p w14:paraId="76780F11" w14:textId="77777777" w:rsidR="00587444" w:rsidRPr="00175775" w:rsidRDefault="00587444" w:rsidP="00DD69E7">
    <w:pPr>
      <w:pStyle w:val="PH"/>
      <w:pBdr>
        <w:bottom w:val="single" w:sz="4" w:space="1" w:color="auto"/>
      </w:pBdr>
      <w:spacing w:line="240" w:lineRule="auto"/>
      <w:jc w:val="both"/>
      <w:rPr>
        <w:rFonts w:cs="Arial"/>
        <w:szCs w:val="24"/>
        <w:lang w:val="en-US"/>
      </w:rPr>
    </w:pPr>
    <w:r w:rsidRPr="00175775">
      <w:rPr>
        <w:rFonts w:cs="Arial"/>
        <w:szCs w:val="24"/>
        <w:lang w:val="en-US"/>
      </w:rPr>
      <w:t xml:space="preserve">for the year ended 31 December </w:t>
    </w:r>
  </w:p>
  <w:p w14:paraId="76E6EA3F" w14:textId="77777777" w:rsidR="00587444" w:rsidRPr="00175775" w:rsidRDefault="00587444" w:rsidP="00DD69E7">
    <w:pPr>
      <w:pStyle w:val="PH"/>
      <w:pBdr>
        <w:bottom w:val="single" w:sz="4" w:space="1" w:color="auto"/>
      </w:pBdr>
      <w:spacing w:line="400" w:lineRule="exact"/>
      <w:rPr>
        <w:rFonts w:cs="Arial"/>
        <w:sz w:val="20"/>
      </w:rPr>
    </w:pPr>
    <w:r w:rsidRPr="00175775">
      <w:rPr>
        <w:rFonts w:cs="Arial"/>
        <w:sz w:val="20"/>
      </w:rPr>
      <w:t>(All amounts are expressed in HRK thousand)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E7D0" w14:textId="77777777" w:rsidR="00587444" w:rsidRPr="00175775" w:rsidRDefault="00587444" w:rsidP="00DD69E7">
    <w:pPr>
      <w:pStyle w:val="PH"/>
      <w:pBdr>
        <w:bottom w:val="single" w:sz="4" w:space="1" w:color="auto"/>
      </w:pBdr>
      <w:spacing w:line="240" w:lineRule="auto"/>
      <w:jc w:val="both"/>
      <w:rPr>
        <w:rFonts w:cs="Arial"/>
        <w:szCs w:val="24"/>
      </w:rPr>
    </w:pPr>
    <w:r w:rsidRPr="00175775">
      <w:rPr>
        <w:rFonts w:cs="Arial"/>
        <w:szCs w:val="24"/>
      </w:rPr>
      <w:t>Appendix - financial performance of the HKO Group</w:t>
    </w:r>
  </w:p>
  <w:p w14:paraId="755FF113" w14:textId="77777777" w:rsidR="00587444" w:rsidRPr="00175775" w:rsidRDefault="00587444" w:rsidP="00DD69E7">
    <w:pPr>
      <w:pStyle w:val="PH"/>
      <w:pBdr>
        <w:bottom w:val="single" w:sz="4" w:space="1" w:color="auto"/>
      </w:pBdr>
      <w:spacing w:line="240" w:lineRule="auto"/>
      <w:jc w:val="both"/>
      <w:rPr>
        <w:rFonts w:cs="Arial"/>
        <w:szCs w:val="24"/>
      </w:rPr>
    </w:pPr>
    <w:r w:rsidRPr="00175775">
      <w:rPr>
        <w:rFonts w:cs="Arial"/>
        <w:szCs w:val="24"/>
      </w:rPr>
      <w:t xml:space="preserve">Statement of Financial Position </w:t>
    </w:r>
  </w:p>
  <w:p w14:paraId="7CB04FEC" w14:textId="77777777" w:rsidR="00587444" w:rsidRPr="00175775" w:rsidRDefault="00587444" w:rsidP="00DD69E7">
    <w:pPr>
      <w:pStyle w:val="PH"/>
      <w:pBdr>
        <w:bottom w:val="single" w:sz="4" w:space="1" w:color="auto"/>
      </w:pBdr>
      <w:spacing w:line="240" w:lineRule="auto"/>
      <w:jc w:val="both"/>
      <w:rPr>
        <w:rFonts w:cs="Arial"/>
        <w:szCs w:val="24"/>
      </w:rPr>
    </w:pPr>
    <w:r w:rsidRPr="00175775">
      <w:rPr>
        <w:rFonts w:cs="Arial"/>
        <w:szCs w:val="24"/>
      </w:rPr>
      <w:t>as of 31 December</w:t>
    </w:r>
  </w:p>
  <w:p w14:paraId="12F711D7" w14:textId="77777777" w:rsidR="00587444" w:rsidRPr="00587444" w:rsidRDefault="00587444" w:rsidP="00DD69E7">
    <w:pPr>
      <w:pStyle w:val="PH"/>
      <w:pBdr>
        <w:bottom w:val="single" w:sz="4" w:space="1" w:color="auto"/>
      </w:pBdr>
      <w:spacing w:line="400" w:lineRule="exact"/>
      <w:rPr>
        <w:rFonts w:ascii="Calibri" w:hAnsi="Calibri" w:cs="Arial"/>
        <w:sz w:val="20"/>
      </w:rPr>
    </w:pPr>
    <w:r w:rsidRPr="00587444">
      <w:rPr>
        <w:rFonts w:ascii="Calibri" w:hAnsi="Calibri"/>
        <w:sz w:val="20"/>
      </w:rPr>
      <w:t>(All amounts are expressed in HRK thousand)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1DFDF" w14:textId="77777777" w:rsidR="00587444" w:rsidRPr="00175775" w:rsidRDefault="00587444" w:rsidP="00DD69E7">
    <w:pPr>
      <w:pStyle w:val="PH"/>
      <w:pBdr>
        <w:bottom w:val="single" w:sz="4" w:space="1" w:color="auto"/>
      </w:pBdr>
      <w:spacing w:line="240" w:lineRule="auto"/>
      <w:jc w:val="both"/>
      <w:rPr>
        <w:rFonts w:cs="Arial"/>
        <w:szCs w:val="24"/>
      </w:rPr>
    </w:pPr>
    <w:r w:rsidRPr="00175775">
      <w:rPr>
        <w:rFonts w:cs="Arial"/>
        <w:szCs w:val="24"/>
      </w:rPr>
      <w:t>Appendix - financial performance of the HKO Group</w:t>
    </w:r>
  </w:p>
  <w:p w14:paraId="61DB951B" w14:textId="3648E759" w:rsidR="00816931" w:rsidRDefault="00816931" w:rsidP="00DD69E7">
    <w:pPr>
      <w:pStyle w:val="PH"/>
      <w:pBdr>
        <w:bottom w:val="single" w:sz="4" w:space="1" w:color="auto"/>
      </w:pBdr>
      <w:spacing w:line="240" w:lineRule="auto"/>
      <w:jc w:val="both"/>
      <w:rPr>
        <w:rFonts w:cs="Arial"/>
        <w:szCs w:val="24"/>
      </w:rPr>
    </w:pPr>
    <w:r w:rsidRPr="00816931">
      <w:rPr>
        <w:rFonts w:cs="Arial"/>
        <w:szCs w:val="24"/>
      </w:rPr>
      <w:t>Statement of</w:t>
    </w:r>
    <w:r w:rsidR="00070ED0">
      <w:rPr>
        <w:rFonts w:cs="Arial"/>
        <w:szCs w:val="24"/>
      </w:rPr>
      <w:t xml:space="preserve"> Cash Flows</w:t>
    </w:r>
    <w:r w:rsidRPr="00816931">
      <w:rPr>
        <w:rFonts w:cs="Arial"/>
        <w:szCs w:val="24"/>
      </w:rPr>
      <w:t xml:space="preserve"> </w:t>
    </w:r>
  </w:p>
  <w:p w14:paraId="6CB01B43" w14:textId="7AE304E7" w:rsidR="00587444" w:rsidRPr="00175775" w:rsidRDefault="00587444" w:rsidP="00070ED0">
    <w:pPr>
      <w:pStyle w:val="PH"/>
      <w:pBdr>
        <w:bottom w:val="single" w:sz="4" w:space="1" w:color="auto"/>
      </w:pBdr>
      <w:tabs>
        <w:tab w:val="center" w:pos="4677"/>
      </w:tabs>
      <w:spacing w:line="240" w:lineRule="auto"/>
      <w:jc w:val="both"/>
      <w:rPr>
        <w:rFonts w:cs="Arial"/>
        <w:szCs w:val="24"/>
      </w:rPr>
    </w:pPr>
    <w:r w:rsidRPr="00175775">
      <w:rPr>
        <w:rFonts w:cs="Arial"/>
        <w:szCs w:val="24"/>
      </w:rPr>
      <w:t>for the year ended 31 December</w:t>
    </w:r>
    <w:r w:rsidR="00070ED0">
      <w:rPr>
        <w:rFonts w:cs="Arial"/>
        <w:szCs w:val="24"/>
      </w:rPr>
      <w:tab/>
    </w:r>
  </w:p>
  <w:p w14:paraId="3B12DD70" w14:textId="77777777" w:rsidR="00587444" w:rsidRPr="00175775" w:rsidRDefault="00587444" w:rsidP="00DD69E7">
    <w:pPr>
      <w:pStyle w:val="PH"/>
      <w:pBdr>
        <w:bottom w:val="single" w:sz="4" w:space="1" w:color="auto"/>
      </w:pBdr>
      <w:spacing w:line="400" w:lineRule="exact"/>
      <w:rPr>
        <w:rFonts w:cs="Arial"/>
        <w:sz w:val="20"/>
      </w:rPr>
    </w:pPr>
    <w:r w:rsidRPr="00175775">
      <w:rPr>
        <w:rFonts w:cs="Arial"/>
        <w:sz w:val="20"/>
      </w:rPr>
      <w:t>(All amounts are expressed in HRK thousand)</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7A108" w14:textId="77777777" w:rsidR="00070ED0" w:rsidRPr="00175775" w:rsidRDefault="00070ED0" w:rsidP="00070ED0">
    <w:pPr>
      <w:pStyle w:val="PH"/>
      <w:pBdr>
        <w:bottom w:val="single" w:sz="4" w:space="1" w:color="auto"/>
      </w:pBdr>
      <w:spacing w:line="240" w:lineRule="auto"/>
      <w:jc w:val="both"/>
      <w:rPr>
        <w:rFonts w:cs="Arial"/>
        <w:szCs w:val="24"/>
      </w:rPr>
    </w:pPr>
    <w:r w:rsidRPr="00175775">
      <w:rPr>
        <w:rFonts w:cs="Arial"/>
        <w:szCs w:val="24"/>
      </w:rPr>
      <w:t>Appendix - financial performance of the HKO Group</w:t>
    </w:r>
  </w:p>
  <w:p w14:paraId="4C997B6F" w14:textId="77777777" w:rsidR="00070ED0" w:rsidRDefault="00070ED0" w:rsidP="00070ED0">
    <w:pPr>
      <w:pStyle w:val="PH"/>
      <w:pBdr>
        <w:bottom w:val="single" w:sz="4" w:space="1" w:color="auto"/>
      </w:pBdr>
      <w:spacing w:line="240" w:lineRule="auto"/>
      <w:jc w:val="both"/>
      <w:rPr>
        <w:rFonts w:cs="Arial"/>
        <w:szCs w:val="24"/>
      </w:rPr>
    </w:pPr>
    <w:r w:rsidRPr="00816931">
      <w:rPr>
        <w:rFonts w:cs="Arial"/>
        <w:szCs w:val="24"/>
      </w:rPr>
      <w:t xml:space="preserve">Statement of Changes in Equity </w:t>
    </w:r>
  </w:p>
  <w:p w14:paraId="37212EC3" w14:textId="77777777" w:rsidR="00070ED0" w:rsidRPr="00175775" w:rsidRDefault="00070ED0" w:rsidP="00070ED0">
    <w:pPr>
      <w:pStyle w:val="PH"/>
      <w:pBdr>
        <w:bottom w:val="single" w:sz="4" w:space="1" w:color="auto"/>
      </w:pBdr>
      <w:tabs>
        <w:tab w:val="center" w:pos="4677"/>
      </w:tabs>
      <w:spacing w:line="240" w:lineRule="auto"/>
      <w:jc w:val="both"/>
      <w:rPr>
        <w:rFonts w:cs="Arial"/>
        <w:szCs w:val="24"/>
      </w:rPr>
    </w:pPr>
    <w:r w:rsidRPr="00175775">
      <w:rPr>
        <w:rFonts w:cs="Arial"/>
        <w:szCs w:val="24"/>
      </w:rPr>
      <w:t>for the year ended 31 December</w:t>
    </w:r>
    <w:r>
      <w:rPr>
        <w:rFonts w:cs="Arial"/>
        <w:szCs w:val="24"/>
      </w:rPr>
      <w:tab/>
    </w:r>
  </w:p>
  <w:p w14:paraId="0F0BB5BA" w14:textId="77777777" w:rsidR="00070ED0" w:rsidRPr="00175775" w:rsidRDefault="00070ED0" w:rsidP="00070ED0">
    <w:pPr>
      <w:pStyle w:val="PH"/>
      <w:pBdr>
        <w:bottom w:val="single" w:sz="4" w:space="1" w:color="auto"/>
      </w:pBdr>
      <w:spacing w:line="400" w:lineRule="exact"/>
      <w:rPr>
        <w:rFonts w:cs="Arial"/>
        <w:sz w:val="20"/>
      </w:rPr>
    </w:pPr>
    <w:r w:rsidRPr="00175775">
      <w:rPr>
        <w:rFonts w:cs="Arial"/>
        <w:sz w:val="20"/>
      </w:rPr>
      <w:t>(All amounts are expressed in HRK thousand)</w:t>
    </w:r>
  </w:p>
  <w:p w14:paraId="7D7594A8" w14:textId="77777777" w:rsidR="00F61E6E" w:rsidRDefault="00F61E6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890AB" w14:textId="77777777" w:rsidR="00587444" w:rsidRDefault="00587444">
    <w:pPr>
      <w:pStyle w:val="Header"/>
      <w:framePr w:wrap="auto" w:vAnchor="text" w:hAnchor="page" w:x="4762" w:y="-311"/>
      <w:rPr>
        <w:rStyle w:val="PageNumber"/>
      </w:rPr>
    </w:pPr>
  </w:p>
  <w:p w14:paraId="2D42A446" w14:textId="77777777" w:rsidR="00587444" w:rsidRPr="00587444" w:rsidRDefault="00587444" w:rsidP="00DD69E7">
    <w:pPr>
      <w:pStyle w:val="PH"/>
      <w:pBdr>
        <w:bottom w:val="single" w:sz="4" w:space="1" w:color="auto"/>
      </w:pBdr>
      <w:rPr>
        <w:rFonts w:ascii="Calibri" w:hAnsi="Calibri" w:cs="Arial"/>
        <w:sz w:val="28"/>
        <w:szCs w:val="28"/>
      </w:rPr>
    </w:pPr>
    <w:bookmarkStart w:id="88" w:name="_Hlk130201738"/>
    <w:r w:rsidRPr="00587444">
      <w:rPr>
        <w:rFonts w:ascii="Calibri" w:hAnsi="Calibri" w:cs="Arial"/>
        <w:sz w:val="28"/>
        <w:szCs w:val="28"/>
      </w:rPr>
      <w:t>Responsibilities of the Management and Supervisory Boards for the preparation and approval of the annual report</w:t>
    </w:r>
  </w:p>
  <w:bookmarkEnd w:id="88"/>
  <w:p w14:paraId="70A4D516" w14:textId="77777777" w:rsidR="00587444" w:rsidRPr="00940153" w:rsidRDefault="00587444" w:rsidP="00DD69E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4535"/>
      <w:gridCol w:w="2958"/>
      <w:gridCol w:w="1862"/>
    </w:tblGrid>
    <w:tr w:rsidR="00587444" w14:paraId="53C44B6D" w14:textId="77777777" w:rsidTr="00DD69E7">
      <w:tc>
        <w:tcPr>
          <w:tcW w:w="2424" w:type="pct"/>
        </w:tcPr>
        <w:p w14:paraId="17E1B9CF" w14:textId="77777777" w:rsidR="00587444" w:rsidRDefault="00587444" w:rsidP="00DD69E7">
          <w:pPr>
            <w:pStyle w:val="BDONormal"/>
          </w:pPr>
          <w:bookmarkStart w:id="121" w:name="_Hlk35860014"/>
          <w:r>
            <w:rPr>
              <w:noProof/>
              <w:lang w:val="hr-HR" w:eastAsia="hr-HR"/>
            </w:rPr>
            <w:drawing>
              <wp:inline distT="0" distB="0" distL="0" distR="0" wp14:anchorId="14B51915" wp14:editId="029004AA">
                <wp:extent cx="981075" cy="371475"/>
                <wp:effectExtent l="19050" t="0" r="9525" b="0"/>
                <wp:docPr id="17" name="Picture 17"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981075" cy="371475"/>
                        </a:xfrm>
                        <a:prstGeom prst="rect">
                          <a:avLst/>
                        </a:prstGeom>
                        <a:noFill/>
                        <a:ln w="9525">
                          <a:noFill/>
                          <a:miter lim="800000"/>
                          <a:headEnd/>
                          <a:tailEnd/>
                        </a:ln>
                      </pic:spPr>
                    </pic:pic>
                  </a:graphicData>
                </a:graphic>
              </wp:inline>
            </w:drawing>
          </w:r>
        </w:p>
      </w:tc>
      <w:tc>
        <w:tcPr>
          <w:tcW w:w="1581" w:type="pct"/>
        </w:tcPr>
        <w:p w14:paraId="49A1EFEC" w14:textId="77777777" w:rsidR="00587444" w:rsidRPr="002529C8" w:rsidRDefault="00587444" w:rsidP="00DD69E7">
          <w:pPr>
            <w:pStyle w:val="BDOAddressBold"/>
            <w:rPr>
              <w:b w:val="0"/>
              <w:color w:val="595959"/>
              <w:lang w:val="hr-HR"/>
            </w:rPr>
          </w:pPr>
          <w:r>
            <w:rPr>
              <w:noProof/>
            </w:rPr>
            <w:drawing>
              <wp:anchor distT="0" distB="0" distL="114300" distR="114300" simplePos="0" relativeHeight="251659264" behindDoc="0" locked="0" layoutInCell="1" allowOverlap="1" wp14:anchorId="6A0F8C8D" wp14:editId="718FF02A">
                <wp:simplePos x="0" y="0"/>
                <wp:positionH relativeFrom="margin">
                  <wp:posOffset>356870</wp:posOffset>
                </wp:positionH>
                <wp:positionV relativeFrom="paragraph">
                  <wp:posOffset>-144780</wp:posOffset>
                </wp:positionV>
                <wp:extent cx="2669324" cy="487680"/>
                <wp:effectExtent l="0" t="0" r="0" b="7620"/>
                <wp:wrapNone/>
                <wp:docPr id="18" name="Graphic 18">
                  <a:extLst xmlns:a="http://schemas.openxmlformats.org/drawingml/2006/main">
                    <a:ext uri="{FF2B5EF4-FFF2-40B4-BE49-F238E27FC236}">
                      <a16:creationId xmlns:a16="http://schemas.microsoft.com/office/drawing/2014/main" id="{7EAA3722-2FAB-48BB-B476-4610B15D7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
                          <a:extLst>
                            <a:ext uri="{FF2B5EF4-FFF2-40B4-BE49-F238E27FC236}">
                              <a16:creationId xmlns:a16="http://schemas.microsoft.com/office/drawing/2014/main" id="{7EAA3722-2FAB-48BB-B476-4610B15D7955}"/>
                            </a:ext>
                          </a:extLst>
                        </pic:cNvPr>
                        <pic:cNvPicPr>
                          <a:picLocks noChangeAspect="1"/>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l="5646" t="22127" r="54307"/>
                        <a:stretch/>
                      </pic:blipFill>
                      <pic:spPr bwMode="auto">
                        <a:xfrm>
                          <a:off x="0" y="0"/>
                          <a:ext cx="2669324" cy="487680"/>
                        </a:xfrm>
                        <a:prstGeom prst="rect">
                          <a:avLst/>
                        </a:prstGeom>
                        <a:extLst>
                          <a:ext uri="{53640926-AAD7-44d8-BBD7-CCE9431645EC}">
                            <a14:shadowObscured xmlns:arto="http://schemas.microsoft.com/office/word/2006/arto" xmlns:p="http://schemas.openxmlformats.org/presentationml/2006/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ext>
                        </a:extLst>
                      </pic:spPr>
                    </pic:pic>
                  </a:graphicData>
                </a:graphic>
                <wp14:sizeRelH relativeFrom="page">
                  <wp14:pctWidth>0</wp14:pctWidth>
                </wp14:sizeRelH>
                <wp14:sizeRelV relativeFrom="page">
                  <wp14:pctHeight>0</wp14:pctHeight>
                </wp14:sizeRelV>
              </wp:anchor>
            </w:drawing>
          </w:r>
        </w:p>
      </w:tc>
      <w:tc>
        <w:tcPr>
          <w:tcW w:w="995" w:type="pct"/>
        </w:tcPr>
        <w:p w14:paraId="647E13A3" w14:textId="77777777" w:rsidR="00587444" w:rsidRPr="002529C8" w:rsidRDefault="00587444" w:rsidP="00DD69E7">
          <w:pPr>
            <w:pStyle w:val="BDOAddress"/>
            <w:rPr>
              <w:color w:val="595959"/>
              <w:lang w:val="hr-HR"/>
            </w:rPr>
          </w:pPr>
        </w:p>
      </w:tc>
    </w:tr>
    <w:bookmarkEnd w:id="121"/>
  </w:tbl>
  <w:p w14:paraId="2C8E6E10" w14:textId="77777777" w:rsidR="00587444" w:rsidRPr="00EE47C6" w:rsidRDefault="00587444" w:rsidP="00DD69E7">
    <w:pPr>
      <w:pStyle w:val="Header"/>
      <w:rPr>
        <w:rFonts w:ascii="Trebuchet MS" w:hAnsi="Trebuchet MS"/>
      </w:rPr>
    </w:pPr>
  </w:p>
  <w:p w14:paraId="6F213101" w14:textId="77777777" w:rsidR="00587444" w:rsidRPr="0043509A" w:rsidRDefault="00587444" w:rsidP="00DD69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4535"/>
      <w:gridCol w:w="2958"/>
      <w:gridCol w:w="1862"/>
    </w:tblGrid>
    <w:tr w:rsidR="00587444" w14:paraId="1BEC3BF3" w14:textId="77777777" w:rsidTr="00DD69E7">
      <w:tc>
        <w:tcPr>
          <w:tcW w:w="2424" w:type="pct"/>
        </w:tcPr>
        <w:p w14:paraId="4C732429" w14:textId="77777777" w:rsidR="00587444" w:rsidRDefault="00587444" w:rsidP="00DD69E7">
          <w:pPr>
            <w:pStyle w:val="BDONormal"/>
          </w:pPr>
          <w:r>
            <w:rPr>
              <w:noProof/>
              <w:lang w:val="hr-HR" w:eastAsia="hr-HR"/>
            </w:rPr>
            <w:drawing>
              <wp:inline distT="0" distB="0" distL="0" distR="0" wp14:anchorId="39FD5E2A" wp14:editId="4812421B">
                <wp:extent cx="981075" cy="371475"/>
                <wp:effectExtent l="19050" t="0" r="9525" b="0"/>
                <wp:docPr id="19" name="Picture 19"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981075" cy="371475"/>
                        </a:xfrm>
                        <a:prstGeom prst="rect">
                          <a:avLst/>
                        </a:prstGeom>
                        <a:noFill/>
                        <a:ln w="9525">
                          <a:noFill/>
                          <a:miter lim="800000"/>
                          <a:headEnd/>
                          <a:tailEnd/>
                        </a:ln>
                      </pic:spPr>
                    </pic:pic>
                  </a:graphicData>
                </a:graphic>
              </wp:inline>
            </w:drawing>
          </w:r>
        </w:p>
      </w:tc>
      <w:tc>
        <w:tcPr>
          <w:tcW w:w="1581" w:type="pct"/>
        </w:tcPr>
        <w:p w14:paraId="783F1068" w14:textId="77777777" w:rsidR="00587444" w:rsidRPr="002529C8" w:rsidRDefault="00587444" w:rsidP="00DD69E7">
          <w:pPr>
            <w:pStyle w:val="BDOAddressBold"/>
            <w:rPr>
              <w:b w:val="0"/>
              <w:color w:val="595959"/>
              <w:lang w:val="hr-HR"/>
            </w:rPr>
          </w:pPr>
          <w:r>
            <w:rPr>
              <w:noProof/>
            </w:rPr>
            <w:drawing>
              <wp:anchor distT="0" distB="0" distL="114300" distR="114300" simplePos="0" relativeHeight="251660288" behindDoc="0" locked="0" layoutInCell="1" allowOverlap="1" wp14:anchorId="7F7EDF45" wp14:editId="414855A0">
                <wp:simplePos x="0" y="0"/>
                <wp:positionH relativeFrom="margin">
                  <wp:posOffset>356870</wp:posOffset>
                </wp:positionH>
                <wp:positionV relativeFrom="paragraph">
                  <wp:posOffset>-144780</wp:posOffset>
                </wp:positionV>
                <wp:extent cx="2669324" cy="487680"/>
                <wp:effectExtent l="0" t="0" r="0" b="7620"/>
                <wp:wrapNone/>
                <wp:docPr id="20" name="Graphic 20">
                  <a:extLst xmlns:a="http://schemas.openxmlformats.org/drawingml/2006/main">
                    <a:ext uri="{FF2B5EF4-FFF2-40B4-BE49-F238E27FC236}">
                      <a16:creationId xmlns:a16="http://schemas.microsoft.com/office/drawing/2014/main" id="{7EAA3722-2FAB-48BB-B476-4610B15D7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
                          <a:extLst>
                            <a:ext uri="{FF2B5EF4-FFF2-40B4-BE49-F238E27FC236}">
                              <a16:creationId xmlns:a16="http://schemas.microsoft.com/office/drawing/2014/main" id="{7EAA3722-2FAB-48BB-B476-4610B15D7955}"/>
                            </a:ext>
                          </a:extLst>
                        </pic:cNvPr>
                        <pic:cNvPicPr>
                          <a:picLocks noChangeAspect="1"/>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l="5646" t="22127" r="54307"/>
                        <a:stretch/>
                      </pic:blipFill>
                      <pic:spPr bwMode="auto">
                        <a:xfrm>
                          <a:off x="0" y="0"/>
                          <a:ext cx="2669324" cy="487680"/>
                        </a:xfrm>
                        <a:prstGeom prst="rect">
                          <a:avLst/>
                        </a:prstGeom>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http://schemas.openxmlformats.org/presentationml/2006/main" xmlns:arto="http://schemas.microsoft.com/office/word/2006/arto"/>
                          </a:ext>
                        </a:extLst>
                      </pic:spPr>
                    </pic:pic>
                  </a:graphicData>
                </a:graphic>
                <wp14:sizeRelH relativeFrom="page">
                  <wp14:pctWidth>0</wp14:pctWidth>
                </wp14:sizeRelH>
                <wp14:sizeRelV relativeFrom="page">
                  <wp14:pctHeight>0</wp14:pctHeight>
                </wp14:sizeRelV>
              </wp:anchor>
            </w:drawing>
          </w:r>
        </w:p>
      </w:tc>
      <w:tc>
        <w:tcPr>
          <w:tcW w:w="995" w:type="pct"/>
        </w:tcPr>
        <w:p w14:paraId="26656BFB" w14:textId="77777777" w:rsidR="00587444" w:rsidRPr="002529C8" w:rsidRDefault="00587444" w:rsidP="00DD69E7">
          <w:pPr>
            <w:pStyle w:val="BDOAddress"/>
            <w:rPr>
              <w:color w:val="595959"/>
              <w:lang w:val="hr-HR"/>
            </w:rPr>
          </w:pPr>
        </w:p>
      </w:tc>
    </w:tr>
  </w:tbl>
  <w:p w14:paraId="50C4A2DB" w14:textId="77777777" w:rsidR="00587444" w:rsidRPr="00EE47C6" w:rsidRDefault="00587444" w:rsidP="00DD69E7">
    <w:pPr>
      <w:pStyle w:val="Header"/>
      <w:rPr>
        <w:rFonts w:ascii="Trebuchet MS" w:hAnsi="Trebuchet MS"/>
      </w:rPr>
    </w:pPr>
  </w:p>
  <w:p w14:paraId="22A893A3" w14:textId="77777777" w:rsidR="00587444" w:rsidRPr="00EE47C6" w:rsidRDefault="00587444" w:rsidP="00DD69E7">
    <w:pPr>
      <w:pStyle w:val="Header"/>
      <w:rPr>
        <w:rFonts w:ascii="Trebuchet MS" w:hAnsi="Trebuchet M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4535"/>
      <w:gridCol w:w="2958"/>
      <w:gridCol w:w="1862"/>
    </w:tblGrid>
    <w:tr w:rsidR="0046750D" w14:paraId="4BBC7E5F" w14:textId="77777777" w:rsidTr="00DD69E7">
      <w:tc>
        <w:tcPr>
          <w:tcW w:w="2424" w:type="pct"/>
        </w:tcPr>
        <w:p w14:paraId="3CAF6B57" w14:textId="77777777" w:rsidR="0046750D" w:rsidRDefault="0046750D" w:rsidP="0046750D">
          <w:pPr>
            <w:pStyle w:val="BDONormal"/>
          </w:pPr>
          <w:r>
            <w:rPr>
              <w:noProof/>
              <w:lang w:val="hr-HR" w:eastAsia="hr-HR"/>
            </w:rPr>
            <w:drawing>
              <wp:inline distT="0" distB="0" distL="0" distR="0" wp14:anchorId="1948E3EC" wp14:editId="1C5C8D4F">
                <wp:extent cx="981075" cy="371475"/>
                <wp:effectExtent l="19050" t="0" r="9525" b="0"/>
                <wp:docPr id="2" name="Picture 2"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981075" cy="371475"/>
                        </a:xfrm>
                        <a:prstGeom prst="rect">
                          <a:avLst/>
                        </a:prstGeom>
                        <a:noFill/>
                        <a:ln w="9525">
                          <a:noFill/>
                          <a:miter lim="800000"/>
                          <a:headEnd/>
                          <a:tailEnd/>
                        </a:ln>
                      </pic:spPr>
                    </pic:pic>
                  </a:graphicData>
                </a:graphic>
              </wp:inline>
            </w:drawing>
          </w:r>
        </w:p>
      </w:tc>
      <w:tc>
        <w:tcPr>
          <w:tcW w:w="1581" w:type="pct"/>
        </w:tcPr>
        <w:p w14:paraId="30B5AF44" w14:textId="77777777" w:rsidR="0046750D" w:rsidRPr="002529C8" w:rsidRDefault="0046750D" w:rsidP="0046750D">
          <w:pPr>
            <w:pStyle w:val="BDOAddressBold"/>
            <w:rPr>
              <w:b w:val="0"/>
              <w:color w:val="595959"/>
              <w:lang w:val="hr-HR"/>
            </w:rPr>
          </w:pPr>
          <w:r>
            <w:rPr>
              <w:noProof/>
            </w:rPr>
            <w:drawing>
              <wp:anchor distT="0" distB="0" distL="114300" distR="114300" simplePos="0" relativeHeight="251662336" behindDoc="0" locked="0" layoutInCell="1" allowOverlap="1" wp14:anchorId="25A5C87F" wp14:editId="64097DD6">
                <wp:simplePos x="0" y="0"/>
                <wp:positionH relativeFrom="margin">
                  <wp:posOffset>356870</wp:posOffset>
                </wp:positionH>
                <wp:positionV relativeFrom="paragraph">
                  <wp:posOffset>-144780</wp:posOffset>
                </wp:positionV>
                <wp:extent cx="2669324" cy="487680"/>
                <wp:effectExtent l="0" t="0" r="0" b="7620"/>
                <wp:wrapNone/>
                <wp:docPr id="10" name="Graphic 10">
                  <a:extLst xmlns:a="http://schemas.openxmlformats.org/drawingml/2006/main">
                    <a:ext uri="{FF2B5EF4-FFF2-40B4-BE49-F238E27FC236}">
                      <a16:creationId xmlns:a16="http://schemas.microsoft.com/office/drawing/2014/main" id="{7EAA3722-2FAB-48BB-B476-4610B15D7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
                          <a:extLst>
                            <a:ext uri="{FF2B5EF4-FFF2-40B4-BE49-F238E27FC236}">
                              <a16:creationId xmlns:a16="http://schemas.microsoft.com/office/drawing/2014/main" id="{7EAA3722-2FAB-48BB-B476-4610B15D7955}"/>
                            </a:ext>
                          </a:extLst>
                        </pic:cNvPr>
                        <pic:cNvPicPr>
                          <a:picLocks noChangeAspect="1"/>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l="5646" t="22127" r="54307"/>
                        <a:stretch/>
                      </pic:blipFill>
                      <pic:spPr bwMode="auto">
                        <a:xfrm>
                          <a:off x="0" y="0"/>
                          <a:ext cx="2669324" cy="487680"/>
                        </a:xfrm>
                        <a:prstGeom prst="rect">
                          <a:avLst/>
                        </a:prstGeom>
                        <a:extLst>
                          <a:ext uri="{53640926-AAD7-44d8-BBD7-CCE9431645EC}">
                            <a14:shadowObscured xmlns:arto="http://schemas.microsoft.com/office/word/2006/arto" xmlns:p="http://schemas.openxmlformats.org/presentationml/2006/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ext>
                        </a:extLst>
                      </pic:spPr>
                    </pic:pic>
                  </a:graphicData>
                </a:graphic>
                <wp14:sizeRelH relativeFrom="page">
                  <wp14:pctWidth>0</wp14:pctWidth>
                </wp14:sizeRelH>
                <wp14:sizeRelV relativeFrom="page">
                  <wp14:pctHeight>0</wp14:pctHeight>
                </wp14:sizeRelV>
              </wp:anchor>
            </w:drawing>
          </w:r>
        </w:p>
      </w:tc>
      <w:tc>
        <w:tcPr>
          <w:tcW w:w="995" w:type="pct"/>
        </w:tcPr>
        <w:p w14:paraId="45118231" w14:textId="77777777" w:rsidR="0046750D" w:rsidRPr="002529C8" w:rsidRDefault="0046750D" w:rsidP="0046750D">
          <w:pPr>
            <w:pStyle w:val="BDOAddress"/>
            <w:rPr>
              <w:color w:val="595959"/>
              <w:lang w:val="hr-HR"/>
            </w:rPr>
          </w:pPr>
        </w:p>
      </w:tc>
    </w:tr>
  </w:tbl>
  <w:p w14:paraId="04CAA4E3" w14:textId="77777777" w:rsidR="00587444" w:rsidRPr="0046750D" w:rsidRDefault="00587444" w:rsidP="0046750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81DDF"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Consolidated Financial Statements of the Group</w:t>
    </w:r>
  </w:p>
  <w:p w14:paraId="227EE335" w14:textId="77777777" w:rsidR="00587444" w:rsidRPr="00581A94" w:rsidRDefault="00587444" w:rsidP="00DD69E7">
    <w:pPr>
      <w:pStyle w:val="PH"/>
      <w:rPr>
        <w:rFonts w:cs="Arial"/>
        <w:szCs w:val="24"/>
      </w:rPr>
    </w:pPr>
    <w:r w:rsidRPr="00581A94">
      <w:rPr>
        <w:rFonts w:cs="Arial"/>
        <w:szCs w:val="24"/>
      </w:rPr>
      <w:t>Income Statement</w:t>
    </w:r>
  </w:p>
  <w:p w14:paraId="78DF3102" w14:textId="77777777" w:rsidR="00587444" w:rsidRPr="00581A94" w:rsidRDefault="00587444" w:rsidP="00DD69E7">
    <w:pPr>
      <w:pStyle w:val="PH"/>
      <w:rPr>
        <w:rFonts w:cs="Arial"/>
        <w:szCs w:val="24"/>
      </w:rPr>
    </w:pPr>
    <w:r w:rsidRPr="00581A94">
      <w:rPr>
        <w:rFonts w:cs="Arial"/>
        <w:szCs w:val="24"/>
      </w:rPr>
      <w:t xml:space="preserve">for the year ended 31 December </w:t>
    </w:r>
  </w:p>
  <w:p w14:paraId="256801E1" w14:textId="77777777" w:rsidR="00587444" w:rsidRPr="00581A94" w:rsidRDefault="00587444" w:rsidP="00DD69E7">
    <w:pPr>
      <w:pStyle w:val="Header"/>
      <w:pBdr>
        <w:bottom w:val="single" w:sz="4" w:space="1" w:color="auto"/>
      </w:pBdr>
      <w:spacing w:line="301" w:lineRule="atLeast"/>
      <w:rPr>
        <w:rFonts w:ascii="Arial" w:hAnsi="Arial" w:cs="Arial"/>
        <w:i/>
        <w:iCs/>
        <w:color w:val="00338D"/>
        <w:sz w:val="20"/>
      </w:rPr>
    </w:pPr>
    <w:r w:rsidRPr="00581A94">
      <w:rPr>
        <w:rFonts w:ascii="Arial" w:hAnsi="Arial" w:cs="Arial"/>
        <w:iCs/>
        <w:sz w:val="20"/>
      </w:rPr>
      <w:t>(All amounts are expressed in HRK thousand)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C84B8"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Consolidated Financial Statements of the Group</w:t>
    </w:r>
  </w:p>
  <w:p w14:paraId="77FC6BEB"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Statement of Profit or Loss and Other Comprehensive Income</w:t>
    </w:r>
  </w:p>
  <w:p w14:paraId="29C517D9" w14:textId="77777777" w:rsidR="00587444" w:rsidRPr="00581A94" w:rsidRDefault="00587444" w:rsidP="00DD69E7">
    <w:pPr>
      <w:tabs>
        <w:tab w:val="center" w:pos="4536"/>
        <w:tab w:val="right" w:pos="9072"/>
      </w:tabs>
      <w:spacing w:line="301" w:lineRule="atLeast"/>
      <w:rPr>
        <w:rFonts w:ascii="Arial" w:hAnsi="Arial" w:cs="Arial"/>
        <w:lang w:val="en-GB"/>
      </w:rPr>
    </w:pPr>
    <w:r w:rsidRPr="00581A94">
      <w:rPr>
        <w:rFonts w:ascii="Arial" w:hAnsi="Arial" w:cs="Arial"/>
        <w:lang w:val="en-GB"/>
      </w:rPr>
      <w:t>for the year</w:t>
    </w:r>
    <w:r w:rsidRPr="00581A94">
      <w:rPr>
        <w:rFonts w:ascii="Arial" w:hAnsi="Arial" w:cs="Arial"/>
      </w:rPr>
      <w:t xml:space="preserve"> </w:t>
    </w:r>
    <w:r w:rsidRPr="00581A94">
      <w:rPr>
        <w:rFonts w:ascii="Arial" w:hAnsi="Arial" w:cs="Arial"/>
        <w:lang w:val="en-GB"/>
      </w:rPr>
      <w:t xml:space="preserve">ended 31 December </w:t>
    </w:r>
  </w:p>
  <w:p w14:paraId="0930B4E1" w14:textId="77777777" w:rsidR="00587444" w:rsidRPr="00581A94" w:rsidRDefault="00587444" w:rsidP="00DD69E7">
    <w:pPr>
      <w:pStyle w:val="PH"/>
      <w:pBdr>
        <w:bottom w:val="single" w:sz="4" w:space="1" w:color="auto"/>
      </w:pBdr>
      <w:rPr>
        <w:rFonts w:cs="Arial"/>
        <w:sz w:val="20"/>
      </w:rPr>
    </w:pPr>
    <w:r w:rsidRPr="00581A94">
      <w:rPr>
        <w:rFonts w:cs="Arial"/>
        <w:sz w:val="20"/>
        <w:lang w:val="en-US"/>
      </w:rPr>
      <w:t>(All amounts are expressed in HRK thousand)</w:t>
    </w:r>
  </w:p>
  <w:p w14:paraId="2C97D56F" w14:textId="77777777" w:rsidR="00587444" w:rsidRPr="00AC4579" w:rsidRDefault="00587444" w:rsidP="00DD69E7">
    <w:pPr>
      <w:pStyle w:val="BodyText3"/>
      <w:rPr>
        <w:sz w:val="8"/>
        <w:szCs w:val="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F2EFB" w14:textId="77777777" w:rsidR="00587444" w:rsidRPr="00581A94" w:rsidRDefault="00587444">
    <w:pPr>
      <w:tabs>
        <w:tab w:val="center" w:pos="4536"/>
        <w:tab w:val="right" w:pos="9072"/>
      </w:tabs>
      <w:rPr>
        <w:rFonts w:ascii="Arial" w:hAnsi="Arial" w:cs="Arial"/>
        <w:lang w:val="en-GB"/>
      </w:rPr>
    </w:pPr>
    <w:bookmarkStart w:id="192" w:name="_Hlk532893537"/>
    <w:r w:rsidRPr="00581A94">
      <w:rPr>
        <w:rFonts w:ascii="Arial" w:hAnsi="Arial" w:cs="Arial"/>
        <w:lang w:val="en-GB"/>
      </w:rPr>
      <w:t>Consolidated Financial Statements of the Group</w:t>
    </w:r>
  </w:p>
  <w:bookmarkEnd w:id="192"/>
  <w:p w14:paraId="3F1A4081" w14:textId="77777777" w:rsidR="00587444" w:rsidRPr="00581A94" w:rsidRDefault="00587444">
    <w:pPr>
      <w:tabs>
        <w:tab w:val="center" w:pos="4536"/>
        <w:tab w:val="right" w:pos="9072"/>
      </w:tabs>
      <w:rPr>
        <w:rFonts w:ascii="Arial" w:hAnsi="Arial" w:cs="Arial"/>
        <w:lang w:val="en-GB"/>
      </w:rPr>
    </w:pPr>
    <w:r w:rsidRPr="00581A94">
      <w:rPr>
        <w:rFonts w:ascii="Arial" w:hAnsi="Arial" w:cs="Arial"/>
        <w:lang w:val="en-GB"/>
      </w:rPr>
      <w:t xml:space="preserve">Statement of Financial Position </w:t>
    </w:r>
  </w:p>
  <w:p w14:paraId="6D296F39" w14:textId="77777777" w:rsidR="00587444" w:rsidRPr="00581A94" w:rsidRDefault="00587444" w:rsidP="00DD69E7">
    <w:pPr>
      <w:tabs>
        <w:tab w:val="center" w:pos="4536"/>
        <w:tab w:val="right" w:pos="9072"/>
      </w:tabs>
      <w:spacing w:line="301" w:lineRule="atLeast"/>
      <w:rPr>
        <w:rFonts w:ascii="Arial" w:hAnsi="Arial" w:cs="Arial"/>
        <w:lang w:val="en-GB"/>
      </w:rPr>
    </w:pPr>
    <w:r w:rsidRPr="00581A94">
      <w:rPr>
        <w:rFonts w:ascii="Arial" w:hAnsi="Arial" w:cs="Arial"/>
        <w:lang w:val="en-GB"/>
      </w:rPr>
      <w:t xml:space="preserve">as of 31 December </w:t>
    </w:r>
  </w:p>
  <w:p w14:paraId="699CE028" w14:textId="77777777" w:rsidR="00587444" w:rsidRPr="00581A94" w:rsidRDefault="00587444" w:rsidP="00DD69E7">
    <w:pPr>
      <w:pStyle w:val="PH"/>
      <w:pBdr>
        <w:bottom w:val="single" w:sz="4" w:space="1" w:color="auto"/>
      </w:pBdr>
      <w:rPr>
        <w:rFonts w:cs="Arial"/>
        <w:sz w:val="20"/>
      </w:rPr>
    </w:pPr>
    <w:r w:rsidRPr="00581A94">
      <w:rPr>
        <w:rFonts w:cs="Arial"/>
        <w:sz w:val="20"/>
        <w:lang w:val="en-US"/>
      </w:rPr>
      <w:t>(All amounts are expressed in HRK thousand)</w:t>
    </w:r>
  </w:p>
  <w:p w14:paraId="42504183" w14:textId="77777777" w:rsidR="00587444" w:rsidRPr="00AC4579" w:rsidRDefault="00587444" w:rsidP="00DD69E7">
    <w:pPr>
      <w:pStyle w:val="BodyText3"/>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5BE0"/>
    <w:multiLevelType w:val="hybridMultilevel"/>
    <w:tmpl w:val="FBA0B41C"/>
    <w:lvl w:ilvl="0" w:tplc="BDD2C8A6">
      <w:numFmt w:val="bullet"/>
      <w:lvlText w:val="-"/>
      <w:lvlJc w:val="left"/>
      <w:pPr>
        <w:ind w:left="1068" w:hanging="360"/>
      </w:pPr>
      <w:rPr>
        <w:rFonts w:ascii="Calibri" w:eastAsia="Times New Roman" w:hAnsi="Calibri"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15:restartNumberingAfterBreak="0">
    <w:nsid w:val="058D13A6"/>
    <w:multiLevelType w:val="hybridMultilevel"/>
    <w:tmpl w:val="D61A44BC"/>
    <w:lvl w:ilvl="0" w:tplc="BDD2C8A6">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F2379"/>
    <w:multiLevelType w:val="hybridMultilevel"/>
    <w:tmpl w:val="1F66D4E4"/>
    <w:lvl w:ilvl="0" w:tplc="041A0001">
      <w:start w:val="1"/>
      <w:numFmt w:val="bullet"/>
      <w:lvlText w:val=""/>
      <w:lvlJc w:val="left"/>
      <w:pPr>
        <w:ind w:left="771" w:hanging="360"/>
      </w:pPr>
      <w:rPr>
        <w:rFonts w:ascii="Symbol" w:hAnsi="Symbol" w:hint="default"/>
      </w:rPr>
    </w:lvl>
    <w:lvl w:ilvl="1" w:tplc="041A0003">
      <w:start w:val="1"/>
      <w:numFmt w:val="bullet"/>
      <w:lvlText w:val="o"/>
      <w:lvlJc w:val="left"/>
      <w:pPr>
        <w:ind w:left="1491" w:hanging="360"/>
      </w:pPr>
      <w:rPr>
        <w:rFonts w:ascii="Courier New" w:hAnsi="Courier New" w:cs="Courier New" w:hint="default"/>
      </w:rPr>
    </w:lvl>
    <w:lvl w:ilvl="2" w:tplc="041A0005" w:tentative="1">
      <w:start w:val="1"/>
      <w:numFmt w:val="bullet"/>
      <w:lvlText w:val=""/>
      <w:lvlJc w:val="left"/>
      <w:pPr>
        <w:ind w:left="2211" w:hanging="360"/>
      </w:pPr>
      <w:rPr>
        <w:rFonts w:ascii="Wingdings" w:hAnsi="Wingdings" w:hint="default"/>
      </w:rPr>
    </w:lvl>
    <w:lvl w:ilvl="3" w:tplc="041A0001" w:tentative="1">
      <w:start w:val="1"/>
      <w:numFmt w:val="bullet"/>
      <w:lvlText w:val=""/>
      <w:lvlJc w:val="left"/>
      <w:pPr>
        <w:ind w:left="2931" w:hanging="360"/>
      </w:pPr>
      <w:rPr>
        <w:rFonts w:ascii="Symbol" w:hAnsi="Symbol" w:hint="default"/>
      </w:rPr>
    </w:lvl>
    <w:lvl w:ilvl="4" w:tplc="041A0003" w:tentative="1">
      <w:start w:val="1"/>
      <w:numFmt w:val="bullet"/>
      <w:lvlText w:val="o"/>
      <w:lvlJc w:val="left"/>
      <w:pPr>
        <w:ind w:left="3651" w:hanging="360"/>
      </w:pPr>
      <w:rPr>
        <w:rFonts w:ascii="Courier New" w:hAnsi="Courier New" w:cs="Courier New" w:hint="default"/>
      </w:rPr>
    </w:lvl>
    <w:lvl w:ilvl="5" w:tplc="041A0005" w:tentative="1">
      <w:start w:val="1"/>
      <w:numFmt w:val="bullet"/>
      <w:lvlText w:val=""/>
      <w:lvlJc w:val="left"/>
      <w:pPr>
        <w:ind w:left="4371" w:hanging="360"/>
      </w:pPr>
      <w:rPr>
        <w:rFonts w:ascii="Wingdings" w:hAnsi="Wingdings" w:hint="default"/>
      </w:rPr>
    </w:lvl>
    <w:lvl w:ilvl="6" w:tplc="041A0001" w:tentative="1">
      <w:start w:val="1"/>
      <w:numFmt w:val="bullet"/>
      <w:lvlText w:val=""/>
      <w:lvlJc w:val="left"/>
      <w:pPr>
        <w:ind w:left="5091" w:hanging="360"/>
      </w:pPr>
      <w:rPr>
        <w:rFonts w:ascii="Symbol" w:hAnsi="Symbol" w:hint="default"/>
      </w:rPr>
    </w:lvl>
    <w:lvl w:ilvl="7" w:tplc="041A0003" w:tentative="1">
      <w:start w:val="1"/>
      <w:numFmt w:val="bullet"/>
      <w:lvlText w:val="o"/>
      <w:lvlJc w:val="left"/>
      <w:pPr>
        <w:ind w:left="5811" w:hanging="360"/>
      </w:pPr>
      <w:rPr>
        <w:rFonts w:ascii="Courier New" w:hAnsi="Courier New" w:cs="Courier New" w:hint="default"/>
      </w:rPr>
    </w:lvl>
    <w:lvl w:ilvl="8" w:tplc="041A0005" w:tentative="1">
      <w:start w:val="1"/>
      <w:numFmt w:val="bullet"/>
      <w:lvlText w:val=""/>
      <w:lvlJc w:val="left"/>
      <w:pPr>
        <w:ind w:left="6531" w:hanging="360"/>
      </w:pPr>
      <w:rPr>
        <w:rFonts w:ascii="Wingdings" w:hAnsi="Wingdings" w:hint="default"/>
      </w:rPr>
    </w:lvl>
  </w:abstractNum>
  <w:abstractNum w:abstractNumId="3" w15:restartNumberingAfterBreak="0">
    <w:nsid w:val="0637115B"/>
    <w:multiLevelType w:val="hybridMultilevel"/>
    <w:tmpl w:val="4AEE0C9C"/>
    <w:lvl w:ilvl="0" w:tplc="54E4167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B65AEA"/>
    <w:multiLevelType w:val="hybridMultilevel"/>
    <w:tmpl w:val="BB148122"/>
    <w:lvl w:ilvl="0" w:tplc="FFFFFFFF">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ED7450"/>
    <w:multiLevelType w:val="multilevel"/>
    <w:tmpl w:val="EA8802D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6" w15:restartNumberingAfterBreak="0">
    <w:nsid w:val="0AB458B5"/>
    <w:multiLevelType w:val="hybridMultilevel"/>
    <w:tmpl w:val="B9D84720"/>
    <w:lvl w:ilvl="0" w:tplc="2D928086">
      <w:start w:val="1"/>
      <w:numFmt w:val="decimal"/>
      <w:lvlText w:val="%1."/>
      <w:lvlJc w:val="left"/>
      <w:pPr>
        <w:tabs>
          <w:tab w:val="num" w:pos="720"/>
        </w:tabs>
        <w:ind w:left="720" w:hanging="360"/>
      </w:pPr>
      <w:rPr>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 w15:restartNumberingAfterBreak="0">
    <w:nsid w:val="0AE82946"/>
    <w:multiLevelType w:val="hybridMultilevel"/>
    <w:tmpl w:val="5F84E4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C1776F8"/>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9" w15:restartNumberingAfterBreak="0">
    <w:nsid w:val="0D78701D"/>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10" w15:restartNumberingAfterBreak="0">
    <w:nsid w:val="0DAC4302"/>
    <w:multiLevelType w:val="hybridMultilevel"/>
    <w:tmpl w:val="B81A4A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DF80767"/>
    <w:multiLevelType w:val="hybridMultilevel"/>
    <w:tmpl w:val="39E20F9C"/>
    <w:lvl w:ilvl="0" w:tplc="389E5C28">
      <w:numFmt w:val="bullet"/>
      <w:lvlText w:val="-"/>
      <w:lvlJc w:val="left"/>
      <w:pPr>
        <w:ind w:left="72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04E236D"/>
    <w:multiLevelType w:val="multilevel"/>
    <w:tmpl w:val="95102BC4"/>
    <w:styleLink w:val="LFO6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4117306"/>
    <w:multiLevelType w:val="multilevel"/>
    <w:tmpl w:val="0FFA3F3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4" w15:restartNumberingAfterBreak="0">
    <w:nsid w:val="15370918"/>
    <w:multiLevelType w:val="hybridMultilevel"/>
    <w:tmpl w:val="1B74A8FC"/>
    <w:lvl w:ilvl="0" w:tplc="89A2892E">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126978"/>
    <w:multiLevelType w:val="hybridMultilevel"/>
    <w:tmpl w:val="E85CD212"/>
    <w:lvl w:ilvl="0" w:tplc="041A0001">
      <w:start w:val="1"/>
      <w:numFmt w:val="bullet"/>
      <w:lvlText w:val=""/>
      <w:lvlJc w:val="left"/>
      <w:pPr>
        <w:ind w:left="1069" w:hanging="360"/>
      </w:pPr>
      <w:rPr>
        <w:rFonts w:ascii="Symbol" w:hAnsi="Symbol" w:hint="default"/>
      </w:rPr>
    </w:lvl>
    <w:lvl w:ilvl="1" w:tplc="041A0019">
      <w:start w:val="1"/>
      <w:numFmt w:val="lowerLetter"/>
      <w:lvlText w:val="%2."/>
      <w:lvlJc w:val="left"/>
      <w:pPr>
        <w:ind w:left="1789" w:hanging="360"/>
      </w:pPr>
    </w:lvl>
    <w:lvl w:ilvl="2" w:tplc="041A001B">
      <w:start w:val="1"/>
      <w:numFmt w:val="lowerRoman"/>
      <w:lvlText w:val="%3."/>
      <w:lvlJc w:val="right"/>
      <w:pPr>
        <w:ind w:left="2509" w:hanging="180"/>
      </w:pPr>
    </w:lvl>
    <w:lvl w:ilvl="3" w:tplc="041A000F">
      <w:start w:val="1"/>
      <w:numFmt w:val="decimal"/>
      <w:lvlText w:val="%4."/>
      <w:lvlJc w:val="left"/>
      <w:pPr>
        <w:ind w:left="3229" w:hanging="360"/>
      </w:pPr>
    </w:lvl>
    <w:lvl w:ilvl="4" w:tplc="041A0019">
      <w:start w:val="1"/>
      <w:numFmt w:val="lowerLetter"/>
      <w:lvlText w:val="%5."/>
      <w:lvlJc w:val="left"/>
      <w:pPr>
        <w:ind w:left="3949" w:hanging="360"/>
      </w:pPr>
    </w:lvl>
    <w:lvl w:ilvl="5" w:tplc="041A001B">
      <w:start w:val="1"/>
      <w:numFmt w:val="lowerRoman"/>
      <w:lvlText w:val="%6."/>
      <w:lvlJc w:val="right"/>
      <w:pPr>
        <w:ind w:left="4669" w:hanging="180"/>
      </w:pPr>
    </w:lvl>
    <w:lvl w:ilvl="6" w:tplc="041A000F">
      <w:start w:val="1"/>
      <w:numFmt w:val="decimal"/>
      <w:lvlText w:val="%7."/>
      <w:lvlJc w:val="left"/>
      <w:pPr>
        <w:ind w:left="5389" w:hanging="360"/>
      </w:pPr>
    </w:lvl>
    <w:lvl w:ilvl="7" w:tplc="041A0019">
      <w:start w:val="1"/>
      <w:numFmt w:val="lowerLetter"/>
      <w:lvlText w:val="%8."/>
      <w:lvlJc w:val="left"/>
      <w:pPr>
        <w:ind w:left="6109" w:hanging="360"/>
      </w:pPr>
    </w:lvl>
    <w:lvl w:ilvl="8" w:tplc="041A001B">
      <w:start w:val="1"/>
      <w:numFmt w:val="lowerRoman"/>
      <w:lvlText w:val="%9."/>
      <w:lvlJc w:val="right"/>
      <w:pPr>
        <w:ind w:left="6829" w:hanging="180"/>
      </w:pPr>
    </w:lvl>
  </w:abstractNum>
  <w:abstractNum w:abstractNumId="16" w15:restartNumberingAfterBreak="0">
    <w:nsid w:val="17F7245A"/>
    <w:multiLevelType w:val="multilevel"/>
    <w:tmpl w:val="82FC88FE"/>
    <w:lvl w:ilvl="0">
      <w:start w:val="5"/>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17" w15:restartNumberingAfterBreak="0">
    <w:nsid w:val="19730E80"/>
    <w:multiLevelType w:val="multilevel"/>
    <w:tmpl w:val="DF28BA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15:restartNumberingAfterBreak="0">
    <w:nsid w:val="19CC584F"/>
    <w:multiLevelType w:val="multilevel"/>
    <w:tmpl w:val="4AEA5B98"/>
    <w:lvl w:ilvl="0">
      <w:start w:val="3"/>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19" w15:restartNumberingAfterBreak="0">
    <w:nsid w:val="1BE72493"/>
    <w:multiLevelType w:val="hybridMultilevel"/>
    <w:tmpl w:val="BF12CC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DDB0ACB"/>
    <w:multiLevelType w:val="hybridMultilevel"/>
    <w:tmpl w:val="4AD060C0"/>
    <w:lvl w:ilvl="0" w:tplc="389E5C28">
      <w:numFmt w:val="bullet"/>
      <w:lvlText w:val="-"/>
      <w:lvlJc w:val="left"/>
      <w:pPr>
        <w:ind w:left="1353"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E497ED6"/>
    <w:multiLevelType w:val="multilevel"/>
    <w:tmpl w:val="5126786E"/>
    <w:lvl w:ilvl="0">
      <w:start w:val="6"/>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2" w15:restartNumberingAfterBreak="0">
    <w:nsid w:val="1F012849"/>
    <w:multiLevelType w:val="hybridMultilevel"/>
    <w:tmpl w:val="1004AC32"/>
    <w:lvl w:ilvl="0" w:tplc="AAA4F85C">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AFBA18AE">
      <w:start w:val="1903"/>
      <w:numFmt w:val="bullet"/>
      <w:lvlText w:val="-"/>
      <w:lvlJc w:val="left"/>
      <w:pPr>
        <w:ind w:left="2340" w:hanging="360"/>
      </w:pPr>
      <w:rPr>
        <w:rFonts w:ascii="Calibri" w:eastAsiaTheme="minorEastAsia" w:hAnsi="Calibri" w:cs="Calibri"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1F6F0ED6"/>
    <w:multiLevelType w:val="hybridMultilevel"/>
    <w:tmpl w:val="F280D9D0"/>
    <w:lvl w:ilvl="0" w:tplc="389E5C28">
      <w:numFmt w:val="bullet"/>
      <w:lvlText w:val="-"/>
      <w:lvlJc w:val="left"/>
      <w:pPr>
        <w:tabs>
          <w:tab w:val="num" w:pos="949"/>
        </w:tabs>
        <w:ind w:left="949" w:hanging="360"/>
      </w:pPr>
      <w:rPr>
        <w:rFonts w:ascii="Calibri" w:eastAsia="Times New Roman" w:hAnsi="Calibri" w:cs="Calibri" w:hint="default"/>
        <w:color w:val="auto"/>
      </w:rPr>
    </w:lvl>
    <w:lvl w:ilvl="1" w:tplc="041A0003">
      <w:start w:val="1"/>
      <w:numFmt w:val="bullet"/>
      <w:lvlText w:val="o"/>
      <w:lvlJc w:val="left"/>
      <w:pPr>
        <w:tabs>
          <w:tab w:val="num" w:pos="1026"/>
        </w:tabs>
        <w:ind w:left="1026" w:hanging="360"/>
      </w:pPr>
      <w:rPr>
        <w:rFonts w:ascii="Courier New" w:hAnsi="Courier New" w:cs="Courier New" w:hint="default"/>
      </w:rPr>
    </w:lvl>
    <w:lvl w:ilvl="2" w:tplc="041A0005">
      <w:start w:val="1"/>
      <w:numFmt w:val="bullet"/>
      <w:lvlText w:val=""/>
      <w:lvlJc w:val="left"/>
      <w:pPr>
        <w:tabs>
          <w:tab w:val="num" w:pos="1746"/>
        </w:tabs>
        <w:ind w:left="1746" w:hanging="360"/>
      </w:pPr>
      <w:rPr>
        <w:rFonts w:ascii="Wingdings" w:hAnsi="Wingdings" w:hint="default"/>
      </w:rPr>
    </w:lvl>
    <w:lvl w:ilvl="3" w:tplc="041A0001" w:tentative="1">
      <w:start w:val="1"/>
      <w:numFmt w:val="bullet"/>
      <w:lvlText w:val=""/>
      <w:lvlJc w:val="left"/>
      <w:pPr>
        <w:tabs>
          <w:tab w:val="num" w:pos="2466"/>
        </w:tabs>
        <w:ind w:left="2466" w:hanging="360"/>
      </w:pPr>
      <w:rPr>
        <w:rFonts w:ascii="Symbol" w:hAnsi="Symbol" w:hint="default"/>
      </w:rPr>
    </w:lvl>
    <w:lvl w:ilvl="4" w:tplc="041A0003" w:tentative="1">
      <w:start w:val="1"/>
      <w:numFmt w:val="bullet"/>
      <w:lvlText w:val="o"/>
      <w:lvlJc w:val="left"/>
      <w:pPr>
        <w:tabs>
          <w:tab w:val="num" w:pos="3186"/>
        </w:tabs>
        <w:ind w:left="3186" w:hanging="360"/>
      </w:pPr>
      <w:rPr>
        <w:rFonts w:ascii="Courier New" w:hAnsi="Courier New" w:cs="Courier New" w:hint="default"/>
      </w:rPr>
    </w:lvl>
    <w:lvl w:ilvl="5" w:tplc="041A0005" w:tentative="1">
      <w:start w:val="1"/>
      <w:numFmt w:val="bullet"/>
      <w:lvlText w:val=""/>
      <w:lvlJc w:val="left"/>
      <w:pPr>
        <w:tabs>
          <w:tab w:val="num" w:pos="3906"/>
        </w:tabs>
        <w:ind w:left="3906" w:hanging="360"/>
      </w:pPr>
      <w:rPr>
        <w:rFonts w:ascii="Wingdings" w:hAnsi="Wingdings" w:hint="default"/>
      </w:rPr>
    </w:lvl>
    <w:lvl w:ilvl="6" w:tplc="041A0001" w:tentative="1">
      <w:start w:val="1"/>
      <w:numFmt w:val="bullet"/>
      <w:lvlText w:val=""/>
      <w:lvlJc w:val="left"/>
      <w:pPr>
        <w:tabs>
          <w:tab w:val="num" w:pos="4626"/>
        </w:tabs>
        <w:ind w:left="4626" w:hanging="360"/>
      </w:pPr>
      <w:rPr>
        <w:rFonts w:ascii="Symbol" w:hAnsi="Symbol" w:hint="default"/>
      </w:rPr>
    </w:lvl>
    <w:lvl w:ilvl="7" w:tplc="041A0003" w:tentative="1">
      <w:start w:val="1"/>
      <w:numFmt w:val="bullet"/>
      <w:lvlText w:val="o"/>
      <w:lvlJc w:val="left"/>
      <w:pPr>
        <w:tabs>
          <w:tab w:val="num" w:pos="5346"/>
        </w:tabs>
        <w:ind w:left="5346" w:hanging="360"/>
      </w:pPr>
      <w:rPr>
        <w:rFonts w:ascii="Courier New" w:hAnsi="Courier New" w:cs="Courier New" w:hint="default"/>
      </w:rPr>
    </w:lvl>
    <w:lvl w:ilvl="8" w:tplc="041A0005" w:tentative="1">
      <w:start w:val="1"/>
      <w:numFmt w:val="bullet"/>
      <w:lvlText w:val=""/>
      <w:lvlJc w:val="left"/>
      <w:pPr>
        <w:tabs>
          <w:tab w:val="num" w:pos="6066"/>
        </w:tabs>
        <w:ind w:left="6066" w:hanging="360"/>
      </w:pPr>
      <w:rPr>
        <w:rFonts w:ascii="Wingdings" w:hAnsi="Wingdings" w:hint="default"/>
      </w:rPr>
    </w:lvl>
  </w:abstractNum>
  <w:abstractNum w:abstractNumId="24" w15:restartNumberingAfterBreak="0">
    <w:nsid w:val="1FC87048"/>
    <w:multiLevelType w:val="multilevel"/>
    <w:tmpl w:val="A2DC82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211147CE"/>
    <w:multiLevelType w:val="hybridMultilevel"/>
    <w:tmpl w:val="FDB46FEA"/>
    <w:lvl w:ilvl="0" w:tplc="BDD2C8A6">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644F93"/>
    <w:multiLevelType w:val="hybridMultilevel"/>
    <w:tmpl w:val="954AE324"/>
    <w:lvl w:ilvl="0" w:tplc="54E41676">
      <w:numFmt w:val="bullet"/>
      <w:lvlText w:val="–"/>
      <w:lvlJc w:val="left"/>
      <w:pPr>
        <w:tabs>
          <w:tab w:val="num" w:pos="502"/>
        </w:tabs>
        <w:ind w:left="502" w:hanging="360"/>
      </w:pPr>
      <w:rPr>
        <w:rFonts w:ascii="Times New Roman" w:eastAsia="Times New Roman" w:hAnsi="Times New Roman" w:cs="Times New Roman" w:hint="default"/>
      </w:rPr>
    </w:lvl>
    <w:lvl w:ilvl="1" w:tplc="08090003">
      <w:start w:val="1"/>
      <w:numFmt w:val="bullet"/>
      <w:lvlText w:val="o"/>
      <w:lvlJc w:val="left"/>
      <w:pPr>
        <w:tabs>
          <w:tab w:val="num" w:pos="1222"/>
        </w:tabs>
        <w:ind w:left="1222" w:hanging="360"/>
      </w:pPr>
      <w:rPr>
        <w:rFonts w:ascii="Courier New" w:hAnsi="Courier New" w:cs="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cs="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cs="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27" w15:restartNumberingAfterBreak="0">
    <w:nsid w:val="26640775"/>
    <w:multiLevelType w:val="hybridMultilevel"/>
    <w:tmpl w:val="B7E667C4"/>
    <w:lvl w:ilvl="0" w:tplc="041A0017">
      <w:start w:val="9"/>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26CC22CC"/>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 w15:restartNumberingAfterBreak="0">
    <w:nsid w:val="26D028A6"/>
    <w:multiLevelType w:val="multilevel"/>
    <w:tmpl w:val="61266DAA"/>
    <w:lvl w:ilvl="0">
      <w:numFmt w:val="bullet"/>
      <w:lvlText w:val="-"/>
      <w:lvlJc w:val="left"/>
      <w:pPr>
        <w:ind w:left="1353" w:hanging="360"/>
      </w:pPr>
      <w:rPr>
        <w:rFonts w:ascii="Calibri" w:eastAsia="Times New Roman" w:hAnsi="Calibri" w:cs="Calibri"/>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29251E38"/>
    <w:multiLevelType w:val="hybridMultilevel"/>
    <w:tmpl w:val="0708F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96550F6"/>
    <w:multiLevelType w:val="hybridMultilevel"/>
    <w:tmpl w:val="4E1AA2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2B6E6755"/>
    <w:multiLevelType w:val="multilevel"/>
    <w:tmpl w:val="CA56DD9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3" w15:restartNumberingAfterBreak="0">
    <w:nsid w:val="2F9D635F"/>
    <w:multiLevelType w:val="hybridMultilevel"/>
    <w:tmpl w:val="F782CD12"/>
    <w:styleLink w:val="LFO6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4527A39"/>
    <w:multiLevelType w:val="multilevel"/>
    <w:tmpl w:val="6E7035FC"/>
    <w:styleLink w:val="LFO61"/>
    <w:lvl w:ilvl="0">
      <w:start w:val="1"/>
      <w:numFmt w:val="decimal"/>
      <w:lvlText w:val="Example %1"/>
      <w:lvlJc w:val="left"/>
      <w:pPr>
        <w:ind w:left="720" w:hanging="720"/>
      </w:pPr>
      <w:rPr>
        <w:b/>
        <w:i w:val="0"/>
        <w:sz w:val="22"/>
      </w:rPr>
    </w:lvl>
    <w:lvl w:ilvl="1">
      <w:numFmt w:val="bullet"/>
      <w:lvlText w:val=""/>
      <w:lvlJc w:val="left"/>
      <w:pPr>
        <w:ind w:left="643" w:hanging="360"/>
      </w:pPr>
      <w:rPr>
        <w:rFonts w:ascii="Wingdings" w:hAnsi="Wingdings"/>
        <w:sz w:val="24"/>
      </w:rPr>
    </w:lvl>
    <w:lvl w:ilvl="2">
      <w:start w:val="1"/>
      <w:numFmt w:val="lowerRoman"/>
      <w:lvlText w:val="%3."/>
      <w:lvlJc w:val="right"/>
      <w:pPr>
        <w:ind w:left="2160" w:hanging="180"/>
      </w:pPr>
    </w:lvl>
    <w:lvl w:ilvl="3">
      <w:numFmt w:val="bullet"/>
      <w:lvlText w:val="•"/>
      <w:lvlJc w:val="left"/>
      <w:pPr>
        <w:ind w:left="3240" w:hanging="720"/>
      </w:pPr>
      <w:rPr>
        <w:rFonts w:ascii="Arial" w:eastAsia="Times New Roman"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5123D9B"/>
    <w:multiLevelType w:val="multilevel"/>
    <w:tmpl w:val="61D6ABDA"/>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36" w15:restartNumberingAfterBreak="0">
    <w:nsid w:val="35484A70"/>
    <w:multiLevelType w:val="multilevel"/>
    <w:tmpl w:val="E0968AB2"/>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6046897"/>
    <w:multiLevelType w:val="hybridMultilevel"/>
    <w:tmpl w:val="49D60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9117631"/>
    <w:multiLevelType w:val="hybridMultilevel"/>
    <w:tmpl w:val="FC82CD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B404123"/>
    <w:multiLevelType w:val="hybridMultilevel"/>
    <w:tmpl w:val="35A2E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3F376449"/>
    <w:multiLevelType w:val="hybridMultilevel"/>
    <w:tmpl w:val="2078E810"/>
    <w:lvl w:ilvl="0" w:tplc="389E5C28">
      <w:numFmt w:val="bullet"/>
      <w:lvlText w:val="-"/>
      <w:lvlJc w:val="left"/>
      <w:pPr>
        <w:ind w:left="720" w:hanging="360"/>
      </w:pPr>
      <w:rPr>
        <w:rFonts w:ascii="Calibri" w:eastAsia="Times New Roman"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6C2A91"/>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42" w15:restartNumberingAfterBreak="0">
    <w:nsid w:val="451A4568"/>
    <w:multiLevelType w:val="multilevel"/>
    <w:tmpl w:val="BDA84A0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3" w15:restartNumberingAfterBreak="0">
    <w:nsid w:val="47AF4B18"/>
    <w:multiLevelType w:val="hybridMultilevel"/>
    <w:tmpl w:val="5EEA9D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975580C"/>
    <w:multiLevelType w:val="multilevel"/>
    <w:tmpl w:val="F53CBA32"/>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49C37B2E"/>
    <w:multiLevelType w:val="multilevel"/>
    <w:tmpl w:val="B016BC6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6" w15:restartNumberingAfterBreak="0">
    <w:nsid w:val="4A61364E"/>
    <w:multiLevelType w:val="hybridMultilevel"/>
    <w:tmpl w:val="6C80084E"/>
    <w:lvl w:ilvl="0" w:tplc="389E5C28">
      <w:numFmt w:val="bullet"/>
      <w:lvlText w:val="-"/>
      <w:lvlJc w:val="left"/>
      <w:pPr>
        <w:ind w:left="72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4C6D4680"/>
    <w:multiLevelType w:val="hybridMultilevel"/>
    <w:tmpl w:val="492EFD40"/>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8" w15:restartNumberingAfterBreak="0">
    <w:nsid w:val="4CEA77D2"/>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49" w15:restartNumberingAfterBreak="0">
    <w:nsid w:val="4E777516"/>
    <w:multiLevelType w:val="hybridMultilevel"/>
    <w:tmpl w:val="263069B0"/>
    <w:lvl w:ilvl="0" w:tplc="041A0011">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4F2F06CA"/>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51" w15:restartNumberingAfterBreak="0">
    <w:nsid w:val="51AB422E"/>
    <w:multiLevelType w:val="hybridMultilevel"/>
    <w:tmpl w:val="2870C9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52D04C83"/>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53" w15:restartNumberingAfterBreak="0">
    <w:nsid w:val="54603FBB"/>
    <w:multiLevelType w:val="hybridMultilevel"/>
    <w:tmpl w:val="226E37CA"/>
    <w:lvl w:ilvl="0" w:tplc="38465924">
      <w:start w:val="1"/>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660664C"/>
    <w:multiLevelType w:val="hybridMultilevel"/>
    <w:tmpl w:val="6F6289AE"/>
    <w:lvl w:ilvl="0" w:tplc="08090001">
      <w:start w:val="1"/>
      <w:numFmt w:val="bullet"/>
      <w:lvlText w:val=""/>
      <w:lvlJc w:val="left"/>
      <w:pPr>
        <w:ind w:left="388" w:hanging="360"/>
      </w:pPr>
      <w:rPr>
        <w:rFonts w:ascii="Symbol" w:hAnsi="Symbol" w:hint="default"/>
      </w:rPr>
    </w:lvl>
    <w:lvl w:ilvl="1" w:tplc="08090003">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55" w15:restartNumberingAfterBreak="0">
    <w:nsid w:val="56A719E1"/>
    <w:multiLevelType w:val="multilevel"/>
    <w:tmpl w:val="0BEC9C80"/>
    <w:lvl w:ilvl="0">
      <w:start w:val="2"/>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56" w15:restartNumberingAfterBreak="0">
    <w:nsid w:val="56E43DBE"/>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57" w15:restartNumberingAfterBreak="0">
    <w:nsid w:val="57F04F6F"/>
    <w:multiLevelType w:val="multilevel"/>
    <w:tmpl w:val="11F42512"/>
    <w:lvl w:ilvl="0">
      <w:start w:val="4"/>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58" w15:restartNumberingAfterBreak="0">
    <w:nsid w:val="58614E43"/>
    <w:multiLevelType w:val="multilevel"/>
    <w:tmpl w:val="4BCEA3E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59" w15:restartNumberingAfterBreak="0">
    <w:nsid w:val="5A71714B"/>
    <w:multiLevelType w:val="hybridMultilevel"/>
    <w:tmpl w:val="53A205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5CE930DB"/>
    <w:multiLevelType w:val="multilevel"/>
    <w:tmpl w:val="E2405FE8"/>
    <w:styleLink w:val="LFO1"/>
    <w:lvl w:ilvl="0">
      <w:numFmt w:val="bullet"/>
      <w:pStyle w:val="T1PARAGRAPH"/>
      <w:lvlText w:val="-"/>
      <w:lvlJc w:val="left"/>
      <w:pPr>
        <w:ind w:left="720" w:hanging="72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15:restartNumberingAfterBreak="0">
    <w:nsid w:val="603A543B"/>
    <w:multiLevelType w:val="hybridMultilevel"/>
    <w:tmpl w:val="41A24E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604F70C8"/>
    <w:multiLevelType w:val="multilevel"/>
    <w:tmpl w:val="DCBA7F3E"/>
    <w:styleLink w:val="LFO6"/>
    <w:lvl w:ilvl="0">
      <w:start w:val="1"/>
      <w:numFmt w:val="decimal"/>
      <w:pStyle w:val="Bullet"/>
      <w:lvlText w:val="Example %1"/>
      <w:lvlJc w:val="left"/>
      <w:pPr>
        <w:ind w:left="720" w:hanging="720"/>
      </w:pPr>
      <w:rPr>
        <w:b/>
        <w:i w:val="0"/>
        <w:sz w:val="22"/>
      </w:rPr>
    </w:lvl>
    <w:lvl w:ilvl="1">
      <w:numFmt w:val="bullet"/>
      <w:lvlText w:val=""/>
      <w:lvlJc w:val="left"/>
      <w:pPr>
        <w:ind w:left="643" w:hanging="360"/>
      </w:pPr>
      <w:rPr>
        <w:rFonts w:ascii="Wingdings" w:hAnsi="Wingdings"/>
        <w:sz w:val="24"/>
      </w:rPr>
    </w:lvl>
    <w:lvl w:ilvl="2">
      <w:start w:val="1"/>
      <w:numFmt w:val="lowerRoman"/>
      <w:lvlText w:val="%3."/>
      <w:lvlJc w:val="right"/>
      <w:pPr>
        <w:ind w:left="2160" w:hanging="180"/>
      </w:pPr>
    </w:lvl>
    <w:lvl w:ilvl="3">
      <w:numFmt w:val="bullet"/>
      <w:lvlText w:val="•"/>
      <w:lvlJc w:val="left"/>
      <w:pPr>
        <w:ind w:left="3240" w:hanging="720"/>
      </w:pPr>
      <w:rPr>
        <w:rFonts w:ascii="Arial" w:eastAsia="Times New Roman"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0B00180"/>
    <w:multiLevelType w:val="hybridMultilevel"/>
    <w:tmpl w:val="510C90EC"/>
    <w:lvl w:ilvl="0" w:tplc="FFFFFFFF">
      <w:start w:val="1"/>
      <w:numFmt w:val="bullet"/>
      <w:lvlText w:val=""/>
      <w:lvlJc w:val="left"/>
      <w:pPr>
        <w:ind w:left="388" w:hanging="360"/>
      </w:pPr>
      <w:rPr>
        <w:rFonts w:ascii="Symbol" w:hAnsi="Symbol" w:hint="default"/>
      </w:rPr>
    </w:lvl>
    <w:lvl w:ilvl="1" w:tplc="08090003">
      <w:start w:val="1"/>
      <w:numFmt w:val="bullet"/>
      <w:lvlText w:val="o"/>
      <w:lvlJc w:val="left"/>
      <w:pPr>
        <w:ind w:left="1108" w:hanging="360"/>
      </w:pPr>
      <w:rPr>
        <w:rFonts w:ascii="Courier New" w:hAnsi="Courier New" w:cs="Courier New" w:hint="default"/>
      </w:rPr>
    </w:lvl>
    <w:lvl w:ilvl="2" w:tplc="FFFFFFFF" w:tentative="1">
      <w:start w:val="1"/>
      <w:numFmt w:val="bullet"/>
      <w:lvlText w:val=""/>
      <w:lvlJc w:val="left"/>
      <w:pPr>
        <w:ind w:left="1828" w:hanging="360"/>
      </w:pPr>
      <w:rPr>
        <w:rFonts w:ascii="Wingdings" w:hAnsi="Wingdings" w:hint="default"/>
      </w:rPr>
    </w:lvl>
    <w:lvl w:ilvl="3" w:tplc="FFFFFFFF" w:tentative="1">
      <w:start w:val="1"/>
      <w:numFmt w:val="bullet"/>
      <w:lvlText w:val=""/>
      <w:lvlJc w:val="left"/>
      <w:pPr>
        <w:ind w:left="2548" w:hanging="360"/>
      </w:pPr>
      <w:rPr>
        <w:rFonts w:ascii="Symbol" w:hAnsi="Symbol" w:hint="default"/>
      </w:rPr>
    </w:lvl>
    <w:lvl w:ilvl="4" w:tplc="FFFFFFFF" w:tentative="1">
      <w:start w:val="1"/>
      <w:numFmt w:val="bullet"/>
      <w:lvlText w:val="o"/>
      <w:lvlJc w:val="left"/>
      <w:pPr>
        <w:ind w:left="3268" w:hanging="360"/>
      </w:pPr>
      <w:rPr>
        <w:rFonts w:ascii="Courier New" w:hAnsi="Courier New" w:cs="Courier New" w:hint="default"/>
      </w:rPr>
    </w:lvl>
    <w:lvl w:ilvl="5" w:tplc="FFFFFFFF" w:tentative="1">
      <w:start w:val="1"/>
      <w:numFmt w:val="bullet"/>
      <w:lvlText w:val=""/>
      <w:lvlJc w:val="left"/>
      <w:pPr>
        <w:ind w:left="3988" w:hanging="360"/>
      </w:pPr>
      <w:rPr>
        <w:rFonts w:ascii="Wingdings" w:hAnsi="Wingdings" w:hint="default"/>
      </w:rPr>
    </w:lvl>
    <w:lvl w:ilvl="6" w:tplc="FFFFFFFF" w:tentative="1">
      <w:start w:val="1"/>
      <w:numFmt w:val="bullet"/>
      <w:lvlText w:val=""/>
      <w:lvlJc w:val="left"/>
      <w:pPr>
        <w:ind w:left="4708" w:hanging="360"/>
      </w:pPr>
      <w:rPr>
        <w:rFonts w:ascii="Symbol" w:hAnsi="Symbol" w:hint="default"/>
      </w:rPr>
    </w:lvl>
    <w:lvl w:ilvl="7" w:tplc="FFFFFFFF" w:tentative="1">
      <w:start w:val="1"/>
      <w:numFmt w:val="bullet"/>
      <w:lvlText w:val="o"/>
      <w:lvlJc w:val="left"/>
      <w:pPr>
        <w:ind w:left="5428" w:hanging="360"/>
      </w:pPr>
      <w:rPr>
        <w:rFonts w:ascii="Courier New" w:hAnsi="Courier New" w:cs="Courier New" w:hint="default"/>
      </w:rPr>
    </w:lvl>
    <w:lvl w:ilvl="8" w:tplc="FFFFFFFF" w:tentative="1">
      <w:start w:val="1"/>
      <w:numFmt w:val="bullet"/>
      <w:lvlText w:val=""/>
      <w:lvlJc w:val="left"/>
      <w:pPr>
        <w:ind w:left="6148" w:hanging="360"/>
      </w:pPr>
      <w:rPr>
        <w:rFonts w:ascii="Wingdings" w:hAnsi="Wingdings" w:hint="default"/>
      </w:rPr>
    </w:lvl>
  </w:abstractNum>
  <w:abstractNum w:abstractNumId="64" w15:restartNumberingAfterBreak="0">
    <w:nsid w:val="60E04F52"/>
    <w:multiLevelType w:val="multilevel"/>
    <w:tmpl w:val="AABA44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5" w15:restartNumberingAfterBreak="0">
    <w:nsid w:val="62DE2000"/>
    <w:multiLevelType w:val="hybridMultilevel"/>
    <w:tmpl w:val="A6B287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65BF1A48"/>
    <w:multiLevelType w:val="multilevel"/>
    <w:tmpl w:val="F138988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67" w15:restartNumberingAfterBreak="0">
    <w:nsid w:val="66800667"/>
    <w:multiLevelType w:val="hybridMultilevel"/>
    <w:tmpl w:val="74869906"/>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1">
      <w:start w:val="1"/>
      <w:numFmt w:val="bullet"/>
      <w:lvlText w:val=""/>
      <w:lvlJc w:val="left"/>
      <w:pPr>
        <w:ind w:left="2205" w:hanging="360"/>
      </w:pPr>
      <w:rPr>
        <w:rFonts w:ascii="Symbol" w:hAnsi="Symbol"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68" w15:restartNumberingAfterBreak="0">
    <w:nsid w:val="6DA8122C"/>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69" w15:restartNumberingAfterBreak="0">
    <w:nsid w:val="6E9D5019"/>
    <w:multiLevelType w:val="hybridMultilevel"/>
    <w:tmpl w:val="4F481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71243C82"/>
    <w:multiLevelType w:val="multilevel"/>
    <w:tmpl w:val="199E305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1" w15:restartNumberingAfterBreak="0">
    <w:nsid w:val="71366B06"/>
    <w:multiLevelType w:val="hybridMultilevel"/>
    <w:tmpl w:val="264824A2"/>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72" w15:restartNumberingAfterBreak="0">
    <w:nsid w:val="73E26E6B"/>
    <w:multiLevelType w:val="hybridMultilevel"/>
    <w:tmpl w:val="A47245D0"/>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75B0389D"/>
    <w:multiLevelType w:val="multilevel"/>
    <w:tmpl w:val="246E18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7357533"/>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75" w15:restartNumberingAfterBreak="0">
    <w:nsid w:val="7EB379BB"/>
    <w:multiLevelType w:val="hybridMultilevel"/>
    <w:tmpl w:val="90BE688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6" w15:restartNumberingAfterBreak="0">
    <w:nsid w:val="7FCB58C6"/>
    <w:multiLevelType w:val="hybridMultilevel"/>
    <w:tmpl w:val="D8F82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883667227">
    <w:abstractNumId w:val="62"/>
  </w:num>
  <w:num w:numId="2" w16cid:durableId="1150514532">
    <w:abstractNumId w:val="12"/>
  </w:num>
  <w:num w:numId="3" w16cid:durableId="1758670129">
    <w:abstractNumId w:val="60"/>
  </w:num>
  <w:num w:numId="4" w16cid:durableId="1967537498">
    <w:abstractNumId w:val="32"/>
  </w:num>
  <w:num w:numId="5" w16cid:durableId="360059374">
    <w:abstractNumId w:val="45"/>
  </w:num>
  <w:num w:numId="6" w16cid:durableId="1647777534">
    <w:abstractNumId w:val="13"/>
  </w:num>
  <w:num w:numId="7" w16cid:durableId="370543427">
    <w:abstractNumId w:val="66"/>
  </w:num>
  <w:num w:numId="8" w16cid:durableId="909147626">
    <w:abstractNumId w:val="58"/>
  </w:num>
  <w:num w:numId="9" w16cid:durableId="1732801189">
    <w:abstractNumId w:val="5"/>
  </w:num>
  <w:num w:numId="10" w16cid:durableId="650057629">
    <w:abstractNumId w:val="70"/>
  </w:num>
  <w:num w:numId="11" w16cid:durableId="1671716932">
    <w:abstractNumId w:val="44"/>
  </w:num>
  <w:num w:numId="12" w16cid:durableId="1778871648">
    <w:abstractNumId w:val="73"/>
  </w:num>
  <w:num w:numId="13" w16cid:durableId="340473842">
    <w:abstractNumId w:val="64"/>
  </w:num>
  <w:num w:numId="14" w16cid:durableId="680086883">
    <w:abstractNumId w:val="35"/>
  </w:num>
  <w:num w:numId="15" w16cid:durableId="578558111">
    <w:abstractNumId w:val="55"/>
  </w:num>
  <w:num w:numId="16" w16cid:durableId="675303489">
    <w:abstractNumId w:val="18"/>
  </w:num>
  <w:num w:numId="17" w16cid:durableId="951211312">
    <w:abstractNumId w:val="57"/>
  </w:num>
  <w:num w:numId="18" w16cid:durableId="1834099460">
    <w:abstractNumId w:val="16"/>
  </w:num>
  <w:num w:numId="19" w16cid:durableId="1062214384">
    <w:abstractNumId w:val="21"/>
  </w:num>
  <w:num w:numId="20" w16cid:durableId="919607312">
    <w:abstractNumId w:val="29"/>
  </w:num>
  <w:num w:numId="21" w16cid:durableId="1790394703">
    <w:abstractNumId w:val="20"/>
  </w:num>
  <w:num w:numId="22" w16cid:durableId="1792480815">
    <w:abstractNumId w:val="42"/>
  </w:num>
  <w:num w:numId="23" w16cid:durableId="1030764956">
    <w:abstractNumId w:val="17"/>
  </w:num>
  <w:num w:numId="24" w16cid:durableId="1232081820">
    <w:abstractNumId w:val="24"/>
  </w:num>
  <w:num w:numId="25" w16cid:durableId="1873571552">
    <w:abstractNumId w:val="53"/>
  </w:num>
  <w:num w:numId="26" w16cid:durableId="1709793378">
    <w:abstractNumId w:val="33"/>
  </w:num>
  <w:num w:numId="27" w16cid:durableId="1482962197">
    <w:abstractNumId w:val="6"/>
  </w:num>
  <w:num w:numId="28" w16cid:durableId="744062003">
    <w:abstractNumId w:val="26"/>
  </w:num>
  <w:num w:numId="29" w16cid:durableId="101465343">
    <w:abstractNumId w:val="3"/>
  </w:num>
  <w:num w:numId="30" w16cid:durableId="825589654">
    <w:abstractNumId w:val="23"/>
  </w:num>
  <w:num w:numId="31" w16cid:durableId="1731727638">
    <w:abstractNumId w:val="14"/>
  </w:num>
  <w:num w:numId="32" w16cid:durableId="869730338">
    <w:abstractNumId w:val="47"/>
  </w:num>
  <w:num w:numId="33" w16cid:durableId="824928699">
    <w:abstractNumId w:val="10"/>
  </w:num>
  <w:num w:numId="34" w16cid:durableId="1830100537">
    <w:abstractNumId w:val="36"/>
  </w:num>
  <w:num w:numId="35" w16cid:durableId="948197902">
    <w:abstractNumId w:val="46"/>
  </w:num>
  <w:num w:numId="36" w16cid:durableId="538780816">
    <w:abstractNumId w:val="72"/>
  </w:num>
  <w:num w:numId="37" w16cid:durableId="102925686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42391222">
    <w:abstractNumId w:val="11"/>
  </w:num>
  <w:num w:numId="39" w16cid:durableId="1731883152">
    <w:abstractNumId w:val="0"/>
  </w:num>
  <w:num w:numId="40" w16cid:durableId="554774172">
    <w:abstractNumId w:val="49"/>
  </w:num>
  <w:num w:numId="41" w16cid:durableId="1094670256">
    <w:abstractNumId w:val="28"/>
  </w:num>
  <w:num w:numId="42" w16cid:durableId="1031148667">
    <w:abstractNumId w:val="19"/>
  </w:num>
  <w:num w:numId="43" w16cid:durableId="1494100431">
    <w:abstractNumId w:val="30"/>
  </w:num>
  <w:num w:numId="44" w16cid:durableId="302665073">
    <w:abstractNumId w:val="67"/>
  </w:num>
  <w:num w:numId="45" w16cid:durableId="531764707">
    <w:abstractNumId w:val="43"/>
  </w:num>
  <w:num w:numId="46" w16cid:durableId="1371612096">
    <w:abstractNumId w:val="51"/>
  </w:num>
  <w:num w:numId="47" w16cid:durableId="1061832015">
    <w:abstractNumId w:val="71"/>
  </w:num>
  <w:num w:numId="48" w16cid:durableId="995181613">
    <w:abstractNumId w:val="37"/>
  </w:num>
  <w:num w:numId="49" w16cid:durableId="1079668041">
    <w:abstractNumId w:val="76"/>
  </w:num>
  <w:num w:numId="50" w16cid:durableId="1505390483">
    <w:abstractNumId w:val="65"/>
  </w:num>
  <w:num w:numId="51" w16cid:durableId="599140128">
    <w:abstractNumId w:val="7"/>
  </w:num>
  <w:num w:numId="52" w16cid:durableId="829953865">
    <w:abstractNumId w:val="2"/>
  </w:num>
  <w:num w:numId="53" w16cid:durableId="1793088106">
    <w:abstractNumId w:val="2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87404282">
    <w:abstractNumId w:val="31"/>
  </w:num>
  <w:num w:numId="55" w16cid:durableId="290214918">
    <w:abstractNumId w:val="69"/>
  </w:num>
  <w:num w:numId="56" w16cid:durableId="1140999464">
    <w:abstractNumId w:val="40"/>
  </w:num>
  <w:num w:numId="57" w16cid:durableId="1297030616">
    <w:abstractNumId w:val="1"/>
  </w:num>
  <w:num w:numId="58" w16cid:durableId="422385567">
    <w:abstractNumId w:val="25"/>
  </w:num>
  <w:num w:numId="59" w16cid:durableId="1952858711">
    <w:abstractNumId w:val="27"/>
  </w:num>
  <w:num w:numId="60" w16cid:durableId="1200892961">
    <w:abstractNumId w:val="34"/>
  </w:num>
  <w:num w:numId="61" w16cid:durableId="468321876">
    <w:abstractNumId w:val="68"/>
  </w:num>
  <w:num w:numId="62" w16cid:durableId="1826240435">
    <w:abstractNumId w:val="41"/>
  </w:num>
  <w:num w:numId="63" w16cid:durableId="321934103">
    <w:abstractNumId w:val="8"/>
  </w:num>
  <w:num w:numId="64" w16cid:durableId="1819758418">
    <w:abstractNumId w:val="52"/>
  </w:num>
  <w:num w:numId="65" w16cid:durableId="1383014711">
    <w:abstractNumId w:val="9"/>
  </w:num>
  <w:num w:numId="66" w16cid:durableId="1778325623">
    <w:abstractNumId w:val="48"/>
  </w:num>
  <w:num w:numId="67" w16cid:durableId="856696669">
    <w:abstractNumId w:val="56"/>
  </w:num>
  <w:num w:numId="68" w16cid:durableId="1513573190">
    <w:abstractNumId w:val="74"/>
  </w:num>
  <w:num w:numId="69" w16cid:durableId="1968390888">
    <w:abstractNumId w:val="50"/>
  </w:num>
  <w:num w:numId="70" w16cid:durableId="1851023203">
    <w:abstractNumId w:val="38"/>
  </w:num>
  <w:num w:numId="71" w16cid:durableId="684791579">
    <w:abstractNumId w:val="61"/>
  </w:num>
  <w:num w:numId="72" w16cid:durableId="1700618819">
    <w:abstractNumId w:val="75"/>
  </w:num>
  <w:num w:numId="73" w16cid:durableId="24214987">
    <w:abstractNumId w:val="54"/>
  </w:num>
  <w:num w:numId="74" w16cid:durableId="661812594">
    <w:abstractNumId w:val="63"/>
  </w:num>
  <w:num w:numId="75" w16cid:durableId="1447626593">
    <w:abstractNumId w:val="39"/>
  </w:num>
  <w:num w:numId="76" w16cid:durableId="1099107879">
    <w:abstractNumId w:val="59"/>
  </w:num>
  <w:num w:numId="77" w16cid:durableId="2144031135">
    <w:abstractNumId w:val="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68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82CF2"/>
    <w:rsid w:val="00000B67"/>
    <w:rsid w:val="00000D5C"/>
    <w:rsid w:val="000022C7"/>
    <w:rsid w:val="00002F76"/>
    <w:rsid w:val="0000425E"/>
    <w:rsid w:val="000047ED"/>
    <w:rsid w:val="00006071"/>
    <w:rsid w:val="00006D04"/>
    <w:rsid w:val="00011093"/>
    <w:rsid w:val="000118E3"/>
    <w:rsid w:val="00013E52"/>
    <w:rsid w:val="00014420"/>
    <w:rsid w:val="00014685"/>
    <w:rsid w:val="00015332"/>
    <w:rsid w:val="00016313"/>
    <w:rsid w:val="000214DB"/>
    <w:rsid w:val="00021A1C"/>
    <w:rsid w:val="00022918"/>
    <w:rsid w:val="00022D15"/>
    <w:rsid w:val="00025A48"/>
    <w:rsid w:val="00026FAC"/>
    <w:rsid w:val="000309EC"/>
    <w:rsid w:val="00030D51"/>
    <w:rsid w:val="00031687"/>
    <w:rsid w:val="000320EC"/>
    <w:rsid w:val="00033130"/>
    <w:rsid w:val="00033F55"/>
    <w:rsid w:val="0003408D"/>
    <w:rsid w:val="00036D25"/>
    <w:rsid w:val="000370E6"/>
    <w:rsid w:val="00042F5F"/>
    <w:rsid w:val="00043086"/>
    <w:rsid w:val="00044F80"/>
    <w:rsid w:val="000476F7"/>
    <w:rsid w:val="0005323E"/>
    <w:rsid w:val="00054989"/>
    <w:rsid w:val="00056F02"/>
    <w:rsid w:val="000606C8"/>
    <w:rsid w:val="00066076"/>
    <w:rsid w:val="00070CFA"/>
    <w:rsid w:val="00070ED0"/>
    <w:rsid w:val="00071151"/>
    <w:rsid w:val="00074003"/>
    <w:rsid w:val="00075084"/>
    <w:rsid w:val="00077FF6"/>
    <w:rsid w:val="0008098E"/>
    <w:rsid w:val="000817A9"/>
    <w:rsid w:val="000818A4"/>
    <w:rsid w:val="00084C64"/>
    <w:rsid w:val="00084DD1"/>
    <w:rsid w:val="00086226"/>
    <w:rsid w:val="00086507"/>
    <w:rsid w:val="00090ABC"/>
    <w:rsid w:val="000910A2"/>
    <w:rsid w:val="00092198"/>
    <w:rsid w:val="000951CC"/>
    <w:rsid w:val="0009526F"/>
    <w:rsid w:val="00097782"/>
    <w:rsid w:val="00097F3D"/>
    <w:rsid w:val="000A0A2C"/>
    <w:rsid w:val="000A18C3"/>
    <w:rsid w:val="000A1B71"/>
    <w:rsid w:val="000A359B"/>
    <w:rsid w:val="000A4023"/>
    <w:rsid w:val="000B330D"/>
    <w:rsid w:val="000B677E"/>
    <w:rsid w:val="000C02FF"/>
    <w:rsid w:val="000C0768"/>
    <w:rsid w:val="000C166D"/>
    <w:rsid w:val="000C1D03"/>
    <w:rsid w:val="000C2465"/>
    <w:rsid w:val="000C2874"/>
    <w:rsid w:val="000C2C9F"/>
    <w:rsid w:val="000C2F5E"/>
    <w:rsid w:val="000C58FE"/>
    <w:rsid w:val="000C6133"/>
    <w:rsid w:val="000C6F37"/>
    <w:rsid w:val="000C7940"/>
    <w:rsid w:val="000D1407"/>
    <w:rsid w:val="000D17F5"/>
    <w:rsid w:val="000D1D79"/>
    <w:rsid w:val="000D2EB0"/>
    <w:rsid w:val="000D4278"/>
    <w:rsid w:val="000D54B7"/>
    <w:rsid w:val="000D63A8"/>
    <w:rsid w:val="000E2863"/>
    <w:rsid w:val="000E610A"/>
    <w:rsid w:val="000F03D0"/>
    <w:rsid w:val="000F0A52"/>
    <w:rsid w:val="000F238D"/>
    <w:rsid w:val="000F314E"/>
    <w:rsid w:val="000F48D7"/>
    <w:rsid w:val="000F5E41"/>
    <w:rsid w:val="00100919"/>
    <w:rsid w:val="00102719"/>
    <w:rsid w:val="00102D8D"/>
    <w:rsid w:val="00104DF9"/>
    <w:rsid w:val="00105FFC"/>
    <w:rsid w:val="0010612F"/>
    <w:rsid w:val="001066AF"/>
    <w:rsid w:val="00106BA5"/>
    <w:rsid w:val="00106FE9"/>
    <w:rsid w:val="00107746"/>
    <w:rsid w:val="00107BAB"/>
    <w:rsid w:val="00110849"/>
    <w:rsid w:val="00112534"/>
    <w:rsid w:val="001153A2"/>
    <w:rsid w:val="001160EC"/>
    <w:rsid w:val="0011710C"/>
    <w:rsid w:val="00117C1A"/>
    <w:rsid w:val="001209CB"/>
    <w:rsid w:val="00125D47"/>
    <w:rsid w:val="00126C5C"/>
    <w:rsid w:val="00126FD3"/>
    <w:rsid w:val="00127FAF"/>
    <w:rsid w:val="00130D04"/>
    <w:rsid w:val="00131CD7"/>
    <w:rsid w:val="0013250F"/>
    <w:rsid w:val="00132B44"/>
    <w:rsid w:val="00132FB9"/>
    <w:rsid w:val="00134C14"/>
    <w:rsid w:val="00135FEC"/>
    <w:rsid w:val="00140D79"/>
    <w:rsid w:val="00141FD2"/>
    <w:rsid w:val="00142243"/>
    <w:rsid w:val="00145042"/>
    <w:rsid w:val="00145659"/>
    <w:rsid w:val="001461B2"/>
    <w:rsid w:val="0014649F"/>
    <w:rsid w:val="001517D9"/>
    <w:rsid w:val="001528DA"/>
    <w:rsid w:val="001552AD"/>
    <w:rsid w:val="0015633D"/>
    <w:rsid w:val="00161A9D"/>
    <w:rsid w:val="00162785"/>
    <w:rsid w:val="00162A62"/>
    <w:rsid w:val="00163AF2"/>
    <w:rsid w:val="001648EF"/>
    <w:rsid w:val="001714E1"/>
    <w:rsid w:val="001718A9"/>
    <w:rsid w:val="00173300"/>
    <w:rsid w:val="00173EAE"/>
    <w:rsid w:val="00175A91"/>
    <w:rsid w:val="00177E02"/>
    <w:rsid w:val="00183986"/>
    <w:rsid w:val="001851E5"/>
    <w:rsid w:val="0018705A"/>
    <w:rsid w:val="00187BA8"/>
    <w:rsid w:val="00191FC3"/>
    <w:rsid w:val="0019213D"/>
    <w:rsid w:val="001924D5"/>
    <w:rsid w:val="00193496"/>
    <w:rsid w:val="00193DD1"/>
    <w:rsid w:val="0019481C"/>
    <w:rsid w:val="001956BD"/>
    <w:rsid w:val="00195F74"/>
    <w:rsid w:val="00196039"/>
    <w:rsid w:val="00196E85"/>
    <w:rsid w:val="00196FA8"/>
    <w:rsid w:val="0019703A"/>
    <w:rsid w:val="001970EB"/>
    <w:rsid w:val="001A0A0A"/>
    <w:rsid w:val="001A126E"/>
    <w:rsid w:val="001A1B54"/>
    <w:rsid w:val="001A28A8"/>
    <w:rsid w:val="001A2FF1"/>
    <w:rsid w:val="001A4E31"/>
    <w:rsid w:val="001A58F5"/>
    <w:rsid w:val="001A594B"/>
    <w:rsid w:val="001A6CD1"/>
    <w:rsid w:val="001A79CF"/>
    <w:rsid w:val="001B38DF"/>
    <w:rsid w:val="001B6AC5"/>
    <w:rsid w:val="001C11A4"/>
    <w:rsid w:val="001C26B1"/>
    <w:rsid w:val="001C3639"/>
    <w:rsid w:val="001D06D5"/>
    <w:rsid w:val="001D0F84"/>
    <w:rsid w:val="001E18E6"/>
    <w:rsid w:val="001E1BD1"/>
    <w:rsid w:val="001E2369"/>
    <w:rsid w:val="001E5051"/>
    <w:rsid w:val="001E6F96"/>
    <w:rsid w:val="001F025D"/>
    <w:rsid w:val="001F02D8"/>
    <w:rsid w:val="001F1E10"/>
    <w:rsid w:val="001F7263"/>
    <w:rsid w:val="001F7D32"/>
    <w:rsid w:val="001F7D65"/>
    <w:rsid w:val="002017C0"/>
    <w:rsid w:val="002021E9"/>
    <w:rsid w:val="0020498D"/>
    <w:rsid w:val="00204C71"/>
    <w:rsid w:val="00205C8C"/>
    <w:rsid w:val="00205D0A"/>
    <w:rsid w:val="002065AE"/>
    <w:rsid w:val="00207CD8"/>
    <w:rsid w:val="00207CDE"/>
    <w:rsid w:val="00210F93"/>
    <w:rsid w:val="00211679"/>
    <w:rsid w:val="00215B94"/>
    <w:rsid w:val="00215CF9"/>
    <w:rsid w:val="002169C2"/>
    <w:rsid w:val="00220518"/>
    <w:rsid w:val="00220AB1"/>
    <w:rsid w:val="002217EF"/>
    <w:rsid w:val="00223B36"/>
    <w:rsid w:val="00225100"/>
    <w:rsid w:val="00225242"/>
    <w:rsid w:val="00226C15"/>
    <w:rsid w:val="00226C3B"/>
    <w:rsid w:val="00227487"/>
    <w:rsid w:val="00227C15"/>
    <w:rsid w:val="00227D05"/>
    <w:rsid w:val="002301DE"/>
    <w:rsid w:val="0023517E"/>
    <w:rsid w:val="002358EC"/>
    <w:rsid w:val="00235B25"/>
    <w:rsid w:val="002376DA"/>
    <w:rsid w:val="0024168E"/>
    <w:rsid w:val="00245978"/>
    <w:rsid w:val="0024604E"/>
    <w:rsid w:val="00246FE8"/>
    <w:rsid w:val="002504D5"/>
    <w:rsid w:val="0025085D"/>
    <w:rsid w:val="002526DD"/>
    <w:rsid w:val="00253E1E"/>
    <w:rsid w:val="002547EE"/>
    <w:rsid w:val="002563F8"/>
    <w:rsid w:val="002576C7"/>
    <w:rsid w:val="00257D95"/>
    <w:rsid w:val="00262712"/>
    <w:rsid w:val="002635D0"/>
    <w:rsid w:val="002635F7"/>
    <w:rsid w:val="00263721"/>
    <w:rsid w:val="00267AC3"/>
    <w:rsid w:val="00271ACA"/>
    <w:rsid w:val="00271BF5"/>
    <w:rsid w:val="002735F8"/>
    <w:rsid w:val="0027688D"/>
    <w:rsid w:val="002843ED"/>
    <w:rsid w:val="0028677A"/>
    <w:rsid w:val="002871E7"/>
    <w:rsid w:val="00287B9F"/>
    <w:rsid w:val="002915D6"/>
    <w:rsid w:val="00291791"/>
    <w:rsid w:val="00291DEC"/>
    <w:rsid w:val="00293393"/>
    <w:rsid w:val="00293595"/>
    <w:rsid w:val="00295699"/>
    <w:rsid w:val="00295727"/>
    <w:rsid w:val="002967CF"/>
    <w:rsid w:val="002A0273"/>
    <w:rsid w:val="002A03B7"/>
    <w:rsid w:val="002A12B1"/>
    <w:rsid w:val="002A24D2"/>
    <w:rsid w:val="002A41DA"/>
    <w:rsid w:val="002A46C6"/>
    <w:rsid w:val="002A517B"/>
    <w:rsid w:val="002A51C2"/>
    <w:rsid w:val="002A5650"/>
    <w:rsid w:val="002A7CD6"/>
    <w:rsid w:val="002B07D2"/>
    <w:rsid w:val="002B37FF"/>
    <w:rsid w:val="002B6267"/>
    <w:rsid w:val="002B63FF"/>
    <w:rsid w:val="002B6C80"/>
    <w:rsid w:val="002B6F11"/>
    <w:rsid w:val="002C1DB7"/>
    <w:rsid w:val="002C1EC6"/>
    <w:rsid w:val="002C514A"/>
    <w:rsid w:val="002C57C1"/>
    <w:rsid w:val="002D0454"/>
    <w:rsid w:val="002D11F1"/>
    <w:rsid w:val="002D1D9A"/>
    <w:rsid w:val="002D2BF4"/>
    <w:rsid w:val="002D4DD4"/>
    <w:rsid w:val="002D50AF"/>
    <w:rsid w:val="002D6C32"/>
    <w:rsid w:val="002E17DA"/>
    <w:rsid w:val="002E1A01"/>
    <w:rsid w:val="002E1FC8"/>
    <w:rsid w:val="002E3B26"/>
    <w:rsid w:val="002E5FBD"/>
    <w:rsid w:val="002F0EFD"/>
    <w:rsid w:val="002F2076"/>
    <w:rsid w:val="002F313B"/>
    <w:rsid w:val="002F3722"/>
    <w:rsid w:val="002F5630"/>
    <w:rsid w:val="002F63C5"/>
    <w:rsid w:val="002F6F99"/>
    <w:rsid w:val="002F7EBA"/>
    <w:rsid w:val="00306402"/>
    <w:rsid w:val="00307503"/>
    <w:rsid w:val="003075BC"/>
    <w:rsid w:val="0031179F"/>
    <w:rsid w:val="00311AED"/>
    <w:rsid w:val="0031256A"/>
    <w:rsid w:val="00312BB4"/>
    <w:rsid w:val="003135E7"/>
    <w:rsid w:val="0031432E"/>
    <w:rsid w:val="00314389"/>
    <w:rsid w:val="00316232"/>
    <w:rsid w:val="00317245"/>
    <w:rsid w:val="003211F2"/>
    <w:rsid w:val="0032180A"/>
    <w:rsid w:val="00321BDF"/>
    <w:rsid w:val="00321ED5"/>
    <w:rsid w:val="003223AE"/>
    <w:rsid w:val="00324ADA"/>
    <w:rsid w:val="0032594D"/>
    <w:rsid w:val="00332898"/>
    <w:rsid w:val="00332DD4"/>
    <w:rsid w:val="00333D02"/>
    <w:rsid w:val="0033655D"/>
    <w:rsid w:val="00337819"/>
    <w:rsid w:val="00341810"/>
    <w:rsid w:val="00343DA5"/>
    <w:rsid w:val="00352465"/>
    <w:rsid w:val="003525EF"/>
    <w:rsid w:val="00352B80"/>
    <w:rsid w:val="0035489E"/>
    <w:rsid w:val="00354E4E"/>
    <w:rsid w:val="0035544D"/>
    <w:rsid w:val="003558BD"/>
    <w:rsid w:val="00355EF1"/>
    <w:rsid w:val="00356C4F"/>
    <w:rsid w:val="003620F5"/>
    <w:rsid w:val="00362F07"/>
    <w:rsid w:val="00364EE3"/>
    <w:rsid w:val="00364FFA"/>
    <w:rsid w:val="00366EDA"/>
    <w:rsid w:val="00370287"/>
    <w:rsid w:val="00370D27"/>
    <w:rsid w:val="003714BD"/>
    <w:rsid w:val="00372833"/>
    <w:rsid w:val="00372E75"/>
    <w:rsid w:val="003732B2"/>
    <w:rsid w:val="003737ED"/>
    <w:rsid w:val="0037677E"/>
    <w:rsid w:val="00380963"/>
    <w:rsid w:val="00382CF2"/>
    <w:rsid w:val="003834BB"/>
    <w:rsid w:val="00386B2F"/>
    <w:rsid w:val="00391DDA"/>
    <w:rsid w:val="00392B4B"/>
    <w:rsid w:val="003A12EC"/>
    <w:rsid w:val="003A5D50"/>
    <w:rsid w:val="003A6483"/>
    <w:rsid w:val="003A6B07"/>
    <w:rsid w:val="003B06AC"/>
    <w:rsid w:val="003B1363"/>
    <w:rsid w:val="003B1E3D"/>
    <w:rsid w:val="003B1F5F"/>
    <w:rsid w:val="003B25E9"/>
    <w:rsid w:val="003B269F"/>
    <w:rsid w:val="003B4807"/>
    <w:rsid w:val="003B561B"/>
    <w:rsid w:val="003B5B06"/>
    <w:rsid w:val="003B6068"/>
    <w:rsid w:val="003C036B"/>
    <w:rsid w:val="003C105E"/>
    <w:rsid w:val="003C1A06"/>
    <w:rsid w:val="003C2B74"/>
    <w:rsid w:val="003C39D2"/>
    <w:rsid w:val="003C7519"/>
    <w:rsid w:val="003D71DF"/>
    <w:rsid w:val="003E194D"/>
    <w:rsid w:val="003E1E17"/>
    <w:rsid w:val="003E3EFF"/>
    <w:rsid w:val="003E65E4"/>
    <w:rsid w:val="003F0A4A"/>
    <w:rsid w:val="00400DF1"/>
    <w:rsid w:val="004036FE"/>
    <w:rsid w:val="00403A51"/>
    <w:rsid w:val="00404FA5"/>
    <w:rsid w:val="004077F5"/>
    <w:rsid w:val="00410D70"/>
    <w:rsid w:val="00412110"/>
    <w:rsid w:val="0041461F"/>
    <w:rsid w:val="004146FB"/>
    <w:rsid w:val="00415B8A"/>
    <w:rsid w:val="00416C07"/>
    <w:rsid w:val="00423752"/>
    <w:rsid w:val="00425E7F"/>
    <w:rsid w:val="0042606A"/>
    <w:rsid w:val="00430650"/>
    <w:rsid w:val="0043181F"/>
    <w:rsid w:val="00432053"/>
    <w:rsid w:val="00434733"/>
    <w:rsid w:val="004354C2"/>
    <w:rsid w:val="00436E22"/>
    <w:rsid w:val="00437375"/>
    <w:rsid w:val="00441DC6"/>
    <w:rsid w:val="004427DB"/>
    <w:rsid w:val="00444DDC"/>
    <w:rsid w:val="00444E5C"/>
    <w:rsid w:val="004455A3"/>
    <w:rsid w:val="004512E2"/>
    <w:rsid w:val="004520BA"/>
    <w:rsid w:val="0045248A"/>
    <w:rsid w:val="004526DB"/>
    <w:rsid w:val="00452906"/>
    <w:rsid w:val="0045489D"/>
    <w:rsid w:val="00455752"/>
    <w:rsid w:val="004610CD"/>
    <w:rsid w:val="00463F86"/>
    <w:rsid w:val="004641AA"/>
    <w:rsid w:val="00465771"/>
    <w:rsid w:val="00465B8F"/>
    <w:rsid w:val="00465D53"/>
    <w:rsid w:val="00465DEA"/>
    <w:rsid w:val="0046750D"/>
    <w:rsid w:val="00470B01"/>
    <w:rsid w:val="00470C34"/>
    <w:rsid w:val="00471EDD"/>
    <w:rsid w:val="00476F94"/>
    <w:rsid w:val="004803D5"/>
    <w:rsid w:val="00481108"/>
    <w:rsid w:val="00481DD9"/>
    <w:rsid w:val="00483CFD"/>
    <w:rsid w:val="0048484B"/>
    <w:rsid w:val="004855B0"/>
    <w:rsid w:val="00490457"/>
    <w:rsid w:val="00491BD8"/>
    <w:rsid w:val="00492504"/>
    <w:rsid w:val="00492E09"/>
    <w:rsid w:val="00492FCA"/>
    <w:rsid w:val="00494321"/>
    <w:rsid w:val="004953AB"/>
    <w:rsid w:val="004954FF"/>
    <w:rsid w:val="00496A50"/>
    <w:rsid w:val="00496CF8"/>
    <w:rsid w:val="004977B1"/>
    <w:rsid w:val="004A064E"/>
    <w:rsid w:val="004A0A4A"/>
    <w:rsid w:val="004A3B7C"/>
    <w:rsid w:val="004A4D17"/>
    <w:rsid w:val="004A5865"/>
    <w:rsid w:val="004A66BD"/>
    <w:rsid w:val="004A702A"/>
    <w:rsid w:val="004A7652"/>
    <w:rsid w:val="004A7DB0"/>
    <w:rsid w:val="004B0DA2"/>
    <w:rsid w:val="004B21CA"/>
    <w:rsid w:val="004B2E0D"/>
    <w:rsid w:val="004B3A06"/>
    <w:rsid w:val="004B7383"/>
    <w:rsid w:val="004B782E"/>
    <w:rsid w:val="004C15CC"/>
    <w:rsid w:val="004C1780"/>
    <w:rsid w:val="004C2219"/>
    <w:rsid w:val="004C31E3"/>
    <w:rsid w:val="004C472A"/>
    <w:rsid w:val="004C52C5"/>
    <w:rsid w:val="004C6309"/>
    <w:rsid w:val="004D12A5"/>
    <w:rsid w:val="004D375D"/>
    <w:rsid w:val="004D486F"/>
    <w:rsid w:val="004D6FCC"/>
    <w:rsid w:val="004E0611"/>
    <w:rsid w:val="004E0A1E"/>
    <w:rsid w:val="004E3773"/>
    <w:rsid w:val="004F01D9"/>
    <w:rsid w:val="004F021F"/>
    <w:rsid w:val="004F0440"/>
    <w:rsid w:val="004F10C3"/>
    <w:rsid w:val="004F155E"/>
    <w:rsid w:val="004F5B2B"/>
    <w:rsid w:val="004F5C67"/>
    <w:rsid w:val="004F6281"/>
    <w:rsid w:val="00505B17"/>
    <w:rsid w:val="00506E29"/>
    <w:rsid w:val="00507838"/>
    <w:rsid w:val="00507D3E"/>
    <w:rsid w:val="00512CCD"/>
    <w:rsid w:val="005136B3"/>
    <w:rsid w:val="0051605D"/>
    <w:rsid w:val="00517339"/>
    <w:rsid w:val="00523C13"/>
    <w:rsid w:val="005263BC"/>
    <w:rsid w:val="00530E64"/>
    <w:rsid w:val="0053115B"/>
    <w:rsid w:val="00531F8E"/>
    <w:rsid w:val="00534E30"/>
    <w:rsid w:val="00551696"/>
    <w:rsid w:val="00552B17"/>
    <w:rsid w:val="0055328D"/>
    <w:rsid w:val="00553CD0"/>
    <w:rsid w:val="00554087"/>
    <w:rsid w:val="00557AA1"/>
    <w:rsid w:val="00557B64"/>
    <w:rsid w:val="00560662"/>
    <w:rsid w:val="00562E88"/>
    <w:rsid w:val="00566088"/>
    <w:rsid w:val="00566525"/>
    <w:rsid w:val="005702E4"/>
    <w:rsid w:val="005705E3"/>
    <w:rsid w:val="005710CF"/>
    <w:rsid w:val="005719EF"/>
    <w:rsid w:val="005732AA"/>
    <w:rsid w:val="00575A26"/>
    <w:rsid w:val="005768AA"/>
    <w:rsid w:val="00576E6B"/>
    <w:rsid w:val="005809B8"/>
    <w:rsid w:val="00581DC2"/>
    <w:rsid w:val="0058230C"/>
    <w:rsid w:val="00585088"/>
    <w:rsid w:val="005857A7"/>
    <w:rsid w:val="00585991"/>
    <w:rsid w:val="00587444"/>
    <w:rsid w:val="00587932"/>
    <w:rsid w:val="005901D2"/>
    <w:rsid w:val="0059109F"/>
    <w:rsid w:val="005916E2"/>
    <w:rsid w:val="00592975"/>
    <w:rsid w:val="005952D6"/>
    <w:rsid w:val="00596563"/>
    <w:rsid w:val="00597563"/>
    <w:rsid w:val="005A4AA0"/>
    <w:rsid w:val="005A6DDD"/>
    <w:rsid w:val="005B346C"/>
    <w:rsid w:val="005B3E69"/>
    <w:rsid w:val="005B43F5"/>
    <w:rsid w:val="005B4973"/>
    <w:rsid w:val="005B6BE8"/>
    <w:rsid w:val="005B7B56"/>
    <w:rsid w:val="005C18D1"/>
    <w:rsid w:val="005C43AA"/>
    <w:rsid w:val="005C6038"/>
    <w:rsid w:val="005C7D2E"/>
    <w:rsid w:val="005D0B33"/>
    <w:rsid w:val="005D1119"/>
    <w:rsid w:val="005D1653"/>
    <w:rsid w:val="005D302B"/>
    <w:rsid w:val="005D5526"/>
    <w:rsid w:val="005D6857"/>
    <w:rsid w:val="005E013D"/>
    <w:rsid w:val="005E050B"/>
    <w:rsid w:val="005E0A1B"/>
    <w:rsid w:val="005E146C"/>
    <w:rsid w:val="005E3044"/>
    <w:rsid w:val="005E37E3"/>
    <w:rsid w:val="005E47E9"/>
    <w:rsid w:val="005E4BEA"/>
    <w:rsid w:val="005F2646"/>
    <w:rsid w:val="005F2EA2"/>
    <w:rsid w:val="005F3769"/>
    <w:rsid w:val="005F4705"/>
    <w:rsid w:val="005F5B6E"/>
    <w:rsid w:val="005F7FED"/>
    <w:rsid w:val="00603AB7"/>
    <w:rsid w:val="00603AF4"/>
    <w:rsid w:val="006065C5"/>
    <w:rsid w:val="00606708"/>
    <w:rsid w:val="00606FAE"/>
    <w:rsid w:val="00607717"/>
    <w:rsid w:val="00610A13"/>
    <w:rsid w:val="00610CD6"/>
    <w:rsid w:val="0061136B"/>
    <w:rsid w:val="00612BEE"/>
    <w:rsid w:val="006149B8"/>
    <w:rsid w:val="006153C8"/>
    <w:rsid w:val="00620718"/>
    <w:rsid w:val="00621791"/>
    <w:rsid w:val="0062281A"/>
    <w:rsid w:val="00622F15"/>
    <w:rsid w:val="0062516A"/>
    <w:rsid w:val="006316D6"/>
    <w:rsid w:val="00631A02"/>
    <w:rsid w:val="00634803"/>
    <w:rsid w:val="00634BDF"/>
    <w:rsid w:val="00634DEF"/>
    <w:rsid w:val="006356BD"/>
    <w:rsid w:val="00635F00"/>
    <w:rsid w:val="0063611F"/>
    <w:rsid w:val="00636C45"/>
    <w:rsid w:val="00637B38"/>
    <w:rsid w:val="00642AA5"/>
    <w:rsid w:val="00643A63"/>
    <w:rsid w:val="00643BC6"/>
    <w:rsid w:val="006454F8"/>
    <w:rsid w:val="00645BD9"/>
    <w:rsid w:val="0064615E"/>
    <w:rsid w:val="006466E3"/>
    <w:rsid w:val="00651F40"/>
    <w:rsid w:val="006527F1"/>
    <w:rsid w:val="006549ED"/>
    <w:rsid w:val="00655170"/>
    <w:rsid w:val="006560EC"/>
    <w:rsid w:val="006574CB"/>
    <w:rsid w:val="006631AF"/>
    <w:rsid w:val="006641EF"/>
    <w:rsid w:val="00664651"/>
    <w:rsid w:val="00664C6C"/>
    <w:rsid w:val="00667808"/>
    <w:rsid w:val="00670056"/>
    <w:rsid w:val="00671D1F"/>
    <w:rsid w:val="006721E0"/>
    <w:rsid w:val="0067563A"/>
    <w:rsid w:val="0067588C"/>
    <w:rsid w:val="00675CAA"/>
    <w:rsid w:val="006769F5"/>
    <w:rsid w:val="00676BD2"/>
    <w:rsid w:val="00676E1B"/>
    <w:rsid w:val="00680FFE"/>
    <w:rsid w:val="00681253"/>
    <w:rsid w:val="00682E73"/>
    <w:rsid w:val="0068374B"/>
    <w:rsid w:val="006855F9"/>
    <w:rsid w:val="00685E1E"/>
    <w:rsid w:val="00685EEA"/>
    <w:rsid w:val="006870A5"/>
    <w:rsid w:val="00692F1B"/>
    <w:rsid w:val="0069376B"/>
    <w:rsid w:val="006942E1"/>
    <w:rsid w:val="00695344"/>
    <w:rsid w:val="00695D30"/>
    <w:rsid w:val="006A1E7C"/>
    <w:rsid w:val="006A2131"/>
    <w:rsid w:val="006A261B"/>
    <w:rsid w:val="006A548C"/>
    <w:rsid w:val="006A734A"/>
    <w:rsid w:val="006A7758"/>
    <w:rsid w:val="006B0A91"/>
    <w:rsid w:val="006B13CF"/>
    <w:rsid w:val="006B1D76"/>
    <w:rsid w:val="006B2049"/>
    <w:rsid w:val="006B7128"/>
    <w:rsid w:val="006C2A5D"/>
    <w:rsid w:val="006C405D"/>
    <w:rsid w:val="006C7389"/>
    <w:rsid w:val="006C7C20"/>
    <w:rsid w:val="006D064F"/>
    <w:rsid w:val="006D470F"/>
    <w:rsid w:val="006D5185"/>
    <w:rsid w:val="006D5D5B"/>
    <w:rsid w:val="006D612B"/>
    <w:rsid w:val="006D6856"/>
    <w:rsid w:val="006D76A4"/>
    <w:rsid w:val="006D7798"/>
    <w:rsid w:val="006E0889"/>
    <w:rsid w:val="006E0AAB"/>
    <w:rsid w:val="006E201D"/>
    <w:rsid w:val="006E45E2"/>
    <w:rsid w:val="006E64FC"/>
    <w:rsid w:val="006F0E9B"/>
    <w:rsid w:val="006F1F13"/>
    <w:rsid w:val="006F3154"/>
    <w:rsid w:val="006F33DD"/>
    <w:rsid w:val="006F42BE"/>
    <w:rsid w:val="006F5DA0"/>
    <w:rsid w:val="00700A8B"/>
    <w:rsid w:val="00704C52"/>
    <w:rsid w:val="00704FEA"/>
    <w:rsid w:val="00706472"/>
    <w:rsid w:val="00706C6C"/>
    <w:rsid w:val="007108E3"/>
    <w:rsid w:val="00711E61"/>
    <w:rsid w:val="00712B65"/>
    <w:rsid w:val="007161F1"/>
    <w:rsid w:val="00723385"/>
    <w:rsid w:val="0072536B"/>
    <w:rsid w:val="0072585D"/>
    <w:rsid w:val="00726B48"/>
    <w:rsid w:val="00726FA7"/>
    <w:rsid w:val="00727508"/>
    <w:rsid w:val="00727532"/>
    <w:rsid w:val="0072763C"/>
    <w:rsid w:val="00727AAF"/>
    <w:rsid w:val="0073106F"/>
    <w:rsid w:val="00732244"/>
    <w:rsid w:val="00732DB4"/>
    <w:rsid w:val="007333F6"/>
    <w:rsid w:val="00734FA5"/>
    <w:rsid w:val="00737B16"/>
    <w:rsid w:val="0074206C"/>
    <w:rsid w:val="00742654"/>
    <w:rsid w:val="007435EA"/>
    <w:rsid w:val="00745304"/>
    <w:rsid w:val="00745692"/>
    <w:rsid w:val="00746F64"/>
    <w:rsid w:val="00752746"/>
    <w:rsid w:val="00752B04"/>
    <w:rsid w:val="00752D2A"/>
    <w:rsid w:val="00753142"/>
    <w:rsid w:val="00753536"/>
    <w:rsid w:val="007535FD"/>
    <w:rsid w:val="00754356"/>
    <w:rsid w:val="00754738"/>
    <w:rsid w:val="00760501"/>
    <w:rsid w:val="0076154F"/>
    <w:rsid w:val="00762E9F"/>
    <w:rsid w:val="00763573"/>
    <w:rsid w:val="00763BF8"/>
    <w:rsid w:val="00764DB1"/>
    <w:rsid w:val="00765E08"/>
    <w:rsid w:val="0076679B"/>
    <w:rsid w:val="0077009A"/>
    <w:rsid w:val="0077042D"/>
    <w:rsid w:val="00780624"/>
    <w:rsid w:val="007814DA"/>
    <w:rsid w:val="007833CE"/>
    <w:rsid w:val="007850B4"/>
    <w:rsid w:val="00790E82"/>
    <w:rsid w:val="0079116F"/>
    <w:rsid w:val="007918F7"/>
    <w:rsid w:val="0079402C"/>
    <w:rsid w:val="00794A9D"/>
    <w:rsid w:val="00796612"/>
    <w:rsid w:val="007A5B74"/>
    <w:rsid w:val="007A5B7B"/>
    <w:rsid w:val="007A6404"/>
    <w:rsid w:val="007A6AD2"/>
    <w:rsid w:val="007A7DEF"/>
    <w:rsid w:val="007B030C"/>
    <w:rsid w:val="007B20A7"/>
    <w:rsid w:val="007B2103"/>
    <w:rsid w:val="007B53E5"/>
    <w:rsid w:val="007B6354"/>
    <w:rsid w:val="007C01C1"/>
    <w:rsid w:val="007C14B2"/>
    <w:rsid w:val="007C22AD"/>
    <w:rsid w:val="007C6382"/>
    <w:rsid w:val="007C79A3"/>
    <w:rsid w:val="007C7F0B"/>
    <w:rsid w:val="007D02E5"/>
    <w:rsid w:val="007D3E0C"/>
    <w:rsid w:val="007D44F1"/>
    <w:rsid w:val="007D56A1"/>
    <w:rsid w:val="007D5D86"/>
    <w:rsid w:val="007E0F93"/>
    <w:rsid w:val="007E1F9D"/>
    <w:rsid w:val="007E36DF"/>
    <w:rsid w:val="007F297C"/>
    <w:rsid w:val="007F307F"/>
    <w:rsid w:val="007F35D4"/>
    <w:rsid w:val="007F4B50"/>
    <w:rsid w:val="007F64C1"/>
    <w:rsid w:val="00803380"/>
    <w:rsid w:val="00807811"/>
    <w:rsid w:val="008109D2"/>
    <w:rsid w:val="00810F30"/>
    <w:rsid w:val="00812F9C"/>
    <w:rsid w:val="00815B24"/>
    <w:rsid w:val="00816931"/>
    <w:rsid w:val="00816E3B"/>
    <w:rsid w:val="008171EF"/>
    <w:rsid w:val="008204AF"/>
    <w:rsid w:val="00822B6B"/>
    <w:rsid w:val="008236BD"/>
    <w:rsid w:val="00824B51"/>
    <w:rsid w:val="00825760"/>
    <w:rsid w:val="00827178"/>
    <w:rsid w:val="0083019E"/>
    <w:rsid w:val="00830DEB"/>
    <w:rsid w:val="00834EF2"/>
    <w:rsid w:val="008371D5"/>
    <w:rsid w:val="00840274"/>
    <w:rsid w:val="00841588"/>
    <w:rsid w:val="0084194E"/>
    <w:rsid w:val="00841A4C"/>
    <w:rsid w:val="00846702"/>
    <w:rsid w:val="00846ADD"/>
    <w:rsid w:val="008526F0"/>
    <w:rsid w:val="00852B2A"/>
    <w:rsid w:val="008537C9"/>
    <w:rsid w:val="00853AC3"/>
    <w:rsid w:val="00854940"/>
    <w:rsid w:val="008561AF"/>
    <w:rsid w:val="008629AF"/>
    <w:rsid w:val="0086451A"/>
    <w:rsid w:val="00867A50"/>
    <w:rsid w:val="008710A6"/>
    <w:rsid w:val="00871762"/>
    <w:rsid w:val="008727DF"/>
    <w:rsid w:val="00872A90"/>
    <w:rsid w:val="008738AB"/>
    <w:rsid w:val="00874391"/>
    <w:rsid w:val="00875D45"/>
    <w:rsid w:val="00875E80"/>
    <w:rsid w:val="00875FA6"/>
    <w:rsid w:val="00876787"/>
    <w:rsid w:val="008778E8"/>
    <w:rsid w:val="00880B90"/>
    <w:rsid w:val="00881EBB"/>
    <w:rsid w:val="00883C17"/>
    <w:rsid w:val="00883D8D"/>
    <w:rsid w:val="008841C7"/>
    <w:rsid w:val="008843E7"/>
    <w:rsid w:val="0088530B"/>
    <w:rsid w:val="00890EEB"/>
    <w:rsid w:val="00891437"/>
    <w:rsid w:val="00891780"/>
    <w:rsid w:val="008917EB"/>
    <w:rsid w:val="0089188E"/>
    <w:rsid w:val="00891E0E"/>
    <w:rsid w:val="008925F4"/>
    <w:rsid w:val="0089384A"/>
    <w:rsid w:val="00893DF5"/>
    <w:rsid w:val="008947A3"/>
    <w:rsid w:val="00894B4A"/>
    <w:rsid w:val="008975BA"/>
    <w:rsid w:val="00897666"/>
    <w:rsid w:val="008A0B0E"/>
    <w:rsid w:val="008A23D7"/>
    <w:rsid w:val="008A243F"/>
    <w:rsid w:val="008A3570"/>
    <w:rsid w:val="008A35C4"/>
    <w:rsid w:val="008A5EA5"/>
    <w:rsid w:val="008A67AA"/>
    <w:rsid w:val="008A70A1"/>
    <w:rsid w:val="008B0216"/>
    <w:rsid w:val="008B0F0D"/>
    <w:rsid w:val="008B25E5"/>
    <w:rsid w:val="008B38E7"/>
    <w:rsid w:val="008C0EF2"/>
    <w:rsid w:val="008C11C1"/>
    <w:rsid w:val="008C3948"/>
    <w:rsid w:val="008C59F7"/>
    <w:rsid w:val="008C6D35"/>
    <w:rsid w:val="008D35FB"/>
    <w:rsid w:val="008D3815"/>
    <w:rsid w:val="008D5125"/>
    <w:rsid w:val="008D51E5"/>
    <w:rsid w:val="008D6A42"/>
    <w:rsid w:val="008D6B24"/>
    <w:rsid w:val="008D7D43"/>
    <w:rsid w:val="008E0495"/>
    <w:rsid w:val="008E05EE"/>
    <w:rsid w:val="008E33C7"/>
    <w:rsid w:val="008E424F"/>
    <w:rsid w:val="008E47A5"/>
    <w:rsid w:val="008E4AC3"/>
    <w:rsid w:val="008F0CC1"/>
    <w:rsid w:val="008F0F68"/>
    <w:rsid w:val="008F14D9"/>
    <w:rsid w:val="008F22D5"/>
    <w:rsid w:val="008F3922"/>
    <w:rsid w:val="008F4B97"/>
    <w:rsid w:val="008F516C"/>
    <w:rsid w:val="009006CE"/>
    <w:rsid w:val="00900D3A"/>
    <w:rsid w:val="00903C98"/>
    <w:rsid w:val="00904BB1"/>
    <w:rsid w:val="009079A2"/>
    <w:rsid w:val="00910A2E"/>
    <w:rsid w:val="0091227A"/>
    <w:rsid w:val="00915D85"/>
    <w:rsid w:val="00915F59"/>
    <w:rsid w:val="00917BB2"/>
    <w:rsid w:val="00920C8B"/>
    <w:rsid w:val="0092232C"/>
    <w:rsid w:val="0092255E"/>
    <w:rsid w:val="00924F94"/>
    <w:rsid w:val="00925A96"/>
    <w:rsid w:val="00931059"/>
    <w:rsid w:val="0093420A"/>
    <w:rsid w:val="00935546"/>
    <w:rsid w:val="00937D2E"/>
    <w:rsid w:val="00942BF1"/>
    <w:rsid w:val="00943B2E"/>
    <w:rsid w:val="00945124"/>
    <w:rsid w:val="00945AEB"/>
    <w:rsid w:val="00947555"/>
    <w:rsid w:val="00947D8C"/>
    <w:rsid w:val="00953814"/>
    <w:rsid w:val="00953F6C"/>
    <w:rsid w:val="00955B06"/>
    <w:rsid w:val="00956437"/>
    <w:rsid w:val="00957DFF"/>
    <w:rsid w:val="009621D1"/>
    <w:rsid w:val="009641B7"/>
    <w:rsid w:val="00966F2D"/>
    <w:rsid w:val="009706D2"/>
    <w:rsid w:val="0097141A"/>
    <w:rsid w:val="00972687"/>
    <w:rsid w:val="0097584B"/>
    <w:rsid w:val="00975C5F"/>
    <w:rsid w:val="00977452"/>
    <w:rsid w:val="00977700"/>
    <w:rsid w:val="0098178B"/>
    <w:rsid w:val="00985920"/>
    <w:rsid w:val="00985F95"/>
    <w:rsid w:val="0098623C"/>
    <w:rsid w:val="009864FF"/>
    <w:rsid w:val="00991B69"/>
    <w:rsid w:val="00994775"/>
    <w:rsid w:val="009A12E3"/>
    <w:rsid w:val="009A4B84"/>
    <w:rsid w:val="009A63B2"/>
    <w:rsid w:val="009A6965"/>
    <w:rsid w:val="009A72BE"/>
    <w:rsid w:val="009B0C55"/>
    <w:rsid w:val="009B0EFE"/>
    <w:rsid w:val="009B3D00"/>
    <w:rsid w:val="009B3F08"/>
    <w:rsid w:val="009B4E96"/>
    <w:rsid w:val="009C0416"/>
    <w:rsid w:val="009C1483"/>
    <w:rsid w:val="009C2CD1"/>
    <w:rsid w:val="009C4FB4"/>
    <w:rsid w:val="009D69A2"/>
    <w:rsid w:val="009E09A0"/>
    <w:rsid w:val="009E2BA6"/>
    <w:rsid w:val="009E4F8C"/>
    <w:rsid w:val="009E5BB3"/>
    <w:rsid w:val="009F0F2D"/>
    <w:rsid w:val="009F2D82"/>
    <w:rsid w:val="009F3180"/>
    <w:rsid w:val="009F4C08"/>
    <w:rsid w:val="00A01CBC"/>
    <w:rsid w:val="00A02168"/>
    <w:rsid w:val="00A023B0"/>
    <w:rsid w:val="00A0295A"/>
    <w:rsid w:val="00A02E47"/>
    <w:rsid w:val="00A11654"/>
    <w:rsid w:val="00A12CB4"/>
    <w:rsid w:val="00A1381F"/>
    <w:rsid w:val="00A14DF7"/>
    <w:rsid w:val="00A1692D"/>
    <w:rsid w:val="00A17B30"/>
    <w:rsid w:val="00A22A73"/>
    <w:rsid w:val="00A22C47"/>
    <w:rsid w:val="00A23354"/>
    <w:rsid w:val="00A23DDB"/>
    <w:rsid w:val="00A25521"/>
    <w:rsid w:val="00A25601"/>
    <w:rsid w:val="00A2568D"/>
    <w:rsid w:val="00A2667F"/>
    <w:rsid w:val="00A34AD5"/>
    <w:rsid w:val="00A34CFF"/>
    <w:rsid w:val="00A34FE7"/>
    <w:rsid w:val="00A36D64"/>
    <w:rsid w:val="00A4154F"/>
    <w:rsid w:val="00A4206D"/>
    <w:rsid w:val="00A43AED"/>
    <w:rsid w:val="00A45D83"/>
    <w:rsid w:val="00A45EAB"/>
    <w:rsid w:val="00A52FF1"/>
    <w:rsid w:val="00A54311"/>
    <w:rsid w:val="00A547CE"/>
    <w:rsid w:val="00A55E1D"/>
    <w:rsid w:val="00A606A7"/>
    <w:rsid w:val="00A60BF2"/>
    <w:rsid w:val="00A63382"/>
    <w:rsid w:val="00A638B8"/>
    <w:rsid w:val="00A650DE"/>
    <w:rsid w:val="00A658CA"/>
    <w:rsid w:val="00A66CB5"/>
    <w:rsid w:val="00A70229"/>
    <w:rsid w:val="00A709D8"/>
    <w:rsid w:val="00A70C16"/>
    <w:rsid w:val="00A71D3B"/>
    <w:rsid w:val="00A730BD"/>
    <w:rsid w:val="00A7481B"/>
    <w:rsid w:val="00A755D6"/>
    <w:rsid w:val="00A80DF2"/>
    <w:rsid w:val="00A80E8D"/>
    <w:rsid w:val="00A830AA"/>
    <w:rsid w:val="00A830B4"/>
    <w:rsid w:val="00A90043"/>
    <w:rsid w:val="00A90401"/>
    <w:rsid w:val="00A914CD"/>
    <w:rsid w:val="00A920B1"/>
    <w:rsid w:val="00A92D3A"/>
    <w:rsid w:val="00A92DEC"/>
    <w:rsid w:val="00A931D9"/>
    <w:rsid w:val="00A93C39"/>
    <w:rsid w:val="00A94CBD"/>
    <w:rsid w:val="00A96A3D"/>
    <w:rsid w:val="00AA041D"/>
    <w:rsid w:val="00AA0861"/>
    <w:rsid w:val="00AA1BB8"/>
    <w:rsid w:val="00AA43E7"/>
    <w:rsid w:val="00AA69C2"/>
    <w:rsid w:val="00AA6D09"/>
    <w:rsid w:val="00AB5F92"/>
    <w:rsid w:val="00AB6B1D"/>
    <w:rsid w:val="00AB74B4"/>
    <w:rsid w:val="00AC0C60"/>
    <w:rsid w:val="00AC1157"/>
    <w:rsid w:val="00AC135C"/>
    <w:rsid w:val="00AC1B60"/>
    <w:rsid w:val="00AC4579"/>
    <w:rsid w:val="00AC506E"/>
    <w:rsid w:val="00AC5EAD"/>
    <w:rsid w:val="00AC6A01"/>
    <w:rsid w:val="00AD0F21"/>
    <w:rsid w:val="00AD2727"/>
    <w:rsid w:val="00AD63E7"/>
    <w:rsid w:val="00AE126C"/>
    <w:rsid w:val="00AE1CE5"/>
    <w:rsid w:val="00AE2E9A"/>
    <w:rsid w:val="00AE3659"/>
    <w:rsid w:val="00AE3862"/>
    <w:rsid w:val="00AE4C8B"/>
    <w:rsid w:val="00AE4D68"/>
    <w:rsid w:val="00AE557B"/>
    <w:rsid w:val="00AE5ED3"/>
    <w:rsid w:val="00AE5F56"/>
    <w:rsid w:val="00AE623A"/>
    <w:rsid w:val="00AF062A"/>
    <w:rsid w:val="00AF114E"/>
    <w:rsid w:val="00AF2758"/>
    <w:rsid w:val="00AF2D4C"/>
    <w:rsid w:val="00AF43FC"/>
    <w:rsid w:val="00AF4713"/>
    <w:rsid w:val="00AF48E7"/>
    <w:rsid w:val="00AF60F3"/>
    <w:rsid w:val="00AF7C79"/>
    <w:rsid w:val="00B00116"/>
    <w:rsid w:val="00B01D63"/>
    <w:rsid w:val="00B03575"/>
    <w:rsid w:val="00B056A2"/>
    <w:rsid w:val="00B069E5"/>
    <w:rsid w:val="00B07AF3"/>
    <w:rsid w:val="00B10670"/>
    <w:rsid w:val="00B1142B"/>
    <w:rsid w:val="00B134A8"/>
    <w:rsid w:val="00B15E90"/>
    <w:rsid w:val="00B166C8"/>
    <w:rsid w:val="00B16B00"/>
    <w:rsid w:val="00B20B98"/>
    <w:rsid w:val="00B2112E"/>
    <w:rsid w:val="00B22FC5"/>
    <w:rsid w:val="00B24E04"/>
    <w:rsid w:val="00B261BF"/>
    <w:rsid w:val="00B27CC0"/>
    <w:rsid w:val="00B3448C"/>
    <w:rsid w:val="00B36FA6"/>
    <w:rsid w:val="00B37F9D"/>
    <w:rsid w:val="00B401D8"/>
    <w:rsid w:val="00B439DB"/>
    <w:rsid w:val="00B456A5"/>
    <w:rsid w:val="00B46E26"/>
    <w:rsid w:val="00B520B0"/>
    <w:rsid w:val="00B52A55"/>
    <w:rsid w:val="00B52B48"/>
    <w:rsid w:val="00B53DB3"/>
    <w:rsid w:val="00B57C88"/>
    <w:rsid w:val="00B6125E"/>
    <w:rsid w:val="00B614CF"/>
    <w:rsid w:val="00B62047"/>
    <w:rsid w:val="00B66015"/>
    <w:rsid w:val="00B6724A"/>
    <w:rsid w:val="00B67964"/>
    <w:rsid w:val="00B72FFD"/>
    <w:rsid w:val="00B733B1"/>
    <w:rsid w:val="00B7396E"/>
    <w:rsid w:val="00B74F5B"/>
    <w:rsid w:val="00B77677"/>
    <w:rsid w:val="00B8076D"/>
    <w:rsid w:val="00B80B0C"/>
    <w:rsid w:val="00B81629"/>
    <w:rsid w:val="00B821A8"/>
    <w:rsid w:val="00B82837"/>
    <w:rsid w:val="00B8294B"/>
    <w:rsid w:val="00B904E5"/>
    <w:rsid w:val="00B9079C"/>
    <w:rsid w:val="00B93E80"/>
    <w:rsid w:val="00B96183"/>
    <w:rsid w:val="00BA06B2"/>
    <w:rsid w:val="00BA0EB7"/>
    <w:rsid w:val="00BA4E29"/>
    <w:rsid w:val="00BB0B08"/>
    <w:rsid w:val="00BB18D1"/>
    <w:rsid w:val="00BB2BC4"/>
    <w:rsid w:val="00BB434F"/>
    <w:rsid w:val="00BB45D8"/>
    <w:rsid w:val="00BB5943"/>
    <w:rsid w:val="00BB609F"/>
    <w:rsid w:val="00BB66B5"/>
    <w:rsid w:val="00BB723C"/>
    <w:rsid w:val="00BB7309"/>
    <w:rsid w:val="00BC0679"/>
    <w:rsid w:val="00BC06F2"/>
    <w:rsid w:val="00BC2670"/>
    <w:rsid w:val="00BC533C"/>
    <w:rsid w:val="00BC5F4A"/>
    <w:rsid w:val="00BC7279"/>
    <w:rsid w:val="00BD1260"/>
    <w:rsid w:val="00BD171B"/>
    <w:rsid w:val="00BD2102"/>
    <w:rsid w:val="00BD379D"/>
    <w:rsid w:val="00BD512A"/>
    <w:rsid w:val="00BD62F0"/>
    <w:rsid w:val="00BE1EC0"/>
    <w:rsid w:val="00BE3695"/>
    <w:rsid w:val="00BE72F6"/>
    <w:rsid w:val="00BF1CF1"/>
    <w:rsid w:val="00BF4330"/>
    <w:rsid w:val="00BF46EB"/>
    <w:rsid w:val="00BF4E68"/>
    <w:rsid w:val="00BF521E"/>
    <w:rsid w:val="00BF5AEE"/>
    <w:rsid w:val="00C0181E"/>
    <w:rsid w:val="00C02841"/>
    <w:rsid w:val="00C028E6"/>
    <w:rsid w:val="00C03FD6"/>
    <w:rsid w:val="00C103F2"/>
    <w:rsid w:val="00C111C8"/>
    <w:rsid w:val="00C11F04"/>
    <w:rsid w:val="00C1346E"/>
    <w:rsid w:val="00C137BE"/>
    <w:rsid w:val="00C14BEA"/>
    <w:rsid w:val="00C14DD6"/>
    <w:rsid w:val="00C20B95"/>
    <w:rsid w:val="00C22A6C"/>
    <w:rsid w:val="00C2544B"/>
    <w:rsid w:val="00C26DD4"/>
    <w:rsid w:val="00C3043D"/>
    <w:rsid w:val="00C31586"/>
    <w:rsid w:val="00C31DEB"/>
    <w:rsid w:val="00C34FB6"/>
    <w:rsid w:val="00C3558E"/>
    <w:rsid w:val="00C36FF2"/>
    <w:rsid w:val="00C40FC8"/>
    <w:rsid w:val="00C410ED"/>
    <w:rsid w:val="00C468B7"/>
    <w:rsid w:val="00C47B95"/>
    <w:rsid w:val="00C47E37"/>
    <w:rsid w:val="00C50339"/>
    <w:rsid w:val="00C51279"/>
    <w:rsid w:val="00C52300"/>
    <w:rsid w:val="00C55C9B"/>
    <w:rsid w:val="00C56ECA"/>
    <w:rsid w:val="00C5723F"/>
    <w:rsid w:val="00C60D06"/>
    <w:rsid w:val="00C629CA"/>
    <w:rsid w:val="00C63424"/>
    <w:rsid w:val="00C64273"/>
    <w:rsid w:val="00C644EA"/>
    <w:rsid w:val="00C64E7B"/>
    <w:rsid w:val="00C65529"/>
    <w:rsid w:val="00C65BD4"/>
    <w:rsid w:val="00C67C36"/>
    <w:rsid w:val="00C7012A"/>
    <w:rsid w:val="00C7191B"/>
    <w:rsid w:val="00C71CC3"/>
    <w:rsid w:val="00C7253E"/>
    <w:rsid w:val="00C744C1"/>
    <w:rsid w:val="00C772AB"/>
    <w:rsid w:val="00C778F4"/>
    <w:rsid w:val="00C82B28"/>
    <w:rsid w:val="00C8476F"/>
    <w:rsid w:val="00C8550E"/>
    <w:rsid w:val="00C8559D"/>
    <w:rsid w:val="00C871D1"/>
    <w:rsid w:val="00C9021B"/>
    <w:rsid w:val="00C908B8"/>
    <w:rsid w:val="00C93D6F"/>
    <w:rsid w:val="00C968C7"/>
    <w:rsid w:val="00C97AEB"/>
    <w:rsid w:val="00CA01BE"/>
    <w:rsid w:val="00CA1EE8"/>
    <w:rsid w:val="00CA20D2"/>
    <w:rsid w:val="00CA547B"/>
    <w:rsid w:val="00CA7577"/>
    <w:rsid w:val="00CB01F1"/>
    <w:rsid w:val="00CB0528"/>
    <w:rsid w:val="00CB145C"/>
    <w:rsid w:val="00CB1DA1"/>
    <w:rsid w:val="00CB35CE"/>
    <w:rsid w:val="00CB3B6C"/>
    <w:rsid w:val="00CB5AEA"/>
    <w:rsid w:val="00CB7F08"/>
    <w:rsid w:val="00CC529F"/>
    <w:rsid w:val="00CC5F30"/>
    <w:rsid w:val="00CC61B5"/>
    <w:rsid w:val="00CD2B8C"/>
    <w:rsid w:val="00CD5024"/>
    <w:rsid w:val="00CD5D0E"/>
    <w:rsid w:val="00CD608F"/>
    <w:rsid w:val="00CD6310"/>
    <w:rsid w:val="00CD786D"/>
    <w:rsid w:val="00CE0161"/>
    <w:rsid w:val="00CE070C"/>
    <w:rsid w:val="00CE1958"/>
    <w:rsid w:val="00CE5162"/>
    <w:rsid w:val="00CE67A7"/>
    <w:rsid w:val="00CF2FB3"/>
    <w:rsid w:val="00CF3C91"/>
    <w:rsid w:val="00CF3E3A"/>
    <w:rsid w:val="00CF6669"/>
    <w:rsid w:val="00CF7D02"/>
    <w:rsid w:val="00D00857"/>
    <w:rsid w:val="00D0108F"/>
    <w:rsid w:val="00D01208"/>
    <w:rsid w:val="00D035E7"/>
    <w:rsid w:val="00D039DA"/>
    <w:rsid w:val="00D05EFD"/>
    <w:rsid w:val="00D11A94"/>
    <w:rsid w:val="00D11ED7"/>
    <w:rsid w:val="00D13256"/>
    <w:rsid w:val="00D154EE"/>
    <w:rsid w:val="00D15AA3"/>
    <w:rsid w:val="00D169A5"/>
    <w:rsid w:val="00D169DC"/>
    <w:rsid w:val="00D1734D"/>
    <w:rsid w:val="00D200EF"/>
    <w:rsid w:val="00D20515"/>
    <w:rsid w:val="00D22436"/>
    <w:rsid w:val="00D2261D"/>
    <w:rsid w:val="00D22770"/>
    <w:rsid w:val="00D24754"/>
    <w:rsid w:val="00D250AC"/>
    <w:rsid w:val="00D26704"/>
    <w:rsid w:val="00D26A6A"/>
    <w:rsid w:val="00D2741F"/>
    <w:rsid w:val="00D31AD7"/>
    <w:rsid w:val="00D32822"/>
    <w:rsid w:val="00D37474"/>
    <w:rsid w:val="00D42113"/>
    <w:rsid w:val="00D43007"/>
    <w:rsid w:val="00D43DEB"/>
    <w:rsid w:val="00D44131"/>
    <w:rsid w:val="00D44200"/>
    <w:rsid w:val="00D44DF0"/>
    <w:rsid w:val="00D459CC"/>
    <w:rsid w:val="00D47D3E"/>
    <w:rsid w:val="00D52B84"/>
    <w:rsid w:val="00D53A27"/>
    <w:rsid w:val="00D55C6E"/>
    <w:rsid w:val="00D61A93"/>
    <w:rsid w:val="00D63272"/>
    <w:rsid w:val="00D638BE"/>
    <w:rsid w:val="00D64C72"/>
    <w:rsid w:val="00D65085"/>
    <w:rsid w:val="00D7200A"/>
    <w:rsid w:val="00D74B0C"/>
    <w:rsid w:val="00D74D7F"/>
    <w:rsid w:val="00D75078"/>
    <w:rsid w:val="00D75982"/>
    <w:rsid w:val="00D7651D"/>
    <w:rsid w:val="00D81521"/>
    <w:rsid w:val="00D843D9"/>
    <w:rsid w:val="00D85B5F"/>
    <w:rsid w:val="00D85E32"/>
    <w:rsid w:val="00D86628"/>
    <w:rsid w:val="00D92BD6"/>
    <w:rsid w:val="00DA027C"/>
    <w:rsid w:val="00DA1772"/>
    <w:rsid w:val="00DA344C"/>
    <w:rsid w:val="00DA4927"/>
    <w:rsid w:val="00DA5A86"/>
    <w:rsid w:val="00DA60BF"/>
    <w:rsid w:val="00DA6EB3"/>
    <w:rsid w:val="00DA7315"/>
    <w:rsid w:val="00DB0E5A"/>
    <w:rsid w:val="00DB14CC"/>
    <w:rsid w:val="00DB181F"/>
    <w:rsid w:val="00DB2579"/>
    <w:rsid w:val="00DB2B19"/>
    <w:rsid w:val="00DB3D83"/>
    <w:rsid w:val="00DB6077"/>
    <w:rsid w:val="00DB672F"/>
    <w:rsid w:val="00DC43EC"/>
    <w:rsid w:val="00DC4535"/>
    <w:rsid w:val="00DD0147"/>
    <w:rsid w:val="00DD0605"/>
    <w:rsid w:val="00DD0859"/>
    <w:rsid w:val="00DD10A3"/>
    <w:rsid w:val="00DD34F3"/>
    <w:rsid w:val="00DD3E56"/>
    <w:rsid w:val="00DD4398"/>
    <w:rsid w:val="00DD4B19"/>
    <w:rsid w:val="00DD51CA"/>
    <w:rsid w:val="00DD5510"/>
    <w:rsid w:val="00DD64C2"/>
    <w:rsid w:val="00DD69E7"/>
    <w:rsid w:val="00DD6F71"/>
    <w:rsid w:val="00DD7CDA"/>
    <w:rsid w:val="00DE270B"/>
    <w:rsid w:val="00DE2924"/>
    <w:rsid w:val="00DE6A8D"/>
    <w:rsid w:val="00DE70A8"/>
    <w:rsid w:val="00DE70B7"/>
    <w:rsid w:val="00DE75A7"/>
    <w:rsid w:val="00DE79EE"/>
    <w:rsid w:val="00DF102B"/>
    <w:rsid w:val="00DF107A"/>
    <w:rsid w:val="00DF5D0D"/>
    <w:rsid w:val="00DF5D5A"/>
    <w:rsid w:val="00E000C2"/>
    <w:rsid w:val="00E01924"/>
    <w:rsid w:val="00E01963"/>
    <w:rsid w:val="00E0283A"/>
    <w:rsid w:val="00E02D3F"/>
    <w:rsid w:val="00E039DC"/>
    <w:rsid w:val="00E04BD8"/>
    <w:rsid w:val="00E053FB"/>
    <w:rsid w:val="00E05B0C"/>
    <w:rsid w:val="00E068CE"/>
    <w:rsid w:val="00E11754"/>
    <w:rsid w:val="00E124A9"/>
    <w:rsid w:val="00E13DEA"/>
    <w:rsid w:val="00E141F8"/>
    <w:rsid w:val="00E148FD"/>
    <w:rsid w:val="00E1561C"/>
    <w:rsid w:val="00E168BE"/>
    <w:rsid w:val="00E17654"/>
    <w:rsid w:val="00E205E0"/>
    <w:rsid w:val="00E2060A"/>
    <w:rsid w:val="00E20F8A"/>
    <w:rsid w:val="00E21658"/>
    <w:rsid w:val="00E220CF"/>
    <w:rsid w:val="00E23982"/>
    <w:rsid w:val="00E26192"/>
    <w:rsid w:val="00E26CA9"/>
    <w:rsid w:val="00E30527"/>
    <w:rsid w:val="00E30F8E"/>
    <w:rsid w:val="00E31268"/>
    <w:rsid w:val="00E31F79"/>
    <w:rsid w:val="00E33EB2"/>
    <w:rsid w:val="00E35875"/>
    <w:rsid w:val="00E35E39"/>
    <w:rsid w:val="00E366A3"/>
    <w:rsid w:val="00E374A1"/>
    <w:rsid w:val="00E40009"/>
    <w:rsid w:val="00E42F83"/>
    <w:rsid w:val="00E4470E"/>
    <w:rsid w:val="00E45A39"/>
    <w:rsid w:val="00E45D7C"/>
    <w:rsid w:val="00E45E2E"/>
    <w:rsid w:val="00E46000"/>
    <w:rsid w:val="00E514FF"/>
    <w:rsid w:val="00E5242F"/>
    <w:rsid w:val="00E52A8D"/>
    <w:rsid w:val="00E534B1"/>
    <w:rsid w:val="00E56D74"/>
    <w:rsid w:val="00E62E59"/>
    <w:rsid w:val="00E63037"/>
    <w:rsid w:val="00E645AA"/>
    <w:rsid w:val="00E6697A"/>
    <w:rsid w:val="00E66E12"/>
    <w:rsid w:val="00E70877"/>
    <w:rsid w:val="00E76387"/>
    <w:rsid w:val="00E77981"/>
    <w:rsid w:val="00E8264E"/>
    <w:rsid w:val="00E82CDF"/>
    <w:rsid w:val="00E83F27"/>
    <w:rsid w:val="00E86EBF"/>
    <w:rsid w:val="00E86F97"/>
    <w:rsid w:val="00E91449"/>
    <w:rsid w:val="00E93987"/>
    <w:rsid w:val="00E94830"/>
    <w:rsid w:val="00E94F8A"/>
    <w:rsid w:val="00EA176B"/>
    <w:rsid w:val="00EA2EF1"/>
    <w:rsid w:val="00EB4344"/>
    <w:rsid w:val="00EB4D6E"/>
    <w:rsid w:val="00EB68F9"/>
    <w:rsid w:val="00EB77C6"/>
    <w:rsid w:val="00EB7981"/>
    <w:rsid w:val="00EB7A0A"/>
    <w:rsid w:val="00EC0BC7"/>
    <w:rsid w:val="00EC0EC0"/>
    <w:rsid w:val="00EC3F0F"/>
    <w:rsid w:val="00EC4074"/>
    <w:rsid w:val="00EC613F"/>
    <w:rsid w:val="00EC6F1E"/>
    <w:rsid w:val="00EC74BA"/>
    <w:rsid w:val="00ED0A0F"/>
    <w:rsid w:val="00ED2160"/>
    <w:rsid w:val="00ED3D5E"/>
    <w:rsid w:val="00ED429F"/>
    <w:rsid w:val="00ED7478"/>
    <w:rsid w:val="00ED7B8F"/>
    <w:rsid w:val="00EE223F"/>
    <w:rsid w:val="00EE2691"/>
    <w:rsid w:val="00EF07FD"/>
    <w:rsid w:val="00EF0D93"/>
    <w:rsid w:val="00EF0EF2"/>
    <w:rsid w:val="00EF0F59"/>
    <w:rsid w:val="00EF3C4A"/>
    <w:rsid w:val="00EF5F20"/>
    <w:rsid w:val="00EF775D"/>
    <w:rsid w:val="00F01F1B"/>
    <w:rsid w:val="00F056D4"/>
    <w:rsid w:val="00F116A4"/>
    <w:rsid w:val="00F124F0"/>
    <w:rsid w:val="00F13492"/>
    <w:rsid w:val="00F16BB1"/>
    <w:rsid w:val="00F176DB"/>
    <w:rsid w:val="00F25EBE"/>
    <w:rsid w:val="00F27125"/>
    <w:rsid w:val="00F27895"/>
    <w:rsid w:val="00F27E4D"/>
    <w:rsid w:val="00F302C3"/>
    <w:rsid w:val="00F30708"/>
    <w:rsid w:val="00F30B98"/>
    <w:rsid w:val="00F31FA6"/>
    <w:rsid w:val="00F32686"/>
    <w:rsid w:val="00F34B17"/>
    <w:rsid w:val="00F35DE3"/>
    <w:rsid w:val="00F3639B"/>
    <w:rsid w:val="00F36511"/>
    <w:rsid w:val="00F377F8"/>
    <w:rsid w:val="00F4156A"/>
    <w:rsid w:val="00F42F47"/>
    <w:rsid w:val="00F45087"/>
    <w:rsid w:val="00F46496"/>
    <w:rsid w:val="00F506E5"/>
    <w:rsid w:val="00F51E0B"/>
    <w:rsid w:val="00F52272"/>
    <w:rsid w:val="00F53010"/>
    <w:rsid w:val="00F54513"/>
    <w:rsid w:val="00F5463C"/>
    <w:rsid w:val="00F5472B"/>
    <w:rsid w:val="00F6128A"/>
    <w:rsid w:val="00F61B34"/>
    <w:rsid w:val="00F61E6E"/>
    <w:rsid w:val="00F620C9"/>
    <w:rsid w:val="00F625B8"/>
    <w:rsid w:val="00F636A2"/>
    <w:rsid w:val="00F64184"/>
    <w:rsid w:val="00F64E80"/>
    <w:rsid w:val="00F64F0E"/>
    <w:rsid w:val="00F653E9"/>
    <w:rsid w:val="00F65829"/>
    <w:rsid w:val="00F670C3"/>
    <w:rsid w:val="00F67A3E"/>
    <w:rsid w:val="00F70F1E"/>
    <w:rsid w:val="00F7212F"/>
    <w:rsid w:val="00F73052"/>
    <w:rsid w:val="00F7316E"/>
    <w:rsid w:val="00F73F10"/>
    <w:rsid w:val="00F74666"/>
    <w:rsid w:val="00F74C06"/>
    <w:rsid w:val="00F768A0"/>
    <w:rsid w:val="00F77AE6"/>
    <w:rsid w:val="00F82DA8"/>
    <w:rsid w:val="00F832D1"/>
    <w:rsid w:val="00F85533"/>
    <w:rsid w:val="00F85F75"/>
    <w:rsid w:val="00F87CDC"/>
    <w:rsid w:val="00F90292"/>
    <w:rsid w:val="00F90B89"/>
    <w:rsid w:val="00F91A52"/>
    <w:rsid w:val="00F92B14"/>
    <w:rsid w:val="00F92E2A"/>
    <w:rsid w:val="00F93A11"/>
    <w:rsid w:val="00F955FE"/>
    <w:rsid w:val="00F972E0"/>
    <w:rsid w:val="00F979CE"/>
    <w:rsid w:val="00FA1535"/>
    <w:rsid w:val="00FA24AC"/>
    <w:rsid w:val="00FA6387"/>
    <w:rsid w:val="00FA65C1"/>
    <w:rsid w:val="00FA79C1"/>
    <w:rsid w:val="00FA79FD"/>
    <w:rsid w:val="00FB04E9"/>
    <w:rsid w:val="00FB0D90"/>
    <w:rsid w:val="00FB4D69"/>
    <w:rsid w:val="00FB52CD"/>
    <w:rsid w:val="00FC3D76"/>
    <w:rsid w:val="00FC3FB5"/>
    <w:rsid w:val="00FC4337"/>
    <w:rsid w:val="00FC6427"/>
    <w:rsid w:val="00FD2919"/>
    <w:rsid w:val="00FD3699"/>
    <w:rsid w:val="00FD4590"/>
    <w:rsid w:val="00FD51A0"/>
    <w:rsid w:val="00FD6E7D"/>
    <w:rsid w:val="00FE0D9E"/>
    <w:rsid w:val="00FE48A5"/>
    <w:rsid w:val="00FE4DA7"/>
    <w:rsid w:val="00FE5EC7"/>
    <w:rsid w:val="00FE7581"/>
    <w:rsid w:val="00FF022C"/>
    <w:rsid w:val="00FF0A07"/>
    <w:rsid w:val="00FF10B8"/>
    <w:rsid w:val="00FF12DA"/>
    <w:rsid w:val="00FF4B68"/>
    <w:rsid w:val="00FF643D"/>
    <w:rsid w:val="00FF754A"/>
    <w:rsid w:val="00FF7DAA"/>
    <w:rsid w:val="049DA6E3"/>
    <w:rsid w:val="04F846AF"/>
    <w:rsid w:val="069B160E"/>
    <w:rsid w:val="08211F6B"/>
    <w:rsid w:val="1465088D"/>
    <w:rsid w:val="148333EB"/>
    <w:rsid w:val="1495992F"/>
    <w:rsid w:val="1BFDA6C7"/>
    <w:rsid w:val="20B00302"/>
    <w:rsid w:val="226929A5"/>
    <w:rsid w:val="25108395"/>
    <w:rsid w:val="2767BDFC"/>
    <w:rsid w:val="27AF7E1D"/>
    <w:rsid w:val="2D5F5D79"/>
    <w:rsid w:val="2EDD9F9F"/>
    <w:rsid w:val="317E0E4B"/>
    <w:rsid w:val="33AB00D1"/>
    <w:rsid w:val="38D92637"/>
    <w:rsid w:val="3A75D660"/>
    <w:rsid w:val="3B47A3A8"/>
    <w:rsid w:val="3BF66FAC"/>
    <w:rsid w:val="43EABE2E"/>
    <w:rsid w:val="480B611F"/>
    <w:rsid w:val="49B4F192"/>
    <w:rsid w:val="4AF032DA"/>
    <w:rsid w:val="4CA878C4"/>
    <w:rsid w:val="4CD10B3D"/>
    <w:rsid w:val="4DB17F52"/>
    <w:rsid w:val="52F28258"/>
    <w:rsid w:val="5801BEA1"/>
    <w:rsid w:val="5C80D097"/>
    <w:rsid w:val="5DC73205"/>
    <w:rsid w:val="6874245F"/>
    <w:rsid w:val="6B254CED"/>
    <w:rsid w:val="6CE21C17"/>
    <w:rsid w:val="7E72E80C"/>
    <w:rsid w:val="7EB8D50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8D63E"/>
  <w15:docId w15:val="{FB83E114-7BDE-49EA-B9C4-CF9E1F19F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rPr>
  </w:style>
  <w:style w:type="paragraph" w:styleId="Heading1">
    <w:name w:val="heading 1"/>
    <w:aliases w:val="h1"/>
    <w:basedOn w:val="Normal"/>
    <w:next w:val="Normal"/>
    <w:link w:val="Heading1Char"/>
    <w:uiPriority w:val="9"/>
    <w:qFormat/>
    <w:rsid w:val="002217E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621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40"/>
      <w:outlineLvl w:val="2"/>
    </w:pPr>
    <w:rPr>
      <w:rFonts w:ascii="Calibri Light" w:hAnsi="Calibri Light"/>
      <w:color w:val="1F3763"/>
    </w:rPr>
  </w:style>
  <w:style w:type="paragraph" w:styleId="Heading4">
    <w:name w:val="heading 4"/>
    <w:basedOn w:val="Normal"/>
    <w:next w:val="Normal"/>
    <w:link w:val="Heading4Char"/>
    <w:uiPriority w:val="9"/>
    <w:qFormat/>
    <w:rsid w:val="00587444"/>
    <w:pPr>
      <w:keepNext/>
      <w:suppressAutoHyphens w:val="0"/>
      <w:autoSpaceDN/>
      <w:jc w:val="right"/>
      <w:outlineLvl w:val="3"/>
    </w:pPr>
    <w:rPr>
      <w:rFonts w:ascii="Arial" w:hAnsi="Arial" w:cs="Arial"/>
      <w:sz w:val="19"/>
    </w:rPr>
  </w:style>
  <w:style w:type="paragraph" w:styleId="Heading5">
    <w:name w:val="heading 5"/>
    <w:basedOn w:val="Normal"/>
    <w:next w:val="Normal"/>
    <w:link w:val="Heading5Char"/>
    <w:uiPriority w:val="9"/>
    <w:semiHidden/>
    <w:unhideWhenUsed/>
    <w:qFormat/>
    <w:rsid w:val="00587444"/>
    <w:pPr>
      <w:keepNext/>
      <w:keepLines/>
      <w:suppressAutoHyphens w:val="0"/>
      <w:autoSpaceDN/>
      <w:spacing w:before="40"/>
      <w:outlineLvl w:val="4"/>
    </w:pPr>
    <w:rPr>
      <w:rFonts w:ascii="Calibri" w:eastAsia="SimSun" w:hAnsi="Calibri"/>
      <w:color w:val="3476B1"/>
    </w:rPr>
  </w:style>
  <w:style w:type="paragraph" w:styleId="Heading6">
    <w:name w:val="heading 6"/>
    <w:basedOn w:val="Normal"/>
    <w:next w:val="Normal"/>
    <w:link w:val="Heading6Char"/>
    <w:uiPriority w:val="9"/>
    <w:semiHidden/>
    <w:unhideWhenUsed/>
    <w:qFormat/>
    <w:rsid w:val="00587444"/>
    <w:pPr>
      <w:keepNext/>
      <w:keepLines/>
      <w:suppressAutoHyphens w:val="0"/>
      <w:autoSpaceDN/>
      <w:spacing w:before="40"/>
      <w:outlineLvl w:val="5"/>
    </w:pPr>
    <w:rPr>
      <w:rFonts w:ascii="Calibri" w:eastAsia="SimSun" w:hAnsi="Calibri"/>
      <w:i/>
      <w:iCs/>
      <w:color w:val="234F77"/>
    </w:rPr>
  </w:style>
  <w:style w:type="paragraph" w:styleId="Heading7">
    <w:name w:val="heading 7"/>
    <w:basedOn w:val="Normal"/>
    <w:next w:val="Normal"/>
    <w:link w:val="Heading7Char"/>
    <w:uiPriority w:val="9"/>
    <w:semiHidden/>
    <w:unhideWhenUsed/>
    <w:qFormat/>
    <w:rsid w:val="00587444"/>
    <w:pPr>
      <w:keepNext/>
      <w:keepLines/>
      <w:suppressAutoHyphens w:val="0"/>
      <w:autoSpaceDN/>
      <w:spacing w:before="40"/>
      <w:outlineLvl w:val="6"/>
    </w:pPr>
    <w:rPr>
      <w:rFonts w:ascii="Calibri" w:eastAsia="SimSun" w:hAnsi="Calibri"/>
      <w:b/>
      <w:bCs/>
      <w:color w:val="234F77"/>
      <w:sz w:val="22"/>
      <w:szCs w:val="22"/>
    </w:rPr>
  </w:style>
  <w:style w:type="paragraph" w:styleId="Heading8">
    <w:name w:val="heading 8"/>
    <w:basedOn w:val="Normal"/>
    <w:next w:val="Normal"/>
    <w:link w:val="Heading8Char"/>
    <w:uiPriority w:val="9"/>
    <w:semiHidden/>
    <w:unhideWhenUsed/>
    <w:qFormat/>
    <w:rsid w:val="00587444"/>
    <w:pPr>
      <w:keepNext/>
      <w:keepLines/>
      <w:suppressAutoHyphens w:val="0"/>
      <w:autoSpaceDN/>
      <w:spacing w:before="40"/>
      <w:outlineLvl w:val="7"/>
    </w:pPr>
    <w:rPr>
      <w:rFonts w:ascii="Calibri" w:eastAsia="SimSun" w:hAnsi="Calibri"/>
      <w:color w:val="234F77"/>
      <w:sz w:val="22"/>
      <w:szCs w:val="22"/>
    </w:rPr>
  </w:style>
  <w:style w:type="paragraph" w:styleId="Heading9">
    <w:name w:val="heading 9"/>
    <w:basedOn w:val="Normal"/>
    <w:next w:val="Normal"/>
    <w:link w:val="Heading9Char"/>
    <w:uiPriority w:val="9"/>
    <w:semiHidden/>
    <w:unhideWhenUsed/>
    <w:qFormat/>
    <w:rsid w:val="00587444"/>
    <w:pPr>
      <w:keepNext/>
      <w:keepLines/>
      <w:suppressAutoHyphens w:val="0"/>
      <w:autoSpaceDN/>
      <w:spacing w:before="40"/>
      <w:outlineLvl w:val="8"/>
    </w:pPr>
    <w:rPr>
      <w:rFonts w:ascii="Calibri" w:eastAsia="SimSun" w:hAnsi="Calibri"/>
      <w:i/>
      <w:iCs/>
      <w:color w:val="234F77"/>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11">
    <w:name w:val="Naslov 11"/>
    <w:basedOn w:val="Normal"/>
    <w:next w:val="Normal"/>
    <w:pPr>
      <w:keepNext/>
      <w:tabs>
        <w:tab w:val="left" w:pos="-720"/>
      </w:tabs>
      <w:jc w:val="both"/>
      <w:outlineLvl w:val="0"/>
    </w:pPr>
    <w:rPr>
      <w:spacing w:val="-3"/>
      <w:sz w:val="22"/>
      <w:szCs w:val="20"/>
      <w:u w:val="single"/>
      <w:lang w:val="en-GB"/>
    </w:rPr>
  </w:style>
  <w:style w:type="paragraph" w:customStyle="1" w:styleId="Naslov21">
    <w:name w:val="Naslov 21"/>
    <w:basedOn w:val="Normal"/>
    <w:next w:val="Normal"/>
    <w:pPr>
      <w:keepNext/>
      <w:spacing w:line="280" w:lineRule="atLeast"/>
      <w:jc w:val="center"/>
      <w:outlineLvl w:val="1"/>
    </w:pPr>
    <w:rPr>
      <w:rFonts w:ascii="Arial" w:hAnsi="Arial" w:cs="Arial"/>
      <w:b/>
      <w:bCs/>
    </w:rPr>
  </w:style>
  <w:style w:type="paragraph" w:customStyle="1" w:styleId="Naslov31">
    <w:name w:val="Naslov 31"/>
    <w:basedOn w:val="Normal"/>
    <w:next w:val="Normal"/>
    <w:pPr>
      <w:keepNext/>
      <w:outlineLvl w:val="2"/>
    </w:pPr>
    <w:rPr>
      <w:rFonts w:ascii="Arial" w:hAnsi="Arial" w:cs="Arial"/>
      <w:b/>
      <w:bCs/>
      <w:lang w:val="pl-PL"/>
    </w:rPr>
  </w:style>
  <w:style w:type="paragraph" w:customStyle="1" w:styleId="Naslov41">
    <w:name w:val="Naslov 41"/>
    <w:basedOn w:val="Normal"/>
    <w:next w:val="Normal"/>
    <w:pPr>
      <w:keepNext/>
      <w:jc w:val="right"/>
      <w:outlineLvl w:val="3"/>
    </w:pPr>
    <w:rPr>
      <w:rFonts w:ascii="Arial" w:hAnsi="Arial" w:cs="Arial"/>
      <w:sz w:val="19"/>
    </w:rPr>
  </w:style>
  <w:style w:type="paragraph" w:customStyle="1" w:styleId="Naslov51">
    <w:name w:val="Naslov 51"/>
    <w:basedOn w:val="Normal"/>
    <w:next w:val="Normal"/>
    <w:pPr>
      <w:keepNext/>
      <w:keepLines/>
      <w:spacing w:before="40"/>
      <w:outlineLvl w:val="4"/>
    </w:pPr>
    <w:rPr>
      <w:rFonts w:ascii="Calibri" w:eastAsia="SimSun" w:hAnsi="Calibri"/>
      <w:color w:val="3476B1"/>
    </w:rPr>
  </w:style>
  <w:style w:type="paragraph" w:customStyle="1" w:styleId="Naslov61">
    <w:name w:val="Naslov 61"/>
    <w:basedOn w:val="Normal"/>
    <w:next w:val="Normal"/>
    <w:pPr>
      <w:keepNext/>
      <w:keepLines/>
      <w:spacing w:before="40"/>
      <w:outlineLvl w:val="5"/>
    </w:pPr>
    <w:rPr>
      <w:rFonts w:ascii="Calibri" w:eastAsia="SimSun" w:hAnsi="Calibri"/>
      <w:i/>
      <w:iCs/>
      <w:color w:val="234F77"/>
    </w:rPr>
  </w:style>
  <w:style w:type="paragraph" w:customStyle="1" w:styleId="Naslov71">
    <w:name w:val="Naslov 71"/>
    <w:basedOn w:val="Normal"/>
    <w:next w:val="Normal"/>
    <w:pPr>
      <w:keepNext/>
      <w:keepLines/>
      <w:spacing w:before="40"/>
      <w:outlineLvl w:val="6"/>
    </w:pPr>
    <w:rPr>
      <w:rFonts w:ascii="Calibri" w:eastAsia="SimSun" w:hAnsi="Calibri"/>
      <w:b/>
      <w:bCs/>
      <w:color w:val="234F77"/>
      <w:sz w:val="22"/>
      <w:szCs w:val="22"/>
    </w:rPr>
  </w:style>
  <w:style w:type="paragraph" w:customStyle="1" w:styleId="Naslov81">
    <w:name w:val="Naslov 81"/>
    <w:basedOn w:val="Normal"/>
    <w:next w:val="Normal"/>
    <w:pPr>
      <w:keepNext/>
      <w:keepLines/>
      <w:spacing w:before="40"/>
      <w:outlineLvl w:val="7"/>
    </w:pPr>
    <w:rPr>
      <w:rFonts w:ascii="Calibri" w:eastAsia="SimSun" w:hAnsi="Calibri"/>
      <w:color w:val="234F77"/>
      <w:sz w:val="22"/>
      <w:szCs w:val="22"/>
    </w:rPr>
  </w:style>
  <w:style w:type="paragraph" w:customStyle="1" w:styleId="Naslov91">
    <w:name w:val="Naslov 91"/>
    <w:basedOn w:val="Normal"/>
    <w:next w:val="Normal"/>
    <w:pPr>
      <w:keepNext/>
      <w:keepLines/>
      <w:spacing w:before="40"/>
      <w:outlineLvl w:val="8"/>
    </w:pPr>
    <w:rPr>
      <w:rFonts w:ascii="Calibri" w:eastAsia="SimSun" w:hAnsi="Calibri"/>
      <w:i/>
      <w:iCs/>
      <w:color w:val="234F77"/>
      <w:sz w:val="22"/>
      <w:szCs w:val="22"/>
    </w:rPr>
  </w:style>
  <w:style w:type="character" w:customStyle="1" w:styleId="Zadanifontodlomka1">
    <w:name w:val="Zadani font odlomka1"/>
  </w:style>
  <w:style w:type="character" w:customStyle="1" w:styleId="Naslov1Char">
    <w:name w:val="Naslov 1 Char"/>
    <w:aliases w:val="h1 Char"/>
    <w:uiPriority w:val="9"/>
    <w:rPr>
      <w:spacing w:val="-3"/>
      <w:sz w:val="22"/>
      <w:u w:val="single"/>
      <w:lang w:val="en-GB"/>
    </w:rPr>
  </w:style>
  <w:style w:type="character" w:customStyle="1" w:styleId="Naslov2Char">
    <w:name w:val="Naslov 2 Char"/>
    <w:uiPriority w:val="9"/>
    <w:rPr>
      <w:rFonts w:ascii="Arial" w:hAnsi="Arial" w:cs="Arial"/>
      <w:b/>
      <w:bCs/>
      <w:sz w:val="24"/>
      <w:szCs w:val="24"/>
    </w:rPr>
  </w:style>
  <w:style w:type="character" w:customStyle="1" w:styleId="Naslov3Char">
    <w:name w:val="Naslov 3 Char"/>
    <w:basedOn w:val="Zadanifontodlomka1"/>
    <w:uiPriority w:val="9"/>
    <w:rPr>
      <w:rFonts w:ascii="Arial" w:hAnsi="Arial" w:cs="Arial"/>
      <w:b/>
      <w:bCs/>
      <w:sz w:val="24"/>
      <w:szCs w:val="24"/>
      <w:lang w:val="pl-PL"/>
    </w:rPr>
  </w:style>
  <w:style w:type="paragraph" w:customStyle="1" w:styleId="T1">
    <w:name w:val="T1"/>
    <w:basedOn w:val="Naslov11"/>
    <w:pPr>
      <w:tabs>
        <w:tab w:val="clear" w:pos="-720"/>
      </w:tabs>
      <w:spacing w:before="240" w:after="120" w:line="360" w:lineRule="auto"/>
    </w:pPr>
    <w:rPr>
      <w:rFonts w:ascii="Arial" w:hAnsi="Arial"/>
      <w:b/>
      <w:bCs/>
      <w:spacing w:val="0"/>
      <w:sz w:val="19"/>
      <w:u w:val="none"/>
      <w:lang w:val="pl-PL"/>
    </w:rPr>
  </w:style>
  <w:style w:type="character" w:customStyle="1" w:styleId="T1Char">
    <w:name w:val="T1 Char"/>
    <w:rPr>
      <w:rFonts w:ascii="Arial" w:hAnsi="Arial"/>
      <w:b/>
      <w:bCs/>
      <w:sz w:val="19"/>
      <w:lang w:val="pl-PL" w:eastAsia="en-US" w:bidi="ar-SA"/>
    </w:rPr>
  </w:style>
  <w:style w:type="paragraph" w:customStyle="1" w:styleId="TT">
    <w:name w:val="TT"/>
    <w:basedOn w:val="Normal"/>
    <w:pPr>
      <w:tabs>
        <w:tab w:val="right" w:pos="1202"/>
      </w:tabs>
      <w:spacing w:line="301" w:lineRule="exact"/>
      <w:outlineLvl w:val="0"/>
    </w:pPr>
    <w:rPr>
      <w:rFonts w:ascii="Arial" w:hAnsi="Arial"/>
      <w:sz w:val="19"/>
      <w:szCs w:val="20"/>
      <w:lang w:val="en-GB"/>
    </w:rPr>
  </w:style>
  <w:style w:type="paragraph" w:customStyle="1" w:styleId="PH">
    <w:name w:val="PH"/>
    <w:basedOn w:val="Zaglavlje1"/>
    <w:pPr>
      <w:tabs>
        <w:tab w:val="clear" w:pos="4153"/>
        <w:tab w:val="clear" w:pos="8306"/>
      </w:tabs>
      <w:spacing w:line="301" w:lineRule="atLeast"/>
    </w:pPr>
    <w:rPr>
      <w:rFonts w:ascii="Arial" w:hAnsi="Arial"/>
      <w:i w:val="0"/>
      <w:lang w:val="en-GB"/>
    </w:rPr>
  </w:style>
  <w:style w:type="paragraph" w:customStyle="1" w:styleId="Zaglavlje1">
    <w:name w:val="Zaglavlje1"/>
    <w:basedOn w:val="Normal"/>
    <w:pPr>
      <w:tabs>
        <w:tab w:val="center" w:pos="4153"/>
        <w:tab w:val="right" w:pos="8306"/>
      </w:tabs>
    </w:pPr>
    <w:rPr>
      <w:rFonts w:ascii="TmsRmn 12pt Italic" w:hAnsi="TmsRmn 12pt Italic"/>
      <w:i/>
      <w:szCs w:val="20"/>
    </w:rPr>
  </w:style>
  <w:style w:type="character" w:customStyle="1" w:styleId="ZaglavljeChar">
    <w:name w:val="Zaglavlje Char"/>
    <w:basedOn w:val="Zadanifontodlomka1"/>
    <w:uiPriority w:val="99"/>
    <w:rPr>
      <w:rFonts w:ascii="TmsRmn 12pt Italic" w:hAnsi="TmsRmn 12pt Italic"/>
      <w:i/>
      <w:sz w:val="24"/>
    </w:rPr>
  </w:style>
  <w:style w:type="paragraph" w:customStyle="1" w:styleId="Thin">
    <w:name w:val="Thin"/>
    <w:basedOn w:val="Normal"/>
    <w:next w:val="Normal"/>
    <w:pPr>
      <w:keepNext/>
      <w:keepLines/>
      <w:tabs>
        <w:tab w:val="left" w:pos="1202"/>
      </w:tabs>
      <w:spacing w:line="100" w:lineRule="exact"/>
    </w:pPr>
    <w:rPr>
      <w:rFonts w:ascii="Arial" w:hAnsi="Arial"/>
      <w:b/>
      <w:position w:val="4"/>
      <w:sz w:val="16"/>
      <w:szCs w:val="20"/>
    </w:rPr>
  </w:style>
  <w:style w:type="paragraph" w:customStyle="1" w:styleId="Tot">
    <w:name w:val="Tot"/>
    <w:basedOn w:val="TT"/>
    <w:pPr>
      <w:spacing w:line="340" w:lineRule="exact"/>
    </w:pPr>
  </w:style>
  <w:style w:type="paragraph" w:customStyle="1" w:styleId="Thick">
    <w:name w:val="Thick"/>
    <w:basedOn w:val="Thin"/>
    <w:next w:val="Normal"/>
    <w:rPr>
      <w:u w:val="thick"/>
    </w:rPr>
  </w:style>
  <w:style w:type="paragraph" w:customStyle="1" w:styleId="PH1">
    <w:name w:val="PH1"/>
    <w:basedOn w:val="PH"/>
    <w:pPr>
      <w:spacing w:line="301" w:lineRule="exact"/>
    </w:pPr>
    <w:rPr>
      <w:sz w:val="19"/>
    </w:rPr>
  </w:style>
  <w:style w:type="paragraph" w:customStyle="1" w:styleId="TH">
    <w:name w:val="TH"/>
    <w:basedOn w:val="Normal"/>
    <w:pPr>
      <w:tabs>
        <w:tab w:val="right" w:pos="1202"/>
      </w:tabs>
      <w:spacing w:line="240" w:lineRule="atLeast"/>
      <w:outlineLvl w:val="0"/>
    </w:pPr>
    <w:rPr>
      <w:rFonts w:ascii="Arial" w:hAnsi="Arial"/>
      <w:b/>
      <w:sz w:val="19"/>
      <w:szCs w:val="20"/>
      <w:lang w:val="en-GB"/>
    </w:rPr>
  </w:style>
  <w:style w:type="paragraph" w:customStyle="1" w:styleId="accountingpolicytitle">
    <w:name w:val="accounting policy title"/>
    <w:basedOn w:val="Normal"/>
    <w:uiPriority w:val="99"/>
    <w:pPr>
      <w:jc w:val="both"/>
    </w:pPr>
    <w:rPr>
      <w:rFonts w:ascii="Arial" w:hAnsi="Arial"/>
      <w:b/>
      <w:sz w:val="19"/>
      <w:szCs w:val="20"/>
      <w:lang w:val="pl-PL"/>
    </w:rPr>
  </w:style>
  <w:style w:type="paragraph" w:customStyle="1" w:styleId="Tijeloteksta1">
    <w:name w:val="Tijelo teksta1"/>
    <w:basedOn w:val="Normal"/>
    <w:pPr>
      <w:tabs>
        <w:tab w:val="left" w:pos="-720"/>
      </w:tabs>
      <w:ind w:right="-612"/>
    </w:pPr>
    <w:rPr>
      <w:szCs w:val="20"/>
      <w:lang w:val="en-GB"/>
    </w:rPr>
  </w:style>
  <w:style w:type="paragraph" w:customStyle="1" w:styleId="Tijeloteksta-uvlaka21">
    <w:name w:val="Tijelo teksta - uvlaka 21"/>
    <w:basedOn w:val="Normal"/>
    <w:pPr>
      <w:tabs>
        <w:tab w:val="left" w:pos="-720"/>
      </w:tabs>
      <w:ind w:left="709" w:hanging="709"/>
      <w:jc w:val="both"/>
    </w:pPr>
    <w:rPr>
      <w:b/>
      <w:spacing w:val="-3"/>
      <w:szCs w:val="20"/>
      <w:lang w:val="en-GB"/>
    </w:rPr>
  </w:style>
  <w:style w:type="paragraph" w:customStyle="1" w:styleId="Tijeloteksta31">
    <w:name w:val="Tijelo teksta 31"/>
    <w:basedOn w:val="Normal"/>
    <w:pPr>
      <w:tabs>
        <w:tab w:val="center" w:pos="4513"/>
      </w:tabs>
      <w:jc w:val="both"/>
    </w:pPr>
    <w:rPr>
      <w:spacing w:val="-3"/>
      <w:sz w:val="22"/>
      <w:szCs w:val="20"/>
      <w:lang w:val="en-GB"/>
    </w:rPr>
  </w:style>
  <w:style w:type="paragraph" w:customStyle="1" w:styleId="Tijeloteksta-uvlaka31">
    <w:name w:val="Tijelo teksta - uvlaka 31"/>
    <w:basedOn w:val="Normal"/>
    <w:pPr>
      <w:tabs>
        <w:tab w:val="left" w:pos="-720"/>
      </w:tabs>
      <w:ind w:firstLine="4416"/>
      <w:jc w:val="both"/>
    </w:pPr>
    <w:rPr>
      <w:spacing w:val="-2"/>
      <w:sz w:val="20"/>
      <w:szCs w:val="20"/>
      <w:lang w:val="en-GB"/>
    </w:rPr>
  </w:style>
  <w:style w:type="paragraph" w:customStyle="1" w:styleId="Tijeloteksta21">
    <w:name w:val="Tijelo teksta 21"/>
    <w:basedOn w:val="Normal"/>
    <w:pPr>
      <w:ind w:right="708"/>
      <w:jc w:val="both"/>
    </w:pPr>
    <w:rPr>
      <w:szCs w:val="20"/>
      <w:lang w:val="en-GB"/>
    </w:rPr>
  </w:style>
  <w:style w:type="paragraph" w:customStyle="1" w:styleId="Uvuenotijeloteksta1">
    <w:name w:val="Uvučeno tijelo teksta1"/>
    <w:basedOn w:val="Normal"/>
    <w:pPr>
      <w:tabs>
        <w:tab w:val="left" w:pos="-720"/>
      </w:tabs>
      <w:ind w:left="709"/>
      <w:jc w:val="both"/>
    </w:pPr>
    <w:rPr>
      <w:b/>
      <w:spacing w:val="-3"/>
      <w:szCs w:val="20"/>
      <w:lang w:val="en-GB"/>
    </w:rPr>
  </w:style>
  <w:style w:type="character" w:customStyle="1" w:styleId="Brojstranice1">
    <w:name w:val="Broj stranice1"/>
    <w:basedOn w:val="Zadanifontodlomka1"/>
  </w:style>
  <w:style w:type="paragraph" w:customStyle="1" w:styleId="Podnoje1">
    <w:name w:val="Podnožje1"/>
    <w:basedOn w:val="Normal"/>
    <w:pPr>
      <w:tabs>
        <w:tab w:val="center" w:pos="4153"/>
        <w:tab w:val="right" w:pos="8306"/>
      </w:tabs>
    </w:pPr>
    <w:rPr>
      <w:szCs w:val="20"/>
      <w:lang w:val="en-GB"/>
    </w:rPr>
  </w:style>
  <w:style w:type="character" w:customStyle="1" w:styleId="PodnojeChar">
    <w:name w:val="Podnožje Char"/>
    <w:uiPriority w:val="99"/>
    <w:rPr>
      <w:sz w:val="24"/>
      <w:lang w:val="en-GB"/>
    </w:rPr>
  </w:style>
  <w:style w:type="paragraph" w:customStyle="1" w:styleId="Predmetkomentara1">
    <w:name w:val="Predmet komentara1"/>
    <w:basedOn w:val="Tekstkomentara1"/>
    <w:next w:val="Tekstkomentara1"/>
    <w:pPr>
      <w:tabs>
        <w:tab w:val="left" w:pos="1134"/>
      </w:tabs>
      <w:spacing w:line="280" w:lineRule="atLeast"/>
    </w:pPr>
    <w:rPr>
      <w:b/>
      <w:bCs/>
    </w:rPr>
  </w:style>
  <w:style w:type="paragraph" w:customStyle="1" w:styleId="Tekstkomentara1">
    <w:name w:val="Tekst komentara1"/>
    <w:basedOn w:val="Normal"/>
    <w:rPr>
      <w:sz w:val="20"/>
      <w:szCs w:val="20"/>
    </w:rPr>
  </w:style>
  <w:style w:type="character" w:customStyle="1" w:styleId="TekstkomentaraChar">
    <w:name w:val="Tekst komentara Char"/>
    <w:rPr>
      <w:lang w:val="en-US" w:eastAsia="en-US"/>
    </w:rPr>
  </w:style>
  <w:style w:type="paragraph" w:customStyle="1" w:styleId="T2">
    <w:name w:val="T2"/>
    <w:basedOn w:val="T1"/>
    <w:pPr>
      <w:spacing w:before="0" w:after="0" w:line="301" w:lineRule="atLeast"/>
      <w:jc w:val="left"/>
    </w:pPr>
    <w:rPr>
      <w:b w:val="0"/>
      <w:bCs w:val="0"/>
      <w:lang w:val="en-GB"/>
    </w:rPr>
  </w:style>
  <w:style w:type="character" w:customStyle="1" w:styleId="Referencafusnote1">
    <w:name w:val="Referenca fusnote1"/>
    <w:rPr>
      <w:position w:val="0"/>
      <w:vertAlign w:val="superscript"/>
    </w:rPr>
  </w:style>
  <w:style w:type="paragraph" w:customStyle="1" w:styleId="Notetext">
    <w:name w:val="Note text"/>
    <w:basedOn w:val="Normal"/>
    <w:pPr>
      <w:widowControl w:val="0"/>
      <w:tabs>
        <w:tab w:val="left" w:pos="0"/>
      </w:tabs>
      <w:spacing w:after="240"/>
    </w:pPr>
    <w:rPr>
      <w:rFonts w:ascii="Arial" w:hAnsi="Arial"/>
      <w:sz w:val="18"/>
      <w:szCs w:val="20"/>
      <w:lang w:val="en-GB"/>
    </w:rPr>
  </w:style>
  <w:style w:type="paragraph" w:customStyle="1" w:styleId="Notetotable">
    <w:name w:val="Note to table"/>
    <w:basedOn w:val="Normal"/>
    <w:pPr>
      <w:spacing w:line="240" w:lineRule="atLeast"/>
      <w:ind w:left="357" w:hanging="357"/>
    </w:pPr>
    <w:rPr>
      <w:rFonts w:ascii="Arial" w:hAnsi="Arial"/>
      <w:sz w:val="13"/>
      <w:szCs w:val="20"/>
    </w:rPr>
  </w:style>
  <w:style w:type="paragraph" w:customStyle="1" w:styleId="BodyTextBodyText1">
    <w:name w:val="Body Text.Body Text1"/>
    <w:basedOn w:val="Normal"/>
    <w:pPr>
      <w:tabs>
        <w:tab w:val="left" w:pos="1134"/>
      </w:tabs>
      <w:spacing w:after="120" w:line="280" w:lineRule="atLeast"/>
    </w:pPr>
    <w:rPr>
      <w:sz w:val="20"/>
      <w:szCs w:val="20"/>
    </w:rPr>
  </w:style>
  <w:style w:type="paragraph" w:customStyle="1" w:styleId="TTH">
    <w:name w:val="TT&amp;H"/>
    <w:basedOn w:val="Normal"/>
    <w:pPr>
      <w:keepNext/>
      <w:tabs>
        <w:tab w:val="left" w:pos="1134"/>
        <w:tab w:val="right" w:pos="1202"/>
      </w:tabs>
      <w:spacing w:before="120" w:line="301" w:lineRule="exact"/>
      <w:outlineLvl w:val="0"/>
    </w:pPr>
    <w:rPr>
      <w:rFonts w:ascii="Arial" w:hAnsi="Arial"/>
      <w:sz w:val="19"/>
      <w:szCs w:val="20"/>
    </w:rPr>
  </w:style>
  <w:style w:type="paragraph" w:customStyle="1" w:styleId="thin0">
    <w:name w:val="¸thin"/>
    <w:basedOn w:val="Thin"/>
    <w:pPr>
      <w:tabs>
        <w:tab w:val="left" w:pos="1134"/>
      </w:tabs>
    </w:pPr>
  </w:style>
  <w:style w:type="paragraph" w:customStyle="1" w:styleId="Tekstbalonia1">
    <w:name w:val="Tekst balončića1"/>
    <w:basedOn w:val="Normal"/>
    <w:pPr>
      <w:tabs>
        <w:tab w:val="left" w:pos="1134"/>
      </w:tabs>
      <w:spacing w:line="280" w:lineRule="atLeast"/>
    </w:pPr>
    <w:rPr>
      <w:rFonts w:ascii="Tahoma" w:hAnsi="Tahoma" w:cs="Tahoma"/>
      <w:sz w:val="16"/>
      <w:szCs w:val="16"/>
    </w:rPr>
  </w:style>
  <w:style w:type="paragraph" w:customStyle="1" w:styleId="FootnotesTitle">
    <w:name w:val="Footnotes Title"/>
    <w:basedOn w:val="Normal"/>
    <w:pPr>
      <w:widowControl w:val="0"/>
    </w:pPr>
    <w:rPr>
      <w:rFonts w:ascii="Arial" w:hAnsi="Arial"/>
      <w:b/>
      <w:sz w:val="16"/>
      <w:szCs w:val="20"/>
      <w:lang w:val="en-GB"/>
    </w:rPr>
  </w:style>
  <w:style w:type="paragraph" w:customStyle="1" w:styleId="Noteheading1">
    <w:name w:val="Note heading1"/>
    <w:basedOn w:val="Normal"/>
    <w:autoRedefine/>
    <w:pPr>
      <w:tabs>
        <w:tab w:val="left" w:pos="720"/>
      </w:tabs>
      <w:spacing w:before="360" w:after="240"/>
      <w:ind w:left="720" w:hanging="360"/>
      <w:jc w:val="both"/>
    </w:pPr>
    <w:rPr>
      <w:rFonts w:ascii="Arial" w:hAnsi="Arial" w:cs="Arial"/>
      <w:b/>
      <w:bCs/>
      <w:sz w:val="19"/>
      <w:szCs w:val="20"/>
    </w:rPr>
  </w:style>
  <w:style w:type="paragraph" w:customStyle="1" w:styleId="performed">
    <w:name w:val="performed"/>
    <w:basedOn w:val="Normal"/>
    <w:pPr>
      <w:keepNext/>
      <w:keepLines/>
      <w:spacing w:before="120"/>
      <w:jc w:val="center"/>
    </w:pPr>
    <w:rPr>
      <w:sz w:val="22"/>
      <w:szCs w:val="22"/>
    </w:rPr>
  </w:style>
  <w:style w:type="paragraph" w:customStyle="1" w:styleId="Obinouvueno1">
    <w:name w:val="Obično uvučeno1"/>
    <w:basedOn w:val="Normal"/>
    <w:pPr>
      <w:spacing w:line="240" w:lineRule="atLeast"/>
      <w:ind w:left="851"/>
      <w:jc w:val="both"/>
    </w:pPr>
    <w:rPr>
      <w:rFonts w:ascii="Arial" w:hAnsi="Arial"/>
      <w:szCs w:val="20"/>
      <w:lang w:val="de-DE"/>
    </w:rPr>
  </w:style>
  <w:style w:type="paragraph" w:customStyle="1" w:styleId="T1PARAGRAPH">
    <w:name w:val="T1PARAGRAPH"/>
    <w:basedOn w:val="Tijeloteksta31"/>
    <w:uiPriority w:val="99"/>
    <w:pPr>
      <w:numPr>
        <w:numId w:val="3"/>
      </w:numPr>
      <w:tabs>
        <w:tab w:val="clear" w:pos="4513"/>
        <w:tab w:val="left" w:pos="-720"/>
      </w:tabs>
      <w:spacing w:after="301" w:line="301" w:lineRule="atLeast"/>
    </w:pPr>
    <w:rPr>
      <w:rFonts w:ascii="Arial" w:hAnsi="Arial" w:cs="Arial"/>
      <w:spacing w:val="0"/>
      <w:sz w:val="19"/>
      <w:lang w:val="hr-HR"/>
    </w:rPr>
  </w:style>
  <w:style w:type="paragraph" w:customStyle="1" w:styleId="T1PARAGRAPH0">
    <w:name w:val="T1 PARAGRAPH"/>
    <w:basedOn w:val="T1"/>
    <w:next w:val="T1"/>
    <w:pPr>
      <w:spacing w:before="160" w:after="160" w:line="200" w:lineRule="exact"/>
      <w:ind w:left="547"/>
      <w:jc w:val="left"/>
    </w:pPr>
    <w:rPr>
      <w:b w:val="0"/>
      <w:bCs w:val="0"/>
      <w:lang w:val="hr-HR"/>
    </w:rPr>
  </w:style>
  <w:style w:type="character" w:customStyle="1" w:styleId="Referencakomentara1">
    <w:name w:val="Referenca komentara1"/>
    <w:rPr>
      <w:sz w:val="16"/>
      <w:szCs w:val="16"/>
    </w:rPr>
  </w:style>
  <w:style w:type="paragraph" w:customStyle="1" w:styleId="Italics">
    <w:name w:val="Italics"/>
    <w:basedOn w:val="Normal"/>
    <w:pPr>
      <w:spacing w:before="120" w:line="240" w:lineRule="atLeast"/>
      <w:jc w:val="both"/>
    </w:pPr>
    <w:rPr>
      <w:rFonts w:ascii="Arial" w:hAnsi="Arial"/>
      <w:i/>
      <w:sz w:val="20"/>
      <w:szCs w:val="20"/>
    </w:rPr>
  </w:style>
  <w:style w:type="paragraph" w:customStyle="1" w:styleId="Opisslike1">
    <w:name w:val="Opis slike1"/>
    <w:basedOn w:val="Normal"/>
    <w:next w:val="Normal"/>
    <w:pPr>
      <w:spacing w:before="120" w:after="120" w:line="240" w:lineRule="atLeast"/>
      <w:ind w:left="567"/>
    </w:pPr>
    <w:rPr>
      <w:rFonts w:ascii="Arial" w:hAnsi="Arial"/>
      <w:b/>
      <w:sz w:val="20"/>
      <w:szCs w:val="20"/>
      <w:lang w:val="en-GB"/>
    </w:rPr>
  </w:style>
  <w:style w:type="paragraph" w:customStyle="1" w:styleId="StandardWeb1">
    <w:name w:val="Standard (Web)1"/>
    <w:basedOn w:val="Normal"/>
    <w:pPr>
      <w:spacing w:before="100" w:after="100"/>
    </w:pPr>
    <w:rPr>
      <w:lang w:eastAsia="hr-HR"/>
    </w:rPr>
  </w:style>
  <w:style w:type="character" w:customStyle="1" w:styleId="NormalWebChar">
    <w:name w:val="Normal (Web) Char"/>
    <w:basedOn w:val="Zadanifontodlomka1"/>
    <w:link w:val="NormalWeb"/>
    <w:rPr>
      <w:sz w:val="24"/>
      <w:szCs w:val="24"/>
      <w:lang w:eastAsia="hr-HR"/>
    </w:rPr>
  </w:style>
  <w:style w:type="character" w:customStyle="1" w:styleId="Naglaeno1">
    <w:name w:val="Naglašeno1"/>
    <w:rPr>
      <w:b/>
      <w:bCs/>
    </w:rPr>
  </w:style>
  <w:style w:type="paragraph" w:customStyle="1" w:styleId="AuditReport">
    <w:name w:val="Audit Report"/>
    <w:basedOn w:val="Normal"/>
    <w:pPr>
      <w:tabs>
        <w:tab w:val="left" w:pos="284"/>
      </w:tabs>
      <w:spacing w:before="120" w:line="260" w:lineRule="atLeast"/>
      <w:jc w:val="both"/>
    </w:pPr>
    <w:rPr>
      <w:rFonts w:ascii="Arial" w:hAnsi="Arial"/>
      <w:sz w:val="19"/>
      <w:szCs w:val="20"/>
      <w:lang w:val="en-GB"/>
    </w:rPr>
  </w:style>
  <w:style w:type="paragraph" w:customStyle="1" w:styleId="tt0">
    <w:name w:val="tt"/>
    <w:basedOn w:val="Normal"/>
    <w:pPr>
      <w:spacing w:line="301" w:lineRule="atLeast"/>
    </w:pPr>
    <w:rPr>
      <w:rFonts w:ascii="Arial" w:hAnsi="Arial" w:cs="Arial"/>
      <w:sz w:val="19"/>
      <w:szCs w:val="19"/>
    </w:rPr>
  </w:style>
  <w:style w:type="paragraph" w:customStyle="1" w:styleId="T3">
    <w:name w:val="T3"/>
    <w:basedOn w:val="T2"/>
    <w:next w:val="T1"/>
    <w:pPr>
      <w:keepNext w:val="0"/>
      <w:spacing w:after="240" w:line="300" w:lineRule="atLeast"/>
      <w:jc w:val="both"/>
    </w:pPr>
    <w:rPr>
      <w:kern w:val="3"/>
    </w:rPr>
  </w:style>
  <w:style w:type="paragraph" w:customStyle="1" w:styleId="Normaltext">
    <w:name w:val="Normal text"/>
    <w:basedOn w:val="Normal"/>
    <w:pPr>
      <w:overflowPunct w:val="0"/>
      <w:autoSpaceDE w:val="0"/>
      <w:spacing w:line="240" w:lineRule="atLeast"/>
      <w:ind w:right="568"/>
      <w:jc w:val="both"/>
      <w:textAlignment w:val="baseline"/>
    </w:pPr>
    <w:rPr>
      <w:lang w:val="en-GB"/>
    </w:rPr>
  </w:style>
  <w:style w:type="paragraph" w:customStyle="1" w:styleId="Revizija1">
    <w:name w:val="Revizija1"/>
    <w:pPr>
      <w:suppressAutoHyphens/>
    </w:pPr>
    <w:rPr>
      <w:sz w:val="24"/>
      <w:szCs w:val="24"/>
    </w:rPr>
  </w:style>
  <w:style w:type="paragraph" w:customStyle="1" w:styleId="Obinitekst1">
    <w:name w:val="Obični tekst1"/>
    <w:basedOn w:val="Normal"/>
    <w:rPr>
      <w:rFonts w:ascii="Verdana" w:hAnsi="Verdana"/>
      <w:color w:val="000000"/>
      <w:sz w:val="20"/>
      <w:szCs w:val="21"/>
    </w:rPr>
  </w:style>
  <w:style w:type="character" w:customStyle="1" w:styleId="PlainTextChar">
    <w:name w:val="Plain Text Char"/>
    <w:link w:val="PlainText"/>
    <w:uiPriority w:val="99"/>
    <w:rPr>
      <w:rFonts w:ascii="Verdana" w:hAnsi="Verdana"/>
      <w:color w:val="000000"/>
      <w:szCs w:val="21"/>
    </w:rPr>
  </w:style>
  <w:style w:type="paragraph" w:customStyle="1" w:styleId="MACNormal">
    <w:name w:val="MACNormal"/>
    <w:pPr>
      <w:tabs>
        <w:tab w:val="left" w:pos="-1440"/>
        <w:tab w:val="left" w:pos="-720"/>
      </w:tabs>
      <w:suppressAutoHyphens/>
      <w:jc w:val="both"/>
    </w:pPr>
    <w:rPr>
      <w:color w:val="000000"/>
      <w:lang w:val="en-GB" w:eastAsia="hr-HR"/>
    </w:rPr>
  </w:style>
  <w:style w:type="paragraph" w:customStyle="1" w:styleId="Legalentity">
    <w:name w:val="Legal entity"/>
    <w:basedOn w:val="Normal"/>
    <w:pPr>
      <w:widowControl w:val="0"/>
      <w:autoSpaceDE w:val="0"/>
      <w:spacing w:after="90" w:line="180" w:lineRule="atLeast"/>
      <w:textAlignment w:val="center"/>
    </w:pPr>
    <w:rPr>
      <w:rFonts w:ascii="ArialMT" w:hAnsi="ArialMT"/>
      <w:color w:val="000000"/>
      <w:sz w:val="15"/>
      <w:szCs w:val="20"/>
      <w:lang w:val="en-GB" w:eastAsia="en-GB"/>
    </w:rPr>
  </w:style>
  <w:style w:type="paragraph" w:customStyle="1" w:styleId="Amember">
    <w:name w:val="A member"/>
    <w:basedOn w:val="Normal"/>
    <w:pPr>
      <w:widowControl w:val="0"/>
      <w:autoSpaceDE w:val="0"/>
      <w:spacing w:line="160" w:lineRule="atLeast"/>
      <w:textAlignment w:val="center"/>
    </w:pPr>
    <w:rPr>
      <w:rFonts w:ascii="FrutigerNextPro-Light" w:hAnsi="FrutigerNextPro-Light"/>
      <w:color w:val="000000"/>
      <w:sz w:val="14"/>
      <w:szCs w:val="20"/>
      <w:lang w:val="en-GB" w:eastAsia="en-GB"/>
    </w:rPr>
  </w:style>
  <w:style w:type="paragraph" w:customStyle="1" w:styleId="tekst">
    <w:name w:val="tekst"/>
    <w:basedOn w:val="Normal"/>
    <w:pPr>
      <w:spacing w:before="100" w:after="100"/>
    </w:pPr>
    <w:rPr>
      <w:lang w:val="hr-HR" w:eastAsia="hr-HR"/>
    </w:rPr>
  </w:style>
  <w:style w:type="character" w:customStyle="1" w:styleId="bold">
    <w:name w:val="bold"/>
    <w:basedOn w:val="Zadanifontodlomka1"/>
  </w:style>
  <w:style w:type="paragraph" w:customStyle="1" w:styleId="Odlomakpopisa1">
    <w:name w:val="Odlomak popisa1"/>
    <w:basedOn w:val="Normal"/>
    <w:pPr>
      <w:ind w:left="720"/>
      <w:contextualSpacing/>
    </w:pPr>
  </w:style>
  <w:style w:type="character" w:customStyle="1" w:styleId="OdlomakpopisaChar">
    <w:name w:val="Odlomak popisa Char"/>
    <w:aliases w:val="Lettre d'introduction Char,REPORT Bullet Char"/>
    <w:rPr>
      <w:sz w:val="24"/>
      <w:szCs w:val="24"/>
    </w:rPr>
  </w:style>
  <w:style w:type="paragraph" w:customStyle="1" w:styleId="Bodycopy">
    <w:name w:val="Body copy"/>
    <w:pPr>
      <w:suppressAutoHyphens/>
      <w:spacing w:before="20" w:line="210" w:lineRule="exact"/>
    </w:pPr>
    <w:rPr>
      <w:rFonts w:ascii="Arial" w:eastAsia="PMingLiU" w:hAnsi="Arial" w:cs="Arial"/>
      <w:color w:val="000000"/>
      <w:sz w:val="17"/>
      <w:szCs w:val="17"/>
      <w:lang w:val="hr-HR" w:eastAsia="hr-HR" w:bidi="hr-HR"/>
    </w:rPr>
  </w:style>
  <w:style w:type="paragraph" w:customStyle="1" w:styleId="t-9-8">
    <w:name w:val="t-9-8"/>
    <w:basedOn w:val="Normal"/>
    <w:pPr>
      <w:spacing w:before="100" w:after="100"/>
    </w:pPr>
    <w:rPr>
      <w:rFonts w:eastAsia="Calibri"/>
      <w:lang w:val="hr-HR" w:eastAsia="hr-HR"/>
    </w:rPr>
  </w:style>
  <w:style w:type="character" w:customStyle="1" w:styleId="HeaderChar1">
    <w:name w:val="Header Char1"/>
    <w:uiPriority w:val="99"/>
    <w:rPr>
      <w:rFonts w:ascii="Arial" w:eastAsia="Times New Roman" w:hAnsi="Arial" w:cs="Times New Roman"/>
      <w:sz w:val="28"/>
      <w:szCs w:val="20"/>
    </w:rPr>
  </w:style>
  <w:style w:type="paragraph" w:customStyle="1" w:styleId="Default">
    <w:name w:val="Default"/>
    <w:pPr>
      <w:suppressAutoHyphens/>
      <w:autoSpaceDE w:val="0"/>
    </w:pPr>
    <w:rPr>
      <w:rFonts w:ascii="Arial" w:eastAsia="Calibri" w:hAnsi="Arial" w:cs="Arial"/>
      <w:color w:val="000000"/>
      <w:sz w:val="24"/>
      <w:szCs w:val="24"/>
      <w:lang w:val="hr-HR"/>
    </w:rPr>
  </w:style>
  <w:style w:type="paragraph" w:customStyle="1" w:styleId="Header1">
    <w:name w:val="Header 1"/>
    <w:basedOn w:val="Zaglavlje1"/>
    <w:uiPriority w:val="99"/>
    <w:pPr>
      <w:tabs>
        <w:tab w:val="clear" w:pos="4153"/>
        <w:tab w:val="clear" w:pos="8306"/>
      </w:tabs>
      <w:spacing w:before="120" w:line="260" w:lineRule="atLeast"/>
    </w:pPr>
    <w:rPr>
      <w:rFonts w:ascii="Arial" w:hAnsi="Arial"/>
      <w:b/>
      <w:i w:val="0"/>
      <w:sz w:val="22"/>
    </w:rPr>
  </w:style>
  <w:style w:type="character" w:customStyle="1" w:styleId="DocumentMapChar">
    <w:name w:val="Document Map Char"/>
    <w:basedOn w:val="Zadanifontodlomka1"/>
    <w:link w:val="DocumentMap"/>
    <w:rPr>
      <w:rFonts w:ascii="Tahoma" w:hAnsi="Tahoma" w:cs="Tahoma"/>
      <w:shd w:val="clear" w:color="auto" w:fill="000080"/>
      <w:lang w:val="hr-HR" w:eastAsia="hr-HR"/>
    </w:rPr>
  </w:style>
  <w:style w:type="paragraph" w:customStyle="1" w:styleId="Kartadokumenta1">
    <w:name w:val="Karta dokumenta1"/>
    <w:basedOn w:val="Normal"/>
    <w:pPr>
      <w:shd w:val="clear" w:color="auto" w:fill="000080"/>
    </w:pPr>
    <w:rPr>
      <w:rFonts w:ascii="Tahoma" w:hAnsi="Tahoma" w:cs="Tahoma"/>
      <w:sz w:val="20"/>
      <w:szCs w:val="20"/>
      <w:lang w:val="hr-HR" w:eastAsia="hr-HR"/>
    </w:rPr>
  </w:style>
  <w:style w:type="paragraph" w:customStyle="1" w:styleId="Bezproreda1">
    <w:name w:val="Bez proreda1"/>
    <w:pPr>
      <w:suppressAutoHyphens/>
    </w:pPr>
    <w:rPr>
      <w:rFonts w:ascii="Calibri" w:hAnsi="Calibri"/>
      <w:sz w:val="22"/>
      <w:szCs w:val="22"/>
      <w:lang w:val="hr-HR"/>
    </w:rPr>
  </w:style>
  <w:style w:type="character" w:customStyle="1" w:styleId="NoSpacingChar">
    <w:name w:val="No Spacing Char"/>
    <w:link w:val="NoSpacing"/>
    <w:uiPriority w:val="1"/>
    <w:rPr>
      <w:rFonts w:ascii="Calibri" w:hAnsi="Calibri"/>
      <w:sz w:val="22"/>
      <w:szCs w:val="22"/>
      <w:lang w:val="hr-HR"/>
    </w:rPr>
  </w:style>
  <w:style w:type="paragraph" w:customStyle="1" w:styleId="TOCNaslov1">
    <w:name w:val="TOC Naslov1"/>
    <w:basedOn w:val="Naslov11"/>
    <w:next w:val="Normal"/>
    <w:pPr>
      <w:keepLines/>
      <w:tabs>
        <w:tab w:val="clear" w:pos="-720"/>
      </w:tabs>
      <w:spacing w:before="480" w:line="276" w:lineRule="auto"/>
      <w:jc w:val="left"/>
    </w:pPr>
    <w:rPr>
      <w:rFonts w:ascii="Cambria" w:hAnsi="Cambria"/>
      <w:b/>
      <w:bCs/>
      <w:color w:val="365F91"/>
      <w:spacing w:val="0"/>
      <w:sz w:val="28"/>
      <w:szCs w:val="28"/>
      <w:u w:val="none"/>
      <w:lang w:val="en-US"/>
    </w:rPr>
  </w:style>
  <w:style w:type="paragraph" w:customStyle="1" w:styleId="Sadraj11">
    <w:name w:val="Sadržaj 11"/>
    <w:basedOn w:val="Normal"/>
    <w:next w:val="Normal"/>
    <w:autoRedefine/>
    <w:pPr>
      <w:tabs>
        <w:tab w:val="right" w:leader="dot" w:pos="9355"/>
      </w:tabs>
      <w:spacing w:line="276" w:lineRule="auto"/>
    </w:pPr>
    <w:rPr>
      <w:rFonts w:ascii="Calibri" w:hAnsi="Calibri" w:cs="Calibri"/>
      <w:b/>
      <w:sz w:val="22"/>
      <w:szCs w:val="28"/>
      <w:lang w:val="hr-HR" w:eastAsia="hr-HR"/>
    </w:rPr>
  </w:style>
  <w:style w:type="character" w:customStyle="1" w:styleId="Hiperveza1">
    <w:name w:val="Hiperveza1"/>
    <w:rPr>
      <w:color w:val="0000FF"/>
      <w:u w:val="single"/>
    </w:rPr>
  </w:style>
  <w:style w:type="character" w:customStyle="1" w:styleId="SlijeenaHiperveza1">
    <w:name w:val="SlijeđenaHiperveza1"/>
    <w:rPr>
      <w:color w:val="800080"/>
      <w:u w:val="single"/>
    </w:rPr>
  </w:style>
  <w:style w:type="character" w:customStyle="1" w:styleId="xclaimempty">
    <w:name w:val="xclaimempty"/>
    <w:basedOn w:val="Zadanifontodlomka1"/>
  </w:style>
  <w:style w:type="paragraph" w:customStyle="1" w:styleId="ParagrafL">
    <w:name w:val="Paragraf L"/>
    <w:basedOn w:val="Normal"/>
    <w:pPr>
      <w:widowControl w:val="0"/>
      <w:autoSpaceDE w:val="0"/>
      <w:spacing w:line="312" w:lineRule="auto"/>
      <w:jc w:val="both"/>
    </w:pPr>
    <w:rPr>
      <w:rFonts w:ascii="Arial" w:hAnsi="Arial" w:cs="Arial"/>
      <w:iCs/>
      <w:sz w:val="20"/>
      <w:szCs w:val="20"/>
      <w:lang w:val="hr-HR" w:eastAsia="hr-HR"/>
    </w:rPr>
  </w:style>
  <w:style w:type="character" w:customStyle="1" w:styleId="ParagrafLChar">
    <w:name w:val="Paragraf L Char"/>
    <w:rPr>
      <w:rFonts w:ascii="Arial" w:hAnsi="Arial" w:cs="Arial"/>
      <w:iCs/>
      <w:lang w:val="hr-HR" w:eastAsia="hr-HR"/>
    </w:rPr>
  </w:style>
  <w:style w:type="paragraph" w:customStyle="1" w:styleId="Sadraj21">
    <w:name w:val="Sadržaj 21"/>
    <w:basedOn w:val="Normal"/>
    <w:next w:val="Normal"/>
    <w:autoRedefine/>
    <w:rsid w:val="002F0EFD"/>
    <w:pPr>
      <w:tabs>
        <w:tab w:val="right" w:leader="dot" w:pos="9356"/>
      </w:tabs>
      <w:spacing w:after="100"/>
      <w:ind w:left="240"/>
    </w:pPr>
    <w:rPr>
      <w:rFonts w:ascii="Calibri" w:hAnsi="Calibri" w:cs="Calibri"/>
      <w:b/>
      <w:bCs/>
      <w:iCs/>
      <w:sz w:val="20"/>
      <w:lang w:val="hr-HR"/>
    </w:rPr>
  </w:style>
  <w:style w:type="paragraph" w:customStyle="1" w:styleId="tekstdiv">
    <w:name w:val="tekstdiv"/>
    <w:basedOn w:val="Normal"/>
    <w:pPr>
      <w:spacing w:before="100" w:after="100"/>
    </w:pPr>
    <w:rPr>
      <w:rFonts w:eastAsia="SimSun"/>
      <w:lang w:val="hr-HR" w:eastAsia="zh-CN"/>
    </w:rPr>
  </w:style>
  <w:style w:type="paragraph" w:customStyle="1" w:styleId="Tekstfusnote1">
    <w:name w:val="Tekst fusnote1"/>
    <w:basedOn w:val="Normal"/>
    <w:rPr>
      <w:sz w:val="20"/>
      <w:szCs w:val="20"/>
      <w:lang w:val="hr-HR" w:eastAsia="hr-HR"/>
    </w:rPr>
  </w:style>
  <w:style w:type="character" w:customStyle="1" w:styleId="FootnoteTextChar">
    <w:name w:val="Footnote Text Char"/>
    <w:basedOn w:val="Zadanifontodlomka1"/>
    <w:link w:val="FootnoteText"/>
    <w:uiPriority w:val="99"/>
    <w:rPr>
      <w:lang w:val="hr-HR" w:eastAsia="hr-HR"/>
    </w:rPr>
  </w:style>
  <w:style w:type="paragraph" w:customStyle="1" w:styleId="Sadraj31">
    <w:name w:val="Sadržaj 31"/>
    <w:basedOn w:val="Normal"/>
    <w:next w:val="Normal"/>
    <w:autoRedefine/>
    <w:pPr>
      <w:spacing w:after="100"/>
      <w:ind w:left="480"/>
    </w:pPr>
    <w:rPr>
      <w:rFonts w:ascii="Calibri" w:hAnsi="Calibri"/>
      <w:b/>
      <w:sz w:val="20"/>
      <w:lang w:val="hr-HR" w:eastAsia="hr-HR"/>
    </w:rPr>
  </w:style>
  <w:style w:type="character" w:customStyle="1" w:styleId="st">
    <w:name w:val="st"/>
    <w:basedOn w:val="Zadanifontodlomka1"/>
  </w:style>
  <w:style w:type="paragraph" w:customStyle="1" w:styleId="ColorfulShading-Accent11">
    <w:name w:val="Colorful Shading - Accent 11"/>
    <w:uiPriority w:val="99"/>
    <w:pPr>
      <w:suppressAutoHyphens/>
    </w:pPr>
    <w:rPr>
      <w:sz w:val="24"/>
      <w:szCs w:val="24"/>
    </w:rPr>
  </w:style>
  <w:style w:type="paragraph" w:customStyle="1" w:styleId="ColorfulList-Accent11">
    <w:name w:val="Colorful List - Accent 11"/>
    <w:basedOn w:val="Normal"/>
    <w:uiPriority w:val="34"/>
    <w:qFormat/>
    <w:pPr>
      <w:ind w:left="720"/>
      <w:contextualSpacing/>
    </w:pPr>
  </w:style>
  <w:style w:type="character" w:customStyle="1" w:styleId="ColorfulList-Accent1Char">
    <w:name w:val="Colorful List - Accent 1 Char"/>
    <w:uiPriority w:val="34"/>
    <w:rPr>
      <w:sz w:val="24"/>
      <w:szCs w:val="24"/>
    </w:rPr>
  </w:style>
  <w:style w:type="paragraph" w:customStyle="1" w:styleId="MediumGrid21">
    <w:name w:val="Medium Grid 21"/>
    <w:uiPriority w:val="1"/>
    <w:qFormat/>
    <w:pPr>
      <w:suppressAutoHyphens/>
    </w:pPr>
    <w:rPr>
      <w:rFonts w:ascii="Calibri" w:hAnsi="Calibri"/>
      <w:sz w:val="22"/>
      <w:szCs w:val="22"/>
      <w:lang w:val="hr-HR" w:eastAsia="hr-HR"/>
    </w:rPr>
  </w:style>
  <w:style w:type="character" w:customStyle="1" w:styleId="MediumGrid2Char">
    <w:name w:val="Medium Grid 2 Char"/>
    <w:uiPriority w:val="1"/>
    <w:rPr>
      <w:rFonts w:ascii="Calibri" w:hAnsi="Calibri"/>
      <w:sz w:val="22"/>
      <w:szCs w:val="22"/>
      <w:lang w:val="hr-HR" w:eastAsia="hr-HR"/>
    </w:rPr>
  </w:style>
  <w:style w:type="paragraph" w:customStyle="1" w:styleId="GridTable31">
    <w:name w:val="Grid Table 31"/>
    <w:basedOn w:val="Naslov11"/>
    <w:next w:val="Normal"/>
    <w:uiPriority w:val="39"/>
    <w:qFormat/>
    <w:pPr>
      <w:keepLines/>
      <w:tabs>
        <w:tab w:val="clear" w:pos="-720"/>
      </w:tabs>
      <w:spacing w:before="480" w:line="276" w:lineRule="auto"/>
      <w:jc w:val="left"/>
    </w:pPr>
    <w:rPr>
      <w:rFonts w:ascii="Cambria" w:hAnsi="Cambria"/>
      <w:b/>
      <w:bCs/>
      <w:color w:val="365F91"/>
      <w:spacing w:val="0"/>
      <w:sz w:val="28"/>
      <w:szCs w:val="28"/>
      <w:u w:val="none"/>
      <w:lang w:val="en-US"/>
    </w:rPr>
  </w:style>
  <w:style w:type="character" w:customStyle="1" w:styleId="Istaknuto1">
    <w:name w:val="Istaknuto1"/>
    <w:rPr>
      <w:i/>
      <w:iCs/>
    </w:rPr>
  </w:style>
  <w:style w:type="character" w:customStyle="1" w:styleId="CommentTitleChar">
    <w:name w:val="Comment Title Char"/>
    <w:basedOn w:val="Zadanifontodlomka1"/>
    <w:rPr>
      <w:rFonts w:ascii="Arial Unicode MS" w:eastAsia="Arial Unicode MS" w:hAnsi="Arial Unicode MS" w:cs="Arial Unicode MS"/>
      <w:b/>
      <w:kern w:val="3"/>
      <w:szCs w:val="24"/>
    </w:rPr>
  </w:style>
  <w:style w:type="paragraph" w:customStyle="1" w:styleId="CommentTitle">
    <w:name w:val="Comment Title"/>
    <w:basedOn w:val="Normal"/>
    <w:next w:val="Normal"/>
    <w:qFormat/>
    <w:pPr>
      <w:keepNext/>
      <w:tabs>
        <w:tab w:val="left" w:pos="907"/>
      </w:tabs>
      <w:spacing w:after="260" w:line="240" w:lineRule="atLeast"/>
      <w:outlineLvl w:val="2"/>
    </w:pPr>
    <w:rPr>
      <w:rFonts w:ascii="Arial Unicode MS" w:eastAsia="Arial Unicode MS" w:hAnsi="Arial Unicode MS" w:cs="Arial Unicode MS"/>
      <w:b/>
      <w:kern w:val="3"/>
      <w:sz w:val="20"/>
    </w:rPr>
  </w:style>
  <w:style w:type="character" w:customStyle="1" w:styleId="BalloonTextChar">
    <w:name w:val="Balloon Text Char"/>
    <w:basedOn w:val="Zadanifontodlomka1"/>
    <w:link w:val="BalloonText"/>
    <w:uiPriority w:val="99"/>
    <w:rPr>
      <w:rFonts w:ascii="Tahoma" w:hAnsi="Tahoma" w:cs="Tahoma"/>
      <w:sz w:val="16"/>
      <w:szCs w:val="16"/>
    </w:rPr>
  </w:style>
  <w:style w:type="paragraph" w:customStyle="1" w:styleId="HTMLunaprijedoblikovano1">
    <w:name w:val="HTML unaprijed oblikovano1"/>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r-HR" w:eastAsia="hr-HR"/>
    </w:rPr>
  </w:style>
  <w:style w:type="character" w:customStyle="1" w:styleId="HTMLPreformattedChar">
    <w:name w:val="HTML Preformatted Char"/>
    <w:basedOn w:val="Zadanifontodlomka1"/>
    <w:link w:val="HTMLPreformatted"/>
    <w:uiPriority w:val="99"/>
    <w:rPr>
      <w:rFonts w:ascii="Courier New" w:hAnsi="Courier New" w:cs="Courier New"/>
      <w:lang w:val="hr-HR" w:eastAsia="hr-HR"/>
    </w:rPr>
  </w:style>
  <w:style w:type="character" w:customStyle="1" w:styleId="Nerijeenospominjanje1">
    <w:name w:val="Neriješeno spominjanje1"/>
    <w:basedOn w:val="Zadanifontodlomka1"/>
    <w:uiPriority w:val="99"/>
    <w:rPr>
      <w:color w:val="808080"/>
      <w:shd w:val="clear" w:color="auto" w:fill="E6E6E6"/>
    </w:rPr>
  </w:style>
  <w:style w:type="character" w:customStyle="1" w:styleId="CharStyle31">
    <w:name w:val="Char Style 31"/>
    <w:basedOn w:val="Zadanifontodlomka1"/>
    <w:rPr>
      <w:rFonts w:ascii="Arial" w:eastAsia="Arial" w:hAnsi="Arial" w:cs="Arial"/>
      <w:sz w:val="18"/>
      <w:szCs w:val="18"/>
      <w:shd w:val="clear" w:color="auto" w:fill="FFFFFF"/>
    </w:rPr>
  </w:style>
  <w:style w:type="paragraph" w:customStyle="1" w:styleId="Style26">
    <w:name w:val="Style 26"/>
    <w:basedOn w:val="Normal"/>
    <w:pPr>
      <w:widowControl w:val="0"/>
      <w:shd w:val="clear" w:color="auto" w:fill="FFFFFF"/>
      <w:spacing w:before="140" w:line="216" w:lineRule="exact"/>
      <w:ind w:hanging="900"/>
    </w:pPr>
    <w:rPr>
      <w:rFonts w:ascii="Arial" w:eastAsia="Arial" w:hAnsi="Arial" w:cs="Arial"/>
      <w:sz w:val="18"/>
      <w:szCs w:val="18"/>
    </w:rPr>
  </w:style>
  <w:style w:type="character" w:customStyle="1" w:styleId="CharStyle65">
    <w:name w:val="Char Style 65"/>
    <w:basedOn w:val="CharStyle31"/>
    <w:rPr>
      <w:rFonts w:ascii="Arial" w:eastAsia="Arial" w:hAnsi="Arial" w:cs="Arial"/>
      <w:color w:val="000000"/>
      <w:spacing w:val="0"/>
      <w:w w:val="100"/>
      <w:position w:val="0"/>
      <w:sz w:val="16"/>
      <w:szCs w:val="16"/>
      <w:shd w:val="clear" w:color="auto" w:fill="FFFFFF"/>
      <w:vertAlign w:val="baseline"/>
      <w:lang w:val="en-US" w:eastAsia="en-US" w:bidi="en-US"/>
    </w:rPr>
  </w:style>
  <w:style w:type="character" w:customStyle="1" w:styleId="CharStyle118">
    <w:name w:val="Char Style 118"/>
    <w:basedOn w:val="CharStyle31"/>
    <w:rPr>
      <w:rFonts w:ascii="Arial" w:eastAsia="Arial" w:hAnsi="Arial" w:cs="Arial"/>
      <w:i/>
      <w:iCs/>
      <w:color w:val="000000"/>
      <w:spacing w:val="0"/>
      <w:w w:val="100"/>
      <w:position w:val="0"/>
      <w:sz w:val="16"/>
      <w:szCs w:val="16"/>
      <w:shd w:val="clear" w:color="auto" w:fill="FFFFFF"/>
      <w:vertAlign w:val="baseline"/>
      <w:lang w:val="en-US" w:eastAsia="en-US" w:bidi="en-US"/>
    </w:rPr>
  </w:style>
  <w:style w:type="character" w:customStyle="1" w:styleId="CharStyle3">
    <w:name w:val="Char Style 3"/>
    <w:basedOn w:val="Zadanifontodlomka1"/>
    <w:rPr>
      <w:rFonts w:ascii="Arial" w:eastAsia="Arial" w:hAnsi="Arial" w:cs="Arial"/>
      <w:sz w:val="16"/>
      <w:szCs w:val="16"/>
      <w:shd w:val="clear" w:color="auto" w:fill="FFFFFF"/>
    </w:rPr>
  </w:style>
  <w:style w:type="paragraph" w:customStyle="1" w:styleId="Style2">
    <w:name w:val="Style 2"/>
    <w:basedOn w:val="Normal"/>
    <w:pPr>
      <w:widowControl w:val="0"/>
      <w:shd w:val="clear" w:color="auto" w:fill="FFFFFF"/>
      <w:spacing w:line="216" w:lineRule="exact"/>
    </w:pPr>
    <w:rPr>
      <w:rFonts w:ascii="Arial" w:eastAsia="Arial" w:hAnsi="Arial" w:cs="Arial"/>
      <w:sz w:val="16"/>
      <w:szCs w:val="16"/>
    </w:rPr>
  </w:style>
  <w:style w:type="character" w:customStyle="1" w:styleId="CharStyle53">
    <w:name w:val="Char Style 53"/>
    <w:basedOn w:val="Zadanifontodlomka1"/>
    <w:rPr>
      <w:rFonts w:ascii="Arial" w:eastAsia="Arial" w:hAnsi="Arial" w:cs="Arial"/>
      <w:sz w:val="16"/>
      <w:szCs w:val="16"/>
      <w:shd w:val="clear" w:color="auto" w:fill="FFFFFF"/>
    </w:rPr>
  </w:style>
  <w:style w:type="paragraph" w:customStyle="1" w:styleId="Style44">
    <w:name w:val="Style 44"/>
    <w:basedOn w:val="Normal"/>
    <w:pPr>
      <w:widowControl w:val="0"/>
      <w:shd w:val="clear" w:color="auto" w:fill="FFFFFF"/>
      <w:spacing w:line="326" w:lineRule="exact"/>
      <w:ind w:hanging="380"/>
    </w:pPr>
    <w:rPr>
      <w:rFonts w:ascii="Arial" w:eastAsia="Arial" w:hAnsi="Arial" w:cs="Arial"/>
      <w:sz w:val="16"/>
      <w:szCs w:val="16"/>
    </w:rPr>
  </w:style>
  <w:style w:type="paragraph" w:customStyle="1" w:styleId="sez">
    <w:name w:val="sez"/>
    <w:pPr>
      <w:keepLines/>
      <w:widowControl w:val="0"/>
      <w:tabs>
        <w:tab w:val="left" w:pos="0"/>
        <w:tab w:val="left" w:pos="1077"/>
        <w:tab w:val="left" w:pos="2160"/>
        <w:tab w:val="left" w:pos="3237"/>
        <w:tab w:val="left" w:pos="4320"/>
        <w:tab w:val="left" w:pos="5397"/>
        <w:tab w:val="left" w:pos="6480"/>
        <w:tab w:val="left" w:pos="7557"/>
        <w:tab w:val="left" w:pos="8640"/>
        <w:tab w:val="left" w:pos="9717"/>
        <w:tab w:val="left" w:pos="10800"/>
        <w:tab w:val="left" w:pos="11883"/>
        <w:tab w:val="left" w:pos="12960"/>
        <w:tab w:val="left" w:pos="14037"/>
        <w:tab w:val="left" w:pos="15120"/>
        <w:tab w:val="left" w:pos="16197"/>
        <w:tab w:val="left" w:pos="17280"/>
        <w:tab w:val="left" w:pos="18357"/>
        <w:tab w:val="left" w:pos="19440"/>
        <w:tab w:val="left" w:pos="20517"/>
        <w:tab w:val="left" w:pos="21600"/>
        <w:tab w:val="left" w:pos="22677"/>
        <w:tab w:val="left" w:pos="23760"/>
        <w:tab w:val="left" w:pos="24843"/>
        <w:tab w:val="left" w:pos="25920"/>
        <w:tab w:val="left" w:pos="26997"/>
        <w:tab w:val="left" w:pos="28080"/>
        <w:tab w:val="left" w:pos="29157"/>
        <w:tab w:val="left" w:pos="30240"/>
        <w:tab w:val="left" w:pos="31317"/>
      </w:tabs>
      <w:suppressAutoHyphens/>
      <w:spacing w:before="303" w:after="113" w:line="220" w:lineRule="atLeast"/>
      <w:jc w:val="both"/>
    </w:pPr>
    <w:rPr>
      <w:rFonts w:ascii="Times" w:eastAsia="Calibri" w:hAnsi="Times" w:cs="Arial"/>
      <w:b/>
      <w:sz w:val="24"/>
      <w:szCs w:val="22"/>
      <w:lang w:val="en-GB" w:eastAsia="ko-KR"/>
    </w:rPr>
  </w:style>
  <w:style w:type="paragraph" w:customStyle="1" w:styleId="Tabletext">
    <w:name w:val="Tabletext"/>
    <w:basedOn w:val="Normal"/>
    <w:uiPriority w:val="99"/>
    <w:pPr>
      <w:ind w:left="153" w:hanging="153"/>
    </w:pPr>
    <w:rPr>
      <w:rFonts w:ascii="Futura Lt BT" w:hAnsi="Futura Lt BT" w:cs="Futura Lt BT"/>
      <w:sz w:val="18"/>
      <w:szCs w:val="18"/>
      <w:lang w:val="en-GB"/>
    </w:rPr>
  </w:style>
  <w:style w:type="character" w:customStyle="1" w:styleId="Brojretka1">
    <w:name w:val="Broj retka1"/>
    <w:basedOn w:val="Zadanifontodlomka1"/>
  </w:style>
  <w:style w:type="paragraph" w:customStyle="1" w:styleId="Tekstkrajnjebiljeke1">
    <w:name w:val="Tekst krajnje bilješke1"/>
    <w:basedOn w:val="Normal"/>
    <w:rPr>
      <w:sz w:val="20"/>
      <w:szCs w:val="20"/>
    </w:rPr>
  </w:style>
  <w:style w:type="character" w:customStyle="1" w:styleId="EndnoteTextChar">
    <w:name w:val="Endnote Text Char"/>
    <w:basedOn w:val="Zadanifontodlomka1"/>
    <w:link w:val="EndnoteText"/>
  </w:style>
  <w:style w:type="character" w:customStyle="1" w:styleId="Referencakrajnjebiljeke1">
    <w:name w:val="Referenca krajnje bilješke1"/>
    <w:basedOn w:val="Zadanifontodlomka1"/>
    <w:rPr>
      <w:position w:val="0"/>
      <w:vertAlign w:val="superscript"/>
    </w:rPr>
  </w:style>
  <w:style w:type="character" w:customStyle="1" w:styleId="Nerijeenospominjanje2">
    <w:name w:val="Neriješeno spominjanje2"/>
    <w:basedOn w:val="Zadanifontodlomka1"/>
    <w:rPr>
      <w:color w:val="605E5C"/>
      <w:shd w:val="clear" w:color="auto" w:fill="E1DFDD"/>
    </w:rPr>
  </w:style>
  <w:style w:type="paragraph" w:customStyle="1" w:styleId="Naslovipoglavlja">
    <w:name w:val="Naslovi poglavlja"/>
    <w:basedOn w:val="Naslov11"/>
    <w:pPr>
      <w:tabs>
        <w:tab w:val="clear" w:pos="-720"/>
      </w:tabs>
      <w:textAlignment w:val="baseline"/>
    </w:pPr>
    <w:rPr>
      <w:rFonts w:ascii="Arial" w:hAnsi="Arial"/>
      <w:b/>
      <w:spacing w:val="0"/>
      <w:kern w:val="3"/>
      <w:sz w:val="28"/>
      <w:u w:val="none"/>
    </w:rPr>
  </w:style>
  <w:style w:type="paragraph" w:customStyle="1" w:styleId="KAMKNormal">
    <w:name w:val="KAMKNormal"/>
    <w:basedOn w:val="Normal"/>
    <w:qFormat/>
    <w:pPr>
      <w:spacing w:before="120" w:after="120"/>
      <w:textAlignment w:val="baseline"/>
    </w:pPr>
    <w:rPr>
      <w:rFonts w:ascii="Tahoma" w:hAnsi="Tahoma"/>
      <w:color w:val="000000"/>
      <w:sz w:val="22"/>
    </w:rPr>
  </w:style>
  <w:style w:type="character" w:customStyle="1" w:styleId="KAMKNormalChar">
    <w:name w:val="KAMKNormal Char"/>
    <w:rPr>
      <w:rFonts w:ascii="Tahoma" w:hAnsi="Tahoma"/>
      <w:color w:val="000000"/>
      <w:sz w:val="22"/>
      <w:szCs w:val="24"/>
    </w:rPr>
  </w:style>
  <w:style w:type="paragraph" w:customStyle="1" w:styleId="Bullet">
    <w:name w:val="Bullet"/>
    <w:basedOn w:val="Normal"/>
    <w:pPr>
      <w:numPr>
        <w:numId w:val="1"/>
      </w:numPr>
      <w:textAlignment w:val="baseline"/>
    </w:pPr>
  </w:style>
  <w:style w:type="paragraph" w:styleId="Revision">
    <w:name w:val="Revision"/>
    <w:uiPriority w:val="99"/>
    <w:rPr>
      <w:sz w:val="24"/>
      <w:szCs w:val="24"/>
    </w:rPr>
  </w:style>
  <w:style w:type="character" w:customStyle="1" w:styleId="Heading3Char">
    <w:name w:val="Heading 3 Char"/>
    <w:basedOn w:val="DefaultParagraphFont"/>
    <w:rPr>
      <w:rFonts w:ascii="Calibri Light" w:eastAsia="Times New Roman" w:hAnsi="Calibri Light" w:cs="Times New Roman"/>
      <w:color w:val="1F3763"/>
      <w:sz w:val="24"/>
      <w:szCs w:val="24"/>
    </w:rPr>
  </w:style>
  <w:style w:type="paragraph" w:customStyle="1" w:styleId="Popis1">
    <w:name w:val="Popis1"/>
    <w:basedOn w:val="Normal"/>
    <w:pPr>
      <w:ind w:left="283" w:hanging="283"/>
      <w:textAlignment w:val="baseline"/>
    </w:pPr>
    <w:rPr>
      <w:sz w:val="22"/>
      <w:szCs w:val="20"/>
      <w:lang w:val="en-GB"/>
    </w:rPr>
  </w:style>
  <w:style w:type="paragraph" w:customStyle="1" w:styleId="RNormal">
    <w:name w:val="RNormal"/>
    <w:basedOn w:val="Normal"/>
    <w:pPr>
      <w:jc w:val="both"/>
    </w:pPr>
    <w:rPr>
      <w:sz w:val="22"/>
    </w:rPr>
  </w:style>
  <w:style w:type="character" w:customStyle="1" w:styleId="BodyText3Char">
    <w:name w:val="Body Text 3 Char"/>
    <w:basedOn w:val="Zadanifontodlomka1"/>
    <w:link w:val="BodyText3"/>
    <w:uiPriority w:val="99"/>
    <w:rPr>
      <w:spacing w:val="-3"/>
      <w:sz w:val="22"/>
      <w:lang w:val="en-GB"/>
    </w:rPr>
  </w:style>
  <w:style w:type="character" w:customStyle="1" w:styleId="BodyTextChar">
    <w:name w:val="Body Text Char"/>
    <w:aliases w:val="Body Text1 Char,b Char,heading3 Char,Body Text - Level 2 Char,Body Text x Char,Szövegtörzs1 Char,body text Char,contents Char,body Char,b-heading 1/heading 2 Char,bd Char,heading1body-heading2body Char,bt Char"/>
    <w:basedOn w:val="Zadanifontodlomka1"/>
    <w:link w:val="BodyText"/>
    <w:rPr>
      <w:sz w:val="24"/>
      <w:lang w:val="en-GB"/>
    </w:rPr>
  </w:style>
  <w:style w:type="character" w:customStyle="1" w:styleId="PredmetkomentaraChar">
    <w:name w:val="Predmet komentara Char"/>
    <w:basedOn w:val="TekstkomentaraChar"/>
    <w:uiPriority w:val="99"/>
    <w:rPr>
      <w:b/>
      <w:bCs/>
      <w:lang w:val="en-US" w:eastAsia="en-US"/>
    </w:rPr>
  </w:style>
  <w:style w:type="paragraph" w:customStyle="1" w:styleId="Heading51">
    <w:name w:val="Heading 51"/>
    <w:basedOn w:val="Normal"/>
    <w:next w:val="Normal"/>
    <w:uiPriority w:val="9"/>
    <w:qFormat/>
    <w:pPr>
      <w:keepNext/>
      <w:keepLines/>
      <w:spacing w:before="80"/>
      <w:jc w:val="both"/>
      <w:outlineLvl w:val="4"/>
    </w:pPr>
    <w:rPr>
      <w:rFonts w:ascii="Calibri" w:eastAsia="SimSun" w:hAnsi="Calibri"/>
      <w:color w:val="3476B1"/>
    </w:rPr>
  </w:style>
  <w:style w:type="paragraph" w:customStyle="1" w:styleId="Heading61">
    <w:name w:val="Heading 61"/>
    <w:basedOn w:val="Normal"/>
    <w:next w:val="Normal"/>
    <w:uiPriority w:val="9"/>
    <w:qFormat/>
    <w:pPr>
      <w:keepNext/>
      <w:keepLines/>
      <w:spacing w:before="80"/>
      <w:jc w:val="both"/>
      <w:outlineLvl w:val="5"/>
    </w:pPr>
    <w:rPr>
      <w:rFonts w:ascii="Calibri" w:eastAsia="SimSun" w:hAnsi="Calibri"/>
      <w:i/>
      <w:iCs/>
      <w:color w:val="234F77"/>
    </w:rPr>
  </w:style>
  <w:style w:type="paragraph" w:customStyle="1" w:styleId="Heading71">
    <w:name w:val="Heading 71"/>
    <w:basedOn w:val="Normal"/>
    <w:next w:val="Normal"/>
    <w:uiPriority w:val="9"/>
    <w:qFormat/>
    <w:pPr>
      <w:keepNext/>
      <w:keepLines/>
      <w:spacing w:before="80"/>
      <w:jc w:val="both"/>
      <w:outlineLvl w:val="6"/>
    </w:pPr>
    <w:rPr>
      <w:rFonts w:ascii="Calibri" w:eastAsia="SimSun" w:hAnsi="Calibri"/>
      <w:b/>
      <w:bCs/>
      <w:color w:val="234F77"/>
      <w:sz w:val="22"/>
      <w:szCs w:val="22"/>
    </w:rPr>
  </w:style>
  <w:style w:type="paragraph" w:customStyle="1" w:styleId="Heading81">
    <w:name w:val="Heading 81"/>
    <w:basedOn w:val="Normal"/>
    <w:next w:val="Normal"/>
    <w:uiPriority w:val="9"/>
    <w:qFormat/>
    <w:pPr>
      <w:keepNext/>
      <w:keepLines/>
      <w:spacing w:before="80"/>
      <w:jc w:val="both"/>
      <w:outlineLvl w:val="7"/>
    </w:pPr>
    <w:rPr>
      <w:rFonts w:ascii="Calibri" w:eastAsia="SimSun" w:hAnsi="Calibri"/>
      <w:color w:val="234F77"/>
      <w:sz w:val="22"/>
      <w:szCs w:val="22"/>
    </w:rPr>
  </w:style>
  <w:style w:type="paragraph" w:customStyle="1" w:styleId="Heading91">
    <w:name w:val="Heading 91"/>
    <w:basedOn w:val="Normal"/>
    <w:next w:val="Normal"/>
    <w:uiPriority w:val="9"/>
    <w:qFormat/>
    <w:pPr>
      <w:keepNext/>
      <w:keepLines/>
      <w:spacing w:before="80"/>
      <w:jc w:val="both"/>
      <w:outlineLvl w:val="8"/>
    </w:pPr>
    <w:rPr>
      <w:rFonts w:ascii="Calibri" w:eastAsia="SimSun" w:hAnsi="Calibri"/>
      <w:i/>
      <w:iCs/>
      <w:color w:val="234F77"/>
      <w:sz w:val="22"/>
      <w:szCs w:val="22"/>
    </w:rPr>
  </w:style>
  <w:style w:type="character" w:customStyle="1" w:styleId="st1">
    <w:name w:val="st1"/>
    <w:basedOn w:val="Zadanifontodlomka1"/>
  </w:style>
  <w:style w:type="paragraph" w:customStyle="1" w:styleId="TOC41">
    <w:name w:val="TOC 41"/>
    <w:basedOn w:val="Normal"/>
    <w:next w:val="Normal"/>
    <w:autoRedefine/>
    <w:pPr>
      <w:spacing w:after="160" w:line="276" w:lineRule="auto"/>
      <w:ind w:left="480"/>
      <w:jc w:val="both"/>
    </w:pPr>
    <w:rPr>
      <w:rFonts w:ascii="Calibri" w:eastAsia="SimSun" w:hAnsi="Calibri"/>
      <w:sz w:val="20"/>
      <w:szCs w:val="20"/>
    </w:rPr>
  </w:style>
  <w:style w:type="paragraph" w:customStyle="1" w:styleId="TOC51">
    <w:name w:val="TOC 51"/>
    <w:basedOn w:val="Normal"/>
    <w:next w:val="Normal"/>
    <w:autoRedefine/>
    <w:pPr>
      <w:spacing w:after="160" w:line="276" w:lineRule="auto"/>
      <w:ind w:left="720"/>
      <w:jc w:val="both"/>
    </w:pPr>
    <w:rPr>
      <w:rFonts w:ascii="Calibri" w:eastAsia="SimSun" w:hAnsi="Calibri"/>
      <w:sz w:val="20"/>
      <w:szCs w:val="20"/>
    </w:rPr>
  </w:style>
  <w:style w:type="paragraph" w:customStyle="1" w:styleId="TOC61">
    <w:name w:val="TOC 61"/>
    <w:basedOn w:val="Normal"/>
    <w:next w:val="Normal"/>
    <w:autoRedefine/>
    <w:pPr>
      <w:spacing w:after="160" w:line="276" w:lineRule="auto"/>
      <w:ind w:left="960"/>
      <w:jc w:val="both"/>
    </w:pPr>
    <w:rPr>
      <w:rFonts w:ascii="Calibri" w:eastAsia="SimSun" w:hAnsi="Calibri"/>
      <w:sz w:val="20"/>
      <w:szCs w:val="20"/>
    </w:rPr>
  </w:style>
  <w:style w:type="paragraph" w:customStyle="1" w:styleId="TOC71">
    <w:name w:val="TOC 71"/>
    <w:basedOn w:val="Normal"/>
    <w:next w:val="Normal"/>
    <w:autoRedefine/>
    <w:pPr>
      <w:spacing w:after="160" w:line="276" w:lineRule="auto"/>
      <w:ind w:left="1200"/>
      <w:jc w:val="both"/>
    </w:pPr>
    <w:rPr>
      <w:rFonts w:ascii="Calibri" w:eastAsia="SimSun" w:hAnsi="Calibri"/>
      <w:sz w:val="20"/>
      <w:szCs w:val="20"/>
    </w:rPr>
  </w:style>
  <w:style w:type="paragraph" w:customStyle="1" w:styleId="TOC81">
    <w:name w:val="TOC 81"/>
    <w:basedOn w:val="Normal"/>
    <w:next w:val="Normal"/>
    <w:autoRedefine/>
    <w:pPr>
      <w:spacing w:after="160" w:line="276" w:lineRule="auto"/>
      <w:ind w:left="1440"/>
      <w:jc w:val="both"/>
    </w:pPr>
    <w:rPr>
      <w:rFonts w:ascii="Calibri" w:eastAsia="SimSun" w:hAnsi="Calibri"/>
      <w:sz w:val="20"/>
      <w:szCs w:val="20"/>
    </w:rPr>
  </w:style>
  <w:style w:type="paragraph" w:customStyle="1" w:styleId="TOC91">
    <w:name w:val="TOC 91"/>
    <w:basedOn w:val="Normal"/>
    <w:next w:val="Normal"/>
    <w:autoRedefine/>
    <w:pPr>
      <w:spacing w:after="160" w:line="276" w:lineRule="auto"/>
      <w:ind w:left="1680"/>
      <w:jc w:val="both"/>
    </w:pPr>
    <w:rPr>
      <w:rFonts w:ascii="Calibri" w:eastAsia="SimSun" w:hAnsi="Calibri"/>
      <w:sz w:val="20"/>
      <w:szCs w:val="20"/>
    </w:rPr>
  </w:style>
  <w:style w:type="character" w:customStyle="1" w:styleId="Heading4Char">
    <w:name w:val="Heading 4 Char"/>
    <w:basedOn w:val="Zadanifontodlomka1"/>
    <w:link w:val="Heading4"/>
    <w:uiPriority w:val="9"/>
    <w:rPr>
      <w:rFonts w:ascii="Arial" w:hAnsi="Arial" w:cs="Arial"/>
      <w:sz w:val="19"/>
      <w:szCs w:val="24"/>
    </w:rPr>
  </w:style>
  <w:style w:type="character" w:customStyle="1" w:styleId="Heading5Char">
    <w:name w:val="Heading 5 Char"/>
    <w:basedOn w:val="Zadanifontodlomka1"/>
    <w:link w:val="Heading5"/>
    <w:uiPriority w:val="9"/>
    <w:rPr>
      <w:rFonts w:ascii="Calibri" w:eastAsia="SimSun" w:hAnsi="Calibri" w:cs="Times New Roman"/>
      <w:color w:val="3476B1"/>
      <w:sz w:val="24"/>
      <w:szCs w:val="24"/>
    </w:rPr>
  </w:style>
  <w:style w:type="character" w:customStyle="1" w:styleId="Heading6Char">
    <w:name w:val="Heading 6 Char"/>
    <w:basedOn w:val="Zadanifontodlomka1"/>
    <w:link w:val="Heading6"/>
    <w:uiPriority w:val="9"/>
    <w:rPr>
      <w:rFonts w:ascii="Calibri" w:eastAsia="SimSun" w:hAnsi="Calibri" w:cs="Times New Roman"/>
      <w:i/>
      <w:iCs/>
      <w:color w:val="234F77"/>
      <w:sz w:val="24"/>
      <w:szCs w:val="24"/>
    </w:rPr>
  </w:style>
  <w:style w:type="character" w:customStyle="1" w:styleId="Heading7Char">
    <w:name w:val="Heading 7 Char"/>
    <w:basedOn w:val="Zadanifontodlomka1"/>
    <w:link w:val="Heading7"/>
    <w:uiPriority w:val="9"/>
    <w:rPr>
      <w:rFonts w:ascii="Calibri" w:eastAsia="SimSun" w:hAnsi="Calibri" w:cs="Times New Roman"/>
      <w:b/>
      <w:bCs/>
      <w:color w:val="234F77"/>
      <w:sz w:val="22"/>
      <w:szCs w:val="22"/>
    </w:rPr>
  </w:style>
  <w:style w:type="character" w:customStyle="1" w:styleId="Heading8Char">
    <w:name w:val="Heading 8 Char"/>
    <w:basedOn w:val="Zadanifontodlomka1"/>
    <w:link w:val="Heading8"/>
    <w:uiPriority w:val="9"/>
    <w:rPr>
      <w:rFonts w:ascii="Calibri" w:eastAsia="SimSun" w:hAnsi="Calibri" w:cs="Times New Roman"/>
      <w:color w:val="234F77"/>
      <w:sz w:val="22"/>
      <w:szCs w:val="22"/>
    </w:rPr>
  </w:style>
  <w:style w:type="character" w:customStyle="1" w:styleId="Heading9Char">
    <w:name w:val="Heading 9 Char"/>
    <w:basedOn w:val="Zadanifontodlomka1"/>
    <w:link w:val="Heading9"/>
    <w:uiPriority w:val="9"/>
    <w:rPr>
      <w:rFonts w:ascii="Calibri" w:eastAsia="SimSun" w:hAnsi="Calibri" w:cs="Times New Roman"/>
      <w:i/>
      <w:iCs/>
      <w:color w:val="234F77"/>
      <w:sz w:val="22"/>
      <w:szCs w:val="22"/>
    </w:rPr>
  </w:style>
  <w:style w:type="paragraph" w:customStyle="1" w:styleId="Title1">
    <w:name w:val="Title1"/>
    <w:basedOn w:val="Normal"/>
    <w:next w:val="Normal"/>
    <w:uiPriority w:val="10"/>
    <w:qFormat/>
    <w:pPr>
      <w:contextualSpacing/>
      <w:jc w:val="both"/>
    </w:pPr>
    <w:rPr>
      <w:rFonts w:ascii="Calibri" w:eastAsia="SimSun" w:hAnsi="Calibri"/>
      <w:color w:val="262626"/>
      <w:sz w:val="96"/>
      <w:szCs w:val="96"/>
    </w:rPr>
  </w:style>
  <w:style w:type="character" w:customStyle="1" w:styleId="TitleChar">
    <w:name w:val="Title Char"/>
    <w:basedOn w:val="Zadanifontodlomka1"/>
    <w:link w:val="Title"/>
    <w:uiPriority w:val="10"/>
    <w:rPr>
      <w:rFonts w:ascii="Calibri" w:eastAsia="SimSun" w:hAnsi="Calibri" w:cs="Times New Roman"/>
      <w:color w:val="262626"/>
      <w:sz w:val="96"/>
      <w:szCs w:val="96"/>
    </w:rPr>
  </w:style>
  <w:style w:type="paragraph" w:customStyle="1" w:styleId="Subtitle1">
    <w:name w:val="Subtitle1"/>
    <w:basedOn w:val="Normal"/>
    <w:next w:val="Normal"/>
    <w:uiPriority w:val="11"/>
    <w:qFormat/>
    <w:pPr>
      <w:spacing w:after="240" w:line="276" w:lineRule="auto"/>
      <w:jc w:val="both"/>
    </w:pPr>
    <w:rPr>
      <w:rFonts w:ascii="Calibri" w:eastAsia="SimSun" w:hAnsi="Calibri"/>
      <w:caps/>
      <w:color w:val="404040"/>
      <w:spacing w:val="20"/>
      <w:sz w:val="28"/>
      <w:szCs w:val="28"/>
    </w:rPr>
  </w:style>
  <w:style w:type="character" w:customStyle="1" w:styleId="SubtitleChar">
    <w:name w:val="Subtitle Char"/>
    <w:basedOn w:val="Zadanifontodlomka1"/>
    <w:link w:val="Subtitle"/>
    <w:uiPriority w:val="11"/>
    <w:rPr>
      <w:caps/>
      <w:color w:val="404040"/>
      <w:spacing w:val="20"/>
      <w:sz w:val="28"/>
      <w:szCs w:val="28"/>
    </w:rPr>
  </w:style>
  <w:style w:type="paragraph" w:customStyle="1" w:styleId="Quote1">
    <w:name w:val="Quote1"/>
    <w:basedOn w:val="Normal"/>
    <w:next w:val="Normal"/>
    <w:uiPriority w:val="29"/>
    <w:qFormat/>
    <w:pPr>
      <w:spacing w:before="160" w:after="160" w:line="276" w:lineRule="auto"/>
      <w:ind w:left="720" w:right="720"/>
      <w:jc w:val="center"/>
    </w:pPr>
    <w:rPr>
      <w:rFonts w:ascii="Calibri" w:eastAsia="SimSun" w:hAnsi="Calibri"/>
      <w:color w:val="000000"/>
    </w:rPr>
  </w:style>
  <w:style w:type="character" w:customStyle="1" w:styleId="QuoteChar">
    <w:name w:val="Quote Char"/>
    <w:basedOn w:val="Zadanifontodlomka1"/>
    <w:link w:val="Quote"/>
    <w:uiPriority w:val="29"/>
    <w:rPr>
      <w:rFonts w:ascii="Calibri" w:eastAsia="SimSun" w:hAnsi="Calibri" w:cs="Times New Roman"/>
      <w:color w:val="000000"/>
      <w:sz w:val="24"/>
      <w:szCs w:val="24"/>
    </w:rPr>
  </w:style>
  <w:style w:type="paragraph" w:customStyle="1" w:styleId="IntenseQuote1">
    <w:name w:val="Intense Quote1"/>
    <w:basedOn w:val="Normal"/>
    <w:next w:val="Normal"/>
    <w:uiPriority w:val="30"/>
    <w:qFormat/>
    <w:pPr>
      <w:pBdr>
        <w:top w:val="single" w:sz="24" w:space="4" w:color="629DD1"/>
      </w:pBdr>
      <w:spacing w:before="240" w:after="240"/>
      <w:ind w:left="936" w:right="936"/>
      <w:jc w:val="center"/>
    </w:pPr>
    <w:rPr>
      <w:rFonts w:ascii="Calibri" w:eastAsia="SimSun" w:hAnsi="Calibri"/>
    </w:rPr>
  </w:style>
  <w:style w:type="character" w:customStyle="1" w:styleId="NaglaencitatChar">
    <w:name w:val="Naglašen citat Char"/>
    <w:basedOn w:val="Zadanifontodlomka1"/>
    <w:link w:val="Naglaencitat3"/>
    <w:uiPriority w:val="30"/>
    <w:rPr>
      <w:rFonts w:ascii="Calibri" w:eastAsia="SimSun" w:hAnsi="Calibri" w:cs="Times New Roman"/>
      <w:sz w:val="24"/>
      <w:szCs w:val="24"/>
    </w:rPr>
  </w:style>
  <w:style w:type="character" w:customStyle="1" w:styleId="SubtleEmphasis1">
    <w:name w:val="Subtle Emphasis1"/>
    <w:basedOn w:val="Zadanifontodlomka1"/>
    <w:uiPriority w:val="19"/>
    <w:qFormat/>
    <w:rPr>
      <w:i/>
      <w:iCs/>
      <w:color w:val="595959"/>
    </w:rPr>
  </w:style>
  <w:style w:type="character" w:customStyle="1" w:styleId="IntenseEmphasis1">
    <w:name w:val="Intense Emphasis1"/>
    <w:basedOn w:val="Zadanifontodlomka1"/>
    <w:uiPriority w:val="21"/>
    <w:qFormat/>
    <w:rPr>
      <w:b/>
      <w:bCs/>
      <w:i/>
      <w:iCs/>
      <w:caps w:val="0"/>
      <w:smallCaps w:val="0"/>
      <w:strike w:val="0"/>
      <w:dstrike w:val="0"/>
      <w:color w:val="629DD1"/>
    </w:rPr>
  </w:style>
  <w:style w:type="character" w:customStyle="1" w:styleId="SubtleReference1">
    <w:name w:val="Subtle Reference1"/>
    <w:basedOn w:val="Zadanifontodlomka1"/>
    <w:uiPriority w:val="31"/>
    <w:qFormat/>
    <w:rPr>
      <w:caps w:val="0"/>
      <w:smallCaps/>
      <w:color w:val="404040"/>
      <w:spacing w:val="0"/>
      <w:u w:val="single" w:color="7F7F7F"/>
    </w:rPr>
  </w:style>
  <w:style w:type="character" w:customStyle="1" w:styleId="Istaknutareferenca1">
    <w:name w:val="Istaknuta referenca1"/>
    <w:basedOn w:val="Zadanifontodlomka1"/>
    <w:rPr>
      <w:b/>
      <w:bCs/>
      <w:caps w:val="0"/>
      <w:smallCaps/>
      <w:color w:val="auto"/>
      <w:spacing w:val="0"/>
      <w:u w:val="single"/>
    </w:rPr>
  </w:style>
  <w:style w:type="character" w:customStyle="1" w:styleId="Naslovknjige1">
    <w:name w:val="Naslov knjige1"/>
    <w:basedOn w:val="Zadanifontodlomka1"/>
    <w:rPr>
      <w:b/>
      <w:bCs/>
      <w:caps w:val="0"/>
      <w:smallCaps/>
      <w:spacing w:val="0"/>
    </w:rPr>
  </w:style>
  <w:style w:type="character" w:customStyle="1" w:styleId="Heading5Char1">
    <w:name w:val="Heading 5 Char1"/>
    <w:basedOn w:val="Zadanifontodlomka1"/>
    <w:rPr>
      <w:rFonts w:ascii="Cambria" w:eastAsia="SimSun" w:hAnsi="Cambria" w:cs="Times New Roman"/>
      <w:color w:val="365F91"/>
      <w:sz w:val="24"/>
      <w:szCs w:val="24"/>
    </w:rPr>
  </w:style>
  <w:style w:type="character" w:customStyle="1" w:styleId="Heading6Char1">
    <w:name w:val="Heading 6 Char1"/>
    <w:basedOn w:val="Zadanifontodlomka1"/>
    <w:rPr>
      <w:rFonts w:ascii="Cambria" w:eastAsia="SimSun" w:hAnsi="Cambria" w:cs="Times New Roman"/>
      <w:color w:val="243F60"/>
      <w:sz w:val="24"/>
      <w:szCs w:val="24"/>
    </w:rPr>
  </w:style>
  <w:style w:type="character" w:customStyle="1" w:styleId="Heading7Char1">
    <w:name w:val="Heading 7 Char1"/>
    <w:basedOn w:val="Zadanifontodlomka1"/>
    <w:rPr>
      <w:rFonts w:ascii="Cambria" w:eastAsia="SimSun" w:hAnsi="Cambria" w:cs="Times New Roman"/>
      <w:i/>
      <w:iCs/>
      <w:color w:val="243F60"/>
      <w:sz w:val="24"/>
      <w:szCs w:val="24"/>
    </w:rPr>
  </w:style>
  <w:style w:type="character" w:customStyle="1" w:styleId="Heading8Char1">
    <w:name w:val="Heading 8 Char1"/>
    <w:basedOn w:val="Zadanifontodlomka1"/>
    <w:rPr>
      <w:rFonts w:ascii="Cambria" w:eastAsia="SimSun" w:hAnsi="Cambria" w:cs="Times New Roman"/>
      <w:color w:val="272727"/>
      <w:sz w:val="21"/>
      <w:szCs w:val="21"/>
    </w:rPr>
  </w:style>
  <w:style w:type="character" w:customStyle="1" w:styleId="Heading9Char1">
    <w:name w:val="Heading 9 Char1"/>
    <w:basedOn w:val="Zadanifontodlomka1"/>
    <w:rPr>
      <w:rFonts w:ascii="Cambria" w:eastAsia="SimSun" w:hAnsi="Cambria" w:cs="Times New Roman"/>
      <w:i/>
      <w:iCs/>
      <w:color w:val="272727"/>
      <w:sz w:val="21"/>
      <w:szCs w:val="21"/>
    </w:rPr>
  </w:style>
  <w:style w:type="paragraph" w:customStyle="1" w:styleId="Naslov1">
    <w:name w:val="Naslov1"/>
    <w:basedOn w:val="Normal"/>
    <w:next w:val="Normal"/>
    <w:pPr>
      <w:contextualSpacing/>
    </w:pPr>
    <w:rPr>
      <w:rFonts w:ascii="Calibri" w:eastAsia="SimSun" w:hAnsi="Calibri"/>
      <w:color w:val="262626"/>
      <w:sz w:val="96"/>
      <w:szCs w:val="96"/>
    </w:rPr>
  </w:style>
  <w:style w:type="character" w:customStyle="1" w:styleId="TitleChar1">
    <w:name w:val="Title Char1"/>
    <w:basedOn w:val="Zadanifontodlomka1"/>
    <w:rPr>
      <w:rFonts w:ascii="Cambria" w:eastAsia="SimSun" w:hAnsi="Cambria" w:cs="Times New Roman"/>
      <w:spacing w:val="-10"/>
      <w:kern w:val="3"/>
      <w:sz w:val="56"/>
      <w:szCs w:val="56"/>
    </w:rPr>
  </w:style>
  <w:style w:type="paragraph" w:customStyle="1" w:styleId="Podnaslov1">
    <w:name w:val="Podnaslov1"/>
    <w:basedOn w:val="Normal"/>
    <w:next w:val="Normal"/>
    <w:pPr>
      <w:spacing w:after="160"/>
    </w:pPr>
    <w:rPr>
      <w:caps/>
      <w:color w:val="404040"/>
      <w:spacing w:val="20"/>
      <w:sz w:val="28"/>
      <w:szCs w:val="28"/>
    </w:rPr>
  </w:style>
  <w:style w:type="character" w:customStyle="1" w:styleId="SubtitleChar1">
    <w:name w:val="Subtitle Char1"/>
    <w:basedOn w:val="Zadanifontodlomka1"/>
    <w:rPr>
      <w:rFonts w:ascii="Calibri" w:eastAsia="SimSun" w:hAnsi="Calibri" w:cs="Arial"/>
      <w:color w:val="5A5A5A"/>
      <w:spacing w:val="15"/>
      <w:sz w:val="22"/>
      <w:szCs w:val="22"/>
    </w:rPr>
  </w:style>
  <w:style w:type="paragraph" w:customStyle="1" w:styleId="Citat1">
    <w:name w:val="Citat1"/>
    <w:basedOn w:val="Normal"/>
    <w:next w:val="Normal"/>
    <w:pPr>
      <w:spacing w:before="200" w:after="160"/>
      <w:ind w:left="864" w:right="864"/>
      <w:jc w:val="center"/>
    </w:pPr>
    <w:rPr>
      <w:rFonts w:ascii="Calibri" w:eastAsia="SimSun" w:hAnsi="Calibri"/>
      <w:color w:val="000000"/>
    </w:rPr>
  </w:style>
  <w:style w:type="character" w:customStyle="1" w:styleId="QuoteChar1">
    <w:name w:val="Quote Char1"/>
    <w:basedOn w:val="Zadanifontodlomka1"/>
    <w:uiPriority w:val="29"/>
    <w:rPr>
      <w:i/>
      <w:iCs/>
      <w:color w:val="404040"/>
      <w:sz w:val="24"/>
      <w:szCs w:val="24"/>
    </w:rPr>
  </w:style>
  <w:style w:type="paragraph" w:customStyle="1" w:styleId="Naglaencitat1">
    <w:name w:val="Naglašen citat1"/>
    <w:basedOn w:val="Normal"/>
    <w:next w:val="Normal"/>
    <w:pPr>
      <w:pBdr>
        <w:top w:val="single" w:sz="4" w:space="10" w:color="4F81BD"/>
        <w:bottom w:val="single" w:sz="4" w:space="10" w:color="4F81BD"/>
      </w:pBdr>
      <w:spacing w:before="360" w:after="360"/>
      <w:ind w:left="864" w:right="864"/>
      <w:jc w:val="center"/>
    </w:pPr>
    <w:rPr>
      <w:rFonts w:ascii="Calibri" w:eastAsia="SimSun" w:hAnsi="Calibri"/>
    </w:rPr>
  </w:style>
  <w:style w:type="character" w:customStyle="1" w:styleId="IntenseQuoteChar1">
    <w:name w:val="Intense Quote Char1"/>
    <w:basedOn w:val="Zadanifontodlomka1"/>
    <w:uiPriority w:val="30"/>
    <w:rPr>
      <w:i/>
      <w:iCs/>
      <w:color w:val="4F81BD"/>
      <w:sz w:val="24"/>
      <w:szCs w:val="24"/>
    </w:rPr>
  </w:style>
  <w:style w:type="character" w:customStyle="1" w:styleId="Neupadljivoisticanje1">
    <w:name w:val="Neupadljivo isticanje1"/>
    <w:basedOn w:val="Zadanifontodlomka1"/>
    <w:rPr>
      <w:i/>
      <w:iCs/>
      <w:color w:val="404040"/>
    </w:rPr>
  </w:style>
  <w:style w:type="character" w:customStyle="1" w:styleId="Jakoisticanje1">
    <w:name w:val="Jako isticanje1"/>
    <w:basedOn w:val="Zadanifontodlomka1"/>
    <w:rPr>
      <w:i/>
      <w:iCs/>
      <w:color w:val="4F81BD"/>
    </w:rPr>
  </w:style>
  <w:style w:type="character" w:customStyle="1" w:styleId="Neupadljivareferenca1">
    <w:name w:val="Neupadljiva referenca1"/>
    <w:basedOn w:val="Zadanifontodlomka1"/>
    <w:rPr>
      <w:smallCaps/>
      <w:color w:val="5A5A5A"/>
    </w:rPr>
  </w:style>
  <w:style w:type="paragraph" w:customStyle="1" w:styleId="Sadraj41">
    <w:name w:val="Sadržaj 41"/>
    <w:basedOn w:val="Normal"/>
    <w:next w:val="Normal"/>
    <w:autoRedefine/>
    <w:pPr>
      <w:spacing w:after="100" w:line="254" w:lineRule="auto"/>
      <w:ind w:left="660"/>
    </w:pPr>
    <w:rPr>
      <w:rFonts w:ascii="Calibri" w:eastAsia="SimSun" w:hAnsi="Calibri" w:cs="Arial"/>
      <w:sz w:val="20"/>
      <w:szCs w:val="22"/>
      <w:lang w:val="hr-HR" w:eastAsia="hr-HR"/>
    </w:rPr>
  </w:style>
  <w:style w:type="paragraph" w:customStyle="1" w:styleId="Sadraj51">
    <w:name w:val="Sadržaj 51"/>
    <w:basedOn w:val="Normal"/>
    <w:next w:val="Normal"/>
    <w:autoRedefine/>
    <w:pPr>
      <w:spacing w:after="100" w:line="254" w:lineRule="auto"/>
      <w:ind w:left="880"/>
    </w:pPr>
    <w:rPr>
      <w:rFonts w:ascii="Calibri" w:eastAsia="SimSun" w:hAnsi="Calibri" w:cs="Arial"/>
      <w:sz w:val="22"/>
      <w:szCs w:val="22"/>
      <w:lang w:val="hr-HR" w:eastAsia="hr-HR"/>
    </w:rPr>
  </w:style>
  <w:style w:type="paragraph" w:customStyle="1" w:styleId="Sadraj61">
    <w:name w:val="Sadržaj 61"/>
    <w:basedOn w:val="Normal"/>
    <w:next w:val="Normal"/>
    <w:autoRedefine/>
    <w:pPr>
      <w:spacing w:after="100" w:line="254" w:lineRule="auto"/>
      <w:ind w:left="1100"/>
    </w:pPr>
    <w:rPr>
      <w:rFonts w:ascii="Calibri" w:eastAsia="SimSun" w:hAnsi="Calibri" w:cs="Arial"/>
      <w:sz w:val="22"/>
      <w:szCs w:val="22"/>
      <w:lang w:val="hr-HR" w:eastAsia="hr-HR"/>
    </w:rPr>
  </w:style>
  <w:style w:type="paragraph" w:customStyle="1" w:styleId="Sadraj71">
    <w:name w:val="Sadržaj 71"/>
    <w:basedOn w:val="Normal"/>
    <w:next w:val="Normal"/>
    <w:autoRedefine/>
    <w:pPr>
      <w:spacing w:after="100" w:line="254" w:lineRule="auto"/>
      <w:ind w:left="1320"/>
    </w:pPr>
    <w:rPr>
      <w:rFonts w:ascii="Calibri" w:eastAsia="SimSun" w:hAnsi="Calibri" w:cs="Arial"/>
      <w:sz w:val="22"/>
      <w:szCs w:val="22"/>
      <w:lang w:val="hr-HR" w:eastAsia="hr-HR"/>
    </w:rPr>
  </w:style>
  <w:style w:type="paragraph" w:customStyle="1" w:styleId="Sadraj81">
    <w:name w:val="Sadržaj 81"/>
    <w:basedOn w:val="Normal"/>
    <w:next w:val="Normal"/>
    <w:autoRedefine/>
    <w:pPr>
      <w:spacing w:after="100" w:line="254" w:lineRule="auto"/>
      <w:ind w:left="1540"/>
    </w:pPr>
    <w:rPr>
      <w:rFonts w:ascii="Calibri" w:eastAsia="SimSun" w:hAnsi="Calibri" w:cs="Arial"/>
      <w:sz w:val="22"/>
      <w:szCs w:val="22"/>
      <w:lang w:val="hr-HR" w:eastAsia="hr-HR"/>
    </w:rPr>
  </w:style>
  <w:style w:type="paragraph" w:customStyle="1" w:styleId="Sadraj91">
    <w:name w:val="Sadržaj 91"/>
    <w:basedOn w:val="Normal"/>
    <w:next w:val="Normal"/>
    <w:autoRedefine/>
    <w:pPr>
      <w:spacing w:after="100" w:line="254" w:lineRule="auto"/>
      <w:ind w:left="1760"/>
    </w:pPr>
    <w:rPr>
      <w:rFonts w:ascii="Calibri" w:eastAsia="SimSun" w:hAnsi="Calibri" w:cs="Arial"/>
      <w:sz w:val="22"/>
      <w:szCs w:val="22"/>
      <w:lang w:val="hr-HR" w:eastAsia="hr-HR"/>
    </w:rPr>
  </w:style>
  <w:style w:type="paragraph" w:customStyle="1" w:styleId="BDONormal">
    <w:name w:val="BDO_Normal"/>
    <w:pPr>
      <w:suppressAutoHyphens/>
    </w:pPr>
    <w:rPr>
      <w:rFonts w:ascii="Trebuchet MS" w:hAnsi="Trebuchet MS"/>
      <w:szCs w:val="24"/>
      <w:lang w:val="en-GB" w:eastAsia="en-GB"/>
    </w:rPr>
  </w:style>
  <w:style w:type="paragraph" w:customStyle="1" w:styleId="BDOAddress">
    <w:name w:val="BDO_Address"/>
    <w:basedOn w:val="BDONormal"/>
    <w:pPr>
      <w:spacing w:line="170" w:lineRule="exact"/>
    </w:pPr>
    <w:rPr>
      <w:color w:val="786860"/>
      <w:sz w:val="16"/>
    </w:rPr>
  </w:style>
  <w:style w:type="paragraph" w:customStyle="1" w:styleId="BDOAddressBold">
    <w:name w:val="BDO_Address (Bold)"/>
    <w:basedOn w:val="BDOAddress"/>
    <w:rPr>
      <w:b/>
    </w:rPr>
  </w:style>
  <w:style w:type="character" w:customStyle="1" w:styleId="s1">
    <w:name w:val="s1"/>
    <w:basedOn w:val="Zadanifontodlomka1"/>
  </w:style>
  <w:style w:type="paragraph" w:customStyle="1" w:styleId="paragraph">
    <w:name w:val="paragraph"/>
    <w:basedOn w:val="Normal"/>
    <w:rPr>
      <w:rFonts w:ascii="Calibri" w:eastAsia="Calibri" w:hAnsi="Calibri" w:cs="Calibri"/>
      <w:sz w:val="22"/>
      <w:szCs w:val="22"/>
      <w:lang w:val="hr-HR" w:eastAsia="hr-HR"/>
    </w:rPr>
  </w:style>
  <w:style w:type="character" w:customStyle="1" w:styleId="normaltextrun">
    <w:name w:val="normaltextrun"/>
    <w:basedOn w:val="Zadanifontodlomka1"/>
  </w:style>
  <w:style w:type="character" w:customStyle="1" w:styleId="Spominjanje1">
    <w:name w:val="Spominjanje1"/>
    <w:basedOn w:val="Zadanifontodlomka1"/>
    <w:rPr>
      <w:color w:val="2B579A"/>
      <w:shd w:val="clear" w:color="auto" w:fill="E6E6E6"/>
    </w:rPr>
  </w:style>
  <w:style w:type="character" w:customStyle="1" w:styleId="eop">
    <w:name w:val="eop"/>
    <w:basedOn w:val="Zadanifontodlomka1"/>
  </w:style>
  <w:style w:type="character" w:customStyle="1" w:styleId="superscript">
    <w:name w:val="superscript"/>
    <w:basedOn w:val="Zadanifontodlomka1"/>
  </w:style>
  <w:style w:type="paragraph" w:styleId="CommentText">
    <w:name w:val="annotation text"/>
    <w:basedOn w:val="Normal"/>
    <w:link w:val="CommentTextChar1"/>
    <w:rPr>
      <w:sz w:val="20"/>
      <w:szCs w:val="20"/>
    </w:rPr>
  </w:style>
  <w:style w:type="character" w:customStyle="1" w:styleId="CommentTextChar">
    <w:name w:val="Comment Text Char"/>
    <w:basedOn w:val="DefaultParagraphFont"/>
  </w:style>
  <w:style w:type="character" w:styleId="CommentReference">
    <w:name w:val="annotation reference"/>
    <w:basedOn w:val="DefaultParagraphFont"/>
    <w:rPr>
      <w:sz w:val="16"/>
      <w:szCs w:val="16"/>
    </w:rPr>
  </w:style>
  <w:style w:type="paragraph" w:styleId="Header">
    <w:name w:val="header"/>
    <w:basedOn w:val="Normal"/>
    <w:uiPriority w:val="99"/>
    <w:pPr>
      <w:tabs>
        <w:tab w:val="center" w:pos="4536"/>
        <w:tab w:val="right" w:pos="9072"/>
      </w:tabs>
    </w:pPr>
  </w:style>
  <w:style w:type="character" w:customStyle="1" w:styleId="HeaderChar">
    <w:name w:val="Header Char"/>
    <w:basedOn w:val="DefaultParagraphFont"/>
    <w:rPr>
      <w:sz w:val="24"/>
      <w:szCs w:val="24"/>
    </w:rPr>
  </w:style>
  <w:style w:type="paragraph" w:styleId="Footer">
    <w:name w:val="footer"/>
    <w:basedOn w:val="Normal"/>
    <w:uiPriority w:val="99"/>
    <w:pPr>
      <w:tabs>
        <w:tab w:val="center" w:pos="4536"/>
        <w:tab w:val="right" w:pos="9072"/>
      </w:tabs>
    </w:pPr>
  </w:style>
  <w:style w:type="character" w:customStyle="1" w:styleId="FooterChar">
    <w:name w:val="Footer Char"/>
    <w:basedOn w:val="DefaultParagraphFont"/>
    <w:rPr>
      <w:sz w:val="24"/>
      <w:szCs w:val="24"/>
    </w:rPr>
  </w:style>
  <w:style w:type="numbering" w:customStyle="1" w:styleId="LFO6">
    <w:name w:val="LFO6"/>
    <w:basedOn w:val="NoList"/>
    <w:pPr>
      <w:numPr>
        <w:numId w:val="1"/>
      </w:numPr>
    </w:pPr>
  </w:style>
  <w:style w:type="numbering" w:customStyle="1" w:styleId="LFO63">
    <w:name w:val="LFO63"/>
    <w:basedOn w:val="NoList"/>
    <w:pPr>
      <w:numPr>
        <w:numId w:val="2"/>
      </w:numPr>
    </w:pPr>
  </w:style>
  <w:style w:type="numbering" w:customStyle="1" w:styleId="LFO1">
    <w:name w:val="LFO1"/>
    <w:basedOn w:val="NoList"/>
    <w:pPr>
      <w:numPr>
        <w:numId w:val="3"/>
      </w:numPr>
    </w:pPr>
  </w:style>
  <w:style w:type="paragraph" w:styleId="TOC1">
    <w:name w:val="toc 1"/>
    <w:basedOn w:val="Normal"/>
    <w:next w:val="Normal"/>
    <w:autoRedefine/>
    <w:uiPriority w:val="39"/>
    <w:unhideWhenUsed/>
    <w:rsid w:val="00E45A39"/>
    <w:pPr>
      <w:tabs>
        <w:tab w:val="right" w:leader="dot" w:pos="9345"/>
      </w:tabs>
      <w:spacing w:after="100"/>
    </w:pPr>
    <w:rPr>
      <w:rFonts w:asciiTheme="minorHAnsi" w:hAnsiTheme="minorHAnsi"/>
      <w:sz w:val="22"/>
    </w:rPr>
  </w:style>
  <w:style w:type="paragraph" w:styleId="TOC3">
    <w:name w:val="toc 3"/>
    <w:basedOn w:val="Normal"/>
    <w:next w:val="Normal"/>
    <w:autoRedefine/>
    <w:uiPriority w:val="39"/>
    <w:unhideWhenUsed/>
    <w:rsid w:val="00E45A39"/>
    <w:pPr>
      <w:spacing w:after="100"/>
      <w:ind w:left="480"/>
    </w:pPr>
    <w:rPr>
      <w:rFonts w:asciiTheme="minorHAnsi" w:hAnsiTheme="minorHAnsi"/>
      <w:sz w:val="20"/>
    </w:rPr>
  </w:style>
  <w:style w:type="paragraph" w:styleId="TOC2">
    <w:name w:val="toc 2"/>
    <w:basedOn w:val="Normal"/>
    <w:next w:val="Normal"/>
    <w:autoRedefine/>
    <w:uiPriority w:val="39"/>
    <w:unhideWhenUsed/>
    <w:rsid w:val="00685EEA"/>
    <w:pPr>
      <w:tabs>
        <w:tab w:val="right" w:leader="dot" w:pos="9345"/>
      </w:tabs>
      <w:spacing w:after="100"/>
      <w:ind w:left="240"/>
    </w:pPr>
    <w:rPr>
      <w:rFonts w:asciiTheme="minorHAnsi" w:hAnsiTheme="minorHAnsi"/>
      <w:sz w:val="18"/>
    </w:rPr>
  </w:style>
  <w:style w:type="character" w:styleId="Hyperlink">
    <w:name w:val="Hyperlink"/>
    <w:basedOn w:val="DefaultParagraphFont"/>
    <w:uiPriority w:val="99"/>
    <w:unhideWhenUsed/>
    <w:rsid w:val="002F0EFD"/>
    <w:rPr>
      <w:color w:val="0563C1" w:themeColor="hyperlink"/>
      <w:u w:val="single"/>
    </w:rPr>
  </w:style>
  <w:style w:type="paragraph" w:styleId="CommentSubject">
    <w:name w:val="annotation subject"/>
    <w:basedOn w:val="CommentText"/>
    <w:next w:val="CommentText"/>
    <w:link w:val="CommentSubjectChar"/>
    <w:semiHidden/>
    <w:unhideWhenUsed/>
    <w:rsid w:val="00763573"/>
    <w:rPr>
      <w:b/>
      <w:bCs/>
    </w:rPr>
  </w:style>
  <w:style w:type="character" w:customStyle="1" w:styleId="CommentTextChar1">
    <w:name w:val="Comment Text Char1"/>
    <w:basedOn w:val="DefaultParagraphFont"/>
    <w:link w:val="CommentText"/>
    <w:rsid w:val="00763573"/>
  </w:style>
  <w:style w:type="character" w:customStyle="1" w:styleId="CommentSubjectChar">
    <w:name w:val="Comment Subject Char"/>
    <w:basedOn w:val="CommentTextChar1"/>
    <w:link w:val="CommentSubject"/>
    <w:uiPriority w:val="99"/>
    <w:semiHidden/>
    <w:rsid w:val="00763573"/>
    <w:rPr>
      <w:b/>
      <w:bCs/>
    </w:rPr>
  </w:style>
  <w:style w:type="paragraph" w:styleId="ListParagraph">
    <w:name w:val="List Paragraph"/>
    <w:aliases w:val="Lettre d'introduction,REPORT Bullet"/>
    <w:basedOn w:val="Normal"/>
    <w:qFormat/>
    <w:rsid w:val="0028677A"/>
    <w:pPr>
      <w:ind w:left="720"/>
      <w:contextualSpacing/>
    </w:pPr>
  </w:style>
  <w:style w:type="character" w:customStyle="1" w:styleId="Heading1Char">
    <w:name w:val="Heading 1 Char"/>
    <w:aliases w:val="h1 Char2"/>
    <w:basedOn w:val="DefaultParagraphFont"/>
    <w:link w:val="Heading1"/>
    <w:uiPriority w:val="9"/>
    <w:rsid w:val="002217E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621D1"/>
    <w:rPr>
      <w:rFonts w:asciiTheme="majorHAnsi" w:eastAsiaTheme="majorEastAsia" w:hAnsiTheme="majorHAnsi" w:cstheme="majorBidi"/>
      <w:color w:val="2F5496" w:themeColor="accent1" w:themeShade="BF"/>
      <w:sz w:val="26"/>
      <w:szCs w:val="26"/>
    </w:rPr>
  </w:style>
  <w:style w:type="paragraph" w:customStyle="1" w:styleId="Naslov12">
    <w:name w:val="Naslov 12"/>
    <w:basedOn w:val="Normal"/>
    <w:next w:val="Normal"/>
    <w:rsid w:val="00B96183"/>
    <w:pPr>
      <w:keepNext/>
      <w:tabs>
        <w:tab w:val="left" w:pos="-720"/>
      </w:tabs>
      <w:jc w:val="both"/>
      <w:outlineLvl w:val="0"/>
    </w:pPr>
    <w:rPr>
      <w:spacing w:val="-3"/>
      <w:sz w:val="22"/>
      <w:szCs w:val="20"/>
      <w:u w:val="single"/>
      <w:lang w:val="en-GB"/>
    </w:rPr>
  </w:style>
  <w:style w:type="paragraph" w:customStyle="1" w:styleId="Naslov22">
    <w:name w:val="Naslov 22"/>
    <w:basedOn w:val="Normal"/>
    <w:next w:val="Normal"/>
    <w:rsid w:val="00B96183"/>
    <w:pPr>
      <w:keepNext/>
      <w:spacing w:line="280" w:lineRule="atLeast"/>
      <w:jc w:val="center"/>
      <w:outlineLvl w:val="1"/>
    </w:pPr>
    <w:rPr>
      <w:rFonts w:ascii="Arial" w:hAnsi="Arial" w:cs="Arial"/>
      <w:b/>
      <w:bCs/>
    </w:rPr>
  </w:style>
  <w:style w:type="paragraph" w:customStyle="1" w:styleId="Naslov32">
    <w:name w:val="Naslov 32"/>
    <w:basedOn w:val="Normal"/>
    <w:next w:val="Normal"/>
    <w:rsid w:val="00B96183"/>
    <w:pPr>
      <w:keepNext/>
      <w:outlineLvl w:val="2"/>
    </w:pPr>
    <w:rPr>
      <w:rFonts w:ascii="Arial" w:hAnsi="Arial" w:cs="Arial"/>
      <w:b/>
      <w:bCs/>
      <w:lang w:val="pl-PL"/>
    </w:rPr>
  </w:style>
  <w:style w:type="paragraph" w:customStyle="1" w:styleId="Naslov42">
    <w:name w:val="Naslov 42"/>
    <w:basedOn w:val="Normal"/>
    <w:next w:val="Normal"/>
    <w:rsid w:val="00B96183"/>
    <w:pPr>
      <w:keepNext/>
      <w:jc w:val="right"/>
      <w:outlineLvl w:val="3"/>
    </w:pPr>
    <w:rPr>
      <w:rFonts w:ascii="Arial" w:hAnsi="Arial" w:cs="Arial"/>
      <w:sz w:val="19"/>
    </w:rPr>
  </w:style>
  <w:style w:type="paragraph" w:customStyle="1" w:styleId="Naslov52">
    <w:name w:val="Naslov 52"/>
    <w:basedOn w:val="Normal"/>
    <w:next w:val="Normal"/>
    <w:rsid w:val="00B96183"/>
    <w:pPr>
      <w:keepNext/>
      <w:keepLines/>
      <w:spacing w:before="40"/>
      <w:outlineLvl w:val="4"/>
    </w:pPr>
    <w:rPr>
      <w:rFonts w:ascii="Calibri" w:eastAsia="SimSun" w:hAnsi="Calibri"/>
      <w:color w:val="3476B1"/>
    </w:rPr>
  </w:style>
  <w:style w:type="paragraph" w:customStyle="1" w:styleId="Naslov62">
    <w:name w:val="Naslov 62"/>
    <w:basedOn w:val="Normal"/>
    <w:next w:val="Normal"/>
    <w:rsid w:val="00B96183"/>
    <w:pPr>
      <w:keepNext/>
      <w:keepLines/>
      <w:spacing w:before="40"/>
      <w:outlineLvl w:val="5"/>
    </w:pPr>
    <w:rPr>
      <w:rFonts w:ascii="Calibri" w:eastAsia="SimSun" w:hAnsi="Calibri"/>
      <w:i/>
      <w:iCs/>
      <w:color w:val="234F77"/>
    </w:rPr>
  </w:style>
  <w:style w:type="paragraph" w:customStyle="1" w:styleId="Naslov72">
    <w:name w:val="Naslov 72"/>
    <w:basedOn w:val="Normal"/>
    <w:next w:val="Normal"/>
    <w:rsid w:val="00B96183"/>
    <w:pPr>
      <w:keepNext/>
      <w:keepLines/>
      <w:spacing w:before="40"/>
      <w:outlineLvl w:val="6"/>
    </w:pPr>
    <w:rPr>
      <w:rFonts w:ascii="Calibri" w:eastAsia="SimSun" w:hAnsi="Calibri"/>
      <w:b/>
      <w:bCs/>
      <w:color w:val="234F77"/>
      <w:sz w:val="22"/>
      <w:szCs w:val="22"/>
    </w:rPr>
  </w:style>
  <w:style w:type="paragraph" w:customStyle="1" w:styleId="Naslov82">
    <w:name w:val="Naslov 82"/>
    <w:basedOn w:val="Normal"/>
    <w:next w:val="Normal"/>
    <w:rsid w:val="00B96183"/>
    <w:pPr>
      <w:keepNext/>
      <w:keepLines/>
      <w:spacing w:before="40"/>
      <w:outlineLvl w:val="7"/>
    </w:pPr>
    <w:rPr>
      <w:rFonts w:ascii="Calibri" w:eastAsia="SimSun" w:hAnsi="Calibri"/>
      <w:color w:val="234F77"/>
      <w:sz w:val="22"/>
      <w:szCs w:val="22"/>
    </w:rPr>
  </w:style>
  <w:style w:type="paragraph" w:customStyle="1" w:styleId="Naslov92">
    <w:name w:val="Naslov 92"/>
    <w:basedOn w:val="Normal"/>
    <w:next w:val="Normal"/>
    <w:rsid w:val="00B96183"/>
    <w:pPr>
      <w:keepNext/>
      <w:keepLines/>
      <w:spacing w:before="40"/>
      <w:outlineLvl w:val="8"/>
    </w:pPr>
    <w:rPr>
      <w:rFonts w:ascii="Calibri" w:eastAsia="SimSun" w:hAnsi="Calibri"/>
      <w:i/>
      <w:iCs/>
      <w:color w:val="234F77"/>
      <w:sz w:val="22"/>
      <w:szCs w:val="22"/>
    </w:rPr>
  </w:style>
  <w:style w:type="character" w:customStyle="1" w:styleId="Zadanifontodlomka2">
    <w:name w:val="Zadani font odlomka2"/>
    <w:rsid w:val="00B96183"/>
  </w:style>
  <w:style w:type="paragraph" w:customStyle="1" w:styleId="Zaglavlje2">
    <w:name w:val="Zaglavlje2"/>
    <w:basedOn w:val="Normal"/>
    <w:rsid w:val="00B96183"/>
    <w:pPr>
      <w:tabs>
        <w:tab w:val="center" w:pos="4153"/>
        <w:tab w:val="right" w:pos="8306"/>
      </w:tabs>
    </w:pPr>
    <w:rPr>
      <w:rFonts w:ascii="TmsRmn 12pt Italic" w:hAnsi="TmsRmn 12pt Italic"/>
      <w:i/>
      <w:szCs w:val="20"/>
    </w:rPr>
  </w:style>
  <w:style w:type="paragraph" w:customStyle="1" w:styleId="Tijeloteksta2">
    <w:name w:val="Tijelo teksta2"/>
    <w:basedOn w:val="Normal"/>
    <w:rsid w:val="00B96183"/>
    <w:pPr>
      <w:tabs>
        <w:tab w:val="left" w:pos="-720"/>
      </w:tabs>
      <w:ind w:right="-612"/>
    </w:pPr>
    <w:rPr>
      <w:szCs w:val="20"/>
      <w:lang w:val="en-GB"/>
    </w:rPr>
  </w:style>
  <w:style w:type="paragraph" w:customStyle="1" w:styleId="Tijeloteksta-uvlaka22">
    <w:name w:val="Tijelo teksta - uvlaka 22"/>
    <w:basedOn w:val="Normal"/>
    <w:rsid w:val="00B96183"/>
    <w:pPr>
      <w:tabs>
        <w:tab w:val="left" w:pos="-720"/>
      </w:tabs>
      <w:ind w:left="709" w:hanging="709"/>
      <w:jc w:val="both"/>
    </w:pPr>
    <w:rPr>
      <w:b/>
      <w:spacing w:val="-3"/>
      <w:szCs w:val="20"/>
      <w:lang w:val="en-GB"/>
    </w:rPr>
  </w:style>
  <w:style w:type="paragraph" w:customStyle="1" w:styleId="Tijeloteksta32">
    <w:name w:val="Tijelo teksta 32"/>
    <w:basedOn w:val="Normal"/>
    <w:rsid w:val="00B96183"/>
    <w:pPr>
      <w:tabs>
        <w:tab w:val="center" w:pos="4513"/>
      </w:tabs>
      <w:jc w:val="both"/>
    </w:pPr>
    <w:rPr>
      <w:spacing w:val="-3"/>
      <w:sz w:val="22"/>
      <w:szCs w:val="20"/>
      <w:lang w:val="en-GB"/>
    </w:rPr>
  </w:style>
  <w:style w:type="paragraph" w:customStyle="1" w:styleId="Tijeloteksta-uvlaka32">
    <w:name w:val="Tijelo teksta - uvlaka 32"/>
    <w:basedOn w:val="Normal"/>
    <w:rsid w:val="00B96183"/>
    <w:pPr>
      <w:tabs>
        <w:tab w:val="left" w:pos="-720"/>
      </w:tabs>
      <w:ind w:firstLine="4416"/>
      <w:jc w:val="both"/>
    </w:pPr>
    <w:rPr>
      <w:spacing w:val="-2"/>
      <w:sz w:val="20"/>
      <w:szCs w:val="20"/>
      <w:lang w:val="en-GB"/>
    </w:rPr>
  </w:style>
  <w:style w:type="paragraph" w:customStyle="1" w:styleId="Tijeloteksta22">
    <w:name w:val="Tijelo teksta 22"/>
    <w:basedOn w:val="Normal"/>
    <w:rsid w:val="00B96183"/>
    <w:pPr>
      <w:ind w:right="708"/>
      <w:jc w:val="both"/>
    </w:pPr>
    <w:rPr>
      <w:szCs w:val="20"/>
      <w:lang w:val="en-GB"/>
    </w:rPr>
  </w:style>
  <w:style w:type="paragraph" w:customStyle="1" w:styleId="Uvuenotijeloteksta2">
    <w:name w:val="Uvučeno tijelo teksta2"/>
    <w:basedOn w:val="Normal"/>
    <w:rsid w:val="00B96183"/>
    <w:pPr>
      <w:tabs>
        <w:tab w:val="left" w:pos="-720"/>
      </w:tabs>
      <w:ind w:left="709"/>
      <w:jc w:val="both"/>
    </w:pPr>
    <w:rPr>
      <w:b/>
      <w:spacing w:val="-3"/>
      <w:szCs w:val="20"/>
      <w:lang w:val="en-GB"/>
    </w:rPr>
  </w:style>
  <w:style w:type="character" w:customStyle="1" w:styleId="Brojstranice2">
    <w:name w:val="Broj stranice2"/>
    <w:basedOn w:val="Zadanifontodlomka2"/>
    <w:rsid w:val="00B96183"/>
  </w:style>
  <w:style w:type="paragraph" w:customStyle="1" w:styleId="Podnoje2">
    <w:name w:val="Podnožje2"/>
    <w:basedOn w:val="Normal"/>
    <w:rsid w:val="00B96183"/>
    <w:pPr>
      <w:tabs>
        <w:tab w:val="center" w:pos="4153"/>
        <w:tab w:val="right" w:pos="8306"/>
      </w:tabs>
    </w:pPr>
    <w:rPr>
      <w:szCs w:val="20"/>
      <w:lang w:val="en-GB"/>
    </w:rPr>
  </w:style>
  <w:style w:type="paragraph" w:customStyle="1" w:styleId="Predmetkomentara2">
    <w:name w:val="Predmet komentara2"/>
    <w:basedOn w:val="Tekstkomentara2"/>
    <w:next w:val="Tekstkomentara2"/>
    <w:rsid w:val="00B96183"/>
    <w:pPr>
      <w:tabs>
        <w:tab w:val="left" w:pos="1134"/>
      </w:tabs>
      <w:spacing w:line="280" w:lineRule="atLeast"/>
    </w:pPr>
    <w:rPr>
      <w:b/>
      <w:bCs/>
    </w:rPr>
  </w:style>
  <w:style w:type="paragraph" w:customStyle="1" w:styleId="Tekstkomentara2">
    <w:name w:val="Tekst komentara2"/>
    <w:basedOn w:val="Normal"/>
    <w:rsid w:val="00B96183"/>
    <w:rPr>
      <w:sz w:val="20"/>
      <w:szCs w:val="20"/>
    </w:rPr>
  </w:style>
  <w:style w:type="character" w:customStyle="1" w:styleId="Referencafusnote2">
    <w:name w:val="Referenca fusnote2"/>
    <w:rsid w:val="00B96183"/>
    <w:rPr>
      <w:position w:val="0"/>
      <w:vertAlign w:val="superscript"/>
    </w:rPr>
  </w:style>
  <w:style w:type="paragraph" w:customStyle="1" w:styleId="Tekstbalonia2">
    <w:name w:val="Tekst balončića2"/>
    <w:basedOn w:val="Normal"/>
    <w:rsid w:val="00B96183"/>
    <w:pPr>
      <w:tabs>
        <w:tab w:val="left" w:pos="1134"/>
      </w:tabs>
      <w:spacing w:line="280" w:lineRule="atLeast"/>
    </w:pPr>
    <w:rPr>
      <w:rFonts w:ascii="Tahoma" w:hAnsi="Tahoma" w:cs="Tahoma"/>
      <w:sz w:val="16"/>
      <w:szCs w:val="16"/>
    </w:rPr>
  </w:style>
  <w:style w:type="paragraph" w:customStyle="1" w:styleId="Obinouvueno2">
    <w:name w:val="Obično uvučeno2"/>
    <w:basedOn w:val="Normal"/>
    <w:rsid w:val="00B96183"/>
    <w:pPr>
      <w:spacing w:line="240" w:lineRule="atLeast"/>
      <w:ind w:left="851"/>
      <w:jc w:val="both"/>
    </w:pPr>
    <w:rPr>
      <w:rFonts w:ascii="Arial" w:hAnsi="Arial"/>
      <w:szCs w:val="20"/>
      <w:lang w:val="de-DE"/>
    </w:rPr>
  </w:style>
  <w:style w:type="character" w:customStyle="1" w:styleId="Referencakomentara2">
    <w:name w:val="Referenca komentara2"/>
    <w:rsid w:val="00B96183"/>
    <w:rPr>
      <w:sz w:val="16"/>
      <w:szCs w:val="16"/>
    </w:rPr>
  </w:style>
  <w:style w:type="paragraph" w:customStyle="1" w:styleId="Opisslike2">
    <w:name w:val="Opis slike2"/>
    <w:basedOn w:val="Normal"/>
    <w:next w:val="Normal"/>
    <w:rsid w:val="00B96183"/>
    <w:pPr>
      <w:spacing w:before="120" w:after="120" w:line="240" w:lineRule="atLeast"/>
      <w:ind w:left="567"/>
    </w:pPr>
    <w:rPr>
      <w:rFonts w:ascii="Arial" w:hAnsi="Arial"/>
      <w:b/>
      <w:sz w:val="20"/>
      <w:szCs w:val="20"/>
      <w:lang w:val="en-GB"/>
    </w:rPr>
  </w:style>
  <w:style w:type="paragraph" w:customStyle="1" w:styleId="StandardWeb2">
    <w:name w:val="Standard (Web)2"/>
    <w:basedOn w:val="Normal"/>
    <w:rsid w:val="00B96183"/>
    <w:pPr>
      <w:spacing w:before="100" w:after="100"/>
    </w:pPr>
    <w:rPr>
      <w:lang w:eastAsia="hr-HR"/>
    </w:rPr>
  </w:style>
  <w:style w:type="character" w:customStyle="1" w:styleId="Naglaeno2">
    <w:name w:val="Naglašeno2"/>
    <w:rsid w:val="00B96183"/>
    <w:rPr>
      <w:b/>
      <w:bCs/>
    </w:rPr>
  </w:style>
  <w:style w:type="paragraph" w:customStyle="1" w:styleId="Revizija2">
    <w:name w:val="Revizija2"/>
    <w:rsid w:val="00B96183"/>
    <w:pPr>
      <w:suppressAutoHyphens/>
    </w:pPr>
    <w:rPr>
      <w:sz w:val="24"/>
      <w:szCs w:val="24"/>
    </w:rPr>
  </w:style>
  <w:style w:type="paragraph" w:customStyle="1" w:styleId="Obinitekst2">
    <w:name w:val="Obični tekst2"/>
    <w:basedOn w:val="Normal"/>
    <w:rsid w:val="00B96183"/>
    <w:rPr>
      <w:rFonts w:ascii="Verdana" w:hAnsi="Verdana"/>
      <w:color w:val="000000"/>
      <w:sz w:val="20"/>
      <w:szCs w:val="21"/>
    </w:rPr>
  </w:style>
  <w:style w:type="paragraph" w:customStyle="1" w:styleId="Odlomakpopisa2">
    <w:name w:val="Odlomak popisa2"/>
    <w:basedOn w:val="Normal"/>
    <w:rsid w:val="00B96183"/>
    <w:pPr>
      <w:ind w:left="720"/>
      <w:contextualSpacing/>
    </w:pPr>
  </w:style>
  <w:style w:type="paragraph" w:customStyle="1" w:styleId="Kartadokumenta2">
    <w:name w:val="Karta dokumenta2"/>
    <w:basedOn w:val="Normal"/>
    <w:rsid w:val="00B96183"/>
    <w:pPr>
      <w:shd w:val="clear" w:color="auto" w:fill="000080"/>
    </w:pPr>
    <w:rPr>
      <w:rFonts w:ascii="Tahoma" w:hAnsi="Tahoma" w:cs="Tahoma"/>
      <w:sz w:val="20"/>
      <w:szCs w:val="20"/>
      <w:lang w:val="hr-HR" w:eastAsia="hr-HR"/>
    </w:rPr>
  </w:style>
  <w:style w:type="paragraph" w:customStyle="1" w:styleId="Bezproreda2">
    <w:name w:val="Bez proreda2"/>
    <w:rsid w:val="00B96183"/>
    <w:pPr>
      <w:suppressAutoHyphens/>
    </w:pPr>
    <w:rPr>
      <w:rFonts w:ascii="Calibri" w:hAnsi="Calibri"/>
      <w:sz w:val="22"/>
      <w:szCs w:val="22"/>
      <w:lang w:val="hr-HR"/>
    </w:rPr>
  </w:style>
  <w:style w:type="paragraph" w:customStyle="1" w:styleId="TOCNaslov2">
    <w:name w:val="TOC Naslov2"/>
    <w:basedOn w:val="Naslov12"/>
    <w:next w:val="Normal"/>
    <w:rsid w:val="00B96183"/>
    <w:pPr>
      <w:keepLines/>
      <w:tabs>
        <w:tab w:val="clear" w:pos="-720"/>
      </w:tabs>
      <w:spacing w:before="480" w:line="276" w:lineRule="auto"/>
      <w:jc w:val="left"/>
    </w:pPr>
    <w:rPr>
      <w:rFonts w:ascii="Cambria" w:hAnsi="Cambria"/>
      <w:b/>
      <w:bCs/>
      <w:color w:val="365F91"/>
      <w:spacing w:val="0"/>
      <w:sz w:val="28"/>
      <w:szCs w:val="28"/>
      <w:u w:val="none"/>
      <w:lang w:val="en-US"/>
    </w:rPr>
  </w:style>
  <w:style w:type="paragraph" w:customStyle="1" w:styleId="Sadraj12">
    <w:name w:val="Sadržaj 12"/>
    <w:basedOn w:val="Normal"/>
    <w:next w:val="Normal"/>
    <w:autoRedefine/>
    <w:rsid w:val="00B96183"/>
    <w:pPr>
      <w:tabs>
        <w:tab w:val="right" w:leader="dot" w:pos="9355"/>
      </w:tabs>
      <w:spacing w:line="276" w:lineRule="auto"/>
    </w:pPr>
    <w:rPr>
      <w:rFonts w:ascii="Calibri" w:hAnsi="Calibri" w:cs="Calibri"/>
      <w:b/>
      <w:sz w:val="22"/>
      <w:szCs w:val="28"/>
      <w:lang w:val="hr-HR" w:eastAsia="hr-HR"/>
    </w:rPr>
  </w:style>
  <w:style w:type="character" w:customStyle="1" w:styleId="Hiperveza2">
    <w:name w:val="Hiperveza2"/>
    <w:rsid w:val="00B96183"/>
    <w:rPr>
      <w:color w:val="0000FF"/>
      <w:u w:val="single"/>
    </w:rPr>
  </w:style>
  <w:style w:type="character" w:customStyle="1" w:styleId="SlijeenaHiperveza2">
    <w:name w:val="SlijeđenaHiperveza2"/>
    <w:rsid w:val="00B96183"/>
    <w:rPr>
      <w:color w:val="800080"/>
      <w:u w:val="single"/>
    </w:rPr>
  </w:style>
  <w:style w:type="paragraph" w:customStyle="1" w:styleId="Sadraj22">
    <w:name w:val="Sadržaj 22"/>
    <w:basedOn w:val="Normal"/>
    <w:next w:val="Normal"/>
    <w:autoRedefine/>
    <w:rsid w:val="00B96183"/>
    <w:pPr>
      <w:tabs>
        <w:tab w:val="right" w:leader="dot" w:pos="9356"/>
      </w:tabs>
      <w:spacing w:after="100"/>
      <w:ind w:left="240"/>
    </w:pPr>
    <w:rPr>
      <w:rFonts w:ascii="Calibri" w:hAnsi="Calibri" w:cs="Calibri"/>
      <w:b/>
      <w:bCs/>
      <w:iCs/>
      <w:sz w:val="20"/>
      <w:lang w:val="hr-HR"/>
    </w:rPr>
  </w:style>
  <w:style w:type="paragraph" w:customStyle="1" w:styleId="Tekstfusnote2">
    <w:name w:val="Tekst fusnote2"/>
    <w:basedOn w:val="Normal"/>
    <w:rsid w:val="00B96183"/>
    <w:rPr>
      <w:sz w:val="20"/>
      <w:szCs w:val="20"/>
      <w:lang w:val="hr-HR" w:eastAsia="hr-HR"/>
    </w:rPr>
  </w:style>
  <w:style w:type="paragraph" w:customStyle="1" w:styleId="Sadraj32">
    <w:name w:val="Sadržaj 32"/>
    <w:basedOn w:val="Normal"/>
    <w:next w:val="Normal"/>
    <w:autoRedefine/>
    <w:rsid w:val="00B96183"/>
    <w:pPr>
      <w:spacing w:after="100"/>
      <w:ind w:left="480"/>
    </w:pPr>
    <w:rPr>
      <w:rFonts w:ascii="Calibri" w:hAnsi="Calibri"/>
      <w:b/>
      <w:sz w:val="20"/>
      <w:lang w:val="hr-HR" w:eastAsia="hr-HR"/>
    </w:rPr>
  </w:style>
  <w:style w:type="character" w:customStyle="1" w:styleId="Istaknuto2">
    <w:name w:val="Istaknuto2"/>
    <w:rsid w:val="00B96183"/>
    <w:rPr>
      <w:i/>
      <w:iCs/>
    </w:rPr>
  </w:style>
  <w:style w:type="paragraph" w:customStyle="1" w:styleId="HTMLunaprijedoblikovano2">
    <w:name w:val="HTML unaprijed oblikovano2"/>
    <w:basedOn w:val="Normal"/>
    <w:rsid w:val="00B96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r-HR" w:eastAsia="hr-HR"/>
    </w:rPr>
  </w:style>
  <w:style w:type="character" w:customStyle="1" w:styleId="Brojretka2">
    <w:name w:val="Broj retka2"/>
    <w:basedOn w:val="Zadanifontodlomka2"/>
    <w:rsid w:val="00B96183"/>
  </w:style>
  <w:style w:type="paragraph" w:customStyle="1" w:styleId="Tekstkrajnjebiljeke2">
    <w:name w:val="Tekst krajnje bilješke2"/>
    <w:basedOn w:val="Normal"/>
    <w:rsid w:val="00B96183"/>
    <w:rPr>
      <w:sz w:val="20"/>
      <w:szCs w:val="20"/>
    </w:rPr>
  </w:style>
  <w:style w:type="character" w:customStyle="1" w:styleId="Referencakrajnjebiljeke2">
    <w:name w:val="Referenca krajnje bilješke2"/>
    <w:basedOn w:val="Zadanifontodlomka2"/>
    <w:rsid w:val="00B96183"/>
    <w:rPr>
      <w:position w:val="0"/>
      <w:vertAlign w:val="superscript"/>
    </w:rPr>
  </w:style>
  <w:style w:type="character" w:customStyle="1" w:styleId="Nerijeenospominjanje3">
    <w:name w:val="Neriješeno spominjanje3"/>
    <w:basedOn w:val="Zadanifontodlomka2"/>
    <w:rsid w:val="00B96183"/>
    <w:rPr>
      <w:color w:val="605E5C"/>
      <w:shd w:val="clear" w:color="auto" w:fill="E1DFDD"/>
    </w:rPr>
  </w:style>
  <w:style w:type="paragraph" w:customStyle="1" w:styleId="Popis2">
    <w:name w:val="Popis2"/>
    <w:basedOn w:val="Normal"/>
    <w:rsid w:val="00B96183"/>
    <w:pPr>
      <w:ind w:left="283" w:hanging="283"/>
      <w:textAlignment w:val="baseline"/>
    </w:pPr>
    <w:rPr>
      <w:sz w:val="22"/>
      <w:szCs w:val="20"/>
      <w:lang w:val="en-GB"/>
    </w:rPr>
  </w:style>
  <w:style w:type="character" w:customStyle="1" w:styleId="Istaknutareferenca2">
    <w:name w:val="Istaknuta referenca2"/>
    <w:basedOn w:val="Zadanifontodlomka2"/>
    <w:rsid w:val="00B96183"/>
    <w:rPr>
      <w:b/>
      <w:bCs/>
      <w:caps w:val="0"/>
      <w:smallCaps/>
      <w:color w:val="auto"/>
      <w:spacing w:val="0"/>
      <w:u w:val="single"/>
    </w:rPr>
  </w:style>
  <w:style w:type="character" w:customStyle="1" w:styleId="Naslovknjige2">
    <w:name w:val="Naslov knjige2"/>
    <w:basedOn w:val="Zadanifontodlomka2"/>
    <w:rsid w:val="00B96183"/>
    <w:rPr>
      <w:b/>
      <w:bCs/>
      <w:caps w:val="0"/>
      <w:smallCaps/>
      <w:spacing w:val="0"/>
    </w:rPr>
  </w:style>
  <w:style w:type="paragraph" w:customStyle="1" w:styleId="Naslov2">
    <w:name w:val="Naslov2"/>
    <w:basedOn w:val="Normal"/>
    <w:next w:val="Normal"/>
    <w:rsid w:val="00B96183"/>
    <w:pPr>
      <w:contextualSpacing/>
    </w:pPr>
    <w:rPr>
      <w:rFonts w:ascii="Calibri" w:eastAsia="SimSun" w:hAnsi="Calibri"/>
      <w:color w:val="262626"/>
      <w:sz w:val="96"/>
      <w:szCs w:val="96"/>
    </w:rPr>
  </w:style>
  <w:style w:type="paragraph" w:customStyle="1" w:styleId="Podnaslov2">
    <w:name w:val="Podnaslov2"/>
    <w:basedOn w:val="Normal"/>
    <w:next w:val="Normal"/>
    <w:rsid w:val="00B96183"/>
    <w:pPr>
      <w:spacing w:after="160"/>
    </w:pPr>
    <w:rPr>
      <w:caps/>
      <w:color w:val="404040"/>
      <w:spacing w:val="20"/>
      <w:sz w:val="28"/>
      <w:szCs w:val="28"/>
    </w:rPr>
  </w:style>
  <w:style w:type="paragraph" w:customStyle="1" w:styleId="Citat2">
    <w:name w:val="Citat2"/>
    <w:basedOn w:val="Normal"/>
    <w:next w:val="Normal"/>
    <w:rsid w:val="00B96183"/>
    <w:pPr>
      <w:spacing w:before="200" w:after="160"/>
      <w:ind w:left="864" w:right="864"/>
      <w:jc w:val="center"/>
    </w:pPr>
    <w:rPr>
      <w:rFonts w:ascii="Calibri" w:eastAsia="SimSun" w:hAnsi="Calibri"/>
      <w:color w:val="000000"/>
    </w:rPr>
  </w:style>
  <w:style w:type="paragraph" w:customStyle="1" w:styleId="Naglaencitat2">
    <w:name w:val="Naglašen citat2"/>
    <w:basedOn w:val="Normal"/>
    <w:next w:val="Normal"/>
    <w:rsid w:val="00B96183"/>
    <w:pPr>
      <w:pBdr>
        <w:top w:val="single" w:sz="4" w:space="10" w:color="4F81BD"/>
        <w:bottom w:val="single" w:sz="4" w:space="10" w:color="4F81BD"/>
      </w:pBdr>
      <w:spacing w:before="360" w:after="360"/>
      <w:ind w:left="864" w:right="864"/>
      <w:jc w:val="center"/>
    </w:pPr>
    <w:rPr>
      <w:rFonts w:ascii="Calibri" w:eastAsia="SimSun" w:hAnsi="Calibri"/>
    </w:rPr>
  </w:style>
  <w:style w:type="character" w:customStyle="1" w:styleId="Neupadljivoisticanje2">
    <w:name w:val="Neupadljivo isticanje2"/>
    <w:basedOn w:val="Zadanifontodlomka2"/>
    <w:rsid w:val="00B96183"/>
    <w:rPr>
      <w:i/>
      <w:iCs/>
      <w:color w:val="404040"/>
    </w:rPr>
  </w:style>
  <w:style w:type="character" w:customStyle="1" w:styleId="Jakoisticanje2">
    <w:name w:val="Jako isticanje2"/>
    <w:basedOn w:val="Zadanifontodlomka2"/>
    <w:rsid w:val="00B96183"/>
    <w:rPr>
      <w:i/>
      <w:iCs/>
      <w:color w:val="4F81BD"/>
    </w:rPr>
  </w:style>
  <w:style w:type="character" w:customStyle="1" w:styleId="Neupadljivareferenca2">
    <w:name w:val="Neupadljiva referenca2"/>
    <w:basedOn w:val="Zadanifontodlomka2"/>
    <w:rsid w:val="00B96183"/>
    <w:rPr>
      <w:smallCaps/>
      <w:color w:val="5A5A5A"/>
    </w:rPr>
  </w:style>
  <w:style w:type="paragraph" w:customStyle="1" w:styleId="Sadraj42">
    <w:name w:val="Sadržaj 42"/>
    <w:basedOn w:val="Normal"/>
    <w:next w:val="Normal"/>
    <w:autoRedefine/>
    <w:rsid w:val="00B96183"/>
    <w:pPr>
      <w:spacing w:after="100" w:line="254" w:lineRule="auto"/>
      <w:ind w:left="660"/>
    </w:pPr>
    <w:rPr>
      <w:rFonts w:ascii="Calibri" w:eastAsia="SimSun" w:hAnsi="Calibri" w:cs="Arial"/>
      <w:sz w:val="20"/>
      <w:szCs w:val="22"/>
      <w:lang w:val="hr-HR" w:eastAsia="hr-HR"/>
    </w:rPr>
  </w:style>
  <w:style w:type="paragraph" w:customStyle="1" w:styleId="Sadraj52">
    <w:name w:val="Sadržaj 52"/>
    <w:basedOn w:val="Normal"/>
    <w:next w:val="Normal"/>
    <w:autoRedefine/>
    <w:rsid w:val="00B96183"/>
    <w:pPr>
      <w:spacing w:after="100" w:line="254" w:lineRule="auto"/>
      <w:ind w:left="880"/>
    </w:pPr>
    <w:rPr>
      <w:rFonts w:ascii="Calibri" w:eastAsia="SimSun" w:hAnsi="Calibri" w:cs="Arial"/>
      <w:sz w:val="22"/>
      <w:szCs w:val="22"/>
      <w:lang w:val="hr-HR" w:eastAsia="hr-HR"/>
    </w:rPr>
  </w:style>
  <w:style w:type="paragraph" w:customStyle="1" w:styleId="Sadraj62">
    <w:name w:val="Sadržaj 62"/>
    <w:basedOn w:val="Normal"/>
    <w:next w:val="Normal"/>
    <w:autoRedefine/>
    <w:rsid w:val="00B96183"/>
    <w:pPr>
      <w:spacing w:after="100" w:line="254" w:lineRule="auto"/>
      <w:ind w:left="1100"/>
    </w:pPr>
    <w:rPr>
      <w:rFonts w:ascii="Calibri" w:eastAsia="SimSun" w:hAnsi="Calibri" w:cs="Arial"/>
      <w:sz w:val="22"/>
      <w:szCs w:val="22"/>
      <w:lang w:val="hr-HR" w:eastAsia="hr-HR"/>
    </w:rPr>
  </w:style>
  <w:style w:type="paragraph" w:customStyle="1" w:styleId="Sadraj72">
    <w:name w:val="Sadržaj 72"/>
    <w:basedOn w:val="Normal"/>
    <w:next w:val="Normal"/>
    <w:autoRedefine/>
    <w:rsid w:val="00B96183"/>
    <w:pPr>
      <w:spacing w:after="100" w:line="254" w:lineRule="auto"/>
      <w:ind w:left="1320"/>
    </w:pPr>
    <w:rPr>
      <w:rFonts w:ascii="Calibri" w:eastAsia="SimSun" w:hAnsi="Calibri" w:cs="Arial"/>
      <w:sz w:val="22"/>
      <w:szCs w:val="22"/>
      <w:lang w:val="hr-HR" w:eastAsia="hr-HR"/>
    </w:rPr>
  </w:style>
  <w:style w:type="paragraph" w:customStyle="1" w:styleId="Sadraj82">
    <w:name w:val="Sadržaj 82"/>
    <w:basedOn w:val="Normal"/>
    <w:next w:val="Normal"/>
    <w:autoRedefine/>
    <w:rsid w:val="00B96183"/>
    <w:pPr>
      <w:spacing w:after="100" w:line="254" w:lineRule="auto"/>
      <w:ind w:left="1540"/>
    </w:pPr>
    <w:rPr>
      <w:rFonts w:ascii="Calibri" w:eastAsia="SimSun" w:hAnsi="Calibri" w:cs="Arial"/>
      <w:sz w:val="22"/>
      <w:szCs w:val="22"/>
      <w:lang w:val="hr-HR" w:eastAsia="hr-HR"/>
    </w:rPr>
  </w:style>
  <w:style w:type="paragraph" w:customStyle="1" w:styleId="Sadraj92">
    <w:name w:val="Sadržaj 92"/>
    <w:basedOn w:val="Normal"/>
    <w:next w:val="Normal"/>
    <w:autoRedefine/>
    <w:rsid w:val="00B96183"/>
    <w:pPr>
      <w:spacing w:after="100" w:line="254" w:lineRule="auto"/>
      <w:ind w:left="1760"/>
    </w:pPr>
    <w:rPr>
      <w:rFonts w:ascii="Calibri" w:eastAsia="SimSun" w:hAnsi="Calibri" w:cs="Arial"/>
      <w:sz w:val="22"/>
      <w:szCs w:val="22"/>
      <w:lang w:val="hr-HR" w:eastAsia="hr-HR"/>
    </w:rPr>
  </w:style>
  <w:style w:type="character" w:customStyle="1" w:styleId="Spominjanje2">
    <w:name w:val="Spominjanje2"/>
    <w:basedOn w:val="Zadanifontodlomka2"/>
    <w:rsid w:val="00B96183"/>
    <w:rPr>
      <w:color w:val="2B579A"/>
      <w:shd w:val="clear" w:color="auto" w:fill="E6E6E6"/>
    </w:rPr>
  </w:style>
  <w:style w:type="table" w:customStyle="1" w:styleId="ListTable33">
    <w:name w:val="List Table 33"/>
    <w:basedOn w:val="TableNormal"/>
    <w:next w:val="ListTable3"/>
    <w:uiPriority w:val="48"/>
    <w:rsid w:val="00293595"/>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29359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31">
    <w:name w:val="List Table 331"/>
    <w:basedOn w:val="TableNormal"/>
    <w:next w:val="ListTable3"/>
    <w:uiPriority w:val="48"/>
    <w:rsid w:val="007A6404"/>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TableGrid">
    <w:name w:val="Table Grid"/>
    <w:basedOn w:val="TableNormal"/>
    <w:uiPriority w:val="39"/>
    <w:rsid w:val="00EC3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Char1">
    <w:name w:val="Naslov 4 Char1"/>
    <w:basedOn w:val="DefaultParagraphFont"/>
    <w:uiPriority w:val="9"/>
    <w:semiHidden/>
    <w:rsid w:val="00587444"/>
    <w:rPr>
      <w:rFonts w:asciiTheme="majorHAnsi" w:eastAsiaTheme="majorEastAsia" w:hAnsiTheme="majorHAnsi" w:cstheme="majorBidi"/>
      <w:i/>
      <w:iCs/>
      <w:color w:val="2F5496" w:themeColor="accent1" w:themeShade="BF"/>
      <w:sz w:val="24"/>
      <w:szCs w:val="24"/>
    </w:rPr>
  </w:style>
  <w:style w:type="character" w:customStyle="1" w:styleId="Naslov5Char1">
    <w:name w:val="Naslov 5 Char1"/>
    <w:basedOn w:val="DefaultParagraphFont"/>
    <w:uiPriority w:val="9"/>
    <w:semiHidden/>
    <w:rsid w:val="00587444"/>
    <w:rPr>
      <w:rFonts w:asciiTheme="majorHAnsi" w:eastAsiaTheme="majorEastAsia" w:hAnsiTheme="majorHAnsi" w:cstheme="majorBidi"/>
      <w:color w:val="2F5496" w:themeColor="accent1" w:themeShade="BF"/>
      <w:sz w:val="24"/>
      <w:szCs w:val="24"/>
    </w:rPr>
  </w:style>
  <w:style w:type="character" w:customStyle="1" w:styleId="Naslov6Char1">
    <w:name w:val="Naslov 6 Char1"/>
    <w:basedOn w:val="DefaultParagraphFont"/>
    <w:uiPriority w:val="9"/>
    <w:semiHidden/>
    <w:rsid w:val="00587444"/>
    <w:rPr>
      <w:rFonts w:asciiTheme="majorHAnsi" w:eastAsiaTheme="majorEastAsia" w:hAnsiTheme="majorHAnsi" w:cstheme="majorBidi"/>
      <w:color w:val="1F3763" w:themeColor="accent1" w:themeShade="7F"/>
      <w:sz w:val="24"/>
      <w:szCs w:val="24"/>
    </w:rPr>
  </w:style>
  <w:style w:type="character" w:customStyle="1" w:styleId="Naslov7Char1">
    <w:name w:val="Naslov 7 Char1"/>
    <w:basedOn w:val="DefaultParagraphFont"/>
    <w:uiPriority w:val="9"/>
    <w:semiHidden/>
    <w:rsid w:val="00587444"/>
    <w:rPr>
      <w:rFonts w:asciiTheme="majorHAnsi" w:eastAsiaTheme="majorEastAsia" w:hAnsiTheme="majorHAnsi" w:cstheme="majorBidi"/>
      <w:i/>
      <w:iCs/>
      <w:color w:val="1F3763" w:themeColor="accent1" w:themeShade="7F"/>
      <w:sz w:val="24"/>
      <w:szCs w:val="24"/>
    </w:rPr>
  </w:style>
  <w:style w:type="character" w:customStyle="1" w:styleId="Naslov8Char1">
    <w:name w:val="Naslov 8 Char1"/>
    <w:basedOn w:val="DefaultParagraphFont"/>
    <w:uiPriority w:val="9"/>
    <w:semiHidden/>
    <w:rsid w:val="00587444"/>
    <w:rPr>
      <w:rFonts w:asciiTheme="majorHAnsi" w:eastAsiaTheme="majorEastAsia" w:hAnsiTheme="majorHAnsi" w:cstheme="majorBidi"/>
      <w:color w:val="272727" w:themeColor="text1" w:themeTint="D8"/>
      <w:sz w:val="21"/>
      <w:szCs w:val="21"/>
    </w:rPr>
  </w:style>
  <w:style w:type="character" w:customStyle="1" w:styleId="Naslov9Char1">
    <w:name w:val="Naslov 9 Char1"/>
    <w:basedOn w:val="DefaultParagraphFont"/>
    <w:uiPriority w:val="9"/>
    <w:semiHidden/>
    <w:rsid w:val="00587444"/>
    <w:rPr>
      <w:rFonts w:asciiTheme="majorHAnsi" w:eastAsiaTheme="majorEastAsia" w:hAnsiTheme="majorHAnsi" w:cstheme="majorBidi"/>
      <w:i/>
      <w:iCs/>
      <w:color w:val="272727" w:themeColor="text1" w:themeTint="D8"/>
      <w:sz w:val="21"/>
      <w:szCs w:val="21"/>
    </w:rPr>
  </w:style>
  <w:style w:type="numbering" w:customStyle="1" w:styleId="Bezpopisa1">
    <w:name w:val="Bez popisa1"/>
    <w:next w:val="NoList"/>
    <w:uiPriority w:val="99"/>
    <w:semiHidden/>
    <w:unhideWhenUsed/>
    <w:rsid w:val="00587444"/>
  </w:style>
  <w:style w:type="paragraph" w:styleId="BodyText">
    <w:name w:val="Body Text"/>
    <w:aliases w:val="Body Text1,b,heading3,Body Text - Level 2,Body Text x,Szövegtörzs1,body text,contents,body,b-heading 1/heading 2,bd,heading1body-heading2body,bt"/>
    <w:basedOn w:val="Normal"/>
    <w:link w:val="BodyTextChar"/>
    <w:rsid w:val="00587444"/>
    <w:pPr>
      <w:tabs>
        <w:tab w:val="left" w:pos="-720"/>
      </w:tabs>
      <w:autoSpaceDN/>
      <w:ind w:right="-612"/>
    </w:pPr>
    <w:rPr>
      <w:szCs w:val="20"/>
      <w:lang w:val="en-GB"/>
    </w:rPr>
  </w:style>
  <w:style w:type="character" w:customStyle="1" w:styleId="TijelotekstaChar1">
    <w:name w:val="Tijelo teksta Char1"/>
    <w:basedOn w:val="DefaultParagraphFont"/>
    <w:uiPriority w:val="99"/>
    <w:semiHidden/>
    <w:rsid w:val="00587444"/>
    <w:rPr>
      <w:sz w:val="24"/>
      <w:szCs w:val="24"/>
    </w:rPr>
  </w:style>
  <w:style w:type="paragraph" w:styleId="BodyTextIndent2">
    <w:name w:val="Body Text Indent 2"/>
    <w:basedOn w:val="Normal"/>
    <w:link w:val="BodyTextIndent2Char"/>
    <w:rsid w:val="00587444"/>
    <w:pPr>
      <w:tabs>
        <w:tab w:val="left" w:pos="-720"/>
      </w:tabs>
      <w:autoSpaceDN/>
      <w:ind w:left="709" w:hanging="709"/>
      <w:jc w:val="both"/>
    </w:pPr>
    <w:rPr>
      <w:b/>
      <w:spacing w:val="-3"/>
      <w:szCs w:val="20"/>
      <w:lang w:val="en-GB"/>
    </w:rPr>
  </w:style>
  <w:style w:type="character" w:customStyle="1" w:styleId="BodyTextIndent2Char">
    <w:name w:val="Body Text Indent 2 Char"/>
    <w:basedOn w:val="DefaultParagraphFont"/>
    <w:link w:val="BodyTextIndent2"/>
    <w:rsid w:val="00587444"/>
    <w:rPr>
      <w:b/>
      <w:spacing w:val="-3"/>
      <w:sz w:val="24"/>
      <w:lang w:val="en-GB"/>
    </w:rPr>
  </w:style>
  <w:style w:type="paragraph" w:styleId="BodyText3">
    <w:name w:val="Body Text 3"/>
    <w:basedOn w:val="Normal"/>
    <w:link w:val="BodyText3Char"/>
    <w:uiPriority w:val="99"/>
    <w:rsid w:val="00587444"/>
    <w:pPr>
      <w:tabs>
        <w:tab w:val="center" w:pos="4513"/>
      </w:tabs>
      <w:autoSpaceDN/>
      <w:jc w:val="both"/>
    </w:pPr>
    <w:rPr>
      <w:spacing w:val="-3"/>
      <w:sz w:val="22"/>
      <w:szCs w:val="20"/>
      <w:lang w:val="en-GB"/>
    </w:rPr>
  </w:style>
  <w:style w:type="character" w:customStyle="1" w:styleId="Tijeloteksta3Char1">
    <w:name w:val="Tijelo teksta 3 Char1"/>
    <w:basedOn w:val="DefaultParagraphFont"/>
    <w:uiPriority w:val="99"/>
    <w:semiHidden/>
    <w:rsid w:val="00587444"/>
    <w:rPr>
      <w:sz w:val="16"/>
      <w:szCs w:val="16"/>
    </w:rPr>
  </w:style>
  <w:style w:type="paragraph" w:styleId="BodyTextIndent3">
    <w:name w:val="Body Text Indent 3"/>
    <w:basedOn w:val="Normal"/>
    <w:link w:val="BodyTextIndent3Char"/>
    <w:rsid w:val="00587444"/>
    <w:pPr>
      <w:tabs>
        <w:tab w:val="left" w:pos="-720"/>
      </w:tabs>
      <w:autoSpaceDN/>
      <w:ind w:firstLine="4416"/>
      <w:jc w:val="both"/>
    </w:pPr>
    <w:rPr>
      <w:spacing w:val="-2"/>
      <w:sz w:val="20"/>
      <w:szCs w:val="20"/>
      <w:lang w:val="en-GB"/>
    </w:rPr>
  </w:style>
  <w:style w:type="character" w:customStyle="1" w:styleId="BodyTextIndent3Char">
    <w:name w:val="Body Text Indent 3 Char"/>
    <w:basedOn w:val="DefaultParagraphFont"/>
    <w:link w:val="BodyTextIndent3"/>
    <w:rsid w:val="00587444"/>
    <w:rPr>
      <w:spacing w:val="-2"/>
      <w:lang w:val="en-GB"/>
    </w:rPr>
  </w:style>
  <w:style w:type="paragraph" w:styleId="BodyText2">
    <w:name w:val="Body Text 2"/>
    <w:basedOn w:val="Normal"/>
    <w:link w:val="BodyText2Char"/>
    <w:rsid w:val="00587444"/>
    <w:pPr>
      <w:suppressAutoHyphens w:val="0"/>
      <w:autoSpaceDN/>
      <w:ind w:right="708"/>
      <w:jc w:val="both"/>
    </w:pPr>
    <w:rPr>
      <w:szCs w:val="20"/>
      <w:lang w:val="en-GB"/>
    </w:rPr>
  </w:style>
  <w:style w:type="character" w:customStyle="1" w:styleId="BodyText2Char">
    <w:name w:val="Body Text 2 Char"/>
    <w:basedOn w:val="DefaultParagraphFont"/>
    <w:link w:val="BodyText2"/>
    <w:rsid w:val="00587444"/>
    <w:rPr>
      <w:sz w:val="24"/>
      <w:lang w:val="en-GB"/>
    </w:rPr>
  </w:style>
  <w:style w:type="paragraph" w:styleId="BodyTextIndent">
    <w:name w:val="Body Text Indent"/>
    <w:basedOn w:val="Normal"/>
    <w:link w:val="BodyTextIndentChar"/>
    <w:rsid w:val="00587444"/>
    <w:pPr>
      <w:tabs>
        <w:tab w:val="left" w:pos="-720"/>
      </w:tabs>
      <w:autoSpaceDN/>
      <w:ind w:left="709"/>
      <w:jc w:val="both"/>
    </w:pPr>
    <w:rPr>
      <w:b/>
      <w:spacing w:val="-3"/>
      <w:szCs w:val="20"/>
      <w:lang w:val="en-GB"/>
    </w:rPr>
  </w:style>
  <w:style w:type="character" w:customStyle="1" w:styleId="BodyTextIndentChar">
    <w:name w:val="Body Text Indent Char"/>
    <w:basedOn w:val="DefaultParagraphFont"/>
    <w:link w:val="BodyTextIndent"/>
    <w:rsid w:val="00587444"/>
    <w:rPr>
      <w:b/>
      <w:spacing w:val="-3"/>
      <w:sz w:val="24"/>
      <w:lang w:val="en-GB"/>
    </w:rPr>
  </w:style>
  <w:style w:type="character" w:styleId="PageNumber">
    <w:name w:val="page number"/>
    <w:basedOn w:val="DefaultParagraphFont"/>
    <w:rsid w:val="00587444"/>
  </w:style>
  <w:style w:type="character" w:styleId="FootnoteReference">
    <w:name w:val="footnote reference"/>
    <w:uiPriority w:val="99"/>
    <w:rsid w:val="00587444"/>
    <w:rPr>
      <w:vertAlign w:val="superscript"/>
    </w:rPr>
  </w:style>
  <w:style w:type="paragraph" w:styleId="BalloonText">
    <w:name w:val="Balloon Text"/>
    <w:basedOn w:val="Normal"/>
    <w:link w:val="BalloonTextChar"/>
    <w:uiPriority w:val="99"/>
    <w:semiHidden/>
    <w:rsid w:val="00587444"/>
    <w:pPr>
      <w:tabs>
        <w:tab w:val="left" w:pos="1134"/>
      </w:tabs>
      <w:suppressAutoHyphens w:val="0"/>
      <w:autoSpaceDN/>
      <w:spacing w:line="280" w:lineRule="atLeast"/>
    </w:pPr>
    <w:rPr>
      <w:rFonts w:ascii="Tahoma" w:hAnsi="Tahoma" w:cs="Tahoma"/>
      <w:sz w:val="16"/>
      <w:szCs w:val="16"/>
    </w:rPr>
  </w:style>
  <w:style w:type="character" w:customStyle="1" w:styleId="TekstbaloniaChar1">
    <w:name w:val="Tekst balončića Char1"/>
    <w:basedOn w:val="DefaultParagraphFont"/>
    <w:uiPriority w:val="99"/>
    <w:semiHidden/>
    <w:rsid w:val="00587444"/>
    <w:rPr>
      <w:rFonts w:ascii="Segoe UI" w:hAnsi="Segoe UI" w:cs="Segoe UI"/>
      <w:sz w:val="18"/>
      <w:szCs w:val="18"/>
    </w:rPr>
  </w:style>
  <w:style w:type="paragraph" w:styleId="NormalIndent">
    <w:name w:val="Normal Indent"/>
    <w:basedOn w:val="Normal"/>
    <w:rsid w:val="00587444"/>
    <w:pPr>
      <w:suppressAutoHyphens w:val="0"/>
      <w:autoSpaceDN/>
      <w:spacing w:line="240" w:lineRule="atLeast"/>
      <w:ind w:left="851"/>
      <w:jc w:val="both"/>
    </w:pPr>
    <w:rPr>
      <w:rFonts w:ascii="Arial" w:hAnsi="Arial"/>
      <w:szCs w:val="20"/>
      <w:lang w:val="de-DE"/>
    </w:rPr>
  </w:style>
  <w:style w:type="paragraph" w:styleId="Caption">
    <w:name w:val="caption"/>
    <w:basedOn w:val="Normal"/>
    <w:next w:val="Normal"/>
    <w:uiPriority w:val="35"/>
    <w:qFormat/>
    <w:rsid w:val="00587444"/>
    <w:pPr>
      <w:suppressAutoHyphens w:val="0"/>
      <w:autoSpaceDN/>
      <w:spacing w:before="120" w:after="120" w:line="240" w:lineRule="atLeast"/>
      <w:ind w:left="567"/>
    </w:pPr>
    <w:rPr>
      <w:rFonts w:ascii="Arial" w:hAnsi="Arial"/>
      <w:b/>
      <w:sz w:val="20"/>
      <w:szCs w:val="20"/>
      <w:lang w:val="en-GB"/>
    </w:rPr>
  </w:style>
  <w:style w:type="paragraph" w:styleId="NormalWeb">
    <w:name w:val="Normal (Web)"/>
    <w:basedOn w:val="Normal"/>
    <w:link w:val="NormalWebChar"/>
    <w:rsid w:val="00587444"/>
    <w:pPr>
      <w:suppressAutoHyphens w:val="0"/>
      <w:autoSpaceDN/>
      <w:spacing w:before="100" w:beforeAutospacing="1" w:after="100" w:afterAutospacing="1"/>
    </w:pPr>
    <w:rPr>
      <w:lang w:eastAsia="hr-HR"/>
    </w:rPr>
  </w:style>
  <w:style w:type="character" w:styleId="Strong">
    <w:name w:val="Strong"/>
    <w:uiPriority w:val="22"/>
    <w:qFormat/>
    <w:rsid w:val="00587444"/>
    <w:rPr>
      <w:b/>
      <w:bCs/>
    </w:rPr>
  </w:style>
  <w:style w:type="table" w:customStyle="1" w:styleId="Reetkatablice1">
    <w:name w:val="Rešetka tablice1"/>
    <w:basedOn w:val="TableNormal"/>
    <w:next w:val="TableGrid"/>
    <w:rsid w:val="00587444"/>
    <w:pPr>
      <w:autoSpaceDN/>
    </w:pPr>
    <w:rPr>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587444"/>
    <w:pPr>
      <w:suppressAutoHyphens w:val="0"/>
      <w:autoSpaceDN/>
    </w:pPr>
    <w:rPr>
      <w:rFonts w:ascii="Verdana" w:hAnsi="Verdana"/>
      <w:color w:val="000000"/>
      <w:sz w:val="20"/>
      <w:szCs w:val="21"/>
    </w:rPr>
  </w:style>
  <w:style w:type="character" w:customStyle="1" w:styleId="ObinitekstChar1">
    <w:name w:val="Obični tekst Char1"/>
    <w:basedOn w:val="DefaultParagraphFont"/>
    <w:uiPriority w:val="99"/>
    <w:semiHidden/>
    <w:rsid w:val="00587444"/>
    <w:rPr>
      <w:rFonts w:ascii="Consolas" w:hAnsi="Consolas"/>
      <w:sz w:val="21"/>
      <w:szCs w:val="21"/>
    </w:rPr>
  </w:style>
  <w:style w:type="character" w:customStyle="1" w:styleId="hps">
    <w:name w:val="hps"/>
    <w:rsid w:val="00587444"/>
  </w:style>
  <w:style w:type="paragraph" w:customStyle="1" w:styleId="indent">
    <w:name w:val="indent"/>
    <w:basedOn w:val="Normal"/>
    <w:rsid w:val="00587444"/>
    <w:pPr>
      <w:suppressAutoHyphens w:val="0"/>
      <w:autoSpaceDE w:val="0"/>
      <w:spacing w:after="120"/>
      <w:ind w:left="540"/>
    </w:pPr>
    <w:rPr>
      <w:rFonts w:ascii="Arial" w:eastAsia="Calibri" w:hAnsi="Arial" w:cs="Arial"/>
    </w:rPr>
  </w:style>
  <w:style w:type="character" w:customStyle="1" w:styleId="shorttext">
    <w:name w:val="short_text"/>
    <w:basedOn w:val="DefaultParagraphFont"/>
    <w:rsid w:val="00587444"/>
  </w:style>
  <w:style w:type="table" w:customStyle="1" w:styleId="TableGrid2">
    <w:name w:val="Table Grid2"/>
    <w:basedOn w:val="TableNormal"/>
    <w:next w:val="TableGrid"/>
    <w:uiPriority w:val="59"/>
    <w:rsid w:val="00587444"/>
    <w:pPr>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587444"/>
    <w:pPr>
      <w:shd w:val="clear" w:color="auto" w:fill="000080"/>
      <w:suppressAutoHyphens w:val="0"/>
      <w:autoSpaceDN/>
    </w:pPr>
    <w:rPr>
      <w:rFonts w:ascii="Tahoma" w:hAnsi="Tahoma" w:cs="Tahoma"/>
      <w:sz w:val="20"/>
      <w:szCs w:val="20"/>
      <w:lang w:val="hr-HR" w:eastAsia="hr-HR"/>
    </w:rPr>
  </w:style>
  <w:style w:type="character" w:customStyle="1" w:styleId="KartadokumentaChar1">
    <w:name w:val="Karta dokumenta Char1"/>
    <w:basedOn w:val="DefaultParagraphFont"/>
    <w:uiPriority w:val="99"/>
    <w:semiHidden/>
    <w:rsid w:val="00587444"/>
    <w:rPr>
      <w:rFonts w:ascii="Segoe UI" w:hAnsi="Segoe UI" w:cs="Segoe UI"/>
      <w:sz w:val="16"/>
      <w:szCs w:val="16"/>
    </w:rPr>
  </w:style>
  <w:style w:type="paragraph" w:styleId="NoSpacing">
    <w:name w:val="No Spacing"/>
    <w:link w:val="NoSpacingChar"/>
    <w:uiPriority w:val="1"/>
    <w:qFormat/>
    <w:rsid w:val="00587444"/>
    <w:pPr>
      <w:autoSpaceDN/>
    </w:pPr>
    <w:rPr>
      <w:rFonts w:ascii="Calibri" w:hAnsi="Calibri"/>
      <w:sz w:val="22"/>
      <w:szCs w:val="22"/>
      <w:lang w:val="hr-HR"/>
    </w:rPr>
  </w:style>
  <w:style w:type="paragraph" w:styleId="TOCHeading">
    <w:name w:val="TOC Heading"/>
    <w:basedOn w:val="Heading1"/>
    <w:next w:val="Normal"/>
    <w:uiPriority w:val="39"/>
    <w:qFormat/>
    <w:rsid w:val="00587444"/>
    <w:pPr>
      <w:suppressAutoHyphens w:val="0"/>
      <w:autoSpaceDN/>
      <w:spacing w:before="480" w:line="276" w:lineRule="auto"/>
      <w:outlineLvl w:val="9"/>
    </w:pPr>
    <w:rPr>
      <w:rFonts w:ascii="Cambria" w:eastAsia="Times New Roman" w:hAnsi="Cambria" w:cs="Times New Roman"/>
      <w:b/>
      <w:bCs/>
      <w:color w:val="365F91"/>
      <w:sz w:val="28"/>
      <w:szCs w:val="28"/>
    </w:rPr>
  </w:style>
  <w:style w:type="character" w:styleId="FollowedHyperlink">
    <w:name w:val="FollowedHyperlink"/>
    <w:rsid w:val="00587444"/>
    <w:rPr>
      <w:color w:val="800080"/>
      <w:u w:val="single"/>
    </w:rPr>
  </w:style>
  <w:style w:type="table" w:customStyle="1" w:styleId="Svijetlipopis-Isticanje21">
    <w:name w:val="Svijetli popis - Isticanje 21"/>
    <w:basedOn w:val="TableNormal"/>
    <w:next w:val="LightList-Accent2"/>
    <w:uiPriority w:val="61"/>
    <w:rsid w:val="00587444"/>
    <w:pPr>
      <w:autoSpaceDN/>
    </w:pPr>
    <w:rPr>
      <w:rFonts w:ascii="Calibri" w:hAnsi="Calibri"/>
      <w:sz w:val="22"/>
      <w:szCs w:val="22"/>
      <w:lang w:val="hr-H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FootnoteText">
    <w:name w:val="footnote text"/>
    <w:basedOn w:val="Normal"/>
    <w:link w:val="FootnoteTextChar"/>
    <w:uiPriority w:val="99"/>
    <w:rsid w:val="00587444"/>
    <w:pPr>
      <w:suppressAutoHyphens w:val="0"/>
      <w:autoSpaceDN/>
    </w:pPr>
    <w:rPr>
      <w:sz w:val="20"/>
      <w:szCs w:val="20"/>
      <w:lang w:val="hr-HR" w:eastAsia="hr-HR"/>
    </w:rPr>
  </w:style>
  <w:style w:type="character" w:customStyle="1" w:styleId="TekstfusnoteChar1">
    <w:name w:val="Tekst fusnote Char1"/>
    <w:basedOn w:val="DefaultParagraphFont"/>
    <w:uiPriority w:val="99"/>
    <w:semiHidden/>
    <w:rsid w:val="00587444"/>
  </w:style>
  <w:style w:type="character" w:styleId="Emphasis">
    <w:name w:val="Emphasis"/>
    <w:basedOn w:val="DefaultParagraphFont"/>
    <w:uiPriority w:val="20"/>
    <w:qFormat/>
    <w:rsid w:val="00587444"/>
    <w:rPr>
      <w:i/>
      <w:iCs/>
    </w:rPr>
  </w:style>
  <w:style w:type="paragraph" w:customStyle="1" w:styleId="EYBodytextwithparaspace">
    <w:name w:val="EY Body text (with para space)"/>
    <w:basedOn w:val="Normal"/>
    <w:link w:val="EYBodytextwithparaspaceChar"/>
    <w:rsid w:val="00587444"/>
    <w:pPr>
      <w:autoSpaceDN/>
      <w:spacing w:after="240"/>
    </w:pPr>
    <w:rPr>
      <w:rFonts w:ascii="Arial" w:hAnsi="Arial"/>
      <w:kern w:val="12"/>
      <w:sz w:val="22"/>
      <w:lang w:val="en-GB"/>
    </w:rPr>
  </w:style>
  <w:style w:type="character" w:customStyle="1" w:styleId="EYBodytextwithparaspaceChar">
    <w:name w:val="EY Body text (with para space) Char"/>
    <w:basedOn w:val="DefaultParagraphFont"/>
    <w:link w:val="EYBodytextwithparaspace"/>
    <w:locked/>
    <w:rsid w:val="00587444"/>
    <w:rPr>
      <w:rFonts w:ascii="Arial" w:hAnsi="Arial"/>
      <w:kern w:val="12"/>
      <w:sz w:val="22"/>
      <w:szCs w:val="24"/>
      <w:lang w:val="en-GB"/>
    </w:rPr>
  </w:style>
  <w:style w:type="paragraph" w:customStyle="1" w:styleId="Sadraj43">
    <w:name w:val="Sadržaj 43"/>
    <w:basedOn w:val="Normal"/>
    <w:next w:val="Normal"/>
    <w:autoRedefine/>
    <w:uiPriority w:val="39"/>
    <w:unhideWhenUsed/>
    <w:rsid w:val="00587444"/>
    <w:pPr>
      <w:suppressAutoHyphens w:val="0"/>
      <w:autoSpaceDN/>
      <w:spacing w:after="100" w:line="259" w:lineRule="auto"/>
      <w:ind w:left="660"/>
    </w:pPr>
    <w:rPr>
      <w:rFonts w:ascii="Calibri" w:hAnsi="Calibri"/>
      <w:sz w:val="22"/>
      <w:szCs w:val="22"/>
      <w:lang w:val="hr-HR" w:eastAsia="hr-HR"/>
    </w:rPr>
  </w:style>
  <w:style w:type="paragraph" w:customStyle="1" w:styleId="Sadraj53">
    <w:name w:val="Sadržaj 53"/>
    <w:basedOn w:val="Normal"/>
    <w:next w:val="Normal"/>
    <w:autoRedefine/>
    <w:uiPriority w:val="39"/>
    <w:unhideWhenUsed/>
    <w:rsid w:val="00587444"/>
    <w:pPr>
      <w:suppressAutoHyphens w:val="0"/>
      <w:autoSpaceDN/>
      <w:spacing w:after="100" w:line="259" w:lineRule="auto"/>
      <w:ind w:left="880"/>
    </w:pPr>
    <w:rPr>
      <w:rFonts w:ascii="Calibri" w:hAnsi="Calibri"/>
      <w:sz w:val="22"/>
      <w:szCs w:val="22"/>
      <w:lang w:val="hr-HR" w:eastAsia="hr-HR"/>
    </w:rPr>
  </w:style>
  <w:style w:type="paragraph" w:customStyle="1" w:styleId="Sadraj63">
    <w:name w:val="Sadržaj 63"/>
    <w:basedOn w:val="Normal"/>
    <w:next w:val="Normal"/>
    <w:autoRedefine/>
    <w:uiPriority w:val="39"/>
    <w:unhideWhenUsed/>
    <w:rsid w:val="00587444"/>
    <w:pPr>
      <w:suppressAutoHyphens w:val="0"/>
      <w:autoSpaceDN/>
      <w:spacing w:after="100" w:line="259" w:lineRule="auto"/>
      <w:ind w:left="1100"/>
    </w:pPr>
    <w:rPr>
      <w:rFonts w:ascii="Calibri" w:hAnsi="Calibri"/>
      <w:sz w:val="22"/>
      <w:szCs w:val="22"/>
      <w:lang w:val="hr-HR" w:eastAsia="hr-HR"/>
    </w:rPr>
  </w:style>
  <w:style w:type="paragraph" w:customStyle="1" w:styleId="Sadraj73">
    <w:name w:val="Sadržaj 73"/>
    <w:basedOn w:val="Normal"/>
    <w:next w:val="Normal"/>
    <w:autoRedefine/>
    <w:uiPriority w:val="39"/>
    <w:unhideWhenUsed/>
    <w:rsid w:val="00587444"/>
    <w:pPr>
      <w:suppressAutoHyphens w:val="0"/>
      <w:autoSpaceDN/>
      <w:spacing w:after="100" w:line="259" w:lineRule="auto"/>
      <w:ind w:left="1320"/>
    </w:pPr>
    <w:rPr>
      <w:rFonts w:ascii="Calibri" w:hAnsi="Calibri"/>
      <w:sz w:val="22"/>
      <w:szCs w:val="22"/>
      <w:lang w:val="hr-HR" w:eastAsia="hr-HR"/>
    </w:rPr>
  </w:style>
  <w:style w:type="paragraph" w:customStyle="1" w:styleId="Sadraj83">
    <w:name w:val="Sadržaj 83"/>
    <w:basedOn w:val="Normal"/>
    <w:next w:val="Normal"/>
    <w:autoRedefine/>
    <w:uiPriority w:val="39"/>
    <w:unhideWhenUsed/>
    <w:rsid w:val="00587444"/>
    <w:pPr>
      <w:suppressAutoHyphens w:val="0"/>
      <w:autoSpaceDN/>
      <w:spacing w:after="100" w:line="259" w:lineRule="auto"/>
      <w:ind w:left="1540"/>
    </w:pPr>
    <w:rPr>
      <w:rFonts w:ascii="Calibri" w:hAnsi="Calibri"/>
      <w:sz w:val="22"/>
      <w:szCs w:val="22"/>
      <w:lang w:val="hr-HR" w:eastAsia="hr-HR"/>
    </w:rPr>
  </w:style>
  <w:style w:type="paragraph" w:customStyle="1" w:styleId="Sadraj93">
    <w:name w:val="Sadržaj 93"/>
    <w:basedOn w:val="Normal"/>
    <w:next w:val="Normal"/>
    <w:autoRedefine/>
    <w:uiPriority w:val="39"/>
    <w:unhideWhenUsed/>
    <w:rsid w:val="00587444"/>
    <w:pPr>
      <w:suppressAutoHyphens w:val="0"/>
      <w:autoSpaceDN/>
      <w:spacing w:after="100" w:line="259" w:lineRule="auto"/>
      <w:ind w:left="1760"/>
    </w:pPr>
    <w:rPr>
      <w:rFonts w:ascii="Calibri" w:hAnsi="Calibri"/>
      <w:sz w:val="22"/>
      <w:szCs w:val="22"/>
      <w:lang w:val="hr-HR" w:eastAsia="hr-HR"/>
    </w:rPr>
  </w:style>
  <w:style w:type="character" w:styleId="IntenseReference">
    <w:name w:val="Intense Reference"/>
    <w:uiPriority w:val="32"/>
    <w:qFormat/>
    <w:rsid w:val="00587444"/>
    <w:rPr>
      <w:b/>
      <w:bCs/>
      <w:smallCaps/>
      <w:color w:val="C0504D"/>
      <w:spacing w:val="5"/>
      <w:u w:val="single"/>
    </w:rPr>
  </w:style>
  <w:style w:type="table" w:customStyle="1" w:styleId="TableGrid1">
    <w:name w:val="Table Grid1"/>
    <w:basedOn w:val="TableNormal"/>
    <w:next w:val="TableGrid"/>
    <w:uiPriority w:val="59"/>
    <w:rsid w:val="00587444"/>
    <w:pPr>
      <w:autoSpaceDN/>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587444"/>
    <w:pPr>
      <w:suppressAutoHyphens w:val="0"/>
      <w:adjustRightInd w:val="0"/>
      <w:spacing w:line="191" w:lineRule="atLeast"/>
    </w:pPr>
    <w:rPr>
      <w:rFonts w:ascii="Univers LT Std 45 Light" w:eastAsia="Times New Roman" w:hAnsi="Univers LT Std 45 Light" w:cs="Times New Roman"/>
      <w:color w:val="auto"/>
      <w:lang w:eastAsia="hr-HR"/>
    </w:rPr>
  </w:style>
  <w:style w:type="paragraph" w:customStyle="1" w:styleId="Normal1">
    <w:name w:val="Normal1"/>
    <w:basedOn w:val="Normal"/>
    <w:rsid w:val="00587444"/>
    <w:pPr>
      <w:suppressAutoHyphens w:val="0"/>
      <w:autoSpaceDN/>
      <w:spacing w:before="100" w:beforeAutospacing="1" w:after="100" w:afterAutospacing="1"/>
    </w:pPr>
    <w:rPr>
      <w:lang w:val="hr-HR" w:eastAsia="hr-HR"/>
    </w:rPr>
  </w:style>
  <w:style w:type="character" w:customStyle="1" w:styleId="A13">
    <w:name w:val="A13"/>
    <w:uiPriority w:val="99"/>
    <w:rsid w:val="00587444"/>
    <w:rPr>
      <w:rFonts w:cs="Univers LT Std 45 Light"/>
      <w:b/>
      <w:bCs/>
      <w:color w:val="000000"/>
      <w:sz w:val="12"/>
      <w:szCs w:val="12"/>
    </w:rPr>
  </w:style>
  <w:style w:type="character" w:customStyle="1" w:styleId="A10">
    <w:name w:val="A10"/>
    <w:uiPriority w:val="99"/>
    <w:rsid w:val="00587444"/>
    <w:rPr>
      <w:rFonts w:cs="Univers LT Std 45 Light"/>
      <w:i/>
      <w:iCs/>
      <w:color w:val="004D97"/>
      <w:sz w:val="14"/>
      <w:szCs w:val="14"/>
    </w:rPr>
  </w:style>
  <w:style w:type="paragraph" w:customStyle="1" w:styleId="Denomination">
    <w:name w:val="Denomination"/>
    <w:basedOn w:val="Normal"/>
    <w:uiPriority w:val="99"/>
    <w:rsid w:val="00587444"/>
    <w:pPr>
      <w:suppressAutoHyphens w:val="0"/>
      <w:autoSpaceDN/>
      <w:jc w:val="right"/>
    </w:pPr>
    <w:rPr>
      <w:rFonts w:ascii="Futura Lt BT" w:hAnsi="Futura Lt BT" w:cs="Futura Lt BT"/>
      <w:sz w:val="18"/>
      <w:szCs w:val="18"/>
      <w:lang w:val="en-GB"/>
    </w:rPr>
  </w:style>
  <w:style w:type="paragraph" w:customStyle="1" w:styleId="Tablehead">
    <w:name w:val="Tablehead"/>
    <w:basedOn w:val="Normal"/>
    <w:uiPriority w:val="99"/>
    <w:rsid w:val="00587444"/>
    <w:pPr>
      <w:suppressAutoHyphens w:val="0"/>
      <w:autoSpaceDN/>
      <w:spacing w:before="130"/>
      <w:jc w:val="right"/>
    </w:pPr>
    <w:rPr>
      <w:rFonts w:ascii="Futura Lt BT" w:hAnsi="Futura Lt BT" w:cs="Futura Lt BT"/>
      <w:sz w:val="18"/>
      <w:szCs w:val="18"/>
      <w:lang w:val="en-GB"/>
    </w:rPr>
  </w:style>
  <w:style w:type="paragraph" w:customStyle="1" w:styleId="Pa74">
    <w:name w:val="Pa74"/>
    <w:basedOn w:val="Default"/>
    <w:next w:val="Default"/>
    <w:uiPriority w:val="99"/>
    <w:rsid w:val="00587444"/>
    <w:pPr>
      <w:suppressAutoHyphens w:val="0"/>
      <w:adjustRightInd w:val="0"/>
      <w:spacing w:line="191" w:lineRule="atLeast"/>
    </w:pPr>
    <w:rPr>
      <w:rFonts w:ascii="Univers LT Std 45 Light" w:eastAsia="Times New Roman" w:hAnsi="Univers LT Std 45 Light" w:cs="Times New Roman"/>
      <w:color w:val="auto"/>
      <w:lang w:val="en-US" w:eastAsia="hr-HR"/>
    </w:rPr>
  </w:style>
  <w:style w:type="paragraph" w:customStyle="1" w:styleId="default0">
    <w:name w:val="default"/>
    <w:basedOn w:val="Normal"/>
    <w:rsid w:val="00587444"/>
    <w:pPr>
      <w:suppressAutoHyphens w:val="0"/>
      <w:autoSpaceDE w:val="0"/>
    </w:pPr>
    <w:rPr>
      <w:rFonts w:ascii="Calibri" w:eastAsia="Calibri" w:hAnsi="Calibri" w:cs="Calibri"/>
      <w:color w:val="000000"/>
      <w:lang w:val="hr-HR" w:eastAsia="hr-HR"/>
    </w:rPr>
  </w:style>
  <w:style w:type="paragraph" w:styleId="List">
    <w:name w:val="List"/>
    <w:basedOn w:val="Normal"/>
    <w:rsid w:val="00587444"/>
    <w:pPr>
      <w:ind w:left="283" w:hanging="283"/>
      <w:textAlignment w:val="baseline"/>
    </w:pPr>
    <w:rPr>
      <w:sz w:val="22"/>
      <w:szCs w:val="20"/>
      <w:lang w:val="en-GB"/>
    </w:rPr>
  </w:style>
  <w:style w:type="numbering" w:customStyle="1" w:styleId="LFO61">
    <w:name w:val="LFO61"/>
    <w:basedOn w:val="NoList"/>
    <w:rsid w:val="00587444"/>
    <w:pPr>
      <w:numPr>
        <w:numId w:val="60"/>
      </w:numPr>
    </w:pPr>
  </w:style>
  <w:style w:type="paragraph" w:customStyle="1" w:styleId="Pa50">
    <w:name w:val="Pa50"/>
    <w:basedOn w:val="Default"/>
    <w:next w:val="Default"/>
    <w:uiPriority w:val="99"/>
    <w:rsid w:val="00587444"/>
    <w:pPr>
      <w:suppressAutoHyphens w:val="0"/>
      <w:adjustRightInd w:val="0"/>
      <w:spacing w:line="191" w:lineRule="atLeast"/>
    </w:pPr>
    <w:rPr>
      <w:rFonts w:ascii="Times New Roman" w:eastAsia="Times New Roman" w:hAnsi="Times New Roman" w:cs="Times New Roman"/>
      <w:color w:val="auto"/>
      <w:lang w:eastAsia="hr-HR"/>
    </w:rPr>
  </w:style>
  <w:style w:type="numbering" w:customStyle="1" w:styleId="NoList1">
    <w:name w:val="No List1"/>
    <w:next w:val="NoList"/>
    <w:uiPriority w:val="99"/>
    <w:semiHidden/>
    <w:unhideWhenUsed/>
    <w:rsid w:val="00587444"/>
  </w:style>
  <w:style w:type="character" w:customStyle="1" w:styleId="Heading1Char1">
    <w:name w:val="Heading 1 Char1"/>
    <w:aliases w:val="h1 Char1"/>
    <w:basedOn w:val="DefaultParagraphFont"/>
    <w:uiPriority w:val="9"/>
    <w:rsid w:val="00587444"/>
    <w:rPr>
      <w:rFonts w:ascii="Calibri" w:eastAsia="Times New Roman" w:hAnsi="Calibri" w:cs="Times New Roman"/>
      <w:color w:val="374C80"/>
      <w:sz w:val="32"/>
      <w:szCs w:val="32"/>
    </w:rPr>
  </w:style>
  <w:style w:type="paragraph" w:styleId="HTMLPreformatted">
    <w:name w:val="HTML Preformatted"/>
    <w:basedOn w:val="Normal"/>
    <w:link w:val="HTMLPreformattedChar"/>
    <w:uiPriority w:val="99"/>
    <w:unhideWhenUsed/>
    <w:rsid w:val="00587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160" w:line="276" w:lineRule="auto"/>
      <w:jc w:val="both"/>
    </w:pPr>
    <w:rPr>
      <w:rFonts w:ascii="Courier New" w:hAnsi="Courier New" w:cs="Courier New"/>
      <w:sz w:val="20"/>
      <w:szCs w:val="20"/>
      <w:lang w:val="hr-HR" w:eastAsia="hr-HR"/>
    </w:rPr>
  </w:style>
  <w:style w:type="character" w:customStyle="1" w:styleId="HTMLunaprijedoblikovanoChar1">
    <w:name w:val="HTML unaprijed oblikovano Char1"/>
    <w:basedOn w:val="DefaultParagraphFont"/>
    <w:uiPriority w:val="99"/>
    <w:semiHidden/>
    <w:rsid w:val="00587444"/>
    <w:rPr>
      <w:rFonts w:ascii="Consolas" w:hAnsi="Consolas"/>
    </w:rPr>
  </w:style>
  <w:style w:type="paragraph" w:customStyle="1" w:styleId="msonormal0">
    <w:name w:val="msonormal"/>
    <w:basedOn w:val="Normal"/>
    <w:uiPriority w:val="99"/>
    <w:rsid w:val="00587444"/>
    <w:pPr>
      <w:suppressAutoHyphens w:val="0"/>
      <w:autoSpaceDN/>
      <w:spacing w:before="100" w:beforeAutospacing="1" w:after="100" w:afterAutospacing="1" w:line="276" w:lineRule="auto"/>
      <w:jc w:val="both"/>
    </w:pPr>
    <w:rPr>
      <w:rFonts w:ascii="Calibri" w:eastAsia="SimSun" w:hAnsi="Calibri"/>
      <w:sz w:val="22"/>
      <w:szCs w:val="21"/>
      <w:lang w:eastAsia="hr-HR"/>
    </w:rPr>
  </w:style>
  <w:style w:type="paragraph" w:styleId="EndnoteText">
    <w:name w:val="endnote text"/>
    <w:basedOn w:val="Normal"/>
    <w:link w:val="EndnoteTextChar"/>
    <w:semiHidden/>
    <w:unhideWhenUsed/>
    <w:rsid w:val="00587444"/>
    <w:pPr>
      <w:suppressAutoHyphens w:val="0"/>
      <w:autoSpaceDN/>
      <w:spacing w:after="160" w:line="276" w:lineRule="auto"/>
      <w:jc w:val="both"/>
    </w:pPr>
    <w:rPr>
      <w:sz w:val="20"/>
      <w:szCs w:val="20"/>
    </w:rPr>
  </w:style>
  <w:style w:type="character" w:customStyle="1" w:styleId="TekstkrajnjebiljekeChar1">
    <w:name w:val="Tekst krajnje bilješke Char1"/>
    <w:basedOn w:val="DefaultParagraphFont"/>
    <w:uiPriority w:val="99"/>
    <w:semiHidden/>
    <w:rsid w:val="00587444"/>
  </w:style>
  <w:style w:type="character" w:styleId="EndnoteReference">
    <w:name w:val="endnote reference"/>
    <w:basedOn w:val="DefaultParagraphFont"/>
    <w:semiHidden/>
    <w:unhideWhenUsed/>
    <w:rsid w:val="00587444"/>
    <w:rPr>
      <w:vertAlign w:val="superscript"/>
    </w:rPr>
  </w:style>
  <w:style w:type="character" w:styleId="BookTitle">
    <w:name w:val="Book Title"/>
    <w:basedOn w:val="DefaultParagraphFont"/>
    <w:uiPriority w:val="33"/>
    <w:qFormat/>
    <w:rsid w:val="00587444"/>
    <w:rPr>
      <w:b/>
      <w:bCs/>
      <w:caps w:val="0"/>
      <w:smallCaps/>
      <w:spacing w:val="0"/>
    </w:rPr>
  </w:style>
  <w:style w:type="character" w:customStyle="1" w:styleId="DocumentMapChar1">
    <w:name w:val="Document Map Char1"/>
    <w:basedOn w:val="DefaultParagraphFont"/>
    <w:uiPriority w:val="99"/>
    <w:semiHidden/>
    <w:rsid w:val="00587444"/>
    <w:rPr>
      <w:rFonts w:ascii="Segoe UI" w:hAnsi="Segoe UI" w:cs="Segoe UI" w:hint="default"/>
      <w:sz w:val="16"/>
      <w:szCs w:val="16"/>
    </w:rPr>
  </w:style>
  <w:style w:type="table" w:customStyle="1" w:styleId="TableGrid3">
    <w:name w:val="Table Grid3"/>
    <w:basedOn w:val="TableNormal"/>
    <w:next w:val="TableGrid"/>
    <w:rsid w:val="00587444"/>
    <w:pPr>
      <w:autoSpaceDN/>
      <w:spacing w:after="160" w:line="276" w:lineRule="auto"/>
    </w:pPr>
    <w:rPr>
      <w:rFonts w:ascii="Calibri" w:eastAsia="SimSun" w:hAnsi="Calibri"/>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TableNormal"/>
    <w:next w:val="MediumList2-Accent1"/>
    <w:uiPriority w:val="66"/>
    <w:semiHidden/>
    <w:unhideWhenUsed/>
    <w:rsid w:val="00587444"/>
    <w:pPr>
      <w:autoSpaceDN/>
      <w:spacing w:after="160" w:line="276" w:lineRule="auto"/>
    </w:pPr>
    <w:rPr>
      <w:rFonts w:ascii="Calibri" w:eastAsia="SimSun" w:hAnsi="Calibri"/>
      <w:color w:val="000000"/>
      <w:sz w:val="22"/>
      <w:szCs w:val="22"/>
    </w:rPr>
    <w:tblPr>
      <w:tblStyleRowBandSize w:val="1"/>
      <w:tblStyleColBandSize w:val="1"/>
      <w:tblInd w:w="0" w:type="nil"/>
      <w:tblBorders>
        <w:top w:val="single" w:sz="8" w:space="0" w:color="4A66AC"/>
        <w:left w:val="single" w:sz="8" w:space="0" w:color="4A66AC"/>
        <w:bottom w:val="single" w:sz="8" w:space="0" w:color="4A66AC"/>
        <w:right w:val="single" w:sz="8" w:space="0" w:color="4A66AC"/>
      </w:tblBorders>
    </w:tblPr>
    <w:tblStylePr w:type="firstRow">
      <w:rPr>
        <w:sz w:val="24"/>
        <w:szCs w:val="24"/>
      </w:rPr>
      <w:tblPr/>
      <w:tcPr>
        <w:tcBorders>
          <w:top w:val="nil"/>
          <w:left w:val="nil"/>
          <w:bottom w:val="single" w:sz="24" w:space="0" w:color="4A66AC"/>
          <w:right w:val="nil"/>
          <w:insideH w:val="nil"/>
          <w:insideV w:val="nil"/>
        </w:tcBorders>
        <w:shd w:val="clear" w:color="auto" w:fill="FFFFFF"/>
      </w:tcPr>
    </w:tblStylePr>
    <w:tblStylePr w:type="lastRow">
      <w:tblPr/>
      <w:tcPr>
        <w:tcBorders>
          <w:top w:val="single" w:sz="8" w:space="0" w:color="4A66AC"/>
          <w:left w:val="nil"/>
          <w:bottom w:val="nil"/>
          <w:right w:val="nil"/>
          <w:insideH w:val="nil"/>
          <w:insideV w:val="nil"/>
        </w:tcBorders>
        <w:shd w:val="clear" w:color="auto" w:fill="FFFFFF"/>
      </w:tcPr>
    </w:tblStylePr>
    <w:tblStylePr w:type="firstCol">
      <w:tblPr/>
      <w:tcPr>
        <w:tcBorders>
          <w:top w:val="nil"/>
          <w:left w:val="nil"/>
          <w:bottom w:val="nil"/>
          <w:right w:val="single" w:sz="8" w:space="0" w:color="4A66AC"/>
          <w:insideH w:val="nil"/>
          <w:insideV w:val="nil"/>
        </w:tcBorders>
        <w:shd w:val="clear" w:color="auto" w:fill="FFFFFF"/>
      </w:tcPr>
    </w:tblStylePr>
    <w:tblStylePr w:type="lastCol">
      <w:tblPr/>
      <w:tcPr>
        <w:tcBorders>
          <w:top w:val="nil"/>
          <w:left w:val="single" w:sz="8" w:space="0" w:color="4A66A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1D8EB"/>
      </w:tcPr>
    </w:tblStylePr>
    <w:tblStylePr w:type="band1Horz">
      <w:tblPr/>
      <w:tcPr>
        <w:tcBorders>
          <w:top w:val="nil"/>
          <w:bottom w:val="nil"/>
          <w:insideH w:val="nil"/>
          <w:insideV w:val="nil"/>
        </w:tcBorders>
        <w:shd w:val="clear" w:color="auto" w:fill="D1D8EB"/>
      </w:tcPr>
    </w:tblStylePr>
    <w:tblStylePr w:type="nwCell">
      <w:tblPr/>
      <w:tcPr>
        <w:shd w:val="clear" w:color="auto" w:fill="FFFFFF"/>
      </w:tcPr>
    </w:tblStylePr>
    <w:tblStylePr w:type="swCell">
      <w:tblPr/>
      <w:tcPr>
        <w:tcBorders>
          <w:top w:val="nil"/>
        </w:tcBorders>
      </w:tcPr>
    </w:tblStylePr>
  </w:style>
  <w:style w:type="table" w:customStyle="1" w:styleId="GridTable21">
    <w:name w:val="Grid Table 21"/>
    <w:basedOn w:val="TableNormal"/>
    <w:next w:val="GridTable2"/>
    <w:uiPriority w:val="47"/>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1">
    <w:name w:val="Grid Table 41"/>
    <w:basedOn w:val="TableNormal"/>
    <w:next w:val="GridTable4"/>
    <w:uiPriority w:val="49"/>
    <w:rsid w:val="00587444"/>
    <w:pPr>
      <w:autoSpaceDN/>
    </w:pPr>
    <w:rPr>
      <w:rFonts w:ascii="Calibri" w:eastAsia="SimSun" w:hAnsi="Calibri"/>
      <w:sz w:val="21"/>
      <w:szCs w:val="21"/>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TableNormal"/>
    <w:next w:val="GridTable4-Accent1"/>
    <w:uiPriority w:val="49"/>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GridTable1Light-Accent51">
    <w:name w:val="Grid Table 1 Light - Accent 51"/>
    <w:basedOn w:val="TableNormal"/>
    <w:next w:val="GridTable1Light-Accent5"/>
    <w:uiPriority w:val="46"/>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BCD9DE"/>
        <w:left w:val="single" w:sz="4" w:space="0" w:color="BCD9DE"/>
        <w:bottom w:val="single" w:sz="4" w:space="0" w:color="BCD9DE"/>
        <w:right w:val="single" w:sz="4" w:space="0" w:color="BCD9DE"/>
        <w:insideH w:val="single" w:sz="4" w:space="0" w:color="BCD9DE"/>
        <w:insideV w:val="single" w:sz="4" w:space="0" w:color="BCD9DE"/>
      </w:tblBorders>
    </w:tblPr>
    <w:tblStylePr w:type="firstRow">
      <w:rPr>
        <w:b/>
        <w:bCs/>
      </w:rPr>
      <w:tblPr/>
      <w:tcPr>
        <w:tcBorders>
          <w:bottom w:val="single" w:sz="12" w:space="0" w:color="9BC7CE"/>
        </w:tcBorders>
      </w:tcPr>
    </w:tblStylePr>
    <w:tblStylePr w:type="lastRow">
      <w:rPr>
        <w:b/>
        <w:bCs/>
      </w:rPr>
      <w:tblPr/>
      <w:tcPr>
        <w:tcBorders>
          <w:top w:val="double" w:sz="2" w:space="0" w:color="9BC7CE"/>
        </w:tcBorders>
      </w:tcPr>
    </w:tblStylePr>
    <w:tblStylePr w:type="firstCol">
      <w:rPr>
        <w:b/>
        <w:bCs/>
      </w:rPr>
    </w:tblStylePr>
    <w:tblStylePr w:type="lastCol">
      <w:rPr>
        <w:b/>
        <w:bCs/>
      </w:rPr>
    </w:tblStylePr>
  </w:style>
  <w:style w:type="table" w:customStyle="1" w:styleId="GridTable5Dark-Accent51">
    <w:name w:val="Grid Table 5 Dark - Accent 51"/>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customStyle="1" w:styleId="ListTable31">
    <w:name w:val="List Table 31"/>
    <w:basedOn w:val="TableNormal"/>
    <w:next w:val="ListTable3"/>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1">
    <w:name w:val="List Table 41"/>
    <w:basedOn w:val="TableNormal"/>
    <w:next w:val="ListTable4"/>
    <w:uiPriority w:val="49"/>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1">
    <w:name w:val="List Table 3 - Accent 11"/>
    <w:basedOn w:val="TableNormal"/>
    <w:next w:val="ListTable3-Accent1"/>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4A66AC"/>
        <w:left w:val="single" w:sz="4" w:space="0" w:color="4A66AC"/>
        <w:bottom w:val="single" w:sz="4" w:space="0" w:color="4A66AC"/>
        <w:right w:val="single" w:sz="4" w:space="0" w:color="4A66AC"/>
      </w:tblBorders>
    </w:tblPr>
    <w:tblStylePr w:type="firstRow">
      <w:rPr>
        <w:b/>
        <w:bCs/>
        <w:color w:val="FFFFFF"/>
      </w:rPr>
      <w:tblPr/>
      <w:tcPr>
        <w:shd w:val="clear" w:color="auto" w:fill="4A66AC"/>
      </w:tcPr>
    </w:tblStylePr>
    <w:tblStylePr w:type="lastRow">
      <w:rPr>
        <w:b/>
        <w:bCs/>
      </w:rPr>
      <w:tblPr/>
      <w:tcPr>
        <w:tcBorders>
          <w:top w:val="double" w:sz="4" w:space="0" w:color="4A66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A66AC"/>
          <w:right w:val="single" w:sz="4" w:space="0" w:color="4A66AC"/>
        </w:tcBorders>
      </w:tcPr>
    </w:tblStylePr>
    <w:tblStylePr w:type="band1Horz">
      <w:tblPr/>
      <w:tcPr>
        <w:tcBorders>
          <w:top w:val="single" w:sz="4" w:space="0" w:color="4A66AC"/>
          <w:bottom w:val="single" w:sz="4" w:space="0" w:color="4A66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left w:val="nil"/>
        </w:tcBorders>
      </w:tcPr>
    </w:tblStylePr>
    <w:tblStylePr w:type="swCell">
      <w:tblPr/>
      <w:tcPr>
        <w:tcBorders>
          <w:top w:val="double" w:sz="4" w:space="0" w:color="4A66AC"/>
          <w:right w:val="nil"/>
        </w:tcBorders>
      </w:tcPr>
    </w:tblStylePr>
  </w:style>
  <w:style w:type="table" w:customStyle="1" w:styleId="ListTable4-Accent11">
    <w:name w:val="List Table 4 - Accent 11"/>
    <w:basedOn w:val="TableNormal"/>
    <w:next w:val="ListTable4-Accent1"/>
    <w:uiPriority w:val="49"/>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90A1CF"/>
        <w:left w:val="single" w:sz="4" w:space="0" w:color="90A1CF"/>
        <w:bottom w:val="single" w:sz="4" w:space="0" w:color="90A1CF"/>
        <w:right w:val="single" w:sz="4" w:space="0" w:color="90A1CF"/>
        <w:insideH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tcBorders>
        <w:shd w:val="clear" w:color="auto" w:fill="4A66AC"/>
      </w:tcPr>
    </w:tblStylePr>
    <w:tblStylePr w:type="lastRow">
      <w:rPr>
        <w:b/>
        <w:bCs/>
      </w:rPr>
      <w:tblPr/>
      <w:tcPr>
        <w:tcBorders>
          <w:top w:val="double" w:sz="4" w:space="0" w:color="90A1CF"/>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TableGrid21">
    <w:name w:val="Table Grid21"/>
    <w:basedOn w:val="TableNormal"/>
    <w:uiPriority w:val="59"/>
    <w:rsid w:val="00587444"/>
    <w:pPr>
      <w:autoSpaceDN/>
      <w:spacing w:after="160" w:line="276" w:lineRule="auto"/>
    </w:pPr>
    <w:rPr>
      <w:rFonts w:ascii="Calibri" w:eastAsia="SimSun" w:hAnsi="Calibri"/>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uiPriority w:val="50"/>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11">
    <w:name w:val="List Table 411"/>
    <w:basedOn w:val="TableNormal"/>
    <w:uiPriority w:val="49"/>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1">
    <w:name w:val="List Table 311"/>
    <w:basedOn w:val="TableNormal"/>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411">
    <w:name w:val="Grid Table 411"/>
    <w:basedOn w:val="TableNormal"/>
    <w:uiPriority w:val="49"/>
    <w:rsid w:val="00587444"/>
    <w:pPr>
      <w:autoSpaceDN/>
    </w:pPr>
    <w:rPr>
      <w:rFonts w:ascii="Calibri" w:eastAsia="SimSun" w:hAnsi="Calibri"/>
      <w:sz w:val="21"/>
      <w:szCs w:val="21"/>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FO611">
    <w:name w:val="LFO611"/>
    <w:rsid w:val="00587444"/>
  </w:style>
  <w:style w:type="paragraph" w:styleId="Title">
    <w:name w:val="Title"/>
    <w:basedOn w:val="Normal"/>
    <w:next w:val="Normal"/>
    <w:link w:val="TitleChar"/>
    <w:uiPriority w:val="10"/>
    <w:qFormat/>
    <w:rsid w:val="00587444"/>
    <w:pPr>
      <w:suppressAutoHyphens w:val="0"/>
      <w:autoSpaceDN/>
      <w:contextualSpacing/>
    </w:pPr>
    <w:rPr>
      <w:rFonts w:ascii="Calibri" w:eastAsia="SimSun" w:hAnsi="Calibri"/>
      <w:color w:val="262626"/>
      <w:sz w:val="96"/>
      <w:szCs w:val="96"/>
    </w:rPr>
  </w:style>
  <w:style w:type="character" w:customStyle="1" w:styleId="NaslovChar1">
    <w:name w:val="Naslov Char1"/>
    <w:basedOn w:val="DefaultParagraphFont"/>
    <w:uiPriority w:val="10"/>
    <w:rsid w:val="005874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7444"/>
    <w:pPr>
      <w:numPr>
        <w:ilvl w:val="1"/>
      </w:numPr>
      <w:suppressAutoHyphens w:val="0"/>
      <w:autoSpaceDN/>
      <w:spacing w:after="160"/>
    </w:pPr>
    <w:rPr>
      <w:caps/>
      <w:color w:val="404040"/>
      <w:spacing w:val="20"/>
      <w:sz w:val="28"/>
      <w:szCs w:val="28"/>
    </w:rPr>
  </w:style>
  <w:style w:type="character" w:customStyle="1" w:styleId="PodnaslovChar1">
    <w:name w:val="Podnaslov Char1"/>
    <w:basedOn w:val="DefaultParagraphFont"/>
    <w:uiPriority w:val="11"/>
    <w:rsid w:val="00587444"/>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qFormat/>
    <w:rsid w:val="00587444"/>
    <w:pPr>
      <w:suppressAutoHyphens w:val="0"/>
      <w:autoSpaceDN/>
      <w:spacing w:before="200" w:after="160"/>
      <w:ind w:left="864" w:right="864"/>
      <w:jc w:val="center"/>
    </w:pPr>
    <w:rPr>
      <w:rFonts w:ascii="Calibri" w:eastAsia="SimSun" w:hAnsi="Calibri"/>
      <w:color w:val="000000"/>
    </w:rPr>
  </w:style>
  <w:style w:type="character" w:customStyle="1" w:styleId="CitatChar1">
    <w:name w:val="Citat Char1"/>
    <w:basedOn w:val="DefaultParagraphFont"/>
    <w:uiPriority w:val="29"/>
    <w:rsid w:val="00587444"/>
    <w:rPr>
      <w:i/>
      <w:iCs/>
      <w:color w:val="404040" w:themeColor="text1" w:themeTint="BF"/>
      <w:sz w:val="24"/>
      <w:szCs w:val="24"/>
    </w:rPr>
  </w:style>
  <w:style w:type="paragraph" w:customStyle="1" w:styleId="Naglaencitat3">
    <w:name w:val="Naglašen citat3"/>
    <w:basedOn w:val="Normal"/>
    <w:next w:val="Normal"/>
    <w:link w:val="NaglaencitatChar"/>
    <w:uiPriority w:val="30"/>
    <w:qFormat/>
    <w:rsid w:val="00587444"/>
    <w:pPr>
      <w:pBdr>
        <w:top w:val="single" w:sz="4" w:space="10" w:color="4F81BD"/>
        <w:bottom w:val="single" w:sz="4" w:space="10" w:color="4F81BD"/>
      </w:pBdr>
      <w:suppressAutoHyphens w:val="0"/>
      <w:autoSpaceDN/>
      <w:spacing w:before="360" w:after="360"/>
      <w:ind w:left="864" w:right="864"/>
      <w:jc w:val="center"/>
    </w:pPr>
    <w:rPr>
      <w:rFonts w:ascii="Calibri" w:eastAsia="SimSun" w:hAnsi="Calibri"/>
    </w:rPr>
  </w:style>
  <w:style w:type="character" w:customStyle="1" w:styleId="Neupadljivoisticanje3">
    <w:name w:val="Neupadljivo isticanje3"/>
    <w:basedOn w:val="DefaultParagraphFont"/>
    <w:uiPriority w:val="19"/>
    <w:qFormat/>
    <w:rsid w:val="00587444"/>
    <w:rPr>
      <w:i/>
      <w:iCs/>
      <w:color w:val="404040"/>
    </w:rPr>
  </w:style>
  <w:style w:type="character" w:customStyle="1" w:styleId="Jakoisticanje3">
    <w:name w:val="Jako isticanje3"/>
    <w:basedOn w:val="DefaultParagraphFont"/>
    <w:uiPriority w:val="21"/>
    <w:qFormat/>
    <w:rsid w:val="00587444"/>
    <w:rPr>
      <w:i/>
      <w:iCs/>
      <w:color w:val="4F81BD"/>
    </w:rPr>
  </w:style>
  <w:style w:type="character" w:customStyle="1" w:styleId="Neupadljivareferenca3">
    <w:name w:val="Neupadljiva referenca3"/>
    <w:basedOn w:val="DefaultParagraphFont"/>
    <w:uiPriority w:val="31"/>
    <w:qFormat/>
    <w:rsid w:val="00587444"/>
    <w:rPr>
      <w:smallCaps/>
      <w:color w:val="5A5A5A"/>
    </w:rPr>
  </w:style>
  <w:style w:type="table" w:customStyle="1" w:styleId="Srednjipopis2-Isticanje11">
    <w:name w:val="Srednji popis 2 - Isticanje 11"/>
    <w:basedOn w:val="TableNormal"/>
    <w:next w:val="MediumList2-Accent1"/>
    <w:uiPriority w:val="66"/>
    <w:semiHidden/>
    <w:unhideWhenUsed/>
    <w:rsid w:val="00587444"/>
    <w:pPr>
      <w:autoSpaceDN/>
    </w:pPr>
    <w:rPr>
      <w:rFonts w:ascii="Cambria" w:hAnsi="Cambria"/>
      <w:color w:val="000000"/>
      <w:lang w:val="hr-HR"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icareetke21">
    <w:name w:val="Tablica rešetke 21"/>
    <w:basedOn w:val="TableNormal"/>
    <w:next w:val="GridTable2"/>
    <w:uiPriority w:val="47"/>
    <w:rsid w:val="00587444"/>
    <w:pPr>
      <w:autoSpaceDN/>
    </w:pPr>
    <w:rPr>
      <w:lang w:val="hr-HR" w:eastAsia="hr-H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41">
    <w:name w:val="Tablica rešetke 41"/>
    <w:basedOn w:val="TableNormal"/>
    <w:next w:val="GridTable4"/>
    <w:uiPriority w:val="49"/>
    <w:rsid w:val="00587444"/>
    <w:pPr>
      <w:autoSpaceDN/>
    </w:pPr>
    <w:rPr>
      <w:lang w:val="hr-HR" w:eastAsia="hr-H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4-isticanje11">
    <w:name w:val="Tablica rešetke 4 - isticanje 11"/>
    <w:basedOn w:val="TableNormal"/>
    <w:next w:val="GridTable4-Accent1"/>
    <w:uiPriority w:val="49"/>
    <w:rsid w:val="00587444"/>
    <w:pPr>
      <w:autoSpaceDN/>
    </w:pPr>
    <w:rPr>
      <w:lang w:val="hr-HR" w:eastAsia="hr-H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vijetlatablicareetke1-isticanje51">
    <w:name w:val="Svijetla tablica rešetke 1 - isticanje 51"/>
    <w:basedOn w:val="TableNormal"/>
    <w:next w:val="GridTable1Light-Accent5"/>
    <w:uiPriority w:val="46"/>
    <w:rsid w:val="00587444"/>
    <w:pPr>
      <w:autoSpaceDN/>
    </w:pPr>
    <w:rPr>
      <w:lang w:val="hr-HR" w:eastAsia="hr-HR"/>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mnatablicareetke5-isticanje51">
    <w:name w:val="Tamna tablica rešetke 5 - isticanje 51"/>
    <w:basedOn w:val="TableNormal"/>
    <w:next w:val="GridTable5Dark-Accent5"/>
    <w:uiPriority w:val="50"/>
    <w:rsid w:val="00587444"/>
    <w:pPr>
      <w:autoSpaceDN/>
    </w:pPr>
    <w:rPr>
      <w:lang w:val="hr-HR" w:eastAsia="hr-H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icapopisa31">
    <w:name w:val="Tablica popisa 31"/>
    <w:basedOn w:val="TableNormal"/>
    <w:next w:val="ListTable3"/>
    <w:uiPriority w:val="48"/>
    <w:rsid w:val="00587444"/>
    <w:pPr>
      <w:autoSpaceDN/>
    </w:pPr>
    <w:rPr>
      <w:lang w:val="hr-HR" w:eastAsia="hr-H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icapopisa41">
    <w:name w:val="Tablica popisa 41"/>
    <w:basedOn w:val="TableNormal"/>
    <w:next w:val="ListTable4"/>
    <w:uiPriority w:val="49"/>
    <w:rsid w:val="00587444"/>
    <w:pPr>
      <w:autoSpaceDN/>
    </w:pPr>
    <w:rPr>
      <w:lang w:val="hr-HR" w:eastAsia="hr-H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3-isticanje11">
    <w:name w:val="Tablica popisa 3- isticanje 11"/>
    <w:basedOn w:val="TableNormal"/>
    <w:next w:val="ListTable3-Accent1"/>
    <w:uiPriority w:val="48"/>
    <w:rsid w:val="00587444"/>
    <w:pPr>
      <w:autoSpaceDN/>
    </w:pPr>
    <w:rPr>
      <w:lang w:val="hr-HR" w:eastAsia="hr-HR"/>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icapopisa4-isticanje11">
    <w:name w:val="Tablica popisa 4 - isticanje 11"/>
    <w:basedOn w:val="TableNormal"/>
    <w:next w:val="ListTable4-Accent1"/>
    <w:uiPriority w:val="49"/>
    <w:rsid w:val="00587444"/>
    <w:pPr>
      <w:autoSpaceDN/>
    </w:pPr>
    <w:rPr>
      <w:lang w:val="hr-HR" w:eastAsia="hr-H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UnresolvedMention">
    <w:name w:val="Unresolved Mention"/>
    <w:basedOn w:val="DefaultParagraphFont"/>
    <w:uiPriority w:val="99"/>
    <w:unhideWhenUsed/>
    <w:rsid w:val="00587444"/>
    <w:rPr>
      <w:color w:val="605E5C"/>
      <w:shd w:val="clear" w:color="auto" w:fill="E1DFDD"/>
    </w:rPr>
  </w:style>
  <w:style w:type="numbering" w:customStyle="1" w:styleId="NoList2">
    <w:name w:val="No List2"/>
    <w:next w:val="NoList"/>
    <w:uiPriority w:val="99"/>
    <w:semiHidden/>
    <w:unhideWhenUsed/>
    <w:rsid w:val="00587444"/>
  </w:style>
  <w:style w:type="table" w:customStyle="1" w:styleId="TableGrid4">
    <w:name w:val="Table Grid4"/>
    <w:basedOn w:val="TableNormal"/>
    <w:next w:val="TableGrid"/>
    <w:uiPriority w:val="59"/>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2">
    <w:name w:val="Grid Table 1 Light - Accent 52"/>
    <w:basedOn w:val="TableNormal"/>
    <w:next w:val="GridTable1Light-Accent5"/>
    <w:uiPriority w:val="46"/>
    <w:rsid w:val="00587444"/>
    <w:pPr>
      <w:autoSpaceDN/>
      <w:spacing w:after="160" w:line="276" w:lineRule="auto"/>
    </w:pPr>
    <w:rPr>
      <w:rFonts w:ascii="Calibri" w:eastAsia="SimSun" w:hAnsi="Calibri"/>
      <w:sz w:val="21"/>
      <w:szCs w:val="2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GridTable5Dark-Accent512">
    <w:name w:val="Grid Table 5 Dark - Accent 512"/>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2">
    <w:name w:val="Grid Table 5 Dark - Accent 52"/>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character" w:styleId="LineNumber">
    <w:name w:val="line number"/>
    <w:basedOn w:val="DefaultParagraphFont"/>
    <w:semiHidden/>
    <w:unhideWhenUsed/>
    <w:rsid w:val="00587444"/>
  </w:style>
  <w:style w:type="numbering" w:customStyle="1" w:styleId="LFO62">
    <w:name w:val="LFO62"/>
    <w:basedOn w:val="NoList"/>
    <w:rsid w:val="00587444"/>
  </w:style>
  <w:style w:type="table" w:customStyle="1" w:styleId="MediumList2-Accent12">
    <w:name w:val="Medium List 2 - Accent 12"/>
    <w:basedOn w:val="TableNormal"/>
    <w:next w:val="MediumList2-Accent1"/>
    <w:uiPriority w:val="66"/>
    <w:rsid w:val="00587444"/>
    <w:pPr>
      <w:autoSpaceDN/>
      <w:spacing w:after="160" w:line="276" w:lineRule="auto"/>
    </w:pPr>
    <w:rPr>
      <w:rFonts w:ascii="Calibri" w:eastAsia="SimHei" w:hAnsi="Calibri"/>
      <w:color w:val="000000"/>
      <w:sz w:val="22"/>
      <w:szCs w:val="22"/>
      <w:lang w:val="hr-HR" w:eastAsia="hr-H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GridTable22">
    <w:name w:val="Grid Table 22"/>
    <w:basedOn w:val="TableNormal"/>
    <w:next w:val="GridTable2"/>
    <w:uiPriority w:val="47"/>
    <w:rsid w:val="00587444"/>
    <w:pPr>
      <w:autoSpaceDN/>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2">
    <w:name w:val="List Table 3 - Accent 12"/>
    <w:basedOn w:val="TableNormal"/>
    <w:next w:val="ListTable3-Accent1"/>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ListTable4-Accent12">
    <w:name w:val="List Table 4 - Accent 12"/>
    <w:basedOn w:val="TableNormal"/>
    <w:next w:val="List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GridTable4-Accent12">
    <w:name w:val="Grid Table 4 - Accent 12"/>
    <w:basedOn w:val="TableNormal"/>
    <w:next w:val="Grid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ListTable32">
    <w:name w:val="List Table 32"/>
    <w:basedOn w:val="TableNormal"/>
    <w:next w:val="ListTable3"/>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2">
    <w:name w:val="List Table 42"/>
    <w:basedOn w:val="TableNormal"/>
    <w:next w:val="ListTable4"/>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
    <w:name w:val="Grid Table 42"/>
    <w:basedOn w:val="TableNormal"/>
    <w:next w:val="GridTable4"/>
    <w:uiPriority w:val="49"/>
    <w:rsid w:val="00587444"/>
    <w:pPr>
      <w:autoSpaceDN/>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2">
    <w:name w:val="List Table 312"/>
    <w:basedOn w:val="TableNormal"/>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character" w:styleId="Mention">
    <w:name w:val="Mention"/>
    <w:basedOn w:val="DefaultParagraphFont"/>
    <w:uiPriority w:val="99"/>
    <w:unhideWhenUsed/>
    <w:rsid w:val="00587444"/>
    <w:rPr>
      <w:color w:val="2B579A"/>
      <w:shd w:val="clear" w:color="auto" w:fill="E6E6E6"/>
    </w:rPr>
  </w:style>
  <w:style w:type="table" w:customStyle="1" w:styleId="GridTable1Light1">
    <w:name w:val="Grid Table 1 Light1"/>
    <w:basedOn w:val="TableNormal"/>
    <w:next w:val="GridTable1Light"/>
    <w:uiPriority w:val="46"/>
    <w:rsid w:val="00587444"/>
    <w:pPr>
      <w:autoSpaceDN/>
    </w:pPr>
    <w:rPr>
      <w:rFonts w:ascii="Calibri" w:eastAsia="Calibri" w:hAnsi="Calibri"/>
      <w:sz w:val="22"/>
      <w:szCs w:val="22"/>
      <w:lang w:val="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Svijetlatablicareetke11">
    <w:name w:val="Svijetla tablica rešetke 11"/>
    <w:basedOn w:val="TableNormal"/>
    <w:next w:val="GridTable1Light"/>
    <w:uiPriority w:val="46"/>
    <w:rsid w:val="00587444"/>
    <w:pPr>
      <w:autoSpaceDN/>
    </w:pPr>
    <w:rPr>
      <w:lang w:val="hr-HR"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3">
    <w:name w:val="No List3"/>
    <w:next w:val="NoList"/>
    <w:uiPriority w:val="99"/>
    <w:semiHidden/>
    <w:unhideWhenUsed/>
    <w:rsid w:val="00587444"/>
  </w:style>
  <w:style w:type="table" w:customStyle="1" w:styleId="TableGrid5">
    <w:name w:val="Table Grid5"/>
    <w:basedOn w:val="TableNormal"/>
    <w:next w:val="TableGrid"/>
    <w:uiPriority w:val="59"/>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3">
    <w:name w:val="Grid Table 1 Light - Accent 53"/>
    <w:basedOn w:val="TableNormal"/>
    <w:next w:val="GridTable1Light-Accent5"/>
    <w:uiPriority w:val="46"/>
    <w:rsid w:val="00587444"/>
    <w:pPr>
      <w:autoSpaceDN/>
      <w:spacing w:after="160" w:line="276" w:lineRule="auto"/>
    </w:pPr>
    <w:rPr>
      <w:rFonts w:ascii="Calibri" w:eastAsia="SimSun" w:hAnsi="Calibri"/>
      <w:sz w:val="21"/>
      <w:szCs w:val="2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GridTable5Dark-Accent513">
    <w:name w:val="Grid Table 5 Dark - Accent 513"/>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3">
    <w:name w:val="Grid Table 5 Dark - Accent 53"/>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numbering" w:customStyle="1" w:styleId="LFO631">
    <w:name w:val="LFO631"/>
    <w:basedOn w:val="NoList"/>
    <w:rsid w:val="00587444"/>
  </w:style>
  <w:style w:type="table" w:customStyle="1" w:styleId="MediumList2-Accent13">
    <w:name w:val="Medium List 2 - Accent 13"/>
    <w:basedOn w:val="TableNormal"/>
    <w:next w:val="MediumList2-Accent1"/>
    <w:uiPriority w:val="66"/>
    <w:rsid w:val="00587444"/>
    <w:pPr>
      <w:autoSpaceDN/>
      <w:spacing w:after="160" w:line="276" w:lineRule="auto"/>
    </w:pPr>
    <w:rPr>
      <w:rFonts w:ascii="Calibri" w:eastAsia="SimHei" w:hAnsi="Calibri"/>
      <w:color w:val="000000"/>
      <w:sz w:val="22"/>
      <w:szCs w:val="22"/>
      <w:lang w:val="hr-HR" w:eastAsia="hr-H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GridTable23">
    <w:name w:val="Grid Table 23"/>
    <w:basedOn w:val="TableNormal"/>
    <w:next w:val="GridTable2"/>
    <w:uiPriority w:val="47"/>
    <w:rsid w:val="00587444"/>
    <w:pPr>
      <w:autoSpaceDN/>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3">
    <w:name w:val="List Table 3 - Accent 13"/>
    <w:basedOn w:val="TableNormal"/>
    <w:next w:val="ListTable3-Accent1"/>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ListTable4-Accent13">
    <w:name w:val="List Table 4 - Accent 13"/>
    <w:basedOn w:val="TableNormal"/>
    <w:next w:val="List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GridTable4-Accent13">
    <w:name w:val="Grid Table 4 - Accent 13"/>
    <w:basedOn w:val="TableNormal"/>
    <w:next w:val="Grid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ListTable43">
    <w:name w:val="List Table 43"/>
    <w:basedOn w:val="TableNormal"/>
    <w:next w:val="ListTable4"/>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3">
    <w:name w:val="Grid Table 43"/>
    <w:basedOn w:val="TableNormal"/>
    <w:next w:val="GridTable4"/>
    <w:uiPriority w:val="49"/>
    <w:rsid w:val="00587444"/>
    <w:pPr>
      <w:autoSpaceDN/>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3">
    <w:name w:val="List Table 313"/>
    <w:basedOn w:val="TableNormal"/>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table" w:customStyle="1" w:styleId="ListTable321">
    <w:name w:val="List Table 321"/>
    <w:basedOn w:val="TableNormal"/>
    <w:next w:val="ListTable3"/>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1Light2">
    <w:name w:val="Grid Table 1 Light2"/>
    <w:basedOn w:val="TableNormal"/>
    <w:next w:val="GridTable1Light"/>
    <w:uiPriority w:val="46"/>
    <w:rsid w:val="00587444"/>
    <w:pPr>
      <w:autoSpaceDN/>
    </w:pPr>
    <w:rPr>
      <w:rFonts w:ascii="Calibri" w:eastAsia="Calibri" w:hAnsi="Calibri"/>
      <w:sz w:val="22"/>
      <w:szCs w:val="22"/>
      <w:lang w:val="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44">
    <w:name w:val="List Table 44"/>
    <w:basedOn w:val="TableNormal"/>
    <w:next w:val="ListTable4"/>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22">
    <w:name w:val="List Table 322"/>
    <w:basedOn w:val="TableNormal"/>
    <w:next w:val="ListTable3"/>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y2iqfc">
    <w:name w:val="y2iqfc"/>
    <w:basedOn w:val="DefaultParagraphFont"/>
    <w:rsid w:val="00587444"/>
  </w:style>
  <w:style w:type="character" w:customStyle="1" w:styleId="jlqj4b">
    <w:name w:val="jlqj4b"/>
    <w:basedOn w:val="DefaultParagraphFont"/>
    <w:rsid w:val="00587444"/>
  </w:style>
  <w:style w:type="character" w:customStyle="1" w:styleId="fszzbb">
    <w:name w:val="fszzbb"/>
    <w:basedOn w:val="DefaultParagraphFont"/>
    <w:rsid w:val="00587444"/>
  </w:style>
  <w:style w:type="numbering" w:customStyle="1" w:styleId="Bezpopisa11">
    <w:name w:val="Bez popisa11"/>
    <w:next w:val="NoList"/>
    <w:uiPriority w:val="99"/>
    <w:semiHidden/>
    <w:unhideWhenUsed/>
    <w:rsid w:val="00587444"/>
  </w:style>
  <w:style w:type="table" w:customStyle="1" w:styleId="Reetkatablice11">
    <w:name w:val="Rešetka tablice11"/>
    <w:basedOn w:val="TableNormal"/>
    <w:next w:val="TableGrid"/>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1-isticanje511">
    <w:name w:val="Svijetla tablica rešetke 1 - isticanje 511"/>
    <w:basedOn w:val="TableNormal"/>
    <w:next w:val="GridTable1Light-Accent5"/>
    <w:uiPriority w:val="46"/>
    <w:rsid w:val="00587444"/>
    <w:pPr>
      <w:autoSpaceDN/>
      <w:spacing w:after="160" w:line="276" w:lineRule="auto"/>
    </w:pPr>
    <w:rPr>
      <w:rFonts w:ascii="Calibri" w:eastAsia="SimSun" w:hAnsi="Calibri"/>
      <w:sz w:val="21"/>
      <w:szCs w:val="2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GridTable5Dark-Accent514">
    <w:name w:val="Grid Table 5 Dark - Accent 514"/>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mnatablicareetke5-isticanje511">
    <w:name w:val="Tamna tablica rešetke 5 - isticanje 511"/>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numbering" w:customStyle="1" w:styleId="LFO64">
    <w:name w:val="LFO64"/>
    <w:basedOn w:val="NoList"/>
    <w:rsid w:val="00587444"/>
    <w:pPr>
      <w:numPr>
        <w:numId w:val="26"/>
      </w:numPr>
    </w:pPr>
  </w:style>
  <w:style w:type="table" w:customStyle="1" w:styleId="Srednjipopis2-Isticanje111">
    <w:name w:val="Srednji popis 2 - Isticanje 111"/>
    <w:basedOn w:val="TableNormal"/>
    <w:next w:val="MediumList2-Accent1"/>
    <w:uiPriority w:val="66"/>
    <w:rsid w:val="00587444"/>
    <w:pPr>
      <w:autoSpaceDN/>
      <w:spacing w:after="160" w:line="276" w:lineRule="auto"/>
    </w:pPr>
    <w:rPr>
      <w:rFonts w:ascii="Calibri" w:eastAsia="SimHei" w:hAnsi="Calibri"/>
      <w:color w:val="000000"/>
      <w:sz w:val="22"/>
      <w:szCs w:val="22"/>
      <w:lang w:val="hr-HR" w:eastAsia="hr-H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Tablicareetke211">
    <w:name w:val="Tablica rešetke 211"/>
    <w:basedOn w:val="TableNormal"/>
    <w:next w:val="GridTable2"/>
    <w:uiPriority w:val="47"/>
    <w:rsid w:val="00587444"/>
    <w:pPr>
      <w:autoSpaceDN/>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3-isticanje111">
    <w:name w:val="Tablica popisa 3- isticanje 111"/>
    <w:basedOn w:val="TableNormal"/>
    <w:next w:val="ListTable3-Accent1"/>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Tablicapopisa4-isticanje111">
    <w:name w:val="Tablica popisa 4 - isticanje 111"/>
    <w:basedOn w:val="TableNormal"/>
    <w:next w:val="List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Tablicareetke4-isticanje111">
    <w:name w:val="Tablica rešetke 4 - isticanje 111"/>
    <w:basedOn w:val="TableNormal"/>
    <w:next w:val="Grid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Tablicapopisa311">
    <w:name w:val="Tablica popisa 311"/>
    <w:basedOn w:val="TableNormal"/>
    <w:next w:val="ListTable3"/>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icapopisa411">
    <w:name w:val="Tablica popisa 411"/>
    <w:basedOn w:val="TableNormal"/>
    <w:next w:val="ListTable4"/>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411">
    <w:name w:val="Tablica rešetke 411"/>
    <w:basedOn w:val="TableNormal"/>
    <w:next w:val="GridTable4"/>
    <w:uiPriority w:val="49"/>
    <w:rsid w:val="00587444"/>
    <w:pPr>
      <w:autoSpaceDN/>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4">
    <w:name w:val="List Table 314"/>
    <w:basedOn w:val="TableNormal"/>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table" w:customStyle="1" w:styleId="TableGrid18">
    <w:name w:val="Table Grid18"/>
    <w:basedOn w:val="TableNormal"/>
    <w:uiPriority w:val="59"/>
    <w:rsid w:val="00587444"/>
    <w:pPr>
      <w:autoSpaceDN/>
      <w:jc w:val="both"/>
    </w:pPr>
    <w:rPr>
      <w:rFonts w:ascii="Calibri" w:eastAsia="Calibri" w:hAnsi="Calibri"/>
      <w:sz w:val="22"/>
      <w:szCs w:val="22"/>
      <w:lang w:val="af-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587444"/>
    <w:pPr>
      <w:autoSpaceDN/>
      <w:jc w:val="both"/>
    </w:pPr>
    <w:rPr>
      <w:rFonts w:ascii="Calibri" w:eastAsia="Calibri" w:hAnsi="Calibri"/>
      <w:sz w:val="22"/>
      <w:szCs w:val="22"/>
      <w:lang w:val="af-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semiHidden/>
    <w:unhideWhenUsed/>
    <w:rsid w:val="00587444"/>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MediumList2-Accent1">
    <w:name w:val="Medium List 2 Accent 1"/>
    <w:basedOn w:val="TableNormal"/>
    <w:uiPriority w:val="66"/>
    <w:semiHidden/>
    <w:unhideWhenUsed/>
    <w:rsid w:val="00587444"/>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dTable2">
    <w:name w:val="Grid Table 2"/>
    <w:basedOn w:val="TableNormal"/>
    <w:uiPriority w:val="47"/>
    <w:rsid w:val="005874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5874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8744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587444"/>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5874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ListTable4">
    <w:name w:val="List Table 4"/>
    <w:basedOn w:val="TableNormal"/>
    <w:uiPriority w:val="49"/>
    <w:rsid w:val="005874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587444"/>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4-Accent1">
    <w:name w:val="List Table 4 Accent 1"/>
    <w:basedOn w:val="TableNormal"/>
    <w:uiPriority w:val="49"/>
    <w:rsid w:val="0058744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SubtleEmphasis">
    <w:name w:val="Subtle Emphasis"/>
    <w:basedOn w:val="DefaultParagraphFont"/>
    <w:uiPriority w:val="19"/>
    <w:qFormat/>
    <w:rsid w:val="00587444"/>
    <w:rPr>
      <w:i/>
      <w:iCs/>
      <w:color w:val="404040" w:themeColor="text1" w:themeTint="BF"/>
    </w:rPr>
  </w:style>
  <w:style w:type="character" w:styleId="IntenseEmphasis">
    <w:name w:val="Intense Emphasis"/>
    <w:basedOn w:val="DefaultParagraphFont"/>
    <w:uiPriority w:val="21"/>
    <w:qFormat/>
    <w:rsid w:val="00587444"/>
    <w:rPr>
      <w:i/>
      <w:iCs/>
      <w:color w:val="4472C4" w:themeColor="accent1"/>
    </w:rPr>
  </w:style>
  <w:style w:type="character" w:styleId="SubtleReference">
    <w:name w:val="Subtle Reference"/>
    <w:basedOn w:val="DefaultParagraphFont"/>
    <w:uiPriority w:val="31"/>
    <w:qFormat/>
    <w:rsid w:val="00587444"/>
    <w:rPr>
      <w:smallCaps/>
      <w:color w:val="5A5A5A" w:themeColor="text1" w:themeTint="A5"/>
    </w:rPr>
  </w:style>
  <w:style w:type="table" w:styleId="GridTable1Light">
    <w:name w:val="Grid Table 1 Light"/>
    <w:basedOn w:val="TableNormal"/>
    <w:uiPriority w:val="46"/>
    <w:rsid w:val="0058744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chart" Target="charts/chart7.xml"/><Relationship Id="rId42" Type="http://schemas.openxmlformats.org/officeDocument/2006/relationships/image" Target="media/image24.png"/><Relationship Id="rId47" Type="http://schemas.openxmlformats.org/officeDocument/2006/relationships/footer" Target="footer1.xml"/><Relationship Id="rId63" Type="http://schemas.openxmlformats.org/officeDocument/2006/relationships/header" Target="header10.xml"/><Relationship Id="rId68" Type="http://schemas.openxmlformats.org/officeDocument/2006/relationships/footer" Target="footer11.xml"/><Relationship Id="rId84" Type="http://schemas.openxmlformats.org/officeDocument/2006/relationships/header" Target="header22.xml"/><Relationship Id="rId89" Type="http://schemas.openxmlformats.org/officeDocument/2006/relationships/footer" Target="footer19.xml"/><Relationship Id="rId16" Type="http://schemas.openxmlformats.org/officeDocument/2006/relationships/chart" Target="charts/chart3.xml"/><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footer" Target="footer5.xml"/><Relationship Id="rId58" Type="http://schemas.openxmlformats.org/officeDocument/2006/relationships/header" Target="header7.xml"/><Relationship Id="rId74" Type="http://schemas.openxmlformats.org/officeDocument/2006/relationships/footer" Target="footer14.xml"/><Relationship Id="rId79" Type="http://schemas.openxmlformats.org/officeDocument/2006/relationships/footer" Target="footer16.xml"/><Relationship Id="rId5" Type="http://schemas.openxmlformats.org/officeDocument/2006/relationships/numbering" Target="numbering.xml"/><Relationship Id="rId90" Type="http://schemas.openxmlformats.org/officeDocument/2006/relationships/footer" Target="footer20.xml"/><Relationship Id="rId95" Type="http://schemas.openxmlformats.org/officeDocument/2006/relationships/header" Target="header27.xm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footer" Target="footer2.xml"/><Relationship Id="rId64" Type="http://schemas.openxmlformats.org/officeDocument/2006/relationships/footer" Target="footer9.xml"/><Relationship Id="rId69" Type="http://schemas.openxmlformats.org/officeDocument/2006/relationships/header" Target="header13.xml"/><Relationship Id="rId80" Type="http://schemas.openxmlformats.org/officeDocument/2006/relationships/footer" Target="footer17.xml"/><Relationship Id="rId85" Type="http://schemas.openxmlformats.org/officeDocument/2006/relationships/header" Target="header23.xml"/><Relationship Id="rId3" Type="http://schemas.openxmlformats.org/officeDocument/2006/relationships/customXml" Target="../customXml/item3.xml"/><Relationship Id="rId12" Type="http://schemas.openxmlformats.org/officeDocument/2006/relationships/hyperlink" Target="http://www.hkosig.hr/" TargetMode="External"/><Relationship Id="rId17" Type="http://schemas.openxmlformats.org/officeDocument/2006/relationships/chart" Target="charts/chart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1.xml"/><Relationship Id="rId59" Type="http://schemas.openxmlformats.org/officeDocument/2006/relationships/footer" Target="footer7.xml"/><Relationship Id="rId67" Type="http://schemas.openxmlformats.org/officeDocument/2006/relationships/header" Target="header12.xml"/><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header" Target="header4.xml"/><Relationship Id="rId62" Type="http://schemas.openxmlformats.org/officeDocument/2006/relationships/footer" Target="footer8.xml"/><Relationship Id="rId70" Type="http://schemas.openxmlformats.org/officeDocument/2006/relationships/footer" Target="footer12.xml"/><Relationship Id="rId75" Type="http://schemas.openxmlformats.org/officeDocument/2006/relationships/header" Target="header16.xml"/><Relationship Id="rId83" Type="http://schemas.openxmlformats.org/officeDocument/2006/relationships/header" Target="header21.xml"/><Relationship Id="rId88" Type="http://schemas.openxmlformats.org/officeDocument/2006/relationships/header" Target="header25.xml"/><Relationship Id="rId91" Type="http://schemas.openxmlformats.org/officeDocument/2006/relationships/footer" Target="footer21.xml"/><Relationship Id="rId96"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3.xml"/><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eader" Target="header3.xml"/><Relationship Id="rId60" Type="http://schemas.openxmlformats.org/officeDocument/2006/relationships/header" Target="header8.xml"/><Relationship Id="rId65" Type="http://schemas.openxmlformats.org/officeDocument/2006/relationships/header" Target="header11.xml"/><Relationship Id="rId73" Type="http://schemas.openxmlformats.org/officeDocument/2006/relationships/header" Target="header15.xml"/><Relationship Id="rId78" Type="http://schemas.openxmlformats.org/officeDocument/2006/relationships/footer" Target="footer15.xml"/><Relationship Id="rId81" Type="http://schemas.openxmlformats.org/officeDocument/2006/relationships/header" Target="header19.xml"/><Relationship Id="rId86" Type="http://schemas.openxmlformats.org/officeDocument/2006/relationships/header" Target="header24.xml"/><Relationship Id="rId94" Type="http://schemas.openxmlformats.org/officeDocument/2006/relationships/header" Target="header26.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chart" Target="charts/chart5.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eader" Target="header2.xml"/><Relationship Id="rId55" Type="http://schemas.openxmlformats.org/officeDocument/2006/relationships/footer" Target="footer6.xml"/><Relationship Id="rId76" Type="http://schemas.openxmlformats.org/officeDocument/2006/relationships/header" Target="header17.xml"/><Relationship Id="rId97" Type="http://schemas.openxmlformats.org/officeDocument/2006/relationships/header" Target="header29.xml"/><Relationship Id="rId7" Type="http://schemas.openxmlformats.org/officeDocument/2006/relationships/settings" Target="settings.xml"/><Relationship Id="rId71" Type="http://schemas.openxmlformats.org/officeDocument/2006/relationships/header" Target="header14.xml"/><Relationship Id="rId92" Type="http://schemas.openxmlformats.org/officeDocument/2006/relationships/footer" Target="footer22.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footer" Target="footer10.xml"/><Relationship Id="rId87" Type="http://schemas.openxmlformats.org/officeDocument/2006/relationships/footer" Target="footer18.xml"/><Relationship Id="rId61" Type="http://schemas.openxmlformats.org/officeDocument/2006/relationships/header" Target="header9.xml"/><Relationship Id="rId82" Type="http://schemas.openxmlformats.org/officeDocument/2006/relationships/header" Target="header20.xm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header" Target="header5.xml"/><Relationship Id="rId77" Type="http://schemas.openxmlformats.org/officeDocument/2006/relationships/header" Target="header18.xm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footer" Target="footer13.xml"/><Relationship Id="rId93" Type="http://schemas.openxmlformats.org/officeDocument/2006/relationships/footer" Target="footer23.xml"/><Relationship Id="rId98" Type="http://schemas.openxmlformats.org/officeDocument/2006/relationships/footer" Target="footer24.xml"/></Relationships>
</file>

<file path=word/_rels/header4.xml.rels><?xml version="1.0" encoding="UTF-8" standalone="yes"?>
<Relationships xmlns="http://schemas.openxmlformats.org/package/2006/relationships"><Relationship Id="rId3" Type="http://schemas.openxmlformats.org/officeDocument/2006/relationships/image" Target="media/image30.svg"/><Relationship Id="rId2" Type="http://schemas.openxmlformats.org/officeDocument/2006/relationships/image" Target="media/image29.png"/><Relationship Id="rId1" Type="http://schemas.openxmlformats.org/officeDocument/2006/relationships/image" Target="media/image28.png"/></Relationships>
</file>

<file path=word/_rels/header5.xml.rels><?xml version="1.0" encoding="UTF-8" standalone="yes"?>
<Relationships xmlns="http://schemas.openxmlformats.org/package/2006/relationships"><Relationship Id="rId3" Type="http://schemas.openxmlformats.org/officeDocument/2006/relationships/image" Target="media/image30.svg"/><Relationship Id="rId2" Type="http://schemas.openxmlformats.org/officeDocument/2006/relationships/image" Target="media/image29.png"/><Relationship Id="rId1" Type="http://schemas.openxmlformats.org/officeDocument/2006/relationships/image" Target="media/image28.png"/></Relationships>
</file>

<file path=word/_rels/header6.xml.rels><?xml version="1.0" encoding="UTF-8" standalone="yes"?>
<Relationships xmlns="http://schemas.openxmlformats.org/package/2006/relationships"><Relationship Id="rId3" Type="http://schemas.openxmlformats.org/officeDocument/2006/relationships/image" Target="media/image30.svg"/><Relationship Id="rId2" Type="http://schemas.openxmlformats.org/officeDocument/2006/relationships/image" Target="media/image29.png"/><Relationship Id="rId1"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BUSINESS ACTIVITY IN 2022</a:t>
            </a:r>
            <a:endParaRPr lang="en-US" sz="1100"/>
          </a:p>
        </c:rich>
      </c:tx>
      <c:layout>
        <c:manualLayout>
          <c:xMode val="edge"/>
          <c:yMode val="edge"/>
          <c:x val="0.32987451834478138"/>
          <c:y val="5.063937007874015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8038746315597272"/>
          <c:y val="0.23634873319970143"/>
          <c:w val="0.28712801040389624"/>
          <c:h val="0.55383311885531994"/>
        </c:manualLayout>
      </c:layout>
      <c:doughnutChart>
        <c:varyColors val="1"/>
        <c:ser>
          <c:idx val="0"/>
          <c:order val="0"/>
          <c:tx>
            <c:strRef>
              <c:f>Sheet1!$B$1</c:f>
              <c:strCache>
                <c:ptCount val="1"/>
                <c:pt idx="0">
                  <c:v>POSLOVNA AKTIVNOST 2022. GODINE</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AA8F-41D0-9511-59EF175C556E}"/>
              </c:ext>
            </c:extLst>
          </c:dPt>
          <c:dPt>
            <c:idx val="1"/>
            <c:bubble3D val="0"/>
            <c:spPr>
              <a:solidFill>
                <a:srgbClr val="595959"/>
              </a:solidFill>
              <a:ln w="19050">
                <a:solidFill>
                  <a:schemeClr val="lt1"/>
                </a:solidFill>
              </a:ln>
              <a:effectLst/>
            </c:spPr>
            <c:extLst>
              <c:ext xmlns:c16="http://schemas.microsoft.com/office/drawing/2014/chart" uri="{C3380CC4-5D6E-409C-BE32-E72D297353CC}">
                <c16:uniqueId val="{00000003-AA8F-41D0-9511-59EF175C556E}"/>
              </c:ext>
            </c:extLst>
          </c:dPt>
          <c:dPt>
            <c:idx val="2"/>
            <c:bubble3D val="0"/>
            <c:spPr>
              <a:solidFill>
                <a:srgbClr val="BFBFBF"/>
              </a:solidFill>
              <a:ln w="19050">
                <a:solidFill>
                  <a:schemeClr val="lt1"/>
                </a:solidFill>
              </a:ln>
              <a:effectLst/>
            </c:spPr>
            <c:extLst>
              <c:ext xmlns:c16="http://schemas.microsoft.com/office/drawing/2014/chart" uri="{C3380CC4-5D6E-409C-BE32-E72D297353CC}">
                <c16:uniqueId val="{00000005-AA8F-41D0-9511-59EF175C556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A8F-41D0-9511-59EF175C556E}"/>
              </c:ext>
            </c:extLst>
          </c:dPt>
          <c:dLbls>
            <c:dLbl>
              <c:idx val="0"/>
              <c:layout>
                <c:manualLayout>
                  <c:x val="4.9361702127659494E-2"/>
                  <c:y val="5.4769553805774196E-2"/>
                </c:manualLayout>
              </c:layout>
              <c:tx>
                <c:rich>
                  <a:bodyPr/>
                  <a:lstStyle/>
                  <a:p>
                    <a:r>
                      <a:rPr lang="en-US"/>
                      <a:t>64.6%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A8F-41D0-9511-59EF175C556E}"/>
                </c:ext>
              </c:extLst>
            </c:dLbl>
            <c:dLbl>
              <c:idx val="1"/>
              <c:layout>
                <c:manualLayout>
                  <c:x val="-7.1063829787234079E-2"/>
                  <c:y val="-1.8256517935258093E-2"/>
                </c:manualLayout>
              </c:layout>
              <c:tx>
                <c:rich>
                  <a:bodyPr/>
                  <a:lstStyle/>
                  <a:p>
                    <a:r>
                      <a:rPr lang="en-US"/>
                      <a:t>29.7%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A8F-41D0-9511-59EF175C556E}"/>
                </c:ext>
              </c:extLst>
            </c:dLbl>
            <c:dLbl>
              <c:idx val="2"/>
              <c:layout>
                <c:manualLayout>
                  <c:x val="-4.539006686635913E-3"/>
                  <c:y val="-0.10041078577154013"/>
                </c:manualLayout>
              </c:layout>
              <c:tx>
                <c:rich>
                  <a:bodyPr/>
                  <a:lstStyle/>
                  <a:p>
                    <a:r>
                      <a:rPr lang="en-US"/>
                      <a:t>5.7%</a:t>
                    </a:r>
                  </a:p>
                </c:rich>
              </c:tx>
              <c:showLegendKey val="0"/>
              <c:showVal val="1"/>
              <c:showCatName val="0"/>
              <c:showSerName val="0"/>
              <c:showPercent val="0"/>
              <c:showBubbleSize val="0"/>
              <c:extLst>
                <c:ext xmlns:c15="http://schemas.microsoft.com/office/drawing/2012/chart" uri="{CE6537A1-D6FC-4f65-9D91-7224C49458BB}">
                  <c15:layout>
                    <c:manualLayout>
                      <c:w val="8.1100612622941853E-2"/>
                      <c:h val="0.13367414062167574"/>
                    </c:manualLayout>
                  </c15:layout>
                  <c15:showDataLabelsRange val="0"/>
                </c:ext>
                <c:ext xmlns:c16="http://schemas.microsoft.com/office/drawing/2014/chart" uri="{C3380CC4-5D6E-409C-BE32-E72D297353CC}">
                  <c16:uniqueId val="{00000005-AA8F-41D0-9511-59EF175C556E}"/>
                </c:ext>
              </c:extLst>
            </c:dLbl>
            <c:spPr>
              <a:noFill/>
              <a:ln>
                <a:noFill/>
              </a:ln>
              <a:effectLst/>
            </c:spPr>
            <c:txPr>
              <a:bodyPr rot="0" spcFirstLastPara="1" vertOverflow="ellipsis" vert="horz" wrap="square" anchor="ctr" anchorCtr="1"/>
              <a:lstStyle/>
              <a:p>
                <a:pPr>
                  <a:defRPr sz="1197"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Sheet1!$A$2:$A$4</c:f>
              <c:strCache>
                <c:ptCount val="3"/>
                <c:pt idx="0">
                  <c:v>Lending</c:v>
                </c:pt>
                <c:pt idx="1">
                  <c:v>Export credit insurance</c:v>
                </c:pt>
                <c:pt idx="2">
                  <c:v>Other</c:v>
                </c:pt>
              </c:strCache>
            </c:strRef>
          </c:cat>
          <c:val>
            <c:numRef>
              <c:f>Sheet1!$B$2:$B$4</c:f>
              <c:numCache>
                <c:formatCode>0.0%</c:formatCode>
                <c:ptCount val="3"/>
                <c:pt idx="0">
                  <c:v>0.64628297835184834</c:v>
                </c:pt>
                <c:pt idx="1">
                  <c:v>0.2965705316455961</c:v>
                </c:pt>
                <c:pt idx="2">
                  <c:v>5.7146490002555617E-2</c:v>
                </c:pt>
              </c:numCache>
            </c:numRef>
          </c:val>
          <c:extLst>
            <c:ext xmlns:c16="http://schemas.microsoft.com/office/drawing/2014/chart" uri="{C3380CC4-5D6E-409C-BE32-E72D297353CC}">
              <c16:uniqueId val="{00000008-AA8F-41D0-9511-59EF175C556E}"/>
            </c:ext>
          </c:extLst>
        </c:ser>
        <c:dLbls>
          <c:showLegendKey val="0"/>
          <c:showVal val="1"/>
          <c:showCatName val="0"/>
          <c:showSerName val="0"/>
          <c:showPercent val="0"/>
          <c:showBubbleSize val="0"/>
          <c:showLeaderLines val="0"/>
        </c:dLbls>
        <c:firstSliceAng val="0"/>
        <c:holeSize val="75"/>
      </c:doughnutChart>
      <c:spPr>
        <a:noFill/>
        <a:ln>
          <a:noFill/>
        </a:ln>
        <a:effectLst/>
      </c:spPr>
    </c:plotArea>
    <c:legend>
      <c:legendPos val="b"/>
      <c:layout>
        <c:manualLayout>
          <c:xMode val="edge"/>
          <c:yMode val="edge"/>
          <c:x val="0.2596196400089219"/>
          <c:y val="0.88666093027031412"/>
          <c:w val="0.48308956964685629"/>
          <c:h val="7.4719999815997418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r>
              <a:rPr lang="hr-HR" sz="1100" b="0" i="0">
                <a:effectLst/>
              </a:rPr>
              <a:t>StruCTURE OF APPROVED LOANS BY PURPOSE</a:t>
            </a:r>
          </a:p>
        </c:rich>
      </c:tx>
      <c:overlay val="0"/>
      <c:spPr>
        <a:noFill/>
        <a:ln>
          <a:noFill/>
        </a:ln>
        <a:effectLst/>
      </c:spPr>
      <c:txPr>
        <a:bodyPr rot="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Working capital</c:v>
                </c:pt>
              </c:strCache>
            </c:strRef>
          </c:tx>
          <c:spPr>
            <a:solidFill>
              <a:srgbClr val="5959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2020</c:v>
                </c:pt>
                <c:pt idx="1">
                  <c:v>2021</c:v>
                </c:pt>
                <c:pt idx="2">
                  <c:v>2022</c:v>
                </c:pt>
              </c:numCache>
            </c:numRef>
          </c:cat>
          <c:val>
            <c:numRef>
              <c:f>Sheet1!$B$2:$B$4</c:f>
              <c:numCache>
                <c:formatCode>0%</c:formatCode>
                <c:ptCount val="3"/>
                <c:pt idx="0">
                  <c:v>0.49</c:v>
                </c:pt>
                <c:pt idx="1">
                  <c:v>0.47</c:v>
                </c:pt>
                <c:pt idx="2">
                  <c:v>0.54</c:v>
                </c:pt>
              </c:numCache>
            </c:numRef>
          </c:val>
          <c:extLst>
            <c:ext xmlns:c16="http://schemas.microsoft.com/office/drawing/2014/chart" uri="{C3380CC4-5D6E-409C-BE32-E72D297353CC}">
              <c16:uniqueId val="{00000000-7BEF-4470-A289-9AAC28CF94E2}"/>
            </c:ext>
          </c:extLst>
        </c:ser>
        <c:ser>
          <c:idx val="1"/>
          <c:order val="1"/>
          <c:tx>
            <c:strRef>
              <c:f>Sheet1!$C$1</c:f>
              <c:strCache>
                <c:ptCount val="1"/>
                <c:pt idx="0">
                  <c:v>Investments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2020</c:v>
                </c:pt>
                <c:pt idx="1">
                  <c:v>2021</c:v>
                </c:pt>
                <c:pt idx="2">
                  <c:v>2022</c:v>
                </c:pt>
              </c:numCache>
            </c:numRef>
          </c:cat>
          <c:val>
            <c:numRef>
              <c:f>Sheet1!$C$2:$C$4</c:f>
              <c:numCache>
                <c:formatCode>0%</c:formatCode>
                <c:ptCount val="3"/>
                <c:pt idx="0">
                  <c:v>0.51</c:v>
                </c:pt>
                <c:pt idx="1">
                  <c:v>0.53</c:v>
                </c:pt>
                <c:pt idx="2">
                  <c:v>0.46</c:v>
                </c:pt>
              </c:numCache>
            </c:numRef>
          </c:val>
          <c:extLst>
            <c:ext xmlns:c16="http://schemas.microsoft.com/office/drawing/2014/chart" uri="{C3380CC4-5D6E-409C-BE32-E72D297353CC}">
              <c16:uniqueId val="{00000001-7BEF-4470-A289-9AAC28CF94E2}"/>
            </c:ext>
          </c:extLst>
        </c:ser>
        <c:dLbls>
          <c:dLblPos val="ctr"/>
          <c:showLegendKey val="0"/>
          <c:showVal val="1"/>
          <c:showCatName val="0"/>
          <c:showSerName val="0"/>
          <c:showPercent val="0"/>
          <c:showBubbleSize val="0"/>
        </c:dLbls>
        <c:gapWidth val="79"/>
        <c:overlap val="100"/>
        <c:axId val="669051032"/>
        <c:axId val="669054168"/>
      </c:barChart>
      <c:catAx>
        <c:axId val="669051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n-US"/>
          </a:p>
        </c:txPr>
        <c:crossAx val="669054168"/>
        <c:crosses val="autoZero"/>
        <c:auto val="1"/>
        <c:lblAlgn val="ctr"/>
        <c:lblOffset val="100"/>
        <c:noMultiLvlLbl val="0"/>
      </c:catAx>
      <c:valAx>
        <c:axId val="669054168"/>
        <c:scaling>
          <c:orientation val="minMax"/>
        </c:scaling>
        <c:delete val="1"/>
        <c:axPos val="l"/>
        <c:numFmt formatCode="0%" sourceLinked="1"/>
        <c:majorTickMark val="none"/>
        <c:minorTickMark val="none"/>
        <c:tickLblPos val="nextTo"/>
        <c:crossAx val="669051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spc="0" baseline="0">
                <a:solidFill>
                  <a:srgbClr val="595959"/>
                </a:solidFill>
                <a:latin typeface="Calibri"/>
              </a:defRPr>
            </a:pPr>
            <a:r>
              <a:rPr lang="hr-HR" sz="1100" b="0" i="0" u="none" strike="noStrike" kern="1200" cap="none" spc="0" baseline="0">
                <a:solidFill>
                  <a:srgbClr val="595959"/>
                </a:solidFill>
                <a:uFillTx/>
                <a:latin typeface="Calibri"/>
              </a:rPr>
              <a:t>FINANCIAL INSTRUMENTS WITHIN THE FRAMEWORK OF NRRP, HRK million</a:t>
            </a:r>
          </a:p>
        </c:rich>
      </c:tx>
      <c:layout>
        <c:manualLayout>
          <c:xMode val="edge"/>
          <c:yMode val="edge"/>
          <c:x val="0.13797804737146158"/>
          <c:y val="1.6585145007945033E-2"/>
        </c:manualLayout>
      </c:layout>
      <c:overlay val="0"/>
      <c:spPr>
        <a:noFill/>
        <a:ln>
          <a:noFill/>
        </a:ln>
      </c:spPr>
    </c:title>
    <c:autoTitleDeleted val="0"/>
    <c:plotArea>
      <c:layout>
        <c:manualLayout>
          <c:xMode val="edge"/>
          <c:yMode val="edge"/>
          <c:x val="0.32051911188744392"/>
          <c:y val="0.23559232239974826"/>
          <c:w val="0.36939969158967778"/>
          <c:h val="0.46039191375430355"/>
        </c:manualLayout>
      </c:layout>
      <c:doughnutChart>
        <c:varyColors val="1"/>
        <c:ser>
          <c:idx val="0"/>
          <c:order val="0"/>
          <c:tx>
            <c:v>Column1</c:v>
          </c:tx>
          <c:dPt>
            <c:idx val="0"/>
            <c:bubble3D val="0"/>
            <c:spPr>
              <a:solidFill>
                <a:srgbClr val="FF0000"/>
              </a:solidFill>
              <a:ln w="19046">
                <a:solidFill>
                  <a:srgbClr val="FFFFFF"/>
                </a:solidFill>
                <a:prstDash val="solid"/>
              </a:ln>
            </c:spPr>
            <c:extLst>
              <c:ext xmlns:c16="http://schemas.microsoft.com/office/drawing/2014/chart" uri="{C3380CC4-5D6E-409C-BE32-E72D297353CC}">
                <c16:uniqueId val="{00000001-D101-4FCA-829E-053252C9CDE0}"/>
              </c:ext>
            </c:extLst>
          </c:dPt>
          <c:dPt>
            <c:idx val="1"/>
            <c:bubble3D val="0"/>
            <c:spPr>
              <a:solidFill>
                <a:srgbClr val="595959"/>
              </a:solidFill>
              <a:ln w="19046">
                <a:solidFill>
                  <a:srgbClr val="FFFFFF"/>
                </a:solidFill>
                <a:prstDash val="solid"/>
              </a:ln>
            </c:spPr>
            <c:extLst>
              <c:ext xmlns:c16="http://schemas.microsoft.com/office/drawing/2014/chart" uri="{C3380CC4-5D6E-409C-BE32-E72D297353CC}">
                <c16:uniqueId val="{00000002-D101-4FCA-829E-053252C9CDE0}"/>
              </c:ext>
            </c:extLst>
          </c:dPt>
          <c:dPt>
            <c:idx val="2"/>
            <c:bubble3D val="0"/>
            <c:spPr>
              <a:solidFill>
                <a:srgbClr val="7F7F7F"/>
              </a:solidFill>
              <a:ln w="19046">
                <a:solidFill>
                  <a:srgbClr val="FFFFFF"/>
                </a:solidFill>
                <a:prstDash val="solid"/>
              </a:ln>
            </c:spPr>
            <c:extLst>
              <c:ext xmlns:c16="http://schemas.microsoft.com/office/drawing/2014/chart" uri="{C3380CC4-5D6E-409C-BE32-E72D297353CC}">
                <c16:uniqueId val="{00000003-D101-4FCA-829E-053252C9CDE0}"/>
              </c:ext>
            </c:extLst>
          </c:dPt>
          <c:dPt>
            <c:idx val="3"/>
            <c:bubble3D val="0"/>
            <c:spPr>
              <a:solidFill>
                <a:srgbClr val="0070C0"/>
              </a:solidFill>
              <a:ln w="19046">
                <a:solidFill>
                  <a:srgbClr val="FFFFFF"/>
                </a:solidFill>
                <a:prstDash val="solid"/>
              </a:ln>
            </c:spPr>
            <c:extLst>
              <c:ext xmlns:c16="http://schemas.microsoft.com/office/drawing/2014/chart" uri="{C3380CC4-5D6E-409C-BE32-E72D297353CC}">
                <c16:uniqueId val="{00000004-D101-4FCA-829E-053252C9CDE0}"/>
              </c:ext>
            </c:extLst>
          </c:dPt>
          <c:dPt>
            <c:idx val="4"/>
            <c:bubble3D val="0"/>
            <c:spPr>
              <a:solidFill>
                <a:srgbClr val="002060"/>
              </a:solidFill>
              <a:ln w="19046">
                <a:solidFill>
                  <a:srgbClr val="FFFFFF"/>
                </a:solidFill>
                <a:prstDash val="solid"/>
              </a:ln>
            </c:spPr>
            <c:extLst>
              <c:ext xmlns:c16="http://schemas.microsoft.com/office/drawing/2014/chart" uri="{C3380CC4-5D6E-409C-BE32-E72D297353CC}">
                <c16:uniqueId val="{00000005-D101-4FCA-829E-053252C9CDE0}"/>
              </c:ext>
            </c:extLst>
          </c:dPt>
          <c:dPt>
            <c:idx val="5"/>
            <c:bubble3D val="0"/>
            <c:spPr>
              <a:solidFill>
                <a:srgbClr val="66CCFF"/>
              </a:solidFill>
              <a:ln w="19046">
                <a:solidFill>
                  <a:srgbClr val="FFFFFF"/>
                </a:solidFill>
                <a:prstDash val="solid"/>
              </a:ln>
            </c:spPr>
            <c:extLst>
              <c:ext xmlns:c16="http://schemas.microsoft.com/office/drawing/2014/chart" uri="{C3380CC4-5D6E-409C-BE32-E72D297353CC}">
                <c16:uniqueId val="{00000006-D101-4FCA-829E-053252C9CDE0}"/>
              </c:ext>
            </c:extLst>
          </c:dPt>
          <c:dLbls>
            <c:dLbl>
              <c:idx val="0"/>
              <c:layout>
                <c:manualLayout>
                  <c:x val="0.14975950363223656"/>
                  <c:y val="-0.10991961513949136"/>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r>
                      <a:rPr lang="en-US"/>
                      <a:t>Direct loans</a:t>
                    </a:r>
                    <a:r>
                      <a:rPr lang="en-US" baseline="0"/>
                      <a:t>; </a:t>
                    </a:r>
                    <a:fld id="{92A75CED-B0CC-4121-B3DB-94720239125B}" type="VALUE">
                      <a:rPr lang="en-US" baseline="0"/>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t>[VALUE]</a:t>
                    </a:fld>
                    <a:endParaRPr lang="en-US" baseline="0"/>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1-D101-4FCA-829E-053252C9CDE0}"/>
                </c:ext>
              </c:extLst>
            </c:dLbl>
            <c:dLbl>
              <c:idx val="1"/>
              <c:layout>
                <c:manualLayout>
                  <c:x val="0.1527382560715439"/>
                  <c:y val="7.4284593718815795E-2"/>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r>
                      <a:rPr lang="en-US"/>
                      <a:t>HBOR loan subsidies for SME</a:t>
                    </a:r>
                    <a:r>
                      <a:rPr lang="en-US" baseline="0"/>
                      <a:t>; </a:t>
                    </a:r>
                    <a:fld id="{8E35ED33-F373-4841-9C70-869F93EAC996}" type="VALUE">
                      <a:rPr lang="en-US" baseline="0"/>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t>[VALUE]</a:t>
                    </a:fld>
                    <a:endParaRPr lang="en-US" baseline="0"/>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2-D101-4FCA-829E-053252C9CDE0}"/>
                </c:ext>
              </c:extLst>
            </c:dLbl>
            <c:dLbl>
              <c:idx val="2"/>
              <c:layout>
                <c:manualLayout>
                  <c:x val="-2.5333860997011404E-2"/>
                  <c:y val="0.16137098648971338"/>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r>
                      <a:rPr lang="en-US"/>
                      <a:t>Guarantee fund for MidCap and large enterprises</a:t>
                    </a:r>
                    <a:r>
                      <a:rPr lang="en-US" baseline="0"/>
                      <a:t>; </a:t>
                    </a:r>
                    <a:fld id="{30579993-6E72-4ADB-B90E-083D0AF0513A}" type="VALUE">
                      <a:rPr lang="en-US" baseline="0"/>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t>[VALUE]</a:t>
                    </a:fld>
                    <a:endParaRPr lang="en-US" baseline="0"/>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3-D101-4FCA-829E-053252C9CDE0}"/>
                </c:ext>
              </c:extLst>
            </c:dLbl>
            <c:dLbl>
              <c:idx val="3"/>
              <c:layout>
                <c:manualLayout>
                  <c:x val="-0.2117985598420648"/>
                  <c:y val="0.10230811929790157"/>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r>
                      <a:rPr lang="en-US"/>
                      <a:t>HBOR loan subsidies for MidCap and large enterprises</a:t>
                    </a:r>
                    <a:r>
                      <a:rPr lang="en-US" baseline="0"/>
                      <a:t>; </a:t>
                    </a:r>
                    <a:fld id="{AC784FAD-D933-439E-B10D-9FE910EF2FC1}" type="VALUE">
                      <a:rPr lang="en-US" baseline="0"/>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t>[VALUE]</a:t>
                    </a:fld>
                    <a:endParaRPr lang="en-US" baseline="0"/>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4-D101-4FCA-829E-053252C9CDE0}"/>
                </c:ext>
              </c:extLst>
            </c:dLbl>
            <c:dLbl>
              <c:idx val="4"/>
              <c:layout>
                <c:manualLayout>
                  <c:x val="-0.19982841832812492"/>
                  <c:y val="-1.9973020544554854E-2"/>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r>
                      <a:rPr lang="en-US" baseline="0"/>
                      <a:t>HBOR loan subsidies for the public sector; </a:t>
                    </a:r>
                    <a:fld id="{BE55CD22-FE77-4C4A-A908-78C6C6F3307F}" type="VALUE">
                      <a:rPr lang="en-US" baseline="0"/>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t>[VALUE]</a:t>
                    </a:fld>
                    <a:endParaRPr lang="en-US" baseline="0"/>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D101-4FCA-829E-053252C9CDE0}"/>
                </c:ext>
              </c:extLst>
            </c:dLbl>
            <c:dLbl>
              <c:idx val="5"/>
              <c:layout>
                <c:manualLayout>
                  <c:x val="-8.1896859946232914E-2"/>
                  <c:y val="-0.12690939742192797"/>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r>
                      <a:rPr lang="en-US"/>
                      <a:t>Venture capital funds</a:t>
                    </a:r>
                    <a:r>
                      <a:rPr lang="en-US" baseline="0"/>
                      <a:t>; </a:t>
                    </a:r>
                    <a:fld id="{214487BB-75C1-4B2C-8F7B-8D4EAF0B9DE0}" type="VALUE">
                      <a:rPr lang="en-US" baseline="0"/>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t>[VALUE]</a:t>
                    </a:fld>
                    <a:endParaRPr lang="en-US" baseline="0"/>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6-D101-4FCA-829E-053252C9CDE0}"/>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endParaRPr lang="en-US"/>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Lit>
              <c:ptCount val="6"/>
              <c:pt idx="0">
                <c:v>Izravni krediti</c:v>
              </c:pt>
              <c:pt idx="1">
                <c:v>Subvencije po kreditima HBOR-a za MSP</c:v>
              </c:pt>
              <c:pt idx="2">
                <c:v>Jamstveni fond za MidCap i velike poduzetnike</c:v>
              </c:pt>
              <c:pt idx="3">
                <c:v>Subvencije po kreditima HBOR-a za MidCap i velike poduzetnike</c:v>
              </c:pt>
              <c:pt idx="4">
                <c:v>Subvencije po kreditima HBOR-a za javni sektor</c:v>
              </c:pt>
              <c:pt idx="5">
                <c:v>Fondovi rizičnog kapitala</c:v>
              </c:pt>
            </c:strLit>
          </c:cat>
          <c:val>
            <c:numLit>
              <c:formatCode>General</c:formatCode>
              <c:ptCount val="6"/>
              <c:pt idx="0">
                <c:v>500</c:v>
              </c:pt>
              <c:pt idx="1">
                <c:v>200</c:v>
              </c:pt>
              <c:pt idx="2">
                <c:v>600</c:v>
              </c:pt>
              <c:pt idx="3">
                <c:v>200</c:v>
              </c:pt>
              <c:pt idx="4">
                <c:v>200</c:v>
              </c:pt>
              <c:pt idx="5">
                <c:v>225</c:v>
              </c:pt>
            </c:numLit>
          </c:val>
          <c:extLst>
            <c:ext xmlns:c16="http://schemas.microsoft.com/office/drawing/2014/chart" uri="{C3380CC4-5D6E-409C-BE32-E72D297353CC}">
              <c16:uniqueId val="{00000000-D101-4FCA-829E-053252C9CDE0}"/>
            </c:ext>
          </c:extLst>
        </c:ser>
        <c:dLbls>
          <c:showLegendKey val="0"/>
          <c:showVal val="0"/>
          <c:showCatName val="0"/>
          <c:showSerName val="0"/>
          <c:showPercent val="0"/>
          <c:showBubbleSize val="0"/>
          <c:showLeaderLines val="1"/>
        </c:dLbls>
        <c:firstSliceAng val="0"/>
        <c:holeSize val="75"/>
      </c:doughnutChart>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197" b="0" i="0" u="none" strike="noStrike" kern="1200" baseline="0">
          <a:solidFill>
            <a:srgbClr val="000000"/>
          </a:solidFill>
          <a:latin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INSURED TURNOVER BY COUNTRIES IN 2022</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624213639961672"/>
          <c:y val="0.29043493362689321"/>
          <c:w val="0.37707588321371333"/>
          <c:h val="0.64074538460396901"/>
        </c:manualLayout>
      </c:layout>
      <c:doughnutChart>
        <c:varyColors val="1"/>
        <c:ser>
          <c:idx val="0"/>
          <c:order val="0"/>
          <c:dPt>
            <c:idx val="0"/>
            <c:bubble3D val="0"/>
            <c:spPr>
              <a:solidFill>
                <a:srgbClr val="535959"/>
              </a:solidFill>
              <a:ln w="19050">
                <a:solidFill>
                  <a:schemeClr val="lt1"/>
                </a:solidFill>
              </a:ln>
              <a:effectLst/>
            </c:spPr>
            <c:extLst>
              <c:ext xmlns:c16="http://schemas.microsoft.com/office/drawing/2014/chart" uri="{C3380CC4-5D6E-409C-BE32-E72D297353CC}">
                <c16:uniqueId val="{00000001-FB29-4E4B-8155-E4F980C2E0BE}"/>
              </c:ext>
            </c:extLst>
          </c:dPt>
          <c:dPt>
            <c:idx val="1"/>
            <c:bubble3D val="0"/>
            <c:spPr>
              <a:solidFill>
                <a:srgbClr val="E31C22"/>
              </a:solidFill>
              <a:ln w="19050">
                <a:solidFill>
                  <a:schemeClr val="lt1"/>
                </a:solidFill>
              </a:ln>
              <a:effectLst/>
            </c:spPr>
            <c:extLst>
              <c:ext xmlns:c16="http://schemas.microsoft.com/office/drawing/2014/chart" uri="{C3380CC4-5D6E-409C-BE32-E72D297353CC}">
                <c16:uniqueId val="{00000003-FB29-4E4B-8155-E4F980C2E0BE}"/>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FB29-4E4B-8155-E4F980C2E0BE}"/>
              </c:ext>
            </c:extLst>
          </c:dPt>
          <c:dPt>
            <c:idx val="3"/>
            <c:bubble3D val="0"/>
            <c:spPr>
              <a:solidFill>
                <a:srgbClr val="00B050"/>
              </a:solidFill>
              <a:ln w="19050">
                <a:solidFill>
                  <a:schemeClr val="lt1"/>
                </a:solidFill>
              </a:ln>
              <a:effectLst/>
            </c:spPr>
            <c:extLst>
              <c:ext xmlns:c16="http://schemas.microsoft.com/office/drawing/2014/chart" uri="{C3380CC4-5D6E-409C-BE32-E72D297353CC}">
                <c16:uniqueId val="{00000007-FB29-4E4B-8155-E4F980C2E0BE}"/>
              </c:ext>
            </c:extLst>
          </c:dPt>
          <c:dPt>
            <c:idx val="4"/>
            <c:bubble3D val="0"/>
            <c:spPr>
              <a:solidFill>
                <a:srgbClr val="A9D18E"/>
              </a:solidFill>
              <a:ln w="19050">
                <a:solidFill>
                  <a:schemeClr val="lt1"/>
                </a:solidFill>
              </a:ln>
              <a:effectLst/>
            </c:spPr>
            <c:extLst>
              <c:ext xmlns:c16="http://schemas.microsoft.com/office/drawing/2014/chart" uri="{C3380CC4-5D6E-409C-BE32-E72D297353CC}">
                <c16:uniqueId val="{00000009-FB29-4E4B-8155-E4F980C2E0BE}"/>
              </c:ext>
            </c:extLst>
          </c:dPt>
          <c:dPt>
            <c:idx val="5"/>
            <c:bubble3D val="0"/>
            <c:spPr>
              <a:solidFill>
                <a:srgbClr val="002060"/>
              </a:solidFill>
              <a:ln w="19050">
                <a:solidFill>
                  <a:schemeClr val="lt1"/>
                </a:solidFill>
              </a:ln>
              <a:effectLst/>
            </c:spPr>
            <c:extLst>
              <c:ext xmlns:c16="http://schemas.microsoft.com/office/drawing/2014/chart" uri="{C3380CC4-5D6E-409C-BE32-E72D297353CC}">
                <c16:uniqueId val="{0000000B-FB29-4E4B-8155-E4F980C2E0BE}"/>
              </c:ext>
            </c:extLst>
          </c:dPt>
          <c:dPt>
            <c:idx val="6"/>
            <c:bubble3D val="0"/>
            <c:spPr>
              <a:solidFill>
                <a:srgbClr val="66CCFF"/>
              </a:solidFill>
              <a:ln w="19050">
                <a:solidFill>
                  <a:schemeClr val="lt1"/>
                </a:solidFill>
              </a:ln>
              <a:effectLst/>
            </c:spPr>
            <c:extLst>
              <c:ext xmlns:c16="http://schemas.microsoft.com/office/drawing/2014/chart" uri="{C3380CC4-5D6E-409C-BE32-E72D297353CC}">
                <c16:uniqueId val="{0000000D-FB29-4E4B-8155-E4F980C2E0BE}"/>
              </c:ext>
            </c:extLst>
          </c:dPt>
          <c:dPt>
            <c:idx val="7"/>
            <c:bubble3D val="0"/>
            <c:spPr>
              <a:solidFill>
                <a:srgbClr val="FFFF00"/>
              </a:solidFill>
              <a:ln w="19050">
                <a:solidFill>
                  <a:schemeClr val="lt1"/>
                </a:solidFill>
              </a:ln>
              <a:effectLst/>
            </c:spPr>
            <c:extLst>
              <c:ext xmlns:c16="http://schemas.microsoft.com/office/drawing/2014/chart" uri="{C3380CC4-5D6E-409C-BE32-E72D297353CC}">
                <c16:uniqueId val="{0000000F-FB29-4E4B-8155-E4F980C2E0BE}"/>
              </c:ext>
            </c:extLst>
          </c:dPt>
          <c:dPt>
            <c:idx val="8"/>
            <c:bubble3D val="0"/>
            <c:spPr>
              <a:solidFill>
                <a:srgbClr val="0777C0"/>
              </a:solidFill>
              <a:ln w="19050">
                <a:solidFill>
                  <a:schemeClr val="lt1"/>
                </a:solidFill>
              </a:ln>
              <a:effectLst/>
            </c:spPr>
            <c:extLst>
              <c:ext xmlns:c16="http://schemas.microsoft.com/office/drawing/2014/chart" uri="{C3380CC4-5D6E-409C-BE32-E72D297353CC}">
                <c16:uniqueId val="{00000011-FB29-4E4B-8155-E4F980C2E0BE}"/>
              </c:ext>
            </c:extLst>
          </c:dPt>
          <c:dLbls>
            <c:dLbl>
              <c:idx val="0"/>
              <c:layout>
                <c:manualLayout>
                  <c:x val="0.11452949259085553"/>
                  <c:y val="-1.9849718785151856E-2"/>
                </c:manualLayout>
              </c:layout>
              <c:tx>
                <c:rich>
                  <a:bodyPr/>
                  <a:lstStyle/>
                  <a:p>
                    <a:r>
                      <a:rPr lang="en-US"/>
                      <a:t>Croatia</a:t>
                    </a:r>
                    <a:r>
                      <a:rPr lang="en-US" baseline="0"/>
                      <a:t> </a:t>
                    </a:r>
                    <a:fld id="{0995F1CD-37B9-45D6-A0AD-78754606B3C9}"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FB29-4E4B-8155-E4F980C2E0BE}"/>
                </c:ext>
              </c:extLst>
            </c:dLbl>
            <c:dLbl>
              <c:idx val="1"/>
              <c:layout>
                <c:manualLayout>
                  <c:x val="-9.8104056437389786E-2"/>
                  <c:y val="6.4034151547491994E-2"/>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r>
                      <a:rPr lang="en-US"/>
                      <a:t>Iraq</a:t>
                    </a:r>
                    <a:r>
                      <a:rPr lang="en-US" baseline="0"/>
                      <a:t> </a:t>
                    </a:r>
                    <a:fld id="{3C040E76-4DAC-48F8-BCD4-6B8FC4C0B255}" type="PERCENTAGE">
                      <a:rPr lang="en-US" baseline="0"/>
                      <a:pPr>
                        <a:defRPr sz="1100"/>
                      </a:pPr>
                      <a:t>[PERCENTAGE]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layout>
                    <c:manualLayout>
                      <c:w val="0.10144409032204307"/>
                      <c:h val="7.0651013874066165E-2"/>
                    </c:manualLayout>
                  </c15:layout>
                  <c15:dlblFieldTable/>
                  <c15:showDataLabelsRange val="0"/>
                </c:ext>
                <c:ext xmlns:c16="http://schemas.microsoft.com/office/drawing/2014/chart" uri="{C3380CC4-5D6E-409C-BE32-E72D297353CC}">
                  <c16:uniqueId val="{00000003-FB29-4E4B-8155-E4F980C2E0BE}"/>
                </c:ext>
              </c:extLst>
            </c:dLbl>
            <c:dLbl>
              <c:idx val="2"/>
              <c:layout>
                <c:manualLayout>
                  <c:x val="-0.12125220458553794"/>
                  <c:y val="0.11739594450373532"/>
                </c:manualLayout>
              </c:layout>
              <c:tx>
                <c:rich>
                  <a:bodyPr/>
                  <a:lstStyle/>
                  <a:p>
                    <a:r>
                      <a:rPr lang="en-US"/>
                      <a:t>Greece</a:t>
                    </a:r>
                    <a:r>
                      <a:rPr lang="en-US" baseline="0"/>
                      <a:t> </a:t>
                    </a:r>
                    <a:fld id="{9358A710-74EF-47B6-A09B-3F85B3A69799}"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FB29-4E4B-8155-E4F980C2E0BE}"/>
                </c:ext>
              </c:extLst>
            </c:dLbl>
            <c:dLbl>
              <c:idx val="3"/>
              <c:layout>
                <c:manualLayout>
                  <c:x val="-0.1322751322751323"/>
                  <c:y val="7.8263963002490222E-2"/>
                </c:manualLayout>
              </c:layout>
              <c:tx>
                <c:rich>
                  <a:bodyPr/>
                  <a:lstStyle/>
                  <a:p>
                    <a:r>
                      <a:rPr lang="en-US"/>
                      <a:t>Ukraine</a:t>
                    </a:r>
                    <a:r>
                      <a:rPr lang="en-US" baseline="0"/>
                      <a:t> </a:t>
                    </a:r>
                    <a:fld id="{BF1C29FC-C638-4DF7-8820-F3F6E3FCE801}"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FB29-4E4B-8155-E4F980C2E0BE}"/>
                </c:ext>
              </c:extLst>
            </c:dLbl>
            <c:dLbl>
              <c:idx val="4"/>
              <c:layout>
                <c:manualLayout>
                  <c:x val="-0.1388888888888889"/>
                  <c:y val="2.8459622909996377E-2"/>
                </c:manualLayout>
              </c:layout>
              <c:tx>
                <c:rich>
                  <a:bodyPr/>
                  <a:lstStyle/>
                  <a:p>
                    <a:r>
                      <a:rPr lang="en-US"/>
                      <a:t>France</a:t>
                    </a:r>
                    <a:r>
                      <a:rPr lang="en-US" baseline="0"/>
                      <a:t> </a:t>
                    </a:r>
                    <a:fld id="{F8A1C438-4125-45E0-9D18-B3F3336F93AC}"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FB29-4E4B-8155-E4F980C2E0BE}"/>
                </c:ext>
              </c:extLst>
            </c:dLbl>
            <c:dLbl>
              <c:idx val="5"/>
              <c:layout>
                <c:manualLayout>
                  <c:x val="-0.14991181657848326"/>
                  <c:y val="-2.8459622909996443E-2"/>
                </c:manualLayout>
              </c:layout>
              <c:tx>
                <c:rich>
                  <a:bodyPr/>
                  <a:lstStyle/>
                  <a:p>
                    <a:r>
                      <a:rPr lang="en-US"/>
                      <a:t>Switzerland</a:t>
                    </a:r>
                    <a:r>
                      <a:rPr lang="en-US" baseline="0"/>
                      <a:t> </a:t>
                    </a:r>
                    <a:fld id="{1F9EB45A-6237-421E-8F6A-B4279601694A}"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FB29-4E4B-8155-E4F980C2E0BE}"/>
                </c:ext>
              </c:extLst>
            </c:dLbl>
            <c:dLbl>
              <c:idx val="6"/>
              <c:layout>
                <c:manualLayout>
                  <c:x val="-0.16093474426807761"/>
                  <c:y val="-8.1821415866239838E-2"/>
                </c:manualLayout>
              </c:layout>
              <c:tx>
                <c:rich>
                  <a:bodyPr/>
                  <a:lstStyle/>
                  <a:p>
                    <a:r>
                      <a:rPr lang="en-US"/>
                      <a:t>Canada</a:t>
                    </a:r>
                    <a:r>
                      <a:rPr lang="en-US" baseline="0"/>
                      <a:t> </a:t>
                    </a:r>
                    <a:fld id="{276A1150-0C3F-46B5-B2DF-E438E86CEC0B}"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FB29-4E4B-8155-E4F980C2E0BE}"/>
                </c:ext>
              </c:extLst>
            </c:dLbl>
            <c:dLbl>
              <c:idx val="7"/>
              <c:layout>
                <c:manualLayout>
                  <c:x val="-0.1146384479717813"/>
                  <c:y val="-0.13327058770801994"/>
                </c:manualLayout>
              </c:layout>
              <c:tx>
                <c:rich>
                  <a:bodyPr/>
                  <a:lstStyle/>
                  <a:p>
                    <a:r>
                      <a:rPr lang="en-US"/>
                      <a:t>Slovenia</a:t>
                    </a:r>
                    <a:r>
                      <a:rPr lang="en-US" baseline="0"/>
                      <a:t> </a:t>
                    </a:r>
                    <a:fld id="{5C39C2A8-D2A9-487A-9FD9-051867A675D1}"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F-FB29-4E4B-8155-E4F980C2E0BE}"/>
                </c:ext>
              </c:extLst>
            </c:dLbl>
            <c:dLbl>
              <c:idx val="8"/>
              <c:layout>
                <c:manualLayout>
                  <c:x val="-5.0705467372134001E-2"/>
                  <c:y val="-0.13972498368333627"/>
                </c:manualLayout>
              </c:layout>
              <c:tx>
                <c:rich>
                  <a:bodyPr/>
                  <a:lstStyle/>
                  <a:p>
                    <a:r>
                      <a:rPr lang="en-US"/>
                      <a:t>Others</a:t>
                    </a:r>
                    <a:r>
                      <a:rPr lang="en-US" baseline="0"/>
                      <a:t> </a:t>
                    </a:r>
                    <a:fld id="{5A21F137-09CF-47AD-956B-BE6AD6075FB0}" type="PERCENTAGE">
                      <a:rPr lang="en-US" baseline="0"/>
                      <a:pPr/>
                      <a:t>[PERCENTAGE]</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1-FB29-4E4B-8155-E4F980C2E0B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Sheet1!$D$6:$D$14</c:f>
              <c:strCache>
                <c:ptCount val="9"/>
                <c:pt idx="0">
                  <c:v>Hrvatska</c:v>
                </c:pt>
                <c:pt idx="1">
                  <c:v>Irak</c:v>
                </c:pt>
                <c:pt idx="2">
                  <c:v>Grčka</c:v>
                </c:pt>
                <c:pt idx="3">
                  <c:v>Ukrajina</c:v>
                </c:pt>
                <c:pt idx="4">
                  <c:v>Francuska</c:v>
                </c:pt>
                <c:pt idx="5">
                  <c:v>Švicarska</c:v>
                </c:pt>
                <c:pt idx="6">
                  <c:v>Kanada</c:v>
                </c:pt>
                <c:pt idx="7">
                  <c:v>Slovenija</c:v>
                </c:pt>
                <c:pt idx="8">
                  <c:v>Ostale</c:v>
                </c:pt>
              </c:strCache>
            </c:strRef>
          </c:cat>
          <c:val>
            <c:numRef>
              <c:f>Sheet1!$E$6:$E$14</c:f>
              <c:numCache>
                <c:formatCode>_-* #,##0\ "kn"_-;\-* #,##0\ "kn"_-;_-* "-"??\ "kn"_-;_-@_-</c:formatCode>
                <c:ptCount val="9"/>
                <c:pt idx="0">
                  <c:v>1878508900.4899998</c:v>
                </c:pt>
                <c:pt idx="1">
                  <c:v>334136992.19999999</c:v>
                </c:pt>
                <c:pt idx="2">
                  <c:v>80004745.639999986</c:v>
                </c:pt>
                <c:pt idx="3">
                  <c:v>77115218.342133179</c:v>
                </c:pt>
                <c:pt idx="4">
                  <c:v>56761107.980000004</c:v>
                </c:pt>
                <c:pt idx="5">
                  <c:v>43335462.740000017</c:v>
                </c:pt>
                <c:pt idx="6">
                  <c:v>43281951.610000007</c:v>
                </c:pt>
                <c:pt idx="7">
                  <c:v>29666668.210000001</c:v>
                </c:pt>
                <c:pt idx="8">
                  <c:v>291667122.42975926</c:v>
                </c:pt>
              </c:numCache>
            </c:numRef>
          </c:val>
          <c:extLst>
            <c:ext xmlns:c16="http://schemas.microsoft.com/office/drawing/2014/chart" uri="{C3380CC4-5D6E-409C-BE32-E72D297353CC}">
              <c16:uniqueId val="{00000012-FB29-4E4B-8155-E4F980C2E0BE}"/>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85000"/>
        </a:sys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b="0" i="0" baseline="0">
                <a:effectLst/>
              </a:rPr>
              <a:t>TOTAL GROSS PORTFOLIO BY STAGES OF CREDIT RISK </a:t>
            </a:r>
          </a:p>
          <a:p>
            <a:pPr>
              <a:defRPr sz="1100"/>
            </a:pPr>
            <a:r>
              <a:rPr lang="hr-HR" sz="1100" b="0" i="0" baseline="0">
                <a:effectLst/>
              </a:rPr>
              <a:t>31 December 2022</a:t>
            </a:r>
            <a:endParaRPr lang="en-US" sz="1100">
              <a:effectLst/>
            </a:endParaRPr>
          </a:p>
        </c:rich>
      </c:tx>
      <c:layout>
        <c:manualLayout>
          <c:xMode val="edge"/>
          <c:yMode val="edge"/>
          <c:x val="0.12846657229257891"/>
          <c:y val="3.877471888328809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983040502155379"/>
          <c:y val="0.35174562563161577"/>
          <c:w val="0.37601363703457752"/>
          <c:h val="0.60495133706628568"/>
        </c:manualLayout>
      </c:layout>
      <c:doughnutChart>
        <c:varyColors val="1"/>
        <c:ser>
          <c:idx val="0"/>
          <c:order val="0"/>
          <c:tx>
            <c:strRef>
              <c:f>Sheet1!$B$1</c:f>
              <c:strCache>
                <c:ptCount val="1"/>
                <c:pt idx="0">
                  <c:v>Column1</c:v>
                </c:pt>
              </c:strCache>
            </c:strRef>
          </c:tx>
          <c:spPr>
            <a:ln>
              <a:solidFill>
                <a:schemeClr val="bg1"/>
              </a:solidFill>
            </a:ln>
          </c:spPr>
          <c:dPt>
            <c:idx val="0"/>
            <c:bubble3D val="0"/>
            <c:spPr>
              <a:solidFill>
                <a:srgbClr val="535959"/>
              </a:solidFill>
              <a:ln w="19050">
                <a:solidFill>
                  <a:schemeClr val="bg1"/>
                </a:solidFill>
              </a:ln>
              <a:effectLst/>
            </c:spPr>
            <c:extLst>
              <c:ext xmlns:c16="http://schemas.microsoft.com/office/drawing/2014/chart" uri="{C3380CC4-5D6E-409C-BE32-E72D297353CC}">
                <c16:uniqueId val="{00000001-5B29-4220-9FD5-2C02BBC6F3A8}"/>
              </c:ext>
            </c:extLst>
          </c:dPt>
          <c:dPt>
            <c:idx val="1"/>
            <c:bubble3D val="0"/>
            <c:spPr>
              <a:solidFill>
                <a:srgbClr val="0777C0"/>
              </a:solidFill>
              <a:ln w="19050">
                <a:solidFill>
                  <a:schemeClr val="bg1"/>
                </a:solidFill>
              </a:ln>
              <a:effectLst/>
            </c:spPr>
            <c:extLst>
              <c:ext xmlns:c16="http://schemas.microsoft.com/office/drawing/2014/chart" uri="{C3380CC4-5D6E-409C-BE32-E72D297353CC}">
                <c16:uniqueId val="{00000003-5B29-4220-9FD5-2C02BBC6F3A8}"/>
              </c:ext>
            </c:extLst>
          </c:dPt>
          <c:dPt>
            <c:idx val="2"/>
            <c:bubble3D val="0"/>
            <c:spPr>
              <a:solidFill>
                <a:srgbClr val="E31C22"/>
              </a:solidFill>
              <a:ln w="19050">
                <a:solidFill>
                  <a:schemeClr val="bg1"/>
                </a:solidFill>
              </a:ln>
              <a:effectLst/>
            </c:spPr>
            <c:extLst>
              <c:ext xmlns:c16="http://schemas.microsoft.com/office/drawing/2014/chart" uri="{C3380CC4-5D6E-409C-BE32-E72D297353CC}">
                <c16:uniqueId val="{00000005-5B29-4220-9FD5-2C02BBC6F3A8}"/>
              </c:ext>
            </c:extLst>
          </c:dPt>
          <c:dPt>
            <c:idx val="3"/>
            <c:bubble3D val="0"/>
            <c:spPr>
              <a:solidFill>
                <a:srgbClr val="FF8006"/>
              </a:solidFill>
              <a:ln w="19050">
                <a:solidFill>
                  <a:schemeClr val="bg1"/>
                </a:solidFill>
              </a:ln>
              <a:effectLst/>
            </c:spPr>
            <c:extLst>
              <c:ext xmlns:c16="http://schemas.microsoft.com/office/drawing/2014/chart" uri="{C3380CC4-5D6E-409C-BE32-E72D297353CC}">
                <c16:uniqueId val="{00000007-5B29-4220-9FD5-2C02BBC6F3A8}"/>
              </c:ext>
            </c:extLst>
          </c:dPt>
          <c:dLbls>
            <c:dLbl>
              <c:idx val="0"/>
              <c:layout>
                <c:manualLayout>
                  <c:x val="6.1801692753575277E-2"/>
                  <c:y val="6.9374688962638875E-2"/>
                </c:manualLayout>
              </c:layout>
              <c:tx>
                <c:rich>
                  <a:bodyPr/>
                  <a:lstStyle/>
                  <a:p>
                    <a:r>
                      <a:rPr lang="en-US" baseline="0"/>
                      <a:t>78.4%</a:t>
                    </a:r>
                    <a:endParaRPr lang="en-US"/>
                  </a:p>
                </c:rich>
              </c:tx>
              <c:showLegendKey val="0"/>
              <c:showVal val="1"/>
              <c:showCatName val="0"/>
              <c:showSerName val="0"/>
              <c:showPercent val="1"/>
              <c:showBubbleSize val="0"/>
              <c:extLst>
                <c:ext xmlns:c15="http://schemas.microsoft.com/office/drawing/2012/chart" uri="{CE6537A1-D6FC-4f65-9D91-7224C49458BB}">
                  <c15:showDataLabelsRange val="1"/>
                </c:ext>
                <c:ext xmlns:c16="http://schemas.microsoft.com/office/drawing/2014/chart" uri="{C3380CC4-5D6E-409C-BE32-E72D297353CC}">
                  <c16:uniqueId val="{00000001-5B29-4220-9FD5-2C02BBC6F3A8}"/>
                </c:ext>
              </c:extLst>
            </c:dLbl>
            <c:dLbl>
              <c:idx val="1"/>
              <c:layout>
                <c:manualLayout>
                  <c:x val="-8.1330220462773647E-2"/>
                  <c:y val="5.4769593537541662E-2"/>
                </c:manualLayout>
              </c:layout>
              <c:tx>
                <c:rich>
                  <a:bodyPr/>
                  <a:lstStyle/>
                  <a:p>
                    <a:r>
                      <a:rPr lang="en-US" baseline="0"/>
                      <a:t>7.4%</a:t>
                    </a:r>
                    <a:endParaRPr lang="en-US"/>
                  </a:p>
                </c:rich>
              </c:tx>
              <c:showLegendKey val="0"/>
              <c:showVal val="1"/>
              <c:showCatName val="0"/>
              <c:showSerName val="0"/>
              <c:showPercent val="1"/>
              <c:showBubbleSize val="0"/>
              <c:extLst>
                <c:ext xmlns:c15="http://schemas.microsoft.com/office/drawing/2012/chart" uri="{CE6537A1-D6FC-4f65-9D91-7224C49458BB}">
                  <c15:showDataLabelsRange val="1"/>
                </c:ext>
                <c:ext xmlns:c16="http://schemas.microsoft.com/office/drawing/2014/chart" uri="{C3380CC4-5D6E-409C-BE32-E72D297353CC}">
                  <c16:uniqueId val="{00000003-5B29-4220-9FD5-2C02BBC6F3A8}"/>
                </c:ext>
              </c:extLst>
            </c:dLbl>
            <c:dLbl>
              <c:idx val="2"/>
              <c:layout>
                <c:manualLayout>
                  <c:x val="-0.12995519206508027"/>
                  <c:y val="-0.12784214396071744"/>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r>
                      <a:rPr lang="en-US" baseline="0"/>
                      <a:t>14.1%</a:t>
                    </a:r>
                    <a:endParaRPr lang="en-US"/>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15:showDataLabelsRange val="1"/>
                </c:ext>
                <c:ext xmlns:c16="http://schemas.microsoft.com/office/drawing/2014/chart" uri="{C3380CC4-5D6E-409C-BE32-E72D297353CC}">
                  <c16:uniqueId val="{00000005-5B29-4220-9FD5-2C02BBC6F3A8}"/>
                </c:ext>
              </c:extLst>
            </c:dLbl>
            <c:dLbl>
              <c:idx val="3"/>
              <c:layout>
                <c:manualLayout>
                  <c:x val="-2.1546261089987324E-2"/>
                  <c:y val="-8.9456869009584689E-2"/>
                </c:manualLayout>
              </c:layout>
              <c:tx>
                <c:rich>
                  <a:bodyPr/>
                  <a:lstStyle/>
                  <a:p>
                    <a:r>
                      <a:rPr lang="en-US"/>
                      <a:t>0.1%</a:t>
                    </a:r>
                  </a:p>
                </c:rich>
              </c:tx>
              <c:showLegendKey val="0"/>
              <c:showVal val="1"/>
              <c:showCatName val="0"/>
              <c:showSerName val="0"/>
              <c:showPercent val="1"/>
              <c:showBubbleSize val="0"/>
              <c:extLst>
                <c:ext xmlns:c15="http://schemas.microsoft.com/office/drawing/2012/chart" uri="{CE6537A1-D6FC-4f65-9D91-7224C49458BB}">
                  <c15:layout>
                    <c:manualLayout>
                      <c:w val="8.8453838707423918E-2"/>
                      <c:h val="6.9989350372736958E-2"/>
                    </c:manualLayout>
                  </c15:layout>
                  <c15:showDataLabelsRange val="1"/>
                </c:ext>
                <c:ext xmlns:c16="http://schemas.microsoft.com/office/drawing/2014/chart" uri="{C3380CC4-5D6E-409C-BE32-E72D297353CC}">
                  <c16:uniqueId val="{00000007-5B29-4220-9FD5-2C02BBC6F3A8}"/>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Sheet1!$A$2:$A$5</c:f>
              <c:strCache>
                <c:ptCount val="4"/>
                <c:pt idx="0">
                  <c:v>Stage 1</c:v>
                </c:pt>
                <c:pt idx="1">
                  <c:v>Stage 2</c:v>
                </c:pt>
                <c:pt idx="2">
                  <c:v>Stage 3</c:v>
                </c:pt>
                <c:pt idx="3">
                  <c:v>No Stage</c:v>
                </c:pt>
              </c:strCache>
            </c:strRef>
          </c:cat>
          <c:val>
            <c:numRef>
              <c:f>Sheet1!$B$2:$B$5</c:f>
              <c:numCache>
                <c:formatCode>0.0%</c:formatCode>
                <c:ptCount val="4"/>
                <c:pt idx="0">
                  <c:v>0.78400000000000003</c:v>
                </c:pt>
                <c:pt idx="1">
                  <c:v>7.3999999999999996E-2</c:v>
                </c:pt>
                <c:pt idx="2">
                  <c:v>0.14099999999999999</c:v>
                </c:pt>
                <c:pt idx="3">
                  <c:v>1E-3</c:v>
                </c:pt>
              </c:numCache>
            </c:numRef>
          </c:val>
          <c:extLst>
            <c:ext xmlns:c15="http://schemas.microsoft.com/office/drawing/2012/chart" uri="{02D57815-91ED-43cb-92C2-25804820EDAC}">
              <c15:datalabelsRange>
                <c15:f>Sheet1!$B$2:$B$5</c15:f>
                <c15:dlblRangeCache>
                  <c:ptCount val="4"/>
                  <c:pt idx="0">
                    <c:v>78,4%</c:v>
                  </c:pt>
                  <c:pt idx="1">
                    <c:v>7,4%</c:v>
                  </c:pt>
                  <c:pt idx="2">
                    <c:v>14,1%</c:v>
                  </c:pt>
                  <c:pt idx="3">
                    <c:v>0,1%</c:v>
                  </c:pt>
                </c15:dlblRangeCache>
              </c15:datalabelsRange>
            </c:ext>
            <c:ext xmlns:c16="http://schemas.microsoft.com/office/drawing/2014/chart" uri="{C3380CC4-5D6E-409C-BE32-E72D297353CC}">
              <c16:uniqueId val="{00000008-5B29-4220-9FD5-2C02BBC6F3A8}"/>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4.5968085336720636E-2"/>
          <c:y val="0.70739070566935236"/>
          <c:w val="0.21407404276115355"/>
          <c:h val="0.2615895192240171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b="0" i="0" baseline="0">
                <a:effectLst/>
              </a:rPr>
              <a:t>TOTAL GROSS LOAN PORTFOLIO BY STAGES OF CREDIT RISK </a:t>
            </a:r>
          </a:p>
          <a:p>
            <a:pPr>
              <a:defRPr sz="1100"/>
            </a:pPr>
            <a:r>
              <a:rPr lang="hr-HR" sz="1100" b="0" i="0" baseline="0">
                <a:effectLst/>
              </a:rPr>
              <a:t>31 December 2022</a:t>
            </a:r>
            <a:endParaRPr lang="en-US" sz="1100">
              <a:effectLst/>
            </a:endParaRPr>
          </a:p>
        </c:rich>
      </c:tx>
      <c:layout>
        <c:manualLayout>
          <c:xMode val="edge"/>
          <c:yMode val="edge"/>
          <c:x val="0.11329031384889043"/>
          <c:y val="3.70218017276840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2014360117758672"/>
          <c:y val="0.3159082476253986"/>
          <c:w val="0.36829320238166807"/>
          <c:h val="0.61798079800285544"/>
        </c:manualLayout>
      </c:layout>
      <c:doughnutChart>
        <c:varyColors val="1"/>
        <c:ser>
          <c:idx val="0"/>
          <c:order val="0"/>
          <c:tx>
            <c:strRef>
              <c:f>Sheet1!$B$1</c:f>
              <c:strCache>
                <c:ptCount val="1"/>
                <c:pt idx="0">
                  <c:v>Column1</c:v>
                </c:pt>
              </c:strCache>
            </c:strRef>
          </c:tx>
          <c:spPr>
            <a:ln>
              <a:solidFill>
                <a:schemeClr val="bg1"/>
              </a:solidFill>
            </a:ln>
          </c:spPr>
          <c:dPt>
            <c:idx val="0"/>
            <c:bubble3D val="0"/>
            <c:spPr>
              <a:solidFill>
                <a:srgbClr val="535959"/>
              </a:solidFill>
              <a:ln w="19050">
                <a:solidFill>
                  <a:schemeClr val="bg1"/>
                </a:solidFill>
              </a:ln>
              <a:effectLst/>
            </c:spPr>
            <c:extLst>
              <c:ext xmlns:c16="http://schemas.microsoft.com/office/drawing/2014/chart" uri="{C3380CC4-5D6E-409C-BE32-E72D297353CC}">
                <c16:uniqueId val="{00000001-7123-4D6C-974F-62BEB09BE72B}"/>
              </c:ext>
            </c:extLst>
          </c:dPt>
          <c:dPt>
            <c:idx val="1"/>
            <c:bubble3D val="0"/>
            <c:spPr>
              <a:solidFill>
                <a:srgbClr val="0777C0"/>
              </a:solidFill>
              <a:ln w="19050">
                <a:solidFill>
                  <a:schemeClr val="bg1"/>
                </a:solidFill>
              </a:ln>
              <a:effectLst/>
            </c:spPr>
            <c:extLst>
              <c:ext xmlns:c16="http://schemas.microsoft.com/office/drawing/2014/chart" uri="{C3380CC4-5D6E-409C-BE32-E72D297353CC}">
                <c16:uniqueId val="{00000003-7123-4D6C-974F-62BEB09BE72B}"/>
              </c:ext>
            </c:extLst>
          </c:dPt>
          <c:dPt>
            <c:idx val="2"/>
            <c:bubble3D val="0"/>
            <c:spPr>
              <a:solidFill>
                <a:srgbClr val="E31C22"/>
              </a:solidFill>
              <a:ln w="19050">
                <a:solidFill>
                  <a:schemeClr val="bg1"/>
                </a:solidFill>
              </a:ln>
              <a:effectLst/>
            </c:spPr>
            <c:extLst>
              <c:ext xmlns:c16="http://schemas.microsoft.com/office/drawing/2014/chart" uri="{C3380CC4-5D6E-409C-BE32-E72D297353CC}">
                <c16:uniqueId val="{00000005-7123-4D6C-974F-62BEB09BE72B}"/>
              </c:ext>
            </c:extLst>
          </c:dPt>
          <c:dPt>
            <c:idx val="3"/>
            <c:bubble3D val="0"/>
            <c:spPr>
              <a:solidFill>
                <a:schemeClr val="accent4"/>
              </a:solidFill>
              <a:ln w="19050">
                <a:solidFill>
                  <a:schemeClr val="bg1"/>
                </a:solidFill>
              </a:ln>
              <a:effectLst/>
            </c:spPr>
            <c:extLst>
              <c:ext xmlns:c16="http://schemas.microsoft.com/office/drawing/2014/chart" uri="{C3380CC4-5D6E-409C-BE32-E72D297353CC}">
                <c16:uniqueId val="{00000007-7123-4D6C-974F-62BEB09BE72B}"/>
              </c:ext>
            </c:extLst>
          </c:dPt>
          <c:dLbls>
            <c:dLbl>
              <c:idx val="0"/>
              <c:layout>
                <c:manualLayout>
                  <c:x val="5.8969418003544175E-2"/>
                  <c:y val="6.9374780921114501E-2"/>
                </c:manualLayout>
              </c:layout>
              <c:tx>
                <c:rich>
                  <a:bodyPr/>
                  <a:lstStyle/>
                  <a:p>
                    <a:r>
                      <a:rPr lang="en-US" baseline="0"/>
                      <a:t>75.8%</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7123-4D6C-974F-62BEB09BE72B}"/>
                </c:ext>
              </c:extLst>
            </c:dLbl>
            <c:dLbl>
              <c:idx val="1"/>
              <c:layout>
                <c:manualLayout>
                  <c:x val="-0.10462525819577329"/>
                  <c:y val="-6.0338386040507154E-3"/>
                </c:manualLayout>
              </c:layout>
              <c:tx>
                <c:rich>
                  <a:bodyPr/>
                  <a:lstStyle/>
                  <a:p>
                    <a:r>
                      <a:rPr lang="en-US" baseline="0"/>
                      <a:t>8.5%</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7123-4D6C-974F-62BEB09BE72B}"/>
                </c:ext>
              </c:extLst>
            </c:dLbl>
            <c:dLbl>
              <c:idx val="2"/>
              <c:layout>
                <c:manualLayout>
                  <c:x val="-0.13254352006309816"/>
                  <c:y val="-8.8754264023186064E-2"/>
                </c:manualLayout>
              </c:layout>
              <c:tx>
                <c:rich>
                  <a:bodyPr/>
                  <a:lstStyle/>
                  <a:p>
                    <a:r>
                      <a:rPr lang="en-US" baseline="0"/>
                      <a:t>15.7%</a:t>
                    </a:r>
                    <a:endParaRPr lang="en-US"/>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7123-4D6C-974F-62BEB09BE72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Stage 1</c:v>
                </c:pt>
                <c:pt idx="1">
                  <c:v>Stage 2</c:v>
                </c:pt>
                <c:pt idx="2">
                  <c:v>Stage 3</c:v>
                </c:pt>
              </c:strCache>
            </c:strRef>
          </c:cat>
          <c:val>
            <c:numRef>
              <c:f>Sheet1!$B$2:$B$4</c:f>
              <c:numCache>
                <c:formatCode>0.0%</c:formatCode>
                <c:ptCount val="3"/>
                <c:pt idx="0">
                  <c:v>0.75800000000000001</c:v>
                </c:pt>
                <c:pt idx="1">
                  <c:v>8.5000000000000006E-2</c:v>
                </c:pt>
                <c:pt idx="2">
                  <c:v>0.157</c:v>
                </c:pt>
              </c:numCache>
            </c:numRef>
          </c:val>
          <c:extLst>
            <c:ext xmlns:c16="http://schemas.microsoft.com/office/drawing/2014/chart" uri="{C3380CC4-5D6E-409C-BE32-E72D297353CC}">
              <c16:uniqueId val="{00000008-7123-4D6C-974F-62BEB09BE72B}"/>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5.1524616107340146E-2"/>
          <c:y val="0.71116810724392354"/>
          <c:w val="0.19810236933790806"/>
          <c:h val="0.241057734232732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spc="0" baseline="0">
                <a:solidFill>
                  <a:srgbClr val="595959"/>
                </a:solidFill>
                <a:latin typeface="Calibri"/>
              </a:defRPr>
            </a:pPr>
            <a:r>
              <a:rPr lang="hr-HR" sz="1100" b="0" i="0" u="none" strike="noStrike" kern="1200" cap="none" spc="0" baseline="0">
                <a:solidFill>
                  <a:srgbClr val="595959"/>
                </a:solidFill>
                <a:uFillTx/>
                <a:latin typeface="Calibri"/>
              </a:rPr>
              <a:t>EXPOSURE BY COUNTRIES IN ACCORDANCE WITH THE LIMIT AMOUNTS</a:t>
            </a:r>
          </a:p>
          <a:p>
            <a:pPr marL="0" marR="0" indent="0" algn="ctr" defTabSz="914400" fontAlgn="auto" hangingPunct="1">
              <a:lnSpc>
                <a:spcPct val="100000"/>
              </a:lnSpc>
              <a:spcBef>
                <a:spcPts val="0"/>
              </a:spcBef>
              <a:spcAft>
                <a:spcPts val="0"/>
              </a:spcAft>
              <a:tabLst/>
              <a:defRPr lang="hr-HR" sz="1100" b="0" i="0" u="none" strike="noStrike" kern="1200" spc="0" baseline="0">
                <a:solidFill>
                  <a:srgbClr val="595959"/>
                </a:solidFill>
                <a:latin typeface="Calibri"/>
              </a:defRPr>
            </a:pPr>
            <a:r>
              <a:rPr lang="hr-HR" sz="1100" b="0" i="0" u="none" strike="noStrike" kern="1200" cap="none" spc="0" baseline="0">
                <a:solidFill>
                  <a:srgbClr val="595959"/>
                </a:solidFill>
                <a:uFillTx/>
                <a:latin typeface="Calibri"/>
              </a:rPr>
              <a:t>AS AT 31 December 2022</a:t>
            </a:r>
          </a:p>
        </c:rich>
      </c:tx>
      <c:overlay val="0"/>
      <c:spPr>
        <a:noFill/>
        <a:ln>
          <a:noFill/>
        </a:ln>
      </c:spPr>
    </c:title>
    <c:autoTitleDeleted val="0"/>
    <c:plotArea>
      <c:layout>
        <c:manualLayout>
          <c:layoutTarget val="inner"/>
          <c:xMode val="edge"/>
          <c:yMode val="edge"/>
          <c:x val="0.36652947934223878"/>
          <c:y val="0.26413226850206667"/>
          <c:w val="0.37707562912463416"/>
          <c:h val="0.56068727751073866"/>
        </c:manualLayout>
      </c:layout>
      <c:doughnutChart>
        <c:varyColors val="1"/>
        <c:ser>
          <c:idx val="0"/>
          <c:order val="0"/>
          <c:tx>
            <c:v>Skup1</c:v>
          </c:tx>
          <c:dPt>
            <c:idx val="0"/>
            <c:bubble3D val="0"/>
            <c:spPr>
              <a:solidFill>
                <a:srgbClr val="535959"/>
              </a:solidFill>
              <a:ln w="19046">
                <a:solidFill>
                  <a:srgbClr val="FFFFFF"/>
                </a:solidFill>
                <a:prstDash val="solid"/>
              </a:ln>
            </c:spPr>
            <c:extLst>
              <c:ext xmlns:c16="http://schemas.microsoft.com/office/drawing/2014/chart" uri="{C3380CC4-5D6E-409C-BE32-E72D297353CC}">
                <c16:uniqueId val="{00000001-A921-42E6-BF0F-FFB23DBF66EF}"/>
              </c:ext>
            </c:extLst>
          </c:dPt>
          <c:dPt>
            <c:idx val="1"/>
            <c:bubble3D val="0"/>
            <c:spPr>
              <a:solidFill>
                <a:srgbClr val="A6A6A6"/>
              </a:solidFill>
              <a:ln w="19046">
                <a:solidFill>
                  <a:srgbClr val="FFFFFF"/>
                </a:solidFill>
                <a:prstDash val="solid"/>
              </a:ln>
            </c:spPr>
            <c:extLst>
              <c:ext xmlns:c16="http://schemas.microsoft.com/office/drawing/2014/chart" uri="{C3380CC4-5D6E-409C-BE32-E72D297353CC}">
                <c16:uniqueId val="{00000003-A921-42E6-BF0F-FFB23DBF66EF}"/>
              </c:ext>
            </c:extLst>
          </c:dPt>
          <c:dPt>
            <c:idx val="2"/>
            <c:bubble3D val="0"/>
            <c:spPr>
              <a:solidFill>
                <a:srgbClr val="D0CECE"/>
              </a:solidFill>
              <a:ln w="19046">
                <a:solidFill>
                  <a:srgbClr val="FFFFFF"/>
                </a:solidFill>
                <a:prstDash val="solid"/>
              </a:ln>
            </c:spPr>
            <c:extLst>
              <c:ext xmlns:c16="http://schemas.microsoft.com/office/drawing/2014/chart" uri="{C3380CC4-5D6E-409C-BE32-E72D297353CC}">
                <c16:uniqueId val="{00000005-A921-42E6-BF0F-FFB23DBF66EF}"/>
              </c:ext>
            </c:extLst>
          </c:dPt>
          <c:dPt>
            <c:idx val="3"/>
            <c:bubble3D val="0"/>
            <c:spPr>
              <a:solidFill>
                <a:srgbClr val="0070C0"/>
              </a:solidFill>
              <a:ln w="19046">
                <a:solidFill>
                  <a:srgbClr val="FFFFFF"/>
                </a:solidFill>
                <a:prstDash val="solid"/>
              </a:ln>
            </c:spPr>
            <c:extLst>
              <c:ext xmlns:c16="http://schemas.microsoft.com/office/drawing/2014/chart" uri="{C3380CC4-5D6E-409C-BE32-E72D297353CC}">
                <c16:uniqueId val="{00000007-A921-42E6-BF0F-FFB23DBF66EF}"/>
              </c:ext>
            </c:extLst>
          </c:dPt>
          <c:dPt>
            <c:idx val="4"/>
            <c:bubble3D val="0"/>
            <c:spPr>
              <a:solidFill>
                <a:srgbClr val="002060"/>
              </a:solidFill>
              <a:ln w="19046">
                <a:solidFill>
                  <a:srgbClr val="FFFFFF"/>
                </a:solidFill>
                <a:prstDash val="solid"/>
              </a:ln>
            </c:spPr>
            <c:extLst>
              <c:ext xmlns:c16="http://schemas.microsoft.com/office/drawing/2014/chart" uri="{C3380CC4-5D6E-409C-BE32-E72D297353CC}">
                <c16:uniqueId val="{00000009-A921-42E6-BF0F-FFB23DBF66EF}"/>
              </c:ext>
            </c:extLst>
          </c:dPt>
          <c:dPt>
            <c:idx val="5"/>
            <c:bubble3D val="0"/>
            <c:spPr>
              <a:solidFill>
                <a:srgbClr val="66CCFF"/>
              </a:solidFill>
              <a:ln w="19046">
                <a:solidFill>
                  <a:srgbClr val="FFFFFF"/>
                </a:solidFill>
                <a:prstDash val="solid"/>
              </a:ln>
            </c:spPr>
            <c:extLst>
              <c:ext xmlns:c16="http://schemas.microsoft.com/office/drawing/2014/chart" uri="{C3380CC4-5D6E-409C-BE32-E72D297353CC}">
                <c16:uniqueId val="{0000000B-A921-42E6-BF0F-FFB23DBF66EF}"/>
              </c:ext>
            </c:extLst>
          </c:dPt>
          <c:dPt>
            <c:idx val="6"/>
            <c:bubble3D val="0"/>
            <c:spPr>
              <a:solidFill>
                <a:srgbClr val="FFFF00"/>
              </a:solidFill>
              <a:ln w="19046">
                <a:solidFill>
                  <a:srgbClr val="FFFFFF"/>
                </a:solidFill>
                <a:prstDash val="solid"/>
              </a:ln>
            </c:spPr>
            <c:extLst>
              <c:ext xmlns:c16="http://schemas.microsoft.com/office/drawing/2014/chart" uri="{C3380CC4-5D6E-409C-BE32-E72D297353CC}">
                <c16:uniqueId val="{0000000D-A921-42E6-BF0F-FFB23DBF66EF}"/>
              </c:ext>
            </c:extLst>
          </c:dPt>
          <c:dPt>
            <c:idx val="7"/>
            <c:bubble3D val="0"/>
            <c:spPr>
              <a:solidFill>
                <a:srgbClr val="00B050"/>
              </a:solidFill>
              <a:ln w="19046">
                <a:solidFill>
                  <a:srgbClr val="FFFFFF"/>
                </a:solidFill>
                <a:prstDash val="solid"/>
              </a:ln>
            </c:spPr>
            <c:extLst>
              <c:ext xmlns:c16="http://schemas.microsoft.com/office/drawing/2014/chart" uri="{C3380CC4-5D6E-409C-BE32-E72D297353CC}">
                <c16:uniqueId val="{0000000F-A921-42E6-BF0F-FFB23DBF66EF}"/>
              </c:ext>
            </c:extLst>
          </c:dPt>
          <c:dPt>
            <c:idx val="8"/>
            <c:bubble3D val="0"/>
            <c:spPr>
              <a:solidFill>
                <a:srgbClr val="92D050"/>
              </a:solidFill>
              <a:ln w="19046">
                <a:solidFill>
                  <a:srgbClr val="FFFFFF"/>
                </a:solidFill>
                <a:prstDash val="solid"/>
              </a:ln>
            </c:spPr>
            <c:extLst>
              <c:ext xmlns:c16="http://schemas.microsoft.com/office/drawing/2014/chart" uri="{C3380CC4-5D6E-409C-BE32-E72D297353CC}">
                <c16:uniqueId val="{00000011-A921-42E6-BF0F-FFB23DBF66EF}"/>
              </c:ext>
            </c:extLst>
          </c:dPt>
          <c:dPt>
            <c:idx val="9"/>
            <c:bubble3D val="0"/>
            <c:spPr>
              <a:solidFill>
                <a:srgbClr val="7030A0"/>
              </a:solidFill>
              <a:ln w="19046">
                <a:solidFill>
                  <a:srgbClr val="FFFFFF"/>
                </a:solidFill>
                <a:prstDash val="solid"/>
              </a:ln>
            </c:spPr>
            <c:extLst>
              <c:ext xmlns:c16="http://schemas.microsoft.com/office/drawing/2014/chart" uri="{C3380CC4-5D6E-409C-BE32-E72D297353CC}">
                <c16:uniqueId val="{00000013-A921-42E6-BF0F-FFB23DBF66EF}"/>
              </c:ext>
            </c:extLst>
          </c:dPt>
          <c:dPt>
            <c:idx val="10"/>
            <c:bubble3D val="0"/>
            <c:spPr>
              <a:solidFill>
                <a:srgbClr val="E31C22"/>
              </a:solidFill>
              <a:ln w="19046">
                <a:solidFill>
                  <a:srgbClr val="FFFFFF"/>
                </a:solidFill>
                <a:prstDash val="solid"/>
              </a:ln>
            </c:spPr>
            <c:extLst>
              <c:ext xmlns:c16="http://schemas.microsoft.com/office/drawing/2014/chart" uri="{C3380CC4-5D6E-409C-BE32-E72D297353CC}">
                <c16:uniqueId val="{00000015-A921-42E6-BF0F-FFB23DBF66EF}"/>
              </c:ext>
            </c:extLst>
          </c:dPt>
          <c:dLbls>
            <c:dLbl>
              <c:idx val="0"/>
              <c:layout>
                <c:manualLayout>
                  <c:x val="7.86578760988208E-2"/>
                  <c:y val="-2.1222971478201014E-2"/>
                </c:manualLayout>
              </c:layout>
              <c:tx>
                <c:rich>
                  <a:bodyPr/>
                  <a:lstStyle/>
                  <a:p>
                    <a:r>
                      <a:rPr lang="en-US"/>
                      <a:t>Croatia</a:t>
                    </a:r>
                  </a:p>
                  <a:p>
                    <a:fld id="{9C488462-7A73-459A-90C3-B554F5A20651}" type="PERCENTAGE">
                      <a:rPr lang="en-US" baseline="0"/>
                      <a:pPr/>
                      <a:t>[PERCENTAGE]</a:t>
                    </a:fld>
                    <a:endParaRPr lang="en-US"/>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921-42E6-BF0F-FFB23DBF66EF}"/>
                </c:ext>
              </c:extLst>
            </c:dLbl>
            <c:dLbl>
              <c:idx val="1"/>
              <c:layout>
                <c:manualLayout>
                  <c:x val="6.8140440778236111E-2"/>
                  <c:y val="0.13110796114065337"/>
                </c:manualLayout>
              </c:layout>
              <c:tx>
                <c:rich>
                  <a:bodyPr/>
                  <a:lstStyle/>
                  <a:p>
                    <a:r>
                      <a:rPr lang="en-US"/>
                      <a:t>Italy</a:t>
                    </a:r>
                    <a:r>
                      <a:rPr lang="en-US" baseline="0"/>
                      <a:t>
</a:t>
                    </a:r>
                    <a:fld id="{1903E1E2-6A67-44FD-9CD7-966B0D10410D}"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921-42E6-BF0F-FFB23DBF66EF}"/>
                </c:ext>
              </c:extLst>
            </c:dLbl>
            <c:dLbl>
              <c:idx val="2"/>
              <c:layout>
                <c:manualLayout>
                  <c:x val="-4.2108104542487756E-2"/>
                  <c:y val="0.14675930857238051"/>
                </c:manualLayout>
              </c:layout>
              <c:tx>
                <c:rich>
                  <a:bodyPr/>
                  <a:lstStyle/>
                  <a:p>
                    <a:r>
                      <a:rPr lang="en-US"/>
                      <a:t>Germany</a:t>
                    </a:r>
                    <a:r>
                      <a:rPr lang="en-US" baseline="0"/>
                      <a:t>
</a:t>
                    </a:r>
                    <a:fld id="{E778EA2B-F447-41CB-8154-4527505F0DB7}"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921-42E6-BF0F-FFB23DBF66EF}"/>
                </c:ext>
              </c:extLst>
            </c:dLbl>
            <c:dLbl>
              <c:idx val="3"/>
              <c:layout>
                <c:manualLayout>
                  <c:x val="-0.13231939757530309"/>
                  <c:y val="0.12509443083402294"/>
                </c:manualLayout>
              </c:layout>
              <c:tx>
                <c:rich>
                  <a:bodyPr/>
                  <a:lstStyle/>
                  <a:p>
                    <a:r>
                      <a:rPr lang="en-US"/>
                      <a:t>Slovenia</a:t>
                    </a:r>
                    <a:r>
                      <a:rPr lang="en-US" baseline="0"/>
                      <a:t>
</a:t>
                    </a:r>
                    <a:fld id="{38286A39-B3A2-438D-B83E-348745551EBA}"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921-42E6-BF0F-FFB23DBF66EF}"/>
                </c:ext>
              </c:extLst>
            </c:dLbl>
            <c:dLbl>
              <c:idx val="4"/>
              <c:layout>
                <c:manualLayout>
                  <c:x val="-0.22265879959449514"/>
                  <c:y val="0.12243316099535428"/>
                </c:manualLayout>
              </c:layout>
              <c:tx>
                <c:rich>
                  <a:bodyPr/>
                  <a:lstStyle/>
                  <a:p>
                    <a:r>
                      <a:rPr lang="en-US"/>
                      <a:t>Serbia</a:t>
                    </a:r>
                    <a:r>
                      <a:rPr lang="en-US" baseline="0"/>
                      <a:t>
</a:t>
                    </a:r>
                    <a:fld id="{AE94AB26-63CD-43BE-B78B-BE255CD74E04}"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921-42E6-BF0F-FFB23DBF66EF}"/>
                </c:ext>
              </c:extLst>
            </c:dLbl>
            <c:dLbl>
              <c:idx val="5"/>
              <c:layout>
                <c:manualLayout>
                  <c:x val="-0.23561290949742397"/>
                  <c:y val="3.505097762883691E-2"/>
                </c:manualLayout>
              </c:layout>
              <c:tx>
                <c:rich>
                  <a:bodyPr/>
                  <a:lstStyle/>
                  <a:p>
                    <a:r>
                      <a:rPr lang="en-US"/>
                      <a:t>United Kingdom</a:t>
                    </a:r>
                    <a:r>
                      <a:rPr lang="en-US" baseline="0"/>
                      <a:t>
</a:t>
                    </a:r>
                    <a:fld id="{4F8BE46B-6840-4668-A238-DE201E9B290D}"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921-42E6-BF0F-FFB23DBF66EF}"/>
                </c:ext>
              </c:extLst>
            </c:dLbl>
            <c:dLbl>
              <c:idx val="6"/>
              <c:layout>
                <c:manualLayout>
                  <c:x val="-0.20509606438084127"/>
                  <c:y val="-0.10792645456258654"/>
                </c:manualLayout>
              </c:layout>
              <c:tx>
                <c:rich>
                  <a:bodyPr/>
                  <a:lstStyle/>
                  <a:p>
                    <a:r>
                      <a:rPr lang="en-US"/>
                      <a:t>Bosnia and Herzegovina</a:t>
                    </a:r>
                  </a:p>
                  <a:p>
                    <a:fld id="{84442674-AA41-4925-A39C-BF592DB4577B}" type="PERCENTAGE">
                      <a:rPr lang="en-US" baseline="0"/>
                      <a:pPr/>
                      <a:t>[PERCENTAGE]</a:t>
                    </a:fld>
                    <a:endParaRPr lang="en-US"/>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A921-42E6-BF0F-FFB23DBF66EF}"/>
                </c:ext>
              </c:extLst>
            </c:dLbl>
            <c:dLbl>
              <c:idx val="7"/>
              <c:layout>
                <c:manualLayout>
                  <c:x val="-0.26087225207960119"/>
                  <c:y val="-0.23117514837180209"/>
                </c:manualLayout>
              </c:layout>
              <c:tx>
                <c:rich>
                  <a:bodyPr/>
                  <a:lstStyle/>
                  <a:p>
                    <a:r>
                      <a:rPr lang="en-US"/>
                      <a:t>Hungary</a:t>
                    </a:r>
                  </a:p>
                  <a:p>
                    <a:fld id="{125E1F66-0E99-4B4F-8B68-FBB16F1976E8}" type="PERCENTAGE">
                      <a:rPr lang="en-US" baseline="0"/>
                      <a:pPr/>
                      <a:t>[PERCENTAGE]</a:t>
                    </a:fld>
                    <a:endParaRPr lang="en-US"/>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A921-42E6-BF0F-FFB23DBF66EF}"/>
                </c:ext>
              </c:extLst>
            </c:dLbl>
            <c:dLbl>
              <c:idx val="8"/>
              <c:layout>
                <c:manualLayout>
                  <c:x val="-0.1733463872571484"/>
                  <c:y val="-0.31420108646668898"/>
                </c:manualLayout>
              </c:layout>
              <c:tx>
                <c:rich>
                  <a:bodyPr/>
                  <a:lstStyle/>
                  <a:p>
                    <a:r>
                      <a:rPr lang="en-US"/>
                      <a:t>Spain</a:t>
                    </a:r>
                  </a:p>
                  <a:p>
                    <a:fld id="{A2D8CCF8-9827-4ECF-B61C-EC39C760E6DA}" type="PERCENTAGE">
                      <a:rPr lang="en-US" baseline="0"/>
                      <a:pPr/>
                      <a:t>[PERCENTAGE]</a:t>
                    </a:fld>
                    <a:endParaRPr lang="en-US"/>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A921-42E6-BF0F-FFB23DBF66EF}"/>
                </c:ext>
              </c:extLst>
            </c:dLbl>
            <c:dLbl>
              <c:idx val="9"/>
              <c:layout>
                <c:manualLayout>
                  <c:x val="-2.4944277798608527E-2"/>
                  <c:y val="-0.25933561114434056"/>
                </c:manualLayout>
              </c:layout>
              <c:tx>
                <c:rich>
                  <a:bodyPr/>
                  <a:lstStyle/>
                  <a:p>
                    <a:r>
                      <a:rPr lang="en-US"/>
                      <a:t>France</a:t>
                    </a:r>
                  </a:p>
                  <a:p>
                    <a:fld id="{D9147BAF-7A2F-458A-8A09-A8DC61A188EE}" type="PERCENTAGE">
                      <a:rPr lang="en-US" baseline="0"/>
                      <a:pPr/>
                      <a:t>[PERCENTAGE]</a:t>
                    </a:fld>
                    <a:endParaRPr lang="en-US"/>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A921-42E6-BF0F-FFB23DBF66EF}"/>
                </c:ext>
              </c:extLst>
            </c:dLbl>
            <c:dLbl>
              <c:idx val="10"/>
              <c:layout>
                <c:manualLayout>
                  <c:x val="7.7160320237748103E-2"/>
                  <c:y val="-0.1564331773824838"/>
                </c:manualLayout>
              </c:layout>
              <c:tx>
                <c:rich>
                  <a:bodyPr/>
                  <a:lstStyle/>
                  <a:p>
                    <a:r>
                      <a:rPr lang="en-US"/>
                      <a:t>Others</a:t>
                    </a:r>
                  </a:p>
                  <a:p>
                    <a:fld id="{5F630F6F-131C-4ABC-BC93-3A332738829A}" type="PERCENTAGE">
                      <a:rPr lang="en-US" baseline="0"/>
                      <a:pPr/>
                      <a:t>[PERCENTAGE]</a:t>
                    </a:fld>
                    <a:endParaRPr lang="en-US"/>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A921-42E6-BF0F-FFB23DBF66EF}"/>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Lit>
              <c:ptCount val="11"/>
              <c:pt idx="0">
                <c:v>Hrvatska</c:v>
              </c:pt>
              <c:pt idx="1">
                <c:v>Italija</c:v>
              </c:pt>
              <c:pt idx="2">
                <c:v>Njemačka</c:v>
              </c:pt>
              <c:pt idx="3">
                <c:v>Slovenija</c:v>
              </c:pt>
              <c:pt idx="4">
                <c:v>Srbija</c:v>
              </c:pt>
              <c:pt idx="5">
                <c:v>Ujedinjena Kraljevina</c:v>
              </c:pt>
              <c:pt idx="6">
                <c:v>Bosna i Hercegovina</c:v>
              </c:pt>
              <c:pt idx="7">
                <c:v>Mađarska</c:v>
              </c:pt>
              <c:pt idx="8">
                <c:v>Španjolska</c:v>
              </c:pt>
              <c:pt idx="9">
                <c:v>Francuska</c:v>
              </c:pt>
              <c:pt idx="10">
                <c:v>Ostali</c:v>
              </c:pt>
            </c:strLit>
          </c:cat>
          <c:val>
            <c:numLit>
              <c:formatCode>General</c:formatCode>
              <c:ptCount val="11"/>
              <c:pt idx="0">
                <c:v>0.42</c:v>
              </c:pt>
              <c:pt idx="1">
                <c:v>0.08</c:v>
              </c:pt>
              <c:pt idx="2">
                <c:v>0.06</c:v>
              </c:pt>
              <c:pt idx="3">
                <c:v>0.06</c:v>
              </c:pt>
              <c:pt idx="4">
                <c:v>0.04</c:v>
              </c:pt>
              <c:pt idx="5">
                <c:v>0.04</c:v>
              </c:pt>
              <c:pt idx="6">
                <c:v>0.03</c:v>
              </c:pt>
              <c:pt idx="7">
                <c:v>0.03</c:v>
              </c:pt>
              <c:pt idx="8">
                <c:v>0.02</c:v>
              </c:pt>
              <c:pt idx="9">
                <c:v>0.02</c:v>
              </c:pt>
              <c:pt idx="10">
                <c:v>0.2</c:v>
              </c:pt>
            </c:numLit>
          </c:val>
          <c:extLst>
            <c:ext xmlns:c16="http://schemas.microsoft.com/office/drawing/2014/chart" uri="{C3380CC4-5D6E-409C-BE32-E72D297353CC}">
              <c16:uniqueId val="{00000016-A921-42E6-BF0F-FFB23DBF66EF}"/>
            </c:ext>
          </c:extLst>
        </c:ser>
        <c:dLbls>
          <c:showLegendKey val="0"/>
          <c:showVal val="0"/>
          <c:showCatName val="0"/>
          <c:showSerName val="0"/>
          <c:showPercent val="0"/>
          <c:showBubbleSize val="0"/>
          <c:showLeaderLines val="1"/>
        </c:dLbls>
        <c:firstSliceAng val="0"/>
        <c:holeSize val="75"/>
      </c:doughnutChart>
      <c:spPr>
        <a:noFill/>
        <a:ln>
          <a:noFill/>
        </a:ln>
      </c:spPr>
    </c:plotArea>
    <c:plotVisOnly val="1"/>
    <c:dispBlanksAs val="gap"/>
    <c:showDLblsOverMax val="0"/>
  </c:chart>
  <c:spPr>
    <a:solidFill>
      <a:srgbClr val="FFFFFF"/>
    </a:solidFill>
    <a:ln w="9528" cap="flat">
      <a:solidFill>
        <a:schemeClr val="bg1">
          <a:lumMod val="85000"/>
        </a:schemeClr>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lt1"/>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a834578-004d-42ee-ade6-eb765fe66246">
      <Terms xmlns="http://schemas.microsoft.com/office/infopath/2007/PartnerControls"/>
    </lcf76f155ced4ddcb4097134ff3c332f>
    <TaxCatchAll xmlns="77d63962-8f6a-4226-a74a-ab84c17cf3b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85A2A9EB2663498A4939D32B56C082" ma:contentTypeVersion="10" ma:contentTypeDescription="Create a new document." ma:contentTypeScope="" ma:versionID="64e01229d0f07869bec325fecb01511b">
  <xsd:schema xmlns:xsd="http://www.w3.org/2001/XMLSchema" xmlns:xs="http://www.w3.org/2001/XMLSchema" xmlns:p="http://schemas.microsoft.com/office/2006/metadata/properties" xmlns:ns2="6a834578-004d-42ee-ade6-eb765fe66246" xmlns:ns3="77d63962-8f6a-4226-a74a-ab84c17cf3bb" targetNamespace="http://schemas.microsoft.com/office/2006/metadata/properties" ma:root="true" ma:fieldsID="d61da1b41f90f5feb583df8a1bfb3d3e" ns2:_="" ns3:_="">
    <xsd:import namespace="6a834578-004d-42ee-ade6-eb765fe66246"/>
    <xsd:import namespace="77d63962-8f6a-4226-a74a-ab84c17cf3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34578-004d-42ee-ade6-eb765fe662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a2cf20-993a-444b-a589-f9851580d31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d63962-8f6a-4226-a74a-ab84c17cf3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01c2ae1-b439-4229-9723-2c34d5dc97e9}" ma:internalName="TaxCatchAll" ma:showField="CatchAllData" ma:web="77d63962-8f6a-4226-a74a-ab84c17cf3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6CBB8-87BF-4C86-801C-2207BD4E2523}">
  <ds:schemaRefs>
    <ds:schemaRef ds:uri="http://schemas.microsoft.com/sharepoint/v3/contenttype/forms"/>
  </ds:schemaRefs>
</ds:datastoreItem>
</file>

<file path=customXml/itemProps2.xml><?xml version="1.0" encoding="utf-8"?>
<ds:datastoreItem xmlns:ds="http://schemas.openxmlformats.org/officeDocument/2006/customXml" ds:itemID="{8F64218E-0664-4736-A782-332B1D9D7E0E}">
  <ds:schemaRefs>
    <ds:schemaRef ds:uri="http://schemas.microsoft.com/office/2006/metadata/properties"/>
    <ds:schemaRef ds:uri="http://schemas.microsoft.com/office/infopath/2007/PartnerControls"/>
    <ds:schemaRef ds:uri="6a834578-004d-42ee-ade6-eb765fe66246"/>
    <ds:schemaRef ds:uri="77d63962-8f6a-4226-a74a-ab84c17cf3bb"/>
  </ds:schemaRefs>
</ds:datastoreItem>
</file>

<file path=customXml/itemProps3.xml><?xml version="1.0" encoding="utf-8"?>
<ds:datastoreItem xmlns:ds="http://schemas.openxmlformats.org/officeDocument/2006/customXml" ds:itemID="{C692A830-686B-4F02-94DC-428650FC2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34578-004d-42ee-ade6-eb765fe66246"/>
    <ds:schemaRef ds:uri="77d63962-8f6a-4226-a74a-ab84c17cf3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DDF287-E626-497F-AE14-330E3B818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230</Pages>
  <Words>75905</Words>
  <Characters>432659</Characters>
  <Application>Microsoft Office Word</Application>
  <DocSecurity>0</DocSecurity>
  <Lines>3605</Lines>
  <Paragraphs>1015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507549</CharactersWithSpaces>
  <SharedDoc>false</SharedDoc>
  <HLinks>
    <vt:vector size="192" baseType="variant">
      <vt:variant>
        <vt:i4>1638471</vt:i4>
      </vt:variant>
      <vt:variant>
        <vt:i4>189</vt:i4>
      </vt:variant>
      <vt:variant>
        <vt:i4>0</vt:i4>
      </vt:variant>
      <vt:variant>
        <vt:i4>5</vt:i4>
      </vt:variant>
      <vt:variant>
        <vt:lpwstr>http://www.hkosig.hr/</vt:lpwstr>
      </vt:variant>
      <vt:variant>
        <vt:lpwstr/>
      </vt:variant>
      <vt:variant>
        <vt:i4>1245246</vt:i4>
      </vt:variant>
      <vt:variant>
        <vt:i4>182</vt:i4>
      </vt:variant>
      <vt:variant>
        <vt:i4>0</vt:i4>
      </vt:variant>
      <vt:variant>
        <vt:i4>5</vt:i4>
      </vt:variant>
      <vt:variant>
        <vt:lpwstr/>
      </vt:variant>
      <vt:variant>
        <vt:lpwstr>_Toc128135424</vt:lpwstr>
      </vt:variant>
      <vt:variant>
        <vt:i4>1245246</vt:i4>
      </vt:variant>
      <vt:variant>
        <vt:i4>176</vt:i4>
      </vt:variant>
      <vt:variant>
        <vt:i4>0</vt:i4>
      </vt:variant>
      <vt:variant>
        <vt:i4>5</vt:i4>
      </vt:variant>
      <vt:variant>
        <vt:lpwstr/>
      </vt:variant>
      <vt:variant>
        <vt:lpwstr>_Toc128135423</vt:lpwstr>
      </vt:variant>
      <vt:variant>
        <vt:i4>1245246</vt:i4>
      </vt:variant>
      <vt:variant>
        <vt:i4>170</vt:i4>
      </vt:variant>
      <vt:variant>
        <vt:i4>0</vt:i4>
      </vt:variant>
      <vt:variant>
        <vt:i4>5</vt:i4>
      </vt:variant>
      <vt:variant>
        <vt:lpwstr/>
      </vt:variant>
      <vt:variant>
        <vt:lpwstr>_Toc128135422</vt:lpwstr>
      </vt:variant>
      <vt:variant>
        <vt:i4>1245246</vt:i4>
      </vt:variant>
      <vt:variant>
        <vt:i4>164</vt:i4>
      </vt:variant>
      <vt:variant>
        <vt:i4>0</vt:i4>
      </vt:variant>
      <vt:variant>
        <vt:i4>5</vt:i4>
      </vt:variant>
      <vt:variant>
        <vt:lpwstr/>
      </vt:variant>
      <vt:variant>
        <vt:lpwstr>_Toc128135421</vt:lpwstr>
      </vt:variant>
      <vt:variant>
        <vt:i4>1245246</vt:i4>
      </vt:variant>
      <vt:variant>
        <vt:i4>158</vt:i4>
      </vt:variant>
      <vt:variant>
        <vt:i4>0</vt:i4>
      </vt:variant>
      <vt:variant>
        <vt:i4>5</vt:i4>
      </vt:variant>
      <vt:variant>
        <vt:lpwstr/>
      </vt:variant>
      <vt:variant>
        <vt:lpwstr>_Toc128135420</vt:lpwstr>
      </vt:variant>
      <vt:variant>
        <vt:i4>1048638</vt:i4>
      </vt:variant>
      <vt:variant>
        <vt:i4>152</vt:i4>
      </vt:variant>
      <vt:variant>
        <vt:i4>0</vt:i4>
      </vt:variant>
      <vt:variant>
        <vt:i4>5</vt:i4>
      </vt:variant>
      <vt:variant>
        <vt:lpwstr/>
      </vt:variant>
      <vt:variant>
        <vt:lpwstr>_Toc128135419</vt:lpwstr>
      </vt:variant>
      <vt:variant>
        <vt:i4>1048638</vt:i4>
      </vt:variant>
      <vt:variant>
        <vt:i4>146</vt:i4>
      </vt:variant>
      <vt:variant>
        <vt:i4>0</vt:i4>
      </vt:variant>
      <vt:variant>
        <vt:i4>5</vt:i4>
      </vt:variant>
      <vt:variant>
        <vt:lpwstr/>
      </vt:variant>
      <vt:variant>
        <vt:lpwstr>_Toc128135418</vt:lpwstr>
      </vt:variant>
      <vt:variant>
        <vt:i4>1048638</vt:i4>
      </vt:variant>
      <vt:variant>
        <vt:i4>140</vt:i4>
      </vt:variant>
      <vt:variant>
        <vt:i4>0</vt:i4>
      </vt:variant>
      <vt:variant>
        <vt:i4>5</vt:i4>
      </vt:variant>
      <vt:variant>
        <vt:lpwstr/>
      </vt:variant>
      <vt:variant>
        <vt:lpwstr>_Toc128135417</vt:lpwstr>
      </vt:variant>
      <vt:variant>
        <vt:i4>1048638</vt:i4>
      </vt:variant>
      <vt:variant>
        <vt:i4>134</vt:i4>
      </vt:variant>
      <vt:variant>
        <vt:i4>0</vt:i4>
      </vt:variant>
      <vt:variant>
        <vt:i4>5</vt:i4>
      </vt:variant>
      <vt:variant>
        <vt:lpwstr/>
      </vt:variant>
      <vt:variant>
        <vt:lpwstr>_Toc128135416</vt:lpwstr>
      </vt:variant>
      <vt:variant>
        <vt:i4>1048638</vt:i4>
      </vt:variant>
      <vt:variant>
        <vt:i4>128</vt:i4>
      </vt:variant>
      <vt:variant>
        <vt:i4>0</vt:i4>
      </vt:variant>
      <vt:variant>
        <vt:i4>5</vt:i4>
      </vt:variant>
      <vt:variant>
        <vt:lpwstr/>
      </vt:variant>
      <vt:variant>
        <vt:lpwstr>_Toc128135415</vt:lpwstr>
      </vt:variant>
      <vt:variant>
        <vt:i4>1048638</vt:i4>
      </vt:variant>
      <vt:variant>
        <vt:i4>122</vt:i4>
      </vt:variant>
      <vt:variant>
        <vt:i4>0</vt:i4>
      </vt:variant>
      <vt:variant>
        <vt:i4>5</vt:i4>
      </vt:variant>
      <vt:variant>
        <vt:lpwstr/>
      </vt:variant>
      <vt:variant>
        <vt:lpwstr>_Toc128135414</vt:lpwstr>
      </vt:variant>
      <vt:variant>
        <vt:i4>1048638</vt:i4>
      </vt:variant>
      <vt:variant>
        <vt:i4>116</vt:i4>
      </vt:variant>
      <vt:variant>
        <vt:i4>0</vt:i4>
      </vt:variant>
      <vt:variant>
        <vt:i4>5</vt:i4>
      </vt:variant>
      <vt:variant>
        <vt:lpwstr/>
      </vt:variant>
      <vt:variant>
        <vt:lpwstr>_Toc128135413</vt:lpwstr>
      </vt:variant>
      <vt:variant>
        <vt:i4>1048638</vt:i4>
      </vt:variant>
      <vt:variant>
        <vt:i4>110</vt:i4>
      </vt:variant>
      <vt:variant>
        <vt:i4>0</vt:i4>
      </vt:variant>
      <vt:variant>
        <vt:i4>5</vt:i4>
      </vt:variant>
      <vt:variant>
        <vt:lpwstr/>
      </vt:variant>
      <vt:variant>
        <vt:lpwstr>_Toc128135412</vt:lpwstr>
      </vt:variant>
      <vt:variant>
        <vt:i4>1048638</vt:i4>
      </vt:variant>
      <vt:variant>
        <vt:i4>104</vt:i4>
      </vt:variant>
      <vt:variant>
        <vt:i4>0</vt:i4>
      </vt:variant>
      <vt:variant>
        <vt:i4>5</vt:i4>
      </vt:variant>
      <vt:variant>
        <vt:lpwstr/>
      </vt:variant>
      <vt:variant>
        <vt:lpwstr>_Toc128135411</vt:lpwstr>
      </vt:variant>
      <vt:variant>
        <vt:i4>1048638</vt:i4>
      </vt:variant>
      <vt:variant>
        <vt:i4>98</vt:i4>
      </vt:variant>
      <vt:variant>
        <vt:i4>0</vt:i4>
      </vt:variant>
      <vt:variant>
        <vt:i4>5</vt:i4>
      </vt:variant>
      <vt:variant>
        <vt:lpwstr/>
      </vt:variant>
      <vt:variant>
        <vt:lpwstr>_Toc128135410</vt:lpwstr>
      </vt:variant>
      <vt:variant>
        <vt:i4>1114174</vt:i4>
      </vt:variant>
      <vt:variant>
        <vt:i4>92</vt:i4>
      </vt:variant>
      <vt:variant>
        <vt:i4>0</vt:i4>
      </vt:variant>
      <vt:variant>
        <vt:i4>5</vt:i4>
      </vt:variant>
      <vt:variant>
        <vt:lpwstr/>
      </vt:variant>
      <vt:variant>
        <vt:lpwstr>_Toc128135409</vt:lpwstr>
      </vt:variant>
      <vt:variant>
        <vt:i4>1114174</vt:i4>
      </vt:variant>
      <vt:variant>
        <vt:i4>86</vt:i4>
      </vt:variant>
      <vt:variant>
        <vt:i4>0</vt:i4>
      </vt:variant>
      <vt:variant>
        <vt:i4>5</vt:i4>
      </vt:variant>
      <vt:variant>
        <vt:lpwstr/>
      </vt:variant>
      <vt:variant>
        <vt:lpwstr>_Toc128135408</vt:lpwstr>
      </vt:variant>
      <vt:variant>
        <vt:i4>1114174</vt:i4>
      </vt:variant>
      <vt:variant>
        <vt:i4>80</vt:i4>
      </vt:variant>
      <vt:variant>
        <vt:i4>0</vt:i4>
      </vt:variant>
      <vt:variant>
        <vt:i4>5</vt:i4>
      </vt:variant>
      <vt:variant>
        <vt:lpwstr/>
      </vt:variant>
      <vt:variant>
        <vt:lpwstr>_Toc128135407</vt:lpwstr>
      </vt:variant>
      <vt:variant>
        <vt:i4>1114174</vt:i4>
      </vt:variant>
      <vt:variant>
        <vt:i4>74</vt:i4>
      </vt:variant>
      <vt:variant>
        <vt:i4>0</vt:i4>
      </vt:variant>
      <vt:variant>
        <vt:i4>5</vt:i4>
      </vt:variant>
      <vt:variant>
        <vt:lpwstr/>
      </vt:variant>
      <vt:variant>
        <vt:lpwstr>_Toc128135406</vt:lpwstr>
      </vt:variant>
      <vt:variant>
        <vt:i4>1114174</vt:i4>
      </vt:variant>
      <vt:variant>
        <vt:i4>68</vt:i4>
      </vt:variant>
      <vt:variant>
        <vt:i4>0</vt:i4>
      </vt:variant>
      <vt:variant>
        <vt:i4>5</vt:i4>
      </vt:variant>
      <vt:variant>
        <vt:lpwstr/>
      </vt:variant>
      <vt:variant>
        <vt:lpwstr>_Toc128135405</vt:lpwstr>
      </vt:variant>
      <vt:variant>
        <vt:i4>1114174</vt:i4>
      </vt:variant>
      <vt:variant>
        <vt:i4>62</vt:i4>
      </vt:variant>
      <vt:variant>
        <vt:i4>0</vt:i4>
      </vt:variant>
      <vt:variant>
        <vt:i4>5</vt:i4>
      </vt:variant>
      <vt:variant>
        <vt:lpwstr/>
      </vt:variant>
      <vt:variant>
        <vt:lpwstr>_Toc128135404</vt:lpwstr>
      </vt:variant>
      <vt:variant>
        <vt:i4>1114174</vt:i4>
      </vt:variant>
      <vt:variant>
        <vt:i4>56</vt:i4>
      </vt:variant>
      <vt:variant>
        <vt:i4>0</vt:i4>
      </vt:variant>
      <vt:variant>
        <vt:i4>5</vt:i4>
      </vt:variant>
      <vt:variant>
        <vt:lpwstr/>
      </vt:variant>
      <vt:variant>
        <vt:lpwstr>_Toc128135403</vt:lpwstr>
      </vt:variant>
      <vt:variant>
        <vt:i4>1114174</vt:i4>
      </vt:variant>
      <vt:variant>
        <vt:i4>50</vt:i4>
      </vt:variant>
      <vt:variant>
        <vt:i4>0</vt:i4>
      </vt:variant>
      <vt:variant>
        <vt:i4>5</vt:i4>
      </vt:variant>
      <vt:variant>
        <vt:lpwstr/>
      </vt:variant>
      <vt:variant>
        <vt:lpwstr>_Toc128135402</vt:lpwstr>
      </vt:variant>
      <vt:variant>
        <vt:i4>1114174</vt:i4>
      </vt:variant>
      <vt:variant>
        <vt:i4>44</vt:i4>
      </vt:variant>
      <vt:variant>
        <vt:i4>0</vt:i4>
      </vt:variant>
      <vt:variant>
        <vt:i4>5</vt:i4>
      </vt:variant>
      <vt:variant>
        <vt:lpwstr/>
      </vt:variant>
      <vt:variant>
        <vt:lpwstr>_Toc128135401</vt:lpwstr>
      </vt:variant>
      <vt:variant>
        <vt:i4>1114174</vt:i4>
      </vt:variant>
      <vt:variant>
        <vt:i4>38</vt:i4>
      </vt:variant>
      <vt:variant>
        <vt:i4>0</vt:i4>
      </vt:variant>
      <vt:variant>
        <vt:i4>5</vt:i4>
      </vt:variant>
      <vt:variant>
        <vt:lpwstr/>
      </vt:variant>
      <vt:variant>
        <vt:lpwstr>_Toc128135400</vt:lpwstr>
      </vt:variant>
      <vt:variant>
        <vt:i4>1572921</vt:i4>
      </vt:variant>
      <vt:variant>
        <vt:i4>32</vt:i4>
      </vt:variant>
      <vt:variant>
        <vt:i4>0</vt:i4>
      </vt:variant>
      <vt:variant>
        <vt:i4>5</vt:i4>
      </vt:variant>
      <vt:variant>
        <vt:lpwstr/>
      </vt:variant>
      <vt:variant>
        <vt:lpwstr>_Toc128135399</vt:lpwstr>
      </vt:variant>
      <vt:variant>
        <vt:i4>1572921</vt:i4>
      </vt:variant>
      <vt:variant>
        <vt:i4>26</vt:i4>
      </vt:variant>
      <vt:variant>
        <vt:i4>0</vt:i4>
      </vt:variant>
      <vt:variant>
        <vt:i4>5</vt:i4>
      </vt:variant>
      <vt:variant>
        <vt:lpwstr/>
      </vt:variant>
      <vt:variant>
        <vt:lpwstr>_Toc128135398</vt:lpwstr>
      </vt:variant>
      <vt:variant>
        <vt:i4>1572921</vt:i4>
      </vt:variant>
      <vt:variant>
        <vt:i4>20</vt:i4>
      </vt:variant>
      <vt:variant>
        <vt:i4>0</vt:i4>
      </vt:variant>
      <vt:variant>
        <vt:i4>5</vt:i4>
      </vt:variant>
      <vt:variant>
        <vt:lpwstr/>
      </vt:variant>
      <vt:variant>
        <vt:lpwstr>_Toc128135397</vt:lpwstr>
      </vt:variant>
      <vt:variant>
        <vt:i4>1572921</vt:i4>
      </vt:variant>
      <vt:variant>
        <vt:i4>14</vt:i4>
      </vt:variant>
      <vt:variant>
        <vt:i4>0</vt:i4>
      </vt:variant>
      <vt:variant>
        <vt:i4>5</vt:i4>
      </vt:variant>
      <vt:variant>
        <vt:lpwstr/>
      </vt:variant>
      <vt:variant>
        <vt:lpwstr>_Toc128135396</vt:lpwstr>
      </vt:variant>
      <vt:variant>
        <vt:i4>1572921</vt:i4>
      </vt:variant>
      <vt:variant>
        <vt:i4>8</vt:i4>
      </vt:variant>
      <vt:variant>
        <vt:i4>0</vt:i4>
      </vt:variant>
      <vt:variant>
        <vt:i4>5</vt:i4>
      </vt:variant>
      <vt:variant>
        <vt:lpwstr/>
      </vt:variant>
      <vt:variant>
        <vt:lpwstr>_Toc128135395</vt:lpwstr>
      </vt:variant>
      <vt:variant>
        <vt:i4>1572921</vt:i4>
      </vt:variant>
      <vt:variant>
        <vt:i4>2</vt:i4>
      </vt:variant>
      <vt:variant>
        <vt:i4>0</vt:i4>
      </vt:variant>
      <vt:variant>
        <vt:i4>5</vt:i4>
      </vt:variant>
      <vt:variant>
        <vt:lpwstr/>
      </vt:variant>
      <vt:variant>
        <vt:lpwstr>_Toc128135394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dc:creator>
  <cp:keywords/>
  <dc:description/>
  <cp:lastModifiedBy>Iva Paskov</cp:lastModifiedBy>
  <cp:revision>4</cp:revision>
  <cp:lastPrinted>2023-03-22T14:01:00Z</cp:lastPrinted>
  <dcterms:created xsi:type="dcterms:W3CDTF">2023-03-22T13:57:00Z</dcterms:created>
  <dcterms:modified xsi:type="dcterms:W3CDTF">2023-03-22T14:13:00Z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0x010100D285A2A9EB2663498A4939D32B56C082</vt:lpwstr>
  </property>
</Properties>
</file>